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F9AA8">
      <w:pPr>
        <w:widowControl/>
        <w:autoSpaceDE w:val="0"/>
        <w:autoSpaceDN w:val="0"/>
        <w:adjustRightInd w:val="0"/>
        <w:snapToGrid w:val="0"/>
        <w:spacing w:after="240" w:line="300" w:lineRule="auto"/>
        <w:rPr>
          <w:rFonts w:ascii="Arial" w:hAnsi="Arial" w:eastAsia="宋体" w:cs="Arial"/>
          <w:color w:val="000000"/>
          <w:kern w:val="0"/>
          <w:sz w:val="21"/>
          <w:szCs w:val="21"/>
        </w:rPr>
      </w:pPr>
      <w:bookmarkStart w:id="11" w:name="_GoBack"/>
      <w:bookmarkEnd w:id="11"/>
    </w:p>
    <w:p w14:paraId="26BCCE50">
      <w:pPr>
        <w:widowControl/>
        <w:autoSpaceDE w:val="0"/>
        <w:autoSpaceDN w:val="0"/>
        <w:adjustRightInd w:val="0"/>
        <w:snapToGrid w:val="0"/>
        <w:spacing w:after="240" w:line="300" w:lineRule="auto"/>
        <w:rPr>
          <w:rFonts w:ascii="Arial" w:hAnsi="Arial" w:eastAsia="宋体" w:cs="Arial"/>
          <w:color w:val="000000"/>
          <w:kern w:val="0"/>
          <w:sz w:val="21"/>
          <w:szCs w:val="21"/>
        </w:rPr>
      </w:pPr>
    </w:p>
    <w:p w14:paraId="34439E24">
      <w:pPr>
        <w:widowControl/>
        <w:autoSpaceDE w:val="0"/>
        <w:autoSpaceDN w:val="0"/>
        <w:adjustRightInd w:val="0"/>
        <w:snapToGrid w:val="0"/>
        <w:spacing w:after="240" w:line="300" w:lineRule="auto"/>
        <w:rPr>
          <w:rFonts w:ascii="Arial" w:hAnsi="Arial" w:eastAsia="宋体" w:cs="Arial"/>
          <w:color w:val="000000"/>
          <w:kern w:val="0"/>
          <w:sz w:val="21"/>
          <w:szCs w:val="21"/>
        </w:rPr>
      </w:pPr>
    </w:p>
    <w:p w14:paraId="2116A512">
      <w:pPr>
        <w:widowControl/>
        <w:autoSpaceDE w:val="0"/>
        <w:autoSpaceDN w:val="0"/>
        <w:adjustRightInd w:val="0"/>
        <w:snapToGrid w:val="0"/>
        <w:spacing w:after="240" w:line="300" w:lineRule="auto"/>
        <w:rPr>
          <w:rFonts w:ascii="Arial" w:hAnsi="Arial" w:eastAsia="宋体" w:cs="Arial"/>
          <w:color w:val="000000"/>
          <w:kern w:val="0"/>
          <w:sz w:val="21"/>
          <w:szCs w:val="21"/>
        </w:rPr>
      </w:pPr>
    </w:p>
    <w:p w14:paraId="7CC75CC8">
      <w:pPr>
        <w:widowControl/>
        <w:autoSpaceDE w:val="0"/>
        <w:autoSpaceDN w:val="0"/>
        <w:adjustRightInd w:val="0"/>
        <w:snapToGrid w:val="0"/>
        <w:spacing w:after="240" w:line="300" w:lineRule="auto"/>
        <w:rPr>
          <w:rFonts w:ascii="Arial" w:hAnsi="Arial" w:eastAsia="宋体" w:cs="Arial"/>
          <w:color w:val="000000"/>
          <w:kern w:val="0"/>
          <w:sz w:val="21"/>
          <w:szCs w:val="21"/>
        </w:rPr>
      </w:pPr>
    </w:p>
    <w:p w14:paraId="073F5C2C">
      <w:pPr>
        <w:widowControl/>
        <w:autoSpaceDE w:val="0"/>
        <w:autoSpaceDN w:val="0"/>
        <w:adjustRightInd w:val="0"/>
        <w:snapToGrid w:val="0"/>
        <w:spacing w:after="240" w:line="300" w:lineRule="auto"/>
        <w:rPr>
          <w:rFonts w:ascii="Arial" w:hAnsi="Arial" w:eastAsia="宋体" w:cs="Arial"/>
          <w:color w:val="000000"/>
          <w:kern w:val="0"/>
          <w:sz w:val="21"/>
          <w:szCs w:val="21"/>
        </w:rPr>
      </w:pPr>
    </w:p>
    <w:p w14:paraId="24BFACAC">
      <w:pPr>
        <w:widowControl/>
        <w:autoSpaceDE w:val="0"/>
        <w:autoSpaceDN w:val="0"/>
        <w:adjustRightInd w:val="0"/>
        <w:snapToGrid w:val="0"/>
        <w:spacing w:after="240" w:line="300" w:lineRule="auto"/>
        <w:rPr>
          <w:rFonts w:ascii="Arial" w:hAnsi="Arial" w:eastAsia="宋体" w:cs="Arial"/>
          <w:color w:val="000000"/>
          <w:kern w:val="0"/>
          <w:sz w:val="21"/>
          <w:szCs w:val="21"/>
        </w:rPr>
      </w:pPr>
    </w:p>
    <w:p w14:paraId="68500E29">
      <w:pPr>
        <w:widowControl/>
        <w:autoSpaceDE w:val="0"/>
        <w:autoSpaceDN w:val="0"/>
        <w:adjustRightInd w:val="0"/>
        <w:snapToGrid w:val="0"/>
        <w:spacing w:after="240" w:line="300" w:lineRule="auto"/>
        <w:rPr>
          <w:rFonts w:ascii="Arial" w:hAnsi="Arial" w:eastAsia="宋体" w:cs="Arial"/>
          <w:color w:val="000000"/>
          <w:kern w:val="0"/>
          <w:sz w:val="21"/>
          <w:szCs w:val="21"/>
        </w:rPr>
      </w:pPr>
    </w:p>
    <w:p w14:paraId="623C2644">
      <w:pPr>
        <w:widowControl/>
        <w:autoSpaceDE w:val="0"/>
        <w:autoSpaceDN w:val="0"/>
        <w:adjustRightInd w:val="0"/>
        <w:snapToGrid w:val="0"/>
        <w:spacing w:after="240" w:line="300" w:lineRule="auto"/>
        <w:rPr>
          <w:rFonts w:ascii="Arial" w:hAnsi="Arial" w:eastAsia="宋体" w:cs="Arial"/>
          <w:color w:val="000000"/>
          <w:kern w:val="0"/>
          <w:sz w:val="21"/>
          <w:szCs w:val="21"/>
        </w:rPr>
      </w:pPr>
    </w:p>
    <w:p w14:paraId="040241F7">
      <w:pPr>
        <w:widowControl/>
        <w:autoSpaceDE w:val="0"/>
        <w:autoSpaceDN w:val="0"/>
        <w:adjustRightInd w:val="0"/>
        <w:snapToGrid w:val="0"/>
        <w:spacing w:after="240" w:line="300" w:lineRule="auto"/>
        <w:rPr>
          <w:rFonts w:ascii="Arial" w:hAnsi="Arial" w:eastAsia="宋体" w:cs="Arial"/>
          <w:color w:val="000000"/>
          <w:kern w:val="0"/>
          <w:sz w:val="21"/>
          <w:szCs w:val="21"/>
        </w:rPr>
      </w:pPr>
      <w:r>
        <w:rPr>
          <w:rFonts w:ascii="Arial" w:hAnsi="Arial" w:eastAsia="宋体" w:cs="Arial"/>
          <w:color w:val="000000"/>
          <w:kern w:val="0"/>
          <w:sz w:val="21"/>
          <w:szCs w:val="21"/>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1AB5D816">
      <w:pPr>
        <w:widowControl/>
        <w:jc w:val="left"/>
        <w:rPr>
          <w:rFonts w:ascii="Arial" w:hAnsi="Arial" w:eastAsia="宋体" w:cs="Arial"/>
          <w:color w:val="000000"/>
          <w:kern w:val="0"/>
          <w:sz w:val="21"/>
          <w:szCs w:val="21"/>
        </w:rPr>
      </w:pPr>
      <w:r>
        <w:rPr>
          <w:rFonts w:ascii="Arial" w:hAnsi="Arial" w:eastAsia="宋体" w:cs="Arial"/>
          <w:color w:val="000000"/>
          <w:kern w:val="0"/>
          <w:sz w:val="21"/>
          <w:szCs w:val="21"/>
        </w:rPr>
        <w:br w:type="page"/>
      </w:r>
    </w:p>
    <w:p w14:paraId="308FD8D7">
      <w:pPr>
        <w:widowControl/>
        <w:autoSpaceDE w:val="0"/>
        <w:autoSpaceDN w:val="0"/>
        <w:adjustRightInd w:val="0"/>
        <w:snapToGrid w:val="0"/>
        <w:spacing w:line="300" w:lineRule="auto"/>
        <w:ind w:firstLine="4694" w:firstLineChars="1670"/>
        <w:jc w:val="center"/>
        <w:rPr>
          <w:rFonts w:ascii="Arial" w:hAnsi="Arial" w:eastAsia="宋体" w:cs="Arial"/>
          <w:b/>
          <w:color w:val="000000"/>
          <w:kern w:val="0"/>
          <w:sz w:val="28"/>
          <w:szCs w:val="28"/>
        </w:rPr>
      </w:pPr>
      <w:r>
        <w:rPr>
          <w:rFonts w:ascii="Arial" w:hAnsi="Arial" w:eastAsia="宋体" w:cs="Arial"/>
          <w:b/>
          <w:color w:val="00000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244475</wp:posOffset>
                </wp:positionV>
                <wp:extent cx="2430780" cy="8229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3078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6A63A">
                            <w:r>
                              <w:drawing>
                                <wp:inline distT="0" distB="0" distL="0" distR="0">
                                  <wp:extent cx="1486535" cy="7816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493506" cy="785360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pt;margin-top:19.25pt;height:648pt;width:191.4pt;z-index:251659264;mso-width-relative:page;mso-height-relative:page;" filled="f" stroked="f" coordsize="21600,21600" o:gfxdata="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r76GH2gAAAAkBAAAPAAAAAAAAAAEAIAAA&#10;ACIAAABkcnMvZG93bnJldi54bWxQSwECFAAUAAAACACHTuJAr9LXBEMCAAB1BAAADgAAAAAAAAAB&#10;ACAAAAApAQAAZHJzL2Uyb0RvYy54bWxQSwUGAAAAAAYABgBZAQAA3gUAAAAA&#10;">
                <v:fill on="f" focussize="0,0"/>
                <v:stroke on="f" weight="0.5pt"/>
                <v:imagedata o:title=""/>
                <o:lock v:ext="edit" aspectratio="f"/>
                <v:textbox>
                  <w:txbxContent>
                    <w:p w14:paraId="6E86A63A">
                      <w:r>
                        <w:drawing>
                          <wp:inline distT="0" distB="0" distL="0" distR="0">
                            <wp:extent cx="1486535" cy="7816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493506" cy="7853606"/>
                                    </a:xfrm>
                                    <a:prstGeom prst="rect">
                                      <a:avLst/>
                                    </a:prstGeom>
                                  </pic:spPr>
                                </pic:pic>
                              </a:graphicData>
                            </a:graphic>
                          </wp:inline>
                        </w:drawing>
                      </w:r>
                    </w:p>
                  </w:txbxContent>
                </v:textbox>
              </v:shape>
            </w:pict>
          </mc:Fallback>
        </mc:AlternateContent>
      </w:r>
    </w:p>
    <w:p w14:paraId="197E7EB5">
      <w:pPr>
        <w:widowControl/>
        <w:autoSpaceDE w:val="0"/>
        <w:autoSpaceDN w:val="0"/>
        <w:adjustRightInd w:val="0"/>
        <w:snapToGrid w:val="0"/>
        <w:spacing w:line="300" w:lineRule="auto"/>
        <w:ind w:firstLine="4694" w:firstLineChars="1670"/>
        <w:jc w:val="center"/>
        <w:rPr>
          <w:rFonts w:ascii="Arial" w:hAnsi="Arial" w:eastAsia="宋体" w:cs="Arial"/>
          <w:b/>
          <w:color w:val="000000"/>
          <w:kern w:val="0"/>
          <w:sz w:val="28"/>
          <w:szCs w:val="28"/>
        </w:rPr>
      </w:pPr>
    </w:p>
    <w:p w14:paraId="24CFADFD">
      <w:pPr>
        <w:widowControl/>
        <w:autoSpaceDE w:val="0"/>
        <w:autoSpaceDN w:val="0"/>
        <w:adjustRightInd w:val="0"/>
        <w:snapToGrid w:val="0"/>
        <w:spacing w:line="300" w:lineRule="auto"/>
        <w:ind w:firstLine="4694" w:firstLineChars="1670"/>
        <w:jc w:val="center"/>
        <w:rPr>
          <w:rFonts w:ascii="Arial" w:hAnsi="Arial" w:eastAsia="宋体" w:cs="Arial"/>
          <w:b/>
          <w:color w:val="000000"/>
          <w:kern w:val="0"/>
          <w:sz w:val="28"/>
          <w:szCs w:val="28"/>
        </w:rPr>
      </w:pPr>
    </w:p>
    <w:p w14:paraId="4E527A48">
      <w:pPr>
        <w:widowControl/>
        <w:autoSpaceDE w:val="0"/>
        <w:autoSpaceDN w:val="0"/>
        <w:adjustRightInd w:val="0"/>
        <w:snapToGrid w:val="0"/>
        <w:spacing w:line="300" w:lineRule="auto"/>
        <w:ind w:firstLine="4694" w:firstLineChars="1670"/>
        <w:jc w:val="center"/>
        <w:rPr>
          <w:rFonts w:ascii="Arial" w:hAnsi="Arial" w:eastAsia="宋体" w:cs="Arial"/>
          <w:b/>
          <w:color w:val="000000"/>
          <w:kern w:val="0"/>
          <w:sz w:val="28"/>
          <w:szCs w:val="28"/>
        </w:rPr>
      </w:pPr>
    </w:p>
    <w:p w14:paraId="4D29FEE9">
      <w:pPr>
        <w:widowControl/>
        <w:autoSpaceDE w:val="0"/>
        <w:autoSpaceDN w:val="0"/>
        <w:adjustRightInd w:val="0"/>
        <w:snapToGrid w:val="0"/>
        <w:spacing w:line="300" w:lineRule="auto"/>
        <w:ind w:firstLine="4694" w:firstLineChars="1670"/>
        <w:jc w:val="center"/>
        <w:rPr>
          <w:rFonts w:ascii="Arial" w:hAnsi="Arial" w:eastAsia="宋体" w:cs="Arial"/>
          <w:b/>
          <w:color w:val="000000"/>
          <w:kern w:val="0"/>
          <w:sz w:val="28"/>
          <w:szCs w:val="28"/>
        </w:rPr>
      </w:pPr>
    </w:p>
    <w:p w14:paraId="284AFFD9">
      <w:pPr>
        <w:widowControl/>
        <w:autoSpaceDE w:val="0"/>
        <w:autoSpaceDN w:val="0"/>
        <w:adjustRightInd w:val="0"/>
        <w:snapToGrid w:val="0"/>
        <w:spacing w:line="300" w:lineRule="auto"/>
        <w:ind w:firstLine="4694" w:firstLineChars="1670"/>
        <w:jc w:val="center"/>
        <w:rPr>
          <w:rFonts w:ascii="Arial" w:hAnsi="Arial" w:eastAsia="宋体" w:cs="Arial"/>
          <w:b/>
          <w:color w:val="000000"/>
          <w:kern w:val="0"/>
          <w:sz w:val="28"/>
          <w:szCs w:val="28"/>
        </w:rPr>
      </w:pPr>
      <w:r>
        <w:rPr>
          <w:rFonts w:ascii="Arial" w:hAnsi="Arial" w:eastAsia="宋体" w:cs="Arial"/>
          <w:b/>
          <w:color w:val="000000"/>
          <w:kern w:val="0"/>
          <w:sz w:val="28"/>
          <w:szCs w:val="28"/>
        </w:rPr>
        <w:t>联邦公报</w:t>
      </w:r>
    </w:p>
    <w:p w14:paraId="0AA4729A">
      <w:pPr>
        <w:widowControl/>
        <w:autoSpaceDE w:val="0"/>
        <w:autoSpaceDN w:val="0"/>
        <w:adjustRightInd w:val="0"/>
        <w:snapToGrid w:val="0"/>
        <w:spacing w:line="300" w:lineRule="auto"/>
        <w:ind w:firstLine="4694" w:firstLineChars="1670"/>
        <w:jc w:val="center"/>
        <w:rPr>
          <w:rFonts w:ascii="Arial" w:hAnsi="Arial" w:eastAsia="宋体" w:cs="Arial"/>
          <w:b/>
          <w:color w:val="000000"/>
          <w:kern w:val="0"/>
          <w:sz w:val="28"/>
          <w:szCs w:val="28"/>
        </w:rPr>
      </w:pPr>
      <w:r>
        <w:rPr>
          <w:rFonts w:ascii="Arial" w:hAnsi="Arial" w:eastAsia="宋体" w:cs="Arial"/>
          <w:b/>
          <w:color w:val="000000"/>
          <w:kern w:val="0"/>
          <w:sz w:val="28"/>
          <w:szCs w:val="28"/>
        </w:rPr>
        <w:t>1978年6月23日,星期五</w:t>
      </w:r>
    </w:p>
    <w:p w14:paraId="044056C0">
      <w:pPr>
        <w:widowControl/>
        <w:autoSpaceDE w:val="0"/>
        <w:autoSpaceDN w:val="0"/>
        <w:adjustRightInd w:val="0"/>
        <w:snapToGrid w:val="0"/>
        <w:spacing w:line="300" w:lineRule="auto"/>
        <w:ind w:firstLine="4694" w:firstLineChars="1670"/>
        <w:jc w:val="center"/>
        <w:rPr>
          <w:rFonts w:ascii="Arial" w:hAnsi="Arial" w:eastAsia="宋体" w:cs="Arial"/>
          <w:b/>
          <w:color w:val="000000"/>
          <w:kern w:val="0"/>
          <w:sz w:val="28"/>
          <w:szCs w:val="28"/>
        </w:rPr>
      </w:pPr>
      <w:r>
        <w:rPr>
          <w:rFonts w:ascii="Arial" w:hAnsi="Arial" w:eastAsia="宋体" w:cs="Arial"/>
          <w:b/>
          <w:color w:val="000000"/>
          <w:kern w:val="0"/>
          <w:sz w:val="28"/>
          <w:szCs w:val="28"/>
        </w:rPr>
        <w:t>第</w:t>
      </w:r>
      <w:r>
        <w:rPr>
          <w:rFonts w:hint="eastAsia" w:ascii="微软雅黑" w:hAnsi="微软雅黑" w:eastAsia="微软雅黑" w:cs="微软雅黑"/>
          <w:b/>
          <w:color w:val="000000"/>
          <w:kern w:val="0"/>
          <w:sz w:val="28"/>
          <w:szCs w:val="28"/>
        </w:rPr>
        <w:t>Ⅴ</w:t>
      </w:r>
      <w:r>
        <w:rPr>
          <w:rFonts w:ascii="Arial" w:hAnsi="Arial" w:eastAsia="宋体" w:cs="Arial"/>
          <w:b/>
          <w:color w:val="000000"/>
          <w:kern w:val="0"/>
          <w:sz w:val="28"/>
          <w:szCs w:val="28"/>
        </w:rPr>
        <w:t>部分</w:t>
      </w:r>
    </w:p>
    <w:p w14:paraId="3BA6D507">
      <w:pPr>
        <w:widowControl/>
        <w:autoSpaceDE w:val="0"/>
        <w:autoSpaceDN w:val="0"/>
        <w:adjustRightInd w:val="0"/>
        <w:snapToGrid w:val="0"/>
        <w:spacing w:line="300" w:lineRule="auto"/>
        <w:ind w:firstLine="4694" w:firstLineChars="1670"/>
        <w:jc w:val="center"/>
        <w:rPr>
          <w:rFonts w:ascii="Arial" w:hAnsi="Arial" w:eastAsia="宋体" w:cs="Arial"/>
          <w:b/>
          <w:color w:val="000000"/>
          <w:kern w:val="0"/>
          <w:sz w:val="28"/>
          <w:szCs w:val="28"/>
        </w:rPr>
      </w:pPr>
    </w:p>
    <w:p w14:paraId="622723D0">
      <w:pPr>
        <w:widowControl/>
        <w:autoSpaceDE w:val="0"/>
        <w:autoSpaceDN w:val="0"/>
        <w:adjustRightInd w:val="0"/>
        <w:snapToGrid w:val="0"/>
        <w:spacing w:after="240" w:line="300" w:lineRule="auto"/>
        <w:ind w:right="48" w:rightChars="20" w:firstLine="4800" w:firstLineChars="2000"/>
        <w:rPr>
          <w:rFonts w:ascii="Arial" w:hAnsi="Arial" w:eastAsia="宋体" w:cs="Arial"/>
          <w:color w:val="000000"/>
          <w:kern w:val="0"/>
          <w:sz w:val="21"/>
          <w:szCs w:val="21"/>
        </w:rPr>
      </w:pPr>
      <w:r>
        <w:drawing>
          <wp:inline distT="0" distB="0" distL="0" distR="0">
            <wp:extent cx="3302000" cy="16332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3345175" cy="1654602"/>
                    </a:xfrm>
                    <a:prstGeom prst="rect">
                      <a:avLst/>
                    </a:prstGeom>
                  </pic:spPr>
                </pic:pic>
              </a:graphicData>
            </a:graphic>
          </wp:inline>
        </w:drawing>
      </w:r>
    </w:p>
    <w:p w14:paraId="0A473733">
      <w:pPr>
        <w:widowControl/>
        <w:autoSpaceDE w:val="0"/>
        <w:autoSpaceDN w:val="0"/>
        <w:adjustRightInd w:val="0"/>
        <w:snapToGrid w:val="0"/>
        <w:spacing w:line="300" w:lineRule="auto"/>
        <w:ind w:firstLine="4720" w:firstLineChars="1306"/>
        <w:jc w:val="center"/>
        <w:rPr>
          <w:rFonts w:ascii="Arial" w:hAnsi="Arial" w:eastAsia="宋体" w:cs="Arial"/>
          <w:b/>
          <w:color w:val="000000"/>
          <w:kern w:val="0"/>
          <w:sz w:val="36"/>
          <w:szCs w:val="36"/>
        </w:rPr>
      </w:pPr>
    </w:p>
    <w:p w14:paraId="7A8A385D">
      <w:pPr>
        <w:widowControl/>
        <w:autoSpaceDE w:val="0"/>
        <w:autoSpaceDN w:val="0"/>
        <w:adjustRightInd w:val="0"/>
        <w:snapToGrid w:val="0"/>
        <w:spacing w:line="300" w:lineRule="auto"/>
        <w:ind w:firstLine="4720" w:firstLineChars="1306"/>
        <w:jc w:val="center"/>
        <w:rPr>
          <w:rFonts w:ascii="Arial" w:hAnsi="Arial" w:eastAsia="宋体" w:cs="Arial"/>
          <w:b/>
          <w:color w:val="000000"/>
          <w:kern w:val="0"/>
          <w:sz w:val="36"/>
          <w:szCs w:val="36"/>
        </w:rPr>
      </w:pPr>
      <w:r>
        <w:rPr>
          <w:rFonts w:ascii="Arial" w:hAnsi="Arial" w:eastAsia="宋体" w:cs="Arial"/>
          <w:b/>
          <w:color w:val="000000"/>
          <w:kern w:val="0"/>
          <w:sz w:val="36"/>
          <w:szCs w:val="36"/>
        </w:rPr>
        <w:t>美国卫生、教育和福利部</w:t>
      </w:r>
    </w:p>
    <w:p w14:paraId="37981343">
      <w:pPr>
        <w:widowControl/>
        <w:autoSpaceDE w:val="0"/>
        <w:autoSpaceDN w:val="0"/>
        <w:adjustRightInd w:val="0"/>
        <w:snapToGrid w:val="0"/>
        <w:spacing w:line="300" w:lineRule="auto"/>
        <w:ind w:firstLine="4694" w:firstLineChars="1670"/>
        <w:jc w:val="center"/>
        <w:rPr>
          <w:rFonts w:ascii="Arial" w:hAnsi="Arial" w:eastAsia="宋体" w:cs="Arial"/>
          <w:b/>
          <w:color w:val="000000"/>
          <w:kern w:val="0"/>
          <w:sz w:val="28"/>
          <w:szCs w:val="28"/>
        </w:rPr>
      </w:pPr>
      <w:bookmarkStart w:id="0" w:name="OLE_LINK4"/>
      <w:bookmarkStart w:id="1" w:name="OLE_LINK3"/>
      <w:r>
        <w:rPr>
          <w:rFonts w:ascii="Arial" w:hAnsi="Arial" w:eastAsia="宋体" w:cs="Arial"/>
          <w:b/>
          <w:color w:val="000000"/>
          <w:kern w:val="0"/>
          <w:sz w:val="28"/>
          <w:szCs w:val="28"/>
        </w:rPr>
        <w:t>食品药品监督管理局</w:t>
      </w:r>
    </w:p>
    <w:bookmarkEnd w:id="0"/>
    <w:bookmarkEnd w:id="1"/>
    <w:p w14:paraId="6CB8FB82">
      <w:pPr>
        <w:widowControl/>
        <w:autoSpaceDE w:val="0"/>
        <w:autoSpaceDN w:val="0"/>
        <w:adjustRightInd w:val="0"/>
        <w:snapToGrid w:val="0"/>
        <w:spacing w:line="300" w:lineRule="auto"/>
        <w:ind w:firstLine="4694" w:firstLineChars="1670"/>
        <w:jc w:val="center"/>
        <w:rPr>
          <w:rFonts w:ascii="Arial" w:hAnsi="Arial" w:eastAsia="宋体" w:cs="Arial"/>
          <w:b/>
          <w:color w:val="000000"/>
          <w:kern w:val="0"/>
          <w:sz w:val="28"/>
          <w:szCs w:val="28"/>
        </w:rPr>
      </w:pPr>
      <w:bookmarkStart w:id="2" w:name="OLE_LINK6"/>
      <w:bookmarkStart w:id="3" w:name="OLE_LINK5"/>
    </w:p>
    <w:p w14:paraId="3A552625">
      <w:pPr>
        <w:widowControl/>
        <w:autoSpaceDE w:val="0"/>
        <w:autoSpaceDN w:val="0"/>
        <w:adjustRightInd w:val="0"/>
        <w:snapToGrid w:val="0"/>
        <w:spacing w:line="300" w:lineRule="auto"/>
        <w:ind w:firstLine="4694" w:firstLineChars="1670"/>
        <w:jc w:val="center"/>
        <w:rPr>
          <w:rFonts w:ascii="Arial" w:hAnsi="Arial" w:eastAsia="宋体" w:cs="Arial"/>
          <w:b/>
          <w:color w:val="000000"/>
          <w:kern w:val="0"/>
          <w:sz w:val="28"/>
          <w:szCs w:val="28"/>
        </w:rPr>
      </w:pPr>
    </w:p>
    <w:p w14:paraId="0F95A915">
      <w:pPr>
        <w:widowControl/>
        <w:autoSpaceDE w:val="0"/>
        <w:autoSpaceDN w:val="0"/>
        <w:adjustRightInd w:val="0"/>
        <w:snapToGrid w:val="0"/>
        <w:spacing w:line="300" w:lineRule="auto"/>
        <w:ind w:firstLine="4694" w:firstLineChars="1670"/>
        <w:jc w:val="center"/>
        <w:rPr>
          <w:rFonts w:ascii="Arial" w:hAnsi="Arial" w:eastAsia="宋体" w:cs="Arial"/>
          <w:b/>
          <w:color w:val="000000"/>
          <w:kern w:val="0"/>
          <w:sz w:val="28"/>
          <w:szCs w:val="28"/>
        </w:rPr>
      </w:pPr>
      <w:r>
        <w:rPr>
          <w:rFonts w:hint="eastAsia" w:ascii="宋体" w:hAnsi="宋体" w:eastAsia="宋体" w:cs="Arial"/>
          <w:b/>
          <w:color w:val="000000"/>
          <w:kern w:val="0"/>
          <w:sz w:val="28"/>
          <w:szCs w:val="28"/>
        </w:rPr>
        <w:t>■</w:t>
      </w:r>
    </w:p>
    <w:p w14:paraId="7B845208">
      <w:pPr>
        <w:widowControl/>
        <w:autoSpaceDE w:val="0"/>
        <w:autoSpaceDN w:val="0"/>
        <w:adjustRightInd w:val="0"/>
        <w:snapToGrid w:val="0"/>
        <w:spacing w:line="300" w:lineRule="auto"/>
        <w:ind w:firstLine="4694" w:firstLineChars="1670"/>
        <w:jc w:val="center"/>
        <w:rPr>
          <w:rFonts w:ascii="Arial" w:hAnsi="Arial" w:eastAsia="宋体" w:cs="Arial"/>
          <w:b/>
          <w:color w:val="000000"/>
          <w:kern w:val="0"/>
          <w:sz w:val="28"/>
          <w:szCs w:val="28"/>
        </w:rPr>
      </w:pPr>
    </w:p>
    <w:p w14:paraId="55498E21">
      <w:pPr>
        <w:widowControl/>
        <w:autoSpaceDE w:val="0"/>
        <w:autoSpaceDN w:val="0"/>
        <w:adjustRightInd w:val="0"/>
        <w:snapToGrid w:val="0"/>
        <w:spacing w:line="300" w:lineRule="auto"/>
        <w:ind w:firstLine="4694" w:firstLineChars="1670"/>
        <w:jc w:val="center"/>
        <w:rPr>
          <w:rFonts w:ascii="Arial" w:hAnsi="Arial" w:eastAsia="宋体" w:cs="Arial"/>
          <w:b/>
          <w:color w:val="000000"/>
          <w:kern w:val="0"/>
          <w:sz w:val="28"/>
          <w:szCs w:val="28"/>
        </w:rPr>
      </w:pPr>
    </w:p>
    <w:p w14:paraId="76881D60">
      <w:pPr>
        <w:widowControl/>
        <w:autoSpaceDE w:val="0"/>
        <w:autoSpaceDN w:val="0"/>
        <w:adjustRightInd w:val="0"/>
        <w:snapToGrid w:val="0"/>
        <w:spacing w:line="300" w:lineRule="auto"/>
        <w:ind w:firstLine="4720" w:firstLineChars="1306"/>
        <w:jc w:val="center"/>
        <w:rPr>
          <w:rFonts w:ascii="Arial" w:hAnsi="Arial" w:eastAsia="宋体" w:cs="Arial"/>
          <w:b/>
          <w:color w:val="000000"/>
          <w:kern w:val="0"/>
          <w:sz w:val="36"/>
          <w:szCs w:val="36"/>
        </w:rPr>
      </w:pPr>
      <w:r>
        <w:rPr>
          <w:rFonts w:ascii="Arial" w:hAnsi="Arial" w:eastAsia="宋体" w:cs="Arial"/>
          <w:b/>
          <w:color w:val="000000"/>
          <w:kern w:val="0"/>
          <w:sz w:val="36"/>
          <w:szCs w:val="36"/>
        </w:rPr>
        <w:t>环氧乙烷、氯乙醇和乙二醇</w:t>
      </w:r>
    </w:p>
    <w:p w14:paraId="6DC22263">
      <w:pPr>
        <w:widowControl/>
        <w:autoSpaceDE w:val="0"/>
        <w:autoSpaceDN w:val="0"/>
        <w:adjustRightInd w:val="0"/>
        <w:snapToGrid w:val="0"/>
        <w:spacing w:line="300" w:lineRule="auto"/>
        <w:ind w:firstLine="4694" w:firstLineChars="1670"/>
        <w:jc w:val="center"/>
        <w:rPr>
          <w:rFonts w:ascii="Arial" w:hAnsi="Arial" w:eastAsia="宋体" w:cs="Arial"/>
          <w:b/>
          <w:color w:val="000000"/>
          <w:kern w:val="0"/>
          <w:sz w:val="28"/>
          <w:szCs w:val="28"/>
        </w:rPr>
      </w:pPr>
      <w:r>
        <w:rPr>
          <w:rFonts w:ascii="Arial" w:hAnsi="Arial" w:eastAsia="宋体" w:cs="Arial"/>
          <w:b/>
          <w:color w:val="000000"/>
          <w:kern w:val="0"/>
          <w:sz w:val="28"/>
          <w:szCs w:val="28"/>
        </w:rPr>
        <w:t>最大残留限量和最大暴露水平</w:t>
      </w:r>
    </w:p>
    <w:bookmarkEnd w:id="2"/>
    <w:bookmarkEnd w:id="3"/>
    <w:p w14:paraId="04723B3C">
      <w:pPr>
        <w:widowControl/>
        <w:autoSpaceDE w:val="0"/>
        <w:autoSpaceDN w:val="0"/>
        <w:adjustRightInd w:val="0"/>
        <w:snapToGrid w:val="0"/>
        <w:spacing w:line="300" w:lineRule="auto"/>
        <w:ind w:firstLine="4694" w:firstLineChars="1670"/>
        <w:jc w:val="center"/>
        <w:rPr>
          <w:rFonts w:ascii="Arial" w:hAnsi="Arial" w:eastAsia="宋体" w:cs="Arial"/>
          <w:b/>
          <w:color w:val="000000"/>
          <w:kern w:val="0"/>
          <w:sz w:val="28"/>
          <w:szCs w:val="28"/>
        </w:rPr>
      </w:pPr>
    </w:p>
    <w:p w14:paraId="2D571795">
      <w:pPr>
        <w:widowControl/>
        <w:autoSpaceDE w:val="0"/>
        <w:autoSpaceDN w:val="0"/>
        <w:adjustRightInd w:val="0"/>
        <w:snapToGrid w:val="0"/>
        <w:spacing w:after="240" w:line="300" w:lineRule="auto"/>
        <w:rPr>
          <w:rFonts w:ascii="Arial" w:hAnsi="Arial" w:eastAsia="宋体" w:cs="Arial"/>
          <w:color w:val="000000"/>
          <w:kern w:val="0"/>
          <w:sz w:val="21"/>
          <w:szCs w:val="21"/>
        </w:rPr>
      </w:pPr>
    </w:p>
    <w:p w14:paraId="01307E1C">
      <w:pPr>
        <w:widowControl/>
        <w:autoSpaceDE w:val="0"/>
        <w:autoSpaceDN w:val="0"/>
        <w:adjustRightInd w:val="0"/>
        <w:snapToGrid w:val="0"/>
        <w:spacing w:after="240" w:line="300" w:lineRule="auto"/>
        <w:rPr>
          <w:rFonts w:ascii="Arial" w:hAnsi="Arial" w:eastAsia="宋体" w:cs="Arial"/>
          <w:color w:val="000000"/>
          <w:kern w:val="0"/>
          <w:sz w:val="21"/>
          <w:szCs w:val="21"/>
        </w:rPr>
      </w:pPr>
    </w:p>
    <w:p w14:paraId="3E16C7B6">
      <w:pPr>
        <w:widowControl/>
        <w:autoSpaceDE w:val="0"/>
        <w:autoSpaceDN w:val="0"/>
        <w:adjustRightInd w:val="0"/>
        <w:snapToGrid w:val="0"/>
        <w:spacing w:after="240" w:line="300" w:lineRule="auto"/>
        <w:rPr>
          <w:rFonts w:ascii="Arial" w:hAnsi="Arial" w:eastAsia="宋体" w:cs="Arial"/>
          <w:color w:val="000000"/>
          <w:kern w:val="0"/>
          <w:sz w:val="21"/>
          <w:szCs w:val="21"/>
        </w:rPr>
      </w:pPr>
    </w:p>
    <w:p w14:paraId="51F43382">
      <w:pPr>
        <w:widowControl/>
        <w:autoSpaceDE w:val="0"/>
        <w:autoSpaceDN w:val="0"/>
        <w:adjustRightInd w:val="0"/>
        <w:snapToGrid w:val="0"/>
        <w:spacing w:after="240" w:line="300" w:lineRule="auto"/>
        <w:rPr>
          <w:rFonts w:ascii="Arial" w:hAnsi="Arial" w:eastAsia="宋体" w:cs="Arial"/>
          <w:kern w:val="0"/>
          <w:sz w:val="21"/>
          <w:szCs w:val="21"/>
        </w:rPr>
        <w:sectPr>
          <w:pgSz w:w="12240" w:h="15840"/>
          <w:pgMar w:top="1134" w:right="1134" w:bottom="1134" w:left="1134" w:header="720" w:footer="720" w:gutter="0"/>
          <w:cols w:space="720" w:num="1"/>
          <w:docGrid w:linePitch="326" w:charSpace="0"/>
        </w:sectPr>
      </w:pPr>
    </w:p>
    <w:p w14:paraId="01C86F36">
      <w:pPr>
        <w:widowControl/>
        <w:autoSpaceDE w:val="0"/>
        <w:autoSpaceDN w:val="0"/>
        <w:adjustRightInd w:val="0"/>
        <w:snapToGrid w:val="0"/>
        <w:spacing w:after="24" w:afterLines="10" w:line="300" w:lineRule="auto"/>
        <w:rPr>
          <w:rFonts w:ascii="Arial" w:hAnsi="Arial" w:eastAsia="宋体" w:cs="Arial"/>
          <w:kern w:val="0"/>
          <w:sz w:val="18"/>
          <w:szCs w:val="18"/>
        </w:rPr>
      </w:pPr>
      <w:r>
        <w:rPr>
          <w:rFonts w:ascii="Arial" w:hAnsi="Arial" w:eastAsia="宋体" w:cs="Arial"/>
          <w:kern w:val="0"/>
          <w:sz w:val="18"/>
          <w:szCs w:val="18"/>
        </w:rPr>
        <w:t>[4110-031]</w:t>
      </w:r>
    </w:p>
    <w:p w14:paraId="56C535D7">
      <w:pPr>
        <w:widowControl/>
        <w:autoSpaceDE w:val="0"/>
        <w:autoSpaceDN w:val="0"/>
        <w:adjustRightInd w:val="0"/>
        <w:snapToGrid w:val="0"/>
        <w:spacing w:after="24" w:afterLines="10" w:line="300" w:lineRule="auto"/>
        <w:jc w:val="center"/>
        <w:rPr>
          <w:rFonts w:ascii="Arial" w:hAnsi="Arial" w:eastAsia="宋体" w:cs="Arial"/>
          <w:b/>
          <w:color w:val="000000"/>
          <w:kern w:val="0"/>
          <w:sz w:val="18"/>
          <w:szCs w:val="18"/>
        </w:rPr>
      </w:pPr>
      <w:r>
        <w:rPr>
          <w:rFonts w:ascii="Arial" w:hAnsi="Arial" w:eastAsia="宋体" w:cs="Arial"/>
          <w:b/>
          <w:color w:val="000000"/>
          <w:kern w:val="0"/>
          <w:sz w:val="18"/>
          <w:szCs w:val="18"/>
        </w:rPr>
        <w:t>美国卫生、教育和福利部</w:t>
      </w:r>
    </w:p>
    <w:p w14:paraId="0BC190AE">
      <w:pPr>
        <w:widowControl/>
        <w:autoSpaceDE w:val="0"/>
        <w:autoSpaceDN w:val="0"/>
        <w:adjustRightInd w:val="0"/>
        <w:snapToGrid w:val="0"/>
        <w:spacing w:after="24" w:afterLines="10" w:line="300" w:lineRule="auto"/>
        <w:jc w:val="center"/>
        <w:rPr>
          <w:rFonts w:ascii="Arial" w:hAnsi="Arial" w:eastAsia="宋体" w:cs="Arial"/>
          <w:b/>
          <w:color w:val="000000"/>
          <w:kern w:val="0"/>
          <w:sz w:val="18"/>
          <w:szCs w:val="18"/>
        </w:rPr>
      </w:pPr>
      <w:r>
        <w:rPr>
          <w:rFonts w:ascii="Arial" w:hAnsi="Arial" w:eastAsia="宋体" w:cs="Arial"/>
          <w:b/>
          <w:color w:val="000000"/>
          <w:kern w:val="0"/>
          <w:sz w:val="18"/>
          <w:szCs w:val="18"/>
        </w:rPr>
        <w:t>食品药品监督管理局</w:t>
      </w:r>
    </w:p>
    <w:p w14:paraId="021D2C26">
      <w:pPr>
        <w:widowControl/>
        <w:autoSpaceDE w:val="0"/>
        <w:autoSpaceDN w:val="0"/>
        <w:adjustRightInd w:val="0"/>
        <w:snapToGrid w:val="0"/>
        <w:spacing w:after="24" w:afterLines="10" w:line="300" w:lineRule="auto"/>
        <w:jc w:val="center"/>
        <w:rPr>
          <w:rFonts w:ascii="Arial" w:hAnsi="Arial" w:eastAsia="宋体" w:cs="Arial"/>
          <w:b/>
          <w:color w:val="000000"/>
          <w:kern w:val="0"/>
          <w:sz w:val="18"/>
          <w:szCs w:val="18"/>
        </w:rPr>
      </w:pPr>
      <w:r>
        <w:rPr>
          <w:rFonts w:ascii="Arial" w:hAnsi="Arial" w:eastAsia="宋体" w:cs="Arial"/>
          <w:b/>
          <w:color w:val="000000"/>
          <w:kern w:val="0"/>
          <w:sz w:val="18"/>
          <w:szCs w:val="18"/>
        </w:rPr>
        <w:t>【21 CFR第21部分和821部分】</w:t>
      </w:r>
    </w:p>
    <w:p w14:paraId="32BD09EC">
      <w:pPr>
        <w:widowControl/>
        <w:autoSpaceDE w:val="0"/>
        <w:autoSpaceDN w:val="0"/>
        <w:adjustRightInd w:val="0"/>
        <w:snapToGrid w:val="0"/>
        <w:spacing w:after="24" w:afterLines="10" w:line="300" w:lineRule="auto"/>
        <w:jc w:val="center"/>
        <w:rPr>
          <w:rFonts w:ascii="Arial" w:hAnsi="Arial" w:eastAsia="宋体" w:cs="Arial"/>
          <w:color w:val="000000"/>
          <w:kern w:val="0"/>
          <w:sz w:val="18"/>
          <w:szCs w:val="18"/>
        </w:rPr>
      </w:pPr>
      <w:r>
        <w:rPr>
          <w:rFonts w:ascii="Arial" w:hAnsi="Arial" w:eastAsia="宋体" w:cs="Arial"/>
          <w:color w:val="000000"/>
          <w:kern w:val="0"/>
          <w:sz w:val="18"/>
          <w:szCs w:val="18"/>
        </w:rPr>
        <w:t>【文档编号77N-0424】</w:t>
      </w:r>
    </w:p>
    <w:p w14:paraId="56B2B3C9">
      <w:pPr>
        <w:widowControl/>
        <w:autoSpaceDE w:val="0"/>
        <w:autoSpaceDN w:val="0"/>
        <w:adjustRightInd w:val="0"/>
        <w:snapToGrid w:val="0"/>
        <w:spacing w:after="24" w:afterLines="10" w:line="300" w:lineRule="auto"/>
        <w:jc w:val="center"/>
        <w:rPr>
          <w:rFonts w:ascii="Arial" w:hAnsi="Arial" w:eastAsia="宋体" w:cs="Arial"/>
          <w:b/>
          <w:color w:val="000000"/>
          <w:kern w:val="0"/>
          <w:sz w:val="18"/>
          <w:szCs w:val="18"/>
        </w:rPr>
      </w:pPr>
      <w:r>
        <w:rPr>
          <w:rFonts w:ascii="Arial" w:hAnsi="Arial" w:eastAsia="宋体" w:cs="Arial"/>
          <w:b/>
          <w:color w:val="000000"/>
          <w:kern w:val="0"/>
          <w:sz w:val="18"/>
          <w:szCs w:val="18"/>
        </w:rPr>
        <w:t>环氧乙烷、氯乙醇和乙二醇</w:t>
      </w:r>
    </w:p>
    <w:p w14:paraId="20A7FD50">
      <w:pPr>
        <w:widowControl/>
        <w:autoSpaceDE w:val="0"/>
        <w:autoSpaceDN w:val="0"/>
        <w:adjustRightInd w:val="0"/>
        <w:snapToGrid w:val="0"/>
        <w:spacing w:after="24" w:afterLines="10" w:line="300" w:lineRule="auto"/>
        <w:jc w:val="center"/>
        <w:rPr>
          <w:rFonts w:ascii="Arial" w:hAnsi="Arial" w:eastAsia="宋体" w:cs="Arial"/>
          <w:b/>
          <w:color w:val="000000"/>
          <w:kern w:val="0"/>
          <w:sz w:val="18"/>
          <w:szCs w:val="18"/>
        </w:rPr>
      </w:pPr>
      <w:r>
        <w:rPr>
          <w:rFonts w:ascii="Arial" w:hAnsi="Arial" w:eastAsia="宋体" w:cs="Arial"/>
          <w:b/>
          <w:color w:val="000000"/>
          <w:kern w:val="0"/>
          <w:sz w:val="18"/>
          <w:szCs w:val="18"/>
        </w:rPr>
        <w:t>最大残留限量和最大暴露水平</w:t>
      </w:r>
    </w:p>
    <w:p w14:paraId="1E9B4800">
      <w:pPr>
        <w:widowControl/>
        <w:autoSpaceDE w:val="0"/>
        <w:autoSpaceDN w:val="0"/>
        <w:adjustRightInd w:val="0"/>
        <w:snapToGrid w:val="0"/>
        <w:spacing w:after="24" w:afterLines="10" w:line="300" w:lineRule="auto"/>
        <w:rPr>
          <w:rFonts w:ascii="Arial" w:hAnsi="Arial" w:eastAsia="宋体" w:cs="Arial"/>
          <w:color w:val="000000"/>
          <w:kern w:val="0"/>
          <w:sz w:val="18"/>
          <w:szCs w:val="18"/>
        </w:rPr>
      </w:pPr>
      <w:r>
        <w:rPr>
          <w:rFonts w:ascii="Arial" w:hAnsi="Arial" w:eastAsia="宋体" w:cs="Arial"/>
          <w:color w:val="000000"/>
          <w:kern w:val="0"/>
          <w:sz w:val="18"/>
          <w:szCs w:val="18"/>
        </w:rPr>
        <w:t>机构：食品药品监督管理局</w:t>
      </w:r>
    </w:p>
    <w:p w14:paraId="7B9D80C4">
      <w:pPr>
        <w:widowControl/>
        <w:autoSpaceDE w:val="0"/>
        <w:autoSpaceDN w:val="0"/>
        <w:adjustRightInd w:val="0"/>
        <w:snapToGrid w:val="0"/>
        <w:spacing w:after="24" w:afterLines="10" w:line="300" w:lineRule="auto"/>
        <w:rPr>
          <w:rFonts w:ascii="Arial" w:hAnsi="Arial" w:eastAsia="宋体" w:cs="Arial"/>
          <w:color w:val="000000"/>
          <w:kern w:val="0"/>
          <w:sz w:val="18"/>
          <w:szCs w:val="18"/>
        </w:rPr>
      </w:pPr>
      <w:r>
        <w:rPr>
          <w:rFonts w:ascii="Arial" w:hAnsi="Arial" w:eastAsia="宋体" w:cs="Arial"/>
          <w:color w:val="000000"/>
          <w:kern w:val="0"/>
          <w:sz w:val="18"/>
          <w:szCs w:val="18"/>
        </w:rPr>
        <w:t>措施：拟定规定。</w:t>
      </w:r>
    </w:p>
    <w:p w14:paraId="239DC776">
      <w:pPr>
        <w:widowControl/>
        <w:autoSpaceDE w:val="0"/>
        <w:autoSpaceDN w:val="0"/>
        <w:adjustRightInd w:val="0"/>
        <w:snapToGrid w:val="0"/>
        <w:spacing w:after="24" w:afterLines="10" w:line="300" w:lineRule="auto"/>
        <w:rPr>
          <w:rFonts w:ascii="Arial" w:hAnsi="Arial" w:eastAsia="宋体" w:cs="Arial"/>
          <w:color w:val="000000"/>
          <w:kern w:val="0"/>
          <w:sz w:val="18"/>
          <w:szCs w:val="18"/>
        </w:rPr>
      </w:pPr>
      <w:r>
        <w:rPr>
          <w:rFonts w:ascii="Arial" w:hAnsi="Arial" w:eastAsia="宋体" w:cs="Arial"/>
          <w:color w:val="000000"/>
          <w:kern w:val="0"/>
          <w:sz w:val="18"/>
          <w:szCs w:val="18"/>
        </w:rPr>
        <w:t>摘要：本建议将通过以下方式限制继续将环氧乙烷用作某些药品和人用医疗器械的灭菌剂：（1）确定环氧乙烷及其两种主要反应产品（即氯乙醇（2-氯乙醇）和乙二醇）在人用和动物用药品（包括人用生物产品）以及人用医疗器械中的最大残留限量以及（2）为环氧乙烷及其两种主要反应产品确定药品的最高每日接触水平。采取这一措施的原因是环氧乙烷及其两个主要反应产品在将环氧乙烷用作灭菌剂的药品以及器械中的残留物可能在患者中产生毒性反应，并且因为接触这些残留物可产生致突变性的潜在风险。</w:t>
      </w:r>
    </w:p>
    <w:p w14:paraId="25CA444D">
      <w:pPr>
        <w:widowControl/>
        <w:autoSpaceDE w:val="0"/>
        <w:autoSpaceDN w:val="0"/>
        <w:adjustRightInd w:val="0"/>
        <w:snapToGrid w:val="0"/>
        <w:spacing w:after="24" w:afterLines="10" w:line="300" w:lineRule="auto"/>
        <w:rPr>
          <w:rFonts w:ascii="Arial" w:hAnsi="Arial" w:eastAsia="宋体" w:cs="Arial"/>
          <w:color w:val="000000"/>
          <w:kern w:val="0"/>
          <w:sz w:val="18"/>
          <w:szCs w:val="18"/>
        </w:rPr>
      </w:pPr>
      <w:r>
        <w:rPr>
          <w:rFonts w:ascii="Arial" w:hAnsi="Arial" w:eastAsia="宋体" w:cs="Arial"/>
          <w:color w:val="000000"/>
          <w:kern w:val="0"/>
          <w:sz w:val="18"/>
          <w:szCs w:val="18"/>
        </w:rPr>
        <w:t>日期：评论请在1978年8月22日之前提交。专员建议，基于本建议的最终规定应在联邦公告公布最终规定后60天生效。</w:t>
      </w:r>
    </w:p>
    <w:p w14:paraId="5BAB0454">
      <w:pPr>
        <w:widowControl/>
        <w:autoSpaceDE w:val="0"/>
        <w:autoSpaceDN w:val="0"/>
        <w:adjustRightInd w:val="0"/>
        <w:snapToGrid w:val="0"/>
        <w:spacing w:after="24" w:afterLines="10" w:line="300" w:lineRule="auto"/>
        <w:rPr>
          <w:rFonts w:ascii="Arial" w:hAnsi="Arial" w:eastAsia="宋体" w:cs="Arial"/>
          <w:color w:val="000000"/>
          <w:kern w:val="0"/>
          <w:sz w:val="18"/>
          <w:szCs w:val="18"/>
        </w:rPr>
      </w:pPr>
      <w:r>
        <w:rPr>
          <w:rFonts w:ascii="Arial" w:hAnsi="Arial" w:eastAsia="宋体" w:cs="Arial"/>
          <w:color w:val="000000"/>
          <w:kern w:val="0"/>
          <w:sz w:val="18"/>
          <w:szCs w:val="18"/>
        </w:rPr>
        <w:t>地址：书面评论（一式四份，须用文档编号：77N-0424标识）请提交给食品药品监督管理局，听证员（HFC-20），地址为：Rm.4-65，5600 Fishers Lane，Rockville，MD 20857。</w:t>
      </w:r>
    </w:p>
    <w:p w14:paraId="6B642A1B">
      <w:pPr>
        <w:widowControl/>
        <w:autoSpaceDE w:val="0"/>
        <w:autoSpaceDN w:val="0"/>
        <w:adjustRightInd w:val="0"/>
        <w:snapToGrid w:val="0"/>
        <w:spacing w:after="24" w:afterLines="10" w:line="300" w:lineRule="auto"/>
        <w:rPr>
          <w:rFonts w:ascii="Arial" w:hAnsi="Arial" w:eastAsia="宋体" w:cs="Arial"/>
          <w:color w:val="000000"/>
          <w:kern w:val="0"/>
          <w:sz w:val="18"/>
          <w:szCs w:val="18"/>
        </w:rPr>
      </w:pPr>
      <w:r>
        <w:rPr>
          <w:rFonts w:ascii="Arial" w:hAnsi="Arial" w:eastAsia="宋体" w:cs="Arial"/>
          <w:color w:val="000000"/>
          <w:kern w:val="0"/>
          <w:sz w:val="18"/>
          <w:szCs w:val="18"/>
        </w:rPr>
        <w:t>有关更多信息，请联系：</w:t>
      </w:r>
    </w:p>
    <w:p w14:paraId="57C1CCE4">
      <w:pPr>
        <w:widowControl/>
        <w:autoSpaceDE w:val="0"/>
        <w:autoSpaceDN w:val="0"/>
        <w:adjustRightInd w:val="0"/>
        <w:snapToGrid w:val="0"/>
        <w:spacing w:after="24" w:afterLines="10" w:line="300" w:lineRule="auto"/>
        <w:rPr>
          <w:rFonts w:ascii="Arial" w:hAnsi="Arial" w:eastAsia="宋体" w:cs="Arial"/>
          <w:color w:val="000000"/>
          <w:kern w:val="0"/>
          <w:sz w:val="18"/>
          <w:szCs w:val="18"/>
        </w:rPr>
      </w:pPr>
      <w:r>
        <w:rPr>
          <w:rFonts w:ascii="Arial" w:hAnsi="Arial" w:eastAsia="宋体" w:cs="Arial"/>
          <w:color w:val="000000"/>
          <w:kern w:val="0"/>
          <w:sz w:val="18"/>
          <w:szCs w:val="18"/>
        </w:rPr>
        <w:t>Marilyn L，Watson，药物局（HFD-30），食品药品监督管理局，卫生、教育和福利部。地址：5600 Fishers Lane，Rockville，MD 20857（电话：301-443-3640）。</w:t>
      </w:r>
    </w:p>
    <w:p w14:paraId="79CF2245">
      <w:pPr>
        <w:widowControl/>
        <w:autoSpaceDE w:val="0"/>
        <w:autoSpaceDN w:val="0"/>
        <w:adjustRightInd w:val="0"/>
        <w:snapToGrid w:val="0"/>
        <w:spacing w:after="24" w:afterLines="10" w:line="300" w:lineRule="auto"/>
        <w:rPr>
          <w:rFonts w:ascii="Arial" w:hAnsi="Arial" w:eastAsia="宋体" w:cs="Arial"/>
          <w:color w:val="000000"/>
          <w:kern w:val="0"/>
          <w:sz w:val="18"/>
          <w:szCs w:val="18"/>
        </w:rPr>
      </w:pPr>
      <w:r>
        <w:rPr>
          <w:rFonts w:ascii="Arial" w:hAnsi="Arial" w:eastAsia="宋体" w:cs="Arial"/>
          <w:color w:val="000000"/>
          <w:kern w:val="0"/>
          <w:sz w:val="18"/>
          <w:szCs w:val="18"/>
        </w:rPr>
        <w:t>补充信息：多年来，环氧乙烷已被用作人类药物（例如某些眼科和肠胃外药品）、动物药物（例如，小型动物用的眼用软膏和某些乳房内输液产品）、人用生物产品（例如，结核菌素试验制剂和一些疫苗的灭活剂）、包含热敏塑料组分（例如心脏起搏器、肾脏透析机和人工心肺机）的人用医疗器械以及其他器械（例如，外科缝线、眼内透镜和手术擦洗海绵）的灭菌剂。环氧乙烷也已被用作药品的各种成分以及人用药物和医疗器械的容器、容器外壳和输送系统的杀菌剂。因为一些药物、人用医疗器械和其他产品不能通过热、过滤、辐射或液体化学试剂在不会出现降解或其他损害的情况下进行灭菌，因此必须使用气体灭菌。可能的环氧乙烷替代物是甲醛或戊二醛。在这些文献中，不存在有关戊二醛长期毒性试验的文献。然而，已证明甲醛具有致突变性（参考文件.1）</w:t>
      </w:r>
    </w:p>
    <w:p w14:paraId="093DEC5A">
      <w:pPr>
        <w:widowControl/>
        <w:autoSpaceDE w:val="0"/>
        <w:autoSpaceDN w:val="0"/>
        <w:adjustRightInd w:val="0"/>
        <w:snapToGrid w:val="0"/>
        <w:spacing w:after="24" w:afterLines="10" w:line="300" w:lineRule="auto"/>
        <w:rPr>
          <w:rFonts w:ascii="Arial" w:hAnsi="Arial" w:eastAsia="宋体" w:cs="Arial"/>
          <w:color w:val="000000"/>
          <w:kern w:val="0"/>
          <w:sz w:val="18"/>
          <w:szCs w:val="18"/>
        </w:rPr>
      </w:pPr>
      <w:r>
        <w:rPr>
          <w:rFonts w:ascii="Arial" w:hAnsi="Arial" w:eastAsia="宋体" w:cs="Arial"/>
          <w:color w:val="000000"/>
          <w:kern w:val="0"/>
          <w:sz w:val="18"/>
          <w:szCs w:val="18"/>
        </w:rPr>
        <w:t>环氧乙烷是主要与亲核基团–胺类、醇类、酚类、有机和无机酸类和水反应的烷基化剂。其生物化学反应包括与嘌呤和嘧啶碱基的环氮和氨基酸和蛋白质的氨基和羧基的反应。环氧乙烷可与氯离子反应形成氯乙醇或与水反应形成乙二醇。</w:t>
      </w:r>
    </w:p>
    <w:p w14:paraId="46FED351">
      <w:pPr>
        <w:widowControl/>
        <w:autoSpaceDE w:val="0"/>
        <w:autoSpaceDN w:val="0"/>
        <w:adjustRightInd w:val="0"/>
        <w:snapToGrid w:val="0"/>
        <w:spacing w:after="24" w:afterLines="10" w:line="300" w:lineRule="auto"/>
        <w:rPr>
          <w:rFonts w:ascii="Arial" w:hAnsi="Arial" w:eastAsia="宋体" w:cs="Arial"/>
          <w:color w:val="000000"/>
          <w:kern w:val="0"/>
          <w:sz w:val="18"/>
          <w:szCs w:val="18"/>
        </w:rPr>
      </w:pPr>
      <w:r>
        <w:rPr>
          <w:rFonts w:ascii="Arial" w:hAnsi="Arial" w:eastAsia="宋体" w:cs="Arial"/>
          <w:color w:val="000000"/>
          <w:kern w:val="0"/>
          <w:sz w:val="18"/>
          <w:szCs w:val="18"/>
        </w:rPr>
        <w:t>为回答就环氧乙烷作为人用药物和医疗器械的灭菌剂的安全性和有效性而提出的问题，以及由于有关与使用环氧乙烷灭菌产品相关的严重不良反应的报道，1973年9月12日在联邦公告（38 FR 25213）中发布了一份通告，其中请求提交有关环氧乙烷及其反应产品的使用、性能和毒性的已发表和未发表的数据，或任何其他可对环氧乙烷的安全性和有效性产生影响的日期。</w:t>
      </w:r>
    </w:p>
    <w:p w14:paraId="3FF72C76">
      <w:pPr>
        <w:widowControl/>
        <w:autoSpaceDE w:val="0"/>
        <w:autoSpaceDN w:val="0"/>
        <w:adjustRightInd w:val="0"/>
        <w:snapToGrid w:val="0"/>
        <w:spacing w:after="24" w:afterLines="10" w:line="300" w:lineRule="auto"/>
        <w:rPr>
          <w:rFonts w:ascii="Arial" w:hAnsi="Arial" w:eastAsia="宋体" w:cs="Arial"/>
          <w:color w:val="000000"/>
          <w:kern w:val="0"/>
          <w:sz w:val="18"/>
          <w:szCs w:val="18"/>
        </w:rPr>
      </w:pPr>
      <w:r>
        <w:rPr>
          <w:rFonts w:ascii="Arial" w:hAnsi="Arial" w:eastAsia="宋体" w:cs="Arial"/>
          <w:color w:val="000000"/>
          <w:kern w:val="0"/>
          <w:sz w:val="18"/>
          <w:szCs w:val="18"/>
        </w:rPr>
        <w:t>内部食品药品监督管理局（FDA）环氧乙烷审查委员会评估了为响应该通告而提交的数据、新药应用和申请中包含的其他数据、医疗器械促进协会（AAMI）环氧乙烷（2-79）小组委员会提交的数据以及来自其他来源的数据。1975年5月30日，FDA委员会向食品药品专员提交了建议（参考文件.2）。FDA委员会推荐并经专员批准的措施之一是最终公布了环氧乙烷和其两种主要反应产品（氯乙醇和乙二醇）的最大残留限量。</w:t>
      </w:r>
    </w:p>
    <w:p w14:paraId="24B3963E">
      <w:pPr>
        <w:widowControl/>
        <w:autoSpaceDE w:val="0"/>
        <w:autoSpaceDN w:val="0"/>
        <w:adjustRightInd w:val="0"/>
        <w:snapToGrid w:val="0"/>
        <w:spacing w:after="24" w:afterLines="10" w:line="300" w:lineRule="auto"/>
        <w:rPr>
          <w:rFonts w:ascii="Arial" w:hAnsi="Arial" w:eastAsia="宋体" w:cs="Arial"/>
          <w:color w:val="000000"/>
          <w:kern w:val="0"/>
          <w:sz w:val="18"/>
          <w:szCs w:val="18"/>
        </w:rPr>
      </w:pPr>
      <w:r>
        <w:rPr>
          <w:rFonts w:ascii="Arial" w:hAnsi="Arial" w:eastAsia="宋体" w:cs="Arial"/>
          <w:color w:val="000000"/>
          <w:kern w:val="0"/>
          <w:sz w:val="18"/>
          <w:szCs w:val="18"/>
        </w:rPr>
        <w:t>1997年1月，卫生、教育和福利部协调毒理学及相关程序协调委员会特许建立了一个小组委员会，以向卫生署助理秘书提供环氧乙烷的收益和风险的综合分析。HEW小组委员会在1977年4月1日的报告中总结认为（参考文件.1），</w:t>
      </w:r>
      <w:r>
        <w:rPr>
          <w:rFonts w:ascii="宋体" w:hAnsi="宋体" w:eastAsia="宋体" w:cs="Arial"/>
          <w:color w:val="000000"/>
          <w:kern w:val="0"/>
          <w:sz w:val="18"/>
          <w:szCs w:val="18"/>
        </w:rPr>
        <w:t>“</w:t>
      </w:r>
      <w:r>
        <w:rPr>
          <w:rFonts w:ascii="Arial" w:hAnsi="Arial" w:eastAsia="宋体" w:cs="Arial"/>
          <w:color w:val="000000"/>
          <w:kern w:val="0"/>
          <w:sz w:val="18"/>
          <w:szCs w:val="18"/>
        </w:rPr>
        <w:t>环氧乙烷是一种极其有用的化学产品，但不幸的是，其具有致突变性质</w:t>
      </w:r>
      <w:r>
        <w:rPr>
          <w:rFonts w:ascii="宋体" w:hAnsi="宋体" w:eastAsia="宋体" w:cs="Arial"/>
          <w:color w:val="000000"/>
          <w:kern w:val="0"/>
          <w:sz w:val="18"/>
          <w:szCs w:val="18"/>
        </w:rPr>
        <w:t>”</w:t>
      </w:r>
      <w:r>
        <w:rPr>
          <w:rFonts w:ascii="Arial" w:hAnsi="Arial" w:eastAsia="宋体" w:cs="Arial"/>
          <w:color w:val="000000"/>
          <w:kern w:val="0"/>
          <w:sz w:val="18"/>
          <w:szCs w:val="18"/>
        </w:rPr>
        <w:t>。报告进一步指出，</w:t>
      </w:r>
      <w:r>
        <w:rPr>
          <w:rFonts w:ascii="宋体" w:hAnsi="宋体" w:eastAsia="宋体" w:cs="Arial"/>
          <w:color w:val="000000"/>
          <w:kern w:val="0"/>
          <w:sz w:val="18"/>
          <w:szCs w:val="18"/>
        </w:rPr>
        <w:t>“</w:t>
      </w:r>
      <w:r>
        <w:rPr>
          <w:rFonts w:ascii="Arial" w:hAnsi="Arial" w:eastAsia="宋体" w:cs="Arial"/>
          <w:color w:val="000000"/>
          <w:kern w:val="0"/>
          <w:sz w:val="18"/>
          <w:szCs w:val="18"/>
        </w:rPr>
        <w:t>尽管尚未进行足够的试验，但没有证据表明其对实验动物具有致癌性。</w:t>
      </w:r>
      <w:r>
        <w:rPr>
          <w:rFonts w:ascii="宋体" w:hAnsi="宋体" w:eastAsia="宋体" w:cs="Arial"/>
          <w:color w:val="000000"/>
          <w:kern w:val="0"/>
          <w:sz w:val="18"/>
          <w:szCs w:val="18"/>
        </w:rPr>
        <w:t>”</w:t>
      </w:r>
    </w:p>
    <w:p w14:paraId="3C3E8237">
      <w:pPr>
        <w:widowControl/>
        <w:autoSpaceDE w:val="0"/>
        <w:autoSpaceDN w:val="0"/>
        <w:adjustRightInd w:val="0"/>
        <w:snapToGrid w:val="0"/>
        <w:spacing w:after="24" w:afterLines="10" w:line="300" w:lineRule="auto"/>
        <w:rPr>
          <w:rFonts w:ascii="Arial" w:hAnsi="Arial" w:eastAsia="宋体" w:cs="Arial"/>
          <w:color w:val="000000"/>
          <w:kern w:val="0"/>
          <w:sz w:val="18"/>
          <w:szCs w:val="18"/>
        </w:rPr>
      </w:pPr>
      <w:r>
        <w:rPr>
          <w:rFonts w:ascii="Arial" w:hAnsi="Arial" w:eastAsia="宋体" w:cs="Arial"/>
          <w:color w:val="000000"/>
          <w:kern w:val="0"/>
          <w:sz w:val="18"/>
          <w:szCs w:val="18"/>
        </w:rPr>
        <w:t>环境保护署（EPA）审查了HEW小组委员会的报告和其他有关环氧乙烷及其两种主要反应产品的毒性的文献，并于1978年1月27日基于有关致突变性和生殖效应的报告在联邦公报（43 FR 3801）中发布了《有关注册和继续注册含有环氧乙烷的农药产品的可驳回推定通知》。其是EPA监管程序的第一步，并可能导致取消作为含有环氧乙烷的农药的注册。</w:t>
      </w:r>
    </w:p>
    <w:p w14:paraId="0717C7A4">
      <w:pPr>
        <w:widowControl/>
        <w:autoSpaceDE w:val="0"/>
        <w:autoSpaceDN w:val="0"/>
        <w:adjustRightInd w:val="0"/>
        <w:snapToGrid w:val="0"/>
        <w:spacing w:after="24" w:afterLines="10" w:line="300" w:lineRule="auto"/>
        <w:rPr>
          <w:rFonts w:ascii="Arial" w:hAnsi="Arial" w:eastAsia="宋体" w:cs="Arial"/>
          <w:color w:val="000000"/>
          <w:kern w:val="0"/>
          <w:sz w:val="18"/>
          <w:szCs w:val="18"/>
        </w:rPr>
      </w:pPr>
      <w:r>
        <w:rPr>
          <w:rFonts w:ascii="Arial" w:hAnsi="Arial" w:eastAsia="宋体" w:cs="Arial"/>
          <w:color w:val="000000"/>
          <w:kern w:val="0"/>
          <w:sz w:val="18"/>
          <w:szCs w:val="18"/>
        </w:rPr>
        <w:t>应将EPA的措施和该建议视为在将环氧乙烷所呈现风险降低到被视为安全的水平方面的兼顾努力。目前，FDA和EPA之间有若干谅解备忘录，根据此类谅解备忘录，两个审查机构已同意共同承担有关根据其施行的各种法规而需要进行的措施的监管责任。然而，现有备忘录不涉及与环氧乙烷相关的具体监管问题，而且关于该措施与EPA发布、有关注册的可反驳推定通知之间关系的确切细节必须等待各审查机构的最终措施。</w:t>
      </w:r>
    </w:p>
    <w:p w14:paraId="2092DF1E">
      <w:pPr>
        <w:widowControl/>
        <w:autoSpaceDE w:val="0"/>
        <w:autoSpaceDN w:val="0"/>
        <w:adjustRightInd w:val="0"/>
        <w:snapToGrid w:val="0"/>
        <w:spacing w:after="24" w:afterLines="10" w:line="300" w:lineRule="auto"/>
        <w:rPr>
          <w:rFonts w:ascii="Arial" w:hAnsi="Arial" w:eastAsia="宋体" w:cs="Arial"/>
          <w:color w:val="000000"/>
          <w:kern w:val="0"/>
          <w:sz w:val="18"/>
          <w:szCs w:val="18"/>
        </w:rPr>
      </w:pPr>
      <w:r>
        <w:rPr>
          <w:rFonts w:ascii="Arial" w:hAnsi="Arial" w:eastAsia="宋体" w:cs="Arial"/>
          <w:color w:val="000000"/>
          <w:kern w:val="0"/>
          <w:sz w:val="18"/>
          <w:szCs w:val="18"/>
        </w:rPr>
        <w:t>除在药物和器械制造过程中用作灭菌剂外（即本建议所关注的用途），环氧乙烷也作为用于控制调味粉和天然调味料中的其他微生物和昆虫骚扰的熏蒸剂列入FDA的食品添加剂法规中。未来，关于环氧乙烷的食品添加剂使用的另一建议将在联邦公报上公布。</w:t>
      </w:r>
    </w:p>
    <w:p w14:paraId="67A9DC40">
      <w:pPr>
        <w:widowControl/>
        <w:autoSpaceDE w:val="0"/>
        <w:autoSpaceDN w:val="0"/>
        <w:adjustRightInd w:val="0"/>
        <w:snapToGrid w:val="0"/>
        <w:spacing w:after="24" w:afterLines="10" w:line="300" w:lineRule="auto"/>
        <w:rPr>
          <w:rFonts w:ascii="Arial" w:hAnsi="Arial" w:eastAsia="宋体" w:cs="Arial"/>
          <w:color w:val="000000"/>
          <w:kern w:val="0"/>
          <w:sz w:val="18"/>
          <w:szCs w:val="18"/>
        </w:rPr>
      </w:pPr>
      <w:r>
        <w:rPr>
          <w:rFonts w:ascii="Arial" w:hAnsi="Arial" w:eastAsia="宋体" w:cs="Arial"/>
          <w:color w:val="000000"/>
          <w:kern w:val="0"/>
          <w:sz w:val="18"/>
          <w:szCs w:val="18"/>
        </w:rPr>
        <w:t>专员的所有信息均显示，环氧乙烷并不是一种必不可少的化妆品灭菌剂；因此，本文中没有提出允许其继续照此使用的要求。尽管如此，专员仍请求提交关于使用环氧乙烷作为化妆品灭菌剂的数据或其他信息。</w:t>
      </w:r>
    </w:p>
    <w:p w14:paraId="5A2A65A9">
      <w:pPr>
        <w:widowControl/>
        <w:jc w:val="left"/>
        <w:rPr>
          <w:rFonts w:ascii="Arial" w:hAnsi="Arial" w:eastAsia="宋体" w:cs="Arial"/>
          <w:color w:val="000000"/>
          <w:kern w:val="0"/>
          <w:sz w:val="18"/>
          <w:szCs w:val="18"/>
        </w:rPr>
        <w:sectPr>
          <w:headerReference r:id="rId3" w:type="default"/>
          <w:footerReference r:id="rId5" w:type="default"/>
          <w:headerReference r:id="rId4" w:type="even"/>
          <w:footerReference r:id="rId6" w:type="even"/>
          <w:pgSz w:w="12240" w:h="15840"/>
          <w:pgMar w:top="1134" w:right="1134" w:bottom="1134" w:left="1134" w:header="720" w:footer="720" w:gutter="0"/>
          <w:pgNumType w:start="27474"/>
          <w:cols w:space="240" w:num="3"/>
          <w:docGrid w:linePitch="326" w:charSpace="0"/>
        </w:sectPr>
      </w:pPr>
    </w:p>
    <w:p w14:paraId="3836FC79">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1AE3750B">
      <w:pPr>
        <w:widowControl/>
        <w:autoSpaceDE w:val="0"/>
        <w:autoSpaceDN w:val="0"/>
        <w:adjustRightInd w:val="0"/>
        <w:snapToGrid w:val="0"/>
        <w:spacing w:after="120" w:afterLines="50" w:line="300" w:lineRule="auto"/>
        <w:rPr>
          <w:rFonts w:ascii="Arial" w:hAnsi="Arial" w:eastAsia="宋体" w:cs="Arial"/>
          <w:color w:val="000000"/>
          <w:kern w:val="0"/>
          <w:sz w:val="18"/>
          <w:szCs w:val="18"/>
        </w:rPr>
        <w:sectPr>
          <w:type w:val="continuous"/>
          <w:pgSz w:w="12240" w:h="15840"/>
          <w:pgMar w:top="1134" w:right="1134" w:bottom="1134" w:left="1134" w:header="720" w:footer="720" w:gutter="0"/>
          <w:cols w:space="240" w:num="3"/>
          <w:docGrid w:linePitch="326" w:charSpace="0"/>
        </w:sectPr>
      </w:pPr>
    </w:p>
    <w:p w14:paraId="02AAAD78">
      <w:pPr>
        <w:widowControl/>
        <w:autoSpaceDE w:val="0"/>
        <w:autoSpaceDN w:val="0"/>
        <w:adjustRightInd w:val="0"/>
        <w:snapToGrid w:val="0"/>
        <w:spacing w:after="72" w:afterLines="30" w:line="264" w:lineRule="auto"/>
        <w:rPr>
          <w:rFonts w:ascii="Arial" w:hAnsi="Arial" w:eastAsia="宋体" w:cs="Arial"/>
          <w:color w:val="000000"/>
          <w:kern w:val="0"/>
          <w:sz w:val="18"/>
          <w:szCs w:val="18"/>
        </w:rPr>
      </w:pPr>
      <w:r>
        <w:rPr>
          <w:rFonts w:ascii="Arial" w:hAnsi="Arial" w:eastAsia="宋体" w:cs="Arial"/>
          <w:color w:val="000000"/>
          <w:kern w:val="0"/>
          <w:sz w:val="18"/>
          <w:szCs w:val="18"/>
        </w:rPr>
        <w:t>FDA对有关环氧乙烷的使用类型和频率、确定化妆品中环氧乙烷、氯乙醇和乙二醇的残留量的方法以及可能遵循将残留水平降低至目前技术限制下可获得最低浓度的程序的信息尤其感兴趣。</w:t>
      </w:r>
    </w:p>
    <w:p w14:paraId="7EDC05D3">
      <w:pPr>
        <w:pStyle w:val="8"/>
        <w:widowControl/>
        <w:numPr>
          <w:ilvl w:val="0"/>
          <w:numId w:val="1"/>
        </w:numPr>
        <w:autoSpaceDE w:val="0"/>
        <w:autoSpaceDN w:val="0"/>
        <w:adjustRightInd w:val="0"/>
        <w:snapToGrid w:val="0"/>
        <w:spacing w:after="72" w:afterLines="30" w:line="264" w:lineRule="auto"/>
        <w:ind w:firstLine="70" w:firstLineChars="0"/>
        <w:rPr>
          <w:rFonts w:ascii="Arial" w:hAnsi="Arial" w:eastAsia="宋体" w:cs="Arial"/>
          <w:color w:val="000000"/>
          <w:kern w:val="0"/>
          <w:sz w:val="18"/>
          <w:szCs w:val="18"/>
        </w:rPr>
      </w:pPr>
      <w:r>
        <w:rPr>
          <w:rFonts w:ascii="Arial" w:hAnsi="Arial" w:eastAsia="宋体" w:cs="Arial"/>
          <w:color w:val="000000"/>
          <w:kern w:val="0"/>
          <w:sz w:val="18"/>
          <w:szCs w:val="18"/>
        </w:rPr>
        <w:t>毒性评估</w:t>
      </w:r>
    </w:p>
    <w:p w14:paraId="59D85E52">
      <w:pPr>
        <w:widowControl/>
        <w:autoSpaceDE w:val="0"/>
        <w:autoSpaceDN w:val="0"/>
        <w:adjustRightInd w:val="0"/>
        <w:snapToGrid w:val="0"/>
        <w:spacing w:after="72" w:afterLines="30" w:line="264" w:lineRule="auto"/>
        <w:rPr>
          <w:rFonts w:ascii="Arial" w:hAnsi="Arial" w:eastAsia="宋体" w:cs="Arial"/>
          <w:color w:val="000000"/>
          <w:kern w:val="0"/>
          <w:sz w:val="18"/>
          <w:szCs w:val="18"/>
        </w:rPr>
      </w:pPr>
      <w:r>
        <w:rPr>
          <w:rFonts w:ascii="Arial" w:hAnsi="Arial" w:eastAsia="宋体" w:cs="Arial"/>
          <w:color w:val="000000"/>
          <w:kern w:val="0"/>
          <w:sz w:val="18"/>
          <w:szCs w:val="18"/>
        </w:rPr>
        <w:t>以下信息总结了HEW小组委员会报告中环氧乙烷、氯乙醇和乙二醇的毒性数据，以及该审查机构自HEW小组委员会提交报告以来收到的其他毒性数据。</w:t>
      </w:r>
    </w:p>
    <w:p w14:paraId="5CA75491">
      <w:pPr>
        <w:widowControl/>
        <w:autoSpaceDE w:val="0"/>
        <w:autoSpaceDN w:val="0"/>
        <w:adjustRightInd w:val="0"/>
        <w:snapToGrid w:val="0"/>
        <w:spacing w:after="72" w:afterLines="30" w:line="264" w:lineRule="auto"/>
        <w:jc w:val="center"/>
        <w:rPr>
          <w:rFonts w:ascii="Arial" w:hAnsi="Arial" w:eastAsia="宋体" w:cs="Arial"/>
          <w:color w:val="000000"/>
          <w:kern w:val="0"/>
          <w:sz w:val="18"/>
          <w:szCs w:val="18"/>
        </w:rPr>
      </w:pPr>
      <w:r>
        <w:rPr>
          <w:rFonts w:ascii="Arial" w:hAnsi="Arial" w:eastAsia="宋体" w:cs="Arial"/>
          <w:color w:val="000000"/>
          <w:kern w:val="0"/>
          <w:sz w:val="18"/>
          <w:szCs w:val="18"/>
        </w:rPr>
        <w:t>环氧乙烷</w:t>
      </w:r>
    </w:p>
    <w:p w14:paraId="1A642448">
      <w:pPr>
        <w:pStyle w:val="8"/>
        <w:widowControl/>
        <w:numPr>
          <w:ilvl w:val="0"/>
          <w:numId w:val="2"/>
        </w:numPr>
        <w:autoSpaceDE w:val="0"/>
        <w:autoSpaceDN w:val="0"/>
        <w:adjustRightInd w:val="0"/>
        <w:snapToGrid w:val="0"/>
        <w:spacing w:after="72" w:afterLines="30" w:line="264" w:lineRule="auto"/>
        <w:ind w:firstLineChars="0"/>
        <w:rPr>
          <w:rFonts w:ascii="Arial" w:hAnsi="Arial" w:eastAsia="宋体" w:cs="Arial"/>
          <w:i/>
          <w:color w:val="000000"/>
          <w:kern w:val="0"/>
          <w:sz w:val="18"/>
          <w:szCs w:val="18"/>
        </w:rPr>
      </w:pPr>
      <w:r>
        <w:rPr>
          <w:rFonts w:ascii="Arial" w:hAnsi="Arial" w:eastAsia="宋体" w:cs="Arial"/>
          <w:i/>
          <w:color w:val="000000"/>
          <w:kern w:val="0"/>
          <w:sz w:val="18"/>
          <w:szCs w:val="18"/>
        </w:rPr>
        <w:t>人类急性毒性</w:t>
      </w:r>
    </w:p>
    <w:p w14:paraId="0ED09D53">
      <w:pPr>
        <w:widowControl/>
        <w:autoSpaceDE w:val="0"/>
        <w:autoSpaceDN w:val="0"/>
        <w:adjustRightInd w:val="0"/>
        <w:snapToGrid w:val="0"/>
        <w:spacing w:after="72" w:afterLines="30" w:line="264" w:lineRule="auto"/>
        <w:rPr>
          <w:rFonts w:ascii="Arial" w:hAnsi="Arial" w:eastAsia="宋体" w:cs="Arial"/>
          <w:color w:val="000000"/>
          <w:kern w:val="0"/>
          <w:sz w:val="18"/>
          <w:szCs w:val="18"/>
        </w:rPr>
      </w:pPr>
      <w:r>
        <w:rPr>
          <w:rFonts w:ascii="Arial" w:hAnsi="Arial" w:eastAsia="宋体" w:cs="Arial"/>
          <w:color w:val="000000"/>
          <w:kern w:val="0"/>
          <w:sz w:val="18"/>
          <w:szCs w:val="18"/>
        </w:rPr>
        <w:t>环氧乙烷是眼睛和呼吸道刺激剂和皮肤糜烂剂（起泡剂）。人类意外暴露于高浓度的该化合物时，会有恶心、头晕和精神障碍迹象（参考文献.1）。</w:t>
      </w:r>
    </w:p>
    <w:p w14:paraId="77E20602">
      <w:pPr>
        <w:pStyle w:val="8"/>
        <w:widowControl/>
        <w:numPr>
          <w:ilvl w:val="0"/>
          <w:numId w:val="2"/>
        </w:numPr>
        <w:autoSpaceDE w:val="0"/>
        <w:autoSpaceDN w:val="0"/>
        <w:adjustRightInd w:val="0"/>
        <w:snapToGrid w:val="0"/>
        <w:spacing w:after="72" w:afterLines="30" w:line="264" w:lineRule="auto"/>
        <w:ind w:firstLineChars="0"/>
        <w:rPr>
          <w:rFonts w:ascii="Arial" w:hAnsi="Arial" w:eastAsia="宋体" w:cs="Arial"/>
          <w:i/>
          <w:color w:val="000000"/>
          <w:kern w:val="0"/>
          <w:sz w:val="18"/>
          <w:szCs w:val="18"/>
        </w:rPr>
      </w:pPr>
      <w:r>
        <w:rPr>
          <w:rFonts w:ascii="Arial" w:hAnsi="Arial" w:eastAsia="宋体" w:cs="Arial"/>
          <w:i/>
          <w:color w:val="000000"/>
          <w:kern w:val="0"/>
          <w:sz w:val="18"/>
          <w:szCs w:val="18"/>
        </w:rPr>
        <w:t>动物急性毒性</w:t>
      </w:r>
    </w:p>
    <w:p w14:paraId="754C41EC">
      <w:pPr>
        <w:pStyle w:val="8"/>
        <w:widowControl/>
        <w:numPr>
          <w:ilvl w:val="0"/>
          <w:numId w:val="3"/>
        </w:numPr>
        <w:autoSpaceDE w:val="0"/>
        <w:autoSpaceDN w:val="0"/>
        <w:adjustRightInd w:val="0"/>
        <w:snapToGrid w:val="0"/>
        <w:spacing w:after="72" w:afterLines="30" w:line="264"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口服给药和肠胃外给药的致死剂量-Bruch（参考文献.3）概述了因口服和肠胃外暴露（Woodard和Woodard进行的研究，参考文献.4）而产生的环氧乙烷LD（以水溶液的方式注射到大鼠、小鼠和家兔体内）。剂量介于大鼠皮下途径的127毫克/千克（mg /kg）与家兔口服途径的631mg /kg之间。在大多数情况下，死亡发生在24小时内。药理作用的迹象包括失眠性呕吐、呼吸困难和偶尔强直性惊厥。</w:t>
      </w:r>
    </w:p>
    <w:p w14:paraId="14140F2E">
      <w:pPr>
        <w:pStyle w:val="8"/>
        <w:widowControl/>
        <w:numPr>
          <w:ilvl w:val="0"/>
          <w:numId w:val="3"/>
        </w:numPr>
        <w:autoSpaceDE w:val="0"/>
        <w:autoSpaceDN w:val="0"/>
        <w:adjustRightInd w:val="0"/>
        <w:snapToGrid w:val="0"/>
        <w:spacing w:after="72" w:afterLines="30" w:line="264"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对眼睛和组织的刺激–在一项设计用于确定环氧乙烷（水溶液）的急性眼睛和组织刺激性质的研究中，Woodard和Woodard（参考文献.4）报道称，如果溶液浓度介于豚鼠皮下注射的0.1%（总剂量5mg）与家兔眼睛滴注的2.1%（总剂量2mg）之间，则不会产生任何效应。</w:t>
      </w:r>
    </w:p>
    <w:p w14:paraId="6EF8AD8A">
      <w:pPr>
        <w:widowControl/>
        <w:autoSpaceDE w:val="0"/>
        <w:autoSpaceDN w:val="0"/>
        <w:adjustRightInd w:val="0"/>
        <w:snapToGrid w:val="0"/>
        <w:spacing w:after="72" w:afterLines="30" w:line="264" w:lineRule="auto"/>
        <w:rPr>
          <w:rFonts w:ascii="Arial" w:hAnsi="Arial" w:eastAsia="宋体" w:cs="Arial"/>
          <w:color w:val="000000"/>
          <w:kern w:val="0"/>
          <w:sz w:val="18"/>
          <w:szCs w:val="18"/>
        </w:rPr>
      </w:pPr>
      <w:r>
        <w:rPr>
          <w:rFonts w:ascii="Arial" w:hAnsi="Arial" w:eastAsia="宋体" w:cs="Arial"/>
          <w:color w:val="000000"/>
          <w:kern w:val="0"/>
          <w:sz w:val="18"/>
          <w:szCs w:val="18"/>
        </w:rPr>
        <w:t>在McDonald等人的一项研究中（参考文献.6），研究了家兔中环氧乙烷（平衡盐溶液）的急性眼睛刺激性质。研究表明，在进行6小时的急性局部眼部滴注后，眼睛组织中环氧乙烷的最大非破坏性浓度（不会对眼睛产生治疗相关损害的最高浓度）介于结膜中的0.1%与晶状体和视网膜的20%以上之间。在单次前房注射后，环氧乙烷的最大非破坏性浓度介于前房、虹膜和晶状体的0.1%与角膜和结膜的1%之间。</w:t>
      </w:r>
    </w:p>
    <w:p w14:paraId="1A0EAA9A">
      <w:pPr>
        <w:pStyle w:val="8"/>
        <w:widowControl/>
        <w:numPr>
          <w:ilvl w:val="0"/>
          <w:numId w:val="3"/>
        </w:numPr>
        <w:autoSpaceDE w:val="0"/>
        <w:autoSpaceDN w:val="0"/>
        <w:adjustRightInd w:val="0"/>
        <w:snapToGrid w:val="0"/>
        <w:spacing w:after="72" w:afterLines="30" w:line="264"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吸入—Hine和Rowe（参考文献.8）汇编了来自Jacobson等人（参考文献.9）、ollingsworth等人（参考文献.10）、Waite等人（参考文献.11）以及Flury和Zernik（参考文献.12）研究的吸入暴露数据。数据按物种、浓度和豚鼠、</w:t>
      </w:r>
      <w:r>
        <w:rPr>
          <w:rFonts w:hint="eastAsia" w:ascii="Arial" w:hAnsi="Arial" w:eastAsia="宋体" w:cs="Arial"/>
          <w:color w:val="000000"/>
          <w:kern w:val="0"/>
          <w:sz w:val="18"/>
          <w:szCs w:val="18"/>
        </w:rPr>
        <w:t>家猪</w:t>
      </w:r>
      <w:r>
        <w:rPr>
          <w:rFonts w:ascii="Arial" w:hAnsi="Arial" w:eastAsia="宋体" w:cs="Arial"/>
          <w:color w:val="000000"/>
          <w:kern w:val="0"/>
          <w:sz w:val="18"/>
          <w:szCs w:val="18"/>
        </w:rPr>
        <w:t>、猫、</w:t>
      </w:r>
      <w:r>
        <w:rPr>
          <w:rFonts w:hint="eastAsia" w:ascii="Arial" w:hAnsi="Arial" w:eastAsia="宋体" w:cs="Arial"/>
          <w:color w:val="000000"/>
          <w:kern w:val="0"/>
          <w:sz w:val="18"/>
          <w:szCs w:val="18"/>
        </w:rPr>
        <w:t>家犬</w:t>
      </w:r>
      <w:r>
        <w:rPr>
          <w:rFonts w:ascii="Arial" w:hAnsi="Arial" w:eastAsia="宋体" w:cs="Arial"/>
          <w:color w:val="000000"/>
          <w:kern w:val="0"/>
          <w:sz w:val="18"/>
          <w:szCs w:val="18"/>
        </w:rPr>
        <w:t>和家兔的暴露持续时间说明了可变致死反应。一般而言，对于这些动物，当环氧乙烷暴露水平为250至280ppm时，没有出现死亡的报告。</w:t>
      </w:r>
    </w:p>
    <w:p w14:paraId="7877A545">
      <w:pPr>
        <w:pStyle w:val="8"/>
        <w:widowControl/>
        <w:numPr>
          <w:ilvl w:val="0"/>
          <w:numId w:val="2"/>
        </w:numPr>
        <w:autoSpaceDE w:val="0"/>
        <w:autoSpaceDN w:val="0"/>
        <w:adjustRightInd w:val="0"/>
        <w:snapToGrid w:val="0"/>
        <w:spacing w:after="72" w:afterLines="30" w:line="264" w:lineRule="auto"/>
        <w:ind w:firstLineChars="0"/>
        <w:rPr>
          <w:rFonts w:ascii="Arial" w:hAnsi="Arial" w:eastAsia="宋体" w:cs="Arial"/>
          <w:i/>
          <w:color w:val="000000"/>
          <w:kern w:val="0"/>
          <w:sz w:val="18"/>
          <w:szCs w:val="18"/>
        </w:rPr>
      </w:pPr>
      <w:r>
        <w:rPr>
          <w:rFonts w:ascii="Arial" w:hAnsi="Arial" w:eastAsia="宋体" w:cs="Arial"/>
          <w:i/>
          <w:color w:val="000000"/>
          <w:kern w:val="0"/>
          <w:sz w:val="18"/>
          <w:szCs w:val="18"/>
        </w:rPr>
        <w:t>动物亚慢性毒性（重复施用剂量1年以内）</w:t>
      </w:r>
    </w:p>
    <w:p w14:paraId="53014F99">
      <w:pPr>
        <w:pStyle w:val="8"/>
        <w:widowControl/>
        <w:numPr>
          <w:ilvl w:val="0"/>
          <w:numId w:val="4"/>
        </w:numPr>
        <w:autoSpaceDE w:val="0"/>
        <w:autoSpaceDN w:val="0"/>
        <w:adjustRightInd w:val="0"/>
        <w:snapToGrid w:val="0"/>
        <w:spacing w:after="72" w:afterLines="30" w:line="264"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口服给药和肠胃外给药—每周通过管饲法以口服形式向大鼠施用环氧乙烷五次（参考文献.10）。在高剂量水平（100mg /kg，21天共施用15剂量）下，发现体重显著降低、胃刺激和轻微肝损伤。每天重复施用30mg /kg的口服剂量，每周5天，持续30天，并未在大鼠中产生毒性作用。</w:t>
      </w:r>
    </w:p>
    <w:p w14:paraId="1F4E84F8">
      <w:pPr>
        <w:widowControl/>
        <w:autoSpaceDE w:val="0"/>
        <w:autoSpaceDN w:val="0"/>
        <w:adjustRightInd w:val="0"/>
        <w:snapToGrid w:val="0"/>
        <w:spacing w:after="72" w:afterLines="30" w:line="264" w:lineRule="auto"/>
        <w:rPr>
          <w:rFonts w:ascii="Arial" w:hAnsi="Arial" w:eastAsia="宋体" w:cs="Arial"/>
          <w:color w:val="000000"/>
          <w:kern w:val="0"/>
          <w:sz w:val="18"/>
          <w:szCs w:val="18"/>
        </w:rPr>
      </w:pPr>
      <w:r>
        <w:rPr>
          <w:rFonts w:ascii="Arial" w:hAnsi="Arial" w:eastAsia="宋体" w:cs="Arial"/>
          <w:color w:val="000000"/>
          <w:kern w:val="0"/>
          <w:sz w:val="18"/>
          <w:szCs w:val="18"/>
        </w:rPr>
        <w:t>在另一项研究（参考文献.4）中，每天通过皮下注射以3剂量水平（6，18和54mg /kg）向大鼠和犬施用环氧乙烷，持续30天。在对犬进行的研究中，由于严重的药物和毒理作用，第7天的高剂量水平降至36mg /kg，并且在该研究的剩余部分继续施用该剂量。大鼠的无效应水平为18 mg /kg。犬的无效应水平尚未确定；然而，所施用的最低剂量为6mg /kg。所有大鼠在研究期间存活，但在注射部位出现炎症和偶发性出血和坏死。接受高剂量水平的雄性大鼠平均体重为对照组大鼠的92%。</w:t>
      </w:r>
    </w:p>
    <w:p w14:paraId="4CB04FDF">
      <w:pPr>
        <w:widowControl/>
        <w:autoSpaceDE w:val="0"/>
        <w:autoSpaceDN w:val="0"/>
        <w:adjustRightInd w:val="0"/>
        <w:snapToGrid w:val="0"/>
        <w:spacing w:after="72" w:afterLines="30" w:line="264" w:lineRule="auto"/>
        <w:rPr>
          <w:rFonts w:ascii="Arial" w:hAnsi="Arial" w:eastAsia="宋体" w:cs="Arial"/>
          <w:color w:val="000000"/>
          <w:kern w:val="0"/>
          <w:sz w:val="18"/>
          <w:szCs w:val="18"/>
        </w:rPr>
      </w:pPr>
      <w:r>
        <w:rPr>
          <w:rFonts w:ascii="Arial" w:hAnsi="Arial" w:eastAsia="宋体" w:cs="Arial"/>
          <w:color w:val="000000"/>
          <w:kern w:val="0"/>
          <w:sz w:val="18"/>
          <w:szCs w:val="18"/>
        </w:rPr>
        <w:t>接受高水平剂量54（36）mg /kg的犬表明具有广泛性，且有时具有坏死性的炎症变化，而接受低水平剂量（18mg /kg和6mg /kg）的犬显示出明显的局部炎症变化。该研究还表明，在高水平剂量（54（36））mg /kg）时死亡率增加，并且在所有剂量水平下血红蛋白和血细胞比容值降低。据报道，严重程度与剂量相关的血肿变化可归因于注射部位的局部组织损伤。研究者发现，施用每个剂量时可观察到肝脏变化（如肝脏重量增加），且在每只犬中施用高水平剂量（54（36））mg /kg时可观察到胆汁郁积，但在四只犬的一只中，施用中等剂量（18 -mg/kg）即可观察到胆汁郁积。在四只犬的两只中，可在所有剂量水平下观察到异位造血增加。所观察到的其他药理作用是肌肉高渗性、体温降低、呕吐（54mg /k g剂量）和共济失调、措施缓慢、震颤、皮肤弹性丧失、流泪和结膜充血（36 mg /kg剂量）。</w:t>
      </w:r>
    </w:p>
    <w:p w14:paraId="4364FF13">
      <w:pPr>
        <w:pStyle w:val="8"/>
        <w:widowControl/>
        <w:numPr>
          <w:ilvl w:val="0"/>
          <w:numId w:val="4"/>
        </w:numPr>
        <w:autoSpaceDE w:val="0"/>
        <w:autoSpaceDN w:val="0"/>
        <w:adjustRightInd w:val="0"/>
        <w:snapToGrid w:val="0"/>
        <w:spacing w:after="72" w:afterLines="30" w:line="264"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吸入-Hollingsworth等人（参考文献.10）和Jacobson等人 （参考文献.9）进行了许多研究，其中使各种动物物种（大鼠、家兔、猴子、小鼠、豚鼠）反复暴露于环氧乙烷蒸汽（浓度范围为100至841ppm）。这些研究的结果由Hine和Rowe（参考文献.8）总结。病理学结果包括生长抑制、贫血、神经系统功能障碍（包括后麻痹和短暂性截瘫）、严重的肺损伤、以及睾丸小管变性（在豚鼠中）。</w:t>
      </w:r>
    </w:p>
    <w:p w14:paraId="2984E700">
      <w:pPr>
        <w:pStyle w:val="8"/>
        <w:widowControl/>
        <w:numPr>
          <w:ilvl w:val="0"/>
          <w:numId w:val="2"/>
        </w:numPr>
        <w:autoSpaceDE w:val="0"/>
        <w:autoSpaceDN w:val="0"/>
        <w:adjustRightInd w:val="0"/>
        <w:snapToGrid w:val="0"/>
        <w:spacing w:after="72" w:afterLines="30" w:line="264" w:lineRule="auto"/>
        <w:ind w:firstLineChars="0"/>
        <w:rPr>
          <w:rFonts w:ascii="Arial" w:hAnsi="Arial" w:eastAsia="宋体" w:cs="Arial"/>
          <w:i/>
          <w:color w:val="000000"/>
          <w:kern w:val="0"/>
          <w:sz w:val="18"/>
          <w:szCs w:val="18"/>
        </w:rPr>
      </w:pPr>
      <w:r>
        <w:rPr>
          <w:rFonts w:ascii="Arial" w:hAnsi="Arial" w:eastAsia="宋体" w:cs="Arial"/>
          <w:i/>
          <w:color w:val="000000"/>
          <w:kern w:val="0"/>
          <w:sz w:val="18"/>
          <w:szCs w:val="18"/>
        </w:rPr>
        <w:t>溶血效应。</w:t>
      </w:r>
    </w:p>
    <w:p w14:paraId="64EAB0EF">
      <w:pPr>
        <w:widowControl/>
        <w:autoSpaceDE w:val="0"/>
        <w:autoSpaceDN w:val="0"/>
        <w:adjustRightInd w:val="0"/>
        <w:snapToGrid w:val="0"/>
        <w:spacing w:after="72" w:afterLines="30" w:line="264" w:lineRule="auto"/>
        <w:rPr>
          <w:rFonts w:ascii="Arial" w:hAnsi="Arial" w:eastAsia="宋体" w:cs="Arial"/>
          <w:color w:val="000000"/>
          <w:kern w:val="0"/>
          <w:sz w:val="18"/>
          <w:szCs w:val="18"/>
        </w:rPr>
      </w:pPr>
      <w:r>
        <w:rPr>
          <w:rFonts w:ascii="Arial" w:hAnsi="Arial" w:eastAsia="宋体" w:cs="Arial"/>
          <w:color w:val="000000"/>
          <w:kern w:val="0"/>
          <w:sz w:val="18"/>
          <w:szCs w:val="18"/>
        </w:rPr>
        <w:t>据报道，溶血反应与用于血液灌注的环氧乙烷灭菌器械以及用于在患者中静脉内给药的器械相关（参考文献.85-87）。报道称，严重程度与剂量相关的贫血症（参考文献.4）在接受皮下注射的犬（6至36mg /kg盐水溶液环氧乙烷，持续30天）中进一步恶化。然而，由FDA进行的后续研究无法确认有关贫血的发现。在这项FDA研究中，每天通过静脉注射给三只比格犬施用环氧乙烷葡萄糖溶液，持续3周。每隔一段时间，剂量从3 m/kg增加到60 m/kg。三个对照接受溶媒。没有发现有贫血迹象（Balazs，参考文献.13）。</w:t>
      </w:r>
    </w:p>
    <w:p w14:paraId="6565BB22">
      <w:pPr>
        <w:pStyle w:val="8"/>
        <w:widowControl/>
        <w:numPr>
          <w:ilvl w:val="0"/>
          <w:numId w:val="2"/>
        </w:numPr>
        <w:autoSpaceDE w:val="0"/>
        <w:autoSpaceDN w:val="0"/>
        <w:adjustRightInd w:val="0"/>
        <w:snapToGrid w:val="0"/>
        <w:spacing w:after="72" w:afterLines="30" w:line="264" w:lineRule="auto"/>
        <w:ind w:firstLineChars="0"/>
        <w:rPr>
          <w:rFonts w:ascii="Arial" w:hAnsi="Arial" w:eastAsia="宋体" w:cs="Arial"/>
          <w:i/>
          <w:color w:val="000000"/>
          <w:kern w:val="0"/>
          <w:sz w:val="18"/>
          <w:szCs w:val="18"/>
        </w:rPr>
      </w:pPr>
      <w:r>
        <w:rPr>
          <w:rFonts w:ascii="Arial" w:hAnsi="Arial" w:eastAsia="宋体" w:cs="Arial"/>
          <w:i/>
          <w:color w:val="000000"/>
          <w:kern w:val="0"/>
          <w:sz w:val="18"/>
          <w:szCs w:val="18"/>
        </w:rPr>
        <w:t>过敏反应</w:t>
      </w:r>
    </w:p>
    <w:p w14:paraId="107FEF19">
      <w:pPr>
        <w:widowControl/>
        <w:autoSpaceDE w:val="0"/>
        <w:autoSpaceDN w:val="0"/>
        <w:adjustRightInd w:val="0"/>
        <w:snapToGrid w:val="0"/>
        <w:spacing w:after="72" w:afterLines="30" w:line="264" w:lineRule="auto"/>
        <w:rPr>
          <w:rFonts w:ascii="Arial" w:hAnsi="Arial" w:eastAsia="宋体" w:cs="Arial"/>
          <w:color w:val="000000"/>
          <w:kern w:val="0"/>
          <w:sz w:val="18"/>
          <w:szCs w:val="18"/>
        </w:rPr>
      </w:pPr>
      <w:r>
        <w:rPr>
          <w:rFonts w:ascii="Arial" w:hAnsi="Arial" w:eastAsia="宋体" w:cs="Arial"/>
          <w:color w:val="000000"/>
          <w:kern w:val="0"/>
          <w:sz w:val="18"/>
          <w:szCs w:val="18"/>
        </w:rPr>
        <w:t>报道称，用环氧乙烷溶液浸泡的工人（Sexton和Henson，参考文献.14）和暴露于未正确脱气外科敷料的患者（Hanifin，参考文献.15）中存在敏化过敏型反应。在豚鼠的闭斑试验中环氧乙烷（1%溶液）不是接触致敏剂，0.1%的环氧乙烷溶液也不会通过该物种的皮肤注射法产生致敏（Woodard和Woodard，参考文献.4）。</w:t>
      </w:r>
    </w:p>
    <w:p w14:paraId="5998EDC5">
      <w:pPr>
        <w:widowControl/>
        <w:autoSpaceDE w:val="0"/>
        <w:autoSpaceDN w:val="0"/>
        <w:adjustRightInd w:val="0"/>
        <w:snapToGrid w:val="0"/>
        <w:spacing w:after="72" w:afterLines="30" w:line="264" w:lineRule="auto"/>
        <w:rPr>
          <w:rFonts w:ascii="Arial" w:hAnsi="Arial" w:eastAsia="宋体" w:cs="Arial"/>
          <w:color w:val="000000"/>
          <w:kern w:val="0"/>
          <w:sz w:val="18"/>
          <w:szCs w:val="18"/>
        </w:rPr>
      </w:pPr>
      <w:r>
        <w:rPr>
          <w:rFonts w:ascii="Arial" w:hAnsi="Arial" w:eastAsia="宋体" w:cs="Arial"/>
          <w:color w:val="000000"/>
          <w:kern w:val="0"/>
          <w:sz w:val="18"/>
          <w:szCs w:val="18"/>
        </w:rPr>
        <w:t>在有关由AAMI环氧乙烷（Z-79）小组委员会申办、由Shupak进行的近期皮肤刺激性研究的报告（参考文献.78）中，在人类受试者中观察到因对聚氯乙烯嵌段和膜和凡士林中环氧乙烷的反应而产生延迟致敏。该发现支持关于肾透析设备灭菌中使用的环氧乙烷气体反应产品可产生的早期过敏反应报告（Poothullil等，参考文献.16）。</w:t>
      </w:r>
    </w:p>
    <w:p w14:paraId="678E4E17">
      <w:pPr>
        <w:widowControl/>
        <w:autoSpaceDE w:val="0"/>
        <w:autoSpaceDN w:val="0"/>
        <w:adjustRightInd w:val="0"/>
        <w:snapToGrid w:val="0"/>
        <w:spacing w:after="72" w:afterLines="30" w:line="264" w:lineRule="auto"/>
        <w:rPr>
          <w:rFonts w:ascii="Arial" w:hAnsi="Arial" w:eastAsia="宋体" w:cs="Arial"/>
          <w:color w:val="000000"/>
          <w:kern w:val="0"/>
          <w:sz w:val="18"/>
          <w:szCs w:val="18"/>
        </w:rPr>
        <w:sectPr>
          <w:type w:val="continuous"/>
          <w:pgSz w:w="12240" w:h="15840"/>
          <w:pgMar w:top="1134" w:right="1134" w:bottom="1134" w:left="1134" w:header="720" w:footer="720" w:gutter="0"/>
          <w:cols w:space="240" w:num="3"/>
          <w:docGrid w:linePitch="326" w:charSpace="0"/>
        </w:sectPr>
      </w:pPr>
    </w:p>
    <w:p w14:paraId="5AE68A76">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p>
    <w:p w14:paraId="13159EF8">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212D24A5">
      <w:pPr>
        <w:widowControl/>
        <w:autoSpaceDE w:val="0"/>
        <w:autoSpaceDN w:val="0"/>
        <w:adjustRightInd w:val="0"/>
        <w:snapToGrid w:val="0"/>
        <w:spacing w:after="120" w:afterLines="50" w:line="300" w:lineRule="auto"/>
        <w:rPr>
          <w:rFonts w:ascii="Arial" w:hAnsi="Arial" w:eastAsia="宋体" w:cs="Arial"/>
          <w:color w:val="000000"/>
          <w:kern w:val="0"/>
          <w:sz w:val="18"/>
          <w:szCs w:val="18"/>
        </w:rPr>
        <w:sectPr>
          <w:type w:val="continuous"/>
          <w:pgSz w:w="12240" w:h="15840"/>
          <w:pgMar w:top="1134" w:right="1134" w:bottom="1134" w:left="1134" w:header="720" w:footer="720" w:gutter="0"/>
          <w:cols w:space="240" w:num="3"/>
          <w:docGrid w:linePitch="326" w:charSpace="0"/>
        </w:sectPr>
      </w:pPr>
    </w:p>
    <w:p w14:paraId="595AC049">
      <w:pPr>
        <w:pStyle w:val="8"/>
        <w:widowControl/>
        <w:numPr>
          <w:ilvl w:val="0"/>
          <w:numId w:val="2"/>
        </w:numPr>
        <w:autoSpaceDE w:val="0"/>
        <w:autoSpaceDN w:val="0"/>
        <w:adjustRightInd w:val="0"/>
        <w:snapToGrid w:val="0"/>
        <w:spacing w:after="72" w:afterLines="30" w:line="252" w:lineRule="auto"/>
        <w:ind w:firstLineChars="0"/>
        <w:rPr>
          <w:rFonts w:ascii="Arial" w:hAnsi="Arial" w:eastAsia="宋体" w:cs="Arial"/>
          <w:i/>
          <w:color w:val="000000"/>
          <w:kern w:val="0"/>
          <w:sz w:val="18"/>
          <w:szCs w:val="18"/>
        </w:rPr>
      </w:pPr>
      <w:r>
        <w:rPr>
          <w:rFonts w:ascii="Arial" w:hAnsi="Arial" w:eastAsia="宋体" w:cs="Arial"/>
          <w:i/>
          <w:color w:val="000000"/>
          <w:kern w:val="0"/>
          <w:sz w:val="18"/>
          <w:szCs w:val="18"/>
        </w:rPr>
        <w:t>致突变性</w:t>
      </w:r>
    </w:p>
    <w:p w14:paraId="2F621E1F">
      <w:pPr>
        <w:widowControl/>
        <w:snapToGrid w:val="0"/>
        <w:spacing w:after="72" w:afterLines="30" w:line="252" w:lineRule="auto"/>
        <w:rPr>
          <w:rFonts w:ascii="Arial" w:hAnsi="Arial" w:eastAsia="宋体" w:cs="Arial"/>
          <w:color w:val="313131"/>
          <w:kern w:val="0"/>
          <w:sz w:val="18"/>
          <w:szCs w:val="18"/>
        </w:rPr>
      </w:pPr>
      <w:r>
        <w:rPr>
          <w:rFonts w:ascii="Arial" w:hAnsi="Arial" w:eastAsia="宋体" w:cs="Arial"/>
          <w:color w:val="000000"/>
          <w:kern w:val="0"/>
          <w:sz w:val="18"/>
          <w:szCs w:val="18"/>
        </w:rPr>
        <w:t>来自各种原核（细菌）和真核（动物和高等植物）系统的证据表明环氧乙烷可引起基因突变。试验生物包括黑腹果蝇 （Rapoport。参考文献.I7；Bird。参考文献.18；Nakao与 Auerbach。参考文献.19），粗糙脉孢菌（Kolmark和Kilbey，参考文献.20），大麦（Ehrenberg和Gustafsson，参考文献.21；Sulowka等人，参考文献.22），曲霉菌（Morpurgo，参考文献.23）和鼠伤寒沙门氏菌（Rannug，参考文献.79）。Embree和Hine（参考文献.24）和Rannug等人的研究（参考文献.79）表明环氧乙烷可以诱导碱基对置换（一种基因突变）。这与单官能烷基化剂的作用一致。此外，已证明环氧乙烷可在玉米（Faberge，参考文献.25），大麦（Moutschen-Dahmen等人，参考文献.26），蚕豆（Loveless，参考文献.27），</w:t>
      </w:r>
      <w:r>
        <w:rPr>
          <w:rFonts w:hint="eastAsia" w:ascii="Arial" w:hAnsi="Arial" w:eastAsia="宋体" w:cs="Arial"/>
          <w:color w:val="000000"/>
          <w:kern w:val="0"/>
          <w:sz w:val="18"/>
          <w:szCs w:val="18"/>
        </w:rPr>
        <w:t>水竹草</w:t>
      </w:r>
      <w:r>
        <w:rPr>
          <w:rFonts w:ascii="Arial" w:hAnsi="Arial" w:eastAsia="宋体" w:cs="Arial"/>
          <w:color w:val="000000"/>
          <w:kern w:val="0"/>
          <w:sz w:val="18"/>
          <w:szCs w:val="18"/>
        </w:rPr>
        <w:t>（Smith和Lotfy，参考文献.28），果蝇（Nakao和Auerbach参考文献.19）和大鼠（Strekalova，参考文献.29，Embree和Hine，参考文献.24）中诱导染色体畸变。</w:t>
      </w:r>
    </w:p>
    <w:p w14:paraId="53EA643A">
      <w:pPr>
        <w:widowControl/>
        <w:autoSpaceDE w:val="0"/>
        <w:autoSpaceDN w:val="0"/>
        <w:adjustRightInd w:val="0"/>
        <w:snapToGrid w:val="0"/>
        <w:spacing w:after="72" w:afterLines="30" w:line="252" w:lineRule="auto"/>
        <w:rPr>
          <w:rFonts w:ascii="Arial" w:hAnsi="Arial" w:eastAsia="宋体" w:cs="Arial"/>
          <w:color w:val="000000"/>
          <w:kern w:val="0"/>
          <w:sz w:val="18"/>
          <w:szCs w:val="18"/>
        </w:rPr>
      </w:pPr>
      <w:r>
        <w:rPr>
          <w:rFonts w:ascii="Arial" w:hAnsi="Arial" w:eastAsia="宋体" w:cs="Arial"/>
          <w:color w:val="000000"/>
          <w:kern w:val="0"/>
          <w:sz w:val="18"/>
          <w:szCs w:val="18"/>
        </w:rPr>
        <w:t>Embree（博士毕业论文，参考文献.30）在大鼠中使用了三种不同的致突变性测定。在对来自在空气中暴露于250ppm环氧乙烷7小时/天，持续暴露3天的大鼠的骨髓样本进行的直接细胞遗传学测定中，染色体畸变的频率从.05（对照）增加到.84（治疗）。在用在空气中暴露于1000ppm环氧乙烷4小时的雄性大鼠进行的大鼠显性致死测定中，在暴露后的第1、2、3和5周发现植入后损失增加，从而表明减数分裂和减数分裂后的精子细胞中出现遗传损伤。在第三项试验中，设计微核试验，以测量多色红细胞中微核外观，大鼠以五只为一组，使其分别在空气中暴露于剂量为10、25、50、250和1000 ppm的环氧乙烷4小时。使用高达50 ppm的剂量（只有50 ppm及以上在统计上高于对照）时，可观察到微核出现线性增加。250ppm的影响仅略高于50ppm，但是，1000ppm的影响比250ppm高三倍以上。虽然微核试验是对染色体损伤的间接试验，但研究（参考文献.76和77）已经表明其与某些直接方法相关。</w:t>
      </w:r>
    </w:p>
    <w:p w14:paraId="4D6D8A0A">
      <w:pPr>
        <w:widowControl/>
        <w:autoSpaceDE w:val="0"/>
        <w:autoSpaceDN w:val="0"/>
        <w:adjustRightInd w:val="0"/>
        <w:snapToGrid w:val="0"/>
        <w:spacing w:after="72" w:afterLines="30" w:line="252" w:lineRule="auto"/>
        <w:rPr>
          <w:rFonts w:ascii="Arial" w:hAnsi="Arial" w:eastAsia="宋体" w:cs="Arial"/>
          <w:color w:val="000000"/>
          <w:kern w:val="0"/>
          <w:sz w:val="18"/>
          <w:szCs w:val="18"/>
        </w:rPr>
      </w:pPr>
      <w:r>
        <w:rPr>
          <w:rFonts w:ascii="Arial" w:hAnsi="Arial" w:eastAsia="宋体" w:cs="Arial"/>
          <w:color w:val="000000"/>
          <w:kern w:val="0"/>
          <w:sz w:val="18"/>
          <w:szCs w:val="18"/>
        </w:rPr>
        <w:t>在Strekalova，EE等人（参考文献.31）对暴露于环氧乙烷的大鼠中哺乳动物体细胞和生殖细胞上的致突变作用进行的另一项研究中，使用显性致死突变的方法来对骨髓进行细胞遗传学分析并对雄性生殖细胞进行分析。骨髓细胞遗传学分析表明，与对照组相比，实验雄性动物中染色体重组的发生率增加。在暴露于高浓度环氧乙烷作用下的动物中，染色体畸变的检出率为9.4±0.9%；在暴露于低浓度作用下的动物中，检出率为7.6±0.1%；在对照组中，检出率为2.6±0.3，（p &lt;0.001）。</w:t>
      </w:r>
    </w:p>
    <w:p w14:paraId="4BE8321C">
      <w:pPr>
        <w:widowControl/>
        <w:autoSpaceDE w:val="0"/>
        <w:autoSpaceDN w:val="0"/>
        <w:adjustRightInd w:val="0"/>
        <w:snapToGrid w:val="0"/>
        <w:spacing w:after="72" w:afterLines="30" w:line="252" w:lineRule="auto"/>
        <w:rPr>
          <w:rFonts w:ascii="Arial" w:hAnsi="Arial" w:eastAsia="宋体" w:cs="Arial"/>
          <w:color w:val="000000"/>
          <w:kern w:val="0"/>
          <w:sz w:val="18"/>
          <w:szCs w:val="18"/>
        </w:rPr>
      </w:pPr>
      <w:r>
        <w:rPr>
          <w:rFonts w:ascii="Arial" w:hAnsi="Arial" w:eastAsia="宋体" w:cs="Arial"/>
          <w:color w:val="000000"/>
          <w:kern w:val="0"/>
          <w:sz w:val="18"/>
          <w:szCs w:val="18"/>
        </w:rPr>
        <w:t>氯乙醇</w:t>
      </w:r>
    </w:p>
    <w:p w14:paraId="77475871">
      <w:pPr>
        <w:pStyle w:val="8"/>
        <w:widowControl/>
        <w:numPr>
          <w:ilvl w:val="1"/>
          <w:numId w:val="4"/>
        </w:numPr>
        <w:autoSpaceDE w:val="0"/>
        <w:autoSpaceDN w:val="0"/>
        <w:adjustRightInd w:val="0"/>
        <w:snapToGrid w:val="0"/>
        <w:spacing w:after="72" w:afterLines="30" w:line="252" w:lineRule="auto"/>
        <w:ind w:left="357" w:hanging="357" w:firstLineChars="0"/>
        <w:rPr>
          <w:rFonts w:ascii="Arial" w:hAnsi="Arial" w:eastAsia="宋体" w:cs="Arial"/>
          <w:i/>
          <w:color w:val="000000"/>
          <w:kern w:val="0"/>
          <w:sz w:val="18"/>
          <w:szCs w:val="18"/>
        </w:rPr>
      </w:pPr>
      <w:r>
        <w:rPr>
          <w:rFonts w:ascii="Arial" w:hAnsi="Arial" w:eastAsia="宋体" w:cs="Arial"/>
          <w:i/>
          <w:color w:val="000000"/>
          <w:kern w:val="0"/>
          <w:sz w:val="18"/>
          <w:szCs w:val="18"/>
        </w:rPr>
        <w:t>人类急性毒性</w:t>
      </w:r>
    </w:p>
    <w:p w14:paraId="27731909">
      <w:pPr>
        <w:widowControl/>
        <w:autoSpaceDE w:val="0"/>
        <w:autoSpaceDN w:val="0"/>
        <w:adjustRightInd w:val="0"/>
        <w:snapToGrid w:val="0"/>
        <w:spacing w:after="72" w:afterLines="30" w:line="252" w:lineRule="auto"/>
        <w:rPr>
          <w:rFonts w:ascii="Arial" w:hAnsi="Arial" w:eastAsia="宋体" w:cs="Arial"/>
          <w:color w:val="000000"/>
          <w:kern w:val="0"/>
          <w:sz w:val="18"/>
          <w:szCs w:val="18"/>
        </w:rPr>
      </w:pPr>
      <w:r>
        <w:rPr>
          <w:rFonts w:ascii="Arial" w:hAnsi="Arial" w:eastAsia="宋体" w:cs="Arial"/>
          <w:color w:val="000000"/>
          <w:kern w:val="0"/>
          <w:sz w:val="18"/>
          <w:szCs w:val="18"/>
        </w:rPr>
        <w:t>据报道，接触氯乙醇会引起严重的全身毒性作用。吸入氯乙醇蒸汽可能导致恶心、眩晕、呕吐、循环衰竭、痴呆和死亡。吸入18 ppm时会发生中毒。氯乙醇会刺激粘膜，引起肾脏和肝脏的退化。此类效应可能累加（参考文献.1）。</w:t>
      </w:r>
    </w:p>
    <w:p w14:paraId="62219249">
      <w:pPr>
        <w:pStyle w:val="8"/>
        <w:widowControl/>
        <w:numPr>
          <w:ilvl w:val="1"/>
          <w:numId w:val="4"/>
        </w:numPr>
        <w:autoSpaceDE w:val="0"/>
        <w:autoSpaceDN w:val="0"/>
        <w:adjustRightInd w:val="0"/>
        <w:snapToGrid w:val="0"/>
        <w:spacing w:after="72" w:afterLines="30" w:line="252" w:lineRule="auto"/>
        <w:ind w:left="357" w:hanging="357" w:firstLineChars="0"/>
        <w:rPr>
          <w:rFonts w:ascii="Arial" w:hAnsi="Arial" w:eastAsia="宋体" w:cs="Arial"/>
          <w:i/>
          <w:color w:val="000000"/>
          <w:kern w:val="0"/>
          <w:sz w:val="18"/>
          <w:szCs w:val="18"/>
        </w:rPr>
      </w:pPr>
      <w:r>
        <w:rPr>
          <w:rFonts w:ascii="Arial" w:hAnsi="Arial" w:eastAsia="宋体" w:cs="Arial"/>
          <w:i/>
          <w:color w:val="000000"/>
          <w:kern w:val="0"/>
          <w:sz w:val="18"/>
          <w:szCs w:val="18"/>
        </w:rPr>
        <w:t>动物急性毒性</w:t>
      </w:r>
    </w:p>
    <w:p w14:paraId="7E9E9535">
      <w:pPr>
        <w:pStyle w:val="8"/>
        <w:widowControl/>
        <w:numPr>
          <w:ilvl w:val="0"/>
          <w:numId w:val="5"/>
        </w:numPr>
        <w:autoSpaceDE w:val="0"/>
        <w:autoSpaceDN w:val="0"/>
        <w:adjustRightInd w:val="0"/>
        <w:snapToGrid w:val="0"/>
        <w:spacing w:after="72" w:afterLines="30" w:line="25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口服给药和肠胃外给药的致死剂量–已确定小鼠、大鼠、家兔和犬中氯乙醇的急性毒性（ID）值（参考文献.4、43、82-84）。这些研究的结果表明ID值的范围介于大鼠中经肠胃外途径施用的56mg /kg与小鼠中经口服途径施用的178mg /kg（参考文献.3）。氯乙醇显示出的毒性比环氧乙烷更具急性性质。给药途径似乎对急性毒性值影响不大。这些动物显示出中枢神经系统效应的迹象，如抑郁症和呼吸困难，且通常在24小时内死亡但无特定器官病变。</w:t>
      </w:r>
    </w:p>
    <w:p w14:paraId="634E567F">
      <w:pPr>
        <w:widowControl/>
        <w:autoSpaceDE w:val="0"/>
        <w:autoSpaceDN w:val="0"/>
        <w:adjustRightInd w:val="0"/>
        <w:snapToGrid w:val="0"/>
        <w:spacing w:after="72" w:afterLines="30" w:line="252" w:lineRule="auto"/>
        <w:ind w:left="377" w:leftChars="157"/>
        <w:rPr>
          <w:rFonts w:ascii="Arial" w:hAnsi="Arial" w:eastAsia="宋体" w:cs="Arial"/>
          <w:color w:val="000000"/>
          <w:kern w:val="0"/>
          <w:sz w:val="18"/>
          <w:szCs w:val="18"/>
        </w:rPr>
      </w:pPr>
      <w:r>
        <w:rPr>
          <w:rFonts w:ascii="Arial" w:hAnsi="Arial" w:eastAsia="宋体" w:cs="Arial"/>
          <w:color w:val="000000"/>
          <w:kern w:val="0"/>
          <w:sz w:val="18"/>
          <w:szCs w:val="18"/>
        </w:rPr>
        <w:t>在另一项研究（Friedman等人，参考文献.38）中，单次口服剂量的氯乙醇（10至50 m g /k g）导致大鼠肝脏蛋白质合成和谷胱甘肽水平出现与剂量相关性的降低。</w:t>
      </w:r>
    </w:p>
    <w:p w14:paraId="47B7378D">
      <w:pPr>
        <w:pStyle w:val="8"/>
        <w:widowControl/>
        <w:numPr>
          <w:ilvl w:val="0"/>
          <w:numId w:val="5"/>
        </w:numPr>
        <w:autoSpaceDE w:val="0"/>
        <w:autoSpaceDN w:val="0"/>
        <w:adjustRightInd w:val="0"/>
        <w:snapToGrid w:val="0"/>
        <w:spacing w:after="72" w:afterLines="30" w:line="252"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对眼睛和组织的刺激--- Bruch（参考文献.3）总结了用于确定氯乙醇对眼睛和其他组织的急性影响的研究结果。最大无效应浓度范围在豚鼠中皮下施用的0.5%（0.25mg总剂量）与家兔中皮肤应用的20%（总剂量40mg）。在Woodard和Woodard（参考文献.4）进行的眼睛和组织研究中，在豚鼠皮下注射（0.5%）后，所测五只动物中的一只在氯乙醇溶液引发了硬结和瘀斑（小出血）。在家兔中进行皮肤给药后刺激较小，但在家兔中进行眼睛给药后出现流泪和结膜红斑、角膜混浊、虹膜炎和结膜刺激。</w:t>
      </w:r>
    </w:p>
    <w:p w14:paraId="1F088AE2">
      <w:pPr>
        <w:widowControl/>
        <w:autoSpaceDE w:val="0"/>
        <w:autoSpaceDN w:val="0"/>
        <w:adjustRightInd w:val="0"/>
        <w:snapToGrid w:val="0"/>
        <w:spacing w:after="72" w:afterLines="30" w:line="252" w:lineRule="auto"/>
        <w:ind w:left="377" w:leftChars="157"/>
        <w:rPr>
          <w:rFonts w:ascii="Arial" w:hAnsi="Arial" w:eastAsia="宋体" w:cs="Arial"/>
          <w:color w:val="000000"/>
          <w:kern w:val="0"/>
          <w:sz w:val="18"/>
          <w:szCs w:val="18"/>
        </w:rPr>
      </w:pPr>
      <w:r>
        <w:rPr>
          <w:rFonts w:ascii="Arial" w:hAnsi="Arial" w:eastAsia="宋体" w:cs="Arial"/>
          <w:color w:val="000000"/>
          <w:kern w:val="0"/>
          <w:sz w:val="18"/>
          <w:szCs w:val="18"/>
        </w:rPr>
        <w:t>McDonald等人在家兔中研究了氯乙醇（平衡盐溶液）的急性眼刺激性质（参考文献.6）。在进行6小时急性局部眼部滴注后，环氧乙烷的最大非破坏性浓度范围在结膜的2%与晶状体的40%以上之间。在进行单次前房滴注之后，0.5%和5%分别为虹膜和结膜的氯乙醇最大非破坏浓度。</w:t>
      </w:r>
    </w:p>
    <w:p w14:paraId="0DBC803A">
      <w:pPr>
        <w:pStyle w:val="8"/>
        <w:widowControl/>
        <w:numPr>
          <w:ilvl w:val="1"/>
          <w:numId w:val="4"/>
        </w:numPr>
        <w:autoSpaceDE w:val="0"/>
        <w:autoSpaceDN w:val="0"/>
        <w:adjustRightInd w:val="0"/>
        <w:snapToGrid w:val="0"/>
        <w:spacing w:after="72" w:afterLines="30" w:line="252" w:lineRule="auto"/>
        <w:ind w:left="357" w:hanging="357" w:firstLineChars="0"/>
        <w:rPr>
          <w:rFonts w:ascii="Arial" w:hAnsi="Arial" w:eastAsia="宋体" w:cs="Arial"/>
          <w:i/>
          <w:color w:val="000000"/>
          <w:kern w:val="0"/>
          <w:sz w:val="18"/>
          <w:szCs w:val="18"/>
        </w:rPr>
      </w:pPr>
      <w:r>
        <w:rPr>
          <w:rFonts w:ascii="Arial" w:hAnsi="Arial" w:eastAsia="宋体" w:cs="Arial"/>
          <w:i/>
          <w:color w:val="000000"/>
          <w:kern w:val="0"/>
          <w:sz w:val="18"/>
          <w:szCs w:val="18"/>
        </w:rPr>
        <w:t>动物亚慢性毒性（重复施用剂量1年以内）</w:t>
      </w:r>
    </w:p>
    <w:p w14:paraId="6218B0AF">
      <w:pPr>
        <w:widowControl/>
        <w:autoSpaceDE w:val="0"/>
        <w:autoSpaceDN w:val="0"/>
        <w:adjustRightInd w:val="0"/>
        <w:snapToGrid w:val="0"/>
        <w:spacing w:after="72" w:afterLines="30" w:line="252" w:lineRule="auto"/>
        <w:rPr>
          <w:rFonts w:ascii="Arial" w:hAnsi="Arial" w:eastAsia="宋体" w:cs="Arial"/>
          <w:color w:val="000000"/>
          <w:kern w:val="0"/>
          <w:sz w:val="18"/>
          <w:szCs w:val="18"/>
        </w:rPr>
      </w:pPr>
      <w:r>
        <w:rPr>
          <w:rFonts w:ascii="Arial" w:hAnsi="Arial" w:eastAsia="宋体" w:cs="Arial"/>
          <w:color w:val="000000"/>
          <w:kern w:val="0"/>
          <w:sz w:val="18"/>
          <w:szCs w:val="18"/>
        </w:rPr>
        <w:t>已通过口服途径（通过管饲法和饮食）亚慢性将氯乙醇施用给大鼠、犬和猴、以胃肠外途径施用给犬和大鼠并通过吸入施用给大鼠（参考文献.4、32、41-44）。效应包括体重增加抑制和死亡率增加、亚急性心肌炎和器官重量变化。从给犬皮下给药（27mg /kg）氯乙醇30天生成的数据表明肝细胞出现退行性变化和血清碱性磷酸酶和胆红素水平升高。其中一只犬死亡。所施用的剂量显著较低时（9 mg或3 mg /kg），没有观察到肝脏效应，当剂量水平为27和9mg /kg时，可检测到生精管状变性。</w:t>
      </w:r>
    </w:p>
    <w:p w14:paraId="2DB5F3B9">
      <w:pPr>
        <w:widowControl/>
        <w:autoSpaceDE w:val="0"/>
        <w:autoSpaceDN w:val="0"/>
        <w:adjustRightInd w:val="0"/>
        <w:snapToGrid w:val="0"/>
        <w:spacing w:after="72" w:afterLines="30" w:line="252" w:lineRule="auto"/>
        <w:rPr>
          <w:rFonts w:ascii="Arial" w:hAnsi="Arial" w:eastAsia="宋体" w:cs="Arial"/>
          <w:color w:val="000000"/>
          <w:kern w:val="0"/>
          <w:sz w:val="18"/>
          <w:szCs w:val="18"/>
        </w:rPr>
      </w:pPr>
      <w:r>
        <w:rPr>
          <w:rFonts w:ascii="Arial" w:hAnsi="Arial" w:eastAsia="宋体" w:cs="Arial"/>
          <w:color w:val="000000"/>
          <w:kern w:val="0"/>
          <w:sz w:val="18"/>
          <w:szCs w:val="18"/>
        </w:rPr>
        <w:t>在另一项研究中（Feuer，G等人，参考文献.39），每日皮下大鼠给药（20mg /kg氯代乙醇，持续7天）导致肝药物代谢酶和葡萄糖-6-磷酸酶的活性降低。在雄性大鼠中剂量为3或10mg /kg时也可观察到减少趋势。</w:t>
      </w:r>
    </w:p>
    <w:p w14:paraId="012ADFC8">
      <w:pPr>
        <w:widowControl/>
        <w:autoSpaceDE w:val="0"/>
        <w:autoSpaceDN w:val="0"/>
        <w:adjustRightInd w:val="0"/>
        <w:snapToGrid w:val="0"/>
        <w:spacing w:after="72" w:afterLines="30" w:line="252" w:lineRule="auto"/>
        <w:rPr>
          <w:rFonts w:ascii="Arial" w:hAnsi="Arial" w:eastAsia="宋体" w:cs="Arial"/>
          <w:color w:val="000000"/>
          <w:kern w:val="0"/>
          <w:sz w:val="18"/>
          <w:szCs w:val="18"/>
        </w:rPr>
      </w:pPr>
      <w:r>
        <w:rPr>
          <w:rFonts w:ascii="Arial" w:hAnsi="Arial" w:eastAsia="宋体" w:cs="Arial"/>
          <w:color w:val="000000"/>
          <w:kern w:val="0"/>
          <w:sz w:val="18"/>
          <w:szCs w:val="18"/>
        </w:rPr>
        <w:t>使用氯乙醇、乙二醇以及氯乙醇和乙二醇的组合溶液在家兔中进行了21天眼刺激研究（参考文献.7）。氯乙醇溶液</w:t>
      </w:r>
      <w:bookmarkStart w:id="4" w:name="OLE_LINK1"/>
      <w:bookmarkStart w:id="5" w:name="OLE_LINK2"/>
      <w:r>
        <w:rPr>
          <w:rFonts w:ascii="Arial" w:hAnsi="Arial" w:eastAsia="宋体" w:cs="Arial"/>
          <w:color w:val="000000"/>
          <w:kern w:val="0"/>
          <w:sz w:val="18"/>
          <w:szCs w:val="18"/>
        </w:rPr>
        <w:t>的浓度范围为</w:t>
      </w:r>
      <w:bookmarkEnd w:id="4"/>
      <w:bookmarkEnd w:id="5"/>
      <w:r>
        <w:rPr>
          <w:rFonts w:ascii="Arial" w:hAnsi="Arial" w:eastAsia="宋体" w:cs="Arial"/>
          <w:color w:val="000000"/>
          <w:kern w:val="0"/>
          <w:sz w:val="18"/>
          <w:szCs w:val="18"/>
        </w:rPr>
        <w:t>0.1%至40%；乙二醇溶液的浓度范围为0.5至80%，且氯乙醇和乙二醇的组合溶液的浓度范围为0.1%/0.5%至30%/70%。使用40%的氯乙醇溶液时，可观察到最大结膜充血和放电、中度肿胀、角膜混浊渐增、可由荧光素染色证明的损伤以及血管翳；使用80%乙二醇溶液时，可观察到中度结膜充血、最小放电以及最小肿胀；使用30%/70%的氯乙醇/乙二醇溶液时，可观察到中度结膜充血、中度放电、最小肿胀、发炎、虹膜炎、角膜混浊、可由荧光素染色证明的损伤以及中度血管翳。</w:t>
      </w:r>
    </w:p>
    <w:p w14:paraId="36037504">
      <w:pPr>
        <w:pStyle w:val="8"/>
        <w:widowControl/>
        <w:numPr>
          <w:ilvl w:val="1"/>
          <w:numId w:val="4"/>
        </w:numPr>
        <w:autoSpaceDE w:val="0"/>
        <w:autoSpaceDN w:val="0"/>
        <w:adjustRightInd w:val="0"/>
        <w:snapToGrid w:val="0"/>
        <w:spacing w:after="72" w:afterLines="30" w:line="252" w:lineRule="auto"/>
        <w:ind w:left="357" w:hanging="357" w:firstLineChars="0"/>
        <w:rPr>
          <w:rFonts w:ascii="Arial" w:hAnsi="Arial" w:eastAsia="宋体" w:cs="Arial"/>
          <w:i/>
          <w:color w:val="000000"/>
          <w:kern w:val="0"/>
          <w:sz w:val="18"/>
          <w:szCs w:val="18"/>
        </w:rPr>
      </w:pPr>
      <w:r>
        <w:rPr>
          <w:rFonts w:ascii="Arial" w:hAnsi="Arial" w:eastAsia="宋体" w:cs="Arial"/>
          <w:i/>
          <w:color w:val="000000"/>
          <w:kern w:val="0"/>
          <w:sz w:val="18"/>
          <w:szCs w:val="18"/>
        </w:rPr>
        <w:t>动物慢性毒性（重复施用剂量1年以上）</w:t>
      </w:r>
    </w:p>
    <w:p w14:paraId="5D9B78DF">
      <w:pPr>
        <w:widowControl/>
        <w:autoSpaceDE w:val="0"/>
        <w:autoSpaceDN w:val="0"/>
        <w:adjustRightInd w:val="0"/>
        <w:snapToGrid w:val="0"/>
        <w:spacing w:after="72" w:afterLines="30" w:line="252" w:lineRule="auto"/>
        <w:rPr>
          <w:rFonts w:ascii="Arial" w:hAnsi="Arial" w:eastAsia="宋体" w:cs="Arial"/>
          <w:color w:val="000000"/>
          <w:kern w:val="0"/>
          <w:sz w:val="15"/>
          <w:szCs w:val="15"/>
        </w:rPr>
      </w:pPr>
      <w:r>
        <w:rPr>
          <w:rFonts w:ascii="Arial" w:hAnsi="Arial" w:eastAsia="宋体" w:cs="Arial"/>
          <w:color w:val="000000"/>
          <w:kern w:val="0"/>
          <w:sz w:val="18"/>
          <w:szCs w:val="18"/>
        </w:rPr>
        <w:t>慢性毒性研究中口服和肠胃外施用氯乙醇的结果在参考文献.40和44-47中总结。在小鼠和大鼠中没有检测到慢性全身毒性效应或致癌效应。</w:t>
      </w:r>
    </w:p>
    <w:p w14:paraId="233F95F9">
      <w:pPr>
        <w:widowControl/>
        <w:jc w:val="left"/>
        <w:rPr>
          <w:rFonts w:ascii="Arial" w:hAnsi="Arial" w:eastAsia="宋体" w:cs="Arial"/>
          <w:color w:val="000000"/>
          <w:kern w:val="0"/>
          <w:sz w:val="15"/>
          <w:szCs w:val="15"/>
        </w:rPr>
      </w:pPr>
      <w:r>
        <w:rPr>
          <w:rFonts w:ascii="Arial" w:hAnsi="Arial" w:eastAsia="宋体" w:cs="Arial"/>
          <w:color w:val="000000"/>
          <w:kern w:val="0"/>
          <w:sz w:val="15"/>
          <w:szCs w:val="15"/>
        </w:rPr>
        <w:br w:type="page"/>
      </w:r>
    </w:p>
    <w:p w14:paraId="71F07E68">
      <w:pPr>
        <w:pStyle w:val="8"/>
        <w:widowControl/>
        <w:numPr>
          <w:ilvl w:val="1"/>
          <w:numId w:val="4"/>
        </w:numPr>
        <w:autoSpaceDE w:val="0"/>
        <w:autoSpaceDN w:val="0"/>
        <w:adjustRightInd w:val="0"/>
        <w:snapToGrid w:val="0"/>
        <w:spacing w:after="120" w:afterLines="50" w:line="264" w:lineRule="auto"/>
        <w:ind w:left="357" w:hanging="357" w:firstLineChars="0"/>
        <w:rPr>
          <w:rFonts w:ascii="Arial" w:hAnsi="Arial" w:eastAsia="宋体" w:cs="Arial"/>
          <w:i/>
          <w:color w:val="000000"/>
          <w:kern w:val="0"/>
          <w:sz w:val="18"/>
          <w:szCs w:val="18"/>
        </w:rPr>
      </w:pPr>
      <w:r>
        <w:rPr>
          <w:rFonts w:ascii="Arial" w:hAnsi="Arial" w:eastAsia="宋体" w:cs="Arial"/>
          <w:i/>
          <w:color w:val="000000"/>
          <w:kern w:val="0"/>
          <w:sz w:val="18"/>
          <w:szCs w:val="18"/>
        </w:rPr>
        <w:t>致突变性</w:t>
      </w:r>
    </w:p>
    <w:p w14:paraId="2FADE68A">
      <w:pPr>
        <w:widowControl/>
        <w:autoSpaceDE w:val="0"/>
        <w:autoSpaceDN w:val="0"/>
        <w:adjustRightInd w:val="0"/>
        <w:snapToGrid w:val="0"/>
        <w:spacing w:after="120" w:afterLines="50" w:line="264" w:lineRule="auto"/>
        <w:rPr>
          <w:rFonts w:ascii="Arial" w:hAnsi="Arial" w:eastAsia="宋体" w:cs="Arial"/>
          <w:color w:val="000000"/>
          <w:kern w:val="0"/>
          <w:sz w:val="18"/>
          <w:szCs w:val="18"/>
        </w:rPr>
      </w:pPr>
      <w:r>
        <w:rPr>
          <w:rFonts w:ascii="Arial" w:hAnsi="Arial" w:eastAsia="宋体" w:cs="Arial"/>
          <w:color w:val="000000"/>
          <w:kern w:val="0"/>
          <w:sz w:val="18"/>
          <w:szCs w:val="18"/>
        </w:rPr>
        <w:t>已经报道两项研究，其中，在暴露于氯乙醇之后使得大鼠骨髓细胞中染色体畸变增加（Isakova.G.K.等，参考文献.32和Semenova，V.N等人，参考文献.33）。Rosenkranz和Wlodkowski（参考文献.34）发现沙门氏菌菌株TA1530和TA1535的突变率出现剂量相关性增加，但菌株TA1538中也出现该增加，表明氯乙醇可诱发碱基对置换而不是移码突变。来自Rannug等人进行的研究数据（参考文献.79）表明，在使沙门菌TA1535产生突变方面，氯乙醇的致突变性较环氧乙烷弱。</w:t>
      </w:r>
    </w:p>
    <w:p w14:paraId="5ADA732D">
      <w:pPr>
        <w:pStyle w:val="8"/>
        <w:widowControl/>
        <w:numPr>
          <w:ilvl w:val="1"/>
          <w:numId w:val="4"/>
        </w:numPr>
        <w:autoSpaceDE w:val="0"/>
        <w:autoSpaceDN w:val="0"/>
        <w:adjustRightInd w:val="0"/>
        <w:snapToGrid w:val="0"/>
        <w:spacing w:after="120" w:afterLines="50" w:line="264" w:lineRule="auto"/>
        <w:ind w:left="357" w:hanging="357" w:firstLineChars="0"/>
        <w:rPr>
          <w:rFonts w:ascii="Arial" w:hAnsi="Arial" w:eastAsia="宋体" w:cs="Arial"/>
          <w:i/>
          <w:color w:val="000000"/>
          <w:kern w:val="0"/>
          <w:sz w:val="18"/>
          <w:szCs w:val="18"/>
        </w:rPr>
      </w:pPr>
      <w:r>
        <w:rPr>
          <w:rFonts w:ascii="Arial" w:hAnsi="Arial" w:eastAsia="宋体" w:cs="Arial"/>
          <w:i/>
          <w:color w:val="000000"/>
          <w:kern w:val="0"/>
          <w:sz w:val="18"/>
          <w:szCs w:val="18"/>
        </w:rPr>
        <w:t>致畸性和胎仔毒性</w:t>
      </w:r>
    </w:p>
    <w:p w14:paraId="482081D0">
      <w:pPr>
        <w:widowControl/>
        <w:autoSpaceDE w:val="0"/>
        <w:autoSpaceDN w:val="0"/>
        <w:adjustRightInd w:val="0"/>
        <w:snapToGrid w:val="0"/>
        <w:spacing w:after="120" w:afterLines="50" w:line="264" w:lineRule="auto"/>
        <w:rPr>
          <w:rFonts w:ascii="Arial" w:hAnsi="Arial" w:eastAsia="宋体" w:cs="Arial"/>
          <w:color w:val="000000"/>
          <w:kern w:val="0"/>
          <w:sz w:val="18"/>
          <w:szCs w:val="18"/>
        </w:rPr>
      </w:pPr>
      <w:r>
        <w:rPr>
          <w:rFonts w:ascii="Arial" w:hAnsi="Arial" w:eastAsia="宋体" w:cs="Arial"/>
          <w:color w:val="000000"/>
          <w:kern w:val="0"/>
          <w:sz w:val="18"/>
          <w:szCs w:val="18"/>
        </w:rPr>
        <w:t>Verrett（参考文献.80）通过在4日龄胚胎的气囊中注射5、12.5、25和50mg /kg来测试氯乙醇在发育中的鸡胚中的致畸和胎仔毒性效应。这导致缺陷胚胎的数量出现剂量相关增加。当提供口服或吸入施用氯乙醇时，在CD-1小鼠中进行的后续研究（Courtney和Andrews，参考文献.81）未能产生畸形。</w:t>
      </w:r>
    </w:p>
    <w:p w14:paraId="032950DA">
      <w:pPr>
        <w:widowControl/>
        <w:autoSpaceDE w:val="0"/>
        <w:autoSpaceDN w:val="0"/>
        <w:adjustRightInd w:val="0"/>
        <w:snapToGrid w:val="0"/>
        <w:spacing w:after="120" w:afterLines="50" w:line="264" w:lineRule="auto"/>
        <w:jc w:val="center"/>
        <w:rPr>
          <w:rFonts w:ascii="Arial" w:hAnsi="Arial" w:eastAsia="宋体" w:cs="Arial"/>
          <w:color w:val="000000"/>
          <w:kern w:val="0"/>
          <w:sz w:val="18"/>
          <w:szCs w:val="18"/>
        </w:rPr>
      </w:pPr>
      <w:r>
        <w:rPr>
          <w:rFonts w:ascii="Arial" w:hAnsi="Arial" w:eastAsia="宋体" w:cs="Arial"/>
          <w:color w:val="000000"/>
          <w:kern w:val="0"/>
          <w:sz w:val="18"/>
          <w:szCs w:val="18"/>
        </w:rPr>
        <w:t>乙二醇</w:t>
      </w:r>
    </w:p>
    <w:p w14:paraId="024B2567">
      <w:pPr>
        <w:pStyle w:val="8"/>
        <w:widowControl/>
        <w:numPr>
          <w:ilvl w:val="0"/>
          <w:numId w:val="6"/>
        </w:numPr>
        <w:autoSpaceDE w:val="0"/>
        <w:autoSpaceDN w:val="0"/>
        <w:adjustRightInd w:val="0"/>
        <w:snapToGrid w:val="0"/>
        <w:spacing w:after="120" w:afterLines="50" w:line="264" w:lineRule="auto"/>
        <w:ind w:firstLineChars="0"/>
        <w:rPr>
          <w:rFonts w:ascii="Arial" w:hAnsi="Arial" w:eastAsia="宋体" w:cs="Arial"/>
          <w:i/>
          <w:color w:val="000000"/>
          <w:kern w:val="0"/>
          <w:sz w:val="18"/>
          <w:szCs w:val="18"/>
        </w:rPr>
      </w:pPr>
      <w:r>
        <w:rPr>
          <w:rFonts w:ascii="Arial" w:hAnsi="Arial" w:eastAsia="宋体" w:cs="Arial"/>
          <w:i/>
          <w:color w:val="000000"/>
          <w:kern w:val="0"/>
          <w:sz w:val="18"/>
          <w:szCs w:val="18"/>
        </w:rPr>
        <w:t>人类急性毒性</w:t>
      </w:r>
    </w:p>
    <w:p w14:paraId="17E68FDA">
      <w:pPr>
        <w:widowControl/>
        <w:autoSpaceDE w:val="0"/>
        <w:autoSpaceDN w:val="0"/>
        <w:adjustRightInd w:val="0"/>
        <w:snapToGrid w:val="0"/>
        <w:spacing w:after="120" w:afterLines="50" w:line="264" w:lineRule="auto"/>
        <w:rPr>
          <w:rFonts w:ascii="Arial" w:hAnsi="Arial" w:eastAsia="宋体" w:cs="Arial"/>
          <w:color w:val="000000"/>
          <w:kern w:val="0"/>
          <w:sz w:val="18"/>
          <w:szCs w:val="18"/>
        </w:rPr>
      </w:pPr>
      <w:r>
        <w:rPr>
          <w:rFonts w:ascii="Arial" w:hAnsi="Arial" w:eastAsia="宋体" w:cs="Arial"/>
          <w:color w:val="000000"/>
          <w:kern w:val="0"/>
          <w:sz w:val="18"/>
          <w:szCs w:val="18"/>
        </w:rPr>
        <w:t>人类的单次口服乙二醇致死剂量预计为1.4mg /kg，或对于一般成年人，则估计为100毫升（Rowe，参考文献.37）。该估计表明，与LD范围已经确定的动物物种相比，该化合物对于人类具有更强的毒性。</w:t>
      </w:r>
    </w:p>
    <w:p w14:paraId="4197C0CE">
      <w:pPr>
        <w:pStyle w:val="8"/>
        <w:widowControl/>
        <w:numPr>
          <w:ilvl w:val="0"/>
          <w:numId w:val="6"/>
        </w:numPr>
        <w:autoSpaceDE w:val="0"/>
        <w:autoSpaceDN w:val="0"/>
        <w:adjustRightInd w:val="0"/>
        <w:snapToGrid w:val="0"/>
        <w:spacing w:after="120" w:afterLines="50" w:line="264" w:lineRule="auto"/>
        <w:ind w:firstLineChars="0"/>
        <w:rPr>
          <w:rFonts w:ascii="Arial" w:hAnsi="Arial" w:eastAsia="宋体" w:cs="Arial"/>
          <w:i/>
          <w:color w:val="000000"/>
          <w:kern w:val="0"/>
          <w:sz w:val="18"/>
          <w:szCs w:val="18"/>
        </w:rPr>
      </w:pPr>
      <w:r>
        <w:rPr>
          <w:rFonts w:ascii="Arial" w:hAnsi="Arial" w:eastAsia="宋体" w:cs="Arial"/>
          <w:i/>
          <w:color w:val="000000"/>
          <w:kern w:val="0"/>
          <w:sz w:val="18"/>
          <w:szCs w:val="18"/>
        </w:rPr>
        <w:t>动物急性毒性</w:t>
      </w:r>
    </w:p>
    <w:p w14:paraId="3B35DCB1">
      <w:pPr>
        <w:pStyle w:val="8"/>
        <w:widowControl/>
        <w:numPr>
          <w:ilvl w:val="0"/>
          <w:numId w:val="7"/>
        </w:numPr>
        <w:autoSpaceDE w:val="0"/>
        <w:autoSpaceDN w:val="0"/>
        <w:adjustRightInd w:val="0"/>
        <w:snapToGrid w:val="0"/>
        <w:spacing w:after="120" w:afterLines="50" w:line="264"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口服和肠胃外给药的致死剂量--- Bruch（参考文献.3）总结了通过在小鼠、大鼠和家兔中采用四种给药途径来确定乙二醇的急性和肠胃外毒性的最新研究。LD的范围介于雌性小鼠中通过腹腔内给药途径施用的2.4g /kg与大鼠中通过口服途径施用的17g /kg。尽管早期发现有一些变化（Browning，参考文献.35；Lang 等人，参考文献.36），这种变化似乎不与剂量浓度或性别有关。与环氧乙烷和氯乙醇不同，其通常在24小时内引发死亡，乙二醇可引发许多延迟死亡，其中，其与肾脏损伤有关并伴随着草酸盐晶体在肾脏中沉积。</w:t>
      </w:r>
    </w:p>
    <w:p w14:paraId="5A1443BA">
      <w:pPr>
        <w:pStyle w:val="8"/>
        <w:widowControl/>
        <w:numPr>
          <w:ilvl w:val="0"/>
          <w:numId w:val="7"/>
        </w:numPr>
        <w:autoSpaceDE w:val="0"/>
        <w:autoSpaceDN w:val="0"/>
        <w:adjustRightInd w:val="0"/>
        <w:snapToGrid w:val="0"/>
        <w:spacing w:after="120" w:afterLines="50" w:line="264"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对眼睛和组织的刺激-Bruch（参考文献.3）总结了用于确定乙二醇（水溶液和未稀释形式）的急性眼睛和组织刺激性质的研究结果（参考文献.4）。乙二醇的最高无效应浓度范围在通过皮下给药的1%（总剂量0.5mg）与通过眼部（总剂量10mg）和肌内（总剂量50mg）给药的10%之间。乙二醇溶液和未稀释的化合物可通过皮内途径引发一些中度刺激、通过眼部给药引发瞬态流泪和红斑以及在皮肤施用后引发最小刺激。</w:t>
      </w:r>
    </w:p>
    <w:p w14:paraId="56FD85AB">
      <w:pPr>
        <w:widowControl/>
        <w:autoSpaceDE w:val="0"/>
        <w:autoSpaceDN w:val="0"/>
        <w:adjustRightInd w:val="0"/>
        <w:snapToGrid w:val="0"/>
        <w:spacing w:after="120" w:afterLines="50" w:line="264" w:lineRule="auto"/>
        <w:ind w:left="377" w:leftChars="157"/>
        <w:rPr>
          <w:rFonts w:ascii="Arial" w:hAnsi="Arial" w:eastAsia="宋体" w:cs="Arial"/>
          <w:color w:val="000000"/>
          <w:kern w:val="0"/>
          <w:sz w:val="18"/>
          <w:szCs w:val="18"/>
        </w:rPr>
      </w:pPr>
      <w:r>
        <w:rPr>
          <w:rFonts w:ascii="Arial" w:hAnsi="Arial" w:eastAsia="宋体" w:cs="Arial"/>
          <w:color w:val="000000"/>
          <w:kern w:val="0"/>
          <w:sz w:val="18"/>
          <w:szCs w:val="18"/>
        </w:rPr>
        <w:t>McDonald等人（参考文献.6）研究了乙二醇（平衡盐溶液）的急性眼刺激性质。局部眼睛滴注后6小时的乙二醇最大非破坏性浓度范围为结膜的4%至晶状体的80%以上之间。在单次前房乙二醇感染后，非破坏性浓度范围为虹膜的2%至角膜、晶状体和视网膜的20%到</w:t>
      </w:r>
      <w:r>
        <w:rPr>
          <w:rFonts w:hint="eastAsia" w:ascii="Arial" w:hAnsi="Arial" w:eastAsia="宋体" w:cs="Arial"/>
          <w:color w:val="000000"/>
          <w:kern w:val="0"/>
          <w:sz w:val="18"/>
          <w:szCs w:val="18"/>
        </w:rPr>
        <w:t xml:space="preserve"> </w:t>
      </w:r>
      <w:r>
        <w:rPr>
          <w:rFonts w:ascii="Arial" w:hAnsi="Arial" w:eastAsia="宋体" w:cs="Arial"/>
          <w:color w:val="000000"/>
          <w:kern w:val="0"/>
          <w:sz w:val="18"/>
          <w:szCs w:val="18"/>
        </w:rPr>
        <w:t>80%之间。</w:t>
      </w:r>
    </w:p>
    <w:p w14:paraId="26A9C9F5">
      <w:pPr>
        <w:pStyle w:val="8"/>
        <w:widowControl/>
        <w:numPr>
          <w:ilvl w:val="0"/>
          <w:numId w:val="6"/>
        </w:numPr>
        <w:autoSpaceDE w:val="0"/>
        <w:autoSpaceDN w:val="0"/>
        <w:adjustRightInd w:val="0"/>
        <w:snapToGrid w:val="0"/>
        <w:spacing w:after="120" w:afterLines="50" w:line="264" w:lineRule="auto"/>
        <w:ind w:firstLineChars="0"/>
        <w:rPr>
          <w:rFonts w:ascii="Arial" w:hAnsi="Arial" w:eastAsia="宋体" w:cs="Arial"/>
          <w:i/>
          <w:color w:val="000000"/>
          <w:kern w:val="0"/>
          <w:sz w:val="18"/>
          <w:szCs w:val="18"/>
        </w:rPr>
      </w:pPr>
      <w:r>
        <w:rPr>
          <w:rFonts w:ascii="Arial" w:hAnsi="Arial" w:eastAsia="宋体" w:cs="Arial"/>
          <w:i/>
          <w:color w:val="000000"/>
          <w:kern w:val="0"/>
          <w:sz w:val="18"/>
          <w:szCs w:val="18"/>
        </w:rPr>
        <w:t>动物亚慢性毒性（重复施用剂量1年以内）</w:t>
      </w:r>
    </w:p>
    <w:p w14:paraId="031CF2D3">
      <w:pPr>
        <w:pStyle w:val="8"/>
        <w:widowControl/>
        <w:numPr>
          <w:ilvl w:val="0"/>
          <w:numId w:val="8"/>
        </w:numPr>
        <w:autoSpaceDE w:val="0"/>
        <w:autoSpaceDN w:val="0"/>
        <w:adjustRightInd w:val="0"/>
        <w:snapToGrid w:val="0"/>
        <w:spacing w:after="120" w:afterLines="50" w:line="264"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口服、肠胃外和吸入给药—在使用猴子进行的亚慢性口服研究中（参考文献.48），乙二醇在饮用水中施用时间为13至157天。无效应水平为1毫升/千克（ml /kg）总剂量。从1ml /kg至15ml /kg，可观察到伴有氮血症的轻度肾小球损伤。15mg /kg及以上的总剂量可在近端肾小管中产生草酸钙晶体的沉积和相关的管状变性。在其他非慢性研究中（参考文献.49），通过以600毫克/立方米（mg /m3）的浓度吸入药剂使猴子暴露于乙二醇，连续5</w:t>
      </w:r>
      <w:r>
        <w:rPr>
          <w:rFonts w:hint="eastAsia" w:ascii="MS Mincho" w:hAnsi="MS Mincho" w:eastAsia="MS Mincho" w:cs="MS Mincho"/>
          <w:color w:val="000000"/>
          <w:kern w:val="0"/>
          <w:sz w:val="18"/>
          <w:szCs w:val="18"/>
        </w:rPr>
        <w:t>〜</w:t>
      </w:r>
      <w:r>
        <w:rPr>
          <w:rFonts w:ascii="Arial" w:hAnsi="Arial" w:eastAsia="宋体" w:cs="Arial"/>
          <w:color w:val="000000"/>
          <w:kern w:val="0"/>
          <w:sz w:val="18"/>
          <w:szCs w:val="18"/>
        </w:rPr>
        <w:t>7个月。在5个月时，肝脏线粒体显示呼吸和解偶联氧化磷酸化。暴露6个月和7个月的猴子的线粒体具有正常的磷酸盐/氧气（P /O）比率并恢复正常呼吸。通过吸入途径每天暴露于300 mg /m</w:t>
      </w:r>
      <w:r>
        <w:rPr>
          <w:rFonts w:ascii="Arial" w:hAnsi="Arial" w:eastAsia="宋体" w:cs="Arial"/>
          <w:color w:val="000000"/>
          <w:kern w:val="0"/>
          <w:sz w:val="18"/>
          <w:szCs w:val="18"/>
          <w:vertAlign w:val="superscript"/>
        </w:rPr>
        <w:t>3</w:t>
      </w:r>
      <w:r>
        <w:rPr>
          <w:rFonts w:ascii="Arial" w:hAnsi="Arial" w:eastAsia="宋体" w:cs="Arial"/>
          <w:color w:val="000000"/>
          <w:kern w:val="0"/>
          <w:sz w:val="18"/>
          <w:szCs w:val="18"/>
        </w:rPr>
        <w:t xml:space="preserve"> 8小时，持续16周的大鼠和小鼠均未显示出任何效应（参考文件50）。在通过皮下途径治疗30天的大鼠和犬中，大鼠的无效应剂量是50mg/kg；犬的无效应剂量尚未确定（参考文献.4）。两种物种均显示白细胞数量增加。</w:t>
      </w:r>
    </w:p>
    <w:p w14:paraId="6780B4A0">
      <w:pPr>
        <w:pStyle w:val="8"/>
        <w:widowControl/>
        <w:numPr>
          <w:ilvl w:val="0"/>
          <w:numId w:val="8"/>
        </w:numPr>
        <w:autoSpaceDE w:val="0"/>
        <w:autoSpaceDN w:val="0"/>
        <w:adjustRightInd w:val="0"/>
        <w:snapToGrid w:val="0"/>
        <w:spacing w:after="120" w:afterLines="50" w:line="264"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眼睛-见上文</w:t>
      </w:r>
      <w:r>
        <w:rPr>
          <w:rFonts w:ascii="宋体" w:hAnsi="宋体" w:eastAsia="宋体" w:cs="Arial"/>
          <w:color w:val="000000"/>
          <w:kern w:val="0"/>
          <w:sz w:val="18"/>
          <w:szCs w:val="18"/>
        </w:rPr>
        <w:t>“</w:t>
      </w:r>
      <w:r>
        <w:rPr>
          <w:rFonts w:ascii="Arial" w:hAnsi="Arial" w:eastAsia="宋体" w:cs="Arial"/>
          <w:color w:val="000000"/>
          <w:kern w:val="0"/>
          <w:sz w:val="18"/>
          <w:szCs w:val="18"/>
        </w:rPr>
        <w:t>氯乙醇</w:t>
      </w:r>
      <w:r>
        <w:rPr>
          <w:rFonts w:ascii="宋体" w:hAnsi="宋体" w:eastAsia="宋体" w:cs="Arial"/>
          <w:color w:val="000000"/>
          <w:kern w:val="0"/>
          <w:sz w:val="18"/>
          <w:szCs w:val="18"/>
        </w:rPr>
        <w:t>”</w:t>
      </w:r>
      <w:r>
        <w:rPr>
          <w:rFonts w:ascii="Arial" w:hAnsi="Arial" w:eastAsia="宋体" w:cs="Arial"/>
          <w:color w:val="000000"/>
          <w:kern w:val="0"/>
          <w:sz w:val="18"/>
          <w:szCs w:val="18"/>
        </w:rPr>
        <w:t>C段中对眼睛刺激研究的讨论。</w:t>
      </w:r>
    </w:p>
    <w:p w14:paraId="306DDFE2">
      <w:pPr>
        <w:pStyle w:val="8"/>
        <w:widowControl/>
        <w:numPr>
          <w:ilvl w:val="0"/>
          <w:numId w:val="6"/>
        </w:numPr>
        <w:autoSpaceDE w:val="0"/>
        <w:autoSpaceDN w:val="0"/>
        <w:adjustRightInd w:val="0"/>
        <w:snapToGrid w:val="0"/>
        <w:spacing w:after="120" w:afterLines="50" w:line="264" w:lineRule="auto"/>
        <w:ind w:firstLineChars="0"/>
        <w:rPr>
          <w:rFonts w:ascii="Arial" w:hAnsi="Arial" w:eastAsia="宋体" w:cs="Arial"/>
          <w:i/>
          <w:color w:val="000000"/>
          <w:kern w:val="0"/>
          <w:sz w:val="18"/>
          <w:szCs w:val="18"/>
        </w:rPr>
      </w:pPr>
      <w:r>
        <w:rPr>
          <w:rFonts w:ascii="Arial" w:hAnsi="Arial" w:eastAsia="宋体" w:cs="Arial"/>
          <w:i/>
          <w:color w:val="000000"/>
          <w:kern w:val="0"/>
          <w:sz w:val="18"/>
          <w:szCs w:val="18"/>
        </w:rPr>
        <w:t>动物慢性毒性（超过1年的重复剂量）</w:t>
      </w:r>
    </w:p>
    <w:p w14:paraId="6B636D73">
      <w:pPr>
        <w:widowControl/>
        <w:autoSpaceDE w:val="0"/>
        <w:autoSpaceDN w:val="0"/>
        <w:adjustRightInd w:val="0"/>
        <w:snapToGrid w:val="0"/>
        <w:spacing w:after="120" w:afterLines="50" w:line="264" w:lineRule="auto"/>
        <w:ind w:left="377" w:leftChars="157"/>
        <w:rPr>
          <w:rFonts w:ascii="Arial" w:hAnsi="Arial" w:eastAsia="宋体" w:cs="Arial"/>
          <w:color w:val="000000"/>
          <w:kern w:val="0"/>
          <w:sz w:val="18"/>
          <w:szCs w:val="18"/>
        </w:rPr>
      </w:pPr>
      <w:r>
        <w:rPr>
          <w:rFonts w:ascii="Arial" w:hAnsi="Arial" w:eastAsia="宋体" w:cs="Arial"/>
          <w:color w:val="000000"/>
          <w:kern w:val="0"/>
          <w:sz w:val="18"/>
          <w:szCs w:val="18"/>
        </w:rPr>
        <w:t>已使用乙二醇进行了若干口服慢性研究，但尚未明确确定无效应水平。在两项大鼠研究（参考文献.52和53）中，研究者发现，饮食水平为0.5%、生长高度抑制并有草酸钙结石生成，以及晶体在肾脏中沉积。在其中一项研究中，无效应水平似乎约为0.2%。在另一项研究中（参考文献.51），喂养三只猴子乙二醇3年，一只猴子的乙二醇水平为0.2%，而另两只猴子为0.5%。未观察到任何效应。在另外一项研究（参考文献.47）中，当以1000mg /kg的剂量每周给大鼠皮下施用两次，持续1年，随后再持续6个月，期间不得进行任何治疗时，乙二醇未显示致癌效应。</w:t>
      </w:r>
    </w:p>
    <w:p w14:paraId="606ACA7E">
      <w:pPr>
        <w:pStyle w:val="8"/>
        <w:widowControl/>
        <w:numPr>
          <w:ilvl w:val="0"/>
          <w:numId w:val="6"/>
        </w:numPr>
        <w:autoSpaceDE w:val="0"/>
        <w:autoSpaceDN w:val="0"/>
        <w:adjustRightInd w:val="0"/>
        <w:snapToGrid w:val="0"/>
        <w:spacing w:after="120" w:afterLines="50" w:line="264" w:lineRule="auto"/>
        <w:ind w:firstLineChars="0"/>
        <w:rPr>
          <w:rFonts w:ascii="Arial" w:hAnsi="Arial" w:eastAsia="宋体" w:cs="Arial"/>
          <w:i/>
          <w:color w:val="000000"/>
          <w:kern w:val="0"/>
          <w:sz w:val="18"/>
          <w:szCs w:val="18"/>
        </w:rPr>
      </w:pPr>
      <w:r>
        <w:rPr>
          <w:rFonts w:ascii="Arial" w:hAnsi="Arial" w:eastAsia="宋体" w:cs="Arial"/>
          <w:i/>
          <w:color w:val="000000"/>
          <w:kern w:val="0"/>
          <w:sz w:val="18"/>
          <w:szCs w:val="18"/>
        </w:rPr>
        <w:t xml:space="preserve">致突变性 </w:t>
      </w:r>
    </w:p>
    <w:p w14:paraId="7BE71BF6">
      <w:pPr>
        <w:widowControl/>
        <w:autoSpaceDE w:val="0"/>
        <w:autoSpaceDN w:val="0"/>
        <w:adjustRightInd w:val="0"/>
        <w:snapToGrid w:val="0"/>
        <w:spacing w:after="120" w:afterLines="50" w:line="264" w:lineRule="auto"/>
        <w:ind w:left="377" w:leftChars="157"/>
        <w:rPr>
          <w:rFonts w:ascii="Arial" w:hAnsi="Arial" w:eastAsia="宋体" w:cs="Arial"/>
          <w:color w:val="000000"/>
          <w:kern w:val="0"/>
          <w:sz w:val="18"/>
          <w:szCs w:val="18"/>
        </w:rPr>
      </w:pPr>
      <w:r>
        <w:rPr>
          <w:rFonts w:ascii="Arial" w:hAnsi="Arial" w:eastAsia="宋体" w:cs="Arial"/>
          <w:color w:val="000000"/>
          <w:kern w:val="0"/>
          <w:sz w:val="18"/>
          <w:szCs w:val="18"/>
        </w:rPr>
        <w:t>食品药品监督管理局认识到报告（Rapoport，参考文献.17）表明高浓度的乙二醇可能会导致果蝇出现突变。据FDA所知，这一点还没有得到证实。Embree（参考文献.30）使用细菌板测定，在没有激活微粒体的情况下在鼠伤寒沙门氏菌菌株TA1535、TA1537和TA1538上测试乙二醇，并未发现任何回复突变体。</w:t>
      </w:r>
    </w:p>
    <w:p w14:paraId="486C606F">
      <w:pPr>
        <w:pStyle w:val="8"/>
        <w:widowControl/>
        <w:numPr>
          <w:ilvl w:val="0"/>
          <w:numId w:val="1"/>
        </w:numPr>
        <w:autoSpaceDE w:val="0"/>
        <w:autoSpaceDN w:val="0"/>
        <w:adjustRightInd w:val="0"/>
        <w:snapToGrid w:val="0"/>
        <w:spacing w:after="120" w:afterLines="50" w:line="264"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拟定规定</w:t>
      </w:r>
    </w:p>
    <w:p w14:paraId="297E5074">
      <w:pPr>
        <w:widowControl/>
        <w:autoSpaceDE w:val="0"/>
        <w:autoSpaceDN w:val="0"/>
        <w:adjustRightInd w:val="0"/>
        <w:snapToGrid w:val="0"/>
        <w:spacing w:after="120" w:afterLines="50" w:line="264" w:lineRule="auto"/>
        <w:rPr>
          <w:rFonts w:ascii="Arial" w:hAnsi="Arial" w:eastAsia="宋体" w:cs="Arial"/>
          <w:color w:val="000000"/>
          <w:kern w:val="0"/>
          <w:sz w:val="18"/>
          <w:szCs w:val="18"/>
        </w:rPr>
      </w:pPr>
      <w:r>
        <w:rPr>
          <w:rFonts w:ascii="Arial" w:hAnsi="Arial" w:eastAsia="宋体" w:cs="Arial"/>
          <w:color w:val="000000"/>
          <w:kern w:val="0"/>
          <w:sz w:val="18"/>
          <w:szCs w:val="18"/>
        </w:rPr>
        <w:t>专员认为，由于缺乏可接受的替代品，需继续使用环氧乙烷作为某些药品和人用医疗器械的灭菌剂。虽然压力蒸汽灭菌通常被认为是最经济和最有效的灭菌剂，但是许多不耐热生化物质，如维生素、氨基酸和抗生素以及许多塑料，无法耐受潮湿或干热。此外，由于辐射可造成物理损伤，大部分必须处于无菌状态的产品无法使用电离辐射进行灭菌。如前所述，甲醛和戊二醛（参考文献.1）可作为环氧乙烷的可能替代物；但没有关于戊二醛的长期毒性试验的文献，且已证明甲醛具有致突变性。尽管如此，当在制造药品和人用医疗器械中使用环氧乙烷作为灭菌剂时，其残留物和其两种主要反应产品的残留物可能在患者中产生毒性反应。因此。专员在此建议确定环氧乙烷、氯乙醇和乙二醇的最大残留限量和暴露水平。</w:t>
      </w:r>
    </w:p>
    <w:p w14:paraId="074F9893">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76843862">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应为以下产品设置某些残留限量：人用和动物用药品；人用医疗器械，以及某些其他产品。拟定限量旨在考虑到在现行良好生产规范下可实现的最低可能限量。</w:t>
      </w:r>
    </w:p>
    <w:p w14:paraId="1DBEECE5">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也可以设定每日最高暴露水平，但仅适用于药品。这些拟定暴露水平应以之前讨论的毒性数据为依据。专员建议将人用和动物用药品的残留限量和暴露水平列入21 CFR 第211部分的现行良好生产规范中。医疗器械的残留限量将纳入新版21 CFR 第821部分中。专员认为，对于使用环氧乙烷作为灭菌剂的人用药物和医疗器械的那些患者，这些要求将限制环氧乙烷、氯乙醇和乙二醇的暴露水平以使其低于目前已知有害的水平。</w:t>
      </w:r>
    </w:p>
    <w:p w14:paraId="465066B0">
      <w:pPr>
        <w:widowControl/>
        <w:autoSpaceDE w:val="0"/>
        <w:autoSpaceDN w:val="0"/>
        <w:adjustRightInd w:val="0"/>
        <w:snapToGrid w:val="0"/>
        <w:spacing w:after="120" w:afterLines="50" w:line="300" w:lineRule="auto"/>
        <w:jc w:val="center"/>
        <w:rPr>
          <w:rFonts w:ascii="Arial" w:hAnsi="Arial" w:eastAsia="宋体" w:cs="Arial"/>
          <w:b/>
          <w:color w:val="000000"/>
          <w:kern w:val="0"/>
          <w:sz w:val="18"/>
          <w:szCs w:val="18"/>
        </w:rPr>
      </w:pPr>
      <w:r>
        <w:rPr>
          <w:rFonts w:ascii="Arial" w:hAnsi="Arial" w:eastAsia="宋体" w:cs="Arial"/>
          <w:b/>
          <w:color w:val="000000"/>
          <w:kern w:val="0"/>
          <w:sz w:val="18"/>
          <w:szCs w:val="18"/>
        </w:rPr>
        <w:t>最大残留限量</w:t>
      </w:r>
    </w:p>
    <w:p w14:paraId="5DB012F5">
      <w:pPr>
        <w:pStyle w:val="8"/>
        <w:widowControl/>
        <w:numPr>
          <w:ilvl w:val="1"/>
          <w:numId w:val="8"/>
        </w:numPr>
        <w:autoSpaceDE w:val="0"/>
        <w:autoSpaceDN w:val="0"/>
        <w:adjustRightInd w:val="0"/>
        <w:snapToGrid w:val="0"/>
        <w:spacing w:after="120" w:afterLines="50" w:line="300" w:lineRule="auto"/>
        <w:ind w:left="357" w:hanging="357" w:firstLineChars="0"/>
        <w:rPr>
          <w:rFonts w:ascii="Arial" w:hAnsi="Arial" w:eastAsia="宋体" w:cs="Arial"/>
          <w:i/>
          <w:color w:val="000000"/>
          <w:kern w:val="0"/>
          <w:sz w:val="18"/>
          <w:szCs w:val="18"/>
        </w:rPr>
      </w:pPr>
      <w:r>
        <w:rPr>
          <w:rFonts w:ascii="Arial" w:hAnsi="Arial" w:eastAsia="宋体" w:cs="Arial"/>
          <w:i/>
          <w:color w:val="000000"/>
          <w:kern w:val="0"/>
          <w:sz w:val="18"/>
          <w:szCs w:val="18"/>
        </w:rPr>
        <w:t>药品及其他人用和动物用产品</w:t>
      </w:r>
    </w:p>
    <w:p w14:paraId="2DFD17E3">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该通知提出了用于局部使用的眼用制剂、可注射制剂（</w:t>
      </w:r>
      <w:bookmarkStart w:id="6" w:name="OLE_LINK10"/>
      <w:r>
        <w:rPr>
          <w:rFonts w:ascii="Arial" w:hAnsi="Arial" w:eastAsia="宋体" w:cs="Arial"/>
          <w:color w:val="000000"/>
          <w:kern w:val="0"/>
          <w:sz w:val="18"/>
          <w:szCs w:val="18"/>
        </w:rPr>
        <w:t>包括动物乳房内输液产品）、含有药物成分的子宫内器械、含有某一成分的手术擦洗海绵和硬胶囊壳</w:t>
      </w:r>
      <w:bookmarkEnd w:id="6"/>
      <w:r>
        <w:rPr>
          <w:rFonts w:ascii="Arial" w:hAnsi="Arial" w:eastAsia="宋体" w:cs="Arial"/>
          <w:color w:val="000000"/>
          <w:kern w:val="0"/>
          <w:sz w:val="18"/>
          <w:szCs w:val="18"/>
        </w:rPr>
        <w:t>中环氧乙烷，氯乙醇和乙二醇的最大残留限量。在制造过程的任何部分（包括产品的任何组件或产品容器的制造过程）中，对于其中将环氧乙烷用作灭菌剂的任何此类药品或其他产品，残留限量将为最大可接受的限量。只要在发布销售时以及整个货架寿命内产品处于其销售容器中，该限量将适用于产品。拟定限量基于以前在新药申请中提交给FDA的数据，这些数据由一些制造商当前得到的值组成。</w:t>
      </w:r>
    </w:p>
    <w:p w14:paraId="6DC2C5FC">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根据拟定法规，残留限量适用的药品或其他产品的每个制造商都需要通过进行适当的实验室试验来确保，在发布销售时在其销售容器中的此类产品或其他产品不得超过残留限量。专员建议，可以使用许多分析方法（参考文献.54至75）来明确确定环氧乙烷、氯乙醇和乙二醇的残留物。已经发布了气相和薄层色谱、极谱法、比色法、质谱仪、无线电示踪剂等方法，其可以鉴定和测量环氧乙烷及其反应产品的微量残留物。尽管如此，专员认识到，在鉴别和确定微量环氧乙烷和环氧乙烷反应产品方面，可能存在一些技术问题。例如，以下任何因素可能会影响环氧乙烷及其反应产品的残留量，或检测到残留物的容易度：施用剂量、灭菌器的类型和循环以及产品的通风条件、物理状态、催化性质和反应动力学、环氧乙烷进出产品的扩散速率、产品中的水分和空气含量以及任何协同效应。专员建议，如果现行良好生产规范包括（1）批次抽样，（2）适当的样本量，（3）用于确保从样本收集到测定完成没有残留物损失的样本处理技术，以及（4）用于测量产品残留在检疫期间的样本收集到产品发布以供运输或出售之间变化的适当方法，他将把现行良好生产规范视为用于实验室控制环氧乙烷及其两个主要反应产品的残留物的通用科学方法。</w:t>
      </w:r>
    </w:p>
    <w:p w14:paraId="61AF8B9B">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专员进一步打算，对于用环氧乙烷作为灭菌剂的每种药品，制造商应制备使用环氧乙烷作为灭菌剂的每个制造过程的环氧乙烷、氯乙醇和乙二醇的残留物耗散曲线。这将为每个灭菌产品提供完整的耗散特征，并且使得制造商能够确定产品处于可发布销售的已确定限度内的时间点。</w:t>
      </w:r>
    </w:p>
    <w:p w14:paraId="12170F1A">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如上所述，专员还建议残留限量应在产品的货架寿命内适用。于1976年2月13日在联邦公报上公布的拟定现行良好生产规范法规将要求为所有药品提供到期日期，使得残留物要求在产品货架寿命内的应用符合拟定现行良好生产规范法规，即在使用之前，产品应保持其特性、强度、质量和纯度。此外，根据这一建议，将要求在分配或使用之前重新配制或稀释的药品在重新配制或稀释后符合既定残留限量。这一要求与拟定现行良好生产规范法规的目的相一致，即在使用之前，产品应保持其特性、强度、质量和纯度。</w:t>
      </w:r>
    </w:p>
    <w:p w14:paraId="51DA1A88">
      <w:pPr>
        <w:pStyle w:val="8"/>
        <w:widowControl/>
        <w:numPr>
          <w:ilvl w:val="1"/>
          <w:numId w:val="8"/>
        </w:numPr>
        <w:autoSpaceDE w:val="0"/>
        <w:autoSpaceDN w:val="0"/>
        <w:adjustRightInd w:val="0"/>
        <w:snapToGrid w:val="0"/>
        <w:spacing w:after="120" w:afterLines="50" w:line="300" w:lineRule="auto"/>
        <w:ind w:left="357" w:hanging="357" w:firstLineChars="0"/>
        <w:rPr>
          <w:rFonts w:ascii="Arial" w:hAnsi="Arial" w:eastAsia="宋体" w:cs="Arial"/>
          <w:i/>
          <w:color w:val="000000"/>
          <w:kern w:val="0"/>
          <w:sz w:val="18"/>
          <w:szCs w:val="18"/>
        </w:rPr>
      </w:pPr>
      <w:r>
        <w:rPr>
          <w:rFonts w:ascii="Arial" w:hAnsi="Arial" w:eastAsia="宋体" w:cs="Arial"/>
          <w:i/>
          <w:color w:val="000000"/>
          <w:kern w:val="0"/>
          <w:sz w:val="18"/>
          <w:szCs w:val="18"/>
        </w:rPr>
        <w:t>人用医疗器械</w:t>
      </w:r>
    </w:p>
    <w:p w14:paraId="6283296F">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专员还建议确定环氧乙烷、氯乙醇和乙二醇在某些人用器械中的最大残留限量：小型植入物（小于10克）（包括缝线和隐形眼镜）、中型植入物（10至100克）、大型植入物（大于100克）、</w:t>
      </w:r>
      <w:bookmarkStart w:id="7" w:name="OLE_LINK11"/>
      <w:bookmarkStart w:id="8" w:name="OLE_LINK12"/>
      <w:r>
        <w:rPr>
          <w:rFonts w:ascii="Arial" w:hAnsi="Arial" w:eastAsia="宋体" w:cs="Arial"/>
          <w:color w:val="000000"/>
          <w:kern w:val="0"/>
          <w:sz w:val="18"/>
          <w:szCs w:val="18"/>
        </w:rPr>
        <w:t>子宫内避孕器、人工晶状体、接触人体粘膜（口、鼻、气管、尿道）的器械、接触血液但身外使用的器械（血液透析器械，血液充氧器，血袋）、接触正常皮肤的器械（外科用铺巾、绷带）和手术擦洗海绵</w:t>
      </w:r>
      <w:bookmarkEnd w:id="7"/>
      <w:bookmarkEnd w:id="8"/>
      <w:r>
        <w:rPr>
          <w:rFonts w:ascii="Arial" w:hAnsi="Arial" w:eastAsia="宋体" w:cs="Arial"/>
          <w:color w:val="000000"/>
          <w:kern w:val="0"/>
          <w:sz w:val="18"/>
          <w:szCs w:val="18"/>
        </w:rPr>
        <w:t>。</w:t>
      </w:r>
    </w:p>
    <w:p w14:paraId="7139C298">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与药品一样，拟定残留限量是发布销售时位于其销售容器中的医疗器械最大可接受限量。残留限量来源于AAMI环氧乙烷（Z-79）小组委员会毒性工作组的值、为响应1973年9月12日联邦公报通知而提交给FDA的行业数据的值以及受制于获批新药申请的类似产品的现行良好生产规范确定的残留限量的值。例如，子宫内避孕器和外科手术清洁海绵的拟定残留限量与本通知中归类为药品的类似产品提出的限量相同。</w:t>
      </w:r>
    </w:p>
    <w:p w14:paraId="1CDEE7F2">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如果是药品，如果环氧乙烷在该器械制造过程的任何部分用作灭菌剂，包括器械任何组件或器械销售容器的制造过程，某些医疗器械确定的残留限量将适用。每个器械制造商将需要通过适当的实验室试验，确保位于其销售容器中的器械在发布销售时不超过残留限量。已在上文A段讨论一些能够对环氧乙烷、氯乙醇和乙二醇药物残留物进行可靠测定的分析方法。医疗器械促进协会环氧乙烷（Z-79）小组委员会已经确认（参考文献.57）用于检测医疗器械残留物的三种分析方法（参考文献.54、55和56）。此外，一些制造商和设备生产商以及某些其他人员已经开发方法，或者赞助出版了在处理塑料、织物和药品上测定残留物的方法（参考文献.58至75）。</w:t>
      </w:r>
    </w:p>
    <w:p w14:paraId="6A77F540">
      <w:pPr>
        <w:widowControl/>
        <w:jc w:val="left"/>
        <w:rPr>
          <w:rFonts w:ascii="Arial" w:hAnsi="Arial" w:eastAsia="宋体" w:cs="Arial"/>
          <w:color w:val="000000"/>
          <w:kern w:val="0"/>
          <w:sz w:val="18"/>
          <w:szCs w:val="18"/>
        </w:rPr>
      </w:pPr>
      <w:r>
        <w:rPr>
          <w:rFonts w:ascii="Arial" w:hAnsi="Arial" w:eastAsia="宋体" w:cs="Arial"/>
          <w:color w:val="000000"/>
          <w:kern w:val="0"/>
          <w:sz w:val="18"/>
          <w:szCs w:val="18"/>
        </w:rPr>
        <w:br w:type="page"/>
      </w:r>
    </w:p>
    <w:p w14:paraId="1E167104">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如果是药品，拟定规定将进一步要求，对于每种人用医疗器械，包括其组件和销售容器，制造商应为使用环氧乙烷作为灭菌剂的每个制造过程制备有关环氧乙烷、氯乙醇和乙二醇残留物的残留物耗散曲线。这将提供每个灭菌产品的耗散特性，</w:t>
      </w:r>
      <w:r>
        <w:rPr>
          <w:rFonts w:hint="eastAsia" w:ascii="Arial" w:hAnsi="Arial" w:eastAsia="宋体" w:cs="Arial"/>
          <w:color w:val="000000"/>
          <w:kern w:val="0"/>
          <w:sz w:val="18"/>
          <w:szCs w:val="18"/>
        </w:rPr>
        <w:t>并且使得制造商能够确定产品处于可发布销售的已确定限度内的时间点。</w:t>
      </w:r>
    </w:p>
    <w:p w14:paraId="12532D45">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目前，委员会并不建议在器械的整个货架寿命内将医疗器械确定的残留限量保持不变。某一器械的环氧乙烷及其反应产品的耗散受几个因素的影响，例如器械中的材料类型（例如塑料类型）、物理尺寸、暴露的表面积和包装。此外，环氧乙烷的残留物更可能转化为乙二醇（毒性较小的反应产品），而非氯乙醇。专员认为，即使可以进行理论计算，即氯乙醇或乙二醇的残留物可能会从器械运输之时开始增加，因此基于耗散，这些残留物也应出现相应减少。专员作出结论，除非有关于器械材料残留物耗散的更多数据，否则无法合理期望制造商在器械的整个货架寿命内确保器械符合这些残留限量。</w:t>
      </w:r>
    </w:p>
    <w:p w14:paraId="65C71140">
      <w:pPr>
        <w:widowControl/>
        <w:autoSpaceDE w:val="0"/>
        <w:autoSpaceDN w:val="0"/>
        <w:adjustRightInd w:val="0"/>
        <w:snapToGrid w:val="0"/>
        <w:spacing w:after="120" w:afterLines="50" w:line="300" w:lineRule="auto"/>
        <w:jc w:val="center"/>
        <w:rPr>
          <w:rFonts w:ascii="Arial" w:hAnsi="Arial" w:eastAsia="宋体" w:cs="Arial"/>
          <w:color w:val="000000"/>
          <w:kern w:val="0"/>
          <w:sz w:val="18"/>
          <w:szCs w:val="18"/>
        </w:rPr>
      </w:pPr>
      <w:r>
        <w:rPr>
          <w:rFonts w:ascii="Arial" w:hAnsi="Arial" w:eastAsia="宋体" w:cs="Arial"/>
          <w:color w:val="000000"/>
          <w:kern w:val="0"/>
          <w:sz w:val="18"/>
          <w:szCs w:val="18"/>
        </w:rPr>
        <w:t>最大每日暴露水平</w:t>
      </w:r>
    </w:p>
    <w:p w14:paraId="2D378E6D">
      <w:pPr>
        <w:pStyle w:val="8"/>
        <w:widowControl/>
        <w:numPr>
          <w:ilvl w:val="0"/>
          <w:numId w:val="9"/>
        </w:numPr>
        <w:autoSpaceDE w:val="0"/>
        <w:autoSpaceDN w:val="0"/>
        <w:adjustRightInd w:val="0"/>
        <w:snapToGrid w:val="0"/>
        <w:spacing w:after="120" w:afterLines="50" w:line="300" w:lineRule="auto"/>
        <w:ind w:left="0" w:firstLine="0" w:firstLineChars="0"/>
        <w:rPr>
          <w:rFonts w:ascii="Arial" w:hAnsi="Arial" w:eastAsia="宋体" w:cs="Arial"/>
          <w:i/>
          <w:color w:val="000000"/>
          <w:kern w:val="0"/>
          <w:sz w:val="18"/>
          <w:szCs w:val="18"/>
        </w:rPr>
      </w:pPr>
      <w:r>
        <w:rPr>
          <w:rFonts w:ascii="Arial" w:hAnsi="Arial" w:eastAsia="宋体" w:cs="Arial"/>
          <w:i/>
          <w:color w:val="000000"/>
          <w:kern w:val="0"/>
          <w:sz w:val="18"/>
          <w:szCs w:val="18"/>
        </w:rPr>
        <w:t>药品及其他人用和动物用产品</w:t>
      </w:r>
    </w:p>
    <w:p w14:paraId="2C9C9EEB">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专员还提议确定环氧乙烷和氯乙醇的每日最大暴露水平，因为暴露于含有这些残留物的药品可产生致突变性的潜在风险。他还建议确定乙二醇的每日最大暴露水平，因为暴露于含有该残留物的药物可产生已知毒性。</w:t>
      </w:r>
    </w:p>
    <w:p w14:paraId="6A641AA2">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人类遗传风险估算的当前计算依据是基于评价和确认较早阶段的各种假设和试验。当考虑致突变性的可能性时，通过传统毒理学试验（例如，对身体功能的生理、生物化学或病理变化的测量）确认安全的环氧乙烷和氯乙醇水平可能并不安全。尽管如此，专员认为，鉴于暴露于环氧乙烷及其反应产品（氯乙醇）可产生致突变性的潜在风险，他现在必须尝试限制在其管辖范围内的产品暴露。因此，他建议根据现有的毒性数据、某些假设以及应用额外的</w:t>
      </w:r>
      <w:r>
        <w:rPr>
          <w:rFonts w:ascii="宋体" w:hAnsi="宋体" w:eastAsia="宋体" w:cs="Arial"/>
          <w:color w:val="000000"/>
          <w:kern w:val="0"/>
          <w:sz w:val="18"/>
          <w:szCs w:val="18"/>
        </w:rPr>
        <w:t>“</w:t>
      </w:r>
      <w:r>
        <w:rPr>
          <w:rFonts w:ascii="Arial" w:hAnsi="Arial" w:eastAsia="宋体" w:cs="Arial"/>
          <w:color w:val="000000"/>
          <w:kern w:val="0"/>
          <w:sz w:val="18"/>
          <w:szCs w:val="18"/>
        </w:rPr>
        <w:t>最佳判断</w:t>
      </w:r>
      <w:r>
        <w:rPr>
          <w:rFonts w:ascii="宋体" w:hAnsi="宋体" w:eastAsia="宋体" w:cs="Arial"/>
          <w:color w:val="000000"/>
          <w:kern w:val="0"/>
          <w:sz w:val="18"/>
          <w:szCs w:val="18"/>
        </w:rPr>
        <w:t>”</w:t>
      </w:r>
      <w:r>
        <w:rPr>
          <w:rFonts w:ascii="Arial" w:hAnsi="Arial" w:eastAsia="宋体" w:cs="Arial"/>
          <w:color w:val="000000"/>
          <w:kern w:val="0"/>
          <w:sz w:val="18"/>
          <w:szCs w:val="18"/>
        </w:rPr>
        <w:t>安全系数，确定每日最大暴露水平。专员建议，鉴于用于与致突变性有关的风险判断的科学依据有所改善，该审查机构将重新考虑已确定的每日最大暴露水平。这种重新考虑可能会进一步降低这些暴露水平。专员建议根据现有的毒性数据确定乙二醇的每日最大暴露水平。</w:t>
      </w:r>
    </w:p>
    <w:p w14:paraId="6AF2722D">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因此，专员建议根据以下计算确定环氧乙烷和氯乙醇以及乙二醇的每日最大暴露水平：</w:t>
      </w:r>
    </w:p>
    <w:p w14:paraId="33E81001">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环氧乙烷-在Woodard和Woodard（参考文献.4）报道的毒性研究中，犬和大鼠接受环氧乙烷的皮下感染30天。当所施用的环氧乙烷为最低水平（6 mg /kg/天）（见上文</w:t>
      </w:r>
      <w:r>
        <w:rPr>
          <w:rFonts w:ascii="宋体" w:hAnsi="宋体" w:eastAsia="宋体" w:cs="Arial"/>
          <w:color w:val="000000"/>
          <w:kern w:val="0"/>
          <w:sz w:val="18"/>
          <w:szCs w:val="18"/>
        </w:rPr>
        <w:t>“</w:t>
      </w:r>
      <w:r>
        <w:rPr>
          <w:rFonts w:ascii="Arial" w:hAnsi="Arial" w:eastAsia="宋体" w:cs="Arial"/>
          <w:color w:val="000000"/>
          <w:kern w:val="0"/>
          <w:sz w:val="18"/>
          <w:szCs w:val="18"/>
        </w:rPr>
        <w:t>环氧乙烷</w:t>
      </w:r>
      <w:r>
        <w:rPr>
          <w:rFonts w:ascii="宋体" w:hAnsi="宋体" w:eastAsia="宋体" w:cs="Arial"/>
          <w:color w:val="000000"/>
          <w:kern w:val="0"/>
          <w:sz w:val="18"/>
          <w:szCs w:val="18"/>
        </w:rPr>
        <w:t>”</w:t>
      </w:r>
      <w:r>
        <w:rPr>
          <w:rFonts w:ascii="Arial" w:hAnsi="Arial" w:eastAsia="宋体" w:cs="Arial"/>
          <w:color w:val="000000"/>
          <w:kern w:val="0"/>
          <w:sz w:val="18"/>
          <w:szCs w:val="18"/>
        </w:rPr>
        <w:t>第C.1段）时，两种动物物种均出现一些血液学变化，且2/4只犬有异位造血脾。因此，Woodard和Woodard的剂量反应数据并未显示环氧乙烷的明显</w:t>
      </w:r>
      <w:r>
        <w:rPr>
          <w:rFonts w:ascii="宋体" w:hAnsi="宋体" w:eastAsia="宋体" w:cs="Arial"/>
          <w:color w:val="000000"/>
          <w:kern w:val="0"/>
          <w:sz w:val="18"/>
          <w:szCs w:val="18"/>
        </w:rPr>
        <w:t>“</w:t>
      </w:r>
      <w:r>
        <w:rPr>
          <w:rFonts w:ascii="Arial" w:hAnsi="Arial" w:eastAsia="宋体" w:cs="Arial"/>
          <w:color w:val="000000"/>
          <w:kern w:val="0"/>
          <w:sz w:val="18"/>
          <w:szCs w:val="18"/>
        </w:rPr>
        <w:t>无效应</w:t>
      </w:r>
      <w:r>
        <w:rPr>
          <w:rFonts w:ascii="宋体" w:hAnsi="宋体" w:eastAsia="宋体" w:cs="Arial"/>
          <w:color w:val="000000"/>
          <w:kern w:val="0"/>
          <w:sz w:val="18"/>
          <w:szCs w:val="18"/>
        </w:rPr>
        <w:t>”</w:t>
      </w:r>
      <w:r>
        <w:rPr>
          <w:rFonts w:ascii="Arial" w:hAnsi="Arial" w:eastAsia="宋体" w:cs="Arial"/>
          <w:color w:val="000000"/>
          <w:kern w:val="0"/>
          <w:sz w:val="18"/>
          <w:szCs w:val="18"/>
        </w:rPr>
        <w:t>水平。根据剂量反应数据显示的趋势，Bruch（参考文献.3）估计，如果将所测最低剂量削减50%（即3mg/kg/天），则实现</w:t>
      </w:r>
      <w:r>
        <w:rPr>
          <w:rFonts w:ascii="宋体" w:hAnsi="宋体" w:eastAsia="宋体" w:cs="Arial"/>
          <w:color w:val="000000"/>
          <w:kern w:val="0"/>
          <w:sz w:val="18"/>
          <w:szCs w:val="18"/>
        </w:rPr>
        <w:t>“</w:t>
      </w:r>
      <w:r>
        <w:rPr>
          <w:rFonts w:ascii="Arial" w:hAnsi="Arial" w:eastAsia="宋体" w:cs="Arial"/>
          <w:color w:val="000000"/>
          <w:kern w:val="0"/>
          <w:sz w:val="18"/>
          <w:szCs w:val="18"/>
        </w:rPr>
        <w:t>无效应</w:t>
      </w:r>
      <w:r>
        <w:rPr>
          <w:rFonts w:ascii="宋体" w:hAnsi="宋体" w:eastAsia="宋体" w:cs="Arial"/>
          <w:color w:val="000000"/>
          <w:kern w:val="0"/>
          <w:sz w:val="18"/>
          <w:szCs w:val="18"/>
        </w:rPr>
        <w:t>”</w:t>
      </w:r>
      <w:r>
        <w:rPr>
          <w:rFonts w:ascii="Arial" w:hAnsi="Arial" w:eastAsia="宋体" w:cs="Arial"/>
          <w:color w:val="000000"/>
          <w:kern w:val="0"/>
          <w:sz w:val="18"/>
          <w:szCs w:val="18"/>
        </w:rPr>
        <w:t>水平的概率很高。然后由Bruch施用10倍安全系数（经常用于推断人类全身</w:t>
      </w:r>
      <w:r>
        <w:rPr>
          <w:rFonts w:ascii="宋体" w:hAnsi="宋体" w:eastAsia="宋体" w:cs="Arial"/>
          <w:color w:val="000000"/>
          <w:kern w:val="0"/>
          <w:sz w:val="18"/>
          <w:szCs w:val="18"/>
        </w:rPr>
        <w:t>“</w:t>
      </w:r>
      <w:r>
        <w:rPr>
          <w:rFonts w:ascii="Arial" w:hAnsi="Arial" w:eastAsia="宋体" w:cs="Arial"/>
          <w:color w:val="000000"/>
          <w:kern w:val="0"/>
          <w:sz w:val="18"/>
          <w:szCs w:val="18"/>
        </w:rPr>
        <w:t>无效应</w:t>
      </w:r>
      <w:r>
        <w:rPr>
          <w:rFonts w:ascii="宋体" w:hAnsi="宋体" w:eastAsia="宋体" w:cs="Arial"/>
          <w:color w:val="000000"/>
          <w:kern w:val="0"/>
          <w:sz w:val="18"/>
          <w:szCs w:val="18"/>
        </w:rPr>
        <w:t>”</w:t>
      </w:r>
      <w:r>
        <w:rPr>
          <w:rFonts w:ascii="Arial" w:hAnsi="Arial" w:eastAsia="宋体" w:cs="Arial"/>
          <w:color w:val="000000"/>
          <w:kern w:val="0"/>
          <w:sz w:val="18"/>
          <w:szCs w:val="18"/>
        </w:rPr>
        <w:t>剂量的因子），以产生一个假设安全水平，其为0.3mg /kg/天，持续30天。如果将该安全系数用于一名70公斤的男性，则每日安全（以毒性计）剂量为21毫克。</w:t>
      </w:r>
    </w:p>
    <w:p w14:paraId="10972959">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然而，因为环氧乙烷具有不可逆的毒性效应，例如致突变性，从而使得足够的剂量数据不可用，为充分保护用环氧乙烷灭菌产品的用户，专员建议在提出可接受的暴露水平时增加数值为10的额外安全系数。因此，30微克/每公斤/每天（μg/kg/天）且持续3 0天的水平被视为环氧乙烷残留物的可接受暴露水平。</w:t>
      </w:r>
    </w:p>
    <w:p w14:paraId="77FA15A4">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氯乙醇-在Woodard和Woodard研究（参考文献.4）中，犬和大鼠也接受皮下注射氯乙醇30天。当所测氯乙醇处于最低水平（13mg /kg/天），且与环氧乙烷一样时，一些动物出现轻微的血液学变化，并且1/4只犬有异位造血脾（请参见氯乙醇，C段，后亚慢性毒性的讨论）。Amin认为，Woodard和Woodard的剂量反应数据并未显示出明确的</w:t>
      </w:r>
      <w:r>
        <w:rPr>
          <w:rFonts w:ascii="宋体" w:hAnsi="宋体" w:eastAsia="宋体" w:cs="Arial"/>
          <w:color w:val="000000"/>
          <w:kern w:val="0"/>
          <w:sz w:val="18"/>
          <w:szCs w:val="18"/>
        </w:rPr>
        <w:t>“</w:t>
      </w:r>
      <w:r>
        <w:rPr>
          <w:rFonts w:ascii="Arial" w:hAnsi="Arial" w:eastAsia="宋体" w:cs="Arial"/>
          <w:color w:val="000000"/>
          <w:kern w:val="0"/>
          <w:sz w:val="18"/>
          <w:szCs w:val="18"/>
        </w:rPr>
        <w:t>无效应</w:t>
      </w:r>
      <w:r>
        <w:rPr>
          <w:rFonts w:ascii="宋体" w:hAnsi="宋体" w:eastAsia="宋体" w:cs="Arial"/>
          <w:color w:val="000000"/>
          <w:kern w:val="0"/>
          <w:sz w:val="18"/>
          <w:szCs w:val="18"/>
        </w:rPr>
        <w:t>”</w:t>
      </w:r>
      <w:r>
        <w:rPr>
          <w:rFonts w:ascii="Arial" w:hAnsi="Arial" w:eastAsia="宋体" w:cs="Arial"/>
          <w:color w:val="000000"/>
          <w:kern w:val="0"/>
          <w:sz w:val="18"/>
          <w:szCs w:val="18"/>
        </w:rPr>
        <w:t>水平。根据剂量反应数据显示的趋势。Bruch再次估计，如果将所测最低剂量削减50%（即1.5mg /kg/天），则实现</w:t>
      </w:r>
      <w:r>
        <w:rPr>
          <w:rFonts w:ascii="宋体" w:hAnsi="宋体" w:eastAsia="宋体" w:cs="Arial"/>
          <w:color w:val="000000"/>
          <w:kern w:val="0"/>
          <w:sz w:val="18"/>
          <w:szCs w:val="18"/>
        </w:rPr>
        <w:t>“</w:t>
      </w:r>
      <w:r>
        <w:rPr>
          <w:rFonts w:ascii="Arial" w:hAnsi="Arial" w:eastAsia="宋体" w:cs="Arial"/>
          <w:color w:val="000000"/>
          <w:kern w:val="0"/>
          <w:sz w:val="18"/>
          <w:szCs w:val="18"/>
        </w:rPr>
        <w:t>无效应</w:t>
      </w:r>
      <w:r>
        <w:rPr>
          <w:rFonts w:ascii="宋体" w:hAnsi="宋体" w:eastAsia="宋体" w:cs="Arial"/>
          <w:color w:val="000000"/>
          <w:kern w:val="0"/>
          <w:sz w:val="18"/>
          <w:szCs w:val="18"/>
        </w:rPr>
        <w:t>”</w:t>
      </w:r>
      <w:r>
        <w:rPr>
          <w:rFonts w:ascii="Arial" w:hAnsi="Arial" w:eastAsia="宋体" w:cs="Arial"/>
          <w:color w:val="000000"/>
          <w:kern w:val="0"/>
          <w:sz w:val="18"/>
          <w:szCs w:val="18"/>
        </w:rPr>
        <w:t>水平的可能性很高。与环氧乙烷一样，Bruch然后应用了10倍的安全系数，产生0.15mg /kg/天的人类假设安全水平，持续30天。</w:t>
      </w:r>
    </w:p>
    <w:p w14:paraId="33B23E1A">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由于氯乙醇的潜在致突变性，以及由于其与环氧乙烷的相似性，专员认为，相同的额外安全系数对于含有氯乙醇的产品同样适用。因此，他建议应用一个数值为10的额外安全系数，产生氯乙醇残留物的15μg/kg/天的暴露水平。</w:t>
      </w:r>
    </w:p>
    <w:p w14:paraId="374E8DA4">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乙二醇-Woodard和Woodard的研究还包含了基于每日皮下注射乙二醇在犬和大鼠中进行30天毒性研究的数据。当所测乙二醇处于最低水平（50mg/kg/天）时，动物有轻微的血液学变化。与环氧乙烷和氯乙醇一样，来自该研究的剂量反应数据并未显示出明确的</w:t>
      </w:r>
      <w:r>
        <w:rPr>
          <w:rFonts w:ascii="宋体" w:hAnsi="宋体" w:eastAsia="宋体" w:cs="Arial"/>
          <w:color w:val="000000"/>
          <w:kern w:val="0"/>
          <w:sz w:val="18"/>
          <w:szCs w:val="18"/>
        </w:rPr>
        <w:t>“</w:t>
      </w:r>
      <w:r>
        <w:rPr>
          <w:rFonts w:ascii="Arial" w:hAnsi="Arial" w:eastAsia="宋体" w:cs="Arial"/>
          <w:color w:val="000000"/>
          <w:kern w:val="0"/>
          <w:sz w:val="18"/>
          <w:szCs w:val="18"/>
        </w:rPr>
        <w:t>无效应</w:t>
      </w:r>
      <w:r>
        <w:rPr>
          <w:rFonts w:ascii="宋体" w:hAnsi="宋体" w:eastAsia="宋体" w:cs="Arial"/>
          <w:color w:val="000000"/>
          <w:kern w:val="0"/>
          <w:sz w:val="18"/>
          <w:szCs w:val="18"/>
        </w:rPr>
        <w:t>”</w:t>
      </w:r>
      <w:r>
        <w:rPr>
          <w:rFonts w:ascii="Arial" w:hAnsi="Arial" w:eastAsia="宋体" w:cs="Arial"/>
          <w:color w:val="000000"/>
          <w:kern w:val="0"/>
          <w:sz w:val="18"/>
          <w:szCs w:val="18"/>
        </w:rPr>
        <w:t>水平。根据剂量反应数据显示的趋势，Bruch估计，如果将所测最低剂量削减50%（25mg/kg/天），则实现</w:t>
      </w:r>
      <w:r>
        <w:rPr>
          <w:rFonts w:ascii="宋体" w:hAnsi="宋体" w:eastAsia="宋体" w:cs="Arial"/>
          <w:color w:val="000000"/>
          <w:kern w:val="0"/>
          <w:sz w:val="18"/>
          <w:szCs w:val="18"/>
        </w:rPr>
        <w:t>“</w:t>
      </w:r>
      <w:r>
        <w:rPr>
          <w:rFonts w:ascii="Arial" w:hAnsi="Arial" w:eastAsia="宋体" w:cs="Arial"/>
          <w:color w:val="000000"/>
          <w:kern w:val="0"/>
          <w:sz w:val="18"/>
          <w:szCs w:val="18"/>
        </w:rPr>
        <w:t>无效应</w:t>
      </w:r>
      <w:r>
        <w:rPr>
          <w:rFonts w:ascii="宋体" w:hAnsi="宋体" w:eastAsia="宋体" w:cs="Arial"/>
          <w:color w:val="000000"/>
          <w:kern w:val="0"/>
          <w:sz w:val="18"/>
          <w:szCs w:val="18"/>
        </w:rPr>
        <w:t>”</w:t>
      </w:r>
      <w:r>
        <w:rPr>
          <w:rFonts w:ascii="Arial" w:hAnsi="Arial" w:eastAsia="宋体" w:cs="Arial"/>
          <w:color w:val="000000"/>
          <w:kern w:val="0"/>
          <w:sz w:val="18"/>
          <w:szCs w:val="18"/>
        </w:rPr>
        <w:t>水平的可能性很高。与环氧乙烷一样，Bruch应用了10倍的安全系数，产生假设安全水平，其为2.5 mg /kg/天，持续30天。因为专员并不知晓有乙二醇具有潜在致突变性的证据，他认为无需应用额外安全系数。</w:t>
      </w:r>
    </w:p>
    <w:p w14:paraId="52671B44">
      <w:pPr>
        <w:pStyle w:val="8"/>
        <w:widowControl/>
        <w:numPr>
          <w:ilvl w:val="0"/>
          <w:numId w:val="9"/>
        </w:numPr>
        <w:autoSpaceDE w:val="0"/>
        <w:autoSpaceDN w:val="0"/>
        <w:adjustRightInd w:val="0"/>
        <w:snapToGrid w:val="0"/>
        <w:spacing w:after="120" w:afterLines="50" w:line="300" w:lineRule="auto"/>
        <w:ind w:left="0" w:firstLine="0" w:firstLineChars="0"/>
        <w:rPr>
          <w:rFonts w:ascii="Arial" w:hAnsi="Arial" w:eastAsia="宋体" w:cs="Arial"/>
          <w:i/>
          <w:color w:val="000000"/>
          <w:kern w:val="0"/>
          <w:sz w:val="18"/>
          <w:szCs w:val="18"/>
        </w:rPr>
      </w:pPr>
      <w:r>
        <w:rPr>
          <w:rFonts w:ascii="Arial" w:hAnsi="Arial" w:eastAsia="宋体" w:cs="Arial"/>
          <w:i/>
          <w:color w:val="000000"/>
          <w:kern w:val="0"/>
          <w:sz w:val="18"/>
          <w:szCs w:val="18"/>
        </w:rPr>
        <w:t>人用医疗器械</w:t>
      </w:r>
    </w:p>
    <w:p w14:paraId="0D2ACAC9">
      <w:pPr>
        <w:widowControl/>
        <w:jc w:val="left"/>
        <w:rPr>
          <w:rFonts w:ascii="Arial" w:hAnsi="Arial" w:eastAsia="宋体" w:cs="Arial"/>
          <w:color w:val="000000"/>
          <w:kern w:val="0"/>
          <w:sz w:val="15"/>
          <w:szCs w:val="15"/>
        </w:rPr>
      </w:pPr>
      <w:r>
        <w:rPr>
          <w:rFonts w:ascii="Arial" w:hAnsi="Arial" w:eastAsia="宋体" w:cs="Arial"/>
          <w:color w:val="000000"/>
          <w:kern w:val="0"/>
          <w:sz w:val="15"/>
          <w:szCs w:val="15"/>
        </w:rPr>
        <w:br w:type="page"/>
      </w:r>
    </w:p>
    <w:p w14:paraId="16BF49A6">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专员决定，目前拟定用于药品的最高暴露水平（环氧乙烷为30μg/kg/天，氯乙醇为15μg /kg/天，乙二醇为2.5mg /kg/天）无法合理地应用于人用医疗器械。这种暴露水平的应用将需要确定大量的豁免，因为目前制造的许多医疗器械将不能满足这些每日暴露水平，并且在现有技术下可能无法轻易对其进行修改以实现这一点。</w:t>
      </w:r>
    </w:p>
    <w:p w14:paraId="1DE55FFE">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目前阻止专员将暴露水平应用于人用医疗器械的其他因素涉及许多医疗器械的性质、方式和使用频率。例如，局部使用的器械，如海绵和衬垫，只能使用一次，且预期不会将其残留物全部递送到患者身上。然而，预期植入器械在插入后可立即递送其大部分残留物，随后递送速度减慢。同时，因塑料材料多种多样，缺乏关于残留物耗散和移动速率的数据；期望医疗器械制造商能够与医生和其他卫生专业人员协同工作，以限制同一天使用不同器械而产生的患者接触量并不切实际。基于这些因素，专员认为，他无法有效地设定人用医疗器械的拟定最大暴露水平。然而，他邀请提交关于塑料材料各种残留物耗散速率的已发表和未发表数据。不过，专员建议，已计算人用医疗器械的拟定残留限量，以尽可能多地减少残留物的每日最大暴露水平。</w:t>
      </w:r>
    </w:p>
    <w:p w14:paraId="38183AEE">
      <w:pPr>
        <w:widowControl/>
        <w:autoSpaceDE w:val="0"/>
        <w:autoSpaceDN w:val="0"/>
        <w:adjustRightInd w:val="0"/>
        <w:snapToGrid w:val="0"/>
        <w:spacing w:after="120" w:afterLines="50" w:line="300" w:lineRule="auto"/>
        <w:jc w:val="center"/>
        <w:rPr>
          <w:rFonts w:ascii="Arial" w:hAnsi="Arial" w:eastAsia="宋体" w:cs="Arial"/>
          <w:color w:val="000000"/>
          <w:kern w:val="0"/>
          <w:sz w:val="18"/>
          <w:szCs w:val="18"/>
        </w:rPr>
      </w:pPr>
      <w:r>
        <w:rPr>
          <w:rFonts w:ascii="Arial" w:hAnsi="Arial" w:eastAsia="宋体" w:cs="Arial"/>
          <w:color w:val="000000"/>
          <w:kern w:val="0"/>
          <w:sz w:val="18"/>
          <w:szCs w:val="18"/>
        </w:rPr>
        <w:t>要求总结</w:t>
      </w:r>
    </w:p>
    <w:p w14:paraId="06735AAF">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根据这些拟定要求，如果在发布产品进行销售时和整个货架寿命内，环氧乙烷、氯乙醇和乙二醇的残留物不超过本条法规的残留物，药品将被视为合格，且环氧乙烷的每日最大暴露水平不超过30μg /kg/天，持续30天，氯乙醇为15 μg/kg/天，持续30天，乙二醇为2.5 mg/kg/day，持续30天。因此，如果某一药品在其推荐或批准标签中的剂量使得为产品确定的暴露水平仍然会超过，则尽管符合残留限量，制造商仍然需要减少产品残留物的量，使得每日总暴露水平不会超过推荐用量使用。此外，对于在分配或使用之前须重新配制或稀释的药品，要求在药物重新配制或稀释时仍满足所规定的残留限量。如果环氧乙烷、氯乙醇和乙二醇的残留物在发布器械进行销售时不超过规定中的残留物，则人用医疗器械将被视为合规。且无需确定器械的每日暴露水平。</w:t>
      </w:r>
    </w:p>
    <w:p w14:paraId="411FEA6A">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尽管专员认为拟定残留限量可以接受，但制造商应在遵循现行良好生产规范且所使用的水平不会损害灭菌剂的有效性或产品的无菌性的情况下尝试实现更低的水平。</w:t>
      </w:r>
    </w:p>
    <w:p w14:paraId="74402130">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专员认识到，在充分评估环氧乙烷及其反应产品作为诱变剂的可能性之前，需要获取更多的数据。他鼓励提交关于环氧乙烷及其两个主要反应产品的使用、性能和毒性的任何已发表和未发表数据，以及与这些化合物的安全性和有效性有关的任何其他数据。专员还请求提交并不受制于本通知的任何人用药品或医疗器械的类似资料，以确定这些产品的残留限量。</w:t>
      </w:r>
    </w:p>
    <w:p w14:paraId="080F7B83">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最终残留限量将由机构根据有关人员就此建议提交的评论和数据确定。专员指出，目前有许多动物毒性研究正在进行当中，其中涉及环氧乙烷及其反应产品。2年的大鼠环氧乙烷研究正在卡内基梅隆研究所进行。这些将包括畸形学致畸性和一代生殖研究。国家癌症研究所也就氯乙醇开始了2年的致癌性研究，并已安排了2年的环氧乙烷致癌性试验。这些试验的结果可为修订暴露水平或残留物的既定值提供依据。</w:t>
      </w:r>
    </w:p>
    <w:p w14:paraId="388FA9B9">
      <w:pPr>
        <w:widowControl/>
        <w:autoSpaceDE w:val="0"/>
        <w:autoSpaceDN w:val="0"/>
        <w:adjustRightInd w:val="0"/>
        <w:snapToGrid w:val="0"/>
        <w:spacing w:after="120" w:afterLines="50" w:line="300" w:lineRule="auto"/>
        <w:jc w:val="center"/>
        <w:rPr>
          <w:rFonts w:ascii="Arial" w:hAnsi="Arial" w:eastAsia="宋体" w:cs="Arial"/>
          <w:color w:val="000000"/>
          <w:kern w:val="0"/>
          <w:sz w:val="18"/>
          <w:szCs w:val="18"/>
        </w:rPr>
      </w:pPr>
      <w:r>
        <w:rPr>
          <w:rFonts w:ascii="Arial" w:hAnsi="Arial" w:eastAsia="宋体" w:cs="Arial"/>
          <w:color w:val="000000"/>
          <w:kern w:val="0"/>
          <w:sz w:val="18"/>
          <w:szCs w:val="18"/>
        </w:rPr>
        <w:t>参考文件</w:t>
      </w:r>
    </w:p>
    <w:p w14:paraId="360C999C">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以下引用的所有参考文件的副本均在食品药品监督管理局，听证员办公室内公开展示。</w:t>
      </w:r>
    </w:p>
    <w:p w14:paraId="702BA65A">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Report of the Subcommittee to the HEW Committee to Coordinate Toxicology and Related Programs on the "Benefits and Risks from the Use-of Ethylene Oxide for Sterilization," April 1, X977.</w:t>
      </w:r>
    </w:p>
    <w:p w14:paraId="5599BCBC">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FDA Ethylene Oxide Review Qommit- tee memorandum, "Safety and Efficacy of Ethylene Oxide as a Sterilant and Fumi- gant." May 30.197S.</w:t>
      </w:r>
    </w:p>
    <w:p w14:paraId="05EA63D3">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Bruch, C. W.. "Sterilization of Plastics: Toxicity of Ethyelene Oxide Residues."</w:t>
      </w:r>
      <w:r>
        <w:rPr>
          <w:rStyle w:val="15"/>
          <w:rFonts w:ascii="Arial" w:hAnsi="Arial" w:cs="Arial"/>
          <w:spacing w:val="0"/>
          <w:sz w:val="13"/>
          <w:szCs w:val="13"/>
        </w:rPr>
        <w:t xml:space="preserve"> in </w:t>
      </w:r>
      <w:r>
        <w:rPr>
          <w:rFonts w:ascii="Arial" w:hAnsi="Arial" w:cs="Arial"/>
          <w:spacing w:val="0"/>
          <w:sz w:val="13"/>
          <w:szCs w:val="13"/>
        </w:rPr>
        <w:t>"Industrial Sterilization," edited by O. Briggs Phillips and W. S. Miller, Duke Uni</w:t>
      </w:r>
      <w:r>
        <w:rPr>
          <w:rFonts w:ascii="Arial" w:hAnsi="Arial" w:cs="Arial"/>
          <w:spacing w:val="0"/>
          <w:sz w:val="13"/>
          <w:szCs w:val="13"/>
        </w:rPr>
        <w:softHyphen/>
      </w:r>
      <w:r>
        <w:rPr>
          <w:rFonts w:ascii="Arial" w:hAnsi="Arial" w:cs="Arial"/>
          <w:spacing w:val="0"/>
          <w:sz w:val="13"/>
          <w:szCs w:val="13"/>
        </w:rPr>
        <w:t>versity Press, Durham, NC, pp. 49-77, 1973.</w:t>
      </w:r>
    </w:p>
    <w:p w14:paraId="0C043BDF">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Woodard, G. and M. Woodard. "Toxic</w:t>
      </w:r>
      <w:r>
        <w:rPr>
          <w:rFonts w:ascii="Arial" w:hAnsi="Arial" w:cs="Arial"/>
          <w:spacing w:val="0"/>
          <w:sz w:val="13"/>
          <w:szCs w:val="13"/>
        </w:rPr>
        <w:softHyphen/>
      </w:r>
      <w:r>
        <w:rPr>
          <w:rFonts w:ascii="Arial" w:hAnsi="Arial" w:cs="Arial"/>
          <w:spacing w:val="0"/>
          <w:sz w:val="13"/>
          <w:szCs w:val="13"/>
        </w:rPr>
        <w:t>ity of Residuals From Ethylene Oxide Gas Sterilization," pp. 140-161 in the Proceed</w:t>
      </w:r>
      <w:r>
        <w:rPr>
          <w:rFonts w:ascii="Arial" w:hAnsi="Arial" w:cs="Arial"/>
          <w:spacing w:val="0"/>
          <w:sz w:val="13"/>
          <w:szCs w:val="13"/>
        </w:rPr>
        <w:softHyphen/>
      </w:r>
      <w:r>
        <w:rPr>
          <w:rFonts w:ascii="Arial" w:hAnsi="Arial" w:cs="Arial"/>
          <w:spacing w:val="0"/>
          <w:sz w:val="13"/>
          <w:szCs w:val="13"/>
        </w:rPr>
        <w:t>ings of the 1971 HIA Technical Symposium. Health Indutries Association, Washington. DC.</w:t>
      </w:r>
    </w:p>
    <w:p w14:paraId="19797F8E">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Draize, J. H., "Dermal Toxicity,"</w:t>
      </w:r>
      <w:r>
        <w:rPr>
          <w:rStyle w:val="15"/>
          <w:rFonts w:ascii="Arial" w:hAnsi="Arial" w:cs="Arial"/>
          <w:spacing w:val="0"/>
          <w:sz w:val="13"/>
          <w:szCs w:val="13"/>
        </w:rPr>
        <w:t xml:space="preserve"> in </w:t>
      </w:r>
      <w:r>
        <w:rPr>
          <w:rFonts w:ascii="Arial" w:hAnsi="Arial" w:cs="Arial"/>
          <w:spacing w:val="0"/>
          <w:sz w:val="13"/>
          <w:szCs w:val="13"/>
        </w:rPr>
        <w:t>"Appraisal of the Safety of Chemicals In Foods, Drugs, and Cosmetics," Association of Food and Drug Officials of the U.S., pp. 46-59.1965.</w:t>
      </w:r>
    </w:p>
    <w:p w14:paraId="651F1E22">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McDonald, T. O., et al„ "Acute Ocular Toxicity of Ethylene Oxide, Ethylene Glycol, and Ethylene Chlorohydrin,"</w:t>
      </w:r>
      <w:r>
        <w:rPr>
          <w:rStyle w:val="15"/>
          <w:rFonts w:ascii="Arial" w:hAnsi="Arial" w:cs="Arial"/>
          <w:spacing w:val="0"/>
          <w:sz w:val="13"/>
          <w:szCs w:val="13"/>
        </w:rPr>
        <w:t xml:space="preserve"> Bulle</w:t>
      </w:r>
      <w:r>
        <w:rPr>
          <w:rStyle w:val="15"/>
          <w:rFonts w:ascii="Arial" w:hAnsi="Arial" w:cs="Arial"/>
          <w:spacing w:val="0"/>
          <w:sz w:val="13"/>
          <w:szCs w:val="13"/>
        </w:rPr>
        <w:softHyphen/>
      </w:r>
      <w:r>
        <w:rPr>
          <w:rStyle w:val="15"/>
          <w:rFonts w:ascii="Arial" w:hAnsi="Arial" w:cs="Arial"/>
          <w:spacing w:val="0"/>
          <w:sz w:val="13"/>
          <w:szCs w:val="13"/>
        </w:rPr>
        <w:t xml:space="preserve">tin of the Parenteral Drug Association, </w:t>
      </w:r>
      <w:r>
        <w:rPr>
          <w:rFonts w:ascii="Arial" w:hAnsi="Arial" w:cs="Arial"/>
          <w:spacing w:val="0"/>
          <w:sz w:val="13"/>
          <w:szCs w:val="13"/>
        </w:rPr>
        <w:t>27(4):153-164,1973.</w:t>
      </w:r>
    </w:p>
    <w:p w14:paraId="75D3FD5A">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Alcon Laboratories, In&lt;x, letter regard</w:t>
      </w:r>
      <w:r>
        <w:rPr>
          <w:rFonts w:ascii="Arial" w:hAnsi="Arial" w:cs="Arial"/>
          <w:spacing w:val="0"/>
          <w:sz w:val="13"/>
          <w:szCs w:val="13"/>
        </w:rPr>
        <w:softHyphen/>
      </w:r>
      <w:r>
        <w:rPr>
          <w:rFonts w:ascii="Arial" w:hAnsi="Arial" w:cs="Arial"/>
          <w:spacing w:val="0"/>
          <w:sz w:val="13"/>
          <w:szCs w:val="13"/>
        </w:rPr>
        <w:t>ing "Ethylene Oxide Safety and Efficacy Review," submission to FDA, December 20, 1973.</w:t>
      </w:r>
    </w:p>
    <w:p w14:paraId="60AB6153">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Hine, C. H. and V. K. Rowe, "Ethylene Oxide," in "Industrial Hygiene and Toxicol</w:t>
      </w:r>
      <w:r>
        <w:rPr>
          <w:rFonts w:ascii="Arial" w:hAnsi="Arial" w:cs="Arial"/>
          <w:spacing w:val="0"/>
          <w:sz w:val="13"/>
          <w:szCs w:val="13"/>
        </w:rPr>
        <w:softHyphen/>
      </w:r>
      <w:r>
        <w:rPr>
          <w:rFonts w:ascii="Arial" w:hAnsi="Arial" w:cs="Arial"/>
          <w:spacing w:val="0"/>
          <w:sz w:val="13"/>
          <w:szCs w:val="13"/>
        </w:rPr>
        <w:t>ogy," 2d Rev. EcL, Vol. n, "Toxicology." edited by D. W.Fassett and D. D. Irish, In- tersclence Publisher, New York. pp. 1626</w:t>
      </w:r>
      <w:r>
        <w:rPr>
          <w:rFonts w:ascii="Arial" w:hAnsi="Arial" w:cs="Arial"/>
          <w:spacing w:val="0"/>
          <w:sz w:val="13"/>
          <w:szCs w:val="13"/>
        </w:rPr>
        <w:softHyphen/>
      </w:r>
      <w:r>
        <w:rPr>
          <w:rFonts w:ascii="Arial" w:hAnsi="Arial" w:cs="Arial"/>
          <w:spacing w:val="0"/>
          <w:sz w:val="13"/>
          <w:szCs w:val="13"/>
        </w:rPr>
        <w:t>1634,1963.</w:t>
      </w:r>
    </w:p>
    <w:p w14:paraId="29C1A244">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Jacobson, K. H„ E. B. Hackley, and L. Felnsllver, "The Toxicity of Inhaled Ethyl</w:t>
      </w:r>
      <w:r>
        <w:rPr>
          <w:rFonts w:ascii="Arial" w:hAnsi="Arial" w:cs="Arial"/>
          <w:spacing w:val="0"/>
          <w:sz w:val="13"/>
          <w:szCs w:val="13"/>
        </w:rPr>
        <w:softHyphen/>
      </w:r>
      <w:r>
        <w:rPr>
          <w:rFonts w:ascii="Arial" w:hAnsi="Arial" w:cs="Arial"/>
          <w:spacing w:val="0"/>
          <w:sz w:val="13"/>
          <w:szCs w:val="13"/>
        </w:rPr>
        <w:t>ene Oxide and Propylene Oxide Vapors," Reprint, with additions,</w:t>
      </w:r>
      <w:r>
        <w:rPr>
          <w:rStyle w:val="15"/>
          <w:rFonts w:ascii="Arial" w:hAnsi="Arial" w:cs="Arial"/>
          <w:spacing w:val="0"/>
          <w:sz w:val="13"/>
          <w:szCs w:val="13"/>
        </w:rPr>
        <w:t xml:space="preserve"> AMA Archives of In</w:t>
      </w:r>
      <w:r>
        <w:rPr>
          <w:rStyle w:val="15"/>
          <w:rFonts w:ascii="Arial" w:hAnsi="Arial" w:cs="Arial"/>
          <w:spacing w:val="0"/>
          <w:sz w:val="13"/>
          <w:szCs w:val="13"/>
        </w:rPr>
        <w:softHyphen/>
      </w:r>
      <w:r>
        <w:rPr>
          <w:rStyle w:val="15"/>
          <w:rFonts w:ascii="Arial" w:hAnsi="Arial" w:cs="Arial"/>
          <w:spacing w:val="0"/>
          <w:sz w:val="13"/>
          <w:szCs w:val="13"/>
        </w:rPr>
        <w:t>dustrial Health,</w:t>
      </w:r>
      <w:r>
        <w:rPr>
          <w:rFonts w:ascii="Arial" w:hAnsi="Arial" w:cs="Arial"/>
          <w:spacing w:val="0"/>
          <w:sz w:val="13"/>
          <w:szCs w:val="13"/>
        </w:rPr>
        <w:t xml:space="preserve"> 13:237-244,1956.</w:t>
      </w:r>
    </w:p>
    <w:p w14:paraId="047AE0E0">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Holllngsworth. R. L, V. K. Rowe. F. Oyen, D. D. McCollister, and H. C. Spencer, "Toxicity of Ethylene Oxide Determined on Experimental Animals,"</w:t>
      </w:r>
      <w:r>
        <w:rPr>
          <w:rStyle w:val="15"/>
          <w:rFonts w:ascii="Arial" w:hAnsi="Arial" w:cs="Arial"/>
          <w:spacing w:val="0"/>
          <w:sz w:val="13"/>
          <w:szCs w:val="13"/>
        </w:rPr>
        <w:t xml:space="preserve"> AMA Archives of Industrial Health,</w:t>
      </w:r>
      <w:r>
        <w:rPr>
          <w:rFonts w:ascii="Arial" w:hAnsi="Arial" w:cs="Arial"/>
          <w:spacing w:val="0"/>
          <w:sz w:val="13"/>
          <w:szCs w:val="13"/>
        </w:rPr>
        <w:t xml:space="preserve"> 13(3):217-227, 1956.</w:t>
      </w:r>
    </w:p>
    <w:p w14:paraId="7911A080">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Waite, C. P.. F. A. Patty, and W. P. Yant,. "Acute Response of Guinea Pigs to Vapors of Some New Commercial" Organic Compounds,"</w:t>
      </w:r>
      <w:r>
        <w:rPr>
          <w:rStyle w:val="15"/>
          <w:rFonts w:ascii="Arial" w:hAnsi="Arial" w:cs="Arial"/>
          <w:spacing w:val="0"/>
          <w:sz w:val="13"/>
          <w:szCs w:val="13"/>
        </w:rPr>
        <w:t xml:space="preserve"> U.S. Public Health Reports, </w:t>
      </w:r>
      <w:r>
        <w:rPr>
          <w:rFonts w:ascii="Arial" w:hAnsi="Arial" w:cs="Arial"/>
          <w:spacing w:val="0"/>
          <w:sz w:val="13"/>
          <w:szCs w:val="13"/>
        </w:rPr>
        <w:t>45:1832-1843,193Q.</w:t>
      </w:r>
    </w:p>
    <w:p w14:paraId="3447585E">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Flury, F. and F. Zernik, "Schadliche Gase," Springer, Berlin, pp. 291-295, 1931.</w:t>
      </w:r>
    </w:p>
    <w:p w14:paraId="3015F061">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Balazs, TJ, "Toxicity of Ethylene Oxide and ChloroethanoU" FDA By-lines No. 3,1976.</w:t>
      </w:r>
    </w:p>
    <w:p w14:paraId="54B39819">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 xml:space="preserve">Sexton, R. J. and E. V. Henson, "Der- matologlcal Injuries by Ethylene Oxide," </w:t>
      </w:r>
      <w:r>
        <w:rPr>
          <w:rStyle w:val="15"/>
          <w:rFonts w:ascii="Arial" w:hAnsi="Arial" w:cs="Arial"/>
          <w:spacing w:val="0"/>
          <w:sz w:val="13"/>
          <w:szCs w:val="13"/>
        </w:rPr>
        <w:t>Journal of Industrial Hygiene and Toxicol</w:t>
      </w:r>
      <w:r>
        <w:rPr>
          <w:rStyle w:val="15"/>
          <w:rFonts w:ascii="Arial" w:hAnsi="Arial" w:cs="Arial"/>
          <w:spacing w:val="0"/>
          <w:sz w:val="13"/>
          <w:szCs w:val="13"/>
        </w:rPr>
        <w:softHyphen/>
      </w:r>
      <w:r>
        <w:rPr>
          <w:rStyle w:val="15"/>
          <w:rFonts w:ascii="Arial" w:hAnsi="Arial" w:cs="Arial"/>
          <w:spacing w:val="0"/>
          <w:sz w:val="13"/>
          <w:szCs w:val="13"/>
        </w:rPr>
        <w:t>ogy,</w:t>
      </w:r>
      <w:r>
        <w:rPr>
          <w:rFonts w:ascii="Arial" w:hAnsi="Arial" w:cs="Arial"/>
          <w:spacing w:val="0"/>
          <w:sz w:val="13"/>
          <w:szCs w:val="13"/>
        </w:rPr>
        <w:t xml:space="preserve"> 31(5):297-300,1949.</w:t>
      </w:r>
    </w:p>
    <w:p w14:paraId="08DECF47">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Hanlfln. J. M„ "Ethylene Oxide Der</w:t>
      </w:r>
      <w:r>
        <w:rPr>
          <w:rFonts w:ascii="Arial" w:hAnsi="Arial" w:cs="Arial"/>
          <w:spacing w:val="0"/>
          <w:sz w:val="13"/>
          <w:szCs w:val="13"/>
        </w:rPr>
        <w:softHyphen/>
      </w:r>
      <w:r>
        <w:rPr>
          <w:rFonts w:ascii="Arial" w:hAnsi="Arial" w:cs="Arial"/>
          <w:spacing w:val="0"/>
          <w:sz w:val="13"/>
          <w:szCs w:val="13"/>
        </w:rPr>
        <w:t>matitis" (Letter),</w:t>
      </w:r>
      <w:r>
        <w:rPr>
          <w:rStyle w:val="15"/>
          <w:rFonts w:ascii="Arial" w:hAnsi="Arial" w:cs="Arial"/>
          <w:spacing w:val="0"/>
          <w:sz w:val="13"/>
          <w:szCs w:val="13"/>
        </w:rPr>
        <w:t xml:space="preserve"> Journal of the American Medical Association,</w:t>
      </w:r>
      <w:r>
        <w:rPr>
          <w:rFonts w:ascii="Arial" w:hAnsi="Arial" w:cs="Arial"/>
          <w:spacing w:val="0"/>
          <w:sz w:val="13"/>
          <w:szCs w:val="13"/>
        </w:rPr>
        <w:t xml:space="preserve"> 217(2):213,1971.</w:t>
      </w:r>
    </w:p>
    <w:p w14:paraId="66C28240">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Poothullll, J„ A. Shlmlzu, R. P. Day, and J. Dolovlch, "Anaphylaxis From the ProducMs) of Ethylene Oxide Gas."</w:t>
      </w:r>
      <w:r>
        <w:rPr>
          <w:rStyle w:val="15"/>
          <w:rFonts w:ascii="Arial" w:hAnsi="Arial" w:cs="Arial"/>
          <w:spacing w:val="0"/>
          <w:sz w:val="13"/>
          <w:szCs w:val="13"/>
        </w:rPr>
        <w:t xml:space="preserve"> Annals of Internal Medicine,</w:t>
      </w:r>
      <w:r>
        <w:rPr>
          <w:rFonts w:ascii="Arial" w:hAnsi="Arial" w:cs="Arial"/>
          <w:spacing w:val="0"/>
          <w:sz w:val="13"/>
          <w:szCs w:val="13"/>
        </w:rPr>
        <w:t xml:space="preserve"> 82:58-60,1975.</w:t>
      </w:r>
    </w:p>
    <w:p w14:paraId="4F0BB893">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Rapoport, L A., "The Effect of Ethyl</w:t>
      </w:r>
      <w:r>
        <w:rPr>
          <w:rFonts w:ascii="Arial" w:hAnsi="Arial" w:cs="Arial"/>
          <w:spacing w:val="0"/>
          <w:sz w:val="13"/>
          <w:szCs w:val="13"/>
        </w:rPr>
        <w:softHyphen/>
      </w:r>
      <w:r>
        <w:rPr>
          <w:rFonts w:ascii="Arial" w:hAnsi="Arial" w:cs="Arial"/>
          <w:spacing w:val="0"/>
          <w:sz w:val="13"/>
          <w:szCs w:val="13"/>
        </w:rPr>
        <w:t>ene Oxide, Glycide, and Glycol on Genlc Mutations,"</w:t>
      </w:r>
      <w:r>
        <w:rPr>
          <w:rStyle w:val="15"/>
          <w:rFonts w:ascii="Arial" w:hAnsi="Arial" w:cs="Arial"/>
          <w:spacing w:val="0"/>
          <w:sz w:val="13"/>
          <w:szCs w:val="13"/>
        </w:rPr>
        <w:t xml:space="preserve"> Doklady Akademii Nauk SSSR, </w:t>
      </w:r>
      <w:r>
        <w:rPr>
          <w:rFonts w:ascii="Arial" w:hAnsi="Arial" w:cs="Arial"/>
          <w:spacing w:val="0"/>
          <w:sz w:val="13"/>
          <w:szCs w:val="13"/>
        </w:rPr>
        <w:t>60(3):467-472,1948.</w:t>
      </w:r>
    </w:p>
    <w:p w14:paraId="0FB4CBC0">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Bird. M. J.. "Chemical Production of Mutations in</w:t>
      </w:r>
      <w:r>
        <w:rPr>
          <w:rStyle w:val="15"/>
          <w:rFonts w:ascii="Arial" w:hAnsi="Arial" w:cs="Arial"/>
          <w:spacing w:val="0"/>
          <w:sz w:val="13"/>
          <w:szCs w:val="13"/>
        </w:rPr>
        <w:t xml:space="preserve"> Drosaph.Ua:</w:t>
      </w:r>
      <w:r>
        <w:rPr>
          <w:rFonts w:ascii="Arial" w:hAnsi="Arial" w:cs="Arial"/>
          <w:spacing w:val="0"/>
          <w:sz w:val="13"/>
          <w:szCs w:val="13"/>
        </w:rPr>
        <w:t xml:space="preserve"> Comparison of Techniques,"</w:t>
      </w:r>
      <w:r>
        <w:rPr>
          <w:rStyle w:val="15"/>
          <w:rFonts w:ascii="Arial" w:hAnsi="Arial" w:cs="Arial"/>
          <w:spacing w:val="0"/>
          <w:sz w:val="13"/>
          <w:szCs w:val="13"/>
        </w:rPr>
        <w:t xml:space="preserve"> Genetics,</w:t>
      </w:r>
      <w:r>
        <w:rPr>
          <w:rFonts w:ascii="Arial" w:hAnsi="Arial" w:cs="Arial"/>
          <w:spacing w:val="0"/>
          <w:sz w:val="13"/>
          <w:szCs w:val="13"/>
        </w:rPr>
        <w:t xml:space="preserve"> 50:480-485,1952.</w:t>
      </w:r>
    </w:p>
    <w:p w14:paraId="25F95141">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Nakao, Y. and C. Auerbach. "Test of a Possible Correlation Between Cross-Linking and Chromosome Breaking Abilities of Chemical Nutagens,"</w:t>
      </w:r>
      <w:r>
        <w:rPr>
          <w:rStyle w:val="15"/>
          <w:rFonts w:ascii="Arial" w:hAnsi="Arial" w:cs="Arial"/>
          <w:spacing w:val="0"/>
          <w:sz w:val="13"/>
          <w:szCs w:val="13"/>
        </w:rPr>
        <w:t xml:space="preserve"> Zeitschrift fuer </w:t>
      </w:r>
      <w:r>
        <w:rPr>
          <w:rStyle w:val="15"/>
          <w:rFonts w:ascii="Arial" w:hAnsi="Arial" w:cs="Arial"/>
          <w:spacing w:val="0"/>
          <w:sz w:val="13"/>
          <w:szCs w:val="13"/>
          <w:lang w:val="de"/>
        </w:rPr>
        <w:t>Verer</w:t>
      </w:r>
      <w:r>
        <w:rPr>
          <w:rStyle w:val="15"/>
          <w:rFonts w:ascii="Arial" w:hAnsi="Arial" w:cs="Arial"/>
          <w:spacing w:val="0"/>
          <w:sz w:val="13"/>
          <w:szCs w:val="13"/>
          <w:lang w:val="de"/>
        </w:rPr>
        <w:softHyphen/>
      </w:r>
      <w:r>
        <w:rPr>
          <w:rStyle w:val="15"/>
          <w:rFonts w:ascii="Arial" w:hAnsi="Arial" w:cs="Arial"/>
          <w:spacing w:val="0"/>
          <w:sz w:val="13"/>
          <w:szCs w:val="13"/>
          <w:lang w:val="de"/>
        </w:rPr>
        <w:t>bungslehre,</w:t>
      </w:r>
      <w:r>
        <w:rPr>
          <w:rFonts w:ascii="Arial" w:hAnsi="Arial" w:cs="Arial"/>
          <w:spacing w:val="0"/>
          <w:sz w:val="13"/>
          <w:szCs w:val="13"/>
        </w:rPr>
        <w:t xml:space="preserve"> 92:457-461,1961.</w:t>
      </w:r>
    </w:p>
    <w:p w14:paraId="68AEEF8C">
      <w:pPr>
        <w:pStyle w:val="14"/>
        <w:numPr>
          <w:ilvl w:val="1"/>
          <w:numId w:val="6"/>
        </w:numPr>
        <w:shd w:val="clear" w:color="auto" w:fill="auto"/>
        <w:snapToGrid w:val="0"/>
        <w:spacing w:after="0" w:line="300" w:lineRule="auto"/>
        <w:ind w:left="182" w:right="20" w:hanging="182" w:hangingChars="140"/>
        <w:jc w:val="both"/>
        <w:rPr>
          <w:rFonts w:ascii="Arial" w:hAnsi="Arial" w:cs="Arial"/>
          <w:spacing w:val="0"/>
          <w:sz w:val="13"/>
          <w:szCs w:val="13"/>
        </w:rPr>
      </w:pPr>
      <w:r>
        <w:rPr>
          <w:rFonts w:ascii="Arial" w:hAnsi="Arial" w:cs="Arial"/>
          <w:spacing w:val="0"/>
          <w:sz w:val="13"/>
          <w:szCs w:val="13"/>
        </w:rPr>
        <w:t>Kolmark. H. G. and B. J. Kllbey. "Ki- hetlc Studies of Mutation Induction by</w:t>
      </w:r>
    </w:p>
    <w:p w14:paraId="6300A06B">
      <w:pPr>
        <w:widowControl/>
        <w:jc w:val="left"/>
        <w:rPr>
          <w:rFonts w:ascii="Arial" w:hAnsi="Arial" w:eastAsia="宋体" w:cs="Arial"/>
          <w:color w:val="000000"/>
          <w:kern w:val="0"/>
          <w:sz w:val="15"/>
          <w:szCs w:val="15"/>
        </w:rPr>
      </w:pPr>
      <w:r>
        <w:rPr>
          <w:rFonts w:ascii="Arial" w:hAnsi="Arial" w:eastAsia="宋体" w:cs="Arial"/>
          <w:color w:val="000000"/>
          <w:kern w:val="0"/>
          <w:sz w:val="15"/>
          <w:szCs w:val="15"/>
        </w:rPr>
        <w:br w:type="page"/>
      </w:r>
    </w:p>
    <w:p w14:paraId="0A21FFB6">
      <w:pPr>
        <w:pStyle w:val="17"/>
        <w:shd w:val="clear" w:color="auto" w:fill="auto"/>
        <w:snapToGrid w:val="0"/>
        <w:spacing w:after="0" w:line="264" w:lineRule="auto"/>
        <w:ind w:left="196" w:right="40" w:firstLine="10" w:firstLineChars="8"/>
        <w:rPr>
          <w:rFonts w:ascii="Arial" w:hAnsi="Arial" w:cs="Arial"/>
          <w:i/>
          <w:spacing w:val="0"/>
          <w:sz w:val="13"/>
          <w:szCs w:val="13"/>
        </w:rPr>
      </w:pPr>
      <w:r>
        <w:rPr>
          <w:rStyle w:val="18"/>
          <w:rFonts w:ascii="Arial" w:hAnsi="Arial" w:cs="Arial"/>
          <w:i w:val="0"/>
          <w:spacing w:val="0"/>
          <w:sz w:val="13"/>
          <w:szCs w:val="13"/>
        </w:rPr>
        <w:t>Epoxides In</w:t>
      </w:r>
      <w:r>
        <w:rPr>
          <w:rFonts w:ascii="Arial" w:hAnsi="Arial" w:cs="Arial"/>
          <w:i/>
          <w:spacing w:val="0"/>
          <w:sz w:val="13"/>
          <w:szCs w:val="13"/>
        </w:rPr>
        <w:t xml:space="preserve"> Neurospora crassa," Molecular and General Genetics,</w:t>
      </w:r>
      <w:r>
        <w:rPr>
          <w:rStyle w:val="18"/>
          <w:rFonts w:ascii="Arial" w:hAnsi="Arial" w:cs="Arial"/>
          <w:i w:val="0"/>
          <w:spacing w:val="0"/>
          <w:sz w:val="13"/>
          <w:szCs w:val="13"/>
        </w:rPr>
        <w:t xml:space="preserve"> 101:89-98, f968.</w:t>
      </w:r>
    </w:p>
    <w:p w14:paraId="555BB013">
      <w:pPr>
        <w:pStyle w:val="14"/>
        <w:numPr>
          <w:ilvl w:val="1"/>
          <w:numId w:val="6"/>
        </w:numPr>
        <w:shd w:val="clear" w:color="auto" w:fill="auto"/>
        <w:snapToGrid w:val="0"/>
        <w:spacing w:after="0" w:line="264" w:lineRule="auto"/>
        <w:ind w:left="160" w:right="20" w:hanging="159" w:hangingChars="140"/>
        <w:jc w:val="both"/>
        <w:rPr>
          <w:rFonts w:ascii="Arial" w:hAnsi="Arial" w:cs="Arial"/>
          <w:sz w:val="13"/>
          <w:szCs w:val="13"/>
        </w:rPr>
      </w:pPr>
      <w:r>
        <w:rPr>
          <w:rFonts w:ascii="Arial" w:hAnsi="Arial" w:cs="Arial"/>
          <w:sz w:val="13"/>
          <w:szCs w:val="13"/>
        </w:rPr>
        <w:t xml:space="preserve">Ehrenberg, L. and A. Gustafsson. "On the </w:t>
      </w:r>
      <w:r>
        <w:rPr>
          <w:rFonts w:ascii="Arial" w:hAnsi="Arial" w:cs="Arial"/>
          <w:spacing w:val="0"/>
          <w:sz w:val="13"/>
          <w:szCs w:val="13"/>
        </w:rPr>
        <w:t>Mutagenic</w:t>
      </w:r>
      <w:r>
        <w:rPr>
          <w:rFonts w:ascii="Arial" w:hAnsi="Arial" w:cs="Arial"/>
          <w:sz w:val="13"/>
          <w:szCs w:val="13"/>
        </w:rPr>
        <w:t xml:space="preserve"> Action of Ethylene Oxide and Dlepoxybutane In Barley."</w:t>
      </w:r>
      <w:r>
        <w:rPr>
          <w:rStyle w:val="15"/>
          <w:rFonts w:ascii="Arial" w:hAnsi="Arial" w:cs="Arial"/>
          <w:sz w:val="13"/>
          <w:szCs w:val="13"/>
        </w:rPr>
        <w:t xml:space="preserve"> Hereditas, </w:t>
      </w:r>
      <w:r>
        <w:rPr>
          <w:rFonts w:ascii="Arial" w:hAnsi="Arial" w:cs="Arial"/>
          <w:sz w:val="13"/>
          <w:szCs w:val="13"/>
        </w:rPr>
        <w:t>43:595-602. 1957.</w:t>
      </w:r>
    </w:p>
    <w:p w14:paraId="397EBA43">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Sulovska, K., D. Lindgren. O. Eriksson, and L. Ehrenberg, "The Mutagenic Effect of Low Concentrations of Ethylene Oxide In Air,"</w:t>
      </w:r>
      <w:r>
        <w:rPr>
          <w:rFonts w:ascii="Arial" w:hAnsi="Arial" w:cs="Arial"/>
          <w:i/>
          <w:iCs/>
          <w:spacing w:val="0"/>
          <w:sz w:val="13"/>
          <w:szCs w:val="13"/>
        </w:rPr>
        <w:t xml:space="preserve"> Hereditas,</w:t>
      </w:r>
      <w:r>
        <w:rPr>
          <w:rFonts w:ascii="Arial" w:hAnsi="Arial" w:cs="Arial"/>
          <w:spacing w:val="0"/>
          <w:sz w:val="13"/>
          <w:szCs w:val="13"/>
        </w:rPr>
        <w:t xml:space="preserve"> 62:264-268, X969.</w:t>
      </w:r>
    </w:p>
    <w:p w14:paraId="4DBC6013">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Morpurgo, O.. "Induction of Mitotic Crossing-Over In</w:t>
      </w:r>
      <w:r>
        <w:rPr>
          <w:rFonts w:ascii="Arial" w:hAnsi="Arial" w:cs="Arial"/>
          <w:i/>
          <w:iCs/>
          <w:spacing w:val="0"/>
          <w:sz w:val="13"/>
          <w:szCs w:val="13"/>
        </w:rPr>
        <w:t xml:space="preserve"> Aspergillus nidulans</w:t>
      </w:r>
      <w:r>
        <w:rPr>
          <w:rFonts w:ascii="Arial" w:hAnsi="Arial" w:cs="Arial"/>
          <w:spacing w:val="0"/>
          <w:sz w:val="13"/>
          <w:szCs w:val="13"/>
        </w:rPr>
        <w:t xml:space="preserve"> by Bi- functlonal Alkylating Agents,"</w:t>
      </w:r>
      <w:r>
        <w:rPr>
          <w:rFonts w:ascii="Arial" w:hAnsi="Arial" w:cs="Arial"/>
          <w:i/>
          <w:iCs/>
          <w:spacing w:val="0"/>
          <w:sz w:val="13"/>
          <w:szCs w:val="13"/>
        </w:rPr>
        <w:t xml:space="preserve"> Genetics, </w:t>
      </w:r>
      <w:r>
        <w:rPr>
          <w:rFonts w:ascii="Arial" w:hAnsi="Arial" w:cs="Arial"/>
          <w:spacing w:val="0"/>
          <w:sz w:val="13"/>
          <w:szCs w:val="13"/>
        </w:rPr>
        <w:t>48:1?59-1263,1963.</w:t>
      </w:r>
    </w:p>
    <w:p w14:paraId="4EBE9A89">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Embree, J. W. and C. H. Hine, "Muta</w:t>
      </w:r>
      <w:r>
        <w:rPr>
          <w:rFonts w:ascii="Arial" w:hAnsi="Arial" w:cs="Arial"/>
          <w:spacing w:val="0"/>
          <w:sz w:val="13"/>
          <w:szCs w:val="13"/>
        </w:rPr>
        <w:softHyphen/>
      </w:r>
      <w:r>
        <w:rPr>
          <w:rFonts w:ascii="Arial" w:hAnsi="Arial" w:cs="Arial"/>
          <w:spacing w:val="0"/>
          <w:sz w:val="13"/>
          <w:szCs w:val="13"/>
        </w:rPr>
        <w:t>genicity of Ethylene Oxide,"</w:t>
      </w:r>
      <w:r>
        <w:rPr>
          <w:rFonts w:ascii="Arial" w:hAnsi="Arial" w:cs="Arial"/>
          <w:i/>
          <w:iCs/>
          <w:spacing w:val="0"/>
          <w:sz w:val="13"/>
          <w:szCs w:val="13"/>
        </w:rPr>
        <w:t xml:space="preserve"> Toxicology and Applied Pharmacology,</w:t>
      </w:r>
      <w:r>
        <w:rPr>
          <w:rFonts w:ascii="Arial" w:hAnsi="Arial" w:cs="Arial"/>
          <w:spacing w:val="0"/>
          <w:sz w:val="13"/>
          <w:szCs w:val="13"/>
        </w:rPr>
        <w:t xml:space="preserve"> 33:172-173,1975.</w:t>
      </w:r>
    </w:p>
    <w:p w14:paraId="013B4740">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Faberge, A. C., "Types of Chromosome Aberrations Induced by Ethylene Oxide in Maize,"</w:t>
      </w:r>
      <w:r>
        <w:rPr>
          <w:rFonts w:ascii="Arial" w:hAnsi="Arial" w:cs="Arial"/>
          <w:i/>
          <w:iCs/>
          <w:spacing w:val="0"/>
          <w:sz w:val="13"/>
          <w:szCs w:val="13"/>
        </w:rPr>
        <w:t xml:space="preserve"> Genetics Abstracts,</w:t>
      </w:r>
      <w:r>
        <w:rPr>
          <w:rFonts w:ascii="Arial" w:hAnsi="Arial" w:cs="Arial"/>
          <w:spacing w:val="0"/>
          <w:sz w:val="13"/>
          <w:szCs w:val="13"/>
        </w:rPr>
        <w:t xml:space="preserve"> 40:571,1955.</w:t>
      </w:r>
    </w:p>
    <w:p w14:paraId="5A290EAE">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Moutschen-Dahmen, J„ Moutschen- Dahmen, and L. Ehrenberg, "Note on the Chromosome Breaking Activity of Ethylene Oxide and Ethyleneimlne,"</w:t>
      </w:r>
      <w:r>
        <w:rPr>
          <w:rFonts w:ascii="Arial" w:hAnsi="Arial" w:cs="Arial"/>
          <w:i/>
          <w:iCs/>
          <w:spacing w:val="0"/>
          <w:sz w:val="13"/>
          <w:szCs w:val="13"/>
        </w:rPr>
        <w:t xml:space="preserve"> Hereditas, </w:t>
      </w:r>
      <w:r>
        <w:rPr>
          <w:rFonts w:ascii="Arial" w:hAnsi="Arial" w:cs="Arial"/>
          <w:spacing w:val="0"/>
          <w:sz w:val="13"/>
          <w:szCs w:val="13"/>
        </w:rPr>
        <w:t>60:267-269,1968.</w:t>
      </w:r>
    </w:p>
    <w:p w14:paraId="74251E66">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Loveless, A., "Chemical and Biochemi</w:t>
      </w:r>
      <w:r>
        <w:rPr>
          <w:rFonts w:ascii="Arial" w:hAnsi="Arial" w:cs="Arial"/>
          <w:spacing w:val="0"/>
          <w:sz w:val="13"/>
          <w:szCs w:val="13"/>
        </w:rPr>
        <w:softHyphen/>
      </w:r>
      <w:r>
        <w:rPr>
          <w:rFonts w:ascii="Arial" w:hAnsi="Arial" w:cs="Arial"/>
          <w:spacing w:val="0"/>
          <w:sz w:val="13"/>
          <w:szCs w:val="13"/>
        </w:rPr>
        <w:t>cal Problems Arising from the Study of Chromosome Breakage by Alkylating Agents and Heterocyclic Compounds,"</w:t>
      </w:r>
      <w:r>
        <w:rPr>
          <w:rFonts w:ascii="Arial" w:hAnsi="Arial" w:cs="Arial"/>
          <w:i/>
          <w:iCs/>
          <w:spacing w:val="0"/>
          <w:sz w:val="13"/>
          <w:szCs w:val="13"/>
        </w:rPr>
        <w:t xml:space="preserve"> He</w:t>
      </w:r>
      <w:r>
        <w:rPr>
          <w:rFonts w:ascii="Arial" w:hAnsi="Arial" w:cs="Arial"/>
          <w:i/>
          <w:iCs/>
          <w:spacing w:val="0"/>
          <w:sz w:val="13"/>
          <w:szCs w:val="13"/>
        </w:rPr>
        <w:softHyphen/>
      </w:r>
      <w:r>
        <w:rPr>
          <w:rFonts w:ascii="Arial" w:hAnsi="Arial" w:cs="Arial"/>
          <w:i/>
          <w:iCs/>
          <w:spacing w:val="0"/>
          <w:sz w:val="13"/>
          <w:szCs w:val="13"/>
        </w:rPr>
        <w:t>redity.</w:t>
      </w:r>
      <w:r>
        <w:rPr>
          <w:rFonts w:ascii="Arial" w:hAnsi="Arial" w:cs="Arial"/>
          <w:spacing w:val="0"/>
          <w:sz w:val="13"/>
          <w:szCs w:val="13"/>
        </w:rPr>
        <w:t xml:space="preserve"> 6:293-298.1953.</w:t>
      </w:r>
    </w:p>
    <w:p w14:paraId="4F0C17A7">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Smith. H. H. and T. A. Lotfy. "Com</w:t>
      </w:r>
      <w:r>
        <w:rPr>
          <w:rFonts w:ascii="Arial" w:hAnsi="Arial" w:cs="Arial"/>
          <w:spacing w:val="0"/>
          <w:sz w:val="13"/>
          <w:szCs w:val="13"/>
        </w:rPr>
        <w:softHyphen/>
      </w:r>
      <w:r>
        <w:rPr>
          <w:rFonts w:ascii="Arial" w:hAnsi="Arial" w:cs="Arial"/>
          <w:spacing w:val="0"/>
          <w:sz w:val="13"/>
          <w:szCs w:val="13"/>
        </w:rPr>
        <w:t xml:space="preserve">parative Effects of Certain Chemicals on </w:t>
      </w:r>
      <w:r>
        <w:rPr>
          <w:rFonts w:ascii="Arial" w:hAnsi="Arial" w:cs="Arial"/>
          <w:i/>
          <w:iCs/>
          <w:spacing w:val="0"/>
          <w:sz w:val="13"/>
          <w:szCs w:val="13"/>
        </w:rPr>
        <w:t>Tradescantia</w:t>
      </w:r>
      <w:r>
        <w:rPr>
          <w:rFonts w:ascii="Arial" w:hAnsi="Arial" w:cs="Arial"/>
          <w:spacing w:val="0"/>
          <w:sz w:val="13"/>
          <w:szCs w:val="13"/>
        </w:rPr>
        <w:t xml:space="preserve"> Chromosomes as Observed at Pollen Tube Mitosis,"</w:t>
      </w:r>
      <w:r>
        <w:rPr>
          <w:rFonts w:ascii="Arial" w:hAnsi="Arial" w:cs="Arial"/>
          <w:i/>
          <w:iCs/>
          <w:spacing w:val="0"/>
          <w:sz w:val="13"/>
          <w:szCs w:val="13"/>
        </w:rPr>
        <w:t xml:space="preserve"> American Journal of Botany,</w:t>
      </w:r>
      <w:r>
        <w:rPr>
          <w:rFonts w:ascii="Arial" w:hAnsi="Arial" w:cs="Arial"/>
          <w:spacing w:val="0"/>
          <w:sz w:val="13"/>
          <w:szCs w:val="13"/>
        </w:rPr>
        <w:t xml:space="preserve"> 41:589-593,1954.</w:t>
      </w:r>
    </w:p>
    <w:p w14:paraId="1DF45163">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 xml:space="preserve">Strekalova, E. E^ "The Mutagenic Effect of Ethylene Oxide on Mammals," </w:t>
      </w:r>
      <w:r>
        <w:rPr>
          <w:rFonts w:ascii="Arial" w:hAnsi="Arial" w:cs="Arial"/>
          <w:i/>
          <w:iCs/>
          <w:spacing w:val="0"/>
          <w:sz w:val="13"/>
          <w:szCs w:val="13"/>
        </w:rPr>
        <w:t>Toksikologiya Novykh Promyshlennykh Khi- micheskikh Veshchestv,</w:t>
      </w:r>
      <w:r>
        <w:rPr>
          <w:rFonts w:ascii="Arial" w:hAnsi="Arial" w:cs="Arial"/>
          <w:spacing w:val="0"/>
          <w:sz w:val="13"/>
          <w:szCs w:val="13"/>
        </w:rPr>
        <w:t xml:space="preserve"> 12.-72-78,1971.</w:t>
      </w:r>
    </w:p>
    <w:p w14:paraId="40E31623">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Embree, J. W„ "Mutagenicity of Ethyl</w:t>
      </w:r>
      <w:r>
        <w:rPr>
          <w:rFonts w:ascii="Arial" w:hAnsi="Arial" w:cs="Arial"/>
          <w:spacing w:val="0"/>
          <w:sz w:val="13"/>
          <w:szCs w:val="13"/>
        </w:rPr>
        <w:softHyphen/>
      </w:r>
      <w:r>
        <w:rPr>
          <w:rFonts w:ascii="Arial" w:hAnsi="Arial" w:cs="Arial"/>
          <w:spacing w:val="0"/>
          <w:sz w:val="13"/>
          <w:szCs w:val="13"/>
        </w:rPr>
        <w:t>ene Oxide and Associated Health Hazard," PhX). dissertation. University of California (San Francisco).</w:t>
      </w:r>
    </w:p>
    <w:p w14:paraId="62D50804">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Strekalova, E. E-, et aL. "The Muta</w:t>
      </w:r>
      <w:r>
        <w:rPr>
          <w:rFonts w:ascii="Arial" w:hAnsi="Arial" w:cs="Arial"/>
          <w:spacing w:val="0"/>
          <w:sz w:val="13"/>
          <w:szCs w:val="13"/>
        </w:rPr>
        <w:softHyphen/>
      </w:r>
      <w:r>
        <w:rPr>
          <w:rFonts w:ascii="Arial" w:hAnsi="Arial" w:cs="Arial"/>
          <w:spacing w:val="0"/>
          <w:sz w:val="13"/>
          <w:szCs w:val="13"/>
        </w:rPr>
        <w:t>genic Effect of Ethylene Oxide on Repro</w:t>
      </w:r>
      <w:r>
        <w:rPr>
          <w:rFonts w:ascii="Arial" w:hAnsi="Arial" w:cs="Arial"/>
          <w:spacing w:val="0"/>
          <w:sz w:val="13"/>
          <w:szCs w:val="13"/>
        </w:rPr>
        <w:softHyphen/>
      </w:r>
      <w:r>
        <w:rPr>
          <w:rFonts w:ascii="Arial" w:hAnsi="Arial" w:cs="Arial"/>
          <w:spacing w:val="0"/>
          <w:sz w:val="13"/>
          <w:szCs w:val="13"/>
        </w:rPr>
        <w:t>ductive and Somatic Cells in Male White Rats,"</w:t>
      </w:r>
      <w:r>
        <w:rPr>
          <w:rFonts w:ascii="Arial" w:hAnsi="Arial" w:cs="Arial"/>
          <w:i/>
          <w:iCs/>
          <w:spacing w:val="0"/>
          <w:sz w:val="13"/>
          <w:szCs w:val="13"/>
        </w:rPr>
        <w:t xml:space="preserve"> Toksikologiya Novykh Promyshlen</w:t>
      </w:r>
      <w:r>
        <w:rPr>
          <w:rFonts w:ascii="Arial" w:hAnsi="Arial" w:cs="Arial"/>
          <w:i/>
          <w:iCs/>
          <w:spacing w:val="0"/>
          <w:sz w:val="13"/>
          <w:szCs w:val="13"/>
        </w:rPr>
        <w:softHyphen/>
      </w:r>
      <w:r>
        <w:rPr>
          <w:rFonts w:ascii="Arial" w:hAnsi="Arial" w:cs="Arial"/>
          <w:i/>
          <w:iCs/>
          <w:spacing w:val="0"/>
          <w:sz w:val="13"/>
          <w:szCs w:val="13"/>
        </w:rPr>
        <w:t>nykh Khimicheskikh Veshchestv,</w:t>
      </w:r>
      <w:r>
        <w:rPr>
          <w:rFonts w:ascii="Arial" w:hAnsi="Arial" w:cs="Arial"/>
          <w:spacing w:val="0"/>
          <w:sz w:val="13"/>
          <w:szCs w:val="13"/>
        </w:rPr>
        <w:t xml:space="preserve"> 14:11-16, 1975.</w:t>
      </w:r>
    </w:p>
    <w:p w14:paraId="21A17059">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Isakova. G. K., et aL, "A Study of the Mutagenic Effect of Chemical Substances for Hygienic Standardization,"</w:t>
      </w:r>
      <w:r>
        <w:rPr>
          <w:rFonts w:ascii="Arial" w:hAnsi="Arial" w:cs="Arial"/>
          <w:i/>
          <w:iCs/>
          <w:spacing w:val="0"/>
          <w:sz w:val="13"/>
          <w:szCs w:val="13"/>
        </w:rPr>
        <w:t xml:space="preserve"> Gigiena i Sanitariia,</w:t>
      </w:r>
      <w:r>
        <w:rPr>
          <w:rFonts w:ascii="Arial" w:hAnsi="Arial" w:cs="Arial"/>
          <w:spacing w:val="0"/>
          <w:sz w:val="13"/>
          <w:szCs w:val="13"/>
        </w:rPr>
        <w:t xml:space="preserve"> 10:9-13,1971.</w:t>
      </w:r>
    </w:p>
    <w:p w14:paraId="495FD994">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Semenova, V. N.. et al.. "The Toxlcolo- gical Characteristics of Ethylene Chlorohy</w:t>
      </w:r>
      <w:r>
        <w:rPr>
          <w:rFonts w:ascii="Arial" w:hAnsi="Arial" w:cs="Arial"/>
          <w:spacing w:val="0"/>
          <w:sz w:val="13"/>
          <w:szCs w:val="13"/>
        </w:rPr>
        <w:softHyphen/>
      </w:r>
      <w:r>
        <w:rPr>
          <w:rFonts w:ascii="Arial" w:hAnsi="Arial" w:cs="Arial"/>
          <w:spacing w:val="0"/>
          <w:sz w:val="13"/>
          <w:szCs w:val="13"/>
        </w:rPr>
        <w:t>drin in the Air of Working Areas,"</w:t>
      </w:r>
      <w:r>
        <w:rPr>
          <w:rFonts w:ascii="Arial" w:hAnsi="Arial" w:cs="Arial"/>
          <w:i/>
          <w:iCs/>
          <w:spacing w:val="0"/>
          <w:sz w:val="13"/>
          <w:szCs w:val="13"/>
        </w:rPr>
        <w:t xml:space="preserve"> Gigiena i Sanitariia,</w:t>
      </w:r>
      <w:r>
        <w:rPr>
          <w:rFonts w:ascii="Arial" w:hAnsi="Arial" w:cs="Arial"/>
          <w:spacing w:val="0"/>
          <w:sz w:val="13"/>
          <w:szCs w:val="13"/>
        </w:rPr>
        <w:t xml:space="preserve"> 36:37-40, 1971.</w:t>
      </w:r>
    </w:p>
    <w:p w14:paraId="7D2AD509">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Rosenkranz, H. S. and T. J. Wlod- kowski, "Mutagenicity of Ethylene Chloro</w:t>
      </w:r>
      <w:r>
        <w:rPr>
          <w:rFonts w:ascii="Arial" w:hAnsi="Arial" w:cs="Arial"/>
          <w:spacing w:val="0"/>
          <w:sz w:val="13"/>
          <w:szCs w:val="13"/>
        </w:rPr>
        <w:softHyphen/>
      </w:r>
      <w:r>
        <w:rPr>
          <w:rFonts w:ascii="Arial" w:hAnsi="Arial" w:cs="Arial"/>
          <w:spacing w:val="0"/>
          <w:sz w:val="13"/>
          <w:szCs w:val="13"/>
        </w:rPr>
        <w:t xml:space="preserve">hydrin. A Degradation Product Present In Foodstuffs Exposed to Ethylene Oxide," </w:t>
      </w:r>
      <w:r>
        <w:rPr>
          <w:rFonts w:ascii="Arial" w:hAnsi="Arial" w:cs="Arial"/>
          <w:i/>
          <w:iCs/>
          <w:spacing w:val="0"/>
          <w:sz w:val="13"/>
          <w:szCs w:val="13"/>
        </w:rPr>
        <w:t>Journal of Agricultural and Food Chemis</w:t>
      </w:r>
      <w:r>
        <w:rPr>
          <w:rFonts w:ascii="Arial" w:hAnsi="Arial" w:cs="Arial"/>
          <w:i/>
          <w:iCs/>
          <w:spacing w:val="0"/>
          <w:sz w:val="13"/>
          <w:szCs w:val="13"/>
        </w:rPr>
        <w:softHyphen/>
      </w:r>
      <w:r>
        <w:rPr>
          <w:rFonts w:ascii="Arial" w:hAnsi="Arial" w:cs="Arial"/>
          <w:i/>
          <w:iCs/>
          <w:spacing w:val="0"/>
          <w:sz w:val="13"/>
          <w:szCs w:val="13"/>
        </w:rPr>
        <w:t>try,</w:t>
      </w:r>
      <w:r>
        <w:rPr>
          <w:rFonts w:ascii="Arial" w:hAnsi="Arial" w:cs="Arial"/>
          <w:spacing w:val="0"/>
          <w:sz w:val="13"/>
          <w:szCs w:val="13"/>
        </w:rPr>
        <w:t xml:space="preserve"> 22(3):407-409,1974.</w:t>
      </w:r>
    </w:p>
    <w:p w14:paraId="6F3BA50A">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Browning. E^ "Glycols and Deriva</w:t>
      </w:r>
      <w:r>
        <w:rPr>
          <w:rFonts w:ascii="Arial" w:hAnsi="Arial" w:cs="Arial"/>
          <w:spacing w:val="0"/>
          <w:sz w:val="13"/>
          <w:szCs w:val="13"/>
        </w:rPr>
        <w:softHyphen/>
      </w:r>
      <w:r>
        <w:rPr>
          <w:rFonts w:ascii="Arial" w:hAnsi="Arial" w:cs="Arial"/>
          <w:spacing w:val="0"/>
          <w:sz w:val="13"/>
          <w:szCs w:val="13"/>
        </w:rPr>
        <w:t>tives,"</w:t>
      </w:r>
      <w:r>
        <w:rPr>
          <w:rFonts w:ascii="Arial" w:hAnsi="Arial" w:cs="Arial"/>
          <w:i/>
          <w:iCs/>
          <w:spacing w:val="0"/>
          <w:sz w:val="13"/>
          <w:szCs w:val="13"/>
        </w:rPr>
        <w:t xml:space="preserve"> in</w:t>
      </w:r>
      <w:r>
        <w:rPr>
          <w:rFonts w:ascii="Arial" w:hAnsi="Arial" w:cs="Arial"/>
          <w:spacing w:val="0"/>
          <w:sz w:val="13"/>
          <w:szCs w:val="13"/>
        </w:rPr>
        <w:t xml:space="preserve"> "Toxicity and Metabolism of In</w:t>
      </w:r>
      <w:r>
        <w:rPr>
          <w:rFonts w:ascii="Arial" w:hAnsi="Arial" w:cs="Arial"/>
          <w:spacing w:val="0"/>
          <w:sz w:val="13"/>
          <w:szCs w:val="13"/>
        </w:rPr>
        <w:softHyphen/>
      </w:r>
      <w:r>
        <w:rPr>
          <w:rFonts w:ascii="Arial" w:hAnsi="Arial" w:cs="Arial"/>
          <w:spacing w:val="0"/>
          <w:sz w:val="13"/>
          <w:szCs w:val="13"/>
        </w:rPr>
        <w:t>dustrial Solvents." Elsevier Publishing Co.. pp. 594-600, 1965.</w:t>
      </w:r>
    </w:p>
    <w:p w14:paraId="5E376AB1">
      <w:pPr>
        <w:pStyle w:val="14"/>
        <w:numPr>
          <w:ilvl w:val="1"/>
          <w:numId w:val="6"/>
        </w:numPr>
        <w:shd w:val="clear" w:color="auto" w:fill="auto"/>
        <w:snapToGrid w:val="0"/>
        <w:spacing w:after="0" w:line="264" w:lineRule="auto"/>
        <w:ind w:left="182" w:right="20" w:hanging="182" w:hangingChars="140"/>
        <w:jc w:val="left"/>
        <w:rPr>
          <w:rFonts w:ascii="Arial" w:hAnsi="Arial" w:cs="Arial"/>
          <w:spacing w:val="0"/>
          <w:sz w:val="13"/>
          <w:szCs w:val="13"/>
        </w:rPr>
      </w:pPr>
      <w:r>
        <w:rPr>
          <w:rFonts w:ascii="Arial" w:hAnsi="Arial" w:cs="Arial"/>
          <w:spacing w:val="0"/>
          <w:sz w:val="13"/>
          <w:szCs w:val="13"/>
        </w:rPr>
        <w:t>Laug, E. P., H. O. Calvery. H. J. Morris, and G. Woodard, "The Toxicology of Some Glycols and Derivatives,"</w:t>
      </w:r>
      <w:r>
        <w:rPr>
          <w:rFonts w:ascii="Arial" w:hAnsi="Arial" w:cs="Arial"/>
          <w:i/>
          <w:iCs/>
          <w:spacing w:val="0"/>
          <w:sz w:val="13"/>
          <w:szCs w:val="13"/>
        </w:rPr>
        <w:t xml:space="preserve"> Journal of Indus</w:t>
      </w:r>
      <w:r>
        <w:rPr>
          <w:rFonts w:ascii="Arial" w:hAnsi="Arial" w:cs="Arial"/>
          <w:i/>
          <w:iCs/>
          <w:spacing w:val="0"/>
          <w:sz w:val="13"/>
          <w:szCs w:val="13"/>
        </w:rPr>
        <w:softHyphen/>
      </w:r>
      <w:r>
        <w:rPr>
          <w:rFonts w:ascii="Arial" w:hAnsi="Arial" w:cs="Arial"/>
          <w:i/>
          <w:iCs/>
          <w:spacing w:val="0"/>
          <w:sz w:val="13"/>
          <w:szCs w:val="13"/>
        </w:rPr>
        <w:t>trial Hygiene and Toxicology,</w:t>
      </w:r>
      <w:r>
        <w:rPr>
          <w:rFonts w:ascii="Arial" w:hAnsi="Arial" w:cs="Arial"/>
          <w:spacing w:val="0"/>
          <w:sz w:val="13"/>
          <w:szCs w:val="13"/>
        </w:rPr>
        <w:t xml:space="preserve"> 21(5&gt;:173-201/ 1939.</w:t>
      </w:r>
    </w:p>
    <w:p w14:paraId="0F04DE19">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Rowe. V. K.. "Glycols"</w:t>
      </w:r>
      <w:r>
        <w:rPr>
          <w:rFonts w:ascii="Arial" w:hAnsi="Arial" w:cs="Arial"/>
          <w:i/>
          <w:iCs/>
          <w:spacing w:val="0"/>
          <w:sz w:val="13"/>
          <w:szCs w:val="13"/>
        </w:rPr>
        <w:t xml:space="preserve"> in</w:t>
      </w:r>
      <w:r>
        <w:rPr>
          <w:rFonts w:ascii="Arial" w:hAnsi="Arial" w:cs="Arial"/>
          <w:spacing w:val="0"/>
          <w:sz w:val="13"/>
          <w:szCs w:val="13"/>
        </w:rPr>
        <w:t xml:space="preserve"> "Industrial Hygiene and Toxicology," 2d Rev. Ed.. VoL II, Toxicology." edited by D. W. Fassett and D. D. Irish. Interactence Publications, Nej? York. pp. 1497-1502.1963.</w:t>
      </w:r>
    </w:p>
    <w:p w14:paraId="48C917BC">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Friedman et al, "Hepatic Effects of 2- Chloroethanol In the Rat,"</w:t>
      </w:r>
      <w:r>
        <w:rPr>
          <w:rFonts w:ascii="Arial" w:hAnsi="Arial" w:cs="Arial"/>
          <w:i/>
          <w:iCs/>
          <w:spacing w:val="0"/>
          <w:sz w:val="13"/>
          <w:szCs w:val="13"/>
        </w:rPr>
        <w:t xml:space="preserve"> Toxicology and Applied Pharmacology.</w:t>
      </w:r>
      <w:r>
        <w:rPr>
          <w:rFonts w:ascii="Arial" w:hAnsi="Arial" w:cs="Arial"/>
          <w:spacing w:val="0"/>
          <w:sz w:val="13"/>
          <w:szCs w:val="13"/>
        </w:rPr>
        <w:t xml:space="preserve"> 41(1):188,1977.</w:t>
      </w:r>
    </w:p>
    <w:p w14:paraId="509D6281">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Feuer, G.. T. Balazs. R. Farkus. M. S. Ilyas, "Effect of 2-Chloroethanol on Hepatic Microsomal Enzymes in the Rat,"</w:t>
      </w:r>
      <w:r>
        <w:rPr>
          <w:rFonts w:ascii="Arial" w:hAnsi="Arial" w:cs="Arial"/>
          <w:i/>
          <w:iCs/>
          <w:spacing w:val="0"/>
          <w:sz w:val="13"/>
          <w:szCs w:val="13"/>
        </w:rPr>
        <w:t xml:space="preserve"> Journal </w:t>
      </w:r>
      <w:r>
        <w:rPr>
          <w:rFonts w:ascii="Arial" w:hAnsi="Arial" w:cs="Arial"/>
          <w:spacing w:val="0"/>
          <w:sz w:val="13"/>
          <w:szCs w:val="13"/>
        </w:rPr>
        <w:t xml:space="preserve">of Toxicology and Environmental Health, </w:t>
      </w:r>
      <w:r>
        <w:rPr>
          <w:rFonts w:ascii="Arial" w:hAnsi="Arial" w:cs="Arial"/>
          <w:i/>
          <w:iCs/>
          <w:spacing w:val="0"/>
          <w:sz w:val="13"/>
          <w:szCs w:val="13"/>
        </w:rPr>
        <w:t>3:569-576, 1977.</w:t>
      </w:r>
    </w:p>
    <w:p w14:paraId="40D8D8BD">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Ambrose, A. M.. "Toxlcologlcal Studies of Compounds Investigated for Use as In</w:t>
      </w:r>
      <w:r>
        <w:rPr>
          <w:rFonts w:ascii="Arial" w:hAnsi="Arial" w:cs="Arial"/>
          <w:spacing w:val="0"/>
          <w:sz w:val="13"/>
          <w:szCs w:val="13"/>
        </w:rPr>
        <w:softHyphen/>
      </w:r>
      <w:r>
        <w:rPr>
          <w:rFonts w:ascii="Arial" w:hAnsi="Arial" w:cs="Arial"/>
          <w:spacing w:val="0"/>
          <w:sz w:val="13"/>
          <w:szCs w:val="13"/>
        </w:rPr>
        <w:t>hibitors of Biological Processes. IL "Toxic</w:t>
      </w:r>
      <w:r>
        <w:rPr>
          <w:rFonts w:ascii="Arial" w:hAnsi="Arial" w:cs="Arial"/>
          <w:spacing w:val="0"/>
          <w:sz w:val="13"/>
          <w:szCs w:val="13"/>
        </w:rPr>
        <w:softHyphen/>
      </w:r>
      <w:r>
        <w:rPr>
          <w:rFonts w:ascii="Arial" w:hAnsi="Arial" w:cs="Arial"/>
          <w:spacing w:val="0"/>
          <w:sz w:val="13"/>
          <w:szCs w:val="13"/>
        </w:rPr>
        <w:t>ity of Ethylene Chlorohydrin,"</w:t>
      </w:r>
      <w:r>
        <w:rPr>
          <w:rFonts w:ascii="Arial" w:hAnsi="Arial" w:cs="Arial"/>
          <w:i/>
          <w:iCs/>
          <w:spacing w:val="0"/>
          <w:sz w:val="13"/>
          <w:szCs w:val="13"/>
        </w:rPr>
        <w:t xml:space="preserve"> Archives of Industrial Hygiene and Occupational Medi</w:t>
      </w:r>
      <w:r>
        <w:rPr>
          <w:rFonts w:ascii="Arial" w:hAnsi="Arial" w:cs="Arial"/>
          <w:i/>
          <w:iCs/>
          <w:spacing w:val="0"/>
          <w:sz w:val="13"/>
          <w:szCs w:val="13"/>
        </w:rPr>
        <w:softHyphen/>
      </w:r>
      <w:r>
        <w:rPr>
          <w:rFonts w:ascii="Arial" w:hAnsi="Arial" w:cs="Arial"/>
          <w:i/>
          <w:iCs/>
          <w:spacing w:val="0"/>
          <w:sz w:val="13"/>
          <w:szCs w:val="13"/>
        </w:rPr>
        <w:t>cine,</w:t>
      </w:r>
      <w:r>
        <w:rPr>
          <w:rFonts w:ascii="Arial" w:hAnsi="Arial" w:cs="Arial"/>
          <w:spacing w:val="0"/>
          <w:sz w:val="13"/>
          <w:szCs w:val="13"/>
        </w:rPr>
        <w:t xml:space="preserve"> 2:591-597,1950.</w:t>
      </w:r>
    </w:p>
    <w:p w14:paraId="59FF9763">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Carson, S.'and B. L. Oser, "Oral Toxic</w:t>
      </w:r>
      <w:r>
        <w:rPr>
          <w:rFonts w:ascii="Arial" w:hAnsi="Arial" w:cs="Arial"/>
          <w:spacing w:val="0"/>
          <w:sz w:val="13"/>
          <w:szCs w:val="13"/>
        </w:rPr>
        <w:softHyphen/>
      </w:r>
      <w:r>
        <w:rPr>
          <w:rFonts w:ascii="Arial" w:hAnsi="Arial" w:cs="Arial"/>
          <w:spacing w:val="0"/>
          <w:sz w:val="13"/>
          <w:szCs w:val="13"/>
        </w:rPr>
        <w:t>ity of Ethylene Chlorohydrin,"</w:t>
      </w:r>
      <w:r>
        <w:rPr>
          <w:rFonts w:ascii="Arial" w:hAnsi="Arial" w:cs="Arial"/>
          <w:i/>
          <w:iCs/>
          <w:spacing w:val="0"/>
          <w:sz w:val="13"/>
          <w:szCs w:val="13"/>
        </w:rPr>
        <w:t xml:space="preserve"> Toxicology and Applied Pharmacology,</w:t>
      </w:r>
      <w:r>
        <w:rPr>
          <w:rFonts w:ascii="Arial" w:hAnsi="Arial" w:cs="Arial"/>
          <w:spacing w:val="0"/>
          <w:sz w:val="13"/>
          <w:szCs w:val="13"/>
        </w:rPr>
        <w:t xml:space="preserve"> 14:633,1969.</w:t>
      </w:r>
    </w:p>
    <w:p w14:paraId="3D5F8ACE">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Lawrence, W. H.. K. Itoh, J. E. Turner, and J. Autlan, "Toxicity of Ethylene Chlor</w:t>
      </w:r>
      <w:r>
        <w:rPr>
          <w:rFonts w:ascii="Arial" w:hAnsi="Arial" w:cs="Arial"/>
          <w:spacing w:val="0"/>
          <w:sz w:val="13"/>
          <w:szCs w:val="13"/>
        </w:rPr>
        <w:softHyphen/>
      </w:r>
      <w:r>
        <w:rPr>
          <w:rFonts w:ascii="Arial" w:hAnsi="Arial" w:cs="Arial"/>
          <w:spacing w:val="0"/>
          <w:sz w:val="13"/>
          <w:szCs w:val="13"/>
        </w:rPr>
        <w:t>ohydrin II: Subacute Toxicity and Special Tests,"</w:t>
      </w:r>
      <w:r>
        <w:rPr>
          <w:rFonts w:ascii="Arial" w:hAnsi="Arial" w:cs="Arial"/>
          <w:i/>
          <w:iCs/>
          <w:spacing w:val="0"/>
          <w:sz w:val="13"/>
          <w:szCs w:val="13"/>
        </w:rPr>
        <w:t xml:space="preserve"> Journal of Pharmaceutical Sciences, </w:t>
      </w:r>
      <w:r>
        <w:rPr>
          <w:rFonts w:ascii="Arial" w:hAnsi="Arial" w:cs="Arial"/>
          <w:spacing w:val="0"/>
          <w:sz w:val="13"/>
          <w:szCs w:val="13"/>
        </w:rPr>
        <w:t>60(8):1163-1168,1971.</w:t>
      </w:r>
    </w:p>
    <w:p w14:paraId="155CD283">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Taylor, J. M* "Ethylene Chlorohy</w:t>
      </w:r>
      <w:r>
        <w:rPr>
          <w:rFonts w:ascii="Arial" w:hAnsi="Arial" w:cs="Arial"/>
          <w:spacing w:val="0"/>
          <w:sz w:val="13"/>
          <w:szCs w:val="13"/>
        </w:rPr>
        <w:softHyphen/>
      </w:r>
      <w:r>
        <w:rPr>
          <w:rFonts w:ascii="Arial" w:hAnsi="Arial" w:cs="Arial"/>
          <w:spacing w:val="0"/>
          <w:sz w:val="13"/>
          <w:szCs w:val="13"/>
        </w:rPr>
        <w:t>drin," Unpublished FDA report, pp. 1-14. 1969.</w:t>
      </w:r>
    </w:p>
    <w:p w14:paraId="25049E9E">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Derse, P. H., "The Injection of New</w:t>
      </w:r>
      <w:r>
        <w:rPr>
          <w:rFonts w:ascii="Arial" w:hAnsi="Arial" w:cs="Arial"/>
          <w:spacing w:val="0"/>
          <w:sz w:val="13"/>
          <w:szCs w:val="13"/>
        </w:rPr>
        <w:softHyphen/>
      </w:r>
      <w:r>
        <w:rPr>
          <w:rFonts w:ascii="Arial" w:hAnsi="Arial" w:cs="Arial"/>
          <w:spacing w:val="0"/>
          <w:sz w:val="13"/>
          <w:szCs w:val="13"/>
        </w:rPr>
        <w:t>born Mice with Seven Chemical Adjuvants to Help Determine Their Safety in Use in Blologlcals," UJS. Government Research and Development Reports, 70('24):56,1970.</w:t>
      </w:r>
    </w:p>
    <w:p w14:paraId="3D45E1A0">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Homburger, F., "Carcinogenicity of Several. Compounds," U.S. Government Re</w:t>
      </w:r>
      <w:r>
        <w:rPr>
          <w:rFonts w:ascii="Arial" w:hAnsi="Arial" w:cs="Arial"/>
          <w:spacing w:val="0"/>
          <w:sz w:val="13"/>
          <w:szCs w:val="13"/>
        </w:rPr>
        <w:softHyphen/>
      </w:r>
      <w:r>
        <w:rPr>
          <w:rFonts w:ascii="Arial" w:hAnsi="Arial" w:cs="Arial"/>
          <w:spacing w:val="0"/>
          <w:sz w:val="13"/>
          <w:szCs w:val="13"/>
        </w:rPr>
        <w:t>search and Development Reports, 69&lt;10):50. 1969.</w:t>
      </w:r>
    </w:p>
    <w:p w14:paraId="3CED82E1">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Johnson, M. K., "Metabolism of Chlor- oethanol in the Rat,"</w:t>
      </w:r>
      <w:r>
        <w:rPr>
          <w:rFonts w:ascii="Arial" w:hAnsi="Arial" w:cs="Arial"/>
          <w:i/>
          <w:iCs/>
          <w:spacing w:val="0"/>
          <w:sz w:val="13"/>
          <w:szCs w:val="13"/>
        </w:rPr>
        <w:t xml:space="preserve"> Biochemical Pharma</w:t>
      </w:r>
      <w:r>
        <w:rPr>
          <w:rFonts w:ascii="Arial" w:hAnsi="Arial" w:cs="Arial"/>
          <w:i/>
          <w:iCs/>
          <w:spacing w:val="0"/>
          <w:sz w:val="13"/>
          <w:szCs w:val="13"/>
        </w:rPr>
        <w:softHyphen/>
      </w:r>
      <w:r>
        <w:rPr>
          <w:rFonts w:ascii="Arial" w:hAnsi="Arial" w:cs="Arial"/>
          <w:i/>
          <w:iCs/>
          <w:spacing w:val="0"/>
          <w:sz w:val="13"/>
          <w:szCs w:val="13"/>
        </w:rPr>
        <w:t>cology,</w:t>
      </w:r>
      <w:r>
        <w:rPr>
          <w:rFonts w:ascii="Arial" w:hAnsi="Arial" w:cs="Arial"/>
          <w:spacing w:val="0"/>
          <w:sz w:val="13"/>
          <w:szCs w:val="13"/>
        </w:rPr>
        <w:t xml:space="preserve"> 16:185-199, 1967.</w:t>
      </w:r>
    </w:p>
    <w:p w14:paraId="7EC2BDB6">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Mason, M. M., C. C. Cate, and J. Baker, "Toxicology and Carcinogenesis of Various Chemicals Used in the Preparation of Vac</w:t>
      </w:r>
      <w:r>
        <w:rPr>
          <w:rFonts w:ascii="Arial" w:hAnsi="Arial" w:cs="Arial"/>
          <w:spacing w:val="0"/>
          <w:sz w:val="13"/>
          <w:szCs w:val="13"/>
        </w:rPr>
        <w:softHyphen/>
      </w:r>
      <w:r>
        <w:rPr>
          <w:rFonts w:ascii="Arial" w:hAnsi="Arial" w:cs="Arial"/>
          <w:spacing w:val="0"/>
          <w:sz w:val="13"/>
          <w:szCs w:val="13"/>
        </w:rPr>
        <w:t>cines,"</w:t>
      </w:r>
      <w:r>
        <w:rPr>
          <w:rFonts w:ascii="Arial" w:hAnsi="Arial" w:cs="Arial"/>
          <w:i/>
          <w:iCs/>
          <w:spacing w:val="0"/>
          <w:sz w:val="13"/>
          <w:szCs w:val="13"/>
        </w:rPr>
        <w:t xml:space="preserve"> Clinical Toxicology,</w:t>
      </w:r>
      <w:r>
        <w:rPr>
          <w:rFonts w:ascii="Arial" w:hAnsi="Arial" w:cs="Arial"/>
          <w:spacing w:val="0"/>
          <w:sz w:val="13"/>
          <w:szCs w:val="13"/>
        </w:rPr>
        <w:t xml:space="preserve"> 4(2):18&amp;-204, 1971.</w:t>
      </w:r>
    </w:p>
    <w:p w14:paraId="0FF4F65E">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Roberts, J. A. and H. R. Selbold. "Eth</w:t>
      </w:r>
      <w:r>
        <w:rPr>
          <w:rFonts w:ascii="Arial" w:hAnsi="Arial" w:cs="Arial"/>
          <w:spacing w:val="0"/>
          <w:sz w:val="13"/>
          <w:szCs w:val="13"/>
        </w:rPr>
        <w:softHyphen/>
      </w:r>
      <w:r>
        <w:rPr>
          <w:rFonts w:ascii="Arial" w:hAnsi="Arial" w:cs="Arial"/>
          <w:spacing w:val="0"/>
          <w:sz w:val="13"/>
          <w:szCs w:val="13"/>
        </w:rPr>
        <w:t>ylene Glycol Toxicity in the Monkey,"</w:t>
      </w:r>
      <w:r>
        <w:rPr>
          <w:rFonts w:ascii="Arial" w:hAnsi="Arial" w:cs="Arial"/>
          <w:i/>
          <w:iCs/>
          <w:spacing w:val="0"/>
          <w:sz w:val="13"/>
          <w:szCs w:val="13"/>
        </w:rPr>
        <w:t xml:space="preserve"> Toxi</w:t>
      </w:r>
      <w:r>
        <w:rPr>
          <w:rFonts w:ascii="Arial" w:hAnsi="Arial" w:cs="Arial"/>
          <w:i/>
          <w:iCs/>
          <w:spacing w:val="0"/>
          <w:sz w:val="13"/>
          <w:szCs w:val="13"/>
        </w:rPr>
        <w:softHyphen/>
      </w:r>
      <w:r>
        <w:rPr>
          <w:rFonts w:ascii="Arial" w:hAnsi="Arial" w:cs="Arial"/>
          <w:i/>
          <w:iCs/>
          <w:spacing w:val="0"/>
          <w:sz w:val="13"/>
          <w:szCs w:val="13"/>
        </w:rPr>
        <w:t>cology and Applied Pharmacology,</w:t>
      </w:r>
      <w:r>
        <w:rPr>
          <w:rFonts w:ascii="Arial" w:hAnsi="Arial" w:cs="Arial"/>
          <w:spacing w:val="0"/>
          <w:sz w:val="13"/>
          <w:szCs w:val="13"/>
        </w:rPr>
        <w:t xml:space="preserve"> 15:624</w:t>
      </w:r>
      <w:r>
        <w:rPr>
          <w:rFonts w:ascii="Arial" w:hAnsi="Arial" w:cs="Arial"/>
          <w:spacing w:val="0"/>
          <w:sz w:val="13"/>
          <w:szCs w:val="13"/>
        </w:rPr>
        <w:softHyphen/>
      </w:r>
      <w:r>
        <w:rPr>
          <w:rFonts w:ascii="Arial" w:hAnsi="Arial" w:cs="Arial"/>
          <w:spacing w:val="0"/>
          <w:sz w:val="13"/>
          <w:szCs w:val="13"/>
        </w:rPr>
        <w:t>631,1969.</w:t>
      </w:r>
    </w:p>
    <w:p w14:paraId="439C2261">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Bachmann, E. and L. Goldberg, "Reap</w:t>
      </w:r>
      <w:r>
        <w:rPr>
          <w:rFonts w:ascii="Arial" w:hAnsi="Arial" w:cs="Arial"/>
          <w:spacing w:val="0"/>
          <w:sz w:val="13"/>
          <w:szCs w:val="13"/>
        </w:rPr>
        <w:softHyphen/>
      </w:r>
      <w:r>
        <w:rPr>
          <w:rFonts w:ascii="Arial" w:hAnsi="Arial" w:cs="Arial"/>
          <w:spacing w:val="0"/>
          <w:sz w:val="13"/>
          <w:szCs w:val="13"/>
        </w:rPr>
        <w:t>praisal of the Toxicology of Ethylene Glycol, m Mitochondrial Effects,"</w:t>
      </w:r>
      <w:r>
        <w:rPr>
          <w:rFonts w:ascii="Arial" w:hAnsi="Arial" w:cs="Arial"/>
          <w:i/>
          <w:iCs/>
          <w:spacing w:val="0"/>
          <w:sz w:val="13"/>
          <w:szCs w:val="13"/>
        </w:rPr>
        <w:t xml:space="preserve"> Food and Cosmetics Toxicoloy,</w:t>
      </w:r>
      <w:r>
        <w:rPr>
          <w:rFonts w:ascii="Arial" w:hAnsi="Arial" w:cs="Arial"/>
          <w:spacing w:val="0"/>
          <w:sz w:val="13"/>
          <w:szCs w:val="13"/>
        </w:rPr>
        <w:t xml:space="preserve"> 9:39-55,1971.</w:t>
      </w:r>
    </w:p>
    <w:p w14:paraId="57DFBFD9">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Wiley, F. H., W. C. Hueper, and W. F. von Oettingen, "The Toxicity and Potential Dangers of Ethylene Glycol,"</w:t>
      </w:r>
      <w:r>
        <w:rPr>
          <w:rFonts w:ascii="Arial" w:hAnsi="Arial" w:cs="Arial"/>
          <w:i/>
          <w:iCs/>
          <w:spacing w:val="0"/>
          <w:sz w:val="13"/>
          <w:szCs w:val="13"/>
        </w:rPr>
        <w:t xml:space="preserve"> Journal of In</w:t>
      </w:r>
      <w:r>
        <w:rPr>
          <w:rFonts w:ascii="Arial" w:hAnsi="Arial" w:cs="Arial"/>
          <w:i/>
          <w:iCs/>
          <w:spacing w:val="0"/>
          <w:sz w:val="13"/>
          <w:szCs w:val="13"/>
        </w:rPr>
        <w:softHyphen/>
      </w:r>
      <w:r>
        <w:rPr>
          <w:rFonts w:ascii="Arial" w:hAnsi="Arial" w:cs="Arial"/>
          <w:i/>
          <w:iCs/>
          <w:spacing w:val="0"/>
          <w:sz w:val="13"/>
          <w:szCs w:val="13"/>
        </w:rPr>
        <w:t>dustrial Hygiene and Toxicology,</w:t>
      </w:r>
      <w:r>
        <w:rPr>
          <w:rFonts w:ascii="Arial" w:hAnsi="Arial" w:cs="Arial"/>
          <w:spacing w:val="0"/>
          <w:sz w:val="13"/>
          <w:szCs w:val="13"/>
        </w:rPr>
        <w:t xml:space="preserve"> 18:123</w:t>
      </w:r>
      <w:r>
        <w:rPr>
          <w:rFonts w:ascii="Arial" w:hAnsi="Arial" w:cs="Arial"/>
          <w:spacing w:val="0"/>
          <w:sz w:val="13"/>
          <w:szCs w:val="13"/>
        </w:rPr>
        <w:softHyphen/>
      </w:r>
      <w:r>
        <w:rPr>
          <w:rFonts w:ascii="Arial" w:hAnsi="Arial" w:cs="Arial"/>
          <w:spacing w:val="0"/>
          <w:sz w:val="13"/>
          <w:szCs w:val="13"/>
        </w:rPr>
        <w:t>126, 1936.</w:t>
      </w:r>
    </w:p>
    <w:p w14:paraId="3DCFD527">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Blood, F. R„ G. A. Elliott, and M. S. Wright, "Chronic Toxicity of Ethylene Glycol in the Monkey,"</w:t>
      </w:r>
      <w:r>
        <w:rPr>
          <w:rFonts w:ascii="Arial" w:hAnsi="Arial" w:cs="Arial"/>
          <w:i/>
          <w:iCs/>
          <w:spacing w:val="0"/>
          <w:sz w:val="13"/>
          <w:szCs w:val="13"/>
        </w:rPr>
        <w:t xml:space="preserve"> Toxicology and Ap</w:t>
      </w:r>
      <w:r>
        <w:rPr>
          <w:rFonts w:ascii="Arial" w:hAnsi="Arial" w:cs="Arial"/>
          <w:i/>
          <w:iCs/>
          <w:spacing w:val="0"/>
          <w:sz w:val="13"/>
          <w:szCs w:val="13"/>
        </w:rPr>
        <w:softHyphen/>
      </w:r>
      <w:r>
        <w:rPr>
          <w:rFonts w:ascii="Arial" w:hAnsi="Arial" w:cs="Arial"/>
          <w:i/>
          <w:iCs/>
          <w:spacing w:val="0"/>
          <w:sz w:val="13"/>
          <w:szCs w:val="13"/>
        </w:rPr>
        <w:t>plied Pharmacology,</w:t>
      </w:r>
      <w:r>
        <w:rPr>
          <w:rFonts w:ascii="Arial" w:hAnsi="Arial" w:cs="Arial"/>
          <w:spacing w:val="0"/>
          <w:sz w:val="13"/>
          <w:szCs w:val="13"/>
        </w:rPr>
        <w:t xml:space="preserve"> 4:489-491,1962.</w:t>
      </w:r>
    </w:p>
    <w:p w14:paraId="69311388">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Blood, F. R., "Chronic Toxicity of Eth</w:t>
      </w:r>
      <w:r>
        <w:rPr>
          <w:rFonts w:ascii="Arial" w:hAnsi="Arial" w:cs="Arial"/>
          <w:spacing w:val="0"/>
          <w:sz w:val="13"/>
          <w:szCs w:val="13"/>
        </w:rPr>
        <w:softHyphen/>
      </w:r>
      <w:r>
        <w:rPr>
          <w:rFonts w:ascii="Arial" w:hAnsi="Arial" w:cs="Arial"/>
          <w:spacing w:val="0"/>
          <w:sz w:val="13"/>
          <w:szCs w:val="13"/>
        </w:rPr>
        <w:t>ylene Glycol In the Rat,"</w:t>
      </w:r>
      <w:r>
        <w:rPr>
          <w:rFonts w:ascii="Arial" w:hAnsi="Arial" w:cs="Arial"/>
          <w:i/>
          <w:iCs/>
          <w:spacing w:val="0"/>
          <w:sz w:val="13"/>
          <w:szCs w:val="13"/>
        </w:rPr>
        <w:t xml:space="preserve"> Food and Cosmet</w:t>
      </w:r>
      <w:r>
        <w:rPr>
          <w:rFonts w:ascii="Arial" w:hAnsi="Arial" w:cs="Arial"/>
          <w:i/>
          <w:iCs/>
          <w:spacing w:val="0"/>
          <w:sz w:val="13"/>
          <w:szCs w:val="13"/>
        </w:rPr>
        <w:softHyphen/>
      </w:r>
      <w:r>
        <w:rPr>
          <w:rFonts w:ascii="Arial" w:hAnsi="Arial" w:cs="Arial"/>
          <w:i/>
          <w:iCs/>
          <w:spacing w:val="0"/>
          <w:sz w:val="13"/>
          <w:szCs w:val="13"/>
        </w:rPr>
        <w:t>ics Toxicology,</w:t>
      </w:r>
      <w:r>
        <w:rPr>
          <w:rFonts w:ascii="Arial" w:hAnsi="Arial" w:cs="Arial"/>
          <w:spacing w:val="0"/>
          <w:sz w:val="13"/>
          <w:szCs w:val="13"/>
        </w:rPr>
        <w:t xml:space="preserve"> 3:229-234,1965.</w:t>
      </w:r>
    </w:p>
    <w:p w14:paraId="1AC7247F">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Morris, H. J., A. A. Nelson, and H. O. Calvery, "Observations of thfe Chronic Toxi</w:t>
      </w:r>
      <w:r>
        <w:rPr>
          <w:rFonts w:ascii="Arial" w:hAnsi="Arial" w:cs="Arial"/>
          <w:spacing w:val="0"/>
          <w:sz w:val="13"/>
          <w:szCs w:val="13"/>
        </w:rPr>
        <w:softHyphen/>
      </w:r>
      <w:r>
        <w:rPr>
          <w:rFonts w:ascii="Arial" w:hAnsi="Arial" w:cs="Arial"/>
          <w:spacing w:val="0"/>
          <w:sz w:val="13"/>
          <w:szCs w:val="13"/>
        </w:rPr>
        <w:t>cities of Propylene Glycol, Ethylene Glycol, Diethylene Glycol. Ethylene Glycol Mono- Ethyl-Ether, and Diethylene Glycol Mono- Ethyl-Ether,"</w:t>
      </w:r>
      <w:r>
        <w:rPr>
          <w:rFonts w:ascii="Arial" w:hAnsi="Arial" w:cs="Arial"/>
          <w:i/>
          <w:iCs/>
          <w:spacing w:val="0"/>
          <w:sz w:val="13"/>
          <w:szCs w:val="13"/>
        </w:rPr>
        <w:t xml:space="preserve"> Journal of Pharmacology and Experimental - Therapeutics,</w:t>
      </w:r>
      <w:r>
        <w:rPr>
          <w:rFonts w:ascii="Arial" w:hAnsi="Arial" w:cs="Arial"/>
          <w:spacing w:val="0"/>
          <w:sz w:val="13"/>
          <w:szCs w:val="13"/>
        </w:rPr>
        <w:t xml:space="preserve"> 74:266-273, 1942.</w:t>
      </w:r>
    </w:p>
    <w:p w14:paraId="64CFD8AD">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Spitz, H. D. and J. Weinberger. "Deter</w:t>
      </w:r>
      <w:r>
        <w:rPr>
          <w:rFonts w:ascii="Arial" w:hAnsi="Arial" w:cs="Arial"/>
          <w:spacing w:val="0"/>
          <w:sz w:val="13"/>
          <w:szCs w:val="13"/>
        </w:rPr>
        <w:softHyphen/>
      </w:r>
      <w:r>
        <w:rPr>
          <w:rFonts w:ascii="Arial" w:hAnsi="Arial" w:cs="Arial"/>
          <w:spacing w:val="0"/>
          <w:sz w:val="13"/>
          <w:szCs w:val="13"/>
        </w:rPr>
        <w:t>mination of Ethylene Oxide, Ethylene Chlorohydrin, and Ethylene Glycol by Oas Chromatography,"</w:t>
      </w:r>
      <w:r>
        <w:rPr>
          <w:rFonts w:ascii="Arial" w:hAnsi="Arial" w:cs="Arial"/>
          <w:i/>
          <w:iCs/>
          <w:spacing w:val="0"/>
          <w:sz w:val="13"/>
          <w:szCs w:val="13"/>
        </w:rPr>
        <w:t xml:space="preserve"> Journal of Pharmaceuti</w:t>
      </w:r>
      <w:r>
        <w:rPr>
          <w:rFonts w:ascii="Arial" w:hAnsi="Arial" w:cs="Arial"/>
          <w:i/>
          <w:iCs/>
          <w:spacing w:val="0"/>
          <w:sz w:val="13"/>
          <w:szCs w:val="13"/>
        </w:rPr>
        <w:softHyphen/>
      </w:r>
      <w:r>
        <w:rPr>
          <w:rFonts w:ascii="Arial" w:hAnsi="Arial" w:cs="Arial"/>
          <w:i/>
          <w:iCs/>
          <w:spacing w:val="0"/>
          <w:sz w:val="13"/>
          <w:szCs w:val="13"/>
        </w:rPr>
        <w:t>cal Sciences,</w:t>
      </w:r>
      <w:r>
        <w:rPr>
          <w:rFonts w:ascii="Arial" w:hAnsi="Arial" w:cs="Arial"/>
          <w:spacing w:val="0"/>
          <w:sz w:val="13"/>
          <w:szCs w:val="13"/>
        </w:rPr>
        <w:t xml:space="preserve"> 60(2):271-274.1971.</w:t>
      </w:r>
    </w:p>
    <w:p w14:paraId="14B85C10">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Mogenhan, J. A., J. E. Whltboume, and R. R. Ernst, "Determination of Ethyl</w:t>
      </w:r>
      <w:r>
        <w:rPr>
          <w:rFonts w:ascii="Arial" w:hAnsi="Arial" w:cs="Arial"/>
          <w:spacing w:val="0"/>
          <w:sz w:val="13"/>
          <w:szCs w:val="13"/>
        </w:rPr>
        <w:softHyphen/>
      </w:r>
      <w:r>
        <w:rPr>
          <w:rFonts w:ascii="Arial" w:hAnsi="Arial" w:cs="Arial"/>
          <w:spacing w:val="0"/>
          <w:sz w:val="13"/>
          <w:szCs w:val="13"/>
        </w:rPr>
        <w:t xml:space="preserve">ene Oxide in Surgical Materials by Vacuum Extraction and Gas Chromatography," </w:t>
      </w:r>
      <w:r>
        <w:rPr>
          <w:rFonts w:ascii="Arial" w:hAnsi="Arial" w:cs="Arial"/>
          <w:i/>
          <w:iCs/>
          <w:spacing w:val="0"/>
          <w:sz w:val="13"/>
          <w:szCs w:val="13"/>
        </w:rPr>
        <w:t xml:space="preserve">Journal of Pharmaceutical Sciences, </w:t>
      </w:r>
      <w:r>
        <w:rPr>
          <w:rFonts w:ascii="Arial" w:hAnsi="Arial" w:cs="Arial"/>
          <w:spacing w:val="0"/>
          <w:sz w:val="13"/>
          <w:szCs w:val="13"/>
        </w:rPr>
        <w:t>60&lt;2&gt;:222-224,1971.</w:t>
      </w:r>
    </w:p>
    <w:p w14:paraId="7FB084E9">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56 . Romano, S. J., J. A. Renner, and P. M. Leitner, "Gas Chromatography Determina</w:t>
      </w:r>
      <w:r>
        <w:rPr>
          <w:rFonts w:ascii="Arial" w:hAnsi="Arial" w:cs="Arial"/>
          <w:spacing w:val="0"/>
          <w:sz w:val="13"/>
          <w:szCs w:val="13"/>
        </w:rPr>
        <w:softHyphen/>
      </w:r>
      <w:r>
        <w:rPr>
          <w:rFonts w:ascii="Arial" w:hAnsi="Arial" w:cs="Arial"/>
          <w:spacing w:val="0"/>
          <w:sz w:val="13"/>
          <w:szCs w:val="13"/>
        </w:rPr>
        <w:t>tion of Residual Ethylene Oxide by Head Space Analysis,"</w:t>
      </w:r>
      <w:r>
        <w:rPr>
          <w:rFonts w:ascii="Arial" w:hAnsi="Arial" w:cs="Arial"/>
          <w:i/>
          <w:iCs/>
          <w:spacing w:val="0"/>
          <w:sz w:val="13"/>
          <w:szCs w:val="13"/>
        </w:rPr>
        <w:t xml:space="preserve"> Analytical Chemistry, </w:t>
      </w:r>
      <w:r>
        <w:rPr>
          <w:rFonts w:ascii="Arial" w:hAnsi="Arial" w:cs="Arial"/>
          <w:spacing w:val="0"/>
          <w:sz w:val="13"/>
          <w:szCs w:val="13"/>
        </w:rPr>
        <w:t>45( 14):2327-2330, 1973.</w:t>
      </w:r>
    </w:p>
    <w:p w14:paraId="1CD5F810">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Romano, S. J., and J. A. Renner, "Comparison of Analytical Methods for Re</w:t>
      </w:r>
      <w:r>
        <w:rPr>
          <w:rFonts w:ascii="Arial" w:hAnsi="Arial" w:cs="Arial"/>
          <w:spacing w:val="0"/>
          <w:sz w:val="13"/>
          <w:szCs w:val="13"/>
        </w:rPr>
        <w:softHyphen/>
      </w:r>
      <w:r>
        <w:rPr>
          <w:rFonts w:ascii="Arial" w:hAnsi="Arial" w:cs="Arial"/>
          <w:spacing w:val="0"/>
          <w:sz w:val="13"/>
          <w:szCs w:val="13"/>
        </w:rPr>
        <w:t>sidual Ethylene Oxide Analysis,"</w:t>
      </w:r>
      <w:r>
        <w:rPr>
          <w:rFonts w:ascii="Arial" w:hAnsi="Arial" w:cs="Arial"/>
          <w:i/>
          <w:iCs/>
          <w:spacing w:val="0"/>
          <w:sz w:val="13"/>
          <w:szCs w:val="13"/>
        </w:rPr>
        <w:t xml:space="preserve"> Journal of </w:t>
      </w:r>
      <w:r>
        <w:rPr>
          <w:rFonts w:ascii="Arial" w:hAnsi="Arial" w:cs="Arial"/>
          <w:spacing w:val="0"/>
          <w:sz w:val="13"/>
          <w:szCs w:val="13"/>
        </w:rPr>
        <w:t>Pharmaceutical Sciences,</w:t>
      </w:r>
      <w:r>
        <w:rPr>
          <w:rFonts w:ascii="Arial" w:hAnsi="Arial" w:cs="Arial"/>
          <w:i/>
          <w:iCs/>
          <w:spacing w:val="0"/>
          <w:sz w:val="13"/>
          <w:szCs w:val="13"/>
        </w:rPr>
        <w:t xml:space="preserve"> 64(8):1412-1417, 1975.</w:t>
      </w:r>
    </w:p>
    <w:p w14:paraId="579A4631">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Brown, D. J., "Determination of Ethyl</w:t>
      </w:r>
      <w:r>
        <w:rPr>
          <w:rFonts w:ascii="Arial" w:hAnsi="Arial" w:cs="Arial"/>
          <w:spacing w:val="0"/>
          <w:sz w:val="13"/>
          <w:szCs w:val="13"/>
        </w:rPr>
        <w:softHyphen/>
      </w:r>
      <w:r>
        <w:rPr>
          <w:rFonts w:ascii="Arial" w:hAnsi="Arial" w:cs="Arial"/>
          <w:spacing w:val="0"/>
          <w:sz w:val="13"/>
          <w:szCs w:val="13"/>
        </w:rPr>
        <w:t>ene Oxide and Ethylene Chlorohydrin in Plastic and Rubber Surgical Equipment Sterilized with Ethylene Oxide,"</w:t>
      </w:r>
      <w:r>
        <w:rPr>
          <w:rFonts w:ascii="Arial" w:hAnsi="Arial" w:cs="Arial"/>
          <w:i/>
          <w:iCs/>
          <w:spacing w:val="0"/>
          <w:sz w:val="13"/>
          <w:szCs w:val="13"/>
        </w:rPr>
        <w:t xml:space="preserve"> Journal</w:t>
      </w:r>
      <w:r>
        <w:rPr>
          <w:rFonts w:ascii="Arial" w:hAnsi="Arial" w:cs="Arial"/>
          <w:spacing w:val="0"/>
          <w:sz w:val="13"/>
          <w:szCs w:val="13"/>
        </w:rPr>
        <w:t xml:space="preserve"> of </w:t>
      </w:r>
      <w:r>
        <w:rPr>
          <w:rFonts w:ascii="Arial" w:hAnsi="Arial" w:cs="Arial"/>
          <w:i/>
          <w:iCs/>
          <w:spacing w:val="0"/>
          <w:sz w:val="13"/>
          <w:szCs w:val="13"/>
        </w:rPr>
        <w:t>the Association of Official Analytical Chem</w:t>
      </w:r>
      <w:r>
        <w:rPr>
          <w:rFonts w:ascii="Arial" w:hAnsi="Arial" w:cs="Arial"/>
          <w:i/>
          <w:iCs/>
          <w:spacing w:val="0"/>
          <w:sz w:val="13"/>
          <w:szCs w:val="13"/>
        </w:rPr>
        <w:softHyphen/>
      </w:r>
      <w:r>
        <w:rPr>
          <w:rFonts w:ascii="Arial" w:hAnsi="Arial" w:cs="Arial"/>
          <w:i/>
          <w:iCs/>
          <w:spacing w:val="0"/>
          <w:sz w:val="13"/>
          <w:szCs w:val="13"/>
        </w:rPr>
        <w:t>ists,</w:t>
      </w:r>
      <w:r>
        <w:rPr>
          <w:rFonts w:ascii="Arial" w:hAnsi="Arial" w:cs="Arial"/>
          <w:spacing w:val="0"/>
          <w:sz w:val="13"/>
          <w:szCs w:val="13"/>
        </w:rPr>
        <w:t xml:space="preserve"> 53&lt;2):263-267.1970.</w:t>
      </w:r>
    </w:p>
    <w:p w14:paraId="5483B179">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Adler, N.. "Residual Ethylene Oxide and Ethylene Glycol in Ethylene Oxide Sterilized Pharmaceuticals,"</w:t>
      </w:r>
      <w:r>
        <w:rPr>
          <w:rFonts w:ascii="Arial" w:hAnsi="Arial" w:cs="Arial"/>
          <w:i/>
          <w:iCs/>
          <w:spacing w:val="0"/>
          <w:sz w:val="13"/>
          <w:szCs w:val="13"/>
        </w:rPr>
        <w:t xml:space="preserve"> Journal of Pharmaceutical Sciences,</w:t>
      </w:r>
      <w:r>
        <w:rPr>
          <w:rFonts w:ascii="Arial" w:hAnsi="Arial" w:cs="Arial"/>
          <w:spacing w:val="0"/>
          <w:sz w:val="13"/>
          <w:szCs w:val="13"/>
        </w:rPr>
        <w:t xml:space="preserve"> 54(5):735-742, 1965.</w:t>
      </w:r>
    </w:p>
    <w:p w14:paraId="5B3C4978">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Warren. B., "The Determination of Residual Ethylene Oxide and Halogenated Hydrocarbon Propellants in Sterilized Plas</w:t>
      </w:r>
      <w:r>
        <w:rPr>
          <w:rFonts w:ascii="Arial" w:hAnsi="Arial" w:cs="Arial"/>
          <w:spacing w:val="0"/>
          <w:sz w:val="13"/>
          <w:szCs w:val="13"/>
        </w:rPr>
        <w:softHyphen/>
      </w:r>
      <w:r>
        <w:rPr>
          <w:rFonts w:ascii="Arial" w:hAnsi="Arial" w:cs="Arial"/>
          <w:spacing w:val="0"/>
          <w:sz w:val="13"/>
          <w:szCs w:val="13"/>
        </w:rPr>
        <w:t>tics,"</w:t>
      </w:r>
      <w:r>
        <w:rPr>
          <w:rFonts w:ascii="Arial" w:hAnsi="Arial" w:cs="Arial"/>
          <w:i/>
          <w:iCs/>
          <w:spacing w:val="0"/>
          <w:sz w:val="13"/>
          <w:szCs w:val="13"/>
        </w:rPr>
        <w:t xml:space="preserve"> Journal of Pharmacy and Pharmacol</w:t>
      </w:r>
      <w:r>
        <w:rPr>
          <w:rFonts w:ascii="Arial" w:hAnsi="Arial" w:cs="Arial"/>
          <w:i/>
          <w:iCs/>
          <w:spacing w:val="0"/>
          <w:sz w:val="13"/>
          <w:szCs w:val="13"/>
        </w:rPr>
        <w:softHyphen/>
      </w:r>
      <w:r>
        <w:rPr>
          <w:rFonts w:ascii="Arial" w:hAnsi="Arial" w:cs="Arial"/>
          <w:i/>
          <w:iCs/>
          <w:spacing w:val="0"/>
          <w:sz w:val="13"/>
          <w:szCs w:val="13"/>
        </w:rPr>
        <w:t>ogy.</w:t>
      </w:r>
      <w:r>
        <w:rPr>
          <w:rFonts w:ascii="Arial" w:hAnsi="Arial" w:cs="Arial"/>
          <w:spacing w:val="0"/>
          <w:sz w:val="13"/>
          <w:szCs w:val="13"/>
        </w:rPr>
        <w:t xml:space="preserve"> 23(SuppL):170S-175S, 1971.</w:t>
      </w:r>
    </w:p>
    <w:p w14:paraId="32DB6A9E">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Weinberger, J- "GLC Determination of Ethylene Chlorohydrin Following Co- Sweep Extraction,"</w:t>
      </w:r>
      <w:r>
        <w:rPr>
          <w:rFonts w:ascii="Arial" w:hAnsi="Arial" w:cs="Arial"/>
          <w:i/>
          <w:iCs/>
          <w:spacing w:val="0"/>
          <w:sz w:val="13"/>
          <w:szCs w:val="13"/>
        </w:rPr>
        <w:t xml:space="preserve"> Journal of Pharmaceuti</w:t>
      </w:r>
      <w:r>
        <w:rPr>
          <w:rFonts w:ascii="Arial" w:hAnsi="Arial" w:cs="Arial"/>
          <w:i/>
          <w:iCs/>
          <w:spacing w:val="0"/>
          <w:sz w:val="13"/>
          <w:szCs w:val="13"/>
        </w:rPr>
        <w:softHyphen/>
      </w:r>
      <w:r>
        <w:rPr>
          <w:rFonts w:ascii="Arial" w:hAnsi="Arial" w:cs="Arial"/>
          <w:i/>
          <w:iCs/>
          <w:spacing w:val="0"/>
          <w:sz w:val="13"/>
          <w:szCs w:val="13"/>
        </w:rPr>
        <w:t>cal Sciences,</w:t>
      </w:r>
      <w:r>
        <w:rPr>
          <w:rFonts w:ascii="Arial" w:hAnsi="Arial" w:cs="Arial"/>
          <w:spacing w:val="0"/>
          <w:sz w:val="13"/>
          <w:szCs w:val="13"/>
        </w:rPr>
        <w:t xml:space="preserve"> 60(4):545-547,1971.</w:t>
      </w:r>
    </w:p>
    <w:p w14:paraId="26960A10">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Brobst, K. M. and H. Tai, "Determina</w:t>
      </w:r>
      <w:r>
        <w:rPr>
          <w:rFonts w:ascii="Arial" w:hAnsi="Arial" w:cs="Arial"/>
          <w:spacing w:val="0"/>
          <w:sz w:val="13"/>
          <w:szCs w:val="13"/>
        </w:rPr>
        <w:softHyphen/>
      </w:r>
      <w:r>
        <w:rPr>
          <w:rFonts w:ascii="Arial" w:hAnsi="Arial" w:cs="Arial"/>
          <w:spacing w:val="0"/>
          <w:sz w:val="13"/>
          <w:szCs w:val="13"/>
        </w:rPr>
        <w:t>tion of Chlorohydrins in Hydroxypropyl Starch Ethers,"</w:t>
      </w:r>
      <w:r>
        <w:rPr>
          <w:rFonts w:ascii="Arial" w:hAnsi="Arial" w:cs="Arial"/>
          <w:i/>
          <w:iCs/>
          <w:spacing w:val="0"/>
          <w:sz w:val="13"/>
          <w:szCs w:val="13"/>
        </w:rPr>
        <w:t xml:space="preserve"> Journal of the Association Of Official Analytical Chemists,</w:t>
      </w:r>
      <w:r>
        <w:rPr>
          <w:rFonts w:ascii="Arial" w:hAnsi="Arial" w:cs="Arial"/>
          <w:spacing w:val="0"/>
          <w:sz w:val="13"/>
          <w:szCs w:val="13"/>
        </w:rPr>
        <w:t xml:space="preserve"> 54&lt;5):1093- 1094,1971.</w:t>
      </w:r>
    </w:p>
    <w:p w14:paraId="650CD968">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Scudamore. K. A. and S. G. Heuser, Ethylene Oxide and Its Persistent Reaction Products in Wheat Flour and Other Com</w:t>
      </w:r>
      <w:r>
        <w:rPr>
          <w:rFonts w:ascii="Arial" w:hAnsi="Arial" w:cs="Arial"/>
          <w:spacing w:val="0"/>
          <w:sz w:val="13"/>
          <w:szCs w:val="13"/>
        </w:rPr>
        <w:softHyphen/>
      </w:r>
      <w:r>
        <w:rPr>
          <w:rFonts w:ascii="Arial" w:hAnsi="Arial" w:cs="Arial"/>
          <w:spacing w:val="0"/>
          <w:sz w:val="13"/>
          <w:szCs w:val="13"/>
        </w:rPr>
        <w:t>modities: Residues from Fumigation of Ster</w:t>
      </w:r>
      <w:r>
        <w:rPr>
          <w:rFonts w:ascii="Arial" w:hAnsi="Arial" w:cs="Arial"/>
          <w:spacing w:val="0"/>
          <w:sz w:val="13"/>
          <w:szCs w:val="13"/>
        </w:rPr>
        <w:softHyphen/>
      </w:r>
      <w:r>
        <w:rPr>
          <w:rFonts w:ascii="Arial" w:hAnsi="Arial" w:cs="Arial"/>
          <w:spacing w:val="0"/>
          <w:sz w:val="13"/>
          <w:szCs w:val="13"/>
        </w:rPr>
        <w:t>ilisation. and Effects of Processing;"</w:t>
      </w:r>
      <w:r>
        <w:rPr>
          <w:rFonts w:ascii="Arial" w:hAnsi="Arial" w:cs="Arial"/>
          <w:i/>
          <w:iCs/>
          <w:spacing w:val="0"/>
          <w:sz w:val="13"/>
          <w:szCs w:val="13"/>
        </w:rPr>
        <w:t xml:space="preserve"> Pesti</w:t>
      </w:r>
      <w:r>
        <w:rPr>
          <w:rFonts w:ascii="Arial" w:hAnsi="Arial" w:cs="Arial"/>
          <w:i/>
          <w:iCs/>
          <w:spacing w:val="0"/>
          <w:sz w:val="13"/>
          <w:szCs w:val="13"/>
        </w:rPr>
        <w:softHyphen/>
      </w:r>
      <w:r>
        <w:rPr>
          <w:rFonts w:ascii="Arial" w:hAnsi="Arial" w:cs="Arial"/>
          <w:i/>
          <w:iCs/>
          <w:spacing w:val="0"/>
          <w:sz w:val="13"/>
          <w:szCs w:val="13"/>
        </w:rPr>
        <w:t>cide Science,</w:t>
      </w:r>
      <w:r>
        <w:rPr>
          <w:rFonts w:ascii="Arial" w:hAnsi="Arial" w:cs="Arial"/>
          <w:spacing w:val="0"/>
          <w:sz w:val="13"/>
          <w:szCs w:val="13"/>
        </w:rPr>
        <w:t xml:space="preserve"> 2:80-91.1971.</w:t>
      </w:r>
    </w:p>
    <w:p w14:paraId="38FD6391">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Ragells, E. P., B. S. Fisher, B. A. Kll- meck. and C. Johnson, "Isolation and Deter</w:t>
      </w:r>
      <w:r>
        <w:rPr>
          <w:rFonts w:ascii="Arial" w:hAnsi="Arial" w:cs="Arial"/>
          <w:spacing w:val="0"/>
          <w:sz w:val="13"/>
          <w:szCs w:val="13"/>
        </w:rPr>
        <w:softHyphen/>
      </w:r>
      <w:r>
        <w:rPr>
          <w:rFonts w:ascii="Arial" w:hAnsi="Arial" w:cs="Arial"/>
          <w:spacing w:val="0"/>
          <w:sz w:val="13"/>
          <w:szCs w:val="13"/>
        </w:rPr>
        <w:t>mination of Chlorohydrins in Foods Fumi</w:t>
      </w:r>
      <w:r>
        <w:rPr>
          <w:rFonts w:ascii="Arial" w:hAnsi="Arial" w:cs="Arial"/>
          <w:spacing w:val="0"/>
          <w:sz w:val="13"/>
          <w:szCs w:val="13"/>
        </w:rPr>
        <w:softHyphen/>
      </w:r>
      <w:r>
        <w:rPr>
          <w:rFonts w:ascii="Arial" w:hAnsi="Arial" w:cs="Arial"/>
          <w:spacing w:val="0"/>
          <w:sz w:val="13"/>
          <w:szCs w:val="13"/>
        </w:rPr>
        <w:t>gated with Ethylene Oxide or Propylene Oxide."</w:t>
      </w:r>
      <w:r>
        <w:rPr>
          <w:rFonts w:ascii="Arial" w:hAnsi="Arial" w:cs="Arial"/>
          <w:i/>
          <w:iCs/>
          <w:spacing w:val="0"/>
          <w:sz w:val="13"/>
          <w:szCs w:val="13"/>
        </w:rPr>
        <w:t xml:space="preserve"> Journal of the Association of Offi</w:t>
      </w:r>
      <w:r>
        <w:rPr>
          <w:rFonts w:ascii="Arial" w:hAnsi="Arial" w:cs="Arial"/>
          <w:i/>
          <w:iCs/>
          <w:spacing w:val="0"/>
          <w:sz w:val="13"/>
          <w:szCs w:val="13"/>
        </w:rPr>
        <w:softHyphen/>
      </w:r>
      <w:r>
        <w:rPr>
          <w:rFonts w:ascii="Arial" w:hAnsi="Arial" w:cs="Arial"/>
          <w:i/>
          <w:iCs/>
          <w:spacing w:val="0"/>
          <w:sz w:val="13"/>
          <w:szCs w:val="13"/>
        </w:rPr>
        <w:t>cial Analytical Chemists,</w:t>
      </w:r>
      <w:r>
        <w:rPr>
          <w:rFonts w:ascii="Arial" w:hAnsi="Arial" w:cs="Arial"/>
          <w:spacing w:val="0"/>
          <w:sz w:val="13"/>
          <w:szCs w:val="13"/>
        </w:rPr>
        <w:t xml:space="preserve"> 51(3)^09-715, 1968.</w:t>
      </w:r>
    </w:p>
    <w:p w14:paraId="6BE18405">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Zagar, L. A., "Determination of Resid</w:t>
      </w:r>
      <w:r>
        <w:rPr>
          <w:rFonts w:ascii="Arial" w:hAnsi="Arial" w:cs="Arial"/>
          <w:spacing w:val="0"/>
          <w:sz w:val="13"/>
          <w:szCs w:val="13"/>
        </w:rPr>
        <w:softHyphen/>
      </w:r>
      <w:r>
        <w:rPr>
          <w:rFonts w:ascii="Arial" w:hAnsi="Arial" w:cs="Arial"/>
          <w:spacing w:val="0"/>
          <w:sz w:val="13"/>
          <w:szCs w:val="13"/>
        </w:rPr>
        <w:t>ual Ethylene Oxide in Methyl Methacrylate Polymer Powders by GLC."</w:t>
      </w:r>
      <w:r>
        <w:rPr>
          <w:rFonts w:ascii="Arial" w:hAnsi="Arial" w:cs="Arial"/>
          <w:i/>
          <w:iCs/>
          <w:spacing w:val="0"/>
          <w:sz w:val="13"/>
          <w:szCs w:val="13"/>
        </w:rPr>
        <w:t xml:space="preserve"> Journal of Pharmaceutical Sciences,</w:t>
      </w:r>
      <w:r>
        <w:rPr>
          <w:rFonts w:ascii="Arial" w:hAnsi="Arial" w:cs="Arial"/>
          <w:spacing w:val="0"/>
          <w:sz w:val="13"/>
          <w:szCs w:val="13"/>
        </w:rPr>
        <w:t xml:space="preserve"> 61(11):1801-1803, 1972.</w:t>
      </w:r>
    </w:p>
    <w:p w14:paraId="4592A58F">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Cannon, W. A., "Simultaneous Deter</w:t>
      </w:r>
      <w:r>
        <w:rPr>
          <w:rFonts w:ascii="Arial" w:hAnsi="Arial" w:cs="Arial"/>
          <w:spacing w:val="0"/>
          <w:sz w:val="13"/>
          <w:szCs w:val="13"/>
        </w:rPr>
        <w:softHyphen/>
      </w:r>
      <w:r>
        <w:rPr>
          <w:rFonts w:ascii="Arial" w:hAnsi="Arial" w:cs="Arial"/>
          <w:spacing w:val="0"/>
          <w:sz w:val="13"/>
          <w:szCs w:val="13"/>
        </w:rPr>
        <w:t>mination of Ethylene and Propylene Chlor</w:t>
      </w:r>
      <w:r>
        <w:rPr>
          <w:rFonts w:ascii="Arial" w:hAnsi="Arial" w:cs="Arial"/>
          <w:spacing w:val="0"/>
          <w:sz w:val="13"/>
          <w:szCs w:val="13"/>
        </w:rPr>
        <w:softHyphen/>
      </w:r>
      <w:r>
        <w:rPr>
          <w:rFonts w:ascii="Arial" w:hAnsi="Arial" w:cs="Arial"/>
          <w:spacing w:val="0"/>
          <w:sz w:val="13"/>
          <w:szCs w:val="13"/>
        </w:rPr>
        <w:t>ohydrins,"</w:t>
      </w:r>
      <w:r>
        <w:rPr>
          <w:rFonts w:ascii="Arial" w:hAnsi="Arial" w:cs="Arial"/>
          <w:i/>
          <w:iCs/>
          <w:spacing w:val="0"/>
          <w:sz w:val="13"/>
          <w:szCs w:val="13"/>
        </w:rPr>
        <w:t xml:space="preserve"> Analytical Chemistry,</w:t>
      </w:r>
      <w:r>
        <w:rPr>
          <w:rFonts w:ascii="Arial" w:hAnsi="Arial" w:cs="Arial"/>
          <w:spacing w:val="0"/>
          <w:sz w:val="13"/>
          <w:szCs w:val="13"/>
        </w:rPr>
        <w:t xml:space="preserve"> 22(7):928- 929,1950.</w:t>
      </w:r>
    </w:p>
    <w:p w14:paraId="25E62E9A">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White, J. D. and T. J. Bradley, Residu</w:t>
      </w:r>
      <w:r>
        <w:rPr>
          <w:rFonts w:ascii="Arial" w:hAnsi="Arial" w:cs="Arial"/>
          <w:spacing w:val="0"/>
          <w:sz w:val="13"/>
          <w:szCs w:val="13"/>
        </w:rPr>
        <w:softHyphen/>
      </w:r>
      <w:r>
        <w:rPr>
          <w:rFonts w:ascii="Arial" w:hAnsi="Arial" w:cs="Arial"/>
          <w:spacing w:val="0"/>
          <w:sz w:val="13"/>
          <w:szCs w:val="13"/>
        </w:rPr>
        <w:t>al Ethylene Oxide in Gas-Sterilized Medical- Grade Silicones,"</w:t>
      </w:r>
      <w:r>
        <w:rPr>
          <w:rFonts w:ascii="Arial" w:hAnsi="Arial" w:cs="Arial"/>
          <w:i/>
          <w:iCs/>
          <w:spacing w:val="0"/>
          <w:sz w:val="13"/>
          <w:szCs w:val="13"/>
        </w:rPr>
        <w:t xml:space="preserve"> Journal of Pharmaceuti</w:t>
      </w:r>
      <w:r>
        <w:rPr>
          <w:rFonts w:ascii="Arial" w:hAnsi="Arial" w:cs="Arial"/>
          <w:i/>
          <w:iCs/>
          <w:spacing w:val="0"/>
          <w:sz w:val="13"/>
          <w:szCs w:val="13"/>
        </w:rPr>
        <w:softHyphen/>
      </w:r>
      <w:r>
        <w:rPr>
          <w:rFonts w:ascii="Arial" w:hAnsi="Arial" w:cs="Arial"/>
          <w:i/>
          <w:iCs/>
          <w:spacing w:val="0"/>
          <w:sz w:val="13"/>
          <w:szCs w:val="13"/>
        </w:rPr>
        <w:t>cal Sciences,</w:t>
      </w:r>
      <w:r>
        <w:rPr>
          <w:rFonts w:ascii="Arial" w:hAnsi="Arial" w:cs="Arial"/>
          <w:spacing w:val="0"/>
          <w:sz w:val="13"/>
          <w:szCs w:val="13"/>
        </w:rPr>
        <w:t xml:space="preserve"> 62(10):1634-1637.1973.</w:t>
      </w:r>
    </w:p>
    <w:p w14:paraId="0A9680A6">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Kulkarni, R. K.. D. Bartak. D. K. Ous- terhout, and F. Leonard, "Determination of Residual Ethylene Oxide in Catheters by Gas-Liquid Chromatography,"</w:t>
      </w:r>
      <w:r>
        <w:rPr>
          <w:rFonts w:ascii="Arial" w:hAnsi="Arial" w:cs="Arial"/>
          <w:i/>
          <w:iCs/>
          <w:spacing w:val="0"/>
          <w:sz w:val="13"/>
          <w:szCs w:val="13"/>
        </w:rPr>
        <w:t xml:space="preserve"> Journal of Biomedical Materials Research,</w:t>
      </w:r>
      <w:r>
        <w:rPr>
          <w:rFonts w:ascii="Arial" w:hAnsi="Arial" w:cs="Arial"/>
          <w:spacing w:val="0"/>
          <w:sz w:val="13"/>
          <w:szCs w:val="13"/>
        </w:rPr>
        <w:t xml:space="preserve"> 2:165-171. 1968.</w:t>
      </w:r>
    </w:p>
    <w:p w14:paraId="4AD20458">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 xml:space="preserve">Critchfield. F. K and J. B. Johnson. "Colorimetric Determination of Ethylene Oxide by Conversion to Formaldehyde." </w:t>
      </w:r>
      <w:r>
        <w:rPr>
          <w:rFonts w:ascii="Arial" w:hAnsi="Arial" w:cs="Arial"/>
          <w:i/>
          <w:iCs/>
          <w:spacing w:val="0"/>
          <w:sz w:val="13"/>
          <w:szCs w:val="13"/>
        </w:rPr>
        <w:t>Analytical Chemistry,</w:t>
      </w:r>
      <w:r>
        <w:rPr>
          <w:rFonts w:ascii="Arial" w:hAnsi="Arial" w:cs="Arial"/>
          <w:spacing w:val="0"/>
          <w:sz w:val="13"/>
          <w:szCs w:val="13"/>
        </w:rPr>
        <w:t xml:space="preserve"> 29(5)^97-800.1957.</w:t>
      </w:r>
    </w:p>
    <w:p w14:paraId="75FD8BF7">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Mc Gunnlgle, R. G.. J. A. Renner. S. J. Romano, and R. A. Abodeeiy, Jr.. "Residual Ethylene Oxide: Levels In Medical Grade Tubing and Effects on an In Vitro Biologic System."</w:t>
      </w:r>
      <w:r>
        <w:rPr>
          <w:rFonts w:ascii="Arial" w:hAnsi="Arial" w:cs="Arial"/>
          <w:i/>
          <w:iCs/>
          <w:spacing w:val="0"/>
          <w:sz w:val="13"/>
          <w:szCs w:val="13"/>
        </w:rPr>
        <w:t xml:space="preserve"> Journal of Biomedical Materials Research,</w:t>
      </w:r>
      <w:r>
        <w:rPr>
          <w:rFonts w:ascii="Arial" w:hAnsi="Arial" w:cs="Arial"/>
          <w:spacing w:val="0"/>
          <w:sz w:val="13"/>
          <w:szCs w:val="13"/>
        </w:rPr>
        <w:t xml:space="preserve"> 9:273-283.1975.</w:t>
      </w:r>
    </w:p>
    <w:p w14:paraId="1AEF876E">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Landen. W. O.. D. W. Thompson, and K. M. Floyd. "Determination of Ethylene Oxide and Ethylene Glycol In Wet Surgical Dressings." FDA By-Lines. No. 2.1971.</w:t>
      </w:r>
    </w:p>
    <w:p w14:paraId="722B54CF">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Wesley.</w:t>
      </w:r>
      <w:r>
        <w:rPr>
          <w:rFonts w:ascii="Arial" w:hAnsi="Arial" w:cs="Arial"/>
          <w:b/>
          <w:bCs/>
          <w:spacing w:val="0"/>
          <w:sz w:val="13"/>
          <w:szCs w:val="13"/>
        </w:rPr>
        <w:t xml:space="preserve"> </w:t>
      </w:r>
      <w:r>
        <w:rPr>
          <w:rFonts w:ascii="Arial" w:hAnsi="Arial" w:cs="Arial"/>
          <w:bCs/>
          <w:spacing w:val="0"/>
          <w:sz w:val="13"/>
          <w:szCs w:val="13"/>
        </w:rPr>
        <w:t>Fa</w:t>
      </w:r>
      <w:r>
        <w:rPr>
          <w:rFonts w:ascii="Arial" w:hAnsi="Arial" w:cs="Arial"/>
          <w:spacing w:val="0"/>
          <w:sz w:val="13"/>
          <w:szCs w:val="13"/>
        </w:rPr>
        <w:t xml:space="preserve"> B. Rourke, and O. Darbl- shire. "The Formation of Persistent Toxic Chlorohydrins in Foodstuffs by Fumigation with Ethylene Oxide and With Propylene Oxide,"</w:t>
      </w:r>
      <w:r>
        <w:rPr>
          <w:rFonts w:ascii="Arial" w:hAnsi="Arial" w:cs="Arial"/>
          <w:i/>
          <w:iCs/>
          <w:spacing w:val="0"/>
          <w:sz w:val="13"/>
          <w:szCs w:val="13"/>
        </w:rPr>
        <w:t xml:space="preserve"> Journal of Food Science,</w:t>
      </w:r>
      <w:r>
        <w:rPr>
          <w:rFonts w:ascii="Arial" w:hAnsi="Arial" w:cs="Arial"/>
          <w:spacing w:val="0"/>
          <w:sz w:val="13"/>
          <w:szCs w:val="13"/>
        </w:rPr>
        <w:t xml:space="preserve"> 30:1037</w:t>
      </w:r>
      <w:r>
        <w:rPr>
          <w:rFonts w:ascii="Arial" w:hAnsi="Arial" w:cs="Arial"/>
          <w:spacing w:val="0"/>
          <w:sz w:val="13"/>
          <w:szCs w:val="13"/>
        </w:rPr>
        <w:softHyphen/>
      </w:r>
      <w:r>
        <w:rPr>
          <w:rFonts w:ascii="Arial" w:hAnsi="Arial" w:cs="Arial"/>
          <w:spacing w:val="0"/>
          <w:sz w:val="13"/>
          <w:szCs w:val="13"/>
        </w:rPr>
        <w:t>1042.1965.</w:t>
      </w:r>
    </w:p>
    <w:p w14:paraId="03617ED7">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Slagt, C„ J. M. H. Daemen, W. Dankel- man, and W. A. Sipman. "Analysis of Poly</w:t>
      </w:r>
      <w:r>
        <w:rPr>
          <w:rFonts w:ascii="Arial" w:hAnsi="Arial" w:cs="Arial"/>
          <w:spacing w:val="0"/>
          <w:sz w:val="13"/>
          <w:szCs w:val="13"/>
        </w:rPr>
        <w:softHyphen/>
      </w:r>
      <w:r>
        <w:rPr>
          <w:rFonts w:ascii="Arial" w:hAnsi="Arial" w:cs="Arial"/>
          <w:spacing w:val="0"/>
          <w:sz w:val="13"/>
          <w:szCs w:val="13"/>
        </w:rPr>
        <w:t>ethylene Oxide Adducts by Cleavage with Hydrobromlc Acid in Acetic Add and Subse-</w:t>
      </w:r>
    </w:p>
    <w:p w14:paraId="49F0E6E7">
      <w:pPr>
        <w:widowControl/>
        <w:jc w:val="left"/>
        <w:rPr>
          <w:rFonts w:ascii="Arial" w:hAnsi="Arial" w:eastAsia="宋体" w:cs="Arial"/>
          <w:color w:val="000000"/>
          <w:kern w:val="0"/>
          <w:sz w:val="15"/>
          <w:szCs w:val="15"/>
        </w:rPr>
      </w:pPr>
      <w:r>
        <w:rPr>
          <w:rFonts w:ascii="Arial" w:hAnsi="Arial" w:eastAsia="宋体" w:cs="Arial"/>
          <w:color w:val="000000"/>
          <w:kern w:val="0"/>
          <w:sz w:val="15"/>
          <w:szCs w:val="15"/>
        </w:rPr>
        <w:br w:type="page"/>
      </w:r>
    </w:p>
    <w:p w14:paraId="7D34B5E4">
      <w:pPr>
        <w:pStyle w:val="17"/>
        <w:shd w:val="clear" w:color="auto" w:fill="auto"/>
        <w:snapToGrid w:val="0"/>
        <w:spacing w:after="0" w:line="264" w:lineRule="auto"/>
        <w:ind w:left="196" w:right="40" w:firstLine="10" w:firstLineChars="8"/>
        <w:rPr>
          <w:rStyle w:val="18"/>
          <w:rFonts w:ascii="Arial" w:hAnsi="Arial" w:cs="Arial"/>
          <w:i w:val="0"/>
          <w:spacing w:val="0"/>
          <w:sz w:val="13"/>
          <w:szCs w:val="13"/>
        </w:rPr>
      </w:pPr>
      <w:r>
        <w:rPr>
          <w:rStyle w:val="18"/>
          <w:rFonts w:ascii="Arial" w:hAnsi="Arial" w:cs="Arial"/>
          <w:i w:val="0"/>
          <w:spacing w:val="0"/>
          <w:sz w:val="13"/>
          <w:szCs w:val="13"/>
        </w:rPr>
        <w:t>quent Gas-Chromatographic Determination of the Reaction Products," Z. Analytical Chemistry. 264(5):401-406, 1973.</w:t>
      </w:r>
    </w:p>
    <w:p w14:paraId="6A32F8C4">
      <w:pPr>
        <w:pStyle w:val="14"/>
        <w:numPr>
          <w:ilvl w:val="1"/>
          <w:numId w:val="6"/>
        </w:numPr>
        <w:shd w:val="clear" w:color="auto" w:fill="auto"/>
        <w:snapToGrid w:val="0"/>
        <w:spacing w:after="0" w:line="264" w:lineRule="auto"/>
        <w:ind w:left="174" w:right="20" w:hanging="173" w:hangingChars="140"/>
        <w:jc w:val="both"/>
        <w:rPr>
          <w:rFonts w:ascii="Arial" w:hAnsi="Arial" w:cs="Arial"/>
          <w:spacing w:val="0"/>
          <w:sz w:val="13"/>
          <w:szCs w:val="13"/>
        </w:rPr>
      </w:pPr>
      <w:r>
        <w:t>"</w:t>
      </w:r>
      <w:r>
        <w:rPr>
          <w:rFonts w:ascii="Arial" w:hAnsi="Arial" w:cs="Arial"/>
          <w:spacing w:val="0"/>
          <w:sz w:val="13"/>
          <w:szCs w:val="13"/>
        </w:rPr>
        <w:t>Polyethylene Glycols." pp. 626-629. In Pood Chemicals. Codex. 2d Ed., National Academy of Sciences, Washington, DC, 1972.</w:t>
      </w:r>
    </w:p>
    <w:p w14:paraId="407E6AAB">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Whltbourne. J. E., H. A. Mogenhan, and R. R. Ernst, "Determination of 2-Chlor- oethanol in Surgical Materials by Extrac</w:t>
      </w:r>
      <w:r>
        <w:rPr>
          <w:rFonts w:ascii="Arial" w:hAnsi="Arial" w:cs="Arial"/>
          <w:spacing w:val="0"/>
          <w:sz w:val="13"/>
          <w:szCs w:val="13"/>
        </w:rPr>
        <w:softHyphen/>
      </w:r>
      <w:r>
        <w:rPr>
          <w:rFonts w:ascii="Arial" w:hAnsi="Arial" w:cs="Arial"/>
          <w:spacing w:val="0"/>
          <w:sz w:val="13"/>
          <w:szCs w:val="13"/>
        </w:rPr>
        <w:t>tion and Gas Chromatography," Journal of Pharmaceutical Sciences, 58(8):1024-1025, 1969.</w:t>
      </w:r>
    </w:p>
    <w:p w14:paraId="4CCEF870">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M^ier, P. and W. Schmid. "Ten Model Mutagens Evaluated by the Micronucleus Test." Mutation Research, 40:325-337, 1976.</w:t>
      </w:r>
    </w:p>
    <w:p w14:paraId="3B1DC41E">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Friedman, M. A., and J. Staub, "Induc</w:t>
      </w:r>
      <w:r>
        <w:rPr>
          <w:rFonts w:ascii="Arial" w:hAnsi="Arial" w:cs="Arial"/>
          <w:spacing w:val="0"/>
          <w:sz w:val="13"/>
          <w:szCs w:val="13"/>
        </w:rPr>
        <w:softHyphen/>
      </w:r>
      <w:r>
        <w:rPr>
          <w:rFonts w:ascii="Arial" w:hAnsi="Arial" w:cs="Arial"/>
          <w:spacing w:val="0"/>
          <w:sz w:val="13"/>
          <w:szCs w:val="13"/>
        </w:rPr>
        <w:t>tion of Micronuclei in Mouse and Hamster Bone Marrow by Chemical Carcinogens." Mutation Research, 43:255-261, 1977.</w:t>
      </w:r>
    </w:p>
    <w:p w14:paraId="7FF98E28">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Andersen. S. R., "Ethylene Oxide Tox</w:t>
      </w:r>
      <w:r>
        <w:rPr>
          <w:rFonts w:ascii="Arial" w:hAnsi="Arial" w:cs="Arial"/>
          <w:spacing w:val="0"/>
          <w:sz w:val="13"/>
          <w:szCs w:val="13"/>
        </w:rPr>
        <w:softHyphen/>
      </w:r>
      <w:r>
        <w:rPr>
          <w:rFonts w:ascii="Arial" w:hAnsi="Arial" w:cs="Arial"/>
          <w:spacing w:val="0"/>
          <w:sz w:val="13"/>
          <w:szCs w:val="13"/>
        </w:rPr>
        <w:t>icity," Presentation at the Association for the Advancement of Medical Instrumenta</w:t>
      </w:r>
      <w:r>
        <w:rPr>
          <w:rFonts w:ascii="Arial" w:hAnsi="Arial" w:cs="Arial"/>
          <w:spacing w:val="0"/>
          <w:sz w:val="13"/>
          <w:szCs w:val="13"/>
        </w:rPr>
        <w:softHyphen/>
      </w:r>
      <w:r>
        <w:rPr>
          <w:rFonts w:ascii="Arial" w:hAnsi="Arial" w:cs="Arial"/>
          <w:spacing w:val="0"/>
          <w:sz w:val="13"/>
          <w:szCs w:val="13"/>
        </w:rPr>
        <w:t>tion meeting, San Francisco, California, March 16. 1977.</w:t>
      </w:r>
    </w:p>
    <w:p w14:paraId="23CF9DE0">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Rannug, U„ R. Gothe, and C. A. Wachtmeister, "The Mutagenicity of Chlor- oethylene Oxide, Chloroacetaldehyde, 2- Chloroethanol, and Chloroacetic Acid, Con</w:t>
      </w:r>
      <w:r>
        <w:rPr>
          <w:rFonts w:ascii="Arial" w:hAnsi="Arial" w:cs="Arial"/>
          <w:spacing w:val="0"/>
          <w:sz w:val="13"/>
          <w:szCs w:val="13"/>
        </w:rPr>
        <w:softHyphen/>
      </w:r>
      <w:r>
        <w:rPr>
          <w:rFonts w:ascii="Arial" w:hAnsi="Arial" w:cs="Arial"/>
          <w:spacing w:val="0"/>
          <w:sz w:val="13"/>
          <w:szCs w:val="13"/>
        </w:rPr>
        <w:t>ceivable Metabolites of Vinyl Chloride," Chemico-Biological Interactions, 12:251</w:t>
      </w:r>
      <w:r>
        <w:rPr>
          <w:rFonts w:ascii="Arial" w:hAnsi="Arial" w:cs="Arial"/>
          <w:spacing w:val="0"/>
          <w:sz w:val="13"/>
          <w:szCs w:val="13"/>
        </w:rPr>
        <w:softHyphen/>
      </w:r>
      <w:r>
        <w:rPr>
          <w:rFonts w:ascii="Arial" w:hAnsi="Arial" w:cs="Arial"/>
          <w:spacing w:val="0"/>
          <w:sz w:val="13"/>
          <w:szCs w:val="13"/>
        </w:rPr>
        <w:t>263, 1976</w:t>
      </w:r>
    </w:p>
    <w:p w14:paraId="6EE87243">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Verrett, M. J.. "Investigation of the Toxic and Teratogenic Effects of 2-Chlor- oethanol to the Developing Chick Embryo," Internal FDA memorandum to T. Balazs, March 21. 1974.</w:t>
      </w:r>
    </w:p>
    <w:p w14:paraId="66747703">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Courtney, K. D., and J. E. Andrews, "Teratogenic Evaluation of 2-Chloroethanol In the CD-I Mouse," Unpublished, 12 pp.</w:t>
      </w:r>
    </w:p>
    <w:p w14:paraId="1D06A5E7">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Lawrence. W. H„ J. E. Turner, and J. Autian. "Toxicity of Ethylene Chlorohydrin I: Acute Toxicity Studies," Journal of Phar</w:t>
      </w:r>
      <w:r>
        <w:rPr>
          <w:rFonts w:ascii="Arial" w:hAnsi="Arial" w:cs="Arial"/>
          <w:spacing w:val="0"/>
          <w:sz w:val="13"/>
          <w:szCs w:val="13"/>
        </w:rPr>
        <w:softHyphen/>
      </w:r>
      <w:r>
        <w:rPr>
          <w:rFonts w:ascii="Arial" w:hAnsi="Arial" w:cs="Arial"/>
          <w:spacing w:val="0"/>
          <w:sz w:val="13"/>
          <w:szCs w:val="13"/>
        </w:rPr>
        <w:t>maceutical Sciences, 60 (4): 568-571, 1971.</w:t>
      </w:r>
    </w:p>
    <w:p w14:paraId="23175368">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Goldblatt, M. W.. "Toxic Effects of Ethylene Chlorohydrin," Part II. Experi</w:t>
      </w:r>
      <w:r>
        <w:rPr>
          <w:rFonts w:ascii="Arial" w:hAnsi="Arial" w:cs="Arial"/>
          <w:spacing w:val="0"/>
          <w:sz w:val="13"/>
          <w:szCs w:val="13"/>
        </w:rPr>
        <w:softHyphen/>
      </w:r>
      <w:r>
        <w:rPr>
          <w:rFonts w:ascii="Arial" w:hAnsi="Arial" w:cs="Arial"/>
          <w:spacing w:val="0"/>
          <w:sz w:val="13"/>
          <w:szCs w:val="13"/>
        </w:rPr>
        <w:t xml:space="preserve">mental. British Journal </w:t>
      </w:r>
      <w:r>
        <w:rPr>
          <w:rFonts w:ascii="Arial" w:hAnsi="Arial" w:cs="Arial"/>
          <w:i/>
          <w:iCs/>
          <w:spacing w:val="0"/>
          <w:sz w:val="13"/>
          <w:szCs w:val="13"/>
        </w:rPr>
        <w:t>of Industrial Medi</w:t>
      </w:r>
      <w:r>
        <w:rPr>
          <w:rFonts w:ascii="Arial" w:hAnsi="Arial" w:cs="Arial"/>
          <w:i/>
          <w:iCs/>
          <w:spacing w:val="0"/>
          <w:sz w:val="13"/>
          <w:szCs w:val="13"/>
        </w:rPr>
        <w:softHyphen/>
      </w:r>
      <w:r>
        <w:rPr>
          <w:rFonts w:ascii="Arial" w:hAnsi="Arial" w:cs="Arial"/>
          <w:i/>
          <w:iCs/>
          <w:spacing w:val="0"/>
          <w:sz w:val="13"/>
          <w:szCs w:val="13"/>
        </w:rPr>
        <w:t>cine,</w:t>
      </w:r>
      <w:r>
        <w:rPr>
          <w:rFonts w:ascii="Arial" w:hAnsi="Arial" w:cs="Arial"/>
          <w:spacing w:val="0"/>
          <w:sz w:val="13"/>
          <w:szCs w:val="13"/>
        </w:rPr>
        <w:t xml:space="preserve"> 1:213-223, 1944.</w:t>
      </w:r>
    </w:p>
    <w:p w14:paraId="50E77101">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Johnson. M. K.. "Detoxification of Ethylene Chlorohydrin,</w:t>
      </w:r>
      <w:r>
        <w:rPr>
          <w:rFonts w:ascii="Arial" w:hAnsi="Arial" w:cs="Arial"/>
          <w:i/>
          <w:iCs/>
          <w:spacing w:val="0"/>
          <w:sz w:val="13"/>
          <w:szCs w:val="13"/>
        </w:rPr>
        <w:t xml:space="preserve"> "Food and Cosmet</w:t>
      </w:r>
      <w:r>
        <w:rPr>
          <w:rFonts w:ascii="Arial" w:hAnsi="Arial" w:cs="Arial"/>
          <w:i/>
          <w:iCs/>
          <w:spacing w:val="0"/>
          <w:sz w:val="13"/>
          <w:szCs w:val="13"/>
        </w:rPr>
        <w:softHyphen/>
      </w:r>
      <w:r>
        <w:rPr>
          <w:rFonts w:ascii="Arial" w:hAnsi="Arial" w:cs="Arial"/>
          <w:i/>
          <w:iCs/>
          <w:spacing w:val="0"/>
          <w:sz w:val="13"/>
          <w:szCs w:val="13"/>
        </w:rPr>
        <w:t>ics Toxicology,</w:t>
      </w:r>
      <w:r>
        <w:rPr>
          <w:rFonts w:ascii="Arial" w:hAnsi="Arial" w:cs="Arial"/>
          <w:spacing w:val="0"/>
          <w:sz w:val="13"/>
          <w:szCs w:val="13"/>
        </w:rPr>
        <w:t xml:space="preserve"> 5:449, 1967.</w:t>
      </w:r>
    </w:p>
    <w:p w14:paraId="59E7245B">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 xml:space="preserve">Hlrose. T., R. Goldstein, and C. Bailey, "Hemolysis of Blood Due to Exposure to Different Types of Plastic Tubing and the Influence of Ethylene Oxide Sterilization," </w:t>
      </w:r>
      <w:r>
        <w:rPr>
          <w:rFonts w:ascii="Arial" w:hAnsi="Arial" w:cs="Arial"/>
          <w:i/>
          <w:iCs/>
          <w:spacing w:val="0"/>
          <w:sz w:val="13"/>
          <w:szCs w:val="13"/>
        </w:rPr>
        <w:t>Journal of Thoracic and Cardiovascular Surgery,</w:t>
      </w:r>
      <w:r>
        <w:rPr>
          <w:rFonts w:ascii="Arial" w:hAnsi="Arial" w:cs="Arial"/>
          <w:spacing w:val="0"/>
          <w:sz w:val="13"/>
          <w:szCs w:val="13"/>
        </w:rPr>
        <w:t xml:space="preserve"> 45(21:245-251. 1963.</w:t>
      </w:r>
    </w:p>
    <w:p w14:paraId="136A8D9B">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Clarke. C. P., W. L. Davidson, and J. B. Johnston. "Haemolysis of Blood Following Exposure to an Australian Manufactured Plastic Tubing Sterilized by Means of Ethyl</w:t>
      </w:r>
      <w:r>
        <w:rPr>
          <w:rFonts w:ascii="Arial" w:hAnsi="Arial" w:cs="Arial"/>
          <w:spacing w:val="0"/>
          <w:sz w:val="13"/>
          <w:szCs w:val="13"/>
        </w:rPr>
        <w:softHyphen/>
      </w:r>
      <w:r>
        <w:rPr>
          <w:rFonts w:ascii="Arial" w:hAnsi="Arial" w:cs="Arial"/>
          <w:spacing w:val="0"/>
          <w:sz w:val="13"/>
          <w:szCs w:val="13"/>
        </w:rPr>
        <w:t>ene Oxide Gas."</w:t>
      </w:r>
      <w:r>
        <w:rPr>
          <w:rFonts w:ascii="Arial" w:hAnsi="Arial" w:cs="Arial"/>
          <w:i/>
          <w:iCs/>
          <w:spacing w:val="0"/>
          <w:sz w:val="13"/>
          <w:szCs w:val="13"/>
        </w:rPr>
        <w:t xml:space="preserve"> The Australian and New Zealand Journal of Surgery,</w:t>
      </w:r>
      <w:r>
        <w:rPr>
          <w:rFonts w:ascii="Arial" w:hAnsi="Arial" w:cs="Arial"/>
          <w:spacing w:val="0"/>
          <w:sz w:val="13"/>
          <w:szCs w:val="13"/>
        </w:rPr>
        <w:t xml:space="preserve"> 36:53-56, 1966.</w:t>
      </w:r>
    </w:p>
    <w:p w14:paraId="79C71EEA">
      <w:pPr>
        <w:pStyle w:val="14"/>
        <w:numPr>
          <w:ilvl w:val="1"/>
          <w:numId w:val="6"/>
        </w:numPr>
        <w:shd w:val="clear" w:color="auto" w:fill="auto"/>
        <w:snapToGrid w:val="0"/>
        <w:spacing w:after="0" w:line="264" w:lineRule="auto"/>
        <w:ind w:left="182" w:right="20" w:hanging="182" w:hangingChars="140"/>
        <w:jc w:val="both"/>
        <w:rPr>
          <w:rFonts w:ascii="Arial" w:hAnsi="Arial" w:cs="Arial"/>
          <w:spacing w:val="0"/>
          <w:sz w:val="13"/>
          <w:szCs w:val="13"/>
        </w:rPr>
      </w:pPr>
      <w:r>
        <w:rPr>
          <w:rFonts w:ascii="Arial" w:hAnsi="Arial" w:cs="Arial"/>
          <w:spacing w:val="0"/>
          <w:sz w:val="13"/>
          <w:szCs w:val="13"/>
        </w:rPr>
        <w:t xml:space="preserve">O'Leary. R. K. and W. L. Guess, "Toxl- cologlcal Studies on Certain Medical Grade Plastics Sterilized by Ethylene Oxide," </w:t>
      </w:r>
      <w:r>
        <w:rPr>
          <w:rFonts w:ascii="Arial" w:hAnsi="Arial" w:cs="Arial"/>
          <w:i/>
          <w:iCs/>
          <w:spacing w:val="0"/>
          <w:sz w:val="13"/>
          <w:szCs w:val="13"/>
        </w:rPr>
        <w:t>Journal of Pharmaceutical Sciences,</w:t>
      </w:r>
      <w:r>
        <w:rPr>
          <w:rFonts w:ascii="Arial" w:hAnsi="Arial" w:cs="Arial"/>
          <w:spacing w:val="0"/>
          <w:sz w:val="13"/>
          <w:szCs w:val="13"/>
        </w:rPr>
        <w:t xml:space="preserve"> 57(1): 12-17, 1968.</w:t>
      </w:r>
    </w:p>
    <w:p w14:paraId="7BBC7977">
      <w:pPr>
        <w:widowControl/>
        <w:snapToGrid w:val="0"/>
        <w:spacing w:line="264" w:lineRule="auto"/>
        <w:jc w:val="left"/>
        <w:rPr>
          <w:rFonts w:ascii="Arial" w:hAnsi="Arial" w:eastAsia="宋体" w:cs="Arial"/>
          <w:color w:val="000000"/>
          <w:kern w:val="0"/>
          <w:sz w:val="15"/>
          <w:szCs w:val="15"/>
        </w:rPr>
      </w:pPr>
    </w:p>
    <w:p w14:paraId="1C6DD656">
      <w:pPr>
        <w:widowControl/>
        <w:autoSpaceDE w:val="0"/>
        <w:autoSpaceDN w:val="0"/>
        <w:adjustRightInd w:val="0"/>
        <w:snapToGrid w:val="0"/>
        <w:spacing w:after="120" w:afterLines="50" w:line="264" w:lineRule="auto"/>
        <w:rPr>
          <w:rFonts w:ascii="Arial" w:hAnsi="Arial" w:eastAsia="宋体" w:cs="Arial"/>
          <w:color w:val="000000"/>
          <w:kern w:val="0"/>
          <w:sz w:val="18"/>
          <w:szCs w:val="18"/>
        </w:rPr>
      </w:pPr>
      <w:r>
        <w:rPr>
          <w:rFonts w:ascii="Arial" w:hAnsi="Arial" w:eastAsia="宋体" w:cs="Arial"/>
          <w:color w:val="000000"/>
          <w:kern w:val="0"/>
          <w:sz w:val="18"/>
          <w:szCs w:val="18"/>
        </w:rPr>
        <w:t>专员仔细考虑了拟定法规的环境影响，且由于拟定措施不会对人类环境质量产生重大影响，因此其认为，无需提供环境影响报告书。环境影响评估的副本已由食品药品监督管理局，听证员存档。</w:t>
      </w:r>
    </w:p>
    <w:p w14:paraId="12F20871">
      <w:pPr>
        <w:widowControl/>
        <w:autoSpaceDE w:val="0"/>
        <w:autoSpaceDN w:val="0"/>
        <w:adjustRightInd w:val="0"/>
        <w:snapToGrid w:val="0"/>
        <w:spacing w:after="120" w:afterLines="50" w:line="264" w:lineRule="auto"/>
        <w:rPr>
          <w:rFonts w:ascii="Arial" w:hAnsi="Arial" w:eastAsia="宋体" w:cs="Arial"/>
          <w:color w:val="000000"/>
          <w:kern w:val="0"/>
          <w:sz w:val="18"/>
          <w:szCs w:val="18"/>
        </w:rPr>
      </w:pPr>
      <w:r>
        <w:rPr>
          <w:rFonts w:ascii="Arial" w:hAnsi="Arial" w:eastAsia="宋体" w:cs="Arial"/>
          <w:color w:val="000000"/>
          <w:kern w:val="0"/>
          <w:sz w:val="18"/>
          <w:szCs w:val="18"/>
        </w:rPr>
        <w:t>因此，根据《联邦食品、药品和化妆品法案》、（第501，505，506，507，512，513-521，701，52法令，</w:t>
      </w:r>
      <w:bookmarkStart w:id="9" w:name="OLE_LINK8"/>
      <w:bookmarkStart w:id="10" w:name="OLE_LINK9"/>
      <w:r>
        <w:rPr>
          <w:rFonts w:ascii="Arial" w:hAnsi="Arial" w:eastAsia="宋体" w:cs="Arial"/>
          <w:color w:val="000000"/>
          <w:kern w:val="0"/>
          <w:sz w:val="18"/>
          <w:szCs w:val="18"/>
        </w:rPr>
        <w:t>修订</w:t>
      </w:r>
      <w:bookmarkEnd w:id="9"/>
      <w:bookmarkEnd w:id="10"/>
      <w:r>
        <w:rPr>
          <w:rFonts w:ascii="Arial" w:hAnsi="Arial" w:eastAsia="宋体" w:cs="Arial"/>
          <w:color w:val="000000"/>
          <w:kern w:val="0"/>
          <w:sz w:val="18"/>
          <w:szCs w:val="18"/>
        </w:rPr>
        <w:t>1049-1050，修订1052-1053，修订1055-1056，55法令851，59法令，修订463；82 法令，347-351，90 法令，540-574（21 USC 321，351，355. 356. 357，360c-360k。371）），《公共卫生服务法》（第351部分，58法令，修订702；）42U.S.C.262），并经授权给专员（21 CFR 5.11），建议修改《联邦法规》第21卷第一章，具体如下：</w:t>
      </w:r>
    </w:p>
    <w:p w14:paraId="78277554">
      <w:pPr>
        <w:widowControl/>
        <w:autoSpaceDE w:val="0"/>
        <w:autoSpaceDN w:val="0"/>
        <w:adjustRightInd w:val="0"/>
        <w:snapToGrid w:val="0"/>
        <w:spacing w:after="120" w:afterLines="50" w:line="264" w:lineRule="auto"/>
        <w:rPr>
          <w:rFonts w:ascii="Arial" w:hAnsi="Arial" w:eastAsia="宋体" w:cs="Arial"/>
          <w:color w:val="000000"/>
          <w:kern w:val="0"/>
          <w:sz w:val="18"/>
          <w:szCs w:val="18"/>
        </w:rPr>
      </w:pPr>
      <w:r>
        <w:rPr>
          <w:rFonts w:ascii="Arial" w:hAnsi="Arial" w:eastAsia="宋体" w:cs="Arial"/>
          <w:color w:val="000000"/>
          <w:kern w:val="0"/>
          <w:sz w:val="18"/>
          <w:szCs w:val="18"/>
        </w:rPr>
        <w:t>第221部分–成品药品的现行良好生产规范</w:t>
      </w:r>
    </w:p>
    <w:p w14:paraId="717C7B2B">
      <w:pPr>
        <w:pStyle w:val="8"/>
        <w:widowControl/>
        <w:numPr>
          <w:ilvl w:val="0"/>
          <w:numId w:val="10"/>
        </w:numPr>
        <w:autoSpaceDE w:val="0"/>
        <w:autoSpaceDN w:val="0"/>
        <w:adjustRightInd w:val="0"/>
        <w:snapToGrid w:val="0"/>
        <w:spacing w:after="120" w:afterLines="50" w:line="264" w:lineRule="auto"/>
        <w:ind w:left="319" w:hanging="318" w:hangingChars="177"/>
        <w:rPr>
          <w:rFonts w:ascii="Arial" w:hAnsi="Arial" w:eastAsia="宋体" w:cs="Arial"/>
          <w:color w:val="000000"/>
          <w:kern w:val="0"/>
          <w:sz w:val="18"/>
          <w:szCs w:val="18"/>
        </w:rPr>
      </w:pPr>
      <w:r>
        <w:rPr>
          <w:rFonts w:ascii="Arial" w:hAnsi="Arial" w:eastAsia="宋体" w:cs="Arial"/>
          <w:color w:val="000000"/>
          <w:kern w:val="0"/>
          <w:sz w:val="18"/>
          <w:szCs w:val="18"/>
        </w:rPr>
        <w:t>通过添加新的§211.70到子部分C，具体如下：</w:t>
      </w:r>
    </w:p>
    <w:p w14:paraId="7B2F118E">
      <w:pPr>
        <w:pStyle w:val="8"/>
        <w:widowControl/>
        <w:autoSpaceDE w:val="0"/>
        <w:autoSpaceDN w:val="0"/>
        <w:adjustRightInd w:val="0"/>
        <w:snapToGrid w:val="0"/>
        <w:spacing w:after="120" w:afterLines="50" w:line="264" w:lineRule="auto"/>
        <w:ind w:firstLine="0" w:firstLineChars="0"/>
        <w:rPr>
          <w:rFonts w:ascii="Arial" w:hAnsi="Arial" w:eastAsia="宋体" w:cs="Arial"/>
          <w:color w:val="000000"/>
          <w:kern w:val="0"/>
          <w:sz w:val="18"/>
          <w:szCs w:val="18"/>
        </w:rPr>
      </w:pPr>
      <w:r>
        <w:rPr>
          <w:rFonts w:ascii="Arial" w:hAnsi="Arial" w:eastAsia="宋体" w:cs="Arial"/>
          <w:color w:val="000000"/>
          <w:kern w:val="0"/>
          <w:sz w:val="18"/>
          <w:szCs w:val="18"/>
        </w:rPr>
        <w:t>§211.70环氧乙烷、氯乙醇和乙二醇的最大残留限量和每日最大暴露水平。</w:t>
      </w:r>
    </w:p>
    <w:p w14:paraId="2C35F617">
      <w:pPr>
        <w:pStyle w:val="8"/>
        <w:widowControl/>
        <w:numPr>
          <w:ilvl w:val="0"/>
          <w:numId w:val="11"/>
        </w:numPr>
        <w:autoSpaceDE w:val="0"/>
        <w:autoSpaceDN w:val="0"/>
        <w:adjustRightInd w:val="0"/>
        <w:snapToGrid w:val="0"/>
        <w:spacing w:after="120" w:afterLines="50" w:line="264" w:lineRule="auto"/>
        <w:ind w:left="369" w:hanging="368" w:hangingChars="205"/>
        <w:rPr>
          <w:rFonts w:ascii="Arial" w:hAnsi="Arial" w:eastAsia="宋体" w:cs="Arial"/>
          <w:color w:val="000000"/>
          <w:kern w:val="0"/>
          <w:sz w:val="18"/>
          <w:szCs w:val="18"/>
        </w:rPr>
      </w:pPr>
      <w:r>
        <w:rPr>
          <w:rFonts w:ascii="Arial" w:hAnsi="Arial" w:eastAsia="宋体" w:cs="Arial"/>
          <w:color w:val="000000"/>
          <w:kern w:val="0"/>
          <w:sz w:val="18"/>
          <w:szCs w:val="18"/>
        </w:rPr>
        <w:t>残留限量：本段所列类型的每种药品（其中环氧乙烷在成品产品、其组件或其销售容器的制造过程中用作灭菌剂），当以包装在其销售容器中的状态进行测试时，不得超过以下残留水平：</w:t>
      </w:r>
    </w:p>
    <w:p w14:paraId="01752046">
      <w:pPr>
        <w:widowControl/>
        <w:autoSpaceDE w:val="0"/>
        <w:autoSpaceDN w:val="0"/>
        <w:adjustRightInd w:val="0"/>
        <w:snapToGrid w:val="0"/>
        <w:spacing w:after="120" w:afterLines="50" w:line="264" w:lineRule="auto"/>
        <w:jc w:val="center"/>
        <w:rPr>
          <w:rFonts w:ascii="Arial" w:hAnsi="Arial" w:eastAsia="宋体" w:cs="Arial"/>
          <w:color w:val="000000"/>
          <w:kern w:val="0"/>
          <w:sz w:val="15"/>
          <w:szCs w:val="15"/>
        </w:rPr>
      </w:pPr>
      <w:r>
        <w:rPr>
          <w:rFonts w:ascii="Arial" w:hAnsi="Arial" w:eastAsia="宋体" w:cs="Arial"/>
          <w:color w:val="000000"/>
          <w:kern w:val="0"/>
          <w:sz w:val="15"/>
          <w:szCs w:val="15"/>
        </w:rPr>
        <w:t>【百万分率】</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5"/>
        <w:gridCol w:w="845"/>
        <w:gridCol w:w="845"/>
        <w:gridCol w:w="845"/>
      </w:tblGrid>
      <w:tr w14:paraId="63DB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5" w:type="dxa"/>
            <w:tcBorders>
              <w:top w:val="single" w:color="auto" w:sz="4" w:space="0"/>
              <w:bottom w:val="single" w:color="auto" w:sz="4" w:space="0"/>
            </w:tcBorders>
            <w:vAlign w:val="center"/>
          </w:tcPr>
          <w:p w14:paraId="7E8F958B">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药品</w:t>
            </w:r>
          </w:p>
        </w:tc>
        <w:tc>
          <w:tcPr>
            <w:tcW w:w="845" w:type="dxa"/>
            <w:tcBorders>
              <w:top w:val="single" w:color="auto" w:sz="4" w:space="0"/>
              <w:bottom w:val="single" w:color="auto" w:sz="4" w:space="0"/>
            </w:tcBorders>
            <w:vAlign w:val="center"/>
          </w:tcPr>
          <w:p w14:paraId="656902BC">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环氧乙烷</w:t>
            </w:r>
          </w:p>
        </w:tc>
        <w:tc>
          <w:tcPr>
            <w:tcW w:w="845" w:type="dxa"/>
            <w:tcBorders>
              <w:top w:val="single" w:color="auto" w:sz="4" w:space="0"/>
              <w:bottom w:val="single" w:color="auto" w:sz="4" w:space="0"/>
            </w:tcBorders>
            <w:vAlign w:val="center"/>
          </w:tcPr>
          <w:p w14:paraId="089ACF46">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氯乙醇</w:t>
            </w:r>
          </w:p>
        </w:tc>
        <w:tc>
          <w:tcPr>
            <w:tcW w:w="845" w:type="dxa"/>
            <w:tcBorders>
              <w:top w:val="single" w:color="auto" w:sz="4" w:space="0"/>
              <w:bottom w:val="single" w:color="auto" w:sz="4" w:space="0"/>
            </w:tcBorders>
            <w:vAlign w:val="center"/>
          </w:tcPr>
          <w:p w14:paraId="360E7644">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乙二醇</w:t>
            </w:r>
          </w:p>
        </w:tc>
      </w:tr>
      <w:tr w14:paraId="3A3D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5" w:type="dxa"/>
            <w:tcBorders>
              <w:top w:val="single" w:color="auto" w:sz="4" w:space="0"/>
            </w:tcBorders>
            <w:vAlign w:val="center"/>
          </w:tcPr>
          <w:p w14:paraId="025E9D3F">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眼科（用于局部使用）</w:t>
            </w:r>
          </w:p>
        </w:tc>
        <w:tc>
          <w:tcPr>
            <w:tcW w:w="845" w:type="dxa"/>
            <w:tcBorders>
              <w:top w:val="single" w:color="auto" w:sz="4" w:space="0"/>
            </w:tcBorders>
            <w:vAlign w:val="center"/>
          </w:tcPr>
          <w:p w14:paraId="02C330D0">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10</w:t>
            </w:r>
          </w:p>
        </w:tc>
        <w:tc>
          <w:tcPr>
            <w:tcW w:w="845" w:type="dxa"/>
            <w:tcBorders>
              <w:top w:val="single" w:color="auto" w:sz="4" w:space="0"/>
            </w:tcBorders>
            <w:vAlign w:val="center"/>
          </w:tcPr>
          <w:p w14:paraId="15345483">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20</w:t>
            </w:r>
          </w:p>
        </w:tc>
        <w:tc>
          <w:tcPr>
            <w:tcW w:w="845" w:type="dxa"/>
            <w:tcBorders>
              <w:top w:val="single" w:color="auto" w:sz="4" w:space="0"/>
            </w:tcBorders>
            <w:vAlign w:val="center"/>
          </w:tcPr>
          <w:p w14:paraId="139AF1DD">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60</w:t>
            </w:r>
          </w:p>
        </w:tc>
      </w:tr>
      <w:tr w14:paraId="67FB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5" w:type="dxa"/>
            <w:vAlign w:val="center"/>
          </w:tcPr>
          <w:p w14:paraId="63803967">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注射（包括兽医乳房内输注</w:t>
            </w:r>
          </w:p>
        </w:tc>
        <w:tc>
          <w:tcPr>
            <w:tcW w:w="845" w:type="dxa"/>
            <w:vAlign w:val="center"/>
          </w:tcPr>
          <w:p w14:paraId="492715A2">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10</w:t>
            </w:r>
          </w:p>
        </w:tc>
        <w:tc>
          <w:tcPr>
            <w:tcW w:w="845" w:type="dxa"/>
            <w:vAlign w:val="center"/>
          </w:tcPr>
          <w:p w14:paraId="7B75D34C">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10</w:t>
            </w:r>
          </w:p>
        </w:tc>
        <w:tc>
          <w:tcPr>
            <w:tcW w:w="845" w:type="dxa"/>
            <w:vAlign w:val="center"/>
          </w:tcPr>
          <w:p w14:paraId="7237F694">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20</w:t>
            </w:r>
          </w:p>
        </w:tc>
      </w:tr>
      <w:tr w14:paraId="394C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5" w:type="dxa"/>
            <w:vAlign w:val="center"/>
          </w:tcPr>
          <w:p w14:paraId="36BFCBA7">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子宫内避孕器（含有药物）</w:t>
            </w:r>
          </w:p>
        </w:tc>
        <w:tc>
          <w:tcPr>
            <w:tcW w:w="845" w:type="dxa"/>
            <w:vAlign w:val="center"/>
          </w:tcPr>
          <w:p w14:paraId="76F4A4AD">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5</w:t>
            </w:r>
          </w:p>
        </w:tc>
        <w:tc>
          <w:tcPr>
            <w:tcW w:w="845" w:type="dxa"/>
            <w:vAlign w:val="center"/>
          </w:tcPr>
          <w:p w14:paraId="225E66FA">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10</w:t>
            </w:r>
          </w:p>
        </w:tc>
        <w:tc>
          <w:tcPr>
            <w:tcW w:w="845" w:type="dxa"/>
            <w:vAlign w:val="center"/>
          </w:tcPr>
          <w:p w14:paraId="1AA14E7A">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10</w:t>
            </w:r>
          </w:p>
        </w:tc>
      </w:tr>
      <w:tr w14:paraId="62C9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5" w:type="dxa"/>
            <w:vAlign w:val="center"/>
          </w:tcPr>
          <w:p w14:paraId="43184C2F">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手术擦洗海绵（含有药物）</w:t>
            </w:r>
          </w:p>
        </w:tc>
        <w:tc>
          <w:tcPr>
            <w:tcW w:w="845" w:type="dxa"/>
            <w:vAlign w:val="center"/>
          </w:tcPr>
          <w:p w14:paraId="162F711B">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25</w:t>
            </w:r>
          </w:p>
        </w:tc>
        <w:tc>
          <w:tcPr>
            <w:tcW w:w="845" w:type="dxa"/>
            <w:vAlign w:val="center"/>
          </w:tcPr>
          <w:p w14:paraId="3512DDF8">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250</w:t>
            </w:r>
          </w:p>
        </w:tc>
        <w:tc>
          <w:tcPr>
            <w:tcW w:w="845" w:type="dxa"/>
            <w:vAlign w:val="center"/>
          </w:tcPr>
          <w:p w14:paraId="2FDA3FAC">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500</w:t>
            </w:r>
          </w:p>
        </w:tc>
      </w:tr>
      <w:tr w14:paraId="0978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5" w:type="dxa"/>
            <w:tcBorders>
              <w:bottom w:val="single" w:color="auto" w:sz="4" w:space="0"/>
            </w:tcBorders>
            <w:vAlign w:val="center"/>
          </w:tcPr>
          <w:p w14:paraId="65A930E0">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硬胶囊壳</w:t>
            </w:r>
          </w:p>
        </w:tc>
        <w:tc>
          <w:tcPr>
            <w:tcW w:w="845" w:type="dxa"/>
            <w:tcBorders>
              <w:bottom w:val="single" w:color="auto" w:sz="4" w:space="0"/>
            </w:tcBorders>
            <w:vAlign w:val="center"/>
          </w:tcPr>
          <w:p w14:paraId="26C50061">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35</w:t>
            </w:r>
          </w:p>
        </w:tc>
        <w:tc>
          <w:tcPr>
            <w:tcW w:w="845" w:type="dxa"/>
            <w:tcBorders>
              <w:bottom w:val="single" w:color="auto" w:sz="4" w:space="0"/>
            </w:tcBorders>
            <w:vAlign w:val="center"/>
          </w:tcPr>
          <w:p w14:paraId="6EAC5E81">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10</w:t>
            </w:r>
          </w:p>
        </w:tc>
        <w:tc>
          <w:tcPr>
            <w:tcW w:w="845" w:type="dxa"/>
            <w:tcBorders>
              <w:bottom w:val="single" w:color="auto" w:sz="4" w:space="0"/>
            </w:tcBorders>
            <w:vAlign w:val="center"/>
          </w:tcPr>
          <w:p w14:paraId="65B26FD3">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35</w:t>
            </w:r>
          </w:p>
        </w:tc>
      </w:tr>
    </w:tbl>
    <w:p w14:paraId="7AFDF7DC">
      <w:pPr>
        <w:widowControl/>
        <w:autoSpaceDE w:val="0"/>
        <w:autoSpaceDN w:val="0"/>
        <w:adjustRightInd w:val="0"/>
        <w:snapToGrid w:val="0"/>
        <w:spacing w:after="120" w:afterLines="50" w:line="264" w:lineRule="auto"/>
        <w:rPr>
          <w:rFonts w:ascii="Arial" w:hAnsi="Arial" w:eastAsia="宋体" w:cs="Arial"/>
          <w:color w:val="000000"/>
          <w:kern w:val="0"/>
          <w:sz w:val="15"/>
          <w:szCs w:val="15"/>
        </w:rPr>
      </w:pPr>
    </w:p>
    <w:p w14:paraId="2D2E8E06">
      <w:pPr>
        <w:pStyle w:val="8"/>
        <w:widowControl/>
        <w:numPr>
          <w:ilvl w:val="0"/>
          <w:numId w:val="11"/>
        </w:numPr>
        <w:autoSpaceDE w:val="0"/>
        <w:autoSpaceDN w:val="0"/>
        <w:adjustRightInd w:val="0"/>
        <w:snapToGrid w:val="0"/>
        <w:spacing w:after="120" w:afterLines="50" w:line="264" w:lineRule="auto"/>
        <w:ind w:left="369" w:hanging="368" w:hangingChars="205"/>
        <w:rPr>
          <w:rFonts w:ascii="Arial" w:hAnsi="Arial" w:eastAsia="宋体" w:cs="Arial"/>
          <w:color w:val="000000"/>
          <w:kern w:val="0"/>
          <w:sz w:val="18"/>
          <w:szCs w:val="18"/>
        </w:rPr>
      </w:pPr>
      <w:r>
        <w:rPr>
          <w:rFonts w:ascii="Arial" w:hAnsi="Arial" w:eastAsia="宋体" w:cs="Arial"/>
          <w:color w:val="000000"/>
          <w:kern w:val="0"/>
          <w:sz w:val="18"/>
          <w:szCs w:val="18"/>
        </w:rPr>
        <w:t>在产品的货架寿命内，每种药品应符合本节（a）段规定的限量。</w:t>
      </w:r>
    </w:p>
    <w:p w14:paraId="3B52348D">
      <w:pPr>
        <w:pStyle w:val="8"/>
        <w:widowControl/>
        <w:numPr>
          <w:ilvl w:val="0"/>
          <w:numId w:val="11"/>
        </w:numPr>
        <w:autoSpaceDE w:val="0"/>
        <w:autoSpaceDN w:val="0"/>
        <w:adjustRightInd w:val="0"/>
        <w:snapToGrid w:val="0"/>
        <w:spacing w:after="120" w:afterLines="50" w:line="264" w:lineRule="auto"/>
        <w:ind w:left="369" w:hanging="368" w:hangingChars="205"/>
        <w:rPr>
          <w:rFonts w:ascii="Arial" w:hAnsi="Arial" w:eastAsia="宋体" w:cs="Arial"/>
          <w:color w:val="000000"/>
          <w:kern w:val="0"/>
          <w:sz w:val="18"/>
          <w:szCs w:val="18"/>
        </w:rPr>
      </w:pPr>
      <w:r>
        <w:rPr>
          <w:rFonts w:ascii="Arial" w:hAnsi="Arial" w:eastAsia="宋体" w:cs="Arial"/>
          <w:color w:val="000000"/>
          <w:kern w:val="0"/>
          <w:sz w:val="18"/>
          <w:szCs w:val="18"/>
        </w:rPr>
        <w:t>任何不符合本节（a）和（b）段要求的药品不得发布销售。</w:t>
      </w:r>
    </w:p>
    <w:p w14:paraId="70D8045F">
      <w:pPr>
        <w:pStyle w:val="8"/>
        <w:widowControl/>
        <w:numPr>
          <w:ilvl w:val="0"/>
          <w:numId w:val="11"/>
        </w:numPr>
        <w:autoSpaceDE w:val="0"/>
        <w:autoSpaceDN w:val="0"/>
        <w:adjustRightInd w:val="0"/>
        <w:snapToGrid w:val="0"/>
        <w:spacing w:after="120" w:afterLines="50" w:line="264" w:lineRule="auto"/>
        <w:ind w:left="369" w:hanging="368" w:hangingChars="205"/>
        <w:rPr>
          <w:rFonts w:ascii="Arial" w:hAnsi="Arial" w:eastAsia="宋体" w:cs="Arial"/>
          <w:color w:val="000000"/>
          <w:kern w:val="0"/>
          <w:sz w:val="18"/>
          <w:szCs w:val="18"/>
        </w:rPr>
      </w:pPr>
      <w:r>
        <w:rPr>
          <w:rFonts w:ascii="Arial" w:hAnsi="Arial" w:eastAsia="宋体" w:cs="Arial"/>
          <w:color w:val="000000"/>
          <w:kern w:val="0"/>
          <w:sz w:val="18"/>
          <w:szCs w:val="18"/>
        </w:rPr>
        <w:t>受限于本节的各药品制造商应为将环氧乙烷作为药品、组件或销售容器的灭菌剂的每个制造过程准备残留物耗散曲线。</w:t>
      </w:r>
    </w:p>
    <w:p w14:paraId="1BF98D7F">
      <w:pPr>
        <w:pStyle w:val="8"/>
        <w:widowControl/>
        <w:numPr>
          <w:ilvl w:val="0"/>
          <w:numId w:val="11"/>
        </w:numPr>
        <w:autoSpaceDE w:val="0"/>
        <w:autoSpaceDN w:val="0"/>
        <w:adjustRightInd w:val="0"/>
        <w:snapToGrid w:val="0"/>
        <w:spacing w:after="120" w:afterLines="50" w:line="264" w:lineRule="auto"/>
        <w:ind w:left="369" w:hanging="368" w:hangingChars="205"/>
        <w:rPr>
          <w:rFonts w:ascii="Arial" w:hAnsi="Arial" w:eastAsia="宋体" w:cs="Arial"/>
          <w:color w:val="000000"/>
          <w:kern w:val="0"/>
          <w:sz w:val="18"/>
          <w:szCs w:val="18"/>
        </w:rPr>
      </w:pPr>
      <w:r>
        <w:rPr>
          <w:rFonts w:ascii="Arial" w:hAnsi="Arial" w:eastAsia="宋体" w:cs="Arial"/>
          <w:color w:val="000000"/>
          <w:kern w:val="0"/>
          <w:sz w:val="18"/>
          <w:szCs w:val="18"/>
        </w:rPr>
        <w:t>在分配或使用前需重新配制或稀释的每种药品在重新配制或稀释后应符合本节（a）段规定的限量。</w:t>
      </w:r>
    </w:p>
    <w:p w14:paraId="6516E0AA">
      <w:pPr>
        <w:pStyle w:val="8"/>
        <w:widowControl/>
        <w:numPr>
          <w:ilvl w:val="0"/>
          <w:numId w:val="11"/>
        </w:numPr>
        <w:autoSpaceDE w:val="0"/>
        <w:autoSpaceDN w:val="0"/>
        <w:adjustRightInd w:val="0"/>
        <w:snapToGrid w:val="0"/>
        <w:spacing w:after="120" w:afterLines="50" w:line="264" w:lineRule="auto"/>
        <w:ind w:left="369" w:hanging="368" w:hangingChars="205"/>
        <w:rPr>
          <w:rFonts w:ascii="Arial" w:hAnsi="Arial" w:eastAsia="宋体" w:cs="Arial"/>
          <w:color w:val="000000"/>
          <w:kern w:val="0"/>
          <w:sz w:val="18"/>
          <w:szCs w:val="18"/>
        </w:rPr>
      </w:pPr>
      <w:r>
        <w:rPr>
          <w:rFonts w:ascii="Arial" w:hAnsi="Arial" w:eastAsia="宋体" w:cs="Arial"/>
          <w:color w:val="000000"/>
          <w:kern w:val="0"/>
          <w:sz w:val="18"/>
          <w:szCs w:val="18"/>
        </w:rPr>
        <w:t>每日暴露水平：根据药品的推荐或批准标签中的使用条件，任何受制于本条（a）段的药品产生的环氧乙烷及其反应产品的残留物的每日最大暴露水平不得超过以下限制：</w:t>
      </w:r>
    </w:p>
    <w:p w14:paraId="70F8C0D1">
      <w:pPr>
        <w:pStyle w:val="8"/>
        <w:widowControl/>
        <w:autoSpaceDE w:val="0"/>
        <w:autoSpaceDN w:val="0"/>
        <w:adjustRightInd w:val="0"/>
        <w:snapToGrid w:val="0"/>
        <w:spacing w:after="120" w:afterLines="50" w:line="264" w:lineRule="auto"/>
        <w:ind w:firstLine="0" w:firstLineChars="0"/>
        <w:rPr>
          <w:rFonts w:ascii="Arial" w:hAnsi="Arial" w:eastAsia="宋体" w:cs="Arial"/>
          <w:color w:val="000000"/>
          <w:kern w:val="0"/>
          <w:sz w:val="18"/>
          <w:szCs w:val="18"/>
        </w:rPr>
      </w:pPr>
      <w:r>
        <w:rPr>
          <w:rFonts w:ascii="Arial" w:hAnsi="Arial" w:eastAsia="宋体" w:cs="Arial"/>
          <w:color w:val="000000"/>
          <w:kern w:val="0"/>
          <w:sz w:val="18"/>
          <w:szCs w:val="18"/>
        </w:rPr>
        <w:br w:type="column"/>
      </w:r>
      <w:r>
        <w:rPr>
          <w:rFonts w:ascii="Arial" w:hAnsi="Arial" w:eastAsia="宋体" w:cs="Arial"/>
          <w:color w:val="000000"/>
          <w:kern w:val="0"/>
          <w:sz w:val="18"/>
          <w:szCs w:val="18"/>
        </w:rPr>
        <w:t>环氧乙烷，30 μg /kg /天/30天</w:t>
      </w:r>
    </w:p>
    <w:p w14:paraId="05FDB336">
      <w:pPr>
        <w:pStyle w:val="8"/>
        <w:widowControl/>
        <w:autoSpaceDE w:val="0"/>
        <w:autoSpaceDN w:val="0"/>
        <w:adjustRightInd w:val="0"/>
        <w:snapToGrid w:val="0"/>
        <w:spacing w:after="120" w:afterLines="50" w:line="264" w:lineRule="auto"/>
        <w:ind w:firstLine="0" w:firstLineChars="0"/>
        <w:rPr>
          <w:rFonts w:ascii="Arial" w:hAnsi="Arial" w:eastAsia="宋体" w:cs="Arial"/>
          <w:color w:val="000000"/>
          <w:kern w:val="0"/>
          <w:sz w:val="18"/>
          <w:szCs w:val="18"/>
        </w:rPr>
      </w:pPr>
      <w:r>
        <w:rPr>
          <w:rFonts w:ascii="Arial" w:hAnsi="Arial" w:eastAsia="宋体" w:cs="Arial"/>
          <w:color w:val="000000"/>
          <w:kern w:val="0"/>
          <w:sz w:val="18"/>
          <w:szCs w:val="18"/>
        </w:rPr>
        <w:t>氯乙醇，15 μg /kg /天/30天</w:t>
      </w:r>
    </w:p>
    <w:p w14:paraId="30AC4A9D">
      <w:pPr>
        <w:pStyle w:val="8"/>
        <w:widowControl/>
        <w:autoSpaceDE w:val="0"/>
        <w:autoSpaceDN w:val="0"/>
        <w:adjustRightInd w:val="0"/>
        <w:snapToGrid w:val="0"/>
        <w:spacing w:after="120" w:afterLines="50" w:line="264" w:lineRule="auto"/>
        <w:ind w:firstLine="0" w:firstLineChars="0"/>
        <w:rPr>
          <w:rFonts w:ascii="Arial" w:hAnsi="Arial" w:eastAsia="宋体" w:cs="Arial"/>
          <w:color w:val="000000"/>
          <w:kern w:val="0"/>
          <w:sz w:val="18"/>
          <w:szCs w:val="18"/>
        </w:rPr>
      </w:pPr>
      <w:r>
        <w:rPr>
          <w:rFonts w:ascii="Arial" w:hAnsi="Arial" w:eastAsia="宋体" w:cs="Arial"/>
          <w:color w:val="000000"/>
          <w:kern w:val="0"/>
          <w:sz w:val="18"/>
          <w:szCs w:val="18"/>
        </w:rPr>
        <w:t>乙二醇，2.5 mg /kg /天/30天</w:t>
      </w:r>
    </w:p>
    <w:p w14:paraId="57E46DF0">
      <w:pPr>
        <w:pStyle w:val="8"/>
        <w:widowControl/>
        <w:autoSpaceDE w:val="0"/>
        <w:autoSpaceDN w:val="0"/>
        <w:adjustRightInd w:val="0"/>
        <w:snapToGrid w:val="0"/>
        <w:spacing w:after="120" w:afterLines="50" w:line="264" w:lineRule="auto"/>
        <w:ind w:firstLine="0" w:firstLineChars="0"/>
        <w:rPr>
          <w:rFonts w:ascii="Arial" w:hAnsi="Arial" w:eastAsia="宋体" w:cs="Arial"/>
          <w:color w:val="000000"/>
          <w:kern w:val="0"/>
          <w:sz w:val="18"/>
          <w:szCs w:val="18"/>
        </w:rPr>
      </w:pPr>
      <w:r>
        <w:rPr>
          <w:rFonts w:ascii="Arial" w:hAnsi="Arial" w:eastAsia="宋体" w:cs="Arial"/>
          <w:color w:val="000000"/>
          <w:kern w:val="0"/>
          <w:sz w:val="18"/>
          <w:szCs w:val="18"/>
        </w:rPr>
        <w:t>符合本条（a）段要求的产品也应符合本款规定的限量。</w:t>
      </w:r>
    </w:p>
    <w:p w14:paraId="1E1FF3AD">
      <w:pPr>
        <w:pStyle w:val="8"/>
        <w:widowControl/>
        <w:autoSpaceDE w:val="0"/>
        <w:autoSpaceDN w:val="0"/>
        <w:adjustRightInd w:val="0"/>
        <w:snapToGrid w:val="0"/>
        <w:spacing w:after="120" w:afterLines="50" w:line="264" w:lineRule="auto"/>
        <w:ind w:firstLine="0" w:firstLineChars="0"/>
        <w:rPr>
          <w:rFonts w:ascii="Arial" w:hAnsi="Arial" w:eastAsia="宋体" w:cs="Arial"/>
          <w:color w:val="000000"/>
          <w:kern w:val="0"/>
          <w:sz w:val="18"/>
          <w:szCs w:val="18"/>
        </w:rPr>
      </w:pPr>
      <w:r>
        <w:rPr>
          <w:rFonts w:ascii="Arial" w:hAnsi="Arial" w:eastAsia="宋体" w:cs="Arial"/>
          <w:color w:val="000000"/>
          <w:kern w:val="0"/>
          <w:sz w:val="18"/>
          <w:szCs w:val="18"/>
        </w:rPr>
        <w:t>第</w:t>
      </w:r>
      <w:r>
        <w:rPr>
          <w:rFonts w:hint="eastAsia" w:ascii="Arial" w:hAnsi="Arial" w:eastAsia="宋体" w:cs="Arial"/>
          <w:color w:val="000000"/>
          <w:kern w:val="0"/>
          <w:sz w:val="18"/>
          <w:szCs w:val="18"/>
        </w:rPr>
        <w:t xml:space="preserve"> </w:t>
      </w:r>
      <w:r>
        <w:rPr>
          <w:rFonts w:ascii="Arial" w:hAnsi="Arial" w:eastAsia="宋体" w:cs="Arial"/>
          <w:color w:val="000000"/>
          <w:kern w:val="0"/>
          <w:sz w:val="18"/>
          <w:szCs w:val="18"/>
        </w:rPr>
        <w:t xml:space="preserve">821 部分-医疗器械的现行良好生产规范：无菌器械 </w:t>
      </w:r>
    </w:p>
    <w:p w14:paraId="39444708">
      <w:pPr>
        <w:pStyle w:val="8"/>
        <w:widowControl/>
        <w:numPr>
          <w:ilvl w:val="0"/>
          <w:numId w:val="10"/>
        </w:numPr>
        <w:autoSpaceDE w:val="0"/>
        <w:autoSpaceDN w:val="0"/>
        <w:adjustRightInd w:val="0"/>
        <w:snapToGrid w:val="0"/>
        <w:spacing w:after="120" w:afterLines="50" w:line="264"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通过添加新的第821部分，组成一个章节，具体如下：</w:t>
      </w:r>
    </w:p>
    <w:p w14:paraId="009EBBCB">
      <w:pPr>
        <w:pStyle w:val="8"/>
        <w:widowControl/>
        <w:autoSpaceDE w:val="0"/>
        <w:autoSpaceDN w:val="0"/>
        <w:adjustRightInd w:val="0"/>
        <w:snapToGrid w:val="0"/>
        <w:spacing w:after="120" w:afterLines="50" w:line="264" w:lineRule="auto"/>
        <w:ind w:firstLine="0" w:firstLineChars="0"/>
        <w:rPr>
          <w:rFonts w:ascii="Arial" w:hAnsi="Arial" w:eastAsia="宋体" w:cs="Arial"/>
          <w:color w:val="000000"/>
          <w:kern w:val="0"/>
          <w:sz w:val="18"/>
          <w:szCs w:val="18"/>
        </w:rPr>
      </w:pPr>
      <w:r>
        <w:rPr>
          <w:rFonts w:ascii="Arial" w:hAnsi="Arial" w:eastAsia="宋体" w:cs="Arial"/>
          <w:color w:val="000000"/>
          <w:kern w:val="0"/>
          <w:sz w:val="18"/>
          <w:szCs w:val="18"/>
        </w:rPr>
        <w:t>部分</w:t>
      </w:r>
    </w:p>
    <w:p w14:paraId="5EEC382D">
      <w:pPr>
        <w:pStyle w:val="8"/>
        <w:widowControl/>
        <w:autoSpaceDE w:val="0"/>
        <w:autoSpaceDN w:val="0"/>
        <w:adjustRightInd w:val="0"/>
        <w:snapToGrid w:val="0"/>
        <w:spacing w:after="120" w:afterLines="50" w:line="264" w:lineRule="auto"/>
        <w:ind w:firstLine="0" w:firstLineChars="0"/>
        <w:rPr>
          <w:rFonts w:ascii="Arial" w:hAnsi="Arial" w:eastAsia="宋体" w:cs="Arial"/>
          <w:color w:val="000000"/>
          <w:kern w:val="0"/>
          <w:sz w:val="18"/>
          <w:szCs w:val="18"/>
        </w:rPr>
      </w:pPr>
      <w:r>
        <w:rPr>
          <w:rFonts w:ascii="Arial" w:hAnsi="Arial" w:eastAsia="宋体" w:cs="Arial"/>
          <w:color w:val="000000"/>
          <w:kern w:val="0"/>
          <w:sz w:val="18"/>
          <w:szCs w:val="18"/>
        </w:rPr>
        <w:t>821.100 环氧乙烷、氯乙醇和乙二醇的最大残留限量。</w:t>
      </w:r>
    </w:p>
    <w:p w14:paraId="0B65E04A">
      <w:pPr>
        <w:pStyle w:val="8"/>
        <w:widowControl/>
        <w:autoSpaceDE w:val="0"/>
        <w:autoSpaceDN w:val="0"/>
        <w:adjustRightInd w:val="0"/>
        <w:snapToGrid w:val="0"/>
        <w:spacing w:after="120" w:afterLines="50" w:line="264" w:lineRule="auto"/>
        <w:ind w:firstLine="0" w:firstLineChars="0"/>
        <w:rPr>
          <w:rFonts w:ascii="Arial" w:hAnsi="Arial" w:eastAsia="宋体" w:cs="Arial"/>
          <w:color w:val="000000"/>
          <w:kern w:val="0"/>
          <w:sz w:val="18"/>
          <w:szCs w:val="18"/>
        </w:rPr>
      </w:pPr>
      <w:r>
        <w:rPr>
          <w:rFonts w:ascii="Arial" w:hAnsi="Arial" w:eastAsia="宋体" w:cs="Arial"/>
          <w:color w:val="000000"/>
          <w:kern w:val="0"/>
          <w:sz w:val="18"/>
          <w:szCs w:val="18"/>
        </w:rPr>
        <w:t>授权：第513-521部分，701，52法令，修订1055-1056，90法令，540-574（21U.S.C. 360c-360k，371）。</w:t>
      </w:r>
    </w:p>
    <w:p w14:paraId="0BAE503F">
      <w:pPr>
        <w:pStyle w:val="8"/>
        <w:widowControl/>
        <w:autoSpaceDE w:val="0"/>
        <w:autoSpaceDN w:val="0"/>
        <w:adjustRightInd w:val="0"/>
        <w:snapToGrid w:val="0"/>
        <w:spacing w:after="120" w:afterLines="50" w:line="264" w:lineRule="auto"/>
        <w:ind w:firstLine="0" w:firstLineChars="0"/>
        <w:rPr>
          <w:rFonts w:ascii="Arial" w:hAnsi="Arial" w:eastAsia="宋体" w:cs="Arial"/>
          <w:color w:val="000000"/>
          <w:kern w:val="0"/>
          <w:sz w:val="18"/>
          <w:szCs w:val="18"/>
        </w:rPr>
      </w:pPr>
      <w:r>
        <w:rPr>
          <w:rFonts w:ascii="Arial" w:hAnsi="Arial" w:eastAsia="宋体" w:cs="Arial"/>
          <w:color w:val="000000"/>
          <w:kern w:val="0"/>
          <w:sz w:val="18"/>
          <w:szCs w:val="18"/>
        </w:rPr>
        <w:t>§821.100环氧乙烷、氯乙醇和乙二醇的最大残留限量。</w:t>
      </w:r>
    </w:p>
    <w:p w14:paraId="4A1F53CF">
      <w:pPr>
        <w:pStyle w:val="8"/>
        <w:widowControl/>
        <w:numPr>
          <w:ilvl w:val="0"/>
          <w:numId w:val="12"/>
        </w:numPr>
        <w:autoSpaceDE w:val="0"/>
        <w:autoSpaceDN w:val="0"/>
        <w:adjustRightInd w:val="0"/>
        <w:snapToGrid w:val="0"/>
        <w:spacing w:after="120" w:afterLines="50" w:line="264" w:lineRule="auto"/>
        <w:ind w:left="302" w:hanging="302" w:hangingChars="168"/>
        <w:rPr>
          <w:rFonts w:ascii="Arial" w:hAnsi="Arial" w:eastAsia="宋体" w:cs="Arial"/>
          <w:color w:val="000000"/>
          <w:kern w:val="0"/>
          <w:sz w:val="18"/>
          <w:szCs w:val="18"/>
        </w:rPr>
      </w:pPr>
      <w:r>
        <w:rPr>
          <w:rFonts w:ascii="Arial" w:hAnsi="Arial" w:eastAsia="宋体" w:cs="Arial"/>
          <w:color w:val="000000"/>
          <w:kern w:val="0"/>
          <w:sz w:val="18"/>
          <w:szCs w:val="18"/>
        </w:rPr>
        <w:t>关于根据本段列出的每个人用医疗器（其中环氧乙烷在成品产品、其组件或其销售容器的制造过程中用作灭菌剂），当以包装在其销售容器中的状态进行测试时，不得超过以下残留水平：</w:t>
      </w:r>
    </w:p>
    <w:p w14:paraId="1CBE3278">
      <w:pPr>
        <w:pStyle w:val="8"/>
        <w:widowControl/>
        <w:autoSpaceDE w:val="0"/>
        <w:autoSpaceDN w:val="0"/>
        <w:adjustRightInd w:val="0"/>
        <w:snapToGrid w:val="0"/>
        <w:spacing w:after="120" w:afterLines="50" w:line="264" w:lineRule="auto"/>
        <w:ind w:firstLine="0" w:firstLineChars="0"/>
        <w:jc w:val="center"/>
        <w:rPr>
          <w:rFonts w:ascii="Arial" w:hAnsi="Arial" w:eastAsia="宋体" w:cs="Arial"/>
          <w:color w:val="000000"/>
          <w:kern w:val="0"/>
          <w:sz w:val="18"/>
          <w:szCs w:val="18"/>
        </w:rPr>
      </w:pPr>
      <w:r>
        <w:rPr>
          <w:rFonts w:ascii="Arial" w:hAnsi="Arial" w:eastAsia="宋体" w:cs="Arial"/>
          <w:color w:val="000000"/>
          <w:kern w:val="0"/>
          <w:sz w:val="18"/>
          <w:szCs w:val="18"/>
        </w:rPr>
        <w:t>【百万分率】</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7"/>
        <w:gridCol w:w="423"/>
        <w:gridCol w:w="433"/>
        <w:gridCol w:w="724"/>
        <w:gridCol w:w="843"/>
      </w:tblGrid>
      <w:tr w14:paraId="48F3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 w:type="dxa"/>
            <w:tcBorders>
              <w:top w:val="single" w:color="auto" w:sz="4" w:space="0"/>
              <w:bottom w:val="single" w:color="auto" w:sz="4" w:space="0"/>
            </w:tcBorders>
            <w:vAlign w:val="center"/>
          </w:tcPr>
          <w:p w14:paraId="6A3E0A39">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医疗器械</w:t>
            </w:r>
          </w:p>
        </w:tc>
        <w:tc>
          <w:tcPr>
            <w:tcW w:w="856" w:type="dxa"/>
            <w:gridSpan w:val="2"/>
            <w:tcBorders>
              <w:top w:val="single" w:color="auto" w:sz="4" w:space="0"/>
              <w:bottom w:val="single" w:color="auto" w:sz="4" w:space="0"/>
            </w:tcBorders>
            <w:vAlign w:val="center"/>
          </w:tcPr>
          <w:p w14:paraId="691B2869">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环氧乙烷</w:t>
            </w:r>
          </w:p>
        </w:tc>
        <w:tc>
          <w:tcPr>
            <w:tcW w:w="724" w:type="dxa"/>
            <w:tcBorders>
              <w:top w:val="single" w:color="auto" w:sz="4" w:space="0"/>
              <w:bottom w:val="single" w:color="auto" w:sz="4" w:space="0"/>
            </w:tcBorders>
            <w:vAlign w:val="center"/>
          </w:tcPr>
          <w:p w14:paraId="51EA4013">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氯乙醇</w:t>
            </w:r>
          </w:p>
        </w:tc>
        <w:tc>
          <w:tcPr>
            <w:tcW w:w="843" w:type="dxa"/>
            <w:tcBorders>
              <w:top w:val="single" w:color="auto" w:sz="4" w:space="0"/>
              <w:bottom w:val="single" w:color="auto" w:sz="4" w:space="0"/>
            </w:tcBorders>
            <w:vAlign w:val="center"/>
          </w:tcPr>
          <w:p w14:paraId="22A90361">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乙二醇</w:t>
            </w:r>
          </w:p>
        </w:tc>
      </w:tr>
      <w:tr w14:paraId="1441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0" w:type="dxa"/>
            <w:gridSpan w:val="5"/>
            <w:tcBorders>
              <w:top w:val="single" w:color="auto" w:sz="4" w:space="0"/>
            </w:tcBorders>
            <w:vAlign w:val="center"/>
          </w:tcPr>
          <w:p w14:paraId="09DA3C23">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植入物：</w:t>
            </w:r>
          </w:p>
        </w:tc>
      </w:tr>
      <w:tr w14:paraId="00FE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0" w:type="dxa"/>
            <w:gridSpan w:val="2"/>
            <w:vAlign w:val="center"/>
          </w:tcPr>
          <w:p w14:paraId="106FCF1A">
            <w:pPr>
              <w:pStyle w:val="8"/>
              <w:widowControl/>
              <w:autoSpaceDE w:val="0"/>
              <w:autoSpaceDN w:val="0"/>
              <w:adjustRightInd w:val="0"/>
              <w:snapToGrid w:val="0"/>
              <w:spacing w:line="264" w:lineRule="auto"/>
              <w:ind w:firstLine="0" w:firstLineChars="0"/>
              <w:rPr>
                <w:rFonts w:ascii="Arial" w:hAnsi="Arial" w:eastAsia="宋体" w:cs="Arial"/>
                <w:color w:val="000000"/>
                <w:kern w:val="0"/>
                <w:sz w:val="13"/>
                <w:szCs w:val="13"/>
              </w:rPr>
            </w:pPr>
            <w:r>
              <w:rPr>
                <w:rFonts w:ascii="Arial" w:hAnsi="Arial" w:eastAsia="宋体" w:cs="Arial"/>
                <w:color w:val="000000"/>
                <w:kern w:val="0"/>
                <w:sz w:val="13"/>
                <w:szCs w:val="13"/>
              </w:rPr>
              <w:t>小型（＜10克）</w:t>
            </w:r>
          </w:p>
          <w:p w14:paraId="022A53C1">
            <w:pPr>
              <w:pStyle w:val="8"/>
              <w:widowControl/>
              <w:autoSpaceDE w:val="0"/>
              <w:autoSpaceDN w:val="0"/>
              <w:adjustRightInd w:val="0"/>
              <w:snapToGrid w:val="0"/>
              <w:spacing w:line="264" w:lineRule="auto"/>
              <w:ind w:firstLine="0" w:firstLineChars="0"/>
              <w:rPr>
                <w:rFonts w:ascii="Arial" w:hAnsi="Arial" w:eastAsia="宋体" w:cs="Arial"/>
                <w:color w:val="000000"/>
                <w:kern w:val="0"/>
                <w:sz w:val="13"/>
                <w:szCs w:val="13"/>
              </w:rPr>
            </w:pPr>
            <w:r>
              <w:rPr>
                <w:rFonts w:ascii="Arial" w:hAnsi="Arial" w:eastAsia="宋体" w:cs="Arial"/>
                <w:color w:val="000000"/>
                <w:kern w:val="0"/>
                <w:sz w:val="13"/>
                <w:szCs w:val="13"/>
              </w:rPr>
              <w:t>中型（10-100克）</w:t>
            </w:r>
          </w:p>
          <w:p w14:paraId="394CADEC">
            <w:pPr>
              <w:widowControl/>
              <w:autoSpaceDE w:val="0"/>
              <w:autoSpaceDN w:val="0"/>
              <w:adjustRightInd w:val="0"/>
              <w:snapToGrid w:val="0"/>
              <w:spacing w:line="264" w:lineRule="auto"/>
              <w:rPr>
                <w:rFonts w:ascii="Arial" w:hAnsi="Arial" w:eastAsia="宋体" w:cs="Arial"/>
                <w:color w:val="000000"/>
                <w:kern w:val="0"/>
                <w:sz w:val="13"/>
                <w:szCs w:val="13"/>
              </w:rPr>
            </w:pPr>
            <w:r>
              <w:rPr>
                <w:rFonts w:ascii="Arial" w:hAnsi="Arial" w:eastAsia="宋体" w:cs="Arial"/>
                <w:color w:val="000000"/>
                <w:kern w:val="0"/>
                <w:sz w:val="13"/>
                <w:szCs w:val="13"/>
              </w:rPr>
              <w:t>大型（＞100克）</w:t>
            </w:r>
          </w:p>
        </w:tc>
        <w:tc>
          <w:tcPr>
            <w:tcW w:w="433" w:type="dxa"/>
            <w:vAlign w:val="center"/>
          </w:tcPr>
          <w:p w14:paraId="64152FC5">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250</w:t>
            </w:r>
          </w:p>
          <w:p w14:paraId="435C804C">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100</w:t>
            </w:r>
          </w:p>
          <w:p w14:paraId="4DB90509">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25</w:t>
            </w:r>
          </w:p>
        </w:tc>
        <w:tc>
          <w:tcPr>
            <w:tcW w:w="724" w:type="dxa"/>
            <w:vAlign w:val="center"/>
          </w:tcPr>
          <w:p w14:paraId="2D4A809E">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250</w:t>
            </w:r>
          </w:p>
          <w:p w14:paraId="080CB8BA">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100</w:t>
            </w:r>
          </w:p>
          <w:p w14:paraId="4E02FCFD">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25</w:t>
            </w:r>
          </w:p>
        </w:tc>
        <w:tc>
          <w:tcPr>
            <w:tcW w:w="843" w:type="dxa"/>
            <w:vAlign w:val="center"/>
          </w:tcPr>
          <w:p w14:paraId="74E00418">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5,000</w:t>
            </w:r>
          </w:p>
          <w:p w14:paraId="66DF541D">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2,000</w:t>
            </w:r>
          </w:p>
          <w:p w14:paraId="63B06421">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500</w:t>
            </w:r>
          </w:p>
        </w:tc>
      </w:tr>
      <w:tr w14:paraId="7CDCE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0" w:type="dxa"/>
            <w:gridSpan w:val="2"/>
            <w:vAlign w:val="center"/>
          </w:tcPr>
          <w:p w14:paraId="31346CE3">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子宫内避孕器</w:t>
            </w:r>
          </w:p>
        </w:tc>
        <w:tc>
          <w:tcPr>
            <w:tcW w:w="433" w:type="dxa"/>
            <w:vAlign w:val="center"/>
          </w:tcPr>
          <w:p w14:paraId="43420181">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5</w:t>
            </w:r>
          </w:p>
        </w:tc>
        <w:tc>
          <w:tcPr>
            <w:tcW w:w="724" w:type="dxa"/>
            <w:vAlign w:val="center"/>
          </w:tcPr>
          <w:p w14:paraId="56408A51">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10</w:t>
            </w:r>
          </w:p>
        </w:tc>
        <w:tc>
          <w:tcPr>
            <w:tcW w:w="843" w:type="dxa"/>
            <w:vAlign w:val="center"/>
          </w:tcPr>
          <w:p w14:paraId="05071C7F">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10</w:t>
            </w:r>
          </w:p>
        </w:tc>
      </w:tr>
      <w:tr w14:paraId="1746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0" w:type="dxa"/>
            <w:gridSpan w:val="2"/>
            <w:vAlign w:val="center"/>
          </w:tcPr>
          <w:p w14:paraId="420FFF4F">
            <w:pPr>
              <w:pStyle w:val="8"/>
              <w:widowControl/>
              <w:autoSpaceDE w:val="0"/>
              <w:autoSpaceDN w:val="0"/>
              <w:adjustRightInd w:val="0"/>
              <w:snapToGrid w:val="0"/>
              <w:spacing w:before="10" w:after="120" w:afterLines="50" w:line="264" w:lineRule="auto"/>
              <w:ind w:firstLine="0" w:firstLineChars="0"/>
              <w:rPr>
                <w:rFonts w:ascii="Arial" w:hAnsi="Arial" w:eastAsia="宋体" w:cs="Arial"/>
                <w:color w:val="000000"/>
                <w:kern w:val="0"/>
                <w:sz w:val="13"/>
                <w:szCs w:val="13"/>
              </w:rPr>
            </w:pPr>
            <w:r>
              <w:rPr>
                <w:rFonts w:ascii="Arial" w:hAnsi="Arial" w:eastAsia="宋体" w:cs="Arial"/>
                <w:color w:val="000000"/>
                <w:kern w:val="0"/>
                <w:sz w:val="13"/>
                <w:szCs w:val="13"/>
              </w:rPr>
              <w:t>人工晶状体</w:t>
            </w:r>
          </w:p>
        </w:tc>
        <w:tc>
          <w:tcPr>
            <w:tcW w:w="433" w:type="dxa"/>
            <w:vAlign w:val="center"/>
          </w:tcPr>
          <w:p w14:paraId="7AC2606C">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25</w:t>
            </w:r>
          </w:p>
        </w:tc>
        <w:tc>
          <w:tcPr>
            <w:tcW w:w="724" w:type="dxa"/>
            <w:vAlign w:val="center"/>
          </w:tcPr>
          <w:p w14:paraId="0DFA1090">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25</w:t>
            </w:r>
          </w:p>
        </w:tc>
        <w:tc>
          <w:tcPr>
            <w:tcW w:w="843" w:type="dxa"/>
            <w:vAlign w:val="center"/>
          </w:tcPr>
          <w:p w14:paraId="4D5A2B92">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500</w:t>
            </w:r>
          </w:p>
        </w:tc>
      </w:tr>
      <w:tr w14:paraId="2E4B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0" w:type="dxa"/>
            <w:gridSpan w:val="2"/>
            <w:vAlign w:val="center"/>
          </w:tcPr>
          <w:p w14:paraId="7F748F9B">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接触粘膜的器械</w:t>
            </w:r>
          </w:p>
        </w:tc>
        <w:tc>
          <w:tcPr>
            <w:tcW w:w="433" w:type="dxa"/>
            <w:vAlign w:val="center"/>
          </w:tcPr>
          <w:p w14:paraId="35B63814">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250</w:t>
            </w:r>
          </w:p>
        </w:tc>
        <w:tc>
          <w:tcPr>
            <w:tcW w:w="724" w:type="dxa"/>
            <w:vAlign w:val="center"/>
          </w:tcPr>
          <w:p w14:paraId="2A921A07">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250</w:t>
            </w:r>
          </w:p>
        </w:tc>
        <w:tc>
          <w:tcPr>
            <w:tcW w:w="843" w:type="dxa"/>
            <w:vAlign w:val="center"/>
          </w:tcPr>
          <w:p w14:paraId="41FD5250">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5,000</w:t>
            </w:r>
          </w:p>
        </w:tc>
      </w:tr>
      <w:tr w14:paraId="1900C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0" w:type="dxa"/>
            <w:gridSpan w:val="2"/>
            <w:vAlign w:val="center"/>
          </w:tcPr>
          <w:p w14:paraId="17258BE7">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接触血液但体外使用的器械</w:t>
            </w:r>
          </w:p>
        </w:tc>
        <w:tc>
          <w:tcPr>
            <w:tcW w:w="433" w:type="dxa"/>
            <w:vAlign w:val="center"/>
          </w:tcPr>
          <w:p w14:paraId="1674D0C5">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25</w:t>
            </w:r>
          </w:p>
        </w:tc>
        <w:tc>
          <w:tcPr>
            <w:tcW w:w="724" w:type="dxa"/>
            <w:vAlign w:val="center"/>
          </w:tcPr>
          <w:p w14:paraId="1A79E3B8">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25</w:t>
            </w:r>
          </w:p>
        </w:tc>
        <w:tc>
          <w:tcPr>
            <w:tcW w:w="843" w:type="dxa"/>
            <w:vAlign w:val="center"/>
          </w:tcPr>
          <w:p w14:paraId="5121CEA1">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250</w:t>
            </w:r>
          </w:p>
        </w:tc>
      </w:tr>
      <w:tr w14:paraId="4544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0" w:type="dxa"/>
            <w:gridSpan w:val="2"/>
            <w:vAlign w:val="center"/>
          </w:tcPr>
          <w:p w14:paraId="4DCF4900">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接触皮肤的器械</w:t>
            </w:r>
          </w:p>
        </w:tc>
        <w:tc>
          <w:tcPr>
            <w:tcW w:w="433" w:type="dxa"/>
            <w:vAlign w:val="center"/>
          </w:tcPr>
          <w:p w14:paraId="24305D0B">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250</w:t>
            </w:r>
          </w:p>
        </w:tc>
        <w:tc>
          <w:tcPr>
            <w:tcW w:w="724" w:type="dxa"/>
            <w:vAlign w:val="center"/>
          </w:tcPr>
          <w:p w14:paraId="6E6E32E1">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250</w:t>
            </w:r>
          </w:p>
        </w:tc>
        <w:tc>
          <w:tcPr>
            <w:tcW w:w="843" w:type="dxa"/>
            <w:vAlign w:val="center"/>
          </w:tcPr>
          <w:p w14:paraId="14A2D14F">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5,000</w:t>
            </w:r>
          </w:p>
        </w:tc>
      </w:tr>
      <w:tr w14:paraId="7031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0" w:type="dxa"/>
            <w:gridSpan w:val="2"/>
            <w:tcBorders>
              <w:bottom w:val="single" w:color="auto" w:sz="4" w:space="0"/>
            </w:tcBorders>
            <w:vAlign w:val="center"/>
          </w:tcPr>
          <w:p w14:paraId="7148EC3D">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ascii="Arial" w:hAnsi="Arial" w:eastAsia="宋体" w:cs="Arial"/>
                <w:color w:val="000000"/>
                <w:kern w:val="0"/>
                <w:sz w:val="13"/>
                <w:szCs w:val="13"/>
              </w:rPr>
              <w:t>手术擦洗海绵</w:t>
            </w:r>
          </w:p>
        </w:tc>
        <w:tc>
          <w:tcPr>
            <w:tcW w:w="433" w:type="dxa"/>
            <w:tcBorders>
              <w:bottom w:val="single" w:color="auto" w:sz="4" w:space="0"/>
            </w:tcBorders>
            <w:vAlign w:val="center"/>
          </w:tcPr>
          <w:p w14:paraId="159BCA30">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25</w:t>
            </w:r>
          </w:p>
        </w:tc>
        <w:tc>
          <w:tcPr>
            <w:tcW w:w="724" w:type="dxa"/>
            <w:tcBorders>
              <w:bottom w:val="single" w:color="auto" w:sz="4" w:space="0"/>
            </w:tcBorders>
            <w:vAlign w:val="center"/>
          </w:tcPr>
          <w:p w14:paraId="14A847D1">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250</w:t>
            </w:r>
          </w:p>
        </w:tc>
        <w:tc>
          <w:tcPr>
            <w:tcW w:w="843" w:type="dxa"/>
            <w:tcBorders>
              <w:bottom w:val="single" w:color="auto" w:sz="4" w:space="0"/>
            </w:tcBorders>
            <w:vAlign w:val="center"/>
          </w:tcPr>
          <w:p w14:paraId="16D7CF21">
            <w:pPr>
              <w:widowControl/>
              <w:autoSpaceDE w:val="0"/>
              <w:autoSpaceDN w:val="0"/>
              <w:adjustRightInd w:val="0"/>
              <w:snapToGrid w:val="0"/>
              <w:spacing w:before="24" w:beforeLines="10" w:after="24" w:afterLines="10" w:line="264" w:lineRule="auto"/>
              <w:rPr>
                <w:rFonts w:ascii="Arial" w:hAnsi="Arial" w:eastAsia="宋体" w:cs="Arial"/>
                <w:color w:val="000000"/>
                <w:kern w:val="0"/>
                <w:sz w:val="13"/>
                <w:szCs w:val="13"/>
              </w:rPr>
            </w:pPr>
            <w:r>
              <w:rPr>
                <w:rFonts w:hint="eastAsia" w:ascii="Arial" w:hAnsi="Arial" w:eastAsia="宋体" w:cs="Arial"/>
                <w:color w:val="000000"/>
                <w:kern w:val="0"/>
                <w:sz w:val="13"/>
                <w:szCs w:val="13"/>
              </w:rPr>
              <w:t>500</w:t>
            </w:r>
          </w:p>
        </w:tc>
      </w:tr>
    </w:tbl>
    <w:p w14:paraId="4F5F5FA5">
      <w:pPr>
        <w:widowControl/>
        <w:autoSpaceDE w:val="0"/>
        <w:autoSpaceDN w:val="0"/>
        <w:adjustRightInd w:val="0"/>
        <w:snapToGrid w:val="0"/>
        <w:spacing w:after="120" w:afterLines="50" w:line="264" w:lineRule="auto"/>
        <w:rPr>
          <w:rFonts w:ascii="Arial" w:hAnsi="Arial" w:eastAsia="宋体" w:cs="Arial"/>
          <w:color w:val="000000"/>
          <w:kern w:val="0"/>
          <w:sz w:val="15"/>
          <w:szCs w:val="15"/>
        </w:rPr>
      </w:pPr>
    </w:p>
    <w:p w14:paraId="2EDEF76E">
      <w:pPr>
        <w:pStyle w:val="8"/>
        <w:widowControl/>
        <w:numPr>
          <w:ilvl w:val="0"/>
          <w:numId w:val="12"/>
        </w:numPr>
        <w:autoSpaceDE w:val="0"/>
        <w:autoSpaceDN w:val="0"/>
        <w:adjustRightInd w:val="0"/>
        <w:snapToGrid w:val="0"/>
        <w:spacing w:after="120" w:afterLines="50" w:line="264" w:lineRule="auto"/>
        <w:ind w:left="302" w:hanging="302" w:hangingChars="168"/>
        <w:rPr>
          <w:rFonts w:ascii="Arial" w:hAnsi="Arial" w:eastAsia="宋体" w:cs="Arial"/>
          <w:color w:val="000000"/>
          <w:kern w:val="0"/>
          <w:sz w:val="18"/>
          <w:szCs w:val="18"/>
        </w:rPr>
      </w:pPr>
      <w:r>
        <w:rPr>
          <w:rFonts w:ascii="Arial" w:hAnsi="Arial" w:eastAsia="宋体" w:cs="Arial"/>
          <w:color w:val="000000"/>
          <w:kern w:val="0"/>
          <w:sz w:val="18"/>
          <w:szCs w:val="18"/>
        </w:rPr>
        <w:t>任何不符合本条（a）段要求的人用医疗器械不得发布销售。</w:t>
      </w:r>
    </w:p>
    <w:p w14:paraId="0E34ECD9">
      <w:pPr>
        <w:pStyle w:val="8"/>
        <w:widowControl/>
        <w:numPr>
          <w:ilvl w:val="0"/>
          <w:numId w:val="12"/>
        </w:numPr>
        <w:autoSpaceDE w:val="0"/>
        <w:autoSpaceDN w:val="0"/>
        <w:adjustRightInd w:val="0"/>
        <w:snapToGrid w:val="0"/>
        <w:spacing w:after="120" w:afterLines="50" w:line="264" w:lineRule="auto"/>
        <w:ind w:left="302" w:hanging="302" w:hangingChars="168"/>
        <w:rPr>
          <w:rFonts w:ascii="Arial" w:hAnsi="Arial" w:eastAsia="宋体" w:cs="Arial"/>
          <w:color w:val="000000"/>
          <w:kern w:val="0"/>
          <w:sz w:val="18"/>
          <w:szCs w:val="18"/>
        </w:rPr>
      </w:pPr>
      <w:r>
        <w:rPr>
          <w:rFonts w:ascii="Arial" w:hAnsi="Arial" w:eastAsia="宋体" w:cs="Arial"/>
          <w:color w:val="000000"/>
          <w:kern w:val="0"/>
          <w:sz w:val="18"/>
          <w:szCs w:val="18"/>
        </w:rPr>
        <w:t>受限于本节的人用医疗器械的各制造商应为将环氧乙烷作为药品、其组件或销售容器的灭菌剂的每个制造过程准备残留物耗散曲线。</w:t>
      </w:r>
    </w:p>
    <w:p w14:paraId="770EAD7D">
      <w:pPr>
        <w:widowControl/>
        <w:jc w:val="left"/>
        <w:rPr>
          <w:rFonts w:ascii="Arial" w:hAnsi="Arial" w:eastAsia="宋体" w:cs="Arial"/>
          <w:color w:val="000000"/>
          <w:kern w:val="0"/>
          <w:sz w:val="15"/>
          <w:szCs w:val="15"/>
        </w:rPr>
      </w:pPr>
      <w:r>
        <w:rPr>
          <w:rFonts w:ascii="Arial" w:hAnsi="Arial" w:eastAsia="宋体" w:cs="Arial"/>
          <w:color w:val="000000"/>
          <w:kern w:val="0"/>
          <w:sz w:val="15"/>
          <w:szCs w:val="15"/>
        </w:rPr>
        <w:br w:type="page"/>
      </w:r>
    </w:p>
    <w:p w14:paraId="0F4B9978">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有意者可以在1978年8月22日当天或之前将有关本建议的书面评论提交给食品药品监督管理局，听证员（HFC-20），地址为Rm. 4-65，5600 Fishers Lane，Rockville，Md.20857。所有评论须以一式四份进行提交，但个人可以提交评论的单一副本，并应使用可在本文件标题的方括号中找到的听证员案卷编号进行标识。周一至周五上午9点至下午4点之间，可以在上述办公室中看到已接收的评论。</w:t>
      </w:r>
    </w:p>
    <w:p w14:paraId="7F229120">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br w:type="column"/>
      </w:r>
      <w:r>
        <w:rPr>
          <w:rFonts w:ascii="Arial" w:hAnsi="Arial" w:eastAsia="宋体" w:cs="Arial"/>
          <w:color w:val="000000"/>
          <w:kern w:val="0"/>
          <w:sz w:val="18"/>
          <w:szCs w:val="18"/>
        </w:rPr>
        <w:t>注-食品药品监督管理局已确定，本文件并不包含一项主要建议，即要求根据行政命令11821（经行政命令11949修订）和OMB通知A-107编制经济影响报告书。食品药品监督管理局的听证员将存档经济影响报告书的副本。</w:t>
      </w:r>
    </w:p>
    <w:p w14:paraId="054547BA">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br w:type="column"/>
      </w:r>
      <w:r>
        <w:rPr>
          <w:rFonts w:ascii="Arial" w:hAnsi="Arial" w:eastAsia="宋体" w:cs="Arial"/>
          <w:color w:val="000000"/>
          <w:kern w:val="0"/>
          <w:sz w:val="18"/>
          <w:szCs w:val="18"/>
        </w:rPr>
        <w:t>日期：1978年6月16日</w:t>
      </w:r>
    </w:p>
    <w:p w14:paraId="4DDD67A3">
      <w:pPr>
        <w:widowControl/>
        <w:autoSpaceDE w:val="0"/>
        <w:autoSpaceDN w:val="0"/>
        <w:adjustRightInd w:val="0"/>
        <w:snapToGrid w:val="0"/>
        <w:spacing w:after="120" w:afterLines="50" w:line="300" w:lineRule="auto"/>
        <w:jc w:val="right"/>
        <w:rPr>
          <w:rFonts w:ascii="Arial" w:hAnsi="Arial" w:eastAsia="宋体" w:cs="Arial"/>
          <w:i/>
          <w:color w:val="000000"/>
          <w:kern w:val="0"/>
          <w:sz w:val="18"/>
          <w:szCs w:val="18"/>
        </w:rPr>
      </w:pPr>
      <w:r>
        <w:rPr>
          <w:rFonts w:ascii="Arial" w:hAnsi="Arial" w:eastAsia="宋体" w:cs="Arial"/>
          <w:i/>
          <w:color w:val="000000"/>
          <w:kern w:val="0"/>
          <w:sz w:val="18"/>
          <w:szCs w:val="18"/>
        </w:rPr>
        <w:t>SHERWIN GARDNER，</w:t>
      </w:r>
    </w:p>
    <w:p w14:paraId="71919412">
      <w:pPr>
        <w:widowControl/>
        <w:autoSpaceDE w:val="0"/>
        <w:autoSpaceDN w:val="0"/>
        <w:adjustRightInd w:val="0"/>
        <w:snapToGrid w:val="0"/>
        <w:spacing w:after="120" w:afterLines="50" w:line="300" w:lineRule="auto"/>
        <w:jc w:val="right"/>
        <w:rPr>
          <w:rFonts w:ascii="Arial" w:hAnsi="Arial" w:eastAsia="宋体" w:cs="Arial"/>
          <w:i/>
          <w:color w:val="000000"/>
          <w:kern w:val="0"/>
          <w:sz w:val="18"/>
          <w:szCs w:val="18"/>
        </w:rPr>
      </w:pPr>
      <w:r>
        <w:rPr>
          <w:rFonts w:ascii="Arial" w:hAnsi="Arial" w:eastAsia="宋体" w:cs="Arial"/>
          <w:i/>
          <w:color w:val="000000"/>
          <w:kern w:val="0"/>
          <w:sz w:val="18"/>
          <w:szCs w:val="18"/>
        </w:rPr>
        <w:t>食品药品监督管理局代理专员。</w:t>
      </w:r>
    </w:p>
    <w:p w14:paraId="08AE9410">
      <w:pPr>
        <w:widowControl/>
        <w:autoSpaceDE w:val="0"/>
        <w:autoSpaceDN w:val="0"/>
        <w:adjustRightInd w:val="0"/>
        <w:snapToGrid w:val="0"/>
        <w:spacing w:after="120" w:afterLines="50" w:line="300" w:lineRule="auto"/>
        <w:rPr>
          <w:rFonts w:ascii="Arial" w:hAnsi="Arial" w:eastAsia="宋体" w:cs="Arial"/>
          <w:color w:val="000000"/>
          <w:kern w:val="0"/>
          <w:sz w:val="18"/>
          <w:szCs w:val="18"/>
        </w:rPr>
      </w:pPr>
      <w:r>
        <w:rPr>
          <w:rFonts w:hint="eastAsia" w:ascii="Arial" w:hAnsi="Arial" w:eastAsia="宋体" w:cs="Arial"/>
          <w:color w:val="000000"/>
          <w:kern w:val="0"/>
          <w:sz w:val="18"/>
          <w:szCs w:val="18"/>
        </w:rPr>
        <w:t>【</w:t>
      </w:r>
      <w:r>
        <w:rPr>
          <w:rFonts w:ascii="Arial" w:hAnsi="Arial" w:eastAsia="宋体" w:cs="Arial"/>
          <w:color w:val="000000"/>
          <w:kern w:val="0"/>
          <w:sz w:val="18"/>
          <w:szCs w:val="18"/>
        </w:rPr>
        <w:t>FR</w:t>
      </w:r>
      <w:r>
        <w:rPr>
          <w:rFonts w:hint="eastAsia" w:ascii="Arial" w:hAnsi="Arial" w:eastAsia="宋体" w:cs="Arial"/>
          <w:color w:val="000000"/>
          <w:kern w:val="0"/>
          <w:sz w:val="18"/>
          <w:szCs w:val="18"/>
        </w:rPr>
        <w:t>文档</w:t>
      </w:r>
      <w:r>
        <w:rPr>
          <w:rFonts w:ascii="Arial" w:hAnsi="Arial" w:eastAsia="宋体" w:cs="Arial"/>
          <w:color w:val="000000"/>
          <w:kern w:val="0"/>
          <w:sz w:val="18"/>
          <w:szCs w:val="18"/>
        </w:rPr>
        <w:t>78-17384于1978.06.22 8:45</w:t>
      </w:r>
      <w:r>
        <w:rPr>
          <w:rFonts w:hint="eastAsia" w:ascii="Arial" w:hAnsi="Arial" w:eastAsia="宋体" w:cs="Arial"/>
          <w:color w:val="000000"/>
          <w:kern w:val="0"/>
          <w:sz w:val="18"/>
          <w:szCs w:val="18"/>
        </w:rPr>
        <w:t>上午</w:t>
      </w:r>
      <w:r>
        <w:rPr>
          <w:rFonts w:ascii="Arial" w:hAnsi="Arial" w:eastAsia="宋体" w:cs="Arial"/>
          <w:color w:val="000000"/>
          <w:kern w:val="0"/>
          <w:sz w:val="18"/>
          <w:szCs w:val="18"/>
        </w:rPr>
        <w:t>存档</w:t>
      </w:r>
      <w:r>
        <w:rPr>
          <w:rFonts w:hint="eastAsia" w:ascii="Arial" w:hAnsi="Arial" w:eastAsia="宋体" w:cs="Arial"/>
          <w:color w:val="000000"/>
          <w:kern w:val="0"/>
          <w:sz w:val="18"/>
          <w:szCs w:val="18"/>
        </w:rPr>
        <w:t>】</w:t>
      </w:r>
    </w:p>
    <w:p w14:paraId="1ABA2FA1">
      <w:pPr>
        <w:snapToGrid w:val="0"/>
        <w:spacing w:after="120" w:afterLines="50" w:line="300" w:lineRule="auto"/>
        <w:rPr>
          <w:rFonts w:ascii="Arial" w:hAnsi="Arial" w:eastAsia="宋体" w:cs="Arial"/>
          <w:color w:val="000000"/>
          <w:kern w:val="0"/>
          <w:sz w:val="18"/>
          <w:szCs w:val="18"/>
        </w:rPr>
      </w:pPr>
    </w:p>
    <w:p w14:paraId="02662AEA">
      <w:pPr>
        <w:snapToGrid w:val="0"/>
        <w:spacing w:after="120" w:afterLines="50" w:line="300" w:lineRule="auto"/>
        <w:rPr>
          <w:rFonts w:ascii="Arial" w:hAnsi="Arial" w:eastAsia="宋体" w:cs="Arial"/>
          <w:color w:val="000000"/>
          <w:kern w:val="0"/>
          <w:sz w:val="18"/>
          <w:szCs w:val="18"/>
        </w:rPr>
      </w:pPr>
    </w:p>
    <w:p w14:paraId="24891732">
      <w:pPr>
        <w:snapToGrid w:val="0"/>
        <w:spacing w:after="120" w:afterLines="50" w:line="300" w:lineRule="auto"/>
        <w:rPr>
          <w:rFonts w:ascii="Arial" w:hAnsi="Arial" w:eastAsia="宋体" w:cs="Arial"/>
          <w:color w:val="000000"/>
          <w:kern w:val="0"/>
          <w:sz w:val="18"/>
          <w:szCs w:val="18"/>
        </w:rPr>
      </w:pPr>
    </w:p>
    <w:p w14:paraId="3A4B97E2">
      <w:pPr>
        <w:snapToGrid w:val="0"/>
        <w:spacing w:after="120" w:afterLines="50" w:line="300" w:lineRule="auto"/>
        <w:rPr>
          <w:rFonts w:ascii="Arial" w:hAnsi="Arial" w:eastAsia="宋体" w:cs="Arial"/>
          <w:color w:val="000000"/>
          <w:kern w:val="0"/>
          <w:sz w:val="18"/>
          <w:szCs w:val="18"/>
        </w:rPr>
      </w:pPr>
    </w:p>
    <w:p w14:paraId="010E84DC">
      <w:pPr>
        <w:snapToGrid w:val="0"/>
        <w:spacing w:after="120" w:afterLines="50" w:line="300" w:lineRule="auto"/>
        <w:rPr>
          <w:rFonts w:ascii="Arial" w:hAnsi="Arial" w:eastAsia="宋体" w:cs="Arial"/>
          <w:color w:val="000000"/>
          <w:kern w:val="0"/>
          <w:sz w:val="18"/>
          <w:szCs w:val="18"/>
        </w:rPr>
      </w:pPr>
    </w:p>
    <w:p w14:paraId="250B918A">
      <w:pPr>
        <w:snapToGrid w:val="0"/>
        <w:spacing w:after="120" w:afterLines="50" w:line="300" w:lineRule="auto"/>
        <w:rPr>
          <w:rFonts w:ascii="Arial" w:hAnsi="Arial" w:eastAsia="宋体" w:cs="Arial"/>
          <w:color w:val="000000"/>
          <w:kern w:val="0"/>
          <w:sz w:val="18"/>
          <w:szCs w:val="18"/>
        </w:rPr>
      </w:pPr>
    </w:p>
    <w:p w14:paraId="47DB15A7">
      <w:pPr>
        <w:snapToGrid w:val="0"/>
        <w:spacing w:after="120" w:afterLines="50" w:line="300" w:lineRule="auto"/>
        <w:rPr>
          <w:rFonts w:ascii="Arial" w:hAnsi="Arial" w:eastAsia="宋体" w:cs="Arial"/>
          <w:color w:val="000000"/>
          <w:kern w:val="0"/>
          <w:sz w:val="18"/>
          <w:szCs w:val="18"/>
        </w:rPr>
      </w:pPr>
    </w:p>
    <w:p w14:paraId="3ADA87B0">
      <w:pPr>
        <w:snapToGrid w:val="0"/>
        <w:spacing w:after="120" w:afterLines="50" w:line="300" w:lineRule="auto"/>
        <w:rPr>
          <w:rFonts w:ascii="Arial" w:hAnsi="Arial" w:eastAsia="宋体" w:cs="Arial"/>
          <w:color w:val="000000"/>
          <w:kern w:val="0"/>
          <w:sz w:val="18"/>
          <w:szCs w:val="18"/>
        </w:rPr>
      </w:pPr>
    </w:p>
    <w:p w14:paraId="4FDA142F">
      <w:pPr>
        <w:snapToGrid w:val="0"/>
        <w:spacing w:after="120" w:afterLines="50" w:line="300" w:lineRule="auto"/>
        <w:rPr>
          <w:rFonts w:ascii="Arial" w:hAnsi="Arial" w:eastAsia="宋体" w:cs="Arial"/>
          <w:color w:val="000000"/>
          <w:kern w:val="0"/>
          <w:sz w:val="18"/>
          <w:szCs w:val="18"/>
        </w:rPr>
      </w:pPr>
    </w:p>
    <w:p w14:paraId="1FD5560D">
      <w:pPr>
        <w:snapToGrid w:val="0"/>
        <w:spacing w:after="120" w:afterLines="50" w:line="300" w:lineRule="auto"/>
        <w:rPr>
          <w:rFonts w:ascii="Arial" w:hAnsi="Arial" w:eastAsia="宋体" w:cs="Arial"/>
          <w:color w:val="000000"/>
          <w:kern w:val="0"/>
          <w:sz w:val="18"/>
          <w:szCs w:val="18"/>
        </w:rPr>
      </w:pPr>
    </w:p>
    <w:p w14:paraId="7C452490">
      <w:pPr>
        <w:snapToGrid w:val="0"/>
        <w:spacing w:after="120" w:afterLines="50" w:line="300" w:lineRule="auto"/>
        <w:rPr>
          <w:rFonts w:ascii="Arial" w:hAnsi="Arial" w:eastAsia="宋体" w:cs="Arial"/>
          <w:color w:val="000000"/>
          <w:kern w:val="0"/>
          <w:sz w:val="18"/>
          <w:szCs w:val="18"/>
        </w:rPr>
      </w:pPr>
    </w:p>
    <w:p w14:paraId="0398B22F">
      <w:pPr>
        <w:snapToGrid w:val="0"/>
        <w:spacing w:after="120" w:afterLines="50" w:line="300" w:lineRule="auto"/>
        <w:rPr>
          <w:rFonts w:ascii="Arial" w:hAnsi="Arial" w:eastAsia="宋体" w:cs="Arial"/>
          <w:color w:val="000000"/>
          <w:kern w:val="0"/>
          <w:sz w:val="18"/>
          <w:szCs w:val="18"/>
        </w:rPr>
      </w:pPr>
    </w:p>
    <w:p w14:paraId="13F870F2">
      <w:pPr>
        <w:snapToGrid w:val="0"/>
        <w:spacing w:after="120" w:afterLines="50" w:line="300" w:lineRule="auto"/>
        <w:rPr>
          <w:rFonts w:ascii="Arial" w:hAnsi="Arial" w:eastAsia="宋体" w:cs="Arial"/>
          <w:color w:val="000000"/>
          <w:kern w:val="0"/>
          <w:sz w:val="18"/>
          <w:szCs w:val="18"/>
        </w:rPr>
      </w:pPr>
    </w:p>
    <w:p w14:paraId="3D11AC69">
      <w:pPr>
        <w:snapToGrid w:val="0"/>
        <w:spacing w:after="120" w:afterLines="50" w:line="300" w:lineRule="auto"/>
        <w:rPr>
          <w:rFonts w:ascii="Arial" w:hAnsi="Arial" w:eastAsia="宋体" w:cs="Arial"/>
          <w:color w:val="000000"/>
          <w:kern w:val="0"/>
          <w:sz w:val="18"/>
          <w:szCs w:val="18"/>
        </w:rPr>
      </w:pPr>
    </w:p>
    <w:p w14:paraId="6A101055">
      <w:pPr>
        <w:snapToGrid w:val="0"/>
        <w:spacing w:after="120" w:afterLines="50" w:line="300" w:lineRule="auto"/>
        <w:rPr>
          <w:rFonts w:ascii="Arial" w:hAnsi="Arial" w:eastAsia="宋体" w:cs="Arial"/>
          <w:color w:val="000000"/>
          <w:kern w:val="0"/>
          <w:sz w:val="18"/>
          <w:szCs w:val="18"/>
        </w:rPr>
      </w:pPr>
    </w:p>
    <w:p w14:paraId="054F8511">
      <w:pPr>
        <w:snapToGrid w:val="0"/>
        <w:spacing w:after="120" w:afterLines="50" w:line="300" w:lineRule="auto"/>
        <w:rPr>
          <w:rFonts w:ascii="Arial" w:hAnsi="Arial" w:eastAsia="宋体" w:cs="Arial"/>
          <w:color w:val="000000"/>
          <w:kern w:val="0"/>
          <w:sz w:val="18"/>
          <w:szCs w:val="18"/>
        </w:rPr>
      </w:pPr>
    </w:p>
    <w:p w14:paraId="56B09E23">
      <w:pPr>
        <w:snapToGrid w:val="0"/>
        <w:spacing w:after="120" w:afterLines="50" w:line="300" w:lineRule="auto"/>
        <w:rPr>
          <w:rFonts w:ascii="Arial" w:hAnsi="Arial" w:eastAsia="宋体" w:cs="Arial"/>
          <w:color w:val="000000"/>
          <w:kern w:val="0"/>
          <w:sz w:val="18"/>
          <w:szCs w:val="18"/>
        </w:rPr>
      </w:pPr>
    </w:p>
    <w:p w14:paraId="50AF910F">
      <w:pPr>
        <w:snapToGrid w:val="0"/>
        <w:spacing w:after="120" w:afterLines="50" w:line="300" w:lineRule="auto"/>
        <w:rPr>
          <w:rFonts w:ascii="Arial" w:hAnsi="Arial" w:eastAsia="宋体" w:cs="Arial"/>
          <w:color w:val="000000"/>
          <w:kern w:val="0"/>
          <w:sz w:val="18"/>
          <w:szCs w:val="18"/>
        </w:rPr>
      </w:pPr>
    </w:p>
    <w:p w14:paraId="7A5CDF50">
      <w:pPr>
        <w:snapToGrid w:val="0"/>
        <w:spacing w:after="120" w:afterLines="50" w:line="300" w:lineRule="auto"/>
        <w:rPr>
          <w:rFonts w:ascii="Arial" w:hAnsi="Arial" w:eastAsia="宋体" w:cs="Arial"/>
          <w:color w:val="000000"/>
          <w:kern w:val="0"/>
          <w:sz w:val="18"/>
          <w:szCs w:val="18"/>
        </w:rPr>
      </w:pPr>
    </w:p>
    <w:p w14:paraId="57EFEB5C">
      <w:pPr>
        <w:snapToGrid w:val="0"/>
        <w:spacing w:after="120" w:afterLines="50" w:line="300" w:lineRule="auto"/>
        <w:rPr>
          <w:rFonts w:ascii="Arial" w:hAnsi="Arial" w:eastAsia="宋体" w:cs="Arial"/>
          <w:color w:val="000000"/>
          <w:kern w:val="0"/>
          <w:sz w:val="18"/>
          <w:szCs w:val="18"/>
        </w:rPr>
      </w:pPr>
    </w:p>
    <w:p w14:paraId="2A250675">
      <w:pPr>
        <w:snapToGrid w:val="0"/>
        <w:spacing w:after="120" w:afterLines="50" w:line="300" w:lineRule="auto"/>
        <w:rPr>
          <w:rFonts w:ascii="Arial" w:hAnsi="Arial" w:eastAsia="宋体" w:cs="Arial"/>
          <w:color w:val="000000"/>
          <w:kern w:val="0"/>
          <w:sz w:val="18"/>
          <w:szCs w:val="18"/>
        </w:rPr>
      </w:pPr>
    </w:p>
    <w:p w14:paraId="69758EC4">
      <w:pPr>
        <w:snapToGrid w:val="0"/>
        <w:spacing w:after="120" w:afterLines="50" w:line="300" w:lineRule="auto"/>
        <w:rPr>
          <w:rFonts w:ascii="Arial" w:hAnsi="Arial" w:eastAsia="宋体" w:cs="Arial"/>
          <w:color w:val="000000"/>
          <w:kern w:val="0"/>
          <w:sz w:val="18"/>
          <w:szCs w:val="18"/>
        </w:rPr>
      </w:pPr>
    </w:p>
    <w:p w14:paraId="5DF2F45B">
      <w:pPr>
        <w:snapToGrid w:val="0"/>
        <w:spacing w:after="120" w:afterLines="50" w:line="300" w:lineRule="auto"/>
        <w:rPr>
          <w:rFonts w:ascii="Arial" w:hAnsi="Arial" w:eastAsia="宋体" w:cs="Arial"/>
          <w:color w:val="000000"/>
          <w:kern w:val="0"/>
          <w:sz w:val="18"/>
          <w:szCs w:val="18"/>
        </w:rPr>
      </w:pPr>
    </w:p>
    <w:p w14:paraId="4C952A43">
      <w:pPr>
        <w:snapToGrid w:val="0"/>
        <w:spacing w:after="120" w:afterLines="50" w:line="300" w:lineRule="auto"/>
        <w:rPr>
          <w:rFonts w:ascii="Arial" w:hAnsi="Arial" w:eastAsia="宋体" w:cs="Arial"/>
          <w:color w:val="000000"/>
          <w:kern w:val="0"/>
          <w:sz w:val="18"/>
          <w:szCs w:val="18"/>
        </w:rPr>
      </w:pPr>
    </w:p>
    <w:p w14:paraId="11833910">
      <w:pPr>
        <w:snapToGrid w:val="0"/>
        <w:spacing w:after="120" w:afterLines="50" w:line="300" w:lineRule="auto"/>
        <w:rPr>
          <w:rFonts w:ascii="Arial" w:hAnsi="Arial" w:eastAsia="宋体" w:cs="Arial"/>
          <w:color w:val="000000"/>
          <w:kern w:val="0"/>
          <w:sz w:val="18"/>
          <w:szCs w:val="18"/>
        </w:rPr>
      </w:pPr>
    </w:p>
    <w:p w14:paraId="7230E3CA">
      <w:pPr>
        <w:snapToGrid w:val="0"/>
        <w:spacing w:after="120" w:afterLines="50" w:line="300" w:lineRule="auto"/>
        <w:rPr>
          <w:rFonts w:ascii="Arial" w:hAnsi="Arial" w:eastAsia="宋体" w:cs="Arial"/>
          <w:color w:val="000000"/>
          <w:kern w:val="0"/>
          <w:sz w:val="18"/>
          <w:szCs w:val="18"/>
        </w:rPr>
      </w:pPr>
    </w:p>
    <w:p w14:paraId="589FB970">
      <w:pPr>
        <w:snapToGrid w:val="0"/>
        <w:spacing w:after="120" w:afterLines="50" w:line="300" w:lineRule="auto"/>
        <w:rPr>
          <w:rFonts w:ascii="Arial" w:hAnsi="Arial" w:eastAsia="宋体" w:cs="Arial"/>
          <w:color w:val="000000"/>
          <w:kern w:val="0"/>
          <w:sz w:val="18"/>
          <w:szCs w:val="18"/>
        </w:rPr>
      </w:pPr>
    </w:p>
    <w:p w14:paraId="0299DDAD">
      <w:pPr>
        <w:snapToGrid w:val="0"/>
        <w:spacing w:after="120" w:afterLines="50" w:line="300" w:lineRule="auto"/>
        <w:rPr>
          <w:rFonts w:ascii="Arial" w:hAnsi="Arial" w:eastAsia="宋体" w:cs="Arial"/>
          <w:color w:val="000000"/>
          <w:kern w:val="0"/>
          <w:sz w:val="18"/>
          <w:szCs w:val="18"/>
        </w:rPr>
      </w:pPr>
    </w:p>
    <w:p w14:paraId="63D9DD1C">
      <w:pPr>
        <w:snapToGrid w:val="0"/>
        <w:spacing w:after="120" w:afterLines="50" w:line="300" w:lineRule="auto"/>
        <w:rPr>
          <w:rFonts w:ascii="Arial" w:hAnsi="Arial" w:eastAsia="宋体" w:cs="Arial"/>
          <w:color w:val="000000"/>
          <w:kern w:val="0"/>
          <w:sz w:val="18"/>
          <w:szCs w:val="18"/>
        </w:rPr>
      </w:pPr>
    </w:p>
    <w:p w14:paraId="38045BE8">
      <w:pPr>
        <w:snapToGrid w:val="0"/>
        <w:spacing w:after="120" w:afterLines="50" w:line="300" w:lineRule="auto"/>
        <w:rPr>
          <w:rFonts w:ascii="Arial" w:hAnsi="Arial" w:eastAsia="宋体" w:cs="Arial"/>
          <w:color w:val="000000"/>
          <w:kern w:val="0"/>
          <w:sz w:val="18"/>
          <w:szCs w:val="18"/>
        </w:rPr>
      </w:pPr>
    </w:p>
    <w:p w14:paraId="24FC0978">
      <w:pPr>
        <w:snapToGrid w:val="0"/>
        <w:spacing w:after="120" w:afterLines="50" w:line="300" w:lineRule="auto"/>
        <w:rPr>
          <w:rFonts w:ascii="Arial" w:hAnsi="Arial" w:eastAsia="宋体" w:cs="Arial"/>
          <w:color w:val="000000"/>
          <w:kern w:val="0"/>
          <w:sz w:val="18"/>
          <w:szCs w:val="18"/>
        </w:rPr>
        <w:sectPr>
          <w:type w:val="continuous"/>
          <w:pgSz w:w="12240" w:h="15840"/>
          <w:pgMar w:top="1134" w:right="1134" w:bottom="1134" w:left="1134" w:header="720" w:footer="720" w:gutter="0"/>
          <w:cols w:space="240" w:num="3"/>
          <w:docGrid w:linePitch="326" w:charSpace="0"/>
        </w:sectPr>
      </w:pPr>
    </w:p>
    <w:p w14:paraId="10B1C5DD">
      <w:pPr>
        <w:snapToGrid w:val="0"/>
        <w:spacing w:after="120" w:afterLines="50" w:line="300" w:lineRule="auto"/>
        <w:jc w:val="center"/>
        <w:rPr>
          <w:rFonts w:ascii="Arial" w:hAnsi="Arial" w:eastAsia="宋体" w:cs="Arial"/>
          <w:color w:val="000000"/>
          <w:kern w:val="0"/>
          <w:sz w:val="18"/>
          <w:szCs w:val="18"/>
        </w:rPr>
      </w:pPr>
      <w:r>
        <w:rPr>
          <w:rFonts w:ascii="Arial" w:hAnsi="Arial" w:eastAsia="宋体" w:cs="Arial"/>
          <w:color w:val="000000"/>
          <w:kern w:val="0"/>
          <w:sz w:val="18"/>
          <w:szCs w:val="18"/>
        </w:rPr>
        <w:t>* 美国国家打印办公室：1984-421-177：10002</w:t>
      </w:r>
    </w:p>
    <w:p w14:paraId="61278DF4">
      <w:pPr>
        <w:widowControl/>
        <w:autoSpaceDE w:val="0"/>
        <w:autoSpaceDN w:val="0"/>
        <w:adjustRightInd w:val="0"/>
        <w:snapToGrid w:val="0"/>
        <w:spacing w:after="240" w:line="300" w:lineRule="auto"/>
        <w:rPr>
          <w:rFonts w:hint="eastAsia" w:eastAsia="等线"/>
          <w:lang w:eastAsia="zh-CN"/>
        </w:rPr>
      </w:pPr>
    </w:p>
    <w:p w14:paraId="5F635CF2">
      <w:pPr>
        <w:widowControl/>
        <w:autoSpaceDE w:val="0"/>
        <w:autoSpaceDN w:val="0"/>
        <w:adjustRightInd w:val="0"/>
        <w:snapToGrid w:val="0"/>
        <w:spacing w:after="240" w:line="300" w:lineRule="auto"/>
        <w:jc w:val="center"/>
        <w:rPr>
          <w:rFonts w:hint="eastAsia" w:eastAsia="等线"/>
          <w:lang w:eastAsia="zh-CN"/>
        </w:rPr>
      </w:pPr>
    </w:p>
    <w:p w14:paraId="1262F51A">
      <w:pPr>
        <w:widowControl/>
        <w:autoSpaceDE w:val="0"/>
        <w:autoSpaceDN w:val="0"/>
        <w:adjustRightInd w:val="0"/>
        <w:snapToGrid w:val="0"/>
        <w:spacing w:after="24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10"/>
                    <a:stretch>
                      <a:fillRect/>
                    </a:stretch>
                  </pic:blipFill>
                  <pic:spPr>
                    <a:xfrm>
                      <a:off x="0" y="0"/>
                      <a:ext cx="5210175" cy="7343775"/>
                    </a:xfrm>
                    <a:prstGeom prst="rect">
                      <a:avLst/>
                    </a:prstGeom>
                  </pic:spPr>
                </pic:pic>
              </a:graphicData>
            </a:graphic>
          </wp:inline>
        </w:drawing>
      </w:r>
    </w:p>
    <w:sectPr>
      <w:type w:val="continuous"/>
      <w:pgSz w:w="12240" w:h="15840"/>
      <w:pgMar w:top="1134" w:right="1134" w:bottom="1134" w:left="1134" w:header="720" w:footer="720" w:gutter="0"/>
      <w:cols w:space="24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entury Schoolbook">
    <w:panose1 w:val="02040604050505020304"/>
    <w:charset w:val="00"/>
    <w:family w:val="roman"/>
    <w:pitch w:val="default"/>
    <w:sig w:usb0="00000287" w:usb1="000000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Kozuka Mincho Pro M">
    <w:panose1 w:val="02020600000000000000"/>
    <w:charset w:val="80"/>
    <w:family w:val="auto"/>
    <w:pitch w:val="default"/>
    <w:sig w:usb0="00000083" w:usb1="2AC71C11" w:usb2="00000012" w:usb3="00000000" w:csb0="2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B9EA4">
    <w:pPr>
      <w:pStyle w:val="3"/>
      <w:jc w:val="center"/>
      <w:rPr>
        <w:rFonts w:ascii="Arial" w:hAnsi="Arial" w:eastAsia="宋体" w:cs="Arial"/>
      </w:rPr>
    </w:pPr>
    <w:r>
      <w:rPr>
        <w:rFonts w:ascii="Arial" w:hAnsi="Arial" w:eastAsia="宋体" w:cs="Arial"/>
      </w:rPr>
      <w:t>联邦公报，43卷，122号-1978年6月23日，星期五</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7946A">
    <w:pPr>
      <w:pStyle w:val="3"/>
      <w:jc w:val="center"/>
      <w:rPr>
        <w:rFonts w:ascii="Arial" w:hAnsi="Arial" w:eastAsia="宋体" w:cs="Arial"/>
      </w:rPr>
    </w:pPr>
    <w:r>
      <w:rPr>
        <w:rFonts w:ascii="Arial" w:hAnsi="Arial" w:eastAsia="宋体" w:cs="Arial"/>
      </w:rPr>
      <w:t>联邦公报，43卷，122号-1978年6月23日，星期五</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2138E">
    <w:pPr>
      <w:pStyle w:val="4"/>
      <w:pBdr>
        <w:bottom w:val="none" w:color="auto" w:sz="0" w:space="0"/>
      </w:pBdr>
      <w:tabs>
        <w:tab w:val="center" w:pos="4802"/>
        <w:tab w:val="clear" w:pos="4153"/>
      </w:tabs>
      <w:ind w:left="4637" w:hanging="4637" w:hangingChars="2566"/>
      <w:jc w:val="right"/>
      <w:rPr>
        <w:rFonts w:ascii="Arial" w:hAnsi="Arial" w:eastAsia="宋体" w:cs="Arial"/>
        <w:b/>
      </w:rPr>
    </w:pPr>
    <w:r>
      <w:rPr>
        <w:rFonts w:ascii="Arial" w:hAnsi="Arial" w:eastAsia="宋体" w:cs="Arial"/>
        <w:b/>
      </w:rPr>
      <w:t>拟定规定</w:t>
    </w:r>
    <w:r>
      <w:rPr>
        <w:rFonts w:ascii="Arial" w:hAnsi="Arial" w:eastAsia="宋体" w:cs="Arial"/>
        <w:b/>
      </w:rPr>
      <w:tab/>
    </w:r>
    <w:r>
      <w:rPr>
        <w:rFonts w:ascii="Arial" w:hAnsi="Arial" w:eastAsia="宋体" w:cs="Arial"/>
      </w:rPr>
      <w:fldChar w:fldCharType="begin"/>
    </w:r>
    <w:r>
      <w:rPr>
        <w:rFonts w:ascii="Arial" w:hAnsi="Arial" w:eastAsia="宋体" w:cs="Arial"/>
      </w:rPr>
      <w:instrText xml:space="preserve">PAGE   \* MERGEFORMAT</w:instrText>
    </w:r>
    <w:r>
      <w:rPr>
        <w:rFonts w:ascii="Arial" w:hAnsi="Arial" w:eastAsia="宋体" w:cs="Arial"/>
      </w:rPr>
      <w:fldChar w:fldCharType="separate"/>
    </w:r>
    <w:r>
      <w:rPr>
        <w:rFonts w:ascii="Arial" w:hAnsi="Arial" w:eastAsia="宋体" w:cs="Arial"/>
        <w:lang w:val="zh-CN"/>
      </w:rPr>
      <w:t>27483</w:t>
    </w:r>
    <w:r>
      <w:rPr>
        <w:rFonts w:ascii="Arial" w:hAnsi="Arial" w:eastAsia="宋体"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27229">
    <w:pPr>
      <w:pStyle w:val="4"/>
      <w:pBdr>
        <w:bottom w:val="none" w:color="auto" w:sz="0" w:space="0"/>
      </w:pBdr>
      <w:tabs>
        <w:tab w:val="center" w:pos="4802"/>
        <w:tab w:val="clear" w:pos="4153"/>
      </w:tabs>
      <w:ind w:left="4619" w:hanging="4618" w:hangingChars="2566"/>
      <w:jc w:val="left"/>
    </w:pPr>
    <w:r>
      <w:rPr>
        <w:rFonts w:ascii="Arial" w:hAnsi="Arial" w:eastAsia="宋体" w:cs="Arial"/>
      </w:rPr>
      <w:fldChar w:fldCharType="begin"/>
    </w:r>
    <w:r>
      <w:rPr>
        <w:rFonts w:ascii="Arial" w:hAnsi="Arial" w:eastAsia="宋体" w:cs="Arial"/>
      </w:rPr>
      <w:instrText xml:space="preserve">PAGE   \* MERGEFORMAT</w:instrText>
    </w:r>
    <w:r>
      <w:rPr>
        <w:rFonts w:ascii="Arial" w:hAnsi="Arial" w:eastAsia="宋体" w:cs="Arial"/>
      </w:rPr>
      <w:fldChar w:fldCharType="separate"/>
    </w:r>
    <w:r>
      <w:rPr>
        <w:rFonts w:ascii="Arial" w:hAnsi="Arial" w:eastAsia="宋体" w:cs="Arial"/>
        <w:lang w:val="zh-CN"/>
      </w:rPr>
      <w:t>27482</w:t>
    </w:r>
    <w:r>
      <w:rPr>
        <w:rFonts w:ascii="Arial" w:hAnsi="Arial" w:eastAsia="宋体" w:cs="Arial"/>
      </w:rPr>
      <w:fldChar w:fldCharType="end"/>
    </w:r>
    <w:r>
      <w:rPr>
        <w:rFonts w:ascii="Arial" w:hAnsi="Arial" w:eastAsia="宋体" w:cs="Arial"/>
      </w:rPr>
      <w:tab/>
    </w:r>
    <w:r>
      <w:rPr>
        <w:rFonts w:ascii="Arial" w:hAnsi="Arial" w:eastAsia="宋体" w:cs="Arial"/>
        <w:b/>
      </w:rPr>
      <w:t>拟定规定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42767"/>
    <w:multiLevelType w:val="multilevel"/>
    <w:tmpl w:val="0C042767"/>
    <w:lvl w:ilvl="0" w:tentative="0">
      <w:start w:val="1"/>
      <w:numFmt w:val="lowerLetter"/>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0FDB6E5A"/>
    <w:multiLevelType w:val="multilevel"/>
    <w:tmpl w:val="0FDB6E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504CDF"/>
    <w:multiLevelType w:val="multilevel"/>
    <w:tmpl w:val="12504CDF"/>
    <w:lvl w:ilvl="0" w:tentative="0">
      <w:start w:val="1"/>
      <w:numFmt w:val="lowerLetter"/>
      <w:lvlText w:val="(%1)"/>
      <w:lvlJc w:val="left"/>
      <w:pPr>
        <w:ind w:left="1905" w:hanging="1065"/>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1BF005BF"/>
    <w:multiLevelType w:val="multilevel"/>
    <w:tmpl w:val="1BF005B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FD058C"/>
    <w:multiLevelType w:val="multilevel"/>
    <w:tmpl w:val="2DFD058C"/>
    <w:lvl w:ilvl="0" w:tentative="0">
      <w:start w:val="1"/>
      <w:numFmt w:val="upperLetter"/>
      <w:lvlText w:val="%1."/>
      <w:lvlJc w:val="left"/>
      <w:pPr>
        <w:ind w:left="420" w:hanging="42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5117D09"/>
    <w:multiLevelType w:val="multilevel"/>
    <w:tmpl w:val="35117D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5D449BD"/>
    <w:multiLevelType w:val="multilevel"/>
    <w:tmpl w:val="35D449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01535F7"/>
    <w:multiLevelType w:val="multilevel"/>
    <w:tmpl w:val="401535F7"/>
    <w:lvl w:ilvl="0" w:tentative="0">
      <w:start w:val="1"/>
      <w:numFmt w:val="decimal"/>
      <w:lvlText w:val="%1."/>
      <w:lvlJc w:val="left"/>
      <w:pPr>
        <w:ind w:left="360" w:hanging="360"/>
      </w:pPr>
      <w:rPr>
        <w:rFonts w:hint="default"/>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2BE3CAB"/>
    <w:multiLevelType w:val="multilevel"/>
    <w:tmpl w:val="42BE3CAB"/>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C2960E4"/>
    <w:multiLevelType w:val="multilevel"/>
    <w:tmpl w:val="5C2960E4"/>
    <w:lvl w:ilvl="0" w:tentative="0">
      <w:start w:val="1"/>
      <w:numFmt w:val="decimal"/>
      <w:lvlText w:val="%1."/>
      <w:lvlJc w:val="left"/>
      <w:pPr>
        <w:ind w:left="360" w:hanging="360"/>
      </w:pPr>
      <w:rPr>
        <w:rFonts w:hint="default"/>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C0C5433"/>
    <w:multiLevelType w:val="multilevel"/>
    <w:tmpl w:val="6C0C5433"/>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C4678A4"/>
    <w:multiLevelType w:val="multilevel"/>
    <w:tmpl w:val="6C4678A4"/>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1"/>
  </w:num>
  <w:num w:numId="3">
    <w:abstractNumId w:val="1"/>
  </w:num>
  <w:num w:numId="4">
    <w:abstractNumId w:val="9"/>
  </w:num>
  <w:num w:numId="5">
    <w:abstractNumId w:val="3"/>
  </w:num>
  <w:num w:numId="6">
    <w:abstractNumId w:val="4"/>
  </w:num>
  <w:num w:numId="7">
    <w:abstractNumId w:val="6"/>
  </w:num>
  <w:num w:numId="8">
    <w:abstractNumId w:val="7"/>
  </w:num>
  <w:num w:numId="9">
    <w:abstractNumId w:val="10"/>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32E"/>
    <w:rsid w:val="00014942"/>
    <w:rsid w:val="00015BCB"/>
    <w:rsid w:val="00017E1A"/>
    <w:rsid w:val="00022785"/>
    <w:rsid w:val="00046D2F"/>
    <w:rsid w:val="00047DE1"/>
    <w:rsid w:val="0005047A"/>
    <w:rsid w:val="000707EC"/>
    <w:rsid w:val="00075EA7"/>
    <w:rsid w:val="000776DF"/>
    <w:rsid w:val="000837F1"/>
    <w:rsid w:val="00084458"/>
    <w:rsid w:val="00085264"/>
    <w:rsid w:val="000B6889"/>
    <w:rsid w:val="000C6A68"/>
    <w:rsid w:val="000D2BDC"/>
    <w:rsid w:val="000D30CC"/>
    <w:rsid w:val="000D32C9"/>
    <w:rsid w:val="000E14AD"/>
    <w:rsid w:val="000E5171"/>
    <w:rsid w:val="000F4C3B"/>
    <w:rsid w:val="00100EFC"/>
    <w:rsid w:val="00101A19"/>
    <w:rsid w:val="00103FF6"/>
    <w:rsid w:val="0010798F"/>
    <w:rsid w:val="00130D66"/>
    <w:rsid w:val="0013207C"/>
    <w:rsid w:val="0014005D"/>
    <w:rsid w:val="00141D7C"/>
    <w:rsid w:val="001524F3"/>
    <w:rsid w:val="00153AAA"/>
    <w:rsid w:val="001544C8"/>
    <w:rsid w:val="00162599"/>
    <w:rsid w:val="00165037"/>
    <w:rsid w:val="00166AB5"/>
    <w:rsid w:val="00171152"/>
    <w:rsid w:val="00173600"/>
    <w:rsid w:val="00184E3C"/>
    <w:rsid w:val="00194275"/>
    <w:rsid w:val="00196B73"/>
    <w:rsid w:val="001A1F79"/>
    <w:rsid w:val="001A2D89"/>
    <w:rsid w:val="001A3423"/>
    <w:rsid w:val="001B10D0"/>
    <w:rsid w:val="001B79A9"/>
    <w:rsid w:val="001C7761"/>
    <w:rsid w:val="001D2CAA"/>
    <w:rsid w:val="001E29A6"/>
    <w:rsid w:val="001F1481"/>
    <w:rsid w:val="001F178C"/>
    <w:rsid w:val="00203E80"/>
    <w:rsid w:val="00206976"/>
    <w:rsid w:val="0021517A"/>
    <w:rsid w:val="00216FF1"/>
    <w:rsid w:val="00226246"/>
    <w:rsid w:val="00232C16"/>
    <w:rsid w:val="00232C19"/>
    <w:rsid w:val="00233387"/>
    <w:rsid w:val="002541BA"/>
    <w:rsid w:val="00272C8A"/>
    <w:rsid w:val="00285962"/>
    <w:rsid w:val="00291FF4"/>
    <w:rsid w:val="00292C51"/>
    <w:rsid w:val="002940EC"/>
    <w:rsid w:val="00297C1F"/>
    <w:rsid w:val="002C71AD"/>
    <w:rsid w:val="002D1DC4"/>
    <w:rsid w:val="002D751C"/>
    <w:rsid w:val="002E1B0D"/>
    <w:rsid w:val="002E7557"/>
    <w:rsid w:val="00317F2C"/>
    <w:rsid w:val="0032215F"/>
    <w:rsid w:val="00337EAB"/>
    <w:rsid w:val="00344AFA"/>
    <w:rsid w:val="003457FE"/>
    <w:rsid w:val="00353B21"/>
    <w:rsid w:val="00357C6C"/>
    <w:rsid w:val="003620FD"/>
    <w:rsid w:val="00363091"/>
    <w:rsid w:val="00366C9E"/>
    <w:rsid w:val="003747BF"/>
    <w:rsid w:val="0037728B"/>
    <w:rsid w:val="00386F0D"/>
    <w:rsid w:val="0038720F"/>
    <w:rsid w:val="003910FA"/>
    <w:rsid w:val="0039417C"/>
    <w:rsid w:val="003A6B9E"/>
    <w:rsid w:val="003C4CAA"/>
    <w:rsid w:val="003C5C30"/>
    <w:rsid w:val="003D33C9"/>
    <w:rsid w:val="003D628B"/>
    <w:rsid w:val="003E22B5"/>
    <w:rsid w:val="003F0F9D"/>
    <w:rsid w:val="003F3B07"/>
    <w:rsid w:val="003F4852"/>
    <w:rsid w:val="003F6890"/>
    <w:rsid w:val="003F7C5D"/>
    <w:rsid w:val="00400A28"/>
    <w:rsid w:val="00406F32"/>
    <w:rsid w:val="00410CB4"/>
    <w:rsid w:val="0041161F"/>
    <w:rsid w:val="00411695"/>
    <w:rsid w:val="004149F7"/>
    <w:rsid w:val="0041767B"/>
    <w:rsid w:val="00427E7F"/>
    <w:rsid w:val="00433097"/>
    <w:rsid w:val="0043354A"/>
    <w:rsid w:val="004344A4"/>
    <w:rsid w:val="00440966"/>
    <w:rsid w:val="0044205D"/>
    <w:rsid w:val="0044442E"/>
    <w:rsid w:val="00447D86"/>
    <w:rsid w:val="00452C87"/>
    <w:rsid w:val="00453857"/>
    <w:rsid w:val="00470689"/>
    <w:rsid w:val="00481642"/>
    <w:rsid w:val="00481F16"/>
    <w:rsid w:val="00485BA3"/>
    <w:rsid w:val="00487A25"/>
    <w:rsid w:val="004B3461"/>
    <w:rsid w:val="004C7382"/>
    <w:rsid w:val="004D5C4B"/>
    <w:rsid w:val="004F5805"/>
    <w:rsid w:val="00500D2B"/>
    <w:rsid w:val="0050163F"/>
    <w:rsid w:val="005101BB"/>
    <w:rsid w:val="005248A9"/>
    <w:rsid w:val="0054576E"/>
    <w:rsid w:val="00546888"/>
    <w:rsid w:val="005660B1"/>
    <w:rsid w:val="00566A69"/>
    <w:rsid w:val="00567F74"/>
    <w:rsid w:val="00575364"/>
    <w:rsid w:val="005761FF"/>
    <w:rsid w:val="005B3A3F"/>
    <w:rsid w:val="005C0E03"/>
    <w:rsid w:val="005C64B3"/>
    <w:rsid w:val="005E1056"/>
    <w:rsid w:val="005E1A13"/>
    <w:rsid w:val="005F3E9E"/>
    <w:rsid w:val="00622FB8"/>
    <w:rsid w:val="006232C6"/>
    <w:rsid w:val="00635625"/>
    <w:rsid w:val="00640773"/>
    <w:rsid w:val="0067238F"/>
    <w:rsid w:val="0067256A"/>
    <w:rsid w:val="00673A03"/>
    <w:rsid w:val="00684EFA"/>
    <w:rsid w:val="00693587"/>
    <w:rsid w:val="00695865"/>
    <w:rsid w:val="006B72FA"/>
    <w:rsid w:val="006C63B9"/>
    <w:rsid w:val="006C6B5E"/>
    <w:rsid w:val="006D0AA5"/>
    <w:rsid w:val="006E761E"/>
    <w:rsid w:val="006F6B23"/>
    <w:rsid w:val="006F6B99"/>
    <w:rsid w:val="00706037"/>
    <w:rsid w:val="00714A9A"/>
    <w:rsid w:val="00720A9C"/>
    <w:rsid w:val="0072195E"/>
    <w:rsid w:val="00726D57"/>
    <w:rsid w:val="00727755"/>
    <w:rsid w:val="00756CD0"/>
    <w:rsid w:val="007600FD"/>
    <w:rsid w:val="00760C4B"/>
    <w:rsid w:val="00762567"/>
    <w:rsid w:val="00762B9D"/>
    <w:rsid w:val="00773D43"/>
    <w:rsid w:val="0077490F"/>
    <w:rsid w:val="00775032"/>
    <w:rsid w:val="0077677A"/>
    <w:rsid w:val="0078467F"/>
    <w:rsid w:val="00785865"/>
    <w:rsid w:val="00790FD9"/>
    <w:rsid w:val="007926A7"/>
    <w:rsid w:val="00797296"/>
    <w:rsid w:val="007A4C22"/>
    <w:rsid w:val="007B66D9"/>
    <w:rsid w:val="007B710D"/>
    <w:rsid w:val="007B7E76"/>
    <w:rsid w:val="007C5ED5"/>
    <w:rsid w:val="007D06EF"/>
    <w:rsid w:val="007E342D"/>
    <w:rsid w:val="00804990"/>
    <w:rsid w:val="008124CF"/>
    <w:rsid w:val="00812783"/>
    <w:rsid w:val="00814EA8"/>
    <w:rsid w:val="00825ECE"/>
    <w:rsid w:val="00826FC4"/>
    <w:rsid w:val="00836B2C"/>
    <w:rsid w:val="00841318"/>
    <w:rsid w:val="00851E84"/>
    <w:rsid w:val="008522DA"/>
    <w:rsid w:val="0085348D"/>
    <w:rsid w:val="0086320B"/>
    <w:rsid w:val="00886E31"/>
    <w:rsid w:val="00890890"/>
    <w:rsid w:val="008B490F"/>
    <w:rsid w:val="008B719B"/>
    <w:rsid w:val="008C7CC3"/>
    <w:rsid w:val="008C7DD0"/>
    <w:rsid w:val="008D139E"/>
    <w:rsid w:val="008D3196"/>
    <w:rsid w:val="008D7665"/>
    <w:rsid w:val="008E6730"/>
    <w:rsid w:val="008F52FC"/>
    <w:rsid w:val="009009ED"/>
    <w:rsid w:val="00910D97"/>
    <w:rsid w:val="00917D3E"/>
    <w:rsid w:val="00922C96"/>
    <w:rsid w:val="00923D28"/>
    <w:rsid w:val="0093528F"/>
    <w:rsid w:val="00937737"/>
    <w:rsid w:val="00937A10"/>
    <w:rsid w:val="00945581"/>
    <w:rsid w:val="009521B4"/>
    <w:rsid w:val="009529C9"/>
    <w:rsid w:val="0095631F"/>
    <w:rsid w:val="009618DB"/>
    <w:rsid w:val="00963351"/>
    <w:rsid w:val="00965FCB"/>
    <w:rsid w:val="00990719"/>
    <w:rsid w:val="00992045"/>
    <w:rsid w:val="0099529F"/>
    <w:rsid w:val="009A0B80"/>
    <w:rsid w:val="009A101C"/>
    <w:rsid w:val="009A53F1"/>
    <w:rsid w:val="009A59E1"/>
    <w:rsid w:val="009B1F1D"/>
    <w:rsid w:val="009B275E"/>
    <w:rsid w:val="009C526C"/>
    <w:rsid w:val="009D4C86"/>
    <w:rsid w:val="009E0478"/>
    <w:rsid w:val="009E1579"/>
    <w:rsid w:val="009E1E48"/>
    <w:rsid w:val="009E572A"/>
    <w:rsid w:val="009F057E"/>
    <w:rsid w:val="009F58B1"/>
    <w:rsid w:val="00A008A2"/>
    <w:rsid w:val="00A05B95"/>
    <w:rsid w:val="00A07001"/>
    <w:rsid w:val="00A205C5"/>
    <w:rsid w:val="00A20F25"/>
    <w:rsid w:val="00A22583"/>
    <w:rsid w:val="00A22B94"/>
    <w:rsid w:val="00A26013"/>
    <w:rsid w:val="00A2620F"/>
    <w:rsid w:val="00A52FC4"/>
    <w:rsid w:val="00A55788"/>
    <w:rsid w:val="00A55B21"/>
    <w:rsid w:val="00A65FFD"/>
    <w:rsid w:val="00A70EAB"/>
    <w:rsid w:val="00A83024"/>
    <w:rsid w:val="00A85A3A"/>
    <w:rsid w:val="00A913BA"/>
    <w:rsid w:val="00A947F3"/>
    <w:rsid w:val="00A96FB4"/>
    <w:rsid w:val="00AA4A1E"/>
    <w:rsid w:val="00AB5320"/>
    <w:rsid w:val="00AB58E0"/>
    <w:rsid w:val="00AB7F55"/>
    <w:rsid w:val="00AC14B7"/>
    <w:rsid w:val="00AC1595"/>
    <w:rsid w:val="00AC7B9C"/>
    <w:rsid w:val="00B01E70"/>
    <w:rsid w:val="00B11765"/>
    <w:rsid w:val="00B2141B"/>
    <w:rsid w:val="00B35ECB"/>
    <w:rsid w:val="00B4755D"/>
    <w:rsid w:val="00B5532E"/>
    <w:rsid w:val="00B564C1"/>
    <w:rsid w:val="00B6580C"/>
    <w:rsid w:val="00B82A65"/>
    <w:rsid w:val="00B830B7"/>
    <w:rsid w:val="00B90905"/>
    <w:rsid w:val="00BA5311"/>
    <w:rsid w:val="00BC2CEB"/>
    <w:rsid w:val="00BC39BA"/>
    <w:rsid w:val="00BC6F88"/>
    <w:rsid w:val="00BC7B08"/>
    <w:rsid w:val="00BD0D1E"/>
    <w:rsid w:val="00BE066C"/>
    <w:rsid w:val="00C211B1"/>
    <w:rsid w:val="00C247B5"/>
    <w:rsid w:val="00C27632"/>
    <w:rsid w:val="00C46822"/>
    <w:rsid w:val="00C57451"/>
    <w:rsid w:val="00C63CBC"/>
    <w:rsid w:val="00C75D30"/>
    <w:rsid w:val="00C90762"/>
    <w:rsid w:val="00C90D94"/>
    <w:rsid w:val="00C913D1"/>
    <w:rsid w:val="00C9574F"/>
    <w:rsid w:val="00CA1ED4"/>
    <w:rsid w:val="00CA6380"/>
    <w:rsid w:val="00CB1D6C"/>
    <w:rsid w:val="00CB440C"/>
    <w:rsid w:val="00CB6115"/>
    <w:rsid w:val="00CC2B5D"/>
    <w:rsid w:val="00CC31AD"/>
    <w:rsid w:val="00CD3922"/>
    <w:rsid w:val="00CF7CF5"/>
    <w:rsid w:val="00D01B52"/>
    <w:rsid w:val="00D04EE8"/>
    <w:rsid w:val="00D10ECD"/>
    <w:rsid w:val="00D11414"/>
    <w:rsid w:val="00D22537"/>
    <w:rsid w:val="00D25DFC"/>
    <w:rsid w:val="00D2728F"/>
    <w:rsid w:val="00D3261A"/>
    <w:rsid w:val="00D52B31"/>
    <w:rsid w:val="00D602FB"/>
    <w:rsid w:val="00D6496E"/>
    <w:rsid w:val="00D675E8"/>
    <w:rsid w:val="00D734B5"/>
    <w:rsid w:val="00D7427A"/>
    <w:rsid w:val="00D80996"/>
    <w:rsid w:val="00D8228F"/>
    <w:rsid w:val="00D822B7"/>
    <w:rsid w:val="00D93DAF"/>
    <w:rsid w:val="00DA4672"/>
    <w:rsid w:val="00DB261E"/>
    <w:rsid w:val="00DC0D1C"/>
    <w:rsid w:val="00DC5B23"/>
    <w:rsid w:val="00DC5E78"/>
    <w:rsid w:val="00DC6D49"/>
    <w:rsid w:val="00DD3823"/>
    <w:rsid w:val="00DE2CBF"/>
    <w:rsid w:val="00DE78EB"/>
    <w:rsid w:val="00E02B2F"/>
    <w:rsid w:val="00E115CE"/>
    <w:rsid w:val="00E1319B"/>
    <w:rsid w:val="00E223CE"/>
    <w:rsid w:val="00E34E5E"/>
    <w:rsid w:val="00E43186"/>
    <w:rsid w:val="00E5074A"/>
    <w:rsid w:val="00E51D6A"/>
    <w:rsid w:val="00E8129F"/>
    <w:rsid w:val="00E81D12"/>
    <w:rsid w:val="00E8518C"/>
    <w:rsid w:val="00E959A2"/>
    <w:rsid w:val="00EA5B4B"/>
    <w:rsid w:val="00EA5CCC"/>
    <w:rsid w:val="00EA637D"/>
    <w:rsid w:val="00EA6B58"/>
    <w:rsid w:val="00EB0AC9"/>
    <w:rsid w:val="00EB5C51"/>
    <w:rsid w:val="00EC6AB2"/>
    <w:rsid w:val="00ED0213"/>
    <w:rsid w:val="00ED04CB"/>
    <w:rsid w:val="00ED2C8C"/>
    <w:rsid w:val="00ED2CD6"/>
    <w:rsid w:val="00ED4864"/>
    <w:rsid w:val="00ED58D7"/>
    <w:rsid w:val="00EF38CD"/>
    <w:rsid w:val="00F0186E"/>
    <w:rsid w:val="00F039F3"/>
    <w:rsid w:val="00F0525C"/>
    <w:rsid w:val="00F25537"/>
    <w:rsid w:val="00F3022B"/>
    <w:rsid w:val="00F41822"/>
    <w:rsid w:val="00F4711D"/>
    <w:rsid w:val="00F53047"/>
    <w:rsid w:val="00F5703D"/>
    <w:rsid w:val="00F67D09"/>
    <w:rsid w:val="00F82C3B"/>
    <w:rsid w:val="00F85198"/>
    <w:rsid w:val="00F914A3"/>
    <w:rsid w:val="00F93E69"/>
    <w:rsid w:val="00FA365A"/>
    <w:rsid w:val="00FA7D61"/>
    <w:rsid w:val="00FC184A"/>
    <w:rsid w:val="00FC20DB"/>
    <w:rsid w:val="00FC6951"/>
    <w:rsid w:val="00FC7D24"/>
    <w:rsid w:val="00FD0B99"/>
    <w:rsid w:val="00FE1E50"/>
    <w:rsid w:val="00FE248B"/>
    <w:rsid w:val="4A004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web-item2"/>
    <w:basedOn w:val="7"/>
    <w:qFormat/>
    <w:uiPriority w:val="0"/>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uiPriority w:val="99"/>
    <w:rPr>
      <w:sz w:val="18"/>
      <w:szCs w:val="18"/>
    </w:rPr>
  </w:style>
  <w:style w:type="character" w:customStyle="1" w:styleId="12">
    <w:name w:val="批注框文本 Char"/>
    <w:basedOn w:val="7"/>
    <w:link w:val="2"/>
    <w:semiHidden/>
    <w:uiPriority w:val="99"/>
    <w:rPr>
      <w:sz w:val="18"/>
      <w:szCs w:val="18"/>
    </w:rPr>
  </w:style>
  <w:style w:type="character" w:customStyle="1" w:styleId="13">
    <w:name w:val="正文文本 (9)_"/>
    <w:basedOn w:val="7"/>
    <w:link w:val="14"/>
    <w:uiPriority w:val="0"/>
    <w:rPr>
      <w:rFonts w:ascii="Century Schoolbook" w:hAnsi="Century Schoolbook" w:eastAsia="Century Schoolbook" w:cs="Century Schoolbook"/>
      <w:spacing w:val="-8"/>
      <w:sz w:val="14"/>
      <w:szCs w:val="14"/>
      <w:shd w:val="clear" w:color="auto" w:fill="FFFFFF"/>
    </w:rPr>
  </w:style>
  <w:style w:type="paragraph" w:customStyle="1" w:styleId="14">
    <w:name w:val="正文文本 (9)"/>
    <w:basedOn w:val="1"/>
    <w:link w:val="13"/>
    <w:uiPriority w:val="0"/>
    <w:pPr>
      <w:widowControl/>
      <w:shd w:val="clear" w:color="auto" w:fill="FFFFFF"/>
      <w:spacing w:after="60" w:line="259" w:lineRule="exact"/>
      <w:ind w:hanging="200"/>
      <w:jc w:val="center"/>
    </w:pPr>
    <w:rPr>
      <w:rFonts w:ascii="Century Schoolbook" w:hAnsi="Century Schoolbook" w:eastAsia="Century Schoolbook" w:cs="Century Schoolbook"/>
      <w:spacing w:val="-8"/>
      <w:sz w:val="14"/>
      <w:szCs w:val="14"/>
    </w:rPr>
  </w:style>
  <w:style w:type="character" w:customStyle="1" w:styleId="15">
    <w:name w:val="正文文本 (9) + 斜体"/>
    <w:basedOn w:val="13"/>
    <w:qFormat/>
    <w:uiPriority w:val="0"/>
    <w:rPr>
      <w:rFonts w:ascii="Century Schoolbook" w:hAnsi="Century Schoolbook" w:eastAsia="Century Schoolbook" w:cs="Century Schoolbook"/>
      <w:i/>
      <w:iCs/>
      <w:spacing w:val="-10"/>
      <w:sz w:val="14"/>
      <w:szCs w:val="14"/>
      <w:shd w:val="clear" w:color="auto" w:fill="FFFFFF"/>
    </w:rPr>
  </w:style>
  <w:style w:type="character" w:customStyle="1" w:styleId="16">
    <w:name w:val="正文文本 (12)_"/>
    <w:basedOn w:val="7"/>
    <w:link w:val="17"/>
    <w:uiPriority w:val="0"/>
    <w:rPr>
      <w:rFonts w:ascii="Century Schoolbook" w:hAnsi="Century Schoolbook" w:eastAsia="Century Schoolbook" w:cs="Century Schoolbook"/>
      <w:spacing w:val="-10"/>
      <w:sz w:val="14"/>
      <w:szCs w:val="14"/>
      <w:shd w:val="clear" w:color="auto" w:fill="FFFFFF"/>
    </w:rPr>
  </w:style>
  <w:style w:type="paragraph" w:customStyle="1" w:styleId="17">
    <w:name w:val="正文文本 (12)"/>
    <w:basedOn w:val="1"/>
    <w:link w:val="16"/>
    <w:qFormat/>
    <w:uiPriority w:val="0"/>
    <w:pPr>
      <w:widowControl/>
      <w:shd w:val="clear" w:color="auto" w:fill="FFFFFF"/>
      <w:spacing w:after="60" w:line="0" w:lineRule="atLeast"/>
    </w:pPr>
    <w:rPr>
      <w:rFonts w:ascii="Century Schoolbook" w:hAnsi="Century Schoolbook" w:eastAsia="Century Schoolbook" w:cs="Century Schoolbook"/>
      <w:spacing w:val="-10"/>
      <w:sz w:val="14"/>
      <w:szCs w:val="14"/>
    </w:rPr>
  </w:style>
  <w:style w:type="character" w:customStyle="1" w:styleId="18">
    <w:name w:val="正文文本 (12) + 非斜体"/>
    <w:basedOn w:val="16"/>
    <w:uiPriority w:val="0"/>
    <w:rPr>
      <w:rFonts w:ascii="Century Schoolbook" w:hAnsi="Century Schoolbook" w:eastAsia="Century Schoolbook" w:cs="Century Schoolbook"/>
      <w:i/>
      <w:iCs/>
      <w:spacing w:val="-8"/>
      <w:sz w:val="14"/>
      <w:szCs w:val="14"/>
      <w:shd w:val="clear" w:color="auto" w:fill="FFFFFF"/>
    </w:rPr>
  </w:style>
  <w:style w:type="character" w:customStyle="1" w:styleId="19">
    <w:name w:val="正文文本 (9) + Trebuchet MS"/>
    <w:basedOn w:val="13"/>
    <w:qFormat/>
    <w:uiPriority w:val="0"/>
    <w:rPr>
      <w:rFonts w:ascii="Trebuchet MS" w:hAnsi="Trebuchet MS" w:eastAsia="Trebuchet MS" w:cs="Trebuchet MS"/>
      <w:b/>
      <w:bCs/>
      <w:spacing w:val="-5"/>
      <w:sz w:val="14"/>
      <w:szCs w:val="14"/>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4313</Words>
  <Characters>4851</Characters>
  <Lines>228</Lines>
  <Paragraphs>64</Paragraphs>
  <TotalTime>0</TotalTime>
  <ScaleCrop>false</ScaleCrop>
  <LinksUpToDate>false</LinksUpToDate>
  <CharactersWithSpaces>4886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2017-06-05T11:13:00Z</dcterms:created>
  <dc:creator>Microsoft Office 用户</dc:creator>
  <cp:lastModifiedBy>太极箫客</cp:lastModifiedBy>
  <dcterms:modified xsi:type="dcterms:W3CDTF">2025-08-14T07:05:23Z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BDF99B9D666B47CE8FF0B08F33424F0C_12</vt:lpwstr>
  </property>
</Properties>
</file>