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D7A9">
      <w:pPr>
        <w:spacing w:before="156" w:beforeLines="50" w:after="156" w:afterLines="50" w:line="360" w:lineRule="auto"/>
        <w:rPr>
          <w:rFonts w:eastAsia="黑体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>附录I</w:t>
      </w:r>
    </w:p>
    <w:p w14:paraId="19C9BFA4">
      <w:pPr>
        <w:spacing w:before="156" w:beforeLines="50" w:after="156" w:afterLines="50"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独立软件产品技术要求模板</w:t>
      </w:r>
    </w:p>
    <w:p w14:paraId="0B3E7CA4">
      <w:pPr>
        <w:spacing w:before="156" w:beforeLines="50" w:after="156" w:afterLines="50" w:line="360" w:lineRule="auto"/>
        <w:rPr>
          <w:rFonts w:eastAsia="仿宋_GB2312"/>
          <w:b/>
          <w:sz w:val="32"/>
          <w:szCs w:val="32"/>
        </w:rPr>
      </w:pPr>
    </w:p>
    <w:p w14:paraId="1920B36C">
      <w:pPr>
        <w:widowControl/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医疗器械产品技术要求</w:t>
      </w:r>
    </w:p>
    <w:p w14:paraId="1401BF56">
      <w:pPr>
        <w:spacing w:line="360" w:lineRule="auto"/>
        <w:jc w:val="center"/>
        <w:rPr>
          <w:kern w:val="0"/>
          <w:sz w:val="24"/>
        </w:rPr>
      </w:pPr>
    </w:p>
    <w:p w14:paraId="722289CB">
      <w:pPr>
        <w:spacing w:line="500" w:lineRule="exact"/>
        <w:rPr>
          <w:kern w:val="0"/>
          <w:sz w:val="24"/>
        </w:rPr>
      </w:pPr>
      <w:r>
        <w:rPr>
          <w:b/>
          <w:bCs/>
          <w:kern w:val="0"/>
          <w:sz w:val="24"/>
        </w:rPr>
        <w:t>医疗器械产品技术要求编号</w:t>
      </w:r>
      <w:r>
        <w:rPr>
          <w:kern w:val="0"/>
          <w:sz w:val="24"/>
        </w:rPr>
        <w:t>：</w:t>
      </w:r>
    </w:p>
    <w:p w14:paraId="4E4D8838">
      <w:pPr>
        <w:spacing w:line="500" w:lineRule="exact"/>
        <w:jc w:val="center"/>
        <w:rPr>
          <w:kern w:val="0"/>
          <w:sz w:val="24"/>
        </w:rPr>
      </w:pPr>
    </w:p>
    <w:p w14:paraId="0FD9DB06">
      <w:pPr>
        <w:spacing w:line="500" w:lineRule="exact"/>
        <w:jc w:val="center"/>
        <w:rPr>
          <w:sz w:val="36"/>
          <w:szCs w:val="36"/>
        </w:rPr>
      </w:pPr>
      <w:r>
        <w:rPr>
          <w:b/>
          <w:bCs/>
          <w:kern w:val="0"/>
          <w:sz w:val="36"/>
          <w:szCs w:val="36"/>
        </w:rPr>
        <w:t>产品名称</w:t>
      </w:r>
    </w:p>
    <w:p w14:paraId="0EB65B76">
      <w:pPr>
        <w:spacing w:line="460" w:lineRule="exact"/>
        <w:jc w:val="center"/>
        <w:rPr>
          <w:kern w:val="0"/>
          <w:sz w:val="36"/>
          <w:szCs w:val="36"/>
        </w:rPr>
      </w:pPr>
    </w:p>
    <w:p w14:paraId="7D964191">
      <w:pPr>
        <w:spacing w:line="460" w:lineRule="exac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1. 产品型号/规格及其划分说明</w:t>
      </w:r>
    </w:p>
    <w:p w14:paraId="582643F9">
      <w:pPr>
        <w:spacing w:line="460" w:lineRule="exact"/>
        <w:rPr>
          <w:sz w:val="24"/>
        </w:rPr>
      </w:pPr>
      <w:r>
        <w:rPr>
          <w:sz w:val="24"/>
        </w:rPr>
        <w:t>1.1 软件型号规格</w:t>
      </w:r>
    </w:p>
    <w:p w14:paraId="569D6917">
      <w:pPr>
        <w:spacing w:line="460" w:lineRule="exact"/>
        <w:rPr>
          <w:sz w:val="24"/>
        </w:rPr>
      </w:pPr>
      <w:r>
        <w:rPr>
          <w:sz w:val="24"/>
        </w:rPr>
        <w:t>1.2 软件发布版本</w:t>
      </w:r>
    </w:p>
    <w:p w14:paraId="02FFF6E1">
      <w:pPr>
        <w:spacing w:line="460" w:lineRule="exact"/>
        <w:rPr>
          <w:sz w:val="24"/>
        </w:rPr>
      </w:pPr>
      <w:r>
        <w:rPr>
          <w:sz w:val="24"/>
        </w:rPr>
        <w:t>1.3 版本命名规则</w:t>
      </w:r>
    </w:p>
    <w:p w14:paraId="7F4DBCD3">
      <w:pPr>
        <w:spacing w:line="460" w:lineRule="exact"/>
        <w:rPr>
          <w:sz w:val="24"/>
        </w:rPr>
      </w:pPr>
      <w:r>
        <w:rPr>
          <w:sz w:val="24"/>
        </w:rPr>
        <w:t>明确软件完整版本的全部字段及字段含义</w:t>
      </w:r>
    </w:p>
    <w:p w14:paraId="5DE32AC0">
      <w:pPr>
        <w:spacing w:line="460" w:lineRule="exact"/>
        <w:rPr>
          <w:sz w:val="24"/>
        </w:rPr>
      </w:pPr>
    </w:p>
    <w:p w14:paraId="63231A3B">
      <w:pPr>
        <w:spacing w:line="460" w:lineRule="exact"/>
        <w:rPr>
          <w:kern w:val="0"/>
          <w:sz w:val="24"/>
        </w:rPr>
      </w:pPr>
      <w:r>
        <w:rPr>
          <w:b/>
          <w:bCs/>
          <w:kern w:val="0"/>
          <w:sz w:val="24"/>
        </w:rPr>
        <w:t>2. 性能指标</w:t>
      </w:r>
    </w:p>
    <w:p w14:paraId="72609E7A">
      <w:pPr>
        <w:spacing w:line="360" w:lineRule="auto"/>
        <w:rPr>
          <w:sz w:val="24"/>
        </w:rPr>
      </w:pPr>
      <w:r>
        <w:rPr>
          <w:kern w:val="0"/>
          <w:sz w:val="24"/>
        </w:rPr>
        <w:t>2.1 通用要求</w:t>
      </w:r>
    </w:p>
    <w:p w14:paraId="532C3B0B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 处理对象</w:t>
      </w:r>
    </w:p>
    <w:p w14:paraId="3EE790E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明确软件的处理对象类型，如图像（如CT、MRI、X-ray、PET、US等）、数据（如心电、血压、血氧、血糖等）</w:t>
      </w:r>
    </w:p>
    <w:p w14:paraId="13C99145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2.1.2 最大并发数</w:t>
      </w:r>
    </w:p>
    <w:p w14:paraId="0E95BDE6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明确软件的最大并发用户数、患者数</w:t>
      </w:r>
    </w:p>
    <w:p w14:paraId="292E40DE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2.1.3 数据接口</w:t>
      </w:r>
    </w:p>
    <w:p w14:paraId="1B8AFB9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明确软件的通用数据接口（如Dicom、HL7）、产品接口（可联合使用的独立软件、医疗器械硬件）</w:t>
      </w:r>
    </w:p>
    <w:p w14:paraId="2C1180ED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2.1.4 特定软硬件</w:t>
      </w:r>
    </w:p>
    <w:p w14:paraId="15CA9D6B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明确软件完成预期用途所必备的独立软件、医疗器械硬件</w:t>
      </w:r>
    </w:p>
    <w:p w14:paraId="276C601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2.1.5 临床功能</w:t>
      </w:r>
    </w:p>
    <w:p w14:paraId="0665A6E7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依据说明书明确软件全部临床功能纲要（注明可选）</w:t>
      </w:r>
    </w:p>
    <w:p w14:paraId="17E56A7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2.1.6 使用限制</w:t>
      </w:r>
    </w:p>
    <w:p w14:paraId="057955DF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依据说明书明确软件的使用限制</w:t>
      </w:r>
    </w:p>
    <w:p w14:paraId="2D0B9DB2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2.1.7 用户访问控制</w:t>
      </w:r>
    </w:p>
    <w:p w14:paraId="347AE1D6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明确软件的用户访问控制管理机制</w:t>
      </w:r>
    </w:p>
    <w:p w14:paraId="4D5DABF3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2.1.8 版权保护</w:t>
      </w:r>
    </w:p>
    <w:p w14:paraId="4A858E3A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明确软件的版权保护技术</w:t>
      </w:r>
    </w:p>
    <w:p w14:paraId="5E40CA7B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2.1.9 用户界面</w:t>
      </w:r>
    </w:p>
    <w:p w14:paraId="3F3D424E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明确软件的用户界面类型</w:t>
      </w:r>
    </w:p>
    <w:p w14:paraId="2B4D8A3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2.1.10 消息</w:t>
      </w:r>
    </w:p>
    <w:p w14:paraId="601C6225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明确软件的消息类型</w:t>
      </w:r>
    </w:p>
    <w:p w14:paraId="4039A2A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2.1.11 可靠性</w:t>
      </w:r>
    </w:p>
    <w:p w14:paraId="24541B9E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明确软件出错后数据保存与恢复能力</w:t>
      </w:r>
    </w:p>
    <w:p w14:paraId="32634EF1">
      <w:pPr>
        <w:spacing w:line="360" w:lineRule="auto"/>
        <w:rPr>
          <w:kern w:val="0"/>
          <w:sz w:val="24"/>
        </w:rPr>
      </w:pPr>
      <w:r>
        <w:rPr>
          <w:kern w:val="0"/>
          <w:sz w:val="24"/>
        </w:rPr>
        <w:t>2.1.12 维护性</w:t>
      </w:r>
    </w:p>
    <w:p w14:paraId="55776A38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明确软件向用户提供的维护信息类型</w:t>
      </w:r>
    </w:p>
    <w:p w14:paraId="17BA691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2.1.13 效率</w:t>
      </w:r>
    </w:p>
    <w:p w14:paraId="6E8C2AAB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明确软件在典型配置条件下完成典型临床功能所需的时间</w:t>
      </w:r>
    </w:p>
    <w:p w14:paraId="5C4F2548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2.1.14 运行环境</w:t>
      </w:r>
    </w:p>
    <w:p w14:paraId="0DFC555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明确软件运行所需的硬件配置、软件环境和网络条件，包括服务器（如适用）和客户端的要求</w:t>
      </w:r>
    </w:p>
    <w:p w14:paraId="41AC3C09">
      <w:pPr>
        <w:spacing w:line="360" w:lineRule="auto"/>
        <w:rPr>
          <w:kern w:val="0"/>
          <w:sz w:val="24"/>
        </w:rPr>
      </w:pPr>
      <w:r>
        <w:rPr>
          <w:kern w:val="0"/>
          <w:sz w:val="24"/>
        </w:rPr>
        <w:t>2.2 质量要求</w:t>
      </w:r>
    </w:p>
    <w:p w14:paraId="73E37DC7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符合GB/T 25000.51第5章要求</w:t>
      </w:r>
    </w:p>
    <w:p w14:paraId="4C1154EE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2.3 专用要求 （如适用）</w:t>
      </w:r>
    </w:p>
    <w:p w14:paraId="17B20E49">
      <w:pPr>
        <w:spacing w:line="360" w:lineRule="auto"/>
        <w:rPr>
          <w:kern w:val="0"/>
          <w:sz w:val="24"/>
        </w:rPr>
      </w:pPr>
      <w:r>
        <w:rPr>
          <w:i/>
          <w:kern w:val="0"/>
          <w:sz w:val="24"/>
        </w:rPr>
        <w:t>注：依据相应标准条款逐条描述</w:t>
      </w:r>
    </w:p>
    <w:p w14:paraId="5C23D74B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2.3.1 YY 0775（如适用）</w:t>
      </w:r>
    </w:p>
    <w:p w14:paraId="7770E54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2B0EA14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2.4 安全要求 （如适用）</w:t>
      </w:r>
    </w:p>
    <w:p w14:paraId="798B2E3C">
      <w:pPr>
        <w:spacing w:line="360" w:lineRule="auto"/>
        <w:rPr>
          <w:kern w:val="0"/>
          <w:sz w:val="24"/>
        </w:rPr>
      </w:pPr>
      <w:r>
        <w:rPr>
          <w:i/>
          <w:kern w:val="0"/>
          <w:sz w:val="24"/>
        </w:rPr>
        <w:t>注：列明相应安全标准名称即可</w:t>
      </w:r>
    </w:p>
    <w:p w14:paraId="33FED05B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2.4.1 YY 0709（如适用）</w:t>
      </w:r>
    </w:p>
    <w:p w14:paraId="1205044F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2.4.2 YY 0637（如适用）</w:t>
      </w:r>
    </w:p>
    <w:p w14:paraId="5F4AA04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2.4.3 YY 0721（如适用）</w:t>
      </w:r>
    </w:p>
    <w:p w14:paraId="6F67BECC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31ADC554">
      <w:pPr>
        <w:spacing w:line="460" w:lineRule="exact"/>
        <w:rPr>
          <w:kern w:val="0"/>
          <w:sz w:val="24"/>
        </w:rPr>
      </w:pPr>
    </w:p>
    <w:p w14:paraId="4EF57ED6">
      <w:pPr>
        <w:spacing w:line="460" w:lineRule="exact"/>
        <w:rPr>
          <w:kern w:val="0"/>
          <w:sz w:val="24"/>
        </w:rPr>
      </w:pPr>
      <w:r>
        <w:rPr>
          <w:b/>
          <w:bCs/>
          <w:kern w:val="0"/>
          <w:sz w:val="24"/>
        </w:rPr>
        <w:t>3. 检验方法</w:t>
      </w:r>
    </w:p>
    <w:p w14:paraId="53ABE442">
      <w:pPr>
        <w:spacing w:line="360" w:lineRule="auto"/>
        <w:rPr>
          <w:sz w:val="24"/>
        </w:rPr>
      </w:pPr>
      <w:r>
        <w:rPr>
          <w:sz w:val="24"/>
        </w:rPr>
        <w:t>3.1 通用要求符合性检验</w:t>
      </w:r>
    </w:p>
    <w:p w14:paraId="46205E5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通过检查说明书、实际操作验证2.1的符合性。</w:t>
      </w:r>
    </w:p>
    <w:p w14:paraId="12463A8A">
      <w:pPr>
        <w:spacing w:line="360" w:lineRule="auto"/>
        <w:rPr>
          <w:sz w:val="24"/>
        </w:rPr>
      </w:pPr>
      <w:r>
        <w:rPr>
          <w:sz w:val="24"/>
        </w:rPr>
        <w:t>3.2 质量要求符合性检验</w:t>
      </w:r>
    </w:p>
    <w:p w14:paraId="4A746FA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依据GB/T 25000.51第7章方法验证2.2的符合性。</w:t>
      </w:r>
    </w:p>
    <w:p w14:paraId="186A2A12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3.3 专用要求检验方法（如适用）</w:t>
      </w:r>
    </w:p>
    <w:p w14:paraId="679328F1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3.3.1依据YY 0775的方法进行检验（如适用）。</w:t>
      </w:r>
    </w:p>
    <w:p w14:paraId="723A84D1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0EA8F8B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3.4 安全要求检验方法（如适用）</w:t>
      </w:r>
    </w:p>
    <w:p w14:paraId="05692C0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3.4.1 依据YY 0709的方法进行检验（如适用）。</w:t>
      </w:r>
    </w:p>
    <w:p w14:paraId="28190DFF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3.4.2 依据YY 0637的方法进行检验（如适用）。</w:t>
      </w:r>
    </w:p>
    <w:p w14:paraId="02D4F4F7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3.4.3 依据YY 0721的方法进行检验（如适用）。</w:t>
      </w:r>
    </w:p>
    <w:p w14:paraId="5E36EAD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19915CF9">
      <w:pPr>
        <w:spacing w:line="460" w:lineRule="exact"/>
        <w:rPr>
          <w:kern w:val="0"/>
          <w:sz w:val="24"/>
        </w:rPr>
      </w:pPr>
    </w:p>
    <w:p w14:paraId="3BE005AF">
      <w:pPr>
        <w:spacing w:line="460" w:lineRule="exact"/>
        <w:rPr>
          <w:kern w:val="0"/>
          <w:sz w:val="24"/>
        </w:rPr>
      </w:pPr>
      <w:r>
        <w:rPr>
          <w:b/>
          <w:bCs/>
          <w:kern w:val="0"/>
          <w:sz w:val="24"/>
        </w:rPr>
        <w:t>4. 术语</w:t>
      </w:r>
      <w:r>
        <w:rPr>
          <w:kern w:val="0"/>
          <w:sz w:val="24"/>
        </w:rPr>
        <w:t>（如适用）</w:t>
      </w:r>
    </w:p>
    <w:p w14:paraId="7A5D0105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4.1 ……</w:t>
      </w:r>
    </w:p>
    <w:p w14:paraId="579C0FA5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4.2 ……</w:t>
      </w:r>
    </w:p>
    <w:p w14:paraId="246F1C0A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09E273B1">
      <w:pPr>
        <w:spacing w:line="460" w:lineRule="exact"/>
        <w:rPr>
          <w:kern w:val="0"/>
          <w:sz w:val="24"/>
        </w:rPr>
      </w:pPr>
    </w:p>
    <w:p w14:paraId="18B5CD4F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（分页）</w:t>
      </w:r>
    </w:p>
    <w:p w14:paraId="35F4D04A">
      <w:pPr>
        <w:pStyle w:val="4"/>
        <w:spacing w:line="460" w:lineRule="exact"/>
        <w:ind w:leftChars="0" w:hanging="840" w:firstLineChars="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附录</w:t>
      </w:r>
    </w:p>
    <w:p w14:paraId="57FAA93F">
      <w:pPr>
        <w:spacing w:line="460" w:lineRule="exact"/>
        <w:rPr>
          <w:kern w:val="0"/>
          <w:sz w:val="24"/>
        </w:rPr>
      </w:pPr>
      <w:bookmarkStart w:id="0" w:name="_Toc256604060"/>
      <w:r>
        <w:rPr>
          <w:kern w:val="0"/>
          <w:sz w:val="24"/>
        </w:rPr>
        <w:t>1.体系结构图及必要注释</w:t>
      </w:r>
    </w:p>
    <w:p w14:paraId="724BDBB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2.用户界面关系图及必要注释</w:t>
      </w:r>
    </w:p>
    <w:p w14:paraId="68100D6A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3.物理拓扑图及必要注释</w:t>
      </w:r>
    </w:p>
    <w:bookmarkEnd w:id="0"/>
    <w:p w14:paraId="2C06763A">
      <w:pPr>
        <w:widowControl/>
        <w:jc w:val="left"/>
      </w:pPr>
    </w:p>
    <w:p w14:paraId="3FB6D5F7">
      <w:pPr>
        <w:spacing w:before="156" w:beforeLines="50" w:after="156" w:afterLines="50" w:line="360" w:lineRule="auto"/>
        <w:rPr>
          <w:rFonts w:hint="eastAsia" w:eastAsia="宋体"/>
          <w:lang w:eastAsia="zh-CN"/>
        </w:rPr>
      </w:pPr>
    </w:p>
    <w:p w14:paraId="237B80B1">
      <w:pPr>
        <w:spacing w:before="156" w:beforeLines="50" w:after="156" w:afterLines="50" w:line="360" w:lineRule="auto"/>
        <w:jc w:val="center"/>
        <w:rPr>
          <w:rFonts w:hint="eastAsia" w:eastAsia="宋体"/>
          <w:lang w:eastAsia="zh-CN"/>
        </w:rPr>
      </w:pPr>
    </w:p>
    <w:p w14:paraId="58E57771">
      <w:pPr>
        <w:spacing w:before="156" w:beforeLines="50"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C1740"/>
    <w:rsid w:val="61C12343"/>
    <w:rsid w:val="6D535020"/>
    <w:rsid w:val="6E6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宋体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796</Words>
  <Characters>1001</Characters>
  <Lines>0</Lines>
  <Paragraphs>0</Paragraphs>
  <TotalTime>0</TotalTime>
  <ScaleCrop>false</ScaleCrop>
  <LinksUpToDate>false</LinksUpToDate>
  <CharactersWithSpaces>1083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2018-04-26T08:52:00Z</dcterms:created>
  <dc:creator>Zjf</dc:creator>
  <cp:lastModifiedBy>太极箫客</cp:lastModifiedBy>
  <dcterms:modified xsi:type="dcterms:W3CDTF">2025-08-14T07:05:14Z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475902EA032443D7867C95BCF65E49BE_12</vt:lpwstr>
  </property>
</Properties>
</file>