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62F5E">
      <w:pPr>
        <w:keepNext w:val="0"/>
        <w:keepLines w:val="0"/>
        <w:pageBreakBefore w:val="0"/>
        <w:kinsoku/>
        <w:wordWrap/>
        <w:topLinePunct w:val="0"/>
        <w:bidi w:val="0"/>
        <w:spacing w:line="360" w:lineRule="auto"/>
        <w:ind w:right="0" w:rightChars="0"/>
        <w:textAlignment w:val="auto"/>
        <w:rPr>
          <w:rFonts w:hint="eastAsia" w:ascii="宋体" w:hAnsi="宋体" w:eastAsia="宋体" w:cs="宋体"/>
          <w:sz w:val="24"/>
          <w:szCs w:val="24"/>
        </w:rPr>
      </w:pPr>
      <w:bookmarkStart w:id="0" w:name="_GoBack"/>
      <w:bookmarkEnd w:id="0"/>
      <w:r>
        <w:rPr>
          <w:rFonts w:hint="eastAsia" w:ascii="宋体" w:hAnsi="宋体" w:eastAsia="宋体" w:cs="宋体"/>
          <w:sz w:val="24"/>
          <w:szCs w:val="24"/>
        </w:rPr>
        <w:t>附件8</w:t>
      </w:r>
    </w:p>
    <w:p w14:paraId="39A676C4">
      <w:pPr>
        <w:keepNext w:val="0"/>
        <w:keepLines w:val="0"/>
        <w:pageBreakBefore w:val="0"/>
        <w:kinsoku/>
        <w:wordWrap/>
        <w:topLinePunct w:val="0"/>
        <w:bidi w:val="0"/>
        <w:spacing w:line="360" w:lineRule="auto"/>
        <w:ind w:right="0" w:rightChars="0"/>
        <w:textAlignment w:val="auto"/>
        <w:rPr>
          <w:rFonts w:hint="eastAsia" w:ascii="宋体" w:hAnsi="宋体" w:eastAsia="宋体" w:cs="宋体"/>
          <w:sz w:val="24"/>
          <w:szCs w:val="24"/>
        </w:rPr>
      </w:pPr>
    </w:p>
    <w:p w14:paraId="54BB17DC">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1096E84D">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3B9A61C7">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399493DA">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4DF6780C">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96"/>
          <w:szCs w:val="96"/>
        </w:rPr>
      </w:pPr>
      <w:r>
        <w:rPr>
          <w:rFonts w:hint="eastAsia" w:ascii="宋体" w:hAnsi="宋体" w:eastAsia="宋体" w:cs="宋体"/>
          <w:sz w:val="96"/>
          <w:szCs w:val="96"/>
        </w:rPr>
        <w:t>牙科脱敏剂注册</w:t>
      </w:r>
    </w:p>
    <w:p w14:paraId="0A72BD58">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96"/>
          <w:szCs w:val="96"/>
        </w:rPr>
      </w:pPr>
      <w:r>
        <w:rPr>
          <w:rFonts w:hint="eastAsia" w:ascii="宋体" w:hAnsi="宋体" w:eastAsia="宋体" w:cs="宋体"/>
          <w:sz w:val="96"/>
          <w:szCs w:val="96"/>
        </w:rPr>
        <w:t>审查指导原则</w:t>
      </w:r>
    </w:p>
    <w:p w14:paraId="60EF4932">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36"/>
          <w:szCs w:val="36"/>
        </w:rPr>
      </w:pPr>
      <w:r>
        <w:rPr>
          <w:rFonts w:hint="eastAsia" w:ascii="宋体" w:hAnsi="宋体" w:eastAsia="宋体" w:cs="宋体"/>
          <w:sz w:val="36"/>
          <w:szCs w:val="36"/>
        </w:rPr>
        <w:t>（2021年第102号）</w:t>
      </w:r>
    </w:p>
    <w:p w14:paraId="1A275174">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0F297DF9">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4857102A">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180F687C">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7A098C8E">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70E931EC">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6F589578">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3ABC8ECC">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3C8D19CC">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08055119">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1BE62CFC">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39395FFA">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24037C86">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74BE1F25">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04363D6C">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012C88AF">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4DC94DB3">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5EDD252B">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6B44D7E3">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21E079E0">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58D7DCF9">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p>
    <w:p w14:paraId="3098948F">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牙科脱敏剂注册审查指导原则</w:t>
      </w:r>
    </w:p>
    <w:p w14:paraId="2CCF5943">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本指导原则旨在指导注册申请人对牙科脱敏剂注册申报资料的准备及撰写，同时也为技术审评部门审评提供参考。</w:t>
      </w:r>
    </w:p>
    <w:p w14:paraId="45C763D0">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指导原则是对牙科脱敏剂的一般要求，注册申请人应依据产品的具体特性确定其中内容是否适用，若不适用，需具体阐述理由并说明相应的科学依据，并依据产品的具体特性对注册申报资料的内容进行充实和细化。</w:t>
      </w:r>
    </w:p>
    <w:p w14:paraId="081796FC">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指导原则是供注册申请人和技术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E907FBC">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本指导原则是在现行法规、标准体系及当前认知水平下制定的，随着法规、标准体系的不断完善和科学技术的不断发展，本指导原则相关内容也将适时进行调整。</w:t>
      </w:r>
    </w:p>
    <w:p w14:paraId="0C6F0CF9">
      <w:pPr>
        <w:keepNext w:val="0"/>
        <w:keepLines w:val="0"/>
        <w:pageBreakBefore w:val="0"/>
        <w:kinsoku/>
        <w:wordWrap/>
        <w:topLinePunct w:val="0"/>
        <w:bidi w:val="0"/>
        <w:spacing w:line="360" w:lineRule="auto"/>
        <w:ind w:right="0" w:rightChars="0" w:firstLine="480" w:firstLineChars="200"/>
        <w:jc w:val="left"/>
        <w:textAlignment w:val="auto"/>
        <w:outlineLvl w:val="0"/>
        <w:rPr>
          <w:rFonts w:hint="eastAsia" w:ascii="宋体" w:hAnsi="宋体" w:eastAsia="宋体" w:cs="宋体"/>
          <w:bCs/>
          <w:kern w:val="28"/>
          <w:sz w:val="24"/>
          <w:szCs w:val="24"/>
        </w:rPr>
      </w:pPr>
      <w:r>
        <w:rPr>
          <w:rFonts w:hint="eastAsia" w:ascii="宋体" w:hAnsi="宋体" w:eastAsia="宋体" w:cs="宋体"/>
          <w:bCs/>
          <w:kern w:val="28"/>
          <w:sz w:val="24"/>
          <w:szCs w:val="24"/>
        </w:rPr>
        <w:t>一、适用范围</w:t>
      </w:r>
    </w:p>
    <w:p w14:paraId="603D6E95">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本指导原则适用于缓解因牙本质暴露而引起的牙齿敏感症状的脱敏剂。</w:t>
      </w:r>
    </w:p>
    <w:p w14:paraId="4DA9D637">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根据《医疗器械分类目录》，牙科脱敏剂的管理类别为Ⅱ类，分类编码为17-10-03。</w:t>
      </w:r>
    </w:p>
    <w:p w14:paraId="44B00A8F">
      <w:pPr>
        <w:keepNext w:val="0"/>
        <w:keepLines w:val="0"/>
        <w:pageBreakBefore w:val="0"/>
        <w:kinsoku/>
        <w:wordWrap/>
        <w:topLinePunct w:val="0"/>
        <w:bidi w:val="0"/>
        <w:spacing w:line="360" w:lineRule="auto"/>
        <w:ind w:right="0" w:rightChars="0" w:firstLine="480" w:firstLineChars="200"/>
        <w:jc w:val="left"/>
        <w:textAlignment w:val="auto"/>
        <w:outlineLvl w:val="0"/>
        <w:rPr>
          <w:rFonts w:hint="eastAsia" w:ascii="宋体" w:hAnsi="宋体" w:eastAsia="宋体" w:cs="宋体"/>
          <w:bCs/>
          <w:kern w:val="28"/>
          <w:sz w:val="24"/>
          <w:szCs w:val="24"/>
        </w:rPr>
      </w:pPr>
      <w:r>
        <w:rPr>
          <w:rFonts w:hint="eastAsia" w:ascii="宋体" w:hAnsi="宋体" w:eastAsia="宋体" w:cs="宋体"/>
          <w:bCs/>
          <w:kern w:val="28"/>
          <w:sz w:val="24"/>
          <w:szCs w:val="24"/>
        </w:rPr>
        <w:t>二、技术审查要点</w:t>
      </w:r>
    </w:p>
    <w:p w14:paraId="1A4C221E">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（一）监管信息</w:t>
      </w:r>
    </w:p>
    <w:p w14:paraId="31288B46">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1.申请表</w:t>
      </w:r>
    </w:p>
    <w:p w14:paraId="10749F78">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1.1产品名称</w:t>
      </w:r>
    </w:p>
    <w:p w14:paraId="7580BB50">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产品名称</w:t>
      </w:r>
      <w:r>
        <w:rPr>
          <w:rFonts w:hint="eastAsia" w:ascii="宋体" w:hAnsi="宋体" w:eastAsia="宋体" w:cs="宋体"/>
          <w:color w:val="000000"/>
          <w:sz w:val="24"/>
          <w:szCs w:val="24"/>
        </w:rPr>
        <w:t>应与产品特征一致</w:t>
      </w:r>
      <w:r>
        <w:rPr>
          <w:rFonts w:hint="eastAsia" w:ascii="宋体" w:hAnsi="宋体" w:eastAsia="宋体" w:cs="宋体"/>
          <w:sz w:val="24"/>
          <w:szCs w:val="24"/>
        </w:rPr>
        <w:t>，由一个核心词和一般不超过三个特征词组成。</w:t>
      </w:r>
      <w:r>
        <w:rPr>
          <w:rFonts w:hint="eastAsia" w:ascii="宋体" w:hAnsi="宋体" w:eastAsia="宋体" w:cs="宋体"/>
          <w:color w:val="000000"/>
          <w:sz w:val="24"/>
          <w:szCs w:val="24"/>
        </w:rPr>
        <w:t>命名举例有：</w:t>
      </w:r>
      <w:r>
        <w:rPr>
          <w:rFonts w:hint="eastAsia" w:ascii="宋体" w:hAnsi="宋体" w:eastAsia="宋体" w:cs="宋体"/>
          <w:sz w:val="24"/>
          <w:szCs w:val="24"/>
        </w:rPr>
        <w:t>牙科脱敏剂、脱敏剂、牙本质脱敏剂、脱敏糊剂、脱敏凝胶等。</w:t>
      </w:r>
    </w:p>
    <w:p w14:paraId="1B25429B">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1.2注册单元划分的原则和实例</w:t>
      </w:r>
    </w:p>
    <w:p w14:paraId="55F6C5D5">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脱敏剂注册单元</w:t>
      </w:r>
      <w:r>
        <w:rPr>
          <w:rFonts w:hint="eastAsia" w:ascii="宋体" w:hAnsi="宋体" w:eastAsia="宋体" w:cs="宋体"/>
          <w:kern w:val="0"/>
          <w:sz w:val="24"/>
          <w:szCs w:val="24"/>
        </w:rPr>
        <w:t>原则上以产品的技术原理、结构组成、性能指标和适用范围为划分依据。</w:t>
      </w:r>
    </w:p>
    <w:p w14:paraId="33D2F1F5">
      <w:pPr>
        <w:keepNext w:val="0"/>
        <w:keepLines w:val="0"/>
        <w:pageBreakBefore w:val="0"/>
        <w:widowControl/>
        <w:kinsoku/>
        <w:wordWrap/>
        <w:topLinePunct w:val="0"/>
        <w:bidi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例如：产品作用机理不同，建议不作为同一注册单元申报；产品主要成分不同，建议不作为同一注册单元申报。</w:t>
      </w:r>
    </w:p>
    <w:p w14:paraId="232CB875">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2.产品列表</w:t>
      </w:r>
    </w:p>
    <w:p w14:paraId="413A95A5">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以表格形式列出拟申报产品的型号规格、结构及组成、附件，以及每个规格型号的标识（如条形码、目录、型号或部件号码，器械唯一标识等）和名称/描述的说明（如尺寸、材质等）。</w:t>
      </w:r>
    </w:p>
    <w:p w14:paraId="22B73C16">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pacing w:val="-1"/>
          <w:sz w:val="24"/>
          <w:szCs w:val="24"/>
        </w:rPr>
      </w:pPr>
      <w:r>
        <w:rPr>
          <w:rFonts w:hint="eastAsia" w:ascii="宋体" w:hAnsi="宋体" w:eastAsia="宋体" w:cs="宋体"/>
          <w:color w:val="000000"/>
          <w:sz w:val="24"/>
          <w:szCs w:val="24"/>
        </w:rPr>
        <w:t>3.</w:t>
      </w:r>
      <w:r>
        <w:rPr>
          <w:rFonts w:hint="eastAsia" w:ascii="宋体" w:hAnsi="宋体" w:eastAsia="宋体" w:cs="宋体"/>
          <w:color w:val="000000"/>
          <w:spacing w:val="-1"/>
          <w:sz w:val="24"/>
          <w:szCs w:val="24"/>
        </w:rPr>
        <w:t>既往沟通记录（如适用）</w:t>
      </w:r>
    </w:p>
    <w:p w14:paraId="319EB4FC">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pacing w:val="-1"/>
          <w:sz w:val="24"/>
          <w:szCs w:val="24"/>
        </w:rPr>
      </w:pPr>
      <w:r>
        <w:rPr>
          <w:rFonts w:hint="eastAsia" w:ascii="宋体" w:hAnsi="宋体" w:eastAsia="宋体" w:cs="宋体"/>
          <w:bCs/>
          <w:color w:val="000000"/>
          <w:sz w:val="24"/>
          <w:szCs w:val="24"/>
        </w:rPr>
        <w:t>在产品申报前，如果注册申请人与监管机构针对申报产品以会议形式进行了沟通，或者申报产品与既往注册申报相关，应当提供申报前与监管机构的联系情况和沟通记录；</w:t>
      </w:r>
      <w:r>
        <w:rPr>
          <w:rFonts w:hint="eastAsia" w:ascii="宋体" w:hAnsi="宋体" w:eastAsia="宋体" w:cs="宋体"/>
          <w:bCs/>
          <w:color w:val="000000"/>
          <w:spacing w:val="-1"/>
          <w:sz w:val="24"/>
          <w:szCs w:val="24"/>
        </w:rPr>
        <w:t>如不适用，应当明确声明申报产品没有既往申报和/或申报前沟通。</w:t>
      </w:r>
    </w:p>
    <w:p w14:paraId="03E303F3">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pacing w:val="-1"/>
          <w:sz w:val="24"/>
          <w:szCs w:val="24"/>
        </w:rPr>
      </w:pPr>
      <w:r>
        <w:rPr>
          <w:rFonts w:hint="eastAsia" w:ascii="宋体" w:hAnsi="宋体" w:eastAsia="宋体" w:cs="宋体"/>
          <w:color w:val="000000"/>
          <w:sz w:val="24"/>
          <w:szCs w:val="24"/>
        </w:rPr>
        <w:t>4.</w:t>
      </w:r>
      <w:r>
        <w:rPr>
          <w:rFonts w:hint="eastAsia" w:ascii="宋体" w:hAnsi="宋体" w:eastAsia="宋体" w:cs="宋体"/>
          <w:color w:val="000000"/>
          <w:spacing w:val="-1"/>
          <w:sz w:val="24"/>
          <w:szCs w:val="24"/>
        </w:rPr>
        <w:t>主文档授权信（</w:t>
      </w:r>
      <w:r>
        <w:rPr>
          <w:rFonts w:hint="eastAsia" w:ascii="宋体" w:hAnsi="宋体" w:eastAsia="宋体" w:cs="宋体"/>
          <w:color w:val="000000"/>
          <w:sz w:val="24"/>
          <w:szCs w:val="24"/>
        </w:rPr>
        <w:t>如适用）</w:t>
      </w:r>
    </w:p>
    <w:p w14:paraId="69FD4566">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注册申请人应当对主文档引用的情况进行说明。</w:t>
      </w:r>
    </w:p>
    <w:p w14:paraId="386AAEA5">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5.其它管理信息</w:t>
      </w:r>
    </w:p>
    <w:p w14:paraId="0184C60C">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5.1按照特殊、应急等特殊注册程序进行申报的，注册申请人应提交通过创新医疗器械审查或</w:t>
      </w:r>
      <w:r>
        <w:rPr>
          <w:rFonts w:hint="eastAsia" w:ascii="宋体" w:hAnsi="宋体" w:eastAsia="宋体" w:cs="宋体"/>
          <w:bCs/>
          <w:color w:val="000000"/>
          <w:sz w:val="24"/>
          <w:szCs w:val="24"/>
        </w:rPr>
        <w:t>医疗器械应急审批</w:t>
      </w:r>
      <w:r>
        <w:rPr>
          <w:rFonts w:hint="eastAsia" w:ascii="宋体" w:hAnsi="宋体" w:eastAsia="宋体" w:cs="宋体"/>
          <w:color w:val="000000"/>
          <w:sz w:val="24"/>
          <w:szCs w:val="24"/>
        </w:rPr>
        <w:t>的相关说明。</w:t>
      </w:r>
    </w:p>
    <w:p w14:paraId="54D8DC4F">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5.2委托其他企业生产的，应当提供受托企业资格文件（营业执照副本复印件）、委托合同和质量协议。</w:t>
      </w:r>
    </w:p>
    <w:p w14:paraId="62A175AA">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（二）综述资料</w:t>
      </w:r>
    </w:p>
    <w:p w14:paraId="4E7FF01E">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1.产品的结构和组成</w:t>
      </w:r>
    </w:p>
    <w:p w14:paraId="2CB66A24">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产品通常为单组份或双组份液剂、糊剂或凝胶。根据不同的作用机理，脱敏剂可以分为以下几种：</w:t>
      </w:r>
    </w:p>
    <w:p w14:paraId="7C227241">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.1</w:t>
      </w:r>
      <w:r>
        <w:rPr>
          <w:rFonts w:hint="eastAsia" w:ascii="宋体" w:hAnsi="宋体" w:eastAsia="宋体" w:cs="宋体"/>
          <w:sz w:val="24"/>
          <w:szCs w:val="24"/>
        </w:rPr>
        <w:t>无机填料/再矿化型：发挥脱敏作用的主要成分通常为氟化钠、氯化锶或羟基磷灰石等；其余成分可能包含摩擦剂（如碳酸钙、磷酸氢钙、二氧化硅等）、润滑剂（如甘油）、赋形剂、调味剂等。</w:t>
      </w:r>
    </w:p>
    <w:p w14:paraId="43F56890">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1.2胶原变性封堵型：例如以戊二醛为主要成分，其余成分可能包含2-羟乙基甲基丙烯酸酯。</w:t>
      </w:r>
    </w:p>
    <w:p w14:paraId="037BB267">
      <w:pPr>
        <w:keepNext w:val="0"/>
        <w:keepLines w:val="0"/>
        <w:pageBreakBefore w:val="0"/>
        <w:kinsoku/>
        <w:wordWrap/>
        <w:overflowPunct w:val="0"/>
        <w:topLinePunct w:val="0"/>
        <w:autoSpaceDE w:val="0"/>
        <w:autoSpaceDN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1.3薄膜封闭型：例如涂布后可迅速形成透明薄膜覆盖于牙本质表面。</w:t>
      </w:r>
    </w:p>
    <w:p w14:paraId="36E2E187">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以上几种类型可能是单一成分发挥脱敏作用，也可能是几种成分协同发挥作用。此外，还可能有其他脱敏成分的产品，如含有硝酸钾、精氨酸或单氟磷酸钠等。</w:t>
      </w:r>
    </w:p>
    <w:p w14:paraId="4C3E5644">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在产品结构组成中应规范完整表述各组分的名称，原则上不能采用“等”字概述；应明确产品所含水质级别，如纯化水。</w:t>
      </w:r>
    </w:p>
    <w:p w14:paraId="48F95F25">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2.产品工作原理/作用机理</w:t>
      </w:r>
    </w:p>
    <w:p w14:paraId="6F7E86DD">
      <w:pPr>
        <w:keepNext w:val="0"/>
        <w:keepLines w:val="0"/>
        <w:pageBreakBefore w:val="0"/>
        <w:kinsoku/>
        <w:wordWrap/>
        <w:topLinePunct w:val="0"/>
        <w:autoSpaceDE w:val="0"/>
        <w:autoSpaceDN w:val="0"/>
        <w:bidi w:val="0"/>
        <w:adjustRightInd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临床使用较为普遍的脱敏剂产品主要通过堵塞牙本质小管，减少液压传导从而脱敏，如下图所示：</w:t>
      </w:r>
    </w:p>
    <w:p w14:paraId="616E5493">
      <w:pPr>
        <w:keepNext w:val="0"/>
        <w:keepLines w:val="0"/>
        <w:pageBreakBefore w:val="0"/>
        <w:kinsoku/>
        <w:wordWrap/>
        <w:topLinePunct w:val="0"/>
        <w:autoSpaceDE w:val="0"/>
        <w:autoSpaceDN w:val="0"/>
        <w:bidi w:val="0"/>
        <w:adjustRightInd w:val="0"/>
        <w:spacing w:line="360" w:lineRule="auto"/>
        <w:ind w:right="0" w:rightChars="0"/>
        <w:jc w:val="left"/>
        <w:textAlignment w:val="auto"/>
        <w:rPr>
          <w:rFonts w:hint="eastAsia" w:ascii="宋体" w:hAnsi="宋体" w:eastAsia="宋体" w:cs="宋体"/>
          <w:kern w:val="0"/>
          <w:sz w:val="24"/>
          <w:szCs w:val="24"/>
        </w:rPr>
      </w:pPr>
      <w:r>
        <w:rPr>
          <w:rFonts w:hint="eastAsia"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1411605</wp:posOffset>
            </wp:positionH>
            <wp:positionV relativeFrom="paragraph">
              <wp:posOffset>104775</wp:posOffset>
            </wp:positionV>
            <wp:extent cx="2530475" cy="1721485"/>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30475" cy="1721485"/>
                    </a:xfrm>
                    <a:prstGeom prst="rect">
                      <a:avLst/>
                    </a:prstGeom>
                    <a:noFill/>
                    <a:ln>
                      <a:noFill/>
                    </a:ln>
                  </pic:spPr>
                </pic:pic>
              </a:graphicData>
            </a:graphic>
          </wp:anchor>
        </w:drawing>
      </w:r>
      <w:r>
        <w:rPr>
          <w:rFonts w:hint="eastAsia" w:ascii="宋体" w:hAnsi="宋体" w:cs="宋体"/>
          <w:sz w:val="24"/>
          <w:szCs w:val="24"/>
          <w:lang w:val="en-US" w:eastAsia="zh-CN"/>
        </w:rPr>
        <w:t xml:space="preserve">                </w:t>
      </w:r>
      <w:r>
        <w:rPr>
          <w:rFonts w:hint="eastAsia" w:ascii="宋体" w:hAnsi="宋体" w:eastAsia="宋体" w:cs="宋体"/>
          <w:b/>
          <w:bCs/>
          <w:w w:val="90"/>
          <w:kern w:val="0"/>
          <w:sz w:val="24"/>
          <w:szCs w:val="24"/>
        </w:rPr>
        <w:t>脱敏剂处理前的牙本质表面扫描电镜图（×1000）</w:t>
      </w:r>
    </w:p>
    <w:p w14:paraId="7D64904D">
      <w:pPr>
        <w:keepNext w:val="0"/>
        <w:keepLines w:val="0"/>
        <w:pageBreakBefore w:val="0"/>
        <w:kinsoku/>
        <w:wordWrap/>
        <w:topLinePunct w:val="0"/>
        <w:bidi w:val="0"/>
        <w:spacing w:line="360" w:lineRule="auto"/>
        <w:ind w:right="0" w:rightChars="0" w:firstLine="1680" w:firstLineChars="700"/>
        <w:jc w:val="both"/>
        <w:textAlignment w:val="auto"/>
        <w:rPr>
          <w:rFonts w:hint="eastAsia" w:ascii="宋体" w:hAnsi="宋体" w:eastAsia="宋体" w:cs="宋体"/>
          <w:b/>
          <w:bCs/>
          <w:w w:val="90"/>
          <w:kern w:val="0"/>
          <w:sz w:val="24"/>
          <w:szCs w:val="24"/>
        </w:rPr>
      </w:pPr>
      <w:r>
        <w:rPr>
          <w:rFonts w:hint="eastAsia"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1457960</wp:posOffset>
            </wp:positionH>
            <wp:positionV relativeFrom="paragraph">
              <wp:posOffset>264795</wp:posOffset>
            </wp:positionV>
            <wp:extent cx="2565400" cy="1695450"/>
            <wp:effectExtent l="0" t="0" r="635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65400" cy="1695450"/>
                    </a:xfrm>
                    <a:prstGeom prst="rect">
                      <a:avLst/>
                    </a:prstGeom>
                    <a:noFill/>
                    <a:ln>
                      <a:noFill/>
                    </a:ln>
                  </pic:spPr>
                </pic:pic>
              </a:graphicData>
            </a:graphic>
          </wp:anchor>
        </w:drawing>
      </w:r>
      <w:r>
        <w:rPr>
          <w:rFonts w:hint="eastAsia" w:ascii="宋体" w:hAnsi="宋体" w:eastAsia="宋体" w:cs="宋体"/>
          <w:b/>
          <w:bCs/>
          <w:w w:val="90"/>
          <w:kern w:val="0"/>
          <w:sz w:val="24"/>
          <w:szCs w:val="24"/>
        </w:rPr>
        <w:t xml:space="preserve">   脱敏剂处理后的牙本质表面扫描电镜图（×1000）</w:t>
      </w:r>
    </w:p>
    <w:p w14:paraId="770C83A9">
      <w:pPr>
        <w:keepNext w:val="0"/>
        <w:keepLines w:val="0"/>
        <w:pageBreakBefore w:val="0"/>
        <w:kinsoku/>
        <w:wordWrap/>
        <w:topLinePunct w:val="0"/>
        <w:bidi w:val="0"/>
        <w:spacing w:line="360" w:lineRule="auto"/>
        <w:ind w:right="0" w:rightChars="0" w:firstLine="640"/>
        <w:textAlignment w:val="auto"/>
        <w:rPr>
          <w:rFonts w:hint="eastAsia" w:ascii="宋体" w:hAnsi="宋体" w:eastAsia="宋体" w:cs="宋体"/>
          <w:kern w:val="0"/>
          <w:sz w:val="24"/>
          <w:szCs w:val="24"/>
        </w:rPr>
      </w:pPr>
      <w:r>
        <w:rPr>
          <w:rFonts w:hint="eastAsia" w:ascii="宋体" w:hAnsi="宋体" w:eastAsia="宋体" w:cs="宋体"/>
          <w:sz w:val="24"/>
          <w:szCs w:val="24"/>
        </w:rPr>
        <w:t>根据不同的作用机理，脱敏剂可以分为</w:t>
      </w:r>
      <w:r>
        <w:rPr>
          <w:rFonts w:hint="eastAsia" w:ascii="宋体" w:hAnsi="宋体" w:eastAsia="宋体" w:cs="宋体"/>
          <w:kern w:val="0"/>
          <w:sz w:val="24"/>
          <w:szCs w:val="24"/>
        </w:rPr>
        <w:t>无机填料/再矿化型、胶原变性封堵型、薄膜封闭型等。</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1 \* GB3</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①</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无机填料/再矿化型：例如含氟化钠的脱敏剂，通过氟离子参与到牙齿表面羟基磷灰石的溶解再沉积过程，形成氟化钙、氟磷灰石并沉积封堵，促进牙齿再矿化，同时起到防龋及脱敏的效果；含氯化锶的脱敏剂通过形成难溶性锶盐，如碳酸锶、锶磷灰石沉积在牙本质表面实现封堵；含羟基磷灰石的脱敏剂，羟基磷灰石在形态结构方面和牙釉质中磷灰石晶体结构十分类似，可促进牙齿再矿化，进而堵塞暴露的牙本质小管，起到脱敏的作用；</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2 \* GB3</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②</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胶原变性封堵型：如含戊二醛的脱敏剂，戊二醛使牙本质小管中的液体蛋白变性、凝固，封堵牙本质小管，2-羟乙基甲基丙烯酸酯可溶于牙本质小管液，协助戊二醛进入小管内发挥作用，从而达到脱敏目的；</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3 \* GB3</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③</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薄膜封闭型：例如产品涂布后可迅速形成透明薄膜覆盖于牙本质表面，起到初期封闭和保护作用。</w:t>
      </w:r>
    </w:p>
    <w:p w14:paraId="39B1F6DD">
      <w:pPr>
        <w:keepNext w:val="0"/>
        <w:keepLines w:val="0"/>
        <w:pageBreakBefore w:val="0"/>
        <w:kinsoku/>
        <w:wordWrap/>
        <w:topLinePunct w:val="0"/>
        <w:bidi w:val="0"/>
        <w:spacing w:line="360" w:lineRule="auto"/>
        <w:ind w:right="0" w:rightChars="0" w:firstLine="640"/>
        <w:textAlignment w:val="auto"/>
        <w:rPr>
          <w:rFonts w:hint="eastAsia" w:ascii="宋体" w:hAnsi="宋体" w:eastAsia="宋体" w:cs="宋体"/>
          <w:kern w:val="0"/>
          <w:sz w:val="24"/>
          <w:szCs w:val="24"/>
        </w:rPr>
      </w:pPr>
      <w:r>
        <w:rPr>
          <w:rFonts w:hint="eastAsia" w:ascii="宋体" w:hAnsi="宋体" w:eastAsia="宋体" w:cs="宋体"/>
          <w:kern w:val="0"/>
          <w:sz w:val="24"/>
          <w:szCs w:val="24"/>
        </w:rPr>
        <w:t>以上描述来源于已上市产品信息及参考文献，未列举完全，仅供参考。注册申请人应结合申报产品特点论述产品作用机理，明确各组分的作用及构成比例设定的依据，是单一发挥作用还是协同发挥作用。</w:t>
      </w:r>
    </w:p>
    <w:p w14:paraId="789DD743">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3.型号规格</w:t>
      </w:r>
    </w:p>
    <w:p w14:paraId="6FF6FA7B">
      <w:pPr>
        <w:keepNext w:val="0"/>
        <w:keepLines w:val="0"/>
        <w:pageBreakBefore w:val="0"/>
        <w:kinsoku/>
        <w:wordWrap/>
        <w:topLinePunct w:val="0"/>
        <w:bidi w:val="0"/>
        <w:adjustRightInd w:val="0"/>
        <w:snapToGrid w:val="0"/>
        <w:spacing w:line="360" w:lineRule="auto"/>
        <w:ind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对于存在多种型号规格的产品，应当明确各型号规格的区别。应当采用对比表及带有说明性文字的图片、图表，描述各种型号规格的结构组成、功能、产品特征和性能指标等内容。</w:t>
      </w:r>
    </w:p>
    <w:p w14:paraId="2F7E7BCB">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.包装描述</w:t>
      </w:r>
    </w:p>
    <w:p w14:paraId="671796E8">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以图示及文字描述的方式说明所有产品组成的包装信息。</w:t>
      </w:r>
    </w:p>
    <w:p w14:paraId="33CB0D99">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5.研发历程</w:t>
      </w:r>
    </w:p>
    <w:p w14:paraId="5AA0A710">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应阐述申请注册产品的研发背景和目的。如有参考的同类产品或前代产品，应当提供同类产品或前代产品（如有）的信息，并说明选择其作为研发参考的原因。应</w:t>
      </w:r>
      <w:r>
        <w:rPr>
          <w:rFonts w:hint="eastAsia" w:ascii="宋体" w:hAnsi="宋体" w:eastAsia="宋体" w:cs="宋体"/>
          <w:bCs/>
          <w:sz w:val="24"/>
          <w:szCs w:val="24"/>
        </w:rPr>
        <w:t>列表比较说明申报产品与同类产品和/或前代产品在工作原理、结构组成、制造材料、性能指标，以及适用范围等方面的异同。</w:t>
      </w:r>
    </w:p>
    <w:p w14:paraId="29F911B1">
      <w:pPr>
        <w:keepNext w:val="0"/>
        <w:keepLines w:val="0"/>
        <w:pageBreakBefore w:val="0"/>
        <w:kinsoku/>
        <w:wordWrap/>
        <w:topLinePunct w:val="0"/>
        <w:bidi w:val="0"/>
        <w:spacing w:line="360" w:lineRule="auto"/>
        <w:ind w:right="0" w:rightChars="0" w:firstLine="480" w:firstLineChars="200"/>
        <w:jc w:val="left"/>
        <w:textAlignment w:val="auto"/>
        <w:outlineLvl w:val="1"/>
        <w:rPr>
          <w:rFonts w:hint="eastAsia" w:ascii="宋体" w:hAnsi="宋体" w:eastAsia="宋体" w:cs="宋体"/>
          <w:bCs/>
          <w:sz w:val="24"/>
          <w:szCs w:val="24"/>
        </w:rPr>
      </w:pPr>
      <w:r>
        <w:rPr>
          <w:rFonts w:hint="eastAsia" w:ascii="宋体" w:hAnsi="宋体" w:eastAsia="宋体" w:cs="宋体"/>
          <w:bCs/>
          <w:sz w:val="24"/>
          <w:szCs w:val="24"/>
        </w:rPr>
        <w:t>6.适用范围和禁忌证</w:t>
      </w:r>
    </w:p>
    <w:p w14:paraId="3AD32888">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6.1适用范围：</w:t>
      </w:r>
      <w:r>
        <w:rPr>
          <w:rFonts w:hint="eastAsia" w:ascii="宋体" w:hAnsi="宋体" w:eastAsia="宋体" w:cs="宋体"/>
          <w:kern w:val="0"/>
          <w:sz w:val="24"/>
          <w:szCs w:val="24"/>
        </w:rPr>
        <w:t>用于缓解因牙本质暴露而引起的牙齿敏感症状。</w:t>
      </w:r>
    </w:p>
    <w:p w14:paraId="4B3A44DD">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6.2适用人群：适用于有牙本质敏感症的人群。</w:t>
      </w:r>
    </w:p>
    <w:p w14:paraId="32067E41">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6.3预期使用环境：一般在医疗机构、牙科诊所内使用；部分产品可能多次使用或家用，应说明谨遵医嘱或在专业人士指导下使用。</w:t>
      </w:r>
    </w:p>
    <w:p w14:paraId="1329EEF6">
      <w:pPr>
        <w:keepNext w:val="0"/>
        <w:keepLines w:val="0"/>
        <w:pageBreakBefore w:val="0"/>
        <w:widowControl/>
        <w:kinsoku/>
        <w:wordWrap/>
        <w:topLinePunct w:val="0"/>
        <w:bidi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6.4禁忌证：应明确产品可能存在的禁忌证，至少包括已知对脱敏剂成分过敏者禁用。</w:t>
      </w:r>
    </w:p>
    <w:p w14:paraId="15BFBC9D">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7.不良事件情况（如适用）</w:t>
      </w:r>
    </w:p>
    <w:p w14:paraId="52F0C41A">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应当提交申报产品的</w:t>
      </w:r>
      <w:r>
        <w:rPr>
          <w:rFonts w:hint="eastAsia" w:ascii="宋体" w:hAnsi="宋体" w:eastAsia="宋体" w:cs="宋体"/>
          <w:bCs/>
          <w:sz w:val="24"/>
          <w:szCs w:val="24"/>
          <w:lang w:val="en-CA"/>
        </w:rPr>
        <w:t>上市、</w:t>
      </w:r>
      <w:r>
        <w:rPr>
          <w:rFonts w:hint="eastAsia" w:ascii="宋体" w:hAnsi="宋体" w:eastAsia="宋体" w:cs="宋体"/>
          <w:bCs/>
          <w:sz w:val="24"/>
          <w:szCs w:val="24"/>
        </w:rPr>
        <w:t>销售、</w:t>
      </w:r>
      <w:r>
        <w:rPr>
          <w:rFonts w:hint="eastAsia" w:ascii="宋体" w:hAnsi="宋体" w:eastAsia="宋体" w:cs="宋体"/>
          <w:bCs/>
          <w:sz w:val="24"/>
          <w:szCs w:val="24"/>
          <w:lang w:val="en-CA"/>
        </w:rPr>
        <w:t>不良事件和召回</w:t>
      </w:r>
      <w:r>
        <w:rPr>
          <w:rFonts w:hint="eastAsia" w:ascii="宋体" w:hAnsi="宋体" w:eastAsia="宋体" w:cs="宋体"/>
          <w:bCs/>
          <w:sz w:val="24"/>
          <w:szCs w:val="24"/>
        </w:rPr>
        <w:t>等相关情况分析资料。</w:t>
      </w:r>
    </w:p>
    <w:p w14:paraId="45906687">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（三）非临床资料</w:t>
      </w:r>
    </w:p>
    <w:p w14:paraId="3D8315D5">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pacing w:val="-1"/>
          <w:sz w:val="24"/>
          <w:szCs w:val="24"/>
        </w:rPr>
      </w:pPr>
      <w:r>
        <w:rPr>
          <w:rFonts w:hint="eastAsia" w:ascii="宋体" w:hAnsi="宋体" w:eastAsia="宋体" w:cs="宋体"/>
          <w:color w:val="000000"/>
          <w:sz w:val="24"/>
          <w:szCs w:val="24"/>
        </w:rPr>
        <w:t>1.</w:t>
      </w:r>
      <w:r>
        <w:rPr>
          <w:rFonts w:hint="eastAsia" w:ascii="宋体" w:hAnsi="宋体" w:eastAsia="宋体" w:cs="宋体"/>
          <w:color w:val="000000"/>
          <w:spacing w:val="-1"/>
          <w:sz w:val="24"/>
          <w:szCs w:val="24"/>
        </w:rPr>
        <w:t>产品风险管理资料</w:t>
      </w:r>
    </w:p>
    <w:p w14:paraId="35D7DF9A">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应对牙科脱敏剂进行风险分析（参照YY/T 0316《医疗器械风险管理对医疗器械的应用》），</w:t>
      </w:r>
      <w:r>
        <w:rPr>
          <w:rFonts w:hint="eastAsia" w:ascii="宋体" w:hAnsi="宋体" w:eastAsia="宋体" w:cs="宋体"/>
          <w:sz w:val="24"/>
          <w:szCs w:val="24"/>
        </w:rPr>
        <w:t>对产品生命周期全过程实施风险管理。以下依据YY/T 0316附录E列举了牙科脱敏剂的主要危害举例（见表1）。</w:t>
      </w:r>
      <w:r>
        <w:rPr>
          <w:rFonts w:hint="eastAsia" w:ascii="宋体" w:hAnsi="宋体" w:eastAsia="宋体" w:cs="宋体"/>
          <w:bCs/>
          <w:sz w:val="24"/>
          <w:szCs w:val="24"/>
        </w:rPr>
        <w:tab/>
      </w:r>
    </w:p>
    <w:p w14:paraId="5A0354F7">
      <w:pPr>
        <w:keepNext w:val="0"/>
        <w:keepLines w:val="0"/>
        <w:pageBreakBefore w:val="0"/>
        <w:widowControl/>
        <w:kinsoku/>
        <w:wordWrap/>
        <w:topLinePunct w:val="0"/>
        <w:bidi w:val="0"/>
        <w:spacing w:line="360" w:lineRule="auto"/>
        <w:ind w:right="0" w:rightChars="0" w:firstLine="228" w:firstLineChars="95"/>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表1牙科脱敏剂的主要危害举例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483"/>
        <w:gridCol w:w="4237"/>
        <w:gridCol w:w="2944"/>
      </w:tblGrid>
      <w:tr w14:paraId="197E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2" w:type="dxa"/>
            <w:gridSpan w:val="2"/>
            <w:vAlign w:val="center"/>
          </w:tcPr>
          <w:p w14:paraId="74468D5D">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危险（源）</w:t>
            </w:r>
          </w:p>
        </w:tc>
        <w:tc>
          <w:tcPr>
            <w:tcW w:w="4237" w:type="dxa"/>
            <w:vAlign w:val="center"/>
          </w:tcPr>
          <w:p w14:paraId="34A63818">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可预见的事件序列</w:t>
            </w:r>
          </w:p>
        </w:tc>
        <w:tc>
          <w:tcPr>
            <w:tcW w:w="2944" w:type="dxa"/>
            <w:vAlign w:val="center"/>
          </w:tcPr>
          <w:p w14:paraId="4CFFE952">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危险情况</w:t>
            </w:r>
          </w:p>
        </w:tc>
      </w:tr>
      <w:tr w14:paraId="6999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52B162B2">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生物学和化学危险（源）</w:t>
            </w:r>
          </w:p>
        </w:tc>
        <w:tc>
          <w:tcPr>
            <w:tcW w:w="1483" w:type="dxa"/>
            <w:vAlign w:val="center"/>
          </w:tcPr>
          <w:p w14:paraId="0EA88D9C">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生物污染</w:t>
            </w:r>
          </w:p>
        </w:tc>
        <w:tc>
          <w:tcPr>
            <w:tcW w:w="4237" w:type="dxa"/>
            <w:vAlign w:val="center"/>
          </w:tcPr>
          <w:p w14:paraId="6EDB50B7">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包装破损或使用时操作不规范造成生物污染；产品微生物指标过高</w:t>
            </w:r>
          </w:p>
        </w:tc>
        <w:tc>
          <w:tcPr>
            <w:tcW w:w="2944" w:type="dxa"/>
            <w:vAlign w:val="center"/>
          </w:tcPr>
          <w:p w14:paraId="72D7DC11">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产品带致病菌，引起患者身体不适或感染</w:t>
            </w:r>
          </w:p>
        </w:tc>
      </w:tr>
      <w:tr w14:paraId="3EB9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6B207B82">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p>
        </w:tc>
        <w:tc>
          <w:tcPr>
            <w:tcW w:w="1483" w:type="dxa"/>
            <w:vAlign w:val="center"/>
          </w:tcPr>
          <w:p w14:paraId="7C0D1D02">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环境污染</w:t>
            </w:r>
          </w:p>
        </w:tc>
        <w:tc>
          <w:tcPr>
            <w:tcW w:w="4237" w:type="dxa"/>
            <w:vAlign w:val="center"/>
          </w:tcPr>
          <w:p w14:paraId="6BFA69BF">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生产环境污染产品，如外来的粉尘、微生物、其他杂质等</w:t>
            </w:r>
          </w:p>
        </w:tc>
        <w:tc>
          <w:tcPr>
            <w:tcW w:w="2944" w:type="dxa"/>
            <w:vAlign w:val="center"/>
          </w:tcPr>
          <w:p w14:paraId="51460F33">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引起患者身体不适或感染</w:t>
            </w:r>
          </w:p>
        </w:tc>
      </w:tr>
      <w:tr w14:paraId="39D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79" w:type="dxa"/>
            <w:vMerge w:val="continue"/>
            <w:vAlign w:val="center"/>
          </w:tcPr>
          <w:p w14:paraId="661D4BF6">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p>
        </w:tc>
        <w:tc>
          <w:tcPr>
            <w:tcW w:w="1483" w:type="dxa"/>
            <w:vAlign w:val="center"/>
          </w:tcPr>
          <w:p w14:paraId="32A536F8">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生物相容性</w:t>
            </w:r>
          </w:p>
        </w:tc>
        <w:tc>
          <w:tcPr>
            <w:tcW w:w="4237" w:type="dxa"/>
            <w:vAlign w:val="center"/>
          </w:tcPr>
          <w:p w14:paraId="7FA6C05F">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采用了不合格原辅材料；生产引入了外来物质</w:t>
            </w:r>
          </w:p>
        </w:tc>
        <w:tc>
          <w:tcPr>
            <w:tcW w:w="2944" w:type="dxa"/>
            <w:vAlign w:val="center"/>
          </w:tcPr>
          <w:p w14:paraId="4324734F">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产生毒性或刺激</w:t>
            </w:r>
          </w:p>
        </w:tc>
      </w:tr>
      <w:tr w14:paraId="623C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079" w:type="dxa"/>
            <w:vMerge w:val="continue"/>
            <w:vAlign w:val="center"/>
          </w:tcPr>
          <w:p w14:paraId="7BA86515">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p>
        </w:tc>
        <w:tc>
          <w:tcPr>
            <w:tcW w:w="1483" w:type="dxa"/>
            <w:vAlign w:val="center"/>
          </w:tcPr>
          <w:p w14:paraId="1016EA1C">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化学危害</w:t>
            </w:r>
          </w:p>
        </w:tc>
        <w:tc>
          <w:tcPr>
            <w:tcW w:w="4237" w:type="dxa"/>
            <w:vAlign w:val="center"/>
          </w:tcPr>
          <w:p w14:paraId="75E544C4">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生产工艺控制不严</w:t>
            </w:r>
          </w:p>
          <w:p w14:paraId="3D38645E">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不正确的配方（化学成分）</w:t>
            </w:r>
          </w:p>
          <w:p w14:paraId="652C78B9">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未按照工艺要求配料</w:t>
            </w:r>
          </w:p>
          <w:p w14:paraId="361CA2EE">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添加剂或助剂使用比例不正确</w:t>
            </w:r>
          </w:p>
          <w:p w14:paraId="4705689F">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氟离子含量超出安全范围</w:t>
            </w:r>
          </w:p>
        </w:tc>
        <w:tc>
          <w:tcPr>
            <w:tcW w:w="2944" w:type="dxa"/>
            <w:vAlign w:val="center"/>
          </w:tcPr>
          <w:p w14:paraId="2AAD3F8C">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造成毒性危害</w:t>
            </w:r>
          </w:p>
        </w:tc>
      </w:tr>
      <w:tr w14:paraId="4FAB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6B19F2DA">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操作</w:t>
            </w:r>
          </w:p>
          <w:p w14:paraId="66A6D17E">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危险（源）</w:t>
            </w:r>
          </w:p>
        </w:tc>
        <w:tc>
          <w:tcPr>
            <w:tcW w:w="1483" w:type="dxa"/>
            <w:vAlign w:val="center"/>
          </w:tcPr>
          <w:p w14:paraId="55F37D6B">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由不熟练/未经培训的人员使用</w:t>
            </w:r>
          </w:p>
        </w:tc>
        <w:tc>
          <w:tcPr>
            <w:tcW w:w="4237" w:type="dxa"/>
            <w:vAlign w:val="center"/>
          </w:tcPr>
          <w:p w14:paraId="34C09481">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操作不熟练、操作失误</w:t>
            </w:r>
          </w:p>
        </w:tc>
        <w:tc>
          <w:tcPr>
            <w:tcW w:w="2944" w:type="dxa"/>
          </w:tcPr>
          <w:p w14:paraId="38123CE7">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无法保证使用安全性</w:t>
            </w:r>
          </w:p>
          <w:p w14:paraId="2B2076A8">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导致操作失误，</w:t>
            </w:r>
            <w:r>
              <w:rPr>
                <w:rFonts w:hint="eastAsia" w:ascii="宋体" w:hAnsi="宋体" w:eastAsia="宋体" w:cs="宋体"/>
                <w:color w:val="000000"/>
                <w:sz w:val="24"/>
                <w:szCs w:val="24"/>
              </w:rPr>
              <w:t>导致无法达到满意的脱敏效果</w:t>
            </w:r>
          </w:p>
        </w:tc>
      </w:tr>
      <w:tr w14:paraId="3F05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1EC002B9">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p>
        </w:tc>
        <w:tc>
          <w:tcPr>
            <w:tcW w:w="1483" w:type="dxa"/>
            <w:vAlign w:val="center"/>
          </w:tcPr>
          <w:p w14:paraId="557215B5">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使用产品时未按照说明书中操作方法操作</w:t>
            </w:r>
          </w:p>
        </w:tc>
        <w:tc>
          <w:tcPr>
            <w:tcW w:w="4237" w:type="dxa"/>
            <w:vAlign w:val="center"/>
          </w:tcPr>
          <w:p w14:paraId="7AF15579">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错误操作；未采取相应的保护措施</w:t>
            </w:r>
          </w:p>
        </w:tc>
        <w:tc>
          <w:tcPr>
            <w:tcW w:w="2944" w:type="dxa"/>
          </w:tcPr>
          <w:p w14:paraId="182C335F">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无法保证使用安全性</w:t>
            </w:r>
          </w:p>
          <w:p w14:paraId="3F20D338">
            <w:pPr>
              <w:keepNext w:val="0"/>
              <w:keepLines w:val="0"/>
              <w:pageBreakBefore w:val="0"/>
              <w:kinsoku/>
              <w:wordWrap/>
              <w:topLinePunct w:val="0"/>
              <w:bidi w:val="0"/>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bCs/>
                <w:sz w:val="24"/>
                <w:szCs w:val="24"/>
              </w:rPr>
              <w:t>导致操作失误，</w:t>
            </w:r>
            <w:r>
              <w:rPr>
                <w:rFonts w:hint="eastAsia" w:ascii="宋体" w:hAnsi="宋体" w:eastAsia="宋体" w:cs="宋体"/>
                <w:color w:val="000000"/>
                <w:sz w:val="24"/>
                <w:szCs w:val="24"/>
              </w:rPr>
              <w:t>导致无法达到满意的脱敏效果</w:t>
            </w:r>
          </w:p>
        </w:tc>
      </w:tr>
      <w:tr w14:paraId="2D21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02BF213B">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p>
        </w:tc>
        <w:tc>
          <w:tcPr>
            <w:tcW w:w="1483" w:type="dxa"/>
            <w:vAlign w:val="center"/>
          </w:tcPr>
          <w:p w14:paraId="103D93CE">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忽视说明书中禁忌证、警示信息等内容</w:t>
            </w:r>
          </w:p>
        </w:tc>
        <w:tc>
          <w:tcPr>
            <w:tcW w:w="4237" w:type="dxa"/>
            <w:vAlign w:val="center"/>
          </w:tcPr>
          <w:p w14:paraId="4F9DC322">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患者在使用过程中出现过敏；产品接触到牙龈、皮肤、眼睛等其他部位</w:t>
            </w:r>
          </w:p>
        </w:tc>
        <w:tc>
          <w:tcPr>
            <w:tcW w:w="2944" w:type="dxa"/>
            <w:vAlign w:val="center"/>
          </w:tcPr>
          <w:p w14:paraId="6A829371">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引起患者过敏，牙龈、皮肤、眼睛等其他部位产生刺激性</w:t>
            </w:r>
          </w:p>
        </w:tc>
      </w:tr>
      <w:tr w14:paraId="0970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50000129">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信息</w:t>
            </w:r>
          </w:p>
          <w:p w14:paraId="7ED8E7A1">
            <w:pPr>
              <w:keepNext w:val="0"/>
              <w:keepLines w:val="0"/>
              <w:pageBreakBefore w:val="0"/>
              <w:kinsoku/>
              <w:wordWrap/>
              <w:topLinePunct w:val="0"/>
              <w:bidi w:val="0"/>
              <w:spacing w:line="360" w:lineRule="auto"/>
              <w:ind w:right="0" w:rightChars="0"/>
              <w:jc w:val="center"/>
              <w:textAlignment w:val="auto"/>
              <w:rPr>
                <w:rFonts w:hint="eastAsia" w:ascii="宋体" w:hAnsi="宋体" w:eastAsia="宋体" w:cs="宋体"/>
                <w:bCs/>
                <w:sz w:val="24"/>
                <w:szCs w:val="24"/>
              </w:rPr>
            </w:pPr>
            <w:r>
              <w:rPr>
                <w:rFonts w:hint="eastAsia" w:ascii="宋体" w:hAnsi="宋体" w:eastAsia="宋体" w:cs="宋体"/>
                <w:bCs/>
                <w:sz w:val="24"/>
                <w:szCs w:val="24"/>
              </w:rPr>
              <w:t>危险（源）</w:t>
            </w:r>
          </w:p>
        </w:tc>
        <w:tc>
          <w:tcPr>
            <w:tcW w:w="1483" w:type="dxa"/>
            <w:vAlign w:val="center"/>
          </w:tcPr>
          <w:p w14:paraId="3573A994">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不正确的标签</w:t>
            </w:r>
          </w:p>
        </w:tc>
        <w:tc>
          <w:tcPr>
            <w:tcW w:w="4237" w:type="dxa"/>
            <w:vAlign w:val="center"/>
          </w:tcPr>
          <w:p w14:paraId="76F97781">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外部标记不全面、标记不正确或不能够清楚易认</w:t>
            </w:r>
          </w:p>
        </w:tc>
        <w:tc>
          <w:tcPr>
            <w:tcW w:w="2944" w:type="dxa"/>
            <w:vAlign w:val="center"/>
          </w:tcPr>
          <w:p w14:paraId="2BC87F3C">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错误使用；储存错误；</w:t>
            </w:r>
          </w:p>
          <w:p w14:paraId="6645F4DC">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产品辨别错误</w:t>
            </w:r>
          </w:p>
        </w:tc>
      </w:tr>
      <w:tr w14:paraId="7574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36E01B79">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p>
        </w:tc>
        <w:tc>
          <w:tcPr>
            <w:tcW w:w="1483" w:type="dxa"/>
            <w:vAlign w:val="center"/>
          </w:tcPr>
          <w:p w14:paraId="2EF206FB">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不正确的说明书；说明书上的注意事项、禁忌证不全</w:t>
            </w:r>
          </w:p>
        </w:tc>
        <w:tc>
          <w:tcPr>
            <w:tcW w:w="4237" w:type="dxa"/>
            <w:vAlign w:val="center"/>
          </w:tcPr>
          <w:p w14:paraId="30B8137C">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缺少详细的使用方法、必要的警告说明</w:t>
            </w:r>
          </w:p>
        </w:tc>
        <w:tc>
          <w:tcPr>
            <w:tcW w:w="2944" w:type="dxa"/>
            <w:vAlign w:val="center"/>
          </w:tcPr>
          <w:p w14:paraId="3FA15C9F">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错误操作；无法保证使用安全有效性</w:t>
            </w:r>
          </w:p>
        </w:tc>
      </w:tr>
      <w:tr w14:paraId="61BE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296192E1">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p>
        </w:tc>
        <w:tc>
          <w:tcPr>
            <w:tcW w:w="1483" w:type="dxa"/>
            <w:vAlign w:val="center"/>
          </w:tcPr>
          <w:p w14:paraId="24E85503">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对医疗器械寿命终止缺少适当的决定</w:t>
            </w:r>
          </w:p>
        </w:tc>
        <w:tc>
          <w:tcPr>
            <w:tcW w:w="4237" w:type="dxa"/>
            <w:vAlign w:val="center"/>
          </w:tcPr>
          <w:p w14:paraId="56B022E9">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没有标识产品有效期</w:t>
            </w:r>
          </w:p>
        </w:tc>
        <w:tc>
          <w:tcPr>
            <w:tcW w:w="2944" w:type="dxa"/>
            <w:vAlign w:val="center"/>
          </w:tcPr>
          <w:p w14:paraId="19DABE2B">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超出有效期的产品被使用，或因材料老化产生而导致产品性能不符合要求</w:t>
            </w:r>
          </w:p>
        </w:tc>
      </w:tr>
      <w:tr w14:paraId="13C5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088D8F9">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p>
        </w:tc>
        <w:tc>
          <w:tcPr>
            <w:tcW w:w="1483" w:type="dxa"/>
            <w:vAlign w:val="center"/>
          </w:tcPr>
          <w:p w14:paraId="2CAA65A2">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不适当的产品包装（产品污染和／或变性）</w:t>
            </w:r>
          </w:p>
        </w:tc>
        <w:tc>
          <w:tcPr>
            <w:tcW w:w="4237" w:type="dxa"/>
            <w:vAlign w:val="center"/>
          </w:tcPr>
          <w:p w14:paraId="4ED64C65">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生产、运输、搬运和储存过程中导致包装破损；包装封口不严密；包装材料选择不适当；使用前未检查产品包装状态</w:t>
            </w:r>
          </w:p>
        </w:tc>
        <w:tc>
          <w:tcPr>
            <w:tcW w:w="2944" w:type="dxa"/>
            <w:vAlign w:val="center"/>
          </w:tcPr>
          <w:p w14:paraId="418F5FCC">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产品使用性能无法得到保证</w:t>
            </w:r>
          </w:p>
        </w:tc>
      </w:tr>
      <w:tr w14:paraId="631C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10496E4B">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p>
        </w:tc>
        <w:tc>
          <w:tcPr>
            <w:tcW w:w="1483" w:type="dxa"/>
            <w:vAlign w:val="center"/>
          </w:tcPr>
          <w:p w14:paraId="3DEE56B2">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再次使用和/或不适当的再次使用</w:t>
            </w:r>
          </w:p>
        </w:tc>
        <w:tc>
          <w:tcPr>
            <w:tcW w:w="4237" w:type="dxa"/>
            <w:vAlign w:val="center"/>
          </w:tcPr>
          <w:p w14:paraId="44A260C9">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未说明产品配件（如有）使用方法；产品多次使用，未说明具体操作方法</w:t>
            </w:r>
          </w:p>
        </w:tc>
        <w:tc>
          <w:tcPr>
            <w:tcW w:w="2944" w:type="dxa"/>
            <w:vAlign w:val="center"/>
          </w:tcPr>
          <w:p w14:paraId="395FED48">
            <w:pPr>
              <w:keepNext w:val="0"/>
              <w:keepLines w:val="0"/>
              <w:pageBreakBefore w:val="0"/>
              <w:kinsoku/>
              <w:wordWrap/>
              <w:topLinePunct w:val="0"/>
              <w:bidi w:val="0"/>
              <w:spacing w:line="360" w:lineRule="auto"/>
              <w:ind w:right="0" w:rightChars="0"/>
              <w:textAlignment w:val="auto"/>
              <w:rPr>
                <w:rFonts w:hint="eastAsia" w:ascii="宋体" w:hAnsi="宋体" w:eastAsia="宋体" w:cs="宋体"/>
                <w:bCs/>
                <w:sz w:val="24"/>
                <w:szCs w:val="24"/>
              </w:rPr>
            </w:pPr>
            <w:r>
              <w:rPr>
                <w:rFonts w:hint="eastAsia" w:ascii="宋体" w:hAnsi="宋体" w:eastAsia="宋体" w:cs="宋体"/>
                <w:bCs/>
                <w:sz w:val="24"/>
                <w:szCs w:val="24"/>
              </w:rPr>
              <w:t>出现细菌感染、交叉感染等现象</w:t>
            </w:r>
          </w:p>
        </w:tc>
      </w:tr>
    </w:tbl>
    <w:p w14:paraId="794926F6">
      <w:pPr>
        <w:keepNext w:val="0"/>
        <w:keepLines w:val="0"/>
        <w:pageBreakBefore w:val="0"/>
        <w:kinsoku/>
        <w:wordWrap/>
        <w:topLinePunct w:val="0"/>
        <w:bidi w:val="0"/>
        <w:adjustRightInd w:val="0"/>
        <w:snapToGrid w:val="0"/>
        <w:spacing w:line="360" w:lineRule="auto"/>
        <w:ind w:right="0" w:rightChars="0" w:firstLine="476" w:firstLineChars="200"/>
        <w:textAlignment w:val="auto"/>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注册申请人还应根据自身产品特点确定其他危害，可通过产品设计控制、产品原材料选择、产品技术性能指标的制定、正确的标签标识、生产和检验控制、产品说明书等多项措施以降低风险至可接受水平。</w:t>
      </w:r>
    </w:p>
    <w:p w14:paraId="0F1D3551">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pacing w:val="-1"/>
          <w:sz w:val="24"/>
          <w:szCs w:val="24"/>
        </w:rPr>
      </w:pPr>
      <w:r>
        <w:rPr>
          <w:rFonts w:hint="eastAsia" w:ascii="宋体" w:hAnsi="宋体" w:eastAsia="宋体" w:cs="宋体"/>
          <w:color w:val="000000"/>
          <w:sz w:val="24"/>
          <w:szCs w:val="24"/>
        </w:rPr>
        <w:t>2.</w:t>
      </w:r>
      <w:r>
        <w:rPr>
          <w:rFonts w:hint="eastAsia" w:ascii="宋体" w:hAnsi="宋体" w:eastAsia="宋体" w:cs="宋体"/>
          <w:color w:val="000000"/>
          <w:spacing w:val="-1"/>
          <w:sz w:val="24"/>
          <w:szCs w:val="24"/>
        </w:rPr>
        <w:t>产品技术要求及检验报告</w:t>
      </w:r>
    </w:p>
    <w:p w14:paraId="0A0FD39E">
      <w:pPr>
        <w:keepNext w:val="0"/>
        <w:keepLines w:val="0"/>
        <w:pageBreakBefore w:val="0"/>
        <w:kinsoku/>
        <w:wordWrap/>
        <w:topLinePunct w:val="0"/>
        <w:bidi w:val="0"/>
        <w:adjustRightInd w:val="0"/>
        <w:snapToGrid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color w:val="000000"/>
          <w:spacing w:val="-1"/>
          <w:sz w:val="24"/>
          <w:szCs w:val="24"/>
        </w:rPr>
        <w:t>产品技术要求</w:t>
      </w:r>
    </w:p>
    <w:p w14:paraId="18F11391">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技术要求的制定应符合《医疗器械产品技术要求编写指导原则》的法规要求。注册申请人应依据产品的技术特征和临床使用情况来确定产品安全有效、质量可控的技术要求和检验方法。建议在产品技术要求型号规格及划分说明中列明各组分的名称、含量，各组分比例之和应为100%。本指导原则给出脱敏剂需要考虑的产品基本技术性能指标，注册申请人根据自身产品的技术特点和用途制定相应的性能指标，且性能指标不得低于强制性国家标准、行业标准。</w:t>
      </w:r>
    </w:p>
    <w:p w14:paraId="3F4B13BB">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脱敏剂产品性能指标至少应包括以下几点：</w:t>
      </w:r>
    </w:p>
    <w:p w14:paraId="379D4D92">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2.1.1外观及性状：制造商根据产品实际进行描述。</w:t>
      </w:r>
    </w:p>
    <w:p w14:paraId="374EC2CA">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2.1.2装量：应明确装量及允差。</w:t>
      </w:r>
    </w:p>
    <w:p w14:paraId="7C6B464B">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2.1.3主要功能成分含量范围：如总氟含量、可溶氟/游离氟含量、钾含量、锶含量或精氨酸含量等。</w:t>
      </w:r>
    </w:p>
    <w:p w14:paraId="74D809AF">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 pH值：制造商应明确pH值范围。</w:t>
      </w:r>
    </w:p>
    <w:p w14:paraId="1390D328">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2.1.5重金属总含量（以铅计）、砷含量、镉含量（如适用）：结合产品原材料、生产加工工艺等明确接受限。</w:t>
      </w:r>
    </w:p>
    <w:p w14:paraId="1E1B088B">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2.1.6微生物限度：需氧菌总数、霉菌与酵母菌总数结合产品原材料、生产加工工艺等明确接受限，不得检出大肠埃希菌、金黄色葡萄球菌、铜绿假单胞菌。</w:t>
      </w:r>
    </w:p>
    <w:p w14:paraId="5234C3FB">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2.1.7牙本质片相对通透值或牙本质小管堵塞率（如适用）。</w:t>
      </w:r>
    </w:p>
    <w:p w14:paraId="00E48EE7">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2.1.8若产品的作用机理为涂布后成膜以快速封闭敏感区，建议考虑涂膜厚度、均匀性、涂层滞留时间。</w:t>
      </w:r>
    </w:p>
    <w:p w14:paraId="5EC0C0CB">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2.1.9配套使用部件的相关要求（如适用）。</w:t>
      </w:r>
    </w:p>
    <w:p w14:paraId="403EC5A4">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w:t>
      </w:r>
      <w:r>
        <w:rPr>
          <w:rFonts w:hint="eastAsia" w:ascii="宋体" w:hAnsi="宋体" w:eastAsia="宋体" w:cs="宋体"/>
          <w:color w:val="000000"/>
          <w:spacing w:val="-1"/>
          <w:sz w:val="24"/>
          <w:szCs w:val="24"/>
        </w:rPr>
        <w:t>检验报告</w:t>
      </w:r>
    </w:p>
    <w:p w14:paraId="7DAEC3F8">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2.2.1检验报告可以是注册申请人出具的自检报告，也可以是委托有资质的医疗器械检验机构出具的检验报告。</w:t>
      </w:r>
    </w:p>
    <w:p w14:paraId="14058678">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2.2.2</w:t>
      </w:r>
      <w:r>
        <w:rPr>
          <w:rFonts w:hint="eastAsia" w:ascii="宋体" w:hAnsi="宋体" w:eastAsia="宋体" w:cs="宋体"/>
          <w:sz w:val="24"/>
          <w:szCs w:val="24"/>
        </w:rPr>
        <w:t>同一注册单元内所检验的产品应当能够代表本注册单元内其他产品的安全性和有效性。在产品组成成分相同的情况下，可选取合适装量的产品作为典型产品进行检测；不同性状的产品应分别进行检测。</w:t>
      </w:r>
    </w:p>
    <w:p w14:paraId="72EC403E">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pacing w:val="-1"/>
          <w:sz w:val="24"/>
          <w:szCs w:val="24"/>
        </w:rPr>
      </w:pPr>
      <w:r>
        <w:rPr>
          <w:rFonts w:hint="eastAsia" w:ascii="宋体" w:hAnsi="宋体" w:eastAsia="宋体" w:cs="宋体"/>
          <w:color w:val="000000"/>
          <w:sz w:val="24"/>
          <w:szCs w:val="24"/>
        </w:rPr>
        <w:t>3.</w:t>
      </w:r>
      <w:r>
        <w:rPr>
          <w:rFonts w:hint="eastAsia" w:ascii="宋体" w:hAnsi="宋体" w:eastAsia="宋体" w:cs="宋体"/>
          <w:color w:val="000000"/>
          <w:spacing w:val="-1"/>
          <w:sz w:val="24"/>
          <w:szCs w:val="24"/>
        </w:rPr>
        <w:t>研究资料</w:t>
      </w:r>
    </w:p>
    <w:p w14:paraId="0814282D">
      <w:pPr>
        <w:keepNext w:val="0"/>
        <w:keepLines w:val="0"/>
        <w:pageBreakBefore w:val="0"/>
        <w:kinsoku/>
        <w:wordWrap/>
        <w:topLinePunct w:val="0"/>
        <w:bidi w:val="0"/>
        <w:adjustRightInd w:val="0"/>
        <w:snapToGrid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根据所申报的产品，提供相应的研究资料。</w:t>
      </w:r>
    </w:p>
    <w:p w14:paraId="1BF1BAEF">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3.1原材料控制</w:t>
      </w:r>
    </w:p>
    <w:p w14:paraId="279A0881">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明确各种原料的化学名称、CAS号、化学结构式/分子式、分子量（如适用）、来源和纯度（如适用）、使用量或组成比例、作用、符合的标准、注册申请人的验收标准及相关的支持性资料，建议以列表的形式提供，并说明原材料的选择依据及来源。</w:t>
      </w:r>
    </w:p>
    <w:p w14:paraId="74406FF0">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3.2产品性能研究</w:t>
      </w:r>
    </w:p>
    <w:p w14:paraId="4157DBC4">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申报资料中应包括产品性能研究资料以及产品技术要求的研究和编制说明，</w:t>
      </w:r>
      <w:r>
        <w:rPr>
          <w:rFonts w:hint="eastAsia" w:ascii="宋体" w:hAnsi="宋体" w:eastAsia="宋体" w:cs="宋体"/>
          <w:bCs/>
          <w:sz w:val="24"/>
          <w:szCs w:val="24"/>
        </w:rPr>
        <w:t>包括所有指标的确定依据</w:t>
      </w:r>
      <w:r>
        <w:rPr>
          <w:rFonts w:hint="eastAsia" w:ascii="宋体" w:hAnsi="宋体" w:eastAsia="宋体" w:cs="宋体"/>
          <w:sz w:val="24"/>
          <w:szCs w:val="24"/>
        </w:rPr>
        <w:t>，所采用的标准或方法、采用的原因及理论基础。重点关注以下几点：</w:t>
      </w:r>
    </w:p>
    <w:p w14:paraId="7F4F09C3">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牙本质小管封堵效果研究资料。对于通过堵塞牙本质小管发挥脱敏作用的产品，目前主要有两种测试方法来体外评价其封堵效果，可选择其中一种方法进行试验。一是牙本质通透性测试法，通过测量牙本质片经试验样品处理前后的通透值，得到经试验样品处理后的牙本质片相对通透值；二是扫描电镜观察法，通过扫描电镜观察并记录牙本质片经试验样品处理后的未被封堵牙本质小管数，同时记录对照组牙本质片管口开放的牙本质小管数，经计算得到牙本质小管堵塞率。</w:t>
      </w:r>
    </w:p>
    <w:p w14:paraId="3AB8001F">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于需要较长时间使用的脱敏剂，还应考虑其作用频次。建议注册申请人自定牙本质片相对通透值或牙本质小管堵塞率的接受限值，论述其确定依据，对可接受性进行评价，说明能否达到预期临床效果。对于与已上市产品成分或含量差异较大的牙本质脱敏材料，建议两种试验方法均可考虑。对于需与活体牙牙本质小管液内胶原蛋白产生反应的牙本质脱敏材料（如戊二醛类），以及其他作用机理的牙本质脱敏材料，以上两种测试方法不适用，可考虑其他方法论证产品的脱敏效果。</w:t>
      </w:r>
    </w:p>
    <w:p w14:paraId="1CCE310C">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3.2.2若产品有效成分为氟化物，建议提交产品氟含量确定的依据，并对氟的溶出特性进行研究，同时提交氟含量不导致氟牙症、氟骨症的安全范围内的相关研究资料。</w:t>
      </w:r>
    </w:p>
    <w:p w14:paraId="22F58FAD">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3.2.3若产品有效成分为戊二醛，建议提交戊二醛含量确定依据以及残留戊二醛对人体是否产生影响的研究资料。</w:t>
      </w:r>
    </w:p>
    <w:p w14:paraId="09F93518">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3.2.4若产品有效成分为钾盐，建议提交产品钾含量确定的依据。</w:t>
      </w:r>
    </w:p>
    <w:p w14:paraId="1B955956">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3.2.5对于矿化机理的产品，注册申请人应结合申报产品原材料组分，提供关于矿化效果、量效关系相关研究资料。</w:t>
      </w:r>
    </w:p>
    <w:p w14:paraId="4B9D28CA">
      <w:pPr>
        <w:keepNext w:val="0"/>
        <w:keepLines w:val="0"/>
        <w:pageBreakBefore w:val="0"/>
        <w:kinsoku/>
        <w:wordWrap/>
        <w:overflowPunct w:val="0"/>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3.2.6对于说明书中宣称的内容提供相应研究资料，如单次/累积用量研究、与有效性有关的指标性能研究。</w:t>
      </w:r>
    </w:p>
    <w:p w14:paraId="3C2F16D4">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3.3生物学特性研究</w:t>
      </w:r>
    </w:p>
    <w:p w14:paraId="5432391E">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color w:val="000000"/>
          <w:kern w:val="0"/>
          <w:sz w:val="24"/>
          <w:szCs w:val="24"/>
        </w:rPr>
        <w:t>脱敏剂产品接触牙本质，属于表面接触的器械（参照YY/T 0268《牙科学口腔医疗器械生物学评价第1单元：评价与试验》），接触时间结合产品具体的使用方法确定，应考虑累计使用时间，生物相容性评价应遵循GB/T 16886.1《医疗器械生物学评价第1部分：风险管理过程中的评价与试验》和YY/T 0268《牙科学口腔医疗器械生物学评价第1单元：评价与试验》相关要求。</w:t>
      </w:r>
      <w:r>
        <w:rPr>
          <w:rFonts w:hint="eastAsia" w:ascii="宋体" w:hAnsi="宋体" w:eastAsia="宋体" w:cs="宋体"/>
          <w:bCs/>
          <w:sz w:val="24"/>
          <w:szCs w:val="24"/>
        </w:rPr>
        <w:t>生物学试验项目（参考YY/T 0268《牙科学口腔医疗器械生物学评价第1单元：评价与试验项目选择》）建议至少考虑：体外细胞毒性试验、皮肤致敏反应试验、口腔黏膜刺激反应（或皮内反应），如不适用，提交相关依据。若产品累计接触时间达到持久接触，需考虑更多的评价项目；若产品拟于近髓深龋使用，建议考虑评价对牙髓的影响。</w:t>
      </w:r>
    </w:p>
    <w:p w14:paraId="7F3668B5">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color w:val="000000"/>
          <w:kern w:val="0"/>
          <w:sz w:val="24"/>
          <w:szCs w:val="24"/>
        </w:rPr>
        <w:t>部分牙科脱敏材料，如含氟化钠或戊二醛，难以直接通过生物学试验来进行评价，应结合生物学试验结果、临床使用技术/部位、同类产品情况综合论述产品在满足预期用途的同时未引入不可接受的生物学风险，建议通过与已上市同类产品对比、提交文献资料等多种方式综合评价产品的生物相容性，考虑临床使用的风险受益比。</w:t>
      </w:r>
    </w:p>
    <w:p w14:paraId="41A1D2F8">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3.4产品有效期和包装研究</w:t>
      </w:r>
    </w:p>
    <w:p w14:paraId="60373407">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3.4.1应明确产品有效期，提供产品有效期的验证资料，并结合临床实际使用情况，考虑大装量产品开封后稳定性。可参考YY/T 0681.1《无菌医疗器械包装试验方法第1部分：加速老化试验指南》或《无源植入性医疗器械货架有效期注册申报资料指导原则》中适用的部分提供加速稳定性试验或实时稳定性试验验证资料。</w:t>
      </w:r>
    </w:p>
    <w:p w14:paraId="7D3536EB">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w:t>
      </w:r>
      <w:r>
        <w:rPr>
          <w:rFonts w:hint="eastAsia" w:ascii="宋体" w:hAnsi="宋体" w:eastAsia="宋体" w:cs="宋体"/>
          <w:spacing w:val="-6"/>
          <w:sz w:val="24"/>
          <w:szCs w:val="24"/>
        </w:rPr>
        <w:t>包装及包装完整性：该产品根据</w:t>
      </w:r>
      <w:r>
        <w:rPr>
          <w:rFonts w:hint="eastAsia" w:ascii="宋体" w:hAnsi="宋体" w:eastAsia="宋体" w:cs="宋体"/>
          <w:sz w:val="24"/>
          <w:szCs w:val="24"/>
        </w:rPr>
        <w:t>不同的性状（如粉剂、凝胶、糊剂等），采用不同的包装材料。应明确产品的内包装形式并确保包装在宣称的运输储存条件下，在产品有效期内能够对产品起到防护作用并保持产品清洁。产品包装验证可参考有关国内、国际标准进行（如GB/T 19633.1、YY/T 0681.15等），提交产品的包装验证报告。包装材料的选择应考虑以下因素：包装材料的物理化学性能；是否会引入重金属、微生物等外来物质；包装材料与成型和密封过程的适应性；包装材料与产品的适应性；包装材料与标签系统的适应性；包装材料与贮存运输过程的适合性；包装有效期。包装验证的资料内容应与包装说明中给出的信息相符。</w:t>
      </w:r>
    </w:p>
    <w:p w14:paraId="08C855B7">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3.5其他研究</w:t>
      </w:r>
    </w:p>
    <w:p w14:paraId="2A75EB74">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证明产品安全性、有效性的其他研究资料。若产品装在推注器中，或有配套使用的其他部件（如牙托），应考虑产品与这些部件的适宜性，说明对这些部件的要求。</w:t>
      </w:r>
    </w:p>
    <w:p w14:paraId="7FEE5571">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（四）临床评价资料</w:t>
      </w:r>
    </w:p>
    <w:p w14:paraId="0DC8AC97">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该产品列入《免于临床评价医疗器械目录》，注册申请人无需提交临床评价资料。</w:t>
      </w:r>
    </w:p>
    <w:p w14:paraId="1CC408FA">
      <w:pPr>
        <w:keepNext w:val="0"/>
        <w:keepLines w:val="0"/>
        <w:pageBreakBefore w:val="0"/>
        <w:tabs>
          <w:tab w:val="left" w:pos="6521"/>
        </w:tabs>
        <w:kinsoku/>
        <w:wordWrap/>
        <w:topLinePunct w:val="0"/>
        <w:bidi w:val="0"/>
        <w:adjustRightInd w:val="0"/>
        <w:snapToGrid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（五）产品说明书和标签样稿</w:t>
      </w:r>
    </w:p>
    <w:p w14:paraId="1F755763">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产品说明书和标签要求的编写应符合《医疗器械说明书和标签管理规定》和相关标准的要求，同时还应注意以下几点（不限于此）：</w:t>
      </w:r>
    </w:p>
    <w:p w14:paraId="6521734A">
      <w:pPr>
        <w:keepNext w:val="0"/>
        <w:keepLines w:val="0"/>
        <w:pageBreakBefore w:val="0"/>
        <w:kinsoku/>
        <w:wordWrap/>
        <w:overflowPunct w:val="0"/>
        <w:topLinePunct w:val="0"/>
        <w:bidi w:val="0"/>
        <w:spacing w:line="360" w:lineRule="auto"/>
        <w:ind w:right="0" w:rightChars="0" w:firstLine="504" w:firstLineChars="210"/>
        <w:textAlignment w:val="auto"/>
        <w:rPr>
          <w:rFonts w:hint="eastAsia" w:ascii="宋体" w:hAnsi="宋体" w:eastAsia="宋体" w:cs="宋体"/>
          <w:sz w:val="24"/>
          <w:szCs w:val="24"/>
        </w:rPr>
      </w:pPr>
      <w:r>
        <w:rPr>
          <w:rFonts w:hint="eastAsia" w:ascii="宋体" w:hAnsi="宋体" w:eastAsia="宋体" w:cs="宋体"/>
          <w:sz w:val="24"/>
          <w:szCs w:val="24"/>
        </w:rPr>
        <w:t>1.使用方法：产品应在专业医师指导下使用；说明产品的作用时间、作用部位和使用方法，建议明确具体使用周期及疗程间隔时间，以及使用后如何进行清洗；说明产品开封后的使用期限；若产品多次使用，应提示谨遵医嘱。</w:t>
      </w:r>
    </w:p>
    <w:p w14:paraId="0A3197D7">
      <w:pPr>
        <w:keepNext w:val="0"/>
        <w:keepLines w:val="0"/>
        <w:pageBreakBefore w:val="0"/>
        <w:kinsoku/>
        <w:wordWrap/>
        <w:overflowPunct w:val="0"/>
        <w:topLinePunct w:val="0"/>
        <w:bidi w:val="0"/>
        <w:spacing w:line="360" w:lineRule="auto"/>
        <w:ind w:right="0" w:rightChars="0" w:firstLine="504" w:firstLineChars="210"/>
        <w:textAlignment w:val="auto"/>
        <w:rPr>
          <w:rFonts w:hint="eastAsia" w:ascii="宋体" w:hAnsi="宋体" w:eastAsia="宋体" w:cs="宋体"/>
          <w:sz w:val="24"/>
          <w:szCs w:val="24"/>
        </w:rPr>
      </w:pPr>
      <w:r>
        <w:rPr>
          <w:rFonts w:hint="eastAsia" w:ascii="宋体" w:hAnsi="宋体" w:eastAsia="宋体" w:cs="宋体"/>
          <w:sz w:val="24"/>
          <w:szCs w:val="24"/>
        </w:rPr>
        <w:t>2.禁忌证至少包括以下内容：已知对脱敏剂成分过敏者禁用。</w:t>
      </w:r>
    </w:p>
    <w:p w14:paraId="4A771C4E">
      <w:pPr>
        <w:keepNext w:val="0"/>
        <w:keepLines w:val="0"/>
        <w:pageBreakBefore w:val="0"/>
        <w:kinsoku/>
        <w:wordWrap/>
        <w:overflowPunct w:val="0"/>
        <w:topLinePunct w:val="0"/>
        <w:bidi w:val="0"/>
        <w:spacing w:line="360" w:lineRule="auto"/>
        <w:ind w:right="0" w:rightChars="0" w:firstLine="504" w:firstLineChars="210"/>
        <w:textAlignment w:val="auto"/>
        <w:rPr>
          <w:rFonts w:hint="eastAsia" w:ascii="宋体" w:hAnsi="宋体" w:eastAsia="宋体" w:cs="宋体"/>
          <w:sz w:val="24"/>
          <w:szCs w:val="24"/>
        </w:rPr>
      </w:pPr>
      <w:r>
        <w:rPr>
          <w:rFonts w:hint="eastAsia" w:ascii="宋体" w:hAnsi="宋体" w:eastAsia="宋体" w:cs="宋体"/>
          <w:sz w:val="24"/>
          <w:szCs w:val="24"/>
        </w:rPr>
        <w:t>3.注意事项一般应有以下内容：患者有牙龈溃疡或口腔炎慎用；避免接触皮肤、眼睛；请勿吞食，如被吞咽，请用大量清水漱口，并喝大量清水，就医治疗；重金属含量的警示。</w:t>
      </w:r>
    </w:p>
    <w:p w14:paraId="338A4616">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（六）质量管理体系文件</w:t>
      </w:r>
    </w:p>
    <w:p w14:paraId="0652E45C">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1.生产制造信息应包含器械工作原理和总体生产工艺的简要说明。</w:t>
      </w:r>
    </w:p>
    <w:p w14:paraId="7FC20731">
      <w:pPr>
        <w:keepNext w:val="0"/>
        <w:keepLines w:val="0"/>
        <w:pageBreakBefore w:val="0"/>
        <w:kinsoku/>
        <w:wordWrap/>
        <w:topLinePunct w:val="0"/>
        <w:bidi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量管理体系核查文件应当明确生产工艺主要控制点与项目及主要原材料、采购件的来源及质量控制方法，列明主要生产设备和检验设备（包括进货检验、过程检验、出厂最终检验所需的相关设备；在净化条件下生产的，还应当提供环境监测设备）目录，开展自检的应能满足自检需要。</w:t>
      </w:r>
    </w:p>
    <w:p w14:paraId="095A4ABD">
      <w:pPr>
        <w:keepNext w:val="0"/>
        <w:keepLines w:val="0"/>
        <w:pageBreakBefore w:val="0"/>
        <w:kinsoku/>
        <w:wordWrap/>
        <w:topLinePunct w:val="0"/>
        <w:autoSpaceDE w:val="0"/>
        <w:autoSpaceDN w:val="0"/>
        <w:bidi w:val="0"/>
        <w:adjustRightInd w:val="0"/>
        <w:spacing w:line="360" w:lineRule="auto"/>
        <w:ind w:right="0" w:righ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三、参考文献</w:t>
      </w:r>
    </w:p>
    <w:p w14:paraId="3E708559">
      <w:pPr>
        <w:keepNext w:val="0"/>
        <w:keepLines w:val="0"/>
        <w:pageBreakBefore w:val="0"/>
        <w:tabs>
          <w:tab w:val="left" w:pos="312"/>
        </w:tabs>
        <w:kinsoku/>
        <w:wordWrap/>
        <w:topLinePunct w:val="0"/>
        <w:autoSpaceDE w:val="0"/>
        <w:autoSpaceDN w:val="0"/>
        <w:bidi w:val="0"/>
        <w:adjustRightInd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[1]赵信义.口腔材料学:第5版[M].北京:人民卫生出版社,2018.</w:t>
      </w:r>
    </w:p>
    <w:p w14:paraId="29CDEE9C">
      <w:pPr>
        <w:keepNext w:val="0"/>
        <w:keepLines w:val="0"/>
        <w:pageBreakBefore w:val="0"/>
        <w:tabs>
          <w:tab w:val="left" w:pos="312"/>
        </w:tabs>
        <w:kinsoku/>
        <w:wordWrap/>
        <w:topLinePunct w:val="0"/>
        <w:autoSpaceDE w:val="0"/>
        <w:autoSpaceDN w:val="0"/>
        <w:bidi w:val="0"/>
        <w:adjustRightInd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[2]周学东.牙体牙髓病学:第5版[M].北京:人民卫生出版社, 2020.</w:t>
      </w:r>
    </w:p>
    <w:p w14:paraId="65A513DA">
      <w:pPr>
        <w:keepNext w:val="0"/>
        <w:keepLines w:val="0"/>
        <w:pageBreakBefore w:val="0"/>
        <w:tabs>
          <w:tab w:val="left" w:pos="312"/>
        </w:tabs>
        <w:kinsoku/>
        <w:wordWrap/>
        <w:topLinePunct w:val="0"/>
        <w:autoSpaceDE w:val="0"/>
        <w:autoSpaceDN w:val="0"/>
        <w:bidi w:val="0"/>
        <w:adjustRightInd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[3]赵思铭</w:t>
      </w:r>
      <w:r>
        <w:rPr>
          <w:rFonts w:hint="eastAsia" w:ascii="宋体" w:hAnsi="宋体" w:eastAsia="宋体" w:cs="宋体"/>
          <w:sz w:val="24"/>
          <w:szCs w:val="24"/>
        </w:rPr>
        <w:t>,</w:t>
      </w:r>
      <w:r>
        <w:rPr>
          <w:rFonts w:hint="eastAsia" w:ascii="宋体" w:hAnsi="宋体" w:eastAsia="宋体" w:cs="宋体"/>
          <w:kern w:val="0"/>
          <w:sz w:val="24"/>
          <w:szCs w:val="24"/>
        </w:rPr>
        <w:t>张清</w:t>
      </w:r>
      <w:r>
        <w:rPr>
          <w:rFonts w:hint="eastAsia" w:ascii="宋体" w:hAnsi="宋体" w:eastAsia="宋体" w:cs="宋体"/>
          <w:sz w:val="24"/>
          <w:szCs w:val="24"/>
        </w:rPr>
        <w:t>,</w:t>
      </w:r>
      <w:r>
        <w:rPr>
          <w:rFonts w:hint="eastAsia" w:ascii="宋体" w:hAnsi="宋体" w:eastAsia="宋体" w:cs="宋体"/>
          <w:kern w:val="0"/>
          <w:sz w:val="24"/>
          <w:szCs w:val="24"/>
        </w:rPr>
        <w:t>高学军.极固宁对牙本质小管封闭作用的扫描电镜研究[J].现代口腔医学杂志,2013,27</w:t>
      </w:r>
      <w:r>
        <w:rPr>
          <w:rFonts w:hint="eastAsia" w:ascii="宋体" w:hAnsi="宋体" w:eastAsia="宋体" w:cs="宋体"/>
          <w:kern w:val="0"/>
          <w:sz w:val="24"/>
          <w:szCs w:val="24"/>
          <w:lang w:val="en"/>
        </w:rPr>
        <w:t>（</w:t>
      </w:r>
      <w:r>
        <w:rPr>
          <w:rFonts w:hint="eastAsia" w:ascii="宋体" w:hAnsi="宋体" w:eastAsia="宋体" w:cs="宋体"/>
          <w:kern w:val="0"/>
          <w:sz w:val="24"/>
          <w:szCs w:val="24"/>
        </w:rPr>
        <w:t>4</w:t>
      </w:r>
      <w:r>
        <w:rPr>
          <w:rFonts w:hint="eastAsia" w:ascii="宋体" w:hAnsi="宋体" w:eastAsia="宋体" w:cs="宋体"/>
          <w:kern w:val="0"/>
          <w:sz w:val="24"/>
          <w:szCs w:val="24"/>
          <w:lang w:val="en"/>
        </w:rPr>
        <w:t>）</w:t>
      </w:r>
      <w:r>
        <w:rPr>
          <w:rFonts w:hint="eastAsia" w:ascii="宋体" w:hAnsi="宋体" w:eastAsia="宋体" w:cs="宋体"/>
          <w:kern w:val="0"/>
          <w:sz w:val="24"/>
          <w:szCs w:val="24"/>
        </w:rPr>
        <w:t>:214-217.</w:t>
      </w:r>
    </w:p>
    <w:p w14:paraId="28566BF3">
      <w:pPr>
        <w:keepNext w:val="0"/>
        <w:keepLines w:val="0"/>
        <w:pageBreakBefore w:val="0"/>
        <w:tabs>
          <w:tab w:val="left" w:pos="312"/>
        </w:tabs>
        <w:kinsoku/>
        <w:wordWrap/>
        <w:topLinePunct w:val="0"/>
        <w:autoSpaceDE w:val="0"/>
        <w:autoSpaceDN w:val="0"/>
        <w:bidi w:val="0"/>
        <w:adjustRightInd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[4]GB/T 8372，牙膏</w:t>
      </w:r>
      <w:r>
        <w:rPr>
          <w:rFonts w:hint="eastAsia" w:ascii="宋体" w:hAnsi="宋体" w:eastAsia="宋体" w:cs="宋体"/>
          <w:sz w:val="24"/>
          <w:szCs w:val="24"/>
        </w:rPr>
        <w:t>[S].</w:t>
      </w:r>
    </w:p>
    <w:p w14:paraId="3110581B">
      <w:pPr>
        <w:keepNext w:val="0"/>
        <w:keepLines w:val="0"/>
        <w:pageBreakBefore w:val="0"/>
        <w:widowControl/>
        <w:kinsoku/>
        <w:wordWrap/>
        <w:topLinePunct w:val="0"/>
        <w:bidi w:val="0"/>
        <w:adjustRightInd w:val="0"/>
        <w:snapToGrid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[5]</w:t>
      </w:r>
      <w:r>
        <w:rPr>
          <w:rFonts w:hint="eastAsia" w:ascii="宋体" w:hAnsi="宋体" w:eastAsia="宋体" w:cs="宋体"/>
          <w:sz w:val="24"/>
          <w:szCs w:val="24"/>
        </w:rPr>
        <w:t>YY/T 0316，医疗器械风险管理对医疗器械的应用[S].</w:t>
      </w:r>
    </w:p>
    <w:p w14:paraId="2C3A10B5">
      <w:pPr>
        <w:keepNext w:val="0"/>
        <w:keepLines w:val="0"/>
        <w:pageBreakBefore w:val="0"/>
        <w:widowControl/>
        <w:kinsoku/>
        <w:wordWrap/>
        <w:topLinePunct w:val="0"/>
        <w:bidi w:val="0"/>
        <w:adjustRightInd w:val="0"/>
        <w:snapToGrid w:val="0"/>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[6]</w:t>
      </w:r>
      <w:r>
        <w:rPr>
          <w:rFonts w:hint="eastAsia" w:ascii="宋体" w:hAnsi="宋体" w:eastAsia="宋体" w:cs="宋体"/>
          <w:sz w:val="24"/>
          <w:szCs w:val="24"/>
        </w:rPr>
        <w:t xml:space="preserve"> YY/T 0466.1，医疗器械用于医疗器械标签、标记和提供信息的符号第1部分：通用要求[S].</w:t>
      </w:r>
    </w:p>
    <w:p w14:paraId="0107FF83">
      <w:pPr>
        <w:keepNext w:val="0"/>
        <w:keepLines w:val="0"/>
        <w:pageBreakBefore w:val="0"/>
        <w:tabs>
          <w:tab w:val="left" w:pos="312"/>
        </w:tabs>
        <w:kinsoku/>
        <w:wordWrap/>
        <w:topLinePunct w:val="0"/>
        <w:autoSpaceDE w:val="0"/>
        <w:autoSpaceDN w:val="0"/>
        <w:bidi w:val="0"/>
        <w:adjustRightInd w:val="0"/>
        <w:spacing w:line="360"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[7]YY/T 0823，牙科学氟化物防龋材料</w:t>
      </w:r>
      <w:r>
        <w:rPr>
          <w:rFonts w:hint="eastAsia" w:ascii="宋体" w:hAnsi="宋体" w:eastAsia="宋体" w:cs="宋体"/>
          <w:sz w:val="24"/>
          <w:szCs w:val="24"/>
        </w:rPr>
        <w:t>[S].</w:t>
      </w:r>
    </w:p>
    <w:p w14:paraId="02BE60F6">
      <w:pPr>
        <w:keepNext w:val="0"/>
        <w:keepLines w:val="0"/>
        <w:pageBreakBefore w:val="0"/>
        <w:kinsoku/>
        <w:wordWrap/>
        <w:topLinePunct w:val="0"/>
        <w:bidi w:val="0"/>
        <w:adjustRightInd w:val="0"/>
        <w:snapToGrid w:val="0"/>
        <w:spacing w:line="360" w:lineRule="auto"/>
        <w:ind w:right="0" w:rightChars="0" w:firstLine="480" w:firstLineChars="200"/>
        <w:textAlignment w:val="auto"/>
        <w:outlineLvl w:val="0"/>
        <w:rPr>
          <w:rFonts w:hint="eastAsia" w:ascii="宋体" w:hAnsi="宋体" w:eastAsia="宋体" w:cs="宋体"/>
          <w:bCs/>
          <w:sz w:val="24"/>
          <w:szCs w:val="24"/>
        </w:rPr>
      </w:pPr>
      <w:r>
        <w:rPr>
          <w:rFonts w:hint="eastAsia" w:ascii="宋体" w:hAnsi="宋体" w:eastAsia="宋体" w:cs="宋体"/>
          <w:bCs/>
          <w:sz w:val="24"/>
          <w:szCs w:val="24"/>
        </w:rPr>
        <w:t>四、编制单位</w:t>
      </w:r>
    </w:p>
    <w:p w14:paraId="22E3D6B4">
      <w:pPr>
        <w:keepNext w:val="0"/>
        <w:keepLines w:val="0"/>
        <w:pageBreakBefore w:val="0"/>
        <w:kinsoku/>
        <w:wordWrap/>
        <w:topLinePunct w:val="0"/>
        <w:bidi w:val="0"/>
        <w:adjustRightInd w:val="0"/>
        <w:snapToGrid w:val="0"/>
        <w:spacing w:line="360" w:lineRule="auto"/>
        <w:ind w:right="0" w:rightChars="0" w:firstLine="480" w:firstLineChars="200"/>
        <w:textAlignment w:val="auto"/>
        <w:outlineLvl w:val="0"/>
        <w:rPr>
          <w:rFonts w:hint="eastAsia" w:ascii="宋体" w:hAnsi="宋体" w:eastAsia="宋体" w:cs="宋体"/>
          <w:kern w:val="0"/>
          <w:sz w:val="24"/>
          <w:szCs w:val="24"/>
        </w:rPr>
      </w:pPr>
      <w:r>
        <w:rPr>
          <w:rFonts w:hint="eastAsia" w:ascii="宋体" w:hAnsi="宋体" w:eastAsia="宋体" w:cs="宋体"/>
          <w:kern w:val="0"/>
          <w:sz w:val="24"/>
          <w:szCs w:val="24"/>
        </w:rPr>
        <w:t>四川省食品药品审查评价及安全监测中心</w:t>
      </w:r>
    </w:p>
    <w:p w14:paraId="276E427B">
      <w:pPr>
        <w:keepNext w:val="0"/>
        <w:keepLines w:val="0"/>
        <w:pageBreakBefore w:val="0"/>
        <w:kinsoku/>
        <w:wordWrap/>
        <w:topLinePunct w:val="0"/>
        <w:bidi w:val="0"/>
        <w:spacing w:line="360" w:lineRule="auto"/>
        <w:ind w:right="0" w:rightChars="0"/>
        <w:textAlignment w:val="auto"/>
        <w:rPr>
          <w:rFonts w:hint="eastAsia" w:ascii="宋体" w:hAnsi="宋体" w:eastAsia="宋体" w:cs="宋体"/>
          <w:sz w:val="24"/>
          <w:szCs w:val="24"/>
        </w:rPr>
      </w:pPr>
    </w:p>
    <w:p w14:paraId="4C2ABEE9">
      <w:pPr>
        <w:keepNext w:val="0"/>
        <w:keepLines w:val="0"/>
        <w:pageBreakBefore w:val="0"/>
        <w:kinsoku/>
        <w:wordWrap/>
        <w:topLinePunct w:val="0"/>
        <w:bidi w:val="0"/>
        <w:spacing w:line="360" w:lineRule="auto"/>
        <w:ind w:right="0" w:rightChars="0"/>
        <w:textAlignment w:val="auto"/>
        <w:rPr>
          <w:rFonts w:hint="eastAsia" w:eastAsia="等线"/>
          <w:lang w:eastAsia="zh-CN"/>
        </w:rPr>
      </w:pPr>
    </w:p>
    <w:p w14:paraId="267D67FE">
      <w:pPr>
        <w:keepNext w:val="0"/>
        <w:keepLines w:val="0"/>
        <w:pageBreakBefore w:val="0"/>
        <w:kinsoku/>
        <w:wordWrap/>
        <w:topLinePunct w:val="0"/>
        <w:bidi w:val="0"/>
        <w:spacing w:line="360" w:lineRule="auto"/>
        <w:ind w:right="0" w:rightChars="0"/>
        <w:jc w:val="center"/>
        <w:textAlignment w:val="auto"/>
        <w:rPr>
          <w:rFonts w:hint="eastAsia" w:eastAsia="等线"/>
          <w:lang w:eastAsia="zh-CN"/>
        </w:rPr>
      </w:pPr>
    </w:p>
    <w:p w14:paraId="57C75AEB">
      <w:pPr>
        <w:keepNext w:val="0"/>
        <w:keepLines w:val="0"/>
        <w:pageBreakBefore w:val="0"/>
        <w:kinsoku/>
        <w:wordWrap/>
        <w:topLinePunct w:val="0"/>
        <w:bidi w:val="0"/>
        <w:spacing w:line="360" w:lineRule="auto"/>
        <w:ind w:right="0" w:rightChars="0"/>
        <w:jc w:val="center"/>
        <w:textAlignment w:val="auto"/>
        <w:rPr>
          <w:rFonts w:hint="eastAsia" w:eastAsia="等线"/>
          <w:lang w:eastAsia="zh-CN"/>
        </w:rPr>
      </w:pPr>
      <w:r>
        <w:rPr>
          <w:rFonts w:hint="eastAsia" w:eastAsia="等线"/>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420" w:right="386" w:bottom="363" w:left="386" w:header="0" w:footer="5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277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506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2506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1ZGZiNjhhNTJkMTlmZDk4Yzg3ZjAxMzUwYWMzOTIifQ=="/>
  </w:docVars>
  <w:rsids>
    <w:rsidRoot w:val="00DA0791"/>
    <w:rsid w:val="00325786"/>
    <w:rsid w:val="00542AE9"/>
    <w:rsid w:val="0056184A"/>
    <w:rsid w:val="00DA0791"/>
    <w:rsid w:val="00EB109A"/>
    <w:rsid w:val="143B573E"/>
    <w:rsid w:val="5D84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6">
    <w:name w:val="节标题"/>
    <w:basedOn w:val="1"/>
    <w:next w:val="1"/>
    <w:qFormat/>
    <w:uiPriority w:val="0"/>
    <w:pPr>
      <w:spacing w:before="50" w:beforeLines="50" w:after="50" w:afterLines="50"/>
      <w:jc w:val="left"/>
    </w:pPr>
    <w:rPr>
      <w:rFonts w:eastAsia="微软雅黑" w:asciiTheme="minorHAnsi" w:hAnsiTheme="minorHAnsi" w:cstheme="minorBidi"/>
      <w:b/>
      <w:sz w:val="28"/>
      <w:szCs w:val="22"/>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6433</Words>
  <Characters>6745</Characters>
  <Lines>49</Lines>
  <Paragraphs>13</Paragraphs>
  <TotalTime>904</TotalTime>
  <ScaleCrop>false</ScaleCrop>
  <LinksUpToDate>false</LinksUpToDate>
  <CharactersWithSpaces>6781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2021-12-20T01:06:00Z</dcterms:created>
  <dc:creator>屈贝贝</dc:creator>
  <cp:lastModifiedBy>太极箫客</cp:lastModifiedBy>
  <dcterms:modified xsi:type="dcterms:W3CDTF">2025-08-14T07:04:46Z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853A7190C63B45FF99D040FACE0F6A1F_12</vt:lpwstr>
  </property>
  <property fmtid="{D5CDD505-2E9C-101B-9397-08002B2CF9AE}" pid="4" name="KSOTemplateDocerSaveRecord">
    <vt:lpwstr>eyJoZGlkIjoiMDJiMzI3ODBiNTFmMWRjNDUyMjM1ZmZjODY5NDc2MWMiLCJ1c2VySWQiOiI0NTQ4Nzg1NzAifQ==</vt:lpwstr>
  </property>
</Properties>
</file>