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72559">
      <w:pPr>
        <w:spacing w:line="520" w:lineRule="exact"/>
        <w:ind w:right="-67" w:rightChars="-32"/>
        <w:jc w:val="center"/>
        <w:rPr>
          <w:rFonts w:ascii="Times New Roman" w:hAnsi="Times New Roman" w:eastAsia="方正小标宋简体"/>
          <w:sz w:val="44"/>
          <w:szCs w:val="44"/>
        </w:rPr>
      </w:pPr>
      <w:bookmarkStart w:id="0" w:name="_GoBack"/>
      <w:bookmarkEnd w:id="0"/>
      <w:r>
        <w:rPr>
          <w:rFonts w:hint="eastAsia" w:ascii="Times New Roman" w:hAnsi="Times New Roman" w:eastAsia="方正小标宋简体"/>
          <w:sz w:val="44"/>
          <w:szCs w:val="44"/>
        </w:rPr>
        <w:t>牙科脱敏剂产品</w:t>
      </w:r>
      <w:r>
        <w:rPr>
          <w:rFonts w:ascii="Times New Roman" w:hAnsi="Times New Roman" w:eastAsia="方正小标宋简体"/>
          <w:sz w:val="44"/>
          <w:szCs w:val="44"/>
        </w:rPr>
        <w:t>注册技术审查指导原则</w:t>
      </w:r>
    </w:p>
    <w:p w14:paraId="6E491254">
      <w:pPr>
        <w:spacing w:line="520" w:lineRule="exact"/>
        <w:ind w:right="-67" w:rightChars="-32"/>
        <w:jc w:val="center"/>
        <w:rPr>
          <w:rFonts w:ascii="Times New Roman" w:hAnsi="Times New Roman" w:eastAsia="方正小标宋简体"/>
          <w:sz w:val="44"/>
          <w:szCs w:val="44"/>
        </w:rPr>
      </w:pPr>
      <w:r>
        <w:rPr>
          <w:rFonts w:hint="eastAsia" w:ascii="Times New Roman" w:hAnsi="Times New Roman" w:eastAsia="方正小标宋简体"/>
          <w:sz w:val="44"/>
          <w:szCs w:val="44"/>
        </w:rPr>
        <w:t>（征求意见稿）</w:t>
      </w:r>
    </w:p>
    <w:p w14:paraId="3CE847A5">
      <w:pPr>
        <w:spacing w:line="520" w:lineRule="exact"/>
        <w:ind w:firstLine="640" w:firstLineChars="200"/>
        <w:rPr>
          <w:rFonts w:ascii="Times New Roman" w:hAnsi="Times New Roman" w:eastAsia="仿宋_GB2312"/>
          <w:kern w:val="0"/>
          <w:sz w:val="32"/>
        </w:rPr>
      </w:pPr>
    </w:p>
    <w:p w14:paraId="0E368063">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本指导原则旨在指导注册申请人对牙科</w:t>
      </w:r>
      <w:r>
        <w:rPr>
          <w:rFonts w:hint="eastAsia" w:ascii="Times New Roman" w:hAnsi="Times New Roman" w:eastAsia="仿宋_GB2312"/>
          <w:kern w:val="0"/>
          <w:sz w:val="32"/>
        </w:rPr>
        <w:t>脱敏剂</w:t>
      </w:r>
      <w:r>
        <w:rPr>
          <w:rFonts w:ascii="Times New Roman" w:hAnsi="Times New Roman" w:eastAsia="仿宋_GB2312"/>
          <w:kern w:val="0"/>
          <w:sz w:val="32"/>
        </w:rPr>
        <w:t>注册申报资料的准备及撰写，同时也为技术审评部门审评注册申报资料提供参考。</w:t>
      </w:r>
    </w:p>
    <w:p w14:paraId="0E5B56B4">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本指导原则是对牙科</w:t>
      </w:r>
      <w:r>
        <w:rPr>
          <w:rFonts w:hint="eastAsia" w:ascii="Times New Roman" w:hAnsi="Times New Roman" w:eastAsia="仿宋_GB2312"/>
          <w:kern w:val="0"/>
          <w:sz w:val="32"/>
        </w:rPr>
        <w:t>脱敏剂</w:t>
      </w:r>
      <w:r>
        <w:rPr>
          <w:rFonts w:ascii="Times New Roman" w:hAnsi="Times New Roman" w:eastAsia="仿宋_GB2312"/>
          <w:kern w:val="0"/>
          <w:sz w:val="32"/>
        </w:rPr>
        <w:t>的一般要求，申请人应依据产品的具体特性确定其中内容是否适用，若不适用，需具体阐述理由</w:t>
      </w:r>
      <w:r>
        <w:rPr>
          <w:rFonts w:hint="eastAsia" w:ascii="Times New Roman" w:hAnsi="Times New Roman" w:eastAsia="仿宋_GB2312"/>
          <w:kern w:val="0"/>
          <w:sz w:val="32"/>
        </w:rPr>
        <w:t>并说明</w:t>
      </w:r>
      <w:r>
        <w:rPr>
          <w:rFonts w:ascii="Times New Roman" w:hAnsi="Times New Roman" w:eastAsia="仿宋_GB2312"/>
          <w:kern w:val="0"/>
          <w:sz w:val="32"/>
        </w:rPr>
        <w:t>相应的科学依据，并依据产品的具体特性对注册申报资料的内容进行充实和细化。</w:t>
      </w:r>
    </w:p>
    <w:p w14:paraId="63D21CEA">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本指导原则是供申请人和审</w:t>
      </w:r>
      <w:r>
        <w:rPr>
          <w:rFonts w:hint="eastAsia" w:ascii="Times New Roman" w:hAnsi="Times New Roman" w:eastAsia="仿宋_GB2312"/>
          <w:kern w:val="0"/>
          <w:sz w:val="32"/>
        </w:rPr>
        <w:t>评</w:t>
      </w:r>
      <w:r>
        <w:rPr>
          <w:rFonts w:ascii="Times New Roman" w:hAnsi="Times New Roman" w:eastAsia="仿宋_GB2312"/>
          <w:kern w:val="0"/>
          <w:sz w:val="32"/>
        </w:rPr>
        <w:t>人员使用的指导文件，不涉及注册审批等行政事项，亦不作为法规强制执行，如有能够满足法规要求的其他方法，也可以采用，但应提供详细的研究资料和验证资料。应在遵循相关法规的前提下使用本指导原则。</w:t>
      </w:r>
    </w:p>
    <w:p w14:paraId="112553F0">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rPr>
        <w:t>本指导原则是在现行法规、标准体系及当前认知水平下制定的，随着法规、标准体系的不断完善和科学技术的不断发展，本指导原则相关内容也将适时进行调整。</w:t>
      </w:r>
    </w:p>
    <w:p w14:paraId="63FB8247">
      <w:pPr>
        <w:spacing w:line="520" w:lineRule="exact"/>
        <w:ind w:firstLine="640" w:firstLineChars="200"/>
        <w:jc w:val="left"/>
        <w:outlineLvl w:val="0"/>
        <w:rPr>
          <w:rFonts w:ascii="Times New Roman" w:hAnsi="Times New Roman" w:eastAsia="黑体"/>
          <w:bCs/>
          <w:kern w:val="28"/>
          <w:sz w:val="32"/>
          <w:szCs w:val="32"/>
        </w:rPr>
      </w:pPr>
      <w:r>
        <w:rPr>
          <w:rFonts w:ascii="Times New Roman" w:hAnsi="Times New Roman" w:eastAsia="黑体"/>
          <w:bCs/>
          <w:kern w:val="28"/>
          <w:sz w:val="32"/>
          <w:szCs w:val="32"/>
        </w:rPr>
        <w:t>一、适用范围</w:t>
      </w:r>
    </w:p>
    <w:p w14:paraId="01245748">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本指导原则适</w:t>
      </w:r>
      <w:r>
        <w:rPr>
          <w:rFonts w:hint="eastAsia" w:ascii="Times New Roman" w:hAnsi="Times New Roman" w:eastAsia="仿宋_GB2312"/>
          <w:kern w:val="0"/>
          <w:sz w:val="32"/>
        </w:rPr>
        <w:t>用于缓解牙本质敏感而引起的牙齿过敏症状</w:t>
      </w:r>
      <w:r>
        <w:rPr>
          <w:rFonts w:ascii="Times New Roman" w:hAnsi="Times New Roman" w:eastAsia="仿宋_GB2312"/>
          <w:kern w:val="0"/>
          <w:sz w:val="32"/>
        </w:rPr>
        <w:t>的</w:t>
      </w:r>
      <w:r>
        <w:rPr>
          <w:rFonts w:hint="eastAsia" w:ascii="Times New Roman" w:hAnsi="Times New Roman" w:eastAsia="仿宋_GB2312"/>
          <w:kern w:val="0"/>
          <w:sz w:val="32"/>
        </w:rPr>
        <w:t>脱敏剂</w:t>
      </w:r>
      <w:r>
        <w:rPr>
          <w:rFonts w:ascii="Times New Roman" w:hAnsi="Times New Roman" w:eastAsia="仿宋_GB2312"/>
          <w:kern w:val="0"/>
          <w:sz w:val="32"/>
        </w:rPr>
        <w:t>。</w:t>
      </w:r>
      <w:r>
        <w:rPr>
          <w:rFonts w:hint="eastAsia" w:ascii="Times New Roman" w:hAnsi="Times New Roman" w:eastAsia="仿宋_GB2312"/>
          <w:kern w:val="0"/>
          <w:sz w:val="32"/>
        </w:rPr>
        <w:t>含生物活性玻璃的脱敏剂不适用于本指导原则，可参考本指导原则适用部分。</w:t>
      </w:r>
    </w:p>
    <w:p w14:paraId="5265BFE2">
      <w:pPr>
        <w:spacing w:line="520" w:lineRule="exact"/>
        <w:ind w:firstLine="640" w:firstLineChars="200"/>
        <w:rPr>
          <w:rFonts w:ascii="Times New Roman" w:hAnsi="Times New Roman" w:eastAsia="仿宋_GB2312"/>
          <w:kern w:val="0"/>
          <w:sz w:val="32"/>
        </w:rPr>
      </w:pPr>
      <w:r>
        <w:rPr>
          <w:rFonts w:ascii="Times New Roman" w:hAnsi="Times New Roman" w:eastAsia="仿宋_GB2312"/>
          <w:kern w:val="0"/>
          <w:sz w:val="32"/>
        </w:rPr>
        <w:t>根据《医疗器械分类目录》（原国家食品药品监督管理总局公告2017第104号），牙科</w:t>
      </w:r>
      <w:r>
        <w:rPr>
          <w:rFonts w:hint="eastAsia" w:ascii="Times New Roman" w:hAnsi="Times New Roman" w:eastAsia="仿宋_GB2312"/>
          <w:kern w:val="0"/>
          <w:sz w:val="32"/>
        </w:rPr>
        <w:t>脱敏剂</w:t>
      </w:r>
      <w:r>
        <w:rPr>
          <w:rFonts w:ascii="Times New Roman" w:hAnsi="Times New Roman" w:eastAsia="仿宋_GB2312"/>
          <w:kern w:val="0"/>
          <w:sz w:val="32"/>
        </w:rPr>
        <w:t>的管理类别为Ⅱ类，分类编码为17-</w:t>
      </w:r>
      <w:r>
        <w:rPr>
          <w:rFonts w:hint="eastAsia" w:ascii="Times New Roman" w:hAnsi="Times New Roman" w:eastAsia="仿宋_GB2312"/>
          <w:kern w:val="0"/>
          <w:sz w:val="32"/>
        </w:rPr>
        <w:t>10</w:t>
      </w:r>
      <w:r>
        <w:rPr>
          <w:rFonts w:ascii="Times New Roman" w:hAnsi="Times New Roman" w:eastAsia="仿宋_GB2312"/>
          <w:kern w:val="0"/>
          <w:sz w:val="32"/>
        </w:rPr>
        <w:t>-03。</w:t>
      </w:r>
    </w:p>
    <w:p w14:paraId="64BE0213">
      <w:pPr>
        <w:spacing w:line="520" w:lineRule="exact"/>
        <w:ind w:firstLine="640" w:firstLineChars="200"/>
        <w:rPr>
          <w:rFonts w:ascii="Times New Roman" w:hAnsi="Times New Roman" w:eastAsia="仿宋_GB2312"/>
          <w:kern w:val="0"/>
          <w:sz w:val="32"/>
        </w:rPr>
      </w:pPr>
    </w:p>
    <w:p w14:paraId="60833428">
      <w:pPr>
        <w:spacing w:line="520" w:lineRule="exact"/>
        <w:ind w:firstLine="640" w:firstLineChars="200"/>
        <w:jc w:val="left"/>
        <w:outlineLvl w:val="0"/>
        <w:rPr>
          <w:rFonts w:ascii="Times New Roman" w:hAnsi="Times New Roman" w:eastAsia="黑体"/>
          <w:bCs/>
          <w:kern w:val="28"/>
          <w:sz w:val="32"/>
          <w:szCs w:val="32"/>
        </w:rPr>
      </w:pPr>
      <w:r>
        <w:rPr>
          <w:rFonts w:ascii="Times New Roman" w:hAnsi="Times New Roman" w:eastAsia="黑体"/>
          <w:bCs/>
          <w:kern w:val="28"/>
          <w:sz w:val="32"/>
          <w:szCs w:val="32"/>
        </w:rPr>
        <w:t>二、技术审查要点</w:t>
      </w:r>
    </w:p>
    <w:p w14:paraId="02B6D053">
      <w:pPr>
        <w:spacing w:line="520" w:lineRule="exact"/>
        <w:ind w:firstLine="640" w:firstLineChars="200"/>
        <w:outlineLvl w:val="1"/>
        <w:rPr>
          <w:rFonts w:ascii="Times New Roman" w:hAnsi="Times New Roman" w:eastAsia="楷体_GB2312"/>
          <w:bCs/>
          <w:sz w:val="32"/>
          <w:szCs w:val="32"/>
        </w:rPr>
      </w:pPr>
      <w:r>
        <w:rPr>
          <w:rFonts w:ascii="Times New Roman" w:hAnsi="Times New Roman" w:eastAsia="楷体_GB2312"/>
          <w:bCs/>
          <w:sz w:val="32"/>
          <w:szCs w:val="32"/>
        </w:rPr>
        <w:t>（一）产品名称要求</w:t>
      </w:r>
    </w:p>
    <w:p w14:paraId="2F780836">
      <w:pPr>
        <w:spacing w:line="520" w:lineRule="exact"/>
        <w:ind w:firstLine="640" w:firstLineChars="200"/>
        <w:rPr>
          <w:rFonts w:ascii="Times New Roman" w:hAnsi="Times New Roman" w:eastAsia="仿宋_GB2312"/>
          <w:sz w:val="32"/>
        </w:rPr>
      </w:pPr>
      <w:r>
        <w:rPr>
          <w:rFonts w:ascii="Times New Roman" w:hAnsi="Times New Roman" w:eastAsia="仿宋_GB2312"/>
          <w:sz w:val="32"/>
        </w:rPr>
        <w:t>产品名称应符合《医疗器械通用名称命名规则》（原国家食品药品监督管理总局令第19号）中的通用名称要求，</w:t>
      </w:r>
      <w:r>
        <w:rPr>
          <w:rFonts w:ascii="Times New Roman" w:hAnsi="Times New Roman" w:eastAsia="仿宋_GB2312"/>
          <w:sz w:val="32"/>
          <w:szCs w:val="28"/>
        </w:rPr>
        <w:t>应</w:t>
      </w:r>
      <w:r>
        <w:rPr>
          <w:rFonts w:ascii="Times New Roman" w:hAnsi="Times New Roman" w:eastAsia="仿宋_GB2312"/>
          <w:sz w:val="32"/>
          <w:szCs w:val="32"/>
        </w:rPr>
        <w:t>由一个核心词和一般不超过三个特征词组成</w:t>
      </w:r>
      <w:r>
        <w:rPr>
          <w:rFonts w:ascii="Times New Roman" w:hAnsi="Times New Roman" w:eastAsia="仿宋_GB2312"/>
          <w:sz w:val="32"/>
          <w:szCs w:val="28"/>
        </w:rPr>
        <w:t>为基本原则，</w:t>
      </w:r>
      <w:r>
        <w:rPr>
          <w:rFonts w:ascii="Times New Roman" w:hAnsi="Times New Roman" w:eastAsia="仿宋_GB2312"/>
          <w:sz w:val="32"/>
        </w:rPr>
        <w:t>如</w:t>
      </w:r>
      <w:r>
        <w:rPr>
          <w:rFonts w:hint="eastAsia" w:ascii="Times New Roman" w:hAnsi="Times New Roman" w:eastAsia="仿宋_GB2312"/>
          <w:sz w:val="32"/>
        </w:rPr>
        <w:t>牙科脱敏剂、脱敏剂、牙本质脱敏剂、脱敏糊剂、脱敏凝胶等</w:t>
      </w:r>
      <w:r>
        <w:rPr>
          <w:rFonts w:ascii="Times New Roman" w:hAnsi="Times New Roman" w:eastAsia="仿宋_GB2312"/>
          <w:sz w:val="32"/>
        </w:rPr>
        <w:t>。</w:t>
      </w:r>
    </w:p>
    <w:p w14:paraId="23B7207A">
      <w:pPr>
        <w:spacing w:line="520" w:lineRule="exact"/>
        <w:ind w:firstLine="640" w:firstLineChars="200"/>
        <w:outlineLvl w:val="1"/>
        <w:rPr>
          <w:rFonts w:ascii="Times New Roman" w:hAnsi="Times New Roman" w:eastAsia="楷体_GB2312"/>
          <w:bCs/>
          <w:sz w:val="32"/>
          <w:szCs w:val="32"/>
        </w:rPr>
      </w:pPr>
      <w:r>
        <w:rPr>
          <w:rFonts w:ascii="Times New Roman" w:hAnsi="Times New Roman" w:eastAsia="楷体_GB2312"/>
          <w:bCs/>
          <w:sz w:val="32"/>
          <w:szCs w:val="32"/>
        </w:rPr>
        <w:t>（二）产品的结构和组成</w:t>
      </w:r>
    </w:p>
    <w:p w14:paraId="24C694AD">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根据不同的作用机理，牙科脱敏剂的结构组成包括但不限于以下几大类：</w:t>
      </w:r>
    </w:p>
    <w:p w14:paraId="38D92E85">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1.含氟化物的脱敏剂：</w:t>
      </w:r>
      <w:r>
        <w:rPr>
          <w:rFonts w:ascii="Times New Roman" w:hAnsi="Times New Roman" w:eastAsia="仿宋_GB2312"/>
          <w:sz w:val="32"/>
          <w:szCs w:val="28"/>
        </w:rPr>
        <w:t>主要组成成分通常</w:t>
      </w:r>
      <w:r>
        <w:rPr>
          <w:rFonts w:hint="eastAsia" w:ascii="Times New Roman" w:hAnsi="Times New Roman" w:eastAsia="仿宋_GB2312"/>
          <w:sz w:val="32"/>
          <w:szCs w:val="28"/>
        </w:rPr>
        <w:t>包括氟化物（如氟化钠、氟化钙）、摩擦剂（如二氧化硅）、润滑剂（如甘油）、香料（如香精）、甜味剂（如糖精钠）等。</w:t>
      </w:r>
    </w:p>
    <w:p w14:paraId="480135B9">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2.含钾盐的脱敏剂：</w:t>
      </w:r>
      <w:r>
        <w:rPr>
          <w:rFonts w:ascii="Times New Roman" w:hAnsi="Times New Roman" w:eastAsia="仿宋_GB2312"/>
          <w:sz w:val="32"/>
          <w:szCs w:val="28"/>
        </w:rPr>
        <w:t>主要组成成分通常</w:t>
      </w:r>
      <w:r>
        <w:rPr>
          <w:rFonts w:hint="eastAsia" w:ascii="Times New Roman" w:hAnsi="Times New Roman" w:eastAsia="仿宋_GB2312"/>
          <w:sz w:val="32"/>
          <w:szCs w:val="28"/>
        </w:rPr>
        <w:t>包括钾盐（如硝酸钾、草酸钾、氯化钾）、磷酸氢钙、碳酸钙等。</w:t>
      </w:r>
    </w:p>
    <w:p w14:paraId="6936C6FA">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3.含锶盐、碳酸钙的脱敏剂</w:t>
      </w:r>
      <w:r>
        <w:rPr>
          <w:rFonts w:ascii="Times New Roman" w:hAnsi="Times New Roman" w:eastAsia="仿宋_GB2312"/>
          <w:sz w:val="32"/>
          <w:szCs w:val="28"/>
        </w:rPr>
        <w:t>：主要组成成分通常</w:t>
      </w:r>
      <w:r>
        <w:rPr>
          <w:rFonts w:hint="eastAsia" w:ascii="Times New Roman" w:hAnsi="Times New Roman" w:eastAsia="仿宋_GB2312"/>
          <w:sz w:val="32"/>
          <w:szCs w:val="28"/>
        </w:rPr>
        <w:t>包括锶盐（如乙酸锶、氯化锶）、磷酸氢钙、碳酸钙等。</w:t>
      </w:r>
    </w:p>
    <w:p w14:paraId="1543329E">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4.含戊二醛的脱敏剂：</w:t>
      </w:r>
      <w:r>
        <w:rPr>
          <w:rFonts w:ascii="Times New Roman" w:hAnsi="Times New Roman" w:eastAsia="仿宋_GB2312"/>
          <w:sz w:val="32"/>
          <w:szCs w:val="28"/>
        </w:rPr>
        <w:t>主要组成成分通常</w:t>
      </w:r>
      <w:r>
        <w:rPr>
          <w:rFonts w:hint="eastAsia" w:ascii="Times New Roman" w:hAnsi="Times New Roman" w:eastAsia="仿宋_GB2312"/>
          <w:sz w:val="32"/>
          <w:szCs w:val="28"/>
        </w:rPr>
        <w:t>包括戊二醛</w:t>
      </w:r>
      <w:r>
        <w:rPr>
          <w:rFonts w:ascii="Times New Roman" w:hAnsi="Times New Roman" w:eastAsia="仿宋_GB2312"/>
          <w:sz w:val="32"/>
          <w:szCs w:val="28"/>
        </w:rPr>
        <w:t>、</w:t>
      </w:r>
      <w:r>
        <w:rPr>
          <w:rFonts w:hint="eastAsia" w:ascii="Times New Roman" w:hAnsi="Times New Roman" w:eastAsia="仿宋_GB2312"/>
          <w:sz w:val="32"/>
          <w:szCs w:val="28"/>
        </w:rPr>
        <w:t>聚乙二醇二甲基丙烯酸酯、</w:t>
      </w:r>
      <w:r>
        <w:rPr>
          <w:rFonts w:ascii="Times New Roman" w:hAnsi="Times New Roman" w:eastAsia="仿宋_GB2312"/>
          <w:sz w:val="32"/>
          <w:szCs w:val="28"/>
        </w:rPr>
        <w:t>水等。</w:t>
      </w:r>
    </w:p>
    <w:p w14:paraId="6C72E274">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此外，</w:t>
      </w:r>
      <w:r>
        <w:rPr>
          <w:rFonts w:hint="eastAsia" w:ascii="Times New Roman" w:hAnsi="Times New Roman" w:eastAsia="仿宋_GB2312"/>
          <w:sz w:val="32"/>
          <w:szCs w:val="28"/>
        </w:rPr>
        <w:t>结构组成中还可能含有精氨酸、酪蛋白磷酸多肽－无定形磷酸钙（CPP-ACP）、酚类等能在一定程度上起到脱敏作用的成分；</w:t>
      </w:r>
      <w:r>
        <w:rPr>
          <w:rFonts w:ascii="Times New Roman" w:hAnsi="Times New Roman" w:eastAsia="仿宋_GB2312"/>
          <w:sz w:val="32"/>
          <w:szCs w:val="28"/>
        </w:rPr>
        <w:t>也</w:t>
      </w:r>
      <w:r>
        <w:rPr>
          <w:rFonts w:hint="eastAsia" w:ascii="Times New Roman" w:hAnsi="Times New Roman" w:eastAsia="仿宋_GB2312"/>
          <w:sz w:val="32"/>
          <w:szCs w:val="28"/>
        </w:rPr>
        <w:t>可能是上述</w:t>
      </w:r>
      <w:r>
        <w:rPr>
          <w:rFonts w:ascii="Times New Roman" w:hAnsi="Times New Roman" w:eastAsia="仿宋_GB2312"/>
          <w:sz w:val="32"/>
          <w:szCs w:val="28"/>
        </w:rPr>
        <w:t>几种成分的组合</w:t>
      </w:r>
      <w:r>
        <w:rPr>
          <w:rFonts w:hint="eastAsia" w:ascii="Times New Roman" w:hAnsi="Times New Roman" w:eastAsia="仿宋_GB2312"/>
          <w:sz w:val="32"/>
          <w:szCs w:val="28"/>
        </w:rPr>
        <w:t>，</w:t>
      </w:r>
      <w:r>
        <w:rPr>
          <w:rFonts w:ascii="Times New Roman" w:hAnsi="Times New Roman" w:eastAsia="仿宋_GB2312"/>
          <w:sz w:val="32"/>
          <w:szCs w:val="28"/>
        </w:rPr>
        <w:t>如同时含有氟化物和</w:t>
      </w:r>
      <w:r>
        <w:rPr>
          <w:rFonts w:hint="eastAsia" w:ascii="Times New Roman" w:hAnsi="Times New Roman" w:eastAsia="仿宋_GB2312"/>
          <w:sz w:val="32"/>
          <w:szCs w:val="28"/>
        </w:rPr>
        <w:t>钾盐。</w:t>
      </w:r>
    </w:p>
    <w:p w14:paraId="39C07FDB">
      <w:pPr>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在产品结构组成中应规范完整表述各组分的名称，不建议采用“等”字概述；</w:t>
      </w:r>
      <w:r>
        <w:rPr>
          <w:rFonts w:ascii="Times New Roman" w:hAnsi="Times New Roman" w:eastAsia="仿宋_GB2312"/>
          <w:sz w:val="32"/>
          <w:szCs w:val="28"/>
        </w:rPr>
        <w:t>应明确产品所含水质级别</w:t>
      </w:r>
      <w:r>
        <w:rPr>
          <w:rFonts w:hint="eastAsia" w:ascii="Times New Roman" w:hAnsi="Times New Roman" w:eastAsia="仿宋_GB2312"/>
          <w:sz w:val="32"/>
          <w:szCs w:val="28"/>
        </w:rPr>
        <w:t>，</w:t>
      </w:r>
      <w:r>
        <w:rPr>
          <w:rFonts w:ascii="Times New Roman" w:hAnsi="Times New Roman" w:eastAsia="仿宋_GB2312"/>
          <w:sz w:val="32"/>
          <w:szCs w:val="28"/>
        </w:rPr>
        <w:t>如纯化水</w:t>
      </w:r>
      <w:r>
        <w:rPr>
          <w:rFonts w:hint="eastAsia" w:ascii="Times New Roman" w:hAnsi="Times New Roman" w:eastAsia="仿宋_GB2312"/>
          <w:sz w:val="32"/>
          <w:szCs w:val="28"/>
        </w:rPr>
        <w:t>、</w:t>
      </w:r>
      <w:r>
        <w:rPr>
          <w:rFonts w:ascii="Times New Roman" w:hAnsi="Times New Roman" w:eastAsia="仿宋_GB2312"/>
          <w:sz w:val="32"/>
          <w:szCs w:val="28"/>
        </w:rPr>
        <w:t>去离子水</w:t>
      </w:r>
      <w:r>
        <w:rPr>
          <w:rFonts w:hint="eastAsia" w:ascii="Times New Roman" w:hAnsi="Times New Roman" w:eastAsia="仿宋_GB2312"/>
          <w:sz w:val="32"/>
          <w:szCs w:val="28"/>
        </w:rPr>
        <w:t>、</w:t>
      </w:r>
      <w:r>
        <w:rPr>
          <w:rFonts w:ascii="Times New Roman" w:hAnsi="Times New Roman" w:eastAsia="仿宋_GB2312"/>
          <w:sz w:val="32"/>
          <w:szCs w:val="28"/>
        </w:rPr>
        <w:t>蒸馏水</w:t>
      </w:r>
      <w:r>
        <w:rPr>
          <w:rFonts w:hint="eastAsia" w:ascii="Times New Roman" w:hAnsi="Times New Roman" w:eastAsia="仿宋_GB2312"/>
          <w:sz w:val="32"/>
          <w:szCs w:val="28"/>
        </w:rPr>
        <w:t>。</w:t>
      </w:r>
    </w:p>
    <w:p w14:paraId="0209E2AF">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（三）产品工作原理/作用机理</w:t>
      </w:r>
    </w:p>
    <w:p w14:paraId="0F8295D4">
      <w:pPr>
        <w:autoSpaceDE w:val="0"/>
        <w:autoSpaceDN w:val="0"/>
        <w:adjustRightIn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牙本质过敏症（Dentinal Hypersensitivity）是指牙齿受到生理范围内的刺激，包括机械、化学、温度、渗透压等时出现的短暂、尖锐的疼痛或不适的现象。牙本质敏感的危险因素包括磨损、磨耗、酸蚀、牙龈萎缩及使用牙齿漂白剂等</w:t>
      </w:r>
      <w:r>
        <w:rPr>
          <w:rFonts w:hint="eastAsia" w:ascii="Times New Roman" w:hAnsi="Times New Roman" w:eastAsia="仿宋_GB2312"/>
          <w:kern w:val="0"/>
          <w:sz w:val="32"/>
          <w:szCs w:val="32"/>
          <w:vertAlign w:val="superscript"/>
        </w:rPr>
        <w:t>[1]</w:t>
      </w:r>
      <w:r>
        <w:rPr>
          <w:rFonts w:hint="eastAsia" w:ascii="Times New Roman" w:hAnsi="Times New Roman" w:eastAsia="仿宋_GB2312"/>
          <w:kern w:val="0"/>
          <w:sz w:val="32"/>
          <w:szCs w:val="32"/>
        </w:rPr>
        <w:t>。牙本质过敏程度常与牙本质暴露的程度和时间有关</w:t>
      </w:r>
      <w:r>
        <w:rPr>
          <w:rFonts w:hint="eastAsia" w:ascii="Times New Roman" w:hAnsi="Times New Roman" w:eastAsia="仿宋_GB2312"/>
          <w:kern w:val="0"/>
          <w:sz w:val="32"/>
          <w:szCs w:val="32"/>
          <w:vertAlign w:val="superscript"/>
        </w:rPr>
        <w:t>[2]</w:t>
      </w:r>
      <w:r>
        <w:rPr>
          <w:rFonts w:hint="eastAsia" w:ascii="Times New Roman" w:hAnsi="Times New Roman" w:eastAsia="仿宋_GB2312"/>
          <w:kern w:val="0"/>
          <w:sz w:val="32"/>
          <w:szCs w:val="32"/>
        </w:rPr>
        <w:t>。</w:t>
      </w:r>
    </w:p>
    <w:p w14:paraId="4CBBC658">
      <w:pPr>
        <w:autoSpaceDE w:val="0"/>
        <w:autoSpaceDN w:val="0"/>
        <w:adjustRightIn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牙本质过敏症的发生机制还处于学说状态，目前流体动力学说与临床实际比较符合，为大多数人所接受</w:t>
      </w:r>
      <w:r>
        <w:rPr>
          <w:rFonts w:hint="eastAsia" w:ascii="Times New Roman" w:hAnsi="Times New Roman" w:eastAsia="仿宋_GB2312"/>
          <w:kern w:val="0"/>
          <w:sz w:val="32"/>
          <w:szCs w:val="32"/>
          <w:vertAlign w:val="superscript"/>
        </w:rPr>
        <w:t>[3]</w:t>
      </w:r>
      <w:r>
        <w:rPr>
          <w:rFonts w:hint="eastAsia" w:ascii="Times New Roman" w:hAnsi="Times New Roman" w:eastAsia="仿宋_GB2312"/>
          <w:kern w:val="0"/>
          <w:sz w:val="32"/>
          <w:szCs w:val="32"/>
        </w:rPr>
        <w:t>。流体动力学说认为牙本质表面的刺激会引起牙本质小管内的液体发生多向流动，这种流动传到牙髓，会引起牙髓神经纤维的兴奋而产生痛觉。</w:t>
      </w:r>
    </w:p>
    <w:p w14:paraId="25F64A26">
      <w:pPr>
        <w:autoSpaceDE w:val="0"/>
        <w:autoSpaceDN w:val="0"/>
        <w:adjustRightIn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现有文献表明，脱敏剂主要从两个作用路径发挥脱敏作用：</w:t>
      </w:r>
      <w:r>
        <w:rPr>
          <w:rFonts w:ascii="Times New Roman" w:hAnsi="Times New Roman" w:eastAsia="仿宋_GB2312"/>
          <w:kern w:val="0"/>
          <w:sz w:val="32"/>
          <w:szCs w:val="32"/>
        </w:rPr>
        <w:fldChar w:fldCharType="begin"/>
      </w:r>
      <w:r>
        <w:rPr>
          <w:rFonts w:ascii="Times New Roman" w:hAnsi="Times New Roman" w:eastAsia="仿宋_GB2312"/>
          <w:kern w:val="0"/>
          <w:sz w:val="32"/>
          <w:szCs w:val="32"/>
        </w:rPr>
        <w:instrText xml:space="preserve"> </w:instrText>
      </w:r>
      <w:r>
        <w:rPr>
          <w:rFonts w:hint="eastAsia" w:ascii="Times New Roman" w:hAnsi="Times New Roman" w:eastAsia="仿宋_GB2312"/>
          <w:kern w:val="0"/>
          <w:sz w:val="32"/>
          <w:szCs w:val="32"/>
        </w:rPr>
        <w:instrText xml:space="preserve">= 1 \* GB3</w:instrText>
      </w:r>
      <w:r>
        <w:rPr>
          <w:rFonts w:ascii="Times New Roman" w:hAnsi="Times New Roman" w:eastAsia="仿宋_GB2312"/>
          <w:kern w:val="0"/>
          <w:sz w:val="32"/>
          <w:szCs w:val="32"/>
        </w:rPr>
        <w:instrText xml:space="preserve"> </w:instrText>
      </w:r>
      <w:r>
        <w:rPr>
          <w:rFonts w:ascii="Times New Roman" w:hAnsi="Times New Roman" w:eastAsia="仿宋_GB2312"/>
          <w:kern w:val="0"/>
          <w:sz w:val="32"/>
          <w:szCs w:val="32"/>
        </w:rPr>
        <w:fldChar w:fldCharType="separate"/>
      </w:r>
      <w:r>
        <w:rPr>
          <w:rFonts w:hint="eastAsia" w:ascii="Times New Roman" w:hAnsi="Times New Roman" w:eastAsia="仿宋_GB2312"/>
          <w:kern w:val="0"/>
          <w:sz w:val="32"/>
          <w:szCs w:val="32"/>
        </w:rPr>
        <w:t>①</w:t>
      </w:r>
      <w:r>
        <w:rPr>
          <w:rFonts w:ascii="Times New Roman" w:hAnsi="Times New Roman" w:eastAsia="仿宋_GB2312"/>
          <w:kern w:val="0"/>
          <w:sz w:val="32"/>
          <w:szCs w:val="32"/>
        </w:rPr>
        <w:fldChar w:fldCharType="end"/>
      </w:r>
      <w:r>
        <w:rPr>
          <w:rFonts w:hint="eastAsia" w:ascii="Times New Roman" w:hAnsi="Times New Roman" w:eastAsia="仿宋_GB2312"/>
          <w:kern w:val="0"/>
          <w:sz w:val="32"/>
          <w:szCs w:val="32"/>
        </w:rPr>
        <w:t>物理堵塞；</w:t>
      </w:r>
      <w:r>
        <w:rPr>
          <w:rFonts w:ascii="Times New Roman" w:hAnsi="Times New Roman" w:eastAsia="仿宋_GB2312"/>
          <w:kern w:val="0"/>
          <w:sz w:val="32"/>
          <w:szCs w:val="32"/>
        </w:rPr>
        <w:fldChar w:fldCharType="begin"/>
      </w:r>
      <w:r>
        <w:rPr>
          <w:rFonts w:ascii="Times New Roman" w:hAnsi="Times New Roman" w:eastAsia="仿宋_GB2312"/>
          <w:kern w:val="0"/>
          <w:sz w:val="32"/>
          <w:szCs w:val="32"/>
        </w:rPr>
        <w:instrText xml:space="preserve"> </w:instrText>
      </w:r>
      <w:r>
        <w:rPr>
          <w:rFonts w:hint="eastAsia" w:ascii="Times New Roman" w:hAnsi="Times New Roman" w:eastAsia="仿宋_GB2312"/>
          <w:kern w:val="0"/>
          <w:sz w:val="32"/>
          <w:szCs w:val="32"/>
        </w:rPr>
        <w:instrText xml:space="preserve">= 2 \* GB3</w:instrText>
      </w:r>
      <w:r>
        <w:rPr>
          <w:rFonts w:ascii="Times New Roman" w:hAnsi="Times New Roman" w:eastAsia="仿宋_GB2312"/>
          <w:kern w:val="0"/>
          <w:sz w:val="32"/>
          <w:szCs w:val="32"/>
        </w:rPr>
        <w:instrText xml:space="preserve"> </w:instrText>
      </w:r>
      <w:r>
        <w:rPr>
          <w:rFonts w:ascii="Times New Roman" w:hAnsi="Times New Roman" w:eastAsia="仿宋_GB2312"/>
          <w:kern w:val="0"/>
          <w:sz w:val="32"/>
          <w:szCs w:val="32"/>
        </w:rPr>
        <w:fldChar w:fldCharType="separate"/>
      </w:r>
      <w:r>
        <w:rPr>
          <w:rFonts w:hint="eastAsia" w:ascii="Times New Roman" w:hAnsi="Times New Roman" w:eastAsia="仿宋_GB2312"/>
          <w:kern w:val="0"/>
          <w:sz w:val="32"/>
          <w:szCs w:val="32"/>
        </w:rPr>
        <w:t>②</w:t>
      </w:r>
      <w:r>
        <w:rPr>
          <w:rFonts w:ascii="Times New Roman" w:hAnsi="Times New Roman" w:eastAsia="仿宋_GB2312"/>
          <w:kern w:val="0"/>
          <w:sz w:val="32"/>
          <w:szCs w:val="32"/>
        </w:rPr>
        <w:fldChar w:fldCharType="end"/>
      </w:r>
      <w:r>
        <w:rPr>
          <w:rFonts w:hint="eastAsia" w:ascii="Times New Roman" w:hAnsi="Times New Roman" w:eastAsia="仿宋_GB2312"/>
          <w:kern w:val="0"/>
          <w:sz w:val="32"/>
          <w:szCs w:val="32"/>
        </w:rPr>
        <w:t>降低神经传导。</w:t>
      </w:r>
    </w:p>
    <w:p w14:paraId="732B06DD">
      <w:pPr>
        <w:autoSpaceDE w:val="0"/>
        <w:autoSpaceDN w:val="0"/>
        <w:adjustRightIn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物理堵塞类产品主要通过堵塞牙本质小管，减少了液压传导从而脱敏，如下图所示</w:t>
      </w:r>
      <w:r>
        <w:rPr>
          <w:rFonts w:hint="eastAsia" w:ascii="Times New Roman" w:hAnsi="Times New Roman" w:eastAsia="仿宋_GB2312"/>
          <w:kern w:val="0"/>
          <w:sz w:val="32"/>
          <w:szCs w:val="32"/>
          <w:vertAlign w:val="superscript"/>
        </w:rPr>
        <w:t>[4]</w:t>
      </w:r>
      <w:r>
        <w:rPr>
          <w:rFonts w:hint="eastAsia" w:ascii="Times New Roman" w:hAnsi="Times New Roman" w:eastAsia="仿宋_GB2312"/>
          <w:kern w:val="0"/>
          <w:sz w:val="32"/>
          <w:szCs w:val="32"/>
        </w:rPr>
        <w:t>：</w:t>
      </w:r>
    </w:p>
    <w:p w14:paraId="0C6D845B">
      <w:pPr>
        <w:autoSpaceDE w:val="0"/>
        <w:autoSpaceDN w:val="0"/>
        <w:adjustRightInd w:val="0"/>
        <w:spacing w:line="520" w:lineRule="exact"/>
        <w:ind w:firstLine="420" w:firstLineChars="200"/>
        <w:jc w:val="left"/>
        <w:rPr>
          <w:rFonts w:ascii="Times New Roman" w:hAnsi="Times New Roman" w:eastAsia="仿宋_GB2312"/>
          <w:kern w:val="0"/>
          <w:sz w:val="32"/>
          <w:szCs w:val="32"/>
        </w:rPr>
      </w:pPr>
      <w:r>
        <w:drawing>
          <wp:anchor distT="0" distB="0" distL="114300" distR="114300" simplePos="0" relativeHeight="251660288" behindDoc="0" locked="0" layoutInCell="1" allowOverlap="1">
            <wp:simplePos x="0" y="0"/>
            <wp:positionH relativeFrom="column">
              <wp:posOffset>2784475</wp:posOffset>
            </wp:positionH>
            <wp:positionV relativeFrom="paragraph">
              <wp:posOffset>47625</wp:posOffset>
            </wp:positionV>
            <wp:extent cx="2724150" cy="1800225"/>
            <wp:effectExtent l="0" t="0" r="0" b="9525"/>
            <wp:wrapNone/>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5" cstate="print"/>
                    <a:stretch>
                      <a:fillRect/>
                    </a:stretch>
                  </pic:blipFill>
                  <pic:spPr>
                    <a:xfrm>
                      <a:off x="0" y="0"/>
                      <a:ext cx="2724150" cy="180022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-5715</wp:posOffset>
            </wp:positionH>
            <wp:positionV relativeFrom="paragraph">
              <wp:posOffset>64770</wp:posOffset>
            </wp:positionV>
            <wp:extent cx="2646680" cy="1800225"/>
            <wp:effectExtent l="0" t="0" r="1270" b="952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cstate="print"/>
                    <a:stretch>
                      <a:fillRect/>
                    </a:stretch>
                  </pic:blipFill>
                  <pic:spPr>
                    <a:xfrm>
                      <a:off x="0" y="0"/>
                      <a:ext cx="2646680" cy="1800225"/>
                    </a:xfrm>
                    <a:prstGeom prst="rect">
                      <a:avLst/>
                    </a:prstGeom>
                    <a:noFill/>
                    <a:ln>
                      <a:noFill/>
                    </a:ln>
                  </pic:spPr>
                </pic:pic>
              </a:graphicData>
            </a:graphic>
          </wp:anchor>
        </w:drawing>
      </w:r>
    </w:p>
    <w:p w14:paraId="4CA8D682">
      <w:pPr>
        <w:autoSpaceDE w:val="0"/>
        <w:autoSpaceDN w:val="0"/>
        <w:adjustRightInd w:val="0"/>
        <w:spacing w:line="520" w:lineRule="exact"/>
        <w:ind w:firstLine="640" w:firstLineChars="200"/>
        <w:jc w:val="left"/>
        <w:rPr>
          <w:rFonts w:ascii="Times New Roman" w:hAnsi="Times New Roman" w:eastAsia="仿宋_GB2312"/>
          <w:kern w:val="0"/>
          <w:sz w:val="32"/>
          <w:szCs w:val="32"/>
        </w:rPr>
      </w:pPr>
    </w:p>
    <w:p w14:paraId="754216BF">
      <w:pPr>
        <w:autoSpaceDE w:val="0"/>
        <w:autoSpaceDN w:val="0"/>
        <w:adjustRightInd w:val="0"/>
        <w:spacing w:line="520" w:lineRule="exact"/>
        <w:ind w:firstLine="640" w:firstLineChars="200"/>
        <w:jc w:val="left"/>
        <w:rPr>
          <w:rFonts w:ascii="Times New Roman" w:hAnsi="Times New Roman" w:eastAsia="仿宋_GB2312"/>
          <w:kern w:val="0"/>
          <w:sz w:val="32"/>
          <w:szCs w:val="32"/>
        </w:rPr>
      </w:pPr>
    </w:p>
    <w:p w14:paraId="7EBBA9C5">
      <w:pPr>
        <w:autoSpaceDE w:val="0"/>
        <w:autoSpaceDN w:val="0"/>
        <w:adjustRightInd w:val="0"/>
        <w:spacing w:line="520" w:lineRule="exact"/>
        <w:ind w:firstLine="640" w:firstLineChars="200"/>
        <w:jc w:val="left"/>
        <w:rPr>
          <w:rFonts w:ascii="Times New Roman" w:hAnsi="Times New Roman" w:eastAsia="仿宋_GB2312"/>
          <w:kern w:val="0"/>
          <w:sz w:val="32"/>
          <w:szCs w:val="32"/>
        </w:rPr>
      </w:pPr>
    </w:p>
    <w:p w14:paraId="1C13B559">
      <w:pPr>
        <w:rPr>
          <w:rFonts w:ascii="Times New Roman" w:hAnsi="Times New Roman" w:eastAsia="仿宋_GB2312"/>
          <w:kern w:val="0"/>
          <w:sz w:val="32"/>
          <w:szCs w:val="32"/>
        </w:rPr>
      </w:pPr>
    </w:p>
    <w:p w14:paraId="212059F9">
      <w:pPr>
        <w:rPr>
          <w:rFonts w:ascii="Times New Roman" w:hAnsi="Times New Roman" w:eastAsia="仿宋_GB2312"/>
          <w:kern w:val="0"/>
          <w:sz w:val="18"/>
          <w:szCs w:val="18"/>
        </w:rPr>
      </w:pPr>
    </w:p>
    <w:p w14:paraId="483F077B">
      <w:pPr>
        <w:rPr>
          <w:rFonts w:ascii="Times New Roman" w:hAnsi="Times New Roman" w:eastAsia="仿宋_GB2312"/>
          <w:b/>
          <w:bCs/>
          <w:kern w:val="0"/>
          <w:sz w:val="32"/>
          <w:szCs w:val="32"/>
        </w:rPr>
      </w:pPr>
      <w:r>
        <w:rPr>
          <w:rFonts w:hint="eastAsia" w:ascii="Times New Roman" w:hAnsi="Times New Roman" w:eastAsia="仿宋_GB2312"/>
          <w:b/>
          <w:bCs/>
          <w:kern w:val="0"/>
          <w:sz w:val="18"/>
          <w:szCs w:val="18"/>
        </w:rPr>
        <w:t>脱敏剂处理前的牙本质表面扫描电镜图（×1000）       脱敏剂处理后的牙本质表面扫描电镜图（×1000）</w:t>
      </w:r>
    </w:p>
    <w:p w14:paraId="7B2322A1">
      <w:pPr>
        <w:ind w:firstLine="640"/>
        <w:rPr>
          <w:rFonts w:ascii="Times New Roman" w:hAnsi="Times New Roman" w:eastAsia="仿宋_GB2312"/>
          <w:kern w:val="0"/>
          <w:sz w:val="32"/>
          <w:szCs w:val="32"/>
        </w:rPr>
      </w:pPr>
      <w:r>
        <w:rPr>
          <w:rFonts w:hint="eastAsia" w:ascii="Times New Roman" w:hAnsi="Times New Roman" w:eastAsia="仿宋_GB2312"/>
          <w:kern w:val="0"/>
          <w:sz w:val="32"/>
          <w:szCs w:val="32"/>
        </w:rPr>
        <w:t>堵塞型脱敏材料在临床使用较为普遍，主要包括无机填料型、再矿化型及胶原变性封堵型等，例如：</w:t>
      </w:r>
      <w:r>
        <w:rPr>
          <w:rFonts w:ascii="Times New Roman" w:hAnsi="Times New Roman" w:eastAsia="仿宋_GB2312"/>
          <w:kern w:val="0"/>
          <w:sz w:val="32"/>
          <w:szCs w:val="32"/>
        </w:rPr>
        <w:fldChar w:fldCharType="begin"/>
      </w:r>
      <w:r>
        <w:rPr>
          <w:rFonts w:ascii="Times New Roman" w:hAnsi="Times New Roman" w:eastAsia="仿宋_GB2312"/>
          <w:kern w:val="0"/>
          <w:sz w:val="32"/>
          <w:szCs w:val="32"/>
        </w:rPr>
        <w:instrText xml:space="preserve"> </w:instrText>
      </w:r>
      <w:r>
        <w:rPr>
          <w:rFonts w:hint="eastAsia" w:ascii="Times New Roman" w:hAnsi="Times New Roman" w:eastAsia="仿宋_GB2312"/>
          <w:kern w:val="0"/>
          <w:sz w:val="32"/>
          <w:szCs w:val="32"/>
        </w:rPr>
        <w:instrText xml:space="preserve">= 1 \* GB3</w:instrText>
      </w:r>
      <w:r>
        <w:rPr>
          <w:rFonts w:ascii="Times New Roman" w:hAnsi="Times New Roman" w:eastAsia="仿宋_GB2312"/>
          <w:kern w:val="0"/>
          <w:sz w:val="32"/>
          <w:szCs w:val="32"/>
        </w:rPr>
        <w:instrText xml:space="preserve"> </w:instrText>
      </w:r>
      <w:r>
        <w:rPr>
          <w:rFonts w:ascii="Times New Roman" w:hAnsi="Times New Roman" w:eastAsia="仿宋_GB2312"/>
          <w:kern w:val="0"/>
          <w:sz w:val="32"/>
          <w:szCs w:val="32"/>
        </w:rPr>
        <w:fldChar w:fldCharType="separate"/>
      </w:r>
      <w:r>
        <w:rPr>
          <w:rFonts w:hint="eastAsia" w:ascii="Times New Roman" w:hAnsi="Times New Roman" w:eastAsia="仿宋_GB2312"/>
          <w:kern w:val="0"/>
          <w:sz w:val="32"/>
          <w:szCs w:val="32"/>
        </w:rPr>
        <w:t>①</w:t>
      </w:r>
      <w:r>
        <w:rPr>
          <w:rFonts w:ascii="Times New Roman" w:hAnsi="Times New Roman" w:eastAsia="仿宋_GB2312"/>
          <w:kern w:val="0"/>
          <w:sz w:val="32"/>
          <w:szCs w:val="32"/>
        </w:rPr>
        <w:fldChar w:fldCharType="end"/>
      </w:r>
      <w:r>
        <w:rPr>
          <w:rFonts w:hint="eastAsia" w:ascii="Times New Roman" w:hAnsi="Times New Roman" w:eastAsia="仿宋_GB2312"/>
          <w:kern w:val="0"/>
          <w:sz w:val="32"/>
          <w:szCs w:val="32"/>
        </w:rPr>
        <w:t>氟化物脱敏剂（通常为氟化钠、</w:t>
      </w:r>
      <w:r>
        <w:rPr>
          <w:rFonts w:hint="eastAsia" w:ascii="Times New Roman" w:hAnsi="Times New Roman" w:eastAsia="仿宋_GB2312"/>
          <w:sz w:val="32"/>
          <w:szCs w:val="28"/>
        </w:rPr>
        <w:t>氟化钙</w:t>
      </w:r>
      <w:r>
        <w:rPr>
          <w:rFonts w:hint="eastAsia" w:ascii="Times New Roman" w:hAnsi="Times New Roman" w:eastAsia="仿宋_GB2312"/>
          <w:kern w:val="0"/>
          <w:sz w:val="32"/>
          <w:szCs w:val="32"/>
        </w:rPr>
        <w:t>），通过氟离子形成氟磷灰石晶体并沉积封堵，同时起到防龋及脱敏的效果，其中氟保护漆在涂布后可迅速形成透明薄膜覆盖于牙本质表面，快速封闭过敏区；</w:t>
      </w:r>
      <w:r>
        <w:rPr>
          <w:rFonts w:ascii="Times New Roman" w:hAnsi="Times New Roman" w:eastAsia="仿宋_GB2312"/>
          <w:kern w:val="0"/>
          <w:sz w:val="32"/>
          <w:szCs w:val="32"/>
        </w:rPr>
        <w:fldChar w:fldCharType="begin"/>
      </w:r>
      <w:r>
        <w:rPr>
          <w:rFonts w:ascii="Times New Roman" w:hAnsi="Times New Roman" w:eastAsia="仿宋_GB2312"/>
          <w:kern w:val="0"/>
          <w:sz w:val="32"/>
          <w:szCs w:val="32"/>
        </w:rPr>
        <w:instrText xml:space="preserve"> </w:instrText>
      </w:r>
      <w:r>
        <w:rPr>
          <w:rFonts w:hint="eastAsia" w:ascii="Times New Roman" w:hAnsi="Times New Roman" w:eastAsia="仿宋_GB2312"/>
          <w:kern w:val="0"/>
          <w:sz w:val="32"/>
          <w:szCs w:val="32"/>
        </w:rPr>
        <w:instrText xml:space="preserve">= 2 \* GB3</w:instrText>
      </w:r>
      <w:r>
        <w:rPr>
          <w:rFonts w:ascii="Times New Roman" w:hAnsi="Times New Roman" w:eastAsia="仿宋_GB2312"/>
          <w:kern w:val="0"/>
          <w:sz w:val="32"/>
          <w:szCs w:val="32"/>
        </w:rPr>
        <w:instrText xml:space="preserve"> </w:instrText>
      </w:r>
      <w:r>
        <w:rPr>
          <w:rFonts w:ascii="Times New Roman" w:hAnsi="Times New Roman" w:eastAsia="仿宋_GB2312"/>
          <w:kern w:val="0"/>
          <w:sz w:val="32"/>
          <w:szCs w:val="32"/>
        </w:rPr>
        <w:fldChar w:fldCharType="separate"/>
      </w:r>
      <w:r>
        <w:rPr>
          <w:rFonts w:hint="eastAsia" w:ascii="Times New Roman" w:hAnsi="Times New Roman" w:eastAsia="仿宋_GB2312"/>
          <w:kern w:val="0"/>
          <w:sz w:val="32"/>
          <w:szCs w:val="32"/>
        </w:rPr>
        <w:t>②</w:t>
      </w:r>
      <w:r>
        <w:rPr>
          <w:rFonts w:ascii="Times New Roman" w:hAnsi="Times New Roman" w:eastAsia="仿宋_GB2312"/>
          <w:kern w:val="0"/>
          <w:sz w:val="32"/>
          <w:szCs w:val="32"/>
        </w:rPr>
        <w:fldChar w:fldCharType="end"/>
      </w:r>
      <w:r>
        <w:rPr>
          <w:rFonts w:hint="eastAsia" w:ascii="Times New Roman" w:hAnsi="Times New Roman" w:eastAsia="仿宋_GB2312"/>
          <w:kern w:val="0"/>
          <w:sz w:val="32"/>
          <w:szCs w:val="32"/>
        </w:rPr>
        <w:t>锶盐脱敏剂（通常为乙酸锶、氯化锶），通过形成不溶性锶盐，如碳酸锶沉积在牙本质表面实现封堵</w:t>
      </w:r>
      <w:r>
        <w:rPr>
          <w:rFonts w:hint="eastAsia" w:ascii="Times New Roman" w:hAnsi="Times New Roman" w:eastAsia="仿宋_GB2312"/>
          <w:kern w:val="0"/>
          <w:sz w:val="32"/>
          <w:szCs w:val="32"/>
          <w:vertAlign w:val="superscript"/>
        </w:rPr>
        <w:t>[2]</w:t>
      </w:r>
      <w:r>
        <w:rPr>
          <w:rFonts w:hint="eastAsia" w:ascii="Times New Roman" w:hAnsi="Times New Roman" w:eastAsia="仿宋_GB2312"/>
          <w:kern w:val="0"/>
          <w:sz w:val="32"/>
          <w:szCs w:val="32"/>
        </w:rPr>
        <w:t>；</w:t>
      </w:r>
      <w:r>
        <w:rPr>
          <w:rFonts w:ascii="Times New Roman" w:hAnsi="Times New Roman" w:eastAsia="仿宋_GB2312"/>
          <w:kern w:val="0"/>
          <w:sz w:val="32"/>
          <w:szCs w:val="32"/>
        </w:rPr>
        <w:fldChar w:fldCharType="begin"/>
      </w:r>
      <w:r>
        <w:rPr>
          <w:rFonts w:ascii="Times New Roman" w:hAnsi="Times New Roman" w:eastAsia="仿宋_GB2312"/>
          <w:kern w:val="0"/>
          <w:sz w:val="32"/>
          <w:szCs w:val="32"/>
        </w:rPr>
        <w:instrText xml:space="preserve"> </w:instrText>
      </w:r>
      <w:r>
        <w:rPr>
          <w:rFonts w:hint="eastAsia" w:ascii="Times New Roman" w:hAnsi="Times New Roman" w:eastAsia="仿宋_GB2312"/>
          <w:kern w:val="0"/>
          <w:sz w:val="32"/>
          <w:szCs w:val="32"/>
        </w:rPr>
        <w:instrText xml:space="preserve">= 3 \* GB3</w:instrText>
      </w:r>
      <w:r>
        <w:rPr>
          <w:rFonts w:ascii="Times New Roman" w:hAnsi="Times New Roman" w:eastAsia="仿宋_GB2312"/>
          <w:kern w:val="0"/>
          <w:sz w:val="32"/>
          <w:szCs w:val="32"/>
        </w:rPr>
        <w:instrText xml:space="preserve"> </w:instrText>
      </w:r>
      <w:r>
        <w:rPr>
          <w:rFonts w:ascii="Times New Roman" w:hAnsi="Times New Roman" w:eastAsia="仿宋_GB2312"/>
          <w:kern w:val="0"/>
          <w:sz w:val="32"/>
          <w:szCs w:val="32"/>
        </w:rPr>
        <w:fldChar w:fldCharType="separate"/>
      </w:r>
      <w:r>
        <w:rPr>
          <w:rFonts w:hint="eastAsia" w:ascii="Times New Roman" w:hAnsi="Times New Roman" w:eastAsia="仿宋_GB2312"/>
          <w:kern w:val="0"/>
          <w:sz w:val="32"/>
          <w:szCs w:val="32"/>
        </w:rPr>
        <w:t>③</w:t>
      </w:r>
      <w:r>
        <w:rPr>
          <w:rFonts w:ascii="Times New Roman" w:hAnsi="Times New Roman" w:eastAsia="仿宋_GB2312"/>
          <w:kern w:val="0"/>
          <w:sz w:val="32"/>
          <w:szCs w:val="32"/>
        </w:rPr>
        <w:fldChar w:fldCharType="end"/>
      </w:r>
      <w:r>
        <w:rPr>
          <w:rFonts w:hint="eastAsia" w:ascii="Times New Roman" w:hAnsi="Times New Roman" w:eastAsia="仿宋_GB2312"/>
          <w:kern w:val="0"/>
          <w:sz w:val="32"/>
          <w:szCs w:val="32"/>
        </w:rPr>
        <w:t>含酪蛋白磷酸多肽－无定形磷酸钙（CPP-ACP）脱敏剂，充当钙离子和磷酸盐的载体，促进牙齿表面再矿化，保持牙表面磷酸钙晶体的充盈，持续堵塞牙本质小管</w:t>
      </w:r>
      <w:r>
        <w:rPr>
          <w:rFonts w:hint="eastAsia" w:ascii="Times New Roman" w:hAnsi="Times New Roman" w:eastAsia="仿宋_GB2312"/>
          <w:kern w:val="0"/>
          <w:sz w:val="32"/>
          <w:szCs w:val="32"/>
          <w:vertAlign w:val="superscript"/>
        </w:rPr>
        <w:t>[5]</w:t>
      </w:r>
      <w:r>
        <w:rPr>
          <w:rFonts w:hint="eastAsia" w:ascii="Times New Roman" w:hAnsi="Times New Roman" w:eastAsia="仿宋_GB2312"/>
          <w:kern w:val="0"/>
          <w:sz w:val="32"/>
          <w:szCs w:val="32"/>
        </w:rPr>
        <w:t>；</w:t>
      </w:r>
      <w:r>
        <w:rPr>
          <w:rFonts w:ascii="Times New Roman" w:hAnsi="Times New Roman" w:eastAsia="仿宋_GB2312"/>
          <w:kern w:val="0"/>
          <w:sz w:val="32"/>
          <w:szCs w:val="32"/>
        </w:rPr>
        <w:fldChar w:fldCharType="begin"/>
      </w:r>
      <w:r>
        <w:rPr>
          <w:rFonts w:ascii="Times New Roman" w:hAnsi="Times New Roman" w:eastAsia="仿宋_GB2312"/>
          <w:kern w:val="0"/>
          <w:sz w:val="32"/>
          <w:szCs w:val="32"/>
        </w:rPr>
        <w:instrText xml:space="preserve"> </w:instrText>
      </w:r>
      <w:r>
        <w:rPr>
          <w:rFonts w:hint="eastAsia" w:ascii="Times New Roman" w:hAnsi="Times New Roman" w:eastAsia="仿宋_GB2312"/>
          <w:kern w:val="0"/>
          <w:sz w:val="32"/>
          <w:szCs w:val="32"/>
        </w:rPr>
        <w:instrText xml:space="preserve">= 4 \* GB3</w:instrText>
      </w:r>
      <w:r>
        <w:rPr>
          <w:rFonts w:ascii="Times New Roman" w:hAnsi="Times New Roman" w:eastAsia="仿宋_GB2312"/>
          <w:kern w:val="0"/>
          <w:sz w:val="32"/>
          <w:szCs w:val="32"/>
        </w:rPr>
        <w:instrText xml:space="preserve"> </w:instrText>
      </w:r>
      <w:r>
        <w:rPr>
          <w:rFonts w:ascii="Times New Roman" w:hAnsi="Times New Roman" w:eastAsia="仿宋_GB2312"/>
          <w:kern w:val="0"/>
          <w:sz w:val="32"/>
          <w:szCs w:val="32"/>
        </w:rPr>
        <w:fldChar w:fldCharType="separate"/>
      </w:r>
      <w:r>
        <w:rPr>
          <w:rFonts w:hint="eastAsia" w:ascii="Times New Roman" w:hAnsi="Times New Roman" w:eastAsia="仿宋_GB2312"/>
          <w:kern w:val="0"/>
          <w:sz w:val="32"/>
          <w:szCs w:val="32"/>
        </w:rPr>
        <w:t>④</w:t>
      </w:r>
      <w:r>
        <w:rPr>
          <w:rFonts w:ascii="Times New Roman" w:hAnsi="Times New Roman" w:eastAsia="仿宋_GB2312"/>
          <w:kern w:val="0"/>
          <w:sz w:val="32"/>
          <w:szCs w:val="32"/>
        </w:rPr>
        <w:fldChar w:fldCharType="end"/>
      </w:r>
      <w:r>
        <w:rPr>
          <w:rFonts w:hint="eastAsia" w:ascii="Times New Roman" w:hAnsi="Times New Roman" w:eastAsia="仿宋_GB2312"/>
          <w:kern w:val="0"/>
          <w:sz w:val="32"/>
          <w:szCs w:val="32"/>
        </w:rPr>
        <w:t>含戊二醛的脱敏剂，戊二醛使牙本质小管中的液体蛋白变性、凝固，封堵牙本质小管</w:t>
      </w:r>
      <w:r>
        <w:rPr>
          <w:rFonts w:hint="eastAsia" w:ascii="Times New Roman" w:hAnsi="Times New Roman" w:eastAsia="仿宋_GB2312"/>
          <w:kern w:val="0"/>
          <w:sz w:val="32"/>
          <w:szCs w:val="32"/>
          <w:vertAlign w:val="superscript"/>
        </w:rPr>
        <w:t>[6]</w:t>
      </w:r>
      <w:r>
        <w:rPr>
          <w:rFonts w:hint="eastAsia" w:ascii="Times New Roman" w:hAnsi="Times New Roman" w:eastAsia="仿宋_GB2312"/>
          <w:kern w:val="0"/>
          <w:sz w:val="32"/>
          <w:szCs w:val="32"/>
        </w:rPr>
        <w:t>；</w:t>
      </w:r>
      <w:r>
        <w:rPr>
          <w:rFonts w:ascii="Times New Roman" w:hAnsi="Times New Roman" w:eastAsia="仿宋_GB2312"/>
          <w:kern w:val="0"/>
          <w:sz w:val="32"/>
          <w:szCs w:val="32"/>
        </w:rPr>
        <w:fldChar w:fldCharType="begin"/>
      </w:r>
      <w:r>
        <w:rPr>
          <w:rFonts w:ascii="Times New Roman" w:hAnsi="Times New Roman" w:eastAsia="仿宋_GB2312"/>
          <w:kern w:val="0"/>
          <w:sz w:val="32"/>
          <w:szCs w:val="32"/>
        </w:rPr>
        <w:instrText xml:space="preserve"> </w:instrText>
      </w:r>
      <w:r>
        <w:rPr>
          <w:rFonts w:hint="eastAsia" w:ascii="Times New Roman" w:hAnsi="Times New Roman" w:eastAsia="仿宋_GB2312"/>
          <w:kern w:val="0"/>
          <w:sz w:val="32"/>
          <w:szCs w:val="32"/>
        </w:rPr>
        <w:instrText xml:space="preserve">= 5 \* GB3</w:instrText>
      </w:r>
      <w:r>
        <w:rPr>
          <w:rFonts w:ascii="Times New Roman" w:hAnsi="Times New Roman" w:eastAsia="仿宋_GB2312"/>
          <w:kern w:val="0"/>
          <w:sz w:val="32"/>
          <w:szCs w:val="32"/>
        </w:rPr>
        <w:instrText xml:space="preserve"> </w:instrText>
      </w:r>
      <w:r>
        <w:rPr>
          <w:rFonts w:ascii="Times New Roman" w:hAnsi="Times New Roman" w:eastAsia="仿宋_GB2312"/>
          <w:kern w:val="0"/>
          <w:sz w:val="32"/>
          <w:szCs w:val="32"/>
        </w:rPr>
        <w:fldChar w:fldCharType="separate"/>
      </w:r>
      <w:r>
        <w:rPr>
          <w:rFonts w:hint="eastAsia" w:ascii="Times New Roman" w:hAnsi="Times New Roman" w:eastAsia="仿宋_GB2312"/>
          <w:kern w:val="0"/>
          <w:sz w:val="32"/>
          <w:szCs w:val="32"/>
        </w:rPr>
        <w:t>⑤</w:t>
      </w:r>
      <w:r>
        <w:rPr>
          <w:rFonts w:ascii="Times New Roman" w:hAnsi="Times New Roman" w:eastAsia="仿宋_GB2312"/>
          <w:kern w:val="0"/>
          <w:sz w:val="32"/>
          <w:szCs w:val="32"/>
        </w:rPr>
        <w:fldChar w:fldCharType="end"/>
      </w:r>
      <w:r>
        <w:rPr>
          <w:rFonts w:hint="eastAsia" w:ascii="Times New Roman" w:hAnsi="Times New Roman" w:eastAsia="仿宋_GB2312"/>
          <w:kern w:val="0"/>
          <w:sz w:val="32"/>
          <w:szCs w:val="32"/>
        </w:rPr>
        <w:t>酚类脱敏剂（碘酚、甲醛甲酚），通过凝固牙本质胶原蛋白形成一层保护膜，降低牙本质通透性</w:t>
      </w:r>
      <w:r>
        <w:rPr>
          <w:rFonts w:hint="eastAsia" w:ascii="Times New Roman" w:hAnsi="Times New Roman" w:eastAsia="仿宋_GB2312"/>
          <w:kern w:val="0"/>
          <w:sz w:val="32"/>
          <w:szCs w:val="32"/>
          <w:vertAlign w:val="superscript"/>
        </w:rPr>
        <w:t>[7]</w:t>
      </w:r>
      <w:r>
        <w:rPr>
          <w:rFonts w:hint="eastAsia" w:ascii="Times New Roman" w:hAnsi="Times New Roman" w:eastAsia="仿宋_GB2312"/>
          <w:kern w:val="0"/>
          <w:sz w:val="32"/>
          <w:szCs w:val="32"/>
        </w:rPr>
        <w:t>。</w:t>
      </w:r>
    </w:p>
    <w:p w14:paraId="06708BE8">
      <w:pPr>
        <w:ind w:firstLine="640"/>
        <w:rPr>
          <w:rFonts w:ascii="Times New Roman" w:hAnsi="Times New Roman" w:eastAsia="仿宋_GB2312"/>
          <w:kern w:val="0"/>
          <w:sz w:val="32"/>
          <w:szCs w:val="32"/>
        </w:rPr>
      </w:pPr>
      <w:r>
        <w:rPr>
          <w:rFonts w:hint="eastAsia" w:ascii="Times New Roman" w:hAnsi="Times New Roman" w:eastAsia="仿宋_GB2312"/>
          <w:kern w:val="0"/>
          <w:sz w:val="32"/>
          <w:szCs w:val="32"/>
        </w:rPr>
        <w:t>降低神经传导类产品，主要为钾盐脱敏剂（通常为硝酸钾、草酸钾、构椽酸钾），钾离子能降低神经纤维的兴奋性，牙髓感觉神经感受器周围的钾离子增加到一定浓度后，产生去极化现象，使神经纤维的兴奋性降低。其中草酸钾还可形成不溶性物质草酸钙堵塞牙本质小管</w:t>
      </w:r>
      <w:r>
        <w:rPr>
          <w:rFonts w:hint="eastAsia" w:ascii="Times New Roman" w:hAnsi="Times New Roman" w:eastAsia="仿宋_GB2312"/>
          <w:kern w:val="0"/>
          <w:sz w:val="32"/>
          <w:szCs w:val="32"/>
          <w:vertAlign w:val="superscript"/>
        </w:rPr>
        <w:t>[8]</w:t>
      </w:r>
      <w:r>
        <w:rPr>
          <w:rFonts w:hint="eastAsia" w:ascii="Times New Roman" w:hAnsi="Times New Roman" w:eastAsia="仿宋_GB2312"/>
          <w:kern w:val="0"/>
          <w:sz w:val="32"/>
          <w:szCs w:val="32"/>
        </w:rPr>
        <w:t>。</w:t>
      </w:r>
    </w:p>
    <w:p w14:paraId="3C402DBA">
      <w:pPr>
        <w:ind w:firstLine="640"/>
        <w:rPr>
          <w:rFonts w:ascii="Times New Roman" w:hAnsi="Times New Roman" w:eastAsia="仿宋_GB2312"/>
          <w:kern w:val="0"/>
          <w:sz w:val="32"/>
          <w:szCs w:val="32"/>
        </w:rPr>
      </w:pPr>
      <w:r>
        <w:rPr>
          <w:rFonts w:hint="eastAsia" w:ascii="Times New Roman" w:hAnsi="Times New Roman" w:eastAsia="仿宋_GB2312"/>
          <w:kern w:val="0"/>
          <w:sz w:val="32"/>
          <w:szCs w:val="32"/>
        </w:rPr>
        <w:t>以上描述来源于参考文献，仅供参考。申请人应结合申报产品论述产品工作原理/作用机理，明确各组分的作用及构成比例设定的依据，是单一发挥作用还是协同发挥作用。</w:t>
      </w:r>
    </w:p>
    <w:p w14:paraId="54A7F5C9">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（四）注册单元划分的原则和实例</w:t>
      </w:r>
    </w:p>
    <w:p w14:paraId="4D2B4037">
      <w:pPr>
        <w:spacing w:line="520" w:lineRule="exact"/>
        <w:ind w:firstLine="640" w:firstLineChars="200"/>
        <w:rPr>
          <w:rFonts w:ascii="Times New Roman" w:hAnsi="Times New Roman" w:eastAsia="仿宋_GB2312"/>
          <w:sz w:val="32"/>
          <w:szCs w:val="32"/>
        </w:rPr>
      </w:pPr>
      <w:r>
        <w:rPr>
          <w:rFonts w:hint="eastAsia" w:ascii="Times New Roman" w:eastAsia="仿宋_GB2312"/>
          <w:sz w:val="32"/>
          <w:szCs w:val="32"/>
        </w:rPr>
        <w:t>脱敏剂</w:t>
      </w:r>
      <w:r>
        <w:rPr>
          <w:rFonts w:ascii="Times New Roman" w:eastAsia="仿宋_GB2312"/>
          <w:sz w:val="32"/>
          <w:szCs w:val="32"/>
        </w:rPr>
        <w:t>注册单元</w:t>
      </w:r>
      <w:r>
        <w:rPr>
          <w:rFonts w:ascii="Times New Roman" w:eastAsia="仿宋_GB2312"/>
          <w:kern w:val="0"/>
          <w:sz w:val="32"/>
        </w:rPr>
        <w:t>原则上以产品的技术原理、结构组成、性能指标和适用范围为划分依据。</w:t>
      </w:r>
    </w:p>
    <w:p w14:paraId="7AF8FB88">
      <w:pPr>
        <w:widowControl/>
        <w:spacing w:line="520" w:lineRule="exact"/>
        <w:ind w:firstLine="640" w:firstLineChars="200"/>
        <w:rPr>
          <w:rFonts w:ascii="Times New Roman" w:hAnsi="Times New Roman" w:eastAsia="仿宋_GB2312"/>
          <w:kern w:val="0"/>
          <w:sz w:val="32"/>
          <w:szCs w:val="20"/>
        </w:rPr>
      </w:pPr>
      <w:r>
        <w:rPr>
          <w:rFonts w:ascii="Times New Roman" w:hAnsi="Times New Roman" w:eastAsia="仿宋_GB2312"/>
          <w:kern w:val="0"/>
          <w:sz w:val="32"/>
          <w:szCs w:val="20"/>
        </w:rPr>
        <w:t>例如：</w:t>
      </w:r>
    </w:p>
    <w:p w14:paraId="2BEDBBB5">
      <w:pPr>
        <w:widowControl/>
        <w:numPr>
          <w:ilvl w:val="255"/>
          <w:numId w:val="0"/>
        </w:numPr>
        <w:spacing w:line="520" w:lineRule="exact"/>
        <w:ind w:left="638" w:leftChars="304"/>
        <w:rPr>
          <w:rFonts w:ascii="Times New Roman" w:hAnsi="Times New Roman" w:eastAsia="仿宋_GB2312"/>
          <w:kern w:val="0"/>
          <w:sz w:val="32"/>
          <w:szCs w:val="20"/>
        </w:rPr>
      </w:pPr>
      <w:r>
        <w:rPr>
          <w:rFonts w:hint="eastAsia" w:ascii="Times New Roman" w:hAnsi="Times New Roman" w:eastAsia="仿宋_GB2312"/>
          <w:kern w:val="0"/>
          <w:sz w:val="32"/>
          <w:szCs w:val="20"/>
        </w:rPr>
        <w:t>1.</w:t>
      </w:r>
      <w:r>
        <w:rPr>
          <w:rFonts w:ascii="Times New Roman" w:hAnsi="Times New Roman" w:eastAsia="仿宋_GB2312"/>
          <w:kern w:val="0"/>
          <w:sz w:val="32"/>
          <w:szCs w:val="20"/>
        </w:rPr>
        <w:t>产品</w:t>
      </w:r>
      <w:r>
        <w:rPr>
          <w:rFonts w:hint="eastAsia" w:ascii="Times New Roman" w:hAnsi="Times New Roman" w:eastAsia="仿宋_GB2312"/>
          <w:kern w:val="0"/>
          <w:sz w:val="32"/>
          <w:szCs w:val="20"/>
        </w:rPr>
        <w:t>作用机理不</w:t>
      </w:r>
      <w:r>
        <w:rPr>
          <w:rFonts w:ascii="Times New Roman" w:hAnsi="Times New Roman" w:eastAsia="仿宋_GB2312"/>
          <w:kern w:val="0"/>
          <w:sz w:val="32"/>
          <w:szCs w:val="20"/>
        </w:rPr>
        <w:t>同，建议</w:t>
      </w:r>
      <w:r>
        <w:rPr>
          <w:rFonts w:hint="eastAsia" w:ascii="Times New Roman" w:hAnsi="Times New Roman" w:eastAsia="仿宋_GB2312"/>
          <w:kern w:val="0"/>
          <w:sz w:val="32"/>
          <w:szCs w:val="20"/>
        </w:rPr>
        <w:t>不</w:t>
      </w:r>
      <w:r>
        <w:rPr>
          <w:rFonts w:ascii="Times New Roman" w:hAnsi="Times New Roman" w:eastAsia="仿宋_GB2312"/>
          <w:kern w:val="0"/>
          <w:sz w:val="32"/>
          <w:szCs w:val="20"/>
        </w:rPr>
        <w:t>作为同一注册单元申报。</w:t>
      </w:r>
    </w:p>
    <w:p w14:paraId="7FAB2E23">
      <w:pPr>
        <w:widowControl/>
        <w:numPr>
          <w:ilvl w:val="255"/>
          <w:numId w:val="0"/>
        </w:numPr>
        <w:spacing w:line="520" w:lineRule="exact"/>
        <w:ind w:firstLine="640" w:firstLineChars="200"/>
        <w:rPr>
          <w:rFonts w:ascii="Times New Roman" w:hAnsi="Times New Roman" w:eastAsia="仿宋_GB2312"/>
          <w:kern w:val="0"/>
          <w:sz w:val="32"/>
          <w:szCs w:val="20"/>
        </w:rPr>
      </w:pPr>
      <w:r>
        <w:rPr>
          <w:rFonts w:hint="eastAsia" w:ascii="Times New Roman" w:hAnsi="Times New Roman" w:eastAsia="仿宋_GB2312"/>
          <w:kern w:val="0"/>
          <w:sz w:val="32"/>
          <w:szCs w:val="20"/>
        </w:rPr>
        <w:t>2.产品主要成分不同，</w:t>
      </w:r>
      <w:r>
        <w:rPr>
          <w:rFonts w:ascii="Times New Roman" w:hAnsi="Times New Roman" w:eastAsia="仿宋_GB2312"/>
          <w:kern w:val="0"/>
          <w:sz w:val="32"/>
          <w:szCs w:val="20"/>
        </w:rPr>
        <w:t>建议</w:t>
      </w:r>
      <w:r>
        <w:rPr>
          <w:rFonts w:hint="eastAsia" w:ascii="Times New Roman" w:hAnsi="Times New Roman" w:eastAsia="仿宋_GB2312"/>
          <w:kern w:val="0"/>
          <w:sz w:val="32"/>
          <w:szCs w:val="20"/>
        </w:rPr>
        <w:t>不</w:t>
      </w:r>
      <w:r>
        <w:rPr>
          <w:rFonts w:ascii="Times New Roman" w:hAnsi="Times New Roman" w:eastAsia="仿宋_GB2312"/>
          <w:kern w:val="0"/>
          <w:sz w:val="32"/>
          <w:szCs w:val="20"/>
        </w:rPr>
        <w:t>作为同一注册单元申报</w:t>
      </w:r>
      <w:r>
        <w:rPr>
          <w:rFonts w:hint="eastAsia" w:ascii="Times New Roman" w:hAnsi="Times New Roman" w:eastAsia="仿宋_GB2312"/>
          <w:kern w:val="0"/>
          <w:sz w:val="32"/>
          <w:szCs w:val="20"/>
        </w:rPr>
        <w:t>。</w:t>
      </w:r>
    </w:p>
    <w:p w14:paraId="3476B61E">
      <w:pPr>
        <w:widowControl/>
        <w:numPr>
          <w:ilvl w:val="0"/>
          <w:numId w:val="1"/>
        </w:numPr>
        <w:spacing w:line="520" w:lineRule="exact"/>
        <w:ind w:firstLine="640" w:firstLineChars="200"/>
        <w:rPr>
          <w:rFonts w:ascii="Times New Roman" w:hAnsi="Times New Roman" w:eastAsia="楷体_GB2312"/>
          <w:bCs/>
          <w:sz w:val="32"/>
          <w:szCs w:val="32"/>
        </w:rPr>
      </w:pPr>
      <w:r>
        <w:rPr>
          <w:rFonts w:ascii="Times New Roman" w:hAnsi="Times New Roman" w:eastAsia="楷体_GB2312"/>
          <w:bCs/>
          <w:sz w:val="32"/>
          <w:szCs w:val="32"/>
        </w:rPr>
        <w:t>产品适用的相关标准</w:t>
      </w:r>
    </w:p>
    <w:p w14:paraId="4EB6ED2A">
      <w:pPr>
        <w:ind w:right="-67" w:rightChars="-32"/>
        <w:jc w:val="center"/>
        <w:rPr>
          <w:rFonts w:ascii="Times New Roman" w:hAnsi="Times New Roman" w:eastAsia="黑体"/>
          <w:bCs/>
          <w:sz w:val="28"/>
          <w:szCs w:val="28"/>
        </w:rPr>
      </w:pPr>
      <w:r>
        <w:rPr>
          <w:rFonts w:ascii="Times New Roman" w:hAnsi="Times New Roman" w:eastAsia="黑体"/>
          <w:bCs/>
          <w:sz w:val="28"/>
          <w:szCs w:val="28"/>
        </w:rPr>
        <w:t>表1 相关标准</w:t>
      </w:r>
    </w:p>
    <w:tbl>
      <w:tblPr>
        <w:tblStyle w:val="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4"/>
        <w:gridCol w:w="5834"/>
      </w:tblGrid>
      <w:tr w14:paraId="0D87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34" w:type="dxa"/>
            <w:noWrap/>
          </w:tcPr>
          <w:p w14:paraId="449A6858">
            <w:pPr>
              <w:spacing w:line="500" w:lineRule="exact"/>
              <w:jc w:val="center"/>
              <w:rPr>
                <w:rFonts w:ascii="Times New Roman" w:hAnsi="Times New Roman" w:eastAsia="黑体"/>
                <w:sz w:val="28"/>
                <w:szCs w:val="28"/>
              </w:rPr>
            </w:pPr>
            <w:r>
              <w:rPr>
                <w:rFonts w:ascii="Times New Roman" w:hAnsi="Times New Roman" w:eastAsia="黑体"/>
                <w:sz w:val="28"/>
                <w:szCs w:val="28"/>
              </w:rPr>
              <w:t>标准编号</w:t>
            </w:r>
          </w:p>
        </w:tc>
        <w:tc>
          <w:tcPr>
            <w:tcW w:w="5834" w:type="dxa"/>
            <w:noWrap/>
          </w:tcPr>
          <w:p w14:paraId="1D8F137D">
            <w:pPr>
              <w:spacing w:line="500" w:lineRule="exact"/>
              <w:jc w:val="center"/>
              <w:rPr>
                <w:rFonts w:ascii="Times New Roman" w:hAnsi="Times New Roman" w:eastAsia="黑体"/>
                <w:sz w:val="28"/>
                <w:szCs w:val="28"/>
              </w:rPr>
            </w:pPr>
            <w:r>
              <w:rPr>
                <w:rFonts w:ascii="Times New Roman" w:hAnsi="Times New Roman" w:eastAsia="黑体"/>
                <w:sz w:val="28"/>
                <w:szCs w:val="28"/>
              </w:rPr>
              <w:t>标准名称</w:t>
            </w:r>
          </w:p>
        </w:tc>
      </w:tr>
      <w:tr w14:paraId="3759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noWrap/>
            <w:vAlign w:val="center"/>
          </w:tcPr>
          <w:p w14:paraId="2EF44B43">
            <w:pPr>
              <w:spacing w:line="500" w:lineRule="exact"/>
              <w:jc w:val="center"/>
              <w:rPr>
                <w:rFonts w:ascii="Times New Roman" w:hAnsi="Times New Roman" w:eastAsia="仿宋_GB2312"/>
                <w:bCs/>
                <w:sz w:val="28"/>
                <w:szCs w:val="28"/>
              </w:rPr>
            </w:pPr>
            <w:r>
              <w:rPr>
                <w:rFonts w:ascii="Times New Roman" w:hAnsi="Times New Roman" w:eastAsia="仿宋_GB2312"/>
                <w:bCs/>
                <w:sz w:val="28"/>
                <w:szCs w:val="28"/>
              </w:rPr>
              <w:t>GB/T 191-2008</w:t>
            </w:r>
          </w:p>
        </w:tc>
        <w:tc>
          <w:tcPr>
            <w:tcW w:w="5834" w:type="dxa"/>
            <w:noWrap/>
          </w:tcPr>
          <w:p w14:paraId="525FE5D5">
            <w:pPr>
              <w:spacing w:line="500" w:lineRule="exact"/>
              <w:rPr>
                <w:rFonts w:ascii="Times New Roman" w:hAnsi="Times New Roman" w:eastAsia="仿宋_GB2312"/>
                <w:bCs/>
                <w:sz w:val="28"/>
                <w:szCs w:val="28"/>
              </w:rPr>
            </w:pPr>
            <w:r>
              <w:rPr>
                <w:rFonts w:ascii="Times New Roman" w:hAnsi="Times New Roman" w:eastAsia="仿宋_GB2312"/>
                <w:bCs/>
                <w:sz w:val="28"/>
                <w:szCs w:val="28"/>
              </w:rPr>
              <w:t>《包装储运图示标志》</w:t>
            </w:r>
          </w:p>
        </w:tc>
      </w:tr>
      <w:tr w14:paraId="3BB4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noWrap/>
            <w:vAlign w:val="center"/>
          </w:tcPr>
          <w:p w14:paraId="083FAF98">
            <w:pPr>
              <w:spacing w:line="500" w:lineRule="exact"/>
              <w:jc w:val="center"/>
              <w:rPr>
                <w:rFonts w:ascii="Times New Roman" w:hAnsi="Times New Roman" w:eastAsia="仿宋_GB2312"/>
                <w:bCs/>
                <w:sz w:val="28"/>
                <w:szCs w:val="28"/>
              </w:rPr>
            </w:pPr>
            <w:r>
              <w:rPr>
                <w:rFonts w:ascii="Times New Roman" w:hAnsi="Times New Roman" w:eastAsia="仿宋_GB2312"/>
                <w:bCs/>
                <w:sz w:val="28"/>
                <w:szCs w:val="28"/>
              </w:rPr>
              <w:t>GB/T 8372-20</w:t>
            </w:r>
            <w:r>
              <w:rPr>
                <w:rFonts w:hint="eastAsia" w:ascii="Times New Roman" w:hAnsi="Times New Roman" w:eastAsia="仿宋_GB2312"/>
                <w:bCs/>
                <w:sz w:val="28"/>
                <w:szCs w:val="28"/>
              </w:rPr>
              <w:t>17</w:t>
            </w:r>
          </w:p>
        </w:tc>
        <w:tc>
          <w:tcPr>
            <w:tcW w:w="5834" w:type="dxa"/>
            <w:noWrap/>
          </w:tcPr>
          <w:p w14:paraId="38B3C702">
            <w:pPr>
              <w:spacing w:line="500" w:lineRule="exact"/>
              <w:rPr>
                <w:rFonts w:ascii="Times New Roman" w:hAnsi="Times New Roman" w:eastAsia="仿宋_GB2312"/>
                <w:bCs/>
                <w:sz w:val="28"/>
                <w:szCs w:val="28"/>
              </w:rPr>
            </w:pPr>
            <w:r>
              <w:rPr>
                <w:rFonts w:hint="eastAsia" w:ascii="Times New Roman" w:hAnsi="Times New Roman" w:eastAsia="仿宋_GB2312"/>
                <w:bCs/>
                <w:sz w:val="28"/>
                <w:szCs w:val="28"/>
              </w:rPr>
              <w:t>《牙膏》</w:t>
            </w:r>
          </w:p>
        </w:tc>
      </w:tr>
      <w:tr w14:paraId="1D5B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noWrap/>
            <w:vAlign w:val="center"/>
          </w:tcPr>
          <w:p w14:paraId="696FAA48">
            <w:pPr>
              <w:spacing w:line="500" w:lineRule="exact"/>
              <w:jc w:val="center"/>
              <w:rPr>
                <w:rFonts w:ascii="Times New Roman" w:hAnsi="Times New Roman" w:eastAsia="仿宋_GB2312"/>
                <w:bCs/>
                <w:sz w:val="28"/>
                <w:szCs w:val="28"/>
              </w:rPr>
            </w:pPr>
            <w:r>
              <w:rPr>
                <w:rFonts w:ascii="Times New Roman" w:hAnsi="Times New Roman" w:eastAsia="仿宋_GB2312"/>
                <w:bCs/>
                <w:sz w:val="28"/>
                <w:szCs w:val="28"/>
              </w:rPr>
              <w:t>GB/T 9937.5-2008</w:t>
            </w:r>
          </w:p>
        </w:tc>
        <w:tc>
          <w:tcPr>
            <w:tcW w:w="5834" w:type="dxa"/>
            <w:noWrap/>
          </w:tcPr>
          <w:p w14:paraId="1C38859E">
            <w:pPr>
              <w:spacing w:line="500" w:lineRule="exact"/>
              <w:rPr>
                <w:rFonts w:ascii="Times New Roman" w:hAnsi="Times New Roman" w:eastAsia="仿宋_GB2312"/>
                <w:bCs/>
                <w:sz w:val="28"/>
                <w:szCs w:val="28"/>
              </w:rPr>
            </w:pPr>
            <w:r>
              <w:rPr>
                <w:rFonts w:ascii="Times New Roman" w:hAnsi="Times New Roman" w:eastAsia="仿宋_GB2312"/>
                <w:bCs/>
                <w:sz w:val="28"/>
                <w:szCs w:val="28"/>
              </w:rPr>
              <w:t>《口腔词汇 第五部分 与测试有关的术语》</w:t>
            </w:r>
          </w:p>
        </w:tc>
      </w:tr>
      <w:tr w14:paraId="009D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noWrap/>
            <w:vAlign w:val="center"/>
          </w:tcPr>
          <w:p w14:paraId="11E569F9">
            <w:pPr>
              <w:spacing w:line="500" w:lineRule="exact"/>
              <w:jc w:val="center"/>
              <w:rPr>
                <w:rFonts w:ascii="Times New Roman" w:hAnsi="Times New Roman" w:eastAsia="仿宋_GB2312"/>
                <w:bCs/>
                <w:sz w:val="28"/>
                <w:szCs w:val="28"/>
              </w:rPr>
            </w:pPr>
            <w:r>
              <w:rPr>
                <w:rFonts w:ascii="Times New Roman" w:hAnsi="Times New Roman" w:eastAsia="仿宋_GB2312"/>
                <w:bCs/>
                <w:sz w:val="28"/>
                <w:szCs w:val="28"/>
              </w:rPr>
              <w:t>GB/T 16886.1-2011</w:t>
            </w:r>
          </w:p>
        </w:tc>
        <w:tc>
          <w:tcPr>
            <w:tcW w:w="5834" w:type="dxa"/>
            <w:noWrap/>
          </w:tcPr>
          <w:p w14:paraId="57B1967C">
            <w:pPr>
              <w:spacing w:line="500" w:lineRule="exact"/>
              <w:rPr>
                <w:rFonts w:ascii="Times New Roman" w:hAnsi="Times New Roman" w:eastAsia="仿宋_GB2312"/>
                <w:bCs/>
                <w:sz w:val="28"/>
                <w:szCs w:val="28"/>
              </w:rPr>
            </w:pPr>
            <w:r>
              <w:rPr>
                <w:rFonts w:ascii="Times New Roman" w:hAnsi="Times New Roman" w:eastAsia="仿宋_GB2312"/>
                <w:bCs/>
                <w:sz w:val="28"/>
                <w:szCs w:val="28"/>
              </w:rPr>
              <w:t>《医疗器械生物学评价 第1部分：风险管理过程中的评价与试验》</w:t>
            </w:r>
          </w:p>
        </w:tc>
      </w:tr>
      <w:tr w14:paraId="6DD9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noWrap/>
            <w:vAlign w:val="center"/>
          </w:tcPr>
          <w:p w14:paraId="25DAD693">
            <w:pPr>
              <w:spacing w:line="500" w:lineRule="exact"/>
              <w:jc w:val="center"/>
              <w:rPr>
                <w:rFonts w:ascii="Times New Roman" w:hAnsi="Times New Roman" w:eastAsia="仿宋_GB2312"/>
                <w:bCs/>
                <w:sz w:val="28"/>
                <w:szCs w:val="28"/>
              </w:rPr>
            </w:pPr>
            <w:r>
              <w:rPr>
                <w:rFonts w:ascii="Times New Roman" w:hAnsi="Times New Roman" w:eastAsia="仿宋_GB2312"/>
                <w:bCs/>
                <w:sz w:val="28"/>
                <w:szCs w:val="28"/>
              </w:rPr>
              <w:t>GB/T 16886.5-2017</w:t>
            </w:r>
          </w:p>
        </w:tc>
        <w:tc>
          <w:tcPr>
            <w:tcW w:w="5834" w:type="dxa"/>
            <w:noWrap/>
          </w:tcPr>
          <w:p w14:paraId="183F9331">
            <w:pPr>
              <w:spacing w:line="500" w:lineRule="exact"/>
              <w:rPr>
                <w:rFonts w:ascii="Times New Roman" w:hAnsi="Times New Roman" w:eastAsia="仿宋_GB2312"/>
                <w:bCs/>
                <w:sz w:val="28"/>
                <w:szCs w:val="28"/>
              </w:rPr>
            </w:pPr>
            <w:r>
              <w:rPr>
                <w:rFonts w:ascii="Times New Roman" w:hAnsi="Times New Roman" w:eastAsia="仿宋_GB2312"/>
                <w:bCs/>
                <w:sz w:val="28"/>
                <w:szCs w:val="28"/>
              </w:rPr>
              <w:t>《医疗器械生物学评价 第5部分：体外细胞毒性试验》</w:t>
            </w:r>
          </w:p>
        </w:tc>
      </w:tr>
      <w:tr w14:paraId="6EDA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noWrap/>
            <w:vAlign w:val="center"/>
          </w:tcPr>
          <w:p w14:paraId="65EDC224">
            <w:pPr>
              <w:spacing w:line="500" w:lineRule="exact"/>
              <w:jc w:val="center"/>
              <w:rPr>
                <w:rFonts w:ascii="Times New Roman" w:hAnsi="Times New Roman" w:eastAsia="仿宋_GB2312"/>
                <w:bCs/>
                <w:sz w:val="28"/>
                <w:szCs w:val="28"/>
              </w:rPr>
            </w:pPr>
            <w:r>
              <w:rPr>
                <w:rFonts w:ascii="Times New Roman" w:hAnsi="Times New Roman" w:eastAsia="仿宋_GB2312"/>
                <w:bCs/>
                <w:sz w:val="28"/>
                <w:szCs w:val="28"/>
              </w:rPr>
              <w:t>GB/T16886.10-2017</w:t>
            </w:r>
          </w:p>
        </w:tc>
        <w:tc>
          <w:tcPr>
            <w:tcW w:w="5834" w:type="dxa"/>
            <w:noWrap/>
          </w:tcPr>
          <w:p w14:paraId="55C4C54C">
            <w:pPr>
              <w:spacing w:line="500" w:lineRule="exact"/>
              <w:rPr>
                <w:rFonts w:ascii="Times New Roman" w:hAnsi="Times New Roman" w:eastAsia="仿宋_GB2312"/>
                <w:bCs/>
                <w:sz w:val="28"/>
                <w:szCs w:val="28"/>
              </w:rPr>
            </w:pPr>
            <w:r>
              <w:rPr>
                <w:rFonts w:ascii="Times New Roman" w:hAnsi="Times New Roman" w:eastAsia="仿宋_GB2312"/>
                <w:bCs/>
                <w:sz w:val="28"/>
                <w:szCs w:val="28"/>
              </w:rPr>
              <w:t>《医疗器械生物学评价 第10部分：刺激与皮肤致敏试验》</w:t>
            </w:r>
          </w:p>
        </w:tc>
      </w:tr>
      <w:tr w14:paraId="2043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noWrap/>
            <w:vAlign w:val="center"/>
          </w:tcPr>
          <w:p w14:paraId="2E42C55A">
            <w:pPr>
              <w:spacing w:line="500" w:lineRule="exact"/>
              <w:jc w:val="center"/>
              <w:rPr>
                <w:rFonts w:ascii="Times New Roman" w:hAnsi="Times New Roman" w:eastAsia="仿宋_GB2312"/>
                <w:bCs/>
                <w:sz w:val="28"/>
                <w:szCs w:val="28"/>
              </w:rPr>
            </w:pPr>
            <w:r>
              <w:rPr>
                <w:rFonts w:hint="eastAsia" w:ascii="Times New Roman" w:hAnsi="Times New Roman" w:eastAsia="仿宋_GB2312"/>
                <w:bCs/>
                <w:sz w:val="28"/>
                <w:szCs w:val="28"/>
              </w:rPr>
              <w:t>YY</w:t>
            </w:r>
            <w:r>
              <w:rPr>
                <w:rFonts w:ascii="Times New Roman" w:hAnsi="Times New Roman" w:eastAsia="仿宋_GB2312"/>
                <w:bCs/>
                <w:sz w:val="28"/>
                <w:szCs w:val="28"/>
              </w:rPr>
              <w:t>/</w:t>
            </w:r>
            <w:r>
              <w:rPr>
                <w:rFonts w:hint="eastAsia" w:ascii="Times New Roman" w:hAnsi="Times New Roman" w:eastAsia="仿宋_GB2312"/>
                <w:bCs/>
                <w:sz w:val="28"/>
                <w:szCs w:val="28"/>
              </w:rPr>
              <w:t>T 0127.7-2017</w:t>
            </w:r>
          </w:p>
        </w:tc>
        <w:tc>
          <w:tcPr>
            <w:tcW w:w="5834" w:type="dxa"/>
            <w:noWrap/>
          </w:tcPr>
          <w:p w14:paraId="346E47DA">
            <w:pPr>
              <w:spacing w:line="500" w:lineRule="exact"/>
              <w:rPr>
                <w:rFonts w:ascii="Times New Roman" w:hAnsi="Times New Roman" w:eastAsia="仿宋_GB2312"/>
                <w:bCs/>
                <w:sz w:val="28"/>
                <w:szCs w:val="28"/>
              </w:rPr>
            </w:pPr>
            <w:r>
              <w:rPr>
                <w:rFonts w:hint="eastAsia" w:ascii="Times New Roman" w:hAnsi="Times New Roman" w:eastAsia="仿宋_GB2312"/>
                <w:bCs/>
                <w:sz w:val="28"/>
                <w:szCs w:val="28"/>
              </w:rPr>
              <w:t>《口腔医疗器械生物学评价 第7部分：牙髓牙本质应用试验》</w:t>
            </w:r>
          </w:p>
        </w:tc>
      </w:tr>
      <w:tr w14:paraId="6882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noWrap/>
            <w:vAlign w:val="center"/>
          </w:tcPr>
          <w:p w14:paraId="30C0DC94">
            <w:pPr>
              <w:spacing w:line="500" w:lineRule="exact"/>
              <w:jc w:val="center"/>
              <w:rPr>
                <w:rFonts w:ascii="Times New Roman" w:hAnsi="Times New Roman" w:eastAsia="仿宋_GB2312"/>
                <w:bCs/>
                <w:sz w:val="28"/>
                <w:szCs w:val="28"/>
              </w:rPr>
            </w:pPr>
            <w:r>
              <w:rPr>
                <w:rFonts w:ascii="Times New Roman" w:hAnsi="Times New Roman" w:eastAsia="仿宋_GB2312"/>
                <w:bCs/>
                <w:sz w:val="28"/>
                <w:szCs w:val="28"/>
              </w:rPr>
              <w:t>YY/T 0127.9-2009</w:t>
            </w:r>
          </w:p>
        </w:tc>
        <w:tc>
          <w:tcPr>
            <w:tcW w:w="5834" w:type="dxa"/>
            <w:noWrap/>
          </w:tcPr>
          <w:p w14:paraId="681E627D">
            <w:pPr>
              <w:spacing w:line="500" w:lineRule="exact"/>
              <w:rPr>
                <w:rFonts w:ascii="Times New Roman" w:hAnsi="Times New Roman" w:eastAsia="仿宋_GB2312"/>
                <w:bCs/>
                <w:sz w:val="28"/>
                <w:szCs w:val="28"/>
              </w:rPr>
            </w:pPr>
            <w:r>
              <w:rPr>
                <w:rFonts w:ascii="Times New Roman" w:hAnsi="Times New Roman" w:eastAsia="仿宋_GB2312"/>
                <w:bCs/>
                <w:sz w:val="28"/>
                <w:szCs w:val="28"/>
              </w:rPr>
              <w:t>《口腔医疗器械生物学评价 第2单元</w:t>
            </w:r>
            <w:r>
              <w:rPr>
                <w:rFonts w:hint="eastAsia" w:ascii="Times New Roman" w:hAnsi="Times New Roman" w:eastAsia="仿宋_GB2312"/>
                <w:bCs/>
                <w:sz w:val="28"/>
                <w:szCs w:val="28"/>
              </w:rPr>
              <w:t>：</w:t>
            </w:r>
            <w:r>
              <w:rPr>
                <w:rFonts w:ascii="Times New Roman" w:hAnsi="Times New Roman" w:eastAsia="仿宋_GB2312"/>
                <w:bCs/>
                <w:sz w:val="28"/>
                <w:szCs w:val="28"/>
              </w:rPr>
              <w:t>试验方法 细胞毒性试验：琼脂扩散法及滤膜扩散法》</w:t>
            </w:r>
          </w:p>
        </w:tc>
      </w:tr>
      <w:tr w14:paraId="2775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noWrap/>
            <w:vAlign w:val="center"/>
          </w:tcPr>
          <w:p w14:paraId="3B5CEEBB">
            <w:pPr>
              <w:spacing w:line="500" w:lineRule="exact"/>
              <w:jc w:val="center"/>
              <w:rPr>
                <w:rFonts w:ascii="Times New Roman" w:hAnsi="Times New Roman" w:eastAsia="仿宋_GB2312"/>
                <w:bCs/>
                <w:sz w:val="28"/>
                <w:szCs w:val="28"/>
              </w:rPr>
            </w:pPr>
            <w:r>
              <w:rPr>
                <w:rFonts w:ascii="Times New Roman" w:hAnsi="Times New Roman" w:eastAsia="仿宋_GB2312"/>
                <w:bCs/>
                <w:sz w:val="28"/>
                <w:szCs w:val="28"/>
              </w:rPr>
              <w:t>YY/T 0127.13-2018</w:t>
            </w:r>
          </w:p>
        </w:tc>
        <w:tc>
          <w:tcPr>
            <w:tcW w:w="5834" w:type="dxa"/>
            <w:noWrap/>
          </w:tcPr>
          <w:p w14:paraId="79548E11">
            <w:pPr>
              <w:spacing w:line="500" w:lineRule="exact"/>
              <w:rPr>
                <w:rFonts w:ascii="Times New Roman" w:hAnsi="Times New Roman" w:eastAsia="仿宋_GB2312"/>
                <w:bCs/>
                <w:sz w:val="28"/>
                <w:szCs w:val="28"/>
              </w:rPr>
            </w:pPr>
            <w:r>
              <w:rPr>
                <w:rFonts w:ascii="Times New Roman" w:hAnsi="Times New Roman" w:eastAsia="仿宋_GB2312"/>
                <w:bCs/>
                <w:sz w:val="28"/>
                <w:szCs w:val="28"/>
              </w:rPr>
              <w:t>《口腔医疗器械生物学评价第13部分：口腔粘膜刺激试验》</w:t>
            </w:r>
          </w:p>
        </w:tc>
      </w:tr>
      <w:tr w14:paraId="759F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4" w:type="dxa"/>
            <w:noWrap/>
            <w:vAlign w:val="center"/>
          </w:tcPr>
          <w:p w14:paraId="218308DC">
            <w:pPr>
              <w:spacing w:line="500" w:lineRule="exact"/>
              <w:jc w:val="center"/>
              <w:rPr>
                <w:rFonts w:ascii="Times New Roman" w:hAnsi="Times New Roman" w:eastAsia="仿宋_GB2312"/>
                <w:bCs/>
                <w:sz w:val="28"/>
                <w:szCs w:val="28"/>
              </w:rPr>
            </w:pPr>
            <w:r>
              <w:rPr>
                <w:rFonts w:ascii="Times New Roman" w:hAnsi="Times New Roman" w:eastAsia="仿宋_GB2312"/>
                <w:bCs/>
                <w:sz w:val="28"/>
                <w:szCs w:val="28"/>
              </w:rPr>
              <w:t>YY/T 0268-2008</w:t>
            </w:r>
          </w:p>
        </w:tc>
        <w:tc>
          <w:tcPr>
            <w:tcW w:w="5834" w:type="dxa"/>
            <w:noWrap/>
          </w:tcPr>
          <w:p w14:paraId="7E2C973B">
            <w:pPr>
              <w:spacing w:line="500" w:lineRule="exact"/>
              <w:rPr>
                <w:rFonts w:ascii="Times New Roman" w:hAnsi="Times New Roman" w:eastAsia="仿宋_GB2312"/>
                <w:bCs/>
                <w:sz w:val="28"/>
                <w:szCs w:val="28"/>
              </w:rPr>
            </w:pPr>
            <w:r>
              <w:rPr>
                <w:rFonts w:ascii="Times New Roman" w:hAnsi="Times New Roman" w:eastAsia="仿宋_GB2312"/>
                <w:bCs/>
                <w:sz w:val="28"/>
                <w:szCs w:val="28"/>
              </w:rPr>
              <w:t>《牙科学 口腔医疗器械生物学评价 第1单元：评价与试验》</w:t>
            </w:r>
          </w:p>
        </w:tc>
      </w:tr>
      <w:tr w14:paraId="1FBF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734" w:type="dxa"/>
            <w:noWrap/>
            <w:vAlign w:val="center"/>
          </w:tcPr>
          <w:p w14:paraId="229EB5D1">
            <w:pPr>
              <w:spacing w:line="500" w:lineRule="exact"/>
              <w:jc w:val="center"/>
              <w:rPr>
                <w:rFonts w:ascii="Times New Roman" w:hAnsi="Times New Roman" w:eastAsia="仿宋_GB2312"/>
                <w:bCs/>
                <w:sz w:val="28"/>
                <w:szCs w:val="28"/>
              </w:rPr>
            </w:pPr>
            <w:r>
              <w:rPr>
                <w:rFonts w:ascii="Times New Roman" w:hAnsi="Times New Roman" w:eastAsia="仿宋_GB2312"/>
                <w:bCs/>
                <w:sz w:val="28"/>
                <w:szCs w:val="28"/>
              </w:rPr>
              <w:t>YY/T 0316-2016</w:t>
            </w:r>
          </w:p>
        </w:tc>
        <w:tc>
          <w:tcPr>
            <w:tcW w:w="5834" w:type="dxa"/>
            <w:noWrap/>
          </w:tcPr>
          <w:p w14:paraId="6A37A42A">
            <w:pPr>
              <w:spacing w:line="500" w:lineRule="exact"/>
              <w:rPr>
                <w:rFonts w:ascii="Times New Roman" w:hAnsi="Times New Roman" w:eastAsia="仿宋_GB2312"/>
                <w:bCs/>
                <w:sz w:val="28"/>
                <w:szCs w:val="28"/>
              </w:rPr>
            </w:pPr>
            <w:r>
              <w:rPr>
                <w:rFonts w:ascii="Times New Roman" w:hAnsi="Times New Roman" w:eastAsia="仿宋_GB2312"/>
                <w:bCs/>
                <w:sz w:val="28"/>
                <w:szCs w:val="28"/>
              </w:rPr>
              <w:t>《医疗器械 风险管理对医疗器械的应用》</w:t>
            </w:r>
          </w:p>
        </w:tc>
      </w:tr>
      <w:tr w14:paraId="0878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34" w:type="dxa"/>
            <w:noWrap/>
            <w:vAlign w:val="center"/>
          </w:tcPr>
          <w:p w14:paraId="341F2A19">
            <w:pPr>
              <w:spacing w:line="500" w:lineRule="exact"/>
              <w:jc w:val="center"/>
              <w:rPr>
                <w:rFonts w:ascii="Times New Roman" w:hAnsi="Times New Roman" w:eastAsia="仿宋_GB2312"/>
                <w:bCs/>
                <w:sz w:val="28"/>
                <w:szCs w:val="28"/>
              </w:rPr>
            </w:pPr>
            <w:r>
              <w:rPr>
                <w:rFonts w:ascii="Times New Roman" w:hAnsi="Times New Roman" w:eastAsia="仿宋_GB2312"/>
                <w:bCs/>
                <w:sz w:val="28"/>
                <w:szCs w:val="28"/>
              </w:rPr>
              <w:t>YY/T 0466.1-2016</w:t>
            </w:r>
          </w:p>
        </w:tc>
        <w:tc>
          <w:tcPr>
            <w:tcW w:w="5834" w:type="dxa"/>
            <w:noWrap/>
          </w:tcPr>
          <w:p w14:paraId="6409782B">
            <w:pPr>
              <w:spacing w:line="500" w:lineRule="exact"/>
              <w:rPr>
                <w:rFonts w:ascii="Times New Roman" w:hAnsi="Times New Roman" w:eastAsia="仿宋_GB2312"/>
                <w:bCs/>
                <w:sz w:val="28"/>
                <w:szCs w:val="28"/>
              </w:rPr>
            </w:pPr>
            <w:r>
              <w:rPr>
                <w:rFonts w:ascii="Times New Roman" w:hAnsi="Times New Roman" w:eastAsia="仿宋_GB2312"/>
                <w:bCs/>
                <w:sz w:val="28"/>
                <w:szCs w:val="28"/>
              </w:rPr>
              <w:t>《医疗器械 用于医疗器械标签、标记和提供信息的符号 第1部分：通用要求》</w:t>
            </w:r>
          </w:p>
        </w:tc>
      </w:tr>
      <w:tr w14:paraId="779C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34" w:type="dxa"/>
            <w:noWrap/>
            <w:vAlign w:val="center"/>
          </w:tcPr>
          <w:p w14:paraId="37E61C56">
            <w:pPr>
              <w:spacing w:line="500" w:lineRule="exact"/>
              <w:jc w:val="center"/>
              <w:rPr>
                <w:rFonts w:ascii="Times New Roman" w:hAnsi="Times New Roman" w:eastAsia="仿宋_GB2312"/>
                <w:bCs/>
                <w:sz w:val="28"/>
                <w:szCs w:val="28"/>
              </w:rPr>
            </w:pPr>
            <w:r>
              <w:rPr>
                <w:rFonts w:ascii="Times New Roman" w:hAnsi="Times New Roman" w:eastAsia="仿宋_GB2312"/>
                <w:bCs/>
                <w:sz w:val="28"/>
                <w:szCs w:val="28"/>
              </w:rPr>
              <w:t>YY/T 0681.1-2018</w:t>
            </w:r>
          </w:p>
        </w:tc>
        <w:tc>
          <w:tcPr>
            <w:tcW w:w="5834" w:type="dxa"/>
            <w:noWrap/>
          </w:tcPr>
          <w:p w14:paraId="45D414D6">
            <w:pPr>
              <w:spacing w:line="500" w:lineRule="exact"/>
              <w:rPr>
                <w:rFonts w:ascii="Times New Roman" w:hAnsi="Times New Roman" w:eastAsia="仿宋_GB2312"/>
                <w:bCs/>
                <w:sz w:val="28"/>
                <w:szCs w:val="28"/>
              </w:rPr>
            </w:pPr>
            <w:r>
              <w:rPr>
                <w:rFonts w:ascii="Times New Roman" w:hAnsi="Times New Roman" w:eastAsia="仿宋_GB2312"/>
                <w:bCs/>
                <w:sz w:val="28"/>
                <w:szCs w:val="28"/>
              </w:rPr>
              <w:t>《无菌医疗器械包装试验方法 第1部分：</w:t>
            </w:r>
          </w:p>
          <w:p w14:paraId="3DBA1605">
            <w:pPr>
              <w:spacing w:line="500" w:lineRule="exact"/>
              <w:rPr>
                <w:rFonts w:ascii="Times New Roman" w:hAnsi="Times New Roman" w:eastAsia="仿宋_GB2312"/>
                <w:bCs/>
                <w:sz w:val="28"/>
                <w:szCs w:val="28"/>
              </w:rPr>
            </w:pPr>
            <w:r>
              <w:rPr>
                <w:rFonts w:ascii="Times New Roman" w:hAnsi="Times New Roman" w:eastAsia="仿宋_GB2312"/>
                <w:bCs/>
                <w:sz w:val="28"/>
                <w:szCs w:val="28"/>
              </w:rPr>
              <w:t>加速老化试验指南》</w:t>
            </w:r>
          </w:p>
        </w:tc>
      </w:tr>
      <w:tr w14:paraId="03C5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34" w:type="dxa"/>
            <w:noWrap/>
            <w:vAlign w:val="center"/>
          </w:tcPr>
          <w:p w14:paraId="35A27AD4">
            <w:pPr>
              <w:spacing w:line="500" w:lineRule="exact"/>
              <w:jc w:val="center"/>
              <w:rPr>
                <w:rFonts w:ascii="Times New Roman" w:hAnsi="Times New Roman" w:eastAsia="仿宋_GB2312"/>
                <w:bCs/>
                <w:sz w:val="28"/>
                <w:szCs w:val="28"/>
              </w:rPr>
            </w:pPr>
            <w:r>
              <w:rPr>
                <w:rFonts w:hint="eastAsia" w:ascii="Times New Roman" w:hAnsi="Times New Roman" w:eastAsia="仿宋_GB2312"/>
                <w:bCs/>
                <w:sz w:val="28"/>
                <w:szCs w:val="28"/>
              </w:rPr>
              <w:t>YY</w:t>
            </w:r>
            <w:r>
              <w:rPr>
                <w:rFonts w:ascii="Times New Roman" w:hAnsi="Times New Roman" w:eastAsia="仿宋_GB2312"/>
                <w:bCs/>
                <w:sz w:val="28"/>
                <w:szCs w:val="28"/>
              </w:rPr>
              <w:t>/</w:t>
            </w:r>
            <w:r>
              <w:rPr>
                <w:rFonts w:hint="eastAsia" w:ascii="Times New Roman" w:hAnsi="Times New Roman" w:eastAsia="仿宋_GB2312"/>
                <w:bCs/>
                <w:sz w:val="28"/>
                <w:szCs w:val="28"/>
              </w:rPr>
              <w:t>T 0823-2020</w:t>
            </w:r>
          </w:p>
        </w:tc>
        <w:tc>
          <w:tcPr>
            <w:tcW w:w="5834" w:type="dxa"/>
            <w:noWrap/>
          </w:tcPr>
          <w:p w14:paraId="60E22EAB">
            <w:pPr>
              <w:spacing w:line="500" w:lineRule="exact"/>
              <w:rPr>
                <w:rFonts w:ascii="Times New Roman" w:hAnsi="Times New Roman" w:eastAsia="仿宋_GB2312"/>
                <w:bCs/>
                <w:sz w:val="28"/>
                <w:szCs w:val="28"/>
              </w:rPr>
            </w:pPr>
            <w:r>
              <w:rPr>
                <w:rFonts w:hint="eastAsia" w:ascii="Times New Roman" w:hAnsi="Times New Roman" w:eastAsia="仿宋_GB2312"/>
                <w:bCs/>
                <w:sz w:val="28"/>
                <w:szCs w:val="28"/>
              </w:rPr>
              <w:t>《牙科学 氟化物防龋材料》</w:t>
            </w:r>
          </w:p>
        </w:tc>
      </w:tr>
      <w:tr w14:paraId="42E3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34" w:type="dxa"/>
            <w:noWrap/>
          </w:tcPr>
          <w:p w14:paraId="34ABC609">
            <w:pPr>
              <w:spacing w:line="440" w:lineRule="exact"/>
              <w:rPr>
                <w:rFonts w:ascii="Times New Roman" w:hAnsi="Times New Roman" w:eastAsia="仿宋_GB2312"/>
                <w:sz w:val="28"/>
                <w:szCs w:val="28"/>
              </w:rPr>
            </w:pPr>
          </w:p>
        </w:tc>
        <w:tc>
          <w:tcPr>
            <w:tcW w:w="5834" w:type="dxa"/>
            <w:noWrap/>
          </w:tcPr>
          <w:p w14:paraId="039ED43F">
            <w:pPr>
              <w:spacing w:line="440" w:lineRule="exact"/>
              <w:rPr>
                <w:rFonts w:ascii="Times New Roman" w:hAnsi="Times New Roman" w:eastAsia="仿宋_GB2312"/>
                <w:sz w:val="28"/>
                <w:szCs w:val="28"/>
              </w:rPr>
            </w:pPr>
            <w:r>
              <w:rPr>
                <w:rFonts w:ascii="Times New Roman" w:eastAsia="仿宋_GB2312"/>
                <w:sz w:val="28"/>
                <w:szCs w:val="28"/>
              </w:rPr>
              <w:t>《中华人民共和国药典》</w:t>
            </w:r>
            <w:r>
              <w:rPr>
                <w:rFonts w:ascii="Times New Roman" w:hAnsi="Times New Roman" w:eastAsia="仿宋_GB2312"/>
                <w:sz w:val="28"/>
                <w:szCs w:val="28"/>
              </w:rPr>
              <w:t>20</w:t>
            </w:r>
            <w:r>
              <w:rPr>
                <w:rFonts w:hint="eastAsia" w:ascii="Times New Roman" w:hAnsi="Times New Roman" w:eastAsia="仿宋_GB2312"/>
                <w:sz w:val="28"/>
                <w:szCs w:val="28"/>
              </w:rPr>
              <w:t>20</w:t>
            </w:r>
            <w:r>
              <w:rPr>
                <w:rFonts w:ascii="Times New Roman" w:eastAsia="仿宋_GB2312"/>
                <w:sz w:val="28"/>
                <w:szCs w:val="28"/>
              </w:rPr>
              <w:t>年版</w:t>
            </w:r>
          </w:p>
        </w:tc>
      </w:tr>
    </w:tbl>
    <w:p w14:paraId="264CE6B3">
      <w:pPr>
        <w:spacing w:line="520" w:lineRule="exact"/>
        <w:jc w:val="left"/>
        <w:rPr>
          <w:rFonts w:ascii="Times New Roman" w:hAnsi="Times New Roman" w:eastAsia="仿宋"/>
          <w:color w:val="000000"/>
          <w:sz w:val="28"/>
          <w:szCs w:val="28"/>
        </w:rPr>
      </w:pPr>
      <w:r>
        <w:rPr>
          <w:rFonts w:ascii="Times New Roman" w:eastAsia="仿宋_GB2312"/>
          <w:color w:val="000000"/>
          <w:sz w:val="32"/>
          <w:szCs w:val="32"/>
        </w:rPr>
        <w:t>注：本指导原则中标准适用最新版本，下同。</w:t>
      </w:r>
    </w:p>
    <w:p w14:paraId="0159612D">
      <w:pPr>
        <w:ind w:firstLine="640"/>
        <w:rPr>
          <w:rFonts w:ascii="Times New Roman" w:hAnsi="Times New Roman" w:eastAsia="仿宋_GB2312"/>
          <w:kern w:val="0"/>
          <w:sz w:val="32"/>
          <w:szCs w:val="32"/>
        </w:rPr>
      </w:pPr>
      <w:r>
        <w:rPr>
          <w:rFonts w:ascii="Times New Roman" w:hAnsi="Times New Roman" w:eastAsia="仿宋_GB2312"/>
          <w:sz w:val="32"/>
        </w:rPr>
        <w:t>上述表1中所列标准包括了产品技术要求和其他相关材料中经常涉及到的标准，注册申请人应关注上述国家标准和行业标准的有效性。</w:t>
      </w:r>
    </w:p>
    <w:p w14:paraId="3D37B9FC">
      <w:pPr>
        <w:spacing w:line="520" w:lineRule="exact"/>
        <w:ind w:firstLine="640" w:firstLineChars="200"/>
        <w:jc w:val="left"/>
        <w:outlineLvl w:val="1"/>
        <w:rPr>
          <w:rFonts w:ascii="Times New Roman" w:hAnsi="Times New Roman" w:eastAsia="楷体_GB2312"/>
          <w:bCs/>
          <w:sz w:val="32"/>
          <w:szCs w:val="32"/>
        </w:rPr>
      </w:pPr>
      <w:r>
        <w:rPr>
          <w:rFonts w:ascii="Times New Roman" w:hAnsi="Times New Roman" w:eastAsia="楷体_GB2312"/>
          <w:bCs/>
          <w:sz w:val="32"/>
          <w:szCs w:val="32"/>
        </w:rPr>
        <w:t>（六）产品的适用范围/预期用途、禁忌症</w:t>
      </w:r>
    </w:p>
    <w:p w14:paraId="62562D9C">
      <w:pPr>
        <w:spacing w:line="520" w:lineRule="exact"/>
        <w:ind w:firstLine="640" w:firstLineChars="200"/>
        <w:rPr>
          <w:rFonts w:ascii="Times New Roman" w:hAnsi="Times New Roman" w:eastAsia="仿宋_GB2312"/>
          <w:kern w:val="0"/>
          <w:sz w:val="32"/>
        </w:rPr>
      </w:pPr>
      <w:r>
        <w:rPr>
          <w:rFonts w:ascii="Times New Roman" w:hAnsi="Times New Roman" w:eastAsia="仿宋_GB2312"/>
          <w:sz w:val="32"/>
          <w:szCs w:val="32"/>
        </w:rPr>
        <w:t>1.</w:t>
      </w:r>
      <w:r>
        <w:rPr>
          <w:rFonts w:ascii="Times New Roman" w:hAnsi="Times New Roman" w:eastAsia="仿宋_GB2312"/>
          <w:sz w:val="32"/>
        </w:rPr>
        <w:t>适用范围：</w:t>
      </w:r>
      <w:r>
        <w:rPr>
          <w:rFonts w:hint="eastAsia" w:ascii="Times New Roman" w:hAnsi="Times New Roman" w:eastAsia="仿宋_GB2312"/>
          <w:kern w:val="0"/>
          <w:sz w:val="32"/>
        </w:rPr>
        <w:t>用于缓解牙本质敏感而引起的牙齿过敏症状。</w:t>
      </w:r>
    </w:p>
    <w:p w14:paraId="194FFAB5">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2.</w:t>
      </w:r>
      <w:r>
        <w:rPr>
          <w:rFonts w:ascii="Times New Roman" w:hAnsi="Times New Roman" w:eastAsia="仿宋_GB2312"/>
          <w:sz w:val="32"/>
        </w:rPr>
        <w:t>适用人群：</w:t>
      </w:r>
      <w:r>
        <w:rPr>
          <w:rFonts w:hint="eastAsia" w:ascii="Times New Roman" w:hAnsi="Times New Roman" w:eastAsia="仿宋_GB2312"/>
          <w:sz w:val="32"/>
        </w:rPr>
        <w:t>适用于16周岁以上有牙齿过敏症状的患者；若声称适用于儿童，应提供相应的支持性资料。</w:t>
      </w:r>
    </w:p>
    <w:p w14:paraId="3025A042">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3.</w:t>
      </w:r>
      <w:r>
        <w:rPr>
          <w:rFonts w:ascii="Times New Roman" w:hAnsi="Times New Roman" w:eastAsia="仿宋_GB2312"/>
          <w:sz w:val="32"/>
        </w:rPr>
        <w:t>预期使用环境：</w:t>
      </w:r>
      <w:r>
        <w:rPr>
          <w:rFonts w:hint="eastAsia" w:ascii="Times New Roman" w:hAnsi="Times New Roman" w:eastAsia="仿宋_GB2312"/>
          <w:sz w:val="32"/>
        </w:rPr>
        <w:t>一般</w:t>
      </w:r>
      <w:r>
        <w:rPr>
          <w:rFonts w:ascii="Times New Roman" w:hAnsi="Times New Roman" w:eastAsia="仿宋_GB2312"/>
          <w:sz w:val="32"/>
        </w:rPr>
        <w:t>在医疗机构</w:t>
      </w:r>
      <w:r>
        <w:rPr>
          <w:rFonts w:hint="eastAsia" w:ascii="Times New Roman" w:hAnsi="Times New Roman" w:eastAsia="仿宋_GB2312"/>
          <w:sz w:val="32"/>
        </w:rPr>
        <w:t>、</w:t>
      </w:r>
      <w:r>
        <w:rPr>
          <w:rFonts w:ascii="Times New Roman" w:hAnsi="Times New Roman" w:eastAsia="仿宋_GB2312"/>
          <w:sz w:val="32"/>
        </w:rPr>
        <w:t>牙科诊所</w:t>
      </w:r>
      <w:r>
        <w:rPr>
          <w:rFonts w:hint="eastAsia" w:ascii="Times New Roman" w:hAnsi="Times New Roman" w:eastAsia="仿宋_GB2312"/>
          <w:sz w:val="32"/>
        </w:rPr>
        <w:t>内</w:t>
      </w:r>
      <w:r>
        <w:rPr>
          <w:rFonts w:ascii="Times New Roman" w:hAnsi="Times New Roman" w:eastAsia="仿宋_GB2312"/>
          <w:sz w:val="32"/>
        </w:rPr>
        <w:t>使用</w:t>
      </w:r>
      <w:r>
        <w:rPr>
          <w:rFonts w:hint="eastAsia" w:ascii="Times New Roman" w:hAnsi="Times New Roman" w:eastAsia="仿宋_GB2312"/>
          <w:sz w:val="32"/>
        </w:rPr>
        <w:t>；部分产品可能长期多次使用，应说明谨遵医嘱或在专业人士指导下使用</w:t>
      </w:r>
      <w:r>
        <w:rPr>
          <w:rFonts w:ascii="Times New Roman" w:hAnsi="Times New Roman" w:eastAsia="仿宋_GB2312"/>
          <w:sz w:val="32"/>
        </w:rPr>
        <w:t>。</w:t>
      </w:r>
    </w:p>
    <w:p w14:paraId="5E66B697">
      <w:pPr>
        <w:pStyle w:val="12"/>
        <w:spacing w:line="520" w:lineRule="exact"/>
        <w:ind w:firstLine="640"/>
      </w:pPr>
      <w:r>
        <w:rPr>
          <w:rFonts w:eastAsia="仿宋_GB2312" w:cs="Times New Roman"/>
          <w:color w:val="auto"/>
          <w:sz w:val="32"/>
          <w:szCs w:val="32"/>
        </w:rPr>
        <w:t>4.禁忌症：</w:t>
      </w:r>
      <w:r>
        <w:rPr>
          <w:rFonts w:hint="eastAsia" w:eastAsia="仿宋_GB2312" w:cs="Times New Roman"/>
          <w:color w:val="auto"/>
          <w:sz w:val="32"/>
          <w:szCs w:val="32"/>
        </w:rPr>
        <w:t>应明确产品可能存在的禁忌症，至少包括已知对脱敏剂成分过敏者禁用</w:t>
      </w:r>
      <w:r>
        <w:rPr>
          <w:rFonts w:eastAsia="仿宋_GB2312" w:cs="Times New Roman"/>
          <w:color w:val="auto"/>
          <w:sz w:val="32"/>
          <w:szCs w:val="32"/>
        </w:rPr>
        <w:t>。</w:t>
      </w:r>
    </w:p>
    <w:p w14:paraId="0BD76487">
      <w:pPr>
        <w:pStyle w:val="12"/>
        <w:spacing w:line="540" w:lineRule="exact"/>
        <w:ind w:firstLine="640"/>
        <w:rPr>
          <w:rFonts w:eastAsia="楷体" w:cs="Times New Roman"/>
          <w:color w:val="auto"/>
          <w:sz w:val="32"/>
          <w:szCs w:val="32"/>
        </w:rPr>
      </w:pPr>
      <w:r>
        <w:rPr>
          <w:rStyle w:val="17"/>
          <w:rFonts w:eastAsia="楷体_GB2312" w:cs="Times New Roman"/>
          <w:color w:val="auto"/>
          <w:sz w:val="32"/>
          <w:szCs w:val="32"/>
        </w:rPr>
        <w:t>（七）产品的主要风险</w:t>
      </w:r>
    </w:p>
    <w:p w14:paraId="6CC54273">
      <w:pPr>
        <w:spacing w:line="560" w:lineRule="exact"/>
        <w:ind w:firstLine="640" w:firstLineChars="200"/>
        <w:rPr>
          <w:rFonts w:ascii="Times New Roman" w:hAnsi="Times New Roman" w:eastAsia="仿宋_GB2312"/>
          <w:sz w:val="32"/>
          <w:szCs w:val="32"/>
        </w:rPr>
      </w:pPr>
      <w:r>
        <w:rPr>
          <w:rStyle w:val="17"/>
          <w:rFonts w:ascii="Times New Roman" w:hAnsi="Times New Roman" w:eastAsia="仿宋_GB2312"/>
          <w:bCs/>
          <w:sz w:val="32"/>
          <w:szCs w:val="32"/>
        </w:rPr>
        <w:t>牙科脱敏剂应按照YY/T 0316</w:t>
      </w:r>
      <w:r>
        <w:rPr>
          <w:rStyle w:val="17"/>
          <w:rFonts w:ascii="Times New Roman" w:hAnsi="Times New Roman"/>
          <w:sz w:val="28"/>
          <w:szCs w:val="28"/>
        </w:rPr>
        <w:t>-</w:t>
      </w:r>
      <w:r>
        <w:rPr>
          <w:rStyle w:val="17"/>
          <w:rFonts w:ascii="Times New Roman" w:hAnsi="Times New Roman" w:eastAsia="仿宋_GB2312"/>
          <w:bCs/>
          <w:sz w:val="32"/>
          <w:szCs w:val="32"/>
        </w:rPr>
        <w:t>2016《医疗器械 风险管理对医疗器械的应用》进行风险分析，</w:t>
      </w:r>
      <w:r>
        <w:rPr>
          <w:rFonts w:ascii="Times New Roman" w:hAnsi="Times New Roman" w:eastAsia="仿宋"/>
          <w:sz w:val="32"/>
          <w:szCs w:val="32"/>
        </w:rPr>
        <w:t>对产品生命周期全过程实施风险管理，</w:t>
      </w:r>
      <w:r>
        <w:rPr>
          <w:rFonts w:ascii="Times New Roman" w:hAnsi="Times New Roman" w:eastAsia="仿宋_GB2312"/>
          <w:sz w:val="32"/>
          <w:szCs w:val="32"/>
        </w:rPr>
        <w:t>审查要点应包括：</w:t>
      </w:r>
    </w:p>
    <w:p w14:paraId="1F61FB2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1.是否确定了风险管理的范围、规定和人员职责分工；</w:t>
      </w:r>
    </w:p>
    <w:p w14:paraId="76B97E2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2.产品风险定性定量分析是否准确；</w:t>
      </w:r>
    </w:p>
    <w:p w14:paraId="2C4B9E4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3.危害分析是否全面；</w:t>
      </w:r>
    </w:p>
    <w:p w14:paraId="7531D6F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4.风险可接受准则，降低风险的措施及采取措施后风险的可接收程度，是否有新的风险产生；</w:t>
      </w:r>
    </w:p>
    <w:p w14:paraId="62DF8AA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5.是否确定了风险反馈的规定及信息收集情况。</w:t>
      </w:r>
    </w:p>
    <w:p w14:paraId="5522C05C">
      <w:pPr>
        <w:spacing w:line="520" w:lineRule="exact"/>
        <w:ind w:firstLine="640" w:firstLineChars="200"/>
        <w:rPr>
          <w:rStyle w:val="17"/>
          <w:rFonts w:ascii="Times New Roman" w:hAnsi="Times New Roman" w:eastAsia="黑体"/>
          <w:bCs/>
          <w:sz w:val="28"/>
          <w:szCs w:val="28"/>
        </w:rPr>
      </w:pPr>
      <w:r>
        <w:rPr>
          <w:rFonts w:ascii="Times New Roman" w:hAnsi="Times New Roman" w:eastAsia="仿宋_GB2312"/>
          <w:sz w:val="32"/>
          <w:szCs w:val="32"/>
        </w:rPr>
        <w:t>以下依据YY/T 0316-2016附录E列举了牙科脱敏剂的主要危害举例（见表2）。</w:t>
      </w:r>
      <w:r>
        <w:rPr>
          <w:rStyle w:val="17"/>
          <w:rFonts w:ascii="Times New Roman" w:hAnsi="Times New Roman" w:eastAsia="仿宋_GB2312"/>
          <w:bCs/>
          <w:sz w:val="32"/>
          <w:szCs w:val="32"/>
        </w:rPr>
        <w:tab/>
      </w:r>
    </w:p>
    <w:p w14:paraId="75026B2C">
      <w:pPr>
        <w:pStyle w:val="12"/>
        <w:spacing w:line="240" w:lineRule="auto"/>
        <w:ind w:firstLine="266" w:firstLineChars="95"/>
        <w:jc w:val="center"/>
        <w:rPr>
          <w:rFonts w:eastAsia="仿宋_GB2312" w:cs="Times New Roman"/>
          <w:color w:val="auto"/>
          <w:sz w:val="32"/>
          <w:szCs w:val="32"/>
        </w:rPr>
      </w:pPr>
      <w:r>
        <w:rPr>
          <w:rStyle w:val="17"/>
          <w:rFonts w:eastAsia="黑体" w:cs="Times New Roman"/>
          <w:bCs/>
          <w:color w:val="auto"/>
          <w:sz w:val="28"/>
          <w:szCs w:val="28"/>
        </w:rPr>
        <w:t>表2牙科</w:t>
      </w:r>
      <w:r>
        <w:rPr>
          <w:rStyle w:val="17"/>
          <w:rFonts w:hint="eastAsia" w:eastAsia="黑体" w:cs="Times New Roman"/>
          <w:bCs/>
          <w:color w:val="auto"/>
          <w:sz w:val="28"/>
          <w:szCs w:val="28"/>
        </w:rPr>
        <w:t>脱敏剂</w:t>
      </w:r>
      <w:r>
        <w:rPr>
          <w:rStyle w:val="17"/>
          <w:rFonts w:eastAsia="黑体" w:cs="Times New Roman"/>
          <w:bCs/>
          <w:color w:val="auto"/>
          <w:sz w:val="28"/>
          <w:szCs w:val="28"/>
        </w:rPr>
        <w:t>的主要危害举例</w:t>
      </w:r>
    </w:p>
    <w:tbl>
      <w:tblPr>
        <w:tblStyle w:val="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824"/>
        <w:gridCol w:w="3398"/>
        <w:gridCol w:w="2832"/>
      </w:tblGrid>
      <w:tr w14:paraId="50CB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gridSpan w:val="2"/>
            <w:vAlign w:val="center"/>
          </w:tcPr>
          <w:p w14:paraId="012A10CA">
            <w:pPr>
              <w:spacing w:line="500" w:lineRule="exact"/>
              <w:ind w:right="-67" w:rightChars="-32"/>
              <w:jc w:val="center"/>
              <w:rPr>
                <w:rFonts w:ascii="Times New Roman" w:hAnsi="Times New Roman" w:eastAsia="黑体"/>
                <w:bCs/>
                <w:sz w:val="28"/>
                <w:szCs w:val="28"/>
              </w:rPr>
            </w:pPr>
            <w:r>
              <w:rPr>
                <w:rFonts w:ascii="Times New Roman" w:hAnsi="Times New Roman" w:eastAsia="黑体"/>
                <w:bCs/>
                <w:sz w:val="28"/>
                <w:szCs w:val="28"/>
              </w:rPr>
              <w:t>危害类型</w:t>
            </w:r>
          </w:p>
        </w:tc>
        <w:tc>
          <w:tcPr>
            <w:tcW w:w="3398" w:type="dxa"/>
            <w:vAlign w:val="center"/>
          </w:tcPr>
          <w:p w14:paraId="5F300345">
            <w:pPr>
              <w:spacing w:line="500" w:lineRule="exact"/>
              <w:ind w:right="-67" w:rightChars="-32"/>
              <w:jc w:val="center"/>
              <w:rPr>
                <w:rFonts w:ascii="Times New Roman" w:hAnsi="Times New Roman" w:eastAsia="黑体"/>
                <w:bCs/>
                <w:sz w:val="28"/>
                <w:szCs w:val="28"/>
              </w:rPr>
            </w:pPr>
            <w:r>
              <w:rPr>
                <w:rFonts w:ascii="Times New Roman" w:hAnsi="Times New Roman" w:eastAsia="黑体"/>
                <w:bCs/>
                <w:sz w:val="28"/>
                <w:szCs w:val="28"/>
              </w:rPr>
              <w:t>可预见的事件序列</w:t>
            </w:r>
          </w:p>
        </w:tc>
        <w:tc>
          <w:tcPr>
            <w:tcW w:w="2832" w:type="dxa"/>
            <w:vAlign w:val="center"/>
          </w:tcPr>
          <w:p w14:paraId="10C80358">
            <w:pPr>
              <w:spacing w:line="500" w:lineRule="exact"/>
              <w:ind w:right="-67" w:rightChars="-32"/>
              <w:jc w:val="center"/>
              <w:rPr>
                <w:rFonts w:ascii="Times New Roman" w:hAnsi="Times New Roman" w:eastAsia="黑体"/>
                <w:bCs/>
                <w:sz w:val="28"/>
                <w:szCs w:val="28"/>
              </w:rPr>
            </w:pPr>
            <w:r>
              <w:rPr>
                <w:rFonts w:ascii="Times New Roman" w:hAnsi="Times New Roman" w:eastAsia="黑体"/>
                <w:bCs/>
                <w:sz w:val="28"/>
                <w:szCs w:val="28"/>
              </w:rPr>
              <w:t>可能产生的危害</w:t>
            </w:r>
          </w:p>
        </w:tc>
      </w:tr>
      <w:tr w14:paraId="4C53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2D2F5C9E">
            <w:pPr>
              <w:spacing w:line="500" w:lineRule="exact"/>
              <w:ind w:right="-67" w:rightChars="-32"/>
              <w:jc w:val="center"/>
              <w:rPr>
                <w:rFonts w:ascii="Times New Roman" w:hAnsi="Times New Roman" w:eastAsia="仿宋_GB2312"/>
                <w:bCs/>
                <w:sz w:val="28"/>
                <w:szCs w:val="28"/>
              </w:rPr>
            </w:pPr>
            <w:r>
              <w:rPr>
                <w:rFonts w:ascii="Times New Roman" w:hAnsi="Times New Roman" w:eastAsia="仿宋_GB2312"/>
                <w:bCs/>
                <w:sz w:val="28"/>
                <w:szCs w:val="28"/>
              </w:rPr>
              <w:t>生物学危害和化学危害</w:t>
            </w:r>
          </w:p>
        </w:tc>
        <w:tc>
          <w:tcPr>
            <w:tcW w:w="1824" w:type="dxa"/>
            <w:vAlign w:val="center"/>
          </w:tcPr>
          <w:p w14:paraId="52F80361">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生物污染</w:t>
            </w:r>
          </w:p>
        </w:tc>
        <w:tc>
          <w:tcPr>
            <w:tcW w:w="3398" w:type="dxa"/>
            <w:vAlign w:val="center"/>
          </w:tcPr>
          <w:p w14:paraId="472C1274">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包装破损或使用时操作不规范造成生物污染</w:t>
            </w:r>
            <w:r>
              <w:rPr>
                <w:rFonts w:hint="eastAsia" w:ascii="Times New Roman" w:hAnsi="Times New Roman" w:eastAsia="仿宋_GB2312"/>
                <w:bCs/>
                <w:sz w:val="28"/>
                <w:szCs w:val="28"/>
              </w:rPr>
              <w:t>；</w:t>
            </w:r>
            <w:r>
              <w:rPr>
                <w:rFonts w:ascii="Times New Roman" w:hAnsi="Times New Roman" w:eastAsia="仿宋_GB2312"/>
                <w:bCs/>
                <w:sz w:val="28"/>
                <w:szCs w:val="28"/>
              </w:rPr>
              <w:t>产品微生物</w:t>
            </w:r>
            <w:r>
              <w:rPr>
                <w:rFonts w:hint="eastAsia" w:ascii="Times New Roman" w:hAnsi="Times New Roman" w:eastAsia="仿宋_GB2312"/>
                <w:bCs/>
                <w:sz w:val="28"/>
                <w:szCs w:val="28"/>
              </w:rPr>
              <w:t>指标</w:t>
            </w:r>
            <w:r>
              <w:rPr>
                <w:rFonts w:ascii="Times New Roman" w:hAnsi="Times New Roman" w:eastAsia="仿宋_GB2312"/>
                <w:bCs/>
                <w:sz w:val="28"/>
                <w:szCs w:val="28"/>
              </w:rPr>
              <w:t>过高</w:t>
            </w:r>
          </w:p>
        </w:tc>
        <w:tc>
          <w:tcPr>
            <w:tcW w:w="2832" w:type="dxa"/>
            <w:vAlign w:val="center"/>
          </w:tcPr>
          <w:p w14:paraId="34784297">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产品带</w:t>
            </w:r>
            <w:r>
              <w:rPr>
                <w:rFonts w:hint="eastAsia" w:ascii="Times New Roman" w:hAnsi="Times New Roman" w:eastAsia="仿宋_GB2312"/>
                <w:bCs/>
                <w:sz w:val="28"/>
                <w:szCs w:val="28"/>
              </w:rPr>
              <w:t>致病</w:t>
            </w:r>
            <w:r>
              <w:rPr>
                <w:rFonts w:ascii="Times New Roman" w:hAnsi="Times New Roman" w:eastAsia="仿宋_GB2312"/>
                <w:bCs/>
                <w:sz w:val="28"/>
                <w:szCs w:val="28"/>
              </w:rPr>
              <w:t>菌，引起患者身体不适或感染</w:t>
            </w:r>
          </w:p>
        </w:tc>
      </w:tr>
      <w:tr w14:paraId="43AD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02B02355">
            <w:pPr>
              <w:spacing w:line="500" w:lineRule="exact"/>
              <w:ind w:right="-67" w:rightChars="-32"/>
              <w:jc w:val="center"/>
              <w:rPr>
                <w:rFonts w:ascii="Times New Roman" w:hAnsi="Times New Roman" w:eastAsia="仿宋_GB2312"/>
                <w:bCs/>
                <w:sz w:val="28"/>
                <w:szCs w:val="28"/>
              </w:rPr>
            </w:pPr>
          </w:p>
        </w:tc>
        <w:tc>
          <w:tcPr>
            <w:tcW w:w="1824" w:type="dxa"/>
            <w:vAlign w:val="center"/>
          </w:tcPr>
          <w:p w14:paraId="757B4FC0">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环境污染</w:t>
            </w:r>
          </w:p>
        </w:tc>
        <w:tc>
          <w:tcPr>
            <w:tcW w:w="3398" w:type="dxa"/>
            <w:vAlign w:val="center"/>
          </w:tcPr>
          <w:p w14:paraId="7EE1C236">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生产环境污染产品，如外来的粉尘、</w:t>
            </w:r>
            <w:r>
              <w:rPr>
                <w:rFonts w:hint="eastAsia" w:ascii="Times New Roman" w:hAnsi="Times New Roman" w:eastAsia="仿宋_GB2312"/>
                <w:bCs/>
                <w:sz w:val="28"/>
                <w:szCs w:val="28"/>
              </w:rPr>
              <w:t>微生物</w:t>
            </w:r>
            <w:r>
              <w:rPr>
                <w:rFonts w:ascii="Times New Roman" w:hAnsi="Times New Roman" w:eastAsia="仿宋_GB2312"/>
                <w:bCs/>
                <w:sz w:val="28"/>
                <w:szCs w:val="28"/>
              </w:rPr>
              <w:t>、其他杂质等</w:t>
            </w:r>
          </w:p>
        </w:tc>
        <w:tc>
          <w:tcPr>
            <w:tcW w:w="2832" w:type="dxa"/>
            <w:vAlign w:val="center"/>
          </w:tcPr>
          <w:p w14:paraId="25112C98">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引起患者身体不适或感染</w:t>
            </w:r>
          </w:p>
        </w:tc>
      </w:tr>
      <w:tr w14:paraId="257A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79" w:type="dxa"/>
            <w:vMerge w:val="continue"/>
            <w:vAlign w:val="center"/>
          </w:tcPr>
          <w:p w14:paraId="279C9488">
            <w:pPr>
              <w:spacing w:line="500" w:lineRule="exact"/>
              <w:ind w:right="-67" w:rightChars="-32"/>
              <w:jc w:val="center"/>
              <w:rPr>
                <w:rFonts w:ascii="Times New Roman" w:hAnsi="Times New Roman" w:eastAsia="仿宋_GB2312"/>
                <w:bCs/>
                <w:sz w:val="28"/>
                <w:szCs w:val="28"/>
              </w:rPr>
            </w:pPr>
          </w:p>
        </w:tc>
        <w:tc>
          <w:tcPr>
            <w:tcW w:w="1824" w:type="dxa"/>
            <w:vAlign w:val="center"/>
          </w:tcPr>
          <w:p w14:paraId="26C5030F">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生物相容性</w:t>
            </w:r>
          </w:p>
        </w:tc>
        <w:tc>
          <w:tcPr>
            <w:tcW w:w="3398" w:type="dxa"/>
            <w:vAlign w:val="center"/>
          </w:tcPr>
          <w:p w14:paraId="612DAEA8">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采用了不合格原辅材料；生产引入了外来物质</w:t>
            </w:r>
          </w:p>
        </w:tc>
        <w:tc>
          <w:tcPr>
            <w:tcW w:w="2832" w:type="dxa"/>
            <w:vAlign w:val="center"/>
          </w:tcPr>
          <w:p w14:paraId="55B3B54D">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 xml:space="preserve">产生毒性或刺激 </w:t>
            </w:r>
          </w:p>
        </w:tc>
      </w:tr>
      <w:tr w14:paraId="66C2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1079" w:type="dxa"/>
            <w:vMerge w:val="continue"/>
            <w:vAlign w:val="center"/>
          </w:tcPr>
          <w:p w14:paraId="5C42AD75">
            <w:pPr>
              <w:spacing w:line="500" w:lineRule="exact"/>
              <w:ind w:right="-67" w:rightChars="-32"/>
              <w:jc w:val="center"/>
              <w:rPr>
                <w:rFonts w:ascii="Times New Roman" w:hAnsi="Times New Roman" w:eastAsia="仿宋_GB2312"/>
                <w:bCs/>
                <w:sz w:val="28"/>
                <w:szCs w:val="28"/>
              </w:rPr>
            </w:pPr>
          </w:p>
        </w:tc>
        <w:tc>
          <w:tcPr>
            <w:tcW w:w="1824" w:type="dxa"/>
            <w:vAlign w:val="center"/>
          </w:tcPr>
          <w:p w14:paraId="4630740A">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化学危害</w:t>
            </w:r>
          </w:p>
        </w:tc>
        <w:tc>
          <w:tcPr>
            <w:tcW w:w="3398" w:type="dxa"/>
            <w:vAlign w:val="center"/>
          </w:tcPr>
          <w:p w14:paraId="7B02C7B9">
            <w:pPr>
              <w:spacing w:line="520" w:lineRule="exact"/>
              <w:rPr>
                <w:rFonts w:ascii="Times New Roman" w:hAnsi="Times New Roman" w:eastAsia="仿宋_GB2312"/>
                <w:bCs/>
                <w:sz w:val="28"/>
                <w:szCs w:val="28"/>
              </w:rPr>
            </w:pPr>
            <w:r>
              <w:rPr>
                <w:rFonts w:hint="eastAsia" w:ascii="Times New Roman" w:hAnsi="Times New Roman" w:eastAsia="仿宋_GB2312"/>
                <w:bCs/>
                <w:sz w:val="28"/>
                <w:szCs w:val="28"/>
              </w:rPr>
              <w:t>生产工艺控制不严</w:t>
            </w:r>
          </w:p>
          <w:p w14:paraId="1590819E">
            <w:pPr>
              <w:spacing w:line="520" w:lineRule="exact"/>
              <w:rPr>
                <w:rFonts w:ascii="Times New Roman" w:hAnsi="Times New Roman" w:eastAsia="仿宋_GB2312"/>
                <w:bCs/>
                <w:sz w:val="28"/>
                <w:szCs w:val="28"/>
              </w:rPr>
            </w:pPr>
            <w:r>
              <w:rPr>
                <w:rFonts w:hint="eastAsia" w:ascii="Times New Roman" w:hAnsi="Times New Roman" w:eastAsia="仿宋_GB2312"/>
                <w:bCs/>
                <w:sz w:val="28"/>
                <w:szCs w:val="28"/>
              </w:rPr>
              <w:t>不正确的配方（化学成分）</w:t>
            </w:r>
          </w:p>
          <w:p w14:paraId="036C005C">
            <w:pPr>
              <w:spacing w:line="520" w:lineRule="exact"/>
              <w:rPr>
                <w:rFonts w:ascii="Times New Roman" w:hAnsi="Times New Roman" w:eastAsia="仿宋_GB2312"/>
                <w:bCs/>
                <w:sz w:val="28"/>
                <w:szCs w:val="28"/>
              </w:rPr>
            </w:pPr>
            <w:r>
              <w:rPr>
                <w:rFonts w:hint="eastAsia" w:ascii="Times New Roman" w:hAnsi="Times New Roman" w:eastAsia="仿宋_GB2312"/>
                <w:bCs/>
                <w:sz w:val="28"/>
                <w:szCs w:val="28"/>
              </w:rPr>
              <w:t>未按照工艺要求配料</w:t>
            </w:r>
          </w:p>
          <w:p w14:paraId="1E3393B7">
            <w:pPr>
              <w:spacing w:line="500" w:lineRule="exact"/>
              <w:ind w:right="-67" w:rightChars="-32"/>
              <w:rPr>
                <w:rFonts w:ascii="Times New Roman" w:hAnsi="Times New Roman" w:eastAsia="仿宋_GB2312"/>
                <w:bCs/>
                <w:sz w:val="28"/>
                <w:szCs w:val="28"/>
              </w:rPr>
            </w:pPr>
            <w:r>
              <w:rPr>
                <w:rFonts w:hint="eastAsia" w:ascii="Times New Roman" w:hAnsi="Times New Roman" w:eastAsia="仿宋_GB2312"/>
                <w:bCs/>
                <w:sz w:val="28"/>
                <w:szCs w:val="28"/>
              </w:rPr>
              <w:t>添加剂或助剂使用比例不正确</w:t>
            </w:r>
          </w:p>
        </w:tc>
        <w:tc>
          <w:tcPr>
            <w:tcW w:w="2832" w:type="dxa"/>
            <w:vAlign w:val="center"/>
          </w:tcPr>
          <w:p w14:paraId="12962A3C">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造成毒性危害</w:t>
            </w:r>
          </w:p>
        </w:tc>
      </w:tr>
      <w:tr w14:paraId="7450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00997D48">
            <w:pPr>
              <w:spacing w:line="500" w:lineRule="exact"/>
              <w:ind w:right="-67" w:rightChars="-32"/>
              <w:jc w:val="center"/>
              <w:rPr>
                <w:rFonts w:ascii="Times New Roman" w:hAnsi="Times New Roman" w:eastAsia="仿宋_GB2312"/>
                <w:bCs/>
                <w:sz w:val="28"/>
                <w:szCs w:val="28"/>
              </w:rPr>
            </w:pPr>
            <w:r>
              <w:rPr>
                <w:rFonts w:ascii="Times New Roman" w:hAnsi="Times New Roman" w:eastAsia="仿宋_GB2312"/>
                <w:bCs/>
                <w:sz w:val="28"/>
                <w:szCs w:val="28"/>
              </w:rPr>
              <w:t>操作</w:t>
            </w:r>
          </w:p>
          <w:p w14:paraId="01B5FEDF">
            <w:pPr>
              <w:spacing w:line="500" w:lineRule="exact"/>
              <w:ind w:right="-67" w:rightChars="-32"/>
              <w:jc w:val="center"/>
              <w:rPr>
                <w:rFonts w:ascii="Times New Roman" w:hAnsi="Times New Roman" w:eastAsia="仿宋_GB2312"/>
                <w:bCs/>
                <w:sz w:val="28"/>
                <w:szCs w:val="28"/>
              </w:rPr>
            </w:pPr>
            <w:r>
              <w:rPr>
                <w:rFonts w:ascii="Times New Roman" w:hAnsi="Times New Roman" w:eastAsia="仿宋_GB2312"/>
                <w:bCs/>
                <w:sz w:val="28"/>
                <w:szCs w:val="28"/>
              </w:rPr>
              <w:t>危害</w:t>
            </w:r>
          </w:p>
        </w:tc>
        <w:tc>
          <w:tcPr>
            <w:tcW w:w="1824" w:type="dxa"/>
            <w:vAlign w:val="center"/>
          </w:tcPr>
          <w:p w14:paraId="16E88779">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由不熟练/未经培训的人员使用</w:t>
            </w:r>
          </w:p>
        </w:tc>
        <w:tc>
          <w:tcPr>
            <w:tcW w:w="3398" w:type="dxa"/>
            <w:vAlign w:val="center"/>
          </w:tcPr>
          <w:p w14:paraId="497C2433">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 xml:space="preserve">操作不熟练、操作失误 </w:t>
            </w:r>
          </w:p>
        </w:tc>
        <w:tc>
          <w:tcPr>
            <w:tcW w:w="2832" w:type="dxa"/>
          </w:tcPr>
          <w:p w14:paraId="3734FDEF">
            <w:pPr>
              <w:spacing w:line="520" w:lineRule="exact"/>
              <w:rPr>
                <w:rFonts w:ascii="Times New Roman" w:hAnsi="Times New Roman" w:eastAsia="仿宋_GB2312"/>
                <w:bCs/>
                <w:sz w:val="28"/>
                <w:szCs w:val="28"/>
              </w:rPr>
            </w:pPr>
            <w:r>
              <w:rPr>
                <w:rFonts w:hint="eastAsia" w:ascii="Times New Roman" w:hAnsi="Times New Roman" w:eastAsia="仿宋_GB2312"/>
                <w:bCs/>
                <w:sz w:val="28"/>
                <w:szCs w:val="28"/>
              </w:rPr>
              <w:t>无法保证使用安全性</w:t>
            </w:r>
          </w:p>
          <w:p w14:paraId="5E3D6A7D">
            <w:pPr>
              <w:spacing w:line="520" w:lineRule="exact"/>
              <w:rPr>
                <w:rFonts w:ascii="Times New Roman" w:hAnsi="Times New Roman" w:eastAsia="仿宋_GB2312"/>
                <w:bCs/>
                <w:sz w:val="28"/>
                <w:szCs w:val="28"/>
              </w:rPr>
            </w:pPr>
            <w:r>
              <w:rPr>
                <w:rFonts w:hint="eastAsia" w:ascii="Times New Roman" w:hAnsi="Times New Roman" w:eastAsia="仿宋_GB2312"/>
                <w:bCs/>
                <w:sz w:val="28"/>
                <w:szCs w:val="28"/>
              </w:rPr>
              <w:t>导致操作失误，</w:t>
            </w:r>
            <w:r>
              <w:rPr>
                <w:rFonts w:hint="eastAsia" w:ascii="仿宋" w:hAnsi="仿宋" w:eastAsia="仿宋" w:cs="仿宋"/>
                <w:color w:val="000000"/>
                <w:sz w:val="28"/>
                <w:szCs w:val="28"/>
              </w:rPr>
              <w:t>导致无法达到满意的脱敏效果</w:t>
            </w:r>
          </w:p>
        </w:tc>
      </w:tr>
      <w:tr w14:paraId="4111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9" w:type="dxa"/>
            <w:vMerge w:val="continue"/>
            <w:vAlign w:val="center"/>
          </w:tcPr>
          <w:p w14:paraId="274B303A">
            <w:pPr>
              <w:spacing w:line="500" w:lineRule="exact"/>
              <w:ind w:right="-67" w:rightChars="-32"/>
              <w:rPr>
                <w:rFonts w:ascii="Times New Roman" w:hAnsi="Times New Roman" w:eastAsia="仿宋_GB2312"/>
                <w:bCs/>
                <w:sz w:val="28"/>
                <w:szCs w:val="28"/>
              </w:rPr>
            </w:pPr>
          </w:p>
        </w:tc>
        <w:tc>
          <w:tcPr>
            <w:tcW w:w="1824" w:type="dxa"/>
            <w:vAlign w:val="center"/>
          </w:tcPr>
          <w:p w14:paraId="408576F1">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使用产品时未按照说明书中操作方法操作</w:t>
            </w:r>
          </w:p>
        </w:tc>
        <w:tc>
          <w:tcPr>
            <w:tcW w:w="3398" w:type="dxa"/>
            <w:vAlign w:val="center"/>
          </w:tcPr>
          <w:p w14:paraId="6D9383EF">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错误操作</w:t>
            </w:r>
            <w:r>
              <w:rPr>
                <w:rFonts w:hint="eastAsia" w:ascii="Times New Roman" w:hAnsi="Times New Roman" w:eastAsia="仿宋_GB2312"/>
                <w:bCs/>
                <w:sz w:val="28"/>
                <w:szCs w:val="28"/>
              </w:rPr>
              <w:t>；</w:t>
            </w:r>
            <w:r>
              <w:rPr>
                <w:rFonts w:ascii="Times New Roman" w:hAnsi="Times New Roman" w:eastAsia="仿宋_GB2312"/>
                <w:bCs/>
                <w:sz w:val="28"/>
                <w:szCs w:val="28"/>
              </w:rPr>
              <w:t>未采取</w:t>
            </w:r>
            <w:r>
              <w:rPr>
                <w:rFonts w:hint="eastAsia" w:ascii="Times New Roman" w:hAnsi="Times New Roman" w:eastAsia="仿宋_GB2312"/>
                <w:bCs/>
                <w:sz w:val="28"/>
                <w:szCs w:val="28"/>
              </w:rPr>
              <w:t>相应</w:t>
            </w:r>
            <w:r>
              <w:rPr>
                <w:rFonts w:ascii="Times New Roman" w:hAnsi="Times New Roman" w:eastAsia="仿宋_GB2312"/>
                <w:bCs/>
                <w:sz w:val="28"/>
                <w:szCs w:val="28"/>
              </w:rPr>
              <w:t>的保护措施</w:t>
            </w:r>
          </w:p>
        </w:tc>
        <w:tc>
          <w:tcPr>
            <w:tcW w:w="2832" w:type="dxa"/>
          </w:tcPr>
          <w:p w14:paraId="2D3CA47D">
            <w:pPr>
              <w:spacing w:line="520" w:lineRule="exact"/>
              <w:rPr>
                <w:rFonts w:ascii="Times New Roman" w:hAnsi="Times New Roman" w:eastAsia="仿宋_GB2312"/>
                <w:bCs/>
                <w:sz w:val="28"/>
                <w:szCs w:val="28"/>
              </w:rPr>
            </w:pPr>
            <w:r>
              <w:rPr>
                <w:rFonts w:hint="eastAsia" w:ascii="Times New Roman" w:hAnsi="Times New Roman" w:eastAsia="仿宋_GB2312"/>
                <w:bCs/>
                <w:sz w:val="28"/>
                <w:szCs w:val="28"/>
              </w:rPr>
              <w:t>无法保证使用安全性</w:t>
            </w:r>
          </w:p>
          <w:p w14:paraId="4E409DCA">
            <w:pPr>
              <w:spacing w:line="520" w:lineRule="exact"/>
              <w:rPr>
                <w:rFonts w:ascii="仿宋" w:hAnsi="仿宋" w:eastAsia="仿宋"/>
                <w:color w:val="000000"/>
                <w:sz w:val="28"/>
                <w:szCs w:val="28"/>
              </w:rPr>
            </w:pPr>
            <w:r>
              <w:rPr>
                <w:rFonts w:hint="eastAsia" w:ascii="Times New Roman" w:hAnsi="Times New Roman" w:eastAsia="仿宋_GB2312"/>
                <w:bCs/>
                <w:sz w:val="28"/>
                <w:szCs w:val="28"/>
              </w:rPr>
              <w:t>导致操作失误，</w:t>
            </w:r>
            <w:r>
              <w:rPr>
                <w:rFonts w:hint="eastAsia" w:ascii="仿宋" w:hAnsi="仿宋" w:eastAsia="仿宋" w:cs="仿宋"/>
                <w:color w:val="000000"/>
                <w:sz w:val="28"/>
                <w:szCs w:val="28"/>
              </w:rPr>
              <w:t>导致无法达到满意的脱敏效果</w:t>
            </w:r>
          </w:p>
        </w:tc>
      </w:tr>
      <w:tr w14:paraId="3102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079" w:type="dxa"/>
            <w:vMerge w:val="continue"/>
            <w:vAlign w:val="center"/>
          </w:tcPr>
          <w:p w14:paraId="4FAB4BFC">
            <w:pPr>
              <w:spacing w:line="500" w:lineRule="exact"/>
              <w:ind w:right="-67" w:rightChars="-32"/>
              <w:rPr>
                <w:rFonts w:ascii="Times New Roman" w:hAnsi="Times New Roman" w:eastAsia="仿宋_GB2312"/>
                <w:bCs/>
                <w:sz w:val="28"/>
                <w:szCs w:val="28"/>
              </w:rPr>
            </w:pPr>
          </w:p>
        </w:tc>
        <w:tc>
          <w:tcPr>
            <w:tcW w:w="1824" w:type="dxa"/>
            <w:vAlign w:val="center"/>
          </w:tcPr>
          <w:p w14:paraId="45D56357">
            <w:pPr>
              <w:spacing w:line="360" w:lineRule="auto"/>
              <w:rPr>
                <w:rFonts w:ascii="Times New Roman" w:hAnsi="Times New Roman" w:eastAsia="仿宋_GB2312"/>
                <w:bCs/>
                <w:sz w:val="28"/>
                <w:szCs w:val="28"/>
              </w:rPr>
            </w:pPr>
            <w:r>
              <w:rPr>
                <w:rFonts w:ascii="Times New Roman" w:hAnsi="Times New Roman" w:eastAsia="仿宋_GB2312"/>
                <w:bCs/>
                <w:sz w:val="28"/>
                <w:szCs w:val="28"/>
              </w:rPr>
              <w:t>忽视说明书中禁忌症、警示信息等内容</w:t>
            </w:r>
          </w:p>
        </w:tc>
        <w:tc>
          <w:tcPr>
            <w:tcW w:w="3398" w:type="dxa"/>
            <w:vAlign w:val="center"/>
          </w:tcPr>
          <w:p w14:paraId="02AD7AAA">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患者在使用过程中出现过敏</w:t>
            </w:r>
            <w:r>
              <w:rPr>
                <w:rFonts w:hint="eastAsia" w:ascii="Times New Roman" w:hAnsi="Times New Roman" w:eastAsia="仿宋_GB2312"/>
                <w:bCs/>
                <w:sz w:val="28"/>
                <w:szCs w:val="28"/>
              </w:rPr>
              <w:t>；</w:t>
            </w:r>
            <w:r>
              <w:rPr>
                <w:rFonts w:ascii="Times New Roman" w:hAnsi="Times New Roman" w:eastAsia="仿宋_GB2312"/>
                <w:bCs/>
                <w:sz w:val="28"/>
                <w:szCs w:val="28"/>
              </w:rPr>
              <w:t>产品接触到</w:t>
            </w:r>
            <w:r>
              <w:rPr>
                <w:rFonts w:hint="eastAsia" w:ascii="Times New Roman" w:hAnsi="Times New Roman" w:eastAsia="仿宋_GB2312"/>
                <w:bCs/>
                <w:sz w:val="28"/>
                <w:szCs w:val="28"/>
              </w:rPr>
              <w:t>牙龈、皮肤、眼睛等其他部位</w:t>
            </w:r>
          </w:p>
        </w:tc>
        <w:tc>
          <w:tcPr>
            <w:tcW w:w="2832" w:type="dxa"/>
            <w:vAlign w:val="center"/>
          </w:tcPr>
          <w:p w14:paraId="6EC8551E">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引起患者</w:t>
            </w:r>
            <w:r>
              <w:rPr>
                <w:rFonts w:hint="eastAsia" w:ascii="Times New Roman" w:hAnsi="Times New Roman" w:eastAsia="仿宋_GB2312"/>
                <w:bCs/>
                <w:sz w:val="28"/>
                <w:szCs w:val="28"/>
              </w:rPr>
              <w:t>过敏，牙龈、皮肤、眼睛等其他部位产生刺激性</w:t>
            </w:r>
          </w:p>
        </w:tc>
      </w:tr>
      <w:tr w14:paraId="00FC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73D3FA7E">
            <w:pPr>
              <w:spacing w:line="500" w:lineRule="exact"/>
              <w:ind w:right="-67" w:rightChars="-32"/>
              <w:jc w:val="center"/>
              <w:rPr>
                <w:rFonts w:ascii="Times New Roman" w:hAnsi="Times New Roman" w:eastAsia="仿宋_GB2312"/>
                <w:bCs/>
                <w:sz w:val="28"/>
                <w:szCs w:val="28"/>
              </w:rPr>
            </w:pPr>
            <w:r>
              <w:rPr>
                <w:rFonts w:ascii="Times New Roman" w:hAnsi="Times New Roman" w:eastAsia="仿宋_GB2312"/>
                <w:bCs/>
                <w:sz w:val="28"/>
                <w:szCs w:val="28"/>
              </w:rPr>
              <w:t>信息</w:t>
            </w:r>
          </w:p>
          <w:p w14:paraId="605348D7">
            <w:pPr>
              <w:spacing w:line="500" w:lineRule="exact"/>
              <w:ind w:right="-67" w:rightChars="-32"/>
              <w:jc w:val="center"/>
              <w:rPr>
                <w:rFonts w:ascii="Times New Roman" w:hAnsi="Times New Roman" w:eastAsia="仿宋_GB2312"/>
                <w:bCs/>
                <w:sz w:val="28"/>
                <w:szCs w:val="28"/>
              </w:rPr>
            </w:pPr>
            <w:r>
              <w:rPr>
                <w:rFonts w:ascii="Times New Roman" w:hAnsi="Times New Roman" w:eastAsia="仿宋_GB2312"/>
                <w:bCs/>
                <w:sz w:val="28"/>
                <w:szCs w:val="28"/>
              </w:rPr>
              <w:t>危害</w:t>
            </w:r>
          </w:p>
          <w:p w14:paraId="1868EE42">
            <w:pPr>
              <w:spacing w:line="500" w:lineRule="exact"/>
              <w:ind w:right="-67" w:rightChars="-32"/>
              <w:rPr>
                <w:rFonts w:ascii="Times New Roman" w:hAnsi="Times New Roman" w:eastAsia="仿宋_GB2312"/>
                <w:bCs/>
                <w:sz w:val="28"/>
                <w:szCs w:val="28"/>
              </w:rPr>
            </w:pPr>
          </w:p>
        </w:tc>
        <w:tc>
          <w:tcPr>
            <w:tcW w:w="1824" w:type="dxa"/>
            <w:vAlign w:val="center"/>
          </w:tcPr>
          <w:p w14:paraId="229FEF99">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不正确的标签</w:t>
            </w:r>
          </w:p>
        </w:tc>
        <w:tc>
          <w:tcPr>
            <w:tcW w:w="3398" w:type="dxa"/>
            <w:vAlign w:val="center"/>
          </w:tcPr>
          <w:p w14:paraId="66D33EC4">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外部标记不全面、标记不正确或不能够清楚易认</w:t>
            </w:r>
          </w:p>
        </w:tc>
        <w:tc>
          <w:tcPr>
            <w:tcW w:w="2832" w:type="dxa"/>
            <w:vAlign w:val="center"/>
          </w:tcPr>
          <w:p w14:paraId="6894B645">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错误使用；储存错误；</w:t>
            </w:r>
          </w:p>
          <w:p w14:paraId="5873BD54">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产品辨别错误</w:t>
            </w:r>
          </w:p>
        </w:tc>
      </w:tr>
      <w:tr w14:paraId="3A28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0FF297B3">
            <w:pPr>
              <w:spacing w:line="500" w:lineRule="exact"/>
              <w:ind w:right="-67" w:rightChars="-32"/>
              <w:rPr>
                <w:rFonts w:ascii="Times New Roman" w:hAnsi="Times New Roman" w:eastAsia="仿宋_GB2312"/>
                <w:bCs/>
                <w:sz w:val="28"/>
                <w:szCs w:val="28"/>
              </w:rPr>
            </w:pPr>
          </w:p>
        </w:tc>
        <w:tc>
          <w:tcPr>
            <w:tcW w:w="1824" w:type="dxa"/>
            <w:vAlign w:val="center"/>
          </w:tcPr>
          <w:p w14:paraId="527884D7">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不正确的说明书</w:t>
            </w:r>
            <w:r>
              <w:rPr>
                <w:rFonts w:hint="eastAsia" w:ascii="Times New Roman" w:hAnsi="Times New Roman" w:eastAsia="仿宋_GB2312"/>
                <w:bCs/>
                <w:sz w:val="28"/>
                <w:szCs w:val="28"/>
              </w:rPr>
              <w:t>；</w:t>
            </w:r>
            <w:r>
              <w:rPr>
                <w:rFonts w:ascii="Times New Roman" w:hAnsi="Times New Roman" w:eastAsia="仿宋_GB2312"/>
                <w:bCs/>
                <w:sz w:val="28"/>
                <w:szCs w:val="28"/>
              </w:rPr>
              <w:t>说明书上的注意事项、禁忌症不全</w:t>
            </w:r>
          </w:p>
        </w:tc>
        <w:tc>
          <w:tcPr>
            <w:tcW w:w="3398" w:type="dxa"/>
            <w:vAlign w:val="center"/>
          </w:tcPr>
          <w:p w14:paraId="37A3A31C">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缺少详细的使用方法、必要的警告说明</w:t>
            </w:r>
          </w:p>
        </w:tc>
        <w:tc>
          <w:tcPr>
            <w:tcW w:w="2832" w:type="dxa"/>
            <w:vAlign w:val="center"/>
          </w:tcPr>
          <w:p w14:paraId="6FDBE818">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错误操作</w:t>
            </w:r>
            <w:r>
              <w:rPr>
                <w:rFonts w:hint="eastAsia" w:ascii="Times New Roman" w:hAnsi="Times New Roman" w:eastAsia="仿宋_GB2312"/>
                <w:bCs/>
                <w:sz w:val="28"/>
                <w:szCs w:val="28"/>
              </w:rPr>
              <w:t>；</w:t>
            </w:r>
            <w:r>
              <w:rPr>
                <w:rFonts w:ascii="Times New Roman" w:hAnsi="Times New Roman" w:eastAsia="仿宋_GB2312"/>
                <w:bCs/>
                <w:sz w:val="28"/>
                <w:szCs w:val="28"/>
              </w:rPr>
              <w:t>无法保证使用安全有效性</w:t>
            </w:r>
          </w:p>
        </w:tc>
      </w:tr>
      <w:tr w14:paraId="4AAD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57D61B2D">
            <w:pPr>
              <w:spacing w:line="500" w:lineRule="exact"/>
              <w:ind w:right="-67" w:rightChars="-32"/>
              <w:rPr>
                <w:rFonts w:ascii="Times New Roman" w:hAnsi="Times New Roman" w:eastAsia="仿宋_GB2312"/>
                <w:bCs/>
                <w:sz w:val="28"/>
                <w:szCs w:val="28"/>
              </w:rPr>
            </w:pPr>
          </w:p>
        </w:tc>
        <w:tc>
          <w:tcPr>
            <w:tcW w:w="1824" w:type="dxa"/>
            <w:vAlign w:val="center"/>
          </w:tcPr>
          <w:p w14:paraId="78D162CB">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对医疗器械寿命终止缺少适当的决定</w:t>
            </w:r>
          </w:p>
        </w:tc>
        <w:tc>
          <w:tcPr>
            <w:tcW w:w="3398" w:type="dxa"/>
            <w:vAlign w:val="center"/>
          </w:tcPr>
          <w:p w14:paraId="582FE7BE">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没有标识产品有效期</w:t>
            </w:r>
          </w:p>
        </w:tc>
        <w:tc>
          <w:tcPr>
            <w:tcW w:w="2832" w:type="dxa"/>
            <w:vAlign w:val="center"/>
          </w:tcPr>
          <w:p w14:paraId="2989007E">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超出有效期的产品被使用，或因材料老化产生而导致产品性能不符合要求</w:t>
            </w:r>
          </w:p>
        </w:tc>
      </w:tr>
      <w:tr w14:paraId="2072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7C7E36D1">
            <w:pPr>
              <w:spacing w:line="500" w:lineRule="exact"/>
              <w:ind w:right="-67" w:rightChars="-32"/>
              <w:rPr>
                <w:rFonts w:ascii="Times New Roman" w:hAnsi="Times New Roman" w:eastAsia="仿宋_GB2312"/>
                <w:bCs/>
                <w:sz w:val="28"/>
                <w:szCs w:val="28"/>
              </w:rPr>
            </w:pPr>
          </w:p>
        </w:tc>
        <w:tc>
          <w:tcPr>
            <w:tcW w:w="1824" w:type="dxa"/>
            <w:vAlign w:val="center"/>
          </w:tcPr>
          <w:p w14:paraId="3664ED19">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不适当的产品包装（产品污染和／或变性）</w:t>
            </w:r>
          </w:p>
        </w:tc>
        <w:tc>
          <w:tcPr>
            <w:tcW w:w="3398" w:type="dxa"/>
            <w:vAlign w:val="center"/>
          </w:tcPr>
          <w:p w14:paraId="78102EFE">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生产、运输、搬运和储存过程中导致包装破损；包装封口不严密；包装材料选择不适当</w:t>
            </w:r>
            <w:r>
              <w:rPr>
                <w:rFonts w:hint="eastAsia" w:ascii="Times New Roman" w:hAnsi="Times New Roman" w:eastAsia="仿宋_GB2312"/>
                <w:bCs/>
                <w:sz w:val="28"/>
                <w:szCs w:val="28"/>
              </w:rPr>
              <w:t>；</w:t>
            </w:r>
            <w:r>
              <w:rPr>
                <w:rFonts w:ascii="Times New Roman" w:hAnsi="Times New Roman" w:eastAsia="仿宋_GB2312"/>
                <w:bCs/>
                <w:sz w:val="28"/>
                <w:szCs w:val="28"/>
              </w:rPr>
              <w:t>使用前未检查产品包装状态</w:t>
            </w:r>
          </w:p>
        </w:tc>
        <w:tc>
          <w:tcPr>
            <w:tcW w:w="2832" w:type="dxa"/>
            <w:vAlign w:val="center"/>
          </w:tcPr>
          <w:p w14:paraId="3E3C9443">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产品使用性能无法得到保证</w:t>
            </w:r>
          </w:p>
        </w:tc>
      </w:tr>
      <w:tr w14:paraId="4F94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3386F742">
            <w:pPr>
              <w:spacing w:line="500" w:lineRule="exact"/>
              <w:ind w:right="-67" w:rightChars="-32"/>
              <w:rPr>
                <w:rFonts w:ascii="Times New Roman" w:hAnsi="Times New Roman" w:eastAsia="仿宋_GB2312"/>
                <w:bCs/>
                <w:sz w:val="28"/>
                <w:szCs w:val="28"/>
              </w:rPr>
            </w:pPr>
          </w:p>
        </w:tc>
        <w:tc>
          <w:tcPr>
            <w:tcW w:w="1824" w:type="dxa"/>
            <w:vAlign w:val="center"/>
          </w:tcPr>
          <w:p w14:paraId="1623E5CB">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再次使用和/或不适当的再次使用</w:t>
            </w:r>
          </w:p>
        </w:tc>
        <w:tc>
          <w:tcPr>
            <w:tcW w:w="3398" w:type="dxa"/>
            <w:vAlign w:val="center"/>
          </w:tcPr>
          <w:p w14:paraId="7212FEF6">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 xml:space="preserve">未说明产品配件（如有）使用方法；产品多次使用，未说明具体操作方法 </w:t>
            </w:r>
          </w:p>
        </w:tc>
        <w:tc>
          <w:tcPr>
            <w:tcW w:w="2832" w:type="dxa"/>
            <w:vAlign w:val="center"/>
          </w:tcPr>
          <w:p w14:paraId="0B24A18A">
            <w:pPr>
              <w:spacing w:line="500" w:lineRule="exact"/>
              <w:ind w:right="-67" w:rightChars="-32"/>
              <w:rPr>
                <w:rFonts w:ascii="Times New Roman" w:hAnsi="Times New Roman" w:eastAsia="仿宋_GB2312"/>
                <w:bCs/>
                <w:sz w:val="28"/>
                <w:szCs w:val="28"/>
              </w:rPr>
            </w:pPr>
            <w:r>
              <w:rPr>
                <w:rFonts w:ascii="Times New Roman" w:hAnsi="Times New Roman" w:eastAsia="仿宋_GB2312"/>
                <w:bCs/>
                <w:sz w:val="28"/>
                <w:szCs w:val="28"/>
              </w:rPr>
              <w:t>出现细菌感染、交叉感染等现象</w:t>
            </w:r>
          </w:p>
        </w:tc>
      </w:tr>
    </w:tbl>
    <w:p w14:paraId="481A644F">
      <w:pPr>
        <w:spacing w:line="360" w:lineRule="auto"/>
        <w:ind w:firstLine="640" w:firstLineChars="200"/>
      </w:pPr>
      <w:r>
        <w:rPr>
          <w:rStyle w:val="17"/>
          <w:rFonts w:ascii="Times New Roman" w:hAnsi="Times New Roman" w:eastAsia="仿宋_GB2312"/>
          <w:bCs/>
          <w:sz w:val="32"/>
          <w:szCs w:val="32"/>
        </w:rPr>
        <w:t>企业还应根据自身产品特点确定其他危害，可通过产品设计控制、产品原材料选择、产品技术性能指标的制定、正确的标签标识、生产和检验控制、产品说明书等多项措施以降低风险至可接受水平。</w:t>
      </w:r>
    </w:p>
    <w:p w14:paraId="62EBCF3F">
      <w:pPr>
        <w:spacing w:line="52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（八）产品的研究要求</w:t>
      </w:r>
    </w:p>
    <w:p w14:paraId="2C7B3B6A">
      <w:pPr>
        <w:spacing w:line="520" w:lineRule="exact"/>
        <w:ind w:firstLine="640" w:firstLineChars="200"/>
        <w:rPr>
          <w:rFonts w:ascii="Times New Roman" w:hAnsi="Times New Roman" w:eastAsia="楷体_GB2312"/>
          <w:sz w:val="32"/>
          <w:szCs w:val="32"/>
        </w:rPr>
      </w:pPr>
      <w:r>
        <w:rPr>
          <w:rFonts w:ascii="Times New Roman" w:eastAsia="仿宋_GB2312"/>
          <w:sz w:val="32"/>
          <w:szCs w:val="32"/>
        </w:rPr>
        <w:t>应至少包括以下几个方面。</w:t>
      </w:r>
    </w:p>
    <w:p w14:paraId="1A8FB50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eastAsia="仿宋_GB2312"/>
          <w:sz w:val="32"/>
          <w:szCs w:val="32"/>
        </w:rPr>
        <w:t>原材料控制</w:t>
      </w:r>
    </w:p>
    <w:p w14:paraId="5FC85FD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明确各种原料</w:t>
      </w:r>
      <w:r>
        <w:rPr>
          <w:rFonts w:hint="eastAsia" w:ascii="Times New Roman" w:hAnsi="Times New Roman" w:eastAsia="仿宋_GB2312"/>
          <w:sz w:val="32"/>
          <w:szCs w:val="32"/>
        </w:rPr>
        <w:t>的化学名称、CAS号、化学结构式/分子式、分子量、来源和纯度（如适用）、使用量或组成比例、符合的标准、申请人的验收标准及相关的安全性评价报告，建议以列表的形式提供，并说明原材料的选择依据及来源。</w:t>
      </w:r>
    </w:p>
    <w:p w14:paraId="2F8235DD">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2.产品性能研究</w:t>
      </w:r>
    </w:p>
    <w:p w14:paraId="3E0022EC">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申报资料中应包括产品性能研究资料以及产品技术要求的研究和编制说明，</w:t>
      </w:r>
      <w:r>
        <w:rPr>
          <w:rFonts w:ascii="Times New Roman" w:hAnsi="Times New Roman" w:eastAsia="仿宋_GB2312"/>
          <w:bCs/>
          <w:sz w:val="32"/>
          <w:szCs w:val="32"/>
        </w:rPr>
        <w:t>包括所有指标的确定依据</w:t>
      </w:r>
      <w:r>
        <w:rPr>
          <w:rFonts w:ascii="Times New Roman" w:hAnsi="Times New Roman" w:eastAsia="仿宋_GB2312"/>
          <w:sz w:val="32"/>
          <w:szCs w:val="32"/>
        </w:rPr>
        <w:t>，所采用的标准或方法、采用的原因及理论基础。重点关注以下几点</w:t>
      </w:r>
      <w:r>
        <w:rPr>
          <w:rFonts w:hint="eastAsia" w:ascii="Times New Roman" w:hAnsi="Times New Roman" w:eastAsia="仿宋_GB2312"/>
          <w:sz w:val="32"/>
          <w:szCs w:val="32"/>
        </w:rPr>
        <w:t>：</w:t>
      </w:r>
    </w:p>
    <w:p w14:paraId="3FA2A25E">
      <w:pPr>
        <w:numPr>
          <w:ilvl w:val="0"/>
          <w:numId w:val="2"/>
        </w:num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牙本质小管封堵效果研究资料。对于堵塞型脱敏剂，目前主要有两种测试方法来体外评价其封堵效果，可选择其中一种方法进行试验。一是牙本质通透性测试法，通过测量牙本质片经试验样品处理前后的通透值，得到经试验样品处理后的牙本质片相对通透值；二是扫描电镜观察法，通过扫描电镜观察并记录牙本质片经试验样品处理后的未被封堵牙本质小管数，同时记录对照组牙本质片管口开放的牙本质小管数，经</w:t>
      </w:r>
      <w:r>
        <w:rPr>
          <w:rFonts w:ascii="Times New Roman" w:hAnsi="Times New Roman" w:eastAsia="仿宋_GB2312"/>
          <w:sz w:val="32"/>
          <w:szCs w:val="32"/>
        </w:rPr>
        <w:t>计算</w:t>
      </w:r>
      <w:r>
        <w:rPr>
          <w:rFonts w:hint="eastAsia" w:ascii="Times New Roman" w:hAnsi="Times New Roman" w:eastAsia="仿宋_GB2312"/>
          <w:sz w:val="32"/>
          <w:szCs w:val="32"/>
        </w:rPr>
        <w:t>得到牙本质小管堵塞率。</w:t>
      </w:r>
    </w:p>
    <w:p w14:paraId="720EDD56">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于需要较长时间使用的脱敏剂，还应考虑其作用频次。建议申请人自定牙本质片相对通透值或牙本质小管堵塞率最低限值，论述其确定依据，对可接受性进行评价，说明能否达到预期临床效果。对于需与活体牙牙本质小管液内胶原蛋白产生反应的牙本质脱敏材料（如戊二醛类），以及非堵塞型牙本质脱敏材料（如降低牙髓神经敏感性的钾离子类），以上两种测试方法不适用，可考虑其他路径论证产品的脱敏效果。</w:t>
      </w:r>
    </w:p>
    <w:p w14:paraId="612EBB1E">
      <w:pPr>
        <w:numPr>
          <w:ilvl w:val="0"/>
          <w:numId w:val="2"/>
        </w:num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若产品有效成分为氟化物，</w:t>
      </w:r>
      <w:r>
        <w:rPr>
          <w:rFonts w:ascii="Times New Roman" w:hAnsi="Times New Roman" w:eastAsia="仿宋_GB2312"/>
          <w:sz w:val="32"/>
          <w:szCs w:val="32"/>
        </w:rPr>
        <w:t>建议提交产品</w:t>
      </w:r>
      <w:r>
        <w:rPr>
          <w:rFonts w:hint="eastAsia" w:ascii="Times New Roman" w:hAnsi="Times New Roman" w:eastAsia="仿宋_GB2312"/>
          <w:sz w:val="32"/>
          <w:szCs w:val="32"/>
        </w:rPr>
        <w:t>氟含量确定的依据，并对氟的溶出特性进行研究，同时提交氟含量不导致氟牙症、氟骨症的安全范围内的相关研究资料。</w:t>
      </w:r>
    </w:p>
    <w:p w14:paraId="5933C591">
      <w:pPr>
        <w:numPr>
          <w:ilvl w:val="0"/>
          <w:numId w:val="2"/>
        </w:num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若产品有效成分为戊二醛，建议提交戊二醛含量确定依据以及残留戊二醛对人体是否产生影响的研究资料。</w:t>
      </w:r>
    </w:p>
    <w:p w14:paraId="25C07B62">
      <w:pPr>
        <w:numPr>
          <w:ilvl w:val="0"/>
          <w:numId w:val="2"/>
        </w:num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若产品有效成分为钾盐，建议提交产品钾含量确定的依据。</w:t>
      </w:r>
    </w:p>
    <w:p w14:paraId="35AD0144">
      <w:pPr>
        <w:numPr>
          <w:ilvl w:val="0"/>
          <w:numId w:val="2"/>
        </w:num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对于矿化机理的产品，申请人应结合申报产品原材料组分，提供关于矿化效果、量效关系相关研究资料。</w:t>
      </w:r>
    </w:p>
    <w:p w14:paraId="75C4494F">
      <w:pPr>
        <w:numPr>
          <w:ilvl w:val="0"/>
          <w:numId w:val="2"/>
        </w:num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对于说明书中宣称的内容提供相应研究资料，如单次/累积用量研究、与有效性有关的指标性能研究。</w:t>
      </w:r>
    </w:p>
    <w:p w14:paraId="3CBCD9A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3.生物相容性的评价研究</w:t>
      </w:r>
    </w:p>
    <w:p w14:paraId="4559BC53">
      <w:pPr>
        <w:pStyle w:val="12"/>
        <w:widowControl w:val="0"/>
        <w:spacing w:line="520" w:lineRule="exact"/>
        <w:ind w:firstLine="640"/>
        <w:rPr>
          <w:rFonts w:eastAsia="仿宋_GB2312" w:cs="Times New Roman"/>
          <w:bCs/>
          <w:color w:val="auto"/>
          <w:kern w:val="2"/>
          <w:sz w:val="32"/>
          <w:szCs w:val="32"/>
        </w:rPr>
      </w:pPr>
      <w:r>
        <w:rPr>
          <w:rFonts w:hint="eastAsia" w:eastAsia="仿宋_GB2312"/>
          <w:sz w:val="32"/>
          <w:szCs w:val="32"/>
        </w:rPr>
        <w:t>脱敏剂产品接触牙本质，属于YY/T 0268-2008《牙科学 口腔医疗器械生物学评价 第1单元：评价与试验》中表面接触的器械，接触时间结合产品具体的使用方法确定，应考虑累计使用时间，生物相容性评价应遵循</w:t>
      </w:r>
      <w:r>
        <w:rPr>
          <w:rFonts w:eastAsia="仿宋_GB2312"/>
          <w:sz w:val="32"/>
          <w:szCs w:val="32"/>
        </w:rPr>
        <w:t>GB/T 16886.1-2011《医疗器械生物学评价 第1部分：风险管理过程中的评价与试验》和YY/T 0268-2008</w:t>
      </w:r>
      <w:r>
        <w:rPr>
          <w:rFonts w:hint="eastAsia" w:eastAsia="仿宋_GB2312"/>
          <w:sz w:val="32"/>
          <w:szCs w:val="32"/>
        </w:rPr>
        <w:t>《牙科学 口腔医疗器械生物学评价 第1单元：评价与试验》相关要求。</w:t>
      </w:r>
      <w:r>
        <w:rPr>
          <w:rFonts w:hint="eastAsia" w:eastAsia="仿宋_GB2312" w:cs="Times New Roman"/>
          <w:bCs/>
          <w:color w:val="auto"/>
          <w:kern w:val="2"/>
          <w:sz w:val="32"/>
          <w:szCs w:val="32"/>
        </w:rPr>
        <w:t>生物学试验项目可参考YY/T 0268-2008《牙科学 口腔医疗器械生物学评价 第1单元：评价与试验项目选择》确定，建议至少考虑：体外细胞毒性试验、皮肤致敏反应试验、口腔黏膜刺激反应、牙髓牙本质应用试验，如不适用，提交相关依据。</w:t>
      </w:r>
    </w:p>
    <w:p w14:paraId="4D301158">
      <w:pPr>
        <w:pStyle w:val="12"/>
        <w:widowControl w:val="0"/>
        <w:spacing w:line="520" w:lineRule="exact"/>
        <w:ind w:firstLine="640"/>
        <w:rPr>
          <w:rFonts w:eastAsia="仿宋_GB2312" w:cs="Times New Roman"/>
          <w:bCs/>
          <w:color w:val="auto"/>
          <w:kern w:val="2"/>
          <w:sz w:val="32"/>
          <w:szCs w:val="32"/>
        </w:rPr>
      </w:pPr>
      <w:r>
        <w:rPr>
          <w:rFonts w:hint="eastAsia" w:eastAsia="仿宋_GB2312"/>
          <w:sz w:val="32"/>
          <w:szCs w:val="32"/>
        </w:rPr>
        <w:t>对于含氟化钠和戊二醛成分的申报产品，应结合生物学试验结果、临床使用技术/部位、同类产品情况综合论述申报产品在满足预期用途的同时未引入不可接受的生物学风险，建议通过与已上市同类产品对比、提交文献资料等多种方式综合评价产品的生物相容性，考虑临床使用的风险受益比；若产品长期多次使用，应评价其累计使用及误吞的风险，建议考虑急性经口毒性试验。</w:t>
      </w:r>
    </w:p>
    <w:p w14:paraId="5C8E1ED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4.产品有效期和包装研究</w:t>
      </w:r>
    </w:p>
    <w:p w14:paraId="4A8828C8">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应明确产品有效期，提供产品有效期的验证资料，结合临床实际使用情况，考虑</w:t>
      </w:r>
      <w:r>
        <w:rPr>
          <w:rFonts w:hint="eastAsia" w:ascii="Times New Roman" w:hAnsi="Times New Roman" w:eastAsia="仿宋_GB2312"/>
          <w:sz w:val="32"/>
          <w:szCs w:val="32"/>
        </w:rPr>
        <w:t>大装量产品</w:t>
      </w:r>
      <w:r>
        <w:rPr>
          <w:rFonts w:ascii="Times New Roman" w:hAnsi="Times New Roman" w:eastAsia="仿宋_GB2312"/>
          <w:sz w:val="32"/>
          <w:szCs w:val="32"/>
        </w:rPr>
        <w:t>开封后稳定性。可参考</w:t>
      </w:r>
      <w:r>
        <w:rPr>
          <w:rFonts w:hint="eastAsia" w:ascii="Times New Roman" w:hAnsi="Times New Roman" w:eastAsia="仿宋_GB2312"/>
          <w:sz w:val="32"/>
          <w:szCs w:val="32"/>
        </w:rPr>
        <w:t>YY/T 0681.1-2018《无菌医疗器械包装试验方法 第1部分：加速老化试验指南》提供加速老化验证资料。</w:t>
      </w:r>
    </w:p>
    <w:p w14:paraId="2B23AD4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pacing w:val="-6"/>
          <w:sz w:val="32"/>
          <w:szCs w:val="32"/>
        </w:rPr>
        <w:t>包装及包装完整性：</w:t>
      </w:r>
      <w:r>
        <w:rPr>
          <w:rFonts w:hint="eastAsia" w:ascii="Times New Roman" w:hAnsi="Times New Roman" w:eastAsia="仿宋_GB2312"/>
          <w:spacing w:val="-6"/>
          <w:sz w:val="32"/>
          <w:szCs w:val="32"/>
        </w:rPr>
        <w:t>该产品根据</w:t>
      </w:r>
      <w:r>
        <w:rPr>
          <w:rFonts w:hint="eastAsia" w:ascii="Times New Roman" w:hAnsi="Times New Roman" w:eastAsia="仿宋_GB2312"/>
          <w:sz w:val="32"/>
          <w:szCs w:val="32"/>
        </w:rPr>
        <w:t>不同的性状（如粉剂、凝胶剂、糊剂等），</w:t>
      </w:r>
      <w:r>
        <w:rPr>
          <w:rFonts w:ascii="Times New Roman" w:hAnsi="Times New Roman" w:eastAsia="仿宋_GB2312"/>
          <w:sz w:val="32"/>
          <w:szCs w:val="32"/>
        </w:rPr>
        <w:t>采用</w:t>
      </w:r>
      <w:r>
        <w:rPr>
          <w:rFonts w:hint="eastAsia" w:ascii="Times New Roman" w:hAnsi="Times New Roman" w:eastAsia="仿宋_GB2312"/>
          <w:sz w:val="32"/>
          <w:szCs w:val="32"/>
        </w:rPr>
        <w:t>不同的包装材料</w:t>
      </w:r>
      <w:r>
        <w:rPr>
          <w:rFonts w:ascii="Times New Roman" w:hAnsi="Times New Roman" w:eastAsia="仿宋_GB2312"/>
          <w:sz w:val="32"/>
          <w:szCs w:val="32"/>
        </w:rPr>
        <w:t>。应明确产品的内包装形式并确保包装在宣称的运输储存条件下，在产品有效期内能够对产品起到防护作用并保持产品清洁。</w:t>
      </w:r>
      <w:r>
        <w:rPr>
          <w:rFonts w:hint="eastAsia" w:ascii="Times New Roman" w:hAnsi="Times New Roman" w:eastAsia="仿宋_GB2312"/>
          <w:sz w:val="32"/>
          <w:szCs w:val="32"/>
        </w:rPr>
        <w:t>产品包装验证可依据有关国内、国际标准进行（如GB/T19633、ISO11607、ASTM D-4169等），提交产品的包装验证报告。</w:t>
      </w:r>
      <w:r>
        <w:rPr>
          <w:rFonts w:ascii="Times New Roman" w:hAnsi="Times New Roman" w:eastAsia="仿宋_GB2312"/>
          <w:sz w:val="32"/>
        </w:rPr>
        <w:t>包装材料的选择应考虑以下因素：包装材料的物理化学性能</w:t>
      </w:r>
      <w:r>
        <w:rPr>
          <w:rFonts w:hint="eastAsia" w:ascii="Times New Roman" w:hAnsi="Times New Roman" w:eastAsia="仿宋_GB2312"/>
          <w:sz w:val="32"/>
        </w:rPr>
        <w:t>；</w:t>
      </w:r>
      <w:r>
        <w:rPr>
          <w:rFonts w:ascii="Times New Roman" w:hAnsi="Times New Roman" w:eastAsia="仿宋_GB2312"/>
          <w:sz w:val="32"/>
        </w:rPr>
        <w:t>是否会引入重金属</w:t>
      </w:r>
      <w:r>
        <w:rPr>
          <w:rFonts w:hint="eastAsia" w:ascii="Times New Roman" w:hAnsi="Times New Roman" w:eastAsia="仿宋_GB2312"/>
          <w:sz w:val="32"/>
        </w:rPr>
        <w:t>、</w:t>
      </w:r>
      <w:r>
        <w:rPr>
          <w:rFonts w:ascii="Times New Roman" w:hAnsi="Times New Roman" w:eastAsia="仿宋_GB2312"/>
          <w:sz w:val="32"/>
        </w:rPr>
        <w:t>微生物</w:t>
      </w:r>
      <w:r>
        <w:rPr>
          <w:rFonts w:hint="eastAsia" w:ascii="Times New Roman" w:hAnsi="Times New Roman" w:eastAsia="仿宋_GB2312"/>
          <w:sz w:val="32"/>
        </w:rPr>
        <w:t>等外来物质</w:t>
      </w:r>
      <w:r>
        <w:rPr>
          <w:rFonts w:ascii="Times New Roman" w:hAnsi="Times New Roman" w:eastAsia="仿宋_GB2312"/>
          <w:sz w:val="32"/>
        </w:rPr>
        <w:t>；包装</w:t>
      </w:r>
      <w:r>
        <w:rPr>
          <w:rFonts w:hint="eastAsia" w:ascii="Times New Roman" w:hAnsi="Times New Roman" w:eastAsia="仿宋_GB2312"/>
          <w:sz w:val="32"/>
        </w:rPr>
        <w:t>材料与成型和密封过程的适应性；</w:t>
      </w:r>
      <w:r>
        <w:rPr>
          <w:rFonts w:ascii="Times New Roman" w:hAnsi="Times New Roman" w:eastAsia="仿宋_GB2312"/>
          <w:sz w:val="32"/>
        </w:rPr>
        <w:t>包装材料与产品的适应性；包装材料与标签系统的适应性；包装材料与贮存运输过程的适合性；包装有效期。包装验证的资料内容应与包装说明中给出的信息相符</w:t>
      </w:r>
      <w:r>
        <w:rPr>
          <w:rFonts w:hint="eastAsia" w:ascii="Times New Roman" w:hAnsi="Times New Roman" w:eastAsia="仿宋_GB2312"/>
          <w:sz w:val="32"/>
        </w:rPr>
        <w:t>。</w:t>
      </w:r>
    </w:p>
    <w:p w14:paraId="106DE37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5.其他研究</w:t>
      </w:r>
    </w:p>
    <w:p w14:paraId="384D37E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证明产品安全性、有效性的其他研究资料。</w:t>
      </w:r>
    </w:p>
    <w:p w14:paraId="187DE71B">
      <w:pPr>
        <w:overflowPunct w:val="0"/>
        <w:spacing w:line="520" w:lineRule="exact"/>
        <w:ind w:firstLine="640" w:firstLineChars="200"/>
        <w:rPr>
          <w:rFonts w:ascii="Times New Roman" w:hAnsi="Times New Roman" w:eastAsia="楷体_GB2312"/>
          <w:bCs/>
          <w:sz w:val="32"/>
          <w:szCs w:val="32"/>
        </w:rPr>
      </w:pPr>
      <w:r>
        <w:rPr>
          <w:rFonts w:ascii="Times New Roman" w:hAnsi="Times New Roman" w:eastAsia="楷体_GB2312"/>
          <w:bCs/>
          <w:sz w:val="32"/>
          <w:szCs w:val="32"/>
        </w:rPr>
        <w:t>（九）产品技术要求的主要性能指标</w:t>
      </w:r>
    </w:p>
    <w:p w14:paraId="240B6512">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产品技术要求的制定应符合《医疗器械产品技术要求编写指导原则》的法规要求。申请人应依据产品的技术特征和临床使用情况来确定产品安全有效、质量可控的技术要求和检验方法。建议在产品技术要求型号规格及划分说明中列明各组分的名称、含量，各组分比例之和应为100%。</w:t>
      </w:r>
      <w:r>
        <w:rPr>
          <w:rFonts w:ascii="Times New Roman" w:hAnsi="Times New Roman" w:eastAsia="仿宋_GB2312"/>
          <w:sz w:val="32"/>
          <w:szCs w:val="32"/>
        </w:rPr>
        <w:t>本</w:t>
      </w:r>
      <w:r>
        <w:rPr>
          <w:rFonts w:hint="eastAsia" w:ascii="Times New Roman" w:hAnsi="Times New Roman" w:eastAsia="仿宋_GB2312"/>
          <w:sz w:val="32"/>
          <w:szCs w:val="32"/>
        </w:rPr>
        <w:t>指导原则给出脱敏剂</w:t>
      </w:r>
      <w:r>
        <w:rPr>
          <w:rFonts w:ascii="Times New Roman" w:hAnsi="Times New Roman" w:eastAsia="仿宋_GB2312"/>
          <w:sz w:val="32"/>
          <w:szCs w:val="32"/>
        </w:rPr>
        <w:t>需要考虑的</w:t>
      </w:r>
      <w:r>
        <w:rPr>
          <w:rFonts w:hint="eastAsia" w:ascii="Times New Roman" w:hAnsi="Times New Roman" w:eastAsia="仿宋_GB2312"/>
          <w:sz w:val="32"/>
          <w:szCs w:val="32"/>
        </w:rPr>
        <w:t>产品</w:t>
      </w:r>
      <w:r>
        <w:rPr>
          <w:rFonts w:ascii="Times New Roman" w:hAnsi="Times New Roman" w:eastAsia="仿宋_GB2312"/>
          <w:sz w:val="32"/>
          <w:szCs w:val="32"/>
        </w:rPr>
        <w:t>基本技术性能指标，申请人根据自身产品的技术特点和用途制定相应的性能指标</w:t>
      </w:r>
      <w:r>
        <w:rPr>
          <w:rFonts w:hint="eastAsia" w:ascii="Times New Roman" w:hAnsi="Times New Roman" w:eastAsia="仿宋_GB2312"/>
          <w:sz w:val="32"/>
          <w:szCs w:val="32"/>
        </w:rPr>
        <w:t>，且性能指标不得低于强制性国家标准、行业标准</w:t>
      </w:r>
      <w:r>
        <w:rPr>
          <w:rFonts w:ascii="Times New Roman" w:hAnsi="Times New Roman" w:eastAsia="仿宋_GB2312"/>
          <w:sz w:val="32"/>
          <w:szCs w:val="32"/>
        </w:rPr>
        <w:t>。</w:t>
      </w:r>
    </w:p>
    <w:p w14:paraId="08CDFA1C">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脱敏剂产品</w:t>
      </w:r>
      <w:r>
        <w:rPr>
          <w:rFonts w:ascii="Times New Roman" w:hAnsi="Times New Roman" w:eastAsia="仿宋_GB2312"/>
          <w:sz w:val="32"/>
          <w:szCs w:val="32"/>
        </w:rPr>
        <w:t>性能指标至少应包括以下几点：</w:t>
      </w:r>
    </w:p>
    <w:p w14:paraId="4BC55454">
      <w:pPr>
        <w:numPr>
          <w:ilvl w:val="0"/>
          <w:numId w:val="3"/>
        </w:num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外观及性状</w:t>
      </w:r>
      <w:r>
        <w:rPr>
          <w:rFonts w:hint="eastAsia" w:ascii="Times New Roman" w:hAnsi="Times New Roman" w:eastAsia="仿宋_GB2312"/>
          <w:sz w:val="32"/>
          <w:szCs w:val="32"/>
        </w:rPr>
        <w:t>：制造商</w:t>
      </w:r>
      <w:r>
        <w:rPr>
          <w:rFonts w:ascii="Times New Roman" w:hAnsi="Times New Roman" w:eastAsia="仿宋_GB2312"/>
          <w:sz w:val="32"/>
          <w:szCs w:val="32"/>
        </w:rPr>
        <w:t>根据产品实际进行描述</w:t>
      </w:r>
      <w:r>
        <w:rPr>
          <w:rFonts w:hint="eastAsia" w:ascii="Times New Roman" w:hAnsi="Times New Roman" w:eastAsia="仿宋_GB2312"/>
          <w:sz w:val="32"/>
          <w:szCs w:val="32"/>
        </w:rPr>
        <w:t>。</w:t>
      </w:r>
    </w:p>
    <w:p w14:paraId="54FE880A">
      <w:pPr>
        <w:numPr>
          <w:ilvl w:val="0"/>
          <w:numId w:val="3"/>
        </w:num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装量：应明确装量允差。</w:t>
      </w:r>
    </w:p>
    <w:p w14:paraId="2F2BAEF7">
      <w:pPr>
        <w:numPr>
          <w:ilvl w:val="0"/>
          <w:numId w:val="3"/>
        </w:num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主要功能成分含量范围，如总氟含量/可溶出氟含量、钾含量、锶含量或精氨酸含量等。</w:t>
      </w:r>
    </w:p>
    <w:p w14:paraId="010D03D9">
      <w:pPr>
        <w:numPr>
          <w:ilvl w:val="0"/>
          <w:numId w:val="3"/>
        </w:num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pH值：制造商应明确pH值范围。</w:t>
      </w:r>
    </w:p>
    <w:p w14:paraId="25E3B09F">
      <w:pPr>
        <w:numPr>
          <w:ilvl w:val="0"/>
          <w:numId w:val="3"/>
        </w:num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重金属总含量（以</w:t>
      </w:r>
      <w:r>
        <w:rPr>
          <w:rFonts w:ascii="Times New Roman" w:hAnsi="Times New Roman" w:eastAsia="仿宋_GB2312"/>
          <w:sz w:val="32"/>
          <w:szCs w:val="32"/>
        </w:rPr>
        <w:t>铅计</w:t>
      </w:r>
      <w:r>
        <w:rPr>
          <w:rFonts w:hint="eastAsia" w:ascii="Times New Roman" w:hAnsi="Times New Roman" w:eastAsia="仿宋_GB2312"/>
          <w:sz w:val="32"/>
          <w:szCs w:val="32"/>
        </w:rPr>
        <w:t>）＜20</w:t>
      </w:r>
      <w:r>
        <w:rPr>
          <w:rFonts w:ascii="Times New Roman" w:hAnsi="Times New Roman" w:eastAsia="仿宋_GB2312"/>
          <w:sz w:val="32"/>
          <w:szCs w:val="32"/>
        </w:rPr>
        <w:t>mg/kg</w:t>
      </w:r>
      <w:r>
        <w:rPr>
          <w:rFonts w:hint="eastAsia" w:ascii="Times New Roman" w:hAnsi="Times New Roman" w:eastAsia="仿宋_GB2312"/>
          <w:sz w:val="32"/>
          <w:szCs w:val="32"/>
        </w:rPr>
        <w:t>、</w:t>
      </w:r>
      <w:r>
        <w:rPr>
          <w:rFonts w:ascii="Times New Roman" w:hAnsi="Times New Roman" w:eastAsia="仿宋_GB2312"/>
          <w:sz w:val="32"/>
          <w:szCs w:val="32"/>
        </w:rPr>
        <w:t>砷含量</w:t>
      </w:r>
      <w:r>
        <w:rPr>
          <w:rFonts w:hint="eastAsia" w:ascii="Times New Roman" w:hAnsi="Times New Roman" w:eastAsia="仿宋_GB2312"/>
          <w:sz w:val="32"/>
          <w:szCs w:val="32"/>
        </w:rPr>
        <w:t>＜5</w:t>
      </w:r>
      <w:r>
        <w:rPr>
          <w:rFonts w:ascii="Times New Roman" w:hAnsi="Times New Roman" w:eastAsia="仿宋_GB2312"/>
          <w:sz w:val="32"/>
          <w:szCs w:val="32"/>
        </w:rPr>
        <w:t>mg/kg</w:t>
      </w:r>
      <w:r>
        <w:rPr>
          <w:rFonts w:hint="eastAsia" w:ascii="Times New Roman" w:hAnsi="Times New Roman" w:eastAsia="仿宋_GB2312"/>
          <w:sz w:val="32"/>
          <w:szCs w:val="32"/>
        </w:rPr>
        <w:t>。</w:t>
      </w:r>
    </w:p>
    <w:p w14:paraId="0D4CC915">
      <w:pPr>
        <w:numPr>
          <w:ilvl w:val="0"/>
          <w:numId w:val="3"/>
        </w:num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微生物</w:t>
      </w:r>
      <w:r>
        <w:rPr>
          <w:rFonts w:ascii="Times New Roman" w:hAnsi="Times New Roman" w:eastAsia="仿宋_GB2312"/>
          <w:sz w:val="32"/>
          <w:szCs w:val="32"/>
        </w:rPr>
        <w:t>限度</w:t>
      </w:r>
      <w:r>
        <w:rPr>
          <w:rFonts w:hint="eastAsia" w:ascii="Times New Roman" w:hAnsi="Times New Roman" w:eastAsia="仿宋_GB2312"/>
          <w:sz w:val="32"/>
          <w:szCs w:val="32"/>
        </w:rPr>
        <w:t>：需氧菌总数≤500CFU/g，霉菌与酵母菌总数≤100CFU/g，不得检出大肠埃希菌、金黄色葡萄球菌、铜绿假单胞菌。</w:t>
      </w:r>
    </w:p>
    <w:p w14:paraId="204B4D96">
      <w:pPr>
        <w:numPr>
          <w:ilvl w:val="0"/>
          <w:numId w:val="3"/>
        </w:num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牙本质片相对通透值或牙本质小管堵塞率（堵塞型脱敏剂适用）：由申请人自定最低限值，论述其确定依据。</w:t>
      </w:r>
    </w:p>
    <w:p w14:paraId="456D8FA6">
      <w:pPr>
        <w:numPr>
          <w:ilvl w:val="0"/>
          <w:numId w:val="3"/>
        </w:num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若产品的作用机理为涂布后成膜以快速封闭过敏区，建议考虑涂膜厚度、均匀性、涂层滞留时间。</w:t>
      </w:r>
    </w:p>
    <w:p w14:paraId="503FAEF4">
      <w:pPr>
        <w:overflowPunct w:val="0"/>
        <w:spacing w:line="520" w:lineRule="exact"/>
        <w:ind w:firstLine="640" w:firstLineChars="200"/>
        <w:rPr>
          <w:rFonts w:ascii="Times New Roman" w:hAnsi="Times New Roman" w:eastAsia="楷体"/>
          <w:bCs/>
          <w:sz w:val="32"/>
          <w:szCs w:val="32"/>
        </w:rPr>
      </w:pPr>
      <w:r>
        <w:rPr>
          <w:rFonts w:ascii="Times New Roman" w:hAnsi="Times New Roman" w:eastAsia="楷体_GB2312"/>
          <w:bCs/>
          <w:sz w:val="32"/>
          <w:szCs w:val="32"/>
        </w:rPr>
        <w:t>（十）同一注册单元内注册检验典型性产品的确定原则和实例</w:t>
      </w:r>
    </w:p>
    <w:p w14:paraId="0962393C">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1.同一注册单元内所检验的产品应当能够代表本注册单元内其他产品的安全性和有效性。</w:t>
      </w:r>
    </w:p>
    <w:p w14:paraId="450F87E8">
      <w:pPr>
        <w:overflowPunct w:val="0"/>
        <w:spacing w:line="520" w:lineRule="exact"/>
        <w:ind w:firstLine="640" w:firstLineChars="200"/>
      </w:pPr>
      <w:r>
        <w:rPr>
          <w:rFonts w:ascii="Times New Roman" w:hAnsi="Times New Roman" w:eastAsia="仿宋_GB2312"/>
          <w:sz w:val="32"/>
          <w:szCs w:val="32"/>
        </w:rPr>
        <w:t>2.注册检验代表产品，在产品组成成分相同的情况下，选取合适装量的产品作为典型产品进行检测。</w:t>
      </w:r>
    </w:p>
    <w:p w14:paraId="553B617D">
      <w:pPr>
        <w:spacing w:line="520" w:lineRule="exact"/>
        <w:ind w:firstLine="640" w:firstLineChars="200"/>
        <w:rPr>
          <w:rFonts w:ascii="Times New Roman" w:hAnsi="Times New Roman" w:eastAsia="楷体_GB2312"/>
          <w:bCs/>
          <w:sz w:val="32"/>
          <w:szCs w:val="32"/>
        </w:rPr>
      </w:pPr>
      <w:r>
        <w:rPr>
          <w:rFonts w:hint="eastAsia" w:ascii="Times New Roman" w:hAnsi="Times New Roman" w:eastAsia="楷体_GB2312"/>
          <w:bCs/>
          <w:sz w:val="32"/>
          <w:szCs w:val="32"/>
        </w:rPr>
        <w:t>（十一）产品生产制造相关要求</w:t>
      </w:r>
    </w:p>
    <w:p w14:paraId="5533425D">
      <w:pPr>
        <w:overflowPunct w:val="0"/>
        <w:spacing w:line="520" w:lineRule="exact"/>
        <w:ind w:firstLine="640"/>
      </w:pPr>
      <w:r>
        <w:rPr>
          <w:rFonts w:hint="eastAsia" w:ascii="Times New Roman" w:hAnsi="Times New Roman" w:eastAsia="仿宋_GB2312"/>
          <w:kern w:val="0"/>
          <w:sz w:val="32"/>
          <w:szCs w:val="32"/>
        </w:rPr>
        <w:t>1.生产工艺过程及过程控制点</w:t>
      </w:r>
    </w:p>
    <w:p w14:paraId="59065A94">
      <w:pPr>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注册申请人应当明确产品生产加工工艺，注明关键工序和特殊过程，并说明其工艺参数及过程控制点。明确生产过程中各种加工助剂的使用情况及对杂质（如残留单体、小分子残留物等）的控制情况（若适用）。</w:t>
      </w:r>
    </w:p>
    <w:p w14:paraId="3312948C">
      <w:pPr>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主要成分为氟化物的产品</w:t>
      </w:r>
      <w:r>
        <w:rPr>
          <w:rFonts w:hint="eastAsia" w:ascii="Times New Roman" w:hAnsi="Times New Roman" w:eastAsia="仿宋_GB2312"/>
          <w:kern w:val="0"/>
          <w:sz w:val="32"/>
          <w:szCs w:val="32"/>
        </w:rPr>
        <w:t>工艺一般包括：原辅料称量→配制（混合搅拌）→过程检验→灌装→包装→出厂检验→入库。申请人应明确产品关键工序和特殊过程，并对关键控制点进行说明，如关键工序配制（混合搅拌）应说明搅拌工艺控制点（如加料顺序和用量、搅拌转速及时间控制、是否抽真空、环境温湿度、人员操作要求、检验方法、验收标准等）。</w:t>
      </w:r>
    </w:p>
    <w:p w14:paraId="69FB69E8">
      <w:pPr>
        <w:spacing w:line="520" w:lineRule="exact"/>
        <w:ind w:firstLine="640"/>
        <w:rPr>
          <w:rFonts w:ascii="Times New Roman" w:hAnsi="Times New Roman" w:eastAsia="仿宋_GB2312"/>
          <w:sz w:val="32"/>
          <w:szCs w:val="32"/>
        </w:rPr>
      </w:pPr>
      <w:r>
        <w:rPr>
          <w:rFonts w:hint="eastAsia" w:ascii="Times New Roman" w:hAnsi="Times New Roman" w:eastAsia="仿宋_GB2312"/>
          <w:kern w:val="0"/>
          <w:sz w:val="32"/>
          <w:szCs w:val="32"/>
        </w:rPr>
        <w:t>主要成分为戊二醛的产品工艺一般包括：称料→水相制备→油相制备→水油混合→包装→出厂检验→入库。申请人应明确产品关键工序和特殊过程，并对关键控制点进行说明，如关键工序水油混合应说明搅拌工艺控制点（如搅拌转速控制、搅拌时间等）</w:t>
      </w:r>
    </w:p>
    <w:p w14:paraId="3F2DBAEA">
      <w:pPr>
        <w:spacing w:line="520" w:lineRule="exact"/>
        <w:ind w:firstLine="640"/>
        <w:rPr>
          <w:rFonts w:ascii="Times New Roman" w:hAnsi="Times New Roman" w:eastAsia="仿宋_GB2312"/>
          <w:sz w:val="32"/>
          <w:szCs w:val="32"/>
        </w:rPr>
      </w:pPr>
      <w:r>
        <w:rPr>
          <w:rFonts w:hint="eastAsia" w:ascii="Times New Roman" w:hAnsi="Times New Roman" w:eastAsia="仿宋_GB2312"/>
          <w:kern w:val="0"/>
          <w:sz w:val="32"/>
          <w:szCs w:val="32"/>
        </w:rPr>
        <w:t>注：本说明仅为资料性说明，注册申请人应结合申报产品准确表述实际生产工艺过程及过程控制点。</w:t>
      </w:r>
    </w:p>
    <w:p w14:paraId="536AF677">
      <w:pPr>
        <w:spacing w:line="520" w:lineRule="exact"/>
        <w:ind w:firstLine="640"/>
        <w:rPr>
          <w:rFonts w:ascii="Times New Roman" w:hAnsi="Times New Roman" w:eastAsia="仿宋_GB2312"/>
          <w:sz w:val="32"/>
          <w:szCs w:val="32"/>
        </w:rPr>
      </w:pPr>
      <w:r>
        <w:rPr>
          <w:rFonts w:hint="eastAsia" w:ascii="Times New Roman" w:hAnsi="Times New Roman" w:eastAsia="仿宋_GB2312"/>
          <w:kern w:val="0"/>
          <w:sz w:val="32"/>
          <w:szCs w:val="32"/>
        </w:rPr>
        <w:t>2.研制、生产场地情况概述</w:t>
      </w:r>
    </w:p>
    <w:p w14:paraId="498A840C">
      <w:pPr>
        <w:spacing w:line="520" w:lineRule="exact"/>
        <w:ind w:firstLine="640"/>
        <w:rPr>
          <w:rFonts w:ascii="Times New Roman" w:hAnsi="Times New Roman" w:eastAsia="仿宋_GB2312"/>
          <w:sz w:val="32"/>
          <w:szCs w:val="32"/>
        </w:rPr>
      </w:pPr>
      <w:r>
        <w:rPr>
          <w:rFonts w:hint="eastAsia" w:ascii="Times New Roman" w:hAnsi="Times New Roman" w:eastAsia="仿宋_GB2312"/>
          <w:kern w:val="0"/>
          <w:sz w:val="32"/>
          <w:szCs w:val="32"/>
        </w:rPr>
        <w:t>应结合场地平面图详细介绍研发、生产、检验、仓库场地情况。有多个研制、生产场地，应介绍每个研制、生产场地的实际情况。生产场地应与生产规模相适应。生产场地的区域划分应与生产工艺流程相符合。</w:t>
      </w:r>
    </w:p>
    <w:p w14:paraId="7F80846D">
      <w:pPr>
        <w:spacing w:line="520" w:lineRule="exact"/>
        <w:ind w:firstLine="640" w:firstLineChars="200"/>
        <w:rPr>
          <w:rFonts w:ascii="Times New Roman" w:hAnsi="Times New Roman" w:eastAsia="楷体_GB2312"/>
          <w:bCs/>
          <w:sz w:val="32"/>
          <w:szCs w:val="32"/>
        </w:rPr>
      </w:pPr>
      <w:r>
        <w:rPr>
          <w:rFonts w:hint="eastAsia" w:ascii="Times New Roman" w:hAnsi="Times New Roman" w:eastAsia="楷体_GB2312"/>
          <w:bCs/>
          <w:sz w:val="32"/>
          <w:szCs w:val="32"/>
        </w:rPr>
        <w:t>（十二）产品的临床评价要求</w:t>
      </w:r>
    </w:p>
    <w:p w14:paraId="581CC05E">
      <w:pPr>
        <w:spacing w:line="520" w:lineRule="exact"/>
        <w:ind w:firstLine="640"/>
        <w:rPr>
          <w:rFonts w:ascii="Times New Roman" w:hAnsi="Times New Roman" w:eastAsia="仿宋_GB2312"/>
          <w:sz w:val="32"/>
          <w:szCs w:val="32"/>
        </w:rPr>
      </w:pPr>
      <w:r>
        <w:rPr>
          <w:rFonts w:hint="eastAsia" w:ascii="Times New Roman" w:hAnsi="Times New Roman" w:eastAsia="仿宋_GB2312"/>
          <w:kern w:val="0"/>
          <w:sz w:val="32"/>
          <w:szCs w:val="32"/>
        </w:rPr>
        <w:t>申请人应按《医疗器械注册管理办法》（国家食品药品监督管理总局令第4号）、《医疗器械临床评价技术指导原则》（国家食品药品监督管理总局通告2015年第14号）选择合理的临床评价方式，提交临床评价资料。</w:t>
      </w:r>
    </w:p>
    <w:p w14:paraId="679A1340">
      <w:pPr>
        <w:spacing w:line="520" w:lineRule="exact"/>
        <w:ind w:firstLine="640"/>
        <w:rPr>
          <w:rFonts w:ascii="Times New Roman" w:hAnsi="Times New Roman" w:eastAsia="仿宋_GB2312"/>
          <w:kern w:val="0"/>
          <w:sz w:val="32"/>
          <w:szCs w:val="32"/>
        </w:rPr>
      </w:pPr>
      <w:r>
        <w:rPr>
          <w:rFonts w:hint="eastAsia" w:ascii="Times New Roman" w:hAnsi="Times New Roman" w:eastAsia="仿宋_GB2312"/>
          <w:kern w:val="0"/>
          <w:sz w:val="32"/>
          <w:szCs w:val="32"/>
        </w:rPr>
        <w:t>1.列入《免于进行临床试验的医疗器械目录》产品的临床评价要求</w:t>
      </w:r>
    </w:p>
    <w:p w14:paraId="0A99D5C0">
      <w:pPr>
        <w:spacing w:line="520" w:lineRule="exact"/>
        <w:ind w:firstLine="640"/>
        <w:rPr>
          <w:rFonts w:ascii="Times New Roman" w:hAnsi="Times New Roman" w:eastAsia="仿宋_GB2312"/>
          <w:kern w:val="0"/>
          <w:sz w:val="32"/>
          <w:szCs w:val="32"/>
        </w:rPr>
      </w:pPr>
      <w:r>
        <w:rPr>
          <w:rFonts w:hint="eastAsia" w:ascii="Times New Roman" w:hAnsi="Times New Roman" w:eastAsia="仿宋_GB2312"/>
          <w:kern w:val="0"/>
          <w:sz w:val="32"/>
          <w:szCs w:val="32"/>
        </w:rPr>
        <w:t>依据《关于公布新修订免于进行临床试验医疗器械目录的通告》（国家药品监督管理局通告2018年第94号），属于附件1中727号“脱敏剂：产品通常为单组份或双组份液剂、糊剂、凝胶状。主要成分为氟化物等。用于缓解因牙本质暴露而引起的牙齿过敏症状。基本原理、性能和主要组成成分须与已经上市产品相同。豁免情况不包括使用了新材料、活性成分、新技术、新设计或具有新作用机理、新功能的产品。”注册申请时需提交临床评价资料要求：</w:t>
      </w:r>
    </w:p>
    <w:p w14:paraId="1F290185">
      <w:pPr>
        <w:spacing w:line="520" w:lineRule="exact"/>
        <w:ind w:firstLine="640"/>
      </w:pPr>
      <w:r>
        <w:rPr>
          <w:rFonts w:hint="eastAsia" w:ascii="Times New Roman" w:hAnsi="Times New Roman" w:eastAsia="仿宋_GB2312"/>
          <w:kern w:val="0"/>
          <w:sz w:val="32"/>
          <w:szCs w:val="32"/>
        </w:rPr>
        <w:t>（1）申报产品相关信息与《目录》所述内容的对比评价资料；</w:t>
      </w:r>
    </w:p>
    <w:p w14:paraId="08583134">
      <w:pPr>
        <w:spacing w:line="520" w:lineRule="exact"/>
        <w:ind w:firstLine="640"/>
      </w:pPr>
      <w:r>
        <w:rPr>
          <w:rFonts w:hint="eastAsia" w:ascii="Times New Roman" w:hAnsi="Times New Roman" w:eastAsia="仿宋_GB2312"/>
          <w:kern w:val="0"/>
          <w:sz w:val="32"/>
          <w:szCs w:val="32"/>
        </w:rPr>
        <w:t>（2）申报产品与《目录》中已获准境内注册医疗器械的对比评价资料，包括《申报产品与目录中已获准境内注册医疗器械对比表》及差异部分不会对产品安全有效性产生不利影响等相应支持性资料。</w:t>
      </w:r>
    </w:p>
    <w:p w14:paraId="6F101E3A">
      <w:pPr>
        <w:spacing w:line="520" w:lineRule="exact"/>
        <w:ind w:firstLine="640"/>
      </w:pPr>
      <w:r>
        <w:rPr>
          <w:rFonts w:hint="eastAsia" w:ascii="Times New Roman" w:hAnsi="Times New Roman" w:eastAsia="仿宋_GB2312"/>
          <w:kern w:val="0"/>
          <w:sz w:val="32"/>
          <w:szCs w:val="32"/>
        </w:rPr>
        <w:t>提交的上述资料应能证明申报产品与《目录》所述的产品具有等同性。若无法证明，则应按照《医疗器械临床评价技术指导原则》其他要求开展临床评价。</w:t>
      </w:r>
    </w:p>
    <w:p w14:paraId="61543257">
      <w:pPr>
        <w:spacing w:line="520" w:lineRule="exact"/>
        <w:ind w:firstLine="640"/>
      </w:pPr>
      <w:r>
        <w:rPr>
          <w:rFonts w:hint="eastAsia" w:ascii="Times New Roman" w:hAnsi="Times New Roman" w:eastAsia="仿宋_GB2312"/>
          <w:kern w:val="0"/>
          <w:sz w:val="32"/>
          <w:szCs w:val="32"/>
        </w:rPr>
        <w:t>2.通过同品种医疗器械临床试验或临床使用获得的数据进行分析评价要求</w:t>
      </w:r>
    </w:p>
    <w:p w14:paraId="14EE5B0D">
      <w:pPr>
        <w:spacing w:line="520" w:lineRule="exact"/>
        <w:ind w:firstLine="640"/>
      </w:pPr>
      <w:r>
        <w:rPr>
          <w:rFonts w:hint="eastAsia" w:ascii="Times New Roman" w:hAnsi="Times New Roman" w:eastAsia="仿宋_GB2312"/>
          <w:kern w:val="0"/>
          <w:sz w:val="32"/>
          <w:szCs w:val="32"/>
        </w:rPr>
        <w:t>按照《医疗器械临床评价技术指导原则》相关要求开展临床评价。</w:t>
      </w:r>
    </w:p>
    <w:p w14:paraId="0B60E2D1">
      <w:pPr>
        <w:spacing w:line="520" w:lineRule="exact"/>
        <w:ind w:firstLine="640"/>
      </w:pPr>
      <w:r>
        <w:rPr>
          <w:rFonts w:hint="eastAsia" w:ascii="Times New Roman" w:hAnsi="Times New Roman" w:eastAsia="仿宋_GB2312"/>
          <w:kern w:val="0"/>
          <w:sz w:val="32"/>
          <w:szCs w:val="32"/>
        </w:rPr>
        <w:t>3.临床试验基本要求</w:t>
      </w:r>
    </w:p>
    <w:p w14:paraId="43165DE1">
      <w:pPr>
        <w:spacing w:line="520" w:lineRule="exact"/>
        <w:ind w:firstLine="640"/>
      </w:pPr>
      <w:r>
        <w:rPr>
          <w:rFonts w:hint="eastAsia" w:ascii="Times New Roman" w:hAnsi="Times New Roman" w:eastAsia="仿宋_GB2312"/>
          <w:kern w:val="0"/>
          <w:sz w:val="32"/>
          <w:szCs w:val="32"/>
        </w:rPr>
        <w:t>在中国境内开展临床试验的应符合《医疗器械临床试验质量管理规范》（国家食品药品监督管理总局 中华人民共和国国家卫生和计生委员会令第25号）的要求。应对产品是否满足使用要求或者适用范围进行确认。提交的临床评价资料应当包括临床试验协议、临床试验方案和临床试验报告等。</w:t>
      </w:r>
    </w:p>
    <w:p w14:paraId="6BE33574">
      <w:pPr>
        <w:spacing w:line="520" w:lineRule="exact"/>
        <w:ind w:firstLine="640" w:firstLineChars="200"/>
        <w:rPr>
          <w:rFonts w:ascii="Times New Roman" w:hAnsi="Times New Roman" w:eastAsia="楷体_GB2312"/>
          <w:bCs/>
          <w:sz w:val="32"/>
          <w:szCs w:val="32"/>
        </w:rPr>
      </w:pPr>
      <w:r>
        <w:rPr>
          <w:rFonts w:hint="eastAsia" w:ascii="Times New Roman" w:hAnsi="Times New Roman" w:eastAsia="楷体_GB2312"/>
          <w:bCs/>
          <w:sz w:val="32"/>
          <w:szCs w:val="32"/>
        </w:rPr>
        <w:t>（十三）产品不良事件历史记录</w:t>
      </w:r>
    </w:p>
    <w:p w14:paraId="46DBF722">
      <w:pPr>
        <w:spacing w:line="520" w:lineRule="exact"/>
        <w:ind w:firstLine="640"/>
      </w:pPr>
      <w:r>
        <w:rPr>
          <w:rFonts w:hint="eastAsia" w:ascii="Times New Roman" w:hAnsi="Times New Roman" w:eastAsia="仿宋_GB2312"/>
          <w:kern w:val="0"/>
          <w:sz w:val="32"/>
          <w:szCs w:val="32"/>
        </w:rPr>
        <w:t>申请人在风险分析时应关注同品种医疗器械产品的不良事件历史记录，收集包括注册申请人建立的投诉和不良事件资料库，以及各国监管机构发布的不良事件资料库中相应不良事件数据，并对不良事件进行分析，如国家药品监督管理局发布的《医疗器械不良事件信息通报》、《医疗器械警戒快讯》，美国食品药品管理局申请人与用户机构设备使用数据库（MAUDE），英国医疗器械警报（MDA）等。</w:t>
      </w:r>
    </w:p>
    <w:p w14:paraId="355DB65A">
      <w:pPr>
        <w:spacing w:line="520" w:lineRule="exact"/>
        <w:ind w:firstLine="640" w:firstLineChars="200"/>
        <w:rPr>
          <w:rFonts w:ascii="Times New Roman" w:hAnsi="Times New Roman" w:eastAsia="楷体_GB2312"/>
          <w:bCs/>
          <w:sz w:val="32"/>
          <w:szCs w:val="32"/>
        </w:rPr>
      </w:pPr>
      <w:r>
        <w:rPr>
          <w:rFonts w:ascii="Times New Roman" w:hAnsi="Times New Roman" w:eastAsia="楷体_GB2312"/>
          <w:bCs/>
          <w:sz w:val="32"/>
          <w:szCs w:val="32"/>
        </w:rPr>
        <w:t>（十四）产品说明书和标签要求</w:t>
      </w:r>
    </w:p>
    <w:p w14:paraId="1CE38A14">
      <w:pPr>
        <w:pStyle w:val="18"/>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产品说明书和标签要求的编写应符合《医疗器械说明书和标签管理规定》（原国家食品药品监督管理总局令第6号）和相关标准的要求，同时还应注意以下几点（不限于此）：</w:t>
      </w:r>
    </w:p>
    <w:p w14:paraId="59EF4D33">
      <w:pPr>
        <w:overflowPunct w:val="0"/>
        <w:spacing w:line="520" w:lineRule="exact"/>
        <w:ind w:firstLine="672" w:firstLineChars="21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.使用</w:t>
      </w:r>
      <w:r>
        <w:rPr>
          <w:rFonts w:hint="eastAsia" w:ascii="Times New Roman" w:hAnsi="Times New Roman" w:eastAsia="仿宋_GB2312"/>
          <w:sz w:val="32"/>
          <w:szCs w:val="32"/>
        </w:rPr>
        <w:t>方法</w:t>
      </w:r>
      <w:r>
        <w:rPr>
          <w:rFonts w:ascii="Times New Roman" w:hAnsi="Times New Roman" w:eastAsia="仿宋_GB2312"/>
          <w:sz w:val="32"/>
          <w:szCs w:val="32"/>
        </w:rPr>
        <w:t>：产品应</w:t>
      </w:r>
      <w:r>
        <w:rPr>
          <w:rFonts w:hint="eastAsia" w:ascii="Times New Roman" w:hAnsi="Times New Roman" w:eastAsia="仿宋_GB2312"/>
          <w:sz w:val="32"/>
          <w:szCs w:val="32"/>
        </w:rPr>
        <w:t>在专业医师指导下使用；</w:t>
      </w:r>
      <w:r>
        <w:rPr>
          <w:rFonts w:ascii="Times New Roman" w:hAnsi="Times New Roman" w:eastAsia="仿宋_GB2312"/>
          <w:sz w:val="32"/>
          <w:szCs w:val="32"/>
        </w:rPr>
        <w:t>说明产品的作用时间</w:t>
      </w:r>
      <w:r>
        <w:rPr>
          <w:rFonts w:hint="eastAsia" w:ascii="Times New Roman" w:hAnsi="Times New Roman" w:eastAsia="仿宋_GB2312"/>
          <w:sz w:val="32"/>
          <w:szCs w:val="32"/>
        </w:rPr>
        <w:t>、</w:t>
      </w:r>
      <w:r>
        <w:rPr>
          <w:rFonts w:ascii="Times New Roman" w:hAnsi="Times New Roman" w:eastAsia="仿宋_GB2312"/>
          <w:sz w:val="32"/>
          <w:szCs w:val="32"/>
        </w:rPr>
        <w:t>作用部位</w:t>
      </w:r>
      <w:r>
        <w:rPr>
          <w:rFonts w:hint="eastAsia" w:ascii="Times New Roman" w:hAnsi="Times New Roman" w:eastAsia="仿宋_GB2312"/>
          <w:sz w:val="32"/>
          <w:szCs w:val="32"/>
        </w:rPr>
        <w:t>，</w:t>
      </w:r>
      <w:r>
        <w:rPr>
          <w:rFonts w:ascii="Times New Roman" w:hAnsi="Times New Roman" w:eastAsia="仿宋_GB2312"/>
          <w:sz w:val="32"/>
          <w:szCs w:val="32"/>
        </w:rPr>
        <w:t>明确</w:t>
      </w:r>
      <w:r>
        <w:rPr>
          <w:rFonts w:hint="eastAsia" w:ascii="Times New Roman" w:hAnsi="Times New Roman" w:eastAsia="仿宋_GB2312"/>
          <w:sz w:val="32"/>
          <w:szCs w:val="32"/>
        </w:rPr>
        <w:t>具体使用周期及疗程间隔时间，</w:t>
      </w:r>
      <w:r>
        <w:rPr>
          <w:rFonts w:ascii="Times New Roman" w:hAnsi="Times New Roman" w:eastAsia="仿宋_GB2312"/>
          <w:sz w:val="32"/>
          <w:szCs w:val="32"/>
        </w:rPr>
        <w:t>以及使用后如何进行清洗</w:t>
      </w:r>
      <w:r>
        <w:rPr>
          <w:rFonts w:hint="eastAsia" w:ascii="Times New Roman" w:hAnsi="Times New Roman" w:eastAsia="仿宋_GB2312"/>
          <w:sz w:val="32"/>
          <w:szCs w:val="32"/>
        </w:rPr>
        <w:t>；若产品长期多次使用，应提示谨遵医嘱。</w:t>
      </w:r>
    </w:p>
    <w:p w14:paraId="49E72626">
      <w:pPr>
        <w:overflowPunct w:val="0"/>
        <w:spacing w:line="520" w:lineRule="exact"/>
        <w:ind w:firstLine="672" w:firstLineChars="21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.禁忌症至少包括以下内容：已知对</w:t>
      </w:r>
      <w:r>
        <w:rPr>
          <w:rFonts w:hint="eastAsia" w:ascii="Times New Roman" w:hAnsi="Times New Roman" w:eastAsia="仿宋_GB2312"/>
          <w:sz w:val="32"/>
          <w:szCs w:val="32"/>
        </w:rPr>
        <w:t>脱敏</w:t>
      </w:r>
      <w:r>
        <w:rPr>
          <w:rFonts w:ascii="Times New Roman" w:hAnsi="Times New Roman" w:eastAsia="仿宋_GB2312"/>
          <w:sz w:val="32"/>
          <w:szCs w:val="32"/>
        </w:rPr>
        <w:t>剂成分过敏者禁用。</w:t>
      </w:r>
    </w:p>
    <w:p w14:paraId="4E045C66">
      <w:pPr>
        <w:overflowPunct w:val="0"/>
        <w:spacing w:line="520" w:lineRule="exact"/>
        <w:ind w:firstLine="672" w:firstLineChars="21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注意事项</w:t>
      </w:r>
      <w:r>
        <w:rPr>
          <w:rFonts w:ascii="Times New Roman" w:hAnsi="Times New Roman" w:eastAsia="仿宋_GB2312"/>
          <w:sz w:val="32"/>
          <w:szCs w:val="32"/>
        </w:rPr>
        <w:t>一般应有以下内容：患者有牙龈溃疡或口腔炎慎用</w:t>
      </w:r>
      <w:r>
        <w:rPr>
          <w:rFonts w:hint="eastAsia" w:ascii="Times New Roman" w:hAnsi="Times New Roman" w:eastAsia="仿宋_GB2312"/>
          <w:sz w:val="32"/>
          <w:szCs w:val="32"/>
        </w:rPr>
        <w:t>；</w:t>
      </w:r>
      <w:r>
        <w:rPr>
          <w:rFonts w:ascii="Times New Roman" w:hAnsi="Times New Roman" w:eastAsia="仿宋_GB2312"/>
          <w:sz w:val="32"/>
          <w:szCs w:val="32"/>
        </w:rPr>
        <w:t>避免接触皮肤、眼睛；请勿吞食</w:t>
      </w:r>
      <w:r>
        <w:rPr>
          <w:rFonts w:hint="eastAsia" w:ascii="Times New Roman" w:hAnsi="Times New Roman" w:eastAsia="仿宋_GB2312"/>
          <w:sz w:val="32"/>
          <w:szCs w:val="32"/>
        </w:rPr>
        <w:t>，</w:t>
      </w:r>
      <w:r>
        <w:rPr>
          <w:rFonts w:ascii="Times New Roman" w:hAnsi="Times New Roman" w:eastAsia="仿宋_GB2312"/>
          <w:sz w:val="32"/>
          <w:szCs w:val="32"/>
        </w:rPr>
        <w:t>如被吞咽，请用大量清水漱口，并喝大量清水，就医治疗</w:t>
      </w:r>
      <w:r>
        <w:rPr>
          <w:rFonts w:hint="eastAsia" w:ascii="Times New Roman" w:hAnsi="Times New Roman" w:eastAsia="仿宋_GB2312"/>
          <w:sz w:val="32"/>
          <w:szCs w:val="32"/>
        </w:rPr>
        <w:t>。</w:t>
      </w:r>
    </w:p>
    <w:p w14:paraId="7B0C8940">
      <w:pPr>
        <w:spacing w:line="520" w:lineRule="exact"/>
        <w:ind w:firstLine="640" w:firstLineChars="200"/>
        <w:jc w:val="left"/>
        <w:outlineLvl w:val="0"/>
        <w:rPr>
          <w:rFonts w:ascii="Times New Roman" w:hAnsi="Times New Roman" w:eastAsia="黑体"/>
          <w:bCs/>
          <w:kern w:val="28"/>
          <w:sz w:val="32"/>
          <w:szCs w:val="32"/>
        </w:rPr>
      </w:pPr>
      <w:r>
        <w:rPr>
          <w:rFonts w:ascii="Times New Roman" w:hAnsi="Times New Roman" w:eastAsia="黑体"/>
          <w:bCs/>
          <w:kern w:val="28"/>
          <w:sz w:val="32"/>
          <w:szCs w:val="32"/>
        </w:rPr>
        <w:t>三、审查关注点</w:t>
      </w:r>
    </w:p>
    <w:p w14:paraId="2223778A">
      <w:pPr>
        <w:spacing w:line="520" w:lineRule="exact"/>
        <w:ind w:firstLine="640" w:firstLineChars="200"/>
        <w:jc w:val="left"/>
        <w:outlineLvl w:val="1"/>
        <w:rPr>
          <w:rFonts w:ascii="Times New Roman" w:hAnsi="Times New Roman" w:eastAsia="楷体_GB2312"/>
          <w:sz w:val="32"/>
        </w:rPr>
      </w:pPr>
      <w:r>
        <w:rPr>
          <w:rFonts w:ascii="Times New Roman" w:hAnsi="Times New Roman" w:eastAsia="楷体_GB2312"/>
          <w:sz w:val="32"/>
        </w:rPr>
        <w:t>（一）结构组成</w:t>
      </w:r>
    </w:p>
    <w:p w14:paraId="2FE0F994">
      <w:pPr>
        <w:spacing w:line="520" w:lineRule="exact"/>
        <w:ind w:firstLine="640" w:firstLineChars="200"/>
        <w:rPr>
          <w:rFonts w:ascii="Times New Roman" w:hAnsi="Times New Roman" w:eastAsia="仿宋_GB2312"/>
          <w:sz w:val="32"/>
        </w:rPr>
      </w:pPr>
      <w:r>
        <w:rPr>
          <w:rFonts w:ascii="Times New Roman" w:hAnsi="Times New Roman" w:eastAsia="仿宋_GB2312"/>
          <w:sz w:val="32"/>
        </w:rPr>
        <w:t>能够发挥脱敏作用的成分存在多种</w:t>
      </w:r>
      <w:r>
        <w:rPr>
          <w:rFonts w:hint="eastAsia" w:ascii="Times New Roman" w:hAnsi="Times New Roman" w:eastAsia="仿宋_GB2312"/>
          <w:sz w:val="32"/>
        </w:rPr>
        <w:t>，产品</w:t>
      </w:r>
      <w:r>
        <w:rPr>
          <w:rFonts w:ascii="Times New Roman" w:hAnsi="Times New Roman" w:eastAsia="仿宋_GB2312"/>
          <w:sz w:val="32"/>
        </w:rPr>
        <w:t>的主要组成成分</w:t>
      </w:r>
      <w:r>
        <w:rPr>
          <w:rFonts w:hint="eastAsia" w:ascii="Times New Roman" w:hAnsi="Times New Roman" w:eastAsia="仿宋_GB2312"/>
          <w:sz w:val="32"/>
        </w:rPr>
        <w:t>应</w:t>
      </w:r>
      <w:r>
        <w:rPr>
          <w:rFonts w:ascii="Times New Roman" w:hAnsi="Times New Roman" w:eastAsia="仿宋_GB2312"/>
          <w:sz w:val="32"/>
        </w:rPr>
        <w:t>列举完全</w:t>
      </w:r>
      <w:r>
        <w:rPr>
          <w:rFonts w:hint="eastAsia" w:ascii="Times New Roman" w:hAnsi="Times New Roman" w:eastAsia="仿宋_GB2312"/>
          <w:sz w:val="32"/>
        </w:rPr>
        <w:t>，应</w:t>
      </w:r>
      <w:r>
        <w:rPr>
          <w:rFonts w:ascii="Times New Roman" w:hAnsi="Times New Roman" w:eastAsia="仿宋_GB2312"/>
          <w:sz w:val="32"/>
        </w:rPr>
        <w:t>说明各</w:t>
      </w:r>
      <w:r>
        <w:rPr>
          <w:rFonts w:hint="eastAsia" w:ascii="Times New Roman" w:hAnsi="Times New Roman" w:eastAsia="仿宋_GB2312"/>
          <w:sz w:val="32"/>
        </w:rPr>
        <w:t>组</w:t>
      </w:r>
      <w:r>
        <w:rPr>
          <w:rFonts w:ascii="Times New Roman" w:hAnsi="Times New Roman" w:eastAsia="仿宋_GB2312"/>
          <w:sz w:val="32"/>
        </w:rPr>
        <w:t>分的名称</w:t>
      </w:r>
      <w:r>
        <w:rPr>
          <w:rFonts w:hint="eastAsia" w:ascii="Times New Roman" w:hAnsi="Times New Roman" w:eastAsia="仿宋_GB2312"/>
          <w:sz w:val="32"/>
        </w:rPr>
        <w:t>、</w:t>
      </w:r>
      <w:r>
        <w:rPr>
          <w:rFonts w:ascii="Times New Roman" w:hAnsi="Times New Roman" w:eastAsia="仿宋_GB2312"/>
          <w:sz w:val="32"/>
        </w:rPr>
        <w:t>含量</w:t>
      </w:r>
      <w:r>
        <w:rPr>
          <w:rFonts w:hint="eastAsia" w:ascii="Times New Roman" w:hAnsi="Times New Roman" w:eastAsia="仿宋_GB2312"/>
          <w:sz w:val="32"/>
        </w:rPr>
        <w:t>、</w:t>
      </w:r>
      <w:r>
        <w:rPr>
          <w:rFonts w:ascii="Times New Roman" w:hAnsi="Times New Roman" w:eastAsia="仿宋_GB2312"/>
          <w:sz w:val="32"/>
        </w:rPr>
        <w:t>作用及</w:t>
      </w:r>
      <w:r>
        <w:rPr>
          <w:rFonts w:hint="eastAsia" w:ascii="Times New Roman" w:hAnsi="Times New Roman" w:eastAsia="仿宋_GB2312"/>
          <w:sz w:val="32"/>
        </w:rPr>
        <w:t>质控要求。</w:t>
      </w:r>
    </w:p>
    <w:p w14:paraId="346A829C">
      <w:pPr>
        <w:spacing w:line="520" w:lineRule="exact"/>
        <w:ind w:firstLine="640" w:firstLineChars="200"/>
        <w:rPr>
          <w:rFonts w:ascii="Times New Roman" w:hAnsi="Times New Roman" w:eastAsia="楷体_GB2312"/>
          <w:sz w:val="32"/>
        </w:rPr>
      </w:pPr>
      <w:r>
        <w:rPr>
          <w:rFonts w:hint="eastAsia" w:ascii="Times New Roman" w:hAnsi="Times New Roman" w:eastAsia="楷体_GB2312"/>
          <w:sz w:val="32"/>
        </w:rPr>
        <w:t>（二）作用机理</w:t>
      </w:r>
    </w:p>
    <w:p w14:paraId="54FC1332">
      <w:pPr>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根据现有文献研究及基本共识，结合产品的组成成分，</w:t>
      </w:r>
      <w:r>
        <w:rPr>
          <w:rFonts w:ascii="Times New Roman" w:hAnsi="Times New Roman" w:eastAsia="仿宋_GB2312"/>
          <w:sz w:val="32"/>
        </w:rPr>
        <w:t>论述</w:t>
      </w:r>
      <w:r>
        <w:rPr>
          <w:rFonts w:hint="eastAsia" w:ascii="Times New Roman" w:hAnsi="Times New Roman" w:eastAsia="仿宋_GB2312"/>
          <w:sz w:val="32"/>
        </w:rPr>
        <w:t>产品</w:t>
      </w:r>
      <w:r>
        <w:rPr>
          <w:rFonts w:ascii="Times New Roman" w:hAnsi="Times New Roman" w:eastAsia="仿宋_GB2312"/>
          <w:sz w:val="32"/>
        </w:rPr>
        <w:t>的作用机理</w:t>
      </w:r>
      <w:r>
        <w:rPr>
          <w:rFonts w:hint="eastAsia" w:ascii="Times New Roman" w:hAnsi="Times New Roman" w:eastAsia="仿宋_GB2312"/>
          <w:sz w:val="32"/>
        </w:rPr>
        <w:t>，说明是单一发挥作用还是协同发挥作用。</w:t>
      </w:r>
    </w:p>
    <w:p w14:paraId="75B16058">
      <w:pPr>
        <w:spacing w:line="520" w:lineRule="exact"/>
        <w:ind w:firstLine="640" w:firstLineChars="200"/>
        <w:jc w:val="left"/>
        <w:outlineLvl w:val="1"/>
        <w:rPr>
          <w:rFonts w:ascii="Times New Roman" w:hAnsi="Times New Roman" w:eastAsia="楷体_GB2312"/>
          <w:sz w:val="32"/>
        </w:rPr>
      </w:pPr>
      <w:r>
        <w:rPr>
          <w:rFonts w:ascii="Times New Roman" w:hAnsi="Times New Roman" w:eastAsia="楷体_GB2312"/>
          <w:sz w:val="32"/>
        </w:rPr>
        <w:t>（三）生物相容性</w:t>
      </w:r>
    </w:p>
    <w:p w14:paraId="3A41D4AB">
      <w:pPr>
        <w:spacing w:line="520" w:lineRule="exact"/>
        <w:ind w:firstLine="640" w:firstLineChars="200"/>
        <w:outlineLvl w:val="1"/>
        <w:rPr>
          <w:rFonts w:ascii="Times New Roman" w:hAnsi="Times New Roman" w:eastAsia="仿宋_GB2312"/>
          <w:sz w:val="32"/>
        </w:rPr>
      </w:pPr>
      <w:r>
        <w:rPr>
          <w:rFonts w:hint="eastAsia" w:ascii="Times New Roman" w:hAnsi="Times New Roman" w:eastAsia="仿宋_GB2312"/>
          <w:sz w:val="32"/>
        </w:rPr>
        <w:t>含氟化钠的脱敏剂具有一定的体外细胞毒性，含</w:t>
      </w:r>
      <w:r>
        <w:rPr>
          <w:rFonts w:ascii="Times New Roman" w:hAnsi="Times New Roman" w:eastAsia="仿宋_GB2312"/>
          <w:sz w:val="32"/>
        </w:rPr>
        <w:t>戊二醛的脱敏剂</w:t>
      </w:r>
      <w:r>
        <w:rPr>
          <w:rFonts w:hint="eastAsia" w:ascii="Times New Roman" w:hAnsi="Times New Roman" w:eastAsia="仿宋_GB2312"/>
          <w:sz w:val="32"/>
        </w:rPr>
        <w:t>难以直接</w:t>
      </w:r>
      <w:r>
        <w:rPr>
          <w:rFonts w:ascii="Times New Roman" w:hAnsi="Times New Roman" w:eastAsia="仿宋_GB2312"/>
          <w:sz w:val="32"/>
        </w:rPr>
        <w:t>通过成品的生物学试验来评价其生物相容性。应</w:t>
      </w:r>
      <w:r>
        <w:rPr>
          <w:rFonts w:hint="eastAsia" w:ascii="Times New Roman" w:hAnsi="Times New Roman" w:eastAsia="仿宋_GB2312"/>
          <w:sz w:val="32"/>
        </w:rPr>
        <w:t>结合试验结果、临床使用、同类产品性能综合论述生物相容性，是否满足临床应用要求。</w:t>
      </w:r>
    </w:p>
    <w:p w14:paraId="5D8AB550">
      <w:pPr>
        <w:spacing w:line="520" w:lineRule="exact"/>
        <w:ind w:firstLine="640" w:firstLineChars="200"/>
        <w:jc w:val="left"/>
        <w:outlineLvl w:val="1"/>
        <w:rPr>
          <w:rFonts w:ascii="Times New Roman" w:hAnsi="Times New Roman" w:eastAsia="楷体_GB2312"/>
          <w:sz w:val="32"/>
        </w:rPr>
      </w:pPr>
      <w:r>
        <w:rPr>
          <w:rFonts w:ascii="Times New Roman" w:hAnsi="Times New Roman" w:eastAsia="楷体_GB2312"/>
          <w:sz w:val="32"/>
        </w:rPr>
        <w:t>（</w:t>
      </w:r>
      <w:r>
        <w:rPr>
          <w:rFonts w:hint="eastAsia" w:ascii="Times New Roman" w:hAnsi="Times New Roman" w:eastAsia="楷体_GB2312"/>
          <w:sz w:val="32"/>
        </w:rPr>
        <w:t>四</w:t>
      </w:r>
      <w:r>
        <w:rPr>
          <w:rFonts w:ascii="Times New Roman" w:hAnsi="Times New Roman" w:eastAsia="楷体_GB2312"/>
          <w:sz w:val="32"/>
        </w:rPr>
        <w:t>）性能研究</w:t>
      </w:r>
    </w:p>
    <w:p w14:paraId="6B460E45">
      <w:pPr>
        <w:spacing w:line="520" w:lineRule="exact"/>
        <w:ind w:firstLine="640" w:firstLineChars="200"/>
        <w:rPr>
          <w:rFonts w:ascii="Times New Roman" w:hAnsi="Times New Roman" w:eastAsia="仿宋_GB2312"/>
          <w:sz w:val="32"/>
        </w:rPr>
      </w:pPr>
      <w:r>
        <w:rPr>
          <w:rFonts w:ascii="Times New Roman" w:hAnsi="Times New Roman" w:eastAsia="仿宋_GB2312"/>
          <w:sz w:val="32"/>
          <w:szCs w:val="32"/>
        </w:rPr>
        <w:t>应重点审查</w:t>
      </w:r>
      <w:r>
        <w:rPr>
          <w:rFonts w:ascii="Times New Roman" w:hAnsi="Times New Roman" w:eastAsia="仿宋_GB2312"/>
          <w:sz w:val="32"/>
        </w:rPr>
        <w:t>产品的性能要求是否执行了相关国家和行业标准，</w:t>
      </w:r>
      <w:r>
        <w:rPr>
          <w:rFonts w:ascii="Times New Roman" w:hAnsi="Times New Roman" w:eastAsia="仿宋_GB2312"/>
          <w:sz w:val="32"/>
          <w:szCs w:val="32"/>
        </w:rPr>
        <w:t>是否规定了合理的要求</w:t>
      </w:r>
      <w:r>
        <w:rPr>
          <w:rFonts w:hint="eastAsia" w:ascii="Times New Roman" w:hAnsi="Times New Roman" w:eastAsia="仿宋_GB2312"/>
          <w:sz w:val="32"/>
          <w:szCs w:val="32"/>
        </w:rPr>
        <w:t>；堵塞型脱敏剂建议增加对牙本质片相对通透值或牙本质小管堵塞率的要求</w:t>
      </w:r>
      <w:r>
        <w:rPr>
          <w:rFonts w:ascii="Times New Roman" w:hAnsi="Times New Roman" w:eastAsia="仿宋_GB2312"/>
          <w:sz w:val="32"/>
        </w:rPr>
        <w:t>。</w:t>
      </w:r>
    </w:p>
    <w:p w14:paraId="3DE39424">
      <w:pPr>
        <w:spacing w:line="520" w:lineRule="exact"/>
        <w:ind w:firstLine="640" w:firstLineChars="200"/>
        <w:jc w:val="left"/>
        <w:outlineLvl w:val="1"/>
        <w:rPr>
          <w:rFonts w:ascii="Times New Roman" w:hAnsi="Times New Roman" w:eastAsia="楷体_GB2312"/>
          <w:sz w:val="32"/>
        </w:rPr>
      </w:pPr>
      <w:r>
        <w:rPr>
          <w:rFonts w:ascii="Times New Roman" w:hAnsi="Times New Roman" w:eastAsia="楷体_GB2312"/>
          <w:sz w:val="32"/>
        </w:rPr>
        <w:t>（</w:t>
      </w:r>
      <w:r>
        <w:rPr>
          <w:rFonts w:hint="eastAsia" w:ascii="Times New Roman" w:hAnsi="Times New Roman" w:eastAsia="楷体_GB2312"/>
          <w:sz w:val="32"/>
        </w:rPr>
        <w:t>五</w:t>
      </w:r>
      <w:r>
        <w:rPr>
          <w:rFonts w:ascii="Times New Roman" w:hAnsi="Times New Roman" w:eastAsia="楷体_GB2312"/>
          <w:sz w:val="32"/>
        </w:rPr>
        <w:t>）说明书</w:t>
      </w:r>
    </w:p>
    <w:p w14:paraId="4B8CB853">
      <w:pPr>
        <w:ind w:firstLine="640"/>
        <w:rPr>
          <w:rFonts w:ascii="Times New Roman" w:hAnsi="Times New Roman" w:eastAsia="仿宋_GB2312"/>
          <w:kern w:val="0"/>
          <w:sz w:val="32"/>
          <w:szCs w:val="32"/>
        </w:rPr>
      </w:pPr>
      <w:r>
        <w:rPr>
          <w:rFonts w:hint="eastAsia" w:ascii="Times New Roman" w:hAnsi="Times New Roman" w:eastAsia="仿宋_GB2312"/>
          <w:sz w:val="32"/>
        </w:rPr>
        <w:t>产品</w:t>
      </w:r>
      <w:r>
        <w:rPr>
          <w:rFonts w:ascii="Times New Roman" w:hAnsi="Times New Roman" w:eastAsia="仿宋_GB2312"/>
          <w:sz w:val="32"/>
        </w:rPr>
        <w:t>的脱敏效果与临床使用息息相关</w:t>
      </w:r>
      <w:r>
        <w:rPr>
          <w:rFonts w:hint="eastAsia" w:ascii="Times New Roman" w:hAnsi="Times New Roman" w:eastAsia="仿宋_GB2312"/>
          <w:sz w:val="32"/>
        </w:rPr>
        <w:t>，</w:t>
      </w:r>
      <w:r>
        <w:rPr>
          <w:rFonts w:ascii="Times New Roman" w:hAnsi="Times New Roman" w:eastAsia="仿宋_GB2312"/>
          <w:sz w:val="32"/>
        </w:rPr>
        <w:t>说明书中应详细告知用户使用方法、禁忌症、注意事项等信息</w:t>
      </w:r>
      <w:r>
        <w:rPr>
          <w:rFonts w:hint="eastAsia" w:ascii="Times New Roman" w:hAnsi="Times New Roman" w:eastAsia="仿宋_GB2312"/>
          <w:sz w:val="32"/>
        </w:rPr>
        <w:t>，</w:t>
      </w:r>
      <w:r>
        <w:rPr>
          <w:rFonts w:ascii="Times New Roman" w:hAnsi="Times New Roman" w:eastAsia="仿宋_GB2312"/>
          <w:sz w:val="32"/>
        </w:rPr>
        <w:t>如</w:t>
      </w:r>
      <w:r>
        <w:rPr>
          <w:rFonts w:hint="eastAsia" w:ascii="Times New Roman" w:hAnsi="Times New Roman" w:eastAsia="仿宋_GB2312"/>
          <w:sz w:val="32"/>
        </w:rPr>
        <w:t>产品的作用</w:t>
      </w:r>
      <w:r>
        <w:rPr>
          <w:rFonts w:ascii="Times New Roman" w:hAnsi="Times New Roman" w:eastAsia="仿宋_GB2312"/>
          <w:sz w:val="32"/>
        </w:rPr>
        <w:t>时间</w:t>
      </w:r>
      <w:r>
        <w:rPr>
          <w:rFonts w:hint="eastAsia" w:ascii="Times New Roman" w:hAnsi="Times New Roman" w:eastAsia="仿宋_GB2312"/>
          <w:sz w:val="32"/>
        </w:rPr>
        <w:t>、</w:t>
      </w:r>
      <w:r>
        <w:rPr>
          <w:rFonts w:ascii="Times New Roman" w:hAnsi="Times New Roman" w:eastAsia="仿宋_GB2312"/>
          <w:sz w:val="32"/>
        </w:rPr>
        <w:t>作用部位及使用</w:t>
      </w:r>
      <w:r>
        <w:rPr>
          <w:rFonts w:hint="eastAsia" w:ascii="Times New Roman" w:hAnsi="Times New Roman" w:eastAsia="仿宋_GB2312"/>
          <w:sz w:val="32"/>
        </w:rPr>
        <w:t>频次</w:t>
      </w:r>
      <w:r>
        <w:rPr>
          <w:rFonts w:ascii="Times New Roman" w:hAnsi="Times New Roman" w:eastAsia="仿宋_GB2312"/>
          <w:sz w:val="32"/>
        </w:rPr>
        <w:t>。</w:t>
      </w:r>
    </w:p>
    <w:p w14:paraId="699B2C1E">
      <w:pPr>
        <w:autoSpaceDE w:val="0"/>
        <w:autoSpaceDN w:val="0"/>
        <w:adjustRightInd w:val="0"/>
        <w:spacing w:line="52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四、参考文献</w:t>
      </w:r>
    </w:p>
    <w:p w14:paraId="28685016">
      <w:pPr>
        <w:tabs>
          <w:tab w:val="left" w:pos="312"/>
        </w:tabs>
        <w:autoSpaceDE w:val="0"/>
        <w:autoSpaceDN w:val="0"/>
        <w:adjustRightIn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[1]Lars G. Petersson. The role of fluoride in the preventive management of dentin hypersensitivity and root caries. Clin Oral Invest(2013)17(Suppl 1):S63-S71</w:t>
      </w:r>
    </w:p>
    <w:p w14:paraId="6F0D2BE0">
      <w:pPr>
        <w:tabs>
          <w:tab w:val="left" w:pos="312"/>
        </w:tabs>
        <w:autoSpaceDE w:val="0"/>
        <w:autoSpaceDN w:val="0"/>
        <w:adjustRightIn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[2]赵信义.口腔材料学:第5版[M].北京:人民卫生出版社,2018.</w:t>
      </w:r>
    </w:p>
    <w:p w14:paraId="44C342D2">
      <w:pPr>
        <w:tabs>
          <w:tab w:val="left" w:pos="312"/>
        </w:tabs>
        <w:autoSpaceDE w:val="0"/>
        <w:autoSpaceDN w:val="0"/>
        <w:adjustRightIn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[3]樊明文，周学东.牙体牙髓病学[M].第2版.北京:人民卫生出版社, 2004.</w:t>
      </w:r>
    </w:p>
    <w:p w14:paraId="46D1E1F5">
      <w:pPr>
        <w:tabs>
          <w:tab w:val="left" w:pos="312"/>
        </w:tabs>
        <w:autoSpaceDE w:val="0"/>
        <w:autoSpaceDN w:val="0"/>
        <w:adjustRightIn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[4]赵思铭，张清，高学军.极固宁对牙本质小管封闭作用的扫描电镜研究[J]现代口腔医学杂志,2013,27(4):214-217</w:t>
      </w:r>
    </w:p>
    <w:p w14:paraId="7602056F">
      <w:pPr>
        <w:tabs>
          <w:tab w:val="left" w:pos="312"/>
        </w:tabs>
        <w:autoSpaceDE w:val="0"/>
        <w:autoSpaceDN w:val="0"/>
        <w:adjustRightIn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邓睿</w:t>
      </w:r>
      <w:r>
        <w:rPr>
          <w:rFonts w:hint="eastAsia" w:ascii="Times New Roman" w:hAnsi="Times New Roman" w:eastAsia="仿宋_GB2312"/>
          <w:kern w:val="0"/>
          <w:sz w:val="32"/>
          <w:szCs w:val="32"/>
        </w:rPr>
        <w:t>.牙本质过敏症治疗的研究进展</w:t>
      </w:r>
      <w:r>
        <w:rPr>
          <w:rFonts w:ascii="Times New Roman" w:hAnsi="Times New Roman" w:eastAsia="仿宋_GB2312"/>
          <w:kern w:val="0"/>
          <w:sz w:val="32"/>
          <w:szCs w:val="32"/>
        </w:rPr>
        <w:t>[J]中国药物与临床</w:t>
      </w:r>
      <w:r>
        <w:rPr>
          <w:rFonts w:hint="eastAsia" w:ascii="Times New Roman" w:hAnsi="Times New Roman" w:eastAsia="仿宋_GB2312"/>
          <w:kern w:val="0"/>
          <w:sz w:val="32"/>
          <w:szCs w:val="32"/>
        </w:rPr>
        <w:t>,2018,18(2):219-221</w:t>
      </w:r>
    </w:p>
    <w:p w14:paraId="0CC9D2EF">
      <w:pPr>
        <w:tabs>
          <w:tab w:val="left" w:pos="312"/>
        </w:tabs>
        <w:autoSpaceDE w:val="0"/>
        <w:autoSpaceDN w:val="0"/>
        <w:adjustRightIn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[6]章雯.牙本质过敏的治疗进展[J]口腔医学研究,2013,29(1):89-91</w:t>
      </w:r>
    </w:p>
    <w:p w14:paraId="1C9410AA">
      <w:pPr>
        <w:tabs>
          <w:tab w:val="left" w:pos="312"/>
        </w:tabs>
        <w:autoSpaceDE w:val="0"/>
        <w:autoSpaceDN w:val="0"/>
        <w:adjustRightIn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[7]陈丽薇.牙本质过敏症治疗研究进展[J]中国实用口腔科杂志,2015,8(8):497-502</w:t>
      </w:r>
    </w:p>
    <w:p w14:paraId="5D60399F">
      <w:pPr>
        <w:tabs>
          <w:tab w:val="left" w:pos="312"/>
        </w:tabs>
        <w:autoSpaceDE w:val="0"/>
        <w:autoSpaceDN w:val="0"/>
        <w:adjustRightIn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[8]</w:t>
      </w:r>
      <w:r>
        <w:rPr>
          <w:rFonts w:ascii="Times New Roman" w:hAnsi="Times New Roman" w:eastAsia="仿宋_GB2312"/>
          <w:kern w:val="0"/>
          <w:sz w:val="32"/>
          <w:szCs w:val="32"/>
        </w:rPr>
        <w:t>夏龙</w:t>
      </w:r>
      <w:r>
        <w:rPr>
          <w:rFonts w:hint="eastAsia" w:ascii="Times New Roman" w:hAnsi="Times New Roman" w:eastAsia="仿宋_GB2312"/>
          <w:kern w:val="0"/>
          <w:sz w:val="32"/>
          <w:szCs w:val="32"/>
        </w:rPr>
        <w:t>.牙本质过敏症治疗的原理和方法[J]牙体牙髓牙周病学杂志,2010,20(9):531-535</w:t>
      </w:r>
    </w:p>
    <w:p w14:paraId="0CDBC2ED">
      <w:pPr>
        <w:tabs>
          <w:tab w:val="left" w:pos="312"/>
        </w:tabs>
        <w:autoSpaceDE w:val="0"/>
        <w:autoSpaceDN w:val="0"/>
        <w:adjustRightInd w:val="0"/>
        <w:spacing w:line="520" w:lineRule="exact"/>
        <w:ind w:firstLine="640" w:firstLineChars="200"/>
        <w:rPr>
          <w:rFonts w:ascii="Times New Roman" w:hAnsi="Times New Roman" w:eastAsia="仿宋_GB2312"/>
          <w:kern w:val="0"/>
          <w:sz w:val="32"/>
          <w:szCs w:val="32"/>
        </w:rPr>
      </w:pPr>
      <w:r>
        <w:rPr>
          <w:rFonts w:hint="eastAsia" w:ascii="黑体" w:hAnsi="黑体" w:eastAsia="黑体"/>
          <w:kern w:val="0"/>
          <w:sz w:val="32"/>
          <w:szCs w:val="32"/>
        </w:rPr>
        <w:t>五、编制单位</w:t>
      </w:r>
    </w:p>
    <w:p w14:paraId="7AEEE245">
      <w:pPr>
        <w:tabs>
          <w:tab w:val="left" w:pos="312"/>
        </w:tabs>
        <w:autoSpaceDE w:val="0"/>
        <w:autoSpaceDN w:val="0"/>
        <w:adjustRightInd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该项指导原则课题编制任务由国家药品监督管理局医疗器械技术审评中心下达，牵头单位为四川省食品药品审查评价及安全监测中心，参与单位为浙江省医疗器械审评中心、辽宁省检验检测认证中心和河北省药品审评中心。</w:t>
      </w:r>
    </w:p>
    <w:p w14:paraId="63FF1114">
      <w:pPr>
        <w:spacing w:line="520" w:lineRule="exact"/>
        <w:ind w:right="-67" w:rightChars="-32"/>
        <w:jc w:val="center"/>
        <w:rPr>
          <w:rFonts w:hint="eastAsia" w:eastAsia="宋体"/>
          <w:lang w:eastAsia="zh-CN"/>
        </w:rPr>
      </w:pPr>
    </w:p>
    <w:p w14:paraId="3449B51A">
      <w:pPr>
        <w:spacing w:line="520" w:lineRule="exact"/>
        <w:ind w:right="-67" w:rightChars="-32"/>
        <w:jc w:val="center"/>
        <w:rPr>
          <w:rFonts w:hint="eastAsia" w:eastAsia="宋体"/>
          <w:lang w:eastAsia="zh-CN"/>
        </w:rPr>
      </w:pPr>
    </w:p>
    <w:p w14:paraId="6DD75C76">
      <w:pPr>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Shell Dlg">
    <w:altName w:val="Microsoft Sans Serif"/>
    <w:panose1 w:val="020B0604020202020204"/>
    <w:charset w:val="00"/>
    <w:family w:val="swiss"/>
    <w:pitch w:val="default"/>
    <w:sig w:usb0="00000000" w:usb1="00000000" w:usb2="00000008" w:usb3="00000000" w:csb0="0001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0544408"/>
    </w:sdtPr>
    <w:sdtContent>
      <w:p w14:paraId="6DDA4A63">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14:paraId="30CCAF9D">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76128"/>
    <w:multiLevelType w:val="singleLevel"/>
    <w:tmpl w:val="B0276128"/>
    <w:lvl w:ilvl="0" w:tentative="0">
      <w:start w:val="1"/>
      <w:numFmt w:val="decimal"/>
      <w:suff w:val="nothing"/>
      <w:lvlText w:val="%1．"/>
      <w:lvlJc w:val="left"/>
      <w:pPr>
        <w:ind w:left="0" w:firstLine="400"/>
      </w:pPr>
      <w:rPr>
        <w:rFonts w:hint="default"/>
      </w:rPr>
    </w:lvl>
  </w:abstractNum>
  <w:abstractNum w:abstractNumId="1">
    <w:nsid w:val="10C78A7C"/>
    <w:multiLevelType w:val="singleLevel"/>
    <w:tmpl w:val="10C78A7C"/>
    <w:lvl w:ilvl="0" w:tentative="0">
      <w:start w:val="5"/>
      <w:numFmt w:val="chineseCounting"/>
      <w:suff w:val="nothing"/>
      <w:lvlText w:val="（%1）"/>
      <w:lvlJc w:val="left"/>
      <w:rPr>
        <w:rFonts w:hint="eastAsia"/>
      </w:rPr>
    </w:lvl>
  </w:abstractNum>
  <w:abstractNum w:abstractNumId="2">
    <w:nsid w:val="36D28523"/>
    <w:multiLevelType w:val="singleLevel"/>
    <w:tmpl w:val="36D28523"/>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E5425"/>
    <w:rsid w:val="0000158C"/>
    <w:rsid w:val="000015AB"/>
    <w:rsid w:val="00005390"/>
    <w:rsid w:val="00006A2E"/>
    <w:rsid w:val="00007000"/>
    <w:rsid w:val="00020CDB"/>
    <w:rsid w:val="00021CEB"/>
    <w:rsid w:val="000317C2"/>
    <w:rsid w:val="00041959"/>
    <w:rsid w:val="00042383"/>
    <w:rsid w:val="00047605"/>
    <w:rsid w:val="00051E8B"/>
    <w:rsid w:val="00054B3A"/>
    <w:rsid w:val="000615EA"/>
    <w:rsid w:val="000618FD"/>
    <w:rsid w:val="00072F3C"/>
    <w:rsid w:val="00073063"/>
    <w:rsid w:val="0009012F"/>
    <w:rsid w:val="0009057A"/>
    <w:rsid w:val="000A6238"/>
    <w:rsid w:val="000B2384"/>
    <w:rsid w:val="000B6A16"/>
    <w:rsid w:val="000C27E1"/>
    <w:rsid w:val="000C7717"/>
    <w:rsid w:val="000D3131"/>
    <w:rsid w:val="000D3332"/>
    <w:rsid w:val="000D4264"/>
    <w:rsid w:val="000D74E0"/>
    <w:rsid w:val="000E2821"/>
    <w:rsid w:val="000E5B36"/>
    <w:rsid w:val="000F05D3"/>
    <w:rsid w:val="0010535A"/>
    <w:rsid w:val="00106C80"/>
    <w:rsid w:val="00111EAE"/>
    <w:rsid w:val="00123309"/>
    <w:rsid w:val="001238DB"/>
    <w:rsid w:val="001239DC"/>
    <w:rsid w:val="00130C5D"/>
    <w:rsid w:val="001346EB"/>
    <w:rsid w:val="0014124D"/>
    <w:rsid w:val="001416FB"/>
    <w:rsid w:val="00141D4D"/>
    <w:rsid w:val="0014709A"/>
    <w:rsid w:val="001642DF"/>
    <w:rsid w:val="00173565"/>
    <w:rsid w:val="00175F6E"/>
    <w:rsid w:val="0018162F"/>
    <w:rsid w:val="001820C8"/>
    <w:rsid w:val="001A2D01"/>
    <w:rsid w:val="001A5F7A"/>
    <w:rsid w:val="001A757E"/>
    <w:rsid w:val="001B05F5"/>
    <w:rsid w:val="001B0E26"/>
    <w:rsid w:val="001B5F3B"/>
    <w:rsid w:val="001C0265"/>
    <w:rsid w:val="001C4DBC"/>
    <w:rsid w:val="001C60EF"/>
    <w:rsid w:val="001C7BA0"/>
    <w:rsid w:val="001D29D6"/>
    <w:rsid w:val="001D3448"/>
    <w:rsid w:val="001E04D1"/>
    <w:rsid w:val="001E372F"/>
    <w:rsid w:val="001E37E4"/>
    <w:rsid w:val="001E5425"/>
    <w:rsid w:val="001E774C"/>
    <w:rsid w:val="001F0381"/>
    <w:rsid w:val="001F0C8A"/>
    <w:rsid w:val="001F6220"/>
    <w:rsid w:val="00201CD3"/>
    <w:rsid w:val="0020280B"/>
    <w:rsid w:val="00211D14"/>
    <w:rsid w:val="00217DB7"/>
    <w:rsid w:val="00225EAC"/>
    <w:rsid w:val="00230425"/>
    <w:rsid w:val="00235139"/>
    <w:rsid w:val="00241385"/>
    <w:rsid w:val="00243484"/>
    <w:rsid w:val="0024507E"/>
    <w:rsid w:val="002454B3"/>
    <w:rsid w:val="00245676"/>
    <w:rsid w:val="00252B10"/>
    <w:rsid w:val="00270C49"/>
    <w:rsid w:val="00271F36"/>
    <w:rsid w:val="00272450"/>
    <w:rsid w:val="00274068"/>
    <w:rsid w:val="002755C8"/>
    <w:rsid w:val="00276C9F"/>
    <w:rsid w:val="00285C57"/>
    <w:rsid w:val="002A0DFB"/>
    <w:rsid w:val="002A6680"/>
    <w:rsid w:val="002B003E"/>
    <w:rsid w:val="002B3185"/>
    <w:rsid w:val="002B3372"/>
    <w:rsid w:val="002D2171"/>
    <w:rsid w:val="0030477E"/>
    <w:rsid w:val="00307BFD"/>
    <w:rsid w:val="003168E3"/>
    <w:rsid w:val="00325704"/>
    <w:rsid w:val="00325AEC"/>
    <w:rsid w:val="0034063B"/>
    <w:rsid w:val="00345926"/>
    <w:rsid w:val="00347155"/>
    <w:rsid w:val="0035518D"/>
    <w:rsid w:val="003555DD"/>
    <w:rsid w:val="00362070"/>
    <w:rsid w:val="00366F33"/>
    <w:rsid w:val="00373AF0"/>
    <w:rsid w:val="00381083"/>
    <w:rsid w:val="0038145F"/>
    <w:rsid w:val="00382363"/>
    <w:rsid w:val="0038424E"/>
    <w:rsid w:val="003842DA"/>
    <w:rsid w:val="0039259D"/>
    <w:rsid w:val="00394ED6"/>
    <w:rsid w:val="00397048"/>
    <w:rsid w:val="003A071F"/>
    <w:rsid w:val="003B2F9C"/>
    <w:rsid w:val="003C228E"/>
    <w:rsid w:val="003D1098"/>
    <w:rsid w:val="003D3EBD"/>
    <w:rsid w:val="003E24AC"/>
    <w:rsid w:val="003E60AD"/>
    <w:rsid w:val="003F11A5"/>
    <w:rsid w:val="003F2A16"/>
    <w:rsid w:val="003F6FA7"/>
    <w:rsid w:val="00416F48"/>
    <w:rsid w:val="0042372D"/>
    <w:rsid w:val="0042375A"/>
    <w:rsid w:val="00426A22"/>
    <w:rsid w:val="0042748E"/>
    <w:rsid w:val="0043760F"/>
    <w:rsid w:val="00442450"/>
    <w:rsid w:val="004445D6"/>
    <w:rsid w:val="00454B84"/>
    <w:rsid w:val="00455D61"/>
    <w:rsid w:val="00465ADF"/>
    <w:rsid w:val="00466329"/>
    <w:rsid w:val="004729C8"/>
    <w:rsid w:val="00482C69"/>
    <w:rsid w:val="00485351"/>
    <w:rsid w:val="004945F4"/>
    <w:rsid w:val="004A01A4"/>
    <w:rsid w:val="004A2466"/>
    <w:rsid w:val="004B332C"/>
    <w:rsid w:val="004B4C01"/>
    <w:rsid w:val="004B5B18"/>
    <w:rsid w:val="004B7CA9"/>
    <w:rsid w:val="004C7608"/>
    <w:rsid w:val="004D2601"/>
    <w:rsid w:val="004D3AB5"/>
    <w:rsid w:val="004D6739"/>
    <w:rsid w:val="004E0357"/>
    <w:rsid w:val="004E2ABC"/>
    <w:rsid w:val="004F777F"/>
    <w:rsid w:val="00500BD9"/>
    <w:rsid w:val="00503AF3"/>
    <w:rsid w:val="00504E0D"/>
    <w:rsid w:val="00506B65"/>
    <w:rsid w:val="0051045B"/>
    <w:rsid w:val="00510BBC"/>
    <w:rsid w:val="00512F4A"/>
    <w:rsid w:val="00514A62"/>
    <w:rsid w:val="00516432"/>
    <w:rsid w:val="0052118F"/>
    <w:rsid w:val="005306D5"/>
    <w:rsid w:val="00530F52"/>
    <w:rsid w:val="00533EAB"/>
    <w:rsid w:val="005434D9"/>
    <w:rsid w:val="00543E85"/>
    <w:rsid w:val="00544FA0"/>
    <w:rsid w:val="00547009"/>
    <w:rsid w:val="00554983"/>
    <w:rsid w:val="00554D69"/>
    <w:rsid w:val="00560607"/>
    <w:rsid w:val="005634A1"/>
    <w:rsid w:val="005669EC"/>
    <w:rsid w:val="00570DC5"/>
    <w:rsid w:val="00572781"/>
    <w:rsid w:val="00575794"/>
    <w:rsid w:val="00576FA3"/>
    <w:rsid w:val="00577FAA"/>
    <w:rsid w:val="00581051"/>
    <w:rsid w:val="00592BF7"/>
    <w:rsid w:val="005946A0"/>
    <w:rsid w:val="005A6319"/>
    <w:rsid w:val="005B0B9C"/>
    <w:rsid w:val="005C4AD8"/>
    <w:rsid w:val="005C4C04"/>
    <w:rsid w:val="005C62AF"/>
    <w:rsid w:val="005D30EF"/>
    <w:rsid w:val="005D6A33"/>
    <w:rsid w:val="005F270C"/>
    <w:rsid w:val="005F744A"/>
    <w:rsid w:val="00606A64"/>
    <w:rsid w:val="006120DA"/>
    <w:rsid w:val="0061216B"/>
    <w:rsid w:val="00613869"/>
    <w:rsid w:val="006219CF"/>
    <w:rsid w:val="00621D82"/>
    <w:rsid w:val="00624501"/>
    <w:rsid w:val="006263BD"/>
    <w:rsid w:val="0063081C"/>
    <w:rsid w:val="0063107A"/>
    <w:rsid w:val="00634C2E"/>
    <w:rsid w:val="00637C8E"/>
    <w:rsid w:val="00637D26"/>
    <w:rsid w:val="00647783"/>
    <w:rsid w:val="006603CC"/>
    <w:rsid w:val="00663A8B"/>
    <w:rsid w:val="006675B3"/>
    <w:rsid w:val="00670AE8"/>
    <w:rsid w:val="006717F6"/>
    <w:rsid w:val="0067188B"/>
    <w:rsid w:val="006731A4"/>
    <w:rsid w:val="00680528"/>
    <w:rsid w:val="0069242A"/>
    <w:rsid w:val="006A0AE4"/>
    <w:rsid w:val="006A21E5"/>
    <w:rsid w:val="006A2AD6"/>
    <w:rsid w:val="006A3BAE"/>
    <w:rsid w:val="006A4D8F"/>
    <w:rsid w:val="006B36AC"/>
    <w:rsid w:val="006B3BE4"/>
    <w:rsid w:val="006B78D8"/>
    <w:rsid w:val="006C0B51"/>
    <w:rsid w:val="006C55E0"/>
    <w:rsid w:val="006C63E8"/>
    <w:rsid w:val="006C6F69"/>
    <w:rsid w:val="006D1772"/>
    <w:rsid w:val="006D4E71"/>
    <w:rsid w:val="006E23A0"/>
    <w:rsid w:val="006F33CF"/>
    <w:rsid w:val="006F5B35"/>
    <w:rsid w:val="0070002E"/>
    <w:rsid w:val="00702830"/>
    <w:rsid w:val="00712120"/>
    <w:rsid w:val="00716A3F"/>
    <w:rsid w:val="0072522A"/>
    <w:rsid w:val="00733763"/>
    <w:rsid w:val="00741D18"/>
    <w:rsid w:val="007448A7"/>
    <w:rsid w:val="00754C79"/>
    <w:rsid w:val="007561B8"/>
    <w:rsid w:val="00757670"/>
    <w:rsid w:val="00763727"/>
    <w:rsid w:val="00767F87"/>
    <w:rsid w:val="00771C27"/>
    <w:rsid w:val="00774992"/>
    <w:rsid w:val="00774A15"/>
    <w:rsid w:val="00782DCC"/>
    <w:rsid w:val="00792BCD"/>
    <w:rsid w:val="007967A1"/>
    <w:rsid w:val="007978EA"/>
    <w:rsid w:val="007A200C"/>
    <w:rsid w:val="007A2ADC"/>
    <w:rsid w:val="007A39CB"/>
    <w:rsid w:val="007B1078"/>
    <w:rsid w:val="007B19D2"/>
    <w:rsid w:val="007B5110"/>
    <w:rsid w:val="007C3F61"/>
    <w:rsid w:val="007C55E1"/>
    <w:rsid w:val="007C68AF"/>
    <w:rsid w:val="007C6D5C"/>
    <w:rsid w:val="007C6F8C"/>
    <w:rsid w:val="007D59D1"/>
    <w:rsid w:val="007E2AD1"/>
    <w:rsid w:val="007F425A"/>
    <w:rsid w:val="008070C3"/>
    <w:rsid w:val="008266E9"/>
    <w:rsid w:val="008267D1"/>
    <w:rsid w:val="00830410"/>
    <w:rsid w:val="00833CDA"/>
    <w:rsid w:val="00844421"/>
    <w:rsid w:val="00855B45"/>
    <w:rsid w:val="008563A0"/>
    <w:rsid w:val="00862164"/>
    <w:rsid w:val="00865FD8"/>
    <w:rsid w:val="00870916"/>
    <w:rsid w:val="008739C2"/>
    <w:rsid w:val="00877A96"/>
    <w:rsid w:val="0088167E"/>
    <w:rsid w:val="0088659E"/>
    <w:rsid w:val="00892CE6"/>
    <w:rsid w:val="008934B8"/>
    <w:rsid w:val="008A1B2A"/>
    <w:rsid w:val="008A2A96"/>
    <w:rsid w:val="008B1D40"/>
    <w:rsid w:val="008B1ECD"/>
    <w:rsid w:val="008C123D"/>
    <w:rsid w:val="008C1E61"/>
    <w:rsid w:val="008D51D4"/>
    <w:rsid w:val="008E6A9E"/>
    <w:rsid w:val="008F12D0"/>
    <w:rsid w:val="008F245A"/>
    <w:rsid w:val="008F65AE"/>
    <w:rsid w:val="008F6B49"/>
    <w:rsid w:val="00905942"/>
    <w:rsid w:val="00910120"/>
    <w:rsid w:val="00915061"/>
    <w:rsid w:val="00925E40"/>
    <w:rsid w:val="00927C89"/>
    <w:rsid w:val="00933219"/>
    <w:rsid w:val="00934BB6"/>
    <w:rsid w:val="00937BFB"/>
    <w:rsid w:val="00941B45"/>
    <w:rsid w:val="009470D4"/>
    <w:rsid w:val="00947273"/>
    <w:rsid w:val="00947972"/>
    <w:rsid w:val="00951306"/>
    <w:rsid w:val="009572A3"/>
    <w:rsid w:val="009723D4"/>
    <w:rsid w:val="00985753"/>
    <w:rsid w:val="009920E1"/>
    <w:rsid w:val="00992CA3"/>
    <w:rsid w:val="0099528F"/>
    <w:rsid w:val="009966D7"/>
    <w:rsid w:val="009C601B"/>
    <w:rsid w:val="009D19E0"/>
    <w:rsid w:val="009D26E2"/>
    <w:rsid w:val="009D2906"/>
    <w:rsid w:val="009D393E"/>
    <w:rsid w:val="009D46A4"/>
    <w:rsid w:val="00A025B6"/>
    <w:rsid w:val="00A0438A"/>
    <w:rsid w:val="00A0501F"/>
    <w:rsid w:val="00A06AB5"/>
    <w:rsid w:val="00A079CD"/>
    <w:rsid w:val="00A3532C"/>
    <w:rsid w:val="00A36166"/>
    <w:rsid w:val="00A36235"/>
    <w:rsid w:val="00A378D1"/>
    <w:rsid w:val="00A40862"/>
    <w:rsid w:val="00A50813"/>
    <w:rsid w:val="00A53D43"/>
    <w:rsid w:val="00A6084C"/>
    <w:rsid w:val="00A633CE"/>
    <w:rsid w:val="00A7349C"/>
    <w:rsid w:val="00A762F2"/>
    <w:rsid w:val="00A85958"/>
    <w:rsid w:val="00A915A9"/>
    <w:rsid w:val="00A918EA"/>
    <w:rsid w:val="00A91D0A"/>
    <w:rsid w:val="00A91E2E"/>
    <w:rsid w:val="00A952A0"/>
    <w:rsid w:val="00AA1D6C"/>
    <w:rsid w:val="00AB1328"/>
    <w:rsid w:val="00AB4425"/>
    <w:rsid w:val="00AB506D"/>
    <w:rsid w:val="00AB585E"/>
    <w:rsid w:val="00AB6E88"/>
    <w:rsid w:val="00AB7013"/>
    <w:rsid w:val="00AC032E"/>
    <w:rsid w:val="00AC5E0A"/>
    <w:rsid w:val="00AC6F9B"/>
    <w:rsid w:val="00AC713A"/>
    <w:rsid w:val="00AD70E1"/>
    <w:rsid w:val="00AE13CC"/>
    <w:rsid w:val="00AE4004"/>
    <w:rsid w:val="00AE5856"/>
    <w:rsid w:val="00AF445D"/>
    <w:rsid w:val="00B11214"/>
    <w:rsid w:val="00B1540F"/>
    <w:rsid w:val="00B15697"/>
    <w:rsid w:val="00B270BB"/>
    <w:rsid w:val="00B419A7"/>
    <w:rsid w:val="00B4368F"/>
    <w:rsid w:val="00B61654"/>
    <w:rsid w:val="00B652FE"/>
    <w:rsid w:val="00B6650B"/>
    <w:rsid w:val="00B67078"/>
    <w:rsid w:val="00B72FA5"/>
    <w:rsid w:val="00B81E64"/>
    <w:rsid w:val="00B84957"/>
    <w:rsid w:val="00B85B69"/>
    <w:rsid w:val="00B8680D"/>
    <w:rsid w:val="00B87B38"/>
    <w:rsid w:val="00B96A2D"/>
    <w:rsid w:val="00B97C29"/>
    <w:rsid w:val="00B97C55"/>
    <w:rsid w:val="00BA02D1"/>
    <w:rsid w:val="00BB07E3"/>
    <w:rsid w:val="00BB3AE6"/>
    <w:rsid w:val="00BC2086"/>
    <w:rsid w:val="00BC2D46"/>
    <w:rsid w:val="00BD7BA1"/>
    <w:rsid w:val="00BE5633"/>
    <w:rsid w:val="00C00001"/>
    <w:rsid w:val="00C04A4C"/>
    <w:rsid w:val="00C05F7F"/>
    <w:rsid w:val="00C07409"/>
    <w:rsid w:val="00C11DD4"/>
    <w:rsid w:val="00C13426"/>
    <w:rsid w:val="00C13BF0"/>
    <w:rsid w:val="00C26722"/>
    <w:rsid w:val="00C36FBA"/>
    <w:rsid w:val="00C4007A"/>
    <w:rsid w:val="00C531DE"/>
    <w:rsid w:val="00C65CAB"/>
    <w:rsid w:val="00C71445"/>
    <w:rsid w:val="00C90BAB"/>
    <w:rsid w:val="00C9187F"/>
    <w:rsid w:val="00CA03DC"/>
    <w:rsid w:val="00CB5274"/>
    <w:rsid w:val="00CC68A0"/>
    <w:rsid w:val="00CC6D95"/>
    <w:rsid w:val="00CD16F8"/>
    <w:rsid w:val="00CD23C2"/>
    <w:rsid w:val="00CD2FC2"/>
    <w:rsid w:val="00CE682C"/>
    <w:rsid w:val="00CF3438"/>
    <w:rsid w:val="00D0107C"/>
    <w:rsid w:val="00D02E44"/>
    <w:rsid w:val="00D05FF9"/>
    <w:rsid w:val="00D07B93"/>
    <w:rsid w:val="00D125D2"/>
    <w:rsid w:val="00D13420"/>
    <w:rsid w:val="00D1447B"/>
    <w:rsid w:val="00D27BBF"/>
    <w:rsid w:val="00D304E6"/>
    <w:rsid w:val="00D50C34"/>
    <w:rsid w:val="00D50D03"/>
    <w:rsid w:val="00D52327"/>
    <w:rsid w:val="00D5296F"/>
    <w:rsid w:val="00D57242"/>
    <w:rsid w:val="00D610AC"/>
    <w:rsid w:val="00D71A95"/>
    <w:rsid w:val="00D737B1"/>
    <w:rsid w:val="00D741FF"/>
    <w:rsid w:val="00D84C50"/>
    <w:rsid w:val="00DA158E"/>
    <w:rsid w:val="00DA39F7"/>
    <w:rsid w:val="00DB5A2C"/>
    <w:rsid w:val="00DC14AF"/>
    <w:rsid w:val="00DC5679"/>
    <w:rsid w:val="00DD10AE"/>
    <w:rsid w:val="00DE5F2A"/>
    <w:rsid w:val="00DF7341"/>
    <w:rsid w:val="00E01B89"/>
    <w:rsid w:val="00E03F55"/>
    <w:rsid w:val="00E11FBF"/>
    <w:rsid w:val="00E13518"/>
    <w:rsid w:val="00E1723F"/>
    <w:rsid w:val="00E27B48"/>
    <w:rsid w:val="00E374CF"/>
    <w:rsid w:val="00E44D56"/>
    <w:rsid w:val="00E45D52"/>
    <w:rsid w:val="00E52037"/>
    <w:rsid w:val="00E52C45"/>
    <w:rsid w:val="00E55006"/>
    <w:rsid w:val="00E55D1E"/>
    <w:rsid w:val="00E56002"/>
    <w:rsid w:val="00E640E4"/>
    <w:rsid w:val="00E65F54"/>
    <w:rsid w:val="00E70470"/>
    <w:rsid w:val="00E81CB8"/>
    <w:rsid w:val="00E84FC9"/>
    <w:rsid w:val="00E85B78"/>
    <w:rsid w:val="00E904A6"/>
    <w:rsid w:val="00EA6C47"/>
    <w:rsid w:val="00EB38F1"/>
    <w:rsid w:val="00EB4AB2"/>
    <w:rsid w:val="00EC129A"/>
    <w:rsid w:val="00ED3333"/>
    <w:rsid w:val="00ED403C"/>
    <w:rsid w:val="00ED5B5C"/>
    <w:rsid w:val="00EE19B0"/>
    <w:rsid w:val="00EF4C7E"/>
    <w:rsid w:val="00EF686A"/>
    <w:rsid w:val="00EF76E3"/>
    <w:rsid w:val="00EF7FBF"/>
    <w:rsid w:val="00F0530C"/>
    <w:rsid w:val="00F07DE0"/>
    <w:rsid w:val="00F10283"/>
    <w:rsid w:val="00F12B57"/>
    <w:rsid w:val="00F144B8"/>
    <w:rsid w:val="00F25123"/>
    <w:rsid w:val="00F25336"/>
    <w:rsid w:val="00F25F26"/>
    <w:rsid w:val="00F30014"/>
    <w:rsid w:val="00F34FC0"/>
    <w:rsid w:val="00F36D63"/>
    <w:rsid w:val="00F41A57"/>
    <w:rsid w:val="00F42589"/>
    <w:rsid w:val="00F45E5A"/>
    <w:rsid w:val="00F47C35"/>
    <w:rsid w:val="00F52869"/>
    <w:rsid w:val="00F54EB2"/>
    <w:rsid w:val="00F56697"/>
    <w:rsid w:val="00F65441"/>
    <w:rsid w:val="00F66241"/>
    <w:rsid w:val="00F67953"/>
    <w:rsid w:val="00F71790"/>
    <w:rsid w:val="00F718B5"/>
    <w:rsid w:val="00F807E8"/>
    <w:rsid w:val="00F82DE5"/>
    <w:rsid w:val="00F85F92"/>
    <w:rsid w:val="00F92CB2"/>
    <w:rsid w:val="00F9409E"/>
    <w:rsid w:val="00F942C7"/>
    <w:rsid w:val="00F95047"/>
    <w:rsid w:val="00F95415"/>
    <w:rsid w:val="00F97BEE"/>
    <w:rsid w:val="00FA64EC"/>
    <w:rsid w:val="00FA7D3E"/>
    <w:rsid w:val="00FC18C8"/>
    <w:rsid w:val="00FC4031"/>
    <w:rsid w:val="00FC6DEB"/>
    <w:rsid w:val="00FE705B"/>
    <w:rsid w:val="00FF29FB"/>
    <w:rsid w:val="00FF651E"/>
    <w:rsid w:val="01B37948"/>
    <w:rsid w:val="01EE44A4"/>
    <w:rsid w:val="03866DF3"/>
    <w:rsid w:val="049E13EF"/>
    <w:rsid w:val="05192ED1"/>
    <w:rsid w:val="05822EEC"/>
    <w:rsid w:val="05FF301B"/>
    <w:rsid w:val="064779D7"/>
    <w:rsid w:val="0752712A"/>
    <w:rsid w:val="09C84696"/>
    <w:rsid w:val="0AB003A4"/>
    <w:rsid w:val="0AB501D3"/>
    <w:rsid w:val="0E0C233F"/>
    <w:rsid w:val="0E690993"/>
    <w:rsid w:val="0EF25877"/>
    <w:rsid w:val="0FEC561D"/>
    <w:rsid w:val="102D7152"/>
    <w:rsid w:val="125345E7"/>
    <w:rsid w:val="15AF7DC2"/>
    <w:rsid w:val="170F6F95"/>
    <w:rsid w:val="187264A6"/>
    <w:rsid w:val="18741E2E"/>
    <w:rsid w:val="195861FA"/>
    <w:rsid w:val="1A1C63D2"/>
    <w:rsid w:val="1B622901"/>
    <w:rsid w:val="1BA764E9"/>
    <w:rsid w:val="1C2F0F12"/>
    <w:rsid w:val="1D754542"/>
    <w:rsid w:val="1E727483"/>
    <w:rsid w:val="1EFC224C"/>
    <w:rsid w:val="1F463F9F"/>
    <w:rsid w:val="1FEB2EC7"/>
    <w:rsid w:val="201C59A3"/>
    <w:rsid w:val="20CF30B9"/>
    <w:rsid w:val="220F5439"/>
    <w:rsid w:val="231A779A"/>
    <w:rsid w:val="28164D65"/>
    <w:rsid w:val="29237B96"/>
    <w:rsid w:val="2B922C7D"/>
    <w:rsid w:val="2D684456"/>
    <w:rsid w:val="2DF45D25"/>
    <w:rsid w:val="2E40426D"/>
    <w:rsid w:val="30CD04C2"/>
    <w:rsid w:val="30E36BE1"/>
    <w:rsid w:val="31BF489E"/>
    <w:rsid w:val="33DB5E54"/>
    <w:rsid w:val="346373B7"/>
    <w:rsid w:val="346F6E5A"/>
    <w:rsid w:val="37F85F47"/>
    <w:rsid w:val="3AA97A5D"/>
    <w:rsid w:val="3B04561B"/>
    <w:rsid w:val="3C6F39C3"/>
    <w:rsid w:val="4362345F"/>
    <w:rsid w:val="45005E6B"/>
    <w:rsid w:val="45B87DE9"/>
    <w:rsid w:val="47D40764"/>
    <w:rsid w:val="482435BF"/>
    <w:rsid w:val="494E1033"/>
    <w:rsid w:val="4DA956CC"/>
    <w:rsid w:val="53BA003F"/>
    <w:rsid w:val="5417326E"/>
    <w:rsid w:val="57ED5488"/>
    <w:rsid w:val="5B187555"/>
    <w:rsid w:val="5BB27FB9"/>
    <w:rsid w:val="5DE058AC"/>
    <w:rsid w:val="5DFB56A4"/>
    <w:rsid w:val="5F2A5757"/>
    <w:rsid w:val="600741B3"/>
    <w:rsid w:val="60A476B7"/>
    <w:rsid w:val="60C47FBD"/>
    <w:rsid w:val="65186BD7"/>
    <w:rsid w:val="65664B7A"/>
    <w:rsid w:val="66E01D15"/>
    <w:rsid w:val="68E23D8E"/>
    <w:rsid w:val="69F97391"/>
    <w:rsid w:val="6D3443D0"/>
    <w:rsid w:val="6DEB45CA"/>
    <w:rsid w:val="6E4720F6"/>
    <w:rsid w:val="6E592B74"/>
    <w:rsid w:val="70380175"/>
    <w:rsid w:val="71661086"/>
    <w:rsid w:val="736908BE"/>
    <w:rsid w:val="74042782"/>
    <w:rsid w:val="743A42D9"/>
    <w:rsid w:val="750F4807"/>
    <w:rsid w:val="79891114"/>
    <w:rsid w:val="7D461D88"/>
    <w:rsid w:val="7DE12767"/>
    <w:rsid w:val="7E8D7CCA"/>
    <w:rsid w:val="7F7D1B66"/>
    <w:rsid w:val="7FAE28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link w:val="20"/>
    <w:semiHidden/>
    <w:unhideWhenUsed/>
    <w:qFormat/>
    <w:uiPriority w:val="99"/>
    <w:rPr>
      <w:rFonts w:ascii="宋体"/>
      <w:sz w:val="18"/>
      <w:szCs w:val="18"/>
    </w:rPr>
  </w:style>
  <w:style w:type="paragraph" w:styleId="3">
    <w:name w:val="annotation text"/>
    <w:basedOn w:val="1"/>
    <w:link w:val="15"/>
    <w:qFormat/>
    <w:uiPriority w:val="0"/>
    <w:pPr>
      <w:jc w:val="left"/>
    </w:pPr>
    <w:rPr>
      <w:rFonts w:asciiTheme="minorHAnsi" w:hAnsiTheme="minorHAnsi" w:eastAsiaTheme="minorEastAsia" w:cstheme="minorBidi"/>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rFonts w:ascii="Times New Roman" w:hAnsi="Times New Roman"/>
      <w:sz w:val="24"/>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paragraph" w:customStyle="1" w:styleId="12">
    <w:name w:val="王奕，内文"/>
    <w:basedOn w:val="7"/>
    <w:qFormat/>
    <w:uiPriority w:val="0"/>
    <w:pPr>
      <w:widowControl/>
      <w:spacing w:line="360" w:lineRule="auto"/>
      <w:ind w:firstLine="200" w:firstLineChars="200"/>
    </w:pPr>
    <w:rPr>
      <w:rFonts w:cs="MS Shell Dlg"/>
      <w:color w:val="000000"/>
      <w:kern w:val="0"/>
      <w:szCs w:val="20"/>
    </w:rPr>
  </w:style>
  <w:style w:type="character" w:customStyle="1" w:styleId="13">
    <w:name w:val="页眉 字符"/>
    <w:basedOn w:val="9"/>
    <w:link w:val="6"/>
    <w:qFormat/>
    <w:uiPriority w:val="99"/>
    <w:rPr>
      <w:rFonts w:ascii="Calibri" w:hAnsi="Calibri"/>
      <w:kern w:val="2"/>
      <w:sz w:val="18"/>
      <w:szCs w:val="18"/>
    </w:rPr>
  </w:style>
  <w:style w:type="character" w:customStyle="1" w:styleId="14">
    <w:name w:val="页脚 字符"/>
    <w:basedOn w:val="9"/>
    <w:link w:val="5"/>
    <w:qFormat/>
    <w:uiPriority w:val="99"/>
    <w:rPr>
      <w:rFonts w:ascii="Calibri" w:hAnsi="Calibri"/>
      <w:kern w:val="2"/>
      <w:sz w:val="18"/>
      <w:szCs w:val="18"/>
    </w:rPr>
  </w:style>
  <w:style w:type="character" w:customStyle="1" w:styleId="15">
    <w:name w:val="批注文字 字符"/>
    <w:basedOn w:val="9"/>
    <w:link w:val="3"/>
    <w:qFormat/>
    <w:uiPriority w:val="0"/>
    <w:rPr>
      <w:rFonts w:asciiTheme="minorHAnsi" w:hAnsiTheme="minorHAnsi" w:eastAsiaTheme="minorEastAsia" w:cstheme="minorBidi"/>
      <w:kern w:val="2"/>
      <w:sz w:val="21"/>
      <w:szCs w:val="24"/>
    </w:rPr>
  </w:style>
  <w:style w:type="character" w:customStyle="1" w:styleId="16">
    <w:name w:val="批注框文本 字符"/>
    <w:basedOn w:val="9"/>
    <w:link w:val="4"/>
    <w:semiHidden/>
    <w:qFormat/>
    <w:uiPriority w:val="99"/>
    <w:rPr>
      <w:rFonts w:ascii="Calibri" w:hAnsi="Calibri"/>
      <w:kern w:val="2"/>
      <w:sz w:val="18"/>
      <w:szCs w:val="18"/>
    </w:rPr>
  </w:style>
  <w:style w:type="character" w:customStyle="1" w:styleId="17">
    <w:name w:val="f101"/>
    <w:qFormat/>
    <w:uiPriority w:val="99"/>
    <w:rPr>
      <w:sz w:val="24"/>
      <w:szCs w:val="24"/>
    </w:rPr>
  </w:style>
  <w:style w:type="paragraph" w:customStyle="1" w:styleId="18">
    <w:name w:val="列出段落1"/>
    <w:basedOn w:val="1"/>
    <w:qFormat/>
    <w:uiPriority w:val="0"/>
    <w:pPr>
      <w:ind w:firstLine="420" w:firstLineChars="200"/>
    </w:pPr>
    <w:rPr>
      <w:szCs w:val="22"/>
    </w:rPr>
  </w:style>
  <w:style w:type="paragraph" w:styleId="19">
    <w:name w:val="List Paragraph"/>
    <w:basedOn w:val="1"/>
    <w:unhideWhenUsed/>
    <w:qFormat/>
    <w:uiPriority w:val="99"/>
    <w:pPr>
      <w:ind w:firstLine="420" w:firstLineChars="200"/>
    </w:pPr>
  </w:style>
  <w:style w:type="character" w:customStyle="1" w:styleId="20">
    <w:name w:val="文档结构图 字符"/>
    <w:basedOn w:val="9"/>
    <w:link w:val="2"/>
    <w:semiHidden/>
    <w:qFormat/>
    <w:uiPriority w:val="99"/>
    <w:rPr>
      <w:rFonts w:ascii="宋体"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24988-E6E3-43E0-AB4F-7D7B49E5120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8308</Words>
  <Characters>9027</Characters>
  <Lines>66</Lines>
  <Paragraphs>18</Paragraphs>
  <TotalTime>132</TotalTime>
  <ScaleCrop>false</ScaleCrop>
  <LinksUpToDate>false</LinksUpToDate>
  <CharactersWithSpaces>9106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2020-04-06T09:53:00Z</dcterms:created>
  <dc:creator>杨 惠然</dc:creator>
  <cp:lastModifiedBy>太极箫客</cp:lastModifiedBy>
  <dcterms:modified xsi:type="dcterms:W3CDTF">2025-08-14T07:04:43Z</dcterms:modified>
  <cp:revision>642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FA8B5B12053B414CB055BDA7115410B6_12</vt:lpwstr>
  </property>
</Properties>
</file>