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E2D40">
      <w:pPr>
        <w:spacing w:line="600" w:lineRule="exact"/>
        <w:rPr>
          <w:rFonts w:ascii="Times New Roman" w:hAnsi="Times New Roman" w:eastAsia="黑体" w:cs="Times New Roman"/>
          <w:color w:val="000000"/>
          <w:sz w:val="32"/>
          <w:szCs w:val="36"/>
        </w:rPr>
      </w:pPr>
      <w:bookmarkStart w:id="0" w:name="_Toc273298668"/>
      <w:bookmarkStart w:id="27" w:name="_GoBack"/>
      <w:bookmarkEnd w:id="27"/>
      <w:r>
        <w:rPr>
          <w:rFonts w:ascii="Times New Roman" w:hAnsi="Times New Roman" w:eastAsia="黑体" w:cs="Times New Roman"/>
          <w:color w:val="000000"/>
          <w:sz w:val="32"/>
          <w:szCs w:val="36"/>
        </w:rPr>
        <w:t>附件</w:t>
      </w:r>
    </w:p>
    <w:p w14:paraId="76F66C11">
      <w:pPr>
        <w:spacing w:line="600" w:lineRule="exact"/>
        <w:rPr>
          <w:rFonts w:ascii="Times New Roman" w:hAnsi="Times New Roman" w:eastAsia="黑体" w:cs="Times New Roman"/>
          <w:color w:val="000000"/>
          <w:sz w:val="32"/>
          <w:szCs w:val="36"/>
        </w:rPr>
      </w:pPr>
    </w:p>
    <w:p w14:paraId="0214BF9C">
      <w:pPr>
        <w:spacing w:line="600" w:lineRule="exact"/>
        <w:jc w:val="center"/>
        <w:rPr>
          <w:rFonts w:ascii="Times New Roman" w:hAnsi="Times New Roman" w:eastAsia="方正小标宋简体" w:cs="Times New Roman"/>
          <w:color w:val="000000"/>
          <w:sz w:val="44"/>
          <w:szCs w:val="36"/>
        </w:rPr>
      </w:pPr>
      <w:r>
        <w:rPr>
          <w:rFonts w:hint="eastAsia" w:ascii="Times New Roman" w:hAnsi="Times New Roman" w:eastAsia="方正小标宋简体" w:cs="Times New Roman"/>
          <w:color w:val="000000"/>
          <w:sz w:val="44"/>
          <w:szCs w:val="36"/>
        </w:rPr>
        <w:t>牙科种植机注册技术审查指导原则</w:t>
      </w:r>
      <w:bookmarkEnd w:id="0"/>
    </w:p>
    <w:p w14:paraId="0788E70F">
      <w:pPr>
        <w:spacing w:line="600" w:lineRule="exact"/>
        <w:rPr>
          <w:rFonts w:ascii="Times New Roman" w:hAnsi="Times New Roman" w:eastAsia="仿宋_GB2312" w:cs="Times New Roman"/>
          <w:bCs/>
          <w:sz w:val="32"/>
          <w:szCs w:val="32"/>
        </w:rPr>
      </w:pPr>
    </w:p>
    <w:p w14:paraId="236C14A4">
      <w:pPr>
        <w:pStyle w:val="45"/>
        <w:adjustRightInd/>
        <w:spacing w:line="56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本指导原则旨在指导</w:t>
      </w:r>
      <w:r>
        <w:rPr>
          <w:rFonts w:hint="eastAsia" w:ascii="Times New Roman" w:eastAsia="仿宋_GB2312" w:cs="Times New Roman"/>
          <w:color w:val="auto"/>
          <w:sz w:val="32"/>
          <w:szCs w:val="32"/>
        </w:rPr>
        <w:t>申请人提交牙科种植机的注册申报资料，同时</w:t>
      </w:r>
      <w:r>
        <w:rPr>
          <w:rFonts w:hint="eastAsia" w:ascii="Times New Roman" w:eastAsia="仿宋_GB2312" w:cs="Times New Roman"/>
          <w:bCs/>
          <w:color w:val="auto"/>
          <w:sz w:val="32"/>
          <w:szCs w:val="32"/>
        </w:rPr>
        <w:t>规范牙科种植机的技术审评要求。</w:t>
      </w:r>
    </w:p>
    <w:p w14:paraId="3A632C08">
      <w:pPr>
        <w:pStyle w:val="45"/>
        <w:adjustRightInd/>
        <w:spacing w:line="56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本指导原则是对牙科种植机的一般性要求，申请人应根据牙科种植机的特性提交注册申报资料，判断指导原则中的具体内容是否适用，不适用内容详述理由。申请人也可采用其他满足法规要求的替代方法，但应提供详尽的研究资料和验证资料。</w:t>
      </w:r>
    </w:p>
    <w:p w14:paraId="74188BEA">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本指导原则是在现行法规和标准体系以及当前认知水平下、并参考了</w:t>
      </w:r>
      <w:r>
        <w:rPr>
          <w:rFonts w:hint="eastAsia" w:ascii="Times New Roman" w:hAnsi="Times New Roman" w:eastAsia="仿宋_GB2312" w:cs="Times New Roman"/>
          <w:sz w:val="32"/>
          <w:szCs w:val="32"/>
        </w:rPr>
        <w:t>国外法规与指南、国际标准与技术报告制定的。</w:t>
      </w:r>
      <w:r>
        <w:rPr>
          <w:rFonts w:hint="eastAsia" w:ascii="Times New Roman" w:hAnsi="Times New Roman" w:eastAsia="仿宋_GB2312" w:cs="Times New Roman"/>
          <w:bCs/>
          <w:sz w:val="32"/>
          <w:szCs w:val="32"/>
        </w:rPr>
        <w:t>随着法规和标准的不断完善，以及</w:t>
      </w:r>
      <w:r>
        <w:rPr>
          <w:rFonts w:hint="eastAsia" w:ascii="Times New Roman" w:hAnsi="Times New Roman" w:eastAsia="仿宋_GB2312" w:cs="Times New Roman"/>
          <w:sz w:val="32"/>
          <w:szCs w:val="32"/>
        </w:rPr>
        <w:t>认知水平和技术能力的不断提高</w:t>
      </w:r>
      <w:r>
        <w:rPr>
          <w:rFonts w:hint="eastAsia" w:ascii="Times New Roman" w:hAnsi="Times New Roman" w:eastAsia="仿宋_GB2312" w:cs="Times New Roman"/>
          <w:bCs/>
          <w:sz w:val="32"/>
          <w:szCs w:val="32"/>
        </w:rPr>
        <w:t>，相关内容也将</w:t>
      </w:r>
      <w:r>
        <w:rPr>
          <w:rFonts w:hint="eastAsia" w:ascii="Times New Roman" w:hAnsi="Times New Roman" w:eastAsia="仿宋_GB2312" w:cs="Times New Roman"/>
          <w:sz w:val="32"/>
          <w:szCs w:val="32"/>
        </w:rPr>
        <w:t>适时进行修订</w:t>
      </w:r>
      <w:r>
        <w:rPr>
          <w:rFonts w:hint="eastAsia" w:ascii="Times New Roman" w:hAnsi="Times New Roman" w:eastAsia="仿宋_GB2312" w:cs="Times New Roman"/>
          <w:bCs/>
          <w:sz w:val="32"/>
          <w:szCs w:val="32"/>
        </w:rPr>
        <w:t>。</w:t>
      </w:r>
    </w:p>
    <w:p w14:paraId="5F7F9E07">
      <w:pPr>
        <w:pStyle w:val="32"/>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本指导原则是对申请人和审查人员的指导性文件，</w:t>
      </w:r>
      <w:r>
        <w:rPr>
          <w:rFonts w:hint="eastAsia" w:ascii="Times New Roman" w:hAnsi="Times New Roman" w:eastAsia="仿宋_GB2312" w:cs="Times New Roman"/>
          <w:sz w:val="32"/>
          <w:szCs w:val="32"/>
        </w:rPr>
        <w:t>不包括审评审批所涉及的行政事项，</w:t>
      </w:r>
      <w:r>
        <w:rPr>
          <w:rFonts w:hint="eastAsia" w:ascii="Times New Roman" w:hAnsi="Times New Roman" w:eastAsia="仿宋_GB2312" w:cs="Times New Roman"/>
          <w:bCs/>
          <w:sz w:val="32"/>
          <w:szCs w:val="32"/>
        </w:rPr>
        <w:t>亦</w:t>
      </w:r>
      <w:r>
        <w:rPr>
          <w:rFonts w:hint="eastAsia" w:ascii="Times New Roman" w:hAnsi="Times New Roman" w:eastAsia="仿宋_GB2312" w:cs="Times New Roman"/>
          <w:sz w:val="32"/>
          <w:szCs w:val="32"/>
        </w:rPr>
        <w:t>不作为法规强制执行，</w:t>
      </w:r>
      <w:r>
        <w:rPr>
          <w:rFonts w:hint="eastAsia" w:ascii="Times New Roman" w:hAnsi="Times New Roman" w:eastAsia="仿宋_GB2312" w:cs="Times New Roman"/>
          <w:bCs/>
          <w:sz w:val="32"/>
          <w:szCs w:val="32"/>
        </w:rPr>
        <w:t>应在遵循相关法规的前提下使用本指导原则。</w:t>
      </w:r>
    </w:p>
    <w:p w14:paraId="0D3DB0DC">
      <w:pPr>
        <w:pStyle w:val="2"/>
        <w:spacing w:before="0" w:beforeAutospacing="0" w:after="0" w:afterAutospacing="0" w:line="560" w:lineRule="exact"/>
        <w:ind w:firstLine="640" w:firstLineChars="200"/>
        <w:jc w:val="both"/>
        <w:rPr>
          <w:rFonts w:ascii="Times New Roman" w:hAnsi="Times New Roman" w:eastAsia="黑体" w:cs="Times New Roman"/>
          <w:b w:val="0"/>
          <w:sz w:val="32"/>
          <w:szCs w:val="28"/>
        </w:rPr>
      </w:pPr>
      <w:bookmarkStart w:id="1" w:name="_Toc468803071"/>
      <w:r>
        <w:rPr>
          <w:rFonts w:hint="eastAsia" w:ascii="Times New Roman" w:hAnsi="Times New Roman" w:eastAsia="黑体" w:cs="Times New Roman"/>
          <w:b w:val="0"/>
          <w:sz w:val="32"/>
          <w:szCs w:val="28"/>
        </w:rPr>
        <w:t>一、适用范围</w:t>
      </w:r>
      <w:bookmarkEnd w:id="1"/>
    </w:p>
    <w:p w14:paraId="741FB83D">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牙科种植机的管理类别为</w:t>
      </w:r>
      <w:r>
        <w:rPr>
          <w:rFonts w:ascii="Times New Roman" w:hAnsi="Times New Roman" w:eastAsia="仿宋_GB2312" w:cs="Times New Roman"/>
          <w:sz w:val="32"/>
          <w:szCs w:val="32"/>
        </w:rPr>
        <w:t>II</w:t>
      </w:r>
      <w:r>
        <w:rPr>
          <w:rFonts w:hint="eastAsia" w:ascii="Times New Roman" w:hAnsi="Times New Roman" w:eastAsia="仿宋_GB2312" w:cs="Times New Roman"/>
          <w:sz w:val="32"/>
          <w:szCs w:val="32"/>
        </w:rPr>
        <w:t>类，分类编码为</w:t>
      </w:r>
      <w:r>
        <w:rPr>
          <w:rFonts w:ascii="Times New Roman" w:hAnsi="Times New Roman" w:eastAsia="仿宋_GB2312" w:cs="Times New Roman"/>
          <w:sz w:val="32"/>
          <w:szCs w:val="32"/>
        </w:rPr>
        <w:t>6855</w:t>
      </w:r>
      <w:r>
        <w:rPr>
          <w:rFonts w:hint="eastAsia" w:ascii="Times New Roman" w:hAnsi="Times New Roman" w:eastAsia="仿宋_GB2312" w:cs="Times New Roman"/>
          <w:sz w:val="32"/>
          <w:szCs w:val="32"/>
        </w:rPr>
        <w:t>（口腔科设备及器具），属于口腔科手术设备。</w:t>
      </w:r>
    </w:p>
    <w:p w14:paraId="73BBDB20">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本指导原则适用于电力驱动式的牙科种植机。牙科种植机是一种提供种植手术用器械所需的驱动力，用于实施牙科种植手术的医用电气设备。</w:t>
      </w:r>
    </w:p>
    <w:p w14:paraId="04826837">
      <w:pPr>
        <w:pStyle w:val="2"/>
        <w:spacing w:before="0" w:beforeAutospacing="0" w:after="0" w:afterAutospacing="0" w:line="560" w:lineRule="exact"/>
        <w:ind w:firstLine="640" w:firstLineChars="200"/>
        <w:jc w:val="both"/>
        <w:rPr>
          <w:rFonts w:ascii="Times New Roman" w:hAnsi="Times New Roman" w:eastAsia="黑体" w:cs="Times New Roman"/>
          <w:b w:val="0"/>
          <w:sz w:val="32"/>
          <w:szCs w:val="28"/>
        </w:rPr>
      </w:pPr>
      <w:bookmarkStart w:id="2" w:name="_Toc468803072"/>
      <w:r>
        <w:rPr>
          <w:rFonts w:hint="eastAsia" w:ascii="Times New Roman" w:hAnsi="Times New Roman" w:eastAsia="黑体" w:cs="Times New Roman"/>
          <w:b w:val="0"/>
          <w:sz w:val="32"/>
          <w:szCs w:val="28"/>
        </w:rPr>
        <w:t>二、技术审查要点</w:t>
      </w:r>
      <w:bookmarkEnd w:id="2"/>
    </w:p>
    <w:p w14:paraId="7277DD46">
      <w:pPr>
        <w:pStyle w:val="63"/>
        <w:spacing w:line="560" w:lineRule="exact"/>
        <w:ind w:firstLine="640"/>
        <w:rPr>
          <w:rFonts w:eastAsia="楷体_GB2312"/>
        </w:rPr>
      </w:pPr>
      <w:bookmarkStart w:id="3" w:name="_Toc468803073"/>
      <w:r>
        <w:rPr>
          <w:rFonts w:hint="eastAsia" w:eastAsia="楷体_GB2312"/>
        </w:rPr>
        <w:t>（一）产品名称的要求</w:t>
      </w:r>
      <w:bookmarkEnd w:id="3"/>
    </w:p>
    <w:p w14:paraId="70AB4A1A">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应使用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牙科种植机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作为产品名称。</w:t>
      </w:r>
      <w:bookmarkStart w:id="4" w:name="_Toc468803074"/>
    </w:p>
    <w:p w14:paraId="06DC2976">
      <w:pPr>
        <w:pStyle w:val="63"/>
        <w:spacing w:line="560" w:lineRule="exact"/>
        <w:ind w:firstLine="640"/>
        <w:rPr>
          <w:rFonts w:eastAsia="楷体_GB2312"/>
        </w:rPr>
      </w:pPr>
      <w:r>
        <w:rPr>
          <w:rFonts w:hint="eastAsia" w:eastAsia="楷体_GB2312"/>
        </w:rPr>
        <w:t>（二）产品适用范围的要求</w:t>
      </w:r>
      <w:bookmarkEnd w:id="4"/>
    </w:p>
    <w:p w14:paraId="10B94235">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产品适用于牙科种植治疗。</w:t>
      </w:r>
      <w:bookmarkStart w:id="5" w:name="_Toc468803075"/>
    </w:p>
    <w:p w14:paraId="7306AE7F">
      <w:pPr>
        <w:pStyle w:val="63"/>
        <w:spacing w:line="560" w:lineRule="exact"/>
        <w:ind w:firstLine="640"/>
        <w:rPr>
          <w:rFonts w:eastAsia="楷体_GB2312"/>
        </w:rPr>
      </w:pPr>
      <w:r>
        <w:rPr>
          <w:rFonts w:hint="eastAsia" w:eastAsia="楷体_GB2312"/>
        </w:rPr>
        <w:t>（三）产品综述资料</w:t>
      </w:r>
      <w:bookmarkEnd w:id="5"/>
    </w:p>
    <w:p w14:paraId="56E58A00">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牙科种植机根据不同的结构，分为内置式、网电源供电和内部电源供电三种。</w:t>
      </w:r>
    </w:p>
    <w:p w14:paraId="5A49EB15">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申请人应提交器械的完整描述，包括所有型号、规格及配置。</w:t>
      </w:r>
    </w:p>
    <w:p w14:paraId="70600A51">
      <w:pPr>
        <w:pStyle w:val="32"/>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说明牙科种植机的结构，提供原理（组成）框图及实物图。内容应足够详尽，便于评估器械的性质和操作。</w:t>
      </w:r>
    </w:p>
    <w:p w14:paraId="496A6A8D">
      <w:pPr>
        <w:spacing w:line="56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sz w:val="32"/>
          <w:szCs w:val="32"/>
        </w:rPr>
        <w:t>例如内置式牙科种植机可描述如下：</w:t>
      </w:r>
    </w:p>
    <w:p w14:paraId="327D585A">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该结构的产品作为模块安装在牙科治疗机内，由牙科治疗机供电，并通过牙科治疗机的控制台面板和脚踏开关预设或调节与种植手术操作步骤相对应的功能。</w:t>
      </w:r>
    </w:p>
    <w:p w14:paraId="59209ABE">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该结构的产品由功能控制电路、马达线缆、马达、手机、脚踏开关等组成。框图如下：</w:t>
      </w:r>
    </w:p>
    <w:p w14:paraId="5E70EA8F">
      <w:pPr>
        <w:spacing w:line="520" w:lineRule="exact"/>
        <w:ind w:firstLine="560" w:firstLineChars="200"/>
        <w:rPr>
          <w:rFonts w:ascii="Times New Roman" w:hAnsi="Times New Roman" w:eastAsia="仿宋_GB2312" w:cs="Times New Roman"/>
          <w:sz w:val="28"/>
          <w:szCs w:val="28"/>
        </w:rPr>
      </w:pPr>
    </w:p>
    <w:p w14:paraId="1BEB5E3B">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91008" behindDoc="0" locked="0" layoutInCell="1" allowOverlap="1">
                <wp:simplePos x="0" y="0"/>
                <wp:positionH relativeFrom="column">
                  <wp:posOffset>1955165</wp:posOffset>
                </wp:positionH>
                <wp:positionV relativeFrom="paragraph">
                  <wp:posOffset>13335</wp:posOffset>
                </wp:positionV>
                <wp:extent cx="735330" cy="297180"/>
                <wp:effectExtent l="12065" t="13335" r="5080" b="13335"/>
                <wp:wrapNone/>
                <wp:docPr id="35" name="Text Box 72"/>
                <wp:cNvGraphicFramePr/>
                <a:graphic xmlns:a="http://schemas.openxmlformats.org/drawingml/2006/main">
                  <a:graphicData uri="http://schemas.microsoft.com/office/word/2010/wordprocessingShape">
                    <wps:wsp>
                      <wps:cNvSpPr txBox="1">
                        <a:spLocks noChangeArrowheads="1"/>
                      </wps:cNvSpPr>
                      <wps:spPr bwMode="auto">
                        <a:xfrm>
                          <a:off x="0" y="0"/>
                          <a:ext cx="735330" cy="297180"/>
                        </a:xfrm>
                        <a:prstGeom prst="rect">
                          <a:avLst/>
                        </a:prstGeom>
                        <a:solidFill>
                          <a:srgbClr val="FFFFFF"/>
                        </a:solidFill>
                        <a:ln w="9525">
                          <a:solidFill>
                            <a:srgbClr val="000000"/>
                          </a:solidFill>
                          <a:miter lim="800000"/>
                        </a:ln>
                      </wps:spPr>
                      <wps:txbx>
                        <w:txbxContent>
                          <w:p w14:paraId="7BE4411A">
                            <w:pPr>
                              <w:jc w:val="center"/>
                              <w:rPr>
                                <w:rFonts w:ascii="仿宋" w:hAnsi="仿宋" w:eastAsia="仿宋"/>
                                <w:sz w:val="21"/>
                                <w:szCs w:val="21"/>
                              </w:rPr>
                            </w:pPr>
                            <w:r>
                              <w:rPr>
                                <w:rFonts w:ascii="仿宋" w:hAnsi="仿宋" w:eastAsia="仿宋"/>
                                <w:sz w:val="21"/>
                                <w:szCs w:val="21"/>
                              </w:rPr>
                              <w:t>蠕动泵</w:t>
                            </w:r>
                          </w:p>
                        </w:txbxContent>
                      </wps:txbx>
                      <wps:bodyPr rot="0" vert="horz" wrap="square" lIns="91440" tIns="46800" rIns="91440" bIns="45720" anchor="t" anchorCtr="0" upright="1">
                        <a:noAutofit/>
                      </wps:bodyPr>
                    </wps:wsp>
                  </a:graphicData>
                </a:graphic>
              </wp:anchor>
            </w:drawing>
          </mc:Choice>
          <mc:Fallback>
            <w:pict>
              <v:shape id="Text Box 72" o:spid="_x0000_s1026" o:spt="202" type="#_x0000_t202" style="position:absolute;left:0pt;margin-left:153.95pt;margin-top:1.05pt;height:23.4pt;width:57.9pt;z-index:251691008;mso-width-relative:page;mso-height-relative:page;" fillcolor="#FFFFFF" filled="t" stroked="t" coordsize="21600,21600" o:gfxdata="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5+dGG1wAAAAgBAAAPAAAAAAAAAAEAIAAAACIAAABkcnMvZG93bnJldi54&#10;bWxQSwECFAAUAAAACACHTuJAGF5ZFTQCAACHBAAADgAAAAAAAAABACAAAAAmAQAAZHJzL2Uyb0Rv&#10;Yy54bWxQSwUGAAAAAAYABgBZAQAAzAUAAAAA&#10;">
                <v:fill on="t" focussize="0,0"/>
                <v:stroke color="#000000" miterlimit="8" joinstyle="miter"/>
                <v:imagedata o:title=""/>
                <o:lock v:ext="edit" aspectratio="f"/>
                <v:textbox inset="2.54mm,1.3mm,2.54mm,1.27mm">
                  <w:txbxContent>
                    <w:p w14:paraId="7BE4411A">
                      <w:pPr>
                        <w:jc w:val="center"/>
                        <w:rPr>
                          <w:rFonts w:ascii="仿宋" w:hAnsi="仿宋" w:eastAsia="仿宋"/>
                          <w:sz w:val="21"/>
                          <w:szCs w:val="21"/>
                        </w:rPr>
                      </w:pPr>
                      <w:r>
                        <w:rPr>
                          <w:rFonts w:ascii="仿宋" w:hAnsi="仿宋" w:eastAsia="仿宋"/>
                          <w:sz w:val="21"/>
                          <w:szCs w:val="21"/>
                        </w:rPr>
                        <w:t>蠕动泵</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92032" behindDoc="0" locked="0" layoutInCell="1" allowOverlap="1">
                <wp:simplePos x="0" y="0"/>
                <wp:positionH relativeFrom="column">
                  <wp:posOffset>1478915</wp:posOffset>
                </wp:positionH>
                <wp:positionV relativeFrom="paragraph">
                  <wp:posOffset>165735</wp:posOffset>
                </wp:positionV>
                <wp:extent cx="462915" cy="215900"/>
                <wp:effectExtent l="31115" t="60960" r="20320" b="8890"/>
                <wp:wrapNone/>
                <wp:docPr id="34" name="AutoShape 73"/>
                <wp:cNvGraphicFramePr/>
                <a:graphic xmlns:a="http://schemas.openxmlformats.org/drawingml/2006/main">
                  <a:graphicData uri="http://schemas.microsoft.com/office/word/2010/wordprocessingShape">
                    <wps:wsp>
                      <wps:cNvCnPr>
                        <a:cxnSpLocks noChangeShapeType="1"/>
                      </wps:cNvCnPr>
                      <wps:spPr bwMode="auto">
                        <a:xfrm flipV="1">
                          <a:off x="0" y="0"/>
                          <a:ext cx="462915" cy="215900"/>
                        </a:xfrm>
                        <a:prstGeom prst="bentConnector3">
                          <a:avLst>
                            <a:gd name="adj1" fmla="val -5213"/>
                          </a:avLst>
                        </a:prstGeom>
                        <a:noFill/>
                        <a:ln w="9525">
                          <a:solidFill>
                            <a:srgbClr val="000000"/>
                          </a:solidFill>
                          <a:miter lim="800000"/>
                          <a:tailEnd type="triangle" w="med" len="med"/>
                        </a:ln>
                      </wps:spPr>
                      <wps:bodyPr/>
                    </wps:wsp>
                  </a:graphicData>
                </a:graphic>
              </wp:anchor>
            </w:drawing>
          </mc:Choice>
          <mc:Fallback>
            <w:pict>
              <v:shape id="AutoShape 73" o:spid="_x0000_s1026" o:spt="34" type="#_x0000_t34" style="position:absolute;left:0pt;flip:y;margin-left:116.45pt;margin-top:13.05pt;height:17pt;width:36.45pt;z-index:251692032;mso-width-relative:page;mso-height-relative:page;" filled="f" stroked="t" coordsize="21600,21600" o:gfxdata="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5ybGT1wAAAAkBAAAP&#10;AAAAAAAAAAEAIAAAACIAAABkcnMvZG93bnJldi54bWxQSwECFAAUAAAACACHTuJAPorzIBkCAAAm&#10;BAAADgAAAAAAAAABACAAAAAmAQAAZHJzL2Uyb0RvYy54bWxQSwUGAAAAAAYABgBZAQAAsQUAAAAA&#10;" adj="-1126">
                <v:fill on="f" focussize="0,0"/>
                <v:stroke color="#000000" miterlimit="8" joinstyle="miter" endarrow="block"/>
                <v:imagedata o:title=""/>
                <o:lock v:ext="edit" aspectratio="f"/>
              </v:shape>
            </w:pict>
          </mc:Fallback>
        </mc:AlternateContent>
      </w:r>
    </w:p>
    <w:p w14:paraId="3D7F25D9">
      <w:pPr>
        <w:autoSpaceDE w:val="0"/>
        <w:autoSpaceDN w:val="0"/>
        <w:adjustRightIn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80768" behindDoc="0" locked="0" layoutInCell="1" allowOverlap="1">
                <wp:simplePos x="0" y="0"/>
                <wp:positionH relativeFrom="column">
                  <wp:posOffset>4827905</wp:posOffset>
                </wp:positionH>
                <wp:positionV relativeFrom="paragraph">
                  <wp:posOffset>43815</wp:posOffset>
                </wp:positionV>
                <wp:extent cx="751840" cy="544195"/>
                <wp:effectExtent l="0" t="0" r="10795" b="27940"/>
                <wp:wrapNone/>
                <wp:docPr id="28" name="Text Box 56"/>
                <wp:cNvGraphicFramePr/>
                <a:graphic xmlns:a="http://schemas.openxmlformats.org/drawingml/2006/main">
                  <a:graphicData uri="http://schemas.microsoft.com/office/word/2010/wordprocessingShape">
                    <wps:wsp>
                      <wps:cNvSpPr txBox="1">
                        <a:spLocks noChangeArrowheads="1"/>
                      </wps:cNvSpPr>
                      <wps:spPr bwMode="auto">
                        <a:xfrm>
                          <a:off x="0" y="0"/>
                          <a:ext cx="751715" cy="544152"/>
                        </a:xfrm>
                        <a:prstGeom prst="rect">
                          <a:avLst/>
                        </a:prstGeom>
                        <a:solidFill>
                          <a:srgbClr val="FFFFFF"/>
                        </a:solidFill>
                        <a:ln w="9525">
                          <a:solidFill>
                            <a:srgbClr val="000000"/>
                          </a:solidFill>
                          <a:miter lim="800000"/>
                        </a:ln>
                      </wps:spPr>
                      <wps:txbx>
                        <w:txbxContent>
                          <w:p w14:paraId="2CA06C7C">
                            <w:pPr>
                              <w:jc w:val="center"/>
                              <w:rPr>
                                <w:rFonts w:ascii="仿宋" w:hAnsi="仿宋" w:eastAsia="仿宋"/>
                                <w:sz w:val="21"/>
                                <w:szCs w:val="21"/>
                              </w:rPr>
                            </w:pPr>
                            <w:r>
                              <w:rPr>
                                <w:rFonts w:hint="eastAsia" w:ascii="仿宋" w:hAnsi="仿宋" w:eastAsia="仿宋"/>
                                <w:sz w:val="21"/>
                                <w:szCs w:val="21"/>
                              </w:rPr>
                              <w:t>种植手术</w:t>
                            </w:r>
                          </w:p>
                          <w:p w14:paraId="763C96C9">
                            <w:pPr>
                              <w:jc w:val="center"/>
                              <w:rPr>
                                <w:rFonts w:ascii="仿宋" w:hAnsi="仿宋" w:eastAsia="仿宋"/>
                                <w:sz w:val="21"/>
                                <w:szCs w:val="21"/>
                              </w:rPr>
                            </w:pPr>
                            <w:r>
                              <w:rPr>
                                <w:rFonts w:hint="eastAsia" w:ascii="仿宋" w:hAnsi="仿宋" w:eastAsia="仿宋"/>
                                <w:sz w:val="21"/>
                                <w:szCs w:val="21"/>
                              </w:rPr>
                              <w:t>用器械</w:t>
                            </w:r>
                          </w:p>
                          <w:p w14:paraId="3FEFA998"/>
                        </w:txbxContent>
                      </wps:txbx>
                      <wps:bodyPr rot="0" vert="horz" wrap="square" lIns="91440" tIns="46800" rIns="91440" bIns="45720" anchor="t" anchorCtr="0" upright="1">
                        <a:noAutofit/>
                      </wps:bodyPr>
                    </wps:wsp>
                  </a:graphicData>
                </a:graphic>
              </wp:anchor>
            </w:drawing>
          </mc:Choice>
          <mc:Fallback>
            <w:pict>
              <v:shape id="Text Box 56" o:spid="_x0000_s1026" o:spt="202" type="#_x0000_t202" style="position:absolute;left:0pt;margin-left:380.15pt;margin-top:3.45pt;height:42.85pt;width:59.2pt;z-index:251680768;mso-width-relative:page;mso-height-relative:page;" fillcolor="#FFFFFF" filled="t" stroked="t" coordsize="21600,21600" o:gfxdata="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0DKaA1wAAAAgBAAAPAAAAAAAAAAEAIAAAACIAAABkcnMvZG93bnJldi54&#10;bWxQSwECFAAUAAAACACHTuJAI8ZGpDQCAACHBAAADgAAAAAAAAABACAAAAAmAQAAZHJzL2Uyb0Rv&#10;Yy54bWxQSwUGAAAAAAYABgBZAQAAzAUAAAAA&#10;">
                <v:fill on="t" focussize="0,0"/>
                <v:stroke color="#000000" miterlimit="8" joinstyle="miter"/>
                <v:imagedata o:title=""/>
                <o:lock v:ext="edit" aspectratio="f"/>
                <v:textbox inset="2.54mm,1.3mm,2.54mm,1.27mm">
                  <w:txbxContent>
                    <w:p w14:paraId="2CA06C7C">
                      <w:pPr>
                        <w:jc w:val="center"/>
                        <w:rPr>
                          <w:rFonts w:ascii="仿宋" w:hAnsi="仿宋" w:eastAsia="仿宋"/>
                          <w:sz w:val="21"/>
                          <w:szCs w:val="21"/>
                        </w:rPr>
                      </w:pPr>
                      <w:r>
                        <w:rPr>
                          <w:rFonts w:hint="eastAsia" w:ascii="仿宋" w:hAnsi="仿宋" w:eastAsia="仿宋"/>
                          <w:sz w:val="21"/>
                          <w:szCs w:val="21"/>
                        </w:rPr>
                        <w:t>种植手术</w:t>
                      </w:r>
                    </w:p>
                    <w:p w14:paraId="763C96C9">
                      <w:pPr>
                        <w:jc w:val="center"/>
                        <w:rPr>
                          <w:rFonts w:ascii="仿宋" w:hAnsi="仿宋" w:eastAsia="仿宋"/>
                          <w:sz w:val="21"/>
                          <w:szCs w:val="21"/>
                        </w:rPr>
                      </w:pPr>
                      <w:r>
                        <w:rPr>
                          <w:rFonts w:hint="eastAsia" w:ascii="仿宋" w:hAnsi="仿宋" w:eastAsia="仿宋"/>
                          <w:sz w:val="21"/>
                          <w:szCs w:val="21"/>
                        </w:rPr>
                        <w:t>用器械</w:t>
                      </w:r>
                    </w:p>
                    <w:p w14:paraId="3FEFA998"/>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861695</wp:posOffset>
                </wp:positionH>
                <wp:positionV relativeFrom="paragraph">
                  <wp:posOffset>51435</wp:posOffset>
                </wp:positionV>
                <wp:extent cx="1287780" cy="541020"/>
                <wp:effectExtent l="13970" t="13335" r="12700" b="7620"/>
                <wp:wrapNone/>
                <wp:docPr id="33"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287780" cy="541020"/>
                        </a:xfrm>
                        <a:prstGeom prst="rect">
                          <a:avLst/>
                        </a:prstGeom>
                        <a:solidFill>
                          <a:srgbClr val="FFFFFF"/>
                        </a:solidFill>
                        <a:ln w="9525">
                          <a:solidFill>
                            <a:srgbClr val="000000"/>
                          </a:solidFill>
                          <a:miter lim="800000"/>
                        </a:ln>
                      </wps:spPr>
                      <wps:txbx>
                        <w:txbxContent>
                          <w:p w14:paraId="28B07EE2">
                            <w:pPr>
                              <w:jc w:val="center"/>
                              <w:rPr>
                                <w:rFonts w:ascii="仿宋" w:hAnsi="仿宋" w:eastAsia="仿宋"/>
                                <w:sz w:val="21"/>
                                <w:szCs w:val="21"/>
                              </w:rPr>
                            </w:pPr>
                            <w:r>
                              <w:rPr>
                                <w:rFonts w:hint="eastAsia" w:ascii="仿宋" w:hAnsi="仿宋" w:eastAsia="仿宋"/>
                                <w:sz w:val="21"/>
                                <w:szCs w:val="21"/>
                              </w:rPr>
                              <w:t>牙科治疗机（含内置牙科种植模块）</w:t>
                            </w:r>
                          </w:p>
                        </w:txbxContent>
                      </wps:txbx>
                      <wps:bodyPr rot="0" vert="horz" wrap="square" lIns="91440" tIns="46800" rIns="91440" bIns="45720" anchor="t" anchorCtr="0" upright="1">
                        <a:noAutofit/>
                      </wps:bodyPr>
                    </wps:wsp>
                  </a:graphicData>
                </a:graphic>
              </wp:anchor>
            </w:drawing>
          </mc:Choice>
          <mc:Fallback>
            <w:pict>
              <v:shape id="Text Box 28" o:spid="_x0000_s1026" o:spt="202" type="#_x0000_t202" style="position:absolute;left:0pt;margin-left:67.85pt;margin-top:4.05pt;height:42.6pt;width:101.4pt;z-index:251659264;mso-width-relative:page;mso-height-relative:page;" fillcolor="#FFFFFF" filled="t" stroked="t" coordsize="21600,21600" o:gfxdata="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BbwHr1gAAAAgBAAAPAAAAAAAAAAEAIAAAACIAAABkcnMvZG93bnJldi54&#10;bWxQSwECFAAUAAAACACHTuJAQnOngTUCAACIBAAADgAAAAAAAAABACAAAAAlAQAAZHJzL2Uyb0Rv&#10;Yy54bWxQSwUGAAAAAAYABgBZAQAAzAUAAAAA&#10;">
                <v:fill on="t" focussize="0,0"/>
                <v:stroke color="#000000" miterlimit="8" joinstyle="miter"/>
                <v:imagedata o:title=""/>
                <o:lock v:ext="edit" aspectratio="f"/>
                <v:textbox inset="2.54mm,1.3mm,2.54mm,1.27mm">
                  <w:txbxContent>
                    <w:p w14:paraId="28B07EE2">
                      <w:pPr>
                        <w:jc w:val="center"/>
                        <w:rPr>
                          <w:rFonts w:ascii="仿宋" w:hAnsi="仿宋" w:eastAsia="仿宋"/>
                          <w:sz w:val="21"/>
                          <w:szCs w:val="21"/>
                        </w:rPr>
                      </w:pPr>
                      <w:r>
                        <w:rPr>
                          <w:rFonts w:hint="eastAsia" w:ascii="仿宋" w:hAnsi="仿宋" w:eastAsia="仿宋"/>
                          <w:sz w:val="21"/>
                          <w:szCs w:val="21"/>
                        </w:rPr>
                        <w:t>牙科治疗机（含内置牙科种植模块）</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82816" behindDoc="0" locked="0" layoutInCell="1" allowOverlap="1">
                <wp:simplePos x="0" y="0"/>
                <wp:positionH relativeFrom="column">
                  <wp:posOffset>2393950</wp:posOffset>
                </wp:positionH>
                <wp:positionV relativeFrom="paragraph">
                  <wp:posOffset>172085</wp:posOffset>
                </wp:positionV>
                <wp:extent cx="735330" cy="297180"/>
                <wp:effectExtent l="12700" t="10160" r="13970" b="6985"/>
                <wp:wrapNone/>
                <wp:docPr id="32" name="Text Box 58"/>
                <wp:cNvGraphicFramePr/>
                <a:graphic xmlns:a="http://schemas.openxmlformats.org/drawingml/2006/main">
                  <a:graphicData uri="http://schemas.microsoft.com/office/word/2010/wordprocessingShape">
                    <wps:wsp>
                      <wps:cNvSpPr txBox="1">
                        <a:spLocks noChangeArrowheads="1"/>
                      </wps:cNvSpPr>
                      <wps:spPr bwMode="auto">
                        <a:xfrm>
                          <a:off x="0" y="0"/>
                          <a:ext cx="735330" cy="297180"/>
                        </a:xfrm>
                        <a:prstGeom prst="rect">
                          <a:avLst/>
                        </a:prstGeom>
                        <a:solidFill>
                          <a:srgbClr val="FFFFFF"/>
                        </a:solidFill>
                        <a:ln w="9525">
                          <a:solidFill>
                            <a:srgbClr val="000000"/>
                          </a:solidFill>
                          <a:miter lim="800000"/>
                        </a:ln>
                      </wps:spPr>
                      <wps:txbx>
                        <w:txbxContent>
                          <w:p w14:paraId="4D9097D4">
                            <w:pPr>
                              <w:jc w:val="center"/>
                              <w:rPr>
                                <w:rFonts w:ascii="仿宋" w:hAnsi="仿宋" w:eastAsia="仿宋"/>
                                <w:sz w:val="21"/>
                                <w:szCs w:val="21"/>
                              </w:rPr>
                            </w:pPr>
                            <w:r>
                              <w:rPr>
                                <w:rFonts w:hint="eastAsia" w:ascii="仿宋" w:hAnsi="仿宋" w:eastAsia="仿宋"/>
                                <w:sz w:val="21"/>
                                <w:szCs w:val="21"/>
                              </w:rPr>
                              <w:t>马达线缆</w:t>
                            </w:r>
                          </w:p>
                        </w:txbxContent>
                      </wps:txbx>
                      <wps:bodyPr rot="0" vert="horz" wrap="square" lIns="91440" tIns="46800" rIns="91440" bIns="45720" anchor="t" anchorCtr="0" upright="1">
                        <a:noAutofit/>
                      </wps:bodyPr>
                    </wps:wsp>
                  </a:graphicData>
                </a:graphic>
              </wp:anchor>
            </w:drawing>
          </mc:Choice>
          <mc:Fallback>
            <w:pict>
              <v:shape id="Text Box 58" o:spid="_x0000_s1026" o:spt="202" type="#_x0000_t202" style="position:absolute;left:0pt;margin-left:188.5pt;margin-top:13.55pt;height:23.4pt;width:57.9pt;z-index:251682816;mso-width-relative:page;mso-height-relative:page;" fillcolor="#FFFFFF" filled="t" stroked="t" coordsize="21600,21600" o:gfxdata="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P1grtgAAAAJAQAADwAAAAAAAAABACAAAAAiAAAAZHJzL2Rvd25yZXYu&#10;eG1sUEsBAhQAFAAAAAgAh07iQLPDXP40AgAAhwQAAA4AAAAAAAAAAQAgAAAAJwEAAGRycy9lMm9E&#10;b2MueG1sUEsFBgAAAAAGAAYAWQEAAM0FAAAAAA==&#10;">
                <v:fill on="t" focussize="0,0"/>
                <v:stroke color="#000000" miterlimit="8" joinstyle="miter"/>
                <v:imagedata o:title=""/>
                <o:lock v:ext="edit" aspectratio="f"/>
                <v:textbox inset="2.54mm,1.3mm,2.54mm,1.27mm">
                  <w:txbxContent>
                    <w:p w14:paraId="4D9097D4">
                      <w:pPr>
                        <w:jc w:val="center"/>
                        <w:rPr>
                          <w:rFonts w:ascii="仿宋" w:hAnsi="仿宋" w:eastAsia="仿宋"/>
                          <w:sz w:val="21"/>
                          <w:szCs w:val="21"/>
                        </w:rPr>
                      </w:pPr>
                      <w:r>
                        <w:rPr>
                          <w:rFonts w:hint="eastAsia" w:ascii="仿宋" w:hAnsi="仿宋" w:eastAsia="仿宋"/>
                          <w:sz w:val="21"/>
                          <w:szCs w:val="21"/>
                        </w:rPr>
                        <w:t>马达线缆</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2160905</wp:posOffset>
                </wp:positionH>
                <wp:positionV relativeFrom="paragraph">
                  <wp:posOffset>325755</wp:posOffset>
                </wp:positionV>
                <wp:extent cx="228600" cy="0"/>
                <wp:effectExtent l="8255" t="59055" r="20320" b="55245"/>
                <wp:wrapNone/>
                <wp:docPr id="31" name="Line 32"/>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32" o:spid="_x0000_s1026" o:spt="20" style="position:absolute;left:0pt;margin-left:170.15pt;margin-top:25.65pt;height:0pt;width:18pt;z-index:251660288;mso-width-relative:page;mso-height-relative:page;" filled="f" stroked="t" coordsize="21600,21600" o:gfxdata="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66Cr2AAA&#10;AAkBAAAPAAAAAAAAAAEAIAAAACIAAABkcnMvZG93bnJldi54bWxQSwECFAAUAAAACACHTuJAKblu&#10;LOUBAADOAwAADgAAAAAAAAABACAAAAAnAQAAZHJzL2Uyb0RvYy54bWxQSwUGAAAAAAYABgBZAQAA&#10;fgU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624840</wp:posOffset>
                </wp:positionH>
                <wp:positionV relativeFrom="paragraph">
                  <wp:posOffset>320040</wp:posOffset>
                </wp:positionV>
                <wp:extent cx="228600" cy="0"/>
                <wp:effectExtent l="5715" t="53340" r="22860" b="60960"/>
                <wp:wrapNone/>
                <wp:docPr id="30" name="Line 36"/>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36" o:spid="_x0000_s1026" o:spt="20" style="position:absolute;left:0pt;margin-left:49.2pt;margin-top:25.2pt;height:0pt;width:18pt;z-index:251662336;mso-width-relative:page;mso-height-relative:page;" filled="f" stroked="t" coordsize="21600,21600" o:gfxdata="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qJ5nYAAAA&#10;CAEAAA8AAAAAAAAAAQAgAAAAIgAAAGRycy9kb3ducmV2LnhtbFBLAQIUABQAAAAIAIdO4kCbrSPl&#10;5AEAAM4DAAAOAAAAAAAAAAEAIAAAACcBAABkcnMvZTJvRG9jLnhtbFBLBQYAAAAABgAGAFkBAAB9&#10;BQ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173355</wp:posOffset>
                </wp:positionV>
                <wp:extent cx="699770" cy="297180"/>
                <wp:effectExtent l="12065" t="11430" r="12065" b="5715"/>
                <wp:wrapNone/>
                <wp:docPr id="29" name="Text Box 35"/>
                <wp:cNvGraphicFramePr/>
                <a:graphic xmlns:a="http://schemas.openxmlformats.org/drawingml/2006/main">
                  <a:graphicData uri="http://schemas.microsoft.com/office/word/2010/wordprocessingShape">
                    <wps:wsp>
                      <wps:cNvSpPr txBox="1">
                        <a:spLocks noChangeArrowheads="1"/>
                      </wps:cNvSpPr>
                      <wps:spPr bwMode="auto">
                        <a:xfrm>
                          <a:off x="0" y="0"/>
                          <a:ext cx="699770" cy="297180"/>
                        </a:xfrm>
                        <a:prstGeom prst="rect">
                          <a:avLst/>
                        </a:prstGeom>
                        <a:solidFill>
                          <a:srgbClr val="FFFFFF"/>
                        </a:solidFill>
                        <a:ln w="9525">
                          <a:solidFill>
                            <a:srgbClr val="000000"/>
                          </a:solidFill>
                          <a:miter lim="800000"/>
                        </a:ln>
                      </wps:spPr>
                      <wps:txbx>
                        <w:txbxContent>
                          <w:p w14:paraId="481DD50E">
                            <w:pPr>
                              <w:jc w:val="center"/>
                              <w:rPr>
                                <w:rFonts w:ascii="仿宋" w:hAnsi="仿宋" w:eastAsia="仿宋"/>
                                <w:sz w:val="21"/>
                                <w:szCs w:val="21"/>
                              </w:rPr>
                            </w:pPr>
                            <w:r>
                              <w:rPr>
                                <w:rFonts w:hint="eastAsia" w:ascii="仿宋" w:hAnsi="仿宋" w:eastAsia="仿宋"/>
                                <w:sz w:val="21"/>
                                <w:szCs w:val="21"/>
                              </w:rPr>
                              <w:t>网电源</w:t>
                            </w:r>
                          </w:p>
                        </w:txbxContent>
                      </wps:txbx>
                      <wps:bodyPr rot="0" vert="horz" wrap="square" lIns="91440" tIns="46800" rIns="91440" bIns="45720" anchor="t" anchorCtr="0" upright="1">
                        <a:noAutofit/>
                      </wps:bodyPr>
                    </wps:wsp>
                  </a:graphicData>
                </a:graphic>
              </wp:anchor>
            </w:drawing>
          </mc:Choice>
          <mc:Fallback>
            <w:pict>
              <v:shape id="Text Box 35" o:spid="_x0000_s1026" o:spt="202" type="#_x0000_t202" style="position:absolute;left:0pt;margin-left:-6.55pt;margin-top:13.65pt;height:23.4pt;width:55.1pt;z-index:251661312;mso-width-relative:page;mso-height-relative:page;" fillcolor="#FFFFFF" filled="t" stroked="t" coordsize="21600,21600" o:gfxdata="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mm/PJ1wAAAAgBAAAPAAAAAAAAAAEAIAAAACIAAABkcnMvZG93bnJldi54&#10;bWxQSwECFAAUAAAACACHTuJAQ/pyljQCAACHBAAADgAAAAAAAAABACAAAAAmAQAAZHJzL2Uyb0Rv&#10;Yy54bWxQSwUGAAAAAAYABgBZAQAAzAUAAAAA&#10;">
                <v:fill on="t" focussize="0,0"/>
                <v:stroke color="#000000" miterlimit="8" joinstyle="miter"/>
                <v:imagedata o:title=""/>
                <o:lock v:ext="edit" aspectratio="f"/>
                <v:textbox inset="2.54mm,1.3mm,2.54mm,1.27mm">
                  <w:txbxContent>
                    <w:p w14:paraId="481DD50E">
                      <w:pPr>
                        <w:jc w:val="center"/>
                        <w:rPr>
                          <w:rFonts w:ascii="仿宋" w:hAnsi="仿宋" w:eastAsia="仿宋"/>
                          <w:sz w:val="21"/>
                          <w:szCs w:val="21"/>
                        </w:rPr>
                      </w:pPr>
                      <w:r>
                        <w:rPr>
                          <w:rFonts w:hint="eastAsia" w:ascii="仿宋" w:hAnsi="仿宋" w:eastAsia="仿宋"/>
                          <w:sz w:val="21"/>
                          <w:szCs w:val="21"/>
                        </w:rPr>
                        <w:t>网电源</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4596765</wp:posOffset>
                </wp:positionH>
                <wp:positionV relativeFrom="paragraph">
                  <wp:posOffset>320040</wp:posOffset>
                </wp:positionV>
                <wp:extent cx="228600" cy="0"/>
                <wp:effectExtent l="5715" t="53340" r="22860" b="60960"/>
                <wp:wrapNone/>
                <wp:docPr id="27" name="Line 61"/>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61" o:spid="_x0000_s1026" o:spt="20" style="position:absolute;left:0pt;margin-left:361.95pt;margin-top:25.2pt;height:0pt;width:18pt;z-index:251685888;mso-width-relative:page;mso-height-relative:page;" filled="f" stroked="t" coordsize="21600,21600" o:gfxdata="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IV8z3ZAAAA&#10;CQEAAA8AAAAAAAAAAQAgAAAAIgAAAGRycy9kb3ducmV2LnhtbFBLAQIUABQAAAAIAIdO4kDlrcwP&#10;4wEAAM4DAAAOAAAAAAAAAAEAIAAAACgBAABkcnMvZTJvRG9jLnhtbFBLBQYAAAAABgAGAFkBAAB9&#10;BQ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9744" behindDoc="0" locked="0" layoutInCell="1" allowOverlap="1">
                <wp:simplePos x="0" y="0"/>
                <wp:positionH relativeFrom="column">
                  <wp:posOffset>4078605</wp:posOffset>
                </wp:positionH>
                <wp:positionV relativeFrom="paragraph">
                  <wp:posOffset>172085</wp:posOffset>
                </wp:positionV>
                <wp:extent cx="518160" cy="297180"/>
                <wp:effectExtent l="11430" t="10160" r="13335" b="6985"/>
                <wp:wrapNone/>
                <wp:docPr id="26" name="Text Box 55"/>
                <wp:cNvGraphicFramePr/>
                <a:graphic xmlns:a="http://schemas.openxmlformats.org/drawingml/2006/main">
                  <a:graphicData uri="http://schemas.microsoft.com/office/word/2010/wordprocessingShape">
                    <wps:wsp>
                      <wps:cNvSpPr txBox="1">
                        <a:spLocks noChangeArrowheads="1"/>
                      </wps:cNvSpPr>
                      <wps:spPr bwMode="auto">
                        <a:xfrm>
                          <a:off x="0" y="0"/>
                          <a:ext cx="518160" cy="297180"/>
                        </a:xfrm>
                        <a:prstGeom prst="rect">
                          <a:avLst/>
                        </a:prstGeom>
                        <a:solidFill>
                          <a:srgbClr val="FFFFFF"/>
                        </a:solidFill>
                        <a:ln w="9525">
                          <a:solidFill>
                            <a:srgbClr val="000000"/>
                          </a:solidFill>
                          <a:miter lim="800000"/>
                        </a:ln>
                      </wps:spPr>
                      <wps:txbx>
                        <w:txbxContent>
                          <w:p w14:paraId="7DDEA6B1">
                            <w:pPr>
                              <w:jc w:val="center"/>
                              <w:rPr>
                                <w:rFonts w:ascii="仿宋" w:hAnsi="仿宋" w:eastAsia="仿宋"/>
                                <w:sz w:val="21"/>
                                <w:szCs w:val="21"/>
                              </w:rPr>
                            </w:pPr>
                            <w:r>
                              <w:rPr>
                                <w:rFonts w:hint="eastAsia" w:ascii="仿宋" w:hAnsi="仿宋" w:eastAsia="仿宋"/>
                                <w:sz w:val="21"/>
                                <w:szCs w:val="21"/>
                              </w:rPr>
                              <w:t>手机</w:t>
                            </w:r>
                          </w:p>
                        </w:txbxContent>
                      </wps:txbx>
                      <wps:bodyPr rot="0" vert="horz" wrap="square" lIns="18000" tIns="46800" rIns="18000" bIns="36000" anchor="t" anchorCtr="0" upright="1">
                        <a:noAutofit/>
                      </wps:bodyPr>
                    </wps:wsp>
                  </a:graphicData>
                </a:graphic>
              </wp:anchor>
            </w:drawing>
          </mc:Choice>
          <mc:Fallback>
            <w:pict>
              <v:shape id="Text Box 55" o:spid="_x0000_s1026" o:spt="202" type="#_x0000_t202" style="position:absolute;left:0pt;margin-left:321.15pt;margin-top:13.55pt;height:23.4pt;width:40.8pt;z-index:251679744;mso-width-relative:page;mso-height-relative:page;" fillcolor="#FFFFFF" filled="t" stroked="t" coordsize="21600,21600" o:gfxdata="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TXjFK2gAAAAkBAAAPAAAAAAAAAAEAIAAAACIAAABkcnMvZG93bnJldi54&#10;bWxQSwECFAAUAAAACACHTuJAEc9AMTECAACHBAAADgAAAAAAAAABACAAAAApAQAAZHJzL2Uyb0Rv&#10;Yy54bWxQSwUGAAAAAAYABgBZAQAAzAUAAAAA&#10;">
                <v:fill on="t" focussize="0,0"/>
                <v:stroke color="#000000" miterlimit="8" joinstyle="miter"/>
                <v:imagedata o:title=""/>
                <o:lock v:ext="edit" aspectratio="f"/>
                <v:textbox inset="0.5mm,1.3mm,0.5mm,1mm">
                  <w:txbxContent>
                    <w:p w14:paraId="7DDEA6B1">
                      <w:pPr>
                        <w:jc w:val="center"/>
                        <w:rPr>
                          <w:rFonts w:ascii="仿宋" w:hAnsi="仿宋" w:eastAsia="仿宋"/>
                          <w:sz w:val="21"/>
                          <w:szCs w:val="21"/>
                        </w:rPr>
                      </w:pPr>
                      <w:r>
                        <w:rPr>
                          <w:rFonts w:hint="eastAsia" w:ascii="仿宋" w:hAnsi="仿宋" w:eastAsia="仿宋"/>
                          <w:sz w:val="21"/>
                          <w:szCs w:val="21"/>
                        </w:rPr>
                        <w:t>手机</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84864" behindDoc="0" locked="0" layoutInCell="1" allowOverlap="1">
                <wp:simplePos x="0" y="0"/>
                <wp:positionH relativeFrom="column">
                  <wp:posOffset>3850640</wp:posOffset>
                </wp:positionH>
                <wp:positionV relativeFrom="paragraph">
                  <wp:posOffset>320040</wp:posOffset>
                </wp:positionV>
                <wp:extent cx="228600" cy="0"/>
                <wp:effectExtent l="12065" t="53340" r="16510" b="60960"/>
                <wp:wrapNone/>
                <wp:docPr id="25" name="Line 60"/>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60" o:spid="_x0000_s1026" o:spt="20" style="position:absolute;left:0pt;margin-left:303.2pt;margin-top:25.2pt;height:0pt;width:18pt;z-index:251684864;mso-width-relative:page;mso-height-relative:page;" filled="f" stroked="t" coordsize="21600,21600" o:gfxdata="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YxaV+2AAAAAkB&#10;AAAPAAAAAAAAAAEAIAAAACIAAABkcnMvZG93bnJldi54bWxQSwECFAAUAAAACACHTuJAhxHl3OIB&#10;AADOAwAADgAAAAAAAAABACAAAAAnAQAAZHJzL2Uyb0RvYy54bWxQSwUGAAAAAAYABgBZAQAAewUA&#10;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81792" behindDoc="0" locked="0" layoutInCell="1" allowOverlap="1">
                <wp:simplePos x="0" y="0"/>
                <wp:positionH relativeFrom="column">
                  <wp:posOffset>3369310</wp:posOffset>
                </wp:positionH>
                <wp:positionV relativeFrom="paragraph">
                  <wp:posOffset>172085</wp:posOffset>
                </wp:positionV>
                <wp:extent cx="481330" cy="297180"/>
                <wp:effectExtent l="6985" t="10160" r="6985" b="6985"/>
                <wp:wrapNone/>
                <wp:docPr id="24" name="Text Box 57"/>
                <wp:cNvGraphicFramePr/>
                <a:graphic xmlns:a="http://schemas.openxmlformats.org/drawingml/2006/main">
                  <a:graphicData uri="http://schemas.microsoft.com/office/word/2010/wordprocessingShape">
                    <wps:wsp>
                      <wps:cNvSpPr txBox="1">
                        <a:spLocks noChangeArrowheads="1"/>
                      </wps:cNvSpPr>
                      <wps:spPr bwMode="auto">
                        <a:xfrm>
                          <a:off x="0" y="0"/>
                          <a:ext cx="481330" cy="297180"/>
                        </a:xfrm>
                        <a:prstGeom prst="rect">
                          <a:avLst/>
                        </a:prstGeom>
                        <a:solidFill>
                          <a:srgbClr val="FFFFFF"/>
                        </a:solidFill>
                        <a:ln w="9525">
                          <a:solidFill>
                            <a:srgbClr val="000000"/>
                          </a:solidFill>
                          <a:miter lim="800000"/>
                        </a:ln>
                      </wps:spPr>
                      <wps:txbx>
                        <w:txbxContent>
                          <w:p w14:paraId="6FEFA950">
                            <w:pPr>
                              <w:jc w:val="center"/>
                              <w:rPr>
                                <w:rFonts w:ascii="仿宋" w:hAnsi="仿宋" w:eastAsia="仿宋"/>
                                <w:sz w:val="21"/>
                                <w:szCs w:val="21"/>
                              </w:rPr>
                            </w:pPr>
                            <w:r>
                              <w:rPr>
                                <w:rFonts w:hint="eastAsia" w:ascii="仿宋" w:hAnsi="仿宋" w:eastAsia="仿宋"/>
                                <w:sz w:val="21"/>
                                <w:szCs w:val="21"/>
                              </w:rPr>
                              <w:t>马达</w:t>
                            </w:r>
                          </w:p>
                        </w:txbxContent>
                      </wps:txbx>
                      <wps:bodyPr rot="0" vert="horz" wrap="square" lIns="91440" tIns="46800" rIns="91440" bIns="45720" anchor="t" anchorCtr="0" upright="1">
                        <a:noAutofit/>
                      </wps:bodyPr>
                    </wps:wsp>
                  </a:graphicData>
                </a:graphic>
              </wp:anchor>
            </w:drawing>
          </mc:Choice>
          <mc:Fallback>
            <w:pict>
              <v:shape id="Text Box 57" o:spid="_x0000_s1026" o:spt="202" type="#_x0000_t202" style="position:absolute;left:0pt;margin-left:265.3pt;margin-top:13.55pt;height:23.4pt;width:37.9pt;z-index:251681792;mso-width-relative:page;mso-height-relative:page;" fillcolor="#FFFFFF" filled="t" stroked="t" coordsize="21600,21600" o:gfxdata="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V/rhbYAAAACQEAAA8AAAAAAAAAAQAgAAAAIgAAAGRycy9kb3ducmV2&#10;LnhtbFBLAQIUABQAAAAIAIdO4kCD9hKGNQIAAIcEAAAOAAAAAAAAAAEAIAAAACcBAABkcnMvZTJv&#10;RG9jLnhtbFBLBQYAAAAABgAGAFkBAADOBQAAAAA=&#10;">
                <v:fill on="t" focussize="0,0"/>
                <v:stroke color="#000000" miterlimit="8" joinstyle="miter"/>
                <v:imagedata o:title=""/>
                <o:lock v:ext="edit" aspectratio="f"/>
                <v:textbox inset="2.54mm,1.3mm,2.54mm,1.27mm">
                  <w:txbxContent>
                    <w:p w14:paraId="6FEFA950">
                      <w:pPr>
                        <w:jc w:val="center"/>
                        <w:rPr>
                          <w:rFonts w:ascii="仿宋" w:hAnsi="仿宋" w:eastAsia="仿宋"/>
                          <w:sz w:val="21"/>
                          <w:szCs w:val="21"/>
                        </w:rPr>
                      </w:pPr>
                      <w:r>
                        <w:rPr>
                          <w:rFonts w:hint="eastAsia" w:ascii="仿宋" w:hAnsi="仿宋" w:eastAsia="仿宋"/>
                          <w:sz w:val="21"/>
                          <w:szCs w:val="21"/>
                        </w:rPr>
                        <w:t>马达</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83840" behindDoc="0" locked="0" layoutInCell="1" allowOverlap="1">
                <wp:simplePos x="0" y="0"/>
                <wp:positionH relativeFrom="column">
                  <wp:posOffset>3129280</wp:posOffset>
                </wp:positionH>
                <wp:positionV relativeFrom="paragraph">
                  <wp:posOffset>320040</wp:posOffset>
                </wp:positionV>
                <wp:extent cx="228600" cy="0"/>
                <wp:effectExtent l="5080" t="53340" r="23495" b="60960"/>
                <wp:wrapNone/>
                <wp:docPr id="23" name="Line 59"/>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59" o:spid="_x0000_s1026" o:spt="20" style="position:absolute;left:0pt;margin-left:246.4pt;margin-top:25.2pt;height:0pt;width:18pt;z-index:251683840;mso-width-relative:page;mso-height-relative:page;" filled="f" stroked="t" coordsize="21600,21600" o:gfxdata="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1NrCLYAAAA&#10;CQEAAA8AAAAAAAAAAQAgAAAAIgAAAGRycy9kb3ducmV2LnhtbFBLAQIUABQAAAAIAIdO4kAww/dy&#10;5AEAAM4DAAAOAAAAAAAAAAEAIAAAACcBAABkcnMvZTJvRG9jLnhtbFBLBQYAAAAABgAGAFkBAAB9&#10;BQAAAAA=&#10;">
                <v:fill on="f" focussize="0,0"/>
                <v:stroke color="#000000" joinstyle="round" endarrow="block"/>
                <v:imagedata o:title=""/>
                <o:lock v:ext="edit" aspectratio="f"/>
              </v:line>
            </w:pict>
          </mc:Fallback>
        </mc:AlternateContent>
      </w:r>
    </w:p>
    <w:p w14:paraId="27BFFAD6">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 w:cs="Times New Roman"/>
          <w:sz w:val="28"/>
          <w:szCs w:val="28"/>
        </w:rPr>
        <mc:AlternateContent>
          <mc:Choice Requires="wps">
            <w:drawing>
              <wp:anchor distT="0" distB="0" distL="114300" distR="114300" simplePos="0" relativeHeight="251687936" behindDoc="0" locked="0" layoutInCell="1" allowOverlap="1">
                <wp:simplePos x="0" y="0"/>
                <wp:positionH relativeFrom="column">
                  <wp:posOffset>1478915</wp:posOffset>
                </wp:positionH>
                <wp:positionV relativeFrom="paragraph">
                  <wp:posOffset>262255</wp:posOffset>
                </wp:positionV>
                <wp:extent cx="0" cy="283210"/>
                <wp:effectExtent l="59690" t="14605" r="54610" b="16510"/>
                <wp:wrapNone/>
                <wp:docPr id="22" name="AutoShape 65"/>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id="AutoShape 65" o:spid="_x0000_s1026" o:spt="32" type="#_x0000_t32" style="position:absolute;left:0pt;margin-left:116.45pt;margin-top:20.65pt;height:22.3pt;width:0pt;z-index:251687936;mso-width-relative:page;mso-height-relative:page;" filled="f" stroked="t" coordsize="21600,21600" o:gfxdata="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QgMeB2AAAAAkBAAAPAAAAAAAAAAEAIAAAACIAAABkcnMvZG93bnJldi54bWxQ&#10;SwECFAAUAAAACACHTuJACeKeU/cBAAAPBAAADgAAAAAAAAABACAAAAAnAQAAZHJzL2Uyb0RvYy54&#10;bWxQSwUGAAAAAAYABgBZAQAAkAUAAAAA&#10;">
                <v:fill on="f" focussize="0,0"/>
                <v:stroke color="#000000" joinstyle="round" startarrow="block" endarrow="block"/>
                <v:imagedata o:title=""/>
                <o:lock v:ext="edit" aspectratio="f"/>
              </v:shape>
            </w:pict>
          </mc:Fallback>
        </mc:AlternateContent>
      </w:r>
    </w:p>
    <w:p w14:paraId="132645CE">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86912" behindDoc="0" locked="0" layoutInCell="1" allowOverlap="1">
                <wp:simplePos x="0" y="0"/>
                <wp:positionH relativeFrom="column">
                  <wp:posOffset>1110615</wp:posOffset>
                </wp:positionH>
                <wp:positionV relativeFrom="paragraph">
                  <wp:posOffset>215265</wp:posOffset>
                </wp:positionV>
                <wp:extent cx="739140" cy="297180"/>
                <wp:effectExtent l="5715" t="5715" r="7620" b="11430"/>
                <wp:wrapNone/>
                <wp:docPr id="21" name="Text Box 62"/>
                <wp:cNvGraphicFramePr/>
                <a:graphic xmlns:a="http://schemas.openxmlformats.org/drawingml/2006/main">
                  <a:graphicData uri="http://schemas.microsoft.com/office/word/2010/wordprocessingShape">
                    <wps:wsp>
                      <wps:cNvSpPr txBox="1">
                        <a:spLocks noChangeArrowheads="1"/>
                      </wps:cNvSpPr>
                      <wps:spPr bwMode="auto">
                        <a:xfrm>
                          <a:off x="0" y="0"/>
                          <a:ext cx="739140" cy="297180"/>
                        </a:xfrm>
                        <a:prstGeom prst="rect">
                          <a:avLst/>
                        </a:prstGeom>
                        <a:solidFill>
                          <a:srgbClr val="FFFFFF"/>
                        </a:solidFill>
                        <a:ln w="9525">
                          <a:solidFill>
                            <a:srgbClr val="000000"/>
                          </a:solidFill>
                          <a:miter lim="800000"/>
                        </a:ln>
                      </wps:spPr>
                      <wps:txbx>
                        <w:txbxContent>
                          <w:p w14:paraId="09C554F0">
                            <w:pPr>
                              <w:jc w:val="center"/>
                              <w:rPr>
                                <w:rFonts w:ascii="仿宋" w:hAnsi="仿宋" w:eastAsia="仿宋"/>
                                <w:sz w:val="21"/>
                                <w:szCs w:val="21"/>
                              </w:rPr>
                            </w:pPr>
                            <w:r>
                              <w:rPr>
                                <w:rFonts w:hint="eastAsia" w:ascii="仿宋" w:hAnsi="仿宋" w:eastAsia="仿宋"/>
                                <w:sz w:val="21"/>
                                <w:szCs w:val="21"/>
                              </w:rPr>
                              <w:t>脚踏开关</w:t>
                            </w:r>
                          </w:p>
                        </w:txbxContent>
                      </wps:txbx>
                      <wps:bodyPr rot="0" vert="horz" wrap="square" lIns="91440" tIns="46800" rIns="91440" bIns="45720" anchor="t" anchorCtr="0" upright="1">
                        <a:noAutofit/>
                      </wps:bodyPr>
                    </wps:wsp>
                  </a:graphicData>
                </a:graphic>
              </wp:anchor>
            </w:drawing>
          </mc:Choice>
          <mc:Fallback>
            <w:pict>
              <v:shape id="Text Box 62" o:spid="_x0000_s1026" o:spt="202" type="#_x0000_t202" style="position:absolute;left:0pt;margin-left:87.45pt;margin-top:16.95pt;height:23.4pt;width:58.2pt;z-index:251686912;mso-width-relative:page;mso-height-relative:page;" fillcolor="#FFFFFF" filled="t" stroked="t" coordsize="21600,21600" o:gfxdata="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EHH92AAAAAkBAAAPAAAAAAAAAAEAIAAAACIAAABkcnMvZG93bnJldi54&#10;bWxQSwECFAAUAAAACACHTuJAoTSsRTMCAACHBAAADgAAAAAAAAABACAAAAAnAQAAZHJzL2Uyb0Rv&#10;Yy54bWxQSwUGAAAAAAYABgBZAQAAzAUAAAAA&#10;">
                <v:fill on="t" focussize="0,0"/>
                <v:stroke color="#000000" miterlimit="8" joinstyle="miter"/>
                <v:imagedata o:title=""/>
                <o:lock v:ext="edit" aspectratio="f"/>
                <v:textbox inset="2.54mm,1.3mm,2.54mm,1.27mm">
                  <w:txbxContent>
                    <w:p w14:paraId="09C554F0">
                      <w:pPr>
                        <w:jc w:val="center"/>
                        <w:rPr>
                          <w:rFonts w:ascii="仿宋" w:hAnsi="仿宋" w:eastAsia="仿宋"/>
                          <w:sz w:val="21"/>
                          <w:szCs w:val="21"/>
                        </w:rPr>
                      </w:pPr>
                      <w:r>
                        <w:rPr>
                          <w:rFonts w:hint="eastAsia" w:ascii="仿宋" w:hAnsi="仿宋" w:eastAsia="仿宋"/>
                          <w:sz w:val="21"/>
                          <w:szCs w:val="21"/>
                        </w:rPr>
                        <w:t>脚踏开关</w:t>
                      </w:r>
                    </w:p>
                  </w:txbxContent>
                </v:textbox>
              </v:shape>
            </w:pict>
          </mc:Fallback>
        </mc:AlternateContent>
      </w:r>
    </w:p>
    <w:p w14:paraId="5C907CC7">
      <w:pPr>
        <w:spacing w:line="520" w:lineRule="exact"/>
        <w:ind w:firstLine="560" w:firstLineChars="200"/>
        <w:rPr>
          <w:rFonts w:ascii="Times New Roman" w:hAnsi="Times New Roman" w:eastAsia="仿宋_GB2312" w:cs="Times New Roman"/>
          <w:sz w:val="28"/>
          <w:szCs w:val="28"/>
        </w:rPr>
      </w:pPr>
    </w:p>
    <w:p w14:paraId="27FBD20C">
      <w:pPr>
        <w:spacing w:line="560" w:lineRule="exact"/>
        <w:ind w:firstLine="640" w:firstLineChars="200"/>
        <w:rPr>
          <w:rFonts w:ascii="Times New Roman" w:hAnsi="Times New Roman" w:eastAsia="仿宋_GB2312" w:cs="Times New Roman"/>
          <w:sz w:val="32"/>
          <w:szCs w:val="32"/>
        </w:rPr>
      </w:pPr>
    </w:p>
    <w:p w14:paraId="4EB7EBEF">
      <w:pPr>
        <w:spacing w:line="560" w:lineRule="exact"/>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）例如网电源供电的牙科种植机可描述如下：</w:t>
      </w:r>
    </w:p>
    <w:p w14:paraId="73C1EB2A">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该结构的产品作为独立设备由网电源供电，通过主机和脚踏开关预设或调节与种植手术操作步骤相对应的功能，将电能和信号通过马达线缆传递给马达，马达驱动手机，手机驱动种植手术用器械实施手术。</w:t>
      </w:r>
    </w:p>
    <w:p w14:paraId="200056DA">
      <w:pPr>
        <w:pStyle w:val="32"/>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该结构的产品由主机、蠕动泵、马达线缆、马达、手机、脚踏开关等组成。框图如下：</w:t>
      </w:r>
    </w:p>
    <w:p w14:paraId="588A755A">
      <w:pPr>
        <w:pStyle w:val="32"/>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mc:AlternateContent>
          <mc:Choice Requires="wps">
            <w:drawing>
              <wp:anchor distT="0" distB="0" distL="114300" distR="114300" simplePos="0" relativeHeight="251694080" behindDoc="0" locked="0" layoutInCell="1" allowOverlap="1">
                <wp:simplePos x="0" y="0"/>
                <wp:positionH relativeFrom="column">
                  <wp:posOffset>1607185</wp:posOffset>
                </wp:positionH>
                <wp:positionV relativeFrom="paragraph">
                  <wp:posOffset>346710</wp:posOffset>
                </wp:positionV>
                <wp:extent cx="824865" cy="297180"/>
                <wp:effectExtent l="0" t="0" r="13335" b="26670"/>
                <wp:wrapNone/>
                <wp:docPr id="20" name="Text Box 76"/>
                <wp:cNvGraphicFramePr/>
                <a:graphic xmlns:a="http://schemas.openxmlformats.org/drawingml/2006/main">
                  <a:graphicData uri="http://schemas.microsoft.com/office/word/2010/wordprocessingShape">
                    <wps:wsp>
                      <wps:cNvSpPr txBox="1">
                        <a:spLocks noChangeArrowheads="1"/>
                      </wps:cNvSpPr>
                      <wps:spPr bwMode="auto">
                        <a:xfrm>
                          <a:off x="0" y="0"/>
                          <a:ext cx="824865" cy="297180"/>
                        </a:xfrm>
                        <a:prstGeom prst="rect">
                          <a:avLst/>
                        </a:prstGeom>
                        <a:solidFill>
                          <a:srgbClr val="FFFFFF"/>
                        </a:solidFill>
                        <a:ln w="9525">
                          <a:solidFill>
                            <a:srgbClr val="000000"/>
                          </a:solidFill>
                          <a:miter lim="800000"/>
                        </a:ln>
                      </wps:spPr>
                      <wps:txbx>
                        <w:txbxContent>
                          <w:p w14:paraId="4270C589">
                            <w:pPr>
                              <w:jc w:val="center"/>
                              <w:rPr>
                                <w:rFonts w:ascii="仿宋" w:hAnsi="仿宋" w:eastAsia="仿宋"/>
                                <w:sz w:val="21"/>
                                <w:szCs w:val="21"/>
                              </w:rPr>
                            </w:pPr>
                            <w:r>
                              <w:rPr>
                                <w:rFonts w:ascii="仿宋" w:hAnsi="仿宋" w:eastAsia="仿宋"/>
                                <w:sz w:val="21"/>
                                <w:szCs w:val="21"/>
                              </w:rPr>
                              <w:t>蠕动泵</w:t>
                            </w:r>
                          </w:p>
                        </w:txbxContent>
                      </wps:txbx>
                      <wps:bodyPr rot="0" vert="horz" wrap="square" lIns="91440" tIns="46800" rIns="91440" bIns="45720" anchor="t" anchorCtr="0" upright="1">
                        <a:noAutofit/>
                      </wps:bodyPr>
                    </wps:wsp>
                  </a:graphicData>
                </a:graphic>
              </wp:anchor>
            </w:drawing>
          </mc:Choice>
          <mc:Fallback>
            <w:pict>
              <v:shape id="Text Box 76" o:spid="_x0000_s1026" o:spt="202" type="#_x0000_t202" style="position:absolute;left:0pt;margin-left:126.55pt;margin-top:27.3pt;height:23.4pt;width:64.95pt;z-index:251694080;mso-width-relative:page;mso-height-relative:page;" fillcolor="#FFFFFF" filled="t" stroked="t" coordsize="21600,21600" o:gfxdata="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69/NHYAAAACgEAAA8AAAAAAAAAAQAgAAAAIgAAAGRycy9kb3ducmV2Lnht&#10;bFBLAQIUABQAAAAIAIdO4kBTMa97MgIAAIcEAAAOAAAAAAAAAAEAIAAAACcBAABkcnMvZTJvRG9j&#10;LnhtbFBLBQYAAAAABgAGAFkBAADLBQAAAAA=&#10;">
                <v:fill on="t" focussize="0,0"/>
                <v:stroke color="#000000" miterlimit="8" joinstyle="miter"/>
                <v:imagedata o:title=""/>
                <o:lock v:ext="edit" aspectratio="f"/>
                <v:textbox inset="2.54mm,1.3mm,2.54mm,1.27mm">
                  <w:txbxContent>
                    <w:p w14:paraId="4270C589">
                      <w:pPr>
                        <w:jc w:val="center"/>
                        <w:rPr>
                          <w:rFonts w:ascii="仿宋" w:hAnsi="仿宋" w:eastAsia="仿宋"/>
                          <w:sz w:val="21"/>
                          <w:szCs w:val="21"/>
                        </w:rPr>
                      </w:pPr>
                      <w:r>
                        <w:rPr>
                          <w:rFonts w:ascii="仿宋" w:hAnsi="仿宋" w:eastAsia="仿宋"/>
                          <w:sz w:val="21"/>
                          <w:szCs w:val="21"/>
                        </w:rPr>
                        <w:t>蠕动泵</w:t>
                      </w:r>
                    </w:p>
                  </w:txbxContent>
                </v:textbox>
              </v:shape>
            </w:pict>
          </mc:Fallback>
        </mc:AlternateContent>
      </w:r>
    </w:p>
    <w:p w14:paraId="25BCDC00">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 w:cs="Times New Roman"/>
          <w:sz w:val="28"/>
          <w:szCs w:val="28"/>
        </w:rPr>
        <mc:AlternateContent>
          <mc:Choice Requires="wps">
            <w:drawing>
              <wp:anchor distT="0" distB="0" distL="114300" distR="114300" simplePos="0" relativeHeight="251693056" behindDoc="0" locked="0" layoutInCell="1" allowOverlap="1">
                <wp:simplePos x="0" y="0"/>
                <wp:positionH relativeFrom="column">
                  <wp:posOffset>1204595</wp:posOffset>
                </wp:positionH>
                <wp:positionV relativeFrom="paragraph">
                  <wp:posOffset>141605</wp:posOffset>
                </wp:positionV>
                <wp:extent cx="370840" cy="221615"/>
                <wp:effectExtent l="13970" t="55880" r="15240" b="8255"/>
                <wp:wrapNone/>
                <wp:docPr id="19" name="AutoShape 75"/>
                <wp:cNvGraphicFramePr/>
                <a:graphic xmlns:a="http://schemas.openxmlformats.org/drawingml/2006/main">
                  <a:graphicData uri="http://schemas.microsoft.com/office/word/2010/wordprocessingShape">
                    <wps:wsp>
                      <wps:cNvCnPr>
                        <a:cxnSpLocks noChangeShapeType="1"/>
                      </wps:cNvCnPr>
                      <wps:spPr bwMode="auto">
                        <a:xfrm flipV="1">
                          <a:off x="0" y="0"/>
                          <a:ext cx="370840" cy="221615"/>
                        </a:xfrm>
                        <a:prstGeom prst="bentConnector3">
                          <a:avLst>
                            <a:gd name="adj1" fmla="val 6847"/>
                          </a:avLst>
                        </a:prstGeom>
                        <a:noFill/>
                        <a:ln w="9525">
                          <a:solidFill>
                            <a:srgbClr val="000000"/>
                          </a:solidFill>
                          <a:miter lim="800000"/>
                          <a:tailEnd type="triangle" w="med" len="med"/>
                        </a:ln>
                      </wps:spPr>
                      <wps:bodyPr/>
                    </wps:wsp>
                  </a:graphicData>
                </a:graphic>
              </wp:anchor>
            </w:drawing>
          </mc:Choice>
          <mc:Fallback>
            <w:pict>
              <v:shape id="AutoShape 75" o:spid="_x0000_s1026" o:spt="34" type="#_x0000_t34" style="position:absolute;left:0pt;flip:y;margin-left:94.85pt;margin-top:11.15pt;height:17.45pt;width:29.2pt;z-index:251693056;mso-width-relative:page;mso-height-relative:page;" filled="f" stroked="t" coordsize="21600,21600" o:gfxdata="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4B4eTYAAAACQEAAA8A&#10;AAAAAAAAAQAgAAAAIgAAAGRycy9kb3ducmV2LnhtbFBLAQIUABQAAAAIAIdO4kBWYSoUFwIAACUE&#10;AAAOAAAAAAAAAAEAIAAAACcBAABkcnMvZTJvRG9jLnhtbFBLBQYAAAAABgAGAFkBAACwBQAAAAA=&#10;" adj="1479">
                <v:fill on="f" focussize="0,0"/>
                <v:stroke color="#000000" miterlimit="8" joinstyle="miter" endarrow="block"/>
                <v:imagedata o:title=""/>
                <o:lock v:ext="edit" aspectratio="f"/>
              </v:shape>
            </w:pict>
          </mc:Fallback>
        </mc:AlternateContent>
      </w:r>
    </w:p>
    <w:p w14:paraId="3A13D595">
      <w:pPr>
        <w:autoSpaceDE w:val="0"/>
        <w:autoSpaceDN w:val="0"/>
        <w:adjustRightIn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4283075</wp:posOffset>
                </wp:positionH>
                <wp:positionV relativeFrom="paragraph">
                  <wp:posOffset>33020</wp:posOffset>
                </wp:positionV>
                <wp:extent cx="1393190" cy="297180"/>
                <wp:effectExtent l="0" t="0" r="16510" b="26670"/>
                <wp:wrapNone/>
                <wp:docPr id="9" name="Text Box 39"/>
                <wp:cNvGraphicFramePr/>
                <a:graphic xmlns:a="http://schemas.openxmlformats.org/drawingml/2006/main">
                  <a:graphicData uri="http://schemas.microsoft.com/office/word/2010/wordprocessingShape">
                    <wps:wsp>
                      <wps:cNvSpPr txBox="1">
                        <a:spLocks noChangeArrowheads="1"/>
                      </wps:cNvSpPr>
                      <wps:spPr bwMode="auto">
                        <a:xfrm>
                          <a:off x="0" y="0"/>
                          <a:ext cx="1393190" cy="297180"/>
                        </a:xfrm>
                        <a:prstGeom prst="rect">
                          <a:avLst/>
                        </a:prstGeom>
                        <a:solidFill>
                          <a:srgbClr val="FFFFFF"/>
                        </a:solidFill>
                        <a:ln w="9525">
                          <a:solidFill>
                            <a:srgbClr val="000000"/>
                          </a:solidFill>
                          <a:miter lim="800000"/>
                        </a:ln>
                      </wps:spPr>
                      <wps:txbx>
                        <w:txbxContent>
                          <w:p w14:paraId="19B7480E">
                            <w:pPr>
                              <w:jc w:val="center"/>
                              <w:rPr>
                                <w:rFonts w:ascii="仿宋" w:hAnsi="仿宋" w:eastAsia="仿宋"/>
                                <w:sz w:val="21"/>
                                <w:szCs w:val="21"/>
                              </w:rPr>
                            </w:pPr>
                            <w:r>
                              <w:rPr>
                                <w:rFonts w:hint="eastAsia" w:ascii="仿宋" w:hAnsi="仿宋" w:eastAsia="仿宋"/>
                                <w:sz w:val="21"/>
                                <w:szCs w:val="21"/>
                              </w:rPr>
                              <w:t>种植手术用器械</w:t>
                            </w:r>
                          </w:p>
                          <w:p w14:paraId="42242FE4"/>
                        </w:txbxContent>
                      </wps:txbx>
                      <wps:bodyPr rot="0" vert="horz" wrap="square" lIns="91440" tIns="46800" rIns="91440" bIns="45720" anchor="t" anchorCtr="0" upright="1">
                        <a:noAutofit/>
                      </wps:bodyPr>
                    </wps:wsp>
                  </a:graphicData>
                </a:graphic>
              </wp:anchor>
            </w:drawing>
          </mc:Choice>
          <mc:Fallback>
            <w:pict>
              <v:shape id="Text Box 39" o:spid="_x0000_s1026" o:spt="202" type="#_x0000_t202" style="position:absolute;left:0pt;margin-left:337.25pt;margin-top:2.6pt;height:23.4pt;width:109.7pt;z-index:251665408;mso-width-relative:page;mso-height-relative:page;" fillcolor="#FFFFFF" filled="t" stroked="t" coordsize="21600,21600" o:gfxdata="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soRfXAAAACAEAAA8AAAAAAAAAAQAgAAAAIgAAAGRycy9kb3ducmV2Lnht&#10;bFBLAQIUABQAAAAIAIdO4kBRll/cMwIAAIcEAAAOAAAAAAAAAAEAIAAAACYBAABkcnMvZTJvRG9j&#10;LnhtbFBLBQYAAAAABgAGAFkBAADLBQAAAAA=&#10;">
                <v:fill on="t" focussize="0,0"/>
                <v:stroke color="#000000" miterlimit="8" joinstyle="miter"/>
                <v:imagedata o:title=""/>
                <o:lock v:ext="edit" aspectratio="f"/>
                <v:textbox inset="2.54mm,1.3mm,2.54mm,1.27mm">
                  <w:txbxContent>
                    <w:p w14:paraId="19B7480E">
                      <w:pPr>
                        <w:jc w:val="center"/>
                        <w:rPr>
                          <w:rFonts w:ascii="仿宋" w:hAnsi="仿宋" w:eastAsia="仿宋"/>
                          <w:sz w:val="21"/>
                          <w:szCs w:val="21"/>
                        </w:rPr>
                      </w:pPr>
                      <w:r>
                        <w:rPr>
                          <w:rFonts w:hint="eastAsia" w:ascii="仿宋" w:hAnsi="仿宋" w:eastAsia="仿宋"/>
                          <w:sz w:val="21"/>
                          <w:szCs w:val="21"/>
                        </w:rPr>
                        <w:t>种植手术用器械</w:t>
                      </w:r>
                    </w:p>
                    <w:p w14:paraId="42242FE4"/>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9504" behindDoc="0" locked="0" layoutInCell="1" allowOverlap="1">
                <wp:simplePos x="0" y="0"/>
                <wp:positionH relativeFrom="column">
                  <wp:posOffset>4031615</wp:posOffset>
                </wp:positionH>
                <wp:positionV relativeFrom="paragraph">
                  <wp:posOffset>176530</wp:posOffset>
                </wp:positionV>
                <wp:extent cx="228600" cy="0"/>
                <wp:effectExtent l="0" t="76200" r="19050" b="95250"/>
                <wp:wrapNone/>
                <wp:docPr id="13" name="Line 43"/>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43" o:spid="_x0000_s1026" o:spt="20" style="position:absolute;left:0pt;margin-left:317.45pt;margin-top:13.9pt;height:0pt;width:18pt;z-index:251669504;mso-width-relative:page;mso-height-relative:page;" filled="f" stroked="t" coordsize="21600,21600" o:gfxdata="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xWcYD2AAA&#10;AAkBAAAPAAAAAAAAAAEAIAAAACIAAABkcnMvZG93bnJldi54bWxQSwECFAAUAAAACACHTuJAQ5Xp&#10;GuUBAADOAwAADgAAAAAAAAABACAAAAAnAQAAZHJzL2Uyb0RvYy54bWxQSwUGAAAAAAYABgBZAQAA&#10;fgU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3531235</wp:posOffset>
                </wp:positionH>
                <wp:positionV relativeFrom="paragraph">
                  <wp:posOffset>27940</wp:posOffset>
                </wp:positionV>
                <wp:extent cx="492125" cy="297180"/>
                <wp:effectExtent l="0" t="0" r="22225" b="26670"/>
                <wp:wrapNone/>
                <wp:docPr id="8" name="Text Box 38"/>
                <wp:cNvGraphicFramePr/>
                <a:graphic xmlns:a="http://schemas.openxmlformats.org/drawingml/2006/main">
                  <a:graphicData uri="http://schemas.microsoft.com/office/word/2010/wordprocessingShape">
                    <wps:wsp>
                      <wps:cNvSpPr txBox="1">
                        <a:spLocks noChangeArrowheads="1"/>
                      </wps:cNvSpPr>
                      <wps:spPr bwMode="auto">
                        <a:xfrm>
                          <a:off x="0" y="0"/>
                          <a:ext cx="492125" cy="297180"/>
                        </a:xfrm>
                        <a:prstGeom prst="rect">
                          <a:avLst/>
                        </a:prstGeom>
                        <a:solidFill>
                          <a:srgbClr val="FFFFFF"/>
                        </a:solidFill>
                        <a:ln w="9525">
                          <a:solidFill>
                            <a:srgbClr val="000000"/>
                          </a:solidFill>
                          <a:miter lim="800000"/>
                        </a:ln>
                      </wps:spPr>
                      <wps:txbx>
                        <w:txbxContent>
                          <w:p w14:paraId="63C11CBC">
                            <w:pPr>
                              <w:jc w:val="center"/>
                              <w:rPr>
                                <w:rFonts w:ascii="仿宋" w:hAnsi="仿宋" w:eastAsia="仿宋"/>
                                <w:sz w:val="21"/>
                                <w:szCs w:val="21"/>
                              </w:rPr>
                            </w:pPr>
                            <w:r>
                              <w:rPr>
                                <w:rFonts w:hint="eastAsia" w:ascii="仿宋" w:hAnsi="仿宋" w:eastAsia="仿宋"/>
                                <w:sz w:val="21"/>
                                <w:szCs w:val="21"/>
                              </w:rPr>
                              <w:t>手机</w:t>
                            </w:r>
                          </w:p>
                        </w:txbxContent>
                      </wps:txbx>
                      <wps:bodyPr rot="0" vert="horz" wrap="square" lIns="18000" tIns="46800" rIns="18000" bIns="36000" anchor="t" anchorCtr="0" upright="1">
                        <a:noAutofit/>
                      </wps:bodyPr>
                    </wps:wsp>
                  </a:graphicData>
                </a:graphic>
              </wp:anchor>
            </w:drawing>
          </mc:Choice>
          <mc:Fallback>
            <w:pict>
              <v:shape id="Text Box 38" o:spid="_x0000_s1026" o:spt="202" type="#_x0000_t202" style="position:absolute;left:0pt;margin-left:278.05pt;margin-top:2.2pt;height:23.4pt;width:38.75pt;z-index:251664384;mso-width-relative:page;mso-height-relative:page;" fillcolor="#FFFFFF" filled="t" stroked="t" coordsize="21600,21600" o:gfxdata="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wTTiQ2QAAAAgBAAAPAAAAAAAAAAEAIAAAACIAAABkcnMvZG93bnJldi54bWxQ&#10;SwECFAAUAAAACACHTuJAj5Nfey8CAACGBAAADgAAAAAAAAABACAAAAAoAQAAZHJzL2Uyb0RvYy54&#10;bWxQSwUGAAAAAAYABgBZAQAAyQUAAAAA&#10;">
                <v:fill on="t" focussize="0,0"/>
                <v:stroke color="#000000" miterlimit="8" joinstyle="miter"/>
                <v:imagedata o:title=""/>
                <o:lock v:ext="edit" aspectratio="f"/>
                <v:textbox inset="0.5mm,1.3mm,0.5mm,1mm">
                  <w:txbxContent>
                    <w:p w14:paraId="63C11CBC">
                      <w:pPr>
                        <w:jc w:val="center"/>
                        <w:rPr>
                          <w:rFonts w:ascii="仿宋" w:hAnsi="仿宋" w:eastAsia="仿宋"/>
                          <w:sz w:val="21"/>
                          <w:szCs w:val="21"/>
                        </w:rPr>
                      </w:pPr>
                      <w:r>
                        <w:rPr>
                          <w:rFonts w:hint="eastAsia" w:ascii="仿宋" w:hAnsi="仿宋" w:eastAsia="仿宋"/>
                          <w:sz w:val="21"/>
                          <w:szCs w:val="21"/>
                        </w:rPr>
                        <w:t>手机</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8480" behindDoc="0" locked="0" layoutInCell="1" allowOverlap="1">
                <wp:simplePos x="0" y="0"/>
                <wp:positionH relativeFrom="column">
                  <wp:posOffset>3284855</wp:posOffset>
                </wp:positionH>
                <wp:positionV relativeFrom="paragraph">
                  <wp:posOffset>176530</wp:posOffset>
                </wp:positionV>
                <wp:extent cx="228600" cy="0"/>
                <wp:effectExtent l="0" t="76200" r="19050" b="95250"/>
                <wp:wrapNone/>
                <wp:docPr id="12" name="Line 42"/>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42" o:spid="_x0000_s1026" o:spt="20" style="position:absolute;left:0pt;margin-left:258.65pt;margin-top:13.9pt;height:0pt;width:18pt;z-index:251668480;mso-width-relative:page;mso-height-relative:page;" filled="f" stroked="t" coordsize="21600,21600" o:gfxdata="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fInznYAAAA&#10;CQEAAA8AAAAAAAAAAQAgAAAAIgAAAGRycy9kb3ducmV2LnhtbFBLAQIUABQAAAAIAIdO4kCpZxjC&#10;5AEAAM4DAAAOAAAAAAAAAAEAIAAAACcBAABkcnMvZTJvRG9jLnhtbFBLBQYAAAAABgAGAFkBAAB9&#10;BQ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2786380</wp:posOffset>
                </wp:positionH>
                <wp:positionV relativeFrom="paragraph">
                  <wp:posOffset>27940</wp:posOffset>
                </wp:positionV>
                <wp:extent cx="493395" cy="297180"/>
                <wp:effectExtent l="0" t="0" r="20955" b="26670"/>
                <wp:wrapNone/>
                <wp:docPr id="18" name="Text Box 40"/>
                <wp:cNvGraphicFramePr/>
                <a:graphic xmlns:a="http://schemas.openxmlformats.org/drawingml/2006/main">
                  <a:graphicData uri="http://schemas.microsoft.com/office/word/2010/wordprocessingShape">
                    <wps:wsp>
                      <wps:cNvSpPr txBox="1">
                        <a:spLocks noChangeArrowheads="1"/>
                      </wps:cNvSpPr>
                      <wps:spPr bwMode="auto">
                        <a:xfrm>
                          <a:off x="0" y="0"/>
                          <a:ext cx="493395" cy="297180"/>
                        </a:xfrm>
                        <a:prstGeom prst="rect">
                          <a:avLst/>
                        </a:prstGeom>
                        <a:solidFill>
                          <a:srgbClr val="FFFFFF"/>
                        </a:solidFill>
                        <a:ln w="9525">
                          <a:solidFill>
                            <a:srgbClr val="000000"/>
                          </a:solidFill>
                          <a:miter lim="800000"/>
                        </a:ln>
                      </wps:spPr>
                      <wps:txbx>
                        <w:txbxContent>
                          <w:p w14:paraId="195850F7">
                            <w:pPr>
                              <w:jc w:val="center"/>
                              <w:rPr>
                                <w:rFonts w:ascii="仿宋" w:hAnsi="仿宋" w:eastAsia="仿宋"/>
                                <w:sz w:val="21"/>
                                <w:szCs w:val="21"/>
                              </w:rPr>
                            </w:pPr>
                            <w:r>
                              <w:rPr>
                                <w:rFonts w:hint="eastAsia" w:ascii="仿宋" w:hAnsi="仿宋" w:eastAsia="仿宋"/>
                                <w:sz w:val="21"/>
                                <w:szCs w:val="21"/>
                              </w:rPr>
                              <w:t>马达</w:t>
                            </w:r>
                          </w:p>
                        </w:txbxContent>
                      </wps:txbx>
                      <wps:bodyPr rot="0" vert="horz" wrap="square" lIns="91440" tIns="46800" rIns="91440" bIns="45720" anchor="t" anchorCtr="0" upright="1">
                        <a:noAutofit/>
                      </wps:bodyPr>
                    </wps:wsp>
                  </a:graphicData>
                </a:graphic>
              </wp:anchor>
            </w:drawing>
          </mc:Choice>
          <mc:Fallback>
            <w:pict>
              <v:shape id="Text Box 40" o:spid="_x0000_s1026" o:spt="202" type="#_x0000_t202" style="position:absolute;left:0pt;margin-left:219.4pt;margin-top:2.2pt;height:23.4pt;width:38.85pt;z-index:251666432;mso-width-relative:page;mso-height-relative:page;" fillcolor="#FFFFFF" filled="t" stroked="t" coordsize="21600,21600" o:gfxdata="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tpjZHWAAAACAEAAA8AAAAAAAAAAQAgAAAAIgAAAGRycy9kb3ducmV2Lnht&#10;bFBLAQIUABQAAAAIAIdO4kB4vySHNAIAAIcEAAAOAAAAAAAAAAEAIAAAACUBAABkcnMvZTJvRG9j&#10;LnhtbFBLBQYAAAAABgAGAFkBAADLBQAAAAA=&#10;">
                <v:fill on="t" focussize="0,0"/>
                <v:stroke color="#000000" miterlimit="8" joinstyle="miter"/>
                <v:imagedata o:title=""/>
                <o:lock v:ext="edit" aspectratio="f"/>
                <v:textbox inset="2.54mm,1.3mm,2.54mm,1.27mm">
                  <w:txbxContent>
                    <w:p w14:paraId="195850F7">
                      <w:pPr>
                        <w:jc w:val="center"/>
                        <w:rPr>
                          <w:rFonts w:ascii="仿宋" w:hAnsi="仿宋" w:eastAsia="仿宋"/>
                          <w:sz w:val="21"/>
                          <w:szCs w:val="21"/>
                        </w:rPr>
                      </w:pPr>
                      <w:r>
                        <w:rPr>
                          <w:rFonts w:hint="eastAsia" w:ascii="仿宋" w:hAnsi="仿宋" w:eastAsia="仿宋"/>
                          <w:sz w:val="21"/>
                          <w:szCs w:val="21"/>
                        </w:rPr>
                        <w:t>马达</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0528" behindDoc="0" locked="0" layoutInCell="1" allowOverlap="1">
                <wp:simplePos x="0" y="0"/>
                <wp:positionH relativeFrom="column">
                  <wp:posOffset>1688465</wp:posOffset>
                </wp:positionH>
                <wp:positionV relativeFrom="paragraph">
                  <wp:posOffset>33020</wp:posOffset>
                </wp:positionV>
                <wp:extent cx="873760" cy="297180"/>
                <wp:effectExtent l="12065" t="13970" r="9525" b="12700"/>
                <wp:wrapNone/>
                <wp:docPr id="17" name="Text Box 44"/>
                <wp:cNvGraphicFramePr/>
                <a:graphic xmlns:a="http://schemas.openxmlformats.org/drawingml/2006/main">
                  <a:graphicData uri="http://schemas.microsoft.com/office/word/2010/wordprocessingShape">
                    <wps:wsp>
                      <wps:cNvSpPr txBox="1">
                        <a:spLocks noChangeArrowheads="1"/>
                      </wps:cNvSpPr>
                      <wps:spPr bwMode="auto">
                        <a:xfrm>
                          <a:off x="0" y="0"/>
                          <a:ext cx="873760" cy="297180"/>
                        </a:xfrm>
                        <a:prstGeom prst="rect">
                          <a:avLst/>
                        </a:prstGeom>
                        <a:solidFill>
                          <a:srgbClr val="FFFFFF"/>
                        </a:solidFill>
                        <a:ln w="9525">
                          <a:solidFill>
                            <a:srgbClr val="000000"/>
                          </a:solidFill>
                          <a:miter lim="800000"/>
                        </a:ln>
                      </wps:spPr>
                      <wps:txbx>
                        <w:txbxContent>
                          <w:p w14:paraId="5D0EE7A0">
                            <w:pPr>
                              <w:jc w:val="center"/>
                              <w:rPr>
                                <w:rFonts w:ascii="仿宋" w:hAnsi="仿宋" w:eastAsia="仿宋"/>
                                <w:sz w:val="21"/>
                                <w:szCs w:val="21"/>
                              </w:rPr>
                            </w:pPr>
                            <w:r>
                              <w:rPr>
                                <w:rFonts w:hint="eastAsia" w:ascii="仿宋" w:hAnsi="仿宋" w:eastAsia="仿宋"/>
                                <w:sz w:val="21"/>
                                <w:szCs w:val="21"/>
                              </w:rPr>
                              <w:t>马达线缆</w:t>
                            </w:r>
                          </w:p>
                        </w:txbxContent>
                      </wps:txbx>
                      <wps:bodyPr rot="0" vert="horz" wrap="square" lIns="91440" tIns="46800" rIns="91440" bIns="45720" anchor="t" anchorCtr="0" upright="1">
                        <a:noAutofit/>
                      </wps:bodyPr>
                    </wps:wsp>
                  </a:graphicData>
                </a:graphic>
              </wp:anchor>
            </w:drawing>
          </mc:Choice>
          <mc:Fallback>
            <w:pict>
              <v:shape id="Text Box 44" o:spid="_x0000_s1026" o:spt="202" type="#_x0000_t202" style="position:absolute;left:0pt;margin-left:132.95pt;margin-top:2.6pt;height:23.4pt;width:68.8pt;z-index:251670528;mso-width-relative:page;mso-height-relative:page;" fillcolor="#FFFFFF" filled="t" stroked="t" coordsize="21600,21600" o:gfxdata="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seXj9YAAAAIAQAADwAAAAAAAAABACAAAAAiAAAAZHJzL2Rvd25yZXYueG1s&#10;UEsBAhQAFAAAAAgAh07iQDdASuAzAgAAhwQAAA4AAAAAAAAAAQAgAAAAJQEAAGRycy9lMm9Eb2Mu&#10;eG1sUEsFBgAAAAAGAAYAWQEAAMoFAAAAAA==&#10;">
                <v:fill on="t" focussize="0,0"/>
                <v:stroke color="#000000" miterlimit="8" joinstyle="miter"/>
                <v:imagedata o:title=""/>
                <o:lock v:ext="edit" aspectratio="f"/>
                <v:textbox inset="2.54mm,1.3mm,2.54mm,1.27mm">
                  <w:txbxContent>
                    <w:p w14:paraId="5D0EE7A0">
                      <w:pPr>
                        <w:jc w:val="center"/>
                        <w:rPr>
                          <w:rFonts w:ascii="仿宋" w:hAnsi="仿宋" w:eastAsia="仿宋"/>
                          <w:sz w:val="21"/>
                          <w:szCs w:val="21"/>
                        </w:rPr>
                      </w:pPr>
                      <w:r>
                        <w:rPr>
                          <w:rFonts w:hint="eastAsia" w:ascii="仿宋" w:hAnsi="仿宋" w:eastAsia="仿宋"/>
                          <w:sz w:val="21"/>
                          <w:szCs w:val="21"/>
                        </w:rPr>
                        <w:t>马达线缆</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2576" behindDoc="0" locked="0" layoutInCell="1" allowOverlap="1">
                <wp:simplePos x="0" y="0"/>
                <wp:positionH relativeFrom="column">
                  <wp:posOffset>-8890</wp:posOffset>
                </wp:positionH>
                <wp:positionV relativeFrom="paragraph">
                  <wp:posOffset>33020</wp:posOffset>
                </wp:positionV>
                <wp:extent cx="699770" cy="297180"/>
                <wp:effectExtent l="10160" t="13970" r="13970" b="12700"/>
                <wp:wrapNone/>
                <wp:docPr id="16" name="Text Box 46"/>
                <wp:cNvGraphicFramePr/>
                <a:graphic xmlns:a="http://schemas.openxmlformats.org/drawingml/2006/main">
                  <a:graphicData uri="http://schemas.microsoft.com/office/word/2010/wordprocessingShape">
                    <wps:wsp>
                      <wps:cNvSpPr txBox="1">
                        <a:spLocks noChangeArrowheads="1"/>
                      </wps:cNvSpPr>
                      <wps:spPr bwMode="auto">
                        <a:xfrm>
                          <a:off x="0" y="0"/>
                          <a:ext cx="699770" cy="297180"/>
                        </a:xfrm>
                        <a:prstGeom prst="rect">
                          <a:avLst/>
                        </a:prstGeom>
                        <a:solidFill>
                          <a:srgbClr val="FFFFFF"/>
                        </a:solidFill>
                        <a:ln w="9525">
                          <a:solidFill>
                            <a:srgbClr val="000000"/>
                          </a:solidFill>
                          <a:miter lim="800000"/>
                        </a:ln>
                      </wps:spPr>
                      <wps:txbx>
                        <w:txbxContent>
                          <w:p w14:paraId="5B0EEE09">
                            <w:pPr>
                              <w:jc w:val="center"/>
                              <w:rPr>
                                <w:rFonts w:ascii="仿宋" w:hAnsi="仿宋" w:eastAsia="仿宋"/>
                                <w:sz w:val="21"/>
                                <w:szCs w:val="21"/>
                              </w:rPr>
                            </w:pPr>
                            <w:r>
                              <w:rPr>
                                <w:rFonts w:hint="eastAsia" w:ascii="仿宋" w:hAnsi="仿宋" w:eastAsia="仿宋"/>
                                <w:sz w:val="21"/>
                                <w:szCs w:val="21"/>
                              </w:rPr>
                              <w:t>网电源</w:t>
                            </w:r>
                          </w:p>
                        </w:txbxContent>
                      </wps:txbx>
                      <wps:bodyPr rot="0" vert="horz" wrap="square" lIns="91440" tIns="46800" rIns="91440" bIns="45720" anchor="t" anchorCtr="0" upright="1">
                        <a:noAutofit/>
                      </wps:bodyPr>
                    </wps:wsp>
                  </a:graphicData>
                </a:graphic>
              </wp:anchor>
            </w:drawing>
          </mc:Choice>
          <mc:Fallback>
            <w:pict>
              <v:shape id="Text Box 46" o:spid="_x0000_s1026" o:spt="202" type="#_x0000_t202" style="position:absolute;left:0pt;margin-left:-0.7pt;margin-top:2.6pt;height:23.4pt;width:55.1pt;z-index:251672576;mso-width-relative:page;mso-height-relative:page;" fillcolor="#FFFFFF" filled="t" stroked="t" coordsize="21600,21600" o:gfxdata="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qDA09QAAAAHAQAADwAAAAAAAAABACAAAAAiAAAAZHJzL2Rvd25yZXYueG1sUEsB&#10;AhQAFAAAAAgAh07iQG3eUq8yAgAAhwQAAA4AAAAAAAAAAQAgAAAAIwEAAGRycy9lMm9Eb2MueG1s&#10;UEsFBgAAAAAGAAYAWQEAAMcFAAAAAA==&#10;">
                <v:fill on="t" focussize="0,0"/>
                <v:stroke color="#000000" miterlimit="8" joinstyle="miter"/>
                <v:imagedata o:title=""/>
                <o:lock v:ext="edit" aspectratio="f"/>
                <v:textbox inset="2.54mm,1.3mm,2.54mm,1.27mm">
                  <w:txbxContent>
                    <w:p w14:paraId="5B0EEE09">
                      <w:pPr>
                        <w:jc w:val="center"/>
                        <w:rPr>
                          <w:rFonts w:ascii="仿宋" w:hAnsi="仿宋" w:eastAsia="仿宋"/>
                          <w:sz w:val="21"/>
                          <w:szCs w:val="21"/>
                        </w:rPr>
                      </w:pPr>
                      <w:r>
                        <w:rPr>
                          <w:rFonts w:hint="eastAsia" w:ascii="仿宋" w:hAnsi="仿宋" w:eastAsia="仿宋"/>
                          <w:sz w:val="21"/>
                          <w:szCs w:val="21"/>
                        </w:rPr>
                        <w:t>网电源</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3600" behindDoc="0" locked="0" layoutInCell="1" allowOverlap="1">
                <wp:simplePos x="0" y="0"/>
                <wp:positionH relativeFrom="column">
                  <wp:posOffset>690880</wp:posOffset>
                </wp:positionH>
                <wp:positionV relativeFrom="paragraph">
                  <wp:posOffset>179705</wp:posOffset>
                </wp:positionV>
                <wp:extent cx="228600" cy="0"/>
                <wp:effectExtent l="5080" t="55880" r="23495" b="58420"/>
                <wp:wrapNone/>
                <wp:docPr id="15" name="Line 47"/>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47" o:spid="_x0000_s1026" o:spt="20" style="position:absolute;left:0pt;margin-left:54.4pt;margin-top:14.15pt;height:0pt;width:18pt;z-index:251673600;mso-width-relative:page;mso-height-relative:page;" filled="f" stroked="t" coordsize="21600,21600" o:gfxdata="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XJSsHXAAAA&#10;CQEAAA8AAAAAAAAAAQAgAAAAIgAAAGRycy9kb3ducmV2LnhtbFBLAQIUABQAAAAIAIdO4kCmJHN0&#10;5QEAAM4DAAAOAAAAAAAAAAEAIAAAACYBAABkcnMvZTJvRG9jLnhtbFBLBQYAAAAABgAGAFkBAAB9&#10;BQ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919480</wp:posOffset>
                </wp:positionH>
                <wp:positionV relativeFrom="paragraph">
                  <wp:posOffset>33020</wp:posOffset>
                </wp:positionV>
                <wp:extent cx="538480" cy="297180"/>
                <wp:effectExtent l="5080" t="13970" r="8890" b="12700"/>
                <wp:wrapNone/>
                <wp:docPr id="14" name="Text Box 37"/>
                <wp:cNvGraphicFramePr/>
                <a:graphic xmlns:a="http://schemas.openxmlformats.org/drawingml/2006/main">
                  <a:graphicData uri="http://schemas.microsoft.com/office/word/2010/wordprocessingShape">
                    <wps:wsp>
                      <wps:cNvSpPr txBox="1">
                        <a:spLocks noChangeArrowheads="1"/>
                      </wps:cNvSpPr>
                      <wps:spPr bwMode="auto">
                        <a:xfrm>
                          <a:off x="0" y="0"/>
                          <a:ext cx="538480" cy="297180"/>
                        </a:xfrm>
                        <a:prstGeom prst="rect">
                          <a:avLst/>
                        </a:prstGeom>
                        <a:solidFill>
                          <a:srgbClr val="FFFFFF"/>
                        </a:solidFill>
                        <a:ln w="9525">
                          <a:solidFill>
                            <a:srgbClr val="000000"/>
                          </a:solidFill>
                          <a:miter lim="800000"/>
                        </a:ln>
                      </wps:spPr>
                      <wps:txbx>
                        <w:txbxContent>
                          <w:p w14:paraId="11EA5416">
                            <w:pPr>
                              <w:jc w:val="center"/>
                              <w:rPr>
                                <w:rFonts w:ascii="仿宋" w:hAnsi="仿宋" w:eastAsia="仿宋"/>
                                <w:sz w:val="21"/>
                                <w:szCs w:val="21"/>
                              </w:rPr>
                            </w:pPr>
                            <w:r>
                              <w:rPr>
                                <w:rFonts w:hint="eastAsia" w:ascii="仿宋" w:hAnsi="仿宋" w:eastAsia="仿宋"/>
                                <w:sz w:val="21"/>
                                <w:szCs w:val="21"/>
                              </w:rPr>
                              <w:t>主机</w:t>
                            </w:r>
                          </w:p>
                        </w:txbxContent>
                      </wps:txbx>
                      <wps:bodyPr rot="0" vert="horz" wrap="square" lIns="91440" tIns="46800" rIns="91440" bIns="45720" anchor="t" anchorCtr="0" upright="1">
                        <a:noAutofit/>
                      </wps:bodyPr>
                    </wps:wsp>
                  </a:graphicData>
                </a:graphic>
              </wp:anchor>
            </w:drawing>
          </mc:Choice>
          <mc:Fallback>
            <w:pict>
              <v:shape id="Text Box 37" o:spid="_x0000_s1026" o:spt="202" type="#_x0000_t202" style="position:absolute;left:0pt;margin-left:72.4pt;margin-top:2.6pt;height:23.4pt;width:42.4pt;z-index:251663360;mso-width-relative:page;mso-height-relative:page;" fillcolor="#FFFFFF" filled="t" stroked="t" coordsize="21600,21600" o:gfxdata="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40tgzVAAAACAEAAA8AAAAAAAAAAQAgAAAAIgAAAGRycy9kb3ducmV2LnhtbFBL&#10;AQIUABQAAAAIAIdO4kCuuRRZMgIAAIcEAAAOAAAAAAAAAAEAIAAAACQBAABkcnMvZTJvRG9jLnht&#10;bFBLBQYAAAAABgAGAFkBAADIBQAAAAA=&#10;">
                <v:fill on="t" focussize="0,0"/>
                <v:stroke color="#000000" miterlimit="8" joinstyle="miter"/>
                <v:imagedata o:title=""/>
                <o:lock v:ext="edit" aspectratio="f"/>
                <v:textbox inset="2.54mm,1.3mm,2.54mm,1.27mm">
                  <w:txbxContent>
                    <w:p w14:paraId="11EA5416">
                      <w:pPr>
                        <w:jc w:val="center"/>
                        <w:rPr>
                          <w:rFonts w:ascii="仿宋" w:hAnsi="仿宋" w:eastAsia="仿宋"/>
                          <w:sz w:val="21"/>
                          <w:szCs w:val="21"/>
                        </w:rPr>
                      </w:pPr>
                      <w:r>
                        <w:rPr>
                          <w:rFonts w:hint="eastAsia" w:ascii="仿宋" w:hAnsi="仿宋" w:eastAsia="仿宋"/>
                          <w:sz w:val="21"/>
                          <w:szCs w:val="21"/>
                        </w:rPr>
                        <w:t>主机</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7456" behindDoc="0" locked="0" layoutInCell="1" allowOverlap="1">
                <wp:simplePos x="0" y="0"/>
                <wp:positionH relativeFrom="column">
                  <wp:posOffset>2559050</wp:posOffset>
                </wp:positionH>
                <wp:positionV relativeFrom="paragraph">
                  <wp:posOffset>176530</wp:posOffset>
                </wp:positionV>
                <wp:extent cx="228600" cy="0"/>
                <wp:effectExtent l="6350" t="52705" r="22225" b="61595"/>
                <wp:wrapNone/>
                <wp:docPr id="11" name="Line 41"/>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41" o:spid="_x0000_s1026" o:spt="20" style="position:absolute;left:0pt;margin-left:201.5pt;margin-top:13.9pt;height:0pt;width:18pt;z-index:251667456;mso-width-relative:page;mso-height-relative:page;" filled="f" stroked="t" coordsize="21600,21600" o:gfxdata="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LfNotkAAAAJ&#10;AQAADwAAAAAAAAABACAAAAAiAAAAZHJzL2Rvd25yZXYueG1sUEsBAhQAFAAAAAgAh07iQNZ2e3Di&#10;AQAAzgMAAA4AAAAAAAAAAQAgAAAAKAEAAGRycy9lMm9Eb2MueG1sUEsFBgAAAAAGAAYAWQEAAHwF&#10;A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1552" behindDoc="0" locked="0" layoutInCell="1" allowOverlap="1">
                <wp:simplePos x="0" y="0"/>
                <wp:positionH relativeFrom="column">
                  <wp:posOffset>1459865</wp:posOffset>
                </wp:positionH>
                <wp:positionV relativeFrom="paragraph">
                  <wp:posOffset>158750</wp:posOffset>
                </wp:positionV>
                <wp:extent cx="228600" cy="0"/>
                <wp:effectExtent l="12065" t="53975" r="16510" b="60325"/>
                <wp:wrapNone/>
                <wp:docPr id="10" name="Line 45"/>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45" o:spid="_x0000_s1026" o:spt="20" style="position:absolute;left:0pt;margin-left:114.95pt;margin-top:12.5pt;height:0pt;width:18pt;z-index:251671552;mso-width-relative:page;mso-height-relative:page;" filled="f" stroked="t" coordsize="21600,21600" o:gfxdata="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qVmaLYAAAA&#10;CQEAAA8AAAAAAAAAAQAgAAAAIgAAAGRycy9kb3ducmV2LnhtbFBLAQIUABQAAAAIAIdO4kBkYja5&#10;5AEAAM4DAAAOAAAAAAAAAAEAIAAAACcBAABkcnMvZTJvRG9jLnhtbFBLBQYAAAAABgAGAFkBAAB9&#10;BQAAAAA=&#10;">
                <v:fill on="f" focussize="0,0"/>
                <v:stroke color="#000000" joinstyle="round" endarrow="block"/>
                <v:imagedata o:title=""/>
                <o:lock v:ext="edit" aspectratio="f"/>
              </v:line>
            </w:pict>
          </mc:Fallback>
        </mc:AlternateContent>
      </w:r>
    </w:p>
    <w:p w14:paraId="551AD753">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 w:cs="Times New Roman"/>
          <w:sz w:val="28"/>
          <w:szCs w:val="28"/>
        </w:rPr>
        <mc:AlternateContent>
          <mc:Choice Requires="wps">
            <w:drawing>
              <wp:anchor distT="0" distB="0" distL="114300" distR="114300" simplePos="0" relativeHeight="251688960" behindDoc="0" locked="0" layoutInCell="1" allowOverlap="1">
                <wp:simplePos x="0" y="0"/>
                <wp:positionH relativeFrom="column">
                  <wp:posOffset>836295</wp:posOffset>
                </wp:positionH>
                <wp:positionV relativeFrom="paragraph">
                  <wp:posOffset>280035</wp:posOffset>
                </wp:positionV>
                <wp:extent cx="739140" cy="297180"/>
                <wp:effectExtent l="7620" t="13335" r="5715" b="13335"/>
                <wp:wrapNone/>
                <wp:docPr id="7" name="Text Box 66"/>
                <wp:cNvGraphicFramePr/>
                <a:graphic xmlns:a="http://schemas.openxmlformats.org/drawingml/2006/main">
                  <a:graphicData uri="http://schemas.microsoft.com/office/word/2010/wordprocessingShape">
                    <wps:wsp>
                      <wps:cNvSpPr txBox="1">
                        <a:spLocks noChangeArrowheads="1"/>
                      </wps:cNvSpPr>
                      <wps:spPr bwMode="auto">
                        <a:xfrm>
                          <a:off x="0" y="0"/>
                          <a:ext cx="739140" cy="297180"/>
                        </a:xfrm>
                        <a:prstGeom prst="rect">
                          <a:avLst/>
                        </a:prstGeom>
                        <a:solidFill>
                          <a:srgbClr val="FFFFFF"/>
                        </a:solidFill>
                        <a:ln w="9525">
                          <a:solidFill>
                            <a:srgbClr val="000000"/>
                          </a:solidFill>
                          <a:miter lim="800000"/>
                        </a:ln>
                      </wps:spPr>
                      <wps:txbx>
                        <w:txbxContent>
                          <w:p w14:paraId="35D8A926">
                            <w:pPr>
                              <w:jc w:val="center"/>
                              <w:rPr>
                                <w:rFonts w:ascii="仿宋" w:hAnsi="仿宋" w:eastAsia="仿宋"/>
                                <w:sz w:val="21"/>
                                <w:szCs w:val="21"/>
                              </w:rPr>
                            </w:pPr>
                            <w:r>
                              <w:rPr>
                                <w:rFonts w:hint="eastAsia" w:ascii="仿宋" w:hAnsi="仿宋" w:eastAsia="仿宋"/>
                                <w:sz w:val="21"/>
                                <w:szCs w:val="21"/>
                              </w:rPr>
                              <w:t>脚踏开关</w:t>
                            </w:r>
                          </w:p>
                        </w:txbxContent>
                      </wps:txbx>
                      <wps:bodyPr rot="0" vert="horz" wrap="square" lIns="91440" tIns="46800" rIns="91440" bIns="45720" anchor="t" anchorCtr="0" upright="1">
                        <a:noAutofit/>
                      </wps:bodyPr>
                    </wps:wsp>
                  </a:graphicData>
                </a:graphic>
              </wp:anchor>
            </w:drawing>
          </mc:Choice>
          <mc:Fallback>
            <w:pict>
              <v:shape id="Text Box 66" o:spid="_x0000_s1026" o:spt="202" type="#_x0000_t202" style="position:absolute;left:0pt;margin-left:65.85pt;margin-top:22.05pt;height:23.4pt;width:58.2pt;z-index:251688960;mso-width-relative:page;mso-height-relative:page;" fillcolor="#FFFFFF" filled="t" stroked="t" coordsize="21600,21600" o:gfxdata="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lCYf3YAAAACQEAAA8AAAAAAAAAAQAgAAAAIgAAAGRycy9kb3ducmV2Lnht&#10;bFBLAQIUABQAAAAIAIdO4kBpoYviMgIAAIYEAAAOAAAAAAAAAAEAIAAAACcBAABkcnMvZTJvRG9j&#10;LnhtbFBLBQYAAAAABgAGAFkBAADLBQAAAAA=&#10;">
                <v:fill on="t" focussize="0,0"/>
                <v:stroke color="#000000" miterlimit="8" joinstyle="miter"/>
                <v:imagedata o:title=""/>
                <o:lock v:ext="edit" aspectratio="f"/>
                <v:textbox inset="2.54mm,1.3mm,2.54mm,1.27mm">
                  <w:txbxContent>
                    <w:p w14:paraId="35D8A926">
                      <w:pPr>
                        <w:jc w:val="center"/>
                        <w:rPr>
                          <w:rFonts w:ascii="仿宋" w:hAnsi="仿宋" w:eastAsia="仿宋"/>
                          <w:sz w:val="21"/>
                          <w:szCs w:val="21"/>
                        </w:rPr>
                      </w:pPr>
                      <w:r>
                        <w:rPr>
                          <w:rFonts w:hint="eastAsia" w:ascii="仿宋" w:hAnsi="仿宋" w:eastAsia="仿宋"/>
                          <w:sz w:val="21"/>
                          <w:szCs w:val="21"/>
                        </w:rPr>
                        <w:t>脚踏开关</w:t>
                      </w:r>
                    </w:p>
                  </w:txbxContent>
                </v:textbox>
              </v:shape>
            </w:pict>
          </mc:Fallback>
        </mc:AlternateContent>
      </w:r>
      <w:r>
        <w:rPr>
          <w:rFonts w:ascii="Times New Roman" w:hAnsi="Times New Roman" w:eastAsia="仿宋" w:cs="Times New Roman"/>
          <w:sz w:val="28"/>
          <w:szCs w:val="28"/>
        </w:rPr>
        <mc:AlternateContent>
          <mc:Choice Requires="wps">
            <w:drawing>
              <wp:anchor distT="0" distB="0" distL="114300" distR="114300" simplePos="0" relativeHeight="251689984" behindDoc="0" locked="0" layoutInCell="1" allowOverlap="1">
                <wp:simplePos x="0" y="0"/>
                <wp:positionH relativeFrom="column">
                  <wp:posOffset>1204595</wp:posOffset>
                </wp:positionH>
                <wp:positionV relativeFrom="paragraph">
                  <wp:posOffset>-3175</wp:posOffset>
                </wp:positionV>
                <wp:extent cx="0" cy="283210"/>
                <wp:effectExtent l="61595" t="15875" r="52705" b="15240"/>
                <wp:wrapNone/>
                <wp:docPr id="6" name="AutoShape 67"/>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id="AutoShape 67" o:spid="_x0000_s1026" o:spt="32" type="#_x0000_t32" style="position:absolute;left:0pt;margin-left:94.85pt;margin-top:-0.25pt;height:22.3pt;width:0pt;z-index:251689984;mso-width-relative:page;mso-height-relative:page;" filled="f" stroked="t" coordsize="21600,21600" o:gfxdata="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WbKqNcAAAAIAQAADwAAAAAAAAABACAAAAAiAAAAZHJzL2Rvd25yZXYueG1sUEsB&#10;AhQAFAAAAAgAh07iQMH4Tj/2AQAADgQAAA4AAAAAAAAAAQAgAAAAJgEAAGRycy9lMm9Eb2MueG1s&#10;UEsFBgAAAAAGAAYAWQEAAI4FAAAAAA==&#10;">
                <v:fill on="f" focussize="0,0"/>
                <v:stroke color="#000000" joinstyle="round" startarrow="block" endarrow="block"/>
                <v:imagedata o:title=""/>
                <o:lock v:ext="edit" aspectratio="f"/>
              </v:shape>
            </w:pict>
          </mc:Fallback>
        </mc:AlternateContent>
      </w:r>
    </w:p>
    <w:p w14:paraId="7F6DA272">
      <w:pPr>
        <w:spacing w:line="520" w:lineRule="exact"/>
        <w:rPr>
          <w:rFonts w:ascii="Times New Roman" w:hAnsi="Times New Roman" w:eastAsia="仿宋_GB2312" w:cs="Times New Roman"/>
          <w:sz w:val="28"/>
          <w:szCs w:val="28"/>
        </w:rPr>
      </w:pPr>
    </w:p>
    <w:p w14:paraId="5D1B449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）例如内部电源供电的牙科种植机可描述如下：</w:t>
      </w:r>
    </w:p>
    <w:p w14:paraId="67D125A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该结构的产品作为独立设备由电池供电，通过主机的控制单元直接控制电机输出机械力驱动种植手术用器械实施手术。</w:t>
      </w:r>
    </w:p>
    <w:p w14:paraId="2E2B0F2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该结构的产品由主机、电池、充电座、手机等组成。框图如下：</w:t>
      </w:r>
    </w:p>
    <w:p w14:paraId="0354ACE7">
      <w:pPr>
        <w:autoSpaceDE w:val="0"/>
        <w:autoSpaceDN w:val="0"/>
        <w:adjustRightIn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383540</wp:posOffset>
                </wp:positionH>
                <wp:positionV relativeFrom="paragraph">
                  <wp:posOffset>33020</wp:posOffset>
                </wp:positionV>
                <wp:extent cx="1216660" cy="320040"/>
                <wp:effectExtent l="12065" t="13970" r="9525" b="8890"/>
                <wp:wrapNone/>
                <wp:docPr id="5" name="Text Box 49"/>
                <wp:cNvGraphicFramePr/>
                <a:graphic xmlns:a="http://schemas.openxmlformats.org/drawingml/2006/main">
                  <a:graphicData uri="http://schemas.microsoft.com/office/word/2010/wordprocessingShape">
                    <wps:wsp>
                      <wps:cNvSpPr txBox="1">
                        <a:spLocks noChangeArrowheads="1"/>
                      </wps:cNvSpPr>
                      <wps:spPr bwMode="auto">
                        <a:xfrm>
                          <a:off x="0" y="0"/>
                          <a:ext cx="1216660" cy="320040"/>
                        </a:xfrm>
                        <a:prstGeom prst="rect">
                          <a:avLst/>
                        </a:prstGeom>
                        <a:solidFill>
                          <a:srgbClr val="FFFFFF"/>
                        </a:solidFill>
                        <a:ln w="9525">
                          <a:solidFill>
                            <a:srgbClr val="000000"/>
                          </a:solidFill>
                          <a:miter lim="800000"/>
                        </a:ln>
                      </wps:spPr>
                      <wps:txbx>
                        <w:txbxContent>
                          <w:p w14:paraId="5235DA98">
                            <w:pPr>
                              <w:jc w:val="center"/>
                              <w:rPr>
                                <w:rFonts w:ascii="仿宋" w:hAnsi="仿宋" w:eastAsia="仿宋"/>
                                <w:sz w:val="21"/>
                                <w:szCs w:val="21"/>
                              </w:rPr>
                            </w:pPr>
                            <w:r>
                              <w:rPr>
                                <w:rFonts w:hint="eastAsia" w:ascii="仿宋" w:hAnsi="仿宋" w:eastAsia="仿宋"/>
                                <w:sz w:val="21"/>
                                <w:szCs w:val="21"/>
                              </w:rPr>
                              <w:t>主机（内含马达）</w:t>
                            </w:r>
                          </w:p>
                        </w:txbxContent>
                      </wps:txbx>
                      <wps:bodyPr rot="0" vert="horz" wrap="square" lIns="91440" tIns="46800" rIns="91440" bIns="45720" anchor="t" anchorCtr="0" upright="1">
                        <a:noAutofit/>
                      </wps:bodyPr>
                    </wps:wsp>
                  </a:graphicData>
                </a:graphic>
              </wp:anchor>
            </w:drawing>
          </mc:Choice>
          <mc:Fallback>
            <w:pict>
              <v:shape id="Text Box 49" o:spid="_x0000_s1026" o:spt="202" type="#_x0000_t202" style="position:absolute;left:0pt;margin-left:30.2pt;margin-top:2.6pt;height:25.2pt;width:95.8pt;z-index:251674624;mso-width-relative:page;mso-height-relative:page;" fillcolor="#FFFFFF" filled="t" stroked="t" coordsize="21600,21600" o:gfxdata="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t4x8j1QAAAAcBAAAPAAAAAAAAAAEAIAAAACIAAABkcnMvZG93bnJldi54bWxQ&#10;SwECFAAUAAAACACHTuJAAKuuvzMCAACHBAAADgAAAAAAAAABACAAAAAkAQAAZHJzL2Uyb0RvYy54&#10;bWxQSwUGAAAAAAYABgBZAQAAyQUAAAAA&#10;">
                <v:fill on="t" focussize="0,0"/>
                <v:stroke color="#000000" miterlimit="8" joinstyle="miter"/>
                <v:imagedata o:title=""/>
                <o:lock v:ext="edit" aspectratio="f"/>
                <v:textbox inset="2.54mm,1.3mm,2.54mm,1.27mm">
                  <w:txbxContent>
                    <w:p w14:paraId="5235DA98">
                      <w:pPr>
                        <w:jc w:val="center"/>
                        <w:rPr>
                          <w:rFonts w:ascii="仿宋" w:hAnsi="仿宋" w:eastAsia="仿宋"/>
                          <w:sz w:val="21"/>
                          <w:szCs w:val="21"/>
                        </w:rPr>
                      </w:pPr>
                      <w:r>
                        <w:rPr>
                          <w:rFonts w:hint="eastAsia" w:ascii="仿宋" w:hAnsi="仿宋" w:eastAsia="仿宋"/>
                          <w:sz w:val="21"/>
                          <w:szCs w:val="21"/>
                        </w:rPr>
                        <w:t>主机（内含马达）</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2628900</wp:posOffset>
                </wp:positionH>
                <wp:positionV relativeFrom="paragraph">
                  <wp:posOffset>33020</wp:posOffset>
                </wp:positionV>
                <wp:extent cx="1396365" cy="320040"/>
                <wp:effectExtent l="9525" t="13970" r="13335" b="8890"/>
                <wp:wrapNone/>
                <wp:docPr id="4" name="Text Box 51"/>
                <wp:cNvGraphicFramePr/>
                <a:graphic xmlns:a="http://schemas.openxmlformats.org/drawingml/2006/main">
                  <a:graphicData uri="http://schemas.microsoft.com/office/word/2010/wordprocessingShape">
                    <wps:wsp>
                      <wps:cNvSpPr txBox="1">
                        <a:spLocks noChangeArrowheads="1"/>
                      </wps:cNvSpPr>
                      <wps:spPr bwMode="auto">
                        <a:xfrm>
                          <a:off x="0" y="0"/>
                          <a:ext cx="1396365" cy="320040"/>
                        </a:xfrm>
                        <a:prstGeom prst="rect">
                          <a:avLst/>
                        </a:prstGeom>
                        <a:solidFill>
                          <a:srgbClr val="FFFFFF"/>
                        </a:solidFill>
                        <a:ln w="9525">
                          <a:solidFill>
                            <a:srgbClr val="000000"/>
                          </a:solidFill>
                          <a:miter lim="800000"/>
                        </a:ln>
                      </wps:spPr>
                      <wps:txbx>
                        <w:txbxContent>
                          <w:p w14:paraId="1F0D0379">
                            <w:pPr>
                              <w:jc w:val="center"/>
                              <w:rPr>
                                <w:rFonts w:ascii="仿宋" w:hAnsi="仿宋" w:eastAsia="仿宋"/>
                                <w:sz w:val="21"/>
                                <w:szCs w:val="21"/>
                              </w:rPr>
                            </w:pPr>
                            <w:r>
                              <w:rPr>
                                <w:rFonts w:hint="eastAsia" w:ascii="仿宋" w:hAnsi="仿宋" w:eastAsia="仿宋"/>
                                <w:sz w:val="21"/>
                                <w:szCs w:val="21"/>
                              </w:rPr>
                              <w:t>种植手术用器械</w:t>
                            </w:r>
                          </w:p>
                          <w:p w14:paraId="3D3B900A"/>
                        </w:txbxContent>
                      </wps:txbx>
                      <wps:bodyPr rot="0" vert="horz" wrap="square" lIns="91440" tIns="46800" rIns="91440" bIns="45720" anchor="t" anchorCtr="0" upright="1">
                        <a:noAutofit/>
                      </wps:bodyPr>
                    </wps:wsp>
                  </a:graphicData>
                </a:graphic>
              </wp:anchor>
            </w:drawing>
          </mc:Choice>
          <mc:Fallback>
            <w:pict>
              <v:shape id="Text Box 51" o:spid="_x0000_s1026" o:spt="202" type="#_x0000_t202" style="position:absolute;left:0pt;margin-left:207pt;margin-top:2.6pt;height:25.2pt;width:109.95pt;z-index:251676672;mso-width-relative:page;mso-height-relative:page;" fillcolor="#FFFFFF" filled="t" stroked="t" coordsize="21600,21600" o:gfxdata="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7oP2stcAAAAIAQAADwAAAAAAAAABACAAAAAiAAAAZHJzL2Rvd25yZXYu&#10;eG1sUEsBAhQAFAAAAAgAh07iQHkgR901AgAAhwQAAA4AAAAAAAAAAQAgAAAAJgEAAGRycy9lMm9E&#10;b2MueG1sUEsFBgAAAAAGAAYAWQEAAM0FAAAAAA==&#10;">
                <v:fill on="t" focussize="0,0"/>
                <v:stroke color="#000000" miterlimit="8" joinstyle="miter"/>
                <v:imagedata o:title=""/>
                <o:lock v:ext="edit" aspectratio="f"/>
                <v:textbox inset="2.54mm,1.3mm,2.54mm,1.27mm">
                  <w:txbxContent>
                    <w:p w14:paraId="1F0D0379">
                      <w:pPr>
                        <w:jc w:val="center"/>
                        <w:rPr>
                          <w:rFonts w:ascii="仿宋" w:hAnsi="仿宋" w:eastAsia="仿宋"/>
                          <w:sz w:val="21"/>
                          <w:szCs w:val="21"/>
                        </w:rPr>
                      </w:pPr>
                      <w:r>
                        <w:rPr>
                          <w:rFonts w:hint="eastAsia" w:ascii="仿宋" w:hAnsi="仿宋" w:eastAsia="仿宋"/>
                          <w:sz w:val="21"/>
                          <w:szCs w:val="21"/>
                        </w:rPr>
                        <w:t>种植手术用器械</w:t>
                      </w:r>
                    </w:p>
                    <w:p w14:paraId="3D3B900A"/>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2400300</wp:posOffset>
                </wp:positionH>
                <wp:positionV relativeFrom="paragraph">
                  <wp:posOffset>175260</wp:posOffset>
                </wp:positionV>
                <wp:extent cx="228600" cy="0"/>
                <wp:effectExtent l="9525" t="60960" r="19050" b="53340"/>
                <wp:wrapNone/>
                <wp:docPr id="3" name="Line 53"/>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53" o:spid="_x0000_s1026" o:spt="20" style="position:absolute;left:0pt;margin-left:189pt;margin-top:13.8pt;height:0pt;width:18pt;z-index:251678720;mso-width-relative:page;mso-height-relative:page;" filled="f" stroked="t" coordsize="21600,21600" o:gfxdata="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ZaSwB2QAA&#10;AAkBAAAPAAAAAAAAAAEAIAAAACIAAABkcnMvZG93bnJldi54bWxQSwECFAAUAAAACACHTuJAY2RA&#10;4OQBAADNAwAADgAAAAAAAAABACAAAAAoAQAAZHJzL2Uyb0RvYy54bWxQSwUGAAAAAAYABgBZAQAA&#10;fgUAAAAA&#10;">
                <v:fill on="f" focussize="0,0"/>
                <v:stroke color="#000000" joinstyle="round" endarrow="block"/>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5648" behindDoc="0" locked="0" layoutInCell="1" allowOverlap="1">
                <wp:simplePos x="0" y="0"/>
                <wp:positionH relativeFrom="column">
                  <wp:posOffset>1828800</wp:posOffset>
                </wp:positionH>
                <wp:positionV relativeFrom="paragraph">
                  <wp:posOffset>33020</wp:posOffset>
                </wp:positionV>
                <wp:extent cx="571500" cy="320040"/>
                <wp:effectExtent l="9525" t="13970" r="9525" b="8890"/>
                <wp:wrapNone/>
                <wp:docPr id="2" name="Text Box 50"/>
                <wp:cNvGraphicFramePr/>
                <a:graphic xmlns:a="http://schemas.openxmlformats.org/drawingml/2006/main">
                  <a:graphicData uri="http://schemas.microsoft.com/office/word/2010/wordprocessingShape">
                    <wps:wsp>
                      <wps:cNvSpPr txBox="1">
                        <a:spLocks noChangeArrowheads="1"/>
                      </wps:cNvSpPr>
                      <wps:spPr bwMode="auto">
                        <a:xfrm>
                          <a:off x="0" y="0"/>
                          <a:ext cx="571500" cy="320040"/>
                        </a:xfrm>
                        <a:prstGeom prst="rect">
                          <a:avLst/>
                        </a:prstGeom>
                        <a:solidFill>
                          <a:srgbClr val="FFFFFF"/>
                        </a:solidFill>
                        <a:ln w="9525">
                          <a:solidFill>
                            <a:srgbClr val="000000"/>
                          </a:solidFill>
                          <a:miter lim="800000"/>
                        </a:ln>
                      </wps:spPr>
                      <wps:txbx>
                        <w:txbxContent>
                          <w:p w14:paraId="53958484">
                            <w:pPr>
                              <w:jc w:val="center"/>
                              <w:rPr>
                                <w:rFonts w:ascii="仿宋" w:hAnsi="仿宋" w:eastAsia="仿宋"/>
                                <w:sz w:val="21"/>
                                <w:szCs w:val="21"/>
                              </w:rPr>
                            </w:pPr>
                            <w:r>
                              <w:rPr>
                                <w:rFonts w:hint="eastAsia" w:ascii="仿宋" w:hAnsi="仿宋" w:eastAsia="仿宋"/>
                                <w:sz w:val="21"/>
                                <w:szCs w:val="21"/>
                              </w:rPr>
                              <w:t>手机</w:t>
                            </w:r>
                          </w:p>
                        </w:txbxContent>
                      </wps:txbx>
                      <wps:bodyPr rot="0" vert="horz" wrap="square" lIns="91440" tIns="46800" rIns="91440" bIns="45720" anchor="t" anchorCtr="0" upright="1">
                        <a:noAutofit/>
                      </wps:bodyPr>
                    </wps:wsp>
                  </a:graphicData>
                </a:graphic>
              </wp:anchor>
            </w:drawing>
          </mc:Choice>
          <mc:Fallback>
            <w:pict>
              <v:shape id="Text Box 50" o:spid="_x0000_s1026" o:spt="202" type="#_x0000_t202" style="position:absolute;left:0pt;margin-left:144pt;margin-top:2.6pt;height:25.2pt;width:45pt;z-index:251675648;mso-width-relative:page;mso-height-relative:page;" fillcolor="#FFFFFF" filled="t" stroked="t" coordsize="21600,21600" o:gfxdata="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q4gzdYAAAAIAQAADwAAAAAAAAABACAAAAAiAAAAZHJzL2Rvd25yZXYueG1s&#10;UEsBAhQAFAAAAAgAh07iQH3Ke8gzAgAAhgQAAA4AAAAAAAAAAQAgAAAAJQEAAGRycy9lMm9Eb2Mu&#10;eG1sUEsFBgAAAAAGAAYAWQEAAMoFAAAAAA==&#10;">
                <v:fill on="t" focussize="0,0"/>
                <v:stroke color="#000000" miterlimit="8" joinstyle="miter"/>
                <v:imagedata o:title=""/>
                <o:lock v:ext="edit" aspectratio="f"/>
                <v:textbox inset="2.54mm,1.3mm,2.54mm,1.27mm">
                  <w:txbxContent>
                    <w:p w14:paraId="53958484">
                      <w:pPr>
                        <w:jc w:val="center"/>
                        <w:rPr>
                          <w:rFonts w:ascii="仿宋" w:hAnsi="仿宋" w:eastAsia="仿宋"/>
                          <w:sz w:val="21"/>
                          <w:szCs w:val="21"/>
                        </w:rPr>
                      </w:pPr>
                      <w:r>
                        <w:rPr>
                          <w:rFonts w:hint="eastAsia" w:ascii="仿宋" w:hAnsi="仿宋" w:eastAsia="仿宋"/>
                          <w:sz w:val="21"/>
                          <w:szCs w:val="21"/>
                        </w:rPr>
                        <w:t>手机</w:t>
                      </w:r>
                    </w:p>
                  </w:txbxContent>
                </v:textbox>
              </v:shap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1600200</wp:posOffset>
                </wp:positionH>
                <wp:positionV relativeFrom="paragraph">
                  <wp:posOffset>175260</wp:posOffset>
                </wp:positionV>
                <wp:extent cx="228600" cy="0"/>
                <wp:effectExtent l="9525" t="60960" r="19050" b="53340"/>
                <wp:wrapNone/>
                <wp:docPr id="1" name="Line 52"/>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tailEnd type="triangle" w="med" len="med"/>
                        </a:ln>
                      </wps:spPr>
                      <wps:bodyPr/>
                    </wps:wsp>
                  </a:graphicData>
                </a:graphic>
              </wp:anchor>
            </w:drawing>
          </mc:Choice>
          <mc:Fallback>
            <w:pict>
              <v:line id="Line 52" o:spid="_x0000_s1026" o:spt="20" style="position:absolute;left:0pt;margin-left:126pt;margin-top:13.8pt;height:0pt;width:18pt;z-index:251677696;mso-width-relative:page;mso-height-relative:page;" filled="f" stroked="t" coordsize="21600,21600" o:gfxdata="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hicWNgAAAAJ&#10;AQAADwAAAAAAAAABACAAAAAiAAAAZHJzL2Rvd25yZXYueG1sUEsBAhQAFAAAAAgAh07iQAHYaTPj&#10;AQAAzQMAAA4AAAAAAAAAAQAgAAAAJwEAAGRycy9lMm9Eb2MueG1sUEsFBgAAAAAGAAYAWQEAAHwF&#10;AAAAAA==&#10;">
                <v:fill on="f" focussize="0,0"/>
                <v:stroke color="#000000" joinstyle="round" endarrow="block"/>
                <v:imagedata o:title=""/>
                <o:lock v:ext="edit" aspectratio="f"/>
              </v:line>
            </w:pict>
          </mc:Fallback>
        </mc:AlternateContent>
      </w:r>
    </w:p>
    <w:p w14:paraId="545469D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提供产品的技术规格（技术指标）；当器械与相关标准有差异时，应着重说明。</w:t>
      </w:r>
    </w:p>
    <w:p w14:paraId="3319084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申请人应明确各组成单元。</w:t>
      </w:r>
    </w:p>
    <w:p w14:paraId="0BF73C0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）主机</w:t>
      </w:r>
    </w:p>
    <w:p w14:paraId="786390F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由网电源（</w:t>
      </w:r>
      <w:r>
        <w:rPr>
          <w:rFonts w:ascii="Times New Roman" w:hAnsi="Times New Roman" w:eastAsia="仿宋_GB2312" w:cs="Times New Roman"/>
          <w:sz w:val="32"/>
          <w:szCs w:val="32"/>
        </w:rPr>
        <w:t>AC220V</w:t>
      </w:r>
      <w:r>
        <w:rPr>
          <w:rFonts w:hint="eastAsia" w:ascii="Times New Roman" w:hAnsi="Times New Roman" w:eastAsia="仿宋_GB2312" w:cs="Times New Roman"/>
          <w:sz w:val="32"/>
          <w:szCs w:val="32"/>
        </w:rPr>
        <w:t>）直接供电，或由电池供电，为手机提供机械动力能和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电能。通过操作控制台面板和脚踏开关，预设或调节与种植手术操作步骤相对应的功能。一般情况下，转速、手机的齿轮速比选择、扭矩控制、正反转功能、冷却水流量的调节及状态均在控制台面板上操作及显示。</w:t>
      </w:r>
    </w:p>
    <w:p w14:paraId="4241E50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）马达线缆</w:t>
      </w:r>
    </w:p>
    <w:p w14:paraId="703FBCE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用于在控制台与马达之间实现电能传输。</w:t>
      </w:r>
    </w:p>
    <w:p w14:paraId="11E9C38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）马达</w:t>
      </w:r>
    </w:p>
    <w:p w14:paraId="2D7D22F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马达通过马达线缆与控制台完成电气相连并由后者供电，用于提供旋转种植手术用器械的驱动力。</w:t>
      </w:r>
    </w:p>
    <w:p w14:paraId="117AF0D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）手机</w:t>
      </w:r>
    </w:p>
    <w:p w14:paraId="0F30426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由操作者握持，其驱动所夹持的种植手术用器械来实现手术目的的部件。在临床上需根据转速及扭矩需求配备不同齿轮速比的手机。</w:t>
      </w:r>
    </w:p>
    <w:p w14:paraId="3C27CE7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）脚踏开关</w:t>
      </w:r>
    </w:p>
    <w:p w14:paraId="3B023B2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接入主机或牙科治疗机后，用于控制种植手术操作步骤相对应的功能选择和启停切换。</w:t>
      </w:r>
    </w:p>
    <w:p w14:paraId="74A6C74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）蠕动泵</w:t>
      </w:r>
    </w:p>
    <w:p w14:paraId="5ABC6D8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由牙科治疗机或主机控制，用于在种植手术过程中提供工作区域的水冷却、冲洗的动力，包括冷却液的流量调整。</w:t>
      </w:r>
    </w:p>
    <w:p w14:paraId="06893554">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申请人应说明整机配置。</w:t>
      </w:r>
    </w:p>
    <w:p w14:paraId="5B60BBCD">
      <w:pPr>
        <w:overflowPunct w:val="0"/>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整机配置应覆盖所有组合情况。同一型号的整机应考虑根据主机、马达、脚踏开关、手机等主要部件的不同组合方式划分为不同的配置。</w:t>
      </w:r>
    </w:p>
    <w:p w14:paraId="75289120">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例如某一型号</w:t>
      </w:r>
      <w:r>
        <w:rPr>
          <w:rFonts w:ascii="Times New Roman" w:hAnsi="Times New Roman" w:eastAsia="仿宋_GB2312" w:cs="Times New Roman"/>
          <w:sz w:val="32"/>
          <w:szCs w:val="32"/>
        </w:rPr>
        <w:t>AAA</w:t>
      </w:r>
      <w:r>
        <w:rPr>
          <w:rFonts w:hint="eastAsia" w:ascii="Times New Roman" w:hAnsi="Times New Roman" w:eastAsia="仿宋_GB2312" w:cs="Times New Roman"/>
          <w:sz w:val="32"/>
          <w:szCs w:val="32"/>
        </w:rPr>
        <w:t>的牙科种植机含主机（型号</w:t>
      </w:r>
      <w:r>
        <w:rPr>
          <w:rFonts w:ascii="Times New Roman" w:hAnsi="Times New Roman" w:eastAsia="仿宋_GB2312" w:cs="Times New Roman"/>
          <w:sz w:val="32"/>
          <w:szCs w:val="32"/>
        </w:rPr>
        <w:t>X</w:t>
      </w:r>
      <w:r>
        <w:rPr>
          <w:rFonts w:hint="eastAsia" w:ascii="Times New Roman" w:hAnsi="Times New Roman" w:eastAsia="仿宋_GB2312" w:cs="Times New Roman"/>
          <w:sz w:val="32"/>
          <w:szCs w:val="32"/>
        </w:rPr>
        <w:t>）、马达（型号</w:t>
      </w:r>
      <w:r>
        <w:rPr>
          <w:rFonts w:ascii="Times New Roman" w:hAnsi="Times New Roman" w:eastAsia="仿宋_GB2312" w:cs="Times New Roman"/>
          <w:sz w:val="32"/>
          <w:szCs w:val="32"/>
        </w:rPr>
        <w:t>Y1</w:t>
      </w:r>
      <w:r>
        <w:rPr>
          <w:rFonts w:hint="eastAsia" w:ascii="Times New Roman" w:hAnsi="Times New Roman" w:eastAsia="仿宋_GB2312" w:cs="Times New Roman"/>
          <w:sz w:val="32"/>
          <w:szCs w:val="32"/>
        </w:rPr>
        <w:t>、型号</w:t>
      </w:r>
      <w:r>
        <w:rPr>
          <w:rFonts w:ascii="Times New Roman" w:hAnsi="Times New Roman" w:eastAsia="仿宋_GB2312" w:cs="Times New Roman"/>
          <w:sz w:val="32"/>
          <w:szCs w:val="32"/>
        </w:rPr>
        <w:t>Y2</w:t>
      </w:r>
      <w:r>
        <w:rPr>
          <w:rFonts w:hint="eastAsia" w:ascii="Times New Roman" w:hAnsi="Times New Roman" w:eastAsia="仿宋_GB2312" w:cs="Times New Roman"/>
          <w:sz w:val="32"/>
          <w:szCs w:val="32"/>
        </w:rPr>
        <w:t>）、手机（型号</w:t>
      </w:r>
      <w:r>
        <w:rPr>
          <w:rFonts w:ascii="Times New Roman" w:hAnsi="Times New Roman" w:eastAsia="仿宋_GB2312" w:cs="Times New Roman"/>
          <w:sz w:val="32"/>
          <w:szCs w:val="32"/>
        </w:rPr>
        <w:t>Z</w:t>
      </w:r>
      <w:r>
        <w:rPr>
          <w:rFonts w:hint="eastAsia" w:ascii="Times New Roman" w:hAnsi="Times New Roman" w:eastAsia="仿宋_GB2312" w:cs="Times New Roman"/>
          <w:sz w:val="32"/>
          <w:szCs w:val="32"/>
        </w:rPr>
        <w:t>）、脚踏开关（无线型号</w:t>
      </w:r>
      <w:r>
        <w:rPr>
          <w:rFonts w:ascii="Times New Roman" w:hAnsi="Times New Roman" w:eastAsia="仿宋_GB2312" w:cs="Times New Roman"/>
          <w:sz w:val="32"/>
          <w:szCs w:val="32"/>
        </w:rPr>
        <w:t>W1</w:t>
      </w:r>
      <w:r>
        <w:rPr>
          <w:rFonts w:hint="eastAsia" w:ascii="Times New Roman" w:hAnsi="Times New Roman" w:eastAsia="仿宋_GB2312" w:cs="Times New Roman"/>
          <w:sz w:val="32"/>
          <w:szCs w:val="32"/>
        </w:rPr>
        <w:t>、有线型号</w:t>
      </w:r>
      <w:r>
        <w:rPr>
          <w:rFonts w:ascii="Times New Roman" w:hAnsi="Times New Roman" w:eastAsia="仿宋_GB2312" w:cs="Times New Roman"/>
          <w:sz w:val="32"/>
          <w:szCs w:val="32"/>
        </w:rPr>
        <w:t>W2</w:t>
      </w:r>
      <w:r>
        <w:rPr>
          <w:rFonts w:hint="eastAsia" w:ascii="Times New Roman" w:hAnsi="Times New Roman" w:eastAsia="仿宋_GB2312" w:cs="Times New Roman"/>
          <w:sz w:val="32"/>
          <w:szCs w:val="32"/>
        </w:rPr>
        <w:t>），则</w:t>
      </w:r>
      <w:r>
        <w:rPr>
          <w:rFonts w:ascii="Times New Roman" w:hAnsi="Times New Roman" w:eastAsia="仿宋_GB2312" w:cs="Times New Roman"/>
          <w:sz w:val="32"/>
          <w:szCs w:val="32"/>
        </w:rPr>
        <w:t>AAA</w:t>
      </w:r>
      <w:r>
        <w:rPr>
          <w:rFonts w:hint="eastAsia" w:ascii="Times New Roman" w:hAnsi="Times New Roman" w:eastAsia="仿宋_GB2312" w:cs="Times New Roman"/>
          <w:sz w:val="32"/>
          <w:szCs w:val="32"/>
        </w:rPr>
        <w:t>型号的配置应至多包括</w:t>
      </w:r>
      <w:r>
        <w:rPr>
          <w:rFonts w:ascii="Times New Roman" w:hAnsi="Times New Roman" w:eastAsia="仿宋_GB2312" w:cs="Times New Roman"/>
          <w:sz w:val="32"/>
          <w:szCs w:val="32"/>
        </w:rPr>
        <w:t>X+Y1+Z+W1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X+Y1+Z+W2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X+Y2+Z+W1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X+Y2+Z+W2</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种配置，并以实际申报组合情况确定最终配置。</w:t>
      </w:r>
      <w:bookmarkStart w:id="6" w:name="_Toc468803076"/>
    </w:p>
    <w:p w14:paraId="363EC824">
      <w:pPr>
        <w:overflowPunct w:val="0"/>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（四）研究资料</w:t>
      </w:r>
      <w:bookmarkEnd w:id="6"/>
    </w:p>
    <w:p w14:paraId="70CDFF15">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生物相容性研究资料</w:t>
      </w:r>
    </w:p>
    <w:p w14:paraId="398DB09A">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牙科种植机产品组成中若包括手机部分，本章节适用。</w:t>
      </w:r>
    </w:p>
    <w:p w14:paraId="2624139B">
      <w:pPr>
        <w:overflowPunct w:val="0"/>
        <w:spacing w:line="540" w:lineRule="exact"/>
        <w:ind w:firstLine="648"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手机看作机头与机身的组合构造。考虑临床使用中机头部分在口内操作，会与口腔内生理组织接触，因此应评价手机机头部分的生物学风险。申请人应描述机头部分的材料，以及在使用过程中与口腔黏膜组织接触的性质和时间，参照</w:t>
      </w:r>
      <w:r>
        <w:rPr>
          <w:rFonts w:ascii="Times New Roman" w:hAnsi="Times New Roman" w:eastAsia="仿宋_GB2312" w:cs="Times New Roman"/>
          <w:spacing w:val="2"/>
          <w:sz w:val="32"/>
          <w:szCs w:val="32"/>
        </w:rPr>
        <w:t>GB/T 16886.1</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2011</w:t>
      </w:r>
      <w:r>
        <w:rPr>
          <w:rFonts w:hint="eastAsia" w:ascii="Times New Roman" w:hAnsi="Times New Roman" w:eastAsia="仿宋_GB2312" w:cs="Times New Roman"/>
          <w:spacing w:val="2"/>
          <w:sz w:val="32"/>
          <w:szCs w:val="32"/>
        </w:rPr>
        <w:t>《医疗器械生物学评价</w:t>
      </w:r>
      <w:r>
        <w:rPr>
          <w:rFonts w:ascii="Times New Roman" w:hAnsi="Times New Roman" w:eastAsia="仿宋_GB2312" w:cs="Times New Roman"/>
          <w:spacing w:val="2"/>
          <w:sz w:val="32"/>
          <w:szCs w:val="32"/>
        </w:rPr>
        <w:t xml:space="preserve"> </w:t>
      </w:r>
      <w:r>
        <w:rPr>
          <w:rFonts w:hint="eastAsia" w:ascii="Times New Roman" w:hAnsi="Times New Roman" w:eastAsia="仿宋_GB2312" w:cs="Times New Roman"/>
          <w:spacing w:val="2"/>
          <w:sz w:val="32"/>
          <w:szCs w:val="32"/>
        </w:rPr>
        <w:t>第</w:t>
      </w:r>
      <w:r>
        <w:rPr>
          <w:rFonts w:ascii="Times New Roman" w:hAnsi="Times New Roman" w:eastAsia="仿宋_GB2312" w:cs="Times New Roman"/>
          <w:spacing w:val="2"/>
          <w:sz w:val="32"/>
          <w:szCs w:val="32"/>
        </w:rPr>
        <w:t>1</w:t>
      </w:r>
      <w:r>
        <w:rPr>
          <w:rFonts w:hint="eastAsia" w:ascii="Times New Roman" w:hAnsi="Times New Roman" w:eastAsia="仿宋_GB2312" w:cs="Times New Roman"/>
          <w:spacing w:val="2"/>
          <w:sz w:val="32"/>
          <w:szCs w:val="32"/>
        </w:rPr>
        <w:t>部分：风险管理过程中的评价与试验》或者</w:t>
      </w:r>
      <w:r>
        <w:rPr>
          <w:rFonts w:ascii="Times New Roman" w:hAnsi="Times New Roman" w:eastAsia="仿宋_GB2312" w:cs="Times New Roman"/>
          <w:spacing w:val="2"/>
          <w:sz w:val="32"/>
          <w:szCs w:val="32"/>
        </w:rPr>
        <w:t>YY/T 0268</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2008</w:t>
      </w:r>
      <w:r>
        <w:rPr>
          <w:rFonts w:hint="eastAsia" w:ascii="Times New Roman" w:hAnsi="Times New Roman" w:eastAsia="仿宋_GB2312" w:cs="Times New Roman"/>
          <w:spacing w:val="2"/>
          <w:sz w:val="32"/>
          <w:szCs w:val="32"/>
        </w:rPr>
        <w:t>《牙科学</w:t>
      </w:r>
      <w:r>
        <w:rPr>
          <w:rFonts w:ascii="Times New Roman" w:hAnsi="Times New Roman" w:eastAsia="仿宋_GB2312" w:cs="Times New Roman"/>
          <w:spacing w:val="2"/>
          <w:sz w:val="32"/>
          <w:szCs w:val="32"/>
        </w:rPr>
        <w:t xml:space="preserve"> </w:t>
      </w:r>
      <w:r>
        <w:rPr>
          <w:rFonts w:hint="eastAsia" w:ascii="Times New Roman" w:hAnsi="Times New Roman" w:eastAsia="仿宋_GB2312" w:cs="Times New Roman"/>
          <w:spacing w:val="2"/>
          <w:sz w:val="32"/>
          <w:szCs w:val="32"/>
        </w:rPr>
        <w:t>口腔医疗器械生物学评价</w:t>
      </w:r>
      <w:r>
        <w:rPr>
          <w:rFonts w:ascii="Times New Roman" w:hAnsi="Times New Roman" w:eastAsia="仿宋_GB2312" w:cs="Times New Roman"/>
          <w:spacing w:val="2"/>
          <w:sz w:val="32"/>
          <w:szCs w:val="32"/>
        </w:rPr>
        <w:t xml:space="preserve"> </w:t>
      </w:r>
      <w:r>
        <w:rPr>
          <w:rFonts w:hint="eastAsia" w:ascii="Times New Roman" w:hAnsi="Times New Roman" w:eastAsia="仿宋_GB2312" w:cs="Times New Roman"/>
          <w:spacing w:val="2"/>
          <w:sz w:val="32"/>
          <w:szCs w:val="32"/>
        </w:rPr>
        <w:t>第</w:t>
      </w:r>
      <w:r>
        <w:rPr>
          <w:rFonts w:ascii="Times New Roman" w:hAnsi="Times New Roman" w:eastAsia="仿宋_GB2312" w:cs="Times New Roman"/>
          <w:spacing w:val="2"/>
          <w:sz w:val="32"/>
          <w:szCs w:val="32"/>
        </w:rPr>
        <w:t>1</w:t>
      </w:r>
      <w:r>
        <w:rPr>
          <w:rFonts w:hint="eastAsia" w:ascii="Times New Roman" w:hAnsi="Times New Roman" w:eastAsia="仿宋_GB2312" w:cs="Times New Roman"/>
          <w:spacing w:val="2"/>
          <w:sz w:val="32"/>
          <w:szCs w:val="32"/>
        </w:rPr>
        <w:t>单元：评价与试验》的要求对手机机头部分进行生物相容性评价。</w:t>
      </w:r>
    </w:p>
    <w:p w14:paraId="2C135FBD">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灭菌工艺研究资料</w:t>
      </w:r>
    </w:p>
    <w:p w14:paraId="5EA9ACED">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）手机</w:t>
      </w:r>
    </w:p>
    <w:p w14:paraId="46D5934E">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手机应可耐受灭菌处理，并参照</w:t>
      </w:r>
      <w:r>
        <w:rPr>
          <w:rFonts w:ascii="Times New Roman" w:hAnsi="Times New Roman" w:eastAsia="仿宋_GB2312" w:cs="Times New Roman"/>
          <w:sz w:val="32"/>
          <w:szCs w:val="32"/>
        </w:rPr>
        <w:t>YY 1045.2</w:t>
      </w:r>
      <w:r>
        <w:rPr>
          <w:rFonts w:hint="eastAsia" w:ascii="Times New Roman" w:hAnsi="Times New Roman" w:eastAsia="仿宋_GB2312" w:cs="Times New Roman"/>
          <w:sz w:val="32"/>
          <w:szCs w:val="32"/>
        </w:rPr>
        <w:t>《牙科手机</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第</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部分</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直手机和弯手机》的要求能够承受一定次数的灭菌循环，而无损坏现象。灭菌方式宜采用压力蒸汽灭菌。如采用其他灭菌方式，应提供该灭菌方法及其确定的依据。提供推荐的灭菌方法耐受性的研究资料。</w:t>
      </w:r>
    </w:p>
    <w:p w14:paraId="55BC8C06">
      <w:pPr>
        <w:overflowPunct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）马达及马达线缆</w:t>
      </w:r>
    </w:p>
    <w:p w14:paraId="08213475">
      <w:pPr>
        <w:overflowPunct w:val="0"/>
        <w:spacing w:line="540" w:lineRule="exact"/>
        <w:ind w:firstLine="664"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rPr>
        <w:t>若适用，马达及马达线缆可耐受灭菌处理，应参照</w:t>
      </w:r>
      <w:r>
        <w:rPr>
          <w:rFonts w:ascii="Times New Roman" w:hAnsi="Times New Roman" w:eastAsia="仿宋_GB2312" w:cs="Times New Roman"/>
          <w:spacing w:val="6"/>
          <w:sz w:val="32"/>
          <w:szCs w:val="32"/>
        </w:rPr>
        <w:t>YY 0836</w:t>
      </w:r>
      <w:r>
        <w:rPr>
          <w:rFonts w:hint="eastAsia" w:ascii="Times New Roman" w:hAnsi="Times New Roman" w:eastAsia="仿宋_GB2312" w:cs="Times New Roman"/>
          <w:spacing w:val="6"/>
          <w:sz w:val="32"/>
          <w:szCs w:val="32"/>
        </w:rPr>
        <w:t>—</w:t>
      </w:r>
      <w:r>
        <w:rPr>
          <w:rFonts w:ascii="Times New Roman" w:hAnsi="Times New Roman" w:eastAsia="仿宋_GB2312" w:cs="Times New Roman"/>
          <w:spacing w:val="6"/>
          <w:sz w:val="32"/>
          <w:szCs w:val="32"/>
        </w:rPr>
        <w:t>2011</w:t>
      </w:r>
      <w:r>
        <w:rPr>
          <w:rFonts w:hint="eastAsia" w:ascii="Times New Roman" w:hAnsi="Times New Roman" w:eastAsia="仿宋_GB2312" w:cs="Times New Roman"/>
          <w:spacing w:val="6"/>
          <w:sz w:val="32"/>
          <w:szCs w:val="32"/>
        </w:rPr>
        <w:t>《牙科手机</w:t>
      </w:r>
      <w:r>
        <w:rPr>
          <w:rFonts w:ascii="Times New Roman" w:hAnsi="Times New Roman" w:eastAsia="仿宋_GB2312" w:cs="Times New Roman"/>
          <w:spacing w:val="6"/>
          <w:sz w:val="32"/>
          <w:szCs w:val="32"/>
        </w:rPr>
        <w:t xml:space="preserve"> </w:t>
      </w:r>
      <w:r>
        <w:rPr>
          <w:rFonts w:hint="eastAsia" w:ascii="Times New Roman" w:hAnsi="Times New Roman" w:eastAsia="仿宋_GB2312" w:cs="Times New Roman"/>
          <w:spacing w:val="6"/>
          <w:sz w:val="32"/>
          <w:szCs w:val="32"/>
        </w:rPr>
        <w:t>牙科低压电动马达》的要求能够承受一定次数的灭菌循环，而无损坏现象。灭菌方式宜采用压力蒸汽灭菌。如采用其他灭菌方式，应提供该灭菌方法及其确定的依据。提供推荐的灭菌方法耐受性的研究资料。</w:t>
      </w:r>
      <w:bookmarkStart w:id="7" w:name="_Toc468803077"/>
    </w:p>
    <w:p w14:paraId="741A42F4">
      <w:pPr>
        <w:overflowPunct w:val="0"/>
        <w:spacing w:line="54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（五）注册单元划分</w:t>
      </w:r>
      <w:bookmarkEnd w:id="7"/>
    </w:p>
    <w:p w14:paraId="756988FC">
      <w:pPr>
        <w:overflowPunct w:val="0"/>
        <w:spacing w:line="54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zh-CN"/>
        </w:rPr>
        <w:t>内置式牙科种植机、网电源供电的牙科种植机、内部电源供电的牙科种植机应划分为不同的注册单元。</w:t>
      </w:r>
    </w:p>
    <w:p w14:paraId="4F53AA81">
      <w:pPr>
        <w:overflowPunct w:val="0"/>
        <w:spacing w:line="54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供水管路、种植手术用器械均不应划入牙科种植机的注册单元。</w:t>
      </w:r>
    </w:p>
    <w:p w14:paraId="043E8A58">
      <w:pPr>
        <w:overflowPunct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zh-CN"/>
        </w:rPr>
        <w:t>若牙科种植用手机的接口为符</w:t>
      </w:r>
      <w:r>
        <w:rPr>
          <w:rFonts w:hint="eastAsia" w:ascii="Times New Roman" w:hAnsi="Times New Roman" w:eastAsia="仿宋_GB2312" w:cs="Times New Roman"/>
          <w:sz w:val="32"/>
          <w:szCs w:val="32"/>
        </w:rPr>
        <w:t>合</w:t>
      </w:r>
      <w:r>
        <w:rPr>
          <w:rFonts w:ascii="Times New Roman" w:hAnsi="Times New Roman" w:eastAsia="仿宋_GB2312" w:cs="Times New Roman"/>
          <w:sz w:val="32"/>
          <w:szCs w:val="32"/>
        </w:rPr>
        <w:t>YY 1012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2004</w:t>
      </w:r>
      <w:r>
        <w:rPr>
          <w:rFonts w:hint="eastAsia" w:ascii="Times New Roman" w:hAnsi="Times New Roman" w:eastAsia="仿宋_GB2312" w:cs="Times New Roman"/>
          <w:sz w:val="32"/>
          <w:szCs w:val="32"/>
        </w:rPr>
        <w:t>《牙科手机联轴节尺寸》的通配接口，建议将手机作为独立的注册</w:t>
      </w:r>
      <w:r>
        <w:rPr>
          <w:rFonts w:hint="eastAsia" w:ascii="Times New Roman" w:hAnsi="Times New Roman" w:eastAsia="仿宋_GB2312" w:cs="Times New Roman"/>
          <w:sz w:val="32"/>
          <w:szCs w:val="32"/>
          <w:lang w:val="zh-CN"/>
        </w:rPr>
        <w:t>单元进行申报，手机</w:t>
      </w:r>
      <w:r>
        <w:rPr>
          <w:rFonts w:hint="eastAsia" w:ascii="Times New Roman" w:hAnsi="Times New Roman" w:eastAsia="仿宋_GB2312" w:cs="Times New Roman"/>
          <w:sz w:val="32"/>
          <w:szCs w:val="32"/>
        </w:rPr>
        <w:t>应符合本指导原则附录</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的要求；</w:t>
      </w:r>
      <w:r>
        <w:rPr>
          <w:rFonts w:hint="eastAsia" w:ascii="Times New Roman" w:hAnsi="Times New Roman" w:eastAsia="仿宋_GB2312" w:cs="Times New Roman"/>
          <w:sz w:val="32"/>
          <w:szCs w:val="32"/>
          <w:lang w:val="zh-CN"/>
        </w:rPr>
        <w:t>若马达、手机为专配，可将马达、手机划入牙科种植机的注册单元。</w:t>
      </w:r>
      <w:bookmarkStart w:id="8" w:name="_Toc468803078"/>
    </w:p>
    <w:p w14:paraId="09F90C5C">
      <w:pPr>
        <w:overflowPunct w:val="0"/>
        <w:spacing w:line="540" w:lineRule="exact"/>
        <w:ind w:firstLine="640" w:firstLineChars="200"/>
        <w:rPr>
          <w:rFonts w:ascii="Times New Roman" w:hAnsi="Times New Roman" w:eastAsia="楷体_GB2312" w:cs="Times New Roman"/>
          <w:sz w:val="32"/>
          <w:szCs w:val="32"/>
          <w:lang w:val="zh-CN"/>
        </w:rPr>
      </w:pPr>
      <w:r>
        <w:rPr>
          <w:rFonts w:hint="eastAsia" w:ascii="Times New Roman" w:hAnsi="Times New Roman" w:eastAsia="楷体_GB2312" w:cs="Times New Roman"/>
          <w:sz w:val="32"/>
          <w:szCs w:val="32"/>
          <w:lang w:val="zh-CN"/>
        </w:rPr>
        <w:t>（六）</w:t>
      </w:r>
      <w:r>
        <w:rPr>
          <w:rFonts w:hint="eastAsia" w:ascii="Times New Roman" w:hAnsi="Times New Roman" w:eastAsia="楷体_GB2312" w:cs="Times New Roman"/>
          <w:sz w:val="32"/>
          <w:szCs w:val="32"/>
        </w:rPr>
        <w:t>检测单元划分</w:t>
      </w:r>
      <w:bookmarkEnd w:id="8"/>
    </w:p>
    <w:p w14:paraId="1D42E84F">
      <w:pPr>
        <w:overflowPunct w:val="0"/>
        <w:spacing w:line="540" w:lineRule="exact"/>
        <w:ind w:firstLine="640"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rPr>
        <w:t>检测样机的选取应考虑产品功能、性能、预期用途、安全指标、主要部件、结构及其组合方式等，应以不同配置（见综述资料</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整机配置说明</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）而非不同型号的结果作为划分检测单元的依据。以</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整机配置说明</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涉及内容为例，应考虑：</w:t>
      </w:r>
    </w:p>
    <w:p w14:paraId="64C30B49">
      <w:pPr>
        <w:overflowPunct w:val="0"/>
        <w:spacing w:line="54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zh-CN"/>
        </w:rPr>
        <w:t>由于主机、马达、手机、脚踏开关等主要部件在整机中起的作用较大，其不同的配置影响到了整机的安全和性能要求，因此应考虑</w:t>
      </w:r>
      <w:r>
        <w:rPr>
          <w:rFonts w:ascii="Times New Roman" w:hAnsi="Times New Roman" w:eastAsia="仿宋_GB2312" w:cs="Times New Roman"/>
          <w:sz w:val="32"/>
          <w:szCs w:val="32"/>
          <w:lang w:val="zh-CN"/>
        </w:rPr>
        <w:t>4</w:t>
      </w:r>
      <w:r>
        <w:rPr>
          <w:rFonts w:hint="eastAsia" w:ascii="Times New Roman" w:hAnsi="Times New Roman" w:eastAsia="仿宋_GB2312" w:cs="Times New Roman"/>
          <w:sz w:val="32"/>
          <w:szCs w:val="32"/>
          <w:lang w:val="zh-CN"/>
        </w:rPr>
        <w:t>种配置下的安全和性能检测报告。</w:t>
      </w:r>
    </w:p>
    <w:p w14:paraId="12BE090C">
      <w:pPr>
        <w:overflowPunct w:val="0"/>
        <w:spacing w:line="54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2.</w:t>
      </w:r>
      <w:r>
        <w:rPr>
          <w:rFonts w:hint="eastAsia" w:ascii="Times New Roman" w:hAnsi="Times New Roman" w:eastAsia="仿宋_GB2312" w:cs="Times New Roman"/>
          <w:sz w:val="32"/>
          <w:szCs w:val="32"/>
          <w:lang w:val="zh-CN"/>
        </w:rPr>
        <w:t>电磁兼容安全要求须覆盖全部</w:t>
      </w:r>
      <w:r>
        <w:rPr>
          <w:rFonts w:ascii="Times New Roman" w:hAnsi="Times New Roman" w:eastAsia="仿宋_GB2312" w:cs="Times New Roman"/>
          <w:sz w:val="32"/>
          <w:szCs w:val="32"/>
          <w:lang w:val="zh-CN"/>
        </w:rPr>
        <w:t>4</w:t>
      </w:r>
      <w:r>
        <w:rPr>
          <w:rFonts w:hint="eastAsia" w:ascii="Times New Roman" w:hAnsi="Times New Roman" w:eastAsia="仿宋_GB2312" w:cs="Times New Roman"/>
          <w:sz w:val="32"/>
          <w:szCs w:val="32"/>
          <w:lang w:val="zh-CN"/>
        </w:rPr>
        <w:t>种配置。</w:t>
      </w:r>
    </w:p>
    <w:p w14:paraId="2B8A6D6D">
      <w:pPr>
        <w:overflowPunct w:val="0"/>
        <w:spacing w:line="540" w:lineRule="exact"/>
        <w:ind w:firstLine="640" w:firstLineChars="200"/>
        <w:rPr>
          <w:rFonts w:ascii="Times New Roman" w:hAnsi="Times New Roman" w:eastAsia="仿宋_GB2312" w:cs="Times New Roman"/>
          <w:sz w:val="32"/>
          <w:szCs w:val="32"/>
          <w:lang w:val="zh-CN"/>
        </w:rPr>
      </w:pPr>
      <w:r>
        <w:rPr>
          <w:rFonts w:ascii="Times New Roman" w:hAnsi="Times New Roman" w:eastAsia="仿宋_GB2312" w:cs="Times New Roman"/>
          <w:sz w:val="32"/>
          <w:szCs w:val="32"/>
          <w:lang w:val="zh-CN"/>
        </w:rPr>
        <w:t>3.</w:t>
      </w:r>
      <w:r>
        <w:rPr>
          <w:rFonts w:hint="eastAsia" w:ascii="Times New Roman" w:hAnsi="Times New Roman" w:eastAsia="仿宋_GB2312" w:cs="Times New Roman"/>
          <w:sz w:val="32"/>
          <w:szCs w:val="32"/>
          <w:lang w:val="zh-CN"/>
        </w:rPr>
        <w:t>医用电气设备在实施</w:t>
      </w:r>
      <w:r>
        <w:rPr>
          <w:rFonts w:ascii="Times New Roman" w:hAnsi="Times New Roman" w:eastAsia="仿宋_GB2312" w:cs="Times New Roman"/>
          <w:sz w:val="32"/>
          <w:szCs w:val="32"/>
          <w:lang w:val="zh-CN"/>
        </w:rPr>
        <w:t>GB 9706</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2007</w:t>
      </w:r>
      <w:r>
        <w:rPr>
          <w:rFonts w:hint="eastAsia" w:ascii="Times New Roman" w:hAnsi="Times New Roman" w:eastAsia="仿宋_GB2312" w:cs="Times New Roman"/>
          <w:sz w:val="32"/>
          <w:szCs w:val="32"/>
        </w:rPr>
        <w:t>《医用电气设备</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部分：安全通用要求》标准全项检测时，应对电磁兼</w:t>
      </w:r>
      <w:r>
        <w:rPr>
          <w:rFonts w:hint="eastAsia" w:ascii="Times New Roman" w:hAnsi="Times New Roman" w:eastAsia="仿宋_GB2312" w:cs="Times New Roman"/>
          <w:sz w:val="32"/>
          <w:szCs w:val="32"/>
          <w:lang w:val="zh-CN"/>
        </w:rPr>
        <w:t>容性能按照电磁兼容标准要求实施检测。安规检测报告和</w:t>
      </w:r>
      <w:r>
        <w:rPr>
          <w:rFonts w:ascii="Times New Roman" w:hAnsi="Times New Roman" w:eastAsia="仿宋_GB2312" w:cs="Times New Roman"/>
          <w:sz w:val="32"/>
          <w:szCs w:val="32"/>
          <w:lang w:val="zh-CN"/>
        </w:rPr>
        <w:t>EMC</w:t>
      </w:r>
      <w:r>
        <w:rPr>
          <w:rFonts w:hint="eastAsia" w:ascii="Times New Roman" w:hAnsi="Times New Roman" w:eastAsia="仿宋_GB2312" w:cs="Times New Roman"/>
          <w:sz w:val="32"/>
          <w:szCs w:val="32"/>
          <w:lang w:val="zh-CN"/>
        </w:rPr>
        <w:t>检测报告应具有关联性。</w:t>
      </w:r>
      <w:bookmarkStart w:id="9" w:name="_Toc468803079"/>
    </w:p>
    <w:p w14:paraId="2ABC98F1">
      <w:pPr>
        <w:overflowPunct w:val="0"/>
        <w:spacing w:line="540" w:lineRule="exact"/>
        <w:ind w:firstLine="640" w:firstLineChars="200"/>
        <w:rPr>
          <w:rFonts w:ascii="Times New Roman" w:hAnsi="Times New Roman" w:eastAsia="楷体_GB2312" w:cs="Times New Roman"/>
          <w:sz w:val="32"/>
          <w:szCs w:val="32"/>
          <w:lang w:val="zh-CN"/>
        </w:rPr>
      </w:pPr>
      <w:r>
        <w:rPr>
          <w:rFonts w:hint="eastAsia" w:ascii="Times New Roman" w:hAnsi="Times New Roman" w:eastAsia="楷体_GB2312" w:cs="Times New Roman"/>
          <w:sz w:val="32"/>
          <w:szCs w:val="32"/>
          <w:lang w:val="zh-CN"/>
        </w:rPr>
        <w:t>（七）</w:t>
      </w:r>
      <w:r>
        <w:rPr>
          <w:rFonts w:hint="eastAsia" w:ascii="Times New Roman" w:hAnsi="Times New Roman" w:eastAsia="楷体_GB2312" w:cs="Times New Roman"/>
          <w:sz w:val="32"/>
          <w:szCs w:val="32"/>
        </w:rPr>
        <w:t>产品适用的标准</w:t>
      </w:r>
      <w:bookmarkEnd w:id="9"/>
    </w:p>
    <w:p w14:paraId="37C27D6E">
      <w:pPr>
        <w:overflowPunct w:val="0"/>
        <w:spacing w:line="540" w:lineRule="exact"/>
        <w:ind w:firstLine="624" w:firstLineChars="200"/>
        <w:rPr>
          <w:rFonts w:ascii="Times New Roman" w:hAnsi="Times New Roman" w:eastAsia="仿宋_GB2312" w:cs="Times New Roman"/>
          <w:sz w:val="28"/>
          <w:szCs w:val="28"/>
        </w:rPr>
      </w:pPr>
      <w:r>
        <w:rPr>
          <w:rFonts w:hint="eastAsia" w:ascii="Times New Roman" w:hAnsi="Times New Roman" w:eastAsia="仿宋_GB2312" w:cs="Times New Roman"/>
          <w:spacing w:val="-4"/>
          <w:sz w:val="32"/>
          <w:szCs w:val="32"/>
        </w:rPr>
        <w:t>如下表格列出牙科种植机主要涉及的现行有效的国家</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行业标准；如有标准发布或更新，应考虑新版标准的适用性。国家</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rPr>
        <w:t>行业标准中不适用条款应在产品性能研究资料中说明合理原因。</w:t>
      </w:r>
    </w:p>
    <w:p w14:paraId="64EEA038">
      <w:pPr>
        <w:spacing w:line="56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表</w:t>
      </w:r>
      <w:r>
        <w:rPr>
          <w:rFonts w:ascii="Times New Roman" w:hAnsi="Times New Roman" w:eastAsia="黑体" w:cs="Times New Roman"/>
          <w:sz w:val="28"/>
          <w:szCs w:val="28"/>
        </w:rPr>
        <w:t xml:space="preserve">1   </w:t>
      </w:r>
      <w:r>
        <w:rPr>
          <w:rFonts w:hint="eastAsia" w:ascii="Times New Roman" w:hAnsi="Times New Roman" w:eastAsia="黑体" w:cs="Times New Roman"/>
          <w:sz w:val="28"/>
          <w:szCs w:val="28"/>
        </w:rPr>
        <w:t>产品适用的标准</w:t>
      </w:r>
    </w:p>
    <w:tbl>
      <w:tblPr>
        <w:tblStyle w:val="18"/>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02"/>
        <w:gridCol w:w="6258"/>
      </w:tblGrid>
      <w:tr w14:paraId="462A72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4C338EC2">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GB 9706.1</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2007</w:t>
            </w:r>
          </w:p>
        </w:tc>
        <w:tc>
          <w:tcPr>
            <w:tcW w:w="6258" w:type="dxa"/>
            <w:vAlign w:val="center"/>
          </w:tcPr>
          <w:p w14:paraId="17A5ADE5">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医用电气设备 第1部分：安全通用要求</w:t>
            </w:r>
          </w:p>
        </w:tc>
      </w:tr>
      <w:tr w14:paraId="442D7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3" w:hRule="exact"/>
          <w:jc w:val="center"/>
        </w:trPr>
        <w:tc>
          <w:tcPr>
            <w:tcW w:w="2802" w:type="dxa"/>
            <w:vAlign w:val="center"/>
          </w:tcPr>
          <w:p w14:paraId="01B8780E">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 0505</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2012</w:t>
            </w:r>
          </w:p>
        </w:tc>
        <w:tc>
          <w:tcPr>
            <w:tcW w:w="6258" w:type="dxa"/>
            <w:vAlign w:val="center"/>
          </w:tcPr>
          <w:p w14:paraId="589A3BF8">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医用电气设备 第1-2部分:安全通用要求并列标准:电磁兼容要求</w:t>
            </w:r>
          </w:p>
        </w:tc>
      </w:tr>
      <w:tr w14:paraId="046AA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64BAFF72">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 1045.2</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2010</w:t>
            </w:r>
          </w:p>
        </w:tc>
        <w:tc>
          <w:tcPr>
            <w:tcW w:w="6258" w:type="dxa"/>
            <w:vAlign w:val="center"/>
          </w:tcPr>
          <w:p w14:paraId="3104A0D2">
            <w:pPr>
              <w:pStyle w:val="32"/>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牙科手机 第2部分 直手机和弯手机</w:t>
            </w:r>
          </w:p>
        </w:tc>
      </w:tr>
      <w:tr w14:paraId="62F6E6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1A609D55">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 0836</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2011</w:t>
            </w:r>
          </w:p>
        </w:tc>
        <w:tc>
          <w:tcPr>
            <w:tcW w:w="6258" w:type="dxa"/>
            <w:vAlign w:val="center"/>
          </w:tcPr>
          <w:p w14:paraId="1AEFB05C">
            <w:pPr>
              <w:pStyle w:val="32"/>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牙科手机 牙科低压电动马达</w:t>
            </w:r>
          </w:p>
        </w:tc>
      </w:tr>
      <w:tr w14:paraId="67B602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4" w:hRule="atLeast"/>
          <w:jc w:val="center"/>
        </w:trPr>
        <w:tc>
          <w:tcPr>
            <w:tcW w:w="2802" w:type="dxa"/>
            <w:vAlign w:val="center"/>
          </w:tcPr>
          <w:p w14:paraId="03992CBE">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 91057</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1999</w:t>
            </w:r>
          </w:p>
          <w:p w14:paraId="537F9619">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 1057</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2016</w:t>
            </w:r>
          </w:p>
        </w:tc>
        <w:tc>
          <w:tcPr>
            <w:tcW w:w="6258" w:type="dxa"/>
            <w:vAlign w:val="center"/>
          </w:tcPr>
          <w:p w14:paraId="5B5E5028">
            <w:pPr>
              <w:pStyle w:val="32"/>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医用脚踏开关通用技术条件</w:t>
            </w:r>
          </w:p>
        </w:tc>
      </w:tr>
      <w:tr w14:paraId="54486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44F2D34E">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 1012</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2004</w:t>
            </w:r>
          </w:p>
        </w:tc>
        <w:tc>
          <w:tcPr>
            <w:tcW w:w="6258" w:type="dxa"/>
            <w:vAlign w:val="center"/>
          </w:tcPr>
          <w:p w14:paraId="0B7F435E">
            <w:pPr>
              <w:pStyle w:val="32"/>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牙科手机联轴节尺寸</w:t>
            </w:r>
          </w:p>
        </w:tc>
      </w:tr>
      <w:tr w14:paraId="59869E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615DB1F3">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YY/T 0628</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2008</w:t>
            </w:r>
          </w:p>
        </w:tc>
        <w:tc>
          <w:tcPr>
            <w:tcW w:w="6258" w:type="dxa"/>
            <w:vAlign w:val="center"/>
          </w:tcPr>
          <w:p w14:paraId="12FA6E2A">
            <w:pPr>
              <w:pStyle w:val="32"/>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牙科设备 图形符号</w:t>
            </w:r>
          </w:p>
        </w:tc>
      </w:tr>
      <w:tr w14:paraId="7CF414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5C97ECED">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GB 4943.1</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2011</w:t>
            </w:r>
          </w:p>
        </w:tc>
        <w:tc>
          <w:tcPr>
            <w:tcW w:w="6258" w:type="dxa"/>
            <w:vAlign w:val="center"/>
          </w:tcPr>
          <w:p w14:paraId="0AFBCBDF">
            <w:pPr>
              <w:pStyle w:val="32"/>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信息技术设备 安全 第1部分:通用要求</w:t>
            </w:r>
          </w:p>
        </w:tc>
      </w:tr>
      <w:tr w14:paraId="5DF56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4" w:hRule="exact"/>
          <w:jc w:val="center"/>
        </w:trPr>
        <w:tc>
          <w:tcPr>
            <w:tcW w:w="2802" w:type="dxa"/>
            <w:vAlign w:val="center"/>
          </w:tcPr>
          <w:p w14:paraId="40E83634">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GB 9706.15</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2008</w:t>
            </w:r>
          </w:p>
        </w:tc>
        <w:tc>
          <w:tcPr>
            <w:tcW w:w="6258" w:type="dxa"/>
            <w:vAlign w:val="center"/>
          </w:tcPr>
          <w:p w14:paraId="1934A972">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医用电气设备 第1-1部分：通用安全要求 并列标准：医用电气系统安全要求</w:t>
            </w:r>
          </w:p>
        </w:tc>
      </w:tr>
      <w:tr w14:paraId="737411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68C3185F">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GB/T 14710</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2009</w:t>
            </w:r>
          </w:p>
        </w:tc>
        <w:tc>
          <w:tcPr>
            <w:tcW w:w="6258" w:type="dxa"/>
            <w:vAlign w:val="center"/>
          </w:tcPr>
          <w:p w14:paraId="49FB0B5E">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医用电器环境要求及试验方法</w:t>
            </w:r>
          </w:p>
        </w:tc>
      </w:tr>
      <w:tr w14:paraId="5CF9FB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2756A287">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YY/T 1400</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2016</w:t>
            </w:r>
          </w:p>
        </w:tc>
        <w:tc>
          <w:tcPr>
            <w:tcW w:w="6258" w:type="dxa"/>
            <w:vAlign w:val="center"/>
          </w:tcPr>
          <w:p w14:paraId="2A7AA100">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牙科学牙科设备表面材料耐受化学消毒剂的测定</w:t>
            </w:r>
          </w:p>
        </w:tc>
      </w:tr>
      <w:tr w14:paraId="4712ED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7" w:hRule="exact"/>
          <w:jc w:val="center"/>
        </w:trPr>
        <w:tc>
          <w:tcPr>
            <w:tcW w:w="2802" w:type="dxa"/>
            <w:vAlign w:val="center"/>
          </w:tcPr>
          <w:p w14:paraId="7E80D1BD">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GB/T 16886.1</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2011</w:t>
            </w:r>
          </w:p>
        </w:tc>
        <w:tc>
          <w:tcPr>
            <w:tcW w:w="6258" w:type="dxa"/>
            <w:vAlign w:val="center"/>
          </w:tcPr>
          <w:p w14:paraId="7317B7C9">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医疗器械生物学评价 第1部分:风险管理过程中的评价与试验</w:t>
            </w:r>
          </w:p>
        </w:tc>
      </w:tr>
      <w:tr w14:paraId="6DE47F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7" w:hRule="exact"/>
          <w:jc w:val="center"/>
        </w:trPr>
        <w:tc>
          <w:tcPr>
            <w:tcW w:w="2802" w:type="dxa"/>
            <w:vAlign w:val="center"/>
          </w:tcPr>
          <w:p w14:paraId="2A871F8A">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YY/T 0268</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2008</w:t>
            </w:r>
          </w:p>
        </w:tc>
        <w:tc>
          <w:tcPr>
            <w:tcW w:w="6258" w:type="dxa"/>
            <w:vAlign w:val="center"/>
          </w:tcPr>
          <w:p w14:paraId="5D5EA1AE">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牙科学 口腔医疗器械生物学评价 第1单元:评价与试验</w:t>
            </w:r>
          </w:p>
        </w:tc>
      </w:tr>
      <w:tr w14:paraId="0A66A2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exact"/>
          <w:jc w:val="center"/>
        </w:trPr>
        <w:tc>
          <w:tcPr>
            <w:tcW w:w="2802" w:type="dxa"/>
            <w:vAlign w:val="center"/>
          </w:tcPr>
          <w:p w14:paraId="5EC98361">
            <w:pPr>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YY/T 1485</w:t>
            </w:r>
            <w:r>
              <w:rPr>
                <w:rFonts w:hint="eastAsia" w:ascii="Times New Roman" w:hAnsi="Times New Roman" w:eastAsia="仿宋_GB2312" w:cs="Times New Roman"/>
                <w:sz w:val="32"/>
                <w:szCs w:val="32"/>
              </w:rPr>
              <w:t>—</w:t>
            </w:r>
            <w:r>
              <w:rPr>
                <w:rFonts w:ascii="Times New Roman" w:hAnsi="Times New Roman" w:cs="Times New Roman" w:eastAsiaTheme="minorEastAsia"/>
                <w:sz w:val="28"/>
                <w:szCs w:val="24"/>
              </w:rPr>
              <w:t>2016</w:t>
            </w:r>
          </w:p>
        </w:tc>
        <w:tc>
          <w:tcPr>
            <w:tcW w:w="6258" w:type="dxa"/>
            <w:vAlign w:val="center"/>
          </w:tcPr>
          <w:p w14:paraId="4E88E8E1">
            <w:pPr>
              <w:widowControl w:val="0"/>
              <w:spacing w:line="520" w:lineRule="exact"/>
              <w:jc w:val="left"/>
              <w:rPr>
                <w:rFonts w:ascii="Times New Roman" w:hAnsi="Times New Roman" w:cs="Times New Roman" w:eastAsiaTheme="minorEastAsia"/>
                <w:sz w:val="28"/>
                <w:szCs w:val="24"/>
              </w:rPr>
            </w:pPr>
            <w:r>
              <w:rPr>
                <w:rFonts w:ascii="Times New Roman" w:hAnsi="Times New Roman" w:cs="Times New Roman" w:eastAsiaTheme="minorEastAsia"/>
                <w:sz w:val="28"/>
                <w:szCs w:val="24"/>
              </w:rPr>
              <w:t>牙科学 牙科种植机</w:t>
            </w:r>
          </w:p>
        </w:tc>
      </w:tr>
    </w:tbl>
    <w:p w14:paraId="33BD43E4">
      <w:pPr>
        <w:spacing w:line="500" w:lineRule="exact"/>
        <w:ind w:firstLine="640" w:firstLineChars="200"/>
        <w:rPr>
          <w:rFonts w:ascii="Times New Roman" w:hAnsi="Times New Roman" w:eastAsia="楷体_GB2312" w:cs="Times New Roman"/>
          <w:sz w:val="32"/>
          <w:szCs w:val="32"/>
          <w:lang w:val="zh-CN"/>
        </w:rPr>
      </w:pPr>
      <w:bookmarkStart w:id="10" w:name="_Toc468803080"/>
      <w:r>
        <w:rPr>
          <w:rFonts w:hint="eastAsia" w:ascii="Times New Roman" w:hAnsi="Times New Roman" w:eastAsia="楷体_GB2312" w:cs="Times New Roman"/>
          <w:sz w:val="32"/>
          <w:szCs w:val="32"/>
          <w:lang w:val="zh-CN"/>
        </w:rPr>
        <w:t>（八）产品技术要求及检测应注意的问题</w:t>
      </w:r>
      <w:bookmarkEnd w:id="10"/>
    </w:p>
    <w:p w14:paraId="7FBC23F1">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zh-CN"/>
        </w:rPr>
        <w:t>内置式牙科种植机</w:t>
      </w:r>
      <w:r>
        <w:rPr>
          <w:rFonts w:hint="eastAsia" w:ascii="Times New Roman" w:hAnsi="Times New Roman" w:eastAsia="仿宋_GB2312" w:cs="Times New Roman"/>
          <w:sz w:val="32"/>
          <w:szCs w:val="32"/>
        </w:rPr>
        <w:t>，应和配合使用的牙科治疗机在连接或结合状态下符合</w:t>
      </w:r>
      <w:r>
        <w:rPr>
          <w:rFonts w:ascii="Times New Roman" w:hAnsi="Times New Roman" w:eastAsia="仿宋_GB2312" w:cs="Times New Roman"/>
          <w:sz w:val="32"/>
          <w:szCs w:val="32"/>
        </w:rPr>
        <w:t>GB 9706.</w:t>
      </w:r>
      <w:r>
        <w:rPr>
          <w:rFonts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zh-CN"/>
        </w:rPr>
        <w:t>2007</w:t>
      </w:r>
      <w:r>
        <w:rPr>
          <w:rFonts w:hint="eastAsia" w:ascii="Times New Roman" w:hAnsi="Times New Roman" w:eastAsia="仿宋_GB2312" w:cs="Times New Roman"/>
          <w:sz w:val="32"/>
          <w:szCs w:val="32"/>
          <w:lang w:val="zh-CN"/>
        </w:rPr>
        <w:t>《医用电气设备</w:t>
      </w:r>
      <w:r>
        <w:rPr>
          <w:rFonts w:ascii="Times New Roman" w:hAnsi="Times New Roman" w:eastAsia="仿宋_GB2312" w:cs="Times New Roman"/>
          <w:sz w:val="32"/>
          <w:szCs w:val="32"/>
          <w:lang w:val="zh-CN"/>
        </w:rPr>
        <w:t xml:space="preserve"> </w:t>
      </w:r>
      <w:r>
        <w:rPr>
          <w:rFonts w:hint="eastAsia" w:ascii="Times New Roman" w:hAnsi="Times New Roman" w:eastAsia="仿宋_GB2312" w:cs="Times New Roman"/>
          <w:sz w:val="32"/>
          <w:szCs w:val="32"/>
          <w:lang w:val="zh-CN"/>
        </w:rPr>
        <w:t>第</w:t>
      </w:r>
      <w:r>
        <w:rPr>
          <w:rFonts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zh-CN"/>
        </w:rPr>
        <w:t>部分：安全通用要求》、</w:t>
      </w:r>
      <w:r>
        <w:rPr>
          <w:rFonts w:ascii="Times New Roman" w:hAnsi="Times New Roman" w:eastAsia="仿宋_GB2312" w:cs="Times New Roman"/>
          <w:sz w:val="32"/>
          <w:szCs w:val="32"/>
          <w:lang w:val="zh-CN"/>
        </w:rPr>
        <w:t>YY 0505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zh-CN"/>
        </w:rPr>
        <w:t>2012</w:t>
      </w:r>
      <w:r>
        <w:rPr>
          <w:rFonts w:hint="eastAsia" w:ascii="Times New Roman" w:hAnsi="Times New Roman" w:eastAsia="仿宋_GB2312" w:cs="Times New Roman"/>
          <w:sz w:val="32"/>
          <w:szCs w:val="32"/>
          <w:lang w:val="zh-CN"/>
        </w:rPr>
        <w:t>《医用电气设备</w:t>
      </w:r>
      <w:r>
        <w:rPr>
          <w:rFonts w:ascii="Times New Roman" w:hAnsi="Times New Roman" w:eastAsia="仿宋_GB2312" w:cs="Times New Roman"/>
          <w:sz w:val="32"/>
          <w:szCs w:val="32"/>
          <w:lang w:val="zh-CN"/>
        </w:rPr>
        <w:t xml:space="preserve"> </w:t>
      </w:r>
      <w:r>
        <w:rPr>
          <w:rFonts w:hint="eastAsia" w:ascii="Times New Roman" w:hAnsi="Times New Roman" w:eastAsia="仿宋_GB2312" w:cs="Times New Roman"/>
          <w:sz w:val="32"/>
          <w:szCs w:val="32"/>
          <w:lang w:val="zh-CN"/>
        </w:rPr>
        <w:t>第</w:t>
      </w:r>
      <w:r>
        <w:rPr>
          <w:rFonts w:ascii="Times New Roman" w:hAnsi="Times New Roman" w:eastAsia="仿宋_GB2312" w:cs="Times New Roman"/>
          <w:sz w:val="32"/>
          <w:szCs w:val="32"/>
          <w:lang w:val="zh-CN"/>
        </w:rPr>
        <w:t>1-2</w:t>
      </w:r>
      <w:r>
        <w:rPr>
          <w:rFonts w:hint="eastAsia" w:ascii="Times New Roman" w:hAnsi="Times New Roman" w:eastAsia="仿宋_GB2312" w:cs="Times New Roman"/>
          <w:sz w:val="32"/>
          <w:szCs w:val="32"/>
          <w:lang w:val="zh-CN"/>
        </w:rPr>
        <w:t>部分</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安全通用要求并列标准</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电磁兼容要求》的要</w:t>
      </w:r>
      <w:r>
        <w:rPr>
          <w:rFonts w:hint="eastAsia" w:ascii="Times New Roman" w:hAnsi="Times New Roman" w:eastAsia="仿宋_GB2312" w:cs="Times New Roman"/>
          <w:sz w:val="32"/>
          <w:szCs w:val="32"/>
        </w:rPr>
        <w:t>求。</w:t>
      </w:r>
    </w:p>
    <w:p w14:paraId="73DD2CC1">
      <w:pPr>
        <w:spacing w:line="50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sz w:val="32"/>
          <w:szCs w:val="32"/>
          <w:lang w:val="zh-CN"/>
        </w:rPr>
        <w:t>内部电源供电的牙科种植机</w:t>
      </w:r>
      <w:r>
        <w:rPr>
          <w:rFonts w:hint="eastAsia" w:ascii="Times New Roman" w:hAnsi="Times New Roman" w:eastAsia="仿宋_GB2312" w:cs="Times New Roman"/>
          <w:kern w:val="2"/>
          <w:sz w:val="32"/>
          <w:szCs w:val="32"/>
        </w:rPr>
        <w:t>，其组成中若含有充电座，则：</w:t>
      </w:r>
    </w:p>
    <w:p w14:paraId="173CFC0C">
      <w:pPr>
        <w:spacing w:line="500" w:lineRule="exact"/>
        <w:ind w:firstLine="608" w:firstLineChars="200"/>
        <w:rPr>
          <w:rFonts w:ascii="Times New Roman" w:hAnsi="Times New Roman" w:eastAsia="仿宋_GB2312" w:cs="Times New Roman"/>
          <w:spacing w:val="-8"/>
          <w:sz w:val="32"/>
          <w:szCs w:val="32"/>
          <w:lang w:val="zh-CN"/>
        </w:rPr>
      </w:pPr>
      <w:r>
        <w:rPr>
          <w:rFonts w:hint="eastAsia" w:ascii="Times New Roman" w:hAnsi="Times New Roman" w:eastAsia="仿宋_GB2312" w:cs="Times New Roman"/>
          <w:spacing w:val="-8"/>
          <w:kern w:val="2"/>
          <w:sz w:val="32"/>
          <w:szCs w:val="32"/>
        </w:rPr>
        <w:t>若充电座在患者环境下使用，充电座应</w:t>
      </w:r>
      <w:r>
        <w:rPr>
          <w:rFonts w:hint="eastAsia" w:ascii="Times New Roman" w:hAnsi="Times New Roman" w:eastAsia="仿宋_GB2312" w:cs="Times New Roman"/>
          <w:spacing w:val="-8"/>
          <w:sz w:val="32"/>
          <w:szCs w:val="32"/>
          <w:lang w:val="zh-CN"/>
        </w:rPr>
        <w:t>符合</w:t>
      </w:r>
      <w:r>
        <w:rPr>
          <w:rFonts w:ascii="Times New Roman" w:hAnsi="Times New Roman" w:eastAsia="仿宋_GB2312" w:cs="Times New Roman"/>
          <w:spacing w:val="-8"/>
          <w:sz w:val="32"/>
          <w:szCs w:val="32"/>
          <w:lang w:val="zh-CN"/>
        </w:rPr>
        <w:t>GB 9706.1</w:t>
      </w:r>
      <w:r>
        <w:rPr>
          <w:rFonts w:hint="eastAsia" w:ascii="Times New Roman" w:hAnsi="Times New Roman" w:eastAsia="仿宋_GB2312" w:cs="Times New Roman"/>
          <w:spacing w:val="-8"/>
          <w:sz w:val="32"/>
          <w:szCs w:val="32"/>
        </w:rPr>
        <w:t>—</w:t>
      </w:r>
      <w:r>
        <w:rPr>
          <w:rFonts w:ascii="Times New Roman" w:hAnsi="Times New Roman" w:eastAsia="仿宋_GB2312" w:cs="Times New Roman"/>
          <w:spacing w:val="-8"/>
          <w:sz w:val="32"/>
          <w:szCs w:val="32"/>
          <w:lang w:val="zh-CN"/>
        </w:rPr>
        <w:t>2007</w:t>
      </w:r>
      <w:r>
        <w:rPr>
          <w:rFonts w:hint="eastAsia" w:ascii="Times New Roman" w:hAnsi="Times New Roman" w:eastAsia="仿宋_GB2312" w:cs="Times New Roman"/>
          <w:spacing w:val="-8"/>
          <w:sz w:val="32"/>
          <w:szCs w:val="32"/>
          <w:lang w:val="zh-CN"/>
        </w:rPr>
        <w:t>《医用电气设备</w:t>
      </w:r>
      <w:r>
        <w:rPr>
          <w:rFonts w:ascii="Times New Roman" w:hAnsi="Times New Roman" w:eastAsia="仿宋_GB2312" w:cs="Times New Roman"/>
          <w:spacing w:val="-8"/>
          <w:sz w:val="32"/>
          <w:szCs w:val="32"/>
          <w:lang w:val="zh-CN"/>
        </w:rPr>
        <w:t xml:space="preserve"> </w:t>
      </w:r>
      <w:r>
        <w:rPr>
          <w:rFonts w:hint="eastAsia" w:ascii="Times New Roman" w:hAnsi="Times New Roman" w:eastAsia="仿宋_GB2312" w:cs="Times New Roman"/>
          <w:spacing w:val="-8"/>
          <w:sz w:val="32"/>
          <w:szCs w:val="32"/>
          <w:lang w:val="zh-CN"/>
        </w:rPr>
        <w:t>第</w:t>
      </w:r>
      <w:r>
        <w:rPr>
          <w:rFonts w:ascii="Times New Roman" w:hAnsi="Times New Roman" w:eastAsia="仿宋_GB2312" w:cs="Times New Roman"/>
          <w:spacing w:val="-8"/>
          <w:sz w:val="32"/>
          <w:szCs w:val="32"/>
          <w:lang w:val="zh-CN"/>
        </w:rPr>
        <w:t>1</w:t>
      </w:r>
      <w:r>
        <w:rPr>
          <w:rFonts w:hint="eastAsia" w:ascii="Times New Roman" w:hAnsi="Times New Roman" w:eastAsia="仿宋_GB2312" w:cs="Times New Roman"/>
          <w:spacing w:val="-8"/>
          <w:sz w:val="32"/>
          <w:szCs w:val="32"/>
          <w:lang w:val="zh-CN"/>
        </w:rPr>
        <w:t>部分：安全通用要求》的要求；</w:t>
      </w:r>
    </w:p>
    <w:p w14:paraId="3317F7CA">
      <w:pPr>
        <w:spacing w:line="500" w:lineRule="exact"/>
        <w:ind w:firstLine="592" w:firstLineChars="200"/>
        <w:rPr>
          <w:rFonts w:ascii="Times New Roman" w:hAnsi="Times New Roman" w:eastAsia="仿宋_GB2312" w:cs="Times New Roman"/>
          <w:sz w:val="32"/>
          <w:szCs w:val="32"/>
          <w:lang w:val="zh-CN"/>
        </w:rPr>
      </w:pPr>
      <w:r>
        <w:rPr>
          <w:rFonts w:hint="eastAsia" w:ascii="Times New Roman" w:hAnsi="Times New Roman" w:eastAsia="仿宋_GB2312" w:cs="Times New Roman"/>
          <w:spacing w:val="-12"/>
          <w:sz w:val="32"/>
          <w:szCs w:val="32"/>
        </w:rPr>
        <w:t>若充电座在非患者环境下使用</w:t>
      </w:r>
      <w:r>
        <w:rPr>
          <w:rFonts w:hint="eastAsia" w:ascii="Times New Roman" w:hAnsi="Times New Roman" w:eastAsia="仿宋_GB2312" w:cs="Times New Roman"/>
          <w:spacing w:val="-12"/>
          <w:sz w:val="32"/>
          <w:szCs w:val="32"/>
          <w:lang w:val="zh-CN"/>
        </w:rPr>
        <w:t>，充电座应符合相应电气安全的标准要求，且包括充电座在内的牙科种植机应符合</w:t>
      </w:r>
      <w:r>
        <w:rPr>
          <w:rFonts w:ascii="Times New Roman" w:hAnsi="Times New Roman" w:eastAsia="仿宋_GB2312" w:cs="Times New Roman"/>
          <w:spacing w:val="-12"/>
          <w:sz w:val="32"/>
          <w:szCs w:val="32"/>
          <w:lang w:val="zh-CN"/>
        </w:rPr>
        <w:t>GB 9706.15</w:t>
      </w:r>
      <w:r>
        <w:rPr>
          <w:rFonts w:hint="eastAsia" w:ascii="Times New Roman" w:hAnsi="Times New Roman" w:eastAsia="仿宋_GB2312" w:cs="Times New Roman"/>
          <w:spacing w:val="-12"/>
          <w:sz w:val="32"/>
          <w:szCs w:val="32"/>
        </w:rPr>
        <w:t>—</w:t>
      </w:r>
      <w:r>
        <w:rPr>
          <w:rFonts w:ascii="Times New Roman" w:hAnsi="Times New Roman" w:eastAsia="仿宋_GB2312" w:cs="Times New Roman"/>
          <w:spacing w:val="-12"/>
          <w:sz w:val="32"/>
          <w:szCs w:val="32"/>
          <w:lang w:val="zh-CN"/>
        </w:rPr>
        <w:t>2008</w:t>
      </w:r>
      <w:r>
        <w:rPr>
          <w:rFonts w:hint="eastAsia" w:ascii="Times New Roman" w:hAnsi="Times New Roman" w:eastAsia="仿宋_GB2312" w:cs="Times New Roman"/>
          <w:spacing w:val="-12"/>
          <w:sz w:val="32"/>
          <w:szCs w:val="32"/>
          <w:lang w:val="zh-CN"/>
        </w:rPr>
        <w:t>《医用电气设备</w:t>
      </w:r>
      <w:r>
        <w:rPr>
          <w:rFonts w:ascii="Times New Roman" w:hAnsi="Times New Roman" w:eastAsia="仿宋_GB2312" w:cs="Times New Roman"/>
          <w:spacing w:val="-12"/>
          <w:sz w:val="32"/>
          <w:szCs w:val="32"/>
          <w:lang w:val="zh-CN"/>
        </w:rPr>
        <w:t xml:space="preserve"> </w:t>
      </w:r>
      <w:r>
        <w:rPr>
          <w:rFonts w:hint="eastAsia" w:ascii="Times New Roman" w:hAnsi="Times New Roman" w:eastAsia="仿宋_GB2312" w:cs="Times New Roman"/>
          <w:spacing w:val="-12"/>
          <w:sz w:val="32"/>
          <w:szCs w:val="32"/>
          <w:lang w:val="zh-CN"/>
        </w:rPr>
        <w:t>第</w:t>
      </w:r>
      <w:r>
        <w:rPr>
          <w:rFonts w:ascii="Times New Roman" w:hAnsi="Times New Roman" w:eastAsia="仿宋_GB2312" w:cs="Times New Roman"/>
          <w:spacing w:val="-12"/>
          <w:sz w:val="32"/>
          <w:szCs w:val="32"/>
          <w:lang w:val="zh-CN"/>
        </w:rPr>
        <w:t>1-1</w:t>
      </w:r>
      <w:r>
        <w:rPr>
          <w:rFonts w:hint="eastAsia" w:ascii="Times New Roman" w:hAnsi="Times New Roman" w:eastAsia="仿宋_GB2312" w:cs="Times New Roman"/>
          <w:spacing w:val="-12"/>
          <w:sz w:val="32"/>
          <w:szCs w:val="32"/>
          <w:lang w:val="zh-CN"/>
        </w:rPr>
        <w:t>部分：通用安全要求</w:t>
      </w:r>
      <w:r>
        <w:rPr>
          <w:rFonts w:ascii="Times New Roman" w:hAnsi="Times New Roman" w:eastAsia="仿宋_GB2312" w:cs="Times New Roman"/>
          <w:spacing w:val="-12"/>
          <w:sz w:val="32"/>
          <w:szCs w:val="32"/>
          <w:lang w:val="zh-CN"/>
        </w:rPr>
        <w:t xml:space="preserve"> </w:t>
      </w:r>
      <w:r>
        <w:rPr>
          <w:rFonts w:hint="eastAsia" w:ascii="Times New Roman" w:hAnsi="Times New Roman" w:eastAsia="仿宋_GB2312" w:cs="Times New Roman"/>
          <w:spacing w:val="-12"/>
          <w:sz w:val="32"/>
          <w:szCs w:val="32"/>
          <w:lang w:val="zh-CN"/>
        </w:rPr>
        <w:t>并列标准：医用电气系统安全要求》、</w:t>
      </w:r>
      <w:r>
        <w:rPr>
          <w:rFonts w:ascii="Times New Roman" w:hAnsi="Times New Roman" w:eastAsia="仿宋_GB2312" w:cs="Times New Roman"/>
          <w:sz w:val="32"/>
          <w:szCs w:val="32"/>
          <w:lang w:val="zh-CN"/>
        </w:rPr>
        <w:t>YY 0505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lang w:val="zh-CN"/>
        </w:rPr>
        <w:t>2012</w:t>
      </w:r>
      <w:r>
        <w:rPr>
          <w:rFonts w:hint="eastAsia" w:ascii="Times New Roman" w:hAnsi="Times New Roman" w:eastAsia="仿宋_GB2312" w:cs="Times New Roman"/>
          <w:sz w:val="32"/>
          <w:szCs w:val="32"/>
          <w:lang w:val="zh-CN"/>
        </w:rPr>
        <w:t>《医用电气设备</w:t>
      </w:r>
      <w:r>
        <w:rPr>
          <w:rFonts w:ascii="Times New Roman" w:hAnsi="Times New Roman" w:eastAsia="仿宋_GB2312" w:cs="Times New Roman"/>
          <w:sz w:val="32"/>
          <w:szCs w:val="32"/>
          <w:lang w:val="zh-CN"/>
        </w:rPr>
        <w:t xml:space="preserve"> </w:t>
      </w:r>
      <w:r>
        <w:rPr>
          <w:rFonts w:hint="eastAsia" w:ascii="Times New Roman" w:hAnsi="Times New Roman" w:eastAsia="仿宋_GB2312" w:cs="Times New Roman"/>
          <w:sz w:val="32"/>
          <w:szCs w:val="32"/>
          <w:lang w:val="zh-CN"/>
        </w:rPr>
        <w:t>第</w:t>
      </w:r>
      <w:r>
        <w:rPr>
          <w:rFonts w:ascii="Times New Roman" w:hAnsi="Times New Roman" w:eastAsia="仿宋_GB2312" w:cs="Times New Roman"/>
          <w:sz w:val="32"/>
          <w:szCs w:val="32"/>
          <w:lang w:val="zh-CN"/>
        </w:rPr>
        <w:t>1-2</w:t>
      </w:r>
      <w:r>
        <w:rPr>
          <w:rFonts w:hint="eastAsia" w:ascii="Times New Roman" w:hAnsi="Times New Roman" w:eastAsia="仿宋_GB2312" w:cs="Times New Roman"/>
          <w:sz w:val="32"/>
          <w:szCs w:val="32"/>
          <w:lang w:val="zh-CN"/>
        </w:rPr>
        <w:t>部分</w:t>
      </w:r>
      <w:r>
        <w:rPr>
          <w:rFonts w:ascii="Times New Roman" w:hAnsi="Times New Roman" w:eastAsia="仿宋_GB2312" w:cs="Times New Roman"/>
          <w:sz w:val="32"/>
          <w:szCs w:val="32"/>
          <w:lang w:val="zh-CN"/>
        </w:rPr>
        <w:t>:</w:t>
      </w:r>
      <w:r>
        <w:rPr>
          <w:rFonts w:hint="eastAsia" w:ascii="Times New Roman" w:hAnsi="Times New Roman" w:eastAsia="仿宋_GB2312" w:cs="Times New Roman"/>
          <w:sz w:val="32"/>
          <w:szCs w:val="32"/>
          <w:lang w:val="zh-CN"/>
        </w:rPr>
        <w:t>安全通用要求并列标准：电磁兼容要求》的标准要求。</w:t>
      </w:r>
    </w:p>
    <w:p w14:paraId="49227516">
      <w:pPr>
        <w:spacing w:line="50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w:t>
      </w:r>
      <w:r>
        <w:rPr>
          <w:rFonts w:hint="eastAsia" w:ascii="Times New Roman" w:hAnsi="Times New Roman" w:eastAsia="仿宋_GB2312" w:cs="Times New Roman"/>
          <w:kern w:val="2"/>
          <w:sz w:val="32"/>
          <w:szCs w:val="32"/>
        </w:rPr>
        <w:t>本指导原则以网电源供电的牙科种植机为实例，提供了产品技术要求书写模板，见本指导原则的附录</w:t>
      </w: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w:t>
      </w:r>
    </w:p>
    <w:p w14:paraId="04180E6A">
      <w:pPr>
        <w:spacing w:line="500" w:lineRule="exact"/>
        <w:ind w:firstLine="640" w:firstLineChars="200"/>
        <w:rPr>
          <w:rFonts w:ascii="Times New Roman" w:hAnsi="Times New Roman" w:eastAsia="楷体_GB2312" w:cs="Times New Roman"/>
          <w:sz w:val="32"/>
          <w:szCs w:val="32"/>
          <w:lang w:val="zh-CN"/>
        </w:rPr>
      </w:pPr>
      <w:bookmarkStart w:id="11" w:name="_Toc468803081"/>
      <w:r>
        <w:rPr>
          <w:rFonts w:hint="eastAsia" w:ascii="Times New Roman" w:hAnsi="Times New Roman" w:eastAsia="楷体_GB2312" w:cs="Times New Roman"/>
          <w:sz w:val="32"/>
          <w:szCs w:val="32"/>
          <w:lang w:val="zh-CN"/>
        </w:rPr>
        <w:t>（九）产品说明书</w:t>
      </w:r>
      <w:bookmarkEnd w:id="11"/>
    </w:p>
    <w:p w14:paraId="2254B0B8">
      <w:pPr>
        <w:pStyle w:val="32"/>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牙科种植机的产品说明书应符合《医疗器械说明书和标签管理规定》（国家食品药品监督管理总局令第</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号）和相关标准中的要求，并包括：</w:t>
      </w:r>
    </w:p>
    <w:p w14:paraId="572A2EA1">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工作环境（至少包括湿度和温度）；</w:t>
      </w:r>
    </w:p>
    <w:p w14:paraId="0651A17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种植机马达的转速和转矩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或和手机配合使用后的转速和转矩；</w:t>
      </w:r>
    </w:p>
    <w:p w14:paraId="5E87DB0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种植机马达、马达线缆是否可灭菌的说明；</w:t>
      </w:r>
    </w:p>
    <w:p w14:paraId="252E2F1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若适用，悬挂装置的最大允许负载；</w:t>
      </w:r>
    </w:p>
    <w:p w14:paraId="1094E25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牙科种植机的清洁及消毒说明；</w:t>
      </w:r>
    </w:p>
    <w:p w14:paraId="0818A15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推荐的冷却液的种类和使用方法；</w:t>
      </w:r>
    </w:p>
    <w:p w14:paraId="4269608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若适用，推荐光源；</w:t>
      </w:r>
    </w:p>
    <w:p w14:paraId="4A9B30F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若可和其他制造商生产的附件配合使用，在牙科种植机的说明书中应规定这些附件的特性；</w:t>
      </w:r>
    </w:p>
    <w:p w14:paraId="32D64E3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若适用，明确灭菌周期的重要参数，例如时间、温度和压力；</w:t>
      </w:r>
    </w:p>
    <w:p w14:paraId="1FD6F1D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热伤害的警示；</w:t>
      </w:r>
    </w:p>
    <w:p w14:paraId="01A2B810">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润滑剂伤害的警示；</w:t>
      </w:r>
    </w:p>
    <w:p w14:paraId="208EC9A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说明牙科种植机用水所要求的质量，包括水的硬度范围。</w:t>
      </w:r>
    </w:p>
    <w:p w14:paraId="505B2BB6">
      <w:pPr>
        <w:spacing w:line="540" w:lineRule="exact"/>
        <w:ind w:firstLine="640" w:firstLineChars="200"/>
        <w:rPr>
          <w:rFonts w:ascii="Times New Roman" w:hAnsi="Times New Roman" w:eastAsia="楷体_GB2312" w:cs="Times New Roman"/>
          <w:sz w:val="32"/>
          <w:szCs w:val="32"/>
          <w:lang w:val="zh-CN"/>
        </w:rPr>
      </w:pPr>
      <w:bookmarkStart w:id="12" w:name="_Toc468803082"/>
      <w:r>
        <w:rPr>
          <w:rFonts w:hint="eastAsia" w:ascii="Times New Roman" w:hAnsi="Times New Roman" w:eastAsia="楷体_GB2312" w:cs="Times New Roman"/>
          <w:sz w:val="32"/>
          <w:szCs w:val="32"/>
          <w:lang w:val="zh-CN"/>
        </w:rPr>
        <w:t>（十）临床评价资料</w:t>
      </w:r>
      <w:bookmarkEnd w:id="12"/>
    </w:p>
    <w:p w14:paraId="6AFF7354">
      <w:pPr>
        <w:pStyle w:val="32"/>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牙科种植机列入《免于进行临床试验的第二类医疗器械目录》（国家食品药品监督管理总局通告</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号，以下简称《目录》），对应的序号为</w:t>
      </w:r>
      <w:r>
        <w:rPr>
          <w:rFonts w:ascii="Times New Roman" w:hAnsi="Times New Roman" w:eastAsia="仿宋_GB2312" w:cs="Times New Roman"/>
          <w:sz w:val="32"/>
          <w:szCs w:val="32"/>
        </w:rPr>
        <w:t>190</w:t>
      </w:r>
      <w:r>
        <w:rPr>
          <w:rFonts w:hint="eastAsia" w:ascii="Times New Roman" w:hAnsi="Times New Roman" w:eastAsia="仿宋_GB2312" w:cs="Times New Roman"/>
          <w:sz w:val="32"/>
          <w:szCs w:val="32"/>
        </w:rPr>
        <w:t>。申请牙科种植机的注册，可免于进行临床试验。注册申请人参照《医疗器械临床评价技术指导原则》的要求，提交相应的临床评价资料。</w:t>
      </w:r>
    </w:p>
    <w:p w14:paraId="714CE66E">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列入《目录》的产品，注册申请人需提交申报产品相关信息与《目录》所述内容的对比资料和申报产品与已获准境内注册的《目录》中医疗器械的对比说明，如相应对比说明能够证明产品是《目录》中的产品，则企业无需进行临床试验。若无法证明申报产品与《目录》产品具有等同性，则应按照《医疗器械临床评价技术审查指导原则》其他要求开展相应工作。</w:t>
      </w:r>
    </w:p>
    <w:p w14:paraId="60B04A2A">
      <w:pPr>
        <w:spacing w:line="540" w:lineRule="exact"/>
        <w:ind w:firstLine="640" w:firstLineChars="200"/>
        <w:rPr>
          <w:rFonts w:ascii="Times New Roman" w:hAnsi="Times New Roman" w:eastAsia="楷体_GB2312" w:cs="Times New Roman"/>
          <w:sz w:val="32"/>
          <w:szCs w:val="32"/>
          <w:lang w:val="zh-CN"/>
        </w:rPr>
      </w:pPr>
      <w:bookmarkStart w:id="13" w:name="_Toc468803083"/>
      <w:bookmarkStart w:id="14" w:name="_Toc449082150"/>
      <w:r>
        <w:rPr>
          <w:rFonts w:hint="eastAsia" w:ascii="Times New Roman" w:hAnsi="Times New Roman" w:eastAsia="楷体_GB2312" w:cs="Times New Roman"/>
          <w:sz w:val="32"/>
          <w:szCs w:val="32"/>
          <w:lang w:val="zh-CN"/>
        </w:rPr>
        <w:t>（十一）其他资料</w:t>
      </w:r>
      <w:bookmarkEnd w:id="13"/>
      <w:bookmarkEnd w:id="14"/>
    </w:p>
    <w:p w14:paraId="3352A12F">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风险管理报告应符合</w:t>
      </w:r>
      <w:r>
        <w:rPr>
          <w:rFonts w:ascii="Times New Roman" w:hAnsi="Times New Roman" w:eastAsia="仿宋_GB2312" w:cs="Times New Roman"/>
          <w:sz w:val="32"/>
          <w:szCs w:val="32"/>
        </w:rPr>
        <w:t>YY/T 0316</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风险管理对医疗器械的应用》的有关要求，具体编写可参考附录</w:t>
      </w: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风险管理资料的要求。</w:t>
      </w:r>
    </w:p>
    <w:p w14:paraId="6893683E">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软件资料应符合《医疗器械软件注册技术审查指导原则》的要求。</w:t>
      </w:r>
    </w:p>
    <w:p w14:paraId="5B7DA402">
      <w:pPr>
        <w:pStyle w:val="2"/>
        <w:spacing w:before="0" w:beforeAutospacing="0" w:after="0" w:afterAutospacing="0" w:line="500" w:lineRule="exact"/>
        <w:ind w:firstLine="640" w:firstLineChars="200"/>
        <w:jc w:val="both"/>
        <w:rPr>
          <w:rFonts w:ascii="Times New Roman" w:hAnsi="Times New Roman" w:eastAsia="黑体" w:cs="Times New Roman"/>
          <w:b w:val="0"/>
          <w:sz w:val="32"/>
          <w:szCs w:val="28"/>
        </w:rPr>
      </w:pPr>
      <w:bookmarkStart w:id="15" w:name="_Toc449082151"/>
      <w:bookmarkStart w:id="16" w:name="_Toc432753654"/>
      <w:bookmarkStart w:id="17" w:name="_Toc468803084"/>
      <w:r>
        <w:rPr>
          <w:rFonts w:hint="eastAsia" w:ascii="Times New Roman" w:hAnsi="Times New Roman" w:eastAsia="黑体" w:cs="Times New Roman"/>
          <w:b w:val="0"/>
          <w:sz w:val="32"/>
          <w:szCs w:val="28"/>
        </w:rPr>
        <w:t>三、参考文献</w:t>
      </w:r>
      <w:bookmarkEnd w:id="15"/>
      <w:bookmarkEnd w:id="16"/>
      <w:bookmarkEnd w:id="17"/>
    </w:p>
    <w:p w14:paraId="14502510">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（一）《医疗器械临床评价技术指导原则》（国家食品药品监督管理总局通告</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号）</w:t>
      </w:r>
    </w:p>
    <w:p w14:paraId="0BCFA5BC">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（二）《医疗器械软件注册技术审查指导原则》（国家食品药品监督管理总局通告</w:t>
      </w:r>
      <w:r>
        <w:rPr>
          <w:rFonts w:ascii="Times New Roman" w:hAnsi="Times New Roman" w:eastAsia="仿宋_GB2312" w:cs="Times New Roman"/>
          <w:sz w:val="32"/>
          <w:szCs w:val="32"/>
        </w:rPr>
        <w:t>2015</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号）</w:t>
      </w:r>
    </w:p>
    <w:p w14:paraId="6A7031A5">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（三）《医疗机构口腔诊疗器械消毒技术操作规范》（国家卫生和计划生育委员会，卫医发</w:t>
      </w:r>
      <w:r>
        <w:rPr>
          <w:rFonts w:hint="eastAsia" w:ascii="Times New Roman" w:hAnsi="Times New Roman" w:cs="Times New Roman"/>
          <w:sz w:val="32"/>
          <w:szCs w:val="32"/>
        </w:rPr>
        <w:t>﹝</w:t>
      </w:r>
      <w:r>
        <w:rPr>
          <w:rFonts w:ascii="Times New Roman" w:hAnsi="Times New Roman" w:eastAsia="仿宋_GB2312" w:cs="Times New Roman"/>
          <w:sz w:val="32"/>
          <w:szCs w:val="32"/>
        </w:rPr>
        <w:t>2005</w:t>
      </w:r>
      <w:r>
        <w:rPr>
          <w:rFonts w:hint="eastAsia" w:ascii="Times New Roman" w:hAnsi="Times New Roman" w:cs="Times New Roman"/>
          <w:sz w:val="32"/>
          <w:szCs w:val="32"/>
        </w:rPr>
        <w:t>﹞</w:t>
      </w:r>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号）</w:t>
      </w:r>
    </w:p>
    <w:p w14:paraId="4F4C40FF">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GB/T  9937.3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2008 </w:t>
      </w:r>
      <w:r>
        <w:rPr>
          <w:rFonts w:hint="eastAsia" w:ascii="Times New Roman" w:hAnsi="Times New Roman" w:eastAsia="仿宋_GB2312" w:cs="Times New Roman"/>
          <w:sz w:val="32"/>
          <w:szCs w:val="32"/>
        </w:rPr>
        <w:t>口腔词汇</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第</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部分：口腔器械</w:t>
      </w:r>
    </w:p>
    <w:p w14:paraId="22D323A6">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YY/T  0752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2016 </w:t>
      </w:r>
      <w:r>
        <w:rPr>
          <w:rFonts w:hint="eastAsia" w:ascii="Times New Roman" w:hAnsi="Times New Roman" w:eastAsia="仿宋_GB2312" w:cs="Times New Roman"/>
          <w:sz w:val="32"/>
          <w:szCs w:val="32"/>
        </w:rPr>
        <w:t>电动骨组织手术设备</w:t>
      </w:r>
    </w:p>
    <w:p w14:paraId="7A5FF84F">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FDA Document-</w:t>
      </w:r>
      <w:bookmarkStart w:id="18" w:name="_Toc432753655"/>
      <w:r>
        <w:rPr>
          <w:rFonts w:ascii="Times New Roman" w:hAnsi="Times New Roman" w:eastAsia="仿宋_GB2312" w:cs="Times New Roman"/>
          <w:sz w:val="32"/>
          <w:szCs w:val="32"/>
        </w:rPr>
        <w:t>Guidance for Industry and FDA Staff: Dental Handpieces - Premarket Notification [510(k)] Submissions.</w:t>
      </w:r>
    </w:p>
    <w:p w14:paraId="16220530">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Times New Roman" w:eastAsia="仿宋_GB2312" w:cs="Times New Roman"/>
          <w:sz w:val="32"/>
          <w:szCs w:val="32"/>
        </w:rPr>
        <w:t>FDA Document-Dental Handpiece Sterilization.</w:t>
      </w:r>
    </w:p>
    <w:p w14:paraId="1469D716">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ISO 14457-2012: Dentistry-Handpieces and Motors.</w:t>
      </w:r>
    </w:p>
    <w:p w14:paraId="2985C4D4">
      <w:pPr>
        <w:spacing w:line="500" w:lineRule="exact"/>
        <w:ind w:firstLine="640" w:firstLineChars="200"/>
        <w:rPr>
          <w:rFonts w:ascii="Times New Roman" w:hAnsi="Times New Roman" w:eastAsia="黑体" w:cs="Times New Roman"/>
          <w:bCs/>
          <w:sz w:val="32"/>
          <w:szCs w:val="32"/>
        </w:rPr>
      </w:pPr>
      <w:bookmarkStart w:id="19" w:name="_Toc468803085"/>
      <w:bookmarkStart w:id="20" w:name="_Toc449082152"/>
      <w:r>
        <w:rPr>
          <w:rFonts w:hint="eastAsia" w:ascii="Times New Roman" w:hAnsi="Times New Roman" w:eastAsia="黑体" w:cs="Times New Roman"/>
          <w:bCs/>
          <w:sz w:val="32"/>
          <w:szCs w:val="32"/>
        </w:rPr>
        <w:t>四、编制内容说明</w:t>
      </w:r>
    </w:p>
    <w:p w14:paraId="677F620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本指导原则包括适用范围、技术审查要点、附录等三部分内容，主要规定了以下内容：</w:t>
      </w:r>
    </w:p>
    <w:p w14:paraId="23D5A15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第一，明确了本指导原则的适用范围和牙科种植机的三种结构形式；</w:t>
      </w:r>
    </w:p>
    <w:p w14:paraId="30CB752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第二，明确了申报产品综述资料、研究资料的要求；</w:t>
      </w:r>
    </w:p>
    <w:p w14:paraId="5596DFB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第三，明确了产品适用的标准、划分注册单元、划分检测单元的要求、产品技术要求和检测报告应注意的问题、并附产品技术要求模板；</w:t>
      </w:r>
    </w:p>
    <w:p w14:paraId="7E24807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第四，明确了产品说明书与标签相关要求；</w:t>
      </w:r>
    </w:p>
    <w:p w14:paraId="217938C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第五，明确了独立申报牙科种植用手机的注册要求。</w:t>
      </w:r>
    </w:p>
    <w:p w14:paraId="27214DEF">
      <w:pPr>
        <w:pStyle w:val="2"/>
        <w:spacing w:before="0" w:beforeAutospacing="0" w:after="0" w:afterAutospacing="0" w:line="560" w:lineRule="exact"/>
        <w:ind w:firstLine="640" w:firstLineChars="200"/>
        <w:jc w:val="both"/>
        <w:rPr>
          <w:rFonts w:ascii="Times New Roman" w:hAnsi="Times New Roman" w:eastAsia="黑体" w:cs="Times New Roman"/>
          <w:b w:val="0"/>
          <w:sz w:val="32"/>
          <w:szCs w:val="28"/>
        </w:rPr>
      </w:pPr>
      <w:r>
        <w:rPr>
          <w:rFonts w:hint="eastAsia" w:ascii="Times New Roman" w:hAnsi="Times New Roman" w:eastAsia="黑体" w:cs="Times New Roman"/>
          <w:b w:val="0"/>
          <w:sz w:val="32"/>
          <w:szCs w:val="28"/>
        </w:rPr>
        <w:t>五、起草单位</w:t>
      </w:r>
      <w:bookmarkEnd w:id="18"/>
      <w:bookmarkEnd w:id="19"/>
      <w:bookmarkEnd w:id="20"/>
    </w:p>
    <w:p w14:paraId="53C5FA0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国家食品药品监督管理总局医疗器械技术审评中心</w:t>
      </w:r>
    </w:p>
    <w:p w14:paraId="4D20D380">
      <w:pPr>
        <w:spacing w:line="560" w:lineRule="exact"/>
        <w:ind w:firstLine="640" w:firstLineChars="200"/>
        <w:rPr>
          <w:rFonts w:ascii="Times New Roman" w:hAnsi="Times New Roman" w:eastAsia="仿宋_GB2312" w:cs="Times New Roman"/>
          <w:sz w:val="32"/>
          <w:szCs w:val="32"/>
        </w:rPr>
      </w:pPr>
    </w:p>
    <w:p w14:paraId="5DD111B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附录：</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产品技术要求模板</w:t>
      </w:r>
    </w:p>
    <w:p w14:paraId="41A47563">
      <w:pPr>
        <w:spacing w:line="560" w:lineRule="exact"/>
        <w:ind w:firstLine="1644" w:firstLineChars="514"/>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风险管理资料</w:t>
      </w:r>
    </w:p>
    <w:p w14:paraId="70BEDEA8">
      <w:pPr>
        <w:spacing w:line="560" w:lineRule="exact"/>
        <w:ind w:firstLine="1644" w:firstLineChars="514"/>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牙科种植用手机技术审查要点</w:t>
      </w:r>
    </w:p>
    <w:p w14:paraId="70EC9F8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5598C7A7">
      <w:pPr>
        <w:pStyle w:val="2"/>
        <w:spacing w:before="0" w:beforeAutospacing="0" w:after="0" w:afterAutospacing="0" w:line="600" w:lineRule="exact"/>
        <w:jc w:val="both"/>
        <w:rPr>
          <w:rFonts w:ascii="Times New Roman" w:hAnsi="Times New Roman" w:eastAsia="黑体" w:cs="Times New Roman"/>
          <w:b w:val="0"/>
          <w:sz w:val="32"/>
          <w:szCs w:val="32"/>
        </w:rPr>
      </w:pPr>
      <w:bookmarkStart w:id="21" w:name="_Toc449082153"/>
      <w:bookmarkStart w:id="22" w:name="_Toc468803086"/>
      <w:r>
        <w:rPr>
          <w:rFonts w:hint="eastAsia" w:ascii="Times New Roman" w:hAnsi="Times New Roman" w:eastAsia="黑体" w:cs="Times New Roman"/>
          <w:b w:val="0"/>
          <w:sz w:val="32"/>
          <w:szCs w:val="32"/>
        </w:rPr>
        <w:t>附录</w:t>
      </w:r>
      <w:r>
        <w:rPr>
          <w:rFonts w:ascii="Times New Roman" w:hAnsi="Times New Roman" w:eastAsia="黑体" w:cs="Times New Roman"/>
          <w:sz w:val="32"/>
          <w:szCs w:val="32"/>
        </w:rPr>
        <w:t>1</w:t>
      </w:r>
    </w:p>
    <w:p w14:paraId="252788E8">
      <w:pPr>
        <w:pStyle w:val="2"/>
        <w:spacing w:before="0" w:beforeAutospacing="0" w:after="0" w:afterAutospacing="0" w:line="600" w:lineRule="exact"/>
        <w:jc w:val="center"/>
        <w:rPr>
          <w:rFonts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rPr>
        <w:t>产品技术要求模板</w:t>
      </w:r>
    </w:p>
    <w:p w14:paraId="6202DD62">
      <w:pPr>
        <w:pStyle w:val="2"/>
        <w:spacing w:before="0" w:beforeAutospacing="0" w:after="0" w:afterAutospacing="0" w:line="520" w:lineRule="exact"/>
        <w:jc w:val="center"/>
        <w:rPr>
          <w:rFonts w:ascii="Times New Roman" w:hAnsi="Times New Roman" w:eastAsia="方正小标宋简体" w:cs="Times New Roman"/>
          <w:b w:val="0"/>
          <w:sz w:val="44"/>
          <w:szCs w:val="44"/>
        </w:rPr>
      </w:pPr>
    </w:p>
    <w:bookmarkEnd w:id="21"/>
    <w:bookmarkEnd w:id="22"/>
    <w:p w14:paraId="57A59F86">
      <w:pPr>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1.</w:t>
      </w:r>
      <w:r>
        <w:rPr>
          <w:rFonts w:hint="eastAsia" w:ascii="Times New Roman" w:hAnsi="Times New Roman" w:eastAsia="黑体" w:cs="Times New Roman"/>
          <w:bCs/>
          <w:sz w:val="32"/>
          <w:szCs w:val="32"/>
        </w:rPr>
        <w:t>产品型号</w:t>
      </w:r>
      <w:r>
        <w:rPr>
          <w:rFonts w:ascii="Times New Roman" w:hAnsi="Times New Roman" w:eastAsia="黑体" w:cs="Times New Roman"/>
          <w:bCs/>
          <w:sz w:val="32"/>
          <w:szCs w:val="32"/>
        </w:rPr>
        <w:t>/</w:t>
      </w:r>
      <w:r>
        <w:rPr>
          <w:rFonts w:hint="eastAsia" w:ascii="Times New Roman" w:hAnsi="Times New Roman" w:eastAsia="黑体" w:cs="Times New Roman"/>
          <w:bCs/>
          <w:sz w:val="32"/>
          <w:szCs w:val="32"/>
        </w:rPr>
        <w:t>规格及其划分说明</w:t>
      </w:r>
    </w:p>
    <w:p w14:paraId="33F84D9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产品型号规格及划分说明</w:t>
      </w:r>
    </w:p>
    <w:p w14:paraId="183C4AF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提供产品型号配置表（详见下表，如含多种配置，应增加表格内容）</w:t>
      </w:r>
    </w:p>
    <w:p w14:paraId="4C61E150">
      <w:pPr>
        <w:spacing w:line="52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产品型号配置信息表</w:t>
      </w:r>
    </w:p>
    <w:tbl>
      <w:tblPr>
        <w:tblStyle w:val="18"/>
        <w:tblW w:w="899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4877"/>
        <w:gridCol w:w="2449"/>
      </w:tblGrid>
      <w:tr w14:paraId="7D2320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0FE0817B">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w:t>
            </w:r>
          </w:p>
        </w:tc>
        <w:tc>
          <w:tcPr>
            <w:tcW w:w="7326" w:type="dxa"/>
            <w:gridSpan w:val="2"/>
          </w:tcPr>
          <w:p w14:paraId="6A60129B">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参照本指导原则（三）产品结构：结构</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3</w:t>
            </w:r>
          </w:p>
        </w:tc>
      </w:tr>
      <w:tr w14:paraId="4B29EC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restart"/>
          </w:tcPr>
          <w:p w14:paraId="68EFD0C8">
            <w:pPr>
              <w:tabs>
                <w:tab w:val="center" w:pos="1312"/>
              </w:tabs>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供电信息</w:t>
            </w:r>
          </w:p>
        </w:tc>
        <w:tc>
          <w:tcPr>
            <w:tcW w:w="4877" w:type="dxa"/>
          </w:tcPr>
          <w:p w14:paraId="48BC3323">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牙科治疗机的型号、制造商；</w:t>
            </w:r>
          </w:p>
          <w:p w14:paraId="66939DD5">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内置模块的输入电压</w:t>
            </w:r>
          </w:p>
        </w:tc>
        <w:tc>
          <w:tcPr>
            <w:tcW w:w="2449" w:type="dxa"/>
          </w:tcPr>
          <w:p w14:paraId="71A4A658">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的情况适用</w:t>
            </w:r>
          </w:p>
        </w:tc>
      </w:tr>
      <w:tr w14:paraId="0EF116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continue"/>
          </w:tcPr>
          <w:p w14:paraId="67A0BAF5">
            <w:pPr>
              <w:tabs>
                <w:tab w:val="center" w:pos="1312"/>
              </w:tabs>
              <w:spacing w:line="360" w:lineRule="auto"/>
              <w:rPr>
                <w:rFonts w:ascii="Times New Roman" w:hAnsi="Times New Roman" w:cs="Times New Roman" w:eastAsiaTheme="minorEastAsia"/>
                <w:sz w:val="24"/>
                <w:szCs w:val="24"/>
              </w:rPr>
            </w:pPr>
          </w:p>
        </w:tc>
        <w:tc>
          <w:tcPr>
            <w:tcW w:w="4877" w:type="dxa"/>
          </w:tcPr>
          <w:p w14:paraId="33258D54">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输入电压、相数、频率</w:t>
            </w:r>
          </w:p>
        </w:tc>
        <w:tc>
          <w:tcPr>
            <w:tcW w:w="2449" w:type="dxa"/>
          </w:tcPr>
          <w:p w14:paraId="40E9668B">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的情况适用</w:t>
            </w:r>
          </w:p>
        </w:tc>
      </w:tr>
      <w:tr w14:paraId="5A02EB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Merge w:val="continue"/>
          </w:tcPr>
          <w:p w14:paraId="2A76E364">
            <w:pPr>
              <w:tabs>
                <w:tab w:val="center" w:pos="1312"/>
              </w:tabs>
              <w:spacing w:line="360" w:lineRule="auto"/>
              <w:rPr>
                <w:rFonts w:ascii="Times New Roman" w:hAnsi="Times New Roman" w:cs="Times New Roman" w:eastAsiaTheme="minorEastAsia"/>
                <w:sz w:val="24"/>
                <w:szCs w:val="24"/>
              </w:rPr>
            </w:pPr>
          </w:p>
        </w:tc>
        <w:tc>
          <w:tcPr>
            <w:tcW w:w="4877" w:type="dxa"/>
          </w:tcPr>
          <w:p w14:paraId="023BF59E">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充电座型号</w:t>
            </w:r>
          </w:p>
          <w:p w14:paraId="5839E748">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充电座的电源电压、相数、频率</w:t>
            </w:r>
          </w:p>
          <w:p w14:paraId="36BB9808">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电池规格、型号</w:t>
            </w:r>
          </w:p>
        </w:tc>
        <w:tc>
          <w:tcPr>
            <w:tcW w:w="2449" w:type="dxa"/>
          </w:tcPr>
          <w:p w14:paraId="3B26DCCA">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的情况适用</w:t>
            </w:r>
          </w:p>
        </w:tc>
      </w:tr>
      <w:tr w14:paraId="5E7EF3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3F20F410">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重要条目</w:t>
            </w:r>
          </w:p>
        </w:tc>
        <w:tc>
          <w:tcPr>
            <w:tcW w:w="4877" w:type="dxa"/>
          </w:tcPr>
          <w:p w14:paraId="59E05954">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主要参数说明</w:t>
            </w:r>
          </w:p>
        </w:tc>
        <w:tc>
          <w:tcPr>
            <w:tcW w:w="2449" w:type="dxa"/>
          </w:tcPr>
          <w:p w14:paraId="7FF15B96">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备注</w:t>
            </w:r>
          </w:p>
        </w:tc>
      </w:tr>
      <w:tr w14:paraId="3AD29A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0B3B666D">
            <w:pPr>
              <w:tabs>
                <w:tab w:val="center" w:pos="1312"/>
              </w:tabs>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牙科治疗机</w:t>
            </w:r>
          </w:p>
          <w:p w14:paraId="1FD04A7C">
            <w:pPr>
              <w:tabs>
                <w:tab w:val="center" w:pos="1312"/>
              </w:tabs>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（型号：）</w:t>
            </w:r>
          </w:p>
        </w:tc>
        <w:tc>
          <w:tcPr>
            <w:tcW w:w="4877" w:type="dxa"/>
          </w:tcPr>
          <w:p w14:paraId="700E8E76">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齿轮速比选项：</w:t>
            </w:r>
          </w:p>
          <w:p w14:paraId="2BE2C88B">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转速范围：</w:t>
            </w:r>
          </w:p>
          <w:p w14:paraId="235346C1">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转矩范围：</w:t>
            </w:r>
          </w:p>
          <w:p w14:paraId="2C71F456">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水流量选项：</w:t>
            </w:r>
          </w:p>
        </w:tc>
        <w:tc>
          <w:tcPr>
            <w:tcW w:w="2449" w:type="dxa"/>
          </w:tcPr>
          <w:p w14:paraId="5F142A4F">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的情况适用</w:t>
            </w:r>
          </w:p>
        </w:tc>
      </w:tr>
      <w:tr w14:paraId="3273D9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6A059FDE">
            <w:pPr>
              <w:tabs>
                <w:tab w:val="center" w:pos="1312"/>
              </w:tabs>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主机（型号：）</w:t>
            </w:r>
          </w:p>
        </w:tc>
        <w:tc>
          <w:tcPr>
            <w:tcW w:w="4877" w:type="dxa"/>
          </w:tcPr>
          <w:p w14:paraId="4884A8A3">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齿轮速比选项：</w:t>
            </w:r>
          </w:p>
          <w:p w14:paraId="20E0C621">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转速范围：</w:t>
            </w:r>
          </w:p>
          <w:p w14:paraId="16CC970E">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转矩范围：</w:t>
            </w:r>
          </w:p>
          <w:p w14:paraId="588753B4">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水流量选项：</w:t>
            </w:r>
          </w:p>
        </w:tc>
        <w:tc>
          <w:tcPr>
            <w:tcW w:w="2449" w:type="dxa"/>
          </w:tcPr>
          <w:p w14:paraId="0DCE3966">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的情况适用</w:t>
            </w:r>
          </w:p>
        </w:tc>
      </w:tr>
      <w:tr w14:paraId="08D405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1A5A916B">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脚踏开关</w:t>
            </w:r>
          </w:p>
          <w:p w14:paraId="6775F5CF">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（型号：）</w:t>
            </w:r>
          </w:p>
        </w:tc>
        <w:tc>
          <w:tcPr>
            <w:tcW w:w="4877" w:type="dxa"/>
          </w:tcPr>
          <w:p w14:paraId="226E8A9C">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有线</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无线</w:t>
            </w:r>
          </w:p>
          <w:p w14:paraId="23689696">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有线线缆的长度</w:t>
            </w:r>
          </w:p>
          <w:p w14:paraId="4FCB31E6">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输入电压：</w:t>
            </w:r>
          </w:p>
        </w:tc>
        <w:tc>
          <w:tcPr>
            <w:tcW w:w="2449" w:type="dxa"/>
          </w:tcPr>
          <w:p w14:paraId="50A38489">
            <w:pPr>
              <w:spacing w:line="360" w:lineRule="auto"/>
              <w:rPr>
                <w:rFonts w:ascii="Times New Roman" w:hAnsi="Times New Roman" w:cs="Times New Roman" w:eastAsiaTheme="minorEastAsia"/>
                <w:sz w:val="24"/>
                <w:szCs w:val="24"/>
              </w:rPr>
            </w:pPr>
          </w:p>
        </w:tc>
      </w:tr>
      <w:tr w14:paraId="517BCA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11025FAC">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马达（型号：）</w:t>
            </w:r>
          </w:p>
        </w:tc>
        <w:tc>
          <w:tcPr>
            <w:tcW w:w="4877" w:type="dxa"/>
          </w:tcPr>
          <w:p w14:paraId="3119FA4C">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电动马达类型（</w:t>
            </w:r>
            <w:r>
              <w:rPr>
                <w:rFonts w:ascii="Times New Roman" w:hAnsi="Times New Roman" w:cs="Times New Roman" w:eastAsiaTheme="minorEastAsia"/>
                <w:sz w:val="24"/>
                <w:szCs w:val="24"/>
              </w:rPr>
              <w:t>YY0836</w:t>
            </w:r>
            <w:r>
              <w:rPr>
                <w:rFonts w:hint="eastAsia" w:ascii="Times New Roman" w:hAnsi="Times New Roman" w:cs="Times New Roman" w:eastAsiaTheme="minorEastAsia"/>
                <w:sz w:val="24"/>
                <w:szCs w:val="24"/>
              </w:rPr>
              <w:t>条款</w:t>
            </w:r>
            <w:r>
              <w:rPr>
                <w:rFonts w:ascii="Times New Roman" w:hAnsi="Times New Roman" w:cs="Times New Roman" w:eastAsiaTheme="minorEastAsia"/>
                <w:sz w:val="24"/>
                <w:szCs w:val="24"/>
              </w:rPr>
              <w:t>4.1</w:t>
            </w:r>
            <w:r>
              <w:rPr>
                <w:rFonts w:hint="eastAsia" w:ascii="Times New Roman" w:hAnsi="Times New Roman" w:cs="Times New Roman" w:eastAsiaTheme="minorEastAsia"/>
                <w:sz w:val="24"/>
                <w:szCs w:val="24"/>
              </w:rPr>
              <w:t>规定）：</w:t>
            </w:r>
          </w:p>
          <w:p w14:paraId="17D4A61D">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喷雾水源：</w:t>
            </w:r>
          </w:p>
          <w:p w14:paraId="4E1EA1B8">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喷雾气源：</w:t>
            </w:r>
          </w:p>
          <w:p w14:paraId="08BB9394">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马达冷却气：</w:t>
            </w:r>
          </w:p>
          <w:p w14:paraId="4A6CE553">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手机连接器：</w:t>
            </w:r>
          </w:p>
          <w:p w14:paraId="6C6416D4">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光源：</w:t>
            </w:r>
          </w:p>
          <w:p w14:paraId="4CE57C43">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空载转速：</w:t>
            </w:r>
          </w:p>
          <w:p w14:paraId="4715C237">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转矩：</w:t>
            </w:r>
          </w:p>
          <w:p w14:paraId="0474B84E">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后处理方式（消毒</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清洁</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灭菌）</w:t>
            </w:r>
          </w:p>
        </w:tc>
        <w:tc>
          <w:tcPr>
            <w:tcW w:w="2449" w:type="dxa"/>
          </w:tcPr>
          <w:p w14:paraId="7891373E">
            <w:pPr>
              <w:spacing w:line="360" w:lineRule="auto"/>
              <w:rPr>
                <w:rFonts w:ascii="Times New Roman" w:hAnsi="Times New Roman" w:cs="Times New Roman" w:eastAsiaTheme="minorEastAsia"/>
                <w:sz w:val="24"/>
                <w:szCs w:val="24"/>
              </w:rPr>
            </w:pPr>
          </w:p>
        </w:tc>
      </w:tr>
      <w:tr w14:paraId="1DC16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412C05DA">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马达线缆</w:t>
            </w:r>
          </w:p>
        </w:tc>
        <w:tc>
          <w:tcPr>
            <w:tcW w:w="4877" w:type="dxa"/>
          </w:tcPr>
          <w:p w14:paraId="0F0CBF23">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电缆长度</w:t>
            </w:r>
          </w:p>
          <w:p w14:paraId="2B1F6D5B">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后处理方式（消毒</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清洁</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灭菌）</w:t>
            </w:r>
          </w:p>
        </w:tc>
        <w:tc>
          <w:tcPr>
            <w:tcW w:w="2449" w:type="dxa"/>
          </w:tcPr>
          <w:p w14:paraId="16BACA46">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结构</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的情况适用</w:t>
            </w:r>
          </w:p>
        </w:tc>
      </w:tr>
      <w:tr w14:paraId="775BA4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tcPr>
          <w:p w14:paraId="13A060F2">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手机（型号：）</w:t>
            </w:r>
          </w:p>
        </w:tc>
        <w:tc>
          <w:tcPr>
            <w:tcW w:w="4877" w:type="dxa"/>
          </w:tcPr>
          <w:p w14:paraId="0363F718">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结构形式（直手机</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弯手机）、夹头形式（</w:t>
            </w:r>
            <w:r>
              <w:rPr>
                <w:rFonts w:ascii="Times New Roman" w:hAnsi="Times New Roman" w:cs="Times New Roman" w:eastAsiaTheme="minorEastAsia"/>
                <w:sz w:val="24"/>
                <w:szCs w:val="24"/>
              </w:rPr>
              <w:t>YY1045.2</w:t>
            </w:r>
            <w:r>
              <w:rPr>
                <w:rFonts w:hint="eastAsia" w:ascii="Times New Roman" w:hAnsi="Times New Roman" w:cs="Times New Roman" w:eastAsiaTheme="minorEastAsia"/>
                <w:sz w:val="24"/>
                <w:szCs w:val="24"/>
              </w:rPr>
              <w:t>条款</w:t>
            </w:r>
            <w:r>
              <w:rPr>
                <w:rFonts w:ascii="Times New Roman" w:hAnsi="Times New Roman" w:cs="Times New Roman" w:eastAsiaTheme="minorEastAsia"/>
                <w:sz w:val="24"/>
                <w:szCs w:val="24"/>
              </w:rPr>
              <w:t>5.2</w:t>
            </w:r>
            <w:r>
              <w:rPr>
                <w:rFonts w:hint="eastAsia" w:ascii="Times New Roman" w:hAnsi="Times New Roman" w:cs="Times New Roman" w:eastAsiaTheme="minorEastAsia"/>
                <w:sz w:val="24"/>
                <w:szCs w:val="24"/>
              </w:rPr>
              <w:t>规定）：</w:t>
            </w:r>
          </w:p>
          <w:p w14:paraId="1C40852D">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是否提供水冷却和</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或气冷却：</w:t>
            </w:r>
          </w:p>
          <w:p w14:paraId="47DB67F1">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照明方式：</w:t>
            </w:r>
          </w:p>
          <w:p w14:paraId="7F6E4592">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灭菌方式：</w:t>
            </w:r>
          </w:p>
          <w:p w14:paraId="3F647280">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齿轮速比：</w:t>
            </w:r>
          </w:p>
          <w:p w14:paraId="66583587">
            <w:pPr>
              <w:spacing w:line="360" w:lineRule="auto"/>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手机材质：</w:t>
            </w:r>
          </w:p>
        </w:tc>
        <w:tc>
          <w:tcPr>
            <w:tcW w:w="2449" w:type="dxa"/>
          </w:tcPr>
          <w:p w14:paraId="6DD96025">
            <w:pPr>
              <w:spacing w:line="360" w:lineRule="auto"/>
              <w:rPr>
                <w:rFonts w:ascii="Times New Roman" w:hAnsi="Times New Roman" w:cs="Times New Roman" w:eastAsiaTheme="minorEastAsia"/>
                <w:sz w:val="24"/>
                <w:szCs w:val="24"/>
              </w:rPr>
            </w:pPr>
          </w:p>
        </w:tc>
      </w:tr>
    </w:tbl>
    <w:p w14:paraId="25CF1148">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软件发布版本</w:t>
      </w:r>
    </w:p>
    <w:p w14:paraId="2904DBA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版本命名规则</w:t>
      </w:r>
    </w:p>
    <w:p w14:paraId="7BA7FBD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明确软件完整版本的全部字段及字段含义。</w:t>
      </w:r>
    </w:p>
    <w:p w14:paraId="4B323A9D">
      <w:pPr>
        <w:spacing w:line="52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2.</w:t>
      </w:r>
      <w:r>
        <w:rPr>
          <w:rFonts w:hint="eastAsia" w:ascii="Times New Roman" w:hAnsi="Times New Roman" w:eastAsia="黑体" w:cs="Times New Roman"/>
          <w:bCs/>
          <w:sz w:val="32"/>
          <w:szCs w:val="32"/>
        </w:rPr>
        <w:t>性能指标</w:t>
      </w:r>
    </w:p>
    <w:p w14:paraId="3DD5ED3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应符合</w:t>
      </w:r>
      <w:r>
        <w:rPr>
          <w:rFonts w:ascii="Times New Roman" w:hAnsi="Times New Roman" w:eastAsia="仿宋_GB2312" w:cs="Times New Roman"/>
          <w:sz w:val="32"/>
          <w:szCs w:val="32"/>
        </w:rPr>
        <w:t>YY/T 1485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的要求。</w:t>
      </w:r>
    </w:p>
    <w:p w14:paraId="7289125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手机符合</w:t>
      </w:r>
      <w:r>
        <w:rPr>
          <w:rFonts w:ascii="Times New Roman" w:hAnsi="Times New Roman" w:eastAsia="仿宋_GB2312" w:cs="Times New Roman"/>
          <w:sz w:val="32"/>
          <w:szCs w:val="32"/>
        </w:rPr>
        <w:t>YY 1045.2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2010</w:t>
      </w:r>
      <w:r>
        <w:rPr>
          <w:rFonts w:hint="eastAsia" w:ascii="Times New Roman" w:hAnsi="Times New Roman" w:eastAsia="仿宋_GB2312" w:cs="Times New Roman"/>
          <w:sz w:val="32"/>
          <w:szCs w:val="32"/>
        </w:rPr>
        <w:t>的要求。</w:t>
      </w:r>
    </w:p>
    <w:p w14:paraId="02F91FA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脚踏开关的功能要求</w:t>
      </w:r>
    </w:p>
    <w:p w14:paraId="12A417A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脚踏开关应具备制造商在随机文件或使用说明书中规定的各项功能。</w:t>
      </w:r>
    </w:p>
    <w:p w14:paraId="4CF5128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安全要求</w:t>
      </w:r>
    </w:p>
    <w:p w14:paraId="27FDE35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应符合</w:t>
      </w:r>
      <w:r>
        <w:rPr>
          <w:rFonts w:ascii="Times New Roman" w:hAnsi="Times New Roman" w:eastAsia="仿宋_GB2312" w:cs="Times New Roman"/>
          <w:sz w:val="32"/>
          <w:szCs w:val="32"/>
        </w:rPr>
        <w:t>GB 9706.1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0505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2012</w:t>
      </w:r>
      <w:r>
        <w:rPr>
          <w:rFonts w:hint="eastAsia" w:ascii="Times New Roman" w:hAnsi="Times New Roman" w:eastAsia="仿宋_GB2312" w:cs="Times New Roman"/>
          <w:sz w:val="32"/>
          <w:szCs w:val="32"/>
        </w:rPr>
        <w:t>的要求。产品安全特征详见附录。</w:t>
      </w:r>
    </w:p>
    <w:p w14:paraId="4FF57F0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环境试验要求</w:t>
      </w:r>
    </w:p>
    <w:p w14:paraId="31ECD309">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应符合</w:t>
      </w:r>
      <w:r>
        <w:rPr>
          <w:rFonts w:ascii="Times New Roman" w:hAnsi="Times New Roman" w:eastAsia="仿宋_GB2312" w:cs="Times New Roman"/>
          <w:sz w:val="32"/>
          <w:szCs w:val="32"/>
        </w:rPr>
        <w:t>GB/T 14710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的要求。</w:t>
      </w:r>
    </w:p>
    <w:p w14:paraId="349B102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软件功能要求。</w:t>
      </w:r>
    </w:p>
    <w:p w14:paraId="126F95F8">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试验方法</w:t>
      </w:r>
    </w:p>
    <w:p w14:paraId="0098BABE">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YY/T 1485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的要求进行试验，结果应符合</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的要求。</w:t>
      </w:r>
    </w:p>
    <w:p w14:paraId="5A53E55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YY 1045.2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2010</w:t>
      </w:r>
      <w:r>
        <w:rPr>
          <w:rFonts w:hint="eastAsia" w:ascii="Times New Roman" w:hAnsi="Times New Roman" w:eastAsia="仿宋_GB2312" w:cs="Times New Roman"/>
          <w:sz w:val="32"/>
          <w:szCs w:val="32"/>
        </w:rPr>
        <w:t>的要求进行试验，结果应符合</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的要求。</w:t>
      </w:r>
    </w:p>
    <w:p w14:paraId="24AA28B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w:t>
      </w:r>
      <w:r>
        <w:rPr>
          <w:rFonts w:hint="eastAsia" w:ascii="Times New Roman" w:hAnsi="Times New Roman" w:eastAsia="仿宋_GB2312" w:cs="Times New Roman"/>
          <w:sz w:val="32"/>
          <w:szCs w:val="32"/>
        </w:rPr>
        <w:t>按照使用说明书的规定，对主要功能进行逐项检查，核实其能否正常工作。</w:t>
      </w:r>
    </w:p>
    <w:p w14:paraId="115F4FA9">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安全要求</w:t>
      </w:r>
    </w:p>
    <w:p w14:paraId="39FD8A0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GB 9706.1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0505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2012</w:t>
      </w:r>
      <w:r>
        <w:rPr>
          <w:rFonts w:hint="eastAsia" w:ascii="Times New Roman" w:hAnsi="Times New Roman" w:eastAsia="仿宋_GB2312" w:cs="Times New Roman"/>
          <w:sz w:val="32"/>
          <w:szCs w:val="32"/>
        </w:rPr>
        <w:t>的要求进行试验，结果应符合</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的要求。</w:t>
      </w:r>
    </w:p>
    <w:p w14:paraId="53447C50">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3.5</w:t>
      </w:r>
      <w:r>
        <w:rPr>
          <w:rFonts w:hint="eastAsia" w:ascii="Times New Roman" w:hAnsi="Times New Roman" w:eastAsia="仿宋_GB2312" w:cs="Times New Roman"/>
          <w:sz w:val="32"/>
          <w:szCs w:val="32"/>
        </w:rPr>
        <w:t>产品的环境试验应按照</w:t>
      </w:r>
      <w:r>
        <w:rPr>
          <w:rFonts w:ascii="Times New Roman" w:hAnsi="Times New Roman" w:eastAsia="仿宋_GB2312" w:cs="Times New Roman"/>
          <w:sz w:val="32"/>
          <w:szCs w:val="32"/>
        </w:rPr>
        <w:t>GB/T 14710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的规定的方法及程序执行。</w:t>
      </w:r>
    </w:p>
    <w:p w14:paraId="69A5322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3.6</w:t>
      </w:r>
      <w:r>
        <w:rPr>
          <w:rFonts w:hint="eastAsia" w:ascii="Times New Roman" w:hAnsi="Times New Roman" w:eastAsia="仿宋_GB2312" w:cs="Times New Roman"/>
          <w:sz w:val="32"/>
          <w:szCs w:val="32"/>
        </w:rPr>
        <w:t>软件功能。</w:t>
      </w:r>
    </w:p>
    <w:p w14:paraId="363B98C1">
      <w:pPr>
        <w:spacing w:line="52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附录</w:t>
      </w:r>
    </w:p>
    <w:p w14:paraId="50E96CB7">
      <w:pPr>
        <w:spacing w:line="52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产品安全特征（</w:t>
      </w:r>
      <w:r>
        <w:rPr>
          <w:rFonts w:ascii="Times New Roman" w:hAnsi="Times New Roman" w:eastAsia="仿宋_GB2312" w:cs="Times New Roman"/>
          <w:color w:val="000000" w:themeColor="text1"/>
          <w:sz w:val="32"/>
          <w:szCs w:val="32"/>
          <w14:textFill>
            <w14:solidFill>
              <w14:schemeClr w14:val="tx1"/>
            </w14:solidFill>
          </w14:textFill>
        </w:rPr>
        <w:t>11</w:t>
      </w:r>
      <w:r>
        <w:rPr>
          <w:rFonts w:hint="eastAsia" w:ascii="Times New Roman" w:hAnsi="Times New Roman" w:eastAsia="仿宋_GB2312" w:cs="Times New Roman"/>
          <w:color w:val="000000" w:themeColor="text1"/>
          <w:sz w:val="32"/>
          <w:szCs w:val="32"/>
          <w14:textFill>
            <w14:solidFill>
              <w14:schemeClr w14:val="tx1"/>
            </w14:solidFill>
          </w14:textFill>
        </w:rPr>
        <w:t>项）、电气绝缘图、电气绝缘表格</w:t>
      </w:r>
    </w:p>
    <w:p w14:paraId="212290FE">
      <w:pPr>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br w:type="page"/>
      </w:r>
    </w:p>
    <w:p w14:paraId="7A7DD72D">
      <w:pPr>
        <w:pStyle w:val="2"/>
        <w:spacing w:before="0" w:beforeAutospacing="0" w:after="0" w:afterAutospacing="0" w:line="620" w:lineRule="exact"/>
        <w:jc w:val="both"/>
        <w:rPr>
          <w:rFonts w:ascii="Times New Roman" w:hAnsi="Times New Roman" w:eastAsia="黑体" w:cs="Times New Roman"/>
          <w:b w:val="0"/>
          <w:sz w:val="32"/>
          <w:szCs w:val="32"/>
        </w:rPr>
      </w:pPr>
      <w:bookmarkStart w:id="23" w:name="_Toc468803087"/>
      <w:bookmarkStart w:id="24" w:name="_Toc435088733"/>
      <w:r>
        <w:rPr>
          <w:rFonts w:hint="eastAsia" w:ascii="Times New Roman" w:hAnsi="Times New Roman" w:eastAsia="黑体" w:cs="Times New Roman"/>
          <w:b w:val="0"/>
          <w:sz w:val="32"/>
          <w:szCs w:val="32"/>
        </w:rPr>
        <w:t>附录</w:t>
      </w:r>
      <w:bookmarkEnd w:id="23"/>
      <w:bookmarkEnd w:id="24"/>
      <w:r>
        <w:rPr>
          <w:rFonts w:ascii="Times New Roman" w:hAnsi="Times New Roman" w:eastAsia="黑体" w:cs="Times New Roman"/>
          <w:b w:val="0"/>
          <w:sz w:val="32"/>
          <w:szCs w:val="32"/>
        </w:rPr>
        <w:t>2</w:t>
      </w:r>
    </w:p>
    <w:p w14:paraId="444E2651">
      <w:pPr>
        <w:pStyle w:val="2"/>
        <w:spacing w:before="0" w:beforeAutospacing="0" w:after="0" w:afterAutospacing="0" w:line="620" w:lineRule="exact"/>
        <w:jc w:val="both"/>
        <w:rPr>
          <w:rFonts w:ascii="Times New Roman" w:hAnsi="Times New Roman" w:eastAsia="黑体" w:cs="Times New Roman"/>
          <w:b w:val="0"/>
          <w:sz w:val="32"/>
          <w:szCs w:val="32"/>
        </w:rPr>
      </w:pPr>
    </w:p>
    <w:p w14:paraId="3177FEDE">
      <w:pPr>
        <w:pStyle w:val="2"/>
        <w:spacing w:before="0" w:beforeAutospacing="0" w:after="0" w:afterAutospacing="0" w:line="620" w:lineRule="exact"/>
        <w:jc w:val="center"/>
        <w:rPr>
          <w:rFonts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rPr>
        <w:t>风险管理资料</w:t>
      </w:r>
    </w:p>
    <w:p w14:paraId="10561B8F">
      <w:pPr>
        <w:spacing w:line="620" w:lineRule="exact"/>
        <w:ind w:firstLine="640" w:firstLineChars="200"/>
        <w:rPr>
          <w:rFonts w:ascii="Times New Roman" w:hAnsi="Times New Roman" w:eastAsia="仿宋_GB2312" w:cs="Times New Roman"/>
          <w:sz w:val="32"/>
          <w:szCs w:val="32"/>
        </w:rPr>
      </w:pPr>
    </w:p>
    <w:p w14:paraId="4179931E">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文件识别出了与牙科种植机产品相关的主要风险，并给出了缓解（降低或减轻）这些风险的建议方法。申请人若使用替代方法来缓解本文件中指出的特定风险，或者确定了除了本文件中以外的其他风险，申请人应该提供足够的细节信息来支持所用的方法。</w:t>
      </w:r>
    </w:p>
    <w:p w14:paraId="6F3C08FC">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产品的风险管理报告应符合</w:t>
      </w:r>
      <w:r>
        <w:rPr>
          <w:rFonts w:ascii="Times New Roman" w:hAnsi="Times New Roman" w:eastAsia="仿宋_GB2312" w:cs="Times New Roman"/>
          <w:sz w:val="32"/>
          <w:szCs w:val="32"/>
        </w:rPr>
        <w:t>YY/T 0316</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风险管理对医疗器械的应用》的有关要求，判断与产品有关的危害，估计和评价相关风险，控制这些风险并监视控制的有效性。申请人提供注册产品的风险管理报告应扼要说明：</w:t>
      </w:r>
    </w:p>
    <w:p w14:paraId="390057DA">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）在产品的研制阶段，已对其有关可能的危害及产生的风险进行了估计和评价，并有针对性地实施了降低风险的技术和管理方面的措施；</w:t>
      </w:r>
    </w:p>
    <w:p w14:paraId="499CA220">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）在产品性能测试中部分验证了这些措施的有效性，达到了通用和相应专用标准的要求；</w:t>
      </w:r>
    </w:p>
    <w:p w14:paraId="5283BA75">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）对所有剩余风险进行了评价；</w:t>
      </w:r>
    </w:p>
    <w:p w14:paraId="252B05F2">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）全部达到可接受的水平；</w:t>
      </w:r>
    </w:p>
    <w:p w14:paraId="6A16B0D9">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）注册申请人对产品的安全性的承诺。</w:t>
      </w:r>
    </w:p>
    <w:p w14:paraId="3050DEC9">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风险管理报告的内容至少包括：</w:t>
      </w:r>
    </w:p>
    <w:p w14:paraId="4F257896">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）产品的风险管理组织；</w:t>
      </w:r>
    </w:p>
    <w:p w14:paraId="3E3A559F">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）产品的组成及预期用途；</w:t>
      </w:r>
    </w:p>
    <w:p w14:paraId="5725A4E8">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）风险报告编制的依据；</w:t>
      </w:r>
    </w:p>
    <w:p w14:paraId="4C347C73">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）产品与安全性有关的特征的判定。</w:t>
      </w:r>
    </w:p>
    <w:p w14:paraId="783F1806">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申请人应按照</w:t>
      </w:r>
      <w:r>
        <w:rPr>
          <w:rFonts w:ascii="Times New Roman" w:hAnsi="Times New Roman" w:eastAsia="仿宋_GB2312" w:cs="Times New Roman"/>
          <w:sz w:val="32"/>
          <w:szCs w:val="32"/>
        </w:rPr>
        <w:t>YY/T 0316</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风险管理对医疗器械的应用》附录</w:t>
      </w: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条提示，对照产品的实际情况作出针对性的简明描述。</w:t>
      </w:r>
    </w:p>
    <w:p w14:paraId="1F95E966">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注意：产品如存在</w:t>
      </w:r>
      <w:r>
        <w:rPr>
          <w:rFonts w:ascii="Times New Roman" w:hAnsi="Times New Roman" w:eastAsia="仿宋_GB2312" w:cs="Times New Roman"/>
          <w:sz w:val="32"/>
          <w:szCs w:val="32"/>
        </w:rPr>
        <w:t>34</w:t>
      </w:r>
      <w:r>
        <w:rPr>
          <w:rFonts w:hint="eastAsia" w:ascii="Times New Roman" w:hAnsi="Times New Roman" w:eastAsia="仿宋_GB2312" w:cs="Times New Roman"/>
          <w:sz w:val="32"/>
          <w:szCs w:val="32"/>
        </w:rPr>
        <w:t>条提示以外的可能影响安全性的特征，也应作出说明。</w:t>
      </w:r>
    </w:p>
    <w:p w14:paraId="27BC9F86">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）对产品的可能危害、可预见事件序列和危害处境的判定。</w:t>
      </w:r>
    </w:p>
    <w:p w14:paraId="325E9ABB">
      <w:pPr>
        <w:pStyle w:val="57"/>
        <w:spacing w:line="620" w:lineRule="exact"/>
        <w:ind w:firstLine="640"/>
        <w:rPr>
          <w:rFonts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申报方应根据自身产品特点，根据</w:t>
      </w:r>
      <w:r>
        <w:rPr>
          <w:rFonts w:ascii="Times New Roman" w:hAnsi="Times New Roman" w:eastAsia="仿宋_GB2312" w:cs="Times New Roman"/>
          <w:color w:val="auto"/>
          <w:spacing w:val="0"/>
          <w:sz w:val="32"/>
          <w:szCs w:val="32"/>
        </w:rPr>
        <w:t>YY/T 0316</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w:t>
      </w:r>
      <w:r>
        <w:rPr>
          <w:rFonts w:hint="eastAsia" w:ascii="Times New Roman" w:hAnsi="Times New Roman" w:eastAsia="仿宋_GB2312" w:cs="Times New Roman"/>
          <w:color w:val="auto"/>
          <w:spacing w:val="0"/>
          <w:sz w:val="32"/>
          <w:szCs w:val="32"/>
        </w:rPr>
        <w:t>附录</w:t>
      </w:r>
      <w:r>
        <w:rPr>
          <w:rFonts w:ascii="Times New Roman" w:hAnsi="Times New Roman" w:eastAsia="仿宋_GB2312" w:cs="Times New Roman"/>
          <w:color w:val="auto"/>
          <w:spacing w:val="0"/>
          <w:sz w:val="32"/>
          <w:szCs w:val="32"/>
        </w:rPr>
        <w:t>E</w:t>
      </w:r>
      <w:r>
        <w:rPr>
          <w:rFonts w:hint="eastAsia" w:ascii="Times New Roman" w:hAnsi="Times New Roman" w:eastAsia="仿宋_GB2312" w:cs="Times New Roman"/>
          <w:color w:val="auto"/>
          <w:spacing w:val="0"/>
          <w:sz w:val="32"/>
          <w:szCs w:val="32"/>
        </w:rPr>
        <w:t>、</w:t>
      </w:r>
      <w:r>
        <w:rPr>
          <w:rFonts w:ascii="Times New Roman" w:hAnsi="Times New Roman" w:eastAsia="仿宋_GB2312" w:cs="Times New Roman"/>
          <w:color w:val="auto"/>
          <w:spacing w:val="0"/>
          <w:sz w:val="32"/>
          <w:szCs w:val="32"/>
        </w:rPr>
        <w:t>I</w:t>
      </w:r>
      <w:r>
        <w:rPr>
          <w:rFonts w:hint="eastAsia" w:ascii="Times New Roman" w:hAnsi="Times New Roman" w:eastAsia="仿宋_GB2312" w:cs="Times New Roman"/>
          <w:color w:val="auto"/>
          <w:spacing w:val="0"/>
          <w:sz w:val="32"/>
          <w:szCs w:val="32"/>
        </w:rPr>
        <w:t>的提示，对危害、可预见事件序列、危害处境及可导致的损害作出判定。</w:t>
      </w:r>
    </w:p>
    <w:p w14:paraId="71011C0E">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）风险可接收准则：降低风险的措施及采取措施后风险的可接收程度，是否有新的风险产生。</w:t>
      </w:r>
    </w:p>
    <w:p w14:paraId="772E156F">
      <w:pPr>
        <w:spacing w:line="620" w:lineRule="exact"/>
        <w:ind w:firstLine="640" w:firstLineChars="200"/>
        <w:rPr>
          <w:rFonts w:ascii="Times New Roman" w:hAnsi="Times New Roman" w:eastAsia="仿宋_GB2312" w:cs="Times New Roman"/>
          <w:sz w:val="24"/>
          <w:szCs w:val="28"/>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）风险控制的方案与实施、综合剩余风险的可接受性评价及生产和生产后监视的相关方法，可参考</w:t>
      </w:r>
      <w:r>
        <w:rPr>
          <w:rFonts w:ascii="Times New Roman" w:hAnsi="Times New Roman" w:eastAsia="仿宋_GB2312" w:cs="Times New Roman"/>
          <w:sz w:val="32"/>
          <w:szCs w:val="32"/>
        </w:rPr>
        <w:t>YY/T 0316</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风险管理对医疗器械的应用》的附录</w:t>
      </w: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G</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w:t>
      </w:r>
    </w:p>
    <w:p w14:paraId="121D4B41">
      <w:pPr>
        <w:spacing w:line="520" w:lineRule="exact"/>
        <w:rPr>
          <w:rFonts w:ascii="Times New Roman" w:hAnsi="Times New Roman" w:eastAsia="黑体" w:cs="Times New Roman"/>
          <w:sz w:val="24"/>
          <w:szCs w:val="28"/>
        </w:rPr>
      </w:pPr>
    </w:p>
    <w:p w14:paraId="4C288225">
      <w:pPr>
        <w:spacing w:line="52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表</w:t>
      </w:r>
      <w:r>
        <w:rPr>
          <w:rFonts w:ascii="Times New Roman" w:hAnsi="Times New Roman" w:eastAsia="黑体" w:cs="Times New Roman"/>
          <w:sz w:val="28"/>
          <w:szCs w:val="28"/>
        </w:rPr>
        <w:t xml:space="preserve">1  </w:t>
      </w:r>
      <w:r>
        <w:rPr>
          <w:rFonts w:hint="eastAsia" w:ascii="Times New Roman" w:hAnsi="Times New Roman" w:eastAsia="黑体" w:cs="Times New Roman"/>
          <w:sz w:val="28"/>
          <w:szCs w:val="28"/>
        </w:rPr>
        <w:t>产品主要初始危害因素</w:t>
      </w:r>
    </w:p>
    <w:tbl>
      <w:tblPr>
        <w:tblStyle w:val="17"/>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98"/>
        <w:gridCol w:w="7441"/>
      </w:tblGrid>
      <w:tr w14:paraId="61E2B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175" w:type="dxa"/>
            <w:tcBorders>
              <w:top w:val="single" w:color="auto" w:sz="4" w:space="0"/>
              <w:left w:val="single" w:color="auto" w:sz="4" w:space="0"/>
              <w:bottom w:val="single" w:color="auto" w:sz="4" w:space="0"/>
              <w:right w:val="single" w:color="auto" w:sz="4" w:space="0"/>
            </w:tcBorders>
            <w:vAlign w:val="center"/>
          </w:tcPr>
          <w:p w14:paraId="64FCF662">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通用类别</w:t>
            </w:r>
          </w:p>
        </w:tc>
        <w:tc>
          <w:tcPr>
            <w:tcW w:w="7365" w:type="dxa"/>
            <w:tcBorders>
              <w:top w:val="single" w:color="auto" w:sz="4" w:space="0"/>
              <w:left w:val="single" w:color="auto" w:sz="4" w:space="0"/>
              <w:bottom w:val="single" w:color="auto" w:sz="4" w:space="0"/>
              <w:right w:val="single" w:color="auto" w:sz="4" w:space="0"/>
            </w:tcBorders>
            <w:vAlign w:val="center"/>
          </w:tcPr>
          <w:p w14:paraId="399706BA">
            <w:pPr>
              <w:pStyle w:val="59"/>
              <w:spacing w:line="440" w:lineRule="exact"/>
              <w:ind w:firstLine="480"/>
              <w:jc w:val="center"/>
              <w:rPr>
                <w:rFonts w:cs="Times New Roman" w:eastAsiaTheme="minorEastAsia"/>
                <w:color w:val="auto"/>
              </w:rPr>
            </w:pPr>
            <w:r>
              <w:rPr>
                <w:rFonts w:hint="eastAsia" w:cs="Times New Roman" w:eastAsiaTheme="minorEastAsia"/>
                <w:color w:val="auto"/>
              </w:rPr>
              <w:t>初始事件和环境示例</w:t>
            </w:r>
          </w:p>
        </w:tc>
      </w:tr>
      <w:tr w14:paraId="6C575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3" w:hRule="atLeast"/>
          <w:tblHeader/>
          <w:jc w:val="center"/>
        </w:trPr>
        <w:tc>
          <w:tcPr>
            <w:tcW w:w="2175" w:type="dxa"/>
            <w:tcBorders>
              <w:top w:val="single" w:color="auto" w:sz="4" w:space="0"/>
              <w:left w:val="single" w:color="auto" w:sz="4" w:space="0"/>
              <w:right w:val="single" w:color="auto" w:sz="4" w:space="0"/>
            </w:tcBorders>
            <w:vAlign w:val="center"/>
          </w:tcPr>
          <w:p w14:paraId="1F5ACB16">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不完整的要求</w:t>
            </w:r>
          </w:p>
        </w:tc>
        <w:tc>
          <w:tcPr>
            <w:tcW w:w="7365" w:type="dxa"/>
            <w:tcBorders>
              <w:top w:val="single" w:color="auto" w:sz="4" w:space="0"/>
              <w:left w:val="single" w:color="auto" w:sz="4" w:space="0"/>
              <w:right w:val="single" w:color="auto" w:sz="4" w:space="0"/>
            </w:tcBorders>
            <w:vAlign w:val="center"/>
          </w:tcPr>
          <w:p w14:paraId="1710041F">
            <w:pPr>
              <w:pStyle w:val="59"/>
              <w:spacing w:line="440" w:lineRule="exact"/>
              <w:ind w:firstLine="480"/>
              <w:rPr>
                <w:rFonts w:cs="Times New Roman" w:eastAsiaTheme="minorEastAsia"/>
                <w:color w:val="auto"/>
              </w:rPr>
            </w:pPr>
            <w:r>
              <w:rPr>
                <w:rFonts w:hint="eastAsia" w:cs="Times New Roman" w:eastAsiaTheme="minorEastAsia"/>
                <w:color w:val="auto"/>
              </w:rPr>
              <w:t>设计参数的不恰当规范：可触及金属部分、外壳、应用部分等与带电部分隔离</w:t>
            </w:r>
            <w:r>
              <w:rPr>
                <w:rFonts w:cs="Times New Roman" w:eastAsiaTheme="minorEastAsia"/>
                <w:color w:val="auto"/>
              </w:rPr>
              <w:t>/</w:t>
            </w:r>
            <w:r>
              <w:rPr>
                <w:rFonts w:hint="eastAsia" w:cs="Times New Roman" w:eastAsiaTheme="minorEastAsia"/>
                <w:color w:val="auto"/>
              </w:rPr>
              <w:t>保护设计缺陷，电气绝缘强度低，导致对电击危险防护不够，可能对使用者或患者造成电击危害；设备插头剩余电压过高；种植手术用器械工作时间过长，与人体接触的种植手术用器械温度过高，手机散热不良或失效，冷却装置冷却功能失效，可能引起操作者和</w:t>
            </w:r>
            <w:r>
              <w:rPr>
                <w:rFonts w:cs="Times New Roman" w:eastAsiaTheme="minorEastAsia"/>
                <w:color w:val="auto"/>
              </w:rPr>
              <w:t>/</w:t>
            </w:r>
            <w:r>
              <w:rPr>
                <w:rFonts w:hint="eastAsia" w:cs="Times New Roman" w:eastAsiaTheme="minorEastAsia"/>
                <w:color w:val="auto"/>
              </w:rPr>
              <w:t>或患者烫伤；种植手术用器械、手机和主机间连接不牢固；便携式提拎装置不牢固，设备脚轮锁定不良，移动式设备稳定性差，设备支撑件强度不足，设备面、角、边粗糙，对飞溅物防护不够，均可能对使用者或患者造成机械损伤；进液防护能力不足，造成电气危害；运动零件防脱、防裂功能失效，机械伤害自停防护功能缺失或防护功能失效，造成机械危害；脚踏开关产生误动作；骨组织手术设备停电后又恢复时可能造成能量输出危险；控制器件固定不紧固造成调节失误；工作时噪声过大干扰医护人员的正常工作；电磁兼容性不符合要求，导致设备基本性能降低或干扰其他设备的正常工作；等等。</w:t>
            </w:r>
          </w:p>
          <w:p w14:paraId="72FD1C8F">
            <w:pPr>
              <w:pStyle w:val="59"/>
              <w:spacing w:line="440" w:lineRule="exact"/>
              <w:ind w:firstLine="480"/>
              <w:rPr>
                <w:rFonts w:cs="Times New Roman" w:eastAsiaTheme="minorEastAsia"/>
                <w:color w:val="auto"/>
              </w:rPr>
            </w:pPr>
            <w:r>
              <w:rPr>
                <w:rFonts w:hint="eastAsia" w:cs="Times New Roman" w:eastAsiaTheme="minorEastAsia"/>
                <w:color w:val="auto"/>
              </w:rPr>
              <w:t>运行参数不恰当规范：转速、频率、力矩等运行不稳定或与设定值不一致；等等。</w:t>
            </w:r>
          </w:p>
          <w:p w14:paraId="76BD4CD3">
            <w:pPr>
              <w:pStyle w:val="59"/>
              <w:spacing w:line="440" w:lineRule="exact"/>
              <w:ind w:firstLine="480"/>
              <w:rPr>
                <w:rFonts w:cs="Times New Roman" w:eastAsiaTheme="minorEastAsia"/>
                <w:color w:val="auto"/>
              </w:rPr>
            </w:pPr>
            <w:r>
              <w:rPr>
                <w:rFonts w:hint="eastAsia" w:cs="Times New Roman" w:eastAsiaTheme="minorEastAsia"/>
                <w:color w:val="auto"/>
              </w:rPr>
              <w:t>性能要求不恰当规范：性能参数与实际使用情况不匹配，导致机械损伤；等等。</w:t>
            </w:r>
          </w:p>
          <w:p w14:paraId="1E41EE92">
            <w:pPr>
              <w:pStyle w:val="59"/>
              <w:spacing w:line="440" w:lineRule="exact"/>
              <w:ind w:firstLine="480"/>
              <w:rPr>
                <w:rFonts w:cs="Times New Roman" w:eastAsiaTheme="minorEastAsia"/>
                <w:color w:val="auto"/>
              </w:rPr>
            </w:pPr>
            <w:r>
              <w:rPr>
                <w:rFonts w:hint="eastAsia" w:cs="Times New Roman" w:eastAsiaTheme="minorEastAsia"/>
                <w:color w:val="auto"/>
              </w:rPr>
              <w:t>与人体直接接触部件、手机机头部分材料的生物安全性问题。</w:t>
            </w:r>
          </w:p>
          <w:p w14:paraId="7766947C">
            <w:pPr>
              <w:pStyle w:val="59"/>
              <w:spacing w:line="440" w:lineRule="exact"/>
              <w:ind w:firstLine="480"/>
              <w:rPr>
                <w:rFonts w:cs="Times New Roman" w:eastAsiaTheme="minorEastAsia"/>
                <w:color w:val="auto"/>
              </w:rPr>
            </w:pPr>
            <w:r>
              <w:rPr>
                <w:rFonts w:hint="eastAsia" w:cs="Times New Roman" w:eastAsiaTheme="minorEastAsia"/>
                <w:color w:val="auto"/>
              </w:rPr>
              <w:t>服务中的要求不恰当规范：使用说明书未对设备、种植手术用器械、电池（若适用）的维护、保养方式、方法、频次进行说明，导致设备、种植手术用器械、电池（若适用）不能正常使用；等等。</w:t>
            </w:r>
          </w:p>
          <w:p w14:paraId="28100BBF">
            <w:pPr>
              <w:pStyle w:val="59"/>
              <w:spacing w:line="440" w:lineRule="exact"/>
              <w:ind w:firstLine="480"/>
              <w:rPr>
                <w:rFonts w:cs="Times New Roman" w:eastAsiaTheme="minorEastAsia"/>
                <w:color w:val="auto"/>
              </w:rPr>
            </w:pPr>
            <w:r>
              <w:rPr>
                <w:rFonts w:hint="eastAsia" w:cs="Times New Roman" w:eastAsiaTheme="minorEastAsia"/>
                <w:color w:val="auto"/>
              </w:rPr>
              <w:t>寿命的结束：设备</w:t>
            </w:r>
            <w:r>
              <w:rPr>
                <w:rFonts w:cs="Times New Roman" w:eastAsiaTheme="minorEastAsia"/>
                <w:color w:val="auto"/>
              </w:rPr>
              <w:t>/</w:t>
            </w:r>
            <w:r>
              <w:rPr>
                <w:rFonts w:hint="eastAsia" w:cs="Times New Roman" w:eastAsiaTheme="minorEastAsia"/>
                <w:color w:val="auto"/>
              </w:rPr>
              <w:t>附件的使用寿命和贮藏寿命导致设备</w:t>
            </w:r>
            <w:r>
              <w:rPr>
                <w:rFonts w:cs="Times New Roman" w:eastAsiaTheme="minorEastAsia"/>
                <w:color w:val="auto"/>
              </w:rPr>
              <w:t>/</w:t>
            </w:r>
            <w:r>
              <w:rPr>
                <w:rFonts w:hint="eastAsia" w:cs="Times New Roman" w:eastAsiaTheme="minorEastAsia"/>
                <w:color w:val="auto"/>
              </w:rPr>
              <w:t>附件超期非正常使用而致使稳定性等性能指标降低，安全性能出现隐患；等等。</w:t>
            </w:r>
          </w:p>
        </w:tc>
      </w:tr>
      <w:tr w14:paraId="07F3F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blHeader/>
          <w:jc w:val="center"/>
        </w:trPr>
        <w:tc>
          <w:tcPr>
            <w:tcW w:w="2175" w:type="dxa"/>
            <w:tcBorders>
              <w:top w:val="single" w:color="auto" w:sz="4" w:space="0"/>
              <w:left w:val="single" w:color="auto" w:sz="4" w:space="0"/>
              <w:bottom w:val="single" w:color="auto" w:sz="4" w:space="0"/>
              <w:right w:val="single" w:color="auto" w:sz="4" w:space="0"/>
            </w:tcBorders>
            <w:vAlign w:val="center"/>
          </w:tcPr>
          <w:p w14:paraId="44967A0C">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制造过程</w:t>
            </w:r>
          </w:p>
        </w:tc>
        <w:tc>
          <w:tcPr>
            <w:tcW w:w="7365" w:type="dxa"/>
            <w:tcBorders>
              <w:top w:val="single" w:color="auto" w:sz="4" w:space="0"/>
              <w:left w:val="single" w:color="auto" w:sz="4" w:space="0"/>
              <w:bottom w:val="single" w:color="auto" w:sz="4" w:space="0"/>
              <w:right w:val="single" w:color="auto" w:sz="4" w:space="0"/>
            </w:tcBorders>
            <w:vAlign w:val="center"/>
          </w:tcPr>
          <w:p w14:paraId="4E369E19">
            <w:pPr>
              <w:pStyle w:val="59"/>
              <w:spacing w:line="440" w:lineRule="exact"/>
              <w:ind w:firstLine="480"/>
              <w:rPr>
                <w:rFonts w:cs="Times New Roman" w:eastAsiaTheme="minorEastAsia"/>
                <w:color w:val="auto"/>
              </w:rPr>
            </w:pPr>
            <w:r>
              <w:rPr>
                <w:rFonts w:hint="eastAsia" w:cs="Times New Roman" w:eastAsiaTheme="minorEastAsia"/>
                <w:color w:val="auto"/>
              </w:rPr>
              <w:t>制造过程更改的控制不充分：控制程序修改未经验证，导致设备性能参数指标不符合标准要求；等等。</w:t>
            </w:r>
          </w:p>
          <w:p w14:paraId="2A7D56B7">
            <w:pPr>
              <w:pStyle w:val="59"/>
              <w:spacing w:line="440" w:lineRule="exact"/>
              <w:ind w:firstLine="480"/>
              <w:rPr>
                <w:rFonts w:cs="Times New Roman" w:eastAsiaTheme="minorEastAsia"/>
                <w:color w:val="auto"/>
              </w:rPr>
            </w:pPr>
            <w:r>
              <w:rPr>
                <w:rFonts w:hint="eastAsia" w:cs="Times New Roman" w:eastAsiaTheme="minorEastAsia"/>
                <w:color w:val="auto"/>
              </w:rPr>
              <w:t>制造过程的控制不充分：生产过程关键工序控制点未进行监测，导致部件或整机不合格；等等</w:t>
            </w:r>
          </w:p>
          <w:p w14:paraId="780EFB44">
            <w:pPr>
              <w:pStyle w:val="59"/>
              <w:spacing w:line="440" w:lineRule="exact"/>
              <w:ind w:firstLine="480"/>
              <w:rPr>
                <w:rFonts w:cs="Times New Roman" w:eastAsiaTheme="minorEastAsia"/>
                <w:color w:val="auto"/>
              </w:rPr>
            </w:pPr>
            <w:r>
              <w:rPr>
                <w:rFonts w:hint="eastAsia" w:cs="Times New Roman" w:eastAsiaTheme="minorEastAsia"/>
                <w:color w:val="auto"/>
              </w:rPr>
              <w:t>供方的控制不充分：外购、外协件供方选择不当，外购、外协件未进行有效进货检验，导致不合格外购、外协件投入生产；等等。</w:t>
            </w:r>
          </w:p>
        </w:tc>
      </w:tr>
      <w:tr w14:paraId="46062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tblHeader/>
          <w:jc w:val="center"/>
        </w:trPr>
        <w:tc>
          <w:tcPr>
            <w:tcW w:w="2175" w:type="dxa"/>
            <w:tcBorders>
              <w:top w:val="single" w:color="auto" w:sz="4" w:space="0"/>
              <w:left w:val="single" w:color="auto" w:sz="4" w:space="0"/>
              <w:bottom w:val="single" w:color="auto" w:sz="4" w:space="0"/>
              <w:right w:val="single" w:color="auto" w:sz="4" w:space="0"/>
            </w:tcBorders>
            <w:vAlign w:val="center"/>
          </w:tcPr>
          <w:p w14:paraId="5FF66AEE">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运输和贮藏</w:t>
            </w:r>
          </w:p>
        </w:tc>
        <w:tc>
          <w:tcPr>
            <w:tcW w:w="7365" w:type="dxa"/>
            <w:tcBorders>
              <w:top w:val="single" w:color="auto" w:sz="4" w:space="0"/>
              <w:left w:val="single" w:color="auto" w:sz="4" w:space="0"/>
              <w:bottom w:val="single" w:color="auto" w:sz="4" w:space="0"/>
              <w:right w:val="single" w:color="auto" w:sz="4" w:space="0"/>
            </w:tcBorders>
            <w:vAlign w:val="center"/>
          </w:tcPr>
          <w:p w14:paraId="4B186A5E">
            <w:pPr>
              <w:pStyle w:val="59"/>
              <w:spacing w:line="440" w:lineRule="exact"/>
              <w:ind w:firstLine="480"/>
              <w:rPr>
                <w:rFonts w:cs="Times New Roman" w:eastAsiaTheme="minorEastAsia"/>
                <w:color w:val="auto"/>
              </w:rPr>
            </w:pPr>
            <w:r>
              <w:rPr>
                <w:rFonts w:hint="eastAsia" w:cs="Times New Roman" w:eastAsiaTheme="minorEastAsia"/>
                <w:color w:val="auto"/>
              </w:rPr>
              <w:t>不恰当的包装：产品防护不当导致设备运输过程中损坏；等等。</w:t>
            </w:r>
          </w:p>
          <w:p w14:paraId="666C73F1">
            <w:pPr>
              <w:pStyle w:val="59"/>
              <w:spacing w:line="440" w:lineRule="exact"/>
              <w:ind w:firstLine="480"/>
              <w:rPr>
                <w:rFonts w:cs="Times New Roman" w:eastAsiaTheme="minorEastAsia"/>
                <w:color w:val="auto"/>
              </w:rPr>
            </w:pPr>
            <w:r>
              <w:rPr>
                <w:rFonts w:hint="eastAsia" w:cs="Times New Roman" w:eastAsiaTheme="minorEastAsia"/>
                <w:color w:val="auto"/>
              </w:rPr>
              <w:t>不适当的环境条件：在超出设备规定的贮藏环境（温度、湿度、大气压力）贮藏设备，导致设备不能正常工作；等等。</w:t>
            </w:r>
          </w:p>
        </w:tc>
      </w:tr>
      <w:tr w14:paraId="7A9273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blHeader/>
          <w:jc w:val="center"/>
        </w:trPr>
        <w:tc>
          <w:tcPr>
            <w:tcW w:w="2175" w:type="dxa"/>
            <w:tcBorders>
              <w:top w:val="single" w:color="auto" w:sz="4" w:space="0"/>
              <w:left w:val="single" w:color="auto" w:sz="4" w:space="0"/>
              <w:bottom w:val="single" w:color="auto" w:sz="4" w:space="0"/>
              <w:right w:val="single" w:color="auto" w:sz="4" w:space="0"/>
            </w:tcBorders>
            <w:vAlign w:val="center"/>
          </w:tcPr>
          <w:p w14:paraId="68E1D78C">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环境因素</w:t>
            </w:r>
          </w:p>
        </w:tc>
        <w:tc>
          <w:tcPr>
            <w:tcW w:w="7365" w:type="dxa"/>
            <w:tcBorders>
              <w:top w:val="single" w:color="auto" w:sz="4" w:space="0"/>
              <w:left w:val="single" w:color="auto" w:sz="4" w:space="0"/>
              <w:bottom w:val="single" w:color="auto" w:sz="4" w:space="0"/>
              <w:right w:val="single" w:color="auto" w:sz="4" w:space="0"/>
            </w:tcBorders>
            <w:vAlign w:val="center"/>
          </w:tcPr>
          <w:p w14:paraId="2D169322">
            <w:pPr>
              <w:pStyle w:val="59"/>
              <w:spacing w:line="440" w:lineRule="exact"/>
              <w:ind w:firstLine="480"/>
              <w:rPr>
                <w:rFonts w:cs="Times New Roman" w:eastAsiaTheme="minorEastAsia"/>
                <w:color w:val="auto"/>
              </w:rPr>
            </w:pPr>
            <w:r>
              <w:rPr>
                <w:rFonts w:hint="eastAsia" w:cs="Times New Roman" w:eastAsiaTheme="minorEastAsia"/>
                <w:color w:val="auto"/>
              </w:rPr>
              <w:t>物理学的（如热、压力、时间）：过热</w:t>
            </w:r>
            <w:r>
              <w:rPr>
                <w:rFonts w:cs="Times New Roman" w:eastAsiaTheme="minorEastAsia"/>
                <w:color w:val="auto"/>
              </w:rPr>
              <w:t>/</w:t>
            </w:r>
            <w:r>
              <w:rPr>
                <w:rFonts w:hint="eastAsia" w:cs="Times New Roman" w:eastAsiaTheme="minorEastAsia"/>
                <w:color w:val="auto"/>
              </w:rPr>
              <w:t>冷环境可能导致设备不能正常工作；等等。</w:t>
            </w:r>
          </w:p>
          <w:p w14:paraId="1F6CAD0F">
            <w:pPr>
              <w:pStyle w:val="59"/>
              <w:spacing w:line="440" w:lineRule="exact"/>
              <w:ind w:firstLine="480"/>
              <w:rPr>
                <w:rFonts w:cs="Times New Roman" w:eastAsiaTheme="minorEastAsia"/>
                <w:color w:val="auto"/>
              </w:rPr>
            </w:pPr>
            <w:r>
              <w:rPr>
                <w:rFonts w:hint="eastAsia" w:cs="Times New Roman" w:eastAsiaTheme="minorEastAsia"/>
                <w:color w:val="auto"/>
              </w:rPr>
              <w:t>化学的（如腐蚀、降解、污染）：强酸强碱清洗、消毒和灭菌溶液导致设备</w:t>
            </w:r>
            <w:r>
              <w:rPr>
                <w:rFonts w:cs="Times New Roman" w:eastAsiaTheme="minorEastAsia"/>
                <w:color w:val="auto"/>
              </w:rPr>
              <w:t>/</w:t>
            </w:r>
            <w:r>
              <w:rPr>
                <w:rFonts w:hint="eastAsia" w:cs="Times New Roman" w:eastAsiaTheme="minorEastAsia"/>
                <w:color w:val="auto"/>
              </w:rPr>
              <w:t>种植手术用器械损害；非预期使用于有麻醉剂的环境中，可能因为电气连接、设备结构、静电预防不良等引起混合气体爆炸；等等。</w:t>
            </w:r>
          </w:p>
          <w:p w14:paraId="0F2B350F">
            <w:pPr>
              <w:pStyle w:val="59"/>
              <w:spacing w:line="440" w:lineRule="exact"/>
              <w:ind w:firstLine="480"/>
              <w:rPr>
                <w:rFonts w:cs="Times New Roman" w:eastAsiaTheme="minorEastAsia"/>
                <w:color w:val="auto"/>
              </w:rPr>
            </w:pPr>
            <w:r>
              <w:rPr>
                <w:rFonts w:hint="eastAsia" w:cs="Times New Roman" w:eastAsiaTheme="minorEastAsia"/>
                <w:color w:val="auto"/>
              </w:rPr>
              <w:t>电磁场（如对电磁干扰的敏感度）：抗电磁干扰能力差，特定环境设备工作不正常；</w:t>
            </w:r>
            <w:r>
              <w:rPr>
                <w:rFonts w:cs="Times New Roman" w:eastAsiaTheme="minorEastAsia"/>
                <w:color w:val="auto"/>
              </w:rPr>
              <w:t>A</w:t>
            </w:r>
            <w:r>
              <w:rPr>
                <w:rFonts w:hint="eastAsia" w:cs="Times New Roman" w:eastAsiaTheme="minorEastAsia"/>
                <w:color w:val="auto"/>
              </w:rPr>
              <w:t>类设备在</w:t>
            </w:r>
            <w:r>
              <w:rPr>
                <w:rFonts w:cs="Times New Roman" w:eastAsiaTheme="minorEastAsia"/>
                <w:color w:val="auto"/>
              </w:rPr>
              <w:t xml:space="preserve">B </w:t>
            </w:r>
            <w:r>
              <w:rPr>
                <w:rFonts w:hint="eastAsia" w:cs="Times New Roman" w:eastAsiaTheme="minorEastAsia"/>
                <w:color w:val="auto"/>
              </w:rPr>
              <w:t>类设备的环境中使用会对公共电网产生影响，干扰公共电网中其他用电设备的正常运行；等等。</w:t>
            </w:r>
          </w:p>
          <w:p w14:paraId="6EEC0EC6">
            <w:pPr>
              <w:pStyle w:val="59"/>
              <w:spacing w:line="440" w:lineRule="exact"/>
              <w:ind w:firstLine="480"/>
              <w:rPr>
                <w:rFonts w:cs="Times New Roman" w:eastAsiaTheme="minorEastAsia"/>
                <w:color w:val="auto"/>
              </w:rPr>
            </w:pPr>
            <w:r>
              <w:rPr>
                <w:rFonts w:hint="eastAsia" w:cs="Times New Roman" w:eastAsiaTheme="minorEastAsia"/>
                <w:color w:val="auto"/>
              </w:rPr>
              <w:t>不适当的能量供应：设备的供电电压不稳定，导致设备不能正常工作或损坏；等等。</w:t>
            </w:r>
          </w:p>
        </w:tc>
      </w:tr>
      <w:tr w14:paraId="78992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tblHeader/>
          <w:jc w:val="center"/>
        </w:trPr>
        <w:tc>
          <w:tcPr>
            <w:tcW w:w="2175" w:type="dxa"/>
            <w:tcBorders>
              <w:top w:val="single" w:color="auto" w:sz="4" w:space="0"/>
              <w:left w:val="single" w:color="auto" w:sz="4" w:space="0"/>
              <w:bottom w:val="single" w:color="auto" w:sz="4" w:space="0"/>
              <w:right w:val="single" w:color="auto" w:sz="4" w:space="0"/>
            </w:tcBorders>
            <w:vAlign w:val="center"/>
          </w:tcPr>
          <w:p w14:paraId="0F165E58">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清洁、消毒和灭菌</w:t>
            </w:r>
          </w:p>
        </w:tc>
        <w:tc>
          <w:tcPr>
            <w:tcW w:w="7365" w:type="dxa"/>
            <w:tcBorders>
              <w:top w:val="single" w:color="auto" w:sz="4" w:space="0"/>
              <w:left w:val="single" w:color="auto" w:sz="4" w:space="0"/>
              <w:bottom w:val="single" w:color="auto" w:sz="4" w:space="0"/>
              <w:right w:val="single" w:color="auto" w:sz="4" w:space="0"/>
            </w:tcBorders>
            <w:vAlign w:val="center"/>
          </w:tcPr>
          <w:p w14:paraId="0B209D8C">
            <w:pPr>
              <w:pStyle w:val="59"/>
              <w:spacing w:line="440" w:lineRule="exact"/>
              <w:ind w:firstLine="480"/>
              <w:rPr>
                <w:rFonts w:cs="Times New Roman" w:eastAsiaTheme="minorEastAsia"/>
                <w:color w:val="auto"/>
              </w:rPr>
            </w:pPr>
            <w:r>
              <w:rPr>
                <w:rFonts w:hint="eastAsia" w:cs="Times New Roman" w:eastAsiaTheme="minorEastAsia"/>
                <w:color w:val="auto"/>
              </w:rPr>
              <w:t>未对清洗、消毒、灭菌过程进行确认或确认程序不规范：使用说明书中推荐的对直接或可能接触患者部件，如种植手术用器械、手机或相关部件的清洗、消毒、灭菌方法未经确认，不能对相关部件进行有效清洗、消毒、灭菌；等等。</w:t>
            </w:r>
          </w:p>
          <w:p w14:paraId="5EACE407">
            <w:pPr>
              <w:pStyle w:val="59"/>
              <w:spacing w:line="440" w:lineRule="exact"/>
              <w:ind w:firstLine="480"/>
              <w:rPr>
                <w:rFonts w:cs="Times New Roman" w:eastAsiaTheme="minorEastAsia"/>
                <w:color w:val="auto"/>
              </w:rPr>
            </w:pPr>
            <w:r>
              <w:rPr>
                <w:rFonts w:hint="eastAsia" w:cs="Times New Roman" w:eastAsiaTheme="minorEastAsia"/>
                <w:color w:val="auto"/>
              </w:rPr>
              <w:t>消毒、灭菌执行不恰当：使用者未按要求对种植手术用器械或相关部件进行防护或消毒和</w:t>
            </w:r>
            <w:r>
              <w:rPr>
                <w:rFonts w:cs="Times New Roman" w:eastAsiaTheme="minorEastAsia"/>
                <w:color w:val="auto"/>
              </w:rPr>
              <w:t>/</w:t>
            </w:r>
            <w:r>
              <w:rPr>
                <w:rFonts w:hint="eastAsia" w:cs="Times New Roman" w:eastAsiaTheme="minorEastAsia"/>
                <w:color w:val="auto"/>
              </w:rPr>
              <w:t>或灭菌，导致院内感染；等等。</w:t>
            </w:r>
          </w:p>
        </w:tc>
      </w:tr>
      <w:tr w14:paraId="583A7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6" w:hRule="atLeast"/>
          <w:tblHeader/>
          <w:jc w:val="center"/>
        </w:trPr>
        <w:tc>
          <w:tcPr>
            <w:tcW w:w="2175" w:type="dxa"/>
            <w:tcBorders>
              <w:top w:val="single" w:color="auto" w:sz="4" w:space="0"/>
              <w:left w:val="single" w:color="auto" w:sz="4" w:space="0"/>
              <w:bottom w:val="single" w:color="auto" w:sz="4" w:space="0"/>
              <w:right w:val="single" w:color="auto" w:sz="4" w:space="0"/>
            </w:tcBorders>
            <w:vAlign w:val="center"/>
          </w:tcPr>
          <w:p w14:paraId="726DC36D">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处置和废弃</w:t>
            </w:r>
          </w:p>
        </w:tc>
        <w:tc>
          <w:tcPr>
            <w:tcW w:w="7365" w:type="dxa"/>
            <w:tcBorders>
              <w:top w:val="single" w:color="auto" w:sz="4" w:space="0"/>
              <w:left w:val="single" w:color="auto" w:sz="4" w:space="0"/>
              <w:bottom w:val="single" w:color="auto" w:sz="4" w:space="0"/>
              <w:right w:val="single" w:color="auto" w:sz="4" w:space="0"/>
            </w:tcBorders>
            <w:vAlign w:val="center"/>
          </w:tcPr>
          <w:p w14:paraId="1A22BE86">
            <w:pPr>
              <w:pStyle w:val="59"/>
              <w:spacing w:line="440" w:lineRule="exact"/>
              <w:ind w:firstLine="480"/>
              <w:rPr>
                <w:rFonts w:cs="Times New Roman" w:eastAsiaTheme="minorEastAsia"/>
                <w:color w:val="auto"/>
              </w:rPr>
            </w:pPr>
            <w:r>
              <w:rPr>
                <w:rFonts w:hint="eastAsia" w:cs="Times New Roman" w:eastAsiaTheme="minorEastAsia"/>
                <w:color w:val="auto"/>
              </w:rPr>
              <w:t>没提供信息或提供信息不充分：未在使用说明书中对种植手术用器械的处置和废弃方法进行说明，或信息不充分；未对设备的废弃处置进行提示性说明；等等。</w:t>
            </w:r>
          </w:p>
        </w:tc>
      </w:tr>
      <w:tr w14:paraId="730FC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blHeader/>
          <w:jc w:val="center"/>
        </w:trPr>
        <w:tc>
          <w:tcPr>
            <w:tcW w:w="2175" w:type="dxa"/>
            <w:tcBorders>
              <w:top w:val="single" w:color="auto" w:sz="4" w:space="0"/>
              <w:left w:val="single" w:color="auto" w:sz="4" w:space="0"/>
              <w:bottom w:val="single" w:color="auto" w:sz="4" w:space="0"/>
              <w:right w:val="single" w:color="auto" w:sz="4" w:space="0"/>
            </w:tcBorders>
            <w:shd w:val="clear" w:color="auto" w:fill="auto"/>
            <w:vAlign w:val="center"/>
          </w:tcPr>
          <w:p w14:paraId="4F4D4FA1">
            <w:pPr>
              <w:pStyle w:val="59"/>
              <w:spacing w:line="440" w:lineRule="exact"/>
              <w:ind w:firstLine="600" w:firstLineChars="250"/>
              <w:rPr>
                <w:rFonts w:cs="Times New Roman" w:eastAsiaTheme="minorEastAsia"/>
                <w:color w:val="auto"/>
              </w:rPr>
            </w:pPr>
            <w:r>
              <w:rPr>
                <w:rFonts w:hint="eastAsia" w:cs="Times New Roman" w:eastAsiaTheme="minorEastAsia"/>
                <w:color w:val="auto"/>
              </w:rPr>
              <w:t>材料</w:t>
            </w:r>
          </w:p>
        </w:tc>
        <w:tc>
          <w:tcPr>
            <w:tcW w:w="7365" w:type="dxa"/>
            <w:tcBorders>
              <w:top w:val="single" w:color="auto" w:sz="4" w:space="0"/>
              <w:left w:val="single" w:color="auto" w:sz="4" w:space="0"/>
              <w:bottom w:val="single" w:color="auto" w:sz="4" w:space="0"/>
              <w:right w:val="single" w:color="auto" w:sz="4" w:space="0"/>
            </w:tcBorders>
            <w:shd w:val="clear" w:color="auto" w:fill="auto"/>
            <w:vAlign w:val="center"/>
          </w:tcPr>
          <w:p w14:paraId="7B2FBE60">
            <w:pPr>
              <w:pStyle w:val="59"/>
              <w:spacing w:line="440" w:lineRule="exact"/>
              <w:ind w:firstLine="480"/>
              <w:rPr>
                <w:rFonts w:cs="Times New Roman" w:eastAsiaTheme="minorEastAsia"/>
                <w:color w:val="auto"/>
              </w:rPr>
            </w:pPr>
            <w:r>
              <w:rPr>
                <w:rFonts w:hint="eastAsia" w:cs="Times New Roman" w:eastAsiaTheme="minorEastAsia"/>
                <w:color w:val="auto"/>
              </w:rPr>
              <w:t>生物相容性：与人体接触的牙钻或手机部分选择不当可致过敏等反应；等等。</w:t>
            </w:r>
          </w:p>
        </w:tc>
      </w:tr>
      <w:tr w14:paraId="4FDFA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98" w:hRule="atLeast"/>
          <w:tblHeader/>
          <w:jc w:val="center"/>
        </w:trPr>
        <w:tc>
          <w:tcPr>
            <w:tcW w:w="2175" w:type="dxa"/>
            <w:tcBorders>
              <w:top w:val="single" w:color="auto" w:sz="4" w:space="0"/>
              <w:left w:val="single" w:color="auto" w:sz="4" w:space="0"/>
              <w:right w:val="single" w:color="auto" w:sz="4" w:space="0"/>
            </w:tcBorders>
            <w:vAlign w:val="center"/>
          </w:tcPr>
          <w:p w14:paraId="7516C4A4">
            <w:pPr>
              <w:pStyle w:val="59"/>
              <w:spacing w:line="440" w:lineRule="exact"/>
              <w:ind w:firstLine="480"/>
              <w:rPr>
                <w:rFonts w:cs="Times New Roman" w:eastAsiaTheme="minorEastAsia"/>
                <w:color w:val="auto"/>
              </w:rPr>
            </w:pPr>
            <w:r>
              <w:rPr>
                <w:rFonts w:hint="eastAsia" w:cs="Times New Roman" w:eastAsiaTheme="minorEastAsia"/>
                <w:color w:val="auto"/>
              </w:rPr>
              <w:t>人为因素</w:t>
            </w:r>
          </w:p>
        </w:tc>
        <w:tc>
          <w:tcPr>
            <w:tcW w:w="7365" w:type="dxa"/>
            <w:tcBorders>
              <w:top w:val="single" w:color="auto" w:sz="4" w:space="0"/>
              <w:left w:val="single" w:color="auto" w:sz="4" w:space="0"/>
              <w:right w:val="single" w:color="auto" w:sz="4" w:space="0"/>
            </w:tcBorders>
            <w:vAlign w:val="center"/>
          </w:tcPr>
          <w:p w14:paraId="107D8EFD">
            <w:pPr>
              <w:pStyle w:val="59"/>
              <w:spacing w:line="440" w:lineRule="exact"/>
              <w:ind w:firstLine="480"/>
              <w:rPr>
                <w:rFonts w:cs="Times New Roman" w:eastAsiaTheme="minorEastAsia"/>
                <w:color w:val="auto"/>
              </w:rPr>
            </w:pPr>
            <w:r>
              <w:rPr>
                <w:rFonts w:hint="eastAsia" w:cs="Times New Roman" w:eastAsiaTheme="minorEastAsia"/>
                <w:color w:val="auto"/>
              </w:rPr>
              <w:t>设计缺陷引发可能的使用错误。</w:t>
            </w:r>
          </w:p>
          <w:p w14:paraId="687355E2">
            <w:pPr>
              <w:pStyle w:val="59"/>
              <w:spacing w:line="440" w:lineRule="exact"/>
              <w:ind w:firstLine="480"/>
              <w:rPr>
                <w:rFonts w:cs="Times New Roman" w:eastAsiaTheme="minorEastAsia"/>
                <w:color w:val="auto"/>
              </w:rPr>
            </w:pPr>
            <w:r>
              <w:rPr>
                <w:rFonts w:hint="eastAsia" w:cs="Times New Roman" w:eastAsiaTheme="minorEastAsia"/>
                <w:color w:val="auto"/>
              </w:rPr>
              <w:t>易混淆的或缺少使用说明书：如缺少详细的使用方法、缺少必要的技术参数、缺少必要的警告说明、缺少电路图和元器件清单、缺少运输和贮存环境条件的限制；设备在故障状态（如自停保护功能、变压器过载、断开保护接地线、设备的元器件出现故障）下运行可产生危险警示不足；使用不适当的种植手术用器械；使用前未检查设备工作状态；操作说明过于复杂，不易懂；未说明如何正确维护、保养设备</w:t>
            </w:r>
            <w:r>
              <w:rPr>
                <w:rFonts w:cs="Times New Roman" w:eastAsiaTheme="minorEastAsia"/>
                <w:color w:val="auto"/>
              </w:rPr>
              <w:t>/</w:t>
            </w:r>
            <w:r>
              <w:rPr>
                <w:rFonts w:hint="eastAsia" w:cs="Times New Roman" w:eastAsiaTheme="minorEastAsia"/>
                <w:color w:val="auto"/>
              </w:rPr>
              <w:t>附件；等等。</w:t>
            </w:r>
          </w:p>
          <w:p w14:paraId="3E783E3A">
            <w:pPr>
              <w:pStyle w:val="59"/>
              <w:spacing w:line="440" w:lineRule="exact"/>
              <w:ind w:firstLine="480"/>
              <w:rPr>
                <w:rFonts w:cs="Times New Roman" w:eastAsiaTheme="minorEastAsia"/>
                <w:color w:val="auto"/>
              </w:rPr>
            </w:pPr>
            <w:r>
              <w:rPr>
                <w:rFonts w:hint="eastAsia" w:cs="Times New Roman" w:eastAsiaTheme="minorEastAsia"/>
                <w:color w:val="auto"/>
              </w:rPr>
              <w:t>器械的状态不明确或不清晰：无种植手术用器械的类型显示，输出参数无法分辨；等等。</w:t>
            </w:r>
          </w:p>
          <w:p w14:paraId="0FD48D05">
            <w:pPr>
              <w:pStyle w:val="59"/>
              <w:spacing w:line="440" w:lineRule="exact"/>
              <w:ind w:firstLine="480"/>
              <w:rPr>
                <w:rFonts w:cs="Times New Roman" w:eastAsiaTheme="minorEastAsia"/>
                <w:color w:val="auto"/>
              </w:rPr>
            </w:pPr>
            <w:r>
              <w:rPr>
                <w:rFonts w:hint="eastAsia" w:cs="Times New Roman" w:eastAsiaTheme="minorEastAsia"/>
                <w:color w:val="auto"/>
              </w:rPr>
              <w:t>设置、测量或其他信息的显示不明确或不清晰：设置或测量参数未标示单位；等等。</w:t>
            </w:r>
          </w:p>
          <w:p w14:paraId="1CC35821">
            <w:pPr>
              <w:pStyle w:val="59"/>
              <w:spacing w:line="440" w:lineRule="exact"/>
              <w:ind w:firstLine="480"/>
              <w:rPr>
                <w:rFonts w:cs="Times New Roman" w:eastAsiaTheme="minorEastAsia"/>
                <w:color w:val="auto"/>
              </w:rPr>
            </w:pPr>
            <w:r>
              <w:rPr>
                <w:rFonts w:hint="eastAsia" w:cs="Times New Roman" w:eastAsiaTheme="minorEastAsia"/>
                <w:color w:val="auto"/>
              </w:rPr>
              <w:t>错误显示结果：测量结果显示错误；等等。</w:t>
            </w:r>
          </w:p>
          <w:p w14:paraId="2A79ECA8">
            <w:pPr>
              <w:pStyle w:val="59"/>
              <w:spacing w:line="440" w:lineRule="exact"/>
              <w:ind w:firstLine="480"/>
              <w:rPr>
                <w:rFonts w:cs="Times New Roman" w:eastAsiaTheme="minorEastAsia"/>
                <w:color w:val="auto"/>
              </w:rPr>
            </w:pPr>
            <w:r>
              <w:rPr>
                <w:rFonts w:hint="eastAsia" w:cs="Times New Roman" w:eastAsiaTheme="minorEastAsia"/>
                <w:color w:val="auto"/>
              </w:rPr>
              <w:t>控制与操作不对应，显示信息与实际状态不对应：设备显示工作速度、频率与探头实际工作速度、频率不一致；等等。</w:t>
            </w:r>
          </w:p>
          <w:p w14:paraId="0A5EBFD2">
            <w:pPr>
              <w:pStyle w:val="59"/>
              <w:spacing w:line="440" w:lineRule="exact"/>
              <w:ind w:firstLine="480"/>
              <w:rPr>
                <w:rFonts w:cs="Times New Roman" w:eastAsiaTheme="minorEastAsia"/>
                <w:color w:val="auto"/>
              </w:rPr>
            </w:pPr>
            <w:r>
              <w:rPr>
                <w:rFonts w:hint="eastAsia" w:cs="Times New Roman" w:eastAsiaTheme="minorEastAsia"/>
                <w:color w:val="auto"/>
              </w:rPr>
              <w:t>与已有的器械比较，样式或布局有争议：显示参数与多数同类设备通用的显示参数布局不相同，可能引起参数设置错误；等等。</w:t>
            </w:r>
          </w:p>
          <w:p w14:paraId="0B982CCE">
            <w:pPr>
              <w:pStyle w:val="59"/>
              <w:spacing w:line="440" w:lineRule="exact"/>
              <w:ind w:firstLine="480"/>
              <w:rPr>
                <w:rFonts w:cs="Times New Roman" w:eastAsiaTheme="minorEastAsia"/>
                <w:color w:val="auto"/>
              </w:rPr>
            </w:pPr>
            <w:r>
              <w:rPr>
                <w:rFonts w:hint="eastAsia" w:cs="Times New Roman" w:eastAsiaTheme="minorEastAsia"/>
                <w:color w:val="auto"/>
              </w:rPr>
              <w:t>由缺乏技术的</w:t>
            </w:r>
            <w:r>
              <w:rPr>
                <w:rFonts w:cs="Times New Roman" w:eastAsiaTheme="minorEastAsia"/>
                <w:color w:val="auto"/>
              </w:rPr>
              <w:t>/</w:t>
            </w:r>
            <w:r>
              <w:rPr>
                <w:rFonts w:hint="eastAsia" w:cs="Times New Roman" w:eastAsiaTheme="minorEastAsia"/>
                <w:color w:val="auto"/>
              </w:rPr>
              <w:t>未经培训的人员使用：使用者</w:t>
            </w:r>
            <w:r>
              <w:rPr>
                <w:rFonts w:cs="Times New Roman" w:eastAsiaTheme="minorEastAsia"/>
                <w:color w:val="auto"/>
              </w:rPr>
              <w:t>/</w:t>
            </w:r>
            <w:r>
              <w:rPr>
                <w:rFonts w:hint="eastAsia" w:cs="Times New Roman" w:eastAsiaTheme="minorEastAsia"/>
                <w:color w:val="auto"/>
              </w:rPr>
              <w:t>操作者未经培训或培训不足，不能正确使用和维护、保养设备；等等。</w:t>
            </w:r>
          </w:p>
          <w:p w14:paraId="4EEA7678">
            <w:pPr>
              <w:pStyle w:val="59"/>
              <w:spacing w:line="440" w:lineRule="exact"/>
              <w:ind w:firstLine="480"/>
              <w:rPr>
                <w:rFonts w:cs="Times New Roman" w:eastAsiaTheme="minorEastAsia"/>
                <w:color w:val="auto"/>
              </w:rPr>
            </w:pPr>
            <w:r>
              <w:rPr>
                <w:rFonts w:hint="eastAsia" w:cs="Times New Roman" w:eastAsiaTheme="minorEastAsia"/>
                <w:color w:val="auto"/>
              </w:rPr>
              <w:t>与消耗品</w:t>
            </w:r>
            <w:r>
              <w:rPr>
                <w:rFonts w:cs="Times New Roman" w:eastAsiaTheme="minorEastAsia"/>
                <w:color w:val="auto"/>
              </w:rPr>
              <w:t>/</w:t>
            </w:r>
            <w:r>
              <w:rPr>
                <w:rFonts w:hint="eastAsia" w:cs="Times New Roman" w:eastAsiaTheme="minorEastAsia"/>
                <w:color w:val="auto"/>
              </w:rPr>
              <w:t>附件</w:t>
            </w:r>
            <w:r>
              <w:rPr>
                <w:rFonts w:cs="Times New Roman" w:eastAsiaTheme="minorEastAsia"/>
                <w:color w:val="auto"/>
              </w:rPr>
              <w:t>/</w:t>
            </w:r>
            <w:r>
              <w:rPr>
                <w:rFonts w:hint="eastAsia" w:cs="Times New Roman" w:eastAsiaTheme="minorEastAsia"/>
                <w:color w:val="auto"/>
              </w:rPr>
              <w:t>其他医疗器械的不相容性：未按使用说明书规定使用指定类型和型号的种植手术用器械，致设备损坏或人员伤亡；等等。</w:t>
            </w:r>
          </w:p>
        </w:tc>
      </w:tr>
      <w:tr w14:paraId="77204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blHeader/>
          <w:jc w:val="center"/>
        </w:trPr>
        <w:tc>
          <w:tcPr>
            <w:tcW w:w="2175" w:type="dxa"/>
            <w:tcBorders>
              <w:top w:val="single" w:color="auto" w:sz="4" w:space="0"/>
              <w:left w:val="single" w:color="auto" w:sz="4" w:space="0"/>
              <w:bottom w:val="single" w:color="auto" w:sz="4" w:space="0"/>
              <w:right w:val="single" w:color="auto" w:sz="4" w:space="0"/>
            </w:tcBorders>
            <w:vAlign w:val="center"/>
          </w:tcPr>
          <w:p w14:paraId="78714A70">
            <w:pPr>
              <w:pStyle w:val="59"/>
              <w:spacing w:line="440" w:lineRule="exact"/>
              <w:ind w:firstLine="0" w:firstLineChars="0"/>
              <w:jc w:val="center"/>
              <w:rPr>
                <w:rFonts w:cs="Times New Roman" w:eastAsiaTheme="minorEastAsia"/>
                <w:color w:val="auto"/>
              </w:rPr>
            </w:pPr>
            <w:r>
              <w:rPr>
                <w:rFonts w:hint="eastAsia" w:cs="Times New Roman" w:eastAsiaTheme="minorEastAsia"/>
                <w:color w:val="auto"/>
              </w:rPr>
              <w:t>失效模式</w:t>
            </w:r>
          </w:p>
        </w:tc>
        <w:tc>
          <w:tcPr>
            <w:tcW w:w="7365" w:type="dxa"/>
            <w:tcBorders>
              <w:top w:val="single" w:color="auto" w:sz="4" w:space="0"/>
              <w:left w:val="single" w:color="auto" w:sz="4" w:space="0"/>
              <w:bottom w:val="single" w:color="auto" w:sz="4" w:space="0"/>
              <w:right w:val="single" w:color="auto" w:sz="4" w:space="0"/>
            </w:tcBorders>
            <w:vAlign w:val="center"/>
          </w:tcPr>
          <w:p w14:paraId="05C17DAA">
            <w:pPr>
              <w:pStyle w:val="59"/>
              <w:spacing w:line="440" w:lineRule="exact"/>
              <w:ind w:firstLine="480"/>
              <w:rPr>
                <w:rFonts w:cs="Times New Roman" w:eastAsiaTheme="minorEastAsia"/>
                <w:color w:val="auto"/>
              </w:rPr>
            </w:pPr>
            <w:r>
              <w:rPr>
                <w:rFonts w:hint="eastAsia" w:cs="Times New Roman" w:eastAsiaTheme="minorEastAsia"/>
                <w:color w:val="auto"/>
              </w:rPr>
              <w:t>由于老化、磨损和重复使用而致功能退化：种植手术用器械由于反复消毒和灭菌、使用磨损等原因刃口老化、破损致患者伤害；等等。</w:t>
            </w:r>
          </w:p>
        </w:tc>
      </w:tr>
    </w:tbl>
    <w:p w14:paraId="199DECF3">
      <w:pPr>
        <w:spacing w:line="440" w:lineRule="exact"/>
        <w:jc w:val="center"/>
        <w:rPr>
          <w:rFonts w:ascii="Times New Roman" w:hAnsi="Times New Roman" w:cs="Times New Roman" w:eastAsiaTheme="minorEastAsia"/>
          <w:sz w:val="28"/>
          <w:szCs w:val="28"/>
        </w:rPr>
      </w:pPr>
      <w:r>
        <w:rPr>
          <w:rFonts w:ascii="Times New Roman" w:hAnsi="Times New Roman" w:cs="Times New Roman" w:eastAsiaTheme="minorEastAsia"/>
          <w:sz w:val="28"/>
          <w:szCs w:val="28"/>
        </w:rPr>
        <w:br w:type="page"/>
      </w:r>
    </w:p>
    <w:p w14:paraId="6155D395">
      <w:pPr>
        <w:spacing w:line="52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表</w:t>
      </w:r>
      <w:r>
        <w:rPr>
          <w:rFonts w:ascii="Times New Roman" w:hAnsi="Times New Roman" w:eastAsia="黑体" w:cs="Times New Roman"/>
          <w:sz w:val="28"/>
          <w:szCs w:val="28"/>
        </w:rPr>
        <w:t xml:space="preserve">2  </w:t>
      </w:r>
      <w:r>
        <w:rPr>
          <w:rFonts w:hint="eastAsia" w:ascii="Times New Roman" w:hAnsi="Times New Roman" w:eastAsia="黑体" w:cs="Times New Roman"/>
          <w:sz w:val="28"/>
          <w:szCs w:val="28"/>
        </w:rPr>
        <w:t>部分危害、可预见的事件序列、危害处境</w:t>
      </w:r>
    </w:p>
    <w:p w14:paraId="70C9D74A">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和可发生的损害之间的关系</w:t>
      </w:r>
    </w:p>
    <w:tbl>
      <w:tblPr>
        <w:tblStyle w:val="18"/>
        <w:tblW w:w="954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20"/>
        <w:gridCol w:w="3076"/>
        <w:gridCol w:w="2864"/>
        <w:gridCol w:w="1980"/>
      </w:tblGrid>
      <w:tr w14:paraId="4DEA60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20" w:type="dxa"/>
          </w:tcPr>
          <w:p w14:paraId="0AFACBE6">
            <w:pPr>
              <w:spacing w:line="440" w:lineRule="exact"/>
              <w:ind w:firstLine="360"/>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危害</w:t>
            </w:r>
          </w:p>
        </w:tc>
        <w:tc>
          <w:tcPr>
            <w:tcW w:w="3076" w:type="dxa"/>
          </w:tcPr>
          <w:p w14:paraId="7B786378">
            <w:pPr>
              <w:spacing w:line="440" w:lineRule="exact"/>
              <w:ind w:firstLine="360"/>
              <w:rPr>
                <w:rFonts w:ascii="Times New Roman" w:hAnsi="Times New Roman" w:eastAsia="黑体" w:cs="Times New Roman"/>
                <w:sz w:val="24"/>
                <w:szCs w:val="24"/>
              </w:rPr>
            </w:pPr>
            <w:r>
              <w:rPr>
                <w:rFonts w:hint="eastAsia" w:ascii="Times New Roman" w:hAnsi="Times New Roman" w:eastAsia="黑体" w:cs="Times New Roman"/>
                <w:sz w:val="24"/>
                <w:szCs w:val="24"/>
              </w:rPr>
              <w:t>可预见的事件序列</w:t>
            </w:r>
          </w:p>
        </w:tc>
        <w:tc>
          <w:tcPr>
            <w:tcW w:w="2864" w:type="dxa"/>
          </w:tcPr>
          <w:p w14:paraId="49C21FD0">
            <w:pPr>
              <w:spacing w:line="440" w:lineRule="exact"/>
              <w:ind w:firstLine="120" w:firstLineChars="50"/>
              <w:rPr>
                <w:rFonts w:ascii="Times New Roman" w:hAnsi="Times New Roman" w:eastAsia="黑体" w:cs="Times New Roman"/>
                <w:sz w:val="24"/>
                <w:szCs w:val="24"/>
              </w:rPr>
            </w:pPr>
            <w:r>
              <w:rPr>
                <w:rFonts w:hint="eastAsia" w:ascii="Times New Roman" w:hAnsi="Times New Roman" w:eastAsia="黑体" w:cs="Times New Roman"/>
                <w:sz w:val="24"/>
                <w:szCs w:val="24"/>
              </w:rPr>
              <w:t>危害处境</w:t>
            </w:r>
          </w:p>
        </w:tc>
        <w:tc>
          <w:tcPr>
            <w:tcW w:w="1980" w:type="dxa"/>
          </w:tcPr>
          <w:p w14:paraId="4AAFAA0E">
            <w:pPr>
              <w:spacing w:line="440" w:lineRule="exact"/>
              <w:ind w:firstLine="480" w:firstLineChars="200"/>
              <w:rPr>
                <w:rFonts w:ascii="Times New Roman" w:hAnsi="Times New Roman" w:eastAsia="黑体" w:cs="Times New Roman"/>
                <w:sz w:val="24"/>
                <w:szCs w:val="24"/>
              </w:rPr>
            </w:pPr>
            <w:r>
              <w:rPr>
                <w:rFonts w:hint="eastAsia" w:ascii="Times New Roman" w:hAnsi="Times New Roman" w:eastAsia="黑体" w:cs="Times New Roman"/>
                <w:sz w:val="24"/>
                <w:szCs w:val="24"/>
              </w:rPr>
              <w:t>损害</w:t>
            </w:r>
          </w:p>
        </w:tc>
      </w:tr>
      <w:tr w14:paraId="5A3A43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 w:hRule="atLeast"/>
          <w:jc w:val="center"/>
        </w:trPr>
        <w:tc>
          <w:tcPr>
            <w:tcW w:w="1620" w:type="dxa"/>
            <w:vAlign w:val="center"/>
          </w:tcPr>
          <w:p w14:paraId="0D97AE4F">
            <w:pPr>
              <w:spacing w:line="440" w:lineRule="exac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电磁能（电磁干扰）</w:t>
            </w:r>
          </w:p>
        </w:tc>
        <w:tc>
          <w:tcPr>
            <w:tcW w:w="3076" w:type="dxa"/>
          </w:tcPr>
          <w:p w14:paraId="6B7ACDAD">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）手术室内其他设备对骨组织手术设备电磁干扰导致电控部件非控制启动、运转；</w:t>
            </w:r>
          </w:p>
          <w:p w14:paraId="3CE623A7">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）牙科种植机干扰其他手术设备的正常工作。</w:t>
            </w:r>
          </w:p>
        </w:tc>
        <w:tc>
          <w:tcPr>
            <w:tcW w:w="2864" w:type="dxa"/>
          </w:tcPr>
          <w:p w14:paraId="57BB2950">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）设备活动部件意外运动；设置参数自行改变；</w:t>
            </w:r>
          </w:p>
          <w:p w14:paraId="6D9E2AC1">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）其他同时使用的监护或生命维持系统无法正常工作。</w:t>
            </w:r>
          </w:p>
        </w:tc>
        <w:tc>
          <w:tcPr>
            <w:tcW w:w="1980" w:type="dxa"/>
          </w:tcPr>
          <w:p w14:paraId="67EACF42">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）患者机械损伤、死亡；</w:t>
            </w:r>
          </w:p>
          <w:p w14:paraId="03535D0D">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）间接导致患者死亡。</w:t>
            </w:r>
          </w:p>
        </w:tc>
      </w:tr>
      <w:tr w14:paraId="2C30A8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20" w:type="dxa"/>
            <w:vAlign w:val="center"/>
          </w:tcPr>
          <w:p w14:paraId="3D7ED97F">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电能</w:t>
            </w:r>
          </w:p>
        </w:tc>
        <w:tc>
          <w:tcPr>
            <w:tcW w:w="3076" w:type="dxa"/>
          </w:tcPr>
          <w:p w14:paraId="77EBFC29">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）出厂产品质量控制不严。</w:t>
            </w:r>
          </w:p>
        </w:tc>
        <w:tc>
          <w:tcPr>
            <w:tcW w:w="2864" w:type="dxa"/>
          </w:tcPr>
          <w:p w14:paraId="6DE91536">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）应用部分漏电流超过标准要求；</w:t>
            </w:r>
          </w:p>
          <w:p w14:paraId="5CB7BE82">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）绝缘失效。</w:t>
            </w:r>
          </w:p>
        </w:tc>
        <w:tc>
          <w:tcPr>
            <w:tcW w:w="1980" w:type="dxa"/>
          </w:tcPr>
          <w:p w14:paraId="464B297F">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患者电击损伤、死亡；</w:t>
            </w:r>
          </w:p>
        </w:tc>
      </w:tr>
      <w:tr w14:paraId="63446E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20" w:type="dxa"/>
            <w:vMerge w:val="restart"/>
            <w:vAlign w:val="center"/>
          </w:tcPr>
          <w:p w14:paraId="6228A8A9">
            <w:pPr>
              <w:spacing w:line="440" w:lineRule="exac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机械力伤害</w:t>
            </w:r>
          </w:p>
        </w:tc>
        <w:tc>
          <w:tcPr>
            <w:tcW w:w="3076" w:type="dxa"/>
          </w:tcPr>
          <w:p w14:paraId="0D9EFE9A">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）运动部件防脱、防裂功能失效；</w:t>
            </w:r>
          </w:p>
          <w:p w14:paraId="6C1F479B">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）机械伤害自停防护功能缺失或防护功能失效。</w:t>
            </w:r>
          </w:p>
          <w:p w14:paraId="482CE580">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）运动部件（底座解锁脚踏开关位置不合理）</w:t>
            </w:r>
          </w:p>
        </w:tc>
        <w:tc>
          <w:tcPr>
            <w:tcW w:w="2864" w:type="dxa"/>
          </w:tcPr>
          <w:p w14:paraId="5F35E0C5">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应用部分不受控运动。</w:t>
            </w:r>
          </w:p>
        </w:tc>
        <w:tc>
          <w:tcPr>
            <w:tcW w:w="1980" w:type="dxa"/>
          </w:tcPr>
          <w:p w14:paraId="3760D90F">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患者机械损伤或死亡。</w:t>
            </w:r>
          </w:p>
        </w:tc>
      </w:tr>
      <w:tr w14:paraId="08D2B2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20" w:type="dxa"/>
            <w:vMerge w:val="continue"/>
            <w:vAlign w:val="center"/>
          </w:tcPr>
          <w:p w14:paraId="33CA2AE5">
            <w:pPr>
              <w:keepNext/>
              <w:keepLines/>
              <w:spacing w:before="260" w:after="260" w:line="440" w:lineRule="exact"/>
              <w:ind w:firstLine="360"/>
              <w:rPr>
                <w:rFonts w:ascii="Times New Roman" w:hAnsi="Times New Roman" w:cs="Times New Roman" w:eastAsiaTheme="minorEastAsia"/>
                <w:strike/>
                <w:sz w:val="24"/>
                <w:szCs w:val="24"/>
              </w:rPr>
            </w:pPr>
          </w:p>
        </w:tc>
        <w:tc>
          <w:tcPr>
            <w:tcW w:w="3076" w:type="dxa"/>
          </w:tcPr>
          <w:p w14:paraId="06BF85E9">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）意外的踩踏；</w:t>
            </w:r>
          </w:p>
          <w:p w14:paraId="72AB792E">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）地板刹车锁定装置解锁。</w:t>
            </w:r>
          </w:p>
        </w:tc>
        <w:tc>
          <w:tcPr>
            <w:tcW w:w="2864" w:type="dxa"/>
          </w:tcPr>
          <w:p w14:paraId="6A70C253">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牙科种植机非预期性移动。</w:t>
            </w:r>
          </w:p>
        </w:tc>
        <w:tc>
          <w:tcPr>
            <w:tcW w:w="1980" w:type="dxa"/>
          </w:tcPr>
          <w:p w14:paraId="12D4FA33">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操作者操作失误导致患者损伤、病情加重。</w:t>
            </w:r>
          </w:p>
        </w:tc>
      </w:tr>
      <w:tr w14:paraId="0994B6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20" w:type="dxa"/>
            <w:vAlign w:val="center"/>
          </w:tcPr>
          <w:p w14:paraId="3154825F">
            <w:pPr>
              <w:spacing w:line="440" w:lineRule="exac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功能的丧失或损坏（手机、种植手术用器械）</w:t>
            </w:r>
          </w:p>
        </w:tc>
        <w:tc>
          <w:tcPr>
            <w:tcW w:w="3076" w:type="dxa"/>
          </w:tcPr>
          <w:p w14:paraId="273F1E8B">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）运动部件长期使用的磨损；</w:t>
            </w:r>
          </w:p>
          <w:p w14:paraId="3A8EC637">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）制造时不合格。</w:t>
            </w:r>
          </w:p>
        </w:tc>
        <w:tc>
          <w:tcPr>
            <w:tcW w:w="2864" w:type="dxa"/>
          </w:tcPr>
          <w:p w14:paraId="069E904E">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）防脱、防裂功能失效，种植手术用器械飞脱或断裂；</w:t>
            </w:r>
          </w:p>
          <w:p w14:paraId="32BC0876">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）刃口老化、破损。</w:t>
            </w:r>
          </w:p>
        </w:tc>
        <w:tc>
          <w:tcPr>
            <w:tcW w:w="1980" w:type="dxa"/>
          </w:tcPr>
          <w:p w14:paraId="4294E9A0">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患者受损、病情加重、死亡。</w:t>
            </w:r>
          </w:p>
        </w:tc>
      </w:tr>
      <w:tr w14:paraId="6AC812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20" w:type="dxa"/>
            <w:vAlign w:val="center"/>
          </w:tcPr>
          <w:p w14:paraId="3988DB6E">
            <w:pPr>
              <w:spacing w:line="440" w:lineRule="exac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操作（控制器误操作）</w:t>
            </w:r>
          </w:p>
        </w:tc>
        <w:tc>
          <w:tcPr>
            <w:tcW w:w="3076" w:type="dxa"/>
          </w:tcPr>
          <w:p w14:paraId="5D9A0B36">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）未放置在指定位置；</w:t>
            </w:r>
          </w:p>
          <w:p w14:paraId="53B0C3B8">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）误接触脚踏控制器功能键。</w:t>
            </w:r>
          </w:p>
        </w:tc>
        <w:tc>
          <w:tcPr>
            <w:tcW w:w="2864" w:type="dxa"/>
          </w:tcPr>
          <w:p w14:paraId="47CC0FF6">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设备活动部分意外运动。</w:t>
            </w:r>
          </w:p>
        </w:tc>
        <w:tc>
          <w:tcPr>
            <w:tcW w:w="1980" w:type="dxa"/>
          </w:tcPr>
          <w:p w14:paraId="7897D404">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患者受损、病情加重、死亡。</w:t>
            </w:r>
          </w:p>
        </w:tc>
      </w:tr>
      <w:tr w14:paraId="464D2F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20" w:type="dxa"/>
            <w:vAlign w:val="center"/>
          </w:tcPr>
          <w:p w14:paraId="415E8E1B">
            <w:pPr>
              <w:spacing w:line="440" w:lineRule="exac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不完整的使用说明书（附件安装）</w:t>
            </w:r>
          </w:p>
        </w:tc>
        <w:tc>
          <w:tcPr>
            <w:tcW w:w="3076" w:type="dxa"/>
          </w:tcPr>
          <w:p w14:paraId="3B05F78E">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）使用说明书未对部件</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配件使用作出详细说明；</w:t>
            </w:r>
          </w:p>
          <w:p w14:paraId="55071B34">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）使用说明书未对部件安装作出说明；</w:t>
            </w:r>
          </w:p>
          <w:p w14:paraId="6B74D48C">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）使用说明书未对部件承载能力作出说明；</w:t>
            </w:r>
          </w:p>
          <w:p w14:paraId="66300F94">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4</w:t>
            </w:r>
            <w:r>
              <w:rPr>
                <w:rFonts w:hint="eastAsia" w:ascii="Times New Roman" w:hAnsi="Times New Roman" w:cs="Times New Roman" w:eastAsiaTheme="minorEastAsia"/>
                <w:sz w:val="24"/>
                <w:szCs w:val="24"/>
              </w:rPr>
              <w:t>）错误的部件安装说明。</w:t>
            </w:r>
          </w:p>
        </w:tc>
        <w:tc>
          <w:tcPr>
            <w:tcW w:w="2864" w:type="dxa"/>
          </w:tcPr>
          <w:p w14:paraId="76CADC9C">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部件安装不正确，松动、不能正确实现预期的功能、运动部件断裂。</w:t>
            </w:r>
          </w:p>
        </w:tc>
        <w:tc>
          <w:tcPr>
            <w:tcW w:w="1980" w:type="dxa"/>
          </w:tcPr>
          <w:p w14:paraId="5F603767">
            <w:pPr>
              <w:spacing w:line="440" w:lineRule="exact"/>
              <w:ind w:firstLine="36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器官受损、病情加重、死亡。</w:t>
            </w:r>
          </w:p>
        </w:tc>
      </w:tr>
    </w:tbl>
    <w:p w14:paraId="481AB5AF">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表</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、表</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依据</w:t>
      </w:r>
      <w:r>
        <w:rPr>
          <w:rFonts w:ascii="Times New Roman" w:hAnsi="Times New Roman" w:eastAsia="仿宋_GB2312" w:cs="Times New Roman"/>
          <w:bCs/>
          <w:sz w:val="32"/>
          <w:szCs w:val="32"/>
        </w:rPr>
        <w:t>YY/T 0316</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w:t>
      </w:r>
      <w:r>
        <w:rPr>
          <w:rFonts w:hint="eastAsia" w:ascii="Times New Roman" w:hAnsi="Times New Roman" w:eastAsia="仿宋_GB2312" w:cs="Times New Roman"/>
          <w:bCs/>
          <w:sz w:val="32"/>
          <w:szCs w:val="32"/>
        </w:rPr>
        <w:t>的附录</w:t>
      </w:r>
      <w:r>
        <w:rPr>
          <w:rFonts w:ascii="Times New Roman" w:hAnsi="Times New Roman" w:eastAsia="仿宋_GB2312" w:cs="Times New Roman"/>
          <w:bCs/>
          <w:sz w:val="32"/>
          <w:szCs w:val="32"/>
        </w:rPr>
        <w:t xml:space="preserve">E </w:t>
      </w:r>
      <w:r>
        <w:rPr>
          <w:rFonts w:hint="eastAsia" w:ascii="Times New Roman" w:hAnsi="Times New Roman" w:eastAsia="仿宋_GB2312" w:cs="Times New Roman"/>
          <w:bCs/>
          <w:sz w:val="32"/>
          <w:szCs w:val="32"/>
        </w:rPr>
        <w:t>提示性列举了牙科种植机可能存在危害的初始事件和环境，示例性地给出了危害、可预见的事件序列、危害处境和可发生的损害之间的关系，给审查人员予以提示、参考。</w:t>
      </w:r>
    </w:p>
    <w:p w14:paraId="3BAC54F1">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由于牙科种植机的原理、功能和结构的差异，本章给出的风险要素及其示例是常见的而不是全部的。上述部分只是风险管理过程的组成部分，不是风险管理的全部。注册申请人应按照</w:t>
      </w:r>
      <w:r>
        <w:rPr>
          <w:rFonts w:ascii="Times New Roman" w:hAnsi="Times New Roman" w:eastAsia="仿宋_GB2312" w:cs="Times New Roman"/>
          <w:bCs/>
          <w:sz w:val="32"/>
          <w:szCs w:val="32"/>
        </w:rPr>
        <w:t>YY/T 0316</w:t>
      </w:r>
      <w:r>
        <w:rPr>
          <w:rFonts w:hint="eastAsia" w:ascii="Times New Roman" w:hAnsi="Times New Roman" w:eastAsia="仿宋_GB2312" w:cs="Times New Roman"/>
          <w:sz w:val="32"/>
          <w:szCs w:val="32"/>
        </w:rPr>
        <w:t>《医疗器械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风险管理对医疗器械的应用》</w:t>
      </w:r>
      <w:r>
        <w:rPr>
          <w:rFonts w:hint="eastAsia" w:ascii="Times New Roman" w:hAnsi="Times New Roman" w:eastAsia="仿宋_GB2312" w:cs="Times New Roman"/>
          <w:bCs/>
          <w:sz w:val="32"/>
          <w:szCs w:val="32"/>
        </w:rPr>
        <w:t>中规定的过程和方法，在产品整个生命周期内建立、形成文件和保持一个持续的过程，用以判定与医疗器械有关的危害、估计和评价相关的风险、控制这些风险并监视上述控制的有效性，以充分保证产品的安全和有效。</w:t>
      </w:r>
    </w:p>
    <w:p w14:paraId="2E7A505E">
      <w:pPr>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br w:type="page"/>
      </w:r>
    </w:p>
    <w:p w14:paraId="072C8B77">
      <w:pPr>
        <w:pStyle w:val="2"/>
        <w:spacing w:before="0" w:beforeAutospacing="0" w:after="0" w:afterAutospacing="0" w:line="600" w:lineRule="exact"/>
        <w:jc w:val="both"/>
        <w:rPr>
          <w:rFonts w:ascii="Times New Roman" w:hAnsi="Times New Roman" w:eastAsia="黑体" w:cs="Times New Roman"/>
          <w:b w:val="0"/>
          <w:sz w:val="32"/>
          <w:szCs w:val="32"/>
        </w:rPr>
      </w:pPr>
      <w:bookmarkStart w:id="25" w:name="_Toc468803088"/>
      <w:r>
        <w:rPr>
          <w:rFonts w:ascii="Times New Roman" w:hAnsi="Times New Roman" w:eastAsia="黑体" w:cs="Times New Roman"/>
          <w:b w:val="0"/>
          <w:sz w:val="32"/>
          <w:szCs w:val="32"/>
        </w:rPr>
        <w:t>附录3</w:t>
      </w:r>
    </w:p>
    <w:p w14:paraId="1D5EEA6A">
      <w:pPr>
        <w:pStyle w:val="2"/>
        <w:spacing w:before="0" w:beforeAutospacing="0" w:after="0" w:afterAutospacing="0" w:line="600" w:lineRule="exact"/>
        <w:jc w:val="both"/>
        <w:rPr>
          <w:rFonts w:ascii="Times New Roman" w:hAnsi="Times New Roman" w:eastAsia="黑体" w:cs="Times New Roman"/>
          <w:b w:val="0"/>
          <w:sz w:val="32"/>
          <w:szCs w:val="32"/>
        </w:rPr>
      </w:pPr>
    </w:p>
    <w:p w14:paraId="1F3D7647">
      <w:pPr>
        <w:pStyle w:val="2"/>
        <w:spacing w:before="0" w:beforeAutospacing="0" w:after="0" w:afterAutospacing="0" w:line="600" w:lineRule="exact"/>
        <w:jc w:val="center"/>
        <w:rPr>
          <w:rFonts w:ascii="Times New Roman" w:hAnsi="Times New Roman" w:eastAsia="方正小标宋简体" w:cs="Times New Roman"/>
          <w:b w:val="0"/>
          <w:sz w:val="44"/>
          <w:szCs w:val="44"/>
        </w:rPr>
      </w:pPr>
      <w:r>
        <w:rPr>
          <w:rFonts w:hint="eastAsia" w:ascii="Times New Roman" w:hAnsi="Times New Roman" w:eastAsia="方正小标宋简体" w:cs="Times New Roman"/>
          <w:b w:val="0"/>
          <w:sz w:val="44"/>
          <w:szCs w:val="44"/>
        </w:rPr>
        <w:t>牙科种植用手机技术审查要点</w:t>
      </w:r>
    </w:p>
    <w:bookmarkEnd w:id="25"/>
    <w:p w14:paraId="7629D843">
      <w:pPr>
        <w:spacing w:line="600" w:lineRule="exact"/>
        <w:ind w:firstLine="640" w:firstLineChars="200"/>
        <w:rPr>
          <w:rFonts w:ascii="Times New Roman" w:hAnsi="Times New Roman" w:eastAsia="黑体" w:cs="Times New Roman"/>
          <w:sz w:val="32"/>
          <w:szCs w:val="32"/>
        </w:rPr>
      </w:pPr>
    </w:p>
    <w:p w14:paraId="5A8BDD8E">
      <w:pPr>
        <w:spacing w:line="560" w:lineRule="exact"/>
        <w:ind w:firstLine="640" w:firstLineChars="200"/>
        <w:rPr>
          <w:rFonts w:ascii="Times New Roman" w:hAnsi="Times New Roman" w:eastAsia="黑体" w:cs="Times New Roman"/>
          <w:b/>
          <w:sz w:val="32"/>
          <w:szCs w:val="32"/>
        </w:rPr>
      </w:pPr>
      <w:r>
        <w:rPr>
          <w:rFonts w:hint="eastAsia" w:ascii="Times New Roman" w:hAnsi="Times New Roman" w:eastAsia="黑体" w:cs="Times New Roman"/>
          <w:sz w:val="32"/>
          <w:szCs w:val="32"/>
        </w:rPr>
        <w:t>一、适用范围</w:t>
      </w:r>
    </w:p>
    <w:p w14:paraId="041F427F">
      <w:pPr>
        <w:pStyle w:val="31"/>
        <w:spacing w:line="56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本部分内容仅适用于牙科种植治疗时使用的牙科手机（以下简称为手机）。</w:t>
      </w:r>
    </w:p>
    <w:p w14:paraId="5E7AD17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手机的管理类别为</w:t>
      </w:r>
      <w:r>
        <w:rPr>
          <w:rFonts w:hint="eastAsia" w:ascii="宋体" w:hAnsi="宋体" w:cs="宋体"/>
          <w:sz w:val="32"/>
          <w:szCs w:val="32"/>
        </w:rPr>
        <w:t>Ⅱ</w:t>
      </w:r>
      <w:r>
        <w:rPr>
          <w:rFonts w:hint="eastAsia" w:ascii="Times New Roman" w:hAnsi="Times New Roman" w:eastAsia="仿宋_GB2312" w:cs="Times New Roman"/>
          <w:sz w:val="32"/>
          <w:szCs w:val="32"/>
        </w:rPr>
        <w:t>类，分类编码为</w:t>
      </w:r>
      <w:r>
        <w:rPr>
          <w:rFonts w:ascii="Times New Roman" w:hAnsi="Times New Roman" w:eastAsia="仿宋_GB2312" w:cs="Times New Roman"/>
          <w:sz w:val="32"/>
          <w:szCs w:val="32"/>
        </w:rPr>
        <w:t>6855</w:t>
      </w:r>
      <w:r>
        <w:rPr>
          <w:rFonts w:hint="eastAsia" w:ascii="Times New Roman" w:hAnsi="Times New Roman" w:eastAsia="仿宋_GB2312" w:cs="Times New Roman"/>
          <w:sz w:val="32"/>
          <w:szCs w:val="32"/>
        </w:rPr>
        <w:t>（口腔科设备及器具）。</w:t>
      </w:r>
    </w:p>
    <w:p w14:paraId="1E1ED95E">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二、技术审查要点</w:t>
      </w:r>
    </w:p>
    <w:p w14:paraId="327DDE62">
      <w:pPr>
        <w:pStyle w:val="31"/>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（一）产品名称的要求</w:t>
      </w:r>
    </w:p>
    <w:p w14:paraId="18177187">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若手机中包含牙科弯手机和牙科直手机，应使用“牙科手机”作为注册产品名称；若手机仅为单独的牙科弯手机或牙科直手机，应使用“牙科弯手机”或“牙科直手机”作为注册产品名称。</w:t>
      </w:r>
    </w:p>
    <w:p w14:paraId="2098CABC">
      <w:pPr>
        <w:pStyle w:val="31"/>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（二）产品的适用范围</w:t>
      </w:r>
    </w:p>
    <w:p w14:paraId="3324077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产品适用于牙科种植治疗。</w:t>
      </w:r>
      <w:bookmarkStart w:id="26" w:name="_Toc432580394"/>
    </w:p>
    <w:p w14:paraId="034A52B5">
      <w:pPr>
        <w:pStyle w:val="31"/>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（三）术语</w:t>
      </w:r>
      <w:bookmarkEnd w:id="26"/>
      <w:r>
        <w:rPr>
          <w:rFonts w:hint="eastAsia" w:ascii="Times New Roman" w:hAnsi="Times New Roman" w:eastAsia="楷体_GB2312" w:cs="Times New Roman"/>
          <w:sz w:val="32"/>
          <w:szCs w:val="32"/>
        </w:rPr>
        <w:t>解释</w:t>
      </w:r>
    </w:p>
    <w:p w14:paraId="0F2F893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牙科手机：用于向牙科工具或器具传递（带转换或不带转换）工作所需能量的手持工具。</w:t>
      </w:r>
    </w:p>
    <w:p w14:paraId="4420E01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弯手机：主轴与被夹工具或器具呈角度的牙科手机，其输入轴与输出轴之间具有角度。牙科手机的一种结构方式。</w:t>
      </w:r>
    </w:p>
    <w:p w14:paraId="7588CEE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直手机：用来向器具传递和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或转换旋转运动的手机，其轴与手机主轴相重合。牙科手机的一种结构方式。</w:t>
      </w:r>
    </w:p>
    <w:p w14:paraId="1B97A0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照明方式分为带照明装置式、导光式、无照明式三种方式。</w:t>
      </w:r>
    </w:p>
    <w:p w14:paraId="0CFACF9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）带照明装置式：牙科手机结构中含照明光源。</w:t>
      </w:r>
    </w:p>
    <w:p w14:paraId="0060900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）导光式：牙科手机结构不含照明光源，但结构中含有导光装置。照明光源通过可弯曲的导光纤维束（玻璃或石英）传导外部照明光源提供的光照。该导光装置可射出光束，直接导向所需区域。</w:t>
      </w:r>
    </w:p>
    <w:p w14:paraId="646FE90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）无照明式：牙科手机结构既不含照明光源，又不带导光装置。</w:t>
      </w:r>
    </w:p>
    <w:p w14:paraId="5C7FF017">
      <w:pPr>
        <w:pStyle w:val="31"/>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（四）研究资料</w:t>
      </w:r>
    </w:p>
    <w:p w14:paraId="723072AF">
      <w:pPr>
        <w:pStyle w:val="31"/>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生物相容性评价资料</w:t>
      </w:r>
    </w:p>
    <w:p w14:paraId="2F8B58E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申请者应参照本文中牙科种植机的手机部分的生物相容性评价资料要求，提供手机机头部分的生物相容性评价资料。</w:t>
      </w:r>
    </w:p>
    <w:p w14:paraId="31998C72">
      <w:pPr>
        <w:pStyle w:val="31"/>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灭菌工艺研究资料</w:t>
      </w:r>
    </w:p>
    <w:p w14:paraId="6D5F324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手机须耐受灭菌。申请者应参照本文中牙科种植机的手机部分的灭菌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消毒工艺研究资料要求，提供手机的灭菌工艺研究资料。</w:t>
      </w:r>
    </w:p>
    <w:p w14:paraId="2094F358">
      <w:pPr>
        <w:pStyle w:val="31"/>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（五）注册单元划分的原则</w:t>
      </w:r>
    </w:p>
    <w:p w14:paraId="4368CE7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带照明装置式的手机与无照明式的手机应划分为不同的注册单元；导光式与无照明式的手机可放在同一注册单元。</w:t>
      </w:r>
    </w:p>
    <w:p w14:paraId="34FD2553">
      <w:pPr>
        <w:pStyle w:val="31"/>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（六）检测单元划分的原则</w:t>
      </w:r>
    </w:p>
    <w:p w14:paraId="7B741BD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增速手机和减速手机应划分为不同的检测单元。增速手机应选取齿轮传送比最小的产品作为检测的典型产品，减速手机中应选取齿轮传送比最大的产品作为检测的典型产品。</w:t>
      </w:r>
    </w:p>
    <w:p w14:paraId="38F8761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夹头形式不同的手机应划分为不同的检测单元。</w:t>
      </w:r>
    </w:p>
    <w:p w14:paraId="628F80B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本身不带独立照明装置需由导光装置传导外部照明光源提供的光照的手机和无照明功能的手机可选取前者作为检测的典型产品。</w:t>
      </w:r>
    </w:p>
    <w:p w14:paraId="6C949382">
      <w:pPr>
        <w:pStyle w:val="31"/>
        <w:spacing w:line="56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（七）产品适用的相关标准</w:t>
      </w:r>
    </w:p>
    <w:p w14:paraId="64C044F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如下表格列出手机主要涉及的现行有效的国家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行业标准；如有标准发布或更新，应考虑新版标准的适用性。</w:t>
      </w:r>
    </w:p>
    <w:p w14:paraId="5915AFA1">
      <w:pPr>
        <w:spacing w:line="560" w:lineRule="atLeas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手机相关产品标准</w:t>
      </w:r>
    </w:p>
    <w:tbl>
      <w:tblPr>
        <w:tblStyle w:val="18"/>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6146"/>
      </w:tblGrid>
      <w:tr w14:paraId="44981A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4" w:hRule="atLeast"/>
          <w:jc w:val="center"/>
        </w:trPr>
        <w:tc>
          <w:tcPr>
            <w:tcW w:w="2376" w:type="dxa"/>
          </w:tcPr>
          <w:p w14:paraId="688C8F49">
            <w:pPr>
              <w:spacing w:line="560" w:lineRule="atLeast"/>
              <w:rPr>
                <w:rFonts w:ascii="Times New Roman" w:hAnsi="Times New Roman" w:cs="Times New Roman" w:eastAsiaTheme="minorEastAsia"/>
                <w:sz w:val="24"/>
                <w:szCs w:val="28"/>
              </w:rPr>
            </w:pPr>
            <w:r>
              <w:rPr>
                <w:rFonts w:ascii="Times New Roman" w:hAnsi="Times New Roman" w:cs="Times New Roman" w:eastAsiaTheme="minorEastAsia"/>
                <w:sz w:val="24"/>
                <w:szCs w:val="28"/>
              </w:rPr>
              <w:t>GB 9706.1</w:t>
            </w:r>
            <w:r>
              <w:rPr>
                <w:rFonts w:hint="eastAsia" w:ascii="Times New Roman" w:hAnsi="Times New Roman" w:cs="Times New Roman" w:eastAsiaTheme="minorEastAsia"/>
                <w:sz w:val="24"/>
                <w:szCs w:val="28"/>
              </w:rPr>
              <w:t>—</w:t>
            </w:r>
            <w:r>
              <w:rPr>
                <w:rFonts w:ascii="Times New Roman" w:hAnsi="Times New Roman" w:cs="Times New Roman" w:eastAsiaTheme="minorEastAsia"/>
                <w:sz w:val="24"/>
                <w:szCs w:val="28"/>
              </w:rPr>
              <w:t>2007</w:t>
            </w:r>
          </w:p>
        </w:tc>
        <w:tc>
          <w:tcPr>
            <w:tcW w:w="6146" w:type="dxa"/>
          </w:tcPr>
          <w:p w14:paraId="0B301CD9">
            <w:pPr>
              <w:spacing w:line="560" w:lineRule="atLeast"/>
              <w:rPr>
                <w:rFonts w:ascii="Times New Roman" w:hAnsi="Times New Roman" w:cs="Times New Roman" w:eastAsiaTheme="minorEastAsia"/>
                <w:sz w:val="24"/>
                <w:szCs w:val="28"/>
              </w:rPr>
            </w:pPr>
            <w:r>
              <w:rPr>
                <w:rFonts w:hint="eastAsia" w:ascii="Times New Roman" w:hAnsi="Times New Roman" w:cs="Times New Roman" w:eastAsiaTheme="minorEastAsia"/>
                <w:sz w:val="24"/>
                <w:szCs w:val="28"/>
              </w:rPr>
              <w:t>医用电气设备</w:t>
            </w:r>
            <w:r>
              <w:rPr>
                <w:rFonts w:ascii="Times New Roman" w:hAnsi="Times New Roman" w:cs="Times New Roman" w:eastAsiaTheme="minorEastAsia"/>
                <w:sz w:val="24"/>
                <w:szCs w:val="28"/>
              </w:rPr>
              <w:t xml:space="preserve"> </w:t>
            </w:r>
            <w:r>
              <w:rPr>
                <w:rFonts w:hint="eastAsia" w:ascii="Times New Roman" w:hAnsi="Times New Roman" w:cs="Times New Roman" w:eastAsiaTheme="minorEastAsia"/>
                <w:sz w:val="24"/>
                <w:szCs w:val="28"/>
              </w:rPr>
              <w:t>第</w:t>
            </w:r>
            <w:r>
              <w:rPr>
                <w:rFonts w:ascii="Times New Roman" w:hAnsi="Times New Roman" w:cs="Times New Roman" w:eastAsiaTheme="minorEastAsia"/>
                <w:sz w:val="24"/>
                <w:szCs w:val="28"/>
              </w:rPr>
              <w:t>1</w:t>
            </w:r>
            <w:r>
              <w:rPr>
                <w:rFonts w:hint="eastAsia" w:ascii="Times New Roman" w:hAnsi="Times New Roman" w:cs="Times New Roman" w:eastAsiaTheme="minorEastAsia"/>
                <w:sz w:val="24"/>
                <w:szCs w:val="28"/>
              </w:rPr>
              <w:t>部分：安全通用要求</w:t>
            </w:r>
          </w:p>
        </w:tc>
      </w:tr>
      <w:tr w14:paraId="2CBEE7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 w:hRule="atLeast"/>
          <w:jc w:val="center"/>
        </w:trPr>
        <w:tc>
          <w:tcPr>
            <w:tcW w:w="2376" w:type="dxa"/>
          </w:tcPr>
          <w:p w14:paraId="01694009">
            <w:pPr>
              <w:spacing w:line="560" w:lineRule="atLeast"/>
              <w:rPr>
                <w:rFonts w:ascii="Times New Roman" w:hAnsi="Times New Roman" w:cs="Times New Roman" w:eastAsiaTheme="minorEastAsia"/>
                <w:sz w:val="24"/>
                <w:szCs w:val="28"/>
              </w:rPr>
            </w:pPr>
            <w:r>
              <w:rPr>
                <w:rFonts w:ascii="Times New Roman" w:hAnsi="Times New Roman" w:cs="Times New Roman" w:eastAsiaTheme="minorEastAsia"/>
                <w:sz w:val="24"/>
                <w:szCs w:val="28"/>
              </w:rPr>
              <w:t>YY 0505</w:t>
            </w:r>
            <w:r>
              <w:rPr>
                <w:rFonts w:hint="eastAsia" w:ascii="Times New Roman" w:hAnsi="Times New Roman" w:cs="Times New Roman" w:eastAsiaTheme="minorEastAsia"/>
                <w:sz w:val="24"/>
                <w:szCs w:val="28"/>
              </w:rPr>
              <w:t>—</w:t>
            </w:r>
            <w:r>
              <w:rPr>
                <w:rFonts w:ascii="Times New Roman" w:hAnsi="Times New Roman" w:cs="Times New Roman" w:eastAsiaTheme="minorEastAsia"/>
                <w:sz w:val="24"/>
                <w:szCs w:val="28"/>
              </w:rPr>
              <w:t>2012</w:t>
            </w:r>
          </w:p>
        </w:tc>
        <w:tc>
          <w:tcPr>
            <w:tcW w:w="6146" w:type="dxa"/>
          </w:tcPr>
          <w:p w14:paraId="256E10C0">
            <w:pPr>
              <w:spacing w:line="560" w:lineRule="atLeast"/>
              <w:rPr>
                <w:rFonts w:ascii="Times New Roman" w:hAnsi="Times New Roman" w:cs="Times New Roman" w:eastAsiaTheme="minorEastAsia"/>
                <w:sz w:val="24"/>
                <w:szCs w:val="28"/>
              </w:rPr>
            </w:pPr>
            <w:r>
              <w:rPr>
                <w:rFonts w:hint="eastAsia" w:ascii="Times New Roman" w:hAnsi="Times New Roman" w:cs="Times New Roman" w:eastAsiaTheme="minorEastAsia"/>
                <w:sz w:val="24"/>
                <w:szCs w:val="28"/>
              </w:rPr>
              <w:t>医用电气设备</w:t>
            </w:r>
            <w:r>
              <w:rPr>
                <w:rFonts w:ascii="Times New Roman" w:hAnsi="Times New Roman" w:cs="Times New Roman" w:eastAsiaTheme="minorEastAsia"/>
                <w:sz w:val="24"/>
                <w:szCs w:val="28"/>
              </w:rPr>
              <w:t xml:space="preserve"> </w:t>
            </w:r>
            <w:r>
              <w:rPr>
                <w:rFonts w:hint="eastAsia" w:ascii="Times New Roman" w:hAnsi="Times New Roman" w:cs="Times New Roman" w:eastAsiaTheme="minorEastAsia"/>
                <w:sz w:val="24"/>
                <w:szCs w:val="28"/>
              </w:rPr>
              <w:t>第</w:t>
            </w:r>
            <w:r>
              <w:rPr>
                <w:rFonts w:ascii="Times New Roman" w:hAnsi="Times New Roman" w:cs="Times New Roman" w:eastAsiaTheme="minorEastAsia"/>
                <w:sz w:val="24"/>
                <w:szCs w:val="28"/>
              </w:rPr>
              <w:t>1-2</w:t>
            </w:r>
            <w:r>
              <w:rPr>
                <w:rFonts w:hint="eastAsia" w:ascii="Times New Roman" w:hAnsi="Times New Roman" w:cs="Times New Roman" w:eastAsiaTheme="minorEastAsia"/>
                <w:sz w:val="24"/>
                <w:szCs w:val="28"/>
              </w:rPr>
              <w:t>部分</w:t>
            </w:r>
            <w:r>
              <w:rPr>
                <w:rFonts w:ascii="Times New Roman" w:hAnsi="Times New Roman" w:cs="Times New Roman" w:eastAsiaTheme="minorEastAsia"/>
                <w:sz w:val="24"/>
                <w:szCs w:val="28"/>
              </w:rPr>
              <w:t>:</w:t>
            </w:r>
            <w:r>
              <w:rPr>
                <w:rFonts w:hint="eastAsia" w:ascii="Times New Roman" w:hAnsi="Times New Roman" w:cs="Times New Roman" w:eastAsiaTheme="minorEastAsia"/>
                <w:sz w:val="24"/>
                <w:szCs w:val="28"/>
              </w:rPr>
              <w:t>安全通用要求并列标准</w:t>
            </w:r>
            <w:r>
              <w:rPr>
                <w:rFonts w:ascii="Times New Roman" w:hAnsi="Times New Roman" w:cs="Times New Roman" w:eastAsiaTheme="minorEastAsia"/>
                <w:sz w:val="24"/>
                <w:szCs w:val="28"/>
              </w:rPr>
              <w:t>:</w:t>
            </w:r>
            <w:r>
              <w:rPr>
                <w:rFonts w:hint="eastAsia" w:ascii="Times New Roman" w:hAnsi="Times New Roman" w:cs="Times New Roman" w:eastAsiaTheme="minorEastAsia"/>
                <w:sz w:val="24"/>
                <w:szCs w:val="28"/>
              </w:rPr>
              <w:t>电磁兼容要求</w:t>
            </w:r>
          </w:p>
        </w:tc>
      </w:tr>
      <w:tr w14:paraId="38BBC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 w:hRule="atLeast"/>
          <w:jc w:val="center"/>
        </w:trPr>
        <w:tc>
          <w:tcPr>
            <w:tcW w:w="2376" w:type="dxa"/>
            <w:vAlign w:val="center"/>
          </w:tcPr>
          <w:p w14:paraId="58A9A61D">
            <w:pPr>
              <w:spacing w:line="560" w:lineRule="atLeast"/>
              <w:rPr>
                <w:rFonts w:ascii="Times New Roman" w:hAnsi="Times New Roman" w:cs="Times New Roman" w:eastAsiaTheme="minorEastAsia"/>
                <w:sz w:val="24"/>
                <w:szCs w:val="28"/>
              </w:rPr>
            </w:pPr>
            <w:r>
              <w:rPr>
                <w:rFonts w:ascii="Times New Roman" w:hAnsi="Times New Roman" w:cs="Times New Roman" w:eastAsiaTheme="minorEastAsia"/>
                <w:sz w:val="24"/>
                <w:szCs w:val="28"/>
              </w:rPr>
              <w:t>GB/T 14710</w:t>
            </w:r>
            <w:r>
              <w:rPr>
                <w:rFonts w:hint="eastAsia" w:ascii="Times New Roman" w:hAnsi="Times New Roman" w:cs="Times New Roman" w:eastAsiaTheme="minorEastAsia"/>
                <w:sz w:val="24"/>
                <w:szCs w:val="28"/>
              </w:rPr>
              <w:t>—</w:t>
            </w:r>
            <w:r>
              <w:rPr>
                <w:rFonts w:ascii="Times New Roman" w:hAnsi="Times New Roman" w:cs="Times New Roman" w:eastAsiaTheme="minorEastAsia"/>
                <w:sz w:val="24"/>
                <w:szCs w:val="28"/>
              </w:rPr>
              <w:t>2009</w:t>
            </w:r>
          </w:p>
        </w:tc>
        <w:tc>
          <w:tcPr>
            <w:tcW w:w="6146" w:type="dxa"/>
            <w:vAlign w:val="center"/>
          </w:tcPr>
          <w:p w14:paraId="1426356E">
            <w:pPr>
              <w:spacing w:line="560" w:lineRule="atLeast"/>
              <w:rPr>
                <w:rFonts w:ascii="Times New Roman" w:hAnsi="Times New Roman" w:cs="Times New Roman" w:eastAsiaTheme="minorEastAsia"/>
                <w:sz w:val="24"/>
                <w:szCs w:val="28"/>
              </w:rPr>
            </w:pPr>
            <w:r>
              <w:rPr>
                <w:rFonts w:hint="eastAsia" w:ascii="Times New Roman" w:hAnsi="Times New Roman" w:cs="Times New Roman" w:eastAsiaTheme="minorEastAsia"/>
                <w:sz w:val="24"/>
                <w:szCs w:val="28"/>
              </w:rPr>
              <w:t>医用电器环境要求及试验方法</w:t>
            </w:r>
          </w:p>
        </w:tc>
      </w:tr>
      <w:tr w14:paraId="3ABED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 w:hRule="atLeast"/>
          <w:jc w:val="center"/>
        </w:trPr>
        <w:tc>
          <w:tcPr>
            <w:tcW w:w="2376" w:type="dxa"/>
          </w:tcPr>
          <w:p w14:paraId="5056FEDC">
            <w:pPr>
              <w:spacing w:line="560" w:lineRule="atLeast"/>
              <w:rPr>
                <w:rFonts w:ascii="Times New Roman" w:hAnsi="Times New Roman" w:cs="Times New Roman" w:eastAsiaTheme="minorEastAsia"/>
                <w:sz w:val="24"/>
                <w:szCs w:val="28"/>
              </w:rPr>
            </w:pPr>
            <w:r>
              <w:rPr>
                <w:rFonts w:ascii="Times New Roman" w:hAnsi="Times New Roman" w:cs="Times New Roman" w:eastAsiaTheme="minorEastAsia"/>
                <w:sz w:val="24"/>
                <w:szCs w:val="28"/>
              </w:rPr>
              <w:t>YY 1045.2</w:t>
            </w:r>
            <w:r>
              <w:rPr>
                <w:rFonts w:hint="eastAsia" w:ascii="Times New Roman" w:hAnsi="Times New Roman" w:cs="Times New Roman" w:eastAsiaTheme="minorEastAsia"/>
                <w:sz w:val="24"/>
                <w:szCs w:val="28"/>
              </w:rPr>
              <w:t>—</w:t>
            </w:r>
            <w:r>
              <w:rPr>
                <w:rFonts w:ascii="Times New Roman" w:hAnsi="Times New Roman" w:cs="Times New Roman" w:eastAsiaTheme="minorEastAsia"/>
                <w:sz w:val="24"/>
                <w:szCs w:val="28"/>
              </w:rPr>
              <w:t>2010</w:t>
            </w:r>
          </w:p>
        </w:tc>
        <w:tc>
          <w:tcPr>
            <w:tcW w:w="6146" w:type="dxa"/>
          </w:tcPr>
          <w:p w14:paraId="64262CC7">
            <w:pPr>
              <w:spacing w:line="560" w:lineRule="atLeast"/>
              <w:rPr>
                <w:rFonts w:ascii="Times New Roman" w:hAnsi="Times New Roman" w:cs="Times New Roman" w:eastAsiaTheme="minorEastAsia"/>
                <w:sz w:val="24"/>
                <w:szCs w:val="28"/>
              </w:rPr>
            </w:pPr>
            <w:r>
              <w:rPr>
                <w:rFonts w:hint="eastAsia" w:ascii="Times New Roman" w:hAnsi="Times New Roman" w:cs="Times New Roman" w:eastAsiaTheme="minorEastAsia"/>
                <w:sz w:val="24"/>
                <w:szCs w:val="28"/>
              </w:rPr>
              <w:t>牙科手机</w:t>
            </w:r>
            <w:r>
              <w:rPr>
                <w:rFonts w:ascii="Times New Roman" w:hAnsi="Times New Roman" w:cs="Times New Roman" w:eastAsiaTheme="minorEastAsia"/>
                <w:sz w:val="24"/>
                <w:szCs w:val="28"/>
              </w:rPr>
              <w:t xml:space="preserve"> </w:t>
            </w:r>
            <w:r>
              <w:rPr>
                <w:rFonts w:hint="eastAsia" w:ascii="Times New Roman" w:hAnsi="Times New Roman" w:cs="Times New Roman" w:eastAsiaTheme="minorEastAsia"/>
                <w:sz w:val="24"/>
                <w:szCs w:val="28"/>
              </w:rPr>
              <w:t>第</w:t>
            </w:r>
            <w:r>
              <w:rPr>
                <w:rFonts w:ascii="Times New Roman" w:hAnsi="Times New Roman" w:cs="Times New Roman" w:eastAsiaTheme="minorEastAsia"/>
                <w:sz w:val="24"/>
                <w:szCs w:val="28"/>
              </w:rPr>
              <w:t>2</w:t>
            </w:r>
            <w:r>
              <w:rPr>
                <w:rFonts w:hint="eastAsia" w:ascii="Times New Roman" w:hAnsi="Times New Roman" w:cs="Times New Roman" w:eastAsiaTheme="minorEastAsia"/>
                <w:sz w:val="24"/>
                <w:szCs w:val="28"/>
              </w:rPr>
              <w:t>部分：直手机和弯手机</w:t>
            </w:r>
          </w:p>
        </w:tc>
      </w:tr>
    </w:tbl>
    <w:p w14:paraId="03135CA2">
      <w:pPr>
        <w:pStyle w:val="31"/>
        <w:spacing w:line="52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（八）产品技术要求</w:t>
      </w:r>
    </w:p>
    <w:p w14:paraId="4ED64D2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应列表明确产品型号、结构形式（直手机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弯手机）、夹头形式（</w:t>
      </w:r>
      <w:r>
        <w:rPr>
          <w:rFonts w:ascii="Times New Roman" w:hAnsi="Times New Roman" w:eastAsia="仿宋_GB2312" w:cs="Times New Roman"/>
          <w:sz w:val="32"/>
          <w:szCs w:val="32"/>
        </w:rPr>
        <w:t>YY 1045.2</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2010</w:t>
      </w:r>
      <w:r>
        <w:rPr>
          <w:rFonts w:hint="eastAsia" w:ascii="Times New Roman" w:hAnsi="Times New Roman" w:eastAsia="仿宋_GB2312" w:cs="Times New Roman"/>
          <w:sz w:val="32"/>
          <w:szCs w:val="32"/>
        </w:rPr>
        <w:t>条款</w:t>
      </w:r>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规定）、是否提供水冷却和</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或气冷却、照明方式（带照明装置式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导光式</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无照明式）、灭菌方式、齿轮速比、手机材质。</w:t>
      </w:r>
    </w:p>
    <w:p w14:paraId="69C8582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性能指标</w:t>
      </w:r>
    </w:p>
    <w:p w14:paraId="1426F34F">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）产品应符合</w:t>
      </w:r>
      <w:r>
        <w:rPr>
          <w:rFonts w:ascii="Times New Roman" w:hAnsi="Times New Roman" w:eastAsia="仿宋_GB2312" w:cs="Times New Roman"/>
          <w:sz w:val="32"/>
          <w:szCs w:val="32"/>
        </w:rPr>
        <w:t>YY 1045.2</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2010</w:t>
      </w:r>
      <w:r>
        <w:rPr>
          <w:rFonts w:hint="eastAsia" w:ascii="Times New Roman" w:hAnsi="Times New Roman" w:eastAsia="仿宋_GB2312" w:cs="Times New Roman"/>
          <w:sz w:val="32"/>
          <w:szCs w:val="32"/>
        </w:rPr>
        <w:t>的条款</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的要求。</w:t>
      </w:r>
    </w:p>
    <w:p w14:paraId="1FB13F11">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）产品应符合</w:t>
      </w:r>
      <w:r>
        <w:rPr>
          <w:rFonts w:ascii="Times New Roman" w:hAnsi="Times New Roman" w:eastAsia="仿宋_GB2312" w:cs="Times New Roman"/>
          <w:sz w:val="32"/>
          <w:szCs w:val="32"/>
        </w:rPr>
        <w:t>GB 9706.1</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2007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0505-2012</w:t>
      </w:r>
      <w:r>
        <w:rPr>
          <w:rFonts w:hint="eastAsia" w:ascii="Times New Roman" w:hAnsi="Times New Roman" w:eastAsia="仿宋_GB2312" w:cs="Times New Roman"/>
          <w:sz w:val="32"/>
          <w:szCs w:val="32"/>
        </w:rPr>
        <w:t>的要求。（照明方式为带照明装置式的手机适用）</w:t>
      </w:r>
    </w:p>
    <w:p w14:paraId="3A6B106E">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）环境试验要求</w:t>
      </w:r>
    </w:p>
    <w:p w14:paraId="5486E398">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产品的环境试验应按照</w:t>
      </w:r>
      <w:r>
        <w:rPr>
          <w:rFonts w:ascii="Times New Roman" w:hAnsi="Times New Roman" w:eastAsia="仿宋_GB2312" w:cs="Times New Roman"/>
          <w:sz w:val="32"/>
          <w:szCs w:val="32"/>
        </w:rPr>
        <w:t>GB/T 14710</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的规定的方法及程序执行。（照明方式为带照明装置式的手机适用）</w:t>
      </w:r>
    </w:p>
    <w:p w14:paraId="1365A4E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试验方法</w:t>
      </w:r>
    </w:p>
    <w:p w14:paraId="44F41392">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YY 1045.2</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2010</w:t>
      </w:r>
      <w:r>
        <w:rPr>
          <w:rFonts w:hint="eastAsia" w:ascii="Times New Roman" w:hAnsi="Times New Roman" w:eastAsia="仿宋_GB2312" w:cs="Times New Roman"/>
          <w:sz w:val="32"/>
          <w:szCs w:val="32"/>
        </w:rPr>
        <w:t>的条款</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的试验方法进行检测，结果应符合</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的要求。</w:t>
      </w:r>
    </w:p>
    <w:p w14:paraId="6B6D005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GB 9706.1</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2007</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YY 0505</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2012</w:t>
      </w:r>
      <w:r>
        <w:rPr>
          <w:rFonts w:hint="eastAsia" w:ascii="Times New Roman" w:hAnsi="Times New Roman" w:eastAsia="仿宋_GB2312" w:cs="Times New Roman"/>
          <w:sz w:val="32"/>
          <w:szCs w:val="32"/>
        </w:rPr>
        <w:t>的试验方法进行试验，结果应符合</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的要求。</w:t>
      </w:r>
    </w:p>
    <w:p w14:paraId="58C70010">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）环境试验</w:t>
      </w:r>
    </w:p>
    <w:p w14:paraId="35DBC17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产品的环境试验应按照</w:t>
      </w:r>
      <w:r>
        <w:rPr>
          <w:rFonts w:ascii="Times New Roman" w:hAnsi="Times New Roman" w:eastAsia="仿宋_GB2312" w:cs="Times New Roman"/>
          <w:sz w:val="32"/>
          <w:szCs w:val="32"/>
        </w:rPr>
        <w:t>GB/T 14710</w:t>
      </w:r>
      <w:r>
        <w:rPr>
          <w:rFonts w:hint="eastAsia" w:ascii="Times New Roman" w:hAnsi="Times New Roman" w:cs="Times New Roman" w:eastAsiaTheme="minorEastAsia"/>
          <w:sz w:val="24"/>
          <w:szCs w:val="28"/>
        </w:rPr>
        <w:t>—</w:t>
      </w:r>
      <w:r>
        <w:rPr>
          <w:rFonts w:ascii="Times New Roman" w:hAnsi="Times New Roman" w:eastAsia="仿宋_GB2312" w:cs="Times New Roman"/>
          <w:sz w:val="32"/>
          <w:szCs w:val="32"/>
        </w:rPr>
        <w:t>2009</w:t>
      </w:r>
      <w:r>
        <w:rPr>
          <w:rFonts w:hint="eastAsia" w:ascii="Times New Roman" w:hAnsi="Times New Roman" w:eastAsia="仿宋_GB2312" w:cs="Times New Roman"/>
          <w:sz w:val="32"/>
          <w:szCs w:val="32"/>
        </w:rPr>
        <w:t>的规定的方法及程序执行。</w:t>
      </w:r>
    </w:p>
    <w:p w14:paraId="497AF444">
      <w:pPr>
        <w:pStyle w:val="31"/>
        <w:spacing w:line="52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（九）产品说明书</w:t>
      </w:r>
    </w:p>
    <w:p w14:paraId="5D96AE03">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除符合《医疗器械说明书和标签管理规定》（国家食品药品监督管理总局令第</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号）和相关标准中的要求之外，手机的说明书还应至少明确以下信息：</w:t>
      </w:r>
    </w:p>
    <w:p w14:paraId="1CF4232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明确手机（含易损件如轴承、水路等）的灭菌、维护、保养说明；明确灭菌周期的重要参数，例如时间、温度；明确干燥说明。</w:t>
      </w:r>
    </w:p>
    <w:p w14:paraId="3C2873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明确夹持的手术器械类型、规格、尺寸；</w:t>
      </w:r>
    </w:p>
    <w:p w14:paraId="1D0A9B3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若带水冷却，明确水冷却方式（外给水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内给水），水源的压力及基本要求；</w:t>
      </w:r>
    </w:p>
    <w:p w14:paraId="26C1CDD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在驱动马达的最大转速下，手机的空载转速；</w:t>
      </w:r>
    </w:p>
    <w:p w14:paraId="159DC27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明确手机夹头形式、联轴节类型。</w:t>
      </w:r>
    </w:p>
    <w:p w14:paraId="40C7A78D">
      <w:pPr>
        <w:pStyle w:val="31"/>
        <w:spacing w:line="520" w:lineRule="exact"/>
        <w:ind w:firstLine="64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（十）临床评价资料</w:t>
      </w:r>
    </w:p>
    <w:p w14:paraId="4597F67F">
      <w:pPr>
        <w:pStyle w:val="32"/>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牙科种植机列入《免于进行临床试验的第二类医疗器械目录》（国家食品药品监督管理总局通告</w:t>
      </w:r>
      <w:r>
        <w:rPr>
          <w:rFonts w:ascii="Times New Roman" w:hAnsi="Times New Roman" w:eastAsia="仿宋_GB2312" w:cs="Times New Roman"/>
          <w:sz w:val="32"/>
          <w:szCs w:val="32"/>
        </w:rPr>
        <w:t>2016</w:t>
      </w:r>
      <w:r>
        <w:rPr>
          <w:rFonts w:hint="eastAsia" w:ascii="Times New Roman" w:hAnsi="Times New Roman" w:eastAsia="仿宋_GB2312" w:cs="Times New Roman"/>
          <w:sz w:val="32"/>
          <w:szCs w:val="32"/>
        </w:rPr>
        <w:t>年第</w:t>
      </w:r>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号，以下简称《目录》），对应的序号为</w:t>
      </w:r>
      <w:r>
        <w:rPr>
          <w:rFonts w:ascii="Times New Roman" w:hAnsi="Times New Roman" w:eastAsia="仿宋_GB2312" w:cs="Times New Roman"/>
          <w:sz w:val="32"/>
          <w:szCs w:val="32"/>
        </w:rPr>
        <w:t>190</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000000"/>
          <w:sz w:val="32"/>
          <w:szCs w:val="32"/>
        </w:rPr>
        <w:t>牙科种植机用手机为牙科种植机组成的一部分，且二者适用范围一致。</w:t>
      </w:r>
      <w:r>
        <w:rPr>
          <w:rFonts w:hint="eastAsia" w:ascii="Times New Roman" w:hAnsi="Times New Roman" w:eastAsia="仿宋_GB2312" w:cs="Times New Roman"/>
          <w:sz w:val="32"/>
          <w:szCs w:val="32"/>
        </w:rPr>
        <w:t>申请牙科种植机用手机的注册，可免于进行临床试验。注册申请人参照《医疗器械临床评价技术指导原则》的要求，提交相应的临床评价资料。</w:t>
      </w:r>
    </w:p>
    <w:p w14:paraId="04DF292D">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列入《目录》的产品，注册申请人需提交申报产品相关信息与《目录》所述内容的对比资料和申报产品与已获准境内注册的《目录》中医疗器械的对比说明，如相应对比说明能够证明产品是《目录》中的产品，则申请人无需进行临床试验。若无法证明申报产品与《目录》产品具有等同性，则应按照《医疗器械临床评价技术审查指导原则》其他要求开展相应工作。</w:t>
      </w:r>
    </w:p>
    <w:p w14:paraId="4D687760">
      <w:pPr>
        <w:spacing w:line="600" w:lineRule="exact"/>
        <w:rPr>
          <w:rFonts w:hint="eastAsia" w:eastAsia="宋体"/>
          <w:lang w:eastAsia="zh-CN"/>
        </w:rPr>
      </w:pPr>
    </w:p>
    <w:p w14:paraId="3FF1A6DF">
      <w:pPr>
        <w:spacing w:line="600" w:lineRule="exact"/>
        <w:jc w:val="center"/>
        <w:rPr>
          <w:rFonts w:hint="eastAsia" w:eastAsia="宋体"/>
          <w:lang w:eastAsia="zh-CN"/>
        </w:rPr>
      </w:pPr>
    </w:p>
    <w:p w14:paraId="7572CCB0">
      <w:pPr>
        <w:spacing w:line="6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6" name="图片 36" descr="2"/>
            <wp:cNvGraphicFramePr/>
            <a:graphic xmlns:a="http://schemas.openxmlformats.org/drawingml/2006/main">
              <a:graphicData uri="http://schemas.openxmlformats.org/drawingml/2006/picture">
                <pic:pic xmlns:pic="http://schemas.openxmlformats.org/drawingml/2006/picture">
                  <pic:nvPicPr>
                    <pic:cNvPr id="36" name="图片 36"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588" w:left="1531" w:header="851" w:footer="1020"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Franklin Gothic Heavy">
    <w:panose1 w:val="020B0903020102020204"/>
    <w:charset w:val="00"/>
    <w:family w:val="swiss"/>
    <w:pitch w:val="default"/>
    <w:sig w:usb0="00000287" w:usb1="00000000" w:usb2="00000000" w:usb3="00000000" w:csb0="2000009F" w:csb1="DFD70000"/>
  </w:font>
  <w:font w:name="MS Shell Dlg">
    <w:altName w:val="Microsoft Sans Serif"/>
    <w:panose1 w:val="020B0604020202020204"/>
    <w:charset w:val="00"/>
    <w:family w:val="swiss"/>
    <w:pitch w:val="default"/>
    <w:sig w:usb0="00000000" w:usb1="00000000" w:usb2="00000008" w:usb3="00000000" w:csb0="0001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561722"/>
      <w:docPartObj>
        <w:docPartGallery w:val="AutoText"/>
      </w:docPartObj>
    </w:sdtPr>
    <w:sdtEndPr>
      <w:rPr>
        <w:rFonts w:ascii="Times New Roman" w:hAnsi="Times New Roman" w:cs="Times New Roman"/>
        <w:sz w:val="28"/>
        <w:szCs w:val="28"/>
      </w:rPr>
    </w:sdtEndPr>
    <w:sdtContent>
      <w:p w14:paraId="5B0F6429">
        <w:pPr>
          <w:pStyle w:val="11"/>
          <w:rPr>
            <w:rFonts w:ascii="Times New Roman" w:hAnsi="Times New Roman" w:cs="Times New Roman"/>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sdtContent>
  </w:sdt>
  <w:p w14:paraId="0123310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3213891"/>
      <w:docPartObj>
        <w:docPartGallery w:val="AutoText"/>
      </w:docPartObj>
    </w:sdtPr>
    <w:sdtEndPr>
      <w:rPr>
        <w:rFonts w:ascii="Times New Roman" w:hAnsi="Times New Roman" w:cs="Times New Roman"/>
        <w:sz w:val="28"/>
        <w:szCs w:val="28"/>
      </w:rPr>
    </w:sdtEndPr>
    <w:sdtContent>
      <w:p w14:paraId="0CF52103">
        <w:pPr>
          <w:pStyle w:val="11"/>
          <w:rPr>
            <w:rFonts w:ascii="Times New Roman" w:hAnsi="Times New Roman" w:cs="Times New Roman"/>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sdtContent>
  </w:sdt>
  <w:p w14:paraId="70791F7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1"/>
      <w:suff w:val="nothing"/>
      <w:lvlText w:val="%1.%2.%3　"/>
      <w:lvlJc w:val="left"/>
      <w:pPr>
        <w:ind w:left="568" w:firstLine="0"/>
      </w:pPr>
      <w:rPr>
        <w:rFonts w:hint="eastAsia" w:ascii="黑体" w:hAnsi="Times New Roman" w:eastAsia="黑体"/>
        <w:b w:val="0"/>
        <w:i w:val="0"/>
        <w:sz w:val="21"/>
      </w:rPr>
    </w:lvl>
    <w:lvl w:ilvl="3" w:tentative="0">
      <w:start w:val="1"/>
      <w:numFmt w:val="decimal"/>
      <w:pStyle w:val="42"/>
      <w:suff w:val="nothing"/>
      <w:lvlText w:val="%1.%2.%3.%4　"/>
      <w:lvlJc w:val="left"/>
      <w:pPr>
        <w:ind w:left="0" w:firstLine="0"/>
      </w:pPr>
      <w:rPr>
        <w:rFonts w:hint="eastAsia" w:ascii="黑体" w:hAnsi="Times New Roman" w:eastAsia="黑体"/>
        <w:b w:val="0"/>
        <w:i w:val="0"/>
        <w:sz w:val="21"/>
      </w:rPr>
    </w:lvl>
    <w:lvl w:ilvl="4" w:tentative="0">
      <w:start w:val="1"/>
      <w:numFmt w:val="decimal"/>
      <w:pStyle w:val="43"/>
      <w:suff w:val="nothing"/>
      <w:lvlText w:val="%1.%2.%3.%4.%5　"/>
      <w:lvlJc w:val="left"/>
      <w:pPr>
        <w:ind w:left="0" w:firstLine="0"/>
      </w:pPr>
      <w:rPr>
        <w:rFonts w:hint="eastAsia" w:ascii="黑体" w:hAnsi="Times New Roman" w:eastAsia="黑体"/>
        <w:b w:val="0"/>
        <w:i w:val="0"/>
        <w:sz w:val="21"/>
      </w:rPr>
    </w:lvl>
    <w:lvl w:ilvl="5" w:tentative="0">
      <w:start w:val="1"/>
      <w:numFmt w:val="decimal"/>
      <w:pStyle w:val="4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4C50F90"/>
    <w:multiLevelType w:val="multilevel"/>
    <w:tmpl w:val="44C50F90"/>
    <w:lvl w:ilvl="0" w:tentative="0">
      <w:start w:val="1"/>
      <w:numFmt w:val="lowerLetter"/>
      <w:pStyle w:val="4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46"/>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4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31"/>
    <w:rsid w:val="000006AE"/>
    <w:rsid w:val="0000487D"/>
    <w:rsid w:val="000060DA"/>
    <w:rsid w:val="00007ECB"/>
    <w:rsid w:val="000133E2"/>
    <w:rsid w:val="00013A57"/>
    <w:rsid w:val="000154ED"/>
    <w:rsid w:val="00016E0D"/>
    <w:rsid w:val="000225C6"/>
    <w:rsid w:val="00023AE7"/>
    <w:rsid w:val="00030262"/>
    <w:rsid w:val="00032E64"/>
    <w:rsid w:val="00033498"/>
    <w:rsid w:val="0003362E"/>
    <w:rsid w:val="0003550D"/>
    <w:rsid w:val="00035681"/>
    <w:rsid w:val="00035816"/>
    <w:rsid w:val="00035975"/>
    <w:rsid w:val="000361BC"/>
    <w:rsid w:val="0004120B"/>
    <w:rsid w:val="00041F1F"/>
    <w:rsid w:val="00041F9F"/>
    <w:rsid w:val="00044B09"/>
    <w:rsid w:val="000458AC"/>
    <w:rsid w:val="00045986"/>
    <w:rsid w:val="000523F9"/>
    <w:rsid w:val="00063D78"/>
    <w:rsid w:val="00066F34"/>
    <w:rsid w:val="00073036"/>
    <w:rsid w:val="000744D4"/>
    <w:rsid w:val="00075692"/>
    <w:rsid w:val="00075A6D"/>
    <w:rsid w:val="00075A89"/>
    <w:rsid w:val="00077C34"/>
    <w:rsid w:val="0008309C"/>
    <w:rsid w:val="00084AB7"/>
    <w:rsid w:val="000871B9"/>
    <w:rsid w:val="00087386"/>
    <w:rsid w:val="000879BC"/>
    <w:rsid w:val="00094BC1"/>
    <w:rsid w:val="00097A4D"/>
    <w:rsid w:val="000A05E7"/>
    <w:rsid w:val="000A1676"/>
    <w:rsid w:val="000A1840"/>
    <w:rsid w:val="000A2C0C"/>
    <w:rsid w:val="000A2E13"/>
    <w:rsid w:val="000A4CAA"/>
    <w:rsid w:val="000B1CD7"/>
    <w:rsid w:val="000B21BB"/>
    <w:rsid w:val="000B73B3"/>
    <w:rsid w:val="000C478F"/>
    <w:rsid w:val="000D0BEA"/>
    <w:rsid w:val="000D78DD"/>
    <w:rsid w:val="000E3793"/>
    <w:rsid w:val="000E5177"/>
    <w:rsid w:val="000E6F61"/>
    <w:rsid w:val="000F33CC"/>
    <w:rsid w:val="000F4AD3"/>
    <w:rsid w:val="000F67AB"/>
    <w:rsid w:val="000F775E"/>
    <w:rsid w:val="001008B1"/>
    <w:rsid w:val="00103961"/>
    <w:rsid w:val="00105E19"/>
    <w:rsid w:val="001078E8"/>
    <w:rsid w:val="00107B23"/>
    <w:rsid w:val="00107FF5"/>
    <w:rsid w:val="0011076E"/>
    <w:rsid w:val="00111528"/>
    <w:rsid w:val="00112AD3"/>
    <w:rsid w:val="00112FB3"/>
    <w:rsid w:val="00114A15"/>
    <w:rsid w:val="00114D91"/>
    <w:rsid w:val="00114E42"/>
    <w:rsid w:val="00116664"/>
    <w:rsid w:val="0012001F"/>
    <w:rsid w:val="001221EA"/>
    <w:rsid w:val="00122894"/>
    <w:rsid w:val="00133D25"/>
    <w:rsid w:val="00134979"/>
    <w:rsid w:val="0013507A"/>
    <w:rsid w:val="00135845"/>
    <w:rsid w:val="00137A11"/>
    <w:rsid w:val="00137CAC"/>
    <w:rsid w:val="00140421"/>
    <w:rsid w:val="00141FCB"/>
    <w:rsid w:val="00153216"/>
    <w:rsid w:val="00153764"/>
    <w:rsid w:val="001578B2"/>
    <w:rsid w:val="00157DFB"/>
    <w:rsid w:val="0016297C"/>
    <w:rsid w:val="00164191"/>
    <w:rsid w:val="0016756E"/>
    <w:rsid w:val="00170287"/>
    <w:rsid w:val="00171458"/>
    <w:rsid w:val="00173029"/>
    <w:rsid w:val="001804F1"/>
    <w:rsid w:val="001829B0"/>
    <w:rsid w:val="00184E0C"/>
    <w:rsid w:val="00185FD9"/>
    <w:rsid w:val="00187439"/>
    <w:rsid w:val="00187D9E"/>
    <w:rsid w:val="00190159"/>
    <w:rsid w:val="00191766"/>
    <w:rsid w:val="00191DEE"/>
    <w:rsid w:val="00192F7C"/>
    <w:rsid w:val="0019565E"/>
    <w:rsid w:val="00197B53"/>
    <w:rsid w:val="001A075D"/>
    <w:rsid w:val="001A1AB0"/>
    <w:rsid w:val="001A39F0"/>
    <w:rsid w:val="001A5109"/>
    <w:rsid w:val="001A6596"/>
    <w:rsid w:val="001B22DC"/>
    <w:rsid w:val="001B276F"/>
    <w:rsid w:val="001B2B64"/>
    <w:rsid w:val="001B333E"/>
    <w:rsid w:val="001B45D1"/>
    <w:rsid w:val="001B4E5F"/>
    <w:rsid w:val="001B62A7"/>
    <w:rsid w:val="001B6359"/>
    <w:rsid w:val="001C4571"/>
    <w:rsid w:val="001C5F2A"/>
    <w:rsid w:val="001D0560"/>
    <w:rsid w:val="001D154B"/>
    <w:rsid w:val="001E1205"/>
    <w:rsid w:val="001E2D2A"/>
    <w:rsid w:val="001E3108"/>
    <w:rsid w:val="001E441B"/>
    <w:rsid w:val="001E59B6"/>
    <w:rsid w:val="001F1385"/>
    <w:rsid w:val="001F3A27"/>
    <w:rsid w:val="001F58C2"/>
    <w:rsid w:val="0020102D"/>
    <w:rsid w:val="002024B3"/>
    <w:rsid w:val="002032B1"/>
    <w:rsid w:val="002036F5"/>
    <w:rsid w:val="00207F42"/>
    <w:rsid w:val="002111BC"/>
    <w:rsid w:val="002133A0"/>
    <w:rsid w:val="00220D64"/>
    <w:rsid w:val="00221088"/>
    <w:rsid w:val="00221FB2"/>
    <w:rsid w:val="00222267"/>
    <w:rsid w:val="00224049"/>
    <w:rsid w:val="00225953"/>
    <w:rsid w:val="002264AC"/>
    <w:rsid w:val="00226997"/>
    <w:rsid w:val="00230402"/>
    <w:rsid w:val="00230730"/>
    <w:rsid w:val="00231423"/>
    <w:rsid w:val="00232A09"/>
    <w:rsid w:val="00232EB8"/>
    <w:rsid w:val="002341C4"/>
    <w:rsid w:val="00236023"/>
    <w:rsid w:val="00236F66"/>
    <w:rsid w:val="00243ECB"/>
    <w:rsid w:val="002450F2"/>
    <w:rsid w:val="00245ECB"/>
    <w:rsid w:val="002473CB"/>
    <w:rsid w:val="00250CB9"/>
    <w:rsid w:val="0025761F"/>
    <w:rsid w:val="00260909"/>
    <w:rsid w:val="002627B3"/>
    <w:rsid w:val="0026336A"/>
    <w:rsid w:val="00263E2C"/>
    <w:rsid w:val="0026500C"/>
    <w:rsid w:val="00267D18"/>
    <w:rsid w:val="00270DA0"/>
    <w:rsid w:val="00271263"/>
    <w:rsid w:val="00271485"/>
    <w:rsid w:val="00274E83"/>
    <w:rsid w:val="00275CD5"/>
    <w:rsid w:val="00280BE7"/>
    <w:rsid w:val="00283CCF"/>
    <w:rsid w:val="00284BAD"/>
    <w:rsid w:val="0028505A"/>
    <w:rsid w:val="002922FB"/>
    <w:rsid w:val="00294569"/>
    <w:rsid w:val="002A042C"/>
    <w:rsid w:val="002A12C6"/>
    <w:rsid w:val="002A56D5"/>
    <w:rsid w:val="002A5F7D"/>
    <w:rsid w:val="002B2150"/>
    <w:rsid w:val="002B5C41"/>
    <w:rsid w:val="002B77F5"/>
    <w:rsid w:val="002B7B11"/>
    <w:rsid w:val="002C0DFD"/>
    <w:rsid w:val="002C30C1"/>
    <w:rsid w:val="002C72F1"/>
    <w:rsid w:val="002D08AB"/>
    <w:rsid w:val="002D08D4"/>
    <w:rsid w:val="002D2527"/>
    <w:rsid w:val="002D56FE"/>
    <w:rsid w:val="002E2219"/>
    <w:rsid w:val="002E3066"/>
    <w:rsid w:val="002E3127"/>
    <w:rsid w:val="002E4B3E"/>
    <w:rsid w:val="002E60D6"/>
    <w:rsid w:val="002F103A"/>
    <w:rsid w:val="002F34AC"/>
    <w:rsid w:val="002F3881"/>
    <w:rsid w:val="002F3C70"/>
    <w:rsid w:val="002F5F71"/>
    <w:rsid w:val="002F6DA4"/>
    <w:rsid w:val="00301690"/>
    <w:rsid w:val="003021E9"/>
    <w:rsid w:val="00302690"/>
    <w:rsid w:val="00303248"/>
    <w:rsid w:val="00306176"/>
    <w:rsid w:val="00306BEC"/>
    <w:rsid w:val="0031003F"/>
    <w:rsid w:val="0031257B"/>
    <w:rsid w:val="00313C72"/>
    <w:rsid w:val="0031470A"/>
    <w:rsid w:val="0031528E"/>
    <w:rsid w:val="00316721"/>
    <w:rsid w:val="00321290"/>
    <w:rsid w:val="0032240C"/>
    <w:rsid w:val="00322497"/>
    <w:rsid w:val="00325E29"/>
    <w:rsid w:val="00330D4D"/>
    <w:rsid w:val="0033199E"/>
    <w:rsid w:val="00332BE9"/>
    <w:rsid w:val="00332CBD"/>
    <w:rsid w:val="00332CFC"/>
    <w:rsid w:val="0033785F"/>
    <w:rsid w:val="00337890"/>
    <w:rsid w:val="003427A8"/>
    <w:rsid w:val="0034406F"/>
    <w:rsid w:val="00344812"/>
    <w:rsid w:val="0034698B"/>
    <w:rsid w:val="00350D53"/>
    <w:rsid w:val="003524DA"/>
    <w:rsid w:val="00352A0D"/>
    <w:rsid w:val="00352ED1"/>
    <w:rsid w:val="00356533"/>
    <w:rsid w:val="00361941"/>
    <w:rsid w:val="00364089"/>
    <w:rsid w:val="00366A2D"/>
    <w:rsid w:val="00366EE2"/>
    <w:rsid w:val="003671D2"/>
    <w:rsid w:val="00367BEC"/>
    <w:rsid w:val="00367C9B"/>
    <w:rsid w:val="0037141A"/>
    <w:rsid w:val="003718AC"/>
    <w:rsid w:val="003723ED"/>
    <w:rsid w:val="0037287E"/>
    <w:rsid w:val="00373788"/>
    <w:rsid w:val="00373B8B"/>
    <w:rsid w:val="00374CC5"/>
    <w:rsid w:val="003763FB"/>
    <w:rsid w:val="003767ED"/>
    <w:rsid w:val="003769CD"/>
    <w:rsid w:val="00380252"/>
    <w:rsid w:val="00381E13"/>
    <w:rsid w:val="00385232"/>
    <w:rsid w:val="00385683"/>
    <w:rsid w:val="0038718D"/>
    <w:rsid w:val="003878E2"/>
    <w:rsid w:val="00392334"/>
    <w:rsid w:val="0039393D"/>
    <w:rsid w:val="0039584C"/>
    <w:rsid w:val="00396FB6"/>
    <w:rsid w:val="00397789"/>
    <w:rsid w:val="00397B51"/>
    <w:rsid w:val="003A3C1D"/>
    <w:rsid w:val="003A419C"/>
    <w:rsid w:val="003A4F99"/>
    <w:rsid w:val="003A53C2"/>
    <w:rsid w:val="003A6AE2"/>
    <w:rsid w:val="003B0718"/>
    <w:rsid w:val="003B0C29"/>
    <w:rsid w:val="003B164A"/>
    <w:rsid w:val="003B412B"/>
    <w:rsid w:val="003B4B0D"/>
    <w:rsid w:val="003B6B9D"/>
    <w:rsid w:val="003B7C61"/>
    <w:rsid w:val="003C0706"/>
    <w:rsid w:val="003C3D2F"/>
    <w:rsid w:val="003C40A5"/>
    <w:rsid w:val="003C42BE"/>
    <w:rsid w:val="003C466D"/>
    <w:rsid w:val="003C6031"/>
    <w:rsid w:val="003C616C"/>
    <w:rsid w:val="003D1580"/>
    <w:rsid w:val="003D1B90"/>
    <w:rsid w:val="003D480C"/>
    <w:rsid w:val="003D6BE2"/>
    <w:rsid w:val="003D7581"/>
    <w:rsid w:val="003E0E0C"/>
    <w:rsid w:val="003E1A0A"/>
    <w:rsid w:val="003E23A5"/>
    <w:rsid w:val="003E244F"/>
    <w:rsid w:val="003E4689"/>
    <w:rsid w:val="003E50FA"/>
    <w:rsid w:val="003E5480"/>
    <w:rsid w:val="003E5BAB"/>
    <w:rsid w:val="003E6A93"/>
    <w:rsid w:val="003E7612"/>
    <w:rsid w:val="003F180E"/>
    <w:rsid w:val="003F2058"/>
    <w:rsid w:val="003F303C"/>
    <w:rsid w:val="003F49B0"/>
    <w:rsid w:val="003F7721"/>
    <w:rsid w:val="003F7BB6"/>
    <w:rsid w:val="003F7ECC"/>
    <w:rsid w:val="00400BBB"/>
    <w:rsid w:val="00400F12"/>
    <w:rsid w:val="00401215"/>
    <w:rsid w:val="00402B2C"/>
    <w:rsid w:val="00403992"/>
    <w:rsid w:val="004043C3"/>
    <w:rsid w:val="00405346"/>
    <w:rsid w:val="004053A5"/>
    <w:rsid w:val="004079E0"/>
    <w:rsid w:val="0041018A"/>
    <w:rsid w:val="0041188A"/>
    <w:rsid w:val="00412B4E"/>
    <w:rsid w:val="00412D93"/>
    <w:rsid w:val="00416997"/>
    <w:rsid w:val="00422851"/>
    <w:rsid w:val="00426352"/>
    <w:rsid w:val="00426499"/>
    <w:rsid w:val="00426F04"/>
    <w:rsid w:val="004320AD"/>
    <w:rsid w:val="004344AC"/>
    <w:rsid w:val="00434908"/>
    <w:rsid w:val="00450128"/>
    <w:rsid w:val="00450C09"/>
    <w:rsid w:val="004515D1"/>
    <w:rsid w:val="00454C96"/>
    <w:rsid w:val="00457C3A"/>
    <w:rsid w:val="00460DD2"/>
    <w:rsid w:val="0046354B"/>
    <w:rsid w:val="00465535"/>
    <w:rsid w:val="00465CE5"/>
    <w:rsid w:val="0046743D"/>
    <w:rsid w:val="00473407"/>
    <w:rsid w:val="00474811"/>
    <w:rsid w:val="00475D5C"/>
    <w:rsid w:val="004770D4"/>
    <w:rsid w:val="004808A5"/>
    <w:rsid w:val="00485029"/>
    <w:rsid w:val="004962CA"/>
    <w:rsid w:val="004A2D66"/>
    <w:rsid w:val="004A333A"/>
    <w:rsid w:val="004B1EB9"/>
    <w:rsid w:val="004B4721"/>
    <w:rsid w:val="004B4B89"/>
    <w:rsid w:val="004B70E9"/>
    <w:rsid w:val="004B7A7E"/>
    <w:rsid w:val="004C1FD1"/>
    <w:rsid w:val="004C2789"/>
    <w:rsid w:val="004C42A6"/>
    <w:rsid w:val="004C58DF"/>
    <w:rsid w:val="004C6D36"/>
    <w:rsid w:val="004C741D"/>
    <w:rsid w:val="004D0489"/>
    <w:rsid w:val="004D24A3"/>
    <w:rsid w:val="004D3C64"/>
    <w:rsid w:val="004D45F2"/>
    <w:rsid w:val="004D4864"/>
    <w:rsid w:val="004D4B27"/>
    <w:rsid w:val="004D5AFB"/>
    <w:rsid w:val="004E0084"/>
    <w:rsid w:val="004E13A5"/>
    <w:rsid w:val="004E2DA4"/>
    <w:rsid w:val="004E3853"/>
    <w:rsid w:val="004E3ECA"/>
    <w:rsid w:val="004E4A11"/>
    <w:rsid w:val="004E551D"/>
    <w:rsid w:val="004E6A85"/>
    <w:rsid w:val="004E7A43"/>
    <w:rsid w:val="004F17ED"/>
    <w:rsid w:val="004F1AE7"/>
    <w:rsid w:val="004F5985"/>
    <w:rsid w:val="0050073E"/>
    <w:rsid w:val="00510D59"/>
    <w:rsid w:val="00511522"/>
    <w:rsid w:val="00513CB1"/>
    <w:rsid w:val="00514159"/>
    <w:rsid w:val="005207B0"/>
    <w:rsid w:val="005208AA"/>
    <w:rsid w:val="0052246D"/>
    <w:rsid w:val="005249D5"/>
    <w:rsid w:val="005264A0"/>
    <w:rsid w:val="00527016"/>
    <w:rsid w:val="005310B7"/>
    <w:rsid w:val="00533017"/>
    <w:rsid w:val="005343CA"/>
    <w:rsid w:val="00536C2B"/>
    <w:rsid w:val="005379FC"/>
    <w:rsid w:val="00540F3D"/>
    <w:rsid w:val="00541089"/>
    <w:rsid w:val="005463EC"/>
    <w:rsid w:val="00547567"/>
    <w:rsid w:val="00553879"/>
    <w:rsid w:val="00557FC9"/>
    <w:rsid w:val="0056035A"/>
    <w:rsid w:val="00561A53"/>
    <w:rsid w:val="00561F4C"/>
    <w:rsid w:val="00563617"/>
    <w:rsid w:val="005652E1"/>
    <w:rsid w:val="0056559E"/>
    <w:rsid w:val="00566C9A"/>
    <w:rsid w:val="0057032E"/>
    <w:rsid w:val="00571631"/>
    <w:rsid w:val="00574DF9"/>
    <w:rsid w:val="00577ACF"/>
    <w:rsid w:val="00580C93"/>
    <w:rsid w:val="00581EB1"/>
    <w:rsid w:val="00582B82"/>
    <w:rsid w:val="005834F3"/>
    <w:rsid w:val="00583F2A"/>
    <w:rsid w:val="005846A6"/>
    <w:rsid w:val="00587DDD"/>
    <w:rsid w:val="00591C0D"/>
    <w:rsid w:val="0059255B"/>
    <w:rsid w:val="00592F4E"/>
    <w:rsid w:val="0059301C"/>
    <w:rsid w:val="00594EF2"/>
    <w:rsid w:val="0059649A"/>
    <w:rsid w:val="005A052A"/>
    <w:rsid w:val="005A2F83"/>
    <w:rsid w:val="005A3BF6"/>
    <w:rsid w:val="005A3C3E"/>
    <w:rsid w:val="005B269C"/>
    <w:rsid w:val="005B3C86"/>
    <w:rsid w:val="005B42FB"/>
    <w:rsid w:val="005B4AAD"/>
    <w:rsid w:val="005B5658"/>
    <w:rsid w:val="005B6C89"/>
    <w:rsid w:val="005C1369"/>
    <w:rsid w:val="005C4860"/>
    <w:rsid w:val="005C5AB4"/>
    <w:rsid w:val="005C6A04"/>
    <w:rsid w:val="005D1074"/>
    <w:rsid w:val="005D1F8C"/>
    <w:rsid w:val="005D4E70"/>
    <w:rsid w:val="005D695C"/>
    <w:rsid w:val="005E2A0D"/>
    <w:rsid w:val="005E34B6"/>
    <w:rsid w:val="005E49F5"/>
    <w:rsid w:val="005E53BE"/>
    <w:rsid w:val="005E6AF5"/>
    <w:rsid w:val="005E7401"/>
    <w:rsid w:val="005F0B63"/>
    <w:rsid w:val="005F1064"/>
    <w:rsid w:val="005F12B4"/>
    <w:rsid w:val="005F2075"/>
    <w:rsid w:val="005F450B"/>
    <w:rsid w:val="005F62C1"/>
    <w:rsid w:val="005F7E31"/>
    <w:rsid w:val="006002CA"/>
    <w:rsid w:val="00601CDA"/>
    <w:rsid w:val="006049E8"/>
    <w:rsid w:val="00607E3A"/>
    <w:rsid w:val="00612BA3"/>
    <w:rsid w:val="0061354B"/>
    <w:rsid w:val="00613C16"/>
    <w:rsid w:val="00615B23"/>
    <w:rsid w:val="00615EC6"/>
    <w:rsid w:val="0062071A"/>
    <w:rsid w:val="006253BC"/>
    <w:rsid w:val="00630133"/>
    <w:rsid w:val="00631E6B"/>
    <w:rsid w:val="00633B87"/>
    <w:rsid w:val="00636196"/>
    <w:rsid w:val="00644A5D"/>
    <w:rsid w:val="00651CFD"/>
    <w:rsid w:val="00654CF2"/>
    <w:rsid w:val="00655428"/>
    <w:rsid w:val="00661D0D"/>
    <w:rsid w:val="00666054"/>
    <w:rsid w:val="00667300"/>
    <w:rsid w:val="0067015B"/>
    <w:rsid w:val="006701B6"/>
    <w:rsid w:val="006711E5"/>
    <w:rsid w:val="006711F6"/>
    <w:rsid w:val="0067187D"/>
    <w:rsid w:val="0067392A"/>
    <w:rsid w:val="0067608B"/>
    <w:rsid w:val="006778DB"/>
    <w:rsid w:val="0068026F"/>
    <w:rsid w:val="00682E44"/>
    <w:rsid w:val="00690F31"/>
    <w:rsid w:val="00690F5A"/>
    <w:rsid w:val="0069274B"/>
    <w:rsid w:val="006955DE"/>
    <w:rsid w:val="00696091"/>
    <w:rsid w:val="006A1973"/>
    <w:rsid w:val="006A36E3"/>
    <w:rsid w:val="006A481D"/>
    <w:rsid w:val="006A550F"/>
    <w:rsid w:val="006A746D"/>
    <w:rsid w:val="006A7DA0"/>
    <w:rsid w:val="006B11AA"/>
    <w:rsid w:val="006B2585"/>
    <w:rsid w:val="006B464D"/>
    <w:rsid w:val="006B4DF8"/>
    <w:rsid w:val="006B5578"/>
    <w:rsid w:val="006B7B72"/>
    <w:rsid w:val="006C0026"/>
    <w:rsid w:val="006C011F"/>
    <w:rsid w:val="006C3BBF"/>
    <w:rsid w:val="006C3C90"/>
    <w:rsid w:val="006C4F54"/>
    <w:rsid w:val="006C627C"/>
    <w:rsid w:val="006C6D0D"/>
    <w:rsid w:val="006C7A6B"/>
    <w:rsid w:val="006C7BFF"/>
    <w:rsid w:val="006D15C2"/>
    <w:rsid w:val="006D1E8D"/>
    <w:rsid w:val="006D3A6D"/>
    <w:rsid w:val="006D4348"/>
    <w:rsid w:val="006D4EDA"/>
    <w:rsid w:val="006D5651"/>
    <w:rsid w:val="006D7FCE"/>
    <w:rsid w:val="006E1768"/>
    <w:rsid w:val="006E18A0"/>
    <w:rsid w:val="006E75DB"/>
    <w:rsid w:val="006F0AF2"/>
    <w:rsid w:val="006F1EBD"/>
    <w:rsid w:val="006F20F0"/>
    <w:rsid w:val="006F24DC"/>
    <w:rsid w:val="006F7796"/>
    <w:rsid w:val="006F7E24"/>
    <w:rsid w:val="006F7EA3"/>
    <w:rsid w:val="007024B3"/>
    <w:rsid w:val="0070257B"/>
    <w:rsid w:val="007026DA"/>
    <w:rsid w:val="00702C4E"/>
    <w:rsid w:val="00703028"/>
    <w:rsid w:val="0070711A"/>
    <w:rsid w:val="00707615"/>
    <w:rsid w:val="00713423"/>
    <w:rsid w:val="00713AD2"/>
    <w:rsid w:val="00714507"/>
    <w:rsid w:val="00716ABF"/>
    <w:rsid w:val="007203C2"/>
    <w:rsid w:val="007206D8"/>
    <w:rsid w:val="0072189B"/>
    <w:rsid w:val="00723206"/>
    <w:rsid w:val="00723454"/>
    <w:rsid w:val="007234E7"/>
    <w:rsid w:val="007239DD"/>
    <w:rsid w:val="0072581A"/>
    <w:rsid w:val="00726D32"/>
    <w:rsid w:val="00727BC7"/>
    <w:rsid w:val="007310F7"/>
    <w:rsid w:val="007330A0"/>
    <w:rsid w:val="00733DD5"/>
    <w:rsid w:val="007342C6"/>
    <w:rsid w:val="00734745"/>
    <w:rsid w:val="00735C15"/>
    <w:rsid w:val="00736C17"/>
    <w:rsid w:val="00737C2D"/>
    <w:rsid w:val="007428A6"/>
    <w:rsid w:val="00744C80"/>
    <w:rsid w:val="007473DD"/>
    <w:rsid w:val="00752E5C"/>
    <w:rsid w:val="00753385"/>
    <w:rsid w:val="00753DB7"/>
    <w:rsid w:val="00760DE2"/>
    <w:rsid w:val="00760F61"/>
    <w:rsid w:val="00764FCD"/>
    <w:rsid w:val="00765D9B"/>
    <w:rsid w:val="007660D6"/>
    <w:rsid w:val="00766198"/>
    <w:rsid w:val="0076627B"/>
    <w:rsid w:val="00771665"/>
    <w:rsid w:val="00775B91"/>
    <w:rsid w:val="00777CB7"/>
    <w:rsid w:val="00781D97"/>
    <w:rsid w:val="00782DA6"/>
    <w:rsid w:val="007835B7"/>
    <w:rsid w:val="007835FF"/>
    <w:rsid w:val="00783CC3"/>
    <w:rsid w:val="00783F81"/>
    <w:rsid w:val="007840FA"/>
    <w:rsid w:val="00790664"/>
    <w:rsid w:val="0079113A"/>
    <w:rsid w:val="00794072"/>
    <w:rsid w:val="00796BF6"/>
    <w:rsid w:val="007A0F5C"/>
    <w:rsid w:val="007A2251"/>
    <w:rsid w:val="007A2854"/>
    <w:rsid w:val="007A3B6D"/>
    <w:rsid w:val="007A3C82"/>
    <w:rsid w:val="007A62DB"/>
    <w:rsid w:val="007B432A"/>
    <w:rsid w:val="007B7D29"/>
    <w:rsid w:val="007C15AE"/>
    <w:rsid w:val="007C1B5C"/>
    <w:rsid w:val="007C7CA6"/>
    <w:rsid w:val="007D10F4"/>
    <w:rsid w:val="007D1358"/>
    <w:rsid w:val="007D334B"/>
    <w:rsid w:val="007D4D72"/>
    <w:rsid w:val="007D75E3"/>
    <w:rsid w:val="007E2393"/>
    <w:rsid w:val="007E3708"/>
    <w:rsid w:val="007E5953"/>
    <w:rsid w:val="007E628A"/>
    <w:rsid w:val="007E7ED3"/>
    <w:rsid w:val="007F157F"/>
    <w:rsid w:val="007F19A6"/>
    <w:rsid w:val="007F43DD"/>
    <w:rsid w:val="007F495B"/>
    <w:rsid w:val="007F744E"/>
    <w:rsid w:val="008012F3"/>
    <w:rsid w:val="008029B3"/>
    <w:rsid w:val="008030A0"/>
    <w:rsid w:val="0080428B"/>
    <w:rsid w:val="00804B67"/>
    <w:rsid w:val="00805390"/>
    <w:rsid w:val="00811203"/>
    <w:rsid w:val="00811691"/>
    <w:rsid w:val="00811DC9"/>
    <w:rsid w:val="0081365F"/>
    <w:rsid w:val="00813F97"/>
    <w:rsid w:val="00816C2D"/>
    <w:rsid w:val="00817226"/>
    <w:rsid w:val="00817C97"/>
    <w:rsid w:val="00822919"/>
    <w:rsid w:val="00822DBD"/>
    <w:rsid w:val="00823EB0"/>
    <w:rsid w:val="00825476"/>
    <w:rsid w:val="00825C4E"/>
    <w:rsid w:val="0082787B"/>
    <w:rsid w:val="00830AB5"/>
    <w:rsid w:val="008345AF"/>
    <w:rsid w:val="00836E2B"/>
    <w:rsid w:val="0083733D"/>
    <w:rsid w:val="0084172D"/>
    <w:rsid w:val="0084467E"/>
    <w:rsid w:val="00844C16"/>
    <w:rsid w:val="00844FB4"/>
    <w:rsid w:val="0084744E"/>
    <w:rsid w:val="00850993"/>
    <w:rsid w:val="008513C3"/>
    <w:rsid w:val="00851D42"/>
    <w:rsid w:val="008534C0"/>
    <w:rsid w:val="00853871"/>
    <w:rsid w:val="008541D6"/>
    <w:rsid w:val="008560E5"/>
    <w:rsid w:val="00864A21"/>
    <w:rsid w:val="008668C3"/>
    <w:rsid w:val="00866BCF"/>
    <w:rsid w:val="0086739E"/>
    <w:rsid w:val="00873CBF"/>
    <w:rsid w:val="00874272"/>
    <w:rsid w:val="00875583"/>
    <w:rsid w:val="00880237"/>
    <w:rsid w:val="008806DC"/>
    <w:rsid w:val="00881B32"/>
    <w:rsid w:val="008835E6"/>
    <w:rsid w:val="00887812"/>
    <w:rsid w:val="008909F8"/>
    <w:rsid w:val="00892080"/>
    <w:rsid w:val="00893700"/>
    <w:rsid w:val="00895319"/>
    <w:rsid w:val="00896068"/>
    <w:rsid w:val="00896F43"/>
    <w:rsid w:val="008A59B9"/>
    <w:rsid w:val="008A5D8D"/>
    <w:rsid w:val="008A6023"/>
    <w:rsid w:val="008A7ADE"/>
    <w:rsid w:val="008B0FCF"/>
    <w:rsid w:val="008B46C4"/>
    <w:rsid w:val="008B5B79"/>
    <w:rsid w:val="008C1C6D"/>
    <w:rsid w:val="008C2B13"/>
    <w:rsid w:val="008C3637"/>
    <w:rsid w:val="008C5267"/>
    <w:rsid w:val="008C6326"/>
    <w:rsid w:val="008D0D64"/>
    <w:rsid w:val="008D14FF"/>
    <w:rsid w:val="008D44AC"/>
    <w:rsid w:val="008E1370"/>
    <w:rsid w:val="008E2845"/>
    <w:rsid w:val="008E2FE9"/>
    <w:rsid w:val="008E6834"/>
    <w:rsid w:val="008E68DE"/>
    <w:rsid w:val="008F38E8"/>
    <w:rsid w:val="008F4529"/>
    <w:rsid w:val="008F5A44"/>
    <w:rsid w:val="008F5DDE"/>
    <w:rsid w:val="008F7F2D"/>
    <w:rsid w:val="00901582"/>
    <w:rsid w:val="00902FDB"/>
    <w:rsid w:val="0090437B"/>
    <w:rsid w:val="009045C4"/>
    <w:rsid w:val="00904A45"/>
    <w:rsid w:val="009073A6"/>
    <w:rsid w:val="00914687"/>
    <w:rsid w:val="00916BB4"/>
    <w:rsid w:val="0092007D"/>
    <w:rsid w:val="00921D87"/>
    <w:rsid w:val="00921D97"/>
    <w:rsid w:val="00922BB3"/>
    <w:rsid w:val="009231FB"/>
    <w:rsid w:val="009263EE"/>
    <w:rsid w:val="00931ED1"/>
    <w:rsid w:val="00933A40"/>
    <w:rsid w:val="00936CEA"/>
    <w:rsid w:val="009465A2"/>
    <w:rsid w:val="009475B9"/>
    <w:rsid w:val="009511BC"/>
    <w:rsid w:val="00951ADE"/>
    <w:rsid w:val="00951E18"/>
    <w:rsid w:val="00952A34"/>
    <w:rsid w:val="009541AA"/>
    <w:rsid w:val="00960798"/>
    <w:rsid w:val="009628E3"/>
    <w:rsid w:val="00963B5E"/>
    <w:rsid w:val="00964991"/>
    <w:rsid w:val="00964FFB"/>
    <w:rsid w:val="009669B9"/>
    <w:rsid w:val="009717D0"/>
    <w:rsid w:val="00971C4B"/>
    <w:rsid w:val="00972ECA"/>
    <w:rsid w:val="00973B5F"/>
    <w:rsid w:val="00973FBF"/>
    <w:rsid w:val="00974EC0"/>
    <w:rsid w:val="00980755"/>
    <w:rsid w:val="00983169"/>
    <w:rsid w:val="00986013"/>
    <w:rsid w:val="009872AF"/>
    <w:rsid w:val="009902C2"/>
    <w:rsid w:val="00992800"/>
    <w:rsid w:val="00995926"/>
    <w:rsid w:val="009A027A"/>
    <w:rsid w:val="009A0789"/>
    <w:rsid w:val="009A07C7"/>
    <w:rsid w:val="009A169B"/>
    <w:rsid w:val="009A4175"/>
    <w:rsid w:val="009A6D23"/>
    <w:rsid w:val="009B04AA"/>
    <w:rsid w:val="009B291C"/>
    <w:rsid w:val="009B3BEF"/>
    <w:rsid w:val="009B480D"/>
    <w:rsid w:val="009B4EFD"/>
    <w:rsid w:val="009B5913"/>
    <w:rsid w:val="009B6967"/>
    <w:rsid w:val="009C1B5A"/>
    <w:rsid w:val="009C47AC"/>
    <w:rsid w:val="009C4BE4"/>
    <w:rsid w:val="009C65B6"/>
    <w:rsid w:val="009C68AF"/>
    <w:rsid w:val="009C71FB"/>
    <w:rsid w:val="009C7579"/>
    <w:rsid w:val="009D11AB"/>
    <w:rsid w:val="009D26F6"/>
    <w:rsid w:val="009D2A5B"/>
    <w:rsid w:val="009D3AA7"/>
    <w:rsid w:val="009D4236"/>
    <w:rsid w:val="009D4EF7"/>
    <w:rsid w:val="009E2E60"/>
    <w:rsid w:val="009E354A"/>
    <w:rsid w:val="009E5FE3"/>
    <w:rsid w:val="009F27CD"/>
    <w:rsid w:val="009F427C"/>
    <w:rsid w:val="009F6888"/>
    <w:rsid w:val="009F7EAA"/>
    <w:rsid w:val="00A00DFA"/>
    <w:rsid w:val="00A011CE"/>
    <w:rsid w:val="00A01A2B"/>
    <w:rsid w:val="00A03405"/>
    <w:rsid w:val="00A070B6"/>
    <w:rsid w:val="00A07E03"/>
    <w:rsid w:val="00A10DBC"/>
    <w:rsid w:val="00A1530E"/>
    <w:rsid w:val="00A20043"/>
    <w:rsid w:val="00A21056"/>
    <w:rsid w:val="00A33A0F"/>
    <w:rsid w:val="00A33C3F"/>
    <w:rsid w:val="00A34AB6"/>
    <w:rsid w:val="00A37224"/>
    <w:rsid w:val="00A40DE2"/>
    <w:rsid w:val="00A425D2"/>
    <w:rsid w:val="00A42744"/>
    <w:rsid w:val="00A42F68"/>
    <w:rsid w:val="00A4605A"/>
    <w:rsid w:val="00A47AC4"/>
    <w:rsid w:val="00A5038E"/>
    <w:rsid w:val="00A54FB9"/>
    <w:rsid w:val="00A61A82"/>
    <w:rsid w:val="00A62097"/>
    <w:rsid w:val="00A676AC"/>
    <w:rsid w:val="00A707CD"/>
    <w:rsid w:val="00A70E7C"/>
    <w:rsid w:val="00A71E51"/>
    <w:rsid w:val="00A73BD2"/>
    <w:rsid w:val="00A73E09"/>
    <w:rsid w:val="00A73FE6"/>
    <w:rsid w:val="00A74C45"/>
    <w:rsid w:val="00A76AC0"/>
    <w:rsid w:val="00A802A4"/>
    <w:rsid w:val="00A811EF"/>
    <w:rsid w:val="00A83812"/>
    <w:rsid w:val="00A8682D"/>
    <w:rsid w:val="00A90B61"/>
    <w:rsid w:val="00A927B1"/>
    <w:rsid w:val="00A93FFA"/>
    <w:rsid w:val="00A965EA"/>
    <w:rsid w:val="00A9660A"/>
    <w:rsid w:val="00AA275C"/>
    <w:rsid w:val="00AA2CAF"/>
    <w:rsid w:val="00AA50A5"/>
    <w:rsid w:val="00AA6C7F"/>
    <w:rsid w:val="00AA7760"/>
    <w:rsid w:val="00AB69D6"/>
    <w:rsid w:val="00AB71E5"/>
    <w:rsid w:val="00AB7997"/>
    <w:rsid w:val="00AC0859"/>
    <w:rsid w:val="00AC28D3"/>
    <w:rsid w:val="00AC4C5A"/>
    <w:rsid w:val="00AC7E9C"/>
    <w:rsid w:val="00AD0576"/>
    <w:rsid w:val="00AD0B1A"/>
    <w:rsid w:val="00AD322A"/>
    <w:rsid w:val="00AD36ED"/>
    <w:rsid w:val="00AD4E90"/>
    <w:rsid w:val="00AD5F04"/>
    <w:rsid w:val="00AD7D84"/>
    <w:rsid w:val="00AE0952"/>
    <w:rsid w:val="00AE0C16"/>
    <w:rsid w:val="00AE43E6"/>
    <w:rsid w:val="00AE47C8"/>
    <w:rsid w:val="00AE5727"/>
    <w:rsid w:val="00AE695A"/>
    <w:rsid w:val="00AF221F"/>
    <w:rsid w:val="00AF2F9B"/>
    <w:rsid w:val="00AF6167"/>
    <w:rsid w:val="00B06534"/>
    <w:rsid w:val="00B11D7C"/>
    <w:rsid w:val="00B12860"/>
    <w:rsid w:val="00B14D3E"/>
    <w:rsid w:val="00B1680A"/>
    <w:rsid w:val="00B2389D"/>
    <w:rsid w:val="00B32065"/>
    <w:rsid w:val="00B3552B"/>
    <w:rsid w:val="00B37787"/>
    <w:rsid w:val="00B41D11"/>
    <w:rsid w:val="00B464D3"/>
    <w:rsid w:val="00B471A6"/>
    <w:rsid w:val="00B501A9"/>
    <w:rsid w:val="00B506B3"/>
    <w:rsid w:val="00B51715"/>
    <w:rsid w:val="00B51860"/>
    <w:rsid w:val="00B52D79"/>
    <w:rsid w:val="00B55EF9"/>
    <w:rsid w:val="00B63184"/>
    <w:rsid w:val="00B633A1"/>
    <w:rsid w:val="00B633E6"/>
    <w:rsid w:val="00B6759A"/>
    <w:rsid w:val="00B677A7"/>
    <w:rsid w:val="00B70225"/>
    <w:rsid w:val="00B715FC"/>
    <w:rsid w:val="00B73328"/>
    <w:rsid w:val="00B808F4"/>
    <w:rsid w:val="00B814FB"/>
    <w:rsid w:val="00B825BA"/>
    <w:rsid w:val="00B83157"/>
    <w:rsid w:val="00B86ECB"/>
    <w:rsid w:val="00B871A3"/>
    <w:rsid w:val="00B9088C"/>
    <w:rsid w:val="00B92018"/>
    <w:rsid w:val="00B944E2"/>
    <w:rsid w:val="00B9470F"/>
    <w:rsid w:val="00B94A66"/>
    <w:rsid w:val="00B97CA8"/>
    <w:rsid w:val="00BA2F1C"/>
    <w:rsid w:val="00BA7368"/>
    <w:rsid w:val="00BB436A"/>
    <w:rsid w:val="00BB6A01"/>
    <w:rsid w:val="00BB6C41"/>
    <w:rsid w:val="00BC149B"/>
    <w:rsid w:val="00BC26D5"/>
    <w:rsid w:val="00BC2C20"/>
    <w:rsid w:val="00BC3423"/>
    <w:rsid w:val="00BC5DBF"/>
    <w:rsid w:val="00BC74CB"/>
    <w:rsid w:val="00BC76BF"/>
    <w:rsid w:val="00BC7CA7"/>
    <w:rsid w:val="00BD0FAD"/>
    <w:rsid w:val="00BD7815"/>
    <w:rsid w:val="00BE0721"/>
    <w:rsid w:val="00BE15C9"/>
    <w:rsid w:val="00BE2F1A"/>
    <w:rsid w:val="00BE342B"/>
    <w:rsid w:val="00BE578A"/>
    <w:rsid w:val="00BF24D1"/>
    <w:rsid w:val="00BF5262"/>
    <w:rsid w:val="00C0380B"/>
    <w:rsid w:val="00C03B20"/>
    <w:rsid w:val="00C058A1"/>
    <w:rsid w:val="00C1490B"/>
    <w:rsid w:val="00C1617E"/>
    <w:rsid w:val="00C1644C"/>
    <w:rsid w:val="00C17040"/>
    <w:rsid w:val="00C177C9"/>
    <w:rsid w:val="00C17A40"/>
    <w:rsid w:val="00C225E9"/>
    <w:rsid w:val="00C23B44"/>
    <w:rsid w:val="00C24582"/>
    <w:rsid w:val="00C2469F"/>
    <w:rsid w:val="00C252BD"/>
    <w:rsid w:val="00C27044"/>
    <w:rsid w:val="00C3008C"/>
    <w:rsid w:val="00C326A6"/>
    <w:rsid w:val="00C3423A"/>
    <w:rsid w:val="00C34501"/>
    <w:rsid w:val="00C34EE6"/>
    <w:rsid w:val="00C37AE6"/>
    <w:rsid w:val="00C415A5"/>
    <w:rsid w:val="00C423E1"/>
    <w:rsid w:val="00C44A66"/>
    <w:rsid w:val="00C45911"/>
    <w:rsid w:val="00C466C5"/>
    <w:rsid w:val="00C46CEC"/>
    <w:rsid w:val="00C50C07"/>
    <w:rsid w:val="00C50E62"/>
    <w:rsid w:val="00C54818"/>
    <w:rsid w:val="00C54C95"/>
    <w:rsid w:val="00C603A4"/>
    <w:rsid w:val="00C60B62"/>
    <w:rsid w:val="00C6189A"/>
    <w:rsid w:val="00C61AFF"/>
    <w:rsid w:val="00C61B68"/>
    <w:rsid w:val="00C63073"/>
    <w:rsid w:val="00C66C9F"/>
    <w:rsid w:val="00C6734A"/>
    <w:rsid w:val="00C75854"/>
    <w:rsid w:val="00C770C3"/>
    <w:rsid w:val="00C8212B"/>
    <w:rsid w:val="00C82DFA"/>
    <w:rsid w:val="00C8531F"/>
    <w:rsid w:val="00C854E9"/>
    <w:rsid w:val="00C87B54"/>
    <w:rsid w:val="00C915A2"/>
    <w:rsid w:val="00C92464"/>
    <w:rsid w:val="00C939C1"/>
    <w:rsid w:val="00C962C7"/>
    <w:rsid w:val="00CA26A0"/>
    <w:rsid w:val="00CA4ED6"/>
    <w:rsid w:val="00CA4F87"/>
    <w:rsid w:val="00CA6806"/>
    <w:rsid w:val="00CB025E"/>
    <w:rsid w:val="00CB663C"/>
    <w:rsid w:val="00CC05E7"/>
    <w:rsid w:val="00CC13D5"/>
    <w:rsid w:val="00CC4CD3"/>
    <w:rsid w:val="00CC6082"/>
    <w:rsid w:val="00CD0508"/>
    <w:rsid w:val="00CD390C"/>
    <w:rsid w:val="00CD394D"/>
    <w:rsid w:val="00CD4E50"/>
    <w:rsid w:val="00CD57B8"/>
    <w:rsid w:val="00CD57E2"/>
    <w:rsid w:val="00CE0783"/>
    <w:rsid w:val="00CE332F"/>
    <w:rsid w:val="00CE51D3"/>
    <w:rsid w:val="00CE7BA7"/>
    <w:rsid w:val="00CE7BD9"/>
    <w:rsid w:val="00CE7CDA"/>
    <w:rsid w:val="00CE7E9F"/>
    <w:rsid w:val="00CE7F1A"/>
    <w:rsid w:val="00CF0F9C"/>
    <w:rsid w:val="00CF238C"/>
    <w:rsid w:val="00CF567E"/>
    <w:rsid w:val="00D004CE"/>
    <w:rsid w:val="00D0487D"/>
    <w:rsid w:val="00D07370"/>
    <w:rsid w:val="00D076AB"/>
    <w:rsid w:val="00D12D6D"/>
    <w:rsid w:val="00D145BA"/>
    <w:rsid w:val="00D14E2E"/>
    <w:rsid w:val="00D1552A"/>
    <w:rsid w:val="00D2351B"/>
    <w:rsid w:val="00D23EDF"/>
    <w:rsid w:val="00D246D7"/>
    <w:rsid w:val="00D305D6"/>
    <w:rsid w:val="00D34970"/>
    <w:rsid w:val="00D34CCE"/>
    <w:rsid w:val="00D364A3"/>
    <w:rsid w:val="00D36763"/>
    <w:rsid w:val="00D375DE"/>
    <w:rsid w:val="00D377EA"/>
    <w:rsid w:val="00D400DB"/>
    <w:rsid w:val="00D40233"/>
    <w:rsid w:val="00D424E1"/>
    <w:rsid w:val="00D43D58"/>
    <w:rsid w:val="00D52CE3"/>
    <w:rsid w:val="00D54B40"/>
    <w:rsid w:val="00D573D3"/>
    <w:rsid w:val="00D57A5B"/>
    <w:rsid w:val="00D6256D"/>
    <w:rsid w:val="00D648D3"/>
    <w:rsid w:val="00D64F3E"/>
    <w:rsid w:val="00D70B5B"/>
    <w:rsid w:val="00D754B7"/>
    <w:rsid w:val="00D807CA"/>
    <w:rsid w:val="00D80B11"/>
    <w:rsid w:val="00D84258"/>
    <w:rsid w:val="00D8478F"/>
    <w:rsid w:val="00D9489B"/>
    <w:rsid w:val="00D94AA9"/>
    <w:rsid w:val="00DA0ED1"/>
    <w:rsid w:val="00DA1084"/>
    <w:rsid w:val="00DA15B4"/>
    <w:rsid w:val="00DA1C99"/>
    <w:rsid w:val="00DA416E"/>
    <w:rsid w:val="00DB00A5"/>
    <w:rsid w:val="00DB1BC9"/>
    <w:rsid w:val="00DB1F0F"/>
    <w:rsid w:val="00DB40A1"/>
    <w:rsid w:val="00DB6CE4"/>
    <w:rsid w:val="00DB77E1"/>
    <w:rsid w:val="00DB7BE7"/>
    <w:rsid w:val="00DC2343"/>
    <w:rsid w:val="00DC35BE"/>
    <w:rsid w:val="00DC52BB"/>
    <w:rsid w:val="00DD3B20"/>
    <w:rsid w:val="00DD596A"/>
    <w:rsid w:val="00DD6078"/>
    <w:rsid w:val="00DE1A6A"/>
    <w:rsid w:val="00DF1B10"/>
    <w:rsid w:val="00DF1BDE"/>
    <w:rsid w:val="00DF2266"/>
    <w:rsid w:val="00DF3531"/>
    <w:rsid w:val="00DF369C"/>
    <w:rsid w:val="00DF7128"/>
    <w:rsid w:val="00E01C36"/>
    <w:rsid w:val="00E03281"/>
    <w:rsid w:val="00E07E2C"/>
    <w:rsid w:val="00E11401"/>
    <w:rsid w:val="00E12E9F"/>
    <w:rsid w:val="00E1373D"/>
    <w:rsid w:val="00E1539F"/>
    <w:rsid w:val="00E1561D"/>
    <w:rsid w:val="00E15F3B"/>
    <w:rsid w:val="00E200A5"/>
    <w:rsid w:val="00E2079E"/>
    <w:rsid w:val="00E22201"/>
    <w:rsid w:val="00E23532"/>
    <w:rsid w:val="00E23D2A"/>
    <w:rsid w:val="00E25DD0"/>
    <w:rsid w:val="00E27171"/>
    <w:rsid w:val="00E274BA"/>
    <w:rsid w:val="00E30AA6"/>
    <w:rsid w:val="00E31051"/>
    <w:rsid w:val="00E347B0"/>
    <w:rsid w:val="00E36C13"/>
    <w:rsid w:val="00E426BA"/>
    <w:rsid w:val="00E43E46"/>
    <w:rsid w:val="00E45849"/>
    <w:rsid w:val="00E47655"/>
    <w:rsid w:val="00E50AFB"/>
    <w:rsid w:val="00E516C4"/>
    <w:rsid w:val="00E558DD"/>
    <w:rsid w:val="00E55C14"/>
    <w:rsid w:val="00E60F46"/>
    <w:rsid w:val="00E61A3F"/>
    <w:rsid w:val="00E6221E"/>
    <w:rsid w:val="00E651D4"/>
    <w:rsid w:val="00E67B96"/>
    <w:rsid w:val="00E71185"/>
    <w:rsid w:val="00E73253"/>
    <w:rsid w:val="00E756E6"/>
    <w:rsid w:val="00E77829"/>
    <w:rsid w:val="00E80BFA"/>
    <w:rsid w:val="00E82932"/>
    <w:rsid w:val="00E82A54"/>
    <w:rsid w:val="00E8368D"/>
    <w:rsid w:val="00E8498A"/>
    <w:rsid w:val="00E861BC"/>
    <w:rsid w:val="00E9011E"/>
    <w:rsid w:val="00E911A4"/>
    <w:rsid w:val="00E9160A"/>
    <w:rsid w:val="00EA10DB"/>
    <w:rsid w:val="00EA2267"/>
    <w:rsid w:val="00EA381E"/>
    <w:rsid w:val="00EB3C50"/>
    <w:rsid w:val="00EB4282"/>
    <w:rsid w:val="00EB7A0E"/>
    <w:rsid w:val="00EC08F6"/>
    <w:rsid w:val="00EC15BE"/>
    <w:rsid w:val="00EC30C4"/>
    <w:rsid w:val="00EC4E31"/>
    <w:rsid w:val="00EC5147"/>
    <w:rsid w:val="00EC61FC"/>
    <w:rsid w:val="00EC6AD9"/>
    <w:rsid w:val="00ED45B2"/>
    <w:rsid w:val="00ED5236"/>
    <w:rsid w:val="00EE3894"/>
    <w:rsid w:val="00EE3F21"/>
    <w:rsid w:val="00EE78A7"/>
    <w:rsid w:val="00EF087D"/>
    <w:rsid w:val="00EF0DDE"/>
    <w:rsid w:val="00EF1AA1"/>
    <w:rsid w:val="00EF2C4D"/>
    <w:rsid w:val="00EF4C19"/>
    <w:rsid w:val="00EF4F13"/>
    <w:rsid w:val="00EF518A"/>
    <w:rsid w:val="00EF5B5E"/>
    <w:rsid w:val="00EF672F"/>
    <w:rsid w:val="00F013E0"/>
    <w:rsid w:val="00F01CEF"/>
    <w:rsid w:val="00F02A03"/>
    <w:rsid w:val="00F0773C"/>
    <w:rsid w:val="00F07828"/>
    <w:rsid w:val="00F113F5"/>
    <w:rsid w:val="00F13802"/>
    <w:rsid w:val="00F144A2"/>
    <w:rsid w:val="00F15167"/>
    <w:rsid w:val="00F17A06"/>
    <w:rsid w:val="00F20F0E"/>
    <w:rsid w:val="00F250B2"/>
    <w:rsid w:val="00F25E56"/>
    <w:rsid w:val="00F33A92"/>
    <w:rsid w:val="00F37664"/>
    <w:rsid w:val="00F42FC3"/>
    <w:rsid w:val="00F45C4E"/>
    <w:rsid w:val="00F52925"/>
    <w:rsid w:val="00F55808"/>
    <w:rsid w:val="00F601FE"/>
    <w:rsid w:val="00F610F6"/>
    <w:rsid w:val="00F61605"/>
    <w:rsid w:val="00F63560"/>
    <w:rsid w:val="00F71E5D"/>
    <w:rsid w:val="00F74E43"/>
    <w:rsid w:val="00F76246"/>
    <w:rsid w:val="00F764EC"/>
    <w:rsid w:val="00F82352"/>
    <w:rsid w:val="00F84363"/>
    <w:rsid w:val="00F84DB1"/>
    <w:rsid w:val="00F85360"/>
    <w:rsid w:val="00F85D7F"/>
    <w:rsid w:val="00F8786D"/>
    <w:rsid w:val="00F938CE"/>
    <w:rsid w:val="00F93EE5"/>
    <w:rsid w:val="00F95D85"/>
    <w:rsid w:val="00F95E00"/>
    <w:rsid w:val="00F96D5D"/>
    <w:rsid w:val="00F96F98"/>
    <w:rsid w:val="00FA0323"/>
    <w:rsid w:val="00FA2449"/>
    <w:rsid w:val="00FA291E"/>
    <w:rsid w:val="00FA3E59"/>
    <w:rsid w:val="00FA4BC1"/>
    <w:rsid w:val="00FA6302"/>
    <w:rsid w:val="00FB4F73"/>
    <w:rsid w:val="00FC0841"/>
    <w:rsid w:val="00FC0EF2"/>
    <w:rsid w:val="00FC3244"/>
    <w:rsid w:val="00FC773C"/>
    <w:rsid w:val="00FD1368"/>
    <w:rsid w:val="00FD1852"/>
    <w:rsid w:val="00FD1A53"/>
    <w:rsid w:val="00FD443F"/>
    <w:rsid w:val="00FE0671"/>
    <w:rsid w:val="00FE1771"/>
    <w:rsid w:val="00FE1914"/>
    <w:rsid w:val="00FE3951"/>
    <w:rsid w:val="00FE48E1"/>
    <w:rsid w:val="00FE71DA"/>
    <w:rsid w:val="00FF2674"/>
    <w:rsid w:val="00FF322D"/>
    <w:rsid w:val="00FF5779"/>
    <w:rsid w:val="00FF686F"/>
    <w:rsid w:val="00FF6DB7"/>
    <w:rsid w:val="14062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Arial" w:hAnsi="Arial" w:eastAsia="宋体" w:cs="Arial"/>
      <w:kern w:val="0"/>
      <w:sz w:val="18"/>
      <w:szCs w:val="18"/>
      <w:lang w:val="en-US" w:eastAsia="zh-CN" w:bidi="ar-SA"/>
    </w:rPr>
  </w:style>
  <w:style w:type="paragraph" w:styleId="2">
    <w:name w:val="heading 1"/>
    <w:basedOn w:val="1"/>
    <w:link w:val="28"/>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Document Map"/>
    <w:basedOn w:val="1"/>
    <w:link w:val="56"/>
    <w:semiHidden/>
    <w:unhideWhenUsed/>
    <w:uiPriority w:val="99"/>
    <w:rPr>
      <w:rFonts w:ascii="宋体"/>
    </w:rPr>
  </w:style>
  <w:style w:type="paragraph" w:styleId="6">
    <w:name w:val="annotation text"/>
    <w:basedOn w:val="1"/>
    <w:link w:val="61"/>
    <w:semiHidden/>
    <w:unhideWhenUsed/>
    <w:uiPriority w:val="99"/>
    <w:pPr>
      <w:jc w:val="left"/>
    </w:pPr>
  </w:style>
  <w:style w:type="paragraph" w:styleId="7">
    <w:name w:val="Body Text"/>
    <w:basedOn w:val="1"/>
    <w:link w:val="53"/>
    <w:uiPriority w:val="0"/>
    <w:pPr>
      <w:widowControl w:val="0"/>
      <w:shd w:val="clear" w:color="auto" w:fill="FFFFFF"/>
      <w:spacing w:line="226" w:lineRule="exact"/>
      <w:ind w:hanging="260"/>
      <w:jc w:val="left"/>
    </w:pPr>
    <w:rPr>
      <w:rFonts w:ascii="Franklin Gothic Heavy" w:hAnsi="Franklin Gothic Heavy" w:eastAsiaTheme="minorEastAsia" w:cstheme="minorBidi"/>
      <w:spacing w:val="10"/>
      <w:kern w:val="2"/>
      <w:sz w:val="17"/>
      <w:szCs w:val="17"/>
    </w:rPr>
  </w:style>
  <w:style w:type="paragraph" w:styleId="8">
    <w:name w:val="toc 3"/>
    <w:basedOn w:val="1"/>
    <w:next w:val="1"/>
    <w:autoRedefine/>
    <w:unhideWhenUsed/>
    <w:qFormat/>
    <w:uiPriority w:val="39"/>
    <w:pPr>
      <w:spacing w:after="100" w:line="276" w:lineRule="auto"/>
      <w:ind w:left="440"/>
      <w:jc w:val="left"/>
    </w:pPr>
    <w:rPr>
      <w:rFonts w:asciiTheme="minorHAnsi" w:hAnsiTheme="minorHAnsi" w:eastAsiaTheme="minorEastAsia" w:cstheme="minorBidi"/>
      <w:sz w:val="22"/>
      <w:szCs w:val="22"/>
    </w:rPr>
  </w:style>
  <w:style w:type="paragraph" w:styleId="9">
    <w:name w:val="Date"/>
    <w:basedOn w:val="1"/>
    <w:next w:val="1"/>
    <w:link w:val="33"/>
    <w:semiHidden/>
    <w:unhideWhenUsed/>
    <w:uiPriority w:val="99"/>
    <w:pPr>
      <w:ind w:left="100" w:leftChars="2500"/>
    </w:pPr>
  </w:style>
  <w:style w:type="paragraph" w:styleId="10">
    <w:name w:val="Balloon Text"/>
    <w:basedOn w:val="1"/>
    <w:link w:val="51"/>
    <w:semiHidden/>
    <w:unhideWhenUsed/>
    <w:uiPriority w:val="99"/>
  </w:style>
  <w:style w:type="paragraph" w:styleId="11">
    <w:name w:val="footer"/>
    <w:basedOn w:val="1"/>
    <w:link w:val="27"/>
    <w:unhideWhenUsed/>
    <w:uiPriority w:val="99"/>
    <w:pPr>
      <w:tabs>
        <w:tab w:val="center" w:pos="4153"/>
        <w:tab w:val="right" w:pos="8306"/>
      </w:tabs>
      <w:snapToGrid w:val="0"/>
      <w:jc w:val="left"/>
    </w:pPr>
  </w:style>
  <w:style w:type="paragraph" w:styleId="12">
    <w:name w:val="header"/>
    <w:basedOn w:val="1"/>
    <w:link w:val="26"/>
    <w:unhideWhenUsed/>
    <w:uiPriority w:val="99"/>
    <w:pPr>
      <w:pBdr>
        <w:bottom w:val="single" w:color="auto" w:sz="6" w:space="1"/>
      </w:pBdr>
      <w:tabs>
        <w:tab w:val="center" w:pos="4153"/>
        <w:tab w:val="right" w:pos="8306"/>
      </w:tabs>
      <w:snapToGrid w:val="0"/>
      <w:jc w:val="center"/>
    </w:pPr>
  </w:style>
  <w:style w:type="paragraph" w:styleId="13">
    <w:name w:val="toc 1"/>
    <w:basedOn w:val="1"/>
    <w:next w:val="1"/>
    <w:autoRedefine/>
    <w:unhideWhenUsed/>
    <w:qFormat/>
    <w:uiPriority w:val="39"/>
    <w:pPr>
      <w:spacing w:after="100" w:line="276" w:lineRule="auto"/>
      <w:jc w:val="left"/>
    </w:pPr>
    <w:rPr>
      <w:rFonts w:asciiTheme="minorHAnsi" w:hAnsiTheme="minorHAnsi" w:eastAsiaTheme="minorEastAsia" w:cstheme="minorBidi"/>
      <w:sz w:val="22"/>
      <w:szCs w:val="22"/>
    </w:rPr>
  </w:style>
  <w:style w:type="paragraph" w:styleId="14">
    <w:name w:val="toc 2"/>
    <w:basedOn w:val="1"/>
    <w:next w:val="1"/>
    <w:autoRedefine/>
    <w:unhideWhenUsed/>
    <w:qFormat/>
    <w:uiPriority w:val="39"/>
    <w:pPr>
      <w:spacing w:after="100" w:line="276" w:lineRule="auto"/>
      <w:ind w:left="220"/>
      <w:jc w:val="left"/>
    </w:pPr>
    <w:rPr>
      <w:rFonts w:asciiTheme="minorHAnsi" w:hAnsiTheme="minorHAnsi" w:eastAsiaTheme="minorEastAsia" w:cstheme="minorBidi"/>
      <w:sz w:val="22"/>
      <w:szCs w:val="22"/>
    </w:rPr>
  </w:style>
  <w:style w:type="paragraph" w:styleId="15">
    <w:name w:val="Normal (Web)"/>
    <w:basedOn w:val="1"/>
    <w:semiHidden/>
    <w:unhideWhenUsed/>
    <w:uiPriority w:val="99"/>
    <w:rPr>
      <w:rFonts w:ascii="Times New Roman" w:hAnsi="Times New Roman" w:cs="Times New Roman"/>
      <w:sz w:val="24"/>
      <w:szCs w:val="24"/>
    </w:rPr>
  </w:style>
  <w:style w:type="paragraph" w:styleId="16">
    <w:name w:val="annotation subject"/>
    <w:basedOn w:val="6"/>
    <w:next w:val="6"/>
    <w:link w:val="62"/>
    <w:semiHidden/>
    <w:unhideWhenUsed/>
    <w:uiPriority w:val="99"/>
    <w:rPr>
      <w:b/>
      <w:bCs/>
    </w:rPr>
  </w:style>
  <w:style w:type="table" w:styleId="18">
    <w:name w:val="Table Grid"/>
    <w:basedOn w:val="1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semiHidden/>
    <w:unhideWhenUsed/>
    <w:uiPriority w:val="99"/>
    <w:rPr>
      <w:color w:val="800080" w:themeColor="followedHyperlink"/>
      <w:u w:val="single"/>
      <w14:textFill>
        <w14:solidFill>
          <w14:schemeClr w14:val="folHlink"/>
        </w14:solidFill>
      </w14:textFill>
    </w:rPr>
  </w:style>
  <w:style w:type="character" w:styleId="22">
    <w:name w:val="Emphasis"/>
    <w:basedOn w:val="19"/>
    <w:qFormat/>
    <w:uiPriority w:val="20"/>
    <w:rPr>
      <w:i/>
      <w:iCs/>
    </w:rPr>
  </w:style>
  <w:style w:type="character" w:styleId="23">
    <w:name w:val="line number"/>
    <w:basedOn w:val="19"/>
    <w:semiHidden/>
    <w:unhideWhenUsed/>
    <w:qFormat/>
    <w:uiPriority w:val="99"/>
  </w:style>
  <w:style w:type="character" w:styleId="24">
    <w:name w:val="Hyperlink"/>
    <w:basedOn w:val="19"/>
    <w:unhideWhenUsed/>
    <w:qFormat/>
    <w:uiPriority w:val="99"/>
    <w:rPr>
      <w:color w:val="0000FF" w:themeColor="hyperlink"/>
      <w:u w:val="single"/>
      <w14:textFill>
        <w14:solidFill>
          <w14:schemeClr w14:val="hlink"/>
        </w14:solidFill>
      </w14:textFill>
    </w:rPr>
  </w:style>
  <w:style w:type="character" w:styleId="25">
    <w:name w:val="annotation reference"/>
    <w:basedOn w:val="19"/>
    <w:unhideWhenUsed/>
    <w:uiPriority w:val="99"/>
    <w:rPr>
      <w:sz w:val="21"/>
      <w:szCs w:val="21"/>
    </w:rPr>
  </w:style>
  <w:style w:type="character" w:customStyle="1" w:styleId="26">
    <w:name w:val="页眉 Char"/>
    <w:basedOn w:val="19"/>
    <w:link w:val="12"/>
    <w:uiPriority w:val="99"/>
    <w:rPr>
      <w:sz w:val="18"/>
      <w:szCs w:val="18"/>
    </w:rPr>
  </w:style>
  <w:style w:type="character" w:customStyle="1" w:styleId="27">
    <w:name w:val="页脚 Char"/>
    <w:basedOn w:val="19"/>
    <w:link w:val="11"/>
    <w:uiPriority w:val="99"/>
    <w:rPr>
      <w:sz w:val="18"/>
      <w:szCs w:val="18"/>
    </w:rPr>
  </w:style>
  <w:style w:type="character" w:customStyle="1" w:styleId="28">
    <w:name w:val="标题 1 Char"/>
    <w:basedOn w:val="19"/>
    <w:link w:val="2"/>
    <w:uiPriority w:val="9"/>
    <w:rPr>
      <w:rFonts w:ascii="宋体" w:hAnsi="宋体" w:eastAsia="宋体" w:cs="宋体"/>
      <w:b/>
      <w:bCs/>
      <w:kern w:val="36"/>
      <w:sz w:val="48"/>
      <w:szCs w:val="48"/>
    </w:rPr>
  </w:style>
  <w:style w:type="character" w:customStyle="1" w:styleId="29">
    <w:name w:val="标题 2 Char"/>
    <w:basedOn w:val="19"/>
    <w:link w:val="3"/>
    <w:qFormat/>
    <w:uiPriority w:val="9"/>
    <w:rPr>
      <w:rFonts w:asciiTheme="majorHAnsi" w:hAnsiTheme="majorHAnsi" w:eastAsiaTheme="majorEastAsia" w:cstheme="majorBidi"/>
      <w:b/>
      <w:bCs/>
      <w:kern w:val="0"/>
      <w:sz w:val="32"/>
      <w:szCs w:val="32"/>
    </w:rPr>
  </w:style>
  <w:style w:type="character" w:customStyle="1" w:styleId="30">
    <w:name w:val="标题 3 Char"/>
    <w:basedOn w:val="19"/>
    <w:link w:val="4"/>
    <w:qFormat/>
    <w:uiPriority w:val="9"/>
    <w:rPr>
      <w:rFonts w:ascii="Arial" w:hAnsi="Arial" w:eastAsia="宋体" w:cs="Arial"/>
      <w:b/>
      <w:bCs/>
      <w:kern w:val="0"/>
      <w:sz w:val="32"/>
      <w:szCs w:val="32"/>
    </w:rPr>
  </w:style>
  <w:style w:type="paragraph" w:styleId="31">
    <w:name w:val="List Paragraph"/>
    <w:basedOn w:val="1"/>
    <w:qFormat/>
    <w:uiPriority w:val="0"/>
    <w:pPr>
      <w:ind w:firstLine="420" w:firstLineChars="200"/>
    </w:pPr>
  </w:style>
  <w:style w:type="paragraph" w:styleId="32">
    <w:name w:val="No Spacing"/>
    <w:qFormat/>
    <w:uiPriority w:val="1"/>
    <w:pPr>
      <w:jc w:val="both"/>
    </w:pPr>
    <w:rPr>
      <w:rFonts w:ascii="Arial" w:hAnsi="Arial" w:eastAsia="宋体" w:cs="Arial"/>
      <w:kern w:val="0"/>
      <w:sz w:val="18"/>
      <w:szCs w:val="18"/>
      <w:lang w:val="en-US" w:eastAsia="zh-CN" w:bidi="ar-SA"/>
    </w:rPr>
  </w:style>
  <w:style w:type="character" w:customStyle="1" w:styleId="33">
    <w:name w:val="日期 Char"/>
    <w:basedOn w:val="19"/>
    <w:link w:val="9"/>
    <w:semiHidden/>
    <w:qFormat/>
    <w:uiPriority w:val="99"/>
    <w:rPr>
      <w:rFonts w:ascii="Arial" w:hAnsi="Arial" w:eastAsia="宋体" w:cs="Arial"/>
      <w:kern w:val="0"/>
      <w:sz w:val="18"/>
      <w:szCs w:val="18"/>
    </w:rPr>
  </w:style>
  <w:style w:type="character" w:customStyle="1" w:styleId="34">
    <w:name w:val="a-size-large"/>
    <w:basedOn w:val="19"/>
    <w:uiPriority w:val="0"/>
  </w:style>
  <w:style w:type="paragraph" w:customStyle="1" w:styleId="35">
    <w:name w:val="reader-word-layer"/>
    <w:basedOn w:val="1"/>
    <w:uiPriority w:val="0"/>
    <w:pPr>
      <w:spacing w:before="100" w:beforeAutospacing="1" w:after="100" w:afterAutospacing="1"/>
      <w:jc w:val="left"/>
    </w:pPr>
    <w:rPr>
      <w:rFonts w:ascii="宋体" w:hAnsi="宋体" w:cs="宋体"/>
      <w:sz w:val="24"/>
      <w:szCs w:val="24"/>
    </w:rPr>
  </w:style>
  <w:style w:type="character" w:customStyle="1" w:styleId="36">
    <w:name w:val="apple-converted-space"/>
    <w:basedOn w:val="19"/>
    <w:qFormat/>
    <w:uiPriority w:val="0"/>
  </w:style>
  <w:style w:type="paragraph" w:customStyle="1" w:styleId="37">
    <w:name w:val="段"/>
    <w:link w:val="38"/>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38">
    <w:name w:val="段 Char"/>
    <w:basedOn w:val="19"/>
    <w:link w:val="37"/>
    <w:qFormat/>
    <w:uiPriority w:val="99"/>
    <w:rPr>
      <w:rFonts w:ascii="宋体" w:hAnsi="Times New Roman" w:eastAsia="宋体" w:cs="Times New Roman"/>
      <w:kern w:val="0"/>
      <w:szCs w:val="20"/>
    </w:rPr>
  </w:style>
  <w:style w:type="paragraph" w:customStyle="1" w:styleId="39">
    <w:name w:val="一级条标题"/>
    <w:next w:val="37"/>
    <w:qFormat/>
    <w:uiPriority w:val="99"/>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40">
    <w:name w:val="章标题"/>
    <w:next w:val="37"/>
    <w:uiPriority w:val="99"/>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41">
    <w:name w:val="二级条标题"/>
    <w:basedOn w:val="39"/>
    <w:next w:val="37"/>
    <w:qFormat/>
    <w:uiPriority w:val="99"/>
    <w:pPr>
      <w:numPr>
        <w:ilvl w:val="2"/>
      </w:numPr>
      <w:spacing w:before="50" w:after="50"/>
      <w:outlineLvl w:val="3"/>
    </w:pPr>
  </w:style>
  <w:style w:type="paragraph" w:customStyle="1" w:styleId="42">
    <w:name w:val="三级条标题"/>
    <w:basedOn w:val="41"/>
    <w:next w:val="37"/>
    <w:qFormat/>
    <w:uiPriority w:val="99"/>
    <w:pPr>
      <w:numPr>
        <w:ilvl w:val="3"/>
      </w:numPr>
      <w:outlineLvl w:val="4"/>
    </w:pPr>
  </w:style>
  <w:style w:type="paragraph" w:customStyle="1" w:styleId="43">
    <w:name w:val="四级条标题"/>
    <w:basedOn w:val="42"/>
    <w:next w:val="37"/>
    <w:uiPriority w:val="0"/>
    <w:pPr>
      <w:numPr>
        <w:ilvl w:val="4"/>
      </w:numPr>
      <w:outlineLvl w:val="5"/>
    </w:pPr>
  </w:style>
  <w:style w:type="paragraph" w:customStyle="1" w:styleId="44">
    <w:name w:val="五级条标题"/>
    <w:basedOn w:val="43"/>
    <w:next w:val="37"/>
    <w:qFormat/>
    <w:uiPriority w:val="0"/>
    <w:pPr>
      <w:numPr>
        <w:ilvl w:val="5"/>
      </w:numPr>
      <w:outlineLvl w:val="6"/>
    </w:p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6">
    <w:name w:val="数字编号列项（二级）"/>
    <w:qFormat/>
    <w:uiPriority w:val="99"/>
    <w:pPr>
      <w:numPr>
        <w:ilvl w:val="1"/>
        <w:numId w:val="2"/>
      </w:numPr>
      <w:jc w:val="both"/>
    </w:pPr>
    <w:rPr>
      <w:rFonts w:ascii="宋体" w:hAnsi="Times New Roman" w:eastAsia="宋体" w:cs="Times New Roman"/>
      <w:kern w:val="0"/>
      <w:sz w:val="21"/>
      <w:szCs w:val="20"/>
      <w:lang w:val="en-US" w:eastAsia="zh-CN" w:bidi="ar-SA"/>
    </w:rPr>
  </w:style>
  <w:style w:type="paragraph" w:customStyle="1" w:styleId="47">
    <w:name w:val="字母编号列项（一级）"/>
    <w:qFormat/>
    <w:uiPriority w:val="0"/>
    <w:pPr>
      <w:numPr>
        <w:ilvl w:val="0"/>
        <w:numId w:val="2"/>
      </w:numPr>
      <w:jc w:val="both"/>
    </w:pPr>
    <w:rPr>
      <w:rFonts w:ascii="宋体" w:hAnsi="Times New Roman" w:eastAsia="宋体" w:cs="Times New Roman"/>
      <w:kern w:val="0"/>
      <w:sz w:val="21"/>
      <w:szCs w:val="20"/>
      <w:lang w:val="en-US" w:eastAsia="zh-CN" w:bidi="ar-SA"/>
    </w:rPr>
  </w:style>
  <w:style w:type="paragraph" w:customStyle="1" w:styleId="48">
    <w:name w:val="编号列项（三级）"/>
    <w:qFormat/>
    <w:uiPriority w:val="99"/>
    <w:pPr>
      <w:numPr>
        <w:ilvl w:val="2"/>
        <w:numId w:val="2"/>
      </w:numPr>
    </w:pPr>
    <w:rPr>
      <w:rFonts w:ascii="宋体" w:hAnsi="Times New Roman" w:eastAsia="宋体" w:cs="Times New Roman"/>
      <w:kern w:val="0"/>
      <w:sz w:val="21"/>
      <w:szCs w:val="20"/>
      <w:lang w:val="en-US" w:eastAsia="zh-CN" w:bidi="ar-SA"/>
    </w:rPr>
  </w:style>
  <w:style w:type="paragraph" w:customStyle="1" w:styleId="49">
    <w:name w:val="列出段落1"/>
    <w:basedOn w:val="1"/>
    <w:qFormat/>
    <w:uiPriority w:val="0"/>
    <w:pPr>
      <w:widowControl w:val="0"/>
      <w:ind w:firstLine="420" w:firstLineChars="200"/>
    </w:pPr>
    <w:rPr>
      <w:rFonts w:ascii="Times New Roman" w:hAnsi="Times New Roman" w:cs="Times New Roman"/>
      <w:kern w:val="2"/>
      <w:sz w:val="21"/>
      <w:szCs w:val="24"/>
    </w:rPr>
  </w:style>
  <w:style w:type="paragraph" w:customStyle="1" w:styleId="50">
    <w:name w:val="TOC Heading"/>
    <w:basedOn w:val="2"/>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51">
    <w:name w:val="批注框文本 Char"/>
    <w:basedOn w:val="19"/>
    <w:link w:val="10"/>
    <w:semiHidden/>
    <w:uiPriority w:val="99"/>
    <w:rPr>
      <w:rFonts w:ascii="Arial" w:hAnsi="Arial" w:eastAsia="宋体" w:cs="Arial"/>
      <w:kern w:val="0"/>
      <w:sz w:val="18"/>
      <w:szCs w:val="18"/>
    </w:rPr>
  </w:style>
  <w:style w:type="paragraph" w:customStyle="1" w:styleId="52">
    <w:name w:val="tgt"/>
    <w:basedOn w:val="1"/>
    <w:uiPriority w:val="0"/>
    <w:pPr>
      <w:spacing w:before="100" w:beforeAutospacing="1" w:after="100" w:afterAutospacing="1"/>
      <w:jc w:val="left"/>
    </w:pPr>
    <w:rPr>
      <w:rFonts w:ascii="宋体" w:hAnsi="宋体" w:cs="宋体"/>
      <w:sz w:val="24"/>
      <w:szCs w:val="24"/>
    </w:rPr>
  </w:style>
  <w:style w:type="character" w:customStyle="1" w:styleId="53">
    <w:name w:val="正文文本 Char"/>
    <w:link w:val="7"/>
    <w:uiPriority w:val="0"/>
    <w:rPr>
      <w:rFonts w:ascii="Franklin Gothic Heavy" w:hAnsi="Franklin Gothic Heavy"/>
      <w:spacing w:val="10"/>
      <w:sz w:val="17"/>
      <w:szCs w:val="17"/>
      <w:shd w:val="clear" w:color="auto" w:fill="FFFFFF"/>
    </w:rPr>
  </w:style>
  <w:style w:type="character" w:customStyle="1" w:styleId="54">
    <w:name w:val="正文文本 Char1"/>
    <w:basedOn w:val="19"/>
    <w:semiHidden/>
    <w:uiPriority w:val="99"/>
    <w:rPr>
      <w:rFonts w:ascii="Arial" w:hAnsi="Arial" w:eastAsia="宋体" w:cs="Arial"/>
      <w:kern w:val="0"/>
      <w:sz w:val="18"/>
      <w:szCs w:val="18"/>
    </w:rPr>
  </w:style>
  <w:style w:type="character" w:customStyle="1" w:styleId="55">
    <w:name w:val="f101"/>
    <w:basedOn w:val="19"/>
    <w:uiPriority w:val="0"/>
    <w:rPr>
      <w:spacing w:val="500"/>
      <w:sz w:val="24"/>
      <w:szCs w:val="24"/>
    </w:rPr>
  </w:style>
  <w:style w:type="character" w:customStyle="1" w:styleId="56">
    <w:name w:val="文档结构图 Char"/>
    <w:basedOn w:val="19"/>
    <w:link w:val="5"/>
    <w:semiHidden/>
    <w:uiPriority w:val="99"/>
    <w:rPr>
      <w:rFonts w:ascii="宋体" w:hAnsi="Arial" w:eastAsia="宋体" w:cs="Arial"/>
      <w:kern w:val="0"/>
      <w:sz w:val="18"/>
      <w:szCs w:val="18"/>
    </w:rPr>
  </w:style>
  <w:style w:type="paragraph" w:customStyle="1" w:styleId="57">
    <w:name w:val="王奕改内文"/>
    <w:basedOn w:val="1"/>
    <w:link w:val="58"/>
    <w:uiPriority w:val="0"/>
    <w:pPr>
      <w:spacing w:line="360" w:lineRule="auto"/>
      <w:ind w:firstLine="200" w:firstLineChars="200"/>
    </w:pPr>
    <w:rPr>
      <w:rFonts w:ascii="宋体" w:hAnsi="宋体" w:cs="MS Shell Dlg"/>
      <w:color w:val="000000"/>
      <w:spacing w:val="-4"/>
      <w:sz w:val="24"/>
      <w:szCs w:val="24"/>
    </w:rPr>
  </w:style>
  <w:style w:type="character" w:customStyle="1" w:styleId="58">
    <w:name w:val="王奕改内文 Char"/>
    <w:basedOn w:val="19"/>
    <w:link w:val="57"/>
    <w:uiPriority w:val="0"/>
    <w:rPr>
      <w:rFonts w:ascii="宋体" w:hAnsi="宋体" w:eastAsia="宋体" w:cs="MS Shell Dlg"/>
      <w:color w:val="000000"/>
      <w:spacing w:val="-4"/>
      <w:kern w:val="0"/>
      <w:sz w:val="24"/>
      <w:szCs w:val="24"/>
    </w:rPr>
  </w:style>
  <w:style w:type="paragraph" w:customStyle="1" w:styleId="59">
    <w:name w:val="王奕，内文"/>
    <w:basedOn w:val="15"/>
    <w:link w:val="60"/>
    <w:uiPriority w:val="0"/>
    <w:pPr>
      <w:spacing w:line="360" w:lineRule="auto"/>
      <w:ind w:firstLine="200" w:firstLineChars="200"/>
    </w:pPr>
    <w:rPr>
      <w:rFonts w:cs="MS Shell Dlg"/>
      <w:color w:val="000000"/>
    </w:rPr>
  </w:style>
  <w:style w:type="character" w:customStyle="1" w:styleId="60">
    <w:name w:val="王奕，内文 Char"/>
    <w:basedOn w:val="19"/>
    <w:link w:val="59"/>
    <w:uiPriority w:val="0"/>
    <w:rPr>
      <w:rFonts w:ascii="Times New Roman" w:hAnsi="Times New Roman" w:eastAsia="宋体" w:cs="MS Shell Dlg"/>
      <w:color w:val="000000"/>
      <w:kern w:val="0"/>
      <w:sz w:val="24"/>
      <w:szCs w:val="24"/>
    </w:rPr>
  </w:style>
  <w:style w:type="character" w:customStyle="1" w:styleId="61">
    <w:name w:val="批注文字 Char"/>
    <w:basedOn w:val="19"/>
    <w:link w:val="6"/>
    <w:semiHidden/>
    <w:uiPriority w:val="99"/>
    <w:rPr>
      <w:rFonts w:ascii="Arial" w:hAnsi="Arial" w:eastAsia="宋体" w:cs="Arial"/>
      <w:kern w:val="0"/>
      <w:sz w:val="18"/>
      <w:szCs w:val="18"/>
    </w:rPr>
  </w:style>
  <w:style w:type="character" w:customStyle="1" w:styleId="62">
    <w:name w:val="批注主题 Char"/>
    <w:basedOn w:val="61"/>
    <w:link w:val="16"/>
    <w:semiHidden/>
    <w:uiPriority w:val="99"/>
    <w:rPr>
      <w:rFonts w:ascii="Arial" w:hAnsi="Arial" w:eastAsia="宋体" w:cs="Arial"/>
      <w:b/>
      <w:bCs/>
      <w:kern w:val="0"/>
      <w:sz w:val="18"/>
      <w:szCs w:val="18"/>
    </w:rPr>
  </w:style>
  <w:style w:type="paragraph" w:customStyle="1" w:styleId="63">
    <w:name w:val="三级条标题_指导原则"/>
    <w:basedOn w:val="1"/>
    <w:qFormat/>
    <w:uiPriority w:val="0"/>
    <w:pPr>
      <w:widowControl w:val="0"/>
      <w:ind w:firstLine="200" w:firstLineChars="200"/>
    </w:pPr>
    <w:rPr>
      <w:rFonts w:ascii="Times New Roman" w:hAnsi="Times New Roman" w:eastAsia="楷体" w:cs="Times New Roman"/>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F89491-48B7-4AEF-BFDD-2852FFA2CDCB}">
  <ds:schemaRefs/>
</ds:datastoreItem>
</file>

<file path=docProps/app.xml><?xml version="1.0" encoding="utf-8"?>
<Properties xmlns="http://schemas.openxmlformats.org/officeDocument/2006/extended-properties" xmlns:vt="http://schemas.openxmlformats.org/officeDocument/2006/docPropsVTypes">
  <Template>Normal</Template>
  <Company>SFDA</Company>
  <Pages>26</Pages>
  <Words>6744</Words>
  <Characters>7452</Characters>
  <Lines>88</Lines>
  <Paragraphs>24</Paragraphs>
  <TotalTime>172</TotalTime>
  <ScaleCrop>false</ScaleCrop>
  <LinksUpToDate>false</LinksUpToDate>
  <CharactersWithSpaces>7558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2017-07-18T12:02:00Z</dcterms:created>
  <dc:creator>Richie</dc:creator>
  <cp:lastModifiedBy>太极箫客</cp:lastModifiedBy>
  <cp:lastPrinted>2017-07-12T09:12:00Z</cp:lastPrinted>
  <dcterms:modified xsi:type="dcterms:W3CDTF">2025-08-14T07:04:32Z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2B9CA496938A441E86CB79B357C8328D_12</vt:lpwstr>
  </property>
</Properties>
</file>