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F988">
      <w:pPr>
        <w:overflowPunct w:val="0"/>
        <w:spacing w:line="580" w:lineRule="exact"/>
        <w:jc w:val="left"/>
        <w:rPr>
          <w:rFonts w:ascii="Times New Roman" w:hAnsi="Times New Roman" w:eastAsia="方正小标宋简体"/>
          <w:sz w:val="44"/>
          <w:szCs w:val="36"/>
        </w:rPr>
      </w:pPr>
      <w:bookmarkStart w:id="9" w:name="_GoBack"/>
      <w:bookmarkEnd w:id="9"/>
    </w:p>
    <w:p w14:paraId="7D9C4C5E">
      <w:pPr>
        <w:overflowPunct w:val="0"/>
        <w:spacing w:line="580" w:lineRule="exact"/>
        <w:jc w:val="center"/>
        <w:rPr>
          <w:rFonts w:ascii="Times New Roman" w:hAnsi="Times New Roman" w:eastAsia="方正小标宋简体"/>
          <w:sz w:val="44"/>
          <w:szCs w:val="36"/>
        </w:rPr>
      </w:pPr>
      <w:r>
        <w:rPr>
          <w:rFonts w:hint="eastAsia" w:ascii="Times New Roman" w:hAnsi="Times New Roman" w:eastAsia="方正小标宋简体"/>
          <w:sz w:val="44"/>
          <w:szCs w:val="36"/>
        </w:rPr>
        <w:t>消毒棉片（签、球）注册审查指导原则</w:t>
      </w:r>
    </w:p>
    <w:p w14:paraId="6829CA36">
      <w:pPr>
        <w:overflowPunct w:val="0"/>
        <w:spacing w:line="580" w:lineRule="exact"/>
        <w:jc w:val="left"/>
        <w:rPr>
          <w:rFonts w:ascii="Times New Roman" w:hAnsi="Times New Roman" w:eastAsia="仿宋_GB2312"/>
          <w:sz w:val="32"/>
          <w:szCs w:val="32"/>
        </w:rPr>
      </w:pPr>
    </w:p>
    <w:p w14:paraId="1CEC29DC">
      <w:pPr>
        <w:overflowPunct w:val="0"/>
        <w:spacing w:line="580" w:lineRule="exact"/>
        <w:ind w:firstLine="641"/>
        <w:rPr>
          <w:rFonts w:ascii="仿宋_GB2312" w:eastAsia="仿宋_GB2312"/>
          <w:sz w:val="32"/>
          <w:szCs w:val="32"/>
        </w:rPr>
      </w:pPr>
      <w:r>
        <w:rPr>
          <w:rFonts w:hint="eastAsia" w:ascii="仿宋_GB2312" w:eastAsia="仿宋_GB2312"/>
          <w:sz w:val="32"/>
          <w:szCs w:val="32"/>
        </w:rPr>
        <w:t>本指导原则旨在指导注册申请人对消毒棉片（签、球）注册申报资料的准备及撰写，同时也为技术审评部门审评注册申报资料提供参考。</w:t>
      </w:r>
    </w:p>
    <w:p w14:paraId="5615DC3E">
      <w:pPr>
        <w:overflowPunct w:val="0"/>
        <w:spacing w:line="580" w:lineRule="exact"/>
        <w:ind w:firstLine="641"/>
        <w:rPr>
          <w:rFonts w:ascii="仿宋_GB2312" w:eastAsia="仿宋_GB2312"/>
          <w:sz w:val="32"/>
          <w:szCs w:val="32"/>
        </w:rPr>
      </w:pPr>
      <w:r>
        <w:rPr>
          <w:rFonts w:hint="eastAsia" w:ascii="仿宋_GB2312" w:eastAsia="仿宋_GB2312"/>
          <w:sz w:val="32"/>
          <w:szCs w:val="32"/>
        </w:rPr>
        <w:t>本指导原则是对消毒棉片（签、球）的一般要求，申请人应依据产品的具体特性确定其中内容是否适用。若不适用，需具体阐述理由及相应的科学依据，并依据产品的具体特性对注册申报资料的内容进行充实和细化。</w:t>
      </w:r>
    </w:p>
    <w:p w14:paraId="73B43B71">
      <w:pPr>
        <w:overflowPunct w:val="0"/>
        <w:spacing w:line="580" w:lineRule="exact"/>
        <w:ind w:firstLine="641"/>
        <w:rPr>
          <w:rFonts w:ascii="仿宋_GB2312" w:eastAsia="仿宋_GB2312"/>
          <w:sz w:val="32"/>
          <w:szCs w:val="32"/>
        </w:rPr>
      </w:pPr>
      <w:r>
        <w:rPr>
          <w:rFonts w:hint="eastAsia" w:ascii="仿宋_GB2312"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1C616BB">
      <w:pPr>
        <w:overflowPunct w:val="0"/>
        <w:spacing w:line="580" w:lineRule="exact"/>
        <w:ind w:firstLine="641"/>
        <w:rPr>
          <w:rFonts w:ascii="仿宋_GB2312" w:eastAsia="仿宋_GB2312"/>
          <w:sz w:val="32"/>
          <w:szCs w:val="32"/>
        </w:rPr>
      </w:pPr>
      <w:r>
        <w:rPr>
          <w:rFonts w:hint="eastAsia" w:ascii="仿宋_GB2312" w:eastAsia="仿宋_GB2312"/>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14:paraId="7FECF230">
      <w:pPr>
        <w:overflowPunct w:val="0"/>
        <w:spacing w:line="560" w:lineRule="exact"/>
        <w:ind w:firstLine="640" w:firstLineChars="200"/>
        <w:jc w:val="left"/>
        <w:outlineLvl w:val="0"/>
        <w:rPr>
          <w:rFonts w:ascii="Times New Roman" w:hAnsi="Times New Roman" w:eastAsia="黑体"/>
          <w:sz w:val="32"/>
          <w:szCs w:val="32"/>
        </w:rPr>
      </w:pPr>
      <w:bookmarkStart w:id="0" w:name="_Toc430332199"/>
      <w:bookmarkStart w:id="1" w:name="_Toc498607685"/>
      <w:r>
        <w:rPr>
          <w:rFonts w:hint="eastAsia" w:ascii="Times New Roman" w:hAnsi="Times New Roman" w:eastAsia="黑体"/>
          <w:sz w:val="32"/>
          <w:szCs w:val="32"/>
        </w:rPr>
        <w:t>一、适用范围</w:t>
      </w:r>
      <w:bookmarkEnd w:id="0"/>
      <w:bookmarkEnd w:id="1"/>
    </w:p>
    <w:p w14:paraId="6F991136">
      <w:pPr>
        <w:overflowPunct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适用于《医疗器械分类目录》中管理类别为Ⅱ类的消毒棉片（签、球），分类编码为14-16-10（注输、护理和防护器械-其它器械-涂抹及吸液材料）。产品通常由碘伏、碘酊或酒精和涂抹材料组成，部分产品有供手持的组件。一次性使用。</w:t>
      </w:r>
    </w:p>
    <w:p w14:paraId="2EA0B132">
      <w:pPr>
        <w:overflowPunct w:val="0"/>
        <w:spacing w:line="560" w:lineRule="exact"/>
        <w:ind w:firstLine="640" w:firstLineChars="200"/>
        <w:jc w:val="left"/>
        <w:outlineLvl w:val="0"/>
        <w:rPr>
          <w:rFonts w:ascii="Times New Roman" w:hAnsi="Times New Roman" w:eastAsia="黑体"/>
          <w:sz w:val="32"/>
          <w:szCs w:val="32"/>
        </w:rPr>
      </w:pPr>
      <w:bookmarkStart w:id="2" w:name="_Toc498607686"/>
      <w:r>
        <w:rPr>
          <w:rFonts w:hint="eastAsia" w:ascii="Times New Roman" w:hAnsi="Times New Roman" w:eastAsia="黑体"/>
          <w:sz w:val="32"/>
          <w:szCs w:val="32"/>
        </w:rPr>
        <w:t>二、</w:t>
      </w:r>
      <w:bookmarkEnd w:id="2"/>
      <w:r>
        <w:rPr>
          <w:rFonts w:hint="eastAsia" w:ascii="Times New Roman" w:hAnsi="Times New Roman" w:eastAsia="黑体"/>
          <w:sz w:val="32"/>
          <w:szCs w:val="32"/>
        </w:rPr>
        <w:t>注册审查要点</w:t>
      </w:r>
    </w:p>
    <w:p w14:paraId="305A3B17">
      <w:pPr>
        <w:overflowPunct w:val="0"/>
        <w:spacing w:line="54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监管信息</w:t>
      </w:r>
    </w:p>
    <w:p w14:paraId="4C7D2B4E">
      <w:pPr>
        <w:overflowPunct w:val="0"/>
        <w:autoSpaceDE w:val="0"/>
        <w:autoSpaceDN w:val="0"/>
        <w:spacing w:line="560" w:lineRule="exact"/>
        <w:ind w:firstLine="640" w:firstLineChars="200"/>
        <w:rPr>
          <w:rFonts w:eastAsia="仿宋_GB2312"/>
          <w:snapToGrid w:val="0"/>
          <w:kern w:val="0"/>
          <w:sz w:val="32"/>
          <w:szCs w:val="32"/>
        </w:rPr>
      </w:pPr>
      <w:r>
        <w:rPr>
          <w:rFonts w:eastAsia="仿宋_GB2312"/>
          <w:sz w:val="32"/>
          <w:szCs w:val="32"/>
        </w:rPr>
        <w:t>申请人应</w:t>
      </w:r>
      <w:r>
        <w:rPr>
          <w:rFonts w:hint="eastAsia" w:eastAsia="仿宋_GB2312"/>
          <w:sz w:val="32"/>
          <w:szCs w:val="32"/>
        </w:rPr>
        <w:t>提供申请表、产品列表、既往沟通记录、主文档授权信以及其它管理信息</w:t>
      </w:r>
      <w:r>
        <w:rPr>
          <w:rFonts w:eastAsia="仿宋_GB2312"/>
          <w:snapToGrid w:val="0"/>
          <w:kern w:val="0"/>
          <w:sz w:val="32"/>
          <w:szCs w:val="32"/>
        </w:rPr>
        <w:t>。</w:t>
      </w:r>
    </w:p>
    <w:p w14:paraId="60BF612A">
      <w:pPr>
        <w:overflowPunct w:val="0"/>
        <w:autoSpaceDE w:val="0"/>
        <w:autoSpaceDN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1.申请表</w:t>
      </w:r>
    </w:p>
    <w:p w14:paraId="0732CF62">
      <w:pPr>
        <w:overflowPunct w:val="0"/>
        <w:autoSpaceDE w:val="0"/>
        <w:autoSpaceDN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产品命名应符合《医疗器械通用名称命名规则》的要求，通常可采用碘伏棉签、酒精棉签、酒精消毒片、酒精棉片、酒精棉球等命名。</w:t>
      </w:r>
    </w:p>
    <w:p w14:paraId="036E5B57">
      <w:pPr>
        <w:overflowPunct w:val="0"/>
        <w:autoSpaceDE w:val="0"/>
        <w:autoSpaceDN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2.分类编码</w:t>
      </w:r>
    </w:p>
    <w:p w14:paraId="5072F046">
      <w:pPr>
        <w:overflowPunct w:val="0"/>
        <w:autoSpaceDE w:val="0"/>
        <w:autoSpaceDN w:val="0"/>
        <w:spacing w:line="540" w:lineRule="exact"/>
        <w:ind w:firstLine="640" w:firstLineChars="200"/>
        <w:rPr>
          <w:rFonts w:eastAsia="仿宋_GB2312"/>
          <w:snapToGrid w:val="0"/>
          <w:kern w:val="0"/>
          <w:sz w:val="32"/>
          <w:szCs w:val="32"/>
        </w:rPr>
      </w:pPr>
      <w:r>
        <w:rPr>
          <w:rFonts w:eastAsia="仿宋_GB2312"/>
          <w:snapToGrid w:val="0"/>
          <w:kern w:val="0"/>
          <w:sz w:val="32"/>
          <w:szCs w:val="32"/>
        </w:rPr>
        <w:t>参考《医疗器械分类目录》，申报产品属于子目录</w:t>
      </w:r>
      <w:r>
        <w:rPr>
          <w:rFonts w:hint="eastAsia" w:eastAsia="仿宋_GB2312"/>
          <w:snapToGrid w:val="0"/>
          <w:kern w:val="0"/>
          <w:sz w:val="32"/>
          <w:szCs w:val="32"/>
        </w:rPr>
        <w:t>14</w:t>
      </w:r>
      <w:r>
        <w:rPr>
          <w:rFonts w:eastAsia="仿宋_GB2312"/>
          <w:snapToGrid w:val="0"/>
          <w:kern w:val="0"/>
          <w:sz w:val="32"/>
          <w:szCs w:val="32"/>
        </w:rPr>
        <w:t>-</w:t>
      </w:r>
      <w:r>
        <w:rPr>
          <w:rFonts w:hint="eastAsia" w:eastAsia="仿宋_GB2312"/>
          <w:snapToGrid w:val="0"/>
          <w:kern w:val="0"/>
          <w:sz w:val="32"/>
          <w:szCs w:val="32"/>
        </w:rPr>
        <w:t>注输、护理和防护器械</w:t>
      </w:r>
      <w:r>
        <w:rPr>
          <w:rFonts w:eastAsia="仿宋_GB2312"/>
          <w:snapToGrid w:val="0"/>
          <w:kern w:val="0"/>
          <w:sz w:val="32"/>
          <w:szCs w:val="32"/>
        </w:rPr>
        <w:t>，一级产品类别</w:t>
      </w:r>
      <w:r>
        <w:rPr>
          <w:rFonts w:hint="eastAsia" w:eastAsia="仿宋_GB2312"/>
          <w:snapToGrid w:val="0"/>
          <w:kern w:val="0"/>
          <w:sz w:val="32"/>
          <w:szCs w:val="32"/>
        </w:rPr>
        <w:t>16-其它器械</w:t>
      </w:r>
      <w:r>
        <w:rPr>
          <w:rFonts w:eastAsia="仿宋_GB2312"/>
          <w:snapToGrid w:val="0"/>
          <w:kern w:val="0"/>
          <w:sz w:val="32"/>
          <w:szCs w:val="32"/>
        </w:rPr>
        <w:t>，二级产品类别</w:t>
      </w:r>
      <w:r>
        <w:rPr>
          <w:rFonts w:hint="eastAsia" w:eastAsia="仿宋_GB2312"/>
          <w:snapToGrid w:val="0"/>
          <w:kern w:val="0"/>
          <w:sz w:val="32"/>
          <w:szCs w:val="32"/>
        </w:rPr>
        <w:t>10-</w:t>
      </w:r>
      <w:r>
        <w:rPr>
          <w:rFonts w:hint="eastAsia" w:ascii="Times New Roman" w:eastAsia="仿宋_GB2312" w:cs="Times New Roman"/>
          <w:bCs/>
          <w:sz w:val="32"/>
          <w:szCs w:val="32"/>
        </w:rPr>
        <w:t>涂抹及吸液材料</w:t>
      </w:r>
      <w:r>
        <w:rPr>
          <w:rFonts w:eastAsia="仿宋_GB2312"/>
          <w:snapToGrid w:val="0"/>
          <w:kern w:val="0"/>
          <w:sz w:val="32"/>
          <w:szCs w:val="32"/>
        </w:rPr>
        <w:t>。</w:t>
      </w:r>
    </w:p>
    <w:p w14:paraId="65656A3A">
      <w:pPr>
        <w:overflowPunct w:val="0"/>
        <w:autoSpaceDE w:val="0"/>
        <w:autoSpaceDN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3.注册单元划分</w:t>
      </w:r>
    </w:p>
    <w:p w14:paraId="04D7AACD">
      <w:pPr>
        <w:overflowPunct w:val="0"/>
        <w:autoSpaceDE w:val="0"/>
        <w:autoSpaceDN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注册单元的划分应参照《总局关于发布医疗器械注册单元划分指导原则的通告》，以产品的技术原理、结构组成、性能指标和适用范围等因素为划分依据。</w:t>
      </w:r>
    </w:p>
    <w:p w14:paraId="431306CC">
      <w:pPr>
        <w:overflowPunct w:val="0"/>
        <w:autoSpaceDE w:val="0"/>
        <w:autoSpaceDN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例如：不同消毒剂应划分为不同注册单元。</w:t>
      </w:r>
    </w:p>
    <w:p w14:paraId="6E9B4338">
      <w:pPr>
        <w:spacing w:line="520" w:lineRule="exact"/>
        <w:ind w:right="-67" w:rightChars="-32" w:firstLine="640" w:firstLineChars="200"/>
        <w:rPr>
          <w:rFonts w:eastAsia="楷体_GB2312"/>
          <w:sz w:val="32"/>
          <w:szCs w:val="32"/>
        </w:rPr>
      </w:pPr>
      <w:r>
        <w:rPr>
          <w:rFonts w:eastAsia="楷体_GB2312"/>
          <w:sz w:val="32"/>
          <w:szCs w:val="32"/>
        </w:rPr>
        <w:t>（二）</w:t>
      </w:r>
      <w:r>
        <w:rPr>
          <w:rFonts w:hint="eastAsia" w:eastAsia="楷体_GB2312"/>
          <w:sz w:val="32"/>
          <w:szCs w:val="32"/>
        </w:rPr>
        <w:t>综述资料</w:t>
      </w:r>
    </w:p>
    <w:p w14:paraId="4FBFC118">
      <w:pPr>
        <w:pStyle w:val="3"/>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概述</w:t>
      </w:r>
    </w:p>
    <w:p w14:paraId="486F469E">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1.1</w:t>
      </w:r>
      <w:r>
        <w:rPr>
          <w:rFonts w:ascii="Times New Roman" w:eastAsia="仿宋_GB2312" w:cs="Times New Roman"/>
          <w:bCs/>
          <w:sz w:val="32"/>
          <w:szCs w:val="32"/>
        </w:rPr>
        <w:t>依据医疗器械分类目录，</w:t>
      </w:r>
      <w:r>
        <w:rPr>
          <w:rFonts w:hint="eastAsia" w:ascii="Times New Roman" w:eastAsia="仿宋_GB2312" w:cs="Times New Roman"/>
          <w:sz w:val="32"/>
          <w:szCs w:val="32"/>
        </w:rPr>
        <w:t>消毒棉片（签、球）</w:t>
      </w:r>
      <w:r>
        <w:rPr>
          <w:rFonts w:ascii="Times New Roman" w:eastAsia="仿宋_GB2312" w:cs="Times New Roman"/>
          <w:bCs/>
          <w:sz w:val="32"/>
          <w:szCs w:val="32"/>
        </w:rPr>
        <w:t>管理类别为</w:t>
      </w:r>
      <w:r>
        <w:rPr>
          <w:rFonts w:ascii="Times New Roman" w:hAnsi="宋体" w:eastAsia="宋体" w:cs="Times New Roman"/>
          <w:bCs/>
          <w:sz w:val="32"/>
          <w:szCs w:val="32"/>
        </w:rPr>
        <w:t>Ⅱ</w:t>
      </w:r>
      <w:r>
        <w:rPr>
          <w:rFonts w:ascii="Times New Roman" w:eastAsia="仿宋_GB2312" w:cs="Times New Roman"/>
          <w:bCs/>
          <w:sz w:val="32"/>
          <w:szCs w:val="32"/>
        </w:rPr>
        <w:t>类医疗器械，分类编码为</w:t>
      </w:r>
      <w:r>
        <w:rPr>
          <w:rFonts w:hint="eastAsia" w:ascii="Times New Roman" w:hAnsi="Times New Roman" w:eastAsia="仿宋_GB2312" w:cs="Times New Roman"/>
          <w:bCs/>
          <w:sz w:val="32"/>
          <w:szCs w:val="32"/>
        </w:rPr>
        <w:t>14-16-10（注输、护理和防护器械-其它器械-涂抹及吸液材料）</w:t>
      </w:r>
      <w:r>
        <w:rPr>
          <w:rFonts w:ascii="Times New Roman" w:eastAsia="仿宋_GB2312" w:cs="Times New Roman"/>
          <w:bCs/>
          <w:sz w:val="32"/>
          <w:szCs w:val="32"/>
        </w:rPr>
        <w:t>。</w:t>
      </w:r>
    </w:p>
    <w:p w14:paraId="3773F666">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1.2产品命名应符合《医疗器械通用名称命名规则》和国家标准、行业标准中的通用名称要求，如：碘伏棉签、酒精棉签、酒精消毒片、酒精棉片、酒精棉球等。</w:t>
      </w:r>
    </w:p>
    <w:p w14:paraId="4881A61D">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2.产品描述</w:t>
      </w:r>
    </w:p>
    <w:p w14:paraId="526D4F42">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2.1产品的结构和组成</w:t>
      </w:r>
    </w:p>
    <w:p w14:paraId="44BB64FA">
      <w:pPr>
        <w:overflowPunct w:val="0"/>
        <w:spacing w:line="540" w:lineRule="exact"/>
        <w:ind w:firstLine="640" w:firstLineChars="200"/>
        <w:rPr>
          <w:rFonts w:eastAsia="仿宋_GB2312"/>
          <w:snapToGrid w:val="0"/>
          <w:kern w:val="0"/>
          <w:sz w:val="32"/>
          <w:szCs w:val="32"/>
        </w:rPr>
      </w:pPr>
      <w:r>
        <w:rPr>
          <w:rFonts w:hint="eastAsia" w:ascii="Times New Roman" w:hAnsi="Times New Roman" w:eastAsia="仿宋_GB2312"/>
          <w:sz w:val="32"/>
          <w:szCs w:val="32"/>
        </w:rPr>
        <w:t>通常由碘伏、碘酊或酒精和涂抹材料组成，一次性使用。</w:t>
      </w:r>
      <w:bookmarkStart w:id="3" w:name="_Toc430332201"/>
      <w:bookmarkStart w:id="4" w:name="_Toc498607690"/>
    </w:p>
    <w:p w14:paraId="70494BDC">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2.2产品工作原理</w:t>
      </w:r>
    </w:p>
    <w:p w14:paraId="6C471C3D">
      <w:pPr>
        <w:overflowPunct w:val="0"/>
        <w:spacing w:line="540" w:lineRule="exact"/>
        <w:ind w:firstLine="648"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通过涂抹材料（例如棉片、棉签、棉球等）浸润消毒液体（例如：酒精、碘伏等）擦拭完整皮肤表面，以达到消毒目的。</w:t>
      </w:r>
    </w:p>
    <w:p w14:paraId="270C3FC0">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2.3型号规格</w:t>
      </w:r>
    </w:p>
    <w:p w14:paraId="03C1762B">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说明产品的型号规格及划分依据，明确各型号规格的区别。</w:t>
      </w:r>
    </w:p>
    <w:p w14:paraId="6C2CF403">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2.4包装说明</w:t>
      </w:r>
    </w:p>
    <w:p w14:paraId="4BEFC7D4">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说明产品的包装层次，写明产品各层次包装（初包装、中包装、大包装）的信息，包括包装所用材料及包装所载明的信息及样图。</w:t>
      </w:r>
    </w:p>
    <w:p w14:paraId="5D370B54">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2.5与同类和/或前代产品的参考和比较</w:t>
      </w:r>
    </w:p>
    <w:p w14:paraId="07E7933A">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列表比较说明申报产品与同类产品和/或前代产品在工作原理、结构组成、制造材料、性能指标、作用方式（如植入、介入），以及适用范围等方面的异同。</w:t>
      </w:r>
    </w:p>
    <w:p w14:paraId="4BEC7AB1">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3.适用范围和禁忌证</w:t>
      </w:r>
    </w:p>
    <w:p w14:paraId="73E55FFA">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3.1适用范围：用于注射、输液前消毒完整皮肤。</w:t>
      </w:r>
    </w:p>
    <w:p w14:paraId="561BFE28">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3.2禁忌证：包括但不限于对产品原材料过敏者禁用。</w:t>
      </w:r>
    </w:p>
    <w:p w14:paraId="7166E481">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4.不良事件情况（如适用）</w:t>
      </w:r>
    </w:p>
    <w:p w14:paraId="22E37AC3">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应当提交申报产品的上市、销售、不良事件和召回等相关情况分析资料。</w:t>
      </w:r>
    </w:p>
    <w:p w14:paraId="4712405D">
      <w:pPr>
        <w:spacing w:line="520" w:lineRule="exact"/>
        <w:ind w:right="-67" w:rightChars="-32" w:firstLine="640" w:firstLineChars="200"/>
        <w:rPr>
          <w:rFonts w:eastAsia="楷体_GB2312"/>
          <w:sz w:val="32"/>
          <w:szCs w:val="32"/>
        </w:rPr>
      </w:pPr>
      <w:r>
        <w:rPr>
          <w:rFonts w:eastAsia="楷体_GB2312"/>
          <w:sz w:val="32"/>
          <w:szCs w:val="32"/>
        </w:rPr>
        <w:t>（三）</w:t>
      </w:r>
      <w:r>
        <w:rPr>
          <w:rFonts w:hint="eastAsia" w:eastAsia="楷体_GB2312"/>
          <w:sz w:val="32"/>
          <w:szCs w:val="32"/>
        </w:rPr>
        <w:t>非临床资料</w:t>
      </w:r>
    </w:p>
    <w:p w14:paraId="5F5AE055">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1.产品风险管理资料</w:t>
      </w:r>
      <w:bookmarkEnd w:id="3"/>
      <w:bookmarkEnd w:id="4"/>
      <w:bookmarkStart w:id="5" w:name="_Toc498607692"/>
    </w:p>
    <w:p w14:paraId="02125E6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28"/>
        </w:rPr>
        <w:t>1.1风险分析方法</w:t>
      </w:r>
    </w:p>
    <w:p w14:paraId="77E0B062">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1.1.1在对风险的判定及分析中，要考虑合理的可预见的情况，它们包括：正常使用条件下和非正常使用条件下；</w:t>
      </w:r>
    </w:p>
    <w:p w14:paraId="669994AC">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1.1.2风险判定及分析应包括：对于患者的危害、对于操作者的危害和对于环境的危害；</w:t>
      </w:r>
    </w:p>
    <w:p w14:paraId="336DA86C">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1.1.3风险形成的初始原因应包括：原材料选择不当，设计、生产风险，运输与防护不当等；人为因素包括不合理的操作；使用错误；综合危害；环境条件；</w:t>
      </w:r>
    </w:p>
    <w:p w14:paraId="3CB67F6B">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28"/>
        </w:rPr>
        <w:t>1.1.4风险判定及分析考虑的问题包括：产品原材料生物学危害；产品质量是否会导致使用中出现不正常结果；操作信息，</w:t>
      </w:r>
      <w:r>
        <w:rPr>
          <w:rFonts w:hint="eastAsia" w:ascii="Times New Roman" w:hAnsi="Times New Roman" w:eastAsia="仿宋_GB2312"/>
          <w:sz w:val="32"/>
          <w:szCs w:val="32"/>
        </w:rPr>
        <w:t>包括警示性语言、注意事项以及使用方法的准确性等。</w:t>
      </w:r>
    </w:p>
    <w:p w14:paraId="50641191">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1.2风险分析清单</w:t>
      </w:r>
    </w:p>
    <w:p w14:paraId="50F7EA39">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消毒棉片（签、球）产品的风险管理报告应符合YY/T</w:t>
      </w:r>
      <w:r>
        <w:rPr>
          <w:rFonts w:ascii="Times New Roman" w:hAnsi="Times New Roman" w:eastAsia="仿宋_GB2312"/>
          <w:sz w:val="32"/>
          <w:szCs w:val="32"/>
        </w:rPr>
        <w:t xml:space="preserve"> 0316</w:t>
      </w:r>
      <w:r>
        <w:rPr>
          <w:rFonts w:hint="eastAsia" w:ascii="Times New Roman" w:hAnsi="Times New Roman" w:eastAsia="仿宋_GB2312"/>
          <w:sz w:val="32"/>
          <w:szCs w:val="32"/>
        </w:rPr>
        <w:t>《医疗器械风险管理对医疗器械的应用》的有关要求，审查要点包括：</w:t>
      </w:r>
    </w:p>
    <w:p w14:paraId="404A2ABB">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1.2.1产品定性定量分析是否准确（依据YY/T</w:t>
      </w:r>
      <w:r>
        <w:rPr>
          <w:rFonts w:ascii="Times New Roman" w:hAnsi="Times New Roman" w:eastAsia="仿宋_GB2312"/>
          <w:sz w:val="32"/>
          <w:szCs w:val="32"/>
        </w:rPr>
        <w:t xml:space="preserve"> 0316</w:t>
      </w:r>
      <w:r>
        <w:rPr>
          <w:rFonts w:hint="eastAsia" w:ascii="Times New Roman" w:hAnsi="Times New Roman" w:eastAsia="仿宋_GB2312"/>
          <w:sz w:val="32"/>
          <w:szCs w:val="32"/>
        </w:rPr>
        <w:t>附录A）；</w:t>
      </w:r>
    </w:p>
    <w:p w14:paraId="6F0EBF8B">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1.2.2危害分析是否全面（依据YY/T</w:t>
      </w:r>
      <w:r>
        <w:rPr>
          <w:rFonts w:ascii="Times New Roman" w:hAnsi="Times New Roman" w:eastAsia="仿宋_GB2312"/>
          <w:sz w:val="32"/>
          <w:szCs w:val="32"/>
        </w:rPr>
        <w:t xml:space="preserve"> 0316</w:t>
      </w:r>
      <w:r>
        <w:rPr>
          <w:rFonts w:hint="eastAsia" w:ascii="Times New Roman" w:hAnsi="Times New Roman" w:eastAsia="仿宋_GB2312"/>
          <w:sz w:val="32"/>
          <w:szCs w:val="32"/>
        </w:rPr>
        <w:t>附录D）；</w:t>
      </w:r>
    </w:p>
    <w:p w14:paraId="7403349E">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1.2.3风险可接受准则，降低风险的措施及采取措施后风险的可接受程度，是否有新的风险产生。根据YY/T</w:t>
      </w:r>
      <w:r>
        <w:rPr>
          <w:rFonts w:ascii="Times New Roman" w:hAnsi="Times New Roman" w:eastAsia="仿宋_GB2312"/>
          <w:sz w:val="32"/>
          <w:szCs w:val="32"/>
        </w:rPr>
        <w:t xml:space="preserve"> 0316</w:t>
      </w:r>
      <w:r>
        <w:rPr>
          <w:rFonts w:hint="eastAsia" w:ascii="Times New Roman" w:hAnsi="Times New Roman" w:eastAsia="仿宋_GB2312"/>
          <w:sz w:val="32"/>
          <w:szCs w:val="32"/>
        </w:rPr>
        <w:t>《医疗器械风险管理对医疗器械的应用》附录E危险（源）、可预见的事件序列和危险情况示例对“</w:t>
      </w:r>
      <w:r>
        <w:rPr>
          <w:rFonts w:hint="eastAsia" w:ascii="Times New Roman" w:eastAsia="仿宋_GB2312" w:cs="Times New Roman"/>
          <w:sz w:val="32"/>
          <w:szCs w:val="32"/>
        </w:rPr>
        <w:t>消毒棉片（签）</w:t>
      </w:r>
      <w:r>
        <w:rPr>
          <w:rFonts w:hint="eastAsia" w:ascii="Times New Roman" w:hAnsi="Times New Roman" w:eastAsia="仿宋_GB2312"/>
          <w:sz w:val="32"/>
          <w:szCs w:val="32"/>
        </w:rPr>
        <w:t>”已知或可预见的风险进行判定，产品在进行风险分析时至少应包括以下的主要危害（见表</w:t>
      </w:r>
      <w:r>
        <w:rPr>
          <w:rFonts w:ascii="Times New Roman" w:hAnsi="Times New Roman" w:eastAsia="仿宋_GB2312"/>
          <w:sz w:val="32"/>
          <w:szCs w:val="32"/>
        </w:rPr>
        <w:t>1</w:t>
      </w:r>
      <w:r>
        <w:rPr>
          <w:rFonts w:hint="eastAsia" w:ascii="Times New Roman" w:hAnsi="Times New Roman" w:eastAsia="仿宋_GB2312"/>
          <w:sz w:val="32"/>
          <w:szCs w:val="32"/>
        </w:rPr>
        <w:t>），注册申请人还应根据自身产品特点确定其他危害。针对产品的各项风险，注册申请人应采取应对措施，确保风险降到可接受的程度。</w:t>
      </w:r>
    </w:p>
    <w:p w14:paraId="5A737448">
      <w:pPr>
        <w:overflowPunct w:val="0"/>
        <w:jc w:val="center"/>
        <w:rPr>
          <w:rFonts w:ascii="Times New Roman" w:hAnsi="Times New Roman" w:eastAsia="黑体"/>
          <w:sz w:val="28"/>
          <w:szCs w:val="28"/>
        </w:rPr>
      </w:pPr>
      <w:r>
        <w:rPr>
          <w:rFonts w:hint="eastAsia" w:ascii="Times New Roman" w:hAnsi="Times New Roman" w:eastAsia="黑体"/>
          <w:sz w:val="28"/>
          <w:szCs w:val="28"/>
        </w:rPr>
        <w:t>表</w:t>
      </w:r>
      <w:r>
        <w:rPr>
          <w:rFonts w:ascii="Times New Roman" w:hAnsi="Times New Roman" w:eastAsia="黑体"/>
          <w:sz w:val="28"/>
          <w:szCs w:val="28"/>
        </w:rPr>
        <w:t>1产品主要</w:t>
      </w:r>
      <w:r>
        <w:rPr>
          <w:rFonts w:hint="eastAsia" w:ascii="Times New Roman" w:hAnsi="Times New Roman" w:eastAsia="黑体"/>
          <w:sz w:val="28"/>
          <w:szCs w:val="28"/>
        </w:rPr>
        <w:t>危险（源）</w:t>
      </w: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832"/>
      </w:tblGrid>
      <w:tr w14:paraId="489E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6D6FA79A">
            <w:pPr>
              <w:spacing w:line="500" w:lineRule="exact"/>
              <w:ind w:right="-67" w:rightChars="-32"/>
              <w:jc w:val="center"/>
              <w:rPr>
                <w:rFonts w:ascii="Times New Roman" w:hAnsi="Times New Roman" w:eastAsia="黑体"/>
                <w:bCs/>
                <w:sz w:val="28"/>
                <w:szCs w:val="28"/>
              </w:rPr>
            </w:pPr>
            <w:r>
              <w:rPr>
                <w:rFonts w:ascii="Times New Roman" w:hAnsi="Times New Roman" w:eastAsia="黑体"/>
                <w:bCs/>
                <w:sz w:val="28"/>
                <w:szCs w:val="28"/>
              </w:rPr>
              <w:t>危害类型</w:t>
            </w:r>
          </w:p>
        </w:tc>
        <w:tc>
          <w:tcPr>
            <w:tcW w:w="3398" w:type="dxa"/>
            <w:vAlign w:val="center"/>
          </w:tcPr>
          <w:p w14:paraId="225936C6">
            <w:pPr>
              <w:spacing w:line="500" w:lineRule="exact"/>
              <w:ind w:right="-67" w:rightChars="-32"/>
              <w:jc w:val="center"/>
              <w:rPr>
                <w:rFonts w:ascii="Times New Roman" w:hAnsi="Times New Roman" w:eastAsia="黑体"/>
                <w:bCs/>
                <w:sz w:val="28"/>
                <w:szCs w:val="28"/>
              </w:rPr>
            </w:pPr>
            <w:r>
              <w:rPr>
                <w:rFonts w:ascii="Times New Roman" w:hAnsi="Times New Roman" w:eastAsia="黑体"/>
                <w:bCs/>
                <w:sz w:val="28"/>
                <w:szCs w:val="28"/>
              </w:rPr>
              <w:t>可预见的事件序列</w:t>
            </w:r>
          </w:p>
        </w:tc>
        <w:tc>
          <w:tcPr>
            <w:tcW w:w="2832" w:type="dxa"/>
            <w:vAlign w:val="center"/>
          </w:tcPr>
          <w:p w14:paraId="4569D172">
            <w:pPr>
              <w:spacing w:line="500" w:lineRule="exact"/>
              <w:ind w:right="-67" w:rightChars="-32"/>
              <w:jc w:val="center"/>
              <w:rPr>
                <w:rFonts w:ascii="Times New Roman" w:hAnsi="Times New Roman" w:eastAsia="黑体"/>
                <w:bCs/>
                <w:sz w:val="28"/>
                <w:szCs w:val="28"/>
              </w:rPr>
            </w:pPr>
            <w:r>
              <w:rPr>
                <w:rFonts w:ascii="Times New Roman" w:hAnsi="Times New Roman" w:eastAsia="黑体"/>
                <w:bCs/>
                <w:sz w:val="28"/>
                <w:szCs w:val="28"/>
              </w:rPr>
              <w:t>可能产生的危害</w:t>
            </w:r>
          </w:p>
        </w:tc>
      </w:tr>
      <w:tr w14:paraId="1DA7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CEAEFA7">
            <w:pPr>
              <w:spacing w:line="500" w:lineRule="exact"/>
              <w:ind w:right="-67" w:rightChars="-32"/>
              <w:jc w:val="center"/>
              <w:rPr>
                <w:rFonts w:ascii="Times New Roman" w:hAnsi="Times New Roman" w:eastAsia="仿宋_GB2312"/>
                <w:bCs/>
                <w:sz w:val="28"/>
                <w:szCs w:val="28"/>
              </w:rPr>
            </w:pPr>
            <w:r>
              <w:rPr>
                <w:rFonts w:hint="eastAsia" w:eastAsia="仿宋_GB2312" w:cs="仿宋"/>
                <w:kern w:val="0"/>
                <w:sz w:val="28"/>
                <w:szCs w:val="28"/>
              </w:rPr>
              <w:t>生物学和化学危害</w:t>
            </w:r>
          </w:p>
        </w:tc>
        <w:tc>
          <w:tcPr>
            <w:tcW w:w="1824" w:type="dxa"/>
            <w:vAlign w:val="center"/>
          </w:tcPr>
          <w:p w14:paraId="3F777050">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环境污染</w:t>
            </w:r>
          </w:p>
        </w:tc>
        <w:tc>
          <w:tcPr>
            <w:tcW w:w="3398" w:type="dxa"/>
            <w:vAlign w:val="center"/>
          </w:tcPr>
          <w:p w14:paraId="2D6203FA">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生产环境污染产品，如外来的粉尘、</w:t>
            </w:r>
            <w:r>
              <w:rPr>
                <w:rFonts w:hint="eastAsia" w:ascii="Times New Roman" w:hAnsi="Times New Roman" w:eastAsia="仿宋_GB2312"/>
                <w:bCs/>
                <w:sz w:val="28"/>
                <w:szCs w:val="28"/>
              </w:rPr>
              <w:t>微生物</w:t>
            </w:r>
            <w:r>
              <w:rPr>
                <w:rFonts w:ascii="Times New Roman" w:hAnsi="Times New Roman" w:eastAsia="仿宋_GB2312"/>
                <w:bCs/>
                <w:sz w:val="28"/>
                <w:szCs w:val="28"/>
              </w:rPr>
              <w:t>、其他杂质等</w:t>
            </w:r>
          </w:p>
        </w:tc>
        <w:tc>
          <w:tcPr>
            <w:tcW w:w="2832" w:type="dxa"/>
            <w:vAlign w:val="center"/>
          </w:tcPr>
          <w:p w14:paraId="49C9AEDA">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引起患者身体不适或感染</w:t>
            </w:r>
          </w:p>
        </w:tc>
      </w:tr>
      <w:tr w14:paraId="3EFA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452C9BED">
            <w:pPr>
              <w:spacing w:line="500" w:lineRule="exact"/>
              <w:ind w:right="-67" w:rightChars="-32"/>
              <w:jc w:val="center"/>
              <w:rPr>
                <w:rFonts w:ascii="Times New Roman" w:hAnsi="Times New Roman" w:eastAsia="仿宋_GB2312"/>
                <w:bCs/>
                <w:sz w:val="28"/>
                <w:szCs w:val="28"/>
              </w:rPr>
            </w:pPr>
          </w:p>
        </w:tc>
        <w:tc>
          <w:tcPr>
            <w:tcW w:w="1824" w:type="dxa"/>
            <w:vAlign w:val="center"/>
          </w:tcPr>
          <w:p w14:paraId="74DC9A02">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生物相容性</w:t>
            </w:r>
          </w:p>
        </w:tc>
        <w:tc>
          <w:tcPr>
            <w:tcW w:w="3398" w:type="dxa"/>
            <w:vAlign w:val="center"/>
          </w:tcPr>
          <w:p w14:paraId="25FF8178">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采用了不合格原辅材料；生产引入了外来物质</w:t>
            </w:r>
          </w:p>
        </w:tc>
        <w:tc>
          <w:tcPr>
            <w:tcW w:w="2832" w:type="dxa"/>
            <w:vAlign w:val="center"/>
          </w:tcPr>
          <w:p w14:paraId="744B21D5">
            <w:pPr>
              <w:spacing w:line="500" w:lineRule="exact"/>
              <w:ind w:right="-67" w:rightChars="-32"/>
              <w:rPr>
                <w:rFonts w:ascii="Times New Roman" w:hAnsi="Times New Roman" w:eastAsia="仿宋_GB2312"/>
                <w:bCs/>
                <w:sz w:val="28"/>
                <w:szCs w:val="28"/>
              </w:rPr>
            </w:pPr>
            <w:r>
              <w:rPr>
                <w:rFonts w:hint="eastAsia" w:ascii="Times New Roman" w:hAnsi="Times New Roman" w:eastAsia="仿宋_GB2312"/>
                <w:bCs/>
                <w:sz w:val="28"/>
                <w:szCs w:val="28"/>
              </w:rPr>
              <w:t>引起患者局部发红、发痒等过敏</w:t>
            </w:r>
          </w:p>
        </w:tc>
      </w:tr>
      <w:tr w14:paraId="08A2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079" w:type="dxa"/>
            <w:vMerge w:val="continue"/>
            <w:vAlign w:val="center"/>
          </w:tcPr>
          <w:p w14:paraId="63F628AA">
            <w:pPr>
              <w:spacing w:line="500" w:lineRule="exact"/>
              <w:ind w:right="-67" w:rightChars="-32"/>
              <w:jc w:val="center"/>
              <w:rPr>
                <w:rFonts w:ascii="Times New Roman" w:hAnsi="Times New Roman" w:eastAsia="仿宋_GB2312"/>
                <w:bCs/>
                <w:sz w:val="28"/>
                <w:szCs w:val="28"/>
              </w:rPr>
            </w:pPr>
          </w:p>
        </w:tc>
        <w:tc>
          <w:tcPr>
            <w:tcW w:w="1824" w:type="dxa"/>
            <w:vAlign w:val="center"/>
          </w:tcPr>
          <w:p w14:paraId="225754CC">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化学危害</w:t>
            </w:r>
          </w:p>
        </w:tc>
        <w:tc>
          <w:tcPr>
            <w:tcW w:w="3398" w:type="dxa"/>
            <w:vAlign w:val="center"/>
          </w:tcPr>
          <w:p w14:paraId="7EFBB691">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生产工艺控制不严</w:t>
            </w:r>
          </w:p>
          <w:p w14:paraId="0EEF0694">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不正确的配方（化学成分）</w:t>
            </w:r>
          </w:p>
        </w:tc>
        <w:tc>
          <w:tcPr>
            <w:tcW w:w="2832" w:type="dxa"/>
            <w:vAlign w:val="center"/>
          </w:tcPr>
          <w:p w14:paraId="384652CF">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造成毒性危害</w:t>
            </w:r>
          </w:p>
        </w:tc>
      </w:tr>
      <w:tr w14:paraId="48F1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11DD4B44">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操作</w:t>
            </w:r>
          </w:p>
          <w:p w14:paraId="090F5B4B">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危害</w:t>
            </w:r>
          </w:p>
        </w:tc>
        <w:tc>
          <w:tcPr>
            <w:tcW w:w="1824" w:type="dxa"/>
            <w:vAlign w:val="center"/>
          </w:tcPr>
          <w:p w14:paraId="2C71FB8F">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由不熟练/未经培训的人员使用</w:t>
            </w:r>
          </w:p>
        </w:tc>
        <w:tc>
          <w:tcPr>
            <w:tcW w:w="3398" w:type="dxa"/>
            <w:vAlign w:val="center"/>
          </w:tcPr>
          <w:p w14:paraId="4BC0D0A9">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操作不熟练、操作失误 </w:t>
            </w:r>
          </w:p>
        </w:tc>
        <w:tc>
          <w:tcPr>
            <w:tcW w:w="2832" w:type="dxa"/>
          </w:tcPr>
          <w:p w14:paraId="20C60D0C">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无法保证使用安全性</w:t>
            </w:r>
          </w:p>
          <w:p w14:paraId="61DE21F0">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导致操作失误，</w:t>
            </w:r>
            <w:r>
              <w:rPr>
                <w:rFonts w:hint="eastAsia" w:ascii="仿宋" w:hAnsi="仿宋" w:eastAsia="仿宋" w:cs="仿宋"/>
                <w:sz w:val="28"/>
                <w:szCs w:val="28"/>
              </w:rPr>
              <w:t>导致无法达到满意的效果</w:t>
            </w:r>
          </w:p>
        </w:tc>
      </w:tr>
      <w:tr w14:paraId="4210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01B3AEBC">
            <w:pPr>
              <w:spacing w:line="500" w:lineRule="exact"/>
              <w:ind w:right="-67" w:rightChars="-32"/>
              <w:rPr>
                <w:rFonts w:ascii="Times New Roman" w:hAnsi="Times New Roman" w:eastAsia="仿宋_GB2312"/>
                <w:bCs/>
                <w:sz w:val="28"/>
                <w:szCs w:val="28"/>
              </w:rPr>
            </w:pPr>
          </w:p>
        </w:tc>
        <w:tc>
          <w:tcPr>
            <w:tcW w:w="1824" w:type="dxa"/>
            <w:vAlign w:val="center"/>
          </w:tcPr>
          <w:p w14:paraId="0CEFBE76">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使用产品时未按照说明书中操作方法操作</w:t>
            </w:r>
          </w:p>
        </w:tc>
        <w:tc>
          <w:tcPr>
            <w:tcW w:w="3398" w:type="dxa"/>
            <w:vAlign w:val="center"/>
          </w:tcPr>
          <w:p w14:paraId="1062433D">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w:t>
            </w:r>
            <w:r>
              <w:rPr>
                <w:rFonts w:hint="eastAsia" w:ascii="Times New Roman" w:hAnsi="Times New Roman" w:eastAsia="仿宋_GB2312"/>
                <w:bCs/>
                <w:sz w:val="28"/>
                <w:szCs w:val="28"/>
              </w:rPr>
              <w:t>；</w:t>
            </w:r>
            <w:r>
              <w:rPr>
                <w:rFonts w:ascii="Times New Roman" w:hAnsi="Times New Roman" w:eastAsia="仿宋_GB2312"/>
                <w:bCs/>
                <w:sz w:val="28"/>
                <w:szCs w:val="28"/>
              </w:rPr>
              <w:t>未采取</w:t>
            </w:r>
            <w:r>
              <w:rPr>
                <w:rFonts w:hint="eastAsia" w:ascii="Times New Roman" w:hAnsi="Times New Roman" w:eastAsia="仿宋_GB2312"/>
                <w:bCs/>
                <w:sz w:val="28"/>
                <w:szCs w:val="28"/>
              </w:rPr>
              <w:t>相应</w:t>
            </w:r>
            <w:r>
              <w:rPr>
                <w:rFonts w:ascii="Times New Roman" w:hAnsi="Times New Roman" w:eastAsia="仿宋_GB2312"/>
                <w:bCs/>
                <w:sz w:val="28"/>
                <w:szCs w:val="28"/>
              </w:rPr>
              <w:t>的保护措施</w:t>
            </w:r>
          </w:p>
        </w:tc>
        <w:tc>
          <w:tcPr>
            <w:tcW w:w="2832" w:type="dxa"/>
          </w:tcPr>
          <w:p w14:paraId="3326CA2D">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无法保证使用安全性</w:t>
            </w:r>
          </w:p>
          <w:p w14:paraId="25CD5F5B">
            <w:pPr>
              <w:spacing w:line="520" w:lineRule="exact"/>
              <w:rPr>
                <w:rFonts w:ascii="仿宋" w:hAnsi="仿宋" w:eastAsia="仿宋"/>
                <w:sz w:val="28"/>
                <w:szCs w:val="28"/>
              </w:rPr>
            </w:pPr>
            <w:r>
              <w:rPr>
                <w:rFonts w:hint="eastAsia" w:ascii="Times New Roman" w:hAnsi="Times New Roman" w:eastAsia="仿宋_GB2312"/>
                <w:bCs/>
                <w:sz w:val="28"/>
                <w:szCs w:val="28"/>
              </w:rPr>
              <w:t>导致操作失误，</w:t>
            </w:r>
            <w:r>
              <w:rPr>
                <w:rFonts w:hint="eastAsia" w:ascii="仿宋" w:hAnsi="仿宋" w:eastAsia="仿宋" w:cs="仿宋"/>
                <w:sz w:val="28"/>
                <w:szCs w:val="28"/>
              </w:rPr>
              <w:t>导致无法达到满意的效果</w:t>
            </w:r>
          </w:p>
        </w:tc>
      </w:tr>
      <w:tr w14:paraId="6F40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189ABAEC">
            <w:pPr>
              <w:spacing w:line="500" w:lineRule="exact"/>
              <w:ind w:right="-67" w:rightChars="-32"/>
              <w:rPr>
                <w:rFonts w:ascii="Times New Roman" w:hAnsi="Times New Roman" w:eastAsia="仿宋_GB2312"/>
                <w:bCs/>
                <w:sz w:val="28"/>
                <w:szCs w:val="28"/>
              </w:rPr>
            </w:pPr>
          </w:p>
        </w:tc>
        <w:tc>
          <w:tcPr>
            <w:tcW w:w="1824" w:type="dxa"/>
            <w:vAlign w:val="center"/>
          </w:tcPr>
          <w:p w14:paraId="00324845">
            <w:pPr>
              <w:spacing w:line="360" w:lineRule="auto"/>
              <w:rPr>
                <w:rFonts w:ascii="Times New Roman" w:hAnsi="Times New Roman" w:eastAsia="仿宋_GB2312"/>
                <w:bCs/>
                <w:sz w:val="28"/>
                <w:szCs w:val="28"/>
              </w:rPr>
            </w:pPr>
            <w:r>
              <w:rPr>
                <w:rFonts w:ascii="Times New Roman" w:hAnsi="Times New Roman" w:eastAsia="仿宋_GB2312"/>
                <w:bCs/>
                <w:sz w:val="28"/>
                <w:szCs w:val="28"/>
              </w:rPr>
              <w:t>忽视说明书中禁忌</w:t>
            </w:r>
            <w:r>
              <w:rPr>
                <w:rFonts w:hint="eastAsia" w:ascii="Times New Roman" w:hAnsi="Times New Roman" w:eastAsia="仿宋_GB2312"/>
                <w:bCs/>
                <w:sz w:val="28"/>
                <w:szCs w:val="28"/>
              </w:rPr>
              <w:t>证</w:t>
            </w:r>
            <w:r>
              <w:rPr>
                <w:rFonts w:ascii="Times New Roman" w:hAnsi="Times New Roman" w:eastAsia="仿宋_GB2312"/>
                <w:bCs/>
                <w:sz w:val="28"/>
                <w:szCs w:val="28"/>
              </w:rPr>
              <w:t>、警示信息等内容</w:t>
            </w:r>
          </w:p>
        </w:tc>
        <w:tc>
          <w:tcPr>
            <w:tcW w:w="3398" w:type="dxa"/>
            <w:vAlign w:val="center"/>
          </w:tcPr>
          <w:p w14:paraId="365C93CC">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患者在使用过程中出现过敏</w:t>
            </w:r>
            <w:r>
              <w:rPr>
                <w:rFonts w:hint="eastAsia" w:ascii="Times New Roman" w:hAnsi="Times New Roman" w:eastAsia="仿宋_GB2312"/>
                <w:bCs/>
                <w:sz w:val="28"/>
                <w:szCs w:val="28"/>
              </w:rPr>
              <w:t>；</w:t>
            </w:r>
            <w:r>
              <w:rPr>
                <w:rFonts w:ascii="Times New Roman" w:hAnsi="Times New Roman" w:eastAsia="仿宋_GB2312"/>
                <w:bCs/>
                <w:sz w:val="28"/>
                <w:szCs w:val="28"/>
              </w:rPr>
              <w:t>产品接触到</w:t>
            </w:r>
            <w:r>
              <w:rPr>
                <w:rFonts w:hint="eastAsia" w:ascii="Times New Roman" w:hAnsi="Times New Roman" w:eastAsia="仿宋_GB2312"/>
                <w:bCs/>
                <w:sz w:val="28"/>
                <w:szCs w:val="28"/>
              </w:rPr>
              <w:t>眼睛等其他部位</w:t>
            </w:r>
          </w:p>
        </w:tc>
        <w:tc>
          <w:tcPr>
            <w:tcW w:w="2832" w:type="dxa"/>
            <w:vAlign w:val="center"/>
          </w:tcPr>
          <w:p w14:paraId="76537576">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w:t>
            </w:r>
            <w:r>
              <w:rPr>
                <w:rFonts w:hint="eastAsia" w:ascii="Times New Roman" w:hAnsi="Times New Roman" w:eastAsia="仿宋_GB2312"/>
                <w:bCs/>
                <w:sz w:val="28"/>
                <w:szCs w:val="28"/>
              </w:rPr>
              <w:t>过敏，眼睛等其他部位产生刺激性</w:t>
            </w:r>
          </w:p>
        </w:tc>
      </w:tr>
      <w:tr w14:paraId="453E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1A8DCA5">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信息</w:t>
            </w:r>
          </w:p>
          <w:p w14:paraId="1422833E">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危害</w:t>
            </w:r>
          </w:p>
          <w:p w14:paraId="44ADCF04">
            <w:pPr>
              <w:spacing w:line="500" w:lineRule="exact"/>
              <w:ind w:right="-67" w:rightChars="-32"/>
              <w:rPr>
                <w:rFonts w:ascii="Times New Roman" w:hAnsi="Times New Roman" w:eastAsia="仿宋_GB2312"/>
                <w:bCs/>
                <w:sz w:val="28"/>
                <w:szCs w:val="28"/>
              </w:rPr>
            </w:pPr>
          </w:p>
        </w:tc>
        <w:tc>
          <w:tcPr>
            <w:tcW w:w="1824" w:type="dxa"/>
            <w:vAlign w:val="center"/>
          </w:tcPr>
          <w:p w14:paraId="4C2F84F2">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不正确的标签</w:t>
            </w:r>
          </w:p>
        </w:tc>
        <w:tc>
          <w:tcPr>
            <w:tcW w:w="3398" w:type="dxa"/>
            <w:vAlign w:val="center"/>
          </w:tcPr>
          <w:p w14:paraId="06E1C012">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外部标记不全面、标记不正确或不能够清楚易认</w:t>
            </w:r>
          </w:p>
        </w:tc>
        <w:tc>
          <w:tcPr>
            <w:tcW w:w="2832" w:type="dxa"/>
            <w:vAlign w:val="center"/>
          </w:tcPr>
          <w:p w14:paraId="6D7493D5">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错误使用；储存错误；</w:t>
            </w:r>
          </w:p>
          <w:p w14:paraId="11D9E1C1">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产品辨别错误</w:t>
            </w:r>
          </w:p>
        </w:tc>
      </w:tr>
      <w:tr w14:paraId="2D4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CD51C86">
            <w:pPr>
              <w:spacing w:line="500" w:lineRule="exact"/>
              <w:ind w:right="-67" w:rightChars="-32"/>
              <w:rPr>
                <w:rFonts w:ascii="Times New Roman" w:hAnsi="Times New Roman" w:eastAsia="仿宋_GB2312"/>
                <w:bCs/>
                <w:sz w:val="28"/>
                <w:szCs w:val="28"/>
              </w:rPr>
            </w:pPr>
          </w:p>
        </w:tc>
        <w:tc>
          <w:tcPr>
            <w:tcW w:w="1824" w:type="dxa"/>
            <w:vAlign w:val="center"/>
          </w:tcPr>
          <w:p w14:paraId="2F8258C5">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不正确的说明书</w:t>
            </w:r>
            <w:r>
              <w:rPr>
                <w:rFonts w:hint="eastAsia" w:ascii="Times New Roman" w:hAnsi="Times New Roman" w:eastAsia="仿宋_GB2312"/>
                <w:bCs/>
                <w:sz w:val="28"/>
                <w:szCs w:val="28"/>
              </w:rPr>
              <w:t>；</w:t>
            </w:r>
            <w:r>
              <w:rPr>
                <w:rFonts w:ascii="Times New Roman" w:hAnsi="Times New Roman" w:eastAsia="仿宋_GB2312"/>
                <w:bCs/>
                <w:sz w:val="28"/>
                <w:szCs w:val="28"/>
              </w:rPr>
              <w:t>说明书上的注意事项、</w:t>
            </w:r>
            <w:r>
              <w:rPr>
                <w:rFonts w:hint="eastAsia" w:ascii="Times New Roman" w:hAnsi="Times New Roman" w:eastAsia="仿宋_GB2312"/>
                <w:bCs/>
                <w:sz w:val="28"/>
                <w:szCs w:val="28"/>
                <w:lang w:eastAsia="zh-CN"/>
              </w:rPr>
              <w:t>禁忌证</w:t>
            </w:r>
            <w:r>
              <w:rPr>
                <w:rFonts w:ascii="Times New Roman" w:hAnsi="Times New Roman" w:eastAsia="仿宋_GB2312"/>
                <w:bCs/>
                <w:sz w:val="28"/>
                <w:szCs w:val="28"/>
              </w:rPr>
              <w:t>不全</w:t>
            </w:r>
          </w:p>
        </w:tc>
        <w:tc>
          <w:tcPr>
            <w:tcW w:w="3398" w:type="dxa"/>
            <w:vAlign w:val="center"/>
          </w:tcPr>
          <w:p w14:paraId="4E1E3338">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缺少详细的使用方法、必要的警告说明</w:t>
            </w:r>
          </w:p>
        </w:tc>
        <w:tc>
          <w:tcPr>
            <w:tcW w:w="2832" w:type="dxa"/>
            <w:vAlign w:val="center"/>
          </w:tcPr>
          <w:p w14:paraId="5171F5B4">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w:t>
            </w:r>
            <w:r>
              <w:rPr>
                <w:rFonts w:hint="eastAsia" w:ascii="Times New Roman" w:hAnsi="Times New Roman" w:eastAsia="仿宋_GB2312"/>
                <w:bCs/>
                <w:sz w:val="28"/>
                <w:szCs w:val="28"/>
              </w:rPr>
              <w:t>；</w:t>
            </w:r>
            <w:r>
              <w:rPr>
                <w:rFonts w:ascii="Times New Roman" w:hAnsi="Times New Roman" w:eastAsia="仿宋_GB2312"/>
                <w:bCs/>
                <w:sz w:val="28"/>
                <w:szCs w:val="28"/>
              </w:rPr>
              <w:t>无法保证使用安全有效性</w:t>
            </w:r>
          </w:p>
        </w:tc>
      </w:tr>
      <w:tr w14:paraId="5D6F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C8D5929">
            <w:pPr>
              <w:spacing w:line="500" w:lineRule="exact"/>
              <w:ind w:right="-67" w:rightChars="-32"/>
              <w:rPr>
                <w:rFonts w:ascii="Times New Roman" w:hAnsi="Times New Roman" w:eastAsia="仿宋_GB2312"/>
                <w:bCs/>
                <w:sz w:val="28"/>
                <w:szCs w:val="28"/>
              </w:rPr>
            </w:pPr>
          </w:p>
        </w:tc>
        <w:tc>
          <w:tcPr>
            <w:tcW w:w="1824" w:type="dxa"/>
            <w:vAlign w:val="center"/>
          </w:tcPr>
          <w:p w14:paraId="3ABEAD7B">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对医疗器械寿命终止缺少适当的决定</w:t>
            </w:r>
          </w:p>
        </w:tc>
        <w:tc>
          <w:tcPr>
            <w:tcW w:w="3398" w:type="dxa"/>
            <w:vAlign w:val="center"/>
          </w:tcPr>
          <w:p w14:paraId="4A8E45F1">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没有标识产品有效期</w:t>
            </w:r>
          </w:p>
        </w:tc>
        <w:tc>
          <w:tcPr>
            <w:tcW w:w="2832" w:type="dxa"/>
            <w:vAlign w:val="center"/>
          </w:tcPr>
          <w:p w14:paraId="2FCEF6B1">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超出有效期的产品被使用，或因材料老化产生而导致产品性能不符合要求</w:t>
            </w:r>
          </w:p>
        </w:tc>
      </w:tr>
      <w:tr w14:paraId="1464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E5CF002">
            <w:pPr>
              <w:spacing w:line="500" w:lineRule="exact"/>
              <w:ind w:right="-67" w:rightChars="-32"/>
              <w:rPr>
                <w:rFonts w:ascii="Times New Roman" w:hAnsi="Times New Roman" w:eastAsia="仿宋_GB2312"/>
                <w:bCs/>
                <w:sz w:val="28"/>
                <w:szCs w:val="28"/>
              </w:rPr>
            </w:pPr>
          </w:p>
        </w:tc>
        <w:tc>
          <w:tcPr>
            <w:tcW w:w="1824" w:type="dxa"/>
            <w:vAlign w:val="center"/>
          </w:tcPr>
          <w:p w14:paraId="7115FF6C">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不适当的产品包装（产品污染和／或变性）</w:t>
            </w:r>
          </w:p>
        </w:tc>
        <w:tc>
          <w:tcPr>
            <w:tcW w:w="3398" w:type="dxa"/>
            <w:vAlign w:val="center"/>
          </w:tcPr>
          <w:p w14:paraId="738E3AC9">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生产、运输、搬运和储存过程中导致包装破损；包装封口不严密；包装材料选择不适当</w:t>
            </w:r>
            <w:r>
              <w:rPr>
                <w:rFonts w:hint="eastAsia" w:ascii="Times New Roman" w:hAnsi="Times New Roman" w:eastAsia="仿宋_GB2312"/>
                <w:bCs/>
                <w:sz w:val="28"/>
                <w:szCs w:val="28"/>
              </w:rPr>
              <w:t>；</w:t>
            </w:r>
            <w:r>
              <w:rPr>
                <w:rFonts w:ascii="Times New Roman" w:hAnsi="Times New Roman" w:eastAsia="仿宋_GB2312"/>
                <w:bCs/>
                <w:sz w:val="28"/>
                <w:szCs w:val="28"/>
              </w:rPr>
              <w:t>使用前未检查产品包装状态</w:t>
            </w:r>
          </w:p>
        </w:tc>
        <w:tc>
          <w:tcPr>
            <w:tcW w:w="2832" w:type="dxa"/>
            <w:vAlign w:val="center"/>
          </w:tcPr>
          <w:p w14:paraId="2C8C5C70">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产品使用性能无法得到保证</w:t>
            </w:r>
          </w:p>
        </w:tc>
      </w:tr>
      <w:tr w14:paraId="7A68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E9B8F80">
            <w:pPr>
              <w:spacing w:line="500" w:lineRule="exact"/>
              <w:ind w:right="-67" w:rightChars="-32"/>
              <w:rPr>
                <w:rFonts w:ascii="Times New Roman" w:hAnsi="Times New Roman" w:eastAsia="仿宋_GB2312"/>
                <w:bCs/>
                <w:sz w:val="28"/>
                <w:szCs w:val="28"/>
              </w:rPr>
            </w:pPr>
          </w:p>
        </w:tc>
        <w:tc>
          <w:tcPr>
            <w:tcW w:w="1824" w:type="dxa"/>
            <w:vAlign w:val="center"/>
          </w:tcPr>
          <w:p w14:paraId="58160DA8">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再次使用和/或不适当的再次使用</w:t>
            </w:r>
          </w:p>
        </w:tc>
        <w:tc>
          <w:tcPr>
            <w:tcW w:w="3398" w:type="dxa"/>
            <w:vAlign w:val="center"/>
          </w:tcPr>
          <w:p w14:paraId="68A89962">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未说明产品配件（如有）使产品多次使用，未说明具体操作方法 </w:t>
            </w:r>
          </w:p>
        </w:tc>
        <w:tc>
          <w:tcPr>
            <w:tcW w:w="2832" w:type="dxa"/>
            <w:vAlign w:val="center"/>
          </w:tcPr>
          <w:p w14:paraId="516E6C6B">
            <w:pPr>
              <w:spacing w:line="500" w:lineRule="exact"/>
              <w:ind w:right="-67" w:rightChars="-32"/>
              <w:rPr>
                <w:rFonts w:ascii="Times New Roman" w:hAnsi="Times New Roman" w:eastAsia="仿宋_GB2312"/>
                <w:bCs/>
                <w:sz w:val="28"/>
                <w:szCs w:val="28"/>
              </w:rPr>
            </w:pPr>
          </w:p>
        </w:tc>
      </w:tr>
    </w:tbl>
    <w:p w14:paraId="16BC1933">
      <w:pPr>
        <w:overflowPunct w:val="0"/>
        <w:spacing w:line="560" w:lineRule="exact"/>
        <w:ind w:firstLine="640" w:firstLineChars="200"/>
        <w:jc w:val="left"/>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2.产品技术要求及检验报告</w:t>
      </w:r>
    </w:p>
    <w:p w14:paraId="742BE857">
      <w:pPr>
        <w:overflowPunct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w:t>
      </w:r>
      <w:r>
        <w:rPr>
          <w:rFonts w:hint="eastAsia" w:ascii="Times New Roman" w:eastAsia="仿宋_GB2312" w:cs="Times New Roman"/>
          <w:sz w:val="32"/>
          <w:szCs w:val="32"/>
        </w:rPr>
        <w:t>消毒棉片（签、球）</w:t>
      </w:r>
      <w:r>
        <w:rPr>
          <w:rFonts w:hint="eastAsia" w:ascii="Times New Roman" w:hAnsi="Times New Roman" w:eastAsia="仿宋_GB2312" w:cs="Times New Roman"/>
          <w:sz w:val="32"/>
          <w:szCs w:val="32"/>
        </w:rPr>
        <w:t>需要考虑的产品基本技术性能指标，申请人根据自身产品的技术特点和用途制定相应的性能指标，且性能指标不得低于强制性国家标准、行业标准。</w:t>
      </w:r>
    </w:p>
    <w:p w14:paraId="65329FA4">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消毒棉片（签、球）产品性能指标至少应包括以下几点：</w:t>
      </w:r>
    </w:p>
    <w:p w14:paraId="44C0B9EF">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2.1外观、尺寸及性状；</w:t>
      </w:r>
    </w:p>
    <w:p w14:paraId="0F33F883">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2.2包装密封性；</w:t>
      </w:r>
    </w:p>
    <w:p w14:paraId="449314CA">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2.3消毒液纯度；</w:t>
      </w:r>
    </w:p>
    <w:p w14:paraId="2B68DF87">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2.4消毒液与基材质量比；</w:t>
      </w:r>
    </w:p>
    <w:p w14:paraId="6E88560A">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2.5杀灭微生物效果；</w:t>
      </w:r>
    </w:p>
    <w:p w14:paraId="43FE7F29">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2.6医用脱脂棉性能要求（如适用）</w:t>
      </w:r>
    </w:p>
    <w:p w14:paraId="00EEAB40">
      <w:pPr>
        <w:overflowPunct w:val="0"/>
        <w:spacing w:line="56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2.7 PH 值（如适用）</w:t>
      </w:r>
    </w:p>
    <w:p w14:paraId="183296EA">
      <w:pPr>
        <w:overflowPunct w:val="0"/>
        <w:spacing w:line="560" w:lineRule="exact"/>
        <w:ind w:firstLine="640" w:firstLineChars="200"/>
        <w:jc w:val="left"/>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3.研究资料</w:t>
      </w:r>
    </w:p>
    <w:p w14:paraId="34E18338">
      <w:pPr>
        <w:overflowPunct w:val="0"/>
        <w:spacing w:line="560" w:lineRule="exact"/>
        <w:ind w:firstLine="800" w:firstLineChars="250"/>
        <w:rPr>
          <w:rFonts w:ascii="Times New Roman" w:hAnsi="Times New Roman" w:eastAsia="仿宋_GB2312" w:cs="Times New Roman"/>
          <w:sz w:val="32"/>
          <w:szCs w:val="32"/>
        </w:rPr>
      </w:pPr>
      <w:bookmarkStart w:id="6" w:name="_Toc498607698"/>
      <w:r>
        <w:rPr>
          <w:rFonts w:hint="eastAsia" w:ascii="Times New Roman" w:hAnsi="Times New Roman" w:eastAsia="仿宋_GB2312" w:cs="Times New Roman"/>
          <w:sz w:val="32"/>
          <w:szCs w:val="32"/>
        </w:rPr>
        <w:t>3.1原材料控制</w:t>
      </w:r>
    </w:p>
    <w:p w14:paraId="3BB27E1D">
      <w:pPr>
        <w:overflowPunct w:val="0"/>
        <w:spacing w:line="560" w:lineRule="exact"/>
        <w:ind w:firstLine="640" w:firstLineChars="200"/>
        <w:rPr>
          <w:rFonts w:eastAsia="仿宋_GB2312"/>
          <w:snapToGrid w:val="0"/>
          <w:kern w:val="0"/>
          <w:sz w:val="32"/>
          <w:szCs w:val="32"/>
        </w:rPr>
      </w:pPr>
      <w:r>
        <w:rPr>
          <w:rFonts w:hint="eastAsia" w:ascii="Times New Roman" w:hAnsi="Times New Roman" w:eastAsia="仿宋_GB2312" w:cs="Times New Roman"/>
          <w:sz w:val="32"/>
          <w:szCs w:val="32"/>
        </w:rPr>
        <w:t>明确各种原料的化学名称、使用量或组成比例、符合的标准（如消毒剂需符合中国药典的要求等）、申请人的验收标准及相关的安全性评价报告，建议以列表的形式提供，并说明原材料的选择依据及来源。</w:t>
      </w:r>
    </w:p>
    <w:p w14:paraId="64064B9E">
      <w:pPr>
        <w:overflowPunct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3.2</w:t>
      </w:r>
      <w:r>
        <w:rPr>
          <w:rFonts w:hint="eastAsia" w:ascii="仿宋_GB2312" w:hAnsi="仿宋_GB2312" w:eastAsia="仿宋_GB2312" w:cs="仿宋_GB2312"/>
          <w:sz w:val="32"/>
          <w:szCs w:val="32"/>
        </w:rPr>
        <w:t>产品性能研究</w:t>
      </w:r>
      <w:bookmarkEnd w:id="6"/>
    </w:p>
    <w:p w14:paraId="346305BB">
      <w:pPr>
        <w:overflowPunct w:val="0"/>
        <w:spacing w:line="56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应给出技术要求中各性能指标的设定依据、所采用的标准或方法、采用的原因及理论基础。</w:t>
      </w:r>
    </w:p>
    <w:p w14:paraId="04A6AC9B">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3.3生物相容性评价</w:t>
      </w:r>
    </w:p>
    <w:p w14:paraId="5A818EE4">
      <w:pPr>
        <w:overflowPunct w:val="0"/>
        <w:spacing w:line="560" w:lineRule="exact"/>
        <w:ind w:firstLine="640" w:firstLineChars="200"/>
        <w:rPr>
          <w:rFonts w:ascii="Times New Roman" w:hAnsi="Times New Roman" w:eastAsia="仿宋_GB2312"/>
          <w:kern w:val="0"/>
          <w:sz w:val="32"/>
          <w:szCs w:val="32"/>
        </w:rPr>
      </w:pPr>
      <w:bookmarkStart w:id="7" w:name="_Toc498607700"/>
      <w:r>
        <w:rPr>
          <w:rFonts w:hint="eastAsia" w:ascii="Times New Roman" w:hAnsi="Times New Roman" w:eastAsia="仿宋_GB2312"/>
          <w:kern w:val="0"/>
          <w:sz w:val="32"/>
          <w:szCs w:val="32"/>
        </w:rPr>
        <w:t>生物相容性评价研究资料应当包括：生物相容性评价的依据和方法；产品所用材料的描述及与人体接触的性质和时间；实施或豁免生物学试验的理由和论证；对于现有数据或试验结果的评价。若开展生物学评价试验，应按照GB/T 16886.1《医疗器械生物学评价 第1部分：风险管理过程中的评价与试验》标准进行评价，至少应进行细胞毒性、刺激、迟发型超敏反应。</w:t>
      </w:r>
    </w:p>
    <w:bookmarkEnd w:id="7"/>
    <w:p w14:paraId="5C46063E">
      <w:pPr>
        <w:overflowPunct w:val="0"/>
        <w:spacing w:line="560" w:lineRule="exact"/>
        <w:ind w:firstLine="640" w:firstLineChars="200"/>
        <w:rPr>
          <w:rFonts w:ascii="Times New Roman" w:hAnsi="Times New Roman" w:eastAsia="仿宋"/>
          <w:sz w:val="32"/>
          <w:szCs w:val="32"/>
        </w:rPr>
      </w:pPr>
      <w:bookmarkStart w:id="8" w:name="_Toc498607701"/>
      <w:r>
        <w:rPr>
          <w:rFonts w:hint="eastAsia" w:ascii="Times New Roman" w:hAnsi="Times New Roman" w:eastAsia="仿宋"/>
          <w:sz w:val="32"/>
          <w:szCs w:val="32"/>
        </w:rPr>
        <w:t>3.5</w:t>
      </w:r>
      <w:bookmarkEnd w:id="8"/>
      <w:r>
        <w:rPr>
          <w:rFonts w:hint="eastAsia" w:ascii="Times New Roman" w:hAnsi="Times New Roman" w:eastAsia="仿宋"/>
          <w:sz w:val="32"/>
          <w:szCs w:val="32"/>
        </w:rPr>
        <w:t>稳定性研究</w:t>
      </w:r>
    </w:p>
    <w:p w14:paraId="208ED203">
      <w:pPr>
        <w:overflowPunct w:val="0"/>
        <w:spacing w:line="56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应明确产品有效期，提供产品有效期的验证资料。对于开封后无法一次用完还可以继续使用的，应考虑产品开封后的有效期。</w:t>
      </w:r>
    </w:p>
    <w:p w14:paraId="46EE8FA9">
      <w:pPr>
        <w:overflowPunct w:val="0"/>
        <w:spacing w:line="56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包装及包装完整性：应明确产品的内包装形式并确保包装在宣称的运输储存条件下，在产品有效期内能够对产品起到防护作用并保持产品清洁。产品包装验证可依据有关国内、国际标准进行（如</w:t>
      </w:r>
      <w:r>
        <w:rPr>
          <w:rFonts w:ascii="Times New Roman" w:hAnsi="Times New Roman" w:eastAsia="仿宋_GB2312"/>
          <w:sz w:val="32"/>
          <w:szCs w:val="32"/>
        </w:rPr>
        <w:t>GB/T19633</w:t>
      </w:r>
      <w:r>
        <w:rPr>
          <w:rFonts w:hint="eastAsia" w:ascii="Times New Roman" w:hAnsi="Times New Roman" w:eastAsia="仿宋_GB2312"/>
          <w:sz w:val="32"/>
          <w:szCs w:val="32"/>
        </w:rPr>
        <w:t>、</w:t>
      </w:r>
      <w:r>
        <w:rPr>
          <w:rFonts w:ascii="Times New Roman" w:hAnsi="Times New Roman" w:eastAsia="仿宋_GB2312"/>
          <w:sz w:val="32"/>
          <w:szCs w:val="32"/>
        </w:rPr>
        <w:t>ISO11607</w:t>
      </w:r>
      <w:r>
        <w:rPr>
          <w:rFonts w:hint="eastAsia" w:ascii="Times New Roman" w:hAnsi="Times New Roman" w:eastAsia="仿宋_GB2312"/>
          <w:sz w:val="32"/>
          <w:szCs w:val="32"/>
        </w:rPr>
        <w:t>、</w:t>
      </w:r>
      <w:r>
        <w:rPr>
          <w:rFonts w:ascii="Times New Roman" w:hAnsi="Times New Roman" w:eastAsia="仿宋_GB2312"/>
          <w:sz w:val="32"/>
          <w:szCs w:val="32"/>
        </w:rPr>
        <w:t>ASTM D-4169</w:t>
      </w:r>
      <w:r>
        <w:rPr>
          <w:rFonts w:hint="eastAsia" w:ascii="Times New Roman" w:hAnsi="Times New Roman" w:eastAsia="仿宋_GB2312"/>
          <w:sz w:val="32"/>
          <w:szCs w:val="32"/>
        </w:rPr>
        <w:t>等），提交产品的包装验证报告。包装材料的选择应考虑以下因素：包装材料的物理化学性能；是否会引入重金属、微生物等外来物质；包装材料与成型和密封过程的适应性；包装材料与产品的适应性（含碘消毒剂的包装应考虑避光性要求）；包装材料与标签系统的适应性；包装材料与贮存运输过程的适合性；包装有效期。包装验证的资料内容应与包装说明中给出的信息相符。</w:t>
      </w:r>
    </w:p>
    <w:p w14:paraId="1B3ED686">
      <w:pPr>
        <w:overflowPunct w:val="0"/>
        <w:spacing w:line="56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3.6其他资料</w:t>
      </w:r>
    </w:p>
    <w:p w14:paraId="3ADBE9F7">
      <w:pPr>
        <w:overflowPunct w:val="0"/>
        <w:spacing w:line="56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按照《列入免于进行临床评价医疗器械目录产品对比说明技术指导原则》，提交申报产品相关信息与《目录》所述内容的对比资料和申报产品与已获准境内注册的《目录》中医疗器械的对比说明。提供证明其无法重复使用的支持性资料。</w:t>
      </w:r>
    </w:p>
    <w:p w14:paraId="3E2E81B3">
      <w:pPr>
        <w:spacing w:line="520" w:lineRule="exact"/>
        <w:ind w:right="-67" w:rightChars="-32"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w:t>
      </w:r>
      <w:r>
        <w:rPr>
          <w:rFonts w:hint="eastAsia" w:eastAsia="楷体_GB2312"/>
          <w:sz w:val="32"/>
          <w:szCs w:val="32"/>
        </w:rPr>
        <w:t>临床评价资料</w:t>
      </w:r>
    </w:p>
    <w:p w14:paraId="1FE7A6EC">
      <w:pPr>
        <w:overflowPunct w:val="0"/>
        <w:snapToGrid w:val="0"/>
        <w:spacing w:line="560" w:lineRule="exact"/>
        <w:ind w:firstLine="640" w:firstLineChars="200"/>
        <w:jc w:val="left"/>
        <w:rPr>
          <w:rFonts w:ascii="Times New Roman" w:hAnsi="Times New Roman" w:eastAsia="仿宋_GB2312"/>
          <w:sz w:val="32"/>
          <w:szCs w:val="32"/>
        </w:rPr>
      </w:pPr>
      <w:r>
        <w:rPr>
          <w:rFonts w:hint="eastAsia" w:ascii="Times New Roman" w:eastAsia="仿宋_GB2312" w:cs="Times New Roman"/>
          <w:sz w:val="32"/>
          <w:szCs w:val="32"/>
        </w:rPr>
        <w:t>消毒棉片（签、球）</w:t>
      </w:r>
      <w:r>
        <w:rPr>
          <w:rFonts w:hint="eastAsia" w:ascii="Times New Roman" w:hAnsi="Times New Roman" w:eastAsia="仿宋_GB2312"/>
          <w:sz w:val="32"/>
          <w:szCs w:val="32"/>
        </w:rPr>
        <w:t>已列入《免于临床评价医疗器械目录》，注册申请人无需提交临床评价资料。</w:t>
      </w:r>
    </w:p>
    <w:p w14:paraId="4D9E9BB0">
      <w:pPr>
        <w:spacing w:line="520" w:lineRule="exact"/>
        <w:ind w:right="-67" w:rightChars="-32" w:firstLine="640" w:firstLineChars="200"/>
        <w:rPr>
          <w:rFonts w:eastAsia="楷体_GB2312"/>
          <w:sz w:val="32"/>
          <w:szCs w:val="32"/>
        </w:rPr>
      </w:pPr>
      <w:r>
        <w:rPr>
          <w:rFonts w:eastAsia="楷体_GB2312"/>
          <w:sz w:val="32"/>
          <w:szCs w:val="32"/>
        </w:rPr>
        <w:t>（五）</w:t>
      </w:r>
      <w:r>
        <w:rPr>
          <w:rFonts w:hint="eastAsia" w:eastAsia="楷体_GB2312"/>
          <w:sz w:val="32"/>
          <w:szCs w:val="32"/>
        </w:rPr>
        <w:t>产品说明书和标签样稿</w:t>
      </w:r>
    </w:p>
    <w:p w14:paraId="3142E2DB">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产品说明书和标签的编写应符合《医疗器械说明书和标签管理规定》和相关标准中的要求，同时还应注意以下几点（不限于此）：</w:t>
      </w:r>
    </w:p>
    <w:p w14:paraId="654146E8">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1.说明产品使用方法。</w:t>
      </w:r>
    </w:p>
    <w:p w14:paraId="66869279">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2.禁忌证至少包含对产品组成成分过敏者禁用。</w:t>
      </w:r>
    </w:p>
    <w:p w14:paraId="14354B80">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3.注意事项一般应有以下内容：避免接触眼睛；请勿吞食，如被吞咽，立即就医治疗；开封后应尽快使用，或明确开封后的使用期限。</w:t>
      </w:r>
    </w:p>
    <w:p w14:paraId="18DA4349">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参考文献</w:t>
      </w:r>
    </w:p>
    <w:p w14:paraId="33A11FED">
      <w:pPr>
        <w:pStyle w:val="15"/>
        <w:overflowPunct w:val="0"/>
        <w:autoSpaceDE w:val="0"/>
        <w:autoSpaceDN w:val="0"/>
        <w:spacing w:line="560" w:lineRule="exact"/>
        <w:ind w:firstLine="640"/>
        <w:outlineLvl w:val="2"/>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w:t>
      </w:r>
      <w:r>
        <w:rPr>
          <w:rFonts w:hint="eastAsia" w:ascii="Times New Roman" w:hAnsi="Times New Roman" w:eastAsia="仿宋_GB2312"/>
          <w:snapToGrid w:val="0"/>
          <w:kern w:val="0"/>
          <w:sz w:val="32"/>
          <w:szCs w:val="32"/>
        </w:rPr>
        <w:t>医疗器械监督管理条例[Z].</w:t>
      </w:r>
    </w:p>
    <w:p w14:paraId="66EAF69A">
      <w:pPr>
        <w:pStyle w:val="15"/>
        <w:overflowPunct w:val="0"/>
        <w:autoSpaceDE w:val="0"/>
        <w:autoSpaceDN w:val="0"/>
        <w:spacing w:line="560" w:lineRule="exact"/>
        <w:ind w:firstLine="640"/>
        <w:outlineLvl w:val="2"/>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[2]医疗器械注册与备案管理办法</w:t>
      </w:r>
      <w:r>
        <w:rPr>
          <w:rFonts w:ascii="Times New Roman" w:hAnsi="Times New Roman" w:eastAsia="仿宋_GB2312"/>
          <w:snapToGrid w:val="0"/>
          <w:kern w:val="0"/>
          <w:sz w:val="32"/>
          <w:szCs w:val="32"/>
        </w:rPr>
        <w:t>[Z]</w:t>
      </w:r>
      <w:r>
        <w:rPr>
          <w:rFonts w:hint="eastAsia" w:ascii="Times New Roman" w:hAnsi="Times New Roman" w:eastAsia="仿宋_GB2312"/>
          <w:snapToGrid w:val="0"/>
          <w:kern w:val="0"/>
          <w:sz w:val="32"/>
          <w:szCs w:val="32"/>
        </w:rPr>
        <w:t>.</w:t>
      </w:r>
    </w:p>
    <w:p w14:paraId="7593C831">
      <w:pPr>
        <w:pStyle w:val="15"/>
        <w:overflowPunct w:val="0"/>
        <w:autoSpaceDE w:val="0"/>
        <w:autoSpaceDN w:val="0"/>
        <w:spacing w:line="560" w:lineRule="exact"/>
        <w:ind w:firstLine="640"/>
        <w:outlineLvl w:val="2"/>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3</w:t>
      </w:r>
      <w:r>
        <w:rPr>
          <w:rFonts w:ascii="Times New Roman" w:hAnsi="Times New Roman" w:eastAsia="仿宋_GB2312"/>
          <w:snapToGrid w:val="0"/>
          <w:kern w:val="0"/>
          <w:sz w:val="32"/>
          <w:szCs w:val="32"/>
        </w:rPr>
        <w:t>]</w:t>
      </w:r>
      <w:r>
        <w:rPr>
          <w:rFonts w:ascii="Times New Roman" w:hAnsi="Times New Roman" w:eastAsia="仿宋_GB2312"/>
          <w:sz w:val="32"/>
          <w:szCs w:val="32"/>
        </w:rPr>
        <w:t>医疗器械说明书和标签管理规定</w:t>
      </w:r>
      <w:r>
        <w:rPr>
          <w:rFonts w:ascii="Times New Roman" w:hAnsi="Times New Roman" w:eastAsia="仿宋_GB2312"/>
          <w:snapToGrid w:val="0"/>
          <w:kern w:val="0"/>
          <w:sz w:val="32"/>
          <w:szCs w:val="32"/>
        </w:rPr>
        <w:t>[Z]</w:t>
      </w:r>
      <w:r>
        <w:rPr>
          <w:rFonts w:hint="eastAsia" w:ascii="Times New Roman" w:hAnsi="Times New Roman" w:eastAsia="仿宋_GB2312"/>
          <w:snapToGrid w:val="0"/>
          <w:kern w:val="0"/>
          <w:sz w:val="32"/>
          <w:szCs w:val="32"/>
        </w:rPr>
        <w:t>.</w:t>
      </w:r>
    </w:p>
    <w:p w14:paraId="1AAC82FF">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]关于发布医疗器械产品技术要求编写指导原则的通告[Z]</w:t>
      </w:r>
      <w:r>
        <w:rPr>
          <w:rFonts w:hint="eastAsia" w:ascii="Times New Roman" w:hAnsi="Times New Roman" w:eastAsia="仿宋_GB2312"/>
          <w:sz w:val="32"/>
          <w:szCs w:val="32"/>
        </w:rPr>
        <w:t>.</w:t>
      </w:r>
    </w:p>
    <w:p w14:paraId="2B7568B8">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关于公布医疗器械注册申报资料要求和批准证明文件格式的公告</w:t>
      </w:r>
      <w:r>
        <w:rPr>
          <w:rFonts w:ascii="Times New Roman" w:hAnsi="Times New Roman" w:eastAsia="仿宋_GB2312"/>
          <w:sz w:val="32"/>
          <w:szCs w:val="32"/>
        </w:rPr>
        <w:t>[Z]</w:t>
      </w:r>
      <w:r>
        <w:rPr>
          <w:rFonts w:hint="eastAsia" w:ascii="Times New Roman" w:hAnsi="Times New Roman" w:eastAsia="仿宋_GB2312"/>
          <w:sz w:val="32"/>
          <w:szCs w:val="32"/>
        </w:rPr>
        <w:t>.</w:t>
      </w:r>
    </w:p>
    <w:p w14:paraId="4A6B8BB0">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医疗器械临床评价技术指导原则[Z].</w:t>
      </w:r>
    </w:p>
    <w:p w14:paraId="2886097E">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]GB/T 14233.2</w:t>
      </w:r>
      <w:r>
        <w:rPr>
          <w:rFonts w:hint="eastAsia" w:ascii="Times New Roman" w:hAnsi="Times New Roman" w:eastAsia="仿宋_GB2312"/>
          <w:sz w:val="32"/>
          <w:szCs w:val="32"/>
        </w:rPr>
        <w:t>,医用输液、输血、注射器具检验方法 第2部分：生物学试验方法[S].</w:t>
      </w:r>
    </w:p>
    <w:p w14:paraId="62551C4A">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8</w:t>
      </w:r>
      <w:r>
        <w:rPr>
          <w:rFonts w:ascii="Times New Roman" w:hAnsi="Times New Roman" w:eastAsia="仿宋_GB2312"/>
          <w:sz w:val="32"/>
          <w:szCs w:val="32"/>
        </w:rPr>
        <w:t>]GB/T 16886.1</w:t>
      </w:r>
      <w:r>
        <w:rPr>
          <w:rFonts w:hint="eastAsia" w:ascii="Times New Roman" w:hAnsi="Times New Roman" w:eastAsia="仿宋_GB2312"/>
          <w:sz w:val="32"/>
          <w:szCs w:val="32"/>
        </w:rPr>
        <w:t>,医疗器械生物学评价  第1部分：风险管理过程中的评价与试验[S].</w:t>
      </w:r>
    </w:p>
    <w:p w14:paraId="68E32B08">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9</w:t>
      </w:r>
      <w:r>
        <w:rPr>
          <w:rFonts w:ascii="Times New Roman" w:hAnsi="Times New Roman" w:eastAsia="仿宋_GB2312"/>
          <w:sz w:val="32"/>
          <w:szCs w:val="32"/>
        </w:rPr>
        <w:t>]GB/T 16886.5</w:t>
      </w:r>
      <w:r>
        <w:rPr>
          <w:rFonts w:hint="eastAsia" w:ascii="Times New Roman" w:hAnsi="Times New Roman" w:eastAsia="仿宋_GB2312"/>
          <w:sz w:val="32"/>
          <w:szCs w:val="32"/>
        </w:rPr>
        <w:t>,医疗器械生物学评价 第5部分：体外细胞毒性试验[S].</w:t>
      </w:r>
    </w:p>
    <w:p w14:paraId="11610AE0">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10</w:t>
      </w:r>
      <w:r>
        <w:rPr>
          <w:rFonts w:ascii="Times New Roman" w:hAnsi="Times New Roman" w:eastAsia="仿宋_GB2312"/>
          <w:sz w:val="32"/>
          <w:szCs w:val="32"/>
        </w:rPr>
        <w:t>]GB/T 16886.10</w:t>
      </w:r>
      <w:r>
        <w:rPr>
          <w:rFonts w:hint="eastAsia" w:ascii="Times New Roman" w:hAnsi="Times New Roman" w:eastAsia="仿宋_GB2312"/>
          <w:sz w:val="32"/>
          <w:szCs w:val="32"/>
        </w:rPr>
        <w:t>,医疗器械生物学评价 第10部分：刺激与皮肤致敏试验[S].</w:t>
      </w:r>
    </w:p>
    <w:p w14:paraId="08B98979">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11</w:t>
      </w:r>
      <w:r>
        <w:rPr>
          <w:rFonts w:ascii="Times New Roman" w:hAnsi="Times New Roman" w:eastAsia="仿宋_GB2312"/>
          <w:sz w:val="32"/>
          <w:szCs w:val="32"/>
        </w:rPr>
        <w:t xml:space="preserve">]GB </w:t>
      </w:r>
      <w:r>
        <w:rPr>
          <w:rFonts w:hint="eastAsia" w:ascii="Times New Roman" w:hAnsi="Times New Roman" w:eastAsia="仿宋_GB2312"/>
          <w:sz w:val="32"/>
          <w:szCs w:val="32"/>
        </w:rPr>
        <w:t>27951,皮肤消毒剂通用要求[S].</w:t>
      </w:r>
    </w:p>
    <w:p w14:paraId="1CA0A0FA">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 xml:space="preserve">]GB/T </w:t>
      </w:r>
      <w:r>
        <w:rPr>
          <w:rFonts w:hint="eastAsia" w:ascii="Times New Roman" w:hAnsi="Times New Roman" w:eastAsia="仿宋_GB2312"/>
          <w:sz w:val="32"/>
          <w:szCs w:val="32"/>
        </w:rPr>
        <w:t>26368,含碘消毒剂卫生要求[S].</w:t>
      </w:r>
    </w:p>
    <w:p w14:paraId="3C72E2C7">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 xml:space="preserve">]GB/T </w:t>
      </w:r>
      <w:r>
        <w:rPr>
          <w:rFonts w:hint="eastAsia" w:ascii="Times New Roman" w:hAnsi="Times New Roman" w:eastAsia="仿宋_GB2312"/>
          <w:sz w:val="32"/>
          <w:szCs w:val="32"/>
        </w:rPr>
        <w:t>26373,醇类消毒剂卫生要求[S].</w:t>
      </w:r>
    </w:p>
    <w:p w14:paraId="09258824">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w:t>
      </w:r>
      <w:r>
        <w:rPr>
          <w:rFonts w:hint="eastAsia" w:ascii="Times New Roman" w:hAnsi="Times New Roman" w:eastAsia="仿宋_GB2312"/>
          <w:sz w:val="32"/>
          <w:szCs w:val="32"/>
        </w:rPr>
        <w:t>消毒技术规范,[S].</w:t>
      </w:r>
    </w:p>
    <w:p w14:paraId="6F7CEB11">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15</w:t>
      </w:r>
      <w:r>
        <w:rPr>
          <w:rFonts w:ascii="Times New Roman" w:hAnsi="Times New Roman" w:eastAsia="仿宋_GB2312"/>
          <w:sz w:val="32"/>
          <w:szCs w:val="32"/>
        </w:rPr>
        <w:t>]YY/T 0466.1</w:t>
      </w:r>
      <w:r>
        <w:rPr>
          <w:rFonts w:hint="eastAsia" w:ascii="Times New Roman" w:hAnsi="Times New Roman" w:eastAsia="仿宋_GB2312"/>
          <w:sz w:val="32"/>
          <w:szCs w:val="32"/>
        </w:rPr>
        <w:t>,医疗器械 用于医疗器械标签、标记和提供信息的符号 第1部分：通用要求[S].</w:t>
      </w:r>
    </w:p>
    <w:p w14:paraId="3677795F">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16</w:t>
      </w:r>
      <w:r>
        <w:rPr>
          <w:rFonts w:ascii="Times New Roman" w:hAnsi="Times New Roman" w:eastAsia="仿宋_GB2312"/>
          <w:sz w:val="32"/>
          <w:szCs w:val="32"/>
        </w:rPr>
        <w:t>]YY/T 0316</w:t>
      </w:r>
      <w:r>
        <w:rPr>
          <w:rFonts w:hint="eastAsia" w:ascii="Times New Roman" w:hAnsi="Times New Roman" w:eastAsia="仿宋_GB2312"/>
          <w:sz w:val="32"/>
          <w:szCs w:val="32"/>
        </w:rPr>
        <w:t>,医疗器械风险管理对医疗器械的应用[S].</w:t>
      </w:r>
    </w:p>
    <w:p w14:paraId="102D7B08">
      <w:pPr>
        <w:pStyle w:val="15"/>
        <w:overflowPunct w:val="0"/>
        <w:autoSpaceDE w:val="0"/>
        <w:autoSpaceDN w:val="0"/>
        <w:spacing w:line="560" w:lineRule="exact"/>
        <w:ind w:firstLine="640"/>
        <w:outlineLvl w:val="2"/>
        <w:rPr>
          <w:rFonts w:ascii="Times New Roman" w:hAnsi="Times New Roman" w:eastAsia="仿宋_GB2312"/>
          <w:sz w:val="32"/>
          <w:szCs w:val="32"/>
        </w:rPr>
      </w:pPr>
      <w:r>
        <w:rPr>
          <w:rFonts w:hint="eastAsia" w:ascii="Times New Roman" w:hAnsi="Times New Roman" w:eastAsia="黑体"/>
          <w:sz w:val="32"/>
          <w:szCs w:val="32"/>
        </w:rPr>
        <w:t>四、编写单位</w:t>
      </w:r>
    </w:p>
    <w:p w14:paraId="2AB52C86">
      <w:pPr>
        <w:widowControl/>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江西省药品认证审评中心</w:t>
      </w:r>
      <w:bookmarkEnd w:id="5"/>
    </w:p>
    <w:p w14:paraId="338A9DDE">
      <w:pPr>
        <w:overflowPunct w:val="0"/>
        <w:spacing w:line="580" w:lineRule="exact"/>
        <w:jc w:val="left"/>
        <w:rPr>
          <w:rFonts w:hint="eastAsia" w:eastAsia="宋体"/>
          <w:lang w:eastAsia="zh-CN"/>
        </w:rPr>
      </w:pPr>
    </w:p>
    <w:p w14:paraId="43BE99C1">
      <w:pPr>
        <w:overflowPunct w:val="0"/>
        <w:spacing w:line="580" w:lineRule="exact"/>
        <w:jc w:val="center"/>
        <w:rPr>
          <w:rFonts w:hint="eastAsia" w:eastAsia="宋体"/>
          <w:lang w:eastAsia="zh-CN"/>
        </w:rPr>
      </w:pPr>
    </w:p>
    <w:p w14:paraId="2A63C874">
      <w:pPr>
        <w:overflowPunct w:val="0"/>
        <w:spacing w:line="5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3760">
    <w:pPr>
      <w:pStyle w:val="5"/>
    </w:pPr>
    <w:r>
      <w:pict>
        <v:shape id="_x0000_s4097" o:spid="_x0000_s4097" o:spt="202" type="#_x0000_t202" style="position:absolute;left:0pt;margin-top:-29.55pt;height:144pt;width:144pt;mso-position-horizontal:outside;mso-position-horizontal-relative:margin;mso-wrap-style:none;z-index:251659264;mso-width-relative:page;mso-height-relative:page;" filled="f" stroked="f" coordsize="21600,21600" o:gfxdata="UEsDBAoAAAAAAIdO4kAAAAAAAAAAAAAAAAAEAAAAZHJzL1BLAwQUAAAACACHTuJAD6zpxdYAAAAI&#10;AQAADwAAAGRycy9kb3ducmV2LnhtbE2PQU/DMAyF75P4D5GRuG1pC0NdaTqJiXJEYuXAMWtMW2ic&#10;Ksm68u8xJ7jZfk/P3yv3ix3FjD4MjhSkmwQEUuvMQJ2Ct6Ze5yBC1GT06AgVfGOAfXW1KnVh3IVe&#10;cT7GTnAIhUIr6GOcCilD26PVYeMmJNY+nLc68uo7aby+cLgdZZYk99LqgfhDryc89Nh+Hc9WwaFu&#10;Gj9j8OM7Pte3ny+Pd/i0KHVznSYPICIu8c8Mv/iMDhUzndyZTBCjAi4SFay3uxQEy1me8+XEQ5bv&#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6zpxdYAAAAIAQAADwAAAAAAAAAB&#10;ACAAAAAiAAAAZHJzL2Rvd25yZXYueG1sUEsBAhQAFAAAAAgAh07iQErbzf8SAgAAEwQAAA4AAAAA&#10;AAAAAQAgAAAAJQEAAGRycy9lMm9Eb2MueG1sUEsFBgAAAAAGAAYAWQEAAKkFAAAAAA==&#10;">
          <v:path/>
          <v:fill on="f" focussize="0,0"/>
          <v:stroke on="f" weight="0.5pt" joinstyle="miter"/>
          <v:imagedata o:title=""/>
          <o:lock v:ext="edit"/>
          <v:textbox inset="0mm,0mm,0mm,0mm" style="mso-fit-shape-to-text:t;">
            <w:txbxContent>
              <w:p w14:paraId="723C0A10">
                <w:pPr>
                  <w:pStyle w:val="5"/>
                </w:pPr>
                <w:r>
                  <w:rPr>
                    <w:rFonts w:hint="eastAsia"/>
                    <w:color w:val="FFFFFF" w:themeColor="background1"/>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sz w:val="28"/>
                    <w:szCs w:val="28"/>
                  </w:rPr>
                  <w:t xml:space="preserve"> —</w:t>
                </w:r>
                <w:r>
                  <w:rPr>
                    <w:rFonts w:hint="eastAsia"/>
                    <w:color w:val="FFFFFF" w:themeColor="background1"/>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4787B"/>
    <w:rsid w:val="000000EC"/>
    <w:rsid w:val="00001CB8"/>
    <w:rsid w:val="000035E0"/>
    <w:rsid w:val="000072A6"/>
    <w:rsid w:val="00010C27"/>
    <w:rsid w:val="00012743"/>
    <w:rsid w:val="000141B1"/>
    <w:rsid w:val="000151DE"/>
    <w:rsid w:val="000201FC"/>
    <w:rsid w:val="00023E39"/>
    <w:rsid w:val="000250E1"/>
    <w:rsid w:val="00026932"/>
    <w:rsid w:val="00026E35"/>
    <w:rsid w:val="0004187F"/>
    <w:rsid w:val="00042622"/>
    <w:rsid w:val="00043D7F"/>
    <w:rsid w:val="00051374"/>
    <w:rsid w:val="00051F55"/>
    <w:rsid w:val="00052B30"/>
    <w:rsid w:val="00056A5B"/>
    <w:rsid w:val="00056EAE"/>
    <w:rsid w:val="00060C45"/>
    <w:rsid w:val="00063B5B"/>
    <w:rsid w:val="00063BC0"/>
    <w:rsid w:val="00064E7A"/>
    <w:rsid w:val="00072147"/>
    <w:rsid w:val="00072360"/>
    <w:rsid w:val="000827CF"/>
    <w:rsid w:val="00087E72"/>
    <w:rsid w:val="00091B96"/>
    <w:rsid w:val="00092189"/>
    <w:rsid w:val="00094F2F"/>
    <w:rsid w:val="00095695"/>
    <w:rsid w:val="000A0383"/>
    <w:rsid w:val="000A4B3E"/>
    <w:rsid w:val="000B03A8"/>
    <w:rsid w:val="000B1C14"/>
    <w:rsid w:val="000B1F70"/>
    <w:rsid w:val="000B2C44"/>
    <w:rsid w:val="000B40F5"/>
    <w:rsid w:val="000B42ED"/>
    <w:rsid w:val="000B4C9C"/>
    <w:rsid w:val="000B6DA1"/>
    <w:rsid w:val="000C49C2"/>
    <w:rsid w:val="000C5009"/>
    <w:rsid w:val="000D06A3"/>
    <w:rsid w:val="000D0B66"/>
    <w:rsid w:val="000D1308"/>
    <w:rsid w:val="000D43CA"/>
    <w:rsid w:val="000D5ACC"/>
    <w:rsid w:val="000D7F72"/>
    <w:rsid w:val="000E36B3"/>
    <w:rsid w:val="000E4395"/>
    <w:rsid w:val="000F05B4"/>
    <w:rsid w:val="000F302A"/>
    <w:rsid w:val="00100DE1"/>
    <w:rsid w:val="00104D33"/>
    <w:rsid w:val="00105DDD"/>
    <w:rsid w:val="0011034B"/>
    <w:rsid w:val="00110C98"/>
    <w:rsid w:val="001119AA"/>
    <w:rsid w:val="001131DD"/>
    <w:rsid w:val="00114B88"/>
    <w:rsid w:val="00116D2D"/>
    <w:rsid w:val="0011740D"/>
    <w:rsid w:val="00127B97"/>
    <w:rsid w:val="00131253"/>
    <w:rsid w:val="00131939"/>
    <w:rsid w:val="0013330A"/>
    <w:rsid w:val="00135372"/>
    <w:rsid w:val="00136061"/>
    <w:rsid w:val="00137412"/>
    <w:rsid w:val="00141F48"/>
    <w:rsid w:val="00143FE8"/>
    <w:rsid w:val="001446F8"/>
    <w:rsid w:val="00144B4B"/>
    <w:rsid w:val="00150FB9"/>
    <w:rsid w:val="00156815"/>
    <w:rsid w:val="0016092A"/>
    <w:rsid w:val="001636A3"/>
    <w:rsid w:val="00164636"/>
    <w:rsid w:val="00164C93"/>
    <w:rsid w:val="0016590A"/>
    <w:rsid w:val="00172DF8"/>
    <w:rsid w:val="00174180"/>
    <w:rsid w:val="0017467C"/>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3C88"/>
    <w:rsid w:val="001D5E05"/>
    <w:rsid w:val="001E2DB1"/>
    <w:rsid w:val="001E50E0"/>
    <w:rsid w:val="001F1662"/>
    <w:rsid w:val="001F578F"/>
    <w:rsid w:val="001F605E"/>
    <w:rsid w:val="001F69C4"/>
    <w:rsid w:val="001F76CF"/>
    <w:rsid w:val="00200035"/>
    <w:rsid w:val="002006C6"/>
    <w:rsid w:val="002007DE"/>
    <w:rsid w:val="00201359"/>
    <w:rsid w:val="0020771E"/>
    <w:rsid w:val="00212D66"/>
    <w:rsid w:val="00215B69"/>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0907"/>
    <w:rsid w:val="00270B18"/>
    <w:rsid w:val="00272908"/>
    <w:rsid w:val="0027455A"/>
    <w:rsid w:val="00282AD7"/>
    <w:rsid w:val="00283E1B"/>
    <w:rsid w:val="002875A2"/>
    <w:rsid w:val="00287915"/>
    <w:rsid w:val="002903E2"/>
    <w:rsid w:val="00294961"/>
    <w:rsid w:val="002A4346"/>
    <w:rsid w:val="002A4A09"/>
    <w:rsid w:val="002A7656"/>
    <w:rsid w:val="002B10C2"/>
    <w:rsid w:val="002B3B5F"/>
    <w:rsid w:val="002B3F5F"/>
    <w:rsid w:val="002B5E2C"/>
    <w:rsid w:val="002B5EAE"/>
    <w:rsid w:val="002C21BD"/>
    <w:rsid w:val="002D0F88"/>
    <w:rsid w:val="002D10C1"/>
    <w:rsid w:val="002D122C"/>
    <w:rsid w:val="002D6900"/>
    <w:rsid w:val="002E45BB"/>
    <w:rsid w:val="002E538B"/>
    <w:rsid w:val="002E6239"/>
    <w:rsid w:val="002F00C1"/>
    <w:rsid w:val="002F0615"/>
    <w:rsid w:val="002F1595"/>
    <w:rsid w:val="002F3106"/>
    <w:rsid w:val="003030AC"/>
    <w:rsid w:val="0030477E"/>
    <w:rsid w:val="0031009F"/>
    <w:rsid w:val="0031059C"/>
    <w:rsid w:val="003125C5"/>
    <w:rsid w:val="00321F9B"/>
    <w:rsid w:val="00322137"/>
    <w:rsid w:val="003241AE"/>
    <w:rsid w:val="003271F1"/>
    <w:rsid w:val="003302BD"/>
    <w:rsid w:val="0033390D"/>
    <w:rsid w:val="00334ADE"/>
    <w:rsid w:val="003362DA"/>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52E"/>
    <w:rsid w:val="0038779D"/>
    <w:rsid w:val="00387CBB"/>
    <w:rsid w:val="00392534"/>
    <w:rsid w:val="003965C2"/>
    <w:rsid w:val="003975F9"/>
    <w:rsid w:val="003A2530"/>
    <w:rsid w:val="003A2F06"/>
    <w:rsid w:val="003B16EB"/>
    <w:rsid w:val="003B19EC"/>
    <w:rsid w:val="003B1D59"/>
    <w:rsid w:val="003B2389"/>
    <w:rsid w:val="003B2D89"/>
    <w:rsid w:val="003B4463"/>
    <w:rsid w:val="003B4E8A"/>
    <w:rsid w:val="003B60F8"/>
    <w:rsid w:val="003B7A20"/>
    <w:rsid w:val="003C1F09"/>
    <w:rsid w:val="003C2343"/>
    <w:rsid w:val="003C3CBC"/>
    <w:rsid w:val="003D2111"/>
    <w:rsid w:val="003D25ED"/>
    <w:rsid w:val="003D262F"/>
    <w:rsid w:val="003E0B1F"/>
    <w:rsid w:val="003E15AB"/>
    <w:rsid w:val="003E1854"/>
    <w:rsid w:val="003F29C7"/>
    <w:rsid w:val="003F3122"/>
    <w:rsid w:val="003F5301"/>
    <w:rsid w:val="00401C93"/>
    <w:rsid w:val="00407AA9"/>
    <w:rsid w:val="004102F0"/>
    <w:rsid w:val="004138B6"/>
    <w:rsid w:val="004165EC"/>
    <w:rsid w:val="0041660A"/>
    <w:rsid w:val="00416C24"/>
    <w:rsid w:val="00416ED4"/>
    <w:rsid w:val="00424D52"/>
    <w:rsid w:val="00434C69"/>
    <w:rsid w:val="00441CC3"/>
    <w:rsid w:val="00442B38"/>
    <w:rsid w:val="004433C2"/>
    <w:rsid w:val="004435FE"/>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B60D6"/>
    <w:rsid w:val="004C1D36"/>
    <w:rsid w:val="004C585A"/>
    <w:rsid w:val="004D0DBD"/>
    <w:rsid w:val="004D14D2"/>
    <w:rsid w:val="004D33D7"/>
    <w:rsid w:val="004D35EC"/>
    <w:rsid w:val="004D3B68"/>
    <w:rsid w:val="004D485E"/>
    <w:rsid w:val="004D791F"/>
    <w:rsid w:val="004E29EE"/>
    <w:rsid w:val="004E393B"/>
    <w:rsid w:val="004E5FA9"/>
    <w:rsid w:val="004E60F6"/>
    <w:rsid w:val="004F10EC"/>
    <w:rsid w:val="004F3104"/>
    <w:rsid w:val="00500368"/>
    <w:rsid w:val="00502F8C"/>
    <w:rsid w:val="00504095"/>
    <w:rsid w:val="0051306C"/>
    <w:rsid w:val="0051420F"/>
    <w:rsid w:val="00515091"/>
    <w:rsid w:val="00515A42"/>
    <w:rsid w:val="0052351C"/>
    <w:rsid w:val="005235E6"/>
    <w:rsid w:val="00524467"/>
    <w:rsid w:val="00525D42"/>
    <w:rsid w:val="00527284"/>
    <w:rsid w:val="005276E6"/>
    <w:rsid w:val="005326E6"/>
    <w:rsid w:val="0053396C"/>
    <w:rsid w:val="00533DB1"/>
    <w:rsid w:val="00540D9F"/>
    <w:rsid w:val="00542688"/>
    <w:rsid w:val="005456E3"/>
    <w:rsid w:val="00545771"/>
    <w:rsid w:val="00545BA3"/>
    <w:rsid w:val="005461C0"/>
    <w:rsid w:val="00546AA2"/>
    <w:rsid w:val="0054734F"/>
    <w:rsid w:val="005474AF"/>
    <w:rsid w:val="00550F1F"/>
    <w:rsid w:val="00550FB3"/>
    <w:rsid w:val="005531B2"/>
    <w:rsid w:val="0055331C"/>
    <w:rsid w:val="00554316"/>
    <w:rsid w:val="00557138"/>
    <w:rsid w:val="00557800"/>
    <w:rsid w:val="00557C1B"/>
    <w:rsid w:val="005728B5"/>
    <w:rsid w:val="00572F43"/>
    <w:rsid w:val="00574AC3"/>
    <w:rsid w:val="0057558B"/>
    <w:rsid w:val="00576BD2"/>
    <w:rsid w:val="00581835"/>
    <w:rsid w:val="00582BD8"/>
    <w:rsid w:val="00583D45"/>
    <w:rsid w:val="00584005"/>
    <w:rsid w:val="005865E6"/>
    <w:rsid w:val="00587AE9"/>
    <w:rsid w:val="005A0881"/>
    <w:rsid w:val="005A45E9"/>
    <w:rsid w:val="005B11F0"/>
    <w:rsid w:val="005B41A1"/>
    <w:rsid w:val="005B53EE"/>
    <w:rsid w:val="005B733C"/>
    <w:rsid w:val="005C263F"/>
    <w:rsid w:val="005C46AB"/>
    <w:rsid w:val="005C7BB7"/>
    <w:rsid w:val="005D08C7"/>
    <w:rsid w:val="005D191B"/>
    <w:rsid w:val="005D23CC"/>
    <w:rsid w:val="005D4C95"/>
    <w:rsid w:val="005E2E40"/>
    <w:rsid w:val="005E4668"/>
    <w:rsid w:val="005E5598"/>
    <w:rsid w:val="005F03CE"/>
    <w:rsid w:val="005F56FB"/>
    <w:rsid w:val="006011C5"/>
    <w:rsid w:val="00601A35"/>
    <w:rsid w:val="00601BD8"/>
    <w:rsid w:val="00603ED3"/>
    <w:rsid w:val="006043FC"/>
    <w:rsid w:val="0061000D"/>
    <w:rsid w:val="00613427"/>
    <w:rsid w:val="006151EB"/>
    <w:rsid w:val="006172F1"/>
    <w:rsid w:val="00624789"/>
    <w:rsid w:val="00624E6F"/>
    <w:rsid w:val="00626D72"/>
    <w:rsid w:val="006274EB"/>
    <w:rsid w:val="00630D81"/>
    <w:rsid w:val="00631BD9"/>
    <w:rsid w:val="00634DAE"/>
    <w:rsid w:val="00635799"/>
    <w:rsid w:val="006371C6"/>
    <w:rsid w:val="00641BD9"/>
    <w:rsid w:val="00642A42"/>
    <w:rsid w:val="00642B81"/>
    <w:rsid w:val="00644D09"/>
    <w:rsid w:val="006556B2"/>
    <w:rsid w:val="006573F8"/>
    <w:rsid w:val="00661ECF"/>
    <w:rsid w:val="0066421D"/>
    <w:rsid w:val="00664E75"/>
    <w:rsid w:val="006655FE"/>
    <w:rsid w:val="00672B36"/>
    <w:rsid w:val="006802DD"/>
    <w:rsid w:val="00680314"/>
    <w:rsid w:val="00685546"/>
    <w:rsid w:val="006920C9"/>
    <w:rsid w:val="00693574"/>
    <w:rsid w:val="00693575"/>
    <w:rsid w:val="00696B32"/>
    <w:rsid w:val="006A1D4A"/>
    <w:rsid w:val="006A4031"/>
    <w:rsid w:val="006A40A9"/>
    <w:rsid w:val="006A59ED"/>
    <w:rsid w:val="006A7F24"/>
    <w:rsid w:val="006B265F"/>
    <w:rsid w:val="006B4D1C"/>
    <w:rsid w:val="006B5E34"/>
    <w:rsid w:val="006C34B0"/>
    <w:rsid w:val="006C36C4"/>
    <w:rsid w:val="006C529D"/>
    <w:rsid w:val="006D0B02"/>
    <w:rsid w:val="006D137E"/>
    <w:rsid w:val="006D1DAD"/>
    <w:rsid w:val="006D2722"/>
    <w:rsid w:val="006D6DFD"/>
    <w:rsid w:val="006D76F7"/>
    <w:rsid w:val="006E04F6"/>
    <w:rsid w:val="006E24C6"/>
    <w:rsid w:val="006E7430"/>
    <w:rsid w:val="006E7783"/>
    <w:rsid w:val="006E7C83"/>
    <w:rsid w:val="006F3CB2"/>
    <w:rsid w:val="006F6B95"/>
    <w:rsid w:val="007073DD"/>
    <w:rsid w:val="0071280E"/>
    <w:rsid w:val="00712C0A"/>
    <w:rsid w:val="0071316A"/>
    <w:rsid w:val="00721738"/>
    <w:rsid w:val="00725BAF"/>
    <w:rsid w:val="0073233B"/>
    <w:rsid w:val="00732394"/>
    <w:rsid w:val="0073305A"/>
    <w:rsid w:val="0073366D"/>
    <w:rsid w:val="007406E8"/>
    <w:rsid w:val="007432CF"/>
    <w:rsid w:val="00743A8A"/>
    <w:rsid w:val="007446A2"/>
    <w:rsid w:val="00746719"/>
    <w:rsid w:val="00752895"/>
    <w:rsid w:val="00752940"/>
    <w:rsid w:val="00755806"/>
    <w:rsid w:val="00755D81"/>
    <w:rsid w:val="0075626B"/>
    <w:rsid w:val="00757639"/>
    <w:rsid w:val="007603C1"/>
    <w:rsid w:val="00761F47"/>
    <w:rsid w:val="00762386"/>
    <w:rsid w:val="007634BB"/>
    <w:rsid w:val="00764F20"/>
    <w:rsid w:val="007709F7"/>
    <w:rsid w:val="00771890"/>
    <w:rsid w:val="00771CFF"/>
    <w:rsid w:val="00772A6E"/>
    <w:rsid w:val="00772A7E"/>
    <w:rsid w:val="007746EE"/>
    <w:rsid w:val="0077701A"/>
    <w:rsid w:val="0078230E"/>
    <w:rsid w:val="00785DFA"/>
    <w:rsid w:val="00786D01"/>
    <w:rsid w:val="00792648"/>
    <w:rsid w:val="0079321C"/>
    <w:rsid w:val="0079663A"/>
    <w:rsid w:val="00796D4E"/>
    <w:rsid w:val="007A03F5"/>
    <w:rsid w:val="007A3878"/>
    <w:rsid w:val="007A4764"/>
    <w:rsid w:val="007B3455"/>
    <w:rsid w:val="007B5A1D"/>
    <w:rsid w:val="007B713F"/>
    <w:rsid w:val="007C04DA"/>
    <w:rsid w:val="007C6B9B"/>
    <w:rsid w:val="007C6ECD"/>
    <w:rsid w:val="007C7727"/>
    <w:rsid w:val="007D5EC8"/>
    <w:rsid w:val="007E2F64"/>
    <w:rsid w:val="007E4425"/>
    <w:rsid w:val="007E4FF2"/>
    <w:rsid w:val="007E5D13"/>
    <w:rsid w:val="007F1DD5"/>
    <w:rsid w:val="007F4493"/>
    <w:rsid w:val="007F5912"/>
    <w:rsid w:val="00801422"/>
    <w:rsid w:val="008018CF"/>
    <w:rsid w:val="00803C47"/>
    <w:rsid w:val="00804608"/>
    <w:rsid w:val="00805C5A"/>
    <w:rsid w:val="008069AB"/>
    <w:rsid w:val="00807A01"/>
    <w:rsid w:val="008104CD"/>
    <w:rsid w:val="0081092A"/>
    <w:rsid w:val="008118CB"/>
    <w:rsid w:val="00813D7F"/>
    <w:rsid w:val="00821821"/>
    <w:rsid w:val="00824A39"/>
    <w:rsid w:val="00827F77"/>
    <w:rsid w:val="0083065C"/>
    <w:rsid w:val="00833DBE"/>
    <w:rsid w:val="00835F9D"/>
    <w:rsid w:val="0084387D"/>
    <w:rsid w:val="00843D48"/>
    <w:rsid w:val="00846524"/>
    <w:rsid w:val="00852E97"/>
    <w:rsid w:val="00853B88"/>
    <w:rsid w:val="0085459A"/>
    <w:rsid w:val="008558F0"/>
    <w:rsid w:val="008608FF"/>
    <w:rsid w:val="00863A48"/>
    <w:rsid w:val="00863DBC"/>
    <w:rsid w:val="008701F4"/>
    <w:rsid w:val="00870483"/>
    <w:rsid w:val="008732D3"/>
    <w:rsid w:val="008759DA"/>
    <w:rsid w:val="00880CDA"/>
    <w:rsid w:val="00881D7D"/>
    <w:rsid w:val="008821CA"/>
    <w:rsid w:val="0088295B"/>
    <w:rsid w:val="00882A59"/>
    <w:rsid w:val="00884608"/>
    <w:rsid w:val="00884B32"/>
    <w:rsid w:val="008906C9"/>
    <w:rsid w:val="00894CCC"/>
    <w:rsid w:val="008954D5"/>
    <w:rsid w:val="00895DB3"/>
    <w:rsid w:val="008A08AB"/>
    <w:rsid w:val="008A57D3"/>
    <w:rsid w:val="008A7DE6"/>
    <w:rsid w:val="008B0C7B"/>
    <w:rsid w:val="008B1C46"/>
    <w:rsid w:val="008C06AC"/>
    <w:rsid w:val="008C091D"/>
    <w:rsid w:val="008C1DA0"/>
    <w:rsid w:val="008C54D6"/>
    <w:rsid w:val="008D24F8"/>
    <w:rsid w:val="008D33E9"/>
    <w:rsid w:val="008D3EC2"/>
    <w:rsid w:val="008D6E77"/>
    <w:rsid w:val="008D7360"/>
    <w:rsid w:val="008E0E48"/>
    <w:rsid w:val="008E2B80"/>
    <w:rsid w:val="008E33C0"/>
    <w:rsid w:val="008E351E"/>
    <w:rsid w:val="008E3F1E"/>
    <w:rsid w:val="008E7649"/>
    <w:rsid w:val="008E7EB5"/>
    <w:rsid w:val="008F0B01"/>
    <w:rsid w:val="008F1711"/>
    <w:rsid w:val="008F47C6"/>
    <w:rsid w:val="008F58F3"/>
    <w:rsid w:val="008F7808"/>
    <w:rsid w:val="00910AE9"/>
    <w:rsid w:val="00912D08"/>
    <w:rsid w:val="00913B8E"/>
    <w:rsid w:val="00913BB6"/>
    <w:rsid w:val="009159A8"/>
    <w:rsid w:val="0092471A"/>
    <w:rsid w:val="00930520"/>
    <w:rsid w:val="00931304"/>
    <w:rsid w:val="009333D0"/>
    <w:rsid w:val="009338E8"/>
    <w:rsid w:val="00947292"/>
    <w:rsid w:val="0095381F"/>
    <w:rsid w:val="009542BB"/>
    <w:rsid w:val="00954F8D"/>
    <w:rsid w:val="0096088A"/>
    <w:rsid w:val="00960E40"/>
    <w:rsid w:val="00966D89"/>
    <w:rsid w:val="00967CA0"/>
    <w:rsid w:val="00971FAF"/>
    <w:rsid w:val="00972AA5"/>
    <w:rsid w:val="0097418C"/>
    <w:rsid w:val="00975192"/>
    <w:rsid w:val="00976195"/>
    <w:rsid w:val="009765C6"/>
    <w:rsid w:val="00976A09"/>
    <w:rsid w:val="00976A0A"/>
    <w:rsid w:val="009841E2"/>
    <w:rsid w:val="009843AE"/>
    <w:rsid w:val="00984E62"/>
    <w:rsid w:val="00985B82"/>
    <w:rsid w:val="0098727E"/>
    <w:rsid w:val="009872F6"/>
    <w:rsid w:val="00990958"/>
    <w:rsid w:val="0099310E"/>
    <w:rsid w:val="0099326A"/>
    <w:rsid w:val="00995662"/>
    <w:rsid w:val="00995C91"/>
    <w:rsid w:val="009A1B57"/>
    <w:rsid w:val="009A2294"/>
    <w:rsid w:val="009A2BCA"/>
    <w:rsid w:val="009A3637"/>
    <w:rsid w:val="009A5F27"/>
    <w:rsid w:val="009B1F5D"/>
    <w:rsid w:val="009B23B0"/>
    <w:rsid w:val="009B3115"/>
    <w:rsid w:val="009B5648"/>
    <w:rsid w:val="009C0271"/>
    <w:rsid w:val="009C0712"/>
    <w:rsid w:val="009C4DF7"/>
    <w:rsid w:val="009C57E3"/>
    <w:rsid w:val="009D160C"/>
    <w:rsid w:val="009D472D"/>
    <w:rsid w:val="009D67EE"/>
    <w:rsid w:val="009E0368"/>
    <w:rsid w:val="009E6710"/>
    <w:rsid w:val="009F3140"/>
    <w:rsid w:val="009F4128"/>
    <w:rsid w:val="00A01D3E"/>
    <w:rsid w:val="00A03270"/>
    <w:rsid w:val="00A04A33"/>
    <w:rsid w:val="00A04F89"/>
    <w:rsid w:val="00A04F9F"/>
    <w:rsid w:val="00A05575"/>
    <w:rsid w:val="00A11316"/>
    <w:rsid w:val="00A1285E"/>
    <w:rsid w:val="00A1381E"/>
    <w:rsid w:val="00A13B0B"/>
    <w:rsid w:val="00A15196"/>
    <w:rsid w:val="00A15389"/>
    <w:rsid w:val="00A201F3"/>
    <w:rsid w:val="00A20C7E"/>
    <w:rsid w:val="00A23FA5"/>
    <w:rsid w:val="00A24C4E"/>
    <w:rsid w:val="00A26D28"/>
    <w:rsid w:val="00A27829"/>
    <w:rsid w:val="00A303C4"/>
    <w:rsid w:val="00A30ECE"/>
    <w:rsid w:val="00A32942"/>
    <w:rsid w:val="00A360DE"/>
    <w:rsid w:val="00A37038"/>
    <w:rsid w:val="00A42640"/>
    <w:rsid w:val="00A43687"/>
    <w:rsid w:val="00A4484F"/>
    <w:rsid w:val="00A44DAE"/>
    <w:rsid w:val="00A459D3"/>
    <w:rsid w:val="00A460EF"/>
    <w:rsid w:val="00A50056"/>
    <w:rsid w:val="00A50973"/>
    <w:rsid w:val="00A50E56"/>
    <w:rsid w:val="00A52011"/>
    <w:rsid w:val="00A54662"/>
    <w:rsid w:val="00A55805"/>
    <w:rsid w:val="00A55A9C"/>
    <w:rsid w:val="00A56D29"/>
    <w:rsid w:val="00A60EC3"/>
    <w:rsid w:val="00A6155E"/>
    <w:rsid w:val="00A6445C"/>
    <w:rsid w:val="00A653CA"/>
    <w:rsid w:val="00A704F4"/>
    <w:rsid w:val="00A71728"/>
    <w:rsid w:val="00A71A58"/>
    <w:rsid w:val="00A72531"/>
    <w:rsid w:val="00A771B6"/>
    <w:rsid w:val="00A807A6"/>
    <w:rsid w:val="00A81A44"/>
    <w:rsid w:val="00A829EE"/>
    <w:rsid w:val="00A82BD0"/>
    <w:rsid w:val="00A83C24"/>
    <w:rsid w:val="00A84587"/>
    <w:rsid w:val="00A84771"/>
    <w:rsid w:val="00A866F7"/>
    <w:rsid w:val="00A8676D"/>
    <w:rsid w:val="00A868D1"/>
    <w:rsid w:val="00A90A13"/>
    <w:rsid w:val="00A91931"/>
    <w:rsid w:val="00A956FC"/>
    <w:rsid w:val="00A969D4"/>
    <w:rsid w:val="00AA2910"/>
    <w:rsid w:val="00AA666A"/>
    <w:rsid w:val="00AA6DF2"/>
    <w:rsid w:val="00AB12E9"/>
    <w:rsid w:val="00AB2740"/>
    <w:rsid w:val="00AB5AD8"/>
    <w:rsid w:val="00AB7B44"/>
    <w:rsid w:val="00AC0364"/>
    <w:rsid w:val="00AC277C"/>
    <w:rsid w:val="00AC3929"/>
    <w:rsid w:val="00AC3E9B"/>
    <w:rsid w:val="00AD06B4"/>
    <w:rsid w:val="00AD18B2"/>
    <w:rsid w:val="00AD4969"/>
    <w:rsid w:val="00AD688C"/>
    <w:rsid w:val="00AD739E"/>
    <w:rsid w:val="00AE276A"/>
    <w:rsid w:val="00AE2CF5"/>
    <w:rsid w:val="00AE3D1A"/>
    <w:rsid w:val="00AF5894"/>
    <w:rsid w:val="00B03205"/>
    <w:rsid w:val="00B05480"/>
    <w:rsid w:val="00B0694D"/>
    <w:rsid w:val="00B13307"/>
    <w:rsid w:val="00B17225"/>
    <w:rsid w:val="00B175A4"/>
    <w:rsid w:val="00B21B31"/>
    <w:rsid w:val="00B21C0B"/>
    <w:rsid w:val="00B232B4"/>
    <w:rsid w:val="00B2373D"/>
    <w:rsid w:val="00B23A42"/>
    <w:rsid w:val="00B248A9"/>
    <w:rsid w:val="00B251DF"/>
    <w:rsid w:val="00B264F3"/>
    <w:rsid w:val="00B26CF4"/>
    <w:rsid w:val="00B2768D"/>
    <w:rsid w:val="00B27732"/>
    <w:rsid w:val="00B30C5C"/>
    <w:rsid w:val="00B31674"/>
    <w:rsid w:val="00B42834"/>
    <w:rsid w:val="00B42D6C"/>
    <w:rsid w:val="00B44CC8"/>
    <w:rsid w:val="00B470C4"/>
    <w:rsid w:val="00B50895"/>
    <w:rsid w:val="00B51A66"/>
    <w:rsid w:val="00B5350D"/>
    <w:rsid w:val="00B5646E"/>
    <w:rsid w:val="00B56DD0"/>
    <w:rsid w:val="00B5700D"/>
    <w:rsid w:val="00B60B04"/>
    <w:rsid w:val="00B62EEA"/>
    <w:rsid w:val="00B63122"/>
    <w:rsid w:val="00B67784"/>
    <w:rsid w:val="00B800CA"/>
    <w:rsid w:val="00B80634"/>
    <w:rsid w:val="00B80A3C"/>
    <w:rsid w:val="00B810C9"/>
    <w:rsid w:val="00B836C1"/>
    <w:rsid w:val="00B8575F"/>
    <w:rsid w:val="00B93E09"/>
    <w:rsid w:val="00BA36DB"/>
    <w:rsid w:val="00BB37FA"/>
    <w:rsid w:val="00BB4791"/>
    <w:rsid w:val="00BB4A23"/>
    <w:rsid w:val="00BB4D2E"/>
    <w:rsid w:val="00BB5C93"/>
    <w:rsid w:val="00BB7D05"/>
    <w:rsid w:val="00BB7FDB"/>
    <w:rsid w:val="00BC31DF"/>
    <w:rsid w:val="00BC400F"/>
    <w:rsid w:val="00BC44E5"/>
    <w:rsid w:val="00BC4632"/>
    <w:rsid w:val="00BC59C9"/>
    <w:rsid w:val="00BC7E56"/>
    <w:rsid w:val="00BD14D3"/>
    <w:rsid w:val="00BD4709"/>
    <w:rsid w:val="00BD6211"/>
    <w:rsid w:val="00BE1439"/>
    <w:rsid w:val="00BE2C68"/>
    <w:rsid w:val="00BE6C61"/>
    <w:rsid w:val="00BF0994"/>
    <w:rsid w:val="00BF19B1"/>
    <w:rsid w:val="00BF23F5"/>
    <w:rsid w:val="00BF3BCE"/>
    <w:rsid w:val="00C00668"/>
    <w:rsid w:val="00C028A4"/>
    <w:rsid w:val="00C02FB9"/>
    <w:rsid w:val="00C03FFB"/>
    <w:rsid w:val="00C051BB"/>
    <w:rsid w:val="00C05DE9"/>
    <w:rsid w:val="00C06A2E"/>
    <w:rsid w:val="00C106EF"/>
    <w:rsid w:val="00C15A25"/>
    <w:rsid w:val="00C16513"/>
    <w:rsid w:val="00C16950"/>
    <w:rsid w:val="00C17012"/>
    <w:rsid w:val="00C17E45"/>
    <w:rsid w:val="00C201BC"/>
    <w:rsid w:val="00C304FB"/>
    <w:rsid w:val="00C3509F"/>
    <w:rsid w:val="00C36E01"/>
    <w:rsid w:val="00C40FD6"/>
    <w:rsid w:val="00C415AA"/>
    <w:rsid w:val="00C42ED0"/>
    <w:rsid w:val="00C46C02"/>
    <w:rsid w:val="00C46E1B"/>
    <w:rsid w:val="00C47BAA"/>
    <w:rsid w:val="00C47CC6"/>
    <w:rsid w:val="00C519C7"/>
    <w:rsid w:val="00C53638"/>
    <w:rsid w:val="00C54469"/>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840B8"/>
    <w:rsid w:val="00C87F4D"/>
    <w:rsid w:val="00C91C12"/>
    <w:rsid w:val="00CA56DB"/>
    <w:rsid w:val="00CB05A5"/>
    <w:rsid w:val="00CB39C5"/>
    <w:rsid w:val="00CB6804"/>
    <w:rsid w:val="00CC1241"/>
    <w:rsid w:val="00CC164A"/>
    <w:rsid w:val="00CC3053"/>
    <w:rsid w:val="00CC4D24"/>
    <w:rsid w:val="00CC6C03"/>
    <w:rsid w:val="00CD0F23"/>
    <w:rsid w:val="00CD5297"/>
    <w:rsid w:val="00CD54D3"/>
    <w:rsid w:val="00CD623C"/>
    <w:rsid w:val="00CD686F"/>
    <w:rsid w:val="00CD6F14"/>
    <w:rsid w:val="00CD7BDC"/>
    <w:rsid w:val="00CE21C0"/>
    <w:rsid w:val="00CE2D50"/>
    <w:rsid w:val="00CE45CF"/>
    <w:rsid w:val="00CE4A2E"/>
    <w:rsid w:val="00CE55C4"/>
    <w:rsid w:val="00CE6860"/>
    <w:rsid w:val="00CE6DF4"/>
    <w:rsid w:val="00CE7D1B"/>
    <w:rsid w:val="00CF15C9"/>
    <w:rsid w:val="00CF1CC1"/>
    <w:rsid w:val="00CF2382"/>
    <w:rsid w:val="00CF72E3"/>
    <w:rsid w:val="00CF7A27"/>
    <w:rsid w:val="00D0251E"/>
    <w:rsid w:val="00D026EA"/>
    <w:rsid w:val="00D031D8"/>
    <w:rsid w:val="00D10942"/>
    <w:rsid w:val="00D11DD1"/>
    <w:rsid w:val="00D13793"/>
    <w:rsid w:val="00D13DC7"/>
    <w:rsid w:val="00D17BFE"/>
    <w:rsid w:val="00D21D15"/>
    <w:rsid w:val="00D23ACD"/>
    <w:rsid w:val="00D23BAF"/>
    <w:rsid w:val="00D252CB"/>
    <w:rsid w:val="00D32FD8"/>
    <w:rsid w:val="00D3671F"/>
    <w:rsid w:val="00D40397"/>
    <w:rsid w:val="00D4194D"/>
    <w:rsid w:val="00D4323B"/>
    <w:rsid w:val="00D45492"/>
    <w:rsid w:val="00D4787B"/>
    <w:rsid w:val="00D47CE1"/>
    <w:rsid w:val="00D521E3"/>
    <w:rsid w:val="00D57B25"/>
    <w:rsid w:val="00D61A4A"/>
    <w:rsid w:val="00D626FC"/>
    <w:rsid w:val="00D742BB"/>
    <w:rsid w:val="00D74C0B"/>
    <w:rsid w:val="00D83D4C"/>
    <w:rsid w:val="00D91DA9"/>
    <w:rsid w:val="00D92A89"/>
    <w:rsid w:val="00D92CA6"/>
    <w:rsid w:val="00D94F20"/>
    <w:rsid w:val="00D96868"/>
    <w:rsid w:val="00DA01B4"/>
    <w:rsid w:val="00DA4685"/>
    <w:rsid w:val="00DA5F19"/>
    <w:rsid w:val="00DB181D"/>
    <w:rsid w:val="00DC665F"/>
    <w:rsid w:val="00DD1B01"/>
    <w:rsid w:val="00DD231D"/>
    <w:rsid w:val="00DD24EE"/>
    <w:rsid w:val="00DD2D6A"/>
    <w:rsid w:val="00DD7431"/>
    <w:rsid w:val="00DE1C6F"/>
    <w:rsid w:val="00DE2EED"/>
    <w:rsid w:val="00DE7478"/>
    <w:rsid w:val="00DF04EF"/>
    <w:rsid w:val="00DF0CEC"/>
    <w:rsid w:val="00DF1D50"/>
    <w:rsid w:val="00DF22A7"/>
    <w:rsid w:val="00DF4CB6"/>
    <w:rsid w:val="00DF62C4"/>
    <w:rsid w:val="00E01041"/>
    <w:rsid w:val="00E01E02"/>
    <w:rsid w:val="00E115B9"/>
    <w:rsid w:val="00E139B8"/>
    <w:rsid w:val="00E1487E"/>
    <w:rsid w:val="00E17785"/>
    <w:rsid w:val="00E2227E"/>
    <w:rsid w:val="00E22DCB"/>
    <w:rsid w:val="00E24B39"/>
    <w:rsid w:val="00E26293"/>
    <w:rsid w:val="00E336C2"/>
    <w:rsid w:val="00E4554D"/>
    <w:rsid w:val="00E50CEF"/>
    <w:rsid w:val="00E51EB7"/>
    <w:rsid w:val="00E53344"/>
    <w:rsid w:val="00E54E2F"/>
    <w:rsid w:val="00E55105"/>
    <w:rsid w:val="00E569F8"/>
    <w:rsid w:val="00E6064D"/>
    <w:rsid w:val="00E610E8"/>
    <w:rsid w:val="00E63A1A"/>
    <w:rsid w:val="00E66796"/>
    <w:rsid w:val="00E704F1"/>
    <w:rsid w:val="00E82316"/>
    <w:rsid w:val="00E845D9"/>
    <w:rsid w:val="00E86894"/>
    <w:rsid w:val="00E86932"/>
    <w:rsid w:val="00E86C3F"/>
    <w:rsid w:val="00E90F0B"/>
    <w:rsid w:val="00E913CE"/>
    <w:rsid w:val="00E91F27"/>
    <w:rsid w:val="00E92ADF"/>
    <w:rsid w:val="00E93234"/>
    <w:rsid w:val="00E948A8"/>
    <w:rsid w:val="00E95BB7"/>
    <w:rsid w:val="00E9616D"/>
    <w:rsid w:val="00EA1755"/>
    <w:rsid w:val="00EA1C25"/>
    <w:rsid w:val="00EA3C96"/>
    <w:rsid w:val="00EA4E93"/>
    <w:rsid w:val="00EB74C3"/>
    <w:rsid w:val="00EB7992"/>
    <w:rsid w:val="00EB7E22"/>
    <w:rsid w:val="00EC1421"/>
    <w:rsid w:val="00EC1711"/>
    <w:rsid w:val="00EC435F"/>
    <w:rsid w:val="00ED01A3"/>
    <w:rsid w:val="00ED113E"/>
    <w:rsid w:val="00ED1CAE"/>
    <w:rsid w:val="00ED2052"/>
    <w:rsid w:val="00ED4A7A"/>
    <w:rsid w:val="00EE160E"/>
    <w:rsid w:val="00EE3C95"/>
    <w:rsid w:val="00EF1C0E"/>
    <w:rsid w:val="00EF20C2"/>
    <w:rsid w:val="00EF3B7D"/>
    <w:rsid w:val="00EF4608"/>
    <w:rsid w:val="00EF4C13"/>
    <w:rsid w:val="00F011CC"/>
    <w:rsid w:val="00F01FA4"/>
    <w:rsid w:val="00F078B1"/>
    <w:rsid w:val="00F22D01"/>
    <w:rsid w:val="00F22F18"/>
    <w:rsid w:val="00F231A2"/>
    <w:rsid w:val="00F305D0"/>
    <w:rsid w:val="00F34D42"/>
    <w:rsid w:val="00F354DC"/>
    <w:rsid w:val="00F35EC0"/>
    <w:rsid w:val="00F4298B"/>
    <w:rsid w:val="00F44FCF"/>
    <w:rsid w:val="00F4717B"/>
    <w:rsid w:val="00F51F2B"/>
    <w:rsid w:val="00F5383A"/>
    <w:rsid w:val="00F564F2"/>
    <w:rsid w:val="00F56AC9"/>
    <w:rsid w:val="00F64B1A"/>
    <w:rsid w:val="00F65C64"/>
    <w:rsid w:val="00F670C0"/>
    <w:rsid w:val="00F70DF3"/>
    <w:rsid w:val="00F75CB4"/>
    <w:rsid w:val="00F77724"/>
    <w:rsid w:val="00F77952"/>
    <w:rsid w:val="00F7797E"/>
    <w:rsid w:val="00F817ED"/>
    <w:rsid w:val="00F8352A"/>
    <w:rsid w:val="00F83E37"/>
    <w:rsid w:val="00F87448"/>
    <w:rsid w:val="00F919C0"/>
    <w:rsid w:val="00F95ADC"/>
    <w:rsid w:val="00F95E80"/>
    <w:rsid w:val="00FA3455"/>
    <w:rsid w:val="00FA4CA4"/>
    <w:rsid w:val="00FA690F"/>
    <w:rsid w:val="00FA788C"/>
    <w:rsid w:val="00FB2523"/>
    <w:rsid w:val="00FB40EE"/>
    <w:rsid w:val="00FB44D1"/>
    <w:rsid w:val="00FB4986"/>
    <w:rsid w:val="00FB49DE"/>
    <w:rsid w:val="00FB7928"/>
    <w:rsid w:val="00FC0AFF"/>
    <w:rsid w:val="00FC515B"/>
    <w:rsid w:val="00FD03DB"/>
    <w:rsid w:val="00FD0C52"/>
    <w:rsid w:val="00FD3C45"/>
    <w:rsid w:val="00FE2F1D"/>
    <w:rsid w:val="00FE42D4"/>
    <w:rsid w:val="00FE43A6"/>
    <w:rsid w:val="00FE727B"/>
    <w:rsid w:val="00FF3BD1"/>
    <w:rsid w:val="00FF4D55"/>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61F3087"/>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6410429"/>
    <w:rsid w:val="37A32315"/>
    <w:rsid w:val="38154270"/>
    <w:rsid w:val="387E0F6E"/>
    <w:rsid w:val="3A2E4572"/>
    <w:rsid w:val="3C3E76DD"/>
    <w:rsid w:val="3C894B2E"/>
    <w:rsid w:val="3E12044D"/>
    <w:rsid w:val="3E720333"/>
    <w:rsid w:val="40AE4CCE"/>
    <w:rsid w:val="41F05C62"/>
    <w:rsid w:val="42813C71"/>
    <w:rsid w:val="42A52AC8"/>
    <w:rsid w:val="43052E26"/>
    <w:rsid w:val="43217257"/>
    <w:rsid w:val="435D321A"/>
    <w:rsid w:val="44584D0D"/>
    <w:rsid w:val="485C0EA7"/>
    <w:rsid w:val="4B025F36"/>
    <w:rsid w:val="4B682DF9"/>
    <w:rsid w:val="4BBA3A6F"/>
    <w:rsid w:val="4C753FD3"/>
    <w:rsid w:val="4D8B148F"/>
    <w:rsid w:val="4DA07E88"/>
    <w:rsid w:val="4E3142E2"/>
    <w:rsid w:val="4F0B449F"/>
    <w:rsid w:val="4FB304EB"/>
    <w:rsid w:val="52615103"/>
    <w:rsid w:val="5293583A"/>
    <w:rsid w:val="52A72B76"/>
    <w:rsid w:val="53701D6C"/>
    <w:rsid w:val="56C54E76"/>
    <w:rsid w:val="576D0F4D"/>
    <w:rsid w:val="58446ED5"/>
    <w:rsid w:val="58624018"/>
    <w:rsid w:val="58A8488D"/>
    <w:rsid w:val="593E413F"/>
    <w:rsid w:val="5A986635"/>
    <w:rsid w:val="5CF63456"/>
    <w:rsid w:val="5E0735C3"/>
    <w:rsid w:val="60517676"/>
    <w:rsid w:val="60B81034"/>
    <w:rsid w:val="63033BC1"/>
    <w:rsid w:val="637A638D"/>
    <w:rsid w:val="64193710"/>
    <w:rsid w:val="67AB2E2A"/>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Char"/>
    <w:basedOn w:val="11"/>
    <w:link w:val="4"/>
    <w:semiHidden/>
    <w:qFormat/>
    <w:uiPriority w:val="99"/>
    <w:rPr>
      <w:rFonts w:asciiTheme="minorHAnsi" w:hAnsiTheme="minorHAnsi" w:eastAsiaTheme="minorEastAsia" w:cstheme="minorBidi"/>
      <w:kern w:val="2"/>
      <w:sz w:val="18"/>
      <w:szCs w:val="18"/>
    </w:rPr>
  </w:style>
  <w:style w:type="character" w:customStyle="1" w:styleId="20">
    <w:name w:val="f101"/>
    <w:qFormat/>
    <w:uiPriority w:val="99"/>
    <w:rPr>
      <w:sz w:val="24"/>
      <w:szCs w:val="24"/>
    </w:rPr>
  </w:style>
  <w:style w:type="character" w:customStyle="1" w:styleId="21">
    <w:name w:val="纯文本 Char"/>
    <w:basedOn w:val="11"/>
    <w:link w:val="3"/>
    <w:qFormat/>
    <w:uiPriority w:val="99"/>
    <w:rPr>
      <w:rFonts w:ascii="宋体" w:hAnsi="Courier New" w:cs="Courier New"/>
      <w:kern w:val="2"/>
      <w:sz w:val="21"/>
      <w:szCs w:val="21"/>
    </w:rPr>
  </w:style>
  <w:style w:type="character" w:customStyle="1" w:styleId="22">
    <w:name w:val="批注文字 Char"/>
    <w:basedOn w:val="11"/>
    <w:link w:val="2"/>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F580B-8472-4CE5-882C-4BFB09B0E791}">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4007</Words>
  <Characters>4350</Characters>
  <Lines>33</Lines>
  <Paragraphs>9</Paragraphs>
  <TotalTime>1805</TotalTime>
  <ScaleCrop>false</ScaleCrop>
  <LinksUpToDate>false</LinksUpToDate>
  <CharactersWithSpaces>4376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2021-10-08T01:24:00Z</cp:lastPrinted>
  <dcterms:modified xsi:type="dcterms:W3CDTF">2025-08-14T07:03:07Z</dcterms:modified>
  <cp:revision>1560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D0DBA57D5E9E433A930D80B6F716248B</vt:lpwstr>
  </property>
  <property fmtid="{D5CDD505-2E9C-101B-9397-08002B2CF9AE}" pid="4" name="KSOTemplateDocerSaveRecord">
    <vt:lpwstr>eyJoZGlkIjoiMDJiMzI3ODBiNTFmMWRjNDUyMjM1ZmZjODY5NDc2MWMiLCJ1c2VySWQiOiI0NTQ4Nzg1NzAifQ==</vt:lpwstr>
  </property>
</Properties>
</file>