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701A8">
      <w:pPr>
        <w:tabs>
          <w:tab w:val="left" w:pos="4035"/>
          <w:tab w:val="left" w:pos="9240"/>
        </w:tabs>
        <w:snapToGrid w:val="0"/>
        <w:spacing w:line="300" w:lineRule="auto"/>
        <w:jc w:val="center"/>
        <w:rPr>
          <w:rFonts w:ascii="Arial" w:hAnsi="Arial" w:eastAsia="宋体" w:cs="Arial"/>
          <w:sz w:val="60"/>
          <w:szCs w:val="60"/>
          <w:lang w:eastAsia="zh-CN"/>
        </w:rPr>
      </w:pPr>
      <w:bookmarkStart w:id="177" w:name="_GoBack"/>
      <w:bookmarkEnd w:id="177"/>
      <w:r>
        <w:rPr>
          <w:rFonts w:ascii="Arial" w:hAnsi="Arial" w:eastAsia="宋体" w:cs="Arial"/>
          <w:b/>
          <w:sz w:val="60"/>
          <w:u w:val="single" w:color="000000"/>
          <w:lang w:eastAsia="zh-CN"/>
        </w:rPr>
        <w:t>行业和食品药品监督管理局员工指南</w:t>
      </w:r>
    </w:p>
    <w:p w14:paraId="3CBB92EA">
      <w:pPr>
        <w:tabs>
          <w:tab w:val="left" w:pos="4035"/>
          <w:tab w:val="left" w:pos="9240"/>
        </w:tabs>
        <w:snapToGrid w:val="0"/>
        <w:spacing w:line="300" w:lineRule="auto"/>
        <w:jc w:val="center"/>
        <w:rPr>
          <w:rFonts w:ascii="Arial" w:hAnsi="Arial" w:eastAsia="宋体" w:cs="Arial"/>
          <w:b/>
          <w:sz w:val="60"/>
          <w:lang w:eastAsia="zh-CN"/>
        </w:rPr>
      </w:pPr>
      <w:r>
        <w:rPr>
          <w:rFonts w:ascii="Arial" w:hAnsi="Arial" w:eastAsia="宋体" w:cs="Arial"/>
          <w:b/>
          <w:sz w:val="60"/>
          <w:lang w:eastAsia="zh-CN"/>
        </w:rPr>
        <w:t>治疗良性前列腺增生症（BPH）</w:t>
      </w:r>
      <w:r>
        <w:rPr>
          <w:rFonts w:hint="eastAsia" w:ascii="Arial" w:hAnsi="Arial" w:eastAsia="宋体" w:cs="Arial"/>
          <w:b/>
          <w:sz w:val="60"/>
          <w:lang w:eastAsia="zh-CN"/>
        </w:rPr>
        <w:t>器械</w:t>
      </w:r>
      <w:r>
        <w:rPr>
          <w:rFonts w:ascii="Arial" w:hAnsi="Arial" w:eastAsia="宋体" w:cs="Arial"/>
          <w:b/>
          <w:sz w:val="60"/>
          <w:lang w:eastAsia="zh-CN"/>
        </w:rPr>
        <w:t>的非临床和临床研究的指南</w:t>
      </w:r>
    </w:p>
    <w:p w14:paraId="115765A4">
      <w:pPr>
        <w:snapToGrid w:val="0"/>
        <w:spacing w:before="11" w:line="300" w:lineRule="auto"/>
        <w:rPr>
          <w:rFonts w:ascii="Arial" w:hAnsi="Arial" w:eastAsia="宋体" w:cs="Arial"/>
          <w:b/>
          <w:bCs/>
          <w:sz w:val="51"/>
          <w:szCs w:val="51"/>
          <w:lang w:eastAsia="zh-CN"/>
        </w:rPr>
      </w:pPr>
    </w:p>
    <w:p w14:paraId="4205107D">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文件发布日期：2010年8月17日</w:t>
      </w:r>
    </w:p>
    <w:p w14:paraId="79FCDA42">
      <w:pPr>
        <w:snapToGrid w:val="0"/>
        <w:spacing w:line="300" w:lineRule="auto"/>
        <w:jc w:val="center"/>
        <w:rPr>
          <w:rFonts w:ascii="Arial" w:hAnsi="Arial" w:eastAsia="宋体" w:cs="Arial"/>
          <w:sz w:val="28"/>
          <w:szCs w:val="28"/>
          <w:lang w:eastAsia="zh-CN"/>
        </w:rPr>
      </w:pPr>
    </w:p>
    <w:p w14:paraId="79BE9812">
      <w:pPr>
        <w:snapToGrid w:val="0"/>
        <w:spacing w:line="300" w:lineRule="auto"/>
        <w:jc w:val="center"/>
        <w:rPr>
          <w:rFonts w:ascii="Arial" w:hAnsi="Arial" w:eastAsia="宋体" w:cs="Arial"/>
          <w:sz w:val="28"/>
          <w:szCs w:val="28"/>
          <w:lang w:eastAsia="zh-CN"/>
        </w:rPr>
      </w:pPr>
    </w:p>
    <w:p w14:paraId="1131AC56">
      <w:pPr>
        <w:snapToGrid w:val="0"/>
        <w:spacing w:line="300" w:lineRule="auto"/>
        <w:jc w:val="center"/>
        <w:rPr>
          <w:rFonts w:ascii="Arial" w:hAnsi="Arial" w:eastAsia="宋体" w:cs="Arial"/>
          <w:sz w:val="28"/>
          <w:szCs w:val="28"/>
          <w:lang w:eastAsia="zh-CN"/>
        </w:rPr>
      </w:pPr>
    </w:p>
    <w:p w14:paraId="6BD45992">
      <w:pPr>
        <w:snapToGrid w:val="0"/>
        <w:spacing w:line="300" w:lineRule="auto"/>
        <w:jc w:val="center"/>
        <w:rPr>
          <w:rFonts w:ascii="Arial" w:hAnsi="Arial" w:eastAsia="宋体" w:cs="Arial"/>
          <w:sz w:val="28"/>
          <w:szCs w:val="28"/>
          <w:lang w:eastAsia="zh-CN"/>
        </w:rPr>
      </w:pPr>
    </w:p>
    <w:p w14:paraId="45BDDE83">
      <w:pPr>
        <w:snapToGrid w:val="0"/>
        <w:spacing w:line="300" w:lineRule="auto"/>
        <w:jc w:val="center"/>
        <w:rPr>
          <w:rFonts w:ascii="Arial" w:hAnsi="Arial" w:eastAsia="宋体" w:cs="Arial"/>
          <w:sz w:val="28"/>
          <w:szCs w:val="28"/>
          <w:lang w:eastAsia="zh-CN"/>
        </w:rPr>
      </w:pPr>
    </w:p>
    <w:p w14:paraId="113930BC">
      <w:pPr>
        <w:snapToGrid w:val="0"/>
        <w:spacing w:line="300" w:lineRule="auto"/>
        <w:jc w:val="center"/>
        <w:rPr>
          <w:rFonts w:ascii="Arial" w:hAnsi="Arial" w:eastAsia="宋体" w:cs="Arial"/>
          <w:sz w:val="28"/>
          <w:szCs w:val="28"/>
          <w:lang w:eastAsia="zh-CN"/>
        </w:rPr>
      </w:pPr>
    </w:p>
    <w:p w14:paraId="07B0056B">
      <w:pPr>
        <w:snapToGrid w:val="0"/>
        <w:spacing w:line="300" w:lineRule="auto"/>
        <w:jc w:val="center"/>
        <w:rPr>
          <w:rFonts w:ascii="Arial" w:hAnsi="Arial" w:eastAsia="宋体" w:cs="Arial"/>
          <w:sz w:val="28"/>
          <w:szCs w:val="28"/>
          <w:lang w:eastAsia="zh-CN"/>
        </w:rPr>
      </w:pPr>
    </w:p>
    <w:p w14:paraId="4F36BDDB">
      <w:pPr>
        <w:snapToGrid w:val="0"/>
        <w:spacing w:line="300" w:lineRule="auto"/>
        <w:jc w:val="center"/>
        <w:rPr>
          <w:rFonts w:ascii="Arial" w:hAnsi="Arial" w:eastAsia="宋体" w:cs="Arial"/>
          <w:sz w:val="28"/>
          <w:szCs w:val="28"/>
          <w:lang w:eastAsia="zh-CN"/>
        </w:rPr>
      </w:pPr>
    </w:p>
    <w:p w14:paraId="0EBD9765">
      <w:pPr>
        <w:snapToGrid w:val="0"/>
        <w:spacing w:line="300" w:lineRule="auto"/>
        <w:jc w:val="center"/>
        <w:rPr>
          <w:rFonts w:ascii="Arial" w:hAnsi="Arial" w:eastAsia="宋体" w:cs="Arial"/>
          <w:sz w:val="28"/>
          <w:szCs w:val="28"/>
          <w:lang w:eastAsia="zh-CN"/>
        </w:rPr>
      </w:pPr>
    </w:p>
    <w:p w14:paraId="63CB3DE6">
      <w:pPr>
        <w:snapToGrid w:val="0"/>
        <w:spacing w:line="300" w:lineRule="auto"/>
        <w:jc w:val="center"/>
        <w:rPr>
          <w:rFonts w:ascii="Arial" w:hAnsi="Arial" w:eastAsia="宋体" w:cs="Arial"/>
          <w:sz w:val="28"/>
          <w:szCs w:val="28"/>
          <w:lang w:eastAsia="zh-CN"/>
        </w:rPr>
      </w:pPr>
    </w:p>
    <w:p w14:paraId="5DC9B94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有关本文件的问题，请联系John Baxley，电话：301-796-6549或电子邮件：</w:t>
      </w:r>
      <w:r>
        <w:rPr>
          <w:rFonts w:ascii="Arial" w:hAnsi="Arial" w:eastAsia="宋体" w:cs="Arial"/>
          <w:color w:val="0000FF"/>
          <w:u w:val="single"/>
          <w:lang w:eastAsia="zh-CN"/>
        </w:rPr>
        <w:t>john.baxley@fda.hhs.gov</w:t>
      </w:r>
      <w:r>
        <w:rPr>
          <w:rFonts w:ascii="Arial" w:hAnsi="Arial" w:eastAsia="宋体" w:cs="Arial"/>
          <w:lang w:eastAsia="zh-CN"/>
        </w:rPr>
        <w:t>或联系James Seiler，电话：301-796-6558或电子邮件：</w:t>
      </w:r>
      <w:r>
        <w:rPr>
          <w:rFonts w:ascii="Arial" w:hAnsi="Arial" w:eastAsia="宋体" w:cs="Arial"/>
          <w:color w:val="0000FF"/>
          <w:u w:val="single"/>
          <w:lang w:eastAsia="zh-CN"/>
        </w:rPr>
        <w:t>james.seiler@fda.hhs .gov</w:t>
      </w:r>
      <w:r>
        <w:rPr>
          <w:rFonts w:ascii="Arial" w:hAnsi="Arial" w:eastAsia="宋体" w:cs="Arial"/>
          <w:lang w:eastAsia="zh-CN"/>
        </w:rPr>
        <w:t>。</w:t>
      </w:r>
    </w:p>
    <w:p w14:paraId="16BD2428">
      <w:pPr>
        <w:pStyle w:val="6"/>
        <w:snapToGrid w:val="0"/>
        <w:spacing w:line="300" w:lineRule="auto"/>
        <w:ind w:left="0"/>
        <w:rPr>
          <w:rFonts w:ascii="Arial" w:hAnsi="Arial" w:eastAsia="宋体" w:cs="Arial"/>
          <w:lang w:eastAsia="zh-CN"/>
        </w:rPr>
      </w:pPr>
    </w:p>
    <w:p w14:paraId="35422CA4">
      <w:pPr>
        <w:snapToGrid w:val="0"/>
        <w:spacing w:line="300" w:lineRule="auto"/>
        <w:rPr>
          <w:rFonts w:ascii="Arial" w:hAnsi="Arial" w:eastAsia="宋体" w:cs="Arial"/>
          <w:b/>
          <w:sz w:val="24"/>
          <w:lang w:eastAsia="zh-CN"/>
        </w:rPr>
      </w:pPr>
      <w:r>
        <w:rPr>
          <w:rFonts w:ascii="Arial" w:hAnsi="Arial" w:eastAsia="宋体" w:cs="Arial"/>
          <w:position w:val="-9"/>
          <w:lang w:eastAsia="zh-CN"/>
        </w:rPr>
        <w:drawing>
          <wp:inline distT="0" distB="0" distL="0" distR="0">
            <wp:extent cx="914400" cy="952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914400" cy="952500"/>
                    </a:xfrm>
                    <a:prstGeom prst="rect">
                      <a:avLst/>
                    </a:prstGeom>
                  </pic:spPr>
                </pic:pic>
              </a:graphicData>
            </a:graphic>
          </wp:inline>
        </w:drawing>
      </w:r>
    </w:p>
    <w:p w14:paraId="0C8E3A56">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美国卫生与公众服务部</w:t>
      </w:r>
    </w:p>
    <w:p w14:paraId="67A14396">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食品药品监督管理局</w:t>
      </w:r>
    </w:p>
    <w:p w14:paraId="7F77153E">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器械</w:t>
      </w:r>
      <w:r>
        <w:rPr>
          <w:rFonts w:hint="eastAsia" w:ascii="Arial" w:hAnsi="Arial" w:eastAsia="宋体" w:cs="Arial"/>
          <w:b/>
          <w:sz w:val="24"/>
          <w:lang w:eastAsia="zh-CN"/>
        </w:rPr>
        <w:t>和</w:t>
      </w:r>
      <w:r>
        <w:rPr>
          <w:rFonts w:ascii="Arial" w:hAnsi="Arial" w:eastAsia="宋体" w:cs="Arial"/>
          <w:b/>
          <w:sz w:val="24"/>
          <w:lang w:eastAsia="zh-CN"/>
        </w:rPr>
        <w:t>放射</w:t>
      </w:r>
      <w:r>
        <w:rPr>
          <w:rFonts w:hint="eastAsia" w:ascii="Arial" w:hAnsi="Arial" w:eastAsia="宋体" w:cs="Arial"/>
          <w:b/>
          <w:sz w:val="24"/>
          <w:lang w:eastAsia="zh-CN"/>
        </w:rPr>
        <w:t>卫生</w:t>
      </w:r>
      <w:r>
        <w:rPr>
          <w:rFonts w:ascii="Arial" w:hAnsi="Arial" w:eastAsia="宋体" w:cs="Arial"/>
          <w:b/>
          <w:sz w:val="24"/>
          <w:lang w:eastAsia="zh-CN"/>
        </w:rPr>
        <w:t>中心</w:t>
      </w:r>
    </w:p>
    <w:p w14:paraId="74878D46">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器械评估办公室</w:t>
      </w:r>
    </w:p>
    <w:p w14:paraId="5E91B928">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生殖，腹部和放射器械部</w:t>
      </w:r>
    </w:p>
    <w:p w14:paraId="58FE9154">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泌尿科和碎石术器械科</w:t>
      </w:r>
    </w:p>
    <w:p w14:paraId="0967F0A8">
      <w:pPr>
        <w:snapToGrid w:val="0"/>
        <w:spacing w:line="300" w:lineRule="auto"/>
        <w:rPr>
          <w:rFonts w:ascii="Arial" w:hAnsi="Arial" w:eastAsia="宋体" w:cs="Arial"/>
          <w:sz w:val="24"/>
          <w:szCs w:val="24"/>
          <w:lang w:eastAsia="zh-CN"/>
        </w:rPr>
        <w:sectPr>
          <w:type w:val="continuous"/>
          <w:pgSz w:w="12240" w:h="15840"/>
          <w:pgMar w:top="1134" w:right="1134" w:bottom="1134" w:left="1134" w:header="720" w:footer="720" w:gutter="0"/>
          <w:cols w:space="720" w:num="1"/>
          <w:docGrid w:linePitch="299" w:charSpace="0"/>
        </w:sectPr>
      </w:pPr>
    </w:p>
    <w:p w14:paraId="0DBD90CE">
      <w:pPr>
        <w:snapToGrid w:val="0"/>
        <w:spacing w:line="300" w:lineRule="auto"/>
        <w:rPr>
          <w:rFonts w:ascii="Arial" w:hAnsi="Arial" w:eastAsia="宋体" w:cs="Arial"/>
          <w:b/>
          <w:bCs/>
          <w:sz w:val="20"/>
          <w:szCs w:val="20"/>
          <w:lang w:eastAsia="zh-CN"/>
        </w:rPr>
      </w:pPr>
    </w:p>
    <w:p w14:paraId="03A538F3">
      <w:pPr>
        <w:snapToGrid w:val="0"/>
        <w:spacing w:before="8" w:line="300" w:lineRule="auto"/>
        <w:rPr>
          <w:rFonts w:ascii="Arial" w:hAnsi="Arial" w:eastAsia="宋体" w:cs="Arial"/>
          <w:b/>
          <w:bCs/>
          <w:sz w:val="16"/>
          <w:szCs w:val="16"/>
          <w:lang w:eastAsia="zh-CN"/>
        </w:rPr>
      </w:pPr>
    </w:p>
    <w:p w14:paraId="0B5440E9">
      <w:pPr>
        <w:snapToGrid w:val="0"/>
        <w:spacing w:before="3" w:line="300" w:lineRule="auto"/>
        <w:jc w:val="center"/>
        <w:rPr>
          <w:rFonts w:ascii="Arial" w:hAnsi="Arial" w:eastAsia="宋体" w:cs="Arial"/>
          <w:b/>
          <w:sz w:val="48"/>
          <w:szCs w:val="48"/>
          <w:lang w:eastAsia="zh-CN"/>
        </w:rPr>
      </w:pPr>
      <w:r>
        <w:rPr>
          <w:rFonts w:ascii="Arial" w:hAnsi="Arial" w:eastAsia="宋体" w:cs="Arial"/>
          <w:b/>
          <w:sz w:val="48"/>
          <w:szCs w:val="48"/>
          <w:lang w:eastAsia="zh-CN"/>
        </w:rPr>
        <w:t>前言</w:t>
      </w:r>
    </w:p>
    <w:p w14:paraId="19E750DC">
      <w:pPr>
        <w:snapToGrid w:val="0"/>
        <w:spacing w:before="291" w:line="300" w:lineRule="auto"/>
        <w:jc w:val="both"/>
        <w:rPr>
          <w:rFonts w:ascii="Arial" w:hAnsi="Arial" w:eastAsia="宋体" w:cs="Arial"/>
          <w:b/>
          <w:sz w:val="36"/>
          <w:szCs w:val="36"/>
        </w:rPr>
      </w:pPr>
      <w:r>
        <w:rPr>
          <w:rFonts w:ascii="Arial" w:hAnsi="Arial" w:eastAsia="宋体" w:cs="Arial"/>
          <w:b/>
          <w:sz w:val="36"/>
          <w:szCs w:val="36"/>
          <w:lang w:eastAsia="zh-CN"/>
        </w:rPr>
        <w:t>公共评论</w:t>
      </w:r>
    </w:p>
    <w:p w14:paraId="0E4741EA">
      <w:pPr>
        <w:pStyle w:val="6"/>
        <w:snapToGrid w:val="0"/>
        <w:spacing w:before="69" w:line="300" w:lineRule="auto"/>
        <w:ind w:left="0"/>
        <w:jc w:val="both"/>
        <w:rPr>
          <w:rFonts w:ascii="Arial" w:hAnsi="Arial" w:eastAsia="宋体" w:cs="Arial"/>
          <w:lang w:eastAsia="zh-CN"/>
        </w:rPr>
      </w:pPr>
      <w:r>
        <w:rPr>
          <w:rFonts w:ascii="Arial" w:hAnsi="Arial" w:eastAsia="宋体" w:cs="Arial"/>
          <w:lang w:eastAsia="zh-CN"/>
        </w:rPr>
        <w:t>贵公司可以随时提交书面评论和建议至食品药品监督管理局，文档管理部（5630 Fishers Lane，Room 1061，（HFA-305），Rockville，MD，20852），供部门审议。电子评论请提交至</w:t>
      </w:r>
      <w:r>
        <w:fldChar w:fldCharType="begin"/>
      </w:r>
      <w:r>
        <w:instrText xml:space="preserve"> HYPERLINK "http://www.regulations.gov/" \h </w:instrText>
      </w:r>
      <w:r>
        <w:fldChar w:fldCharType="separate"/>
      </w:r>
      <w:r>
        <w:rPr>
          <w:rFonts w:ascii="Arial" w:hAnsi="Arial" w:eastAsia="宋体" w:cs="Arial"/>
          <w:color w:val="0000FF"/>
          <w:u w:val="single" w:color="0000FF"/>
          <w:lang w:eastAsia="zh-CN"/>
        </w:rPr>
        <w:t>www.regulations.gov</w:t>
      </w:r>
      <w:r>
        <w:rPr>
          <w:rFonts w:ascii="Arial" w:hAnsi="Arial" w:eastAsia="宋体" w:cs="Arial"/>
          <w:color w:val="0000FF"/>
          <w:u w:val="single" w:color="0000FF"/>
          <w:lang w:eastAsia="zh-CN"/>
        </w:rPr>
        <w:fldChar w:fldCharType="end"/>
      </w:r>
      <w:r>
        <w:rPr>
          <w:rFonts w:ascii="Arial" w:hAnsi="Arial" w:eastAsia="宋体" w:cs="Arial"/>
          <w:lang w:eastAsia="zh-CN"/>
        </w:rPr>
        <w:t>。提交评论时，请参阅本指导性文件的确切标题。可能直到文件下次修订或更新时，机构才会受理评论。</w:t>
      </w:r>
    </w:p>
    <w:p w14:paraId="4B8A1D13">
      <w:pPr>
        <w:snapToGrid w:val="0"/>
        <w:spacing w:line="300" w:lineRule="auto"/>
        <w:jc w:val="both"/>
        <w:rPr>
          <w:rFonts w:ascii="Arial" w:hAnsi="Arial" w:eastAsia="宋体" w:cs="Arial"/>
          <w:sz w:val="24"/>
          <w:szCs w:val="24"/>
          <w:lang w:eastAsia="zh-CN"/>
        </w:rPr>
      </w:pPr>
    </w:p>
    <w:p w14:paraId="530750D9">
      <w:pPr>
        <w:snapToGrid w:val="0"/>
        <w:spacing w:before="147" w:line="300" w:lineRule="auto"/>
        <w:jc w:val="both"/>
        <w:rPr>
          <w:rFonts w:ascii="Arial" w:hAnsi="Arial" w:eastAsia="宋体" w:cs="Arial"/>
          <w:b/>
          <w:sz w:val="36"/>
          <w:szCs w:val="36"/>
        </w:rPr>
      </w:pPr>
      <w:r>
        <w:rPr>
          <w:rFonts w:ascii="Arial" w:hAnsi="Arial" w:eastAsia="宋体" w:cs="Arial"/>
          <w:b/>
          <w:sz w:val="36"/>
          <w:szCs w:val="36"/>
          <w:lang w:eastAsia="zh-CN"/>
        </w:rPr>
        <w:t>其他副本</w:t>
      </w:r>
    </w:p>
    <w:p w14:paraId="5D4A2079">
      <w:pPr>
        <w:pStyle w:val="6"/>
        <w:tabs>
          <w:tab w:val="left" w:pos="6711"/>
          <w:tab w:val="left" w:pos="7606"/>
        </w:tabs>
        <w:snapToGrid w:val="0"/>
        <w:spacing w:before="120" w:line="300" w:lineRule="auto"/>
        <w:ind w:left="0"/>
        <w:rPr>
          <w:rFonts w:ascii="Arial" w:hAnsi="Arial" w:eastAsia="宋体" w:cs="Arial"/>
          <w:lang w:eastAsia="zh-CN"/>
        </w:rPr>
      </w:pPr>
      <w:r>
        <w:rPr>
          <w:rFonts w:ascii="Arial" w:hAnsi="Arial" w:eastAsia="宋体" w:cs="Arial"/>
          <w:lang w:eastAsia="zh-CN"/>
        </w:rPr>
        <w:t>其他副本可从互联网获得，网址为：</w:t>
      </w:r>
      <w:r>
        <w:fldChar w:fldCharType="begin"/>
      </w:r>
      <w:r>
        <w:instrText xml:space="preserve"> HYPERLINK "http://www.fda.gov/MedicalDevices/D"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 \h </w:instrText>
      </w:r>
      <w:r>
        <w:fldChar w:fldCharType="separate"/>
      </w:r>
      <w:r>
        <w:rPr>
          <w:rFonts w:ascii="Arial" w:hAnsi="Arial" w:eastAsia="宋体" w:cs="Arial"/>
          <w:color w:val="0000FF"/>
          <w:u w:val="single" w:color="0000FF"/>
        </w:rPr>
        <w:t>eviceRegulationandGuidance/GuidanceDocuments/</w:t>
      </w:r>
      <w:r>
        <w:rPr>
          <w:rFonts w:ascii="Arial" w:hAnsi="Arial" w:eastAsia="宋体" w:cs="Arial"/>
          <w:color w:val="0000FF"/>
          <w:u w:val="single" w:color="0000FF"/>
        </w:rPr>
        <w:fldChar w:fldCharType="end"/>
      </w:r>
      <w:r>
        <w:rPr>
          <w:rFonts w:ascii="Arial" w:hAnsi="Arial" w:eastAsia="宋体" w:cs="Arial"/>
          <w:lang w:eastAsia="zh-CN"/>
        </w:rPr>
        <w:t>。贵公司还可以向dsmica@fda.hhs.gov发送电子邮件请求，以接收本指南的电子副本，或向301-827-8149发送传真请求以获得硬拷贝。请使用文件编号1724来标识贵公司所要求获得的指南。</w:t>
      </w:r>
    </w:p>
    <w:p w14:paraId="05B90DC4">
      <w:pPr>
        <w:snapToGrid w:val="0"/>
        <w:spacing w:line="300" w:lineRule="auto"/>
        <w:jc w:val="both"/>
        <w:rPr>
          <w:rFonts w:ascii="Arial" w:hAnsi="Arial" w:eastAsia="宋体" w:cs="Arial"/>
          <w:lang w:eastAsia="zh-CN"/>
        </w:rPr>
        <w:sectPr>
          <w:headerReference r:id="rId3" w:type="default"/>
          <w:pgSz w:w="12240" w:h="15840"/>
          <w:pgMar w:top="1134" w:right="1134" w:bottom="1134" w:left="1134" w:header="750" w:footer="0" w:gutter="0"/>
          <w:cols w:space="720" w:num="1"/>
          <w:docGrid w:linePitch="299" w:charSpace="0"/>
        </w:sectPr>
      </w:pPr>
    </w:p>
    <w:p w14:paraId="4716B357">
      <w:pPr>
        <w:snapToGrid w:val="0"/>
        <w:spacing w:line="300" w:lineRule="auto"/>
        <w:jc w:val="both"/>
        <w:rPr>
          <w:rFonts w:ascii="Arial" w:hAnsi="Arial" w:eastAsia="宋体" w:cs="Arial"/>
          <w:sz w:val="20"/>
          <w:szCs w:val="20"/>
          <w:lang w:eastAsia="zh-CN"/>
        </w:rPr>
      </w:pPr>
    </w:p>
    <w:sdt>
      <w:sdtPr>
        <w:rPr>
          <w:rFonts w:asciiTheme="minorHAnsi" w:hAnsiTheme="minorHAnsi" w:eastAsiaTheme="minorEastAsia" w:cstheme="minorBidi"/>
          <w:color w:val="auto"/>
          <w:sz w:val="22"/>
          <w:szCs w:val="22"/>
          <w:lang w:val="zh-CN" w:eastAsia="en-US"/>
        </w:rPr>
        <w:id w:val="827403817"/>
        <w:docPartObj>
          <w:docPartGallery w:val="Table of Contents"/>
          <w:docPartUnique/>
        </w:docPartObj>
      </w:sdtPr>
      <w:sdtEndPr>
        <w:rPr>
          <w:rFonts w:asciiTheme="minorHAnsi" w:hAnsiTheme="minorHAnsi" w:eastAsiaTheme="minorEastAsia" w:cstheme="minorBidi"/>
          <w:bCs/>
          <w:color w:val="auto"/>
          <w:sz w:val="22"/>
          <w:szCs w:val="22"/>
          <w:lang w:val="zh-CN" w:eastAsia="en-US"/>
        </w:rPr>
      </w:sdtEndPr>
      <w:sdtContent>
        <w:p w14:paraId="02BDC11A">
          <w:pPr>
            <w:pStyle w:val="24"/>
            <w:jc w:val="center"/>
            <w:rPr>
              <w:b/>
              <w:color w:val="000000" w:themeColor="text1"/>
              <w14:textFill>
                <w14:solidFill>
                  <w14:schemeClr w14:val="tx1"/>
                </w14:solidFill>
              </w14:textFill>
            </w:rPr>
          </w:pPr>
          <w:r>
            <w:rPr>
              <w:b/>
              <w:color w:val="000000" w:themeColor="text1"/>
              <w:lang w:val="zh-CN"/>
              <w14:textFill>
                <w14:solidFill>
                  <w14:schemeClr w14:val="tx1"/>
                </w14:solidFill>
              </w14:textFill>
            </w:rPr>
            <w:t>目录</w:t>
          </w:r>
        </w:p>
        <w:p w14:paraId="449FDF8A">
          <w:pPr>
            <w:pStyle w:val="11"/>
            <w:tabs>
              <w:tab w:val="right" w:leader="dot" w:pos="9962"/>
            </w:tabs>
            <w:rPr>
              <w:rFonts w:ascii="Arial" w:hAnsi="Arial" w:eastAsia="宋体" w:cs="Arial"/>
              <w:kern w:val="2"/>
              <w:sz w:val="21"/>
              <w:szCs w:val="22"/>
              <w:lang w:eastAsia="zh-CN"/>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"_Toc481595889" </w:instrText>
          </w:r>
          <w:r>
            <w:fldChar w:fldCharType="separate"/>
          </w:r>
          <w:r>
            <w:rPr>
              <w:rStyle w:val="16"/>
              <w:rFonts w:ascii="Arial" w:hAnsi="Arial" w:eastAsia="宋体" w:cs="Arial"/>
            </w:rPr>
            <w:t>I.</w:t>
          </w:r>
          <w:r>
            <w:rPr>
              <w:rFonts w:ascii="Arial" w:hAnsi="Arial" w:eastAsia="宋体" w:cs="Arial"/>
              <w:kern w:val="2"/>
              <w:sz w:val="21"/>
              <w:szCs w:val="22"/>
              <w:lang w:eastAsia="zh-CN"/>
            </w:rPr>
            <w:tab/>
          </w:r>
          <w:r>
            <w:rPr>
              <w:rStyle w:val="16"/>
              <w:rFonts w:ascii="Arial" w:hAnsi="Arial" w:eastAsia="宋体" w:cs="Arial"/>
              <w:lang w:eastAsia="zh-CN"/>
            </w:rPr>
            <w:t>前言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_Toc481595889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19892B70">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"_Toc481595890" </w:instrText>
          </w:r>
          <w:r>
            <w:fldChar w:fldCharType="separate"/>
          </w:r>
          <w:r>
            <w:rPr>
              <w:rStyle w:val="16"/>
              <w:rFonts w:ascii="Arial" w:hAnsi="Arial" w:eastAsia="宋体" w:cs="Arial"/>
            </w:rPr>
            <w:t>II.</w:t>
          </w:r>
          <w:r>
            <w:rPr>
              <w:rFonts w:ascii="Arial" w:hAnsi="Arial" w:eastAsia="宋体" w:cs="Arial"/>
              <w:kern w:val="2"/>
              <w:sz w:val="21"/>
              <w:szCs w:val="22"/>
              <w:lang w:eastAsia="zh-CN"/>
            </w:rPr>
            <w:tab/>
          </w:r>
          <w:r>
            <w:rPr>
              <w:rStyle w:val="16"/>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_Toc481595890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185202C3">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"_Toc481595891" </w:instrText>
          </w:r>
          <w:r>
            <w:fldChar w:fldCharType="separate"/>
          </w:r>
          <w:r>
            <w:rPr>
              <w:rStyle w:val="16"/>
              <w:rFonts w:ascii="Arial" w:hAnsi="Arial" w:eastAsia="宋体" w:cs="Arial"/>
            </w:rPr>
            <w:t>III.</w:t>
          </w:r>
          <w:r>
            <w:rPr>
              <w:rFonts w:ascii="Arial" w:hAnsi="Arial" w:eastAsia="宋体" w:cs="Arial"/>
              <w:kern w:val="2"/>
              <w:sz w:val="21"/>
              <w:szCs w:val="22"/>
              <w:lang w:eastAsia="zh-CN"/>
            </w:rPr>
            <w:tab/>
          </w:r>
          <w:r>
            <w:rPr>
              <w:rStyle w:val="16"/>
              <w:rFonts w:ascii="Arial" w:hAnsi="Arial" w:eastAsia="宋体" w:cs="Arial"/>
            </w:rPr>
            <w:t>非临床试验建议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_Toc481595891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5BCE121C">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"_Toc481595892" </w:instrText>
          </w:r>
          <w:r>
            <w:fldChar w:fldCharType="separate"/>
          </w:r>
          <w:r>
            <w:rPr>
              <w:rStyle w:val="16"/>
              <w:rFonts w:ascii="Arial" w:hAnsi="Arial" w:eastAsia="宋体" w:cs="Arial"/>
              <w:spacing w:val="-1"/>
              <w:w w:val="99"/>
            </w:rPr>
            <w:t>A.</w:t>
          </w:r>
          <w:r>
            <w:rPr>
              <w:rFonts w:ascii="Arial" w:hAnsi="Arial" w:eastAsia="宋体" w:cs="Arial"/>
              <w:kern w:val="2"/>
              <w:sz w:val="21"/>
              <w:szCs w:val="22"/>
              <w:lang w:eastAsia="zh-CN"/>
            </w:rPr>
            <w:tab/>
          </w:r>
          <w:r>
            <w:rPr>
              <w:rStyle w:val="16"/>
              <w:rFonts w:ascii="Arial" w:hAnsi="Arial" w:eastAsia="宋体" w:cs="Arial"/>
            </w:rPr>
            <w:t>材料安全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_Toc481595892 \h </w:instrText>
          </w:r>
          <w:r>
            <w:rPr>
              <w:rFonts w:ascii="Arial" w:hAnsi="Arial" w:eastAsia="宋体" w:cs="Arial"/>
            </w:rPr>
            <w:fldChar w:fldCharType="separate"/>
          </w:r>
          <w:r>
            <w:rPr>
              <w:rFonts w:ascii="Arial" w:hAnsi="Arial" w:eastAsia="宋体" w:cs="Arial"/>
            </w:rPr>
            <w:t>10</w:t>
          </w:r>
          <w:r>
            <w:rPr>
              <w:rFonts w:ascii="Arial" w:hAnsi="Arial" w:eastAsia="宋体" w:cs="Arial"/>
            </w:rPr>
            <w:fldChar w:fldCharType="end"/>
          </w:r>
          <w:r>
            <w:rPr>
              <w:rFonts w:ascii="Arial" w:hAnsi="Arial" w:eastAsia="宋体" w:cs="Arial"/>
            </w:rPr>
            <w:fldChar w:fldCharType="end"/>
          </w:r>
        </w:p>
        <w:p w14:paraId="10802683">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"_Toc481595893" </w:instrText>
          </w:r>
          <w:r>
            <w:fldChar w:fldCharType="separate"/>
          </w:r>
          <w:r>
            <w:rPr>
              <w:rStyle w:val="16"/>
              <w:rFonts w:ascii="Arial" w:hAnsi="Arial" w:eastAsia="宋体" w:cs="Arial"/>
              <w:spacing w:val="-1"/>
              <w:w w:val="99"/>
            </w:rPr>
            <w:t>B.</w:t>
          </w:r>
          <w:r>
            <w:rPr>
              <w:rFonts w:ascii="Arial" w:hAnsi="Arial" w:eastAsia="宋体" w:cs="Arial"/>
              <w:kern w:val="2"/>
              <w:sz w:val="21"/>
              <w:szCs w:val="22"/>
              <w:lang w:eastAsia="zh-CN"/>
            </w:rPr>
            <w:tab/>
          </w:r>
          <w:r>
            <w:rPr>
              <w:rStyle w:val="16"/>
              <w:rFonts w:ascii="Arial" w:hAnsi="Arial" w:eastAsia="宋体" w:cs="Arial"/>
            </w:rPr>
            <w:t>电气安全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_Toc481595893 \h </w:instrText>
          </w:r>
          <w:r>
            <w:rPr>
              <w:rFonts w:ascii="Arial" w:hAnsi="Arial" w:eastAsia="宋体" w:cs="Arial"/>
            </w:rPr>
            <w:fldChar w:fldCharType="separate"/>
          </w:r>
          <w:r>
            <w:rPr>
              <w:rFonts w:ascii="Arial" w:hAnsi="Arial" w:eastAsia="宋体" w:cs="Arial"/>
            </w:rPr>
            <w:t>10</w:t>
          </w:r>
          <w:r>
            <w:rPr>
              <w:rFonts w:ascii="Arial" w:hAnsi="Arial" w:eastAsia="宋体" w:cs="Arial"/>
            </w:rPr>
            <w:fldChar w:fldCharType="end"/>
          </w:r>
          <w:r>
            <w:rPr>
              <w:rFonts w:ascii="Arial" w:hAnsi="Arial" w:eastAsia="宋体" w:cs="Arial"/>
            </w:rPr>
            <w:fldChar w:fldCharType="end"/>
          </w:r>
        </w:p>
        <w:p w14:paraId="54CC9BEA">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"_Toc481595894" </w:instrText>
          </w:r>
          <w:r>
            <w:fldChar w:fldCharType="separate"/>
          </w:r>
          <w:r>
            <w:rPr>
              <w:rStyle w:val="16"/>
              <w:rFonts w:ascii="Arial" w:hAnsi="Arial" w:eastAsia="宋体" w:cs="Arial"/>
              <w:spacing w:val="-1"/>
              <w:w w:val="99"/>
              <w:lang w:eastAsia="zh-CN"/>
            </w:rPr>
            <w:t>C.</w:t>
          </w:r>
          <w:r>
            <w:rPr>
              <w:rFonts w:ascii="Arial" w:hAnsi="Arial" w:eastAsia="宋体" w:cs="Arial"/>
              <w:kern w:val="2"/>
              <w:sz w:val="21"/>
              <w:szCs w:val="22"/>
              <w:lang w:eastAsia="zh-CN"/>
            </w:rPr>
            <w:tab/>
          </w:r>
          <w:r>
            <w:rPr>
              <w:rStyle w:val="16"/>
              <w:rFonts w:ascii="Arial" w:hAnsi="Arial" w:eastAsia="宋体" w:cs="Arial"/>
              <w:lang w:eastAsia="zh-CN"/>
            </w:rPr>
            <w:t>电磁相容性（EMC）</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_Toc481595894 \h </w:instrText>
          </w:r>
          <w:r>
            <w:rPr>
              <w:rFonts w:ascii="Arial" w:hAnsi="Arial" w:eastAsia="宋体" w:cs="Arial"/>
            </w:rPr>
            <w:fldChar w:fldCharType="separate"/>
          </w:r>
          <w:r>
            <w:rPr>
              <w:rFonts w:ascii="Arial" w:hAnsi="Arial" w:eastAsia="宋体" w:cs="Arial"/>
            </w:rPr>
            <w:t>11</w:t>
          </w:r>
          <w:r>
            <w:rPr>
              <w:rFonts w:ascii="Arial" w:hAnsi="Arial" w:eastAsia="宋体" w:cs="Arial"/>
            </w:rPr>
            <w:fldChar w:fldCharType="end"/>
          </w:r>
          <w:r>
            <w:rPr>
              <w:rFonts w:ascii="Arial" w:hAnsi="Arial" w:eastAsia="宋体" w:cs="Arial"/>
            </w:rPr>
            <w:fldChar w:fldCharType="end"/>
          </w:r>
        </w:p>
        <w:p w14:paraId="369F648B">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"_Toc481595895" </w:instrText>
          </w:r>
          <w:r>
            <w:fldChar w:fldCharType="separate"/>
          </w:r>
          <w:r>
            <w:rPr>
              <w:rStyle w:val="16"/>
              <w:rFonts w:ascii="Arial" w:hAnsi="Arial" w:eastAsia="宋体" w:cs="Arial"/>
              <w:spacing w:val="-1"/>
              <w:w w:val="99"/>
            </w:rPr>
            <w:t>D.</w:t>
          </w:r>
          <w:r>
            <w:rPr>
              <w:rFonts w:ascii="Arial" w:hAnsi="Arial" w:eastAsia="宋体" w:cs="Arial"/>
              <w:kern w:val="2"/>
              <w:sz w:val="21"/>
              <w:szCs w:val="22"/>
              <w:lang w:eastAsia="zh-CN"/>
            </w:rPr>
            <w:tab/>
          </w:r>
          <w:r>
            <w:rPr>
              <w:rStyle w:val="16"/>
              <w:rFonts w:ascii="Arial" w:hAnsi="Arial" w:eastAsia="宋体" w:cs="Arial"/>
            </w:rPr>
            <w:t>磁共振成像（MRI）相容性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_Toc481595895 \h </w:instrText>
          </w:r>
          <w:r>
            <w:rPr>
              <w:rFonts w:ascii="Arial" w:hAnsi="Arial" w:eastAsia="宋体" w:cs="Arial"/>
            </w:rPr>
            <w:fldChar w:fldCharType="separate"/>
          </w:r>
          <w:r>
            <w:rPr>
              <w:rFonts w:ascii="Arial" w:hAnsi="Arial" w:eastAsia="宋体" w:cs="Arial"/>
            </w:rPr>
            <w:t>11</w:t>
          </w:r>
          <w:r>
            <w:rPr>
              <w:rFonts w:ascii="Arial" w:hAnsi="Arial" w:eastAsia="宋体" w:cs="Arial"/>
            </w:rPr>
            <w:fldChar w:fldCharType="end"/>
          </w:r>
          <w:r>
            <w:rPr>
              <w:rFonts w:ascii="Arial" w:hAnsi="Arial" w:eastAsia="宋体" w:cs="Arial"/>
            </w:rPr>
            <w:fldChar w:fldCharType="end"/>
          </w:r>
        </w:p>
        <w:p w14:paraId="63C02F9F">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"_Toc481595896" </w:instrText>
          </w:r>
          <w:r>
            <w:fldChar w:fldCharType="separate"/>
          </w:r>
          <w:r>
            <w:rPr>
              <w:rStyle w:val="16"/>
              <w:rFonts w:ascii="Arial" w:hAnsi="Arial" w:eastAsia="宋体" w:cs="Arial"/>
              <w:spacing w:val="-1"/>
              <w:w w:val="99"/>
            </w:rPr>
            <w:t>E.</w:t>
          </w:r>
          <w:r>
            <w:rPr>
              <w:rFonts w:ascii="Arial" w:hAnsi="Arial" w:eastAsia="宋体" w:cs="Arial"/>
              <w:kern w:val="2"/>
              <w:sz w:val="21"/>
              <w:szCs w:val="22"/>
              <w:lang w:eastAsia="zh-CN"/>
            </w:rPr>
            <w:tab/>
          </w:r>
          <w:r>
            <w:rPr>
              <w:rStyle w:val="16"/>
              <w:rFonts w:ascii="Arial" w:hAnsi="Arial" w:eastAsia="宋体" w:cs="Arial"/>
            </w:rPr>
            <w:t>力学试验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_Toc481595896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293D048D">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"_Toc481595897" </w:instrText>
          </w:r>
          <w:r>
            <w:fldChar w:fldCharType="separate"/>
          </w:r>
          <w:r>
            <w:rPr>
              <w:rStyle w:val="16"/>
              <w:rFonts w:ascii="Arial" w:hAnsi="Arial" w:eastAsia="宋体" w:cs="Arial"/>
              <w:spacing w:val="-1"/>
              <w:w w:val="99"/>
            </w:rPr>
            <w:t>F.</w:t>
          </w:r>
          <w:r>
            <w:rPr>
              <w:rFonts w:ascii="Arial" w:hAnsi="Arial" w:eastAsia="宋体" w:cs="Arial"/>
              <w:kern w:val="2"/>
              <w:sz w:val="21"/>
              <w:szCs w:val="22"/>
              <w:lang w:eastAsia="zh-CN"/>
            </w:rPr>
            <w:tab/>
          </w:r>
          <w:r>
            <w:rPr>
              <w:rStyle w:val="16"/>
              <w:rFonts w:ascii="Arial" w:hAnsi="Arial" w:eastAsia="宋体" w:cs="Arial"/>
            </w:rPr>
            <w:t>腐蚀或降解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_Toc481595897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296563C6">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"_Toc481595898" </w:instrText>
          </w:r>
          <w:r>
            <w:fldChar w:fldCharType="separate"/>
          </w:r>
          <w:r>
            <w:rPr>
              <w:rStyle w:val="16"/>
              <w:rFonts w:ascii="Arial" w:hAnsi="Arial" w:eastAsia="宋体" w:cs="Arial"/>
              <w:spacing w:val="-1"/>
              <w:w w:val="99"/>
            </w:rPr>
            <w:t>G.</w:t>
          </w:r>
          <w:r>
            <w:rPr>
              <w:rFonts w:ascii="Arial" w:hAnsi="Arial" w:eastAsia="宋体" w:cs="Arial"/>
              <w:kern w:val="2"/>
              <w:sz w:val="21"/>
              <w:szCs w:val="22"/>
              <w:lang w:eastAsia="zh-CN"/>
            </w:rPr>
            <w:tab/>
          </w:r>
          <w:r>
            <w:rPr>
              <w:rStyle w:val="16"/>
              <w:rFonts w:ascii="Arial" w:hAnsi="Arial" w:eastAsia="宋体" w:cs="Arial"/>
              <w:lang w:eastAsia="zh-CN"/>
            </w:rPr>
            <w:t>灭菌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_Toc481595898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7F64923C">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"_Toc481595899" </w:instrText>
          </w:r>
          <w:r>
            <w:fldChar w:fldCharType="separate"/>
          </w:r>
          <w:r>
            <w:rPr>
              <w:rStyle w:val="16"/>
              <w:rFonts w:ascii="Arial" w:hAnsi="Arial" w:eastAsia="宋体" w:cs="Arial"/>
              <w:spacing w:val="-1"/>
              <w:w w:val="99"/>
              <w:lang w:eastAsia="zh-CN"/>
            </w:rPr>
            <w:t>H.</w:t>
          </w:r>
          <w:r>
            <w:rPr>
              <w:rFonts w:ascii="Arial" w:hAnsi="Arial" w:eastAsia="宋体" w:cs="Arial"/>
              <w:kern w:val="2"/>
              <w:sz w:val="21"/>
              <w:szCs w:val="22"/>
              <w:lang w:eastAsia="zh-CN"/>
            </w:rPr>
            <w:tab/>
          </w:r>
          <w:r>
            <w:rPr>
              <w:rStyle w:val="16"/>
              <w:rFonts w:ascii="Arial" w:hAnsi="Arial" w:eastAsia="宋体" w:cs="Arial"/>
              <w:lang w:eastAsia="zh-CN"/>
            </w:rPr>
            <w:t>软件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_Toc481595899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5F61DDED">
          <w:pPr>
            <w:pStyle w:val="13"/>
            <w:tabs>
              <w:tab w:val="right" w:leader="dot" w:pos="9962"/>
            </w:tabs>
            <w:rPr>
              <w:rFonts w:ascii="Arial" w:hAnsi="Arial" w:eastAsia="宋体" w:cs="Arial"/>
              <w:kern w:val="2"/>
              <w:sz w:val="21"/>
              <w:szCs w:val="22"/>
              <w:lang w:eastAsia="zh-CN"/>
            </w:rPr>
          </w:pPr>
          <w:r>
            <w:fldChar w:fldCharType="begin"/>
          </w:r>
          <w:r>
            <w:instrText xml:space="preserve"> HYPERLINK \l "_Toc481595900" </w:instrText>
          </w:r>
          <w:r>
            <w:fldChar w:fldCharType="separate"/>
          </w:r>
          <w:r>
            <w:rPr>
              <w:rStyle w:val="16"/>
              <w:rFonts w:ascii="Arial" w:hAnsi="Arial" w:eastAsia="宋体" w:cs="Arial"/>
              <w:spacing w:val="-1"/>
              <w:w w:val="99"/>
            </w:rPr>
            <w:t>I.</w:t>
          </w:r>
          <w:r>
            <w:rPr>
              <w:rFonts w:ascii="Arial" w:hAnsi="Arial" w:eastAsia="宋体" w:cs="Arial"/>
              <w:kern w:val="2"/>
              <w:sz w:val="21"/>
              <w:szCs w:val="22"/>
              <w:lang w:eastAsia="zh-CN"/>
            </w:rPr>
            <w:tab/>
          </w:r>
          <w:r>
            <w:rPr>
              <w:rStyle w:val="16"/>
              <w:rFonts w:ascii="Arial" w:hAnsi="Arial" w:eastAsia="宋体" w:cs="Arial"/>
            </w:rPr>
            <w:t>重复使用的可靠性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_Toc481595900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096A17C6">
          <w:pPr>
            <w:pStyle w:val="13"/>
            <w:tabs>
              <w:tab w:val="right" w:leader="dot" w:pos="9962"/>
            </w:tabs>
            <w:rPr>
              <w:rFonts w:ascii="Arial" w:hAnsi="Arial" w:eastAsia="宋体" w:cs="Arial"/>
              <w:kern w:val="2"/>
              <w:sz w:val="21"/>
              <w:szCs w:val="22"/>
              <w:lang w:eastAsia="zh-CN"/>
            </w:rPr>
          </w:pPr>
          <w:r>
            <w:fldChar w:fldCharType="begin"/>
          </w:r>
          <w:r>
            <w:instrText xml:space="preserve"> HYPERLINK \l "_Toc481595901" </w:instrText>
          </w:r>
          <w:r>
            <w:fldChar w:fldCharType="separate"/>
          </w:r>
          <w:r>
            <w:rPr>
              <w:rStyle w:val="16"/>
              <w:rFonts w:ascii="Arial" w:hAnsi="Arial" w:eastAsia="宋体" w:cs="Arial"/>
              <w:spacing w:val="-1"/>
              <w:w w:val="99"/>
            </w:rPr>
            <w:t>J.</w:t>
          </w:r>
          <w:r>
            <w:rPr>
              <w:rFonts w:ascii="Arial" w:hAnsi="Arial" w:eastAsia="宋体" w:cs="Arial"/>
              <w:kern w:val="2"/>
              <w:sz w:val="21"/>
              <w:szCs w:val="22"/>
              <w:lang w:eastAsia="zh-CN"/>
            </w:rPr>
            <w:tab/>
          </w:r>
          <w:r>
            <w:rPr>
              <w:rStyle w:val="16"/>
              <w:rFonts w:ascii="Arial" w:hAnsi="Arial" w:eastAsia="宋体" w:cs="Arial"/>
            </w:rPr>
            <w:t>体外热成像（体模研究）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_Toc481595901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55AC8561">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"_Toc481595902" </w:instrText>
          </w:r>
          <w:r>
            <w:fldChar w:fldCharType="separate"/>
          </w:r>
          <w:r>
            <w:rPr>
              <w:rStyle w:val="16"/>
              <w:rFonts w:ascii="Arial" w:hAnsi="Arial" w:eastAsia="宋体" w:cs="Arial"/>
              <w:spacing w:val="-1"/>
              <w:w w:val="99"/>
            </w:rPr>
            <w:t>K.</w:t>
          </w:r>
          <w:r>
            <w:rPr>
              <w:rFonts w:ascii="Arial" w:hAnsi="Arial" w:eastAsia="宋体" w:cs="Arial"/>
              <w:kern w:val="2"/>
              <w:sz w:val="21"/>
              <w:szCs w:val="22"/>
              <w:lang w:eastAsia="zh-CN"/>
            </w:rPr>
            <w:tab/>
          </w:r>
          <w:r>
            <w:rPr>
              <w:rStyle w:val="16"/>
              <w:rFonts w:ascii="Arial" w:hAnsi="Arial" w:eastAsia="宋体" w:cs="Arial"/>
            </w:rPr>
            <w:t>动物研究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_Toc481595902 \h </w:instrText>
          </w:r>
          <w:r>
            <w:rPr>
              <w:rFonts w:ascii="Arial" w:hAnsi="Arial" w:eastAsia="宋体" w:cs="Arial"/>
            </w:rPr>
            <w:fldChar w:fldCharType="separate"/>
          </w:r>
          <w:r>
            <w:rPr>
              <w:rFonts w:ascii="Arial" w:hAnsi="Arial" w:eastAsia="宋体" w:cs="Arial"/>
            </w:rPr>
            <w:t>15</w:t>
          </w:r>
          <w:r>
            <w:rPr>
              <w:rFonts w:ascii="Arial" w:hAnsi="Arial" w:eastAsia="宋体" w:cs="Arial"/>
            </w:rPr>
            <w:fldChar w:fldCharType="end"/>
          </w:r>
          <w:r>
            <w:rPr>
              <w:rFonts w:ascii="Arial" w:hAnsi="Arial" w:eastAsia="宋体" w:cs="Arial"/>
            </w:rPr>
            <w:fldChar w:fldCharType="end"/>
          </w:r>
        </w:p>
        <w:p w14:paraId="48E01B89">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"_Toc481595903" </w:instrText>
          </w:r>
          <w:r>
            <w:fldChar w:fldCharType="separate"/>
          </w:r>
          <w:r>
            <w:rPr>
              <w:rStyle w:val="16"/>
              <w:rFonts w:ascii="Arial" w:hAnsi="Arial" w:eastAsia="宋体" w:cs="Arial"/>
              <w:spacing w:val="-1"/>
            </w:rPr>
            <w:t>1.</w:t>
          </w:r>
          <w:r>
            <w:rPr>
              <w:rFonts w:ascii="Arial" w:hAnsi="Arial" w:eastAsia="宋体" w:cs="Arial"/>
              <w:bCs w:val="0"/>
              <w:kern w:val="2"/>
              <w:sz w:val="21"/>
              <w:lang w:eastAsia="zh-CN"/>
            </w:rPr>
            <w:tab/>
          </w:r>
          <w:r>
            <w:rPr>
              <w:rStyle w:val="16"/>
              <w:rFonts w:ascii="Arial" w:hAnsi="Arial" w:eastAsia="宋体" w:cs="Arial"/>
            </w:rPr>
            <w:t>热疗</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_Toc481595903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0FCC4A75">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"_Toc481595904" </w:instrText>
          </w:r>
          <w:r>
            <w:fldChar w:fldCharType="separate"/>
          </w:r>
          <w:r>
            <w:rPr>
              <w:rStyle w:val="16"/>
              <w:rFonts w:ascii="Arial" w:hAnsi="Arial" w:eastAsia="宋体" w:cs="Arial"/>
              <w:spacing w:val="-1"/>
            </w:rPr>
            <w:t>2.</w:t>
          </w:r>
          <w:r>
            <w:rPr>
              <w:rFonts w:ascii="Arial" w:hAnsi="Arial" w:eastAsia="宋体" w:cs="Arial"/>
              <w:bCs w:val="0"/>
              <w:kern w:val="2"/>
              <w:sz w:val="21"/>
              <w:lang w:eastAsia="zh-CN"/>
            </w:rPr>
            <w:tab/>
          </w:r>
          <w:r>
            <w:rPr>
              <w:rStyle w:val="16"/>
              <w:rFonts w:ascii="Arial" w:hAnsi="Arial" w:eastAsia="宋体" w:cs="Arial"/>
            </w:rPr>
            <w:t>支架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_Toc481595904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0D1C03FD">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"_Toc481595905" </w:instrText>
          </w:r>
          <w:r>
            <w:fldChar w:fldCharType="separate"/>
          </w:r>
          <w:r>
            <w:rPr>
              <w:rStyle w:val="16"/>
              <w:rFonts w:ascii="Arial" w:hAnsi="Arial" w:eastAsia="宋体" w:cs="Arial"/>
            </w:rPr>
            <w:t>IV.</w:t>
          </w:r>
          <w:r>
            <w:rPr>
              <w:rFonts w:ascii="Arial" w:hAnsi="Arial" w:eastAsia="宋体" w:cs="Arial"/>
              <w:kern w:val="2"/>
              <w:sz w:val="21"/>
              <w:szCs w:val="22"/>
              <w:lang w:eastAsia="zh-CN"/>
            </w:rPr>
            <w:tab/>
          </w:r>
          <w:r>
            <w:rPr>
              <w:rStyle w:val="16"/>
              <w:rFonts w:ascii="Arial" w:hAnsi="Arial" w:eastAsia="宋体" w:cs="Arial"/>
              <w:lang w:eastAsia="zh-CN"/>
            </w:rPr>
            <w:t>初步</w:t>
          </w:r>
          <w:r>
            <w:rPr>
              <w:rStyle w:val="16"/>
              <w:rFonts w:ascii="Arial" w:hAnsi="Arial" w:eastAsia="宋体" w:cs="Arial"/>
            </w:rPr>
            <w:t>研究建议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_Toc481595905 \h </w:instrText>
          </w:r>
          <w:r>
            <w:rPr>
              <w:rFonts w:ascii="Arial" w:hAnsi="Arial" w:eastAsia="宋体" w:cs="Arial"/>
            </w:rPr>
            <w:fldChar w:fldCharType="separate"/>
          </w:r>
          <w:r>
            <w:rPr>
              <w:rFonts w:ascii="Arial" w:hAnsi="Arial" w:eastAsia="宋体" w:cs="Arial"/>
            </w:rPr>
            <w:t>19</w:t>
          </w:r>
          <w:r>
            <w:rPr>
              <w:rFonts w:ascii="Arial" w:hAnsi="Arial" w:eastAsia="宋体" w:cs="Arial"/>
            </w:rPr>
            <w:fldChar w:fldCharType="end"/>
          </w:r>
          <w:r>
            <w:rPr>
              <w:rFonts w:ascii="Arial" w:hAnsi="Arial" w:eastAsia="宋体" w:cs="Arial"/>
            </w:rPr>
            <w:fldChar w:fldCharType="end"/>
          </w:r>
        </w:p>
        <w:p w14:paraId="67362185">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"_Toc481595906" </w:instrText>
          </w:r>
          <w:r>
            <w:fldChar w:fldCharType="separate"/>
          </w:r>
          <w:r>
            <w:rPr>
              <w:rStyle w:val="16"/>
              <w:rFonts w:ascii="Arial" w:hAnsi="Arial" w:eastAsia="宋体" w:cs="Arial"/>
            </w:rPr>
            <w:t>V.</w:t>
          </w:r>
          <w:r>
            <w:rPr>
              <w:rFonts w:ascii="Arial" w:hAnsi="Arial" w:eastAsia="宋体" w:cs="Arial"/>
              <w:kern w:val="2"/>
              <w:sz w:val="21"/>
              <w:szCs w:val="22"/>
              <w:lang w:eastAsia="zh-CN"/>
            </w:rPr>
            <w:tab/>
          </w:r>
          <w:r>
            <w:rPr>
              <w:rStyle w:val="16"/>
              <w:rFonts w:ascii="Arial" w:hAnsi="Arial" w:eastAsia="宋体" w:cs="Arial"/>
              <w:lang w:eastAsia="zh-CN"/>
            </w:rPr>
            <w:t>关键</w:t>
          </w:r>
          <w:r>
            <w:rPr>
              <w:rStyle w:val="16"/>
              <w:rFonts w:ascii="Arial" w:hAnsi="Arial" w:eastAsia="宋体" w:cs="Arial"/>
            </w:rPr>
            <w:t>研究建议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_Toc481595906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6E82D8EC">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"_Toc481595907" </w:instrText>
          </w:r>
          <w:r>
            <w:fldChar w:fldCharType="separate"/>
          </w:r>
          <w:r>
            <w:rPr>
              <w:rStyle w:val="16"/>
              <w:rFonts w:ascii="Arial" w:hAnsi="Arial" w:eastAsia="宋体" w:cs="Arial"/>
              <w:spacing w:val="-1"/>
              <w:w w:val="99"/>
            </w:rPr>
            <w:t>A.</w:t>
          </w:r>
          <w:r>
            <w:rPr>
              <w:rFonts w:ascii="Arial" w:hAnsi="Arial" w:eastAsia="宋体" w:cs="Arial"/>
              <w:kern w:val="2"/>
              <w:sz w:val="21"/>
              <w:szCs w:val="22"/>
              <w:lang w:eastAsia="zh-CN"/>
            </w:rPr>
            <w:tab/>
          </w:r>
          <w:r>
            <w:rPr>
              <w:rStyle w:val="16"/>
              <w:rFonts w:ascii="Arial" w:hAnsi="Arial" w:eastAsia="宋体" w:cs="Arial"/>
            </w:rPr>
            <w:t>研究目标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_Toc481595907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2B8E2A3B">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"_Toc481595908" </w:instrText>
          </w:r>
          <w:r>
            <w:fldChar w:fldCharType="separate"/>
          </w:r>
          <w:r>
            <w:rPr>
              <w:rStyle w:val="16"/>
              <w:rFonts w:ascii="Arial" w:hAnsi="Arial" w:eastAsia="宋体" w:cs="Arial"/>
              <w:spacing w:val="-1"/>
              <w:w w:val="99"/>
            </w:rPr>
            <w:t>B.</w:t>
          </w:r>
          <w:r>
            <w:rPr>
              <w:rFonts w:ascii="Arial" w:hAnsi="Arial" w:eastAsia="宋体" w:cs="Arial"/>
              <w:kern w:val="2"/>
              <w:sz w:val="21"/>
              <w:szCs w:val="22"/>
              <w:lang w:eastAsia="zh-CN"/>
            </w:rPr>
            <w:tab/>
          </w:r>
          <w:r>
            <w:rPr>
              <w:rStyle w:val="16"/>
              <w:rFonts w:ascii="Arial" w:hAnsi="Arial" w:eastAsia="宋体" w:cs="Arial"/>
            </w:rPr>
            <w:t>最小化</w:t>
          </w:r>
          <w:r>
            <w:rPr>
              <w:rStyle w:val="16"/>
              <w:rFonts w:ascii="Arial" w:hAnsi="Arial" w:eastAsia="宋体" w:cs="Arial"/>
              <w:lang w:eastAsia="zh-CN"/>
            </w:rPr>
            <w:t>偏差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_Toc481595908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07C8CE3C">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"_Toc481595909" </w:instrText>
          </w:r>
          <w:r>
            <w:fldChar w:fldCharType="separate"/>
          </w:r>
          <w:r>
            <w:rPr>
              <w:rStyle w:val="16"/>
              <w:rFonts w:ascii="Arial" w:hAnsi="Arial" w:eastAsia="宋体" w:cs="Arial"/>
              <w:spacing w:val="-1"/>
              <w:w w:val="99"/>
            </w:rPr>
            <w:t>C.</w:t>
          </w:r>
          <w:r>
            <w:rPr>
              <w:rFonts w:ascii="Arial" w:hAnsi="Arial" w:eastAsia="宋体" w:cs="Arial"/>
              <w:kern w:val="2"/>
              <w:sz w:val="21"/>
              <w:szCs w:val="22"/>
              <w:lang w:eastAsia="zh-CN"/>
            </w:rPr>
            <w:tab/>
          </w:r>
          <w:r>
            <w:rPr>
              <w:rStyle w:val="16"/>
              <w:rFonts w:ascii="Arial" w:hAnsi="Arial" w:eastAsia="宋体" w:cs="Arial"/>
              <w:lang w:eastAsia="zh-CN"/>
            </w:rPr>
            <w:t>随机化和对照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_Toc481595909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24CB29C4">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"_Toc481595910" </w:instrText>
          </w:r>
          <w:r>
            <w:fldChar w:fldCharType="separate"/>
          </w:r>
          <w:r>
            <w:rPr>
              <w:rStyle w:val="16"/>
              <w:rFonts w:ascii="Arial" w:hAnsi="Arial" w:eastAsia="宋体" w:cs="Arial"/>
              <w:spacing w:val="-1"/>
              <w:w w:val="99"/>
            </w:rPr>
            <w:t>D.</w:t>
          </w:r>
          <w:r>
            <w:rPr>
              <w:rFonts w:ascii="Arial" w:hAnsi="Arial" w:eastAsia="宋体" w:cs="Arial"/>
              <w:kern w:val="2"/>
              <w:sz w:val="21"/>
              <w:szCs w:val="22"/>
              <w:lang w:eastAsia="zh-CN"/>
            </w:rPr>
            <w:tab/>
          </w:r>
          <w:r>
            <w:rPr>
              <w:rStyle w:val="16"/>
              <w:rFonts w:ascii="Arial" w:hAnsi="Arial" w:eastAsia="宋体" w:cs="Arial"/>
              <w:lang w:eastAsia="zh-CN"/>
            </w:rPr>
            <w:t>盲法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_Toc481595910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6E9A31D6">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"_Toc481595911" </w:instrText>
          </w:r>
          <w:r>
            <w:fldChar w:fldCharType="separate"/>
          </w:r>
          <w:r>
            <w:rPr>
              <w:rStyle w:val="16"/>
              <w:rFonts w:ascii="Arial" w:hAnsi="Arial" w:eastAsia="宋体" w:cs="Arial"/>
              <w:spacing w:val="-1"/>
              <w:w w:val="99"/>
            </w:rPr>
            <w:t>E.</w:t>
          </w:r>
          <w:r>
            <w:rPr>
              <w:rFonts w:ascii="Arial" w:hAnsi="Arial" w:eastAsia="宋体" w:cs="Arial"/>
              <w:kern w:val="2"/>
              <w:sz w:val="21"/>
              <w:szCs w:val="22"/>
              <w:lang w:eastAsia="zh-CN"/>
            </w:rPr>
            <w:tab/>
          </w:r>
          <w:r>
            <w:rPr>
              <w:rStyle w:val="16"/>
              <w:rFonts w:ascii="Arial" w:hAnsi="Arial" w:eastAsia="宋体" w:cs="Arial"/>
            </w:rPr>
            <w:t>研究终点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_Toc481595911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0B5644B2">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"_Toc481595912" </w:instrText>
          </w:r>
          <w:r>
            <w:fldChar w:fldCharType="separate"/>
          </w:r>
          <w:r>
            <w:rPr>
              <w:rStyle w:val="16"/>
              <w:rFonts w:ascii="Arial" w:hAnsi="Arial" w:eastAsia="宋体" w:cs="Arial"/>
              <w:spacing w:val="-1"/>
            </w:rPr>
            <w:t>1.</w:t>
          </w:r>
          <w:r>
            <w:rPr>
              <w:rFonts w:ascii="Arial" w:hAnsi="Arial" w:eastAsia="宋体" w:cs="Arial"/>
              <w:bCs w:val="0"/>
              <w:kern w:val="2"/>
              <w:sz w:val="21"/>
              <w:lang w:eastAsia="zh-CN"/>
            </w:rPr>
            <w:tab/>
          </w:r>
          <w:r>
            <w:rPr>
              <w:rStyle w:val="16"/>
              <w:rFonts w:ascii="Arial" w:hAnsi="Arial" w:eastAsia="宋体" w:cs="Arial"/>
            </w:rPr>
            <w:t>主要终点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_Toc481595912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1287F215">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"_Toc481595913" </w:instrText>
          </w:r>
          <w:r>
            <w:fldChar w:fldCharType="separate"/>
          </w:r>
          <w:r>
            <w:rPr>
              <w:rStyle w:val="16"/>
              <w:rFonts w:ascii="Arial" w:hAnsi="Arial" w:eastAsia="宋体" w:cs="Arial"/>
              <w:spacing w:val="-1"/>
            </w:rPr>
            <w:t>2.</w:t>
          </w:r>
          <w:r>
            <w:rPr>
              <w:rFonts w:ascii="Arial" w:hAnsi="Arial" w:eastAsia="宋体" w:cs="Arial"/>
              <w:bCs w:val="0"/>
              <w:kern w:val="2"/>
              <w:sz w:val="21"/>
              <w:lang w:eastAsia="zh-CN"/>
            </w:rPr>
            <w:tab/>
          </w:r>
          <w:r>
            <w:rPr>
              <w:rStyle w:val="16"/>
              <w:rFonts w:ascii="Arial" w:hAnsi="Arial" w:eastAsia="宋体" w:cs="Arial"/>
            </w:rPr>
            <w:t>主要有效性终点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_Toc481595913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656ECEA2">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"_Toc481595914" </w:instrText>
          </w:r>
          <w:r>
            <w:fldChar w:fldCharType="separate"/>
          </w:r>
          <w:r>
            <w:rPr>
              <w:rStyle w:val="16"/>
              <w:rFonts w:ascii="Arial" w:hAnsi="Arial" w:eastAsia="宋体" w:cs="Arial"/>
              <w:spacing w:val="-1"/>
            </w:rPr>
            <w:t>3.</w:t>
          </w:r>
          <w:r>
            <w:rPr>
              <w:rFonts w:ascii="Arial" w:hAnsi="Arial" w:eastAsia="宋体" w:cs="Arial"/>
              <w:bCs w:val="0"/>
              <w:kern w:val="2"/>
              <w:sz w:val="21"/>
              <w:lang w:eastAsia="zh-CN"/>
            </w:rPr>
            <w:tab/>
          </w:r>
          <w:r>
            <w:rPr>
              <w:rStyle w:val="16"/>
              <w:rFonts w:ascii="Arial" w:hAnsi="Arial" w:eastAsia="宋体" w:cs="Arial"/>
            </w:rPr>
            <w:t>主要安全</w:t>
          </w:r>
          <w:r>
            <w:rPr>
              <w:rStyle w:val="16"/>
              <w:rFonts w:ascii="Arial" w:hAnsi="Arial" w:eastAsia="宋体" w:cs="Arial"/>
              <w:lang w:eastAsia="zh-CN"/>
            </w:rPr>
            <w:t>性</w:t>
          </w:r>
          <w:r>
            <w:rPr>
              <w:rStyle w:val="16"/>
              <w:rFonts w:ascii="Arial" w:hAnsi="Arial" w:eastAsia="宋体" w:cs="Arial"/>
            </w:rPr>
            <w:t>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_Toc481595914 \h </w:instrText>
          </w:r>
          <w:r>
            <w:rPr>
              <w:rFonts w:ascii="Arial" w:hAnsi="Arial" w:eastAsia="宋体" w:cs="Arial"/>
            </w:rPr>
            <w:fldChar w:fldCharType="separate"/>
          </w:r>
          <w:r>
            <w:rPr>
              <w:rFonts w:ascii="Arial" w:hAnsi="Arial" w:eastAsia="宋体" w:cs="Arial"/>
            </w:rPr>
            <w:t>26</w:t>
          </w:r>
          <w:r>
            <w:rPr>
              <w:rFonts w:ascii="Arial" w:hAnsi="Arial" w:eastAsia="宋体" w:cs="Arial"/>
            </w:rPr>
            <w:fldChar w:fldCharType="end"/>
          </w:r>
          <w:r>
            <w:rPr>
              <w:rFonts w:ascii="Arial" w:hAnsi="Arial" w:eastAsia="宋体" w:cs="Arial"/>
            </w:rPr>
            <w:fldChar w:fldCharType="end"/>
          </w:r>
        </w:p>
        <w:p w14:paraId="35E6ADAE">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"_Toc481595915" </w:instrText>
          </w:r>
          <w:r>
            <w:fldChar w:fldCharType="separate"/>
          </w:r>
          <w:r>
            <w:rPr>
              <w:rStyle w:val="16"/>
              <w:rFonts w:ascii="Arial" w:hAnsi="Arial" w:eastAsia="宋体" w:cs="Arial"/>
              <w:spacing w:val="-1"/>
            </w:rPr>
            <w:t>4.</w:t>
          </w:r>
          <w:r>
            <w:rPr>
              <w:rFonts w:ascii="Arial" w:hAnsi="Arial" w:eastAsia="宋体" w:cs="Arial"/>
              <w:bCs w:val="0"/>
              <w:kern w:val="2"/>
              <w:sz w:val="21"/>
              <w:lang w:eastAsia="zh-CN"/>
            </w:rPr>
            <w:tab/>
          </w:r>
          <w:r>
            <w:rPr>
              <w:rStyle w:val="16"/>
              <w:rFonts w:ascii="Arial" w:hAnsi="Arial" w:eastAsia="宋体" w:cs="Arial"/>
              <w:lang w:eastAsia="zh-CN"/>
            </w:rPr>
            <w:t>次要终点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_Toc481595915 \h </w:instrText>
          </w:r>
          <w:r>
            <w:rPr>
              <w:rFonts w:ascii="Arial" w:hAnsi="Arial" w:eastAsia="宋体" w:cs="Arial"/>
            </w:rPr>
            <w:fldChar w:fldCharType="separate"/>
          </w:r>
          <w:r>
            <w:rPr>
              <w:rFonts w:ascii="Arial" w:hAnsi="Arial" w:eastAsia="宋体" w:cs="Arial"/>
            </w:rPr>
            <w:t>27</w:t>
          </w:r>
          <w:r>
            <w:rPr>
              <w:rFonts w:ascii="Arial" w:hAnsi="Arial" w:eastAsia="宋体" w:cs="Arial"/>
            </w:rPr>
            <w:fldChar w:fldCharType="end"/>
          </w:r>
          <w:r>
            <w:rPr>
              <w:rFonts w:ascii="Arial" w:hAnsi="Arial" w:eastAsia="宋体" w:cs="Arial"/>
            </w:rPr>
            <w:fldChar w:fldCharType="end"/>
          </w:r>
        </w:p>
        <w:p w14:paraId="32FB5C6B">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"_Toc481595916" </w:instrText>
          </w:r>
          <w:r>
            <w:fldChar w:fldCharType="separate"/>
          </w:r>
          <w:r>
            <w:rPr>
              <w:rStyle w:val="16"/>
              <w:rFonts w:ascii="Arial" w:hAnsi="Arial" w:eastAsia="宋体" w:cs="Arial"/>
              <w:spacing w:val="-1"/>
              <w:w w:val="99"/>
            </w:rPr>
            <w:t>F.</w:t>
          </w:r>
          <w:r>
            <w:rPr>
              <w:rFonts w:ascii="Arial" w:hAnsi="Arial" w:eastAsia="宋体" w:cs="Arial"/>
              <w:kern w:val="2"/>
              <w:sz w:val="21"/>
              <w:szCs w:val="22"/>
              <w:lang w:eastAsia="zh-CN"/>
            </w:rPr>
            <w:tab/>
          </w:r>
          <w:r>
            <w:rPr>
              <w:rStyle w:val="16"/>
              <w:rFonts w:ascii="Arial" w:hAnsi="Arial" w:eastAsia="宋体" w:cs="Arial"/>
            </w:rPr>
            <w:t>研究时间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_Toc481595916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6C630350">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"_Toc481595917" </w:instrText>
          </w:r>
          <w:r>
            <w:fldChar w:fldCharType="separate"/>
          </w:r>
          <w:r>
            <w:rPr>
              <w:rStyle w:val="16"/>
              <w:rFonts w:ascii="Arial" w:hAnsi="Arial" w:eastAsia="宋体" w:cs="Arial"/>
              <w:spacing w:val="-1"/>
              <w:w w:val="99"/>
            </w:rPr>
            <w:t>G.</w:t>
          </w:r>
          <w:r>
            <w:rPr>
              <w:rFonts w:ascii="Arial" w:hAnsi="Arial" w:eastAsia="宋体" w:cs="Arial"/>
              <w:kern w:val="2"/>
              <w:sz w:val="21"/>
              <w:szCs w:val="22"/>
              <w:lang w:eastAsia="zh-CN"/>
            </w:rPr>
            <w:tab/>
          </w:r>
          <w:r>
            <w:rPr>
              <w:rStyle w:val="16"/>
              <w:rFonts w:ascii="Arial" w:hAnsi="Arial" w:eastAsia="宋体" w:cs="Arial"/>
            </w:rPr>
            <w:t>统计假设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_Toc481595917 \h </w:instrText>
          </w:r>
          <w:r>
            <w:rPr>
              <w:rFonts w:ascii="Arial" w:hAnsi="Arial" w:eastAsia="宋体" w:cs="Arial"/>
            </w:rPr>
            <w:fldChar w:fldCharType="separate"/>
          </w:r>
          <w:r>
            <w:rPr>
              <w:rFonts w:ascii="Arial" w:hAnsi="Arial" w:eastAsia="宋体" w:cs="Arial"/>
            </w:rPr>
            <w:t>29</w:t>
          </w:r>
          <w:r>
            <w:rPr>
              <w:rFonts w:ascii="Arial" w:hAnsi="Arial" w:eastAsia="宋体" w:cs="Arial"/>
            </w:rPr>
            <w:fldChar w:fldCharType="end"/>
          </w:r>
          <w:r>
            <w:rPr>
              <w:rFonts w:ascii="Arial" w:hAnsi="Arial" w:eastAsia="宋体" w:cs="Arial"/>
            </w:rPr>
            <w:fldChar w:fldCharType="end"/>
          </w:r>
        </w:p>
        <w:p w14:paraId="27CD1F4B">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"_Toc481595918" </w:instrText>
          </w:r>
          <w:r>
            <w:fldChar w:fldCharType="separate"/>
          </w:r>
          <w:r>
            <w:rPr>
              <w:rStyle w:val="16"/>
              <w:rFonts w:ascii="Arial" w:hAnsi="Arial" w:eastAsia="宋体" w:cs="Arial"/>
              <w:spacing w:val="-1"/>
              <w:w w:val="99"/>
            </w:rPr>
            <w:t>H.</w:t>
          </w:r>
          <w:r>
            <w:rPr>
              <w:rFonts w:ascii="Arial" w:hAnsi="Arial" w:eastAsia="宋体" w:cs="Arial"/>
              <w:kern w:val="2"/>
              <w:sz w:val="21"/>
              <w:szCs w:val="22"/>
              <w:lang w:eastAsia="zh-CN"/>
            </w:rPr>
            <w:tab/>
          </w:r>
          <w:r>
            <w:rPr>
              <w:rStyle w:val="16"/>
              <w:rFonts w:ascii="Arial" w:hAnsi="Arial" w:eastAsia="宋体" w:cs="Arial"/>
            </w:rPr>
            <w:t>样本量</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_Toc481595918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51EA08BA">
          <w:pPr>
            <w:pStyle w:val="13"/>
            <w:tabs>
              <w:tab w:val="right" w:leader="dot" w:pos="9962"/>
            </w:tabs>
            <w:rPr>
              <w:rFonts w:ascii="Arial" w:hAnsi="Arial" w:eastAsia="宋体" w:cs="Arial"/>
              <w:kern w:val="2"/>
              <w:sz w:val="21"/>
              <w:szCs w:val="22"/>
              <w:lang w:eastAsia="zh-CN"/>
            </w:rPr>
          </w:pPr>
          <w:r>
            <w:fldChar w:fldCharType="begin"/>
          </w:r>
          <w:r>
            <w:instrText xml:space="preserve"> HYPERLINK \l "_Toc481595919" </w:instrText>
          </w:r>
          <w:r>
            <w:fldChar w:fldCharType="separate"/>
          </w:r>
          <w:r>
            <w:rPr>
              <w:rStyle w:val="16"/>
              <w:rFonts w:ascii="Arial" w:hAnsi="Arial" w:eastAsia="宋体" w:cs="Arial"/>
              <w:spacing w:val="-1"/>
              <w:w w:val="99"/>
            </w:rPr>
            <w:t>I.</w:t>
          </w:r>
          <w:r>
            <w:rPr>
              <w:rFonts w:ascii="Arial" w:hAnsi="Arial" w:eastAsia="宋体" w:cs="Arial"/>
              <w:kern w:val="2"/>
              <w:sz w:val="21"/>
              <w:szCs w:val="22"/>
              <w:lang w:eastAsia="zh-CN"/>
            </w:rPr>
            <w:tab/>
          </w:r>
          <w:r>
            <w:rPr>
              <w:rStyle w:val="16"/>
              <w:rFonts w:ascii="Arial" w:hAnsi="Arial" w:eastAsia="宋体" w:cs="Arial"/>
            </w:rPr>
            <w:t>患者选择标准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_Toc481595919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266B086E">
          <w:pPr>
            <w:pStyle w:val="13"/>
            <w:tabs>
              <w:tab w:val="right" w:leader="dot" w:pos="9962"/>
            </w:tabs>
            <w:rPr>
              <w:rFonts w:ascii="Arial" w:hAnsi="Arial" w:eastAsia="宋体" w:cs="Arial"/>
              <w:kern w:val="2"/>
              <w:sz w:val="21"/>
              <w:szCs w:val="22"/>
              <w:lang w:eastAsia="zh-CN"/>
            </w:rPr>
          </w:pPr>
          <w:r>
            <w:fldChar w:fldCharType="begin"/>
          </w:r>
          <w:r>
            <w:instrText xml:space="preserve"> HYPERLINK \l "_Toc481595920" </w:instrText>
          </w:r>
          <w:r>
            <w:fldChar w:fldCharType="separate"/>
          </w:r>
          <w:r>
            <w:rPr>
              <w:rStyle w:val="16"/>
              <w:rFonts w:ascii="Arial" w:hAnsi="Arial" w:eastAsia="宋体" w:cs="Arial"/>
              <w:spacing w:val="-1"/>
              <w:w w:val="99"/>
            </w:rPr>
            <w:t>J.</w:t>
          </w:r>
          <w:r>
            <w:rPr>
              <w:rFonts w:ascii="Arial" w:hAnsi="Arial" w:eastAsia="宋体" w:cs="Arial"/>
              <w:kern w:val="2"/>
              <w:sz w:val="21"/>
              <w:szCs w:val="22"/>
              <w:lang w:eastAsia="zh-CN"/>
            </w:rPr>
            <w:tab/>
          </w:r>
          <w:r>
            <w:rPr>
              <w:rStyle w:val="16"/>
              <w:rFonts w:ascii="Arial" w:hAnsi="Arial" w:eastAsia="宋体" w:cs="Arial"/>
              <w:lang w:eastAsia="zh-CN"/>
            </w:rPr>
            <w:t>治疗前</w:t>
          </w:r>
          <w:r>
            <w:rPr>
              <w:rStyle w:val="16"/>
              <w:rFonts w:ascii="Arial" w:hAnsi="Arial" w:eastAsia="宋体" w:cs="Arial"/>
            </w:rPr>
            <w:t>评价计划</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_Toc481595920 \h </w:instrText>
          </w:r>
          <w:r>
            <w:rPr>
              <w:rFonts w:ascii="Arial" w:hAnsi="Arial" w:eastAsia="宋体" w:cs="Arial"/>
            </w:rPr>
            <w:fldChar w:fldCharType="separate"/>
          </w:r>
          <w:r>
            <w:rPr>
              <w:rFonts w:ascii="Arial" w:hAnsi="Arial" w:eastAsia="宋体" w:cs="Arial"/>
            </w:rPr>
            <w:t>33</w:t>
          </w:r>
          <w:r>
            <w:rPr>
              <w:rFonts w:ascii="Arial" w:hAnsi="Arial" w:eastAsia="宋体" w:cs="Arial"/>
            </w:rPr>
            <w:fldChar w:fldCharType="end"/>
          </w:r>
          <w:r>
            <w:rPr>
              <w:rFonts w:ascii="Arial" w:hAnsi="Arial" w:eastAsia="宋体" w:cs="Arial"/>
            </w:rPr>
            <w:fldChar w:fldCharType="end"/>
          </w:r>
        </w:p>
        <w:p w14:paraId="225264AD">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"_Toc481595921" </w:instrText>
          </w:r>
          <w:r>
            <w:fldChar w:fldCharType="separate"/>
          </w:r>
          <w:r>
            <w:rPr>
              <w:rStyle w:val="16"/>
              <w:rFonts w:ascii="Arial" w:hAnsi="Arial" w:eastAsia="宋体" w:cs="Arial"/>
              <w:spacing w:val="-1"/>
              <w:w w:val="99"/>
            </w:rPr>
            <w:t>K.</w:t>
          </w:r>
          <w:r>
            <w:rPr>
              <w:rFonts w:ascii="Arial" w:hAnsi="Arial" w:eastAsia="宋体" w:cs="Arial"/>
              <w:kern w:val="2"/>
              <w:sz w:val="21"/>
              <w:szCs w:val="22"/>
              <w:lang w:eastAsia="zh-CN"/>
            </w:rPr>
            <w:tab/>
          </w:r>
          <w:r>
            <w:rPr>
              <w:rStyle w:val="16"/>
              <w:rFonts w:ascii="Arial" w:hAnsi="Arial" w:eastAsia="宋体" w:cs="Arial"/>
            </w:rPr>
            <w:t>研究者</w:t>
          </w:r>
          <w:r>
            <w:rPr>
              <w:rStyle w:val="16"/>
              <w:rFonts w:ascii="Arial" w:hAnsi="Arial" w:eastAsia="宋体" w:cs="Arial"/>
              <w:lang w:eastAsia="zh-CN"/>
            </w:rPr>
            <w:t>选择</w:t>
          </w:r>
          <w:r>
            <w:rPr>
              <w:rStyle w:val="16"/>
              <w:rFonts w:ascii="Arial" w:hAnsi="Arial" w:eastAsia="宋体" w:cs="Arial"/>
            </w:rPr>
            <w:t>和培训</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_Toc481595921 \h </w:instrText>
          </w:r>
          <w:r>
            <w:rPr>
              <w:rFonts w:ascii="Arial" w:hAnsi="Arial" w:eastAsia="宋体" w:cs="Arial"/>
            </w:rPr>
            <w:fldChar w:fldCharType="separate"/>
          </w:r>
          <w:r>
            <w:rPr>
              <w:rFonts w:ascii="Arial" w:hAnsi="Arial" w:eastAsia="宋体" w:cs="Arial"/>
            </w:rPr>
            <w:t>34</w:t>
          </w:r>
          <w:r>
            <w:rPr>
              <w:rFonts w:ascii="Arial" w:hAnsi="Arial" w:eastAsia="宋体" w:cs="Arial"/>
            </w:rPr>
            <w:fldChar w:fldCharType="end"/>
          </w:r>
          <w:r>
            <w:rPr>
              <w:rFonts w:ascii="Arial" w:hAnsi="Arial" w:eastAsia="宋体" w:cs="Arial"/>
            </w:rPr>
            <w:fldChar w:fldCharType="end"/>
          </w:r>
        </w:p>
        <w:p w14:paraId="7E065472">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"_Toc481595922" </w:instrText>
          </w:r>
          <w:r>
            <w:fldChar w:fldCharType="separate"/>
          </w:r>
          <w:r>
            <w:rPr>
              <w:rStyle w:val="16"/>
              <w:rFonts w:ascii="Arial" w:hAnsi="Arial" w:eastAsia="宋体" w:cs="Arial"/>
              <w:spacing w:val="-1"/>
              <w:w w:val="99"/>
            </w:rPr>
            <w:t>L.</w:t>
          </w:r>
          <w:r>
            <w:rPr>
              <w:rFonts w:ascii="Arial" w:hAnsi="Arial" w:eastAsia="宋体" w:cs="Arial"/>
              <w:kern w:val="2"/>
              <w:sz w:val="21"/>
              <w:szCs w:val="22"/>
              <w:lang w:eastAsia="zh-CN"/>
            </w:rPr>
            <w:tab/>
          </w:r>
          <w:r>
            <w:rPr>
              <w:rStyle w:val="16"/>
              <w:rFonts w:ascii="Arial" w:hAnsi="Arial" w:eastAsia="宋体" w:cs="Arial"/>
            </w:rPr>
            <w:t>治疗信息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_Toc481595922 \h </w:instrText>
          </w:r>
          <w:r>
            <w:rPr>
              <w:rFonts w:ascii="Arial" w:hAnsi="Arial" w:eastAsia="宋体" w:cs="Arial"/>
            </w:rPr>
            <w:fldChar w:fldCharType="separate"/>
          </w:r>
          <w:r>
            <w:rPr>
              <w:rFonts w:ascii="Arial" w:hAnsi="Arial" w:eastAsia="宋体" w:cs="Arial"/>
            </w:rPr>
            <w:t>35</w:t>
          </w:r>
          <w:r>
            <w:rPr>
              <w:rFonts w:ascii="Arial" w:hAnsi="Arial" w:eastAsia="宋体" w:cs="Arial"/>
            </w:rPr>
            <w:fldChar w:fldCharType="end"/>
          </w:r>
          <w:r>
            <w:rPr>
              <w:rFonts w:ascii="Arial" w:hAnsi="Arial" w:eastAsia="宋体" w:cs="Arial"/>
            </w:rPr>
            <w:fldChar w:fldCharType="end"/>
          </w:r>
        </w:p>
        <w:p w14:paraId="7B242947">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"_Toc481595923" </w:instrText>
          </w:r>
          <w:r>
            <w:fldChar w:fldCharType="separate"/>
          </w:r>
          <w:r>
            <w:rPr>
              <w:rStyle w:val="16"/>
              <w:rFonts w:ascii="Arial" w:hAnsi="Arial" w:eastAsia="宋体" w:cs="Arial"/>
              <w:spacing w:val="-1"/>
              <w:w w:val="99"/>
            </w:rPr>
            <w:t>M.</w:t>
          </w:r>
          <w:r>
            <w:rPr>
              <w:rFonts w:ascii="Arial" w:hAnsi="Arial" w:eastAsia="宋体" w:cs="Arial"/>
              <w:kern w:val="2"/>
              <w:sz w:val="21"/>
              <w:szCs w:val="22"/>
              <w:lang w:eastAsia="zh-CN"/>
            </w:rPr>
            <w:tab/>
          </w:r>
          <w:r>
            <w:rPr>
              <w:rStyle w:val="16"/>
              <w:rFonts w:ascii="Arial" w:hAnsi="Arial" w:eastAsia="宋体" w:cs="Arial"/>
              <w:lang w:eastAsia="zh-CN"/>
            </w:rPr>
            <w:t>治疗</w:t>
          </w:r>
          <w:r>
            <w:rPr>
              <w:rStyle w:val="16"/>
              <w:rFonts w:ascii="Arial" w:hAnsi="Arial" w:eastAsia="宋体" w:cs="Arial"/>
            </w:rPr>
            <w:t>后评价</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_Toc481595923 \h </w:instrText>
          </w:r>
          <w:r>
            <w:rPr>
              <w:rFonts w:ascii="Arial" w:hAnsi="Arial" w:eastAsia="宋体" w:cs="Arial"/>
            </w:rPr>
            <w:fldChar w:fldCharType="separate"/>
          </w:r>
          <w:r>
            <w:rPr>
              <w:rFonts w:ascii="Arial" w:hAnsi="Arial" w:eastAsia="宋体" w:cs="Arial"/>
            </w:rPr>
            <w:t>36</w:t>
          </w:r>
          <w:r>
            <w:rPr>
              <w:rFonts w:ascii="Arial" w:hAnsi="Arial" w:eastAsia="宋体" w:cs="Arial"/>
            </w:rPr>
            <w:fldChar w:fldCharType="end"/>
          </w:r>
          <w:r>
            <w:rPr>
              <w:rFonts w:ascii="Arial" w:hAnsi="Arial" w:eastAsia="宋体" w:cs="Arial"/>
            </w:rPr>
            <w:fldChar w:fldCharType="end"/>
          </w:r>
        </w:p>
        <w:p w14:paraId="21CD78F0">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"_Toc481595924" </w:instrText>
          </w:r>
          <w:r>
            <w:fldChar w:fldCharType="separate"/>
          </w:r>
          <w:r>
            <w:rPr>
              <w:rStyle w:val="16"/>
              <w:rFonts w:ascii="Arial" w:hAnsi="Arial" w:eastAsia="宋体" w:cs="Arial"/>
              <w:spacing w:val="-1"/>
              <w:w w:val="99"/>
            </w:rPr>
            <w:t>N.</w:t>
          </w:r>
          <w:r>
            <w:rPr>
              <w:rFonts w:ascii="Arial" w:hAnsi="Arial" w:eastAsia="宋体" w:cs="Arial"/>
              <w:kern w:val="2"/>
              <w:sz w:val="21"/>
              <w:szCs w:val="22"/>
              <w:lang w:eastAsia="zh-CN"/>
            </w:rPr>
            <w:tab/>
          </w:r>
          <w:r>
            <w:rPr>
              <w:rStyle w:val="16"/>
              <w:rFonts w:ascii="Arial" w:hAnsi="Arial" w:eastAsia="宋体" w:cs="Arial"/>
              <w:lang w:eastAsia="zh-CN"/>
            </w:rPr>
            <w:t>统计分析建议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_Toc481595924 \h </w:instrText>
          </w:r>
          <w:r>
            <w:rPr>
              <w:rFonts w:ascii="Arial" w:hAnsi="Arial" w:eastAsia="宋体" w:cs="Arial"/>
            </w:rPr>
            <w:fldChar w:fldCharType="separate"/>
          </w:r>
          <w:r>
            <w:rPr>
              <w:rFonts w:ascii="Arial" w:hAnsi="Arial" w:eastAsia="宋体" w:cs="Arial"/>
            </w:rPr>
            <w:t>37</w:t>
          </w:r>
          <w:r>
            <w:rPr>
              <w:rFonts w:ascii="Arial" w:hAnsi="Arial" w:eastAsia="宋体" w:cs="Arial"/>
            </w:rPr>
            <w:fldChar w:fldCharType="end"/>
          </w:r>
          <w:r>
            <w:rPr>
              <w:rFonts w:ascii="Arial" w:hAnsi="Arial" w:eastAsia="宋体" w:cs="Arial"/>
            </w:rPr>
            <w:fldChar w:fldCharType="end"/>
          </w:r>
        </w:p>
        <w:p w14:paraId="2823363D">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"_Toc481595925" </w:instrText>
          </w:r>
          <w:r>
            <w:fldChar w:fldCharType="separate"/>
          </w:r>
          <w:r>
            <w:rPr>
              <w:rStyle w:val="16"/>
              <w:rFonts w:ascii="Arial" w:hAnsi="Arial" w:eastAsia="宋体" w:cs="Arial"/>
              <w:spacing w:val="-1"/>
            </w:rPr>
            <w:t>1.</w:t>
          </w:r>
          <w:r>
            <w:rPr>
              <w:rFonts w:ascii="Arial" w:hAnsi="Arial" w:eastAsia="宋体" w:cs="Arial"/>
              <w:bCs w:val="0"/>
              <w:kern w:val="2"/>
              <w:sz w:val="21"/>
              <w:lang w:eastAsia="zh-CN"/>
            </w:rPr>
            <w:tab/>
          </w:r>
          <w:r>
            <w:rPr>
              <w:rStyle w:val="16"/>
              <w:rFonts w:ascii="Arial" w:hAnsi="Arial" w:eastAsia="宋体" w:cs="Arial"/>
            </w:rPr>
            <w:t>统计分析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_Toc481595925 \h </w:instrText>
          </w:r>
          <w:r>
            <w:rPr>
              <w:rFonts w:ascii="Arial" w:hAnsi="Arial" w:eastAsia="宋体" w:cs="Arial"/>
            </w:rPr>
            <w:fldChar w:fldCharType="separate"/>
          </w:r>
          <w:r>
            <w:rPr>
              <w:rFonts w:ascii="Arial" w:hAnsi="Arial" w:eastAsia="宋体" w:cs="Arial"/>
            </w:rPr>
            <w:t>37</w:t>
          </w:r>
          <w:r>
            <w:rPr>
              <w:rFonts w:ascii="Arial" w:hAnsi="Arial" w:eastAsia="宋体" w:cs="Arial"/>
            </w:rPr>
            <w:fldChar w:fldCharType="end"/>
          </w:r>
          <w:r>
            <w:rPr>
              <w:rFonts w:ascii="Arial" w:hAnsi="Arial" w:eastAsia="宋体" w:cs="Arial"/>
            </w:rPr>
            <w:fldChar w:fldCharType="end"/>
          </w:r>
        </w:p>
        <w:p w14:paraId="6B609583">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"_Toc481595926" </w:instrText>
          </w:r>
          <w:r>
            <w:fldChar w:fldCharType="separate"/>
          </w:r>
          <w:r>
            <w:rPr>
              <w:rStyle w:val="16"/>
              <w:rFonts w:ascii="Arial" w:hAnsi="Arial" w:eastAsia="宋体" w:cs="Arial"/>
              <w:spacing w:val="-1"/>
            </w:rPr>
            <w:t>2.</w:t>
          </w:r>
          <w:r>
            <w:rPr>
              <w:rFonts w:ascii="Arial" w:hAnsi="Arial" w:eastAsia="宋体" w:cs="Arial"/>
              <w:bCs w:val="0"/>
              <w:kern w:val="2"/>
              <w:sz w:val="21"/>
              <w:lang w:eastAsia="zh-CN"/>
            </w:rPr>
            <w:tab/>
          </w:r>
          <w:r>
            <w:rPr>
              <w:rStyle w:val="16"/>
              <w:rFonts w:ascii="Arial" w:hAnsi="Arial" w:eastAsia="宋体" w:cs="Arial"/>
            </w:rPr>
            <w:t>主要终点分析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_Toc481595926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067BA0F9">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"_Toc481595927" </w:instrText>
          </w:r>
          <w:r>
            <w:fldChar w:fldCharType="separate"/>
          </w:r>
          <w:r>
            <w:rPr>
              <w:rStyle w:val="16"/>
              <w:rFonts w:ascii="Arial" w:hAnsi="Arial" w:eastAsia="宋体" w:cs="Arial"/>
              <w:spacing w:val="-1"/>
            </w:rPr>
            <w:t>3.</w:t>
          </w:r>
          <w:r>
            <w:rPr>
              <w:rFonts w:ascii="Arial" w:hAnsi="Arial" w:eastAsia="宋体" w:cs="Arial"/>
              <w:bCs w:val="0"/>
              <w:kern w:val="2"/>
              <w:sz w:val="21"/>
              <w:lang w:eastAsia="zh-CN"/>
            </w:rPr>
            <w:tab/>
          </w:r>
          <w:r>
            <w:rPr>
              <w:rStyle w:val="16"/>
              <w:rFonts w:ascii="Arial" w:hAnsi="Arial" w:eastAsia="宋体" w:cs="Arial"/>
            </w:rPr>
            <w:t>次要终点分析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_Toc481595927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5AA6CEA8">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"_Toc481595928" </w:instrText>
          </w:r>
          <w:r>
            <w:fldChar w:fldCharType="separate"/>
          </w:r>
          <w:r>
            <w:rPr>
              <w:rStyle w:val="16"/>
              <w:rFonts w:ascii="Arial" w:hAnsi="Arial" w:eastAsia="宋体" w:cs="Arial"/>
              <w:spacing w:val="-1"/>
            </w:rPr>
            <w:t>4.</w:t>
          </w:r>
          <w:r>
            <w:rPr>
              <w:rFonts w:ascii="Arial" w:hAnsi="Arial" w:eastAsia="宋体" w:cs="Arial"/>
              <w:bCs w:val="0"/>
              <w:kern w:val="2"/>
              <w:sz w:val="21"/>
              <w:lang w:eastAsia="zh-CN"/>
            </w:rPr>
            <w:tab/>
          </w:r>
          <w:r>
            <w:rPr>
              <w:rStyle w:val="16"/>
              <w:rFonts w:ascii="Arial" w:hAnsi="Arial" w:eastAsia="宋体" w:cs="Arial"/>
            </w:rPr>
            <w:t>缺失数据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_Toc481595928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4C7EE13E">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"_Toc481595929" </w:instrText>
          </w:r>
          <w:r>
            <w:fldChar w:fldCharType="separate"/>
          </w:r>
          <w:r>
            <w:rPr>
              <w:rStyle w:val="16"/>
              <w:rFonts w:ascii="Arial" w:hAnsi="Arial" w:eastAsia="宋体" w:cs="Arial"/>
              <w:spacing w:val="-1"/>
              <w:w w:val="99"/>
            </w:rPr>
            <w:t>O.</w:t>
          </w:r>
          <w:r>
            <w:rPr>
              <w:rFonts w:ascii="Arial" w:hAnsi="Arial" w:eastAsia="宋体" w:cs="Arial"/>
              <w:kern w:val="2"/>
              <w:sz w:val="21"/>
              <w:szCs w:val="22"/>
              <w:lang w:eastAsia="zh-CN"/>
            </w:rPr>
            <w:tab/>
          </w:r>
          <w:r>
            <w:rPr>
              <w:rStyle w:val="16"/>
              <w:rFonts w:ascii="Arial" w:hAnsi="Arial" w:eastAsia="宋体" w:cs="Arial"/>
            </w:rPr>
            <w:t>风险分析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_Toc481595929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67B954F2">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"_Toc481595930" </w:instrText>
          </w:r>
          <w:r>
            <w:fldChar w:fldCharType="separate"/>
          </w:r>
          <w:r>
            <w:rPr>
              <w:rStyle w:val="16"/>
              <w:rFonts w:ascii="Arial" w:hAnsi="Arial" w:eastAsia="宋体" w:cs="Arial"/>
              <w:spacing w:val="-1"/>
              <w:w w:val="99"/>
            </w:rPr>
            <w:t>P.</w:t>
          </w:r>
          <w:r>
            <w:rPr>
              <w:rFonts w:ascii="Arial" w:hAnsi="Arial" w:eastAsia="宋体" w:cs="Arial"/>
              <w:kern w:val="2"/>
              <w:sz w:val="21"/>
              <w:szCs w:val="22"/>
              <w:lang w:eastAsia="zh-CN"/>
            </w:rPr>
            <w:tab/>
          </w:r>
          <w:r>
            <w:rPr>
              <w:rStyle w:val="16"/>
              <w:rFonts w:ascii="Arial" w:hAnsi="Arial" w:eastAsia="宋体" w:cs="Arial"/>
            </w:rPr>
            <w:t>研究监测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_Toc481595930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27C0F280">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"_Toc481595931" </w:instrText>
          </w:r>
          <w:r>
            <w:fldChar w:fldCharType="separate"/>
          </w:r>
          <w:r>
            <w:rPr>
              <w:rStyle w:val="16"/>
              <w:rFonts w:ascii="Arial" w:hAnsi="Arial" w:eastAsia="宋体" w:cs="Arial"/>
              <w:spacing w:val="-1"/>
              <w:w w:val="99"/>
            </w:rPr>
            <w:t>Q.</w:t>
          </w:r>
          <w:r>
            <w:rPr>
              <w:rFonts w:ascii="Arial" w:hAnsi="Arial" w:eastAsia="宋体" w:cs="Arial"/>
              <w:kern w:val="2"/>
              <w:sz w:val="21"/>
              <w:szCs w:val="22"/>
              <w:lang w:eastAsia="zh-CN"/>
            </w:rPr>
            <w:tab/>
          </w:r>
          <w:r>
            <w:rPr>
              <w:rStyle w:val="16"/>
              <w:rFonts w:ascii="Arial" w:hAnsi="Arial" w:eastAsia="宋体" w:cs="Arial"/>
              <w:lang w:eastAsia="zh-CN"/>
            </w:rPr>
            <w:t>病例</w:t>
          </w:r>
          <w:r>
            <w:rPr>
              <w:rStyle w:val="16"/>
              <w:rFonts w:ascii="Arial" w:hAnsi="Arial" w:eastAsia="宋体" w:cs="Arial"/>
            </w:rPr>
            <w:t>报告表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_Toc481595931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4FBED128">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"_Toc481595932" </w:instrText>
          </w:r>
          <w:r>
            <w:fldChar w:fldCharType="separate"/>
          </w:r>
          <w:r>
            <w:rPr>
              <w:rStyle w:val="16"/>
              <w:rFonts w:ascii="Arial" w:hAnsi="Arial" w:eastAsia="宋体" w:cs="Arial"/>
              <w:bCs/>
            </w:rPr>
            <w:t>VI.</w:t>
          </w:r>
          <w:r>
            <w:rPr>
              <w:rFonts w:ascii="Arial" w:hAnsi="Arial" w:eastAsia="宋体" w:cs="Arial"/>
              <w:kern w:val="2"/>
              <w:sz w:val="21"/>
              <w:szCs w:val="22"/>
              <w:lang w:eastAsia="zh-CN"/>
            </w:rPr>
            <w:tab/>
          </w:r>
          <w:r>
            <w:rPr>
              <w:rStyle w:val="16"/>
              <w:rFonts w:ascii="Arial" w:hAnsi="Arial" w:eastAsia="宋体" w:cs="Arial"/>
              <w:lang w:eastAsia="zh-CN"/>
            </w:rPr>
            <w:t>结论</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_Toc481595932 \h </w:instrText>
          </w:r>
          <w:r>
            <w:rPr>
              <w:rFonts w:ascii="Arial" w:hAnsi="Arial" w:eastAsia="宋体" w:cs="Arial"/>
            </w:rPr>
            <w:fldChar w:fldCharType="separate"/>
          </w:r>
          <w:r>
            <w:rPr>
              <w:rFonts w:ascii="Arial" w:hAnsi="Arial" w:eastAsia="宋体" w:cs="Arial"/>
            </w:rPr>
            <w:t>43</w:t>
          </w:r>
          <w:r>
            <w:rPr>
              <w:rFonts w:ascii="Arial" w:hAnsi="Arial" w:eastAsia="宋体" w:cs="Arial"/>
            </w:rPr>
            <w:fldChar w:fldCharType="end"/>
          </w:r>
          <w:r>
            <w:rPr>
              <w:rFonts w:ascii="Arial" w:hAnsi="Arial" w:eastAsia="宋体" w:cs="Arial"/>
            </w:rPr>
            <w:fldChar w:fldCharType="end"/>
          </w:r>
        </w:p>
        <w:p w14:paraId="77F94B7D">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"_Toc481595933" </w:instrText>
          </w:r>
          <w:r>
            <w:fldChar w:fldCharType="separate"/>
          </w:r>
          <w:r>
            <w:rPr>
              <w:rStyle w:val="16"/>
              <w:rFonts w:ascii="Arial" w:hAnsi="Arial" w:eastAsia="宋体" w:cs="Arial"/>
            </w:rPr>
            <w:t>附录1</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_Toc481595933 \h </w:instrText>
          </w:r>
          <w:r>
            <w:rPr>
              <w:rFonts w:ascii="Arial" w:hAnsi="Arial" w:eastAsia="宋体" w:cs="Arial"/>
            </w:rPr>
            <w:fldChar w:fldCharType="separate"/>
          </w:r>
          <w:r>
            <w:rPr>
              <w:rFonts w:ascii="Arial" w:hAnsi="Arial" w:eastAsia="宋体" w:cs="Arial"/>
            </w:rPr>
            <w:t>44</w:t>
          </w:r>
          <w:r>
            <w:rPr>
              <w:rFonts w:ascii="Arial" w:hAnsi="Arial" w:eastAsia="宋体" w:cs="Arial"/>
            </w:rPr>
            <w:fldChar w:fldCharType="end"/>
          </w:r>
          <w:r>
            <w:rPr>
              <w:rFonts w:ascii="Arial" w:hAnsi="Arial" w:eastAsia="宋体" w:cs="Arial"/>
            </w:rPr>
            <w:fldChar w:fldCharType="end"/>
          </w:r>
        </w:p>
        <w:p w14:paraId="70CEF21A">
          <w:r>
            <w:rPr>
              <w:rFonts w:ascii="Arial" w:hAnsi="Arial" w:eastAsia="宋体" w:cs="Arial"/>
            </w:rPr>
            <w:fldChar w:fldCharType="end"/>
          </w:r>
        </w:p>
      </w:sdtContent>
    </w:sdt>
    <w:p w14:paraId="2BDBA84A">
      <w:pPr>
        <w:widowControl/>
        <w:rPr>
          <w:rFonts w:ascii="Arial" w:hAnsi="Arial" w:eastAsia="宋体" w:cs="Arial"/>
          <w:sz w:val="36"/>
          <w:szCs w:val="36"/>
          <w:lang w:eastAsia="zh-CN"/>
        </w:rPr>
      </w:pPr>
      <w:r>
        <w:rPr>
          <w:rFonts w:ascii="Arial" w:hAnsi="Arial" w:eastAsia="宋体" w:cs="Arial"/>
          <w:sz w:val="36"/>
          <w:szCs w:val="36"/>
          <w:lang w:eastAsia="zh-CN"/>
        </w:rPr>
        <w:br w:type="page"/>
      </w:r>
    </w:p>
    <w:p w14:paraId="0CB1299D">
      <w:pPr>
        <w:snapToGrid w:val="0"/>
        <w:spacing w:line="300" w:lineRule="auto"/>
        <w:jc w:val="center"/>
        <w:rPr>
          <w:rFonts w:ascii="Arial" w:hAnsi="Arial" w:eastAsia="宋体" w:cs="Arial"/>
          <w:b/>
          <w:sz w:val="48"/>
          <w:lang w:eastAsia="zh-CN"/>
        </w:rPr>
      </w:pPr>
      <w:r>
        <w:rPr>
          <w:rFonts w:ascii="Arial" w:hAnsi="Arial" w:eastAsia="宋体" w:cs="Arial"/>
          <w:b/>
          <w:sz w:val="48"/>
          <w:lang w:eastAsia="zh-CN"/>
        </w:rPr>
        <mc:AlternateContent>
          <mc:Choice Requires="wps">
            <w:drawing>
              <wp:anchor distT="0" distB="0" distL="114300" distR="114300" simplePos="0" relativeHeight="251659264" behindDoc="0" locked="0" layoutInCell="1" allowOverlap="1">
                <wp:simplePos x="0" y="0"/>
                <wp:positionH relativeFrom="column">
                  <wp:posOffset>119380</wp:posOffset>
                </wp:positionH>
                <wp:positionV relativeFrom="paragraph">
                  <wp:posOffset>408305</wp:posOffset>
                </wp:positionV>
                <wp:extent cx="6167755" cy="0"/>
                <wp:effectExtent l="0" t="0" r="24130" b="19050"/>
                <wp:wrapNone/>
                <wp:docPr id="77" name="直接连接符 77"/>
                <wp:cNvGraphicFramePr/>
                <a:graphic xmlns:a="http://schemas.openxmlformats.org/drawingml/2006/main">
                  <a:graphicData uri="http://schemas.microsoft.com/office/word/2010/wordprocessingShape">
                    <wps:wsp>
                      <wps:cNvCnPr/>
                      <wps:spPr>
                        <a:xfrm>
                          <a:off x="0" y="0"/>
                          <a:ext cx="61675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4pt;margin-top:32.15pt;height:0pt;width:485.65pt;z-index:251659264;mso-width-relative:page;mso-height-relative:page;" filled="f" stroked="t" coordsize="21600,21600" o:gfxdata="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ccGI1QAAAAgBAAAPAAAAAAAAAAEA&#10;IAAAACIAAABkcnMvZG93bnJldi54bWxQSwECFAAUAAAACACHTuJAGuQ3oNkBAACcAwAADgAAAAAA&#10;AAABACAAAAAkAQAAZHJzL2Uyb0RvYy54bWxQSwUGAAAAAAYABgBZAQAAbwUAAAAA&#10;">
                <v:fill on="f" focussize="0,0"/>
                <v:stroke color="#000000 [3213]" joinstyle="round"/>
                <v:imagedata o:title=""/>
                <o:lock v:ext="edit" aspectratio="f"/>
              </v:line>
            </w:pict>
          </mc:Fallback>
        </mc:AlternateContent>
      </w:r>
      <w:r>
        <w:rPr>
          <w:rFonts w:ascii="Arial" w:hAnsi="Arial" w:eastAsia="宋体" w:cs="Arial"/>
          <w:b/>
          <w:sz w:val="48"/>
          <w:lang w:eastAsia="zh-CN"/>
        </w:rPr>
        <w:t>行业和食品药品监督管理局员工指南</w:t>
      </w:r>
    </w:p>
    <w:p w14:paraId="69557A29">
      <w:pPr>
        <w:snapToGrid w:val="0"/>
        <w:spacing w:line="300" w:lineRule="auto"/>
        <w:ind w:hanging="4"/>
        <w:jc w:val="center"/>
        <w:rPr>
          <w:rFonts w:ascii="Arial" w:hAnsi="Arial" w:eastAsia="宋体" w:cs="Arial"/>
          <w:b/>
          <w:bCs/>
          <w:sz w:val="48"/>
          <w:szCs w:val="48"/>
          <w:lang w:eastAsia="zh-CN"/>
        </w:rPr>
      </w:pPr>
      <w:r>
        <w:rPr>
          <w:rFonts w:ascii="Arial" w:hAnsi="Arial" w:eastAsia="宋体" w:cs="Arial"/>
          <w:b/>
          <w:bCs/>
          <w:sz w:val="48"/>
          <w:szCs w:val="48"/>
          <w:lang w:eastAsia="zh-CN"/>
        </w:rPr>
        <w:t>治疗良性前列腺增生症（BPH）</w:t>
      </w:r>
      <w:r>
        <w:rPr>
          <w:rFonts w:hint="eastAsia" w:ascii="Arial" w:hAnsi="Arial" w:eastAsia="宋体" w:cs="Arial"/>
          <w:b/>
          <w:bCs/>
          <w:sz w:val="48"/>
          <w:szCs w:val="48"/>
          <w:lang w:eastAsia="zh-CN"/>
        </w:rPr>
        <w:t>器械</w:t>
      </w:r>
      <w:r>
        <w:rPr>
          <w:rFonts w:ascii="Arial" w:hAnsi="Arial" w:eastAsia="宋体" w:cs="Arial"/>
          <w:b/>
          <w:bCs/>
          <w:sz w:val="48"/>
          <w:szCs w:val="48"/>
          <w:lang w:eastAsia="zh-CN"/>
        </w:rPr>
        <w:t>的非临床和临床研究的指南</w:t>
      </w:r>
    </w:p>
    <w:p w14:paraId="1571C8EC">
      <w:pPr>
        <w:snapToGrid w:val="0"/>
        <w:spacing w:line="300" w:lineRule="auto"/>
        <w:jc w:val="both"/>
        <w:rPr>
          <w:rFonts w:ascii="Arial" w:hAnsi="Arial" w:eastAsia="宋体" w:cs="Arial"/>
          <w:b/>
          <w:bCs/>
          <w:sz w:val="20"/>
          <w:szCs w:val="20"/>
          <w:lang w:eastAsia="zh-CN"/>
        </w:rPr>
      </w:pPr>
    </w:p>
    <w:p w14:paraId="5EA0A485">
      <w:pPr>
        <w:snapToGrid w:val="0"/>
        <w:spacing w:line="300" w:lineRule="auto"/>
        <w:jc w:val="both"/>
        <w:rPr>
          <w:rFonts w:ascii="Arial" w:hAnsi="Arial" w:eastAsia="宋体" w:cs="Arial"/>
          <w:b/>
          <w:bCs/>
          <w:sz w:val="20"/>
          <w:szCs w:val="20"/>
          <w:lang w:eastAsia="zh-CN"/>
        </w:rPr>
      </w:pPr>
    </w:p>
    <w:p w14:paraId="643A1E45">
      <w:pPr>
        <w:snapToGrid w:val="0"/>
        <w:spacing w:before="9" w:line="300" w:lineRule="auto"/>
        <w:jc w:val="both"/>
        <w:rPr>
          <w:rFonts w:ascii="Arial" w:hAnsi="Arial" w:eastAsia="宋体" w:cs="Arial"/>
          <w:b/>
          <w:bCs/>
          <w:sz w:val="12"/>
          <w:szCs w:val="12"/>
          <w:lang w:eastAsia="zh-CN"/>
        </w:rPr>
      </w:pPr>
    </w:p>
    <w:p w14:paraId="17123992">
      <w:pPr>
        <w:snapToGrid w:val="0"/>
        <w:spacing w:line="300" w:lineRule="auto"/>
        <w:jc w:val="both"/>
        <w:rPr>
          <w:rFonts w:ascii="Arial" w:hAnsi="Arial" w:eastAsia="宋体" w:cs="Arial"/>
          <w:sz w:val="20"/>
          <w:szCs w:val="20"/>
        </w:rPr>
      </w:pPr>
      <w:r>
        <w:rPr>
          <w:rFonts w:ascii="Arial" w:hAnsi="Arial" w:eastAsia="宋体" w:cs="Arial"/>
          <w:position w:val="-45"/>
          <w:sz w:val="20"/>
          <w:szCs w:val="20"/>
          <w:lang w:eastAsia="zh-CN"/>
        </w:rPr>
        <mc:AlternateContent>
          <mc:Choice Requires="wps">
            <w:drawing>
              <wp:inline distT="0" distB="0" distL="0" distR="0">
                <wp:extent cx="6099810" cy="1456690"/>
                <wp:effectExtent l="19050" t="19050" r="24765" b="19685"/>
                <wp:docPr id="76" name="Text Box 74"/>
                <wp:cNvGraphicFramePr/>
                <a:graphic xmlns:a="http://schemas.openxmlformats.org/drawingml/2006/main">
                  <a:graphicData uri="http://schemas.microsoft.com/office/word/2010/wordprocessingShape">
                    <wps:wsp>
                      <wps:cNvSpPr txBox="1">
                        <a:spLocks noChangeArrowheads="1"/>
                      </wps:cNvSpPr>
                      <wps:spPr bwMode="auto">
                        <a:xfrm>
                          <a:off x="0" y="0"/>
                          <a:ext cx="6099810" cy="1456690"/>
                        </a:xfrm>
                        <a:prstGeom prst="rect">
                          <a:avLst/>
                        </a:prstGeom>
                        <a:noFill/>
                        <a:ln w="38100" cmpd="tri">
                          <a:solidFill>
                            <a:srgbClr val="000000"/>
                          </a:solidFill>
                          <a:miter lim="800000"/>
                        </a:ln>
                      </wps:spPr>
                      <wps:txbx>
                        <w:txbxContent>
                          <w:p w14:paraId="3130EDDE">
                            <w:pPr>
                              <w:spacing w:before="90"/>
                              <w:ind w:left="137" w:right="202"/>
                              <w:jc w:val="both"/>
                              <w:rPr>
                                <w:rFonts w:ascii="Calibri" w:hAnsi="Calibri" w:eastAsia="Calibri" w:cs="Calibri"/>
                                <w:sz w:val="24"/>
                                <w:szCs w:val="24"/>
                                <w:lang w:eastAsia="zh-CN"/>
                              </w:rPr>
                            </w:pPr>
                            <w:r>
                              <w:rPr>
                                <w:rFonts w:hint="eastAsia" w:ascii="宋体" w:hAnsi="宋体" w:eastAsia="宋体" w:cs="宋体"/>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xbxContent>
                      </wps:txbx>
                      <wps:bodyPr rot="0" vert="horz" wrap="square" lIns="0" tIns="0" rIns="0" bIns="0" anchor="t" anchorCtr="0" upright="1">
                        <a:noAutofit/>
                      </wps:bodyPr>
                    </wps:wsp>
                  </a:graphicData>
                </a:graphic>
              </wp:inline>
            </w:drawing>
          </mc:Choice>
          <mc:Fallback>
            <w:pict>
              <v:shape id="Text Box 74" o:spid="_x0000_s1026" o:spt="202" type="#_x0000_t202" style="height:114.7pt;width:480.3pt;" filled="f" stroked="t" coordsize="21600,21600" o:gfxdata="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wHWdHUAAAABQEAAA8AAAAAAAAAAQAgAAAAIgAAAGRycy9kb3ducmV2LnhtbFBLAQIUABQA&#10;AAAIAIdO4kC1F9U1LQIAAFwEAAAOAAAAAAAAAAEAIAAAACMBAABkcnMvZTJvRG9jLnhtbFBLBQYA&#10;AAAABgAGAFkBAADCBQAAAAA=&#10;">
                <v:fill on="f" focussize="0,0"/>
                <v:stroke weight="3pt" color="#000000" linestyle="thickBetweenThin" miterlimit="8" joinstyle="miter"/>
                <v:imagedata o:title=""/>
                <o:lock v:ext="edit" aspectratio="f"/>
                <v:textbox inset="0mm,0mm,0mm,0mm">
                  <w:txbxContent>
                    <w:p w14:paraId="3130EDDE">
                      <w:pPr>
                        <w:spacing w:before="90"/>
                        <w:ind w:left="137" w:right="202"/>
                        <w:jc w:val="both"/>
                        <w:rPr>
                          <w:rFonts w:ascii="Calibri" w:hAnsi="Calibri" w:eastAsia="Calibri" w:cs="Calibri"/>
                          <w:sz w:val="24"/>
                          <w:szCs w:val="24"/>
                          <w:lang w:eastAsia="zh-CN"/>
                        </w:rPr>
                      </w:pPr>
                      <w:r>
                        <w:rPr>
                          <w:rFonts w:hint="eastAsia" w:ascii="宋体" w:hAnsi="宋体" w:eastAsia="宋体" w:cs="宋体"/>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xbxContent>
                </v:textbox>
                <w10:wrap type="none"/>
                <w10:anchorlock/>
              </v:shape>
            </w:pict>
          </mc:Fallback>
        </mc:AlternateContent>
      </w:r>
    </w:p>
    <w:p w14:paraId="07701E7D">
      <w:pPr>
        <w:snapToGrid w:val="0"/>
        <w:spacing w:line="300" w:lineRule="auto"/>
        <w:jc w:val="both"/>
        <w:rPr>
          <w:rFonts w:ascii="Arial" w:hAnsi="Arial" w:eastAsia="宋体" w:cs="Arial"/>
          <w:b/>
          <w:bCs/>
          <w:sz w:val="20"/>
          <w:szCs w:val="20"/>
        </w:rPr>
      </w:pPr>
    </w:p>
    <w:p w14:paraId="24C59E7E">
      <w:pPr>
        <w:snapToGrid w:val="0"/>
        <w:spacing w:line="300" w:lineRule="auto"/>
        <w:jc w:val="both"/>
        <w:rPr>
          <w:rFonts w:ascii="Arial" w:hAnsi="Arial" w:eastAsia="宋体" w:cs="Arial"/>
          <w:b/>
          <w:bCs/>
          <w:sz w:val="20"/>
          <w:szCs w:val="20"/>
        </w:rPr>
      </w:pPr>
    </w:p>
    <w:p w14:paraId="03E23BFE">
      <w:pPr>
        <w:pStyle w:val="2"/>
        <w:numPr>
          <w:ilvl w:val="0"/>
          <w:numId w:val="1"/>
        </w:numPr>
        <w:tabs>
          <w:tab w:val="left" w:pos="568"/>
        </w:tabs>
        <w:snapToGrid w:val="0"/>
        <w:spacing w:before="156" w:line="300" w:lineRule="auto"/>
        <w:ind w:left="289" w:hanging="289"/>
        <w:jc w:val="both"/>
        <w:rPr>
          <w:rFonts w:ascii="Arial" w:hAnsi="Arial" w:eastAsia="宋体" w:cs="Arial"/>
          <w:b w:val="0"/>
          <w:bCs w:val="0"/>
        </w:rPr>
      </w:pPr>
      <w:bookmarkStart w:id="0" w:name="_Toc481595889"/>
      <w:r>
        <w:rPr>
          <w:rFonts w:ascii="Arial" w:hAnsi="Arial" w:eastAsia="宋体" w:cs="Arial"/>
          <w:lang w:eastAsia="zh-CN"/>
        </w:rPr>
        <w:t>前言</w:t>
      </w:r>
      <w:bookmarkEnd w:id="0"/>
    </w:p>
    <w:p w14:paraId="2E6CCEC1">
      <w:pPr>
        <w:pStyle w:val="6"/>
        <w:snapToGrid w:val="0"/>
        <w:spacing w:before="295" w:line="300" w:lineRule="auto"/>
        <w:ind w:left="0"/>
        <w:jc w:val="both"/>
        <w:rPr>
          <w:rFonts w:ascii="Arial" w:hAnsi="Arial" w:eastAsia="宋体" w:cs="Arial"/>
          <w:lang w:eastAsia="zh-CN"/>
        </w:rPr>
      </w:pPr>
      <w:r>
        <w:rPr>
          <w:rFonts w:ascii="Arial" w:hAnsi="Arial" w:eastAsia="宋体" w:cs="Arial"/>
          <w:lang w:eastAsia="zh-CN"/>
        </w:rPr>
        <w:t>随着男性年龄增长，前列腺会随着时间推移而变得越来越大，从而妨碍前列腺尿道并干扰括约肌功能。因此产生的病症（称为良性前列腺增生症（BPH））与尿液流量峰值（Qmax）降低和空隙残余尿液（PVR）增加有关。患有BPH的男性可遭受一些令人烦扰的下尿路症状（LUTS），其中，该症状会破坏睡眠模式或干扰日常活动，影响其生活质量。</w:t>
      </w:r>
    </w:p>
    <w:p w14:paraId="325A91E1">
      <w:pPr>
        <w:snapToGrid w:val="0"/>
        <w:spacing w:before="7" w:line="300" w:lineRule="auto"/>
        <w:jc w:val="both"/>
        <w:rPr>
          <w:rFonts w:ascii="Arial" w:hAnsi="Arial" w:eastAsia="宋体" w:cs="Arial"/>
          <w:sz w:val="23"/>
          <w:szCs w:val="23"/>
          <w:lang w:eastAsia="zh-CN"/>
        </w:rPr>
      </w:pPr>
    </w:p>
    <w:p w14:paraId="0D533CD2">
      <w:pPr>
        <w:snapToGrid w:val="0"/>
        <w:spacing w:before="8" w:line="300" w:lineRule="auto"/>
        <w:jc w:val="both"/>
        <w:rPr>
          <w:rFonts w:ascii="Arial" w:hAnsi="Arial" w:eastAsia="宋体" w:cs="Arial"/>
          <w:sz w:val="23"/>
          <w:szCs w:val="23"/>
          <w:lang w:eastAsia="zh-CN"/>
        </w:rPr>
      </w:pPr>
    </w:p>
    <w:p w14:paraId="2400B664">
      <w:pPr>
        <w:snapToGrid w:val="0"/>
        <w:spacing w:before="8" w:line="300" w:lineRule="auto"/>
        <w:jc w:val="both"/>
        <w:rPr>
          <w:rFonts w:ascii="Arial" w:hAnsi="Arial" w:eastAsia="宋体" w:cs="Arial"/>
          <w:sz w:val="23"/>
          <w:szCs w:val="23"/>
          <w:lang w:eastAsia="zh-CN"/>
        </w:rPr>
      </w:pPr>
    </w:p>
    <w:p w14:paraId="4170A12D">
      <w:pPr>
        <w:snapToGrid w:val="0"/>
        <w:spacing w:before="8" w:line="300" w:lineRule="auto"/>
        <w:jc w:val="both"/>
        <w:rPr>
          <w:rFonts w:ascii="Arial" w:hAnsi="Arial" w:eastAsia="宋体" w:cs="Arial"/>
          <w:sz w:val="23"/>
          <w:szCs w:val="23"/>
          <w:lang w:eastAsia="zh-CN"/>
        </w:rPr>
      </w:pPr>
    </w:p>
    <w:p w14:paraId="7C06945E">
      <w:pPr>
        <w:snapToGrid w:val="0"/>
        <w:spacing w:before="8" w:line="300" w:lineRule="auto"/>
        <w:jc w:val="both"/>
        <w:rPr>
          <w:rFonts w:ascii="Arial" w:hAnsi="Arial" w:eastAsia="宋体" w:cs="Arial"/>
          <w:sz w:val="23"/>
          <w:szCs w:val="23"/>
          <w:lang w:eastAsia="zh-CN"/>
        </w:rPr>
      </w:pPr>
    </w:p>
    <w:p w14:paraId="69C3BBBD">
      <w:pPr>
        <w:snapToGrid w:val="0"/>
        <w:spacing w:before="8" w:line="300" w:lineRule="auto"/>
        <w:jc w:val="both"/>
        <w:rPr>
          <w:rFonts w:ascii="Arial" w:hAnsi="Arial" w:eastAsia="宋体" w:cs="Arial"/>
          <w:sz w:val="23"/>
          <w:szCs w:val="23"/>
          <w:lang w:eastAsia="zh-CN"/>
        </w:rPr>
      </w:pPr>
    </w:p>
    <w:p w14:paraId="09A7EAA5">
      <w:pPr>
        <w:snapToGrid w:val="0"/>
        <w:spacing w:before="8" w:line="300" w:lineRule="auto"/>
        <w:jc w:val="both"/>
        <w:rPr>
          <w:rFonts w:ascii="Arial" w:hAnsi="Arial" w:eastAsia="宋体" w:cs="Arial"/>
          <w:sz w:val="23"/>
          <w:szCs w:val="23"/>
          <w:lang w:eastAsia="zh-CN"/>
        </w:rPr>
      </w:pPr>
    </w:p>
    <w:p w14:paraId="6F77C4AC">
      <w:pPr>
        <w:snapToGrid w:val="0"/>
        <w:spacing w:before="8" w:line="300" w:lineRule="auto"/>
        <w:jc w:val="both"/>
        <w:rPr>
          <w:rFonts w:ascii="Arial" w:hAnsi="Arial" w:eastAsia="宋体" w:cs="Arial"/>
          <w:sz w:val="23"/>
          <w:szCs w:val="23"/>
          <w:lang w:eastAsia="zh-CN"/>
        </w:rPr>
      </w:pPr>
    </w:p>
    <w:p w14:paraId="530FC96F">
      <w:pPr>
        <w:snapToGrid w:val="0"/>
        <w:spacing w:before="8" w:line="300" w:lineRule="auto"/>
        <w:jc w:val="both"/>
        <w:rPr>
          <w:rFonts w:ascii="Arial" w:hAnsi="Arial" w:eastAsia="宋体" w:cs="Arial"/>
          <w:sz w:val="23"/>
          <w:szCs w:val="23"/>
          <w:lang w:eastAsia="zh-CN"/>
        </w:rPr>
      </w:pPr>
    </w:p>
    <w:p w14:paraId="3176354A">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73" name="Group 7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74" name="Group 72"/>
                        <wpg:cNvGrpSpPr/>
                        <wpg:grpSpPr>
                          <a:xfrm>
                            <a:off x="6" y="6"/>
                            <a:ext cx="2880" cy="2"/>
                            <a:chOff x="6" y="6"/>
                            <a:chExt cx="2880" cy="2"/>
                          </a:xfrm>
                        </wpg:grpSpPr>
                        <wps:wsp>
                          <wps:cNvPr id="75" name="Freeform 7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7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BKrxWRsDAAD+BwAADgAAAAAAAAABACAAAAAjAQAAZHJzL2Uyb0Rv&#10;Yy54bWxQSwUGAAAAAAYABgBZAQAAsAYAAAAA&#10;">
                <o:lock v:ext="edit" aspectratio="f"/>
                <v:group id="Group 72" o:spid="_x0000_s1026" o:spt="203" style="position:absolute;left:6;top:6;height:2;width:2880;" coordorigin="6,6" coordsize="2880,2"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Freeform 73" o:spid="_x0000_s1026" o:spt="100" style="position:absolute;left:6;top:6;height:2;width:2880;" filled="f" stroked="t" coordsize="2880,1" o:gfxdata="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19kF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375A0A3">
      <w:pPr>
        <w:pStyle w:val="6"/>
        <w:snapToGrid w:val="0"/>
        <w:spacing w:before="59" w:line="300" w:lineRule="auto"/>
        <w:ind w:left="0"/>
        <w:jc w:val="both"/>
        <w:rPr>
          <w:rFonts w:ascii="Arial" w:hAnsi="Arial" w:eastAsia="宋体" w:cs="Arial"/>
          <w:lang w:eastAsia="zh-CN"/>
        </w:rPr>
      </w:pPr>
      <w:bookmarkStart w:id="1" w:name="_bookmark1"/>
      <w:bookmarkEnd w:id="1"/>
      <w:r>
        <w:rPr>
          <w:rFonts w:ascii="Arial" w:hAnsi="Arial" w:eastAsia="宋体" w:cs="Arial"/>
          <w:position w:val="11"/>
          <w:sz w:val="16"/>
        </w:rPr>
        <w:t>1</w:t>
      </w:r>
      <w:r>
        <w:rPr>
          <w:rFonts w:ascii="Arial" w:hAnsi="Arial" w:eastAsia="宋体" w:cs="Arial"/>
        </w:rPr>
        <w:t>Berry SJ、Coffey DS、Walsh PC、Ewing LL。</w:t>
      </w:r>
      <w:r>
        <w:rPr>
          <w:rFonts w:ascii="Arial" w:hAnsi="Arial" w:eastAsia="宋体" w:cs="Arial"/>
          <w:lang w:eastAsia="zh-CN"/>
        </w:rPr>
        <w:t>人类良性前列腺增生症随年龄增长的发展。泌尿学杂志，1984，132：474-479。</w:t>
      </w:r>
    </w:p>
    <w:p w14:paraId="7F9C6809">
      <w:pPr>
        <w:pStyle w:val="6"/>
        <w:snapToGrid w:val="0"/>
        <w:spacing w:before="4" w:line="300" w:lineRule="auto"/>
        <w:ind w:left="0"/>
        <w:jc w:val="both"/>
        <w:rPr>
          <w:rFonts w:ascii="Arial" w:hAnsi="Arial" w:eastAsia="宋体" w:cs="Arial"/>
          <w:lang w:eastAsia="zh-CN"/>
        </w:rPr>
      </w:pPr>
      <w:bookmarkStart w:id="2" w:name="_bookmark2"/>
      <w:bookmarkEnd w:id="2"/>
      <w:r>
        <w:rPr>
          <w:rFonts w:ascii="Arial" w:hAnsi="Arial" w:eastAsia="宋体" w:cs="Arial"/>
          <w:position w:val="11"/>
          <w:sz w:val="16"/>
          <w:lang w:eastAsia="zh-CN"/>
        </w:rPr>
        <w:t xml:space="preserve">2 </w:t>
      </w:r>
      <w:r>
        <w:rPr>
          <w:rFonts w:ascii="Arial" w:hAnsi="Arial" w:eastAsia="宋体" w:cs="Arial"/>
          <w:lang w:eastAsia="zh-CN"/>
        </w:rPr>
        <w:t>Isaacs，JT、Coffey DS。良性前列腺增生的病因和疾病过程。前列腺，1989，2（增刊）：33-50。</w:t>
      </w:r>
    </w:p>
    <w:p w14:paraId="31C1F9E6">
      <w:pPr>
        <w:snapToGrid w:val="0"/>
        <w:spacing w:line="300" w:lineRule="auto"/>
        <w:jc w:val="both"/>
        <w:rPr>
          <w:rFonts w:ascii="Arial" w:hAnsi="Arial" w:eastAsia="宋体" w:cs="Arial"/>
          <w:sz w:val="24"/>
          <w:szCs w:val="24"/>
          <w:lang w:eastAsia="zh-CN"/>
        </w:rPr>
        <w:sectPr>
          <w:headerReference r:id="rId4" w:type="default"/>
          <w:pgSz w:w="12240" w:h="15840"/>
          <w:pgMar w:top="1134" w:right="1134" w:bottom="1134" w:left="1134" w:header="0" w:footer="0" w:gutter="0"/>
          <w:cols w:space="720" w:num="1"/>
          <w:docGrid w:linePitch="299" w:charSpace="0"/>
        </w:sectPr>
      </w:pPr>
    </w:p>
    <w:p w14:paraId="751962E1">
      <w:pPr>
        <w:pStyle w:val="6"/>
        <w:snapToGrid w:val="0"/>
        <w:spacing w:before="51" w:line="276" w:lineRule="auto"/>
        <w:ind w:left="0"/>
        <w:jc w:val="both"/>
        <w:rPr>
          <w:rFonts w:ascii="Arial" w:hAnsi="Arial" w:eastAsia="宋体" w:cs="Arial"/>
          <w:lang w:eastAsia="zh-CN"/>
        </w:rPr>
      </w:pPr>
      <w:r>
        <w:rPr>
          <w:rFonts w:ascii="Arial" w:hAnsi="Arial" w:eastAsia="宋体" w:cs="Arial"/>
          <w:lang w:eastAsia="zh-CN"/>
        </w:rPr>
        <w:t>虽然BPH在年轻男性中较为罕见，但在老年男性中却极为常见。流行病学研究估计，在60岁时，50％的男性将患有组织学BPH。在85</w:t>
      </w:r>
      <w:r>
        <w:rPr>
          <w:rFonts w:hint="eastAsia" w:ascii="Arial" w:hAnsi="Arial" w:eastAsia="宋体" w:cs="Arial"/>
          <w:lang w:eastAsia="zh-CN"/>
        </w:rPr>
        <w:t>岁</w:t>
      </w:r>
      <w:r>
        <w:rPr>
          <w:rFonts w:ascii="Arial" w:hAnsi="Arial" w:eastAsia="宋体" w:cs="Arial"/>
          <w:lang w:eastAsia="zh-CN"/>
        </w:rPr>
        <w:t>以上的男性中，患病率增加至90％。</w:t>
      </w:r>
      <w:r>
        <w:fldChar w:fldCharType="begin"/>
      </w:r>
      <w:r>
        <w:instrText xml:space="preserve"> HYPERLINK \l "_bookmark1" </w:instrText>
      </w:r>
      <w:r>
        <w:fldChar w:fldCharType="separate"/>
      </w:r>
      <w:r>
        <w:rPr>
          <w:rFonts w:ascii="Arial" w:hAnsi="Arial" w:eastAsia="宋体" w:cs="Arial"/>
          <w:vertAlign w:val="superscript"/>
          <w:lang w:eastAsia="zh-CN"/>
        </w:rPr>
        <w:t>1</w:t>
      </w:r>
      <w:r>
        <w:rPr>
          <w:rFonts w:ascii="Arial" w:hAnsi="Arial" w:eastAsia="宋体" w:cs="Arial"/>
          <w:vertAlign w:val="superscript"/>
          <w:lang w:eastAsia="zh-CN"/>
        </w:rPr>
        <w:fldChar w:fldCharType="end"/>
      </w:r>
      <w:r>
        <w:rPr>
          <w:rFonts w:ascii="Arial" w:hAnsi="Arial" w:eastAsia="宋体" w:cs="Arial"/>
          <w:vertAlign w:val="superscript"/>
          <w:lang w:eastAsia="zh-CN"/>
        </w:rPr>
        <w:t>、</w:t>
      </w:r>
      <w:r>
        <w:fldChar w:fldCharType="begin"/>
      </w:r>
      <w:r>
        <w:instrText xml:space="preserve"> HYPERLINK \l "_bookmark2" </w:instrText>
      </w:r>
      <w:r>
        <w:fldChar w:fldCharType="separate"/>
      </w:r>
      <w:r>
        <w:rPr>
          <w:rFonts w:ascii="Arial" w:hAnsi="Arial" w:eastAsia="宋体" w:cs="Arial"/>
          <w:vertAlign w:val="superscript"/>
          <w:lang w:eastAsia="zh-CN"/>
        </w:rPr>
        <w:t>2</w:t>
      </w:r>
      <w:r>
        <w:rPr>
          <w:rFonts w:ascii="Arial" w:hAnsi="Arial" w:eastAsia="宋体" w:cs="Arial"/>
          <w:vertAlign w:val="superscript"/>
          <w:lang w:eastAsia="zh-CN"/>
        </w:rPr>
        <w:fldChar w:fldCharType="end"/>
      </w:r>
      <w:r>
        <w:rPr>
          <w:rFonts w:ascii="Arial" w:hAnsi="Arial" w:eastAsia="宋体" w:cs="Arial"/>
          <w:lang w:eastAsia="zh-CN"/>
        </w:rPr>
        <w:t>与组织学证据类似，LUTS患病率和BPH其的他临床指标随年龄增长而增加，且在所研究的各国和各种族群间均类似。</w:t>
      </w:r>
      <w:r>
        <w:rPr>
          <w:rFonts w:ascii="Arial" w:hAnsi="Arial" w:eastAsia="宋体" w:cs="Arial"/>
          <w:vertAlign w:val="superscript"/>
          <w:lang w:eastAsia="zh-CN"/>
        </w:rPr>
        <w:t>3、4、5、6、7</w:t>
      </w:r>
      <w:r>
        <w:rPr>
          <w:rFonts w:ascii="Arial" w:hAnsi="Arial" w:eastAsia="宋体" w:cs="Arial"/>
          <w:lang w:eastAsia="zh-CN"/>
        </w:rPr>
        <w:t>因此，BPH被视为已经并将继续产生相当大公共卫生影响的重大医疗病症。</w:t>
      </w:r>
    </w:p>
    <w:p w14:paraId="60CE025D">
      <w:pPr>
        <w:snapToGrid w:val="0"/>
        <w:spacing w:before="4" w:line="276" w:lineRule="auto"/>
        <w:jc w:val="both"/>
        <w:rPr>
          <w:rFonts w:ascii="Arial" w:hAnsi="Arial" w:eastAsia="宋体" w:cs="Arial"/>
          <w:sz w:val="20"/>
          <w:szCs w:val="20"/>
          <w:lang w:eastAsia="zh-CN"/>
        </w:rPr>
      </w:pPr>
    </w:p>
    <w:p w14:paraId="1416056A">
      <w:pPr>
        <w:pStyle w:val="6"/>
        <w:snapToGrid w:val="0"/>
        <w:spacing w:before="51" w:line="276" w:lineRule="auto"/>
        <w:ind w:left="0"/>
        <w:jc w:val="both"/>
        <w:rPr>
          <w:rFonts w:ascii="Arial" w:hAnsi="Arial" w:eastAsia="宋体" w:cs="Arial"/>
          <w:lang w:eastAsia="zh-CN"/>
        </w:rPr>
      </w:pPr>
      <w:r>
        <w:rPr>
          <w:rFonts w:ascii="Arial" w:hAnsi="Arial" w:eastAsia="宋体" w:cs="Arial"/>
          <w:lang w:eastAsia="zh-CN"/>
        </w:rPr>
        <w:t>精心设计、科学合理的非临床和临床研究计划对于评价旨在治疗BPH的医疗器械的安全性和有效性来说至关重要。</w:t>
      </w:r>
    </w:p>
    <w:p w14:paraId="750549E4">
      <w:pPr>
        <w:snapToGrid w:val="0"/>
        <w:spacing w:before="12" w:line="276" w:lineRule="auto"/>
        <w:jc w:val="both"/>
        <w:rPr>
          <w:rFonts w:ascii="Arial" w:hAnsi="Arial" w:eastAsia="宋体" w:cs="Arial"/>
          <w:sz w:val="23"/>
          <w:szCs w:val="23"/>
          <w:lang w:eastAsia="zh-CN"/>
        </w:rPr>
      </w:pPr>
    </w:p>
    <w:p w14:paraId="6811F382">
      <w:pPr>
        <w:pStyle w:val="6"/>
        <w:snapToGrid w:val="0"/>
        <w:spacing w:line="276" w:lineRule="auto"/>
        <w:ind w:left="0"/>
        <w:jc w:val="both"/>
        <w:rPr>
          <w:rFonts w:ascii="Arial" w:hAnsi="Arial" w:eastAsia="宋体" w:cs="Arial"/>
          <w:lang w:eastAsia="zh-CN"/>
        </w:rPr>
      </w:pPr>
      <w:r>
        <w:rPr>
          <w:rFonts w:ascii="Arial" w:hAnsi="Arial" w:eastAsia="宋体" w:cs="Arial"/>
          <w:lang w:eastAsia="zh-CN"/>
        </w:rPr>
        <w:t>在应用于人类之前，必须证明该器械将在其使用环境中正常工作。医疗器械的设计涉及制定和验证一系列规格，其中，这些规格定义了该器械的基本安全性和性能要求。大多数设计规格可在非临床试验中得到验证，其中允许在受控情况下对器械功能和安全性进行评价。另外，综合性非临床系列试验可为评价器械的未来更改提供基础。</w:t>
      </w:r>
    </w:p>
    <w:p w14:paraId="36CA235A">
      <w:pPr>
        <w:snapToGrid w:val="0"/>
        <w:spacing w:before="12" w:line="276" w:lineRule="auto"/>
        <w:jc w:val="both"/>
        <w:rPr>
          <w:rFonts w:ascii="Arial" w:hAnsi="Arial" w:eastAsia="宋体" w:cs="Arial"/>
          <w:sz w:val="23"/>
          <w:szCs w:val="23"/>
          <w:lang w:eastAsia="zh-CN"/>
        </w:rPr>
      </w:pPr>
    </w:p>
    <w:p w14:paraId="0099FEE1">
      <w:pPr>
        <w:pStyle w:val="6"/>
        <w:snapToGrid w:val="0"/>
        <w:spacing w:line="276" w:lineRule="auto"/>
        <w:ind w:left="0"/>
        <w:jc w:val="both"/>
        <w:rPr>
          <w:rFonts w:ascii="Arial" w:hAnsi="Arial" w:eastAsia="宋体" w:cs="Arial"/>
          <w:lang w:eastAsia="zh-CN"/>
        </w:rPr>
      </w:pPr>
      <w:r>
        <w:rPr>
          <w:rFonts w:ascii="Arial" w:hAnsi="Arial" w:eastAsia="宋体" w:cs="Arial"/>
          <w:lang w:eastAsia="zh-CN"/>
        </w:rPr>
        <w:t>对用于治疗BPH的器械进行临床研究的最终目标是使用客观、公正的结果设计一项研究，以测量治疗的安全性和有效性。设计临床研究以评价BPH器械的安全性和有效性时面临的主要挑战包括通常与BPH一起出现的安慰剂效应和自发性缓解、通常用于评价治疗有效性的典型结果测量值的固有变异性和主观性，以及有效治疗BPH的可用性。</w:t>
      </w:r>
    </w:p>
    <w:p w14:paraId="2EE26D06">
      <w:pPr>
        <w:snapToGrid w:val="0"/>
        <w:spacing w:before="12" w:line="276" w:lineRule="auto"/>
        <w:jc w:val="both"/>
        <w:rPr>
          <w:rFonts w:ascii="Arial" w:hAnsi="Arial" w:eastAsia="宋体" w:cs="Arial"/>
          <w:sz w:val="23"/>
          <w:szCs w:val="23"/>
          <w:lang w:eastAsia="zh-CN"/>
        </w:rPr>
      </w:pPr>
    </w:p>
    <w:p w14:paraId="65AB7D89">
      <w:pPr>
        <w:pStyle w:val="6"/>
        <w:snapToGrid w:val="0"/>
        <w:spacing w:line="276" w:lineRule="auto"/>
        <w:ind w:left="0"/>
        <w:jc w:val="both"/>
        <w:rPr>
          <w:rFonts w:ascii="Arial" w:hAnsi="Arial" w:eastAsia="宋体" w:cs="Arial"/>
          <w:lang w:eastAsia="zh-CN"/>
        </w:rPr>
      </w:pPr>
      <w:r>
        <w:rPr>
          <w:rFonts w:ascii="Arial" w:hAnsi="Arial" w:eastAsia="宋体" w:cs="Arial"/>
          <w:lang w:eastAsia="zh-CN"/>
        </w:rPr>
        <w:t>本指南确定了用于支持旨在治疗BPH器械的器械临床研究豁免（IDE）、上市前批准申请（PMA）和一些上市前通告（510（k））的非临床和临床研究计划的主要特性。本文件中的一些建议可能不适用于特定器械，但其他建议可能适用于新型器械类型或技术。如果拟定替代方案具有充分的科学依据，FDA将考虑替代非临床和临床试验。我们鼓励贵公司在设计贵公司的临床研究以及提交原始IDE申请之前，联系泌尿科和碎石器械部（ULDB）。</w:t>
      </w:r>
    </w:p>
    <w:p w14:paraId="35221CA0">
      <w:pPr>
        <w:pStyle w:val="6"/>
        <w:snapToGrid w:val="0"/>
        <w:spacing w:line="276" w:lineRule="auto"/>
        <w:ind w:left="0"/>
        <w:jc w:val="both"/>
        <w:rPr>
          <w:rFonts w:ascii="Arial" w:hAnsi="Arial" w:eastAsia="宋体" w:cs="Arial"/>
          <w:lang w:eastAsia="zh-CN"/>
        </w:rPr>
      </w:pPr>
    </w:p>
    <w:p w14:paraId="5151C6AB">
      <w:pPr>
        <w:snapToGrid w:val="0"/>
        <w:spacing w:before="10" w:line="276" w:lineRule="auto"/>
        <w:jc w:val="both"/>
        <w:rPr>
          <w:rFonts w:ascii="Arial" w:hAnsi="Arial" w:eastAsia="宋体" w:cs="Arial"/>
          <w:sz w:val="21"/>
          <w:szCs w:val="21"/>
          <w:lang w:eastAsia="zh-CN"/>
        </w:rPr>
      </w:pPr>
    </w:p>
    <w:p w14:paraId="6F86A962">
      <w:pPr>
        <w:snapToGrid w:val="0"/>
        <w:spacing w:line="276"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70" name="Group 6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71" name="Group 69"/>
                        <wpg:cNvGrpSpPr/>
                        <wpg:grpSpPr>
                          <a:xfrm>
                            <a:off x="6" y="6"/>
                            <a:ext cx="2880" cy="2"/>
                            <a:chOff x="6" y="6"/>
                            <a:chExt cx="2880" cy="2"/>
                          </a:xfrm>
                        </wpg:grpSpPr>
                        <wps:wsp>
                          <wps:cNvPr id="72" name="Freeform 7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6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BJ0IaxGgMAAP4HAAAOAAAAAAAAAAEAIAAAACMBAABkcnMvZTJvRG9j&#10;LnhtbFBLBQYAAAAABgAGAFkBAACvBgAAAAA=&#10;">
                <o:lock v:ext="edit" aspectratio="f"/>
                <v:group id="Group 69" o:spid="_x0000_s1026" o:spt="203" style="position:absolute;left:6;top:6;height:2;width:2880;" coordorigin="6,6" coordsize="2880,2"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Freeform 70" o:spid="_x0000_s1026" o:spt="100" style="position:absolute;left:6;top:6;height:2;width:2880;" filled="f" stroked="t" coordsize="2880,1" o:gfxdata="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PkFx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F779D9F">
      <w:pPr>
        <w:pStyle w:val="6"/>
        <w:snapToGrid w:val="0"/>
        <w:spacing w:before="59" w:line="276" w:lineRule="auto"/>
        <w:ind w:left="0"/>
        <w:jc w:val="both"/>
        <w:rPr>
          <w:rFonts w:ascii="Arial" w:hAnsi="Arial" w:eastAsia="宋体" w:cs="Arial"/>
          <w:lang w:eastAsia="zh-CN"/>
        </w:rPr>
      </w:pPr>
      <w:bookmarkStart w:id="3" w:name="_bookmark3"/>
      <w:bookmarkEnd w:id="3"/>
      <w:r>
        <w:rPr>
          <w:rFonts w:ascii="Arial" w:hAnsi="Arial" w:eastAsia="宋体" w:cs="Arial"/>
          <w:position w:val="11"/>
          <w:sz w:val="16"/>
        </w:rPr>
        <w:t xml:space="preserve">3 </w:t>
      </w:r>
      <w:r>
        <w:rPr>
          <w:rFonts w:ascii="Arial" w:hAnsi="Arial" w:eastAsia="宋体" w:cs="Arial"/>
        </w:rPr>
        <w:t>Chute CG、Panser LA、Girman CJ</w:t>
      </w:r>
      <w:r>
        <w:rPr>
          <w:rFonts w:ascii="Arial" w:hAnsi="Arial" w:eastAsia="宋体" w:cs="Arial"/>
          <w:lang w:eastAsia="zh-CN"/>
        </w:rPr>
        <w:t>等人</w:t>
      </w:r>
      <w:r>
        <w:rPr>
          <w:rFonts w:ascii="Arial" w:hAnsi="Arial" w:eastAsia="宋体" w:cs="Arial"/>
        </w:rPr>
        <w:t>。</w:t>
      </w:r>
      <w:r>
        <w:rPr>
          <w:rFonts w:ascii="Arial" w:hAnsi="Arial" w:eastAsia="宋体" w:cs="Arial"/>
          <w:lang w:eastAsia="zh-CN"/>
        </w:rPr>
        <w:t>前列腺炎的患病率：一项基于人群的泌尿症状研究。泌尿学杂志，1993年，150：85-89。</w:t>
      </w:r>
    </w:p>
    <w:p w14:paraId="7B686F61">
      <w:pPr>
        <w:pStyle w:val="6"/>
        <w:snapToGrid w:val="0"/>
        <w:spacing w:before="3" w:line="276" w:lineRule="auto"/>
        <w:ind w:left="0"/>
        <w:jc w:val="both"/>
        <w:rPr>
          <w:rFonts w:ascii="Arial" w:hAnsi="Arial" w:eastAsia="宋体" w:cs="Arial"/>
        </w:rPr>
      </w:pPr>
      <w:bookmarkStart w:id="4" w:name="_bookmark4"/>
      <w:bookmarkEnd w:id="4"/>
      <w:r>
        <w:rPr>
          <w:rFonts w:ascii="Arial" w:hAnsi="Arial" w:eastAsia="宋体" w:cs="Arial"/>
          <w:position w:val="11"/>
          <w:sz w:val="16"/>
          <w:lang w:eastAsia="zh-CN"/>
        </w:rPr>
        <w:t xml:space="preserve">4 </w:t>
      </w:r>
      <w:r>
        <w:rPr>
          <w:rFonts w:ascii="Arial" w:hAnsi="Arial" w:eastAsia="宋体" w:cs="Arial"/>
          <w:lang w:eastAsia="zh-CN"/>
        </w:rPr>
        <w:t>Homma Y、Kawabe K、Tsukamoto T等人。使用国际前列腺症状评分在亚洲和澳大利亚进行下尿路症状的流行病学研究。</w:t>
      </w:r>
      <w:r>
        <w:rPr>
          <w:rFonts w:ascii="Arial" w:hAnsi="Arial" w:eastAsia="宋体" w:cs="Arial"/>
        </w:rPr>
        <w:t>国际泌尿学，1997年，4：40-46。</w:t>
      </w:r>
    </w:p>
    <w:p w14:paraId="7B39B1A5">
      <w:pPr>
        <w:pStyle w:val="6"/>
        <w:snapToGrid w:val="0"/>
        <w:spacing w:before="3" w:line="276" w:lineRule="auto"/>
        <w:ind w:left="0"/>
        <w:jc w:val="both"/>
        <w:rPr>
          <w:rFonts w:ascii="Arial" w:hAnsi="Arial" w:eastAsia="宋体" w:cs="Arial"/>
          <w:lang w:eastAsia="zh-CN"/>
        </w:rPr>
      </w:pPr>
      <w:bookmarkStart w:id="5" w:name="_bookmark5"/>
      <w:bookmarkEnd w:id="5"/>
      <w:r>
        <w:rPr>
          <w:rFonts w:ascii="Arial" w:hAnsi="Arial" w:eastAsia="宋体" w:cs="Arial"/>
          <w:position w:val="11"/>
          <w:sz w:val="16"/>
        </w:rPr>
        <w:t xml:space="preserve">5 </w:t>
      </w:r>
      <w:r>
        <w:rPr>
          <w:rFonts w:ascii="Arial" w:hAnsi="Arial" w:eastAsia="宋体" w:cs="Arial"/>
        </w:rPr>
        <w:t>Hunter DJW</w:t>
      </w:r>
      <w:r>
        <w:rPr>
          <w:rFonts w:ascii="Arial" w:hAnsi="Arial" w:eastAsia="宋体" w:cs="Arial"/>
          <w:lang w:eastAsia="zh-CN"/>
        </w:rPr>
        <w:t>、</w:t>
      </w:r>
      <w:r>
        <w:rPr>
          <w:rFonts w:ascii="Arial" w:hAnsi="Arial" w:eastAsia="宋体" w:cs="Arial"/>
        </w:rPr>
        <w:t>Berra-Unamuno A</w:t>
      </w:r>
      <w:r>
        <w:rPr>
          <w:rFonts w:ascii="Arial" w:hAnsi="Arial" w:eastAsia="宋体" w:cs="Arial"/>
          <w:lang w:eastAsia="zh-CN"/>
        </w:rPr>
        <w:t>、</w:t>
      </w:r>
      <w:r>
        <w:rPr>
          <w:rFonts w:ascii="Arial" w:hAnsi="Arial" w:eastAsia="宋体" w:cs="Arial"/>
        </w:rPr>
        <w:t>Martin-Gordo A</w:t>
      </w:r>
      <w:r>
        <w:rPr>
          <w:rFonts w:ascii="Arial" w:hAnsi="Arial" w:eastAsia="宋体" w:cs="Arial"/>
          <w:lang w:eastAsia="zh-CN"/>
        </w:rPr>
        <w:t>。50岁及以上的西班牙男性中尿症状和其他泌尿系统疾病的患病率。泌尿学杂志，1996年；155：1965 - 1970。</w:t>
      </w:r>
    </w:p>
    <w:p w14:paraId="0E54ED71">
      <w:pPr>
        <w:pStyle w:val="6"/>
        <w:snapToGrid w:val="0"/>
        <w:spacing w:before="3" w:line="276" w:lineRule="auto"/>
        <w:ind w:left="0"/>
        <w:jc w:val="both"/>
        <w:rPr>
          <w:rFonts w:ascii="Arial" w:hAnsi="Arial" w:eastAsia="宋体" w:cs="Arial"/>
          <w:lang w:eastAsia="zh-CN"/>
        </w:rPr>
      </w:pPr>
      <w:bookmarkStart w:id="6" w:name="_bookmark6"/>
      <w:bookmarkEnd w:id="6"/>
      <w:r>
        <w:rPr>
          <w:rFonts w:ascii="Arial" w:hAnsi="Arial" w:eastAsia="宋体" w:cs="Arial"/>
          <w:position w:val="11"/>
          <w:sz w:val="16"/>
          <w:lang w:eastAsia="zh-CN"/>
        </w:rPr>
        <w:t>6</w:t>
      </w:r>
      <w:r>
        <w:rPr>
          <w:rFonts w:ascii="Arial" w:hAnsi="Arial" w:eastAsia="宋体" w:cs="Arial"/>
          <w:lang w:eastAsia="zh-CN"/>
        </w:rPr>
        <w:t>Sagnier PP、MacFarlane G、Richard F、Botto H、Teillac P、Boyle P。使用改良的美国泌尿协会症状指数在法国针对良性前列腺增生症进行的流行病学研究结果。泌尿学杂志，1994年，151：1266-1270。</w:t>
      </w:r>
    </w:p>
    <w:p w14:paraId="7935BFDA">
      <w:pPr>
        <w:pStyle w:val="6"/>
        <w:snapToGrid w:val="0"/>
        <w:spacing w:before="4" w:line="276" w:lineRule="auto"/>
        <w:ind w:left="0"/>
        <w:jc w:val="both"/>
        <w:rPr>
          <w:rFonts w:ascii="Arial" w:hAnsi="Arial" w:eastAsia="宋体" w:cs="Arial"/>
          <w:lang w:eastAsia="zh-CN"/>
        </w:rPr>
      </w:pPr>
      <w:bookmarkStart w:id="7" w:name="_bookmark7"/>
      <w:bookmarkEnd w:id="7"/>
      <w:r>
        <w:rPr>
          <w:rFonts w:ascii="Arial" w:hAnsi="Arial" w:eastAsia="宋体" w:cs="Arial"/>
          <w:position w:val="11"/>
          <w:sz w:val="16"/>
          <w:lang w:eastAsia="zh-CN"/>
        </w:rPr>
        <w:t xml:space="preserve">7 </w:t>
      </w:r>
      <w:r>
        <w:rPr>
          <w:rFonts w:ascii="Arial" w:hAnsi="Arial" w:eastAsia="宋体" w:cs="Arial"/>
          <w:lang w:eastAsia="zh-CN"/>
        </w:rPr>
        <w:t>Tan HY、Choo WC、Archibald C、Esuvaranathan K。以社区为基础的新加坡前列腺症状研究。泌尿学杂志，1997年；157：890-893。</w:t>
      </w:r>
    </w:p>
    <w:p w14:paraId="0FD25E63">
      <w:pPr>
        <w:snapToGrid w:val="0"/>
        <w:spacing w:line="300" w:lineRule="auto"/>
        <w:jc w:val="both"/>
        <w:rPr>
          <w:rFonts w:ascii="Arial" w:hAnsi="Arial" w:eastAsia="宋体" w:cs="Arial"/>
          <w:lang w:eastAsia="zh-CN"/>
        </w:rPr>
        <w:sectPr>
          <w:headerReference r:id="rId5" w:type="default"/>
          <w:pgSz w:w="12240" w:h="15840"/>
          <w:pgMar w:top="1134" w:right="1134" w:bottom="1134" w:left="1134" w:header="750" w:footer="0" w:gutter="0"/>
          <w:cols w:space="720" w:num="1"/>
          <w:docGrid w:linePitch="299" w:charSpace="0"/>
        </w:sectPr>
      </w:pPr>
    </w:p>
    <w:p w14:paraId="3F5A5708">
      <w:pPr>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FDA的指导性文件，包括本指南，不构成具有法律强制力的责任。相反，指南表明了本审查机构对某一主题的最新见解，除非引用具体的法规或法律要求，否则只应视为建议。在本审查机构指南中使用词语“应”是指建议或推荐进行某一事项，并非强制要求。</w:t>
      </w:r>
    </w:p>
    <w:p w14:paraId="7433621E">
      <w:pPr>
        <w:snapToGrid w:val="0"/>
        <w:spacing w:line="300" w:lineRule="auto"/>
        <w:jc w:val="both"/>
        <w:rPr>
          <w:rFonts w:ascii="Arial" w:hAnsi="Arial" w:eastAsia="宋体" w:cs="Arial"/>
          <w:sz w:val="24"/>
          <w:szCs w:val="24"/>
          <w:lang w:eastAsia="zh-CN"/>
        </w:rPr>
      </w:pPr>
    </w:p>
    <w:p w14:paraId="50CC85E6">
      <w:pPr>
        <w:pStyle w:val="2"/>
        <w:numPr>
          <w:ilvl w:val="0"/>
          <w:numId w:val="1"/>
        </w:numPr>
        <w:tabs>
          <w:tab w:val="left" w:pos="580"/>
        </w:tabs>
        <w:snapToGrid w:val="0"/>
        <w:spacing w:line="300" w:lineRule="auto"/>
        <w:ind w:left="357" w:hanging="357"/>
        <w:jc w:val="both"/>
        <w:rPr>
          <w:rFonts w:ascii="Arial" w:hAnsi="Arial" w:eastAsia="宋体" w:cs="Arial"/>
          <w:b w:val="0"/>
          <w:bCs w:val="0"/>
        </w:rPr>
      </w:pPr>
      <w:bookmarkStart w:id="8" w:name="_Toc481595890"/>
      <w:r>
        <w:rPr>
          <w:rFonts w:ascii="Arial" w:hAnsi="Arial" w:eastAsia="宋体" w:cs="Arial"/>
          <w:lang w:eastAsia="zh-CN"/>
        </w:rPr>
        <w:t>范围</w:t>
      </w:r>
      <w:bookmarkEnd w:id="8"/>
    </w:p>
    <w:p w14:paraId="72E2785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本指导性文件介绍了我们建议贵公司在针对适用于治疗BPH的医疗器械设计非临床和临床研究计划时应考虑的一般理念。我们并不对明确将BPH视为所治疗疾病的适应症以及确定BPH的手术治疗（如前列腺切除术、经尿道前列腺切开术）的适应症进行区分。本指南不适用于旨在治疗前列腺的其他疾病（如前列腺癌）的器械。</w:t>
      </w:r>
    </w:p>
    <w:p w14:paraId="17BC550A">
      <w:pPr>
        <w:snapToGrid w:val="0"/>
        <w:spacing w:before="12" w:line="300" w:lineRule="auto"/>
        <w:jc w:val="both"/>
        <w:rPr>
          <w:rFonts w:ascii="Arial" w:hAnsi="Arial" w:eastAsia="宋体" w:cs="Arial"/>
          <w:sz w:val="23"/>
          <w:szCs w:val="23"/>
          <w:lang w:eastAsia="zh-CN"/>
        </w:rPr>
      </w:pPr>
    </w:p>
    <w:p w14:paraId="363F57F2">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这些理念通常适用于经受非临床和临床研究以支持上市提交的、任何类型的BPH治疗器械。该器械可能是II类或III类器械，并且其技术可能包括以下内容：</w:t>
      </w:r>
    </w:p>
    <w:p w14:paraId="21144CFE">
      <w:pPr>
        <w:snapToGrid w:val="0"/>
        <w:spacing w:before="6" w:line="300" w:lineRule="auto"/>
        <w:jc w:val="both"/>
        <w:rPr>
          <w:rFonts w:ascii="Arial" w:hAnsi="Arial" w:eastAsia="宋体" w:cs="Arial"/>
          <w:sz w:val="23"/>
          <w:szCs w:val="23"/>
          <w:lang w:eastAsia="zh-CN"/>
        </w:rPr>
      </w:pPr>
    </w:p>
    <w:tbl>
      <w:tblPr>
        <w:tblStyle w:val="17"/>
        <w:tblW w:w="8838" w:type="dxa"/>
        <w:tblInd w:w="107" w:type="dxa"/>
        <w:tblLayout w:type="fixed"/>
        <w:tblCellMar>
          <w:top w:w="0" w:type="dxa"/>
          <w:left w:w="0" w:type="dxa"/>
          <w:bottom w:w="0" w:type="dxa"/>
          <w:right w:w="0" w:type="dxa"/>
        </w:tblCellMar>
      </w:tblPr>
      <w:tblGrid>
        <w:gridCol w:w="2268"/>
        <w:gridCol w:w="737"/>
        <w:gridCol w:w="1063"/>
        <w:gridCol w:w="4770"/>
      </w:tblGrid>
      <w:tr w14:paraId="50A1B482">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6C8558B7">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分类法规</w:t>
            </w:r>
            <w:r>
              <w:rPr>
                <w:rFonts w:ascii="Arial" w:hAnsi="Arial" w:eastAsia="宋体" w:cs="Arial"/>
                <w:sz w:val="24"/>
                <w:lang w:eastAsia="zh-CN"/>
              </w:rPr>
              <w:br w:type="textWrapping"/>
            </w:r>
            <w:r>
              <w:rPr>
                <w:rFonts w:ascii="Arial" w:hAnsi="Arial" w:eastAsia="宋体" w:cs="Arial"/>
                <w:sz w:val="24"/>
                <w:lang w:eastAsia="zh-CN"/>
              </w:rPr>
              <w:t>（21</w:t>
            </w:r>
            <w:r>
              <w:rPr>
                <w:rFonts w:ascii="Arial" w:hAnsi="Arial" w:eastAsia="宋体" w:cs="Arial"/>
                <w:spacing w:val="-3"/>
                <w:sz w:val="24"/>
                <w:lang w:eastAsia="zh-CN"/>
              </w:rPr>
              <w:t xml:space="preserve"> </w:t>
            </w:r>
            <w:r>
              <w:rPr>
                <w:rFonts w:ascii="Arial" w:hAnsi="Arial" w:eastAsia="宋体" w:cs="Arial"/>
                <w:sz w:val="24"/>
                <w:lang w:eastAsia="zh-CN"/>
              </w:rPr>
              <w:t>CFR）</w:t>
            </w:r>
          </w:p>
        </w:tc>
        <w:tc>
          <w:tcPr>
            <w:tcW w:w="737" w:type="dxa"/>
            <w:tcBorders>
              <w:top w:val="single" w:color="000000" w:sz="4" w:space="0"/>
              <w:left w:val="single" w:color="000000" w:sz="4" w:space="0"/>
              <w:bottom w:val="single" w:color="000000" w:sz="4" w:space="0"/>
              <w:right w:val="single" w:color="000000" w:sz="4" w:space="0"/>
            </w:tcBorders>
          </w:tcPr>
          <w:p w14:paraId="4B44ECAF">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hint="eastAsia" w:ascii="Arial" w:hAnsi="Arial" w:eastAsia="宋体" w:cs="Arial"/>
                <w:sz w:val="24"/>
                <w:szCs w:val="24"/>
                <w:lang w:eastAsia="zh-CN"/>
              </w:rPr>
              <w:t>分类</w:t>
            </w:r>
          </w:p>
        </w:tc>
        <w:tc>
          <w:tcPr>
            <w:tcW w:w="1063" w:type="dxa"/>
            <w:tcBorders>
              <w:top w:val="single" w:color="000000" w:sz="4" w:space="0"/>
              <w:left w:val="single" w:color="000000" w:sz="4" w:space="0"/>
              <w:bottom w:val="single" w:color="000000" w:sz="4" w:space="0"/>
              <w:right w:val="single" w:color="000000" w:sz="4" w:space="0"/>
            </w:tcBorders>
          </w:tcPr>
          <w:p w14:paraId="58182834">
            <w:pPr>
              <w:pStyle w:val="19"/>
              <w:snapToGrid w:val="0"/>
              <w:spacing w:before="36" w:beforeLines="15" w:after="36" w:afterLines="15" w:line="280" w:lineRule="exact"/>
              <w:ind w:left="167" w:leftChars="15" w:right="33" w:rightChars="15" w:hanging="134"/>
              <w:jc w:val="center"/>
              <w:rPr>
                <w:rFonts w:ascii="Arial" w:hAnsi="Arial" w:eastAsia="宋体" w:cs="Arial"/>
                <w:sz w:val="24"/>
                <w:szCs w:val="24"/>
                <w:lang w:eastAsia="zh-CN"/>
              </w:rPr>
            </w:pPr>
            <w:r>
              <w:rPr>
                <w:rFonts w:ascii="Arial" w:hAnsi="Arial" w:eastAsia="宋体" w:cs="Arial"/>
                <w:sz w:val="24"/>
                <w:szCs w:val="24"/>
                <w:lang w:eastAsia="zh-CN"/>
              </w:rPr>
              <w:t>产品代码</w:t>
            </w:r>
          </w:p>
        </w:tc>
        <w:tc>
          <w:tcPr>
            <w:tcW w:w="4770" w:type="dxa"/>
            <w:tcBorders>
              <w:top w:val="single" w:color="000000" w:sz="4" w:space="0"/>
              <w:left w:val="single" w:color="000000" w:sz="4" w:space="0"/>
              <w:bottom w:val="single" w:color="000000" w:sz="4" w:space="0"/>
              <w:right w:val="single" w:color="000000" w:sz="4" w:space="0"/>
            </w:tcBorders>
          </w:tcPr>
          <w:p w14:paraId="6C7FAE94">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szCs w:val="24"/>
                <w:lang w:eastAsia="zh-CN"/>
              </w:rPr>
              <w:t>说明</w:t>
            </w:r>
          </w:p>
        </w:tc>
      </w:tr>
      <w:tr w14:paraId="6514949C">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096DAF84">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szCs w:val="24"/>
                <w:lang w:eastAsia="zh-CN"/>
              </w:rPr>
              <w:t>21 CFR</w:t>
            </w:r>
            <w:r>
              <w:rPr>
                <w:rFonts w:ascii="Arial" w:hAnsi="Arial" w:eastAsia="宋体" w:cs="Arial"/>
                <w:spacing w:val="-11"/>
                <w:sz w:val="24"/>
                <w:szCs w:val="24"/>
                <w:lang w:eastAsia="zh-CN"/>
              </w:rPr>
              <w:t xml:space="preserve"> </w:t>
            </w:r>
            <w:r>
              <w:rPr>
                <w:rFonts w:ascii="Arial" w:hAnsi="Arial" w:eastAsia="宋体" w:cs="Arial"/>
                <w:sz w:val="24"/>
                <w:szCs w:val="24"/>
                <w:lang w:eastAsia="zh-CN"/>
              </w:rPr>
              <w:t>§878.4810</w:t>
            </w:r>
          </w:p>
        </w:tc>
        <w:tc>
          <w:tcPr>
            <w:tcW w:w="737" w:type="dxa"/>
            <w:tcBorders>
              <w:top w:val="single" w:color="000000" w:sz="4" w:space="0"/>
              <w:left w:val="single" w:color="000000" w:sz="4" w:space="0"/>
              <w:bottom w:val="single" w:color="000000" w:sz="4" w:space="0"/>
              <w:right w:val="single" w:color="000000" w:sz="4" w:space="0"/>
            </w:tcBorders>
          </w:tcPr>
          <w:p w14:paraId="0AB75D07">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II</w:t>
            </w:r>
          </w:p>
        </w:tc>
        <w:tc>
          <w:tcPr>
            <w:tcW w:w="1063" w:type="dxa"/>
            <w:tcBorders>
              <w:top w:val="single" w:color="000000" w:sz="4" w:space="0"/>
              <w:left w:val="single" w:color="000000" w:sz="4" w:space="0"/>
              <w:bottom w:val="single" w:color="000000" w:sz="4" w:space="0"/>
              <w:right w:val="single" w:color="000000" w:sz="4" w:space="0"/>
            </w:tcBorders>
          </w:tcPr>
          <w:p w14:paraId="12E5A124">
            <w:pPr>
              <w:pStyle w:val="19"/>
              <w:snapToGrid w:val="0"/>
              <w:spacing w:before="36" w:beforeLines="15" w:after="36" w:afterLines="15" w:line="280" w:lineRule="exact"/>
              <w:ind w:left="33" w:leftChars="15" w:right="33" w:rightChars="15"/>
              <w:jc w:val="center"/>
              <w:rPr>
                <w:rFonts w:ascii="Arial" w:hAnsi="Arial" w:eastAsia="宋体" w:cs="Arial"/>
                <w:sz w:val="16"/>
                <w:szCs w:val="16"/>
                <w:lang w:eastAsia="zh-CN"/>
              </w:rPr>
            </w:pPr>
            <w:r>
              <w:rPr>
                <w:rFonts w:ascii="Arial" w:hAnsi="Arial" w:eastAsia="宋体" w:cs="Arial"/>
                <w:sz w:val="24"/>
                <w:szCs w:val="24"/>
                <w:lang w:eastAsia="zh-CN"/>
              </w:rPr>
              <w:t>OEL</w:t>
            </w:r>
            <w:r>
              <w:rPr>
                <w:rFonts w:ascii="Arial" w:hAnsi="Arial" w:eastAsia="宋体" w:cs="Arial"/>
                <w:position w:val="11"/>
                <w:sz w:val="16"/>
                <w:szCs w:val="16"/>
                <w:vertAlign w:val="superscript"/>
                <w:lang w:eastAsia="zh-CN"/>
              </w:rPr>
              <w:t>†</w:t>
            </w:r>
          </w:p>
        </w:tc>
        <w:tc>
          <w:tcPr>
            <w:tcW w:w="4770" w:type="dxa"/>
            <w:tcBorders>
              <w:top w:val="single" w:color="000000" w:sz="4" w:space="0"/>
              <w:left w:val="single" w:color="000000" w:sz="4" w:space="0"/>
              <w:bottom w:val="single" w:color="000000" w:sz="4" w:space="0"/>
              <w:right w:val="single" w:color="000000" w:sz="4" w:space="0"/>
            </w:tcBorders>
          </w:tcPr>
          <w:p w14:paraId="25423622">
            <w:pPr>
              <w:snapToGrid w:val="0"/>
              <w:spacing w:before="36" w:beforeLines="15" w:after="36" w:afterLines="15" w:line="280" w:lineRule="exact"/>
              <w:ind w:left="33" w:leftChars="15" w:right="33" w:rightChars="15"/>
              <w:jc w:val="both"/>
              <w:rPr>
                <w:rFonts w:ascii="Arial" w:hAnsi="Arial" w:eastAsia="宋体" w:cs="Arial"/>
                <w:lang w:eastAsia="zh-CN"/>
              </w:rPr>
            </w:pPr>
            <w:r>
              <w:rPr>
                <w:rFonts w:ascii="Arial" w:hAnsi="Arial" w:eastAsia="宋体" w:cs="Arial"/>
                <w:lang w:eastAsia="zh-CN"/>
              </w:rPr>
              <w:t>用于一般和整形手术以及皮肤科的激光手术工具</w:t>
            </w:r>
          </w:p>
        </w:tc>
      </w:tr>
      <w:tr w14:paraId="1A191263">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4516CE0A">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szCs w:val="24"/>
                <w:lang w:eastAsia="zh-CN"/>
              </w:rPr>
              <w:t>21 CFR</w:t>
            </w:r>
            <w:r>
              <w:rPr>
                <w:rFonts w:ascii="Arial" w:hAnsi="Arial" w:eastAsia="宋体" w:cs="Arial"/>
                <w:spacing w:val="-11"/>
                <w:sz w:val="24"/>
                <w:szCs w:val="24"/>
                <w:lang w:eastAsia="zh-CN"/>
              </w:rPr>
              <w:t xml:space="preserve"> </w:t>
            </w:r>
            <w:r>
              <w:rPr>
                <w:rFonts w:ascii="Arial" w:hAnsi="Arial" w:eastAsia="宋体" w:cs="Arial"/>
                <w:sz w:val="24"/>
                <w:szCs w:val="24"/>
                <w:lang w:eastAsia="zh-CN"/>
              </w:rPr>
              <w:t>§876.4300</w:t>
            </w:r>
          </w:p>
        </w:tc>
        <w:tc>
          <w:tcPr>
            <w:tcW w:w="737" w:type="dxa"/>
            <w:tcBorders>
              <w:top w:val="single" w:color="000000" w:sz="4" w:space="0"/>
              <w:left w:val="single" w:color="000000" w:sz="4" w:space="0"/>
              <w:bottom w:val="single" w:color="000000" w:sz="4" w:space="0"/>
              <w:right w:val="single" w:color="000000" w:sz="4" w:space="0"/>
            </w:tcBorders>
          </w:tcPr>
          <w:p w14:paraId="6DA796CA">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II</w:t>
            </w:r>
          </w:p>
        </w:tc>
        <w:tc>
          <w:tcPr>
            <w:tcW w:w="1063" w:type="dxa"/>
            <w:tcBorders>
              <w:top w:val="single" w:color="000000" w:sz="4" w:space="0"/>
              <w:left w:val="single" w:color="000000" w:sz="4" w:space="0"/>
              <w:bottom w:val="single" w:color="000000" w:sz="4" w:space="0"/>
              <w:right w:val="single" w:color="000000" w:sz="4" w:space="0"/>
            </w:tcBorders>
          </w:tcPr>
          <w:p w14:paraId="69D19300">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OEK</w:t>
            </w:r>
            <w:r>
              <w:rPr>
                <w:rFonts w:ascii="Arial" w:hAnsi="Arial" w:eastAsia="宋体" w:cs="Arial"/>
                <w:spacing w:val="-1"/>
                <w:sz w:val="24"/>
                <w:lang w:eastAsia="zh-CN"/>
              </w:rPr>
              <w:t xml:space="preserve"> </w:t>
            </w:r>
            <w:r>
              <w:rPr>
                <w:rFonts w:ascii="Arial" w:hAnsi="Arial" w:eastAsia="宋体" w:cs="Arial"/>
                <w:sz w:val="24"/>
                <w:lang w:eastAsia="zh-CN"/>
              </w:rPr>
              <w:t>OEJ</w:t>
            </w:r>
          </w:p>
        </w:tc>
        <w:tc>
          <w:tcPr>
            <w:tcW w:w="4770" w:type="dxa"/>
            <w:tcBorders>
              <w:top w:val="single" w:color="000000" w:sz="4" w:space="0"/>
              <w:left w:val="single" w:color="000000" w:sz="4" w:space="0"/>
              <w:bottom w:val="single" w:color="000000" w:sz="4" w:space="0"/>
              <w:right w:val="single" w:color="000000" w:sz="4" w:space="0"/>
            </w:tcBorders>
          </w:tcPr>
          <w:p w14:paraId="43329FFA">
            <w:pPr>
              <w:snapToGrid w:val="0"/>
              <w:spacing w:before="36" w:beforeLines="15" w:after="36" w:afterLines="15" w:line="280" w:lineRule="exact"/>
              <w:ind w:left="33" w:leftChars="15" w:right="33" w:rightChars="15"/>
              <w:jc w:val="both"/>
              <w:rPr>
                <w:rFonts w:ascii="Arial" w:hAnsi="Arial" w:eastAsia="宋体" w:cs="Arial"/>
                <w:lang w:eastAsia="zh-CN"/>
              </w:rPr>
            </w:pPr>
            <w:r>
              <w:rPr>
                <w:rFonts w:ascii="Arial" w:hAnsi="Arial" w:eastAsia="宋体" w:cs="Arial"/>
                <w:lang w:eastAsia="zh-CN"/>
              </w:rPr>
              <w:t>内窥镜电刀及附件</w:t>
            </w:r>
          </w:p>
        </w:tc>
      </w:tr>
      <w:tr w14:paraId="7E995B7A">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3B1592E5">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w:t>
            </w:r>
          </w:p>
        </w:tc>
        <w:tc>
          <w:tcPr>
            <w:tcW w:w="737" w:type="dxa"/>
            <w:tcBorders>
              <w:top w:val="single" w:color="000000" w:sz="4" w:space="0"/>
              <w:left w:val="single" w:color="000000" w:sz="4" w:space="0"/>
              <w:bottom w:val="single" w:color="000000" w:sz="4" w:space="0"/>
              <w:right w:val="single" w:color="000000" w:sz="4" w:space="0"/>
            </w:tcBorders>
          </w:tcPr>
          <w:p w14:paraId="1869E4F9">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III</w:t>
            </w:r>
          </w:p>
        </w:tc>
        <w:tc>
          <w:tcPr>
            <w:tcW w:w="1063" w:type="dxa"/>
            <w:tcBorders>
              <w:top w:val="single" w:color="000000" w:sz="4" w:space="0"/>
              <w:left w:val="single" w:color="000000" w:sz="4" w:space="0"/>
              <w:bottom w:val="single" w:color="000000" w:sz="4" w:space="0"/>
              <w:right w:val="single" w:color="000000" w:sz="4" w:space="0"/>
            </w:tcBorders>
          </w:tcPr>
          <w:p w14:paraId="452626DB">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MIK</w:t>
            </w:r>
          </w:p>
        </w:tc>
        <w:tc>
          <w:tcPr>
            <w:tcW w:w="4770" w:type="dxa"/>
            <w:tcBorders>
              <w:top w:val="single" w:color="000000" w:sz="4" w:space="0"/>
              <w:left w:val="single" w:color="000000" w:sz="4" w:space="0"/>
              <w:bottom w:val="single" w:color="000000" w:sz="4" w:space="0"/>
              <w:right w:val="single" w:color="000000" w:sz="4" w:space="0"/>
            </w:tcBorders>
          </w:tcPr>
          <w:p w14:paraId="059A2DB5">
            <w:pPr>
              <w:snapToGrid w:val="0"/>
              <w:spacing w:before="36" w:beforeLines="15" w:after="36" w:afterLines="15" w:line="280" w:lineRule="exact"/>
              <w:ind w:left="33" w:leftChars="15" w:right="33" w:rightChars="15"/>
              <w:jc w:val="both"/>
              <w:rPr>
                <w:rFonts w:ascii="Arial" w:hAnsi="Arial" w:eastAsia="宋体" w:cs="Arial"/>
                <w:lang w:eastAsia="zh-CN"/>
              </w:rPr>
            </w:pPr>
            <w:r>
              <w:rPr>
                <w:rFonts w:ascii="Arial" w:hAnsi="Arial" w:eastAsia="宋体" w:cs="Arial"/>
                <w:lang w:eastAsia="zh-CN"/>
              </w:rPr>
              <w:t>器械、超声波、热消融</w:t>
            </w:r>
          </w:p>
        </w:tc>
      </w:tr>
      <w:tr w14:paraId="0F3B3233">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6DB723DF">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w:t>
            </w:r>
          </w:p>
        </w:tc>
        <w:tc>
          <w:tcPr>
            <w:tcW w:w="737" w:type="dxa"/>
            <w:tcBorders>
              <w:top w:val="single" w:color="000000" w:sz="4" w:space="0"/>
              <w:left w:val="single" w:color="000000" w:sz="4" w:space="0"/>
              <w:bottom w:val="single" w:color="000000" w:sz="4" w:space="0"/>
              <w:right w:val="single" w:color="000000" w:sz="4" w:space="0"/>
            </w:tcBorders>
          </w:tcPr>
          <w:p w14:paraId="76FA55FE">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III</w:t>
            </w:r>
          </w:p>
        </w:tc>
        <w:tc>
          <w:tcPr>
            <w:tcW w:w="1063" w:type="dxa"/>
            <w:tcBorders>
              <w:top w:val="single" w:color="000000" w:sz="4" w:space="0"/>
              <w:left w:val="single" w:color="000000" w:sz="4" w:space="0"/>
              <w:bottom w:val="single" w:color="000000" w:sz="4" w:space="0"/>
              <w:right w:val="single" w:color="000000" w:sz="4" w:space="0"/>
            </w:tcBorders>
          </w:tcPr>
          <w:p w14:paraId="7A40F864">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lang w:eastAsia="zh-CN"/>
              </w:rPr>
              <w:t>M</w:t>
            </w:r>
            <w:r>
              <w:rPr>
                <w:rFonts w:ascii="Arial" w:hAnsi="Arial" w:eastAsia="宋体" w:cs="Arial"/>
                <w:sz w:val="24"/>
              </w:rPr>
              <w:t>EQ</w:t>
            </w:r>
          </w:p>
        </w:tc>
        <w:tc>
          <w:tcPr>
            <w:tcW w:w="4770" w:type="dxa"/>
            <w:tcBorders>
              <w:top w:val="single" w:color="000000" w:sz="4" w:space="0"/>
              <w:left w:val="single" w:color="000000" w:sz="4" w:space="0"/>
              <w:bottom w:val="single" w:color="000000" w:sz="4" w:space="0"/>
              <w:right w:val="single" w:color="000000" w:sz="4" w:space="0"/>
            </w:tcBorders>
          </w:tcPr>
          <w:p w14:paraId="2954304E">
            <w:pPr>
              <w:snapToGrid w:val="0"/>
              <w:spacing w:before="36" w:beforeLines="15" w:after="36" w:afterLines="15" w:line="280" w:lineRule="exact"/>
              <w:ind w:left="33" w:leftChars="15" w:right="33" w:rightChars="15"/>
              <w:jc w:val="both"/>
              <w:rPr>
                <w:rFonts w:ascii="Arial" w:hAnsi="Arial" w:eastAsia="宋体" w:cs="Arial"/>
                <w:lang w:eastAsia="zh-CN"/>
              </w:rPr>
            </w:pPr>
            <w:r>
              <w:rPr>
                <w:rFonts w:ascii="Arial" w:hAnsi="Arial" w:eastAsia="宋体" w:cs="Arial"/>
                <w:lang w:eastAsia="zh-CN"/>
              </w:rPr>
              <w:t>系统、热疗、微波（BPH）</w:t>
            </w:r>
          </w:p>
        </w:tc>
      </w:tr>
      <w:tr w14:paraId="0AC0C10C">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6D9A10E6">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w:t>
            </w:r>
          </w:p>
        </w:tc>
        <w:tc>
          <w:tcPr>
            <w:tcW w:w="737" w:type="dxa"/>
            <w:tcBorders>
              <w:top w:val="single" w:color="000000" w:sz="4" w:space="0"/>
              <w:left w:val="single" w:color="000000" w:sz="4" w:space="0"/>
              <w:bottom w:val="single" w:color="000000" w:sz="4" w:space="0"/>
              <w:right w:val="single" w:color="000000" w:sz="4" w:space="0"/>
            </w:tcBorders>
          </w:tcPr>
          <w:p w14:paraId="2B3E28E2">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III</w:t>
            </w:r>
          </w:p>
        </w:tc>
        <w:tc>
          <w:tcPr>
            <w:tcW w:w="1063" w:type="dxa"/>
            <w:tcBorders>
              <w:top w:val="single" w:color="000000" w:sz="4" w:space="0"/>
              <w:left w:val="single" w:color="000000" w:sz="4" w:space="0"/>
              <w:bottom w:val="single" w:color="000000" w:sz="4" w:space="0"/>
              <w:right w:val="single" w:color="000000" w:sz="4" w:space="0"/>
            </w:tcBorders>
          </w:tcPr>
          <w:p w14:paraId="3CEC1D28">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MER</w:t>
            </w:r>
          </w:p>
        </w:tc>
        <w:tc>
          <w:tcPr>
            <w:tcW w:w="4770" w:type="dxa"/>
            <w:tcBorders>
              <w:top w:val="single" w:color="000000" w:sz="4" w:space="0"/>
              <w:left w:val="single" w:color="000000" w:sz="4" w:space="0"/>
              <w:bottom w:val="single" w:color="000000" w:sz="4" w:space="0"/>
              <w:right w:val="single" w:color="000000" w:sz="4" w:space="0"/>
            </w:tcBorders>
          </w:tcPr>
          <w:p w14:paraId="316114E6">
            <w:pPr>
              <w:snapToGrid w:val="0"/>
              <w:spacing w:before="36" w:beforeLines="15" w:after="36" w:afterLines="15" w:line="280" w:lineRule="exact"/>
              <w:ind w:left="33" w:leftChars="15" w:right="33" w:rightChars="15"/>
              <w:jc w:val="both"/>
              <w:rPr>
                <w:rFonts w:ascii="Arial" w:hAnsi="Arial" w:eastAsia="宋体" w:cs="Arial"/>
              </w:rPr>
            </w:pPr>
            <w:r>
              <w:rPr>
                <w:rFonts w:ascii="Arial" w:hAnsi="Arial" w:eastAsia="宋体" w:cs="Arial"/>
              </w:rPr>
              <w:t>支架、尿道前列腺、永久性</w:t>
            </w:r>
          </w:p>
        </w:tc>
      </w:tr>
      <w:tr w14:paraId="17E3F269">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412E4503">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w:t>
            </w:r>
          </w:p>
        </w:tc>
        <w:tc>
          <w:tcPr>
            <w:tcW w:w="737" w:type="dxa"/>
            <w:tcBorders>
              <w:top w:val="single" w:color="000000" w:sz="4" w:space="0"/>
              <w:left w:val="single" w:color="000000" w:sz="4" w:space="0"/>
              <w:bottom w:val="single" w:color="000000" w:sz="4" w:space="0"/>
              <w:right w:val="single" w:color="000000" w:sz="4" w:space="0"/>
            </w:tcBorders>
          </w:tcPr>
          <w:p w14:paraId="049267B6">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III</w:t>
            </w:r>
          </w:p>
        </w:tc>
        <w:tc>
          <w:tcPr>
            <w:tcW w:w="1063" w:type="dxa"/>
            <w:tcBorders>
              <w:top w:val="single" w:color="000000" w:sz="4" w:space="0"/>
              <w:left w:val="single" w:color="000000" w:sz="4" w:space="0"/>
              <w:bottom w:val="single" w:color="000000" w:sz="4" w:space="0"/>
              <w:right w:val="single" w:color="000000" w:sz="4" w:space="0"/>
            </w:tcBorders>
          </w:tcPr>
          <w:p w14:paraId="3C44A64C">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NZC</w:t>
            </w:r>
          </w:p>
        </w:tc>
        <w:tc>
          <w:tcPr>
            <w:tcW w:w="4770" w:type="dxa"/>
            <w:tcBorders>
              <w:top w:val="single" w:color="000000" w:sz="4" w:space="0"/>
              <w:left w:val="single" w:color="000000" w:sz="4" w:space="0"/>
              <w:bottom w:val="single" w:color="000000" w:sz="4" w:space="0"/>
              <w:right w:val="single" w:color="000000" w:sz="4" w:space="0"/>
            </w:tcBorders>
          </w:tcPr>
          <w:p w14:paraId="227D5C55">
            <w:pPr>
              <w:snapToGrid w:val="0"/>
              <w:spacing w:before="36" w:beforeLines="15" w:after="36" w:afterLines="15" w:line="280" w:lineRule="exact"/>
              <w:ind w:left="33" w:leftChars="15" w:right="33" w:rightChars="15"/>
              <w:jc w:val="both"/>
              <w:rPr>
                <w:rFonts w:ascii="Arial" w:hAnsi="Arial" w:eastAsia="宋体" w:cs="Arial"/>
              </w:rPr>
            </w:pPr>
            <w:r>
              <w:rPr>
                <w:rFonts w:ascii="Arial" w:hAnsi="Arial" w:eastAsia="宋体" w:cs="Arial"/>
              </w:rPr>
              <w:t>支架、尿道前列腺、半永久性</w:t>
            </w:r>
          </w:p>
        </w:tc>
      </w:tr>
    </w:tbl>
    <w:p w14:paraId="7279E411">
      <w:pPr>
        <w:snapToGrid w:val="0"/>
        <w:spacing w:before="1" w:line="300" w:lineRule="auto"/>
        <w:ind w:hanging="2"/>
        <w:jc w:val="both"/>
        <w:rPr>
          <w:rFonts w:ascii="Arial" w:hAnsi="Arial" w:eastAsia="宋体" w:cs="Arial"/>
          <w:sz w:val="20"/>
          <w:szCs w:val="20"/>
          <w:lang w:eastAsia="zh-CN"/>
        </w:rPr>
      </w:pPr>
      <w:r>
        <w:rPr>
          <w:rFonts w:ascii="Arial" w:hAnsi="Arial" w:eastAsia="宋体" w:cs="Arial"/>
          <w:position w:val="10"/>
          <w:sz w:val="13"/>
          <w:szCs w:val="13"/>
          <w:lang w:eastAsia="zh-CN"/>
        </w:rPr>
        <w:t>†</w:t>
      </w:r>
      <w:r>
        <w:rPr>
          <w:rFonts w:ascii="Arial" w:hAnsi="Arial" w:eastAsia="宋体" w:cs="Arial"/>
          <w:sz w:val="20"/>
          <w:szCs w:val="20"/>
          <w:lang w:eastAsia="zh-CN"/>
        </w:rPr>
        <w:t>在发布本指南之前已获许可并具有BPH特定适应症的医疗激光器可能已被指定GEX作为产品代码。</w:t>
      </w:r>
    </w:p>
    <w:p w14:paraId="28E33F2E">
      <w:pPr>
        <w:snapToGrid w:val="0"/>
        <w:spacing w:before="5" w:line="300" w:lineRule="auto"/>
        <w:ind w:hanging="2"/>
        <w:jc w:val="both"/>
        <w:rPr>
          <w:rFonts w:ascii="Arial" w:hAnsi="Arial" w:eastAsia="宋体" w:cs="Arial"/>
          <w:sz w:val="20"/>
          <w:szCs w:val="20"/>
          <w:lang w:eastAsia="zh-CN"/>
        </w:rPr>
      </w:pPr>
      <w:r>
        <w:rPr>
          <w:rFonts w:ascii="Arial" w:hAnsi="Arial" w:eastAsia="宋体" w:cs="Arial"/>
          <w:sz w:val="24"/>
          <w:lang w:eastAsia="zh-CN"/>
        </w:rPr>
        <w:t>*</w:t>
      </w:r>
      <w:r>
        <w:rPr>
          <w:rFonts w:ascii="Arial" w:hAnsi="Arial" w:eastAsia="宋体" w:cs="Arial"/>
          <w:sz w:val="20"/>
          <w:lang w:eastAsia="zh-CN"/>
        </w:rPr>
        <w:t>这些器械是III类器械，其在</w:t>
      </w:r>
      <w:bookmarkStart w:id="9" w:name="OLE_LINK1"/>
      <w:bookmarkStart w:id="10" w:name="OLE_LINK2"/>
      <w:r>
        <w:rPr>
          <w:rFonts w:ascii="Arial" w:hAnsi="Arial" w:eastAsia="宋体" w:cs="Arial"/>
          <w:sz w:val="20"/>
          <w:lang w:eastAsia="zh-CN"/>
        </w:rPr>
        <w:t>上市前</w:t>
      </w:r>
      <w:bookmarkEnd w:id="9"/>
      <w:bookmarkEnd w:id="10"/>
      <w:r>
        <w:rPr>
          <w:rFonts w:ascii="Arial" w:hAnsi="Arial" w:eastAsia="宋体" w:cs="Arial"/>
          <w:sz w:val="20"/>
          <w:lang w:eastAsia="zh-CN"/>
        </w:rPr>
        <w:t>需要提交上市前批准申请（美国联邦食品、药品和化妆品法案第513（a）节（21 U.S.C. 360c（a））。</w:t>
      </w:r>
    </w:p>
    <w:p w14:paraId="6E05EB13">
      <w:pPr>
        <w:snapToGrid w:val="0"/>
        <w:spacing w:before="12" w:line="300" w:lineRule="auto"/>
        <w:jc w:val="both"/>
        <w:rPr>
          <w:rFonts w:ascii="Arial" w:hAnsi="Arial" w:eastAsia="宋体" w:cs="Arial"/>
          <w:sz w:val="23"/>
          <w:szCs w:val="23"/>
          <w:lang w:eastAsia="zh-CN"/>
        </w:rPr>
      </w:pPr>
    </w:p>
    <w:p w14:paraId="374FE8A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非临床建议仅适用于II类和III类器械。这些建议为以下方面提供了一个框架：用于在510（k）上市前通告中证明实质等同性的性能试验、用于证明安全性和理念证明以申请器械临床研究豁免（IDE）的台架试验，或用于支持上市前批准申请（PMA）中的安全性和有效性的综合器械评价。</w:t>
      </w:r>
    </w:p>
    <w:p w14:paraId="7117FB33">
      <w:pPr>
        <w:snapToGrid w:val="0"/>
        <w:spacing w:before="8" w:line="300" w:lineRule="auto"/>
        <w:jc w:val="both"/>
        <w:rPr>
          <w:rFonts w:ascii="Arial" w:hAnsi="Arial" w:eastAsia="宋体" w:cs="Arial"/>
          <w:sz w:val="23"/>
          <w:szCs w:val="23"/>
          <w:lang w:eastAsia="zh-CN"/>
        </w:rPr>
      </w:pPr>
    </w:p>
    <w:p w14:paraId="23E4C2FC">
      <w:pPr>
        <w:widowControl/>
        <w:rPr>
          <w:rFonts w:ascii="Arial" w:hAnsi="Arial" w:eastAsia="宋体" w:cs="Arial"/>
          <w:sz w:val="24"/>
          <w:szCs w:val="24"/>
          <w:lang w:eastAsia="zh-CN"/>
        </w:rPr>
      </w:pPr>
      <w:r>
        <w:rPr>
          <w:rFonts w:ascii="Arial" w:hAnsi="Arial" w:eastAsia="宋体" w:cs="Arial"/>
          <w:lang w:eastAsia="zh-CN"/>
        </w:rPr>
        <w:br w:type="page"/>
      </w:r>
    </w:p>
    <w:p w14:paraId="0969FFA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本指南中的临床建议不适用于审查II类器械的510（k）上市前通告，其中，此类器械在传统上一般用于BPH的手术治疗，例如切割回路或解剖刀。此外，临床建议可能不适用于指定用于治疗BPH的一些II类器械，其中，此类器械使用已确定的技术，且可以在没有临床数据的情况下证明实质等同性。</w:t>
      </w:r>
      <w:r>
        <w:rPr>
          <w:rFonts w:ascii="Arial" w:hAnsi="Arial" w:eastAsia="宋体" w:cs="Arial"/>
          <w:vertAlign w:val="superscript"/>
          <w:lang w:eastAsia="zh-CN"/>
        </w:rPr>
        <w:t>8</w:t>
      </w:r>
    </w:p>
    <w:p w14:paraId="40711A27">
      <w:pPr>
        <w:snapToGrid w:val="0"/>
        <w:spacing w:before="7" w:line="300" w:lineRule="auto"/>
        <w:jc w:val="both"/>
        <w:rPr>
          <w:rFonts w:ascii="Arial" w:hAnsi="Arial" w:eastAsia="宋体" w:cs="Arial"/>
          <w:sz w:val="24"/>
          <w:szCs w:val="24"/>
          <w:lang w:eastAsia="zh-CN"/>
        </w:rPr>
      </w:pPr>
    </w:p>
    <w:p w14:paraId="1FA9DB0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食品、药品和化妆品法案第513（a）（1）（B）节允许本审查机构制定指南以用于根据510（k）提交临床数据“以便对该器械的安全性和有效性提供合理保证”。对于一些II类器械，应提交临床数据来支持治疗BPH（或任何等同术语）的适应症，并且其可能是支持510（k）上市前通告中的实质等同性所必需的。如果贵公司计划收集临床性能数据，以支持批准或许可具有新技术特性、新适应症或特定标签和上市声明的器械，我们建议贵公司在设计临床研究时解决本指导性文件中讨论的考虑因素。</w:t>
      </w:r>
    </w:p>
    <w:p w14:paraId="6ED965A1">
      <w:pPr>
        <w:snapToGrid w:val="0"/>
        <w:spacing w:before="7" w:line="300" w:lineRule="auto"/>
        <w:jc w:val="both"/>
        <w:rPr>
          <w:rFonts w:ascii="Arial" w:hAnsi="Arial" w:eastAsia="宋体" w:cs="Arial"/>
          <w:sz w:val="23"/>
          <w:szCs w:val="23"/>
          <w:lang w:eastAsia="zh-CN"/>
        </w:rPr>
      </w:pPr>
    </w:p>
    <w:p w14:paraId="64EA712D">
      <w:pPr>
        <w:pStyle w:val="6"/>
        <w:snapToGrid w:val="0"/>
        <w:spacing w:before="214" w:line="300" w:lineRule="auto"/>
        <w:ind w:left="0"/>
        <w:jc w:val="both"/>
        <w:rPr>
          <w:rFonts w:ascii="Arial" w:hAnsi="Arial" w:eastAsia="宋体" w:cs="Arial"/>
          <w:sz w:val="16"/>
          <w:szCs w:val="16"/>
          <w:lang w:eastAsia="zh-CN"/>
        </w:rPr>
      </w:pPr>
      <w:r>
        <w:rPr>
          <w:rFonts w:ascii="Arial" w:hAnsi="Arial" w:eastAsia="宋体" w:cs="Arial"/>
          <w:lang w:eastAsia="zh-CN"/>
        </w:rPr>
        <w:t>如果需要进行临床研究，研究必须根据器械临床研究豁免（IDE），21 CFR第812部分的要求进行。我们认为本指南涉及的大部分器械是21 CFR 812.3（m ）中所定义的重大风险器械。</w:t>
      </w:r>
      <w:r>
        <w:rPr>
          <w:rFonts w:ascii="Arial" w:hAnsi="Arial" w:eastAsia="宋体" w:cs="Arial"/>
          <w:vertAlign w:val="superscript"/>
          <w:lang w:eastAsia="zh-CN"/>
        </w:rPr>
        <w:t>9</w:t>
      </w:r>
      <w:r>
        <w:rPr>
          <w:rFonts w:ascii="Arial" w:hAnsi="Arial" w:eastAsia="宋体" w:cs="Arial"/>
          <w:lang w:eastAsia="zh-CN"/>
        </w:rPr>
        <w:t>除了要求获得FDA批准的IDE申请外，此类试验的申办方必须遵守有关机构审查委员会（21 CFR 第56部分）和知情同意书（21 CFR Part 50）的规定。</w:t>
      </w:r>
      <w:r>
        <w:rPr>
          <w:rFonts w:ascii="Arial" w:hAnsi="Arial" w:eastAsia="宋体" w:cs="Arial"/>
          <w:vertAlign w:val="superscript"/>
          <w:lang w:eastAsia="zh-CN"/>
        </w:rPr>
        <w:t>10、11</w:t>
      </w:r>
    </w:p>
    <w:p w14:paraId="2D60A8DE">
      <w:pPr>
        <w:snapToGrid w:val="0"/>
        <w:spacing w:line="300" w:lineRule="auto"/>
        <w:jc w:val="both"/>
        <w:rPr>
          <w:rFonts w:ascii="Arial" w:hAnsi="Arial" w:eastAsia="宋体" w:cs="Arial"/>
          <w:sz w:val="20"/>
          <w:szCs w:val="20"/>
          <w:lang w:eastAsia="zh-CN"/>
        </w:rPr>
      </w:pPr>
    </w:p>
    <w:p w14:paraId="64A64C6F">
      <w:pPr>
        <w:snapToGrid w:val="0"/>
        <w:spacing w:line="300" w:lineRule="auto"/>
        <w:jc w:val="both"/>
        <w:rPr>
          <w:rFonts w:ascii="Arial" w:hAnsi="Arial" w:eastAsia="宋体" w:cs="Arial"/>
          <w:sz w:val="20"/>
          <w:szCs w:val="20"/>
          <w:lang w:eastAsia="zh-CN"/>
        </w:rPr>
      </w:pPr>
    </w:p>
    <w:p w14:paraId="1FEFCE2E">
      <w:pPr>
        <w:snapToGrid w:val="0"/>
        <w:spacing w:before="9" w:line="300" w:lineRule="auto"/>
        <w:jc w:val="both"/>
        <w:rPr>
          <w:rFonts w:ascii="Arial" w:hAnsi="Arial" w:eastAsia="宋体" w:cs="Arial"/>
          <w:sz w:val="21"/>
          <w:szCs w:val="21"/>
          <w:lang w:eastAsia="zh-CN"/>
        </w:rPr>
      </w:pPr>
    </w:p>
    <w:p w14:paraId="6D0ABC27">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67" name="Group 6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68" name="Group 66"/>
                        <wpg:cNvGrpSpPr/>
                        <wpg:grpSpPr>
                          <a:xfrm>
                            <a:off x="6" y="6"/>
                            <a:ext cx="2880" cy="2"/>
                            <a:chOff x="6" y="6"/>
                            <a:chExt cx="2880" cy="2"/>
                          </a:xfrm>
                        </wpg:grpSpPr>
                        <wps:wsp>
                          <wps:cNvPr id="69" name="Freeform 6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6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nEU8AxsDAAD+BwAADgAAAAAAAAABACAAAAAjAQAAZHJzL2Uyb0Rv&#10;Yy54bWxQSwUGAAAAAAYABgBZAQAAsAYAAAAA&#10;">
                <o:lock v:ext="edit" aspectratio="f"/>
                <v:group id="Group 66" o:spid="_x0000_s1026" o:spt="203" style="position:absolute;left:6;top:6;height:2;width:2880;" coordorigin="6,6" coordsize="2880,2"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Freeform 67" o:spid="_x0000_s1026" o:spt="100" style="position:absolute;left:6;top:6;height:2;width:2880;" filled="f" stroked="t" coordsize="2880,1" o:gfxdata="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DRd2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FAD6388">
      <w:pPr>
        <w:widowControl/>
        <w:snapToGrid w:val="0"/>
        <w:spacing w:before="45" w:after="45" w:line="300" w:lineRule="auto"/>
        <w:jc w:val="both"/>
        <w:rPr>
          <w:rFonts w:ascii="Arial" w:hAnsi="Arial" w:eastAsia="宋体" w:cs="Arial"/>
          <w:color w:val="313131"/>
          <w:sz w:val="18"/>
          <w:szCs w:val="18"/>
          <w:lang w:eastAsia="zh-CN"/>
        </w:rPr>
      </w:pPr>
      <w:bookmarkStart w:id="11" w:name="_bookmark9"/>
      <w:bookmarkEnd w:id="11"/>
      <w:r>
        <w:rPr>
          <w:rFonts w:ascii="Arial" w:hAnsi="Arial" w:eastAsia="宋体" w:cs="Arial"/>
          <w:position w:val="11"/>
          <w:sz w:val="16"/>
          <w:lang w:eastAsia="zh-CN"/>
        </w:rPr>
        <w:t>8</w:t>
      </w:r>
      <w:r>
        <w:rPr>
          <w:rFonts w:ascii="Arial" w:hAnsi="Arial" w:eastAsia="宋体" w:cs="Arial"/>
          <w:sz w:val="24"/>
          <w:szCs w:val="24"/>
          <w:lang w:eastAsia="zh-CN"/>
        </w:rPr>
        <w:t>1995年9月29日，本审查机构发行了有关专门用于治疗良性前列腺增生症的一般用途激光器的临床研究政策和指南草案。该政策指出，除了标准台架和动物试验之外，必须提供临床数据来支持前列腺切除术、BPH治疗或等同项的适应症，直到要求提供此类数据的大量知识已过时。目前，我们认为，应通过510（k）针对具体适应症（包括治疗BPH或等同适应症（例如，前列腺切除术或直视前列腺激光凝固疗法 ））继续评价批准用于在泌尿道中切除、切除、汽化和凝固软组织的医用激光器。设计和操作特性与已合法上市的比较器械相似的激光器可以在未提供临床数据的情况下证明实质等同性。然而，本审查机构可能要求为具有显著不同技术特性的激光器提供临床数据，或用于支持声称或暗示优于另一器械或治疗的上市或标签声明。</w:t>
      </w:r>
    </w:p>
    <w:p w14:paraId="2D48C4C1">
      <w:pPr>
        <w:pStyle w:val="6"/>
        <w:snapToGrid w:val="0"/>
        <w:spacing w:before="4" w:line="300" w:lineRule="auto"/>
        <w:ind w:left="0"/>
        <w:rPr>
          <w:rFonts w:ascii="Arial" w:hAnsi="Arial" w:eastAsia="宋体" w:cs="Arial"/>
          <w:color w:val="0000FF"/>
          <w:u w:val="single" w:color="0000FF"/>
        </w:rPr>
      </w:pPr>
      <w:bookmarkStart w:id="12" w:name="_bookmark10"/>
      <w:bookmarkEnd w:id="12"/>
      <w:r>
        <w:rPr>
          <w:rFonts w:ascii="Arial" w:hAnsi="Arial" w:eastAsia="宋体" w:cs="Arial"/>
          <w:position w:val="11"/>
          <w:sz w:val="16"/>
          <w:szCs w:val="16"/>
        </w:rPr>
        <w:t xml:space="preserve">9 </w:t>
      </w:r>
      <w:r>
        <w:rPr>
          <w:rFonts w:ascii="Arial" w:hAnsi="Arial" w:eastAsia="宋体" w:cs="Arial"/>
        </w:rPr>
        <w:t>有关其他</w:t>
      </w:r>
      <w:r>
        <w:rPr>
          <w:rFonts w:ascii="Arial" w:hAnsi="Arial" w:eastAsia="宋体" w:cs="Arial"/>
          <w:lang w:eastAsia="zh-CN"/>
        </w:rPr>
        <w:t>指南</w:t>
      </w:r>
      <w:r>
        <w:rPr>
          <w:rFonts w:ascii="Arial" w:hAnsi="Arial" w:eastAsia="宋体" w:cs="Arial"/>
        </w:rPr>
        <w:t>，请参阅</w:t>
      </w:r>
      <w:r>
        <w:rPr>
          <w:rFonts w:ascii="Arial" w:hAnsi="Arial" w:eastAsia="宋体" w:cs="Arial"/>
          <w:lang w:eastAsia="zh-CN"/>
        </w:rPr>
        <w:t>标题</w:t>
      </w:r>
      <w:r>
        <w:rPr>
          <w:rFonts w:ascii="Arial" w:hAnsi="Arial" w:eastAsia="宋体" w:cs="Arial"/>
        </w:rPr>
        <w:t>为“重大风险和</w:t>
      </w:r>
      <w:r>
        <w:rPr>
          <w:rFonts w:ascii="Arial" w:hAnsi="Arial" w:eastAsia="宋体" w:cs="Arial"/>
          <w:lang w:eastAsia="zh-CN"/>
        </w:rPr>
        <w:t>非</w:t>
      </w:r>
      <w:r>
        <w:rPr>
          <w:rFonts w:ascii="Arial" w:hAnsi="Arial" w:eastAsia="宋体" w:cs="Arial"/>
        </w:rPr>
        <w:t>重大风险医疗器械研究”的蓝皮书备忘录</w:t>
      </w:r>
      <w:r>
        <w:rPr>
          <w:rFonts w:ascii="Arial" w:hAnsi="Arial" w:eastAsia="宋体" w:cs="Arial"/>
          <w:lang w:eastAsia="zh-CN"/>
        </w:rPr>
        <w:t>，网址为：</w:t>
      </w:r>
      <w:r>
        <w:rPr>
          <w:rFonts w:ascii="Arial" w:hAnsi="Arial" w:eastAsia="宋体" w:cs="Arial"/>
          <w:color w:val="0000FF"/>
          <w:u w:val="single"/>
        </w:rPr>
        <w:t>http：//www.fda.gov/downloads/ScienceResea rch/SpecialTopics/RunningClinicalTrials/GuidancesInformationSheets和Notice/UCM1180 82.pdf</w:t>
      </w:r>
      <w:r>
        <w:rPr>
          <w:rFonts w:ascii="Arial" w:hAnsi="Arial" w:eastAsia="宋体" w:cs="Arial"/>
          <w:lang w:eastAsia="zh-CN"/>
        </w:rPr>
        <w:t>。</w:t>
      </w:r>
    </w:p>
    <w:p w14:paraId="271EADD6">
      <w:pPr>
        <w:pStyle w:val="6"/>
        <w:snapToGrid w:val="0"/>
        <w:spacing w:before="4" w:line="300" w:lineRule="auto"/>
        <w:ind w:left="0"/>
        <w:jc w:val="both"/>
        <w:rPr>
          <w:rFonts w:ascii="Arial" w:hAnsi="Arial" w:eastAsia="宋体" w:cs="Arial"/>
          <w:lang w:eastAsia="zh-CN"/>
        </w:rPr>
      </w:pPr>
    </w:p>
    <w:p w14:paraId="78D913B2">
      <w:pPr>
        <w:snapToGrid w:val="0"/>
        <w:spacing w:line="300" w:lineRule="auto"/>
        <w:jc w:val="both"/>
        <w:rPr>
          <w:rFonts w:ascii="Arial" w:hAnsi="Arial" w:eastAsia="宋体" w:cs="Arial"/>
          <w:sz w:val="20"/>
          <w:szCs w:val="20"/>
        </w:rPr>
      </w:pPr>
    </w:p>
    <w:p w14:paraId="04F90AEB">
      <w:pPr>
        <w:snapToGrid w:val="0"/>
        <w:spacing w:line="300" w:lineRule="auto"/>
        <w:jc w:val="both"/>
        <w:rPr>
          <w:rFonts w:ascii="Arial" w:hAnsi="Arial" w:eastAsia="宋体" w:cs="Arial"/>
          <w:sz w:val="28"/>
          <w:szCs w:val="28"/>
        </w:rPr>
      </w:pPr>
    </w:p>
    <w:p w14:paraId="7114D9DB">
      <w:pPr>
        <w:pStyle w:val="2"/>
        <w:numPr>
          <w:ilvl w:val="0"/>
          <w:numId w:val="1"/>
        </w:numPr>
        <w:tabs>
          <w:tab w:val="left" w:pos="696"/>
        </w:tabs>
        <w:snapToGrid w:val="0"/>
        <w:spacing w:before="250" w:after="240" w:afterLines="100" w:line="300" w:lineRule="auto"/>
        <w:ind w:left="578" w:hanging="578"/>
        <w:jc w:val="both"/>
        <w:rPr>
          <w:rFonts w:ascii="Arial" w:hAnsi="Arial" w:eastAsia="宋体" w:cs="Arial"/>
          <w:b w:val="0"/>
          <w:bCs w:val="0"/>
        </w:rPr>
      </w:pPr>
      <w:bookmarkStart w:id="13" w:name="_Toc481595891"/>
      <w:r>
        <w:rPr>
          <w:rFonts w:ascii="Arial" w:hAnsi="Arial" w:eastAsia="宋体" w:cs="Arial"/>
        </w:rPr>
        <w:t>非临床试验建议</w:t>
      </w:r>
      <w:bookmarkEnd w:id="13"/>
    </w:p>
    <w:p w14:paraId="75307E5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在应用于人类之前，必须证明该器械将在其使用环境中正常工作。医疗器械的设计涉及制定和验证一系列规格，其中，这些规格定义了该器械的基本安全性和性能要求。大多数设计规格可在非临床试验中得到验证，其中允许在受控情况下对器械功能和安全性进行评价。另外，综合性非临床系列试验可为评价器械的未来更改提供基础。我们建议提供具有既定性能限制（即，</w:t>
      </w:r>
      <w:r>
        <w:rPr>
          <w:rFonts w:hint="eastAsia" w:ascii="Arial" w:hAnsi="Arial" w:eastAsia="宋体" w:cs="Arial"/>
          <w:lang w:eastAsia="zh-CN"/>
        </w:rPr>
        <w:t>质量标准</w:t>
      </w:r>
      <w:r>
        <w:rPr>
          <w:rFonts w:ascii="Arial" w:hAnsi="Arial" w:eastAsia="宋体" w:cs="Arial"/>
          <w:lang w:eastAsia="zh-CN"/>
        </w:rPr>
        <w:t>）的全面非临床试验，以支持用于旨在治疗BPH的新器械的IDE申请、PMA申请或510（k）提交资料。</w:t>
      </w:r>
    </w:p>
    <w:p w14:paraId="771BDD19">
      <w:pPr>
        <w:snapToGrid w:val="0"/>
        <w:spacing w:before="12" w:line="300" w:lineRule="auto"/>
        <w:jc w:val="both"/>
        <w:rPr>
          <w:rFonts w:ascii="Arial" w:hAnsi="Arial" w:eastAsia="宋体" w:cs="Arial"/>
          <w:sz w:val="23"/>
          <w:szCs w:val="23"/>
          <w:lang w:eastAsia="zh-CN"/>
        </w:rPr>
      </w:pPr>
    </w:p>
    <w:p w14:paraId="7EE2317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本节将介绍通常已足以支持旨在治疗BPH的器械的申请的试验类型。但并不是所有下述问题和试验均适用于每一旨在治疗BPH的新器械，且根据其设计和操作机制，未在以下列出的其他问题或试验也可能适用于贵公司的器械。</w:t>
      </w:r>
    </w:p>
    <w:p w14:paraId="72D365C7">
      <w:pPr>
        <w:snapToGrid w:val="0"/>
        <w:spacing w:before="12" w:line="300" w:lineRule="auto"/>
        <w:jc w:val="both"/>
        <w:rPr>
          <w:rFonts w:ascii="Arial" w:hAnsi="Arial" w:eastAsia="宋体" w:cs="Arial"/>
          <w:sz w:val="23"/>
          <w:szCs w:val="23"/>
          <w:lang w:eastAsia="zh-CN"/>
        </w:rPr>
      </w:pPr>
    </w:p>
    <w:p w14:paraId="53FD9DC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器械制定非临床试验计划时，鼓励尝试使用与器械相关方面直接或间接相关的其他指导性文件和一致标准。例如，某些通常用于测试导尿管性能特性的方法可能适用于旨在治疗BPH的器械，例如经尿道微波热疗法（TUMT）施用器。如果在制定非临床试验计划时使用了其他指南或一致标准，我们建议提供一个明确的理由，说明该指南或一致标准如何与贵公司的器械相关。</w:t>
      </w:r>
    </w:p>
    <w:p w14:paraId="631C87BD">
      <w:pPr>
        <w:snapToGrid w:val="0"/>
        <w:spacing w:line="300" w:lineRule="auto"/>
        <w:jc w:val="both"/>
        <w:rPr>
          <w:rFonts w:ascii="Arial" w:hAnsi="Arial" w:eastAsia="宋体" w:cs="Arial"/>
          <w:sz w:val="20"/>
          <w:szCs w:val="20"/>
          <w:lang w:eastAsia="zh-CN"/>
        </w:rPr>
      </w:pPr>
    </w:p>
    <w:p w14:paraId="7512E361">
      <w:pPr>
        <w:snapToGrid w:val="0"/>
        <w:spacing w:line="300" w:lineRule="auto"/>
        <w:jc w:val="both"/>
        <w:rPr>
          <w:rFonts w:ascii="Arial" w:hAnsi="Arial" w:eastAsia="宋体" w:cs="Arial"/>
          <w:sz w:val="20"/>
          <w:szCs w:val="20"/>
          <w:lang w:eastAsia="zh-CN"/>
        </w:rPr>
      </w:pPr>
    </w:p>
    <w:p w14:paraId="58B1C152">
      <w:pPr>
        <w:snapToGrid w:val="0"/>
        <w:spacing w:line="300" w:lineRule="auto"/>
        <w:jc w:val="both"/>
        <w:rPr>
          <w:rFonts w:ascii="Arial" w:hAnsi="Arial" w:eastAsia="宋体" w:cs="Arial"/>
          <w:sz w:val="20"/>
          <w:szCs w:val="20"/>
          <w:lang w:eastAsia="zh-CN"/>
        </w:rPr>
      </w:pPr>
    </w:p>
    <w:p w14:paraId="541D41B9">
      <w:pPr>
        <w:snapToGrid w:val="0"/>
        <w:spacing w:before="2" w:line="300" w:lineRule="auto"/>
        <w:jc w:val="both"/>
        <w:rPr>
          <w:rFonts w:ascii="Arial" w:hAnsi="Arial" w:eastAsia="宋体" w:cs="Arial"/>
          <w:sz w:val="26"/>
          <w:szCs w:val="26"/>
          <w:lang w:eastAsia="zh-CN"/>
        </w:rPr>
      </w:pPr>
    </w:p>
    <w:p w14:paraId="3577F3AD">
      <w:pPr>
        <w:snapToGrid w:val="0"/>
        <w:spacing w:before="2" w:line="300" w:lineRule="auto"/>
        <w:jc w:val="both"/>
        <w:rPr>
          <w:rFonts w:ascii="Arial" w:hAnsi="Arial" w:eastAsia="宋体" w:cs="Arial"/>
          <w:sz w:val="26"/>
          <w:szCs w:val="26"/>
          <w:lang w:eastAsia="zh-CN"/>
        </w:rPr>
      </w:pPr>
    </w:p>
    <w:p w14:paraId="1B0C43F6">
      <w:pPr>
        <w:snapToGrid w:val="0"/>
        <w:spacing w:before="2" w:line="300" w:lineRule="auto"/>
        <w:jc w:val="both"/>
        <w:rPr>
          <w:rFonts w:ascii="Arial" w:hAnsi="Arial" w:eastAsia="宋体" w:cs="Arial"/>
          <w:sz w:val="26"/>
          <w:szCs w:val="26"/>
          <w:lang w:eastAsia="zh-CN"/>
        </w:rPr>
      </w:pPr>
    </w:p>
    <w:p w14:paraId="795BC5EE">
      <w:pPr>
        <w:snapToGrid w:val="0"/>
        <w:spacing w:before="2" w:line="300" w:lineRule="auto"/>
        <w:jc w:val="both"/>
        <w:rPr>
          <w:rFonts w:ascii="Arial" w:hAnsi="Arial" w:eastAsia="宋体" w:cs="Arial"/>
          <w:sz w:val="26"/>
          <w:szCs w:val="26"/>
          <w:lang w:eastAsia="zh-CN"/>
        </w:rPr>
      </w:pPr>
    </w:p>
    <w:p w14:paraId="7B3D8A23">
      <w:pPr>
        <w:snapToGrid w:val="0"/>
        <w:spacing w:before="2" w:line="300" w:lineRule="auto"/>
        <w:jc w:val="both"/>
        <w:rPr>
          <w:rFonts w:ascii="Arial" w:hAnsi="Arial" w:eastAsia="宋体" w:cs="Arial"/>
          <w:sz w:val="26"/>
          <w:szCs w:val="26"/>
          <w:lang w:eastAsia="zh-CN"/>
        </w:rPr>
      </w:pPr>
    </w:p>
    <w:p w14:paraId="3A5605F4">
      <w:pPr>
        <w:snapToGrid w:val="0"/>
        <w:spacing w:before="2" w:line="300" w:lineRule="auto"/>
        <w:jc w:val="both"/>
        <w:rPr>
          <w:rFonts w:ascii="Arial" w:hAnsi="Arial" w:eastAsia="宋体" w:cs="Arial"/>
          <w:sz w:val="26"/>
          <w:szCs w:val="26"/>
          <w:lang w:eastAsia="zh-CN"/>
        </w:rPr>
      </w:pPr>
    </w:p>
    <w:p w14:paraId="593E8355">
      <w:pPr>
        <w:snapToGrid w:val="0"/>
        <w:spacing w:before="2" w:line="300" w:lineRule="auto"/>
        <w:jc w:val="both"/>
        <w:rPr>
          <w:rFonts w:ascii="Arial" w:hAnsi="Arial" w:eastAsia="宋体" w:cs="Arial"/>
          <w:sz w:val="26"/>
          <w:szCs w:val="26"/>
          <w:lang w:eastAsia="zh-CN"/>
        </w:rPr>
      </w:pPr>
    </w:p>
    <w:p w14:paraId="7644E425">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350" r="1905" b="5080"/>
                <wp:docPr id="64" name="Group 6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65" name="Group 63"/>
                        <wpg:cNvGrpSpPr/>
                        <wpg:grpSpPr>
                          <a:xfrm>
                            <a:off x="6" y="6"/>
                            <a:ext cx="2880" cy="2"/>
                            <a:chOff x="6" y="6"/>
                            <a:chExt cx="2880" cy="2"/>
                          </a:xfrm>
                        </wpg:grpSpPr>
                        <wps:wsp>
                          <wps:cNvPr id="66" name="Freeform 6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6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DHaOa6GgMAAP4HAAAOAAAAAAAAAAEAIAAAACMBAABkcnMvZTJvRG9j&#10;LnhtbFBLBQYAAAAABgAGAFkBAACvBgAAAAA=&#10;">
                <o:lock v:ext="edit" aspectratio="f"/>
                <v:group id="Group 63" o:spid="_x0000_s1026" o:spt="203" style="position:absolute;left:6;top:6;height:2;width:2880;" coordorigin="6,6" coordsize="2880,2"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shape id="Freeform 64" o:spid="_x0000_s1026" o:spt="100" style="position:absolute;left:6;top:6;height:2;width:2880;" filled="f" stroked="t" coordsize="2880,1" o:gfxdata="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3NGv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A447D99">
      <w:pPr>
        <w:pStyle w:val="6"/>
        <w:snapToGrid w:val="0"/>
        <w:spacing w:before="59" w:line="300" w:lineRule="auto"/>
        <w:ind w:left="0"/>
        <w:jc w:val="both"/>
        <w:rPr>
          <w:rFonts w:ascii="Arial" w:hAnsi="Arial" w:eastAsia="宋体" w:cs="Arial"/>
          <w:lang w:eastAsia="zh-CN"/>
        </w:rPr>
      </w:pPr>
      <w:bookmarkStart w:id="14" w:name="_bookmark12"/>
      <w:bookmarkEnd w:id="14"/>
      <w:r>
        <w:rPr>
          <w:rFonts w:ascii="Arial" w:hAnsi="Arial" w:eastAsia="宋体" w:cs="Arial"/>
          <w:position w:val="11"/>
          <w:sz w:val="16"/>
          <w:lang w:eastAsia="zh-CN"/>
        </w:rPr>
        <w:t>10</w:t>
      </w:r>
      <w:r>
        <w:rPr>
          <w:rFonts w:ascii="Arial" w:hAnsi="Arial" w:eastAsia="宋体" w:cs="Arial"/>
          <w:lang w:eastAsia="zh-CN"/>
        </w:rPr>
        <w:t>对于非重大风险器械，临床研究的申办方仍然必须遵守有关机构审查委员会（21 CRF 56）和知情同意书（21 CFR 50）的法规。</w:t>
      </w:r>
    </w:p>
    <w:p w14:paraId="61275CD1">
      <w:pPr>
        <w:pStyle w:val="6"/>
        <w:snapToGrid w:val="0"/>
        <w:spacing w:before="4" w:line="300" w:lineRule="auto"/>
        <w:ind w:left="0"/>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bookmarkStart w:id="15" w:name="_bookmark13"/>
      <w:bookmarkEnd w:id="15"/>
      <w:r>
        <w:rPr>
          <w:rFonts w:ascii="Arial" w:hAnsi="Arial" w:eastAsia="宋体" w:cs="Arial"/>
          <w:position w:val="11"/>
          <w:sz w:val="16"/>
          <w:lang w:eastAsia="zh-CN"/>
        </w:rPr>
        <w:t>11</w:t>
      </w:r>
      <w:r>
        <w:rPr>
          <w:rFonts w:ascii="Arial" w:hAnsi="Arial" w:eastAsia="宋体" w:cs="Arial"/>
          <w:lang w:eastAsia="zh-CN"/>
        </w:rPr>
        <w:t>贵公司应审查适用临床试验的法律定义，以确定贵公司的试验是否必须登记以符合该法案的规定。请参见PL 110-85，第801（a）节，（加入新的42U.S.C.282（j）（1）（A））。网址为：http：//frwebgate.access.gpo.gov/cgi-bin/getdoc.cgi？dbname= 110_cong_public_laws＆docid = f：publ085.110.pdf。贵公司可以使用方案登记系统（PRS）将信息提交给ClinicalTrials.gov。有关更多信息，请访问PRS信息页面（http：//prsinfo.clinicaltrials.gov）。</w:t>
      </w:r>
    </w:p>
    <w:p w14:paraId="7E2B69B4">
      <w:pPr>
        <w:pStyle w:val="3"/>
        <w:numPr>
          <w:ilvl w:val="1"/>
          <w:numId w:val="1"/>
        </w:numPr>
        <w:tabs>
          <w:tab w:val="left" w:pos="1199"/>
          <w:tab w:val="left" w:pos="1200"/>
        </w:tabs>
        <w:snapToGrid w:val="0"/>
        <w:spacing w:before="218" w:line="300" w:lineRule="auto"/>
        <w:ind w:left="720"/>
        <w:jc w:val="both"/>
        <w:rPr>
          <w:rFonts w:ascii="Arial" w:hAnsi="Arial" w:eastAsia="宋体" w:cs="Arial"/>
          <w:b w:val="0"/>
          <w:bCs w:val="0"/>
        </w:rPr>
      </w:pPr>
      <w:bookmarkStart w:id="16" w:name="A._Material_Safety"/>
      <w:bookmarkEnd w:id="16"/>
      <w:bookmarkStart w:id="17" w:name="_bookmark14"/>
      <w:bookmarkEnd w:id="17"/>
      <w:bookmarkStart w:id="18" w:name="_Toc481595892"/>
      <w:r>
        <w:rPr>
          <w:rFonts w:ascii="Arial" w:hAnsi="Arial" w:eastAsia="宋体" w:cs="Arial"/>
        </w:rPr>
        <w:t>材料安全</w:t>
      </w:r>
      <w:bookmarkEnd w:id="18"/>
    </w:p>
    <w:p w14:paraId="2D92ED78">
      <w:pPr>
        <w:snapToGrid w:val="0"/>
        <w:spacing w:before="1" w:line="300" w:lineRule="auto"/>
        <w:jc w:val="both"/>
        <w:rPr>
          <w:rFonts w:ascii="Arial" w:hAnsi="Arial" w:eastAsia="宋体" w:cs="Arial"/>
          <w:b/>
          <w:bCs/>
          <w:sz w:val="24"/>
          <w:szCs w:val="24"/>
        </w:rPr>
      </w:pPr>
    </w:p>
    <w:p w14:paraId="0CC3471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建议提供数据或信息，支持器械的所有患者接触组件的材料安全性。因为加工、制造和灭菌中的步骤可能引入原材料组分中不存在的新材料以及潜在有害的介质，所以难以仅基于比较器械或原材料的安全性来支持器械的材料安全性。因此，为了证明器械的材料安全性，我们建议贵公司根据公认标准以及适用的FDA指南对贵公司器械的患者接触组件进行生物相容性试验，其中，此类组件应处于最终、完全处理、包装和灭菌形式。</w:t>
      </w:r>
    </w:p>
    <w:p w14:paraId="42720197">
      <w:pPr>
        <w:snapToGrid w:val="0"/>
        <w:spacing w:before="1" w:line="300" w:lineRule="auto"/>
        <w:jc w:val="both"/>
        <w:rPr>
          <w:rFonts w:ascii="Arial" w:hAnsi="Arial" w:eastAsia="宋体" w:cs="Arial"/>
          <w:sz w:val="25"/>
          <w:szCs w:val="25"/>
          <w:lang w:eastAsia="zh-CN"/>
        </w:rPr>
      </w:pPr>
    </w:p>
    <w:p w14:paraId="7A4EB96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对于有关选择生物相容性试验的指南，请参阅蓝皮书备忘录编号G95-1：“国际标准ISO-10993的应用，‘医疗器械的生物学评价，第1部分：评价与试验’”（1995年5月1日）。</w:t>
      </w:r>
      <w:r>
        <w:rPr>
          <w:rFonts w:ascii="Arial" w:hAnsi="Arial" w:eastAsia="宋体" w:cs="Arial"/>
          <w:vertAlign w:val="superscript"/>
          <w:lang w:eastAsia="zh-CN"/>
        </w:rPr>
        <w:t>12</w:t>
      </w:r>
    </w:p>
    <w:p w14:paraId="60DFAC37">
      <w:pPr>
        <w:pStyle w:val="6"/>
        <w:snapToGrid w:val="0"/>
        <w:spacing w:line="300" w:lineRule="auto"/>
        <w:ind w:left="0"/>
        <w:jc w:val="both"/>
        <w:rPr>
          <w:rFonts w:ascii="Arial" w:hAnsi="Arial" w:eastAsia="宋体" w:cs="Arial"/>
          <w:lang w:eastAsia="zh-CN"/>
        </w:rPr>
      </w:pPr>
    </w:p>
    <w:p w14:paraId="02C3AE9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为了方便我们进行独立评价，我们建议贵公司针对所进行的所有生物相容性试验提供以下内容：</w:t>
      </w:r>
    </w:p>
    <w:p w14:paraId="331DA8B5">
      <w:pPr>
        <w:pStyle w:val="6"/>
        <w:snapToGrid w:val="0"/>
        <w:spacing w:line="300" w:lineRule="auto"/>
        <w:ind w:left="0"/>
        <w:jc w:val="both"/>
        <w:rPr>
          <w:rFonts w:ascii="Arial" w:hAnsi="Arial" w:eastAsia="宋体" w:cs="Arial"/>
          <w:lang w:eastAsia="zh-CN"/>
        </w:rPr>
      </w:pPr>
    </w:p>
    <w:p w14:paraId="2523BCF6">
      <w:pPr>
        <w:pStyle w:val="18"/>
        <w:numPr>
          <w:ilvl w:val="2"/>
          <w:numId w:val="1"/>
        </w:numPr>
        <w:snapToGrid w:val="0"/>
        <w:spacing w:line="300" w:lineRule="auto"/>
        <w:ind w:left="850" w:leftChars="205" w:hanging="399"/>
        <w:jc w:val="both"/>
        <w:rPr>
          <w:rFonts w:ascii="Arial" w:hAnsi="Arial" w:eastAsia="宋体" w:cs="Arial"/>
          <w:sz w:val="24"/>
          <w:szCs w:val="24"/>
        </w:rPr>
      </w:pPr>
      <w:r>
        <w:rPr>
          <w:rFonts w:ascii="Arial" w:hAnsi="Arial" w:eastAsia="宋体" w:cs="Arial"/>
          <w:sz w:val="24"/>
          <w:szCs w:val="24"/>
        </w:rPr>
        <w:t>结果</w:t>
      </w:r>
      <w:r>
        <w:rPr>
          <w:rFonts w:ascii="Arial" w:hAnsi="Arial" w:eastAsia="宋体" w:cs="Arial"/>
          <w:sz w:val="24"/>
          <w:szCs w:val="24"/>
          <w:lang w:eastAsia="zh-CN"/>
        </w:rPr>
        <w:t>总结</w:t>
      </w:r>
      <w:r>
        <w:rPr>
          <w:rFonts w:ascii="Arial" w:hAnsi="Arial" w:eastAsia="宋体" w:cs="Arial"/>
          <w:sz w:val="24"/>
          <w:szCs w:val="24"/>
        </w:rPr>
        <w:t>；</w:t>
      </w:r>
    </w:p>
    <w:p w14:paraId="220F5083">
      <w:pPr>
        <w:pStyle w:val="18"/>
        <w:numPr>
          <w:ilvl w:val="2"/>
          <w:numId w:val="1"/>
        </w:numPr>
        <w:snapToGrid w:val="0"/>
        <w:spacing w:line="300" w:lineRule="auto"/>
        <w:ind w:left="850" w:leftChars="205" w:hanging="399"/>
        <w:jc w:val="both"/>
        <w:rPr>
          <w:rFonts w:ascii="Arial" w:hAnsi="Arial" w:eastAsia="宋体" w:cs="Arial"/>
          <w:sz w:val="24"/>
          <w:szCs w:val="24"/>
          <w:lang w:eastAsia="zh-CN"/>
        </w:rPr>
      </w:pPr>
      <w:r>
        <w:rPr>
          <w:rFonts w:ascii="Arial" w:hAnsi="Arial" w:eastAsia="宋体" w:cs="Arial"/>
          <w:sz w:val="24"/>
          <w:szCs w:val="24"/>
          <w:lang w:eastAsia="zh-CN"/>
        </w:rPr>
        <w:t>试验方案；</w:t>
      </w:r>
    </w:p>
    <w:p w14:paraId="3E4DFAC2">
      <w:pPr>
        <w:pStyle w:val="18"/>
        <w:numPr>
          <w:ilvl w:val="2"/>
          <w:numId w:val="1"/>
        </w:numPr>
        <w:snapToGrid w:val="0"/>
        <w:spacing w:line="300" w:lineRule="auto"/>
        <w:ind w:left="850" w:leftChars="205" w:hanging="399"/>
        <w:jc w:val="both"/>
        <w:rPr>
          <w:rFonts w:ascii="Arial" w:hAnsi="Arial" w:eastAsia="宋体" w:cs="Arial"/>
          <w:sz w:val="24"/>
          <w:szCs w:val="24"/>
          <w:lang w:eastAsia="zh-CN"/>
        </w:rPr>
      </w:pPr>
      <w:r>
        <w:rPr>
          <w:rFonts w:ascii="Arial" w:hAnsi="Arial" w:eastAsia="宋体" w:cs="Arial"/>
          <w:sz w:val="24"/>
          <w:szCs w:val="24"/>
          <w:lang w:eastAsia="zh-CN"/>
        </w:rPr>
        <w:t>所有原始数据表；</w:t>
      </w:r>
    </w:p>
    <w:p w14:paraId="5EAE56DC">
      <w:pPr>
        <w:pStyle w:val="18"/>
        <w:numPr>
          <w:ilvl w:val="2"/>
          <w:numId w:val="1"/>
        </w:numPr>
        <w:snapToGrid w:val="0"/>
        <w:spacing w:line="300" w:lineRule="auto"/>
        <w:ind w:left="850" w:leftChars="205" w:hanging="399"/>
        <w:jc w:val="both"/>
        <w:rPr>
          <w:rFonts w:ascii="Arial" w:hAnsi="Arial" w:eastAsia="宋体" w:cs="Arial"/>
          <w:sz w:val="24"/>
          <w:szCs w:val="24"/>
          <w:lang w:eastAsia="zh-CN"/>
        </w:rPr>
      </w:pPr>
      <w:r>
        <w:rPr>
          <w:rFonts w:ascii="Arial" w:hAnsi="Arial" w:eastAsia="宋体" w:cs="Arial"/>
          <w:sz w:val="24"/>
          <w:szCs w:val="24"/>
          <w:lang w:eastAsia="zh-CN"/>
        </w:rPr>
        <w:t>验收标准；以及</w:t>
      </w:r>
    </w:p>
    <w:p w14:paraId="712A1F17">
      <w:pPr>
        <w:pStyle w:val="18"/>
        <w:numPr>
          <w:ilvl w:val="2"/>
          <w:numId w:val="1"/>
        </w:numPr>
        <w:snapToGrid w:val="0"/>
        <w:spacing w:line="300" w:lineRule="auto"/>
        <w:ind w:left="850" w:leftChars="205" w:hanging="399"/>
        <w:jc w:val="both"/>
        <w:rPr>
          <w:rFonts w:ascii="Arial" w:hAnsi="Arial" w:eastAsia="宋体" w:cs="Arial"/>
          <w:sz w:val="24"/>
          <w:szCs w:val="24"/>
          <w:lang w:eastAsia="zh-CN"/>
        </w:rPr>
      </w:pPr>
      <w:r>
        <w:rPr>
          <w:rFonts w:ascii="Arial" w:hAnsi="Arial" w:eastAsia="宋体" w:cs="Arial"/>
          <w:sz w:val="24"/>
          <w:szCs w:val="24"/>
          <w:lang w:eastAsia="zh-CN"/>
        </w:rPr>
        <w:t>其他支持性数据。</w:t>
      </w:r>
    </w:p>
    <w:p w14:paraId="62EF5B82">
      <w:pPr>
        <w:snapToGrid w:val="0"/>
        <w:spacing w:before="12" w:line="300" w:lineRule="auto"/>
        <w:jc w:val="both"/>
        <w:rPr>
          <w:rFonts w:ascii="Arial" w:hAnsi="Arial" w:eastAsia="宋体" w:cs="Arial"/>
          <w:sz w:val="23"/>
          <w:szCs w:val="23"/>
        </w:rPr>
      </w:pPr>
    </w:p>
    <w:p w14:paraId="4714DEC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通常，新器械中存在着最高浓度的潜在有害物质或介质，但其会随着时间推移而逐渐减少。因此，生物相容性试验通常应在未经长时间存储的新器械上进行。然而，对于某些器械，材料风险可在长期存储期间发生变化。例如，长期存储可以允许潜在有害的介质在加工过程中从该表面移除，而在该器械的其他部分重新出现。我们建议贵公司评价器械存储对贵公司器械的材料安全性的影响，并在潜在有害物质或介质可能处于最高浓度的时间点进行生物相容性试验。</w:t>
      </w:r>
    </w:p>
    <w:p w14:paraId="5FBE23EE">
      <w:pPr>
        <w:snapToGrid w:val="0"/>
        <w:spacing w:before="11" w:line="300" w:lineRule="auto"/>
        <w:jc w:val="both"/>
        <w:rPr>
          <w:rFonts w:ascii="Arial" w:hAnsi="Arial" w:eastAsia="宋体" w:cs="Arial"/>
          <w:sz w:val="23"/>
          <w:szCs w:val="23"/>
          <w:lang w:eastAsia="zh-CN"/>
        </w:rPr>
      </w:pPr>
    </w:p>
    <w:p w14:paraId="0D9CD787">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19" w:name="B._Electrical_Safety_"/>
      <w:bookmarkEnd w:id="19"/>
      <w:bookmarkStart w:id="20" w:name="_bookmark15"/>
      <w:bookmarkEnd w:id="20"/>
      <w:bookmarkStart w:id="21" w:name="_Toc481595893"/>
      <w:r>
        <w:rPr>
          <w:rFonts w:ascii="Arial" w:hAnsi="Arial" w:eastAsia="宋体" w:cs="Arial"/>
        </w:rPr>
        <w:t>电气安全</w:t>
      </w:r>
      <w:bookmarkEnd w:id="21"/>
    </w:p>
    <w:p w14:paraId="2440D4A3">
      <w:pPr>
        <w:snapToGrid w:val="0"/>
        <w:spacing w:before="1" w:line="300" w:lineRule="auto"/>
        <w:jc w:val="both"/>
        <w:rPr>
          <w:rFonts w:ascii="Arial" w:hAnsi="Arial" w:eastAsia="宋体" w:cs="Arial"/>
          <w:b/>
          <w:bCs/>
          <w:sz w:val="24"/>
          <w:szCs w:val="24"/>
        </w:rPr>
      </w:pPr>
    </w:p>
    <w:p w14:paraId="44F9AEA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没有解决重要的安全质量标准（例如最大泄漏电流或充分接地），则含有电气组件的器械（包括含有电池的器械）可能会伤害患者和用户。因此，如果贵公司的器械含有电气组件，我们建议贵公司证明成品器械符合所有适用的电气安全要求，包括标签，如FDA认可的医疗器械电气标准的最新版本中所述。</w:t>
      </w:r>
    </w:p>
    <w:p w14:paraId="3E59CA2D">
      <w:pPr>
        <w:snapToGrid w:val="0"/>
        <w:spacing w:line="300" w:lineRule="auto"/>
        <w:jc w:val="both"/>
        <w:rPr>
          <w:rFonts w:ascii="Arial" w:hAnsi="Arial" w:eastAsia="宋体" w:cs="Arial"/>
          <w:sz w:val="20"/>
          <w:szCs w:val="20"/>
          <w:lang w:eastAsia="zh-CN"/>
        </w:rPr>
      </w:pPr>
    </w:p>
    <w:p w14:paraId="21F337BE">
      <w:pPr>
        <w:snapToGrid w:val="0"/>
        <w:spacing w:before="5" w:line="300" w:lineRule="auto"/>
        <w:jc w:val="both"/>
        <w:rPr>
          <w:rFonts w:ascii="Arial" w:hAnsi="Arial" w:eastAsia="宋体" w:cs="Arial"/>
          <w:sz w:val="10"/>
          <w:szCs w:val="10"/>
          <w:lang w:eastAsia="zh-CN"/>
        </w:rPr>
      </w:pPr>
    </w:p>
    <w:p w14:paraId="7521BE6E">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61" name="Group 59"/>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62" name="Group 60"/>
                        <wpg:cNvGrpSpPr/>
                        <wpg:grpSpPr>
                          <a:xfrm>
                            <a:off x="6" y="6"/>
                            <a:ext cx="2880" cy="2"/>
                            <a:chOff x="6" y="6"/>
                            <a:chExt cx="2880" cy="2"/>
                          </a:xfrm>
                        </wpg:grpSpPr>
                        <wps:wsp>
                          <wps:cNvPr id="63" name="Freeform 61"/>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9"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ID+hIXUAAAAAwEAAA8AAAAAAAAAAQAgAAAAIgAAAGRycy9kb3ducmV2&#10;LnhtbFBLAQIUABQAAAAIAIdO4kAm4rhhHQMAAP4HAAAOAAAAAAAAAAEAIAAAACMBAABkcnMvZTJv&#10;RG9jLnhtbFBLBQYAAAAABgAGAFkBAACyBgAAAAA=&#10;">
                <o:lock v:ext="edit" aspectratio="f"/>
                <v:group id="Group 60" o:spid="_x0000_s1026" o:spt="203" style="position:absolute;left:6;top:6;height:2;width:2880;" coordorigin="6,6" coordsize="2880,2"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shape id="Freeform 61" o:spid="_x0000_s1026" o:spt="100" style="position:absolute;left:6;top:6;height:2;width:2880;" filled="f" stroked="t" coordsize="2880,1" o:gfxdata="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rcje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F03FF95">
      <w:pPr>
        <w:pStyle w:val="6"/>
        <w:snapToGrid w:val="0"/>
        <w:spacing w:before="59" w:line="300" w:lineRule="auto"/>
        <w:ind w:left="0"/>
        <w:rPr>
          <w:rFonts w:ascii="Arial" w:hAnsi="Arial" w:eastAsia="宋体" w:cs="Arial"/>
        </w:rPr>
      </w:pPr>
      <w:bookmarkStart w:id="22" w:name="_bookmark16"/>
      <w:bookmarkEnd w:id="22"/>
      <w:r>
        <w:rPr>
          <w:rFonts w:ascii="Arial" w:hAnsi="Arial" w:eastAsia="宋体" w:cs="Arial"/>
          <w:position w:val="11"/>
          <w:sz w:val="16"/>
        </w:rPr>
        <w:t>12</w:t>
      </w:r>
      <w:r>
        <w:rPr>
          <w:rFonts w:ascii="Arial" w:hAnsi="Arial" w:eastAsia="宋体" w:cs="Arial"/>
          <w:spacing w:val="-2"/>
          <w:position w:val="11"/>
          <w:sz w:val="16"/>
        </w:rPr>
        <w:t xml:space="preserve"> </w:t>
      </w:r>
      <w:r>
        <w:fldChar w:fldCharType="begin"/>
      </w:r>
      <w:r>
        <w:instrText xml:space="preserve"> HYPERLINK "http://www.fda.gov/MedicalDevices/DeviceRegulationandGuidance/GuidanceDocuments/"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//www.fda.gov/MedicalDevices/DeviceRegulationandGuidance/GuidanceDocuments/</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"http://www.fda.gov/MedicalDevices/DeviceRegulationandGuidance/GuidanceDocuments/ucm080735.htm" \h </w:instrText>
      </w:r>
      <w:r>
        <w:fldChar w:fldCharType="separate"/>
      </w:r>
      <w:r>
        <w:rPr>
          <w:rFonts w:ascii="Arial" w:hAnsi="Arial" w:eastAsia="宋体" w:cs="Arial"/>
          <w:color w:val="0000FF"/>
          <w:u w:val="single" w:color="0000FF"/>
        </w:rPr>
        <w:t>ucm080735.htm</w:t>
      </w:r>
      <w:r>
        <w:rPr>
          <w:rFonts w:ascii="Arial" w:hAnsi="Arial" w:eastAsia="宋体" w:cs="Arial"/>
          <w:color w:val="0000FF"/>
          <w:u w:val="single" w:color="0000FF"/>
        </w:rPr>
        <w:fldChar w:fldCharType="end"/>
      </w:r>
    </w:p>
    <w:p w14:paraId="69B0FCA6">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497036B1">
      <w:pPr>
        <w:pStyle w:val="3"/>
        <w:numPr>
          <w:ilvl w:val="1"/>
          <w:numId w:val="1"/>
        </w:numPr>
        <w:tabs>
          <w:tab w:val="left" w:pos="1199"/>
          <w:tab w:val="left" w:pos="1200"/>
        </w:tabs>
        <w:snapToGrid w:val="0"/>
        <w:spacing w:line="300" w:lineRule="auto"/>
        <w:ind w:left="720"/>
        <w:jc w:val="both"/>
        <w:rPr>
          <w:rFonts w:ascii="Arial" w:hAnsi="Arial" w:eastAsia="宋体" w:cs="Arial"/>
          <w:b w:val="0"/>
          <w:bCs w:val="0"/>
          <w:lang w:eastAsia="zh-CN"/>
        </w:rPr>
      </w:pPr>
      <w:bookmarkStart w:id="23" w:name="_bookmark17"/>
      <w:bookmarkEnd w:id="23"/>
      <w:bookmarkStart w:id="24" w:name="C._Electromagnetic_Compatibility_(EMC)"/>
      <w:bookmarkEnd w:id="24"/>
      <w:bookmarkStart w:id="25" w:name="_Toc481595894"/>
      <w:r>
        <w:rPr>
          <w:rFonts w:ascii="Arial" w:hAnsi="Arial" w:eastAsia="宋体" w:cs="Arial"/>
          <w:lang w:eastAsia="zh-CN"/>
        </w:rPr>
        <w:t>电磁相容性（EMC）</w:t>
      </w:r>
      <w:bookmarkEnd w:id="25"/>
    </w:p>
    <w:p w14:paraId="68743FF1">
      <w:pPr>
        <w:snapToGrid w:val="0"/>
        <w:spacing w:before="1" w:line="300" w:lineRule="auto"/>
        <w:jc w:val="both"/>
        <w:rPr>
          <w:rFonts w:ascii="Arial" w:hAnsi="Arial" w:eastAsia="宋体" w:cs="Arial"/>
          <w:b/>
          <w:bCs/>
          <w:sz w:val="24"/>
          <w:szCs w:val="24"/>
          <w:lang w:eastAsia="zh-CN"/>
        </w:rPr>
      </w:pPr>
    </w:p>
    <w:p w14:paraId="3971D2D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由各种器械（包括家庭用品）发射的电磁能会干扰医疗器械的功能。如果贵公司的器械可发射电磁能或可能受到电磁能的影响，我们建议贵公司提供器械的电磁相容性（EMC）的证据，包括抗干扰性（即，该器械在预期使用环境中按预期正常工作）和发射特性（即该器械不会发射可干扰其他器械的电磁能）。</w:t>
      </w:r>
    </w:p>
    <w:p w14:paraId="582592CE">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我们建议贵公司证明成品符合适用的EMC要求，包括标签，如FDA认证的相关医疗器械标准的最新版本中所述。</w:t>
      </w:r>
    </w:p>
    <w:p w14:paraId="453C4130">
      <w:pPr>
        <w:pStyle w:val="6"/>
        <w:snapToGrid w:val="0"/>
        <w:spacing w:line="300" w:lineRule="auto"/>
        <w:ind w:left="0"/>
        <w:jc w:val="both"/>
        <w:rPr>
          <w:rFonts w:ascii="Arial" w:hAnsi="Arial" w:eastAsia="宋体" w:cs="Arial"/>
          <w:lang w:eastAsia="zh-CN"/>
        </w:rPr>
      </w:pPr>
    </w:p>
    <w:p w14:paraId="75FB33D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贵公司的器械含有测温系统，电磁干扰会损害温度传感器的功能和准确性。我们建议贵公司提供贵公司如何在试验和处理过程中消除或避免对温度传感器的电磁干扰的讨论，特别是在测温系统控制治疗递送时。我们建议贵公司的讨论包括：</w:t>
      </w:r>
    </w:p>
    <w:p w14:paraId="6B43D20E">
      <w:pPr>
        <w:snapToGrid w:val="0"/>
        <w:spacing w:before="11" w:line="300" w:lineRule="auto"/>
        <w:jc w:val="both"/>
        <w:rPr>
          <w:rFonts w:ascii="Arial" w:hAnsi="Arial" w:eastAsia="宋体" w:cs="Arial"/>
          <w:sz w:val="23"/>
          <w:szCs w:val="23"/>
          <w:lang w:eastAsia="zh-CN"/>
        </w:rPr>
      </w:pPr>
    </w:p>
    <w:p w14:paraId="78BD3682">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用于电气隔离系统热电偶的信号路径的方法；</w:t>
      </w:r>
    </w:p>
    <w:p w14:paraId="662403A0">
      <w:pPr>
        <w:pStyle w:val="18"/>
        <w:numPr>
          <w:ilvl w:val="2"/>
          <w:numId w:val="1"/>
        </w:numPr>
        <w:snapToGrid w:val="0"/>
        <w:spacing w:line="300" w:lineRule="auto"/>
        <w:ind w:left="0" w:firstLine="462"/>
        <w:jc w:val="both"/>
        <w:rPr>
          <w:rFonts w:ascii="Arial" w:hAnsi="Arial" w:eastAsia="宋体" w:cs="Arial"/>
          <w:sz w:val="24"/>
          <w:szCs w:val="24"/>
        </w:rPr>
      </w:pPr>
      <w:r>
        <w:rPr>
          <w:rFonts w:ascii="Arial" w:hAnsi="Arial" w:eastAsia="宋体" w:cs="Arial"/>
          <w:sz w:val="24"/>
          <w:szCs w:val="24"/>
        </w:rPr>
        <w:t>热电偶护套材料；</w:t>
      </w:r>
    </w:p>
    <w:p w14:paraId="347EC7E0">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用于减少电磁干扰的滤波器；以及</w:t>
      </w:r>
    </w:p>
    <w:p w14:paraId="2533E93E">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如何在临床环境中最小化电磁干扰。</w:t>
      </w:r>
    </w:p>
    <w:p w14:paraId="7ECDB3CC">
      <w:pPr>
        <w:snapToGrid w:val="0"/>
        <w:spacing w:before="12" w:line="300" w:lineRule="auto"/>
        <w:jc w:val="both"/>
        <w:rPr>
          <w:rFonts w:ascii="Arial" w:hAnsi="Arial" w:eastAsia="宋体" w:cs="Arial"/>
          <w:sz w:val="23"/>
          <w:szCs w:val="23"/>
          <w:lang w:eastAsia="zh-CN"/>
        </w:rPr>
      </w:pPr>
    </w:p>
    <w:p w14:paraId="1BE26654">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26" w:name="_bookmark18"/>
      <w:bookmarkEnd w:id="26"/>
      <w:bookmarkStart w:id="27" w:name="D._Magnetic_Resonance_Imaging_(MRI)_Comp"/>
      <w:bookmarkEnd w:id="27"/>
      <w:bookmarkStart w:id="28" w:name="_Toc481595895"/>
      <w:r>
        <w:rPr>
          <w:rFonts w:ascii="Arial" w:hAnsi="Arial" w:eastAsia="宋体" w:cs="Arial"/>
        </w:rPr>
        <w:t>磁共振成像（MRI）相容性</w:t>
      </w:r>
      <w:bookmarkEnd w:id="28"/>
    </w:p>
    <w:p w14:paraId="13655CAF">
      <w:pPr>
        <w:snapToGrid w:val="0"/>
        <w:spacing w:before="5" w:line="300" w:lineRule="auto"/>
        <w:jc w:val="both"/>
        <w:rPr>
          <w:rFonts w:ascii="Arial" w:hAnsi="Arial" w:eastAsia="宋体" w:cs="Arial"/>
          <w:b/>
          <w:bCs/>
          <w:sz w:val="24"/>
          <w:szCs w:val="24"/>
        </w:rPr>
      </w:pPr>
    </w:p>
    <w:p w14:paraId="048708E1">
      <w:pPr>
        <w:pStyle w:val="6"/>
        <w:snapToGrid w:val="0"/>
        <w:spacing w:line="300" w:lineRule="auto"/>
        <w:ind w:left="0"/>
        <w:jc w:val="both"/>
        <w:rPr>
          <w:rFonts w:ascii="Arial" w:hAnsi="Arial" w:eastAsia="宋体" w:cs="Arial"/>
          <w:lang w:eastAsia="zh-CN"/>
        </w:rPr>
      </w:pPr>
      <w:r>
        <w:rPr>
          <w:rFonts w:ascii="Arial" w:hAnsi="Arial" w:eastAsia="宋体" w:cs="Arial"/>
          <w:lang w:eastAsia="zh-CN"/>
        </w:rPr>
        <w:t>MRI环境包括强静态磁场，其中包括其相关的空间梯度、脉冲梯度磁场和脉冲射频（RF）场。这些磁场可与置入磁场内的医疗器械产生相互作用，从而可产生安全性问题，包括严重的患者损伤、器械故障和图像质量不良。贵公司应确定贵公司的器械与MRI扫描的相容性，并相应地标记贵公司的器械。</w:t>
      </w:r>
      <w:r>
        <w:fldChar w:fldCharType="begin"/>
      </w:r>
      <w:r>
        <w:instrText xml:space="preserve"> HYPERLINK \l "_bookmark19" </w:instrText>
      </w:r>
      <w:r>
        <w:fldChar w:fldCharType="separate"/>
      </w:r>
      <w:r>
        <w:rPr>
          <w:rFonts w:ascii="Arial" w:hAnsi="Arial" w:eastAsia="宋体" w:cs="Arial"/>
          <w:position w:val="11"/>
          <w:sz w:val="16"/>
          <w:lang w:eastAsia="zh-CN"/>
        </w:rPr>
        <w:t>13</w:t>
      </w:r>
      <w:r>
        <w:rPr>
          <w:rFonts w:ascii="Arial" w:hAnsi="Arial" w:eastAsia="宋体" w:cs="Arial"/>
          <w:position w:val="11"/>
          <w:sz w:val="16"/>
          <w:lang w:eastAsia="zh-CN"/>
        </w:rPr>
        <w:fldChar w:fldCharType="end"/>
      </w:r>
    </w:p>
    <w:p w14:paraId="0A416ED6">
      <w:pPr>
        <w:snapToGrid w:val="0"/>
        <w:spacing w:line="300" w:lineRule="auto"/>
        <w:jc w:val="both"/>
        <w:rPr>
          <w:rFonts w:ascii="Arial" w:hAnsi="Arial" w:eastAsia="宋体" w:cs="Arial"/>
          <w:sz w:val="20"/>
          <w:szCs w:val="20"/>
          <w:lang w:eastAsia="zh-CN"/>
        </w:rPr>
      </w:pPr>
    </w:p>
    <w:p w14:paraId="2C96232A">
      <w:pPr>
        <w:snapToGrid w:val="0"/>
        <w:spacing w:line="300" w:lineRule="auto"/>
        <w:jc w:val="both"/>
        <w:rPr>
          <w:rFonts w:ascii="Arial" w:hAnsi="Arial" w:eastAsia="宋体" w:cs="Arial"/>
          <w:sz w:val="20"/>
          <w:szCs w:val="20"/>
          <w:lang w:eastAsia="zh-CN"/>
        </w:rPr>
      </w:pPr>
    </w:p>
    <w:p w14:paraId="3D3C32B4">
      <w:pPr>
        <w:snapToGrid w:val="0"/>
        <w:spacing w:before="9" w:line="300" w:lineRule="auto"/>
        <w:jc w:val="both"/>
        <w:rPr>
          <w:rFonts w:ascii="Arial" w:hAnsi="Arial" w:eastAsia="宋体" w:cs="Arial"/>
          <w:sz w:val="19"/>
          <w:szCs w:val="19"/>
          <w:lang w:eastAsia="zh-CN"/>
        </w:rPr>
      </w:pPr>
    </w:p>
    <w:p w14:paraId="3549A2B6">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58" name="Group 56"/>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9" name="Group 57"/>
                        <wpg:cNvGrpSpPr/>
                        <wpg:grpSpPr>
                          <a:xfrm>
                            <a:off x="6" y="6"/>
                            <a:ext cx="2880" cy="2"/>
                            <a:chOff x="6" y="6"/>
                            <a:chExt cx="2880" cy="2"/>
                          </a:xfrm>
                        </wpg:grpSpPr>
                        <wps:wsp>
                          <wps:cNvPr id="60" name="Freeform 58"/>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6"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P6EhdQAAAADAQAADwAAAAAAAAABACAAAAAiAAAAZHJzL2Rvd25yZXYu&#10;eG1sUEsBAhQAFAAAAAgAh07iQD8exVgcAwAA/gcAAA4AAAAAAAAAAQAgAAAAIwEAAGRycy9lMm9E&#10;b2MueG1sUEsFBgAAAAAGAAYAWQEAALEGAAAAAA==&#10;">
                <o:lock v:ext="edit" aspectratio="f"/>
                <v:group id="Group 57" o:spid="_x0000_s1026" o:spt="203" style="position:absolute;left:6;top:6;height:2;width:2880;" coordorigin="6,6" coordsize="2880,2"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Freeform 58" o:spid="_x0000_s1026" o:spt="100" style="position:absolute;left:6;top:6;height:2;width:2880;" filled="f" stroked="t" coordsize="2880,1" o:gfxdata="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3nsQL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2ABDBD30">
      <w:pPr>
        <w:pStyle w:val="6"/>
        <w:snapToGrid w:val="0"/>
        <w:spacing w:before="59" w:line="300" w:lineRule="auto"/>
        <w:ind w:left="0"/>
        <w:jc w:val="both"/>
        <w:rPr>
          <w:rFonts w:ascii="Arial" w:hAnsi="Arial" w:eastAsia="宋体" w:cs="Arial"/>
        </w:rPr>
      </w:pPr>
      <w:bookmarkStart w:id="29" w:name="_bookmark19"/>
      <w:bookmarkEnd w:id="29"/>
      <w:r>
        <w:rPr>
          <w:rFonts w:ascii="Arial" w:hAnsi="Arial" w:eastAsia="宋体" w:cs="Arial"/>
          <w:position w:val="11"/>
          <w:sz w:val="16"/>
          <w:szCs w:val="16"/>
        </w:rPr>
        <w:t xml:space="preserve">13 </w:t>
      </w:r>
      <w:r>
        <w:rPr>
          <w:rFonts w:ascii="Arial" w:hAnsi="Arial" w:eastAsia="宋体" w:cs="Arial"/>
        </w:rPr>
        <w:t>关于MRI相容性的</w:t>
      </w:r>
      <w:r>
        <w:rPr>
          <w:rFonts w:ascii="Arial" w:hAnsi="Arial" w:eastAsia="宋体" w:cs="Arial"/>
          <w:lang w:eastAsia="zh-CN"/>
        </w:rPr>
        <w:t>其他</w:t>
      </w:r>
      <w:r>
        <w:rPr>
          <w:rFonts w:ascii="Arial" w:hAnsi="Arial" w:eastAsia="宋体" w:cs="Arial"/>
        </w:rPr>
        <w:t>信息可以</w:t>
      </w:r>
      <w:r>
        <w:rPr>
          <w:rFonts w:ascii="Arial" w:hAnsi="Arial" w:eastAsia="宋体" w:cs="Arial"/>
          <w:lang w:eastAsia="zh-CN"/>
        </w:rPr>
        <w:t>标题为“</w:t>
      </w:r>
      <w:r>
        <w:rPr>
          <w:rFonts w:ascii="Arial" w:hAnsi="Arial" w:eastAsia="宋体" w:cs="Arial"/>
        </w:rPr>
        <w:t>行业和FDA员工</w:t>
      </w:r>
      <w:r>
        <w:rPr>
          <w:rFonts w:ascii="Arial" w:hAnsi="Arial" w:eastAsia="宋体" w:cs="Arial"/>
          <w:lang w:eastAsia="zh-CN"/>
        </w:rPr>
        <w:t>指南—确定无源植入物</w:t>
      </w:r>
      <w:r>
        <w:rPr>
          <w:rFonts w:ascii="Arial" w:hAnsi="Arial" w:eastAsia="宋体" w:cs="Arial"/>
        </w:rPr>
        <w:t>在磁共振（MR）环境中</w:t>
      </w:r>
      <w:r>
        <w:rPr>
          <w:rFonts w:ascii="Arial" w:hAnsi="Arial" w:eastAsia="宋体" w:cs="Arial"/>
          <w:lang w:eastAsia="zh-CN"/>
        </w:rPr>
        <w:t>的安全性</w:t>
      </w:r>
      <w:r>
        <w:rPr>
          <w:rFonts w:ascii="Arial" w:hAnsi="Arial" w:eastAsia="宋体" w:cs="Arial"/>
        </w:rPr>
        <w:t>和相容性</w:t>
      </w:r>
      <w:r>
        <w:rPr>
          <w:rFonts w:ascii="Arial" w:hAnsi="Arial" w:eastAsia="宋体" w:cs="Arial"/>
          <w:lang w:eastAsia="zh-CN"/>
        </w:rPr>
        <w:t>”的文件（</w:t>
      </w:r>
      <w:r>
        <w:rPr>
          <w:rFonts w:ascii="Arial" w:hAnsi="Arial" w:eastAsia="宋体" w:cs="Arial"/>
        </w:rPr>
        <w:t>“2008年8月21日</w:t>
      </w:r>
      <w:r>
        <w:rPr>
          <w:rFonts w:ascii="Arial" w:hAnsi="Arial" w:eastAsia="宋体" w:cs="Arial"/>
          <w:lang w:eastAsia="zh-CN"/>
        </w:rPr>
        <w:t>）中找到，其网址为：</w:t>
      </w:r>
      <w:r>
        <w:fldChar w:fldCharType="begin"/>
      </w:r>
      <w:r>
        <w:instrText xml:space="preserve"> HYPERLINK "http://www.fda.gov/downloads/MedicalDevices/DeviceRegulationandGuidance/GuidanceDocuments/ucm107708.pdf" \h </w:instrText>
      </w:r>
      <w:r>
        <w:fldChar w:fldCharType="separate"/>
      </w:r>
      <w:r>
        <w:rPr>
          <w:rFonts w:ascii="Arial" w:hAnsi="Arial" w:eastAsia="宋体" w:cs="Arial"/>
          <w:color w:val="0000FF"/>
          <w:spacing w:val="-1"/>
          <w:u w:val="single" w:color="0000FF"/>
        </w:rPr>
        <w:t>http：//www.fda.gov/downloads/MedicalDevices/DeviceRegulationandGuidance/GuidanceDo</w:t>
      </w:r>
      <w:r>
        <w:rPr>
          <w:rFonts w:ascii="Arial" w:hAnsi="Arial" w:eastAsia="宋体" w:cs="Arial"/>
          <w:color w:val="0000FF"/>
          <w:spacing w:val="-58"/>
          <w:u w:val="single" w:color="0000FF"/>
        </w:rPr>
        <w:t xml:space="preserve"> </w:t>
      </w:r>
      <w:r>
        <w:rPr>
          <w:rFonts w:ascii="Arial" w:hAnsi="Arial" w:eastAsia="宋体" w:cs="Arial"/>
          <w:color w:val="0000FF"/>
          <w:spacing w:val="-58"/>
          <w:u w:val="single" w:color="0000FF"/>
        </w:rPr>
        <w:fldChar w:fldCharType="end"/>
      </w:r>
      <w:r>
        <w:fldChar w:fldCharType="begin"/>
      </w:r>
      <w:r>
        <w:instrText xml:space="preserve"> HYPERLINK "http://www.fda.gov/downloads/MedicalDevices/DeviceRegulationandGuidance/GuidanceDocuments/ucm107708.pdf" \h </w:instrText>
      </w:r>
      <w:r>
        <w:fldChar w:fldCharType="separate"/>
      </w:r>
      <w:r>
        <w:rPr>
          <w:rFonts w:ascii="Arial" w:hAnsi="Arial" w:eastAsia="宋体" w:cs="Arial"/>
          <w:color w:val="0000FF"/>
          <w:u w:val="single" w:color="0000FF"/>
        </w:rPr>
        <w:t>cuments/ucm107708.pdf</w:t>
      </w:r>
      <w:r>
        <w:rPr>
          <w:rFonts w:ascii="Arial" w:hAnsi="Arial" w:eastAsia="宋体" w:cs="Arial"/>
          <w:color w:val="0000FF"/>
          <w:u w:val="single" w:color="0000FF"/>
        </w:rPr>
        <w:fldChar w:fldCharType="end"/>
      </w:r>
      <w:r>
        <w:rPr>
          <w:rFonts w:ascii="Arial" w:hAnsi="Arial" w:eastAsia="宋体" w:cs="Arial"/>
          <w:lang w:eastAsia="zh-CN"/>
        </w:rPr>
        <w:t>。</w:t>
      </w:r>
    </w:p>
    <w:p w14:paraId="217D0616">
      <w:pPr>
        <w:widowControl/>
        <w:rPr>
          <w:rFonts w:ascii="Arial" w:hAnsi="Arial" w:eastAsia="宋体" w:cs="Arial"/>
          <w:sz w:val="24"/>
          <w:szCs w:val="24"/>
        </w:rPr>
      </w:pPr>
      <w:r>
        <w:rPr>
          <w:rFonts w:ascii="Arial" w:hAnsi="Arial" w:eastAsia="宋体" w:cs="Arial"/>
        </w:rPr>
        <w:br w:type="page"/>
      </w:r>
    </w:p>
    <w:p w14:paraId="2655CF5C">
      <w:pPr>
        <w:pStyle w:val="3"/>
        <w:numPr>
          <w:ilvl w:val="1"/>
          <w:numId w:val="1"/>
        </w:numPr>
        <w:tabs>
          <w:tab w:val="left" w:pos="1160"/>
        </w:tabs>
        <w:snapToGrid w:val="0"/>
        <w:spacing w:before="218" w:line="300" w:lineRule="auto"/>
        <w:ind w:left="720"/>
        <w:jc w:val="both"/>
        <w:rPr>
          <w:rFonts w:ascii="Arial" w:hAnsi="Arial" w:eastAsia="宋体" w:cs="Arial"/>
          <w:b w:val="0"/>
          <w:bCs w:val="0"/>
        </w:rPr>
      </w:pPr>
      <w:bookmarkStart w:id="30" w:name="E._Mechanical_Testing"/>
      <w:bookmarkEnd w:id="30"/>
      <w:bookmarkStart w:id="31" w:name="_bookmark20"/>
      <w:bookmarkEnd w:id="31"/>
      <w:bookmarkStart w:id="32" w:name="_Toc481595896"/>
      <w:r>
        <w:rPr>
          <w:rFonts w:ascii="Arial" w:hAnsi="Arial" w:eastAsia="宋体" w:cs="Arial"/>
        </w:rPr>
        <w:t>力学试验</w:t>
      </w:r>
      <w:bookmarkEnd w:id="32"/>
    </w:p>
    <w:p w14:paraId="409188C4">
      <w:pPr>
        <w:snapToGrid w:val="0"/>
        <w:spacing w:before="1" w:line="300" w:lineRule="auto"/>
        <w:jc w:val="both"/>
        <w:rPr>
          <w:rFonts w:ascii="Arial" w:hAnsi="Arial" w:eastAsia="宋体" w:cs="Arial"/>
          <w:b/>
          <w:bCs/>
          <w:sz w:val="24"/>
          <w:szCs w:val="24"/>
        </w:rPr>
      </w:pPr>
    </w:p>
    <w:p w14:paraId="423150E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医疗器械在使用过程中可受到力学作用力的影响。由于力学作用力而产生的器械损坏或故障可能会导致性能下降或患者受伤。因此，我们建议贵公司进行全面的力学试验，以证明该器械及其组件可以在其预期寿命内承受其环境的力学应力。此外，我们推荐这套试验应模拟器械在使用过程中所经受的力学应力，例如与身体移动、插入或移除相关的作用力。力学试验包括力学强度（例如拉伸试验）、循环加载和模拟使用。</w:t>
      </w:r>
    </w:p>
    <w:p w14:paraId="13A3E7B6">
      <w:pPr>
        <w:pStyle w:val="6"/>
        <w:snapToGrid w:val="0"/>
        <w:spacing w:line="300" w:lineRule="auto"/>
        <w:ind w:left="0"/>
        <w:jc w:val="both"/>
        <w:rPr>
          <w:rFonts w:ascii="Arial" w:hAnsi="Arial" w:eastAsia="宋体" w:cs="Arial"/>
          <w:lang w:eastAsia="zh-CN"/>
        </w:rPr>
      </w:pPr>
    </w:p>
    <w:p w14:paraId="4004E0B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为了方便我们进行独立评价，我们建议贵公司为所进行的每个力学试验提供完整的说明和理由，包括：</w:t>
      </w:r>
    </w:p>
    <w:p w14:paraId="124A5B99">
      <w:pPr>
        <w:snapToGrid w:val="0"/>
        <w:spacing w:line="300" w:lineRule="auto"/>
        <w:jc w:val="both"/>
        <w:rPr>
          <w:rFonts w:ascii="Arial" w:hAnsi="Arial" w:eastAsia="宋体" w:cs="Arial"/>
          <w:sz w:val="24"/>
          <w:szCs w:val="24"/>
          <w:lang w:eastAsia="zh-CN"/>
        </w:rPr>
      </w:pPr>
    </w:p>
    <w:p w14:paraId="6A6EB82B">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供试品的说明，包括其尺寸、灭菌状态、年龄以及为进行试验而进行的任何修改；</w:t>
      </w:r>
    </w:p>
    <w:p w14:paraId="3192DAAE">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供试品数量；</w:t>
      </w:r>
    </w:p>
    <w:p w14:paraId="0CED18BC">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所使用的试验环境，例如合成尿、水、空气；</w:t>
      </w:r>
    </w:p>
    <w:p w14:paraId="6BE20D87">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所施加的负载，包括速率、方向和位置；</w:t>
      </w:r>
    </w:p>
    <w:p w14:paraId="4B217076">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预定的性能标准；以及</w:t>
      </w:r>
    </w:p>
    <w:p w14:paraId="39DB57AF">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试验中使用的其他相关参数。</w:t>
      </w:r>
    </w:p>
    <w:p w14:paraId="641E2BB4">
      <w:pPr>
        <w:snapToGrid w:val="0"/>
        <w:spacing w:before="12" w:line="300" w:lineRule="auto"/>
        <w:jc w:val="both"/>
        <w:rPr>
          <w:rFonts w:ascii="Arial" w:hAnsi="Arial" w:eastAsia="宋体" w:cs="Arial"/>
          <w:sz w:val="23"/>
          <w:szCs w:val="23"/>
          <w:lang w:eastAsia="zh-CN"/>
        </w:rPr>
      </w:pPr>
    </w:p>
    <w:p w14:paraId="57006E98">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33" w:name="F._Corrosion_or_Degradation"/>
      <w:bookmarkEnd w:id="33"/>
      <w:bookmarkStart w:id="34" w:name="_bookmark21"/>
      <w:bookmarkEnd w:id="34"/>
      <w:bookmarkStart w:id="35" w:name="_Toc481595897"/>
      <w:r>
        <w:rPr>
          <w:rFonts w:ascii="Arial" w:hAnsi="Arial" w:eastAsia="宋体" w:cs="Arial"/>
        </w:rPr>
        <w:t>腐蚀或降解</w:t>
      </w:r>
      <w:bookmarkEnd w:id="35"/>
    </w:p>
    <w:p w14:paraId="5EC71AE1">
      <w:pPr>
        <w:snapToGrid w:val="0"/>
        <w:spacing w:before="1" w:line="300" w:lineRule="auto"/>
        <w:jc w:val="both"/>
        <w:rPr>
          <w:rFonts w:ascii="Arial" w:hAnsi="Arial" w:eastAsia="宋体" w:cs="Arial"/>
          <w:b/>
          <w:bCs/>
          <w:sz w:val="24"/>
          <w:szCs w:val="24"/>
        </w:rPr>
      </w:pPr>
    </w:p>
    <w:p w14:paraId="375BEFB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泌尿环境可降解常规用于医疗器械的材料，从而影响器械的性能和安全性。我们建议贵公司提供腐蚀或降解试验以评价体液对贵公司的器械的影响。我们建议贵公司：</w:t>
      </w:r>
    </w:p>
    <w:p w14:paraId="7ABFDFE8">
      <w:pPr>
        <w:snapToGrid w:val="0"/>
        <w:spacing w:before="11" w:line="300" w:lineRule="auto"/>
        <w:jc w:val="both"/>
        <w:rPr>
          <w:rFonts w:ascii="Arial" w:hAnsi="Arial" w:eastAsia="宋体" w:cs="Arial"/>
          <w:sz w:val="23"/>
          <w:szCs w:val="23"/>
          <w:lang w:eastAsia="zh-CN"/>
        </w:rPr>
      </w:pPr>
    </w:p>
    <w:p w14:paraId="54866DC7">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在天然或人造介质中进行试验，其中，此类介质在化学上等同于该器械将于体内遇到的环境；</w:t>
      </w:r>
    </w:p>
    <w:p w14:paraId="2321BB4F">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选择与拟定临床应用相关的时间过程；</w:t>
      </w:r>
    </w:p>
    <w:p w14:paraId="35267D99">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检查器械是否有任何可见的腐蚀产物或结垢；</w:t>
      </w:r>
    </w:p>
    <w:p w14:paraId="56538E7F">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测试器械以确定结构完整性或功能是否有任何变化；以及</w:t>
      </w:r>
    </w:p>
    <w:p w14:paraId="25BB3A62">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测量器械以确定重量或尺寸是否有任何变化。</w:t>
      </w:r>
    </w:p>
    <w:p w14:paraId="06924C3D">
      <w:pPr>
        <w:snapToGrid w:val="0"/>
        <w:spacing w:before="1" w:line="300" w:lineRule="auto"/>
        <w:jc w:val="both"/>
        <w:rPr>
          <w:rFonts w:ascii="Arial" w:hAnsi="Arial" w:eastAsia="宋体" w:cs="Arial"/>
          <w:sz w:val="24"/>
          <w:szCs w:val="24"/>
          <w:lang w:eastAsia="zh-CN"/>
        </w:rPr>
      </w:pPr>
    </w:p>
    <w:p w14:paraId="0FA486B3">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为了方便我们进行独立评价，我们建议贵公司提供以下内容的完整说明和理由：</w:t>
      </w:r>
    </w:p>
    <w:p w14:paraId="5798E896">
      <w:pPr>
        <w:snapToGrid w:val="0"/>
        <w:spacing w:before="11" w:line="300" w:lineRule="auto"/>
        <w:jc w:val="both"/>
        <w:rPr>
          <w:rFonts w:ascii="Arial" w:hAnsi="Arial" w:eastAsia="宋体" w:cs="Arial"/>
          <w:sz w:val="23"/>
          <w:szCs w:val="23"/>
          <w:lang w:eastAsia="zh-CN"/>
        </w:rPr>
      </w:pPr>
    </w:p>
    <w:p w14:paraId="581262AD">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供试品，包括尺寸、灭菌状态、年龄以及为进行试验所做的任何修改；</w:t>
      </w:r>
    </w:p>
    <w:p w14:paraId="6D492A13">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供试品数；</w:t>
      </w:r>
    </w:p>
    <w:p w14:paraId="31A9D562">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所使用的方法，包括环境和时间过程；</w:t>
      </w:r>
    </w:p>
    <w:p w14:paraId="2368FC6A">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评价方法，即视觉评价、尺寸评价、力学完整性；</w:t>
      </w:r>
    </w:p>
    <w:p w14:paraId="4D4DEA70">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预定的性能标准；以及</w:t>
      </w:r>
    </w:p>
    <w:p w14:paraId="58A1010B">
      <w:pPr>
        <w:pStyle w:val="18"/>
        <w:numPr>
          <w:ilvl w:val="2"/>
          <w:numId w:val="1"/>
        </w:numPr>
        <w:snapToGrid w:val="0"/>
        <w:spacing w:line="300" w:lineRule="auto"/>
        <w:ind w:left="0" w:firstLine="462"/>
        <w:jc w:val="both"/>
        <w:rPr>
          <w:rFonts w:ascii="Arial" w:hAnsi="Arial" w:eastAsia="宋体" w:cs="Arial"/>
          <w:sz w:val="24"/>
          <w:szCs w:val="24"/>
        </w:rPr>
      </w:pPr>
      <w:r>
        <w:rPr>
          <w:rFonts w:ascii="Arial" w:hAnsi="Arial" w:eastAsia="宋体" w:cs="Arial"/>
          <w:sz w:val="24"/>
          <w:szCs w:val="24"/>
          <w:lang w:eastAsia="zh-CN"/>
        </w:rPr>
        <w:t>任何其他</w:t>
      </w:r>
      <w:r>
        <w:rPr>
          <w:rFonts w:ascii="Arial" w:hAnsi="Arial" w:eastAsia="宋体" w:cs="Arial"/>
          <w:sz w:val="24"/>
          <w:szCs w:val="24"/>
        </w:rPr>
        <w:t>相关参数。</w:t>
      </w:r>
    </w:p>
    <w:p w14:paraId="11703F33">
      <w:pPr>
        <w:snapToGrid w:val="0"/>
        <w:spacing w:before="12" w:line="300" w:lineRule="auto"/>
        <w:jc w:val="both"/>
        <w:rPr>
          <w:rFonts w:ascii="Arial" w:hAnsi="Arial" w:eastAsia="宋体" w:cs="Arial"/>
          <w:sz w:val="23"/>
          <w:szCs w:val="23"/>
        </w:rPr>
      </w:pPr>
    </w:p>
    <w:p w14:paraId="511D4D7F">
      <w:pPr>
        <w:pStyle w:val="3"/>
        <w:numPr>
          <w:ilvl w:val="1"/>
          <w:numId w:val="1"/>
        </w:numPr>
        <w:tabs>
          <w:tab w:val="left" w:pos="1201"/>
        </w:tabs>
        <w:snapToGrid w:val="0"/>
        <w:spacing w:line="300" w:lineRule="auto"/>
        <w:ind w:left="720"/>
        <w:jc w:val="both"/>
        <w:rPr>
          <w:rFonts w:ascii="Arial" w:hAnsi="Arial" w:eastAsia="宋体" w:cs="Arial"/>
          <w:bCs w:val="0"/>
        </w:rPr>
      </w:pPr>
      <w:bookmarkStart w:id="36" w:name="_bookmark22"/>
      <w:bookmarkEnd w:id="36"/>
      <w:bookmarkStart w:id="37" w:name="G._Sterilization"/>
      <w:bookmarkEnd w:id="37"/>
      <w:bookmarkStart w:id="38" w:name="_Toc481595898"/>
      <w:r>
        <w:rPr>
          <w:rFonts w:ascii="Arial" w:hAnsi="Arial" w:eastAsia="宋体" w:cs="Arial"/>
          <w:bCs w:val="0"/>
          <w:lang w:eastAsia="zh-CN"/>
        </w:rPr>
        <w:t>灭菌</w:t>
      </w:r>
      <w:bookmarkEnd w:id="38"/>
    </w:p>
    <w:p w14:paraId="0DDD7BFA">
      <w:pPr>
        <w:snapToGrid w:val="0"/>
        <w:spacing w:before="5" w:line="300" w:lineRule="auto"/>
        <w:jc w:val="both"/>
        <w:rPr>
          <w:rFonts w:ascii="Arial" w:hAnsi="Arial" w:eastAsia="宋体" w:cs="Arial"/>
          <w:b/>
          <w:bCs/>
          <w:sz w:val="24"/>
          <w:szCs w:val="24"/>
        </w:rPr>
      </w:pPr>
    </w:p>
    <w:p w14:paraId="1C6EF91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贵公司器械的任何组件有可能将病原体引入其他无菌或无菌组织之中，我们建议贵公司提供有关从器械中消除病原体的方法（如灭菌）的信息。对于以无菌形式提供的任何器械或组件，请参见“更新版510（k）无菌审查指南K90-1；行业和FDA指南”（2002年8月30日），以获得需纳入贵公司的510（k）中的建议信息。</w:t>
      </w:r>
      <w:r>
        <w:rPr>
          <w:rFonts w:ascii="Arial" w:hAnsi="Arial" w:eastAsia="宋体" w:cs="Arial"/>
          <w:vertAlign w:val="subscript"/>
          <w:lang w:eastAsia="zh-CN"/>
        </w:rPr>
        <w:t>14</w:t>
      </w:r>
      <w:r>
        <w:rPr>
          <w:rFonts w:ascii="Arial" w:hAnsi="Arial" w:eastAsia="宋体" w:cs="Arial"/>
          <w:lang w:eastAsia="zh-CN"/>
        </w:rPr>
        <w:t>对于IDE或PMA申请，可能需要提供其他信息（例如，包装完整性试验）或更为详细的信息（例如，灭菌周期确认试验的结果）。</w:t>
      </w:r>
    </w:p>
    <w:p w14:paraId="09966670">
      <w:pPr>
        <w:snapToGrid w:val="0"/>
        <w:spacing w:before="12" w:line="300" w:lineRule="auto"/>
        <w:jc w:val="both"/>
        <w:rPr>
          <w:rFonts w:ascii="Arial" w:hAnsi="Arial" w:eastAsia="宋体" w:cs="Arial"/>
          <w:sz w:val="23"/>
          <w:szCs w:val="23"/>
          <w:lang w:eastAsia="zh-CN"/>
        </w:rPr>
      </w:pPr>
    </w:p>
    <w:p w14:paraId="6469040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如果贵公司的器械或其任何组件可重复使用，但可能将病原体引入其他无菌或无菌组织之中，我们建议贵公司提供有关再处理方法的详细说明，并提供证据证明这些组件可通过这些方法安全消毒或灭菌。</w:t>
      </w:r>
    </w:p>
    <w:p w14:paraId="31639109">
      <w:pPr>
        <w:snapToGrid w:val="0"/>
        <w:spacing w:before="12" w:line="300" w:lineRule="auto"/>
        <w:jc w:val="both"/>
        <w:rPr>
          <w:rFonts w:ascii="Arial" w:hAnsi="Arial" w:eastAsia="宋体" w:cs="Arial"/>
          <w:sz w:val="23"/>
          <w:szCs w:val="23"/>
          <w:lang w:eastAsia="zh-CN"/>
        </w:rPr>
      </w:pPr>
    </w:p>
    <w:p w14:paraId="2A9FD517">
      <w:pPr>
        <w:pStyle w:val="3"/>
        <w:numPr>
          <w:ilvl w:val="1"/>
          <w:numId w:val="1"/>
        </w:numPr>
        <w:snapToGrid w:val="0"/>
        <w:spacing w:line="300" w:lineRule="auto"/>
        <w:ind w:left="720"/>
        <w:jc w:val="both"/>
        <w:rPr>
          <w:rFonts w:ascii="Arial" w:hAnsi="Arial" w:eastAsia="宋体" w:cs="Arial"/>
          <w:bCs w:val="0"/>
          <w:lang w:eastAsia="zh-CN"/>
        </w:rPr>
      </w:pPr>
      <w:bookmarkStart w:id="39" w:name="_bookmark23"/>
      <w:bookmarkEnd w:id="39"/>
      <w:bookmarkStart w:id="40" w:name="H._Software"/>
      <w:bookmarkEnd w:id="40"/>
      <w:bookmarkStart w:id="41" w:name="_Toc481595899"/>
      <w:r>
        <w:rPr>
          <w:rFonts w:ascii="Arial" w:hAnsi="Arial" w:eastAsia="宋体" w:cs="Arial"/>
          <w:bCs w:val="0"/>
          <w:lang w:eastAsia="zh-CN"/>
        </w:rPr>
        <w:t>软件</w:t>
      </w:r>
      <w:bookmarkEnd w:id="41"/>
    </w:p>
    <w:p w14:paraId="605D2E7D">
      <w:pPr>
        <w:snapToGrid w:val="0"/>
        <w:spacing w:before="1" w:line="300" w:lineRule="auto"/>
        <w:jc w:val="both"/>
        <w:rPr>
          <w:rFonts w:ascii="Arial" w:hAnsi="Arial" w:eastAsia="宋体" w:cs="Arial"/>
          <w:b/>
          <w:bCs/>
          <w:sz w:val="24"/>
          <w:szCs w:val="24"/>
        </w:rPr>
      </w:pPr>
    </w:p>
    <w:p w14:paraId="00E68C0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对于医疗器械，软件应包括：</w:t>
      </w:r>
    </w:p>
    <w:p w14:paraId="6EB99D46">
      <w:pPr>
        <w:snapToGrid w:val="0"/>
        <w:spacing w:before="11" w:line="300" w:lineRule="auto"/>
        <w:jc w:val="both"/>
        <w:rPr>
          <w:rFonts w:ascii="Arial" w:hAnsi="Arial" w:eastAsia="宋体" w:cs="Arial"/>
          <w:sz w:val="23"/>
          <w:szCs w:val="23"/>
          <w:lang w:eastAsia="zh-CN"/>
        </w:rPr>
      </w:pPr>
    </w:p>
    <w:p w14:paraId="0F781FFC">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固件和其他工具，以用于医疗器械的软件控制；</w:t>
      </w:r>
    </w:p>
    <w:p w14:paraId="2F5C8D6D">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单独的软件应用；</w:t>
      </w:r>
    </w:p>
    <w:p w14:paraId="202537E2">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适用于安装在通用计算机中的软件；</w:t>
      </w:r>
    </w:p>
    <w:p w14:paraId="51B74463">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专用的硬件/软件医疗器械；以及</w:t>
      </w:r>
    </w:p>
    <w:p w14:paraId="746D28EF">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包括在医疗器械的附件中的软件。</w:t>
      </w:r>
    </w:p>
    <w:p w14:paraId="225A5EBF">
      <w:pPr>
        <w:snapToGrid w:val="0"/>
        <w:spacing w:before="8" w:line="300" w:lineRule="auto"/>
        <w:jc w:val="both"/>
        <w:rPr>
          <w:rFonts w:ascii="Arial" w:hAnsi="Arial" w:eastAsia="宋体" w:cs="Arial"/>
          <w:sz w:val="24"/>
          <w:szCs w:val="24"/>
          <w:lang w:eastAsia="zh-CN"/>
        </w:rPr>
      </w:pPr>
    </w:p>
    <w:p w14:paraId="44C74BB8">
      <w:pPr>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如果贵公司的器械含有软件，我们建议贵公司在进行缓解之前基于与软件故障相关的风险提供信息，即“关注程度”。我们建议贵公司提交“有关医疗器械所含有的软件的上市前提交内容指南”（2005年5月11日）中所述的软件器械信息。</w:t>
      </w:r>
      <w:r>
        <w:fldChar w:fldCharType="begin"/>
      </w:r>
      <w:r>
        <w:instrText xml:space="preserve"> HYPERLINK \l "_bookmark25" </w:instrText>
      </w:r>
      <w:r>
        <w:fldChar w:fldCharType="separate"/>
      </w:r>
      <w:r>
        <w:rPr>
          <w:rFonts w:ascii="Arial" w:hAnsi="Arial" w:eastAsia="宋体" w:cs="Arial"/>
          <w:position w:val="11"/>
          <w:sz w:val="16"/>
          <w:szCs w:val="16"/>
          <w:lang w:eastAsia="zh-CN"/>
        </w:rPr>
        <w:t>15</w:t>
      </w:r>
      <w:r>
        <w:rPr>
          <w:rFonts w:ascii="Arial" w:hAnsi="Arial" w:eastAsia="宋体" w:cs="Arial"/>
          <w:position w:val="11"/>
          <w:sz w:val="16"/>
          <w:szCs w:val="16"/>
          <w:lang w:eastAsia="zh-CN"/>
        </w:rPr>
        <w:fldChar w:fldCharType="end"/>
      </w:r>
      <w:r>
        <w:rPr>
          <w:rFonts w:ascii="Arial" w:hAnsi="Arial" w:eastAsia="宋体" w:cs="Arial"/>
          <w:sz w:val="24"/>
          <w:szCs w:val="24"/>
          <w:lang w:eastAsia="zh-CN"/>
        </w:rPr>
        <w:t xml:space="preserve"> </w:t>
      </w:r>
    </w:p>
    <w:p w14:paraId="28451E1D">
      <w:pPr>
        <w:snapToGrid w:val="0"/>
        <w:spacing w:line="300" w:lineRule="auto"/>
        <w:jc w:val="both"/>
        <w:rPr>
          <w:rFonts w:ascii="Arial" w:hAnsi="Arial" w:eastAsia="宋体" w:cs="Arial"/>
          <w:sz w:val="20"/>
          <w:szCs w:val="20"/>
          <w:lang w:eastAsia="zh-CN"/>
        </w:rPr>
      </w:pPr>
    </w:p>
    <w:p w14:paraId="2C13D120">
      <w:pPr>
        <w:snapToGrid w:val="0"/>
        <w:spacing w:before="10" w:line="300" w:lineRule="auto"/>
        <w:jc w:val="both"/>
        <w:rPr>
          <w:rFonts w:ascii="Arial" w:hAnsi="Arial" w:eastAsia="宋体" w:cs="Arial"/>
          <w:sz w:val="10"/>
          <w:szCs w:val="10"/>
          <w:lang w:eastAsia="zh-CN"/>
        </w:rPr>
      </w:pPr>
    </w:p>
    <w:p w14:paraId="39D85B0A">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55" name="Group 53"/>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6" name="Group 54"/>
                        <wpg:cNvGrpSpPr/>
                        <wpg:grpSpPr>
                          <a:xfrm>
                            <a:off x="6" y="6"/>
                            <a:ext cx="2880" cy="2"/>
                            <a:chOff x="6" y="6"/>
                            <a:chExt cx="2880" cy="2"/>
                          </a:xfrm>
                        </wpg:grpSpPr>
                        <wps:wsp>
                          <wps:cNvPr id="57" name="Freeform 55"/>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3"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LvCXjIZAwAA/gcAAA4AAAAAAAAAAQAgAAAAIwEAAGRycy9lMm9Eb2Mu&#10;eG1sUEsFBgAAAAAGAAYAWQEAAK4GAAAAAA==&#10;">
                <o:lock v:ext="edit" aspectratio="f"/>
                <v:group id="Group 54" o:spid="_x0000_s1026" o:spt="203" style="position:absolute;left:6;top:6;height:2;width:2880;" coordorigin="6,6" coordsize="2880,2"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Freeform 55" o:spid="_x0000_s1026" o:spt="100" style="position:absolute;left:6;top:6;height:2;width:2880;" filled="f" stroked="t" coordsize="2880,1" o:gfxdata="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L6J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2CF3979">
      <w:pPr>
        <w:pStyle w:val="6"/>
        <w:snapToGrid w:val="0"/>
        <w:spacing w:before="59" w:line="300" w:lineRule="auto"/>
        <w:ind w:left="0"/>
        <w:rPr>
          <w:rFonts w:ascii="Arial" w:hAnsi="Arial" w:eastAsia="宋体" w:cs="Arial"/>
        </w:rPr>
      </w:pPr>
      <w:bookmarkStart w:id="42" w:name="_bookmark24"/>
      <w:bookmarkEnd w:id="42"/>
      <w:r>
        <w:rPr>
          <w:rFonts w:ascii="Arial" w:hAnsi="Arial" w:eastAsia="宋体" w:cs="Arial"/>
          <w:position w:val="11"/>
          <w:sz w:val="16"/>
        </w:rPr>
        <w:t>14</w:t>
      </w:r>
      <w:r>
        <w:rPr>
          <w:rFonts w:ascii="Arial" w:hAnsi="Arial" w:eastAsia="宋体" w:cs="Arial"/>
          <w:spacing w:val="-2"/>
          <w:position w:val="11"/>
          <w:sz w:val="16"/>
        </w:rPr>
        <w:t xml:space="preserve"> </w:t>
      </w:r>
      <w:r>
        <w:fldChar w:fldCharType="begin"/>
      </w:r>
      <w:r>
        <w:instrText xml:space="preserve"> HYPERLINK "http://www.fda.gov/MedicalDevices/DeviceRegulationandGuidance/GuidanceDocuments/"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//www.fda.gov/MedicalDevices/DeviceRegulationandGuidance/GuidanceDocuments/</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"http://www.fda.gov/MedicalDevices/DeviceRegulationandGuidance/GuidanceDocuments/ucm072783.htm" \h </w:instrText>
      </w:r>
      <w:r>
        <w:fldChar w:fldCharType="separate"/>
      </w:r>
      <w:r>
        <w:rPr>
          <w:rFonts w:ascii="Arial" w:hAnsi="Arial" w:eastAsia="宋体" w:cs="Arial"/>
          <w:color w:val="0000FF"/>
          <w:u w:val="single" w:color="0000FF"/>
        </w:rPr>
        <w:t>ucm072783.htm</w:t>
      </w:r>
      <w:r>
        <w:rPr>
          <w:rFonts w:ascii="Arial" w:hAnsi="Arial" w:eastAsia="宋体" w:cs="Arial"/>
          <w:color w:val="0000FF"/>
          <w:u w:val="single" w:color="0000FF"/>
        </w:rPr>
        <w:fldChar w:fldCharType="end"/>
      </w:r>
    </w:p>
    <w:p w14:paraId="365F7B64">
      <w:pPr>
        <w:pStyle w:val="6"/>
        <w:snapToGrid w:val="0"/>
        <w:spacing w:before="4" w:line="300" w:lineRule="auto"/>
        <w:ind w:left="0"/>
        <w:rPr>
          <w:rFonts w:ascii="Arial" w:hAnsi="Arial" w:eastAsia="宋体" w:cs="Arial"/>
        </w:rPr>
      </w:pPr>
      <w:bookmarkStart w:id="43" w:name="_bookmark25"/>
      <w:bookmarkEnd w:id="43"/>
      <w:r>
        <w:rPr>
          <w:rFonts w:ascii="Arial" w:hAnsi="Arial" w:eastAsia="宋体" w:cs="Arial"/>
          <w:position w:val="11"/>
          <w:sz w:val="16"/>
        </w:rPr>
        <w:t>15</w:t>
      </w:r>
      <w:r>
        <w:rPr>
          <w:rFonts w:ascii="Arial" w:hAnsi="Arial" w:eastAsia="宋体" w:cs="Arial"/>
          <w:spacing w:val="-2"/>
          <w:position w:val="11"/>
          <w:sz w:val="16"/>
        </w:rPr>
        <w:t xml:space="preserve"> </w:t>
      </w:r>
      <w:r>
        <w:fldChar w:fldCharType="begin"/>
      </w:r>
      <w:r>
        <w:instrText xml:space="preserve"> HYPERLINK "http://www.fda.gov/MedicalDevices/DeviceRegulationandGuidance/GuidanceDocuments/"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//www.fda.gov/MedicalDevices/DeviceRegulationandGuidance/GuidanceDocuments/</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"http://www.fda.gov/MedicalDevices/DeviceRegulationandGuidance/GuidanceDocuments/ucm089543.htm" \h </w:instrText>
      </w:r>
      <w:r>
        <w:fldChar w:fldCharType="separate"/>
      </w:r>
      <w:r>
        <w:rPr>
          <w:rFonts w:ascii="Arial" w:hAnsi="Arial" w:eastAsia="宋体" w:cs="Arial"/>
          <w:color w:val="0000FF"/>
          <w:u w:val="single" w:color="0000FF"/>
        </w:rPr>
        <w:t>ucm089543.htm</w:t>
      </w:r>
      <w:r>
        <w:rPr>
          <w:rFonts w:ascii="Arial" w:hAnsi="Arial" w:eastAsia="宋体" w:cs="Arial"/>
          <w:color w:val="0000FF"/>
          <w:u w:val="single" w:color="0000FF"/>
        </w:rPr>
        <w:fldChar w:fldCharType="end"/>
      </w:r>
    </w:p>
    <w:p w14:paraId="2D79C1BF">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2F4FCE99">
      <w:pPr>
        <w:pStyle w:val="3"/>
        <w:numPr>
          <w:ilvl w:val="1"/>
          <w:numId w:val="1"/>
        </w:numPr>
        <w:tabs>
          <w:tab w:val="left" w:pos="1199"/>
          <w:tab w:val="left" w:pos="1200"/>
        </w:tabs>
        <w:snapToGrid w:val="0"/>
        <w:spacing w:before="218" w:line="300" w:lineRule="auto"/>
        <w:ind w:left="720"/>
        <w:jc w:val="both"/>
        <w:rPr>
          <w:rFonts w:ascii="Arial" w:hAnsi="Arial" w:eastAsia="宋体" w:cs="Arial"/>
          <w:b w:val="0"/>
          <w:bCs w:val="0"/>
        </w:rPr>
      </w:pPr>
      <w:bookmarkStart w:id="44" w:name="_bookmark26"/>
      <w:bookmarkEnd w:id="44"/>
      <w:bookmarkStart w:id="45" w:name="I._Repeated_Use_Reliability"/>
      <w:bookmarkEnd w:id="45"/>
      <w:bookmarkStart w:id="46" w:name="_Toc481595900"/>
      <w:r>
        <w:rPr>
          <w:rFonts w:ascii="Arial" w:hAnsi="Arial" w:eastAsia="宋体" w:cs="Arial"/>
        </w:rPr>
        <w:t>重复使用的可靠性</w:t>
      </w:r>
      <w:bookmarkEnd w:id="46"/>
    </w:p>
    <w:p w14:paraId="77CB532C">
      <w:pPr>
        <w:snapToGrid w:val="0"/>
        <w:spacing w:before="1" w:line="300" w:lineRule="auto"/>
        <w:jc w:val="both"/>
        <w:rPr>
          <w:rFonts w:ascii="Arial" w:hAnsi="Arial" w:eastAsia="宋体" w:cs="Arial"/>
          <w:b/>
          <w:bCs/>
          <w:sz w:val="24"/>
          <w:szCs w:val="24"/>
        </w:rPr>
      </w:pPr>
    </w:p>
    <w:p w14:paraId="70B6DA1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用于多种处理的器械、组件或附件的性能和安全性可因重复使用和灭菌而降解。如果贵公司的器械含有旨在用于多种处理的组件，我们建议贵公司提供力学和功能试验数据，以支持器械在组件的整个使用寿命期间的可靠性。</w:t>
      </w:r>
    </w:p>
    <w:p w14:paraId="736B493C">
      <w:pPr>
        <w:snapToGrid w:val="0"/>
        <w:spacing w:before="11" w:line="300" w:lineRule="auto"/>
        <w:jc w:val="both"/>
        <w:rPr>
          <w:rFonts w:ascii="Arial" w:hAnsi="Arial" w:eastAsia="宋体" w:cs="Arial"/>
          <w:sz w:val="23"/>
          <w:szCs w:val="23"/>
          <w:lang w:eastAsia="zh-CN"/>
        </w:rPr>
      </w:pPr>
    </w:p>
    <w:p w14:paraId="72E7CF05">
      <w:pPr>
        <w:pStyle w:val="3"/>
        <w:numPr>
          <w:ilvl w:val="1"/>
          <w:numId w:val="1"/>
        </w:numPr>
        <w:tabs>
          <w:tab w:val="left" w:pos="1199"/>
          <w:tab w:val="left" w:pos="1200"/>
        </w:tabs>
        <w:snapToGrid w:val="0"/>
        <w:spacing w:before="218" w:line="300" w:lineRule="auto"/>
        <w:ind w:left="720"/>
        <w:jc w:val="both"/>
        <w:rPr>
          <w:rFonts w:ascii="Arial" w:hAnsi="Arial" w:eastAsia="宋体" w:cs="Arial"/>
          <w:lang w:eastAsia="zh-CN"/>
        </w:rPr>
      </w:pPr>
      <w:bookmarkStart w:id="47" w:name="_bookmark27"/>
      <w:bookmarkEnd w:id="47"/>
      <w:bookmarkStart w:id="48" w:name="J._In_Vitro_Thermal_Mapping_(Phantom_Stu"/>
      <w:bookmarkEnd w:id="48"/>
      <w:bookmarkStart w:id="49" w:name="_Toc481595901"/>
      <w:r>
        <w:rPr>
          <w:rFonts w:ascii="Arial" w:hAnsi="Arial" w:eastAsia="宋体" w:cs="Arial"/>
          <w:lang w:eastAsia="zh-CN"/>
        </w:rPr>
        <w:t>体外热成像（体模研究）</w:t>
      </w:r>
      <w:bookmarkEnd w:id="49"/>
    </w:p>
    <w:p w14:paraId="0993A7B1">
      <w:pPr>
        <w:snapToGrid w:val="0"/>
        <w:spacing w:before="1" w:line="300" w:lineRule="auto"/>
        <w:jc w:val="both"/>
        <w:rPr>
          <w:rFonts w:ascii="Arial" w:hAnsi="Arial" w:eastAsia="宋体" w:cs="Arial"/>
          <w:b/>
          <w:bCs/>
          <w:sz w:val="24"/>
          <w:szCs w:val="24"/>
          <w:lang w:eastAsia="zh-CN"/>
        </w:rPr>
      </w:pPr>
    </w:p>
    <w:p w14:paraId="020A13A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一些器械通过在前列腺内产生热场来治疗BPH（例如，TUMT）。热场的大小和分布会影响与器械相关的治疗有效性和风险。组织等效体模中进行体外热成像可在将该器械应用于人或动物群体中之前提供关于热场的重要信息。</w:t>
      </w:r>
    </w:p>
    <w:p w14:paraId="65DBE725">
      <w:pPr>
        <w:snapToGrid w:val="0"/>
        <w:spacing w:before="1" w:line="300" w:lineRule="auto"/>
        <w:jc w:val="both"/>
        <w:rPr>
          <w:rFonts w:ascii="Arial" w:hAnsi="Arial" w:eastAsia="宋体" w:cs="Arial"/>
          <w:sz w:val="24"/>
          <w:szCs w:val="24"/>
          <w:lang w:eastAsia="zh-CN"/>
        </w:rPr>
      </w:pPr>
    </w:p>
    <w:p w14:paraId="50C4F38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如果贵公司的器械是可以产生热场的器械，我们建议贵公司于体温下在组织等效体模中对温度梯度（即穿透深度和热量分布）进行成像。我们建议体模研究的设计应提供以下信息：</w:t>
      </w:r>
    </w:p>
    <w:p w14:paraId="42DECF9E">
      <w:pPr>
        <w:snapToGrid w:val="0"/>
        <w:spacing w:before="11" w:line="300" w:lineRule="auto"/>
        <w:jc w:val="both"/>
        <w:rPr>
          <w:rFonts w:ascii="Arial" w:hAnsi="Arial" w:eastAsia="宋体" w:cs="Arial"/>
          <w:sz w:val="23"/>
          <w:szCs w:val="23"/>
          <w:lang w:eastAsia="zh-CN"/>
        </w:rPr>
      </w:pPr>
    </w:p>
    <w:p w14:paraId="6C122250">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比吸收率（SAR，W / Kg）的空间图；</w:t>
      </w:r>
    </w:p>
    <w:p w14:paraId="3F9F0B29">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作为时间的函数的测量温度的空间图；</w:t>
      </w:r>
      <w:r>
        <w:rPr>
          <w:rFonts w:ascii="Arial" w:hAnsi="Arial" w:eastAsia="宋体" w:cs="Arial"/>
          <w:sz w:val="24"/>
          <w:szCs w:val="24"/>
          <w:vertAlign w:val="superscript"/>
          <w:lang w:eastAsia="zh-CN"/>
        </w:rPr>
        <w:t>16</w:t>
      </w:r>
    </w:p>
    <w:p w14:paraId="30B621FD">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最高记录温度的值、位置和时间；以及</w:t>
      </w:r>
    </w:p>
    <w:p w14:paraId="1E6F734A">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沿多个径向平面（即优先侧、优先侧的对侧、每个外侧）以各种距离记录的数据，包括每个平面中最大记录温度的值、径向距离和时间，如果优先 加热适用于该器械。</w:t>
      </w:r>
      <w:r>
        <w:fldChar w:fldCharType="begin"/>
      </w:r>
      <w:r>
        <w:instrText xml:space="preserve"> HYPERLINK \l "_bookmark29" </w:instrText>
      </w:r>
      <w:r>
        <w:fldChar w:fldCharType="separate"/>
      </w:r>
      <w:r>
        <w:rPr>
          <w:rFonts w:ascii="Arial" w:hAnsi="Arial" w:eastAsia="宋体" w:cs="Arial"/>
          <w:sz w:val="24"/>
          <w:szCs w:val="24"/>
          <w:vertAlign w:val="superscript"/>
          <w:lang w:eastAsia="zh-CN"/>
        </w:rPr>
        <w:t>17</w:t>
      </w:r>
      <w:r>
        <w:rPr>
          <w:rFonts w:ascii="Arial" w:hAnsi="Arial" w:eastAsia="宋体" w:cs="Arial"/>
          <w:sz w:val="24"/>
          <w:szCs w:val="24"/>
          <w:vertAlign w:val="superscript"/>
          <w:lang w:eastAsia="zh-CN"/>
        </w:rPr>
        <w:fldChar w:fldCharType="end"/>
      </w:r>
    </w:p>
    <w:p w14:paraId="146CECB1">
      <w:pPr>
        <w:snapToGrid w:val="0"/>
        <w:spacing w:before="2" w:line="300" w:lineRule="auto"/>
        <w:jc w:val="both"/>
        <w:rPr>
          <w:rFonts w:ascii="Arial" w:hAnsi="Arial" w:eastAsia="宋体" w:cs="Arial"/>
          <w:sz w:val="24"/>
          <w:szCs w:val="24"/>
          <w:lang w:eastAsia="zh-CN"/>
        </w:rPr>
      </w:pPr>
    </w:p>
    <w:p w14:paraId="3909892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用于进行这些类型的体模研究的科学有效方法多种多样。我们建议贵公司提供有关所使用方法的详细说明和理由，其中包括：</w:t>
      </w:r>
    </w:p>
    <w:p w14:paraId="32B234BF">
      <w:pPr>
        <w:snapToGrid w:val="0"/>
        <w:spacing w:line="300" w:lineRule="auto"/>
        <w:jc w:val="both"/>
        <w:rPr>
          <w:rFonts w:ascii="Arial" w:hAnsi="Arial" w:eastAsia="宋体" w:cs="Arial"/>
          <w:sz w:val="24"/>
          <w:szCs w:val="24"/>
          <w:lang w:eastAsia="zh-CN"/>
        </w:rPr>
      </w:pPr>
    </w:p>
    <w:p w14:paraId="527C327B">
      <w:pPr>
        <w:pStyle w:val="18"/>
        <w:numPr>
          <w:ilvl w:val="2"/>
          <w:numId w:val="1"/>
        </w:numPr>
        <w:snapToGrid w:val="0"/>
        <w:spacing w:line="300" w:lineRule="auto"/>
        <w:ind w:left="742" w:leftChars="210" w:hanging="280"/>
        <w:jc w:val="both"/>
        <w:rPr>
          <w:rFonts w:ascii="Arial" w:hAnsi="Arial" w:eastAsia="宋体" w:cs="Arial"/>
          <w:sz w:val="20"/>
          <w:szCs w:val="20"/>
          <w:lang w:eastAsia="zh-CN"/>
        </w:rPr>
      </w:pPr>
      <w:r>
        <w:rPr>
          <w:rFonts w:ascii="Arial" w:hAnsi="Arial" w:eastAsia="宋体" w:cs="Arial"/>
          <w:sz w:val="24"/>
          <w:szCs w:val="24"/>
          <w:lang w:eastAsia="zh-CN"/>
        </w:rPr>
        <w:t>试验装置，包括标有尺寸和传感器位置的图；</w:t>
      </w:r>
    </w:p>
    <w:p w14:paraId="1C6086ED">
      <w:pPr>
        <w:snapToGrid w:val="0"/>
        <w:spacing w:before="1" w:line="300" w:lineRule="auto"/>
        <w:jc w:val="both"/>
        <w:rPr>
          <w:rFonts w:ascii="Arial" w:hAnsi="Arial" w:eastAsia="宋体" w:cs="Arial"/>
          <w:sz w:val="14"/>
          <w:szCs w:val="14"/>
          <w:lang w:eastAsia="zh-CN"/>
        </w:rPr>
      </w:pPr>
    </w:p>
    <w:p w14:paraId="6CD1F147">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52" name="Group 50"/>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3" name="Group 51"/>
                        <wpg:cNvGrpSpPr/>
                        <wpg:grpSpPr>
                          <a:xfrm>
                            <a:off x="6" y="6"/>
                            <a:ext cx="2880" cy="2"/>
                            <a:chOff x="6" y="6"/>
                            <a:chExt cx="2880" cy="2"/>
                          </a:xfrm>
                        </wpg:grpSpPr>
                        <wps:wsp>
                          <wps:cNvPr id="54" name="Freeform 52"/>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0"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P6EhdQAAAADAQAADwAAAAAAAAABACAAAAAiAAAAZHJzL2Rvd25yZXYu&#10;eG1sUEsBAhQAFAAAAAgAh07iQFcYoFwcAwAA/gcAAA4AAAAAAAAAAQAgAAAAIwEAAGRycy9lMm9E&#10;b2MueG1sUEsFBgAAAAAGAAYAWQEAALEGAAAAAA==&#10;">
                <o:lock v:ext="edit" aspectratio="f"/>
                <v:group id="Group 51" o:spid="_x0000_s1026" o:spt="203" style="position:absolute;left:6;top:6;height:2;width:2880;" coordorigin="6,6" coordsize="2880,2"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Freeform 52" o:spid="_x0000_s1026" o:spt="100" style="position:absolute;left:6;top:6;height:2;width:2880;" filled="f" stroked="t" coordsize="2880,1" o:gfxdata="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LiD+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4603785">
      <w:pPr>
        <w:pStyle w:val="6"/>
        <w:snapToGrid w:val="0"/>
        <w:spacing w:before="59" w:line="300" w:lineRule="auto"/>
        <w:ind w:left="0"/>
        <w:jc w:val="both"/>
        <w:rPr>
          <w:rFonts w:ascii="Arial" w:hAnsi="Arial" w:eastAsia="宋体" w:cs="Arial"/>
          <w:lang w:eastAsia="zh-CN"/>
        </w:rPr>
      </w:pPr>
      <w:bookmarkStart w:id="50" w:name="_bookmark28"/>
      <w:bookmarkEnd w:id="50"/>
      <w:r>
        <w:rPr>
          <w:rFonts w:ascii="Arial" w:hAnsi="Arial" w:eastAsia="宋体" w:cs="Arial"/>
          <w:position w:val="11"/>
          <w:sz w:val="16"/>
          <w:lang w:eastAsia="zh-CN"/>
        </w:rPr>
        <w:t>16</w:t>
      </w:r>
      <w:r>
        <w:rPr>
          <w:rFonts w:ascii="Arial" w:hAnsi="Arial" w:eastAsia="宋体" w:cs="Arial"/>
          <w:lang w:eastAsia="zh-CN"/>
        </w:rPr>
        <w:t>对于基于导管的施用器，通常通过测量整个导管长度以及多个径向平面中的温度来最方便地创建空间图。</w:t>
      </w:r>
    </w:p>
    <w:p w14:paraId="28F703E2">
      <w:pPr>
        <w:pStyle w:val="6"/>
        <w:snapToGrid w:val="0"/>
        <w:spacing w:before="4" w:line="300" w:lineRule="auto"/>
        <w:ind w:left="0"/>
        <w:jc w:val="both"/>
        <w:rPr>
          <w:rFonts w:ascii="Arial" w:hAnsi="Arial" w:eastAsia="宋体" w:cs="Arial"/>
          <w:lang w:eastAsia="zh-CN"/>
        </w:rPr>
      </w:pPr>
      <w:bookmarkStart w:id="51" w:name="_bookmark29"/>
      <w:bookmarkEnd w:id="51"/>
      <w:r>
        <w:rPr>
          <w:rFonts w:ascii="Arial" w:hAnsi="Arial" w:eastAsia="宋体" w:cs="Arial"/>
          <w:position w:val="11"/>
          <w:sz w:val="16"/>
          <w:lang w:eastAsia="zh-CN"/>
        </w:rPr>
        <w:t>17</w:t>
      </w:r>
      <w:r>
        <w:rPr>
          <w:rFonts w:ascii="Arial" w:hAnsi="Arial" w:eastAsia="宋体" w:cs="Arial"/>
          <w:lang w:eastAsia="zh-CN"/>
        </w:rPr>
        <w:t>一些热疗施用器专门设计用于提供优先加热。然而，在某种程度上，优先加热可在不完全轴对称的任何施用器中发生。因此，我们建议贵公司在初始体模试验中为所有器械收集多个径向平面中的数据。如果试验确认热场对称，则贵公司可以在进行后续体模试验期间减少平面数量</w:t>
      </w:r>
    </w:p>
    <w:p w14:paraId="6D942518">
      <w:pPr>
        <w:widowControl/>
        <w:rPr>
          <w:rFonts w:ascii="Arial" w:hAnsi="Arial" w:eastAsia="宋体" w:cs="Arial"/>
          <w:sz w:val="24"/>
          <w:szCs w:val="24"/>
          <w:lang w:eastAsia="zh-CN"/>
        </w:rPr>
      </w:pPr>
      <w:r>
        <w:rPr>
          <w:rFonts w:ascii="Arial" w:hAnsi="Arial" w:eastAsia="宋体" w:cs="Arial"/>
          <w:lang w:eastAsia="zh-CN"/>
        </w:rPr>
        <w:br w:type="page"/>
      </w:r>
    </w:p>
    <w:p w14:paraId="095AB918">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所使用的传感器，包括证明其不受该器械产生的场影响的证据；</w:t>
      </w:r>
    </w:p>
    <w:p w14:paraId="0BA0E882">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体模，包括其成分、热和物理常数（例如，热导率、密度和热容量）电磁特性，例如拟定频率下的介电常数和电导率，以及有关体模的参考资料（如果可用）；</w:t>
      </w:r>
    </w:p>
    <w:p w14:paraId="25A90E4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所使用的器械设置和参数；以及</w:t>
      </w:r>
    </w:p>
    <w:p w14:paraId="3FE57719">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功率控制单元的技术特性和功率调节方法。</w:t>
      </w:r>
    </w:p>
    <w:p w14:paraId="0BD29054">
      <w:pPr>
        <w:snapToGrid w:val="0"/>
        <w:spacing w:before="12" w:line="300" w:lineRule="auto"/>
        <w:jc w:val="both"/>
        <w:rPr>
          <w:rFonts w:ascii="Arial" w:hAnsi="Arial" w:eastAsia="宋体" w:cs="Arial"/>
          <w:sz w:val="23"/>
          <w:szCs w:val="23"/>
          <w:lang w:eastAsia="zh-CN"/>
        </w:rPr>
      </w:pPr>
    </w:p>
    <w:p w14:paraId="2DDB6A0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贵公司报告贵公司的器械热成像结果时，我们建议贵公司提供一个科学合理的原理，以说明使用组织等效体模获得的结果如何与在人类中的临床应用相关。具体来说，我们建议，讨论应包括以下内容：</w:t>
      </w:r>
    </w:p>
    <w:p w14:paraId="20F340DD">
      <w:pPr>
        <w:snapToGrid w:val="0"/>
        <w:spacing w:line="300" w:lineRule="auto"/>
        <w:jc w:val="both"/>
        <w:rPr>
          <w:rFonts w:ascii="Arial" w:hAnsi="Arial" w:eastAsia="宋体" w:cs="Arial"/>
          <w:sz w:val="24"/>
          <w:szCs w:val="24"/>
          <w:lang w:eastAsia="zh-CN"/>
        </w:rPr>
      </w:pPr>
    </w:p>
    <w:p w14:paraId="714D9078">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结果与下尿路相关解剖形态之间的关系；</w:t>
      </w:r>
    </w:p>
    <w:p w14:paraId="610A5E73">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数据如何表明，贵公司的器械可为前列腺提供治疗性加热，而不会对非靶组织进行临床显著加热；以及</w:t>
      </w:r>
    </w:p>
    <w:p w14:paraId="441CA5D5">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前列腺和周围组织的异质组织成分的影响，包括血流。</w:t>
      </w:r>
    </w:p>
    <w:p w14:paraId="5FCAEE4F">
      <w:pPr>
        <w:snapToGrid w:val="0"/>
        <w:spacing w:before="12" w:line="300" w:lineRule="auto"/>
        <w:jc w:val="both"/>
        <w:rPr>
          <w:rFonts w:ascii="Arial" w:hAnsi="Arial" w:eastAsia="宋体" w:cs="Arial"/>
          <w:sz w:val="23"/>
          <w:szCs w:val="23"/>
          <w:lang w:eastAsia="zh-CN"/>
        </w:rPr>
      </w:pPr>
    </w:p>
    <w:p w14:paraId="3C4154AF">
      <w:pPr>
        <w:pStyle w:val="3"/>
        <w:numPr>
          <w:ilvl w:val="1"/>
          <w:numId w:val="1"/>
        </w:numPr>
        <w:tabs>
          <w:tab w:val="left" w:pos="1199"/>
          <w:tab w:val="left" w:pos="1200"/>
        </w:tabs>
        <w:snapToGrid w:val="0"/>
        <w:spacing w:before="218" w:line="300" w:lineRule="auto"/>
        <w:ind w:left="720"/>
        <w:jc w:val="both"/>
        <w:rPr>
          <w:rFonts w:ascii="Arial" w:hAnsi="Arial" w:eastAsia="宋体" w:cs="Arial"/>
        </w:rPr>
      </w:pPr>
      <w:bookmarkStart w:id="52" w:name="K._Animal_Study_"/>
      <w:bookmarkEnd w:id="52"/>
      <w:bookmarkStart w:id="53" w:name="_bookmark30"/>
      <w:bookmarkEnd w:id="53"/>
      <w:bookmarkStart w:id="54" w:name="_Toc481595902"/>
      <w:r>
        <w:rPr>
          <w:rFonts w:ascii="Arial" w:hAnsi="Arial" w:eastAsia="宋体" w:cs="Arial"/>
        </w:rPr>
        <w:t>动物研究</w:t>
      </w:r>
      <w:bookmarkEnd w:id="54"/>
    </w:p>
    <w:p w14:paraId="30D4EA11">
      <w:pPr>
        <w:snapToGrid w:val="0"/>
        <w:spacing w:before="1" w:line="300" w:lineRule="auto"/>
        <w:jc w:val="both"/>
        <w:rPr>
          <w:rFonts w:ascii="Arial" w:hAnsi="Arial" w:eastAsia="宋体" w:cs="Arial"/>
          <w:b/>
          <w:bCs/>
          <w:sz w:val="24"/>
          <w:szCs w:val="24"/>
        </w:rPr>
      </w:pPr>
    </w:p>
    <w:p w14:paraId="431E148E">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确认该器械在其预期用途下的性能，我们认为，动物研究可以对器械设计的功能特性和程序的安全性进行有效评估。台架模型的固有局限性使得可以对一些安全性和有效性问题进行充分评估，而此类评估难以通过单独的台架试验来进行。例如，单独的台架试验无法评估与热场生产器械相关的组织坏死和愈合。对于大多数新型BPH器械，动物研究可提供数据来评价临床应用于人类之前的这种安全性和有效性。在某些情况下，动物研究可提供足够的数据，以便在未提供临床数据的情况下确定安全性和有效性与合法销售的器械等同。</w:t>
      </w:r>
    </w:p>
    <w:p w14:paraId="1E9540A9">
      <w:pPr>
        <w:snapToGrid w:val="0"/>
        <w:spacing w:before="12" w:line="300" w:lineRule="auto"/>
        <w:jc w:val="both"/>
        <w:rPr>
          <w:rFonts w:ascii="Arial" w:hAnsi="Arial" w:eastAsia="宋体" w:cs="Arial"/>
          <w:sz w:val="23"/>
          <w:szCs w:val="23"/>
          <w:lang w:eastAsia="zh-CN"/>
        </w:rPr>
      </w:pPr>
    </w:p>
    <w:p w14:paraId="6B42DBD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我们建议贵公司在综合性非临床试验计划中进行评估以确定是否进行动物研究。为适用于治疗BPH的新器械进行动物研究的需求取决于以下因素，其中包括：</w:t>
      </w:r>
    </w:p>
    <w:p w14:paraId="39D267CB">
      <w:pPr>
        <w:snapToGrid w:val="0"/>
        <w:spacing w:line="300" w:lineRule="auto"/>
        <w:jc w:val="both"/>
        <w:rPr>
          <w:rFonts w:ascii="Arial" w:hAnsi="Arial" w:eastAsia="宋体" w:cs="Arial"/>
          <w:sz w:val="24"/>
          <w:szCs w:val="24"/>
          <w:lang w:eastAsia="zh-CN"/>
        </w:rPr>
      </w:pPr>
    </w:p>
    <w:p w14:paraId="7B45785A">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器械设计；</w:t>
      </w:r>
    </w:p>
    <w:p w14:paraId="7CF8C2FE">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材料施工；</w:t>
      </w:r>
    </w:p>
    <w:p w14:paraId="55503820">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操作机制；</w:t>
      </w:r>
    </w:p>
    <w:p w14:paraId="2741DC37">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临床应用的时间；</w:t>
      </w:r>
    </w:p>
    <w:p w14:paraId="2F722C71">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临床应用史；以及</w:t>
      </w:r>
    </w:p>
    <w:p w14:paraId="727BAC75">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来自先前动物研究、人类临床试验（国内和国内）或其他适当研究的数据。</w:t>
      </w:r>
    </w:p>
    <w:p w14:paraId="233B0E41">
      <w:pPr>
        <w:snapToGrid w:val="0"/>
        <w:spacing w:before="12" w:line="300" w:lineRule="auto"/>
        <w:jc w:val="both"/>
        <w:rPr>
          <w:rFonts w:ascii="Arial" w:hAnsi="Arial" w:eastAsia="宋体" w:cs="Arial"/>
          <w:sz w:val="23"/>
          <w:szCs w:val="23"/>
          <w:lang w:eastAsia="zh-CN"/>
        </w:rPr>
      </w:pPr>
    </w:p>
    <w:p w14:paraId="55299D2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为了方便我们对贵公司的研究方法和结果进行独立评价，我们建议贵公司提供完整的详细说明和理由：</w:t>
      </w:r>
    </w:p>
    <w:p w14:paraId="49BA74A9">
      <w:pPr>
        <w:snapToGrid w:val="0"/>
        <w:spacing w:before="3" w:line="300" w:lineRule="auto"/>
        <w:jc w:val="both"/>
        <w:rPr>
          <w:rFonts w:ascii="Arial" w:hAnsi="Arial" w:eastAsia="宋体" w:cs="Arial"/>
          <w:lang w:eastAsia="zh-CN"/>
        </w:rPr>
      </w:pPr>
    </w:p>
    <w:p w14:paraId="1D3E39BD">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动物模型的选择和所测死的动物数量；18</w:t>
      </w:r>
    </w:p>
    <w:p w14:paraId="1163C52A">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试验方案，包括目标和程序；</w:t>
      </w:r>
    </w:p>
    <w:p w14:paraId="711E2627">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研究结果，包括研究者的意见；</w:t>
      </w:r>
    </w:p>
    <w:p w14:paraId="4FF8EF01">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研究结论；</w:t>
      </w:r>
    </w:p>
    <w:p w14:paraId="7F870F22">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治疗地点；</w:t>
      </w:r>
    </w:p>
    <w:p w14:paraId="509AD881">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所有并发症</w:t>
      </w:r>
    </w:p>
    <w:p w14:paraId="64C6C0DD">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所有器械故障；以及</w:t>
      </w:r>
    </w:p>
    <w:p w14:paraId="4655BF8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与人体解剖形态相关的研究结果以及该器械的预期用途。</w:t>
      </w:r>
    </w:p>
    <w:p w14:paraId="2EC0C1A6">
      <w:pPr>
        <w:snapToGrid w:val="0"/>
        <w:spacing w:before="12" w:line="300" w:lineRule="auto"/>
        <w:jc w:val="both"/>
        <w:rPr>
          <w:rFonts w:ascii="Arial" w:hAnsi="Arial" w:eastAsia="宋体" w:cs="Arial"/>
          <w:sz w:val="23"/>
          <w:szCs w:val="23"/>
          <w:lang w:eastAsia="zh-CN"/>
        </w:rPr>
      </w:pPr>
    </w:p>
    <w:p w14:paraId="29B33CF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此外，我们建议贵公司对治疗区域进行组织学检查，优选情况下，应由一名盲选的独立病理学家进行评价，其中包括以下内容：</w:t>
      </w:r>
    </w:p>
    <w:p w14:paraId="7A514934">
      <w:pPr>
        <w:snapToGrid w:val="0"/>
        <w:spacing w:line="300" w:lineRule="auto"/>
        <w:jc w:val="both"/>
        <w:rPr>
          <w:rFonts w:ascii="Arial" w:hAnsi="Arial" w:eastAsia="宋体" w:cs="Arial"/>
          <w:sz w:val="24"/>
          <w:szCs w:val="24"/>
          <w:lang w:eastAsia="zh-CN"/>
        </w:rPr>
      </w:pPr>
    </w:p>
    <w:p w14:paraId="240D2E39">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连续切片并用苏木精和伊红染液进行染色；</w:t>
      </w:r>
    </w:p>
    <w:p w14:paraId="17ECCC63">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尽可能地提供微观组织学的实际代表性照片；以及</w:t>
      </w:r>
    </w:p>
    <w:p w14:paraId="6F59D5C3">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对前列腺、直肠壁、膀胱颈、外括约肌、神经血管束和前列腺囊中的变化进行显微镜检查和组织学说明；</w:t>
      </w:r>
    </w:p>
    <w:p w14:paraId="540DB85A">
      <w:pPr>
        <w:snapToGrid w:val="0"/>
        <w:spacing w:before="1" w:line="300" w:lineRule="auto"/>
        <w:jc w:val="both"/>
        <w:rPr>
          <w:rFonts w:ascii="Arial" w:hAnsi="Arial" w:eastAsia="宋体" w:cs="Arial"/>
          <w:sz w:val="24"/>
          <w:szCs w:val="24"/>
          <w:lang w:eastAsia="zh-CN"/>
        </w:rPr>
      </w:pPr>
    </w:p>
    <w:p w14:paraId="6DFF4A4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我们建议对新型热场生产器械和支架进行以下具体动物研究。</w:t>
      </w:r>
    </w:p>
    <w:p w14:paraId="57B33BB0">
      <w:pPr>
        <w:snapToGrid w:val="0"/>
        <w:spacing w:before="12" w:line="300" w:lineRule="auto"/>
        <w:jc w:val="both"/>
        <w:rPr>
          <w:rFonts w:ascii="Arial" w:hAnsi="Arial" w:eastAsia="宋体" w:cs="Arial"/>
          <w:sz w:val="23"/>
          <w:szCs w:val="23"/>
          <w:lang w:eastAsia="zh-CN"/>
        </w:rPr>
      </w:pPr>
    </w:p>
    <w:p w14:paraId="41A5220B">
      <w:pPr>
        <w:pStyle w:val="5"/>
        <w:numPr>
          <w:ilvl w:val="0"/>
          <w:numId w:val="2"/>
        </w:numPr>
        <w:tabs>
          <w:tab w:val="left" w:pos="1200"/>
        </w:tabs>
        <w:snapToGrid w:val="0"/>
        <w:spacing w:line="300" w:lineRule="auto"/>
        <w:ind w:left="357" w:hanging="357"/>
        <w:jc w:val="both"/>
        <w:rPr>
          <w:rFonts w:ascii="Arial" w:hAnsi="Arial" w:eastAsia="宋体" w:cs="Arial"/>
          <w:b w:val="0"/>
          <w:bCs w:val="0"/>
          <w:i w:val="0"/>
        </w:rPr>
      </w:pPr>
      <w:bookmarkStart w:id="55" w:name="_bookmark31"/>
      <w:bookmarkEnd w:id="55"/>
      <w:bookmarkStart w:id="56" w:name="1._Thermotherapy"/>
      <w:bookmarkEnd w:id="56"/>
      <w:bookmarkStart w:id="57" w:name="_Toc481595903"/>
      <w:r>
        <w:rPr>
          <w:rFonts w:ascii="Arial" w:hAnsi="Arial" w:eastAsia="宋体" w:cs="Arial"/>
        </w:rPr>
        <w:t>热疗</w:t>
      </w:r>
      <w:bookmarkEnd w:id="57"/>
    </w:p>
    <w:p w14:paraId="319AD4F7">
      <w:pPr>
        <w:snapToGrid w:val="0"/>
        <w:spacing w:before="12" w:line="300" w:lineRule="auto"/>
        <w:jc w:val="both"/>
        <w:rPr>
          <w:rFonts w:ascii="Arial" w:hAnsi="Arial" w:eastAsia="宋体" w:cs="Arial"/>
          <w:b/>
          <w:bCs/>
          <w:i/>
          <w:sz w:val="23"/>
          <w:szCs w:val="23"/>
        </w:rPr>
      </w:pPr>
    </w:p>
    <w:p w14:paraId="74C0D7B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用于通过设计治疗BPH的热场生产（即，热疗）器械可产生组织损伤温度以作为操作机制。台架试验（例如体外热成像）可提供部分证据，以证明热场生产器械可以将靶组织的温度提高到治疗温度，且不会对周围的非靶组织（例如直肠、膀胱）进行临床显著加热。然而，常用的体模无法获取人类泌尿系统的重要特性（其中，其可影响器械的性能和安全性），例如血流量、组织异质性和主动性组织处理，例如愈合。</w:t>
      </w:r>
    </w:p>
    <w:p w14:paraId="5105566A">
      <w:pPr>
        <w:snapToGrid w:val="0"/>
        <w:spacing w:line="300" w:lineRule="auto"/>
        <w:jc w:val="both"/>
        <w:rPr>
          <w:rFonts w:ascii="Arial" w:hAnsi="Arial" w:eastAsia="宋体" w:cs="Arial"/>
          <w:sz w:val="20"/>
          <w:szCs w:val="20"/>
          <w:lang w:eastAsia="zh-CN"/>
        </w:rPr>
      </w:pPr>
    </w:p>
    <w:p w14:paraId="4122C689">
      <w:pPr>
        <w:snapToGrid w:val="0"/>
        <w:spacing w:before="6" w:line="300" w:lineRule="auto"/>
        <w:jc w:val="both"/>
        <w:rPr>
          <w:rFonts w:ascii="Arial" w:hAnsi="Arial" w:eastAsia="宋体" w:cs="Arial"/>
          <w:sz w:val="12"/>
          <w:szCs w:val="12"/>
          <w:lang w:eastAsia="zh-CN"/>
        </w:rPr>
      </w:pPr>
    </w:p>
    <w:p w14:paraId="675069F1">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49" name="Group 47"/>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0" name="Group 48"/>
                        <wpg:cNvGrpSpPr/>
                        <wpg:grpSpPr>
                          <a:xfrm>
                            <a:off x="6" y="6"/>
                            <a:ext cx="2880" cy="2"/>
                            <a:chOff x="6" y="6"/>
                            <a:chExt cx="2880" cy="2"/>
                          </a:xfrm>
                        </wpg:grpSpPr>
                        <wps:wsp>
                          <wps:cNvPr id="51" name="Freeform 49"/>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7"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ID+hIXUAAAAAwEAAA8AAAAAAAAAAQAgAAAAIgAAAGRycy9kb3ducmV2&#10;LnhtbFBLAQIUABQAAAAIAIdO4kAiANyFHQMAAP4HAAAOAAAAAAAAAAEAIAAAACMBAABkcnMvZTJv&#10;RG9jLnhtbFBLBQYAAAAABgAGAFkBAACyBgAAAAA=&#10;">
                <o:lock v:ext="edit" aspectratio="f"/>
                <v:group id="Group 48" o:spid="_x0000_s1026" o:spt="203" style="position:absolute;left:6;top:6;height:2;width:2880;" coordorigin="6,6" coordsize="2880,2"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Freeform 49" o:spid="_x0000_s1026" o:spt="100" style="position:absolute;left:6;top:6;height:2;width:2880;" filled="f" stroked="t" coordsize="2880,1" o:gfxdata="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mDZr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1294ABD">
      <w:pPr>
        <w:pStyle w:val="6"/>
        <w:snapToGrid w:val="0"/>
        <w:spacing w:before="59" w:line="300" w:lineRule="auto"/>
        <w:ind w:left="0"/>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bookmarkStart w:id="58" w:name="_bookmark32"/>
      <w:bookmarkEnd w:id="58"/>
      <w:r>
        <w:rPr>
          <w:rFonts w:ascii="Arial" w:hAnsi="Arial" w:eastAsia="宋体" w:cs="Arial"/>
          <w:position w:val="11"/>
          <w:sz w:val="16"/>
          <w:lang w:eastAsia="zh-CN"/>
        </w:rPr>
        <w:t>18</w:t>
      </w:r>
      <w:r>
        <w:rPr>
          <w:rFonts w:ascii="Arial" w:hAnsi="Arial" w:eastAsia="宋体" w:cs="Arial"/>
          <w:lang w:eastAsia="zh-CN"/>
        </w:rPr>
        <w:t>我们建议贵公司为每种实验条件（即每个观察时间点、每个器械操作设置）使用数量在分析上有意义的动物进行该研究。</w:t>
      </w:r>
    </w:p>
    <w:p w14:paraId="6CB910EE">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认为，用于检查非靶组织的温度分布、组织学变化和安全性的动物研究对于评估临床应用于人类之前治疗的组织效应来说至关重要。动物研究对于其中加热未被定位并且整个前列腺暴露于长时间加热的器械（例如，TUMT器械）或对于使用用于生产热场新型机制的器械来说特别重要。</w:t>
      </w:r>
    </w:p>
    <w:p w14:paraId="6D8E83D9">
      <w:pPr>
        <w:snapToGrid w:val="0"/>
        <w:spacing w:before="1" w:line="300" w:lineRule="auto"/>
        <w:jc w:val="both"/>
        <w:rPr>
          <w:rFonts w:ascii="Arial" w:hAnsi="Arial" w:eastAsia="宋体" w:cs="Arial"/>
          <w:sz w:val="24"/>
          <w:szCs w:val="24"/>
          <w:lang w:eastAsia="zh-CN"/>
        </w:rPr>
      </w:pPr>
    </w:p>
    <w:p w14:paraId="5DB5E22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在雄性犬类中进行动物研究，提供前列腺和非靶组织的完整热成像（即经腹膜间质热成像，包括静脉内、周围静脉和前直肠壁组织）。由于人类与动物的解剖形态并不相同，我们建议对器械组件（治疗施用器、温度探针）和温度传感器的位置进行图像验证。</w:t>
      </w:r>
    </w:p>
    <w:p w14:paraId="3FC75C6A">
      <w:pPr>
        <w:snapToGrid w:val="0"/>
        <w:spacing w:before="1" w:line="300" w:lineRule="auto"/>
        <w:jc w:val="both"/>
        <w:rPr>
          <w:rFonts w:ascii="Arial" w:hAnsi="Arial" w:eastAsia="宋体" w:cs="Arial"/>
          <w:sz w:val="24"/>
          <w:szCs w:val="24"/>
          <w:lang w:eastAsia="zh-CN"/>
        </w:rPr>
      </w:pPr>
    </w:p>
    <w:p w14:paraId="42C2D94E">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为动物研究选择近似人类中的临床应用的操作参数，评价该器械设计的安全性和功能特性，并验证该器械在其预期用途下的性能。我们建议贵公司评价可实现的功率级和温度的完整范围，包括最大功率和时间设置。如果贵公司的器械含有多个施用器设计或不同的操作设置（例如治疗时间、功率），我们建议贵公司对每个设计和设置进行完整试验。例如，如果贵公司的器械含有冷却式施用器以及非冷却式施用器，我们建议贵公司为每种施用器进行完整的动物研究。如果贵公司的器械允许进行多次治疗，则动物研究中使用的治疗次数应等于临床允许的最大治疗次数。</w:t>
      </w:r>
    </w:p>
    <w:p w14:paraId="66A80C27">
      <w:pPr>
        <w:snapToGrid w:val="0"/>
        <w:spacing w:before="12" w:line="300" w:lineRule="auto"/>
        <w:jc w:val="both"/>
        <w:rPr>
          <w:rFonts w:ascii="Arial" w:hAnsi="Arial" w:eastAsia="宋体" w:cs="Arial"/>
          <w:sz w:val="23"/>
          <w:szCs w:val="23"/>
          <w:lang w:eastAsia="zh-CN"/>
        </w:rPr>
      </w:pPr>
    </w:p>
    <w:p w14:paraId="08493E2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因为这些器械依赖于即时组织损伤，其次是坏死过程以及后续愈合以实现其有效性，我们建议贵公司评价早期组织效应以及后续早期愈合（例如，治疗后24小时以及3周）。</w:t>
      </w:r>
    </w:p>
    <w:p w14:paraId="113F63DD">
      <w:pPr>
        <w:snapToGrid w:val="0"/>
        <w:spacing w:before="12" w:line="300" w:lineRule="auto"/>
        <w:jc w:val="both"/>
        <w:rPr>
          <w:rFonts w:ascii="Arial" w:hAnsi="Arial" w:eastAsia="宋体" w:cs="Arial"/>
          <w:sz w:val="23"/>
          <w:szCs w:val="23"/>
          <w:lang w:eastAsia="zh-CN"/>
        </w:rPr>
      </w:pPr>
    </w:p>
    <w:p w14:paraId="2F96424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如上所述，我们建议贵公司对与人体解剖形态相关的热结果进行讨论。具体来说，我们建议贵公司将观察到的加热区域与相关解剖形态进行比较，包括：</w:t>
      </w:r>
    </w:p>
    <w:p w14:paraId="6D29B8B3">
      <w:pPr>
        <w:pStyle w:val="18"/>
        <w:tabs>
          <w:tab w:val="left" w:pos="1520"/>
        </w:tabs>
        <w:snapToGrid w:val="0"/>
        <w:spacing w:line="300" w:lineRule="auto"/>
        <w:jc w:val="both"/>
        <w:rPr>
          <w:rFonts w:ascii="Arial" w:hAnsi="Arial" w:eastAsia="宋体" w:cs="Arial"/>
          <w:sz w:val="24"/>
          <w:szCs w:val="24"/>
          <w:lang w:eastAsia="zh-CN"/>
        </w:rPr>
      </w:pPr>
    </w:p>
    <w:p w14:paraId="0633BF64">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与前侧和外侧前列腺尺寸相比，优先侧上的加热区域；</w:t>
      </w:r>
    </w:p>
    <w:p w14:paraId="70154942">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与尿道和直肠壁之间的距离相比，优先侧对侧上的加热区域；以及</w:t>
      </w:r>
    </w:p>
    <w:p w14:paraId="0D35D5C8">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与人体解剖形态有关的外侧上的加热区域。</w:t>
      </w:r>
    </w:p>
    <w:p w14:paraId="6308384E">
      <w:pPr>
        <w:snapToGrid w:val="0"/>
        <w:spacing w:before="1" w:line="300" w:lineRule="auto"/>
        <w:jc w:val="both"/>
        <w:rPr>
          <w:rFonts w:ascii="Arial" w:hAnsi="Arial" w:eastAsia="宋体" w:cs="Arial"/>
          <w:sz w:val="24"/>
          <w:szCs w:val="24"/>
          <w:lang w:eastAsia="zh-CN"/>
        </w:rPr>
      </w:pPr>
    </w:p>
    <w:p w14:paraId="2E04205F">
      <w:pPr>
        <w:widowControl/>
        <w:rPr>
          <w:rFonts w:ascii="Arial" w:hAnsi="Arial" w:eastAsia="宋体" w:cs="Arial"/>
          <w:b/>
          <w:bCs/>
          <w:i/>
          <w:sz w:val="24"/>
          <w:szCs w:val="24"/>
          <w:lang w:eastAsia="zh-CN"/>
        </w:rPr>
      </w:pPr>
      <w:bookmarkStart w:id="59" w:name="_bookmark33"/>
      <w:bookmarkEnd w:id="59"/>
      <w:bookmarkStart w:id="60" w:name="2._Stents"/>
      <w:bookmarkEnd w:id="60"/>
      <w:r>
        <w:rPr>
          <w:rFonts w:ascii="Arial" w:hAnsi="Arial" w:eastAsia="宋体" w:cs="Arial"/>
          <w:lang w:eastAsia="zh-CN"/>
        </w:rPr>
        <w:br w:type="page"/>
      </w:r>
    </w:p>
    <w:p w14:paraId="39C3DCA4">
      <w:pPr>
        <w:pStyle w:val="5"/>
        <w:numPr>
          <w:ilvl w:val="0"/>
          <w:numId w:val="2"/>
        </w:numPr>
        <w:tabs>
          <w:tab w:val="left" w:pos="1200"/>
        </w:tabs>
        <w:snapToGrid w:val="0"/>
        <w:spacing w:line="300" w:lineRule="auto"/>
        <w:ind w:left="357" w:hanging="357"/>
        <w:jc w:val="both"/>
        <w:rPr>
          <w:rFonts w:ascii="Arial" w:hAnsi="Arial" w:eastAsia="宋体" w:cs="Arial"/>
          <w:b w:val="0"/>
          <w:bCs w:val="0"/>
          <w:i w:val="0"/>
        </w:rPr>
      </w:pPr>
      <w:bookmarkStart w:id="61" w:name="_Toc481595904"/>
      <w:r>
        <w:rPr>
          <w:rFonts w:ascii="Arial" w:hAnsi="Arial" w:eastAsia="宋体" w:cs="Arial"/>
        </w:rPr>
        <w:t>支架</w:t>
      </w:r>
      <w:bookmarkEnd w:id="61"/>
    </w:p>
    <w:p w14:paraId="44EF5C15">
      <w:pPr>
        <w:snapToGrid w:val="0"/>
        <w:spacing w:before="12" w:line="300" w:lineRule="auto"/>
        <w:jc w:val="both"/>
        <w:rPr>
          <w:rFonts w:ascii="Arial" w:hAnsi="Arial" w:eastAsia="宋体" w:cs="Arial"/>
          <w:b/>
          <w:bCs/>
          <w:i/>
          <w:sz w:val="23"/>
          <w:szCs w:val="23"/>
        </w:rPr>
      </w:pPr>
    </w:p>
    <w:p w14:paraId="0BA0503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认为，对于用于治疗或缓解BPH的前列腺支架，是否需要进行动物研究应依赖于器械设计、材料结构、操作机制、使用时间和任何新型方面。例如，动物数据对于在临床应用于人类之前对永久性前列腺支架的安全性进行评价来说至关重要。</w:t>
      </w:r>
    </w:p>
    <w:p w14:paraId="50A07E5A">
      <w:pPr>
        <w:snapToGrid w:val="0"/>
        <w:spacing w:before="12" w:line="300" w:lineRule="auto"/>
        <w:jc w:val="both"/>
        <w:rPr>
          <w:rFonts w:ascii="Arial" w:hAnsi="Arial" w:eastAsia="宋体" w:cs="Arial"/>
          <w:sz w:val="23"/>
          <w:szCs w:val="23"/>
          <w:lang w:eastAsia="zh-CN"/>
        </w:rPr>
      </w:pPr>
    </w:p>
    <w:p w14:paraId="58A67BB3">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使用动物研究中的方法（其中，其近似预期的临床方法）来评价手术的安全性、评价设计的功能特性，并验证该器械在其预期用途下的性能。此外，我们建议贵公司选择随访时期，并去除提供对器械有效性进行有意义的评价的时期。</w:t>
      </w:r>
    </w:p>
    <w:p w14:paraId="46A83766">
      <w:pPr>
        <w:snapToGrid w:val="0"/>
        <w:spacing w:before="12" w:line="300" w:lineRule="auto"/>
        <w:jc w:val="both"/>
        <w:rPr>
          <w:rFonts w:ascii="Arial" w:hAnsi="Arial" w:eastAsia="宋体" w:cs="Arial"/>
          <w:sz w:val="23"/>
          <w:szCs w:val="23"/>
          <w:lang w:eastAsia="zh-CN"/>
        </w:rPr>
      </w:pPr>
    </w:p>
    <w:p w14:paraId="5070726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我们建议，动物研究应包括：</w:t>
      </w:r>
    </w:p>
    <w:p w14:paraId="7A521B77">
      <w:pPr>
        <w:snapToGrid w:val="0"/>
        <w:spacing w:before="11" w:line="300" w:lineRule="auto"/>
        <w:jc w:val="both"/>
        <w:rPr>
          <w:rFonts w:ascii="Arial" w:hAnsi="Arial" w:eastAsia="宋体" w:cs="Arial"/>
          <w:sz w:val="23"/>
          <w:szCs w:val="23"/>
          <w:lang w:eastAsia="zh-CN"/>
        </w:rPr>
      </w:pPr>
    </w:p>
    <w:p w14:paraId="4BBDCB98">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单个支架的位置；</w:t>
      </w:r>
    </w:p>
    <w:p w14:paraId="0CB7C90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建议用于临床研究的最大支架数量的放置；</w:t>
      </w:r>
    </w:p>
    <w:p w14:paraId="1E580ABD">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定位器械；以及</w:t>
      </w:r>
    </w:p>
    <w:p w14:paraId="6D20580E">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使用建议技术进行移除。</w:t>
      </w:r>
    </w:p>
    <w:p w14:paraId="35EFAAE6">
      <w:pPr>
        <w:pStyle w:val="18"/>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lang w:eastAsia="zh-CN"/>
        </w:rPr>
        <w:t>我们建议贵公司评估以下不良事件：</w:t>
      </w:r>
    </w:p>
    <w:p w14:paraId="4E3BEF7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支架移位；</w:t>
      </w:r>
    </w:p>
    <w:p w14:paraId="578DB072">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结垢；</w:t>
      </w:r>
    </w:p>
    <w:p w14:paraId="563315AA">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腐蚀；</w:t>
      </w:r>
    </w:p>
    <w:p w14:paraId="26BA057F">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压迫性坏死</w:t>
      </w:r>
    </w:p>
    <w:p w14:paraId="32D9E5EA">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尿路上皮增生；</w:t>
      </w:r>
    </w:p>
    <w:p w14:paraId="7AF21C5E">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结石组成；</w:t>
      </w:r>
    </w:p>
    <w:p w14:paraId="77756E45">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尿道水肿；</w:t>
      </w:r>
    </w:p>
    <w:p w14:paraId="5EB41E22">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细胞异型；以及</w:t>
      </w:r>
    </w:p>
    <w:p w14:paraId="7533B4C9">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器械故障或破损。</w:t>
      </w:r>
    </w:p>
    <w:p w14:paraId="6B1C2EED">
      <w:pPr>
        <w:snapToGrid w:val="0"/>
        <w:spacing w:before="1" w:line="300" w:lineRule="auto"/>
        <w:jc w:val="both"/>
        <w:rPr>
          <w:rFonts w:ascii="Arial" w:hAnsi="Arial" w:eastAsia="宋体" w:cs="Arial"/>
          <w:sz w:val="24"/>
          <w:szCs w:val="24"/>
        </w:rPr>
      </w:pPr>
    </w:p>
    <w:p w14:paraId="7E1E0E63">
      <w:pPr>
        <w:pStyle w:val="6"/>
        <w:snapToGrid w:val="0"/>
        <w:spacing w:before="51" w:line="300" w:lineRule="auto"/>
        <w:ind w:left="0"/>
        <w:jc w:val="both"/>
        <w:rPr>
          <w:rFonts w:ascii="Arial" w:hAnsi="Arial" w:eastAsia="宋体" w:cs="Arial"/>
          <w:lang w:eastAsia="zh-CN"/>
        </w:rPr>
      </w:pPr>
      <w:r>
        <w:rPr>
          <w:rFonts w:ascii="Arial" w:hAnsi="Arial" w:eastAsia="宋体" w:cs="Arial"/>
          <w:lang w:eastAsia="zh-CN"/>
        </w:rPr>
        <w:t>我们建议贵公司对该支架进行宏观和微观评价，包括钙化、侵蚀和上皮化。</w:t>
      </w:r>
    </w:p>
    <w:p w14:paraId="75756D0F">
      <w:pPr>
        <w:snapToGrid w:val="0"/>
        <w:spacing w:before="1" w:line="300" w:lineRule="auto"/>
        <w:jc w:val="both"/>
        <w:rPr>
          <w:rFonts w:ascii="Arial" w:hAnsi="Arial" w:eastAsia="宋体" w:cs="Arial"/>
          <w:sz w:val="24"/>
          <w:szCs w:val="24"/>
          <w:lang w:eastAsia="zh-CN"/>
        </w:rPr>
      </w:pPr>
    </w:p>
    <w:p w14:paraId="13B7574C">
      <w:pPr>
        <w:pStyle w:val="6"/>
        <w:snapToGrid w:val="0"/>
        <w:spacing w:before="51" w:line="300" w:lineRule="auto"/>
        <w:ind w:left="0"/>
        <w:jc w:val="both"/>
        <w:rPr>
          <w:rFonts w:ascii="Arial" w:hAnsi="Arial" w:eastAsia="宋体" w:cs="Arial"/>
          <w:lang w:eastAsia="zh-CN"/>
        </w:rPr>
      </w:pPr>
      <w:r>
        <w:rPr>
          <w:rFonts w:ascii="Arial" w:hAnsi="Arial" w:eastAsia="宋体" w:cs="Arial"/>
          <w:lang w:eastAsia="zh-CN"/>
        </w:rPr>
        <w:t>如果贵公司的支架可以移植或移除，我们建议贵公司在离体支架上进行力学试验，其中，此类试验类似于非临床试验（如上述E.“力学试验”中所述），以评价该器械的结构完整性的任何变化，其中，此类变化可因支架植入而发生。</w:t>
      </w:r>
    </w:p>
    <w:p w14:paraId="2C6AE811">
      <w:pPr>
        <w:snapToGrid w:val="0"/>
        <w:spacing w:before="7" w:line="300" w:lineRule="auto"/>
        <w:jc w:val="both"/>
        <w:rPr>
          <w:rFonts w:ascii="Arial" w:hAnsi="Arial" w:eastAsia="宋体" w:cs="Arial"/>
          <w:sz w:val="16"/>
          <w:szCs w:val="16"/>
          <w:lang w:eastAsia="zh-CN"/>
        </w:rPr>
      </w:pPr>
    </w:p>
    <w:p w14:paraId="46695541">
      <w:pPr>
        <w:widowControl/>
        <w:rPr>
          <w:rFonts w:ascii="Arial" w:hAnsi="Arial" w:eastAsia="宋体" w:cs="Arial"/>
          <w:sz w:val="24"/>
          <w:szCs w:val="24"/>
          <w:lang w:eastAsia="zh-CN"/>
        </w:rPr>
      </w:pPr>
      <w:r>
        <w:rPr>
          <w:rFonts w:ascii="Arial" w:hAnsi="Arial" w:eastAsia="宋体" w:cs="Arial"/>
          <w:lang w:eastAsia="zh-CN"/>
        </w:rPr>
        <w:br w:type="page"/>
      </w:r>
    </w:p>
    <w:p w14:paraId="7F11B86F">
      <w:pPr>
        <w:pStyle w:val="6"/>
        <w:snapToGrid w:val="0"/>
        <w:spacing w:before="51" w:line="300" w:lineRule="auto"/>
        <w:ind w:left="0"/>
        <w:jc w:val="both"/>
        <w:rPr>
          <w:rFonts w:ascii="Arial" w:hAnsi="Arial" w:eastAsia="宋体" w:cs="Arial"/>
          <w:lang w:eastAsia="zh-CN"/>
        </w:rPr>
      </w:pPr>
      <w:r>
        <w:rPr>
          <w:rFonts w:ascii="Arial" w:hAnsi="Arial" w:eastAsia="宋体" w:cs="Arial"/>
          <w:lang w:eastAsia="zh-CN"/>
        </w:rPr>
        <w:t>如果贵公司的支架设计用于再吸收，我们建议贵公司评价多个时间点的吸收或降解程度。此外，我们建议贵公司的评价时间应足以用于评价降解速率，并足以证明支架可完全愈合以及完全消去。</w:t>
      </w:r>
    </w:p>
    <w:p w14:paraId="163793C1">
      <w:pPr>
        <w:snapToGrid w:val="0"/>
        <w:spacing w:line="300" w:lineRule="auto"/>
        <w:jc w:val="both"/>
        <w:rPr>
          <w:rFonts w:ascii="Arial" w:hAnsi="Arial" w:eastAsia="宋体" w:cs="Arial"/>
          <w:sz w:val="24"/>
          <w:szCs w:val="24"/>
          <w:lang w:eastAsia="zh-CN"/>
        </w:rPr>
      </w:pPr>
    </w:p>
    <w:p w14:paraId="5D874293">
      <w:pPr>
        <w:snapToGrid w:val="0"/>
        <w:spacing w:before="11" w:line="300" w:lineRule="auto"/>
        <w:jc w:val="both"/>
        <w:rPr>
          <w:rFonts w:ascii="Arial" w:hAnsi="Arial" w:eastAsia="宋体" w:cs="Arial"/>
          <w:sz w:val="23"/>
          <w:szCs w:val="23"/>
          <w:lang w:eastAsia="zh-CN"/>
        </w:rPr>
      </w:pPr>
    </w:p>
    <w:p w14:paraId="240222D5">
      <w:pPr>
        <w:pStyle w:val="2"/>
        <w:numPr>
          <w:ilvl w:val="0"/>
          <w:numId w:val="1"/>
        </w:numPr>
        <w:tabs>
          <w:tab w:val="left" w:pos="696"/>
        </w:tabs>
        <w:snapToGrid w:val="0"/>
        <w:spacing w:after="240" w:afterLines="100" w:line="300" w:lineRule="auto"/>
        <w:ind w:left="578" w:hanging="578"/>
        <w:jc w:val="both"/>
        <w:rPr>
          <w:rFonts w:ascii="Arial" w:hAnsi="Arial" w:eastAsia="宋体" w:cs="Arial"/>
          <w:b w:val="0"/>
          <w:bCs w:val="0"/>
        </w:rPr>
      </w:pPr>
      <w:bookmarkStart w:id="62" w:name="_bookmark34"/>
      <w:bookmarkEnd w:id="62"/>
      <w:bookmarkStart w:id="63" w:name="IV._Pilot_Study_Recommendations"/>
      <w:bookmarkEnd w:id="63"/>
      <w:bookmarkStart w:id="64" w:name="_Toc481595905"/>
      <w:r>
        <w:rPr>
          <w:rFonts w:ascii="Arial" w:hAnsi="Arial" w:eastAsia="宋体" w:cs="Arial"/>
          <w:lang w:eastAsia="zh-CN"/>
        </w:rPr>
        <w:t>初步</w:t>
      </w:r>
      <w:r>
        <w:rPr>
          <w:rFonts w:ascii="Arial" w:hAnsi="Arial" w:eastAsia="宋体" w:cs="Arial"/>
        </w:rPr>
        <w:t>研究建议</w:t>
      </w:r>
      <w:bookmarkEnd w:id="64"/>
    </w:p>
    <w:p w14:paraId="5A24E1D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新型BPH器械或相对于现有产品，代表着技术或用途方面的显著改变的BPH器械，我们建议贵公司分阶段对贵公司的器械进行临床研究，以尽量减少研究对象的风险，确保器械功能，监控安全性，并在开展大型临床研究之前获得使用该器械的经验。这些阶段通常由初始阶段组成（通常被称为“初步”或“可行性”研究），其次是关键研究。</w:t>
      </w:r>
    </w:p>
    <w:p w14:paraId="27B36121">
      <w:pPr>
        <w:snapToGrid w:val="0"/>
        <w:spacing w:before="12" w:line="300" w:lineRule="auto"/>
        <w:jc w:val="both"/>
        <w:rPr>
          <w:rFonts w:ascii="Arial" w:hAnsi="Arial" w:eastAsia="宋体" w:cs="Arial"/>
          <w:sz w:val="23"/>
          <w:szCs w:val="23"/>
          <w:lang w:eastAsia="zh-CN"/>
        </w:rPr>
      </w:pPr>
    </w:p>
    <w:p w14:paraId="396F0C2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在初步研究阶段，贵公司可以获得关于短期安全性、治疗技术、研究行为和最佳患者人群的有用信息。此外，通过对初步研究结果进行探索性分析而获得的信息可用于改进关键研究假设，确定最合适的终点并估计其对治疗和差异的反应，以及研究潜在的适应症。来自初步研究的信息也可能允许对可能引入偏差的因素（例如协变量）进行有限评价。</w:t>
      </w:r>
    </w:p>
    <w:p w14:paraId="55815027">
      <w:pPr>
        <w:snapToGrid w:val="0"/>
        <w:spacing w:before="12" w:line="300" w:lineRule="auto"/>
        <w:jc w:val="both"/>
        <w:rPr>
          <w:rFonts w:ascii="Arial" w:hAnsi="Arial" w:eastAsia="宋体" w:cs="Arial"/>
          <w:sz w:val="23"/>
          <w:szCs w:val="23"/>
          <w:lang w:eastAsia="zh-CN"/>
        </w:rPr>
      </w:pPr>
    </w:p>
    <w:p w14:paraId="75F5126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初步研究通常涉及数量有限的受试者和地点，以及密切监测所有不良事件。初步研究的大小和持续时间可以因被研究的器械的类型不同而不同。例如，针对新型或高风险器械进行的初步研究通常以较小的样本量开始，并且将对受试者进行较长时间的随访。我们建议初步研究方案应前瞻性地定义要收集的最小数据集（即所招募受试者的人数以及对这些受试者进行的最短随访时间）以支持</w:t>
      </w:r>
      <w:bookmarkStart w:id="65" w:name="OLE_LINK3"/>
      <w:bookmarkStart w:id="66" w:name="OLE_LINK4"/>
      <w:r>
        <w:rPr>
          <w:rFonts w:ascii="Arial" w:hAnsi="Arial" w:eastAsia="宋体" w:cs="Arial"/>
          <w:lang w:eastAsia="zh-CN"/>
        </w:rPr>
        <w:t>开展</w:t>
      </w:r>
      <w:bookmarkEnd w:id="65"/>
      <w:bookmarkEnd w:id="66"/>
      <w:r>
        <w:rPr>
          <w:rFonts w:ascii="Arial" w:hAnsi="Arial" w:eastAsia="宋体" w:cs="Arial"/>
          <w:lang w:eastAsia="zh-CN"/>
        </w:rPr>
        <w:t>关键研究。对于根据IDE申请进行的研究，我们建议贵公司在要求获得关键研究批准之前或当时提交预定的初步研究数据集的详细报告。初步研究数据集的分析将有助于确定开展关键研究是否合适。</w:t>
      </w:r>
    </w:p>
    <w:p w14:paraId="1849F203">
      <w:pPr>
        <w:pStyle w:val="6"/>
        <w:snapToGrid w:val="0"/>
        <w:spacing w:line="300" w:lineRule="auto"/>
        <w:ind w:left="0"/>
        <w:jc w:val="both"/>
        <w:rPr>
          <w:rFonts w:ascii="Arial" w:hAnsi="Arial" w:eastAsia="宋体" w:cs="Arial"/>
          <w:lang w:eastAsia="zh-CN"/>
        </w:rPr>
      </w:pPr>
    </w:p>
    <w:p w14:paraId="42E2F9A3">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在对照组性能未得到充分表征的情况下，或存在与随机化相关并需要进行研究的后勤问题的情况下，我们建议贵公司将贵公司的初步研究中的受试者随机分配于研究组之间。这些信息可以帮助贵公司充分开展和执行后续关键研究。</w:t>
      </w:r>
    </w:p>
    <w:p w14:paraId="66ED3E5D">
      <w:pPr>
        <w:pStyle w:val="6"/>
        <w:snapToGrid w:val="0"/>
        <w:spacing w:line="300" w:lineRule="auto"/>
        <w:ind w:left="0"/>
        <w:jc w:val="both"/>
        <w:rPr>
          <w:rFonts w:ascii="Arial" w:hAnsi="Arial" w:eastAsia="宋体" w:cs="Arial"/>
          <w:lang w:eastAsia="zh-CN"/>
        </w:rPr>
      </w:pPr>
    </w:p>
    <w:p w14:paraId="39A0F1BD">
      <w:pPr>
        <w:widowControl/>
        <w:rPr>
          <w:rFonts w:ascii="Arial" w:hAnsi="Arial" w:eastAsia="宋体" w:cs="Arial"/>
          <w:sz w:val="24"/>
          <w:szCs w:val="24"/>
          <w:lang w:eastAsia="zh-CN"/>
        </w:rPr>
      </w:pPr>
      <w:r>
        <w:rPr>
          <w:rFonts w:ascii="Arial" w:hAnsi="Arial" w:eastAsia="宋体" w:cs="Arial"/>
          <w:lang w:eastAsia="zh-CN"/>
        </w:rPr>
        <w:br w:type="page"/>
      </w:r>
    </w:p>
    <w:p w14:paraId="3CFF37A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认为，初步研究数据不可能与关键研究数据合并，因为初步研究和关键研究方案往往存有差异。如果贵公司打算合并初步研究和关键研究的结果，我们建议贵公司提供一个理由，以证明合并来自初步研究和关键研究的数据在统计学</w:t>
      </w:r>
      <w:r>
        <w:rPr>
          <w:rFonts w:ascii="Arial" w:hAnsi="Arial" w:eastAsia="MS Mincho" w:cs="Arial"/>
          <w:lang w:eastAsia="zh-CN"/>
        </w:rPr>
        <w:t>​​</w:t>
      </w:r>
      <w:r>
        <w:rPr>
          <w:rFonts w:ascii="Arial" w:hAnsi="Arial" w:eastAsia="宋体" w:cs="Arial"/>
          <w:lang w:eastAsia="zh-CN"/>
        </w:rPr>
        <w:t>上和临床</w:t>
      </w:r>
      <w:r>
        <w:rPr>
          <w:rFonts w:ascii="Arial" w:hAnsi="Arial" w:eastAsia="MS Mincho" w:cs="Arial"/>
          <w:lang w:eastAsia="zh-CN"/>
        </w:rPr>
        <w:t>​​</w:t>
      </w:r>
      <w:r>
        <w:rPr>
          <w:rFonts w:ascii="Arial" w:hAnsi="Arial" w:eastAsia="宋体" w:cs="Arial"/>
          <w:lang w:eastAsia="zh-CN"/>
        </w:rPr>
        <w:t>上有效。</w:t>
      </w:r>
    </w:p>
    <w:p w14:paraId="0F5553E8">
      <w:pPr>
        <w:snapToGrid w:val="0"/>
        <w:spacing w:before="12" w:line="300" w:lineRule="auto"/>
        <w:jc w:val="both"/>
        <w:rPr>
          <w:rFonts w:ascii="Arial" w:hAnsi="Arial" w:eastAsia="宋体" w:cs="Arial"/>
          <w:sz w:val="23"/>
          <w:szCs w:val="23"/>
          <w:lang w:eastAsia="zh-CN"/>
        </w:rPr>
      </w:pPr>
    </w:p>
    <w:p w14:paraId="32164F92">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其中加热未被定位并且整个前列腺暴露于长时间加热的热场生产器械（例如，TUMT器械），我们建议贵公司进行一项初步研究，其中包括经会阴质间质性热成像，以确保关键研究人群将不会被置于不合理的风险之下。我们承认，存在与间质性测温有关的风险。然而，我们认为，间质性热成像可提供评价所实现的温度以及评估暴露于这种温度下的安全性所必需的基本数据，这支持了治疗有效性的可靠性以及该器械的安全性。我们建议贵公司进行间质性热成像，以提供合理的保证，即治疗温度可以实现、可以控制且安全。</w:t>
      </w:r>
    </w:p>
    <w:p w14:paraId="61C9FC8C">
      <w:pPr>
        <w:snapToGrid w:val="0"/>
        <w:spacing w:before="12" w:line="300" w:lineRule="auto"/>
        <w:jc w:val="both"/>
        <w:rPr>
          <w:rFonts w:ascii="Arial" w:hAnsi="Arial" w:eastAsia="宋体" w:cs="Arial"/>
          <w:sz w:val="23"/>
          <w:szCs w:val="23"/>
          <w:lang w:eastAsia="zh-CN"/>
        </w:rPr>
      </w:pPr>
    </w:p>
    <w:p w14:paraId="2D8EB75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间质性热成像，我们建议贵公司在第一次治疗期间在数量较少但在分析上有用的受试者上获取温度测量值，例如所治疗的前10位患者。这些方法应可表征前列腺和周围静脉组织（包括直肠壁）中的温度分布，并监测受影响区域内是否产生非预期的高温或低温。这些测量通常通过在局部麻醉下使用提供经直肠超声进行的直接成像控制经会阴导入至少两个光纤热传感器并使其延伸进入前列腺囊来实现。如果可以充分证明其不受该器械产生的能量场影响，可以使用替代热传感器。我们建议贵公司仔细收集并报告所有不良事件。</w:t>
      </w:r>
    </w:p>
    <w:p w14:paraId="189638C5">
      <w:pPr>
        <w:snapToGrid w:val="0"/>
        <w:spacing w:line="300" w:lineRule="auto"/>
        <w:jc w:val="both"/>
        <w:rPr>
          <w:rFonts w:ascii="Arial" w:hAnsi="Arial" w:eastAsia="宋体" w:cs="Arial"/>
          <w:sz w:val="24"/>
          <w:szCs w:val="24"/>
          <w:lang w:eastAsia="zh-CN"/>
        </w:rPr>
      </w:pPr>
    </w:p>
    <w:p w14:paraId="2097BD42">
      <w:pPr>
        <w:snapToGrid w:val="0"/>
        <w:spacing w:line="300" w:lineRule="auto"/>
        <w:jc w:val="both"/>
        <w:rPr>
          <w:rFonts w:ascii="Arial" w:hAnsi="Arial" w:eastAsia="宋体" w:cs="Arial"/>
          <w:sz w:val="24"/>
          <w:szCs w:val="24"/>
          <w:lang w:eastAsia="zh-CN"/>
        </w:rPr>
      </w:pPr>
    </w:p>
    <w:p w14:paraId="5EB6EE83">
      <w:pPr>
        <w:pStyle w:val="2"/>
        <w:numPr>
          <w:ilvl w:val="0"/>
          <w:numId w:val="1"/>
        </w:numPr>
        <w:tabs>
          <w:tab w:val="left" w:pos="724"/>
        </w:tabs>
        <w:snapToGrid w:val="0"/>
        <w:spacing w:line="300" w:lineRule="auto"/>
        <w:ind w:left="601" w:hanging="601"/>
        <w:jc w:val="both"/>
        <w:rPr>
          <w:rFonts w:ascii="Arial" w:hAnsi="Arial" w:eastAsia="宋体" w:cs="Arial"/>
          <w:b w:val="0"/>
          <w:bCs w:val="0"/>
        </w:rPr>
      </w:pPr>
      <w:bookmarkStart w:id="67" w:name="_bookmark35"/>
      <w:bookmarkEnd w:id="67"/>
      <w:bookmarkStart w:id="68" w:name="V.____Pivotal_Study_Recommendations"/>
      <w:bookmarkEnd w:id="68"/>
      <w:bookmarkStart w:id="69" w:name="_Toc481595906"/>
      <w:r>
        <w:rPr>
          <w:rFonts w:ascii="Arial" w:hAnsi="Arial" w:eastAsia="宋体" w:cs="Arial"/>
          <w:lang w:eastAsia="zh-CN"/>
        </w:rPr>
        <w:t>关键</w:t>
      </w:r>
      <w:r>
        <w:rPr>
          <w:rFonts w:ascii="Arial" w:hAnsi="Arial" w:eastAsia="宋体" w:cs="Arial"/>
        </w:rPr>
        <w:t>研究建议</w:t>
      </w:r>
      <w:bookmarkEnd w:id="69"/>
    </w:p>
    <w:p w14:paraId="50FBE373">
      <w:pPr>
        <w:pStyle w:val="6"/>
        <w:snapToGrid w:val="0"/>
        <w:spacing w:before="205" w:line="300" w:lineRule="auto"/>
        <w:ind w:left="0"/>
        <w:jc w:val="both"/>
        <w:rPr>
          <w:rFonts w:ascii="Arial" w:hAnsi="Arial" w:eastAsia="宋体" w:cs="Arial"/>
          <w:lang w:eastAsia="zh-CN"/>
        </w:rPr>
      </w:pPr>
      <w:r>
        <w:rPr>
          <w:rFonts w:ascii="Arial" w:hAnsi="Arial" w:eastAsia="宋体" w:cs="Arial"/>
          <w:lang w:eastAsia="zh-CN"/>
        </w:rPr>
        <w:t>进行关键临床研究的目的在于收集有关安全性和有效性的主要证据，以支持上市提交或申请。在从临床前和（如果必要）初步临床研究试验中获得器械安全性和功能的充分证据之后进行此临床研究阶段，以支持将其在人类研究对象中的应用。</w:t>
      </w:r>
    </w:p>
    <w:p w14:paraId="3C7160D3">
      <w:pPr>
        <w:snapToGrid w:val="0"/>
        <w:spacing w:before="12" w:line="300" w:lineRule="auto"/>
        <w:jc w:val="both"/>
        <w:rPr>
          <w:rFonts w:ascii="Arial" w:hAnsi="Arial" w:eastAsia="宋体" w:cs="Arial"/>
          <w:sz w:val="23"/>
          <w:szCs w:val="23"/>
          <w:lang w:eastAsia="zh-CN"/>
        </w:rPr>
      </w:pPr>
    </w:p>
    <w:p w14:paraId="69434716">
      <w:pPr>
        <w:pStyle w:val="6"/>
        <w:snapToGrid w:val="0"/>
        <w:spacing w:before="205" w:line="300" w:lineRule="auto"/>
        <w:ind w:left="0"/>
        <w:jc w:val="both"/>
        <w:rPr>
          <w:rFonts w:ascii="Arial" w:hAnsi="Arial" w:eastAsia="宋体" w:cs="Arial"/>
          <w:lang w:eastAsia="zh-CN"/>
        </w:rPr>
      </w:pPr>
      <w:r>
        <w:rPr>
          <w:rFonts w:ascii="Arial" w:hAnsi="Arial" w:eastAsia="宋体" w:cs="Arial"/>
          <w:lang w:eastAsia="zh-CN"/>
        </w:rPr>
        <w:t>适当的关键研究设计可以最大限度地减少误差和偏差，并有助于客观评估研究器械。我们建议贵公司在多个临床地点对适用于治疗BPH的器械进行关键研究，以证明研究结果可在各种研究者和患者人群之间重复获得，并增加研究人群代表一般患者人群的可能性。</w:t>
      </w:r>
    </w:p>
    <w:p w14:paraId="332A9C91">
      <w:pPr>
        <w:widowControl/>
        <w:rPr>
          <w:rFonts w:ascii="Arial" w:hAnsi="Arial" w:eastAsia="宋体" w:cs="Arial"/>
          <w:sz w:val="24"/>
          <w:szCs w:val="24"/>
          <w:lang w:eastAsia="zh-CN"/>
        </w:rPr>
      </w:pPr>
      <w:r>
        <w:rPr>
          <w:rFonts w:ascii="Arial" w:hAnsi="Arial" w:eastAsia="宋体" w:cs="Arial"/>
          <w:lang w:eastAsia="zh-CN"/>
        </w:rPr>
        <w:br w:type="page"/>
      </w:r>
    </w:p>
    <w:p w14:paraId="2E205BC3">
      <w:pPr>
        <w:pStyle w:val="6"/>
        <w:snapToGrid w:val="0"/>
        <w:spacing w:before="205" w:line="300" w:lineRule="auto"/>
        <w:ind w:left="0"/>
        <w:jc w:val="both"/>
        <w:rPr>
          <w:rFonts w:ascii="Arial" w:hAnsi="Arial" w:eastAsia="宋体" w:cs="Arial"/>
          <w:lang w:eastAsia="zh-CN"/>
        </w:rPr>
      </w:pPr>
      <w:r>
        <w:rPr>
          <w:rFonts w:ascii="Arial" w:hAnsi="Arial" w:eastAsia="宋体" w:cs="Arial"/>
          <w:lang w:eastAsia="zh-CN"/>
        </w:rPr>
        <w:t>在为适用于治疗BPH的器械设计关键临床研究时，我们建议贵公司解决以下问题。</w:t>
      </w:r>
    </w:p>
    <w:p w14:paraId="55E7BB98">
      <w:pPr>
        <w:snapToGrid w:val="0"/>
        <w:spacing w:before="11" w:line="300" w:lineRule="auto"/>
        <w:jc w:val="both"/>
        <w:rPr>
          <w:rFonts w:ascii="Arial" w:hAnsi="Arial" w:eastAsia="宋体" w:cs="Arial"/>
          <w:sz w:val="23"/>
          <w:szCs w:val="23"/>
          <w:lang w:eastAsia="zh-CN"/>
        </w:rPr>
      </w:pPr>
    </w:p>
    <w:p w14:paraId="490EE38D">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70" w:name="_bookmark36"/>
      <w:bookmarkEnd w:id="70"/>
      <w:bookmarkStart w:id="71" w:name="A._Study_Objective"/>
      <w:bookmarkEnd w:id="71"/>
      <w:bookmarkStart w:id="72" w:name="_Toc481595907"/>
      <w:r>
        <w:rPr>
          <w:rFonts w:ascii="Arial" w:hAnsi="Arial" w:eastAsia="宋体" w:cs="Arial"/>
        </w:rPr>
        <w:t>研究目标</w:t>
      </w:r>
      <w:bookmarkEnd w:id="72"/>
    </w:p>
    <w:p w14:paraId="6DE74B9A">
      <w:pPr>
        <w:snapToGrid w:val="0"/>
        <w:spacing w:before="1" w:line="300" w:lineRule="auto"/>
        <w:jc w:val="both"/>
        <w:rPr>
          <w:rFonts w:ascii="Arial" w:hAnsi="Arial" w:eastAsia="宋体" w:cs="Arial"/>
          <w:b/>
          <w:bCs/>
          <w:sz w:val="28"/>
          <w:szCs w:val="28"/>
        </w:rPr>
      </w:pPr>
    </w:p>
    <w:p w14:paraId="66E016E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研究目标形成了研究设计的基本框架，并有助于确定控制、主要终点、研究随访时间和主要统计分析。统计假设直接来自研究的主要目标。出于这些原因，贵公司应在设计关键临床试验之前，提出明确的研究目标。贵公司的试验设计的所有要素应与贵公司的研究目标一致。</w:t>
      </w:r>
    </w:p>
    <w:p w14:paraId="36A024A6">
      <w:pPr>
        <w:snapToGrid w:val="0"/>
        <w:spacing w:before="11" w:line="300" w:lineRule="auto"/>
        <w:jc w:val="both"/>
        <w:rPr>
          <w:rFonts w:ascii="Arial" w:hAnsi="Arial" w:eastAsia="宋体" w:cs="Arial"/>
          <w:sz w:val="23"/>
          <w:szCs w:val="23"/>
          <w:lang w:eastAsia="zh-CN"/>
        </w:rPr>
      </w:pPr>
    </w:p>
    <w:p w14:paraId="633EF918">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73" w:name="B._Minimizing_Bias"/>
      <w:bookmarkEnd w:id="73"/>
      <w:bookmarkStart w:id="74" w:name="_bookmark37"/>
      <w:bookmarkEnd w:id="74"/>
      <w:bookmarkStart w:id="75" w:name="_Toc481595908"/>
      <w:r>
        <w:rPr>
          <w:rFonts w:ascii="Arial" w:hAnsi="Arial" w:eastAsia="宋体" w:cs="Arial"/>
        </w:rPr>
        <w:t>最小化</w:t>
      </w:r>
      <w:r>
        <w:rPr>
          <w:rFonts w:ascii="Arial" w:hAnsi="Arial" w:eastAsia="宋体" w:cs="Arial"/>
          <w:lang w:eastAsia="zh-CN"/>
        </w:rPr>
        <w:t>偏差</w:t>
      </w:r>
      <w:bookmarkEnd w:id="75"/>
    </w:p>
    <w:p w14:paraId="40142332">
      <w:pPr>
        <w:snapToGrid w:val="0"/>
        <w:spacing w:before="1" w:line="300" w:lineRule="auto"/>
        <w:jc w:val="both"/>
        <w:rPr>
          <w:rFonts w:ascii="Arial" w:hAnsi="Arial" w:eastAsia="宋体" w:cs="Arial"/>
          <w:b/>
          <w:bCs/>
          <w:sz w:val="24"/>
          <w:szCs w:val="24"/>
        </w:rPr>
      </w:pPr>
    </w:p>
    <w:p w14:paraId="642B53B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在设计任何临床研究时，需考虑的一个因素是如何最大限度地减少已知或疑似偏差来源，以便能够清楚和客观地评估研究结论。当研究者、研究人群或研究行为的任何特性均以系统性方式进干扰准确测量变量的能力时，会产生偏差。附录1列出了潜在偏差的常见来源以及通常用于减轻偏差的常用方法。本指导性文件中的C.随机化和对照、D.盲法、I.患者选择标准和N.统计分析建议章节分别讨论了这些偏差来源。</w:t>
      </w:r>
    </w:p>
    <w:p w14:paraId="331BD583">
      <w:pPr>
        <w:snapToGrid w:val="0"/>
        <w:spacing w:before="12" w:line="300" w:lineRule="auto"/>
        <w:jc w:val="both"/>
        <w:rPr>
          <w:rFonts w:ascii="Arial" w:hAnsi="Arial" w:eastAsia="宋体" w:cs="Arial"/>
          <w:sz w:val="23"/>
          <w:szCs w:val="23"/>
          <w:lang w:eastAsia="zh-CN"/>
        </w:rPr>
      </w:pPr>
    </w:p>
    <w:p w14:paraId="01CCD28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如果这些偏差来源未被充分最小化，有关研究器械的安全性和有效性的研究结论的有效性可能仍未确定。对于所有研究设计，我们建议贵公司的方案应提供用于说明研究设计如何最小化偏差的章节。</w:t>
      </w:r>
    </w:p>
    <w:p w14:paraId="4B8AB14D">
      <w:pPr>
        <w:snapToGrid w:val="0"/>
        <w:spacing w:before="11" w:line="300" w:lineRule="auto"/>
        <w:jc w:val="both"/>
        <w:rPr>
          <w:rFonts w:ascii="Arial" w:hAnsi="Arial" w:eastAsia="宋体" w:cs="Arial"/>
          <w:sz w:val="23"/>
          <w:szCs w:val="23"/>
          <w:lang w:eastAsia="zh-CN"/>
        </w:rPr>
      </w:pPr>
    </w:p>
    <w:p w14:paraId="1A172521">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76" w:name="C._Randomization_and_Controls"/>
      <w:bookmarkEnd w:id="76"/>
      <w:bookmarkStart w:id="77" w:name="_bookmark38"/>
      <w:bookmarkEnd w:id="77"/>
      <w:bookmarkStart w:id="78" w:name="_Toc481595909"/>
      <w:r>
        <w:rPr>
          <w:rFonts w:ascii="Arial" w:hAnsi="Arial" w:eastAsia="宋体" w:cs="Arial"/>
          <w:lang w:eastAsia="zh-CN"/>
        </w:rPr>
        <w:t>随机化和对照</w:t>
      </w:r>
      <w:bookmarkEnd w:id="78"/>
    </w:p>
    <w:p w14:paraId="6AA210F3">
      <w:pPr>
        <w:snapToGrid w:val="0"/>
        <w:spacing w:before="1" w:line="300" w:lineRule="auto"/>
        <w:jc w:val="both"/>
        <w:rPr>
          <w:rFonts w:ascii="Arial" w:hAnsi="Arial" w:eastAsia="宋体" w:cs="Arial"/>
          <w:b/>
          <w:bCs/>
          <w:sz w:val="24"/>
          <w:szCs w:val="24"/>
        </w:rPr>
      </w:pPr>
    </w:p>
    <w:p w14:paraId="76A0B1E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针对用于治疗BPH的器械进行的临床研究提出了特定挑战，如安慰剂效应、自发性缓解、下尿路症状（LUTS）和生活质量工具的主观性、难以确保对LUTS和生活质量进行可靠测量，以及有效治疗BPH的广泛可用性。</w:t>
      </w:r>
    </w:p>
    <w:p w14:paraId="3496812D">
      <w:pPr>
        <w:snapToGrid w:val="0"/>
        <w:spacing w:before="12" w:line="300" w:lineRule="auto"/>
        <w:jc w:val="both"/>
        <w:rPr>
          <w:rFonts w:ascii="Arial" w:hAnsi="Arial" w:eastAsia="宋体" w:cs="Arial"/>
          <w:sz w:val="23"/>
          <w:szCs w:val="23"/>
          <w:lang w:eastAsia="zh-CN"/>
        </w:rPr>
      </w:pPr>
    </w:p>
    <w:p w14:paraId="28C658D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我们认为，通过使用随机对照试验设计，可最有效地克服这些挑战。随机对照试验的收益是其倾向于平衡研究组之间的混杂因素，并尽量减少出现偏差的可能性。</w:t>
      </w:r>
    </w:p>
    <w:p w14:paraId="79F21827">
      <w:pPr>
        <w:snapToGrid w:val="0"/>
        <w:spacing w:before="1" w:line="300" w:lineRule="auto"/>
        <w:jc w:val="both"/>
        <w:rPr>
          <w:rFonts w:ascii="Arial" w:hAnsi="Arial" w:eastAsia="宋体" w:cs="Arial"/>
          <w:sz w:val="24"/>
          <w:szCs w:val="24"/>
          <w:lang w:eastAsia="zh-CN"/>
        </w:rPr>
      </w:pPr>
    </w:p>
    <w:p w14:paraId="6FBC76D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随机对照试验设计的潜在优势不仅可延伸到对器械有效性的评价，而且还可延伸到对安全性的评价。不良事件发生率可能受到受试者特性、器械设计、不断改进的程序方法和操作员经验等因素的影响，且当使用历史对照数据时可能难以对其进行评价。</w:t>
      </w:r>
    </w:p>
    <w:p w14:paraId="19152749">
      <w:pPr>
        <w:snapToGrid w:val="0"/>
        <w:spacing w:before="1" w:line="300" w:lineRule="auto"/>
        <w:jc w:val="both"/>
        <w:rPr>
          <w:rFonts w:ascii="Arial" w:hAnsi="Arial" w:eastAsia="宋体" w:cs="Arial"/>
          <w:sz w:val="24"/>
          <w:szCs w:val="24"/>
          <w:lang w:eastAsia="zh-CN"/>
        </w:rPr>
      </w:pPr>
    </w:p>
    <w:p w14:paraId="4A3BADCA">
      <w:pPr>
        <w:widowControl/>
        <w:rPr>
          <w:rFonts w:ascii="Arial" w:hAnsi="Arial" w:eastAsia="宋体" w:cs="Arial"/>
          <w:sz w:val="24"/>
          <w:szCs w:val="24"/>
          <w:lang w:eastAsia="zh-CN"/>
        </w:rPr>
      </w:pPr>
      <w:r>
        <w:rPr>
          <w:rFonts w:ascii="Arial" w:hAnsi="Arial" w:eastAsia="宋体" w:cs="Arial"/>
          <w:lang w:eastAsia="zh-CN"/>
        </w:rPr>
        <w:br w:type="page"/>
      </w:r>
    </w:p>
    <w:p w14:paraId="578081D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研究组之间的随机对象是用于最小化选择偏倚以及对照混合因素的标准方法。当与另一研究组相比，在某一研究组中，具有一个或多个重要预后因素的受试者的出现频率较为频繁时，会出现选择偏倚。随机化过程将受试者分配给干预或对照组，使得每个受试者具有被选入各组的同等机会。随机化还可以使该试验免受研究研究者有意识或潜意识的操作的影响，其中，此类操作可能导致研究组不具可比性，例如如果研究研究者认为应选择症状最为明显的患者进行治疗，则治疗将更为积极。</w:t>
      </w:r>
    </w:p>
    <w:p w14:paraId="1EA12BAD">
      <w:pPr>
        <w:snapToGrid w:val="0"/>
        <w:spacing w:before="12" w:line="300" w:lineRule="auto"/>
        <w:jc w:val="both"/>
        <w:rPr>
          <w:rFonts w:ascii="Arial" w:hAnsi="Arial" w:eastAsia="宋体" w:cs="Arial"/>
          <w:sz w:val="23"/>
          <w:szCs w:val="23"/>
          <w:lang w:eastAsia="zh-CN"/>
        </w:rPr>
      </w:pPr>
    </w:p>
    <w:p w14:paraId="33A28724">
      <w:pPr>
        <w:pStyle w:val="6"/>
        <w:snapToGrid w:val="0"/>
        <w:spacing w:line="300" w:lineRule="auto"/>
        <w:ind w:left="0"/>
        <w:jc w:val="both"/>
        <w:rPr>
          <w:rFonts w:ascii="Arial" w:hAnsi="Arial" w:eastAsia="宋体" w:cs="Arial"/>
        </w:rPr>
      </w:pPr>
      <w:r>
        <w:rPr>
          <w:rFonts w:ascii="Arial" w:hAnsi="Arial" w:eastAsia="宋体" w:cs="Arial"/>
        </w:rPr>
        <w:t>我们建议：</w:t>
      </w:r>
    </w:p>
    <w:p w14:paraId="7DA82A71">
      <w:pPr>
        <w:snapToGrid w:val="0"/>
        <w:spacing w:before="11" w:line="300" w:lineRule="auto"/>
        <w:jc w:val="both"/>
        <w:rPr>
          <w:rFonts w:ascii="Arial" w:hAnsi="Arial" w:eastAsia="宋体" w:cs="Arial"/>
          <w:sz w:val="23"/>
          <w:szCs w:val="23"/>
        </w:rPr>
      </w:pPr>
    </w:p>
    <w:p w14:paraId="762BEC44">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在研究方案中预先指定随机化方法；</w:t>
      </w:r>
    </w:p>
    <w:p w14:paraId="4F83215C">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平衡每个地点内受试者的分配，例如区组随机化；</w:t>
      </w:r>
    </w:p>
    <w:p w14:paraId="39EEE3F1">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防止研究者和其他研究人员预测或影响受试者分配；以及</w:t>
      </w:r>
    </w:p>
    <w:p w14:paraId="74271753">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防止患者行为的自然模式影响研究分配。</w:t>
      </w:r>
    </w:p>
    <w:p w14:paraId="3949B6D1">
      <w:pPr>
        <w:snapToGrid w:val="0"/>
        <w:spacing w:before="8" w:line="300" w:lineRule="auto"/>
        <w:jc w:val="both"/>
        <w:rPr>
          <w:rFonts w:ascii="Arial" w:hAnsi="Arial" w:eastAsia="宋体" w:cs="Arial"/>
          <w:sz w:val="23"/>
          <w:szCs w:val="23"/>
          <w:lang w:eastAsia="zh-CN"/>
        </w:rPr>
      </w:pPr>
    </w:p>
    <w:p w14:paraId="02E855B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在设计随机对照研究时，我们建议贵公司选择适当的对照疗法。存在可能影响对照选择的各种科学和伦理问题。</w:t>
      </w:r>
      <w:r>
        <w:rPr>
          <w:rFonts w:ascii="Arial" w:hAnsi="Arial" w:eastAsia="宋体" w:cs="Arial"/>
          <w:vertAlign w:val="superscript"/>
          <w:lang w:eastAsia="zh-CN"/>
        </w:rPr>
        <w:t>19</w:t>
      </w:r>
      <w:r>
        <w:rPr>
          <w:rFonts w:ascii="Arial" w:hAnsi="Arial" w:eastAsia="宋体" w:cs="Arial"/>
          <w:lang w:eastAsia="zh-CN"/>
        </w:rPr>
        <w:t>通常，用于目标患者人群的现行护理标准代表了临床上最有意义的对照。然而，其他因素也可能影响这一决定。我们建议贵公司在选择对照时解决以下具体因素：</w:t>
      </w:r>
    </w:p>
    <w:p w14:paraId="6A1AD9A6">
      <w:pPr>
        <w:snapToGrid w:val="0"/>
        <w:spacing w:before="12" w:line="300" w:lineRule="auto"/>
        <w:jc w:val="both"/>
        <w:rPr>
          <w:rFonts w:ascii="Arial" w:hAnsi="Arial" w:eastAsia="宋体" w:cs="Arial"/>
          <w:sz w:val="19"/>
          <w:szCs w:val="19"/>
          <w:lang w:eastAsia="zh-CN"/>
        </w:rPr>
      </w:pPr>
    </w:p>
    <w:p w14:paraId="4E2A2626">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护理标准；</w:t>
      </w:r>
    </w:p>
    <w:p w14:paraId="18E22FB8">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研究器械的适应症；</w:t>
      </w:r>
    </w:p>
    <w:p w14:paraId="3AD73B22">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所要求的声明；</w:t>
      </w:r>
    </w:p>
    <w:p w14:paraId="0A86E297">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风险与收益，即允许进行在临床上有意义的比较，对照治疗的风险收益；比应与研究器械的风险收益比类似；</w:t>
      </w:r>
    </w:p>
    <w:p w14:paraId="4DD67A6F">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能够有效</w:t>
      </w:r>
      <w:r>
        <w:rPr>
          <w:rFonts w:hint="eastAsia" w:ascii="Arial" w:hAnsi="Arial" w:eastAsia="宋体" w:cs="Arial"/>
          <w:sz w:val="24"/>
          <w:szCs w:val="24"/>
          <w:lang w:eastAsia="zh-CN"/>
        </w:rPr>
        <w:t>设盲</w:t>
      </w:r>
      <w:r>
        <w:rPr>
          <w:rFonts w:ascii="Arial" w:hAnsi="Arial" w:eastAsia="宋体" w:cs="Arial"/>
          <w:sz w:val="24"/>
          <w:szCs w:val="24"/>
          <w:lang w:eastAsia="zh-CN"/>
        </w:rPr>
        <w:t>研究者、受试者和评价者；</w:t>
      </w:r>
    </w:p>
    <w:p w14:paraId="5FF1316E">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达到治疗有效性的时间；以及</w:t>
      </w:r>
    </w:p>
    <w:p w14:paraId="46399E55">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器械设计。</w:t>
      </w:r>
    </w:p>
    <w:p w14:paraId="272B87B1">
      <w:pPr>
        <w:snapToGrid w:val="0"/>
        <w:spacing w:line="300" w:lineRule="auto"/>
        <w:jc w:val="both"/>
        <w:rPr>
          <w:rFonts w:ascii="Arial" w:hAnsi="Arial" w:eastAsia="宋体" w:cs="Arial"/>
          <w:sz w:val="20"/>
          <w:szCs w:val="20"/>
        </w:rPr>
      </w:pPr>
    </w:p>
    <w:p w14:paraId="52527882">
      <w:pPr>
        <w:snapToGrid w:val="0"/>
        <w:spacing w:line="300" w:lineRule="auto"/>
        <w:jc w:val="both"/>
        <w:rPr>
          <w:rFonts w:ascii="Arial" w:hAnsi="Arial" w:eastAsia="宋体" w:cs="Arial"/>
          <w:sz w:val="20"/>
          <w:szCs w:val="20"/>
        </w:rPr>
      </w:pPr>
    </w:p>
    <w:p w14:paraId="756076A0">
      <w:pPr>
        <w:snapToGrid w:val="0"/>
        <w:spacing w:line="300" w:lineRule="auto"/>
        <w:jc w:val="both"/>
        <w:rPr>
          <w:rFonts w:ascii="Arial" w:hAnsi="Arial" w:eastAsia="宋体" w:cs="Arial"/>
          <w:sz w:val="20"/>
          <w:szCs w:val="20"/>
        </w:rPr>
      </w:pPr>
    </w:p>
    <w:p w14:paraId="50BCE16C">
      <w:pPr>
        <w:snapToGrid w:val="0"/>
        <w:spacing w:line="300" w:lineRule="auto"/>
        <w:jc w:val="both"/>
        <w:rPr>
          <w:rFonts w:ascii="Arial" w:hAnsi="Arial" w:eastAsia="宋体" w:cs="Arial"/>
          <w:sz w:val="20"/>
          <w:szCs w:val="20"/>
        </w:rPr>
      </w:pPr>
    </w:p>
    <w:p w14:paraId="3F9E48EC">
      <w:pPr>
        <w:snapToGrid w:val="0"/>
        <w:spacing w:line="300" w:lineRule="auto"/>
        <w:jc w:val="both"/>
        <w:rPr>
          <w:rFonts w:ascii="Arial" w:hAnsi="Arial" w:eastAsia="宋体" w:cs="Arial"/>
          <w:sz w:val="20"/>
          <w:szCs w:val="20"/>
        </w:rPr>
      </w:pPr>
    </w:p>
    <w:p w14:paraId="54A0DB5A">
      <w:pPr>
        <w:snapToGrid w:val="0"/>
        <w:spacing w:line="300" w:lineRule="auto"/>
        <w:jc w:val="both"/>
        <w:rPr>
          <w:rFonts w:ascii="Arial" w:hAnsi="Arial" w:eastAsia="宋体" w:cs="Arial"/>
          <w:sz w:val="20"/>
          <w:szCs w:val="20"/>
        </w:rPr>
      </w:pPr>
    </w:p>
    <w:p w14:paraId="49970DA7">
      <w:pPr>
        <w:snapToGrid w:val="0"/>
        <w:spacing w:line="300" w:lineRule="auto"/>
        <w:jc w:val="both"/>
        <w:rPr>
          <w:rFonts w:ascii="Arial" w:hAnsi="Arial" w:eastAsia="宋体" w:cs="Arial"/>
          <w:sz w:val="20"/>
          <w:szCs w:val="20"/>
        </w:rPr>
      </w:pPr>
    </w:p>
    <w:p w14:paraId="563E3111">
      <w:pPr>
        <w:snapToGrid w:val="0"/>
        <w:spacing w:before="7" w:line="300" w:lineRule="auto"/>
        <w:jc w:val="both"/>
        <w:rPr>
          <w:rFonts w:ascii="Arial" w:hAnsi="Arial" w:eastAsia="宋体" w:cs="Arial"/>
          <w:sz w:val="17"/>
          <w:szCs w:val="17"/>
        </w:rPr>
      </w:pPr>
    </w:p>
    <w:p w14:paraId="4D25E673">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350" r="1905" b="5080"/>
                <wp:docPr id="46" name="Group 44"/>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47" name="Group 45"/>
                        <wpg:cNvGrpSpPr/>
                        <wpg:grpSpPr>
                          <a:xfrm>
                            <a:off x="6" y="6"/>
                            <a:ext cx="2880" cy="2"/>
                            <a:chOff x="6" y="6"/>
                            <a:chExt cx="2880" cy="2"/>
                          </a:xfrm>
                        </wpg:grpSpPr>
                        <wps:wsp>
                          <wps:cNvPr id="48" name="Freeform 46"/>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4"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BzNc4XGgMAAP4HAAAOAAAAAAAAAAEAIAAAACMBAABkcnMvZTJvRG9j&#10;LnhtbFBLBQYAAAAABgAGAFkBAACvBgAAAAA=&#10;">
                <o:lock v:ext="edit" aspectratio="f"/>
                <v:group id="Group 45" o:spid="_x0000_s1026" o:spt="203" style="position:absolute;left:6;top:6;height:2;width:2880;" coordorigin="6,6" coordsize="2880,2"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Freeform 46" o:spid="_x0000_s1026" o:spt="100" style="position:absolute;left:6;top:6;height:2;width:2880;" filled="f" stroked="t" coordsize="2880,1" o:gfxdata="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q8Jr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EA06C25">
      <w:pPr>
        <w:pStyle w:val="6"/>
        <w:snapToGrid w:val="0"/>
        <w:spacing w:before="59" w:line="300" w:lineRule="auto"/>
        <w:ind w:left="0"/>
        <w:jc w:val="both"/>
        <w:rPr>
          <w:rFonts w:ascii="Arial" w:hAnsi="Arial" w:eastAsia="宋体" w:cs="Arial"/>
          <w:lang w:eastAsia="zh-CN"/>
        </w:rPr>
      </w:pPr>
      <w:bookmarkStart w:id="79" w:name="_bookmark39"/>
      <w:bookmarkEnd w:id="79"/>
      <w:r>
        <w:rPr>
          <w:rFonts w:ascii="Arial" w:hAnsi="Arial" w:eastAsia="宋体" w:cs="Arial"/>
          <w:position w:val="11"/>
          <w:sz w:val="16"/>
        </w:rPr>
        <w:t xml:space="preserve">19 </w:t>
      </w:r>
      <w:r>
        <w:rPr>
          <w:rFonts w:ascii="Arial" w:hAnsi="Arial" w:eastAsia="宋体" w:cs="Arial"/>
          <w:lang w:eastAsia="zh-CN"/>
        </w:rPr>
        <w:t>Temple R、Ellenberg SS。在评价新疗法中的安慰剂对照试验和主动对照试验。第1部分：伦理和科学问题。内科学年鉴，2000年，133（6）：455-461。</w:t>
      </w:r>
    </w:p>
    <w:p w14:paraId="665CEAEB">
      <w:pPr>
        <w:widowControl/>
        <w:rPr>
          <w:rFonts w:ascii="Arial" w:hAnsi="Arial" w:eastAsia="宋体" w:cs="Arial"/>
          <w:lang w:eastAsia="zh-CN"/>
        </w:rPr>
      </w:pPr>
      <w:r>
        <w:rPr>
          <w:rFonts w:ascii="Arial" w:hAnsi="Arial" w:eastAsia="宋体" w:cs="Arial"/>
          <w:lang w:eastAsia="zh-CN"/>
        </w:rPr>
        <w:br w:type="page"/>
      </w:r>
    </w:p>
    <w:p w14:paraId="4243369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潜在的对照疗法应包括：</w:t>
      </w:r>
    </w:p>
    <w:p w14:paraId="161E3E18">
      <w:pPr>
        <w:snapToGrid w:val="0"/>
        <w:spacing w:before="11" w:line="300" w:lineRule="auto"/>
        <w:jc w:val="both"/>
        <w:rPr>
          <w:rFonts w:ascii="Arial" w:hAnsi="Arial" w:eastAsia="宋体" w:cs="Arial"/>
          <w:sz w:val="23"/>
          <w:szCs w:val="23"/>
          <w:lang w:eastAsia="zh-CN"/>
        </w:rPr>
      </w:pPr>
    </w:p>
    <w:p w14:paraId="62AFAFB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公认的外科手术，例如经尿道前列腺切除术（TURP）；</w:t>
      </w:r>
    </w:p>
    <w:p w14:paraId="614BE64C">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批准用于治疗BPH的医疗器械；</w:t>
      </w:r>
    </w:p>
    <w:p w14:paraId="331CECC7">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虚假治疗；以及</w:t>
      </w:r>
    </w:p>
    <w:p w14:paraId="5011B8A3">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批准用于治疗BPH的药品。</w:t>
      </w:r>
    </w:p>
    <w:p w14:paraId="1911580A">
      <w:pPr>
        <w:snapToGrid w:val="0"/>
        <w:spacing w:before="1" w:line="300" w:lineRule="auto"/>
        <w:jc w:val="both"/>
        <w:rPr>
          <w:rFonts w:ascii="Arial" w:hAnsi="Arial" w:eastAsia="宋体" w:cs="Arial"/>
          <w:sz w:val="24"/>
          <w:szCs w:val="24"/>
          <w:lang w:eastAsia="zh-CN"/>
        </w:rPr>
      </w:pPr>
    </w:p>
    <w:p w14:paraId="6603333E">
      <w:pPr>
        <w:pStyle w:val="6"/>
        <w:snapToGrid w:val="0"/>
        <w:spacing w:line="300" w:lineRule="auto"/>
        <w:ind w:left="0"/>
        <w:jc w:val="both"/>
        <w:rPr>
          <w:rFonts w:ascii="Arial" w:hAnsi="Arial" w:eastAsia="宋体" w:cs="Arial"/>
          <w:lang w:eastAsia="zh-CN"/>
        </w:rPr>
      </w:pPr>
      <w:r>
        <w:rPr>
          <w:rFonts w:ascii="Arial" w:hAnsi="Arial" w:eastAsia="宋体" w:cs="Arial"/>
          <w:lang w:eastAsia="zh-CN"/>
        </w:rPr>
        <w:t>TURP被视为BPH的黄金标准手术治疗，并且有许多成功的临床试验使用TURP作为对照。</w:t>
      </w:r>
    </w:p>
    <w:p w14:paraId="27E8AC43">
      <w:pPr>
        <w:pStyle w:val="6"/>
        <w:snapToGrid w:val="0"/>
        <w:spacing w:line="300" w:lineRule="auto"/>
        <w:ind w:left="0"/>
        <w:jc w:val="both"/>
        <w:rPr>
          <w:rFonts w:ascii="Arial" w:hAnsi="Arial" w:eastAsia="宋体" w:cs="Arial"/>
          <w:lang w:eastAsia="zh-CN"/>
        </w:rPr>
      </w:pPr>
    </w:p>
    <w:p w14:paraId="1D129CB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由使用设计类似于研究器械的合法销售器械进行治疗组成的对照通常是一个理想选择，因为研究设计、患者招募和数据分析可能较为简单。例如，使用随机研究来对比新型TUMT系统与具有相似设计和操作特性的合法销售系统的安全性和有效性可能既简单又合适。</w:t>
      </w:r>
    </w:p>
    <w:p w14:paraId="3C149582">
      <w:pPr>
        <w:snapToGrid w:val="0"/>
        <w:spacing w:before="12" w:line="300" w:lineRule="auto"/>
        <w:jc w:val="both"/>
        <w:rPr>
          <w:rFonts w:ascii="Arial" w:hAnsi="Arial" w:eastAsia="宋体" w:cs="Arial"/>
          <w:sz w:val="23"/>
          <w:szCs w:val="23"/>
          <w:lang w:eastAsia="zh-CN"/>
        </w:rPr>
      </w:pPr>
    </w:p>
    <w:p w14:paraId="632CA30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假对照的研究代表了一项研究设计和对照组的选择，其中可能允许对由试验治疗引起的患者结果与由其他因素（如患者或观察员逾期值）引起的结果进行区分。这种类型的研究设计可能最适合于具有主观终点的研究，例如减少患者报告的症状。在药物试验中，假外科手术/治疗通常涉及多于安慰剂对照组的风险，且应在有限的情况下使用。因此仅应在方法学方面需要时考虑这种研究设计，即当未混合的设计在方法学上不可接受时（例如，因为终点较为主观）以及在方法学上无需 “治疗”对照时。此外，抑制治疗不应造成严重伤害，如死亡或不可逆转的病态。FDA认识到，研究者，申办方可能难以制定一种具有研究者、机构审查委员会以及患者均认为符合道德准则的假手术对照组的临床研究设计；因此，应仔细考虑和计划涉及假对照组的研究。</w:t>
      </w:r>
    </w:p>
    <w:p w14:paraId="74E84639">
      <w:pPr>
        <w:snapToGrid w:val="0"/>
        <w:spacing w:before="7" w:line="300" w:lineRule="auto"/>
        <w:jc w:val="both"/>
        <w:rPr>
          <w:rFonts w:ascii="Arial" w:hAnsi="Arial" w:eastAsia="宋体" w:cs="Arial"/>
          <w:sz w:val="24"/>
          <w:szCs w:val="24"/>
          <w:lang w:eastAsia="zh-CN"/>
        </w:rPr>
      </w:pPr>
    </w:p>
    <w:p w14:paraId="7DFE9CA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可选择使用已批准的药物治疗作为对照，其可在研究期间为受试者提供主动治疗。然而，药物对照的研究难以设计，因为与已批准的药物疗法相比，用于治疗BPH的器械通常具有显著不同的预期风险和不同的操作机制。</w:t>
      </w:r>
      <w:r>
        <w:rPr>
          <w:rFonts w:ascii="Arial" w:hAnsi="Arial" w:eastAsia="宋体" w:cs="Arial"/>
          <w:vertAlign w:val="superscript"/>
          <w:lang w:eastAsia="zh-CN"/>
        </w:rPr>
        <w:t>20</w:t>
      </w:r>
      <w:r>
        <w:rPr>
          <w:rFonts w:ascii="Arial" w:hAnsi="Arial" w:eastAsia="宋体" w:cs="Arial"/>
          <w:lang w:eastAsia="zh-CN"/>
        </w:rPr>
        <w:t>另外，器械可以快速实现全面的有效性，而药物疗法通常需要在几个月后才能达到全面的有效性。因此，在评价器械的安全性和有效性时，药物对照的研究的结果可能难以解释。</w:t>
      </w:r>
    </w:p>
    <w:p w14:paraId="270C5BF3">
      <w:pPr>
        <w:snapToGrid w:val="0"/>
        <w:spacing w:before="8" w:line="300" w:lineRule="auto"/>
        <w:jc w:val="both"/>
        <w:rPr>
          <w:rFonts w:ascii="Arial" w:hAnsi="Arial" w:eastAsia="宋体" w:cs="Arial"/>
          <w:sz w:val="21"/>
          <w:szCs w:val="21"/>
          <w:lang w:eastAsia="zh-CN"/>
        </w:rPr>
      </w:pPr>
    </w:p>
    <w:p w14:paraId="347211DC">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43" name="Group 4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44" name="Group 42"/>
                        <wpg:cNvGrpSpPr/>
                        <wpg:grpSpPr>
                          <a:xfrm>
                            <a:off x="6" y="6"/>
                            <a:ext cx="2880" cy="2"/>
                            <a:chOff x="6" y="6"/>
                            <a:chExt cx="2880" cy="2"/>
                          </a:xfrm>
                        </wpg:grpSpPr>
                        <wps:wsp>
                          <wps:cNvPr id="45" name="Freeform 4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HsCAlxsDAAD+BwAADgAAAAAAAAABACAAAAAjAQAAZHJzL2Uyb0Rv&#10;Yy54bWxQSwUGAAAAAAYABgBZAQAAsAYAAAAA&#10;">
                <o:lock v:ext="edit" aspectratio="f"/>
                <v:group id="Group 42" o:spid="_x0000_s1026" o:spt="203" style="position:absolute;left:6;top:6;height:2;width:2880;" coordorigin="6,6" coordsize="2880,2"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Freeform 43" o:spid="_x0000_s1026" o:spt="100" style="position:absolute;left:6;top:6;height:2;width:2880;" filled="f" stroked="t" coordsize="2880,1" o:gfxdata="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uxO4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AEE675A">
      <w:pPr>
        <w:pStyle w:val="6"/>
        <w:snapToGrid w:val="0"/>
        <w:spacing w:before="94" w:line="300" w:lineRule="auto"/>
        <w:ind w:left="0"/>
        <w:rPr>
          <w:rFonts w:ascii="Arial" w:hAnsi="Arial" w:eastAsia="宋体" w:cs="Arial"/>
        </w:rPr>
      </w:pPr>
      <w:bookmarkStart w:id="80" w:name="_bookmark41"/>
      <w:bookmarkEnd w:id="80"/>
      <w:r>
        <w:rPr>
          <w:rFonts w:ascii="Arial" w:hAnsi="Arial" w:eastAsia="宋体" w:cs="Arial"/>
          <w:position w:val="9"/>
          <w:sz w:val="13"/>
          <w:lang w:eastAsia="zh-CN"/>
        </w:rPr>
        <w:t>20</w:t>
      </w:r>
      <w:r>
        <w:rPr>
          <w:rFonts w:ascii="Arial" w:hAnsi="Arial" w:eastAsia="宋体" w:cs="Arial"/>
          <w:lang w:eastAsia="zh-CN"/>
        </w:rPr>
        <w:t>有关治疗良性前列腺增生的AUA 指南，2003年（2006年更新）。</w:t>
      </w:r>
      <w:r>
        <w:rPr>
          <w:rFonts w:ascii="Arial" w:hAnsi="Arial" w:eastAsia="宋体" w:cs="Arial"/>
        </w:rPr>
        <w:t>（</w:t>
      </w:r>
      <w:r>
        <w:fldChar w:fldCharType="begin"/>
      </w:r>
      <w:r>
        <w:instrText xml:space="preserve"> HYPERLINK "http://www.auanet.org/content/guidelines%1Eand%1Equality%1Ecare/clinical%1Eguidelines.cfm?sub=bph&amp;amp;CFID=2198788&amp;amp;CFTOKEN=48779891&amp;amp;jsessionid=8430dfa1251724c827c53e52296165433457" \h </w:instrText>
      </w:r>
      <w:r>
        <w:fldChar w:fldCharType="separate"/>
      </w:r>
      <w:r>
        <w:rPr>
          <w:rFonts w:ascii="Arial" w:hAnsi="Arial" w:eastAsia="宋体" w:cs="Arial"/>
          <w:color w:val="0000FF"/>
          <w:u w:val="single" w:color="0000FF"/>
        </w:rPr>
        <w:t>http：//www.auanet.org/content/guidelines-and-quality-care/clinical-guidelines.cfm?sub=bph</w:t>
      </w:r>
      <w:r>
        <w:rPr>
          <w:rFonts w:ascii="Arial" w:hAnsi="Arial" w:eastAsia="宋体" w:cs="Arial"/>
          <w:color w:val="0000FF"/>
          <w:u w:val="single" w:color="0000FF"/>
        </w:rPr>
        <w:fldChar w:fldCharType="end"/>
      </w:r>
      <w:r>
        <w:rPr>
          <w:rFonts w:ascii="Arial" w:hAnsi="Arial" w:eastAsia="宋体" w:cs="Arial"/>
          <w:color w:val="0000FF"/>
        </w:rPr>
        <w:t xml:space="preserve"> </w:t>
      </w:r>
      <w:r>
        <w:fldChar w:fldCharType="begin"/>
      </w:r>
      <w:r>
        <w:instrText xml:space="preserve"> HYPERLINK "http://www.auanet.org/content/guidelines%1Eand%1Equality%1Ecare/clinical%1Eguidelines.cfm?sub=bph&amp;amp;CFID=2198788&amp;amp;CFTOKEN=48779891&amp;amp;jsessionid=8430dfa1251724c827c53e52296165433457" \h </w:instrText>
      </w:r>
      <w:r>
        <w:fldChar w:fldCharType="separate"/>
      </w:r>
      <w:r>
        <w:rPr>
          <w:rFonts w:ascii="Arial" w:hAnsi="Arial" w:eastAsia="宋体" w:cs="Arial"/>
          <w:color w:val="0000FF"/>
          <w:spacing w:val="-1"/>
          <w:u w:val="single" w:color="0000FF"/>
        </w:rPr>
        <w:t>&amp;CFID=2198788&amp;CFTOKEN=48779891&amp;jsessionid=8430dfa1251724c827c53e522961654</w:t>
      </w:r>
      <w:r>
        <w:rPr>
          <w:rFonts w:ascii="Arial" w:hAnsi="Arial" w:eastAsia="宋体" w:cs="Arial"/>
          <w:color w:val="0000FF"/>
          <w:spacing w:val="-28"/>
          <w:u w:val="single" w:color="0000FF"/>
        </w:rPr>
        <w:t xml:space="preserve"> </w:t>
      </w:r>
      <w:r>
        <w:rPr>
          <w:rFonts w:ascii="Arial" w:hAnsi="Arial" w:eastAsia="宋体" w:cs="Arial"/>
          <w:color w:val="0000FF"/>
          <w:spacing w:val="-28"/>
          <w:u w:val="single" w:color="0000FF"/>
        </w:rPr>
        <w:fldChar w:fldCharType="end"/>
      </w:r>
      <w:r>
        <w:fldChar w:fldCharType="begin"/>
      </w:r>
      <w:r>
        <w:instrText xml:space="preserve"> HYPERLINK "http://www.auanet.org/content/guidelines%1Eand%1Equality%1Ecare/clinical%1Eguidelines.cfm?sub=bph&amp;amp;CFID=2198788&amp;amp;CFTOKEN=48779891&amp;amp;jsessionid=8430dfa1251724c827c53e52296165433457" \h </w:instrText>
      </w:r>
      <w:r>
        <w:fldChar w:fldCharType="separate"/>
      </w:r>
      <w:r>
        <w:rPr>
          <w:rFonts w:ascii="Arial" w:hAnsi="Arial" w:eastAsia="宋体" w:cs="Arial"/>
          <w:color w:val="0000FF"/>
          <w:u w:val="single" w:color="0000FF"/>
        </w:rPr>
        <w:t>33457</w:t>
      </w:r>
      <w:r>
        <w:rPr>
          <w:rFonts w:ascii="Arial" w:hAnsi="Arial" w:eastAsia="宋体" w:cs="Arial"/>
          <w:color w:val="0000FF"/>
          <w:u w:val="single" w:color="0000FF"/>
        </w:rPr>
        <w:fldChar w:fldCharType="end"/>
      </w:r>
      <w:r>
        <w:rPr>
          <w:rFonts w:ascii="Arial" w:hAnsi="Arial" w:eastAsia="宋体" w:cs="Arial"/>
        </w:rPr>
        <w:t>）</w:t>
      </w:r>
    </w:p>
    <w:p w14:paraId="71DA180F">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131C3E5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由于患者人口统计特征、选择标准和评价方法方面存在差异，通常很难从已发表的文献或前瞻性图表审查中获得足够、可靠和直接适用的历史信息。因此，我们认为，在大多数研究中，使用历史控制可使有关安全性和有效性的证明变得复杂。</w:t>
      </w:r>
    </w:p>
    <w:p w14:paraId="6A541049">
      <w:pPr>
        <w:snapToGrid w:val="0"/>
        <w:spacing w:before="12" w:line="300" w:lineRule="auto"/>
        <w:jc w:val="both"/>
        <w:rPr>
          <w:rFonts w:ascii="Arial" w:hAnsi="Arial" w:eastAsia="宋体" w:cs="Arial"/>
          <w:sz w:val="23"/>
          <w:szCs w:val="23"/>
          <w:lang w:eastAsia="zh-CN"/>
        </w:rPr>
      </w:pPr>
    </w:p>
    <w:p w14:paraId="1A49E82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贵公司可以采用几种策略来帮助招募和保留受试者。例如，2：1（或其他）随机化方案可增加给定受试者接受研究治疗的可能性。交叉研究设计允许假手术或药物控制受试者在规定时间或显著疾病进展后接受使用研究器械进行的治疗。</w:t>
      </w:r>
    </w:p>
    <w:p w14:paraId="7C9FF410">
      <w:pPr>
        <w:snapToGrid w:val="0"/>
        <w:spacing w:before="12" w:line="300" w:lineRule="auto"/>
        <w:jc w:val="both"/>
        <w:rPr>
          <w:rFonts w:ascii="Arial" w:hAnsi="Arial" w:eastAsia="宋体" w:cs="Arial"/>
          <w:sz w:val="23"/>
          <w:szCs w:val="23"/>
          <w:lang w:eastAsia="zh-CN"/>
        </w:rPr>
      </w:pPr>
    </w:p>
    <w:p w14:paraId="0F9EA80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通常建议进行一项随机控制试验来解决本指导性文件中所述的挑战；如果贵公司使用了其他研究设计，我们建议贵公司讨论其如何具有科学合理性以及其如何处理相关的安全和有效性问题。虽然我们认识到，对于有关BPH治疗的研究，不存在特定的“最佳设计”，但我们认为本文中所讨论的要素是精心设计的研究的核心特性。如上所述，我们将考虑替代性研究设计，但我们建议贵公司明确说明用于支持贵公司的替代设计的科学推理（例如，如何最小化偏差？研究如何解决安慰剂效应？控制如何与当前患者特性和临床护理标准相比较？）。</w:t>
      </w:r>
    </w:p>
    <w:p w14:paraId="6A0E8D33">
      <w:pPr>
        <w:snapToGrid w:val="0"/>
        <w:spacing w:before="12" w:line="300" w:lineRule="auto"/>
        <w:jc w:val="both"/>
        <w:rPr>
          <w:rFonts w:ascii="Arial" w:hAnsi="Arial" w:eastAsia="宋体" w:cs="Arial"/>
          <w:sz w:val="23"/>
          <w:szCs w:val="23"/>
          <w:lang w:eastAsia="zh-CN"/>
        </w:rPr>
      </w:pPr>
    </w:p>
    <w:p w14:paraId="68D0E08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对于所有研究设计，我们建议贵公司收集有关所有研究对象的详细基线和人口统计信息，以便对研究组进行评估从而确定预后因素中的失衡。</w:t>
      </w:r>
    </w:p>
    <w:p w14:paraId="42B951AE">
      <w:pPr>
        <w:snapToGrid w:val="0"/>
        <w:spacing w:before="11" w:line="300" w:lineRule="auto"/>
        <w:jc w:val="both"/>
        <w:rPr>
          <w:rFonts w:ascii="Arial" w:hAnsi="Arial" w:eastAsia="宋体" w:cs="Arial"/>
          <w:sz w:val="23"/>
          <w:szCs w:val="23"/>
          <w:lang w:eastAsia="zh-CN"/>
        </w:rPr>
      </w:pPr>
    </w:p>
    <w:p w14:paraId="50E40F6F">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81" w:name="D._Blinding_(Masking)"/>
      <w:bookmarkEnd w:id="81"/>
      <w:bookmarkStart w:id="82" w:name="_bookmark42"/>
      <w:bookmarkEnd w:id="82"/>
      <w:bookmarkStart w:id="83" w:name="_Toc481595910"/>
      <w:r>
        <w:rPr>
          <w:rFonts w:ascii="Arial" w:hAnsi="Arial" w:eastAsia="宋体" w:cs="Arial"/>
          <w:lang w:eastAsia="zh-CN"/>
        </w:rPr>
        <w:t>盲法</w:t>
      </w:r>
      <w:bookmarkEnd w:id="83"/>
    </w:p>
    <w:p w14:paraId="43FD67CD">
      <w:pPr>
        <w:snapToGrid w:val="0"/>
        <w:spacing w:before="1" w:line="300" w:lineRule="auto"/>
        <w:jc w:val="both"/>
        <w:rPr>
          <w:rFonts w:ascii="Arial" w:hAnsi="Arial" w:eastAsia="宋体" w:cs="Arial"/>
          <w:b/>
          <w:bCs/>
          <w:sz w:val="24"/>
          <w:szCs w:val="24"/>
        </w:rPr>
      </w:pPr>
    </w:p>
    <w:p w14:paraId="0F1E0F53">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临床试验中的偏差来源包括研究者偏差、评价者偏差和安慰剂或假效应（在附录1中定义）。为了使研究免受这些偏见影响，我们建议贵公司将盲法纳入研究设计。单盲设计可使受试者不明确干预措施的分配。双盲研究可使受试者和研究者均不明确干预措施的分配。在单盲和双盲设计不可实现或不可行的情况下，通常可以使用盲选的第三方评价者来评价某些结果测量，例如症状评分、生活质量、膀胱镜检查</w:t>
      </w:r>
      <w:r>
        <w:rPr>
          <w:rFonts w:hint="eastAsia" w:ascii="Arial" w:hAnsi="Arial" w:eastAsia="宋体" w:cs="Arial"/>
          <w:lang w:eastAsia="zh-CN"/>
        </w:rPr>
        <w:t>和</w:t>
      </w:r>
      <w:r>
        <w:rPr>
          <w:rFonts w:ascii="Arial" w:hAnsi="Arial" w:eastAsia="宋体" w:cs="Arial"/>
          <w:lang w:eastAsia="zh-CN"/>
        </w:rPr>
        <w:t>不良事件。</w:t>
      </w:r>
    </w:p>
    <w:p w14:paraId="2D450691">
      <w:pPr>
        <w:pStyle w:val="6"/>
        <w:snapToGrid w:val="0"/>
        <w:spacing w:line="300" w:lineRule="auto"/>
        <w:ind w:left="0"/>
        <w:jc w:val="both"/>
        <w:rPr>
          <w:rFonts w:ascii="Arial" w:hAnsi="Arial" w:eastAsia="宋体" w:cs="Arial"/>
          <w:lang w:eastAsia="zh-CN"/>
        </w:rPr>
      </w:pPr>
    </w:p>
    <w:p w14:paraId="08743BF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盲法通常通过对干预措施进行编码，并使不属于患者护理团队的个人控制代码的密钥来完成。由于在分析中可能难以对因未遵守盲法而引入的偏差进行评估，因此我们建议贵公司在分析完成之前不要破解代码。如果贵公司的研究包含盲法，则该方案应说明盲法，并且前瞻性地定义破解盲法代码的条件。</w:t>
      </w:r>
    </w:p>
    <w:p w14:paraId="3323DFAD">
      <w:pPr>
        <w:snapToGrid w:val="0"/>
        <w:spacing w:before="12" w:line="300" w:lineRule="auto"/>
        <w:jc w:val="both"/>
        <w:rPr>
          <w:rFonts w:ascii="Arial" w:hAnsi="Arial" w:eastAsia="宋体" w:cs="Arial"/>
          <w:sz w:val="23"/>
          <w:szCs w:val="23"/>
          <w:lang w:eastAsia="zh-CN"/>
        </w:rPr>
      </w:pPr>
    </w:p>
    <w:p w14:paraId="7BEFA585">
      <w:pPr>
        <w:widowControl/>
        <w:rPr>
          <w:rFonts w:ascii="Arial" w:hAnsi="Arial" w:eastAsia="宋体" w:cs="Arial"/>
          <w:b/>
          <w:bCs/>
          <w:sz w:val="28"/>
          <w:szCs w:val="28"/>
          <w:lang w:eastAsia="zh-CN"/>
        </w:rPr>
      </w:pPr>
      <w:bookmarkStart w:id="84" w:name="E._Study_Endpoints"/>
      <w:bookmarkEnd w:id="84"/>
      <w:bookmarkStart w:id="85" w:name="_bookmark43"/>
      <w:bookmarkEnd w:id="85"/>
      <w:r>
        <w:rPr>
          <w:rFonts w:ascii="Arial" w:hAnsi="Arial" w:eastAsia="宋体" w:cs="Arial"/>
          <w:lang w:eastAsia="zh-CN"/>
        </w:rPr>
        <w:br w:type="page"/>
      </w:r>
    </w:p>
    <w:p w14:paraId="429AE22A">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86" w:name="_Toc481595911"/>
      <w:r>
        <w:rPr>
          <w:rFonts w:ascii="Arial" w:hAnsi="Arial" w:eastAsia="宋体" w:cs="Arial"/>
        </w:rPr>
        <w:t>研究终点</w:t>
      </w:r>
      <w:bookmarkEnd w:id="86"/>
    </w:p>
    <w:p w14:paraId="41796CE5">
      <w:pPr>
        <w:snapToGrid w:val="0"/>
        <w:spacing w:before="1" w:line="300" w:lineRule="auto"/>
        <w:jc w:val="both"/>
        <w:rPr>
          <w:rFonts w:ascii="Arial" w:hAnsi="Arial" w:eastAsia="宋体" w:cs="Arial"/>
          <w:b/>
          <w:bCs/>
          <w:sz w:val="24"/>
          <w:szCs w:val="24"/>
        </w:rPr>
      </w:pPr>
    </w:p>
    <w:p w14:paraId="6A67CBE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贵公司的临床方案应明确规定并支持研究的主要和次要终点。为了确保收集的结果有意义，这些终点应与贵公司拟在研究中将其作为目标的患者人群临床相关。在选择贵公司的临床研究的最佳终点时应考虑的其他因素如下所述。</w:t>
      </w:r>
    </w:p>
    <w:p w14:paraId="31BE823C">
      <w:pPr>
        <w:snapToGrid w:val="0"/>
        <w:spacing w:before="1" w:line="300" w:lineRule="auto"/>
        <w:jc w:val="both"/>
        <w:rPr>
          <w:rFonts w:ascii="Arial" w:hAnsi="Arial" w:eastAsia="宋体" w:cs="Arial"/>
          <w:sz w:val="24"/>
          <w:szCs w:val="24"/>
          <w:lang w:eastAsia="zh-CN"/>
        </w:rPr>
      </w:pPr>
    </w:p>
    <w:p w14:paraId="485CC3CD">
      <w:pPr>
        <w:pStyle w:val="5"/>
        <w:numPr>
          <w:ilvl w:val="0"/>
          <w:numId w:val="3"/>
        </w:numPr>
        <w:tabs>
          <w:tab w:val="left" w:pos="1200"/>
        </w:tabs>
        <w:snapToGrid w:val="0"/>
        <w:spacing w:line="300" w:lineRule="auto"/>
        <w:ind w:left="357" w:firstLine="77"/>
        <w:jc w:val="both"/>
        <w:rPr>
          <w:rFonts w:ascii="Arial" w:hAnsi="Arial" w:eastAsia="宋体" w:cs="Arial"/>
          <w:b w:val="0"/>
          <w:bCs w:val="0"/>
          <w:i w:val="0"/>
        </w:rPr>
      </w:pPr>
      <w:bookmarkStart w:id="87" w:name="1._Primary_Endpoints__"/>
      <w:bookmarkEnd w:id="87"/>
      <w:bookmarkStart w:id="88" w:name="_bookmark44"/>
      <w:bookmarkEnd w:id="88"/>
      <w:bookmarkStart w:id="89" w:name="_Toc481595912"/>
      <w:r>
        <w:rPr>
          <w:rFonts w:ascii="Arial" w:hAnsi="Arial" w:eastAsia="宋体" w:cs="Arial"/>
        </w:rPr>
        <w:t>主要终点</w:t>
      </w:r>
      <w:bookmarkEnd w:id="89"/>
    </w:p>
    <w:p w14:paraId="0BBEB424">
      <w:pPr>
        <w:snapToGrid w:val="0"/>
        <w:spacing w:before="12" w:line="300" w:lineRule="auto"/>
        <w:ind w:firstLine="77"/>
        <w:jc w:val="both"/>
        <w:rPr>
          <w:rFonts w:ascii="Arial" w:hAnsi="Arial" w:eastAsia="宋体" w:cs="Arial"/>
          <w:b/>
          <w:bCs/>
          <w:i/>
          <w:sz w:val="23"/>
          <w:szCs w:val="23"/>
        </w:rPr>
      </w:pPr>
    </w:p>
    <w:p w14:paraId="6A16292B">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主要的安全性和有效性终点为临床措施，其中，其可最好地表征该器械的安全性和有效性，并可用于判断该研究是否已全部成功。对于BPH器械研究，统计假设中指定的主要终点通常是有效性终点，且反过来，其可直接影响适应症。一般来说，研究成功是基于研究实现主要有效性终点和主要安全性终点的能力。</w:t>
      </w:r>
    </w:p>
    <w:p w14:paraId="3BF2528B">
      <w:pPr>
        <w:snapToGrid w:val="0"/>
        <w:spacing w:before="12" w:line="300" w:lineRule="auto"/>
        <w:ind w:firstLine="77"/>
        <w:jc w:val="both"/>
        <w:rPr>
          <w:rFonts w:ascii="Arial" w:hAnsi="Arial" w:eastAsia="宋体" w:cs="Arial"/>
          <w:sz w:val="23"/>
          <w:szCs w:val="23"/>
          <w:lang w:eastAsia="zh-CN"/>
        </w:rPr>
      </w:pPr>
    </w:p>
    <w:p w14:paraId="22A75DD5">
      <w:pPr>
        <w:pStyle w:val="5"/>
        <w:numPr>
          <w:ilvl w:val="0"/>
          <w:numId w:val="3"/>
        </w:numPr>
        <w:tabs>
          <w:tab w:val="left" w:pos="1200"/>
        </w:tabs>
        <w:snapToGrid w:val="0"/>
        <w:spacing w:line="300" w:lineRule="auto"/>
        <w:ind w:left="357" w:firstLine="77"/>
        <w:jc w:val="both"/>
        <w:rPr>
          <w:rFonts w:ascii="Arial" w:hAnsi="Arial" w:eastAsia="宋体" w:cs="Arial"/>
        </w:rPr>
      </w:pPr>
      <w:bookmarkStart w:id="90" w:name="2._Primary_Effectiveness_Endpoint"/>
      <w:bookmarkEnd w:id="90"/>
      <w:bookmarkStart w:id="91" w:name="_bookmark45"/>
      <w:bookmarkEnd w:id="91"/>
      <w:bookmarkStart w:id="92" w:name="_Toc481595913"/>
      <w:r>
        <w:rPr>
          <w:rFonts w:ascii="Arial" w:hAnsi="Arial" w:eastAsia="宋体" w:cs="Arial"/>
        </w:rPr>
        <w:t>主要有效性终点</w:t>
      </w:r>
      <w:bookmarkEnd w:id="92"/>
    </w:p>
    <w:p w14:paraId="07045305">
      <w:pPr>
        <w:snapToGrid w:val="0"/>
        <w:spacing w:before="12" w:line="300" w:lineRule="auto"/>
        <w:ind w:firstLine="77"/>
        <w:jc w:val="both"/>
        <w:rPr>
          <w:rFonts w:ascii="Arial" w:hAnsi="Arial" w:eastAsia="宋体" w:cs="Arial"/>
          <w:b/>
          <w:bCs/>
          <w:i/>
          <w:sz w:val="23"/>
          <w:szCs w:val="23"/>
        </w:rPr>
      </w:pPr>
    </w:p>
    <w:p w14:paraId="5F9E1C1A">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主要有效性终点应为临床上有意义，且在理想情况下应充分表征治疗有效性的终点。由于BPH症状的主观性质，难以找到客观且可复现的，但也对患者有意义并且与其寻求治疗的原因有关的有效性测量（即具有较低的试验-再试验变异性）。</w:t>
      </w:r>
    </w:p>
    <w:p w14:paraId="2EBB0F18">
      <w:pPr>
        <w:snapToGrid w:val="0"/>
        <w:spacing w:before="12" w:line="300" w:lineRule="auto"/>
        <w:ind w:firstLine="77"/>
        <w:jc w:val="both"/>
        <w:rPr>
          <w:rFonts w:ascii="Arial" w:hAnsi="Arial" w:eastAsia="宋体" w:cs="Arial"/>
          <w:sz w:val="23"/>
          <w:szCs w:val="23"/>
          <w:lang w:eastAsia="zh-CN"/>
        </w:rPr>
      </w:pPr>
    </w:p>
    <w:p w14:paraId="15602530">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自从其开发以来，用于BPH疗法研究的且应用最广泛的主要结果测量为美国泌尿协会症状指数（AUA-SI）和等同的国际前列腺症状评分（IPSS）。这些措施包括评估与BPH相关的下尿路症状（LUTS）的七个问题（即不完全排空、尿频、排尿踌躇、尿急、尿无力、用力排尿和夜尿症）。以0-5的量表对每个问题进行评分，然后总结以形成位于0-35之间的最终评分，其中，如果评分较高，则反映症状更为严重。</w:t>
      </w:r>
      <w:r>
        <w:rPr>
          <w:rFonts w:ascii="Arial" w:hAnsi="Arial" w:eastAsia="宋体" w:cs="Arial"/>
          <w:vertAlign w:val="superscript"/>
          <w:lang w:eastAsia="zh-CN"/>
        </w:rPr>
        <w:t>21</w:t>
      </w:r>
      <w:r>
        <w:rPr>
          <w:rFonts w:ascii="Arial" w:hAnsi="Arial" w:eastAsia="宋体" w:cs="Arial"/>
          <w:lang w:eastAsia="zh-CN"/>
        </w:rPr>
        <w:t>在IPSS中纳入以0-6的量表进行单独评分的其他疾病特异性质量问题。我们认为，由于，这些工具可可靠测量因BPH引起的LUTS，并已以多种语言进行确认。</w:t>
      </w:r>
      <w:r>
        <w:fldChar w:fldCharType="begin"/>
      </w:r>
      <w:r>
        <w:instrText xml:space="preserve"> HYPERLINK \l "_bookmark48" </w:instrText>
      </w:r>
      <w:r>
        <w:fldChar w:fldCharType="separate"/>
      </w:r>
      <w:r>
        <w:rPr>
          <w:rFonts w:ascii="Arial" w:hAnsi="Arial" w:eastAsia="宋体" w:cs="Arial"/>
          <w:position w:val="11"/>
          <w:sz w:val="16"/>
          <w:lang w:eastAsia="zh-CN"/>
        </w:rPr>
        <w:t>22</w:t>
      </w:r>
      <w:r>
        <w:rPr>
          <w:rFonts w:ascii="Arial" w:hAnsi="Arial" w:eastAsia="宋体" w:cs="Arial"/>
          <w:position w:val="11"/>
          <w:sz w:val="16"/>
          <w:lang w:eastAsia="zh-CN"/>
        </w:rPr>
        <w:fldChar w:fldCharType="end"/>
      </w:r>
    </w:p>
    <w:p w14:paraId="02A50DB7">
      <w:pPr>
        <w:snapToGrid w:val="0"/>
        <w:spacing w:before="2" w:line="300" w:lineRule="auto"/>
        <w:jc w:val="both"/>
        <w:rPr>
          <w:rFonts w:ascii="Arial" w:hAnsi="Arial" w:eastAsia="宋体" w:cs="Arial"/>
          <w:sz w:val="17"/>
          <w:szCs w:val="17"/>
          <w:lang w:eastAsia="zh-CN"/>
        </w:rPr>
      </w:pPr>
    </w:p>
    <w:p w14:paraId="5B0793F2">
      <w:pPr>
        <w:snapToGrid w:val="0"/>
        <w:spacing w:before="2" w:line="300" w:lineRule="auto"/>
        <w:jc w:val="both"/>
        <w:rPr>
          <w:rFonts w:ascii="Arial" w:hAnsi="Arial" w:eastAsia="宋体" w:cs="Arial"/>
          <w:sz w:val="17"/>
          <w:szCs w:val="17"/>
          <w:lang w:eastAsia="zh-CN"/>
        </w:rPr>
      </w:pPr>
    </w:p>
    <w:p w14:paraId="41188F1E">
      <w:pPr>
        <w:snapToGrid w:val="0"/>
        <w:spacing w:before="2" w:line="300" w:lineRule="auto"/>
        <w:jc w:val="both"/>
        <w:rPr>
          <w:rFonts w:ascii="Arial" w:hAnsi="Arial" w:eastAsia="宋体" w:cs="Arial"/>
          <w:sz w:val="17"/>
          <w:szCs w:val="17"/>
          <w:lang w:eastAsia="zh-CN"/>
        </w:rPr>
      </w:pPr>
    </w:p>
    <w:p w14:paraId="1380A613">
      <w:pPr>
        <w:snapToGrid w:val="0"/>
        <w:spacing w:before="2" w:line="300" w:lineRule="auto"/>
        <w:jc w:val="both"/>
        <w:rPr>
          <w:rFonts w:ascii="Arial" w:hAnsi="Arial" w:eastAsia="宋体" w:cs="Arial"/>
          <w:sz w:val="17"/>
          <w:szCs w:val="17"/>
          <w:lang w:eastAsia="zh-CN"/>
        </w:rPr>
      </w:pPr>
    </w:p>
    <w:p w14:paraId="42C31587">
      <w:pPr>
        <w:snapToGrid w:val="0"/>
        <w:spacing w:before="2" w:line="300" w:lineRule="auto"/>
        <w:jc w:val="both"/>
        <w:rPr>
          <w:rFonts w:ascii="Arial" w:hAnsi="Arial" w:eastAsia="宋体" w:cs="Arial"/>
          <w:sz w:val="17"/>
          <w:szCs w:val="17"/>
          <w:lang w:eastAsia="zh-CN"/>
        </w:rPr>
      </w:pPr>
    </w:p>
    <w:p w14:paraId="7C2890AE">
      <w:pPr>
        <w:snapToGrid w:val="0"/>
        <w:spacing w:before="2" w:line="300" w:lineRule="auto"/>
        <w:jc w:val="both"/>
        <w:rPr>
          <w:rFonts w:ascii="Arial" w:hAnsi="Arial" w:eastAsia="宋体" w:cs="Arial"/>
          <w:sz w:val="17"/>
          <w:szCs w:val="17"/>
          <w:lang w:eastAsia="zh-CN"/>
        </w:rPr>
      </w:pPr>
    </w:p>
    <w:p w14:paraId="7202890D">
      <w:pPr>
        <w:snapToGrid w:val="0"/>
        <w:spacing w:before="2" w:line="300" w:lineRule="auto"/>
        <w:jc w:val="both"/>
        <w:rPr>
          <w:rFonts w:ascii="Arial" w:hAnsi="Arial" w:eastAsia="宋体" w:cs="Arial"/>
          <w:sz w:val="17"/>
          <w:szCs w:val="17"/>
          <w:lang w:eastAsia="zh-CN"/>
        </w:rPr>
      </w:pPr>
    </w:p>
    <w:p w14:paraId="24CFF514">
      <w:pPr>
        <w:snapToGrid w:val="0"/>
        <w:spacing w:before="2" w:line="300" w:lineRule="auto"/>
        <w:jc w:val="both"/>
        <w:rPr>
          <w:rFonts w:ascii="Arial" w:hAnsi="Arial" w:eastAsia="宋体" w:cs="Arial"/>
          <w:sz w:val="17"/>
          <w:szCs w:val="17"/>
          <w:lang w:eastAsia="zh-CN"/>
        </w:rPr>
      </w:pPr>
    </w:p>
    <w:p w14:paraId="7D97D402">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40" name="Group 3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41" name="Group 39"/>
                        <wpg:cNvGrpSpPr/>
                        <wpg:grpSpPr>
                          <a:xfrm>
                            <a:off x="6" y="6"/>
                            <a:ext cx="2880" cy="2"/>
                            <a:chOff x="6" y="6"/>
                            <a:chExt cx="2880" cy="2"/>
                          </a:xfrm>
                        </wpg:grpSpPr>
                        <wps:wsp>
                          <wps:cNvPr id="42" name="Freeform 4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3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BV3t4dGgMAAP4HAAAOAAAAAAAAAAEAIAAAACMBAABkcnMvZTJvRG9j&#10;LnhtbFBLBQYAAAAABgAGAFkBAACvBgAAAAA=&#10;">
                <o:lock v:ext="edit" aspectratio="f"/>
                <v:group id="Group 39" o:spid="_x0000_s1026" o:spt="203" style="position:absolute;left:6;top:6;height:2;width:2880;" coordorigin="6,6" coordsize="2880,2"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Freeform 40" o:spid="_x0000_s1026" o:spt="100" style="position:absolute;left:6;top:6;height:2;width:2880;" filled="f" stroked="t" coordsize="2880,1" o:gfxdata="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Si8y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5112A19">
      <w:pPr>
        <w:pStyle w:val="6"/>
        <w:snapToGrid w:val="0"/>
        <w:spacing w:before="59" w:line="300" w:lineRule="auto"/>
        <w:ind w:left="0"/>
        <w:jc w:val="both"/>
        <w:rPr>
          <w:rFonts w:ascii="Arial" w:hAnsi="Arial" w:eastAsia="宋体" w:cs="Arial"/>
          <w:lang w:eastAsia="zh-CN"/>
        </w:rPr>
      </w:pPr>
      <w:bookmarkStart w:id="93" w:name="_bookmark46"/>
      <w:bookmarkEnd w:id="93"/>
      <w:r>
        <w:rPr>
          <w:rFonts w:ascii="Arial" w:hAnsi="Arial" w:eastAsia="宋体" w:cs="Arial"/>
          <w:position w:val="11"/>
          <w:sz w:val="16"/>
        </w:rPr>
        <w:t xml:space="preserve">21 </w:t>
      </w:r>
      <w:r>
        <w:rPr>
          <w:rFonts w:ascii="Arial" w:hAnsi="Arial" w:eastAsia="宋体" w:cs="Arial"/>
        </w:rPr>
        <w:t>Barry、MJ、Fowler FJ Jr.、O'Leary MP、Bruskewitz RC、Holtgrewe HL、Mebust，WK</w:t>
      </w:r>
      <w:r>
        <w:rPr>
          <w:rFonts w:ascii="Arial" w:hAnsi="Arial" w:eastAsia="宋体" w:cs="Arial"/>
          <w:lang w:eastAsia="zh-CN"/>
        </w:rPr>
        <w:t>等人。美国泌尿协会良性前列腺增生症sympsis指数。美国泌尿协会测量委员会。泌尿学杂志，1992年，148：1549。</w:t>
      </w:r>
    </w:p>
    <w:p w14:paraId="3FCD1B03">
      <w:pPr>
        <w:widowControl/>
        <w:rPr>
          <w:rFonts w:ascii="Arial" w:hAnsi="Arial" w:eastAsia="宋体" w:cs="Arial"/>
          <w:lang w:eastAsia="zh-CN"/>
        </w:rPr>
      </w:pPr>
      <w:r>
        <w:rPr>
          <w:rFonts w:ascii="Arial" w:hAnsi="Arial" w:eastAsia="宋体" w:cs="Arial"/>
          <w:lang w:eastAsia="zh-CN"/>
        </w:rPr>
        <w:br w:type="page"/>
      </w:r>
    </w:p>
    <w:p w14:paraId="6C572D84">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令人烦扰的LUTS通常是患者寻求治疗其BPH的主要原因，且大多数用于治疗BPH的器械旨在提供症状缓解。在大多数临床试验中，主要有效性终点应显示症状严重程度得到改善。具体来说，我们建议贵公司将主要有效性终点基于AUA-SI（或IPSS）与基线相比的改善。</w:t>
      </w:r>
    </w:p>
    <w:p w14:paraId="64F27FB9">
      <w:pPr>
        <w:pStyle w:val="6"/>
        <w:snapToGrid w:val="0"/>
        <w:spacing w:line="300" w:lineRule="auto"/>
        <w:ind w:left="447" w:leftChars="203"/>
        <w:jc w:val="both"/>
        <w:rPr>
          <w:rFonts w:ascii="Arial" w:hAnsi="Arial" w:eastAsia="宋体" w:cs="Arial"/>
          <w:lang w:eastAsia="zh-CN"/>
        </w:rPr>
      </w:pPr>
    </w:p>
    <w:p w14:paraId="0DAA54C1">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由于患者无法辨别小于3分的AUA-SI（或IPSS）评分差异，23通常认为具有临床显著性的最小治疗差异为3。另外，区分AUA-SI（或IPSS）中的刺激性和阻塞性症状问题在心理测量方面较为有效，但目前还不清楚此类子评分分析在临床上是否具有意义。</w:t>
      </w:r>
      <w:r>
        <w:fldChar w:fldCharType="begin"/>
      </w:r>
      <w:r>
        <w:instrText xml:space="preserve"> HYPERLINK \l "_bookmark50" </w:instrText>
      </w:r>
      <w:r>
        <w:fldChar w:fldCharType="separate"/>
      </w:r>
      <w:r>
        <w:rPr>
          <w:rFonts w:ascii="Arial" w:hAnsi="Arial" w:eastAsia="宋体" w:cs="Arial"/>
          <w:lang w:eastAsia="zh-CN"/>
        </w:rPr>
        <w:t>24</w:t>
      </w:r>
      <w:r>
        <w:rPr>
          <w:rFonts w:ascii="Arial" w:hAnsi="Arial" w:eastAsia="宋体" w:cs="Arial"/>
          <w:lang w:eastAsia="zh-CN"/>
        </w:rPr>
        <w:fldChar w:fldCharType="end"/>
      </w:r>
    </w:p>
    <w:p w14:paraId="2F9B714D">
      <w:pPr>
        <w:pStyle w:val="6"/>
        <w:snapToGrid w:val="0"/>
        <w:spacing w:line="300" w:lineRule="auto"/>
        <w:ind w:left="447" w:leftChars="203"/>
        <w:jc w:val="both"/>
        <w:rPr>
          <w:rFonts w:ascii="Arial" w:hAnsi="Arial" w:eastAsia="宋体" w:cs="Arial"/>
          <w:lang w:eastAsia="zh-CN"/>
        </w:rPr>
      </w:pPr>
    </w:p>
    <w:p w14:paraId="1E37DC4B">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我们认识到，由于特定的器械设计特性或所需的上市声明，其他结果测量也可能适用。例如，有关减少阻塞的声明可以基于有文件证明的流量改进、“压力/流量”研究（膀胱测压法）的结果以及排尿后残留尿量。如果贵公司选择使用替代结果测量，则重要的是，贵公司应提供一个科学有效的理由来解释其如何适用于贵公司的器械。</w:t>
      </w:r>
    </w:p>
    <w:p w14:paraId="6BD2A21D">
      <w:pPr>
        <w:snapToGrid w:val="0"/>
        <w:spacing w:before="12" w:line="300" w:lineRule="auto"/>
        <w:jc w:val="both"/>
        <w:rPr>
          <w:rFonts w:ascii="Arial" w:hAnsi="Arial" w:eastAsia="宋体" w:cs="Arial"/>
          <w:sz w:val="23"/>
          <w:szCs w:val="23"/>
          <w:lang w:eastAsia="zh-CN"/>
        </w:rPr>
      </w:pPr>
    </w:p>
    <w:p w14:paraId="4981B05A">
      <w:pPr>
        <w:pStyle w:val="5"/>
        <w:numPr>
          <w:ilvl w:val="0"/>
          <w:numId w:val="3"/>
        </w:numPr>
        <w:tabs>
          <w:tab w:val="left" w:pos="1200"/>
        </w:tabs>
        <w:snapToGrid w:val="0"/>
        <w:spacing w:line="300" w:lineRule="auto"/>
        <w:ind w:left="357" w:firstLine="77"/>
        <w:jc w:val="both"/>
        <w:rPr>
          <w:rFonts w:ascii="Arial" w:hAnsi="Arial" w:eastAsia="宋体" w:cs="Arial"/>
          <w:b w:val="0"/>
          <w:bCs w:val="0"/>
          <w:i w:val="0"/>
        </w:rPr>
      </w:pPr>
      <w:bookmarkStart w:id="94" w:name="_bookmark47"/>
      <w:bookmarkEnd w:id="94"/>
      <w:bookmarkStart w:id="95" w:name="3._Primary_Safety_Endpoint"/>
      <w:bookmarkEnd w:id="95"/>
      <w:bookmarkStart w:id="96" w:name="_Toc481595914"/>
      <w:r>
        <w:rPr>
          <w:rFonts w:ascii="Arial" w:hAnsi="Arial" w:eastAsia="宋体" w:cs="Arial"/>
        </w:rPr>
        <w:t>主要安全</w:t>
      </w:r>
      <w:r>
        <w:rPr>
          <w:rFonts w:ascii="Arial" w:hAnsi="Arial" w:eastAsia="宋体" w:cs="Arial"/>
          <w:lang w:eastAsia="zh-CN"/>
        </w:rPr>
        <w:t>性</w:t>
      </w:r>
      <w:r>
        <w:rPr>
          <w:rFonts w:ascii="Arial" w:hAnsi="Arial" w:eastAsia="宋体" w:cs="Arial"/>
        </w:rPr>
        <w:t>终点</w:t>
      </w:r>
      <w:bookmarkEnd w:id="96"/>
    </w:p>
    <w:p w14:paraId="1DA3E8B3">
      <w:pPr>
        <w:snapToGrid w:val="0"/>
        <w:spacing w:before="1" w:line="300" w:lineRule="auto"/>
        <w:jc w:val="both"/>
        <w:rPr>
          <w:rFonts w:ascii="Arial" w:hAnsi="Arial" w:eastAsia="宋体" w:cs="Arial"/>
          <w:b/>
          <w:bCs/>
          <w:i/>
          <w:sz w:val="24"/>
          <w:szCs w:val="24"/>
        </w:rPr>
      </w:pPr>
    </w:p>
    <w:p w14:paraId="1D9960CF">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我们通常建议贵公司将主要安全性终点基于不良事件的发生率和严重程度。然而，如果该器械与特定的安全性问题相关或旨在缓解特定的安全性问题，则应将主要安全性终点基于与该问题相关的特定不良事件，同时仍然记录所有不良事件。</w:t>
      </w:r>
    </w:p>
    <w:p w14:paraId="48927960">
      <w:pPr>
        <w:snapToGrid w:val="0"/>
        <w:spacing w:before="12" w:line="300" w:lineRule="auto"/>
        <w:jc w:val="both"/>
        <w:rPr>
          <w:rFonts w:ascii="Arial" w:hAnsi="Arial" w:eastAsia="宋体" w:cs="Arial"/>
          <w:sz w:val="26"/>
          <w:szCs w:val="26"/>
          <w:lang w:eastAsia="zh-CN"/>
        </w:rPr>
      </w:pPr>
    </w:p>
    <w:p w14:paraId="2C807BED">
      <w:pPr>
        <w:snapToGrid w:val="0"/>
        <w:spacing w:before="12" w:line="300" w:lineRule="auto"/>
        <w:jc w:val="both"/>
        <w:rPr>
          <w:rFonts w:ascii="Arial" w:hAnsi="Arial" w:eastAsia="宋体" w:cs="Arial"/>
          <w:sz w:val="26"/>
          <w:szCs w:val="26"/>
          <w:lang w:eastAsia="zh-CN"/>
        </w:rPr>
      </w:pPr>
    </w:p>
    <w:p w14:paraId="11402A8D">
      <w:pPr>
        <w:snapToGrid w:val="0"/>
        <w:spacing w:before="12" w:line="300" w:lineRule="auto"/>
        <w:jc w:val="both"/>
        <w:rPr>
          <w:rFonts w:ascii="Arial" w:hAnsi="Arial" w:eastAsia="宋体" w:cs="Arial"/>
          <w:sz w:val="26"/>
          <w:szCs w:val="26"/>
          <w:lang w:eastAsia="zh-CN"/>
        </w:rPr>
      </w:pPr>
    </w:p>
    <w:p w14:paraId="13DBB67F">
      <w:pPr>
        <w:snapToGrid w:val="0"/>
        <w:spacing w:before="12" w:line="300" w:lineRule="auto"/>
        <w:jc w:val="both"/>
        <w:rPr>
          <w:rFonts w:ascii="Arial" w:hAnsi="Arial" w:eastAsia="宋体" w:cs="Arial"/>
          <w:sz w:val="26"/>
          <w:szCs w:val="26"/>
          <w:lang w:eastAsia="zh-CN"/>
        </w:rPr>
      </w:pPr>
    </w:p>
    <w:p w14:paraId="6AA8ECC9">
      <w:pPr>
        <w:snapToGrid w:val="0"/>
        <w:spacing w:before="12" w:line="300" w:lineRule="auto"/>
        <w:jc w:val="both"/>
        <w:rPr>
          <w:rFonts w:ascii="Arial" w:hAnsi="Arial" w:eastAsia="宋体" w:cs="Arial"/>
          <w:sz w:val="26"/>
          <w:szCs w:val="26"/>
          <w:lang w:eastAsia="zh-CN"/>
        </w:rPr>
      </w:pPr>
    </w:p>
    <w:p w14:paraId="3BF8702F">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37" name="Group 3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8" name="Group 36"/>
                        <wpg:cNvGrpSpPr/>
                        <wpg:grpSpPr>
                          <a:xfrm>
                            <a:off x="6" y="6"/>
                            <a:ext cx="2880" cy="2"/>
                            <a:chOff x="6" y="6"/>
                            <a:chExt cx="2880" cy="2"/>
                          </a:xfrm>
                        </wpg:grpSpPr>
                        <wps:wsp>
                          <wps:cNvPr id="39" name="Freeform 3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3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8/3eihsDAAD+BwAADgAAAAAAAAABACAAAAAjAQAAZHJzL2Uyb0Rv&#10;Yy54bWxQSwUGAAAAAAYABgBZAQAAsAYAAAAA&#10;">
                <o:lock v:ext="edit" aspectratio="f"/>
                <v:group id="Group 36" o:spid="_x0000_s1026" o:spt="203" style="position:absolute;left:6;top:6;height:2;width:2880;" coordorigin="6,6" coordsize="2880,2"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Freeform 37" o:spid="_x0000_s1026" o:spt="100" style="position:absolute;left:6;top:6;height:2;width:2880;" filled="f" stroked="t" coordsize="2880,1" o:gfxdata="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8GrA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5036D6F">
      <w:pPr>
        <w:pStyle w:val="6"/>
        <w:snapToGrid w:val="0"/>
        <w:spacing w:before="59" w:line="300" w:lineRule="auto"/>
        <w:ind w:left="0"/>
        <w:jc w:val="both"/>
        <w:rPr>
          <w:rFonts w:ascii="Arial" w:hAnsi="Arial" w:eastAsia="宋体" w:cs="Arial"/>
        </w:rPr>
      </w:pPr>
      <w:bookmarkStart w:id="97" w:name="_bookmark48"/>
      <w:bookmarkEnd w:id="97"/>
      <w:r>
        <w:rPr>
          <w:rFonts w:ascii="Arial" w:hAnsi="Arial" w:eastAsia="宋体" w:cs="Arial"/>
          <w:position w:val="11"/>
          <w:sz w:val="16"/>
        </w:rPr>
        <w:t xml:space="preserve">22 </w:t>
      </w:r>
      <w:r>
        <w:rPr>
          <w:rFonts w:ascii="Arial" w:hAnsi="Arial" w:eastAsia="宋体" w:cs="Arial"/>
        </w:rPr>
        <w:t>Barry MJ、Adolfsson J、Batista JE</w:t>
      </w:r>
      <w:r>
        <w:rPr>
          <w:rFonts w:ascii="Arial" w:hAnsi="Arial" w:eastAsia="宋体" w:cs="Arial"/>
          <w:lang w:eastAsia="zh-CN"/>
        </w:rPr>
        <w:t>等人</w:t>
      </w:r>
      <w:r>
        <w:rPr>
          <w:rFonts w:ascii="Arial" w:hAnsi="Arial" w:eastAsia="宋体" w:cs="Arial"/>
        </w:rPr>
        <w:t>，测量良性前列腺增生的症状和健康影响及其治疗。Denis L、Griffiths K、Khoury S</w:t>
      </w:r>
      <w:r>
        <w:rPr>
          <w:rFonts w:ascii="Arial" w:hAnsi="Arial" w:eastAsia="宋体" w:cs="Arial"/>
          <w:lang w:eastAsia="zh-CN"/>
        </w:rPr>
        <w:t>等人</w:t>
      </w:r>
      <w:r>
        <w:rPr>
          <w:rFonts w:ascii="Arial" w:hAnsi="Arial" w:eastAsia="宋体" w:cs="Arial"/>
        </w:rPr>
        <w:t>。</w:t>
      </w:r>
      <w:r>
        <w:rPr>
          <w:rFonts w:ascii="Arial" w:hAnsi="Arial" w:eastAsia="宋体" w:cs="Arial"/>
          <w:lang w:eastAsia="zh-CN"/>
        </w:rPr>
        <w:t>（编辑）。关于BPH的第四次国际磋商。</w:t>
      </w:r>
      <w:r>
        <w:rPr>
          <w:rFonts w:ascii="Arial" w:hAnsi="Arial" w:eastAsia="宋体" w:cs="Arial"/>
        </w:rPr>
        <w:t>Plymouth</w:t>
      </w:r>
      <w:r>
        <w:rPr>
          <w:rFonts w:ascii="Arial" w:hAnsi="Arial" w:eastAsia="宋体" w:cs="Arial"/>
          <w:lang w:eastAsia="zh-CN"/>
        </w:rPr>
        <w:t>：</w:t>
      </w:r>
      <w:r>
        <w:rPr>
          <w:rFonts w:ascii="Arial" w:hAnsi="Arial" w:eastAsia="宋体" w:cs="Arial"/>
        </w:rPr>
        <w:t>Plymbridge Distributors</w:t>
      </w:r>
      <w:r>
        <w:rPr>
          <w:rFonts w:ascii="Arial" w:hAnsi="Arial" w:eastAsia="宋体" w:cs="Arial"/>
          <w:lang w:eastAsia="zh-CN"/>
        </w:rPr>
        <w:t>：1998年：265-321。</w:t>
      </w:r>
    </w:p>
    <w:p w14:paraId="555B3B20">
      <w:pPr>
        <w:pStyle w:val="6"/>
        <w:snapToGrid w:val="0"/>
        <w:spacing w:before="3" w:line="300" w:lineRule="auto"/>
        <w:ind w:left="0"/>
        <w:jc w:val="both"/>
        <w:rPr>
          <w:rFonts w:ascii="Arial" w:hAnsi="Arial" w:eastAsia="宋体" w:cs="Arial"/>
          <w:lang w:eastAsia="zh-CN"/>
        </w:rPr>
      </w:pPr>
      <w:bookmarkStart w:id="98" w:name="_bookmark49"/>
      <w:bookmarkEnd w:id="98"/>
      <w:r>
        <w:rPr>
          <w:rFonts w:ascii="Arial" w:hAnsi="Arial" w:eastAsia="宋体" w:cs="Arial"/>
          <w:position w:val="11"/>
          <w:sz w:val="16"/>
          <w:lang w:eastAsia="zh-CN"/>
        </w:rPr>
        <w:t xml:space="preserve">23 </w:t>
      </w:r>
      <w:r>
        <w:rPr>
          <w:rFonts w:ascii="Arial" w:hAnsi="Arial" w:eastAsia="宋体" w:cs="Arial"/>
          <w:lang w:eastAsia="zh-CN"/>
        </w:rPr>
        <w:t>Barry，MJ、Willlifred WO、Chang Y等人，临床研究中良性前列腺增生特异性健康状况测量：美国泌尿协会症状指数和良性前列腺增生症影响指数出现多大变化后患者才可以察觉。泌尿学杂志，1995年，154：1770-1774。</w:t>
      </w:r>
    </w:p>
    <w:p w14:paraId="6F5ACADB">
      <w:pPr>
        <w:pStyle w:val="6"/>
        <w:snapToGrid w:val="0"/>
        <w:spacing w:before="4" w:line="300" w:lineRule="auto"/>
        <w:ind w:left="0"/>
        <w:jc w:val="both"/>
        <w:rPr>
          <w:rFonts w:ascii="Arial" w:hAnsi="Arial" w:eastAsia="宋体" w:cs="Arial"/>
          <w:lang w:eastAsia="zh-CN"/>
        </w:rPr>
      </w:pPr>
      <w:bookmarkStart w:id="99" w:name="_bookmark50"/>
      <w:bookmarkEnd w:id="99"/>
      <w:r>
        <w:rPr>
          <w:rFonts w:ascii="Arial" w:hAnsi="Arial" w:eastAsia="宋体" w:cs="Arial"/>
          <w:position w:val="11"/>
          <w:sz w:val="16"/>
          <w:lang w:eastAsia="zh-CN"/>
        </w:rPr>
        <w:t>24</w:t>
      </w:r>
      <w:r>
        <w:rPr>
          <w:rFonts w:ascii="Arial" w:hAnsi="Arial" w:eastAsia="宋体" w:cs="Arial"/>
          <w:lang w:eastAsia="zh-CN"/>
        </w:rPr>
        <w:t>Barry、Michael J.等人，美国泌尿协会症状指征中的填充和排泄症状：其区别在一项退伍军人管理局随机药物治疗试验中的价值，其中，此类治疗施用于临床诊断为良性前列腺增生的男性中。泌尿学杂志，164：1559-1564，2000年。</w:t>
      </w:r>
    </w:p>
    <w:p w14:paraId="32CFDEE5">
      <w:pPr>
        <w:widowControl/>
        <w:rPr>
          <w:rFonts w:ascii="Arial" w:hAnsi="Arial" w:eastAsia="宋体" w:cs="Arial"/>
          <w:lang w:eastAsia="zh-CN"/>
        </w:rPr>
      </w:pPr>
      <w:r>
        <w:rPr>
          <w:rFonts w:ascii="Arial" w:hAnsi="Arial" w:eastAsia="宋体" w:cs="Arial"/>
          <w:lang w:eastAsia="zh-CN"/>
        </w:rPr>
        <w:br w:type="page"/>
      </w:r>
    </w:p>
    <w:p w14:paraId="26D3F028">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为可靠地收集安全性信息，我们建议贵公司的方案应要求研究者记录所有不良事件，无论贵公司是否认为其与器械相关或符合预期。我们建议贵公司定期记录以下事件：</w:t>
      </w:r>
    </w:p>
    <w:p w14:paraId="513973D9">
      <w:pPr>
        <w:snapToGrid w:val="0"/>
        <w:spacing w:before="11" w:line="300" w:lineRule="auto"/>
        <w:jc w:val="both"/>
        <w:rPr>
          <w:rFonts w:ascii="Arial" w:hAnsi="Arial" w:eastAsia="宋体" w:cs="Arial"/>
          <w:sz w:val="23"/>
          <w:szCs w:val="23"/>
          <w:lang w:eastAsia="zh-CN"/>
        </w:rPr>
      </w:pPr>
    </w:p>
    <w:p w14:paraId="22EA3262">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泌尿生殖事件，即与泌尿道和/或周围生殖区域相关的事件；</w:t>
      </w:r>
    </w:p>
    <w:p w14:paraId="48BE2593">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对膀胱底部、三角肌、括约肌和直肠的损伤；</w:t>
      </w:r>
    </w:p>
    <w:p w14:paraId="79773BBC">
      <w:pPr>
        <w:pStyle w:val="18"/>
        <w:numPr>
          <w:ilvl w:val="1"/>
          <w:numId w:val="3"/>
        </w:numPr>
        <w:tabs>
          <w:tab w:val="left" w:pos="1106"/>
        </w:tabs>
        <w:snapToGrid w:val="0"/>
        <w:spacing w:line="300" w:lineRule="auto"/>
        <w:ind w:left="0" w:firstLine="714"/>
        <w:jc w:val="both"/>
        <w:rPr>
          <w:rFonts w:ascii="Arial" w:hAnsi="Arial" w:eastAsia="宋体" w:cs="Arial"/>
          <w:sz w:val="24"/>
          <w:szCs w:val="24"/>
        </w:rPr>
      </w:pPr>
      <w:r>
        <w:rPr>
          <w:rFonts w:ascii="Arial" w:hAnsi="Arial" w:eastAsia="宋体" w:cs="Arial"/>
          <w:sz w:val="24"/>
          <w:szCs w:val="24"/>
        </w:rPr>
        <w:t>感染；</w:t>
      </w:r>
    </w:p>
    <w:p w14:paraId="55E92E78">
      <w:pPr>
        <w:pStyle w:val="18"/>
        <w:numPr>
          <w:ilvl w:val="1"/>
          <w:numId w:val="3"/>
        </w:numPr>
        <w:tabs>
          <w:tab w:val="left" w:pos="1106"/>
        </w:tabs>
        <w:snapToGrid w:val="0"/>
        <w:spacing w:line="300" w:lineRule="auto"/>
        <w:ind w:left="0" w:firstLine="714"/>
        <w:jc w:val="both"/>
        <w:rPr>
          <w:rFonts w:ascii="Arial" w:hAnsi="Arial" w:eastAsia="宋体" w:cs="Arial"/>
          <w:sz w:val="24"/>
          <w:szCs w:val="24"/>
        </w:rPr>
      </w:pPr>
      <w:r>
        <w:rPr>
          <w:rFonts w:ascii="Arial" w:hAnsi="Arial" w:eastAsia="宋体" w:cs="Arial"/>
          <w:sz w:val="24"/>
          <w:szCs w:val="24"/>
        </w:rPr>
        <w:t>二次手术干预</w:t>
      </w:r>
      <w:r>
        <w:rPr>
          <w:rFonts w:ascii="Arial" w:hAnsi="Arial" w:eastAsia="宋体" w:cs="Arial"/>
          <w:sz w:val="24"/>
          <w:szCs w:val="24"/>
          <w:lang w:eastAsia="zh-CN"/>
        </w:rPr>
        <w:t>；</w:t>
      </w:r>
    </w:p>
    <w:p w14:paraId="6BAB6F6F">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所有短暂性手术后事件；以及</w:t>
      </w:r>
    </w:p>
    <w:p w14:paraId="639169F9">
      <w:pPr>
        <w:pStyle w:val="18"/>
        <w:numPr>
          <w:ilvl w:val="1"/>
          <w:numId w:val="3"/>
        </w:numPr>
        <w:tabs>
          <w:tab w:val="left" w:pos="1106"/>
        </w:tabs>
        <w:snapToGrid w:val="0"/>
        <w:spacing w:line="300" w:lineRule="auto"/>
        <w:ind w:left="0" w:firstLine="714"/>
        <w:jc w:val="both"/>
        <w:rPr>
          <w:rFonts w:ascii="Arial" w:hAnsi="Arial" w:eastAsia="宋体" w:cs="Arial"/>
          <w:sz w:val="24"/>
          <w:szCs w:val="24"/>
        </w:rPr>
      </w:pPr>
      <w:r>
        <w:rPr>
          <w:rFonts w:ascii="Arial" w:hAnsi="Arial" w:eastAsia="宋体" w:cs="Arial"/>
          <w:sz w:val="24"/>
          <w:szCs w:val="24"/>
        </w:rPr>
        <w:t>死亡</w:t>
      </w:r>
      <w:r>
        <w:rPr>
          <w:rFonts w:ascii="Arial" w:hAnsi="Arial" w:eastAsia="宋体" w:cs="Arial"/>
          <w:sz w:val="24"/>
          <w:szCs w:val="24"/>
          <w:lang w:eastAsia="zh-CN"/>
        </w:rPr>
        <w:t>。</w:t>
      </w:r>
    </w:p>
    <w:p w14:paraId="50EC8335">
      <w:pPr>
        <w:snapToGrid w:val="0"/>
        <w:spacing w:before="1" w:line="300" w:lineRule="auto"/>
        <w:jc w:val="both"/>
        <w:rPr>
          <w:rFonts w:ascii="Arial" w:hAnsi="Arial" w:eastAsia="宋体" w:cs="Arial"/>
          <w:sz w:val="24"/>
          <w:szCs w:val="24"/>
        </w:rPr>
      </w:pPr>
    </w:p>
    <w:p w14:paraId="28B6C0A4">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应根据其各自与器械或手术的相关性及其严重程度对不良事件进行分类。这种分类应基于预定义的标准，且可以由研究研究者或独立的第三方临床事件委员会（CEC）完成。由于难以确定泌尿生殖事件的根本原因，我们建议贵公司将事件保守地归类为器械或程序相关事件，除非有有关其他因素的明确证据。此外，我们建议研究者记录每个不良事件的发作和解决时间，并记录解决方法。</w:t>
      </w:r>
    </w:p>
    <w:p w14:paraId="15255036">
      <w:pPr>
        <w:snapToGrid w:val="0"/>
        <w:spacing w:before="12" w:line="300" w:lineRule="auto"/>
        <w:jc w:val="both"/>
        <w:rPr>
          <w:rFonts w:ascii="Arial" w:hAnsi="Arial" w:eastAsia="宋体" w:cs="Arial"/>
          <w:sz w:val="23"/>
          <w:szCs w:val="23"/>
          <w:lang w:eastAsia="zh-CN"/>
        </w:rPr>
      </w:pPr>
    </w:p>
    <w:p w14:paraId="5D6A9C7E">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我们建议安全性分析包括对研究中观察到的不良事件的类型和频率进行描述性评价，以及与控制治疗进行比较（如果适用）。</w:t>
      </w:r>
    </w:p>
    <w:p w14:paraId="2214DE17">
      <w:pPr>
        <w:snapToGrid w:val="0"/>
        <w:spacing w:before="12" w:line="300" w:lineRule="auto"/>
        <w:jc w:val="both"/>
        <w:rPr>
          <w:rFonts w:ascii="Arial" w:hAnsi="Arial" w:eastAsia="宋体" w:cs="Arial"/>
          <w:sz w:val="23"/>
          <w:szCs w:val="23"/>
          <w:lang w:eastAsia="zh-CN"/>
        </w:rPr>
      </w:pPr>
    </w:p>
    <w:p w14:paraId="08AE5809">
      <w:pPr>
        <w:pStyle w:val="5"/>
        <w:numPr>
          <w:ilvl w:val="0"/>
          <w:numId w:val="3"/>
        </w:numPr>
        <w:tabs>
          <w:tab w:val="left" w:pos="1200"/>
        </w:tabs>
        <w:snapToGrid w:val="0"/>
        <w:spacing w:line="300" w:lineRule="auto"/>
        <w:ind w:left="357" w:firstLine="77"/>
        <w:jc w:val="both"/>
        <w:rPr>
          <w:rFonts w:ascii="Arial" w:hAnsi="Arial" w:eastAsia="宋体" w:cs="Arial"/>
          <w:b w:val="0"/>
          <w:bCs w:val="0"/>
          <w:i w:val="0"/>
        </w:rPr>
      </w:pPr>
      <w:bookmarkStart w:id="100" w:name="_bookmark51"/>
      <w:bookmarkEnd w:id="100"/>
      <w:bookmarkStart w:id="101" w:name="4._Secondary_Endpoints"/>
      <w:bookmarkEnd w:id="101"/>
      <w:bookmarkStart w:id="102" w:name="_Toc481595915"/>
      <w:r>
        <w:rPr>
          <w:rFonts w:ascii="Arial" w:hAnsi="Arial" w:eastAsia="宋体" w:cs="Arial"/>
          <w:lang w:eastAsia="zh-CN"/>
        </w:rPr>
        <w:t>次要终点</w:t>
      </w:r>
      <w:bookmarkEnd w:id="102"/>
    </w:p>
    <w:p w14:paraId="25E8BD99">
      <w:pPr>
        <w:snapToGrid w:val="0"/>
        <w:spacing w:before="12" w:line="300" w:lineRule="auto"/>
        <w:jc w:val="both"/>
        <w:rPr>
          <w:rFonts w:ascii="Arial" w:hAnsi="Arial" w:eastAsia="宋体" w:cs="Arial"/>
          <w:b/>
          <w:bCs/>
          <w:i/>
          <w:sz w:val="23"/>
          <w:szCs w:val="23"/>
        </w:rPr>
      </w:pPr>
    </w:p>
    <w:p w14:paraId="021A67A1">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FDA认为，次要终点本身不足以完全表征治疗收益。然而，这些测量可以提供治疗有效性的其他特性。具体来说，次要终点可以：</w:t>
      </w:r>
    </w:p>
    <w:p w14:paraId="1F4DAD7A">
      <w:pPr>
        <w:snapToGrid w:val="0"/>
        <w:spacing w:before="1" w:line="300" w:lineRule="auto"/>
        <w:jc w:val="both"/>
        <w:rPr>
          <w:rFonts w:ascii="Arial" w:hAnsi="Arial" w:eastAsia="宋体" w:cs="Arial"/>
          <w:sz w:val="24"/>
          <w:szCs w:val="24"/>
          <w:lang w:eastAsia="zh-CN"/>
        </w:rPr>
      </w:pPr>
    </w:p>
    <w:p w14:paraId="5DF302E1">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lang w:eastAsia="zh-CN"/>
        </w:rPr>
        <w:t>提供</w:t>
      </w:r>
      <w:r>
        <w:rPr>
          <w:rFonts w:ascii="Arial" w:hAnsi="Arial" w:eastAsia="宋体" w:cs="Arial"/>
          <w:sz w:val="24"/>
          <w:szCs w:val="24"/>
          <w:lang w:eastAsia="zh-CN"/>
        </w:rPr>
        <w:t>主要终点的背景及其了解；</w:t>
      </w:r>
    </w:p>
    <w:p w14:paraId="0BCF1C50">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是复合主要终点的单个组分（如果使用）；</w:t>
      </w:r>
    </w:p>
    <w:p w14:paraId="10656406">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提供研究不足以进行明确评估的变量；</w:t>
      </w:r>
    </w:p>
    <w:p w14:paraId="54C3D598">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帮助了解治疗的作用机制；</w:t>
      </w:r>
    </w:p>
    <w:p w14:paraId="3B9049FF">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与相关子假设相关（与治疗的主要目标分开）；或</w:t>
      </w:r>
    </w:p>
    <w:p w14:paraId="6F2D2FBE">
      <w:pPr>
        <w:pStyle w:val="18"/>
        <w:numPr>
          <w:ilvl w:val="1"/>
          <w:numId w:val="3"/>
        </w:numPr>
        <w:tabs>
          <w:tab w:val="left" w:pos="1106"/>
        </w:tabs>
        <w:snapToGrid w:val="0"/>
        <w:spacing w:line="300" w:lineRule="auto"/>
        <w:ind w:left="0" w:firstLine="714"/>
        <w:jc w:val="both"/>
        <w:rPr>
          <w:rFonts w:ascii="Arial" w:hAnsi="Arial" w:eastAsia="宋体" w:cs="Arial"/>
          <w:sz w:val="24"/>
        </w:rPr>
      </w:pPr>
      <w:r>
        <w:rPr>
          <w:rFonts w:ascii="Arial" w:hAnsi="Arial" w:eastAsia="宋体" w:cs="Arial"/>
          <w:sz w:val="24"/>
          <w:szCs w:val="24"/>
          <w:lang w:eastAsia="zh-CN"/>
        </w:rPr>
        <w:t>用于进行探索性分析</w:t>
      </w:r>
      <w:r>
        <w:rPr>
          <w:rFonts w:ascii="Arial" w:hAnsi="Arial" w:eastAsia="宋体" w:cs="Arial"/>
          <w:sz w:val="24"/>
        </w:rPr>
        <w:t>。</w:t>
      </w:r>
    </w:p>
    <w:p w14:paraId="60DB4423">
      <w:pPr>
        <w:widowControl/>
        <w:rPr>
          <w:rFonts w:ascii="Arial" w:hAnsi="Arial" w:eastAsia="宋体" w:cs="Arial"/>
          <w:sz w:val="24"/>
          <w:szCs w:val="24"/>
          <w:lang w:eastAsia="zh-CN"/>
        </w:rPr>
      </w:pPr>
      <w:r>
        <w:rPr>
          <w:rFonts w:ascii="Arial" w:hAnsi="Arial" w:eastAsia="宋体" w:cs="Arial"/>
          <w:lang w:eastAsia="zh-CN"/>
        </w:rPr>
        <w:br w:type="page"/>
      </w:r>
    </w:p>
    <w:p w14:paraId="3F20C26F">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假设该研究的主要安全性和有效性终点成功实现，我们建议贵公司分析次要终点，以提供有关器械安全性和有效性的支持性证据，以及支持标签中所述的器械性能。为了最小化偏差，我们建议贵公司的方案应前瞻性确定所有次要终点，并指明如何分析数据以及将应用何种成功标准。</w:t>
      </w:r>
    </w:p>
    <w:p w14:paraId="5C8B0AEB">
      <w:pPr>
        <w:pStyle w:val="6"/>
        <w:snapToGrid w:val="0"/>
        <w:spacing w:line="300" w:lineRule="auto"/>
        <w:ind w:left="0"/>
        <w:jc w:val="both"/>
        <w:rPr>
          <w:rFonts w:ascii="Arial" w:hAnsi="Arial" w:eastAsia="宋体" w:cs="Arial"/>
          <w:lang w:eastAsia="zh-CN"/>
        </w:rPr>
      </w:pPr>
    </w:p>
    <w:p w14:paraId="26B15A0C">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尽管对于针对用于治疗BPH的器械进行的临床研究，须考虑的次要终点可能有许多，但我们建议贵公司的方案应包括以下讨论的终点。</w:t>
      </w:r>
    </w:p>
    <w:p w14:paraId="4AFFBBF5">
      <w:pPr>
        <w:snapToGrid w:val="0"/>
        <w:spacing w:before="1" w:line="300" w:lineRule="auto"/>
        <w:jc w:val="both"/>
        <w:rPr>
          <w:rFonts w:ascii="Arial" w:hAnsi="Arial" w:eastAsia="宋体" w:cs="Arial"/>
          <w:sz w:val="24"/>
          <w:szCs w:val="24"/>
          <w:lang w:eastAsia="zh-CN"/>
        </w:rPr>
      </w:pPr>
    </w:p>
    <w:p w14:paraId="57698809">
      <w:pPr>
        <w:pStyle w:val="6"/>
        <w:snapToGrid w:val="0"/>
        <w:spacing w:line="300" w:lineRule="auto"/>
        <w:ind w:left="712" w:leftChars="323" w:hanging="1"/>
        <w:jc w:val="both"/>
        <w:rPr>
          <w:rFonts w:ascii="Arial" w:hAnsi="Arial" w:eastAsia="宋体" w:cs="Arial"/>
          <w:lang w:eastAsia="zh-CN"/>
        </w:rPr>
      </w:pPr>
      <w:r>
        <w:rPr>
          <w:rFonts w:ascii="Arial" w:hAnsi="Arial" w:eastAsia="宋体" w:cs="Arial"/>
          <w:u w:val="single" w:color="000000"/>
          <w:lang w:eastAsia="zh-CN"/>
        </w:rPr>
        <w:t>前列腺体积</w:t>
      </w:r>
      <w:r>
        <w:rPr>
          <w:rFonts w:ascii="Arial" w:hAnsi="Arial" w:eastAsia="宋体" w:cs="Arial"/>
          <w:lang w:eastAsia="zh-CN"/>
        </w:rPr>
        <w:t>：许多适用于治疗BPH的器械（如TUMT）可以减少前列腺体积。但前列腺体积的增加也可以指示BPH继续恶化。因此，我们建议贵公司评价整个研究中的前列腺体积。</w:t>
      </w:r>
    </w:p>
    <w:p w14:paraId="3C019A9A">
      <w:pPr>
        <w:snapToGrid w:val="0"/>
        <w:spacing w:before="12" w:line="300" w:lineRule="auto"/>
        <w:ind w:left="712" w:leftChars="323" w:hanging="1"/>
        <w:jc w:val="both"/>
        <w:rPr>
          <w:rFonts w:ascii="Arial" w:hAnsi="Arial" w:eastAsia="宋体" w:cs="Arial"/>
          <w:sz w:val="23"/>
          <w:szCs w:val="23"/>
          <w:lang w:eastAsia="zh-CN"/>
        </w:rPr>
      </w:pPr>
    </w:p>
    <w:p w14:paraId="2D966C57">
      <w:pPr>
        <w:pStyle w:val="6"/>
        <w:snapToGrid w:val="0"/>
        <w:spacing w:line="300" w:lineRule="auto"/>
        <w:ind w:left="712" w:leftChars="323" w:hanging="1"/>
        <w:jc w:val="both"/>
        <w:rPr>
          <w:rFonts w:ascii="Arial" w:hAnsi="Arial" w:eastAsia="宋体" w:cs="Arial"/>
          <w:lang w:eastAsia="zh-CN"/>
        </w:rPr>
      </w:pPr>
      <w:r>
        <w:rPr>
          <w:rFonts w:ascii="Arial" w:hAnsi="Arial" w:eastAsia="宋体" w:cs="Arial"/>
          <w:u w:val="single" w:color="000000"/>
          <w:lang w:eastAsia="zh-CN"/>
        </w:rPr>
        <w:t>尿流率测定</w:t>
      </w:r>
      <w:r>
        <w:rPr>
          <w:rFonts w:ascii="Arial" w:hAnsi="Arial" w:eastAsia="宋体" w:cs="Arial"/>
          <w:lang w:eastAsia="zh-CN"/>
        </w:rPr>
        <w:t>：在患有BPH的男性中，通常会出现峰值尿流率减少。我们建议贵公司进行尿流率测定，其中包括峰值和平均流量、总排尿时间和每次随访时的总排尿体积。</w:t>
      </w:r>
    </w:p>
    <w:p w14:paraId="39F7370A">
      <w:pPr>
        <w:snapToGrid w:val="0"/>
        <w:spacing w:before="12" w:line="300" w:lineRule="auto"/>
        <w:ind w:left="712" w:leftChars="323" w:hanging="1"/>
        <w:jc w:val="both"/>
        <w:rPr>
          <w:rFonts w:ascii="Arial" w:hAnsi="Arial" w:eastAsia="宋体" w:cs="Arial"/>
          <w:sz w:val="23"/>
          <w:szCs w:val="23"/>
          <w:lang w:eastAsia="zh-CN"/>
        </w:rPr>
      </w:pPr>
    </w:p>
    <w:p w14:paraId="6A48CA1C">
      <w:pPr>
        <w:pStyle w:val="6"/>
        <w:snapToGrid w:val="0"/>
        <w:spacing w:line="300" w:lineRule="auto"/>
        <w:ind w:left="712" w:leftChars="323" w:hanging="1"/>
        <w:jc w:val="both"/>
        <w:rPr>
          <w:rFonts w:ascii="Arial" w:hAnsi="Arial" w:eastAsia="宋体" w:cs="Arial"/>
          <w:lang w:eastAsia="zh-CN"/>
        </w:rPr>
      </w:pPr>
      <w:r>
        <w:rPr>
          <w:rFonts w:ascii="Arial" w:hAnsi="Arial" w:eastAsia="宋体" w:cs="Arial"/>
          <w:u w:val="single" w:color="000000"/>
          <w:lang w:eastAsia="zh-CN"/>
        </w:rPr>
        <w:t>排尿后残留（PVR）尿量</w:t>
      </w:r>
      <w:r>
        <w:rPr>
          <w:rFonts w:ascii="Arial" w:hAnsi="Arial" w:eastAsia="宋体" w:cs="Arial"/>
          <w:lang w:eastAsia="zh-CN"/>
        </w:rPr>
        <w:t>：一般认为，PVR可反映膀胱出口阻塞的严重程度。我们建议贵公司在每次随访时测量PVR，以监测膀胱排空是否因治疗或疾病恶化而受损或改善。</w:t>
      </w:r>
    </w:p>
    <w:p w14:paraId="3A4B4F0A">
      <w:pPr>
        <w:snapToGrid w:val="0"/>
        <w:spacing w:before="1" w:line="300" w:lineRule="auto"/>
        <w:ind w:left="712" w:leftChars="323" w:hanging="1"/>
        <w:jc w:val="both"/>
        <w:rPr>
          <w:rFonts w:ascii="Arial" w:hAnsi="Arial" w:eastAsia="宋体" w:cs="Arial"/>
          <w:sz w:val="24"/>
          <w:szCs w:val="24"/>
          <w:lang w:eastAsia="zh-CN"/>
        </w:rPr>
      </w:pPr>
    </w:p>
    <w:p w14:paraId="0D6F63C9">
      <w:pPr>
        <w:pStyle w:val="6"/>
        <w:snapToGrid w:val="0"/>
        <w:spacing w:line="300" w:lineRule="auto"/>
        <w:ind w:left="712" w:leftChars="323" w:hanging="1"/>
        <w:jc w:val="both"/>
        <w:rPr>
          <w:rFonts w:ascii="Arial" w:hAnsi="Arial" w:eastAsia="宋体" w:cs="Arial"/>
          <w:lang w:eastAsia="zh-CN"/>
        </w:rPr>
      </w:pPr>
      <w:r>
        <w:rPr>
          <w:rFonts w:ascii="Arial" w:hAnsi="Arial" w:eastAsia="宋体" w:cs="Arial"/>
          <w:u w:val="single" w:color="000000"/>
          <w:lang w:eastAsia="zh-CN"/>
        </w:rPr>
        <w:t>生活质量</w:t>
      </w:r>
      <w:r>
        <w:rPr>
          <w:rFonts w:ascii="Arial" w:hAnsi="Arial" w:eastAsia="宋体" w:cs="Arial"/>
          <w:lang w:eastAsia="zh-CN"/>
        </w:rPr>
        <w:t>：BPH与生活质量受损有关。因此，我们建议贵公司将特定于BPH的且经确认的生活质量测量纳入研究。最常用的测量是AUA-SI（或IPSS）研究问卷中包含的疾病特异性生活质量问题。</w:t>
      </w:r>
    </w:p>
    <w:p w14:paraId="72791625">
      <w:pPr>
        <w:pStyle w:val="6"/>
        <w:snapToGrid w:val="0"/>
        <w:spacing w:line="300" w:lineRule="auto"/>
        <w:ind w:left="712" w:leftChars="323" w:hanging="1"/>
        <w:jc w:val="both"/>
        <w:rPr>
          <w:rFonts w:ascii="Arial" w:hAnsi="Arial" w:eastAsia="宋体" w:cs="Arial"/>
          <w:lang w:eastAsia="zh-CN"/>
        </w:rPr>
      </w:pPr>
    </w:p>
    <w:p w14:paraId="7DCE2A65">
      <w:pPr>
        <w:pStyle w:val="6"/>
        <w:snapToGrid w:val="0"/>
        <w:spacing w:line="300" w:lineRule="auto"/>
        <w:ind w:left="712" w:leftChars="323" w:hanging="1"/>
        <w:jc w:val="both"/>
        <w:rPr>
          <w:rFonts w:ascii="Arial" w:hAnsi="Arial" w:eastAsia="宋体" w:cs="Arial"/>
          <w:lang w:eastAsia="zh-CN"/>
        </w:rPr>
      </w:pPr>
      <w:r>
        <w:rPr>
          <w:rFonts w:ascii="Arial" w:hAnsi="Arial" w:eastAsia="宋体" w:cs="Arial"/>
          <w:u w:val="single" w:color="000000"/>
          <w:lang w:eastAsia="zh-CN"/>
        </w:rPr>
        <w:t>性功能和功能障碍</w:t>
      </w:r>
      <w:r>
        <w:rPr>
          <w:rFonts w:ascii="Arial" w:hAnsi="Arial" w:eastAsia="宋体" w:cs="Arial"/>
          <w:lang w:eastAsia="zh-CN"/>
        </w:rPr>
        <w:t>：BPH及其许多疗法均可对性功能产生不利影响。因此，我们建议贵公司纳入有关在每次随访时评估的性功能的经确认的、性别特异性测量。</w:t>
      </w:r>
    </w:p>
    <w:p w14:paraId="66E23E5F">
      <w:pPr>
        <w:snapToGrid w:val="0"/>
        <w:spacing w:before="12" w:line="300" w:lineRule="auto"/>
        <w:jc w:val="both"/>
        <w:rPr>
          <w:rFonts w:ascii="Arial" w:hAnsi="Arial" w:eastAsia="宋体" w:cs="Arial"/>
          <w:sz w:val="23"/>
          <w:szCs w:val="23"/>
          <w:lang w:eastAsia="zh-CN"/>
        </w:rPr>
      </w:pPr>
    </w:p>
    <w:p w14:paraId="27449235">
      <w:pPr>
        <w:snapToGrid w:val="0"/>
        <w:spacing w:line="300" w:lineRule="auto"/>
        <w:jc w:val="both"/>
        <w:rPr>
          <w:rFonts w:ascii="Arial" w:hAnsi="Arial" w:eastAsia="宋体" w:cs="Arial"/>
          <w:sz w:val="24"/>
          <w:szCs w:val="24"/>
          <w:lang w:eastAsia="zh-CN"/>
        </w:rPr>
      </w:pPr>
      <w:r>
        <w:rPr>
          <w:rFonts w:ascii="Arial" w:hAnsi="Arial" w:eastAsia="宋体" w:cs="Arial"/>
          <w:sz w:val="24"/>
          <w:lang w:eastAsia="zh-CN"/>
        </w:rPr>
        <w:t>有关次要终点的统计分析的建议将在本指导性文件第</w:t>
      </w:r>
      <w:r>
        <w:rPr>
          <w:rFonts w:ascii="Arial" w:hAnsi="Arial" w:eastAsia="宋体" w:cs="Arial"/>
          <w:b/>
          <w:sz w:val="24"/>
          <w:lang w:eastAsia="zh-CN"/>
        </w:rPr>
        <w:t>N节 “统计分析建议</w:t>
      </w:r>
      <w:r>
        <w:rPr>
          <w:rFonts w:ascii="Arial" w:hAnsi="Arial" w:eastAsia="宋体" w:cs="Arial"/>
          <w:sz w:val="24"/>
          <w:lang w:eastAsia="zh-CN"/>
        </w:rPr>
        <w:t>”中进行讨论。</w:t>
      </w:r>
    </w:p>
    <w:p w14:paraId="7B6C4866">
      <w:pPr>
        <w:snapToGrid w:val="0"/>
        <w:spacing w:before="11" w:line="300" w:lineRule="auto"/>
        <w:jc w:val="both"/>
        <w:rPr>
          <w:rFonts w:ascii="Arial" w:hAnsi="Arial" w:eastAsia="宋体" w:cs="Arial"/>
          <w:sz w:val="23"/>
          <w:szCs w:val="23"/>
          <w:lang w:eastAsia="zh-CN"/>
        </w:rPr>
      </w:pPr>
    </w:p>
    <w:p w14:paraId="6BB2F97D">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103" w:name="_bookmark52"/>
      <w:bookmarkEnd w:id="103"/>
      <w:bookmarkStart w:id="104" w:name="F._Study_Duration"/>
      <w:bookmarkEnd w:id="104"/>
      <w:bookmarkStart w:id="105" w:name="_Toc481595916"/>
      <w:r>
        <w:rPr>
          <w:rFonts w:ascii="Arial" w:hAnsi="Arial" w:eastAsia="宋体" w:cs="Arial"/>
        </w:rPr>
        <w:t>研究时间</w:t>
      </w:r>
      <w:bookmarkEnd w:id="105"/>
    </w:p>
    <w:p w14:paraId="74942EA9">
      <w:pPr>
        <w:snapToGrid w:val="0"/>
        <w:spacing w:before="1" w:line="300" w:lineRule="auto"/>
        <w:jc w:val="both"/>
        <w:rPr>
          <w:rFonts w:ascii="Arial" w:hAnsi="Arial" w:eastAsia="宋体" w:cs="Arial"/>
          <w:b/>
          <w:bCs/>
          <w:sz w:val="24"/>
          <w:szCs w:val="24"/>
        </w:rPr>
      </w:pPr>
    </w:p>
    <w:p w14:paraId="6FC5814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贵公司应设计贵公司的临床研究，以评估在临床上有意义的时间段内，使用主要和次要有效性终点进行评估的治疗有效性是否持续存在。对于旨在作为BPH根治治疗或长期治疗的器械，我们建议贵公司在治疗后1年内的上市前随访期间密切关注受试者以记录治疗有效性的稳定性并监测不良事件。然而，根据各种器械特异性因素或研究设计考虑因素，可能需要进行时间更长的随访。例如，对于需要或允许再治疗的器械，我们建议随访持续时间应为最终治疗后的时期。另一个示例是，如果预期器械或控制（例如，药物控制）将显著延迟完全治疗有效性的实现，则我们建议研究的持续时间应相应地延长。</w:t>
      </w:r>
    </w:p>
    <w:p w14:paraId="0BE68A69">
      <w:pPr>
        <w:snapToGrid w:val="0"/>
        <w:spacing w:before="4" w:line="300" w:lineRule="auto"/>
        <w:jc w:val="both"/>
        <w:rPr>
          <w:rFonts w:ascii="Arial" w:hAnsi="Arial" w:eastAsia="宋体" w:cs="Arial"/>
          <w:sz w:val="24"/>
          <w:szCs w:val="24"/>
          <w:lang w:eastAsia="zh-CN"/>
        </w:rPr>
      </w:pPr>
    </w:p>
    <w:p w14:paraId="35B23FF8">
      <w:pPr>
        <w:pStyle w:val="6"/>
        <w:snapToGrid w:val="0"/>
        <w:spacing w:before="1" w:line="300" w:lineRule="auto"/>
        <w:ind w:left="0"/>
        <w:jc w:val="both"/>
        <w:rPr>
          <w:rFonts w:ascii="Arial" w:hAnsi="Arial" w:eastAsia="宋体" w:cs="Arial"/>
          <w:lang w:eastAsia="zh-CN"/>
        </w:rPr>
      </w:pPr>
      <w:r>
        <w:rPr>
          <w:rFonts w:ascii="Arial" w:hAnsi="Arial" w:eastAsia="宋体" w:cs="Arial"/>
          <w:lang w:eastAsia="zh-CN"/>
        </w:rPr>
        <w:t>除上述上市前随访考虑因素之外，长期的批准后研究可能适用于III类（上市前批准）器械，以评价治疗有效性的稳定性以及可在上市前研究过程中发生的任何特定的长期安全性和有效性问题。对于预期或可能进行批准后研究的器械，我们建议贵公司的研究应在获得上市前批准后每年对受试者进行随访。如果FDA要求进行批准后研究以作为批准PMA的条件，</w:t>
      </w:r>
      <w:r>
        <w:rPr>
          <w:rFonts w:ascii="Arial" w:hAnsi="Arial" w:eastAsia="宋体" w:cs="Arial"/>
          <w:vertAlign w:val="superscript"/>
          <w:lang w:eastAsia="zh-CN"/>
        </w:rPr>
        <w:t>25</w:t>
      </w:r>
      <w:r>
        <w:rPr>
          <w:rFonts w:ascii="Arial" w:hAnsi="Arial" w:eastAsia="宋体" w:cs="Arial"/>
          <w:lang w:eastAsia="zh-CN"/>
        </w:rPr>
        <w:t>则应在原始关键研究中纳入该延长的随访以允许贵公司将上市前研究转换为一项批准后研究，从而可消除从研究对象获得额外的知情同意书以进行随访以及招募新受试者的需求。</w:t>
      </w:r>
    </w:p>
    <w:p w14:paraId="4C3769FB">
      <w:pPr>
        <w:snapToGrid w:val="0"/>
        <w:spacing w:before="11" w:line="300" w:lineRule="auto"/>
        <w:jc w:val="both"/>
        <w:rPr>
          <w:rFonts w:ascii="Arial" w:hAnsi="Arial" w:eastAsia="宋体" w:cs="Arial"/>
          <w:sz w:val="23"/>
          <w:szCs w:val="23"/>
          <w:lang w:eastAsia="zh-CN"/>
        </w:rPr>
      </w:pPr>
    </w:p>
    <w:p w14:paraId="5D725C75">
      <w:pPr>
        <w:pStyle w:val="3"/>
        <w:numPr>
          <w:ilvl w:val="1"/>
          <w:numId w:val="1"/>
        </w:numPr>
        <w:tabs>
          <w:tab w:val="left" w:pos="1201"/>
        </w:tabs>
        <w:snapToGrid w:val="0"/>
        <w:spacing w:line="300" w:lineRule="auto"/>
        <w:ind w:left="720"/>
        <w:jc w:val="both"/>
        <w:rPr>
          <w:rFonts w:ascii="Arial" w:hAnsi="Arial" w:eastAsia="宋体" w:cs="Arial"/>
          <w:b w:val="0"/>
          <w:bCs w:val="0"/>
        </w:rPr>
      </w:pPr>
      <w:bookmarkStart w:id="106" w:name="G._Statistical_Hypothesis"/>
      <w:bookmarkEnd w:id="106"/>
      <w:bookmarkStart w:id="107" w:name="_bookmark53"/>
      <w:bookmarkEnd w:id="107"/>
      <w:bookmarkStart w:id="108" w:name="_Toc481595917"/>
      <w:r>
        <w:rPr>
          <w:rFonts w:ascii="Arial" w:hAnsi="Arial" w:eastAsia="宋体" w:cs="Arial"/>
        </w:rPr>
        <w:t>统计假设</w:t>
      </w:r>
      <w:bookmarkEnd w:id="108"/>
    </w:p>
    <w:p w14:paraId="6F7855E7">
      <w:pPr>
        <w:snapToGrid w:val="0"/>
        <w:spacing w:before="1" w:line="300" w:lineRule="auto"/>
        <w:jc w:val="both"/>
        <w:rPr>
          <w:rFonts w:ascii="Arial" w:hAnsi="Arial" w:eastAsia="宋体" w:cs="Arial"/>
          <w:b/>
          <w:bCs/>
          <w:sz w:val="24"/>
          <w:szCs w:val="24"/>
        </w:rPr>
      </w:pPr>
    </w:p>
    <w:p w14:paraId="2DC8383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统计假设直接来自研究的主要目标，并为贵公司的研究设计确立框架。统计假设也用于计算样本量，并帮助确定将用于分析主要研究终点的统计方法。出于这些原因，当贵公司在设计贵公司的关键临床研究时，贵公司应制定一个明确的统计假设，且其应与贵公司研究的主要目标一致。贵公司临床研究设计的所有其他要素应与贵公司的统计假设相一致。</w:t>
      </w:r>
    </w:p>
    <w:p w14:paraId="67F61AEF">
      <w:pPr>
        <w:snapToGrid w:val="0"/>
        <w:spacing w:before="12" w:line="300" w:lineRule="auto"/>
        <w:jc w:val="both"/>
        <w:rPr>
          <w:rFonts w:ascii="Arial" w:hAnsi="Arial" w:eastAsia="宋体" w:cs="Arial"/>
          <w:sz w:val="23"/>
          <w:szCs w:val="23"/>
          <w:lang w:eastAsia="zh-CN"/>
        </w:rPr>
      </w:pPr>
    </w:p>
    <w:p w14:paraId="36B6180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非劣性研究，我们建议该假设应包含一个非劣性增量水平，反映在主要终点分析中“不具临床显著性”（即“不具临床意义”）的最大可容忍差异。如果需要使用更大值的非劣性增量水平，则应通过证明在研究器械的安全性方面其可提供显著收益来支持。对于优势研究，我们建议假设应指定一个具有临床意义的改善水平（即优势增量），借此，研究器械应可超出有关主要终点分析的控制。然而，如果研究器械可提供安全性方面的临床显著改进，则在评价有效性终点时，应将优势增量水平取零。</w:t>
      </w:r>
    </w:p>
    <w:p w14:paraId="30E54DFE">
      <w:pPr>
        <w:snapToGrid w:val="0"/>
        <w:spacing w:line="300" w:lineRule="auto"/>
        <w:jc w:val="both"/>
        <w:rPr>
          <w:rFonts w:ascii="Arial" w:hAnsi="Arial" w:eastAsia="宋体" w:cs="Arial"/>
          <w:sz w:val="20"/>
          <w:szCs w:val="20"/>
          <w:lang w:eastAsia="zh-CN"/>
        </w:rPr>
      </w:pPr>
    </w:p>
    <w:p w14:paraId="2D10B575">
      <w:pPr>
        <w:snapToGrid w:val="0"/>
        <w:spacing w:line="300" w:lineRule="auto"/>
        <w:jc w:val="both"/>
        <w:rPr>
          <w:rFonts w:ascii="Arial" w:hAnsi="Arial" w:eastAsia="宋体" w:cs="Arial"/>
          <w:sz w:val="20"/>
          <w:szCs w:val="20"/>
          <w:lang w:eastAsia="zh-CN"/>
        </w:rPr>
      </w:pPr>
    </w:p>
    <w:p w14:paraId="6219AD03">
      <w:pPr>
        <w:snapToGrid w:val="0"/>
        <w:spacing w:line="300" w:lineRule="auto"/>
        <w:jc w:val="both"/>
        <w:rPr>
          <w:rFonts w:ascii="Arial" w:hAnsi="Arial" w:eastAsia="宋体" w:cs="Arial"/>
          <w:sz w:val="20"/>
          <w:szCs w:val="20"/>
          <w:lang w:eastAsia="zh-CN"/>
        </w:rPr>
      </w:pPr>
    </w:p>
    <w:p w14:paraId="1840EE0B">
      <w:pPr>
        <w:snapToGrid w:val="0"/>
        <w:spacing w:line="300" w:lineRule="auto"/>
        <w:jc w:val="both"/>
        <w:rPr>
          <w:rFonts w:ascii="Arial" w:hAnsi="Arial" w:eastAsia="宋体" w:cs="Arial"/>
          <w:sz w:val="20"/>
          <w:szCs w:val="20"/>
          <w:lang w:eastAsia="zh-CN"/>
        </w:rPr>
      </w:pPr>
    </w:p>
    <w:p w14:paraId="6DE5588F">
      <w:pPr>
        <w:snapToGrid w:val="0"/>
        <w:spacing w:line="300" w:lineRule="auto"/>
        <w:jc w:val="both"/>
        <w:rPr>
          <w:rFonts w:ascii="Arial" w:hAnsi="Arial" w:eastAsia="宋体" w:cs="Arial"/>
          <w:sz w:val="20"/>
          <w:szCs w:val="20"/>
          <w:lang w:eastAsia="zh-CN"/>
        </w:rPr>
      </w:pPr>
    </w:p>
    <w:p w14:paraId="6E7CA5A0">
      <w:pPr>
        <w:snapToGrid w:val="0"/>
        <w:spacing w:line="300" w:lineRule="auto"/>
        <w:jc w:val="both"/>
        <w:rPr>
          <w:rFonts w:ascii="Arial" w:hAnsi="Arial" w:eastAsia="宋体" w:cs="Arial"/>
          <w:sz w:val="20"/>
          <w:szCs w:val="20"/>
          <w:lang w:eastAsia="zh-CN"/>
        </w:rPr>
      </w:pPr>
    </w:p>
    <w:p w14:paraId="33D1F214">
      <w:pPr>
        <w:snapToGrid w:val="0"/>
        <w:spacing w:line="300" w:lineRule="auto"/>
        <w:jc w:val="both"/>
        <w:rPr>
          <w:rFonts w:ascii="Arial" w:hAnsi="Arial" w:eastAsia="宋体" w:cs="Arial"/>
          <w:sz w:val="20"/>
          <w:szCs w:val="20"/>
          <w:lang w:eastAsia="zh-CN"/>
        </w:rPr>
      </w:pPr>
    </w:p>
    <w:p w14:paraId="494F24E5">
      <w:pPr>
        <w:snapToGrid w:val="0"/>
        <w:spacing w:line="300" w:lineRule="auto"/>
        <w:jc w:val="both"/>
        <w:rPr>
          <w:rFonts w:ascii="Arial" w:hAnsi="Arial" w:eastAsia="宋体" w:cs="Arial"/>
          <w:sz w:val="20"/>
          <w:szCs w:val="20"/>
          <w:lang w:eastAsia="zh-CN"/>
        </w:rPr>
      </w:pPr>
    </w:p>
    <w:p w14:paraId="001B5ABD">
      <w:pPr>
        <w:snapToGrid w:val="0"/>
        <w:spacing w:line="300" w:lineRule="auto"/>
        <w:jc w:val="both"/>
        <w:rPr>
          <w:rFonts w:ascii="Arial" w:hAnsi="Arial" w:eastAsia="宋体" w:cs="Arial"/>
          <w:sz w:val="20"/>
          <w:szCs w:val="20"/>
          <w:lang w:eastAsia="zh-CN"/>
        </w:rPr>
      </w:pPr>
    </w:p>
    <w:p w14:paraId="24B266C8">
      <w:pPr>
        <w:snapToGrid w:val="0"/>
        <w:spacing w:line="300" w:lineRule="auto"/>
        <w:jc w:val="both"/>
        <w:rPr>
          <w:rFonts w:ascii="Arial" w:hAnsi="Arial" w:eastAsia="宋体" w:cs="Arial"/>
          <w:sz w:val="20"/>
          <w:szCs w:val="20"/>
          <w:lang w:eastAsia="zh-CN"/>
        </w:rPr>
      </w:pPr>
    </w:p>
    <w:p w14:paraId="4BF1DF97">
      <w:pPr>
        <w:snapToGrid w:val="0"/>
        <w:spacing w:line="300" w:lineRule="auto"/>
        <w:jc w:val="both"/>
        <w:rPr>
          <w:rFonts w:ascii="Arial" w:hAnsi="Arial" w:eastAsia="宋体" w:cs="Arial"/>
          <w:sz w:val="20"/>
          <w:szCs w:val="20"/>
          <w:lang w:eastAsia="zh-CN"/>
        </w:rPr>
      </w:pPr>
    </w:p>
    <w:p w14:paraId="28C774C2">
      <w:pPr>
        <w:snapToGrid w:val="0"/>
        <w:spacing w:line="300" w:lineRule="auto"/>
        <w:jc w:val="both"/>
        <w:rPr>
          <w:rFonts w:ascii="Arial" w:hAnsi="Arial" w:eastAsia="宋体" w:cs="Arial"/>
          <w:sz w:val="20"/>
          <w:szCs w:val="20"/>
          <w:lang w:eastAsia="zh-CN"/>
        </w:rPr>
      </w:pPr>
    </w:p>
    <w:p w14:paraId="30FFD7DE">
      <w:pPr>
        <w:snapToGrid w:val="0"/>
        <w:spacing w:line="300" w:lineRule="auto"/>
        <w:jc w:val="both"/>
        <w:rPr>
          <w:rFonts w:ascii="Arial" w:hAnsi="Arial" w:eastAsia="宋体" w:cs="Arial"/>
          <w:sz w:val="20"/>
          <w:szCs w:val="20"/>
          <w:lang w:eastAsia="zh-CN"/>
        </w:rPr>
      </w:pPr>
    </w:p>
    <w:p w14:paraId="759F8F4A">
      <w:pPr>
        <w:snapToGrid w:val="0"/>
        <w:spacing w:before="3" w:line="300" w:lineRule="auto"/>
        <w:jc w:val="both"/>
        <w:rPr>
          <w:rFonts w:ascii="Arial" w:hAnsi="Arial" w:eastAsia="宋体" w:cs="Arial"/>
          <w:lang w:eastAsia="zh-CN"/>
        </w:rPr>
      </w:pPr>
    </w:p>
    <w:p w14:paraId="7F419A43">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350" r="1905" b="5080"/>
                <wp:docPr id="34" name="Group 3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5" name="Group 33"/>
                        <wpg:cNvGrpSpPr/>
                        <wpg:grpSpPr>
                          <a:xfrm>
                            <a:off x="6" y="6"/>
                            <a:ext cx="2880" cy="2"/>
                            <a:chOff x="6" y="6"/>
                            <a:chExt cx="2880" cy="2"/>
                          </a:xfrm>
                        </wpg:grpSpPr>
                        <wps:wsp>
                          <wps:cNvPr id="36" name="Freeform 3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3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Co0AQzGgMAAP4HAAAOAAAAAAAAAAEAIAAAACMBAABkcnMvZTJvRG9j&#10;LnhtbFBLBQYAAAAABgAGAFkBAACvBgAAAAA=&#10;">
                <o:lock v:ext="edit" aspectratio="f"/>
                <v:group id="Group 33" o:spid="_x0000_s1026" o:spt="203" style="position:absolute;left:6;top:6;height:2;width:2880;" coordorigin="6,6" coordsize="2880,2"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Freeform 34" o:spid="_x0000_s1026" o:spt="100" style="position:absolute;left:6;top:6;height:2;width:2880;" filled="f" stroked="t" coordsize="2880,1" o:gfxdata="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v/rK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0B46A67">
      <w:pPr>
        <w:snapToGrid w:val="0"/>
        <w:spacing w:before="60" w:line="300" w:lineRule="auto"/>
        <w:jc w:val="both"/>
        <w:rPr>
          <w:rFonts w:ascii="Arial" w:hAnsi="Arial" w:eastAsia="宋体" w:cs="Arial"/>
          <w:sz w:val="24"/>
          <w:szCs w:val="24"/>
        </w:rPr>
      </w:pPr>
      <w:bookmarkStart w:id="109" w:name="_bookmark54"/>
      <w:bookmarkEnd w:id="109"/>
      <w:r>
        <w:rPr>
          <w:rFonts w:ascii="Arial" w:hAnsi="Arial" w:eastAsia="宋体" w:cs="Arial"/>
          <w:position w:val="11"/>
          <w:sz w:val="16"/>
        </w:rPr>
        <w:t xml:space="preserve">25 </w:t>
      </w:r>
      <w:r>
        <w:rPr>
          <w:rFonts w:ascii="Arial" w:hAnsi="Arial" w:eastAsia="宋体" w:cs="Arial"/>
          <w:sz w:val="24"/>
        </w:rPr>
        <w:t>21 CFR</w:t>
      </w:r>
      <w:r>
        <w:rPr>
          <w:rFonts w:ascii="Arial" w:hAnsi="Arial" w:eastAsia="宋体" w:cs="Arial"/>
          <w:spacing w:val="6"/>
          <w:sz w:val="24"/>
        </w:rPr>
        <w:t xml:space="preserve"> </w:t>
      </w:r>
      <w:r>
        <w:rPr>
          <w:rFonts w:ascii="Arial" w:hAnsi="Arial" w:eastAsia="宋体" w:cs="Arial"/>
          <w:sz w:val="24"/>
        </w:rPr>
        <w:t>814.82（a）（2）</w:t>
      </w:r>
    </w:p>
    <w:p w14:paraId="6E2CEA63">
      <w:pPr>
        <w:widowControl/>
        <w:rPr>
          <w:rFonts w:ascii="Arial" w:hAnsi="Arial" w:eastAsia="宋体" w:cs="Arial"/>
          <w:sz w:val="24"/>
          <w:szCs w:val="24"/>
        </w:rPr>
      </w:pPr>
      <w:r>
        <w:rPr>
          <w:rFonts w:ascii="Arial" w:hAnsi="Arial" w:eastAsia="宋体" w:cs="Arial"/>
          <w:sz w:val="24"/>
          <w:szCs w:val="24"/>
        </w:rPr>
        <w:br w:type="page"/>
      </w:r>
    </w:p>
    <w:p w14:paraId="15F20EC7">
      <w:pPr>
        <w:pStyle w:val="3"/>
        <w:numPr>
          <w:ilvl w:val="1"/>
          <w:numId w:val="1"/>
        </w:numPr>
        <w:tabs>
          <w:tab w:val="left" w:pos="1199"/>
          <w:tab w:val="left" w:pos="1200"/>
        </w:tabs>
        <w:snapToGrid w:val="0"/>
        <w:spacing w:before="218" w:line="300" w:lineRule="auto"/>
        <w:ind w:left="720"/>
        <w:jc w:val="both"/>
        <w:rPr>
          <w:rFonts w:ascii="Arial" w:hAnsi="Arial" w:eastAsia="宋体" w:cs="Arial"/>
          <w:b w:val="0"/>
          <w:bCs w:val="0"/>
        </w:rPr>
      </w:pPr>
      <w:bookmarkStart w:id="110" w:name="H._Sample_Size"/>
      <w:bookmarkEnd w:id="110"/>
      <w:bookmarkStart w:id="111" w:name="_bookmark55"/>
      <w:bookmarkEnd w:id="111"/>
      <w:bookmarkStart w:id="112" w:name="_Toc481595918"/>
      <w:r>
        <w:rPr>
          <w:rFonts w:ascii="Arial" w:hAnsi="Arial" w:eastAsia="宋体" w:cs="Arial"/>
        </w:rPr>
        <w:t>样本量</w:t>
      </w:r>
      <w:bookmarkEnd w:id="112"/>
    </w:p>
    <w:p w14:paraId="2A4EFB38">
      <w:pPr>
        <w:snapToGrid w:val="0"/>
        <w:spacing w:before="10" w:line="300" w:lineRule="auto"/>
        <w:jc w:val="both"/>
        <w:rPr>
          <w:rFonts w:ascii="Arial" w:hAnsi="Arial" w:eastAsia="宋体" w:cs="Arial"/>
          <w:b/>
          <w:bCs/>
          <w:sz w:val="24"/>
          <w:szCs w:val="24"/>
        </w:rPr>
      </w:pPr>
    </w:p>
    <w:p w14:paraId="62C668C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方案应包括计算适合于测试统计假设的估计样本量。对于该计算，我们建议使用适合于拟定统计假设的统计公式。我们建议贵公司声明并支持与样本量计算相关的所有统计假设。有关其他建议，请参阅“非诊断性医疗器械临床试验的统计指南”</w:t>
      </w:r>
      <w:r>
        <w:rPr>
          <w:rFonts w:ascii="Arial" w:hAnsi="Arial" w:eastAsia="宋体" w:cs="Arial"/>
          <w:vertAlign w:val="superscript"/>
          <w:lang w:eastAsia="zh-CN"/>
        </w:rPr>
        <w:t>26</w:t>
      </w:r>
      <w:r>
        <w:rPr>
          <w:rFonts w:ascii="Arial" w:hAnsi="Arial" w:eastAsia="宋体" w:cs="Arial"/>
          <w:lang w:eastAsia="zh-CN"/>
        </w:rPr>
        <w:t xml:space="preserve">和“医疗器械临床试验中贝叶斯统计的使用指南” </w:t>
      </w:r>
      <w:r>
        <w:rPr>
          <w:rFonts w:ascii="Arial" w:hAnsi="Arial" w:eastAsia="宋体" w:cs="Arial"/>
          <w:vertAlign w:val="superscript"/>
          <w:lang w:eastAsia="zh-CN"/>
        </w:rPr>
        <w:t>27</w:t>
      </w:r>
      <w:r>
        <w:rPr>
          <w:rFonts w:ascii="Arial" w:hAnsi="Arial" w:eastAsia="宋体" w:cs="Arial"/>
          <w:lang w:eastAsia="zh-CN"/>
        </w:rPr>
        <w:t>。</w:t>
      </w:r>
    </w:p>
    <w:p w14:paraId="484FECDB">
      <w:pPr>
        <w:snapToGrid w:val="0"/>
        <w:spacing w:before="2" w:line="300" w:lineRule="auto"/>
        <w:jc w:val="both"/>
        <w:rPr>
          <w:rFonts w:ascii="Arial" w:hAnsi="Arial" w:eastAsia="宋体" w:cs="Arial"/>
          <w:sz w:val="24"/>
          <w:szCs w:val="24"/>
          <w:lang w:eastAsia="zh-CN"/>
        </w:rPr>
      </w:pPr>
    </w:p>
    <w:p w14:paraId="555096C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由于任何临床研究中可能会出现患者终止治疗以及其他形式的缺失数据，因此我们建议以预期随访损失率向上调整计算所得的样本量。另外，对样本量进行向上调整可以最小化由于有关治疗和安慰剂效应及其差异的假设不当而出现统计功效不足的可能性。</w:t>
      </w:r>
    </w:p>
    <w:p w14:paraId="703D90AF">
      <w:pPr>
        <w:snapToGrid w:val="0"/>
        <w:spacing w:before="11" w:line="300" w:lineRule="auto"/>
        <w:jc w:val="both"/>
        <w:rPr>
          <w:rFonts w:ascii="Arial" w:hAnsi="Arial" w:eastAsia="宋体" w:cs="Arial"/>
          <w:sz w:val="23"/>
          <w:szCs w:val="23"/>
          <w:lang w:eastAsia="zh-CN"/>
        </w:rPr>
      </w:pPr>
    </w:p>
    <w:p w14:paraId="447CED4C">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113" w:name="I._Patient_Selection_Criteria"/>
      <w:bookmarkEnd w:id="113"/>
      <w:bookmarkStart w:id="114" w:name="_bookmark56"/>
      <w:bookmarkEnd w:id="114"/>
      <w:bookmarkStart w:id="115" w:name="_Toc481595919"/>
      <w:r>
        <w:rPr>
          <w:rFonts w:ascii="Arial" w:hAnsi="Arial" w:eastAsia="宋体" w:cs="Arial"/>
        </w:rPr>
        <w:t>患者选择标准</w:t>
      </w:r>
      <w:bookmarkEnd w:id="115"/>
    </w:p>
    <w:p w14:paraId="39491768">
      <w:pPr>
        <w:snapToGrid w:val="0"/>
        <w:spacing w:before="1" w:line="300" w:lineRule="auto"/>
        <w:jc w:val="both"/>
        <w:rPr>
          <w:rFonts w:ascii="Arial" w:hAnsi="Arial" w:eastAsia="宋体" w:cs="Arial"/>
          <w:b/>
          <w:bCs/>
          <w:sz w:val="24"/>
          <w:szCs w:val="24"/>
        </w:rPr>
      </w:pPr>
    </w:p>
    <w:p w14:paraId="38596C9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虽然BPH主要局限于老年男性，但患者人群的年龄和其他基线特性可能会影响不同BPH器械治疗的有效性和安全性。因此，我们建议贵公司为贵公司的临床试验制定入选和排除标准，选择临床治疗人群的群体代表，同时限制可能会混淆数据解释的特性。</w:t>
      </w:r>
    </w:p>
    <w:p w14:paraId="4886D0BE">
      <w:pPr>
        <w:snapToGrid w:val="0"/>
        <w:spacing w:before="12" w:line="300" w:lineRule="auto"/>
        <w:jc w:val="both"/>
        <w:rPr>
          <w:rFonts w:ascii="Arial" w:hAnsi="Arial" w:eastAsia="宋体" w:cs="Arial"/>
          <w:sz w:val="23"/>
          <w:szCs w:val="23"/>
          <w:lang w:eastAsia="zh-CN"/>
        </w:rPr>
      </w:pPr>
    </w:p>
    <w:p w14:paraId="2D59713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方案应定义可识别适当目标人群的入选标准。具体来说，贵公司的研究应招募临床诊断为患有需要治疗的BPH的男性。我们建议贵公司在为贵公司的研究制定入选标准时考虑的患者特性包括以下内容。</w:t>
      </w:r>
    </w:p>
    <w:p w14:paraId="25912D92">
      <w:pPr>
        <w:snapToGrid w:val="0"/>
        <w:spacing w:before="1" w:line="300" w:lineRule="auto"/>
        <w:jc w:val="both"/>
        <w:rPr>
          <w:rFonts w:ascii="Arial" w:hAnsi="Arial" w:eastAsia="宋体" w:cs="Arial"/>
          <w:sz w:val="24"/>
          <w:szCs w:val="24"/>
          <w:lang w:eastAsia="zh-CN"/>
        </w:rPr>
      </w:pPr>
    </w:p>
    <w:p w14:paraId="4CC10A37">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年龄</w:t>
      </w:r>
      <w:r>
        <w:rPr>
          <w:rFonts w:ascii="Arial" w:hAnsi="Arial" w:eastAsia="宋体" w:cs="Arial"/>
          <w:lang w:eastAsia="zh-CN"/>
        </w:rPr>
        <w:t>：该方案应规定符合招募条件的年龄。因为BPH通常局限于老年男性，我们建议贵公司纳入50岁以上的男性。</w:t>
      </w:r>
    </w:p>
    <w:p w14:paraId="202B4FC2">
      <w:pPr>
        <w:pStyle w:val="6"/>
        <w:snapToGrid w:val="0"/>
        <w:spacing w:line="300" w:lineRule="auto"/>
        <w:ind w:left="292" w:leftChars="132" w:hanging="2" w:hangingChars="1"/>
        <w:jc w:val="both"/>
        <w:rPr>
          <w:rFonts w:ascii="Arial" w:hAnsi="Arial" w:eastAsia="宋体" w:cs="Arial"/>
          <w:lang w:eastAsia="zh-CN"/>
        </w:rPr>
      </w:pPr>
    </w:p>
    <w:p w14:paraId="0B161E60">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诊断</w:t>
      </w:r>
      <w:r>
        <w:rPr>
          <w:rFonts w:ascii="Arial" w:hAnsi="Arial" w:eastAsia="宋体" w:cs="Arial"/>
          <w:lang w:eastAsia="zh-CN"/>
        </w:rPr>
        <w:t>：研究者应将受试者诊断为具有症状性BPH。我们建议该方案中规定的诊断标准应与当前的护理标准一致。</w:t>
      </w:r>
    </w:p>
    <w:p w14:paraId="128A4BCE">
      <w:pPr>
        <w:snapToGrid w:val="0"/>
        <w:spacing w:line="300" w:lineRule="auto"/>
        <w:jc w:val="both"/>
        <w:rPr>
          <w:rFonts w:ascii="Arial" w:hAnsi="Arial" w:eastAsia="宋体" w:cs="Arial"/>
          <w:sz w:val="20"/>
          <w:szCs w:val="20"/>
          <w:lang w:eastAsia="zh-CN"/>
        </w:rPr>
      </w:pPr>
    </w:p>
    <w:p w14:paraId="46829B14">
      <w:pPr>
        <w:snapToGrid w:val="0"/>
        <w:spacing w:line="300" w:lineRule="auto"/>
        <w:jc w:val="both"/>
        <w:rPr>
          <w:rFonts w:ascii="Arial" w:hAnsi="Arial" w:eastAsia="宋体" w:cs="Arial"/>
          <w:sz w:val="20"/>
          <w:szCs w:val="20"/>
          <w:lang w:eastAsia="zh-CN"/>
        </w:rPr>
      </w:pPr>
    </w:p>
    <w:p w14:paraId="5D35FCAA">
      <w:pPr>
        <w:snapToGrid w:val="0"/>
        <w:spacing w:line="300" w:lineRule="auto"/>
        <w:jc w:val="both"/>
        <w:rPr>
          <w:rFonts w:ascii="Arial" w:hAnsi="Arial" w:eastAsia="宋体" w:cs="Arial"/>
          <w:sz w:val="20"/>
          <w:szCs w:val="20"/>
          <w:lang w:eastAsia="zh-CN"/>
        </w:rPr>
      </w:pPr>
    </w:p>
    <w:p w14:paraId="6D5C93F3">
      <w:pPr>
        <w:snapToGrid w:val="0"/>
        <w:spacing w:before="1" w:line="300" w:lineRule="auto"/>
        <w:jc w:val="both"/>
        <w:rPr>
          <w:rFonts w:ascii="Arial" w:hAnsi="Arial" w:eastAsia="宋体" w:cs="Arial"/>
          <w:sz w:val="23"/>
          <w:szCs w:val="23"/>
          <w:lang w:eastAsia="zh-CN"/>
        </w:rPr>
      </w:pPr>
    </w:p>
    <w:p w14:paraId="2CC23669">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10160" r="1905" b="1270"/>
                <wp:docPr id="31" name="Group 29"/>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2" name="Group 30"/>
                        <wpg:cNvGrpSpPr/>
                        <wpg:grpSpPr>
                          <a:xfrm>
                            <a:off x="6" y="6"/>
                            <a:ext cx="2880" cy="2"/>
                            <a:chOff x="6" y="6"/>
                            <a:chExt cx="2880" cy="2"/>
                          </a:xfrm>
                        </wpg:grpSpPr>
                        <wps:wsp>
                          <wps:cNvPr id="33" name="Freeform 31"/>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9"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ID+hIXUAAAAAwEAAA8AAAAAAAAAAQAgAAAAIgAAAGRycy9kb3ducmV2&#10;LnhtbFBLAQIUABQAAAAIAIdO4kAFeFurHQMAAP4HAAAOAAAAAAAAAAEAIAAAACMBAABkcnMvZTJv&#10;RG9jLnhtbFBLBQYAAAAABgAGAFkBAACyBgAAAAA=&#10;">
                <o:lock v:ext="edit" aspectratio="f"/>
                <v:group id="Group 30" o:spid="_x0000_s1026" o:spt="203" style="position:absolute;left:6;top:6;height:2;width:2880;" coordorigin="6,6" coordsize="2880,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Freeform 31" o:spid="_x0000_s1026" o:spt="100" style="position:absolute;left:6;top:6;height:2;width:2880;" filled="f" stroked="t" coordsize="2880,1" o:gfxdata="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BhdKr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2F3BE4A">
      <w:pPr>
        <w:pStyle w:val="6"/>
        <w:snapToGrid w:val="0"/>
        <w:spacing w:before="59" w:line="300" w:lineRule="auto"/>
        <w:ind w:left="0"/>
        <w:rPr>
          <w:rFonts w:ascii="Arial" w:hAnsi="Arial" w:eastAsia="宋体" w:cs="Arial"/>
        </w:rPr>
      </w:pPr>
      <w:bookmarkStart w:id="116" w:name="_bookmark57"/>
      <w:bookmarkEnd w:id="116"/>
      <w:r>
        <w:rPr>
          <w:rFonts w:ascii="Arial" w:hAnsi="Arial" w:eastAsia="宋体" w:cs="Arial"/>
          <w:position w:val="11"/>
          <w:sz w:val="16"/>
        </w:rPr>
        <w:t>26</w:t>
      </w:r>
      <w:r>
        <w:rPr>
          <w:rFonts w:ascii="Arial" w:hAnsi="Arial" w:eastAsia="宋体" w:cs="Arial"/>
          <w:spacing w:val="-2"/>
          <w:position w:val="11"/>
          <w:sz w:val="16"/>
        </w:rPr>
        <w:t xml:space="preserve"> </w:t>
      </w:r>
      <w:r>
        <w:fldChar w:fldCharType="begin"/>
      </w:r>
      <w:r>
        <w:instrText xml:space="preserve"> HYPERLINK "http://www.fda.gov/MedicalDevices/DeviceRegulationandGuidance/GuidanceDocuments/"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//www.fda.gov/MedicalDevices/DeviceRegulationandGuidance/GuidanceDocuments/</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"http://www.fda.gov/MedicalDevices/DeviceRegulationandGuidance/GuidanceDocuments/ucm106757.htm" \h </w:instrText>
      </w:r>
      <w:r>
        <w:fldChar w:fldCharType="separate"/>
      </w:r>
      <w:r>
        <w:rPr>
          <w:rFonts w:ascii="Arial" w:hAnsi="Arial" w:eastAsia="宋体" w:cs="Arial"/>
          <w:color w:val="0000FF"/>
          <w:u w:val="single" w:color="0000FF"/>
        </w:rPr>
        <w:t>ucm106757.htm</w:t>
      </w:r>
      <w:r>
        <w:rPr>
          <w:rFonts w:ascii="Arial" w:hAnsi="Arial" w:eastAsia="宋体" w:cs="Arial"/>
          <w:color w:val="0000FF"/>
          <w:u w:val="single" w:color="0000FF"/>
        </w:rPr>
        <w:fldChar w:fldCharType="end"/>
      </w:r>
    </w:p>
    <w:p w14:paraId="4565A039">
      <w:pPr>
        <w:pStyle w:val="6"/>
        <w:snapToGrid w:val="0"/>
        <w:spacing w:before="4" w:line="300" w:lineRule="auto"/>
        <w:ind w:left="0"/>
        <w:rPr>
          <w:rFonts w:ascii="Arial" w:hAnsi="Arial" w:eastAsia="宋体" w:cs="Arial"/>
        </w:rPr>
      </w:pPr>
      <w:bookmarkStart w:id="117" w:name="_bookmark58"/>
      <w:bookmarkEnd w:id="117"/>
      <w:r>
        <w:rPr>
          <w:rFonts w:ascii="Arial" w:hAnsi="Arial" w:eastAsia="宋体" w:cs="Arial"/>
          <w:position w:val="11"/>
          <w:sz w:val="16"/>
        </w:rPr>
        <w:t>27</w:t>
      </w:r>
      <w:r>
        <w:rPr>
          <w:rFonts w:ascii="Arial" w:hAnsi="Arial" w:eastAsia="宋体" w:cs="Arial"/>
          <w:spacing w:val="-2"/>
          <w:position w:val="11"/>
          <w:sz w:val="16"/>
        </w:rPr>
        <w:t xml:space="preserve"> </w:t>
      </w:r>
      <w:r>
        <w:fldChar w:fldCharType="begin"/>
      </w:r>
      <w:r>
        <w:instrText xml:space="preserve"> HYPERLINK "http://www.fda.gov/MedicalDevices/DeviceRegulationandGuidance/GuidanceDocuments/"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//www.fda.gov/MedicalDevices/DeviceRegulationandGuidance/GuidanceDocuments/</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"http://www.fda.gov/MedicalDevices/DeviceRegulationandGuidance/GuidanceDocuments/ucm071072.htm" \h </w:instrText>
      </w:r>
      <w:r>
        <w:fldChar w:fldCharType="separate"/>
      </w:r>
      <w:r>
        <w:rPr>
          <w:rFonts w:ascii="Arial" w:hAnsi="Arial" w:eastAsia="宋体" w:cs="Arial"/>
          <w:color w:val="0000FF"/>
          <w:u w:val="single" w:color="0000FF"/>
        </w:rPr>
        <w:t>ucm071072.htm</w:t>
      </w:r>
      <w:r>
        <w:rPr>
          <w:rFonts w:ascii="Arial" w:hAnsi="Arial" w:eastAsia="宋体" w:cs="Arial"/>
          <w:color w:val="0000FF"/>
          <w:u w:val="single" w:color="0000FF"/>
        </w:rPr>
        <w:fldChar w:fldCharType="end"/>
      </w:r>
    </w:p>
    <w:p w14:paraId="5061785E">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52CC11A1">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前列腺大小</w:t>
      </w:r>
      <w:r>
        <w:rPr>
          <w:rFonts w:ascii="Arial" w:hAnsi="Arial" w:eastAsia="宋体" w:cs="Arial"/>
          <w:lang w:eastAsia="zh-CN"/>
        </w:rPr>
        <w:t>：一般来说，旨在治疗BPH的器械专门设计用于治疗在体积和长度方面具有特定</w:t>
      </w:r>
      <w:r>
        <w:rPr>
          <w:rFonts w:ascii="Arial" w:hAnsi="Arial" w:eastAsia="宋体" w:cs="Arial"/>
          <w:u w:val="single" w:color="000000"/>
          <w:lang w:eastAsia="zh-CN"/>
        </w:rPr>
        <w:t>大小</w:t>
      </w:r>
      <w:r>
        <w:rPr>
          <w:rFonts w:ascii="Arial" w:hAnsi="Arial" w:eastAsia="宋体" w:cs="Arial"/>
          <w:lang w:eastAsia="zh-CN"/>
        </w:rPr>
        <w:t>的前列腺。我们建议贵公司的入选标准应前瞻性地界定前列腺大小并根据具体疗法的参数界定上限和下限。</w:t>
      </w:r>
    </w:p>
    <w:p w14:paraId="3662D3A7">
      <w:pPr>
        <w:snapToGrid w:val="0"/>
        <w:spacing w:before="8" w:line="300" w:lineRule="auto"/>
        <w:jc w:val="both"/>
        <w:rPr>
          <w:rFonts w:ascii="Arial" w:hAnsi="Arial" w:eastAsia="宋体" w:cs="Arial"/>
          <w:sz w:val="23"/>
          <w:szCs w:val="23"/>
          <w:lang w:eastAsia="zh-CN"/>
        </w:rPr>
      </w:pPr>
    </w:p>
    <w:p w14:paraId="7AC97ED5">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症状严重程度</w:t>
      </w:r>
      <w:r>
        <w:rPr>
          <w:rFonts w:ascii="Arial" w:hAnsi="Arial" w:eastAsia="宋体" w:cs="Arial"/>
          <w:lang w:eastAsia="zh-CN"/>
        </w:rPr>
        <w:t>：一般来说，患者会因症状令人烦扰而寻求BPH治疗。我们建议贵公司的方案前瞻性地界定与贵公司的器械旨在治疗的症状严重程度一致的AUA-SI（或IPSS）评分范围。例如，AUA-SI&gt;20与严重性BPH的当前临床定义一致。</w:t>
      </w:r>
      <w:r>
        <w:fldChar w:fldCharType="begin"/>
      </w:r>
      <w:r>
        <w:instrText xml:space="preserve"> HYPERLINK \l "_bookmark40" </w:instrText>
      </w:r>
      <w:r>
        <w:fldChar w:fldCharType="separate"/>
      </w:r>
      <w:r>
        <w:rPr>
          <w:rFonts w:ascii="Arial" w:hAnsi="Arial" w:eastAsia="宋体" w:cs="Arial"/>
          <w:position w:val="11"/>
          <w:sz w:val="16"/>
          <w:szCs w:val="16"/>
          <w:lang w:eastAsia="zh-CN"/>
        </w:rPr>
        <w:t>20</w:t>
      </w:r>
      <w:r>
        <w:rPr>
          <w:rFonts w:ascii="Arial" w:hAnsi="Arial" w:eastAsia="宋体" w:cs="Arial"/>
          <w:position w:val="11"/>
          <w:sz w:val="16"/>
          <w:szCs w:val="16"/>
          <w:lang w:eastAsia="zh-CN"/>
        </w:rPr>
        <w:fldChar w:fldCharType="end"/>
      </w:r>
    </w:p>
    <w:p w14:paraId="6264A860">
      <w:pPr>
        <w:snapToGrid w:val="0"/>
        <w:spacing w:before="2" w:line="300" w:lineRule="auto"/>
        <w:jc w:val="both"/>
        <w:rPr>
          <w:rFonts w:ascii="Arial" w:hAnsi="Arial" w:eastAsia="宋体" w:cs="Arial"/>
          <w:sz w:val="24"/>
          <w:szCs w:val="24"/>
          <w:lang w:eastAsia="zh-CN"/>
        </w:rPr>
      </w:pPr>
    </w:p>
    <w:p w14:paraId="3791CB4A">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峰值尿流率</w:t>
      </w:r>
      <w:r>
        <w:rPr>
          <w:rFonts w:ascii="Arial" w:hAnsi="Arial" w:eastAsia="宋体" w:cs="Arial"/>
          <w:lang w:eastAsia="zh-CN"/>
        </w:rPr>
        <w:t>：尿流量减少为膀胱出口阻塞的指征，并提示可能患有BPH。我们建议贵公司纳入具有指示阻塞（例如&lt;12 ml / sec）的峰值尿流率的受试者。</w:t>
      </w:r>
      <w:r>
        <w:fldChar w:fldCharType="begin"/>
      </w:r>
      <w:r>
        <w:instrText xml:space="preserve"> HYPERLINK \l "_bookmark59" </w:instrText>
      </w:r>
      <w:r>
        <w:fldChar w:fldCharType="separate"/>
      </w:r>
      <w:r>
        <w:rPr>
          <w:rFonts w:ascii="Arial" w:hAnsi="Arial" w:eastAsia="宋体" w:cs="Arial"/>
          <w:position w:val="11"/>
          <w:sz w:val="16"/>
          <w:lang w:eastAsia="zh-CN"/>
        </w:rPr>
        <w:t>28</w:t>
      </w:r>
      <w:r>
        <w:rPr>
          <w:rFonts w:ascii="Arial" w:hAnsi="Arial" w:eastAsia="宋体" w:cs="Arial"/>
          <w:position w:val="11"/>
          <w:sz w:val="16"/>
          <w:lang w:eastAsia="zh-CN"/>
        </w:rPr>
        <w:fldChar w:fldCharType="end"/>
      </w:r>
    </w:p>
    <w:p w14:paraId="7D3A0D24">
      <w:pPr>
        <w:snapToGrid w:val="0"/>
        <w:spacing w:before="6" w:line="300" w:lineRule="auto"/>
        <w:jc w:val="both"/>
        <w:rPr>
          <w:rFonts w:ascii="Arial" w:hAnsi="Arial" w:eastAsia="宋体" w:cs="Arial"/>
          <w:sz w:val="24"/>
          <w:szCs w:val="24"/>
          <w:lang w:eastAsia="zh-CN"/>
        </w:rPr>
      </w:pPr>
    </w:p>
    <w:p w14:paraId="74C2B8EB">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受试者符合性和适用性</w:t>
      </w:r>
      <w:r>
        <w:rPr>
          <w:rFonts w:ascii="Arial" w:hAnsi="Arial" w:eastAsia="宋体" w:cs="Arial"/>
          <w:lang w:eastAsia="zh-CN"/>
        </w:rPr>
        <w:t>：我们建议招募能够了解所有研究要求且预期寿命大于研究期的受试者。此外，我们建议招募能够忍受手术（例如良好的手术候选人）且并同意该方案中规定的基线和随访评价的受试者。</w:t>
      </w:r>
    </w:p>
    <w:p w14:paraId="67BA8819">
      <w:pPr>
        <w:snapToGrid w:val="0"/>
        <w:spacing w:before="12" w:line="300" w:lineRule="auto"/>
        <w:jc w:val="both"/>
        <w:rPr>
          <w:rFonts w:ascii="Arial" w:hAnsi="Arial" w:eastAsia="宋体" w:cs="Arial"/>
          <w:sz w:val="23"/>
          <w:szCs w:val="23"/>
          <w:lang w:eastAsia="zh-CN"/>
        </w:rPr>
      </w:pPr>
    </w:p>
    <w:p w14:paraId="465DFE5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研究方案应定义排除标准，防止招募具有可能混淆数据解释或者表明贵公司的器械可造成不合理风险的特性的受试者。我们建议贵公司在为贵公司的研究制定排除标准时考虑的患者特性应包括以下内容。</w:t>
      </w:r>
    </w:p>
    <w:p w14:paraId="306D4F86">
      <w:pPr>
        <w:snapToGrid w:val="0"/>
        <w:spacing w:before="1" w:line="300" w:lineRule="auto"/>
        <w:jc w:val="both"/>
        <w:rPr>
          <w:rFonts w:ascii="Arial" w:hAnsi="Arial" w:eastAsia="宋体" w:cs="Arial"/>
          <w:sz w:val="24"/>
          <w:szCs w:val="24"/>
          <w:lang w:eastAsia="zh-CN"/>
        </w:rPr>
      </w:pPr>
    </w:p>
    <w:p w14:paraId="7A08910C">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混杂条件</w:t>
      </w:r>
      <w:r>
        <w:rPr>
          <w:rFonts w:ascii="Arial" w:hAnsi="Arial" w:eastAsia="宋体" w:cs="Arial"/>
          <w:lang w:eastAsia="zh-CN"/>
        </w:rPr>
        <w:t>：我们建议贵公司的方案排除具有任何可能混淆研究结果、可生成可能与BPH症状混淆的症状或者根据</w:t>
      </w:r>
      <w:r>
        <w:rPr>
          <w:rFonts w:ascii="Arial" w:hAnsi="Arial" w:eastAsia="宋体" w:cs="Arial"/>
          <w:u w:val="single" w:color="000000"/>
          <w:lang w:eastAsia="zh-CN"/>
        </w:rPr>
        <w:t>器械</w:t>
      </w:r>
      <w:r>
        <w:rPr>
          <w:rFonts w:ascii="Arial" w:hAnsi="Arial" w:eastAsia="宋体" w:cs="Arial"/>
          <w:lang w:eastAsia="zh-CN"/>
        </w:rPr>
        <w:t>设计可对患者造成额外风险的疾病史的男性。示例包括：</w:t>
      </w:r>
    </w:p>
    <w:p w14:paraId="31944304">
      <w:pPr>
        <w:snapToGrid w:val="0"/>
        <w:spacing w:before="11" w:line="300" w:lineRule="auto"/>
        <w:jc w:val="both"/>
        <w:rPr>
          <w:rFonts w:ascii="Arial" w:hAnsi="Arial" w:eastAsia="宋体" w:cs="Arial"/>
          <w:sz w:val="23"/>
          <w:szCs w:val="23"/>
          <w:lang w:eastAsia="zh-CN"/>
        </w:rPr>
      </w:pPr>
    </w:p>
    <w:p w14:paraId="664B8BC3">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心律失常、心脏病，其中包括充血性心力衰竭、不受控制的糖尿病、显著的呼吸系统疾病或已知的免疫抑制；</w:t>
      </w:r>
    </w:p>
    <w:p w14:paraId="2AC2FF6A">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由于帕金森病、多发性硬化、脑血管意外、糖尿病等引起的神经源性膀胱和/或括约肌异常；</w:t>
      </w:r>
    </w:p>
    <w:p w14:paraId="29BA5E11">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通过超声或急性尿潴留测量的排尿后残留（PVR）体积&gt;250ml；</w:t>
      </w:r>
      <w:r>
        <w:fldChar w:fldCharType="begin"/>
      </w:r>
      <w:r>
        <w:instrText xml:space="preserve"> HYPERLINK \l "_bookmark60" </w:instrText>
      </w:r>
      <w:r>
        <w:fldChar w:fldCharType="separate"/>
      </w:r>
      <w:r>
        <w:rPr>
          <w:rFonts w:ascii="Arial" w:hAnsi="Arial" w:eastAsia="宋体" w:cs="Arial"/>
          <w:position w:val="11"/>
          <w:sz w:val="16"/>
          <w:lang w:eastAsia="zh-CN"/>
        </w:rPr>
        <w:t>29</w:t>
      </w:r>
      <w:r>
        <w:rPr>
          <w:rFonts w:ascii="Arial" w:hAnsi="Arial" w:eastAsia="宋体" w:cs="Arial"/>
          <w:position w:val="11"/>
          <w:sz w:val="16"/>
          <w:lang w:eastAsia="zh-CN"/>
        </w:rPr>
        <w:fldChar w:fldCharType="end"/>
      </w:r>
    </w:p>
    <w:p w14:paraId="19492D94">
      <w:pPr>
        <w:snapToGrid w:val="0"/>
        <w:spacing w:before="10" w:line="300" w:lineRule="auto"/>
        <w:jc w:val="both"/>
        <w:rPr>
          <w:rFonts w:ascii="Arial" w:hAnsi="Arial" w:eastAsia="宋体" w:cs="Arial"/>
          <w:sz w:val="17"/>
          <w:szCs w:val="17"/>
          <w:lang w:eastAsia="zh-CN"/>
        </w:rPr>
      </w:pPr>
    </w:p>
    <w:p w14:paraId="10EDF364">
      <w:pPr>
        <w:snapToGrid w:val="0"/>
        <w:spacing w:before="10" w:line="300" w:lineRule="auto"/>
        <w:jc w:val="both"/>
        <w:rPr>
          <w:rFonts w:ascii="Arial" w:hAnsi="Arial" w:eastAsia="宋体" w:cs="Arial"/>
          <w:sz w:val="17"/>
          <w:szCs w:val="17"/>
          <w:lang w:eastAsia="zh-CN"/>
        </w:rPr>
      </w:pPr>
    </w:p>
    <w:p w14:paraId="1FAA5D60">
      <w:pPr>
        <w:snapToGrid w:val="0"/>
        <w:spacing w:before="10" w:line="300" w:lineRule="auto"/>
        <w:jc w:val="both"/>
        <w:rPr>
          <w:rFonts w:ascii="Arial" w:hAnsi="Arial" w:eastAsia="宋体" w:cs="Arial"/>
          <w:sz w:val="17"/>
          <w:szCs w:val="17"/>
          <w:lang w:eastAsia="zh-CN"/>
        </w:rPr>
      </w:pPr>
    </w:p>
    <w:p w14:paraId="7ACCECB9">
      <w:pPr>
        <w:snapToGrid w:val="0"/>
        <w:spacing w:before="10" w:line="300" w:lineRule="auto"/>
        <w:jc w:val="both"/>
        <w:rPr>
          <w:rFonts w:ascii="Arial" w:hAnsi="Arial" w:eastAsia="宋体" w:cs="Arial"/>
          <w:sz w:val="17"/>
          <w:szCs w:val="17"/>
          <w:lang w:eastAsia="zh-CN"/>
        </w:rPr>
      </w:pPr>
    </w:p>
    <w:p w14:paraId="52F23912">
      <w:pPr>
        <w:snapToGrid w:val="0"/>
        <w:spacing w:before="10" w:line="300" w:lineRule="auto"/>
        <w:jc w:val="both"/>
        <w:rPr>
          <w:rFonts w:ascii="Arial" w:hAnsi="Arial" w:eastAsia="宋体" w:cs="Arial"/>
          <w:sz w:val="17"/>
          <w:szCs w:val="17"/>
          <w:lang w:eastAsia="zh-CN"/>
        </w:rPr>
      </w:pPr>
    </w:p>
    <w:p w14:paraId="03E7F76D">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5715" r="1905" b="5715"/>
                <wp:docPr id="28" name="Group 26"/>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9" name="Group 27"/>
                        <wpg:cNvGrpSpPr/>
                        <wpg:grpSpPr>
                          <a:xfrm>
                            <a:off x="6" y="6"/>
                            <a:ext cx="2880" cy="2"/>
                            <a:chOff x="6" y="6"/>
                            <a:chExt cx="2880" cy="2"/>
                          </a:xfrm>
                        </wpg:grpSpPr>
                        <wps:wsp>
                          <wps:cNvPr id="30" name="Freeform 28"/>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6"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P6EhdQAAAADAQAADwAAAAAAAAABACAAAAAiAAAAZHJzL2Rvd25yZXYu&#10;eG1sUEsBAhQAFAAAAAgAh07iQAkPYgUcAwAA/gcAAA4AAAAAAAAAAQAgAAAAIwEAAGRycy9lMm9E&#10;b2MueG1sUEsFBgAAAAAGAAYAWQEAALEGAAAAAA==&#10;">
                <o:lock v:ext="edit" aspectratio="f"/>
                <v:group id="Group 27" o:spid="_x0000_s1026" o:spt="203" style="position:absolute;left:6;top:6;height:2;width:2880;" coordorigin="6,6" coordsize="2880,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28" o:spid="_x0000_s1026" o:spt="100" style="position:absolute;left:6;top:6;height:2;width:2880;" filled="f" stroked="t" coordsize="2880,1" o:gfxdata="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rDXb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EFA3CFE">
      <w:pPr>
        <w:pStyle w:val="6"/>
        <w:snapToGrid w:val="0"/>
        <w:spacing w:before="4" w:line="300" w:lineRule="auto"/>
        <w:ind w:left="0"/>
        <w:jc w:val="both"/>
        <w:rPr>
          <w:rFonts w:ascii="Arial" w:hAnsi="Arial" w:eastAsia="宋体" w:cs="Arial"/>
          <w:lang w:eastAsia="zh-CN"/>
        </w:rPr>
      </w:pPr>
      <w:bookmarkStart w:id="118" w:name="_bookmark59"/>
      <w:bookmarkEnd w:id="118"/>
      <w:r>
        <w:rPr>
          <w:rFonts w:ascii="Arial" w:hAnsi="Arial" w:eastAsia="宋体" w:cs="Arial"/>
          <w:position w:val="11"/>
          <w:sz w:val="16"/>
          <w:lang w:eastAsia="zh-CN"/>
        </w:rPr>
        <w:t>28</w:t>
      </w:r>
      <w:r>
        <w:rPr>
          <w:rFonts w:ascii="Arial" w:hAnsi="Arial" w:eastAsia="宋体" w:cs="Arial"/>
          <w:lang w:eastAsia="zh-CN"/>
        </w:rPr>
        <w:t>使用当前技术时，为了获得准确的流量测量值，需要足够的最小排尿体积（即125ml）。此外，我们建议贵公司将基线流量基于两个单独的测量值。</w:t>
      </w:r>
    </w:p>
    <w:p w14:paraId="684F730E">
      <w:pPr>
        <w:pStyle w:val="6"/>
        <w:snapToGrid w:val="0"/>
        <w:spacing w:before="4" w:line="300" w:lineRule="auto"/>
        <w:ind w:left="0"/>
        <w:jc w:val="both"/>
        <w:rPr>
          <w:rFonts w:ascii="Arial" w:hAnsi="Arial" w:eastAsia="宋体" w:cs="Arial"/>
          <w:lang w:eastAsia="zh-CN"/>
        </w:rPr>
      </w:pPr>
      <w:bookmarkStart w:id="119" w:name="_bookmark60"/>
      <w:bookmarkEnd w:id="119"/>
      <w:r>
        <w:rPr>
          <w:rFonts w:ascii="Arial" w:hAnsi="Arial" w:eastAsia="宋体" w:cs="Arial"/>
          <w:position w:val="11"/>
          <w:sz w:val="16"/>
          <w:lang w:eastAsia="zh-CN"/>
        </w:rPr>
        <w:t>29</w:t>
      </w:r>
      <w:r>
        <w:rPr>
          <w:rFonts w:ascii="Arial" w:hAnsi="Arial" w:eastAsia="宋体" w:cs="Arial"/>
          <w:lang w:eastAsia="zh-CN"/>
        </w:rPr>
        <w:t>由于该组中存在的问题较为混杂，尿潴留的受试者应被排除在外或被视为单独群体。</w:t>
      </w:r>
    </w:p>
    <w:p w14:paraId="2921C762">
      <w:pPr>
        <w:widowControl/>
        <w:rPr>
          <w:rFonts w:ascii="Arial" w:hAnsi="Arial" w:eastAsia="宋体" w:cs="Arial"/>
          <w:sz w:val="24"/>
          <w:szCs w:val="24"/>
          <w:lang w:eastAsia="zh-CN"/>
        </w:rPr>
      </w:pPr>
      <w:r>
        <w:rPr>
          <w:rFonts w:ascii="Arial" w:hAnsi="Arial" w:eastAsia="宋体" w:cs="Arial"/>
          <w:lang w:eastAsia="zh-CN"/>
        </w:rPr>
        <w:br w:type="page"/>
      </w:r>
    </w:p>
    <w:p w14:paraId="0E880656">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肾功能受损（即血肌酐水平&gt;1.8 mg / dl或上道疾病）；</w:t>
      </w:r>
    </w:p>
    <w:p w14:paraId="55BC3641">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确诊或疑似膀胱癌；</w:t>
      </w:r>
    </w:p>
    <w:p w14:paraId="2706FB60">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近期（3个月内）胆囊结石或血尿；</w:t>
      </w:r>
    </w:p>
    <w:p w14:paraId="23BE7953">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尿道狭窄、膀胱颈挛缩或其他潜在混杂的膀胱病理；</w:t>
      </w:r>
    </w:p>
    <w:p w14:paraId="7EB0F71C">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过去5年内的前列腺炎病史；或</w:t>
      </w:r>
    </w:p>
    <w:p w14:paraId="45695C1D">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活动性泌尿道感染。</w:t>
      </w:r>
    </w:p>
    <w:p w14:paraId="13F5AA51">
      <w:pPr>
        <w:snapToGrid w:val="0"/>
        <w:spacing w:before="5" w:line="300" w:lineRule="auto"/>
        <w:jc w:val="both"/>
        <w:rPr>
          <w:rFonts w:ascii="Arial" w:hAnsi="Arial" w:eastAsia="宋体" w:cs="Arial"/>
          <w:sz w:val="24"/>
          <w:szCs w:val="24"/>
        </w:rPr>
      </w:pPr>
    </w:p>
    <w:p w14:paraId="17CB1848">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前列腺癌</w:t>
      </w:r>
      <w:r>
        <w:rPr>
          <w:rFonts w:ascii="Arial" w:hAnsi="Arial" w:eastAsia="宋体" w:cs="Arial"/>
          <w:lang w:eastAsia="zh-CN"/>
        </w:rPr>
        <w:t>：我们建议贵公司的方案排除基于直肠指诊（DRE）、前列腺活检、经直肠超声（TRUS）或前列腺特异性抗原（PSA）水平确诊为或疑似患有恶性前列腺癌的男性。我们建议贵公司的研究者应测试所有受试者的PSA水平。当前的临床指南表明，如果PSA水平&gt;10ng / ml，则表示患有前列腺癌。我们建议，如果基于DRE表明受试者具有相应指征，或者受试者的PSA&gt;2.5 ng / ml和≤10 ng / ml以及其游离PSA &lt;总PSA的25％，贵公司的研究者应在招募之前进行前列腺活检。</w:t>
      </w:r>
      <w:r>
        <w:rPr>
          <w:rFonts w:ascii="Arial" w:hAnsi="Arial" w:eastAsia="宋体" w:cs="Arial"/>
          <w:vertAlign w:val="superscript"/>
          <w:lang w:eastAsia="zh-CN"/>
        </w:rPr>
        <w:t>30</w:t>
      </w:r>
    </w:p>
    <w:p w14:paraId="18FF3900">
      <w:pPr>
        <w:snapToGrid w:val="0"/>
        <w:spacing w:before="1" w:line="300" w:lineRule="auto"/>
        <w:jc w:val="both"/>
        <w:rPr>
          <w:rFonts w:ascii="Arial" w:hAnsi="Arial" w:eastAsia="宋体" w:cs="Arial"/>
          <w:sz w:val="24"/>
          <w:szCs w:val="24"/>
          <w:lang w:eastAsia="zh-CN"/>
        </w:rPr>
      </w:pPr>
    </w:p>
    <w:p w14:paraId="7D1FC097">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手术史</w:t>
      </w:r>
      <w:r>
        <w:rPr>
          <w:rFonts w:ascii="Arial" w:hAnsi="Arial" w:eastAsia="宋体" w:cs="Arial"/>
          <w:lang w:eastAsia="zh-CN"/>
        </w:rPr>
        <w:t>：我们建议贵公司的方案排除具有任何可能混淆研究结果或者根据器械设计可对患者造成额外风险的手术史的男性。示例包括：</w:t>
      </w:r>
    </w:p>
    <w:p w14:paraId="3057F84E">
      <w:pPr>
        <w:snapToGrid w:val="0"/>
        <w:spacing w:before="11" w:line="300" w:lineRule="auto"/>
        <w:jc w:val="both"/>
        <w:rPr>
          <w:rFonts w:ascii="Arial" w:hAnsi="Arial" w:eastAsia="宋体" w:cs="Arial"/>
          <w:sz w:val="23"/>
          <w:szCs w:val="23"/>
          <w:lang w:eastAsia="zh-CN"/>
        </w:rPr>
      </w:pPr>
    </w:p>
    <w:p w14:paraId="2518402C">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如果治疗可潜在地对先前直肠手术部位造成损伤，例如使用经直肠探针，则应包括先前直肠手术（除痔疮切除术以外）或直肠疾病史。</w:t>
      </w:r>
    </w:p>
    <w:p w14:paraId="75A78856">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先前盆腔放疗或根治性盆腔手术；</w:t>
      </w:r>
    </w:p>
    <w:p w14:paraId="5C6308BC">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前列腺手术、球囊扩张、支架植入、激光前列腺切除术、中暑或任何对前列腺进行的其他创伤性治疗；或</w:t>
      </w:r>
    </w:p>
    <w:p w14:paraId="445EA7F8">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基于器械设计，心脏起搏器或骨盆/股骨区域中的金属植入物（如果有必要）（除非这些植入物的电磁相容性以及安全性已得到前瞻性证明）。</w:t>
      </w:r>
    </w:p>
    <w:p w14:paraId="6AED6A2C">
      <w:pPr>
        <w:snapToGrid w:val="0"/>
        <w:spacing w:before="12" w:line="300" w:lineRule="auto"/>
        <w:jc w:val="both"/>
        <w:rPr>
          <w:rFonts w:ascii="Arial" w:hAnsi="Arial" w:eastAsia="宋体" w:cs="Arial"/>
          <w:sz w:val="23"/>
          <w:szCs w:val="23"/>
          <w:lang w:eastAsia="zh-CN"/>
        </w:rPr>
      </w:pPr>
    </w:p>
    <w:p w14:paraId="735EDEBE">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未来的生育率</w:t>
      </w:r>
      <w:r>
        <w:rPr>
          <w:rFonts w:ascii="Arial" w:hAnsi="Arial" w:eastAsia="宋体" w:cs="Arial"/>
          <w:lang w:eastAsia="zh-CN"/>
        </w:rPr>
        <w:t>：如果贵公司的器械可潜在影响生育能力，我们建议贵公司的方案排除有意在未来生育小孩的男性。</w:t>
      </w:r>
    </w:p>
    <w:p w14:paraId="16941BF9">
      <w:pPr>
        <w:snapToGrid w:val="0"/>
        <w:spacing w:line="300" w:lineRule="auto"/>
        <w:jc w:val="both"/>
        <w:rPr>
          <w:rFonts w:ascii="Arial" w:hAnsi="Arial" w:eastAsia="宋体" w:cs="Arial"/>
          <w:sz w:val="20"/>
          <w:szCs w:val="20"/>
          <w:lang w:eastAsia="zh-CN"/>
        </w:rPr>
      </w:pPr>
    </w:p>
    <w:p w14:paraId="6E909705">
      <w:pPr>
        <w:snapToGrid w:val="0"/>
        <w:spacing w:line="300" w:lineRule="auto"/>
        <w:jc w:val="both"/>
        <w:rPr>
          <w:rFonts w:ascii="Arial" w:hAnsi="Arial" w:eastAsia="宋体" w:cs="Arial"/>
          <w:sz w:val="20"/>
          <w:szCs w:val="20"/>
          <w:lang w:eastAsia="zh-CN"/>
        </w:rPr>
      </w:pPr>
    </w:p>
    <w:p w14:paraId="6A8FE054">
      <w:pPr>
        <w:snapToGrid w:val="0"/>
        <w:spacing w:before="9" w:line="300" w:lineRule="auto"/>
        <w:jc w:val="both"/>
        <w:rPr>
          <w:rFonts w:ascii="Arial" w:hAnsi="Arial" w:eastAsia="宋体" w:cs="Arial"/>
          <w:lang w:eastAsia="zh-CN"/>
        </w:rPr>
      </w:pPr>
    </w:p>
    <w:p w14:paraId="02E5AF0C">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350" r="1905" b="5080"/>
                <wp:docPr id="25" name="Group 23"/>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6" name="Group 24"/>
                        <wpg:cNvGrpSpPr/>
                        <wpg:grpSpPr>
                          <a:xfrm>
                            <a:off x="6" y="6"/>
                            <a:ext cx="2880" cy="2"/>
                            <a:chOff x="6" y="6"/>
                            <a:chExt cx="2880" cy="2"/>
                          </a:xfrm>
                        </wpg:grpSpPr>
                        <wps:wsp>
                          <wps:cNvPr id="27" name="Freeform 25"/>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3"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DjJHTAZAwAA/gcAAA4AAAAAAAAAAQAgAAAAIwEAAGRycy9lMm9Eb2Mu&#10;eG1sUEsFBgAAAAAGAAYAWQEAAK4GAAAAAA==&#10;">
                <o:lock v:ext="edit" aspectratio="f"/>
                <v:group id="Group 24" o:spid="_x0000_s1026" o:spt="203" style="position:absolute;left:6;top:6;height:2;width:2880;" coordorigin="6,6" coordsize="2880,2"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25" o:spid="_x0000_s1026" o:spt="100" style="position:absolute;left:6;top:6;height:2;width:2880;" filled="f" stroked="t" coordsize="2880,1" o:gfxdata="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s30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22F7EA19">
      <w:pPr>
        <w:pStyle w:val="6"/>
        <w:snapToGrid w:val="0"/>
        <w:spacing w:before="59" w:line="300" w:lineRule="auto"/>
        <w:ind w:left="0"/>
        <w:jc w:val="both"/>
        <w:rPr>
          <w:rFonts w:ascii="Arial" w:hAnsi="Arial" w:eastAsia="宋体" w:cs="Arial"/>
          <w:lang w:eastAsia="zh-CN"/>
        </w:rPr>
      </w:pPr>
      <w:bookmarkStart w:id="120" w:name="_bookmark61"/>
      <w:bookmarkEnd w:id="120"/>
      <w:r>
        <w:rPr>
          <w:rFonts w:ascii="Arial" w:hAnsi="Arial" w:eastAsia="宋体" w:cs="Arial"/>
          <w:position w:val="11"/>
          <w:sz w:val="16"/>
          <w:lang w:eastAsia="zh-CN"/>
        </w:rPr>
        <w:t>30</w:t>
      </w:r>
      <w:r>
        <w:rPr>
          <w:rFonts w:ascii="Arial" w:hAnsi="Arial" w:eastAsia="宋体" w:cs="Arial"/>
          <w:lang w:eastAsia="zh-CN"/>
        </w:rPr>
        <w:t>我们认识到，临床界正在讨论目前关于将PSA用于筛查前列腺癌的最佳临床实践以及PSA的最低正常值的见解（请参见Barry MJ，用于早期诊断前列腺癌的前列腺特异性抗原试验，新英格兰医学杂志，2001年，344：1373-1377。）。我们认为，重要的是从有关旨在治疗BPH的器械的临床研究中排除患有前列腺癌的受试者，因此，我们建议贵公司对所述PSA采用更为保守的限值。</w:t>
      </w:r>
    </w:p>
    <w:p w14:paraId="566340E9">
      <w:pPr>
        <w:snapToGrid w:val="0"/>
        <w:spacing w:line="300" w:lineRule="auto"/>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p>
    <w:p w14:paraId="6AAB5934">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合并药物治疗</w:t>
      </w:r>
      <w:r>
        <w:rPr>
          <w:rFonts w:ascii="Arial" w:hAnsi="Arial" w:eastAsia="宋体" w:cs="Arial"/>
          <w:lang w:eastAsia="zh-CN"/>
        </w:rPr>
        <w:t>：我们建议贵公司的方案排除服用可影响BPH症状的药物的男性，或者充分说明为何将其纳入研究当中（例如，医学需要、剂量稳定）。此类药物包括处方药和非处方药，以及膳食补充剂。如果在进行研究时，临床需要施用潜在混杂的药物，我们建议贵公司的方案规定，除医学需要外，在研究期间剂量不得更改。如果贵公司打算从贵公司的研究中排除特定药物，我们建议贵公司的方案指定必要的清洗期，其中，此时期过后，可以招募或治疗受试者。</w:t>
      </w:r>
    </w:p>
    <w:p w14:paraId="016F63D8">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lang w:eastAsia="zh-CN"/>
        </w:rPr>
        <w:t>例如，我们推荐排除使用以下药物的男性：</w:t>
      </w:r>
    </w:p>
    <w:p w14:paraId="05666E11">
      <w:pPr>
        <w:snapToGrid w:val="0"/>
        <w:spacing w:line="300" w:lineRule="auto"/>
        <w:jc w:val="both"/>
        <w:rPr>
          <w:rFonts w:ascii="Arial" w:hAnsi="Arial" w:eastAsia="宋体" w:cs="Arial"/>
          <w:sz w:val="24"/>
          <w:szCs w:val="24"/>
          <w:lang w:eastAsia="zh-CN"/>
        </w:rPr>
      </w:pPr>
    </w:p>
    <w:p w14:paraId="0236B1FD">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在治疗后1周内使用β-受体阻滞剂、抗组胺药，抗惊厥药和解痉药，除非有证据证明患者至少已服用相同药物剂量达6个月且排尿模式稳定（在招入研究或整个研究期间药物剂量不得更改或停止）；</w:t>
      </w:r>
    </w:p>
    <w:p w14:paraId="1E1B3E54">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在治疗后2个月内使用α受体阻滞剂、抗抑郁药、抗胆碱能药、雄激素和促性腺激素释放激素类似物；以及</w:t>
      </w:r>
    </w:p>
    <w:p w14:paraId="2E30CBDB">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在治疗后6个月内使用5-</w:t>
      </w:r>
      <w:r>
        <w:rPr>
          <w:rFonts w:ascii="Arial" w:hAnsi="Arial" w:eastAsia="宋体" w:cs="Arial"/>
          <w:sz w:val="24"/>
          <w:szCs w:val="24"/>
        </w:rPr>
        <w:t>α</w:t>
      </w:r>
      <w:r>
        <w:rPr>
          <w:rFonts w:ascii="Arial" w:hAnsi="Arial" w:eastAsia="宋体" w:cs="Arial"/>
          <w:sz w:val="24"/>
          <w:szCs w:val="24"/>
          <w:lang w:eastAsia="zh-CN"/>
        </w:rPr>
        <w:t>还原酶抑制剂。</w:t>
      </w:r>
    </w:p>
    <w:p w14:paraId="74DC04ED">
      <w:pPr>
        <w:snapToGrid w:val="0"/>
        <w:spacing w:before="12" w:line="300" w:lineRule="auto"/>
        <w:jc w:val="both"/>
        <w:rPr>
          <w:rFonts w:ascii="Arial" w:hAnsi="Arial" w:eastAsia="宋体" w:cs="Arial"/>
          <w:sz w:val="23"/>
          <w:szCs w:val="23"/>
          <w:lang w:eastAsia="zh-CN"/>
        </w:rPr>
      </w:pPr>
    </w:p>
    <w:p w14:paraId="6742C1D5">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121" w:name="_bookmark62"/>
      <w:bookmarkEnd w:id="121"/>
      <w:bookmarkStart w:id="122" w:name="J._Pre-Treatment_Evaluation_Schedule"/>
      <w:bookmarkEnd w:id="122"/>
      <w:bookmarkStart w:id="123" w:name="_Toc481595920"/>
      <w:r>
        <w:rPr>
          <w:rFonts w:ascii="Arial" w:hAnsi="Arial" w:eastAsia="宋体" w:cs="Arial"/>
          <w:lang w:eastAsia="zh-CN"/>
        </w:rPr>
        <w:t>治疗前</w:t>
      </w:r>
      <w:r>
        <w:rPr>
          <w:rFonts w:ascii="Arial" w:hAnsi="Arial" w:eastAsia="宋体" w:cs="Arial"/>
        </w:rPr>
        <w:t>评价计划</w:t>
      </w:r>
      <w:bookmarkEnd w:id="123"/>
    </w:p>
    <w:p w14:paraId="6C206BD4">
      <w:pPr>
        <w:snapToGrid w:val="0"/>
        <w:spacing w:before="1" w:line="300" w:lineRule="auto"/>
        <w:jc w:val="both"/>
        <w:rPr>
          <w:rFonts w:ascii="Arial" w:hAnsi="Arial" w:eastAsia="宋体" w:cs="Arial"/>
          <w:b/>
          <w:bCs/>
          <w:sz w:val="24"/>
          <w:szCs w:val="24"/>
        </w:rPr>
      </w:pPr>
    </w:p>
    <w:p w14:paraId="1B0F837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方案清楚地说明贵公司计划在治疗前评价中进行的所有基线试验、测量和检查。为了确保研究者和研究地点之间的一致性，我们建议贵公司的方案为所有试验和测量指定明确定义的、公认的措施。治疗前泌尿系统评价应排除任何可能模拟BPH的显著共存疾病，并记录研究方案中包含的所有入选和排除标准。</w:t>
      </w:r>
    </w:p>
    <w:p w14:paraId="32550C51">
      <w:pPr>
        <w:snapToGrid w:val="0"/>
        <w:spacing w:before="12" w:line="300" w:lineRule="auto"/>
        <w:jc w:val="both"/>
        <w:rPr>
          <w:rFonts w:ascii="Arial" w:hAnsi="Arial" w:eastAsia="宋体" w:cs="Arial"/>
          <w:sz w:val="23"/>
          <w:szCs w:val="23"/>
          <w:lang w:eastAsia="zh-CN"/>
        </w:rPr>
      </w:pPr>
    </w:p>
    <w:p w14:paraId="24D13CA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要做到这一点，我们建议治疗前评价应包括以下内容：</w:t>
      </w:r>
    </w:p>
    <w:p w14:paraId="1EABC8DC">
      <w:pPr>
        <w:snapToGrid w:val="0"/>
        <w:spacing w:before="11" w:line="300" w:lineRule="auto"/>
        <w:jc w:val="both"/>
        <w:rPr>
          <w:rFonts w:ascii="Arial" w:hAnsi="Arial" w:eastAsia="宋体" w:cs="Arial"/>
          <w:sz w:val="23"/>
          <w:szCs w:val="23"/>
          <w:lang w:eastAsia="zh-CN"/>
        </w:rPr>
      </w:pPr>
    </w:p>
    <w:p w14:paraId="4BF2BF29">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完整的病史和身体检查，包括对肛门周围感觉和肛门括约肌色调进行集中的泌尿生殖检查以及患者症状的总持续时间；</w:t>
      </w:r>
    </w:p>
    <w:p w14:paraId="3638054B">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患者问卷调查，包括AUA-SI（或IPSS）、生活质量评估以及性功能和功能障碍评估；</w:t>
      </w:r>
    </w:p>
    <w:p w14:paraId="17B43BFB">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尿流率测定，包括具有前瞻性定义的最小值排尿体积，确保分析有意义（例如&gt;125ml）、总排尿时间、峰值流量和平均流量以及排尿后残留体积（PVR）；</w:t>
      </w:r>
      <w:r>
        <w:fldChar w:fldCharType="begin"/>
      </w:r>
      <w:r>
        <w:instrText xml:space="preserve"> HYPERLINK \l "_bookmark63" </w:instrText>
      </w:r>
      <w:r>
        <w:fldChar w:fldCharType="separate"/>
      </w:r>
      <w:r>
        <w:rPr>
          <w:rFonts w:ascii="Arial" w:hAnsi="Arial" w:eastAsia="宋体" w:cs="Arial"/>
          <w:position w:val="11"/>
          <w:sz w:val="16"/>
          <w:lang w:eastAsia="zh-CN"/>
        </w:rPr>
        <w:t>31</w:t>
      </w:r>
      <w:r>
        <w:rPr>
          <w:rFonts w:ascii="Arial" w:hAnsi="Arial" w:eastAsia="宋体" w:cs="Arial"/>
          <w:position w:val="11"/>
          <w:sz w:val="16"/>
          <w:lang w:eastAsia="zh-CN"/>
        </w:rPr>
        <w:fldChar w:fldCharType="end"/>
      </w:r>
      <w:r>
        <w:rPr>
          <w:rFonts w:ascii="Arial" w:hAnsi="Arial" w:eastAsia="宋体" w:cs="Arial"/>
          <w:sz w:val="24"/>
          <w:szCs w:val="24"/>
          <w:lang w:eastAsia="zh-CN"/>
        </w:rPr>
        <w:t xml:space="preserve"> </w:t>
      </w:r>
    </w:p>
    <w:p w14:paraId="49AC6F33">
      <w:pPr>
        <w:snapToGrid w:val="0"/>
        <w:spacing w:line="300" w:lineRule="auto"/>
        <w:jc w:val="both"/>
        <w:rPr>
          <w:rFonts w:ascii="Arial" w:hAnsi="Arial" w:eastAsia="宋体" w:cs="Arial"/>
          <w:sz w:val="20"/>
          <w:szCs w:val="20"/>
          <w:lang w:eastAsia="zh-CN"/>
        </w:rPr>
      </w:pPr>
    </w:p>
    <w:p w14:paraId="63654D52">
      <w:pPr>
        <w:snapToGrid w:val="0"/>
        <w:spacing w:line="300" w:lineRule="auto"/>
        <w:jc w:val="both"/>
        <w:rPr>
          <w:rFonts w:ascii="Arial" w:hAnsi="Arial" w:eastAsia="宋体" w:cs="Arial"/>
          <w:sz w:val="20"/>
          <w:szCs w:val="20"/>
          <w:lang w:eastAsia="zh-CN"/>
        </w:rPr>
      </w:pPr>
    </w:p>
    <w:p w14:paraId="23BCDBC4">
      <w:pPr>
        <w:snapToGrid w:val="0"/>
        <w:spacing w:before="8" w:line="300" w:lineRule="auto"/>
        <w:jc w:val="both"/>
        <w:rPr>
          <w:rFonts w:ascii="Arial" w:hAnsi="Arial" w:eastAsia="宋体" w:cs="Arial"/>
          <w:sz w:val="13"/>
          <w:szCs w:val="13"/>
          <w:lang w:eastAsia="zh-CN"/>
        </w:rPr>
      </w:pPr>
    </w:p>
    <w:p w14:paraId="065C808D">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985" r="1905" b="4445"/>
                <wp:docPr id="22" name="Group 20"/>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3" name="Group 21"/>
                        <wpg:cNvGrpSpPr/>
                        <wpg:grpSpPr>
                          <a:xfrm>
                            <a:off x="6" y="6"/>
                            <a:ext cx="2880" cy="2"/>
                            <a:chOff x="6" y="6"/>
                            <a:chExt cx="2880" cy="2"/>
                          </a:xfrm>
                        </wpg:grpSpPr>
                        <wps:wsp>
                          <wps:cNvPr id="24" name="Freeform 22"/>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0"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1BPjXhsDAAD+BwAADgAAAAAAAAABACAAAAAjAQAAZHJzL2Uyb0Rv&#10;Yy54bWxQSwUGAAAAAAYABgBZAQAAsAYAAAAA&#10;">
                <o:lock v:ext="edit" aspectratio="f"/>
                <v:group id="Group 21" o:spid="_x0000_s1026" o:spt="203" style="position:absolute;left:6;top:6;height:2;width:2880;" coordorigin="6,6" coordsize="2880,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Freeform 22" o:spid="_x0000_s1026" o:spt="100" style="position:absolute;left:6;top:6;height:2;width:2880;" filled="f" stroked="t" coordsize="2880,1" o:gfxdata="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oU4O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55C8D3B">
      <w:pPr>
        <w:pStyle w:val="6"/>
        <w:snapToGrid w:val="0"/>
        <w:spacing w:before="59" w:line="300" w:lineRule="auto"/>
        <w:ind w:left="0"/>
        <w:jc w:val="both"/>
        <w:rPr>
          <w:rFonts w:ascii="Arial" w:hAnsi="Arial" w:eastAsia="宋体" w:cs="Arial"/>
          <w:lang w:eastAsia="zh-CN"/>
        </w:rPr>
      </w:pPr>
      <w:bookmarkStart w:id="124" w:name="_bookmark63"/>
      <w:bookmarkEnd w:id="124"/>
      <w:r>
        <w:rPr>
          <w:rFonts w:ascii="Arial" w:hAnsi="Arial" w:eastAsia="宋体" w:cs="Arial"/>
          <w:position w:val="11"/>
          <w:sz w:val="16"/>
          <w:lang w:eastAsia="zh-CN"/>
        </w:rPr>
        <w:t xml:space="preserve">31 </w:t>
      </w:r>
      <w:r>
        <w:rPr>
          <w:rFonts w:ascii="Arial" w:hAnsi="Arial" w:eastAsia="宋体" w:cs="Arial"/>
          <w:lang w:eastAsia="zh-CN"/>
        </w:rPr>
        <w:t>PVR可以通过超声或插入导管来进行测量，但应在治疗前和治疗后以及各研究地点间使用一致的方法。</w:t>
      </w:r>
    </w:p>
    <w:p w14:paraId="7E1E9624">
      <w:pPr>
        <w:widowControl/>
        <w:rPr>
          <w:rFonts w:ascii="Arial" w:hAnsi="Arial" w:eastAsia="宋体" w:cs="Arial"/>
          <w:lang w:eastAsia="zh-CN"/>
        </w:rPr>
      </w:pPr>
      <w:r>
        <w:rPr>
          <w:rFonts w:ascii="Arial" w:hAnsi="Arial" w:eastAsia="宋体" w:cs="Arial"/>
          <w:lang w:eastAsia="zh-CN"/>
        </w:rPr>
        <w:br w:type="page"/>
      </w:r>
    </w:p>
    <w:p w14:paraId="0653A07F">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对所有患者进行膀胱测压（液体或气体），同时评估膀胱内和腹内压力以测定逼尿肌压力；</w:t>
      </w:r>
      <w:r>
        <w:fldChar w:fldCharType="begin"/>
      </w:r>
      <w:r>
        <w:instrText xml:space="preserve"> HYPERLINK \l "_bookmark65" </w:instrText>
      </w:r>
      <w:r>
        <w:fldChar w:fldCharType="separate"/>
      </w:r>
      <w:r>
        <w:rPr>
          <w:rFonts w:ascii="Arial" w:hAnsi="Arial" w:eastAsia="宋体" w:cs="Arial"/>
          <w:sz w:val="24"/>
          <w:szCs w:val="24"/>
          <w:lang w:eastAsia="zh-CN"/>
        </w:rPr>
        <w:t>32</w:t>
      </w:r>
      <w:r>
        <w:rPr>
          <w:rFonts w:ascii="Arial" w:hAnsi="Arial" w:eastAsia="宋体" w:cs="Arial"/>
          <w:sz w:val="24"/>
          <w:szCs w:val="24"/>
          <w:lang w:eastAsia="zh-CN"/>
        </w:rPr>
        <w:fldChar w:fldCharType="end"/>
      </w:r>
    </w:p>
    <w:p w14:paraId="7D932940">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血液和尿液化学，包括尿液分析、尿培养、完全血细胞计数（CBC）、PSA、血液尿素氮（BUN）、肌酐和电解质；</w:t>
      </w:r>
    </w:p>
    <w:p w14:paraId="6C7BD7BC">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使用DRE和TRUS测量前列腺长度和重量；</w:t>
      </w:r>
    </w:p>
    <w:p w14:paraId="1B3F7480">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如果具有临床指征，35进行前列腺活检，其中，至少具有12个核心</w:t>
      </w:r>
      <w:r>
        <w:rPr>
          <w:rFonts w:hint="eastAsia" w:ascii="Batang" w:hAnsi="Batang" w:eastAsia="Batang" w:cs="Batang"/>
          <w:sz w:val="24"/>
          <w:szCs w:val="24"/>
          <w:lang w:eastAsia="zh-CN"/>
        </w:rPr>
        <w:t>切</w:t>
      </w:r>
      <w:r>
        <w:rPr>
          <w:rFonts w:hint="eastAsia" w:ascii="Arial" w:hAnsi="Arial" w:eastAsia="宋体" w:cs="Arial"/>
          <w:sz w:val="24"/>
          <w:szCs w:val="24"/>
          <w:lang w:eastAsia="zh-CN"/>
        </w:rPr>
        <w:t>片术</w:t>
      </w:r>
      <w:r>
        <w:rPr>
          <w:rFonts w:ascii="Arial" w:hAnsi="Arial" w:eastAsia="宋体" w:cs="Arial"/>
          <w:sz w:val="24"/>
          <w:szCs w:val="24"/>
          <w:lang w:eastAsia="zh-CN"/>
        </w:rPr>
        <w:t>33、34；</w:t>
      </w:r>
    </w:p>
    <w:p w14:paraId="736CB89D">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膀胱镜检查以证明膀胱颈阻塞、尿道狭窄或膀胱病理是否存在、前列腺尿道的状况和腺体的解剖形态（例如，大小、肺叶分布和解剖形态、从精睾到膀胱颈的长度）；以及</w:t>
      </w:r>
    </w:p>
    <w:p w14:paraId="4169C1BB">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如果治疗可能会导致直肠损伤，进行直肠镜检查。</w:t>
      </w:r>
    </w:p>
    <w:p w14:paraId="041A3C5A">
      <w:pPr>
        <w:snapToGrid w:val="0"/>
        <w:spacing w:line="276" w:lineRule="auto"/>
        <w:jc w:val="both"/>
        <w:rPr>
          <w:rFonts w:ascii="Arial" w:hAnsi="Arial" w:eastAsia="宋体" w:cs="Arial"/>
          <w:sz w:val="23"/>
          <w:szCs w:val="23"/>
          <w:lang w:eastAsia="zh-CN"/>
        </w:rPr>
      </w:pPr>
    </w:p>
    <w:p w14:paraId="391D6B9D">
      <w:pPr>
        <w:pStyle w:val="3"/>
        <w:numPr>
          <w:ilvl w:val="1"/>
          <w:numId w:val="1"/>
        </w:numPr>
        <w:tabs>
          <w:tab w:val="left" w:pos="1201"/>
        </w:tabs>
        <w:snapToGrid w:val="0"/>
        <w:spacing w:line="276" w:lineRule="auto"/>
        <w:ind w:left="720"/>
        <w:jc w:val="both"/>
        <w:rPr>
          <w:rFonts w:ascii="Arial" w:hAnsi="Arial" w:eastAsia="宋体" w:cs="Arial"/>
          <w:b w:val="0"/>
          <w:bCs w:val="0"/>
        </w:rPr>
      </w:pPr>
      <w:bookmarkStart w:id="125" w:name="_bookmark64"/>
      <w:bookmarkEnd w:id="125"/>
      <w:bookmarkStart w:id="126" w:name="K._Investigator_Selection_and_Training"/>
      <w:bookmarkEnd w:id="126"/>
      <w:bookmarkStart w:id="127" w:name="_Toc481595921"/>
      <w:r>
        <w:rPr>
          <w:rFonts w:ascii="Arial" w:hAnsi="Arial" w:eastAsia="宋体" w:cs="Arial"/>
        </w:rPr>
        <w:t>研究者</w:t>
      </w:r>
      <w:r>
        <w:rPr>
          <w:rFonts w:ascii="Arial" w:hAnsi="Arial" w:eastAsia="宋体" w:cs="Arial"/>
          <w:lang w:eastAsia="zh-CN"/>
        </w:rPr>
        <w:t>选择</w:t>
      </w:r>
      <w:r>
        <w:rPr>
          <w:rFonts w:ascii="Arial" w:hAnsi="Arial" w:eastAsia="宋体" w:cs="Arial"/>
        </w:rPr>
        <w:t>和培训</w:t>
      </w:r>
      <w:bookmarkEnd w:id="127"/>
    </w:p>
    <w:p w14:paraId="2EAC49EE">
      <w:pPr>
        <w:snapToGrid w:val="0"/>
        <w:spacing w:line="276" w:lineRule="auto"/>
        <w:jc w:val="both"/>
        <w:rPr>
          <w:rFonts w:ascii="Arial" w:hAnsi="Arial" w:eastAsia="宋体" w:cs="Arial"/>
          <w:b/>
          <w:bCs/>
          <w:sz w:val="24"/>
          <w:szCs w:val="24"/>
        </w:rPr>
      </w:pPr>
    </w:p>
    <w:p w14:paraId="06DF4041">
      <w:pPr>
        <w:pStyle w:val="6"/>
        <w:snapToGrid w:val="0"/>
        <w:spacing w:line="276" w:lineRule="auto"/>
        <w:ind w:left="0"/>
        <w:jc w:val="both"/>
        <w:rPr>
          <w:rFonts w:ascii="Arial" w:hAnsi="Arial" w:eastAsia="宋体" w:cs="Arial"/>
          <w:lang w:eastAsia="zh-CN"/>
        </w:rPr>
      </w:pPr>
      <w:r>
        <w:rPr>
          <w:rFonts w:ascii="Arial" w:hAnsi="Arial" w:eastAsia="宋体" w:cs="Arial"/>
          <w:lang w:eastAsia="zh-CN"/>
        </w:rPr>
        <w:t>我们建议贵公司选择能够招募足够数量的合格受试者的研究地点和研究者，其中，此类受试者应可代表贵公司特定器械的目标人群。具有较大比例的方案偏差的地点可能使结果的合并和统计分析变得复杂，并最终可能使研究结论无效。</w:t>
      </w:r>
    </w:p>
    <w:p w14:paraId="21468755">
      <w:pPr>
        <w:snapToGrid w:val="0"/>
        <w:spacing w:line="276" w:lineRule="auto"/>
        <w:jc w:val="both"/>
        <w:rPr>
          <w:rFonts w:ascii="Arial" w:hAnsi="Arial" w:eastAsia="宋体" w:cs="Arial"/>
          <w:sz w:val="24"/>
          <w:szCs w:val="24"/>
          <w:lang w:eastAsia="zh-CN"/>
        </w:rPr>
      </w:pPr>
    </w:p>
    <w:p w14:paraId="6746B531">
      <w:pPr>
        <w:pStyle w:val="6"/>
        <w:snapToGrid w:val="0"/>
        <w:spacing w:line="276" w:lineRule="auto"/>
        <w:ind w:left="0"/>
        <w:jc w:val="both"/>
        <w:rPr>
          <w:rFonts w:ascii="Arial" w:hAnsi="Arial" w:eastAsia="宋体" w:cs="Arial"/>
          <w:lang w:eastAsia="zh-CN"/>
        </w:rPr>
      </w:pPr>
      <w:r>
        <w:rPr>
          <w:rFonts w:ascii="Arial" w:hAnsi="Arial" w:eastAsia="宋体" w:cs="Arial"/>
          <w:lang w:eastAsia="zh-CN"/>
        </w:rPr>
        <w:t>为了确保器械的使用安全、适当且一致，预期研究者通常可受益于培训，特别是如果研究器械具有新型临床设计或应用，或者需要与用于比较器械的程序和设置不同的程序和设置。因此，我们建议该方案应说明将用于就在研究期间使用临床研究器械对研究者进行教育的培训计划。我们建议培训应提供涵盖器械功能和操作原理的教学指导，并提供由经验丰富的医生进行的监督。如果计划包括监督培训，我们建议贵公司前瞻性地确定每个研究地点的受监督受试者的数量，并说明将如何将这些受试者纳入分析中。此外，培训可能有助于突出临床研究的重要或独特方面，例如筛选、获得知情同意、随机化程序、研究盲法、随访计划表、数据收集方法和不良事件报告。</w:t>
      </w:r>
    </w:p>
    <w:p w14:paraId="3682F565">
      <w:pPr>
        <w:pStyle w:val="6"/>
        <w:snapToGrid w:val="0"/>
        <w:spacing w:line="276" w:lineRule="auto"/>
        <w:ind w:left="0"/>
        <w:jc w:val="both"/>
        <w:rPr>
          <w:rFonts w:ascii="Arial" w:hAnsi="Arial" w:eastAsia="宋体" w:cs="Arial"/>
          <w:lang w:eastAsia="zh-CN"/>
        </w:rPr>
      </w:pPr>
    </w:p>
    <w:p w14:paraId="0D5D30E6">
      <w:pPr>
        <w:snapToGrid w:val="0"/>
        <w:spacing w:line="276" w:lineRule="auto"/>
        <w:jc w:val="both"/>
        <w:rPr>
          <w:rFonts w:ascii="Arial" w:hAnsi="Arial" w:eastAsia="宋体" w:cs="Arial"/>
          <w:sz w:val="17"/>
          <w:szCs w:val="17"/>
          <w:lang w:eastAsia="zh-CN"/>
        </w:rPr>
      </w:pPr>
    </w:p>
    <w:p w14:paraId="77EE0C78">
      <w:pPr>
        <w:snapToGrid w:val="0"/>
        <w:spacing w:line="276"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1905" r="1905" b="9525"/>
                <wp:docPr id="19" name="Group 17"/>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0" name="Group 18"/>
                        <wpg:cNvGrpSpPr/>
                        <wpg:grpSpPr>
                          <a:xfrm>
                            <a:off x="6" y="6"/>
                            <a:ext cx="2880" cy="2"/>
                            <a:chOff x="6" y="6"/>
                            <a:chExt cx="2880" cy="2"/>
                          </a:xfrm>
                        </wpg:grpSpPr>
                        <wps:wsp>
                          <wps:cNvPr id="21" name="Freeform 19"/>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7"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cXS3FRsDAAD+BwAADgAAAAAAAAABACAAAAAjAQAAZHJzL2Uyb0Rv&#10;Yy54bWxQSwUGAAAAAAYABgBZAQAAsAYAAAAA&#10;">
                <o:lock v:ext="edit" aspectratio="f"/>
                <v:group id="Group 18" o:spid="_x0000_s1026" o:spt="203" style="position:absolute;left:6;top:6;height:2;width:2880;" coordorigin="6,6" coordsize="2880,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9" o:spid="_x0000_s1026" o:spt="100" style="position:absolute;left:6;top:6;height:2;width:2880;" filled="f" stroked="t" coordsize="2880,1" o:gfxdata="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G7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9FF854A">
      <w:pPr>
        <w:pStyle w:val="6"/>
        <w:snapToGrid w:val="0"/>
        <w:spacing w:line="276" w:lineRule="auto"/>
        <w:ind w:left="0"/>
        <w:jc w:val="both"/>
        <w:rPr>
          <w:rFonts w:ascii="Arial" w:hAnsi="Arial" w:eastAsia="宋体" w:cs="Arial"/>
          <w:lang w:eastAsia="zh-CN"/>
        </w:rPr>
      </w:pPr>
      <w:bookmarkStart w:id="128" w:name="_bookmark65"/>
      <w:bookmarkEnd w:id="128"/>
      <w:r>
        <w:rPr>
          <w:rFonts w:ascii="Arial" w:hAnsi="Arial" w:eastAsia="宋体" w:cs="Arial"/>
          <w:position w:val="11"/>
          <w:sz w:val="16"/>
          <w:lang w:eastAsia="zh-CN"/>
        </w:rPr>
        <w:t xml:space="preserve">32 </w:t>
      </w:r>
      <w:bookmarkStart w:id="129" w:name="_bookmark66"/>
      <w:bookmarkEnd w:id="129"/>
      <w:r>
        <w:rPr>
          <w:rFonts w:ascii="Arial" w:hAnsi="Arial" w:eastAsia="宋体" w:cs="Arial"/>
          <w:lang w:eastAsia="zh-CN"/>
        </w:rPr>
        <w:t>除了BPH外，LUTS可能源自几种病理生理条件。压力流尿流动力学有助于确定器械的操作机制，特别是新型疗法。我们建议贵公司应在尽可能多的受试者中进行逼尿肌压力流研究，最好大于总受试者的30％。此外，为了最小化偏差，我们建议该亚组由治疗和控制受试者组成，并且贵公司可以前瞻性地定义为亚组选择受试者的方法。</w:t>
      </w:r>
    </w:p>
    <w:p w14:paraId="5DE07F12">
      <w:pPr>
        <w:pStyle w:val="6"/>
        <w:snapToGrid w:val="0"/>
        <w:spacing w:line="276" w:lineRule="auto"/>
        <w:ind w:left="0"/>
        <w:jc w:val="both"/>
        <w:rPr>
          <w:rFonts w:ascii="Arial" w:hAnsi="Arial" w:eastAsia="宋体" w:cs="Arial"/>
        </w:rPr>
      </w:pPr>
      <w:r>
        <w:rPr>
          <w:rFonts w:ascii="Arial" w:hAnsi="Arial" w:eastAsia="宋体" w:cs="Arial"/>
          <w:position w:val="11"/>
          <w:sz w:val="16"/>
        </w:rPr>
        <w:t>33</w:t>
      </w:r>
      <w:r>
        <w:rPr>
          <w:rFonts w:ascii="Arial" w:hAnsi="Arial" w:eastAsia="宋体" w:cs="Arial"/>
        </w:rPr>
        <w:t xml:space="preserve"> Escew LA、Bare RL、McCollough DL，</w:t>
      </w:r>
      <w:r>
        <w:rPr>
          <w:rFonts w:ascii="Arial" w:hAnsi="Arial" w:eastAsia="宋体" w:cs="Arial"/>
          <w:lang w:eastAsia="zh-CN"/>
        </w:rPr>
        <w:t>对于</w:t>
      </w:r>
      <w:r>
        <w:rPr>
          <w:rFonts w:ascii="Arial" w:hAnsi="Arial" w:eastAsia="宋体" w:cs="Arial"/>
        </w:rPr>
        <w:t>诊断前列腺癌</w:t>
      </w:r>
      <w:r>
        <w:rPr>
          <w:rFonts w:ascii="Arial" w:hAnsi="Arial" w:eastAsia="宋体" w:cs="Arial"/>
          <w:lang w:eastAsia="zh-CN"/>
        </w:rPr>
        <w:t>，</w:t>
      </w:r>
      <w:r>
        <w:rPr>
          <w:rFonts w:ascii="Arial" w:hAnsi="Arial" w:eastAsia="宋体" w:cs="Arial"/>
        </w:rPr>
        <w:t>系统性</w:t>
      </w:r>
      <w:r>
        <w:rPr>
          <w:rFonts w:ascii="Arial" w:hAnsi="Arial" w:eastAsia="宋体" w:cs="Arial"/>
          <w:lang w:eastAsia="zh-CN"/>
        </w:rPr>
        <w:t>区域</w:t>
      </w:r>
      <w:r>
        <w:rPr>
          <w:rFonts w:ascii="Arial" w:hAnsi="Arial" w:eastAsia="宋体" w:cs="Arial"/>
        </w:rPr>
        <w:t>前列腺活检优于六分仪方法。</w:t>
      </w:r>
      <w:r>
        <w:rPr>
          <w:rFonts w:ascii="Arial" w:hAnsi="Arial" w:eastAsia="宋体" w:cs="Arial"/>
          <w:lang w:eastAsia="zh-CN"/>
        </w:rPr>
        <w:t>泌尿学杂志</w:t>
      </w:r>
      <w:r>
        <w:rPr>
          <w:rFonts w:ascii="Arial" w:hAnsi="Arial" w:eastAsia="宋体" w:cs="Arial"/>
        </w:rPr>
        <w:t>，1997</w:t>
      </w:r>
      <w:r>
        <w:rPr>
          <w:rFonts w:ascii="Arial" w:hAnsi="Arial" w:eastAsia="宋体" w:cs="Arial"/>
          <w:lang w:eastAsia="zh-CN"/>
        </w:rPr>
        <w:t>年</w:t>
      </w:r>
      <w:r>
        <w:rPr>
          <w:rFonts w:ascii="Arial" w:hAnsi="Arial" w:eastAsia="宋体" w:cs="Arial"/>
        </w:rPr>
        <w:t>，157：199-203。</w:t>
      </w:r>
    </w:p>
    <w:p w14:paraId="097677CD">
      <w:pPr>
        <w:pStyle w:val="6"/>
        <w:snapToGrid w:val="0"/>
        <w:spacing w:line="276" w:lineRule="auto"/>
        <w:ind w:left="0"/>
        <w:jc w:val="both"/>
        <w:rPr>
          <w:rFonts w:ascii="Arial" w:hAnsi="Arial" w:eastAsia="宋体" w:cs="Arial"/>
          <w:lang w:eastAsia="zh-CN"/>
        </w:rPr>
      </w:pPr>
      <w:bookmarkStart w:id="130" w:name="_bookmark67"/>
      <w:bookmarkEnd w:id="130"/>
      <w:r>
        <w:rPr>
          <w:rFonts w:ascii="Arial" w:hAnsi="Arial" w:eastAsia="宋体" w:cs="Arial"/>
          <w:position w:val="11"/>
          <w:sz w:val="16"/>
        </w:rPr>
        <w:t xml:space="preserve">34 </w:t>
      </w:r>
      <w:r>
        <w:rPr>
          <w:rFonts w:ascii="Arial" w:hAnsi="Arial" w:eastAsia="宋体" w:cs="Arial"/>
        </w:rPr>
        <w:t>Levine MA、Ittman M、Melamed J</w:t>
      </w:r>
      <w:r>
        <w:rPr>
          <w:rFonts w:ascii="Arial" w:hAnsi="Arial" w:eastAsia="宋体" w:cs="Arial"/>
          <w:lang w:eastAsia="zh-CN"/>
        </w:rPr>
        <w:t>等人</w:t>
      </w:r>
      <w:r>
        <w:rPr>
          <w:rFonts w:ascii="Arial" w:hAnsi="Arial" w:eastAsia="宋体" w:cs="Arial"/>
        </w:rPr>
        <w:t>。</w:t>
      </w:r>
      <w:r>
        <w:rPr>
          <w:rFonts w:ascii="Arial" w:hAnsi="Arial" w:eastAsia="宋体" w:cs="Arial"/>
          <w:lang w:eastAsia="zh-CN"/>
        </w:rPr>
        <w:t>对前列腺进行连续两套经直肠超声引导的的六分仪活检以检测是否有前列腺癌。泌尿学杂志，1998年，159：471-476。</w:t>
      </w:r>
    </w:p>
    <w:p w14:paraId="165EFC46">
      <w:pPr>
        <w:pStyle w:val="6"/>
        <w:snapToGrid w:val="0"/>
        <w:spacing w:line="276" w:lineRule="auto"/>
        <w:ind w:left="0"/>
        <w:jc w:val="both"/>
        <w:rPr>
          <w:rFonts w:ascii="Arial" w:hAnsi="Arial" w:eastAsia="宋体" w:cs="Arial"/>
        </w:rPr>
      </w:pPr>
      <w:bookmarkStart w:id="131" w:name="_bookmark68"/>
      <w:bookmarkEnd w:id="131"/>
      <w:r>
        <w:rPr>
          <w:rFonts w:ascii="Arial" w:hAnsi="Arial" w:eastAsia="宋体" w:cs="Arial"/>
          <w:position w:val="11"/>
          <w:sz w:val="16"/>
          <w:szCs w:val="16"/>
          <w:lang w:eastAsia="zh-CN"/>
        </w:rPr>
        <w:t>35</w:t>
      </w:r>
      <w:r>
        <w:rPr>
          <w:rFonts w:ascii="Arial" w:hAnsi="Arial" w:eastAsia="宋体" w:cs="Arial"/>
          <w:lang w:eastAsia="zh-CN"/>
        </w:rPr>
        <w:t>我们建议进行前列腺活检，如果具有DRE表明有相应指征或者如果受试者的PSA&gt;2.5 ng / ml和≤10 ng / ml以及其游离PSA &lt;总PSA的25％（请参见Barry MJ，用于早期诊断前列腺癌的前列腺特异性抗原试验，新英格兰医学杂志，2001年，344：1373-1377。</w:t>
      </w:r>
      <w:r>
        <w:rPr>
          <w:rFonts w:ascii="Arial" w:hAnsi="Arial" w:eastAsia="宋体" w:cs="Arial"/>
        </w:rPr>
        <w:t>）。</w:t>
      </w:r>
    </w:p>
    <w:p w14:paraId="76649CA9">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1F0D2F5C">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132" w:name="_bookmark69"/>
      <w:bookmarkEnd w:id="132"/>
      <w:bookmarkStart w:id="133" w:name="L._Treatment_Information"/>
      <w:bookmarkEnd w:id="133"/>
      <w:bookmarkStart w:id="134" w:name="_Toc481595922"/>
      <w:r>
        <w:rPr>
          <w:rFonts w:ascii="Arial" w:hAnsi="Arial" w:eastAsia="宋体" w:cs="Arial"/>
        </w:rPr>
        <w:t>治疗信息</w:t>
      </w:r>
      <w:bookmarkEnd w:id="134"/>
    </w:p>
    <w:p w14:paraId="1DAA7776">
      <w:pPr>
        <w:snapToGrid w:val="0"/>
        <w:spacing w:before="1" w:line="300" w:lineRule="auto"/>
        <w:jc w:val="both"/>
        <w:rPr>
          <w:rFonts w:ascii="Arial" w:hAnsi="Arial" w:eastAsia="宋体" w:cs="Arial"/>
          <w:b/>
          <w:bCs/>
          <w:sz w:val="24"/>
          <w:szCs w:val="24"/>
        </w:rPr>
      </w:pPr>
    </w:p>
    <w:p w14:paraId="7C79E18E">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为了提高研究者间和研究地点间的一致性，研究方案应说明研究和控制治疗。此信息应包括以下内容：</w:t>
      </w:r>
    </w:p>
    <w:p w14:paraId="1A224F09">
      <w:pPr>
        <w:snapToGrid w:val="0"/>
        <w:spacing w:line="300" w:lineRule="auto"/>
        <w:jc w:val="both"/>
        <w:rPr>
          <w:rFonts w:ascii="Arial" w:hAnsi="Arial" w:eastAsia="宋体" w:cs="Arial"/>
          <w:sz w:val="24"/>
          <w:szCs w:val="24"/>
          <w:lang w:eastAsia="zh-CN"/>
        </w:rPr>
      </w:pPr>
    </w:p>
    <w:p w14:paraId="450C2A6E">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rPr>
        <w:t>患者</w:t>
      </w:r>
      <w:r>
        <w:rPr>
          <w:rFonts w:ascii="Arial" w:hAnsi="Arial" w:eastAsia="宋体" w:cs="Arial"/>
          <w:sz w:val="24"/>
          <w:szCs w:val="24"/>
          <w:lang w:eastAsia="zh-CN"/>
        </w:rPr>
        <w:t>准备；</w:t>
      </w:r>
    </w:p>
    <w:p w14:paraId="6997C220">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麻醉要求；</w:t>
      </w:r>
    </w:p>
    <w:p w14:paraId="52F74B8A">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器械的使用说明（例如，尺寸、施用路径、技术、放置、设置/治疗参数）；</w:t>
      </w:r>
    </w:p>
    <w:p w14:paraId="3AD69DC3">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推荐的仪器和成像；</w:t>
      </w:r>
    </w:p>
    <w:p w14:paraId="7090C848">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手术技术；以及</w:t>
      </w:r>
    </w:p>
    <w:p w14:paraId="422643DD">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术后护理。</w:t>
      </w:r>
    </w:p>
    <w:p w14:paraId="16D08445">
      <w:pPr>
        <w:snapToGrid w:val="0"/>
        <w:spacing w:before="1" w:line="300" w:lineRule="auto"/>
        <w:jc w:val="both"/>
        <w:rPr>
          <w:rFonts w:ascii="Arial" w:hAnsi="Arial" w:eastAsia="宋体" w:cs="Arial"/>
          <w:sz w:val="24"/>
          <w:szCs w:val="24"/>
        </w:rPr>
      </w:pPr>
    </w:p>
    <w:p w14:paraId="0870CA92">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此外，如果研究或控制治疗涉及多次或分阶段治疗，或者如果该方案允许在研究期间选择再次进行治疗，我们建议贵公司的方案应详细说明治疗的这些方面。如果需进行再次治疗，我们建议贵公司的方案应规定再治疗的标准、治疗之间的最短和最长时间间隔、最大治疗次数以及执行再治疗的任何特殊治疗指示。</w:t>
      </w:r>
    </w:p>
    <w:p w14:paraId="5D4BB75E">
      <w:pPr>
        <w:snapToGrid w:val="0"/>
        <w:spacing w:line="300" w:lineRule="auto"/>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p>
    <w:p w14:paraId="7F761B31">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135" w:name="_bookmark70"/>
      <w:bookmarkEnd w:id="135"/>
      <w:bookmarkStart w:id="136" w:name="M._Post-Treatment_Evaluations"/>
      <w:bookmarkEnd w:id="136"/>
      <w:bookmarkStart w:id="137" w:name="_Toc481595923"/>
      <w:r>
        <w:rPr>
          <w:rFonts w:ascii="Arial" w:hAnsi="Arial" w:eastAsia="宋体" w:cs="Arial"/>
          <w:lang w:eastAsia="zh-CN"/>
        </w:rPr>
        <w:t>治疗</w:t>
      </w:r>
      <w:r>
        <w:rPr>
          <w:rFonts w:ascii="Arial" w:hAnsi="Arial" w:eastAsia="宋体" w:cs="Arial"/>
        </w:rPr>
        <w:t>后评价</w:t>
      </w:r>
      <w:bookmarkEnd w:id="137"/>
    </w:p>
    <w:p w14:paraId="718F2038">
      <w:pPr>
        <w:snapToGrid w:val="0"/>
        <w:spacing w:before="1" w:line="300" w:lineRule="auto"/>
        <w:jc w:val="both"/>
        <w:rPr>
          <w:rFonts w:ascii="Arial" w:hAnsi="Arial" w:eastAsia="宋体" w:cs="Arial"/>
          <w:b/>
          <w:bCs/>
          <w:sz w:val="24"/>
          <w:szCs w:val="24"/>
        </w:rPr>
      </w:pPr>
    </w:p>
    <w:p w14:paraId="6E7CB78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治疗后评价计划表应包括整个研究期间的多次随访，例如治疗后1、3、6和12个月。对于热疗器械，我们建议在治疗后不久进行随访（例如，在移除治疗后导管后8-10天），其中，随访标准应与护理标准一致。对于可能或预期进行上市后研究的器械，我们建议治疗后评价计划表应包括定期随访，例如每年对所有受试者进行直至获得上市批准。</w:t>
      </w:r>
    </w:p>
    <w:p w14:paraId="4A5AD705">
      <w:pPr>
        <w:snapToGrid w:val="0"/>
        <w:spacing w:before="12" w:line="300" w:lineRule="auto"/>
        <w:jc w:val="both"/>
        <w:rPr>
          <w:rFonts w:ascii="Arial" w:hAnsi="Arial" w:eastAsia="宋体" w:cs="Arial"/>
          <w:sz w:val="23"/>
          <w:szCs w:val="23"/>
          <w:lang w:eastAsia="zh-CN"/>
        </w:rPr>
      </w:pPr>
    </w:p>
    <w:p w14:paraId="45DCFA02">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贵公司的方案应明确说明随访计划，并确定贵公司计划在每次治疗后评价时进行的所有试验、测量和检查。为了确保与研究者和研究地点的一致性，我们建议应使用在方案中明确定义的公认方法进行所有试验和测量。为了比较基线数据，我们建议贵公司使用与治疗前评价相同的方法进行所有适用的治疗后试验。另外，我们建议控制人群接受与研究组相同的评价。</w:t>
      </w:r>
    </w:p>
    <w:p w14:paraId="76B02CDE">
      <w:pPr>
        <w:snapToGrid w:val="0"/>
        <w:spacing w:before="12" w:line="300" w:lineRule="auto"/>
        <w:jc w:val="both"/>
        <w:rPr>
          <w:rFonts w:ascii="Arial" w:hAnsi="Arial" w:eastAsia="宋体" w:cs="Arial"/>
          <w:sz w:val="23"/>
          <w:szCs w:val="23"/>
          <w:lang w:eastAsia="zh-CN"/>
        </w:rPr>
      </w:pPr>
    </w:p>
    <w:p w14:paraId="1530189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我们建议治疗后评价应包括以下试验和评估：</w:t>
      </w:r>
    </w:p>
    <w:p w14:paraId="2694AFFC">
      <w:pPr>
        <w:snapToGrid w:val="0"/>
        <w:spacing w:before="11" w:line="300" w:lineRule="auto"/>
        <w:jc w:val="both"/>
        <w:rPr>
          <w:rFonts w:ascii="Arial" w:hAnsi="Arial" w:eastAsia="宋体" w:cs="Arial"/>
          <w:sz w:val="23"/>
          <w:szCs w:val="23"/>
          <w:lang w:eastAsia="zh-CN"/>
        </w:rPr>
      </w:pPr>
    </w:p>
    <w:p w14:paraId="4F527F67">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rPr>
        <w:t>物理</w:t>
      </w:r>
      <w:r>
        <w:rPr>
          <w:rFonts w:ascii="Arial" w:hAnsi="Arial" w:eastAsia="宋体" w:cs="Arial"/>
          <w:sz w:val="24"/>
          <w:szCs w:val="24"/>
          <w:lang w:eastAsia="zh-CN"/>
        </w:rPr>
        <w:t>检查</w:t>
      </w:r>
    </w:p>
    <w:p w14:paraId="6ACA6916">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AUA-SI（或IPSS）；</w:t>
      </w:r>
    </w:p>
    <w:p w14:paraId="44FC592E">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生活质量评估；</w:t>
      </w:r>
    </w:p>
    <w:p w14:paraId="6140ED6C">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性功能评估；</w:t>
      </w:r>
    </w:p>
    <w:p w14:paraId="33E38AD7">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不良事件</w:t>
      </w:r>
    </w:p>
    <w:p w14:paraId="7EF911CD">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尿流率测定，包括具有前瞻性定义的最小值的排尿体积，以确保分析有意义（例如125ml）、总排尿时间、峰值流量、平均流量和排尿后残留体积；</w:t>
      </w:r>
    </w:p>
    <w:p w14:paraId="5762C213">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在后续访问时对所有患者进行膀胱测压，如治疗后6和12个月，同时评估膀胱内和腹内压力以确定逼尿肌压力；</w:t>
      </w:r>
      <w:r>
        <w:fldChar w:fldCharType="begin"/>
      </w:r>
      <w:r>
        <w:instrText xml:space="preserve"> HYPERLINK \l "_bookmark71" </w:instrText>
      </w:r>
      <w:r>
        <w:fldChar w:fldCharType="separate"/>
      </w:r>
      <w:r>
        <w:rPr>
          <w:rFonts w:ascii="Arial" w:hAnsi="Arial" w:eastAsia="宋体" w:cs="Arial"/>
          <w:sz w:val="24"/>
          <w:szCs w:val="24"/>
          <w:lang w:eastAsia="zh-CN"/>
        </w:rPr>
        <w:t>36</w:t>
      </w:r>
      <w:r>
        <w:rPr>
          <w:rFonts w:ascii="Arial" w:hAnsi="Arial" w:eastAsia="宋体" w:cs="Arial"/>
          <w:sz w:val="24"/>
          <w:szCs w:val="24"/>
          <w:lang w:eastAsia="zh-CN"/>
        </w:rPr>
        <w:fldChar w:fldCharType="end"/>
      </w:r>
    </w:p>
    <w:p w14:paraId="05BA5137">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血液和尿液化学，例如尿分析、尿培养物、CBC、PSA、BUN、肌酸酐和电解质；</w:t>
      </w:r>
    </w:p>
    <w:p w14:paraId="63440C47">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如果具有临床指征，进行活检；</w:t>
      </w:r>
    </w:p>
    <w:p w14:paraId="1DA8FAD5">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在每次随访期间进行DRE（包括对前列腺重量进行估计）；</w:t>
      </w:r>
    </w:p>
    <w:p w14:paraId="1259B0C8">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治疗后6和12个月进行TRUS（包括测量前列腺体积和其他相关尺寸）；</w:t>
      </w:r>
    </w:p>
    <w:p w14:paraId="1F2AB76A">
      <w:pPr>
        <w:snapToGrid w:val="0"/>
        <w:spacing w:line="300" w:lineRule="auto"/>
        <w:jc w:val="both"/>
        <w:rPr>
          <w:rFonts w:ascii="Arial" w:hAnsi="Arial" w:eastAsia="宋体" w:cs="Arial"/>
          <w:sz w:val="20"/>
          <w:szCs w:val="20"/>
          <w:lang w:eastAsia="zh-CN"/>
        </w:rPr>
      </w:pPr>
    </w:p>
    <w:p w14:paraId="1A0CCC1A">
      <w:pPr>
        <w:snapToGrid w:val="0"/>
        <w:spacing w:line="300" w:lineRule="auto"/>
        <w:jc w:val="both"/>
        <w:rPr>
          <w:rFonts w:ascii="Arial" w:hAnsi="Arial" w:eastAsia="宋体" w:cs="Arial"/>
          <w:sz w:val="20"/>
          <w:szCs w:val="20"/>
          <w:lang w:eastAsia="zh-CN"/>
        </w:rPr>
      </w:pPr>
    </w:p>
    <w:p w14:paraId="5A587539">
      <w:pPr>
        <w:snapToGrid w:val="0"/>
        <w:spacing w:line="300" w:lineRule="auto"/>
        <w:jc w:val="both"/>
        <w:rPr>
          <w:rFonts w:ascii="Arial" w:hAnsi="Arial" w:eastAsia="宋体" w:cs="Arial"/>
          <w:sz w:val="20"/>
          <w:szCs w:val="20"/>
          <w:lang w:eastAsia="zh-CN"/>
        </w:rPr>
      </w:pPr>
    </w:p>
    <w:p w14:paraId="11FE9974">
      <w:pPr>
        <w:snapToGrid w:val="0"/>
        <w:spacing w:line="300" w:lineRule="auto"/>
        <w:jc w:val="both"/>
        <w:rPr>
          <w:rFonts w:ascii="Arial" w:hAnsi="Arial" w:eastAsia="宋体" w:cs="Arial"/>
          <w:sz w:val="20"/>
          <w:szCs w:val="20"/>
          <w:lang w:eastAsia="zh-CN"/>
        </w:rPr>
      </w:pPr>
    </w:p>
    <w:p w14:paraId="16BD906D">
      <w:pPr>
        <w:snapToGrid w:val="0"/>
        <w:spacing w:line="300" w:lineRule="auto"/>
        <w:jc w:val="both"/>
        <w:rPr>
          <w:rFonts w:ascii="Arial" w:hAnsi="Arial" w:eastAsia="宋体" w:cs="Arial"/>
          <w:sz w:val="20"/>
          <w:szCs w:val="20"/>
          <w:lang w:eastAsia="zh-CN"/>
        </w:rPr>
      </w:pPr>
    </w:p>
    <w:p w14:paraId="76057D93">
      <w:pPr>
        <w:snapToGrid w:val="0"/>
        <w:spacing w:line="300" w:lineRule="auto"/>
        <w:jc w:val="both"/>
        <w:rPr>
          <w:rFonts w:ascii="Arial" w:hAnsi="Arial" w:eastAsia="宋体" w:cs="Arial"/>
          <w:sz w:val="20"/>
          <w:szCs w:val="20"/>
          <w:lang w:eastAsia="zh-CN"/>
        </w:rPr>
      </w:pPr>
    </w:p>
    <w:p w14:paraId="0E81BAB5">
      <w:pPr>
        <w:snapToGrid w:val="0"/>
        <w:spacing w:line="300" w:lineRule="auto"/>
        <w:jc w:val="both"/>
        <w:rPr>
          <w:rFonts w:ascii="Arial" w:hAnsi="Arial" w:eastAsia="宋体" w:cs="Arial"/>
          <w:sz w:val="20"/>
          <w:szCs w:val="20"/>
          <w:lang w:eastAsia="zh-CN"/>
        </w:rPr>
      </w:pPr>
    </w:p>
    <w:p w14:paraId="5B5CC101">
      <w:pPr>
        <w:snapToGrid w:val="0"/>
        <w:spacing w:line="300" w:lineRule="auto"/>
        <w:jc w:val="both"/>
        <w:rPr>
          <w:rFonts w:ascii="Arial" w:hAnsi="Arial" w:eastAsia="宋体" w:cs="Arial"/>
          <w:sz w:val="20"/>
          <w:szCs w:val="20"/>
          <w:lang w:eastAsia="zh-CN"/>
        </w:rPr>
      </w:pPr>
    </w:p>
    <w:p w14:paraId="47E9CBDC">
      <w:pPr>
        <w:snapToGrid w:val="0"/>
        <w:spacing w:before="2" w:line="300" w:lineRule="auto"/>
        <w:jc w:val="both"/>
        <w:rPr>
          <w:rFonts w:ascii="Arial" w:hAnsi="Arial" w:eastAsia="宋体" w:cs="Arial"/>
          <w:sz w:val="12"/>
          <w:szCs w:val="12"/>
          <w:lang w:eastAsia="zh-CN"/>
        </w:rPr>
      </w:pPr>
    </w:p>
    <w:p w14:paraId="765625D9">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350" r="1905" b="5080"/>
                <wp:docPr id="16" name="Group 14"/>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7" name="Group 15"/>
                        <wpg:cNvGrpSpPr/>
                        <wpg:grpSpPr>
                          <a:xfrm>
                            <a:off x="6" y="6"/>
                            <a:ext cx="2880" cy="2"/>
                            <a:chOff x="6" y="6"/>
                            <a:chExt cx="2880" cy="2"/>
                          </a:xfrm>
                        </wpg:grpSpPr>
                        <wps:wsp>
                          <wps:cNvPr id="18" name="Freeform 16"/>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4"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ByNLJ4ZAwAA/gcAAA4AAAAAAAAAAQAgAAAAIwEAAGRycy9lMm9Eb2Mu&#10;eG1sUEsFBgAAAAAGAAYAWQEAAK4GAAAAAA==&#10;">
                <o:lock v:ext="edit" aspectratio="f"/>
                <v:group id="Group 15" o:spid="_x0000_s1026" o:spt="203" style="position:absolute;left:6;top:6;height:2;width:2880;" coordorigin="6,6" coordsize="2880,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6" o:spid="_x0000_s1026" o:spt="100" style="position:absolute;left:6;top:6;height:2;width:2880;" filled="f" stroked="t" coordsize="2880,1" o:gfxdata="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CZM7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6170777">
      <w:pPr>
        <w:pStyle w:val="6"/>
        <w:snapToGrid w:val="0"/>
        <w:spacing w:before="59" w:line="300" w:lineRule="auto"/>
        <w:ind w:left="0"/>
        <w:jc w:val="both"/>
        <w:rPr>
          <w:rFonts w:ascii="Arial" w:hAnsi="Arial" w:eastAsia="宋体" w:cs="Arial"/>
          <w:lang w:eastAsia="zh-CN"/>
        </w:rPr>
      </w:pPr>
      <w:bookmarkStart w:id="138" w:name="_bookmark71"/>
      <w:bookmarkEnd w:id="138"/>
      <w:r>
        <w:rPr>
          <w:rFonts w:ascii="Arial" w:hAnsi="Arial" w:eastAsia="宋体" w:cs="Arial"/>
          <w:position w:val="11"/>
          <w:sz w:val="16"/>
          <w:lang w:eastAsia="zh-CN"/>
        </w:rPr>
        <w:t>36</w:t>
      </w:r>
      <w:r>
        <w:rPr>
          <w:rFonts w:ascii="Arial" w:hAnsi="Arial" w:eastAsia="宋体" w:cs="Arial"/>
          <w:lang w:eastAsia="zh-CN"/>
        </w:rPr>
        <w:t>在经受治疗前评价的患者亚组中应进行逼尿肌压力流研究。</w:t>
      </w:r>
    </w:p>
    <w:p w14:paraId="0ED8276B">
      <w:pPr>
        <w:widowControl/>
        <w:rPr>
          <w:rFonts w:ascii="Arial" w:hAnsi="Arial" w:eastAsia="宋体" w:cs="Arial"/>
          <w:lang w:eastAsia="zh-CN"/>
        </w:rPr>
      </w:pPr>
      <w:r>
        <w:rPr>
          <w:rFonts w:ascii="Arial" w:hAnsi="Arial" w:eastAsia="宋体" w:cs="Arial"/>
          <w:lang w:eastAsia="zh-CN"/>
        </w:rPr>
        <w:br w:type="page"/>
      </w:r>
    </w:p>
    <w:p w14:paraId="10A813FC">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在治疗后6和12个月进行膀胱镜检查，以评估治疗有效性、记录腺体的治疗后解剖形态以及对膀胱底板、膀胱三角区或括约肌的任何损伤；37以及</w:t>
      </w:r>
    </w:p>
    <w:p w14:paraId="4622608A">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直肠镜检查，如果适用，以监测任何观察到的直肠损伤。</w:t>
      </w:r>
    </w:p>
    <w:p w14:paraId="171E8CFB">
      <w:pPr>
        <w:snapToGrid w:val="0"/>
        <w:spacing w:before="1" w:line="300" w:lineRule="auto"/>
        <w:jc w:val="both"/>
        <w:rPr>
          <w:rFonts w:ascii="Arial" w:hAnsi="Arial" w:eastAsia="宋体" w:cs="Arial"/>
          <w:sz w:val="24"/>
          <w:szCs w:val="24"/>
          <w:lang w:eastAsia="zh-CN"/>
        </w:rPr>
      </w:pPr>
    </w:p>
    <w:p w14:paraId="276EE28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除非贵公司计划禁止有意在未来生育小孩的患者进行治疗，否则我们建议贵公司通过评价精液质量和数量来评估贵公司的器械对未来生育能力的影响。</w:t>
      </w:r>
    </w:p>
    <w:p w14:paraId="1EBDA064">
      <w:pPr>
        <w:snapToGrid w:val="0"/>
        <w:spacing w:before="12" w:line="300" w:lineRule="auto"/>
        <w:jc w:val="both"/>
        <w:rPr>
          <w:rFonts w:ascii="Arial" w:hAnsi="Arial" w:eastAsia="宋体" w:cs="Arial"/>
          <w:sz w:val="23"/>
          <w:szCs w:val="23"/>
          <w:lang w:eastAsia="zh-CN"/>
        </w:rPr>
      </w:pPr>
    </w:p>
    <w:p w14:paraId="5A954B24">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139" w:name="_bookmark72"/>
      <w:bookmarkEnd w:id="139"/>
      <w:bookmarkStart w:id="140" w:name="N._Statistical_Analysis_Recommendations"/>
      <w:bookmarkEnd w:id="140"/>
      <w:bookmarkStart w:id="141" w:name="_Toc481595924"/>
      <w:r>
        <w:rPr>
          <w:rFonts w:ascii="Arial" w:hAnsi="Arial" w:eastAsia="宋体" w:cs="Arial"/>
          <w:lang w:eastAsia="zh-CN"/>
        </w:rPr>
        <w:t>统计分析建议</w:t>
      </w:r>
      <w:bookmarkEnd w:id="141"/>
    </w:p>
    <w:p w14:paraId="4FFD00E7">
      <w:pPr>
        <w:snapToGrid w:val="0"/>
        <w:spacing w:before="1" w:line="300" w:lineRule="auto"/>
        <w:jc w:val="both"/>
        <w:rPr>
          <w:rFonts w:ascii="Arial" w:hAnsi="Arial" w:eastAsia="宋体" w:cs="Arial"/>
          <w:b/>
          <w:bCs/>
          <w:sz w:val="24"/>
          <w:szCs w:val="24"/>
        </w:rPr>
      </w:pPr>
    </w:p>
    <w:p w14:paraId="222C310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方案应包括一个综合性统计分析计划，前瞻说明如何分析研究结果。研究中使用的所有统计分析应适用于其分析目的并应完整记录。我们建议统计分析计划包括下面讨论的信息。</w:t>
      </w:r>
    </w:p>
    <w:p w14:paraId="564ED266">
      <w:pPr>
        <w:snapToGrid w:val="0"/>
        <w:spacing w:before="12" w:line="300" w:lineRule="auto"/>
        <w:jc w:val="both"/>
        <w:rPr>
          <w:rFonts w:ascii="Arial" w:hAnsi="Arial" w:eastAsia="宋体" w:cs="Arial"/>
          <w:sz w:val="23"/>
          <w:szCs w:val="23"/>
          <w:lang w:eastAsia="zh-CN"/>
        </w:rPr>
      </w:pPr>
    </w:p>
    <w:p w14:paraId="16C5434C">
      <w:pPr>
        <w:pStyle w:val="5"/>
        <w:numPr>
          <w:ilvl w:val="0"/>
          <w:numId w:val="4"/>
        </w:numPr>
        <w:tabs>
          <w:tab w:val="left" w:pos="770"/>
        </w:tabs>
        <w:snapToGrid w:val="0"/>
        <w:spacing w:line="300" w:lineRule="auto"/>
        <w:ind w:left="0" w:firstLine="252"/>
        <w:jc w:val="both"/>
        <w:rPr>
          <w:rFonts w:ascii="Arial" w:hAnsi="Arial" w:eastAsia="宋体" w:cs="Arial"/>
          <w:b w:val="0"/>
          <w:bCs w:val="0"/>
          <w:i w:val="0"/>
        </w:rPr>
      </w:pPr>
      <w:bookmarkStart w:id="142" w:name="1._Statistical_Analyses"/>
      <w:bookmarkEnd w:id="142"/>
      <w:bookmarkStart w:id="143" w:name="_bookmark73"/>
      <w:bookmarkEnd w:id="143"/>
      <w:bookmarkStart w:id="144" w:name="_Toc481595925"/>
      <w:r>
        <w:rPr>
          <w:rFonts w:ascii="Arial" w:hAnsi="Arial" w:eastAsia="宋体" w:cs="Arial"/>
        </w:rPr>
        <w:t>统计分析</w:t>
      </w:r>
      <w:bookmarkEnd w:id="144"/>
    </w:p>
    <w:p w14:paraId="631A3FC9">
      <w:pPr>
        <w:pStyle w:val="6"/>
        <w:snapToGrid w:val="0"/>
        <w:spacing w:line="300" w:lineRule="auto"/>
        <w:ind w:left="0"/>
        <w:jc w:val="both"/>
        <w:rPr>
          <w:rFonts w:ascii="Arial" w:hAnsi="Arial" w:eastAsia="宋体" w:cs="Arial"/>
        </w:rPr>
      </w:pPr>
    </w:p>
    <w:p w14:paraId="3D480EBF">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我们建议贵公司的方案前瞻性地说明主要和次要终点的所有预期统计分析。如果贵公司计划使研究受试者和研究者（或其他评价者）均不了解受试者的治疗分配（即研究器械与控制治疗），则贵公司的方案应收集信息以评估盲法的有效性（例如，通过询问受试者：他们认为他们在哪个研究组）。贵公司的方案还应指定何时破解盲法。</w:t>
      </w:r>
    </w:p>
    <w:p w14:paraId="304B4214">
      <w:pPr>
        <w:snapToGrid w:val="0"/>
        <w:spacing w:before="1" w:line="300" w:lineRule="auto"/>
        <w:ind w:left="180" w:leftChars="82" w:firstLine="2" w:firstLineChars="1"/>
        <w:jc w:val="both"/>
        <w:rPr>
          <w:rFonts w:ascii="Arial" w:hAnsi="Arial" w:eastAsia="宋体" w:cs="Arial"/>
          <w:sz w:val="24"/>
          <w:szCs w:val="24"/>
          <w:lang w:eastAsia="zh-CN"/>
        </w:rPr>
      </w:pPr>
    </w:p>
    <w:p w14:paraId="13D04BBD">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在报告贵公司的临床试验结果时，我们建议贵公司：</w:t>
      </w:r>
    </w:p>
    <w:p w14:paraId="34785502">
      <w:pPr>
        <w:snapToGrid w:val="0"/>
        <w:spacing w:before="11" w:line="300" w:lineRule="auto"/>
        <w:jc w:val="both"/>
        <w:rPr>
          <w:rFonts w:ascii="Arial" w:hAnsi="Arial" w:eastAsia="宋体" w:cs="Arial"/>
          <w:sz w:val="23"/>
          <w:szCs w:val="23"/>
          <w:lang w:eastAsia="zh-CN"/>
        </w:rPr>
      </w:pPr>
    </w:p>
    <w:p w14:paraId="0D4B9BFD">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将所有治疗数据与对照组比较；</w:t>
      </w:r>
    </w:p>
    <w:p w14:paraId="477AC4C0">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通过相关协变量（包括治疗前患者特性和治疗参数）分类安全性和有效性数据；</w:t>
      </w:r>
    </w:p>
    <w:p w14:paraId="29A25D08">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在每个随访期间向所有患者进行说明；</w:t>
      </w:r>
    </w:p>
    <w:p w14:paraId="162BC749">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提供数据和结果的图形显示；</w:t>
      </w:r>
    </w:p>
    <w:p w14:paraId="3A32ACB4">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提供所有重要参数的汇总表（包括呈现每位患者和队列分析的原始数据的汇总表）；以及</w:t>
      </w:r>
    </w:p>
    <w:p w14:paraId="681927B1">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提供合并各研究地点间的结果的理由，并按研究地点分类数据；</w:t>
      </w:r>
    </w:p>
    <w:p w14:paraId="1A1E3027">
      <w:pPr>
        <w:snapToGrid w:val="0"/>
        <w:spacing w:line="300" w:lineRule="auto"/>
        <w:jc w:val="both"/>
        <w:rPr>
          <w:rFonts w:ascii="Arial" w:hAnsi="Arial" w:eastAsia="宋体" w:cs="Arial"/>
          <w:sz w:val="20"/>
          <w:szCs w:val="20"/>
          <w:lang w:eastAsia="zh-CN"/>
        </w:rPr>
      </w:pPr>
    </w:p>
    <w:p w14:paraId="2A24CBA6">
      <w:pPr>
        <w:snapToGrid w:val="0"/>
        <w:spacing w:line="300" w:lineRule="auto"/>
        <w:jc w:val="both"/>
        <w:rPr>
          <w:rFonts w:ascii="Arial" w:hAnsi="Arial" w:eastAsia="宋体" w:cs="Arial"/>
          <w:sz w:val="20"/>
          <w:szCs w:val="20"/>
          <w:lang w:eastAsia="zh-CN"/>
        </w:rPr>
      </w:pPr>
    </w:p>
    <w:p w14:paraId="26D08454">
      <w:pPr>
        <w:snapToGrid w:val="0"/>
        <w:spacing w:line="300" w:lineRule="auto"/>
        <w:jc w:val="both"/>
        <w:rPr>
          <w:rFonts w:ascii="Arial" w:hAnsi="Arial" w:eastAsia="宋体" w:cs="Arial"/>
          <w:sz w:val="20"/>
          <w:szCs w:val="20"/>
          <w:lang w:eastAsia="zh-CN"/>
        </w:rPr>
      </w:pPr>
    </w:p>
    <w:p w14:paraId="13C66258">
      <w:pPr>
        <w:snapToGrid w:val="0"/>
        <w:spacing w:line="300" w:lineRule="auto"/>
        <w:jc w:val="both"/>
        <w:rPr>
          <w:rFonts w:ascii="Arial" w:hAnsi="Arial" w:eastAsia="宋体" w:cs="Arial"/>
          <w:sz w:val="20"/>
          <w:szCs w:val="20"/>
          <w:lang w:eastAsia="zh-CN"/>
        </w:rPr>
      </w:pPr>
    </w:p>
    <w:p w14:paraId="64FE05C9">
      <w:pPr>
        <w:snapToGrid w:val="0"/>
        <w:spacing w:line="300" w:lineRule="auto"/>
        <w:jc w:val="both"/>
        <w:rPr>
          <w:rFonts w:ascii="Arial" w:hAnsi="Arial" w:eastAsia="宋体" w:cs="Arial"/>
          <w:sz w:val="20"/>
          <w:szCs w:val="20"/>
          <w:lang w:eastAsia="zh-CN"/>
        </w:rPr>
      </w:pPr>
    </w:p>
    <w:p w14:paraId="19218179">
      <w:pPr>
        <w:snapToGrid w:val="0"/>
        <w:spacing w:line="300" w:lineRule="auto"/>
        <w:jc w:val="both"/>
        <w:rPr>
          <w:rFonts w:ascii="Arial" w:hAnsi="Arial" w:eastAsia="宋体" w:cs="Arial"/>
          <w:sz w:val="20"/>
          <w:szCs w:val="20"/>
          <w:lang w:eastAsia="zh-CN"/>
        </w:rPr>
      </w:pPr>
    </w:p>
    <w:p w14:paraId="14BB5F47">
      <w:pPr>
        <w:snapToGrid w:val="0"/>
        <w:spacing w:before="8" w:line="300" w:lineRule="auto"/>
        <w:jc w:val="both"/>
        <w:rPr>
          <w:rFonts w:ascii="Arial" w:hAnsi="Arial" w:eastAsia="宋体" w:cs="Arial"/>
          <w:sz w:val="16"/>
          <w:szCs w:val="16"/>
          <w:lang w:eastAsia="zh-CN"/>
        </w:rPr>
      </w:pPr>
    </w:p>
    <w:p w14:paraId="31124EC9">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7620" r="1905" b="3810"/>
                <wp:docPr id="13" name="Group 1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4" name="Group 12"/>
                        <wpg:cNvGrpSpPr/>
                        <wpg:grpSpPr>
                          <a:xfrm>
                            <a:off x="6" y="6"/>
                            <a:ext cx="2880" cy="2"/>
                            <a:chOff x="6" y="6"/>
                            <a:chExt cx="2880" cy="2"/>
                          </a:xfrm>
                        </wpg:grpSpPr>
                        <wps:wsp>
                          <wps:cNvPr id="15" name="Freeform 1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cXhiHhsDAAD+BwAADgAAAAAAAAABACAAAAAjAQAAZHJzL2Uyb0Rv&#10;Yy54bWxQSwUGAAAAAAYABgBZAQAAsAYAAAAA&#10;">
                <o:lock v:ext="edit" aspectratio="f"/>
                <v:group id="Group 12" o:spid="_x0000_s1026" o:spt="203" style="position:absolute;left:6;top:6;height:2;width:2880;" coordorigin="6,6" coordsize="2880,2"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Freeform 13" o:spid="_x0000_s1026" o:spt="100" style="position:absolute;left:6;top:6;height:2;width:2880;" filled="f" stroked="t" coordsize="2880,1" o:gfxdata="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wg8pb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9FABB45">
      <w:pPr>
        <w:pStyle w:val="6"/>
        <w:snapToGrid w:val="0"/>
        <w:spacing w:before="59" w:line="300" w:lineRule="auto"/>
        <w:ind w:left="0"/>
        <w:jc w:val="both"/>
        <w:rPr>
          <w:rFonts w:ascii="Arial" w:hAnsi="Arial" w:eastAsia="宋体" w:cs="Arial"/>
          <w:lang w:eastAsia="zh-CN"/>
        </w:rPr>
      </w:pPr>
      <w:bookmarkStart w:id="145" w:name="_bookmark74"/>
      <w:bookmarkEnd w:id="145"/>
      <w:r>
        <w:rPr>
          <w:rFonts w:ascii="Arial" w:hAnsi="Arial" w:eastAsia="宋体" w:cs="Arial"/>
          <w:position w:val="11"/>
          <w:sz w:val="16"/>
          <w:lang w:eastAsia="zh-CN"/>
        </w:rPr>
        <w:t xml:space="preserve">37 </w:t>
      </w:r>
      <w:r>
        <w:rPr>
          <w:rFonts w:ascii="Arial" w:hAnsi="Arial" w:eastAsia="宋体" w:cs="Arial"/>
          <w:lang w:eastAsia="zh-CN"/>
        </w:rPr>
        <w:t>对于一些器械，可在亚组中进行膀胱镜随访检查。但该亚组应随机选择以最小化偏差，并由至少30％的研究患者组成。</w:t>
      </w:r>
    </w:p>
    <w:p w14:paraId="12684E60">
      <w:pPr>
        <w:snapToGrid w:val="0"/>
        <w:spacing w:line="300" w:lineRule="auto"/>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p>
    <w:p w14:paraId="292D45A7">
      <w:pPr>
        <w:pStyle w:val="5"/>
        <w:numPr>
          <w:ilvl w:val="0"/>
          <w:numId w:val="4"/>
        </w:numPr>
        <w:tabs>
          <w:tab w:val="left" w:pos="770"/>
        </w:tabs>
        <w:snapToGrid w:val="0"/>
        <w:spacing w:line="300" w:lineRule="auto"/>
        <w:ind w:left="0" w:firstLine="252"/>
        <w:jc w:val="both"/>
        <w:rPr>
          <w:rFonts w:ascii="Arial" w:hAnsi="Arial" w:eastAsia="宋体" w:cs="Arial"/>
        </w:rPr>
      </w:pPr>
      <w:bookmarkStart w:id="146" w:name="2._Primary_Endpoint_Analyses"/>
      <w:bookmarkEnd w:id="146"/>
      <w:bookmarkStart w:id="147" w:name="_bookmark75"/>
      <w:bookmarkEnd w:id="147"/>
      <w:bookmarkStart w:id="148" w:name="_Toc481595926"/>
      <w:r>
        <w:rPr>
          <w:rFonts w:ascii="Arial" w:hAnsi="Arial" w:eastAsia="宋体" w:cs="Arial"/>
        </w:rPr>
        <w:t>主要终点分析</w:t>
      </w:r>
      <w:bookmarkEnd w:id="148"/>
    </w:p>
    <w:p w14:paraId="52C8DFEA">
      <w:pPr>
        <w:snapToGrid w:val="0"/>
        <w:spacing w:before="12" w:line="300" w:lineRule="auto"/>
        <w:jc w:val="both"/>
        <w:rPr>
          <w:rFonts w:ascii="Arial" w:hAnsi="Arial" w:eastAsia="宋体" w:cs="Arial"/>
          <w:b/>
          <w:bCs/>
          <w:i/>
          <w:sz w:val="23"/>
          <w:szCs w:val="23"/>
        </w:rPr>
      </w:pPr>
    </w:p>
    <w:p w14:paraId="58A0496C">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研究的主要统计分析一般是用于评估研究的整体成功率或失败率的统计分析。因此，我们建议贵公司在方案中说明并记录此分析的详细信息。如“F.研究持续时间”所述，我们建议使用1年的随访数据对研究成功率进行初步分析。为了减少偏差，我们建议使用意向治疗（ITT）人群进行此主要分析。ITT人群包括随机分配到研究中的所有受试者，无论受试者是否接受将其随机分配至的治疗。</w:t>
      </w:r>
    </w:p>
    <w:p w14:paraId="76E45199">
      <w:pPr>
        <w:snapToGrid w:val="0"/>
        <w:spacing w:before="1" w:line="300" w:lineRule="auto"/>
        <w:jc w:val="both"/>
        <w:rPr>
          <w:rFonts w:ascii="Arial" w:hAnsi="Arial" w:eastAsia="宋体" w:cs="Arial"/>
          <w:sz w:val="24"/>
          <w:szCs w:val="24"/>
          <w:lang w:eastAsia="zh-CN"/>
        </w:rPr>
      </w:pPr>
    </w:p>
    <w:p w14:paraId="51FC0EAF">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除了ITT分析之外，我们建议贵公司的方案指定主要终点的其他分析，评估研究结果的稳健性。我们建议贵公司进行这些额外的分析，以评估结果是否与主要ITT分析的结论一致，并因此可支持贵公司的研究结论。贵公司应尽一切努力来评估有关每种灵敏度分析的基本假设的合理性。我们建议这些额外的分析包括以下内容：</w:t>
      </w:r>
    </w:p>
    <w:p w14:paraId="10416CAA">
      <w:pPr>
        <w:snapToGrid w:val="0"/>
        <w:spacing w:before="1" w:line="300" w:lineRule="auto"/>
        <w:jc w:val="both"/>
        <w:rPr>
          <w:rFonts w:ascii="Arial" w:hAnsi="Arial" w:eastAsia="宋体" w:cs="Arial"/>
          <w:sz w:val="24"/>
          <w:szCs w:val="24"/>
          <w:lang w:eastAsia="zh-CN"/>
        </w:rPr>
      </w:pPr>
    </w:p>
    <w:p w14:paraId="20AA0F20">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分析“每个方案”选择的人群，例如根据方案治疗和随访受试者；</w:t>
      </w:r>
    </w:p>
    <w:p w14:paraId="10D1E5EA">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灵敏度分析，使用预先指定的各种方法以用于输入缺失数据；</w:t>
      </w:r>
    </w:p>
    <w:p w14:paraId="357098DE">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纵向或重复的测量分析，以评估“治疗后的时间”对结果的影响；以及</w:t>
      </w:r>
    </w:p>
    <w:p w14:paraId="317CBD7F">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评估在每个随访期间（相对于基线）“显著改善”、“未显著改善”和“恶化”的受试者数量。</w:t>
      </w:r>
    </w:p>
    <w:p w14:paraId="363F079F">
      <w:pPr>
        <w:pStyle w:val="18"/>
        <w:tabs>
          <w:tab w:val="left" w:pos="1520"/>
        </w:tabs>
        <w:snapToGrid w:val="0"/>
        <w:spacing w:line="300" w:lineRule="auto"/>
        <w:jc w:val="both"/>
        <w:rPr>
          <w:rFonts w:ascii="Arial" w:hAnsi="Arial" w:eastAsia="宋体" w:cs="Arial"/>
          <w:sz w:val="24"/>
          <w:szCs w:val="24"/>
          <w:lang w:eastAsia="zh-CN"/>
        </w:rPr>
      </w:pPr>
    </w:p>
    <w:p w14:paraId="65D5B10D">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为了研究受试者相关因素和治疗相关因素对主要安全性和有效性终点的潜在影响，并发现任何重要的预后因素，我们建议贵公司的方案说明综合性协变量分析。为了最小化与这些分析相关的偏差，我们建议贵公司的方案前瞻性地定义所有重要的协变量。重要的协变量包括但不限于：</w:t>
      </w:r>
    </w:p>
    <w:p w14:paraId="08328775">
      <w:pPr>
        <w:snapToGrid w:val="0"/>
        <w:spacing w:before="11" w:line="300" w:lineRule="auto"/>
        <w:jc w:val="both"/>
        <w:rPr>
          <w:rFonts w:ascii="Arial" w:hAnsi="Arial" w:eastAsia="宋体" w:cs="Arial"/>
          <w:sz w:val="23"/>
          <w:szCs w:val="23"/>
          <w:lang w:eastAsia="zh-CN"/>
        </w:rPr>
      </w:pPr>
    </w:p>
    <w:p w14:paraId="156325A8">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rPr>
        <w:t>研究</w:t>
      </w:r>
      <w:r>
        <w:rPr>
          <w:rFonts w:ascii="Arial" w:hAnsi="Arial" w:eastAsia="宋体" w:cs="Arial"/>
          <w:sz w:val="24"/>
          <w:szCs w:val="24"/>
          <w:lang w:eastAsia="zh-CN"/>
        </w:rPr>
        <w:t>地点；</w:t>
      </w:r>
    </w:p>
    <w:p w14:paraId="5B8E7964">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年龄；</w:t>
      </w:r>
    </w:p>
    <w:p w14:paraId="1BF8D897">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重量或体重指数；</w:t>
      </w:r>
    </w:p>
    <w:p w14:paraId="0A1FBC09">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种族；</w:t>
      </w:r>
    </w:p>
    <w:p w14:paraId="6F2EFCC4">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BPH症状的持续时间；</w:t>
      </w:r>
    </w:p>
    <w:p w14:paraId="48052846">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BPH的所有基线测量（例如，前列腺大小/体积、峰值和平均流量，PVR、AUA-SI（或IPSS）和BPH特异性生活质量评分）；</w:t>
      </w:r>
    </w:p>
    <w:p w14:paraId="45B1DC7D">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再治疗；</w:t>
      </w:r>
    </w:p>
    <w:p w14:paraId="777C1528">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药物使用情况；以及</w:t>
      </w:r>
    </w:p>
    <w:p w14:paraId="27ADABDA">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重要的器械相关协变量（例如，器械设置、大小等）。</w:t>
      </w:r>
      <w:r>
        <w:fldChar w:fldCharType="begin"/>
      </w:r>
      <w:r>
        <w:instrText xml:space="preserve"> HYPERLINK \l "_bookmark78" </w:instrText>
      </w:r>
      <w:r>
        <w:fldChar w:fldCharType="separate"/>
      </w:r>
      <w:r>
        <w:rPr>
          <w:rFonts w:ascii="Arial" w:hAnsi="Arial" w:eastAsia="宋体" w:cs="Arial"/>
          <w:position w:val="11"/>
          <w:sz w:val="16"/>
          <w:szCs w:val="16"/>
          <w:lang w:eastAsia="zh-CN"/>
        </w:rPr>
        <w:t>38</w:t>
      </w:r>
      <w:r>
        <w:rPr>
          <w:rFonts w:ascii="Arial" w:hAnsi="Arial" w:eastAsia="宋体" w:cs="Arial"/>
          <w:position w:val="11"/>
          <w:sz w:val="16"/>
          <w:szCs w:val="16"/>
          <w:lang w:eastAsia="zh-CN"/>
        </w:rPr>
        <w:fldChar w:fldCharType="end"/>
      </w:r>
    </w:p>
    <w:p w14:paraId="4881F56A">
      <w:pPr>
        <w:snapToGrid w:val="0"/>
        <w:spacing w:before="12" w:line="300" w:lineRule="auto"/>
        <w:jc w:val="both"/>
        <w:rPr>
          <w:rFonts w:ascii="Arial" w:hAnsi="Arial" w:eastAsia="宋体" w:cs="Arial"/>
          <w:sz w:val="23"/>
          <w:szCs w:val="23"/>
          <w:lang w:eastAsia="zh-CN"/>
        </w:rPr>
      </w:pPr>
    </w:p>
    <w:p w14:paraId="4B6E8A61">
      <w:pPr>
        <w:widowControl/>
        <w:rPr>
          <w:rFonts w:ascii="Arial" w:hAnsi="Arial" w:eastAsia="宋体" w:cs="Arial"/>
          <w:b/>
          <w:bCs/>
          <w:i/>
          <w:sz w:val="24"/>
          <w:szCs w:val="24"/>
        </w:rPr>
      </w:pPr>
      <w:bookmarkStart w:id="149" w:name="3._Secondary_Endpoint_Analyses"/>
      <w:bookmarkEnd w:id="149"/>
      <w:bookmarkStart w:id="150" w:name="_bookmark76"/>
      <w:bookmarkEnd w:id="150"/>
      <w:r>
        <w:rPr>
          <w:rFonts w:ascii="Arial" w:hAnsi="Arial" w:eastAsia="宋体" w:cs="Arial"/>
        </w:rPr>
        <w:br w:type="page"/>
      </w:r>
    </w:p>
    <w:p w14:paraId="12115BAF">
      <w:pPr>
        <w:pStyle w:val="5"/>
        <w:numPr>
          <w:ilvl w:val="0"/>
          <w:numId w:val="4"/>
        </w:numPr>
        <w:tabs>
          <w:tab w:val="left" w:pos="770"/>
        </w:tabs>
        <w:snapToGrid w:val="0"/>
        <w:spacing w:line="300" w:lineRule="auto"/>
        <w:ind w:left="0" w:firstLine="252"/>
        <w:jc w:val="both"/>
        <w:rPr>
          <w:rFonts w:ascii="Arial" w:hAnsi="Arial" w:eastAsia="宋体" w:cs="Arial"/>
          <w:b w:val="0"/>
          <w:bCs w:val="0"/>
          <w:i w:val="0"/>
        </w:rPr>
      </w:pPr>
      <w:bookmarkStart w:id="151" w:name="_Toc481595927"/>
      <w:r>
        <w:rPr>
          <w:rFonts w:ascii="Arial" w:hAnsi="Arial" w:eastAsia="宋体" w:cs="Arial"/>
        </w:rPr>
        <w:t>次要终点分析</w:t>
      </w:r>
      <w:bookmarkEnd w:id="151"/>
    </w:p>
    <w:p w14:paraId="52ECDE43">
      <w:pPr>
        <w:snapToGrid w:val="0"/>
        <w:spacing w:before="1" w:line="300" w:lineRule="auto"/>
        <w:jc w:val="both"/>
        <w:rPr>
          <w:rFonts w:ascii="Arial" w:hAnsi="Arial" w:eastAsia="宋体" w:cs="Arial"/>
          <w:b/>
          <w:bCs/>
          <w:i/>
          <w:sz w:val="24"/>
          <w:szCs w:val="24"/>
        </w:rPr>
      </w:pPr>
    </w:p>
    <w:p w14:paraId="37DD3985">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我们建议贵公司的方案应前瞻性地定义用于在主要终点分析成功实现的情况下执行次要终点分析的统计计划。如果次要终点分析仅仅是作为探索性分析，或者其目的并不在于支持适应症或器械性能，我们建议贵公司仅提交简单的分析说明。另一方面，如果任何次要终点分析旨在支持标签中贵公司器械的适应症或性能（例如，使用p值或置信区间比较治疗组和控制组），我们建议贵公司在贵公司的研究方案中预先说明此意图，并详细说明贵公司计划遵循的统计方法。只有在满足主要终点的情况下，这些分析才具有有效性。如果贵公司的研究未能满足主要终点，尽管已成功满足次要终点，但通常不足以支持上市申请的批准。</w:t>
      </w:r>
    </w:p>
    <w:p w14:paraId="7F4D1C1F">
      <w:pPr>
        <w:snapToGrid w:val="0"/>
        <w:spacing w:before="1" w:line="300" w:lineRule="auto"/>
        <w:jc w:val="both"/>
        <w:rPr>
          <w:rFonts w:ascii="Arial" w:hAnsi="Arial" w:eastAsia="宋体" w:cs="Arial"/>
          <w:sz w:val="24"/>
          <w:szCs w:val="24"/>
          <w:lang w:eastAsia="zh-CN"/>
        </w:rPr>
      </w:pPr>
    </w:p>
    <w:p w14:paraId="799AAB76">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在支持适应症或器械性能时，主要的统计挑战是对次要终点数据进行多次评价，但其中不会增加p = 0.05以上的1型错误率。存有许多有效的多重调整策略，其可用于将类型1误差维持在等于或低于p = 0.05的水平下，其中三个列于下方：</w:t>
      </w:r>
    </w:p>
    <w:p w14:paraId="0134D62F">
      <w:pPr>
        <w:snapToGrid w:val="0"/>
        <w:spacing w:before="1" w:line="300" w:lineRule="auto"/>
        <w:jc w:val="both"/>
        <w:rPr>
          <w:rFonts w:ascii="Arial" w:hAnsi="Arial" w:eastAsia="宋体" w:cs="Arial"/>
          <w:sz w:val="24"/>
          <w:szCs w:val="24"/>
          <w:lang w:eastAsia="zh-CN"/>
        </w:rPr>
      </w:pPr>
    </w:p>
    <w:p w14:paraId="7F24EFBD">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rPr>
        <w:t>Bon</w:t>
      </w:r>
      <w:r>
        <w:rPr>
          <w:rFonts w:ascii="Arial" w:hAnsi="Arial" w:eastAsia="宋体" w:cs="Arial"/>
          <w:sz w:val="24"/>
          <w:szCs w:val="24"/>
          <w:lang w:eastAsia="zh-CN"/>
        </w:rPr>
        <w:t>ferroni程序；</w:t>
      </w:r>
    </w:p>
    <w:p w14:paraId="5EB5D751">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分层封闭试验程序；以及</w:t>
      </w:r>
    </w:p>
    <w:p w14:paraId="75F51537">
      <w:pPr>
        <w:pStyle w:val="18"/>
        <w:numPr>
          <w:ilvl w:val="2"/>
          <w:numId w:val="1"/>
        </w:numPr>
        <w:tabs>
          <w:tab w:val="left" w:pos="1092"/>
        </w:tabs>
        <w:snapToGrid w:val="0"/>
        <w:spacing w:line="276" w:lineRule="auto"/>
        <w:ind w:left="812" w:leftChars="153" w:hanging="475"/>
        <w:jc w:val="both"/>
        <w:rPr>
          <w:rFonts w:ascii="Arial" w:hAnsi="Arial" w:eastAsia="宋体" w:cs="Arial"/>
        </w:rPr>
      </w:pPr>
      <w:r>
        <w:rPr>
          <w:rFonts w:ascii="Arial" w:hAnsi="Arial" w:eastAsia="宋体" w:cs="Arial"/>
          <w:sz w:val="24"/>
          <w:szCs w:val="24"/>
          <w:lang w:eastAsia="zh-CN"/>
        </w:rPr>
        <w:t>Holm的降</w:t>
      </w:r>
      <w:r>
        <w:rPr>
          <w:rFonts w:ascii="Arial" w:hAnsi="Arial" w:eastAsia="宋体" w:cs="Arial"/>
          <w:sz w:val="24"/>
        </w:rPr>
        <w:t>级程序。</w:t>
      </w:r>
    </w:p>
    <w:p w14:paraId="5F66B8D3">
      <w:pPr>
        <w:snapToGrid w:val="0"/>
        <w:spacing w:before="12" w:line="300" w:lineRule="auto"/>
        <w:jc w:val="both"/>
        <w:rPr>
          <w:rFonts w:ascii="Arial" w:hAnsi="Arial" w:eastAsia="宋体" w:cs="Arial"/>
          <w:sz w:val="23"/>
          <w:szCs w:val="23"/>
        </w:rPr>
      </w:pPr>
    </w:p>
    <w:p w14:paraId="349473B9">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因为这些多重调整策略中的每一个均涉及平衡不同的潜在优点和缺点，所以我们建议贵公司在设计临</w:t>
      </w:r>
      <w:bookmarkStart w:id="152" w:name="OLE_LINK6"/>
      <w:bookmarkStart w:id="153" w:name="OLE_LINK5"/>
      <w:r>
        <w:rPr>
          <w:rFonts w:ascii="Arial" w:hAnsi="Arial" w:eastAsia="宋体" w:cs="Arial"/>
          <w:lang w:eastAsia="zh-CN"/>
        </w:rPr>
        <w:t>床研究</w:t>
      </w:r>
      <w:bookmarkEnd w:id="152"/>
      <w:bookmarkEnd w:id="153"/>
      <w:r>
        <w:rPr>
          <w:rFonts w:ascii="Arial" w:hAnsi="Arial" w:eastAsia="宋体" w:cs="Arial"/>
          <w:lang w:eastAsia="zh-CN"/>
        </w:rPr>
        <w:t>以及前瞻性地定义贵公司打算使用的策略时仔细考虑每项调整策略。我们建议贵公司的方案应前瞻性地说明与适应症或器械性能相关的每个次要终点的统计假设。</w:t>
      </w:r>
    </w:p>
    <w:p w14:paraId="46BCA3E4">
      <w:pPr>
        <w:snapToGrid w:val="0"/>
        <w:spacing w:before="12" w:line="300" w:lineRule="auto"/>
        <w:jc w:val="both"/>
        <w:rPr>
          <w:rFonts w:ascii="Arial" w:hAnsi="Arial" w:eastAsia="宋体" w:cs="Arial"/>
          <w:sz w:val="23"/>
          <w:szCs w:val="23"/>
          <w:lang w:eastAsia="zh-CN"/>
        </w:rPr>
      </w:pPr>
    </w:p>
    <w:p w14:paraId="5BC000BA">
      <w:pPr>
        <w:pStyle w:val="5"/>
        <w:numPr>
          <w:ilvl w:val="0"/>
          <w:numId w:val="4"/>
        </w:numPr>
        <w:tabs>
          <w:tab w:val="left" w:pos="770"/>
        </w:tabs>
        <w:snapToGrid w:val="0"/>
        <w:spacing w:line="300" w:lineRule="auto"/>
        <w:ind w:left="0" w:firstLine="252"/>
        <w:jc w:val="both"/>
        <w:rPr>
          <w:rFonts w:ascii="Arial" w:hAnsi="Arial" w:eastAsia="宋体" w:cs="Arial"/>
        </w:rPr>
      </w:pPr>
      <w:bookmarkStart w:id="154" w:name="_bookmark77"/>
      <w:bookmarkEnd w:id="154"/>
      <w:bookmarkStart w:id="155" w:name="4._Missing_Data"/>
      <w:bookmarkEnd w:id="155"/>
      <w:bookmarkStart w:id="156" w:name="_Toc481595928"/>
      <w:r>
        <w:rPr>
          <w:rFonts w:ascii="Arial" w:hAnsi="Arial" w:eastAsia="宋体" w:cs="Arial"/>
        </w:rPr>
        <w:t>缺失数据</w:t>
      </w:r>
      <w:bookmarkEnd w:id="156"/>
    </w:p>
    <w:p w14:paraId="1C5E20CD">
      <w:pPr>
        <w:snapToGrid w:val="0"/>
        <w:spacing w:line="300" w:lineRule="auto"/>
        <w:jc w:val="both"/>
        <w:rPr>
          <w:rFonts w:ascii="Arial" w:hAnsi="Arial" w:eastAsia="宋体" w:cs="Arial"/>
          <w:b/>
          <w:bCs/>
          <w:i/>
          <w:sz w:val="20"/>
          <w:szCs w:val="20"/>
        </w:rPr>
      </w:pPr>
    </w:p>
    <w:p w14:paraId="11C0FA93">
      <w:pPr>
        <w:snapToGrid w:val="0"/>
        <w:spacing w:line="300" w:lineRule="auto"/>
        <w:jc w:val="both"/>
        <w:rPr>
          <w:rFonts w:ascii="Arial" w:hAnsi="Arial" w:eastAsia="宋体" w:cs="Arial"/>
          <w:b/>
          <w:bCs/>
          <w:i/>
          <w:sz w:val="20"/>
          <w:szCs w:val="20"/>
        </w:rPr>
      </w:pPr>
    </w:p>
    <w:p w14:paraId="12B7377F">
      <w:pPr>
        <w:snapToGrid w:val="0"/>
        <w:spacing w:before="11" w:line="300" w:lineRule="auto"/>
        <w:jc w:val="both"/>
        <w:rPr>
          <w:rFonts w:ascii="Arial" w:hAnsi="Arial" w:eastAsia="宋体" w:cs="Arial"/>
          <w:b/>
          <w:bCs/>
          <w:i/>
          <w:sz w:val="25"/>
          <w:szCs w:val="25"/>
        </w:rPr>
      </w:pPr>
    </w:p>
    <w:p w14:paraId="3874DDAB">
      <w:pPr>
        <w:snapToGrid w:val="0"/>
        <w:spacing w:before="11" w:line="300" w:lineRule="auto"/>
        <w:jc w:val="both"/>
        <w:rPr>
          <w:rFonts w:ascii="Arial" w:hAnsi="Arial" w:eastAsia="宋体" w:cs="Arial"/>
          <w:b/>
          <w:bCs/>
          <w:i/>
          <w:sz w:val="25"/>
          <w:szCs w:val="25"/>
        </w:rPr>
      </w:pPr>
    </w:p>
    <w:p w14:paraId="27F2CCBC">
      <w:pPr>
        <w:snapToGrid w:val="0"/>
        <w:spacing w:before="11" w:line="300" w:lineRule="auto"/>
        <w:jc w:val="both"/>
        <w:rPr>
          <w:rFonts w:ascii="Arial" w:hAnsi="Arial" w:eastAsia="宋体" w:cs="Arial"/>
          <w:b/>
          <w:bCs/>
          <w:i/>
          <w:sz w:val="25"/>
          <w:szCs w:val="25"/>
        </w:rPr>
      </w:pPr>
    </w:p>
    <w:p w14:paraId="5F812A05">
      <w:pPr>
        <w:snapToGrid w:val="0"/>
        <w:spacing w:before="11" w:line="300" w:lineRule="auto"/>
        <w:jc w:val="both"/>
        <w:rPr>
          <w:rFonts w:ascii="Arial" w:hAnsi="Arial" w:eastAsia="宋体" w:cs="Arial"/>
          <w:b/>
          <w:bCs/>
          <w:i/>
          <w:sz w:val="25"/>
          <w:szCs w:val="25"/>
        </w:rPr>
      </w:pPr>
    </w:p>
    <w:p w14:paraId="608B4C81">
      <w:pPr>
        <w:snapToGrid w:val="0"/>
        <w:spacing w:before="11" w:line="300" w:lineRule="auto"/>
        <w:jc w:val="both"/>
        <w:rPr>
          <w:rFonts w:ascii="Arial" w:hAnsi="Arial" w:eastAsia="宋体" w:cs="Arial"/>
          <w:b/>
          <w:bCs/>
          <w:i/>
          <w:sz w:val="25"/>
          <w:szCs w:val="25"/>
        </w:rPr>
      </w:pPr>
    </w:p>
    <w:p w14:paraId="35645237">
      <w:pPr>
        <w:snapToGrid w:val="0"/>
        <w:spacing w:before="11" w:line="300" w:lineRule="auto"/>
        <w:jc w:val="both"/>
        <w:rPr>
          <w:rFonts w:ascii="Arial" w:hAnsi="Arial" w:eastAsia="宋体" w:cs="Arial"/>
          <w:b/>
          <w:bCs/>
          <w:i/>
          <w:sz w:val="25"/>
          <w:szCs w:val="25"/>
        </w:rPr>
      </w:pPr>
    </w:p>
    <w:p w14:paraId="0A9FF449">
      <w:pPr>
        <w:snapToGrid w:val="0"/>
        <w:spacing w:before="11" w:line="300" w:lineRule="auto"/>
        <w:jc w:val="both"/>
        <w:rPr>
          <w:rFonts w:ascii="Arial" w:hAnsi="Arial" w:eastAsia="宋体" w:cs="Arial"/>
          <w:b/>
          <w:bCs/>
          <w:i/>
          <w:sz w:val="25"/>
          <w:szCs w:val="25"/>
        </w:rPr>
      </w:pPr>
    </w:p>
    <w:p w14:paraId="67A9BC18">
      <w:pPr>
        <w:snapToGrid w:val="0"/>
        <w:spacing w:before="11" w:line="300" w:lineRule="auto"/>
        <w:jc w:val="both"/>
        <w:rPr>
          <w:rFonts w:ascii="Arial" w:hAnsi="Arial" w:eastAsia="宋体" w:cs="Arial"/>
          <w:b/>
          <w:bCs/>
          <w:i/>
          <w:sz w:val="25"/>
          <w:szCs w:val="25"/>
        </w:rPr>
      </w:pPr>
    </w:p>
    <w:p w14:paraId="3CBA29DF">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10" name="Group 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1" name="Group 9"/>
                        <wpg:cNvGrpSpPr/>
                        <wpg:grpSpPr>
                          <a:xfrm>
                            <a:off x="6" y="6"/>
                            <a:ext cx="2880" cy="2"/>
                            <a:chOff x="6" y="6"/>
                            <a:chExt cx="2880" cy="2"/>
                          </a:xfrm>
                        </wpg:grpSpPr>
                        <wps:wsp>
                          <wps:cNvPr id="12" name="Freeform 1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JPiEg0ZAwAA/AcAAA4AAAAAAAAAAQAgAAAAIwEAAGRycy9lMm9Eb2Mu&#10;eG1sUEsFBgAAAAAGAAYAWQEAAK4GAAAAAA==&#10;">
                <o:lock v:ext="edit" aspectratio="f"/>
                <v:group id="Group 9" o:spid="_x0000_s1026" o:spt="203" style="position:absolute;left:6;top:6;height:2;width:2880;" coordorigin="6,6" coordsize="2880,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10" o:spid="_x0000_s1026" o:spt="100" style="position:absolute;left:6;top:6;height:2;width:2880;" filled="f" stroked="t" coordsize="2880,1" o:gfxdata="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Gk0b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762CB3B">
      <w:pPr>
        <w:pStyle w:val="6"/>
        <w:snapToGrid w:val="0"/>
        <w:spacing w:before="59" w:line="300" w:lineRule="auto"/>
        <w:ind w:left="0"/>
        <w:jc w:val="both"/>
        <w:rPr>
          <w:rFonts w:ascii="Arial" w:hAnsi="Arial" w:eastAsia="宋体" w:cs="Arial"/>
          <w:lang w:eastAsia="zh-CN"/>
        </w:rPr>
      </w:pPr>
      <w:bookmarkStart w:id="157" w:name="_bookmark78"/>
      <w:bookmarkEnd w:id="157"/>
      <w:r>
        <w:rPr>
          <w:rFonts w:ascii="Arial" w:hAnsi="Arial" w:eastAsia="宋体" w:cs="Arial"/>
          <w:position w:val="11"/>
          <w:sz w:val="16"/>
          <w:lang w:eastAsia="zh-CN"/>
        </w:rPr>
        <w:t>38</w:t>
      </w:r>
      <w:r>
        <w:rPr>
          <w:rFonts w:ascii="Arial" w:hAnsi="Arial" w:eastAsia="宋体" w:cs="Arial"/>
          <w:lang w:eastAsia="zh-CN"/>
        </w:rPr>
        <w:t>应分析治疗方式的所有特性（例如，大小、功率水平、治疗时间等）。数据应支持将可用的完整范围的器械尺寸和治疗参数。</w:t>
      </w:r>
    </w:p>
    <w:p w14:paraId="295EE819">
      <w:pPr>
        <w:widowControl/>
        <w:rPr>
          <w:rFonts w:ascii="Arial" w:hAnsi="Arial" w:eastAsia="宋体" w:cs="Arial"/>
          <w:lang w:eastAsia="zh-CN"/>
        </w:rPr>
      </w:pPr>
      <w:r>
        <w:rPr>
          <w:rFonts w:ascii="Arial" w:hAnsi="Arial" w:eastAsia="宋体" w:cs="Arial"/>
          <w:lang w:eastAsia="zh-CN"/>
        </w:rPr>
        <w:br w:type="page"/>
      </w:r>
    </w:p>
    <w:p w14:paraId="6C993ED3">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缺失数据可能是潜在偏差的重要来源。虽然存在用于估算缺失数据的各种统计方法，但如果缺失数据过多，则可能会导致结果中产生不可接受的不确定性水平，并使研究结论无效。因此，我们建议应尽量减少缺失数据的发生率。</w:t>
      </w:r>
      <w:r>
        <w:rPr>
          <w:rFonts w:ascii="Arial" w:hAnsi="Arial" w:eastAsia="宋体" w:cs="Arial"/>
          <w:vertAlign w:val="superscript"/>
          <w:lang w:eastAsia="zh-CN"/>
        </w:rPr>
        <w:t>39</w:t>
      </w:r>
      <w:r>
        <w:rPr>
          <w:rFonts w:ascii="Arial" w:hAnsi="Arial" w:eastAsia="宋体" w:cs="Arial"/>
          <w:lang w:eastAsia="zh-CN"/>
        </w:rPr>
        <w:t>我们建议贵公司的方案应包含以下列出的要素。</w:t>
      </w:r>
    </w:p>
    <w:p w14:paraId="3077FB65">
      <w:pPr>
        <w:snapToGrid w:val="0"/>
        <w:spacing w:before="1" w:line="300" w:lineRule="auto"/>
        <w:jc w:val="both"/>
        <w:rPr>
          <w:rFonts w:ascii="Arial" w:hAnsi="Arial" w:eastAsia="宋体" w:cs="Arial"/>
          <w:sz w:val="24"/>
          <w:szCs w:val="24"/>
          <w:lang w:eastAsia="zh-CN"/>
        </w:rPr>
      </w:pPr>
    </w:p>
    <w:p w14:paraId="59D2A0E1">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尽量减少缺失访视和终止治疗：</w:t>
      </w:r>
      <w:r>
        <w:rPr>
          <w:rFonts w:ascii="Arial" w:hAnsi="Arial" w:eastAsia="宋体" w:cs="Arial"/>
          <w:lang w:eastAsia="zh-CN"/>
        </w:rPr>
        <w:t>我们建议贵公司说明在研究期间将使用的努力，以监测和最大限度地减少患者终止治疗的发生率，例如监测活动、为研究符合性向受试者提供的特殊奖励、提醒受试者定期访视的方法，以及用于联系丢失访视的受试者（例如电话、明信片、联系亲属）的具体努力；以及</w:t>
      </w:r>
    </w:p>
    <w:p w14:paraId="4E6297B9">
      <w:pPr>
        <w:snapToGrid w:val="0"/>
        <w:spacing w:before="12" w:line="300" w:lineRule="auto"/>
        <w:jc w:val="both"/>
        <w:rPr>
          <w:rFonts w:ascii="Arial" w:hAnsi="Arial" w:eastAsia="宋体" w:cs="Arial"/>
          <w:sz w:val="23"/>
          <w:szCs w:val="23"/>
          <w:lang w:eastAsia="zh-CN"/>
        </w:rPr>
      </w:pPr>
    </w:p>
    <w:p w14:paraId="4D57670E">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记录缺失数据的原因：</w:t>
      </w:r>
      <w:r>
        <w:rPr>
          <w:rFonts w:ascii="Arial" w:hAnsi="Arial" w:eastAsia="宋体" w:cs="Arial"/>
          <w:lang w:eastAsia="zh-CN"/>
        </w:rPr>
        <w:t>我们建议贵公司确定用于记录以下的步骤：</w:t>
      </w:r>
    </w:p>
    <w:p w14:paraId="318D8986">
      <w:pPr>
        <w:snapToGrid w:val="0"/>
        <w:spacing w:before="11" w:line="300" w:lineRule="auto"/>
        <w:jc w:val="both"/>
        <w:rPr>
          <w:rFonts w:ascii="Arial" w:hAnsi="Arial" w:eastAsia="宋体" w:cs="Arial"/>
          <w:sz w:val="23"/>
          <w:szCs w:val="23"/>
          <w:lang w:eastAsia="zh-CN"/>
        </w:rPr>
      </w:pPr>
    </w:p>
    <w:p w14:paraId="78982463">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各缺失访视的原因，例如并发症、难以乘坐到达地点的交通工具；</w:t>
      </w:r>
    </w:p>
    <w:p w14:paraId="42EB117B">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每次终止治疗的原因，例如寻求替代治疗、并发症或无法容忍器械、对器械的性能不满，已搬离；以及</w:t>
      </w:r>
    </w:p>
    <w:p w14:paraId="31D72449">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死亡原因，例如尸体解剖报告、死亡证明。</w:t>
      </w:r>
    </w:p>
    <w:p w14:paraId="045F4C36">
      <w:pPr>
        <w:snapToGrid w:val="0"/>
        <w:spacing w:before="1" w:line="300" w:lineRule="auto"/>
        <w:jc w:val="both"/>
        <w:rPr>
          <w:rFonts w:ascii="Arial" w:hAnsi="Arial" w:eastAsia="宋体" w:cs="Arial"/>
          <w:sz w:val="24"/>
          <w:szCs w:val="24"/>
          <w:lang w:eastAsia="zh-CN"/>
        </w:rPr>
      </w:pPr>
    </w:p>
    <w:p w14:paraId="0122C25E">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为允许全面且详细地说明所有研究受试者，我们建议贵公司收集研究期间的完整信息。因为丢失随访会对有关器械的长期安全性和有效性的结论产生不利影响，我们建议贵公司在整个研究过程中将总随访丢失率限制在20％以下。</w:t>
      </w:r>
    </w:p>
    <w:p w14:paraId="1492984B">
      <w:pPr>
        <w:snapToGrid w:val="0"/>
        <w:spacing w:before="4" w:line="300" w:lineRule="auto"/>
        <w:jc w:val="both"/>
        <w:rPr>
          <w:rFonts w:ascii="Arial" w:hAnsi="Arial" w:eastAsia="宋体" w:cs="Arial"/>
          <w:sz w:val="24"/>
          <w:szCs w:val="24"/>
          <w:lang w:eastAsia="zh-CN"/>
        </w:rPr>
      </w:pPr>
    </w:p>
    <w:p w14:paraId="4547A108">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方案应规定贵公司如何计划在统计分析中处理缺失数据。一种常见的方法是ITT分析。其他方法包括根据治疗或根据方案进行的分析。ITT方法保留了患者间在基线特性方面（可观察和不可观察）的可比性，并且通常被视为评价新疗法的首选方法。</w:t>
      </w:r>
      <w:r>
        <w:rPr>
          <w:rFonts w:ascii="Arial" w:hAnsi="Arial" w:eastAsia="宋体" w:cs="Arial"/>
          <w:vertAlign w:val="superscript"/>
          <w:lang w:eastAsia="zh-CN"/>
        </w:rPr>
        <w:t>40</w:t>
      </w:r>
      <w:r>
        <w:rPr>
          <w:rFonts w:ascii="Arial" w:hAnsi="Arial" w:eastAsia="宋体" w:cs="Arial"/>
          <w:lang w:eastAsia="zh-CN"/>
        </w:rPr>
        <w:t>如上所述（2.主要终点分析），应进行灵敏度分析以比较在关于缺失数据机制的各种假设下获得的数据。</w:t>
      </w:r>
    </w:p>
    <w:p w14:paraId="30C7179E">
      <w:pPr>
        <w:snapToGrid w:val="0"/>
        <w:spacing w:line="300" w:lineRule="auto"/>
        <w:jc w:val="both"/>
        <w:rPr>
          <w:rFonts w:ascii="Arial" w:hAnsi="Arial" w:eastAsia="宋体" w:cs="Arial"/>
          <w:sz w:val="20"/>
          <w:szCs w:val="20"/>
          <w:lang w:eastAsia="zh-CN"/>
        </w:rPr>
      </w:pPr>
    </w:p>
    <w:p w14:paraId="4DA90B8A">
      <w:pPr>
        <w:snapToGrid w:val="0"/>
        <w:spacing w:line="300" w:lineRule="auto"/>
        <w:jc w:val="both"/>
        <w:rPr>
          <w:rFonts w:ascii="Arial" w:hAnsi="Arial" w:eastAsia="宋体" w:cs="Arial"/>
          <w:sz w:val="20"/>
          <w:szCs w:val="20"/>
          <w:lang w:eastAsia="zh-CN"/>
        </w:rPr>
      </w:pPr>
    </w:p>
    <w:p w14:paraId="40211521">
      <w:pPr>
        <w:snapToGrid w:val="0"/>
        <w:spacing w:line="300" w:lineRule="auto"/>
        <w:jc w:val="both"/>
        <w:rPr>
          <w:rFonts w:ascii="Arial" w:hAnsi="Arial" w:eastAsia="宋体" w:cs="Arial"/>
          <w:sz w:val="24"/>
          <w:szCs w:val="24"/>
          <w:lang w:eastAsia="zh-CN"/>
        </w:rPr>
      </w:pPr>
    </w:p>
    <w:p w14:paraId="6FA153C7">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7" name="Group 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8" name="Group 6"/>
                        <wpg:cNvGrpSpPr/>
                        <wpg:grpSpPr>
                          <a:xfrm>
                            <a:off x="6" y="6"/>
                            <a:ext cx="2880" cy="2"/>
                            <a:chOff x="6" y="6"/>
                            <a:chExt cx="2880" cy="2"/>
                          </a:xfrm>
                        </wpg:grpSpPr>
                        <wps:wsp>
                          <wps:cNvPr id="9" name="Freeform 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A/oSF1AAAAAMBAAAPAAAAAAAAAAEAIAAAACIAAABkcnMvZG93bnJldi54bWxQ&#10;SwECFAAUAAAACACHTuJAM1oFORgDAAD4BwAADgAAAAAAAAABACAAAAAjAQAAZHJzL2Uyb0RvYy54&#10;bWxQSwUGAAAAAAYABgBZAQAArQYAAAAA&#10;">
                <o:lock v:ext="edit" aspectratio="f"/>
                <v:group id="Group 6" o:spid="_x0000_s1026" o:spt="203" style="position:absolute;left:6;top:6;height:2;width:2880;" coordorigin="6,6" coordsize="2880,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7" o:spid="_x0000_s1026" o:spt="100" style="position:absolute;left:6;top:6;height:2;width:2880;" filled="f" stroked="t" coordsize="2880,1" o:gfxdata="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yKcrsAAADa&#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A6CA272">
      <w:pPr>
        <w:pStyle w:val="6"/>
        <w:snapToGrid w:val="0"/>
        <w:spacing w:before="59" w:line="300" w:lineRule="auto"/>
        <w:ind w:left="0"/>
        <w:jc w:val="both"/>
        <w:rPr>
          <w:rFonts w:ascii="Arial" w:hAnsi="Arial" w:eastAsia="宋体" w:cs="Arial"/>
          <w:lang w:eastAsia="zh-CN"/>
        </w:rPr>
      </w:pPr>
      <w:bookmarkStart w:id="158" w:name="_bookmark79"/>
      <w:bookmarkEnd w:id="158"/>
      <w:r>
        <w:rPr>
          <w:rFonts w:ascii="Arial" w:hAnsi="Arial" w:eastAsia="宋体" w:cs="Arial"/>
          <w:position w:val="11"/>
          <w:sz w:val="16"/>
          <w:lang w:eastAsia="zh-CN"/>
        </w:rPr>
        <w:t xml:space="preserve">39 </w:t>
      </w:r>
      <w:r>
        <w:rPr>
          <w:rFonts w:ascii="Arial" w:hAnsi="Arial" w:eastAsia="宋体" w:cs="Arial"/>
          <w:lang w:eastAsia="zh-CN"/>
        </w:rPr>
        <w:t>Woolhard RH等人。简要回顾用于增强随访并解决丢失随访的一些技术（参考文献：18）。</w:t>
      </w:r>
    </w:p>
    <w:p w14:paraId="2C054676">
      <w:pPr>
        <w:pStyle w:val="6"/>
        <w:snapToGrid w:val="0"/>
        <w:spacing w:before="4" w:line="300" w:lineRule="auto"/>
        <w:ind w:left="0"/>
        <w:jc w:val="both"/>
        <w:rPr>
          <w:rFonts w:ascii="Arial" w:hAnsi="Arial" w:eastAsia="宋体" w:cs="Arial"/>
          <w:lang w:eastAsia="zh-CN"/>
        </w:rPr>
      </w:pPr>
      <w:bookmarkStart w:id="159" w:name="_bookmark80"/>
      <w:bookmarkEnd w:id="159"/>
      <w:r>
        <w:rPr>
          <w:rFonts w:ascii="Arial" w:hAnsi="Arial" w:eastAsia="宋体" w:cs="Arial"/>
          <w:position w:val="11"/>
          <w:sz w:val="16"/>
          <w:lang w:eastAsia="zh-CN"/>
        </w:rPr>
        <w:t>40</w:t>
      </w:r>
      <w:r>
        <w:rPr>
          <w:rFonts w:ascii="Arial" w:hAnsi="Arial" w:eastAsia="宋体" w:cs="Arial"/>
          <w:lang w:eastAsia="zh-CN"/>
        </w:rPr>
        <w:t xml:space="preserve"> Ellenberg，JH，意向治疗分析与治疗分析。药品信息杂志，1996年，30：535-44。</w:t>
      </w:r>
    </w:p>
    <w:p w14:paraId="604F762D">
      <w:pPr>
        <w:snapToGrid w:val="0"/>
        <w:spacing w:line="300" w:lineRule="auto"/>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p>
    <w:p w14:paraId="7C0B6209">
      <w:pPr>
        <w:pStyle w:val="3"/>
        <w:numPr>
          <w:ilvl w:val="1"/>
          <w:numId w:val="1"/>
        </w:numPr>
        <w:tabs>
          <w:tab w:val="left" w:pos="1199"/>
          <w:tab w:val="left" w:pos="1200"/>
        </w:tabs>
        <w:snapToGrid w:val="0"/>
        <w:spacing w:before="218" w:line="300" w:lineRule="auto"/>
        <w:ind w:left="720"/>
        <w:jc w:val="both"/>
        <w:rPr>
          <w:rFonts w:ascii="Arial" w:hAnsi="Arial" w:eastAsia="宋体" w:cs="Arial"/>
          <w:b w:val="0"/>
          <w:bCs w:val="0"/>
        </w:rPr>
      </w:pPr>
      <w:bookmarkStart w:id="160" w:name="O._Risk_Analysis"/>
      <w:bookmarkEnd w:id="160"/>
      <w:bookmarkStart w:id="161" w:name="_bookmark81"/>
      <w:bookmarkEnd w:id="161"/>
      <w:bookmarkStart w:id="162" w:name="_Toc481595929"/>
      <w:r>
        <w:rPr>
          <w:rFonts w:ascii="Arial" w:hAnsi="Arial" w:eastAsia="宋体" w:cs="Arial"/>
        </w:rPr>
        <w:t>风险分析</w:t>
      </w:r>
      <w:bookmarkEnd w:id="162"/>
    </w:p>
    <w:p w14:paraId="1C39C282">
      <w:pPr>
        <w:snapToGrid w:val="0"/>
        <w:spacing w:before="8" w:line="300" w:lineRule="auto"/>
        <w:jc w:val="both"/>
        <w:rPr>
          <w:rFonts w:ascii="Arial" w:hAnsi="Arial" w:eastAsia="宋体" w:cs="Arial"/>
          <w:b/>
          <w:bCs/>
          <w:sz w:val="23"/>
          <w:szCs w:val="23"/>
        </w:rPr>
      </w:pPr>
    </w:p>
    <w:p w14:paraId="4EF240D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该方案应包含临床合理的风险分析，以支持拟定研究。在需要提供经批准的IDE申请的临床研究中，</w:t>
      </w:r>
      <w:r>
        <w:rPr>
          <w:rFonts w:ascii="Arial" w:hAnsi="Arial" w:eastAsia="宋体" w:cs="Arial"/>
          <w:vertAlign w:val="superscript"/>
          <w:lang w:eastAsia="zh-CN"/>
        </w:rPr>
        <w:t>41</w:t>
      </w:r>
      <w:r>
        <w:rPr>
          <w:rFonts w:ascii="Arial" w:hAnsi="Arial" w:eastAsia="宋体" w:cs="Arial"/>
          <w:lang w:eastAsia="zh-CN"/>
        </w:rPr>
        <w:t>风险分析必须包括21 CFR 812.25（c）中规定的要素，如下所示：</w:t>
      </w:r>
    </w:p>
    <w:p w14:paraId="7BEF1753">
      <w:pPr>
        <w:snapToGrid w:val="0"/>
        <w:spacing w:before="7" w:line="300" w:lineRule="auto"/>
        <w:jc w:val="both"/>
        <w:rPr>
          <w:rFonts w:ascii="Arial" w:hAnsi="Arial" w:eastAsia="宋体" w:cs="Arial"/>
          <w:sz w:val="24"/>
          <w:szCs w:val="24"/>
          <w:lang w:eastAsia="zh-CN"/>
        </w:rPr>
      </w:pPr>
    </w:p>
    <w:p w14:paraId="0709D2EB">
      <w:pPr>
        <w:pStyle w:val="18"/>
        <w:numPr>
          <w:ilvl w:val="2"/>
          <w:numId w:val="1"/>
        </w:numPr>
        <w:tabs>
          <w:tab w:val="left" w:pos="812"/>
        </w:tabs>
        <w:snapToGrid w:val="0"/>
        <w:spacing w:line="300" w:lineRule="auto"/>
        <w:ind w:left="0" w:firstLine="280"/>
        <w:jc w:val="both"/>
        <w:rPr>
          <w:rFonts w:ascii="Arial" w:hAnsi="Arial" w:eastAsia="宋体" w:cs="Arial"/>
          <w:lang w:eastAsia="zh-CN"/>
        </w:rPr>
      </w:pPr>
      <w:r>
        <w:rPr>
          <w:rFonts w:ascii="Arial" w:hAnsi="Arial" w:eastAsia="宋体" w:cs="Arial"/>
          <w:sz w:val="24"/>
          <w:lang w:eastAsia="zh-CN"/>
        </w:rPr>
        <w:t>对研究对象受到所有风险增加的描述和分析；</w:t>
      </w:r>
    </w:p>
    <w:p w14:paraId="602EC7CE">
      <w:pPr>
        <w:pStyle w:val="18"/>
        <w:numPr>
          <w:ilvl w:val="2"/>
          <w:numId w:val="1"/>
        </w:numPr>
        <w:tabs>
          <w:tab w:val="left" w:pos="812"/>
        </w:tabs>
        <w:snapToGrid w:val="0"/>
        <w:spacing w:line="300" w:lineRule="auto"/>
        <w:ind w:left="0" w:firstLine="280"/>
        <w:jc w:val="both"/>
        <w:rPr>
          <w:rFonts w:ascii="Arial" w:hAnsi="Arial" w:eastAsia="宋体" w:cs="Arial"/>
          <w:lang w:eastAsia="zh-CN"/>
        </w:rPr>
      </w:pPr>
      <w:r>
        <w:rPr>
          <w:rFonts w:ascii="Arial" w:hAnsi="Arial" w:eastAsia="宋体" w:cs="Arial"/>
          <w:sz w:val="24"/>
          <w:lang w:eastAsia="zh-CN"/>
        </w:rPr>
        <w:t>最小化这些风险的方式；</w:t>
      </w:r>
    </w:p>
    <w:p w14:paraId="104CA37C">
      <w:pPr>
        <w:pStyle w:val="18"/>
        <w:numPr>
          <w:ilvl w:val="2"/>
          <w:numId w:val="1"/>
        </w:numPr>
        <w:tabs>
          <w:tab w:val="left" w:pos="812"/>
        </w:tabs>
        <w:snapToGrid w:val="0"/>
        <w:spacing w:line="300" w:lineRule="auto"/>
        <w:ind w:left="0" w:firstLine="280"/>
        <w:jc w:val="both"/>
        <w:rPr>
          <w:rFonts w:ascii="Arial" w:hAnsi="Arial" w:eastAsia="宋体" w:cs="Arial"/>
        </w:rPr>
      </w:pPr>
      <w:r>
        <w:rPr>
          <w:rFonts w:ascii="Arial" w:hAnsi="Arial" w:eastAsia="宋体" w:cs="Arial"/>
          <w:sz w:val="24"/>
          <w:lang w:eastAsia="zh-CN"/>
        </w:rPr>
        <w:t>研究</w:t>
      </w:r>
      <w:r>
        <w:rPr>
          <w:rFonts w:ascii="Arial" w:hAnsi="Arial" w:eastAsia="宋体" w:cs="Arial"/>
          <w:sz w:val="24"/>
        </w:rPr>
        <w:t>的理由；</w:t>
      </w:r>
      <w:r>
        <w:rPr>
          <w:rFonts w:ascii="Arial" w:hAnsi="Arial" w:eastAsia="宋体" w:cs="Arial"/>
          <w:sz w:val="24"/>
          <w:lang w:eastAsia="zh-CN"/>
        </w:rPr>
        <w:t>和</w:t>
      </w:r>
    </w:p>
    <w:p w14:paraId="4E956952">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患者人数的描述，包括数量，年龄，性别和状况。</w:t>
      </w:r>
    </w:p>
    <w:p w14:paraId="023561CB">
      <w:pPr>
        <w:snapToGrid w:val="0"/>
        <w:spacing w:before="1" w:line="300" w:lineRule="auto"/>
        <w:jc w:val="both"/>
        <w:rPr>
          <w:rFonts w:ascii="Arial" w:hAnsi="Arial" w:eastAsia="宋体" w:cs="Arial"/>
          <w:sz w:val="24"/>
          <w:szCs w:val="24"/>
          <w:lang w:eastAsia="zh-CN"/>
        </w:rPr>
      </w:pPr>
    </w:p>
    <w:p w14:paraId="29B7DD6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我们建议贵公司的方案的风险分析部分应包括器械本身的风险和与治疗程序相关的风险。此外，我们建议贵公司在知情同意文件中使用易于理解的术语向潜在受试者传达这些风险。</w:t>
      </w:r>
    </w:p>
    <w:p w14:paraId="73CE0A30">
      <w:pPr>
        <w:snapToGrid w:val="0"/>
        <w:spacing w:before="11" w:line="300" w:lineRule="auto"/>
        <w:jc w:val="both"/>
        <w:rPr>
          <w:rFonts w:ascii="Arial" w:hAnsi="Arial" w:eastAsia="宋体" w:cs="Arial"/>
          <w:sz w:val="23"/>
          <w:szCs w:val="23"/>
          <w:lang w:eastAsia="zh-CN"/>
        </w:rPr>
      </w:pPr>
    </w:p>
    <w:p w14:paraId="6FB57FCA">
      <w:pPr>
        <w:pStyle w:val="3"/>
        <w:numPr>
          <w:ilvl w:val="1"/>
          <w:numId w:val="1"/>
        </w:numPr>
        <w:tabs>
          <w:tab w:val="left" w:pos="1200"/>
        </w:tabs>
        <w:snapToGrid w:val="0"/>
        <w:spacing w:before="218" w:line="300" w:lineRule="auto"/>
        <w:ind w:left="720"/>
        <w:jc w:val="both"/>
        <w:rPr>
          <w:rFonts w:ascii="Arial" w:hAnsi="Arial" w:eastAsia="宋体" w:cs="Arial"/>
        </w:rPr>
      </w:pPr>
      <w:bookmarkStart w:id="163" w:name="_bookmark82"/>
      <w:bookmarkEnd w:id="163"/>
      <w:bookmarkStart w:id="164" w:name="P._Study_Monitoring"/>
      <w:bookmarkEnd w:id="164"/>
      <w:bookmarkStart w:id="165" w:name="_Toc481595930"/>
      <w:r>
        <w:rPr>
          <w:rFonts w:ascii="Arial" w:hAnsi="Arial" w:eastAsia="宋体" w:cs="Arial"/>
        </w:rPr>
        <w:t>研究监测</w:t>
      </w:r>
      <w:bookmarkEnd w:id="165"/>
    </w:p>
    <w:p w14:paraId="36A1EBAB">
      <w:pPr>
        <w:snapToGrid w:val="0"/>
        <w:spacing w:before="1" w:line="300" w:lineRule="auto"/>
        <w:jc w:val="both"/>
        <w:rPr>
          <w:rFonts w:ascii="Arial" w:hAnsi="Arial" w:eastAsia="宋体" w:cs="Arial"/>
          <w:b/>
          <w:bCs/>
          <w:sz w:val="24"/>
          <w:szCs w:val="24"/>
        </w:rPr>
      </w:pPr>
    </w:p>
    <w:p w14:paraId="62F4C1F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我们认为，正确的研究监测对于确保研究对象的安全、研究者是否遵守研究计划和21 CFR第50和812部分的适用要求以及所得临床资料的质量和完整性来说至关重要。</w:t>
      </w:r>
    </w:p>
    <w:p w14:paraId="27104A2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因此，我们建议研究计划纳入研究者同意在研究期间遵循的综合性书面监测计划。在需要提供经批准的IDE申请的临床研究中，IDE申请必须提供符合21 CFR 812.25（e）的书面监测程序。此外，请参阅本审查机构发布的名为“有关监测临床研究的指南”</w:t>
      </w:r>
      <w:r>
        <w:rPr>
          <w:rFonts w:ascii="Arial" w:hAnsi="Arial" w:eastAsia="宋体" w:cs="Arial"/>
          <w:vertAlign w:val="superscript"/>
          <w:lang w:eastAsia="zh-CN"/>
        </w:rPr>
        <w:t>42</w:t>
      </w:r>
      <w:r>
        <w:rPr>
          <w:rFonts w:ascii="Arial" w:hAnsi="Arial" w:eastAsia="宋体" w:cs="Arial"/>
          <w:lang w:eastAsia="zh-CN"/>
        </w:rPr>
        <w:t>的指南，以获得用于监测涉及FDA监管产品的临床研究的推荐方法。</w:t>
      </w:r>
    </w:p>
    <w:p w14:paraId="6A61465C">
      <w:pPr>
        <w:snapToGrid w:val="0"/>
        <w:spacing w:before="2" w:line="300" w:lineRule="auto"/>
        <w:jc w:val="both"/>
        <w:rPr>
          <w:rFonts w:ascii="Arial" w:hAnsi="Arial" w:eastAsia="宋体" w:cs="Arial"/>
          <w:sz w:val="24"/>
          <w:szCs w:val="24"/>
          <w:lang w:eastAsia="zh-CN"/>
        </w:rPr>
      </w:pPr>
    </w:p>
    <w:p w14:paraId="15E67E0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书面监测程序有助于确保参与监督过程的每个人履行其自身的职责。除21 CFR 第812部分和21 CFR第 50部分所要求以及“有关监测临床研究的指南”中建议的要素外，我们建议贵公司将以下要素纳入贵公司的监测程序：</w:t>
      </w:r>
    </w:p>
    <w:p w14:paraId="2C7643E5">
      <w:pPr>
        <w:snapToGrid w:val="0"/>
        <w:spacing w:before="1" w:line="300" w:lineRule="auto"/>
        <w:jc w:val="both"/>
        <w:rPr>
          <w:rFonts w:ascii="Arial" w:hAnsi="Arial" w:eastAsia="宋体" w:cs="Arial"/>
          <w:sz w:val="24"/>
          <w:szCs w:val="24"/>
          <w:lang w:eastAsia="zh-CN"/>
        </w:rPr>
      </w:pPr>
    </w:p>
    <w:p w14:paraId="524D06BB">
      <w:pPr>
        <w:pStyle w:val="18"/>
        <w:numPr>
          <w:ilvl w:val="2"/>
          <w:numId w:val="1"/>
        </w:numPr>
        <w:tabs>
          <w:tab w:val="left" w:pos="812"/>
        </w:tabs>
        <w:snapToGrid w:val="0"/>
        <w:spacing w:line="300" w:lineRule="auto"/>
        <w:ind w:left="0" w:firstLine="280"/>
        <w:jc w:val="both"/>
        <w:rPr>
          <w:rFonts w:ascii="Arial" w:hAnsi="Arial" w:eastAsia="宋体" w:cs="Arial"/>
          <w:lang w:eastAsia="zh-CN"/>
        </w:rPr>
      </w:pPr>
      <w:r>
        <w:rPr>
          <w:rFonts w:ascii="Arial" w:hAnsi="Arial" w:eastAsia="宋体" w:cs="Arial"/>
          <w:sz w:val="24"/>
          <w:lang w:eastAsia="zh-CN"/>
        </w:rPr>
        <w:t>确定经过培训的合格监测员；</w:t>
      </w:r>
    </w:p>
    <w:p w14:paraId="6AB2F1B9">
      <w:pPr>
        <w:snapToGrid w:val="0"/>
        <w:spacing w:line="300" w:lineRule="auto"/>
        <w:jc w:val="both"/>
        <w:rPr>
          <w:rFonts w:ascii="Arial" w:hAnsi="Arial" w:eastAsia="宋体" w:cs="Arial"/>
          <w:sz w:val="20"/>
          <w:szCs w:val="20"/>
          <w:lang w:eastAsia="zh-CN"/>
        </w:rPr>
      </w:pPr>
    </w:p>
    <w:p w14:paraId="6A09247C">
      <w:pPr>
        <w:snapToGrid w:val="0"/>
        <w:spacing w:line="300" w:lineRule="auto"/>
        <w:jc w:val="both"/>
        <w:rPr>
          <w:rFonts w:ascii="Arial" w:hAnsi="Arial" w:eastAsia="宋体" w:cs="Arial"/>
          <w:sz w:val="20"/>
          <w:szCs w:val="20"/>
          <w:lang w:eastAsia="zh-CN"/>
        </w:rPr>
      </w:pPr>
    </w:p>
    <w:p w14:paraId="6FBAD3BF">
      <w:pPr>
        <w:snapToGrid w:val="0"/>
        <w:spacing w:before="8" w:line="300" w:lineRule="auto"/>
        <w:jc w:val="both"/>
        <w:rPr>
          <w:rFonts w:ascii="Arial" w:hAnsi="Arial" w:eastAsia="宋体" w:cs="Arial"/>
          <w:sz w:val="17"/>
          <w:szCs w:val="17"/>
          <w:lang w:eastAsia="zh-CN"/>
        </w:rPr>
      </w:pPr>
    </w:p>
    <w:p w14:paraId="249ACA2B">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4" name="Group 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 name="Group 3"/>
                        <wpg:cNvGrpSpPr/>
                        <wpg:grpSpPr>
                          <a:xfrm>
                            <a:off x="6" y="6"/>
                            <a:ext cx="2880" cy="2"/>
                            <a:chOff x="6" y="6"/>
                            <a:chExt cx="2880" cy="2"/>
                          </a:xfrm>
                        </wpg:grpSpPr>
                        <wps:wsp>
                          <wps:cNvPr id="6" name="Freeform 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ID+hIXUAAAAAwEAAA8AAAAAAAAAAQAgAAAAIgAAAGRycy9kb3ducmV2LnhtbFBL&#10;AQIUABQAAAAIAIdO4kBN6qijFwMAAPgHAAAOAAAAAAAAAAEAIAAAACMBAABkcnMvZTJvRG9jLnht&#10;bFBLBQYAAAAABgAGAFkBAACsBgAAAAA=&#10;">
                <o:lock v:ext="edit" aspectratio="f"/>
                <v:group id="Group 3" o:spid="_x0000_s1026" o:spt="203" style="position:absolute;left:6;top:6;height:2;width:2880;" coordorigin="6,6" coordsize="2880,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4" o:spid="_x0000_s1026" o:spt="100" style="position:absolute;left:6;top:6;height:2;width:2880;" filled="f" stroked="t" coordsize="2880,1" o:gfxdata="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THgC8AAAA&#10;2g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C2AD8BD">
      <w:pPr>
        <w:pStyle w:val="6"/>
        <w:snapToGrid w:val="0"/>
        <w:spacing w:before="59" w:line="300" w:lineRule="auto"/>
        <w:ind w:left="0"/>
        <w:jc w:val="both"/>
        <w:rPr>
          <w:rFonts w:ascii="Arial" w:hAnsi="Arial" w:eastAsia="宋体" w:cs="Arial"/>
          <w:lang w:eastAsia="zh-CN"/>
        </w:rPr>
      </w:pPr>
      <w:bookmarkStart w:id="166" w:name="_bookmark83"/>
      <w:bookmarkEnd w:id="166"/>
      <w:r>
        <w:rPr>
          <w:rFonts w:ascii="Arial" w:hAnsi="Arial" w:eastAsia="宋体" w:cs="Arial"/>
          <w:position w:val="11"/>
          <w:sz w:val="16"/>
          <w:lang w:eastAsia="zh-CN"/>
        </w:rPr>
        <w:t>41</w:t>
      </w:r>
      <w:r>
        <w:rPr>
          <w:rFonts w:ascii="Arial" w:hAnsi="Arial" w:eastAsia="宋体" w:cs="Arial"/>
          <w:lang w:eastAsia="zh-CN"/>
        </w:rPr>
        <w:t>在开始于美国对21 CFR 812.3（m）中定义的重大风险器械进行临床研究之前，需要提供经批准的IDE。</w:t>
      </w:r>
    </w:p>
    <w:p w14:paraId="21F60006">
      <w:pPr>
        <w:pStyle w:val="6"/>
        <w:snapToGrid w:val="0"/>
        <w:spacing w:before="5" w:line="300" w:lineRule="auto"/>
        <w:ind w:left="0"/>
        <w:jc w:val="both"/>
        <w:rPr>
          <w:rFonts w:ascii="Arial" w:hAnsi="Arial" w:eastAsia="宋体" w:cs="Arial"/>
        </w:rPr>
      </w:pPr>
      <w:bookmarkStart w:id="167" w:name="_bookmark84"/>
      <w:bookmarkEnd w:id="167"/>
      <w:r>
        <w:rPr>
          <w:rFonts w:ascii="Arial" w:hAnsi="Arial" w:eastAsia="宋体" w:cs="Arial"/>
          <w:position w:val="11"/>
          <w:sz w:val="16"/>
        </w:rPr>
        <w:t>42</w:t>
      </w:r>
      <w:r>
        <w:rPr>
          <w:rFonts w:ascii="Arial" w:hAnsi="Arial" w:eastAsia="宋体" w:cs="Arial"/>
          <w:spacing w:val="-17"/>
          <w:position w:val="11"/>
          <w:sz w:val="16"/>
        </w:rPr>
        <w:t xml:space="preserve"> </w:t>
      </w:r>
      <w:r>
        <w:fldChar w:fldCharType="begin"/>
      </w:r>
      <w:r>
        <w:instrText xml:space="preserve"> HYPERLINK "http://www.fda.gov/ICECI/EnforcementActions/BioresearchMonitoring/ucm135075.htm" \h </w:instrText>
      </w:r>
      <w:r>
        <w:fldChar w:fldCharType="separate"/>
      </w:r>
      <w:r>
        <w:rPr>
          <w:rFonts w:ascii="Arial" w:hAnsi="Arial" w:eastAsia="宋体" w:cs="Arial"/>
          <w:color w:val="0000FF"/>
          <w:u w:val="single" w:color="0000FF"/>
        </w:rPr>
        <w:t>http：//www.fda.gov/ICECI/EnforcementActions/BioresearchMonitoring/ucm135075.htm</w:t>
      </w:r>
      <w:r>
        <w:rPr>
          <w:rFonts w:ascii="Arial" w:hAnsi="Arial" w:eastAsia="宋体" w:cs="Arial"/>
          <w:color w:val="0000FF"/>
          <w:u w:val="single" w:color="0000FF"/>
        </w:rPr>
        <w:fldChar w:fldCharType="end"/>
      </w:r>
    </w:p>
    <w:p w14:paraId="6A232D64">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4E541DA6">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研究前和定期访视的说明，包括这些访视的时间安排和须执行的具体监测活动；</w:t>
      </w:r>
    </w:p>
    <w:p w14:paraId="705F510A">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审查代表性受试者记录以确定完整性和准确性的标准；以及</w:t>
      </w:r>
    </w:p>
    <w:p w14:paraId="032C49A9">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现场监测访视的适当记录的要素，包括研究结果、结论和为纠正任何不足而采取的行动。</w:t>
      </w:r>
    </w:p>
    <w:p w14:paraId="1AE8D1ED">
      <w:pPr>
        <w:snapToGrid w:val="0"/>
        <w:spacing w:before="12" w:line="300" w:lineRule="auto"/>
        <w:jc w:val="both"/>
        <w:rPr>
          <w:rFonts w:ascii="Arial" w:hAnsi="Arial" w:eastAsia="宋体" w:cs="Arial"/>
          <w:sz w:val="23"/>
          <w:szCs w:val="23"/>
          <w:lang w:eastAsia="zh-CN"/>
        </w:rPr>
      </w:pPr>
    </w:p>
    <w:p w14:paraId="62984AB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监督该试验的研究监测员应确定研究过程中可能致使需要对方案进行修改的潜在弱点。研究监测员还应有应急计划以应对可能发生的意外问题，并拥有可迅速实施这些计划地方法。我们建议贵公司和监测员仔细设计研究的任何应急计划，其中，目的在于保持贵公司研究设计的完整性。我们还建议贵公司的监测员应确保登记研究受试者、分配干预措施、在适当的时间收集随访数据，并按照方案规定完全准确地记录数据。</w:t>
      </w:r>
    </w:p>
    <w:p w14:paraId="0A3D32FB">
      <w:pPr>
        <w:snapToGrid w:val="0"/>
        <w:spacing w:before="11" w:line="300" w:lineRule="auto"/>
        <w:jc w:val="both"/>
        <w:rPr>
          <w:rFonts w:ascii="Arial" w:hAnsi="Arial" w:eastAsia="宋体" w:cs="Arial"/>
          <w:sz w:val="23"/>
          <w:szCs w:val="23"/>
          <w:lang w:eastAsia="zh-CN"/>
        </w:rPr>
      </w:pPr>
    </w:p>
    <w:p w14:paraId="6A705AB0">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168" w:name="_bookmark85"/>
      <w:bookmarkEnd w:id="168"/>
      <w:bookmarkStart w:id="169" w:name="Q._Case_Report_Forms"/>
      <w:bookmarkEnd w:id="169"/>
      <w:bookmarkStart w:id="170" w:name="_Toc481595931"/>
      <w:r>
        <w:rPr>
          <w:rFonts w:ascii="Arial" w:hAnsi="Arial" w:eastAsia="宋体" w:cs="Arial"/>
          <w:lang w:eastAsia="zh-CN"/>
        </w:rPr>
        <w:t>病例</w:t>
      </w:r>
      <w:r>
        <w:rPr>
          <w:rFonts w:ascii="Arial" w:hAnsi="Arial" w:eastAsia="宋体" w:cs="Arial"/>
        </w:rPr>
        <w:t>报告表</w:t>
      </w:r>
      <w:bookmarkEnd w:id="170"/>
    </w:p>
    <w:p w14:paraId="683E1D6F">
      <w:pPr>
        <w:snapToGrid w:val="0"/>
        <w:spacing w:before="1" w:line="300" w:lineRule="auto"/>
        <w:jc w:val="both"/>
        <w:rPr>
          <w:rFonts w:ascii="Arial" w:hAnsi="Arial" w:eastAsia="宋体" w:cs="Arial"/>
          <w:b/>
          <w:bCs/>
          <w:sz w:val="24"/>
          <w:szCs w:val="24"/>
        </w:rPr>
      </w:pPr>
    </w:p>
    <w:p w14:paraId="48394D3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确保在临床研究过程中收集到的所有信息都被记录在案，我们建议贵公司的研究纳入病例报告表以供研究者为每个受试者单独完成。为了方便记录所有受试者、治疗和研究数据，我们建议贵公司记录贵公司的方案中所述的、有关病例报告表的所有信息，其中包括：</w:t>
      </w:r>
    </w:p>
    <w:p w14:paraId="7A949438">
      <w:pPr>
        <w:snapToGrid w:val="0"/>
        <w:spacing w:before="11" w:line="300" w:lineRule="auto"/>
        <w:jc w:val="both"/>
        <w:rPr>
          <w:rFonts w:ascii="Arial" w:hAnsi="Arial" w:eastAsia="宋体" w:cs="Arial"/>
          <w:sz w:val="23"/>
          <w:szCs w:val="23"/>
          <w:lang w:eastAsia="zh-CN"/>
        </w:rPr>
      </w:pPr>
    </w:p>
    <w:p w14:paraId="05B2DAC4">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szCs w:val="24"/>
          <w:lang w:eastAsia="zh-CN"/>
        </w:rPr>
        <w:t>治</w:t>
      </w:r>
      <w:r>
        <w:rPr>
          <w:rFonts w:ascii="Arial" w:hAnsi="Arial" w:eastAsia="宋体" w:cs="Arial"/>
          <w:sz w:val="24"/>
          <w:lang w:eastAsia="zh-CN"/>
        </w:rPr>
        <w:t>疗前评价表</w:t>
      </w:r>
    </w:p>
    <w:p w14:paraId="483FF4DC">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治疗信息表；</w:t>
      </w:r>
    </w:p>
    <w:p w14:paraId="424CF1ED">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治疗后评价表；</w:t>
      </w:r>
    </w:p>
    <w:p w14:paraId="57DD09E4">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合并药物治疗表；</w:t>
      </w:r>
    </w:p>
    <w:p w14:paraId="4A7010A4">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方案偏差表；</w:t>
      </w:r>
    </w:p>
    <w:p w14:paraId="58D47868">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不良事件表；以及</w:t>
      </w:r>
    </w:p>
    <w:p w14:paraId="6C7ED9CC">
      <w:pPr>
        <w:pStyle w:val="18"/>
        <w:numPr>
          <w:ilvl w:val="2"/>
          <w:numId w:val="1"/>
        </w:numPr>
        <w:tabs>
          <w:tab w:val="left" w:pos="812"/>
        </w:tabs>
        <w:snapToGrid w:val="0"/>
        <w:spacing w:line="300" w:lineRule="auto"/>
        <w:ind w:left="0" w:firstLine="280"/>
        <w:jc w:val="both"/>
        <w:rPr>
          <w:rFonts w:ascii="Arial" w:hAnsi="Arial" w:eastAsia="宋体" w:cs="Arial"/>
          <w:sz w:val="24"/>
          <w:szCs w:val="24"/>
        </w:rPr>
      </w:pPr>
      <w:r>
        <w:rPr>
          <w:rFonts w:ascii="Arial" w:hAnsi="Arial" w:eastAsia="宋体" w:cs="Arial"/>
          <w:sz w:val="24"/>
          <w:lang w:eastAsia="zh-CN"/>
        </w:rPr>
        <w:t>患者终止信息</w:t>
      </w:r>
      <w:r>
        <w:rPr>
          <w:rFonts w:ascii="Arial" w:hAnsi="Arial" w:eastAsia="宋体" w:cs="Arial"/>
          <w:sz w:val="24"/>
          <w:szCs w:val="24"/>
        </w:rPr>
        <w:t>表。</w:t>
      </w:r>
    </w:p>
    <w:p w14:paraId="56061AA1">
      <w:pPr>
        <w:snapToGrid w:val="0"/>
        <w:spacing w:before="1" w:line="300" w:lineRule="auto"/>
        <w:jc w:val="both"/>
        <w:rPr>
          <w:rFonts w:ascii="Arial" w:hAnsi="Arial" w:eastAsia="宋体" w:cs="Arial"/>
          <w:sz w:val="24"/>
          <w:szCs w:val="24"/>
        </w:rPr>
      </w:pPr>
    </w:p>
    <w:p w14:paraId="385192B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我们建议这些表格的内容应反映以下信息：</w:t>
      </w:r>
    </w:p>
    <w:p w14:paraId="5C4A425B">
      <w:pPr>
        <w:snapToGrid w:val="0"/>
        <w:spacing w:before="12" w:line="300" w:lineRule="auto"/>
        <w:jc w:val="both"/>
        <w:rPr>
          <w:rFonts w:ascii="Arial" w:hAnsi="Arial" w:eastAsia="宋体" w:cs="Arial"/>
          <w:sz w:val="23"/>
          <w:szCs w:val="23"/>
          <w:lang w:eastAsia="zh-CN"/>
        </w:rPr>
      </w:pPr>
    </w:p>
    <w:p w14:paraId="62250C2C">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治疗前评价表</w:t>
      </w:r>
      <w:r>
        <w:rPr>
          <w:rFonts w:ascii="Arial" w:hAnsi="Arial" w:eastAsia="宋体" w:cs="Arial"/>
          <w:lang w:eastAsia="zh-CN"/>
        </w:rPr>
        <w:t>应包括来自治疗前评价的所有相关信息，如病史、身体检查、基线筛查措施，以及入选和排除标准的记录。</w:t>
      </w:r>
    </w:p>
    <w:p w14:paraId="5FEBEC5E">
      <w:pPr>
        <w:snapToGrid w:val="0"/>
        <w:spacing w:before="1" w:line="300" w:lineRule="auto"/>
        <w:jc w:val="both"/>
        <w:rPr>
          <w:rFonts w:ascii="Arial" w:hAnsi="Arial" w:eastAsia="宋体" w:cs="Arial"/>
          <w:sz w:val="24"/>
          <w:szCs w:val="24"/>
          <w:lang w:eastAsia="zh-CN"/>
        </w:rPr>
      </w:pPr>
    </w:p>
    <w:p w14:paraId="5E945033">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治疗信息表</w:t>
      </w:r>
      <w:r>
        <w:rPr>
          <w:rFonts w:ascii="Arial" w:hAnsi="Arial" w:eastAsia="宋体" w:cs="Arial"/>
          <w:lang w:eastAsia="zh-CN"/>
        </w:rPr>
        <w:t>应包括关于用于研究器械和控制治疗的治疗程序的所有相关信息，例如日期、手术前准备、麻醉使用、器械使用说明（例如，尺寸、放置、设置或治疗参数） 、仪器和成像使用、手术技术、术后护理、方案偏差和并发症。如果在研究期间允许进行再治疗，则应当记录类似的信息。</w:t>
      </w:r>
    </w:p>
    <w:p w14:paraId="4AAF5D6C">
      <w:pPr>
        <w:snapToGrid w:val="0"/>
        <w:spacing w:before="1" w:line="300" w:lineRule="auto"/>
        <w:jc w:val="both"/>
        <w:rPr>
          <w:rFonts w:ascii="Arial" w:hAnsi="Arial" w:eastAsia="宋体" w:cs="Arial"/>
          <w:sz w:val="24"/>
          <w:szCs w:val="24"/>
          <w:lang w:eastAsia="zh-CN"/>
        </w:rPr>
      </w:pPr>
    </w:p>
    <w:p w14:paraId="79AEE95B">
      <w:pPr>
        <w:snapToGrid w:val="0"/>
        <w:spacing w:before="1" w:line="300" w:lineRule="auto"/>
        <w:jc w:val="both"/>
        <w:rPr>
          <w:rFonts w:ascii="Arial" w:hAnsi="Arial" w:eastAsia="宋体" w:cs="Arial"/>
          <w:sz w:val="24"/>
          <w:szCs w:val="24"/>
          <w:lang w:eastAsia="zh-CN"/>
        </w:rPr>
      </w:pPr>
    </w:p>
    <w:p w14:paraId="1434CB6E">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治疗后评价表</w:t>
      </w:r>
      <w:r>
        <w:rPr>
          <w:rFonts w:ascii="Arial" w:hAnsi="Arial" w:eastAsia="宋体" w:cs="Arial"/>
          <w:lang w:eastAsia="zh-CN"/>
        </w:rPr>
        <w:t>应包括在每次随访时收集的所有数据。我们建议在每次随访时完成一个单独的治疗后评价表。</w:t>
      </w:r>
    </w:p>
    <w:p w14:paraId="51BB1BCB">
      <w:pPr>
        <w:snapToGrid w:val="0"/>
        <w:spacing w:before="12" w:line="300" w:lineRule="auto"/>
        <w:jc w:val="both"/>
        <w:rPr>
          <w:rFonts w:ascii="Arial" w:hAnsi="Arial" w:eastAsia="宋体" w:cs="Arial"/>
          <w:sz w:val="23"/>
          <w:szCs w:val="23"/>
          <w:lang w:eastAsia="zh-CN"/>
        </w:rPr>
      </w:pPr>
    </w:p>
    <w:p w14:paraId="7852A3AA">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合并药物治疗表</w:t>
      </w:r>
      <w:r>
        <w:rPr>
          <w:rFonts w:ascii="Arial" w:hAnsi="Arial" w:eastAsia="宋体" w:cs="Arial"/>
          <w:lang w:eastAsia="zh-CN"/>
        </w:rPr>
        <w:t>列出了在基线和研究期间受试者摄取的所有药物和膳食和草药补充剂，其中列出了使用日期和剂量。</w:t>
      </w:r>
    </w:p>
    <w:p w14:paraId="7D748CF5">
      <w:pPr>
        <w:snapToGrid w:val="0"/>
        <w:spacing w:before="1" w:line="300" w:lineRule="auto"/>
        <w:jc w:val="both"/>
        <w:rPr>
          <w:rFonts w:ascii="Arial" w:hAnsi="Arial" w:eastAsia="宋体" w:cs="Arial"/>
          <w:sz w:val="24"/>
          <w:szCs w:val="24"/>
          <w:lang w:eastAsia="zh-CN"/>
        </w:rPr>
      </w:pPr>
    </w:p>
    <w:p w14:paraId="21475B8C">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方案偏差表</w:t>
      </w:r>
      <w:r>
        <w:rPr>
          <w:rFonts w:ascii="Arial" w:hAnsi="Arial" w:eastAsia="宋体" w:cs="Arial"/>
          <w:lang w:eastAsia="zh-CN"/>
        </w:rPr>
        <w:t>应确定并说明每个方案偏差，并指明日期、偏差类型和偏差的临床理由。</w:t>
      </w:r>
    </w:p>
    <w:p w14:paraId="0BACDA46">
      <w:pPr>
        <w:snapToGrid w:val="0"/>
        <w:spacing w:before="12" w:line="300" w:lineRule="auto"/>
        <w:jc w:val="both"/>
        <w:rPr>
          <w:rFonts w:ascii="Arial" w:hAnsi="Arial" w:eastAsia="宋体" w:cs="Arial"/>
          <w:sz w:val="23"/>
          <w:szCs w:val="23"/>
          <w:lang w:eastAsia="zh-CN"/>
        </w:rPr>
      </w:pPr>
    </w:p>
    <w:p w14:paraId="1CEF7CFF">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不良事件表</w:t>
      </w:r>
      <w:r>
        <w:rPr>
          <w:rFonts w:ascii="Arial" w:hAnsi="Arial" w:eastAsia="宋体" w:cs="Arial"/>
          <w:lang w:eastAsia="zh-CN"/>
        </w:rPr>
        <w:t>应确定并说明每个不良事件，包括发病日期、类型和说明、器械相关性、严重性、干预或解决方法以及解决日期。</w:t>
      </w:r>
    </w:p>
    <w:p w14:paraId="33C2D9F7">
      <w:pPr>
        <w:snapToGrid w:val="0"/>
        <w:spacing w:before="1" w:line="300" w:lineRule="auto"/>
        <w:jc w:val="both"/>
        <w:rPr>
          <w:rFonts w:ascii="Arial" w:hAnsi="Arial" w:eastAsia="宋体" w:cs="Arial"/>
          <w:sz w:val="24"/>
          <w:szCs w:val="24"/>
          <w:lang w:eastAsia="zh-CN"/>
        </w:rPr>
      </w:pPr>
    </w:p>
    <w:p w14:paraId="1C12B167">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患者终止信息表</w:t>
      </w:r>
      <w:r>
        <w:rPr>
          <w:rFonts w:ascii="Arial" w:hAnsi="Arial" w:eastAsia="宋体" w:cs="Arial"/>
          <w:lang w:eastAsia="zh-CN"/>
        </w:rPr>
        <w:t>应包括患者停止接受研究的日期和原因。研究终止的典型原因应包括研究随访完成、受试者撤回同意、受试者退出以接受替代治疗、研究者选择排除受试者、受试者死亡、受试者丢失随访。</w:t>
      </w:r>
    </w:p>
    <w:p w14:paraId="0886FDB9">
      <w:pPr>
        <w:snapToGrid w:val="0"/>
        <w:spacing w:line="300" w:lineRule="auto"/>
        <w:jc w:val="both"/>
        <w:rPr>
          <w:rFonts w:ascii="Arial" w:hAnsi="Arial" w:eastAsia="宋体" w:cs="Arial"/>
          <w:sz w:val="24"/>
          <w:szCs w:val="24"/>
          <w:lang w:eastAsia="zh-CN"/>
        </w:rPr>
      </w:pPr>
    </w:p>
    <w:p w14:paraId="67AA409D">
      <w:pPr>
        <w:snapToGrid w:val="0"/>
        <w:spacing w:line="300" w:lineRule="auto"/>
        <w:jc w:val="both"/>
        <w:rPr>
          <w:rFonts w:ascii="Arial" w:hAnsi="Arial" w:eastAsia="宋体" w:cs="Arial"/>
          <w:sz w:val="24"/>
          <w:szCs w:val="24"/>
          <w:lang w:eastAsia="zh-CN"/>
        </w:rPr>
      </w:pPr>
    </w:p>
    <w:p w14:paraId="2BCED0AF">
      <w:pPr>
        <w:pStyle w:val="18"/>
        <w:numPr>
          <w:ilvl w:val="0"/>
          <w:numId w:val="1"/>
        </w:numPr>
        <w:tabs>
          <w:tab w:val="left" w:pos="696"/>
        </w:tabs>
        <w:snapToGrid w:val="0"/>
        <w:spacing w:line="300" w:lineRule="auto"/>
        <w:ind w:left="578" w:hanging="578"/>
        <w:jc w:val="both"/>
        <w:outlineLvl w:val="0"/>
        <w:rPr>
          <w:rFonts w:ascii="Arial" w:hAnsi="Arial" w:eastAsia="宋体" w:cs="Arial"/>
          <w:sz w:val="36"/>
          <w:szCs w:val="36"/>
        </w:rPr>
      </w:pPr>
      <w:bookmarkStart w:id="171" w:name="VI._Conclusions"/>
      <w:bookmarkEnd w:id="171"/>
      <w:bookmarkStart w:id="172" w:name="_bookmark86"/>
      <w:bookmarkEnd w:id="172"/>
      <w:bookmarkStart w:id="173" w:name="_Toc481595932"/>
      <w:r>
        <w:rPr>
          <w:rFonts w:ascii="Arial" w:hAnsi="Arial" w:eastAsia="宋体" w:cs="Arial"/>
          <w:b/>
          <w:sz w:val="36"/>
          <w:lang w:eastAsia="zh-CN"/>
        </w:rPr>
        <w:t>结论</w:t>
      </w:r>
      <w:bookmarkEnd w:id="173"/>
    </w:p>
    <w:p w14:paraId="63A9CEE1">
      <w:pPr>
        <w:pStyle w:val="6"/>
        <w:snapToGrid w:val="0"/>
        <w:spacing w:before="293" w:line="300" w:lineRule="auto"/>
        <w:ind w:left="0"/>
        <w:jc w:val="both"/>
        <w:rPr>
          <w:rFonts w:ascii="Arial" w:hAnsi="Arial" w:eastAsia="宋体" w:cs="Arial"/>
          <w:lang w:eastAsia="zh-CN"/>
        </w:rPr>
      </w:pPr>
      <w:r>
        <w:rPr>
          <w:rFonts w:ascii="Arial" w:hAnsi="Arial" w:eastAsia="宋体" w:cs="Arial"/>
          <w:lang w:eastAsia="zh-CN"/>
        </w:rPr>
        <w:t>本指南的目的在于帮助贵公司制定用于治疗BPH的器械的非临床和临床试验。此外，我们鼓励贵公司与我们联系，以讨论贵公司在贵公司的特定器械、其预期用途、临床研究设计或其他考虑因素方面的任何问题。如果贵公司拟提出本指南中研究设计建议的替代方法，我们也鼓励贵公司要求进行预提交会议。</w:t>
      </w:r>
    </w:p>
    <w:p w14:paraId="7426D646">
      <w:pPr>
        <w:widowControl/>
        <w:rPr>
          <w:rFonts w:ascii="Arial" w:hAnsi="Arial" w:eastAsia="宋体" w:cs="Arial"/>
          <w:lang w:eastAsia="zh-CN"/>
        </w:rPr>
      </w:pPr>
      <w:r>
        <w:rPr>
          <w:rFonts w:ascii="Arial" w:hAnsi="Arial" w:eastAsia="宋体" w:cs="Arial"/>
          <w:lang w:eastAsia="zh-CN"/>
        </w:rPr>
        <w:br w:type="page"/>
      </w:r>
    </w:p>
    <w:p w14:paraId="72E5498E">
      <w:pPr>
        <w:snapToGrid w:val="0"/>
        <w:spacing w:line="300" w:lineRule="auto"/>
        <w:jc w:val="both"/>
        <w:rPr>
          <w:rFonts w:ascii="Arial" w:hAnsi="Arial" w:eastAsia="宋体" w:cs="Arial"/>
          <w:sz w:val="20"/>
          <w:szCs w:val="20"/>
          <w:lang w:eastAsia="zh-CN"/>
        </w:rPr>
      </w:pPr>
    </w:p>
    <w:p w14:paraId="43BA4EE9">
      <w:pPr>
        <w:snapToGrid w:val="0"/>
        <w:spacing w:before="7" w:line="300" w:lineRule="auto"/>
        <w:jc w:val="both"/>
        <w:rPr>
          <w:rFonts w:ascii="Arial" w:hAnsi="Arial" w:eastAsia="宋体" w:cs="Arial"/>
          <w:sz w:val="18"/>
          <w:szCs w:val="18"/>
          <w:lang w:eastAsia="zh-CN"/>
        </w:rPr>
      </w:pPr>
    </w:p>
    <w:p w14:paraId="790229D8">
      <w:pPr>
        <w:snapToGrid w:val="0"/>
        <w:spacing w:before="27" w:line="300" w:lineRule="auto"/>
        <w:jc w:val="both"/>
        <w:outlineLvl w:val="0"/>
        <w:rPr>
          <w:rFonts w:ascii="Arial" w:hAnsi="Arial" w:eastAsia="宋体" w:cs="Arial"/>
          <w:sz w:val="36"/>
          <w:szCs w:val="36"/>
        </w:rPr>
      </w:pPr>
      <w:bookmarkStart w:id="174" w:name="_bookmark87"/>
      <w:bookmarkEnd w:id="174"/>
      <w:bookmarkStart w:id="175" w:name="Appendix_1"/>
      <w:bookmarkEnd w:id="175"/>
      <w:bookmarkStart w:id="176" w:name="_Toc481595933"/>
      <w:r>
        <w:rPr>
          <w:rFonts w:ascii="Arial" w:hAnsi="Arial" w:eastAsia="宋体" w:cs="Arial"/>
          <w:b/>
          <w:sz w:val="36"/>
        </w:rPr>
        <w:t>附录1</w:t>
      </w:r>
      <w:bookmarkEnd w:id="176"/>
    </w:p>
    <w:p w14:paraId="07112360">
      <w:pPr>
        <w:snapToGrid w:val="0"/>
        <w:spacing w:line="300" w:lineRule="auto"/>
        <w:jc w:val="both"/>
        <w:rPr>
          <w:rFonts w:ascii="Arial" w:hAnsi="Arial" w:eastAsia="宋体" w:cs="Arial"/>
          <w:b/>
          <w:bCs/>
          <w:sz w:val="24"/>
          <w:szCs w:val="24"/>
        </w:rPr>
      </w:pPr>
    </w:p>
    <w:tbl>
      <w:tblPr>
        <w:tblStyle w:val="17"/>
        <w:tblW w:w="8388" w:type="dxa"/>
        <w:tblInd w:w="455" w:type="dxa"/>
        <w:tblLayout w:type="fixed"/>
        <w:tblCellMar>
          <w:top w:w="0" w:type="dxa"/>
          <w:left w:w="0" w:type="dxa"/>
          <w:bottom w:w="0" w:type="dxa"/>
          <w:right w:w="0" w:type="dxa"/>
        </w:tblCellMar>
      </w:tblPr>
      <w:tblGrid>
        <w:gridCol w:w="3240"/>
        <w:gridCol w:w="5148"/>
      </w:tblGrid>
      <w:tr w14:paraId="71ECB0C8">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shd w:val="clear" w:color="auto" w:fill="D5FFFF"/>
          </w:tcPr>
          <w:p w14:paraId="1FBC60AD">
            <w:pPr>
              <w:pStyle w:val="19"/>
              <w:snapToGrid w:val="0"/>
              <w:spacing w:before="36" w:beforeLines="15" w:after="36" w:afterLines="15" w:line="280" w:lineRule="exact"/>
              <w:ind w:left="33" w:leftChars="15" w:right="33" w:rightChars="15"/>
              <w:jc w:val="both"/>
              <w:rPr>
                <w:rFonts w:ascii="Arial" w:hAnsi="Arial" w:eastAsia="宋体" w:cs="Arial"/>
                <w:b/>
                <w:sz w:val="24"/>
                <w:szCs w:val="24"/>
              </w:rPr>
            </w:pPr>
            <w:r>
              <w:rPr>
                <w:rFonts w:ascii="Arial" w:hAnsi="Arial" w:eastAsia="宋体" w:cs="Arial"/>
                <w:b/>
                <w:sz w:val="24"/>
                <w:szCs w:val="24"/>
                <w:lang w:eastAsia="zh-CN"/>
              </w:rPr>
              <w:t>偏差来源</w:t>
            </w:r>
          </w:p>
        </w:tc>
        <w:tc>
          <w:tcPr>
            <w:tcW w:w="5148" w:type="dxa"/>
            <w:tcBorders>
              <w:top w:val="single" w:color="000000" w:sz="4" w:space="0"/>
              <w:left w:val="single" w:color="000000" w:sz="4" w:space="0"/>
              <w:bottom w:val="single" w:color="000000" w:sz="4" w:space="0"/>
              <w:right w:val="single" w:color="000000" w:sz="4" w:space="0"/>
            </w:tcBorders>
            <w:shd w:val="clear" w:color="auto" w:fill="D5FFFF"/>
          </w:tcPr>
          <w:p w14:paraId="1A91AB90">
            <w:pPr>
              <w:pStyle w:val="19"/>
              <w:snapToGrid w:val="0"/>
              <w:spacing w:before="36" w:beforeLines="15" w:after="36" w:afterLines="15" w:line="280" w:lineRule="exact"/>
              <w:ind w:left="33" w:leftChars="15" w:right="33" w:rightChars="15"/>
              <w:jc w:val="both"/>
              <w:rPr>
                <w:rFonts w:ascii="Arial" w:hAnsi="Arial" w:eastAsia="宋体" w:cs="Arial"/>
                <w:b/>
                <w:sz w:val="24"/>
                <w:szCs w:val="24"/>
              </w:rPr>
            </w:pPr>
            <w:r>
              <w:rPr>
                <w:rFonts w:ascii="Arial" w:hAnsi="Arial" w:eastAsia="宋体" w:cs="Arial"/>
                <w:b/>
                <w:sz w:val="24"/>
                <w:szCs w:val="24"/>
                <w:lang w:eastAsia="zh-CN"/>
              </w:rPr>
              <w:t>常见缓解方法</w:t>
            </w:r>
          </w:p>
        </w:tc>
      </w:tr>
      <w:tr w14:paraId="19DF30BD">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tcPr>
          <w:p w14:paraId="1E39D7A1">
            <w:pPr>
              <w:pStyle w:val="19"/>
              <w:snapToGrid w:val="0"/>
              <w:spacing w:before="36" w:beforeLines="15" w:after="36" w:afterLines="15" w:line="280" w:lineRule="exact"/>
              <w:ind w:left="33" w:leftChars="15" w:right="33" w:rightChars="15"/>
              <w:jc w:val="both"/>
              <w:rPr>
                <w:rFonts w:ascii="Arial" w:hAnsi="Arial" w:eastAsia="宋体" w:cs="Arial"/>
                <w:b/>
                <w:sz w:val="24"/>
                <w:lang w:eastAsia="zh-CN"/>
              </w:rPr>
            </w:pPr>
            <w:r>
              <w:rPr>
                <w:rFonts w:ascii="Arial" w:hAnsi="Arial" w:eastAsia="宋体" w:cs="Arial"/>
                <w:b/>
                <w:sz w:val="24"/>
                <w:lang w:eastAsia="zh-CN"/>
              </w:rPr>
              <w:t>选择偏差</w:t>
            </w:r>
          </w:p>
          <w:p w14:paraId="605366FE">
            <w:pPr>
              <w:pStyle w:val="19"/>
              <w:snapToGrid w:val="0"/>
              <w:spacing w:before="36" w:beforeLines="15" w:after="36" w:afterLines="15" w:line="280" w:lineRule="exact"/>
              <w:ind w:left="33" w:leftChars="15" w:right="33" w:rightChars="15"/>
              <w:jc w:val="both"/>
              <w:rPr>
                <w:rFonts w:ascii="Arial" w:hAnsi="Arial" w:eastAsia="宋体" w:cs="Arial"/>
                <w:sz w:val="24"/>
                <w:szCs w:val="24"/>
                <w:lang w:eastAsia="zh-CN"/>
              </w:rPr>
            </w:pPr>
            <w:r>
              <w:rPr>
                <w:rFonts w:ascii="Arial" w:hAnsi="Arial" w:eastAsia="宋体" w:cs="Arial"/>
                <w:sz w:val="24"/>
                <w:lang w:eastAsia="zh-CN"/>
              </w:rPr>
              <w:t>与另一组相比，某一比较组中具有一种或多种重要预后因素的患者的出现频率较高时，将发生选择偏差。</w:t>
            </w:r>
          </w:p>
        </w:tc>
        <w:tc>
          <w:tcPr>
            <w:tcW w:w="5148" w:type="dxa"/>
            <w:tcBorders>
              <w:top w:val="single" w:color="000000" w:sz="4" w:space="0"/>
              <w:left w:val="single" w:color="000000" w:sz="4" w:space="0"/>
              <w:bottom w:val="single" w:color="000000" w:sz="4" w:space="0"/>
              <w:right w:val="single" w:color="000000" w:sz="4" w:space="0"/>
            </w:tcBorders>
          </w:tcPr>
          <w:p w14:paraId="626A6237">
            <w:pPr>
              <w:pStyle w:val="19"/>
              <w:numPr>
                <w:ilvl w:val="0"/>
                <w:numId w:val="5"/>
              </w:numPr>
              <w:tabs>
                <w:tab w:val="left" w:pos="626"/>
              </w:tabs>
              <w:snapToGrid w:val="0"/>
              <w:spacing w:before="36" w:beforeLines="15" w:after="36" w:afterLines="15" w:line="280" w:lineRule="exact"/>
              <w:ind w:left="110" w:leftChars="50" w:right="33" w:rightChars="15"/>
              <w:jc w:val="both"/>
              <w:rPr>
                <w:rFonts w:ascii="Arial" w:hAnsi="Arial" w:eastAsia="宋体" w:cs="Arial"/>
                <w:sz w:val="24"/>
              </w:rPr>
            </w:pPr>
            <w:r>
              <w:rPr>
                <w:rFonts w:ascii="Arial" w:hAnsi="Arial" w:eastAsia="宋体" w:cs="Arial"/>
                <w:sz w:val="24"/>
              </w:rPr>
              <w:t>随机化</w:t>
            </w:r>
          </w:p>
          <w:p w14:paraId="2DE890EA">
            <w:pPr>
              <w:pStyle w:val="19"/>
              <w:numPr>
                <w:ilvl w:val="0"/>
                <w:numId w:val="5"/>
              </w:numPr>
              <w:tabs>
                <w:tab w:val="left" w:pos="626"/>
              </w:tabs>
              <w:snapToGrid w:val="0"/>
              <w:spacing w:before="36" w:beforeLines="15" w:after="36" w:afterLines="15" w:line="280" w:lineRule="exact"/>
              <w:ind w:left="110" w:leftChars="50" w:right="33" w:rightChars="15"/>
              <w:jc w:val="both"/>
              <w:rPr>
                <w:rFonts w:ascii="Arial" w:hAnsi="Arial" w:eastAsia="宋体" w:cs="Arial"/>
                <w:sz w:val="24"/>
              </w:rPr>
            </w:pPr>
            <w:r>
              <w:rPr>
                <w:rFonts w:ascii="Arial" w:hAnsi="Arial" w:eastAsia="宋体" w:cs="Arial"/>
                <w:sz w:val="24"/>
              </w:rPr>
              <w:t>客观诊断和结局</w:t>
            </w:r>
            <w:r>
              <w:rPr>
                <w:rFonts w:ascii="Arial" w:hAnsi="Arial" w:eastAsia="宋体" w:cs="Arial"/>
                <w:sz w:val="24"/>
                <w:lang w:eastAsia="zh-CN"/>
              </w:rPr>
              <w:t>测量</w:t>
            </w:r>
          </w:p>
          <w:p w14:paraId="757D6D4C">
            <w:pPr>
              <w:pStyle w:val="19"/>
              <w:numPr>
                <w:ilvl w:val="0"/>
                <w:numId w:val="5"/>
              </w:numPr>
              <w:tabs>
                <w:tab w:val="left" w:pos="626"/>
              </w:tabs>
              <w:snapToGrid w:val="0"/>
              <w:spacing w:before="36" w:beforeLines="15" w:after="36" w:afterLines="15" w:line="280" w:lineRule="exact"/>
              <w:ind w:left="110" w:leftChars="50" w:right="33" w:rightChars="15"/>
              <w:jc w:val="both"/>
              <w:rPr>
                <w:rFonts w:ascii="Arial" w:hAnsi="Arial" w:eastAsia="宋体" w:cs="Arial"/>
                <w:sz w:val="24"/>
              </w:rPr>
            </w:pPr>
            <w:r>
              <w:rPr>
                <w:rFonts w:ascii="Arial" w:hAnsi="Arial" w:eastAsia="宋体" w:cs="Arial"/>
                <w:sz w:val="24"/>
              </w:rPr>
              <w:t>均匀</w:t>
            </w:r>
            <w:r>
              <w:rPr>
                <w:rFonts w:ascii="Arial" w:hAnsi="Arial" w:eastAsia="宋体" w:cs="Arial"/>
                <w:sz w:val="24"/>
                <w:lang w:eastAsia="zh-CN"/>
              </w:rPr>
              <w:t>的</w:t>
            </w:r>
            <w:r>
              <w:rPr>
                <w:rFonts w:ascii="Arial" w:hAnsi="Arial" w:eastAsia="宋体" w:cs="Arial"/>
                <w:sz w:val="24"/>
              </w:rPr>
              <w:t>研究人群</w:t>
            </w:r>
          </w:p>
          <w:p w14:paraId="01484E3E">
            <w:pPr>
              <w:pStyle w:val="19"/>
              <w:numPr>
                <w:ilvl w:val="0"/>
                <w:numId w:val="5"/>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lang w:eastAsia="zh-CN"/>
              </w:rPr>
            </w:pPr>
            <w:r>
              <w:rPr>
                <w:rFonts w:ascii="Arial" w:hAnsi="Arial" w:eastAsia="宋体" w:cs="Arial"/>
                <w:sz w:val="24"/>
                <w:lang w:eastAsia="zh-CN"/>
              </w:rPr>
              <w:t>预先规定的方案、终点和统计计划</w:t>
            </w:r>
          </w:p>
        </w:tc>
      </w:tr>
      <w:tr w14:paraId="6700A8E8">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tcPr>
          <w:p w14:paraId="536FEE61">
            <w:pPr>
              <w:pStyle w:val="19"/>
              <w:snapToGrid w:val="0"/>
              <w:spacing w:before="36" w:beforeLines="15" w:after="36" w:afterLines="15" w:line="280" w:lineRule="exact"/>
              <w:ind w:left="33" w:leftChars="15" w:right="33" w:rightChars="15"/>
              <w:jc w:val="both"/>
              <w:rPr>
                <w:rFonts w:ascii="Arial" w:hAnsi="Arial" w:eastAsia="宋体" w:cs="Arial"/>
                <w:b/>
                <w:sz w:val="24"/>
                <w:lang w:eastAsia="zh-CN"/>
              </w:rPr>
            </w:pPr>
            <w:r>
              <w:rPr>
                <w:rFonts w:ascii="Arial" w:hAnsi="Arial" w:eastAsia="宋体" w:cs="Arial"/>
                <w:b/>
                <w:sz w:val="24"/>
                <w:lang w:eastAsia="zh-CN"/>
              </w:rPr>
              <w:t>研究者偏差</w:t>
            </w:r>
          </w:p>
          <w:p w14:paraId="494962AA">
            <w:pPr>
              <w:pStyle w:val="19"/>
              <w:snapToGrid w:val="0"/>
              <w:spacing w:before="36" w:beforeLines="15" w:after="36" w:afterLines="15" w:line="280" w:lineRule="exact"/>
              <w:ind w:left="33" w:leftChars="15" w:right="33" w:rightChars="15"/>
              <w:jc w:val="both"/>
              <w:rPr>
                <w:rFonts w:ascii="Arial" w:hAnsi="Arial" w:eastAsia="宋体" w:cs="Arial"/>
                <w:sz w:val="24"/>
                <w:szCs w:val="24"/>
                <w:lang w:eastAsia="zh-CN"/>
              </w:rPr>
            </w:pPr>
            <w:r>
              <w:rPr>
                <w:rFonts w:ascii="Arial" w:hAnsi="Arial" w:eastAsia="宋体" w:cs="Arial"/>
                <w:sz w:val="24"/>
                <w:lang w:eastAsia="zh-CN"/>
              </w:rPr>
              <w:t>研究者有意或无意地以牺牲另一组为代价倾向于某一研究组时，研究者偏差将发生。</w:t>
            </w:r>
          </w:p>
        </w:tc>
        <w:tc>
          <w:tcPr>
            <w:tcW w:w="5148" w:type="dxa"/>
            <w:tcBorders>
              <w:top w:val="single" w:color="000000" w:sz="4" w:space="0"/>
              <w:left w:val="single" w:color="000000" w:sz="4" w:space="0"/>
              <w:bottom w:val="single" w:color="000000" w:sz="4" w:space="0"/>
              <w:right w:val="single" w:color="000000" w:sz="4" w:space="0"/>
            </w:tcBorders>
          </w:tcPr>
          <w:p w14:paraId="1844DCBA">
            <w:pPr>
              <w:pStyle w:val="19"/>
              <w:snapToGrid w:val="0"/>
              <w:spacing w:before="36" w:beforeLines="15" w:after="36" w:afterLines="15" w:line="280" w:lineRule="exact"/>
              <w:ind w:left="110" w:leftChars="50" w:right="33" w:rightChars="15"/>
              <w:jc w:val="both"/>
              <w:rPr>
                <w:rFonts w:ascii="Arial" w:hAnsi="Arial" w:eastAsia="宋体" w:cs="Arial"/>
                <w:b/>
                <w:bCs/>
                <w:sz w:val="23"/>
                <w:szCs w:val="23"/>
                <w:lang w:eastAsia="zh-CN"/>
              </w:rPr>
            </w:pPr>
          </w:p>
          <w:p w14:paraId="27A1E21D">
            <w:pPr>
              <w:pStyle w:val="19"/>
              <w:numPr>
                <w:ilvl w:val="0"/>
                <w:numId w:val="6"/>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rPr>
            </w:pPr>
            <w:r>
              <w:rPr>
                <w:rFonts w:ascii="Arial" w:hAnsi="Arial" w:eastAsia="宋体" w:cs="Arial"/>
                <w:sz w:val="24"/>
                <w:szCs w:val="24"/>
                <w:lang w:eastAsia="zh-CN"/>
              </w:rPr>
              <w:t>盲法</w:t>
            </w:r>
          </w:p>
          <w:p w14:paraId="69CC05A3">
            <w:pPr>
              <w:pStyle w:val="19"/>
              <w:numPr>
                <w:ilvl w:val="0"/>
                <w:numId w:val="6"/>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lang w:eastAsia="zh-CN"/>
              </w:rPr>
            </w:pPr>
            <w:r>
              <w:rPr>
                <w:rFonts w:ascii="Arial" w:hAnsi="Arial" w:eastAsia="宋体" w:cs="Arial"/>
                <w:sz w:val="24"/>
                <w:lang w:eastAsia="zh-CN"/>
              </w:rPr>
              <w:t>预先规定的方案、终点和统计计划</w:t>
            </w:r>
          </w:p>
        </w:tc>
      </w:tr>
      <w:tr w14:paraId="52EB5846">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tcPr>
          <w:p w14:paraId="6783AFD9">
            <w:pPr>
              <w:pStyle w:val="19"/>
              <w:snapToGrid w:val="0"/>
              <w:spacing w:before="36" w:beforeLines="15" w:after="36" w:afterLines="15" w:line="280" w:lineRule="exact"/>
              <w:ind w:left="33" w:leftChars="15" w:right="33" w:rightChars="15"/>
              <w:jc w:val="both"/>
              <w:rPr>
                <w:rFonts w:ascii="Arial" w:hAnsi="Arial" w:eastAsia="宋体" w:cs="Arial"/>
                <w:b/>
                <w:sz w:val="24"/>
                <w:lang w:eastAsia="zh-CN"/>
              </w:rPr>
            </w:pPr>
            <w:r>
              <w:rPr>
                <w:rFonts w:ascii="Arial" w:hAnsi="Arial" w:eastAsia="宋体" w:cs="Arial"/>
                <w:b/>
                <w:sz w:val="24"/>
                <w:lang w:eastAsia="zh-CN"/>
              </w:rPr>
              <w:t>评价者偏差</w:t>
            </w:r>
          </w:p>
          <w:p w14:paraId="0F530FDD">
            <w:pPr>
              <w:pStyle w:val="19"/>
              <w:snapToGrid w:val="0"/>
              <w:spacing w:before="36" w:beforeLines="15" w:after="36" w:afterLines="15" w:line="280" w:lineRule="exact"/>
              <w:ind w:left="33" w:leftChars="15" w:right="33" w:rightChars="15"/>
              <w:jc w:val="both"/>
              <w:rPr>
                <w:rFonts w:ascii="Arial" w:hAnsi="Arial" w:eastAsia="宋体" w:cs="Arial"/>
                <w:sz w:val="24"/>
                <w:szCs w:val="24"/>
                <w:lang w:eastAsia="zh-CN"/>
              </w:rPr>
            </w:pPr>
            <w:r>
              <w:rPr>
                <w:rFonts w:ascii="Arial" w:hAnsi="Arial" w:eastAsia="宋体" w:cs="Arial"/>
                <w:sz w:val="24"/>
                <w:lang w:eastAsia="zh-CN"/>
              </w:rPr>
              <w:t>是一种研究者偏见，其中测量结果变量的人员可有意或无意地以支持某一干预措施的方式记录测量结果。具有主观终点（例如生活质量）的研究特别容易受到这种形式的偏差影响。</w:t>
            </w:r>
          </w:p>
        </w:tc>
        <w:tc>
          <w:tcPr>
            <w:tcW w:w="5148" w:type="dxa"/>
            <w:tcBorders>
              <w:top w:val="single" w:color="000000" w:sz="4" w:space="0"/>
              <w:left w:val="single" w:color="000000" w:sz="4" w:space="0"/>
              <w:bottom w:val="single" w:color="000000" w:sz="4" w:space="0"/>
              <w:right w:val="single" w:color="000000" w:sz="4" w:space="0"/>
            </w:tcBorders>
          </w:tcPr>
          <w:p w14:paraId="1EF42CD8">
            <w:pPr>
              <w:pStyle w:val="19"/>
              <w:snapToGrid w:val="0"/>
              <w:spacing w:before="36" w:beforeLines="15" w:after="36" w:afterLines="15" w:line="280" w:lineRule="exact"/>
              <w:ind w:left="110" w:leftChars="50" w:right="33" w:rightChars="15"/>
              <w:jc w:val="both"/>
              <w:rPr>
                <w:rFonts w:ascii="Arial" w:hAnsi="Arial" w:eastAsia="宋体" w:cs="Arial"/>
                <w:b/>
                <w:bCs/>
                <w:sz w:val="24"/>
                <w:szCs w:val="24"/>
                <w:lang w:eastAsia="zh-CN"/>
              </w:rPr>
            </w:pPr>
          </w:p>
          <w:p w14:paraId="5937E28E">
            <w:pPr>
              <w:pStyle w:val="19"/>
              <w:snapToGrid w:val="0"/>
              <w:spacing w:before="36" w:beforeLines="15" w:after="36" w:afterLines="15" w:line="280" w:lineRule="exact"/>
              <w:ind w:left="110" w:leftChars="50" w:right="33" w:rightChars="15"/>
              <w:jc w:val="both"/>
              <w:rPr>
                <w:rFonts w:ascii="Arial" w:hAnsi="Arial" w:eastAsia="宋体" w:cs="Arial"/>
                <w:b/>
                <w:bCs/>
                <w:sz w:val="24"/>
                <w:szCs w:val="24"/>
                <w:lang w:eastAsia="zh-CN"/>
              </w:rPr>
            </w:pPr>
          </w:p>
          <w:p w14:paraId="3E9BA4F2">
            <w:pPr>
              <w:pStyle w:val="19"/>
              <w:snapToGrid w:val="0"/>
              <w:spacing w:before="36" w:beforeLines="15" w:after="36" w:afterLines="15" w:line="280" w:lineRule="exact"/>
              <w:ind w:left="110" w:leftChars="50" w:right="33" w:rightChars="15"/>
              <w:jc w:val="both"/>
              <w:rPr>
                <w:rFonts w:ascii="Arial" w:hAnsi="Arial" w:eastAsia="宋体" w:cs="Arial"/>
                <w:b/>
                <w:bCs/>
                <w:sz w:val="23"/>
                <w:szCs w:val="23"/>
                <w:lang w:eastAsia="zh-CN"/>
              </w:rPr>
            </w:pPr>
          </w:p>
          <w:p w14:paraId="1CC66A7E">
            <w:pPr>
              <w:pStyle w:val="19"/>
              <w:numPr>
                <w:ilvl w:val="0"/>
                <w:numId w:val="7"/>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rPr>
            </w:pPr>
            <w:r>
              <w:rPr>
                <w:rFonts w:ascii="Arial" w:hAnsi="Arial" w:eastAsia="宋体" w:cs="Arial"/>
                <w:sz w:val="24"/>
                <w:szCs w:val="24"/>
                <w:lang w:eastAsia="zh-CN"/>
              </w:rPr>
              <w:t>盲法</w:t>
            </w:r>
          </w:p>
          <w:p w14:paraId="79F11AAA">
            <w:pPr>
              <w:pStyle w:val="19"/>
              <w:numPr>
                <w:ilvl w:val="0"/>
                <w:numId w:val="7"/>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lang w:eastAsia="zh-CN"/>
              </w:rPr>
            </w:pPr>
            <w:r>
              <w:rPr>
                <w:rFonts w:ascii="Arial" w:hAnsi="Arial" w:eastAsia="宋体" w:cs="Arial"/>
                <w:sz w:val="24"/>
                <w:lang w:eastAsia="zh-CN"/>
              </w:rPr>
              <w:t>预先规定的方案、终点和统计计划</w:t>
            </w:r>
          </w:p>
        </w:tc>
      </w:tr>
      <w:tr w14:paraId="1DAD87CB">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tcPr>
          <w:p w14:paraId="08398862">
            <w:pPr>
              <w:pStyle w:val="19"/>
              <w:snapToGrid w:val="0"/>
              <w:spacing w:before="36" w:beforeLines="15" w:after="36" w:afterLines="15" w:line="280" w:lineRule="exact"/>
              <w:ind w:left="33" w:leftChars="15" w:right="33" w:rightChars="15"/>
              <w:jc w:val="both"/>
              <w:rPr>
                <w:rFonts w:ascii="Arial" w:hAnsi="Arial" w:eastAsia="宋体" w:cs="Arial"/>
                <w:b/>
                <w:sz w:val="24"/>
                <w:lang w:eastAsia="zh-CN"/>
              </w:rPr>
            </w:pPr>
            <w:r>
              <w:rPr>
                <w:rFonts w:ascii="Arial" w:hAnsi="Arial" w:eastAsia="宋体" w:cs="Arial"/>
                <w:b/>
                <w:sz w:val="24"/>
                <w:lang w:eastAsia="zh-CN"/>
              </w:rPr>
              <w:t>安慰剂或假手术效应</w:t>
            </w:r>
          </w:p>
          <w:p w14:paraId="3530ED19">
            <w:pPr>
              <w:pStyle w:val="19"/>
              <w:snapToGrid w:val="0"/>
              <w:spacing w:before="36" w:beforeLines="15" w:after="36" w:afterLines="15" w:line="280" w:lineRule="exact"/>
              <w:ind w:left="33" w:leftChars="15" w:right="33" w:rightChars="15"/>
              <w:jc w:val="both"/>
              <w:rPr>
                <w:rFonts w:ascii="Arial" w:hAnsi="Arial" w:eastAsia="宋体" w:cs="Arial"/>
                <w:sz w:val="24"/>
                <w:szCs w:val="24"/>
                <w:lang w:eastAsia="zh-CN"/>
              </w:rPr>
            </w:pPr>
            <w:r>
              <w:rPr>
                <w:rFonts w:ascii="Arial" w:hAnsi="Arial" w:eastAsia="宋体" w:cs="Arial"/>
                <w:sz w:val="24"/>
                <w:lang w:eastAsia="zh-CN"/>
              </w:rPr>
              <w:t>是一种在暴露于非活性治疗的患者认为，他（或她）正在接受干预治疗，且随后出现或报告改善时出现的偏差。</w:t>
            </w:r>
          </w:p>
        </w:tc>
        <w:tc>
          <w:tcPr>
            <w:tcW w:w="5148" w:type="dxa"/>
            <w:tcBorders>
              <w:top w:val="single" w:color="000000" w:sz="4" w:space="0"/>
              <w:left w:val="single" w:color="000000" w:sz="4" w:space="0"/>
              <w:bottom w:val="single" w:color="000000" w:sz="4" w:space="0"/>
              <w:right w:val="single" w:color="000000" w:sz="4" w:space="0"/>
            </w:tcBorders>
          </w:tcPr>
          <w:p w14:paraId="0805E991">
            <w:pPr>
              <w:pStyle w:val="19"/>
              <w:snapToGrid w:val="0"/>
              <w:spacing w:before="36" w:beforeLines="15" w:after="36" w:afterLines="15" w:line="280" w:lineRule="exact"/>
              <w:ind w:left="110" w:leftChars="50" w:right="33" w:rightChars="15"/>
              <w:jc w:val="both"/>
              <w:rPr>
                <w:rFonts w:ascii="Arial" w:hAnsi="Arial" w:eastAsia="宋体" w:cs="Arial"/>
                <w:b/>
                <w:bCs/>
                <w:sz w:val="32"/>
                <w:szCs w:val="32"/>
                <w:lang w:eastAsia="zh-CN"/>
              </w:rPr>
            </w:pPr>
          </w:p>
          <w:p w14:paraId="0BB89CD8">
            <w:pPr>
              <w:pStyle w:val="19"/>
              <w:numPr>
                <w:ilvl w:val="0"/>
                <w:numId w:val="8"/>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rPr>
            </w:pPr>
            <w:r>
              <w:rPr>
                <w:rFonts w:ascii="Arial" w:hAnsi="Arial" w:eastAsia="宋体" w:cs="Arial"/>
                <w:sz w:val="24"/>
              </w:rPr>
              <w:t>随机化</w:t>
            </w:r>
          </w:p>
          <w:p w14:paraId="12D7CE8D">
            <w:pPr>
              <w:pStyle w:val="19"/>
              <w:numPr>
                <w:ilvl w:val="0"/>
                <w:numId w:val="8"/>
              </w:numPr>
              <w:tabs>
                <w:tab w:val="left" w:pos="626"/>
              </w:tabs>
              <w:snapToGrid w:val="0"/>
              <w:spacing w:before="36" w:beforeLines="15" w:after="36" w:afterLines="15" w:line="280" w:lineRule="exact"/>
              <w:ind w:left="110" w:leftChars="50" w:right="33" w:rightChars="15"/>
              <w:jc w:val="both"/>
              <w:rPr>
                <w:rFonts w:ascii="Arial" w:hAnsi="Arial" w:eastAsia="宋体" w:cs="Arial"/>
                <w:sz w:val="24"/>
              </w:rPr>
            </w:pPr>
            <w:r>
              <w:rPr>
                <w:rFonts w:ascii="Arial" w:hAnsi="Arial" w:eastAsia="宋体" w:cs="Arial"/>
                <w:sz w:val="24"/>
                <w:szCs w:val="24"/>
                <w:lang w:eastAsia="zh-CN"/>
              </w:rPr>
              <w:t>盲法</w:t>
            </w:r>
          </w:p>
          <w:p w14:paraId="24063722">
            <w:pPr>
              <w:pStyle w:val="19"/>
              <w:numPr>
                <w:ilvl w:val="0"/>
                <w:numId w:val="8"/>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rPr>
            </w:pPr>
            <w:r>
              <w:rPr>
                <w:rFonts w:ascii="Arial" w:hAnsi="Arial" w:eastAsia="宋体" w:cs="Arial"/>
                <w:sz w:val="24"/>
              </w:rPr>
              <w:t>客观诊断和结局</w:t>
            </w:r>
            <w:r>
              <w:rPr>
                <w:rFonts w:ascii="Arial" w:hAnsi="Arial" w:eastAsia="宋体" w:cs="Arial"/>
                <w:sz w:val="24"/>
                <w:lang w:eastAsia="zh-CN"/>
              </w:rPr>
              <w:t>测量</w:t>
            </w:r>
          </w:p>
        </w:tc>
      </w:tr>
      <w:tr w14:paraId="2CB617A1">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tcPr>
          <w:p w14:paraId="00C0071E">
            <w:pPr>
              <w:pStyle w:val="19"/>
              <w:snapToGrid w:val="0"/>
              <w:spacing w:before="36" w:beforeLines="15" w:after="36" w:afterLines="15" w:line="280" w:lineRule="exact"/>
              <w:ind w:left="33" w:leftChars="15" w:right="33" w:rightChars="15"/>
              <w:jc w:val="both"/>
              <w:rPr>
                <w:rFonts w:ascii="Arial" w:hAnsi="Arial" w:eastAsia="宋体" w:cs="Arial"/>
                <w:b/>
                <w:sz w:val="24"/>
                <w:lang w:eastAsia="zh-CN"/>
              </w:rPr>
            </w:pPr>
            <w:r>
              <w:rPr>
                <w:rFonts w:ascii="Arial" w:hAnsi="Arial" w:eastAsia="宋体" w:cs="Arial"/>
                <w:b/>
                <w:sz w:val="24"/>
                <w:lang w:eastAsia="zh-CN"/>
              </w:rPr>
              <w:t>缺失数据</w:t>
            </w:r>
          </w:p>
          <w:p w14:paraId="660716D2">
            <w:pPr>
              <w:pStyle w:val="19"/>
              <w:snapToGrid w:val="0"/>
              <w:spacing w:before="36" w:beforeLines="15" w:after="36" w:afterLines="15" w:line="280" w:lineRule="exact"/>
              <w:ind w:left="33" w:leftChars="15" w:right="33" w:rightChars="15"/>
              <w:jc w:val="both"/>
              <w:rPr>
                <w:rFonts w:ascii="Arial" w:hAnsi="Arial" w:eastAsia="宋体" w:cs="Arial"/>
                <w:sz w:val="24"/>
                <w:szCs w:val="24"/>
                <w:lang w:eastAsia="zh-CN"/>
              </w:rPr>
            </w:pPr>
            <w:r>
              <w:rPr>
                <w:rFonts w:ascii="Arial" w:hAnsi="Arial" w:eastAsia="宋体" w:cs="Arial"/>
                <w:sz w:val="24"/>
                <w:lang w:eastAsia="zh-CN"/>
              </w:rPr>
              <w:t>未报告随访的患者得到了与报告随访的患者不同的结果，缺失数据可能会引起偏差。</w:t>
            </w:r>
          </w:p>
        </w:tc>
        <w:tc>
          <w:tcPr>
            <w:tcW w:w="5148" w:type="dxa"/>
            <w:tcBorders>
              <w:top w:val="single" w:color="000000" w:sz="4" w:space="0"/>
              <w:left w:val="single" w:color="000000" w:sz="4" w:space="0"/>
              <w:bottom w:val="single" w:color="000000" w:sz="4" w:space="0"/>
              <w:right w:val="single" w:color="000000" w:sz="4" w:space="0"/>
            </w:tcBorders>
          </w:tcPr>
          <w:p w14:paraId="2E354D1E">
            <w:pPr>
              <w:pStyle w:val="19"/>
              <w:snapToGrid w:val="0"/>
              <w:spacing w:before="36" w:beforeLines="15" w:after="36" w:afterLines="15" w:line="280" w:lineRule="exact"/>
              <w:ind w:left="110" w:leftChars="50" w:right="33" w:rightChars="15"/>
              <w:jc w:val="both"/>
              <w:rPr>
                <w:rFonts w:ascii="Arial" w:hAnsi="Arial" w:eastAsia="宋体" w:cs="Arial"/>
                <w:b/>
                <w:bCs/>
                <w:sz w:val="32"/>
                <w:szCs w:val="32"/>
                <w:lang w:eastAsia="zh-CN"/>
              </w:rPr>
            </w:pPr>
          </w:p>
          <w:p w14:paraId="243B4DB6">
            <w:pPr>
              <w:pStyle w:val="19"/>
              <w:numPr>
                <w:ilvl w:val="0"/>
                <w:numId w:val="9"/>
              </w:numPr>
              <w:tabs>
                <w:tab w:val="left" w:pos="626"/>
              </w:tabs>
              <w:snapToGrid w:val="0"/>
              <w:spacing w:before="36" w:beforeLines="15" w:after="36" w:afterLines="15" w:line="280" w:lineRule="exact"/>
              <w:ind w:left="110" w:leftChars="50" w:right="33" w:rightChars="15"/>
              <w:jc w:val="both"/>
              <w:rPr>
                <w:rFonts w:ascii="Arial" w:hAnsi="Arial" w:eastAsia="宋体" w:cs="Arial"/>
                <w:sz w:val="24"/>
              </w:rPr>
            </w:pPr>
            <w:r>
              <w:rPr>
                <w:rFonts w:ascii="Arial" w:hAnsi="Arial" w:eastAsia="宋体" w:cs="Arial"/>
                <w:sz w:val="24"/>
                <w:lang w:eastAsia="zh-CN"/>
              </w:rPr>
              <w:t>文件以及</w:t>
            </w:r>
            <w:r>
              <w:rPr>
                <w:rFonts w:ascii="Arial" w:hAnsi="Arial" w:eastAsia="宋体" w:cs="Arial"/>
                <w:sz w:val="24"/>
              </w:rPr>
              <w:t>增强合规性</w:t>
            </w:r>
          </w:p>
          <w:p w14:paraId="78D44401">
            <w:pPr>
              <w:pStyle w:val="19"/>
              <w:numPr>
                <w:ilvl w:val="0"/>
                <w:numId w:val="9"/>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rPr>
            </w:pPr>
            <w:r>
              <w:rPr>
                <w:rFonts w:ascii="Arial" w:hAnsi="Arial" w:eastAsia="宋体" w:cs="Arial"/>
                <w:sz w:val="24"/>
              </w:rPr>
              <w:t>计划进行灵敏度分析</w:t>
            </w:r>
          </w:p>
        </w:tc>
      </w:tr>
    </w:tbl>
    <w:p w14:paraId="4D3C4849">
      <w:pPr>
        <w:snapToGrid w:val="0"/>
        <w:spacing w:before="5" w:line="300" w:lineRule="auto"/>
        <w:jc w:val="both"/>
        <w:rPr>
          <w:rFonts w:ascii="Arial" w:hAnsi="Arial" w:eastAsia="宋体" w:cs="Arial"/>
          <w:sz w:val="24"/>
          <w:szCs w:val="24"/>
        </w:rPr>
      </w:pPr>
    </w:p>
    <w:p w14:paraId="28FD80D5">
      <w:pPr>
        <w:tabs>
          <w:tab w:val="left" w:pos="4035"/>
          <w:tab w:val="left" w:pos="9240"/>
        </w:tabs>
        <w:snapToGrid w:val="0"/>
        <w:spacing w:line="300" w:lineRule="auto"/>
        <w:jc w:val="center"/>
        <w:rPr>
          <w:rFonts w:hint="eastAsia" w:eastAsia="宋体"/>
          <w:lang w:eastAsia="zh-CN"/>
        </w:rPr>
      </w:pPr>
    </w:p>
    <w:p w14:paraId="3B30BE0E">
      <w:pPr>
        <w:tabs>
          <w:tab w:val="left" w:pos="4035"/>
          <w:tab w:val="left" w:pos="9240"/>
        </w:tabs>
        <w:snapToGrid w:val="0"/>
        <w:spacing w:line="300" w:lineRule="auto"/>
        <w:jc w:val="center"/>
        <w:rPr>
          <w:rFonts w:hint="eastAsia" w:eastAsia="宋体"/>
          <w:lang w:eastAsia="zh-CN"/>
        </w:rPr>
      </w:pPr>
    </w:p>
    <w:p w14:paraId="7EC5319E">
      <w:pPr>
        <w:tabs>
          <w:tab w:val="left" w:pos="4035"/>
          <w:tab w:val="left" w:pos="9240"/>
        </w:tabs>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5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Batang">
    <w:altName w:val="Adobe Myungjo Std M"/>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Adobe Myungjo Std M">
    <w:panose1 w:val="02020600000000000000"/>
    <w:charset w:val="80"/>
    <w:family w:val="auto"/>
    <w:pitch w:val="default"/>
    <w:sig w:usb0="00000001" w:usb1="21D72C10" w:usb2="00000010" w:usb3="00000000" w:csb0="602A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C92D">
    <w:pPr>
      <w:spacing w:line="265" w:lineRule="exact"/>
      <w:ind w:left="20"/>
      <w:jc w:val="center"/>
      <w:rPr>
        <w:rFonts w:ascii="Times New Roman" w:hAnsi="Times New Roman" w:eastAsia="Times New Roman" w:cs="Times New Roman"/>
        <w:i/>
        <w:sz w:val="24"/>
        <w:szCs w:val="24"/>
      </w:rPr>
    </w:pPr>
    <w:r>
      <w:rPr>
        <w:rFonts w:hint="eastAsia" w:cs="Times New Roman" w:asciiTheme="minorEastAsia" w:hAnsiTheme="minorEastAsia"/>
        <w:i/>
        <w:sz w:val="24"/>
        <w:szCs w:val="24"/>
        <w:lang w:eastAsia="zh-CN"/>
      </w:rPr>
      <w:t>含有非约束性建议</w:t>
    </w:r>
  </w:p>
  <w:p w14:paraId="73DF2C99">
    <w:pPr>
      <w:pStyle w:val="10"/>
      <w:pBdr>
        <w:bottom w:val="none" w:color="auto" w:sz="0" w:space="0"/>
      </w:pBdr>
    </w:pPr>
  </w:p>
  <w:p w14:paraId="422239DD">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529B1">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3F7E">
    <w:pPr>
      <w:spacing w:line="265" w:lineRule="exact"/>
      <w:ind w:left="20"/>
      <w:jc w:val="center"/>
      <w:rPr>
        <w:rFonts w:ascii="Times New Roman" w:hAnsi="Times New Roman" w:eastAsia="Times New Roman" w:cs="Times New Roman"/>
        <w:i/>
        <w:sz w:val="24"/>
        <w:szCs w:val="24"/>
      </w:rPr>
    </w:pPr>
    <w:r>
      <w:rPr>
        <w:rFonts w:hint="eastAsia" w:cs="Times New Roman" w:asciiTheme="minorEastAsia" w:hAnsiTheme="minorEastAsia"/>
        <w:i/>
        <w:sz w:val="24"/>
        <w:szCs w:val="24"/>
        <w:lang w:eastAsia="zh-CN"/>
      </w:rPr>
      <w:t>含有非约束性建议</w:t>
    </w:r>
  </w:p>
  <w:p w14:paraId="37B012E6">
    <w:pPr>
      <w:pStyle w:val="10"/>
      <w:pBdr>
        <w:bottom w:val="none" w:color="auto" w:sz="0" w:space="0"/>
      </w:pBdr>
    </w:pPr>
  </w:p>
  <w:p w14:paraId="7A9E3B6C">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E4678"/>
    <w:multiLevelType w:val="multilevel"/>
    <w:tmpl w:val="04EE4678"/>
    <w:lvl w:ilvl="0" w:tentative="0">
      <w:start w:val="1"/>
      <w:numFmt w:val="bullet"/>
      <w:lvlText w:val=""/>
      <w:lvlJc w:val="left"/>
      <w:pPr>
        <w:ind w:left="625" w:hanging="360"/>
      </w:pPr>
      <w:rPr>
        <w:rFonts w:hint="default" w:ascii="Symbol" w:hAnsi="Symbol" w:eastAsia="Symbol"/>
        <w:w w:val="99"/>
        <w:sz w:val="22"/>
        <w:szCs w:val="22"/>
      </w:rPr>
    </w:lvl>
    <w:lvl w:ilvl="1" w:tentative="0">
      <w:start w:val="1"/>
      <w:numFmt w:val="bullet"/>
      <w:lvlText w:val="•"/>
      <w:lvlJc w:val="left"/>
      <w:pPr>
        <w:ind w:left="1071" w:hanging="360"/>
      </w:pPr>
      <w:rPr>
        <w:rFonts w:hint="default"/>
      </w:rPr>
    </w:lvl>
    <w:lvl w:ilvl="2" w:tentative="0">
      <w:start w:val="1"/>
      <w:numFmt w:val="bullet"/>
      <w:lvlText w:val="•"/>
      <w:lvlJc w:val="left"/>
      <w:pPr>
        <w:ind w:left="1523" w:hanging="360"/>
      </w:pPr>
      <w:rPr>
        <w:rFonts w:hint="default"/>
      </w:rPr>
    </w:lvl>
    <w:lvl w:ilvl="3" w:tentative="0">
      <w:start w:val="1"/>
      <w:numFmt w:val="bullet"/>
      <w:lvlText w:val="•"/>
      <w:lvlJc w:val="left"/>
      <w:pPr>
        <w:ind w:left="1975" w:hanging="360"/>
      </w:pPr>
      <w:rPr>
        <w:rFonts w:hint="default"/>
      </w:rPr>
    </w:lvl>
    <w:lvl w:ilvl="4" w:tentative="0">
      <w:start w:val="1"/>
      <w:numFmt w:val="bullet"/>
      <w:lvlText w:val="•"/>
      <w:lvlJc w:val="left"/>
      <w:pPr>
        <w:ind w:left="2427" w:hanging="360"/>
      </w:pPr>
      <w:rPr>
        <w:rFonts w:hint="default"/>
      </w:rPr>
    </w:lvl>
    <w:lvl w:ilvl="5" w:tentative="0">
      <w:start w:val="1"/>
      <w:numFmt w:val="bullet"/>
      <w:lvlText w:val="•"/>
      <w:lvlJc w:val="left"/>
      <w:pPr>
        <w:ind w:left="2879" w:hanging="360"/>
      </w:pPr>
      <w:rPr>
        <w:rFonts w:hint="default"/>
      </w:rPr>
    </w:lvl>
    <w:lvl w:ilvl="6" w:tentative="0">
      <w:start w:val="1"/>
      <w:numFmt w:val="bullet"/>
      <w:lvlText w:val="•"/>
      <w:lvlJc w:val="left"/>
      <w:pPr>
        <w:ind w:left="3331" w:hanging="360"/>
      </w:pPr>
      <w:rPr>
        <w:rFonts w:hint="default"/>
      </w:rPr>
    </w:lvl>
    <w:lvl w:ilvl="7" w:tentative="0">
      <w:start w:val="1"/>
      <w:numFmt w:val="bullet"/>
      <w:lvlText w:val="•"/>
      <w:lvlJc w:val="left"/>
      <w:pPr>
        <w:ind w:left="3782" w:hanging="360"/>
      </w:pPr>
      <w:rPr>
        <w:rFonts w:hint="default"/>
      </w:rPr>
    </w:lvl>
    <w:lvl w:ilvl="8" w:tentative="0">
      <w:start w:val="1"/>
      <w:numFmt w:val="bullet"/>
      <w:lvlText w:val="•"/>
      <w:lvlJc w:val="left"/>
      <w:pPr>
        <w:ind w:left="4234" w:hanging="360"/>
      </w:pPr>
      <w:rPr>
        <w:rFonts w:hint="default"/>
      </w:rPr>
    </w:lvl>
  </w:abstractNum>
  <w:abstractNum w:abstractNumId="1">
    <w:nsid w:val="14386858"/>
    <w:multiLevelType w:val="multilevel"/>
    <w:tmpl w:val="14386858"/>
    <w:lvl w:ilvl="0" w:tentative="0">
      <w:start w:val="1"/>
      <w:numFmt w:val="decimal"/>
      <w:lvlText w:val="%1."/>
      <w:lvlJc w:val="left"/>
      <w:pPr>
        <w:ind w:left="1200" w:hanging="360"/>
      </w:pPr>
      <w:rPr>
        <w:rFonts w:hint="default" w:ascii="Arial" w:hAnsi="Arial" w:eastAsia="Calibri" w:cs="Arial"/>
        <w:b/>
        <w:bCs/>
        <w:i/>
        <w:spacing w:val="-1"/>
        <w:w w:val="100"/>
        <w:sz w:val="24"/>
        <w:szCs w:val="24"/>
      </w:rPr>
    </w:lvl>
    <w:lvl w:ilvl="1" w:tentative="0">
      <w:start w:val="1"/>
      <w:numFmt w:val="bullet"/>
      <w:lvlText w:val=""/>
      <w:lvlJc w:val="left"/>
      <w:pPr>
        <w:ind w:left="1520" w:hanging="360"/>
      </w:pPr>
      <w:rPr>
        <w:rFonts w:hint="default" w:ascii="Symbol" w:hAnsi="Symbol" w:eastAsia="Symbol"/>
        <w:w w:val="100"/>
        <w:sz w:val="24"/>
        <w:szCs w:val="24"/>
      </w:rPr>
    </w:lvl>
    <w:lvl w:ilvl="2" w:tentative="0">
      <w:start w:val="1"/>
      <w:numFmt w:val="bullet"/>
      <w:lvlText w:val="•"/>
      <w:lvlJc w:val="left"/>
      <w:pPr>
        <w:ind w:left="2368" w:hanging="360"/>
      </w:pPr>
      <w:rPr>
        <w:rFonts w:hint="default"/>
      </w:rPr>
    </w:lvl>
    <w:lvl w:ilvl="3" w:tentative="0">
      <w:start w:val="1"/>
      <w:numFmt w:val="bullet"/>
      <w:lvlText w:val="•"/>
      <w:lvlJc w:val="left"/>
      <w:pPr>
        <w:ind w:left="3217" w:hanging="360"/>
      </w:pPr>
      <w:rPr>
        <w:rFonts w:hint="default"/>
      </w:rPr>
    </w:lvl>
    <w:lvl w:ilvl="4" w:tentative="0">
      <w:start w:val="1"/>
      <w:numFmt w:val="bullet"/>
      <w:lvlText w:val="•"/>
      <w:lvlJc w:val="left"/>
      <w:pPr>
        <w:ind w:left="4066" w:hanging="360"/>
      </w:pPr>
      <w:rPr>
        <w:rFonts w:hint="default"/>
      </w:rPr>
    </w:lvl>
    <w:lvl w:ilvl="5" w:tentative="0">
      <w:start w:val="1"/>
      <w:numFmt w:val="bullet"/>
      <w:lvlText w:val="•"/>
      <w:lvlJc w:val="left"/>
      <w:pPr>
        <w:ind w:left="4915" w:hanging="360"/>
      </w:pPr>
      <w:rPr>
        <w:rFonts w:hint="default"/>
      </w:rPr>
    </w:lvl>
    <w:lvl w:ilvl="6" w:tentative="0">
      <w:start w:val="1"/>
      <w:numFmt w:val="bullet"/>
      <w:lvlText w:val="•"/>
      <w:lvlJc w:val="left"/>
      <w:pPr>
        <w:ind w:left="5764" w:hanging="360"/>
      </w:pPr>
      <w:rPr>
        <w:rFonts w:hint="default"/>
      </w:rPr>
    </w:lvl>
    <w:lvl w:ilvl="7" w:tentative="0">
      <w:start w:val="1"/>
      <w:numFmt w:val="bullet"/>
      <w:lvlText w:val="•"/>
      <w:lvlJc w:val="left"/>
      <w:pPr>
        <w:ind w:left="6613" w:hanging="360"/>
      </w:pPr>
      <w:rPr>
        <w:rFonts w:hint="default"/>
      </w:rPr>
    </w:lvl>
    <w:lvl w:ilvl="8" w:tentative="0">
      <w:start w:val="1"/>
      <w:numFmt w:val="bullet"/>
      <w:lvlText w:val="•"/>
      <w:lvlJc w:val="left"/>
      <w:pPr>
        <w:ind w:left="7462" w:hanging="360"/>
      </w:pPr>
      <w:rPr>
        <w:rFonts w:hint="default"/>
      </w:rPr>
    </w:lvl>
  </w:abstractNum>
  <w:abstractNum w:abstractNumId="2">
    <w:nsid w:val="152D0920"/>
    <w:multiLevelType w:val="multilevel"/>
    <w:tmpl w:val="152D0920"/>
    <w:lvl w:ilvl="0" w:tentative="0">
      <w:start w:val="1"/>
      <w:numFmt w:val="upperRoman"/>
      <w:lvlText w:val="%1."/>
      <w:lvlJc w:val="left"/>
      <w:pPr>
        <w:ind w:left="568" w:hanging="288"/>
        <w:jc w:val="right"/>
      </w:pPr>
      <w:rPr>
        <w:rFonts w:hint="default" w:ascii="Calibri" w:hAnsi="Calibri" w:eastAsia="Calibri"/>
        <w:b/>
        <w:bCs/>
        <w:w w:val="100"/>
        <w:sz w:val="36"/>
        <w:szCs w:val="36"/>
      </w:rPr>
    </w:lvl>
    <w:lvl w:ilvl="1" w:tentative="0">
      <w:start w:val="1"/>
      <w:numFmt w:val="upperLetter"/>
      <w:lvlText w:val="%2."/>
      <w:lvlJc w:val="left"/>
      <w:pPr>
        <w:ind w:left="1199" w:hanging="720"/>
      </w:pPr>
      <w:rPr>
        <w:rFonts w:hint="default" w:ascii="Calibri" w:hAnsi="Calibri" w:eastAsia="Calibri"/>
        <w:b/>
        <w:bCs/>
        <w:spacing w:val="-1"/>
        <w:w w:val="99"/>
        <w:sz w:val="28"/>
        <w:szCs w:val="28"/>
      </w:rPr>
    </w:lvl>
    <w:lvl w:ilvl="2" w:tentative="0">
      <w:start w:val="1"/>
      <w:numFmt w:val="bullet"/>
      <w:lvlText w:val=""/>
      <w:lvlJc w:val="left"/>
      <w:pPr>
        <w:ind w:left="1200" w:hanging="360"/>
      </w:pPr>
      <w:rPr>
        <w:rFonts w:hint="default" w:ascii="Symbol" w:hAnsi="Symbol" w:eastAsia="Symbol"/>
        <w:w w:val="100"/>
        <w:sz w:val="24"/>
        <w:szCs w:val="24"/>
      </w:rPr>
    </w:lvl>
    <w:lvl w:ilvl="3" w:tentative="0">
      <w:start w:val="1"/>
      <w:numFmt w:val="bullet"/>
      <w:lvlText w:val=""/>
      <w:lvlJc w:val="left"/>
      <w:pPr>
        <w:ind w:left="1304" w:hanging="360"/>
      </w:pPr>
      <w:rPr>
        <w:rFonts w:hint="default" w:ascii="Symbol" w:hAnsi="Symbol" w:eastAsia="Symbol"/>
        <w:w w:val="100"/>
        <w:sz w:val="24"/>
        <w:szCs w:val="24"/>
      </w:rPr>
    </w:lvl>
    <w:lvl w:ilvl="4" w:tentative="0">
      <w:start w:val="1"/>
      <w:numFmt w:val="bullet"/>
      <w:lvlText w:val="•"/>
      <w:lvlJc w:val="left"/>
      <w:pPr>
        <w:ind w:left="1300" w:hanging="360"/>
      </w:pPr>
      <w:rPr>
        <w:rFonts w:hint="default"/>
      </w:rPr>
    </w:lvl>
    <w:lvl w:ilvl="5" w:tentative="0">
      <w:start w:val="1"/>
      <w:numFmt w:val="bullet"/>
      <w:lvlText w:val="•"/>
      <w:lvlJc w:val="left"/>
      <w:pPr>
        <w:ind w:left="1560" w:hanging="360"/>
      </w:pPr>
      <w:rPr>
        <w:rFonts w:hint="default"/>
      </w:rPr>
    </w:lvl>
    <w:lvl w:ilvl="6" w:tentative="0">
      <w:start w:val="1"/>
      <w:numFmt w:val="bullet"/>
      <w:lvlText w:val="•"/>
      <w:lvlJc w:val="left"/>
      <w:pPr>
        <w:ind w:left="3064" w:hanging="360"/>
      </w:pPr>
      <w:rPr>
        <w:rFonts w:hint="default"/>
      </w:rPr>
    </w:lvl>
    <w:lvl w:ilvl="7" w:tentative="0">
      <w:start w:val="1"/>
      <w:numFmt w:val="bullet"/>
      <w:lvlText w:val="•"/>
      <w:lvlJc w:val="left"/>
      <w:pPr>
        <w:ind w:left="4568" w:hanging="360"/>
      </w:pPr>
      <w:rPr>
        <w:rFonts w:hint="default"/>
      </w:rPr>
    </w:lvl>
    <w:lvl w:ilvl="8" w:tentative="0">
      <w:start w:val="1"/>
      <w:numFmt w:val="bullet"/>
      <w:lvlText w:val="•"/>
      <w:lvlJc w:val="left"/>
      <w:pPr>
        <w:ind w:left="6072" w:hanging="360"/>
      </w:pPr>
      <w:rPr>
        <w:rFonts w:hint="default"/>
      </w:rPr>
    </w:lvl>
  </w:abstractNum>
  <w:abstractNum w:abstractNumId="3">
    <w:nsid w:val="26472C64"/>
    <w:multiLevelType w:val="multilevel"/>
    <w:tmpl w:val="26472C64"/>
    <w:lvl w:ilvl="0" w:tentative="0">
      <w:start w:val="1"/>
      <w:numFmt w:val="bullet"/>
      <w:lvlText w:val=""/>
      <w:lvlJc w:val="left"/>
      <w:pPr>
        <w:ind w:left="625" w:hanging="360"/>
      </w:pPr>
      <w:rPr>
        <w:rFonts w:hint="default" w:ascii="Symbol" w:hAnsi="Symbol" w:eastAsia="Symbol"/>
        <w:w w:val="99"/>
        <w:sz w:val="22"/>
        <w:szCs w:val="22"/>
      </w:rPr>
    </w:lvl>
    <w:lvl w:ilvl="1" w:tentative="0">
      <w:start w:val="1"/>
      <w:numFmt w:val="bullet"/>
      <w:lvlText w:val="•"/>
      <w:lvlJc w:val="left"/>
      <w:pPr>
        <w:ind w:left="1071" w:hanging="360"/>
      </w:pPr>
      <w:rPr>
        <w:rFonts w:hint="default"/>
      </w:rPr>
    </w:lvl>
    <w:lvl w:ilvl="2" w:tentative="0">
      <w:start w:val="1"/>
      <w:numFmt w:val="bullet"/>
      <w:lvlText w:val="•"/>
      <w:lvlJc w:val="left"/>
      <w:pPr>
        <w:ind w:left="1523" w:hanging="360"/>
      </w:pPr>
      <w:rPr>
        <w:rFonts w:hint="default"/>
      </w:rPr>
    </w:lvl>
    <w:lvl w:ilvl="3" w:tentative="0">
      <w:start w:val="1"/>
      <w:numFmt w:val="bullet"/>
      <w:lvlText w:val="•"/>
      <w:lvlJc w:val="left"/>
      <w:pPr>
        <w:ind w:left="1975" w:hanging="360"/>
      </w:pPr>
      <w:rPr>
        <w:rFonts w:hint="default"/>
      </w:rPr>
    </w:lvl>
    <w:lvl w:ilvl="4" w:tentative="0">
      <w:start w:val="1"/>
      <w:numFmt w:val="bullet"/>
      <w:lvlText w:val="•"/>
      <w:lvlJc w:val="left"/>
      <w:pPr>
        <w:ind w:left="2427" w:hanging="360"/>
      </w:pPr>
      <w:rPr>
        <w:rFonts w:hint="default"/>
      </w:rPr>
    </w:lvl>
    <w:lvl w:ilvl="5" w:tentative="0">
      <w:start w:val="1"/>
      <w:numFmt w:val="bullet"/>
      <w:lvlText w:val="•"/>
      <w:lvlJc w:val="left"/>
      <w:pPr>
        <w:ind w:left="2879" w:hanging="360"/>
      </w:pPr>
      <w:rPr>
        <w:rFonts w:hint="default"/>
      </w:rPr>
    </w:lvl>
    <w:lvl w:ilvl="6" w:tentative="0">
      <w:start w:val="1"/>
      <w:numFmt w:val="bullet"/>
      <w:lvlText w:val="•"/>
      <w:lvlJc w:val="left"/>
      <w:pPr>
        <w:ind w:left="3331" w:hanging="360"/>
      </w:pPr>
      <w:rPr>
        <w:rFonts w:hint="default"/>
      </w:rPr>
    </w:lvl>
    <w:lvl w:ilvl="7" w:tentative="0">
      <w:start w:val="1"/>
      <w:numFmt w:val="bullet"/>
      <w:lvlText w:val="•"/>
      <w:lvlJc w:val="left"/>
      <w:pPr>
        <w:ind w:left="3782" w:hanging="360"/>
      </w:pPr>
      <w:rPr>
        <w:rFonts w:hint="default"/>
      </w:rPr>
    </w:lvl>
    <w:lvl w:ilvl="8" w:tentative="0">
      <w:start w:val="1"/>
      <w:numFmt w:val="bullet"/>
      <w:lvlText w:val="•"/>
      <w:lvlJc w:val="left"/>
      <w:pPr>
        <w:ind w:left="4234" w:hanging="360"/>
      </w:pPr>
      <w:rPr>
        <w:rFonts w:hint="default"/>
      </w:rPr>
    </w:lvl>
  </w:abstractNum>
  <w:abstractNum w:abstractNumId="4">
    <w:nsid w:val="29F25638"/>
    <w:multiLevelType w:val="multilevel"/>
    <w:tmpl w:val="29F25638"/>
    <w:lvl w:ilvl="0" w:tentative="0">
      <w:start w:val="1"/>
      <w:numFmt w:val="bullet"/>
      <w:lvlText w:val=""/>
      <w:lvlJc w:val="left"/>
      <w:pPr>
        <w:ind w:left="625" w:hanging="360"/>
      </w:pPr>
      <w:rPr>
        <w:rFonts w:hint="default" w:ascii="Symbol" w:hAnsi="Symbol" w:eastAsia="Symbol"/>
        <w:w w:val="99"/>
        <w:sz w:val="22"/>
        <w:szCs w:val="22"/>
      </w:rPr>
    </w:lvl>
    <w:lvl w:ilvl="1" w:tentative="0">
      <w:start w:val="1"/>
      <w:numFmt w:val="bullet"/>
      <w:lvlText w:val="•"/>
      <w:lvlJc w:val="left"/>
      <w:pPr>
        <w:ind w:left="1071" w:hanging="360"/>
      </w:pPr>
      <w:rPr>
        <w:rFonts w:hint="default"/>
      </w:rPr>
    </w:lvl>
    <w:lvl w:ilvl="2" w:tentative="0">
      <w:start w:val="1"/>
      <w:numFmt w:val="bullet"/>
      <w:lvlText w:val="•"/>
      <w:lvlJc w:val="left"/>
      <w:pPr>
        <w:ind w:left="1523" w:hanging="360"/>
      </w:pPr>
      <w:rPr>
        <w:rFonts w:hint="default"/>
      </w:rPr>
    </w:lvl>
    <w:lvl w:ilvl="3" w:tentative="0">
      <w:start w:val="1"/>
      <w:numFmt w:val="bullet"/>
      <w:lvlText w:val="•"/>
      <w:lvlJc w:val="left"/>
      <w:pPr>
        <w:ind w:left="1975" w:hanging="360"/>
      </w:pPr>
      <w:rPr>
        <w:rFonts w:hint="default"/>
      </w:rPr>
    </w:lvl>
    <w:lvl w:ilvl="4" w:tentative="0">
      <w:start w:val="1"/>
      <w:numFmt w:val="bullet"/>
      <w:lvlText w:val="•"/>
      <w:lvlJc w:val="left"/>
      <w:pPr>
        <w:ind w:left="2427" w:hanging="360"/>
      </w:pPr>
      <w:rPr>
        <w:rFonts w:hint="default"/>
      </w:rPr>
    </w:lvl>
    <w:lvl w:ilvl="5" w:tentative="0">
      <w:start w:val="1"/>
      <w:numFmt w:val="bullet"/>
      <w:lvlText w:val="•"/>
      <w:lvlJc w:val="left"/>
      <w:pPr>
        <w:ind w:left="2879" w:hanging="360"/>
      </w:pPr>
      <w:rPr>
        <w:rFonts w:hint="default"/>
      </w:rPr>
    </w:lvl>
    <w:lvl w:ilvl="6" w:tentative="0">
      <w:start w:val="1"/>
      <w:numFmt w:val="bullet"/>
      <w:lvlText w:val="•"/>
      <w:lvlJc w:val="left"/>
      <w:pPr>
        <w:ind w:left="3331" w:hanging="360"/>
      </w:pPr>
      <w:rPr>
        <w:rFonts w:hint="default"/>
      </w:rPr>
    </w:lvl>
    <w:lvl w:ilvl="7" w:tentative="0">
      <w:start w:val="1"/>
      <w:numFmt w:val="bullet"/>
      <w:lvlText w:val="•"/>
      <w:lvlJc w:val="left"/>
      <w:pPr>
        <w:ind w:left="3782" w:hanging="360"/>
      </w:pPr>
      <w:rPr>
        <w:rFonts w:hint="default"/>
      </w:rPr>
    </w:lvl>
    <w:lvl w:ilvl="8" w:tentative="0">
      <w:start w:val="1"/>
      <w:numFmt w:val="bullet"/>
      <w:lvlText w:val="•"/>
      <w:lvlJc w:val="left"/>
      <w:pPr>
        <w:ind w:left="4234" w:hanging="360"/>
      </w:pPr>
      <w:rPr>
        <w:rFonts w:hint="default"/>
      </w:rPr>
    </w:lvl>
  </w:abstractNum>
  <w:abstractNum w:abstractNumId="5">
    <w:nsid w:val="51E20AF7"/>
    <w:multiLevelType w:val="multilevel"/>
    <w:tmpl w:val="51E20AF7"/>
    <w:lvl w:ilvl="0" w:tentative="0">
      <w:start w:val="1"/>
      <w:numFmt w:val="decimal"/>
      <w:lvlText w:val="%1."/>
      <w:lvlJc w:val="left"/>
      <w:pPr>
        <w:ind w:left="1200" w:hanging="360"/>
      </w:pPr>
      <w:rPr>
        <w:rFonts w:hint="default" w:ascii="Calibri" w:hAnsi="Calibri" w:eastAsia="Calibri"/>
        <w:b/>
        <w:bCs/>
        <w:i/>
        <w:spacing w:val="-1"/>
        <w:w w:val="100"/>
        <w:sz w:val="24"/>
        <w:szCs w:val="24"/>
      </w:rPr>
    </w:lvl>
    <w:lvl w:ilvl="1" w:tentative="0">
      <w:start w:val="1"/>
      <w:numFmt w:val="bullet"/>
      <w:lvlText w:val=""/>
      <w:lvlJc w:val="left"/>
      <w:pPr>
        <w:ind w:left="1560" w:hanging="360"/>
      </w:pPr>
      <w:rPr>
        <w:rFonts w:hint="default" w:ascii="Symbol" w:hAnsi="Symbol" w:eastAsia="Symbol"/>
        <w:w w:val="100"/>
      </w:rPr>
    </w:lvl>
    <w:lvl w:ilvl="2" w:tentative="0">
      <w:start w:val="1"/>
      <w:numFmt w:val="bullet"/>
      <w:lvlText w:val="•"/>
      <w:lvlJc w:val="left"/>
      <w:pPr>
        <w:ind w:left="1560" w:hanging="360"/>
      </w:pPr>
      <w:rPr>
        <w:rFonts w:hint="default"/>
      </w:rPr>
    </w:lvl>
    <w:lvl w:ilvl="3" w:tentative="0">
      <w:start w:val="1"/>
      <w:numFmt w:val="bullet"/>
      <w:lvlText w:val="•"/>
      <w:lvlJc w:val="left"/>
      <w:pPr>
        <w:ind w:left="2515" w:hanging="360"/>
      </w:pPr>
      <w:rPr>
        <w:rFonts w:hint="default"/>
      </w:rPr>
    </w:lvl>
    <w:lvl w:ilvl="4" w:tentative="0">
      <w:start w:val="1"/>
      <w:numFmt w:val="bullet"/>
      <w:lvlText w:val="•"/>
      <w:lvlJc w:val="left"/>
      <w:pPr>
        <w:ind w:left="3470" w:hanging="360"/>
      </w:pPr>
      <w:rPr>
        <w:rFonts w:hint="default"/>
      </w:rPr>
    </w:lvl>
    <w:lvl w:ilvl="5" w:tentative="0">
      <w:start w:val="1"/>
      <w:numFmt w:val="bullet"/>
      <w:lvlText w:val="•"/>
      <w:lvlJc w:val="left"/>
      <w:pPr>
        <w:ind w:left="4425" w:hanging="360"/>
      </w:pPr>
      <w:rPr>
        <w:rFonts w:hint="default"/>
      </w:rPr>
    </w:lvl>
    <w:lvl w:ilvl="6" w:tentative="0">
      <w:start w:val="1"/>
      <w:numFmt w:val="bullet"/>
      <w:lvlText w:val="•"/>
      <w:lvlJc w:val="left"/>
      <w:pPr>
        <w:ind w:left="5380" w:hanging="360"/>
      </w:pPr>
      <w:rPr>
        <w:rFonts w:hint="default"/>
      </w:rPr>
    </w:lvl>
    <w:lvl w:ilvl="7" w:tentative="0">
      <w:start w:val="1"/>
      <w:numFmt w:val="bullet"/>
      <w:lvlText w:val="•"/>
      <w:lvlJc w:val="left"/>
      <w:pPr>
        <w:ind w:left="6335" w:hanging="360"/>
      </w:pPr>
      <w:rPr>
        <w:rFonts w:hint="default"/>
      </w:rPr>
    </w:lvl>
    <w:lvl w:ilvl="8" w:tentative="0">
      <w:start w:val="1"/>
      <w:numFmt w:val="bullet"/>
      <w:lvlText w:val="•"/>
      <w:lvlJc w:val="left"/>
      <w:pPr>
        <w:ind w:left="7290" w:hanging="360"/>
      </w:pPr>
      <w:rPr>
        <w:rFonts w:hint="default"/>
      </w:rPr>
    </w:lvl>
  </w:abstractNum>
  <w:abstractNum w:abstractNumId="6">
    <w:nsid w:val="61D91500"/>
    <w:multiLevelType w:val="multilevel"/>
    <w:tmpl w:val="61D91500"/>
    <w:lvl w:ilvl="0" w:tentative="0">
      <w:start w:val="1"/>
      <w:numFmt w:val="decimal"/>
      <w:lvlText w:val="%1."/>
      <w:lvlJc w:val="left"/>
      <w:pPr>
        <w:ind w:left="1200" w:hanging="360"/>
      </w:pPr>
      <w:rPr>
        <w:rFonts w:hint="default" w:ascii="Arial" w:hAnsi="Arial" w:eastAsia="Calibri" w:cs="Arial"/>
        <w:b/>
        <w:bCs/>
        <w:i/>
        <w:spacing w:val="-1"/>
        <w:w w:val="100"/>
        <w:sz w:val="24"/>
        <w:szCs w:val="24"/>
      </w:rPr>
    </w:lvl>
    <w:lvl w:ilvl="1" w:tentative="0">
      <w:start w:val="1"/>
      <w:numFmt w:val="bullet"/>
      <w:lvlText w:val=""/>
      <w:lvlJc w:val="left"/>
      <w:pPr>
        <w:ind w:left="1520" w:hanging="360"/>
      </w:pPr>
      <w:rPr>
        <w:rFonts w:hint="default" w:ascii="Symbol" w:hAnsi="Symbol" w:eastAsia="Symbol"/>
        <w:w w:val="100"/>
      </w:rPr>
    </w:lvl>
    <w:lvl w:ilvl="2" w:tentative="0">
      <w:start w:val="1"/>
      <w:numFmt w:val="bullet"/>
      <w:lvlText w:val="•"/>
      <w:lvlJc w:val="left"/>
      <w:pPr>
        <w:ind w:left="2366" w:hanging="360"/>
      </w:pPr>
      <w:rPr>
        <w:rFonts w:hint="default"/>
      </w:rPr>
    </w:lvl>
    <w:lvl w:ilvl="3" w:tentative="0">
      <w:start w:val="1"/>
      <w:numFmt w:val="bullet"/>
      <w:lvlText w:val="•"/>
      <w:lvlJc w:val="left"/>
      <w:pPr>
        <w:ind w:left="3213" w:hanging="360"/>
      </w:pPr>
      <w:rPr>
        <w:rFonts w:hint="default"/>
      </w:rPr>
    </w:lvl>
    <w:lvl w:ilvl="4" w:tentative="0">
      <w:start w:val="1"/>
      <w:numFmt w:val="bullet"/>
      <w:lvlText w:val="•"/>
      <w:lvlJc w:val="left"/>
      <w:pPr>
        <w:ind w:left="4060" w:hanging="360"/>
      </w:pPr>
      <w:rPr>
        <w:rFonts w:hint="default"/>
      </w:rPr>
    </w:lvl>
    <w:lvl w:ilvl="5" w:tentative="0">
      <w:start w:val="1"/>
      <w:numFmt w:val="bullet"/>
      <w:lvlText w:val="•"/>
      <w:lvlJc w:val="left"/>
      <w:pPr>
        <w:ind w:left="4906" w:hanging="360"/>
      </w:pPr>
      <w:rPr>
        <w:rFonts w:hint="default"/>
      </w:rPr>
    </w:lvl>
    <w:lvl w:ilvl="6" w:tentative="0">
      <w:start w:val="1"/>
      <w:numFmt w:val="bullet"/>
      <w:lvlText w:val="•"/>
      <w:lvlJc w:val="left"/>
      <w:pPr>
        <w:ind w:left="5753" w:hanging="360"/>
      </w:pPr>
      <w:rPr>
        <w:rFonts w:hint="default"/>
      </w:rPr>
    </w:lvl>
    <w:lvl w:ilvl="7" w:tentative="0">
      <w:start w:val="1"/>
      <w:numFmt w:val="bullet"/>
      <w:lvlText w:val="•"/>
      <w:lvlJc w:val="left"/>
      <w:pPr>
        <w:ind w:left="6600" w:hanging="360"/>
      </w:pPr>
      <w:rPr>
        <w:rFonts w:hint="default"/>
      </w:rPr>
    </w:lvl>
    <w:lvl w:ilvl="8" w:tentative="0">
      <w:start w:val="1"/>
      <w:numFmt w:val="bullet"/>
      <w:lvlText w:val="•"/>
      <w:lvlJc w:val="left"/>
      <w:pPr>
        <w:ind w:left="7446" w:hanging="360"/>
      </w:pPr>
      <w:rPr>
        <w:rFonts w:hint="default"/>
      </w:rPr>
    </w:lvl>
  </w:abstractNum>
  <w:abstractNum w:abstractNumId="7">
    <w:nsid w:val="6EAE5794"/>
    <w:multiLevelType w:val="multilevel"/>
    <w:tmpl w:val="6EAE5794"/>
    <w:lvl w:ilvl="0" w:tentative="0">
      <w:start w:val="1"/>
      <w:numFmt w:val="bullet"/>
      <w:lvlText w:val=""/>
      <w:lvlJc w:val="left"/>
      <w:pPr>
        <w:ind w:left="625" w:hanging="360"/>
      </w:pPr>
      <w:rPr>
        <w:rFonts w:hint="default" w:ascii="Symbol" w:hAnsi="Symbol" w:eastAsia="Symbol"/>
        <w:w w:val="99"/>
        <w:sz w:val="22"/>
        <w:szCs w:val="22"/>
      </w:rPr>
    </w:lvl>
    <w:lvl w:ilvl="1" w:tentative="0">
      <w:start w:val="1"/>
      <w:numFmt w:val="bullet"/>
      <w:lvlText w:val="•"/>
      <w:lvlJc w:val="left"/>
      <w:pPr>
        <w:ind w:left="1071" w:hanging="360"/>
      </w:pPr>
      <w:rPr>
        <w:rFonts w:hint="default"/>
      </w:rPr>
    </w:lvl>
    <w:lvl w:ilvl="2" w:tentative="0">
      <w:start w:val="1"/>
      <w:numFmt w:val="bullet"/>
      <w:lvlText w:val="•"/>
      <w:lvlJc w:val="left"/>
      <w:pPr>
        <w:ind w:left="1523" w:hanging="360"/>
      </w:pPr>
      <w:rPr>
        <w:rFonts w:hint="default"/>
      </w:rPr>
    </w:lvl>
    <w:lvl w:ilvl="3" w:tentative="0">
      <w:start w:val="1"/>
      <w:numFmt w:val="bullet"/>
      <w:lvlText w:val="•"/>
      <w:lvlJc w:val="left"/>
      <w:pPr>
        <w:ind w:left="1975" w:hanging="360"/>
      </w:pPr>
      <w:rPr>
        <w:rFonts w:hint="default"/>
      </w:rPr>
    </w:lvl>
    <w:lvl w:ilvl="4" w:tentative="0">
      <w:start w:val="1"/>
      <w:numFmt w:val="bullet"/>
      <w:lvlText w:val="•"/>
      <w:lvlJc w:val="left"/>
      <w:pPr>
        <w:ind w:left="2427" w:hanging="360"/>
      </w:pPr>
      <w:rPr>
        <w:rFonts w:hint="default"/>
      </w:rPr>
    </w:lvl>
    <w:lvl w:ilvl="5" w:tentative="0">
      <w:start w:val="1"/>
      <w:numFmt w:val="bullet"/>
      <w:lvlText w:val="•"/>
      <w:lvlJc w:val="left"/>
      <w:pPr>
        <w:ind w:left="2879" w:hanging="360"/>
      </w:pPr>
      <w:rPr>
        <w:rFonts w:hint="default"/>
      </w:rPr>
    </w:lvl>
    <w:lvl w:ilvl="6" w:tentative="0">
      <w:start w:val="1"/>
      <w:numFmt w:val="bullet"/>
      <w:lvlText w:val="•"/>
      <w:lvlJc w:val="left"/>
      <w:pPr>
        <w:ind w:left="3331" w:hanging="360"/>
      </w:pPr>
      <w:rPr>
        <w:rFonts w:hint="default"/>
      </w:rPr>
    </w:lvl>
    <w:lvl w:ilvl="7" w:tentative="0">
      <w:start w:val="1"/>
      <w:numFmt w:val="bullet"/>
      <w:lvlText w:val="•"/>
      <w:lvlJc w:val="left"/>
      <w:pPr>
        <w:ind w:left="3782" w:hanging="360"/>
      </w:pPr>
      <w:rPr>
        <w:rFonts w:hint="default"/>
      </w:rPr>
    </w:lvl>
    <w:lvl w:ilvl="8" w:tentative="0">
      <w:start w:val="1"/>
      <w:numFmt w:val="bullet"/>
      <w:lvlText w:val="•"/>
      <w:lvlJc w:val="left"/>
      <w:pPr>
        <w:ind w:left="4234" w:hanging="360"/>
      </w:pPr>
      <w:rPr>
        <w:rFonts w:hint="default"/>
      </w:rPr>
    </w:lvl>
  </w:abstractNum>
  <w:abstractNum w:abstractNumId="8">
    <w:nsid w:val="6F880778"/>
    <w:multiLevelType w:val="multilevel"/>
    <w:tmpl w:val="6F880778"/>
    <w:lvl w:ilvl="0" w:tentative="0">
      <w:start w:val="1"/>
      <w:numFmt w:val="bullet"/>
      <w:lvlText w:val=""/>
      <w:lvlJc w:val="left"/>
      <w:pPr>
        <w:ind w:left="625" w:hanging="360"/>
      </w:pPr>
      <w:rPr>
        <w:rFonts w:hint="default" w:ascii="Symbol" w:hAnsi="Symbol" w:eastAsia="Symbol"/>
        <w:w w:val="99"/>
        <w:sz w:val="22"/>
        <w:szCs w:val="22"/>
      </w:rPr>
    </w:lvl>
    <w:lvl w:ilvl="1" w:tentative="0">
      <w:start w:val="1"/>
      <w:numFmt w:val="bullet"/>
      <w:lvlText w:val="•"/>
      <w:lvlJc w:val="left"/>
      <w:pPr>
        <w:ind w:left="1071" w:hanging="360"/>
      </w:pPr>
      <w:rPr>
        <w:rFonts w:hint="default"/>
      </w:rPr>
    </w:lvl>
    <w:lvl w:ilvl="2" w:tentative="0">
      <w:start w:val="1"/>
      <w:numFmt w:val="bullet"/>
      <w:lvlText w:val="•"/>
      <w:lvlJc w:val="left"/>
      <w:pPr>
        <w:ind w:left="1523" w:hanging="360"/>
      </w:pPr>
      <w:rPr>
        <w:rFonts w:hint="default"/>
      </w:rPr>
    </w:lvl>
    <w:lvl w:ilvl="3" w:tentative="0">
      <w:start w:val="1"/>
      <w:numFmt w:val="bullet"/>
      <w:lvlText w:val="•"/>
      <w:lvlJc w:val="left"/>
      <w:pPr>
        <w:ind w:left="1975" w:hanging="360"/>
      </w:pPr>
      <w:rPr>
        <w:rFonts w:hint="default"/>
      </w:rPr>
    </w:lvl>
    <w:lvl w:ilvl="4" w:tentative="0">
      <w:start w:val="1"/>
      <w:numFmt w:val="bullet"/>
      <w:lvlText w:val="•"/>
      <w:lvlJc w:val="left"/>
      <w:pPr>
        <w:ind w:left="2427" w:hanging="360"/>
      </w:pPr>
      <w:rPr>
        <w:rFonts w:hint="default"/>
      </w:rPr>
    </w:lvl>
    <w:lvl w:ilvl="5" w:tentative="0">
      <w:start w:val="1"/>
      <w:numFmt w:val="bullet"/>
      <w:lvlText w:val="•"/>
      <w:lvlJc w:val="left"/>
      <w:pPr>
        <w:ind w:left="2879" w:hanging="360"/>
      </w:pPr>
      <w:rPr>
        <w:rFonts w:hint="default"/>
      </w:rPr>
    </w:lvl>
    <w:lvl w:ilvl="6" w:tentative="0">
      <w:start w:val="1"/>
      <w:numFmt w:val="bullet"/>
      <w:lvlText w:val="•"/>
      <w:lvlJc w:val="left"/>
      <w:pPr>
        <w:ind w:left="3331" w:hanging="360"/>
      </w:pPr>
      <w:rPr>
        <w:rFonts w:hint="default"/>
      </w:rPr>
    </w:lvl>
    <w:lvl w:ilvl="7" w:tentative="0">
      <w:start w:val="1"/>
      <w:numFmt w:val="bullet"/>
      <w:lvlText w:val="•"/>
      <w:lvlJc w:val="left"/>
      <w:pPr>
        <w:ind w:left="3782" w:hanging="360"/>
      </w:pPr>
      <w:rPr>
        <w:rFonts w:hint="default"/>
      </w:rPr>
    </w:lvl>
    <w:lvl w:ilvl="8" w:tentative="0">
      <w:start w:val="1"/>
      <w:numFmt w:val="bullet"/>
      <w:lvlText w:val="•"/>
      <w:lvlJc w:val="left"/>
      <w:pPr>
        <w:ind w:left="4234" w:hanging="360"/>
      </w:pPr>
      <w:rPr>
        <w:rFonts w:hint="default"/>
      </w:rPr>
    </w:lvl>
  </w:abstractNum>
  <w:num w:numId="1">
    <w:abstractNumId w:val="2"/>
  </w:num>
  <w:num w:numId="2">
    <w:abstractNumId w:val="1"/>
  </w:num>
  <w:num w:numId="3">
    <w:abstractNumId w:val="6"/>
  </w:num>
  <w:num w:numId="4">
    <w:abstractNumId w:val="5"/>
  </w:num>
  <w:num w:numId="5">
    <w:abstractNumId w:val="3"/>
  </w:num>
  <w:num w:numId="6">
    <w:abstractNumId w:val="8"/>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08"/>
    <w:rsid w:val="00014EA8"/>
    <w:rsid w:val="000154B7"/>
    <w:rsid w:val="00036A13"/>
    <w:rsid w:val="00037664"/>
    <w:rsid w:val="0004691A"/>
    <w:rsid w:val="00093330"/>
    <w:rsid w:val="00094E4B"/>
    <w:rsid w:val="00096035"/>
    <w:rsid w:val="000B43B3"/>
    <w:rsid w:val="000B733F"/>
    <w:rsid w:val="00107915"/>
    <w:rsid w:val="00142C1B"/>
    <w:rsid w:val="001437D0"/>
    <w:rsid w:val="0015067A"/>
    <w:rsid w:val="001732CD"/>
    <w:rsid w:val="00182F35"/>
    <w:rsid w:val="001914DE"/>
    <w:rsid w:val="001A0A5C"/>
    <w:rsid w:val="001A669C"/>
    <w:rsid w:val="001A69C0"/>
    <w:rsid w:val="001B135F"/>
    <w:rsid w:val="001C1BD6"/>
    <w:rsid w:val="001C5C53"/>
    <w:rsid w:val="001D2237"/>
    <w:rsid w:val="001E3BD3"/>
    <w:rsid w:val="00220644"/>
    <w:rsid w:val="002339D9"/>
    <w:rsid w:val="00251AB5"/>
    <w:rsid w:val="0027072F"/>
    <w:rsid w:val="002754BA"/>
    <w:rsid w:val="0028313E"/>
    <w:rsid w:val="002B2814"/>
    <w:rsid w:val="002D7910"/>
    <w:rsid w:val="002F5FB8"/>
    <w:rsid w:val="00327759"/>
    <w:rsid w:val="00334C70"/>
    <w:rsid w:val="0034662D"/>
    <w:rsid w:val="00357ABF"/>
    <w:rsid w:val="00367F03"/>
    <w:rsid w:val="00371818"/>
    <w:rsid w:val="00391E38"/>
    <w:rsid w:val="00397480"/>
    <w:rsid w:val="003A4170"/>
    <w:rsid w:val="003B0FAE"/>
    <w:rsid w:val="003B48D2"/>
    <w:rsid w:val="003B562B"/>
    <w:rsid w:val="003D3826"/>
    <w:rsid w:val="003F4FF8"/>
    <w:rsid w:val="00402B56"/>
    <w:rsid w:val="00415260"/>
    <w:rsid w:val="00421E55"/>
    <w:rsid w:val="004368B2"/>
    <w:rsid w:val="00492DC6"/>
    <w:rsid w:val="004A2267"/>
    <w:rsid w:val="004B248C"/>
    <w:rsid w:val="004E4A4D"/>
    <w:rsid w:val="004E7576"/>
    <w:rsid w:val="004F0F40"/>
    <w:rsid w:val="00502985"/>
    <w:rsid w:val="00535512"/>
    <w:rsid w:val="0054790E"/>
    <w:rsid w:val="00560AFB"/>
    <w:rsid w:val="00562972"/>
    <w:rsid w:val="00575444"/>
    <w:rsid w:val="0059015F"/>
    <w:rsid w:val="005A4C2A"/>
    <w:rsid w:val="005B356A"/>
    <w:rsid w:val="005C4FFC"/>
    <w:rsid w:val="005D553C"/>
    <w:rsid w:val="005E4F71"/>
    <w:rsid w:val="00610503"/>
    <w:rsid w:val="00614D1D"/>
    <w:rsid w:val="0062340E"/>
    <w:rsid w:val="006373BD"/>
    <w:rsid w:val="0065203F"/>
    <w:rsid w:val="00656D21"/>
    <w:rsid w:val="00666FA3"/>
    <w:rsid w:val="00681F1F"/>
    <w:rsid w:val="006826DA"/>
    <w:rsid w:val="006879DC"/>
    <w:rsid w:val="006D23C9"/>
    <w:rsid w:val="006E1EB6"/>
    <w:rsid w:val="006F17DC"/>
    <w:rsid w:val="006F1DA4"/>
    <w:rsid w:val="0070121F"/>
    <w:rsid w:val="00737204"/>
    <w:rsid w:val="00754A9E"/>
    <w:rsid w:val="00755C2D"/>
    <w:rsid w:val="007A2DE4"/>
    <w:rsid w:val="007B696F"/>
    <w:rsid w:val="007C5B2F"/>
    <w:rsid w:val="007D2E27"/>
    <w:rsid w:val="007D72A9"/>
    <w:rsid w:val="00826DFB"/>
    <w:rsid w:val="0083042D"/>
    <w:rsid w:val="00861E8C"/>
    <w:rsid w:val="0087383E"/>
    <w:rsid w:val="00873A18"/>
    <w:rsid w:val="00874972"/>
    <w:rsid w:val="008768C0"/>
    <w:rsid w:val="00885985"/>
    <w:rsid w:val="00887770"/>
    <w:rsid w:val="00895D6D"/>
    <w:rsid w:val="008B61CB"/>
    <w:rsid w:val="008D32F5"/>
    <w:rsid w:val="008F2F79"/>
    <w:rsid w:val="00917B09"/>
    <w:rsid w:val="00922CF5"/>
    <w:rsid w:val="00944EAA"/>
    <w:rsid w:val="009653C6"/>
    <w:rsid w:val="00965763"/>
    <w:rsid w:val="00967DE6"/>
    <w:rsid w:val="00977F88"/>
    <w:rsid w:val="009B291F"/>
    <w:rsid w:val="009C49CB"/>
    <w:rsid w:val="009C57A0"/>
    <w:rsid w:val="009D68B3"/>
    <w:rsid w:val="009E225A"/>
    <w:rsid w:val="009F25F3"/>
    <w:rsid w:val="009F2D66"/>
    <w:rsid w:val="009F5678"/>
    <w:rsid w:val="00A14E11"/>
    <w:rsid w:val="00A46F81"/>
    <w:rsid w:val="00A5184A"/>
    <w:rsid w:val="00A52916"/>
    <w:rsid w:val="00A54017"/>
    <w:rsid w:val="00A774B5"/>
    <w:rsid w:val="00A920D8"/>
    <w:rsid w:val="00AB0B75"/>
    <w:rsid w:val="00AD40E9"/>
    <w:rsid w:val="00B07399"/>
    <w:rsid w:val="00B21282"/>
    <w:rsid w:val="00B23CB7"/>
    <w:rsid w:val="00B24B40"/>
    <w:rsid w:val="00B44AC9"/>
    <w:rsid w:val="00B46923"/>
    <w:rsid w:val="00B64300"/>
    <w:rsid w:val="00B80EEB"/>
    <w:rsid w:val="00B914E1"/>
    <w:rsid w:val="00B926D2"/>
    <w:rsid w:val="00BB06D5"/>
    <w:rsid w:val="00BD7DF3"/>
    <w:rsid w:val="00BF1859"/>
    <w:rsid w:val="00BF261F"/>
    <w:rsid w:val="00C056D1"/>
    <w:rsid w:val="00C10CC9"/>
    <w:rsid w:val="00C45AFF"/>
    <w:rsid w:val="00C55903"/>
    <w:rsid w:val="00C81A4A"/>
    <w:rsid w:val="00CA20A3"/>
    <w:rsid w:val="00CA6A0A"/>
    <w:rsid w:val="00CD0EAB"/>
    <w:rsid w:val="00CD3227"/>
    <w:rsid w:val="00CE1E5B"/>
    <w:rsid w:val="00CF0326"/>
    <w:rsid w:val="00D036AC"/>
    <w:rsid w:val="00D37419"/>
    <w:rsid w:val="00D56627"/>
    <w:rsid w:val="00D6256F"/>
    <w:rsid w:val="00D72226"/>
    <w:rsid w:val="00D72472"/>
    <w:rsid w:val="00D76840"/>
    <w:rsid w:val="00DA791B"/>
    <w:rsid w:val="00DB3613"/>
    <w:rsid w:val="00E01702"/>
    <w:rsid w:val="00E140B6"/>
    <w:rsid w:val="00E14E93"/>
    <w:rsid w:val="00E24F22"/>
    <w:rsid w:val="00E518CD"/>
    <w:rsid w:val="00E67093"/>
    <w:rsid w:val="00E73156"/>
    <w:rsid w:val="00E74E1D"/>
    <w:rsid w:val="00E81D94"/>
    <w:rsid w:val="00E83053"/>
    <w:rsid w:val="00E9052A"/>
    <w:rsid w:val="00EC1269"/>
    <w:rsid w:val="00EC361A"/>
    <w:rsid w:val="00ED0746"/>
    <w:rsid w:val="00EE7ABE"/>
    <w:rsid w:val="00EF7122"/>
    <w:rsid w:val="00F159DB"/>
    <w:rsid w:val="00F222D8"/>
    <w:rsid w:val="00F35214"/>
    <w:rsid w:val="00FB3868"/>
    <w:rsid w:val="00FC2308"/>
    <w:rsid w:val="00FC2A09"/>
    <w:rsid w:val="00FC3136"/>
    <w:rsid w:val="1C420AD2"/>
    <w:rsid w:val="621C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696"/>
      <w:outlineLvl w:val="0"/>
    </w:pPr>
    <w:rPr>
      <w:rFonts w:ascii="Calibri" w:hAnsi="Calibri" w:eastAsia="Calibri"/>
      <w:b/>
      <w:bCs/>
      <w:sz w:val="36"/>
      <w:szCs w:val="36"/>
    </w:rPr>
  </w:style>
  <w:style w:type="paragraph" w:styleId="3">
    <w:name w:val="heading 2"/>
    <w:basedOn w:val="1"/>
    <w:next w:val="4"/>
    <w:qFormat/>
    <w:uiPriority w:val="1"/>
    <w:pPr>
      <w:ind w:left="1199" w:hanging="719"/>
      <w:outlineLvl w:val="1"/>
    </w:pPr>
    <w:rPr>
      <w:rFonts w:ascii="Calibri" w:hAnsi="Calibri" w:eastAsia="Calibri"/>
      <w:b/>
      <w:bCs/>
      <w:sz w:val="28"/>
      <w:szCs w:val="28"/>
    </w:rPr>
  </w:style>
  <w:style w:type="paragraph" w:styleId="5">
    <w:name w:val="heading 3"/>
    <w:basedOn w:val="1"/>
    <w:next w:val="1"/>
    <w:qFormat/>
    <w:uiPriority w:val="1"/>
    <w:pPr>
      <w:ind w:left="1200" w:hanging="360"/>
      <w:outlineLvl w:val="2"/>
    </w:pPr>
    <w:rPr>
      <w:rFonts w:ascii="Calibri" w:hAnsi="Calibri" w:eastAsia="Calibri"/>
      <w:b/>
      <w:bCs/>
      <w:i/>
      <w:sz w:val="24"/>
      <w:szCs w:val="2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uiPriority w:val="99"/>
    <w:pPr>
      <w:ind w:firstLine="420" w:firstLineChars="200"/>
    </w:pPr>
  </w:style>
  <w:style w:type="paragraph" w:styleId="6">
    <w:name w:val="Body Text"/>
    <w:basedOn w:val="1"/>
    <w:qFormat/>
    <w:uiPriority w:val="1"/>
    <w:pPr>
      <w:ind w:left="1200"/>
    </w:pPr>
    <w:rPr>
      <w:rFonts w:ascii="Calibri" w:hAnsi="Calibri" w:eastAsia="Calibri"/>
      <w:sz w:val="24"/>
      <w:szCs w:val="24"/>
    </w:rPr>
  </w:style>
  <w:style w:type="paragraph" w:styleId="7">
    <w:name w:val="toc 3"/>
    <w:basedOn w:val="1"/>
    <w:next w:val="1"/>
    <w:qFormat/>
    <w:uiPriority w:val="39"/>
    <w:pPr>
      <w:ind w:left="1049" w:hanging="482"/>
    </w:pPr>
    <w:rPr>
      <w:rFonts w:ascii="Calibri" w:hAnsi="Calibri" w:eastAsia="Calibri"/>
      <w:bCs/>
    </w:r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ind w:left="640" w:hanging="540"/>
    </w:pPr>
    <w:rPr>
      <w:rFonts w:ascii="Calibri" w:hAnsi="Calibri" w:eastAsia="Calibri"/>
      <w:sz w:val="24"/>
      <w:szCs w:val="24"/>
    </w:rPr>
  </w:style>
  <w:style w:type="paragraph" w:styleId="12">
    <w:name w:val="toc 4"/>
    <w:basedOn w:val="1"/>
    <w:next w:val="1"/>
    <w:qFormat/>
    <w:uiPriority w:val="1"/>
    <w:pPr>
      <w:ind w:left="1060" w:hanging="480"/>
    </w:pPr>
    <w:rPr>
      <w:rFonts w:ascii="Calibri" w:hAnsi="Calibri" w:eastAsia="Calibri"/>
      <w:sz w:val="24"/>
      <w:szCs w:val="24"/>
    </w:rPr>
  </w:style>
  <w:style w:type="paragraph" w:styleId="13">
    <w:name w:val="toc 2"/>
    <w:basedOn w:val="1"/>
    <w:next w:val="1"/>
    <w:qFormat/>
    <w:uiPriority w:val="39"/>
    <w:pPr>
      <w:ind w:left="820" w:hanging="480"/>
    </w:pPr>
    <w:rPr>
      <w:rFonts w:ascii="Calibri" w:hAnsi="Calibri" w:eastAsia="Calibri"/>
      <w:sz w:val="24"/>
      <w:szCs w:val="24"/>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table" w:customStyle="1" w:styleId="17">
    <w:name w:val="Table Normal"/>
    <w:unhideWhenUsed/>
    <w:qFormat/>
    <w:uiPriority w:val="2"/>
    <w:tblPr>
      <w:tblCellMar>
        <w:top w:w="0" w:type="dxa"/>
        <w:left w:w="0" w:type="dxa"/>
        <w:bottom w:w="0" w:type="dxa"/>
        <w:right w:w="0" w:type="dxa"/>
      </w:tblCellMar>
    </w:tblPr>
  </w:style>
  <w:style w:type="paragraph" w:customStyle="1" w:styleId="18">
    <w:name w:val="列出段落1"/>
    <w:basedOn w:val="1"/>
    <w:qFormat/>
    <w:uiPriority w:val="1"/>
  </w:style>
  <w:style w:type="paragraph" w:customStyle="1" w:styleId="19">
    <w:name w:val="Table Paragraph"/>
    <w:basedOn w:val="1"/>
    <w:qFormat/>
    <w:uiPriority w:val="1"/>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web-item2"/>
    <w:basedOn w:val="15"/>
    <w:qFormat/>
    <w:uiPriority w:val="0"/>
    <w:rPr>
      <w:sz w:val="18"/>
      <w:szCs w:val="18"/>
    </w:rPr>
  </w:style>
  <w:style w:type="character" w:customStyle="1" w:styleId="23">
    <w:name w:val="批注框文本 Char"/>
    <w:basedOn w:val="15"/>
    <w:link w:val="8"/>
    <w:semiHidden/>
    <w:qFormat/>
    <w:uiPriority w:val="99"/>
    <w:rPr>
      <w:rFonts w:asciiTheme="minorHAnsi" w:hAnsiTheme="minorHAnsi" w:eastAsiaTheme="minorEastAsia" w:cstheme="minorBidi"/>
      <w:sz w:val="18"/>
      <w:szCs w:val="18"/>
      <w:lang w:eastAsia="en-US"/>
    </w:rPr>
  </w:style>
  <w:style w:type="paragraph" w:customStyle="1" w:styleId="24">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2E4822-2E37-4081-BCAF-2D84D32AFFA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22694</Words>
  <Characters>25556</Characters>
  <Lines>257</Lines>
  <Paragraphs>72</Paragraphs>
  <TotalTime>0</TotalTime>
  <ScaleCrop>false</ScaleCrop>
  <LinksUpToDate>false</LinksUpToDate>
  <CharactersWithSpaces>25972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2017-05-09T09:33:00Z</dcterms:created>
  <dc:creator>anastacia bilek</dc:creator>
  <cp:lastModifiedBy>太极箫客</cp:lastModifiedBy>
  <dcterms:modified xsi:type="dcterms:W3CDTF">2025-08-14T07:01:25Z</dcterms:modified>
  <dc:title>Drafted: AMB 2/16/2007</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2010-08-20T00:00:00Z</vt:filetime>
  </property>
  <property fmtid="{D5CDD505-2E9C-101B-9397-08002B2CF9AE}" pid="3" name="Creator">
    <vt:lpwstr>Acrobat PDFMaker 9.1 for Word</vt:lpwstr>
  </property>
  <property fmtid="{D5CDD505-2E9C-101B-9397-08002B2CF9AE}" pid="4" name="LastSaved">
    <vt:filetime>2017-03-18T00:00:00Z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C767F2BB01ED4D3785A2F24EBADDFD8D_12</vt:lpwstr>
  </property>
</Properties>
</file>