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854D">
      <w:pPr>
        <w:pStyle w:val="12"/>
        <w:shd w:val="clear" w:color="auto" w:fill="auto"/>
        <w:topLinePunct/>
        <w:adjustRightInd w:val="0"/>
        <w:snapToGrid w:val="0"/>
        <w:spacing w:after="270" w:afterLines="75" w:line="288" w:lineRule="auto"/>
        <w:jc w:val="both"/>
        <w:rPr>
          <w:rFonts w:eastAsia="宋体"/>
          <w:snapToGrid w:val="0"/>
          <w:sz w:val="24"/>
          <w:lang w:eastAsia="zh-CN"/>
        </w:rPr>
      </w:pPr>
      <w:bookmarkStart w:id="2" w:name="_GoBack"/>
      <w:bookmarkEnd w:id="2"/>
    </w:p>
    <w:p w14:paraId="4018ADA5">
      <w:pPr>
        <w:pStyle w:val="10"/>
        <w:shd w:val="clear" w:color="auto" w:fill="auto"/>
        <w:topLinePunct/>
        <w:adjustRightInd w:val="0"/>
        <w:snapToGrid w:val="0"/>
        <w:spacing w:after="270" w:afterLines="75" w:line="288" w:lineRule="auto"/>
        <w:jc w:val="both"/>
        <w:rPr>
          <w:rFonts w:eastAsia="宋体"/>
          <w:snapToGrid w:val="0"/>
          <w:sz w:val="48"/>
          <w:szCs w:val="48"/>
          <w:lang w:eastAsia="zh-CN"/>
        </w:rPr>
      </w:pPr>
      <w:r>
        <w:rPr>
          <w:rFonts w:hint="eastAsia" w:eastAsia="宋体"/>
          <w:snapToGrid w:val="0"/>
          <w:sz w:val="48"/>
          <w:szCs w:val="48"/>
          <w:lang w:eastAsia="zh-CN"/>
        </w:rPr>
        <w:t>治疗</w:t>
      </w:r>
      <w:r>
        <w:rPr>
          <w:rFonts w:eastAsia="宋体"/>
          <w:snapToGrid w:val="0"/>
          <w:sz w:val="48"/>
          <w:szCs w:val="48"/>
          <w:lang w:eastAsia="zh-CN"/>
        </w:rPr>
        <w:t>典型心房扑动</w:t>
      </w:r>
      <w:r>
        <w:rPr>
          <w:rFonts w:hint="eastAsia" w:eastAsia="宋体"/>
          <w:snapToGrid w:val="0"/>
          <w:sz w:val="48"/>
          <w:szCs w:val="48"/>
          <w:lang w:eastAsia="zh-CN"/>
        </w:rPr>
        <w:t>的心脏射频消融</w:t>
      </w:r>
      <w:bookmarkStart w:id="0" w:name="OLE_LINK1"/>
      <w:bookmarkStart w:id="1" w:name="OLE_LINK2"/>
      <w:r>
        <w:rPr>
          <w:rFonts w:hint="eastAsia" w:eastAsia="宋体"/>
          <w:snapToGrid w:val="0"/>
          <w:sz w:val="48"/>
          <w:szCs w:val="48"/>
          <w:lang w:eastAsia="zh-CN"/>
        </w:rPr>
        <w:t>试验用器械</w:t>
      </w:r>
      <w:r>
        <w:rPr>
          <w:rFonts w:eastAsia="宋体"/>
          <w:snapToGrid w:val="0"/>
          <w:sz w:val="48"/>
          <w:szCs w:val="48"/>
          <w:lang w:eastAsia="zh-CN"/>
        </w:rPr>
        <w:t>豁免（IDE）</w:t>
      </w:r>
      <w:bookmarkEnd w:id="0"/>
      <w:bookmarkEnd w:id="1"/>
      <w:r>
        <w:rPr>
          <w:rFonts w:hint="eastAsia" w:eastAsia="宋体"/>
          <w:snapToGrid w:val="0"/>
          <w:sz w:val="48"/>
          <w:szCs w:val="48"/>
          <w:lang w:eastAsia="zh-CN"/>
        </w:rPr>
        <w:t>的</w:t>
      </w:r>
      <w:r>
        <w:rPr>
          <w:rFonts w:eastAsia="宋体"/>
          <w:snapToGrid w:val="0"/>
          <w:sz w:val="48"/>
          <w:szCs w:val="48"/>
          <w:lang w:eastAsia="zh-CN"/>
        </w:rPr>
        <w:t>研究招募；</w:t>
      </w:r>
      <w:r>
        <w:rPr>
          <w:rFonts w:hint="eastAsia" w:eastAsia="宋体"/>
          <w:snapToGrid w:val="0"/>
          <w:sz w:val="48"/>
          <w:szCs w:val="48"/>
          <w:lang w:eastAsia="zh-CN"/>
        </w:rPr>
        <w:t>行业及</w:t>
      </w:r>
      <w:r>
        <w:rPr>
          <w:rFonts w:eastAsia="宋体"/>
          <w:snapToGrid w:val="0"/>
          <w:sz w:val="48"/>
          <w:szCs w:val="48"/>
          <w:lang w:eastAsia="zh-CN"/>
        </w:rPr>
        <w:t>FDA</w:t>
      </w:r>
      <w:r>
        <w:rPr>
          <w:rFonts w:hint="eastAsia" w:eastAsia="宋体"/>
          <w:snapToGrid w:val="0"/>
          <w:sz w:val="48"/>
          <w:szCs w:val="48"/>
          <w:lang w:eastAsia="zh-CN"/>
        </w:rPr>
        <w:t>审查员最终指南</w:t>
      </w:r>
    </w:p>
    <w:p w14:paraId="1B243389">
      <w:pPr>
        <w:pStyle w:val="15"/>
        <w:shd w:val="clear" w:color="auto" w:fill="auto"/>
        <w:topLinePunct/>
        <w:adjustRightInd w:val="0"/>
        <w:snapToGrid w:val="0"/>
        <w:spacing w:before="0" w:after="270" w:afterLines="75" w:line="288" w:lineRule="auto"/>
        <w:ind w:firstLine="0"/>
        <w:jc w:val="center"/>
        <w:rPr>
          <w:rFonts w:eastAsia="宋体"/>
          <w:b/>
          <w:snapToGrid w:val="0"/>
          <w:u w:val="single"/>
          <w:lang w:eastAsia="zh-CN"/>
        </w:rPr>
      </w:pPr>
      <w:r>
        <w:rPr>
          <w:rFonts w:eastAsia="宋体"/>
          <w:b/>
          <w:snapToGrid w:val="0"/>
          <w:u w:val="single"/>
        </w:rPr>
        <w:t>PDF</w:t>
      </w:r>
      <w:r>
        <w:rPr>
          <w:rFonts w:hint="eastAsia" w:eastAsia="宋体"/>
          <w:b/>
          <w:snapToGrid w:val="0"/>
          <w:u w:val="single"/>
          <w:lang w:eastAsia="zh-CN"/>
        </w:rPr>
        <w:t>印刷版</w:t>
      </w:r>
    </w:p>
    <w:p w14:paraId="50AA944A">
      <w:pPr>
        <w:pStyle w:val="15"/>
        <w:shd w:val="clear" w:color="auto" w:fill="auto"/>
        <w:topLinePunct/>
        <w:adjustRightInd w:val="0"/>
        <w:snapToGrid w:val="0"/>
        <w:spacing w:before="0" w:after="270" w:afterLines="75" w:line="288" w:lineRule="auto"/>
        <w:ind w:firstLine="0"/>
        <w:jc w:val="center"/>
        <w:rPr>
          <w:rStyle w:val="7"/>
          <w:rFonts w:eastAsia="宋体"/>
          <w:b/>
          <w:snapToGrid w:val="0"/>
          <w:lang w:eastAsia="zh-CN"/>
        </w:rPr>
      </w:pPr>
      <w:r>
        <w:rPr>
          <w:rFonts w:eastAsia="宋体"/>
          <w:b/>
          <w:snapToGrid w:val="0"/>
          <w:lang w:eastAsia="zh-CN" w:bidi="ar-SA"/>
        </w:rPr>
        <w:drawing>
          <wp:anchor distT="0" distB="1005840" distL="63500" distR="213360" simplePos="0" relativeHeight="251659264" behindDoc="1" locked="0" layoutInCell="0" allowOverlap="1">
            <wp:simplePos x="0" y="0"/>
            <wp:positionH relativeFrom="margin">
              <wp:posOffset>74295</wp:posOffset>
            </wp:positionH>
            <wp:positionV relativeFrom="paragraph">
              <wp:posOffset>504190</wp:posOffset>
            </wp:positionV>
            <wp:extent cx="986155" cy="1025525"/>
            <wp:effectExtent l="0" t="0" r="4445" b="3175"/>
            <wp:wrapNone/>
            <wp:docPr id="4" name="图片 3" descr="C:\Users\lynne619\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lynne619\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6155" cy="1025525"/>
                    </a:xfrm>
                    <a:prstGeom prst="rect">
                      <a:avLst/>
                    </a:prstGeom>
                    <a:noFill/>
                  </pic:spPr>
                </pic:pic>
              </a:graphicData>
            </a:graphic>
          </wp:anchor>
        </w:drawing>
      </w:r>
      <w:r>
        <w:fldChar w:fldCharType="begin"/>
      </w:r>
      <w:r>
        <w:instrText xml:space="preserve"> HYPERLINK "https://www.fda.gov/downloads/MedicalDevices/DeviceRegulationandGuidance/GuidanceDocuments/ucm073678.pdf" </w:instrText>
      </w:r>
      <w:r>
        <w:fldChar w:fldCharType="separate"/>
      </w:r>
      <w:r>
        <w:rPr>
          <w:rStyle w:val="7"/>
          <w:rFonts w:eastAsia="宋体"/>
          <w:b/>
          <w:snapToGrid w:val="0"/>
        </w:rPr>
        <w:t>ads/MedicalDevices/DeviceRegulationandGuidance/GuidanceDocuments/ucm073678.pdf）</w:t>
      </w:r>
      <w:r>
        <w:rPr>
          <w:rStyle w:val="7"/>
          <w:rFonts w:eastAsia="宋体"/>
          <w:b/>
          <w:snapToGrid w:val="0"/>
        </w:rPr>
        <w:fldChar w:fldCharType="end"/>
      </w:r>
    </w:p>
    <w:p w14:paraId="53EFDED2">
      <w:pPr>
        <w:pStyle w:val="15"/>
        <w:shd w:val="clear" w:color="auto" w:fill="auto"/>
        <w:topLinePunct/>
        <w:adjustRightInd w:val="0"/>
        <w:snapToGrid w:val="0"/>
        <w:spacing w:before="0" w:after="270" w:afterLines="75" w:line="288" w:lineRule="auto"/>
        <w:ind w:firstLine="0"/>
        <w:jc w:val="center"/>
        <w:rPr>
          <w:rFonts w:eastAsia="宋体"/>
          <w:snapToGrid w:val="0"/>
          <w:lang w:eastAsia="zh-CN"/>
        </w:rPr>
      </w:pPr>
    </w:p>
    <w:p w14:paraId="7EA48FF4">
      <w:pPr>
        <w:pStyle w:val="15"/>
        <w:shd w:val="clear" w:color="auto" w:fill="auto"/>
        <w:topLinePunct/>
        <w:adjustRightInd w:val="0"/>
        <w:snapToGrid w:val="0"/>
        <w:spacing w:before="0" w:after="0" w:line="288" w:lineRule="auto"/>
        <w:ind w:left="1889" w:leftChars="787" w:firstLine="0"/>
        <w:jc w:val="both"/>
        <w:rPr>
          <w:rFonts w:eastAsia="宋体"/>
          <w:b/>
          <w:snapToGrid w:val="0"/>
          <w:lang w:eastAsia="zh-CN"/>
        </w:rPr>
      </w:pPr>
      <w:r>
        <w:rPr>
          <w:rFonts w:hint="eastAsia" w:eastAsia="宋体"/>
          <w:b/>
          <w:snapToGrid w:val="0"/>
          <w:lang w:eastAsia="zh-CN"/>
        </w:rPr>
        <w:t>文件发布日期：</w:t>
      </w:r>
      <w:r>
        <w:rPr>
          <w:rFonts w:eastAsia="宋体"/>
          <w:b/>
          <w:snapToGrid w:val="0"/>
          <w:lang w:eastAsia="zh-CN"/>
        </w:rPr>
        <w:t>2000年11月8日</w:t>
      </w:r>
    </w:p>
    <w:p w14:paraId="0BF34555">
      <w:pPr>
        <w:topLinePunct/>
        <w:adjustRightInd w:val="0"/>
        <w:snapToGrid w:val="0"/>
        <w:spacing w:line="288" w:lineRule="auto"/>
        <w:jc w:val="right"/>
        <w:rPr>
          <w:rFonts w:ascii="Arial" w:hAnsi="Arial" w:eastAsia="宋体" w:cs="Arial"/>
          <w:b/>
          <w:snapToGrid w:val="0"/>
          <w:lang w:eastAsia="zh-CN"/>
        </w:rPr>
      </w:pPr>
      <w:r>
        <w:rPr>
          <w:rFonts w:ascii="Arial" w:hAnsi="Arial" w:eastAsia="宋体" w:cs="Arial"/>
          <w:b/>
          <w:snapToGrid w:val="0"/>
          <w:lang w:eastAsia="zh-CN"/>
        </w:rPr>
        <w:t>美国卫生和人类服务署</w:t>
      </w:r>
    </w:p>
    <w:p w14:paraId="4262C7CC">
      <w:pPr>
        <w:topLinePunct/>
        <w:adjustRightInd w:val="0"/>
        <w:snapToGrid w:val="0"/>
        <w:spacing w:line="288" w:lineRule="auto"/>
        <w:jc w:val="right"/>
        <w:rPr>
          <w:rFonts w:ascii="Arial" w:hAnsi="Arial" w:eastAsia="宋体" w:cs="Arial"/>
          <w:b/>
          <w:snapToGrid w:val="0"/>
          <w:lang w:eastAsia="zh-CN"/>
        </w:rPr>
      </w:pPr>
      <w:r>
        <w:rPr>
          <w:rFonts w:ascii="Arial" w:hAnsi="Arial" w:eastAsia="宋体" w:cs="Arial"/>
          <w:b/>
          <w:snapToGrid w:val="0"/>
          <w:lang w:eastAsia="zh-CN"/>
        </w:rPr>
        <w:t>食品药品监督管理局</w:t>
      </w:r>
    </w:p>
    <w:p w14:paraId="32333EBF">
      <w:pPr>
        <w:topLinePunct/>
        <w:adjustRightInd w:val="0"/>
        <w:snapToGrid w:val="0"/>
        <w:spacing w:line="288" w:lineRule="auto"/>
        <w:jc w:val="right"/>
        <w:rPr>
          <w:rFonts w:ascii="Arial" w:hAnsi="Arial" w:eastAsia="宋体" w:cs="Arial"/>
          <w:b/>
          <w:snapToGrid w:val="0"/>
          <w:lang w:eastAsia="zh-CN"/>
        </w:rPr>
      </w:pPr>
      <w:r>
        <w:rPr>
          <w:rFonts w:ascii="Arial" w:hAnsi="Arial" w:eastAsia="宋体" w:cs="Arial"/>
          <w:b/>
          <w:snapToGrid w:val="0"/>
          <w:lang w:eastAsia="zh-CN"/>
        </w:rPr>
        <w:t>器械和放射卫生中心</w:t>
      </w:r>
    </w:p>
    <w:p w14:paraId="3F8691E9">
      <w:pPr>
        <w:topLinePunct/>
        <w:adjustRightInd w:val="0"/>
        <w:snapToGrid w:val="0"/>
        <w:spacing w:line="288" w:lineRule="auto"/>
        <w:jc w:val="right"/>
        <w:rPr>
          <w:rFonts w:ascii="Arial" w:hAnsi="Arial" w:eastAsia="宋体" w:cs="Arial"/>
          <w:b/>
          <w:snapToGrid w:val="0"/>
          <w:lang w:eastAsia="zh-CN"/>
        </w:rPr>
      </w:pPr>
    </w:p>
    <w:p w14:paraId="0E85D424">
      <w:pPr>
        <w:topLinePunct/>
        <w:adjustRightInd w:val="0"/>
        <w:snapToGrid w:val="0"/>
        <w:spacing w:line="288" w:lineRule="auto"/>
        <w:jc w:val="right"/>
        <w:rPr>
          <w:rFonts w:ascii="Arial" w:hAnsi="Arial" w:eastAsia="宋体" w:cs="Arial"/>
          <w:b/>
          <w:snapToGrid w:val="0"/>
          <w:lang w:eastAsia="zh-CN"/>
        </w:rPr>
      </w:pPr>
      <w:r>
        <w:rPr>
          <w:rFonts w:hint="eastAsia" w:ascii="Arial" w:hAnsi="Arial" w:eastAsia="宋体" w:cs="Arial"/>
          <w:b/>
          <w:snapToGrid w:val="0"/>
          <w:lang w:eastAsia="zh-CN"/>
        </w:rPr>
        <w:t>心脏电生理和监测器械科</w:t>
      </w:r>
    </w:p>
    <w:p w14:paraId="54224A48">
      <w:pPr>
        <w:topLinePunct/>
        <w:adjustRightInd w:val="0"/>
        <w:snapToGrid w:val="0"/>
        <w:spacing w:line="288" w:lineRule="auto"/>
        <w:jc w:val="right"/>
        <w:rPr>
          <w:rFonts w:ascii="Arial" w:hAnsi="Arial" w:eastAsia="宋体" w:cs="Arial"/>
          <w:b/>
          <w:snapToGrid w:val="0"/>
          <w:lang w:eastAsia="zh-CN"/>
        </w:rPr>
      </w:pPr>
      <w:r>
        <w:rPr>
          <w:rFonts w:hint="eastAsia" w:ascii="Arial" w:hAnsi="Arial" w:eastAsia="宋体" w:cs="Arial"/>
          <w:b/>
          <w:snapToGrid w:val="0"/>
          <w:lang w:eastAsia="zh-CN"/>
        </w:rPr>
        <w:t>心血管和呼吸用器械部</w:t>
      </w:r>
    </w:p>
    <w:p w14:paraId="3FC40450">
      <w:pPr>
        <w:topLinePunct/>
        <w:adjustRightInd w:val="0"/>
        <w:snapToGrid w:val="0"/>
        <w:spacing w:after="270" w:afterLines="75" w:line="288" w:lineRule="auto"/>
        <w:jc w:val="right"/>
        <w:rPr>
          <w:rFonts w:ascii="Arial" w:hAnsi="Arial" w:eastAsia="宋体" w:cs="Arial"/>
          <w:b/>
          <w:snapToGrid w:val="0"/>
          <w:lang w:eastAsia="zh-CN"/>
        </w:rPr>
      </w:pPr>
      <w:r>
        <w:rPr>
          <w:rFonts w:hint="eastAsia" w:ascii="Arial" w:hAnsi="Arial" w:eastAsia="宋体" w:cs="Arial"/>
          <w:b/>
          <w:snapToGrid w:val="0"/>
          <w:lang w:eastAsia="zh-CN"/>
        </w:rPr>
        <w:t>器械评估办公室</w:t>
      </w:r>
    </w:p>
    <w:p w14:paraId="77E1984C">
      <w:pPr>
        <w:pBdr>
          <w:top w:val="single" w:color="AEAAAA" w:themeColor="background2" w:themeShade="BF" w:sz="12" w:space="1"/>
        </w:pBdr>
        <w:topLinePunct/>
        <w:adjustRightInd w:val="0"/>
        <w:snapToGrid w:val="0"/>
        <w:spacing w:after="270" w:afterLines="75" w:line="288" w:lineRule="auto"/>
        <w:jc w:val="center"/>
        <w:rPr>
          <w:rFonts w:ascii="Arial" w:hAnsi="Arial" w:eastAsia="宋体" w:cs="Arial"/>
          <w:b/>
          <w:snapToGrid w:val="0"/>
          <w:sz w:val="4"/>
          <w:szCs w:val="4"/>
          <w:lang w:eastAsia="zh-CN"/>
        </w:rPr>
      </w:pPr>
    </w:p>
    <w:p w14:paraId="070D0140">
      <w:pPr>
        <w:pStyle w:val="17"/>
        <w:shd w:val="clear" w:color="auto" w:fill="auto"/>
        <w:topLinePunct/>
        <w:adjustRightInd w:val="0"/>
        <w:snapToGrid w:val="0"/>
        <w:spacing w:before="0" w:after="270" w:afterLines="75" w:line="288" w:lineRule="auto"/>
        <w:outlineLvl w:val="9"/>
        <w:rPr>
          <w:rFonts w:eastAsia="宋体"/>
          <w:snapToGrid w:val="0"/>
          <w:lang w:eastAsia="zh-CN"/>
        </w:rPr>
      </w:pPr>
      <w:r>
        <w:rPr>
          <w:rFonts w:hint="eastAsia" w:eastAsia="宋体"/>
          <w:snapToGrid w:val="0"/>
          <w:lang w:eastAsia="zh-CN"/>
        </w:rPr>
        <w:t>前言</w:t>
      </w:r>
    </w:p>
    <w:p w14:paraId="21CDE71E">
      <w:pPr>
        <w:pStyle w:val="15"/>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eastAsia="宋体"/>
          <w:b/>
          <w:snapToGrid w:val="0"/>
          <w:lang w:eastAsia="zh-CN"/>
        </w:rPr>
        <w:t>公共评论</w:t>
      </w:r>
    </w:p>
    <w:p w14:paraId="57644281">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为便于本机构收集评论和建议，书面评论和建议可以随时提交至食品药品监督管理局，人力资源和管理服务办公室，管理系统和政策司，案卷管理科（5630 Fishers Lane，ROOM 1061（HFA-305），Rockville，MD，20852）。此外，电子评论可提交至http: //www.regulations.gov。所有评论应注明案卷编号，该编号在联邦公报上公布的可用性通知中列出。再次进行文件修订或更新之前，本机构可能不会针对评论采取行动。</w:t>
      </w:r>
    </w:p>
    <w:p w14:paraId="7A55C07F">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br w:type="page"/>
      </w:r>
    </w:p>
    <w:p w14:paraId="13F38337">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rPr>
        <w:t>有关本指南使用或解释</w:t>
      </w:r>
      <w:r>
        <w:rPr>
          <w:rFonts w:hint="eastAsia" w:eastAsia="宋体"/>
          <w:snapToGrid w:val="0"/>
          <w:lang w:eastAsia="zh-CN"/>
        </w:rPr>
        <w:t>的</w:t>
      </w:r>
      <w:r>
        <w:rPr>
          <w:rFonts w:hint="eastAsia" w:eastAsia="宋体"/>
          <w:snapToGrid w:val="0"/>
        </w:rPr>
        <w:t>问题，请联系</w:t>
      </w:r>
      <w:r>
        <w:rPr>
          <w:rFonts w:eastAsia="宋体"/>
          <w:snapToGrid w:val="0"/>
        </w:rPr>
        <w:t xml:space="preserve">Randall G. Brockman </w:t>
      </w:r>
      <w:r>
        <w:fldChar w:fldCharType="begin"/>
      </w:r>
      <w:r>
        <w:instrText xml:space="preserve"> HYPERLINK "mailto:博士，电话%20301-796-6316%20或者发送电子邮件至randaM.brockman@fda.hhs.gov" </w:instrText>
      </w:r>
      <w:r>
        <w:fldChar w:fldCharType="separate"/>
      </w:r>
      <w:r>
        <w:rPr>
          <w:rStyle w:val="7"/>
          <w:rFonts w:hint="eastAsia" w:eastAsia="宋体"/>
          <w:snapToGrid w:val="0"/>
        </w:rPr>
        <w:t>博士，</w:t>
      </w:r>
      <w:r>
        <w:rPr>
          <w:rStyle w:val="7"/>
          <w:rFonts w:eastAsia="宋体"/>
          <w:snapToGrid w:val="0"/>
        </w:rPr>
        <w:t>电话301-796-6316</w:t>
      </w:r>
      <w:r>
        <w:rPr>
          <w:rStyle w:val="7"/>
          <w:rFonts w:hint="eastAsia" w:eastAsia="宋体"/>
          <w:snapToGrid w:val="0"/>
        </w:rPr>
        <w:t>或者发送</w:t>
      </w:r>
      <w:r>
        <w:rPr>
          <w:rStyle w:val="7"/>
          <w:rFonts w:hint="eastAsia" w:eastAsia="宋体"/>
          <w:snapToGrid w:val="0"/>
          <w:lang w:eastAsia="zh-CN"/>
        </w:rPr>
        <w:t>电子</w:t>
      </w:r>
      <w:r>
        <w:rPr>
          <w:rStyle w:val="7"/>
          <w:rFonts w:hint="eastAsia" w:eastAsia="宋体"/>
          <w:snapToGrid w:val="0"/>
        </w:rPr>
        <w:t>邮件</w:t>
      </w:r>
      <w:r>
        <w:rPr>
          <w:rStyle w:val="7"/>
          <w:rFonts w:eastAsia="宋体"/>
          <w:snapToGrid w:val="0"/>
        </w:rPr>
        <w:t>至randaM.brockman@fda.hhs.gov</w:t>
      </w:r>
      <w:r>
        <w:rPr>
          <w:rStyle w:val="7"/>
          <w:rFonts w:eastAsia="宋体"/>
          <w:snapToGrid w:val="0"/>
        </w:rPr>
        <w:fldChar w:fldCharType="end"/>
      </w:r>
      <w:r>
        <w:rPr>
          <w:rStyle w:val="18"/>
          <w:rFonts w:hint="eastAsia" w:eastAsia="宋体"/>
          <w:snapToGrid w:val="0"/>
          <w:lang w:eastAsia="zh-CN"/>
        </w:rPr>
        <w:t>。</w:t>
      </w:r>
    </w:p>
    <w:p w14:paraId="534F96D0">
      <w:pPr>
        <w:pStyle w:val="15"/>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eastAsia="宋体"/>
          <w:b/>
          <w:snapToGrid w:val="0"/>
          <w:lang w:eastAsia="zh-CN"/>
        </w:rPr>
        <w:t>其他副本</w:t>
      </w:r>
    </w:p>
    <w:p w14:paraId="76E1ADBD">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其他副本可从互联网获得。贵</w:t>
      </w:r>
      <w:r>
        <w:rPr>
          <w:rFonts w:hint="eastAsia" w:eastAsia="宋体"/>
          <w:snapToGrid w:val="0"/>
          <w:lang w:eastAsia="zh-CN"/>
        </w:rPr>
        <w:t>公司</w:t>
      </w:r>
      <w:r>
        <w:rPr>
          <w:rFonts w:eastAsia="宋体"/>
          <w:snapToGrid w:val="0"/>
          <w:lang w:eastAsia="zh-CN"/>
        </w:rPr>
        <w:t>还可以向</w:t>
      </w:r>
      <w:r>
        <w:rPr>
          <w:rStyle w:val="18"/>
          <w:rFonts w:eastAsia="宋体"/>
          <w:b/>
          <w:snapToGrid w:val="0"/>
          <w:lang w:eastAsia="zh-CN"/>
        </w:rPr>
        <w:t xml:space="preserve">CDRH- </w:t>
      </w:r>
      <w:r>
        <w:rPr>
          <w:rFonts w:eastAsia="宋体"/>
          <w:b/>
          <w:snapToGrid w:val="0"/>
          <w:u w:val="single"/>
          <w:lang w:eastAsia="zh-CN"/>
        </w:rPr>
        <w:t>Guidance@_fda.hhs.gov发送电子邮件请求以接收本指南的电子副本</w:t>
      </w:r>
      <w:r>
        <w:rPr>
          <w:rFonts w:eastAsia="宋体"/>
          <w:snapToGrid w:val="0"/>
          <w:lang w:eastAsia="zh-CN"/>
        </w:rPr>
        <w:t>，请使用文件编号1199来注明贵公司所要求获得的指南。</w:t>
      </w:r>
    </w:p>
    <w:p w14:paraId="13C5A449">
      <w:pPr>
        <w:pStyle w:val="10"/>
        <w:shd w:val="clear" w:color="auto" w:fill="auto"/>
        <w:topLinePunct/>
        <w:adjustRightInd w:val="0"/>
        <w:snapToGrid w:val="0"/>
        <w:spacing w:after="270" w:afterLines="75" w:line="288" w:lineRule="auto"/>
        <w:jc w:val="both"/>
        <w:rPr>
          <w:rFonts w:eastAsia="宋体"/>
          <w:snapToGrid w:val="0"/>
          <w:sz w:val="48"/>
          <w:szCs w:val="48"/>
          <w:lang w:eastAsia="zh-CN"/>
        </w:rPr>
      </w:pPr>
      <w:r>
        <w:rPr>
          <w:rFonts w:hint="eastAsia" w:eastAsia="宋体"/>
          <w:snapToGrid w:val="0"/>
          <w:sz w:val="48"/>
          <w:szCs w:val="48"/>
          <w:lang w:eastAsia="zh-CN"/>
        </w:rPr>
        <w:t>治疗</w:t>
      </w:r>
      <w:r>
        <w:rPr>
          <w:rFonts w:eastAsia="宋体"/>
          <w:snapToGrid w:val="0"/>
          <w:sz w:val="48"/>
          <w:szCs w:val="48"/>
          <w:lang w:eastAsia="zh-CN"/>
        </w:rPr>
        <w:t>典型心房扑动</w:t>
      </w:r>
      <w:r>
        <w:rPr>
          <w:rFonts w:hint="eastAsia" w:eastAsia="宋体"/>
          <w:snapToGrid w:val="0"/>
          <w:sz w:val="48"/>
          <w:szCs w:val="48"/>
          <w:lang w:eastAsia="zh-CN"/>
        </w:rPr>
        <w:t>的心脏射频消融试验用器械</w:t>
      </w:r>
      <w:r>
        <w:rPr>
          <w:rFonts w:eastAsia="宋体"/>
          <w:snapToGrid w:val="0"/>
          <w:sz w:val="48"/>
          <w:szCs w:val="48"/>
          <w:lang w:eastAsia="zh-CN"/>
        </w:rPr>
        <w:t>豁免（IDE）</w:t>
      </w:r>
      <w:r>
        <w:rPr>
          <w:rFonts w:hint="eastAsia" w:eastAsia="宋体"/>
          <w:snapToGrid w:val="0"/>
          <w:sz w:val="48"/>
          <w:szCs w:val="48"/>
          <w:lang w:eastAsia="zh-CN"/>
        </w:rPr>
        <w:t>的</w:t>
      </w:r>
      <w:r>
        <w:rPr>
          <w:rFonts w:eastAsia="宋体"/>
          <w:snapToGrid w:val="0"/>
          <w:sz w:val="48"/>
          <w:szCs w:val="48"/>
          <w:lang w:eastAsia="zh-CN"/>
        </w:rPr>
        <w:t>研究招募；</w:t>
      </w:r>
      <w:r>
        <w:rPr>
          <w:rFonts w:hint="eastAsia" w:eastAsia="宋体"/>
          <w:snapToGrid w:val="0"/>
          <w:sz w:val="48"/>
          <w:szCs w:val="48"/>
          <w:lang w:eastAsia="zh-CN"/>
        </w:rPr>
        <w:t>行业及</w:t>
      </w:r>
      <w:r>
        <w:rPr>
          <w:rFonts w:eastAsia="宋体"/>
          <w:snapToGrid w:val="0"/>
          <w:sz w:val="48"/>
          <w:szCs w:val="48"/>
          <w:lang w:eastAsia="zh-CN"/>
        </w:rPr>
        <w:t>FDA</w:t>
      </w:r>
      <w:r>
        <w:rPr>
          <w:rFonts w:hint="eastAsia" w:eastAsia="宋体"/>
          <w:snapToGrid w:val="0"/>
          <w:sz w:val="48"/>
          <w:szCs w:val="48"/>
          <w:lang w:eastAsia="zh-CN"/>
        </w:rPr>
        <w:t>审查员最终指南</w:t>
      </w:r>
    </w:p>
    <w:p w14:paraId="20DFA340">
      <w:pPr>
        <w:pStyle w:val="22"/>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本指南的目的</w:t>
      </w:r>
      <w:r>
        <w:rPr>
          <w:rFonts w:eastAsia="宋体"/>
          <w:b/>
          <w:snapToGrid w:val="0"/>
          <w:lang w:eastAsia="zh-CN"/>
        </w:rPr>
        <w:t>是</w:t>
      </w:r>
      <w:r>
        <w:rPr>
          <w:rFonts w:hint="eastAsia" w:eastAsia="宋体"/>
          <w:b/>
          <w:snapToGrid w:val="0"/>
          <w:lang w:eastAsia="zh-CN"/>
        </w:rPr>
        <w:t>提供指导，</w:t>
      </w:r>
      <w:r>
        <w:rPr>
          <w:rFonts w:eastAsia="宋体"/>
          <w:b/>
          <w:snapToGrid w:val="0"/>
          <w:lang w:eastAsia="zh-CN"/>
        </w:rPr>
        <w:t>代表</w:t>
      </w:r>
      <w:r>
        <w:rPr>
          <w:rFonts w:hint="eastAsia" w:eastAsia="宋体"/>
          <w:b/>
          <w:snapToGrid w:val="0"/>
          <w:lang w:eastAsia="zh-CN"/>
        </w:rPr>
        <w:t>了FDA目前关于该主题的思考。不会为任何人创造或赋予任何权利，也不会对FDA或公众产生约束。如果替代方法满足适用的法律法规的要求，则可以使用该方法。</w:t>
      </w:r>
    </w:p>
    <w:p w14:paraId="04DAAD38">
      <w:pPr>
        <w:pStyle w:val="17"/>
        <w:shd w:val="clear" w:color="auto" w:fill="auto"/>
        <w:topLinePunct/>
        <w:adjustRightInd w:val="0"/>
        <w:snapToGrid w:val="0"/>
        <w:spacing w:before="0" w:after="270" w:afterLines="75" w:line="288" w:lineRule="auto"/>
        <w:jc w:val="both"/>
        <w:outlineLvl w:val="9"/>
        <w:rPr>
          <w:rFonts w:eastAsia="宋体"/>
          <w:snapToGrid w:val="0"/>
          <w:lang w:eastAsia="zh-CN"/>
        </w:rPr>
      </w:pPr>
      <w:r>
        <w:rPr>
          <w:rFonts w:hint="eastAsia" w:eastAsia="宋体"/>
          <w:snapToGrid w:val="0"/>
          <w:lang w:eastAsia="zh-CN"/>
        </w:rPr>
        <w:t>前言</w:t>
      </w:r>
    </w:p>
    <w:p w14:paraId="79A8DE9E">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过去几年</w:t>
      </w:r>
      <w:r>
        <w:rPr>
          <w:rFonts w:hint="eastAsia" w:eastAsia="宋体"/>
          <w:snapToGrid w:val="0"/>
          <w:lang w:eastAsia="zh-CN"/>
        </w:rPr>
        <w:t>里</w:t>
      </w:r>
      <w:r>
        <w:rPr>
          <w:rFonts w:eastAsia="宋体"/>
          <w:snapToGrid w:val="0"/>
          <w:lang w:eastAsia="zh-CN"/>
        </w:rPr>
        <w:t>，</w:t>
      </w:r>
      <w:r>
        <w:rPr>
          <w:rFonts w:hint="eastAsia" w:eastAsia="宋体"/>
          <w:snapToGrid w:val="0"/>
          <w:lang w:eastAsia="zh-CN"/>
        </w:rPr>
        <w:t>各</w:t>
      </w:r>
      <w:r>
        <w:rPr>
          <w:rFonts w:eastAsia="宋体"/>
          <w:snapToGrid w:val="0"/>
          <w:lang w:eastAsia="zh-CN"/>
        </w:rPr>
        <w:t>医学</w:t>
      </w:r>
      <w:r>
        <w:rPr>
          <w:rFonts w:hint="eastAsia" w:eastAsia="宋体"/>
          <w:snapToGrid w:val="0"/>
          <w:lang w:eastAsia="zh-CN"/>
        </w:rPr>
        <w:t>出版物发表</w:t>
      </w:r>
      <w:r>
        <w:rPr>
          <w:rFonts w:eastAsia="宋体"/>
          <w:snapToGrid w:val="0"/>
          <w:lang w:eastAsia="zh-CN"/>
        </w:rPr>
        <w:t>了大量文献，医学界对典型心房扑动（AFL）</w:t>
      </w:r>
      <w:r>
        <w:rPr>
          <w:rFonts w:hint="eastAsia" w:eastAsia="宋体"/>
          <w:snapToGrid w:val="0"/>
          <w:lang w:eastAsia="zh-CN"/>
        </w:rPr>
        <w:t>的</w:t>
      </w:r>
      <w:r>
        <w:rPr>
          <w:rFonts w:eastAsia="宋体"/>
          <w:snapToGrid w:val="0"/>
          <w:lang w:eastAsia="zh-CN"/>
        </w:rPr>
        <w:t>病因以及消融</w:t>
      </w:r>
      <w:r>
        <w:rPr>
          <w:rFonts w:hint="eastAsia" w:eastAsia="宋体"/>
          <w:snapToGrid w:val="0"/>
          <w:lang w:eastAsia="zh-CN"/>
        </w:rPr>
        <w:t>术</w:t>
      </w:r>
      <w:r>
        <w:rPr>
          <w:rFonts w:eastAsia="宋体"/>
          <w:snapToGrid w:val="0"/>
          <w:lang w:eastAsia="zh-CN"/>
        </w:rPr>
        <w:t>治疗</w:t>
      </w:r>
      <w:r>
        <w:rPr>
          <w:rFonts w:hint="eastAsia" w:eastAsia="宋体"/>
          <w:snapToGrid w:val="0"/>
          <w:lang w:eastAsia="zh-CN"/>
        </w:rPr>
        <w:t>此类</w:t>
      </w:r>
      <w:r>
        <w:rPr>
          <w:rFonts w:eastAsia="宋体"/>
          <w:snapToGrid w:val="0"/>
          <w:lang w:eastAsia="zh-CN"/>
        </w:rPr>
        <w:t>疾病</w:t>
      </w:r>
      <w:r>
        <w:rPr>
          <w:rFonts w:hint="eastAsia" w:eastAsia="宋体"/>
          <w:snapToGrid w:val="0"/>
          <w:lang w:eastAsia="zh-CN"/>
        </w:rPr>
        <w:t>的方法更为了解</w:t>
      </w:r>
      <w:r>
        <w:rPr>
          <w:rFonts w:eastAsia="宋体"/>
          <w:snapToGrid w:val="0"/>
          <w:lang w:eastAsia="zh-CN"/>
        </w:rPr>
        <w:t>。此外，</w:t>
      </w:r>
      <w:r>
        <w:rPr>
          <w:rFonts w:hint="eastAsia" w:eastAsia="宋体"/>
          <w:snapToGrid w:val="0"/>
          <w:lang w:eastAsia="zh-CN"/>
        </w:rPr>
        <w:t>美国</w:t>
      </w:r>
      <w:r>
        <w:rPr>
          <w:rFonts w:eastAsia="宋体"/>
          <w:snapToGrid w:val="0"/>
          <w:lang w:eastAsia="zh-CN"/>
        </w:rPr>
        <w:t>食品药品监督管理局（FDA）</w:t>
      </w:r>
      <w:r>
        <w:rPr>
          <w:rFonts w:hint="eastAsia" w:eastAsia="宋体"/>
          <w:snapToGrid w:val="0"/>
          <w:lang w:eastAsia="zh-CN"/>
        </w:rPr>
        <w:t>意识到</w:t>
      </w:r>
      <w:r>
        <w:rPr>
          <w:rFonts w:eastAsia="宋体"/>
          <w:snapToGrid w:val="0"/>
          <w:lang w:eastAsia="zh-CN"/>
        </w:rPr>
        <w:t>，过去的临床研究方案</w:t>
      </w:r>
      <w:r>
        <w:rPr>
          <w:rFonts w:hint="eastAsia" w:eastAsia="宋体"/>
          <w:snapToGrid w:val="0"/>
          <w:lang w:eastAsia="zh-CN"/>
        </w:rPr>
        <w:t>或许已</w:t>
      </w:r>
      <w:r>
        <w:rPr>
          <w:rFonts w:eastAsia="宋体"/>
          <w:snapToGrid w:val="0"/>
          <w:lang w:eastAsia="zh-CN"/>
        </w:rPr>
        <w:t>不再</w:t>
      </w:r>
      <w:r>
        <w:rPr>
          <w:rFonts w:hint="eastAsia" w:eastAsia="宋体"/>
          <w:snapToGrid w:val="0"/>
          <w:lang w:eastAsia="zh-CN"/>
        </w:rPr>
        <w:t>是研究</w:t>
      </w:r>
      <w:r>
        <w:rPr>
          <w:rFonts w:eastAsia="宋体"/>
          <w:snapToGrid w:val="0"/>
          <w:lang w:eastAsia="zh-CN"/>
        </w:rPr>
        <w:t>典型心房扑动</w:t>
      </w:r>
      <w:r>
        <w:rPr>
          <w:rFonts w:hint="eastAsia" w:eastAsia="宋体"/>
          <w:snapToGrid w:val="0"/>
          <w:lang w:eastAsia="zh-CN"/>
        </w:rPr>
        <w:t>的</w:t>
      </w:r>
      <w:r>
        <w:rPr>
          <w:rFonts w:eastAsia="宋体"/>
          <w:snapToGrid w:val="0"/>
          <w:lang w:eastAsia="zh-CN"/>
        </w:rPr>
        <w:t>最佳设计</w:t>
      </w:r>
      <w:r>
        <w:rPr>
          <w:rFonts w:hint="eastAsia" w:eastAsia="宋体"/>
          <w:snapToGrid w:val="0"/>
          <w:lang w:eastAsia="zh-CN"/>
        </w:rPr>
        <w:t>。</w:t>
      </w:r>
      <w:r>
        <w:rPr>
          <w:rFonts w:eastAsia="宋体"/>
          <w:snapToGrid w:val="0"/>
          <w:lang w:eastAsia="zh-CN"/>
        </w:rPr>
        <w:t>目前的</w:t>
      </w:r>
      <w:r>
        <w:rPr>
          <w:rFonts w:hint="eastAsia" w:eastAsia="宋体"/>
          <w:snapToGrid w:val="0"/>
          <w:lang w:eastAsia="zh-CN"/>
        </w:rPr>
        <w:t>这些</w:t>
      </w:r>
      <w:r>
        <w:rPr>
          <w:rFonts w:eastAsia="宋体"/>
          <w:snapToGrid w:val="0"/>
          <w:lang w:eastAsia="zh-CN"/>
        </w:rPr>
        <w:t>研究方案难以</w:t>
      </w:r>
      <w:r>
        <w:rPr>
          <w:rFonts w:hint="eastAsia" w:eastAsia="宋体"/>
          <w:snapToGrid w:val="0"/>
          <w:lang w:eastAsia="zh-CN"/>
        </w:rPr>
        <w:t>招募到</w:t>
      </w:r>
      <w:r>
        <w:rPr>
          <w:rFonts w:eastAsia="宋体"/>
          <w:snapToGrid w:val="0"/>
          <w:lang w:eastAsia="zh-CN"/>
        </w:rPr>
        <w:t>患者</w:t>
      </w:r>
      <w:r>
        <w:rPr>
          <w:rFonts w:hint="eastAsia" w:eastAsia="宋体"/>
          <w:snapToGrid w:val="0"/>
          <w:lang w:eastAsia="zh-CN"/>
        </w:rPr>
        <w:t>，研究器械</w:t>
      </w:r>
      <w:r>
        <w:rPr>
          <w:rFonts w:eastAsia="宋体"/>
          <w:snapToGrid w:val="0"/>
          <w:lang w:eastAsia="zh-CN"/>
        </w:rPr>
        <w:t>豁免（IDE）</w:t>
      </w:r>
      <w:r>
        <w:rPr>
          <w:rFonts w:hint="eastAsia" w:eastAsia="宋体"/>
          <w:snapToGrid w:val="0"/>
          <w:lang w:eastAsia="zh-CN"/>
        </w:rPr>
        <w:t>的</w:t>
      </w:r>
      <w:r>
        <w:rPr>
          <w:rFonts w:eastAsia="宋体"/>
          <w:snapToGrid w:val="0"/>
          <w:lang w:eastAsia="zh-CN"/>
        </w:rPr>
        <w:t>申办方</w:t>
      </w:r>
      <w:r>
        <w:rPr>
          <w:rFonts w:hint="eastAsia" w:eastAsia="宋体"/>
          <w:snapToGrid w:val="0"/>
          <w:lang w:eastAsia="zh-CN"/>
        </w:rPr>
        <w:t>转为申请</w:t>
      </w:r>
      <w:r>
        <w:rPr>
          <w:rFonts w:eastAsia="宋体"/>
          <w:snapToGrid w:val="0"/>
          <w:lang w:eastAsia="zh-CN"/>
        </w:rPr>
        <w:t>治疗典型心房扑动的心脏</w:t>
      </w:r>
      <w:r>
        <w:rPr>
          <w:rFonts w:hint="eastAsia" w:eastAsia="宋体"/>
          <w:snapToGrid w:val="0"/>
          <w:lang w:eastAsia="zh-CN"/>
        </w:rPr>
        <w:t>射频</w:t>
      </w:r>
      <w:r>
        <w:rPr>
          <w:rFonts w:eastAsia="宋体"/>
          <w:snapToGrid w:val="0"/>
          <w:lang w:eastAsia="zh-CN"/>
        </w:rPr>
        <w:t>消融</w:t>
      </w:r>
      <w:r>
        <w:rPr>
          <w:rFonts w:hint="eastAsia" w:eastAsia="宋体"/>
          <w:snapToGrid w:val="0"/>
          <w:lang w:eastAsia="zh-CN"/>
        </w:rPr>
        <w:t>器械。</w:t>
      </w:r>
      <w:r>
        <w:rPr>
          <w:rFonts w:eastAsia="宋体"/>
          <w:snapToGrid w:val="0"/>
          <w:lang w:eastAsia="zh-CN"/>
        </w:rPr>
        <w:t>2000年4月26日和27日，FDA联系了8家</w:t>
      </w:r>
      <w:r>
        <w:rPr>
          <w:rFonts w:hint="eastAsia" w:eastAsia="宋体"/>
          <w:snapToGrid w:val="0"/>
          <w:lang w:eastAsia="zh-CN"/>
        </w:rPr>
        <w:t>之前或现在主办</w:t>
      </w:r>
      <w:r>
        <w:rPr>
          <w:rFonts w:eastAsia="宋体"/>
          <w:snapToGrid w:val="0"/>
          <w:lang w:eastAsia="zh-CN"/>
        </w:rPr>
        <w:t>典型心房扑动消融</w:t>
      </w:r>
      <w:r>
        <w:rPr>
          <w:rFonts w:hint="eastAsia" w:eastAsia="宋体"/>
          <w:snapToGrid w:val="0"/>
          <w:lang w:eastAsia="zh-CN"/>
        </w:rPr>
        <w:t>研究器械</w:t>
      </w:r>
      <w:r>
        <w:rPr>
          <w:rFonts w:eastAsia="宋体"/>
          <w:snapToGrid w:val="0"/>
          <w:lang w:eastAsia="zh-CN"/>
        </w:rPr>
        <w:t>豁免的公司，或者表示</w:t>
      </w:r>
      <w:r>
        <w:rPr>
          <w:rFonts w:hint="eastAsia" w:eastAsia="宋体"/>
          <w:snapToGrid w:val="0"/>
          <w:lang w:eastAsia="zh-CN"/>
        </w:rPr>
        <w:t>有意在</w:t>
      </w:r>
      <w:r>
        <w:rPr>
          <w:rFonts w:eastAsia="宋体"/>
          <w:snapToGrid w:val="0"/>
          <w:lang w:eastAsia="zh-CN"/>
        </w:rPr>
        <w:t>未来</w:t>
      </w:r>
      <w:r>
        <w:rPr>
          <w:rFonts w:hint="eastAsia" w:eastAsia="宋体"/>
          <w:snapToGrid w:val="0"/>
          <w:lang w:eastAsia="zh-CN"/>
        </w:rPr>
        <w:t>向</w:t>
      </w:r>
      <w:r>
        <w:rPr>
          <w:rFonts w:eastAsia="宋体"/>
          <w:snapToGrid w:val="0"/>
          <w:lang w:eastAsia="zh-CN"/>
        </w:rPr>
        <w:t>FDA</w:t>
      </w:r>
      <w:r>
        <w:rPr>
          <w:rFonts w:hint="eastAsia" w:eastAsia="宋体"/>
          <w:snapToGrid w:val="0"/>
          <w:lang w:eastAsia="zh-CN"/>
        </w:rPr>
        <w:t>主办</w:t>
      </w:r>
      <w:r>
        <w:rPr>
          <w:rFonts w:eastAsia="宋体"/>
          <w:snapToGrid w:val="0"/>
          <w:lang w:eastAsia="zh-CN"/>
        </w:rPr>
        <w:t>典型心房扑动消融</w:t>
      </w:r>
      <w:r>
        <w:rPr>
          <w:rFonts w:hint="eastAsia" w:eastAsia="宋体"/>
          <w:snapToGrid w:val="0"/>
          <w:lang w:eastAsia="zh-CN"/>
        </w:rPr>
        <w:t>研究器械</w:t>
      </w:r>
      <w:r>
        <w:rPr>
          <w:rFonts w:eastAsia="宋体"/>
          <w:snapToGrid w:val="0"/>
          <w:lang w:eastAsia="zh-CN"/>
        </w:rPr>
        <w:t>豁免的公司</w:t>
      </w:r>
      <w:r>
        <w:rPr>
          <w:rFonts w:hint="eastAsia" w:eastAsia="宋体"/>
          <w:snapToGrid w:val="0"/>
          <w:lang w:eastAsia="zh-CN"/>
        </w:rPr>
        <w:t>。</w:t>
      </w:r>
      <w:r>
        <w:rPr>
          <w:rFonts w:eastAsia="宋体"/>
          <w:snapToGrid w:val="0"/>
          <w:lang w:eastAsia="zh-CN"/>
        </w:rPr>
        <w:t>FDA要求这些公司考虑参与可能</w:t>
      </w:r>
      <w:r>
        <w:rPr>
          <w:rFonts w:hint="eastAsia" w:eastAsia="宋体"/>
          <w:snapToGrid w:val="0"/>
          <w:lang w:eastAsia="zh-CN"/>
        </w:rPr>
        <w:t>会</w:t>
      </w:r>
      <w:r>
        <w:rPr>
          <w:rFonts w:eastAsia="宋体"/>
          <w:snapToGrid w:val="0"/>
          <w:lang w:eastAsia="zh-CN"/>
        </w:rPr>
        <w:t>改善典型心房扑动消融的临床研究设计</w:t>
      </w:r>
      <w:r>
        <w:rPr>
          <w:rFonts w:hint="eastAsia" w:eastAsia="宋体"/>
          <w:snapToGrid w:val="0"/>
          <w:lang w:eastAsia="zh-CN"/>
        </w:rPr>
        <w:t>的措施，</w:t>
      </w:r>
      <w:r>
        <w:rPr>
          <w:rFonts w:eastAsia="宋体"/>
          <w:snapToGrid w:val="0"/>
          <w:lang w:eastAsia="zh-CN"/>
        </w:rPr>
        <w:t>以提高</w:t>
      </w:r>
      <w:r>
        <w:rPr>
          <w:rFonts w:hint="eastAsia" w:eastAsia="宋体"/>
          <w:snapToGrid w:val="0"/>
          <w:lang w:eastAsia="zh-CN"/>
        </w:rPr>
        <w:t>招募</w:t>
      </w:r>
      <w:r>
        <w:rPr>
          <w:rFonts w:eastAsia="宋体"/>
          <w:snapToGrid w:val="0"/>
          <w:lang w:eastAsia="zh-CN"/>
        </w:rPr>
        <w:t>率。</w:t>
      </w:r>
    </w:p>
    <w:p w14:paraId="684AB9B0">
      <w:pPr>
        <w:pStyle w:val="15"/>
        <w:shd w:val="clear" w:color="auto" w:fill="auto"/>
        <w:tabs>
          <w:tab w:val="left" w:pos="290"/>
        </w:tabs>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FDA要求这些申办方提供：</w:t>
      </w:r>
    </w:p>
    <w:p w14:paraId="67C5883B">
      <w:pPr>
        <w:pStyle w:val="15"/>
        <w:numPr>
          <w:ilvl w:val="0"/>
          <w:numId w:val="1"/>
        </w:numPr>
        <w:shd w:val="clear" w:color="auto" w:fill="auto"/>
        <w:tabs>
          <w:tab w:val="left" w:pos="290"/>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筛查</w:t>
      </w:r>
      <w:r>
        <w:rPr>
          <w:rFonts w:hint="eastAsia" w:eastAsia="宋体"/>
          <w:snapToGrid w:val="0"/>
          <w:lang w:eastAsia="zh-CN"/>
        </w:rPr>
        <w:t>、招募</w:t>
      </w:r>
      <w:r>
        <w:rPr>
          <w:rFonts w:eastAsia="宋体"/>
          <w:snapToGrid w:val="0"/>
          <w:lang w:eastAsia="zh-CN"/>
        </w:rPr>
        <w:t>和排除在研究之外</w:t>
      </w:r>
      <w:r>
        <w:rPr>
          <w:rFonts w:hint="eastAsia" w:eastAsia="宋体"/>
          <w:snapToGrid w:val="0"/>
          <w:lang w:eastAsia="zh-CN"/>
        </w:rPr>
        <w:t>的全部时间段</w:t>
      </w:r>
      <w:r>
        <w:rPr>
          <w:rFonts w:eastAsia="宋体"/>
          <w:snapToGrid w:val="0"/>
          <w:lang w:eastAsia="zh-CN"/>
        </w:rPr>
        <w:t>内的患者</w:t>
      </w:r>
      <w:r>
        <w:rPr>
          <w:rFonts w:hint="eastAsia" w:eastAsia="宋体"/>
          <w:snapToGrid w:val="0"/>
          <w:lang w:eastAsia="zh-CN"/>
        </w:rPr>
        <w:t>数量的</w:t>
      </w:r>
      <w:r>
        <w:rPr>
          <w:rFonts w:eastAsia="宋体"/>
          <w:snapToGrid w:val="0"/>
          <w:lang w:eastAsia="zh-CN"/>
        </w:rPr>
        <w:t>数据；</w:t>
      </w:r>
    </w:p>
    <w:p w14:paraId="25D111F9">
      <w:pPr>
        <w:pStyle w:val="15"/>
        <w:numPr>
          <w:ilvl w:val="0"/>
          <w:numId w:val="1"/>
        </w:numPr>
        <w:shd w:val="clear" w:color="auto" w:fill="auto"/>
        <w:tabs>
          <w:tab w:val="left" w:pos="290"/>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分析</w:t>
      </w:r>
      <w:r>
        <w:rPr>
          <w:rFonts w:hint="eastAsia" w:eastAsia="宋体"/>
          <w:snapToGrid w:val="0"/>
          <w:lang w:eastAsia="zh-CN"/>
        </w:rPr>
        <w:t>招募受限</w:t>
      </w:r>
      <w:r>
        <w:rPr>
          <w:rFonts w:eastAsia="宋体"/>
          <w:snapToGrid w:val="0"/>
          <w:lang w:eastAsia="zh-CN"/>
        </w:rPr>
        <w:t>的可能因素；</w:t>
      </w:r>
    </w:p>
    <w:p w14:paraId="655D9472">
      <w:pPr>
        <w:rPr>
          <w:rFonts w:ascii="Arial" w:hAnsi="Arial" w:eastAsia="宋体" w:cs="Arial"/>
          <w:snapToGrid w:val="0"/>
          <w:lang w:eastAsia="zh-CN"/>
        </w:rPr>
      </w:pPr>
      <w:r>
        <w:rPr>
          <w:rFonts w:eastAsia="宋体"/>
          <w:snapToGrid w:val="0"/>
          <w:lang w:eastAsia="zh-CN"/>
        </w:rPr>
        <w:br w:type="page"/>
      </w:r>
    </w:p>
    <w:p w14:paraId="17F2B9A0">
      <w:pPr>
        <w:pStyle w:val="15"/>
        <w:numPr>
          <w:ilvl w:val="0"/>
          <w:numId w:val="1"/>
        </w:numPr>
        <w:shd w:val="clear" w:color="auto" w:fill="auto"/>
        <w:tabs>
          <w:tab w:val="left" w:pos="290"/>
        </w:tabs>
        <w:topLinePunct/>
        <w:adjustRightInd w:val="0"/>
        <w:snapToGrid w:val="0"/>
        <w:spacing w:before="0" w:after="270" w:afterLines="75" w:line="288" w:lineRule="auto"/>
        <w:jc w:val="both"/>
        <w:rPr>
          <w:rFonts w:eastAsia="宋体"/>
          <w:snapToGrid w:val="0"/>
          <w:lang w:eastAsia="zh-CN"/>
        </w:rPr>
      </w:pPr>
      <w:r>
        <w:rPr>
          <w:rFonts w:hint="eastAsia" w:eastAsia="宋体"/>
          <w:snapToGrid w:val="0"/>
          <w:lang w:eastAsia="zh-CN"/>
        </w:rPr>
        <w:t>改善临床研究</w:t>
      </w:r>
      <w:r>
        <w:rPr>
          <w:rFonts w:eastAsia="宋体"/>
          <w:snapToGrid w:val="0"/>
          <w:lang w:eastAsia="zh-CN"/>
        </w:rPr>
        <w:t>设计的建议；</w:t>
      </w:r>
      <w:r>
        <w:rPr>
          <w:rFonts w:hint="eastAsia" w:eastAsia="宋体"/>
          <w:snapToGrid w:val="0"/>
          <w:lang w:eastAsia="zh-CN"/>
        </w:rPr>
        <w:t>以及</w:t>
      </w:r>
    </w:p>
    <w:p w14:paraId="72A204D4">
      <w:pPr>
        <w:pStyle w:val="15"/>
        <w:numPr>
          <w:ilvl w:val="0"/>
          <w:numId w:val="1"/>
        </w:numPr>
        <w:shd w:val="clear" w:color="auto" w:fill="auto"/>
        <w:tabs>
          <w:tab w:val="left" w:pos="290"/>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讨论</w:t>
      </w:r>
      <w:r>
        <w:rPr>
          <w:rFonts w:hint="eastAsia" w:eastAsia="宋体"/>
          <w:snapToGrid w:val="0"/>
          <w:lang w:eastAsia="zh-CN"/>
        </w:rPr>
        <w:t>提</w:t>
      </w:r>
      <w:r>
        <w:rPr>
          <w:rFonts w:eastAsia="宋体"/>
          <w:snapToGrid w:val="0"/>
          <w:lang w:eastAsia="zh-CN"/>
        </w:rPr>
        <w:t>议的变更</w:t>
      </w:r>
      <w:r>
        <w:rPr>
          <w:rFonts w:hint="eastAsia" w:eastAsia="宋体"/>
          <w:snapToGrid w:val="0"/>
          <w:lang w:eastAsia="zh-CN"/>
        </w:rPr>
        <w:t>是否会</w:t>
      </w:r>
      <w:r>
        <w:rPr>
          <w:rFonts w:eastAsia="宋体"/>
          <w:snapToGrid w:val="0"/>
          <w:lang w:eastAsia="zh-CN"/>
        </w:rPr>
        <w:t>影响数据分析（例如，汇总</w:t>
      </w:r>
      <w:r>
        <w:rPr>
          <w:rFonts w:hint="eastAsia" w:eastAsia="宋体"/>
          <w:snapToGrid w:val="0"/>
          <w:lang w:eastAsia="zh-CN"/>
        </w:rPr>
        <w:t>、</w:t>
      </w:r>
      <w:r>
        <w:rPr>
          <w:rFonts w:eastAsia="宋体"/>
          <w:snapToGrid w:val="0"/>
          <w:lang w:eastAsia="zh-CN"/>
        </w:rPr>
        <w:t>引入</w:t>
      </w:r>
      <w:r>
        <w:rPr>
          <w:rFonts w:hint="eastAsia" w:eastAsia="宋体"/>
          <w:snapToGrid w:val="0"/>
          <w:lang w:eastAsia="zh-CN"/>
        </w:rPr>
        <w:t>复</w:t>
      </w:r>
      <w:r>
        <w:rPr>
          <w:rFonts w:eastAsia="宋体"/>
          <w:snapToGrid w:val="0"/>
          <w:lang w:eastAsia="zh-CN"/>
        </w:rPr>
        <w:t>杂变量</w:t>
      </w:r>
      <w:r>
        <w:rPr>
          <w:rFonts w:hint="eastAsia" w:eastAsia="宋体"/>
          <w:snapToGrid w:val="0"/>
          <w:lang w:eastAsia="zh-CN"/>
        </w:rPr>
        <w:t>、更改</w:t>
      </w:r>
      <w:r>
        <w:rPr>
          <w:rFonts w:eastAsia="宋体"/>
          <w:snapToGrid w:val="0"/>
          <w:lang w:eastAsia="zh-CN"/>
        </w:rPr>
        <w:t>安全类型和收集的有效性数据等）。</w:t>
      </w:r>
    </w:p>
    <w:p w14:paraId="310E6166">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此外，FDA</w:t>
      </w:r>
      <w:r>
        <w:rPr>
          <w:rFonts w:hint="eastAsia" w:eastAsia="宋体"/>
          <w:snapToGrid w:val="0"/>
          <w:lang w:eastAsia="zh-CN"/>
        </w:rPr>
        <w:t>于</w:t>
      </w:r>
      <w:r>
        <w:rPr>
          <w:rFonts w:eastAsia="宋体"/>
          <w:snapToGrid w:val="0"/>
          <w:lang w:eastAsia="zh-CN"/>
        </w:rPr>
        <w:t>2000年5月20日</w:t>
      </w:r>
      <w:r>
        <w:rPr>
          <w:rFonts w:hint="eastAsia" w:eastAsia="宋体"/>
          <w:snapToGrid w:val="0"/>
          <w:lang w:eastAsia="zh-CN"/>
        </w:rPr>
        <w:t>举行的</w:t>
      </w:r>
      <w:r>
        <w:rPr>
          <w:rFonts w:eastAsia="宋体"/>
          <w:snapToGrid w:val="0"/>
          <w:lang w:eastAsia="zh-CN"/>
        </w:rPr>
        <w:t>北美</w:t>
      </w:r>
      <w:r>
        <w:rPr>
          <w:rFonts w:hint="eastAsia" w:eastAsia="宋体"/>
          <w:snapToGrid w:val="0"/>
          <w:lang w:eastAsia="zh-CN"/>
        </w:rPr>
        <w:t>心脏</w:t>
      </w:r>
      <w:r>
        <w:rPr>
          <w:rFonts w:eastAsia="宋体"/>
          <w:snapToGrid w:val="0"/>
          <w:lang w:eastAsia="zh-CN"/>
        </w:rPr>
        <w:t>起搏与电生理学会（NASPE）年会上与临床界讨论了这一举措，并</w:t>
      </w:r>
      <w:r>
        <w:rPr>
          <w:rFonts w:hint="eastAsia" w:eastAsia="宋体"/>
          <w:snapToGrid w:val="0"/>
          <w:lang w:eastAsia="zh-CN"/>
        </w:rPr>
        <w:t>且</w:t>
      </w:r>
      <w:r>
        <w:rPr>
          <w:rFonts w:eastAsia="宋体"/>
          <w:snapToGrid w:val="0"/>
          <w:lang w:eastAsia="zh-CN"/>
        </w:rPr>
        <w:t>邀请</w:t>
      </w:r>
      <w:r>
        <w:rPr>
          <w:rFonts w:hint="eastAsia" w:eastAsia="宋体"/>
          <w:snapToGrid w:val="0"/>
          <w:lang w:eastAsia="zh-CN"/>
        </w:rPr>
        <w:t>出席</w:t>
      </w:r>
      <w:r>
        <w:rPr>
          <w:rFonts w:eastAsia="宋体"/>
          <w:snapToGrid w:val="0"/>
          <w:lang w:eastAsia="zh-CN"/>
        </w:rPr>
        <w:t>人员</w:t>
      </w:r>
      <w:r>
        <w:rPr>
          <w:rFonts w:hint="eastAsia" w:eastAsia="宋体"/>
          <w:snapToGrid w:val="0"/>
          <w:lang w:eastAsia="zh-CN"/>
        </w:rPr>
        <w:t>给予</w:t>
      </w:r>
      <w:r>
        <w:rPr>
          <w:rFonts w:eastAsia="宋体"/>
          <w:snapToGrid w:val="0"/>
          <w:lang w:eastAsia="zh-CN"/>
        </w:rPr>
        <w:t>建议。</w:t>
      </w:r>
    </w:p>
    <w:p w14:paraId="6511DD89">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FDA</w:t>
      </w:r>
      <w:r>
        <w:rPr>
          <w:rFonts w:hint="eastAsia" w:eastAsia="宋体"/>
          <w:snapToGrid w:val="0"/>
          <w:lang w:eastAsia="zh-CN"/>
        </w:rPr>
        <w:t>收到来自</w:t>
      </w:r>
      <w:r>
        <w:rPr>
          <w:rFonts w:eastAsia="宋体"/>
          <w:snapToGrid w:val="0"/>
          <w:lang w:eastAsia="zh-CN"/>
        </w:rPr>
        <w:t>业界和临床界的许多</w:t>
      </w:r>
      <w:r>
        <w:rPr>
          <w:rFonts w:hint="eastAsia" w:eastAsia="宋体"/>
          <w:snapToGrid w:val="0"/>
          <w:lang w:eastAsia="zh-CN"/>
        </w:rPr>
        <w:t>思虑周全的良好意见和</w:t>
      </w:r>
      <w:r>
        <w:rPr>
          <w:rFonts w:eastAsia="宋体"/>
          <w:snapToGrid w:val="0"/>
          <w:lang w:eastAsia="zh-CN"/>
        </w:rPr>
        <w:t>建议，</w:t>
      </w:r>
      <w:r>
        <w:rPr>
          <w:rFonts w:hint="eastAsia" w:eastAsia="宋体"/>
          <w:snapToGrid w:val="0"/>
          <w:lang w:eastAsia="zh-CN"/>
        </w:rPr>
        <w:t>在此对</w:t>
      </w:r>
      <w:r>
        <w:rPr>
          <w:rFonts w:eastAsia="宋体"/>
          <w:snapToGrid w:val="0"/>
          <w:lang w:eastAsia="zh-CN"/>
        </w:rPr>
        <w:t>所有参与</w:t>
      </w:r>
      <w:r>
        <w:rPr>
          <w:rFonts w:hint="eastAsia" w:eastAsia="宋体"/>
          <w:snapToGrid w:val="0"/>
          <w:lang w:eastAsia="zh-CN"/>
        </w:rPr>
        <w:t>人员表示感谢</w:t>
      </w:r>
      <w:r>
        <w:rPr>
          <w:rFonts w:eastAsia="宋体"/>
          <w:snapToGrid w:val="0"/>
          <w:lang w:eastAsia="zh-CN"/>
        </w:rPr>
        <w:t>。</w:t>
      </w:r>
    </w:p>
    <w:p w14:paraId="50EDAF78">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虽然</w:t>
      </w:r>
      <w:r>
        <w:rPr>
          <w:rFonts w:hint="eastAsia" w:eastAsia="宋体"/>
          <w:snapToGrid w:val="0"/>
          <w:lang w:eastAsia="zh-CN"/>
        </w:rPr>
        <w:t>不是全部</w:t>
      </w:r>
      <w:r>
        <w:rPr>
          <w:rFonts w:eastAsia="宋体"/>
          <w:snapToGrid w:val="0"/>
          <w:lang w:eastAsia="zh-CN"/>
        </w:rPr>
        <w:t>的</w:t>
      </w:r>
      <w:r>
        <w:rPr>
          <w:rFonts w:hint="eastAsia" w:eastAsia="宋体"/>
          <w:snapToGrid w:val="0"/>
          <w:lang w:eastAsia="zh-CN"/>
        </w:rPr>
        <w:t>反馈都</w:t>
      </w:r>
      <w:r>
        <w:rPr>
          <w:rFonts w:eastAsia="宋体"/>
          <w:snapToGrid w:val="0"/>
          <w:lang w:eastAsia="zh-CN"/>
        </w:rPr>
        <w:t>达成共识，但是</w:t>
      </w:r>
      <w:r>
        <w:rPr>
          <w:rFonts w:hint="eastAsia" w:eastAsia="宋体"/>
          <w:snapToGrid w:val="0"/>
          <w:lang w:eastAsia="zh-CN"/>
        </w:rPr>
        <w:t>一些</w:t>
      </w:r>
      <w:r>
        <w:rPr>
          <w:rFonts w:eastAsia="宋体"/>
          <w:snapToGrid w:val="0"/>
          <w:lang w:eastAsia="zh-CN"/>
        </w:rPr>
        <w:t>建议是由</w:t>
      </w:r>
      <w:r>
        <w:rPr>
          <w:rFonts w:hint="eastAsia" w:eastAsia="宋体"/>
          <w:snapToGrid w:val="0"/>
          <w:lang w:eastAsia="zh-CN"/>
        </w:rPr>
        <w:t>诸多受访者提出</w:t>
      </w:r>
      <w:r>
        <w:rPr>
          <w:rFonts w:eastAsia="宋体"/>
          <w:snapToGrid w:val="0"/>
          <w:lang w:eastAsia="zh-CN"/>
        </w:rPr>
        <w:t>。以下部分概述了FDA目前对各种</w:t>
      </w:r>
      <w:r>
        <w:rPr>
          <w:rFonts w:hint="eastAsia" w:eastAsia="宋体"/>
          <w:snapToGrid w:val="0"/>
          <w:lang w:eastAsia="zh-CN"/>
        </w:rPr>
        <w:t>提议</w:t>
      </w:r>
      <w:r>
        <w:rPr>
          <w:rFonts w:eastAsia="宋体"/>
          <w:snapToGrid w:val="0"/>
          <w:lang w:eastAsia="zh-CN"/>
        </w:rPr>
        <w:t>的看法。</w:t>
      </w:r>
    </w:p>
    <w:p w14:paraId="331C6F56">
      <w:pPr>
        <w:pStyle w:val="17"/>
        <w:shd w:val="clear" w:color="auto" w:fill="auto"/>
        <w:topLinePunct/>
        <w:adjustRightInd w:val="0"/>
        <w:snapToGrid w:val="0"/>
        <w:spacing w:before="0" w:after="270" w:afterLines="75" w:line="288" w:lineRule="auto"/>
        <w:jc w:val="both"/>
        <w:outlineLvl w:val="9"/>
        <w:rPr>
          <w:rFonts w:eastAsia="宋体"/>
          <w:snapToGrid w:val="0"/>
          <w:sz w:val="24"/>
          <w:lang w:eastAsia="zh-CN"/>
        </w:rPr>
      </w:pPr>
      <w:r>
        <w:rPr>
          <w:rFonts w:hint="eastAsia" w:eastAsia="宋体"/>
          <w:snapToGrid w:val="0"/>
          <w:sz w:val="24"/>
          <w:lang w:eastAsia="zh-CN"/>
        </w:rPr>
        <w:t>最小负担手段原则</w:t>
      </w:r>
    </w:p>
    <w:p w14:paraId="4FF85F8E">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本指南文件中阐述的问题代表了我们认为贵公司应在器械上市之前解决的问题。在制定本指南时，我们仔细考虑了机构决策的相关法定标准。我们还考虑到贵公司在尝试遵循本指南和解决我们识别的问题时可能产生的负担。我们认为已经考虑了采用最小负担手段原则来解决本指南文件中提出的问题。但是，如果贵公司认为这些监管要求</w:t>
      </w:r>
      <w:r>
        <w:rPr>
          <w:rFonts w:eastAsia="宋体"/>
          <w:snapToGrid w:val="0"/>
          <w:lang w:eastAsia="zh-CN"/>
        </w:rPr>
        <w:t>与</w:t>
      </w:r>
      <w:r>
        <w:rPr>
          <w:rFonts w:hint="eastAsia" w:eastAsia="宋体"/>
          <w:snapToGrid w:val="0"/>
          <w:lang w:eastAsia="zh-CN"/>
        </w:rPr>
        <w:t>待处理</w:t>
      </w:r>
      <w:r>
        <w:rPr>
          <w:rFonts w:eastAsia="宋体"/>
          <w:snapToGrid w:val="0"/>
          <w:lang w:eastAsia="zh-CN"/>
        </w:rPr>
        <w:t>的</w:t>
      </w:r>
      <w:r>
        <w:rPr>
          <w:rFonts w:hint="eastAsia" w:eastAsia="宋体"/>
          <w:snapToGrid w:val="0"/>
          <w:lang w:eastAsia="zh-CN"/>
        </w:rPr>
        <w:t>申请不相关或者有更简单的方式解决这些问题，请遵循</w:t>
      </w:r>
      <w:r>
        <w:rPr>
          <w:rFonts w:ascii="宋体" w:hAnsi="宋体" w:eastAsia="宋体"/>
          <w:snapToGrid w:val="0"/>
          <w:lang w:eastAsia="zh-CN"/>
        </w:rPr>
        <w:t>“</w:t>
      </w:r>
      <w:r>
        <w:rPr>
          <w:rFonts w:hint="eastAsia" w:eastAsia="宋体"/>
          <w:snapToGrid w:val="0"/>
          <w:lang w:eastAsia="zh-CN"/>
        </w:rPr>
        <w:t>用最小负担的方法解决问题的建议方法（</w:t>
      </w:r>
      <w:r>
        <w:rPr>
          <w:rFonts w:hint="eastAsia" w:eastAsia="宋体"/>
          <w:snapToGrid w:val="0"/>
          <w:u w:val="single"/>
          <w:lang w:eastAsia="zh-CN"/>
        </w:rPr>
        <w:t>/</w:t>
      </w:r>
      <w:r>
        <w:rPr>
          <w:rFonts w:eastAsia="宋体"/>
          <w:snapToGrid w:val="0"/>
          <w:u w:val="single"/>
          <w:lang w:eastAsia="zh-CN"/>
        </w:rPr>
        <w:t>MedicalDevices/DeviceRegulationandGuidance/Overview/MedicalDevice</w:t>
      </w:r>
      <w:r>
        <w:rPr>
          <w:rFonts w:hint="eastAsia" w:eastAsia="宋体"/>
          <w:snapToGrid w:val="0"/>
          <w:u w:val="single"/>
          <w:lang w:eastAsia="zh-CN"/>
        </w:rPr>
        <w:t xml:space="preserve"> </w:t>
      </w:r>
      <w:r>
        <w:rPr>
          <w:rFonts w:eastAsia="宋体"/>
          <w:snapToGrid w:val="0"/>
          <w:u w:val="single"/>
          <w:lang w:eastAsia="zh-CN"/>
        </w:rPr>
        <w:t>ProvisionsofFDAModemizationA</w:t>
      </w:r>
      <w:r>
        <w:rPr>
          <w:rFonts w:hint="eastAsia" w:eastAsia="宋体"/>
          <w:snapToGrid w:val="0"/>
          <w:u w:val="single"/>
          <w:lang w:eastAsia="zh-CN"/>
        </w:rPr>
        <w:t>c</w:t>
      </w:r>
      <w:r>
        <w:rPr>
          <w:rFonts w:eastAsia="宋体"/>
          <w:snapToGrid w:val="0"/>
          <w:u w:val="single"/>
          <w:lang w:eastAsia="zh-CN"/>
        </w:rPr>
        <w:t>t/ucm136685.htm</w:t>
      </w:r>
      <w:r>
        <w:rPr>
          <w:rFonts w:hint="eastAsia" w:eastAsia="宋体"/>
          <w:snapToGrid w:val="0"/>
          <w:lang w:eastAsia="zh-CN"/>
        </w:rPr>
        <w:t>）”中所述的程序。</w:t>
      </w:r>
    </w:p>
    <w:p w14:paraId="6F568A98">
      <w:pPr>
        <w:pStyle w:val="17"/>
        <w:shd w:val="clear" w:color="auto" w:fill="auto"/>
        <w:topLinePunct/>
        <w:adjustRightInd w:val="0"/>
        <w:snapToGrid w:val="0"/>
        <w:spacing w:before="0" w:after="270" w:afterLines="75" w:line="288" w:lineRule="auto"/>
        <w:jc w:val="both"/>
        <w:outlineLvl w:val="9"/>
        <w:rPr>
          <w:rFonts w:eastAsia="宋体"/>
          <w:snapToGrid w:val="0"/>
          <w:lang w:eastAsia="zh-CN"/>
        </w:rPr>
      </w:pPr>
      <w:r>
        <w:rPr>
          <w:rFonts w:hint="eastAsia" w:eastAsia="宋体"/>
          <w:snapToGrid w:val="0"/>
          <w:lang w:eastAsia="zh-CN"/>
        </w:rPr>
        <w:t>安全性</w:t>
      </w:r>
      <w:r>
        <w:rPr>
          <w:rFonts w:eastAsia="宋体"/>
          <w:snapToGrid w:val="0"/>
          <w:lang w:eastAsia="zh-CN"/>
        </w:rPr>
        <w:t>终点</w:t>
      </w:r>
    </w:p>
    <w:p w14:paraId="20020676">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FDA已经与许多申办方讨论了最合适的时间框架，以便在消融术后收集安全</w:t>
      </w:r>
      <w:r>
        <w:rPr>
          <w:rFonts w:hint="eastAsia" w:eastAsia="宋体"/>
          <w:snapToGrid w:val="0"/>
          <w:lang w:eastAsia="zh-CN"/>
        </w:rPr>
        <w:t>性</w:t>
      </w:r>
      <w:r>
        <w:rPr>
          <w:rFonts w:eastAsia="宋体"/>
          <w:snapToGrid w:val="0"/>
          <w:lang w:eastAsia="zh-CN"/>
        </w:rPr>
        <w:t>数据。一些申办方建议，患者</w:t>
      </w:r>
      <w:r>
        <w:rPr>
          <w:rFonts w:hint="eastAsia" w:eastAsia="宋体"/>
          <w:snapToGrid w:val="0"/>
          <w:lang w:eastAsia="zh-CN"/>
        </w:rPr>
        <w:t>出院之后就无需</w:t>
      </w:r>
      <w:r>
        <w:rPr>
          <w:rFonts w:eastAsia="宋体"/>
          <w:snapToGrid w:val="0"/>
          <w:lang w:eastAsia="zh-CN"/>
        </w:rPr>
        <w:t>收集安全</w:t>
      </w:r>
      <w:r>
        <w:rPr>
          <w:rFonts w:hint="eastAsia" w:eastAsia="宋体"/>
          <w:snapToGrid w:val="0"/>
          <w:lang w:eastAsia="zh-CN"/>
        </w:rPr>
        <w:t>性</w:t>
      </w:r>
      <w:r>
        <w:rPr>
          <w:rFonts w:eastAsia="宋体"/>
          <w:snapToGrid w:val="0"/>
          <w:lang w:eastAsia="zh-CN"/>
        </w:rPr>
        <w:t>数据。</w:t>
      </w:r>
    </w:p>
    <w:p w14:paraId="34962976">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hint="eastAsia" w:eastAsia="宋体"/>
          <w:snapToGrid w:val="0"/>
          <w:lang w:eastAsia="zh-CN"/>
        </w:rPr>
        <w:t>虽然</w:t>
      </w:r>
      <w:r>
        <w:rPr>
          <w:rFonts w:eastAsia="宋体"/>
          <w:snapToGrid w:val="0"/>
          <w:lang w:eastAsia="zh-CN"/>
        </w:rPr>
        <w:t>消融后患者</w:t>
      </w:r>
      <w:r>
        <w:rPr>
          <w:rFonts w:hint="eastAsia" w:eastAsia="宋体"/>
          <w:snapToGrid w:val="0"/>
          <w:lang w:eastAsia="zh-CN"/>
        </w:rPr>
        <w:t>的</w:t>
      </w:r>
      <w:r>
        <w:rPr>
          <w:rFonts w:eastAsia="宋体"/>
          <w:snapToGrid w:val="0"/>
          <w:lang w:eastAsia="zh-CN"/>
        </w:rPr>
        <w:t>住院时间似乎在减少（有时只有两三天），FDA仍然认为，在消融</w:t>
      </w:r>
      <w:r>
        <w:rPr>
          <w:rFonts w:hint="eastAsia" w:eastAsia="宋体"/>
          <w:snapToGrid w:val="0"/>
          <w:lang w:eastAsia="zh-CN"/>
        </w:rPr>
        <w:t>术</w:t>
      </w:r>
      <w:r>
        <w:rPr>
          <w:rFonts w:eastAsia="宋体"/>
          <w:snapToGrid w:val="0"/>
          <w:lang w:eastAsia="zh-CN"/>
        </w:rPr>
        <w:t>后7天内收集主要并发症资料至关重要，无论</w:t>
      </w:r>
      <w:r>
        <w:rPr>
          <w:rFonts w:hint="eastAsia" w:eastAsia="宋体"/>
          <w:snapToGrid w:val="0"/>
          <w:lang w:eastAsia="zh-CN"/>
        </w:rPr>
        <w:t>在这个</w:t>
      </w:r>
      <w:r>
        <w:rPr>
          <w:rFonts w:eastAsia="宋体"/>
          <w:snapToGrid w:val="0"/>
          <w:lang w:eastAsia="zh-CN"/>
        </w:rPr>
        <w:t>时间段</w:t>
      </w:r>
      <w:r>
        <w:rPr>
          <w:rFonts w:hint="eastAsia" w:eastAsia="宋体"/>
          <w:snapToGrid w:val="0"/>
          <w:lang w:eastAsia="zh-CN"/>
        </w:rPr>
        <w:t>里</w:t>
      </w:r>
      <w:r>
        <w:rPr>
          <w:rFonts w:eastAsia="宋体"/>
          <w:snapToGrid w:val="0"/>
          <w:lang w:eastAsia="zh-CN"/>
        </w:rPr>
        <w:t>患者</w:t>
      </w:r>
      <w:r>
        <w:rPr>
          <w:rFonts w:hint="eastAsia" w:eastAsia="宋体"/>
          <w:snapToGrid w:val="0"/>
          <w:lang w:eastAsia="zh-CN"/>
        </w:rPr>
        <w:t>是否已出院</w:t>
      </w:r>
      <w:r>
        <w:rPr>
          <w:rFonts w:eastAsia="宋体"/>
          <w:snapToGrid w:val="0"/>
          <w:lang w:eastAsia="zh-CN"/>
        </w:rPr>
        <w:t>。 FDA认为，这7天的时间</w:t>
      </w:r>
      <w:r>
        <w:rPr>
          <w:rFonts w:hint="eastAsia" w:eastAsia="宋体"/>
          <w:snapToGrid w:val="0"/>
          <w:lang w:eastAsia="zh-CN"/>
        </w:rPr>
        <w:t>能够对</w:t>
      </w:r>
      <w:r>
        <w:rPr>
          <w:rFonts w:eastAsia="宋体"/>
          <w:snapToGrid w:val="0"/>
          <w:lang w:eastAsia="zh-CN"/>
        </w:rPr>
        <w:t>消融</w:t>
      </w:r>
      <w:r>
        <w:rPr>
          <w:rFonts w:hint="eastAsia" w:eastAsia="宋体"/>
          <w:snapToGrid w:val="0"/>
          <w:lang w:eastAsia="zh-CN"/>
        </w:rPr>
        <w:t>术</w:t>
      </w:r>
      <w:r>
        <w:rPr>
          <w:rFonts w:eastAsia="宋体"/>
          <w:snapToGrid w:val="0"/>
          <w:lang w:eastAsia="zh-CN"/>
        </w:rPr>
        <w:t>后可能发生的安全问题的类型和频率</w:t>
      </w:r>
      <w:r>
        <w:rPr>
          <w:rFonts w:hint="eastAsia" w:eastAsia="宋体"/>
          <w:snapToGrid w:val="0"/>
          <w:lang w:eastAsia="zh-CN"/>
        </w:rPr>
        <w:t>做出</w:t>
      </w:r>
      <w:r>
        <w:rPr>
          <w:rFonts w:eastAsia="宋体"/>
          <w:snapToGrid w:val="0"/>
          <w:lang w:eastAsia="zh-CN"/>
        </w:rPr>
        <w:t>准确评估，并且与其他类型的心脏</w:t>
      </w:r>
      <w:r>
        <w:rPr>
          <w:rFonts w:hint="eastAsia" w:eastAsia="宋体"/>
          <w:snapToGrid w:val="0"/>
          <w:lang w:eastAsia="zh-CN"/>
        </w:rPr>
        <w:t>射频</w:t>
      </w:r>
      <w:r>
        <w:rPr>
          <w:rFonts w:eastAsia="宋体"/>
          <w:snapToGrid w:val="0"/>
          <w:lang w:eastAsia="zh-CN"/>
        </w:rPr>
        <w:t>消融</w:t>
      </w:r>
      <w:r>
        <w:rPr>
          <w:rFonts w:hint="eastAsia" w:eastAsia="宋体"/>
          <w:snapToGrid w:val="0"/>
          <w:lang w:eastAsia="zh-CN"/>
        </w:rPr>
        <w:t>器械</w:t>
      </w:r>
      <w:r>
        <w:rPr>
          <w:rFonts w:eastAsia="宋体"/>
          <w:snapToGrid w:val="0"/>
          <w:lang w:eastAsia="zh-CN"/>
        </w:rPr>
        <w:t>的安全性评估一致。</w:t>
      </w:r>
    </w:p>
    <w:p w14:paraId="5A139891">
      <w:pPr>
        <w:rPr>
          <w:rFonts w:ascii="Arial" w:hAnsi="Arial" w:eastAsia="宋体" w:cs="Arial"/>
          <w:b/>
          <w:bCs/>
          <w:snapToGrid w:val="0"/>
          <w:sz w:val="32"/>
          <w:szCs w:val="32"/>
          <w:lang w:eastAsia="zh-CN"/>
        </w:rPr>
      </w:pPr>
      <w:r>
        <w:rPr>
          <w:rFonts w:eastAsia="宋体"/>
          <w:snapToGrid w:val="0"/>
          <w:lang w:eastAsia="zh-CN"/>
        </w:rPr>
        <w:br w:type="page"/>
      </w:r>
    </w:p>
    <w:p w14:paraId="4E19AAD1">
      <w:pPr>
        <w:pStyle w:val="17"/>
        <w:shd w:val="clear" w:color="auto" w:fill="auto"/>
        <w:topLinePunct/>
        <w:adjustRightInd w:val="0"/>
        <w:snapToGrid w:val="0"/>
        <w:spacing w:before="0" w:after="270" w:afterLines="75" w:line="288" w:lineRule="auto"/>
        <w:jc w:val="both"/>
        <w:outlineLvl w:val="9"/>
        <w:rPr>
          <w:rFonts w:eastAsia="宋体"/>
          <w:snapToGrid w:val="0"/>
          <w:lang w:eastAsia="zh-CN"/>
        </w:rPr>
      </w:pPr>
      <w:r>
        <w:rPr>
          <w:rFonts w:hint="eastAsia" w:eastAsia="宋体"/>
          <w:snapToGrid w:val="0"/>
          <w:lang w:eastAsia="zh-CN"/>
        </w:rPr>
        <w:t>有效性终点</w:t>
      </w:r>
    </w:p>
    <w:p w14:paraId="5D6E0030">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i w:val="0"/>
          <w:snapToGrid w:val="0"/>
          <w:lang w:eastAsia="zh-CN"/>
        </w:rPr>
      </w:pPr>
      <w:r>
        <w:rPr>
          <w:rFonts w:eastAsia="宋体"/>
          <w:snapToGrid w:val="0"/>
          <w:lang w:eastAsia="zh-CN"/>
        </w:rPr>
        <w:t>目前，FDA要求将主要长期有效性终点定义为</w:t>
      </w:r>
      <w:r>
        <w:rPr>
          <w:rFonts w:ascii="宋体" w:hAnsi="宋体" w:eastAsia="宋体"/>
          <w:snapToGrid w:val="0"/>
          <w:lang w:eastAsia="zh-CN"/>
        </w:rPr>
        <w:t>“</w:t>
      </w:r>
      <w:r>
        <w:rPr>
          <w:rFonts w:eastAsia="宋体"/>
          <w:snapToGrid w:val="0"/>
          <w:lang w:eastAsia="zh-CN"/>
        </w:rPr>
        <w:t>消融术后6个月内不会复发典型心房扑动</w:t>
      </w:r>
      <w:r>
        <w:rPr>
          <w:rFonts w:ascii="宋体" w:hAnsi="宋体" w:eastAsia="宋体"/>
          <w:snapToGrid w:val="0"/>
          <w:lang w:eastAsia="zh-CN"/>
        </w:rPr>
        <w:t>”</w:t>
      </w:r>
      <w:r>
        <w:rPr>
          <w:rFonts w:eastAsia="宋体"/>
          <w:snapToGrid w:val="0"/>
          <w:lang w:eastAsia="zh-CN"/>
        </w:rPr>
        <w:t>。几</w:t>
      </w:r>
      <w:r>
        <w:rPr>
          <w:rFonts w:hint="eastAsia" w:eastAsia="宋体"/>
          <w:snapToGrid w:val="0"/>
          <w:lang w:eastAsia="zh-CN"/>
        </w:rPr>
        <w:t>家</w:t>
      </w:r>
      <w:r>
        <w:rPr>
          <w:rFonts w:eastAsia="宋体"/>
          <w:snapToGrid w:val="0"/>
          <w:lang w:eastAsia="zh-CN"/>
        </w:rPr>
        <w:t>申办方提出将这一定义修改为</w:t>
      </w:r>
      <w:r>
        <w:rPr>
          <w:rFonts w:ascii="宋体" w:hAnsi="宋体" w:eastAsia="宋体"/>
          <w:snapToGrid w:val="0"/>
          <w:lang w:eastAsia="zh-CN"/>
        </w:rPr>
        <w:t>“</w:t>
      </w:r>
      <w:r>
        <w:rPr>
          <w:rFonts w:eastAsia="宋体"/>
          <w:snapToGrid w:val="0"/>
          <w:lang w:eastAsia="zh-CN"/>
        </w:rPr>
        <w:t>消融术后6个月，</w:t>
      </w:r>
      <w:r>
        <w:rPr>
          <w:rFonts w:hint="eastAsia" w:eastAsia="宋体"/>
          <w:snapToGrid w:val="0"/>
          <w:lang w:eastAsia="zh-CN"/>
        </w:rPr>
        <w:t>在</w:t>
      </w:r>
      <w:r>
        <w:rPr>
          <w:rFonts w:eastAsia="宋体"/>
          <w:snapToGrid w:val="0"/>
          <w:lang w:eastAsia="zh-CN"/>
        </w:rPr>
        <w:t>不</w:t>
      </w:r>
      <w:r>
        <w:rPr>
          <w:rFonts w:hint="eastAsia" w:eastAsia="宋体"/>
          <w:snapToGrid w:val="0"/>
          <w:lang w:eastAsia="zh-CN"/>
        </w:rPr>
        <w:t>增</w:t>
      </w:r>
      <w:r>
        <w:rPr>
          <w:rFonts w:eastAsia="宋体"/>
          <w:snapToGrid w:val="0"/>
          <w:lang w:eastAsia="zh-CN"/>
        </w:rPr>
        <w:t>加</w:t>
      </w:r>
      <w:r>
        <w:rPr>
          <w:rFonts w:hint="eastAsia" w:eastAsia="宋体"/>
          <w:snapToGrid w:val="0"/>
          <w:lang w:eastAsia="zh-CN"/>
        </w:rPr>
        <w:t>抗</w:t>
      </w:r>
      <w:r>
        <w:rPr>
          <w:rFonts w:eastAsia="宋体"/>
          <w:snapToGrid w:val="0"/>
          <w:lang w:eastAsia="zh-CN"/>
        </w:rPr>
        <w:t>心律不齐药物（AADs）</w:t>
      </w:r>
      <w:r>
        <w:rPr>
          <w:rFonts w:hint="eastAsia" w:eastAsia="宋体"/>
          <w:snapToGrid w:val="0"/>
          <w:lang w:eastAsia="zh-CN"/>
        </w:rPr>
        <w:t>或者不</w:t>
      </w:r>
      <w:r>
        <w:rPr>
          <w:rFonts w:eastAsia="宋体"/>
          <w:snapToGrid w:val="0"/>
          <w:lang w:eastAsia="zh-CN"/>
        </w:rPr>
        <w:t>更改目前的AAD方案</w:t>
      </w:r>
      <w:r>
        <w:rPr>
          <w:rFonts w:hint="eastAsia" w:eastAsia="宋体"/>
          <w:snapToGrid w:val="0"/>
          <w:lang w:eastAsia="zh-CN"/>
        </w:rPr>
        <w:t>的</w:t>
      </w:r>
      <w:r>
        <w:rPr>
          <w:rFonts w:eastAsia="宋体"/>
          <w:snapToGrid w:val="0"/>
          <w:lang w:eastAsia="zh-CN"/>
        </w:rPr>
        <w:t>前提下，</w:t>
      </w:r>
      <w:r>
        <w:rPr>
          <w:rFonts w:hint="eastAsia" w:eastAsia="宋体"/>
          <w:snapToGrid w:val="0"/>
          <w:lang w:eastAsia="zh-CN"/>
        </w:rPr>
        <w:t>未</w:t>
      </w:r>
      <w:r>
        <w:rPr>
          <w:rFonts w:eastAsia="宋体"/>
          <w:snapToGrid w:val="0"/>
          <w:lang w:eastAsia="zh-CN"/>
        </w:rPr>
        <w:t>复发典型心房扑动。</w:t>
      </w:r>
      <w:r>
        <w:rPr>
          <w:rFonts w:hint="eastAsia" w:eastAsia="宋体"/>
          <w:snapToGrid w:val="0"/>
          <w:lang w:eastAsia="zh-CN"/>
        </w:rPr>
        <w:t>”</w:t>
      </w:r>
    </w:p>
    <w:p w14:paraId="07135606">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FDA同意</w:t>
      </w:r>
      <w:r>
        <w:rPr>
          <w:rFonts w:hint="eastAsia" w:eastAsia="宋体"/>
          <w:snapToGrid w:val="0"/>
          <w:lang w:eastAsia="zh-CN"/>
        </w:rPr>
        <w:t>以下</w:t>
      </w:r>
      <w:r>
        <w:rPr>
          <w:rFonts w:eastAsia="宋体"/>
          <w:snapToGrid w:val="0"/>
          <w:lang w:eastAsia="zh-CN"/>
        </w:rPr>
        <w:t>观点</w:t>
      </w:r>
      <w:r>
        <w:rPr>
          <w:rFonts w:hint="eastAsia" w:eastAsia="宋体"/>
          <w:snapToGrid w:val="0"/>
          <w:lang w:eastAsia="zh-CN"/>
        </w:rPr>
        <w:t>：</w:t>
      </w:r>
      <w:r>
        <w:rPr>
          <w:rFonts w:eastAsia="宋体"/>
          <w:snapToGrid w:val="0"/>
          <w:lang w:eastAsia="zh-CN"/>
        </w:rPr>
        <w:t>如果研究纳入患有其他更严重心律失常</w:t>
      </w:r>
      <w:r>
        <w:rPr>
          <w:rFonts w:hint="eastAsia" w:eastAsia="宋体"/>
          <w:snapToGrid w:val="0"/>
          <w:lang w:eastAsia="zh-CN"/>
        </w:rPr>
        <w:t>疾病</w:t>
      </w:r>
      <w:r>
        <w:rPr>
          <w:rFonts w:eastAsia="宋体"/>
          <w:snapToGrid w:val="0"/>
          <w:lang w:eastAsia="zh-CN"/>
        </w:rPr>
        <w:t>的患者（</w:t>
      </w:r>
      <w:r>
        <w:rPr>
          <w:rFonts w:hint="eastAsia" w:eastAsia="宋体"/>
          <w:snapToGrid w:val="0"/>
          <w:lang w:eastAsia="zh-CN"/>
        </w:rPr>
        <w:t>参</w:t>
      </w:r>
      <w:r>
        <w:rPr>
          <w:rFonts w:eastAsia="宋体"/>
          <w:snapToGrid w:val="0"/>
          <w:lang w:eastAsia="zh-CN"/>
        </w:rPr>
        <w:t>见第5期），</w:t>
      </w:r>
      <w:r>
        <w:rPr>
          <w:rFonts w:hint="eastAsia" w:eastAsia="宋体"/>
          <w:snapToGrid w:val="0"/>
          <w:lang w:eastAsia="zh-CN"/>
        </w:rPr>
        <w:t>则</w:t>
      </w:r>
      <w:r>
        <w:rPr>
          <w:rFonts w:eastAsia="宋体"/>
          <w:snapToGrid w:val="0"/>
          <w:lang w:eastAsia="zh-CN"/>
        </w:rPr>
        <w:t>这种对长期有效性定义的修订</w:t>
      </w:r>
      <w:r>
        <w:rPr>
          <w:rFonts w:hint="eastAsia" w:eastAsia="宋体"/>
          <w:snapToGrid w:val="0"/>
          <w:lang w:eastAsia="zh-CN"/>
        </w:rPr>
        <w:t>十分</w:t>
      </w:r>
      <w:r>
        <w:rPr>
          <w:rFonts w:eastAsia="宋体"/>
          <w:snapToGrid w:val="0"/>
          <w:lang w:eastAsia="zh-CN"/>
        </w:rPr>
        <w:t>恰当，因为其中一些患者</w:t>
      </w:r>
      <w:r>
        <w:rPr>
          <w:rFonts w:hint="eastAsia" w:eastAsia="宋体"/>
          <w:snapToGrid w:val="0"/>
          <w:lang w:eastAsia="zh-CN"/>
        </w:rPr>
        <w:t>并不希</w:t>
      </w:r>
      <w:r>
        <w:rPr>
          <w:rFonts w:eastAsia="宋体"/>
          <w:snapToGrid w:val="0"/>
          <w:lang w:eastAsia="zh-CN"/>
        </w:rPr>
        <w:t>望</w:t>
      </w:r>
      <w:r>
        <w:rPr>
          <w:rFonts w:hint="eastAsia" w:eastAsia="宋体"/>
          <w:snapToGrid w:val="0"/>
          <w:lang w:eastAsia="zh-CN"/>
        </w:rPr>
        <w:t>停止服用抗</w:t>
      </w:r>
      <w:r>
        <w:rPr>
          <w:rFonts w:eastAsia="宋体"/>
          <w:snapToGrid w:val="0"/>
          <w:lang w:eastAsia="zh-CN"/>
        </w:rPr>
        <w:t>心律不齐药物</w:t>
      </w:r>
      <w:r>
        <w:rPr>
          <w:rFonts w:hint="eastAsia" w:eastAsia="宋体"/>
          <w:snapToGrid w:val="0"/>
          <w:lang w:eastAsia="zh-CN"/>
        </w:rPr>
        <w:t>，以</w:t>
      </w:r>
      <w:r>
        <w:rPr>
          <w:rFonts w:eastAsia="宋体"/>
          <w:snapToGrid w:val="0"/>
          <w:lang w:eastAsia="zh-CN"/>
        </w:rPr>
        <w:t>避免发生伴发心律失常。如果</w:t>
      </w:r>
      <w:r>
        <w:rPr>
          <w:rFonts w:hint="eastAsia" w:eastAsia="宋体"/>
          <w:snapToGrid w:val="0"/>
          <w:lang w:eastAsia="zh-CN"/>
        </w:rPr>
        <w:t>贵公司</w:t>
      </w:r>
      <w:r>
        <w:rPr>
          <w:rFonts w:eastAsia="宋体"/>
          <w:snapToGrid w:val="0"/>
          <w:lang w:eastAsia="zh-CN"/>
        </w:rPr>
        <w:t>选择修改如上所述的长期（6个月）有效性终点，</w:t>
      </w:r>
      <w:r>
        <w:rPr>
          <w:rFonts w:hint="eastAsia" w:eastAsia="宋体"/>
          <w:snapToGrid w:val="0"/>
          <w:lang w:eastAsia="zh-CN"/>
        </w:rPr>
        <w:t>则在</w:t>
      </w:r>
      <w:r>
        <w:rPr>
          <w:rFonts w:eastAsia="宋体"/>
          <w:snapToGrid w:val="0"/>
          <w:lang w:eastAsia="zh-CN"/>
        </w:rPr>
        <w:t>研究方案</w:t>
      </w:r>
      <w:r>
        <w:rPr>
          <w:rFonts w:hint="eastAsia" w:eastAsia="宋体"/>
          <w:snapToGrid w:val="0"/>
          <w:lang w:eastAsia="zh-CN"/>
        </w:rPr>
        <w:t>中</w:t>
      </w:r>
      <w:r>
        <w:rPr>
          <w:rFonts w:eastAsia="宋体"/>
          <w:snapToGrid w:val="0"/>
          <w:lang w:eastAsia="zh-CN"/>
        </w:rPr>
        <w:t>应该</w:t>
      </w:r>
      <w:r>
        <w:rPr>
          <w:rFonts w:hint="eastAsia" w:eastAsia="宋体"/>
          <w:snapToGrid w:val="0"/>
          <w:lang w:eastAsia="zh-CN"/>
        </w:rPr>
        <w:t>说明</w:t>
      </w:r>
      <w:r>
        <w:rPr>
          <w:rFonts w:eastAsia="宋体"/>
          <w:snapToGrid w:val="0"/>
          <w:lang w:eastAsia="zh-CN"/>
        </w:rPr>
        <w:t>预消融</w:t>
      </w:r>
      <w:r>
        <w:rPr>
          <w:rFonts w:hint="eastAsia" w:eastAsia="宋体"/>
          <w:snapToGrid w:val="0"/>
          <w:lang w:eastAsia="zh-CN"/>
        </w:rPr>
        <w:t>A</w:t>
      </w:r>
      <w:r>
        <w:rPr>
          <w:rFonts w:eastAsia="宋体"/>
          <w:snapToGrid w:val="0"/>
          <w:lang w:eastAsia="zh-CN"/>
        </w:rPr>
        <w:t>DD方案</w:t>
      </w:r>
      <w:r>
        <w:rPr>
          <w:rFonts w:hint="eastAsia" w:eastAsia="宋体"/>
          <w:snapToGrid w:val="0"/>
          <w:lang w:eastAsia="zh-CN"/>
        </w:rPr>
        <w:t>的</w:t>
      </w:r>
      <w:r>
        <w:rPr>
          <w:rFonts w:eastAsia="宋体"/>
          <w:snapToGrid w:val="0"/>
          <w:lang w:eastAsia="zh-CN"/>
        </w:rPr>
        <w:t>定义，以及如何</w:t>
      </w:r>
      <w:r>
        <w:rPr>
          <w:rFonts w:hint="eastAsia" w:eastAsia="宋体"/>
          <w:snapToGrid w:val="0"/>
          <w:lang w:eastAsia="zh-CN"/>
        </w:rPr>
        <w:t>得知</w:t>
      </w:r>
      <w:r>
        <w:rPr>
          <w:rFonts w:eastAsia="宋体"/>
          <w:snapToGrid w:val="0"/>
          <w:lang w:eastAsia="zh-CN"/>
        </w:rPr>
        <w:t>方案</w:t>
      </w:r>
      <w:r>
        <w:rPr>
          <w:rFonts w:hint="eastAsia" w:eastAsia="宋体"/>
          <w:snapToGrid w:val="0"/>
          <w:lang w:eastAsia="zh-CN"/>
        </w:rPr>
        <w:t>发生</w:t>
      </w:r>
      <w:r>
        <w:rPr>
          <w:rFonts w:eastAsia="宋体"/>
          <w:snapToGrid w:val="0"/>
          <w:lang w:eastAsia="zh-CN"/>
        </w:rPr>
        <w:t>任何更改（即通过</w:t>
      </w:r>
      <w:r>
        <w:rPr>
          <w:rFonts w:hint="eastAsia" w:eastAsia="宋体"/>
          <w:snapToGrid w:val="0"/>
          <w:lang w:eastAsia="zh-CN"/>
        </w:rPr>
        <w:t>方案</w:t>
      </w:r>
      <w:r>
        <w:rPr>
          <w:rFonts w:eastAsia="宋体"/>
          <w:snapToGrid w:val="0"/>
          <w:lang w:eastAsia="zh-CN"/>
        </w:rPr>
        <w:t>和病例报告表）。</w:t>
      </w:r>
    </w:p>
    <w:p w14:paraId="0DE38508">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i w:val="0"/>
          <w:snapToGrid w:val="0"/>
          <w:lang w:eastAsia="zh-CN"/>
        </w:rPr>
      </w:pPr>
      <w:r>
        <w:rPr>
          <w:rFonts w:eastAsia="宋体"/>
          <w:snapToGrid w:val="0"/>
          <w:lang w:eastAsia="zh-CN"/>
        </w:rPr>
        <w:t>根据1998年7月22日循环系统</w:t>
      </w:r>
      <w:r>
        <w:rPr>
          <w:rFonts w:hint="eastAsia" w:eastAsia="宋体"/>
          <w:snapToGrid w:val="0"/>
          <w:lang w:eastAsia="zh-CN"/>
        </w:rPr>
        <w:t>器械</w:t>
      </w:r>
      <w:r>
        <w:rPr>
          <w:rFonts w:eastAsia="宋体"/>
          <w:snapToGrid w:val="0"/>
          <w:lang w:eastAsia="zh-CN"/>
        </w:rPr>
        <w:t>专家组的建议，在提交</w:t>
      </w:r>
      <w:r>
        <w:rPr>
          <w:rFonts w:hint="eastAsia" w:eastAsia="宋体"/>
          <w:snapToGrid w:val="0"/>
          <w:lang w:eastAsia="zh-CN"/>
        </w:rPr>
        <w:t>上市前批准</w:t>
      </w:r>
      <w:r>
        <w:rPr>
          <w:rFonts w:eastAsia="宋体"/>
          <w:snapToGrid w:val="0"/>
          <w:lang w:eastAsia="zh-CN"/>
        </w:rPr>
        <w:t>申请之前，FDA目前要求进行急性和长期（6个月）的随访。此外，FDA已经通知申办方，要求1年和2年的电话</w:t>
      </w:r>
      <w:r>
        <w:rPr>
          <w:rFonts w:hint="eastAsia" w:eastAsia="宋体"/>
          <w:snapToGrid w:val="0"/>
          <w:lang w:eastAsia="zh-CN"/>
        </w:rPr>
        <w:t>随访</w:t>
      </w:r>
      <w:r>
        <w:rPr>
          <w:rFonts w:eastAsia="宋体"/>
          <w:snapToGrid w:val="0"/>
          <w:lang w:eastAsia="zh-CN"/>
        </w:rPr>
        <w:t>作为批准条件，因此</w:t>
      </w:r>
      <w:r>
        <w:rPr>
          <w:rFonts w:hint="eastAsia" w:eastAsia="宋体"/>
          <w:snapToGrid w:val="0"/>
          <w:lang w:eastAsia="zh-CN"/>
        </w:rPr>
        <w:t>在</w:t>
      </w:r>
      <w:r>
        <w:rPr>
          <w:rFonts w:eastAsia="宋体"/>
          <w:snapToGrid w:val="0"/>
          <w:lang w:eastAsia="zh-CN"/>
        </w:rPr>
        <w:t>目前的研究</w:t>
      </w:r>
      <w:r>
        <w:rPr>
          <w:rFonts w:hint="eastAsia" w:eastAsia="宋体"/>
          <w:snapToGrid w:val="0"/>
          <w:lang w:eastAsia="zh-CN"/>
        </w:rPr>
        <w:t>设计</w:t>
      </w:r>
      <w:r>
        <w:rPr>
          <w:rFonts w:eastAsia="宋体"/>
          <w:snapToGrid w:val="0"/>
          <w:lang w:eastAsia="zh-CN"/>
        </w:rPr>
        <w:t>中，包括了</w:t>
      </w:r>
      <w:r>
        <w:rPr>
          <w:rFonts w:hint="eastAsia" w:eastAsia="宋体"/>
          <w:snapToGrid w:val="0"/>
          <w:lang w:eastAsia="zh-CN"/>
        </w:rPr>
        <w:t>这种</w:t>
      </w:r>
      <w:r>
        <w:rPr>
          <w:rFonts w:eastAsia="宋体"/>
          <w:snapToGrid w:val="0"/>
          <w:lang w:eastAsia="zh-CN"/>
        </w:rPr>
        <w:t>随访的病例报告表。申办方建议减少主要长期有效性终点</w:t>
      </w:r>
      <w:r>
        <w:rPr>
          <w:rFonts w:hint="eastAsia" w:eastAsia="宋体"/>
          <w:snapToGrid w:val="0"/>
          <w:lang w:eastAsia="zh-CN"/>
        </w:rPr>
        <w:t>和</w:t>
      </w:r>
      <w:r>
        <w:rPr>
          <w:rFonts w:eastAsia="宋体"/>
          <w:snapToGrid w:val="0"/>
          <w:lang w:eastAsia="zh-CN"/>
        </w:rPr>
        <w:t>批准后要求的</w:t>
      </w:r>
      <w:r>
        <w:rPr>
          <w:rFonts w:hint="eastAsia" w:eastAsia="宋体"/>
          <w:snapToGrid w:val="0"/>
          <w:lang w:eastAsia="zh-CN"/>
        </w:rPr>
        <w:t>随访时间</w:t>
      </w:r>
      <w:r>
        <w:rPr>
          <w:rFonts w:eastAsia="宋体"/>
          <w:snapToGrid w:val="0"/>
          <w:lang w:eastAsia="zh-CN"/>
        </w:rPr>
        <w:t>。</w:t>
      </w:r>
    </w:p>
    <w:p w14:paraId="53B459B6">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FDA</w:t>
      </w:r>
      <w:r>
        <w:rPr>
          <w:rFonts w:hint="eastAsia" w:eastAsia="宋体"/>
          <w:snapToGrid w:val="0"/>
          <w:lang w:eastAsia="zh-CN"/>
        </w:rPr>
        <w:t>同意</w:t>
      </w:r>
      <w:r>
        <w:rPr>
          <w:rFonts w:eastAsia="宋体"/>
          <w:snapToGrid w:val="0"/>
          <w:lang w:eastAsia="zh-CN"/>
        </w:rPr>
        <w:t>考虑</w:t>
      </w:r>
      <w:r>
        <w:rPr>
          <w:rFonts w:hint="eastAsia" w:eastAsia="宋体"/>
          <w:snapToGrid w:val="0"/>
          <w:lang w:eastAsia="zh-CN"/>
        </w:rPr>
        <w:t>取消</w:t>
      </w:r>
      <w:r>
        <w:rPr>
          <w:rFonts w:eastAsia="宋体"/>
          <w:snapToGrid w:val="0"/>
          <w:lang w:eastAsia="zh-CN"/>
        </w:rPr>
        <w:t>1年和／或2年电话随访的建议，以及缩短</w:t>
      </w:r>
      <w:r>
        <w:rPr>
          <w:rFonts w:hint="eastAsia" w:eastAsia="宋体"/>
          <w:snapToGrid w:val="0"/>
          <w:lang w:eastAsia="zh-CN"/>
        </w:rPr>
        <w:t>上市前</w:t>
      </w:r>
      <w:r>
        <w:rPr>
          <w:rFonts w:eastAsia="宋体"/>
          <w:snapToGrid w:val="0"/>
          <w:lang w:eastAsia="zh-CN"/>
        </w:rPr>
        <w:t>批准申请提交之前</w:t>
      </w:r>
      <w:r>
        <w:rPr>
          <w:rFonts w:hint="eastAsia" w:eastAsia="宋体"/>
          <w:snapToGrid w:val="0"/>
          <w:lang w:eastAsia="zh-CN"/>
        </w:rPr>
        <w:t>所需的</w:t>
      </w:r>
      <w:r>
        <w:rPr>
          <w:rFonts w:eastAsia="宋体"/>
          <w:snapToGrid w:val="0"/>
          <w:lang w:eastAsia="zh-CN"/>
        </w:rPr>
        <w:t>随访时间。受访者建议为期3个月的随访或</w:t>
      </w:r>
      <w:r>
        <w:rPr>
          <w:rFonts w:hint="eastAsia" w:eastAsia="宋体"/>
          <w:snapToGrid w:val="0"/>
          <w:lang w:eastAsia="zh-CN"/>
        </w:rPr>
        <w:t>者</w:t>
      </w:r>
      <w:r>
        <w:rPr>
          <w:rFonts w:ascii="宋体" w:hAnsi="宋体" w:eastAsia="宋体"/>
          <w:snapToGrid w:val="0"/>
          <w:lang w:eastAsia="zh-CN"/>
        </w:rPr>
        <w:t>“</w:t>
      </w:r>
      <w:r>
        <w:rPr>
          <w:rFonts w:hint="eastAsia" w:eastAsia="宋体"/>
          <w:snapToGrid w:val="0"/>
          <w:lang w:eastAsia="zh-CN"/>
        </w:rPr>
        <w:t>符合</w:t>
      </w:r>
      <w:r>
        <w:rPr>
          <w:rFonts w:eastAsia="宋体"/>
          <w:snapToGrid w:val="0"/>
          <w:lang w:eastAsia="zh-CN"/>
        </w:rPr>
        <w:t>临床实践</w:t>
      </w:r>
      <w:r>
        <w:rPr>
          <w:rFonts w:hint="eastAsia" w:eastAsia="宋体"/>
          <w:snapToGrid w:val="0"/>
          <w:lang w:eastAsia="zh-CN"/>
        </w:rPr>
        <w:t>的随访期</w:t>
      </w:r>
      <w:r>
        <w:rPr>
          <w:rFonts w:ascii="宋体" w:hAnsi="宋体" w:eastAsia="宋体"/>
          <w:snapToGrid w:val="0"/>
          <w:lang w:eastAsia="zh-CN"/>
        </w:rPr>
        <w:t>”</w:t>
      </w:r>
      <w:r>
        <w:rPr>
          <w:rFonts w:eastAsia="宋体"/>
          <w:snapToGrid w:val="0"/>
          <w:lang w:eastAsia="zh-CN"/>
        </w:rPr>
        <w:t>。如果贵公司</w:t>
      </w:r>
      <w:r>
        <w:rPr>
          <w:rFonts w:hint="eastAsia" w:eastAsia="宋体"/>
          <w:snapToGrid w:val="0"/>
          <w:lang w:eastAsia="zh-CN"/>
        </w:rPr>
        <w:t>计划缩短</w:t>
      </w:r>
      <w:r>
        <w:rPr>
          <w:rFonts w:eastAsia="宋体"/>
          <w:snapToGrid w:val="0"/>
          <w:lang w:eastAsia="zh-CN"/>
        </w:rPr>
        <w:t>或</w:t>
      </w:r>
      <w:r>
        <w:rPr>
          <w:rFonts w:hint="eastAsia" w:eastAsia="宋体"/>
          <w:snapToGrid w:val="0"/>
          <w:lang w:eastAsia="zh-CN"/>
        </w:rPr>
        <w:t>取消</w:t>
      </w:r>
      <w:r>
        <w:rPr>
          <w:rFonts w:eastAsia="宋体"/>
          <w:snapToGrid w:val="0"/>
          <w:lang w:eastAsia="zh-CN"/>
        </w:rPr>
        <w:t>电话随访，或将随访时间从6个月缩短至3个月以下，请提供科学有效的理由</w:t>
      </w:r>
      <w:r>
        <w:rPr>
          <w:rFonts w:hint="eastAsia" w:eastAsia="宋体"/>
          <w:snapToGrid w:val="0"/>
          <w:lang w:eastAsia="zh-CN"/>
        </w:rPr>
        <w:t>作为支持</w:t>
      </w:r>
      <w:r>
        <w:rPr>
          <w:rFonts w:eastAsia="宋体"/>
          <w:snapToGrid w:val="0"/>
          <w:lang w:eastAsia="zh-CN"/>
        </w:rPr>
        <w:t>。如果贵公司选择使用文献资料来支持此类请求，请证明贵公司的研究</w:t>
      </w:r>
      <w:r>
        <w:rPr>
          <w:rFonts w:hint="eastAsia" w:eastAsia="宋体"/>
          <w:snapToGrid w:val="0"/>
          <w:lang w:eastAsia="zh-CN"/>
        </w:rPr>
        <w:t>器械</w:t>
      </w:r>
      <w:r>
        <w:rPr>
          <w:rFonts w:eastAsia="宋体"/>
          <w:snapToGrid w:val="0"/>
          <w:lang w:eastAsia="zh-CN"/>
        </w:rPr>
        <w:t>与报告研究中</w:t>
      </w:r>
      <w:r>
        <w:rPr>
          <w:rFonts w:hint="eastAsia" w:eastAsia="宋体"/>
          <w:snapToGrid w:val="0"/>
          <w:lang w:eastAsia="zh-CN"/>
        </w:rPr>
        <w:t>器械</w:t>
      </w:r>
      <w:r>
        <w:rPr>
          <w:rFonts w:eastAsia="宋体"/>
          <w:snapToGrid w:val="0"/>
          <w:lang w:eastAsia="zh-CN"/>
        </w:rPr>
        <w:t>之间的差异。此外，在提交文献资料时，描述何时报告典型心房扑动</w:t>
      </w:r>
      <w:r>
        <w:rPr>
          <w:rFonts w:hint="eastAsia" w:eastAsia="宋体"/>
          <w:snapToGrid w:val="0"/>
          <w:lang w:eastAsia="zh-CN"/>
        </w:rPr>
        <w:t>的</w:t>
      </w:r>
      <w:r>
        <w:rPr>
          <w:rFonts w:eastAsia="宋体"/>
          <w:snapToGrid w:val="0"/>
          <w:lang w:eastAsia="zh-CN"/>
        </w:rPr>
        <w:t>复发情况</w:t>
      </w:r>
      <w:r>
        <w:rPr>
          <w:rFonts w:hint="eastAsia" w:eastAsia="宋体"/>
          <w:snapToGrid w:val="0"/>
          <w:lang w:eastAsia="zh-CN"/>
        </w:rPr>
        <w:t>很重要</w:t>
      </w:r>
      <w:r>
        <w:rPr>
          <w:rFonts w:eastAsia="宋体"/>
          <w:snapToGrid w:val="0"/>
          <w:lang w:eastAsia="zh-CN"/>
        </w:rPr>
        <w:t>，如果</w:t>
      </w:r>
      <w:r>
        <w:rPr>
          <w:rFonts w:hint="eastAsia" w:eastAsia="宋体"/>
          <w:snapToGrid w:val="0"/>
          <w:lang w:eastAsia="zh-CN"/>
        </w:rPr>
        <w:t>适用</w:t>
      </w:r>
      <w:r>
        <w:rPr>
          <w:rFonts w:eastAsia="宋体"/>
          <w:snapToGrid w:val="0"/>
          <w:lang w:eastAsia="zh-CN"/>
        </w:rPr>
        <w:t>，在随访分析中</w:t>
      </w:r>
      <w:r>
        <w:rPr>
          <w:rFonts w:hint="eastAsia" w:eastAsia="宋体"/>
          <w:snapToGrid w:val="0"/>
          <w:lang w:eastAsia="zh-CN"/>
        </w:rPr>
        <w:t>的</w:t>
      </w:r>
      <w:r>
        <w:rPr>
          <w:rFonts w:eastAsia="宋体"/>
          <w:snapToGrid w:val="0"/>
          <w:lang w:eastAsia="zh-CN"/>
        </w:rPr>
        <w:t>每个时间点</w:t>
      </w:r>
      <w:r>
        <w:rPr>
          <w:rFonts w:hint="eastAsia" w:eastAsia="宋体"/>
          <w:snapToGrid w:val="0"/>
          <w:lang w:eastAsia="zh-CN"/>
        </w:rPr>
        <w:t>添加</w:t>
      </w:r>
      <w:r>
        <w:rPr>
          <w:rFonts w:eastAsia="宋体"/>
          <w:snapToGrid w:val="0"/>
          <w:lang w:eastAsia="zh-CN"/>
        </w:rPr>
        <w:t>患者</w:t>
      </w:r>
      <w:r>
        <w:rPr>
          <w:rFonts w:hint="eastAsia" w:eastAsia="宋体"/>
          <w:snapToGrid w:val="0"/>
          <w:lang w:eastAsia="zh-CN"/>
        </w:rPr>
        <w:t>复发率</w:t>
      </w:r>
      <w:r>
        <w:rPr>
          <w:rFonts w:eastAsia="宋体"/>
          <w:snapToGrid w:val="0"/>
          <w:lang w:eastAsia="zh-CN"/>
        </w:rPr>
        <w:t>。如果贵公司打算</w:t>
      </w:r>
      <w:r>
        <w:rPr>
          <w:rFonts w:hint="eastAsia" w:eastAsia="宋体"/>
          <w:snapToGrid w:val="0"/>
          <w:lang w:eastAsia="zh-CN"/>
        </w:rPr>
        <w:t>提议</w:t>
      </w:r>
      <w:r>
        <w:rPr>
          <w:rFonts w:eastAsia="宋体"/>
          <w:snapToGrid w:val="0"/>
          <w:lang w:eastAsia="zh-CN"/>
        </w:rPr>
        <w:t>使用急性双向传导阻滞作为长期（6个月）有效性的替代终点，除了提供上述科学依据之外，</w:t>
      </w:r>
      <w:r>
        <w:rPr>
          <w:rFonts w:hint="eastAsia" w:eastAsia="宋体"/>
          <w:snapToGrid w:val="0"/>
          <w:lang w:eastAsia="zh-CN"/>
        </w:rPr>
        <w:t>还需向</w:t>
      </w:r>
      <w:r>
        <w:rPr>
          <w:rFonts w:eastAsia="宋体"/>
          <w:snapToGrid w:val="0"/>
          <w:lang w:eastAsia="zh-CN"/>
        </w:rPr>
        <w:t>FDA</w:t>
      </w:r>
      <w:r>
        <w:rPr>
          <w:rFonts w:hint="eastAsia" w:eastAsia="宋体"/>
          <w:snapToGrid w:val="0"/>
          <w:lang w:eastAsia="zh-CN"/>
        </w:rPr>
        <w:t>说明查明双向传导阻滞的各种方法的准确性。方案中</w:t>
      </w:r>
      <w:r>
        <w:rPr>
          <w:rFonts w:eastAsia="宋体"/>
          <w:snapToGrid w:val="0"/>
          <w:lang w:eastAsia="zh-CN"/>
        </w:rPr>
        <w:t>应</w:t>
      </w:r>
      <w:r>
        <w:rPr>
          <w:rFonts w:hint="eastAsia" w:eastAsia="宋体"/>
          <w:snapToGrid w:val="0"/>
          <w:lang w:eastAsia="zh-CN"/>
        </w:rPr>
        <w:t>至少</w:t>
      </w:r>
      <w:r>
        <w:rPr>
          <w:rFonts w:eastAsia="宋体"/>
          <w:snapToGrid w:val="0"/>
          <w:lang w:eastAsia="zh-CN"/>
        </w:rPr>
        <w:t>详细描述用于建</w:t>
      </w:r>
      <w:r>
        <w:rPr>
          <w:rFonts w:hint="eastAsia" w:eastAsia="宋体"/>
          <w:snapToGrid w:val="0"/>
          <w:lang w:eastAsia="zh-CN"/>
        </w:rPr>
        <w:t>定</w:t>
      </w:r>
      <w:r>
        <w:rPr>
          <w:rFonts w:eastAsia="宋体"/>
          <w:snapToGrid w:val="0"/>
          <w:lang w:eastAsia="zh-CN"/>
        </w:rPr>
        <w:t>双向传导</w:t>
      </w:r>
      <w:r>
        <w:rPr>
          <w:rFonts w:hint="eastAsia" w:eastAsia="宋体"/>
          <w:snapToGrid w:val="0"/>
          <w:lang w:eastAsia="zh-CN"/>
        </w:rPr>
        <w:t>阻滞</w:t>
      </w:r>
      <w:r>
        <w:rPr>
          <w:rFonts w:eastAsia="宋体"/>
          <w:snapToGrid w:val="0"/>
          <w:lang w:eastAsia="zh-CN"/>
        </w:rPr>
        <w:t>的可接受方法。另外，病例报告表还应包括</w:t>
      </w:r>
      <w:r>
        <w:rPr>
          <w:rFonts w:hint="eastAsia" w:eastAsia="宋体"/>
          <w:snapToGrid w:val="0"/>
          <w:lang w:eastAsia="zh-CN"/>
        </w:rPr>
        <w:t>说明采用的</w:t>
      </w:r>
      <w:r>
        <w:rPr>
          <w:rFonts w:eastAsia="宋体"/>
          <w:snapToGrid w:val="0"/>
          <w:lang w:eastAsia="zh-CN"/>
        </w:rPr>
        <w:t>方法</w:t>
      </w:r>
      <w:r>
        <w:rPr>
          <w:rFonts w:hint="eastAsia" w:eastAsia="宋体"/>
          <w:snapToGrid w:val="0"/>
          <w:lang w:eastAsia="zh-CN"/>
        </w:rPr>
        <w:t>的检查框、</w:t>
      </w:r>
      <w:r>
        <w:rPr>
          <w:rFonts w:eastAsia="宋体"/>
          <w:snapToGrid w:val="0"/>
          <w:lang w:eastAsia="zh-CN"/>
        </w:rPr>
        <w:t>方法是否发生偏离，</w:t>
      </w:r>
      <w:r>
        <w:rPr>
          <w:rFonts w:hint="eastAsia" w:eastAsia="宋体"/>
          <w:snapToGrid w:val="0"/>
          <w:lang w:eastAsia="zh-CN"/>
        </w:rPr>
        <w:t>并且对这些</w:t>
      </w:r>
      <w:r>
        <w:rPr>
          <w:rFonts w:eastAsia="宋体"/>
          <w:snapToGrid w:val="0"/>
          <w:lang w:eastAsia="zh-CN"/>
        </w:rPr>
        <w:t>偏差</w:t>
      </w:r>
      <w:r>
        <w:rPr>
          <w:rFonts w:hint="eastAsia" w:eastAsia="宋体"/>
          <w:snapToGrid w:val="0"/>
          <w:lang w:eastAsia="zh-CN"/>
        </w:rPr>
        <w:t>的</w:t>
      </w:r>
      <w:r>
        <w:rPr>
          <w:rFonts w:eastAsia="宋体"/>
          <w:snapToGrid w:val="0"/>
          <w:lang w:eastAsia="zh-CN"/>
        </w:rPr>
        <w:t>属性</w:t>
      </w:r>
      <w:r>
        <w:rPr>
          <w:rFonts w:hint="eastAsia" w:eastAsia="宋体"/>
          <w:snapToGrid w:val="0"/>
          <w:lang w:eastAsia="zh-CN"/>
        </w:rPr>
        <w:t>进行</w:t>
      </w:r>
      <w:r>
        <w:rPr>
          <w:rFonts w:eastAsia="宋体"/>
          <w:snapToGrid w:val="0"/>
          <w:lang w:eastAsia="zh-CN"/>
        </w:rPr>
        <w:t>评</w:t>
      </w:r>
      <w:r>
        <w:rPr>
          <w:rFonts w:hint="eastAsia" w:eastAsia="宋体"/>
          <w:snapToGrid w:val="0"/>
          <w:lang w:eastAsia="zh-CN"/>
        </w:rPr>
        <w:t>论</w:t>
      </w:r>
      <w:r>
        <w:rPr>
          <w:rFonts w:eastAsia="宋体"/>
          <w:snapToGrid w:val="0"/>
          <w:lang w:eastAsia="zh-CN"/>
        </w:rPr>
        <w:t>。</w:t>
      </w:r>
    </w:p>
    <w:p w14:paraId="48917986">
      <w:pPr>
        <w:rPr>
          <w:rFonts w:ascii="Arial" w:hAnsi="Arial" w:eastAsia="宋体" w:cs="Arial"/>
          <w:b/>
          <w:bCs/>
          <w:snapToGrid w:val="0"/>
          <w:sz w:val="32"/>
          <w:szCs w:val="32"/>
          <w:lang w:eastAsia="zh-CN"/>
        </w:rPr>
      </w:pPr>
      <w:r>
        <w:rPr>
          <w:rFonts w:eastAsia="宋体"/>
          <w:snapToGrid w:val="0"/>
          <w:lang w:eastAsia="zh-CN"/>
        </w:rPr>
        <w:br w:type="page"/>
      </w:r>
    </w:p>
    <w:p w14:paraId="5DD666DB">
      <w:pPr>
        <w:pStyle w:val="17"/>
        <w:shd w:val="clear" w:color="auto" w:fill="auto"/>
        <w:topLinePunct/>
        <w:adjustRightInd w:val="0"/>
        <w:snapToGrid w:val="0"/>
        <w:spacing w:before="0" w:after="270" w:afterLines="75" w:line="288" w:lineRule="auto"/>
        <w:jc w:val="both"/>
        <w:outlineLvl w:val="9"/>
        <w:rPr>
          <w:rFonts w:eastAsia="宋体"/>
          <w:snapToGrid w:val="0"/>
          <w:lang w:eastAsia="zh-CN"/>
        </w:rPr>
      </w:pPr>
      <w:r>
        <w:rPr>
          <w:rFonts w:hint="eastAsia" w:eastAsia="宋体"/>
          <w:snapToGrid w:val="0"/>
          <w:lang w:eastAsia="zh-CN"/>
        </w:rPr>
        <w:t>纳入</w:t>
      </w:r>
      <w:r>
        <w:rPr>
          <w:rFonts w:eastAsia="宋体"/>
          <w:snapToGrid w:val="0"/>
          <w:lang w:eastAsia="zh-CN"/>
        </w:rPr>
        <w:t>／</w:t>
      </w:r>
      <w:r>
        <w:rPr>
          <w:rFonts w:hint="eastAsia" w:eastAsia="宋体"/>
          <w:snapToGrid w:val="0"/>
          <w:lang w:eastAsia="zh-CN"/>
        </w:rPr>
        <w:t>排除</w:t>
      </w:r>
      <w:r>
        <w:rPr>
          <w:rFonts w:eastAsia="宋体"/>
          <w:snapToGrid w:val="0"/>
          <w:lang w:eastAsia="zh-CN"/>
        </w:rPr>
        <w:t>标准</w:t>
      </w:r>
    </w:p>
    <w:p w14:paraId="33F9570A">
      <w:pPr>
        <w:pStyle w:val="22"/>
        <w:numPr>
          <w:ilvl w:val="0"/>
          <w:numId w:val="2"/>
        </w:numPr>
        <w:shd w:val="clear" w:color="auto" w:fill="auto"/>
        <w:tabs>
          <w:tab w:val="left" w:pos="547"/>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目前，FDA要求在研究中仅</w:t>
      </w:r>
      <w:r>
        <w:rPr>
          <w:rFonts w:hint="eastAsia" w:eastAsia="宋体"/>
          <w:snapToGrid w:val="0"/>
          <w:lang w:eastAsia="zh-CN"/>
        </w:rPr>
        <w:t>纳入</w:t>
      </w:r>
      <w:r>
        <w:rPr>
          <w:rFonts w:hint="eastAsia" w:ascii="宋体" w:hAnsi="宋体" w:eastAsia="宋体"/>
          <w:snapToGrid w:val="0"/>
          <w:lang w:eastAsia="zh-CN"/>
        </w:rPr>
        <w:t>“</w:t>
      </w:r>
      <w:r>
        <w:rPr>
          <w:rFonts w:eastAsia="宋体"/>
          <w:snapToGrid w:val="0"/>
          <w:lang w:eastAsia="zh-CN"/>
        </w:rPr>
        <w:t>入组后12个月内出现2次或</w:t>
      </w:r>
      <w:r>
        <w:rPr>
          <w:rFonts w:hint="eastAsia" w:eastAsia="宋体"/>
          <w:snapToGrid w:val="0"/>
          <w:lang w:eastAsia="zh-CN"/>
        </w:rPr>
        <w:t>多次</w:t>
      </w:r>
      <w:r>
        <w:rPr>
          <w:rFonts w:eastAsia="宋体"/>
          <w:snapToGrid w:val="0"/>
          <w:lang w:eastAsia="zh-CN"/>
        </w:rPr>
        <w:t>典型心房扑动症状的患者，其中至少有一次</w:t>
      </w:r>
      <w:r>
        <w:rPr>
          <w:rFonts w:hint="eastAsia" w:eastAsia="宋体"/>
          <w:snapToGrid w:val="0"/>
          <w:lang w:eastAsia="zh-CN"/>
        </w:rPr>
        <w:t>发生在</w:t>
      </w:r>
      <w:r>
        <w:rPr>
          <w:rFonts w:eastAsia="宋体"/>
          <w:snapToGrid w:val="0"/>
          <w:lang w:eastAsia="zh-CN"/>
        </w:rPr>
        <w:t>入组6个月内</w:t>
      </w:r>
      <w:r>
        <w:rPr>
          <w:rFonts w:ascii="宋体" w:hAnsi="宋体" w:eastAsia="宋体"/>
          <w:snapToGrid w:val="0"/>
          <w:lang w:eastAsia="zh-CN"/>
        </w:rPr>
        <w:t>”</w:t>
      </w:r>
      <w:r>
        <w:rPr>
          <w:rFonts w:eastAsia="宋体"/>
          <w:snapToGrid w:val="0"/>
          <w:lang w:eastAsia="zh-CN"/>
        </w:rPr>
        <w:t>。申办方建议将</w:t>
      </w:r>
      <w:r>
        <w:rPr>
          <w:rFonts w:hint="eastAsia" w:eastAsia="宋体"/>
          <w:snapToGrid w:val="0"/>
          <w:lang w:eastAsia="zh-CN"/>
        </w:rPr>
        <w:t>招募</w:t>
      </w:r>
      <w:r>
        <w:rPr>
          <w:rFonts w:eastAsia="宋体"/>
          <w:snapToGrid w:val="0"/>
          <w:lang w:eastAsia="zh-CN"/>
        </w:rPr>
        <w:t>范围扩大到</w:t>
      </w:r>
      <w:r>
        <w:rPr>
          <w:rFonts w:ascii="宋体" w:hAnsi="宋体" w:eastAsia="宋体"/>
          <w:snapToGrid w:val="0"/>
          <w:lang w:eastAsia="zh-CN"/>
        </w:rPr>
        <w:t>“</w:t>
      </w:r>
      <w:r>
        <w:rPr>
          <w:rFonts w:eastAsia="宋体"/>
          <w:snapToGrid w:val="0"/>
          <w:lang w:eastAsia="zh-CN"/>
        </w:rPr>
        <w:t>入组12个月内只有1</w:t>
      </w:r>
      <w:r>
        <w:rPr>
          <w:rFonts w:hint="eastAsia" w:eastAsia="宋体"/>
          <w:snapToGrid w:val="0"/>
          <w:lang w:eastAsia="zh-CN"/>
        </w:rPr>
        <w:t>次出现</w:t>
      </w:r>
      <w:r>
        <w:rPr>
          <w:rFonts w:eastAsia="宋体"/>
          <w:snapToGrid w:val="0"/>
          <w:lang w:eastAsia="zh-CN"/>
        </w:rPr>
        <w:t>症状事件的患者</w:t>
      </w:r>
      <w:r>
        <w:rPr>
          <w:rFonts w:ascii="宋体" w:hAnsi="宋体" w:eastAsia="宋体"/>
          <w:snapToGrid w:val="0"/>
          <w:lang w:eastAsia="zh-CN"/>
        </w:rPr>
        <w:t>”</w:t>
      </w:r>
      <w:r>
        <w:rPr>
          <w:rFonts w:eastAsia="宋体"/>
          <w:snapToGrid w:val="0"/>
          <w:lang w:eastAsia="zh-CN"/>
        </w:rPr>
        <w:t>。</w:t>
      </w:r>
    </w:p>
    <w:p w14:paraId="5970552E">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1998年7月22日</w:t>
      </w:r>
      <w:r>
        <w:rPr>
          <w:rFonts w:hint="eastAsia" w:eastAsia="宋体"/>
          <w:snapToGrid w:val="0"/>
          <w:lang w:eastAsia="zh-CN"/>
        </w:rPr>
        <w:t>，</w:t>
      </w:r>
      <w:r>
        <w:rPr>
          <w:rFonts w:eastAsia="宋体"/>
          <w:snapToGrid w:val="0"/>
          <w:lang w:eastAsia="zh-CN"/>
        </w:rPr>
        <w:t>FDA的咨询</w:t>
      </w:r>
      <w:r>
        <w:rPr>
          <w:rFonts w:hint="eastAsia" w:eastAsia="宋体"/>
          <w:snapToGrid w:val="0"/>
          <w:lang w:eastAsia="zh-CN"/>
        </w:rPr>
        <w:t>小组表示</w:t>
      </w:r>
      <w:r>
        <w:rPr>
          <w:rFonts w:eastAsia="宋体"/>
          <w:snapToGrid w:val="0"/>
          <w:lang w:eastAsia="zh-CN"/>
        </w:rPr>
        <w:t>，他们希望确保患者处于典型心房扑动，并且患者报告的症状不反映某些其他疾病状态。因为目前的典型心房扑动患者的护理标准是</w:t>
      </w:r>
      <w:r>
        <w:rPr>
          <w:rFonts w:hint="eastAsia" w:eastAsia="宋体"/>
          <w:snapToGrid w:val="0"/>
          <w:lang w:eastAsia="zh-CN"/>
        </w:rPr>
        <w:t>在</w:t>
      </w:r>
      <w:r>
        <w:rPr>
          <w:rFonts w:eastAsia="宋体"/>
          <w:snapToGrid w:val="0"/>
          <w:lang w:eastAsia="zh-CN"/>
        </w:rPr>
        <w:t>一次症状发作记录</w:t>
      </w:r>
      <w:r>
        <w:rPr>
          <w:rFonts w:hint="eastAsia" w:eastAsia="宋体"/>
          <w:snapToGrid w:val="0"/>
          <w:lang w:eastAsia="zh-CN"/>
        </w:rPr>
        <w:t>之后</w:t>
      </w:r>
      <w:r>
        <w:rPr>
          <w:rFonts w:eastAsia="宋体"/>
          <w:snapToGrid w:val="0"/>
          <w:lang w:eastAsia="zh-CN"/>
        </w:rPr>
        <w:t>进行治疗</w:t>
      </w:r>
      <w:r>
        <w:rPr>
          <w:rFonts w:hint="eastAsia" w:eastAsia="宋体"/>
          <w:snapToGrid w:val="0"/>
          <w:lang w:eastAsia="zh-CN"/>
        </w:rPr>
        <w:t>，所以</w:t>
      </w:r>
      <w:r>
        <w:rPr>
          <w:rFonts w:eastAsia="宋体"/>
          <w:snapToGrid w:val="0"/>
          <w:lang w:eastAsia="zh-CN"/>
        </w:rPr>
        <w:t>FDA</w:t>
      </w:r>
      <w:r>
        <w:rPr>
          <w:rFonts w:hint="eastAsia" w:eastAsia="宋体"/>
          <w:snapToGrid w:val="0"/>
          <w:lang w:eastAsia="zh-CN"/>
        </w:rPr>
        <w:t>同意将</w:t>
      </w:r>
      <w:r>
        <w:rPr>
          <w:rFonts w:eastAsia="宋体"/>
          <w:snapToGrid w:val="0"/>
          <w:lang w:eastAsia="zh-CN"/>
        </w:rPr>
        <w:t>有一次症状发作记录的患者纳入</w:t>
      </w:r>
      <w:r>
        <w:rPr>
          <w:rFonts w:hint="eastAsia" w:eastAsia="宋体"/>
          <w:snapToGrid w:val="0"/>
          <w:lang w:eastAsia="zh-CN"/>
        </w:rPr>
        <w:t>临床</w:t>
      </w:r>
      <w:r>
        <w:rPr>
          <w:rFonts w:eastAsia="宋体"/>
          <w:snapToGrid w:val="0"/>
          <w:lang w:eastAsia="zh-CN"/>
        </w:rPr>
        <w:t>研究</w:t>
      </w:r>
      <w:r>
        <w:rPr>
          <w:rFonts w:hint="eastAsia" w:eastAsia="宋体"/>
          <w:snapToGrid w:val="0"/>
          <w:lang w:eastAsia="zh-CN"/>
        </w:rPr>
        <w:t>很合适。</w:t>
      </w:r>
      <w:r>
        <w:rPr>
          <w:rFonts w:eastAsia="宋体"/>
          <w:snapToGrid w:val="0"/>
          <w:lang w:eastAsia="zh-CN"/>
        </w:rPr>
        <w:t>然而，FDA目前尚不清楚申办方是否已</w:t>
      </w:r>
      <w:r>
        <w:rPr>
          <w:rFonts w:hint="eastAsia" w:eastAsia="宋体"/>
          <w:snapToGrid w:val="0"/>
          <w:lang w:eastAsia="zh-CN"/>
        </w:rPr>
        <w:t>将在入组</w:t>
      </w:r>
      <w:r>
        <w:rPr>
          <w:rFonts w:eastAsia="宋体"/>
          <w:snapToGrid w:val="0"/>
          <w:lang w:eastAsia="zh-CN"/>
        </w:rPr>
        <w:t>前超过6个月发生典型心房扑动的患者纳入</w:t>
      </w:r>
      <w:r>
        <w:rPr>
          <w:rFonts w:hint="eastAsia" w:eastAsia="宋体"/>
          <w:snapToGrid w:val="0"/>
          <w:lang w:eastAsia="zh-CN"/>
        </w:rPr>
        <w:t>临床</w:t>
      </w:r>
      <w:r>
        <w:rPr>
          <w:rFonts w:eastAsia="宋体"/>
          <w:snapToGrid w:val="0"/>
          <w:lang w:eastAsia="zh-CN"/>
        </w:rPr>
        <w:t>研究。申办方提供的筛选数据表明，只有很小比例的患者受到这种变化的影响。如果贵公司希望将这些更改</w:t>
      </w:r>
      <w:r>
        <w:rPr>
          <w:rFonts w:hint="eastAsia" w:eastAsia="宋体"/>
          <w:snapToGrid w:val="0"/>
          <w:lang w:eastAsia="zh-CN"/>
        </w:rPr>
        <w:t>包含进</w:t>
      </w:r>
      <w:r>
        <w:rPr>
          <w:rFonts w:eastAsia="宋体"/>
          <w:snapToGrid w:val="0"/>
          <w:lang w:eastAsia="zh-CN"/>
        </w:rPr>
        <w:t>纳入标准，请提供科学有效的理由</w:t>
      </w:r>
      <w:r>
        <w:rPr>
          <w:rFonts w:hint="eastAsia" w:eastAsia="宋体"/>
          <w:snapToGrid w:val="0"/>
          <w:lang w:eastAsia="zh-CN"/>
        </w:rPr>
        <w:t>就</w:t>
      </w:r>
      <w:r>
        <w:rPr>
          <w:rFonts w:eastAsia="宋体"/>
          <w:snapToGrid w:val="0"/>
          <w:lang w:eastAsia="zh-CN"/>
        </w:rPr>
        <w:t>FDA的担忧</w:t>
      </w:r>
      <w:r>
        <w:rPr>
          <w:rFonts w:hint="eastAsia" w:eastAsia="宋体"/>
          <w:snapToGrid w:val="0"/>
          <w:lang w:eastAsia="zh-CN"/>
        </w:rPr>
        <w:t>进行解释说明，以</w:t>
      </w:r>
      <w:r>
        <w:rPr>
          <w:rFonts w:eastAsia="宋体"/>
          <w:snapToGrid w:val="0"/>
          <w:lang w:eastAsia="zh-CN"/>
        </w:rPr>
        <w:t>支持</w:t>
      </w:r>
      <w:r>
        <w:rPr>
          <w:rFonts w:hint="eastAsia" w:eastAsia="宋体"/>
          <w:snapToGrid w:val="0"/>
          <w:lang w:eastAsia="zh-CN"/>
        </w:rPr>
        <w:t>贵公司</w:t>
      </w:r>
      <w:r>
        <w:rPr>
          <w:rFonts w:eastAsia="宋体"/>
          <w:snapToGrid w:val="0"/>
          <w:lang w:eastAsia="zh-CN"/>
        </w:rPr>
        <w:t>的此类要求。</w:t>
      </w:r>
    </w:p>
    <w:p w14:paraId="6F3B9D9B">
      <w:pPr>
        <w:pStyle w:val="22"/>
        <w:numPr>
          <w:ilvl w:val="0"/>
          <w:numId w:val="2"/>
        </w:numPr>
        <w:shd w:val="clear" w:color="auto" w:fill="auto"/>
        <w:tabs>
          <w:tab w:val="left" w:pos="547"/>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目前，FDA要求在</w:t>
      </w:r>
      <w:r>
        <w:rPr>
          <w:rFonts w:hint="eastAsia" w:eastAsia="宋体"/>
          <w:snapToGrid w:val="0"/>
          <w:lang w:eastAsia="zh-CN"/>
        </w:rPr>
        <w:t>临床</w:t>
      </w:r>
      <w:r>
        <w:rPr>
          <w:rFonts w:eastAsia="宋体"/>
          <w:snapToGrid w:val="0"/>
          <w:lang w:eastAsia="zh-CN"/>
        </w:rPr>
        <w:t>研究中仅包括</w:t>
      </w:r>
      <w:r>
        <w:rPr>
          <w:rFonts w:hint="eastAsia" w:eastAsia="宋体"/>
          <w:snapToGrid w:val="0"/>
          <w:lang w:eastAsia="zh-CN"/>
        </w:rPr>
        <w:t>单纯</w:t>
      </w:r>
      <w:r>
        <w:rPr>
          <w:rFonts w:eastAsia="宋体"/>
          <w:snapToGrid w:val="0"/>
          <w:lang w:eastAsia="zh-CN"/>
        </w:rPr>
        <w:t>典型心房扑动的患者（即不需要在入组前三个月内进行伴</w:t>
      </w:r>
      <w:r>
        <w:rPr>
          <w:rFonts w:hint="eastAsia" w:eastAsia="宋体"/>
          <w:snapToGrid w:val="0"/>
          <w:lang w:eastAsia="zh-CN"/>
        </w:rPr>
        <w:t>发</w:t>
      </w:r>
      <w:r>
        <w:rPr>
          <w:rFonts w:eastAsia="宋体"/>
          <w:snapToGrid w:val="0"/>
          <w:lang w:eastAsia="zh-CN"/>
        </w:rPr>
        <w:t>心律失常的积极治疗或</w:t>
      </w:r>
      <w:r>
        <w:rPr>
          <w:rFonts w:hint="eastAsia" w:eastAsia="宋体"/>
          <w:snapToGrid w:val="0"/>
          <w:lang w:eastAsia="zh-CN"/>
        </w:rPr>
        <w:t>者</w:t>
      </w:r>
      <w:r>
        <w:rPr>
          <w:rFonts w:eastAsia="宋体"/>
          <w:snapToGrid w:val="0"/>
          <w:lang w:eastAsia="zh-CN"/>
        </w:rPr>
        <w:t>预期</w:t>
      </w:r>
      <w:r>
        <w:rPr>
          <w:rFonts w:hint="eastAsia" w:eastAsia="宋体"/>
          <w:snapToGrid w:val="0"/>
          <w:lang w:eastAsia="zh-CN"/>
        </w:rPr>
        <w:t>不</w:t>
      </w:r>
      <w:r>
        <w:rPr>
          <w:rFonts w:eastAsia="宋体"/>
          <w:snapToGrid w:val="0"/>
          <w:lang w:eastAsia="zh-CN"/>
        </w:rPr>
        <w:t>需要</w:t>
      </w:r>
      <w:r>
        <w:rPr>
          <w:rFonts w:hint="eastAsia" w:eastAsia="宋体"/>
          <w:snapToGrid w:val="0"/>
          <w:lang w:eastAsia="zh-CN"/>
        </w:rPr>
        <w:t>进行</w:t>
      </w:r>
      <w:r>
        <w:rPr>
          <w:rFonts w:eastAsia="宋体"/>
          <w:snapToGrid w:val="0"/>
          <w:lang w:eastAsia="zh-CN"/>
        </w:rPr>
        <w:t>该项治疗）。申办方</w:t>
      </w:r>
      <w:r>
        <w:rPr>
          <w:rFonts w:hint="eastAsia" w:eastAsia="宋体"/>
          <w:snapToGrid w:val="0"/>
          <w:lang w:eastAsia="zh-CN"/>
        </w:rPr>
        <w:t>建议将招募范围扩大为包括</w:t>
      </w:r>
      <w:r>
        <w:rPr>
          <w:rFonts w:hint="eastAsia" w:ascii="宋体" w:hAnsi="宋体" w:eastAsia="宋体"/>
          <w:snapToGrid w:val="0"/>
          <w:lang w:eastAsia="zh-CN"/>
        </w:rPr>
        <w:t>“</w:t>
      </w:r>
      <w:r>
        <w:rPr>
          <w:rFonts w:hint="eastAsia" w:eastAsia="宋体"/>
          <w:snapToGrid w:val="0"/>
          <w:lang w:eastAsia="zh-CN"/>
        </w:rPr>
        <w:t>典型（顺钟向或逆钟向）</w:t>
      </w:r>
      <w:r>
        <w:rPr>
          <w:rFonts w:eastAsia="宋体"/>
          <w:snapToGrid w:val="0"/>
          <w:lang w:eastAsia="zh-CN"/>
        </w:rPr>
        <w:t>心房扑动患者以及</w:t>
      </w:r>
      <w:r>
        <w:rPr>
          <w:rFonts w:hint="eastAsia" w:eastAsia="宋体"/>
          <w:snapToGrid w:val="0"/>
          <w:lang w:eastAsia="zh-CN"/>
        </w:rPr>
        <w:t>口服</w:t>
      </w:r>
      <w:r>
        <w:rPr>
          <w:rFonts w:eastAsia="宋体"/>
          <w:snapToGrid w:val="0"/>
          <w:lang w:eastAsia="zh-CN"/>
        </w:rPr>
        <w:t>IA</w:t>
      </w:r>
      <w:r>
        <w:rPr>
          <w:rFonts w:hint="eastAsia" w:eastAsia="宋体"/>
          <w:snapToGrid w:val="0"/>
          <w:lang w:eastAsia="zh-CN"/>
        </w:rPr>
        <w:t>、</w:t>
      </w:r>
      <w:r>
        <w:rPr>
          <w:rFonts w:eastAsia="宋体"/>
          <w:snapToGrid w:val="0"/>
          <w:lang w:eastAsia="zh-CN"/>
        </w:rPr>
        <w:t>IC和III</w:t>
      </w:r>
      <w:r>
        <w:rPr>
          <w:rFonts w:hint="eastAsia" w:eastAsia="宋体"/>
          <w:snapToGrid w:val="0"/>
          <w:lang w:eastAsia="zh-CN"/>
        </w:rPr>
        <w:t>类抗心律失常药物（</w:t>
      </w:r>
      <w:r>
        <w:rPr>
          <w:rFonts w:eastAsia="宋体"/>
          <w:snapToGrid w:val="0"/>
          <w:lang w:eastAsia="zh-CN"/>
        </w:rPr>
        <w:t>AAD</w:t>
      </w:r>
      <w:r>
        <w:rPr>
          <w:rFonts w:hint="eastAsia" w:eastAsia="宋体"/>
          <w:snapToGrid w:val="0"/>
          <w:lang w:eastAsia="zh-CN"/>
        </w:rPr>
        <w:t>）</w:t>
      </w:r>
      <w:r>
        <w:rPr>
          <w:rFonts w:eastAsia="宋体"/>
          <w:snapToGrid w:val="0"/>
          <w:lang w:eastAsia="zh-CN"/>
        </w:rPr>
        <w:t>用于</w:t>
      </w:r>
      <w:r>
        <w:rPr>
          <w:rFonts w:hint="eastAsia" w:eastAsia="宋体"/>
          <w:snapToGrid w:val="0"/>
          <w:lang w:eastAsia="zh-CN"/>
        </w:rPr>
        <w:t>治疗</w:t>
      </w:r>
      <w:r>
        <w:rPr>
          <w:rFonts w:eastAsia="宋体"/>
          <w:snapToGrid w:val="0"/>
          <w:lang w:eastAsia="zh-CN"/>
        </w:rPr>
        <w:t>伴</w:t>
      </w:r>
      <w:r>
        <w:rPr>
          <w:rFonts w:hint="eastAsia" w:eastAsia="宋体"/>
          <w:snapToGrid w:val="0"/>
          <w:lang w:eastAsia="zh-CN"/>
        </w:rPr>
        <w:t>发</w:t>
      </w:r>
      <w:r>
        <w:rPr>
          <w:rFonts w:eastAsia="宋体"/>
          <w:snapToGrid w:val="0"/>
          <w:lang w:eastAsia="zh-CN"/>
        </w:rPr>
        <w:t>心房纤颤（AFib）</w:t>
      </w:r>
      <w:r>
        <w:rPr>
          <w:rFonts w:hint="eastAsia" w:eastAsia="宋体"/>
          <w:snapToGrid w:val="0"/>
          <w:lang w:eastAsia="zh-CN"/>
        </w:rPr>
        <w:t>但仍然发</w:t>
      </w:r>
      <w:r>
        <w:rPr>
          <w:rFonts w:eastAsia="宋体"/>
          <w:snapToGrid w:val="0"/>
          <w:lang w:eastAsia="zh-CN"/>
        </w:rPr>
        <w:t>生了典型心房扑动</w:t>
      </w:r>
      <w:r>
        <w:rPr>
          <w:rFonts w:hint="eastAsia" w:eastAsia="宋体"/>
          <w:snapToGrid w:val="0"/>
          <w:lang w:eastAsia="zh-CN"/>
        </w:rPr>
        <w:t>的</w:t>
      </w:r>
      <w:r>
        <w:rPr>
          <w:rFonts w:eastAsia="宋体"/>
          <w:snapToGrid w:val="0"/>
          <w:lang w:eastAsia="zh-CN"/>
        </w:rPr>
        <w:t>患者</w:t>
      </w:r>
      <w:r>
        <w:rPr>
          <w:rFonts w:hint="eastAsia" w:ascii="宋体" w:hAnsi="宋体" w:eastAsia="宋体"/>
          <w:snapToGrid w:val="0"/>
          <w:lang w:eastAsia="zh-CN"/>
        </w:rPr>
        <w:t>”</w:t>
      </w:r>
      <w:r>
        <w:rPr>
          <w:rFonts w:hint="eastAsia" w:eastAsia="宋体"/>
          <w:snapToGrid w:val="0"/>
          <w:lang w:eastAsia="zh-CN"/>
        </w:rPr>
        <w:t>。</w:t>
      </w:r>
    </w:p>
    <w:p w14:paraId="0375A57F">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根据我们目前的理解，典型心房扑动和心房纤颤确实与疾病过程相关联，这对于FDA</w:t>
      </w:r>
      <w:r>
        <w:rPr>
          <w:rFonts w:hint="eastAsia" w:eastAsia="宋体"/>
          <w:snapToGrid w:val="0"/>
          <w:lang w:eastAsia="zh-CN"/>
        </w:rPr>
        <w:t>来说</w:t>
      </w:r>
      <w:r>
        <w:rPr>
          <w:rFonts w:eastAsia="宋体"/>
          <w:snapToGrid w:val="0"/>
          <w:lang w:eastAsia="zh-CN"/>
        </w:rPr>
        <w:t>是可以接受的。FDA还</w:t>
      </w:r>
      <w:r>
        <w:rPr>
          <w:rFonts w:hint="eastAsia" w:eastAsia="宋体"/>
          <w:snapToGrid w:val="0"/>
          <w:lang w:eastAsia="zh-CN"/>
        </w:rPr>
        <w:t>了解</w:t>
      </w:r>
      <w:r>
        <w:rPr>
          <w:rFonts w:eastAsia="宋体"/>
          <w:snapToGrid w:val="0"/>
          <w:lang w:eastAsia="zh-CN"/>
        </w:rPr>
        <w:t>到，典型心房扑动患者经常伴有心房纤颤以外的心律失常。FDA认为，在随访期间接受积极治疗或更改其AAD方案的患者，无论</w:t>
      </w:r>
      <w:r>
        <w:rPr>
          <w:rFonts w:hint="eastAsia" w:eastAsia="宋体"/>
          <w:snapToGrid w:val="0"/>
          <w:lang w:eastAsia="zh-CN"/>
        </w:rPr>
        <w:t>何种</w:t>
      </w:r>
      <w:r>
        <w:rPr>
          <w:rFonts w:eastAsia="宋体"/>
          <w:snapToGrid w:val="0"/>
          <w:lang w:eastAsia="zh-CN"/>
        </w:rPr>
        <w:t>原因，都应视为</w:t>
      </w:r>
      <w:r>
        <w:rPr>
          <w:rFonts w:hint="eastAsia" w:eastAsia="宋体"/>
          <w:snapToGrid w:val="0"/>
          <w:lang w:eastAsia="zh-CN"/>
        </w:rPr>
        <w:t>在</w:t>
      </w:r>
      <w:r>
        <w:rPr>
          <w:rFonts w:eastAsia="宋体"/>
          <w:snapToGrid w:val="0"/>
          <w:lang w:eastAsia="zh-CN"/>
        </w:rPr>
        <w:t>长期有效</w:t>
      </w:r>
      <w:r>
        <w:rPr>
          <w:rFonts w:hint="eastAsia" w:eastAsia="宋体"/>
          <w:snapToGrid w:val="0"/>
          <w:lang w:eastAsia="zh-CN"/>
        </w:rPr>
        <w:t>性</w:t>
      </w:r>
      <w:r>
        <w:rPr>
          <w:rFonts w:eastAsia="宋体"/>
          <w:snapToGrid w:val="0"/>
          <w:lang w:eastAsia="zh-CN"/>
        </w:rPr>
        <w:t>终点</w:t>
      </w:r>
      <w:r>
        <w:rPr>
          <w:rFonts w:hint="eastAsia" w:eastAsia="宋体"/>
          <w:snapToGrid w:val="0"/>
          <w:lang w:eastAsia="zh-CN"/>
        </w:rPr>
        <w:t>，</w:t>
      </w:r>
      <w:r>
        <w:rPr>
          <w:rFonts w:eastAsia="宋体"/>
          <w:snapToGrid w:val="0"/>
          <w:lang w:eastAsia="zh-CN"/>
        </w:rPr>
        <w:t>典型心房扑动消融失败。另外FDA还不清楚如果研究人群包括</w:t>
      </w:r>
      <w:r>
        <w:rPr>
          <w:rFonts w:hint="eastAsia" w:eastAsia="宋体"/>
          <w:snapToGrid w:val="0"/>
          <w:lang w:eastAsia="zh-CN"/>
        </w:rPr>
        <w:t>病症严</w:t>
      </w:r>
      <w:r>
        <w:rPr>
          <w:rFonts w:eastAsia="宋体"/>
          <w:snapToGrid w:val="0"/>
          <w:lang w:eastAsia="zh-CN"/>
        </w:rPr>
        <w:t>重的患者（</w:t>
      </w:r>
      <w:r>
        <w:rPr>
          <w:rFonts w:hint="eastAsia" w:eastAsia="宋体"/>
          <w:snapToGrid w:val="0"/>
          <w:lang w:eastAsia="zh-CN"/>
        </w:rPr>
        <w:t>附带</w:t>
      </w:r>
      <w:r>
        <w:rPr>
          <w:rFonts w:eastAsia="宋体"/>
          <w:snapToGrid w:val="0"/>
          <w:lang w:eastAsia="zh-CN"/>
        </w:rPr>
        <w:t>心房纤颤的患者）</w:t>
      </w:r>
      <w:r>
        <w:rPr>
          <w:rFonts w:hint="eastAsia" w:eastAsia="宋体"/>
          <w:snapToGrid w:val="0"/>
          <w:lang w:eastAsia="zh-CN"/>
        </w:rPr>
        <w:t>，</w:t>
      </w:r>
      <w:r>
        <w:rPr>
          <w:rFonts w:eastAsia="宋体"/>
          <w:snapToGrid w:val="0"/>
          <w:lang w:eastAsia="zh-CN"/>
        </w:rPr>
        <w:t>目前的目标</w:t>
      </w:r>
      <w:r>
        <w:rPr>
          <w:rFonts w:hint="eastAsia" w:eastAsia="宋体"/>
          <w:snapToGrid w:val="0"/>
          <w:lang w:eastAsia="zh-CN"/>
        </w:rPr>
        <w:t>值法（</w:t>
      </w:r>
      <w:r>
        <w:rPr>
          <w:rFonts w:eastAsia="宋体"/>
          <w:snapToGrid w:val="0"/>
          <w:lang w:eastAsia="zh-CN"/>
        </w:rPr>
        <w:t>OPC</w:t>
      </w:r>
      <w:r>
        <w:rPr>
          <w:rFonts w:hint="eastAsia" w:eastAsia="宋体"/>
          <w:snapToGrid w:val="0"/>
          <w:lang w:eastAsia="zh-CN"/>
        </w:rPr>
        <w:t>）是否适用于</w:t>
      </w:r>
      <w:r>
        <w:rPr>
          <w:rFonts w:eastAsia="宋体"/>
          <w:snapToGrid w:val="0"/>
          <w:lang w:eastAsia="zh-CN"/>
        </w:rPr>
        <w:t>安全性的评估。如果贵公司打算扩大研究范围</w:t>
      </w:r>
      <w:r>
        <w:rPr>
          <w:rFonts w:hint="eastAsia" w:eastAsia="宋体"/>
          <w:snapToGrid w:val="0"/>
          <w:lang w:eastAsia="zh-CN"/>
        </w:rPr>
        <w:t>，纳入</w:t>
      </w:r>
      <w:r>
        <w:rPr>
          <w:rFonts w:eastAsia="宋体"/>
          <w:snapToGrid w:val="0"/>
          <w:lang w:eastAsia="zh-CN"/>
        </w:rPr>
        <w:t>心房纤颤患者，请说明贵公司计划如何解决</w:t>
      </w:r>
      <w:r>
        <w:rPr>
          <w:rFonts w:hint="eastAsia" w:eastAsia="宋体"/>
          <w:snapToGrid w:val="0"/>
          <w:lang w:eastAsia="zh-CN"/>
        </w:rPr>
        <w:t>由于</w:t>
      </w:r>
      <w:r>
        <w:rPr>
          <w:rFonts w:eastAsia="宋体"/>
          <w:snapToGrid w:val="0"/>
          <w:lang w:eastAsia="zh-CN"/>
        </w:rPr>
        <w:t>治疗这种心律失常对典型心房扑动长期有效性终点的影响，以及安全性目标</w:t>
      </w:r>
      <w:r>
        <w:rPr>
          <w:rFonts w:hint="eastAsia" w:eastAsia="宋体"/>
          <w:snapToGrid w:val="0"/>
          <w:lang w:eastAsia="zh-CN"/>
        </w:rPr>
        <w:t>值法会</w:t>
      </w:r>
      <w:r>
        <w:rPr>
          <w:rFonts w:eastAsia="宋体"/>
          <w:snapToGrid w:val="0"/>
          <w:lang w:eastAsia="zh-CN"/>
        </w:rPr>
        <w:t>受到</w:t>
      </w:r>
      <w:r>
        <w:rPr>
          <w:rFonts w:hint="eastAsia" w:eastAsia="宋体"/>
          <w:snapToGrid w:val="0"/>
          <w:lang w:eastAsia="zh-CN"/>
        </w:rPr>
        <w:t>怎样</w:t>
      </w:r>
      <w:r>
        <w:rPr>
          <w:rFonts w:eastAsia="宋体"/>
          <w:snapToGrid w:val="0"/>
          <w:lang w:eastAsia="zh-CN"/>
        </w:rPr>
        <w:t>的影响</w:t>
      </w:r>
      <w:r>
        <w:rPr>
          <w:rFonts w:hint="eastAsia" w:eastAsia="宋体"/>
          <w:snapToGrid w:val="0"/>
          <w:lang w:eastAsia="zh-CN"/>
        </w:rPr>
        <w:t>（如果有</w:t>
      </w:r>
      <w:r>
        <w:rPr>
          <w:rFonts w:eastAsia="宋体"/>
          <w:snapToGrid w:val="0"/>
          <w:lang w:eastAsia="zh-CN"/>
        </w:rPr>
        <w:t>的话</w:t>
      </w:r>
      <w:r>
        <w:rPr>
          <w:rFonts w:hint="eastAsia" w:eastAsia="宋体"/>
          <w:snapToGrid w:val="0"/>
          <w:lang w:eastAsia="zh-CN"/>
        </w:rPr>
        <w:t>）</w:t>
      </w:r>
      <w:r>
        <w:rPr>
          <w:rFonts w:eastAsia="宋体"/>
          <w:snapToGrid w:val="0"/>
          <w:lang w:eastAsia="zh-CN"/>
        </w:rPr>
        <w:t>。</w:t>
      </w:r>
    </w:p>
    <w:p w14:paraId="1AFD17CD">
      <w:pPr>
        <w:rPr>
          <w:rFonts w:ascii="Arial" w:hAnsi="Arial" w:eastAsia="宋体" w:cs="Arial"/>
          <w:i/>
          <w:iCs/>
          <w:snapToGrid w:val="0"/>
          <w:lang w:eastAsia="zh-CN"/>
        </w:rPr>
      </w:pPr>
      <w:r>
        <w:rPr>
          <w:rFonts w:eastAsia="宋体"/>
          <w:snapToGrid w:val="0"/>
          <w:lang w:eastAsia="zh-CN"/>
        </w:rPr>
        <w:br w:type="page"/>
      </w:r>
    </w:p>
    <w:p w14:paraId="1AAB9BA8">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i w:val="0"/>
          <w:iCs w:val="0"/>
          <w:snapToGrid w:val="0"/>
          <w:lang w:eastAsia="zh-CN"/>
        </w:rPr>
      </w:pPr>
      <w:r>
        <w:rPr>
          <w:rFonts w:eastAsia="宋体"/>
          <w:snapToGrid w:val="0"/>
          <w:lang w:eastAsia="zh-CN"/>
        </w:rPr>
        <w:t>目前，FDA要求将</w:t>
      </w:r>
      <w:r>
        <w:rPr>
          <w:rFonts w:hint="eastAsia" w:eastAsia="宋体"/>
          <w:snapToGrid w:val="0"/>
          <w:lang w:eastAsia="zh-CN"/>
        </w:rPr>
        <w:t>需</w:t>
      </w:r>
      <w:r>
        <w:rPr>
          <w:rFonts w:eastAsia="宋体"/>
          <w:snapToGrid w:val="0"/>
          <w:lang w:eastAsia="zh-CN"/>
        </w:rPr>
        <w:t>坚持服用</w:t>
      </w:r>
      <w:r>
        <w:rPr>
          <w:rFonts w:hint="eastAsia" w:eastAsia="宋体"/>
          <w:snapToGrid w:val="0"/>
          <w:lang w:eastAsia="zh-CN"/>
        </w:rPr>
        <w:t>抗</w:t>
      </w:r>
      <w:r>
        <w:rPr>
          <w:rFonts w:eastAsia="宋体"/>
          <w:snapToGrid w:val="0"/>
          <w:lang w:eastAsia="zh-CN"/>
        </w:rPr>
        <w:t>心律不齐药物或预期需要</w:t>
      </w:r>
      <w:r>
        <w:rPr>
          <w:rFonts w:hint="eastAsia" w:eastAsia="宋体"/>
          <w:snapToGrid w:val="0"/>
          <w:lang w:eastAsia="zh-CN"/>
        </w:rPr>
        <w:t>抗</w:t>
      </w:r>
      <w:r>
        <w:rPr>
          <w:rFonts w:eastAsia="宋体"/>
          <w:snapToGrid w:val="0"/>
          <w:lang w:eastAsia="zh-CN"/>
        </w:rPr>
        <w:t>心律不齐药物（用于</w:t>
      </w:r>
      <w:r>
        <w:rPr>
          <w:rFonts w:hint="eastAsia" w:eastAsia="宋体"/>
          <w:snapToGrid w:val="0"/>
          <w:lang w:eastAsia="zh-CN"/>
        </w:rPr>
        <w:t>治疗并发的</w:t>
      </w:r>
      <w:r>
        <w:rPr>
          <w:rFonts w:eastAsia="宋体"/>
          <w:snapToGrid w:val="0"/>
          <w:lang w:eastAsia="zh-CN"/>
        </w:rPr>
        <w:t>心律失常）</w:t>
      </w:r>
      <w:r>
        <w:rPr>
          <w:rFonts w:hint="eastAsia" w:eastAsia="宋体"/>
          <w:snapToGrid w:val="0"/>
          <w:lang w:eastAsia="zh-CN"/>
        </w:rPr>
        <w:t>的</w:t>
      </w:r>
      <w:r>
        <w:rPr>
          <w:rFonts w:eastAsia="宋体"/>
          <w:snapToGrid w:val="0"/>
          <w:lang w:eastAsia="zh-CN"/>
        </w:rPr>
        <w:t>患者排除在研究设计之外。申办方建议扩大</w:t>
      </w:r>
      <w:r>
        <w:rPr>
          <w:rFonts w:hint="eastAsia" w:eastAsia="宋体"/>
          <w:snapToGrid w:val="0"/>
          <w:lang w:eastAsia="zh-CN"/>
        </w:rPr>
        <w:t>入组人数</w:t>
      </w:r>
      <w:r>
        <w:rPr>
          <w:rFonts w:eastAsia="宋体"/>
          <w:snapToGrid w:val="0"/>
          <w:lang w:eastAsia="zh-CN"/>
        </w:rPr>
        <w:t>，仅排除那些</w:t>
      </w:r>
      <w:r>
        <w:rPr>
          <w:rFonts w:hint="eastAsia" w:eastAsia="宋体"/>
          <w:snapToGrid w:val="0"/>
          <w:lang w:eastAsia="zh-CN"/>
        </w:rPr>
        <w:t>由于</w:t>
      </w:r>
      <w:r>
        <w:rPr>
          <w:rFonts w:eastAsia="宋体"/>
          <w:snapToGrid w:val="0"/>
          <w:lang w:eastAsia="zh-CN"/>
        </w:rPr>
        <w:t>心房扑动</w:t>
      </w:r>
      <w:r>
        <w:rPr>
          <w:rFonts w:hint="eastAsia" w:eastAsia="宋体"/>
          <w:snapToGrid w:val="0"/>
          <w:lang w:eastAsia="zh-CN"/>
        </w:rPr>
        <w:t>、室上性心动过速</w:t>
      </w:r>
      <w:r>
        <w:rPr>
          <w:rFonts w:eastAsia="宋体"/>
          <w:snapToGrid w:val="0"/>
          <w:lang w:eastAsia="zh-CN"/>
        </w:rPr>
        <w:t>或</w:t>
      </w:r>
      <w:r>
        <w:rPr>
          <w:rFonts w:hint="eastAsia" w:eastAsia="宋体"/>
          <w:snapToGrid w:val="0"/>
          <w:lang w:eastAsia="zh-CN"/>
        </w:rPr>
        <w:t>室性心动过速而需</w:t>
      </w:r>
      <w:r>
        <w:rPr>
          <w:rFonts w:eastAsia="宋体"/>
          <w:snapToGrid w:val="0"/>
          <w:lang w:eastAsia="zh-CN"/>
        </w:rPr>
        <w:t>坚持服用</w:t>
      </w:r>
      <w:r>
        <w:rPr>
          <w:rFonts w:hint="eastAsia" w:eastAsia="宋体"/>
          <w:snapToGrid w:val="0"/>
          <w:lang w:eastAsia="zh-CN"/>
        </w:rPr>
        <w:t>抗</w:t>
      </w:r>
      <w:r>
        <w:rPr>
          <w:rFonts w:eastAsia="宋体"/>
          <w:snapToGrid w:val="0"/>
          <w:lang w:eastAsia="zh-CN"/>
        </w:rPr>
        <w:t>心律不齐药物的患者。</w:t>
      </w:r>
    </w:p>
    <w:p w14:paraId="3D1B359E">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如上述问题5所述，FDA担心在消融随访期间治疗</w:t>
      </w:r>
      <w:r>
        <w:rPr>
          <w:rFonts w:hint="eastAsia" w:eastAsia="宋体"/>
          <w:snapToGrid w:val="0"/>
          <w:lang w:eastAsia="zh-CN"/>
        </w:rPr>
        <w:t>伴发心律失常</w:t>
      </w:r>
      <w:r>
        <w:rPr>
          <w:rFonts w:eastAsia="宋体"/>
          <w:snapToGrid w:val="0"/>
          <w:lang w:eastAsia="zh-CN"/>
        </w:rPr>
        <w:t>（包括</w:t>
      </w:r>
      <w:r>
        <w:rPr>
          <w:rFonts w:hint="eastAsia" w:eastAsia="宋体"/>
          <w:iCs/>
          <w:snapToGrid w:val="0"/>
          <w:lang w:eastAsia="zh-CN"/>
        </w:rPr>
        <w:t>室上性心动过速</w:t>
      </w:r>
      <w:r>
        <w:rPr>
          <w:rFonts w:eastAsia="宋体"/>
          <w:iCs/>
          <w:snapToGrid w:val="0"/>
          <w:lang w:eastAsia="zh-CN"/>
        </w:rPr>
        <w:t>或</w:t>
      </w:r>
      <w:r>
        <w:rPr>
          <w:rFonts w:hint="eastAsia" w:eastAsia="宋体"/>
          <w:iCs/>
          <w:snapToGrid w:val="0"/>
          <w:lang w:eastAsia="zh-CN"/>
        </w:rPr>
        <w:t>室性心动过速</w:t>
      </w:r>
      <w:r>
        <w:rPr>
          <w:rFonts w:eastAsia="宋体"/>
          <w:snapToGrid w:val="0"/>
          <w:lang w:eastAsia="zh-CN"/>
        </w:rPr>
        <w:t>）将影响典型心房扑动消融术</w:t>
      </w:r>
      <w:r>
        <w:rPr>
          <w:rFonts w:hint="eastAsia" w:eastAsia="宋体"/>
          <w:snapToGrid w:val="0"/>
          <w:lang w:eastAsia="zh-CN"/>
        </w:rPr>
        <w:t>的</w:t>
      </w:r>
      <w:r>
        <w:rPr>
          <w:rFonts w:eastAsia="宋体"/>
          <w:snapToGrid w:val="0"/>
          <w:lang w:eastAsia="zh-CN"/>
        </w:rPr>
        <w:t>有效性的评估。如果贵公司打算扩大</w:t>
      </w:r>
      <w:r>
        <w:rPr>
          <w:rFonts w:hint="eastAsia" w:eastAsia="宋体"/>
          <w:snapToGrid w:val="0"/>
          <w:lang w:eastAsia="zh-CN"/>
        </w:rPr>
        <w:t>临床</w:t>
      </w:r>
      <w:r>
        <w:rPr>
          <w:rFonts w:eastAsia="宋体"/>
          <w:snapToGrid w:val="0"/>
          <w:lang w:eastAsia="zh-CN"/>
        </w:rPr>
        <w:t>研究范围，</w:t>
      </w:r>
      <w:r>
        <w:rPr>
          <w:rFonts w:hint="eastAsia" w:eastAsia="宋体"/>
          <w:snapToGrid w:val="0"/>
          <w:lang w:eastAsia="zh-CN"/>
        </w:rPr>
        <w:t>增加</w:t>
      </w:r>
      <w:r>
        <w:rPr>
          <w:rFonts w:eastAsia="宋体"/>
          <w:snapToGrid w:val="0"/>
          <w:lang w:eastAsia="zh-CN"/>
        </w:rPr>
        <w:t>可能需要</w:t>
      </w:r>
      <w:r>
        <w:rPr>
          <w:rFonts w:hint="eastAsia" w:eastAsia="宋体"/>
          <w:snapToGrid w:val="0"/>
          <w:lang w:eastAsia="zh-CN"/>
        </w:rPr>
        <w:t>服用</w:t>
      </w:r>
      <w:r>
        <w:rPr>
          <w:rFonts w:hint="eastAsia" w:eastAsia="宋体"/>
          <w:iCs/>
          <w:snapToGrid w:val="0"/>
          <w:lang w:eastAsia="zh-CN"/>
        </w:rPr>
        <w:t>抗</w:t>
      </w:r>
      <w:r>
        <w:rPr>
          <w:rFonts w:eastAsia="宋体"/>
          <w:iCs/>
          <w:snapToGrid w:val="0"/>
          <w:lang w:eastAsia="zh-CN"/>
        </w:rPr>
        <w:t>心律不齐药物</w:t>
      </w:r>
      <w:r>
        <w:rPr>
          <w:rFonts w:hint="eastAsia" w:eastAsia="宋体"/>
          <w:iCs/>
          <w:snapToGrid w:val="0"/>
          <w:lang w:eastAsia="zh-CN"/>
        </w:rPr>
        <w:t>治疗</w:t>
      </w:r>
      <w:r>
        <w:rPr>
          <w:rFonts w:eastAsia="宋体"/>
          <w:snapToGrid w:val="0"/>
          <w:color w:val="333333"/>
          <w:lang w:eastAsia="zh-CN"/>
        </w:rPr>
        <w:t>非房颤伴发心律失常</w:t>
      </w:r>
      <w:r>
        <w:rPr>
          <w:rFonts w:eastAsia="宋体"/>
          <w:snapToGrid w:val="0"/>
          <w:lang w:eastAsia="zh-CN"/>
        </w:rPr>
        <w:t>的患者</w:t>
      </w:r>
      <w:r>
        <w:rPr>
          <w:rFonts w:hint="eastAsia" w:eastAsia="宋体"/>
          <w:snapToGrid w:val="0"/>
          <w:lang w:eastAsia="zh-CN"/>
        </w:rPr>
        <w:t>，则</w:t>
      </w:r>
      <w:r>
        <w:rPr>
          <w:rFonts w:eastAsia="宋体"/>
          <w:snapToGrid w:val="0"/>
          <w:lang w:eastAsia="zh-CN"/>
        </w:rPr>
        <w:t>请说明如何解决</w:t>
      </w:r>
      <w:r>
        <w:rPr>
          <w:rFonts w:hint="eastAsia" w:eastAsia="宋体"/>
          <w:snapToGrid w:val="0"/>
          <w:lang w:eastAsia="zh-CN"/>
        </w:rPr>
        <w:t>服用或</w:t>
      </w:r>
      <w:r>
        <w:rPr>
          <w:rFonts w:eastAsia="宋体"/>
          <w:snapToGrid w:val="0"/>
          <w:lang w:eastAsia="zh-CN"/>
        </w:rPr>
        <w:t>增加</w:t>
      </w:r>
      <w:r>
        <w:rPr>
          <w:rFonts w:hint="eastAsia" w:eastAsia="宋体"/>
          <w:iCs/>
          <w:snapToGrid w:val="0"/>
          <w:lang w:eastAsia="zh-CN"/>
        </w:rPr>
        <w:t>抗</w:t>
      </w:r>
      <w:r>
        <w:rPr>
          <w:rFonts w:eastAsia="宋体"/>
          <w:iCs/>
          <w:snapToGrid w:val="0"/>
          <w:lang w:eastAsia="zh-CN"/>
        </w:rPr>
        <w:t>心律不齐药物</w:t>
      </w:r>
      <w:r>
        <w:rPr>
          <w:rFonts w:hint="eastAsia" w:eastAsia="宋体"/>
          <w:iCs/>
          <w:snapToGrid w:val="0"/>
          <w:lang w:eastAsia="zh-CN"/>
        </w:rPr>
        <w:t>的</w:t>
      </w:r>
      <w:r>
        <w:rPr>
          <w:rFonts w:eastAsia="宋体"/>
          <w:snapToGrid w:val="0"/>
          <w:lang w:eastAsia="zh-CN"/>
        </w:rPr>
        <w:t>服用对典型心房扑动长期有效性终点的影响。</w:t>
      </w:r>
    </w:p>
    <w:p w14:paraId="787BD59B">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以前，FDA要求排除</w:t>
      </w:r>
      <w:r>
        <w:rPr>
          <w:rFonts w:hint="eastAsia" w:eastAsia="宋体"/>
          <w:snapToGrid w:val="0"/>
          <w:lang w:eastAsia="zh-CN"/>
        </w:rPr>
        <w:t>有</w:t>
      </w:r>
      <w:r>
        <w:rPr>
          <w:rFonts w:eastAsia="宋体"/>
          <w:snapToGrid w:val="0"/>
          <w:lang w:eastAsia="zh-CN"/>
        </w:rPr>
        <w:t>消融失败史</w:t>
      </w:r>
      <w:r>
        <w:rPr>
          <w:rFonts w:hint="eastAsia" w:eastAsia="宋体"/>
          <w:snapToGrid w:val="0"/>
          <w:lang w:eastAsia="zh-CN"/>
        </w:rPr>
        <w:t>的</w:t>
      </w:r>
      <w:r>
        <w:rPr>
          <w:rFonts w:eastAsia="宋体"/>
          <w:snapToGrid w:val="0"/>
          <w:lang w:eastAsia="zh-CN"/>
        </w:rPr>
        <w:t>患者。申办方建议扩大入组人数，包括以前</w:t>
      </w:r>
      <w:r>
        <w:rPr>
          <w:rFonts w:hint="eastAsia" w:eastAsia="宋体"/>
          <w:snapToGrid w:val="0"/>
          <w:lang w:eastAsia="zh-CN"/>
        </w:rPr>
        <w:t>接受过</w:t>
      </w:r>
      <w:r>
        <w:rPr>
          <w:rFonts w:eastAsia="宋体"/>
          <w:snapToGrid w:val="0"/>
          <w:lang w:eastAsia="zh-CN"/>
        </w:rPr>
        <w:t>消融</w:t>
      </w:r>
      <w:r>
        <w:rPr>
          <w:rFonts w:hint="eastAsia" w:eastAsia="宋体"/>
          <w:snapToGrid w:val="0"/>
          <w:lang w:eastAsia="zh-CN"/>
        </w:rPr>
        <w:t>术</w:t>
      </w:r>
      <w:r>
        <w:rPr>
          <w:rFonts w:eastAsia="宋体"/>
          <w:snapToGrid w:val="0"/>
          <w:lang w:eastAsia="zh-CN"/>
        </w:rPr>
        <w:t>的患者。</w:t>
      </w:r>
    </w:p>
    <w:p w14:paraId="6EB4B58B">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FDA认为，</w:t>
      </w:r>
      <w:r>
        <w:rPr>
          <w:rFonts w:hint="eastAsia" w:eastAsia="宋体"/>
          <w:snapToGrid w:val="0"/>
          <w:lang w:eastAsia="zh-CN"/>
        </w:rPr>
        <w:t>之</w:t>
      </w:r>
      <w:r>
        <w:rPr>
          <w:rFonts w:eastAsia="宋体"/>
          <w:snapToGrid w:val="0"/>
          <w:lang w:eastAsia="zh-CN"/>
        </w:rPr>
        <w:t>前</w:t>
      </w:r>
      <w:r>
        <w:rPr>
          <w:rFonts w:hint="eastAsia" w:eastAsia="宋体"/>
          <w:snapToGrid w:val="0"/>
          <w:lang w:eastAsia="zh-CN"/>
        </w:rPr>
        <w:t>消融</w:t>
      </w:r>
      <w:r>
        <w:rPr>
          <w:rFonts w:eastAsia="宋体"/>
          <w:snapToGrid w:val="0"/>
          <w:lang w:eastAsia="zh-CN"/>
        </w:rPr>
        <w:t>失败的患者可能更难治疗，并且这些患者的入组可能会混淆有效性结果。此外，FDA</w:t>
      </w:r>
      <w:r>
        <w:rPr>
          <w:rFonts w:hint="eastAsia" w:eastAsia="宋体"/>
          <w:snapToGrid w:val="0"/>
          <w:lang w:eastAsia="zh-CN"/>
        </w:rPr>
        <w:t>还</w:t>
      </w:r>
      <w:r>
        <w:rPr>
          <w:rFonts w:eastAsia="宋体"/>
          <w:snapToGrid w:val="0"/>
          <w:lang w:eastAsia="zh-CN"/>
        </w:rPr>
        <w:t>担心如果</w:t>
      </w:r>
      <w:r>
        <w:rPr>
          <w:rFonts w:hint="eastAsia" w:eastAsia="宋体"/>
          <w:snapToGrid w:val="0"/>
          <w:lang w:eastAsia="zh-CN"/>
        </w:rPr>
        <w:t>通过</w:t>
      </w:r>
      <w:r>
        <w:rPr>
          <w:rFonts w:eastAsia="宋体"/>
          <w:snapToGrid w:val="0"/>
          <w:lang w:eastAsia="zh-CN"/>
        </w:rPr>
        <w:t>以前的消融</w:t>
      </w:r>
      <w:r>
        <w:rPr>
          <w:rFonts w:hint="eastAsia" w:eastAsia="宋体"/>
          <w:snapToGrid w:val="0"/>
          <w:lang w:eastAsia="zh-CN"/>
        </w:rPr>
        <w:t>术</w:t>
      </w:r>
      <w:r>
        <w:rPr>
          <w:rFonts w:eastAsia="宋体"/>
          <w:snapToGrid w:val="0"/>
          <w:lang w:eastAsia="zh-CN"/>
        </w:rPr>
        <w:t>尚未</w:t>
      </w:r>
      <w:r>
        <w:rPr>
          <w:rFonts w:hint="eastAsia" w:eastAsia="宋体"/>
          <w:snapToGrid w:val="0"/>
          <w:lang w:eastAsia="zh-CN"/>
        </w:rPr>
        <w:t>完全</w:t>
      </w:r>
      <w:r>
        <w:rPr>
          <w:rFonts w:eastAsia="宋体"/>
          <w:snapToGrid w:val="0"/>
          <w:lang w:eastAsia="zh-CN"/>
        </w:rPr>
        <w:t>治愈，</w:t>
      </w:r>
      <w:r>
        <w:rPr>
          <w:rFonts w:hint="eastAsia" w:eastAsia="宋体"/>
          <w:snapToGrid w:val="0"/>
          <w:lang w:eastAsia="zh-CN"/>
        </w:rPr>
        <w:t>则</w:t>
      </w:r>
      <w:r>
        <w:rPr>
          <w:rFonts w:eastAsia="宋体"/>
          <w:snapToGrid w:val="0"/>
          <w:lang w:eastAsia="zh-CN"/>
        </w:rPr>
        <w:t>组织重建可能会影响典型心房扑动消融手术过程。如果贵公司</w:t>
      </w:r>
      <w:r>
        <w:rPr>
          <w:rFonts w:hint="eastAsia" w:eastAsia="宋体"/>
          <w:snapToGrid w:val="0"/>
          <w:lang w:eastAsia="zh-CN"/>
        </w:rPr>
        <w:t>打算</w:t>
      </w:r>
      <w:r>
        <w:rPr>
          <w:rFonts w:eastAsia="宋体"/>
          <w:snapToGrid w:val="0"/>
          <w:lang w:eastAsia="zh-CN"/>
        </w:rPr>
        <w:t>扩大</w:t>
      </w:r>
      <w:r>
        <w:rPr>
          <w:rFonts w:hint="eastAsia" w:eastAsia="宋体"/>
          <w:snapToGrid w:val="0"/>
          <w:lang w:eastAsia="zh-CN"/>
        </w:rPr>
        <w:t>临床</w:t>
      </w:r>
      <w:r>
        <w:rPr>
          <w:rFonts w:eastAsia="宋体"/>
          <w:snapToGrid w:val="0"/>
          <w:lang w:eastAsia="zh-CN"/>
        </w:rPr>
        <w:t>研究范围</w:t>
      </w:r>
      <w:r>
        <w:rPr>
          <w:rFonts w:hint="eastAsia" w:eastAsia="宋体"/>
          <w:snapToGrid w:val="0"/>
          <w:lang w:eastAsia="zh-CN"/>
        </w:rPr>
        <w:t>，纳入</w:t>
      </w:r>
      <w:r>
        <w:rPr>
          <w:rFonts w:eastAsia="宋体"/>
          <w:snapToGrid w:val="0"/>
          <w:lang w:eastAsia="zh-CN"/>
        </w:rPr>
        <w:t>之前失败的患者，请</w:t>
      </w:r>
      <w:r>
        <w:rPr>
          <w:rFonts w:hint="eastAsia" w:eastAsia="宋体"/>
          <w:snapToGrid w:val="0"/>
          <w:lang w:eastAsia="zh-CN"/>
        </w:rPr>
        <w:t>说明</w:t>
      </w:r>
      <w:r>
        <w:rPr>
          <w:rFonts w:eastAsia="宋体"/>
          <w:snapToGrid w:val="0"/>
          <w:lang w:eastAsia="zh-CN"/>
        </w:rPr>
        <w:t>如何解决上述问题</w:t>
      </w:r>
      <w:r>
        <w:rPr>
          <w:rFonts w:hint="eastAsia" w:eastAsia="宋体"/>
          <w:snapToGrid w:val="0"/>
          <w:lang w:eastAsia="zh-CN"/>
        </w:rPr>
        <w:t>来</w:t>
      </w:r>
      <w:r>
        <w:rPr>
          <w:rFonts w:eastAsia="宋体"/>
          <w:snapToGrid w:val="0"/>
          <w:lang w:eastAsia="zh-CN"/>
        </w:rPr>
        <w:t>支持贵公司的请求。</w:t>
      </w:r>
    </w:p>
    <w:p w14:paraId="0795BEF9">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目前，FDA要求，如果永久性</w:t>
      </w:r>
      <w:r>
        <w:rPr>
          <w:rFonts w:hint="eastAsia" w:eastAsia="宋体"/>
          <w:snapToGrid w:val="0"/>
          <w:lang w:eastAsia="zh-CN"/>
        </w:rPr>
        <w:t>导线在</w:t>
      </w:r>
      <w:r>
        <w:rPr>
          <w:rFonts w:eastAsia="宋体"/>
          <w:snapToGrid w:val="0"/>
          <w:lang w:eastAsia="zh-CN"/>
        </w:rPr>
        <w:t>患者</w:t>
      </w:r>
      <w:r>
        <w:rPr>
          <w:rFonts w:hint="eastAsia" w:eastAsia="宋体"/>
          <w:snapToGrid w:val="0"/>
          <w:lang w:eastAsia="zh-CN"/>
        </w:rPr>
        <w:t>的</w:t>
      </w:r>
      <w:r>
        <w:rPr>
          <w:rFonts w:eastAsia="宋体"/>
          <w:snapToGrid w:val="0"/>
          <w:lang w:eastAsia="zh-CN"/>
        </w:rPr>
        <w:t>右心房内或</w:t>
      </w:r>
      <w:r>
        <w:rPr>
          <w:rFonts w:hint="eastAsia" w:eastAsia="宋体"/>
          <w:snapToGrid w:val="0"/>
          <w:lang w:eastAsia="zh-CN"/>
        </w:rPr>
        <w:t>通过</w:t>
      </w:r>
      <w:r>
        <w:rPr>
          <w:rFonts w:eastAsia="宋体"/>
          <w:snapToGrid w:val="0"/>
          <w:lang w:eastAsia="zh-CN"/>
        </w:rPr>
        <w:t>右心房，则</w:t>
      </w:r>
      <w:r>
        <w:rPr>
          <w:rFonts w:hint="eastAsia" w:eastAsia="宋体"/>
          <w:snapToGrid w:val="0"/>
          <w:lang w:eastAsia="zh-CN"/>
        </w:rPr>
        <w:t>患者</w:t>
      </w:r>
      <w:r>
        <w:rPr>
          <w:rFonts w:eastAsia="宋体"/>
          <w:snapToGrid w:val="0"/>
          <w:lang w:eastAsia="zh-CN"/>
        </w:rPr>
        <w:t>应排除</w:t>
      </w:r>
      <w:r>
        <w:rPr>
          <w:rFonts w:hint="eastAsia" w:eastAsia="宋体"/>
          <w:snapToGrid w:val="0"/>
          <w:lang w:eastAsia="zh-CN"/>
        </w:rPr>
        <w:t>在该类临床</w:t>
      </w:r>
      <w:r>
        <w:rPr>
          <w:rFonts w:eastAsia="宋体"/>
          <w:snapToGrid w:val="0"/>
          <w:lang w:eastAsia="zh-CN"/>
        </w:rPr>
        <w:t>研究之外。申办方建议扩大入组人数，</w:t>
      </w:r>
      <w:r>
        <w:rPr>
          <w:rFonts w:hint="eastAsia" w:eastAsia="宋体"/>
          <w:snapToGrid w:val="0"/>
          <w:lang w:eastAsia="zh-CN"/>
        </w:rPr>
        <w:t>纳入</w:t>
      </w:r>
      <w:r>
        <w:rPr>
          <w:rFonts w:eastAsia="宋体"/>
          <w:snapToGrid w:val="0"/>
          <w:lang w:eastAsia="zh-CN"/>
        </w:rPr>
        <w:t>右心房内</w:t>
      </w:r>
      <w:r>
        <w:rPr>
          <w:rFonts w:hint="eastAsia" w:eastAsia="宋体"/>
          <w:snapToGrid w:val="0"/>
          <w:lang w:eastAsia="zh-CN"/>
        </w:rPr>
        <w:t>有</w:t>
      </w:r>
      <w:r>
        <w:rPr>
          <w:rFonts w:eastAsia="宋体"/>
          <w:snapToGrid w:val="0"/>
          <w:lang w:eastAsia="zh-CN"/>
        </w:rPr>
        <w:t>永久性导</w:t>
      </w:r>
      <w:r>
        <w:rPr>
          <w:rFonts w:hint="eastAsia" w:eastAsia="宋体"/>
          <w:snapToGrid w:val="0"/>
          <w:lang w:eastAsia="zh-CN"/>
        </w:rPr>
        <w:t>线</w:t>
      </w:r>
      <w:r>
        <w:rPr>
          <w:rFonts w:eastAsia="宋体"/>
          <w:snapToGrid w:val="0"/>
          <w:lang w:eastAsia="zh-CN"/>
        </w:rPr>
        <w:t>或</w:t>
      </w:r>
      <w:r>
        <w:rPr>
          <w:rFonts w:hint="eastAsia" w:eastAsia="宋体"/>
          <w:snapToGrid w:val="0"/>
          <w:lang w:eastAsia="zh-CN"/>
        </w:rPr>
        <w:t>其通过</w:t>
      </w:r>
      <w:r>
        <w:rPr>
          <w:rFonts w:eastAsia="宋体"/>
          <w:snapToGrid w:val="0"/>
          <w:lang w:eastAsia="zh-CN"/>
        </w:rPr>
        <w:t>右心房</w:t>
      </w:r>
      <w:r>
        <w:rPr>
          <w:rFonts w:hint="eastAsia" w:eastAsia="宋体"/>
          <w:snapToGrid w:val="0"/>
          <w:lang w:eastAsia="zh-CN"/>
        </w:rPr>
        <w:t>的</w:t>
      </w:r>
      <w:r>
        <w:rPr>
          <w:rFonts w:eastAsia="宋体"/>
          <w:snapToGrid w:val="0"/>
          <w:lang w:eastAsia="zh-CN"/>
        </w:rPr>
        <w:t>患者。</w:t>
      </w:r>
    </w:p>
    <w:p w14:paraId="3876F380">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FDA认为，这种变化可能会增加由于</w:t>
      </w:r>
      <w:r>
        <w:rPr>
          <w:rFonts w:hint="eastAsia" w:eastAsia="宋体"/>
          <w:snapToGrid w:val="0"/>
          <w:lang w:eastAsia="zh-CN"/>
        </w:rPr>
        <w:t>导线</w:t>
      </w:r>
      <w:r>
        <w:rPr>
          <w:rFonts w:eastAsia="宋体"/>
          <w:snapToGrid w:val="0"/>
          <w:lang w:eastAsia="zh-CN"/>
        </w:rPr>
        <w:t>缠结引起的不良事件。此外，</w:t>
      </w:r>
      <w:r>
        <w:rPr>
          <w:rFonts w:hint="eastAsia" w:eastAsia="宋体"/>
          <w:snapToGrid w:val="0"/>
          <w:lang w:eastAsia="zh-CN"/>
        </w:rPr>
        <w:t>根据招募</w:t>
      </w:r>
      <w:r>
        <w:rPr>
          <w:rFonts w:eastAsia="宋体"/>
          <w:snapToGrid w:val="0"/>
          <w:lang w:eastAsia="zh-CN"/>
        </w:rPr>
        <w:t>提供的筛选数据，只有很小比例的患者会受到这一变化的影响。目前，FDA仍然认为，由于</w:t>
      </w:r>
      <w:r>
        <w:rPr>
          <w:rFonts w:hint="eastAsia" w:eastAsia="宋体"/>
          <w:snapToGrid w:val="0"/>
          <w:lang w:eastAsia="zh-CN"/>
        </w:rPr>
        <w:t>会</w:t>
      </w:r>
      <w:r>
        <w:rPr>
          <w:rFonts w:eastAsia="宋体"/>
          <w:snapToGrid w:val="0"/>
          <w:lang w:eastAsia="zh-CN"/>
        </w:rPr>
        <w:t>增加这些患者的安全</w:t>
      </w:r>
      <w:r>
        <w:rPr>
          <w:rFonts w:hint="eastAsia" w:eastAsia="宋体"/>
          <w:snapToGrid w:val="0"/>
          <w:lang w:eastAsia="zh-CN"/>
        </w:rPr>
        <w:t>风险</w:t>
      </w:r>
      <w:r>
        <w:rPr>
          <w:rFonts w:eastAsia="宋体"/>
          <w:snapToGrid w:val="0"/>
          <w:lang w:eastAsia="zh-CN"/>
        </w:rPr>
        <w:t>，应排除在右心房内</w:t>
      </w:r>
      <w:r>
        <w:rPr>
          <w:rFonts w:hint="eastAsia" w:eastAsia="宋体"/>
          <w:snapToGrid w:val="0"/>
          <w:lang w:eastAsia="zh-CN"/>
        </w:rPr>
        <w:t>有</w:t>
      </w:r>
      <w:r>
        <w:rPr>
          <w:rFonts w:eastAsia="宋体"/>
          <w:snapToGrid w:val="0"/>
          <w:lang w:eastAsia="zh-CN"/>
        </w:rPr>
        <w:t>永久性导联或</w:t>
      </w:r>
      <w:r>
        <w:rPr>
          <w:rFonts w:hint="eastAsia" w:eastAsia="宋体"/>
          <w:snapToGrid w:val="0"/>
          <w:lang w:eastAsia="zh-CN"/>
        </w:rPr>
        <w:t>其</w:t>
      </w:r>
      <w:r>
        <w:rPr>
          <w:rFonts w:eastAsia="宋体"/>
          <w:snapToGrid w:val="0"/>
          <w:lang w:eastAsia="zh-CN"/>
        </w:rPr>
        <w:t>通过右心房的患者。</w:t>
      </w:r>
    </w:p>
    <w:p w14:paraId="2178DD76">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snapToGrid w:val="0"/>
          <w:lang w:eastAsia="zh-CN"/>
        </w:rPr>
      </w:pPr>
      <w:r>
        <w:rPr>
          <w:rFonts w:eastAsia="宋体"/>
          <w:snapToGrid w:val="0"/>
          <w:lang w:eastAsia="zh-CN"/>
        </w:rPr>
        <w:t>目前，FDA要求</w:t>
      </w:r>
      <w:r>
        <w:rPr>
          <w:rFonts w:hint="eastAsia" w:eastAsia="宋体"/>
          <w:snapToGrid w:val="0"/>
          <w:lang w:eastAsia="zh-CN"/>
        </w:rPr>
        <w:t>临床</w:t>
      </w:r>
      <w:r>
        <w:rPr>
          <w:rFonts w:eastAsia="宋体"/>
          <w:snapToGrid w:val="0"/>
          <w:lang w:eastAsia="zh-CN"/>
        </w:rPr>
        <w:t>研究排除不稳定型心绞痛患者。申办方建议扩大入组人数，纳入</w:t>
      </w:r>
      <w:r>
        <w:rPr>
          <w:rFonts w:hint="eastAsia" w:eastAsia="宋体"/>
          <w:snapToGrid w:val="0"/>
          <w:lang w:eastAsia="zh-CN"/>
        </w:rPr>
        <w:t>那</w:t>
      </w:r>
      <w:r>
        <w:rPr>
          <w:rFonts w:eastAsia="宋体"/>
          <w:snapToGrid w:val="0"/>
          <w:lang w:eastAsia="zh-CN"/>
        </w:rPr>
        <w:t>些不适</w:t>
      </w:r>
      <w:r>
        <w:rPr>
          <w:rFonts w:hint="eastAsia" w:eastAsia="宋体"/>
          <w:snapToGrid w:val="0"/>
          <w:lang w:eastAsia="zh-CN"/>
        </w:rPr>
        <w:t>合</w:t>
      </w:r>
      <w:r>
        <w:rPr>
          <w:rFonts w:eastAsia="宋体"/>
          <w:snapToGrid w:val="0"/>
          <w:lang w:eastAsia="zh-CN"/>
        </w:rPr>
        <w:t>血运重建</w:t>
      </w:r>
      <w:r>
        <w:rPr>
          <w:rFonts w:hint="eastAsia" w:eastAsia="宋体"/>
          <w:snapToGrid w:val="0"/>
          <w:lang w:eastAsia="zh-CN"/>
        </w:rPr>
        <w:t>的</w:t>
      </w:r>
      <w:r>
        <w:rPr>
          <w:rFonts w:eastAsia="宋体"/>
          <w:snapToGrid w:val="0"/>
          <w:lang w:eastAsia="zh-CN"/>
        </w:rPr>
        <w:t>不稳定型心绞痛患者。</w:t>
      </w:r>
    </w:p>
    <w:p w14:paraId="1C47E911">
      <w:pPr>
        <w:pStyle w:val="15"/>
        <w:shd w:val="clear" w:color="auto" w:fill="auto"/>
        <w:topLinePunct/>
        <w:adjustRightInd w:val="0"/>
        <w:snapToGrid w:val="0"/>
        <w:spacing w:before="0" w:after="270" w:afterLines="75" w:line="288" w:lineRule="auto"/>
        <w:ind w:left="372" w:leftChars="155" w:firstLine="0"/>
        <w:jc w:val="both"/>
        <w:rPr>
          <w:rFonts w:eastAsia="宋体"/>
          <w:snapToGrid w:val="0"/>
          <w:lang w:eastAsia="zh-CN"/>
        </w:rPr>
      </w:pPr>
      <w:r>
        <w:rPr>
          <w:rFonts w:eastAsia="宋体"/>
          <w:snapToGrid w:val="0"/>
          <w:lang w:eastAsia="zh-CN"/>
        </w:rPr>
        <w:t>FDA认为不稳定型心绞痛患者</w:t>
      </w:r>
      <w:r>
        <w:rPr>
          <w:rFonts w:hint="eastAsia" w:eastAsia="宋体"/>
          <w:snapToGrid w:val="0"/>
          <w:lang w:eastAsia="zh-CN"/>
        </w:rPr>
        <w:t>同时</w:t>
      </w:r>
      <w:r>
        <w:rPr>
          <w:rFonts w:eastAsia="宋体"/>
          <w:snapToGrid w:val="0"/>
          <w:lang w:eastAsia="zh-CN"/>
        </w:rPr>
        <w:t>也表现出电生理不稳定。</w:t>
      </w:r>
      <w:r>
        <w:rPr>
          <w:rFonts w:hint="eastAsia" w:eastAsia="宋体"/>
          <w:snapToGrid w:val="0"/>
          <w:lang w:eastAsia="zh-CN"/>
        </w:rPr>
        <w:t>对于</w:t>
      </w:r>
      <w:r>
        <w:rPr>
          <w:rFonts w:eastAsia="宋体"/>
          <w:snapToGrid w:val="0"/>
          <w:lang w:eastAsia="zh-CN"/>
        </w:rPr>
        <w:t>这些患者，电生理学研究和心脏</w:t>
      </w:r>
      <w:r>
        <w:rPr>
          <w:rFonts w:hint="eastAsia" w:eastAsia="宋体"/>
          <w:snapToGrid w:val="0"/>
          <w:lang w:eastAsia="zh-CN"/>
        </w:rPr>
        <w:t>射频</w:t>
      </w:r>
      <w:r>
        <w:rPr>
          <w:rFonts w:eastAsia="宋体"/>
          <w:snapToGrid w:val="0"/>
          <w:lang w:eastAsia="zh-CN"/>
        </w:rPr>
        <w:t>消融期间</w:t>
      </w:r>
      <w:r>
        <w:rPr>
          <w:rFonts w:hint="eastAsia" w:eastAsia="宋体"/>
          <w:snapToGrid w:val="0"/>
          <w:lang w:eastAsia="zh-CN"/>
        </w:rPr>
        <w:t>进行的</w:t>
      </w:r>
      <w:r>
        <w:rPr>
          <w:rFonts w:eastAsia="宋体"/>
          <w:snapToGrid w:val="0"/>
          <w:lang w:eastAsia="zh-CN"/>
        </w:rPr>
        <w:t>机械和电刺激可能增加心律失常不良事件（例如</w:t>
      </w:r>
      <w:r>
        <w:rPr>
          <w:rFonts w:hint="eastAsia" w:eastAsia="宋体"/>
          <w:snapToGrid w:val="0"/>
          <w:lang w:eastAsia="zh-CN"/>
        </w:rPr>
        <w:t>室性心动过速</w:t>
      </w:r>
      <w:r>
        <w:rPr>
          <w:rFonts w:eastAsia="宋体"/>
          <w:snapToGrid w:val="0"/>
          <w:lang w:eastAsia="zh-CN"/>
        </w:rPr>
        <w:t>发作）的风险。目前，FDA仍然认为，由于这些患者</w:t>
      </w:r>
      <w:r>
        <w:rPr>
          <w:rFonts w:hint="eastAsia" w:eastAsia="宋体"/>
          <w:snapToGrid w:val="0"/>
          <w:lang w:eastAsia="zh-CN"/>
        </w:rPr>
        <w:t>纳入该类</w:t>
      </w:r>
      <w:r>
        <w:rPr>
          <w:rFonts w:eastAsia="宋体"/>
          <w:snapToGrid w:val="0"/>
          <w:lang w:eastAsia="zh-CN"/>
        </w:rPr>
        <w:t>临床研究</w:t>
      </w:r>
      <w:r>
        <w:rPr>
          <w:rFonts w:hint="eastAsia" w:eastAsia="宋体"/>
          <w:snapToGrid w:val="0"/>
          <w:lang w:eastAsia="zh-CN"/>
        </w:rPr>
        <w:t>后</w:t>
      </w:r>
      <w:r>
        <w:rPr>
          <w:rFonts w:eastAsia="宋体"/>
          <w:snapToGrid w:val="0"/>
          <w:lang w:eastAsia="zh-CN"/>
        </w:rPr>
        <w:t>安全</w:t>
      </w:r>
      <w:r>
        <w:rPr>
          <w:rFonts w:hint="eastAsia" w:eastAsia="宋体"/>
          <w:snapToGrid w:val="0"/>
          <w:lang w:eastAsia="zh-CN"/>
        </w:rPr>
        <w:t>风险会</w:t>
      </w:r>
      <w:r>
        <w:rPr>
          <w:rFonts w:eastAsia="宋体"/>
          <w:snapToGrid w:val="0"/>
          <w:lang w:eastAsia="zh-CN"/>
        </w:rPr>
        <w:t>增加，</w:t>
      </w:r>
      <w:r>
        <w:rPr>
          <w:rFonts w:hint="eastAsia" w:eastAsia="宋体"/>
          <w:snapToGrid w:val="0"/>
          <w:lang w:eastAsia="zh-CN"/>
        </w:rPr>
        <w:t>所以</w:t>
      </w:r>
      <w:r>
        <w:rPr>
          <w:rFonts w:eastAsia="宋体"/>
          <w:snapToGrid w:val="0"/>
          <w:lang w:eastAsia="zh-CN"/>
        </w:rPr>
        <w:t>这些</w:t>
      </w:r>
      <w:r>
        <w:rPr>
          <w:rFonts w:hint="eastAsia" w:eastAsia="宋体"/>
          <w:snapToGrid w:val="0"/>
          <w:lang w:eastAsia="zh-CN"/>
        </w:rPr>
        <w:t>临床</w:t>
      </w:r>
      <w:r>
        <w:rPr>
          <w:rFonts w:eastAsia="宋体"/>
          <w:snapToGrid w:val="0"/>
          <w:lang w:eastAsia="zh-CN"/>
        </w:rPr>
        <w:t>研究应排除不稳定型心绞痛患者。</w:t>
      </w:r>
    </w:p>
    <w:p w14:paraId="1B31795D">
      <w:pPr>
        <w:pStyle w:val="17"/>
        <w:shd w:val="clear" w:color="auto" w:fill="auto"/>
        <w:topLinePunct/>
        <w:adjustRightInd w:val="0"/>
        <w:snapToGrid w:val="0"/>
        <w:spacing w:before="0" w:after="270" w:afterLines="75" w:line="288" w:lineRule="auto"/>
        <w:jc w:val="both"/>
        <w:outlineLvl w:val="9"/>
        <w:rPr>
          <w:rFonts w:eastAsia="宋体"/>
          <w:snapToGrid w:val="0"/>
          <w:lang w:eastAsia="zh-CN"/>
        </w:rPr>
      </w:pPr>
      <w:r>
        <w:rPr>
          <w:rFonts w:hint="eastAsia" w:eastAsia="宋体"/>
          <w:snapToGrid w:val="0"/>
          <w:lang w:eastAsia="zh-CN"/>
        </w:rPr>
        <w:t>临床研究中心</w:t>
      </w:r>
      <w:r>
        <w:rPr>
          <w:rFonts w:eastAsia="宋体"/>
          <w:snapToGrid w:val="0"/>
          <w:lang w:eastAsia="zh-CN"/>
        </w:rPr>
        <w:t>数量</w:t>
      </w:r>
    </w:p>
    <w:p w14:paraId="58682A9B">
      <w:pPr>
        <w:pStyle w:val="22"/>
        <w:numPr>
          <w:ilvl w:val="0"/>
          <w:numId w:val="2"/>
        </w:numPr>
        <w:shd w:val="clear" w:color="auto" w:fill="auto"/>
        <w:tabs>
          <w:tab w:val="left" w:pos="529"/>
        </w:tabs>
        <w:topLinePunct/>
        <w:adjustRightInd w:val="0"/>
        <w:snapToGrid w:val="0"/>
        <w:spacing w:before="0" w:after="270" w:afterLines="75" w:line="288" w:lineRule="auto"/>
        <w:jc w:val="both"/>
        <w:rPr>
          <w:rFonts w:eastAsia="宋体"/>
          <w:i w:val="0"/>
          <w:snapToGrid w:val="0"/>
          <w:lang w:eastAsia="zh-CN"/>
        </w:rPr>
      </w:pPr>
      <w:r>
        <w:rPr>
          <w:rFonts w:eastAsia="宋体"/>
          <w:snapToGrid w:val="0"/>
          <w:lang w:eastAsia="zh-CN"/>
        </w:rPr>
        <w:t>申办方提出增加</w:t>
      </w:r>
      <w:r>
        <w:rPr>
          <w:rFonts w:hint="eastAsia" w:eastAsia="宋体"/>
          <w:snapToGrid w:val="0"/>
          <w:lang w:eastAsia="zh-CN"/>
        </w:rPr>
        <w:t>临床研究中心</w:t>
      </w:r>
      <w:r>
        <w:rPr>
          <w:rFonts w:eastAsia="宋体"/>
          <w:snapToGrid w:val="0"/>
          <w:lang w:eastAsia="zh-CN"/>
        </w:rPr>
        <w:t>的数量</w:t>
      </w:r>
      <w:r>
        <w:rPr>
          <w:rFonts w:hint="eastAsia" w:eastAsia="宋体"/>
          <w:snapToGrid w:val="0"/>
          <w:lang w:eastAsia="zh-CN"/>
        </w:rPr>
        <w:t>。</w:t>
      </w:r>
    </w:p>
    <w:p w14:paraId="14B73DBE">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虽然FDA</w:t>
      </w:r>
      <w:r>
        <w:rPr>
          <w:rFonts w:hint="eastAsia" w:eastAsia="宋体"/>
          <w:snapToGrid w:val="0"/>
          <w:lang w:eastAsia="zh-CN"/>
        </w:rPr>
        <w:t>同意</w:t>
      </w:r>
      <w:r>
        <w:rPr>
          <w:rFonts w:eastAsia="宋体"/>
          <w:snapToGrid w:val="0"/>
          <w:lang w:eastAsia="zh-CN"/>
        </w:rPr>
        <w:t>考虑</w:t>
      </w:r>
      <w:r>
        <w:rPr>
          <w:rFonts w:hint="eastAsia" w:eastAsia="宋体"/>
          <w:snapToGrid w:val="0"/>
          <w:lang w:eastAsia="zh-CN"/>
        </w:rPr>
        <w:t>增加临床研究中心</w:t>
      </w:r>
      <w:r>
        <w:rPr>
          <w:rFonts w:eastAsia="宋体"/>
          <w:snapToGrid w:val="0"/>
          <w:lang w:eastAsia="zh-CN"/>
        </w:rPr>
        <w:t>数量</w:t>
      </w:r>
      <w:r>
        <w:rPr>
          <w:rFonts w:hint="eastAsia" w:eastAsia="宋体"/>
          <w:snapToGrid w:val="0"/>
          <w:lang w:eastAsia="zh-CN"/>
        </w:rPr>
        <w:t>的提议</w:t>
      </w:r>
      <w:r>
        <w:rPr>
          <w:rFonts w:eastAsia="宋体"/>
          <w:snapToGrid w:val="0"/>
          <w:lang w:eastAsia="zh-CN"/>
        </w:rPr>
        <w:t>，但请注意，这可能会</w:t>
      </w:r>
      <w:r>
        <w:rPr>
          <w:rFonts w:hint="eastAsia" w:eastAsia="宋体"/>
          <w:snapToGrid w:val="0"/>
          <w:lang w:eastAsia="zh-CN"/>
        </w:rPr>
        <w:t>对统计评估</w:t>
      </w:r>
      <w:r>
        <w:rPr>
          <w:rFonts w:eastAsia="宋体"/>
          <w:snapToGrid w:val="0"/>
          <w:lang w:eastAsia="zh-CN"/>
        </w:rPr>
        <w:t>各</w:t>
      </w:r>
      <w:r>
        <w:rPr>
          <w:rFonts w:hint="eastAsia" w:eastAsia="宋体"/>
          <w:snapToGrid w:val="0"/>
          <w:lang w:eastAsia="zh-CN"/>
        </w:rPr>
        <w:t>临床研究中心</w:t>
      </w:r>
      <w:r>
        <w:rPr>
          <w:rFonts w:eastAsia="宋体"/>
          <w:snapToGrid w:val="0"/>
          <w:lang w:eastAsia="zh-CN"/>
        </w:rPr>
        <w:t>的数据</w:t>
      </w:r>
      <w:r>
        <w:rPr>
          <w:rFonts w:hint="eastAsia" w:eastAsia="宋体"/>
          <w:snapToGrid w:val="0"/>
          <w:lang w:eastAsia="zh-CN"/>
        </w:rPr>
        <w:t>的合并性产生</w:t>
      </w:r>
      <w:r>
        <w:rPr>
          <w:rFonts w:eastAsia="宋体"/>
          <w:snapToGrid w:val="0"/>
          <w:lang w:eastAsia="zh-CN"/>
        </w:rPr>
        <w:t>不利影响</w:t>
      </w:r>
      <w:r>
        <w:rPr>
          <w:rFonts w:hint="eastAsia" w:eastAsia="宋体"/>
          <w:snapToGrid w:val="0"/>
          <w:lang w:eastAsia="zh-CN"/>
        </w:rPr>
        <w:t>。</w:t>
      </w:r>
      <w:r>
        <w:rPr>
          <w:rFonts w:eastAsia="宋体"/>
          <w:snapToGrid w:val="0"/>
          <w:lang w:eastAsia="zh-CN"/>
        </w:rPr>
        <w:t>如果贵公司打算将更多的</w:t>
      </w:r>
      <w:r>
        <w:rPr>
          <w:rFonts w:hint="eastAsia" w:eastAsia="宋体"/>
          <w:snapToGrid w:val="0"/>
          <w:lang w:eastAsia="zh-CN"/>
        </w:rPr>
        <w:t>临床研究中心</w:t>
      </w:r>
      <w:r>
        <w:rPr>
          <w:rFonts w:eastAsia="宋体"/>
          <w:snapToGrid w:val="0"/>
          <w:lang w:eastAsia="zh-CN"/>
        </w:rPr>
        <w:t>纳入</w:t>
      </w:r>
      <w:r>
        <w:rPr>
          <w:rFonts w:hint="eastAsia" w:eastAsia="宋体"/>
          <w:snapToGrid w:val="0"/>
          <w:lang w:eastAsia="zh-CN"/>
        </w:rPr>
        <w:t>研究</w:t>
      </w:r>
      <w:r>
        <w:rPr>
          <w:rFonts w:eastAsia="宋体"/>
          <w:snapToGrid w:val="0"/>
          <w:lang w:eastAsia="zh-CN"/>
        </w:rPr>
        <w:t>设计，请提供</w:t>
      </w:r>
      <w:r>
        <w:rPr>
          <w:rFonts w:hint="eastAsia" w:eastAsia="宋体"/>
          <w:snapToGrid w:val="0"/>
          <w:lang w:eastAsia="zh-CN"/>
        </w:rPr>
        <w:t>选择该临床研究中心</w:t>
      </w:r>
      <w:r>
        <w:rPr>
          <w:rFonts w:eastAsia="宋体"/>
          <w:snapToGrid w:val="0"/>
          <w:lang w:eastAsia="zh-CN"/>
        </w:rPr>
        <w:t>数量的理由。</w:t>
      </w:r>
    </w:p>
    <w:p w14:paraId="540E7BB2">
      <w:pPr>
        <w:pStyle w:val="15"/>
        <w:shd w:val="clear" w:color="auto" w:fill="auto"/>
        <w:topLinePunct/>
        <w:adjustRightInd w:val="0"/>
        <w:snapToGrid w:val="0"/>
        <w:spacing w:before="0" w:after="270" w:afterLines="75" w:line="288" w:lineRule="auto"/>
        <w:ind w:firstLine="0"/>
        <w:jc w:val="both"/>
        <w:rPr>
          <w:rFonts w:eastAsia="宋体"/>
          <w:snapToGrid w:val="0"/>
          <w:lang w:eastAsia="zh-CN"/>
        </w:rPr>
      </w:pPr>
    </w:p>
    <w:tbl>
      <w:tblPr>
        <w:tblStyle w:val="5"/>
        <w:tblW w:w="0" w:type="auto"/>
        <w:tblInd w:w="0" w:type="dxa"/>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Layout w:type="autofit"/>
        <w:tblCellMar>
          <w:top w:w="0" w:type="dxa"/>
          <w:left w:w="108" w:type="dxa"/>
          <w:bottom w:w="0" w:type="dxa"/>
          <w:right w:w="108" w:type="dxa"/>
        </w:tblCellMar>
      </w:tblPr>
      <w:tblGrid>
        <w:gridCol w:w="9236"/>
      </w:tblGrid>
      <w:tr w14:paraId="56EF5CCA">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Borders>
              <w:top w:val="single" w:color="0070C0" w:sz="12" w:space="0"/>
              <w:left w:val="single" w:color="0070C0" w:sz="12" w:space="0"/>
              <w:bottom w:val="single" w:color="0070C0" w:sz="12" w:space="0"/>
              <w:right w:val="single" w:color="0070C0" w:sz="12" w:space="0"/>
            </w:tcBorders>
          </w:tcPr>
          <w:p w14:paraId="6D34DD68">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Style w:val="8"/>
                <w:rFonts w:hint="eastAsia" w:eastAsia="宋体"/>
                <w:b/>
                <w:bCs/>
                <w:snapToGrid w:val="0"/>
                <w:kern w:val="2"/>
                <w:sz w:val="24"/>
                <w:szCs w:val="24"/>
                <w:u w:val="single"/>
                <w:lang w:eastAsia="zh-CN" w:bidi="ar-SA"/>
              </w:rPr>
              <w:t>指导性文件（医疗器械和辐射类产品）的更多信息</w:t>
            </w:r>
            <w:r>
              <w:fldChar w:fldCharType="begin"/>
            </w:r>
            <w:r>
              <w:instrText xml:space="preserve"> HYPERLINK "https://www.fda.gov/MedicalDevices/DeviceRegulationandGuidance/GuidanceDocuments/default.htm" </w:instrText>
            </w:r>
            <w:r>
              <w:fldChar w:fldCharType="separate"/>
            </w:r>
            <w:r>
              <w:rPr>
                <w:rStyle w:val="7"/>
                <w:rFonts w:eastAsia="宋体"/>
                <w:snapToGrid w:val="0"/>
                <w:kern w:val="2"/>
                <w:sz w:val="24"/>
                <w:szCs w:val="24"/>
                <w:lang w:eastAsia="zh-CN" w:bidi="ar-SA"/>
              </w:rPr>
              <w:t>(/MedicalDevices/DeviceRegulationandGuidance/GuidanceDocuments/default.htm)</w:t>
            </w:r>
            <w:r>
              <w:rPr>
                <w:rStyle w:val="7"/>
                <w:rFonts w:eastAsia="宋体"/>
                <w:snapToGrid w:val="0"/>
                <w:kern w:val="2"/>
                <w:sz w:val="24"/>
                <w:szCs w:val="24"/>
                <w:lang w:eastAsia="zh-CN" w:bidi="ar-SA"/>
              </w:rPr>
              <w:fldChar w:fldCharType="end"/>
            </w:r>
          </w:p>
        </w:tc>
      </w:tr>
      <w:tr w14:paraId="3AFAB012">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Borders>
              <w:top w:val="single" w:color="0070C0" w:sz="12" w:space="0"/>
            </w:tcBorders>
          </w:tcPr>
          <w:p w14:paraId="22394939">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跨中心最终指南</w:t>
            </w:r>
            <w:r>
              <w:fldChar w:fldCharType="begin"/>
            </w:r>
            <w:r>
              <w:instrText xml:space="preserve"> HYPERLINK "https://www.fda.gov/MedicalDevices/DeviceRegulationandGuidance/GuidanceDocuments/ucm081752.htm" </w:instrText>
            </w:r>
            <w:r>
              <w:fldChar w:fldCharType="separate"/>
            </w:r>
            <w:r>
              <w:rPr>
                <w:rStyle w:val="7"/>
                <w:rFonts w:eastAsia="宋体"/>
                <w:snapToGrid w:val="0"/>
                <w:kern w:val="2"/>
                <w:sz w:val="24"/>
                <w:szCs w:val="24"/>
                <w:lang w:eastAsia="zh-CN" w:bidi="ar-SA"/>
              </w:rPr>
              <w:t>(/MedicalDevices/DeviceRegulationandGuidance/GuidanceDocuments/ucm081752.htm)</w:t>
            </w:r>
            <w:r>
              <w:rPr>
                <w:rStyle w:val="7"/>
                <w:rFonts w:eastAsia="宋体"/>
                <w:snapToGrid w:val="0"/>
                <w:kern w:val="2"/>
                <w:sz w:val="24"/>
                <w:szCs w:val="24"/>
                <w:lang w:eastAsia="zh-CN" w:bidi="ar-SA"/>
              </w:rPr>
              <w:fldChar w:fldCharType="end"/>
            </w:r>
          </w:p>
        </w:tc>
      </w:tr>
      <w:tr w14:paraId="70CF4A4C">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1F31B586">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合规办公室最终指南</w:t>
            </w:r>
            <w:r>
              <w:fldChar w:fldCharType="begin"/>
            </w:r>
            <w:r>
              <w:instrText xml:space="preserve"> HYPERLINK "https://www.fda.gov/MedicalDevices/DeviceRegulationandGuidance/GuidanceDocuments/ucm070269.htm" </w:instrText>
            </w:r>
            <w:r>
              <w:fldChar w:fldCharType="separate"/>
            </w:r>
            <w:r>
              <w:rPr>
                <w:rStyle w:val="7"/>
                <w:rFonts w:eastAsia="宋体"/>
                <w:snapToGrid w:val="0"/>
                <w:kern w:val="2"/>
                <w:sz w:val="24"/>
                <w:szCs w:val="24"/>
                <w:lang w:eastAsia="zh-CN" w:bidi="ar-SA"/>
              </w:rPr>
              <w:t>(/MedicalDevices/DeviceRegulationandGuidance/GuidanceDocuments/ucm070269.htm)</w:t>
            </w:r>
            <w:r>
              <w:rPr>
                <w:rStyle w:val="7"/>
                <w:rFonts w:eastAsia="宋体"/>
                <w:snapToGrid w:val="0"/>
                <w:kern w:val="2"/>
                <w:sz w:val="24"/>
                <w:szCs w:val="24"/>
                <w:lang w:eastAsia="zh-CN" w:bidi="ar-SA"/>
              </w:rPr>
              <w:fldChar w:fldCharType="end"/>
            </w:r>
          </w:p>
        </w:tc>
      </w:tr>
      <w:tr w14:paraId="37CFC1CB">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2AB14F63">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中心主任办公室最终指南</w:t>
            </w:r>
            <w:r>
              <w:fldChar w:fldCharType="begin"/>
            </w:r>
            <w:r>
              <w:instrText xml:space="preserve"> HYPERLINK "https://www.fda.gov/MedicalDevices/DeviceRegulationandGuidance/GuidanceDocuments/ucm110228.htm" </w:instrText>
            </w:r>
            <w:r>
              <w:fldChar w:fldCharType="separate"/>
            </w:r>
            <w:r>
              <w:rPr>
                <w:rStyle w:val="7"/>
                <w:rFonts w:eastAsia="宋体"/>
                <w:snapToGrid w:val="0"/>
                <w:kern w:val="2"/>
                <w:sz w:val="24"/>
                <w:szCs w:val="24"/>
                <w:lang w:eastAsia="zh-CN" w:bidi="ar-SA"/>
              </w:rPr>
              <w:t>(/MedicalDevices/DeviceRegulationandGuidance/GuidanceDocuments/ucm110228.htm)</w:t>
            </w:r>
            <w:r>
              <w:rPr>
                <w:rStyle w:val="7"/>
                <w:rFonts w:eastAsia="宋体"/>
                <w:snapToGrid w:val="0"/>
                <w:kern w:val="2"/>
                <w:sz w:val="24"/>
                <w:szCs w:val="24"/>
                <w:lang w:eastAsia="zh-CN" w:bidi="ar-SA"/>
              </w:rPr>
              <w:fldChar w:fldCharType="end"/>
            </w:r>
          </w:p>
        </w:tc>
      </w:tr>
      <w:tr w14:paraId="7274B803">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664864E4">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交流与教育办公室最终指南</w:t>
            </w:r>
            <w:r>
              <w:fldChar w:fldCharType="begin"/>
            </w:r>
            <w:r>
              <w:instrText xml:space="preserve"> HYPERLINK "https://www.fda.gov/MedicalDevices/DeviceRegulationandGuidance/GuidanceDocuments/ucm070271.htm" </w:instrText>
            </w:r>
            <w:r>
              <w:fldChar w:fldCharType="separate"/>
            </w:r>
            <w:r>
              <w:rPr>
                <w:rStyle w:val="7"/>
                <w:rFonts w:eastAsia="宋体"/>
                <w:snapToGrid w:val="0"/>
                <w:kern w:val="2"/>
                <w:sz w:val="24"/>
                <w:szCs w:val="24"/>
                <w:lang w:eastAsia="zh-CN" w:bidi="ar-SA"/>
              </w:rPr>
              <w:t>(/MedicalDevices/DeviceRegulationandGuidance/GuidanceDocuments/ucm070271.htm)</w:t>
            </w:r>
            <w:r>
              <w:rPr>
                <w:rStyle w:val="7"/>
                <w:rFonts w:eastAsia="宋体"/>
                <w:snapToGrid w:val="0"/>
                <w:kern w:val="2"/>
                <w:sz w:val="24"/>
                <w:szCs w:val="24"/>
                <w:lang w:eastAsia="zh-CN" w:bidi="ar-SA"/>
              </w:rPr>
              <w:fldChar w:fldCharType="end"/>
            </w:r>
          </w:p>
        </w:tc>
      </w:tr>
      <w:tr w14:paraId="55BFE50B">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26CED5A6">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Style w:val="27"/>
                <w:rFonts w:hint="eastAsia" w:eastAsia="宋体"/>
                <w:b/>
                <w:bCs/>
                <w:snapToGrid w:val="0"/>
                <w:kern w:val="2"/>
                <w:sz w:val="24"/>
                <w:szCs w:val="24"/>
                <w:lang w:eastAsia="zh-CN"/>
              </w:rPr>
              <w:t>器械评估办公室最终指南（</w:t>
            </w:r>
            <w:r>
              <w:rPr>
                <w:rStyle w:val="27"/>
                <w:rFonts w:eastAsia="宋体"/>
                <w:b/>
                <w:bCs/>
                <w:snapToGrid w:val="0"/>
                <w:kern w:val="2"/>
                <w:sz w:val="24"/>
                <w:szCs w:val="24"/>
                <w:lang w:eastAsia="zh-CN"/>
              </w:rPr>
              <w:t>2010</w:t>
            </w:r>
            <w:r>
              <w:rPr>
                <w:rStyle w:val="27"/>
                <w:rFonts w:hint="eastAsia" w:eastAsia="宋体"/>
                <w:b/>
                <w:bCs/>
                <w:snapToGrid w:val="0"/>
                <w:kern w:val="2"/>
                <w:sz w:val="24"/>
                <w:szCs w:val="24"/>
                <w:lang w:eastAsia="zh-CN"/>
              </w:rPr>
              <w:t>年</w:t>
            </w:r>
            <w:r>
              <w:rPr>
                <w:rStyle w:val="27"/>
                <w:rFonts w:eastAsia="宋体"/>
                <w:b/>
                <w:bCs/>
                <w:snapToGrid w:val="0"/>
                <w:kern w:val="2"/>
                <w:sz w:val="24"/>
                <w:szCs w:val="24"/>
                <w:lang w:eastAsia="zh-CN"/>
              </w:rPr>
              <w:t>- 2016</w:t>
            </w:r>
            <w:r>
              <w:rPr>
                <w:rStyle w:val="27"/>
                <w:rFonts w:hint="eastAsia" w:eastAsia="宋体"/>
                <w:b/>
                <w:bCs/>
                <w:snapToGrid w:val="0"/>
                <w:kern w:val="2"/>
                <w:sz w:val="24"/>
                <w:szCs w:val="24"/>
                <w:lang w:eastAsia="zh-CN"/>
              </w:rPr>
              <w:t>年）</w:t>
            </w:r>
            <w:r>
              <w:fldChar w:fldCharType="begin"/>
            </w:r>
            <w:r>
              <w:instrText xml:space="preserve"> HYPERLINK "https://www.fda.gov/MedicalDevices/DeviceRegulationandGuidance/GuidanceDocuments/ucm198577.htm" </w:instrText>
            </w:r>
            <w:r>
              <w:fldChar w:fldCharType="separate"/>
            </w:r>
            <w:r>
              <w:rPr>
                <w:rStyle w:val="7"/>
                <w:rFonts w:eastAsia="宋体"/>
                <w:snapToGrid w:val="0"/>
                <w:kern w:val="2"/>
                <w:sz w:val="24"/>
                <w:szCs w:val="24"/>
                <w:lang w:eastAsia="zh-CN" w:bidi="ar-SA"/>
              </w:rPr>
              <w:t>(/MedicalDevices/DeviceRegulationandGuidance/GuidanceDocuments/ucm198577.htm)</w:t>
            </w:r>
            <w:r>
              <w:rPr>
                <w:rStyle w:val="7"/>
                <w:rFonts w:eastAsia="宋体"/>
                <w:snapToGrid w:val="0"/>
                <w:kern w:val="2"/>
                <w:sz w:val="24"/>
                <w:szCs w:val="24"/>
                <w:lang w:eastAsia="zh-CN" w:bidi="ar-SA"/>
              </w:rPr>
              <w:fldChar w:fldCharType="end"/>
            </w:r>
          </w:p>
        </w:tc>
      </w:tr>
      <w:tr w14:paraId="0BD742F8">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5ECF0692">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Style w:val="27"/>
                <w:rFonts w:hint="eastAsia" w:eastAsia="宋体"/>
                <w:b/>
                <w:bCs/>
                <w:snapToGrid w:val="0"/>
                <w:kern w:val="2"/>
                <w:sz w:val="24"/>
                <w:szCs w:val="24"/>
                <w:lang w:eastAsia="zh-CN"/>
              </w:rPr>
              <w:t>器械评估办公室最终指南（</w:t>
            </w:r>
            <w:r>
              <w:rPr>
                <w:rStyle w:val="27"/>
                <w:rFonts w:eastAsia="宋体"/>
                <w:b/>
                <w:bCs/>
                <w:snapToGrid w:val="0"/>
                <w:kern w:val="2"/>
                <w:sz w:val="24"/>
                <w:szCs w:val="24"/>
                <w:lang w:eastAsia="zh-CN"/>
              </w:rPr>
              <w:t>1998</w:t>
            </w:r>
            <w:r>
              <w:rPr>
                <w:rStyle w:val="27"/>
                <w:rFonts w:hint="eastAsia" w:eastAsia="宋体"/>
                <w:b/>
                <w:bCs/>
                <w:snapToGrid w:val="0"/>
                <w:kern w:val="2"/>
                <w:sz w:val="24"/>
                <w:szCs w:val="24"/>
                <w:lang w:eastAsia="zh-CN"/>
              </w:rPr>
              <w:t>年</w:t>
            </w:r>
            <w:r>
              <w:rPr>
                <w:rStyle w:val="27"/>
                <w:rFonts w:eastAsia="宋体"/>
                <w:b/>
                <w:bCs/>
                <w:snapToGrid w:val="0"/>
                <w:kern w:val="2"/>
                <w:sz w:val="24"/>
                <w:szCs w:val="24"/>
                <w:lang w:eastAsia="zh-CN"/>
              </w:rPr>
              <w:t>- 2009</w:t>
            </w:r>
            <w:r>
              <w:rPr>
                <w:rStyle w:val="27"/>
                <w:rFonts w:hint="eastAsia" w:eastAsia="宋体"/>
                <w:b/>
                <w:bCs/>
                <w:snapToGrid w:val="0"/>
                <w:kern w:val="2"/>
                <w:sz w:val="24"/>
                <w:szCs w:val="24"/>
                <w:lang w:eastAsia="zh-CN"/>
              </w:rPr>
              <w:t>年）</w:t>
            </w:r>
            <w:r>
              <w:fldChar w:fldCharType="begin"/>
            </w:r>
            <w:r>
              <w:instrText xml:space="preserve"> HYPERLINK "https://www.fda.gov/MedicalDevices/DeviceRegulationandGuidance/GuidanceDocuments/ucm070272.htm" </w:instrText>
            </w:r>
            <w:r>
              <w:fldChar w:fldCharType="separate"/>
            </w:r>
            <w:r>
              <w:rPr>
                <w:rStyle w:val="7"/>
                <w:rFonts w:eastAsia="宋体"/>
                <w:snapToGrid w:val="0"/>
                <w:kern w:val="2"/>
                <w:sz w:val="24"/>
                <w:szCs w:val="24"/>
                <w:lang w:eastAsia="zh-CN" w:bidi="ar-SA"/>
              </w:rPr>
              <w:t>(/MedicalDevices/DeviceRegulationandGuidance/GuidanceDocuments/ucm070272.htm)</w:t>
            </w:r>
            <w:r>
              <w:rPr>
                <w:rStyle w:val="7"/>
                <w:rFonts w:eastAsia="宋体"/>
                <w:snapToGrid w:val="0"/>
                <w:kern w:val="2"/>
                <w:sz w:val="24"/>
                <w:szCs w:val="24"/>
                <w:lang w:eastAsia="zh-CN" w:bidi="ar-SA"/>
              </w:rPr>
              <w:fldChar w:fldCharType="end"/>
            </w:r>
          </w:p>
        </w:tc>
      </w:tr>
      <w:tr w14:paraId="3602356E">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39DB4F90">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Style w:val="27"/>
                <w:rFonts w:hint="eastAsia" w:eastAsia="宋体"/>
                <w:b/>
                <w:bCs/>
                <w:snapToGrid w:val="0"/>
                <w:kern w:val="2"/>
                <w:sz w:val="24"/>
                <w:szCs w:val="24"/>
                <w:lang w:eastAsia="zh-CN"/>
              </w:rPr>
              <w:t>器械评估办公室最终指南（</w:t>
            </w:r>
            <w:r>
              <w:rPr>
                <w:rStyle w:val="27"/>
                <w:rFonts w:eastAsia="宋体"/>
                <w:b/>
                <w:bCs/>
                <w:snapToGrid w:val="0"/>
                <w:kern w:val="2"/>
                <w:sz w:val="24"/>
                <w:szCs w:val="24"/>
                <w:lang w:eastAsia="zh-CN"/>
              </w:rPr>
              <w:t>1976</w:t>
            </w:r>
            <w:r>
              <w:rPr>
                <w:rStyle w:val="27"/>
                <w:rFonts w:hint="eastAsia" w:eastAsia="宋体"/>
                <w:b/>
                <w:bCs/>
                <w:snapToGrid w:val="0"/>
                <w:kern w:val="2"/>
                <w:sz w:val="24"/>
                <w:szCs w:val="24"/>
                <w:lang w:eastAsia="zh-CN"/>
              </w:rPr>
              <w:t>年</w:t>
            </w:r>
            <w:r>
              <w:rPr>
                <w:rStyle w:val="27"/>
                <w:rFonts w:eastAsia="宋体"/>
                <w:b/>
                <w:bCs/>
                <w:snapToGrid w:val="0"/>
                <w:kern w:val="2"/>
                <w:sz w:val="24"/>
                <w:szCs w:val="24"/>
                <w:lang w:eastAsia="zh-CN"/>
              </w:rPr>
              <w:t>– 1997</w:t>
            </w:r>
            <w:r>
              <w:rPr>
                <w:rStyle w:val="27"/>
                <w:rFonts w:hint="eastAsia" w:eastAsia="宋体"/>
                <w:b/>
                <w:bCs/>
                <w:snapToGrid w:val="0"/>
                <w:kern w:val="2"/>
                <w:sz w:val="24"/>
                <w:szCs w:val="24"/>
                <w:lang w:eastAsia="zh-CN"/>
              </w:rPr>
              <w:t>年）</w:t>
            </w:r>
            <w:r>
              <w:fldChar w:fldCharType="begin"/>
            </w:r>
            <w:r>
              <w:instrText xml:space="preserve"> HYPERLINK "https://www.fda.gov/MedicalDevices/DeviceRegulationandGuidance/GuidanceDocuments/ucm080283.htm" </w:instrText>
            </w:r>
            <w:r>
              <w:fldChar w:fldCharType="separate"/>
            </w:r>
            <w:r>
              <w:rPr>
                <w:rStyle w:val="7"/>
                <w:rFonts w:eastAsia="宋体"/>
                <w:snapToGrid w:val="0"/>
                <w:kern w:val="2"/>
                <w:sz w:val="24"/>
                <w:szCs w:val="24"/>
                <w:lang w:eastAsia="zh-CN" w:bidi="ar-SA"/>
              </w:rPr>
              <w:t>(/MedicalDevices/DeviceRegulationandGuidance/GuidanceDocuments/ucm080283.htm)</w:t>
            </w:r>
            <w:r>
              <w:rPr>
                <w:rStyle w:val="7"/>
                <w:rFonts w:eastAsia="宋体"/>
                <w:snapToGrid w:val="0"/>
                <w:kern w:val="2"/>
                <w:sz w:val="24"/>
                <w:szCs w:val="24"/>
                <w:lang w:eastAsia="zh-CN" w:bidi="ar-SA"/>
              </w:rPr>
              <w:fldChar w:fldCharType="end"/>
            </w:r>
          </w:p>
        </w:tc>
      </w:tr>
      <w:tr w14:paraId="403CF2A1">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05A161A5">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体外诊断试剂和放射卫生办公室最终指南</w:t>
            </w:r>
            <w:r>
              <w:fldChar w:fldCharType="begin"/>
            </w:r>
            <w:r>
              <w:instrText xml:space="preserve"> HYPERLINK "https://www.fda.gov/MedicalDevices/DeviceRegulationandGuidance/GuidanceDocuments/ucm070274.htm" </w:instrText>
            </w:r>
            <w:r>
              <w:fldChar w:fldCharType="separate"/>
            </w:r>
            <w:r>
              <w:rPr>
                <w:rStyle w:val="7"/>
                <w:rFonts w:eastAsia="宋体"/>
                <w:snapToGrid w:val="0"/>
                <w:kern w:val="2"/>
                <w:sz w:val="24"/>
                <w:szCs w:val="24"/>
                <w:lang w:eastAsia="zh-CN" w:bidi="ar-SA"/>
              </w:rPr>
              <w:t>(/MedicalDevices/DeviceRegulationandGuidance/GuidanceDocuments/ucm070274.htm)</w:t>
            </w:r>
            <w:r>
              <w:rPr>
                <w:rStyle w:val="7"/>
                <w:rFonts w:eastAsia="宋体"/>
                <w:snapToGrid w:val="0"/>
                <w:kern w:val="2"/>
                <w:sz w:val="24"/>
                <w:szCs w:val="24"/>
                <w:lang w:eastAsia="zh-CN" w:bidi="ar-SA"/>
              </w:rPr>
              <w:fldChar w:fldCharType="end"/>
            </w:r>
          </w:p>
        </w:tc>
      </w:tr>
      <w:tr w14:paraId="3CC57214">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0F8D87EF">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监测和生物计量学办公室最终指南</w:t>
            </w:r>
            <w:r>
              <w:fldChar w:fldCharType="begin"/>
            </w:r>
            <w:r>
              <w:instrText xml:space="preserve"> HYPERLINK "https://www.fda.gov/MedicalDevices/DeviceRegulationandGuidance/GuidanceDocuments/ucm070275.htm" </w:instrText>
            </w:r>
            <w:r>
              <w:fldChar w:fldCharType="separate"/>
            </w:r>
            <w:r>
              <w:rPr>
                <w:rStyle w:val="7"/>
                <w:rFonts w:eastAsia="宋体"/>
                <w:snapToGrid w:val="0"/>
                <w:kern w:val="2"/>
                <w:sz w:val="24"/>
                <w:szCs w:val="24"/>
                <w:lang w:eastAsia="zh-CN" w:bidi="ar-SA"/>
              </w:rPr>
              <w:t>(/MedicalDevices/DeviceRegulationandGuidance/GuidanceDocuments/ucm070275.htm)</w:t>
            </w:r>
            <w:r>
              <w:rPr>
                <w:rStyle w:val="7"/>
                <w:rFonts w:eastAsia="宋体"/>
                <w:snapToGrid w:val="0"/>
                <w:kern w:val="2"/>
                <w:sz w:val="24"/>
                <w:szCs w:val="24"/>
                <w:lang w:eastAsia="zh-CN" w:bidi="ar-SA"/>
              </w:rPr>
              <w:fldChar w:fldCharType="end"/>
            </w:r>
          </w:p>
        </w:tc>
      </w:tr>
      <w:tr w14:paraId="40A5CCBE">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75134275">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科学与工程实验室最终指南</w:t>
            </w:r>
            <w:r>
              <w:fldChar w:fldCharType="begin"/>
            </w:r>
            <w:r>
              <w:instrText xml:space="preserve"> HYPERLINK "https://www.fda.gov/MedicalDevices/DeviceRegulationandGuidance/GuidanceDocuments/ucm070277.htm" </w:instrText>
            </w:r>
            <w:r>
              <w:fldChar w:fldCharType="separate"/>
            </w:r>
            <w:r>
              <w:rPr>
                <w:rStyle w:val="7"/>
                <w:rFonts w:eastAsia="宋体"/>
                <w:snapToGrid w:val="0"/>
                <w:kern w:val="2"/>
                <w:sz w:val="24"/>
                <w:szCs w:val="24"/>
                <w:lang w:eastAsia="zh-CN" w:bidi="ar-SA"/>
              </w:rPr>
              <w:t>(/MedicalDevices/DeviceRegulationandGuidance/GuidanceDocuments/ucm070277.htm)</w:t>
            </w:r>
            <w:r>
              <w:rPr>
                <w:rStyle w:val="7"/>
                <w:rFonts w:eastAsia="宋体"/>
                <w:snapToGrid w:val="0"/>
                <w:kern w:val="2"/>
                <w:sz w:val="24"/>
                <w:szCs w:val="24"/>
                <w:lang w:eastAsia="zh-CN" w:bidi="ar-SA"/>
              </w:rPr>
              <w:fldChar w:fldCharType="end"/>
            </w:r>
          </w:p>
        </w:tc>
      </w:tr>
      <w:tr w14:paraId="527339FD">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2ED7AF50">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草案指南</w:t>
            </w:r>
            <w:r>
              <w:fldChar w:fldCharType="begin"/>
            </w:r>
            <w:r>
              <w:instrText xml:space="preserve"> HYPERLINK "https://www.fda.gov/MedicalDevices/DeviceRegulationandGuidance/GuidanceDocuments/ucm407274.htm" </w:instrText>
            </w:r>
            <w:r>
              <w:fldChar w:fldCharType="separate"/>
            </w:r>
            <w:r>
              <w:rPr>
                <w:rStyle w:val="7"/>
                <w:rFonts w:eastAsia="宋体"/>
                <w:snapToGrid w:val="0"/>
                <w:kern w:val="2"/>
                <w:sz w:val="24"/>
                <w:szCs w:val="24"/>
                <w:lang w:eastAsia="zh-CN" w:bidi="ar-SA"/>
              </w:rPr>
              <w:t>(/MedicalDevices/DeviceRegulationandGuidance/GuidanceDocuments/ucm407274.htm)</w:t>
            </w:r>
            <w:r>
              <w:rPr>
                <w:rStyle w:val="7"/>
                <w:rFonts w:eastAsia="宋体"/>
                <w:snapToGrid w:val="0"/>
                <w:kern w:val="2"/>
                <w:sz w:val="24"/>
                <w:szCs w:val="24"/>
                <w:lang w:eastAsia="zh-CN" w:bidi="ar-SA"/>
              </w:rPr>
              <w:fldChar w:fldCharType="end"/>
            </w:r>
          </w:p>
        </w:tc>
      </w:tr>
      <w:tr w14:paraId="1AAC8BE7">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363A37A7">
            <w:pPr>
              <w:pStyle w:val="26"/>
              <w:widowControl/>
              <w:shd w:val="clear" w:color="auto" w:fill="auto"/>
              <w:topLinePunct/>
              <w:adjustRightInd w:val="0"/>
              <w:snapToGrid w:val="0"/>
              <w:spacing w:before="0" w:after="180" w:afterLines="50" w:line="288" w:lineRule="auto"/>
              <w:rPr>
                <w:rFonts w:eastAsia="宋体"/>
                <w:snapToGrid w:val="0"/>
                <w:kern w:val="2"/>
                <w:sz w:val="24"/>
                <w:szCs w:val="24"/>
                <w:u w:val="single"/>
                <w:lang w:eastAsia="zh-CN" w:bidi="ar-SA"/>
              </w:rPr>
            </w:pPr>
            <w:r>
              <w:rPr>
                <w:rFonts w:hint="eastAsia" w:eastAsia="宋体"/>
                <w:snapToGrid w:val="0"/>
                <w:kern w:val="2"/>
                <w:sz w:val="24"/>
                <w:szCs w:val="24"/>
                <w:u w:val="single"/>
                <w:lang w:eastAsia="zh-CN" w:bidi="ar-SA"/>
              </w:rPr>
              <w:t>辐射类产品指南</w:t>
            </w:r>
            <w:r>
              <w:fldChar w:fldCharType="begin"/>
            </w:r>
            <w:r>
              <w:instrText xml:space="preserve"> HYPERLINK "https://www.fda.gov/MedicalDevices/DeviceRegulationandGuidance/GuidanceDocuments/ucm283507.htm" </w:instrText>
            </w:r>
            <w:r>
              <w:fldChar w:fldCharType="separate"/>
            </w:r>
            <w:r>
              <w:rPr>
                <w:rStyle w:val="7"/>
                <w:rFonts w:eastAsia="宋体"/>
                <w:snapToGrid w:val="0"/>
                <w:kern w:val="2"/>
                <w:sz w:val="24"/>
                <w:szCs w:val="24"/>
                <w:lang w:eastAsia="zh-CN" w:bidi="ar-SA"/>
              </w:rPr>
              <w:t>(/MedicalDevices/DeviceRegulationandGuidance/GuidanceDocuments/ucm283507.htm)</w:t>
            </w:r>
            <w:r>
              <w:rPr>
                <w:rStyle w:val="7"/>
                <w:rFonts w:eastAsia="宋体"/>
                <w:snapToGrid w:val="0"/>
                <w:kern w:val="2"/>
                <w:sz w:val="24"/>
                <w:szCs w:val="24"/>
                <w:lang w:eastAsia="zh-CN" w:bidi="ar-SA"/>
              </w:rPr>
              <w:fldChar w:fldCharType="end"/>
            </w:r>
          </w:p>
        </w:tc>
      </w:tr>
      <w:tr w14:paraId="17ED4558">
        <w:tblPrEx>
          <w:tblBorders>
            <w:top w:val="single" w:color="D0CECE" w:themeColor="background2" w:themeShade="E6" w:sz="12" w:space="0"/>
            <w:left w:val="single" w:color="D0CECE" w:themeColor="background2" w:themeShade="E6" w:sz="12" w:space="0"/>
            <w:bottom w:val="single" w:color="D0CECE" w:themeColor="background2" w:themeShade="E6" w:sz="12" w:space="0"/>
            <w:right w:val="single" w:color="D0CECE" w:themeColor="background2" w:themeShade="E6" w:sz="12" w:space="0"/>
            <w:insideH w:val="single" w:color="D0CECE" w:themeColor="background2" w:themeShade="E6" w:sz="12" w:space="0"/>
            <w:insideV w:val="single" w:color="D0CECE" w:themeColor="background2" w:themeShade="E6" w:sz="12" w:space="0"/>
          </w:tblBorders>
          <w:tblCellMar>
            <w:top w:w="0" w:type="dxa"/>
            <w:left w:w="108" w:type="dxa"/>
            <w:bottom w:w="0" w:type="dxa"/>
            <w:right w:w="108" w:type="dxa"/>
          </w:tblCellMar>
        </w:tblPrEx>
        <w:tc>
          <w:tcPr>
            <w:tcW w:w="9236" w:type="dxa"/>
          </w:tcPr>
          <w:p w14:paraId="006C377B">
            <w:pPr>
              <w:pStyle w:val="26"/>
              <w:widowControl/>
              <w:shd w:val="clear" w:color="auto" w:fill="auto"/>
              <w:topLinePunct/>
              <w:adjustRightInd w:val="0"/>
              <w:snapToGrid w:val="0"/>
              <w:spacing w:before="0" w:after="180" w:afterLines="50" w:line="288" w:lineRule="auto"/>
              <w:rPr>
                <w:rStyle w:val="7"/>
                <w:rFonts w:eastAsia="宋体"/>
                <w:snapToGrid w:val="0"/>
                <w:kern w:val="2"/>
                <w:sz w:val="24"/>
                <w:szCs w:val="24"/>
                <w:lang w:eastAsia="zh-CN" w:bidi="ar-SA"/>
              </w:rPr>
            </w:pPr>
            <w:r>
              <w:rPr>
                <w:rFonts w:hint="eastAsia" w:eastAsia="宋体"/>
                <w:snapToGrid w:val="0"/>
                <w:kern w:val="2"/>
                <w:sz w:val="24"/>
                <w:szCs w:val="24"/>
                <w:u w:val="single"/>
                <w:lang w:eastAsia="zh-CN" w:bidi="ar-SA"/>
              </w:rPr>
              <w:t>撤回指南</w:t>
            </w:r>
            <w:r>
              <w:fldChar w:fldCharType="begin"/>
            </w:r>
            <w:r>
              <w:instrText xml:space="preserve"> HYPERLINK "https://www.fda.gov/MedicalDevices/DeviceRegulationandGuidance/GuidanceDocuments/ucm425025.htm" </w:instrText>
            </w:r>
            <w:r>
              <w:fldChar w:fldCharType="separate"/>
            </w:r>
            <w:r>
              <w:rPr>
                <w:rStyle w:val="7"/>
                <w:rFonts w:eastAsia="宋体"/>
                <w:snapToGrid w:val="0"/>
                <w:kern w:val="2"/>
                <w:sz w:val="24"/>
                <w:szCs w:val="24"/>
                <w:lang w:eastAsia="zh-CN" w:bidi="ar-SA"/>
              </w:rPr>
              <w:t>(/MedicalDevices/DeviceRegulationandGuidance/GuidanceDocuments/ucm425025.htm)</w:t>
            </w:r>
            <w:r>
              <w:rPr>
                <w:rStyle w:val="7"/>
                <w:rFonts w:eastAsia="宋体"/>
                <w:snapToGrid w:val="0"/>
                <w:kern w:val="2"/>
                <w:sz w:val="24"/>
                <w:szCs w:val="24"/>
                <w:lang w:eastAsia="zh-CN" w:bidi="ar-SA"/>
              </w:rPr>
              <w:fldChar w:fldCharType="end"/>
            </w:r>
          </w:p>
        </w:tc>
      </w:tr>
    </w:tbl>
    <w:p w14:paraId="3D373EA6">
      <w:pPr>
        <w:pStyle w:val="26"/>
        <w:shd w:val="clear" w:color="auto" w:fill="auto"/>
        <w:topLinePunct/>
        <w:adjustRightInd w:val="0"/>
        <w:snapToGrid w:val="0"/>
        <w:spacing w:before="0" w:after="270" w:afterLines="75" w:line="288" w:lineRule="auto"/>
        <w:jc w:val="both"/>
        <w:rPr>
          <w:rStyle w:val="7"/>
          <w:rFonts w:eastAsia="宋体"/>
          <w:snapToGrid w:val="0"/>
          <w:sz w:val="24"/>
          <w:szCs w:val="24"/>
          <w:lang w:eastAsia="zh-CN"/>
        </w:rPr>
      </w:pPr>
    </w:p>
    <w:p w14:paraId="6C9329D8">
      <w:pPr>
        <w:pStyle w:val="26"/>
        <w:shd w:val="clear" w:color="auto" w:fill="auto"/>
        <w:topLinePunct/>
        <w:adjustRightInd w:val="0"/>
        <w:snapToGrid w:val="0"/>
        <w:spacing w:before="0" w:after="270" w:afterLines="75" w:line="288" w:lineRule="auto"/>
        <w:jc w:val="both"/>
        <w:rPr>
          <w:rFonts w:eastAsia="宋体"/>
          <w:snapToGrid w:val="0"/>
          <w:sz w:val="24"/>
          <w:szCs w:val="24"/>
          <w:lang w:eastAsia="zh-CN"/>
        </w:rPr>
      </w:pPr>
    </w:p>
    <w:p w14:paraId="5304B47B">
      <w:pPr>
        <w:pStyle w:val="12"/>
        <w:shd w:val="clear" w:color="auto" w:fill="auto"/>
        <w:topLinePunct/>
        <w:adjustRightInd w:val="0"/>
        <w:snapToGrid w:val="0"/>
        <w:spacing w:after="270" w:afterLines="75" w:line="288" w:lineRule="auto"/>
        <w:jc w:val="both"/>
        <w:rPr>
          <w:rFonts w:hint="eastAsia" w:eastAsia="等线"/>
          <w:lang w:eastAsia="zh-CN"/>
        </w:rPr>
      </w:pPr>
    </w:p>
    <w:p w14:paraId="17CEC7B0">
      <w:pPr>
        <w:pStyle w:val="12"/>
        <w:shd w:val="clear" w:color="auto" w:fill="auto"/>
        <w:topLinePunct/>
        <w:adjustRightInd w:val="0"/>
        <w:snapToGrid w:val="0"/>
        <w:spacing w:after="270" w:afterLines="75" w:line="288" w:lineRule="auto"/>
        <w:jc w:val="center"/>
        <w:rPr>
          <w:rFonts w:hint="eastAsia" w:eastAsia="等线"/>
          <w:lang w:eastAsia="zh-CN"/>
        </w:rPr>
      </w:pPr>
    </w:p>
    <w:p w14:paraId="533DEE51">
      <w:pPr>
        <w:pStyle w:val="12"/>
        <w:shd w:val="clear" w:color="auto" w:fill="auto"/>
        <w:topLinePunct/>
        <w:adjustRightInd w:val="0"/>
        <w:snapToGrid w:val="0"/>
        <w:spacing w:after="270"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0" w:h="16840"/>
      <w:pgMar w:top="1134" w:right="1440" w:bottom="1134" w:left="1440" w:header="454" w:footer="283"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_HKSCS">
    <w:altName w:val="Adobe 明體 Std L"/>
    <w:panose1 w:val="00000000000000000000"/>
    <w:charset w:val="88"/>
    <w:family w:val="roman"/>
    <w:pitch w:val="default"/>
    <w:sig w:usb0="00000000" w:usb1="00000000" w:usb2="00000016" w:usb3="00000000" w:csb0="00100001"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Adobe 明體 Std L">
    <w:panose1 w:val="020203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ED4B">
    <w:pPr>
      <w:pStyle w:val="2"/>
      <w:rPr>
        <w:rFonts w:eastAsiaTheme="minorEastAsia"/>
        <w:lang w:eastAsia="zh-CN"/>
      </w:rPr>
    </w:pPr>
  </w:p>
  <w:p w14:paraId="12524D3F">
    <w:pPr>
      <w:pStyle w:val="12"/>
      <w:shd w:val="clear" w:color="auto" w:fill="auto"/>
      <w:tabs>
        <w:tab w:val="right" w:pos="9020"/>
      </w:tabs>
      <w:topLinePunct/>
      <w:adjustRightInd w:val="0"/>
      <w:snapToGrid w:val="0"/>
      <w:spacing w:after="180" w:afterLines="75" w:line="288" w:lineRule="auto"/>
      <w:jc w:val="both"/>
      <w:rPr>
        <w:rFonts w:eastAsia="宋体"/>
        <w:snapToGrid w:val="0"/>
        <w:sz w:val="16"/>
        <w:lang w:eastAsia="zh-CN"/>
      </w:rPr>
    </w:pPr>
    <w:r>
      <w:rPr>
        <w:rStyle w:val="13"/>
        <w:rFonts w:eastAsia="宋体"/>
        <w:snapToGrid w:val="0"/>
        <w:sz w:val="16"/>
      </w:rPr>
      <w:t>https://www_fda.gov/MedicalDevices/DeviceRegulationandGuidance/GuidanceDocuments/ucm073677.htm</w:t>
    </w:r>
    <w:r>
      <w:rPr>
        <w:rStyle w:val="13"/>
        <w:rFonts w:eastAsia="宋体"/>
        <w:snapToGrid w:val="0"/>
        <w:sz w:val="16"/>
      </w:rPr>
      <w:tab/>
    </w:r>
    <w:r>
      <w:rPr>
        <w:sz w:val="6"/>
      </w:rPr>
      <w:fldChar w:fldCharType="begin"/>
    </w:r>
    <w:r>
      <w:rPr>
        <w:rFonts w:eastAsia="宋体"/>
        <w:snapToGrid w:val="0"/>
        <w:sz w:val="16"/>
      </w:rPr>
      <w:instrText xml:space="preserve"> PAGE \* MERGEFORMAT </w:instrText>
    </w:r>
    <w:r>
      <w:rPr>
        <w:sz w:val="6"/>
      </w:rPr>
      <w:fldChar w:fldCharType="separate"/>
    </w:r>
    <w:r>
      <w:rPr>
        <w:rStyle w:val="13"/>
        <w:rFonts w:eastAsia="宋体"/>
        <w:sz w:val="16"/>
      </w:rPr>
      <w:t>8</w:t>
    </w:r>
    <w:r>
      <w:rPr>
        <w:rStyle w:val="13"/>
        <w:rFonts w:eastAsia="宋体"/>
        <w:snapToGrid w:val="0"/>
        <w:sz w:val="16"/>
      </w:rPr>
      <w:fldChar w:fldCharType="end"/>
    </w:r>
    <w:r>
      <w:rPr>
        <w:rStyle w:val="13"/>
        <w:rFonts w:eastAsia="宋体"/>
        <w:snapToGrid w:val="0"/>
        <w:sz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5DAD">
    <w:pPr>
      <w:pStyle w:val="3"/>
      <w:pBdr>
        <w:bottom w:val="none" w:color="auto" w:sz="0" w:space="0"/>
      </w:pBdr>
      <w:jc w:val="both"/>
      <w:rPr>
        <w:rStyle w:val="13"/>
        <w:rFonts w:eastAsia="宋体"/>
        <w:snapToGrid w:val="0"/>
        <w:sz w:val="18"/>
        <w:lang w:val="zh-TW" w:eastAsia="zh-CN" w:bidi="zh-TW"/>
      </w:rPr>
    </w:pPr>
    <w:r>
      <w:rPr>
        <w:rStyle w:val="13"/>
        <w:rFonts w:eastAsia="宋体"/>
        <w:snapToGrid w:val="0"/>
        <w:sz w:val="18"/>
        <w:lang w:val="zh-TW" w:eastAsia="zh-TW" w:bidi="zh-TW"/>
      </w:rPr>
      <w:t xml:space="preserve">2017/8/10 </w:t>
    </w:r>
    <w:r>
      <w:rPr>
        <w:rStyle w:val="13"/>
        <w:rFonts w:hint="eastAsia" w:eastAsia="宋体"/>
        <w:snapToGrid w:val="0"/>
        <w:sz w:val="18"/>
        <w:lang w:eastAsia="zh-CN"/>
      </w:rPr>
      <w:t>治疗典型心房扑动的心脏射频消融试验用器械豁免（</w:t>
    </w:r>
    <w:r>
      <w:rPr>
        <w:rStyle w:val="13"/>
        <w:rFonts w:eastAsia="宋体"/>
        <w:snapToGrid w:val="0"/>
        <w:sz w:val="18"/>
        <w:lang w:eastAsia="zh-CN"/>
      </w:rPr>
      <w:t>IDE）的研究招募；行</w:t>
    </w:r>
    <w:r>
      <w:rPr>
        <w:rStyle w:val="13"/>
        <w:rFonts w:hint="eastAsia" w:eastAsia="宋体"/>
        <w:snapToGrid w:val="0"/>
        <w:sz w:val="18"/>
        <w:lang w:eastAsia="zh-CN"/>
      </w:rPr>
      <w:t>业及</w:t>
    </w:r>
    <w:r>
      <w:rPr>
        <w:rStyle w:val="13"/>
        <w:rFonts w:eastAsia="宋体"/>
        <w:snapToGrid w:val="0"/>
        <w:sz w:val="18"/>
        <w:lang w:eastAsia="zh-CN"/>
      </w:rPr>
      <w:t>FDA</w:t>
    </w:r>
    <w:r>
      <w:rPr>
        <w:rStyle w:val="13"/>
        <w:rFonts w:hint="eastAsia" w:eastAsia="宋体"/>
        <w:snapToGrid w:val="0"/>
        <w:sz w:val="18"/>
        <w:lang w:eastAsia="zh-CN"/>
      </w:rPr>
      <w:t>审查员最终指南</w:t>
    </w:r>
  </w:p>
  <w:p w14:paraId="0422697A">
    <w:pPr>
      <w:pStyle w:val="3"/>
      <w:pBdr>
        <w:bottom w:val="none" w:color="auto" w:sz="0" w:space="0"/>
      </w:pBdr>
      <w:rPr>
        <w:rFonts w:eastAsiaTheme="minorEastAsia"/>
        <w:lang w:eastAsia="zh-CN"/>
      </w:rPr>
    </w:pPr>
  </w:p>
  <w:p w14:paraId="5B9069A5">
    <w:pPr>
      <w:pStyle w:val="3"/>
      <w:pBdr>
        <w:bottom w:val="none" w:color="auto" w:sz="0" w:space="0"/>
      </w:pBd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80348"/>
    <w:multiLevelType w:val="multilevel"/>
    <w:tmpl w:val="08C803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68E1321"/>
    <w:multiLevelType w:val="multilevel"/>
    <w:tmpl w:val="368E13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1"/>
  <w:drawingGridHorizontalSpacing w:val="126"/>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6E"/>
    <w:rsid w:val="000070F7"/>
    <w:rsid w:val="00081D92"/>
    <w:rsid w:val="00091F78"/>
    <w:rsid w:val="000A7D04"/>
    <w:rsid w:val="000B1431"/>
    <w:rsid w:val="000B435B"/>
    <w:rsid w:val="000B46B0"/>
    <w:rsid w:val="000C0784"/>
    <w:rsid w:val="00126830"/>
    <w:rsid w:val="00145CD5"/>
    <w:rsid w:val="001532EB"/>
    <w:rsid w:val="0016329B"/>
    <w:rsid w:val="00187707"/>
    <w:rsid w:val="001C2CDB"/>
    <w:rsid w:val="001D2545"/>
    <w:rsid w:val="001F1088"/>
    <w:rsid w:val="001F4FF3"/>
    <w:rsid w:val="0020023C"/>
    <w:rsid w:val="0022799A"/>
    <w:rsid w:val="00233023"/>
    <w:rsid w:val="00280952"/>
    <w:rsid w:val="0029628B"/>
    <w:rsid w:val="002A414B"/>
    <w:rsid w:val="002C67A5"/>
    <w:rsid w:val="002D4FEA"/>
    <w:rsid w:val="002D5FD3"/>
    <w:rsid w:val="002E52B8"/>
    <w:rsid w:val="00314376"/>
    <w:rsid w:val="00334799"/>
    <w:rsid w:val="003368CE"/>
    <w:rsid w:val="00340E06"/>
    <w:rsid w:val="003655F9"/>
    <w:rsid w:val="00386BD6"/>
    <w:rsid w:val="00394E0F"/>
    <w:rsid w:val="003A539C"/>
    <w:rsid w:val="003C7FC4"/>
    <w:rsid w:val="003F5252"/>
    <w:rsid w:val="0040081E"/>
    <w:rsid w:val="00403A3A"/>
    <w:rsid w:val="00407E03"/>
    <w:rsid w:val="0041634E"/>
    <w:rsid w:val="004408D8"/>
    <w:rsid w:val="004526E7"/>
    <w:rsid w:val="004558D2"/>
    <w:rsid w:val="0046289A"/>
    <w:rsid w:val="00487661"/>
    <w:rsid w:val="00494E1F"/>
    <w:rsid w:val="004A2545"/>
    <w:rsid w:val="004B547F"/>
    <w:rsid w:val="004C380E"/>
    <w:rsid w:val="004C5980"/>
    <w:rsid w:val="004C7F76"/>
    <w:rsid w:val="004E4A67"/>
    <w:rsid w:val="004E701F"/>
    <w:rsid w:val="004F1E25"/>
    <w:rsid w:val="00512C9A"/>
    <w:rsid w:val="005137C8"/>
    <w:rsid w:val="0052654F"/>
    <w:rsid w:val="00527B2C"/>
    <w:rsid w:val="0055229E"/>
    <w:rsid w:val="0056282F"/>
    <w:rsid w:val="00593B33"/>
    <w:rsid w:val="005B0F27"/>
    <w:rsid w:val="005C2B2A"/>
    <w:rsid w:val="005E5977"/>
    <w:rsid w:val="00635DBE"/>
    <w:rsid w:val="0067713B"/>
    <w:rsid w:val="006954B8"/>
    <w:rsid w:val="006B7909"/>
    <w:rsid w:val="006C377E"/>
    <w:rsid w:val="006D3172"/>
    <w:rsid w:val="00725769"/>
    <w:rsid w:val="0073661F"/>
    <w:rsid w:val="007518D0"/>
    <w:rsid w:val="007718BC"/>
    <w:rsid w:val="007A0720"/>
    <w:rsid w:val="007A3089"/>
    <w:rsid w:val="007B5580"/>
    <w:rsid w:val="007C72A1"/>
    <w:rsid w:val="007F0D7E"/>
    <w:rsid w:val="00812A2A"/>
    <w:rsid w:val="00817228"/>
    <w:rsid w:val="0084066E"/>
    <w:rsid w:val="00880D29"/>
    <w:rsid w:val="00897762"/>
    <w:rsid w:val="00903C99"/>
    <w:rsid w:val="00905488"/>
    <w:rsid w:val="0091047A"/>
    <w:rsid w:val="00914B6C"/>
    <w:rsid w:val="009226FE"/>
    <w:rsid w:val="00946D68"/>
    <w:rsid w:val="00964F1B"/>
    <w:rsid w:val="009671AE"/>
    <w:rsid w:val="00971470"/>
    <w:rsid w:val="00990418"/>
    <w:rsid w:val="009978B4"/>
    <w:rsid w:val="009A6519"/>
    <w:rsid w:val="009C318A"/>
    <w:rsid w:val="009D646D"/>
    <w:rsid w:val="009E16C2"/>
    <w:rsid w:val="009F0C63"/>
    <w:rsid w:val="00A228DD"/>
    <w:rsid w:val="00A27E50"/>
    <w:rsid w:val="00A35868"/>
    <w:rsid w:val="00A4302E"/>
    <w:rsid w:val="00A80C49"/>
    <w:rsid w:val="00A92C07"/>
    <w:rsid w:val="00AC0C76"/>
    <w:rsid w:val="00AC40BA"/>
    <w:rsid w:val="00AD43A2"/>
    <w:rsid w:val="00AF2031"/>
    <w:rsid w:val="00B66F42"/>
    <w:rsid w:val="00B73758"/>
    <w:rsid w:val="00B847DF"/>
    <w:rsid w:val="00B87414"/>
    <w:rsid w:val="00B93DCE"/>
    <w:rsid w:val="00BD1317"/>
    <w:rsid w:val="00BE2733"/>
    <w:rsid w:val="00BE2AFA"/>
    <w:rsid w:val="00BF473B"/>
    <w:rsid w:val="00BF6920"/>
    <w:rsid w:val="00C266C7"/>
    <w:rsid w:val="00C46895"/>
    <w:rsid w:val="00C834D2"/>
    <w:rsid w:val="00C83980"/>
    <w:rsid w:val="00C9027D"/>
    <w:rsid w:val="00CA14B8"/>
    <w:rsid w:val="00D072FC"/>
    <w:rsid w:val="00D239A0"/>
    <w:rsid w:val="00D25A5B"/>
    <w:rsid w:val="00D41D0D"/>
    <w:rsid w:val="00D428B2"/>
    <w:rsid w:val="00D5116C"/>
    <w:rsid w:val="00D641DC"/>
    <w:rsid w:val="00D6723F"/>
    <w:rsid w:val="00D7408B"/>
    <w:rsid w:val="00DE4F17"/>
    <w:rsid w:val="00E0720A"/>
    <w:rsid w:val="00E163DF"/>
    <w:rsid w:val="00E22D6C"/>
    <w:rsid w:val="00E2366F"/>
    <w:rsid w:val="00E43348"/>
    <w:rsid w:val="00E546F9"/>
    <w:rsid w:val="00E65438"/>
    <w:rsid w:val="00E70115"/>
    <w:rsid w:val="00E873A2"/>
    <w:rsid w:val="00EB6939"/>
    <w:rsid w:val="00ED2FF1"/>
    <w:rsid w:val="00ED74B1"/>
    <w:rsid w:val="00EF6CA5"/>
    <w:rsid w:val="00F044F7"/>
    <w:rsid w:val="00F50384"/>
    <w:rsid w:val="00F628E0"/>
    <w:rsid w:val="00F91F57"/>
    <w:rsid w:val="00FA24D9"/>
    <w:rsid w:val="00FC3DA5"/>
    <w:rsid w:val="00FE7A5C"/>
    <w:rsid w:val="3DCC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Theme="minorEastAsia" w:cs="MingLiU_HKSC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ngLiU_HKSCS" w:hAnsi="MingLiU_HKSCS" w:eastAsia="MingLiU_HKSCS" w:cs="MingLiU_HKSCS"/>
      <w:color w:val="000000"/>
      <w:sz w:val="24"/>
      <w:szCs w:val="24"/>
      <w:lang w:val="en-US" w:eastAsia="en-US" w:bidi="en-US"/>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0"/>
    <w:unhideWhenUsed/>
    <w:qFormat/>
    <w:uiPriority w:val="99"/>
    <w:pPr>
      <w:tabs>
        <w:tab w:val="center" w:pos="4153"/>
        <w:tab w:val="right" w:pos="8306"/>
      </w:tabs>
      <w:snapToGrid w:val="0"/>
    </w:pPr>
    <w:rPr>
      <w:sz w:val="18"/>
      <w:szCs w:val="18"/>
    </w:rPr>
  </w:style>
  <w:style w:type="paragraph" w:styleId="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pPr>
    <w:rPr>
      <w:rFonts w:asciiTheme="minorHAnsi" w:hAnsiTheme="minorHAnsi" w:cstheme="minorBidi"/>
      <w:kern w:val="2"/>
      <w:sz w:val="21"/>
      <w:szCs w:val="22"/>
      <w:lang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66CC"/>
      <w:u w:val="single"/>
    </w:rPr>
  </w:style>
  <w:style w:type="character" w:customStyle="1" w:styleId="8">
    <w:name w:val="正文文本 (6) Exact"/>
    <w:basedOn w:val="6"/>
    <w:qFormat/>
    <w:uiPriority w:val="0"/>
    <w:rPr>
      <w:rFonts w:ascii="Arial" w:hAnsi="Arial" w:eastAsia="Arial" w:cs="Arial"/>
      <w:b/>
      <w:bCs/>
      <w:sz w:val="22"/>
      <w:szCs w:val="22"/>
      <w:u w:val="none"/>
    </w:rPr>
  </w:style>
  <w:style w:type="character" w:customStyle="1" w:styleId="9">
    <w:name w:val="正文文本 (3)_"/>
    <w:basedOn w:val="6"/>
    <w:link w:val="10"/>
    <w:qFormat/>
    <w:uiPriority w:val="0"/>
    <w:rPr>
      <w:rFonts w:ascii="Arial" w:hAnsi="Arial" w:eastAsia="Arial" w:cs="Arial"/>
      <w:b/>
      <w:bCs/>
      <w:sz w:val="62"/>
      <w:szCs w:val="62"/>
      <w:u w:val="none"/>
    </w:rPr>
  </w:style>
  <w:style w:type="paragraph" w:customStyle="1" w:styleId="10">
    <w:name w:val="正文文本 (3)"/>
    <w:basedOn w:val="1"/>
    <w:link w:val="9"/>
    <w:qFormat/>
    <w:uiPriority w:val="0"/>
    <w:pPr>
      <w:shd w:val="clear" w:color="auto" w:fill="FFFFFF"/>
      <w:spacing w:after="180" w:line="638" w:lineRule="exact"/>
    </w:pPr>
    <w:rPr>
      <w:rFonts w:ascii="Arial" w:hAnsi="Arial" w:eastAsia="Arial" w:cs="Arial"/>
      <w:b/>
      <w:bCs/>
      <w:sz w:val="62"/>
      <w:szCs w:val="62"/>
    </w:rPr>
  </w:style>
  <w:style w:type="character" w:customStyle="1" w:styleId="11">
    <w:name w:val="页眉或页脚_"/>
    <w:basedOn w:val="6"/>
    <w:link w:val="12"/>
    <w:qFormat/>
    <w:uiPriority w:val="0"/>
    <w:rPr>
      <w:rFonts w:ascii="Arial" w:hAnsi="Arial" w:eastAsia="Arial" w:cs="Arial"/>
      <w:sz w:val="14"/>
      <w:szCs w:val="14"/>
      <w:u w:val="none"/>
    </w:rPr>
  </w:style>
  <w:style w:type="paragraph" w:customStyle="1" w:styleId="12">
    <w:name w:val="页眉或页脚1"/>
    <w:basedOn w:val="1"/>
    <w:link w:val="11"/>
    <w:qFormat/>
    <w:uiPriority w:val="0"/>
    <w:pPr>
      <w:shd w:val="clear" w:color="auto" w:fill="FFFFFF"/>
      <w:spacing w:line="0" w:lineRule="atLeast"/>
    </w:pPr>
    <w:rPr>
      <w:rFonts w:ascii="Arial" w:hAnsi="Arial" w:eastAsia="Arial" w:cs="Arial"/>
      <w:sz w:val="14"/>
      <w:szCs w:val="14"/>
    </w:rPr>
  </w:style>
  <w:style w:type="character" w:customStyle="1" w:styleId="13">
    <w:name w:val="页眉或页脚"/>
    <w:basedOn w:val="11"/>
    <w:qFormat/>
    <w:uiPriority w:val="0"/>
    <w:rPr>
      <w:rFonts w:ascii="Arial" w:hAnsi="Arial" w:eastAsia="Arial" w:cs="Arial"/>
      <w:color w:val="000000"/>
      <w:spacing w:val="0"/>
      <w:w w:val="100"/>
      <w:position w:val="0"/>
      <w:sz w:val="14"/>
      <w:szCs w:val="14"/>
      <w:u w:val="none"/>
      <w:lang w:val="en-US" w:eastAsia="en-US" w:bidi="en-US"/>
    </w:rPr>
  </w:style>
  <w:style w:type="character" w:customStyle="1" w:styleId="14">
    <w:name w:val="正文文本 (2)_"/>
    <w:basedOn w:val="6"/>
    <w:link w:val="15"/>
    <w:qFormat/>
    <w:uiPriority w:val="0"/>
    <w:rPr>
      <w:rFonts w:ascii="Arial" w:hAnsi="Arial" w:eastAsia="Arial" w:cs="Arial"/>
      <w:u w:val="none"/>
    </w:rPr>
  </w:style>
  <w:style w:type="paragraph" w:customStyle="1" w:styleId="15">
    <w:name w:val="正文文本 (2)1"/>
    <w:basedOn w:val="1"/>
    <w:link w:val="14"/>
    <w:qFormat/>
    <w:uiPriority w:val="0"/>
    <w:pPr>
      <w:shd w:val="clear" w:color="auto" w:fill="FFFFFF"/>
      <w:spacing w:before="180" w:after="180" w:line="0" w:lineRule="atLeast"/>
      <w:ind w:hanging="360"/>
    </w:pPr>
    <w:rPr>
      <w:rFonts w:ascii="Arial" w:hAnsi="Arial" w:eastAsia="Arial" w:cs="Arial"/>
    </w:rPr>
  </w:style>
  <w:style w:type="character" w:customStyle="1" w:styleId="16">
    <w:name w:val="标题 #1_"/>
    <w:basedOn w:val="6"/>
    <w:link w:val="17"/>
    <w:qFormat/>
    <w:uiPriority w:val="0"/>
    <w:rPr>
      <w:rFonts w:ascii="Arial" w:hAnsi="Arial" w:eastAsia="Arial" w:cs="Arial"/>
      <w:b/>
      <w:bCs/>
      <w:sz w:val="32"/>
      <w:szCs w:val="32"/>
      <w:u w:val="none"/>
    </w:rPr>
  </w:style>
  <w:style w:type="paragraph" w:customStyle="1" w:styleId="17">
    <w:name w:val="标题 #1"/>
    <w:basedOn w:val="1"/>
    <w:link w:val="16"/>
    <w:qFormat/>
    <w:uiPriority w:val="0"/>
    <w:pPr>
      <w:shd w:val="clear" w:color="auto" w:fill="FFFFFF"/>
      <w:spacing w:before="840" w:after="420" w:line="0" w:lineRule="atLeast"/>
      <w:jc w:val="center"/>
      <w:outlineLvl w:val="0"/>
    </w:pPr>
    <w:rPr>
      <w:rFonts w:ascii="Arial" w:hAnsi="Arial" w:eastAsia="Arial" w:cs="Arial"/>
      <w:b/>
      <w:bCs/>
      <w:sz w:val="32"/>
      <w:szCs w:val="32"/>
    </w:rPr>
  </w:style>
  <w:style w:type="character" w:customStyle="1" w:styleId="18">
    <w:name w:val="正文文本 (2)"/>
    <w:basedOn w:val="14"/>
    <w:qFormat/>
    <w:uiPriority w:val="0"/>
    <w:rPr>
      <w:rFonts w:ascii="Arial" w:hAnsi="Arial" w:eastAsia="Arial" w:cs="Arial"/>
      <w:color w:val="000000"/>
      <w:spacing w:val="0"/>
      <w:w w:val="100"/>
      <w:position w:val="0"/>
      <w:sz w:val="24"/>
      <w:szCs w:val="24"/>
      <w:u w:val="single"/>
      <w:lang w:val="en-US" w:eastAsia="en-US" w:bidi="en-US"/>
    </w:rPr>
  </w:style>
  <w:style w:type="character" w:customStyle="1" w:styleId="19">
    <w:name w:val="正文文本 (4)_"/>
    <w:basedOn w:val="6"/>
    <w:link w:val="20"/>
    <w:qFormat/>
    <w:uiPriority w:val="0"/>
    <w:rPr>
      <w:rFonts w:ascii="Arial" w:hAnsi="Arial" w:eastAsia="Arial" w:cs="Arial"/>
      <w:b/>
      <w:bCs/>
      <w:sz w:val="44"/>
      <w:szCs w:val="44"/>
      <w:u w:val="none"/>
    </w:rPr>
  </w:style>
  <w:style w:type="paragraph" w:customStyle="1" w:styleId="20">
    <w:name w:val="正文文本 (4)"/>
    <w:basedOn w:val="1"/>
    <w:link w:val="19"/>
    <w:qFormat/>
    <w:uiPriority w:val="0"/>
    <w:pPr>
      <w:shd w:val="clear" w:color="auto" w:fill="FFFFFF"/>
      <w:spacing w:before="360" w:line="480" w:lineRule="exact"/>
      <w:jc w:val="center"/>
    </w:pPr>
    <w:rPr>
      <w:rFonts w:ascii="Arial" w:hAnsi="Arial" w:eastAsia="Arial" w:cs="Arial"/>
      <w:b/>
      <w:bCs/>
      <w:sz w:val="44"/>
      <w:szCs w:val="44"/>
    </w:rPr>
  </w:style>
  <w:style w:type="character" w:customStyle="1" w:styleId="21">
    <w:name w:val="正文文本 (5)_"/>
    <w:basedOn w:val="6"/>
    <w:link w:val="22"/>
    <w:qFormat/>
    <w:uiPriority w:val="0"/>
    <w:rPr>
      <w:rFonts w:ascii="Arial" w:hAnsi="Arial" w:eastAsia="Arial" w:cs="Arial"/>
      <w:i/>
      <w:iCs/>
      <w:u w:val="none"/>
    </w:rPr>
  </w:style>
  <w:style w:type="paragraph" w:customStyle="1" w:styleId="22">
    <w:name w:val="正文文本 (5)"/>
    <w:basedOn w:val="1"/>
    <w:link w:val="21"/>
    <w:qFormat/>
    <w:uiPriority w:val="0"/>
    <w:pPr>
      <w:shd w:val="clear" w:color="auto" w:fill="FFFFFF"/>
      <w:spacing w:before="360" w:after="600" w:line="350" w:lineRule="exact"/>
      <w:ind w:hanging="360"/>
    </w:pPr>
    <w:rPr>
      <w:rFonts w:ascii="Arial" w:hAnsi="Arial" w:eastAsia="Arial" w:cs="Arial"/>
      <w:i/>
      <w:iCs/>
    </w:rPr>
  </w:style>
  <w:style w:type="character" w:customStyle="1" w:styleId="23">
    <w:name w:val="正文文本 (2) + MS Gothic"/>
    <w:basedOn w:val="14"/>
    <w:qFormat/>
    <w:uiPriority w:val="0"/>
    <w:rPr>
      <w:rFonts w:ascii="MS Gothic" w:hAnsi="MS Gothic" w:eastAsia="MS Gothic" w:cs="MS Gothic"/>
      <w:color w:val="000000"/>
      <w:spacing w:val="0"/>
      <w:w w:val="100"/>
      <w:position w:val="0"/>
      <w:sz w:val="16"/>
      <w:szCs w:val="16"/>
      <w:u w:val="none"/>
      <w:lang w:val="en-US" w:eastAsia="en-US" w:bidi="en-US"/>
    </w:rPr>
  </w:style>
  <w:style w:type="character" w:customStyle="1" w:styleId="24">
    <w:name w:val="正文文本 (5) + 非斜体"/>
    <w:basedOn w:val="21"/>
    <w:qFormat/>
    <w:uiPriority w:val="0"/>
    <w:rPr>
      <w:rFonts w:ascii="Arial" w:hAnsi="Arial" w:eastAsia="Arial" w:cs="Arial"/>
      <w:color w:val="000000"/>
      <w:spacing w:val="0"/>
      <w:w w:val="100"/>
      <w:position w:val="0"/>
      <w:sz w:val="24"/>
      <w:szCs w:val="24"/>
      <w:u w:val="none"/>
      <w:lang w:val="en-US" w:eastAsia="en-US" w:bidi="en-US"/>
    </w:rPr>
  </w:style>
  <w:style w:type="character" w:customStyle="1" w:styleId="25">
    <w:name w:val="正文文本 (6)_"/>
    <w:basedOn w:val="6"/>
    <w:link w:val="26"/>
    <w:qFormat/>
    <w:uiPriority w:val="0"/>
    <w:rPr>
      <w:rFonts w:ascii="Arial" w:hAnsi="Arial" w:eastAsia="Arial" w:cs="Arial"/>
      <w:b/>
      <w:bCs/>
      <w:sz w:val="22"/>
      <w:szCs w:val="22"/>
      <w:u w:val="none"/>
    </w:rPr>
  </w:style>
  <w:style w:type="paragraph" w:customStyle="1" w:styleId="26">
    <w:name w:val="正文文本 (6)1"/>
    <w:basedOn w:val="1"/>
    <w:link w:val="25"/>
    <w:qFormat/>
    <w:uiPriority w:val="0"/>
    <w:pPr>
      <w:shd w:val="clear" w:color="auto" w:fill="FFFFFF"/>
      <w:spacing w:before="420" w:after="60" w:line="0" w:lineRule="atLeast"/>
    </w:pPr>
    <w:rPr>
      <w:rFonts w:ascii="Arial" w:hAnsi="Arial" w:eastAsia="Arial" w:cs="Arial"/>
      <w:b/>
      <w:bCs/>
      <w:sz w:val="22"/>
      <w:szCs w:val="22"/>
    </w:rPr>
  </w:style>
  <w:style w:type="character" w:customStyle="1" w:styleId="27">
    <w:name w:val="正文文本 (6)"/>
    <w:basedOn w:val="25"/>
    <w:qFormat/>
    <w:uiPriority w:val="0"/>
    <w:rPr>
      <w:rFonts w:ascii="Arial" w:hAnsi="Arial" w:eastAsia="Arial" w:cs="Arial"/>
      <w:color w:val="000000"/>
      <w:spacing w:val="0"/>
      <w:w w:val="100"/>
      <w:position w:val="0"/>
      <w:sz w:val="22"/>
      <w:szCs w:val="22"/>
      <w:u w:val="single"/>
      <w:lang w:val="en-US" w:eastAsia="en-US" w:bidi="en-US"/>
    </w:rPr>
  </w:style>
  <w:style w:type="character" w:customStyle="1" w:styleId="28">
    <w:name w:val="op_dict_text22"/>
    <w:basedOn w:val="6"/>
    <w:qFormat/>
    <w:uiPriority w:val="0"/>
  </w:style>
  <w:style w:type="character" w:customStyle="1" w:styleId="29">
    <w:name w:val="页眉 Char"/>
    <w:basedOn w:val="6"/>
    <w:link w:val="3"/>
    <w:qFormat/>
    <w:uiPriority w:val="99"/>
    <w:rPr>
      <w:rFonts w:eastAsia="MingLiU_HKSCS"/>
      <w:color w:val="000000"/>
      <w:sz w:val="18"/>
      <w:szCs w:val="18"/>
    </w:rPr>
  </w:style>
  <w:style w:type="character" w:customStyle="1" w:styleId="30">
    <w:name w:val="页脚 Char"/>
    <w:basedOn w:val="6"/>
    <w:link w:val="2"/>
    <w:qFormat/>
    <w:uiPriority w:val="99"/>
    <w:rPr>
      <w:rFonts w:eastAsia="MingLiU_HKSCS"/>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DB87-76CC-4918-AD53-215814C4EF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4173</Words>
  <Characters>5745</Characters>
  <Lines>53</Lines>
  <Paragraphs>15</Paragraphs>
  <TotalTime>0</TotalTime>
  <ScaleCrop>false</ScaleCrop>
  <LinksUpToDate>false</LinksUpToDate>
  <CharactersWithSpaces>5758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2017-12-15T09:59:00Z</dcterms:created>
  <dc:creator>lyn</dc:creator>
  <cp:lastModifiedBy>太极箫客</cp:lastModifiedBy>
  <dcterms:modified xsi:type="dcterms:W3CDTF">2025-08-14T07:01:11Z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057D1D60E1D54F3DAE8F3FD04FACF27D_12</vt:lpwstr>
  </property>
</Properties>
</file>