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9020E">
      <w:pPr>
        <w:spacing w:line="560" w:lineRule="exact"/>
        <w:jc w:val="left"/>
        <w:rPr>
          <w:rFonts w:ascii="黑体" w:hAnsi="黑体" w:eastAsia="黑体"/>
          <w:bCs/>
          <w:kern w:val="0"/>
          <w:sz w:val="32"/>
          <w:szCs w:val="32"/>
        </w:rPr>
      </w:pPr>
      <w:bookmarkStart w:id="0" w:name="_GoBack"/>
      <w:bookmarkEnd w:id="0"/>
      <w:r>
        <w:rPr>
          <w:rFonts w:ascii="黑体" w:hAnsi="黑体" w:eastAsia="黑体"/>
          <w:bCs/>
          <w:kern w:val="0"/>
          <w:sz w:val="32"/>
          <w:szCs w:val="32"/>
        </w:rPr>
        <w:t>附件5</w:t>
      </w:r>
    </w:p>
    <w:p w14:paraId="517AD39C">
      <w:pPr>
        <w:spacing w:line="560" w:lineRule="exact"/>
        <w:jc w:val="left"/>
        <w:rPr>
          <w:rFonts w:eastAsia="方正小标宋简体"/>
          <w:bCs/>
          <w:kern w:val="0"/>
          <w:sz w:val="32"/>
          <w:szCs w:val="32"/>
        </w:rPr>
      </w:pPr>
    </w:p>
    <w:p w14:paraId="1549FF7D">
      <w:pPr>
        <w:spacing w:line="560" w:lineRule="exact"/>
        <w:jc w:val="center"/>
        <w:rPr>
          <w:rFonts w:hint="eastAsia" w:ascii="方正小标宋简体" w:eastAsia="方正小标宋简体"/>
          <w:bCs/>
          <w:kern w:val="0"/>
          <w:sz w:val="44"/>
          <w:szCs w:val="44"/>
        </w:rPr>
      </w:pPr>
      <w:r>
        <w:rPr>
          <w:rFonts w:hint="eastAsia" w:ascii="方正小标宋简体" w:eastAsia="方正小标宋简体"/>
          <w:bCs/>
          <w:kern w:val="0"/>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简体" w:eastAsia="方正小标宋简体"/>
          <w:bCs/>
          <w:kern w:val="0"/>
          <w:sz w:val="44"/>
          <w:szCs w:val="44"/>
        </w:rPr>
        <w:instrText xml:space="preserve">ADDIN CNKISM.UserStyle</w:instrText>
      </w:r>
      <w:r>
        <w:rPr>
          <w:rFonts w:hint="eastAsia" w:ascii="方正小标宋简体" w:eastAsia="方正小标宋简体"/>
          <w:bCs/>
          <w:kern w:val="0"/>
          <w:sz w:val="44"/>
          <w:szCs w:val="44"/>
        </w:rPr>
        <w:fldChar w:fldCharType="end"/>
      </w:r>
      <w:r>
        <w:rPr>
          <w:rFonts w:hint="eastAsia" w:ascii="方正小标宋简体" w:eastAsia="方正小标宋简体"/>
          <w:bCs/>
          <w:kern w:val="0"/>
          <w:sz w:val="44"/>
          <w:szCs w:val="44"/>
        </w:rPr>
        <w:t>氨基酸、肉碱及琥珀酰丙酮检测试剂注册</w:t>
      </w:r>
    </w:p>
    <w:p w14:paraId="72283907">
      <w:pPr>
        <w:spacing w:line="560" w:lineRule="exact"/>
        <w:jc w:val="center"/>
        <w:rPr>
          <w:rFonts w:hint="eastAsia" w:ascii="方正小标宋简体" w:eastAsia="方正小标宋简体"/>
          <w:bCs/>
          <w:kern w:val="0"/>
          <w:sz w:val="44"/>
          <w:szCs w:val="44"/>
        </w:rPr>
      </w:pPr>
      <w:r>
        <w:rPr>
          <w:rFonts w:hint="eastAsia" w:ascii="方正小标宋简体" w:eastAsia="方正小标宋简体"/>
          <w:bCs/>
          <w:kern w:val="0"/>
          <w:sz w:val="44"/>
          <w:szCs w:val="44"/>
        </w:rPr>
        <w:t>技术审查指导原则</w:t>
      </w:r>
    </w:p>
    <w:p w14:paraId="58AAFA82">
      <w:pPr>
        <w:spacing w:line="480" w:lineRule="exact"/>
        <w:jc w:val="center"/>
        <w:rPr>
          <w:rFonts w:eastAsia="仿宋_GB2312"/>
          <w:bCs/>
          <w:kern w:val="0"/>
          <w:sz w:val="32"/>
          <w:szCs w:val="32"/>
        </w:rPr>
      </w:pPr>
    </w:p>
    <w:p w14:paraId="1748517E">
      <w:pPr>
        <w:spacing w:line="480" w:lineRule="exact"/>
        <w:ind w:firstLine="640" w:firstLineChars="200"/>
        <w:rPr>
          <w:rFonts w:eastAsia="仿宋_GB2312"/>
          <w:sz w:val="32"/>
          <w:szCs w:val="32"/>
        </w:rPr>
      </w:pPr>
      <w:r>
        <w:rPr>
          <w:rFonts w:eastAsia="仿宋_GB2312"/>
          <w:sz w:val="32"/>
          <w:szCs w:val="32"/>
        </w:rPr>
        <w:t>本指导原则旨在指导注册申请人对氨基酸、肉碱及琥珀酰丙酮检测试剂（串联质谱法）注册申报资料的准备及撰写，同时也为技术审评部门对注册申报资料的技术审评提供参考。</w:t>
      </w:r>
    </w:p>
    <w:p w14:paraId="00461A97">
      <w:pPr>
        <w:spacing w:line="480" w:lineRule="exact"/>
        <w:ind w:firstLine="640" w:firstLineChars="200"/>
        <w:rPr>
          <w:rFonts w:eastAsia="仿宋_GB2312"/>
          <w:sz w:val="32"/>
          <w:szCs w:val="32"/>
        </w:rPr>
      </w:pPr>
      <w:r>
        <w:rPr>
          <w:rFonts w:eastAsia="仿宋_GB2312"/>
          <w:sz w:val="32"/>
          <w:szCs w:val="32"/>
        </w:rPr>
        <w:t>本指导原则是针对该类试剂的一般要求，申请人应依据产品的具体特性确定其中内容是否适用，若不适用，需具体阐述理由及相应的科学依据，并依据产品的具体特性对注册申报资料的内容进行充实和细化。</w:t>
      </w:r>
    </w:p>
    <w:p w14:paraId="6A5AD66C">
      <w:pPr>
        <w:spacing w:line="480" w:lineRule="exact"/>
        <w:ind w:firstLine="640" w:firstLineChars="200"/>
        <w:rPr>
          <w:rFonts w:eastAsia="仿宋_GB2312"/>
          <w:sz w:val="32"/>
          <w:szCs w:val="32"/>
        </w:rPr>
      </w:pPr>
      <w:r>
        <w:rPr>
          <w:rFonts w:eastAsia="仿宋_GB2312"/>
          <w:sz w:val="32"/>
          <w:szCs w:val="32"/>
        </w:rPr>
        <w:t>本指导原则是供申请人和审查人员使用的指导性文件，不涉及注册审批等行政事项，亦不作为法规强制执行，如果有能够满足相关法规要求的其他方法，也可以采用，但应提供详细的研究资料和验证资料。相关人员应在遵循相关法规的前提下使用本指导原则。</w:t>
      </w:r>
    </w:p>
    <w:p w14:paraId="280CC996">
      <w:pPr>
        <w:spacing w:line="480" w:lineRule="exact"/>
        <w:ind w:firstLine="640" w:firstLineChars="200"/>
        <w:rPr>
          <w:rFonts w:eastAsia="仿宋_GB2312"/>
          <w:sz w:val="32"/>
          <w:szCs w:val="32"/>
        </w:rPr>
      </w:pPr>
      <w:r>
        <w:rPr>
          <w:rFonts w:eastAsia="仿宋_GB2312"/>
          <w:sz w:val="32"/>
          <w:szCs w:val="32"/>
        </w:rPr>
        <w:t>本指导原则是在现行法规和标准体系以及当前认知水平下制定的，随着法规和标准的不断完善，以及科学技术的不断发展，本指导原则相关内容也将适时进行调整。</w:t>
      </w:r>
    </w:p>
    <w:p w14:paraId="234554B1">
      <w:pPr>
        <w:spacing w:line="480" w:lineRule="exact"/>
        <w:ind w:firstLine="640" w:firstLineChars="200"/>
        <w:rPr>
          <w:rFonts w:ascii="黑体" w:hAnsi="黑体" w:eastAsia="黑体"/>
          <w:sz w:val="32"/>
          <w:szCs w:val="32"/>
        </w:rPr>
      </w:pPr>
      <w:r>
        <w:rPr>
          <w:rFonts w:ascii="黑体" w:hAnsi="黑体" w:eastAsia="黑体"/>
          <w:sz w:val="32"/>
          <w:szCs w:val="32"/>
        </w:rPr>
        <w:t>一、适用范围</w:t>
      </w:r>
    </w:p>
    <w:p w14:paraId="731BCAC2">
      <w:pPr>
        <w:spacing w:line="480" w:lineRule="exact"/>
        <w:ind w:firstLine="640" w:firstLineChars="200"/>
        <w:rPr>
          <w:rFonts w:eastAsia="仿宋_GB2312"/>
          <w:sz w:val="32"/>
          <w:szCs w:val="32"/>
        </w:rPr>
      </w:pPr>
      <w:r>
        <w:rPr>
          <w:rFonts w:eastAsia="仿宋_GB2312"/>
          <w:sz w:val="32"/>
          <w:szCs w:val="32"/>
        </w:rPr>
        <w:t>本指导原则提及的氨基酸、肉碱（包括游离肉碱和酰基肉碱）和琥珀酰丙酮分别是指针对遗传代谢病的疾病标记物。相关的遗传代谢病主要包括氨基酸代谢障碍（Disorders of amino acid metabolism）、脂肪酸氧化障碍（Fatty Acid Oxidation disorders）和有机酸代谢障碍（Organic academia disorders）等。一般来说，氨基酸是氨基酸代谢障碍的疾病标记物，游离肉碱与酰基肉碱是脂肪酸氧化障碍和有机酸代谢障碍的标记物，琥珀酰丙酮是酪氨酸血症</w:t>
      </w:r>
      <w:r>
        <w:rPr>
          <w:rFonts w:eastAsia="仿宋_GB2312"/>
          <w:kern w:val="0"/>
          <w:sz w:val="32"/>
          <w:szCs w:val="32"/>
          <w:lang w:bidi="bo-CN"/>
        </w:rPr>
        <w:t>I</w:t>
      </w:r>
      <w:r>
        <w:rPr>
          <w:rFonts w:eastAsia="仿宋_GB2312"/>
          <w:sz w:val="32"/>
          <w:szCs w:val="32"/>
        </w:rPr>
        <w:t>型的主要标记物。</w:t>
      </w:r>
    </w:p>
    <w:p w14:paraId="70287617">
      <w:pPr>
        <w:spacing w:line="480" w:lineRule="exact"/>
        <w:ind w:firstLine="640" w:firstLineChars="200"/>
        <w:rPr>
          <w:rFonts w:eastAsia="仿宋_GB2312"/>
          <w:sz w:val="32"/>
          <w:szCs w:val="32"/>
        </w:rPr>
      </w:pPr>
      <w:r>
        <w:rPr>
          <w:rFonts w:eastAsia="仿宋_GB2312"/>
          <w:sz w:val="32"/>
          <w:szCs w:val="32"/>
        </w:rPr>
        <w:t>遗传代谢病的发病机理为维持机体正常代谢所必需的酶类、受体和载体等蛋白质缺陷，导致机体的生化反应和代谢异常，从而引起一系列临床表现。其临床表现主要包括神经系统损害、代谢紊乱、相关器官功能异常、生长迟缓、皮肤及毛发异常、特殊气味等。我国相对常见的遗传代谢病如下表所示：</w:t>
      </w:r>
    </w:p>
    <w:p w14:paraId="76A68263">
      <w:pPr>
        <w:spacing w:line="480" w:lineRule="exact"/>
        <w:jc w:val="center"/>
        <w:rPr>
          <w:rFonts w:eastAsia="黑体"/>
          <w:sz w:val="28"/>
          <w:szCs w:val="28"/>
        </w:rPr>
      </w:pPr>
      <w:r>
        <w:rPr>
          <w:rFonts w:eastAsia="黑体"/>
          <w:sz w:val="28"/>
          <w:szCs w:val="28"/>
        </w:rPr>
        <w:t>表1我国相对常见的遗传代谢病</w:t>
      </w:r>
    </w:p>
    <w:tbl>
      <w:tblPr>
        <w:tblStyle w:val="2"/>
        <w:tblW w:w="7818" w:type="dxa"/>
        <w:jc w:val="center"/>
        <w:tblLayout w:type="fixed"/>
        <w:tblCellMar>
          <w:top w:w="0" w:type="dxa"/>
          <w:left w:w="108" w:type="dxa"/>
          <w:bottom w:w="0" w:type="dxa"/>
          <w:right w:w="108" w:type="dxa"/>
        </w:tblCellMar>
      </w:tblPr>
      <w:tblGrid>
        <w:gridCol w:w="1472"/>
        <w:gridCol w:w="6346"/>
      </w:tblGrid>
      <w:tr w14:paraId="6F82952B">
        <w:tblPrEx>
          <w:tblCellMar>
            <w:top w:w="0" w:type="dxa"/>
            <w:left w:w="108" w:type="dxa"/>
            <w:bottom w:w="0" w:type="dxa"/>
            <w:right w:w="108" w:type="dxa"/>
          </w:tblCellMar>
        </w:tblPrEx>
        <w:trPr>
          <w:trHeight w:val="386" w:hRule="atLeast"/>
          <w:jc w:val="center"/>
        </w:trPr>
        <w:tc>
          <w:tcPr>
            <w:tcW w:w="1472" w:type="dxa"/>
            <w:tcBorders>
              <w:top w:val="single" w:color="auto" w:sz="4" w:space="0"/>
              <w:left w:val="single" w:color="auto" w:sz="4" w:space="0"/>
              <w:bottom w:val="single" w:color="auto" w:sz="4" w:space="0"/>
              <w:right w:val="single" w:color="auto" w:sz="4" w:space="0"/>
            </w:tcBorders>
          </w:tcPr>
          <w:p w14:paraId="6B908277">
            <w:pPr>
              <w:widowControl/>
              <w:spacing w:line="440" w:lineRule="exact"/>
              <w:jc w:val="center"/>
              <w:rPr>
                <w:rFonts w:eastAsia="黑体"/>
                <w:kern w:val="0"/>
                <w:sz w:val="28"/>
                <w:szCs w:val="28"/>
                <w:lang w:bidi="bo-CN"/>
              </w:rPr>
            </w:pPr>
            <w:r>
              <w:rPr>
                <w:rFonts w:eastAsia="黑体"/>
                <w:kern w:val="0"/>
                <w:sz w:val="28"/>
                <w:szCs w:val="28"/>
                <w:lang w:bidi="bo-CN"/>
              </w:rPr>
              <w:t>序号</w:t>
            </w:r>
          </w:p>
        </w:tc>
        <w:tc>
          <w:tcPr>
            <w:tcW w:w="6346" w:type="dxa"/>
            <w:tcBorders>
              <w:top w:val="single" w:color="auto" w:sz="4" w:space="0"/>
              <w:left w:val="single" w:color="auto" w:sz="4" w:space="0"/>
              <w:bottom w:val="single" w:color="auto" w:sz="4" w:space="0"/>
              <w:right w:val="single" w:color="auto" w:sz="4" w:space="0"/>
            </w:tcBorders>
          </w:tcPr>
          <w:p w14:paraId="53CE492F">
            <w:pPr>
              <w:widowControl/>
              <w:spacing w:line="440" w:lineRule="exact"/>
              <w:jc w:val="center"/>
              <w:rPr>
                <w:rFonts w:eastAsia="黑体"/>
                <w:kern w:val="0"/>
                <w:sz w:val="28"/>
                <w:szCs w:val="28"/>
                <w:lang w:bidi="bo-CN"/>
              </w:rPr>
            </w:pPr>
            <w:r>
              <w:rPr>
                <w:rFonts w:eastAsia="黑体"/>
                <w:kern w:val="0"/>
                <w:sz w:val="28"/>
                <w:szCs w:val="28"/>
                <w:lang w:bidi="bo-CN"/>
              </w:rPr>
              <w:t>疾病名称</w:t>
            </w:r>
          </w:p>
        </w:tc>
      </w:tr>
      <w:tr w14:paraId="789B769E">
        <w:tblPrEx>
          <w:tblCellMar>
            <w:top w:w="0" w:type="dxa"/>
            <w:left w:w="108" w:type="dxa"/>
            <w:bottom w:w="0" w:type="dxa"/>
            <w:right w:w="108" w:type="dxa"/>
          </w:tblCellMar>
        </w:tblPrEx>
        <w:trPr>
          <w:trHeight w:val="386" w:hRule="atLeast"/>
          <w:jc w:val="center"/>
        </w:trPr>
        <w:tc>
          <w:tcPr>
            <w:tcW w:w="1472" w:type="dxa"/>
            <w:tcBorders>
              <w:top w:val="single" w:color="auto" w:sz="4" w:space="0"/>
              <w:left w:val="single" w:color="auto" w:sz="4" w:space="0"/>
              <w:bottom w:val="single" w:color="auto" w:sz="4" w:space="0"/>
              <w:right w:val="single" w:color="auto" w:sz="4" w:space="0"/>
            </w:tcBorders>
          </w:tcPr>
          <w:p w14:paraId="438D25EA">
            <w:pPr>
              <w:widowControl/>
              <w:spacing w:line="440" w:lineRule="exact"/>
              <w:jc w:val="center"/>
              <w:rPr>
                <w:rFonts w:eastAsia="仿宋"/>
                <w:kern w:val="0"/>
                <w:sz w:val="28"/>
                <w:szCs w:val="28"/>
                <w:lang w:bidi="bo-CN"/>
              </w:rPr>
            </w:pPr>
            <w:r>
              <w:rPr>
                <w:rFonts w:eastAsia="仿宋"/>
                <w:kern w:val="0"/>
                <w:sz w:val="28"/>
                <w:szCs w:val="28"/>
                <w:lang w:bidi="bo-CN"/>
              </w:rPr>
              <w:t>1</w:t>
            </w:r>
          </w:p>
        </w:tc>
        <w:tc>
          <w:tcPr>
            <w:tcW w:w="6346" w:type="dxa"/>
            <w:tcBorders>
              <w:top w:val="single" w:color="auto" w:sz="4" w:space="0"/>
              <w:left w:val="single" w:color="auto" w:sz="4" w:space="0"/>
              <w:bottom w:val="single" w:color="auto" w:sz="4" w:space="0"/>
              <w:right w:val="single" w:color="auto" w:sz="4" w:space="0"/>
            </w:tcBorders>
          </w:tcPr>
          <w:p w14:paraId="3FC522B4">
            <w:pPr>
              <w:widowControl/>
              <w:spacing w:line="440" w:lineRule="exact"/>
              <w:jc w:val="center"/>
              <w:rPr>
                <w:rFonts w:eastAsia="仿宋"/>
                <w:kern w:val="0"/>
                <w:sz w:val="28"/>
                <w:szCs w:val="28"/>
                <w:lang w:bidi="bo-CN"/>
              </w:rPr>
            </w:pPr>
            <w:r>
              <w:rPr>
                <w:rFonts w:eastAsia="仿宋"/>
                <w:kern w:val="0"/>
                <w:sz w:val="28"/>
                <w:szCs w:val="28"/>
                <w:lang w:bidi="bo-CN"/>
              </w:rPr>
              <w:t>高苯丙氨酸血症（HPA）</w:t>
            </w:r>
          </w:p>
        </w:tc>
      </w:tr>
      <w:tr w14:paraId="3F2CE092">
        <w:tblPrEx>
          <w:tblCellMar>
            <w:top w:w="0" w:type="dxa"/>
            <w:left w:w="108" w:type="dxa"/>
            <w:bottom w:w="0" w:type="dxa"/>
            <w:right w:w="108" w:type="dxa"/>
          </w:tblCellMar>
        </w:tblPrEx>
        <w:trPr>
          <w:trHeight w:val="386" w:hRule="atLeast"/>
          <w:jc w:val="center"/>
        </w:trPr>
        <w:tc>
          <w:tcPr>
            <w:tcW w:w="1472" w:type="dxa"/>
            <w:tcBorders>
              <w:top w:val="single" w:color="auto" w:sz="4" w:space="0"/>
              <w:left w:val="single" w:color="auto" w:sz="4" w:space="0"/>
              <w:bottom w:val="single" w:color="auto" w:sz="4" w:space="0"/>
              <w:right w:val="single" w:color="auto" w:sz="4" w:space="0"/>
            </w:tcBorders>
          </w:tcPr>
          <w:p w14:paraId="6164D2F4">
            <w:pPr>
              <w:widowControl/>
              <w:spacing w:line="440" w:lineRule="exact"/>
              <w:jc w:val="center"/>
              <w:rPr>
                <w:rFonts w:eastAsia="仿宋"/>
                <w:kern w:val="0"/>
                <w:sz w:val="28"/>
                <w:szCs w:val="28"/>
                <w:lang w:bidi="bo-CN"/>
              </w:rPr>
            </w:pPr>
            <w:r>
              <w:rPr>
                <w:rFonts w:eastAsia="仿宋"/>
                <w:kern w:val="0"/>
                <w:sz w:val="28"/>
                <w:szCs w:val="28"/>
                <w:lang w:bidi="bo-CN"/>
              </w:rPr>
              <w:t>2</w:t>
            </w:r>
          </w:p>
        </w:tc>
        <w:tc>
          <w:tcPr>
            <w:tcW w:w="6346" w:type="dxa"/>
            <w:tcBorders>
              <w:top w:val="single" w:color="auto" w:sz="4" w:space="0"/>
              <w:left w:val="single" w:color="auto" w:sz="4" w:space="0"/>
              <w:bottom w:val="single" w:color="auto" w:sz="4" w:space="0"/>
              <w:right w:val="single" w:color="auto" w:sz="4" w:space="0"/>
            </w:tcBorders>
          </w:tcPr>
          <w:p w14:paraId="6CDDD9BF">
            <w:pPr>
              <w:widowControl/>
              <w:spacing w:line="440" w:lineRule="exact"/>
              <w:jc w:val="center"/>
              <w:rPr>
                <w:rFonts w:eastAsia="仿宋"/>
                <w:kern w:val="0"/>
                <w:sz w:val="28"/>
                <w:szCs w:val="28"/>
                <w:lang w:bidi="bo-CN"/>
              </w:rPr>
            </w:pPr>
            <w:r>
              <w:rPr>
                <w:rFonts w:eastAsia="仿宋"/>
                <w:kern w:val="0"/>
                <w:sz w:val="28"/>
                <w:szCs w:val="28"/>
                <w:lang w:bidi="bo-CN"/>
              </w:rPr>
              <w:t>甲基丙二酸血症（MMA）</w:t>
            </w:r>
          </w:p>
        </w:tc>
      </w:tr>
      <w:tr w14:paraId="15FBD85F">
        <w:tblPrEx>
          <w:tblCellMar>
            <w:top w:w="0" w:type="dxa"/>
            <w:left w:w="108" w:type="dxa"/>
            <w:bottom w:w="0" w:type="dxa"/>
            <w:right w:w="108" w:type="dxa"/>
          </w:tblCellMar>
        </w:tblPrEx>
        <w:trPr>
          <w:trHeight w:val="386" w:hRule="atLeast"/>
          <w:jc w:val="center"/>
        </w:trPr>
        <w:tc>
          <w:tcPr>
            <w:tcW w:w="1472" w:type="dxa"/>
            <w:tcBorders>
              <w:top w:val="single" w:color="auto" w:sz="4" w:space="0"/>
              <w:left w:val="single" w:color="auto" w:sz="4" w:space="0"/>
              <w:bottom w:val="single" w:color="auto" w:sz="4" w:space="0"/>
              <w:right w:val="single" w:color="auto" w:sz="4" w:space="0"/>
            </w:tcBorders>
          </w:tcPr>
          <w:p w14:paraId="22932E3E">
            <w:pPr>
              <w:widowControl/>
              <w:spacing w:line="440" w:lineRule="exact"/>
              <w:jc w:val="center"/>
              <w:rPr>
                <w:rFonts w:eastAsia="仿宋"/>
                <w:kern w:val="0"/>
                <w:sz w:val="28"/>
                <w:szCs w:val="28"/>
                <w:lang w:bidi="bo-CN"/>
              </w:rPr>
            </w:pPr>
            <w:r>
              <w:rPr>
                <w:rFonts w:eastAsia="仿宋"/>
                <w:kern w:val="0"/>
                <w:sz w:val="28"/>
                <w:szCs w:val="28"/>
                <w:lang w:bidi="bo-CN"/>
              </w:rPr>
              <w:t>3</w:t>
            </w:r>
          </w:p>
        </w:tc>
        <w:tc>
          <w:tcPr>
            <w:tcW w:w="6346" w:type="dxa"/>
            <w:tcBorders>
              <w:top w:val="single" w:color="auto" w:sz="4" w:space="0"/>
              <w:left w:val="single" w:color="auto" w:sz="4" w:space="0"/>
              <w:bottom w:val="single" w:color="auto" w:sz="4" w:space="0"/>
              <w:right w:val="single" w:color="auto" w:sz="4" w:space="0"/>
            </w:tcBorders>
          </w:tcPr>
          <w:p w14:paraId="0869058B">
            <w:pPr>
              <w:widowControl/>
              <w:spacing w:line="440" w:lineRule="exact"/>
              <w:jc w:val="center"/>
              <w:rPr>
                <w:rFonts w:eastAsia="仿宋"/>
                <w:kern w:val="0"/>
                <w:sz w:val="28"/>
                <w:szCs w:val="28"/>
                <w:lang w:bidi="bo-CN"/>
              </w:rPr>
            </w:pPr>
            <w:r>
              <w:rPr>
                <w:rFonts w:eastAsia="仿宋"/>
                <w:kern w:val="0"/>
                <w:sz w:val="28"/>
                <w:szCs w:val="28"/>
                <w:lang w:bidi="bo-CN"/>
              </w:rPr>
              <w:t>原发性肉碱缺乏症（PCD）</w:t>
            </w:r>
          </w:p>
        </w:tc>
      </w:tr>
      <w:tr w14:paraId="5E38BDEB">
        <w:tblPrEx>
          <w:tblCellMar>
            <w:top w:w="0" w:type="dxa"/>
            <w:left w:w="108" w:type="dxa"/>
            <w:bottom w:w="0" w:type="dxa"/>
            <w:right w:w="108" w:type="dxa"/>
          </w:tblCellMar>
        </w:tblPrEx>
        <w:trPr>
          <w:trHeight w:val="386" w:hRule="atLeast"/>
          <w:jc w:val="center"/>
        </w:trPr>
        <w:tc>
          <w:tcPr>
            <w:tcW w:w="1472" w:type="dxa"/>
            <w:tcBorders>
              <w:top w:val="single" w:color="auto" w:sz="4" w:space="0"/>
              <w:left w:val="single" w:color="auto" w:sz="4" w:space="0"/>
              <w:bottom w:val="single" w:color="auto" w:sz="4" w:space="0"/>
              <w:right w:val="single" w:color="auto" w:sz="4" w:space="0"/>
            </w:tcBorders>
          </w:tcPr>
          <w:p w14:paraId="47963702">
            <w:pPr>
              <w:widowControl/>
              <w:spacing w:line="440" w:lineRule="exact"/>
              <w:jc w:val="center"/>
              <w:rPr>
                <w:rFonts w:eastAsia="仿宋"/>
                <w:kern w:val="0"/>
                <w:sz w:val="28"/>
                <w:szCs w:val="28"/>
                <w:lang w:bidi="bo-CN"/>
              </w:rPr>
            </w:pPr>
            <w:r>
              <w:rPr>
                <w:rFonts w:eastAsia="仿宋"/>
                <w:kern w:val="0"/>
                <w:sz w:val="28"/>
                <w:szCs w:val="28"/>
                <w:lang w:bidi="bo-CN"/>
              </w:rPr>
              <w:t>4</w:t>
            </w:r>
          </w:p>
        </w:tc>
        <w:tc>
          <w:tcPr>
            <w:tcW w:w="6346" w:type="dxa"/>
            <w:tcBorders>
              <w:top w:val="single" w:color="auto" w:sz="4" w:space="0"/>
              <w:left w:val="single" w:color="auto" w:sz="4" w:space="0"/>
              <w:bottom w:val="single" w:color="auto" w:sz="4" w:space="0"/>
              <w:right w:val="single" w:color="auto" w:sz="4" w:space="0"/>
            </w:tcBorders>
          </w:tcPr>
          <w:p w14:paraId="63B8B139">
            <w:pPr>
              <w:widowControl/>
              <w:spacing w:line="440" w:lineRule="exact"/>
              <w:jc w:val="center"/>
              <w:rPr>
                <w:rFonts w:eastAsia="仿宋"/>
                <w:kern w:val="0"/>
                <w:sz w:val="28"/>
                <w:szCs w:val="28"/>
                <w:lang w:bidi="bo-CN"/>
              </w:rPr>
            </w:pPr>
            <w:r>
              <w:rPr>
                <w:rFonts w:eastAsia="仿宋"/>
                <w:kern w:val="0"/>
                <w:sz w:val="28"/>
                <w:szCs w:val="28"/>
                <w:lang w:bidi="bo-CN"/>
              </w:rPr>
              <w:t>中链酰基辅酶A脱氢酶缺乏症（MCAD）</w:t>
            </w:r>
          </w:p>
        </w:tc>
      </w:tr>
      <w:tr w14:paraId="63BE7AD5">
        <w:tblPrEx>
          <w:tblCellMar>
            <w:top w:w="0" w:type="dxa"/>
            <w:left w:w="108" w:type="dxa"/>
            <w:bottom w:w="0" w:type="dxa"/>
            <w:right w:w="108" w:type="dxa"/>
          </w:tblCellMar>
        </w:tblPrEx>
        <w:trPr>
          <w:trHeight w:val="386" w:hRule="atLeast"/>
          <w:jc w:val="center"/>
        </w:trPr>
        <w:tc>
          <w:tcPr>
            <w:tcW w:w="1472" w:type="dxa"/>
            <w:tcBorders>
              <w:top w:val="single" w:color="auto" w:sz="4" w:space="0"/>
              <w:left w:val="single" w:color="auto" w:sz="4" w:space="0"/>
              <w:bottom w:val="single" w:color="auto" w:sz="4" w:space="0"/>
              <w:right w:val="single" w:color="auto" w:sz="4" w:space="0"/>
            </w:tcBorders>
          </w:tcPr>
          <w:p w14:paraId="58051E11">
            <w:pPr>
              <w:widowControl/>
              <w:spacing w:line="440" w:lineRule="exact"/>
              <w:jc w:val="center"/>
              <w:rPr>
                <w:rFonts w:eastAsia="仿宋"/>
                <w:kern w:val="0"/>
                <w:sz w:val="28"/>
                <w:szCs w:val="28"/>
                <w:lang w:bidi="bo-CN"/>
              </w:rPr>
            </w:pPr>
            <w:r>
              <w:rPr>
                <w:rFonts w:eastAsia="仿宋"/>
                <w:kern w:val="0"/>
                <w:sz w:val="28"/>
                <w:szCs w:val="28"/>
                <w:lang w:bidi="bo-CN"/>
              </w:rPr>
              <w:t>5</w:t>
            </w:r>
          </w:p>
        </w:tc>
        <w:tc>
          <w:tcPr>
            <w:tcW w:w="6346" w:type="dxa"/>
            <w:tcBorders>
              <w:top w:val="single" w:color="auto" w:sz="4" w:space="0"/>
              <w:left w:val="single" w:color="auto" w:sz="4" w:space="0"/>
              <w:bottom w:val="single" w:color="auto" w:sz="4" w:space="0"/>
              <w:right w:val="single" w:color="auto" w:sz="4" w:space="0"/>
            </w:tcBorders>
          </w:tcPr>
          <w:p w14:paraId="3966D8C5">
            <w:pPr>
              <w:widowControl/>
              <w:spacing w:line="440" w:lineRule="exact"/>
              <w:jc w:val="center"/>
              <w:rPr>
                <w:rFonts w:eastAsia="仿宋"/>
                <w:kern w:val="0"/>
                <w:sz w:val="28"/>
                <w:szCs w:val="28"/>
                <w:lang w:bidi="bo-CN"/>
              </w:rPr>
            </w:pPr>
            <w:r>
              <w:rPr>
                <w:rFonts w:eastAsia="仿宋"/>
                <w:kern w:val="0"/>
                <w:sz w:val="28"/>
                <w:szCs w:val="28"/>
                <w:lang w:bidi="bo-CN"/>
              </w:rPr>
              <w:t>极长链酰基辅酶A脱氢酶缺乏症（VLCAD）</w:t>
            </w:r>
          </w:p>
        </w:tc>
      </w:tr>
      <w:tr w14:paraId="7B34AF2F">
        <w:tblPrEx>
          <w:tblCellMar>
            <w:top w:w="0" w:type="dxa"/>
            <w:left w:w="108" w:type="dxa"/>
            <w:bottom w:w="0" w:type="dxa"/>
            <w:right w:w="108" w:type="dxa"/>
          </w:tblCellMar>
        </w:tblPrEx>
        <w:trPr>
          <w:trHeight w:val="386" w:hRule="atLeast"/>
          <w:jc w:val="center"/>
        </w:trPr>
        <w:tc>
          <w:tcPr>
            <w:tcW w:w="1472" w:type="dxa"/>
            <w:tcBorders>
              <w:top w:val="single" w:color="auto" w:sz="4" w:space="0"/>
              <w:left w:val="single" w:color="auto" w:sz="4" w:space="0"/>
              <w:bottom w:val="single" w:color="auto" w:sz="4" w:space="0"/>
              <w:right w:val="single" w:color="auto" w:sz="4" w:space="0"/>
            </w:tcBorders>
          </w:tcPr>
          <w:p w14:paraId="582D6B71">
            <w:pPr>
              <w:widowControl/>
              <w:spacing w:line="440" w:lineRule="exact"/>
              <w:jc w:val="center"/>
              <w:rPr>
                <w:rFonts w:eastAsia="仿宋"/>
                <w:kern w:val="0"/>
                <w:sz w:val="28"/>
                <w:szCs w:val="28"/>
                <w:lang w:bidi="bo-CN"/>
              </w:rPr>
            </w:pPr>
            <w:r>
              <w:rPr>
                <w:rFonts w:eastAsia="仿宋"/>
                <w:kern w:val="0"/>
                <w:sz w:val="28"/>
                <w:szCs w:val="28"/>
                <w:lang w:bidi="bo-CN"/>
              </w:rPr>
              <w:t>6</w:t>
            </w:r>
          </w:p>
        </w:tc>
        <w:tc>
          <w:tcPr>
            <w:tcW w:w="6346" w:type="dxa"/>
            <w:tcBorders>
              <w:top w:val="single" w:color="auto" w:sz="4" w:space="0"/>
              <w:left w:val="single" w:color="auto" w:sz="4" w:space="0"/>
              <w:bottom w:val="single" w:color="auto" w:sz="4" w:space="0"/>
              <w:right w:val="single" w:color="auto" w:sz="4" w:space="0"/>
            </w:tcBorders>
          </w:tcPr>
          <w:p w14:paraId="74F192E1">
            <w:pPr>
              <w:widowControl/>
              <w:spacing w:line="440" w:lineRule="exact"/>
              <w:jc w:val="center"/>
              <w:rPr>
                <w:rFonts w:eastAsia="仿宋"/>
                <w:kern w:val="0"/>
                <w:sz w:val="28"/>
                <w:szCs w:val="28"/>
                <w:lang w:bidi="bo-CN"/>
              </w:rPr>
            </w:pPr>
            <w:r>
              <w:rPr>
                <w:rFonts w:eastAsia="仿宋"/>
                <w:kern w:val="0"/>
                <w:sz w:val="28"/>
                <w:szCs w:val="28"/>
                <w:lang w:bidi="bo-CN"/>
              </w:rPr>
              <w:t>异戊酸血症（IVA）</w:t>
            </w:r>
          </w:p>
        </w:tc>
      </w:tr>
      <w:tr w14:paraId="62D45F26">
        <w:tblPrEx>
          <w:tblCellMar>
            <w:top w:w="0" w:type="dxa"/>
            <w:left w:w="108" w:type="dxa"/>
            <w:bottom w:w="0" w:type="dxa"/>
            <w:right w:w="108" w:type="dxa"/>
          </w:tblCellMar>
        </w:tblPrEx>
        <w:trPr>
          <w:trHeight w:val="386" w:hRule="atLeast"/>
          <w:jc w:val="center"/>
        </w:trPr>
        <w:tc>
          <w:tcPr>
            <w:tcW w:w="1472" w:type="dxa"/>
            <w:tcBorders>
              <w:top w:val="single" w:color="auto" w:sz="4" w:space="0"/>
              <w:left w:val="single" w:color="auto" w:sz="4" w:space="0"/>
              <w:bottom w:val="single" w:color="auto" w:sz="4" w:space="0"/>
              <w:right w:val="single" w:color="auto" w:sz="4" w:space="0"/>
            </w:tcBorders>
          </w:tcPr>
          <w:p w14:paraId="7166E753">
            <w:pPr>
              <w:widowControl/>
              <w:spacing w:line="440" w:lineRule="exact"/>
              <w:jc w:val="center"/>
              <w:rPr>
                <w:rFonts w:eastAsia="仿宋"/>
                <w:kern w:val="0"/>
                <w:sz w:val="28"/>
                <w:szCs w:val="28"/>
                <w:lang w:bidi="bo-CN"/>
              </w:rPr>
            </w:pPr>
            <w:r>
              <w:rPr>
                <w:rFonts w:eastAsia="仿宋"/>
                <w:kern w:val="0"/>
                <w:sz w:val="28"/>
                <w:szCs w:val="28"/>
                <w:lang w:bidi="bo-CN"/>
              </w:rPr>
              <w:t>7</w:t>
            </w:r>
          </w:p>
        </w:tc>
        <w:tc>
          <w:tcPr>
            <w:tcW w:w="6346" w:type="dxa"/>
            <w:tcBorders>
              <w:top w:val="single" w:color="auto" w:sz="4" w:space="0"/>
              <w:left w:val="single" w:color="auto" w:sz="4" w:space="0"/>
              <w:bottom w:val="single" w:color="auto" w:sz="4" w:space="0"/>
              <w:right w:val="single" w:color="auto" w:sz="4" w:space="0"/>
            </w:tcBorders>
          </w:tcPr>
          <w:p w14:paraId="3ADC55BB">
            <w:pPr>
              <w:widowControl/>
              <w:spacing w:line="440" w:lineRule="exact"/>
              <w:jc w:val="center"/>
              <w:rPr>
                <w:rFonts w:eastAsia="仿宋"/>
                <w:kern w:val="0"/>
                <w:sz w:val="28"/>
                <w:szCs w:val="28"/>
                <w:lang w:bidi="bo-CN"/>
              </w:rPr>
            </w:pPr>
            <w:r>
              <w:rPr>
                <w:rFonts w:eastAsia="仿宋"/>
                <w:kern w:val="0"/>
                <w:sz w:val="28"/>
                <w:szCs w:val="28"/>
                <w:lang w:bidi="bo-CN"/>
              </w:rPr>
              <w:t>戊二酸血症I型（GAI）</w:t>
            </w:r>
          </w:p>
        </w:tc>
      </w:tr>
      <w:tr w14:paraId="44A97F3F">
        <w:tblPrEx>
          <w:tblCellMar>
            <w:top w:w="0" w:type="dxa"/>
            <w:left w:w="108" w:type="dxa"/>
            <w:bottom w:w="0" w:type="dxa"/>
            <w:right w:w="108" w:type="dxa"/>
          </w:tblCellMar>
        </w:tblPrEx>
        <w:trPr>
          <w:trHeight w:val="386" w:hRule="atLeast"/>
          <w:jc w:val="center"/>
        </w:trPr>
        <w:tc>
          <w:tcPr>
            <w:tcW w:w="1472" w:type="dxa"/>
            <w:tcBorders>
              <w:top w:val="single" w:color="auto" w:sz="4" w:space="0"/>
              <w:left w:val="single" w:color="auto" w:sz="4" w:space="0"/>
              <w:bottom w:val="single" w:color="auto" w:sz="4" w:space="0"/>
              <w:right w:val="single" w:color="auto" w:sz="4" w:space="0"/>
            </w:tcBorders>
          </w:tcPr>
          <w:p w14:paraId="42FF6E49">
            <w:pPr>
              <w:widowControl/>
              <w:spacing w:line="440" w:lineRule="exact"/>
              <w:jc w:val="center"/>
              <w:rPr>
                <w:rFonts w:eastAsia="仿宋"/>
                <w:kern w:val="0"/>
                <w:sz w:val="28"/>
                <w:szCs w:val="28"/>
                <w:lang w:bidi="bo-CN"/>
              </w:rPr>
            </w:pPr>
            <w:r>
              <w:rPr>
                <w:rFonts w:eastAsia="仿宋"/>
                <w:kern w:val="0"/>
                <w:sz w:val="28"/>
                <w:szCs w:val="28"/>
                <w:lang w:bidi="bo-CN"/>
              </w:rPr>
              <w:t>8</w:t>
            </w:r>
          </w:p>
        </w:tc>
        <w:tc>
          <w:tcPr>
            <w:tcW w:w="6346" w:type="dxa"/>
            <w:tcBorders>
              <w:top w:val="single" w:color="auto" w:sz="4" w:space="0"/>
              <w:left w:val="single" w:color="auto" w:sz="4" w:space="0"/>
              <w:bottom w:val="single" w:color="auto" w:sz="4" w:space="0"/>
              <w:right w:val="single" w:color="auto" w:sz="4" w:space="0"/>
            </w:tcBorders>
          </w:tcPr>
          <w:p w14:paraId="204D6A1B">
            <w:pPr>
              <w:widowControl/>
              <w:spacing w:line="440" w:lineRule="exact"/>
              <w:jc w:val="center"/>
              <w:rPr>
                <w:rFonts w:eastAsia="仿宋"/>
                <w:kern w:val="0"/>
                <w:sz w:val="28"/>
                <w:szCs w:val="28"/>
                <w:lang w:bidi="bo-CN"/>
              </w:rPr>
            </w:pPr>
            <w:r>
              <w:rPr>
                <w:rFonts w:eastAsia="仿宋"/>
                <w:kern w:val="0"/>
                <w:sz w:val="28"/>
                <w:szCs w:val="28"/>
                <w:lang w:bidi="bo-CN"/>
              </w:rPr>
              <w:t>枫糖尿病（MSUD）</w:t>
            </w:r>
          </w:p>
        </w:tc>
      </w:tr>
      <w:tr w14:paraId="00B0B607">
        <w:tblPrEx>
          <w:tblCellMar>
            <w:top w:w="0" w:type="dxa"/>
            <w:left w:w="108" w:type="dxa"/>
            <w:bottom w:w="0" w:type="dxa"/>
            <w:right w:w="108" w:type="dxa"/>
          </w:tblCellMar>
        </w:tblPrEx>
        <w:trPr>
          <w:trHeight w:val="386" w:hRule="atLeast"/>
          <w:jc w:val="center"/>
        </w:trPr>
        <w:tc>
          <w:tcPr>
            <w:tcW w:w="1472" w:type="dxa"/>
            <w:tcBorders>
              <w:top w:val="single" w:color="auto" w:sz="4" w:space="0"/>
              <w:left w:val="single" w:color="auto" w:sz="4" w:space="0"/>
              <w:bottom w:val="single" w:color="auto" w:sz="4" w:space="0"/>
              <w:right w:val="single" w:color="auto" w:sz="4" w:space="0"/>
            </w:tcBorders>
          </w:tcPr>
          <w:p w14:paraId="5F764987">
            <w:pPr>
              <w:widowControl/>
              <w:spacing w:line="440" w:lineRule="exact"/>
              <w:jc w:val="center"/>
              <w:rPr>
                <w:rFonts w:eastAsia="仿宋"/>
                <w:kern w:val="0"/>
                <w:sz w:val="28"/>
                <w:szCs w:val="28"/>
                <w:lang w:bidi="bo-CN"/>
              </w:rPr>
            </w:pPr>
            <w:r>
              <w:rPr>
                <w:rFonts w:eastAsia="仿宋"/>
                <w:kern w:val="0"/>
                <w:sz w:val="28"/>
                <w:szCs w:val="28"/>
                <w:lang w:bidi="bo-CN"/>
              </w:rPr>
              <w:t>9</w:t>
            </w:r>
          </w:p>
        </w:tc>
        <w:tc>
          <w:tcPr>
            <w:tcW w:w="6346" w:type="dxa"/>
            <w:tcBorders>
              <w:top w:val="single" w:color="auto" w:sz="4" w:space="0"/>
              <w:left w:val="single" w:color="auto" w:sz="4" w:space="0"/>
              <w:bottom w:val="single" w:color="auto" w:sz="4" w:space="0"/>
              <w:right w:val="single" w:color="auto" w:sz="4" w:space="0"/>
            </w:tcBorders>
          </w:tcPr>
          <w:p w14:paraId="49DE99A6">
            <w:pPr>
              <w:widowControl/>
              <w:spacing w:line="440" w:lineRule="exact"/>
              <w:jc w:val="center"/>
              <w:rPr>
                <w:rFonts w:eastAsia="仿宋"/>
                <w:kern w:val="0"/>
                <w:sz w:val="28"/>
                <w:szCs w:val="28"/>
                <w:lang w:bidi="bo-CN"/>
              </w:rPr>
            </w:pPr>
            <w:r>
              <w:rPr>
                <w:rFonts w:eastAsia="仿宋"/>
                <w:kern w:val="0"/>
                <w:sz w:val="28"/>
                <w:szCs w:val="28"/>
                <w:lang w:bidi="bo-CN"/>
              </w:rPr>
              <w:t>瓜氨酸血症II型(希特林蛋白缺乏症)（CIT-II）</w:t>
            </w:r>
          </w:p>
        </w:tc>
      </w:tr>
      <w:tr w14:paraId="3BFFE708">
        <w:tblPrEx>
          <w:tblCellMar>
            <w:top w:w="0" w:type="dxa"/>
            <w:left w:w="108" w:type="dxa"/>
            <w:bottom w:w="0" w:type="dxa"/>
            <w:right w:w="108" w:type="dxa"/>
          </w:tblCellMar>
        </w:tblPrEx>
        <w:trPr>
          <w:trHeight w:val="386" w:hRule="atLeast"/>
          <w:jc w:val="center"/>
        </w:trPr>
        <w:tc>
          <w:tcPr>
            <w:tcW w:w="1472" w:type="dxa"/>
            <w:tcBorders>
              <w:top w:val="single" w:color="auto" w:sz="4" w:space="0"/>
              <w:left w:val="single" w:color="auto" w:sz="4" w:space="0"/>
              <w:bottom w:val="single" w:color="auto" w:sz="4" w:space="0"/>
              <w:right w:val="single" w:color="auto" w:sz="4" w:space="0"/>
            </w:tcBorders>
          </w:tcPr>
          <w:p w14:paraId="1F5EA728">
            <w:pPr>
              <w:widowControl/>
              <w:spacing w:line="440" w:lineRule="exact"/>
              <w:jc w:val="center"/>
              <w:rPr>
                <w:rFonts w:eastAsia="仿宋"/>
                <w:kern w:val="0"/>
                <w:sz w:val="28"/>
                <w:szCs w:val="28"/>
                <w:lang w:bidi="bo-CN"/>
              </w:rPr>
            </w:pPr>
            <w:r>
              <w:rPr>
                <w:rFonts w:eastAsia="仿宋"/>
                <w:kern w:val="0"/>
                <w:sz w:val="28"/>
                <w:szCs w:val="28"/>
                <w:lang w:bidi="bo-CN"/>
              </w:rPr>
              <w:t>10</w:t>
            </w:r>
          </w:p>
        </w:tc>
        <w:tc>
          <w:tcPr>
            <w:tcW w:w="6346" w:type="dxa"/>
            <w:tcBorders>
              <w:top w:val="single" w:color="auto" w:sz="4" w:space="0"/>
              <w:left w:val="single" w:color="auto" w:sz="4" w:space="0"/>
              <w:bottom w:val="single" w:color="auto" w:sz="4" w:space="0"/>
              <w:right w:val="single" w:color="auto" w:sz="4" w:space="0"/>
            </w:tcBorders>
          </w:tcPr>
          <w:p w14:paraId="6FB99683">
            <w:pPr>
              <w:widowControl/>
              <w:spacing w:line="440" w:lineRule="exact"/>
              <w:jc w:val="center"/>
              <w:rPr>
                <w:rFonts w:eastAsia="仿宋"/>
                <w:kern w:val="0"/>
                <w:sz w:val="28"/>
                <w:szCs w:val="28"/>
                <w:lang w:bidi="bo-CN"/>
              </w:rPr>
            </w:pPr>
            <w:r>
              <w:rPr>
                <w:rFonts w:eastAsia="仿宋"/>
                <w:kern w:val="0"/>
                <w:sz w:val="28"/>
                <w:szCs w:val="28"/>
                <w:lang w:bidi="bo-CN"/>
              </w:rPr>
              <w:t>瓜氨酸血症I型（</w:t>
            </w:r>
            <w:r>
              <w:rPr>
                <w:rFonts w:eastAsia="仿宋"/>
                <w:sz w:val="28"/>
                <w:szCs w:val="28"/>
              </w:rPr>
              <w:t>CIT-</w:t>
            </w:r>
            <w:r>
              <w:rPr>
                <w:rFonts w:hint="eastAsia" w:ascii="宋体" w:hAnsi="宋体" w:cs="宋体"/>
                <w:sz w:val="28"/>
                <w:szCs w:val="28"/>
              </w:rPr>
              <w:t>Ⅰ</w:t>
            </w:r>
            <w:r>
              <w:rPr>
                <w:rFonts w:eastAsia="仿宋"/>
                <w:kern w:val="0"/>
                <w:sz w:val="28"/>
                <w:szCs w:val="28"/>
                <w:lang w:bidi="bo-CN"/>
              </w:rPr>
              <w:t>）</w:t>
            </w:r>
          </w:p>
        </w:tc>
      </w:tr>
      <w:tr w14:paraId="704B6EE0">
        <w:tblPrEx>
          <w:tblCellMar>
            <w:top w:w="0" w:type="dxa"/>
            <w:left w:w="108" w:type="dxa"/>
            <w:bottom w:w="0" w:type="dxa"/>
            <w:right w:w="108" w:type="dxa"/>
          </w:tblCellMar>
        </w:tblPrEx>
        <w:trPr>
          <w:trHeight w:val="386" w:hRule="atLeast"/>
          <w:jc w:val="center"/>
        </w:trPr>
        <w:tc>
          <w:tcPr>
            <w:tcW w:w="1472" w:type="dxa"/>
            <w:tcBorders>
              <w:top w:val="single" w:color="auto" w:sz="4" w:space="0"/>
              <w:left w:val="single" w:color="auto" w:sz="4" w:space="0"/>
              <w:bottom w:val="single" w:color="auto" w:sz="4" w:space="0"/>
              <w:right w:val="single" w:color="auto" w:sz="4" w:space="0"/>
            </w:tcBorders>
          </w:tcPr>
          <w:p w14:paraId="5E0BCF74">
            <w:pPr>
              <w:widowControl/>
              <w:spacing w:line="440" w:lineRule="exact"/>
              <w:jc w:val="center"/>
              <w:rPr>
                <w:rFonts w:eastAsia="仿宋"/>
                <w:kern w:val="0"/>
                <w:sz w:val="28"/>
                <w:szCs w:val="28"/>
                <w:lang w:bidi="bo-CN"/>
              </w:rPr>
            </w:pPr>
            <w:r>
              <w:rPr>
                <w:rFonts w:eastAsia="仿宋"/>
                <w:kern w:val="0"/>
                <w:sz w:val="28"/>
                <w:szCs w:val="28"/>
                <w:lang w:bidi="bo-CN"/>
              </w:rPr>
              <w:t>11</w:t>
            </w:r>
          </w:p>
        </w:tc>
        <w:tc>
          <w:tcPr>
            <w:tcW w:w="6346" w:type="dxa"/>
            <w:tcBorders>
              <w:top w:val="single" w:color="auto" w:sz="4" w:space="0"/>
              <w:left w:val="single" w:color="auto" w:sz="4" w:space="0"/>
              <w:bottom w:val="single" w:color="auto" w:sz="4" w:space="0"/>
              <w:right w:val="single" w:color="auto" w:sz="4" w:space="0"/>
            </w:tcBorders>
          </w:tcPr>
          <w:p w14:paraId="6A0A082C">
            <w:pPr>
              <w:widowControl/>
              <w:spacing w:line="440" w:lineRule="exact"/>
              <w:jc w:val="center"/>
              <w:rPr>
                <w:rFonts w:eastAsia="仿宋"/>
                <w:kern w:val="0"/>
                <w:sz w:val="28"/>
                <w:szCs w:val="28"/>
                <w:lang w:bidi="bo-CN"/>
              </w:rPr>
            </w:pPr>
            <w:r>
              <w:rPr>
                <w:rFonts w:eastAsia="仿宋"/>
                <w:kern w:val="0"/>
                <w:sz w:val="28"/>
                <w:szCs w:val="28"/>
                <w:lang w:bidi="bo-CN"/>
              </w:rPr>
              <w:t>丙酸血症（PA）</w:t>
            </w:r>
          </w:p>
        </w:tc>
      </w:tr>
      <w:tr w14:paraId="44118997">
        <w:tblPrEx>
          <w:tblCellMar>
            <w:top w:w="0" w:type="dxa"/>
            <w:left w:w="108" w:type="dxa"/>
            <w:bottom w:w="0" w:type="dxa"/>
            <w:right w:w="108" w:type="dxa"/>
          </w:tblCellMar>
        </w:tblPrEx>
        <w:trPr>
          <w:trHeight w:val="386" w:hRule="atLeast"/>
          <w:jc w:val="center"/>
        </w:trPr>
        <w:tc>
          <w:tcPr>
            <w:tcW w:w="1472" w:type="dxa"/>
            <w:tcBorders>
              <w:top w:val="single" w:color="auto" w:sz="4" w:space="0"/>
              <w:left w:val="single" w:color="auto" w:sz="4" w:space="0"/>
              <w:bottom w:val="single" w:color="auto" w:sz="4" w:space="0"/>
              <w:right w:val="single" w:color="auto" w:sz="4" w:space="0"/>
            </w:tcBorders>
          </w:tcPr>
          <w:p w14:paraId="14DD1EF0">
            <w:pPr>
              <w:widowControl/>
              <w:spacing w:line="440" w:lineRule="exact"/>
              <w:jc w:val="center"/>
              <w:rPr>
                <w:rFonts w:eastAsia="仿宋"/>
                <w:kern w:val="0"/>
                <w:sz w:val="28"/>
                <w:szCs w:val="28"/>
                <w:lang w:bidi="bo-CN"/>
              </w:rPr>
            </w:pPr>
            <w:r>
              <w:rPr>
                <w:rFonts w:eastAsia="仿宋"/>
                <w:kern w:val="0"/>
                <w:sz w:val="28"/>
                <w:szCs w:val="28"/>
                <w:lang w:bidi="bo-CN"/>
              </w:rPr>
              <w:t>12</w:t>
            </w:r>
          </w:p>
        </w:tc>
        <w:tc>
          <w:tcPr>
            <w:tcW w:w="6346" w:type="dxa"/>
            <w:tcBorders>
              <w:top w:val="single" w:color="auto" w:sz="4" w:space="0"/>
              <w:left w:val="single" w:color="auto" w:sz="4" w:space="0"/>
              <w:bottom w:val="single" w:color="auto" w:sz="4" w:space="0"/>
              <w:right w:val="single" w:color="auto" w:sz="4" w:space="0"/>
            </w:tcBorders>
          </w:tcPr>
          <w:p w14:paraId="161E9107">
            <w:pPr>
              <w:widowControl/>
              <w:spacing w:line="440" w:lineRule="exact"/>
              <w:jc w:val="center"/>
              <w:rPr>
                <w:rFonts w:eastAsia="仿宋"/>
                <w:kern w:val="0"/>
                <w:sz w:val="28"/>
                <w:szCs w:val="28"/>
                <w:lang w:bidi="bo-CN"/>
              </w:rPr>
            </w:pPr>
            <w:r>
              <w:rPr>
                <w:rFonts w:eastAsia="仿宋"/>
                <w:kern w:val="0"/>
                <w:sz w:val="28"/>
                <w:szCs w:val="28"/>
                <w:lang w:bidi="bo-CN"/>
              </w:rPr>
              <w:t>同型半胱氨酸血症I型（HCY）</w:t>
            </w:r>
          </w:p>
        </w:tc>
      </w:tr>
    </w:tbl>
    <w:p w14:paraId="007F772C">
      <w:pPr>
        <w:spacing w:line="480" w:lineRule="exact"/>
        <w:ind w:firstLine="640" w:firstLineChars="200"/>
        <w:rPr>
          <w:rFonts w:eastAsia="仿宋_GB2312"/>
          <w:sz w:val="32"/>
          <w:szCs w:val="32"/>
        </w:rPr>
      </w:pPr>
      <w:r>
        <w:rPr>
          <w:rFonts w:eastAsia="仿宋_GB2312"/>
          <w:sz w:val="32"/>
          <w:szCs w:val="32"/>
        </w:rPr>
        <w:t>遗传代谢病的临床检测方法一般包括实验室生化检测、影像学检测、负荷试验、酶学检测、气相色谱-质谱（GC-MS）分析、串联质谱（MS-MS）分析、基因检测等。其中串联质谱法是临床检测的常用方法，其优点包括：具有高分析效率和高灵敏度，能同时分析多种代谢物，涵盖多种遗传代谢病；可重复性好；操作相对简单；干血斑采集和保存方便等。</w:t>
      </w:r>
    </w:p>
    <w:p w14:paraId="724931F3">
      <w:pPr>
        <w:spacing w:line="480" w:lineRule="exact"/>
        <w:ind w:firstLine="640" w:firstLineChars="200"/>
        <w:rPr>
          <w:rFonts w:eastAsia="仿宋_GB2312"/>
          <w:sz w:val="32"/>
          <w:szCs w:val="32"/>
        </w:rPr>
      </w:pPr>
      <w:r>
        <w:rPr>
          <w:rFonts w:eastAsia="仿宋_GB2312"/>
          <w:sz w:val="32"/>
          <w:szCs w:val="32"/>
        </w:rPr>
        <w:t>氨基酸、肉碱及琥珀酰丙酮检测试剂（串联质谱法）的预期用途为利用串联质谱分析方法，对全血干血斑样本中氨基酸、肉碱和琥珀酰丙酮的含量进行测量，相关待测分析物浓度及分析物之间相互比例的异常，可能提示某种遗传代谢病。其原理是使用含有内标准品的溶液对干血斑进行萃取并采用串联质谱分析，每种待测分析物对于内标准品的响应程度与它的浓度成比例，根据内标准品的浓度即可计算分析物的浓度。</w:t>
      </w:r>
    </w:p>
    <w:p w14:paraId="77338BA3">
      <w:pPr>
        <w:spacing w:line="480" w:lineRule="exact"/>
        <w:ind w:firstLine="640" w:firstLineChars="200"/>
        <w:rPr>
          <w:rFonts w:eastAsia="仿宋_GB2312"/>
          <w:sz w:val="32"/>
          <w:szCs w:val="32"/>
        </w:rPr>
      </w:pPr>
      <w:r>
        <w:rPr>
          <w:rFonts w:eastAsia="仿宋_GB2312"/>
          <w:sz w:val="32"/>
          <w:szCs w:val="32"/>
        </w:rPr>
        <w:t>该类试剂使用的串联质谱主要为三重四极杆串联质谱和四极杆离子阱串联质谱（Q-trap）。扫描模式主要包括以下四种：前体离子（precursor ion, PI）扫描、中性丢失（NL）扫描、多反应监测（MRM）扫描和产物离子（product ion,PI）扫描。前体离子扫描通常用于酰基肉碱的分析检测，在第二级质量分析器中选择特定质荷比的产物离子，测定在第一级质量分析器中一定质量范围内所有能产生该碎片的前体离子。中性丢失扫描通常用于氨基酸的分析检测，以恒定的质量差异，在一定质量范围内同时测定第一级、第二级质量分析器中所有的前体离子和产物离子，检测能产生特定中性碎片丢失的前体离子。多反应监测扫描是将第一级质谱设定为用于筛选特定的前体离子，在第二级质谱中指定所需的产物离子，同时监测前体离子-产物离子。产物离子扫描是在第一级质量分析器中选择特定质荷比的前体离子，测定该前体离子在第二级质量分析器中，一定质量范围内的所产生的特定产物离子。四种扫描模式各有优缺点，在实际中应根据产品特性选择适合的扫描模式。</w:t>
      </w:r>
    </w:p>
    <w:p w14:paraId="09AA6C37">
      <w:pPr>
        <w:spacing w:line="480" w:lineRule="exact"/>
        <w:ind w:firstLine="640" w:firstLineChars="200"/>
        <w:rPr>
          <w:rFonts w:eastAsia="仿宋_GB2312"/>
          <w:sz w:val="32"/>
          <w:szCs w:val="32"/>
        </w:rPr>
      </w:pPr>
      <w:r>
        <w:rPr>
          <w:rFonts w:eastAsia="仿宋_GB2312"/>
          <w:sz w:val="32"/>
          <w:szCs w:val="32"/>
        </w:rPr>
        <w:t>本指导原则适用于进行注册申报和相关许可事项变更的产品。</w:t>
      </w:r>
    </w:p>
    <w:p w14:paraId="5416D063">
      <w:pPr>
        <w:spacing w:line="480" w:lineRule="exact"/>
        <w:ind w:firstLine="640" w:firstLineChars="200"/>
        <w:rPr>
          <w:rFonts w:eastAsia="仿宋_GB2312"/>
          <w:sz w:val="32"/>
          <w:szCs w:val="32"/>
        </w:rPr>
      </w:pPr>
      <w:r>
        <w:rPr>
          <w:rFonts w:eastAsia="仿宋_GB2312"/>
          <w:sz w:val="32"/>
          <w:szCs w:val="32"/>
        </w:rPr>
        <w:t>本指导原则主要适用于利用串联质谱法，对干血斑样本中相关物质进行检测的试剂，包括采用衍生法处理后对氨基酸和肉碱进行检测的试剂和采用非衍生法对氨基酸、琥珀酰丙酮和肉碱进行检测的试剂。对于遗传代谢病相关的其他特征分析物或采用其他检测方法（如基于抗原抗体反应原理方法）、其他样本类型进行的检测，有利之处可参照执行。本指导原则不适用于对相关疾病的确证和产前筛查项目。</w:t>
      </w:r>
    </w:p>
    <w:p w14:paraId="16764A19">
      <w:pPr>
        <w:spacing w:line="480" w:lineRule="exact"/>
        <w:ind w:firstLine="640" w:firstLineChars="200"/>
        <w:rPr>
          <w:rFonts w:ascii="黑体" w:hAnsi="黑体" w:eastAsia="黑体"/>
          <w:sz w:val="32"/>
          <w:szCs w:val="32"/>
        </w:rPr>
      </w:pPr>
      <w:r>
        <w:rPr>
          <w:rFonts w:ascii="黑体" w:hAnsi="黑体" w:eastAsia="黑体"/>
          <w:sz w:val="32"/>
          <w:szCs w:val="32"/>
        </w:rPr>
        <w:t>二、注册申报资料要求</w:t>
      </w:r>
    </w:p>
    <w:p w14:paraId="6E1EEC2E">
      <w:pPr>
        <w:spacing w:line="480" w:lineRule="exact"/>
        <w:ind w:firstLine="640" w:firstLineChars="200"/>
        <w:rPr>
          <w:rFonts w:ascii="楷体_GB2312" w:eastAsia="楷体_GB2312"/>
          <w:sz w:val="32"/>
          <w:szCs w:val="32"/>
        </w:rPr>
      </w:pPr>
      <w:r>
        <w:rPr>
          <w:rFonts w:ascii="楷体_GB2312" w:eastAsia="楷体_GB2312"/>
          <w:sz w:val="32"/>
          <w:szCs w:val="32"/>
        </w:rPr>
        <w:t>（一）综述资料</w:t>
      </w:r>
    </w:p>
    <w:p w14:paraId="1D164BA0">
      <w:pPr>
        <w:spacing w:line="480" w:lineRule="exact"/>
        <w:ind w:firstLine="640" w:firstLineChars="200"/>
        <w:rPr>
          <w:rFonts w:eastAsia="仿宋_GB2312"/>
          <w:sz w:val="32"/>
          <w:szCs w:val="32"/>
        </w:rPr>
      </w:pPr>
      <w:r>
        <w:rPr>
          <w:rFonts w:eastAsia="仿宋_GB2312"/>
          <w:sz w:val="32"/>
          <w:szCs w:val="32"/>
        </w:rPr>
        <w:t>综述资料主要包括临床适应症背景情况、产品预期用途、产品描述、有关生物安全性的说明、有关产品主要研究结果的总结和评价以及其他内容。其中，其他内容包括同类产品在国内外批准上市的情况，应着重从检验方法及临床适用范围等方面写明拟申报产品与目前市场上已获批准的同类产品之间的主要区别。综述资料应符合《体外诊断试剂注册管理办法》（国家食品药品监督管理总局令第5号，以下简称《办法》）和《关于公布体外诊断试剂注册申报资料要求和批准证明文件格式的公告》（国家食品药品监督管理总局公告2014年第44号，以下简称《公告》）的相关要求。</w:t>
      </w:r>
    </w:p>
    <w:p w14:paraId="61A1E7D0">
      <w:pPr>
        <w:spacing w:line="480" w:lineRule="exact"/>
        <w:ind w:firstLine="640" w:firstLineChars="200"/>
        <w:rPr>
          <w:rFonts w:eastAsia="仿宋_GB2312"/>
          <w:sz w:val="32"/>
          <w:szCs w:val="32"/>
        </w:rPr>
      </w:pPr>
      <w:r>
        <w:rPr>
          <w:rFonts w:eastAsia="仿宋_GB2312"/>
          <w:sz w:val="32"/>
          <w:szCs w:val="32"/>
        </w:rPr>
        <w:t>另外，建议申请人对以下几方面内容进行着重介绍：</w:t>
      </w:r>
    </w:p>
    <w:p w14:paraId="4D48F3C0">
      <w:pPr>
        <w:spacing w:line="480" w:lineRule="exact"/>
        <w:ind w:firstLine="640" w:firstLineChars="200"/>
        <w:rPr>
          <w:rFonts w:eastAsia="仿宋_GB2312"/>
          <w:sz w:val="32"/>
          <w:szCs w:val="32"/>
        </w:rPr>
      </w:pPr>
      <w:r>
        <w:rPr>
          <w:rFonts w:eastAsia="仿宋_GB2312"/>
          <w:sz w:val="32"/>
          <w:szCs w:val="32"/>
        </w:rPr>
        <w:t>1.相关遗传代谢病的发病机理、临床症状、临床发病率、检测方法、治疗方法等。</w:t>
      </w:r>
    </w:p>
    <w:p w14:paraId="079B4DEB">
      <w:pPr>
        <w:spacing w:line="480" w:lineRule="exact"/>
        <w:ind w:firstLine="640" w:firstLineChars="200"/>
        <w:rPr>
          <w:rFonts w:eastAsia="仿宋_GB2312"/>
          <w:sz w:val="32"/>
          <w:szCs w:val="32"/>
        </w:rPr>
      </w:pPr>
      <w:r>
        <w:rPr>
          <w:rFonts w:eastAsia="仿宋_GB2312"/>
          <w:sz w:val="32"/>
          <w:szCs w:val="32"/>
        </w:rPr>
        <w:t>2.待测分析物的名称、种类、相应的内标准品和质控品、经临床验证的遗传代谢病与分析物间的对应关系等。</w:t>
      </w:r>
    </w:p>
    <w:p w14:paraId="4644636A">
      <w:pPr>
        <w:spacing w:line="480" w:lineRule="exact"/>
        <w:ind w:firstLine="640" w:firstLineChars="200"/>
        <w:rPr>
          <w:rFonts w:eastAsia="仿宋_GB2312"/>
          <w:sz w:val="32"/>
          <w:szCs w:val="32"/>
        </w:rPr>
      </w:pPr>
      <w:r>
        <w:rPr>
          <w:rFonts w:eastAsia="仿宋_GB2312"/>
          <w:sz w:val="32"/>
          <w:szCs w:val="32"/>
        </w:rPr>
        <w:t>3.串联质谱法的检测原理、样品前处理方法、扫描模式及选择依据、数据采集及处理方法等。</w:t>
      </w:r>
    </w:p>
    <w:p w14:paraId="489340DD">
      <w:pPr>
        <w:spacing w:line="480" w:lineRule="exact"/>
        <w:ind w:firstLine="640" w:firstLineChars="200"/>
        <w:rPr>
          <w:rFonts w:ascii="楷体_GB2312" w:eastAsia="楷体_GB2312"/>
          <w:sz w:val="32"/>
          <w:szCs w:val="32"/>
        </w:rPr>
      </w:pPr>
      <w:r>
        <w:rPr>
          <w:rFonts w:ascii="楷体_GB2312" w:eastAsia="楷体_GB2312"/>
          <w:sz w:val="32"/>
          <w:szCs w:val="32"/>
        </w:rPr>
        <w:t>（二）主要原材料的研究资料</w:t>
      </w:r>
    </w:p>
    <w:p w14:paraId="105FA96B">
      <w:pPr>
        <w:spacing w:line="480" w:lineRule="exact"/>
        <w:ind w:firstLine="640" w:firstLineChars="200"/>
        <w:rPr>
          <w:rFonts w:eastAsia="仿宋_GB2312"/>
          <w:sz w:val="32"/>
          <w:szCs w:val="32"/>
        </w:rPr>
      </w:pPr>
      <w:r>
        <w:rPr>
          <w:rFonts w:eastAsia="仿宋_GB2312"/>
          <w:sz w:val="32"/>
          <w:szCs w:val="32"/>
        </w:rPr>
        <w:t>应提供主要原材料的选择与来源、制备及质量标准等的研究资料。</w:t>
      </w:r>
    </w:p>
    <w:p w14:paraId="1BBE7D85">
      <w:pPr>
        <w:spacing w:line="480" w:lineRule="exact"/>
        <w:ind w:firstLine="640" w:firstLineChars="200"/>
        <w:rPr>
          <w:rFonts w:eastAsia="仿宋_GB2312"/>
          <w:sz w:val="32"/>
          <w:szCs w:val="32"/>
        </w:rPr>
      </w:pPr>
      <w:r>
        <w:rPr>
          <w:rFonts w:eastAsia="仿宋_GB2312"/>
          <w:sz w:val="32"/>
          <w:szCs w:val="32"/>
        </w:rPr>
        <w:t>1.氨基酸、肉碱和琥珀酰丙酮内标准品：一般为经过同位素标记的待测分析物。每种待测分析物应对应其标记后的内标准品，如有特殊情况无法对应其自身标记的内标准品，应说明理由，并提交使用替代内标准品是否会对产品性能产生影响的评价资料。应提交内标准品的化学式、对应的待测分析物、赋值资料以及质量控制资料（一般包括分子量、化学纯度、同位素纯度等）。</w:t>
      </w:r>
    </w:p>
    <w:p w14:paraId="68712137">
      <w:pPr>
        <w:spacing w:line="480" w:lineRule="exact"/>
        <w:ind w:firstLine="640" w:firstLineChars="200"/>
        <w:rPr>
          <w:rFonts w:eastAsia="仿宋_GB2312"/>
          <w:sz w:val="32"/>
          <w:szCs w:val="32"/>
        </w:rPr>
      </w:pPr>
      <w:r>
        <w:rPr>
          <w:rFonts w:eastAsia="仿宋_GB2312"/>
          <w:sz w:val="32"/>
          <w:szCs w:val="32"/>
        </w:rPr>
        <w:t>2.氨基酸、肉碱和琥珀酰丙酮标准品：应提供标准品的来源、选择依据、性能指标和溯源资料。</w:t>
      </w:r>
    </w:p>
    <w:p w14:paraId="3157BE09">
      <w:pPr>
        <w:spacing w:line="480" w:lineRule="exact"/>
        <w:ind w:firstLine="640" w:firstLineChars="200"/>
        <w:rPr>
          <w:rFonts w:eastAsia="仿宋_GB2312"/>
          <w:sz w:val="32"/>
          <w:szCs w:val="32"/>
        </w:rPr>
      </w:pPr>
      <w:r>
        <w:rPr>
          <w:rFonts w:eastAsia="仿宋_GB2312"/>
          <w:sz w:val="32"/>
          <w:szCs w:val="32"/>
        </w:rPr>
        <w:t>3.质控品：质控品为包含所有待测分析物的干血斑。质控品使用的滤纸应明确型号。应至少设置高、低两个浓度水平的质控品。质控品中的质控物质应与待测分析物相同，如使用与待测分析物特性相似的其他物质作为其质控物，应说明理由，并提交使用替代质控物是否会对产品性能产生影响的评价资料。应提供质控品的选择、制备和赋值资料。</w:t>
      </w:r>
    </w:p>
    <w:p w14:paraId="09DCDF5F">
      <w:pPr>
        <w:spacing w:line="480" w:lineRule="exact"/>
        <w:ind w:firstLine="640" w:firstLineChars="200"/>
        <w:rPr>
          <w:rFonts w:eastAsia="仿宋_GB2312"/>
          <w:sz w:val="32"/>
          <w:szCs w:val="32"/>
        </w:rPr>
      </w:pPr>
      <w:r>
        <w:rPr>
          <w:rFonts w:eastAsia="仿宋_GB2312"/>
          <w:sz w:val="32"/>
          <w:szCs w:val="32"/>
        </w:rPr>
        <w:t>4.企业参考品：应提供企业内部参考品的原料选择、制备、定值、统计学分析及相关的实验验证资料。企业参考品应尽量使用实际待测样本即全血干血斑，如需采用向全血基质中模拟添加被测物的形式制备干血斑（即模拟干血斑），则应说明理由。企业应根据产品特性建立稳定的参考品体系，至少应包括：</w:t>
      </w:r>
    </w:p>
    <w:p w14:paraId="04110356">
      <w:pPr>
        <w:spacing w:line="480" w:lineRule="exact"/>
        <w:ind w:firstLine="640" w:firstLineChars="200"/>
        <w:rPr>
          <w:rFonts w:eastAsia="仿宋_GB2312"/>
          <w:sz w:val="32"/>
          <w:szCs w:val="32"/>
        </w:rPr>
      </w:pPr>
      <w:r>
        <w:rPr>
          <w:rFonts w:eastAsia="仿宋_GB2312"/>
          <w:sz w:val="32"/>
          <w:szCs w:val="32"/>
        </w:rPr>
        <w:t>4.1检测限参考品</w:t>
      </w:r>
    </w:p>
    <w:p w14:paraId="65372292">
      <w:pPr>
        <w:spacing w:line="480" w:lineRule="exact"/>
        <w:ind w:firstLine="640" w:firstLineChars="200"/>
        <w:rPr>
          <w:rFonts w:eastAsia="仿宋_GB2312"/>
          <w:sz w:val="32"/>
          <w:szCs w:val="32"/>
        </w:rPr>
      </w:pPr>
      <w:r>
        <w:rPr>
          <w:rFonts w:eastAsia="仿宋_GB2312"/>
          <w:sz w:val="32"/>
          <w:szCs w:val="32"/>
        </w:rPr>
        <w:t>应建立能够覆盖所有待测分析物的检测限参考品。参考品中的待测分析物浓度应为检测限浓度，或略高于检测限浓度。检测限参考品应尽量使用全血干血斑，考虑到检测限浓度的样本难以获得的情况，可采用内标准品替代待测分析物的方式，来模拟制备检测限参考品，例如将检测限水平的内标准品加入人全血基质中制备模拟干血斑等。</w:t>
      </w:r>
    </w:p>
    <w:p w14:paraId="0BE3D59A">
      <w:pPr>
        <w:spacing w:line="480" w:lineRule="exact"/>
        <w:ind w:firstLine="640" w:firstLineChars="200"/>
        <w:rPr>
          <w:rFonts w:eastAsia="仿宋_GB2312"/>
          <w:sz w:val="32"/>
          <w:szCs w:val="32"/>
        </w:rPr>
      </w:pPr>
      <w:r>
        <w:rPr>
          <w:rFonts w:eastAsia="仿宋_GB2312"/>
          <w:sz w:val="32"/>
          <w:szCs w:val="32"/>
        </w:rPr>
        <w:t>如需使用待测分析物/内标准品的替代物质制备参考品，应提交相应的评估资料。</w:t>
      </w:r>
    </w:p>
    <w:p w14:paraId="5426B06D">
      <w:pPr>
        <w:spacing w:line="480" w:lineRule="exact"/>
        <w:ind w:firstLine="640" w:firstLineChars="200"/>
        <w:rPr>
          <w:rFonts w:eastAsia="仿宋_GB2312"/>
          <w:sz w:val="32"/>
          <w:szCs w:val="32"/>
        </w:rPr>
      </w:pPr>
      <w:r>
        <w:rPr>
          <w:rFonts w:eastAsia="仿宋_GB2312"/>
          <w:sz w:val="32"/>
          <w:szCs w:val="32"/>
        </w:rPr>
        <w:t>4.2精密度参考品</w:t>
      </w:r>
    </w:p>
    <w:p w14:paraId="4375C374">
      <w:pPr>
        <w:spacing w:line="480" w:lineRule="exact"/>
        <w:ind w:firstLine="640" w:firstLineChars="200"/>
        <w:rPr>
          <w:rFonts w:eastAsia="仿宋_GB2312"/>
          <w:sz w:val="32"/>
          <w:szCs w:val="32"/>
        </w:rPr>
      </w:pPr>
      <w:r>
        <w:rPr>
          <w:rFonts w:eastAsia="仿宋_GB2312"/>
          <w:sz w:val="32"/>
          <w:szCs w:val="32"/>
        </w:rPr>
        <w:t>应选择能够代表所有待测分析物结构及性能评估要求的分析物建立精密度参考品。</w:t>
      </w:r>
    </w:p>
    <w:p w14:paraId="4A1F463F">
      <w:pPr>
        <w:spacing w:line="480" w:lineRule="exact"/>
        <w:ind w:firstLine="640" w:firstLineChars="200"/>
        <w:rPr>
          <w:rFonts w:eastAsia="仿宋_GB2312"/>
          <w:sz w:val="32"/>
          <w:szCs w:val="32"/>
        </w:rPr>
      </w:pPr>
      <w:r>
        <w:rPr>
          <w:rFonts w:eastAsia="仿宋_GB2312"/>
          <w:sz w:val="32"/>
          <w:szCs w:val="32"/>
        </w:rPr>
        <w:t>精密度参考品应设置多个具有代表性意义的浓度水平，一般包括正常内源性水平、医学决定水平、异常值（异常高值/异常低值）水平等，各待测分析物可根据临床实际情况和指标设置的临床意义，选择不同的浓度水平设定参考品，并提交选择设定的依据。</w:t>
      </w:r>
    </w:p>
    <w:p w14:paraId="5A57F44D">
      <w:pPr>
        <w:spacing w:line="480" w:lineRule="exact"/>
        <w:ind w:firstLine="640" w:firstLineChars="200"/>
        <w:rPr>
          <w:rFonts w:eastAsia="仿宋_GB2312"/>
          <w:sz w:val="32"/>
          <w:szCs w:val="32"/>
        </w:rPr>
      </w:pPr>
      <w:r>
        <w:rPr>
          <w:rFonts w:eastAsia="仿宋_GB2312"/>
          <w:sz w:val="32"/>
          <w:szCs w:val="32"/>
        </w:rPr>
        <w:t>4.3线性参考品</w:t>
      </w:r>
    </w:p>
    <w:p w14:paraId="2E954545">
      <w:pPr>
        <w:spacing w:line="480" w:lineRule="exact"/>
        <w:ind w:firstLine="640" w:firstLineChars="200"/>
        <w:rPr>
          <w:rFonts w:eastAsia="仿宋_GB2312"/>
          <w:sz w:val="32"/>
          <w:szCs w:val="32"/>
        </w:rPr>
      </w:pPr>
      <w:r>
        <w:rPr>
          <w:rFonts w:eastAsia="仿宋_GB2312"/>
          <w:sz w:val="32"/>
          <w:szCs w:val="32"/>
        </w:rPr>
        <w:t>应建立能够覆盖所有待测分析物的线性参考品。线性参考品应选择多个梯度浓度水平进行设置并覆盖整个线性范围。如需使用待测分析物的替代物质制备参考品，应提交相应的评估资料。</w:t>
      </w:r>
    </w:p>
    <w:p w14:paraId="4652D65F">
      <w:pPr>
        <w:spacing w:line="480" w:lineRule="exact"/>
        <w:ind w:firstLine="640" w:firstLineChars="200"/>
        <w:rPr>
          <w:rFonts w:ascii="楷体_GB2312" w:eastAsia="楷体_GB2312"/>
          <w:sz w:val="32"/>
          <w:szCs w:val="32"/>
        </w:rPr>
      </w:pPr>
      <w:r>
        <w:rPr>
          <w:rFonts w:ascii="楷体_GB2312" w:eastAsia="楷体_GB2312"/>
          <w:sz w:val="32"/>
          <w:szCs w:val="32"/>
        </w:rPr>
        <w:t>（三）主要生产工艺及反应体系的研究资料</w:t>
      </w:r>
    </w:p>
    <w:p w14:paraId="7BB8E69C">
      <w:pPr>
        <w:spacing w:line="480" w:lineRule="exact"/>
        <w:ind w:firstLine="640" w:firstLineChars="200"/>
        <w:rPr>
          <w:rFonts w:eastAsia="仿宋_GB2312"/>
          <w:sz w:val="32"/>
          <w:szCs w:val="32"/>
        </w:rPr>
      </w:pPr>
      <w:r>
        <w:rPr>
          <w:rFonts w:eastAsia="仿宋_GB2312"/>
          <w:sz w:val="32"/>
          <w:szCs w:val="32"/>
        </w:rPr>
        <w:t>主要生产工艺主要包括工作液的配制、分装和包装等，反应体系研究指完成检测所涉及到的最佳反应条件的选择确定过程。</w:t>
      </w:r>
      <w:r>
        <w:rPr>
          <w:rFonts w:eastAsia="仿宋_GB2312"/>
          <w:bCs/>
          <w:color w:val="000000"/>
          <w:sz w:val="32"/>
          <w:szCs w:val="32"/>
        </w:rPr>
        <w:t>主要包括以下内容：</w:t>
      </w:r>
    </w:p>
    <w:p w14:paraId="78DF6650">
      <w:pPr>
        <w:spacing w:line="480" w:lineRule="exact"/>
        <w:ind w:firstLine="640" w:firstLineChars="200"/>
        <w:rPr>
          <w:rFonts w:eastAsia="仿宋_GB2312"/>
          <w:sz w:val="32"/>
          <w:szCs w:val="32"/>
        </w:rPr>
      </w:pPr>
      <w:r>
        <w:rPr>
          <w:rFonts w:eastAsia="仿宋_GB2312"/>
          <w:sz w:val="32"/>
          <w:szCs w:val="32"/>
        </w:rPr>
        <w:t>1.主要生产工艺及流程，可以图表方式表示。应标明关键工艺质控步骤，并详细说明该步骤的质控方法及质控标准。</w:t>
      </w:r>
    </w:p>
    <w:p w14:paraId="6209ABEA">
      <w:pPr>
        <w:spacing w:line="480" w:lineRule="exact"/>
        <w:ind w:firstLine="640" w:firstLineChars="200"/>
        <w:rPr>
          <w:rFonts w:eastAsia="仿宋_GB2312"/>
          <w:sz w:val="32"/>
          <w:szCs w:val="32"/>
        </w:rPr>
      </w:pPr>
      <w:r>
        <w:rPr>
          <w:rFonts w:eastAsia="仿宋_GB2312"/>
          <w:sz w:val="32"/>
          <w:szCs w:val="32"/>
        </w:rPr>
        <w:t>2.样本采集、处理的要求和质控品、企业参考品的干血斑制备的要求，具体可参照相关管理规范的内容。</w:t>
      </w:r>
    </w:p>
    <w:p w14:paraId="3397E640">
      <w:pPr>
        <w:spacing w:line="480" w:lineRule="exact"/>
        <w:ind w:firstLine="640" w:firstLineChars="200"/>
        <w:rPr>
          <w:rFonts w:eastAsia="仿宋_GB2312"/>
          <w:sz w:val="32"/>
          <w:szCs w:val="32"/>
        </w:rPr>
      </w:pPr>
      <w:r>
        <w:rPr>
          <w:rFonts w:eastAsia="仿宋_GB2312"/>
          <w:sz w:val="32"/>
          <w:szCs w:val="32"/>
        </w:rPr>
        <w:t>3.各试剂（包括各级工作液、萃取试剂、衍生化试剂、流动相等）的选择、配比、用量的确定和验证过程。</w:t>
      </w:r>
    </w:p>
    <w:p w14:paraId="58AE2A87">
      <w:pPr>
        <w:spacing w:line="480" w:lineRule="exact"/>
        <w:ind w:firstLine="640" w:firstLineChars="200"/>
        <w:rPr>
          <w:rFonts w:eastAsia="仿宋_GB2312"/>
          <w:sz w:val="32"/>
          <w:szCs w:val="32"/>
        </w:rPr>
      </w:pPr>
      <w:r>
        <w:rPr>
          <w:rFonts w:eastAsia="仿宋_GB2312"/>
          <w:sz w:val="32"/>
          <w:szCs w:val="32"/>
        </w:rPr>
        <w:t>4.分析条件，如萃取方法、衍生条件、进样条件、质谱条件等。</w:t>
      </w:r>
    </w:p>
    <w:p w14:paraId="4DB75424">
      <w:pPr>
        <w:spacing w:line="480" w:lineRule="exact"/>
        <w:ind w:firstLine="640" w:firstLineChars="200"/>
        <w:rPr>
          <w:rFonts w:ascii="楷体_GB2312" w:eastAsia="楷体_GB2312"/>
          <w:sz w:val="32"/>
          <w:szCs w:val="32"/>
        </w:rPr>
      </w:pPr>
      <w:r>
        <w:rPr>
          <w:rFonts w:ascii="楷体_GB2312" w:eastAsia="楷体_GB2312"/>
          <w:sz w:val="32"/>
          <w:szCs w:val="32"/>
        </w:rPr>
        <w:t>（四）分析性能评估资料</w:t>
      </w:r>
    </w:p>
    <w:p w14:paraId="5E1C073C">
      <w:pPr>
        <w:spacing w:line="480" w:lineRule="exact"/>
        <w:ind w:firstLine="640" w:firstLineChars="200"/>
        <w:rPr>
          <w:rFonts w:eastAsia="仿宋_GB2312"/>
          <w:sz w:val="32"/>
          <w:szCs w:val="32"/>
        </w:rPr>
      </w:pPr>
      <w:r>
        <w:rPr>
          <w:rFonts w:eastAsia="仿宋_GB2312"/>
          <w:sz w:val="32"/>
          <w:szCs w:val="32"/>
        </w:rPr>
        <w:t>申请人应提交对试剂盒的全部性能进行评估的资料，对于每项分析性能的评价都应包括研究目的、实验设计、研究方法、可接受标准、实验数据、统计方法等详细资料。有关分析性能评估的背景信息也应在申报资料中有所体现，包括实验地点（实验室）、人员及数量、适用仪器、仪器扫描模式、试剂规格、批号、临床样本来源（如涉及）等。分析性能评估的实验方法可以参考相关文件或国内有关体外诊断产品性能评估的指导原则进行。建议着重对以下分析性能进行研究：</w:t>
      </w:r>
    </w:p>
    <w:p w14:paraId="291376E8">
      <w:pPr>
        <w:spacing w:line="480" w:lineRule="exact"/>
        <w:ind w:firstLine="640" w:firstLineChars="200"/>
        <w:rPr>
          <w:rFonts w:eastAsia="仿宋_GB2312"/>
          <w:sz w:val="32"/>
          <w:szCs w:val="32"/>
        </w:rPr>
      </w:pPr>
      <w:r>
        <w:rPr>
          <w:rFonts w:eastAsia="仿宋_GB2312"/>
          <w:sz w:val="32"/>
          <w:szCs w:val="32"/>
        </w:rPr>
        <w:t>1.检测限</w:t>
      </w:r>
    </w:p>
    <w:p w14:paraId="03CE3162">
      <w:pPr>
        <w:spacing w:line="480" w:lineRule="exact"/>
        <w:ind w:firstLine="640" w:firstLineChars="200"/>
        <w:rPr>
          <w:rFonts w:eastAsia="仿宋_GB2312"/>
          <w:sz w:val="32"/>
          <w:szCs w:val="32"/>
        </w:rPr>
      </w:pPr>
      <w:r>
        <w:rPr>
          <w:rFonts w:eastAsia="仿宋_GB2312"/>
          <w:sz w:val="32"/>
          <w:szCs w:val="32"/>
        </w:rPr>
        <w:t>检测限确定过程的研究方法有很多，因通常情况下不易获得低于内源水平的样本，申请人可自行设计合理的模拟方法进行研究。例如，将不同浓度的内标准品添加至人全血中制备成一系列干血斑，用空白萃取液萃取后进行检测；或者用含不同浓度内标准品的萃取液对干血斑萃取后进行检测，等等。其目的是使基质中分析物浓度不变，内标准品的浓度递减，最终通过检测内标准品的浓度来模拟研究检测限。测量的结果符合试剂偏差及精密度等要求的最低浓度水平作为检测限。</w:t>
      </w:r>
    </w:p>
    <w:p w14:paraId="10DBFC34">
      <w:pPr>
        <w:spacing w:line="480" w:lineRule="exact"/>
        <w:ind w:firstLine="640" w:firstLineChars="200"/>
        <w:rPr>
          <w:rFonts w:eastAsia="仿宋_GB2312"/>
          <w:sz w:val="32"/>
          <w:szCs w:val="32"/>
        </w:rPr>
      </w:pPr>
      <w:r>
        <w:rPr>
          <w:rFonts w:eastAsia="仿宋_GB2312"/>
          <w:sz w:val="32"/>
          <w:szCs w:val="32"/>
        </w:rPr>
        <w:t>研究过程中应对各物质浓度进行精确的确认，每一浓度样本应平行检测多次。根据该类试剂的预期用途，每个待测分析物的检测限应等于或低于预期使用人群的内源性水平。应详细说明检测限的建立过程，明确使用的样本类型、试验方法、接受标准和研究结论等。</w:t>
      </w:r>
    </w:p>
    <w:p w14:paraId="34953A71">
      <w:pPr>
        <w:spacing w:line="480" w:lineRule="exact"/>
        <w:ind w:firstLine="640" w:firstLineChars="200"/>
        <w:rPr>
          <w:rFonts w:eastAsia="仿宋_GB2312"/>
          <w:sz w:val="32"/>
          <w:szCs w:val="32"/>
        </w:rPr>
      </w:pPr>
      <w:r>
        <w:rPr>
          <w:rFonts w:eastAsia="仿宋_GB2312"/>
          <w:sz w:val="32"/>
          <w:szCs w:val="32"/>
        </w:rPr>
        <w:t>2.线性范围</w:t>
      </w:r>
    </w:p>
    <w:p w14:paraId="5CAA1059">
      <w:pPr>
        <w:spacing w:line="480" w:lineRule="exact"/>
        <w:ind w:firstLine="640" w:firstLineChars="200"/>
        <w:rPr>
          <w:rFonts w:eastAsia="仿宋_GB2312"/>
          <w:sz w:val="32"/>
          <w:szCs w:val="32"/>
        </w:rPr>
      </w:pPr>
      <w:r>
        <w:rPr>
          <w:rFonts w:eastAsia="仿宋_GB2312"/>
          <w:sz w:val="32"/>
          <w:szCs w:val="32"/>
        </w:rPr>
        <w:t>线性范围的确定研究可使用含有梯度浓度待测分析物的模拟干血斑，分析至少9-11个浓度水平，每个水平重复多次，通过评价一定范围内的线性关系及准确度等建立所有待测分析物的线性范围。分析物浓度水平覆盖范围应具临床意义，至少包含典型的内源水平、医学决定水平等。应结合性能指标和临床意义，设定合理的线性范围。</w:t>
      </w:r>
    </w:p>
    <w:p w14:paraId="07B249D2">
      <w:pPr>
        <w:spacing w:line="480" w:lineRule="exact"/>
        <w:ind w:firstLine="640" w:firstLineChars="200"/>
        <w:rPr>
          <w:rFonts w:eastAsia="仿宋_GB2312"/>
          <w:sz w:val="32"/>
          <w:szCs w:val="32"/>
        </w:rPr>
      </w:pPr>
      <w:r>
        <w:rPr>
          <w:rFonts w:eastAsia="仿宋_GB2312"/>
          <w:sz w:val="32"/>
          <w:szCs w:val="32"/>
        </w:rPr>
        <w:t>3.准确度</w:t>
      </w:r>
    </w:p>
    <w:p w14:paraId="097366ED">
      <w:pPr>
        <w:spacing w:line="480" w:lineRule="exact"/>
        <w:ind w:firstLine="640" w:firstLineChars="200"/>
        <w:rPr>
          <w:rFonts w:eastAsia="仿宋_GB2312"/>
          <w:sz w:val="32"/>
          <w:szCs w:val="32"/>
        </w:rPr>
      </w:pPr>
      <w:r>
        <w:rPr>
          <w:rFonts w:eastAsia="仿宋_GB2312"/>
          <w:sz w:val="32"/>
          <w:szCs w:val="32"/>
        </w:rPr>
        <w:t>准确度包括正确度和精密度，受系统误差和随机误差共同影响，申请人应综合考虑偏倚和不精密度的影响，对产品的准确度进行研究。</w:t>
      </w:r>
    </w:p>
    <w:p w14:paraId="6F9A63EB">
      <w:pPr>
        <w:spacing w:line="480" w:lineRule="exact"/>
        <w:ind w:firstLine="640" w:firstLineChars="200"/>
        <w:rPr>
          <w:rFonts w:eastAsia="仿宋_GB2312"/>
          <w:sz w:val="32"/>
          <w:szCs w:val="32"/>
        </w:rPr>
      </w:pPr>
      <w:r>
        <w:rPr>
          <w:rFonts w:eastAsia="仿宋_GB2312"/>
          <w:sz w:val="32"/>
          <w:szCs w:val="32"/>
        </w:rPr>
        <w:t>3.1正确度</w:t>
      </w:r>
    </w:p>
    <w:p w14:paraId="6D660BCB">
      <w:pPr>
        <w:autoSpaceDE w:val="0"/>
        <w:autoSpaceDN w:val="0"/>
        <w:adjustRightInd w:val="0"/>
        <w:spacing w:line="480" w:lineRule="exact"/>
        <w:ind w:firstLine="640" w:firstLineChars="200"/>
        <w:rPr>
          <w:rFonts w:eastAsia="仿宋_GB2312"/>
          <w:sz w:val="32"/>
          <w:szCs w:val="32"/>
        </w:rPr>
      </w:pPr>
      <w:r>
        <w:rPr>
          <w:rFonts w:eastAsia="仿宋_GB2312"/>
          <w:sz w:val="32"/>
          <w:szCs w:val="32"/>
        </w:rPr>
        <w:t>建议采用回收实验方法进行正确度的评价，同时可结合其他合理方法（如方法学比对等）进行研究。回收实验方法一般为：向全血中添加不同浓度待测分析物，制备成干血斑，检测后计算回收率，回收率的计算方法为在含有已知“理论”分析物含量的干血斑提取物中实际测得的该分析物含量，以百分比表示。回收率的结果应在可接受范围内。干血斑中分析物各浓度水平应具临床意义并尽量覆盖检测范围。详细描述评价方法中样本制备过程、评价方案、试验过程、试验数据、统计方法、研究结论等内容。</w:t>
      </w:r>
    </w:p>
    <w:p w14:paraId="12C32536">
      <w:pPr>
        <w:autoSpaceDE w:val="0"/>
        <w:autoSpaceDN w:val="0"/>
        <w:adjustRightInd w:val="0"/>
        <w:spacing w:line="480" w:lineRule="exact"/>
        <w:ind w:firstLine="640" w:firstLineChars="200"/>
        <w:rPr>
          <w:rFonts w:eastAsia="仿宋_GB2312"/>
          <w:sz w:val="32"/>
          <w:szCs w:val="32"/>
        </w:rPr>
      </w:pPr>
      <w:r>
        <w:rPr>
          <w:rFonts w:eastAsia="仿宋_GB2312"/>
          <w:sz w:val="32"/>
          <w:szCs w:val="32"/>
        </w:rPr>
        <w:t>3.2精密度</w:t>
      </w:r>
    </w:p>
    <w:p w14:paraId="5544E7EA">
      <w:pPr>
        <w:spacing w:line="480" w:lineRule="exact"/>
        <w:ind w:firstLine="640" w:firstLineChars="200"/>
        <w:rPr>
          <w:rFonts w:eastAsia="仿宋_GB2312"/>
          <w:sz w:val="32"/>
          <w:szCs w:val="32"/>
        </w:rPr>
      </w:pPr>
      <w:r>
        <w:rPr>
          <w:rFonts w:eastAsia="仿宋_GB2312"/>
          <w:sz w:val="32"/>
          <w:szCs w:val="32"/>
        </w:rPr>
        <w:t>精密度的评价方法并无统一的标准可依，可根据不同产品特征或研究习惯进行，前提是必须保证研究的科学合理性，具体实验方法可以参考相关指南或国内有关体外诊断产品性能评估的指导原则进行。应对每项精密度指标的评价标准做出合理要求，如标准差或变异系数的范围等。针对本类产品的精密度评价主要包括以下要求：</w:t>
      </w:r>
    </w:p>
    <w:p w14:paraId="7C2563BC">
      <w:pPr>
        <w:spacing w:line="480" w:lineRule="exact"/>
        <w:ind w:firstLine="640" w:firstLineChars="200"/>
        <w:rPr>
          <w:rFonts w:eastAsia="仿宋_GB2312"/>
          <w:sz w:val="32"/>
          <w:szCs w:val="32"/>
        </w:rPr>
      </w:pPr>
      <w:r>
        <w:rPr>
          <w:rFonts w:eastAsia="仿宋_GB2312"/>
          <w:sz w:val="32"/>
          <w:szCs w:val="32"/>
        </w:rPr>
        <w:t>3.2.1对可能影响检测精密度的主要变量进行验证，除检测试剂本身的影响外，应对不同仪器、操作者、地点、精密度评价周期等要素进行相关的验证。</w:t>
      </w:r>
    </w:p>
    <w:p w14:paraId="1D3501B2">
      <w:pPr>
        <w:spacing w:line="480" w:lineRule="exact"/>
        <w:ind w:firstLine="640" w:firstLineChars="200"/>
        <w:rPr>
          <w:rFonts w:eastAsia="仿宋_GB2312"/>
          <w:sz w:val="32"/>
          <w:szCs w:val="32"/>
        </w:rPr>
      </w:pPr>
      <w:r>
        <w:rPr>
          <w:rFonts w:eastAsia="仿宋_GB2312"/>
          <w:sz w:val="32"/>
          <w:szCs w:val="32"/>
        </w:rPr>
        <w:t>例如：为期至少XX天的连续检测，每天至少由X人完成不少于X次的完整检测，从而对批内/批间、日内/日间以及不同操作者之间的精密度进行综合评价。申请人还应选择不同的实验室进行重复实验以对室间精密度进行评价。</w:t>
      </w:r>
    </w:p>
    <w:p w14:paraId="2A9569C8">
      <w:pPr>
        <w:spacing w:line="480" w:lineRule="exact"/>
        <w:ind w:firstLine="640" w:firstLineChars="200"/>
        <w:rPr>
          <w:rFonts w:eastAsia="仿宋_GB2312"/>
          <w:sz w:val="32"/>
          <w:szCs w:val="32"/>
        </w:rPr>
      </w:pPr>
      <w:r>
        <w:rPr>
          <w:rFonts w:eastAsia="仿宋_GB2312"/>
          <w:sz w:val="32"/>
          <w:szCs w:val="32"/>
        </w:rPr>
        <w:t>3.2.2精密度的评价应选择多个浓度水平进行，一般来说应包含正常内源性水平、医学决定水平、异常值（异常高值/异常低值）水平等，各待测分析物可根据临床实际情况和指标设置的临床意义，选择不同的浓度水平进行研究，并提交浓度选择的依据。</w:t>
      </w:r>
    </w:p>
    <w:p w14:paraId="3A5C721E">
      <w:pPr>
        <w:spacing w:line="480" w:lineRule="exact"/>
        <w:ind w:firstLine="640" w:firstLineChars="200"/>
        <w:rPr>
          <w:rFonts w:eastAsia="仿宋_GB2312"/>
          <w:sz w:val="32"/>
          <w:szCs w:val="32"/>
        </w:rPr>
      </w:pPr>
      <w:r>
        <w:rPr>
          <w:rFonts w:eastAsia="仿宋_GB2312"/>
          <w:sz w:val="32"/>
          <w:szCs w:val="32"/>
        </w:rPr>
        <w:t>4.特异性</w:t>
      </w:r>
    </w:p>
    <w:p w14:paraId="23A6484E">
      <w:pPr>
        <w:spacing w:line="480" w:lineRule="exact"/>
        <w:ind w:firstLine="640" w:firstLineChars="200"/>
        <w:rPr>
          <w:rFonts w:eastAsia="仿宋_GB2312"/>
          <w:sz w:val="32"/>
          <w:szCs w:val="32"/>
        </w:rPr>
      </w:pPr>
      <w:r>
        <w:rPr>
          <w:rFonts w:eastAsia="仿宋_GB2312"/>
          <w:sz w:val="32"/>
          <w:szCs w:val="32"/>
        </w:rPr>
        <w:t>应对样本中常见的干扰物质和可能引起交叉反应的物质进行研究。特异性研究的样本可为全血干血斑或模拟添加被研究物的模拟干血斑。</w:t>
      </w:r>
    </w:p>
    <w:p w14:paraId="717C35C5">
      <w:pPr>
        <w:spacing w:line="480" w:lineRule="exact"/>
        <w:ind w:firstLine="640" w:firstLineChars="200"/>
        <w:rPr>
          <w:rFonts w:eastAsia="仿宋_GB2312"/>
          <w:sz w:val="32"/>
          <w:szCs w:val="32"/>
        </w:rPr>
      </w:pPr>
      <w:r>
        <w:rPr>
          <w:rFonts w:eastAsia="仿宋_GB2312"/>
          <w:sz w:val="32"/>
          <w:szCs w:val="32"/>
        </w:rPr>
        <w:t>4.1干扰物质</w:t>
      </w:r>
    </w:p>
    <w:p w14:paraId="3B432571">
      <w:pPr>
        <w:spacing w:line="480" w:lineRule="exact"/>
        <w:ind w:firstLine="640" w:firstLineChars="200"/>
        <w:rPr>
          <w:rFonts w:eastAsia="仿宋_GB2312"/>
          <w:sz w:val="32"/>
          <w:szCs w:val="32"/>
        </w:rPr>
      </w:pPr>
      <w:r>
        <w:rPr>
          <w:rFonts w:eastAsia="仿宋_GB2312"/>
          <w:sz w:val="32"/>
          <w:szCs w:val="32"/>
        </w:rPr>
        <w:t>干扰物质应至少包括血红蛋白、脂类、胆红素等。其他还可能包括潜在患者（如母亲）引入的化合物、样本采集过程中加入的化合物、血液中存在的其他化合物等，例如常用药物、麻醉剂、消毒剂、服用的营养物质、机体其他代谢产物等。</w:t>
      </w:r>
    </w:p>
    <w:p w14:paraId="58DB4CB7">
      <w:pPr>
        <w:spacing w:line="480" w:lineRule="exact"/>
        <w:ind w:firstLine="640" w:firstLineChars="200"/>
        <w:rPr>
          <w:rFonts w:eastAsia="仿宋_GB2312"/>
          <w:sz w:val="32"/>
          <w:szCs w:val="32"/>
        </w:rPr>
      </w:pPr>
      <w:r>
        <w:rPr>
          <w:rFonts w:eastAsia="仿宋_GB2312"/>
          <w:sz w:val="32"/>
          <w:szCs w:val="32"/>
        </w:rPr>
        <w:t>建议申请人在干扰物质的潜在最大浓度（即“最差条件”）条件下进行评价。建议至少在内源性水平附近浓度对每种干扰物质的干扰影响进行评价。</w:t>
      </w:r>
    </w:p>
    <w:p w14:paraId="5601C06B">
      <w:pPr>
        <w:spacing w:line="480" w:lineRule="exact"/>
        <w:ind w:firstLine="640" w:firstLineChars="200"/>
        <w:rPr>
          <w:rFonts w:eastAsia="仿宋_GB2312"/>
          <w:sz w:val="32"/>
          <w:szCs w:val="32"/>
        </w:rPr>
      </w:pPr>
      <w:r>
        <w:rPr>
          <w:rFonts w:eastAsia="仿宋_GB2312"/>
          <w:sz w:val="32"/>
          <w:szCs w:val="32"/>
        </w:rPr>
        <w:t>4.2交叉反应</w:t>
      </w:r>
    </w:p>
    <w:p w14:paraId="0C2C0CA0">
      <w:pPr>
        <w:spacing w:line="480" w:lineRule="exact"/>
        <w:ind w:firstLine="640" w:firstLineChars="200"/>
        <w:rPr>
          <w:rFonts w:eastAsia="仿宋_GB2312"/>
          <w:sz w:val="32"/>
          <w:szCs w:val="32"/>
        </w:rPr>
      </w:pPr>
      <w:r>
        <w:rPr>
          <w:rFonts w:eastAsia="仿宋_GB2312"/>
          <w:sz w:val="32"/>
          <w:szCs w:val="32"/>
        </w:rPr>
        <w:t>交叉反应物质一般是指在血液中存在的，在待测分析物扫描模式下，与待测分析物有相同质荷比的其他化合物。应研究血液中可能存在的交叉反应物质对待测分析物造成的干扰，对每一对交叉反应物质/分析物进行统计学和临床意义上的分析，评估可能存在的风险。常见的交叉反应物质有天冬酰胺、羟脯氨酸、甲硫氨酸砜、甲硫氨酸硫氧化物、谷氨酸盐和不完全丁基化的酰基肉碱等。应至少对上述几种交叉反应物质进行研究，并结合申报试剂的临床适应症对其他可能存在交叉反应的物质进行评估。</w:t>
      </w:r>
    </w:p>
    <w:p w14:paraId="513295C4">
      <w:pPr>
        <w:spacing w:line="480" w:lineRule="exact"/>
        <w:ind w:firstLine="640" w:firstLineChars="200"/>
        <w:rPr>
          <w:rFonts w:eastAsia="仿宋_GB2312"/>
          <w:sz w:val="32"/>
          <w:szCs w:val="32"/>
        </w:rPr>
      </w:pPr>
      <w:r>
        <w:rPr>
          <w:rFonts w:eastAsia="仿宋_GB2312"/>
          <w:sz w:val="32"/>
          <w:szCs w:val="32"/>
        </w:rPr>
        <w:t>5.残留</w:t>
      </w:r>
    </w:p>
    <w:p w14:paraId="50807F93">
      <w:pPr>
        <w:spacing w:line="480" w:lineRule="exact"/>
        <w:ind w:firstLine="640" w:firstLineChars="200"/>
        <w:rPr>
          <w:rFonts w:eastAsia="仿宋_GB2312"/>
          <w:sz w:val="32"/>
          <w:szCs w:val="32"/>
        </w:rPr>
      </w:pPr>
      <w:r>
        <w:rPr>
          <w:rFonts w:eastAsia="仿宋_GB2312"/>
          <w:sz w:val="32"/>
          <w:szCs w:val="32"/>
        </w:rPr>
        <w:t>对于该类试剂来说，还应考虑进样器等分析系统的残留对结果产生的影响。例如，设计高低两个浓度样本交叉连续进样，并重复多次，较低浓度样本的检测结果应符合其准确性的要求。</w:t>
      </w:r>
    </w:p>
    <w:p w14:paraId="0D36AF3B">
      <w:pPr>
        <w:spacing w:line="480" w:lineRule="exact"/>
        <w:ind w:firstLine="640" w:firstLineChars="200"/>
        <w:rPr>
          <w:rFonts w:eastAsia="仿宋_GB2312"/>
          <w:sz w:val="32"/>
          <w:szCs w:val="32"/>
        </w:rPr>
      </w:pPr>
      <w:r>
        <w:rPr>
          <w:rFonts w:eastAsia="仿宋_GB2312"/>
          <w:sz w:val="32"/>
          <w:szCs w:val="32"/>
        </w:rPr>
        <w:t>6.在分析性能评估资料中还需注意以下几点：</w:t>
      </w:r>
    </w:p>
    <w:p w14:paraId="13E76F85">
      <w:pPr>
        <w:spacing w:line="480" w:lineRule="exact"/>
        <w:ind w:firstLine="640" w:firstLineChars="200"/>
        <w:rPr>
          <w:rFonts w:eastAsia="仿宋_GB2312"/>
          <w:sz w:val="32"/>
          <w:szCs w:val="32"/>
        </w:rPr>
      </w:pPr>
      <w:r>
        <w:rPr>
          <w:rFonts w:eastAsia="仿宋_GB2312"/>
          <w:sz w:val="32"/>
          <w:szCs w:val="32"/>
        </w:rPr>
        <w:t>6.1应明确性能研究使用的仪器扫描模式，不同的扫描模式可能会导致不同的研究结果，必要时应分别描述不同模式下的性能指标。若不同的机型会导致不同的研究结果，也应分别进行详述。</w:t>
      </w:r>
    </w:p>
    <w:p w14:paraId="31400330">
      <w:pPr>
        <w:spacing w:line="480" w:lineRule="exact"/>
        <w:ind w:firstLine="640" w:firstLineChars="200"/>
        <w:rPr>
          <w:rFonts w:eastAsia="仿宋_GB2312"/>
          <w:sz w:val="32"/>
          <w:szCs w:val="32"/>
        </w:rPr>
      </w:pPr>
      <w:r>
        <w:rPr>
          <w:rFonts w:eastAsia="仿宋_GB2312"/>
          <w:sz w:val="32"/>
          <w:szCs w:val="32"/>
        </w:rPr>
        <w:t>6.2进行性能研究所使用的样本形式应为干血斑，且应从萃取溶解开始进行分析性能的评价。</w:t>
      </w:r>
    </w:p>
    <w:p w14:paraId="560833EF">
      <w:pPr>
        <w:spacing w:line="480" w:lineRule="exact"/>
        <w:ind w:firstLine="640" w:firstLineChars="200"/>
        <w:rPr>
          <w:rFonts w:eastAsia="仿宋_GB2312"/>
          <w:sz w:val="32"/>
          <w:szCs w:val="32"/>
        </w:rPr>
      </w:pPr>
      <w:r>
        <w:rPr>
          <w:rFonts w:eastAsia="仿宋_GB2312"/>
          <w:sz w:val="32"/>
          <w:szCs w:val="32"/>
        </w:rPr>
        <w:t>6.3 以上性能研究原则上应包括所有的待测分析物，并应尽可能使用全血干血斑进行评估。由于某些待测分析物的特殊性质，可能无法采用上述常规方法进行实验研究，需使用其他方法或替代物质进行研究的，应对具体情况进行说明，并提供相应的研究资料。</w:t>
      </w:r>
    </w:p>
    <w:p w14:paraId="2122A60F">
      <w:pPr>
        <w:spacing w:line="480" w:lineRule="exact"/>
        <w:ind w:firstLine="640" w:firstLineChars="200"/>
        <w:rPr>
          <w:rFonts w:ascii="楷体_GB2312" w:eastAsia="楷体_GB2312"/>
          <w:sz w:val="32"/>
          <w:szCs w:val="32"/>
        </w:rPr>
      </w:pPr>
      <w:r>
        <w:rPr>
          <w:rFonts w:ascii="楷体_GB2312" w:eastAsia="楷体_GB2312"/>
          <w:sz w:val="32"/>
          <w:szCs w:val="32"/>
        </w:rPr>
        <w:t>（五）阳性判断值/参考区间确定资料</w:t>
      </w:r>
    </w:p>
    <w:p w14:paraId="63601568">
      <w:pPr>
        <w:spacing w:line="480" w:lineRule="exact"/>
        <w:ind w:firstLine="640" w:firstLineChars="200"/>
        <w:rPr>
          <w:rFonts w:eastAsia="仿宋_GB2312"/>
          <w:sz w:val="32"/>
          <w:szCs w:val="32"/>
        </w:rPr>
      </w:pPr>
      <w:r>
        <w:rPr>
          <w:rFonts w:eastAsia="仿宋_GB2312"/>
          <w:sz w:val="32"/>
          <w:szCs w:val="32"/>
        </w:rPr>
        <w:t>对于此类试剂，应对每种待测分析物设定阳性判断值或参考区间。应尽量获取足够大的样本量，设定合理的临床灵敏度和临床特异度预期值进行</w:t>
      </w:r>
      <w:r>
        <w:rPr>
          <w:rFonts w:eastAsia="仿宋_GB2312"/>
          <w:kern w:val="0"/>
          <w:sz w:val="32"/>
          <w:szCs w:val="32"/>
        </w:rPr>
        <w:t>阳性判断值/参考区间的研究</w:t>
      </w:r>
      <w:r>
        <w:rPr>
          <w:rFonts w:eastAsia="仿宋_GB2312"/>
          <w:sz w:val="32"/>
          <w:szCs w:val="32"/>
        </w:rPr>
        <w:t>。根据该类试剂的临床用途，应尽量降低产品的假阴性率，并将假阳性率控制在一定范围。应采用合理的方法进行相关研究，并明确方法的选择依据。</w:t>
      </w:r>
    </w:p>
    <w:p w14:paraId="0A37DBD1">
      <w:pPr>
        <w:spacing w:line="480" w:lineRule="exact"/>
        <w:ind w:firstLine="640" w:firstLineChars="200"/>
        <w:rPr>
          <w:rFonts w:eastAsia="仿宋_GB2312"/>
          <w:sz w:val="32"/>
          <w:szCs w:val="32"/>
        </w:rPr>
      </w:pPr>
      <w:r>
        <w:rPr>
          <w:rFonts w:eastAsia="仿宋_GB2312"/>
          <w:sz w:val="32"/>
          <w:szCs w:val="32"/>
        </w:rPr>
        <w:t>应明确样本入组标准（例如体重、年龄等），并说明试验方案及其合理性。</w:t>
      </w:r>
    </w:p>
    <w:p w14:paraId="1342D232">
      <w:pPr>
        <w:spacing w:line="480" w:lineRule="exact"/>
        <w:ind w:firstLine="640" w:firstLineChars="200"/>
        <w:rPr>
          <w:rFonts w:eastAsia="仿宋_GB2312"/>
          <w:sz w:val="32"/>
          <w:szCs w:val="32"/>
        </w:rPr>
      </w:pPr>
      <w:r>
        <w:rPr>
          <w:rFonts w:eastAsia="仿宋_GB2312"/>
          <w:sz w:val="32"/>
          <w:szCs w:val="32"/>
        </w:rPr>
        <w:t>另外，如存在灰区，应提交灰区设定的依据，并在说明书【阳性判断值】和【检验结果的解释】项进行解释说明。如无灰区设置，也应提交相关的依据。</w:t>
      </w:r>
    </w:p>
    <w:p w14:paraId="7AAB04F8">
      <w:pPr>
        <w:spacing w:line="480" w:lineRule="exact"/>
        <w:ind w:firstLine="640" w:firstLineChars="200"/>
        <w:rPr>
          <w:rFonts w:ascii="楷体_GB2312" w:eastAsia="楷体_GB2312"/>
          <w:sz w:val="32"/>
          <w:szCs w:val="32"/>
        </w:rPr>
      </w:pPr>
      <w:r>
        <w:rPr>
          <w:rFonts w:ascii="楷体_GB2312" w:eastAsia="楷体_GB2312"/>
          <w:sz w:val="32"/>
          <w:szCs w:val="32"/>
        </w:rPr>
        <w:t>（六）稳定性研究资料</w:t>
      </w:r>
    </w:p>
    <w:p w14:paraId="20099A3A">
      <w:pPr>
        <w:spacing w:line="480" w:lineRule="exact"/>
        <w:ind w:firstLine="640" w:firstLineChars="200"/>
        <w:rPr>
          <w:rFonts w:eastAsia="仿宋_GB2312"/>
          <w:sz w:val="32"/>
          <w:szCs w:val="32"/>
        </w:rPr>
      </w:pPr>
      <w:r>
        <w:rPr>
          <w:rFonts w:eastAsia="仿宋_GB2312"/>
          <w:sz w:val="32"/>
          <w:szCs w:val="32"/>
        </w:rPr>
        <w:t>稳定性研究资料应包括研究方法的确定依据、具体的实施方案、详细的研究数据以及结论。主要涉及两部分内容，申报产品的稳定性和适用样本的稳定性研究。</w:t>
      </w:r>
    </w:p>
    <w:p w14:paraId="0976BA24">
      <w:pPr>
        <w:spacing w:line="480" w:lineRule="exact"/>
        <w:ind w:firstLine="640" w:firstLineChars="200"/>
        <w:rPr>
          <w:rFonts w:eastAsia="仿宋_GB2312"/>
          <w:sz w:val="32"/>
          <w:szCs w:val="32"/>
        </w:rPr>
      </w:pPr>
      <w:r>
        <w:rPr>
          <w:rFonts w:eastAsia="仿宋_GB2312"/>
          <w:sz w:val="32"/>
          <w:szCs w:val="32"/>
        </w:rPr>
        <w:t>1.申报产品的稳定性研究主要包括实时稳定性（有效期）、运输稳定性、开瓶稳定性及冻融次数限制等研究。对于实时稳定性研究，应提供至少三批样品在实际储存条件下保存至成品有效期后的研究资料。</w:t>
      </w:r>
    </w:p>
    <w:p w14:paraId="464E73D6">
      <w:pPr>
        <w:spacing w:line="480" w:lineRule="exact"/>
        <w:ind w:firstLine="640" w:firstLineChars="200"/>
        <w:rPr>
          <w:rFonts w:eastAsia="仿宋_GB2312"/>
          <w:sz w:val="32"/>
          <w:szCs w:val="32"/>
        </w:rPr>
      </w:pPr>
      <w:r>
        <w:rPr>
          <w:rFonts w:eastAsia="仿宋_GB2312"/>
          <w:sz w:val="32"/>
          <w:szCs w:val="32"/>
        </w:rPr>
        <w:t>2.适用样本的稳定性研究：本类试剂的适用样本类型为干血斑，可参考相关管理规范等文件对样本的稳定性进行研究。主要包括冷藏和冷冻条件下的储存条件研究、有效期验证、运输稳定性验证以及干血斑萃取后储存条件的验证等。可以在合理的温度范围内选择温度点（温度范围），每间隔一定的时间段对储存样本进行检测，从而确认样本的稳定性。由于某些化合物在干血斑中不稳定，应对这些分析物的情况进行研究，提供其在干血斑中的储存有效期数据。样本保存时间对检测结果的影响应在说明书中进行说明。</w:t>
      </w:r>
    </w:p>
    <w:p w14:paraId="2159063E">
      <w:pPr>
        <w:spacing w:line="480" w:lineRule="exact"/>
        <w:ind w:firstLine="640" w:firstLineChars="200"/>
        <w:rPr>
          <w:rFonts w:hint="eastAsia" w:ascii="楷体_GB2312" w:eastAsia="楷体_GB2312"/>
          <w:sz w:val="32"/>
          <w:szCs w:val="32"/>
        </w:rPr>
      </w:pPr>
      <w:r>
        <w:rPr>
          <w:rFonts w:hint="eastAsia" w:ascii="楷体_GB2312" w:eastAsia="楷体_GB2312"/>
          <w:sz w:val="32"/>
          <w:szCs w:val="32"/>
        </w:rPr>
        <w:t>（七）临床评价资料</w:t>
      </w:r>
    </w:p>
    <w:p w14:paraId="42CD0DD4">
      <w:pPr>
        <w:spacing w:line="480" w:lineRule="exact"/>
        <w:ind w:firstLine="640" w:firstLineChars="200"/>
        <w:rPr>
          <w:rFonts w:eastAsia="仿宋_GB2312"/>
          <w:sz w:val="32"/>
          <w:szCs w:val="32"/>
        </w:rPr>
      </w:pPr>
      <w:r>
        <w:rPr>
          <w:rFonts w:eastAsia="仿宋_GB2312"/>
          <w:sz w:val="32"/>
          <w:szCs w:val="32"/>
        </w:rPr>
        <w:t>1.研究方法</w:t>
      </w:r>
    </w:p>
    <w:p w14:paraId="2FC9BC8C">
      <w:pPr>
        <w:spacing w:line="480" w:lineRule="exact"/>
        <w:ind w:firstLine="640" w:firstLineChars="200"/>
        <w:rPr>
          <w:rFonts w:eastAsia="仿宋_GB2312"/>
          <w:sz w:val="32"/>
          <w:szCs w:val="32"/>
        </w:rPr>
      </w:pPr>
      <w:r>
        <w:rPr>
          <w:rFonts w:eastAsia="仿宋_GB2312"/>
          <w:sz w:val="32"/>
          <w:szCs w:val="32"/>
        </w:rPr>
        <w:t>建议以前瞻性的临床试验方式为主，以试验用体外诊断试剂（以下称考核试剂）与临床诊断结果进行比较研究的方法，评价考核试剂的临床诊断性能相关指标，从而证明其临床性能满足预期用途的要求。临床诊断结果中阳性病例的确认应有充分的依据，包括采用现有条件下公认的、可靠的、权威的疾病诊断标准，疾病诊疗指南中明确的疾病诊断方法，行业内的专家共识等。</w:t>
      </w:r>
    </w:p>
    <w:p w14:paraId="5BA416FC">
      <w:pPr>
        <w:spacing w:line="480" w:lineRule="exact"/>
        <w:ind w:firstLine="640" w:firstLineChars="200"/>
        <w:rPr>
          <w:rFonts w:eastAsia="仿宋_GB2312"/>
          <w:sz w:val="32"/>
          <w:szCs w:val="32"/>
        </w:rPr>
      </w:pPr>
      <w:r>
        <w:rPr>
          <w:rFonts w:eastAsia="仿宋_GB2312"/>
          <w:sz w:val="32"/>
          <w:szCs w:val="32"/>
        </w:rPr>
        <w:t>申请人还应同时选择已批准上市、临床普遍认为质量较好的同类产品作为对比试剂，与考核试剂进行一定例数的比较研究试验，以评价考核试剂的临床准确性。</w:t>
      </w:r>
    </w:p>
    <w:p w14:paraId="0BD75230">
      <w:pPr>
        <w:spacing w:line="480" w:lineRule="exact"/>
        <w:ind w:firstLine="640" w:firstLineChars="200"/>
        <w:rPr>
          <w:rFonts w:eastAsia="仿宋_GB2312"/>
          <w:sz w:val="32"/>
          <w:szCs w:val="32"/>
        </w:rPr>
      </w:pPr>
      <w:r>
        <w:rPr>
          <w:rFonts w:eastAsia="仿宋_GB2312"/>
          <w:sz w:val="32"/>
          <w:szCs w:val="32"/>
        </w:rPr>
        <w:t>2.临床试验机构及人员</w:t>
      </w:r>
    </w:p>
    <w:p w14:paraId="6792C284">
      <w:pPr>
        <w:spacing w:line="480" w:lineRule="exact"/>
        <w:ind w:firstLine="640" w:firstLineChars="200"/>
        <w:rPr>
          <w:rFonts w:eastAsia="仿宋_GB2312"/>
          <w:sz w:val="32"/>
          <w:szCs w:val="32"/>
        </w:rPr>
      </w:pPr>
      <w:r>
        <w:rPr>
          <w:rFonts w:eastAsia="仿宋_GB2312"/>
          <w:kern w:val="0"/>
          <w:sz w:val="32"/>
          <w:szCs w:val="32"/>
        </w:rPr>
        <w:t>应选择至少3家临床试验机构，按照相关法规、指导原则的要求开展临床试验。临床试验机构的选择应尽量考虑拟申报产品的特点和预期用途。建议选择不同地区的临床试验机构开展临床试验，且临床试验机构应具有相关检测的优势。操作</w:t>
      </w:r>
      <w:r>
        <w:rPr>
          <w:rFonts w:eastAsia="仿宋_GB2312"/>
          <w:sz w:val="32"/>
          <w:szCs w:val="32"/>
        </w:rPr>
        <w:t>人员应经过相应的培训，并能熟练操作实验。机构和人员应遵循《医疗机构临床实验室管理办法》及其他相关规定。试验应处于有效的质量控制下，最大限度保证试验数据的准确性及可重复性。</w:t>
      </w:r>
    </w:p>
    <w:p w14:paraId="5B739028">
      <w:pPr>
        <w:spacing w:line="480" w:lineRule="exact"/>
        <w:ind w:firstLine="640" w:firstLineChars="200"/>
        <w:rPr>
          <w:rFonts w:eastAsia="仿宋_GB2312"/>
          <w:sz w:val="32"/>
          <w:szCs w:val="32"/>
        </w:rPr>
      </w:pPr>
      <w:r>
        <w:rPr>
          <w:rFonts w:eastAsia="仿宋_GB2312"/>
          <w:sz w:val="32"/>
          <w:szCs w:val="32"/>
        </w:rPr>
        <w:t>3.适用人群及样本量</w:t>
      </w:r>
    </w:p>
    <w:p w14:paraId="7FF5B4FF">
      <w:pPr>
        <w:spacing w:line="480" w:lineRule="exact"/>
        <w:ind w:firstLine="640" w:firstLineChars="200"/>
        <w:rPr>
          <w:rFonts w:eastAsia="仿宋_GB2312"/>
          <w:sz w:val="32"/>
          <w:szCs w:val="32"/>
        </w:rPr>
      </w:pPr>
      <w:r>
        <w:rPr>
          <w:rFonts w:eastAsia="仿宋_GB2312"/>
          <w:sz w:val="32"/>
          <w:szCs w:val="32"/>
        </w:rPr>
        <w:t>临床试验应选择预期适用人群作为研究对象，样本的采集、处理和保存应符合产品说明书及其他相关指导文件的要求。所有样本均应可以溯源。若适用人群包含新生儿，应设定合理、明确的样本入组标准（例如体重、年龄等）。</w:t>
      </w:r>
    </w:p>
    <w:p w14:paraId="62E6EA9A">
      <w:pPr>
        <w:spacing w:line="480" w:lineRule="exact"/>
        <w:ind w:firstLine="640" w:firstLineChars="200"/>
        <w:rPr>
          <w:rFonts w:eastAsia="仿宋_GB2312"/>
          <w:sz w:val="32"/>
          <w:szCs w:val="32"/>
        </w:rPr>
      </w:pPr>
      <w:r>
        <w:rPr>
          <w:rFonts w:eastAsia="仿宋_GB2312"/>
          <w:color w:val="000000"/>
          <w:sz w:val="32"/>
          <w:szCs w:val="32"/>
        </w:rPr>
        <w:t>应根据疾病发病率和性能要求等估算合理的样本量，并在</w:t>
      </w:r>
      <w:r>
        <w:rPr>
          <w:rFonts w:eastAsia="仿宋_GB2312"/>
          <w:sz w:val="32"/>
          <w:szCs w:val="32"/>
        </w:rPr>
        <w:t>临床试验方案中</w:t>
      </w:r>
      <w:r>
        <w:rPr>
          <w:rFonts w:eastAsia="仿宋_GB2312"/>
          <w:color w:val="000000"/>
          <w:sz w:val="32"/>
          <w:szCs w:val="32"/>
        </w:rPr>
        <w:t>明确样本量确定的依据。在与同类产品进行对比试验时，试验样本应尽量覆盖各分析物的线性范围，样本量应满足统计学要求。</w:t>
      </w:r>
    </w:p>
    <w:p w14:paraId="4E4CAC7A">
      <w:pPr>
        <w:spacing w:line="480" w:lineRule="exact"/>
        <w:ind w:firstLine="640" w:firstLineChars="200"/>
        <w:rPr>
          <w:rFonts w:eastAsia="仿宋_GB2312"/>
          <w:sz w:val="32"/>
          <w:szCs w:val="32"/>
        </w:rPr>
      </w:pPr>
      <w:r>
        <w:rPr>
          <w:rFonts w:eastAsia="仿宋_GB2312"/>
          <w:sz w:val="32"/>
          <w:szCs w:val="32"/>
        </w:rPr>
        <w:t>根据临床发病率、临床诊治情况及其他因素综合考虑，对于我国相对常见的遗传代谢病如高苯丙氨酸血症（HPA）、甲基丙二酸血症（MMA）、原发性肉碱缺乏症（PCD）等,应通过前瞻性临床试验检出真阳性病例；其他发病率相对更低的疾病也应尽可能在前瞻性临床试验中检出所声称疾病病例。建议声称的遗传代谢病种类应尽量覆盖我国常见的病种，可参考表1中所列的疾病。同时，临床试验检测结果应尽量覆盖所有待测分析物指标异常情况。</w:t>
      </w:r>
    </w:p>
    <w:p w14:paraId="2289A4DA">
      <w:pPr>
        <w:spacing w:line="480" w:lineRule="exact"/>
        <w:ind w:firstLine="640" w:firstLineChars="200"/>
        <w:rPr>
          <w:rFonts w:eastAsia="仿宋_GB2312"/>
          <w:sz w:val="32"/>
          <w:szCs w:val="32"/>
        </w:rPr>
      </w:pPr>
      <w:r>
        <w:rPr>
          <w:rFonts w:eastAsia="仿宋_GB2312"/>
          <w:sz w:val="32"/>
          <w:szCs w:val="32"/>
        </w:rPr>
        <w:t>若临床试验中使用部分已确诊（回顾性）的阳性病例进行研究，应提供充分的理由，并在试验方案和报告中对病例选择的方式和原因进行明确的说明。在产品说明书中应根据临床结果对检出的遗传代谢病和分析物指标异常情况进行描述，其中采用回顾性病例进行的研究应另行说明。</w:t>
      </w:r>
    </w:p>
    <w:p w14:paraId="0A60C898">
      <w:pPr>
        <w:spacing w:line="480" w:lineRule="exact"/>
        <w:ind w:firstLine="640" w:firstLineChars="200"/>
        <w:rPr>
          <w:rFonts w:eastAsia="仿宋_GB2312"/>
          <w:kern w:val="0"/>
          <w:sz w:val="32"/>
          <w:szCs w:val="32"/>
        </w:rPr>
      </w:pPr>
      <w:r>
        <w:rPr>
          <w:rFonts w:eastAsia="仿宋_GB2312"/>
          <w:kern w:val="0"/>
          <w:sz w:val="32"/>
          <w:szCs w:val="32"/>
        </w:rPr>
        <w:t>4.临床试验方案</w:t>
      </w:r>
    </w:p>
    <w:p w14:paraId="068F0D80">
      <w:pPr>
        <w:spacing w:line="480" w:lineRule="exact"/>
        <w:ind w:firstLine="640" w:firstLineChars="200"/>
        <w:rPr>
          <w:rFonts w:eastAsia="仿宋_GB2312"/>
          <w:kern w:val="0"/>
          <w:sz w:val="32"/>
          <w:szCs w:val="32"/>
        </w:rPr>
      </w:pPr>
      <w:r>
        <w:rPr>
          <w:rFonts w:eastAsia="仿宋_GB2312"/>
          <w:kern w:val="0"/>
          <w:sz w:val="32"/>
          <w:szCs w:val="32"/>
        </w:rPr>
        <w:t>开展临床试验前，申请人应与各临床试验机构协商制定统一的、科学合理的临床试验方案，并按照临床试验方案组织制定标准操作规程，并进行验证，以确保临床试验操作在各个临床试验机构之间的一致性。在整个临床试验过程中均应遵循预定的方案，不可随意改动。</w:t>
      </w:r>
    </w:p>
    <w:p w14:paraId="5ABE665A">
      <w:pPr>
        <w:spacing w:line="480" w:lineRule="exact"/>
        <w:ind w:firstLine="640" w:firstLineChars="200"/>
        <w:rPr>
          <w:rFonts w:eastAsia="仿宋_GB2312"/>
          <w:kern w:val="0"/>
          <w:sz w:val="32"/>
          <w:szCs w:val="32"/>
        </w:rPr>
      </w:pPr>
      <w:r>
        <w:rPr>
          <w:rFonts w:eastAsia="仿宋_GB2312"/>
          <w:kern w:val="0"/>
          <w:sz w:val="32"/>
          <w:szCs w:val="32"/>
        </w:rPr>
        <w:t>临床试验应在临床试验机构的实验室内进行，并由本实验室的技术人员操作，申报单位的技术人员除进行必要的技术指导外，不得随意干涉试验进程，尤其是数据收集过程。</w:t>
      </w:r>
    </w:p>
    <w:p w14:paraId="0B3A8977">
      <w:pPr>
        <w:spacing w:line="480" w:lineRule="exact"/>
        <w:ind w:firstLine="640" w:firstLineChars="200"/>
        <w:rPr>
          <w:rFonts w:eastAsia="仿宋_GB2312"/>
          <w:sz w:val="32"/>
          <w:szCs w:val="32"/>
        </w:rPr>
      </w:pPr>
      <w:r>
        <w:rPr>
          <w:rFonts w:eastAsia="仿宋_GB2312"/>
          <w:kern w:val="0"/>
          <w:sz w:val="32"/>
          <w:szCs w:val="32"/>
        </w:rPr>
        <w:t>试验方案中应确定合理、严格的病例纳入/排除标准，任何已经入选的病例再被排除出临床试验都应记录在案并明确说明原因。</w:t>
      </w:r>
      <w:r>
        <w:rPr>
          <w:rFonts w:eastAsia="仿宋_GB2312"/>
          <w:sz w:val="32"/>
          <w:szCs w:val="32"/>
        </w:rPr>
        <w:t>方案中应明确样本入组的要求，以及样本的收集、处理及保存要求等。</w:t>
      </w:r>
    </w:p>
    <w:p w14:paraId="120068B9">
      <w:pPr>
        <w:spacing w:line="480" w:lineRule="exact"/>
        <w:ind w:firstLine="640" w:firstLineChars="200"/>
        <w:rPr>
          <w:rFonts w:eastAsia="仿宋_GB2312"/>
          <w:kern w:val="0"/>
          <w:sz w:val="32"/>
          <w:szCs w:val="32"/>
        </w:rPr>
      </w:pPr>
      <w:r>
        <w:rPr>
          <w:rFonts w:eastAsia="仿宋_GB2312"/>
          <w:kern w:val="0"/>
          <w:sz w:val="32"/>
          <w:szCs w:val="32"/>
        </w:rPr>
        <w:t>在试验操作过程中和判定试验结果时应采用盲法，以保证试验结果的客观性，并在临床试验方案中明确。</w:t>
      </w:r>
    </w:p>
    <w:p w14:paraId="57442CC2">
      <w:pPr>
        <w:spacing w:line="480" w:lineRule="exact"/>
        <w:ind w:firstLine="640" w:firstLineChars="200"/>
        <w:rPr>
          <w:rFonts w:eastAsia="仿宋_GB2312"/>
          <w:sz w:val="32"/>
          <w:szCs w:val="32"/>
        </w:rPr>
      </w:pPr>
      <w:r>
        <w:rPr>
          <w:rFonts w:eastAsia="仿宋_GB2312"/>
          <w:sz w:val="32"/>
          <w:szCs w:val="32"/>
        </w:rPr>
        <w:t>方案中应明确，当对比试验结果不一致时，应分析原因并给出解释，必要时进行第三方复核</w:t>
      </w:r>
      <w:r>
        <w:rPr>
          <w:rFonts w:eastAsia="仿宋_GB2312"/>
          <w:kern w:val="0"/>
          <w:sz w:val="32"/>
          <w:szCs w:val="32"/>
        </w:rPr>
        <w:t>。</w:t>
      </w:r>
    </w:p>
    <w:p w14:paraId="508E0AFB">
      <w:pPr>
        <w:spacing w:line="480" w:lineRule="exact"/>
        <w:ind w:firstLine="640" w:firstLineChars="200"/>
        <w:rPr>
          <w:rFonts w:eastAsia="仿宋_GB2312"/>
          <w:sz w:val="32"/>
          <w:szCs w:val="32"/>
        </w:rPr>
      </w:pPr>
      <w:r>
        <w:rPr>
          <w:rFonts w:eastAsia="仿宋_GB2312"/>
          <w:sz w:val="32"/>
          <w:szCs w:val="32"/>
        </w:rPr>
        <w:t>5.临床试验报告</w:t>
      </w:r>
    </w:p>
    <w:p w14:paraId="5B9CF7BB">
      <w:pPr>
        <w:spacing w:line="480" w:lineRule="exact"/>
        <w:ind w:firstLine="640" w:firstLineChars="200"/>
        <w:rPr>
          <w:rFonts w:eastAsia="仿宋_GB2312"/>
          <w:sz w:val="32"/>
          <w:szCs w:val="32"/>
        </w:rPr>
      </w:pPr>
      <w:r>
        <w:rPr>
          <w:rFonts w:eastAsia="仿宋_GB2312"/>
          <w:kern w:val="0"/>
          <w:sz w:val="32"/>
          <w:szCs w:val="32"/>
        </w:rPr>
        <w:t>临床试验报告应该对试验的整体设计及各个关键点给予清晰、完整的阐述，应该对整个临床试验实施过程、结果分析、结论等进行条理分明的描述，并应包括必要的基础数据和统计分析方法。应</w:t>
      </w:r>
      <w:r>
        <w:rPr>
          <w:rFonts w:eastAsia="仿宋_GB2312"/>
          <w:sz w:val="32"/>
          <w:szCs w:val="32"/>
        </w:rPr>
        <w:t>对以下内容进行详述：</w:t>
      </w:r>
    </w:p>
    <w:p w14:paraId="60DDD8AE">
      <w:pPr>
        <w:spacing w:line="480" w:lineRule="exact"/>
        <w:ind w:firstLine="640" w:firstLineChars="200"/>
        <w:rPr>
          <w:rFonts w:eastAsia="仿宋_GB2312"/>
          <w:kern w:val="0"/>
          <w:sz w:val="32"/>
          <w:szCs w:val="32"/>
        </w:rPr>
      </w:pPr>
      <w:r>
        <w:rPr>
          <w:rFonts w:eastAsia="仿宋_GB2312"/>
          <w:kern w:val="0"/>
          <w:sz w:val="32"/>
          <w:szCs w:val="32"/>
        </w:rPr>
        <w:t>5.1临床试验总体设计及方案描述</w:t>
      </w:r>
    </w:p>
    <w:p w14:paraId="79705703">
      <w:pPr>
        <w:spacing w:line="480" w:lineRule="exact"/>
        <w:ind w:firstLine="640" w:firstLineChars="200"/>
        <w:rPr>
          <w:rFonts w:eastAsia="仿宋_GB2312"/>
          <w:kern w:val="0"/>
          <w:sz w:val="32"/>
          <w:szCs w:val="32"/>
        </w:rPr>
      </w:pPr>
      <w:r>
        <w:rPr>
          <w:rFonts w:eastAsia="仿宋_GB2312"/>
          <w:kern w:val="0"/>
          <w:sz w:val="32"/>
          <w:szCs w:val="32"/>
        </w:rPr>
        <w:t>5.1.1 临床试验的整体管理情况、临床试验机构选择、临床主要研究人员简介等基本情况介绍。</w:t>
      </w:r>
    </w:p>
    <w:p w14:paraId="2D5E930E">
      <w:pPr>
        <w:spacing w:line="480" w:lineRule="exact"/>
        <w:ind w:firstLine="640" w:firstLineChars="200"/>
        <w:rPr>
          <w:rFonts w:eastAsia="仿宋_GB2312"/>
          <w:kern w:val="0"/>
          <w:sz w:val="32"/>
          <w:szCs w:val="32"/>
        </w:rPr>
      </w:pPr>
      <w:r>
        <w:rPr>
          <w:rFonts w:eastAsia="仿宋_GB2312"/>
          <w:kern w:val="0"/>
          <w:sz w:val="32"/>
          <w:szCs w:val="32"/>
        </w:rPr>
        <w:t>5.1.2 病例纳入/排除的情况、盲法操作流程等。</w:t>
      </w:r>
    </w:p>
    <w:p w14:paraId="1FAC9269">
      <w:pPr>
        <w:spacing w:line="480" w:lineRule="exact"/>
        <w:ind w:firstLine="640" w:firstLineChars="200"/>
        <w:rPr>
          <w:rFonts w:eastAsia="仿宋_GB2312"/>
          <w:kern w:val="0"/>
          <w:sz w:val="32"/>
          <w:szCs w:val="32"/>
        </w:rPr>
      </w:pPr>
      <w:r>
        <w:rPr>
          <w:rFonts w:eastAsia="仿宋_GB2312"/>
          <w:kern w:val="0"/>
          <w:sz w:val="32"/>
          <w:szCs w:val="32"/>
        </w:rPr>
        <w:t>5.1.3 样本类型，样本的收集、处理及保存等。</w:t>
      </w:r>
    </w:p>
    <w:p w14:paraId="6FB59E17">
      <w:pPr>
        <w:spacing w:line="480" w:lineRule="exact"/>
        <w:ind w:firstLine="640" w:firstLineChars="200"/>
        <w:rPr>
          <w:rFonts w:eastAsia="仿宋_GB2312"/>
          <w:kern w:val="0"/>
          <w:sz w:val="32"/>
          <w:szCs w:val="32"/>
        </w:rPr>
      </w:pPr>
      <w:r>
        <w:rPr>
          <w:rFonts w:eastAsia="仿宋_GB2312"/>
          <w:kern w:val="0"/>
          <w:sz w:val="32"/>
          <w:szCs w:val="32"/>
        </w:rPr>
        <w:t>5.1.4 统计学方法、统计软件、评价统计结果的标准。</w:t>
      </w:r>
    </w:p>
    <w:p w14:paraId="7EFDA54A">
      <w:pPr>
        <w:spacing w:line="480" w:lineRule="exact"/>
        <w:ind w:firstLine="640" w:firstLineChars="200"/>
        <w:rPr>
          <w:rFonts w:eastAsia="仿宋_GB2312"/>
          <w:kern w:val="0"/>
          <w:sz w:val="32"/>
          <w:szCs w:val="32"/>
        </w:rPr>
      </w:pPr>
      <w:r>
        <w:rPr>
          <w:rFonts w:eastAsia="仿宋_GB2312"/>
          <w:kern w:val="0"/>
          <w:sz w:val="32"/>
          <w:szCs w:val="32"/>
        </w:rPr>
        <w:t>5.2 具体的临床试验情况</w:t>
      </w:r>
    </w:p>
    <w:p w14:paraId="117B80B6">
      <w:pPr>
        <w:spacing w:line="480" w:lineRule="exact"/>
        <w:ind w:firstLine="640" w:firstLineChars="200"/>
        <w:rPr>
          <w:rFonts w:eastAsia="仿宋_GB2312"/>
          <w:kern w:val="0"/>
          <w:sz w:val="32"/>
          <w:szCs w:val="32"/>
        </w:rPr>
      </w:pPr>
      <w:r>
        <w:rPr>
          <w:rFonts w:eastAsia="仿宋_GB2312"/>
          <w:kern w:val="0"/>
          <w:sz w:val="32"/>
          <w:szCs w:val="32"/>
        </w:rPr>
        <w:t>5.2.1 临床试验所用各体外诊断试剂及仪器的名称、批号、机型等信息。</w:t>
      </w:r>
    </w:p>
    <w:p w14:paraId="5AE5A8EA">
      <w:pPr>
        <w:spacing w:line="480" w:lineRule="exact"/>
        <w:ind w:firstLine="640" w:firstLineChars="200"/>
        <w:rPr>
          <w:rFonts w:eastAsia="仿宋_GB2312"/>
          <w:kern w:val="0"/>
          <w:sz w:val="32"/>
          <w:szCs w:val="32"/>
        </w:rPr>
      </w:pPr>
      <w:r>
        <w:rPr>
          <w:rFonts w:eastAsia="仿宋_GB2312"/>
          <w:kern w:val="0"/>
          <w:sz w:val="32"/>
          <w:szCs w:val="32"/>
        </w:rPr>
        <w:t>5.2.2 各试验机构的病例数、阴性/阳性检出例数、检出的遗传代谢病情况等。</w:t>
      </w:r>
    </w:p>
    <w:p w14:paraId="0776E480">
      <w:pPr>
        <w:spacing w:line="480" w:lineRule="exact"/>
        <w:ind w:firstLine="640" w:firstLineChars="200"/>
        <w:rPr>
          <w:rFonts w:eastAsia="仿宋_GB2312"/>
          <w:kern w:val="0"/>
          <w:sz w:val="32"/>
          <w:szCs w:val="32"/>
        </w:rPr>
      </w:pPr>
      <w:r>
        <w:rPr>
          <w:rFonts w:eastAsia="仿宋_GB2312"/>
          <w:kern w:val="0"/>
          <w:sz w:val="32"/>
          <w:szCs w:val="32"/>
        </w:rPr>
        <w:t>5.2.3 质量控制，试验人员培训、仪器日常维护、仪器校准、质控品运行情况。</w:t>
      </w:r>
    </w:p>
    <w:p w14:paraId="4870378F">
      <w:pPr>
        <w:spacing w:line="480" w:lineRule="exact"/>
        <w:ind w:firstLine="640" w:firstLineChars="200"/>
        <w:rPr>
          <w:rFonts w:eastAsia="仿宋_GB2312"/>
          <w:kern w:val="0"/>
          <w:sz w:val="32"/>
          <w:szCs w:val="32"/>
        </w:rPr>
      </w:pPr>
      <w:r>
        <w:rPr>
          <w:rFonts w:eastAsia="仿宋_GB2312"/>
          <w:kern w:val="0"/>
          <w:sz w:val="32"/>
          <w:szCs w:val="32"/>
        </w:rPr>
        <w:t>5.2.4 具体试验过程，样本检测、数据收集、结果不一致样本的校验；阳性病例后续操作方法、病例脱落情况，以及是否符合临床试验方案等。</w:t>
      </w:r>
    </w:p>
    <w:p w14:paraId="5BA6DB3E">
      <w:pPr>
        <w:spacing w:line="480" w:lineRule="exact"/>
        <w:ind w:firstLine="640" w:firstLineChars="200"/>
        <w:rPr>
          <w:rFonts w:eastAsia="仿宋_GB2312"/>
          <w:kern w:val="0"/>
          <w:sz w:val="32"/>
          <w:szCs w:val="32"/>
        </w:rPr>
      </w:pPr>
      <w:r>
        <w:rPr>
          <w:rFonts w:eastAsia="仿宋_GB2312"/>
          <w:kern w:val="0"/>
          <w:sz w:val="32"/>
          <w:szCs w:val="32"/>
        </w:rPr>
        <w:t xml:space="preserve">5.2.5 </w:t>
      </w:r>
      <w:r>
        <w:rPr>
          <w:rFonts w:eastAsia="仿宋_GB2312"/>
          <w:sz w:val="32"/>
          <w:szCs w:val="32"/>
        </w:rPr>
        <w:t>具体试验过程及试验过程中需要说明的问题，是否涉及对方案的修改等。</w:t>
      </w:r>
    </w:p>
    <w:p w14:paraId="1E42BFB9">
      <w:pPr>
        <w:spacing w:line="480" w:lineRule="exact"/>
        <w:ind w:firstLine="640" w:firstLineChars="200"/>
        <w:rPr>
          <w:rFonts w:eastAsia="仿宋_GB2312"/>
          <w:kern w:val="0"/>
          <w:sz w:val="32"/>
          <w:szCs w:val="32"/>
        </w:rPr>
      </w:pPr>
      <w:r>
        <w:rPr>
          <w:rFonts w:eastAsia="仿宋_GB2312"/>
          <w:kern w:val="0"/>
          <w:sz w:val="32"/>
          <w:szCs w:val="32"/>
        </w:rPr>
        <w:t>5.3统计学分析</w:t>
      </w:r>
    </w:p>
    <w:p w14:paraId="4BC68F8B">
      <w:pPr>
        <w:spacing w:line="480" w:lineRule="exact"/>
        <w:ind w:firstLine="640" w:firstLineChars="200"/>
        <w:rPr>
          <w:rFonts w:eastAsia="仿宋_GB2312"/>
          <w:sz w:val="32"/>
          <w:szCs w:val="32"/>
        </w:rPr>
      </w:pPr>
      <w:r>
        <w:rPr>
          <w:rFonts w:eastAsia="仿宋_GB2312"/>
          <w:sz w:val="32"/>
          <w:szCs w:val="32"/>
        </w:rPr>
        <w:t>对临床试验数据的统计应选择合适的统计方法。应对考核试剂与临床诊断结果进行统计分析，建议分别对每种待测分析物和每种疾病的临床性能相关指标（例如临床灵敏度和临床特异度、假阳性率和假阴性率、阴性似然比和阳性似然比、阴性预测值和阳性预测值等）进行统计。同时，应根据临床诊断结果，统计并明确每种疾病与待测分析物指标之间的对应关系。</w:t>
      </w:r>
    </w:p>
    <w:p w14:paraId="4EC09F2E">
      <w:pPr>
        <w:spacing w:line="480" w:lineRule="exact"/>
        <w:ind w:firstLine="640" w:firstLineChars="200"/>
        <w:rPr>
          <w:rFonts w:eastAsia="仿宋_GB2312"/>
          <w:sz w:val="32"/>
          <w:szCs w:val="32"/>
        </w:rPr>
      </w:pPr>
      <w:r>
        <w:rPr>
          <w:rFonts w:eastAsia="仿宋_GB2312"/>
          <w:sz w:val="32"/>
          <w:szCs w:val="32"/>
        </w:rPr>
        <w:t>对于考核试剂与对比试剂的比对试验结果，应采用回归分析的方法分析其定量结果的相关性，同时也可选用特定的数据分析模型（如Bland-Altman 模型）对定量分析结果的一致性进行分析。亦可同时对</w:t>
      </w:r>
      <w:r>
        <w:rPr>
          <w:rFonts w:eastAsia="仿宋_GB2312"/>
          <w:bCs/>
          <w:color w:val="000000"/>
          <w:sz w:val="32"/>
          <w:szCs w:val="32"/>
        </w:rPr>
        <w:t>二者的阴/阳性符合率和总符合率进行分析，</w:t>
      </w:r>
      <w:r>
        <w:rPr>
          <w:rFonts w:eastAsia="仿宋_GB2312"/>
          <w:sz w:val="32"/>
          <w:szCs w:val="32"/>
        </w:rPr>
        <w:t>对结果进行χ</w:t>
      </w:r>
      <w:r>
        <w:rPr>
          <w:rFonts w:eastAsia="仿宋_GB2312"/>
          <w:sz w:val="32"/>
          <w:szCs w:val="32"/>
          <w:vertAlign w:val="superscript"/>
        </w:rPr>
        <w:t>2</w:t>
      </w:r>
      <w:r>
        <w:rPr>
          <w:rFonts w:eastAsia="仿宋_GB2312"/>
          <w:sz w:val="32"/>
          <w:szCs w:val="32"/>
        </w:rPr>
        <w:t>检验或kappa检验以检验其定性结果的一致性。</w:t>
      </w:r>
    </w:p>
    <w:p w14:paraId="0E120BA0">
      <w:pPr>
        <w:spacing w:line="480" w:lineRule="exact"/>
        <w:ind w:firstLine="640" w:firstLineChars="200"/>
        <w:rPr>
          <w:rFonts w:eastAsia="仿宋_GB2312"/>
          <w:sz w:val="32"/>
          <w:szCs w:val="32"/>
        </w:rPr>
      </w:pPr>
      <w:r>
        <w:rPr>
          <w:rFonts w:eastAsia="仿宋_GB2312"/>
          <w:sz w:val="32"/>
          <w:szCs w:val="32"/>
        </w:rPr>
        <w:t>应针对每一种待测分析物（或相关分析物间的比值）和每种疾病的对比试验结果进行单独统计分析，以列表的形式进行总结。</w:t>
      </w:r>
    </w:p>
    <w:p w14:paraId="4665AF90">
      <w:pPr>
        <w:spacing w:line="480" w:lineRule="exact"/>
        <w:ind w:firstLine="640" w:firstLineChars="200"/>
        <w:rPr>
          <w:rFonts w:eastAsia="仿宋_GB2312"/>
          <w:kern w:val="0"/>
          <w:sz w:val="32"/>
          <w:szCs w:val="32"/>
        </w:rPr>
      </w:pPr>
      <w:r>
        <w:rPr>
          <w:rFonts w:eastAsia="仿宋_GB2312"/>
          <w:sz w:val="32"/>
          <w:szCs w:val="32"/>
        </w:rPr>
        <w:t>应明确样本的纳入与排除情况。说明其他情况，如数据预处理、差异数据的重新检测以及最终是否纳入数据统计、对异常值或缺失值的处理等。</w:t>
      </w:r>
    </w:p>
    <w:p w14:paraId="39155C38">
      <w:pPr>
        <w:spacing w:line="480" w:lineRule="exact"/>
        <w:ind w:firstLine="640" w:firstLineChars="200"/>
        <w:rPr>
          <w:rFonts w:eastAsia="仿宋_GB2312"/>
          <w:kern w:val="0"/>
          <w:sz w:val="32"/>
          <w:szCs w:val="32"/>
        </w:rPr>
      </w:pPr>
      <w:r>
        <w:rPr>
          <w:rFonts w:eastAsia="仿宋_GB2312"/>
          <w:kern w:val="0"/>
          <w:sz w:val="32"/>
          <w:szCs w:val="32"/>
        </w:rPr>
        <w:t>5.4 讨论和结论</w:t>
      </w:r>
    </w:p>
    <w:p w14:paraId="755864B0">
      <w:pPr>
        <w:spacing w:line="480" w:lineRule="exact"/>
        <w:ind w:firstLine="640" w:firstLineChars="200"/>
        <w:rPr>
          <w:rFonts w:eastAsia="仿宋_GB2312"/>
          <w:kern w:val="0"/>
          <w:sz w:val="32"/>
          <w:szCs w:val="32"/>
        </w:rPr>
      </w:pPr>
      <w:r>
        <w:rPr>
          <w:rFonts w:eastAsia="仿宋_GB2312"/>
          <w:kern w:val="0"/>
          <w:sz w:val="32"/>
          <w:szCs w:val="32"/>
        </w:rPr>
        <w:t>对总体结果进行总结性描述并简要分析试验结果，对本次临床研究有无特别说明，最后得出临床试验结论。</w:t>
      </w:r>
    </w:p>
    <w:p w14:paraId="6ED41256">
      <w:pPr>
        <w:spacing w:line="480" w:lineRule="exact"/>
        <w:ind w:firstLine="640" w:firstLineChars="200"/>
        <w:rPr>
          <w:rFonts w:eastAsia="仿宋_GB2312"/>
          <w:kern w:val="0"/>
          <w:sz w:val="32"/>
          <w:szCs w:val="32"/>
        </w:rPr>
      </w:pPr>
      <w:r>
        <w:rPr>
          <w:rFonts w:eastAsia="仿宋_GB2312"/>
          <w:kern w:val="0"/>
          <w:sz w:val="32"/>
          <w:szCs w:val="32"/>
        </w:rPr>
        <w:t>6.批准上市条件</w:t>
      </w:r>
    </w:p>
    <w:p w14:paraId="56948E77">
      <w:pPr>
        <w:spacing w:line="480" w:lineRule="exact"/>
        <w:ind w:firstLine="640" w:firstLineChars="200"/>
        <w:rPr>
          <w:rFonts w:eastAsia="仿宋_GB2312"/>
          <w:kern w:val="0"/>
          <w:sz w:val="32"/>
          <w:szCs w:val="32"/>
        </w:rPr>
      </w:pPr>
      <w:r>
        <w:rPr>
          <w:rFonts w:eastAsia="仿宋_GB2312"/>
          <w:kern w:val="0"/>
          <w:sz w:val="32"/>
          <w:szCs w:val="32"/>
        </w:rPr>
        <w:t>由于该类产品的特殊性，技术审评中可根据产品风险受益、产品预期临床应用情况、上市前研究等因素，附带条件批准上市。具体情况可参见《用于罕见病防治医疗器械注册审查指导原则》的相关要求。</w:t>
      </w:r>
    </w:p>
    <w:p w14:paraId="28AC14C5">
      <w:pPr>
        <w:spacing w:line="480" w:lineRule="exact"/>
        <w:ind w:firstLine="640" w:firstLineChars="200"/>
        <w:rPr>
          <w:rFonts w:ascii="楷体_GB2312" w:eastAsia="楷体_GB2312"/>
          <w:sz w:val="32"/>
          <w:szCs w:val="32"/>
        </w:rPr>
      </w:pPr>
      <w:r>
        <w:rPr>
          <w:rFonts w:ascii="楷体_GB2312" w:eastAsia="楷体_GB2312"/>
          <w:sz w:val="32"/>
          <w:szCs w:val="32"/>
        </w:rPr>
        <w:t>（八）产品技术要求</w:t>
      </w:r>
    </w:p>
    <w:p w14:paraId="2F292615">
      <w:pPr>
        <w:spacing w:line="480" w:lineRule="exact"/>
        <w:ind w:firstLine="640" w:firstLineChars="200"/>
        <w:rPr>
          <w:rFonts w:eastAsia="仿宋_GB2312"/>
          <w:bCs/>
          <w:color w:val="000000"/>
          <w:sz w:val="32"/>
          <w:szCs w:val="32"/>
        </w:rPr>
      </w:pPr>
      <w:r>
        <w:rPr>
          <w:rFonts w:eastAsia="仿宋_GB2312"/>
          <w:bCs/>
          <w:color w:val="000000"/>
          <w:sz w:val="32"/>
          <w:szCs w:val="32"/>
        </w:rPr>
        <w:t>拟定产品技术要求应符合《办法》和《公告》的相关规定。申请人应当在原材料质量和生产工艺稳定的前提下,根据申请人产品研制、前期临床评价等结果，依据国家标准、行业标准及有关文献，按照《医疗器械产品技术要求编写指导原则》（原国家食品药品监督管理总局通告2014年第9号）的有关要求编写。</w:t>
      </w:r>
    </w:p>
    <w:p w14:paraId="48383C2D">
      <w:pPr>
        <w:spacing w:line="480" w:lineRule="exact"/>
        <w:ind w:firstLine="640" w:firstLineChars="200"/>
        <w:rPr>
          <w:rFonts w:eastAsia="仿宋_GB2312"/>
          <w:bCs/>
          <w:color w:val="000000"/>
          <w:sz w:val="32"/>
          <w:szCs w:val="32"/>
        </w:rPr>
      </w:pPr>
      <w:r>
        <w:rPr>
          <w:rFonts w:eastAsia="仿宋_GB2312"/>
          <w:bCs/>
          <w:color w:val="000000"/>
          <w:sz w:val="32"/>
          <w:szCs w:val="32"/>
        </w:rPr>
        <w:t>第三类产品技术要求中还应当以附录形式明确主要原材料、生产工艺及半成品要求。附录中应将内标准品、标准品、质控品的设计及来源，参考品设置，生产工艺流程及质控关键点等重点内容予以明确。</w:t>
      </w:r>
    </w:p>
    <w:p w14:paraId="317C02B8">
      <w:pPr>
        <w:spacing w:line="480" w:lineRule="exact"/>
        <w:ind w:firstLine="640" w:firstLineChars="200"/>
        <w:rPr>
          <w:rFonts w:ascii="楷体_GB2312" w:eastAsia="楷体_GB2312"/>
          <w:sz w:val="32"/>
          <w:szCs w:val="32"/>
        </w:rPr>
      </w:pPr>
      <w:r>
        <w:rPr>
          <w:rFonts w:ascii="楷体_GB2312" w:eastAsia="楷体_GB2312"/>
          <w:sz w:val="32"/>
          <w:szCs w:val="32"/>
        </w:rPr>
        <w:t>（九）产品检验报告</w:t>
      </w:r>
    </w:p>
    <w:p w14:paraId="328DCE66">
      <w:pPr>
        <w:spacing w:line="480" w:lineRule="exact"/>
        <w:ind w:firstLine="640" w:firstLineChars="200"/>
        <w:rPr>
          <w:rFonts w:eastAsia="仿宋_GB2312"/>
          <w:kern w:val="0"/>
          <w:sz w:val="32"/>
          <w:szCs w:val="32"/>
        </w:rPr>
      </w:pPr>
      <w:r>
        <w:rPr>
          <w:rFonts w:eastAsia="仿宋_GB2312"/>
          <w:kern w:val="0"/>
          <w:sz w:val="32"/>
          <w:szCs w:val="32"/>
        </w:rPr>
        <w:t>应提供该产品在具有相应医疗器械检验资质和承检范围的医疗器械检验机构进行的、符合产品技术要求的产品检验报告。应提供连续3个生产批次样品的检验合格报告。</w:t>
      </w:r>
    </w:p>
    <w:p w14:paraId="575C9AFE">
      <w:pPr>
        <w:spacing w:line="480" w:lineRule="exact"/>
        <w:ind w:firstLine="640" w:firstLineChars="200"/>
        <w:rPr>
          <w:rFonts w:hint="eastAsia" w:ascii="楷体_GB2312" w:eastAsia="楷体_GB2312"/>
          <w:sz w:val="32"/>
          <w:szCs w:val="32"/>
        </w:rPr>
      </w:pPr>
      <w:r>
        <w:rPr>
          <w:rFonts w:hint="eastAsia" w:ascii="楷体_GB2312" w:eastAsia="楷体_GB2312"/>
          <w:sz w:val="32"/>
          <w:szCs w:val="32"/>
        </w:rPr>
        <w:t>（十）产品说明书</w:t>
      </w:r>
    </w:p>
    <w:p w14:paraId="6132BA0F">
      <w:pPr>
        <w:spacing w:line="480" w:lineRule="exact"/>
        <w:ind w:firstLine="640" w:firstLineChars="200"/>
        <w:rPr>
          <w:rFonts w:eastAsia="仿宋_GB2312"/>
          <w:sz w:val="32"/>
          <w:szCs w:val="32"/>
        </w:rPr>
      </w:pPr>
      <w:r>
        <w:rPr>
          <w:rFonts w:eastAsia="仿宋_GB2312"/>
          <w:sz w:val="32"/>
          <w:szCs w:val="32"/>
        </w:rPr>
        <w:t>产品说明书的格式应符合《体外诊断试剂说明书编写指导原则》（国家食品药品监督管理总局通告2014年第17号）的要求，进口产品的中文说明书除格式要求外，其内容应尽量保持与原文说明书的一致性，翻译力求准确且符合中文表达习惯。产品说明书的所有内容均应与申请人提交的注册申报资料中的相关研究结果保持一致，若某些内容引用自参考文献，则应以规范格式对此内容进行标注，并单独列明参考文献的相关信息。</w:t>
      </w:r>
    </w:p>
    <w:p w14:paraId="49745F65">
      <w:pPr>
        <w:spacing w:line="480" w:lineRule="exact"/>
        <w:ind w:firstLine="640" w:firstLineChars="200"/>
        <w:rPr>
          <w:rFonts w:eastAsia="仿宋_GB2312"/>
          <w:sz w:val="32"/>
          <w:szCs w:val="32"/>
        </w:rPr>
      </w:pPr>
      <w:r>
        <w:rPr>
          <w:rFonts w:eastAsia="仿宋_GB2312"/>
          <w:sz w:val="32"/>
          <w:szCs w:val="32"/>
        </w:rPr>
        <w:t>结合《体外诊断试剂说明书编写指导原则》的要求，下面对说明书的重点内容进行详细说明。</w:t>
      </w:r>
    </w:p>
    <w:p w14:paraId="4C917D65">
      <w:pPr>
        <w:spacing w:line="480" w:lineRule="exact"/>
        <w:ind w:firstLine="640" w:firstLineChars="200"/>
        <w:rPr>
          <w:rFonts w:eastAsia="仿宋_GB2312"/>
          <w:sz w:val="32"/>
          <w:szCs w:val="32"/>
        </w:rPr>
      </w:pPr>
      <w:r>
        <w:rPr>
          <w:rFonts w:eastAsia="仿宋_GB2312"/>
          <w:sz w:val="32"/>
          <w:szCs w:val="32"/>
        </w:rPr>
        <w:t>1.【预期用途】</w:t>
      </w:r>
    </w:p>
    <w:p w14:paraId="508ADBD9">
      <w:pPr>
        <w:spacing w:line="480" w:lineRule="exact"/>
        <w:ind w:firstLine="640" w:firstLineChars="200"/>
        <w:rPr>
          <w:rFonts w:eastAsia="仿宋_GB2312"/>
          <w:sz w:val="32"/>
          <w:szCs w:val="32"/>
        </w:rPr>
      </w:pPr>
      <w:r>
        <w:rPr>
          <w:rFonts w:eastAsia="仿宋_GB2312"/>
          <w:sz w:val="32"/>
          <w:szCs w:val="32"/>
        </w:rPr>
        <w:t>1.1第一自然段：描述预期用途，包括适用人群，样本类型，被测物等。</w:t>
      </w:r>
    </w:p>
    <w:p w14:paraId="13D35725">
      <w:pPr>
        <w:spacing w:line="480" w:lineRule="exact"/>
        <w:ind w:firstLine="640" w:firstLineChars="200"/>
        <w:rPr>
          <w:rFonts w:eastAsia="仿宋_GB2312"/>
          <w:sz w:val="32"/>
          <w:szCs w:val="32"/>
        </w:rPr>
      </w:pPr>
      <w:r>
        <w:rPr>
          <w:rFonts w:eastAsia="仿宋_GB2312"/>
          <w:sz w:val="32"/>
          <w:szCs w:val="32"/>
        </w:rPr>
        <w:t>举例：该产品用于定量检测XXX（适用人群）全血干血斑中的氨基酸、游离肉碱和酰基肉碱、琥珀酰丙酮的浓度。</w:t>
      </w:r>
    </w:p>
    <w:p w14:paraId="4AEF8753">
      <w:pPr>
        <w:spacing w:line="480" w:lineRule="exact"/>
        <w:ind w:firstLine="640" w:firstLineChars="200"/>
        <w:rPr>
          <w:rFonts w:eastAsia="仿宋_GB2312"/>
          <w:sz w:val="32"/>
          <w:szCs w:val="32"/>
          <w:u w:val="single"/>
        </w:rPr>
      </w:pPr>
      <w:r>
        <w:rPr>
          <w:rFonts w:eastAsia="仿宋_GB2312"/>
          <w:sz w:val="32"/>
          <w:szCs w:val="32"/>
        </w:rPr>
        <w:t>1.2介绍临床适应症及背景，说明相关的临床或实验室诊断方法等。另外，需明确所有待测分析物名称、对应的内标准品和质控品、经临床验证的遗传代谢病与分析物之间的关系。建议声称的遗传代谢病应尽量覆盖我国相对常见的病种，可参考表1中所列的疾病。</w:t>
      </w:r>
    </w:p>
    <w:p w14:paraId="040E81DD">
      <w:pPr>
        <w:spacing w:line="480" w:lineRule="exact"/>
        <w:ind w:firstLine="640" w:firstLineChars="200"/>
        <w:rPr>
          <w:rFonts w:eastAsia="仿宋_GB2312"/>
          <w:sz w:val="32"/>
          <w:szCs w:val="32"/>
        </w:rPr>
      </w:pPr>
      <w:r>
        <w:rPr>
          <w:rFonts w:eastAsia="仿宋_GB2312"/>
          <w:sz w:val="32"/>
          <w:szCs w:val="32"/>
        </w:rPr>
        <w:t>1.3明确检测结果仅能初步提示某种遗传代谢病，其最终结果要由相应方法进行确认。</w:t>
      </w:r>
    </w:p>
    <w:p w14:paraId="260A774D">
      <w:pPr>
        <w:spacing w:line="480" w:lineRule="exact"/>
        <w:ind w:firstLine="640" w:firstLineChars="200"/>
        <w:rPr>
          <w:rFonts w:eastAsia="仿宋_GB2312"/>
          <w:sz w:val="32"/>
          <w:szCs w:val="32"/>
        </w:rPr>
      </w:pPr>
      <w:r>
        <w:rPr>
          <w:rFonts w:eastAsia="仿宋_GB2312"/>
          <w:sz w:val="32"/>
          <w:szCs w:val="32"/>
        </w:rPr>
        <w:t>2.【检验原理】</w:t>
      </w:r>
    </w:p>
    <w:p w14:paraId="0EA35269">
      <w:pPr>
        <w:spacing w:line="480" w:lineRule="exact"/>
        <w:ind w:firstLine="640" w:firstLineChars="200"/>
        <w:rPr>
          <w:rFonts w:eastAsia="仿宋_GB2312"/>
          <w:sz w:val="32"/>
          <w:szCs w:val="32"/>
        </w:rPr>
      </w:pPr>
      <w:r>
        <w:rPr>
          <w:rFonts w:eastAsia="仿宋_GB2312"/>
          <w:sz w:val="32"/>
          <w:szCs w:val="32"/>
        </w:rPr>
        <w:t>详细说明该产品检测各类分析物的前处理方式（衍生/非衍生）、检测原理及扫描模式（必要时可用图示说明）。</w:t>
      </w:r>
    </w:p>
    <w:p w14:paraId="26061FA8">
      <w:pPr>
        <w:spacing w:line="480" w:lineRule="exact"/>
        <w:ind w:firstLine="640" w:firstLineChars="200"/>
        <w:rPr>
          <w:rFonts w:eastAsia="仿宋_GB2312"/>
          <w:sz w:val="32"/>
          <w:szCs w:val="32"/>
        </w:rPr>
      </w:pPr>
      <w:r>
        <w:rPr>
          <w:rFonts w:eastAsia="仿宋_GB2312"/>
          <w:sz w:val="32"/>
          <w:szCs w:val="32"/>
        </w:rPr>
        <w:t>3.【主要组成成分】</w:t>
      </w:r>
    </w:p>
    <w:p w14:paraId="1AA29D74">
      <w:pPr>
        <w:spacing w:line="480" w:lineRule="exact"/>
        <w:ind w:firstLine="640" w:firstLineChars="200"/>
        <w:rPr>
          <w:rFonts w:eastAsia="仿宋_GB2312"/>
          <w:sz w:val="32"/>
          <w:szCs w:val="32"/>
        </w:rPr>
      </w:pPr>
      <w:r>
        <w:rPr>
          <w:rFonts w:eastAsia="仿宋_GB2312"/>
          <w:sz w:val="32"/>
          <w:szCs w:val="32"/>
        </w:rPr>
        <w:t>说明试剂盒所包含组分的名称、数量、比例或浓度等信息，说明不同批号试剂盒中各组分是否可以互换。</w:t>
      </w:r>
    </w:p>
    <w:p w14:paraId="3CC7B747">
      <w:pPr>
        <w:spacing w:line="480" w:lineRule="exact"/>
        <w:ind w:firstLine="640" w:firstLineChars="200"/>
        <w:rPr>
          <w:rFonts w:eastAsia="仿宋_GB2312"/>
          <w:sz w:val="32"/>
          <w:szCs w:val="32"/>
        </w:rPr>
      </w:pPr>
      <w:r>
        <w:rPr>
          <w:rFonts w:eastAsia="仿宋_GB2312"/>
          <w:sz w:val="32"/>
          <w:szCs w:val="32"/>
        </w:rPr>
        <w:t>试剂盒中不包含但该项检测必需的组分，说明书中应列出相关试剂/耗材的名称、生产企业、货号、注册证号/备案凭证编号（如有）及其他相关信息，质控品的滤纸应明确型号。</w:t>
      </w:r>
    </w:p>
    <w:p w14:paraId="438D741D">
      <w:pPr>
        <w:spacing w:line="480" w:lineRule="exact"/>
        <w:ind w:firstLine="640" w:firstLineChars="200"/>
        <w:rPr>
          <w:rFonts w:eastAsia="仿宋_GB2312"/>
          <w:sz w:val="32"/>
          <w:szCs w:val="32"/>
        </w:rPr>
      </w:pPr>
      <w:r>
        <w:rPr>
          <w:rFonts w:eastAsia="仿宋_GB2312"/>
          <w:sz w:val="32"/>
          <w:szCs w:val="32"/>
        </w:rPr>
        <w:t>4.【储存条件及有效期】</w:t>
      </w:r>
    </w:p>
    <w:p w14:paraId="1BC3CD0B">
      <w:pPr>
        <w:spacing w:line="480" w:lineRule="exact"/>
        <w:ind w:firstLine="640" w:firstLineChars="200"/>
        <w:rPr>
          <w:rFonts w:eastAsia="仿宋_GB2312"/>
          <w:sz w:val="32"/>
          <w:szCs w:val="32"/>
        </w:rPr>
      </w:pPr>
      <w:r>
        <w:rPr>
          <w:rFonts w:eastAsia="仿宋_GB2312"/>
          <w:sz w:val="32"/>
          <w:szCs w:val="32"/>
        </w:rPr>
        <w:t>按照稳定性研究资料，说明试剂盒的效期稳定性，其他稳定性也应视情况明确，如开瓶稳定性、复溶稳定性、运输稳定性、冻融次数要求等，应标明具体的储存条件及有效期。</w:t>
      </w:r>
    </w:p>
    <w:p w14:paraId="4F5D7CA7">
      <w:pPr>
        <w:spacing w:line="480" w:lineRule="exact"/>
        <w:ind w:firstLine="640" w:firstLineChars="200"/>
        <w:rPr>
          <w:rFonts w:eastAsia="仿宋_GB2312"/>
          <w:sz w:val="32"/>
          <w:szCs w:val="32"/>
        </w:rPr>
      </w:pPr>
      <w:r>
        <w:rPr>
          <w:rFonts w:eastAsia="仿宋_GB2312"/>
          <w:sz w:val="32"/>
          <w:szCs w:val="32"/>
        </w:rPr>
        <w:t>5.【适用仪器】</w:t>
      </w:r>
    </w:p>
    <w:p w14:paraId="39B5551B">
      <w:pPr>
        <w:spacing w:line="480" w:lineRule="exact"/>
        <w:ind w:firstLine="640" w:firstLineChars="200"/>
        <w:rPr>
          <w:rFonts w:eastAsia="仿宋_GB2312"/>
          <w:sz w:val="32"/>
          <w:szCs w:val="32"/>
        </w:rPr>
      </w:pPr>
      <w:r>
        <w:rPr>
          <w:rFonts w:eastAsia="仿宋_GB2312"/>
          <w:sz w:val="32"/>
          <w:szCs w:val="32"/>
        </w:rPr>
        <w:t>明确所有适用仪器的具体型号，并提供与仪器有关的重要信息以指导用户操作。</w:t>
      </w:r>
    </w:p>
    <w:p w14:paraId="31A38E7D">
      <w:pPr>
        <w:spacing w:line="480" w:lineRule="exact"/>
        <w:ind w:firstLine="640" w:firstLineChars="200"/>
        <w:rPr>
          <w:rFonts w:eastAsia="仿宋_GB2312"/>
          <w:sz w:val="32"/>
          <w:szCs w:val="32"/>
        </w:rPr>
      </w:pPr>
      <w:r>
        <w:rPr>
          <w:rFonts w:eastAsia="仿宋_GB2312"/>
          <w:sz w:val="32"/>
          <w:szCs w:val="32"/>
        </w:rPr>
        <w:t>6.【样本要求】</w:t>
      </w:r>
    </w:p>
    <w:p w14:paraId="5F18FD2A">
      <w:pPr>
        <w:spacing w:line="480" w:lineRule="exact"/>
        <w:ind w:firstLine="640" w:firstLineChars="200"/>
        <w:rPr>
          <w:rFonts w:eastAsia="仿宋_GB2312"/>
          <w:sz w:val="32"/>
          <w:szCs w:val="32"/>
        </w:rPr>
      </w:pPr>
      <w:r>
        <w:rPr>
          <w:rFonts w:eastAsia="仿宋_GB2312"/>
          <w:sz w:val="32"/>
          <w:szCs w:val="32"/>
        </w:rPr>
        <w:t>样本的收集、处理和保存：应参照相关文件的要求，并详细描述采样步骤和注意事项。明确采样前处理、消毒、采样量、保存条件及期限（短期、长期）、运送条件、冻融次数的限制等。另外应说明采样过程中使用的滤纸型号应与质控品的滤纸型号一致。</w:t>
      </w:r>
    </w:p>
    <w:p w14:paraId="3E72E701">
      <w:pPr>
        <w:spacing w:line="480" w:lineRule="exact"/>
        <w:ind w:firstLine="640" w:firstLineChars="200"/>
        <w:rPr>
          <w:rFonts w:eastAsia="仿宋_GB2312"/>
          <w:sz w:val="32"/>
          <w:szCs w:val="32"/>
        </w:rPr>
      </w:pPr>
      <w:r>
        <w:rPr>
          <w:rFonts w:eastAsia="仿宋_GB2312"/>
          <w:sz w:val="32"/>
          <w:szCs w:val="32"/>
        </w:rPr>
        <w:t>上述内容均需在稳定性研究资料中详述并进行性能评估验证。</w:t>
      </w:r>
    </w:p>
    <w:p w14:paraId="0A150F01">
      <w:pPr>
        <w:spacing w:line="480" w:lineRule="exact"/>
        <w:ind w:firstLine="640" w:firstLineChars="200"/>
        <w:rPr>
          <w:rFonts w:eastAsia="仿宋_GB2312"/>
          <w:sz w:val="32"/>
          <w:szCs w:val="32"/>
        </w:rPr>
      </w:pPr>
      <w:r>
        <w:rPr>
          <w:rFonts w:eastAsia="仿宋_GB2312"/>
          <w:sz w:val="32"/>
          <w:szCs w:val="32"/>
        </w:rPr>
        <w:t>7.【检验方法】</w:t>
      </w:r>
    </w:p>
    <w:p w14:paraId="55576FCB">
      <w:pPr>
        <w:spacing w:line="480" w:lineRule="exact"/>
        <w:ind w:firstLine="640" w:firstLineChars="200"/>
        <w:rPr>
          <w:rFonts w:eastAsia="仿宋_GB2312"/>
          <w:sz w:val="32"/>
          <w:szCs w:val="32"/>
        </w:rPr>
      </w:pPr>
      <w:r>
        <w:rPr>
          <w:rFonts w:eastAsia="仿宋_GB2312"/>
          <w:sz w:val="32"/>
          <w:szCs w:val="32"/>
        </w:rPr>
        <w:t>应详细描述完成完整检测所需的全部步骤以指导用户正确操作，包括：</w:t>
      </w:r>
    </w:p>
    <w:p w14:paraId="5657C2A4">
      <w:pPr>
        <w:spacing w:line="480" w:lineRule="exact"/>
        <w:ind w:firstLine="640" w:firstLineChars="200"/>
        <w:rPr>
          <w:rFonts w:eastAsia="仿宋_GB2312"/>
          <w:sz w:val="32"/>
          <w:szCs w:val="32"/>
        </w:rPr>
      </w:pPr>
      <w:r>
        <w:rPr>
          <w:rFonts w:eastAsia="仿宋_GB2312"/>
          <w:sz w:val="32"/>
          <w:szCs w:val="32"/>
        </w:rPr>
        <w:t>7.1 干血斑的前处理、萃取、衍生化（如有）、复溶及上机检测等。</w:t>
      </w:r>
    </w:p>
    <w:p w14:paraId="0A4A2DE5">
      <w:pPr>
        <w:spacing w:line="480" w:lineRule="exact"/>
        <w:ind w:firstLine="640" w:firstLineChars="200"/>
        <w:rPr>
          <w:rFonts w:eastAsia="仿宋_GB2312"/>
          <w:sz w:val="32"/>
          <w:szCs w:val="32"/>
        </w:rPr>
      </w:pPr>
      <w:r>
        <w:rPr>
          <w:rFonts w:eastAsia="仿宋_GB2312"/>
          <w:sz w:val="32"/>
          <w:szCs w:val="32"/>
        </w:rPr>
        <w:t>7.2 内标准品溶液、各级工作液的配制方式。内标准品溶液和工作液的短期和长期保存方式、冻融次数等。</w:t>
      </w:r>
    </w:p>
    <w:p w14:paraId="6F33D877">
      <w:pPr>
        <w:spacing w:line="480" w:lineRule="exact"/>
        <w:ind w:firstLine="640" w:firstLineChars="200"/>
        <w:rPr>
          <w:rFonts w:eastAsia="仿宋_GB2312"/>
          <w:sz w:val="32"/>
          <w:szCs w:val="32"/>
        </w:rPr>
      </w:pPr>
      <w:r>
        <w:rPr>
          <w:rFonts w:eastAsia="仿宋_GB2312"/>
          <w:sz w:val="32"/>
          <w:szCs w:val="32"/>
        </w:rPr>
        <w:t>7.3 上机检测：仪器准备、设置、仪器使用相关参数及结果处理。</w:t>
      </w:r>
    </w:p>
    <w:p w14:paraId="6BF5BCB3">
      <w:pPr>
        <w:spacing w:line="480" w:lineRule="exact"/>
        <w:ind w:firstLine="640" w:firstLineChars="200"/>
        <w:rPr>
          <w:rFonts w:eastAsia="仿宋_GB2312"/>
          <w:sz w:val="32"/>
          <w:szCs w:val="32"/>
        </w:rPr>
      </w:pPr>
      <w:r>
        <w:rPr>
          <w:rFonts w:eastAsia="仿宋_GB2312"/>
          <w:sz w:val="32"/>
          <w:szCs w:val="32"/>
        </w:rPr>
        <w:t>7.4 质量控制：质控品的设置及检测时的质量控制方法、要求等。</w:t>
      </w:r>
    </w:p>
    <w:p w14:paraId="69D1A1A0">
      <w:pPr>
        <w:spacing w:line="480" w:lineRule="exact"/>
        <w:ind w:firstLine="640" w:firstLineChars="200"/>
        <w:rPr>
          <w:rFonts w:eastAsia="仿宋_GB2312"/>
          <w:sz w:val="32"/>
          <w:szCs w:val="32"/>
        </w:rPr>
      </w:pPr>
      <w:r>
        <w:rPr>
          <w:rFonts w:eastAsia="仿宋_GB2312"/>
          <w:sz w:val="32"/>
          <w:szCs w:val="32"/>
        </w:rPr>
        <w:t>7.5 说明检测时应特别注意的事项，如对精密度的控制措施、溶液的保存条件、其他影响检测的因素等。</w:t>
      </w:r>
    </w:p>
    <w:p w14:paraId="5DD17890">
      <w:pPr>
        <w:spacing w:line="480" w:lineRule="exact"/>
        <w:ind w:firstLine="640" w:firstLineChars="200"/>
        <w:rPr>
          <w:rFonts w:eastAsia="仿宋_GB2312"/>
          <w:sz w:val="32"/>
          <w:szCs w:val="32"/>
        </w:rPr>
      </w:pPr>
      <w:r>
        <w:rPr>
          <w:rFonts w:eastAsia="仿宋_GB2312"/>
          <w:sz w:val="32"/>
          <w:szCs w:val="32"/>
        </w:rPr>
        <w:t>8.【阳性判断值/参考区间】</w:t>
      </w:r>
    </w:p>
    <w:p w14:paraId="71F018D0">
      <w:pPr>
        <w:spacing w:line="480" w:lineRule="exact"/>
        <w:ind w:firstLine="640" w:firstLineChars="200"/>
        <w:rPr>
          <w:rFonts w:eastAsia="仿宋_GB2312"/>
          <w:sz w:val="32"/>
          <w:szCs w:val="32"/>
        </w:rPr>
      </w:pPr>
      <w:r>
        <w:rPr>
          <w:rFonts w:eastAsia="仿宋_GB2312"/>
          <w:sz w:val="32"/>
          <w:szCs w:val="32"/>
        </w:rPr>
        <w:t>明确设定及验证阳性判断值/参考区间所使用的样本例数及类型、试验方法、统计方法及计算结果。</w:t>
      </w:r>
    </w:p>
    <w:p w14:paraId="14EBBFB7">
      <w:pPr>
        <w:spacing w:line="480" w:lineRule="exact"/>
        <w:ind w:firstLine="640" w:firstLineChars="200"/>
        <w:rPr>
          <w:rFonts w:eastAsia="仿宋_GB2312"/>
          <w:sz w:val="32"/>
          <w:szCs w:val="32"/>
        </w:rPr>
      </w:pPr>
      <w:r>
        <w:rPr>
          <w:rFonts w:eastAsia="仿宋_GB2312"/>
          <w:sz w:val="32"/>
          <w:szCs w:val="32"/>
        </w:rPr>
        <w:t>9.【检验结果的解释】</w:t>
      </w:r>
    </w:p>
    <w:p w14:paraId="45EC11D3">
      <w:pPr>
        <w:spacing w:line="480" w:lineRule="exact"/>
        <w:ind w:firstLine="640" w:firstLineChars="200"/>
        <w:rPr>
          <w:rFonts w:eastAsia="仿宋_GB2312"/>
          <w:sz w:val="32"/>
          <w:szCs w:val="32"/>
        </w:rPr>
      </w:pPr>
      <w:r>
        <w:rPr>
          <w:rFonts w:eastAsia="仿宋_GB2312"/>
          <w:sz w:val="32"/>
          <w:szCs w:val="32"/>
        </w:rPr>
        <w:t>应对不同的检验结果进行解释，并明确后续处理方法。如存在灰区，</w:t>
      </w:r>
      <w:r>
        <w:rPr>
          <w:rFonts w:eastAsia="仿宋_GB2312"/>
          <w:bCs/>
          <w:color w:val="000000"/>
          <w:spacing w:val="-4"/>
          <w:sz w:val="32"/>
          <w:szCs w:val="32"/>
        </w:rPr>
        <w:t>应对灰区结果的处理方式一并详述</w:t>
      </w:r>
      <w:r>
        <w:rPr>
          <w:rFonts w:eastAsia="仿宋_GB2312"/>
          <w:sz w:val="32"/>
          <w:szCs w:val="32"/>
        </w:rPr>
        <w:t>。</w:t>
      </w:r>
    </w:p>
    <w:p w14:paraId="6CD47A90">
      <w:pPr>
        <w:spacing w:line="480" w:lineRule="exact"/>
        <w:ind w:firstLine="640" w:firstLineChars="200"/>
        <w:rPr>
          <w:rFonts w:eastAsia="仿宋_GB2312"/>
          <w:sz w:val="32"/>
          <w:szCs w:val="32"/>
        </w:rPr>
      </w:pPr>
      <w:r>
        <w:rPr>
          <w:rFonts w:eastAsia="仿宋_GB2312"/>
          <w:sz w:val="32"/>
          <w:szCs w:val="32"/>
        </w:rPr>
        <w:t>10.【检验方法的局限性】</w:t>
      </w:r>
    </w:p>
    <w:p w14:paraId="787FF722">
      <w:pPr>
        <w:spacing w:line="480" w:lineRule="exact"/>
        <w:ind w:firstLine="640" w:firstLineChars="200"/>
        <w:rPr>
          <w:rFonts w:eastAsia="仿宋_GB2312"/>
          <w:sz w:val="32"/>
          <w:szCs w:val="32"/>
        </w:rPr>
      </w:pPr>
      <w:r>
        <w:rPr>
          <w:rFonts w:eastAsia="仿宋_GB2312"/>
          <w:sz w:val="32"/>
          <w:szCs w:val="32"/>
        </w:rPr>
        <w:t>10.1 本试剂盒的检测结果仅能初步提示某种遗传代谢病，其结果仅供临床参考，不能作为诊断。对患者的临床诊断应采用相应方法并结合其症状/体征、病史等情况综合进行。</w:t>
      </w:r>
    </w:p>
    <w:p w14:paraId="10AFD08C">
      <w:pPr>
        <w:spacing w:line="480" w:lineRule="exact"/>
        <w:ind w:firstLine="640" w:firstLineChars="200"/>
        <w:rPr>
          <w:rFonts w:eastAsia="仿宋_GB2312"/>
          <w:sz w:val="32"/>
          <w:szCs w:val="32"/>
        </w:rPr>
      </w:pPr>
      <w:r>
        <w:rPr>
          <w:rFonts w:eastAsia="仿宋_GB2312"/>
          <w:sz w:val="32"/>
          <w:szCs w:val="32"/>
        </w:rPr>
        <w:t>10.2 本试剂盒适用于全血干血斑样本检测，不适用于其它样本检测。</w:t>
      </w:r>
    </w:p>
    <w:p w14:paraId="5B7E932E">
      <w:pPr>
        <w:spacing w:line="480" w:lineRule="exact"/>
        <w:ind w:firstLine="640" w:firstLineChars="200"/>
        <w:rPr>
          <w:rFonts w:eastAsia="仿宋_GB2312"/>
          <w:sz w:val="32"/>
          <w:szCs w:val="32"/>
        </w:rPr>
      </w:pPr>
      <w:r>
        <w:rPr>
          <w:rFonts w:eastAsia="仿宋_GB2312"/>
          <w:sz w:val="32"/>
          <w:szCs w:val="32"/>
        </w:rPr>
        <w:t>10.3 异常的红细胞比容、年龄、早产、疾病等因素可能会影响检测结果。</w:t>
      </w:r>
    </w:p>
    <w:p w14:paraId="683D3F31">
      <w:pPr>
        <w:spacing w:line="480" w:lineRule="exact"/>
        <w:ind w:firstLine="640" w:firstLineChars="200"/>
        <w:rPr>
          <w:rFonts w:eastAsia="仿宋_GB2312"/>
          <w:sz w:val="32"/>
          <w:szCs w:val="32"/>
        </w:rPr>
      </w:pPr>
      <w:r>
        <w:rPr>
          <w:rFonts w:eastAsia="仿宋_GB2312"/>
          <w:sz w:val="32"/>
          <w:szCs w:val="32"/>
        </w:rPr>
        <w:t>10.4样本采集、运输及处理不当、未按说明书操作等均有可能导致假阳性或假阴性结果，例如：血液未均匀浸透血斑区域、滤纸干血片打孔时打得太靠近血斑的边缘、样品收集或样品干燥有问题、由于样品受热受潮，不能洗脱血斑、血斑滤纸受排泄物污染等等。应描述在样本采集，保存、运输中需遵循的原则及注意事项。</w:t>
      </w:r>
    </w:p>
    <w:p w14:paraId="47ADE398">
      <w:pPr>
        <w:spacing w:line="480" w:lineRule="exact"/>
        <w:ind w:firstLine="640" w:firstLineChars="200"/>
        <w:rPr>
          <w:rFonts w:eastAsia="仿宋_GB2312"/>
          <w:sz w:val="32"/>
          <w:szCs w:val="32"/>
        </w:rPr>
      </w:pPr>
      <w:r>
        <w:rPr>
          <w:rFonts w:eastAsia="仿宋_GB2312"/>
          <w:sz w:val="32"/>
          <w:szCs w:val="32"/>
        </w:rPr>
        <w:t>10.5 说明可能影响检测结果的干扰因素。</w:t>
      </w:r>
    </w:p>
    <w:p w14:paraId="25F91092">
      <w:pPr>
        <w:spacing w:line="480" w:lineRule="exact"/>
        <w:ind w:firstLine="640" w:firstLineChars="200"/>
        <w:rPr>
          <w:rFonts w:eastAsia="仿宋_GB2312"/>
          <w:sz w:val="32"/>
          <w:szCs w:val="32"/>
        </w:rPr>
      </w:pPr>
      <w:r>
        <w:rPr>
          <w:rFonts w:eastAsia="仿宋_GB2312"/>
          <w:sz w:val="32"/>
          <w:szCs w:val="32"/>
        </w:rPr>
        <w:t>10.6 单一代谢产物往往无法提供足够的遗传代谢病信息，应建立代谢物模型来研究相关疾病。</w:t>
      </w:r>
    </w:p>
    <w:p w14:paraId="6DF59161">
      <w:pPr>
        <w:spacing w:line="480" w:lineRule="exact"/>
        <w:ind w:firstLine="640" w:firstLineChars="200"/>
        <w:rPr>
          <w:rFonts w:eastAsia="仿宋_GB2312"/>
          <w:sz w:val="32"/>
          <w:szCs w:val="32"/>
        </w:rPr>
      </w:pPr>
      <w:r>
        <w:rPr>
          <w:rFonts w:eastAsia="仿宋_GB2312"/>
          <w:sz w:val="32"/>
          <w:szCs w:val="32"/>
        </w:rPr>
        <w:t>10.7其他局限性。</w:t>
      </w:r>
    </w:p>
    <w:p w14:paraId="2B01FD7F">
      <w:pPr>
        <w:spacing w:line="480" w:lineRule="exact"/>
        <w:ind w:firstLine="640" w:firstLineChars="200"/>
        <w:rPr>
          <w:rFonts w:eastAsia="仿宋_GB2312"/>
          <w:sz w:val="32"/>
          <w:szCs w:val="32"/>
        </w:rPr>
      </w:pPr>
      <w:r>
        <w:rPr>
          <w:rFonts w:eastAsia="仿宋_GB2312"/>
          <w:sz w:val="32"/>
          <w:szCs w:val="32"/>
        </w:rPr>
        <w:t>11.【产品性能指标】</w:t>
      </w:r>
    </w:p>
    <w:p w14:paraId="22135254">
      <w:pPr>
        <w:spacing w:line="480" w:lineRule="exact"/>
        <w:ind w:firstLine="640" w:firstLineChars="200"/>
        <w:rPr>
          <w:rFonts w:eastAsia="仿宋_GB2312"/>
          <w:sz w:val="32"/>
          <w:szCs w:val="32"/>
        </w:rPr>
      </w:pPr>
      <w:r>
        <w:rPr>
          <w:rFonts w:eastAsia="仿宋_GB2312"/>
          <w:sz w:val="32"/>
          <w:szCs w:val="32"/>
        </w:rPr>
        <w:t>按照分析性能评估资料内容描述以下性能指标：检测限、企业内部参考品符合率（如适用）、准确性、线性、特异性等。各项评估应包括评估方法、数据和结果。应描述临床评价的试验结果，包括临床试验机构数量、样本情况、试验结果等内容。</w:t>
      </w:r>
    </w:p>
    <w:p w14:paraId="36C1403B">
      <w:pPr>
        <w:spacing w:line="480" w:lineRule="exact"/>
        <w:ind w:firstLine="640" w:firstLineChars="200"/>
        <w:rPr>
          <w:rFonts w:eastAsia="仿宋_GB2312"/>
          <w:bCs/>
          <w:color w:val="000000"/>
          <w:sz w:val="32"/>
          <w:szCs w:val="32"/>
        </w:rPr>
      </w:pPr>
      <w:r>
        <w:rPr>
          <w:rFonts w:eastAsia="仿宋_GB2312"/>
          <w:bCs/>
          <w:color w:val="000000"/>
          <w:sz w:val="32"/>
          <w:szCs w:val="32"/>
        </w:rPr>
        <w:t>12.【注意事项】</w:t>
      </w:r>
    </w:p>
    <w:p w14:paraId="48F0BC47">
      <w:pPr>
        <w:spacing w:line="480" w:lineRule="exact"/>
        <w:ind w:firstLine="640" w:firstLineChars="200"/>
        <w:rPr>
          <w:rFonts w:eastAsia="仿宋_GB2312"/>
          <w:bCs/>
          <w:color w:val="000000"/>
          <w:sz w:val="32"/>
          <w:szCs w:val="32"/>
        </w:rPr>
      </w:pPr>
      <w:r>
        <w:rPr>
          <w:rFonts w:eastAsia="仿宋_GB2312"/>
          <w:bCs/>
          <w:color w:val="000000"/>
          <w:sz w:val="32"/>
          <w:szCs w:val="32"/>
        </w:rPr>
        <w:t>应至少包括以下内容：</w:t>
      </w:r>
    </w:p>
    <w:p w14:paraId="1F8D12DD">
      <w:pPr>
        <w:tabs>
          <w:tab w:val="left" w:pos="284"/>
        </w:tabs>
        <w:spacing w:line="480" w:lineRule="exact"/>
        <w:ind w:firstLine="640" w:firstLineChars="200"/>
        <w:rPr>
          <w:rFonts w:eastAsia="仿宋_GB2312"/>
          <w:bCs/>
          <w:color w:val="000000"/>
          <w:sz w:val="32"/>
          <w:szCs w:val="32"/>
        </w:rPr>
      </w:pPr>
      <w:r>
        <w:rPr>
          <w:rFonts w:eastAsia="仿宋_GB2312"/>
          <w:bCs/>
          <w:color w:val="000000"/>
          <w:sz w:val="32"/>
          <w:szCs w:val="32"/>
        </w:rPr>
        <w:t xml:space="preserve">12.1 </w:t>
      </w:r>
      <w:r>
        <w:rPr>
          <w:rFonts w:eastAsia="仿宋_GB2312"/>
          <w:bCs/>
          <w:color w:val="000000"/>
          <w:spacing w:val="2"/>
          <w:sz w:val="32"/>
          <w:szCs w:val="32"/>
        </w:rPr>
        <w:t>如该产品含有人源或动物源性物质，应给出具有潜在</w:t>
      </w:r>
      <w:r>
        <w:rPr>
          <w:rFonts w:eastAsia="仿宋_GB2312"/>
          <w:bCs/>
          <w:color w:val="000000"/>
          <w:sz w:val="32"/>
          <w:szCs w:val="32"/>
        </w:rPr>
        <w:t>感染性的警告。</w:t>
      </w:r>
    </w:p>
    <w:p w14:paraId="0B5019EE">
      <w:pPr>
        <w:spacing w:line="480" w:lineRule="exact"/>
        <w:ind w:firstLine="640" w:firstLineChars="200"/>
        <w:rPr>
          <w:rFonts w:eastAsia="仿宋_GB2312"/>
          <w:sz w:val="32"/>
          <w:szCs w:val="32"/>
        </w:rPr>
      </w:pPr>
      <w:r>
        <w:rPr>
          <w:rFonts w:eastAsia="仿宋_GB2312"/>
          <w:sz w:val="32"/>
          <w:szCs w:val="32"/>
        </w:rPr>
        <w:t>12.2 检验过程有关的有机溶剂的安全性要求，例如操作和废弃的注意事项。</w:t>
      </w:r>
    </w:p>
    <w:p w14:paraId="76D0D76E">
      <w:pPr>
        <w:spacing w:line="480" w:lineRule="exact"/>
        <w:ind w:firstLine="640" w:firstLineChars="200"/>
        <w:rPr>
          <w:rFonts w:eastAsia="仿宋_GB2312"/>
          <w:sz w:val="32"/>
          <w:szCs w:val="32"/>
        </w:rPr>
      </w:pPr>
      <w:r>
        <w:rPr>
          <w:rFonts w:eastAsia="仿宋_GB2312"/>
          <w:sz w:val="32"/>
          <w:szCs w:val="32"/>
        </w:rPr>
        <w:t>12.3 相关操作人员应经过专业的培训，并严格按照说明书的方法来进行试验。</w:t>
      </w:r>
    </w:p>
    <w:p w14:paraId="0D15AA67">
      <w:pPr>
        <w:spacing w:line="480" w:lineRule="exact"/>
        <w:ind w:firstLine="640" w:firstLineChars="200"/>
        <w:rPr>
          <w:rFonts w:ascii="黑体" w:hAnsi="黑体" w:eastAsia="黑体"/>
          <w:sz w:val="32"/>
          <w:szCs w:val="32"/>
        </w:rPr>
      </w:pPr>
      <w:r>
        <w:rPr>
          <w:rFonts w:ascii="黑体" w:hAnsi="黑体" w:eastAsia="黑体"/>
          <w:sz w:val="32"/>
          <w:szCs w:val="32"/>
        </w:rPr>
        <w:t>三、名词解释</w:t>
      </w:r>
    </w:p>
    <w:p w14:paraId="37830F62">
      <w:pPr>
        <w:spacing w:line="480" w:lineRule="exact"/>
        <w:ind w:firstLine="640" w:firstLineChars="200"/>
        <w:rPr>
          <w:rFonts w:eastAsia="仿宋_GB2312"/>
          <w:sz w:val="32"/>
          <w:szCs w:val="32"/>
        </w:rPr>
      </w:pPr>
      <w:r>
        <w:rPr>
          <w:rFonts w:eastAsia="仿宋_GB2312"/>
          <w:sz w:val="32"/>
          <w:szCs w:val="32"/>
        </w:rPr>
        <w:t>1.全血干血斑</w:t>
      </w:r>
    </w:p>
    <w:p w14:paraId="1DDA605D">
      <w:pPr>
        <w:spacing w:line="480" w:lineRule="exact"/>
        <w:ind w:firstLine="640" w:firstLineChars="200"/>
        <w:rPr>
          <w:rFonts w:eastAsia="仿宋_GB2312"/>
          <w:sz w:val="32"/>
          <w:szCs w:val="32"/>
        </w:rPr>
      </w:pPr>
      <w:r>
        <w:rPr>
          <w:rFonts w:eastAsia="仿宋_GB2312"/>
          <w:sz w:val="32"/>
          <w:szCs w:val="32"/>
        </w:rPr>
        <w:t>本指导原则中指临床检验过程中使用的实际待测样本，即将人全血滴加至滤纸上，再经过打孔处理的样本。</w:t>
      </w:r>
    </w:p>
    <w:p w14:paraId="2B1F51F4">
      <w:pPr>
        <w:spacing w:line="480" w:lineRule="exact"/>
        <w:ind w:firstLine="640" w:firstLineChars="200"/>
        <w:rPr>
          <w:rFonts w:eastAsia="仿宋_GB2312"/>
          <w:sz w:val="32"/>
          <w:szCs w:val="32"/>
        </w:rPr>
      </w:pPr>
      <w:r>
        <w:rPr>
          <w:rFonts w:eastAsia="仿宋_GB2312"/>
          <w:sz w:val="32"/>
          <w:szCs w:val="32"/>
        </w:rPr>
        <w:t>2.模拟干血斑</w:t>
      </w:r>
    </w:p>
    <w:p w14:paraId="64E2195B">
      <w:pPr>
        <w:spacing w:line="480" w:lineRule="exact"/>
        <w:ind w:firstLine="640" w:firstLineChars="200"/>
        <w:rPr>
          <w:rFonts w:eastAsia="仿宋_GB2312"/>
          <w:sz w:val="32"/>
          <w:szCs w:val="32"/>
        </w:rPr>
      </w:pPr>
      <w:r>
        <w:rPr>
          <w:rFonts w:eastAsia="仿宋_GB2312"/>
          <w:sz w:val="32"/>
          <w:szCs w:val="32"/>
        </w:rPr>
        <w:t>本指导原则中指在研究过程中，将添加了其他物质（例如待测物、干扰物质等）的人全血（或模拟血液基质）滴加至滤纸上，再经过打孔处理的样本。</w:t>
      </w:r>
    </w:p>
    <w:p w14:paraId="34E82B26">
      <w:pPr>
        <w:spacing w:line="480" w:lineRule="exact"/>
        <w:ind w:firstLine="640" w:firstLineChars="200"/>
        <w:rPr>
          <w:rFonts w:eastAsia="仿宋_GB2312"/>
          <w:sz w:val="32"/>
          <w:szCs w:val="32"/>
        </w:rPr>
      </w:pPr>
      <w:r>
        <w:rPr>
          <w:rFonts w:eastAsia="仿宋_GB2312"/>
          <w:sz w:val="32"/>
          <w:szCs w:val="32"/>
        </w:rPr>
        <w:t>3.同位素纯度</w:t>
      </w:r>
    </w:p>
    <w:p w14:paraId="3D90FBC2">
      <w:pPr>
        <w:spacing w:line="480" w:lineRule="exact"/>
        <w:ind w:firstLine="640" w:firstLineChars="200"/>
        <w:rPr>
          <w:rFonts w:eastAsia="仿宋_GB2312"/>
          <w:sz w:val="32"/>
          <w:szCs w:val="32"/>
        </w:rPr>
      </w:pPr>
      <w:r>
        <w:rPr>
          <w:rFonts w:eastAsia="仿宋_GB2312"/>
          <w:sz w:val="32"/>
          <w:szCs w:val="32"/>
        </w:rPr>
        <w:t>被同位素标记的分子的相对含量。</w:t>
      </w:r>
    </w:p>
    <w:p w14:paraId="5B933DA9">
      <w:pPr>
        <w:spacing w:line="480" w:lineRule="exact"/>
        <w:ind w:firstLine="640" w:firstLineChars="200"/>
        <w:outlineLvl w:val="0"/>
        <w:rPr>
          <w:rFonts w:ascii="黑体" w:hAnsi="黑体" w:eastAsia="黑体"/>
          <w:sz w:val="32"/>
          <w:szCs w:val="32"/>
        </w:rPr>
      </w:pPr>
      <w:r>
        <w:rPr>
          <w:rFonts w:ascii="黑体" w:hAnsi="黑体" w:eastAsia="黑体"/>
          <w:sz w:val="32"/>
          <w:szCs w:val="32"/>
        </w:rPr>
        <w:t>四、参考文献</w:t>
      </w:r>
    </w:p>
    <w:p w14:paraId="0F36CC67">
      <w:pPr>
        <w:spacing w:line="480" w:lineRule="exact"/>
        <w:ind w:firstLine="640" w:firstLineChars="200"/>
        <w:rPr>
          <w:rFonts w:eastAsia="仿宋_GB2312"/>
          <w:sz w:val="32"/>
          <w:szCs w:val="32"/>
        </w:rPr>
      </w:pPr>
      <w:r>
        <w:rPr>
          <w:rFonts w:eastAsia="仿宋_GB2312"/>
          <w:sz w:val="32"/>
          <w:szCs w:val="32"/>
        </w:rPr>
        <w:t>1. 顾学范.《临床遗传代谢病》，人民卫生出版社，2015.</w:t>
      </w:r>
    </w:p>
    <w:p w14:paraId="7CDF0ABA">
      <w:pPr>
        <w:spacing w:line="480" w:lineRule="exact"/>
        <w:ind w:firstLine="640" w:firstLineChars="200"/>
        <w:rPr>
          <w:rFonts w:eastAsia="仿宋_GB2312"/>
          <w:sz w:val="32"/>
          <w:szCs w:val="32"/>
        </w:rPr>
      </w:pPr>
      <w:r>
        <w:rPr>
          <w:rFonts w:eastAsia="仿宋_GB2312"/>
          <w:sz w:val="32"/>
          <w:szCs w:val="32"/>
        </w:rPr>
        <w:t>2.《中国药典》（2015年版），中国医药科技出版社.</w:t>
      </w:r>
    </w:p>
    <w:p w14:paraId="35CFB256">
      <w:pPr>
        <w:spacing w:line="480" w:lineRule="exact"/>
        <w:ind w:firstLine="640" w:firstLineChars="200"/>
        <w:rPr>
          <w:rFonts w:eastAsia="仿宋_GB2312"/>
          <w:sz w:val="32"/>
          <w:szCs w:val="32"/>
        </w:rPr>
      </w:pPr>
      <w:r>
        <w:rPr>
          <w:rFonts w:eastAsia="仿宋_GB2312"/>
          <w:sz w:val="32"/>
          <w:szCs w:val="32"/>
        </w:rPr>
        <w:t>3.《新生儿疾病筛查技术规范》（2010年版），（卫妇社发〔2010〕96号）,2010年12月1日.</w:t>
      </w:r>
    </w:p>
    <w:p w14:paraId="730887D8">
      <w:pPr>
        <w:spacing w:line="480" w:lineRule="exact"/>
        <w:ind w:firstLine="640" w:firstLineChars="200"/>
        <w:rPr>
          <w:rFonts w:eastAsia="仿宋_GB2312"/>
          <w:sz w:val="32"/>
          <w:szCs w:val="32"/>
        </w:rPr>
      </w:pPr>
      <w:r>
        <w:rPr>
          <w:rFonts w:eastAsia="仿宋_GB2312"/>
          <w:sz w:val="32"/>
          <w:szCs w:val="32"/>
        </w:rPr>
        <w:t>4.《新生儿疾病筛查管理办法》（中华人民共和国卫生部令第64号），2009年3月5日.</w:t>
      </w:r>
    </w:p>
    <w:p w14:paraId="472721B9">
      <w:pPr>
        <w:spacing w:line="480" w:lineRule="exact"/>
        <w:ind w:firstLine="640" w:firstLineChars="200"/>
        <w:rPr>
          <w:rFonts w:eastAsia="仿宋_GB2312"/>
          <w:sz w:val="32"/>
          <w:szCs w:val="32"/>
        </w:rPr>
      </w:pPr>
      <w:r>
        <w:rPr>
          <w:rFonts w:eastAsia="仿宋_GB2312"/>
          <w:sz w:val="32"/>
          <w:szCs w:val="32"/>
        </w:rPr>
        <w:t>5. Newborn Screening Test Systems for Amino Acids, Free Carnitine, and Acylcarnitines Using Tandem Mass Spectrometry，Guidance for Industry and FDA Staff，FDA，2004.</w:t>
      </w:r>
    </w:p>
    <w:p w14:paraId="4D275737">
      <w:pPr>
        <w:spacing w:line="480" w:lineRule="exact"/>
        <w:ind w:firstLine="640" w:firstLineChars="200"/>
        <w:rPr>
          <w:rFonts w:eastAsia="仿宋_GB2312"/>
          <w:sz w:val="32"/>
          <w:szCs w:val="32"/>
        </w:rPr>
      </w:pPr>
      <w:r>
        <w:rPr>
          <w:rFonts w:eastAsia="仿宋_GB2312"/>
          <w:sz w:val="32"/>
          <w:szCs w:val="32"/>
        </w:rPr>
        <w:t>6.CLSI.Newborn Screening by Tandem Mass Spectrometry； Approved Guideline. CLSI document I/LA32-A.Wayne, PA: Clinical and Laboratory Standards Institute; 2010.</w:t>
      </w:r>
    </w:p>
    <w:p w14:paraId="408ED99B">
      <w:pPr>
        <w:spacing w:line="480" w:lineRule="exact"/>
        <w:ind w:firstLine="640" w:firstLineChars="200"/>
        <w:outlineLvl w:val="0"/>
        <w:rPr>
          <w:rFonts w:ascii="黑体" w:hAnsi="黑体" w:eastAsia="黑体"/>
          <w:sz w:val="32"/>
          <w:szCs w:val="32"/>
        </w:rPr>
      </w:pPr>
      <w:r>
        <w:rPr>
          <w:rFonts w:ascii="黑体" w:hAnsi="黑体" w:eastAsia="黑体"/>
          <w:sz w:val="32"/>
          <w:szCs w:val="32"/>
        </w:rPr>
        <w:t>五、起草单位</w:t>
      </w:r>
    </w:p>
    <w:p w14:paraId="7279A98F">
      <w:pPr>
        <w:spacing w:line="480" w:lineRule="exact"/>
        <w:ind w:firstLine="640" w:firstLineChars="200"/>
        <w:rPr>
          <w:rFonts w:eastAsia="仿宋_GB2312"/>
          <w:sz w:val="32"/>
          <w:szCs w:val="32"/>
        </w:rPr>
      </w:pPr>
      <w:r>
        <w:rPr>
          <w:rFonts w:eastAsia="仿宋_GB2312"/>
          <w:sz w:val="32"/>
          <w:szCs w:val="32"/>
        </w:rPr>
        <w:t>国家药品监督管理局医疗器械技术审评中心</w:t>
      </w:r>
      <w:r>
        <w:rPr>
          <w:rFonts w:hint="eastAsia" w:eastAsia="仿宋_GB2312"/>
          <w:sz w:val="32"/>
          <w:szCs w:val="32"/>
        </w:rPr>
        <w:t>。</w:t>
      </w:r>
    </w:p>
    <w:p w14:paraId="3ECED1E5"/>
    <w:p w14:paraId="7CF15427">
      <w:pPr>
        <w:spacing w:line="560" w:lineRule="exact"/>
        <w:jc w:val="left"/>
        <w:rPr>
          <w:rFonts w:hint="eastAsia" w:eastAsia="宋体"/>
          <w:lang w:eastAsia="zh-CN"/>
        </w:rPr>
      </w:pPr>
    </w:p>
    <w:p w14:paraId="561BE77E">
      <w:pPr>
        <w:spacing w:line="560" w:lineRule="exact"/>
        <w:jc w:val="center"/>
        <w:rPr>
          <w:rFonts w:hint="eastAsia" w:eastAsia="宋体"/>
          <w:lang w:eastAsia="zh-CN"/>
        </w:rPr>
      </w:pPr>
    </w:p>
    <w:p w14:paraId="36ACC01F">
      <w:pPr>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7501"/>
    <w:rsid w:val="00467501"/>
    <w:rsid w:val="004B018B"/>
    <w:rsid w:val="00A36FE6"/>
    <w:rsid w:val="00E32C91"/>
    <w:rsid w:val="00E46E19"/>
    <w:rsid w:val="00F07194"/>
    <w:rsid w:val="00F3322C"/>
    <w:rsid w:val="25116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11188</Words>
  <Characters>11796</Characters>
  <Lines>85</Lines>
  <Paragraphs>24</Paragraphs>
  <TotalTime>1</TotalTime>
  <ScaleCrop>false</ScaleCrop>
  <LinksUpToDate>false</LinksUpToDate>
  <CharactersWithSpaces>11872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2019-11-15T09:27:00Z</dcterms:created>
  <dc:creator>haier</dc:creator>
  <cp:lastModifiedBy>太极箫客</cp:lastModifiedBy>
  <dcterms:modified xsi:type="dcterms:W3CDTF">2025-08-14T07:00:44Z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433CF485527643C99FDE102B516849E5_12</vt:lpwstr>
  </property>
</Properties>
</file>