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730D3">
      <w:pPr>
        <w:spacing w:line="520" w:lineRule="exact"/>
        <w:rPr>
          <w:rFonts w:eastAsia="黑体"/>
          <w:color w:val="000000"/>
          <w:sz w:val="32"/>
          <w:szCs w:val="32"/>
        </w:rPr>
      </w:pPr>
      <w:bookmarkStart w:id="5" w:name="_GoBack"/>
      <w:bookmarkEnd w:id="5"/>
      <w:r>
        <w:rPr>
          <w:rFonts w:hint="eastAsia" w:eastAsia="黑体"/>
          <w:color w:val="000000"/>
          <w:sz w:val="32"/>
          <w:szCs w:val="32"/>
        </w:rPr>
        <w:t xml:space="preserve"> </w:t>
      </w:r>
    </w:p>
    <w:p w14:paraId="28C27297">
      <w:pPr>
        <w:spacing w:line="520" w:lineRule="exact"/>
        <w:jc w:val="center"/>
        <w:outlineLvl w:val="0"/>
        <w:rPr>
          <w:rFonts w:eastAsia="方正小标宋简体"/>
          <w:color w:val="000000"/>
          <w:sz w:val="44"/>
          <w:szCs w:val="44"/>
        </w:rPr>
      </w:pPr>
      <w:r>
        <w:rPr>
          <w:rFonts w:hint="eastAsia" w:eastAsia="方正小标宋简体"/>
          <w:color w:val="000000"/>
          <w:sz w:val="44"/>
          <w:szCs w:val="44"/>
        </w:rPr>
        <w:t>步态</w:t>
      </w:r>
      <w:r>
        <w:rPr>
          <w:rFonts w:eastAsia="方正小标宋简体"/>
          <w:color w:val="000000"/>
          <w:sz w:val="44"/>
          <w:szCs w:val="44"/>
        </w:rPr>
        <w:t>训练设备</w:t>
      </w:r>
      <w:r>
        <w:rPr>
          <w:rFonts w:hint="eastAsia" w:eastAsia="方正小标宋简体"/>
          <w:color w:val="000000"/>
          <w:sz w:val="44"/>
          <w:szCs w:val="44"/>
        </w:rPr>
        <w:t>产品</w:t>
      </w:r>
      <w:r>
        <w:rPr>
          <w:rFonts w:eastAsia="方正小标宋简体"/>
          <w:color w:val="000000"/>
          <w:sz w:val="44"/>
          <w:szCs w:val="44"/>
        </w:rPr>
        <w:t>注册技术审查指导原则</w:t>
      </w:r>
    </w:p>
    <w:p w14:paraId="626B335A">
      <w:pPr>
        <w:spacing w:line="520" w:lineRule="exact"/>
        <w:jc w:val="center"/>
        <w:outlineLvl w:val="0"/>
        <w:rPr>
          <w:rFonts w:hint="eastAsia" w:eastAsia="方正小标宋简体"/>
          <w:color w:val="000000"/>
          <w:sz w:val="44"/>
          <w:szCs w:val="44"/>
        </w:rPr>
      </w:pPr>
      <w:r>
        <w:rPr>
          <w:rFonts w:hint="eastAsia" w:eastAsia="方正小标宋简体"/>
          <w:color w:val="000000"/>
          <w:sz w:val="44"/>
          <w:szCs w:val="44"/>
        </w:rPr>
        <w:t>（征求意见稿）</w:t>
      </w:r>
    </w:p>
    <w:p w14:paraId="3DE43877">
      <w:pPr>
        <w:spacing w:line="520" w:lineRule="exact"/>
        <w:jc w:val="center"/>
        <w:rPr>
          <w:rFonts w:eastAsia="方正小标宋简体"/>
          <w:color w:val="000000"/>
          <w:sz w:val="44"/>
          <w:szCs w:val="44"/>
        </w:rPr>
      </w:pPr>
    </w:p>
    <w:p w14:paraId="469AA91B">
      <w:pPr>
        <w:spacing w:line="520" w:lineRule="exact"/>
        <w:ind w:firstLine="640" w:firstLineChars="200"/>
        <w:rPr>
          <w:rFonts w:eastAsia="仿宋_GB2312"/>
          <w:color w:val="000000"/>
          <w:sz w:val="32"/>
          <w:szCs w:val="32"/>
        </w:rPr>
      </w:pPr>
      <w:r>
        <w:rPr>
          <w:rFonts w:eastAsia="仿宋_GB2312"/>
          <w:color w:val="000000"/>
          <w:sz w:val="32"/>
          <w:szCs w:val="32"/>
        </w:rPr>
        <w:t>本指导原则旨在指导申请人对</w:t>
      </w:r>
      <w:r>
        <w:rPr>
          <w:rFonts w:hint="eastAsia" w:eastAsia="仿宋_GB2312"/>
          <w:color w:val="000000"/>
          <w:sz w:val="32"/>
          <w:szCs w:val="32"/>
        </w:rPr>
        <w:t>步态</w:t>
      </w:r>
      <w:r>
        <w:rPr>
          <w:rFonts w:eastAsia="仿宋_GB2312"/>
          <w:color w:val="000000"/>
          <w:sz w:val="32"/>
          <w:szCs w:val="32"/>
        </w:rPr>
        <w:t>训练设备</w:t>
      </w:r>
      <w:r>
        <w:rPr>
          <w:rFonts w:hint="eastAsia" w:eastAsia="仿宋_GB2312"/>
          <w:color w:val="000000"/>
          <w:sz w:val="32"/>
          <w:szCs w:val="32"/>
        </w:rPr>
        <w:t>产品</w:t>
      </w:r>
      <w:r>
        <w:rPr>
          <w:rFonts w:eastAsia="仿宋_GB2312"/>
          <w:color w:val="000000"/>
          <w:sz w:val="32"/>
          <w:szCs w:val="32"/>
        </w:rPr>
        <w:t>注册申报资料的准备及撰写，同时也为技术审评部门审评注册申报资料提供参考。</w:t>
      </w:r>
    </w:p>
    <w:p w14:paraId="4A0AD993">
      <w:pPr>
        <w:spacing w:line="520" w:lineRule="exact"/>
        <w:ind w:firstLine="640" w:firstLineChars="200"/>
        <w:rPr>
          <w:rFonts w:eastAsia="仿宋_GB2312"/>
          <w:color w:val="000000"/>
          <w:sz w:val="32"/>
          <w:szCs w:val="32"/>
        </w:rPr>
      </w:pPr>
      <w:r>
        <w:rPr>
          <w:rFonts w:eastAsia="仿宋_GB2312"/>
          <w:color w:val="000000"/>
          <w:sz w:val="32"/>
          <w:szCs w:val="32"/>
        </w:rPr>
        <w:t>本指导原则是对</w:t>
      </w:r>
      <w:r>
        <w:rPr>
          <w:rFonts w:hint="eastAsia" w:eastAsia="仿宋_GB2312"/>
          <w:color w:val="000000"/>
          <w:sz w:val="32"/>
          <w:szCs w:val="32"/>
        </w:rPr>
        <w:t>步态</w:t>
      </w:r>
      <w:r>
        <w:rPr>
          <w:rFonts w:eastAsia="仿宋_GB2312"/>
          <w:color w:val="000000"/>
          <w:sz w:val="32"/>
          <w:szCs w:val="32"/>
        </w:rPr>
        <w:t>训练设备的一般要求，申请人应依据产品的具体特性确定其中内容是否适用，若不适用，需具体阐述理由及相应的科学依据，并依据产品的具体特性对注册申报资料的内容进行充实和细化。</w:t>
      </w:r>
    </w:p>
    <w:p w14:paraId="16E87AEE">
      <w:pPr>
        <w:spacing w:line="520" w:lineRule="exact"/>
        <w:ind w:firstLine="640" w:firstLineChars="200"/>
        <w:rPr>
          <w:rFonts w:eastAsia="仿宋_GB2312"/>
          <w:color w:val="000000"/>
          <w:sz w:val="32"/>
          <w:szCs w:val="32"/>
        </w:rPr>
      </w:pPr>
      <w:r>
        <w:rPr>
          <w:rFonts w:eastAsia="仿宋_GB2312"/>
          <w:color w:val="00000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731EDFB7">
      <w:pPr>
        <w:spacing w:line="520" w:lineRule="exact"/>
        <w:ind w:firstLine="640" w:firstLineChars="200"/>
        <w:rPr>
          <w:rFonts w:eastAsia="仿宋"/>
          <w:color w:val="000000"/>
          <w:sz w:val="32"/>
          <w:szCs w:val="32"/>
        </w:rPr>
      </w:pPr>
      <w:r>
        <w:rPr>
          <w:rFonts w:eastAsia="仿宋_GB2312"/>
          <w:color w:val="000000"/>
          <w:sz w:val="32"/>
          <w:szCs w:val="32"/>
        </w:rPr>
        <w:t>本指导原则是在现行法规、标准体系及当前认知水平下制定的，随着法规、标准体系的不断完善和科学技术的不断发展，本指导原则相关内容也将适时进行调整。</w:t>
      </w:r>
    </w:p>
    <w:p w14:paraId="74A57282">
      <w:pPr>
        <w:spacing w:line="520" w:lineRule="exact"/>
        <w:ind w:firstLine="640" w:firstLineChars="200"/>
        <w:outlineLvl w:val="0"/>
        <w:rPr>
          <w:rFonts w:eastAsia="黑体"/>
          <w:color w:val="000000"/>
          <w:sz w:val="32"/>
          <w:szCs w:val="32"/>
        </w:rPr>
      </w:pPr>
      <w:r>
        <w:rPr>
          <w:rFonts w:eastAsia="黑体"/>
          <w:color w:val="000000"/>
          <w:sz w:val="32"/>
          <w:szCs w:val="32"/>
        </w:rPr>
        <w:t>一、适用范围</w:t>
      </w:r>
    </w:p>
    <w:p w14:paraId="1F1EB7BA">
      <w:pPr>
        <w:spacing w:line="520" w:lineRule="exact"/>
        <w:ind w:firstLine="640" w:firstLineChars="200"/>
        <w:rPr>
          <w:rFonts w:eastAsia="仿宋_GB2312"/>
          <w:sz w:val="32"/>
          <w:szCs w:val="32"/>
        </w:rPr>
      </w:pPr>
      <w:r>
        <w:rPr>
          <w:rFonts w:eastAsia="仿宋_GB2312"/>
          <w:color w:val="000000"/>
          <w:sz w:val="32"/>
          <w:szCs w:val="32"/>
        </w:rPr>
        <w:t>根据《医疗器械分类目录》（国家食品药品监督管理总局公告2017年第104号）（以下简称《分类目录》）本指导原则适用于《目录》中分类编码为19（医用康复器械）-02（运动康复训练器械）-0</w:t>
      </w:r>
      <w:r>
        <w:rPr>
          <w:rFonts w:hint="eastAsia" w:eastAsia="仿宋_GB2312"/>
          <w:color w:val="000000"/>
          <w:sz w:val="32"/>
          <w:szCs w:val="32"/>
        </w:rPr>
        <w:t>1</w:t>
      </w:r>
      <w:r>
        <w:rPr>
          <w:rFonts w:eastAsia="仿宋_GB2312"/>
          <w:color w:val="000000"/>
          <w:sz w:val="32"/>
          <w:szCs w:val="32"/>
        </w:rPr>
        <w:t>（</w:t>
      </w:r>
      <w:r>
        <w:rPr>
          <w:rFonts w:hint="eastAsia" w:eastAsia="仿宋_GB2312"/>
          <w:color w:val="000000"/>
          <w:sz w:val="32"/>
          <w:szCs w:val="32"/>
        </w:rPr>
        <w:t>步态</w:t>
      </w:r>
      <w:r>
        <w:rPr>
          <w:rFonts w:eastAsia="仿宋_GB2312"/>
          <w:color w:val="000000"/>
          <w:sz w:val="32"/>
          <w:szCs w:val="32"/>
        </w:rPr>
        <w:t>训练设备）中所述的针对下肢步行障碍患者进行步态康复训练的设备。</w:t>
      </w:r>
    </w:p>
    <w:p w14:paraId="63852A27">
      <w:pPr>
        <w:tabs>
          <w:tab w:val="center" w:pos="4473"/>
        </w:tabs>
        <w:spacing w:line="520" w:lineRule="exact"/>
        <w:ind w:firstLine="640" w:firstLineChars="200"/>
        <w:outlineLvl w:val="0"/>
        <w:rPr>
          <w:rFonts w:eastAsia="黑体"/>
          <w:bCs/>
          <w:color w:val="000000"/>
          <w:sz w:val="32"/>
          <w:szCs w:val="32"/>
        </w:rPr>
      </w:pPr>
      <w:r>
        <w:rPr>
          <w:rFonts w:eastAsia="黑体"/>
          <w:bCs/>
          <w:color w:val="000000"/>
          <w:sz w:val="32"/>
          <w:szCs w:val="32"/>
        </w:rPr>
        <w:t>二、技术审查要点</w:t>
      </w:r>
    </w:p>
    <w:p w14:paraId="1F8A0BB3">
      <w:pPr>
        <w:spacing w:line="520" w:lineRule="exact"/>
        <w:ind w:firstLine="640" w:firstLineChars="200"/>
        <w:outlineLvl w:val="1"/>
        <w:rPr>
          <w:rFonts w:eastAsia="仿宋_GB2312"/>
          <w:color w:val="000000"/>
          <w:sz w:val="32"/>
          <w:szCs w:val="32"/>
        </w:rPr>
      </w:pPr>
      <w:r>
        <w:rPr>
          <w:rFonts w:eastAsia="楷体_GB2312"/>
          <w:color w:val="000000"/>
          <w:sz w:val="32"/>
          <w:szCs w:val="32"/>
        </w:rPr>
        <w:t>（一）产品名称要求</w:t>
      </w:r>
    </w:p>
    <w:p w14:paraId="3A1EF789">
      <w:pPr>
        <w:spacing w:line="520" w:lineRule="exact"/>
        <w:ind w:firstLine="640" w:firstLineChars="200"/>
        <w:rPr>
          <w:rFonts w:eastAsia="仿宋_GB2312"/>
          <w:sz w:val="32"/>
          <w:szCs w:val="32"/>
        </w:rPr>
      </w:pPr>
      <w:r>
        <w:rPr>
          <w:rFonts w:eastAsia="仿宋_GB2312"/>
          <w:sz w:val="32"/>
          <w:szCs w:val="32"/>
        </w:rPr>
        <w:t>产品的命名应符合《医疗器械通用名称命名规则》（国家食品药品监督管理总局令第19号），采用《分类目录》或国家标准、行业标准上的通用名称。</w:t>
      </w:r>
    </w:p>
    <w:p w14:paraId="3C97C2E1">
      <w:pPr>
        <w:spacing w:line="520" w:lineRule="exact"/>
        <w:ind w:firstLine="640" w:firstLineChars="200"/>
        <w:rPr>
          <w:rFonts w:eastAsia="仿宋_GB2312"/>
          <w:sz w:val="32"/>
          <w:szCs w:val="32"/>
        </w:rPr>
      </w:pPr>
      <w:r>
        <w:rPr>
          <w:rFonts w:eastAsia="仿宋_GB2312"/>
          <w:sz w:val="32"/>
          <w:szCs w:val="32"/>
        </w:rPr>
        <w:t>可直接采用《分类目录》中的命名“</w:t>
      </w:r>
      <w:r>
        <w:rPr>
          <w:rFonts w:hint="eastAsia" w:eastAsia="仿宋_GB2312"/>
          <w:sz w:val="32"/>
          <w:szCs w:val="32"/>
        </w:rPr>
        <w:t>下肢步行姿势训练系统</w:t>
      </w:r>
      <w:r>
        <w:rPr>
          <w:rFonts w:eastAsia="仿宋_GB2312"/>
          <w:sz w:val="32"/>
          <w:szCs w:val="32"/>
        </w:rPr>
        <w:t>”</w:t>
      </w:r>
      <w:r>
        <w:rPr>
          <w:rFonts w:hint="eastAsia" w:eastAsia="仿宋_GB2312"/>
          <w:sz w:val="32"/>
          <w:szCs w:val="32"/>
        </w:rPr>
        <w:t>、</w:t>
      </w:r>
      <w:r>
        <w:rPr>
          <w:rFonts w:eastAsia="仿宋_GB2312"/>
          <w:sz w:val="32"/>
          <w:szCs w:val="32"/>
        </w:rPr>
        <w:t>“</w:t>
      </w:r>
      <w:r>
        <w:rPr>
          <w:rFonts w:hint="eastAsia" w:eastAsia="仿宋_GB2312"/>
          <w:sz w:val="32"/>
          <w:szCs w:val="32"/>
        </w:rPr>
        <w:t>步态评估与训练系统</w:t>
      </w:r>
      <w:r>
        <w:rPr>
          <w:rFonts w:eastAsia="仿宋_GB2312"/>
          <w:sz w:val="32"/>
          <w:szCs w:val="32"/>
        </w:rPr>
        <w:t>”</w:t>
      </w:r>
      <w:r>
        <w:rPr>
          <w:rFonts w:hint="eastAsia" w:eastAsia="仿宋_GB2312"/>
          <w:sz w:val="32"/>
          <w:szCs w:val="32"/>
        </w:rPr>
        <w:t>、</w:t>
      </w:r>
      <w:r>
        <w:rPr>
          <w:rFonts w:eastAsia="仿宋_GB2312"/>
          <w:sz w:val="32"/>
          <w:szCs w:val="32"/>
        </w:rPr>
        <w:t>“</w:t>
      </w:r>
      <w:r>
        <w:rPr>
          <w:rFonts w:hint="eastAsia" w:eastAsia="仿宋_GB2312"/>
          <w:sz w:val="32"/>
          <w:szCs w:val="32"/>
        </w:rPr>
        <w:t>减重步态训练器</w:t>
      </w:r>
      <w:r>
        <w:rPr>
          <w:rFonts w:eastAsia="仿宋_GB2312"/>
          <w:sz w:val="32"/>
          <w:szCs w:val="32"/>
        </w:rPr>
        <w:t>”</w:t>
      </w:r>
      <w:r>
        <w:rPr>
          <w:rFonts w:hint="eastAsia" w:eastAsia="仿宋_GB2312"/>
          <w:sz w:val="32"/>
          <w:szCs w:val="32"/>
        </w:rPr>
        <w:t>。</w:t>
      </w:r>
    </w:p>
    <w:p w14:paraId="09DD14BF">
      <w:pPr>
        <w:spacing w:line="520" w:lineRule="exact"/>
        <w:ind w:firstLine="640" w:firstLineChars="200"/>
        <w:outlineLvl w:val="1"/>
        <w:rPr>
          <w:rFonts w:eastAsia="楷体_GB2312"/>
          <w:color w:val="000000"/>
          <w:sz w:val="32"/>
          <w:szCs w:val="32"/>
        </w:rPr>
      </w:pPr>
      <w:r>
        <w:rPr>
          <w:rFonts w:eastAsia="楷体_GB2312"/>
          <w:color w:val="000000"/>
          <w:sz w:val="32"/>
          <w:szCs w:val="32"/>
        </w:rPr>
        <w:t>（二）产品的结构和组成</w:t>
      </w:r>
    </w:p>
    <w:p w14:paraId="586E0F62">
      <w:pPr>
        <w:spacing w:line="520" w:lineRule="exact"/>
        <w:ind w:firstLine="640" w:firstLineChars="200"/>
        <w:outlineLvl w:val="2"/>
        <w:rPr>
          <w:rFonts w:eastAsia="仿宋_GB2312"/>
          <w:sz w:val="32"/>
          <w:szCs w:val="22"/>
        </w:rPr>
      </w:pPr>
      <w:r>
        <w:rPr>
          <w:rFonts w:hint="eastAsia" w:eastAsia="仿宋_GB2312"/>
          <w:bCs/>
          <w:sz w:val="32"/>
          <w:szCs w:val="32"/>
        </w:rPr>
        <w:t>1</w:t>
      </w:r>
      <w:r>
        <w:rPr>
          <w:rFonts w:eastAsia="仿宋_GB2312"/>
          <w:bCs/>
          <w:sz w:val="32"/>
          <w:szCs w:val="32"/>
        </w:rPr>
        <w:t>.</w:t>
      </w:r>
      <w:r>
        <w:rPr>
          <w:rFonts w:eastAsia="仿宋_GB2312"/>
          <w:sz w:val="32"/>
          <w:szCs w:val="22"/>
        </w:rPr>
        <w:t>产品组成</w:t>
      </w:r>
    </w:p>
    <w:p w14:paraId="359250C5">
      <w:pPr>
        <w:spacing w:line="520" w:lineRule="exact"/>
        <w:ind w:firstLine="640" w:firstLineChars="200"/>
        <w:rPr>
          <w:rFonts w:eastAsia="仿宋_GB2312"/>
          <w:sz w:val="32"/>
          <w:szCs w:val="32"/>
        </w:rPr>
      </w:pPr>
      <w:r>
        <w:rPr>
          <w:rFonts w:hint="eastAsia" w:eastAsia="仿宋_GB2312"/>
          <w:sz w:val="32"/>
          <w:szCs w:val="32"/>
        </w:rPr>
        <w:t>步态训练设备</w:t>
      </w:r>
      <w:r>
        <w:rPr>
          <w:rFonts w:eastAsia="仿宋_GB2312"/>
          <w:sz w:val="32"/>
          <w:szCs w:val="32"/>
        </w:rPr>
        <w:t>通常由减重装置、主机、跑台、控制装置、固定装置</w:t>
      </w:r>
      <w:r>
        <w:rPr>
          <w:rFonts w:hint="eastAsia" w:eastAsia="仿宋_GB2312"/>
          <w:sz w:val="32"/>
          <w:szCs w:val="32"/>
        </w:rPr>
        <w:t>、上位机软件（如有）</w:t>
      </w:r>
      <w:r>
        <w:rPr>
          <w:rFonts w:eastAsia="仿宋_GB2312"/>
          <w:sz w:val="32"/>
          <w:szCs w:val="32"/>
        </w:rPr>
        <w:t>等组成。通过训练患者步态促进康复，可附带步态评估功能。</w:t>
      </w:r>
    </w:p>
    <w:p w14:paraId="58D2B94B">
      <w:pPr>
        <w:spacing w:line="520" w:lineRule="exact"/>
        <w:ind w:firstLine="640" w:firstLineChars="200"/>
        <w:outlineLvl w:val="2"/>
        <w:rPr>
          <w:rFonts w:eastAsia="仿宋_GB2312"/>
          <w:bCs/>
          <w:sz w:val="32"/>
          <w:szCs w:val="32"/>
        </w:rPr>
      </w:pPr>
      <w:r>
        <w:rPr>
          <w:rFonts w:hint="eastAsia" w:eastAsia="仿宋_GB2312"/>
          <w:bCs/>
          <w:sz w:val="32"/>
          <w:szCs w:val="32"/>
        </w:rPr>
        <w:t>2</w:t>
      </w:r>
      <w:r>
        <w:rPr>
          <w:rFonts w:eastAsia="仿宋_GB2312"/>
          <w:bCs/>
          <w:sz w:val="32"/>
          <w:szCs w:val="32"/>
        </w:rPr>
        <w:t>.描述产品结构组成</w:t>
      </w:r>
    </w:p>
    <w:p w14:paraId="1ABB8C33">
      <w:pPr>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.1</w:t>
      </w:r>
      <w:r>
        <w:rPr>
          <w:rFonts w:eastAsia="仿宋_GB2312"/>
          <w:sz w:val="32"/>
          <w:szCs w:val="32"/>
        </w:rPr>
        <w:t>应描述设备所有组件及附件</w:t>
      </w:r>
      <w:r>
        <w:rPr>
          <w:rFonts w:hint="eastAsia" w:eastAsia="仿宋_GB2312"/>
          <w:sz w:val="32"/>
          <w:szCs w:val="32"/>
        </w:rPr>
        <w:t>，以及他们之间的连接关系</w:t>
      </w:r>
      <w:r>
        <w:rPr>
          <w:rFonts w:eastAsia="仿宋_GB2312"/>
          <w:sz w:val="32"/>
          <w:szCs w:val="32"/>
        </w:rPr>
        <w:t>。</w:t>
      </w:r>
    </w:p>
    <w:p w14:paraId="392560AD">
      <w:pPr>
        <w:widowControl/>
        <w:spacing w:line="520" w:lineRule="exact"/>
        <w:ind w:firstLine="640" w:firstLineChars="200"/>
        <w:rPr>
          <w:rFonts w:eastAsia="仿宋_GB2312"/>
          <w:sz w:val="32"/>
          <w:szCs w:val="32"/>
        </w:rPr>
      </w:pPr>
      <w:r>
        <w:rPr>
          <w:rFonts w:hint="eastAsia" w:eastAsia="仿宋_GB2312"/>
          <w:color w:val="000000"/>
          <w:sz w:val="32"/>
          <w:szCs w:val="32"/>
        </w:rPr>
        <w:t>2</w:t>
      </w:r>
      <w:r>
        <w:rPr>
          <w:rFonts w:eastAsia="仿宋_GB2312"/>
          <w:color w:val="000000"/>
          <w:sz w:val="32"/>
          <w:szCs w:val="32"/>
        </w:rPr>
        <w:t>.2</w:t>
      </w:r>
      <w:r>
        <w:rPr>
          <w:rFonts w:hint="eastAsia" w:eastAsia="仿宋_GB2312"/>
          <w:color w:val="000000"/>
          <w:sz w:val="32"/>
          <w:szCs w:val="32"/>
        </w:rPr>
        <w:t>可以采用文字、示意图等方式对产品的结构和组成进行描述</w:t>
      </w:r>
      <w:r>
        <w:rPr>
          <w:rFonts w:eastAsia="仿宋_GB2312"/>
          <w:sz w:val="32"/>
          <w:szCs w:val="32"/>
        </w:rPr>
        <w:t>。</w:t>
      </w:r>
    </w:p>
    <w:p w14:paraId="0EF34D2E">
      <w:pPr>
        <w:spacing w:line="520" w:lineRule="exact"/>
        <w:ind w:firstLine="640" w:firstLineChars="200"/>
        <w:rPr>
          <w:rFonts w:eastAsia="仿宋_GB2312"/>
          <w:bCs/>
          <w:sz w:val="32"/>
          <w:szCs w:val="32"/>
        </w:rPr>
      </w:pPr>
      <w:r>
        <w:rPr>
          <w:rFonts w:hint="eastAsia" w:eastAsia="仿宋_GB2312"/>
          <w:color w:val="000000"/>
          <w:sz w:val="32"/>
          <w:szCs w:val="32"/>
        </w:rPr>
        <w:t>2</w:t>
      </w:r>
      <w:r>
        <w:rPr>
          <w:rFonts w:eastAsia="仿宋_GB2312"/>
          <w:color w:val="000000"/>
          <w:sz w:val="32"/>
          <w:szCs w:val="32"/>
        </w:rPr>
        <w:t>.3</w:t>
      </w:r>
      <w:r>
        <w:rPr>
          <w:rFonts w:eastAsia="仿宋_GB2312"/>
          <w:bCs/>
          <w:sz w:val="32"/>
          <w:szCs w:val="32"/>
        </w:rPr>
        <w:t>组合使用设备</w:t>
      </w:r>
    </w:p>
    <w:p w14:paraId="52150AFD">
      <w:pPr>
        <w:spacing w:line="520" w:lineRule="exact"/>
        <w:ind w:firstLine="640" w:firstLineChars="200"/>
        <w:rPr>
          <w:rFonts w:eastAsia="仿宋_GB2312"/>
          <w:sz w:val="32"/>
          <w:szCs w:val="32"/>
        </w:rPr>
      </w:pPr>
      <w:r>
        <w:rPr>
          <w:rFonts w:eastAsia="仿宋_GB2312"/>
          <w:sz w:val="32"/>
          <w:szCs w:val="32"/>
        </w:rPr>
        <w:t>如设备具有需要组合使用的其他设备（如有电气或者通信连接的设备），应提供接口设计说明，以及对应的组合使用设备的详细说明。如可与康复评估系统、独立软件等组合使用。</w:t>
      </w:r>
    </w:p>
    <w:p w14:paraId="5DC2529C">
      <w:pPr>
        <w:ind w:firstLine="640" w:firstLineChars="200"/>
      </w:pPr>
      <w:r>
        <w:rPr>
          <w:rFonts w:eastAsia="仿宋_GB2312"/>
          <w:bCs/>
          <w:sz w:val="32"/>
          <w:szCs w:val="32"/>
        </w:rPr>
        <w:t>3.产品示例：</w:t>
      </w:r>
    </w:p>
    <w:p w14:paraId="0682018F">
      <w:pPr>
        <w:jc w:val="center"/>
        <w:rPr>
          <w:rFonts w:eastAsia="黑体"/>
          <w:sz w:val="28"/>
          <w:szCs w:val="28"/>
        </w:rPr>
      </w:pPr>
      <w:r>
        <w:rPr>
          <w:rFonts w:eastAsia="黑体"/>
          <w:sz w:val="28"/>
          <w:szCs w:val="28"/>
        </w:rPr>
        <w:drawing>
          <wp:inline distT="0" distB="0" distL="0" distR="0">
            <wp:extent cx="2915920" cy="1802765"/>
            <wp:effectExtent l="19050" t="0" r="0" b="0"/>
            <wp:docPr id="1" name="图片 2" descr="一康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一康A3"/>
                    <pic:cNvPicPr>
                      <a:picLocks noChangeAspect="1" noChangeArrowheads="1"/>
                    </pic:cNvPicPr>
                  </pic:nvPicPr>
                  <pic:blipFill>
                    <a:blip r:embed="rId6"/>
                    <a:srcRect t="6017" b="5264"/>
                    <a:stretch>
                      <a:fillRect/>
                    </a:stretch>
                  </pic:blipFill>
                  <pic:spPr>
                    <a:xfrm>
                      <a:off x="0" y="0"/>
                      <a:ext cx="2915920" cy="1802765"/>
                    </a:xfrm>
                    <a:prstGeom prst="rect">
                      <a:avLst/>
                    </a:prstGeom>
                    <a:noFill/>
                    <a:ln w="9525" cmpd="sng">
                      <a:noFill/>
                      <a:miter lim="800000"/>
                      <a:headEnd/>
                      <a:tailEnd/>
                    </a:ln>
                    <a:effectLst/>
                  </pic:spPr>
                </pic:pic>
              </a:graphicData>
            </a:graphic>
          </wp:inline>
        </w:drawing>
      </w:r>
    </w:p>
    <w:p w14:paraId="26904AA4">
      <w:pPr>
        <w:spacing w:line="520" w:lineRule="exact"/>
        <w:jc w:val="center"/>
        <w:rPr>
          <w:rFonts w:eastAsia="黑体"/>
          <w:sz w:val="28"/>
          <w:szCs w:val="28"/>
        </w:rPr>
      </w:pPr>
      <w:r>
        <w:rPr>
          <w:rFonts w:eastAsia="黑体"/>
          <w:sz w:val="28"/>
          <w:szCs w:val="28"/>
        </w:rPr>
        <w:t>图</w:t>
      </w:r>
      <w:r>
        <w:rPr>
          <w:rFonts w:hint="eastAsia" w:eastAsia="黑体"/>
          <w:sz w:val="28"/>
          <w:szCs w:val="28"/>
        </w:rPr>
        <w:t>1：步态训练与评估系统</w:t>
      </w:r>
    </w:p>
    <w:p w14:paraId="5084C382">
      <w:pPr>
        <w:jc w:val="center"/>
        <w:rPr>
          <w:rFonts w:eastAsia="黑体"/>
          <w:sz w:val="28"/>
          <w:szCs w:val="28"/>
        </w:rPr>
      </w:pPr>
      <w:r>
        <w:rPr>
          <w:rFonts w:ascii="&amp;quot" w:hAnsi="&amp;quot" w:eastAsia="&amp;quot" w:cs="&amp;quot"/>
          <w:color w:val="333333"/>
          <w:spacing w:val="30"/>
          <w:szCs w:val="21"/>
        </w:rPr>
        <w:drawing>
          <wp:inline distT="0" distB="0" distL="0" distR="0">
            <wp:extent cx="2536190" cy="2251710"/>
            <wp:effectExtent l="19050" t="0" r="0" b="0"/>
            <wp:docPr id="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6"/>
                    <pic:cNvPicPr>
                      <a:picLocks noChangeAspect="1" noChangeArrowheads="1"/>
                    </pic:cNvPicPr>
                  </pic:nvPicPr>
                  <pic:blipFill>
                    <a:blip r:embed="rId7" cstate="print"/>
                    <a:srcRect b="11099"/>
                    <a:stretch>
                      <a:fillRect/>
                    </a:stretch>
                  </pic:blipFill>
                  <pic:spPr>
                    <a:xfrm>
                      <a:off x="0" y="0"/>
                      <a:ext cx="2536190" cy="2251710"/>
                    </a:xfrm>
                    <a:prstGeom prst="rect">
                      <a:avLst/>
                    </a:prstGeom>
                    <a:noFill/>
                    <a:ln w="9525" cmpd="sng">
                      <a:noFill/>
                      <a:miter lim="800000"/>
                      <a:headEnd/>
                      <a:tailEnd/>
                    </a:ln>
                    <a:effectLst/>
                  </pic:spPr>
                </pic:pic>
              </a:graphicData>
            </a:graphic>
          </wp:inline>
        </w:drawing>
      </w:r>
    </w:p>
    <w:p w14:paraId="17C345F5">
      <w:pPr>
        <w:spacing w:line="520" w:lineRule="exact"/>
        <w:jc w:val="center"/>
        <w:rPr>
          <w:rFonts w:eastAsia="黑体"/>
          <w:sz w:val="28"/>
          <w:szCs w:val="28"/>
        </w:rPr>
      </w:pPr>
      <w:r>
        <w:rPr>
          <w:rFonts w:eastAsia="黑体"/>
          <w:sz w:val="28"/>
          <w:szCs w:val="28"/>
        </w:rPr>
        <w:t>图</w:t>
      </w:r>
      <w:r>
        <w:rPr>
          <w:rFonts w:hint="eastAsia" w:eastAsia="黑体"/>
          <w:sz w:val="28"/>
          <w:szCs w:val="28"/>
        </w:rPr>
        <w:t>2：减重步态训练器</w:t>
      </w:r>
    </w:p>
    <w:p w14:paraId="539333C9">
      <w:pPr>
        <w:spacing w:line="520" w:lineRule="exact"/>
        <w:ind w:firstLine="640" w:firstLineChars="200"/>
        <w:rPr>
          <w:rFonts w:eastAsia="仿宋_GB2312"/>
          <w:kern w:val="0"/>
          <w:sz w:val="32"/>
          <w:szCs w:val="32"/>
        </w:rPr>
      </w:pPr>
      <w:r>
        <w:rPr>
          <w:rFonts w:eastAsia="仿宋_GB2312"/>
          <w:kern w:val="0"/>
          <w:sz w:val="32"/>
          <w:szCs w:val="32"/>
        </w:rPr>
        <w:t>注：上述示意图仅供参考，具体产品结构组成应根据实际产品确定。</w:t>
      </w:r>
    </w:p>
    <w:p w14:paraId="0E02127E">
      <w:pPr>
        <w:spacing w:line="520" w:lineRule="exact"/>
        <w:ind w:firstLine="640" w:firstLineChars="200"/>
        <w:outlineLvl w:val="1"/>
        <w:rPr>
          <w:rFonts w:ascii="楷体_GB2312" w:eastAsia="楷体_GB2312"/>
          <w:color w:val="000000"/>
          <w:sz w:val="32"/>
          <w:szCs w:val="32"/>
        </w:rPr>
      </w:pPr>
      <w:r>
        <w:rPr>
          <w:rFonts w:hint="eastAsia" w:ascii="楷体_GB2312" w:eastAsia="楷体_GB2312"/>
          <w:color w:val="000000"/>
          <w:sz w:val="32"/>
          <w:szCs w:val="32"/>
        </w:rPr>
        <w:t>（三）产品工作原理/作用机理</w:t>
      </w:r>
    </w:p>
    <w:p w14:paraId="026FA941">
      <w:pPr>
        <w:spacing w:line="520" w:lineRule="exact"/>
        <w:ind w:firstLine="640" w:firstLineChars="200"/>
        <w:outlineLvl w:val="2"/>
        <w:rPr>
          <w:rFonts w:eastAsia="仿宋_GB2312"/>
          <w:sz w:val="32"/>
          <w:szCs w:val="32"/>
        </w:rPr>
      </w:pPr>
      <w:r>
        <w:rPr>
          <w:rFonts w:eastAsia="仿宋_GB2312"/>
          <w:bCs/>
          <w:sz w:val="32"/>
          <w:szCs w:val="32"/>
        </w:rPr>
        <w:t>1.</w:t>
      </w:r>
      <w:r>
        <w:rPr>
          <w:rFonts w:eastAsia="仿宋_GB2312"/>
          <w:sz w:val="32"/>
          <w:szCs w:val="32"/>
        </w:rPr>
        <w:t>工作原理</w:t>
      </w:r>
    </w:p>
    <w:p w14:paraId="0C93E2A0">
      <w:pPr>
        <w:spacing w:line="520" w:lineRule="exact"/>
        <w:ind w:firstLine="640" w:firstLineChars="200"/>
        <w:rPr>
          <w:rFonts w:eastAsia="仿宋_GB2312"/>
          <w:color w:val="000000"/>
          <w:sz w:val="32"/>
          <w:szCs w:val="32"/>
        </w:rPr>
      </w:pPr>
      <w:r>
        <w:rPr>
          <w:rFonts w:hint="eastAsia" w:eastAsia="仿宋_GB2312"/>
          <w:color w:val="000000"/>
          <w:sz w:val="32"/>
          <w:szCs w:val="32"/>
        </w:rPr>
        <w:t>步态训练设备工作原理：利用减重装置来减轻患者体重对患肢的负荷，通过关节运动系统或/和医用跑台带动患者下肢完成大量重复的生理步态训练，促进患者行走功能的恢复。根据设定参数的不同，带动下肢髋关节、膝关节或者踝关节进行不同幅度、不同频率的步态训练。</w:t>
      </w:r>
    </w:p>
    <w:p w14:paraId="12D56360">
      <w:pPr>
        <w:spacing w:line="520" w:lineRule="exact"/>
        <w:ind w:firstLine="640" w:firstLineChars="200"/>
        <w:rPr>
          <w:rFonts w:eastAsia="仿宋_GB2312"/>
          <w:color w:val="000000"/>
          <w:sz w:val="32"/>
          <w:szCs w:val="32"/>
        </w:rPr>
      </w:pPr>
      <w:r>
        <w:rPr>
          <w:rFonts w:hint="eastAsia" w:eastAsia="仿宋_GB2312"/>
          <w:color w:val="000000"/>
          <w:sz w:val="32"/>
          <w:szCs w:val="32"/>
        </w:rPr>
        <w:t>步态训练设备训练模式可分为：被动训练、主动训练。训练轨迹为模拟正常人在跑台上的周期运动。</w:t>
      </w:r>
    </w:p>
    <w:p w14:paraId="4A427143">
      <w:pPr>
        <w:spacing w:line="520" w:lineRule="exact"/>
        <w:ind w:firstLine="640" w:firstLineChars="200"/>
      </w:pPr>
      <w:r>
        <w:rPr>
          <w:rFonts w:hint="eastAsia" w:eastAsia="仿宋_GB2312"/>
          <w:color w:val="000000"/>
          <w:sz w:val="32"/>
          <w:szCs w:val="32"/>
        </w:rPr>
        <w:t>申请人应详细说明产品的工作原理，可提供产品的工作原理图，并结合原理图阐述步态训练的实现方式，应明确设备的训练模式（主动、被动）、训练部位（髋关节、膝关节、踝关节）、减重等。</w:t>
      </w:r>
    </w:p>
    <w:p w14:paraId="1222CFBD">
      <w:pPr>
        <w:spacing w:line="520" w:lineRule="exact"/>
        <w:ind w:firstLine="640" w:firstLineChars="200"/>
        <w:outlineLvl w:val="1"/>
        <w:rPr>
          <w:rFonts w:eastAsia="楷体_GB2312"/>
          <w:color w:val="000000"/>
          <w:sz w:val="32"/>
          <w:szCs w:val="32"/>
        </w:rPr>
      </w:pPr>
      <w:r>
        <w:rPr>
          <w:rFonts w:eastAsia="楷体_GB2312"/>
          <w:color w:val="000000"/>
          <w:sz w:val="32"/>
          <w:szCs w:val="32"/>
        </w:rPr>
        <w:t>（四）注册单元划分的原则和实例</w:t>
      </w:r>
    </w:p>
    <w:p w14:paraId="5E65800F">
      <w:pPr>
        <w:spacing w:line="520" w:lineRule="exact"/>
        <w:ind w:firstLine="640" w:firstLineChars="200"/>
        <w:rPr>
          <w:rFonts w:eastAsia="仿宋_GB2312"/>
          <w:kern w:val="0"/>
          <w:sz w:val="32"/>
          <w:szCs w:val="32"/>
        </w:rPr>
      </w:pPr>
      <w:r>
        <w:rPr>
          <w:rFonts w:eastAsia="仿宋_GB2312"/>
          <w:kern w:val="0"/>
          <w:sz w:val="32"/>
          <w:szCs w:val="32"/>
        </w:rPr>
        <w:t>注册单元划分应参照</w:t>
      </w:r>
      <w:bookmarkStart w:id="0" w:name="OLE_LINK12"/>
      <w:bookmarkStart w:id="1" w:name="OLE_LINK13"/>
      <w:r>
        <w:rPr>
          <w:rFonts w:eastAsia="仿宋_GB2312"/>
          <w:kern w:val="0"/>
          <w:sz w:val="32"/>
          <w:szCs w:val="32"/>
        </w:rPr>
        <w:t>《医疗器械注册单元划分指导原则》</w:t>
      </w:r>
      <w:bookmarkEnd w:id="0"/>
      <w:bookmarkEnd w:id="1"/>
      <w:r>
        <w:rPr>
          <w:rFonts w:eastAsia="仿宋_GB2312"/>
          <w:sz w:val="32"/>
          <w:szCs w:val="32"/>
        </w:rPr>
        <w:t>（国家食品药品监督管理总局通告2017年第187号）</w:t>
      </w:r>
      <w:r>
        <w:rPr>
          <w:rFonts w:eastAsia="仿宋_GB2312"/>
          <w:kern w:val="0"/>
          <w:sz w:val="32"/>
          <w:szCs w:val="32"/>
        </w:rPr>
        <w:t>，以</w:t>
      </w:r>
      <w:r>
        <w:rPr>
          <w:rFonts w:eastAsia="仿宋_GB2312"/>
          <w:color w:val="000000"/>
          <w:kern w:val="0"/>
          <w:sz w:val="32"/>
          <w:szCs w:val="32"/>
        </w:rPr>
        <w:t>产品的技术原理、结构组成、性能指标、适用范围等依据进行综合</w:t>
      </w:r>
      <w:r>
        <w:rPr>
          <w:rFonts w:eastAsia="仿宋_GB2312"/>
          <w:kern w:val="0"/>
          <w:sz w:val="32"/>
          <w:szCs w:val="32"/>
        </w:rPr>
        <w:t>判定。</w:t>
      </w:r>
    </w:p>
    <w:p w14:paraId="6415F159">
      <w:pPr>
        <w:spacing w:line="520" w:lineRule="exact"/>
        <w:ind w:firstLine="640" w:firstLineChars="200"/>
        <w:rPr>
          <w:rFonts w:eastAsia="仿宋_GB2312"/>
          <w:kern w:val="0"/>
          <w:sz w:val="32"/>
          <w:szCs w:val="32"/>
        </w:rPr>
      </w:pPr>
      <w:r>
        <w:rPr>
          <w:rFonts w:eastAsia="仿宋_GB2312"/>
          <w:kern w:val="0"/>
          <w:sz w:val="32"/>
          <w:szCs w:val="32"/>
        </w:rPr>
        <w:t>如</w:t>
      </w:r>
      <w:r>
        <w:rPr>
          <w:rFonts w:hint="eastAsia" w:eastAsia="仿宋_GB2312"/>
          <w:kern w:val="0"/>
          <w:sz w:val="32"/>
          <w:szCs w:val="32"/>
        </w:rPr>
        <w:t>步态训练设备</w:t>
      </w:r>
      <w:r>
        <w:rPr>
          <w:rFonts w:eastAsia="仿宋_GB2312"/>
          <w:kern w:val="0"/>
          <w:sz w:val="32"/>
          <w:szCs w:val="32"/>
        </w:rPr>
        <w:t>在技术原理、结构组成、</w:t>
      </w:r>
      <w:r>
        <w:rPr>
          <w:rFonts w:hint="eastAsia" w:eastAsia="仿宋_GB2312"/>
          <w:kern w:val="0"/>
          <w:sz w:val="32"/>
          <w:szCs w:val="32"/>
        </w:rPr>
        <w:t>性能指标</w:t>
      </w:r>
      <w:r>
        <w:rPr>
          <w:rFonts w:eastAsia="仿宋_GB2312"/>
          <w:kern w:val="0"/>
          <w:sz w:val="32"/>
          <w:szCs w:val="32"/>
        </w:rPr>
        <w:t>等方面存在较大差异，应划分为不同的注册单元。</w:t>
      </w:r>
    </w:p>
    <w:p w14:paraId="5DD900E3">
      <w:pPr>
        <w:spacing w:line="520" w:lineRule="exact"/>
        <w:ind w:firstLine="640" w:firstLineChars="200"/>
        <w:outlineLvl w:val="1"/>
        <w:rPr>
          <w:rFonts w:eastAsia="楷体_GB2312"/>
          <w:color w:val="000000"/>
          <w:sz w:val="32"/>
          <w:szCs w:val="32"/>
        </w:rPr>
      </w:pPr>
      <w:r>
        <w:rPr>
          <w:rFonts w:eastAsia="楷体_GB2312"/>
          <w:color w:val="000000"/>
          <w:sz w:val="32"/>
          <w:szCs w:val="32"/>
        </w:rPr>
        <w:t>（五）产品适用的相关标准</w:t>
      </w:r>
    </w:p>
    <w:p w14:paraId="62ACEC79">
      <w:pPr>
        <w:spacing w:line="520" w:lineRule="exact"/>
        <w:ind w:firstLine="640" w:firstLineChars="200"/>
        <w:rPr>
          <w:rFonts w:eastAsia="黑体"/>
          <w:color w:val="000000"/>
          <w:kern w:val="0"/>
          <w:sz w:val="28"/>
          <w:szCs w:val="32"/>
        </w:rPr>
      </w:pPr>
      <w:r>
        <w:rPr>
          <w:rFonts w:eastAsia="仿宋_GB2312"/>
          <w:color w:val="000000"/>
          <w:kern w:val="0"/>
          <w:sz w:val="32"/>
          <w:szCs w:val="32"/>
        </w:rPr>
        <w:t>目前与产品相关的国家标准、行业标准列举如下（表1）</w:t>
      </w:r>
      <w:r>
        <w:rPr>
          <w:rFonts w:eastAsia="仿宋"/>
          <w:color w:val="000000"/>
          <w:kern w:val="0"/>
          <w:sz w:val="32"/>
          <w:szCs w:val="32"/>
        </w:rPr>
        <w:t>：</w:t>
      </w:r>
    </w:p>
    <w:p w14:paraId="6ABE5CC1">
      <w:pPr>
        <w:autoSpaceDE w:val="0"/>
        <w:autoSpaceDN w:val="0"/>
        <w:spacing w:line="520" w:lineRule="exact"/>
        <w:ind w:firstLine="3360" w:firstLineChars="1200"/>
        <w:rPr>
          <w:rFonts w:eastAsia="黑体"/>
          <w:color w:val="000000"/>
          <w:kern w:val="0"/>
          <w:sz w:val="28"/>
          <w:szCs w:val="32"/>
        </w:rPr>
      </w:pPr>
      <w:r>
        <w:rPr>
          <w:rFonts w:eastAsia="黑体"/>
          <w:color w:val="000000"/>
          <w:kern w:val="0"/>
          <w:sz w:val="28"/>
          <w:szCs w:val="32"/>
        </w:rPr>
        <w:t>表1</w:t>
      </w:r>
      <w:r>
        <w:rPr>
          <w:rFonts w:hint="eastAsia" w:eastAsia="黑体"/>
          <w:color w:val="000000"/>
          <w:kern w:val="0"/>
          <w:sz w:val="28"/>
          <w:szCs w:val="32"/>
        </w:rPr>
        <w:t>：</w:t>
      </w:r>
      <w:r>
        <w:rPr>
          <w:rFonts w:eastAsia="黑体"/>
          <w:color w:val="000000"/>
          <w:kern w:val="0"/>
          <w:sz w:val="28"/>
          <w:szCs w:val="32"/>
        </w:rPr>
        <w:t>相关产品标准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5828"/>
      </w:tblGrid>
      <w:tr w14:paraId="7F22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39" w:type="dxa"/>
            <w:tcBorders>
              <w:top w:val="single" w:color="auto" w:sz="4" w:space="0"/>
              <w:left w:val="single" w:color="auto" w:sz="4" w:space="0"/>
              <w:bottom w:val="single" w:color="auto" w:sz="4" w:space="0"/>
              <w:right w:val="single" w:color="auto" w:sz="4" w:space="0"/>
            </w:tcBorders>
          </w:tcPr>
          <w:p w14:paraId="5D4F15BB">
            <w:pPr>
              <w:widowControl/>
              <w:spacing w:line="520" w:lineRule="exact"/>
              <w:jc w:val="center"/>
              <w:rPr>
                <w:rFonts w:eastAsia="仿宋"/>
                <w:sz w:val="28"/>
                <w:szCs w:val="28"/>
              </w:rPr>
            </w:pPr>
            <w:r>
              <w:rPr>
                <w:rFonts w:eastAsia="黑体"/>
                <w:color w:val="000000"/>
                <w:kern w:val="0"/>
                <w:sz w:val="28"/>
                <w:szCs w:val="28"/>
              </w:rPr>
              <w:t>标准编号</w:t>
            </w:r>
          </w:p>
        </w:tc>
        <w:tc>
          <w:tcPr>
            <w:tcW w:w="5828" w:type="dxa"/>
            <w:tcBorders>
              <w:top w:val="single" w:color="auto" w:sz="4" w:space="0"/>
              <w:left w:val="single" w:color="auto" w:sz="4" w:space="0"/>
              <w:bottom w:val="single" w:color="auto" w:sz="4" w:space="0"/>
              <w:right w:val="single" w:color="auto" w:sz="4" w:space="0"/>
            </w:tcBorders>
          </w:tcPr>
          <w:p w14:paraId="5D567499">
            <w:pPr>
              <w:spacing w:line="520" w:lineRule="exact"/>
              <w:ind w:left="2236" w:leftChars="49" w:hanging="2133" w:hangingChars="762"/>
              <w:jc w:val="center"/>
              <w:rPr>
                <w:rFonts w:eastAsia="仿宋"/>
                <w:sz w:val="28"/>
                <w:szCs w:val="28"/>
              </w:rPr>
            </w:pPr>
            <w:r>
              <w:rPr>
                <w:rFonts w:eastAsia="黑体"/>
                <w:color w:val="000000"/>
                <w:kern w:val="0"/>
                <w:sz w:val="28"/>
                <w:szCs w:val="28"/>
              </w:rPr>
              <w:t>标准名称</w:t>
            </w:r>
          </w:p>
        </w:tc>
      </w:tr>
      <w:tr w14:paraId="2B08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39" w:type="dxa"/>
            <w:tcBorders>
              <w:top w:val="single" w:color="auto" w:sz="4" w:space="0"/>
              <w:left w:val="single" w:color="auto" w:sz="4" w:space="0"/>
              <w:bottom w:val="single" w:color="auto" w:sz="4" w:space="0"/>
              <w:right w:val="single" w:color="auto" w:sz="4" w:space="0"/>
            </w:tcBorders>
          </w:tcPr>
          <w:p w14:paraId="0AE287D5">
            <w:pPr>
              <w:widowControl/>
              <w:spacing w:line="440" w:lineRule="exact"/>
              <w:rPr>
                <w:rFonts w:eastAsia="仿宋_GB2312"/>
                <w:sz w:val="28"/>
                <w:szCs w:val="28"/>
              </w:rPr>
            </w:pPr>
            <w:r>
              <w:rPr>
                <w:rFonts w:eastAsia="仿宋_GB2312"/>
                <w:sz w:val="28"/>
                <w:szCs w:val="28"/>
              </w:rPr>
              <w:t>GB 9706.1</w:t>
            </w:r>
          </w:p>
        </w:tc>
        <w:tc>
          <w:tcPr>
            <w:tcW w:w="5828" w:type="dxa"/>
            <w:tcBorders>
              <w:top w:val="single" w:color="auto" w:sz="4" w:space="0"/>
              <w:left w:val="single" w:color="auto" w:sz="4" w:space="0"/>
              <w:bottom w:val="single" w:color="auto" w:sz="4" w:space="0"/>
              <w:right w:val="single" w:color="auto" w:sz="4" w:space="0"/>
            </w:tcBorders>
          </w:tcPr>
          <w:p w14:paraId="048CCC1B">
            <w:pPr>
              <w:spacing w:line="520" w:lineRule="exact"/>
              <w:ind w:left="2271" w:leftChars="-1" w:hanging="2273" w:hangingChars="812"/>
              <w:jc w:val="left"/>
              <w:rPr>
                <w:rFonts w:eastAsia="仿宋_GB2312"/>
                <w:sz w:val="28"/>
                <w:szCs w:val="28"/>
              </w:rPr>
            </w:pPr>
            <w:r>
              <w:rPr>
                <w:rFonts w:eastAsia="仿宋_GB2312"/>
                <w:sz w:val="28"/>
                <w:szCs w:val="28"/>
              </w:rPr>
              <w:t>《医用电气设备 第1部分：安全通用要求》</w:t>
            </w:r>
          </w:p>
        </w:tc>
      </w:tr>
      <w:tr w14:paraId="4DFF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39" w:type="dxa"/>
            <w:tcBorders>
              <w:top w:val="single" w:color="auto" w:sz="4" w:space="0"/>
              <w:left w:val="single" w:color="auto" w:sz="4" w:space="0"/>
              <w:bottom w:val="single" w:color="auto" w:sz="4" w:space="0"/>
              <w:right w:val="single" w:color="auto" w:sz="4" w:space="0"/>
            </w:tcBorders>
          </w:tcPr>
          <w:p w14:paraId="58D42AEB">
            <w:pPr>
              <w:widowControl/>
              <w:spacing w:line="440" w:lineRule="exact"/>
              <w:rPr>
                <w:rFonts w:eastAsia="仿宋_GB2312"/>
                <w:sz w:val="28"/>
                <w:szCs w:val="28"/>
              </w:rPr>
            </w:pPr>
            <w:r>
              <w:rPr>
                <w:rFonts w:eastAsia="仿宋_GB2312"/>
                <w:sz w:val="28"/>
                <w:szCs w:val="28"/>
              </w:rPr>
              <w:t>GB 9706.15</w:t>
            </w:r>
          </w:p>
        </w:tc>
        <w:tc>
          <w:tcPr>
            <w:tcW w:w="5828" w:type="dxa"/>
            <w:tcBorders>
              <w:top w:val="single" w:color="auto" w:sz="4" w:space="0"/>
              <w:left w:val="single" w:color="auto" w:sz="4" w:space="0"/>
              <w:bottom w:val="single" w:color="auto" w:sz="4" w:space="0"/>
              <w:right w:val="single" w:color="auto" w:sz="4" w:space="0"/>
            </w:tcBorders>
          </w:tcPr>
          <w:p w14:paraId="34F7FB31">
            <w:pPr>
              <w:spacing w:line="520" w:lineRule="exact"/>
              <w:ind w:left="2271" w:leftChars="-1" w:hanging="2273" w:hangingChars="812"/>
              <w:jc w:val="left"/>
              <w:rPr>
                <w:rFonts w:eastAsia="仿宋_GB2312"/>
                <w:sz w:val="28"/>
                <w:szCs w:val="28"/>
              </w:rPr>
            </w:pPr>
            <w:r>
              <w:rPr>
                <w:rFonts w:eastAsia="仿宋_GB2312"/>
                <w:sz w:val="28"/>
                <w:szCs w:val="28"/>
              </w:rPr>
              <w:t>《并列标准 医用电气系统安全要求》</w:t>
            </w:r>
          </w:p>
        </w:tc>
      </w:tr>
      <w:tr w14:paraId="6661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39" w:type="dxa"/>
            <w:tcBorders>
              <w:top w:val="single" w:color="auto" w:sz="4" w:space="0"/>
              <w:left w:val="single" w:color="auto" w:sz="4" w:space="0"/>
              <w:bottom w:val="single" w:color="auto" w:sz="4" w:space="0"/>
              <w:right w:val="single" w:color="auto" w:sz="4" w:space="0"/>
            </w:tcBorders>
          </w:tcPr>
          <w:p w14:paraId="09F6DA4C">
            <w:pPr>
              <w:widowControl/>
              <w:spacing w:line="440" w:lineRule="exact"/>
              <w:rPr>
                <w:rFonts w:eastAsia="仿宋_GB2312"/>
                <w:sz w:val="28"/>
                <w:szCs w:val="28"/>
              </w:rPr>
            </w:pPr>
            <w:r>
              <w:rPr>
                <w:rFonts w:eastAsia="仿宋_GB2312"/>
                <w:sz w:val="28"/>
                <w:szCs w:val="28"/>
              </w:rPr>
              <w:t>GB 24436</w:t>
            </w:r>
          </w:p>
        </w:tc>
        <w:tc>
          <w:tcPr>
            <w:tcW w:w="5828" w:type="dxa"/>
            <w:tcBorders>
              <w:top w:val="single" w:color="auto" w:sz="4" w:space="0"/>
              <w:left w:val="single" w:color="auto" w:sz="4" w:space="0"/>
              <w:bottom w:val="single" w:color="auto" w:sz="4" w:space="0"/>
              <w:right w:val="single" w:color="auto" w:sz="4" w:space="0"/>
            </w:tcBorders>
          </w:tcPr>
          <w:p w14:paraId="68C3CA6E">
            <w:pPr>
              <w:spacing w:line="520" w:lineRule="exact"/>
              <w:ind w:left="2271" w:leftChars="-1" w:hanging="2273" w:hangingChars="812"/>
              <w:jc w:val="left"/>
              <w:rPr>
                <w:rFonts w:eastAsia="仿宋_GB2312"/>
                <w:sz w:val="28"/>
                <w:szCs w:val="28"/>
              </w:rPr>
            </w:pPr>
            <w:r>
              <w:rPr>
                <w:rFonts w:eastAsia="仿宋_GB2312"/>
                <w:sz w:val="28"/>
                <w:szCs w:val="28"/>
              </w:rPr>
              <w:t>《康复训练器械 通用技术要求》</w:t>
            </w:r>
          </w:p>
        </w:tc>
      </w:tr>
      <w:tr w14:paraId="27DF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39" w:type="dxa"/>
            <w:tcBorders>
              <w:top w:val="single" w:color="auto" w:sz="4" w:space="0"/>
              <w:left w:val="single" w:color="auto" w:sz="4" w:space="0"/>
              <w:bottom w:val="single" w:color="auto" w:sz="4" w:space="0"/>
              <w:right w:val="single" w:color="auto" w:sz="4" w:space="0"/>
            </w:tcBorders>
          </w:tcPr>
          <w:p w14:paraId="6EC8BDC9">
            <w:pPr>
              <w:widowControl/>
              <w:spacing w:line="440" w:lineRule="exact"/>
              <w:rPr>
                <w:rFonts w:eastAsia="仿宋_GB2312"/>
                <w:sz w:val="28"/>
                <w:szCs w:val="28"/>
              </w:rPr>
            </w:pPr>
            <w:r>
              <w:rPr>
                <w:rFonts w:eastAsia="仿宋_GB2312"/>
                <w:sz w:val="28"/>
                <w:szCs w:val="28"/>
              </w:rPr>
              <w:t>GB/T 14710</w:t>
            </w:r>
          </w:p>
        </w:tc>
        <w:tc>
          <w:tcPr>
            <w:tcW w:w="5828" w:type="dxa"/>
            <w:tcBorders>
              <w:top w:val="single" w:color="auto" w:sz="4" w:space="0"/>
              <w:left w:val="single" w:color="auto" w:sz="4" w:space="0"/>
              <w:bottom w:val="single" w:color="auto" w:sz="4" w:space="0"/>
              <w:right w:val="single" w:color="auto" w:sz="4" w:space="0"/>
            </w:tcBorders>
          </w:tcPr>
          <w:p w14:paraId="27DD97DF">
            <w:pPr>
              <w:spacing w:line="520" w:lineRule="exact"/>
              <w:ind w:left="2271" w:leftChars="-1" w:hanging="2273" w:hangingChars="812"/>
              <w:jc w:val="left"/>
              <w:rPr>
                <w:rFonts w:eastAsia="仿宋_GB2312"/>
                <w:sz w:val="28"/>
                <w:szCs w:val="28"/>
              </w:rPr>
            </w:pPr>
            <w:r>
              <w:rPr>
                <w:rFonts w:eastAsia="仿宋_GB2312"/>
                <w:sz w:val="28"/>
                <w:szCs w:val="28"/>
              </w:rPr>
              <w:t>《医用电气环境要求及试验方法》</w:t>
            </w:r>
          </w:p>
        </w:tc>
      </w:tr>
      <w:tr w14:paraId="003F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39" w:type="dxa"/>
            <w:tcBorders>
              <w:top w:val="single" w:color="auto" w:sz="4" w:space="0"/>
              <w:left w:val="single" w:color="auto" w:sz="4" w:space="0"/>
              <w:bottom w:val="single" w:color="auto" w:sz="4" w:space="0"/>
              <w:right w:val="single" w:color="auto" w:sz="4" w:space="0"/>
            </w:tcBorders>
          </w:tcPr>
          <w:p w14:paraId="12DA1EED">
            <w:pPr>
              <w:widowControl/>
              <w:spacing w:line="440" w:lineRule="exact"/>
              <w:rPr>
                <w:rFonts w:eastAsia="仿宋_GB2312"/>
                <w:sz w:val="28"/>
                <w:szCs w:val="28"/>
              </w:rPr>
            </w:pPr>
            <w:r>
              <w:rPr>
                <w:rFonts w:hint="eastAsia" w:eastAsia="仿宋_GB2312"/>
                <w:sz w:val="28"/>
                <w:szCs w:val="28"/>
              </w:rPr>
              <w:t>GB/T 16886.1</w:t>
            </w:r>
          </w:p>
        </w:tc>
        <w:tc>
          <w:tcPr>
            <w:tcW w:w="5828" w:type="dxa"/>
            <w:tcBorders>
              <w:top w:val="single" w:color="auto" w:sz="4" w:space="0"/>
              <w:left w:val="single" w:color="auto" w:sz="4" w:space="0"/>
              <w:bottom w:val="single" w:color="auto" w:sz="4" w:space="0"/>
              <w:right w:val="single" w:color="auto" w:sz="4" w:space="0"/>
            </w:tcBorders>
            <w:vAlign w:val="center"/>
          </w:tcPr>
          <w:p w14:paraId="688D2DBB">
            <w:pPr>
              <w:spacing w:line="520" w:lineRule="exact"/>
              <w:rPr>
                <w:rFonts w:eastAsia="仿宋_GB2312"/>
                <w:sz w:val="28"/>
                <w:szCs w:val="28"/>
              </w:rPr>
            </w:pPr>
            <w:r>
              <w:rPr>
                <w:rFonts w:hint="eastAsia" w:eastAsia="仿宋_GB2312"/>
                <w:sz w:val="28"/>
                <w:szCs w:val="28"/>
              </w:rPr>
              <w:t>《医疗器械生物学评价 第1部分 风险管理过程中的评价与试验》</w:t>
            </w:r>
          </w:p>
        </w:tc>
      </w:tr>
      <w:tr w14:paraId="5191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39" w:type="dxa"/>
            <w:tcBorders>
              <w:top w:val="single" w:color="auto" w:sz="4" w:space="0"/>
              <w:left w:val="single" w:color="auto" w:sz="4" w:space="0"/>
              <w:bottom w:val="single" w:color="auto" w:sz="4" w:space="0"/>
              <w:right w:val="single" w:color="auto" w:sz="4" w:space="0"/>
            </w:tcBorders>
          </w:tcPr>
          <w:p w14:paraId="03B2C1DB">
            <w:pPr>
              <w:widowControl/>
              <w:spacing w:line="440" w:lineRule="exact"/>
              <w:rPr>
                <w:rFonts w:eastAsia="仿宋_GB2312"/>
                <w:sz w:val="28"/>
                <w:szCs w:val="28"/>
              </w:rPr>
            </w:pPr>
            <w:r>
              <w:rPr>
                <w:rFonts w:hint="eastAsia" w:eastAsia="仿宋_GB2312"/>
                <w:sz w:val="28"/>
                <w:szCs w:val="28"/>
              </w:rPr>
              <w:t>GB 17498</w:t>
            </w:r>
            <w:r>
              <w:rPr>
                <w:rFonts w:eastAsia="仿宋_GB2312"/>
                <w:sz w:val="28"/>
                <w:szCs w:val="28"/>
              </w:rPr>
              <w:t>.</w:t>
            </w:r>
            <w:r>
              <w:rPr>
                <w:rFonts w:hint="eastAsia" w:eastAsia="仿宋_GB2312"/>
                <w:sz w:val="28"/>
                <w:szCs w:val="28"/>
              </w:rPr>
              <w:t>6</w:t>
            </w:r>
          </w:p>
        </w:tc>
        <w:tc>
          <w:tcPr>
            <w:tcW w:w="5828" w:type="dxa"/>
            <w:tcBorders>
              <w:top w:val="single" w:color="auto" w:sz="4" w:space="0"/>
              <w:left w:val="single" w:color="auto" w:sz="4" w:space="0"/>
              <w:bottom w:val="single" w:color="auto" w:sz="4" w:space="0"/>
              <w:right w:val="single" w:color="auto" w:sz="4" w:space="0"/>
            </w:tcBorders>
          </w:tcPr>
          <w:p w14:paraId="1F2C2196">
            <w:pPr>
              <w:spacing w:line="520" w:lineRule="exact"/>
              <w:rPr>
                <w:rFonts w:eastAsia="仿宋_GB2312"/>
                <w:sz w:val="28"/>
                <w:szCs w:val="28"/>
              </w:rPr>
            </w:pPr>
            <w:r>
              <w:rPr>
                <w:rFonts w:eastAsia="仿宋_GB2312"/>
                <w:sz w:val="28"/>
                <w:szCs w:val="28"/>
              </w:rPr>
              <w:t>固定式健身器材 第6部分：跑步机 附加的特殊安全要求和试验方法</w:t>
            </w:r>
          </w:p>
        </w:tc>
      </w:tr>
      <w:tr w14:paraId="0B2E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39" w:type="dxa"/>
            <w:tcBorders>
              <w:top w:val="single" w:color="auto" w:sz="4" w:space="0"/>
              <w:left w:val="single" w:color="auto" w:sz="4" w:space="0"/>
              <w:bottom w:val="single" w:color="auto" w:sz="4" w:space="0"/>
              <w:right w:val="single" w:color="auto" w:sz="4" w:space="0"/>
            </w:tcBorders>
          </w:tcPr>
          <w:p w14:paraId="31519DF7">
            <w:pPr>
              <w:widowControl/>
              <w:spacing w:line="440" w:lineRule="exact"/>
              <w:rPr>
                <w:rFonts w:eastAsia="仿宋_GB2312"/>
                <w:sz w:val="28"/>
                <w:szCs w:val="28"/>
              </w:rPr>
            </w:pPr>
            <w:r>
              <w:rPr>
                <w:rFonts w:hint="eastAsia" w:eastAsia="仿宋_GB2312"/>
                <w:sz w:val="28"/>
                <w:szCs w:val="28"/>
              </w:rPr>
              <w:t>GB 25000.1</w:t>
            </w:r>
          </w:p>
        </w:tc>
        <w:tc>
          <w:tcPr>
            <w:tcW w:w="5828" w:type="dxa"/>
            <w:tcBorders>
              <w:top w:val="single" w:color="auto" w:sz="4" w:space="0"/>
              <w:left w:val="single" w:color="auto" w:sz="4" w:space="0"/>
              <w:bottom w:val="single" w:color="auto" w:sz="4" w:space="0"/>
              <w:right w:val="single" w:color="auto" w:sz="4" w:space="0"/>
            </w:tcBorders>
          </w:tcPr>
          <w:p w14:paraId="78CD9CA4">
            <w:pPr>
              <w:spacing w:line="520" w:lineRule="exact"/>
              <w:jc w:val="left"/>
              <w:rPr>
                <w:rFonts w:eastAsia="仿宋_GB2312"/>
                <w:sz w:val="28"/>
                <w:szCs w:val="28"/>
              </w:rPr>
            </w:pPr>
            <w:r>
              <w:rPr>
                <w:rFonts w:ascii="Times New Roman" w:hAnsi="Times New Roman" w:eastAsia="仿宋_GB2312"/>
                <w:sz w:val="28"/>
                <w:szCs w:val="28"/>
              </w:rPr>
              <w:t>软件工程 软件产品质量要求与评价（SQuaRE） SQuaRE指南</w:t>
            </w:r>
          </w:p>
        </w:tc>
      </w:tr>
      <w:tr w14:paraId="6B8B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39" w:type="dxa"/>
            <w:tcBorders>
              <w:top w:val="single" w:color="auto" w:sz="4" w:space="0"/>
              <w:left w:val="single" w:color="auto" w:sz="4" w:space="0"/>
              <w:bottom w:val="single" w:color="auto" w:sz="4" w:space="0"/>
              <w:right w:val="single" w:color="auto" w:sz="4" w:space="0"/>
            </w:tcBorders>
          </w:tcPr>
          <w:p w14:paraId="73EE95A3">
            <w:pPr>
              <w:widowControl/>
              <w:spacing w:line="440" w:lineRule="exact"/>
              <w:rPr>
                <w:rFonts w:eastAsia="仿宋_GB2312"/>
                <w:sz w:val="28"/>
                <w:szCs w:val="28"/>
              </w:rPr>
            </w:pPr>
            <w:r>
              <w:rPr>
                <w:rFonts w:hint="eastAsia" w:eastAsia="仿宋_GB2312"/>
                <w:sz w:val="28"/>
                <w:szCs w:val="28"/>
              </w:rPr>
              <w:t>YY 0900</w:t>
            </w:r>
          </w:p>
        </w:tc>
        <w:tc>
          <w:tcPr>
            <w:tcW w:w="5828" w:type="dxa"/>
            <w:tcBorders>
              <w:top w:val="single" w:color="auto" w:sz="4" w:space="0"/>
              <w:left w:val="single" w:color="auto" w:sz="4" w:space="0"/>
              <w:bottom w:val="single" w:color="auto" w:sz="4" w:space="0"/>
              <w:right w:val="single" w:color="auto" w:sz="4" w:space="0"/>
            </w:tcBorders>
          </w:tcPr>
          <w:p w14:paraId="17EF3DEA">
            <w:pPr>
              <w:spacing w:line="520" w:lineRule="exact"/>
              <w:ind w:left="2271" w:leftChars="-1" w:hanging="2273" w:hangingChars="812"/>
              <w:jc w:val="left"/>
              <w:rPr>
                <w:rFonts w:eastAsia="仿宋_GB2312"/>
                <w:sz w:val="28"/>
                <w:szCs w:val="28"/>
              </w:rPr>
            </w:pPr>
            <w:r>
              <w:rPr>
                <w:rFonts w:ascii="Times New Roman" w:hAnsi="Times New Roman" w:eastAsia="仿宋_GB2312"/>
                <w:sz w:val="28"/>
                <w:szCs w:val="28"/>
              </w:rPr>
              <w:t>减重步行训练台</w:t>
            </w:r>
          </w:p>
        </w:tc>
      </w:tr>
      <w:tr w14:paraId="0C15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39" w:type="dxa"/>
            <w:tcBorders>
              <w:top w:val="single" w:color="auto" w:sz="4" w:space="0"/>
              <w:left w:val="single" w:color="auto" w:sz="4" w:space="0"/>
              <w:bottom w:val="single" w:color="auto" w:sz="4" w:space="0"/>
              <w:right w:val="single" w:color="auto" w:sz="4" w:space="0"/>
            </w:tcBorders>
          </w:tcPr>
          <w:p w14:paraId="7E76D137">
            <w:pPr>
              <w:widowControl/>
              <w:spacing w:line="440" w:lineRule="exact"/>
              <w:rPr>
                <w:rFonts w:eastAsia="仿宋_GB2312"/>
                <w:sz w:val="28"/>
                <w:szCs w:val="28"/>
              </w:rPr>
            </w:pPr>
            <w:r>
              <w:rPr>
                <w:rFonts w:hint="eastAsia" w:eastAsia="仿宋_GB2312"/>
                <w:sz w:val="28"/>
                <w:szCs w:val="28"/>
              </w:rPr>
              <w:t>YY 0997</w:t>
            </w:r>
          </w:p>
        </w:tc>
        <w:tc>
          <w:tcPr>
            <w:tcW w:w="5828" w:type="dxa"/>
            <w:tcBorders>
              <w:top w:val="single" w:color="auto" w:sz="4" w:space="0"/>
              <w:left w:val="single" w:color="auto" w:sz="4" w:space="0"/>
              <w:bottom w:val="single" w:color="auto" w:sz="4" w:space="0"/>
              <w:right w:val="single" w:color="auto" w:sz="4" w:space="0"/>
            </w:tcBorders>
          </w:tcPr>
          <w:p w14:paraId="3C4BAAEF">
            <w:pPr>
              <w:spacing w:line="520" w:lineRule="exact"/>
              <w:ind w:left="2271" w:leftChars="-1" w:hanging="2273" w:hangingChars="812"/>
              <w:jc w:val="left"/>
              <w:rPr>
                <w:rFonts w:eastAsia="仿宋_GB2312"/>
                <w:sz w:val="28"/>
                <w:szCs w:val="28"/>
              </w:rPr>
            </w:pPr>
            <w:r>
              <w:rPr>
                <w:rFonts w:hint="eastAsia" w:eastAsia="仿宋_GB2312"/>
                <w:sz w:val="28"/>
                <w:szCs w:val="28"/>
              </w:rPr>
              <w:t>肘、膝关节被动运动设备</w:t>
            </w:r>
          </w:p>
        </w:tc>
      </w:tr>
      <w:tr w14:paraId="2832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39" w:type="dxa"/>
            <w:tcBorders>
              <w:top w:val="single" w:color="auto" w:sz="4" w:space="0"/>
              <w:left w:val="single" w:color="auto" w:sz="4" w:space="0"/>
              <w:bottom w:val="single" w:color="auto" w:sz="4" w:space="0"/>
              <w:right w:val="single" w:color="auto" w:sz="4" w:space="0"/>
            </w:tcBorders>
          </w:tcPr>
          <w:p w14:paraId="74BEB554">
            <w:pPr>
              <w:widowControl/>
              <w:spacing w:line="440" w:lineRule="exact"/>
              <w:rPr>
                <w:rFonts w:eastAsia="仿宋_GB2312"/>
                <w:sz w:val="28"/>
                <w:szCs w:val="28"/>
              </w:rPr>
            </w:pPr>
            <w:bookmarkStart w:id="2" w:name="OLE_LINK16"/>
            <w:r>
              <w:rPr>
                <w:rFonts w:eastAsia="仿宋_GB2312"/>
                <w:sz w:val="28"/>
                <w:szCs w:val="28"/>
              </w:rPr>
              <w:t xml:space="preserve">YY </w:t>
            </w:r>
            <w:bookmarkEnd w:id="2"/>
            <w:r>
              <w:rPr>
                <w:rFonts w:eastAsia="仿宋_GB2312"/>
                <w:sz w:val="28"/>
                <w:szCs w:val="28"/>
              </w:rPr>
              <w:t>0505</w:t>
            </w:r>
          </w:p>
        </w:tc>
        <w:tc>
          <w:tcPr>
            <w:tcW w:w="5828" w:type="dxa"/>
            <w:tcBorders>
              <w:top w:val="single" w:color="auto" w:sz="4" w:space="0"/>
              <w:left w:val="single" w:color="auto" w:sz="4" w:space="0"/>
              <w:bottom w:val="single" w:color="auto" w:sz="4" w:space="0"/>
              <w:right w:val="single" w:color="auto" w:sz="4" w:space="0"/>
            </w:tcBorders>
          </w:tcPr>
          <w:p w14:paraId="6C66438C">
            <w:pPr>
              <w:spacing w:line="520" w:lineRule="exact"/>
              <w:ind w:left="2271" w:leftChars="-1" w:hanging="2273" w:hangingChars="812"/>
              <w:jc w:val="left"/>
              <w:rPr>
                <w:rFonts w:eastAsia="仿宋_GB2312"/>
                <w:sz w:val="28"/>
                <w:szCs w:val="28"/>
              </w:rPr>
            </w:pPr>
            <w:r>
              <w:rPr>
                <w:rFonts w:eastAsia="仿宋_GB2312"/>
                <w:sz w:val="28"/>
                <w:szCs w:val="28"/>
              </w:rPr>
              <w:t>《医用电气设备 第1-2部分：安全通用要求并</w:t>
            </w:r>
          </w:p>
          <w:p w14:paraId="7A44712D">
            <w:pPr>
              <w:spacing w:line="520" w:lineRule="exact"/>
              <w:ind w:left="2271" w:leftChars="-1" w:hanging="2273" w:hangingChars="812"/>
              <w:jc w:val="left"/>
              <w:rPr>
                <w:rFonts w:eastAsia="仿宋_GB2312"/>
                <w:sz w:val="28"/>
                <w:szCs w:val="28"/>
              </w:rPr>
            </w:pPr>
            <w:r>
              <w:rPr>
                <w:rFonts w:eastAsia="仿宋_GB2312"/>
                <w:sz w:val="28"/>
                <w:szCs w:val="28"/>
              </w:rPr>
              <w:t>列标准：电磁兼容 要求和试验</w:t>
            </w:r>
            <w:bookmarkStart w:id="3" w:name="OLE_LINK17"/>
            <w:bookmarkStart w:id="4" w:name="OLE_LINK18"/>
            <w:r>
              <w:rPr>
                <w:rFonts w:eastAsia="仿宋_GB2312"/>
                <w:sz w:val="28"/>
                <w:szCs w:val="28"/>
              </w:rPr>
              <w:t>》</w:t>
            </w:r>
            <w:bookmarkEnd w:id="3"/>
            <w:bookmarkEnd w:id="4"/>
          </w:p>
        </w:tc>
      </w:tr>
      <w:tr w14:paraId="473C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39" w:type="dxa"/>
            <w:tcBorders>
              <w:top w:val="single" w:color="auto" w:sz="4" w:space="0"/>
              <w:left w:val="single" w:color="auto" w:sz="4" w:space="0"/>
              <w:bottom w:val="single" w:color="auto" w:sz="4" w:space="0"/>
              <w:right w:val="single" w:color="auto" w:sz="4" w:space="0"/>
            </w:tcBorders>
          </w:tcPr>
          <w:p w14:paraId="45C8E4B6">
            <w:pPr>
              <w:widowControl/>
              <w:spacing w:line="440" w:lineRule="exact"/>
              <w:rPr>
                <w:rFonts w:eastAsia="仿宋_GB2312"/>
                <w:color w:val="000000"/>
                <w:kern w:val="0"/>
                <w:sz w:val="28"/>
                <w:szCs w:val="28"/>
              </w:rPr>
            </w:pPr>
            <w:r>
              <w:rPr>
                <w:rFonts w:eastAsia="仿宋_GB2312"/>
                <w:sz w:val="28"/>
                <w:szCs w:val="28"/>
              </w:rPr>
              <w:t>YY/T 0316</w:t>
            </w:r>
          </w:p>
        </w:tc>
        <w:tc>
          <w:tcPr>
            <w:tcW w:w="5828" w:type="dxa"/>
            <w:tcBorders>
              <w:top w:val="single" w:color="auto" w:sz="4" w:space="0"/>
              <w:left w:val="single" w:color="auto" w:sz="4" w:space="0"/>
              <w:bottom w:val="single" w:color="auto" w:sz="4" w:space="0"/>
              <w:right w:val="single" w:color="auto" w:sz="4" w:space="0"/>
            </w:tcBorders>
          </w:tcPr>
          <w:p w14:paraId="12133968">
            <w:pPr>
              <w:spacing w:line="520" w:lineRule="exact"/>
              <w:ind w:left="2236" w:leftChars="49" w:hanging="2133" w:hangingChars="762"/>
              <w:jc w:val="left"/>
              <w:rPr>
                <w:rFonts w:eastAsia="仿宋_GB2312"/>
                <w:color w:val="000000"/>
                <w:kern w:val="0"/>
                <w:sz w:val="28"/>
                <w:szCs w:val="28"/>
              </w:rPr>
            </w:pPr>
            <w:r>
              <w:rPr>
                <w:rFonts w:eastAsia="仿宋_GB2312"/>
                <w:sz w:val="28"/>
                <w:szCs w:val="28"/>
              </w:rPr>
              <w:t>《医疗器械风险管理对医疗器械的应用》</w:t>
            </w:r>
          </w:p>
        </w:tc>
      </w:tr>
      <w:tr w14:paraId="6755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39" w:type="dxa"/>
            <w:tcBorders>
              <w:top w:val="single" w:color="auto" w:sz="4" w:space="0"/>
              <w:left w:val="single" w:color="auto" w:sz="4" w:space="0"/>
              <w:bottom w:val="single" w:color="auto" w:sz="4" w:space="0"/>
              <w:right w:val="single" w:color="auto" w:sz="4" w:space="0"/>
            </w:tcBorders>
          </w:tcPr>
          <w:p w14:paraId="3736F0B3">
            <w:pPr>
              <w:widowControl/>
              <w:spacing w:line="440" w:lineRule="exact"/>
              <w:rPr>
                <w:rFonts w:eastAsia="仿宋_GB2312"/>
                <w:sz w:val="28"/>
                <w:szCs w:val="28"/>
              </w:rPr>
            </w:pPr>
            <w:r>
              <w:rPr>
                <w:rFonts w:eastAsia="仿宋_GB2312"/>
                <w:sz w:val="28"/>
                <w:szCs w:val="28"/>
              </w:rPr>
              <w:t>YY/T 0466.1</w:t>
            </w:r>
          </w:p>
        </w:tc>
        <w:tc>
          <w:tcPr>
            <w:tcW w:w="5828" w:type="dxa"/>
            <w:tcBorders>
              <w:top w:val="single" w:color="auto" w:sz="4" w:space="0"/>
              <w:left w:val="single" w:color="auto" w:sz="4" w:space="0"/>
              <w:bottom w:val="single" w:color="auto" w:sz="4" w:space="0"/>
              <w:right w:val="single" w:color="auto" w:sz="4" w:space="0"/>
            </w:tcBorders>
          </w:tcPr>
          <w:p w14:paraId="254C6107">
            <w:pPr>
              <w:spacing w:line="520" w:lineRule="exact"/>
              <w:ind w:left="2271" w:leftChars="-1" w:hanging="2273" w:hangingChars="812"/>
              <w:jc w:val="left"/>
              <w:rPr>
                <w:rFonts w:eastAsia="仿宋_GB2312"/>
                <w:sz w:val="28"/>
                <w:szCs w:val="28"/>
              </w:rPr>
            </w:pPr>
            <w:r>
              <w:rPr>
                <w:rFonts w:eastAsia="仿宋_GB2312"/>
                <w:sz w:val="28"/>
                <w:szCs w:val="28"/>
              </w:rPr>
              <w:t>《医疗器械 用于医疗器械标签、标记和提供信</w:t>
            </w:r>
          </w:p>
          <w:p w14:paraId="2401B0D5">
            <w:pPr>
              <w:spacing w:line="520" w:lineRule="exact"/>
              <w:ind w:left="2236" w:leftChars="49" w:hanging="2133" w:hangingChars="762"/>
              <w:jc w:val="left"/>
              <w:rPr>
                <w:rFonts w:eastAsia="仿宋_GB2312"/>
                <w:sz w:val="28"/>
                <w:szCs w:val="28"/>
              </w:rPr>
            </w:pPr>
            <w:r>
              <w:rPr>
                <w:rFonts w:eastAsia="仿宋_GB2312"/>
                <w:sz w:val="28"/>
                <w:szCs w:val="28"/>
              </w:rPr>
              <w:t>息的符号 第1部分：通用要求》</w:t>
            </w:r>
          </w:p>
        </w:tc>
      </w:tr>
    </w:tbl>
    <w:p w14:paraId="4DBED98A">
      <w:pPr>
        <w:autoSpaceDE w:val="0"/>
        <w:autoSpaceDN w:val="0"/>
        <w:spacing w:line="520" w:lineRule="exact"/>
        <w:ind w:firstLine="640" w:firstLineChars="200"/>
        <w:rPr>
          <w:rFonts w:eastAsia="仿宋"/>
          <w:color w:val="000000"/>
          <w:kern w:val="0"/>
          <w:sz w:val="32"/>
          <w:szCs w:val="32"/>
        </w:rPr>
      </w:pPr>
    </w:p>
    <w:p w14:paraId="1AF695E3">
      <w:pPr>
        <w:autoSpaceDE w:val="0"/>
        <w:autoSpaceDN w:val="0"/>
        <w:spacing w:line="520" w:lineRule="exact"/>
        <w:ind w:firstLine="640" w:firstLineChars="200"/>
        <w:rPr>
          <w:rFonts w:eastAsia="仿宋_GB2312"/>
          <w:color w:val="000000"/>
          <w:kern w:val="0"/>
          <w:sz w:val="32"/>
          <w:szCs w:val="32"/>
        </w:rPr>
      </w:pPr>
      <w:r>
        <w:rPr>
          <w:rFonts w:eastAsia="仿宋_GB2312"/>
          <w:color w:val="000000"/>
          <w:kern w:val="0"/>
          <w:sz w:val="32"/>
          <w:szCs w:val="32"/>
        </w:rPr>
        <w:t>上述标准包括了产品经常涉及的标准。有的企业还会根据产品的特点引用一些行业外的标准和一些较为特殊的标准。</w:t>
      </w:r>
    </w:p>
    <w:p w14:paraId="47AD3560">
      <w:pPr>
        <w:autoSpaceDE w:val="0"/>
        <w:autoSpaceDN w:val="0"/>
        <w:spacing w:line="520" w:lineRule="exact"/>
        <w:ind w:firstLine="640" w:firstLineChars="200"/>
        <w:rPr>
          <w:rFonts w:eastAsia="仿宋_GB2312"/>
          <w:color w:val="000000"/>
          <w:kern w:val="0"/>
          <w:sz w:val="32"/>
          <w:szCs w:val="32"/>
        </w:rPr>
      </w:pPr>
      <w:r>
        <w:rPr>
          <w:rFonts w:eastAsia="仿宋_GB2312"/>
          <w:color w:val="000000"/>
          <w:kern w:val="0"/>
          <w:sz w:val="32"/>
          <w:szCs w:val="32"/>
        </w:rPr>
        <w:t>产品适用及引用标准的审查可以分两步来进行。首先对引用标准的齐全性和适宜性进行审查，也就是在编写产品技术要求时是否对与产品相关的国家标准、行业标准进行了引用，以及引用是否准确。其次对引用标准的采纳情况进行审查，即所引用标准的条款要求，是否在产品技术要求中进行了实质性条款引用。</w:t>
      </w:r>
    </w:p>
    <w:p w14:paraId="2DEC69B7">
      <w:pPr>
        <w:autoSpaceDE w:val="0"/>
        <w:autoSpaceDN w:val="0"/>
        <w:spacing w:line="520" w:lineRule="exact"/>
        <w:ind w:firstLine="640" w:firstLineChars="200"/>
        <w:rPr>
          <w:rFonts w:eastAsia="仿宋_GB2312"/>
          <w:color w:val="000000"/>
          <w:kern w:val="0"/>
          <w:sz w:val="32"/>
          <w:szCs w:val="32"/>
        </w:rPr>
      </w:pPr>
      <w:r>
        <w:rPr>
          <w:rFonts w:eastAsia="仿宋_GB2312"/>
          <w:color w:val="000000"/>
          <w:kern w:val="0"/>
          <w:sz w:val="32"/>
          <w:szCs w:val="32"/>
        </w:rPr>
        <w:t>如有新版强制性国家标准、行业标准发布实施，产品性能指标等要求应执行最新版本的国家标准、行业标准。</w:t>
      </w:r>
    </w:p>
    <w:p w14:paraId="7CE886EB">
      <w:pPr>
        <w:spacing w:line="520" w:lineRule="exact"/>
        <w:ind w:firstLine="640" w:firstLineChars="200"/>
        <w:outlineLvl w:val="1"/>
        <w:rPr>
          <w:rFonts w:eastAsia="楷体_GB2312"/>
          <w:color w:val="000000"/>
          <w:sz w:val="32"/>
          <w:szCs w:val="32"/>
        </w:rPr>
      </w:pPr>
      <w:r>
        <w:rPr>
          <w:rFonts w:eastAsia="楷体_GB2312"/>
          <w:color w:val="000000"/>
          <w:sz w:val="32"/>
          <w:szCs w:val="32"/>
        </w:rPr>
        <w:t>（六）产品的适用范围/预期用途、禁忌症</w:t>
      </w:r>
    </w:p>
    <w:p w14:paraId="2CCC2C94">
      <w:pPr>
        <w:spacing w:line="520" w:lineRule="exact"/>
        <w:ind w:firstLine="640" w:firstLineChars="200"/>
        <w:outlineLvl w:val="2"/>
        <w:rPr>
          <w:rFonts w:eastAsia="仿宋_GB2312"/>
          <w:sz w:val="32"/>
          <w:szCs w:val="32"/>
        </w:rPr>
      </w:pPr>
      <w:r>
        <w:rPr>
          <w:rFonts w:eastAsia="仿宋"/>
          <w:sz w:val="32"/>
          <w:szCs w:val="32"/>
        </w:rPr>
        <w:t>1.</w:t>
      </w:r>
      <w:r>
        <w:rPr>
          <w:rFonts w:eastAsia="仿宋_GB2312"/>
          <w:sz w:val="32"/>
          <w:szCs w:val="32"/>
        </w:rPr>
        <w:t>适用范围</w:t>
      </w:r>
    </w:p>
    <w:p w14:paraId="63400DA0">
      <w:pPr>
        <w:spacing w:line="520" w:lineRule="exact"/>
        <w:ind w:firstLine="640" w:firstLineChars="200"/>
        <w:rPr>
          <w:rFonts w:eastAsia="仿宋_GB2312"/>
          <w:kern w:val="0"/>
          <w:sz w:val="32"/>
          <w:szCs w:val="32"/>
        </w:rPr>
      </w:pPr>
      <w:r>
        <w:rPr>
          <w:rFonts w:eastAsia="仿宋_GB2312"/>
          <w:color w:val="000000"/>
          <w:kern w:val="0"/>
          <w:sz w:val="32"/>
          <w:szCs w:val="32"/>
        </w:rPr>
        <w:t>本产品供医疗机构、康复机构中</w:t>
      </w:r>
      <w:r>
        <w:rPr>
          <w:rFonts w:eastAsia="仿宋_GB2312"/>
          <w:kern w:val="0"/>
          <w:sz w:val="32"/>
          <w:szCs w:val="32"/>
        </w:rPr>
        <w:t>具备相关专业知识的操作者使用，</w:t>
      </w:r>
      <w:r>
        <w:rPr>
          <w:rFonts w:eastAsia="仿宋_GB2312"/>
          <w:sz w:val="32"/>
        </w:rPr>
        <w:t>用于对</w:t>
      </w:r>
      <w:r>
        <w:rPr>
          <w:rFonts w:hint="eastAsia" w:eastAsia="仿宋_GB2312"/>
          <w:sz w:val="32"/>
        </w:rPr>
        <w:t>下</w:t>
      </w:r>
      <w:r>
        <w:rPr>
          <w:rFonts w:eastAsia="仿宋_GB2312"/>
          <w:kern w:val="0"/>
          <w:sz w:val="32"/>
          <w:szCs w:val="32"/>
        </w:rPr>
        <w:t>肢</w:t>
      </w:r>
      <w:r>
        <w:rPr>
          <w:rFonts w:hint="eastAsia" w:eastAsia="仿宋_GB2312"/>
          <w:kern w:val="0"/>
          <w:sz w:val="32"/>
          <w:szCs w:val="32"/>
        </w:rPr>
        <w:t>步行障碍患者进行步态</w:t>
      </w:r>
      <w:r>
        <w:rPr>
          <w:rFonts w:eastAsia="仿宋_GB2312"/>
          <w:sz w:val="32"/>
        </w:rPr>
        <w:t>康复训练</w:t>
      </w:r>
      <w:r>
        <w:rPr>
          <w:rFonts w:hint="eastAsia" w:eastAsia="仿宋_GB2312"/>
          <w:sz w:val="32"/>
        </w:rPr>
        <w:t>与评估</w:t>
      </w:r>
      <w:r>
        <w:rPr>
          <w:rFonts w:eastAsia="仿宋_GB2312"/>
          <w:sz w:val="32"/>
        </w:rPr>
        <w:t>。</w:t>
      </w:r>
    </w:p>
    <w:p w14:paraId="4E0439B7">
      <w:pPr>
        <w:spacing w:line="520" w:lineRule="exact"/>
        <w:ind w:firstLine="640" w:firstLineChars="200"/>
        <w:outlineLvl w:val="2"/>
        <w:rPr>
          <w:rFonts w:eastAsia="仿宋_GB2312"/>
          <w:sz w:val="32"/>
          <w:szCs w:val="32"/>
        </w:rPr>
      </w:pPr>
      <w:r>
        <w:rPr>
          <w:rFonts w:eastAsia="仿宋_GB2312"/>
          <w:sz w:val="32"/>
          <w:szCs w:val="32"/>
        </w:rPr>
        <w:t>2.适用人群</w:t>
      </w:r>
    </w:p>
    <w:p w14:paraId="4DBE9BF3">
      <w:pPr>
        <w:spacing w:line="520" w:lineRule="exact"/>
        <w:ind w:firstLine="640" w:firstLineChars="200"/>
        <w:rPr>
          <w:rFonts w:eastAsia="仿宋_GB2312"/>
          <w:color w:val="000000"/>
          <w:sz w:val="32"/>
          <w:szCs w:val="32"/>
        </w:rPr>
      </w:pPr>
      <w:r>
        <w:rPr>
          <w:rFonts w:eastAsia="仿宋_GB2312"/>
          <w:sz w:val="32"/>
          <w:szCs w:val="32"/>
        </w:rPr>
        <w:t>需要进行</w:t>
      </w:r>
      <w:r>
        <w:rPr>
          <w:rFonts w:hint="eastAsia" w:eastAsia="仿宋_GB2312"/>
          <w:sz w:val="32"/>
          <w:szCs w:val="32"/>
        </w:rPr>
        <w:t>下肢步态</w:t>
      </w:r>
      <w:r>
        <w:rPr>
          <w:rFonts w:eastAsia="仿宋_GB2312"/>
          <w:sz w:val="32"/>
          <w:szCs w:val="32"/>
        </w:rPr>
        <w:t>康复训练的人群，</w:t>
      </w:r>
      <w:r>
        <w:rPr>
          <w:rFonts w:eastAsia="仿宋_GB2312"/>
          <w:color w:val="000000"/>
          <w:sz w:val="32"/>
          <w:szCs w:val="32"/>
        </w:rPr>
        <w:t>需明确是否适用于儿童等特殊人群。</w:t>
      </w:r>
    </w:p>
    <w:p w14:paraId="1FA1F6EE">
      <w:pPr>
        <w:spacing w:line="520" w:lineRule="exact"/>
        <w:ind w:firstLine="640" w:firstLineChars="200"/>
        <w:outlineLvl w:val="2"/>
        <w:rPr>
          <w:rFonts w:eastAsia="仿宋_GB2312"/>
          <w:sz w:val="32"/>
          <w:szCs w:val="32"/>
        </w:rPr>
      </w:pPr>
      <w:r>
        <w:rPr>
          <w:rFonts w:eastAsia="仿宋_GB2312"/>
          <w:sz w:val="32"/>
          <w:szCs w:val="32"/>
        </w:rPr>
        <w:t>3.</w:t>
      </w:r>
      <w:r>
        <w:rPr>
          <w:rFonts w:eastAsia="仿宋_GB2312"/>
          <w:color w:val="000000"/>
          <w:sz w:val="32"/>
          <w:szCs w:val="32"/>
        </w:rPr>
        <w:t>禁忌症</w:t>
      </w:r>
    </w:p>
    <w:p w14:paraId="0A347EA1">
      <w:pPr>
        <w:spacing w:line="520" w:lineRule="exact"/>
        <w:ind w:firstLine="640" w:firstLineChars="200"/>
      </w:pPr>
      <w:r>
        <w:rPr>
          <w:rFonts w:eastAsia="仿宋_GB2312"/>
          <w:sz w:val="32"/>
          <w:szCs w:val="32"/>
        </w:rPr>
        <w:t>应说明产品禁忌症</w:t>
      </w:r>
      <w:r>
        <w:rPr>
          <w:rFonts w:hint="eastAsia" w:eastAsia="仿宋_GB2312"/>
          <w:sz w:val="32"/>
          <w:szCs w:val="32"/>
        </w:rPr>
        <w:t>。</w:t>
      </w:r>
    </w:p>
    <w:p w14:paraId="7BA5D116">
      <w:pPr>
        <w:spacing w:line="520" w:lineRule="exact"/>
        <w:ind w:firstLine="640" w:firstLineChars="200"/>
        <w:outlineLvl w:val="1"/>
        <w:rPr>
          <w:rFonts w:eastAsia="仿宋"/>
          <w:bCs/>
          <w:sz w:val="32"/>
          <w:szCs w:val="32"/>
        </w:rPr>
      </w:pPr>
      <w:r>
        <w:rPr>
          <w:rFonts w:eastAsia="楷体_GB2312"/>
          <w:color w:val="000000"/>
          <w:sz w:val="32"/>
          <w:szCs w:val="32"/>
        </w:rPr>
        <w:t>（七）</w:t>
      </w:r>
      <w:r>
        <w:rPr>
          <w:rFonts w:eastAsia="楷体_GB2312"/>
          <w:sz w:val="32"/>
          <w:szCs w:val="32"/>
        </w:rPr>
        <w:t>产品的主要风险</w:t>
      </w:r>
    </w:p>
    <w:p w14:paraId="2C34BA19">
      <w:pPr>
        <w:spacing w:line="520" w:lineRule="exact"/>
        <w:ind w:firstLine="640" w:firstLineChars="200"/>
        <w:rPr>
          <w:rFonts w:eastAsia="仿宋_GB2312"/>
          <w:kern w:val="0"/>
          <w:sz w:val="32"/>
          <w:szCs w:val="32"/>
        </w:rPr>
      </w:pPr>
      <w:r>
        <w:rPr>
          <w:rFonts w:eastAsia="仿宋_GB2312"/>
          <w:kern w:val="0"/>
          <w:sz w:val="32"/>
          <w:szCs w:val="32"/>
        </w:rPr>
        <w:t>申请人应按照</w:t>
      </w:r>
      <w:r>
        <w:rPr>
          <w:rFonts w:eastAsia="仿宋_GB2312"/>
          <w:sz w:val="32"/>
          <w:szCs w:val="32"/>
        </w:rPr>
        <w:t>YY/T 0316—2016</w:t>
      </w:r>
      <w:r>
        <w:rPr>
          <w:rFonts w:eastAsia="仿宋_GB2312"/>
          <w:kern w:val="0"/>
          <w:sz w:val="32"/>
          <w:szCs w:val="32"/>
        </w:rPr>
        <w:t>《医疗器械风险管理对医疗器械的应用》中的规定，识别与医疗器械有关的危险（源），估计和评价相关的风险，控制这些风险并监视控制的有效性。</w:t>
      </w:r>
    </w:p>
    <w:p w14:paraId="149828D6">
      <w:pPr>
        <w:spacing w:line="520" w:lineRule="exact"/>
        <w:ind w:firstLine="640" w:firstLineChars="200"/>
        <w:rPr>
          <w:rFonts w:eastAsia="仿宋_GB2312"/>
          <w:kern w:val="0"/>
          <w:sz w:val="32"/>
          <w:szCs w:val="32"/>
        </w:rPr>
      </w:pPr>
      <w:r>
        <w:rPr>
          <w:rFonts w:eastAsia="仿宋_GB2312"/>
          <w:kern w:val="0"/>
          <w:sz w:val="32"/>
          <w:szCs w:val="32"/>
        </w:rPr>
        <w:t>风险管理报告应符合</w:t>
      </w:r>
      <w:r>
        <w:rPr>
          <w:rFonts w:eastAsia="仿宋_GB2312"/>
          <w:sz w:val="32"/>
          <w:szCs w:val="32"/>
        </w:rPr>
        <w:t>YY/T 0316—2016</w:t>
      </w:r>
      <w:r>
        <w:rPr>
          <w:rFonts w:eastAsia="仿宋_GB2312"/>
          <w:kern w:val="0"/>
          <w:sz w:val="32"/>
          <w:szCs w:val="32"/>
        </w:rPr>
        <w:t>的有关要求，审查要点包括：</w:t>
      </w:r>
    </w:p>
    <w:p w14:paraId="3C450008">
      <w:pPr>
        <w:spacing w:line="520" w:lineRule="exact"/>
        <w:ind w:firstLine="640" w:firstLineChars="200"/>
        <w:rPr>
          <w:rFonts w:eastAsia="仿宋_GB2312"/>
          <w:kern w:val="0"/>
          <w:sz w:val="32"/>
          <w:szCs w:val="32"/>
        </w:rPr>
      </w:pPr>
      <w:r>
        <w:rPr>
          <w:rFonts w:hint="eastAsia" w:eastAsia="仿宋_GB2312"/>
          <w:kern w:val="0"/>
          <w:sz w:val="32"/>
          <w:szCs w:val="32"/>
        </w:rPr>
        <w:t>1.</w:t>
      </w:r>
      <w:r>
        <w:rPr>
          <w:rFonts w:eastAsia="仿宋_GB2312"/>
          <w:kern w:val="0"/>
          <w:sz w:val="32"/>
          <w:szCs w:val="32"/>
        </w:rPr>
        <w:t>是否正确识别医疗器械预期用途和与安全有关特征（依据</w:t>
      </w:r>
      <w:r>
        <w:rPr>
          <w:rFonts w:eastAsia="仿宋_GB2312"/>
          <w:sz w:val="32"/>
          <w:szCs w:val="32"/>
        </w:rPr>
        <w:t>YY/T 0316—2016</w:t>
      </w:r>
      <w:r>
        <w:rPr>
          <w:rFonts w:eastAsia="仿宋_GB2312"/>
          <w:kern w:val="0"/>
          <w:sz w:val="32"/>
          <w:szCs w:val="32"/>
        </w:rPr>
        <w:t xml:space="preserve"> 附录</w:t>
      </w:r>
      <w:r>
        <w:rPr>
          <w:rFonts w:eastAsia="仿宋_GB2312"/>
          <w:sz w:val="32"/>
          <w:szCs w:val="32"/>
        </w:rPr>
        <w:t>C</w:t>
      </w:r>
      <w:r>
        <w:rPr>
          <w:rFonts w:eastAsia="仿宋_GB2312"/>
          <w:kern w:val="0"/>
          <w:sz w:val="32"/>
          <w:szCs w:val="32"/>
        </w:rPr>
        <w:t>）；</w:t>
      </w:r>
    </w:p>
    <w:p w14:paraId="101BC250">
      <w:pPr>
        <w:spacing w:line="520" w:lineRule="exact"/>
        <w:ind w:firstLine="640" w:firstLineChars="200"/>
        <w:rPr>
          <w:rFonts w:eastAsia="仿宋_GB2312"/>
          <w:kern w:val="0"/>
          <w:sz w:val="32"/>
          <w:szCs w:val="32"/>
        </w:rPr>
      </w:pPr>
      <w:r>
        <w:rPr>
          <w:rFonts w:hint="eastAsia" w:eastAsia="仿宋_GB2312"/>
          <w:kern w:val="0"/>
          <w:sz w:val="32"/>
          <w:szCs w:val="32"/>
        </w:rPr>
        <w:t>2.</w:t>
      </w:r>
      <w:r>
        <w:rPr>
          <w:rFonts w:eastAsia="仿宋_GB2312"/>
          <w:kern w:val="0"/>
          <w:sz w:val="32"/>
          <w:szCs w:val="32"/>
        </w:rPr>
        <w:t>是否系统识别正常和故障两种条件下的可预见危险（源）（依据</w:t>
      </w:r>
      <w:r>
        <w:rPr>
          <w:rFonts w:eastAsia="仿宋_GB2312"/>
          <w:sz w:val="32"/>
          <w:szCs w:val="32"/>
        </w:rPr>
        <w:t>YY/T 0316—2016</w:t>
      </w:r>
      <w:r>
        <w:rPr>
          <w:rFonts w:eastAsia="仿宋_GB2312"/>
          <w:kern w:val="0"/>
          <w:sz w:val="32"/>
          <w:szCs w:val="32"/>
        </w:rPr>
        <w:t>附录</w:t>
      </w:r>
      <w:r>
        <w:rPr>
          <w:rFonts w:eastAsia="仿宋_GB2312"/>
          <w:sz w:val="32"/>
          <w:szCs w:val="32"/>
        </w:rPr>
        <w:t>E</w:t>
      </w:r>
      <w:r>
        <w:rPr>
          <w:rFonts w:eastAsia="仿宋_GB2312"/>
          <w:kern w:val="0"/>
          <w:sz w:val="32"/>
          <w:szCs w:val="32"/>
        </w:rPr>
        <w:t>，基于已识别的安全有关特征）；</w:t>
      </w:r>
    </w:p>
    <w:p w14:paraId="39623E2F">
      <w:pPr>
        <w:spacing w:line="520" w:lineRule="exact"/>
        <w:ind w:firstLine="640" w:firstLineChars="200"/>
        <w:rPr>
          <w:rFonts w:eastAsia="仿宋_GB2312"/>
          <w:kern w:val="0"/>
          <w:sz w:val="32"/>
          <w:szCs w:val="32"/>
        </w:rPr>
      </w:pPr>
      <w:r>
        <w:rPr>
          <w:rFonts w:hint="eastAsia" w:eastAsia="仿宋_GB2312"/>
          <w:kern w:val="0"/>
          <w:sz w:val="32"/>
          <w:szCs w:val="32"/>
        </w:rPr>
        <w:t>3.</w:t>
      </w:r>
      <w:r>
        <w:rPr>
          <w:rFonts w:eastAsia="仿宋_GB2312"/>
          <w:kern w:val="0"/>
          <w:sz w:val="32"/>
          <w:szCs w:val="32"/>
        </w:rPr>
        <w:t>是否利用风险管理计划中规定的可接受性准则，对风险进行评价并进行风险控制，也包括综合剩余风险的可接受性评价（依据</w:t>
      </w:r>
      <w:r>
        <w:rPr>
          <w:rFonts w:eastAsia="仿宋_GB2312"/>
          <w:sz w:val="32"/>
          <w:szCs w:val="32"/>
        </w:rPr>
        <w:t>YY/T 0316—2016</w:t>
      </w:r>
      <w:r>
        <w:rPr>
          <w:rFonts w:eastAsia="仿宋_GB2312"/>
          <w:kern w:val="0"/>
          <w:sz w:val="32"/>
          <w:szCs w:val="32"/>
        </w:rPr>
        <w:t xml:space="preserve"> 附录</w:t>
      </w:r>
      <w:r>
        <w:rPr>
          <w:rFonts w:eastAsia="仿宋_GB2312"/>
          <w:sz w:val="32"/>
          <w:szCs w:val="32"/>
        </w:rPr>
        <w:t>D</w:t>
      </w:r>
      <w:r>
        <w:rPr>
          <w:rFonts w:eastAsia="仿宋_GB2312"/>
          <w:kern w:val="0"/>
          <w:sz w:val="32"/>
          <w:szCs w:val="32"/>
        </w:rPr>
        <w:t>）。</w:t>
      </w:r>
    </w:p>
    <w:p w14:paraId="42F3C508">
      <w:pPr>
        <w:spacing w:line="520" w:lineRule="exact"/>
        <w:ind w:firstLine="640" w:firstLineChars="200"/>
        <w:rPr>
          <w:rFonts w:eastAsia="仿宋"/>
          <w:kern w:val="0"/>
          <w:sz w:val="32"/>
          <w:szCs w:val="32"/>
        </w:rPr>
      </w:pPr>
      <w:r>
        <w:rPr>
          <w:rFonts w:eastAsia="仿宋_GB2312"/>
          <w:kern w:val="0"/>
          <w:sz w:val="32"/>
          <w:szCs w:val="32"/>
        </w:rPr>
        <w:t>以下给出了产品常见的风险要素及示例。由于不同</w:t>
      </w:r>
      <w:r>
        <w:rPr>
          <w:rFonts w:eastAsia="仿宋_GB2312"/>
          <w:color w:val="000000"/>
          <w:sz w:val="32"/>
          <w:szCs w:val="32"/>
        </w:rPr>
        <w:t>产品</w:t>
      </w:r>
      <w:r>
        <w:rPr>
          <w:rFonts w:eastAsia="仿宋_GB2312"/>
          <w:kern w:val="0"/>
          <w:sz w:val="32"/>
          <w:szCs w:val="32"/>
        </w:rPr>
        <w:t>的工作原理、结构组成、性能指标存在差异，所以这些风险要素并不是全部，申请人还应根据产品特点确定其他风险并进行有效控制。</w:t>
      </w:r>
    </w:p>
    <w:p w14:paraId="4D79D0C9">
      <w:pPr>
        <w:autoSpaceDE w:val="0"/>
        <w:autoSpaceDN w:val="0"/>
        <w:spacing w:line="520" w:lineRule="exact"/>
        <w:ind w:firstLine="700" w:firstLineChars="250"/>
        <w:jc w:val="center"/>
        <w:rPr>
          <w:rFonts w:eastAsia="黑体"/>
          <w:color w:val="000000"/>
          <w:kern w:val="0"/>
          <w:sz w:val="28"/>
          <w:szCs w:val="32"/>
        </w:rPr>
      </w:pPr>
      <w:r>
        <w:rPr>
          <w:rFonts w:eastAsia="黑体"/>
          <w:color w:val="000000"/>
          <w:kern w:val="0"/>
          <w:sz w:val="28"/>
          <w:szCs w:val="32"/>
        </w:rPr>
        <w:t>表2</w:t>
      </w:r>
      <w:r>
        <w:rPr>
          <w:rFonts w:hint="eastAsia" w:eastAsia="黑体"/>
          <w:i/>
          <w:iCs/>
          <w:color w:val="000000"/>
          <w:kern w:val="0"/>
          <w:sz w:val="28"/>
          <w:szCs w:val="32"/>
        </w:rPr>
        <w:t>：</w:t>
      </w:r>
      <w:r>
        <w:rPr>
          <w:rFonts w:eastAsia="黑体"/>
          <w:color w:val="000000"/>
          <w:kern w:val="0"/>
          <w:sz w:val="28"/>
          <w:szCs w:val="32"/>
        </w:rPr>
        <w:t>危险（源）、可预见事件序列、危险情况及伤害示例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18"/>
        <w:gridCol w:w="2693"/>
        <w:gridCol w:w="1558"/>
      </w:tblGrid>
      <w:tr w14:paraId="00C1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94B0B5F">
            <w:pPr>
              <w:adjustRightInd w:val="0"/>
              <w:snapToGrid w:val="0"/>
              <w:spacing w:line="300" w:lineRule="auto"/>
              <w:jc w:val="center"/>
              <w:rPr>
                <w:rFonts w:eastAsia="黑体"/>
                <w:sz w:val="28"/>
                <w:szCs w:val="28"/>
              </w:rPr>
            </w:pPr>
            <w:r>
              <w:rPr>
                <w:rFonts w:eastAsia="黑体"/>
                <w:sz w:val="28"/>
                <w:szCs w:val="28"/>
              </w:rPr>
              <w:t>危险（源）</w:t>
            </w:r>
          </w:p>
        </w:tc>
        <w:tc>
          <w:tcPr>
            <w:tcW w:w="3118" w:type="dxa"/>
            <w:vAlign w:val="center"/>
          </w:tcPr>
          <w:p w14:paraId="28EFF4DE">
            <w:pPr>
              <w:adjustRightInd w:val="0"/>
              <w:snapToGrid w:val="0"/>
              <w:spacing w:line="300" w:lineRule="auto"/>
              <w:jc w:val="center"/>
              <w:rPr>
                <w:rFonts w:eastAsia="黑体"/>
                <w:sz w:val="28"/>
                <w:szCs w:val="28"/>
              </w:rPr>
            </w:pPr>
            <w:r>
              <w:rPr>
                <w:rFonts w:eastAsia="黑体"/>
                <w:sz w:val="28"/>
                <w:szCs w:val="28"/>
              </w:rPr>
              <w:t>可预见事件序列</w:t>
            </w:r>
          </w:p>
        </w:tc>
        <w:tc>
          <w:tcPr>
            <w:tcW w:w="2693" w:type="dxa"/>
            <w:vAlign w:val="center"/>
          </w:tcPr>
          <w:p w14:paraId="53C4890C">
            <w:pPr>
              <w:adjustRightInd w:val="0"/>
              <w:snapToGrid w:val="0"/>
              <w:spacing w:line="300" w:lineRule="auto"/>
              <w:jc w:val="center"/>
              <w:rPr>
                <w:rFonts w:eastAsia="黑体"/>
                <w:sz w:val="28"/>
                <w:szCs w:val="28"/>
              </w:rPr>
            </w:pPr>
            <w:r>
              <w:rPr>
                <w:rFonts w:eastAsia="黑体"/>
                <w:sz w:val="28"/>
                <w:szCs w:val="28"/>
              </w:rPr>
              <w:t>危险情况</w:t>
            </w:r>
          </w:p>
        </w:tc>
        <w:tc>
          <w:tcPr>
            <w:tcW w:w="1558" w:type="dxa"/>
            <w:vAlign w:val="center"/>
          </w:tcPr>
          <w:p w14:paraId="6A14E93B">
            <w:pPr>
              <w:adjustRightInd w:val="0"/>
              <w:snapToGrid w:val="0"/>
              <w:spacing w:line="300" w:lineRule="auto"/>
              <w:jc w:val="center"/>
              <w:rPr>
                <w:rFonts w:eastAsia="黑体"/>
                <w:sz w:val="28"/>
                <w:szCs w:val="28"/>
              </w:rPr>
            </w:pPr>
            <w:r>
              <w:rPr>
                <w:rFonts w:eastAsia="黑体"/>
                <w:sz w:val="28"/>
                <w:szCs w:val="28"/>
              </w:rPr>
              <w:t>伤害</w:t>
            </w:r>
          </w:p>
        </w:tc>
      </w:tr>
      <w:tr w14:paraId="7468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tcPr>
          <w:p w14:paraId="2B6795EF">
            <w:pPr>
              <w:widowControl/>
              <w:adjustRightInd w:val="0"/>
              <w:snapToGrid w:val="0"/>
              <w:spacing w:line="300" w:lineRule="auto"/>
              <w:rPr>
                <w:rFonts w:eastAsia="仿宋_GB2312"/>
                <w:color w:val="000000"/>
                <w:kern w:val="0"/>
                <w:sz w:val="28"/>
                <w:szCs w:val="28"/>
              </w:rPr>
            </w:pPr>
            <w:r>
              <w:rPr>
                <w:rFonts w:eastAsia="仿宋_GB2312"/>
                <w:sz w:val="28"/>
                <w:szCs w:val="28"/>
              </w:rPr>
              <w:t>能量危险（源）</w:t>
            </w:r>
          </w:p>
        </w:tc>
        <w:tc>
          <w:tcPr>
            <w:tcW w:w="3118" w:type="dxa"/>
          </w:tcPr>
          <w:p w14:paraId="032B1AF9">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产品绝缘不可靠或无有效接地</w:t>
            </w:r>
          </w:p>
        </w:tc>
        <w:tc>
          <w:tcPr>
            <w:tcW w:w="2693" w:type="dxa"/>
          </w:tcPr>
          <w:p w14:paraId="51927249">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患者触及的部位带电</w:t>
            </w:r>
          </w:p>
        </w:tc>
        <w:tc>
          <w:tcPr>
            <w:tcW w:w="1558" w:type="dxa"/>
          </w:tcPr>
          <w:p w14:paraId="7826E2F9">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电损伤，严重时死亡</w:t>
            </w:r>
          </w:p>
        </w:tc>
      </w:tr>
      <w:tr w14:paraId="71A2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101" w:type="dxa"/>
            <w:vMerge w:val="continue"/>
          </w:tcPr>
          <w:p w14:paraId="34EA0CE2">
            <w:pPr>
              <w:widowControl/>
              <w:adjustRightInd w:val="0"/>
              <w:snapToGrid w:val="0"/>
              <w:spacing w:line="300" w:lineRule="auto"/>
              <w:rPr>
                <w:rFonts w:eastAsia="仿宋_GB2312"/>
                <w:color w:val="000000"/>
                <w:kern w:val="0"/>
                <w:sz w:val="28"/>
                <w:szCs w:val="28"/>
              </w:rPr>
            </w:pPr>
          </w:p>
        </w:tc>
        <w:tc>
          <w:tcPr>
            <w:tcW w:w="3118" w:type="dxa"/>
          </w:tcPr>
          <w:p w14:paraId="4FE2849F">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电磁干扰</w:t>
            </w:r>
          </w:p>
        </w:tc>
        <w:tc>
          <w:tcPr>
            <w:tcW w:w="2693" w:type="dxa"/>
          </w:tcPr>
          <w:p w14:paraId="7B8BA4E2">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产品运行异常</w:t>
            </w:r>
          </w:p>
        </w:tc>
        <w:tc>
          <w:tcPr>
            <w:tcW w:w="1558" w:type="dxa"/>
          </w:tcPr>
          <w:p w14:paraId="5328EFAA">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运动参数输出错误，导致患者损伤。</w:t>
            </w:r>
          </w:p>
        </w:tc>
      </w:tr>
      <w:tr w14:paraId="1648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14:paraId="701A65D6">
            <w:pPr>
              <w:widowControl/>
              <w:adjustRightInd w:val="0"/>
              <w:snapToGrid w:val="0"/>
              <w:spacing w:line="300" w:lineRule="auto"/>
              <w:rPr>
                <w:rFonts w:eastAsia="仿宋_GB2312"/>
                <w:color w:val="000000"/>
                <w:kern w:val="0"/>
                <w:sz w:val="28"/>
                <w:szCs w:val="28"/>
              </w:rPr>
            </w:pPr>
          </w:p>
        </w:tc>
        <w:tc>
          <w:tcPr>
            <w:tcW w:w="3118" w:type="dxa"/>
          </w:tcPr>
          <w:p w14:paraId="76414334">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产品不能按照设定程序运行</w:t>
            </w:r>
          </w:p>
        </w:tc>
        <w:tc>
          <w:tcPr>
            <w:tcW w:w="2693" w:type="dxa"/>
          </w:tcPr>
          <w:p w14:paraId="2C4D0AC7">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产品运行</w:t>
            </w:r>
            <w:r>
              <w:rPr>
                <w:rFonts w:hint="eastAsia" w:eastAsia="仿宋_GB2312"/>
                <w:color w:val="000000"/>
                <w:kern w:val="0"/>
                <w:sz w:val="28"/>
                <w:szCs w:val="28"/>
              </w:rPr>
              <w:t>异常</w:t>
            </w:r>
          </w:p>
        </w:tc>
        <w:tc>
          <w:tcPr>
            <w:tcW w:w="1558" w:type="dxa"/>
          </w:tcPr>
          <w:p w14:paraId="3400A173">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患者严重损伤</w:t>
            </w:r>
          </w:p>
        </w:tc>
      </w:tr>
      <w:tr w14:paraId="1593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14:paraId="21F966DC">
            <w:pPr>
              <w:widowControl/>
              <w:adjustRightInd w:val="0"/>
              <w:snapToGrid w:val="0"/>
              <w:spacing w:line="300" w:lineRule="auto"/>
              <w:rPr>
                <w:rFonts w:eastAsia="仿宋_GB2312"/>
                <w:color w:val="000000"/>
                <w:kern w:val="0"/>
                <w:sz w:val="28"/>
                <w:szCs w:val="28"/>
              </w:rPr>
            </w:pPr>
          </w:p>
        </w:tc>
        <w:tc>
          <w:tcPr>
            <w:tcW w:w="3118" w:type="dxa"/>
          </w:tcPr>
          <w:p w14:paraId="25519CEB">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数据接口连接错误</w:t>
            </w:r>
          </w:p>
        </w:tc>
        <w:tc>
          <w:tcPr>
            <w:tcW w:w="2693" w:type="dxa"/>
          </w:tcPr>
          <w:p w14:paraId="5B82F703">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控制失灵</w:t>
            </w:r>
          </w:p>
        </w:tc>
        <w:tc>
          <w:tcPr>
            <w:tcW w:w="1558" w:type="dxa"/>
          </w:tcPr>
          <w:p w14:paraId="02E0D8C7">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患者损伤</w:t>
            </w:r>
          </w:p>
        </w:tc>
      </w:tr>
      <w:tr w14:paraId="1327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14:paraId="0CDE478B">
            <w:pPr>
              <w:widowControl/>
              <w:adjustRightInd w:val="0"/>
              <w:snapToGrid w:val="0"/>
              <w:spacing w:line="300" w:lineRule="auto"/>
              <w:rPr>
                <w:rFonts w:eastAsia="仿宋_GB2312"/>
                <w:color w:val="000000"/>
                <w:kern w:val="0"/>
                <w:sz w:val="28"/>
                <w:szCs w:val="28"/>
              </w:rPr>
            </w:pPr>
          </w:p>
        </w:tc>
        <w:tc>
          <w:tcPr>
            <w:tcW w:w="3118" w:type="dxa"/>
          </w:tcPr>
          <w:p w14:paraId="47136014">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产品储运过程中防护不当</w:t>
            </w:r>
          </w:p>
        </w:tc>
        <w:tc>
          <w:tcPr>
            <w:tcW w:w="2693" w:type="dxa"/>
          </w:tcPr>
          <w:p w14:paraId="030E2795">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产品损坏</w:t>
            </w:r>
          </w:p>
        </w:tc>
        <w:tc>
          <w:tcPr>
            <w:tcW w:w="1558" w:type="dxa"/>
          </w:tcPr>
          <w:p w14:paraId="4316D841">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延误治疗</w:t>
            </w:r>
          </w:p>
        </w:tc>
      </w:tr>
      <w:tr w14:paraId="713B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01" w:type="dxa"/>
            <w:vMerge w:val="continue"/>
          </w:tcPr>
          <w:p w14:paraId="2FAEE6CA">
            <w:pPr>
              <w:widowControl/>
              <w:adjustRightInd w:val="0"/>
              <w:snapToGrid w:val="0"/>
              <w:spacing w:line="300" w:lineRule="auto"/>
              <w:rPr>
                <w:rFonts w:eastAsia="仿宋_GB2312"/>
                <w:color w:val="000000"/>
                <w:kern w:val="0"/>
                <w:sz w:val="28"/>
                <w:szCs w:val="28"/>
              </w:rPr>
            </w:pPr>
          </w:p>
        </w:tc>
        <w:tc>
          <w:tcPr>
            <w:tcW w:w="3118" w:type="dxa"/>
          </w:tcPr>
          <w:p w14:paraId="0214B197">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运动部件老化</w:t>
            </w:r>
          </w:p>
        </w:tc>
        <w:tc>
          <w:tcPr>
            <w:tcW w:w="2693" w:type="dxa"/>
          </w:tcPr>
          <w:p w14:paraId="5BC17F81">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运动部件坠落</w:t>
            </w:r>
          </w:p>
        </w:tc>
        <w:tc>
          <w:tcPr>
            <w:tcW w:w="1558" w:type="dxa"/>
          </w:tcPr>
          <w:p w14:paraId="4E57C59E">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碰伤患者</w:t>
            </w:r>
          </w:p>
        </w:tc>
      </w:tr>
      <w:tr w14:paraId="7F4C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101" w:type="dxa"/>
            <w:vMerge w:val="continue"/>
          </w:tcPr>
          <w:p w14:paraId="32DE9F0C">
            <w:pPr>
              <w:widowControl/>
              <w:adjustRightInd w:val="0"/>
              <w:snapToGrid w:val="0"/>
              <w:spacing w:line="300" w:lineRule="auto"/>
              <w:rPr>
                <w:rFonts w:eastAsia="仿宋"/>
                <w:color w:val="000000"/>
                <w:kern w:val="0"/>
                <w:sz w:val="28"/>
                <w:szCs w:val="28"/>
              </w:rPr>
            </w:pPr>
          </w:p>
        </w:tc>
        <w:tc>
          <w:tcPr>
            <w:tcW w:w="3118" w:type="dxa"/>
          </w:tcPr>
          <w:p w14:paraId="36E6330E">
            <w:pPr>
              <w:adjustRightInd w:val="0"/>
              <w:snapToGrid w:val="0"/>
              <w:spacing w:line="520" w:lineRule="exact"/>
              <w:rPr>
                <w:rFonts w:eastAsia="仿宋_GB2312"/>
                <w:color w:val="000000"/>
                <w:kern w:val="0"/>
                <w:sz w:val="28"/>
                <w:szCs w:val="28"/>
              </w:rPr>
            </w:pPr>
            <w:r>
              <w:rPr>
                <w:rFonts w:eastAsia="仿宋_GB2312"/>
                <w:color w:val="000000"/>
                <w:kern w:val="0"/>
                <w:sz w:val="28"/>
                <w:szCs w:val="28"/>
              </w:rPr>
              <w:t>固定装置不能有效固定产品或患者</w:t>
            </w:r>
          </w:p>
        </w:tc>
        <w:tc>
          <w:tcPr>
            <w:tcW w:w="2693" w:type="dxa"/>
          </w:tcPr>
          <w:p w14:paraId="136B76FF">
            <w:pPr>
              <w:adjustRightInd w:val="0"/>
              <w:snapToGrid w:val="0"/>
              <w:spacing w:line="520" w:lineRule="exact"/>
              <w:rPr>
                <w:rFonts w:eastAsia="仿宋_GB2312"/>
                <w:color w:val="000000"/>
                <w:kern w:val="0"/>
                <w:sz w:val="28"/>
                <w:szCs w:val="28"/>
              </w:rPr>
            </w:pPr>
            <w:r>
              <w:rPr>
                <w:rFonts w:eastAsia="仿宋_GB2312"/>
                <w:color w:val="000000"/>
                <w:kern w:val="0"/>
                <w:sz w:val="28"/>
                <w:szCs w:val="28"/>
              </w:rPr>
              <w:t>产品或患者发生非正常移动或倾倒</w:t>
            </w:r>
          </w:p>
        </w:tc>
        <w:tc>
          <w:tcPr>
            <w:tcW w:w="1558" w:type="dxa"/>
          </w:tcPr>
          <w:p w14:paraId="0087CBF4">
            <w:pPr>
              <w:adjustRightInd w:val="0"/>
              <w:snapToGrid w:val="0"/>
              <w:spacing w:line="520" w:lineRule="exact"/>
              <w:rPr>
                <w:rFonts w:eastAsia="仿宋_GB2312"/>
                <w:color w:val="000000"/>
                <w:kern w:val="0"/>
                <w:sz w:val="28"/>
                <w:szCs w:val="28"/>
              </w:rPr>
            </w:pPr>
            <w:r>
              <w:rPr>
                <w:rFonts w:eastAsia="仿宋_GB2312"/>
                <w:color w:val="000000"/>
                <w:kern w:val="0"/>
                <w:sz w:val="28"/>
                <w:szCs w:val="28"/>
              </w:rPr>
              <w:t>患者或其他人员损伤</w:t>
            </w:r>
          </w:p>
        </w:tc>
      </w:tr>
      <w:tr w14:paraId="3524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01" w:type="dxa"/>
            <w:vMerge w:val="continue"/>
          </w:tcPr>
          <w:p w14:paraId="3A243DB8">
            <w:pPr>
              <w:widowControl/>
              <w:adjustRightInd w:val="0"/>
              <w:snapToGrid w:val="0"/>
              <w:spacing w:line="300" w:lineRule="auto"/>
              <w:rPr>
                <w:rFonts w:eastAsia="仿宋"/>
                <w:color w:val="000000"/>
                <w:kern w:val="0"/>
                <w:sz w:val="28"/>
                <w:szCs w:val="28"/>
              </w:rPr>
            </w:pPr>
          </w:p>
        </w:tc>
        <w:tc>
          <w:tcPr>
            <w:tcW w:w="3118" w:type="dxa"/>
          </w:tcPr>
          <w:p w14:paraId="78858321">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噪声防护措施不当</w:t>
            </w:r>
          </w:p>
        </w:tc>
        <w:tc>
          <w:tcPr>
            <w:tcW w:w="2693" w:type="dxa"/>
          </w:tcPr>
          <w:p w14:paraId="388143CA">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噪声过大</w:t>
            </w:r>
          </w:p>
        </w:tc>
        <w:tc>
          <w:tcPr>
            <w:tcW w:w="1558" w:type="dxa"/>
          </w:tcPr>
          <w:p w14:paraId="31F7F576">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患者受到惊吓，严重时伤害听力。</w:t>
            </w:r>
          </w:p>
        </w:tc>
      </w:tr>
      <w:tr w14:paraId="489D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tcPr>
          <w:p w14:paraId="24988AEE">
            <w:pPr>
              <w:widowControl/>
              <w:adjustRightInd w:val="0"/>
              <w:snapToGrid w:val="0"/>
              <w:spacing w:line="300" w:lineRule="auto"/>
              <w:rPr>
                <w:rFonts w:eastAsia="仿宋_GB2312"/>
                <w:color w:val="000000"/>
                <w:kern w:val="0"/>
                <w:sz w:val="28"/>
                <w:szCs w:val="28"/>
              </w:rPr>
            </w:pPr>
            <w:r>
              <w:rPr>
                <w:rFonts w:eastAsia="仿宋_GB2312"/>
                <w:sz w:val="28"/>
                <w:szCs w:val="28"/>
              </w:rPr>
              <w:t>生物学和化学危险（源）</w:t>
            </w:r>
          </w:p>
        </w:tc>
        <w:tc>
          <w:tcPr>
            <w:tcW w:w="3118" w:type="dxa"/>
          </w:tcPr>
          <w:p w14:paraId="029DB6B3">
            <w:pPr>
              <w:widowControl/>
              <w:autoSpaceDE w:val="0"/>
              <w:autoSpaceDN w:val="0"/>
              <w:adjustRightInd w:val="0"/>
              <w:snapToGrid w:val="0"/>
              <w:spacing w:line="520" w:lineRule="exact"/>
              <w:rPr>
                <w:rFonts w:eastAsia="仿宋_GB2312"/>
                <w:color w:val="000000"/>
                <w:kern w:val="0"/>
                <w:sz w:val="28"/>
                <w:szCs w:val="28"/>
              </w:rPr>
            </w:pPr>
            <w:r>
              <w:rPr>
                <w:rFonts w:eastAsia="仿宋_GB2312"/>
                <w:color w:val="000000"/>
                <w:kern w:val="0"/>
                <w:sz w:val="28"/>
                <w:szCs w:val="28"/>
              </w:rPr>
              <w:t>组成产品的各原材料生物相容性较差，有毒性</w:t>
            </w:r>
          </w:p>
        </w:tc>
        <w:tc>
          <w:tcPr>
            <w:tcW w:w="2693" w:type="dxa"/>
          </w:tcPr>
          <w:p w14:paraId="1CB10539">
            <w:pPr>
              <w:widowControl/>
              <w:autoSpaceDE w:val="0"/>
              <w:autoSpaceDN w:val="0"/>
              <w:adjustRightInd w:val="0"/>
              <w:snapToGrid w:val="0"/>
              <w:spacing w:line="520" w:lineRule="exact"/>
              <w:rPr>
                <w:rFonts w:eastAsia="仿宋_GB2312"/>
                <w:color w:val="000000"/>
                <w:kern w:val="0"/>
                <w:sz w:val="28"/>
                <w:szCs w:val="28"/>
              </w:rPr>
            </w:pPr>
            <w:r>
              <w:rPr>
                <w:rFonts w:eastAsia="仿宋_GB2312"/>
                <w:color w:val="000000"/>
                <w:kern w:val="0"/>
                <w:sz w:val="28"/>
                <w:szCs w:val="28"/>
              </w:rPr>
              <w:t>使用者接触含有毒性的产品组件</w:t>
            </w:r>
          </w:p>
        </w:tc>
        <w:tc>
          <w:tcPr>
            <w:tcW w:w="1558" w:type="dxa"/>
          </w:tcPr>
          <w:p w14:paraId="7163F641">
            <w:pPr>
              <w:widowControl/>
              <w:autoSpaceDE w:val="0"/>
              <w:autoSpaceDN w:val="0"/>
              <w:adjustRightInd w:val="0"/>
              <w:snapToGrid w:val="0"/>
              <w:spacing w:line="520" w:lineRule="exact"/>
              <w:rPr>
                <w:rFonts w:eastAsia="仿宋_GB2312"/>
                <w:color w:val="000000"/>
                <w:kern w:val="0"/>
                <w:sz w:val="28"/>
                <w:szCs w:val="28"/>
              </w:rPr>
            </w:pPr>
            <w:r>
              <w:rPr>
                <w:rFonts w:eastAsia="仿宋_GB2312"/>
                <w:color w:val="000000"/>
                <w:kern w:val="0"/>
                <w:sz w:val="28"/>
                <w:szCs w:val="28"/>
              </w:rPr>
              <w:t>患者皮肤受到刺激，严重者感染</w:t>
            </w:r>
          </w:p>
        </w:tc>
      </w:tr>
      <w:tr w14:paraId="5958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01" w:type="dxa"/>
            <w:vMerge w:val="continue"/>
          </w:tcPr>
          <w:p w14:paraId="051141C1">
            <w:pPr>
              <w:widowControl/>
              <w:adjustRightInd w:val="0"/>
              <w:snapToGrid w:val="0"/>
              <w:spacing w:line="300" w:lineRule="auto"/>
              <w:rPr>
                <w:rFonts w:eastAsia="仿宋_GB2312"/>
                <w:color w:val="000000"/>
                <w:kern w:val="0"/>
                <w:sz w:val="28"/>
                <w:szCs w:val="28"/>
              </w:rPr>
            </w:pPr>
          </w:p>
        </w:tc>
        <w:tc>
          <w:tcPr>
            <w:tcW w:w="3118" w:type="dxa"/>
          </w:tcPr>
          <w:p w14:paraId="00575C10">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产品</w:t>
            </w:r>
            <w:r>
              <w:rPr>
                <w:rFonts w:hint="eastAsia" w:eastAsia="仿宋_GB2312"/>
                <w:color w:val="000000"/>
                <w:kern w:val="0"/>
                <w:sz w:val="28"/>
                <w:szCs w:val="28"/>
              </w:rPr>
              <w:t>清洁</w:t>
            </w:r>
            <w:r>
              <w:rPr>
                <w:rFonts w:eastAsia="仿宋_GB2312"/>
                <w:color w:val="000000"/>
                <w:kern w:val="0"/>
                <w:sz w:val="28"/>
                <w:szCs w:val="28"/>
              </w:rPr>
              <w:t>消毒不当，或未进行清洁消毒处理</w:t>
            </w:r>
          </w:p>
        </w:tc>
        <w:tc>
          <w:tcPr>
            <w:tcW w:w="2693" w:type="dxa"/>
          </w:tcPr>
          <w:p w14:paraId="78F55BB6">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使用了未做有效消毒的产品</w:t>
            </w:r>
          </w:p>
        </w:tc>
        <w:tc>
          <w:tcPr>
            <w:tcW w:w="1558" w:type="dxa"/>
          </w:tcPr>
          <w:p w14:paraId="46DDC943">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患者感染</w:t>
            </w:r>
          </w:p>
        </w:tc>
      </w:tr>
      <w:tr w14:paraId="3FA9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tcPr>
          <w:p w14:paraId="6DA6750A">
            <w:pPr>
              <w:adjustRightInd w:val="0"/>
              <w:snapToGrid w:val="0"/>
              <w:spacing w:line="300" w:lineRule="auto"/>
              <w:rPr>
                <w:rFonts w:eastAsia="仿宋_GB2312"/>
                <w:color w:val="000000"/>
                <w:sz w:val="28"/>
                <w:szCs w:val="28"/>
              </w:rPr>
            </w:pPr>
            <w:r>
              <w:rPr>
                <w:rFonts w:eastAsia="仿宋_GB2312"/>
                <w:color w:val="000000"/>
                <w:sz w:val="28"/>
                <w:szCs w:val="28"/>
              </w:rPr>
              <w:t>操作危险（源）</w:t>
            </w:r>
          </w:p>
        </w:tc>
        <w:tc>
          <w:tcPr>
            <w:tcW w:w="3118" w:type="dxa"/>
          </w:tcPr>
          <w:p w14:paraId="3D6FD009">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没有注意说明书上注意事项及图示而使产品不能预期使用</w:t>
            </w:r>
          </w:p>
        </w:tc>
        <w:tc>
          <w:tcPr>
            <w:tcW w:w="2693" w:type="dxa"/>
            <w:vMerge w:val="restart"/>
          </w:tcPr>
          <w:p w14:paraId="6FFEE0D3">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使用了有缺陷的产品</w:t>
            </w:r>
          </w:p>
        </w:tc>
        <w:tc>
          <w:tcPr>
            <w:tcW w:w="1558" w:type="dxa"/>
            <w:vMerge w:val="restart"/>
          </w:tcPr>
          <w:p w14:paraId="4B50926A">
            <w:pPr>
              <w:widowControl/>
              <w:autoSpaceDE w:val="0"/>
              <w:autoSpaceDN w:val="0"/>
              <w:adjustRightInd w:val="0"/>
              <w:snapToGrid w:val="0"/>
              <w:spacing w:line="520" w:lineRule="exact"/>
              <w:rPr>
                <w:rFonts w:eastAsia="仿宋_GB2312"/>
                <w:color w:val="000000"/>
                <w:kern w:val="0"/>
                <w:sz w:val="28"/>
                <w:szCs w:val="28"/>
              </w:rPr>
            </w:pPr>
            <w:r>
              <w:rPr>
                <w:rFonts w:eastAsia="仿宋_GB2312"/>
                <w:color w:val="000000"/>
                <w:kern w:val="0"/>
                <w:sz w:val="28"/>
                <w:szCs w:val="28"/>
              </w:rPr>
              <w:t>患者疼痛，严重时导致死亡</w:t>
            </w:r>
          </w:p>
        </w:tc>
      </w:tr>
      <w:tr w14:paraId="310B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14:paraId="79225E5D">
            <w:pPr>
              <w:adjustRightInd w:val="0"/>
              <w:snapToGrid w:val="0"/>
              <w:spacing w:line="300" w:lineRule="auto"/>
              <w:rPr>
                <w:rFonts w:eastAsia="仿宋"/>
                <w:sz w:val="28"/>
                <w:szCs w:val="28"/>
              </w:rPr>
            </w:pPr>
          </w:p>
        </w:tc>
        <w:tc>
          <w:tcPr>
            <w:tcW w:w="3118" w:type="dxa"/>
          </w:tcPr>
          <w:p w14:paraId="7C1437EE">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产品基本性能不符合标准要求</w:t>
            </w:r>
          </w:p>
        </w:tc>
        <w:tc>
          <w:tcPr>
            <w:tcW w:w="2693" w:type="dxa"/>
            <w:vMerge w:val="continue"/>
          </w:tcPr>
          <w:p w14:paraId="31AA42DC">
            <w:pPr>
              <w:widowControl/>
              <w:adjustRightInd w:val="0"/>
              <w:snapToGrid w:val="0"/>
              <w:spacing w:line="300" w:lineRule="auto"/>
              <w:rPr>
                <w:rFonts w:eastAsia="仿宋_GB2312"/>
                <w:color w:val="000000"/>
                <w:kern w:val="0"/>
                <w:sz w:val="28"/>
                <w:szCs w:val="28"/>
              </w:rPr>
            </w:pPr>
          </w:p>
        </w:tc>
        <w:tc>
          <w:tcPr>
            <w:tcW w:w="1558" w:type="dxa"/>
            <w:vMerge w:val="continue"/>
          </w:tcPr>
          <w:p w14:paraId="423B47C7">
            <w:pPr>
              <w:adjustRightInd w:val="0"/>
              <w:snapToGrid w:val="0"/>
              <w:spacing w:line="300" w:lineRule="auto"/>
              <w:rPr>
                <w:rFonts w:eastAsia="仿宋_GB2312"/>
                <w:sz w:val="28"/>
                <w:szCs w:val="28"/>
              </w:rPr>
            </w:pPr>
          </w:p>
        </w:tc>
      </w:tr>
      <w:tr w14:paraId="2B0E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01" w:type="dxa"/>
            <w:vMerge w:val="continue"/>
          </w:tcPr>
          <w:p w14:paraId="6641F425">
            <w:pPr>
              <w:adjustRightInd w:val="0"/>
              <w:snapToGrid w:val="0"/>
              <w:spacing w:line="300" w:lineRule="auto"/>
              <w:rPr>
                <w:rFonts w:eastAsia="仿宋"/>
                <w:sz w:val="28"/>
                <w:szCs w:val="28"/>
              </w:rPr>
            </w:pPr>
          </w:p>
        </w:tc>
        <w:tc>
          <w:tcPr>
            <w:tcW w:w="3118" w:type="dxa"/>
          </w:tcPr>
          <w:p w14:paraId="7DD5D2E6">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软件设定复杂</w:t>
            </w:r>
          </w:p>
        </w:tc>
        <w:tc>
          <w:tcPr>
            <w:tcW w:w="2693" w:type="dxa"/>
          </w:tcPr>
          <w:p w14:paraId="76BEEE8D">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进行了误操作</w:t>
            </w:r>
          </w:p>
        </w:tc>
        <w:tc>
          <w:tcPr>
            <w:tcW w:w="1558" w:type="dxa"/>
          </w:tcPr>
          <w:p w14:paraId="26721A12">
            <w:pPr>
              <w:adjustRightInd w:val="0"/>
              <w:snapToGrid w:val="0"/>
              <w:spacing w:line="300" w:lineRule="auto"/>
              <w:rPr>
                <w:rFonts w:eastAsia="仿宋_GB2312"/>
                <w:sz w:val="28"/>
                <w:szCs w:val="28"/>
              </w:rPr>
            </w:pPr>
            <w:r>
              <w:rPr>
                <w:rFonts w:eastAsia="仿宋_GB2312"/>
                <w:color w:val="000000"/>
                <w:kern w:val="0"/>
                <w:sz w:val="28"/>
                <w:szCs w:val="28"/>
              </w:rPr>
              <w:t>患者损伤</w:t>
            </w:r>
          </w:p>
        </w:tc>
      </w:tr>
      <w:tr w14:paraId="388A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01" w:type="dxa"/>
            <w:vMerge w:val="continue"/>
          </w:tcPr>
          <w:p w14:paraId="7F0DADF0">
            <w:pPr>
              <w:adjustRightInd w:val="0"/>
              <w:snapToGrid w:val="0"/>
              <w:spacing w:line="300" w:lineRule="auto"/>
              <w:rPr>
                <w:rFonts w:eastAsia="仿宋"/>
                <w:sz w:val="28"/>
                <w:szCs w:val="28"/>
              </w:rPr>
            </w:pPr>
          </w:p>
        </w:tc>
        <w:tc>
          <w:tcPr>
            <w:tcW w:w="3118" w:type="dxa"/>
          </w:tcPr>
          <w:p w14:paraId="603EE005">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未经培训的人员使用产品</w:t>
            </w:r>
          </w:p>
        </w:tc>
        <w:tc>
          <w:tcPr>
            <w:tcW w:w="2693" w:type="dxa"/>
          </w:tcPr>
          <w:p w14:paraId="32FF1E3C">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进行了错误操作</w:t>
            </w:r>
          </w:p>
        </w:tc>
        <w:tc>
          <w:tcPr>
            <w:tcW w:w="1558" w:type="dxa"/>
          </w:tcPr>
          <w:p w14:paraId="0DE811D8">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患者损伤</w:t>
            </w:r>
          </w:p>
        </w:tc>
      </w:tr>
      <w:tr w14:paraId="3E3E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tcPr>
          <w:p w14:paraId="2DE3B030">
            <w:pPr>
              <w:adjustRightInd w:val="0"/>
              <w:snapToGrid w:val="0"/>
              <w:spacing w:line="300" w:lineRule="auto"/>
              <w:rPr>
                <w:rFonts w:eastAsia="仿宋"/>
                <w:sz w:val="28"/>
                <w:szCs w:val="28"/>
              </w:rPr>
            </w:pPr>
            <w:r>
              <w:rPr>
                <w:rFonts w:eastAsia="仿宋"/>
                <w:sz w:val="28"/>
                <w:szCs w:val="28"/>
              </w:rPr>
              <w:t>信息危险（源）</w:t>
            </w:r>
          </w:p>
        </w:tc>
        <w:tc>
          <w:tcPr>
            <w:tcW w:w="3118" w:type="dxa"/>
          </w:tcPr>
          <w:p w14:paraId="3BB1EFFF">
            <w:pPr>
              <w:widowControl/>
              <w:adjustRightInd w:val="0"/>
              <w:snapToGrid w:val="0"/>
              <w:spacing w:line="520" w:lineRule="exact"/>
              <w:rPr>
                <w:rFonts w:eastAsia="仿宋_GB2312"/>
                <w:color w:val="000000"/>
                <w:kern w:val="0"/>
                <w:sz w:val="28"/>
                <w:szCs w:val="28"/>
              </w:rPr>
            </w:pPr>
            <w:r>
              <w:rPr>
                <w:rFonts w:eastAsia="仿宋_GB2312"/>
                <w:color w:val="000000"/>
                <w:kern w:val="0"/>
                <w:sz w:val="28"/>
                <w:szCs w:val="28"/>
              </w:rPr>
              <w:t>操作标识不明确、不清晰或不准确</w:t>
            </w:r>
          </w:p>
        </w:tc>
        <w:tc>
          <w:tcPr>
            <w:tcW w:w="2693" w:type="dxa"/>
          </w:tcPr>
          <w:p w14:paraId="75EB6AC0">
            <w:pPr>
              <w:widowControl/>
              <w:adjustRightInd w:val="0"/>
              <w:snapToGrid w:val="0"/>
              <w:spacing w:line="300" w:lineRule="auto"/>
              <w:rPr>
                <w:rFonts w:eastAsia="仿宋_GB2312"/>
                <w:color w:val="000000"/>
                <w:kern w:val="0"/>
                <w:sz w:val="28"/>
                <w:szCs w:val="28"/>
              </w:rPr>
            </w:pPr>
            <w:r>
              <w:rPr>
                <w:rFonts w:eastAsia="仿宋_GB2312"/>
                <w:color w:val="000000"/>
                <w:kern w:val="0"/>
                <w:sz w:val="28"/>
                <w:szCs w:val="28"/>
              </w:rPr>
              <w:t>进行了错误操作</w:t>
            </w:r>
          </w:p>
        </w:tc>
        <w:tc>
          <w:tcPr>
            <w:tcW w:w="1558" w:type="dxa"/>
          </w:tcPr>
          <w:p w14:paraId="50BA7A8E">
            <w:pPr>
              <w:autoSpaceDE w:val="0"/>
              <w:autoSpaceDN w:val="0"/>
              <w:adjustRightInd w:val="0"/>
              <w:snapToGrid w:val="0"/>
              <w:spacing w:line="300" w:lineRule="auto"/>
              <w:rPr>
                <w:rFonts w:eastAsia="仿宋_GB2312"/>
                <w:color w:val="000000"/>
                <w:kern w:val="0"/>
                <w:sz w:val="28"/>
                <w:szCs w:val="28"/>
              </w:rPr>
            </w:pPr>
            <w:r>
              <w:rPr>
                <w:rFonts w:eastAsia="仿宋_GB2312"/>
                <w:color w:val="000000"/>
                <w:kern w:val="0"/>
                <w:sz w:val="28"/>
                <w:szCs w:val="28"/>
              </w:rPr>
              <w:t>患者损伤</w:t>
            </w:r>
          </w:p>
        </w:tc>
      </w:tr>
      <w:tr w14:paraId="5DE1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14:paraId="6ED9FD96">
            <w:pPr>
              <w:adjustRightInd w:val="0"/>
              <w:snapToGrid w:val="0"/>
              <w:spacing w:line="300" w:lineRule="auto"/>
              <w:rPr>
                <w:rFonts w:eastAsia="仿宋"/>
                <w:sz w:val="28"/>
                <w:szCs w:val="28"/>
              </w:rPr>
            </w:pPr>
          </w:p>
        </w:tc>
        <w:tc>
          <w:tcPr>
            <w:tcW w:w="3118" w:type="dxa"/>
          </w:tcPr>
          <w:p w14:paraId="15312387">
            <w:pPr>
              <w:autoSpaceDE w:val="0"/>
              <w:autoSpaceDN w:val="0"/>
              <w:adjustRightInd w:val="0"/>
              <w:snapToGrid w:val="0"/>
              <w:spacing w:line="520" w:lineRule="exact"/>
              <w:rPr>
                <w:rFonts w:eastAsia="仿宋_GB2312"/>
                <w:color w:val="000000"/>
                <w:kern w:val="0"/>
                <w:sz w:val="28"/>
                <w:szCs w:val="28"/>
              </w:rPr>
            </w:pPr>
            <w:r>
              <w:rPr>
                <w:rFonts w:eastAsia="仿宋_GB2312"/>
                <w:color w:val="000000"/>
                <w:kern w:val="0"/>
                <w:sz w:val="28"/>
                <w:szCs w:val="28"/>
              </w:rPr>
              <w:t>防护措施提示不明确不清晰</w:t>
            </w:r>
          </w:p>
        </w:tc>
        <w:tc>
          <w:tcPr>
            <w:tcW w:w="2693" w:type="dxa"/>
          </w:tcPr>
          <w:p w14:paraId="22BCB542">
            <w:pPr>
              <w:autoSpaceDE w:val="0"/>
              <w:autoSpaceDN w:val="0"/>
              <w:adjustRightInd w:val="0"/>
              <w:snapToGrid w:val="0"/>
              <w:spacing w:line="300" w:lineRule="auto"/>
              <w:rPr>
                <w:rFonts w:eastAsia="仿宋_GB2312"/>
                <w:color w:val="000000"/>
                <w:kern w:val="0"/>
                <w:sz w:val="28"/>
                <w:szCs w:val="28"/>
              </w:rPr>
            </w:pPr>
            <w:r>
              <w:rPr>
                <w:rFonts w:eastAsia="仿宋_GB2312"/>
                <w:color w:val="000000"/>
                <w:kern w:val="0"/>
                <w:sz w:val="28"/>
                <w:szCs w:val="28"/>
              </w:rPr>
              <w:t>不能提供有效防护</w:t>
            </w:r>
          </w:p>
        </w:tc>
        <w:tc>
          <w:tcPr>
            <w:tcW w:w="1558" w:type="dxa"/>
          </w:tcPr>
          <w:p w14:paraId="248EE2F5">
            <w:pPr>
              <w:autoSpaceDE w:val="0"/>
              <w:autoSpaceDN w:val="0"/>
              <w:adjustRightInd w:val="0"/>
              <w:snapToGrid w:val="0"/>
              <w:spacing w:line="300" w:lineRule="auto"/>
              <w:rPr>
                <w:rFonts w:eastAsia="仿宋_GB2312"/>
                <w:color w:val="000000"/>
                <w:kern w:val="0"/>
                <w:sz w:val="28"/>
                <w:szCs w:val="28"/>
              </w:rPr>
            </w:pPr>
            <w:r>
              <w:rPr>
                <w:rFonts w:eastAsia="仿宋_GB2312"/>
                <w:color w:val="000000"/>
                <w:kern w:val="0"/>
                <w:sz w:val="28"/>
                <w:szCs w:val="28"/>
              </w:rPr>
              <w:t>患者损伤</w:t>
            </w:r>
          </w:p>
        </w:tc>
      </w:tr>
      <w:tr w14:paraId="1BC1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Pr>
          <w:p w14:paraId="039A9F6D">
            <w:pPr>
              <w:adjustRightInd w:val="0"/>
              <w:snapToGrid w:val="0"/>
              <w:spacing w:line="300" w:lineRule="auto"/>
              <w:rPr>
                <w:rFonts w:eastAsia="仿宋"/>
                <w:sz w:val="28"/>
                <w:szCs w:val="28"/>
              </w:rPr>
            </w:pPr>
          </w:p>
        </w:tc>
        <w:tc>
          <w:tcPr>
            <w:tcW w:w="3118" w:type="dxa"/>
          </w:tcPr>
          <w:p w14:paraId="69C7F429">
            <w:pPr>
              <w:autoSpaceDE w:val="0"/>
              <w:autoSpaceDN w:val="0"/>
              <w:adjustRightInd w:val="0"/>
              <w:snapToGrid w:val="0"/>
              <w:spacing w:line="520" w:lineRule="exact"/>
              <w:rPr>
                <w:rFonts w:eastAsia="仿宋_GB2312"/>
                <w:color w:val="000000"/>
                <w:kern w:val="0"/>
                <w:sz w:val="28"/>
                <w:szCs w:val="28"/>
              </w:rPr>
            </w:pPr>
            <w:r>
              <w:rPr>
                <w:rFonts w:eastAsia="仿宋_GB2312"/>
                <w:color w:val="000000"/>
                <w:kern w:val="0"/>
                <w:sz w:val="28"/>
                <w:szCs w:val="28"/>
              </w:rPr>
              <w:t>说明书上注意事项、操作步骤描述繁琐或不清晰易懂或信息不全</w:t>
            </w:r>
          </w:p>
        </w:tc>
        <w:tc>
          <w:tcPr>
            <w:tcW w:w="2693" w:type="dxa"/>
          </w:tcPr>
          <w:p w14:paraId="4CB53458">
            <w:pPr>
              <w:rPr>
                <w:rFonts w:eastAsia="仿宋_GB2312"/>
              </w:rPr>
            </w:pPr>
            <w:r>
              <w:rPr>
                <w:rFonts w:eastAsia="仿宋_GB2312"/>
                <w:color w:val="000000"/>
                <w:kern w:val="0"/>
                <w:sz w:val="28"/>
                <w:szCs w:val="28"/>
              </w:rPr>
              <w:t>进行了错误操作</w:t>
            </w:r>
          </w:p>
        </w:tc>
        <w:tc>
          <w:tcPr>
            <w:tcW w:w="1558" w:type="dxa"/>
          </w:tcPr>
          <w:p w14:paraId="07C5D865">
            <w:pPr>
              <w:autoSpaceDE w:val="0"/>
              <w:autoSpaceDN w:val="0"/>
              <w:adjustRightInd w:val="0"/>
              <w:snapToGrid w:val="0"/>
              <w:spacing w:line="300" w:lineRule="auto"/>
              <w:rPr>
                <w:rFonts w:eastAsia="仿宋_GB2312"/>
                <w:color w:val="000000"/>
                <w:kern w:val="0"/>
                <w:sz w:val="28"/>
                <w:szCs w:val="28"/>
              </w:rPr>
            </w:pPr>
            <w:r>
              <w:rPr>
                <w:rFonts w:eastAsia="仿宋_GB2312"/>
                <w:color w:val="000000"/>
                <w:kern w:val="0"/>
                <w:sz w:val="28"/>
                <w:szCs w:val="28"/>
              </w:rPr>
              <w:t>患者损伤</w:t>
            </w:r>
          </w:p>
        </w:tc>
      </w:tr>
      <w:tr w14:paraId="7AF2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01" w:type="dxa"/>
            <w:vMerge w:val="continue"/>
          </w:tcPr>
          <w:p w14:paraId="50588170">
            <w:pPr>
              <w:adjustRightInd w:val="0"/>
              <w:snapToGrid w:val="0"/>
              <w:spacing w:line="300" w:lineRule="auto"/>
              <w:rPr>
                <w:rFonts w:eastAsia="仿宋"/>
                <w:sz w:val="28"/>
                <w:szCs w:val="28"/>
              </w:rPr>
            </w:pPr>
          </w:p>
        </w:tc>
        <w:tc>
          <w:tcPr>
            <w:tcW w:w="3118" w:type="dxa"/>
          </w:tcPr>
          <w:p w14:paraId="4BA43A31">
            <w:pPr>
              <w:autoSpaceDE w:val="0"/>
              <w:autoSpaceDN w:val="0"/>
              <w:adjustRightInd w:val="0"/>
              <w:snapToGrid w:val="0"/>
              <w:spacing w:line="520" w:lineRule="exact"/>
              <w:rPr>
                <w:rFonts w:eastAsia="仿宋_GB2312"/>
                <w:color w:val="000000"/>
                <w:kern w:val="0"/>
                <w:sz w:val="28"/>
                <w:szCs w:val="28"/>
              </w:rPr>
            </w:pPr>
            <w:r>
              <w:rPr>
                <w:rFonts w:eastAsia="仿宋_GB2312"/>
                <w:color w:val="000000"/>
                <w:kern w:val="0"/>
                <w:sz w:val="28"/>
                <w:szCs w:val="28"/>
              </w:rPr>
              <w:t>操作数据显示或传输不准确，或对于软件的操作说明、提示不清</w:t>
            </w:r>
          </w:p>
        </w:tc>
        <w:tc>
          <w:tcPr>
            <w:tcW w:w="2693" w:type="dxa"/>
          </w:tcPr>
          <w:p w14:paraId="6E77627C">
            <w:pPr>
              <w:rPr>
                <w:rFonts w:eastAsia="仿宋_GB2312"/>
              </w:rPr>
            </w:pPr>
            <w:r>
              <w:rPr>
                <w:rFonts w:eastAsia="仿宋_GB2312"/>
                <w:color w:val="000000"/>
                <w:kern w:val="0"/>
                <w:sz w:val="28"/>
                <w:szCs w:val="28"/>
              </w:rPr>
              <w:t>进行了错误操作</w:t>
            </w:r>
          </w:p>
        </w:tc>
        <w:tc>
          <w:tcPr>
            <w:tcW w:w="1558" w:type="dxa"/>
          </w:tcPr>
          <w:p w14:paraId="4A9A1723">
            <w:pPr>
              <w:autoSpaceDE w:val="0"/>
              <w:autoSpaceDN w:val="0"/>
              <w:adjustRightInd w:val="0"/>
              <w:snapToGrid w:val="0"/>
              <w:spacing w:line="300" w:lineRule="auto"/>
              <w:rPr>
                <w:rFonts w:eastAsia="仿宋_GB2312"/>
                <w:color w:val="000000"/>
                <w:kern w:val="0"/>
                <w:sz w:val="28"/>
                <w:szCs w:val="28"/>
              </w:rPr>
            </w:pPr>
            <w:r>
              <w:rPr>
                <w:rFonts w:eastAsia="仿宋_GB2312"/>
                <w:color w:val="000000"/>
                <w:kern w:val="0"/>
                <w:sz w:val="28"/>
                <w:szCs w:val="28"/>
              </w:rPr>
              <w:t>患者损伤</w:t>
            </w:r>
          </w:p>
        </w:tc>
      </w:tr>
    </w:tbl>
    <w:p w14:paraId="589D839F"/>
    <w:p w14:paraId="0B8832EE">
      <w:pPr>
        <w:spacing w:line="520" w:lineRule="exact"/>
        <w:ind w:firstLine="640" w:firstLineChars="200"/>
        <w:outlineLvl w:val="1"/>
        <w:rPr>
          <w:rFonts w:eastAsia="楷体_GB2312"/>
          <w:color w:val="000000"/>
          <w:sz w:val="32"/>
          <w:szCs w:val="32"/>
        </w:rPr>
      </w:pPr>
      <w:r>
        <w:rPr>
          <w:rFonts w:eastAsia="楷体_GB2312"/>
          <w:color w:val="000000"/>
          <w:sz w:val="32"/>
          <w:szCs w:val="32"/>
        </w:rPr>
        <w:t>（八）产品的研究要求</w:t>
      </w:r>
    </w:p>
    <w:p w14:paraId="1C9558F1">
      <w:pPr>
        <w:spacing w:line="520" w:lineRule="exact"/>
        <w:ind w:firstLine="640" w:firstLineChars="200"/>
        <w:outlineLvl w:val="2"/>
        <w:rPr>
          <w:rFonts w:eastAsia="仿宋_GB2312"/>
          <w:bCs/>
          <w:sz w:val="32"/>
          <w:szCs w:val="32"/>
        </w:rPr>
      </w:pPr>
      <w:r>
        <w:rPr>
          <w:rFonts w:eastAsia="仿宋_GB2312"/>
          <w:bCs/>
          <w:sz w:val="32"/>
          <w:szCs w:val="32"/>
        </w:rPr>
        <w:t>1.产品性能研究</w:t>
      </w:r>
    </w:p>
    <w:p w14:paraId="4D021122">
      <w:pPr>
        <w:spacing w:line="520" w:lineRule="exact"/>
        <w:ind w:firstLine="640" w:firstLineChars="200"/>
        <w:rPr>
          <w:rFonts w:eastAsia="仿宋_GB2312"/>
          <w:kern w:val="0"/>
          <w:sz w:val="32"/>
          <w:szCs w:val="32"/>
        </w:rPr>
      </w:pPr>
      <w:r>
        <w:rPr>
          <w:rFonts w:eastAsia="仿宋_GB2312"/>
          <w:sz w:val="32"/>
          <w:szCs w:val="32"/>
        </w:rPr>
        <w:t>应提供性能指标及试验方法的制定依据。提供应符合的国家标准、行业标准，给出其中不适用</w:t>
      </w:r>
      <w:r>
        <w:rPr>
          <w:rFonts w:eastAsia="仿宋_GB2312"/>
          <w:color w:val="000000"/>
          <w:sz w:val="32"/>
          <w:szCs w:val="32"/>
        </w:rPr>
        <w:t>项的</w:t>
      </w:r>
      <w:r>
        <w:rPr>
          <w:rFonts w:eastAsia="仿宋_GB2312"/>
          <w:sz w:val="32"/>
          <w:szCs w:val="32"/>
        </w:rPr>
        <w:t>说明。</w:t>
      </w:r>
      <w:r>
        <w:rPr>
          <w:rFonts w:eastAsia="仿宋_GB2312"/>
          <w:kern w:val="0"/>
          <w:sz w:val="32"/>
          <w:szCs w:val="32"/>
        </w:rPr>
        <w:t>至少应对训练速度及变化（</w:t>
      </w:r>
      <w:r>
        <w:rPr>
          <w:rFonts w:hint="eastAsia" w:eastAsia="仿宋_GB2312"/>
          <w:kern w:val="0"/>
          <w:sz w:val="32"/>
          <w:szCs w:val="32"/>
        </w:rPr>
        <w:t>运动速度</w:t>
      </w:r>
      <w:r>
        <w:rPr>
          <w:rFonts w:eastAsia="仿宋_GB2312"/>
          <w:kern w:val="0"/>
          <w:sz w:val="32"/>
          <w:szCs w:val="32"/>
        </w:rPr>
        <w:t>或角速度）、关节活动范围、最大输出扭矩、</w:t>
      </w:r>
      <w:r>
        <w:rPr>
          <w:rFonts w:hint="eastAsia" w:eastAsia="仿宋_GB2312"/>
          <w:kern w:val="0"/>
          <w:sz w:val="32"/>
          <w:szCs w:val="32"/>
        </w:rPr>
        <w:t>痉挛检测等级设置、</w:t>
      </w:r>
      <w:r>
        <w:rPr>
          <w:rFonts w:eastAsia="仿宋_GB2312"/>
          <w:kern w:val="0"/>
          <w:sz w:val="32"/>
          <w:szCs w:val="32"/>
        </w:rPr>
        <w:t>紧急状态下保护措施等关键指标进行研究，并提供其理论依据、临床依据及相关验证资料。</w:t>
      </w:r>
    </w:p>
    <w:p w14:paraId="4D05497B">
      <w:pPr>
        <w:spacing w:line="520" w:lineRule="exact"/>
        <w:ind w:firstLine="640" w:firstLineChars="200"/>
        <w:outlineLvl w:val="2"/>
        <w:rPr>
          <w:rFonts w:eastAsia="仿宋_GB2312"/>
          <w:bCs/>
          <w:sz w:val="32"/>
          <w:szCs w:val="32"/>
        </w:rPr>
      </w:pPr>
      <w:r>
        <w:rPr>
          <w:rFonts w:eastAsia="仿宋_GB2312"/>
          <w:bCs/>
          <w:sz w:val="32"/>
          <w:szCs w:val="32"/>
        </w:rPr>
        <w:t>2.生物相容性研究</w:t>
      </w:r>
    </w:p>
    <w:p w14:paraId="2FB4112C">
      <w:pPr>
        <w:spacing w:line="520" w:lineRule="exact"/>
        <w:ind w:firstLine="640" w:firstLineChars="200"/>
        <w:rPr>
          <w:rFonts w:eastAsia="仿宋_GB2312"/>
          <w:sz w:val="32"/>
          <w:szCs w:val="32"/>
        </w:rPr>
      </w:pPr>
      <w:r>
        <w:rPr>
          <w:rFonts w:eastAsia="仿宋_GB2312"/>
          <w:sz w:val="32"/>
          <w:szCs w:val="32"/>
        </w:rPr>
        <w:t>依据GB/T 16886.1—2011《医疗器械生物学评价 第1部分 风险管理过程中的评价与试验》标准进行生物相容性评价。</w:t>
      </w:r>
    </w:p>
    <w:p w14:paraId="47AF87DA">
      <w:pPr>
        <w:spacing w:line="520" w:lineRule="exact"/>
        <w:ind w:firstLine="640" w:firstLineChars="200"/>
        <w:rPr>
          <w:rFonts w:eastAsia="仿宋_GB2312"/>
          <w:kern w:val="0"/>
          <w:sz w:val="32"/>
          <w:szCs w:val="32"/>
        </w:rPr>
      </w:pPr>
      <w:r>
        <w:rPr>
          <w:rFonts w:eastAsia="仿宋_GB2312"/>
          <w:kern w:val="0"/>
          <w:sz w:val="32"/>
          <w:szCs w:val="32"/>
        </w:rPr>
        <w:t>若接触面与人体不直接接触，则</w:t>
      </w:r>
      <w:r>
        <w:rPr>
          <w:rFonts w:eastAsia="仿宋_GB2312"/>
          <w:sz w:val="32"/>
          <w:szCs w:val="32"/>
        </w:rPr>
        <w:t>可不提供其他生物相容性评价资料。</w:t>
      </w:r>
    </w:p>
    <w:p w14:paraId="0156253D">
      <w:pPr>
        <w:spacing w:line="520" w:lineRule="exact"/>
        <w:ind w:firstLine="640" w:firstLineChars="200"/>
        <w:outlineLvl w:val="2"/>
        <w:rPr>
          <w:rFonts w:eastAsia="仿宋_GB2312"/>
          <w:bCs/>
          <w:sz w:val="32"/>
          <w:szCs w:val="32"/>
        </w:rPr>
      </w:pPr>
      <w:r>
        <w:rPr>
          <w:rFonts w:eastAsia="仿宋_GB2312"/>
          <w:bCs/>
          <w:sz w:val="32"/>
          <w:szCs w:val="32"/>
        </w:rPr>
        <w:t>3.</w:t>
      </w:r>
      <w:r>
        <w:rPr>
          <w:rFonts w:hint="eastAsia" w:eastAsia="仿宋_GB2312"/>
          <w:bCs/>
          <w:sz w:val="32"/>
          <w:szCs w:val="32"/>
        </w:rPr>
        <w:t>清洁及</w:t>
      </w:r>
      <w:r>
        <w:rPr>
          <w:rFonts w:eastAsia="仿宋_GB2312"/>
          <w:bCs/>
          <w:sz w:val="32"/>
          <w:szCs w:val="32"/>
        </w:rPr>
        <w:t>消毒工艺研究</w:t>
      </w:r>
    </w:p>
    <w:p w14:paraId="7BA98B56">
      <w:pPr>
        <w:spacing w:line="520" w:lineRule="exact"/>
        <w:ind w:firstLine="640" w:firstLineChars="200"/>
        <w:rPr>
          <w:rFonts w:eastAsia="仿宋_GB2312"/>
          <w:sz w:val="32"/>
          <w:szCs w:val="32"/>
        </w:rPr>
      </w:pPr>
      <w:r>
        <w:rPr>
          <w:rFonts w:eastAsia="仿宋_GB2312"/>
          <w:sz w:val="32"/>
          <w:szCs w:val="32"/>
        </w:rPr>
        <w:t>应当明确推荐的</w:t>
      </w:r>
      <w:r>
        <w:rPr>
          <w:rFonts w:hint="eastAsia" w:eastAsia="仿宋_GB2312"/>
          <w:sz w:val="32"/>
          <w:szCs w:val="32"/>
        </w:rPr>
        <w:t>清洁方法</w:t>
      </w:r>
      <w:r>
        <w:rPr>
          <w:rFonts w:eastAsia="仿宋_GB2312"/>
          <w:sz w:val="32"/>
          <w:szCs w:val="32"/>
        </w:rPr>
        <w:t>以及</w:t>
      </w:r>
      <w:r>
        <w:rPr>
          <w:rFonts w:hint="eastAsia" w:eastAsia="仿宋_GB2312"/>
          <w:sz w:val="32"/>
          <w:szCs w:val="32"/>
        </w:rPr>
        <w:t>用于清洁的产品。</w:t>
      </w:r>
    </w:p>
    <w:p w14:paraId="19459937">
      <w:pPr>
        <w:spacing w:line="520" w:lineRule="exact"/>
        <w:ind w:firstLine="640" w:firstLineChars="200"/>
        <w:rPr>
          <w:rFonts w:eastAsia="仿宋_GB2312"/>
          <w:sz w:val="32"/>
          <w:szCs w:val="32"/>
        </w:rPr>
      </w:pPr>
      <w:r>
        <w:rPr>
          <w:rFonts w:hint="eastAsia" w:eastAsia="仿宋_GB2312"/>
          <w:sz w:val="32"/>
          <w:szCs w:val="32"/>
        </w:rPr>
        <w:t>如需消毒，</w:t>
      </w:r>
      <w:r>
        <w:rPr>
          <w:rFonts w:eastAsia="仿宋_GB2312"/>
          <w:sz w:val="32"/>
          <w:szCs w:val="32"/>
        </w:rPr>
        <w:t>应当明确推荐的消毒工艺（方法和参数）以及所推荐消毒方法确定的依据，并提供效果验证资料。</w:t>
      </w:r>
    </w:p>
    <w:p w14:paraId="60A1203B">
      <w:pPr>
        <w:spacing w:line="520" w:lineRule="exact"/>
        <w:ind w:firstLine="640" w:firstLineChars="200"/>
        <w:outlineLvl w:val="2"/>
        <w:rPr>
          <w:rFonts w:eastAsia="仿宋_GB2312"/>
          <w:bCs/>
          <w:sz w:val="32"/>
          <w:szCs w:val="32"/>
        </w:rPr>
      </w:pPr>
      <w:r>
        <w:rPr>
          <w:rFonts w:eastAsia="仿宋_GB2312"/>
          <w:bCs/>
          <w:sz w:val="32"/>
          <w:szCs w:val="32"/>
        </w:rPr>
        <w:t>4.</w:t>
      </w:r>
      <w:r>
        <w:rPr>
          <w:rFonts w:eastAsia="仿宋_GB2312"/>
          <w:color w:val="000000"/>
          <w:sz w:val="32"/>
          <w:szCs w:val="32"/>
        </w:rPr>
        <w:t>产品有效期和包装研究</w:t>
      </w:r>
    </w:p>
    <w:p w14:paraId="2436FEC6">
      <w:pPr>
        <w:spacing w:line="520" w:lineRule="exact"/>
        <w:ind w:firstLine="640" w:firstLineChars="200"/>
        <w:rPr>
          <w:rFonts w:eastAsia="仿宋_GB2312"/>
          <w:bCs/>
          <w:sz w:val="32"/>
          <w:szCs w:val="32"/>
        </w:rPr>
      </w:pPr>
      <w:r>
        <w:rPr>
          <w:rFonts w:eastAsia="仿宋_GB2312"/>
          <w:sz w:val="32"/>
          <w:szCs w:val="20"/>
        </w:rPr>
        <w:t>4.1</w:t>
      </w:r>
      <w:r>
        <w:rPr>
          <w:rFonts w:eastAsia="仿宋_GB2312"/>
          <w:bCs/>
          <w:sz w:val="32"/>
          <w:szCs w:val="32"/>
        </w:rPr>
        <w:t>使用期限</w:t>
      </w:r>
    </w:p>
    <w:p w14:paraId="45D6318E">
      <w:pPr>
        <w:spacing w:line="520" w:lineRule="exact"/>
        <w:ind w:firstLine="640" w:firstLineChars="200"/>
        <w:rPr>
          <w:rFonts w:eastAsia="仿宋_GB2312"/>
          <w:sz w:val="32"/>
          <w:szCs w:val="32"/>
        </w:rPr>
      </w:pPr>
      <w:r>
        <w:rPr>
          <w:rFonts w:eastAsia="仿宋_GB2312"/>
          <w:sz w:val="32"/>
          <w:szCs w:val="32"/>
        </w:rPr>
        <w:t>申请人应基于风险评估及可靠性测试提供整机使用期限评估资料。</w:t>
      </w:r>
    </w:p>
    <w:p w14:paraId="525286DC">
      <w:pPr>
        <w:spacing w:line="520" w:lineRule="exact"/>
        <w:ind w:firstLine="640" w:firstLineChars="200"/>
        <w:rPr>
          <w:rFonts w:eastAsia="仿宋_GB2312"/>
          <w:kern w:val="0"/>
          <w:sz w:val="32"/>
          <w:szCs w:val="32"/>
        </w:rPr>
      </w:pPr>
      <w:r>
        <w:rPr>
          <w:rFonts w:eastAsia="仿宋_GB2312"/>
          <w:kern w:val="0"/>
          <w:sz w:val="32"/>
          <w:szCs w:val="32"/>
        </w:rPr>
        <w:t>应根据自身产品临床应用和产品设计情况，确定出产品的关键部件和可更换部件。应明确在预期使用条件下关键部件的使用期限，及可更换部件的定期保养维护时间和更换频次，且应提供确定使用寿命和更换频次的理论依据。</w:t>
      </w:r>
    </w:p>
    <w:p w14:paraId="2B2A49A6">
      <w:pPr>
        <w:spacing w:line="520" w:lineRule="exact"/>
        <w:ind w:firstLine="640" w:firstLineChars="200"/>
        <w:rPr>
          <w:rFonts w:eastAsia="仿宋_GB2312"/>
          <w:kern w:val="0"/>
          <w:sz w:val="32"/>
          <w:szCs w:val="32"/>
        </w:rPr>
      </w:pPr>
      <w:r>
        <w:rPr>
          <w:rFonts w:hint="eastAsia" w:eastAsia="仿宋_GB2312"/>
          <w:kern w:val="0"/>
          <w:sz w:val="32"/>
          <w:szCs w:val="32"/>
        </w:rPr>
        <w:t>关键部件至少应包括执行电机、控制器等。</w:t>
      </w:r>
    </w:p>
    <w:p w14:paraId="77508705">
      <w:pPr>
        <w:spacing w:line="520" w:lineRule="exact"/>
        <w:ind w:firstLine="640" w:firstLineChars="200"/>
        <w:rPr>
          <w:rFonts w:eastAsia="仿宋_GB2312"/>
          <w:bCs/>
          <w:sz w:val="32"/>
          <w:szCs w:val="32"/>
        </w:rPr>
      </w:pPr>
      <w:r>
        <w:rPr>
          <w:rFonts w:eastAsia="仿宋_GB2312"/>
          <w:sz w:val="32"/>
          <w:szCs w:val="20"/>
        </w:rPr>
        <w:t>4.2</w:t>
      </w:r>
      <w:r>
        <w:rPr>
          <w:rFonts w:eastAsia="仿宋_GB2312"/>
          <w:bCs/>
          <w:sz w:val="32"/>
          <w:szCs w:val="32"/>
        </w:rPr>
        <w:t>包装研究</w:t>
      </w:r>
    </w:p>
    <w:p w14:paraId="2E52AFAF">
      <w:pPr>
        <w:spacing w:line="520" w:lineRule="exact"/>
        <w:ind w:firstLine="640" w:firstLineChars="200"/>
        <w:rPr>
          <w:rFonts w:eastAsia="仿宋_GB2312"/>
          <w:color w:val="FF0000"/>
          <w:sz w:val="32"/>
          <w:szCs w:val="32"/>
        </w:rPr>
      </w:pPr>
      <w:r>
        <w:rPr>
          <w:rFonts w:eastAsia="仿宋_GB2312"/>
          <w:sz w:val="32"/>
          <w:szCs w:val="32"/>
        </w:rPr>
        <w:t>应</w:t>
      </w:r>
      <w:r>
        <w:rPr>
          <w:rFonts w:eastAsia="仿宋_GB2312"/>
          <w:spacing w:val="6"/>
          <w:sz w:val="32"/>
          <w:szCs w:val="32"/>
        </w:rPr>
        <w:t>提供在宣称运输储存条件下符合相关</w:t>
      </w:r>
      <w:r>
        <w:rPr>
          <w:rFonts w:eastAsia="仿宋_GB2312"/>
          <w:sz w:val="32"/>
          <w:szCs w:val="32"/>
        </w:rPr>
        <w:t>标准要求的验证资料。</w:t>
      </w:r>
    </w:p>
    <w:p w14:paraId="3EDA2311">
      <w:pPr>
        <w:spacing w:line="520" w:lineRule="exact"/>
        <w:ind w:firstLine="640" w:firstLineChars="200"/>
        <w:outlineLvl w:val="2"/>
        <w:rPr>
          <w:rFonts w:eastAsia="仿宋_GB2312"/>
          <w:bCs/>
          <w:sz w:val="32"/>
          <w:szCs w:val="32"/>
        </w:rPr>
      </w:pPr>
      <w:r>
        <w:rPr>
          <w:rFonts w:eastAsia="仿宋_GB2312"/>
          <w:bCs/>
          <w:sz w:val="32"/>
          <w:szCs w:val="32"/>
        </w:rPr>
        <w:t>5.软件与网络安全研究</w:t>
      </w:r>
    </w:p>
    <w:p w14:paraId="15C932FE">
      <w:pPr>
        <w:spacing w:line="520" w:lineRule="exact"/>
        <w:ind w:firstLine="640" w:firstLineChars="200"/>
        <w:rPr>
          <w:rFonts w:eastAsia="仿宋_GB2312"/>
          <w:sz w:val="32"/>
          <w:szCs w:val="32"/>
        </w:rPr>
      </w:pPr>
      <w:r>
        <w:rPr>
          <w:rFonts w:eastAsia="仿宋_GB2312"/>
          <w:sz w:val="32"/>
          <w:szCs w:val="32"/>
        </w:rPr>
        <w:t>依据《医疗器械软件注册技术审查指导原则》（国家食品药品监督管理总局通告2015年第50号）提交软件描述文档</w:t>
      </w:r>
      <w:r>
        <w:rPr>
          <w:rFonts w:hint="eastAsia" w:eastAsia="仿宋_GB2312"/>
          <w:sz w:val="32"/>
          <w:szCs w:val="32"/>
        </w:rPr>
        <w:t>。如适用，</w:t>
      </w:r>
      <w:r>
        <w:rPr>
          <w:rFonts w:eastAsia="仿宋_GB2312"/>
          <w:sz w:val="32"/>
          <w:szCs w:val="32"/>
        </w:rPr>
        <w:t>依据《医疗器械网络安全注册技术审查指导原则》（国家食品药品监督管理总局通告2017年第13号）提供网络安全描述文档。</w:t>
      </w:r>
    </w:p>
    <w:p w14:paraId="4A3FA5A1">
      <w:pPr>
        <w:spacing w:line="520" w:lineRule="exact"/>
        <w:ind w:firstLine="640" w:firstLineChars="200"/>
        <w:rPr>
          <w:rFonts w:eastAsia="仿宋_GB2312"/>
          <w:sz w:val="32"/>
        </w:rPr>
      </w:pPr>
      <w:r>
        <w:rPr>
          <w:rFonts w:eastAsia="仿宋_GB2312"/>
          <w:sz w:val="32"/>
        </w:rPr>
        <w:t>该产品的软件通常有两种情况：一种为产品仅包含嵌入式软件，存在于设备中；另一种为产品既包含嵌入式软件，又包含</w:t>
      </w:r>
      <w:r>
        <w:rPr>
          <w:rFonts w:hint="eastAsia" w:eastAsia="仿宋_GB2312"/>
          <w:sz w:val="32"/>
        </w:rPr>
        <w:t>人机交互</w:t>
      </w:r>
      <w:r>
        <w:rPr>
          <w:rFonts w:eastAsia="仿宋_GB2312"/>
          <w:sz w:val="32"/>
        </w:rPr>
        <w:t>软件。申请人应根据产品的实际情况，提供完整的软件研究资料。</w:t>
      </w:r>
    </w:p>
    <w:p w14:paraId="4600C501">
      <w:pPr>
        <w:spacing w:line="520" w:lineRule="exact"/>
        <w:ind w:firstLine="640" w:firstLineChars="200"/>
        <w:rPr>
          <w:rFonts w:eastAsia="仿宋"/>
          <w:sz w:val="32"/>
          <w:szCs w:val="32"/>
        </w:rPr>
      </w:pPr>
      <w:r>
        <w:rPr>
          <w:rFonts w:eastAsia="仿宋_GB2312"/>
          <w:sz w:val="32"/>
        </w:rPr>
        <w:t>申请人在提交软件描述文档时应包含软件的基本信息、实现过程和核心算法等，</w:t>
      </w:r>
      <w:r>
        <w:rPr>
          <w:rFonts w:eastAsia="仿宋_GB2312"/>
          <w:sz w:val="32"/>
          <w:szCs w:val="32"/>
        </w:rPr>
        <w:t>其中核心算法包括不限于表3内容。</w:t>
      </w:r>
    </w:p>
    <w:p w14:paraId="230B328F">
      <w:pPr>
        <w:spacing w:line="520" w:lineRule="exact"/>
        <w:ind w:firstLine="640" w:firstLineChars="200"/>
        <w:rPr>
          <w:rFonts w:eastAsia="仿宋"/>
          <w:sz w:val="32"/>
          <w:szCs w:val="32"/>
        </w:rPr>
      </w:pPr>
    </w:p>
    <w:p w14:paraId="2E907D62">
      <w:pPr>
        <w:spacing w:line="520" w:lineRule="exact"/>
        <w:jc w:val="center"/>
        <w:rPr>
          <w:rFonts w:eastAsia="黑体"/>
          <w:sz w:val="28"/>
          <w:szCs w:val="28"/>
        </w:rPr>
      </w:pPr>
    </w:p>
    <w:p w14:paraId="6D3552D4">
      <w:pPr>
        <w:spacing w:line="520" w:lineRule="exact"/>
        <w:jc w:val="center"/>
        <w:rPr>
          <w:rFonts w:eastAsia="黑体"/>
          <w:sz w:val="28"/>
          <w:szCs w:val="28"/>
        </w:rPr>
      </w:pPr>
    </w:p>
    <w:p w14:paraId="45F87482">
      <w:pPr>
        <w:spacing w:line="520" w:lineRule="exact"/>
        <w:jc w:val="center"/>
        <w:rPr>
          <w:rFonts w:eastAsia="黑体"/>
          <w:sz w:val="28"/>
          <w:szCs w:val="28"/>
        </w:rPr>
      </w:pPr>
      <w:r>
        <w:rPr>
          <w:rFonts w:eastAsia="黑体"/>
          <w:sz w:val="28"/>
          <w:szCs w:val="28"/>
        </w:rPr>
        <w:t>表3</w:t>
      </w:r>
      <w:r>
        <w:rPr>
          <w:rFonts w:hint="eastAsia" w:eastAsia="黑体"/>
          <w:sz w:val="28"/>
          <w:szCs w:val="28"/>
        </w:rPr>
        <w:t>：</w:t>
      </w:r>
      <w:r>
        <w:rPr>
          <w:rFonts w:eastAsia="黑体"/>
          <w:sz w:val="28"/>
          <w:szCs w:val="28"/>
        </w:rPr>
        <w:t>核心算法示例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4728"/>
      </w:tblGrid>
      <w:tr w14:paraId="331E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tcPr>
          <w:p w14:paraId="49B61D4E">
            <w:pPr>
              <w:autoSpaceDE w:val="0"/>
              <w:autoSpaceDN w:val="0"/>
              <w:adjustRightInd w:val="0"/>
              <w:spacing w:line="520" w:lineRule="exact"/>
              <w:jc w:val="center"/>
              <w:rPr>
                <w:rFonts w:eastAsia="黑体"/>
                <w:color w:val="000000"/>
                <w:spacing w:val="-4"/>
                <w:sz w:val="28"/>
                <w:szCs w:val="28"/>
              </w:rPr>
            </w:pPr>
            <w:r>
              <w:rPr>
                <w:rFonts w:eastAsia="黑体"/>
                <w:color w:val="000000"/>
                <w:spacing w:val="-4"/>
                <w:sz w:val="28"/>
                <w:szCs w:val="28"/>
              </w:rPr>
              <w:t>核心算法举例</w:t>
            </w:r>
          </w:p>
        </w:tc>
        <w:tc>
          <w:tcPr>
            <w:tcW w:w="4728" w:type="dxa"/>
          </w:tcPr>
          <w:p w14:paraId="41689FD0">
            <w:pPr>
              <w:autoSpaceDE w:val="0"/>
              <w:autoSpaceDN w:val="0"/>
              <w:adjustRightInd w:val="0"/>
              <w:spacing w:line="520" w:lineRule="exact"/>
              <w:jc w:val="center"/>
              <w:rPr>
                <w:rFonts w:eastAsia="黑体"/>
                <w:color w:val="000000"/>
                <w:spacing w:val="-4"/>
                <w:sz w:val="28"/>
                <w:szCs w:val="28"/>
              </w:rPr>
            </w:pPr>
            <w:r>
              <w:rPr>
                <w:rFonts w:eastAsia="黑体"/>
                <w:color w:val="000000"/>
                <w:spacing w:val="-4"/>
                <w:sz w:val="28"/>
                <w:szCs w:val="28"/>
              </w:rPr>
              <w:t>说明</w:t>
            </w:r>
          </w:p>
        </w:tc>
      </w:tr>
      <w:tr w14:paraId="7B72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06" w:type="dxa"/>
            <w:vAlign w:val="center"/>
          </w:tcPr>
          <w:p w14:paraId="7DF6369B">
            <w:pPr>
              <w:autoSpaceDE w:val="0"/>
              <w:autoSpaceDN w:val="0"/>
              <w:adjustRightInd w:val="0"/>
              <w:spacing w:line="520" w:lineRule="exact"/>
              <w:jc w:val="left"/>
              <w:rPr>
                <w:rFonts w:eastAsia="仿宋_GB2312"/>
                <w:spacing w:val="-4"/>
                <w:sz w:val="28"/>
                <w:szCs w:val="28"/>
              </w:rPr>
            </w:pPr>
            <w:r>
              <w:rPr>
                <w:rFonts w:eastAsia="仿宋_GB2312"/>
                <w:spacing w:val="-4"/>
                <w:sz w:val="28"/>
                <w:szCs w:val="28"/>
              </w:rPr>
              <w:t>痉挛保护</w:t>
            </w:r>
          </w:p>
        </w:tc>
        <w:tc>
          <w:tcPr>
            <w:tcW w:w="4728" w:type="dxa"/>
            <w:vAlign w:val="center"/>
          </w:tcPr>
          <w:p w14:paraId="213FD2C2">
            <w:pPr>
              <w:autoSpaceDE w:val="0"/>
              <w:autoSpaceDN w:val="0"/>
              <w:adjustRightInd w:val="0"/>
              <w:spacing w:line="520" w:lineRule="exact"/>
              <w:jc w:val="left"/>
              <w:rPr>
                <w:rFonts w:eastAsia="仿宋_GB2312"/>
                <w:spacing w:val="-4"/>
                <w:sz w:val="28"/>
                <w:szCs w:val="28"/>
              </w:rPr>
            </w:pPr>
            <w:r>
              <w:rPr>
                <w:rFonts w:eastAsia="仿宋_GB2312"/>
                <w:spacing w:val="-4"/>
                <w:sz w:val="28"/>
                <w:szCs w:val="28"/>
              </w:rPr>
              <w:t>说明痉挛保护的触发条件，处理过程</w:t>
            </w:r>
          </w:p>
        </w:tc>
      </w:tr>
      <w:tr w14:paraId="28DB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06" w:type="dxa"/>
            <w:vAlign w:val="center"/>
          </w:tcPr>
          <w:p w14:paraId="4A111D46">
            <w:pPr>
              <w:autoSpaceDE w:val="0"/>
              <w:autoSpaceDN w:val="0"/>
              <w:adjustRightInd w:val="0"/>
              <w:spacing w:line="520" w:lineRule="exact"/>
              <w:jc w:val="left"/>
              <w:rPr>
                <w:rFonts w:eastAsia="仿宋_GB2312"/>
                <w:spacing w:val="-4"/>
                <w:sz w:val="28"/>
                <w:szCs w:val="28"/>
              </w:rPr>
            </w:pPr>
            <w:r>
              <w:rPr>
                <w:rFonts w:hint="eastAsia" w:eastAsia="仿宋_GB2312"/>
                <w:spacing w:val="-4"/>
                <w:sz w:val="28"/>
                <w:szCs w:val="28"/>
              </w:rPr>
              <w:t>速度</w:t>
            </w:r>
            <w:r>
              <w:rPr>
                <w:rFonts w:eastAsia="仿宋_GB2312"/>
                <w:spacing w:val="-4"/>
                <w:sz w:val="28"/>
                <w:szCs w:val="28"/>
              </w:rPr>
              <w:t>变化</w:t>
            </w:r>
          </w:p>
        </w:tc>
        <w:tc>
          <w:tcPr>
            <w:tcW w:w="4728" w:type="dxa"/>
            <w:vAlign w:val="center"/>
          </w:tcPr>
          <w:p w14:paraId="4FF35D9C">
            <w:pPr>
              <w:autoSpaceDE w:val="0"/>
              <w:autoSpaceDN w:val="0"/>
              <w:adjustRightInd w:val="0"/>
              <w:spacing w:line="520" w:lineRule="exact"/>
              <w:jc w:val="left"/>
              <w:rPr>
                <w:rFonts w:eastAsia="仿宋_GB2312"/>
                <w:spacing w:val="-4"/>
                <w:sz w:val="28"/>
                <w:szCs w:val="28"/>
              </w:rPr>
            </w:pPr>
            <w:r>
              <w:rPr>
                <w:rFonts w:eastAsia="仿宋_GB2312"/>
                <w:spacing w:val="-4"/>
                <w:sz w:val="28"/>
                <w:szCs w:val="28"/>
              </w:rPr>
              <w:t>说明</w:t>
            </w:r>
            <w:r>
              <w:rPr>
                <w:rFonts w:hint="eastAsia" w:eastAsia="仿宋_GB2312"/>
                <w:spacing w:val="-4"/>
                <w:sz w:val="28"/>
                <w:szCs w:val="28"/>
              </w:rPr>
              <w:t>速度</w:t>
            </w:r>
            <w:r>
              <w:rPr>
                <w:rFonts w:eastAsia="仿宋_GB2312"/>
                <w:spacing w:val="-4"/>
                <w:sz w:val="28"/>
                <w:szCs w:val="28"/>
              </w:rPr>
              <w:t>变化的控制措施</w:t>
            </w:r>
          </w:p>
        </w:tc>
      </w:tr>
      <w:tr w14:paraId="32F5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06" w:type="dxa"/>
            <w:vAlign w:val="center"/>
          </w:tcPr>
          <w:p w14:paraId="2CC87B75">
            <w:pPr>
              <w:autoSpaceDE w:val="0"/>
              <w:autoSpaceDN w:val="0"/>
              <w:adjustRightInd w:val="0"/>
              <w:spacing w:line="520" w:lineRule="exact"/>
              <w:jc w:val="left"/>
              <w:rPr>
                <w:rFonts w:eastAsia="仿宋_GB2312"/>
                <w:spacing w:val="-4"/>
                <w:sz w:val="28"/>
                <w:szCs w:val="28"/>
              </w:rPr>
            </w:pPr>
            <w:r>
              <w:rPr>
                <w:rFonts w:eastAsia="仿宋_GB2312"/>
                <w:spacing w:val="-4"/>
                <w:sz w:val="28"/>
                <w:szCs w:val="28"/>
              </w:rPr>
              <w:t>输出扭矩变化</w:t>
            </w:r>
          </w:p>
        </w:tc>
        <w:tc>
          <w:tcPr>
            <w:tcW w:w="4728" w:type="dxa"/>
            <w:vAlign w:val="center"/>
          </w:tcPr>
          <w:p w14:paraId="026DC7EC">
            <w:pPr>
              <w:autoSpaceDE w:val="0"/>
              <w:autoSpaceDN w:val="0"/>
              <w:adjustRightInd w:val="0"/>
              <w:spacing w:line="520" w:lineRule="exact"/>
              <w:jc w:val="left"/>
              <w:rPr>
                <w:rFonts w:eastAsia="仿宋_GB2312"/>
                <w:spacing w:val="-4"/>
                <w:sz w:val="28"/>
                <w:szCs w:val="28"/>
              </w:rPr>
            </w:pPr>
            <w:r>
              <w:rPr>
                <w:rFonts w:eastAsia="仿宋_GB2312"/>
                <w:spacing w:val="-4"/>
                <w:sz w:val="28"/>
                <w:szCs w:val="28"/>
              </w:rPr>
              <w:t>说明输出扭矩的控制措施</w:t>
            </w:r>
          </w:p>
        </w:tc>
      </w:tr>
      <w:tr w14:paraId="1E1B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06" w:type="dxa"/>
            <w:vAlign w:val="center"/>
          </w:tcPr>
          <w:p w14:paraId="1DEB9415">
            <w:pPr>
              <w:autoSpaceDE w:val="0"/>
              <w:autoSpaceDN w:val="0"/>
              <w:adjustRightInd w:val="0"/>
              <w:spacing w:line="520" w:lineRule="exact"/>
              <w:jc w:val="left"/>
              <w:rPr>
                <w:rFonts w:eastAsia="仿宋_GB2312"/>
                <w:spacing w:val="-4"/>
                <w:sz w:val="28"/>
                <w:szCs w:val="28"/>
              </w:rPr>
            </w:pPr>
            <w:r>
              <w:rPr>
                <w:rFonts w:hint="eastAsia" w:eastAsia="仿宋_GB2312"/>
                <w:spacing w:val="-4"/>
                <w:sz w:val="28"/>
                <w:szCs w:val="28"/>
              </w:rPr>
              <w:t>髋关节步态</w:t>
            </w:r>
          </w:p>
        </w:tc>
        <w:tc>
          <w:tcPr>
            <w:tcW w:w="4728" w:type="dxa"/>
            <w:vAlign w:val="center"/>
          </w:tcPr>
          <w:p w14:paraId="5D2F5116">
            <w:pPr>
              <w:autoSpaceDE w:val="0"/>
              <w:autoSpaceDN w:val="0"/>
              <w:adjustRightInd w:val="0"/>
              <w:spacing w:line="520" w:lineRule="exact"/>
              <w:jc w:val="left"/>
              <w:rPr>
                <w:rFonts w:eastAsia="仿宋_GB2312"/>
                <w:spacing w:val="-4"/>
                <w:sz w:val="28"/>
                <w:szCs w:val="28"/>
              </w:rPr>
            </w:pPr>
            <w:r>
              <w:rPr>
                <w:rFonts w:hint="eastAsia" w:eastAsia="仿宋_GB2312"/>
                <w:spacing w:val="-4"/>
                <w:sz w:val="28"/>
                <w:szCs w:val="28"/>
              </w:rPr>
              <w:t>说明髋关节步态时间与位置关系</w:t>
            </w:r>
          </w:p>
        </w:tc>
      </w:tr>
      <w:tr w14:paraId="78E2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06" w:type="dxa"/>
            <w:vAlign w:val="center"/>
          </w:tcPr>
          <w:p w14:paraId="71F4C685">
            <w:pPr>
              <w:autoSpaceDE w:val="0"/>
              <w:autoSpaceDN w:val="0"/>
              <w:adjustRightInd w:val="0"/>
              <w:spacing w:line="520" w:lineRule="exact"/>
              <w:jc w:val="left"/>
              <w:rPr>
                <w:rFonts w:eastAsia="仿宋_GB2312"/>
                <w:spacing w:val="-4"/>
                <w:sz w:val="28"/>
                <w:szCs w:val="28"/>
              </w:rPr>
            </w:pPr>
            <w:r>
              <w:rPr>
                <w:rFonts w:hint="eastAsia" w:eastAsia="仿宋_GB2312"/>
                <w:spacing w:val="-4"/>
                <w:sz w:val="28"/>
                <w:szCs w:val="28"/>
              </w:rPr>
              <w:t>膝关节步态</w:t>
            </w:r>
          </w:p>
        </w:tc>
        <w:tc>
          <w:tcPr>
            <w:tcW w:w="4728" w:type="dxa"/>
            <w:vAlign w:val="center"/>
          </w:tcPr>
          <w:p w14:paraId="7A771C14">
            <w:pPr>
              <w:autoSpaceDE w:val="0"/>
              <w:autoSpaceDN w:val="0"/>
              <w:adjustRightInd w:val="0"/>
              <w:spacing w:line="520" w:lineRule="exact"/>
              <w:jc w:val="left"/>
              <w:rPr>
                <w:rFonts w:eastAsia="仿宋_GB2312"/>
                <w:spacing w:val="-4"/>
                <w:sz w:val="28"/>
                <w:szCs w:val="28"/>
              </w:rPr>
            </w:pPr>
            <w:r>
              <w:rPr>
                <w:rFonts w:hint="eastAsia" w:eastAsia="仿宋_GB2312"/>
                <w:spacing w:val="-4"/>
                <w:sz w:val="28"/>
                <w:szCs w:val="28"/>
              </w:rPr>
              <w:t>说明膝关节步态时间与位置关系</w:t>
            </w:r>
          </w:p>
        </w:tc>
      </w:tr>
      <w:tr w14:paraId="2BE2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06" w:type="dxa"/>
            <w:vAlign w:val="center"/>
          </w:tcPr>
          <w:p w14:paraId="09A2042D">
            <w:pPr>
              <w:autoSpaceDE w:val="0"/>
              <w:autoSpaceDN w:val="0"/>
              <w:adjustRightInd w:val="0"/>
              <w:spacing w:line="520" w:lineRule="exact"/>
              <w:jc w:val="left"/>
              <w:rPr>
                <w:rFonts w:eastAsia="仿宋_GB2312"/>
                <w:spacing w:val="-4"/>
                <w:sz w:val="28"/>
                <w:szCs w:val="28"/>
              </w:rPr>
            </w:pPr>
            <w:r>
              <w:rPr>
                <w:rFonts w:hint="eastAsia" w:eastAsia="仿宋_GB2312"/>
                <w:spacing w:val="-4"/>
                <w:sz w:val="28"/>
                <w:szCs w:val="28"/>
              </w:rPr>
              <w:t>踝关节步态</w:t>
            </w:r>
          </w:p>
        </w:tc>
        <w:tc>
          <w:tcPr>
            <w:tcW w:w="4728" w:type="dxa"/>
            <w:vAlign w:val="center"/>
          </w:tcPr>
          <w:p w14:paraId="5E8654CD">
            <w:pPr>
              <w:autoSpaceDE w:val="0"/>
              <w:autoSpaceDN w:val="0"/>
              <w:adjustRightInd w:val="0"/>
              <w:spacing w:line="520" w:lineRule="exact"/>
              <w:jc w:val="left"/>
              <w:rPr>
                <w:rFonts w:eastAsia="仿宋_GB2312"/>
                <w:spacing w:val="-4"/>
                <w:sz w:val="28"/>
                <w:szCs w:val="28"/>
              </w:rPr>
            </w:pPr>
            <w:r>
              <w:rPr>
                <w:rFonts w:hint="eastAsia" w:eastAsia="仿宋_GB2312"/>
                <w:spacing w:val="-4"/>
                <w:sz w:val="28"/>
                <w:szCs w:val="28"/>
              </w:rPr>
              <w:t>说明踝关节步态时间与位置关系</w:t>
            </w:r>
          </w:p>
        </w:tc>
      </w:tr>
      <w:tr w14:paraId="4213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06" w:type="dxa"/>
            <w:vAlign w:val="center"/>
          </w:tcPr>
          <w:p w14:paraId="666D659A">
            <w:pPr>
              <w:autoSpaceDE w:val="0"/>
              <w:autoSpaceDN w:val="0"/>
              <w:adjustRightInd w:val="0"/>
              <w:spacing w:line="520" w:lineRule="exact"/>
              <w:jc w:val="left"/>
              <w:rPr>
                <w:rFonts w:eastAsia="仿宋_GB2312"/>
                <w:spacing w:val="-4"/>
                <w:sz w:val="28"/>
                <w:szCs w:val="28"/>
              </w:rPr>
            </w:pPr>
            <w:r>
              <w:rPr>
                <w:rFonts w:hint="eastAsia" w:eastAsia="仿宋_GB2312"/>
                <w:spacing w:val="-4"/>
                <w:sz w:val="28"/>
                <w:szCs w:val="28"/>
              </w:rPr>
              <w:t>减重变化</w:t>
            </w:r>
          </w:p>
        </w:tc>
        <w:tc>
          <w:tcPr>
            <w:tcW w:w="4728" w:type="dxa"/>
            <w:vAlign w:val="center"/>
          </w:tcPr>
          <w:p w14:paraId="2F5E4441">
            <w:pPr>
              <w:autoSpaceDE w:val="0"/>
              <w:autoSpaceDN w:val="0"/>
              <w:adjustRightInd w:val="0"/>
              <w:spacing w:line="520" w:lineRule="exact"/>
              <w:jc w:val="left"/>
              <w:rPr>
                <w:rFonts w:eastAsia="仿宋_GB2312"/>
                <w:spacing w:val="-4"/>
                <w:sz w:val="28"/>
                <w:szCs w:val="28"/>
              </w:rPr>
            </w:pPr>
            <w:r>
              <w:rPr>
                <w:rFonts w:hint="eastAsia" w:eastAsia="仿宋_GB2312"/>
                <w:spacing w:val="-4"/>
                <w:sz w:val="28"/>
                <w:szCs w:val="28"/>
              </w:rPr>
              <w:t>说明减重的原理及实现方式</w:t>
            </w:r>
          </w:p>
        </w:tc>
      </w:tr>
    </w:tbl>
    <w:p w14:paraId="4E287611">
      <w:pPr>
        <w:spacing w:line="520" w:lineRule="exact"/>
        <w:rPr>
          <w:rFonts w:eastAsia="仿宋"/>
          <w:color w:val="000000"/>
          <w:sz w:val="32"/>
          <w:szCs w:val="32"/>
        </w:rPr>
      </w:pPr>
    </w:p>
    <w:p w14:paraId="31A9BA22">
      <w:pPr>
        <w:spacing w:line="520" w:lineRule="exact"/>
        <w:ind w:firstLine="640" w:firstLineChars="200"/>
        <w:outlineLvl w:val="2"/>
        <w:rPr>
          <w:rFonts w:eastAsia="仿宋_GB2312"/>
          <w:color w:val="000000"/>
          <w:sz w:val="32"/>
          <w:szCs w:val="32"/>
        </w:rPr>
      </w:pPr>
      <w:r>
        <w:rPr>
          <w:rFonts w:eastAsia="仿宋_GB2312"/>
          <w:color w:val="000000"/>
          <w:sz w:val="32"/>
          <w:szCs w:val="32"/>
        </w:rPr>
        <w:t>6.其他资料</w:t>
      </w:r>
    </w:p>
    <w:p w14:paraId="37AF842B">
      <w:pPr>
        <w:spacing w:line="520" w:lineRule="exact"/>
        <w:ind w:firstLine="640" w:firstLineChars="200"/>
        <w:rPr>
          <w:rFonts w:eastAsia="仿宋_GB2312"/>
          <w:color w:val="000000"/>
          <w:sz w:val="32"/>
          <w:szCs w:val="32"/>
        </w:rPr>
      </w:pPr>
      <w:r>
        <w:rPr>
          <w:rFonts w:eastAsia="仿宋_GB2312"/>
          <w:color w:val="000000"/>
          <w:sz w:val="32"/>
          <w:szCs w:val="32"/>
        </w:rPr>
        <w:t>6.1</w:t>
      </w:r>
      <w:r>
        <w:rPr>
          <w:rFonts w:eastAsia="仿宋_GB2312"/>
          <w:sz w:val="32"/>
          <w:szCs w:val="32"/>
        </w:rPr>
        <w:t>若产品适用于儿童，应提交以下研究资料。</w:t>
      </w:r>
    </w:p>
    <w:p w14:paraId="246B338D">
      <w:pPr>
        <w:spacing w:line="520" w:lineRule="exact"/>
        <w:ind w:firstLine="640" w:firstLineChars="200"/>
        <w:rPr>
          <w:rFonts w:eastAsia="仿宋_GB2312"/>
          <w:color w:val="000000"/>
          <w:sz w:val="32"/>
          <w:szCs w:val="32"/>
        </w:rPr>
      </w:pPr>
      <w:r>
        <w:rPr>
          <w:rFonts w:eastAsia="仿宋_GB2312"/>
          <w:color w:val="000000"/>
          <w:sz w:val="32"/>
          <w:szCs w:val="32"/>
        </w:rPr>
        <w:t>（1）</w:t>
      </w:r>
      <w:r>
        <w:rPr>
          <w:rFonts w:eastAsia="仿宋_GB2312"/>
          <w:sz w:val="32"/>
          <w:szCs w:val="32"/>
        </w:rPr>
        <w:t>详细说明与儿童相关的设计或功能。</w:t>
      </w:r>
    </w:p>
    <w:p w14:paraId="1DA02342">
      <w:pPr>
        <w:spacing w:line="520" w:lineRule="exact"/>
        <w:ind w:firstLine="640" w:firstLineChars="200"/>
        <w:rPr>
          <w:rFonts w:eastAsia="仿宋_GB2312"/>
          <w:color w:val="000000"/>
          <w:sz w:val="32"/>
          <w:szCs w:val="32"/>
        </w:rPr>
      </w:pPr>
      <w:r>
        <w:rPr>
          <w:rFonts w:eastAsia="仿宋_GB2312"/>
          <w:color w:val="000000"/>
          <w:sz w:val="32"/>
          <w:szCs w:val="32"/>
        </w:rPr>
        <w:t>（2）</w:t>
      </w:r>
      <w:r>
        <w:rPr>
          <w:rFonts w:eastAsia="仿宋_GB2312"/>
          <w:sz w:val="32"/>
          <w:szCs w:val="32"/>
        </w:rPr>
        <w:t>风险评估资料中，应包含更多儿童应用过程中可能出现的危险以及对应的措施。</w:t>
      </w:r>
    </w:p>
    <w:p w14:paraId="56E2E208">
      <w:pPr>
        <w:spacing w:line="520" w:lineRule="exact"/>
        <w:ind w:firstLine="640" w:firstLineChars="200"/>
        <w:rPr>
          <w:rFonts w:eastAsia="仿宋_GB2312"/>
          <w:color w:val="000000"/>
          <w:sz w:val="32"/>
          <w:szCs w:val="32"/>
        </w:rPr>
      </w:pPr>
      <w:r>
        <w:rPr>
          <w:rFonts w:eastAsia="仿宋_GB2312"/>
          <w:color w:val="000000"/>
          <w:sz w:val="32"/>
          <w:szCs w:val="32"/>
        </w:rPr>
        <w:t>（3）</w:t>
      </w:r>
      <w:r>
        <w:rPr>
          <w:rFonts w:eastAsia="仿宋_GB2312"/>
          <w:sz w:val="32"/>
          <w:szCs w:val="32"/>
        </w:rPr>
        <w:t>提供儿童训练相关的指导，包括儿童训练的设备操作方法，训练功能的配置和使用方法。</w:t>
      </w:r>
    </w:p>
    <w:p w14:paraId="0B6BF73B">
      <w:pPr>
        <w:spacing w:line="520" w:lineRule="exact"/>
        <w:ind w:firstLine="640" w:firstLineChars="200"/>
        <w:rPr>
          <w:rFonts w:eastAsia="仿宋_GB2312"/>
          <w:color w:val="000000"/>
          <w:sz w:val="32"/>
          <w:szCs w:val="32"/>
        </w:rPr>
      </w:pPr>
      <w:r>
        <w:rPr>
          <w:rFonts w:eastAsia="仿宋_GB2312"/>
          <w:color w:val="000000"/>
          <w:sz w:val="32"/>
          <w:szCs w:val="32"/>
        </w:rPr>
        <w:t>6.2</w:t>
      </w:r>
      <w:r>
        <w:rPr>
          <w:rFonts w:eastAsia="仿宋_GB2312"/>
          <w:sz w:val="32"/>
        </w:rPr>
        <w:t>对外购的组件，应出具相关证明性的资料（如：合同、检验报告等）；外购材料属于医疗器械的产品，还应提供医疗器械注册证明文件等资料。</w:t>
      </w:r>
    </w:p>
    <w:p w14:paraId="50E4588E">
      <w:pPr>
        <w:spacing w:line="520" w:lineRule="exact"/>
        <w:ind w:firstLine="640" w:firstLineChars="200"/>
        <w:outlineLvl w:val="1"/>
        <w:rPr>
          <w:rFonts w:eastAsia="楷体_GB2312"/>
          <w:color w:val="000000"/>
          <w:sz w:val="32"/>
          <w:szCs w:val="32"/>
        </w:rPr>
      </w:pPr>
      <w:r>
        <w:rPr>
          <w:rFonts w:eastAsia="楷体_GB2312"/>
          <w:color w:val="000000"/>
          <w:sz w:val="32"/>
          <w:szCs w:val="32"/>
        </w:rPr>
        <w:t>（九）产品技术要求的主要性能指标</w:t>
      </w:r>
    </w:p>
    <w:p w14:paraId="072B659D">
      <w:pPr>
        <w:overflowPunct w:val="0"/>
        <w:spacing w:line="520" w:lineRule="exact"/>
        <w:ind w:firstLine="640" w:firstLineChars="200"/>
        <w:rPr>
          <w:rFonts w:eastAsia="仿宋_GB2312"/>
          <w:sz w:val="32"/>
          <w:szCs w:val="32"/>
        </w:rPr>
      </w:pPr>
      <w:r>
        <w:rPr>
          <w:rFonts w:eastAsia="仿宋_GB2312"/>
          <w:sz w:val="32"/>
          <w:szCs w:val="32"/>
        </w:rPr>
        <w:t>产品技术要求应按照《医疗器械产品技术要求编写指导原则》（国家食品药品监督管理总局通告2014年第9号）的规定编制，各部分具体要求如下。</w:t>
      </w:r>
    </w:p>
    <w:p w14:paraId="4EC2680D">
      <w:pPr>
        <w:overflowPunct w:val="0"/>
        <w:spacing w:line="520" w:lineRule="exact"/>
        <w:ind w:firstLine="640" w:firstLineChars="200"/>
        <w:rPr>
          <w:rFonts w:eastAsia="仿宋_GB2312"/>
          <w:bCs/>
          <w:kern w:val="44"/>
          <w:sz w:val="32"/>
          <w:szCs w:val="32"/>
        </w:rPr>
      </w:pPr>
      <w:r>
        <w:rPr>
          <w:rFonts w:eastAsia="仿宋_GB2312"/>
          <w:bCs/>
          <w:kern w:val="44"/>
          <w:sz w:val="32"/>
          <w:szCs w:val="32"/>
        </w:rPr>
        <w:t>1.产品型号规格及其划分说明</w:t>
      </w:r>
    </w:p>
    <w:p w14:paraId="5325FF41">
      <w:pPr>
        <w:overflowPunct w:val="0"/>
        <w:spacing w:line="520" w:lineRule="exact"/>
        <w:ind w:firstLine="640" w:firstLineChars="200"/>
        <w:rPr>
          <w:rFonts w:eastAsia="仿宋_GB2312"/>
          <w:sz w:val="32"/>
          <w:szCs w:val="32"/>
        </w:rPr>
      </w:pPr>
      <w:r>
        <w:rPr>
          <w:rFonts w:eastAsia="仿宋_GB2312"/>
          <w:sz w:val="32"/>
          <w:szCs w:val="32"/>
        </w:rPr>
        <w:t>1.1产品型号/规格及其划分说明</w:t>
      </w:r>
    </w:p>
    <w:p w14:paraId="06C16687">
      <w:pPr>
        <w:overflowPunct w:val="0"/>
        <w:spacing w:line="520" w:lineRule="exact"/>
        <w:ind w:firstLine="640" w:firstLineChars="200"/>
        <w:rPr>
          <w:rFonts w:eastAsia="仿宋_GB2312"/>
          <w:sz w:val="32"/>
          <w:szCs w:val="32"/>
        </w:rPr>
      </w:pPr>
      <w:r>
        <w:rPr>
          <w:rFonts w:eastAsia="仿宋_GB2312"/>
          <w:sz w:val="32"/>
          <w:szCs w:val="32"/>
        </w:rPr>
        <w:t>1.2根据《医疗器械软件注册技术审查指导原则》和《医疗器械网络安全注册技术审查指导原则》的要求应在产品技术要求中公布的信息，如软件的名称、型号规格、发布版本、完整版本命名规则、运行环境（控制型软件适用，包括硬件配置、软件环境和网络条件）等。</w:t>
      </w:r>
    </w:p>
    <w:p w14:paraId="5CA62F7E">
      <w:pPr>
        <w:overflowPunct w:val="0"/>
        <w:spacing w:line="520" w:lineRule="exact"/>
        <w:ind w:firstLine="640" w:firstLineChars="200"/>
        <w:rPr>
          <w:rFonts w:eastAsia="仿宋_GB2312"/>
          <w:bCs/>
          <w:kern w:val="44"/>
          <w:sz w:val="32"/>
          <w:szCs w:val="32"/>
        </w:rPr>
      </w:pPr>
      <w:r>
        <w:rPr>
          <w:rFonts w:eastAsia="仿宋_GB2312"/>
          <w:bCs/>
          <w:kern w:val="44"/>
          <w:sz w:val="32"/>
          <w:szCs w:val="32"/>
        </w:rPr>
        <w:t>2.性能指标</w:t>
      </w:r>
    </w:p>
    <w:p w14:paraId="37774C9C">
      <w:pPr>
        <w:overflowPunct w:val="0"/>
        <w:spacing w:line="520" w:lineRule="exact"/>
        <w:ind w:firstLine="640" w:firstLineChars="200"/>
        <w:rPr>
          <w:rFonts w:eastAsia="仿宋_GB2312"/>
          <w:bCs/>
          <w:kern w:val="44"/>
          <w:sz w:val="32"/>
          <w:szCs w:val="32"/>
        </w:rPr>
      </w:pPr>
      <w:r>
        <w:rPr>
          <w:rFonts w:hint="eastAsia" w:eastAsia="仿宋_GB2312"/>
          <w:bCs/>
          <w:kern w:val="44"/>
          <w:sz w:val="32"/>
          <w:szCs w:val="32"/>
        </w:rPr>
        <w:t>2.1 操作控制</w:t>
      </w:r>
    </w:p>
    <w:p w14:paraId="77A626C7">
      <w:pPr>
        <w:spacing w:line="52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1</w:t>
      </w:r>
      <w:r>
        <w:rPr>
          <w:rFonts w:eastAsia="仿宋_GB2312"/>
          <w:kern w:val="0"/>
          <w:sz w:val="32"/>
          <w:szCs w:val="32"/>
        </w:rPr>
        <w:t>）</w:t>
      </w:r>
      <w:r>
        <w:rPr>
          <w:rFonts w:hint="eastAsia" w:eastAsia="仿宋_GB2312"/>
          <w:kern w:val="0"/>
          <w:sz w:val="32"/>
          <w:szCs w:val="32"/>
        </w:rPr>
        <w:t>减重范围应可调，适应不同身体条件的人群。</w:t>
      </w:r>
    </w:p>
    <w:p w14:paraId="67628D17">
      <w:pPr>
        <w:spacing w:line="520" w:lineRule="exact"/>
        <w:ind w:firstLine="640" w:firstLineChars="200"/>
        <w:rPr>
          <w:rFonts w:eastAsia="仿宋_GB2312"/>
          <w:sz w:val="32"/>
          <w:szCs w:val="32"/>
        </w:rPr>
      </w:pPr>
      <w:r>
        <w:rPr>
          <w:rFonts w:hint="eastAsia" w:eastAsia="仿宋_GB2312"/>
          <w:sz w:val="32"/>
          <w:szCs w:val="32"/>
        </w:rPr>
        <w:t>（2）跑台应能承受一定的重量。</w:t>
      </w:r>
    </w:p>
    <w:p w14:paraId="2C8C2B8F">
      <w:pPr>
        <w:spacing w:line="520" w:lineRule="exact"/>
        <w:ind w:firstLine="640" w:firstLineChars="200"/>
        <w:rPr>
          <w:rFonts w:eastAsia="仿宋_GB2312"/>
          <w:sz w:val="32"/>
          <w:szCs w:val="32"/>
        </w:rPr>
      </w:pPr>
      <w:r>
        <w:rPr>
          <w:rFonts w:hint="eastAsia" w:eastAsia="仿宋_GB2312"/>
          <w:sz w:val="32"/>
          <w:szCs w:val="32"/>
        </w:rPr>
        <w:t>（3）跑台运行速度应能在一定范围内可调。</w:t>
      </w:r>
    </w:p>
    <w:p w14:paraId="66A68D76">
      <w:pPr>
        <w:spacing w:line="520" w:lineRule="exact"/>
        <w:ind w:firstLine="640" w:firstLineChars="200"/>
        <w:rPr>
          <w:rFonts w:eastAsia="仿宋_GB2312"/>
          <w:sz w:val="32"/>
          <w:szCs w:val="32"/>
        </w:rPr>
      </w:pPr>
      <w:r>
        <w:rPr>
          <w:rFonts w:hint="eastAsia" w:eastAsia="仿宋_GB2312"/>
          <w:sz w:val="32"/>
          <w:szCs w:val="32"/>
        </w:rPr>
        <w:t>（4）控制装置应能实现训练时间、训练速度或强度的调节。</w:t>
      </w:r>
    </w:p>
    <w:p w14:paraId="5432713A">
      <w:pPr>
        <w:spacing w:line="520" w:lineRule="exact"/>
        <w:ind w:firstLine="640" w:firstLineChars="200"/>
        <w:rPr>
          <w:rFonts w:eastAsia="仿宋_GB2312"/>
          <w:sz w:val="32"/>
          <w:szCs w:val="32"/>
        </w:rPr>
      </w:pPr>
      <w:r>
        <w:rPr>
          <w:rFonts w:hint="eastAsia" w:eastAsia="仿宋_GB2312"/>
          <w:sz w:val="32"/>
          <w:szCs w:val="32"/>
        </w:rPr>
        <w:t>（5）若关节活动度可调节，当活动度改变时，不应出现角度突变，应能平滑改变。</w:t>
      </w:r>
    </w:p>
    <w:p w14:paraId="4CE53B7B">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运行参数的设置值不应仅通过一个动作就从最小变为最大。</w:t>
      </w:r>
    </w:p>
    <w:p w14:paraId="1408A033">
      <w:pPr>
        <w:spacing w:line="520" w:lineRule="exact"/>
        <w:ind w:firstLine="640" w:firstLineChars="200"/>
        <w:rPr>
          <w:rFonts w:eastAsia="仿宋_GB2312"/>
          <w:sz w:val="32"/>
          <w:szCs w:val="32"/>
        </w:rPr>
      </w:pPr>
      <w:r>
        <w:rPr>
          <w:rFonts w:hint="eastAsia" w:eastAsia="仿宋_GB2312"/>
          <w:sz w:val="32"/>
          <w:szCs w:val="32"/>
        </w:rPr>
        <w:t>2.2 评估功能</w:t>
      </w:r>
    </w:p>
    <w:p w14:paraId="2839CDD2">
      <w:pPr>
        <w:spacing w:line="520" w:lineRule="exact"/>
        <w:ind w:firstLine="640" w:firstLineChars="200"/>
        <w:rPr>
          <w:rFonts w:eastAsia="仿宋_GB2312"/>
          <w:sz w:val="32"/>
          <w:szCs w:val="32"/>
        </w:rPr>
      </w:pPr>
      <w:r>
        <w:rPr>
          <w:rFonts w:hint="eastAsia" w:eastAsia="仿宋_GB2312"/>
          <w:sz w:val="32"/>
          <w:szCs w:val="32"/>
        </w:rPr>
        <w:t>若提供步态评估功能，评估至少应包含关节活动度。</w:t>
      </w:r>
    </w:p>
    <w:p w14:paraId="22E93054">
      <w:pPr>
        <w:spacing w:line="520" w:lineRule="exact"/>
        <w:ind w:firstLine="640" w:firstLineChars="200"/>
        <w:rPr>
          <w:rFonts w:eastAsia="仿宋_GB2312"/>
          <w:kern w:val="0"/>
          <w:sz w:val="32"/>
          <w:szCs w:val="32"/>
        </w:rPr>
      </w:pPr>
      <w:r>
        <w:rPr>
          <w:rFonts w:eastAsia="仿宋_GB2312"/>
          <w:sz w:val="32"/>
          <w:szCs w:val="32"/>
        </w:rPr>
        <w:t>2.</w:t>
      </w:r>
      <w:r>
        <w:rPr>
          <w:rFonts w:hint="eastAsia" w:eastAsia="仿宋_GB2312"/>
          <w:sz w:val="32"/>
          <w:szCs w:val="32"/>
        </w:rPr>
        <w:t xml:space="preserve">3 </w:t>
      </w:r>
      <w:r>
        <w:rPr>
          <w:rFonts w:eastAsia="仿宋_GB2312"/>
          <w:kern w:val="0"/>
          <w:sz w:val="32"/>
          <w:szCs w:val="32"/>
        </w:rPr>
        <w:t>显示设置</w:t>
      </w:r>
    </w:p>
    <w:p w14:paraId="0267B056">
      <w:pPr>
        <w:tabs>
          <w:tab w:val="left" w:pos="1260"/>
        </w:tabs>
        <w:spacing w:line="520" w:lineRule="exact"/>
        <w:ind w:firstLine="640" w:firstLineChars="200"/>
        <w:rPr>
          <w:rFonts w:eastAsia="仿宋_GB2312"/>
          <w:kern w:val="0"/>
          <w:sz w:val="32"/>
          <w:szCs w:val="32"/>
        </w:rPr>
      </w:pPr>
      <w:r>
        <w:rPr>
          <w:rFonts w:eastAsia="仿宋_GB2312"/>
          <w:kern w:val="0"/>
          <w:sz w:val="32"/>
          <w:szCs w:val="32"/>
        </w:rPr>
        <w:t>显示装置应能显示当前的训练模式、</w:t>
      </w:r>
      <w:r>
        <w:rPr>
          <w:rFonts w:hint="eastAsia" w:eastAsia="仿宋_GB2312"/>
          <w:kern w:val="0"/>
          <w:sz w:val="32"/>
          <w:szCs w:val="32"/>
        </w:rPr>
        <w:t>减重重量</w:t>
      </w:r>
      <w:r>
        <w:rPr>
          <w:rFonts w:eastAsia="仿宋_GB2312"/>
          <w:kern w:val="0"/>
          <w:sz w:val="32"/>
          <w:szCs w:val="32"/>
        </w:rPr>
        <w:t>，</w:t>
      </w:r>
      <w:r>
        <w:rPr>
          <w:rFonts w:hint="eastAsia" w:eastAsia="仿宋_GB2312"/>
          <w:kern w:val="0"/>
          <w:sz w:val="32"/>
          <w:szCs w:val="32"/>
        </w:rPr>
        <w:t>也</w:t>
      </w:r>
      <w:r>
        <w:rPr>
          <w:rFonts w:eastAsia="仿宋_GB2312"/>
          <w:kern w:val="0"/>
          <w:sz w:val="32"/>
          <w:szCs w:val="32"/>
        </w:rPr>
        <w:t>能显示训练速度、训练时间等；</w:t>
      </w:r>
      <w:r>
        <w:rPr>
          <w:rFonts w:hint="eastAsia" w:eastAsia="仿宋_GB2312"/>
          <w:kern w:val="0"/>
          <w:sz w:val="32"/>
          <w:szCs w:val="32"/>
        </w:rPr>
        <w:t>显示装置</w:t>
      </w:r>
      <w:r>
        <w:rPr>
          <w:rFonts w:eastAsia="仿宋_GB2312"/>
          <w:kern w:val="0"/>
          <w:sz w:val="32"/>
          <w:szCs w:val="32"/>
        </w:rPr>
        <w:t>还</w:t>
      </w:r>
      <w:r>
        <w:rPr>
          <w:rFonts w:hint="eastAsia" w:eastAsia="仿宋_GB2312"/>
          <w:kern w:val="0"/>
          <w:sz w:val="32"/>
          <w:szCs w:val="32"/>
        </w:rPr>
        <w:t>应</w:t>
      </w:r>
      <w:r>
        <w:rPr>
          <w:rFonts w:eastAsia="仿宋_GB2312"/>
          <w:kern w:val="0"/>
          <w:sz w:val="32"/>
          <w:szCs w:val="32"/>
        </w:rPr>
        <w:t>具有参数设置、数据查看等功能。</w:t>
      </w:r>
    </w:p>
    <w:p w14:paraId="38A40DE6">
      <w:pPr>
        <w:spacing w:line="520" w:lineRule="exact"/>
        <w:ind w:firstLine="640" w:firstLineChars="200"/>
        <w:rPr>
          <w:rFonts w:eastAsia="仿宋_GB2312"/>
          <w:color w:val="FF0000"/>
          <w:kern w:val="0"/>
          <w:sz w:val="32"/>
          <w:szCs w:val="32"/>
        </w:rPr>
      </w:pPr>
      <w:r>
        <w:rPr>
          <w:rFonts w:eastAsia="仿宋_GB2312"/>
          <w:sz w:val="32"/>
          <w:szCs w:val="32"/>
        </w:rPr>
        <w:t>2.</w:t>
      </w:r>
      <w:r>
        <w:rPr>
          <w:rFonts w:hint="eastAsia" w:eastAsia="仿宋_GB2312"/>
          <w:sz w:val="32"/>
          <w:szCs w:val="32"/>
        </w:rPr>
        <w:t xml:space="preserve">4 </w:t>
      </w:r>
      <w:r>
        <w:rPr>
          <w:rFonts w:eastAsia="仿宋_GB2312"/>
          <w:kern w:val="0"/>
          <w:sz w:val="32"/>
          <w:szCs w:val="32"/>
        </w:rPr>
        <w:t>紧急保护措施</w:t>
      </w:r>
      <w:r>
        <w:rPr>
          <w:rFonts w:eastAsia="仿宋_GB2312"/>
          <w:color w:val="FF0000"/>
          <w:kern w:val="0"/>
          <w:sz w:val="32"/>
          <w:szCs w:val="32"/>
        </w:rPr>
        <w:t xml:space="preserve"> </w:t>
      </w:r>
    </w:p>
    <w:p w14:paraId="62249C7F">
      <w:pPr>
        <w:spacing w:line="520" w:lineRule="exact"/>
        <w:ind w:firstLine="640" w:firstLineChars="200"/>
        <w:rPr>
          <w:rFonts w:eastAsia="仿宋_GB2312"/>
          <w:color w:val="FF0000"/>
          <w:kern w:val="0"/>
          <w:sz w:val="32"/>
          <w:szCs w:val="32"/>
        </w:rPr>
      </w:pPr>
      <w:r>
        <w:rPr>
          <w:rFonts w:eastAsia="仿宋_GB2312"/>
          <w:kern w:val="0"/>
          <w:sz w:val="32"/>
          <w:szCs w:val="32"/>
        </w:rPr>
        <w:t>2.</w:t>
      </w:r>
      <w:r>
        <w:rPr>
          <w:rFonts w:hint="eastAsia" w:eastAsia="仿宋_GB2312"/>
          <w:kern w:val="0"/>
          <w:sz w:val="32"/>
          <w:szCs w:val="32"/>
        </w:rPr>
        <w:t>4</w:t>
      </w:r>
      <w:r>
        <w:rPr>
          <w:rFonts w:eastAsia="仿宋_GB2312"/>
          <w:kern w:val="0"/>
          <w:sz w:val="32"/>
          <w:szCs w:val="32"/>
        </w:rPr>
        <w:t>.1设备应具备</w:t>
      </w:r>
      <w:r>
        <w:rPr>
          <w:rFonts w:eastAsia="仿宋_GB2312"/>
          <w:color w:val="000000"/>
          <w:kern w:val="0"/>
          <w:sz w:val="32"/>
          <w:szCs w:val="32"/>
        </w:rPr>
        <w:t>手动急停保护功能</w:t>
      </w:r>
      <w:r>
        <w:rPr>
          <w:rFonts w:eastAsia="仿宋_GB2312"/>
          <w:kern w:val="0"/>
          <w:sz w:val="32"/>
          <w:szCs w:val="32"/>
        </w:rPr>
        <w:t>，患者在意识到突发状况将要发生或已经发生时，第一时间触发急停开关，防止带来二次伤害。</w:t>
      </w:r>
    </w:p>
    <w:p w14:paraId="020A43F7">
      <w:pPr>
        <w:spacing w:line="520" w:lineRule="exact"/>
        <w:ind w:firstLine="640" w:firstLineChars="200"/>
        <w:rPr>
          <w:rFonts w:eastAsia="仿宋_GB2312"/>
          <w:kern w:val="0"/>
          <w:sz w:val="32"/>
          <w:szCs w:val="32"/>
        </w:rPr>
      </w:pPr>
      <w:r>
        <w:rPr>
          <w:rFonts w:eastAsia="仿宋_GB2312"/>
          <w:kern w:val="0"/>
          <w:sz w:val="32"/>
          <w:szCs w:val="32"/>
        </w:rPr>
        <w:t>（1）手动急停开关应设置在使用者易接触且难以误触发的位置；</w:t>
      </w:r>
    </w:p>
    <w:p w14:paraId="4688934A">
      <w:pPr>
        <w:spacing w:line="520" w:lineRule="exact"/>
        <w:ind w:firstLine="640" w:firstLineChars="200"/>
        <w:rPr>
          <w:rFonts w:eastAsia="仿宋_GB2312"/>
          <w:kern w:val="0"/>
          <w:sz w:val="32"/>
          <w:szCs w:val="32"/>
        </w:rPr>
      </w:pPr>
      <w:r>
        <w:rPr>
          <w:rFonts w:eastAsia="仿宋_GB2312"/>
          <w:kern w:val="0"/>
          <w:sz w:val="32"/>
          <w:szCs w:val="32"/>
        </w:rPr>
        <w:t>（2）手动急停开关触发后，应能停止所有电动产生的机械运动；</w:t>
      </w:r>
    </w:p>
    <w:p w14:paraId="2B901395">
      <w:pPr>
        <w:spacing w:line="520" w:lineRule="exact"/>
        <w:ind w:firstLine="640" w:firstLineChars="200"/>
        <w:rPr>
          <w:rFonts w:eastAsia="仿宋_GB2312"/>
          <w:kern w:val="0"/>
          <w:sz w:val="32"/>
          <w:szCs w:val="32"/>
        </w:rPr>
      </w:pPr>
      <w:r>
        <w:rPr>
          <w:rFonts w:eastAsia="仿宋_GB2312"/>
          <w:kern w:val="0"/>
          <w:sz w:val="32"/>
          <w:szCs w:val="32"/>
        </w:rPr>
        <w:t>（3）手动急停开关的重置应需手动操作，重置与开启的触发动作应有所不同。</w:t>
      </w:r>
    </w:p>
    <w:p w14:paraId="5F1C2D2B">
      <w:pPr>
        <w:spacing w:line="52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4</w:t>
      </w:r>
      <w:r>
        <w:rPr>
          <w:rFonts w:eastAsia="仿宋_GB2312"/>
          <w:kern w:val="0"/>
          <w:sz w:val="32"/>
          <w:szCs w:val="32"/>
        </w:rPr>
        <w:t>.2设备宜具备自动保护功能，设备在检测到异常情况时，自动触发保护功能，防止因突发状况所引发的二次伤害。自动保护功能一般以痉挛保护功能体现。痉挛保护功能应符合</w:t>
      </w:r>
      <w:r>
        <w:rPr>
          <w:rFonts w:eastAsia="仿宋_GB2312"/>
          <w:color w:val="000000"/>
          <w:kern w:val="0"/>
          <w:sz w:val="32"/>
          <w:szCs w:val="32"/>
        </w:rPr>
        <w:t>下面</w:t>
      </w:r>
      <w:r>
        <w:rPr>
          <w:rFonts w:eastAsia="仿宋_GB2312"/>
          <w:kern w:val="0"/>
          <w:sz w:val="32"/>
          <w:szCs w:val="32"/>
        </w:rPr>
        <w:t>的要求。若不提供，应在操作者位置提供明显的警告：“无痉挛保护，训练需在不间断的监护下进行。”</w:t>
      </w:r>
    </w:p>
    <w:p w14:paraId="02299C13">
      <w:pPr>
        <w:spacing w:line="520" w:lineRule="exact"/>
        <w:ind w:firstLine="640" w:firstLineChars="200"/>
        <w:rPr>
          <w:rFonts w:eastAsia="仿宋_GB2312"/>
          <w:kern w:val="0"/>
          <w:sz w:val="32"/>
          <w:szCs w:val="32"/>
        </w:rPr>
      </w:pPr>
      <w:r>
        <w:rPr>
          <w:rFonts w:eastAsia="仿宋_GB2312"/>
          <w:sz w:val="32"/>
          <w:szCs w:val="32"/>
        </w:rPr>
        <w:t>（1）</w:t>
      </w:r>
      <w:r>
        <w:rPr>
          <w:rFonts w:eastAsia="仿宋_GB2312"/>
          <w:kern w:val="0"/>
          <w:sz w:val="32"/>
          <w:szCs w:val="32"/>
        </w:rPr>
        <w:t xml:space="preserve">监测到痉挛发生时，设备应做出保护动作，可选的保护动作包括减速至停止、缓慢反转等。 </w:t>
      </w:r>
    </w:p>
    <w:p w14:paraId="18753484">
      <w:pPr>
        <w:spacing w:line="520" w:lineRule="exact"/>
        <w:ind w:firstLine="640" w:firstLineChars="200"/>
        <w:rPr>
          <w:rFonts w:eastAsia="仿宋_GB2312"/>
          <w:sz w:val="32"/>
          <w:szCs w:val="32"/>
        </w:rPr>
      </w:pPr>
      <w:r>
        <w:rPr>
          <w:rFonts w:eastAsia="仿宋_GB2312"/>
          <w:sz w:val="32"/>
          <w:szCs w:val="32"/>
        </w:rPr>
        <w:t>（2）</w:t>
      </w:r>
      <w:r>
        <w:rPr>
          <w:rFonts w:eastAsia="仿宋_GB2312"/>
          <w:kern w:val="0"/>
          <w:sz w:val="32"/>
          <w:szCs w:val="32"/>
        </w:rPr>
        <w:t>使用说明书应给出痉挛的判定阈值、痉挛保护激活的延迟时间和激活后的运行状态等信息。</w:t>
      </w:r>
    </w:p>
    <w:p w14:paraId="5195A0AC">
      <w:pPr>
        <w:spacing w:line="520" w:lineRule="exact"/>
        <w:ind w:firstLine="640" w:firstLineChars="200"/>
        <w:rPr>
          <w:rFonts w:eastAsia="仿宋_GB2312"/>
          <w:kern w:val="0"/>
          <w:sz w:val="32"/>
          <w:szCs w:val="32"/>
        </w:rPr>
      </w:pPr>
      <w:r>
        <w:rPr>
          <w:rFonts w:eastAsia="仿宋_GB2312"/>
          <w:sz w:val="32"/>
          <w:szCs w:val="32"/>
        </w:rPr>
        <w:t>（3）</w:t>
      </w:r>
      <w:r>
        <w:rPr>
          <w:rFonts w:eastAsia="仿宋_GB2312"/>
          <w:kern w:val="0"/>
          <w:sz w:val="32"/>
          <w:szCs w:val="32"/>
        </w:rPr>
        <w:t>按照使用说明书操作，痉挛保护应在（声明延迟时间+</w:t>
      </w:r>
      <w:r>
        <w:rPr>
          <w:rFonts w:hint="eastAsia" w:eastAsia="仿宋_GB2312"/>
          <w:kern w:val="0"/>
          <w:sz w:val="32"/>
          <w:szCs w:val="32"/>
        </w:rPr>
        <w:t>1</w:t>
      </w:r>
      <w:r>
        <w:rPr>
          <w:rFonts w:eastAsia="仿宋_GB2312"/>
          <w:kern w:val="0"/>
          <w:sz w:val="32"/>
          <w:szCs w:val="32"/>
        </w:rPr>
        <w:t xml:space="preserve">s）内被激活。 </w:t>
      </w:r>
    </w:p>
    <w:p w14:paraId="1B267946">
      <w:pPr>
        <w:spacing w:line="520" w:lineRule="exact"/>
        <w:ind w:firstLine="640" w:firstLineChars="200"/>
        <w:rPr>
          <w:rFonts w:eastAsia="仿宋_GB2312"/>
          <w:kern w:val="0"/>
          <w:sz w:val="32"/>
          <w:szCs w:val="32"/>
        </w:rPr>
      </w:pPr>
      <w:r>
        <w:rPr>
          <w:rFonts w:eastAsia="仿宋_GB2312"/>
          <w:sz w:val="32"/>
          <w:szCs w:val="32"/>
        </w:rPr>
        <w:t>（4）</w:t>
      </w:r>
      <w:r>
        <w:rPr>
          <w:rFonts w:eastAsia="仿宋_GB2312"/>
          <w:kern w:val="0"/>
          <w:sz w:val="32"/>
          <w:szCs w:val="32"/>
        </w:rPr>
        <w:t>痉挛保护激活时应伴提示信号</w:t>
      </w:r>
      <w:r>
        <w:rPr>
          <w:rFonts w:hint="eastAsia" w:eastAsia="仿宋_GB2312"/>
          <w:kern w:val="0"/>
          <w:sz w:val="32"/>
          <w:szCs w:val="32"/>
        </w:rPr>
        <w:t>，如</w:t>
      </w:r>
      <w:r>
        <w:rPr>
          <w:rFonts w:eastAsia="仿宋_GB2312"/>
          <w:kern w:val="0"/>
          <w:sz w:val="32"/>
          <w:szCs w:val="32"/>
        </w:rPr>
        <w:t>声音</w:t>
      </w:r>
      <w:r>
        <w:rPr>
          <w:rFonts w:hint="eastAsia" w:eastAsia="仿宋_GB2312"/>
          <w:kern w:val="0"/>
          <w:sz w:val="32"/>
          <w:szCs w:val="32"/>
        </w:rPr>
        <w:t>、信号灯等</w:t>
      </w:r>
      <w:r>
        <w:rPr>
          <w:rFonts w:eastAsia="仿宋_GB2312"/>
          <w:kern w:val="0"/>
          <w:sz w:val="32"/>
          <w:szCs w:val="32"/>
        </w:rPr>
        <w:t xml:space="preserve">，该信号应持续到手动将其关闭。 </w:t>
      </w:r>
    </w:p>
    <w:p w14:paraId="736F08D2">
      <w:pPr>
        <w:spacing w:line="520" w:lineRule="exact"/>
        <w:ind w:firstLine="640" w:firstLineChars="200"/>
        <w:rPr>
          <w:rFonts w:eastAsia="仿宋_GB2312"/>
          <w:kern w:val="0"/>
          <w:sz w:val="32"/>
          <w:szCs w:val="32"/>
        </w:rPr>
      </w:pPr>
      <w:r>
        <w:rPr>
          <w:rFonts w:eastAsia="仿宋_GB2312"/>
          <w:sz w:val="32"/>
          <w:szCs w:val="32"/>
        </w:rPr>
        <w:t>（5）</w:t>
      </w:r>
      <w:r>
        <w:rPr>
          <w:rFonts w:eastAsia="仿宋_GB2312"/>
          <w:kern w:val="0"/>
          <w:sz w:val="32"/>
          <w:szCs w:val="32"/>
        </w:rPr>
        <w:t xml:space="preserve">若反转后再次监测到痉挛发生，可重新激活痉挛保护，连续重新激活痉挛保护次数应不大于5次，否则设备应停止输出。 </w:t>
      </w:r>
    </w:p>
    <w:p w14:paraId="6543B9C3">
      <w:pPr>
        <w:spacing w:line="520" w:lineRule="exact"/>
        <w:ind w:firstLine="640" w:firstLineChars="200"/>
        <w:rPr>
          <w:rFonts w:eastAsia="仿宋_GB2312"/>
          <w:kern w:val="0"/>
          <w:sz w:val="32"/>
          <w:szCs w:val="32"/>
        </w:rPr>
      </w:pPr>
      <w:r>
        <w:rPr>
          <w:rFonts w:eastAsia="仿宋_GB2312"/>
          <w:sz w:val="32"/>
          <w:szCs w:val="32"/>
        </w:rPr>
        <w:t>（6）</w:t>
      </w:r>
      <w:r>
        <w:rPr>
          <w:rFonts w:eastAsia="仿宋_GB2312"/>
          <w:kern w:val="0"/>
          <w:sz w:val="32"/>
          <w:szCs w:val="32"/>
        </w:rPr>
        <w:t>痉挛保护应默认为开启状态。若提供手动关闭痉挛保护的措施，则关闭状态应在当前训练正常或非正常终止后立即解除。</w:t>
      </w:r>
    </w:p>
    <w:p w14:paraId="7137D0B9">
      <w:pPr>
        <w:spacing w:line="520" w:lineRule="exact"/>
        <w:ind w:firstLine="640" w:firstLineChars="200"/>
        <w:rPr>
          <w:rFonts w:eastAsia="仿宋_GB2312"/>
          <w:color w:val="FF0000"/>
          <w:kern w:val="0"/>
          <w:sz w:val="32"/>
          <w:szCs w:val="32"/>
        </w:rPr>
      </w:pPr>
      <w:r>
        <w:rPr>
          <w:rFonts w:eastAsia="仿宋_GB2312"/>
          <w:sz w:val="32"/>
          <w:szCs w:val="32"/>
        </w:rPr>
        <w:t>2.</w:t>
      </w:r>
      <w:r>
        <w:rPr>
          <w:rFonts w:hint="eastAsia" w:eastAsia="仿宋_GB2312"/>
          <w:sz w:val="32"/>
          <w:szCs w:val="32"/>
        </w:rPr>
        <w:t>5 固定装置及附件</w:t>
      </w:r>
      <w:r>
        <w:rPr>
          <w:rFonts w:eastAsia="仿宋_GB2312"/>
          <w:kern w:val="0"/>
          <w:sz w:val="32"/>
          <w:szCs w:val="32"/>
        </w:rPr>
        <w:t>要求</w:t>
      </w:r>
    </w:p>
    <w:p w14:paraId="429CD9E4">
      <w:pPr>
        <w:spacing w:line="52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5</w:t>
      </w:r>
      <w:r>
        <w:rPr>
          <w:rFonts w:eastAsia="仿宋_GB2312"/>
          <w:kern w:val="0"/>
          <w:sz w:val="32"/>
          <w:szCs w:val="32"/>
        </w:rPr>
        <w:t>.</w:t>
      </w:r>
      <w:r>
        <w:rPr>
          <w:rFonts w:hint="eastAsia" w:eastAsia="仿宋_GB2312"/>
          <w:kern w:val="0"/>
          <w:sz w:val="32"/>
          <w:szCs w:val="32"/>
        </w:rPr>
        <w:t>1</w:t>
      </w:r>
      <w:r>
        <w:rPr>
          <w:rFonts w:eastAsia="仿宋_GB2312"/>
          <w:kern w:val="0"/>
          <w:sz w:val="32"/>
          <w:szCs w:val="32"/>
        </w:rPr>
        <w:t>固定带、固定支架</w:t>
      </w:r>
    </w:p>
    <w:p w14:paraId="2294F819">
      <w:pPr>
        <w:spacing w:line="520" w:lineRule="exact"/>
        <w:ind w:firstLine="640" w:firstLineChars="200"/>
        <w:rPr>
          <w:rFonts w:eastAsia="仿宋_GB2312"/>
          <w:kern w:val="0"/>
          <w:sz w:val="32"/>
          <w:szCs w:val="32"/>
        </w:rPr>
      </w:pPr>
      <w:r>
        <w:rPr>
          <w:rFonts w:eastAsia="仿宋_GB2312"/>
          <w:kern w:val="0"/>
          <w:sz w:val="32"/>
          <w:szCs w:val="32"/>
        </w:rPr>
        <w:t>（1）宜提供</w:t>
      </w:r>
      <w:r>
        <w:rPr>
          <w:rFonts w:hint="eastAsia" w:eastAsia="仿宋_GB2312"/>
          <w:kern w:val="0"/>
          <w:sz w:val="32"/>
          <w:szCs w:val="32"/>
        </w:rPr>
        <w:t>上身、腰部、腿部、</w:t>
      </w:r>
      <w:r>
        <w:rPr>
          <w:rFonts w:eastAsia="仿宋_GB2312"/>
          <w:kern w:val="0"/>
          <w:sz w:val="32"/>
          <w:szCs w:val="32"/>
        </w:rPr>
        <w:t>脚部的固定措施。</w:t>
      </w:r>
    </w:p>
    <w:p w14:paraId="5E9F549D">
      <w:pPr>
        <w:spacing w:line="520" w:lineRule="exact"/>
        <w:ind w:firstLine="640" w:firstLineChars="200"/>
        <w:rPr>
          <w:rFonts w:eastAsia="仿宋_GB2312"/>
          <w:kern w:val="0"/>
          <w:sz w:val="32"/>
          <w:szCs w:val="32"/>
        </w:rPr>
      </w:pPr>
      <w:r>
        <w:rPr>
          <w:rFonts w:eastAsia="仿宋_GB2312"/>
          <w:kern w:val="0"/>
          <w:sz w:val="32"/>
          <w:szCs w:val="32"/>
        </w:rPr>
        <w:t>（2）若提供可由操作者更换或重新连接的固定装置，说明书中应说明验证固定装置是否已被可靠连接的方法。</w:t>
      </w:r>
    </w:p>
    <w:p w14:paraId="793FD4F5">
      <w:pPr>
        <w:spacing w:line="520" w:lineRule="exact"/>
        <w:ind w:firstLine="640" w:firstLineChars="200"/>
        <w:rPr>
          <w:rFonts w:eastAsia="仿宋_GB2312"/>
          <w:kern w:val="0"/>
          <w:sz w:val="32"/>
          <w:szCs w:val="32"/>
        </w:rPr>
      </w:pPr>
      <w:r>
        <w:rPr>
          <w:rFonts w:eastAsia="仿宋_GB2312"/>
          <w:kern w:val="0"/>
          <w:sz w:val="32"/>
          <w:szCs w:val="32"/>
        </w:rPr>
        <w:t>（3）电源中断及恢复通电后，固定肢体的支架应保持在停止时的状态。</w:t>
      </w:r>
    </w:p>
    <w:p w14:paraId="2A44DE0C">
      <w:pPr>
        <w:spacing w:line="52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5</w:t>
      </w:r>
      <w:r>
        <w:rPr>
          <w:rFonts w:eastAsia="仿宋_GB2312"/>
          <w:kern w:val="0"/>
          <w:sz w:val="32"/>
          <w:szCs w:val="32"/>
        </w:rPr>
        <w:t>.</w:t>
      </w:r>
      <w:r>
        <w:rPr>
          <w:rFonts w:hint="eastAsia" w:eastAsia="仿宋_GB2312"/>
          <w:kern w:val="0"/>
          <w:sz w:val="32"/>
          <w:szCs w:val="32"/>
        </w:rPr>
        <w:t>2</w:t>
      </w:r>
      <w:r>
        <w:rPr>
          <w:rFonts w:eastAsia="仿宋_GB2312"/>
          <w:color w:val="000000"/>
          <w:kern w:val="0"/>
          <w:sz w:val="32"/>
          <w:szCs w:val="32"/>
        </w:rPr>
        <w:t>手持控制器</w:t>
      </w:r>
      <w:r>
        <w:rPr>
          <w:rFonts w:hint="eastAsia" w:eastAsia="仿宋_GB2312"/>
          <w:color w:val="000000"/>
          <w:kern w:val="0"/>
          <w:sz w:val="32"/>
          <w:szCs w:val="32"/>
        </w:rPr>
        <w:t>（如适用）</w:t>
      </w:r>
    </w:p>
    <w:p w14:paraId="7AF1E842">
      <w:pPr>
        <w:spacing w:line="520" w:lineRule="exact"/>
        <w:ind w:firstLine="640" w:firstLineChars="200"/>
        <w:rPr>
          <w:rFonts w:eastAsia="仿宋_GB2312"/>
          <w:kern w:val="0"/>
          <w:sz w:val="32"/>
          <w:szCs w:val="32"/>
        </w:rPr>
      </w:pPr>
      <w:r>
        <w:rPr>
          <w:rFonts w:eastAsia="仿宋_GB2312"/>
          <w:kern w:val="0"/>
          <w:sz w:val="32"/>
          <w:szCs w:val="32"/>
        </w:rPr>
        <w:t>（1）手持控制器应操作方便、可靠。</w:t>
      </w:r>
    </w:p>
    <w:p w14:paraId="4CEDF9CE">
      <w:pPr>
        <w:spacing w:line="520" w:lineRule="exact"/>
        <w:ind w:firstLine="640" w:firstLineChars="200"/>
        <w:rPr>
          <w:rFonts w:eastAsia="仿宋_GB2312"/>
          <w:kern w:val="0"/>
          <w:sz w:val="32"/>
          <w:szCs w:val="32"/>
        </w:rPr>
      </w:pPr>
      <w:r>
        <w:rPr>
          <w:rFonts w:eastAsia="仿宋_GB2312"/>
          <w:kern w:val="0"/>
          <w:sz w:val="32"/>
          <w:szCs w:val="32"/>
        </w:rPr>
        <w:t>（2）若提供无线连接的遥控器，遥控器不应改变训练模式和运行参数（如</w:t>
      </w:r>
      <w:r>
        <w:rPr>
          <w:rFonts w:hint="eastAsia" w:eastAsia="仿宋_GB2312"/>
          <w:kern w:val="0"/>
          <w:sz w:val="32"/>
          <w:szCs w:val="32"/>
        </w:rPr>
        <w:t>训练速度</w:t>
      </w:r>
      <w:r>
        <w:rPr>
          <w:rFonts w:eastAsia="仿宋_GB2312"/>
          <w:kern w:val="0"/>
          <w:sz w:val="32"/>
          <w:szCs w:val="32"/>
        </w:rPr>
        <w:t>、</w:t>
      </w:r>
      <w:r>
        <w:rPr>
          <w:rFonts w:hint="eastAsia" w:eastAsia="仿宋_GB2312"/>
          <w:kern w:val="0"/>
          <w:sz w:val="32"/>
          <w:szCs w:val="32"/>
        </w:rPr>
        <w:t>跑台速度、</w:t>
      </w:r>
      <w:r>
        <w:rPr>
          <w:rFonts w:eastAsia="仿宋_GB2312"/>
          <w:kern w:val="0"/>
          <w:sz w:val="32"/>
          <w:szCs w:val="32"/>
        </w:rPr>
        <w:t>痉挛等级、训练时间、</w:t>
      </w:r>
      <w:r>
        <w:rPr>
          <w:rFonts w:hint="eastAsia" w:eastAsia="仿宋_GB2312"/>
          <w:kern w:val="0"/>
          <w:sz w:val="32"/>
          <w:szCs w:val="32"/>
        </w:rPr>
        <w:t>减重重量</w:t>
      </w:r>
      <w:r>
        <w:rPr>
          <w:rFonts w:eastAsia="仿宋_GB2312"/>
          <w:kern w:val="0"/>
          <w:sz w:val="32"/>
          <w:szCs w:val="32"/>
        </w:rPr>
        <w:t>等）。</w:t>
      </w:r>
    </w:p>
    <w:p w14:paraId="702B9260">
      <w:pPr>
        <w:spacing w:line="520" w:lineRule="exact"/>
        <w:ind w:firstLine="640" w:firstLineChars="200"/>
        <w:rPr>
          <w:rFonts w:eastAsia="仿宋_GB2312"/>
          <w:kern w:val="0"/>
          <w:sz w:val="32"/>
          <w:szCs w:val="32"/>
        </w:rPr>
      </w:pPr>
      <w:r>
        <w:rPr>
          <w:rFonts w:eastAsia="仿宋_GB2312"/>
          <w:kern w:val="0"/>
          <w:sz w:val="32"/>
          <w:szCs w:val="32"/>
        </w:rPr>
        <w:t>（3）可提供有线连接的手持式控制器，若提供，应有措施防止手持式控制器从其放置位置意外脱出。</w:t>
      </w:r>
    </w:p>
    <w:p w14:paraId="77EBF50A">
      <w:pPr>
        <w:spacing w:line="52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 xml:space="preserve">6 </w:t>
      </w:r>
      <w:r>
        <w:rPr>
          <w:rFonts w:eastAsia="仿宋_GB2312"/>
          <w:color w:val="000000"/>
          <w:kern w:val="0"/>
          <w:sz w:val="32"/>
          <w:szCs w:val="32"/>
        </w:rPr>
        <w:t>稳定性</w:t>
      </w:r>
    </w:p>
    <w:p w14:paraId="039478A6">
      <w:pPr>
        <w:spacing w:line="52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6</w:t>
      </w:r>
      <w:r>
        <w:rPr>
          <w:rFonts w:eastAsia="仿宋_GB2312"/>
          <w:kern w:val="0"/>
          <w:sz w:val="32"/>
          <w:szCs w:val="32"/>
        </w:rPr>
        <w:t>.1设备应在使用说明书中给出地面要求。</w:t>
      </w:r>
    </w:p>
    <w:p w14:paraId="3D9C91E7">
      <w:pPr>
        <w:spacing w:line="52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6</w:t>
      </w:r>
      <w:r>
        <w:rPr>
          <w:rFonts w:eastAsia="仿宋_GB2312"/>
          <w:kern w:val="0"/>
          <w:sz w:val="32"/>
          <w:szCs w:val="32"/>
        </w:rPr>
        <w:t>.2在正常运行过程中，设备应保持稳定，始终与支撑面可靠接触，无抬起，无震动。应考虑设备预期使用的运行参数的最不利的组合方式。</w:t>
      </w:r>
    </w:p>
    <w:p w14:paraId="6539CF58">
      <w:pPr>
        <w:spacing w:line="520" w:lineRule="exact"/>
        <w:ind w:firstLine="640" w:firstLineChars="200"/>
        <w:rPr>
          <w:rFonts w:eastAsia="仿宋_GB2312"/>
          <w:color w:val="000000"/>
          <w:kern w:val="0"/>
          <w:sz w:val="32"/>
          <w:szCs w:val="32"/>
          <w:u w:val="single"/>
        </w:rPr>
      </w:pPr>
      <w:r>
        <w:rPr>
          <w:rFonts w:eastAsia="仿宋_GB2312"/>
          <w:color w:val="000000"/>
          <w:kern w:val="0"/>
          <w:sz w:val="32"/>
          <w:szCs w:val="32"/>
        </w:rPr>
        <w:t>2.</w:t>
      </w:r>
      <w:r>
        <w:rPr>
          <w:rFonts w:hint="eastAsia" w:eastAsia="仿宋_GB2312"/>
          <w:color w:val="000000"/>
          <w:kern w:val="0"/>
          <w:sz w:val="32"/>
          <w:szCs w:val="32"/>
        </w:rPr>
        <w:t xml:space="preserve">7 </w:t>
      </w:r>
      <w:r>
        <w:rPr>
          <w:rFonts w:eastAsia="仿宋_GB2312"/>
          <w:color w:val="000000"/>
          <w:kern w:val="0"/>
          <w:sz w:val="32"/>
          <w:szCs w:val="32"/>
        </w:rPr>
        <w:t xml:space="preserve">附加功能 </w:t>
      </w:r>
    </w:p>
    <w:p w14:paraId="7405F8C9">
      <w:pPr>
        <w:spacing w:line="520" w:lineRule="exact"/>
        <w:ind w:firstLine="640" w:firstLineChars="200"/>
        <w:rPr>
          <w:rFonts w:eastAsia="仿宋_GB2312"/>
          <w:kern w:val="0"/>
          <w:sz w:val="32"/>
          <w:szCs w:val="32"/>
        </w:rPr>
      </w:pPr>
      <w:r>
        <w:rPr>
          <w:rFonts w:eastAsia="仿宋_GB2312"/>
          <w:kern w:val="0"/>
          <w:sz w:val="32"/>
          <w:szCs w:val="32"/>
        </w:rPr>
        <w:t>若提供心率、</w:t>
      </w:r>
      <w:r>
        <w:rPr>
          <w:rFonts w:hint="eastAsia" w:eastAsia="仿宋_GB2312"/>
          <w:kern w:val="0"/>
          <w:sz w:val="32"/>
          <w:szCs w:val="32"/>
        </w:rPr>
        <w:t>血压、</w:t>
      </w:r>
      <w:r>
        <w:rPr>
          <w:rFonts w:eastAsia="仿宋_GB2312"/>
          <w:kern w:val="0"/>
          <w:sz w:val="32"/>
          <w:szCs w:val="32"/>
        </w:rPr>
        <w:t>脉搏等生理指标监测功能，应在使用说明书中</w:t>
      </w:r>
      <w:r>
        <w:rPr>
          <w:rFonts w:hint="eastAsia" w:eastAsia="仿宋_GB2312"/>
          <w:kern w:val="0"/>
          <w:sz w:val="32"/>
          <w:szCs w:val="32"/>
        </w:rPr>
        <w:t>明确是否有医疗用途，如</w:t>
      </w:r>
      <w:r>
        <w:rPr>
          <w:rFonts w:hint="eastAsia" w:ascii="仿宋_GB2312" w:eastAsia="仿宋_GB2312"/>
          <w:sz w:val="32"/>
          <w:szCs w:val="32"/>
        </w:rPr>
        <w:t>有则应符合相应附加标准的要求。</w:t>
      </w:r>
    </w:p>
    <w:p w14:paraId="3B3D97FE">
      <w:pPr>
        <w:spacing w:line="52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 xml:space="preserve">8 </w:t>
      </w:r>
      <w:r>
        <w:rPr>
          <w:rFonts w:eastAsia="仿宋_GB2312"/>
          <w:kern w:val="0"/>
          <w:sz w:val="32"/>
          <w:szCs w:val="32"/>
        </w:rPr>
        <w:t>软件、网络功能</w:t>
      </w:r>
    </w:p>
    <w:p w14:paraId="130EEC22">
      <w:pPr>
        <w:overflowPunct w:val="0"/>
        <w:spacing w:line="520" w:lineRule="exact"/>
        <w:ind w:firstLine="640" w:firstLineChars="200"/>
        <w:rPr>
          <w:rFonts w:eastAsia="仿宋_GB2312"/>
          <w:sz w:val="32"/>
          <w:szCs w:val="32"/>
        </w:rPr>
      </w:pPr>
      <w:r>
        <w:rPr>
          <w:rFonts w:eastAsia="仿宋_GB2312"/>
          <w:sz w:val="32"/>
          <w:szCs w:val="32"/>
        </w:rPr>
        <w:t>应按照《医疗器械软件注册技术审查指导原则》列明软件全部临床功能纲要。</w:t>
      </w:r>
    </w:p>
    <w:p w14:paraId="4C1B65F5">
      <w:pPr>
        <w:overflowPunct w:val="0"/>
        <w:spacing w:line="520" w:lineRule="exact"/>
        <w:ind w:firstLine="640" w:firstLineChars="200"/>
        <w:rPr>
          <w:rFonts w:eastAsia="仿宋_GB2312"/>
          <w:sz w:val="32"/>
          <w:szCs w:val="32"/>
        </w:rPr>
      </w:pPr>
      <w:r>
        <w:rPr>
          <w:rFonts w:eastAsia="仿宋_GB2312"/>
          <w:color w:val="000000"/>
          <w:sz w:val="32"/>
          <w:szCs w:val="32"/>
        </w:rPr>
        <w:t>若适用，</w:t>
      </w:r>
      <w:r>
        <w:rPr>
          <w:rFonts w:eastAsia="仿宋_GB2312"/>
          <w:sz w:val="32"/>
          <w:szCs w:val="32"/>
        </w:rPr>
        <w:t>应按照《医疗器械网络安全注册技术审查指导原则》要求，明确数据接口、用户访问控制的要求。</w:t>
      </w:r>
    </w:p>
    <w:p w14:paraId="69ED6202">
      <w:pPr>
        <w:spacing w:line="52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 xml:space="preserve">9 </w:t>
      </w:r>
      <w:r>
        <w:rPr>
          <w:rFonts w:eastAsia="仿宋_GB2312"/>
          <w:kern w:val="0"/>
          <w:sz w:val="32"/>
          <w:szCs w:val="32"/>
        </w:rPr>
        <w:t>外观结构</w:t>
      </w:r>
    </w:p>
    <w:p w14:paraId="28D22B15">
      <w:pPr>
        <w:spacing w:line="52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9</w:t>
      </w:r>
      <w:r>
        <w:rPr>
          <w:rFonts w:eastAsia="仿宋_GB2312"/>
          <w:kern w:val="0"/>
          <w:sz w:val="32"/>
          <w:szCs w:val="32"/>
        </w:rPr>
        <w:t>.1外观应色泽均匀，表面应清洁、平整，无明显伤斑、划痕、锈蚀和涂层剥落等缺陷。</w:t>
      </w:r>
    </w:p>
    <w:p w14:paraId="7F86FB23">
      <w:pPr>
        <w:spacing w:line="52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9</w:t>
      </w:r>
      <w:r>
        <w:rPr>
          <w:rFonts w:eastAsia="仿宋_GB2312"/>
          <w:kern w:val="0"/>
          <w:sz w:val="32"/>
          <w:szCs w:val="32"/>
        </w:rPr>
        <w:t>.2文字和符号标识应完整、清晰。</w:t>
      </w:r>
    </w:p>
    <w:p w14:paraId="3DE1EED6">
      <w:pPr>
        <w:spacing w:line="52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kern w:val="0"/>
          <w:sz w:val="32"/>
          <w:szCs w:val="32"/>
        </w:rPr>
        <w:t>9</w:t>
      </w:r>
      <w:r>
        <w:rPr>
          <w:rFonts w:eastAsia="仿宋_GB2312"/>
          <w:kern w:val="0"/>
          <w:sz w:val="32"/>
          <w:szCs w:val="32"/>
        </w:rPr>
        <w:t>.3控制和调节机构应灵活、可靠，紧固件应无松动。</w:t>
      </w:r>
    </w:p>
    <w:p w14:paraId="417E441C">
      <w:pPr>
        <w:overflowPunct w:val="0"/>
        <w:spacing w:line="520" w:lineRule="exact"/>
        <w:ind w:firstLine="640" w:firstLineChars="200"/>
        <w:rPr>
          <w:rFonts w:eastAsia="仿宋_GB2312"/>
          <w:bCs/>
          <w:kern w:val="44"/>
          <w:sz w:val="32"/>
          <w:szCs w:val="32"/>
        </w:rPr>
      </w:pPr>
      <w:r>
        <w:rPr>
          <w:rFonts w:eastAsia="仿宋_GB2312"/>
          <w:bCs/>
          <w:kern w:val="44"/>
          <w:sz w:val="32"/>
          <w:szCs w:val="32"/>
        </w:rPr>
        <w:t xml:space="preserve">3.安全要求 </w:t>
      </w:r>
    </w:p>
    <w:p w14:paraId="75CCD897">
      <w:pPr>
        <w:spacing w:line="520" w:lineRule="exact"/>
        <w:ind w:firstLine="640" w:firstLineChars="200"/>
        <w:rPr>
          <w:rFonts w:eastAsia="仿宋_GB2312"/>
          <w:kern w:val="0"/>
          <w:sz w:val="32"/>
          <w:szCs w:val="32"/>
        </w:rPr>
      </w:pPr>
      <w:r>
        <w:rPr>
          <w:rFonts w:eastAsia="仿宋_GB2312"/>
          <w:kern w:val="0"/>
          <w:sz w:val="32"/>
          <w:szCs w:val="32"/>
        </w:rPr>
        <w:t>应符合</w:t>
      </w:r>
      <w:r>
        <w:rPr>
          <w:rFonts w:eastAsia="仿宋_GB2312"/>
          <w:sz w:val="32"/>
          <w:szCs w:val="32"/>
        </w:rPr>
        <w:t>GB 24436</w:t>
      </w:r>
      <w:r>
        <w:rPr>
          <w:rFonts w:eastAsia="仿宋_GB2312"/>
          <w:color w:val="000000"/>
          <w:kern w:val="0"/>
          <w:sz w:val="32"/>
          <w:szCs w:val="32"/>
        </w:rPr>
        <w:t>—</w:t>
      </w:r>
      <w:r>
        <w:rPr>
          <w:rFonts w:eastAsia="仿宋_GB2312"/>
          <w:sz w:val="32"/>
          <w:szCs w:val="32"/>
        </w:rPr>
        <w:t>2009</w:t>
      </w:r>
      <w:r>
        <w:rPr>
          <w:rFonts w:eastAsia="仿宋_GB2312"/>
          <w:kern w:val="0"/>
          <w:sz w:val="32"/>
          <w:szCs w:val="32"/>
        </w:rPr>
        <w:t>《康复训练器械 安全通用要求》的要求（5.10 除外）。</w:t>
      </w:r>
    </w:p>
    <w:p w14:paraId="57D0AF67">
      <w:pPr>
        <w:spacing w:line="520" w:lineRule="exact"/>
        <w:ind w:firstLine="640" w:firstLineChars="200"/>
        <w:rPr>
          <w:rFonts w:eastAsia="仿宋_GB2312"/>
          <w:kern w:val="0"/>
          <w:sz w:val="32"/>
          <w:szCs w:val="32"/>
        </w:rPr>
      </w:pPr>
      <w:r>
        <w:rPr>
          <w:rFonts w:eastAsia="仿宋_GB2312"/>
          <w:sz w:val="32"/>
          <w:szCs w:val="32"/>
        </w:rPr>
        <w:t>应符合GB 9706.1</w:t>
      </w:r>
      <w:r>
        <w:rPr>
          <w:rFonts w:eastAsia="仿宋_GB2312"/>
          <w:color w:val="000000"/>
          <w:kern w:val="0"/>
          <w:sz w:val="32"/>
          <w:szCs w:val="32"/>
        </w:rPr>
        <w:t>—</w:t>
      </w:r>
      <w:r>
        <w:rPr>
          <w:rFonts w:eastAsia="仿宋_GB2312"/>
          <w:sz w:val="32"/>
          <w:szCs w:val="32"/>
        </w:rPr>
        <w:t>2007《医用电气设备 第1部分：安全通用要求》并在附录中列明主要电气安全特征或按标准条款的顺序明确适用项。</w:t>
      </w:r>
    </w:p>
    <w:p w14:paraId="54AB413D">
      <w:pPr>
        <w:overflowPunct w:val="0"/>
        <w:spacing w:line="520" w:lineRule="exact"/>
        <w:ind w:firstLine="640" w:firstLineChars="200"/>
        <w:rPr>
          <w:rFonts w:eastAsia="仿宋_GB2312"/>
          <w:sz w:val="32"/>
          <w:szCs w:val="32"/>
        </w:rPr>
      </w:pPr>
      <w:r>
        <w:rPr>
          <w:rFonts w:eastAsia="仿宋_GB2312"/>
          <w:sz w:val="32"/>
          <w:szCs w:val="32"/>
        </w:rPr>
        <w:t>对于属于医用电气系统的设备，还应符合GB 9706.15</w:t>
      </w:r>
      <w:r>
        <w:rPr>
          <w:rFonts w:eastAsia="仿宋_GB2312"/>
          <w:color w:val="000000"/>
          <w:kern w:val="0"/>
          <w:sz w:val="32"/>
          <w:szCs w:val="32"/>
        </w:rPr>
        <w:t>—</w:t>
      </w:r>
      <w:r>
        <w:rPr>
          <w:rFonts w:eastAsia="仿宋_GB2312"/>
          <w:sz w:val="32"/>
          <w:szCs w:val="32"/>
        </w:rPr>
        <w:t>2008《医用电气设备第1-1部分：安全通用要求并列标准：医用电气系统安全要求》的要求。</w:t>
      </w:r>
      <w:r>
        <w:rPr>
          <w:rFonts w:eastAsia="仿宋_GB2312"/>
          <w:sz w:val="32"/>
          <w:szCs w:val="32"/>
        </w:rPr>
        <w:cr/>
      </w:r>
      <w:r>
        <w:rPr>
          <w:rFonts w:eastAsia="仿宋_GB2312"/>
          <w:sz w:val="32"/>
          <w:szCs w:val="32"/>
        </w:rPr>
        <w:t xml:space="preserve">    4.电磁兼容性</w:t>
      </w:r>
    </w:p>
    <w:p w14:paraId="20FCD498">
      <w:pPr>
        <w:overflowPunct w:val="0"/>
        <w:spacing w:line="520" w:lineRule="exact"/>
        <w:ind w:firstLine="640" w:firstLineChars="200"/>
        <w:rPr>
          <w:rFonts w:eastAsia="仿宋_GB2312"/>
          <w:sz w:val="32"/>
          <w:szCs w:val="32"/>
        </w:rPr>
      </w:pPr>
      <w:r>
        <w:rPr>
          <w:rFonts w:eastAsia="仿宋_GB2312"/>
          <w:sz w:val="32"/>
          <w:szCs w:val="32"/>
        </w:rPr>
        <w:t>应符合YY 0505—2012《医用电气设备 第1-2部分：安全通用要求并列标准：电磁兼容 要求和试验》中的要求。</w:t>
      </w:r>
    </w:p>
    <w:p w14:paraId="2C7B9584">
      <w:pPr>
        <w:overflowPunct w:val="0"/>
        <w:spacing w:line="520" w:lineRule="exact"/>
        <w:ind w:firstLine="640" w:firstLineChars="200"/>
        <w:rPr>
          <w:rFonts w:eastAsia="仿宋_GB2312"/>
          <w:sz w:val="32"/>
          <w:szCs w:val="32"/>
        </w:rPr>
      </w:pPr>
      <w:r>
        <w:rPr>
          <w:rFonts w:eastAsia="仿宋_GB2312"/>
          <w:sz w:val="32"/>
          <w:szCs w:val="32"/>
        </w:rPr>
        <w:t>5.环境试验</w:t>
      </w:r>
    </w:p>
    <w:p w14:paraId="08624F9E">
      <w:pPr>
        <w:overflowPunct w:val="0"/>
        <w:spacing w:line="520" w:lineRule="exact"/>
        <w:ind w:firstLine="640" w:firstLineChars="200"/>
        <w:rPr>
          <w:rFonts w:eastAsia="仿宋_GB2312"/>
          <w:sz w:val="32"/>
          <w:szCs w:val="32"/>
        </w:rPr>
      </w:pPr>
      <w:r>
        <w:rPr>
          <w:rFonts w:eastAsia="仿宋_GB2312"/>
          <w:sz w:val="32"/>
          <w:szCs w:val="32"/>
        </w:rPr>
        <w:t>应符合GB/T 14710—2009《医用电器环境要求及试验方法》要求。</w:t>
      </w:r>
    </w:p>
    <w:p w14:paraId="3BC68F09">
      <w:pPr>
        <w:spacing w:line="520" w:lineRule="exact"/>
        <w:ind w:firstLine="640" w:firstLineChars="200"/>
        <w:outlineLvl w:val="1"/>
        <w:rPr>
          <w:rFonts w:eastAsia="楷体_GB2312"/>
          <w:color w:val="000000"/>
          <w:sz w:val="32"/>
          <w:szCs w:val="32"/>
        </w:rPr>
      </w:pPr>
      <w:r>
        <w:rPr>
          <w:rFonts w:eastAsia="楷体_GB2312"/>
          <w:color w:val="000000"/>
          <w:sz w:val="32"/>
          <w:szCs w:val="32"/>
        </w:rPr>
        <w:t>（十）同一注册单元内注册检验典型性产品确定原则和实例</w:t>
      </w:r>
    </w:p>
    <w:p w14:paraId="24809977">
      <w:pPr>
        <w:autoSpaceDE w:val="0"/>
        <w:autoSpaceDN w:val="0"/>
        <w:spacing w:line="520" w:lineRule="exact"/>
        <w:ind w:firstLine="640" w:firstLineChars="200"/>
        <w:rPr>
          <w:rFonts w:eastAsia="仿宋_GB2312"/>
          <w:color w:val="000000"/>
          <w:kern w:val="0"/>
          <w:sz w:val="32"/>
          <w:szCs w:val="32"/>
        </w:rPr>
      </w:pPr>
      <w:r>
        <w:rPr>
          <w:rFonts w:eastAsia="仿宋_GB2312"/>
          <w:color w:val="000000"/>
          <w:kern w:val="0"/>
          <w:sz w:val="32"/>
          <w:szCs w:val="32"/>
        </w:rPr>
        <w:t>注册检验典型性产品应是同一注册单元内能够代表本单元内其他产品安全性和有效性的产品，应充分考虑产品工作原理、结构组成、适用范围及产品其他风险等方面。</w:t>
      </w:r>
    </w:p>
    <w:p w14:paraId="70354575">
      <w:pPr>
        <w:autoSpaceDE w:val="0"/>
        <w:autoSpaceDN w:val="0"/>
        <w:spacing w:line="520" w:lineRule="exact"/>
        <w:ind w:firstLine="640" w:firstLineChars="200"/>
        <w:rPr>
          <w:rFonts w:eastAsia="仿宋_GB2312"/>
          <w:color w:val="000000"/>
          <w:kern w:val="0"/>
          <w:sz w:val="32"/>
          <w:szCs w:val="32"/>
        </w:rPr>
      </w:pPr>
      <w:r>
        <w:rPr>
          <w:rFonts w:eastAsia="仿宋_GB2312"/>
          <w:color w:val="000000"/>
          <w:kern w:val="0"/>
          <w:sz w:val="32"/>
          <w:szCs w:val="32"/>
        </w:rPr>
        <w:t>注册单元内各型号的主要安全指标、性能指标不能被典型型号全部涵盖时，则应选择涵盖安全指标、性能指标最多的产品作为典型性产品，同时还应考虑其他型号中未被典型型号所涵盖的安全指标及性能指标。</w:t>
      </w:r>
    </w:p>
    <w:p w14:paraId="08DC9002">
      <w:pPr>
        <w:spacing w:line="520" w:lineRule="exact"/>
        <w:ind w:firstLine="640" w:firstLineChars="200"/>
        <w:outlineLvl w:val="1"/>
        <w:rPr>
          <w:rFonts w:eastAsia="楷体_GB2312"/>
          <w:color w:val="000000"/>
          <w:sz w:val="32"/>
          <w:szCs w:val="32"/>
        </w:rPr>
      </w:pPr>
      <w:r>
        <w:rPr>
          <w:rFonts w:eastAsia="楷体_GB2312"/>
          <w:color w:val="000000"/>
          <w:sz w:val="32"/>
          <w:szCs w:val="32"/>
        </w:rPr>
        <w:t>（十一）产品生产制造相关要求</w:t>
      </w:r>
    </w:p>
    <w:p w14:paraId="6DF8F958">
      <w:pPr>
        <w:spacing w:line="520" w:lineRule="exact"/>
        <w:ind w:firstLine="640" w:firstLineChars="200"/>
        <w:outlineLvl w:val="2"/>
        <w:rPr>
          <w:rFonts w:eastAsia="仿宋_GB2312"/>
          <w:sz w:val="32"/>
          <w:szCs w:val="32"/>
        </w:rPr>
      </w:pPr>
      <w:r>
        <w:rPr>
          <w:rFonts w:eastAsia="仿宋_GB2312"/>
          <w:sz w:val="32"/>
          <w:szCs w:val="32"/>
        </w:rPr>
        <w:t>1.生产工艺</w:t>
      </w:r>
    </w:p>
    <w:p w14:paraId="4922D738">
      <w:pPr>
        <w:spacing w:line="520" w:lineRule="exact"/>
        <w:ind w:firstLine="640" w:firstLineChars="200"/>
        <w:rPr>
          <w:rFonts w:eastAsia="仿宋_GB2312"/>
          <w:kern w:val="0"/>
          <w:sz w:val="32"/>
          <w:szCs w:val="32"/>
        </w:rPr>
      </w:pPr>
      <w:r>
        <w:rPr>
          <w:rFonts w:eastAsia="仿宋_GB2312"/>
          <w:kern w:val="0"/>
          <w:sz w:val="32"/>
          <w:szCs w:val="32"/>
        </w:rPr>
        <w:t>应根据申报产品的实际情况，以流程图的形式对生产工艺过程进行详细描述，并根据流程图描述其中的</w:t>
      </w:r>
      <w:r>
        <w:rPr>
          <w:rFonts w:hint="eastAsia" w:eastAsia="仿宋_GB2312"/>
          <w:kern w:val="0"/>
          <w:sz w:val="32"/>
          <w:szCs w:val="32"/>
        </w:rPr>
        <w:t>重要</w:t>
      </w:r>
      <w:r>
        <w:rPr>
          <w:rFonts w:eastAsia="仿宋_GB2312"/>
          <w:kern w:val="0"/>
          <w:sz w:val="32"/>
          <w:szCs w:val="32"/>
        </w:rPr>
        <w:t>过程控制点。工艺流程图中的关键工序和特殊过程应以特殊图型表示。</w:t>
      </w:r>
    </w:p>
    <w:p w14:paraId="2A493B01">
      <w:pPr>
        <w:spacing w:line="520" w:lineRule="exact"/>
        <w:ind w:firstLine="640" w:firstLineChars="200"/>
        <w:outlineLvl w:val="2"/>
        <w:rPr>
          <w:rFonts w:eastAsia="仿宋_GB2312"/>
          <w:sz w:val="32"/>
          <w:szCs w:val="32"/>
        </w:rPr>
      </w:pPr>
      <w:r>
        <w:rPr>
          <w:rFonts w:eastAsia="仿宋_GB2312"/>
          <w:sz w:val="32"/>
          <w:szCs w:val="32"/>
        </w:rPr>
        <w:t>2.生产场地</w:t>
      </w:r>
    </w:p>
    <w:p w14:paraId="5CE99B44">
      <w:pPr>
        <w:spacing w:line="520" w:lineRule="exact"/>
        <w:ind w:firstLine="640" w:firstLineChars="200"/>
        <w:rPr>
          <w:rFonts w:eastAsia="仿宋_GB2312"/>
          <w:kern w:val="0"/>
          <w:sz w:val="32"/>
          <w:szCs w:val="32"/>
        </w:rPr>
      </w:pPr>
      <w:r>
        <w:rPr>
          <w:rFonts w:eastAsia="仿宋_GB2312"/>
          <w:kern w:val="0"/>
          <w:sz w:val="32"/>
          <w:szCs w:val="32"/>
        </w:rPr>
        <w:t xml:space="preserve">申请人应当对与申报产品有关的研制场地和生产场地情况进行概述。 </w:t>
      </w:r>
    </w:p>
    <w:p w14:paraId="763F7F70">
      <w:pPr>
        <w:tabs>
          <w:tab w:val="left" w:pos="851"/>
        </w:tabs>
        <w:spacing w:line="520" w:lineRule="exact"/>
        <w:ind w:firstLine="640" w:firstLineChars="200"/>
        <w:outlineLvl w:val="1"/>
        <w:rPr>
          <w:rFonts w:eastAsia="楷体_GB2312"/>
          <w:color w:val="000000"/>
          <w:sz w:val="32"/>
          <w:szCs w:val="32"/>
        </w:rPr>
      </w:pPr>
      <w:r>
        <w:rPr>
          <w:rFonts w:eastAsia="楷体_GB2312"/>
          <w:color w:val="000000"/>
          <w:sz w:val="32"/>
          <w:szCs w:val="32"/>
        </w:rPr>
        <w:t>（十二）产品的临床评价要求</w:t>
      </w:r>
    </w:p>
    <w:p w14:paraId="567EB47F">
      <w:pPr>
        <w:spacing w:line="520" w:lineRule="exact"/>
        <w:ind w:firstLine="640" w:firstLineChars="200"/>
        <w:rPr>
          <w:rFonts w:eastAsia="仿宋_GB2312"/>
          <w:b/>
          <w:bCs/>
          <w:sz w:val="32"/>
          <w:szCs w:val="32"/>
        </w:rPr>
      </w:pPr>
      <w:r>
        <w:rPr>
          <w:rFonts w:hint="eastAsia" w:eastAsia="仿宋_GB2312"/>
          <w:sz w:val="32"/>
          <w:szCs w:val="32"/>
        </w:rPr>
        <w:t>依据国家药监局发布的2019年第91号通告，</w:t>
      </w:r>
      <w:r>
        <w:rPr>
          <w:rFonts w:eastAsia="仿宋_GB2312"/>
          <w:sz w:val="32"/>
          <w:szCs w:val="32"/>
        </w:rPr>
        <w:t>“</w:t>
      </w:r>
      <w:r>
        <w:rPr>
          <w:rFonts w:hint="eastAsia" w:eastAsia="仿宋_GB2312"/>
          <w:sz w:val="32"/>
          <w:szCs w:val="32"/>
        </w:rPr>
        <w:t>步态训练设备</w:t>
      </w:r>
      <w:r>
        <w:rPr>
          <w:rFonts w:eastAsia="仿宋_GB2312"/>
          <w:sz w:val="32"/>
          <w:szCs w:val="32"/>
        </w:rPr>
        <w:t>”</w:t>
      </w:r>
      <w:r>
        <w:rPr>
          <w:rFonts w:hint="eastAsia" w:eastAsia="仿宋_GB2312"/>
          <w:sz w:val="32"/>
          <w:szCs w:val="32"/>
        </w:rPr>
        <w:t>属于</w:t>
      </w:r>
      <w:r>
        <w:rPr>
          <w:rFonts w:eastAsia="仿宋_GB2312"/>
          <w:sz w:val="32"/>
          <w:szCs w:val="32"/>
        </w:rPr>
        <w:t>《</w:t>
      </w:r>
      <w:r>
        <w:rPr>
          <w:rFonts w:hint="eastAsia" w:eastAsia="仿宋_GB2312"/>
          <w:sz w:val="32"/>
          <w:szCs w:val="32"/>
        </w:rPr>
        <w:t>新增和修订的免于进行临床试验医疗器械目录</w:t>
      </w:r>
      <w:r>
        <w:rPr>
          <w:rFonts w:eastAsia="仿宋_GB2312"/>
          <w:sz w:val="32"/>
          <w:szCs w:val="32"/>
        </w:rPr>
        <w:t>》</w:t>
      </w:r>
      <w:r>
        <w:rPr>
          <w:rFonts w:hint="eastAsia" w:eastAsia="仿宋_GB2312"/>
          <w:sz w:val="32"/>
          <w:szCs w:val="32"/>
        </w:rPr>
        <w:t>，</w:t>
      </w:r>
      <w:r>
        <w:rPr>
          <w:rFonts w:eastAsia="仿宋_GB2312"/>
          <w:sz w:val="32"/>
          <w:szCs w:val="32"/>
        </w:rPr>
        <w:t>则注册申请时应提交以下临床评价资料：</w:t>
      </w:r>
    </w:p>
    <w:p w14:paraId="009E267E">
      <w:pPr>
        <w:pStyle w:val="26"/>
        <w:spacing w:line="520" w:lineRule="exact"/>
        <w:ind w:firstLine="640"/>
        <w:rPr>
          <w:rFonts w:ascii="Times New Roman" w:eastAsia="仿宋_GB2312"/>
          <w:sz w:val="32"/>
          <w:szCs w:val="32"/>
        </w:rPr>
      </w:pPr>
      <w:r>
        <w:rPr>
          <w:rFonts w:ascii="Times New Roman" w:eastAsia="仿宋_GB2312"/>
          <w:sz w:val="32"/>
          <w:szCs w:val="32"/>
        </w:rPr>
        <w:t>（1）提交申报产品相关信息与《目录》所述内容的比对资料，证明两者具有等同性</w:t>
      </w:r>
      <w:r>
        <w:rPr>
          <w:rFonts w:hint="eastAsia" w:ascii="Times New Roman" w:eastAsia="仿宋_GB2312"/>
          <w:sz w:val="32"/>
          <w:szCs w:val="32"/>
        </w:rPr>
        <w:t>。</w:t>
      </w:r>
      <w:r>
        <w:rPr>
          <w:rFonts w:ascii="Times New Roman" w:eastAsia="仿宋_GB2312"/>
          <w:sz w:val="32"/>
          <w:szCs w:val="32"/>
        </w:rPr>
        <w:t>如表4。</w:t>
      </w:r>
    </w:p>
    <w:p w14:paraId="4F32CA9B">
      <w:pPr>
        <w:pStyle w:val="26"/>
        <w:spacing w:line="520" w:lineRule="exact"/>
        <w:ind w:firstLine="640"/>
        <w:rPr>
          <w:rFonts w:ascii="Times New Roman" w:eastAsia="仿宋"/>
          <w:sz w:val="32"/>
          <w:szCs w:val="32"/>
        </w:rPr>
      </w:pPr>
      <w:r>
        <w:rPr>
          <w:rFonts w:ascii="Times New Roman" w:eastAsia="仿宋_GB2312"/>
          <w:sz w:val="32"/>
          <w:szCs w:val="32"/>
        </w:rPr>
        <w:t>（2）提交申报产品与</w:t>
      </w:r>
      <w:r>
        <w:rPr>
          <w:rFonts w:hint="eastAsia" w:ascii="Times New Roman" w:eastAsia="仿宋_GB2312"/>
          <w:sz w:val="32"/>
          <w:szCs w:val="32"/>
        </w:rPr>
        <w:t>《目录》中已获准境内注册</w:t>
      </w:r>
      <w:r>
        <w:rPr>
          <w:rFonts w:ascii="Times New Roman" w:eastAsia="仿宋_GB2312"/>
          <w:sz w:val="32"/>
          <w:szCs w:val="32"/>
        </w:rPr>
        <w:t>医疗器械的</w:t>
      </w:r>
      <w:r>
        <w:rPr>
          <w:rFonts w:hint="eastAsia" w:ascii="Times New Roman" w:eastAsia="仿宋_GB2312"/>
          <w:sz w:val="32"/>
          <w:szCs w:val="32"/>
        </w:rPr>
        <w:t>对比</w:t>
      </w:r>
      <w:r>
        <w:rPr>
          <w:rFonts w:ascii="Times New Roman" w:eastAsia="仿宋_GB2312"/>
          <w:sz w:val="32"/>
          <w:szCs w:val="32"/>
        </w:rPr>
        <w:t>说明，</w:t>
      </w:r>
      <w:r>
        <w:rPr>
          <w:rFonts w:hint="eastAsia" w:ascii="Times New Roman" w:eastAsia="仿宋_GB2312"/>
          <w:sz w:val="32"/>
          <w:szCs w:val="32"/>
        </w:rPr>
        <w:t>如表4，</w:t>
      </w:r>
      <w:r>
        <w:rPr>
          <w:rFonts w:ascii="Times New Roman" w:eastAsia="仿宋_GB2312"/>
          <w:sz w:val="32"/>
          <w:szCs w:val="32"/>
        </w:rPr>
        <w:t>并提供必要的支持性资料。</w:t>
      </w:r>
    </w:p>
    <w:p w14:paraId="48DDA896">
      <w:pPr>
        <w:spacing w:line="520" w:lineRule="exact"/>
        <w:jc w:val="center"/>
        <w:rPr>
          <w:rFonts w:eastAsia="黑体"/>
          <w:sz w:val="28"/>
          <w:szCs w:val="28"/>
        </w:rPr>
      </w:pPr>
      <w:r>
        <w:rPr>
          <w:rFonts w:eastAsia="黑体"/>
          <w:sz w:val="28"/>
          <w:szCs w:val="28"/>
        </w:rPr>
        <w:t>表4 申报产品与《目录》</w:t>
      </w:r>
      <w:r>
        <w:rPr>
          <w:rFonts w:hint="eastAsia" w:eastAsia="黑体"/>
          <w:sz w:val="28"/>
          <w:szCs w:val="28"/>
        </w:rPr>
        <w:t>中已获准境内注册医疗器械</w:t>
      </w:r>
      <w:r>
        <w:rPr>
          <w:rFonts w:eastAsia="黑体"/>
          <w:sz w:val="28"/>
          <w:szCs w:val="28"/>
        </w:rPr>
        <w:t>对比表</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749"/>
        <w:gridCol w:w="2407"/>
        <w:gridCol w:w="1417"/>
        <w:gridCol w:w="1481"/>
        <w:gridCol w:w="1631"/>
      </w:tblGrid>
      <w:tr w14:paraId="2BE0350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5" w:hRule="atLeast"/>
          <w:jc w:val="center"/>
        </w:trPr>
        <w:tc>
          <w:tcPr>
            <w:tcW w:w="1749" w:type="dxa"/>
            <w:tcBorders>
              <w:top w:val="single" w:color="auto" w:sz="4" w:space="0"/>
              <w:left w:val="nil"/>
              <w:bottom w:val="single" w:color="auto" w:sz="4" w:space="0"/>
              <w:right w:val="nil"/>
            </w:tcBorders>
            <w:vAlign w:val="center"/>
          </w:tcPr>
          <w:p w14:paraId="6F8E4360">
            <w:pPr>
              <w:spacing w:line="360" w:lineRule="exact"/>
              <w:rPr>
                <w:rFonts w:eastAsia="仿宋_GB2312"/>
                <w:kern w:val="0"/>
                <w:sz w:val="28"/>
                <w:szCs w:val="32"/>
              </w:rPr>
            </w:pPr>
            <w:r>
              <w:rPr>
                <w:rFonts w:eastAsia="仿宋_GB2312"/>
                <w:kern w:val="0"/>
                <w:sz w:val="28"/>
                <w:szCs w:val="32"/>
              </w:rPr>
              <w:t>对比项目</w:t>
            </w:r>
          </w:p>
        </w:tc>
        <w:tc>
          <w:tcPr>
            <w:tcW w:w="2407" w:type="dxa"/>
            <w:tcBorders>
              <w:top w:val="single" w:color="auto" w:sz="4" w:space="0"/>
              <w:left w:val="nil"/>
              <w:bottom w:val="single" w:color="auto" w:sz="4" w:space="0"/>
              <w:right w:val="nil"/>
            </w:tcBorders>
            <w:vAlign w:val="center"/>
          </w:tcPr>
          <w:p w14:paraId="291A9320">
            <w:pPr>
              <w:spacing w:line="360" w:lineRule="exact"/>
              <w:rPr>
                <w:rFonts w:eastAsia="仿宋_GB2312"/>
                <w:kern w:val="0"/>
                <w:sz w:val="28"/>
                <w:szCs w:val="32"/>
              </w:rPr>
            </w:pPr>
            <w:r>
              <w:rPr>
                <w:rFonts w:eastAsia="仿宋_GB2312"/>
                <w:kern w:val="0"/>
                <w:sz w:val="28"/>
                <w:szCs w:val="32"/>
              </w:rPr>
              <w:t>目录中医疗器械</w:t>
            </w:r>
          </w:p>
        </w:tc>
        <w:tc>
          <w:tcPr>
            <w:tcW w:w="1417" w:type="dxa"/>
            <w:tcBorders>
              <w:top w:val="single" w:color="auto" w:sz="4" w:space="0"/>
              <w:left w:val="nil"/>
              <w:bottom w:val="single" w:color="auto" w:sz="4" w:space="0"/>
              <w:right w:val="nil"/>
            </w:tcBorders>
            <w:vAlign w:val="center"/>
          </w:tcPr>
          <w:p w14:paraId="45A738D1">
            <w:pPr>
              <w:spacing w:line="360" w:lineRule="exact"/>
              <w:rPr>
                <w:rFonts w:eastAsia="仿宋_GB2312"/>
                <w:kern w:val="0"/>
                <w:sz w:val="28"/>
                <w:szCs w:val="32"/>
              </w:rPr>
            </w:pPr>
            <w:r>
              <w:rPr>
                <w:rFonts w:eastAsia="仿宋_GB2312"/>
                <w:kern w:val="0"/>
                <w:sz w:val="28"/>
                <w:szCs w:val="32"/>
              </w:rPr>
              <w:t>申报产品</w:t>
            </w:r>
          </w:p>
        </w:tc>
        <w:tc>
          <w:tcPr>
            <w:tcW w:w="1481" w:type="dxa"/>
            <w:tcBorders>
              <w:top w:val="single" w:color="auto" w:sz="4" w:space="0"/>
              <w:left w:val="nil"/>
              <w:bottom w:val="single" w:color="auto" w:sz="4" w:space="0"/>
              <w:right w:val="nil"/>
            </w:tcBorders>
            <w:vAlign w:val="center"/>
          </w:tcPr>
          <w:p w14:paraId="4A396299">
            <w:pPr>
              <w:spacing w:line="360" w:lineRule="exact"/>
              <w:jc w:val="center"/>
              <w:rPr>
                <w:rFonts w:eastAsia="仿宋_GB2312"/>
                <w:kern w:val="0"/>
                <w:sz w:val="28"/>
                <w:szCs w:val="32"/>
              </w:rPr>
            </w:pPr>
            <w:r>
              <w:rPr>
                <w:rFonts w:eastAsia="仿宋_GB2312"/>
                <w:kern w:val="0"/>
                <w:sz w:val="28"/>
                <w:szCs w:val="32"/>
              </w:rPr>
              <w:t>差异性</w:t>
            </w:r>
          </w:p>
        </w:tc>
        <w:tc>
          <w:tcPr>
            <w:tcW w:w="1631" w:type="dxa"/>
            <w:tcBorders>
              <w:top w:val="single" w:color="auto" w:sz="4" w:space="0"/>
              <w:left w:val="nil"/>
              <w:bottom w:val="single" w:color="auto" w:sz="4" w:space="0"/>
              <w:right w:val="nil"/>
            </w:tcBorders>
            <w:vAlign w:val="center"/>
          </w:tcPr>
          <w:p w14:paraId="237A9452">
            <w:pPr>
              <w:spacing w:line="360" w:lineRule="exact"/>
              <w:jc w:val="center"/>
              <w:rPr>
                <w:rFonts w:eastAsia="仿宋_GB2312"/>
                <w:kern w:val="0"/>
                <w:sz w:val="28"/>
                <w:szCs w:val="32"/>
              </w:rPr>
            </w:pPr>
            <w:r>
              <w:rPr>
                <w:rFonts w:eastAsia="仿宋_GB2312"/>
                <w:kern w:val="0"/>
                <w:sz w:val="28"/>
                <w:szCs w:val="32"/>
              </w:rPr>
              <w:t>支持性</w:t>
            </w:r>
          </w:p>
          <w:p w14:paraId="4CC36357">
            <w:pPr>
              <w:spacing w:line="360" w:lineRule="exact"/>
              <w:jc w:val="center"/>
              <w:rPr>
                <w:rFonts w:eastAsia="仿宋_GB2312"/>
                <w:kern w:val="0"/>
                <w:sz w:val="28"/>
                <w:szCs w:val="32"/>
              </w:rPr>
            </w:pPr>
            <w:r>
              <w:rPr>
                <w:rFonts w:eastAsia="仿宋_GB2312"/>
                <w:kern w:val="0"/>
                <w:sz w:val="28"/>
                <w:szCs w:val="32"/>
              </w:rPr>
              <w:t>资料概述</w:t>
            </w:r>
          </w:p>
        </w:tc>
      </w:tr>
      <w:tr w14:paraId="236BFBB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nil"/>
              <w:bottom w:val="single" w:color="auto" w:sz="4" w:space="0"/>
              <w:right w:val="nil"/>
            </w:tcBorders>
            <w:vAlign w:val="center"/>
          </w:tcPr>
          <w:p w14:paraId="1AA0B940">
            <w:pPr>
              <w:spacing w:line="360" w:lineRule="exact"/>
              <w:rPr>
                <w:rFonts w:eastAsia="仿宋_GB2312"/>
                <w:kern w:val="0"/>
                <w:sz w:val="28"/>
                <w:szCs w:val="32"/>
              </w:rPr>
            </w:pPr>
            <w:r>
              <w:rPr>
                <w:rFonts w:eastAsia="仿宋_GB2312"/>
                <w:sz w:val="28"/>
                <w:szCs w:val="32"/>
              </w:rPr>
              <w:t>基本原理（工作原理/作用机理）</w:t>
            </w:r>
          </w:p>
        </w:tc>
        <w:tc>
          <w:tcPr>
            <w:tcW w:w="2407" w:type="dxa"/>
            <w:tcBorders>
              <w:top w:val="single" w:color="auto" w:sz="4" w:space="0"/>
              <w:left w:val="nil"/>
              <w:bottom w:val="single" w:color="auto" w:sz="4" w:space="0"/>
              <w:right w:val="nil"/>
            </w:tcBorders>
            <w:vAlign w:val="center"/>
          </w:tcPr>
          <w:p w14:paraId="73FCB864">
            <w:pPr>
              <w:spacing w:line="360" w:lineRule="exact"/>
              <w:rPr>
                <w:rFonts w:eastAsia="仿宋_GB2312"/>
                <w:kern w:val="0"/>
                <w:sz w:val="28"/>
                <w:szCs w:val="32"/>
              </w:rPr>
            </w:pPr>
          </w:p>
        </w:tc>
        <w:tc>
          <w:tcPr>
            <w:tcW w:w="1417" w:type="dxa"/>
            <w:tcBorders>
              <w:top w:val="single" w:color="auto" w:sz="4" w:space="0"/>
              <w:left w:val="nil"/>
              <w:bottom w:val="single" w:color="auto" w:sz="4" w:space="0"/>
              <w:right w:val="nil"/>
            </w:tcBorders>
            <w:vAlign w:val="center"/>
          </w:tcPr>
          <w:p w14:paraId="57E15FBB">
            <w:pPr>
              <w:spacing w:line="360" w:lineRule="exact"/>
              <w:rPr>
                <w:rFonts w:eastAsia="仿宋"/>
                <w:kern w:val="0"/>
                <w:sz w:val="32"/>
                <w:szCs w:val="32"/>
              </w:rPr>
            </w:pPr>
          </w:p>
        </w:tc>
        <w:tc>
          <w:tcPr>
            <w:tcW w:w="1481" w:type="dxa"/>
            <w:tcBorders>
              <w:top w:val="single" w:color="auto" w:sz="4" w:space="0"/>
              <w:left w:val="nil"/>
              <w:bottom w:val="single" w:color="auto" w:sz="4" w:space="0"/>
              <w:right w:val="nil"/>
            </w:tcBorders>
          </w:tcPr>
          <w:p w14:paraId="78F0C5F3">
            <w:pPr>
              <w:spacing w:line="360" w:lineRule="exact"/>
              <w:rPr>
                <w:rFonts w:eastAsia="仿宋"/>
                <w:kern w:val="0"/>
                <w:sz w:val="32"/>
                <w:szCs w:val="32"/>
              </w:rPr>
            </w:pPr>
          </w:p>
        </w:tc>
        <w:tc>
          <w:tcPr>
            <w:tcW w:w="1631" w:type="dxa"/>
            <w:tcBorders>
              <w:top w:val="single" w:color="auto" w:sz="4" w:space="0"/>
              <w:left w:val="nil"/>
              <w:bottom w:val="single" w:color="auto" w:sz="4" w:space="0"/>
              <w:right w:val="nil"/>
            </w:tcBorders>
            <w:vAlign w:val="center"/>
          </w:tcPr>
          <w:p w14:paraId="075953CF">
            <w:pPr>
              <w:spacing w:line="360" w:lineRule="exact"/>
              <w:rPr>
                <w:rFonts w:eastAsia="仿宋"/>
                <w:kern w:val="0"/>
                <w:sz w:val="32"/>
                <w:szCs w:val="32"/>
              </w:rPr>
            </w:pPr>
          </w:p>
        </w:tc>
      </w:tr>
      <w:tr w14:paraId="66AA574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nil"/>
              <w:bottom w:val="single" w:color="auto" w:sz="4" w:space="0"/>
              <w:right w:val="nil"/>
            </w:tcBorders>
            <w:vAlign w:val="center"/>
          </w:tcPr>
          <w:p w14:paraId="15446678">
            <w:pPr>
              <w:spacing w:line="360" w:lineRule="exact"/>
              <w:rPr>
                <w:rFonts w:eastAsia="仿宋_GB2312"/>
                <w:kern w:val="0"/>
                <w:sz w:val="28"/>
                <w:szCs w:val="32"/>
              </w:rPr>
            </w:pPr>
            <w:r>
              <w:rPr>
                <w:rFonts w:eastAsia="仿宋_GB2312"/>
                <w:sz w:val="28"/>
                <w:szCs w:val="32"/>
              </w:rPr>
              <w:t>结构组成</w:t>
            </w:r>
          </w:p>
        </w:tc>
        <w:tc>
          <w:tcPr>
            <w:tcW w:w="2407" w:type="dxa"/>
            <w:tcBorders>
              <w:top w:val="single" w:color="auto" w:sz="4" w:space="0"/>
              <w:left w:val="nil"/>
              <w:bottom w:val="single" w:color="auto" w:sz="4" w:space="0"/>
              <w:right w:val="nil"/>
            </w:tcBorders>
            <w:vAlign w:val="center"/>
          </w:tcPr>
          <w:p w14:paraId="28EB39A7">
            <w:pPr>
              <w:spacing w:line="360" w:lineRule="exact"/>
              <w:rPr>
                <w:rFonts w:eastAsia="仿宋_GB2312"/>
                <w:kern w:val="0"/>
                <w:sz w:val="28"/>
                <w:szCs w:val="32"/>
              </w:rPr>
            </w:pPr>
          </w:p>
        </w:tc>
        <w:tc>
          <w:tcPr>
            <w:tcW w:w="1417" w:type="dxa"/>
            <w:tcBorders>
              <w:top w:val="single" w:color="auto" w:sz="4" w:space="0"/>
              <w:left w:val="nil"/>
              <w:bottom w:val="single" w:color="auto" w:sz="4" w:space="0"/>
              <w:right w:val="nil"/>
            </w:tcBorders>
            <w:vAlign w:val="center"/>
          </w:tcPr>
          <w:p w14:paraId="036C12B9">
            <w:pPr>
              <w:spacing w:line="360" w:lineRule="exact"/>
              <w:rPr>
                <w:rFonts w:eastAsia="仿宋"/>
                <w:kern w:val="0"/>
                <w:sz w:val="32"/>
                <w:szCs w:val="32"/>
              </w:rPr>
            </w:pPr>
          </w:p>
        </w:tc>
        <w:tc>
          <w:tcPr>
            <w:tcW w:w="1481" w:type="dxa"/>
            <w:tcBorders>
              <w:top w:val="single" w:color="auto" w:sz="4" w:space="0"/>
              <w:left w:val="nil"/>
              <w:bottom w:val="single" w:color="auto" w:sz="4" w:space="0"/>
              <w:right w:val="nil"/>
            </w:tcBorders>
          </w:tcPr>
          <w:p w14:paraId="50ADD829">
            <w:pPr>
              <w:spacing w:line="360" w:lineRule="exact"/>
              <w:rPr>
                <w:rFonts w:eastAsia="仿宋"/>
                <w:kern w:val="0"/>
                <w:sz w:val="32"/>
                <w:szCs w:val="32"/>
              </w:rPr>
            </w:pPr>
          </w:p>
        </w:tc>
        <w:tc>
          <w:tcPr>
            <w:tcW w:w="1631" w:type="dxa"/>
            <w:tcBorders>
              <w:top w:val="single" w:color="auto" w:sz="4" w:space="0"/>
              <w:left w:val="nil"/>
              <w:bottom w:val="single" w:color="auto" w:sz="4" w:space="0"/>
              <w:right w:val="nil"/>
            </w:tcBorders>
            <w:vAlign w:val="center"/>
          </w:tcPr>
          <w:p w14:paraId="5B6114FB">
            <w:pPr>
              <w:spacing w:line="360" w:lineRule="exact"/>
              <w:rPr>
                <w:rFonts w:eastAsia="仿宋"/>
                <w:kern w:val="0"/>
                <w:sz w:val="32"/>
                <w:szCs w:val="32"/>
              </w:rPr>
            </w:pPr>
          </w:p>
        </w:tc>
      </w:tr>
      <w:tr w14:paraId="7D7FA12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nil"/>
              <w:bottom w:val="single" w:color="auto" w:sz="4" w:space="0"/>
              <w:right w:val="nil"/>
            </w:tcBorders>
            <w:vAlign w:val="center"/>
          </w:tcPr>
          <w:p w14:paraId="2322E847">
            <w:pPr>
              <w:spacing w:line="360" w:lineRule="exact"/>
              <w:rPr>
                <w:rFonts w:eastAsia="仿宋_GB2312"/>
                <w:kern w:val="0"/>
                <w:sz w:val="28"/>
                <w:szCs w:val="32"/>
              </w:rPr>
            </w:pPr>
            <w:r>
              <w:rPr>
                <w:rFonts w:eastAsia="仿宋_GB2312"/>
                <w:sz w:val="28"/>
                <w:szCs w:val="32"/>
              </w:rPr>
              <w:t>产品制造材料或与人体接触部分的制造材料</w:t>
            </w:r>
          </w:p>
        </w:tc>
        <w:tc>
          <w:tcPr>
            <w:tcW w:w="2407" w:type="dxa"/>
            <w:tcBorders>
              <w:top w:val="single" w:color="auto" w:sz="4" w:space="0"/>
              <w:left w:val="nil"/>
              <w:bottom w:val="single" w:color="auto" w:sz="4" w:space="0"/>
              <w:right w:val="nil"/>
            </w:tcBorders>
            <w:vAlign w:val="center"/>
          </w:tcPr>
          <w:p w14:paraId="20F6C580">
            <w:pPr>
              <w:spacing w:line="360" w:lineRule="exact"/>
              <w:rPr>
                <w:rFonts w:eastAsia="仿宋_GB2312"/>
                <w:kern w:val="0"/>
                <w:sz w:val="28"/>
                <w:szCs w:val="32"/>
              </w:rPr>
            </w:pPr>
          </w:p>
        </w:tc>
        <w:tc>
          <w:tcPr>
            <w:tcW w:w="1417" w:type="dxa"/>
            <w:tcBorders>
              <w:top w:val="single" w:color="auto" w:sz="4" w:space="0"/>
              <w:left w:val="nil"/>
              <w:bottom w:val="single" w:color="auto" w:sz="4" w:space="0"/>
              <w:right w:val="nil"/>
            </w:tcBorders>
            <w:vAlign w:val="center"/>
          </w:tcPr>
          <w:p w14:paraId="5EE072C0">
            <w:pPr>
              <w:spacing w:line="360" w:lineRule="exact"/>
              <w:rPr>
                <w:rFonts w:eastAsia="仿宋"/>
                <w:kern w:val="0"/>
                <w:sz w:val="32"/>
                <w:szCs w:val="32"/>
              </w:rPr>
            </w:pPr>
          </w:p>
        </w:tc>
        <w:tc>
          <w:tcPr>
            <w:tcW w:w="1481" w:type="dxa"/>
            <w:tcBorders>
              <w:top w:val="single" w:color="auto" w:sz="4" w:space="0"/>
              <w:left w:val="nil"/>
              <w:bottom w:val="single" w:color="auto" w:sz="4" w:space="0"/>
              <w:right w:val="nil"/>
            </w:tcBorders>
          </w:tcPr>
          <w:p w14:paraId="483335AD">
            <w:pPr>
              <w:spacing w:line="360" w:lineRule="exact"/>
              <w:rPr>
                <w:rFonts w:eastAsia="仿宋"/>
                <w:kern w:val="0"/>
                <w:sz w:val="32"/>
                <w:szCs w:val="32"/>
              </w:rPr>
            </w:pPr>
          </w:p>
        </w:tc>
        <w:tc>
          <w:tcPr>
            <w:tcW w:w="1631" w:type="dxa"/>
            <w:tcBorders>
              <w:top w:val="single" w:color="auto" w:sz="4" w:space="0"/>
              <w:left w:val="nil"/>
              <w:bottom w:val="single" w:color="auto" w:sz="4" w:space="0"/>
              <w:right w:val="nil"/>
            </w:tcBorders>
            <w:vAlign w:val="center"/>
          </w:tcPr>
          <w:p w14:paraId="02C90CB0">
            <w:pPr>
              <w:spacing w:line="360" w:lineRule="exact"/>
              <w:rPr>
                <w:rFonts w:eastAsia="仿宋"/>
                <w:kern w:val="0"/>
                <w:sz w:val="32"/>
                <w:szCs w:val="32"/>
              </w:rPr>
            </w:pPr>
          </w:p>
        </w:tc>
      </w:tr>
      <w:tr w14:paraId="57926AF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nil"/>
              <w:bottom w:val="single" w:color="auto" w:sz="4" w:space="0"/>
              <w:right w:val="nil"/>
            </w:tcBorders>
            <w:vAlign w:val="center"/>
          </w:tcPr>
          <w:p w14:paraId="4D061173">
            <w:pPr>
              <w:spacing w:line="360" w:lineRule="exact"/>
              <w:rPr>
                <w:rFonts w:eastAsia="仿宋_GB2312"/>
                <w:kern w:val="0"/>
                <w:sz w:val="28"/>
                <w:szCs w:val="32"/>
              </w:rPr>
            </w:pPr>
            <w:r>
              <w:rPr>
                <w:rFonts w:eastAsia="仿宋_GB2312"/>
                <w:sz w:val="28"/>
                <w:szCs w:val="32"/>
              </w:rPr>
              <w:t>性能要求</w:t>
            </w:r>
          </w:p>
        </w:tc>
        <w:tc>
          <w:tcPr>
            <w:tcW w:w="2407" w:type="dxa"/>
            <w:tcBorders>
              <w:top w:val="single" w:color="auto" w:sz="4" w:space="0"/>
              <w:left w:val="nil"/>
              <w:bottom w:val="single" w:color="auto" w:sz="4" w:space="0"/>
              <w:right w:val="nil"/>
            </w:tcBorders>
            <w:vAlign w:val="center"/>
          </w:tcPr>
          <w:p w14:paraId="346C0A4D">
            <w:pPr>
              <w:spacing w:line="360" w:lineRule="exact"/>
              <w:rPr>
                <w:rFonts w:eastAsia="仿宋_GB2312"/>
                <w:kern w:val="0"/>
                <w:sz w:val="28"/>
                <w:szCs w:val="32"/>
              </w:rPr>
            </w:pPr>
          </w:p>
        </w:tc>
        <w:tc>
          <w:tcPr>
            <w:tcW w:w="1417" w:type="dxa"/>
            <w:tcBorders>
              <w:top w:val="single" w:color="auto" w:sz="4" w:space="0"/>
              <w:left w:val="nil"/>
              <w:bottom w:val="single" w:color="auto" w:sz="4" w:space="0"/>
              <w:right w:val="nil"/>
            </w:tcBorders>
            <w:vAlign w:val="center"/>
          </w:tcPr>
          <w:p w14:paraId="584088AB">
            <w:pPr>
              <w:spacing w:line="360" w:lineRule="exact"/>
              <w:rPr>
                <w:rFonts w:eastAsia="仿宋"/>
                <w:kern w:val="0"/>
                <w:sz w:val="32"/>
                <w:szCs w:val="32"/>
              </w:rPr>
            </w:pPr>
          </w:p>
        </w:tc>
        <w:tc>
          <w:tcPr>
            <w:tcW w:w="1481" w:type="dxa"/>
            <w:tcBorders>
              <w:top w:val="single" w:color="auto" w:sz="4" w:space="0"/>
              <w:left w:val="nil"/>
              <w:bottom w:val="single" w:color="auto" w:sz="4" w:space="0"/>
              <w:right w:val="nil"/>
            </w:tcBorders>
          </w:tcPr>
          <w:p w14:paraId="039E6C86">
            <w:pPr>
              <w:spacing w:line="360" w:lineRule="exact"/>
              <w:rPr>
                <w:rFonts w:eastAsia="仿宋"/>
                <w:kern w:val="0"/>
                <w:sz w:val="32"/>
                <w:szCs w:val="32"/>
              </w:rPr>
            </w:pPr>
          </w:p>
        </w:tc>
        <w:tc>
          <w:tcPr>
            <w:tcW w:w="1631" w:type="dxa"/>
            <w:tcBorders>
              <w:top w:val="single" w:color="auto" w:sz="4" w:space="0"/>
              <w:left w:val="nil"/>
              <w:bottom w:val="single" w:color="auto" w:sz="4" w:space="0"/>
              <w:right w:val="nil"/>
            </w:tcBorders>
            <w:vAlign w:val="center"/>
          </w:tcPr>
          <w:p w14:paraId="400BD6DF">
            <w:pPr>
              <w:spacing w:line="360" w:lineRule="exact"/>
              <w:rPr>
                <w:rFonts w:eastAsia="仿宋"/>
                <w:kern w:val="0"/>
                <w:sz w:val="32"/>
                <w:szCs w:val="32"/>
              </w:rPr>
            </w:pPr>
          </w:p>
        </w:tc>
      </w:tr>
      <w:tr w14:paraId="6A0EAC4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nil"/>
              <w:bottom w:val="single" w:color="auto" w:sz="4" w:space="0"/>
              <w:right w:val="nil"/>
            </w:tcBorders>
            <w:vAlign w:val="center"/>
          </w:tcPr>
          <w:p w14:paraId="244FBE33">
            <w:pPr>
              <w:spacing w:line="360" w:lineRule="exact"/>
              <w:rPr>
                <w:rFonts w:eastAsia="仿宋_GB2312"/>
                <w:kern w:val="0"/>
                <w:sz w:val="28"/>
                <w:szCs w:val="32"/>
              </w:rPr>
            </w:pPr>
            <w:r>
              <w:rPr>
                <w:rFonts w:eastAsia="仿宋_GB2312"/>
                <w:sz w:val="28"/>
                <w:szCs w:val="32"/>
              </w:rPr>
              <w:t>灭菌/消毒方式</w:t>
            </w:r>
          </w:p>
        </w:tc>
        <w:tc>
          <w:tcPr>
            <w:tcW w:w="2407" w:type="dxa"/>
            <w:tcBorders>
              <w:top w:val="single" w:color="auto" w:sz="4" w:space="0"/>
              <w:left w:val="nil"/>
              <w:bottom w:val="single" w:color="auto" w:sz="4" w:space="0"/>
              <w:right w:val="nil"/>
            </w:tcBorders>
            <w:vAlign w:val="center"/>
          </w:tcPr>
          <w:p w14:paraId="7B325B20">
            <w:pPr>
              <w:spacing w:line="360" w:lineRule="exact"/>
              <w:rPr>
                <w:rFonts w:eastAsia="仿宋_GB2312"/>
                <w:kern w:val="0"/>
                <w:sz w:val="28"/>
                <w:szCs w:val="32"/>
              </w:rPr>
            </w:pPr>
          </w:p>
        </w:tc>
        <w:tc>
          <w:tcPr>
            <w:tcW w:w="1417" w:type="dxa"/>
            <w:tcBorders>
              <w:top w:val="single" w:color="auto" w:sz="4" w:space="0"/>
              <w:left w:val="nil"/>
              <w:bottom w:val="single" w:color="auto" w:sz="4" w:space="0"/>
              <w:right w:val="nil"/>
            </w:tcBorders>
            <w:vAlign w:val="center"/>
          </w:tcPr>
          <w:p w14:paraId="23B58EF7">
            <w:pPr>
              <w:spacing w:line="360" w:lineRule="exact"/>
              <w:rPr>
                <w:rFonts w:eastAsia="仿宋"/>
                <w:kern w:val="0"/>
                <w:sz w:val="32"/>
                <w:szCs w:val="32"/>
              </w:rPr>
            </w:pPr>
          </w:p>
        </w:tc>
        <w:tc>
          <w:tcPr>
            <w:tcW w:w="1481" w:type="dxa"/>
            <w:tcBorders>
              <w:top w:val="single" w:color="auto" w:sz="4" w:space="0"/>
              <w:left w:val="nil"/>
              <w:bottom w:val="single" w:color="auto" w:sz="4" w:space="0"/>
              <w:right w:val="nil"/>
            </w:tcBorders>
          </w:tcPr>
          <w:p w14:paraId="17E1D22A">
            <w:pPr>
              <w:spacing w:line="360" w:lineRule="exact"/>
              <w:rPr>
                <w:rFonts w:eastAsia="仿宋"/>
                <w:kern w:val="0"/>
                <w:sz w:val="32"/>
                <w:szCs w:val="32"/>
              </w:rPr>
            </w:pPr>
          </w:p>
        </w:tc>
        <w:tc>
          <w:tcPr>
            <w:tcW w:w="1631" w:type="dxa"/>
            <w:tcBorders>
              <w:top w:val="single" w:color="auto" w:sz="4" w:space="0"/>
              <w:left w:val="nil"/>
              <w:bottom w:val="single" w:color="auto" w:sz="4" w:space="0"/>
              <w:right w:val="nil"/>
            </w:tcBorders>
            <w:vAlign w:val="center"/>
          </w:tcPr>
          <w:p w14:paraId="43DF71F4">
            <w:pPr>
              <w:spacing w:line="360" w:lineRule="exact"/>
              <w:rPr>
                <w:rFonts w:eastAsia="仿宋"/>
                <w:kern w:val="0"/>
                <w:sz w:val="32"/>
                <w:szCs w:val="32"/>
              </w:rPr>
            </w:pPr>
          </w:p>
        </w:tc>
      </w:tr>
      <w:tr w14:paraId="55077F6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nil"/>
              <w:bottom w:val="single" w:color="auto" w:sz="4" w:space="0"/>
              <w:right w:val="nil"/>
            </w:tcBorders>
            <w:vAlign w:val="center"/>
          </w:tcPr>
          <w:p w14:paraId="1B6B7D29">
            <w:pPr>
              <w:spacing w:line="360" w:lineRule="exact"/>
              <w:rPr>
                <w:rFonts w:eastAsia="仿宋_GB2312"/>
                <w:sz w:val="28"/>
                <w:szCs w:val="32"/>
              </w:rPr>
            </w:pPr>
            <w:r>
              <w:rPr>
                <w:rFonts w:eastAsia="仿宋_GB2312"/>
                <w:sz w:val="28"/>
                <w:szCs w:val="32"/>
              </w:rPr>
              <w:t>适用范围</w:t>
            </w:r>
          </w:p>
        </w:tc>
        <w:tc>
          <w:tcPr>
            <w:tcW w:w="2407" w:type="dxa"/>
            <w:tcBorders>
              <w:top w:val="single" w:color="auto" w:sz="4" w:space="0"/>
              <w:left w:val="nil"/>
              <w:bottom w:val="single" w:color="auto" w:sz="4" w:space="0"/>
              <w:right w:val="nil"/>
            </w:tcBorders>
            <w:vAlign w:val="center"/>
          </w:tcPr>
          <w:p w14:paraId="0AB205FB">
            <w:pPr>
              <w:spacing w:line="360" w:lineRule="exact"/>
              <w:rPr>
                <w:rFonts w:eastAsia="仿宋_GB2312"/>
                <w:kern w:val="0"/>
                <w:sz w:val="28"/>
                <w:szCs w:val="32"/>
              </w:rPr>
            </w:pPr>
          </w:p>
        </w:tc>
        <w:tc>
          <w:tcPr>
            <w:tcW w:w="1417" w:type="dxa"/>
            <w:tcBorders>
              <w:top w:val="single" w:color="auto" w:sz="4" w:space="0"/>
              <w:left w:val="nil"/>
              <w:bottom w:val="single" w:color="auto" w:sz="4" w:space="0"/>
              <w:right w:val="nil"/>
            </w:tcBorders>
            <w:vAlign w:val="center"/>
          </w:tcPr>
          <w:p w14:paraId="085E1964">
            <w:pPr>
              <w:spacing w:line="360" w:lineRule="exact"/>
              <w:rPr>
                <w:rFonts w:eastAsia="仿宋"/>
                <w:kern w:val="0"/>
                <w:sz w:val="32"/>
                <w:szCs w:val="32"/>
              </w:rPr>
            </w:pPr>
          </w:p>
        </w:tc>
        <w:tc>
          <w:tcPr>
            <w:tcW w:w="1481" w:type="dxa"/>
            <w:tcBorders>
              <w:top w:val="single" w:color="auto" w:sz="4" w:space="0"/>
              <w:left w:val="nil"/>
              <w:bottom w:val="single" w:color="auto" w:sz="4" w:space="0"/>
              <w:right w:val="nil"/>
            </w:tcBorders>
          </w:tcPr>
          <w:p w14:paraId="02543242">
            <w:pPr>
              <w:spacing w:line="360" w:lineRule="exact"/>
              <w:rPr>
                <w:rFonts w:eastAsia="仿宋"/>
                <w:kern w:val="0"/>
                <w:sz w:val="32"/>
                <w:szCs w:val="32"/>
              </w:rPr>
            </w:pPr>
          </w:p>
        </w:tc>
        <w:tc>
          <w:tcPr>
            <w:tcW w:w="1631" w:type="dxa"/>
            <w:tcBorders>
              <w:top w:val="single" w:color="auto" w:sz="4" w:space="0"/>
              <w:left w:val="nil"/>
              <w:bottom w:val="single" w:color="auto" w:sz="4" w:space="0"/>
              <w:right w:val="nil"/>
            </w:tcBorders>
            <w:vAlign w:val="center"/>
          </w:tcPr>
          <w:p w14:paraId="4336AE08">
            <w:pPr>
              <w:spacing w:line="360" w:lineRule="exact"/>
              <w:rPr>
                <w:rFonts w:eastAsia="仿宋"/>
                <w:kern w:val="0"/>
                <w:sz w:val="32"/>
                <w:szCs w:val="32"/>
              </w:rPr>
            </w:pPr>
          </w:p>
        </w:tc>
      </w:tr>
      <w:tr w14:paraId="1CCA0A4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nil"/>
              <w:bottom w:val="single" w:color="auto" w:sz="4" w:space="0"/>
              <w:right w:val="nil"/>
            </w:tcBorders>
            <w:vAlign w:val="center"/>
          </w:tcPr>
          <w:p w14:paraId="7A6F97D4">
            <w:pPr>
              <w:spacing w:line="360" w:lineRule="exact"/>
              <w:rPr>
                <w:rFonts w:eastAsia="仿宋_GB2312"/>
                <w:sz w:val="28"/>
                <w:szCs w:val="32"/>
              </w:rPr>
            </w:pPr>
            <w:r>
              <w:rPr>
                <w:rFonts w:eastAsia="仿宋_GB2312"/>
                <w:sz w:val="28"/>
                <w:szCs w:val="32"/>
              </w:rPr>
              <w:t>使用方法</w:t>
            </w:r>
          </w:p>
        </w:tc>
        <w:tc>
          <w:tcPr>
            <w:tcW w:w="2407" w:type="dxa"/>
            <w:tcBorders>
              <w:top w:val="single" w:color="auto" w:sz="4" w:space="0"/>
              <w:left w:val="nil"/>
              <w:bottom w:val="single" w:color="auto" w:sz="4" w:space="0"/>
              <w:right w:val="nil"/>
            </w:tcBorders>
            <w:vAlign w:val="center"/>
          </w:tcPr>
          <w:p w14:paraId="659A4486">
            <w:pPr>
              <w:spacing w:line="360" w:lineRule="exact"/>
              <w:rPr>
                <w:rFonts w:eastAsia="仿宋_GB2312"/>
                <w:kern w:val="0"/>
                <w:sz w:val="28"/>
                <w:szCs w:val="32"/>
              </w:rPr>
            </w:pPr>
          </w:p>
        </w:tc>
        <w:tc>
          <w:tcPr>
            <w:tcW w:w="1417" w:type="dxa"/>
            <w:tcBorders>
              <w:top w:val="single" w:color="auto" w:sz="4" w:space="0"/>
              <w:left w:val="nil"/>
              <w:bottom w:val="single" w:color="auto" w:sz="4" w:space="0"/>
              <w:right w:val="nil"/>
            </w:tcBorders>
            <w:vAlign w:val="center"/>
          </w:tcPr>
          <w:p w14:paraId="777255F3">
            <w:pPr>
              <w:spacing w:line="360" w:lineRule="exact"/>
              <w:rPr>
                <w:rFonts w:eastAsia="仿宋"/>
                <w:kern w:val="0"/>
                <w:sz w:val="32"/>
                <w:szCs w:val="32"/>
              </w:rPr>
            </w:pPr>
          </w:p>
        </w:tc>
        <w:tc>
          <w:tcPr>
            <w:tcW w:w="1481" w:type="dxa"/>
            <w:tcBorders>
              <w:top w:val="single" w:color="auto" w:sz="4" w:space="0"/>
              <w:left w:val="nil"/>
              <w:bottom w:val="single" w:color="auto" w:sz="4" w:space="0"/>
              <w:right w:val="nil"/>
            </w:tcBorders>
          </w:tcPr>
          <w:p w14:paraId="0FD34670">
            <w:pPr>
              <w:spacing w:line="360" w:lineRule="exact"/>
              <w:rPr>
                <w:rFonts w:eastAsia="仿宋"/>
                <w:kern w:val="0"/>
                <w:sz w:val="32"/>
                <w:szCs w:val="32"/>
              </w:rPr>
            </w:pPr>
          </w:p>
        </w:tc>
        <w:tc>
          <w:tcPr>
            <w:tcW w:w="1631" w:type="dxa"/>
            <w:tcBorders>
              <w:top w:val="single" w:color="auto" w:sz="4" w:space="0"/>
              <w:left w:val="nil"/>
              <w:bottom w:val="single" w:color="auto" w:sz="4" w:space="0"/>
              <w:right w:val="nil"/>
            </w:tcBorders>
            <w:vAlign w:val="center"/>
          </w:tcPr>
          <w:p w14:paraId="0FDE2423">
            <w:pPr>
              <w:spacing w:line="360" w:lineRule="exact"/>
              <w:rPr>
                <w:rFonts w:eastAsia="仿宋"/>
                <w:kern w:val="0"/>
                <w:sz w:val="32"/>
                <w:szCs w:val="32"/>
              </w:rPr>
            </w:pPr>
          </w:p>
        </w:tc>
      </w:tr>
      <w:tr w14:paraId="49513B6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49" w:type="dxa"/>
            <w:tcBorders>
              <w:top w:val="single" w:color="auto" w:sz="4" w:space="0"/>
              <w:left w:val="nil"/>
              <w:bottom w:val="single" w:color="auto" w:sz="4" w:space="0"/>
              <w:right w:val="nil"/>
            </w:tcBorders>
            <w:vAlign w:val="center"/>
          </w:tcPr>
          <w:p w14:paraId="61D322C9">
            <w:pPr>
              <w:spacing w:line="360" w:lineRule="exact"/>
              <w:rPr>
                <w:rFonts w:eastAsia="仿宋_GB2312"/>
                <w:sz w:val="28"/>
                <w:szCs w:val="32"/>
              </w:rPr>
            </w:pPr>
            <w:r>
              <w:rPr>
                <w:rFonts w:eastAsia="仿宋_GB2312"/>
                <w:kern w:val="0"/>
                <w:sz w:val="28"/>
                <w:szCs w:val="32"/>
              </w:rPr>
              <w:t>……</w:t>
            </w:r>
          </w:p>
        </w:tc>
        <w:tc>
          <w:tcPr>
            <w:tcW w:w="2407" w:type="dxa"/>
            <w:tcBorders>
              <w:top w:val="single" w:color="auto" w:sz="4" w:space="0"/>
              <w:left w:val="nil"/>
              <w:bottom w:val="single" w:color="auto" w:sz="4" w:space="0"/>
              <w:right w:val="nil"/>
            </w:tcBorders>
            <w:vAlign w:val="center"/>
          </w:tcPr>
          <w:p w14:paraId="1B943167">
            <w:pPr>
              <w:spacing w:line="360" w:lineRule="exact"/>
              <w:rPr>
                <w:rFonts w:eastAsia="仿宋_GB2312"/>
                <w:kern w:val="0"/>
                <w:sz w:val="28"/>
                <w:szCs w:val="32"/>
              </w:rPr>
            </w:pPr>
          </w:p>
        </w:tc>
        <w:tc>
          <w:tcPr>
            <w:tcW w:w="1417" w:type="dxa"/>
            <w:tcBorders>
              <w:top w:val="single" w:color="auto" w:sz="4" w:space="0"/>
              <w:left w:val="nil"/>
              <w:bottom w:val="single" w:color="auto" w:sz="4" w:space="0"/>
              <w:right w:val="nil"/>
            </w:tcBorders>
            <w:vAlign w:val="center"/>
          </w:tcPr>
          <w:p w14:paraId="040A3BC6">
            <w:pPr>
              <w:spacing w:line="360" w:lineRule="exact"/>
              <w:rPr>
                <w:rFonts w:eastAsia="仿宋"/>
                <w:kern w:val="0"/>
                <w:sz w:val="32"/>
                <w:szCs w:val="32"/>
              </w:rPr>
            </w:pPr>
          </w:p>
        </w:tc>
        <w:tc>
          <w:tcPr>
            <w:tcW w:w="1481" w:type="dxa"/>
            <w:tcBorders>
              <w:top w:val="single" w:color="auto" w:sz="4" w:space="0"/>
              <w:left w:val="nil"/>
              <w:bottom w:val="single" w:color="auto" w:sz="4" w:space="0"/>
              <w:right w:val="nil"/>
            </w:tcBorders>
          </w:tcPr>
          <w:p w14:paraId="658B09F0">
            <w:pPr>
              <w:spacing w:line="360" w:lineRule="exact"/>
              <w:rPr>
                <w:rFonts w:eastAsia="仿宋"/>
                <w:kern w:val="0"/>
                <w:sz w:val="32"/>
                <w:szCs w:val="32"/>
              </w:rPr>
            </w:pPr>
          </w:p>
        </w:tc>
        <w:tc>
          <w:tcPr>
            <w:tcW w:w="1631" w:type="dxa"/>
            <w:tcBorders>
              <w:top w:val="single" w:color="auto" w:sz="4" w:space="0"/>
              <w:left w:val="nil"/>
              <w:bottom w:val="single" w:color="auto" w:sz="4" w:space="0"/>
              <w:right w:val="nil"/>
            </w:tcBorders>
            <w:vAlign w:val="center"/>
          </w:tcPr>
          <w:p w14:paraId="528219B4">
            <w:pPr>
              <w:spacing w:line="360" w:lineRule="exact"/>
              <w:rPr>
                <w:rFonts w:eastAsia="仿宋"/>
                <w:kern w:val="0"/>
                <w:sz w:val="32"/>
                <w:szCs w:val="32"/>
              </w:rPr>
            </w:pPr>
          </w:p>
        </w:tc>
      </w:tr>
    </w:tbl>
    <w:p w14:paraId="6639543A">
      <w:pPr>
        <w:spacing w:line="480" w:lineRule="exact"/>
        <w:ind w:right="640" w:firstLine="640" w:firstLineChars="200"/>
        <w:jc w:val="left"/>
        <w:rPr>
          <w:rFonts w:eastAsia="仿宋_GB2312"/>
          <w:kern w:val="0"/>
          <w:sz w:val="32"/>
          <w:szCs w:val="32"/>
        </w:rPr>
      </w:pPr>
      <w:r>
        <w:rPr>
          <w:rFonts w:eastAsia="仿宋_GB2312"/>
          <w:kern w:val="0"/>
          <w:sz w:val="32"/>
          <w:szCs w:val="32"/>
        </w:rPr>
        <w:t>注：对比项目可根据实际情况予以增加。</w:t>
      </w:r>
    </w:p>
    <w:p w14:paraId="33A857C1">
      <w:pPr>
        <w:autoSpaceDE w:val="0"/>
        <w:autoSpaceDN w:val="0"/>
        <w:adjustRightInd w:val="0"/>
        <w:spacing w:line="360" w:lineRule="auto"/>
        <w:ind w:firstLine="640" w:firstLineChars="200"/>
        <w:jc w:val="left"/>
        <w:rPr>
          <w:rFonts w:eastAsia="仿宋"/>
          <w:kern w:val="0"/>
          <w:sz w:val="32"/>
          <w:szCs w:val="32"/>
        </w:rPr>
      </w:pPr>
    </w:p>
    <w:p w14:paraId="1CD59A21">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提交的上述资料应能证明申报产品与《目录》所述的产品具有等同性。若无法证明申报产品与《目录》产品具有等同性，则应按照</w:t>
      </w:r>
      <w:r>
        <w:rPr>
          <w:rFonts w:ascii="Times New Roman" w:eastAsia="仿宋_GB2312"/>
          <w:sz w:val="32"/>
          <w:szCs w:val="32"/>
        </w:rPr>
        <w:t>《医疗器械临床评价技术指导原则》（国家食品药品监督管理总局通告2015年第14号）</w:t>
      </w:r>
      <w:r>
        <w:rPr>
          <w:rFonts w:hint="eastAsia" w:eastAsia="仿宋_GB2312"/>
          <w:kern w:val="0"/>
          <w:sz w:val="32"/>
          <w:szCs w:val="32"/>
        </w:rPr>
        <w:t>的</w:t>
      </w:r>
      <w:r>
        <w:rPr>
          <w:rFonts w:eastAsia="仿宋_GB2312"/>
          <w:kern w:val="0"/>
          <w:sz w:val="32"/>
          <w:szCs w:val="32"/>
        </w:rPr>
        <w:t>其他要求开展相应工作。</w:t>
      </w:r>
    </w:p>
    <w:p w14:paraId="695B010D">
      <w:pPr>
        <w:spacing w:line="520" w:lineRule="exact"/>
        <w:ind w:firstLine="640" w:firstLineChars="200"/>
        <w:outlineLvl w:val="1"/>
        <w:rPr>
          <w:rFonts w:eastAsia="楷体_GB2312"/>
          <w:color w:val="000000"/>
          <w:sz w:val="32"/>
          <w:szCs w:val="32"/>
        </w:rPr>
      </w:pPr>
      <w:r>
        <w:rPr>
          <w:rFonts w:eastAsia="楷体_GB2312"/>
          <w:color w:val="000000"/>
          <w:sz w:val="32"/>
          <w:szCs w:val="32"/>
        </w:rPr>
        <w:t>（十三）产品的不良事件历史记录</w:t>
      </w:r>
    </w:p>
    <w:p w14:paraId="16605495">
      <w:pPr>
        <w:autoSpaceDE w:val="0"/>
        <w:autoSpaceDN w:val="0"/>
        <w:spacing w:line="520" w:lineRule="exact"/>
        <w:ind w:firstLine="640" w:firstLineChars="200"/>
        <w:rPr>
          <w:rFonts w:eastAsia="仿宋_GB2312"/>
          <w:sz w:val="32"/>
          <w:szCs w:val="32"/>
        </w:rPr>
      </w:pPr>
      <w:r>
        <w:rPr>
          <w:rFonts w:eastAsia="仿宋_GB2312"/>
          <w:sz w:val="32"/>
          <w:szCs w:val="32"/>
        </w:rPr>
        <w:t>该产品在上市后使用中出现的可疑不良事件主要有：</w:t>
      </w:r>
      <w:r>
        <w:rPr>
          <w:rFonts w:hint="eastAsia" w:eastAsia="仿宋_GB2312"/>
          <w:sz w:val="32"/>
          <w:szCs w:val="32"/>
        </w:rPr>
        <w:t>跑台故障</w:t>
      </w:r>
      <w:r>
        <w:rPr>
          <w:rFonts w:eastAsia="仿宋_GB2312"/>
          <w:sz w:val="32"/>
          <w:szCs w:val="32"/>
        </w:rPr>
        <w:t>、痉挛误报等。</w:t>
      </w:r>
    </w:p>
    <w:p w14:paraId="4839BF4A">
      <w:pPr>
        <w:autoSpaceDE w:val="0"/>
        <w:autoSpaceDN w:val="0"/>
        <w:spacing w:line="520" w:lineRule="exact"/>
        <w:ind w:firstLine="640" w:firstLineChars="200"/>
        <w:outlineLvl w:val="1"/>
        <w:rPr>
          <w:rFonts w:eastAsia="楷体_GB2312"/>
          <w:color w:val="000000"/>
          <w:sz w:val="32"/>
          <w:szCs w:val="32"/>
        </w:rPr>
      </w:pPr>
      <w:r>
        <w:rPr>
          <w:rFonts w:eastAsia="楷体_GB2312"/>
          <w:color w:val="000000"/>
          <w:sz w:val="32"/>
          <w:szCs w:val="32"/>
        </w:rPr>
        <w:t>（十四）产品说明书和标签要求</w:t>
      </w:r>
    </w:p>
    <w:p w14:paraId="6831616E">
      <w:pPr>
        <w:spacing w:line="520" w:lineRule="exact"/>
        <w:ind w:firstLine="640" w:firstLineChars="200"/>
        <w:rPr>
          <w:rFonts w:eastAsia="仿宋_GB2312"/>
          <w:sz w:val="32"/>
          <w:szCs w:val="22"/>
        </w:rPr>
      </w:pPr>
      <w:r>
        <w:rPr>
          <w:rFonts w:eastAsia="仿宋_GB2312"/>
          <w:sz w:val="32"/>
          <w:szCs w:val="22"/>
        </w:rPr>
        <w:t>说明书和标签样稿应符合《医疗器械说明书和标签管理规定》（国家食品药品监督管理总局令第</w:t>
      </w:r>
      <w:r>
        <w:rPr>
          <w:rFonts w:eastAsia="仿宋_GB2312"/>
          <w:sz w:val="32"/>
          <w:szCs w:val="32"/>
        </w:rPr>
        <w:t>6</w:t>
      </w:r>
      <w:r>
        <w:rPr>
          <w:rFonts w:eastAsia="仿宋_GB2312"/>
          <w:sz w:val="32"/>
          <w:szCs w:val="22"/>
        </w:rPr>
        <w:t>号）和相关的国家标准、行业标准的要求，并重点关注以下内容：</w:t>
      </w:r>
    </w:p>
    <w:p w14:paraId="5B662FEE">
      <w:pPr>
        <w:spacing w:line="520"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产品适用人群的说明。</w:t>
      </w:r>
    </w:p>
    <w:p w14:paraId="2D494EC7">
      <w:pPr>
        <w:spacing w:line="520" w:lineRule="exact"/>
        <w:ind w:firstLine="640" w:firstLineChars="200"/>
        <w:rPr>
          <w:rFonts w:eastAsia="仿宋_GB2312"/>
          <w:kern w:val="0"/>
          <w:sz w:val="32"/>
          <w:szCs w:val="32"/>
        </w:rPr>
      </w:pPr>
      <w:r>
        <w:rPr>
          <w:rFonts w:hint="eastAsia" w:eastAsia="仿宋_GB2312"/>
          <w:kern w:val="0"/>
          <w:sz w:val="32"/>
          <w:szCs w:val="32"/>
        </w:rPr>
        <w:t>2.</w:t>
      </w:r>
      <w:r>
        <w:rPr>
          <w:rFonts w:eastAsia="仿宋_GB2312"/>
          <w:kern w:val="0"/>
          <w:sz w:val="32"/>
          <w:szCs w:val="32"/>
        </w:rPr>
        <w:t>产品技术要求的主要性能指标中明确需要在说明书中明示的内容是否已在说明书中给出完整的说明。</w:t>
      </w:r>
    </w:p>
    <w:p w14:paraId="77A6C8E8">
      <w:pPr>
        <w:spacing w:line="520" w:lineRule="exact"/>
        <w:ind w:firstLine="640" w:firstLineChars="200"/>
        <w:rPr>
          <w:rFonts w:eastAsia="仿宋_GB2312"/>
          <w:kern w:val="0"/>
          <w:sz w:val="32"/>
          <w:szCs w:val="32"/>
        </w:rPr>
      </w:pPr>
      <w:r>
        <w:rPr>
          <w:rFonts w:hint="eastAsia" w:eastAsia="仿宋_GB2312"/>
          <w:kern w:val="0"/>
          <w:sz w:val="32"/>
          <w:szCs w:val="32"/>
        </w:rPr>
        <w:t>3</w:t>
      </w:r>
      <w:r>
        <w:rPr>
          <w:rFonts w:eastAsia="仿宋_GB2312"/>
          <w:kern w:val="0"/>
          <w:sz w:val="32"/>
          <w:szCs w:val="32"/>
        </w:rPr>
        <w:t>.安装及调试说明中应明确安装时对地面的要求。应明确配件的更换方法及注意事项。应给出软件安装、升级等具体信息。</w:t>
      </w:r>
    </w:p>
    <w:p w14:paraId="1E7FC7DA">
      <w:pPr>
        <w:spacing w:line="520" w:lineRule="exact"/>
        <w:ind w:firstLine="640" w:firstLineChars="200"/>
        <w:rPr>
          <w:rFonts w:eastAsia="仿宋_GB2312"/>
          <w:kern w:val="0"/>
          <w:sz w:val="32"/>
          <w:szCs w:val="32"/>
        </w:rPr>
      </w:pPr>
      <w:r>
        <w:rPr>
          <w:rFonts w:hint="eastAsia" w:eastAsia="仿宋_GB2312"/>
          <w:kern w:val="0"/>
          <w:sz w:val="32"/>
          <w:szCs w:val="32"/>
        </w:rPr>
        <w:t>4</w:t>
      </w:r>
      <w:r>
        <w:rPr>
          <w:rFonts w:eastAsia="仿宋_GB2312"/>
          <w:kern w:val="0"/>
          <w:sz w:val="32"/>
          <w:szCs w:val="32"/>
        </w:rPr>
        <w:t>.使用方法中应给出产品使用方法和环境条件；应详细说</w:t>
      </w:r>
      <w:r>
        <w:rPr>
          <w:rFonts w:hint="eastAsia" w:eastAsia="仿宋_GB2312"/>
          <w:kern w:val="0"/>
          <w:sz w:val="32"/>
          <w:szCs w:val="32"/>
        </w:rPr>
        <w:t>明</w:t>
      </w:r>
      <w:r>
        <w:rPr>
          <w:rFonts w:eastAsia="仿宋_GB2312"/>
          <w:kern w:val="0"/>
          <w:sz w:val="32"/>
          <w:szCs w:val="32"/>
        </w:rPr>
        <w:t>训练参数设定的等具体使用方法；若提供可更换固定装置</w:t>
      </w:r>
      <w:r>
        <w:rPr>
          <w:rFonts w:eastAsia="仿宋_GB2312"/>
          <w:sz w:val="32"/>
          <w:szCs w:val="22"/>
        </w:rPr>
        <w:t>，</w:t>
      </w:r>
      <w:r>
        <w:rPr>
          <w:rFonts w:eastAsia="仿宋_GB2312"/>
          <w:kern w:val="0"/>
          <w:sz w:val="32"/>
          <w:szCs w:val="32"/>
        </w:rPr>
        <w:t>应说明固定装置已可靠连接的方法。</w:t>
      </w:r>
    </w:p>
    <w:p w14:paraId="602C98FF">
      <w:pPr>
        <w:spacing w:line="520" w:lineRule="exact"/>
        <w:ind w:firstLine="640" w:firstLineChars="200"/>
        <w:rPr>
          <w:rFonts w:eastAsia="仿宋_GB2312"/>
          <w:kern w:val="0"/>
          <w:sz w:val="32"/>
          <w:szCs w:val="32"/>
        </w:rPr>
      </w:pPr>
      <w:r>
        <w:rPr>
          <w:rFonts w:hint="eastAsia" w:eastAsia="仿宋_GB2312"/>
          <w:kern w:val="0"/>
          <w:sz w:val="32"/>
          <w:szCs w:val="32"/>
        </w:rPr>
        <w:t>5</w:t>
      </w:r>
      <w:r>
        <w:rPr>
          <w:rFonts w:eastAsia="仿宋_GB2312"/>
          <w:kern w:val="0"/>
          <w:sz w:val="32"/>
          <w:szCs w:val="32"/>
        </w:rPr>
        <w:t>.注意事项、警示及提示中至少应明确异常情况下、失控状态下的紧急处理措施；特殊情况下（停电、意外移动等）的注意事项；可能出现的误操作及可能造成的伤害。</w:t>
      </w:r>
    </w:p>
    <w:p w14:paraId="428CC07F">
      <w:pPr>
        <w:spacing w:line="520" w:lineRule="exact"/>
        <w:ind w:firstLine="640" w:firstLineChars="200"/>
        <w:rPr>
          <w:rFonts w:eastAsia="仿宋_GB2312"/>
          <w:kern w:val="0"/>
          <w:sz w:val="32"/>
          <w:szCs w:val="32"/>
        </w:rPr>
      </w:pPr>
      <w:r>
        <w:rPr>
          <w:rFonts w:hint="eastAsia" w:eastAsia="仿宋_GB2312"/>
          <w:kern w:val="0"/>
          <w:sz w:val="32"/>
          <w:szCs w:val="32"/>
        </w:rPr>
        <w:t>6</w:t>
      </w:r>
      <w:r>
        <w:rPr>
          <w:rFonts w:eastAsia="仿宋_GB2312"/>
          <w:kern w:val="0"/>
          <w:sz w:val="32"/>
          <w:szCs w:val="32"/>
        </w:rPr>
        <w:t>.</w:t>
      </w:r>
      <w:r>
        <w:rPr>
          <w:rFonts w:eastAsia="仿宋_GB2312"/>
          <w:color w:val="000000"/>
          <w:kern w:val="0"/>
          <w:sz w:val="32"/>
          <w:szCs w:val="32"/>
        </w:rPr>
        <w:t>常见故障及排除方法。</w:t>
      </w:r>
      <w:r>
        <w:rPr>
          <w:rFonts w:eastAsia="仿宋_GB2312"/>
          <w:kern w:val="0"/>
          <w:sz w:val="32"/>
          <w:szCs w:val="32"/>
        </w:rPr>
        <w:t xml:space="preserve"> </w:t>
      </w:r>
    </w:p>
    <w:p w14:paraId="1A67E7BF">
      <w:pPr>
        <w:spacing w:line="520" w:lineRule="exact"/>
        <w:ind w:firstLine="640" w:firstLineChars="200"/>
        <w:outlineLvl w:val="0"/>
        <w:rPr>
          <w:rFonts w:eastAsia="黑体"/>
          <w:color w:val="000000"/>
          <w:sz w:val="32"/>
          <w:szCs w:val="32"/>
        </w:rPr>
      </w:pPr>
      <w:r>
        <w:rPr>
          <w:rFonts w:eastAsia="黑体"/>
          <w:color w:val="000000"/>
          <w:sz w:val="32"/>
          <w:szCs w:val="32"/>
        </w:rPr>
        <w:t>三、审查关注点</w:t>
      </w:r>
    </w:p>
    <w:p w14:paraId="34D683CE">
      <w:pPr>
        <w:spacing w:line="520" w:lineRule="exact"/>
        <w:ind w:firstLine="640" w:firstLineChars="200"/>
        <w:rPr>
          <w:rFonts w:eastAsia="仿宋_GB2312"/>
          <w:color w:val="000000"/>
          <w:kern w:val="0"/>
          <w:sz w:val="32"/>
          <w:szCs w:val="32"/>
        </w:rPr>
      </w:pPr>
      <w:r>
        <w:rPr>
          <w:rFonts w:eastAsia="仿宋_GB2312"/>
          <w:kern w:val="0"/>
          <w:sz w:val="32"/>
          <w:szCs w:val="32"/>
        </w:rPr>
        <w:t>（一）</w:t>
      </w:r>
      <w:r>
        <w:rPr>
          <w:rFonts w:eastAsia="仿宋_GB2312"/>
          <w:color w:val="000000"/>
          <w:kern w:val="0"/>
          <w:sz w:val="32"/>
          <w:szCs w:val="32"/>
        </w:rPr>
        <w:t>审查时应关注产品工作原理，训练速度及变化、关节活动范围</w:t>
      </w:r>
      <w:r>
        <w:rPr>
          <w:rFonts w:hint="eastAsia" w:eastAsia="仿宋_GB2312"/>
          <w:color w:val="000000"/>
          <w:kern w:val="0"/>
          <w:sz w:val="32"/>
          <w:szCs w:val="32"/>
        </w:rPr>
        <w:t>（如适用）</w:t>
      </w:r>
      <w:r>
        <w:rPr>
          <w:rFonts w:eastAsia="仿宋_GB2312"/>
          <w:color w:val="000000"/>
          <w:kern w:val="0"/>
          <w:sz w:val="32"/>
          <w:szCs w:val="32"/>
        </w:rPr>
        <w:t>、</w:t>
      </w:r>
      <w:r>
        <w:rPr>
          <w:rFonts w:hint="eastAsia" w:eastAsia="仿宋_GB2312"/>
          <w:kern w:val="0"/>
          <w:sz w:val="32"/>
          <w:szCs w:val="32"/>
        </w:rPr>
        <w:t>训练模式</w:t>
      </w:r>
      <w:r>
        <w:rPr>
          <w:rFonts w:eastAsia="仿宋_GB2312"/>
          <w:kern w:val="0"/>
          <w:sz w:val="32"/>
          <w:szCs w:val="32"/>
        </w:rPr>
        <w:t>、</w:t>
      </w:r>
      <w:r>
        <w:rPr>
          <w:rFonts w:hint="eastAsia" w:eastAsia="仿宋_GB2312"/>
          <w:kern w:val="0"/>
          <w:sz w:val="32"/>
          <w:szCs w:val="32"/>
        </w:rPr>
        <w:t>减重、</w:t>
      </w:r>
      <w:r>
        <w:rPr>
          <w:rFonts w:eastAsia="仿宋_GB2312"/>
          <w:color w:val="000000"/>
          <w:kern w:val="0"/>
          <w:sz w:val="32"/>
          <w:szCs w:val="32"/>
        </w:rPr>
        <w:t>痉挛保护等主要指标的理论依据和临床依据。</w:t>
      </w:r>
    </w:p>
    <w:p w14:paraId="3A514A2D">
      <w:pPr>
        <w:spacing w:line="520" w:lineRule="exact"/>
        <w:ind w:firstLine="640" w:firstLineChars="200"/>
        <w:rPr>
          <w:rFonts w:eastAsia="仿宋_GB2312"/>
          <w:sz w:val="32"/>
          <w:szCs w:val="32"/>
        </w:rPr>
      </w:pPr>
      <w:r>
        <w:rPr>
          <w:rFonts w:eastAsia="仿宋_GB2312"/>
          <w:sz w:val="32"/>
          <w:szCs w:val="32"/>
        </w:rPr>
        <w:t>（二）产品电气安全、电磁兼容和主要性能指标是否执行了国家和行业的强制性标准，是否引用了适用的推荐性标准。</w:t>
      </w:r>
    </w:p>
    <w:p w14:paraId="0CA748DF">
      <w:pPr>
        <w:pStyle w:val="26"/>
        <w:spacing w:line="520" w:lineRule="exact"/>
        <w:ind w:firstLine="640"/>
        <w:rPr>
          <w:rFonts w:ascii="Times New Roman" w:eastAsia="仿宋_GB2312"/>
          <w:sz w:val="32"/>
          <w:szCs w:val="32"/>
        </w:rPr>
      </w:pPr>
      <w:r>
        <w:rPr>
          <w:rFonts w:ascii="Times New Roman" w:eastAsia="仿宋_GB2312"/>
          <w:sz w:val="32"/>
          <w:szCs w:val="32"/>
        </w:rPr>
        <w:t>（三）产品的主要风险是否已经列举，并通过风险控制措施使产品的风险在合理可接受的水平之内。</w:t>
      </w:r>
    </w:p>
    <w:p w14:paraId="78B61B98">
      <w:pPr>
        <w:pStyle w:val="26"/>
        <w:spacing w:line="520" w:lineRule="exact"/>
        <w:ind w:firstLine="640"/>
        <w:rPr>
          <w:rFonts w:ascii="Times New Roman" w:eastAsia="仿宋_GB2312"/>
          <w:sz w:val="32"/>
          <w:szCs w:val="32"/>
        </w:rPr>
      </w:pPr>
      <w:r>
        <w:rPr>
          <w:rFonts w:ascii="Times New Roman" w:eastAsia="仿宋_GB2312"/>
          <w:sz w:val="32"/>
          <w:szCs w:val="32"/>
        </w:rPr>
        <w:t>（四）临床评价资料是否按照法规要求提供。</w:t>
      </w:r>
    </w:p>
    <w:p w14:paraId="677ECD77">
      <w:pPr>
        <w:spacing w:line="520" w:lineRule="exact"/>
        <w:ind w:firstLine="640" w:firstLineChars="200"/>
        <w:rPr>
          <w:rFonts w:eastAsia="仿宋_GB2312"/>
          <w:color w:val="000000"/>
          <w:sz w:val="32"/>
          <w:szCs w:val="32"/>
        </w:rPr>
      </w:pPr>
      <w:r>
        <w:rPr>
          <w:rFonts w:eastAsia="仿宋_GB2312"/>
          <w:sz w:val="32"/>
          <w:szCs w:val="32"/>
        </w:rPr>
        <w:t>（五）说明书是否符合《医疗器械说明书和标签管理规定》及相关国家标准、行业标准的规定，必须告知用户的信息是否完整。</w:t>
      </w:r>
    </w:p>
    <w:p w14:paraId="24188423">
      <w:pPr>
        <w:tabs>
          <w:tab w:val="left" w:pos="3948"/>
        </w:tabs>
        <w:spacing w:line="520" w:lineRule="exact"/>
        <w:ind w:firstLine="640" w:firstLineChars="200"/>
        <w:outlineLvl w:val="0"/>
        <w:rPr>
          <w:rFonts w:eastAsia="黑体"/>
          <w:color w:val="000000"/>
          <w:sz w:val="32"/>
          <w:szCs w:val="32"/>
        </w:rPr>
      </w:pPr>
      <w:r>
        <w:rPr>
          <w:rFonts w:eastAsia="黑体"/>
          <w:color w:val="000000"/>
          <w:sz w:val="32"/>
          <w:szCs w:val="32"/>
        </w:rPr>
        <w:t>四、编写单位</w:t>
      </w:r>
    </w:p>
    <w:p w14:paraId="7B760F7E">
      <w:pPr>
        <w:tabs>
          <w:tab w:val="left" w:pos="3948"/>
        </w:tabs>
        <w:spacing w:line="520" w:lineRule="exact"/>
        <w:ind w:firstLine="640" w:firstLineChars="200"/>
        <w:rPr>
          <w:rFonts w:eastAsia="仿宋_GB2312"/>
          <w:color w:val="000000"/>
          <w:sz w:val="32"/>
          <w:szCs w:val="32"/>
        </w:rPr>
      </w:pPr>
      <w:r>
        <w:rPr>
          <w:rFonts w:hint="eastAsia" w:eastAsia="仿宋_GB2312"/>
          <w:color w:val="000000"/>
          <w:sz w:val="32"/>
          <w:szCs w:val="32"/>
        </w:rPr>
        <w:t>国家药品监督管理局医疗器械审评中心</w:t>
      </w:r>
    </w:p>
    <w:p w14:paraId="23DA04CB">
      <w:pPr>
        <w:tabs>
          <w:tab w:val="left" w:pos="3948"/>
        </w:tabs>
        <w:spacing w:line="520" w:lineRule="exact"/>
        <w:ind w:firstLine="1280" w:firstLineChars="400"/>
        <w:rPr>
          <w:rFonts w:eastAsia="仿宋_GB2312"/>
          <w:color w:val="000000"/>
          <w:sz w:val="32"/>
          <w:szCs w:val="32"/>
        </w:rPr>
      </w:pPr>
    </w:p>
    <w:p w14:paraId="6785ACAF">
      <w:pPr>
        <w:tabs>
          <w:tab w:val="left" w:pos="3948"/>
        </w:tabs>
        <w:spacing w:line="520" w:lineRule="exact"/>
        <w:ind w:firstLine="1280" w:firstLineChars="400"/>
        <w:rPr>
          <w:rFonts w:eastAsia="仿宋_GB2312"/>
          <w:color w:val="000000"/>
          <w:sz w:val="32"/>
          <w:szCs w:val="32"/>
        </w:rPr>
      </w:pPr>
    </w:p>
    <w:p w14:paraId="3A286AA5">
      <w:pPr>
        <w:tabs>
          <w:tab w:val="left" w:pos="3948"/>
        </w:tabs>
        <w:spacing w:line="520" w:lineRule="exact"/>
        <w:ind w:firstLine="1280" w:firstLineChars="400"/>
        <w:rPr>
          <w:rFonts w:eastAsia="仿宋_GB2312"/>
          <w:color w:val="000000"/>
          <w:sz w:val="32"/>
          <w:szCs w:val="32"/>
        </w:rPr>
      </w:pPr>
    </w:p>
    <w:p w14:paraId="31F4F5AD">
      <w:pPr>
        <w:tabs>
          <w:tab w:val="left" w:pos="3948"/>
        </w:tabs>
        <w:spacing w:line="520" w:lineRule="exact"/>
        <w:ind w:firstLine="1280" w:firstLineChars="400"/>
        <w:rPr>
          <w:rFonts w:eastAsia="仿宋_GB2312"/>
          <w:color w:val="000000"/>
          <w:sz w:val="32"/>
          <w:szCs w:val="32"/>
        </w:rPr>
      </w:pPr>
    </w:p>
    <w:p w14:paraId="7399D8B2">
      <w:pPr>
        <w:spacing w:line="520" w:lineRule="exact"/>
        <w:jc w:val="center"/>
        <w:outlineLvl w:val="0"/>
        <w:rPr>
          <w:rFonts w:eastAsia="方正小标宋简体"/>
          <w:color w:val="000000"/>
          <w:sz w:val="44"/>
          <w:szCs w:val="44"/>
        </w:rPr>
      </w:pPr>
      <w:r>
        <w:rPr>
          <w:rFonts w:hint="eastAsia" w:ascii="仿宋" w:hAnsi="仿宋" w:eastAsia="仿宋"/>
          <w:sz w:val="44"/>
          <w:szCs w:val="44"/>
        </w:rPr>
        <w:t>步态</w:t>
      </w:r>
      <w:r>
        <w:rPr>
          <w:rFonts w:ascii="仿宋" w:hAnsi="仿宋" w:eastAsia="仿宋"/>
          <w:sz w:val="44"/>
          <w:szCs w:val="44"/>
        </w:rPr>
        <w:t>训练设备</w:t>
      </w:r>
      <w:r>
        <w:rPr>
          <w:rFonts w:hint="eastAsia" w:ascii="仿宋" w:hAnsi="仿宋" w:eastAsia="仿宋"/>
          <w:sz w:val="44"/>
          <w:szCs w:val="44"/>
        </w:rPr>
        <w:t>产品</w:t>
      </w:r>
      <w:r>
        <w:rPr>
          <w:rFonts w:ascii="仿宋" w:hAnsi="仿宋" w:eastAsia="仿宋"/>
          <w:sz w:val="44"/>
          <w:szCs w:val="44"/>
        </w:rPr>
        <w:t>注册技术审查指导原则</w:t>
      </w:r>
    </w:p>
    <w:p w14:paraId="787AEA68">
      <w:pPr>
        <w:spacing w:line="520" w:lineRule="exact"/>
        <w:ind w:right="-67" w:rightChars="-32"/>
        <w:jc w:val="center"/>
        <w:rPr>
          <w:rFonts w:ascii="仿宋" w:hAnsi="仿宋" w:eastAsia="仿宋"/>
          <w:sz w:val="44"/>
          <w:szCs w:val="44"/>
        </w:rPr>
      </w:pPr>
      <w:r>
        <w:rPr>
          <w:rFonts w:hint="eastAsia" w:ascii="仿宋" w:hAnsi="仿宋" w:eastAsia="仿宋"/>
          <w:sz w:val="44"/>
          <w:szCs w:val="44"/>
        </w:rPr>
        <w:t>编制说明</w:t>
      </w:r>
    </w:p>
    <w:p w14:paraId="58CD686F">
      <w:pPr>
        <w:spacing w:line="520" w:lineRule="exact"/>
        <w:rPr>
          <w:rFonts w:ascii="仿宋" w:hAnsi="仿宋" w:eastAsia="仿宋"/>
          <w:bCs/>
          <w:sz w:val="32"/>
          <w:szCs w:val="32"/>
        </w:rPr>
      </w:pPr>
      <w:r>
        <w:rPr>
          <w:rFonts w:ascii="仿宋" w:hAnsi="仿宋" w:eastAsia="仿宋"/>
          <w:bCs/>
          <w:sz w:val="32"/>
          <w:szCs w:val="32"/>
        </w:rPr>
        <w:t>一、编写目的和依据</w:t>
      </w:r>
    </w:p>
    <w:p w14:paraId="6C54515B">
      <w:pPr>
        <w:spacing w:line="520" w:lineRule="exact"/>
        <w:ind w:firstLine="645"/>
        <w:rPr>
          <w:rFonts w:ascii="仿宋" w:hAnsi="仿宋" w:eastAsia="仿宋" w:cs="仿宋_GB2312"/>
          <w:bCs/>
          <w:sz w:val="32"/>
          <w:szCs w:val="32"/>
        </w:rPr>
      </w:pPr>
      <w:r>
        <w:rPr>
          <w:rFonts w:hint="eastAsia" w:ascii="仿宋" w:hAnsi="仿宋" w:eastAsia="仿宋" w:cs="仿宋_GB2312"/>
          <w:bCs/>
          <w:sz w:val="32"/>
          <w:szCs w:val="32"/>
        </w:rPr>
        <w:t>（一）本指导原则旨在指导</w:t>
      </w:r>
      <w:r>
        <w:rPr>
          <w:rFonts w:hint="eastAsia" w:ascii="仿宋" w:hAnsi="仿宋" w:eastAsia="仿宋" w:cs="仿宋_GB2312"/>
          <w:sz w:val="32"/>
          <w:szCs w:val="32"/>
        </w:rPr>
        <w:t>制造商提交</w:t>
      </w:r>
      <w:r>
        <w:rPr>
          <w:rFonts w:hint="eastAsia" w:ascii="仿宋" w:hAnsi="仿宋" w:eastAsia="仿宋" w:cs="仿宋_GB2312"/>
          <w:bCs/>
          <w:sz w:val="32"/>
          <w:szCs w:val="32"/>
        </w:rPr>
        <w:t>步态</w:t>
      </w:r>
      <w:r>
        <w:rPr>
          <w:rFonts w:ascii="仿宋" w:hAnsi="仿宋" w:eastAsia="仿宋" w:cs="仿宋_GB2312"/>
          <w:bCs/>
          <w:sz w:val="32"/>
          <w:szCs w:val="32"/>
        </w:rPr>
        <w:t>训练设备</w:t>
      </w:r>
      <w:r>
        <w:rPr>
          <w:rFonts w:hint="eastAsia" w:ascii="仿宋" w:hAnsi="仿宋" w:eastAsia="仿宋" w:cs="仿宋_GB2312"/>
          <w:bCs/>
          <w:sz w:val="32"/>
          <w:szCs w:val="32"/>
        </w:rPr>
        <w:t>产品注册申报资料，同时也规范步态</w:t>
      </w:r>
      <w:r>
        <w:rPr>
          <w:rFonts w:ascii="仿宋" w:hAnsi="仿宋" w:eastAsia="仿宋" w:cs="仿宋_GB2312"/>
          <w:bCs/>
          <w:sz w:val="32"/>
          <w:szCs w:val="32"/>
        </w:rPr>
        <w:t>训练设备</w:t>
      </w:r>
      <w:r>
        <w:rPr>
          <w:rFonts w:hint="eastAsia" w:ascii="仿宋" w:hAnsi="仿宋" w:eastAsia="仿宋" w:cs="仿宋_GB2312"/>
          <w:bCs/>
          <w:sz w:val="32"/>
          <w:szCs w:val="32"/>
        </w:rPr>
        <w:t>的技术审评要求。</w:t>
      </w:r>
    </w:p>
    <w:p w14:paraId="189A70F8">
      <w:pPr>
        <w:spacing w:line="520" w:lineRule="exact"/>
        <w:ind w:firstLine="645"/>
        <w:rPr>
          <w:rFonts w:ascii="仿宋" w:hAnsi="仿宋" w:eastAsia="仿宋" w:cs="仿宋_GB2312"/>
          <w:bCs/>
          <w:sz w:val="32"/>
          <w:szCs w:val="32"/>
        </w:rPr>
      </w:pPr>
      <w:r>
        <w:rPr>
          <w:rFonts w:hint="eastAsia" w:ascii="仿宋" w:hAnsi="仿宋" w:eastAsia="仿宋" w:cs="仿宋_GB2312"/>
          <w:bCs/>
          <w:sz w:val="32"/>
          <w:szCs w:val="32"/>
        </w:rPr>
        <w:t>本指导原则是在现行法规和标准体系以及当前认知水平下，对步态</w:t>
      </w:r>
      <w:r>
        <w:rPr>
          <w:rFonts w:ascii="仿宋" w:hAnsi="仿宋" w:eastAsia="仿宋" w:cs="仿宋_GB2312"/>
          <w:bCs/>
          <w:sz w:val="32"/>
          <w:szCs w:val="32"/>
        </w:rPr>
        <w:t>训练设备</w:t>
      </w:r>
      <w:r>
        <w:rPr>
          <w:rFonts w:hint="eastAsia" w:ascii="仿宋" w:hAnsi="仿宋" w:eastAsia="仿宋" w:cs="仿宋_GB2312"/>
          <w:bCs/>
          <w:sz w:val="32"/>
          <w:szCs w:val="32"/>
        </w:rPr>
        <w:t>产品的审查指导。随着法规和标准的不断完善，以及</w:t>
      </w:r>
      <w:r>
        <w:rPr>
          <w:rFonts w:hint="eastAsia" w:ascii="仿宋" w:hAnsi="仿宋" w:eastAsia="仿宋" w:cs="仿宋_GB2312"/>
          <w:sz w:val="32"/>
          <w:szCs w:val="32"/>
        </w:rPr>
        <w:t>认知水平和技术能力的不断提高</w:t>
      </w:r>
      <w:r>
        <w:rPr>
          <w:rFonts w:hint="eastAsia" w:ascii="仿宋" w:hAnsi="仿宋" w:eastAsia="仿宋" w:cs="仿宋_GB2312"/>
          <w:bCs/>
          <w:sz w:val="32"/>
          <w:szCs w:val="32"/>
        </w:rPr>
        <w:t>，相关内容也将</w:t>
      </w:r>
      <w:r>
        <w:rPr>
          <w:rFonts w:hint="eastAsia" w:ascii="仿宋" w:hAnsi="仿宋" w:eastAsia="仿宋" w:cs="仿宋_GB2312"/>
          <w:sz w:val="32"/>
          <w:szCs w:val="32"/>
        </w:rPr>
        <w:t>适时进行修订</w:t>
      </w:r>
      <w:r>
        <w:rPr>
          <w:rFonts w:hint="eastAsia" w:ascii="仿宋" w:hAnsi="仿宋" w:eastAsia="仿宋" w:cs="仿宋_GB2312"/>
          <w:bCs/>
          <w:sz w:val="32"/>
          <w:szCs w:val="32"/>
        </w:rPr>
        <w:t>。另外，为了保证可读性，本指导原则的部分内容有意留有冗余信息。</w:t>
      </w:r>
    </w:p>
    <w:p w14:paraId="13F7127E">
      <w:pPr>
        <w:tabs>
          <w:tab w:val="left" w:pos="3948"/>
        </w:tabs>
        <w:snapToGrid w:val="0"/>
        <w:spacing w:line="520" w:lineRule="exact"/>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参考文献</w:t>
      </w:r>
    </w:p>
    <w:p w14:paraId="7D4218B5">
      <w:pPr>
        <w:tabs>
          <w:tab w:val="left" w:pos="3948"/>
        </w:tabs>
        <w:autoSpaceDE w:val="0"/>
        <w:autoSpaceDN w:val="0"/>
        <w:adjustRightInd w:val="0"/>
        <w:spacing w:line="52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（一）《医疗器械监督管理条例》（国务院令第650号与680号）</w:t>
      </w:r>
    </w:p>
    <w:p w14:paraId="11DB39D1">
      <w:pPr>
        <w:tabs>
          <w:tab w:val="left" w:pos="3948"/>
        </w:tabs>
        <w:autoSpaceDE w:val="0"/>
        <w:autoSpaceDN w:val="0"/>
        <w:adjustRightInd w:val="0"/>
        <w:spacing w:line="52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（二）《医疗器械注册管理办法》（原国家食品药品监督管理总局令第4号）</w:t>
      </w:r>
    </w:p>
    <w:p w14:paraId="1B04CB24">
      <w:pPr>
        <w:tabs>
          <w:tab w:val="left" w:pos="3948"/>
        </w:tabs>
        <w:autoSpaceDE w:val="0"/>
        <w:autoSpaceDN w:val="0"/>
        <w:adjustRightInd w:val="0"/>
        <w:spacing w:line="52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（三）《医疗器械说明书和标签管理规定》（原国家食品药品监督管理总局令第6号）</w:t>
      </w:r>
    </w:p>
    <w:p w14:paraId="75C34A47">
      <w:pPr>
        <w:tabs>
          <w:tab w:val="left" w:pos="3948"/>
        </w:tabs>
        <w:autoSpaceDE w:val="0"/>
        <w:autoSpaceDN w:val="0"/>
        <w:adjustRightInd w:val="0"/>
        <w:spacing w:line="520" w:lineRule="exact"/>
        <w:ind w:firstLine="640" w:firstLineChars="200"/>
        <w:rPr>
          <w:rFonts w:ascii="仿宋" w:hAnsi="仿宋" w:eastAsia="仿宋" w:cs="楷体_GB2312"/>
          <w:spacing w:val="-6"/>
          <w:sz w:val="32"/>
          <w:szCs w:val="32"/>
        </w:rPr>
      </w:pPr>
      <w:r>
        <w:rPr>
          <w:rFonts w:hint="eastAsia" w:ascii="仿宋" w:hAnsi="仿宋" w:eastAsia="仿宋" w:cs="楷体_GB2312"/>
          <w:sz w:val="32"/>
          <w:szCs w:val="32"/>
        </w:rPr>
        <w:t>（四）</w:t>
      </w:r>
      <w:r>
        <w:rPr>
          <w:rFonts w:hint="eastAsia" w:ascii="仿宋" w:hAnsi="仿宋" w:eastAsia="仿宋" w:cs="楷体_GB2312"/>
          <w:spacing w:val="-6"/>
          <w:sz w:val="32"/>
          <w:szCs w:val="32"/>
        </w:rPr>
        <w:t>《关于公布医疗器械注册申报资料要求和批准证明文件格式的公告》（原国家食品药品监督管理总局公告2014年第43号）</w:t>
      </w:r>
    </w:p>
    <w:p w14:paraId="6C6D1F24">
      <w:pPr>
        <w:tabs>
          <w:tab w:val="left" w:pos="3948"/>
        </w:tabs>
        <w:autoSpaceDE w:val="0"/>
        <w:autoSpaceDN w:val="0"/>
        <w:adjustRightInd w:val="0"/>
        <w:spacing w:line="52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（五）《关于发布医疗器械产品技术要求编写指导原则的通告》（原国家食品药品监督管理总局通告2014年第9号）</w:t>
      </w:r>
    </w:p>
    <w:p w14:paraId="4A46D32E">
      <w:pPr>
        <w:tabs>
          <w:tab w:val="left" w:pos="3948"/>
        </w:tabs>
        <w:autoSpaceDE w:val="0"/>
        <w:autoSpaceDN w:val="0"/>
        <w:adjustRightInd w:val="0"/>
        <w:spacing w:line="52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（六）《关于发布医疗器械临床评价技术指导原则的通告》（原国家食品药品监督管理总局通告2015年第14号）</w:t>
      </w:r>
    </w:p>
    <w:p w14:paraId="140DB1C8">
      <w:pPr>
        <w:tabs>
          <w:tab w:val="left" w:pos="3948"/>
        </w:tabs>
        <w:autoSpaceDE w:val="0"/>
        <w:autoSpaceDN w:val="0"/>
        <w:adjustRightInd w:val="0"/>
        <w:spacing w:line="52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（七）《医疗器械临床试验质量管理规范》（原国家食品药品监督管理总局 中华人民共和国国家卫生和计划生育委员会令第25号）</w:t>
      </w:r>
    </w:p>
    <w:p w14:paraId="17930C9C">
      <w:pPr>
        <w:tabs>
          <w:tab w:val="left" w:pos="3948"/>
        </w:tabs>
        <w:autoSpaceDE w:val="0"/>
        <w:autoSpaceDN w:val="0"/>
        <w:adjustRightInd w:val="0"/>
        <w:spacing w:line="52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（八）《接受医疗器械境外临床试验数据技术指导原则》（原国家食品药品监督管理总局通告201</w:t>
      </w:r>
      <w:r>
        <w:rPr>
          <w:rFonts w:ascii="仿宋" w:hAnsi="仿宋" w:eastAsia="仿宋" w:cs="楷体_GB2312"/>
          <w:sz w:val="32"/>
          <w:szCs w:val="32"/>
        </w:rPr>
        <w:t>8</w:t>
      </w:r>
      <w:r>
        <w:rPr>
          <w:rFonts w:hint="eastAsia" w:ascii="仿宋" w:hAnsi="仿宋" w:eastAsia="仿宋" w:cs="楷体_GB2312"/>
          <w:sz w:val="32"/>
          <w:szCs w:val="32"/>
        </w:rPr>
        <w:t>年第1</w:t>
      </w:r>
      <w:r>
        <w:rPr>
          <w:rFonts w:ascii="仿宋" w:hAnsi="仿宋" w:eastAsia="仿宋" w:cs="楷体_GB2312"/>
          <w:sz w:val="32"/>
          <w:szCs w:val="32"/>
        </w:rPr>
        <w:t>3</w:t>
      </w:r>
      <w:r>
        <w:rPr>
          <w:rFonts w:hint="eastAsia" w:ascii="仿宋" w:hAnsi="仿宋" w:eastAsia="仿宋" w:cs="楷体_GB2312"/>
          <w:sz w:val="32"/>
          <w:szCs w:val="32"/>
        </w:rPr>
        <w:t>号）</w:t>
      </w:r>
    </w:p>
    <w:p w14:paraId="79591ED5">
      <w:pPr>
        <w:tabs>
          <w:tab w:val="left" w:pos="3948"/>
        </w:tabs>
        <w:autoSpaceDE w:val="0"/>
        <w:autoSpaceDN w:val="0"/>
        <w:adjustRightInd w:val="0"/>
        <w:spacing w:line="52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（九）国家药品监督管理部门发布的其他规范性文件及标准</w:t>
      </w:r>
    </w:p>
    <w:p w14:paraId="4149AD3A">
      <w:pPr>
        <w:tabs>
          <w:tab w:val="left" w:pos="3948"/>
        </w:tabs>
        <w:spacing w:line="520" w:lineRule="exact"/>
        <w:ind w:firstLine="1280" w:firstLineChars="400"/>
        <w:rPr>
          <w:rFonts w:eastAsia="仿宋_GB2312"/>
          <w:sz w:val="32"/>
          <w:szCs w:val="32"/>
        </w:rPr>
      </w:pPr>
    </w:p>
    <w:p w14:paraId="36B44050">
      <w:pPr>
        <w:spacing w:line="520" w:lineRule="exact"/>
        <w:rPr>
          <w:rFonts w:hint="eastAsia" w:eastAsia="宋体"/>
          <w:lang w:eastAsia="zh-CN"/>
        </w:rPr>
      </w:pPr>
    </w:p>
    <w:p w14:paraId="0F193AAF">
      <w:pPr>
        <w:spacing w:line="520" w:lineRule="exact"/>
        <w:jc w:val="center"/>
        <w:rPr>
          <w:rFonts w:hint="eastAsia" w:eastAsia="宋体"/>
          <w:lang w:eastAsia="zh-CN"/>
        </w:rPr>
      </w:pPr>
    </w:p>
    <w:p w14:paraId="2769D062">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58"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S Shell Dlg">
    <w:altName w:val="Microsoft Sans Serif"/>
    <w:panose1 w:val="020B0604020202020204"/>
    <w:charset w:val="00"/>
    <w:family w:val="swiss"/>
    <w:pitch w:val="default"/>
    <w:sig w:usb0="00000000" w:usb1="00000000" w:usb2="00000008" w:usb3="00000000" w:csb0="000101FF" w:csb1="00000000"/>
  </w:font>
  <w:font w:name="方正小标宋简体">
    <w:altName w:val="方正舒体"/>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mp;quo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AF05">
    <w:pPr>
      <w:pStyle w:val="10"/>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p w14:paraId="7C6AF008">
    <w:pPr>
      <w:pStyle w:val="1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A684">
    <w:pPr>
      <w:pStyle w:val="1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p w14:paraId="6A5103C3">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5B5"/>
    <w:rsid w:val="0000463E"/>
    <w:rsid w:val="0000619F"/>
    <w:rsid w:val="0000749D"/>
    <w:rsid w:val="00011D15"/>
    <w:rsid w:val="00013F4F"/>
    <w:rsid w:val="00014C87"/>
    <w:rsid w:val="00015D33"/>
    <w:rsid w:val="00016FFB"/>
    <w:rsid w:val="000177AD"/>
    <w:rsid w:val="00021B78"/>
    <w:rsid w:val="00030421"/>
    <w:rsid w:val="00032895"/>
    <w:rsid w:val="000368FA"/>
    <w:rsid w:val="000372AB"/>
    <w:rsid w:val="0003750B"/>
    <w:rsid w:val="00037885"/>
    <w:rsid w:val="00045026"/>
    <w:rsid w:val="00046E29"/>
    <w:rsid w:val="00052CC7"/>
    <w:rsid w:val="0005327D"/>
    <w:rsid w:val="000542C5"/>
    <w:rsid w:val="00062C39"/>
    <w:rsid w:val="000643CB"/>
    <w:rsid w:val="00067D60"/>
    <w:rsid w:val="00070E66"/>
    <w:rsid w:val="0007162C"/>
    <w:rsid w:val="00073913"/>
    <w:rsid w:val="000744ED"/>
    <w:rsid w:val="00083732"/>
    <w:rsid w:val="00087C10"/>
    <w:rsid w:val="0009274B"/>
    <w:rsid w:val="000934E7"/>
    <w:rsid w:val="00094761"/>
    <w:rsid w:val="000A0E86"/>
    <w:rsid w:val="000A13A0"/>
    <w:rsid w:val="000A240A"/>
    <w:rsid w:val="000A2E90"/>
    <w:rsid w:val="000B11DD"/>
    <w:rsid w:val="000B230E"/>
    <w:rsid w:val="000B28FB"/>
    <w:rsid w:val="000B3231"/>
    <w:rsid w:val="000B539A"/>
    <w:rsid w:val="000B54AF"/>
    <w:rsid w:val="000B5551"/>
    <w:rsid w:val="000C1D90"/>
    <w:rsid w:val="000C26C5"/>
    <w:rsid w:val="000C7254"/>
    <w:rsid w:val="000D13FB"/>
    <w:rsid w:val="000D16BD"/>
    <w:rsid w:val="000D33AF"/>
    <w:rsid w:val="000D4772"/>
    <w:rsid w:val="000D629A"/>
    <w:rsid w:val="000D64C1"/>
    <w:rsid w:val="000D6AF8"/>
    <w:rsid w:val="000D742A"/>
    <w:rsid w:val="000D7D7B"/>
    <w:rsid w:val="000E13B2"/>
    <w:rsid w:val="000E3D60"/>
    <w:rsid w:val="000E5FF0"/>
    <w:rsid w:val="000E731D"/>
    <w:rsid w:val="000F0B7A"/>
    <w:rsid w:val="000F1C6C"/>
    <w:rsid w:val="000F20A1"/>
    <w:rsid w:val="000F2DFE"/>
    <w:rsid w:val="000F3067"/>
    <w:rsid w:val="000F55AD"/>
    <w:rsid w:val="000F57C0"/>
    <w:rsid w:val="000F598F"/>
    <w:rsid w:val="000F59CD"/>
    <w:rsid w:val="000F5F44"/>
    <w:rsid w:val="000F6219"/>
    <w:rsid w:val="000F6393"/>
    <w:rsid w:val="000F658E"/>
    <w:rsid w:val="000F7010"/>
    <w:rsid w:val="000F7286"/>
    <w:rsid w:val="001004DF"/>
    <w:rsid w:val="00100E52"/>
    <w:rsid w:val="00100F8C"/>
    <w:rsid w:val="00101FED"/>
    <w:rsid w:val="00103071"/>
    <w:rsid w:val="0010444E"/>
    <w:rsid w:val="0011478E"/>
    <w:rsid w:val="00114ABA"/>
    <w:rsid w:val="00116937"/>
    <w:rsid w:val="0012395F"/>
    <w:rsid w:val="00124285"/>
    <w:rsid w:val="001263F2"/>
    <w:rsid w:val="00130715"/>
    <w:rsid w:val="00130E45"/>
    <w:rsid w:val="001324F9"/>
    <w:rsid w:val="00134988"/>
    <w:rsid w:val="00135C1E"/>
    <w:rsid w:val="0013690D"/>
    <w:rsid w:val="00145C7D"/>
    <w:rsid w:val="00145E43"/>
    <w:rsid w:val="00146DA2"/>
    <w:rsid w:val="001545FC"/>
    <w:rsid w:val="0016251B"/>
    <w:rsid w:val="00162668"/>
    <w:rsid w:val="00163458"/>
    <w:rsid w:val="00164A26"/>
    <w:rsid w:val="00171AE9"/>
    <w:rsid w:val="00171F06"/>
    <w:rsid w:val="00172A27"/>
    <w:rsid w:val="00175638"/>
    <w:rsid w:val="00177599"/>
    <w:rsid w:val="00177F68"/>
    <w:rsid w:val="00180945"/>
    <w:rsid w:val="001819FF"/>
    <w:rsid w:val="001849B8"/>
    <w:rsid w:val="001853A4"/>
    <w:rsid w:val="0018547B"/>
    <w:rsid w:val="001A04B7"/>
    <w:rsid w:val="001A0B77"/>
    <w:rsid w:val="001A123B"/>
    <w:rsid w:val="001A13F2"/>
    <w:rsid w:val="001A3C62"/>
    <w:rsid w:val="001A5A47"/>
    <w:rsid w:val="001A6F3A"/>
    <w:rsid w:val="001A70B7"/>
    <w:rsid w:val="001A71E2"/>
    <w:rsid w:val="001A7A7E"/>
    <w:rsid w:val="001A7D62"/>
    <w:rsid w:val="001B4AF1"/>
    <w:rsid w:val="001B5938"/>
    <w:rsid w:val="001B70E7"/>
    <w:rsid w:val="001C0860"/>
    <w:rsid w:val="001C1F39"/>
    <w:rsid w:val="001C2914"/>
    <w:rsid w:val="001C3C37"/>
    <w:rsid w:val="001C4332"/>
    <w:rsid w:val="001C4CE9"/>
    <w:rsid w:val="001C5A82"/>
    <w:rsid w:val="001D1FB3"/>
    <w:rsid w:val="001E7F53"/>
    <w:rsid w:val="001F0576"/>
    <w:rsid w:val="001F399C"/>
    <w:rsid w:val="001F42C7"/>
    <w:rsid w:val="001F5C1B"/>
    <w:rsid w:val="001F6DC0"/>
    <w:rsid w:val="00201140"/>
    <w:rsid w:val="002025E9"/>
    <w:rsid w:val="002037F0"/>
    <w:rsid w:val="00204DB2"/>
    <w:rsid w:val="0020522E"/>
    <w:rsid w:val="00212F7E"/>
    <w:rsid w:val="00223E02"/>
    <w:rsid w:val="0022449C"/>
    <w:rsid w:val="00225AD1"/>
    <w:rsid w:val="002306B2"/>
    <w:rsid w:val="00233799"/>
    <w:rsid w:val="002354EE"/>
    <w:rsid w:val="002364AB"/>
    <w:rsid w:val="0024086D"/>
    <w:rsid w:val="002415A6"/>
    <w:rsid w:val="0024160D"/>
    <w:rsid w:val="0024197F"/>
    <w:rsid w:val="00242374"/>
    <w:rsid w:val="002452CF"/>
    <w:rsid w:val="0024718C"/>
    <w:rsid w:val="00247AB4"/>
    <w:rsid w:val="00247B18"/>
    <w:rsid w:val="00250E01"/>
    <w:rsid w:val="00250E11"/>
    <w:rsid w:val="00252710"/>
    <w:rsid w:val="00252DF5"/>
    <w:rsid w:val="002531CB"/>
    <w:rsid w:val="002570F7"/>
    <w:rsid w:val="00257570"/>
    <w:rsid w:val="00257FB2"/>
    <w:rsid w:val="00260899"/>
    <w:rsid w:val="00260BB7"/>
    <w:rsid w:val="0026115C"/>
    <w:rsid w:val="00261D23"/>
    <w:rsid w:val="002624C6"/>
    <w:rsid w:val="00264385"/>
    <w:rsid w:val="00266826"/>
    <w:rsid w:val="00272C3D"/>
    <w:rsid w:val="00272ECB"/>
    <w:rsid w:val="00273D7C"/>
    <w:rsid w:val="00275119"/>
    <w:rsid w:val="00282D8F"/>
    <w:rsid w:val="00284635"/>
    <w:rsid w:val="00285811"/>
    <w:rsid w:val="00286334"/>
    <w:rsid w:val="00286C55"/>
    <w:rsid w:val="0029034F"/>
    <w:rsid w:val="00290AFB"/>
    <w:rsid w:val="00295FE7"/>
    <w:rsid w:val="002A1D85"/>
    <w:rsid w:val="002A23D7"/>
    <w:rsid w:val="002A4598"/>
    <w:rsid w:val="002A5DAA"/>
    <w:rsid w:val="002A779E"/>
    <w:rsid w:val="002B0354"/>
    <w:rsid w:val="002B0421"/>
    <w:rsid w:val="002B1330"/>
    <w:rsid w:val="002B1E8E"/>
    <w:rsid w:val="002B2673"/>
    <w:rsid w:val="002B33AC"/>
    <w:rsid w:val="002B3BD5"/>
    <w:rsid w:val="002B5C0E"/>
    <w:rsid w:val="002B71CC"/>
    <w:rsid w:val="002B7F94"/>
    <w:rsid w:val="002C13C3"/>
    <w:rsid w:val="002C25AF"/>
    <w:rsid w:val="002C2605"/>
    <w:rsid w:val="002C5B59"/>
    <w:rsid w:val="002C5BC1"/>
    <w:rsid w:val="002C7E99"/>
    <w:rsid w:val="002D0859"/>
    <w:rsid w:val="002D1182"/>
    <w:rsid w:val="002D46C9"/>
    <w:rsid w:val="002E18F3"/>
    <w:rsid w:val="002E3BA8"/>
    <w:rsid w:val="002E3F00"/>
    <w:rsid w:val="002E423E"/>
    <w:rsid w:val="002E714F"/>
    <w:rsid w:val="002F049C"/>
    <w:rsid w:val="002F1973"/>
    <w:rsid w:val="002F2D4A"/>
    <w:rsid w:val="002F4F9E"/>
    <w:rsid w:val="002F741B"/>
    <w:rsid w:val="00307155"/>
    <w:rsid w:val="00311FFB"/>
    <w:rsid w:val="003125B1"/>
    <w:rsid w:val="00312966"/>
    <w:rsid w:val="00314A70"/>
    <w:rsid w:val="0031673E"/>
    <w:rsid w:val="003213A6"/>
    <w:rsid w:val="00321B63"/>
    <w:rsid w:val="00324ABF"/>
    <w:rsid w:val="00325F78"/>
    <w:rsid w:val="0034678D"/>
    <w:rsid w:val="00351AC0"/>
    <w:rsid w:val="00353AA1"/>
    <w:rsid w:val="00354C5D"/>
    <w:rsid w:val="00356255"/>
    <w:rsid w:val="0035697A"/>
    <w:rsid w:val="00356EBA"/>
    <w:rsid w:val="00366263"/>
    <w:rsid w:val="00366AE6"/>
    <w:rsid w:val="003711F7"/>
    <w:rsid w:val="00381D41"/>
    <w:rsid w:val="0038307B"/>
    <w:rsid w:val="003836C5"/>
    <w:rsid w:val="003864E9"/>
    <w:rsid w:val="003879BB"/>
    <w:rsid w:val="003942E2"/>
    <w:rsid w:val="00394AD0"/>
    <w:rsid w:val="00397484"/>
    <w:rsid w:val="00397C79"/>
    <w:rsid w:val="003A0098"/>
    <w:rsid w:val="003A0415"/>
    <w:rsid w:val="003A5983"/>
    <w:rsid w:val="003A6508"/>
    <w:rsid w:val="003A6587"/>
    <w:rsid w:val="003A7FE8"/>
    <w:rsid w:val="003B0C49"/>
    <w:rsid w:val="003B15DB"/>
    <w:rsid w:val="003B2E3A"/>
    <w:rsid w:val="003B3A0A"/>
    <w:rsid w:val="003B5044"/>
    <w:rsid w:val="003B7391"/>
    <w:rsid w:val="003C561E"/>
    <w:rsid w:val="003C7E80"/>
    <w:rsid w:val="003D189A"/>
    <w:rsid w:val="003D25FD"/>
    <w:rsid w:val="003D3B86"/>
    <w:rsid w:val="003D4091"/>
    <w:rsid w:val="003D4185"/>
    <w:rsid w:val="003D569A"/>
    <w:rsid w:val="003D6593"/>
    <w:rsid w:val="003E1CC6"/>
    <w:rsid w:val="003E4D45"/>
    <w:rsid w:val="003E6599"/>
    <w:rsid w:val="003F07B7"/>
    <w:rsid w:val="00402D04"/>
    <w:rsid w:val="00403806"/>
    <w:rsid w:val="00403A13"/>
    <w:rsid w:val="004060DC"/>
    <w:rsid w:val="004064A7"/>
    <w:rsid w:val="004076B3"/>
    <w:rsid w:val="00411928"/>
    <w:rsid w:val="00412929"/>
    <w:rsid w:val="0041455B"/>
    <w:rsid w:val="004220D5"/>
    <w:rsid w:val="00422C95"/>
    <w:rsid w:val="00423868"/>
    <w:rsid w:val="00424BFC"/>
    <w:rsid w:val="004255F9"/>
    <w:rsid w:val="004270F2"/>
    <w:rsid w:val="004279C1"/>
    <w:rsid w:val="00430EE9"/>
    <w:rsid w:val="00433BC9"/>
    <w:rsid w:val="0044182C"/>
    <w:rsid w:val="00443325"/>
    <w:rsid w:val="004451AE"/>
    <w:rsid w:val="00445821"/>
    <w:rsid w:val="00450A57"/>
    <w:rsid w:val="00453435"/>
    <w:rsid w:val="00461050"/>
    <w:rsid w:val="00461CD2"/>
    <w:rsid w:val="0046686C"/>
    <w:rsid w:val="00473061"/>
    <w:rsid w:val="00477F25"/>
    <w:rsid w:val="004806ED"/>
    <w:rsid w:val="004850B4"/>
    <w:rsid w:val="00487498"/>
    <w:rsid w:val="00491FC8"/>
    <w:rsid w:val="00492965"/>
    <w:rsid w:val="00495A9E"/>
    <w:rsid w:val="00497998"/>
    <w:rsid w:val="004A02F4"/>
    <w:rsid w:val="004A089A"/>
    <w:rsid w:val="004A24C1"/>
    <w:rsid w:val="004A26D1"/>
    <w:rsid w:val="004A4C55"/>
    <w:rsid w:val="004A6D19"/>
    <w:rsid w:val="004B106B"/>
    <w:rsid w:val="004B6B9C"/>
    <w:rsid w:val="004C3D20"/>
    <w:rsid w:val="004C5961"/>
    <w:rsid w:val="004D6684"/>
    <w:rsid w:val="004E3D2C"/>
    <w:rsid w:val="004E4044"/>
    <w:rsid w:val="004E69D7"/>
    <w:rsid w:val="004E7EF9"/>
    <w:rsid w:val="004F032B"/>
    <w:rsid w:val="004F1B4B"/>
    <w:rsid w:val="004F39BE"/>
    <w:rsid w:val="004F4730"/>
    <w:rsid w:val="004F4D59"/>
    <w:rsid w:val="004F5284"/>
    <w:rsid w:val="004F6536"/>
    <w:rsid w:val="00501AD7"/>
    <w:rsid w:val="00504760"/>
    <w:rsid w:val="005049EE"/>
    <w:rsid w:val="00505431"/>
    <w:rsid w:val="0050611E"/>
    <w:rsid w:val="0050762F"/>
    <w:rsid w:val="005077D4"/>
    <w:rsid w:val="00510B58"/>
    <w:rsid w:val="00510F7A"/>
    <w:rsid w:val="00511D1B"/>
    <w:rsid w:val="005128C5"/>
    <w:rsid w:val="005170DE"/>
    <w:rsid w:val="00517BB0"/>
    <w:rsid w:val="0052137A"/>
    <w:rsid w:val="00522A27"/>
    <w:rsid w:val="005247B1"/>
    <w:rsid w:val="00526235"/>
    <w:rsid w:val="00527B5C"/>
    <w:rsid w:val="00527E3F"/>
    <w:rsid w:val="00530258"/>
    <w:rsid w:val="00530B2F"/>
    <w:rsid w:val="005312BB"/>
    <w:rsid w:val="00531975"/>
    <w:rsid w:val="00532E8F"/>
    <w:rsid w:val="00536839"/>
    <w:rsid w:val="00537BA0"/>
    <w:rsid w:val="00540D96"/>
    <w:rsid w:val="005413F7"/>
    <w:rsid w:val="0054184D"/>
    <w:rsid w:val="0054361D"/>
    <w:rsid w:val="00544967"/>
    <w:rsid w:val="00544CC5"/>
    <w:rsid w:val="00545027"/>
    <w:rsid w:val="0055044E"/>
    <w:rsid w:val="00550A6D"/>
    <w:rsid w:val="005532E0"/>
    <w:rsid w:val="005559A7"/>
    <w:rsid w:val="00555C7C"/>
    <w:rsid w:val="005567D4"/>
    <w:rsid w:val="0055713D"/>
    <w:rsid w:val="00557B9E"/>
    <w:rsid w:val="00563A0C"/>
    <w:rsid w:val="005722C7"/>
    <w:rsid w:val="0057438B"/>
    <w:rsid w:val="00574767"/>
    <w:rsid w:val="00582D9C"/>
    <w:rsid w:val="005843D5"/>
    <w:rsid w:val="0058500C"/>
    <w:rsid w:val="0058521D"/>
    <w:rsid w:val="00585F4C"/>
    <w:rsid w:val="00592843"/>
    <w:rsid w:val="00595190"/>
    <w:rsid w:val="005A1667"/>
    <w:rsid w:val="005A19A7"/>
    <w:rsid w:val="005A34AF"/>
    <w:rsid w:val="005A3C2E"/>
    <w:rsid w:val="005A4491"/>
    <w:rsid w:val="005A685B"/>
    <w:rsid w:val="005B1E8A"/>
    <w:rsid w:val="005B3767"/>
    <w:rsid w:val="005B58D7"/>
    <w:rsid w:val="005B6F48"/>
    <w:rsid w:val="005C2483"/>
    <w:rsid w:val="005C2ECF"/>
    <w:rsid w:val="005C3361"/>
    <w:rsid w:val="005D00FC"/>
    <w:rsid w:val="005D089A"/>
    <w:rsid w:val="005D26DF"/>
    <w:rsid w:val="005E1280"/>
    <w:rsid w:val="005E2057"/>
    <w:rsid w:val="005E2558"/>
    <w:rsid w:val="005E39A8"/>
    <w:rsid w:val="005E4D8E"/>
    <w:rsid w:val="005F2AC5"/>
    <w:rsid w:val="005F31BE"/>
    <w:rsid w:val="005F4B4B"/>
    <w:rsid w:val="00602604"/>
    <w:rsid w:val="0060281E"/>
    <w:rsid w:val="00610DA9"/>
    <w:rsid w:val="00611525"/>
    <w:rsid w:val="00612EF7"/>
    <w:rsid w:val="00617929"/>
    <w:rsid w:val="00617D09"/>
    <w:rsid w:val="0062053F"/>
    <w:rsid w:val="00621364"/>
    <w:rsid w:val="00622190"/>
    <w:rsid w:val="00624034"/>
    <w:rsid w:val="00624A7F"/>
    <w:rsid w:val="00624D5B"/>
    <w:rsid w:val="00625698"/>
    <w:rsid w:val="00627C1A"/>
    <w:rsid w:val="00631B0F"/>
    <w:rsid w:val="00632A50"/>
    <w:rsid w:val="00632E70"/>
    <w:rsid w:val="00633A4C"/>
    <w:rsid w:val="0063553E"/>
    <w:rsid w:val="00643A4E"/>
    <w:rsid w:val="006453C1"/>
    <w:rsid w:val="006457AF"/>
    <w:rsid w:val="00647B24"/>
    <w:rsid w:val="0065141A"/>
    <w:rsid w:val="00653696"/>
    <w:rsid w:val="00653D59"/>
    <w:rsid w:val="006579D4"/>
    <w:rsid w:val="00663E5E"/>
    <w:rsid w:val="0066495B"/>
    <w:rsid w:val="00664D8A"/>
    <w:rsid w:val="00665693"/>
    <w:rsid w:val="0067156F"/>
    <w:rsid w:val="006769E6"/>
    <w:rsid w:val="006772E0"/>
    <w:rsid w:val="006810FA"/>
    <w:rsid w:val="006824BE"/>
    <w:rsid w:val="0069117F"/>
    <w:rsid w:val="00691CB5"/>
    <w:rsid w:val="0069278E"/>
    <w:rsid w:val="0069306B"/>
    <w:rsid w:val="00693E6C"/>
    <w:rsid w:val="006952F3"/>
    <w:rsid w:val="0069626B"/>
    <w:rsid w:val="0069681B"/>
    <w:rsid w:val="00696994"/>
    <w:rsid w:val="00697C43"/>
    <w:rsid w:val="006A185C"/>
    <w:rsid w:val="006A3325"/>
    <w:rsid w:val="006A5507"/>
    <w:rsid w:val="006B1167"/>
    <w:rsid w:val="006B23A9"/>
    <w:rsid w:val="006B54C4"/>
    <w:rsid w:val="006B6E93"/>
    <w:rsid w:val="006C2C03"/>
    <w:rsid w:val="006C3D81"/>
    <w:rsid w:val="006C42FA"/>
    <w:rsid w:val="006D3154"/>
    <w:rsid w:val="006D34D6"/>
    <w:rsid w:val="006D3810"/>
    <w:rsid w:val="006D3CF0"/>
    <w:rsid w:val="006D7C02"/>
    <w:rsid w:val="006E5A41"/>
    <w:rsid w:val="006E7E0F"/>
    <w:rsid w:val="006F13B6"/>
    <w:rsid w:val="006F284A"/>
    <w:rsid w:val="006F7458"/>
    <w:rsid w:val="00700091"/>
    <w:rsid w:val="007134EE"/>
    <w:rsid w:val="007149C5"/>
    <w:rsid w:val="00722B24"/>
    <w:rsid w:val="0072307C"/>
    <w:rsid w:val="00723E91"/>
    <w:rsid w:val="00724075"/>
    <w:rsid w:val="0072493D"/>
    <w:rsid w:val="007261E4"/>
    <w:rsid w:val="007276B8"/>
    <w:rsid w:val="00727FC0"/>
    <w:rsid w:val="007303D1"/>
    <w:rsid w:val="00732F8D"/>
    <w:rsid w:val="007360F3"/>
    <w:rsid w:val="007403B5"/>
    <w:rsid w:val="00740ADD"/>
    <w:rsid w:val="007424B5"/>
    <w:rsid w:val="00750369"/>
    <w:rsid w:val="007566E0"/>
    <w:rsid w:val="00757BB5"/>
    <w:rsid w:val="00760030"/>
    <w:rsid w:val="0076322F"/>
    <w:rsid w:val="007638A0"/>
    <w:rsid w:val="00764D85"/>
    <w:rsid w:val="007675E5"/>
    <w:rsid w:val="00770051"/>
    <w:rsid w:val="007704DE"/>
    <w:rsid w:val="00772511"/>
    <w:rsid w:val="00776440"/>
    <w:rsid w:val="00776AEB"/>
    <w:rsid w:val="007777DB"/>
    <w:rsid w:val="0078181E"/>
    <w:rsid w:val="007906E2"/>
    <w:rsid w:val="007914F2"/>
    <w:rsid w:val="00791B35"/>
    <w:rsid w:val="00797D3B"/>
    <w:rsid w:val="007A1481"/>
    <w:rsid w:val="007A638F"/>
    <w:rsid w:val="007B1278"/>
    <w:rsid w:val="007C0527"/>
    <w:rsid w:val="007C13D8"/>
    <w:rsid w:val="007D224B"/>
    <w:rsid w:val="007D2F61"/>
    <w:rsid w:val="007D370F"/>
    <w:rsid w:val="007D6F56"/>
    <w:rsid w:val="007D74E9"/>
    <w:rsid w:val="007E7102"/>
    <w:rsid w:val="007E7C79"/>
    <w:rsid w:val="007F0380"/>
    <w:rsid w:val="007F144F"/>
    <w:rsid w:val="007F2129"/>
    <w:rsid w:val="007F2819"/>
    <w:rsid w:val="007F4508"/>
    <w:rsid w:val="007F496C"/>
    <w:rsid w:val="007F4E32"/>
    <w:rsid w:val="007F55DD"/>
    <w:rsid w:val="007F6697"/>
    <w:rsid w:val="00800118"/>
    <w:rsid w:val="00801562"/>
    <w:rsid w:val="00801662"/>
    <w:rsid w:val="00802867"/>
    <w:rsid w:val="00803D1C"/>
    <w:rsid w:val="00803D5B"/>
    <w:rsid w:val="00804D2B"/>
    <w:rsid w:val="00811572"/>
    <w:rsid w:val="00811962"/>
    <w:rsid w:val="00815B12"/>
    <w:rsid w:val="008176A6"/>
    <w:rsid w:val="0082018F"/>
    <w:rsid w:val="0082061A"/>
    <w:rsid w:val="00823898"/>
    <w:rsid w:val="00824D45"/>
    <w:rsid w:val="00826004"/>
    <w:rsid w:val="0082760D"/>
    <w:rsid w:val="008303B2"/>
    <w:rsid w:val="00831370"/>
    <w:rsid w:val="00831D9E"/>
    <w:rsid w:val="00834825"/>
    <w:rsid w:val="008401F6"/>
    <w:rsid w:val="00841A3A"/>
    <w:rsid w:val="00845186"/>
    <w:rsid w:val="00846D2B"/>
    <w:rsid w:val="008504DE"/>
    <w:rsid w:val="008515BC"/>
    <w:rsid w:val="008521D1"/>
    <w:rsid w:val="00854230"/>
    <w:rsid w:val="0085463B"/>
    <w:rsid w:val="0085799F"/>
    <w:rsid w:val="0086111B"/>
    <w:rsid w:val="0086158E"/>
    <w:rsid w:val="00866913"/>
    <w:rsid w:val="00866ED1"/>
    <w:rsid w:val="00867A00"/>
    <w:rsid w:val="00874267"/>
    <w:rsid w:val="00875921"/>
    <w:rsid w:val="00877609"/>
    <w:rsid w:val="00877E41"/>
    <w:rsid w:val="008806D7"/>
    <w:rsid w:val="00880D94"/>
    <w:rsid w:val="0088125D"/>
    <w:rsid w:val="00883F89"/>
    <w:rsid w:val="0088576D"/>
    <w:rsid w:val="00885C12"/>
    <w:rsid w:val="0088775D"/>
    <w:rsid w:val="0089363B"/>
    <w:rsid w:val="008943C3"/>
    <w:rsid w:val="008978AC"/>
    <w:rsid w:val="008A06E0"/>
    <w:rsid w:val="008A1898"/>
    <w:rsid w:val="008A3755"/>
    <w:rsid w:val="008A3EE6"/>
    <w:rsid w:val="008A54C3"/>
    <w:rsid w:val="008A627E"/>
    <w:rsid w:val="008A64A4"/>
    <w:rsid w:val="008B06A1"/>
    <w:rsid w:val="008B5DEE"/>
    <w:rsid w:val="008B6E7A"/>
    <w:rsid w:val="008B71BE"/>
    <w:rsid w:val="008C3DF1"/>
    <w:rsid w:val="008C78E1"/>
    <w:rsid w:val="008D217B"/>
    <w:rsid w:val="008D4123"/>
    <w:rsid w:val="008D4718"/>
    <w:rsid w:val="008E0962"/>
    <w:rsid w:val="008E369A"/>
    <w:rsid w:val="008E53CF"/>
    <w:rsid w:val="008E7E24"/>
    <w:rsid w:val="008F00CA"/>
    <w:rsid w:val="008F5264"/>
    <w:rsid w:val="008F7C68"/>
    <w:rsid w:val="00900FD4"/>
    <w:rsid w:val="00902397"/>
    <w:rsid w:val="00902CBB"/>
    <w:rsid w:val="00905F28"/>
    <w:rsid w:val="00912FFB"/>
    <w:rsid w:val="009134CA"/>
    <w:rsid w:val="00914E7C"/>
    <w:rsid w:val="00915084"/>
    <w:rsid w:val="00921075"/>
    <w:rsid w:val="009220A6"/>
    <w:rsid w:val="0092249D"/>
    <w:rsid w:val="009258A0"/>
    <w:rsid w:val="009265DE"/>
    <w:rsid w:val="00926DF1"/>
    <w:rsid w:val="009318F9"/>
    <w:rsid w:val="009336C4"/>
    <w:rsid w:val="0093434F"/>
    <w:rsid w:val="0093665E"/>
    <w:rsid w:val="009372B2"/>
    <w:rsid w:val="00941A13"/>
    <w:rsid w:val="009438FB"/>
    <w:rsid w:val="009458E1"/>
    <w:rsid w:val="00946113"/>
    <w:rsid w:val="00954C85"/>
    <w:rsid w:val="00956C96"/>
    <w:rsid w:val="00960A75"/>
    <w:rsid w:val="00961972"/>
    <w:rsid w:val="00963DD5"/>
    <w:rsid w:val="009647C1"/>
    <w:rsid w:val="00965083"/>
    <w:rsid w:val="00965F8A"/>
    <w:rsid w:val="0097145C"/>
    <w:rsid w:val="0097229A"/>
    <w:rsid w:val="0097654A"/>
    <w:rsid w:val="009770BF"/>
    <w:rsid w:val="00980186"/>
    <w:rsid w:val="00980CE5"/>
    <w:rsid w:val="0098220A"/>
    <w:rsid w:val="00984CCC"/>
    <w:rsid w:val="00993406"/>
    <w:rsid w:val="0099634D"/>
    <w:rsid w:val="0099662A"/>
    <w:rsid w:val="009A30B7"/>
    <w:rsid w:val="009A48A2"/>
    <w:rsid w:val="009A4F5F"/>
    <w:rsid w:val="009A54A1"/>
    <w:rsid w:val="009A7DAB"/>
    <w:rsid w:val="009B080C"/>
    <w:rsid w:val="009B0A34"/>
    <w:rsid w:val="009B1379"/>
    <w:rsid w:val="009B3403"/>
    <w:rsid w:val="009B5919"/>
    <w:rsid w:val="009B64E9"/>
    <w:rsid w:val="009C2C1D"/>
    <w:rsid w:val="009C746D"/>
    <w:rsid w:val="009D04FA"/>
    <w:rsid w:val="009D238B"/>
    <w:rsid w:val="009D5912"/>
    <w:rsid w:val="009D616B"/>
    <w:rsid w:val="009D663F"/>
    <w:rsid w:val="009E1269"/>
    <w:rsid w:val="009E320B"/>
    <w:rsid w:val="009E3F35"/>
    <w:rsid w:val="009E4B51"/>
    <w:rsid w:val="009F3911"/>
    <w:rsid w:val="009F3ECD"/>
    <w:rsid w:val="00A00C83"/>
    <w:rsid w:val="00A019D5"/>
    <w:rsid w:val="00A0235F"/>
    <w:rsid w:val="00A028D7"/>
    <w:rsid w:val="00A05C12"/>
    <w:rsid w:val="00A1770D"/>
    <w:rsid w:val="00A17751"/>
    <w:rsid w:val="00A17AF0"/>
    <w:rsid w:val="00A2006B"/>
    <w:rsid w:val="00A2161C"/>
    <w:rsid w:val="00A23C2D"/>
    <w:rsid w:val="00A25FE4"/>
    <w:rsid w:val="00A30A0D"/>
    <w:rsid w:val="00A31895"/>
    <w:rsid w:val="00A3398C"/>
    <w:rsid w:val="00A3717B"/>
    <w:rsid w:val="00A37513"/>
    <w:rsid w:val="00A403DF"/>
    <w:rsid w:val="00A418FE"/>
    <w:rsid w:val="00A44FD0"/>
    <w:rsid w:val="00A47B3B"/>
    <w:rsid w:val="00A50987"/>
    <w:rsid w:val="00A510BE"/>
    <w:rsid w:val="00A51F82"/>
    <w:rsid w:val="00A52A94"/>
    <w:rsid w:val="00A5560B"/>
    <w:rsid w:val="00A56D6F"/>
    <w:rsid w:val="00A660B7"/>
    <w:rsid w:val="00A70347"/>
    <w:rsid w:val="00A7044F"/>
    <w:rsid w:val="00A7185B"/>
    <w:rsid w:val="00A7291B"/>
    <w:rsid w:val="00A7547C"/>
    <w:rsid w:val="00A77B44"/>
    <w:rsid w:val="00A84078"/>
    <w:rsid w:val="00A84696"/>
    <w:rsid w:val="00A85B4F"/>
    <w:rsid w:val="00A86A4D"/>
    <w:rsid w:val="00A87174"/>
    <w:rsid w:val="00A9053A"/>
    <w:rsid w:val="00A9073D"/>
    <w:rsid w:val="00A9076E"/>
    <w:rsid w:val="00A92CE4"/>
    <w:rsid w:val="00A940F6"/>
    <w:rsid w:val="00A95037"/>
    <w:rsid w:val="00A96843"/>
    <w:rsid w:val="00A97B26"/>
    <w:rsid w:val="00AA09C4"/>
    <w:rsid w:val="00AA0AE0"/>
    <w:rsid w:val="00AA2668"/>
    <w:rsid w:val="00AA3FB9"/>
    <w:rsid w:val="00AA62F6"/>
    <w:rsid w:val="00AA724A"/>
    <w:rsid w:val="00AA7447"/>
    <w:rsid w:val="00AB1681"/>
    <w:rsid w:val="00AB2C44"/>
    <w:rsid w:val="00AB3182"/>
    <w:rsid w:val="00AC2FC2"/>
    <w:rsid w:val="00AC63FA"/>
    <w:rsid w:val="00AD1F3B"/>
    <w:rsid w:val="00AD6F96"/>
    <w:rsid w:val="00AD71EA"/>
    <w:rsid w:val="00AD785A"/>
    <w:rsid w:val="00AE0738"/>
    <w:rsid w:val="00AE22DC"/>
    <w:rsid w:val="00AE481D"/>
    <w:rsid w:val="00AF1E15"/>
    <w:rsid w:val="00AF39A0"/>
    <w:rsid w:val="00AF40AE"/>
    <w:rsid w:val="00AF4B86"/>
    <w:rsid w:val="00AF65EA"/>
    <w:rsid w:val="00AF6D47"/>
    <w:rsid w:val="00B0483F"/>
    <w:rsid w:val="00B04A13"/>
    <w:rsid w:val="00B051AB"/>
    <w:rsid w:val="00B05C0D"/>
    <w:rsid w:val="00B07705"/>
    <w:rsid w:val="00B10C76"/>
    <w:rsid w:val="00B16A3C"/>
    <w:rsid w:val="00B203B9"/>
    <w:rsid w:val="00B20A40"/>
    <w:rsid w:val="00B26F65"/>
    <w:rsid w:val="00B27E35"/>
    <w:rsid w:val="00B326AF"/>
    <w:rsid w:val="00B34EAF"/>
    <w:rsid w:val="00B35CD6"/>
    <w:rsid w:val="00B4530B"/>
    <w:rsid w:val="00B4665C"/>
    <w:rsid w:val="00B5101C"/>
    <w:rsid w:val="00B51AB9"/>
    <w:rsid w:val="00B526AA"/>
    <w:rsid w:val="00B57B36"/>
    <w:rsid w:val="00B620E6"/>
    <w:rsid w:val="00B633B9"/>
    <w:rsid w:val="00B64883"/>
    <w:rsid w:val="00B6508F"/>
    <w:rsid w:val="00B66B6B"/>
    <w:rsid w:val="00B73BA1"/>
    <w:rsid w:val="00B7429F"/>
    <w:rsid w:val="00B76D97"/>
    <w:rsid w:val="00B92B72"/>
    <w:rsid w:val="00B94DA5"/>
    <w:rsid w:val="00B9506A"/>
    <w:rsid w:val="00B95A66"/>
    <w:rsid w:val="00BA006F"/>
    <w:rsid w:val="00BA1D99"/>
    <w:rsid w:val="00BA2601"/>
    <w:rsid w:val="00BA2848"/>
    <w:rsid w:val="00BA30CC"/>
    <w:rsid w:val="00BA538C"/>
    <w:rsid w:val="00BA708B"/>
    <w:rsid w:val="00BB0206"/>
    <w:rsid w:val="00BB05B3"/>
    <w:rsid w:val="00BB1DE4"/>
    <w:rsid w:val="00BB72E3"/>
    <w:rsid w:val="00BC2FEC"/>
    <w:rsid w:val="00BC5AAC"/>
    <w:rsid w:val="00BD0888"/>
    <w:rsid w:val="00BD4B87"/>
    <w:rsid w:val="00BD59B3"/>
    <w:rsid w:val="00BD6139"/>
    <w:rsid w:val="00BD769E"/>
    <w:rsid w:val="00BE027F"/>
    <w:rsid w:val="00BF0B44"/>
    <w:rsid w:val="00BF3C80"/>
    <w:rsid w:val="00BF3CE1"/>
    <w:rsid w:val="00BF4FA4"/>
    <w:rsid w:val="00BF5C0E"/>
    <w:rsid w:val="00BF63C0"/>
    <w:rsid w:val="00BF72E4"/>
    <w:rsid w:val="00BF7A30"/>
    <w:rsid w:val="00C0571F"/>
    <w:rsid w:val="00C13B2D"/>
    <w:rsid w:val="00C1451C"/>
    <w:rsid w:val="00C146C0"/>
    <w:rsid w:val="00C1484F"/>
    <w:rsid w:val="00C1509E"/>
    <w:rsid w:val="00C15A7B"/>
    <w:rsid w:val="00C16B88"/>
    <w:rsid w:val="00C21658"/>
    <w:rsid w:val="00C257F5"/>
    <w:rsid w:val="00C25FBC"/>
    <w:rsid w:val="00C26A12"/>
    <w:rsid w:val="00C26C72"/>
    <w:rsid w:val="00C27CC0"/>
    <w:rsid w:val="00C30047"/>
    <w:rsid w:val="00C30561"/>
    <w:rsid w:val="00C31115"/>
    <w:rsid w:val="00C31AB1"/>
    <w:rsid w:val="00C31CC7"/>
    <w:rsid w:val="00C329A7"/>
    <w:rsid w:val="00C33BEF"/>
    <w:rsid w:val="00C36C20"/>
    <w:rsid w:val="00C4092B"/>
    <w:rsid w:val="00C449B8"/>
    <w:rsid w:val="00C46C70"/>
    <w:rsid w:val="00C477DA"/>
    <w:rsid w:val="00C50360"/>
    <w:rsid w:val="00C52D8B"/>
    <w:rsid w:val="00C61E1E"/>
    <w:rsid w:val="00C61F2E"/>
    <w:rsid w:val="00C62356"/>
    <w:rsid w:val="00C65D7F"/>
    <w:rsid w:val="00C67384"/>
    <w:rsid w:val="00C675AC"/>
    <w:rsid w:val="00C67F1E"/>
    <w:rsid w:val="00C72AEB"/>
    <w:rsid w:val="00C73497"/>
    <w:rsid w:val="00C82398"/>
    <w:rsid w:val="00C82609"/>
    <w:rsid w:val="00C83D42"/>
    <w:rsid w:val="00C90B9F"/>
    <w:rsid w:val="00C92591"/>
    <w:rsid w:val="00C93460"/>
    <w:rsid w:val="00C95825"/>
    <w:rsid w:val="00C97A92"/>
    <w:rsid w:val="00CA029E"/>
    <w:rsid w:val="00CA139C"/>
    <w:rsid w:val="00CA3CE9"/>
    <w:rsid w:val="00CA438D"/>
    <w:rsid w:val="00CB3467"/>
    <w:rsid w:val="00CB724F"/>
    <w:rsid w:val="00CB7976"/>
    <w:rsid w:val="00CC2163"/>
    <w:rsid w:val="00CC3DEB"/>
    <w:rsid w:val="00CC5A32"/>
    <w:rsid w:val="00CC71BC"/>
    <w:rsid w:val="00CD3273"/>
    <w:rsid w:val="00CD45FC"/>
    <w:rsid w:val="00CD66E6"/>
    <w:rsid w:val="00CE2532"/>
    <w:rsid w:val="00CE58AF"/>
    <w:rsid w:val="00CE5FB3"/>
    <w:rsid w:val="00CE67EA"/>
    <w:rsid w:val="00CF023D"/>
    <w:rsid w:val="00CF08CE"/>
    <w:rsid w:val="00CF0D14"/>
    <w:rsid w:val="00CF47D3"/>
    <w:rsid w:val="00CF64F8"/>
    <w:rsid w:val="00D003E0"/>
    <w:rsid w:val="00D01376"/>
    <w:rsid w:val="00D054C9"/>
    <w:rsid w:val="00D055C8"/>
    <w:rsid w:val="00D0570F"/>
    <w:rsid w:val="00D129B0"/>
    <w:rsid w:val="00D13E7C"/>
    <w:rsid w:val="00D15979"/>
    <w:rsid w:val="00D1613F"/>
    <w:rsid w:val="00D23903"/>
    <w:rsid w:val="00D24C3F"/>
    <w:rsid w:val="00D26E6A"/>
    <w:rsid w:val="00D27892"/>
    <w:rsid w:val="00D30A36"/>
    <w:rsid w:val="00D31AB5"/>
    <w:rsid w:val="00D42945"/>
    <w:rsid w:val="00D43801"/>
    <w:rsid w:val="00D45B4D"/>
    <w:rsid w:val="00D50E9A"/>
    <w:rsid w:val="00D573C1"/>
    <w:rsid w:val="00D62CBF"/>
    <w:rsid w:val="00D62F1B"/>
    <w:rsid w:val="00D63C8D"/>
    <w:rsid w:val="00D63F70"/>
    <w:rsid w:val="00D6467C"/>
    <w:rsid w:val="00D67989"/>
    <w:rsid w:val="00D67F44"/>
    <w:rsid w:val="00D74E4A"/>
    <w:rsid w:val="00D800AB"/>
    <w:rsid w:val="00D80519"/>
    <w:rsid w:val="00D8194F"/>
    <w:rsid w:val="00D83CF9"/>
    <w:rsid w:val="00D84264"/>
    <w:rsid w:val="00D84CCC"/>
    <w:rsid w:val="00D860F3"/>
    <w:rsid w:val="00D86BE3"/>
    <w:rsid w:val="00D87B4F"/>
    <w:rsid w:val="00D87FEF"/>
    <w:rsid w:val="00D90E13"/>
    <w:rsid w:val="00D91707"/>
    <w:rsid w:val="00D94794"/>
    <w:rsid w:val="00D95472"/>
    <w:rsid w:val="00DA3A3C"/>
    <w:rsid w:val="00DA3EDC"/>
    <w:rsid w:val="00DA4C02"/>
    <w:rsid w:val="00DA7DCB"/>
    <w:rsid w:val="00DB13FB"/>
    <w:rsid w:val="00DB3FD8"/>
    <w:rsid w:val="00DB5787"/>
    <w:rsid w:val="00DB6A07"/>
    <w:rsid w:val="00DC0001"/>
    <w:rsid w:val="00DC3AAD"/>
    <w:rsid w:val="00DC4267"/>
    <w:rsid w:val="00DC6176"/>
    <w:rsid w:val="00DC6DFC"/>
    <w:rsid w:val="00DC6EEF"/>
    <w:rsid w:val="00DD0584"/>
    <w:rsid w:val="00DD0D65"/>
    <w:rsid w:val="00DD228C"/>
    <w:rsid w:val="00DD2F33"/>
    <w:rsid w:val="00DD3416"/>
    <w:rsid w:val="00DD52DC"/>
    <w:rsid w:val="00DD54B9"/>
    <w:rsid w:val="00DD56E2"/>
    <w:rsid w:val="00DD6048"/>
    <w:rsid w:val="00DE0C3B"/>
    <w:rsid w:val="00DE20A3"/>
    <w:rsid w:val="00DE2482"/>
    <w:rsid w:val="00DE2C55"/>
    <w:rsid w:val="00DE3EDD"/>
    <w:rsid w:val="00DE526C"/>
    <w:rsid w:val="00DE5E5E"/>
    <w:rsid w:val="00DE6B26"/>
    <w:rsid w:val="00DF103E"/>
    <w:rsid w:val="00DF10CA"/>
    <w:rsid w:val="00DF2296"/>
    <w:rsid w:val="00DF2350"/>
    <w:rsid w:val="00DF272A"/>
    <w:rsid w:val="00DF3E8D"/>
    <w:rsid w:val="00DF44FE"/>
    <w:rsid w:val="00DF585C"/>
    <w:rsid w:val="00DF6E86"/>
    <w:rsid w:val="00E05844"/>
    <w:rsid w:val="00E05F4B"/>
    <w:rsid w:val="00E06402"/>
    <w:rsid w:val="00E06788"/>
    <w:rsid w:val="00E11993"/>
    <w:rsid w:val="00E13F33"/>
    <w:rsid w:val="00E14BA9"/>
    <w:rsid w:val="00E14D78"/>
    <w:rsid w:val="00E150CE"/>
    <w:rsid w:val="00E20974"/>
    <w:rsid w:val="00E25949"/>
    <w:rsid w:val="00E31369"/>
    <w:rsid w:val="00E315D9"/>
    <w:rsid w:val="00E36030"/>
    <w:rsid w:val="00E360A5"/>
    <w:rsid w:val="00E40AF9"/>
    <w:rsid w:val="00E46FAD"/>
    <w:rsid w:val="00E529DF"/>
    <w:rsid w:val="00E56954"/>
    <w:rsid w:val="00E5771E"/>
    <w:rsid w:val="00E61739"/>
    <w:rsid w:val="00E6178E"/>
    <w:rsid w:val="00E62057"/>
    <w:rsid w:val="00E633FF"/>
    <w:rsid w:val="00E63947"/>
    <w:rsid w:val="00E6520E"/>
    <w:rsid w:val="00E660FB"/>
    <w:rsid w:val="00E66761"/>
    <w:rsid w:val="00E71571"/>
    <w:rsid w:val="00E852D5"/>
    <w:rsid w:val="00E87ACE"/>
    <w:rsid w:val="00E903ED"/>
    <w:rsid w:val="00E92C86"/>
    <w:rsid w:val="00E92FD8"/>
    <w:rsid w:val="00E95D33"/>
    <w:rsid w:val="00EA0309"/>
    <w:rsid w:val="00EA0338"/>
    <w:rsid w:val="00EA0470"/>
    <w:rsid w:val="00EA0B60"/>
    <w:rsid w:val="00EA4D99"/>
    <w:rsid w:val="00EA5693"/>
    <w:rsid w:val="00EA6475"/>
    <w:rsid w:val="00EA6CF5"/>
    <w:rsid w:val="00EB49EF"/>
    <w:rsid w:val="00EB50C3"/>
    <w:rsid w:val="00EB6837"/>
    <w:rsid w:val="00EB7499"/>
    <w:rsid w:val="00EC0526"/>
    <w:rsid w:val="00EC1B2F"/>
    <w:rsid w:val="00EC2E20"/>
    <w:rsid w:val="00EC4CF4"/>
    <w:rsid w:val="00EC523E"/>
    <w:rsid w:val="00EC6C4E"/>
    <w:rsid w:val="00ED229D"/>
    <w:rsid w:val="00ED315E"/>
    <w:rsid w:val="00ED5790"/>
    <w:rsid w:val="00ED5FA4"/>
    <w:rsid w:val="00EE1CAB"/>
    <w:rsid w:val="00EE2498"/>
    <w:rsid w:val="00EE2B57"/>
    <w:rsid w:val="00EE3FD5"/>
    <w:rsid w:val="00EE4535"/>
    <w:rsid w:val="00EE7F8A"/>
    <w:rsid w:val="00EF105D"/>
    <w:rsid w:val="00EF2A01"/>
    <w:rsid w:val="00EF449E"/>
    <w:rsid w:val="00EF5A04"/>
    <w:rsid w:val="00F0125D"/>
    <w:rsid w:val="00F035A6"/>
    <w:rsid w:val="00F0453A"/>
    <w:rsid w:val="00F0716A"/>
    <w:rsid w:val="00F13F54"/>
    <w:rsid w:val="00F25252"/>
    <w:rsid w:val="00F257F3"/>
    <w:rsid w:val="00F26B59"/>
    <w:rsid w:val="00F27395"/>
    <w:rsid w:val="00F27694"/>
    <w:rsid w:val="00F277F8"/>
    <w:rsid w:val="00F3066A"/>
    <w:rsid w:val="00F329DE"/>
    <w:rsid w:val="00F35C70"/>
    <w:rsid w:val="00F35F5D"/>
    <w:rsid w:val="00F36D53"/>
    <w:rsid w:val="00F37DD4"/>
    <w:rsid w:val="00F413DF"/>
    <w:rsid w:val="00F45DA9"/>
    <w:rsid w:val="00F5410E"/>
    <w:rsid w:val="00F56243"/>
    <w:rsid w:val="00F57FF1"/>
    <w:rsid w:val="00F60AF3"/>
    <w:rsid w:val="00F62FED"/>
    <w:rsid w:val="00F65E78"/>
    <w:rsid w:val="00F67B29"/>
    <w:rsid w:val="00F71A6D"/>
    <w:rsid w:val="00F72C9B"/>
    <w:rsid w:val="00F739DF"/>
    <w:rsid w:val="00F73DE6"/>
    <w:rsid w:val="00F757E6"/>
    <w:rsid w:val="00F80E7D"/>
    <w:rsid w:val="00F81FD1"/>
    <w:rsid w:val="00F87C58"/>
    <w:rsid w:val="00F9340F"/>
    <w:rsid w:val="00F93D8C"/>
    <w:rsid w:val="00F940FE"/>
    <w:rsid w:val="00F94604"/>
    <w:rsid w:val="00F96364"/>
    <w:rsid w:val="00FA142B"/>
    <w:rsid w:val="00FA17CE"/>
    <w:rsid w:val="00FA3E10"/>
    <w:rsid w:val="00FA4987"/>
    <w:rsid w:val="00FA77B1"/>
    <w:rsid w:val="00FA7962"/>
    <w:rsid w:val="00FA7F11"/>
    <w:rsid w:val="00FB197A"/>
    <w:rsid w:val="00FB482E"/>
    <w:rsid w:val="00FB584C"/>
    <w:rsid w:val="00FB64F3"/>
    <w:rsid w:val="00FC0704"/>
    <w:rsid w:val="00FC0F01"/>
    <w:rsid w:val="00FC1A0B"/>
    <w:rsid w:val="00FC3B2D"/>
    <w:rsid w:val="00FC4858"/>
    <w:rsid w:val="00FD0197"/>
    <w:rsid w:val="00FD1435"/>
    <w:rsid w:val="00FD1A0E"/>
    <w:rsid w:val="00FD2E55"/>
    <w:rsid w:val="00FD44B2"/>
    <w:rsid w:val="00FE3277"/>
    <w:rsid w:val="00FE72E5"/>
    <w:rsid w:val="00FF2936"/>
    <w:rsid w:val="00FF4CFF"/>
    <w:rsid w:val="00FF4EE7"/>
    <w:rsid w:val="00FF5142"/>
    <w:rsid w:val="00FF675F"/>
    <w:rsid w:val="010121B4"/>
    <w:rsid w:val="010C0545"/>
    <w:rsid w:val="016E2B68"/>
    <w:rsid w:val="01846F0A"/>
    <w:rsid w:val="01DA7C98"/>
    <w:rsid w:val="01E951BF"/>
    <w:rsid w:val="02651292"/>
    <w:rsid w:val="026929FF"/>
    <w:rsid w:val="029E5458"/>
    <w:rsid w:val="02BE378E"/>
    <w:rsid w:val="02D11F3C"/>
    <w:rsid w:val="02FF7A7B"/>
    <w:rsid w:val="032121AE"/>
    <w:rsid w:val="033A79E0"/>
    <w:rsid w:val="033B374A"/>
    <w:rsid w:val="038C299E"/>
    <w:rsid w:val="038D2B62"/>
    <w:rsid w:val="03970EF3"/>
    <w:rsid w:val="04253FDA"/>
    <w:rsid w:val="045A6A33"/>
    <w:rsid w:val="045C66B2"/>
    <w:rsid w:val="04716658"/>
    <w:rsid w:val="04A46979"/>
    <w:rsid w:val="04AC3970"/>
    <w:rsid w:val="04BD5452"/>
    <w:rsid w:val="04D9301D"/>
    <w:rsid w:val="04E81A9D"/>
    <w:rsid w:val="05064AB7"/>
    <w:rsid w:val="051E41F2"/>
    <w:rsid w:val="0522546F"/>
    <w:rsid w:val="055E085F"/>
    <w:rsid w:val="05972BB7"/>
    <w:rsid w:val="05D52607"/>
    <w:rsid w:val="05F81957"/>
    <w:rsid w:val="06434355"/>
    <w:rsid w:val="064552D9"/>
    <w:rsid w:val="065906F6"/>
    <w:rsid w:val="0664230B"/>
    <w:rsid w:val="06BB7496"/>
    <w:rsid w:val="06EB3513"/>
    <w:rsid w:val="070B2820"/>
    <w:rsid w:val="070D0718"/>
    <w:rsid w:val="070E58EA"/>
    <w:rsid w:val="078F65BE"/>
    <w:rsid w:val="07A04291"/>
    <w:rsid w:val="07BF12C2"/>
    <w:rsid w:val="07C22D9B"/>
    <w:rsid w:val="07DF75F9"/>
    <w:rsid w:val="07E07279"/>
    <w:rsid w:val="07EB560A"/>
    <w:rsid w:val="07F6721E"/>
    <w:rsid w:val="080E48C5"/>
    <w:rsid w:val="080F2E04"/>
    <w:rsid w:val="084D7C2D"/>
    <w:rsid w:val="08EF7436"/>
    <w:rsid w:val="09434F67"/>
    <w:rsid w:val="095161D6"/>
    <w:rsid w:val="096D4254"/>
    <w:rsid w:val="0972418C"/>
    <w:rsid w:val="098708AE"/>
    <w:rsid w:val="09901ED2"/>
    <w:rsid w:val="09A36241"/>
    <w:rsid w:val="09D32F2C"/>
    <w:rsid w:val="09E9764E"/>
    <w:rsid w:val="0A1E592A"/>
    <w:rsid w:val="0A2C1E92"/>
    <w:rsid w:val="0A3352C7"/>
    <w:rsid w:val="0AED147A"/>
    <w:rsid w:val="0B0D77B0"/>
    <w:rsid w:val="0B243B52"/>
    <w:rsid w:val="0B591E2E"/>
    <w:rsid w:val="0B856175"/>
    <w:rsid w:val="0B8C50B7"/>
    <w:rsid w:val="0B904506"/>
    <w:rsid w:val="0BC96DCD"/>
    <w:rsid w:val="0BDC3301"/>
    <w:rsid w:val="0C13125D"/>
    <w:rsid w:val="0C2C3EB0"/>
    <w:rsid w:val="0C323D10"/>
    <w:rsid w:val="0C3D5924"/>
    <w:rsid w:val="0C3D6A2A"/>
    <w:rsid w:val="0C946333"/>
    <w:rsid w:val="0CCB0A0B"/>
    <w:rsid w:val="0D177805"/>
    <w:rsid w:val="0D257E20"/>
    <w:rsid w:val="0D631E83"/>
    <w:rsid w:val="0DE53A59"/>
    <w:rsid w:val="0E064F10"/>
    <w:rsid w:val="0E263246"/>
    <w:rsid w:val="0E3E08ED"/>
    <w:rsid w:val="0E4911D7"/>
    <w:rsid w:val="0E6F0C64"/>
    <w:rsid w:val="0EC230C4"/>
    <w:rsid w:val="0EDA2E2B"/>
    <w:rsid w:val="0EE62DCD"/>
    <w:rsid w:val="0F255E60"/>
    <w:rsid w:val="0F642A1A"/>
    <w:rsid w:val="0F6A1D66"/>
    <w:rsid w:val="0F816C73"/>
    <w:rsid w:val="0F993EBC"/>
    <w:rsid w:val="0FAD0D71"/>
    <w:rsid w:val="0FE30C1D"/>
    <w:rsid w:val="10036F54"/>
    <w:rsid w:val="10085D7D"/>
    <w:rsid w:val="100E52E5"/>
    <w:rsid w:val="1024716F"/>
    <w:rsid w:val="105015D1"/>
    <w:rsid w:val="105F658D"/>
    <w:rsid w:val="107A5C99"/>
    <w:rsid w:val="10A65224"/>
    <w:rsid w:val="10AD2EB8"/>
    <w:rsid w:val="10BB6702"/>
    <w:rsid w:val="110C09D7"/>
    <w:rsid w:val="111F6F68"/>
    <w:rsid w:val="11296D36"/>
    <w:rsid w:val="114305DF"/>
    <w:rsid w:val="114E2E19"/>
    <w:rsid w:val="116B6535"/>
    <w:rsid w:val="116B779F"/>
    <w:rsid w:val="116F0410"/>
    <w:rsid w:val="11755B31"/>
    <w:rsid w:val="11803EC2"/>
    <w:rsid w:val="118A2253"/>
    <w:rsid w:val="118B5AD6"/>
    <w:rsid w:val="11A264BB"/>
    <w:rsid w:val="11B5219D"/>
    <w:rsid w:val="11E12C61"/>
    <w:rsid w:val="11EC4876"/>
    <w:rsid w:val="11F62C07"/>
    <w:rsid w:val="120A49E4"/>
    <w:rsid w:val="124D3615"/>
    <w:rsid w:val="12722550"/>
    <w:rsid w:val="12D0036B"/>
    <w:rsid w:val="12DB66FD"/>
    <w:rsid w:val="12FC46B3"/>
    <w:rsid w:val="12FF21A3"/>
    <w:rsid w:val="13360702"/>
    <w:rsid w:val="135350C1"/>
    <w:rsid w:val="13737B75"/>
    <w:rsid w:val="141A649D"/>
    <w:rsid w:val="142B2BA6"/>
    <w:rsid w:val="142B450A"/>
    <w:rsid w:val="145B25F6"/>
    <w:rsid w:val="14AE78FC"/>
    <w:rsid w:val="14B8240A"/>
    <w:rsid w:val="14D66C4E"/>
    <w:rsid w:val="14E32355"/>
    <w:rsid w:val="150F669C"/>
    <w:rsid w:val="151A4A2D"/>
    <w:rsid w:val="15242DBE"/>
    <w:rsid w:val="15286933"/>
    <w:rsid w:val="15496483"/>
    <w:rsid w:val="15517106"/>
    <w:rsid w:val="155B5497"/>
    <w:rsid w:val="157B37CD"/>
    <w:rsid w:val="158717DE"/>
    <w:rsid w:val="15C46712"/>
    <w:rsid w:val="15D43E5C"/>
    <w:rsid w:val="15F63117"/>
    <w:rsid w:val="16294BEB"/>
    <w:rsid w:val="1629558C"/>
    <w:rsid w:val="167F55F9"/>
    <w:rsid w:val="16963CDE"/>
    <w:rsid w:val="16A135AF"/>
    <w:rsid w:val="16D34E51"/>
    <w:rsid w:val="16D85C88"/>
    <w:rsid w:val="16E51F53"/>
    <w:rsid w:val="16ED23AA"/>
    <w:rsid w:val="17176A71"/>
    <w:rsid w:val="174F49CD"/>
    <w:rsid w:val="178570A5"/>
    <w:rsid w:val="17A51B58"/>
    <w:rsid w:val="17B0376D"/>
    <w:rsid w:val="17DE54CF"/>
    <w:rsid w:val="17DF51B5"/>
    <w:rsid w:val="17E625C2"/>
    <w:rsid w:val="17FC2567"/>
    <w:rsid w:val="18324C3F"/>
    <w:rsid w:val="184F3799"/>
    <w:rsid w:val="18522F76"/>
    <w:rsid w:val="187543CC"/>
    <w:rsid w:val="18947263"/>
    <w:rsid w:val="18BE40D7"/>
    <w:rsid w:val="18C32474"/>
    <w:rsid w:val="18E0605D"/>
    <w:rsid w:val="190C23A4"/>
    <w:rsid w:val="19170735"/>
    <w:rsid w:val="19AD57B1"/>
    <w:rsid w:val="19BF7136"/>
    <w:rsid w:val="19C154C9"/>
    <w:rsid w:val="19F95685"/>
    <w:rsid w:val="1A1041D0"/>
    <w:rsid w:val="1A1B2562"/>
    <w:rsid w:val="1A3B0898"/>
    <w:rsid w:val="1A551343"/>
    <w:rsid w:val="1A722F70"/>
    <w:rsid w:val="1AF57CC6"/>
    <w:rsid w:val="1B0A7C6C"/>
    <w:rsid w:val="1B566A66"/>
    <w:rsid w:val="1B727F69"/>
    <w:rsid w:val="1BDB1349"/>
    <w:rsid w:val="1C197E29"/>
    <w:rsid w:val="1C1C0DAE"/>
    <w:rsid w:val="1C3154D0"/>
    <w:rsid w:val="1C687BA8"/>
    <w:rsid w:val="1C700838"/>
    <w:rsid w:val="1C78037C"/>
    <w:rsid w:val="1C893960"/>
    <w:rsid w:val="1C912F6B"/>
    <w:rsid w:val="1CAE420E"/>
    <w:rsid w:val="1CFD009B"/>
    <w:rsid w:val="1D690A4F"/>
    <w:rsid w:val="1D746DE1"/>
    <w:rsid w:val="1DA03128"/>
    <w:rsid w:val="1DBC2527"/>
    <w:rsid w:val="1DD001ED"/>
    <w:rsid w:val="1DE17414"/>
    <w:rsid w:val="1E6D287C"/>
    <w:rsid w:val="1E780C0D"/>
    <w:rsid w:val="1E993340"/>
    <w:rsid w:val="1EE61241"/>
    <w:rsid w:val="1EF5257F"/>
    <w:rsid w:val="1F143AF3"/>
    <w:rsid w:val="1F1F489E"/>
    <w:rsid w:val="1F271CAA"/>
    <w:rsid w:val="1F31003B"/>
    <w:rsid w:val="1F477FE0"/>
    <w:rsid w:val="1F516372"/>
    <w:rsid w:val="1F5F5687"/>
    <w:rsid w:val="1F85651E"/>
    <w:rsid w:val="1FB35111"/>
    <w:rsid w:val="1FEA77EA"/>
    <w:rsid w:val="1FF270ED"/>
    <w:rsid w:val="1FF45B7B"/>
    <w:rsid w:val="1FF8397B"/>
    <w:rsid w:val="204C6209"/>
    <w:rsid w:val="20AE796C"/>
    <w:rsid w:val="20CE32DF"/>
    <w:rsid w:val="20E33285"/>
    <w:rsid w:val="20FB206D"/>
    <w:rsid w:val="210A325E"/>
    <w:rsid w:val="21215B8F"/>
    <w:rsid w:val="2149312A"/>
    <w:rsid w:val="215B63C6"/>
    <w:rsid w:val="2171636C"/>
    <w:rsid w:val="21C0196E"/>
    <w:rsid w:val="21E914AE"/>
    <w:rsid w:val="222362F9"/>
    <w:rsid w:val="224A024D"/>
    <w:rsid w:val="225D710C"/>
    <w:rsid w:val="225F01F3"/>
    <w:rsid w:val="226A6584"/>
    <w:rsid w:val="226D3B15"/>
    <w:rsid w:val="22754915"/>
    <w:rsid w:val="227F6529"/>
    <w:rsid w:val="228D583F"/>
    <w:rsid w:val="228F181F"/>
    <w:rsid w:val="231879A1"/>
    <w:rsid w:val="23395957"/>
    <w:rsid w:val="2359040B"/>
    <w:rsid w:val="23796741"/>
    <w:rsid w:val="237A1150"/>
    <w:rsid w:val="237A63C1"/>
    <w:rsid w:val="23985C6C"/>
    <w:rsid w:val="23B0469D"/>
    <w:rsid w:val="23C50DBF"/>
    <w:rsid w:val="23F15106"/>
    <w:rsid w:val="242877DE"/>
    <w:rsid w:val="24335B6F"/>
    <w:rsid w:val="24683E4B"/>
    <w:rsid w:val="249B0B84"/>
    <w:rsid w:val="24AA23A3"/>
    <w:rsid w:val="250052C3"/>
    <w:rsid w:val="250B3654"/>
    <w:rsid w:val="250C32D4"/>
    <w:rsid w:val="252C160A"/>
    <w:rsid w:val="25780405"/>
    <w:rsid w:val="25AC4B85"/>
    <w:rsid w:val="25B35312"/>
    <w:rsid w:val="25E956F0"/>
    <w:rsid w:val="260B5B8A"/>
    <w:rsid w:val="261412DC"/>
    <w:rsid w:val="262E5ED9"/>
    <w:rsid w:val="263B17C8"/>
    <w:rsid w:val="26665E8F"/>
    <w:rsid w:val="269A3768"/>
    <w:rsid w:val="269C0568"/>
    <w:rsid w:val="26A768F9"/>
    <w:rsid w:val="26DE602F"/>
    <w:rsid w:val="272A364F"/>
    <w:rsid w:val="278B23EE"/>
    <w:rsid w:val="27B4482F"/>
    <w:rsid w:val="27C2034A"/>
    <w:rsid w:val="27CD66DB"/>
    <w:rsid w:val="27CF3DDC"/>
    <w:rsid w:val="27DC13F0"/>
    <w:rsid w:val="27E32A7D"/>
    <w:rsid w:val="27EF5446"/>
    <w:rsid w:val="2839380C"/>
    <w:rsid w:val="2845181D"/>
    <w:rsid w:val="288F421B"/>
    <w:rsid w:val="28E64C29"/>
    <w:rsid w:val="28E848A9"/>
    <w:rsid w:val="28F4783E"/>
    <w:rsid w:val="28FD5C97"/>
    <w:rsid w:val="29120F71"/>
    <w:rsid w:val="293D5638"/>
    <w:rsid w:val="293E52B8"/>
    <w:rsid w:val="29493649"/>
    <w:rsid w:val="295E35EE"/>
    <w:rsid w:val="296D0649"/>
    <w:rsid w:val="298E0E4D"/>
    <w:rsid w:val="29930112"/>
    <w:rsid w:val="29B816FE"/>
    <w:rsid w:val="29E14AC1"/>
    <w:rsid w:val="29EC66D5"/>
    <w:rsid w:val="29ED4157"/>
    <w:rsid w:val="2A261D32"/>
    <w:rsid w:val="2A4370E4"/>
    <w:rsid w:val="2ABC352B"/>
    <w:rsid w:val="2AF03B34"/>
    <w:rsid w:val="2B02036C"/>
    <w:rsid w:val="2B054C24"/>
    <w:rsid w:val="2B3C72FC"/>
    <w:rsid w:val="2B4A1E95"/>
    <w:rsid w:val="2B5272A1"/>
    <w:rsid w:val="2B5C5632"/>
    <w:rsid w:val="2B617B2A"/>
    <w:rsid w:val="2B6739C3"/>
    <w:rsid w:val="2B683643"/>
    <w:rsid w:val="2B7319D4"/>
    <w:rsid w:val="2B88197A"/>
    <w:rsid w:val="2B94641F"/>
    <w:rsid w:val="2B9E191F"/>
    <w:rsid w:val="2BC93C4D"/>
    <w:rsid w:val="2BDF6B05"/>
    <w:rsid w:val="2BF46AAA"/>
    <w:rsid w:val="2C0A6A50"/>
    <w:rsid w:val="2C8D37A6"/>
    <w:rsid w:val="2C971B37"/>
    <w:rsid w:val="2CA27EC8"/>
    <w:rsid w:val="2CC35E7E"/>
    <w:rsid w:val="2D0F4C79"/>
    <w:rsid w:val="2D13618F"/>
    <w:rsid w:val="2D1E7707"/>
    <w:rsid w:val="2D3A4BC3"/>
    <w:rsid w:val="2D541EEA"/>
    <w:rsid w:val="2D5B72F6"/>
    <w:rsid w:val="2DA82F83"/>
    <w:rsid w:val="2DBD6096"/>
    <w:rsid w:val="2E18005E"/>
    <w:rsid w:val="2E402DEC"/>
    <w:rsid w:val="2E817FF4"/>
    <w:rsid w:val="2E9637FB"/>
    <w:rsid w:val="2EA043F5"/>
    <w:rsid w:val="2EC17EC2"/>
    <w:rsid w:val="2EE06FFB"/>
    <w:rsid w:val="2F1B4306"/>
    <w:rsid w:val="2F226C62"/>
    <w:rsid w:val="2F5C5B42"/>
    <w:rsid w:val="2F6E12E0"/>
    <w:rsid w:val="2F8A54A7"/>
    <w:rsid w:val="2F9959A7"/>
    <w:rsid w:val="2F9B5627"/>
    <w:rsid w:val="305D3167"/>
    <w:rsid w:val="30684D7B"/>
    <w:rsid w:val="308856E9"/>
    <w:rsid w:val="3088782E"/>
    <w:rsid w:val="3094583F"/>
    <w:rsid w:val="30A91F61"/>
    <w:rsid w:val="30D82AB0"/>
    <w:rsid w:val="30F545DF"/>
    <w:rsid w:val="31002970"/>
    <w:rsid w:val="31350CAA"/>
    <w:rsid w:val="314C0871"/>
    <w:rsid w:val="316E2FA4"/>
    <w:rsid w:val="31A3127F"/>
    <w:rsid w:val="31FA1C8E"/>
    <w:rsid w:val="32011525"/>
    <w:rsid w:val="320740F7"/>
    <w:rsid w:val="320F63B0"/>
    <w:rsid w:val="32194741"/>
    <w:rsid w:val="32262752"/>
    <w:rsid w:val="322665C0"/>
    <w:rsid w:val="32586CCA"/>
    <w:rsid w:val="325E19B3"/>
    <w:rsid w:val="32724DD0"/>
    <w:rsid w:val="32E93B15"/>
    <w:rsid w:val="32EB4A9A"/>
    <w:rsid w:val="330111BC"/>
    <w:rsid w:val="331559CA"/>
    <w:rsid w:val="331F61ED"/>
    <w:rsid w:val="33357ABD"/>
    <w:rsid w:val="33373894"/>
    <w:rsid w:val="33766BFC"/>
    <w:rsid w:val="338E7B26"/>
    <w:rsid w:val="339E33AB"/>
    <w:rsid w:val="33A913B5"/>
    <w:rsid w:val="33AB1655"/>
    <w:rsid w:val="33C259F7"/>
    <w:rsid w:val="33D72119"/>
    <w:rsid w:val="33ED2723"/>
    <w:rsid w:val="3407171A"/>
    <w:rsid w:val="34630E03"/>
    <w:rsid w:val="34856DB9"/>
    <w:rsid w:val="34A614EC"/>
    <w:rsid w:val="34DD36E9"/>
    <w:rsid w:val="34DD53B4"/>
    <w:rsid w:val="35121EA0"/>
    <w:rsid w:val="354748F9"/>
    <w:rsid w:val="356D25DA"/>
    <w:rsid w:val="35787FD9"/>
    <w:rsid w:val="35850423"/>
    <w:rsid w:val="35936759"/>
    <w:rsid w:val="35946F77"/>
    <w:rsid w:val="35A04F88"/>
    <w:rsid w:val="35B516AA"/>
    <w:rsid w:val="35C032BE"/>
    <w:rsid w:val="35D579E0"/>
    <w:rsid w:val="35EB0C79"/>
    <w:rsid w:val="35F55D16"/>
    <w:rsid w:val="35F75996"/>
    <w:rsid w:val="362F1373"/>
    <w:rsid w:val="366D0E58"/>
    <w:rsid w:val="36A46DB4"/>
    <w:rsid w:val="36AF5145"/>
    <w:rsid w:val="36B1392B"/>
    <w:rsid w:val="36FB77C2"/>
    <w:rsid w:val="36FE0747"/>
    <w:rsid w:val="370C4E33"/>
    <w:rsid w:val="372D4BB5"/>
    <w:rsid w:val="375201D1"/>
    <w:rsid w:val="37A246BB"/>
    <w:rsid w:val="37A80BE0"/>
    <w:rsid w:val="37B36F71"/>
    <w:rsid w:val="37D416A4"/>
    <w:rsid w:val="381F40A2"/>
    <w:rsid w:val="386535E9"/>
    <w:rsid w:val="386E76A4"/>
    <w:rsid w:val="388C0E52"/>
    <w:rsid w:val="38CC54BF"/>
    <w:rsid w:val="38E31861"/>
    <w:rsid w:val="396A240F"/>
    <w:rsid w:val="397D6694"/>
    <w:rsid w:val="39E7368D"/>
    <w:rsid w:val="3A29797A"/>
    <w:rsid w:val="3A690764"/>
    <w:rsid w:val="3A6A03E3"/>
    <w:rsid w:val="3A723C1E"/>
    <w:rsid w:val="3A756774"/>
    <w:rsid w:val="3A954AAB"/>
    <w:rsid w:val="3ACB7183"/>
    <w:rsid w:val="3AE138A5"/>
    <w:rsid w:val="3AF834CA"/>
    <w:rsid w:val="3B181801"/>
    <w:rsid w:val="3B1B693B"/>
    <w:rsid w:val="3B5F25B8"/>
    <w:rsid w:val="3B6E698C"/>
    <w:rsid w:val="3B7E6501"/>
    <w:rsid w:val="3BD33FB3"/>
    <w:rsid w:val="3BDA7340"/>
    <w:rsid w:val="3BF072E6"/>
    <w:rsid w:val="3C095003"/>
    <w:rsid w:val="3C14299D"/>
    <w:rsid w:val="3C1C362D"/>
    <w:rsid w:val="3C3C60E0"/>
    <w:rsid w:val="3C7D23CD"/>
    <w:rsid w:val="3C88075E"/>
    <w:rsid w:val="3CB44AA5"/>
    <w:rsid w:val="3CD42DDC"/>
    <w:rsid w:val="3CDF116D"/>
    <w:rsid w:val="3CEB717E"/>
    <w:rsid w:val="3D205459"/>
    <w:rsid w:val="3D382B00"/>
    <w:rsid w:val="3D577B32"/>
    <w:rsid w:val="3D7725E5"/>
    <w:rsid w:val="3DB8304E"/>
    <w:rsid w:val="3E2C40FA"/>
    <w:rsid w:val="3E8C358E"/>
    <w:rsid w:val="3E9F7AC9"/>
    <w:rsid w:val="3EA70758"/>
    <w:rsid w:val="3F0874F8"/>
    <w:rsid w:val="3F0D20B8"/>
    <w:rsid w:val="3F28582E"/>
    <w:rsid w:val="3F424A38"/>
    <w:rsid w:val="3F5F7F07"/>
    <w:rsid w:val="3F6B5F18"/>
    <w:rsid w:val="3F752D90"/>
    <w:rsid w:val="3F7E3B0F"/>
    <w:rsid w:val="3FBA151A"/>
    <w:rsid w:val="3FC14F33"/>
    <w:rsid w:val="4054398B"/>
    <w:rsid w:val="40621EEF"/>
    <w:rsid w:val="40952AB4"/>
    <w:rsid w:val="409A440B"/>
    <w:rsid w:val="40C60753"/>
    <w:rsid w:val="40FA1B92"/>
    <w:rsid w:val="413D3C14"/>
    <w:rsid w:val="4140041C"/>
    <w:rsid w:val="4154383A"/>
    <w:rsid w:val="41852183"/>
    <w:rsid w:val="41891B15"/>
    <w:rsid w:val="41923C29"/>
    <w:rsid w:val="41934623"/>
    <w:rsid w:val="41CA257F"/>
    <w:rsid w:val="41CA6CFC"/>
    <w:rsid w:val="41E06CA1"/>
    <w:rsid w:val="41F56C46"/>
    <w:rsid w:val="420B31A8"/>
    <w:rsid w:val="420F08E9"/>
    <w:rsid w:val="423D4BDB"/>
    <w:rsid w:val="42877A91"/>
    <w:rsid w:val="429960CF"/>
    <w:rsid w:val="42FB4E6F"/>
    <w:rsid w:val="43056A83"/>
    <w:rsid w:val="435F0417"/>
    <w:rsid w:val="43661FA0"/>
    <w:rsid w:val="43713BB4"/>
    <w:rsid w:val="437B7166"/>
    <w:rsid w:val="43F4090A"/>
    <w:rsid w:val="440A08B0"/>
    <w:rsid w:val="446E19C7"/>
    <w:rsid w:val="44970113"/>
    <w:rsid w:val="450E6E58"/>
    <w:rsid w:val="45A040DC"/>
    <w:rsid w:val="45C66607"/>
    <w:rsid w:val="45FC428F"/>
    <w:rsid w:val="463333B8"/>
    <w:rsid w:val="468A3DC6"/>
    <w:rsid w:val="469559DB"/>
    <w:rsid w:val="469F3D6C"/>
    <w:rsid w:val="46E147D5"/>
    <w:rsid w:val="47033E0F"/>
    <w:rsid w:val="471D4CB9"/>
    <w:rsid w:val="47272EC0"/>
    <w:rsid w:val="473C746D"/>
    <w:rsid w:val="477914D1"/>
    <w:rsid w:val="479512C3"/>
    <w:rsid w:val="47993F84"/>
    <w:rsid w:val="47997807"/>
    <w:rsid w:val="47A45B98"/>
    <w:rsid w:val="47CC2590"/>
    <w:rsid w:val="47E51E85"/>
    <w:rsid w:val="48054938"/>
    <w:rsid w:val="48062FE8"/>
    <w:rsid w:val="480745B8"/>
    <w:rsid w:val="481F54E2"/>
    <w:rsid w:val="48220A60"/>
    <w:rsid w:val="483B3270"/>
    <w:rsid w:val="484618EB"/>
    <w:rsid w:val="48683357"/>
    <w:rsid w:val="48714140"/>
    <w:rsid w:val="487D32FD"/>
    <w:rsid w:val="489D5DB0"/>
    <w:rsid w:val="48C9414A"/>
    <w:rsid w:val="490B63E4"/>
    <w:rsid w:val="492E569F"/>
    <w:rsid w:val="4961356F"/>
    <w:rsid w:val="497F2775"/>
    <w:rsid w:val="4A47036A"/>
    <w:rsid w:val="4A706FB0"/>
    <w:rsid w:val="4A913C38"/>
    <w:rsid w:val="4AB27A19"/>
    <w:rsid w:val="4ABD162D"/>
    <w:rsid w:val="4ADE75A4"/>
    <w:rsid w:val="4AFE2097"/>
    <w:rsid w:val="4B1E03CD"/>
    <w:rsid w:val="4B5F0E37"/>
    <w:rsid w:val="4B745559"/>
    <w:rsid w:val="4B80772A"/>
    <w:rsid w:val="4B835B73"/>
    <w:rsid w:val="4B8B517E"/>
    <w:rsid w:val="4B995B21"/>
    <w:rsid w:val="4BA41CD0"/>
    <w:rsid w:val="4BF722AF"/>
    <w:rsid w:val="4C39659B"/>
    <w:rsid w:val="4C526A42"/>
    <w:rsid w:val="4C5B5EC9"/>
    <w:rsid w:val="4C632C63"/>
    <w:rsid w:val="4C787385"/>
    <w:rsid w:val="4C813B96"/>
    <w:rsid w:val="4C9A533B"/>
    <w:rsid w:val="4CA07818"/>
    <w:rsid w:val="4CF15D4A"/>
    <w:rsid w:val="4D0B58FC"/>
    <w:rsid w:val="4D0D616A"/>
    <w:rsid w:val="4D48512C"/>
    <w:rsid w:val="4D5D2E7B"/>
    <w:rsid w:val="4DB4532B"/>
    <w:rsid w:val="4DB8448E"/>
    <w:rsid w:val="4DBE0C3A"/>
    <w:rsid w:val="4DEA5F62"/>
    <w:rsid w:val="4DEB17E5"/>
    <w:rsid w:val="4DF57B76"/>
    <w:rsid w:val="4E14479F"/>
    <w:rsid w:val="4E1622A9"/>
    <w:rsid w:val="4E781049"/>
    <w:rsid w:val="4E8D0FEE"/>
    <w:rsid w:val="4E9040B9"/>
    <w:rsid w:val="4EB95335"/>
    <w:rsid w:val="4ECE1A58"/>
    <w:rsid w:val="4F105D44"/>
    <w:rsid w:val="4F190F29"/>
    <w:rsid w:val="4F3D6464"/>
    <w:rsid w:val="4F5C4B3F"/>
    <w:rsid w:val="4F714AE4"/>
    <w:rsid w:val="4FA7753C"/>
    <w:rsid w:val="4FA871BC"/>
    <w:rsid w:val="4FBD38DE"/>
    <w:rsid w:val="4FD33884"/>
    <w:rsid w:val="4FE77137"/>
    <w:rsid w:val="50160F2A"/>
    <w:rsid w:val="501F267E"/>
    <w:rsid w:val="504A1201"/>
    <w:rsid w:val="50815050"/>
    <w:rsid w:val="50835C26"/>
    <w:rsid w:val="510319F7"/>
    <w:rsid w:val="51640797"/>
    <w:rsid w:val="51B43D99"/>
    <w:rsid w:val="51BB11A6"/>
    <w:rsid w:val="51E754ED"/>
    <w:rsid w:val="51E967F2"/>
    <w:rsid w:val="51EE4F92"/>
    <w:rsid w:val="52073823"/>
    <w:rsid w:val="52402DA2"/>
    <w:rsid w:val="5253261E"/>
    <w:rsid w:val="52B54C41"/>
    <w:rsid w:val="52BF2FD2"/>
    <w:rsid w:val="52D902F9"/>
    <w:rsid w:val="53013A3B"/>
    <w:rsid w:val="534D60B9"/>
    <w:rsid w:val="53772781"/>
    <w:rsid w:val="538D69A8"/>
    <w:rsid w:val="53B42E58"/>
    <w:rsid w:val="53F01145"/>
    <w:rsid w:val="541C1C0A"/>
    <w:rsid w:val="54311BAF"/>
    <w:rsid w:val="54540E6A"/>
    <w:rsid w:val="54B26C85"/>
    <w:rsid w:val="54FE5A7F"/>
    <w:rsid w:val="552340F9"/>
    <w:rsid w:val="55310EC0"/>
    <w:rsid w:val="553539DB"/>
    <w:rsid w:val="553810DC"/>
    <w:rsid w:val="5557610E"/>
    <w:rsid w:val="557A7790"/>
    <w:rsid w:val="55846FDD"/>
    <w:rsid w:val="559129E0"/>
    <w:rsid w:val="55B84EAE"/>
    <w:rsid w:val="56021D62"/>
    <w:rsid w:val="562F3BF3"/>
    <w:rsid w:val="5632285E"/>
    <w:rsid w:val="566662CB"/>
    <w:rsid w:val="56902993"/>
    <w:rsid w:val="56AA66B3"/>
    <w:rsid w:val="56C42817"/>
    <w:rsid w:val="56DC5010"/>
    <w:rsid w:val="573F3A30"/>
    <w:rsid w:val="5746783F"/>
    <w:rsid w:val="57751D0C"/>
    <w:rsid w:val="57870BDF"/>
    <w:rsid w:val="57B143DE"/>
    <w:rsid w:val="57BA117B"/>
    <w:rsid w:val="57C00B06"/>
    <w:rsid w:val="57ED4E4E"/>
    <w:rsid w:val="58021570"/>
    <w:rsid w:val="58171515"/>
    <w:rsid w:val="581C4311"/>
    <w:rsid w:val="5843585C"/>
    <w:rsid w:val="58550461"/>
    <w:rsid w:val="58591F7E"/>
    <w:rsid w:val="58A545FC"/>
    <w:rsid w:val="58B60398"/>
    <w:rsid w:val="58C500E0"/>
    <w:rsid w:val="58CF0CC3"/>
    <w:rsid w:val="58F16C7A"/>
    <w:rsid w:val="590B22B6"/>
    <w:rsid w:val="59240358"/>
    <w:rsid w:val="592616D2"/>
    <w:rsid w:val="593276E3"/>
    <w:rsid w:val="59522196"/>
    <w:rsid w:val="59DE0E81"/>
    <w:rsid w:val="5A153559"/>
    <w:rsid w:val="5A36150F"/>
    <w:rsid w:val="5A3E1319"/>
    <w:rsid w:val="5A4C14B5"/>
    <w:rsid w:val="5A5510DA"/>
    <w:rsid w:val="5A5A6AF6"/>
    <w:rsid w:val="5A82030A"/>
    <w:rsid w:val="5ACF2987"/>
    <w:rsid w:val="5B000F3F"/>
    <w:rsid w:val="5B0453E0"/>
    <w:rsid w:val="5B076365"/>
    <w:rsid w:val="5B130C2A"/>
    <w:rsid w:val="5B1B5005"/>
    <w:rsid w:val="5B6D02FB"/>
    <w:rsid w:val="5B913D4A"/>
    <w:rsid w:val="5BAF56BC"/>
    <w:rsid w:val="5BBB418E"/>
    <w:rsid w:val="5BD33191"/>
    <w:rsid w:val="5BE80ED6"/>
    <w:rsid w:val="5BFB2CA1"/>
    <w:rsid w:val="5BFD0E7B"/>
    <w:rsid w:val="5C027EC0"/>
    <w:rsid w:val="5C08720C"/>
    <w:rsid w:val="5C767840"/>
    <w:rsid w:val="5CB97030"/>
    <w:rsid w:val="5CD72D5D"/>
    <w:rsid w:val="5CEE2982"/>
    <w:rsid w:val="5D2D376B"/>
    <w:rsid w:val="5DFD2B3F"/>
    <w:rsid w:val="5E277206"/>
    <w:rsid w:val="5E3D71AC"/>
    <w:rsid w:val="5E40706E"/>
    <w:rsid w:val="5E72426F"/>
    <w:rsid w:val="5E731884"/>
    <w:rsid w:val="5E757C9A"/>
    <w:rsid w:val="5E81165B"/>
    <w:rsid w:val="5E8F7F43"/>
    <w:rsid w:val="5EAA3F5C"/>
    <w:rsid w:val="5EB522EE"/>
    <w:rsid w:val="5EBF067F"/>
    <w:rsid w:val="5EDC4962"/>
    <w:rsid w:val="5EDF69B5"/>
    <w:rsid w:val="5F0B2CFC"/>
    <w:rsid w:val="5F16108D"/>
    <w:rsid w:val="5F2B1033"/>
    <w:rsid w:val="5F821A41"/>
    <w:rsid w:val="601A2EBA"/>
    <w:rsid w:val="603E16E0"/>
    <w:rsid w:val="606964BC"/>
    <w:rsid w:val="60844AE7"/>
    <w:rsid w:val="60A85FA1"/>
    <w:rsid w:val="60B0464F"/>
    <w:rsid w:val="60D422E8"/>
    <w:rsid w:val="60E96A0A"/>
    <w:rsid w:val="61351088"/>
    <w:rsid w:val="61662472"/>
    <w:rsid w:val="618209BC"/>
    <w:rsid w:val="61ED0836"/>
    <w:rsid w:val="62325AA7"/>
    <w:rsid w:val="6240072E"/>
    <w:rsid w:val="6264757B"/>
    <w:rsid w:val="626A2C1C"/>
    <w:rsid w:val="62BC7C0A"/>
    <w:rsid w:val="62DC5F40"/>
    <w:rsid w:val="63130619"/>
    <w:rsid w:val="632905BE"/>
    <w:rsid w:val="634D7265"/>
    <w:rsid w:val="63743684"/>
    <w:rsid w:val="638323BC"/>
    <w:rsid w:val="63943203"/>
    <w:rsid w:val="639456EF"/>
    <w:rsid w:val="639F3A80"/>
    <w:rsid w:val="642C6B67"/>
    <w:rsid w:val="644C4E9D"/>
    <w:rsid w:val="64BA1C4E"/>
    <w:rsid w:val="64BF5967"/>
    <w:rsid w:val="64C32563"/>
    <w:rsid w:val="64C53862"/>
    <w:rsid w:val="64EB6E13"/>
    <w:rsid w:val="64FE1C2F"/>
    <w:rsid w:val="650642CC"/>
    <w:rsid w:val="651B48B2"/>
    <w:rsid w:val="652F1BCA"/>
    <w:rsid w:val="659E5744"/>
    <w:rsid w:val="65BE3A7A"/>
    <w:rsid w:val="660A2875"/>
    <w:rsid w:val="66173918"/>
    <w:rsid w:val="66441755"/>
    <w:rsid w:val="66472C14"/>
    <w:rsid w:val="66616B07"/>
    <w:rsid w:val="666C4E98"/>
    <w:rsid w:val="66800AE9"/>
    <w:rsid w:val="66903DD3"/>
    <w:rsid w:val="66B83C92"/>
    <w:rsid w:val="66E41328"/>
    <w:rsid w:val="67046310"/>
    <w:rsid w:val="677261A7"/>
    <w:rsid w:val="67B478DF"/>
    <w:rsid w:val="67E51C26"/>
    <w:rsid w:val="67F33A1A"/>
    <w:rsid w:val="67F616DB"/>
    <w:rsid w:val="6814614D"/>
    <w:rsid w:val="683F6713"/>
    <w:rsid w:val="68520B22"/>
    <w:rsid w:val="68754EED"/>
    <w:rsid w:val="687A5CD7"/>
    <w:rsid w:val="689E2501"/>
    <w:rsid w:val="6910009B"/>
    <w:rsid w:val="692757B4"/>
    <w:rsid w:val="6987602F"/>
    <w:rsid w:val="69887333"/>
    <w:rsid w:val="69A63060"/>
    <w:rsid w:val="69C83532"/>
    <w:rsid w:val="69DB5AB9"/>
    <w:rsid w:val="6A680BA0"/>
    <w:rsid w:val="6A935267"/>
    <w:rsid w:val="6AD644FE"/>
    <w:rsid w:val="6AEA0F68"/>
    <w:rsid w:val="6B360902"/>
    <w:rsid w:val="6B426304"/>
    <w:rsid w:val="6B6D2EA4"/>
    <w:rsid w:val="6BA350A4"/>
    <w:rsid w:val="6BE64EB6"/>
    <w:rsid w:val="6C097346"/>
    <w:rsid w:val="6C4910B5"/>
    <w:rsid w:val="6C93124F"/>
    <w:rsid w:val="6CD25BCA"/>
    <w:rsid w:val="6CE14882"/>
    <w:rsid w:val="6CEE0875"/>
    <w:rsid w:val="6D007086"/>
    <w:rsid w:val="6D095C70"/>
    <w:rsid w:val="6D0D4676"/>
    <w:rsid w:val="6D400349"/>
    <w:rsid w:val="6D6B0293"/>
    <w:rsid w:val="6D8049B5"/>
    <w:rsid w:val="6D970D57"/>
    <w:rsid w:val="6DA4006D"/>
    <w:rsid w:val="6DD05A39"/>
    <w:rsid w:val="6DD85044"/>
    <w:rsid w:val="6DDA3DCA"/>
    <w:rsid w:val="6DE333D5"/>
    <w:rsid w:val="6DF662E3"/>
    <w:rsid w:val="6E0D7A9C"/>
    <w:rsid w:val="6E1632ED"/>
    <w:rsid w:val="6E185E2D"/>
    <w:rsid w:val="6E1D650A"/>
    <w:rsid w:val="6E2C48BD"/>
    <w:rsid w:val="6E393DE4"/>
    <w:rsid w:val="6E534DA6"/>
    <w:rsid w:val="6E577A40"/>
    <w:rsid w:val="6E59211A"/>
    <w:rsid w:val="6E8045A0"/>
    <w:rsid w:val="6E9047F2"/>
    <w:rsid w:val="6ECB1A10"/>
    <w:rsid w:val="6F007CE9"/>
    <w:rsid w:val="6F0E4977"/>
    <w:rsid w:val="6F4B4F26"/>
    <w:rsid w:val="6F7402E8"/>
    <w:rsid w:val="6F805CDA"/>
    <w:rsid w:val="6FAB29C1"/>
    <w:rsid w:val="6FAE7FC3"/>
    <w:rsid w:val="6FB50061"/>
    <w:rsid w:val="6FB72056"/>
    <w:rsid w:val="6FDC4C53"/>
    <w:rsid w:val="6FE10C9C"/>
    <w:rsid w:val="70221706"/>
    <w:rsid w:val="704241B9"/>
    <w:rsid w:val="70491AFF"/>
    <w:rsid w:val="70654406"/>
    <w:rsid w:val="708304A5"/>
    <w:rsid w:val="70A367DC"/>
    <w:rsid w:val="70B75ED9"/>
    <w:rsid w:val="70D00087"/>
    <w:rsid w:val="70E57245"/>
    <w:rsid w:val="70EF55D6"/>
    <w:rsid w:val="70FB32F8"/>
    <w:rsid w:val="710651FB"/>
    <w:rsid w:val="7107051A"/>
    <w:rsid w:val="71096180"/>
    <w:rsid w:val="715C4672"/>
    <w:rsid w:val="715D5C0A"/>
    <w:rsid w:val="717532B1"/>
    <w:rsid w:val="718722D2"/>
    <w:rsid w:val="719B5E82"/>
    <w:rsid w:val="71A94A05"/>
    <w:rsid w:val="71CC1CC1"/>
    <w:rsid w:val="71D4494F"/>
    <w:rsid w:val="71DF43CB"/>
    <w:rsid w:val="71F37403"/>
    <w:rsid w:val="71F57082"/>
    <w:rsid w:val="72005413"/>
    <w:rsid w:val="72026398"/>
    <w:rsid w:val="720A7028"/>
    <w:rsid w:val="720D575A"/>
    <w:rsid w:val="726141B3"/>
    <w:rsid w:val="726F6D4C"/>
    <w:rsid w:val="73353469"/>
    <w:rsid w:val="73912327"/>
    <w:rsid w:val="73E82D35"/>
    <w:rsid w:val="73F423CB"/>
    <w:rsid w:val="742C5DA8"/>
    <w:rsid w:val="74335733"/>
    <w:rsid w:val="744246C9"/>
    <w:rsid w:val="74491AD5"/>
    <w:rsid w:val="745F1A7B"/>
    <w:rsid w:val="7474619D"/>
    <w:rsid w:val="747A13A7"/>
    <w:rsid w:val="74EC4B62"/>
    <w:rsid w:val="75024B07"/>
    <w:rsid w:val="75042208"/>
    <w:rsid w:val="752175BA"/>
    <w:rsid w:val="757D7175"/>
    <w:rsid w:val="75845FDA"/>
    <w:rsid w:val="75A36F76"/>
    <w:rsid w:val="75A44310"/>
    <w:rsid w:val="75C42647"/>
    <w:rsid w:val="75D00657"/>
    <w:rsid w:val="763273F7"/>
    <w:rsid w:val="765A7DE9"/>
    <w:rsid w:val="765E373E"/>
    <w:rsid w:val="767E1A75"/>
    <w:rsid w:val="76F55E05"/>
    <w:rsid w:val="770A4EDC"/>
    <w:rsid w:val="771B7503"/>
    <w:rsid w:val="772B760F"/>
    <w:rsid w:val="774B5945"/>
    <w:rsid w:val="776158EB"/>
    <w:rsid w:val="777C39B5"/>
    <w:rsid w:val="77B204A9"/>
    <w:rsid w:val="77DF05EE"/>
    <w:rsid w:val="77F83AD7"/>
    <w:rsid w:val="78106988"/>
    <w:rsid w:val="781F09F2"/>
    <w:rsid w:val="782D2EC3"/>
    <w:rsid w:val="783D7D47"/>
    <w:rsid w:val="785173F2"/>
    <w:rsid w:val="787C3AB9"/>
    <w:rsid w:val="788765AB"/>
    <w:rsid w:val="789C1DEF"/>
    <w:rsid w:val="78A114CA"/>
    <w:rsid w:val="78A60180"/>
    <w:rsid w:val="78C86137"/>
    <w:rsid w:val="791407B4"/>
    <w:rsid w:val="791E32C2"/>
    <w:rsid w:val="791F6B45"/>
    <w:rsid w:val="7955121E"/>
    <w:rsid w:val="79680384"/>
    <w:rsid w:val="796A5940"/>
    <w:rsid w:val="79753CD1"/>
    <w:rsid w:val="79AC1C2C"/>
    <w:rsid w:val="79C11BD2"/>
    <w:rsid w:val="79D55B1A"/>
    <w:rsid w:val="79E34305"/>
    <w:rsid w:val="79ED2696"/>
    <w:rsid w:val="7A2E5F29"/>
    <w:rsid w:val="7A6F776C"/>
    <w:rsid w:val="7AB001D5"/>
    <w:rsid w:val="7AB03A59"/>
    <w:rsid w:val="7AE76131"/>
    <w:rsid w:val="7AF244C2"/>
    <w:rsid w:val="7B1227F8"/>
    <w:rsid w:val="7B1F1B0E"/>
    <w:rsid w:val="7B2A404F"/>
    <w:rsid w:val="7B5E4E76"/>
    <w:rsid w:val="7B7D7929"/>
    <w:rsid w:val="7B9F205C"/>
    <w:rsid w:val="7BB42002"/>
    <w:rsid w:val="7BD40338"/>
    <w:rsid w:val="7BDA5323"/>
    <w:rsid w:val="7BEA74A3"/>
    <w:rsid w:val="7C42096C"/>
    <w:rsid w:val="7C5A278F"/>
    <w:rsid w:val="7C63309F"/>
    <w:rsid w:val="7C6A6630"/>
    <w:rsid w:val="7C7D60A0"/>
    <w:rsid w:val="7C890427"/>
    <w:rsid w:val="7C9109AD"/>
    <w:rsid w:val="7C985AF7"/>
    <w:rsid w:val="7CBA3AAE"/>
    <w:rsid w:val="7CC42EDA"/>
    <w:rsid w:val="7CE50175"/>
    <w:rsid w:val="7CF2599E"/>
    <w:rsid w:val="7D085F7C"/>
    <w:rsid w:val="7D466F15"/>
    <w:rsid w:val="7D952517"/>
    <w:rsid w:val="7DBE58DA"/>
    <w:rsid w:val="7DE26849"/>
    <w:rsid w:val="7DE91FA1"/>
    <w:rsid w:val="7DFE66C3"/>
    <w:rsid w:val="7E350D9C"/>
    <w:rsid w:val="7E6C6CF7"/>
    <w:rsid w:val="7E765088"/>
    <w:rsid w:val="7E803533"/>
    <w:rsid w:val="7EAA134C"/>
    <w:rsid w:val="7EDE0E60"/>
    <w:rsid w:val="7EED3DCE"/>
    <w:rsid w:val="7F0E6500"/>
    <w:rsid w:val="7F2E4837"/>
    <w:rsid w:val="7F535B76"/>
    <w:rsid w:val="7F656F0F"/>
    <w:rsid w:val="7F736225"/>
    <w:rsid w:val="7F804097"/>
    <w:rsid w:val="7FC65CAF"/>
    <w:rsid w:val="7FC71532"/>
    <w:rsid w:val="7FE63FE5"/>
    <w:rsid w:val="7FEB5F33"/>
    <w:rsid w:val="7FFE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unhideWhenUsed="0" w:uiPriority="0" w:semiHidden="0" w:name="header"/>
    <w:lsdException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qFormat="1" w:unhideWhenUsed="0" w:uiPriority="0" w:semiHidden="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nhideWhenUsed="0" w:uiPriority="99" w:semiHidden="0" w:name="Plain Text"/>
    <w:lsdException w:uiPriority="0" w:name="E-mail Signature"/>
    <w:lsdException w:unhideWhenUsed="0" w:uiPriority="99" w:semiHidden="0" w:name="Normal (Web)"/>
    <w:lsdException w:uiPriority="0" w:name="HTML Acronym"/>
    <w:lsdException w:uiPriority="0" w:name="HTML Address"/>
    <w:lsdException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cs="宋体"/>
      <w:b/>
      <w:kern w:val="44"/>
      <w:sz w:val="48"/>
      <w:szCs w:val="48"/>
    </w:rPr>
  </w:style>
  <w:style w:type="paragraph" w:styleId="3">
    <w:name w:val="heading 4"/>
    <w:basedOn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rPr>
      <w:rFonts w:ascii="Cambria" w:hAnsi="Cambria" w:eastAsia="黑体"/>
      <w:sz w:val="20"/>
      <w:szCs w:val="20"/>
    </w:rPr>
  </w:style>
  <w:style w:type="paragraph" w:styleId="5">
    <w:name w:val="annotation text"/>
    <w:basedOn w:val="1"/>
    <w:semiHidden/>
    <w:qFormat/>
    <w:uiPriority w:val="0"/>
    <w:pPr>
      <w:jc w:val="left"/>
    </w:pPr>
  </w:style>
  <w:style w:type="paragraph" w:styleId="6">
    <w:name w:val="Body Text Indent"/>
    <w:basedOn w:val="1"/>
    <w:uiPriority w:val="0"/>
    <w:pPr>
      <w:ind w:firstLine="420" w:firstLineChars="200"/>
    </w:pPr>
  </w:style>
  <w:style w:type="paragraph" w:styleId="7">
    <w:name w:val="Plain Text"/>
    <w:basedOn w:val="1"/>
    <w:link w:val="27"/>
    <w:uiPriority w:val="99"/>
    <w:rPr>
      <w:rFonts w:ascii="宋体" w:hAnsi="Courier New"/>
      <w:szCs w:val="21"/>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9"/>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99"/>
    <w:rPr>
      <w:sz w:val="24"/>
    </w:rPr>
  </w:style>
  <w:style w:type="paragraph" w:styleId="13">
    <w:name w:val="annotation subject"/>
    <w:basedOn w:val="5"/>
    <w:next w:val="5"/>
    <w:semiHidden/>
    <w:uiPriority w:val="0"/>
    <w:rPr>
      <w:b/>
      <w:bCs/>
    </w:rPr>
  </w:style>
  <w:style w:type="table" w:styleId="15">
    <w:name w:val="Table Grid"/>
    <w:basedOn w:val="14"/>
    <w:unhideWhenUs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uiPriority w:val="0"/>
  </w:style>
  <w:style w:type="character" w:styleId="19">
    <w:name w:val="FollowedHyperlink"/>
    <w:qFormat/>
    <w:uiPriority w:val="0"/>
    <w:rPr>
      <w:color w:val="800080"/>
      <w:u w:val="single"/>
    </w:rPr>
  </w:style>
  <w:style w:type="character" w:styleId="20">
    <w:name w:val="Emphasis"/>
    <w:qFormat/>
    <w:uiPriority w:val="0"/>
    <w:rPr>
      <w:color w:val="CC0000"/>
    </w:rPr>
  </w:style>
  <w:style w:type="character" w:styleId="21">
    <w:name w:val="line number"/>
    <w:qFormat/>
    <w:uiPriority w:val="0"/>
  </w:style>
  <w:style w:type="character" w:styleId="22">
    <w:name w:val="Hyperlink"/>
    <w:qFormat/>
    <w:uiPriority w:val="0"/>
    <w:rPr>
      <w:color w:val="000099"/>
      <w:u w:val="none"/>
    </w:rPr>
  </w:style>
  <w:style w:type="character" w:styleId="23">
    <w:name w:val="annotation reference"/>
    <w:semiHidden/>
    <w:qFormat/>
    <w:uiPriority w:val="0"/>
    <w:rPr>
      <w:sz w:val="21"/>
      <w:szCs w:val="21"/>
    </w:rPr>
  </w:style>
  <w:style w:type="character" w:styleId="24">
    <w:name w:val="HTML Cite"/>
    <w:uiPriority w:val="0"/>
    <w:rPr>
      <w:color w:val="008000"/>
    </w:rPr>
  </w:style>
  <w:style w:type="character" w:customStyle="1" w:styleId="25">
    <w:name w:val="段 Char"/>
    <w:link w:val="26"/>
    <w:qFormat/>
    <w:uiPriority w:val="99"/>
    <w:rPr>
      <w:rFonts w:ascii="宋体"/>
      <w:sz w:val="21"/>
      <w:lang w:val="en-US" w:eastAsia="zh-CN" w:bidi="ar-SA"/>
    </w:rPr>
  </w:style>
  <w:style w:type="paragraph" w:customStyle="1" w:styleId="26">
    <w:name w:val="段"/>
    <w:link w:val="25"/>
    <w:qFormat/>
    <w:uiPriority w:val="99"/>
    <w:pPr>
      <w:autoSpaceDE w:val="0"/>
      <w:autoSpaceDN w:val="0"/>
      <w:ind w:firstLine="200" w:firstLineChars="200"/>
      <w:jc w:val="both"/>
    </w:pPr>
    <w:rPr>
      <w:rFonts w:ascii="宋体" w:hAnsi="Calibri" w:eastAsia="宋体" w:cs="Times New Roman"/>
      <w:sz w:val="21"/>
      <w:lang w:val="en-US" w:eastAsia="zh-CN" w:bidi="ar-SA"/>
    </w:rPr>
  </w:style>
  <w:style w:type="character" w:customStyle="1" w:styleId="27">
    <w:name w:val="纯文本 字符"/>
    <w:link w:val="7"/>
    <w:qFormat/>
    <w:locked/>
    <w:uiPriority w:val="99"/>
    <w:rPr>
      <w:rFonts w:ascii="宋体" w:hAnsi="Courier New" w:cs="宋体"/>
      <w:kern w:val="2"/>
      <w:sz w:val="21"/>
      <w:szCs w:val="21"/>
    </w:rPr>
  </w:style>
  <w:style w:type="character" w:customStyle="1" w:styleId="28">
    <w:name w:val="doc_title"/>
    <w:basedOn w:val="16"/>
    <w:qFormat/>
    <w:uiPriority w:val="0"/>
  </w:style>
  <w:style w:type="character" w:customStyle="1" w:styleId="29">
    <w:name w:val="页脚 字符"/>
    <w:link w:val="10"/>
    <w:qFormat/>
    <w:uiPriority w:val="99"/>
    <w:rPr>
      <w:kern w:val="2"/>
      <w:sz w:val="18"/>
      <w:szCs w:val="18"/>
      <w:lang w:bidi="ar-SA"/>
    </w:rPr>
  </w:style>
  <w:style w:type="character" w:customStyle="1" w:styleId="30">
    <w:name w:val="f101"/>
    <w:qFormat/>
    <w:uiPriority w:val="0"/>
    <w:rPr>
      <w:sz w:val="24"/>
      <w:szCs w:val="24"/>
    </w:rPr>
  </w:style>
  <w:style w:type="character" w:customStyle="1" w:styleId="31">
    <w:name w:val="纯文本 Char1"/>
    <w:qFormat/>
    <w:uiPriority w:val="0"/>
    <w:rPr>
      <w:rFonts w:ascii="宋体" w:hAnsi="Courier New" w:cs="Courier New"/>
      <w:kern w:val="2"/>
      <w:sz w:val="21"/>
      <w:szCs w:val="21"/>
    </w:rPr>
  </w:style>
  <w:style w:type="character" w:customStyle="1" w:styleId="32">
    <w:name w:val="new"/>
    <w:basedOn w:val="16"/>
    <w:qFormat/>
    <w:uiPriority w:val="0"/>
  </w:style>
  <w:style w:type="paragraph" w:customStyle="1" w:styleId="33">
    <w:name w:val="三级条标题"/>
    <w:basedOn w:val="34"/>
    <w:next w:val="26"/>
    <w:qFormat/>
    <w:uiPriority w:val="0"/>
    <w:pPr>
      <w:outlineLvl w:val="4"/>
    </w:pPr>
  </w:style>
  <w:style w:type="paragraph" w:customStyle="1" w:styleId="34">
    <w:name w:val="二级条标题"/>
    <w:basedOn w:val="35"/>
    <w:next w:val="26"/>
    <w:qFormat/>
    <w:uiPriority w:val="0"/>
    <w:pPr>
      <w:spacing w:before="50" w:after="50"/>
      <w:outlineLvl w:val="3"/>
    </w:pPr>
  </w:style>
  <w:style w:type="paragraph" w:customStyle="1" w:styleId="35">
    <w:name w:val="一级条标题"/>
    <w:next w:val="26"/>
    <w:uiPriority w:val="0"/>
    <w:pPr>
      <w:spacing w:beforeLines="50" w:afterLines="50"/>
      <w:outlineLvl w:val="2"/>
    </w:pPr>
    <w:rPr>
      <w:rFonts w:ascii="黑体" w:hAnsi="Calibri" w:eastAsia="黑体" w:cs="Times New Roman"/>
      <w:sz w:val="21"/>
      <w:szCs w:val="21"/>
      <w:lang w:val="en-US" w:eastAsia="zh-CN" w:bidi="ar-SA"/>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王奕，标题"/>
    <w:basedOn w:val="12"/>
    <w:qFormat/>
    <w:uiPriority w:val="0"/>
    <w:pPr>
      <w:widowControl/>
      <w:spacing w:line="360" w:lineRule="auto"/>
      <w:jc w:val="center"/>
    </w:pPr>
    <w:rPr>
      <w:rFonts w:ascii="黑体" w:hAnsi="MS Shell Dlg" w:eastAsia="黑体" w:cs="MS Shell Dlg"/>
      <w:color w:val="000000"/>
      <w:kern w:val="0"/>
      <w:sz w:val="36"/>
      <w:szCs w:val="32"/>
    </w:rPr>
  </w:style>
  <w:style w:type="paragraph" w:customStyle="1" w:styleId="38">
    <w:name w:val="附录章标题"/>
    <w:next w:val="26"/>
    <w:uiPriority w:val="0"/>
    <w:pPr>
      <w:tabs>
        <w:tab w:val="left" w:pos="360"/>
      </w:tabs>
      <w:wordWrap w:val="0"/>
      <w:overflowPunct w:val="0"/>
      <w:autoSpaceDE w:val="0"/>
      <w:spacing w:beforeLines="100" w:afterLines="100"/>
      <w:jc w:val="both"/>
      <w:textAlignment w:val="baseline"/>
      <w:outlineLvl w:val="1"/>
    </w:pPr>
    <w:rPr>
      <w:rFonts w:ascii="黑体" w:hAnsi="Calibri" w:eastAsia="黑体" w:cs="Times New Roman"/>
      <w:kern w:val="21"/>
      <w:sz w:val="21"/>
      <w:lang w:val="en-US" w:eastAsia="zh-CN" w:bidi="ar-SA"/>
    </w:rPr>
  </w:style>
  <w:style w:type="paragraph" w:customStyle="1" w:styleId="39">
    <w:name w:val="列出段落1"/>
    <w:basedOn w:val="1"/>
    <w:uiPriority w:val="0"/>
    <w:pPr>
      <w:ind w:firstLine="420" w:firstLineChars="200"/>
    </w:pPr>
    <w:rPr>
      <w:szCs w:val="22"/>
    </w:rPr>
  </w:style>
  <w:style w:type="paragraph" w:customStyle="1" w:styleId="40">
    <w:name w:val="注：（正文）"/>
    <w:basedOn w:val="41"/>
    <w:next w:val="26"/>
    <w:uiPriority w:val="0"/>
  </w:style>
  <w:style w:type="paragraph" w:customStyle="1" w:styleId="41">
    <w:name w:val="注："/>
    <w:next w:val="26"/>
    <w:uiPriority w:val="0"/>
    <w:pPr>
      <w:widowControl w:val="0"/>
      <w:autoSpaceDE w:val="0"/>
      <w:autoSpaceDN w:val="0"/>
      <w:ind w:left="726" w:hanging="363"/>
      <w:jc w:val="both"/>
    </w:pPr>
    <w:rPr>
      <w:rFonts w:ascii="宋体" w:hAnsi="Calibri" w:eastAsia="宋体" w:cs="Times New Roman"/>
      <w:sz w:val="18"/>
      <w:szCs w:val="18"/>
      <w:lang w:val="en-US" w:eastAsia="zh-CN" w:bidi="ar-SA"/>
    </w:rPr>
  </w:style>
  <w:style w:type="paragraph" w:customStyle="1" w:styleId="42">
    <w:name w:val="附录标识"/>
    <w:basedOn w:val="1"/>
    <w:next w:val="26"/>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43">
    <w:name w:val="目次、标准名称标题"/>
    <w:uiPriority w:val="0"/>
    <w:pPr>
      <w:keepNext/>
      <w:pageBreakBefore/>
      <w:shd w:val="clear" w:color="FFFFFF" w:fill="FFFFFF"/>
      <w:spacing w:before="640" w:after="560" w:line="460" w:lineRule="exact"/>
      <w:jc w:val="center"/>
      <w:outlineLvl w:val="0"/>
    </w:pPr>
    <w:rPr>
      <w:rFonts w:ascii="黑体" w:hAnsi="Calibri" w:eastAsia="黑体" w:cs="Times New Roman"/>
      <w:sz w:val="32"/>
      <w:lang w:val="en-US" w:eastAsia="zh-CN" w:bidi="ar-SA"/>
    </w:rPr>
  </w:style>
  <w:style w:type="paragraph" w:customStyle="1" w:styleId="44">
    <w:name w:val="列出段落11"/>
    <w:basedOn w:val="1"/>
    <w:qFormat/>
    <w:uiPriority w:val="34"/>
    <w:pPr>
      <w:ind w:firstLine="420" w:firstLineChars="200"/>
    </w:pPr>
    <w:rPr>
      <w:szCs w:val="22"/>
    </w:rPr>
  </w:style>
  <w:style w:type="paragraph" w:customStyle="1" w:styleId="45">
    <w:name w:val="三级无"/>
    <w:basedOn w:val="33"/>
    <w:uiPriority w:val="0"/>
    <w:pPr>
      <w:spacing w:beforeLines="0" w:afterLines="0"/>
    </w:pPr>
    <w:rPr>
      <w:rFonts w:ascii="宋体" w:eastAsia="宋体"/>
    </w:rPr>
  </w:style>
  <w:style w:type="paragraph" w:styleId="46">
    <w:name w:val="List Paragraph"/>
    <w:basedOn w:val="1"/>
    <w:qFormat/>
    <w:uiPriority w:val="34"/>
    <w:pPr>
      <w:ind w:firstLine="420" w:firstLineChars="200"/>
    </w:pPr>
  </w:style>
  <w:style w:type="paragraph" w:customStyle="1" w:styleId="47">
    <w:name w:val="字母编号列项（一级）"/>
    <w:uiPriority w:val="0"/>
    <w:pPr>
      <w:ind w:left="840" w:leftChars="200" w:hanging="420" w:hanging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SMDA-SPCSC</Company>
  <Pages>19</Pages>
  <Words>7795</Words>
  <Characters>8170</Characters>
  <Lines>61</Lines>
  <Paragraphs>17</Paragraphs>
  <TotalTime>4</TotalTime>
  <ScaleCrop>false</ScaleCrop>
  <LinksUpToDate>false</LinksUpToDate>
  <CharactersWithSpaces>8240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2021-03-12T07:16:00Z</dcterms:created>
  <dc:creator>lgy</dc:creator>
  <cp:lastModifiedBy>太极箫客</cp:lastModifiedBy>
  <cp:lastPrinted>2018-12-03T08:48:00Z</cp:lastPrinted>
  <dcterms:modified xsi:type="dcterms:W3CDTF">2025-08-14T07:00:29Z</dcterms:modified>
  <dc:title>产品名称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FD885D0F6F2646D3A784E11AE7FB689B_12</vt:lpwstr>
  </property>
</Properties>
</file>