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84835">
      <w:pPr>
        <w:adjustRightInd w:val="0"/>
        <w:snapToGrid w:val="0"/>
        <w:spacing w:before="120" w:beforeLines="50" w:line="300" w:lineRule="auto"/>
        <w:jc w:val="center"/>
        <w:rPr>
          <w:rFonts w:eastAsia="宋体" w:cs="宋体"/>
          <w:b/>
          <w:sz w:val="52"/>
          <w:lang w:eastAsia="zh-CN"/>
        </w:rPr>
      </w:pPr>
      <w:bookmarkStart w:id="11" w:name="_GoBack"/>
      <w:bookmarkEnd w:id="11"/>
      <w:r>
        <w:rPr>
          <w:rFonts w:eastAsia="宋体" w:cs="宋体"/>
          <w:b/>
          <w:sz w:val="52"/>
          <w:lang w:eastAsia="zh-CN"/>
        </w:rPr>
        <w:t>根据BLA、NDA或ANDA提交的证明急救用注射器可靠性的技术</w:t>
      </w:r>
      <w:r>
        <w:rPr>
          <w:rFonts w:hint="eastAsia" w:eastAsia="宋体" w:cs="宋体"/>
          <w:b/>
          <w:sz w:val="52"/>
          <w:lang w:eastAsia="zh-CN"/>
        </w:rPr>
        <w:t>考量</w:t>
      </w:r>
      <w:r>
        <w:rPr>
          <w:rFonts w:eastAsia="宋体" w:cs="宋体"/>
          <w:b/>
          <w:sz w:val="52"/>
          <w:lang w:eastAsia="zh-CN"/>
        </w:rPr>
        <w:t>：行业和美国食品药品</w:t>
      </w:r>
      <w:r>
        <w:rPr>
          <w:rFonts w:hint="eastAsia" w:eastAsia="宋体" w:cs="宋体"/>
          <w:b/>
          <w:sz w:val="52"/>
          <w:lang w:eastAsia="zh-CN"/>
        </w:rPr>
        <w:t>监督</w:t>
      </w:r>
      <w:r>
        <w:rPr>
          <w:rFonts w:eastAsia="宋体" w:cs="宋体"/>
          <w:b/>
          <w:sz w:val="52"/>
          <w:lang w:eastAsia="zh-CN"/>
        </w:rPr>
        <w:t>管理局</w:t>
      </w:r>
    </w:p>
    <w:p w14:paraId="6CEA1090">
      <w:pPr>
        <w:adjustRightInd w:val="0"/>
        <w:snapToGrid w:val="0"/>
        <w:spacing w:before="120" w:beforeLines="50" w:line="300" w:lineRule="auto"/>
        <w:jc w:val="center"/>
        <w:rPr>
          <w:b/>
          <w:sz w:val="52"/>
          <w:szCs w:val="21"/>
          <w:lang w:eastAsia="zh-CN"/>
        </w:rPr>
      </w:pPr>
      <w:r>
        <w:rPr>
          <w:rFonts w:eastAsia="宋体" w:cs="宋体"/>
          <w:b/>
          <w:sz w:val="52"/>
          <w:lang w:eastAsia="zh-CN"/>
        </w:rPr>
        <w:t>工作人员指南</w:t>
      </w:r>
    </w:p>
    <w:p w14:paraId="6A8A553A">
      <w:pPr>
        <w:adjustRightInd w:val="0"/>
        <w:snapToGrid w:val="0"/>
        <w:spacing w:before="120" w:beforeLines="50" w:line="300" w:lineRule="auto"/>
        <w:jc w:val="center"/>
        <w:rPr>
          <w:b/>
          <w:i/>
          <w:sz w:val="28"/>
          <w:szCs w:val="24"/>
          <w:lang w:eastAsia="zh-CN"/>
        </w:rPr>
      </w:pPr>
      <w:r>
        <w:rPr>
          <w:rFonts w:eastAsia="宋体" w:cs="宋体"/>
          <w:b/>
          <w:i/>
          <w:sz w:val="28"/>
          <w:lang w:eastAsia="zh-CN"/>
        </w:rPr>
        <w:t>指南草案</w:t>
      </w:r>
    </w:p>
    <w:p w14:paraId="57F48815">
      <w:pPr>
        <w:adjustRightInd w:val="0"/>
        <w:snapToGrid w:val="0"/>
        <w:spacing w:before="120" w:beforeLines="50" w:line="300" w:lineRule="auto"/>
        <w:jc w:val="center"/>
        <w:rPr>
          <w:b/>
          <w:sz w:val="24"/>
          <w:szCs w:val="24"/>
          <w:lang w:eastAsia="zh-CN"/>
        </w:rPr>
      </w:pPr>
      <w:r>
        <w:rPr>
          <w:rFonts w:eastAsia="宋体" w:cs="宋体"/>
          <w:b/>
          <w:sz w:val="24"/>
          <w:lang w:eastAsia="zh-CN"/>
        </w:rPr>
        <w:t>本指南文件仅供征求意见</w:t>
      </w:r>
    </w:p>
    <w:p w14:paraId="5FAAD2B4">
      <w:pPr>
        <w:adjustRightInd w:val="0"/>
        <w:snapToGrid w:val="0"/>
        <w:spacing w:before="120" w:beforeLines="50" w:line="300" w:lineRule="auto"/>
        <w:jc w:val="both"/>
        <w:rPr>
          <w:sz w:val="21"/>
          <w:szCs w:val="21"/>
          <w:lang w:eastAsia="zh-CN"/>
        </w:rPr>
      </w:pPr>
      <w:r>
        <w:rPr>
          <w:rFonts w:eastAsia="宋体" w:cs="宋体"/>
          <w:sz w:val="21"/>
          <w:lang w:eastAsia="zh-CN"/>
        </w:rPr>
        <w:t>可随</w:t>
      </w:r>
      <w:r>
        <w:rPr>
          <w:rFonts w:hint="eastAsia" w:eastAsia="宋体" w:cs="宋体"/>
          <w:sz w:val="21"/>
          <w:lang w:eastAsia="zh-CN"/>
        </w:rPr>
        <w:t>提交</w:t>
      </w:r>
      <w:r>
        <w:rPr>
          <w:rFonts w:eastAsia="宋体" w:cs="宋体"/>
          <w:sz w:val="21"/>
          <w:lang w:eastAsia="zh-CN"/>
        </w:rPr>
        <w:t>对指南</w:t>
      </w:r>
      <w:r>
        <w:rPr>
          <w:rFonts w:hint="eastAsia" w:eastAsia="宋体" w:cs="宋体"/>
          <w:sz w:val="21"/>
          <w:lang w:eastAsia="zh-CN"/>
        </w:rPr>
        <w:t>的</w:t>
      </w:r>
      <w:r>
        <w:rPr>
          <w:rFonts w:eastAsia="宋体" w:cs="宋体"/>
          <w:sz w:val="21"/>
          <w:lang w:eastAsia="zh-CN"/>
        </w:rPr>
        <w:t>意见（参见21 CFR 10.115(g)(5)），但为确保FDA在开始编写指南最终版之前考虑</w:t>
      </w:r>
      <w:r>
        <w:rPr>
          <w:rFonts w:hint="eastAsia" w:eastAsia="宋体" w:cs="宋体"/>
          <w:sz w:val="21"/>
          <w:lang w:eastAsia="zh-CN"/>
        </w:rPr>
        <w:t>所提交</w:t>
      </w:r>
      <w:r>
        <w:rPr>
          <w:rFonts w:eastAsia="宋体" w:cs="宋体"/>
          <w:sz w:val="21"/>
          <w:lang w:eastAsia="zh-CN"/>
        </w:rPr>
        <w:t>的意见，请在《联邦公报》</w:t>
      </w:r>
      <w:r>
        <w:rPr>
          <w:rFonts w:hint="eastAsia" w:eastAsia="宋体" w:cs="宋体"/>
          <w:sz w:val="21"/>
          <w:lang w:eastAsia="zh-CN"/>
        </w:rPr>
        <w:t>刊登</w:t>
      </w:r>
      <w:r>
        <w:rPr>
          <w:rFonts w:eastAsia="宋体" w:cs="宋体"/>
          <w:sz w:val="21"/>
          <w:lang w:eastAsia="zh-CN"/>
        </w:rPr>
        <w:t>指南草案</w:t>
      </w:r>
      <w:r>
        <w:rPr>
          <w:rFonts w:hint="eastAsia" w:eastAsia="宋体" w:cs="宋体"/>
          <w:sz w:val="21"/>
          <w:lang w:eastAsia="zh-CN"/>
        </w:rPr>
        <w:t>的发布通知</w:t>
      </w:r>
      <w:r>
        <w:rPr>
          <w:rFonts w:eastAsia="宋体" w:cs="宋体"/>
          <w:sz w:val="21"/>
          <w:lang w:eastAsia="zh-CN"/>
        </w:rPr>
        <w:t>后60天内提交对指南草案的书面或电子意见。请将书面意见提交至美国食品药品</w:t>
      </w:r>
      <w:r>
        <w:rPr>
          <w:rFonts w:hint="eastAsia" w:eastAsia="宋体" w:cs="宋体"/>
          <w:sz w:val="21"/>
          <w:lang w:eastAsia="zh-CN"/>
        </w:rPr>
        <w:t>监督</w:t>
      </w:r>
      <w:r>
        <w:rPr>
          <w:rFonts w:eastAsia="宋体" w:cs="宋体"/>
          <w:sz w:val="21"/>
          <w:lang w:eastAsia="zh-CN"/>
        </w:rPr>
        <w:t>管理局备案文件管理部（HFA-305），5630 Fishers Lane, rm.1061, Rockville, MD 20852</w:t>
      </w:r>
      <w:r>
        <w:rPr>
          <w:rFonts w:hint="eastAsia" w:eastAsia="宋体" w:cs="宋体"/>
          <w:sz w:val="21"/>
          <w:lang w:eastAsia="zh-CN"/>
        </w:rPr>
        <w:t>。</w:t>
      </w:r>
      <w:r>
        <w:rPr>
          <w:rFonts w:eastAsia="宋体" w:cs="宋体"/>
          <w:sz w:val="21"/>
          <w:lang w:eastAsia="zh-CN"/>
        </w:rPr>
        <w:t>可将电子版意见提交至</w:t>
      </w:r>
      <w:r>
        <w:rPr>
          <w:rFonts w:eastAsia="宋体" w:cs="宋体"/>
          <w:color w:val="0000FF"/>
          <w:sz w:val="21"/>
          <w:u w:val="single"/>
          <w:lang w:eastAsia="zh-CN"/>
        </w:rPr>
        <w:t>http://www.regulations.gov</w:t>
      </w:r>
      <w:r>
        <w:rPr>
          <w:rFonts w:eastAsia="宋体" w:cs="宋体"/>
          <w:sz w:val="21"/>
          <w:lang w:eastAsia="zh-CN"/>
        </w:rPr>
        <w:t>。所有意见均应注明《联邦公报》上发布的通知中列出的备案文件编号。</w:t>
      </w:r>
      <w:r>
        <w:rPr>
          <w:rFonts w:eastAsia="宋体" w:cs="宋体"/>
          <w:i/>
          <w:sz w:val="21"/>
          <w:lang w:eastAsia="zh-CN"/>
        </w:rPr>
        <w:t>如需获取更多副本，请联系：</w:t>
      </w:r>
    </w:p>
    <w:p w14:paraId="37622B64">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组合产品办公室</w:t>
      </w:r>
    </w:p>
    <w:p w14:paraId="4C2779AA">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美国食品药品</w:t>
      </w:r>
      <w:r>
        <w:rPr>
          <w:rFonts w:hint="eastAsia" w:eastAsia="宋体" w:cs="宋体"/>
          <w:i/>
          <w:sz w:val="21"/>
          <w:lang w:eastAsia="zh-CN"/>
        </w:rPr>
        <w:t>监督</w:t>
      </w:r>
      <w:r>
        <w:rPr>
          <w:rFonts w:eastAsia="宋体" w:cs="宋体"/>
          <w:i/>
          <w:sz w:val="21"/>
          <w:lang w:eastAsia="zh-CN"/>
        </w:rPr>
        <w:t>管理局</w:t>
      </w:r>
    </w:p>
    <w:p w14:paraId="21733C89">
      <w:pPr>
        <w:adjustRightInd w:val="0"/>
        <w:snapToGrid w:val="0"/>
        <w:spacing w:before="120" w:beforeLines="50" w:line="300" w:lineRule="auto"/>
        <w:jc w:val="center"/>
        <w:rPr>
          <w:rFonts w:eastAsiaTheme="minorEastAsia"/>
          <w:i/>
          <w:sz w:val="21"/>
          <w:szCs w:val="21"/>
          <w:lang w:eastAsia="zh-CN"/>
        </w:rPr>
      </w:pPr>
      <w:r>
        <w:rPr>
          <w:i/>
          <w:sz w:val="21"/>
          <w:szCs w:val="21"/>
        </w:rPr>
        <w:t xml:space="preserve">WO32, Hub/Mail Room #5129 </w:t>
      </w:r>
    </w:p>
    <w:p w14:paraId="5CE61C13">
      <w:pPr>
        <w:adjustRightInd w:val="0"/>
        <w:snapToGrid w:val="0"/>
        <w:spacing w:before="120" w:beforeLines="50" w:line="300" w:lineRule="auto"/>
        <w:jc w:val="center"/>
        <w:rPr>
          <w:rFonts w:eastAsiaTheme="minorEastAsia"/>
          <w:i/>
          <w:sz w:val="21"/>
          <w:szCs w:val="21"/>
          <w:lang w:eastAsia="zh-CN"/>
        </w:rPr>
      </w:pPr>
      <w:r>
        <w:rPr>
          <w:i/>
          <w:sz w:val="21"/>
          <w:szCs w:val="21"/>
        </w:rPr>
        <w:t>10903 New Hampshire Avenue</w:t>
      </w:r>
    </w:p>
    <w:p w14:paraId="02CFE99C">
      <w:pPr>
        <w:adjustRightInd w:val="0"/>
        <w:snapToGrid w:val="0"/>
        <w:spacing w:before="120" w:beforeLines="50" w:line="300" w:lineRule="auto"/>
        <w:jc w:val="center"/>
        <w:rPr>
          <w:rFonts w:eastAsiaTheme="minorEastAsia"/>
          <w:i/>
          <w:sz w:val="21"/>
          <w:szCs w:val="21"/>
          <w:lang w:eastAsia="zh-CN"/>
        </w:rPr>
      </w:pPr>
      <w:r>
        <w:rPr>
          <w:i/>
          <w:sz w:val="21"/>
          <w:szCs w:val="21"/>
        </w:rPr>
        <w:t xml:space="preserve">Silver Spring, MD 20993 </w:t>
      </w:r>
    </w:p>
    <w:p w14:paraId="7D41BDF1">
      <w:pPr>
        <w:adjustRightInd w:val="0"/>
        <w:snapToGrid w:val="0"/>
        <w:spacing w:before="120" w:beforeLines="50" w:line="300" w:lineRule="auto"/>
        <w:jc w:val="center"/>
        <w:rPr>
          <w:rFonts w:eastAsiaTheme="minorEastAsia"/>
          <w:i/>
          <w:sz w:val="21"/>
          <w:szCs w:val="21"/>
          <w:lang w:eastAsia="zh-CN"/>
        </w:rPr>
      </w:pPr>
      <w:r>
        <w:rPr>
          <w:rFonts w:hint="eastAsia" w:ascii="宋体" w:hAnsi="宋体" w:eastAsia="宋体" w:cs="宋体"/>
          <w:i/>
          <w:sz w:val="21"/>
          <w:szCs w:val="21"/>
          <w:lang w:eastAsia="zh-CN"/>
        </w:rPr>
        <w:t>（</w:t>
      </w:r>
      <w:r>
        <w:rPr>
          <w:rFonts w:hint="eastAsia" w:eastAsiaTheme="minorEastAsia"/>
          <w:i/>
          <w:sz w:val="21"/>
          <w:szCs w:val="21"/>
          <w:lang w:eastAsia="zh-CN"/>
        </w:rPr>
        <w:t>电话</w:t>
      </w:r>
      <w:r>
        <w:rPr>
          <w:rFonts w:hint="eastAsia" w:ascii="宋体" w:hAnsi="宋体" w:eastAsia="宋体" w:cs="宋体"/>
          <w:i/>
          <w:sz w:val="21"/>
          <w:szCs w:val="21"/>
          <w:lang w:eastAsia="zh-CN"/>
        </w:rPr>
        <w:t>）</w:t>
      </w:r>
      <w:r>
        <w:rPr>
          <w:i/>
          <w:sz w:val="21"/>
          <w:szCs w:val="21"/>
          <w:lang w:eastAsia="zh-CN"/>
        </w:rPr>
        <w:t xml:space="preserve"> 301-796-8930</w:t>
      </w:r>
    </w:p>
    <w:p w14:paraId="5E20B033">
      <w:pPr>
        <w:adjustRightInd w:val="0"/>
        <w:snapToGrid w:val="0"/>
        <w:spacing w:before="120" w:beforeLines="50" w:line="300" w:lineRule="auto"/>
        <w:jc w:val="center"/>
        <w:rPr>
          <w:rFonts w:eastAsiaTheme="minorEastAsia"/>
          <w:i/>
          <w:sz w:val="21"/>
          <w:szCs w:val="21"/>
          <w:lang w:eastAsia="zh-CN"/>
        </w:rPr>
      </w:pPr>
      <w:r>
        <w:rPr>
          <w:rFonts w:hint="eastAsia" w:ascii="宋体" w:hAnsi="宋体" w:eastAsia="宋体" w:cs="宋体"/>
          <w:i/>
          <w:sz w:val="21"/>
          <w:szCs w:val="21"/>
          <w:lang w:eastAsia="zh-CN"/>
        </w:rPr>
        <w:t>（</w:t>
      </w:r>
      <w:r>
        <w:rPr>
          <w:rFonts w:hint="eastAsia" w:asciiTheme="minorEastAsia" w:hAnsiTheme="minorEastAsia" w:eastAsiaTheme="minorEastAsia"/>
          <w:i/>
          <w:sz w:val="21"/>
          <w:szCs w:val="21"/>
          <w:lang w:eastAsia="zh-CN"/>
        </w:rPr>
        <w:t>传真</w:t>
      </w:r>
      <w:r>
        <w:rPr>
          <w:rFonts w:hint="eastAsia" w:ascii="宋体" w:hAnsi="宋体" w:eastAsia="宋体" w:cs="宋体"/>
          <w:i/>
          <w:sz w:val="21"/>
          <w:szCs w:val="21"/>
          <w:lang w:eastAsia="zh-CN"/>
        </w:rPr>
        <w:t>）</w:t>
      </w:r>
      <w:r>
        <w:rPr>
          <w:i/>
          <w:sz w:val="21"/>
          <w:szCs w:val="21"/>
          <w:lang w:eastAsia="zh-CN"/>
        </w:rPr>
        <w:t xml:space="preserve"> 301-847-8619</w:t>
      </w:r>
    </w:p>
    <w:p w14:paraId="271489CB">
      <w:pPr>
        <w:adjustRightInd w:val="0"/>
        <w:snapToGrid w:val="0"/>
        <w:spacing w:before="120" w:beforeLines="50" w:line="300" w:lineRule="auto"/>
        <w:jc w:val="center"/>
        <w:rPr>
          <w:rFonts w:eastAsiaTheme="minorEastAsia"/>
          <w:i/>
          <w:color w:val="0000FF"/>
          <w:sz w:val="21"/>
          <w:szCs w:val="21"/>
          <w:u w:val="single" w:color="0000FF"/>
          <w:lang w:eastAsia="zh-CN"/>
        </w:rPr>
      </w:pPr>
      <w:bookmarkStart w:id="0" w:name="For_questions_regarding_this_document,_c"/>
      <w:bookmarkEnd w:id="0"/>
      <w:bookmarkStart w:id="1" w:name="https://www.fda.gov/combination-products"/>
      <w:bookmarkEnd w:id="1"/>
      <w:r>
        <w:rPr>
          <w:i/>
          <w:color w:val="0000FF"/>
          <w:sz w:val="21"/>
          <w:szCs w:val="21"/>
          <w:u w:val="single" w:color="0000FF"/>
        </w:rPr>
        <w:fldChar w:fldCharType="begin"/>
      </w:r>
      <w:r>
        <w:rPr>
          <w:i/>
          <w:color w:val="0000FF"/>
          <w:sz w:val="21"/>
          <w:szCs w:val="21"/>
          <w:u w:val="single" w:color="0000FF"/>
          <w:lang w:eastAsia="zh-CN"/>
        </w:rPr>
        <w:instrText xml:space="preserve"> HYPERLINK "https://www.fda.gov/combination-products" </w:instrText>
      </w:r>
      <w:r>
        <w:rPr>
          <w:i/>
          <w:color w:val="0000FF"/>
          <w:sz w:val="21"/>
          <w:szCs w:val="21"/>
          <w:u w:val="single" w:color="0000FF"/>
        </w:rPr>
        <w:fldChar w:fldCharType="separate"/>
      </w:r>
      <w:r>
        <w:rPr>
          <w:rStyle w:val="11"/>
          <w:i/>
          <w:sz w:val="21"/>
          <w:szCs w:val="21"/>
          <w:u w:color="0000FF"/>
          <w:lang w:eastAsia="zh-CN"/>
        </w:rPr>
        <w:t>https://www.fda.gov/combination-products</w:t>
      </w:r>
      <w:r>
        <w:rPr>
          <w:i/>
          <w:color w:val="0000FF"/>
          <w:sz w:val="21"/>
          <w:szCs w:val="21"/>
          <w:u w:val="single" w:color="0000FF"/>
        </w:rPr>
        <w:fldChar w:fldCharType="end"/>
      </w:r>
    </w:p>
    <w:p w14:paraId="59F6EE7C">
      <w:pPr>
        <w:adjustRightInd w:val="0"/>
        <w:snapToGrid w:val="0"/>
        <w:spacing w:before="120" w:beforeLines="50" w:line="300" w:lineRule="auto"/>
        <w:jc w:val="center"/>
        <w:rPr>
          <w:sz w:val="21"/>
          <w:szCs w:val="21"/>
          <w:lang w:eastAsia="zh-CN"/>
        </w:rPr>
      </w:pPr>
      <w:r>
        <w:rPr>
          <w:rFonts w:eastAsia="宋体" w:cs="宋体"/>
          <w:sz w:val="21"/>
          <w:lang w:eastAsia="zh-CN"/>
        </w:rPr>
        <w:t>如果有与本文件相关的问题，请联系组合产品办公室Patricia Love，电话：301-796-8930，电子邮箱：</w:t>
      </w:r>
      <w:r>
        <w:rPr>
          <w:rFonts w:eastAsia="宋体" w:cs="宋体"/>
          <w:color w:val="0000FF"/>
          <w:sz w:val="21"/>
          <w:u w:val="single"/>
          <w:lang w:eastAsia="zh-CN"/>
        </w:rPr>
        <w:t>patricia.love@fda.hhs.gov</w:t>
      </w:r>
      <w:r>
        <w:rPr>
          <w:rFonts w:eastAsia="宋体" w:cs="宋体"/>
          <w:sz w:val="21"/>
          <w:lang w:eastAsia="zh-CN"/>
        </w:rPr>
        <w:t>或</w:t>
      </w:r>
      <w:r>
        <w:rPr>
          <w:rFonts w:eastAsia="宋体" w:cs="宋体"/>
          <w:color w:val="0000FF"/>
          <w:sz w:val="21"/>
          <w:u w:val="single"/>
          <w:lang w:eastAsia="zh-CN"/>
        </w:rPr>
        <w:t>combination@fda.gov</w:t>
      </w:r>
      <w:r>
        <w:rPr>
          <w:rFonts w:eastAsia="宋体" w:cs="宋体"/>
          <w:sz w:val="21"/>
          <w:lang w:eastAsia="zh-CN"/>
        </w:rPr>
        <w:t>。</w:t>
      </w:r>
    </w:p>
    <w:p w14:paraId="7127FEA9">
      <w:pPr>
        <w:adjustRightInd w:val="0"/>
        <w:snapToGrid w:val="0"/>
        <w:spacing w:before="120" w:beforeLines="50" w:line="300" w:lineRule="auto"/>
        <w:jc w:val="center"/>
        <w:rPr>
          <w:b/>
          <w:sz w:val="21"/>
          <w:szCs w:val="21"/>
          <w:lang w:eastAsia="zh-CN"/>
        </w:rPr>
      </w:pPr>
      <w:r>
        <w:rPr>
          <w:rFonts w:eastAsia="宋体" w:cs="宋体"/>
          <w:b/>
          <w:sz w:val="21"/>
          <w:lang w:eastAsia="zh-CN"/>
        </w:rPr>
        <w:t>美国卫生与</w:t>
      </w:r>
      <w:r>
        <w:rPr>
          <w:rFonts w:hint="eastAsia" w:eastAsia="宋体" w:cs="宋体"/>
          <w:b/>
          <w:sz w:val="21"/>
          <w:lang w:eastAsia="zh-CN"/>
        </w:rPr>
        <w:t>公众</w:t>
      </w:r>
      <w:r>
        <w:rPr>
          <w:rFonts w:eastAsia="宋体" w:cs="宋体"/>
          <w:b/>
          <w:sz w:val="21"/>
          <w:lang w:eastAsia="zh-CN"/>
        </w:rPr>
        <w:t>服务部</w:t>
      </w:r>
    </w:p>
    <w:p w14:paraId="26617DA7">
      <w:pPr>
        <w:adjustRightInd w:val="0"/>
        <w:snapToGrid w:val="0"/>
        <w:spacing w:before="120" w:beforeLines="50" w:line="300" w:lineRule="auto"/>
        <w:jc w:val="center"/>
        <w:rPr>
          <w:b/>
          <w:sz w:val="21"/>
          <w:szCs w:val="21"/>
          <w:lang w:eastAsia="zh-CN"/>
        </w:rPr>
      </w:pPr>
      <w:r>
        <w:rPr>
          <w:rFonts w:eastAsia="宋体" w:cs="宋体"/>
          <w:b/>
          <w:sz w:val="21"/>
          <w:lang w:eastAsia="zh-CN"/>
        </w:rPr>
        <w:t>美国食品药品</w:t>
      </w:r>
      <w:r>
        <w:rPr>
          <w:rFonts w:hint="eastAsia" w:eastAsia="宋体" w:cs="宋体"/>
          <w:b/>
          <w:sz w:val="21"/>
          <w:lang w:eastAsia="zh-CN"/>
        </w:rPr>
        <w:t>监督</w:t>
      </w:r>
      <w:r>
        <w:rPr>
          <w:rFonts w:eastAsia="宋体" w:cs="宋体"/>
          <w:b/>
          <w:sz w:val="21"/>
          <w:lang w:eastAsia="zh-CN"/>
        </w:rPr>
        <w:t>管理局</w:t>
      </w:r>
    </w:p>
    <w:p w14:paraId="051E24A5">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医疗器械</w:t>
      </w:r>
      <w:r>
        <w:rPr>
          <w:rFonts w:hint="eastAsia" w:eastAsia="宋体" w:cs="宋体"/>
          <w:b/>
          <w:sz w:val="21"/>
          <w:lang w:eastAsia="zh-CN"/>
        </w:rPr>
        <w:t>和辐射健康</w:t>
      </w:r>
      <w:r>
        <w:rPr>
          <w:rFonts w:eastAsia="宋体" w:cs="宋体"/>
          <w:b/>
          <w:sz w:val="21"/>
          <w:lang w:eastAsia="zh-CN"/>
        </w:rPr>
        <w:t>中心</w:t>
      </w:r>
    </w:p>
    <w:p w14:paraId="70709186">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药品评价</w:t>
      </w:r>
      <w:r>
        <w:rPr>
          <w:rFonts w:hint="eastAsia" w:eastAsia="宋体" w:cs="宋体"/>
          <w:b/>
          <w:sz w:val="21"/>
          <w:lang w:eastAsia="zh-CN"/>
        </w:rPr>
        <w:t>与</w:t>
      </w:r>
      <w:r>
        <w:rPr>
          <w:rFonts w:eastAsia="宋体" w:cs="宋体"/>
          <w:b/>
          <w:sz w:val="21"/>
          <w:lang w:eastAsia="zh-CN"/>
        </w:rPr>
        <w:t>研究中心</w:t>
      </w:r>
    </w:p>
    <w:p w14:paraId="298BBBBD">
      <w:pPr>
        <w:adjustRightInd w:val="0"/>
        <w:snapToGrid w:val="0"/>
        <w:spacing w:before="120" w:beforeLines="50" w:line="300" w:lineRule="auto"/>
        <w:jc w:val="center"/>
        <w:rPr>
          <w:b/>
          <w:sz w:val="21"/>
          <w:szCs w:val="21"/>
          <w:lang w:eastAsia="zh-CN"/>
        </w:rPr>
      </w:pPr>
      <w:r>
        <w:rPr>
          <w:rFonts w:eastAsia="宋体" w:cs="宋体"/>
          <w:b/>
          <w:sz w:val="21"/>
          <w:lang w:eastAsia="zh-CN"/>
        </w:rPr>
        <w:t>生物制品评价与研究中心</w:t>
      </w:r>
    </w:p>
    <w:p w14:paraId="70AE1773">
      <w:pPr>
        <w:adjustRightInd w:val="0"/>
        <w:snapToGrid w:val="0"/>
        <w:spacing w:before="120" w:beforeLines="50" w:line="300" w:lineRule="auto"/>
        <w:jc w:val="center"/>
        <w:rPr>
          <w:b/>
          <w:sz w:val="21"/>
          <w:szCs w:val="21"/>
          <w:lang w:eastAsia="zh-CN"/>
        </w:rPr>
      </w:pPr>
      <w:r>
        <w:rPr>
          <w:rFonts w:eastAsia="宋体" w:cs="宋体"/>
          <w:b/>
          <w:sz w:val="21"/>
          <w:lang w:eastAsia="zh-CN"/>
        </w:rPr>
        <w:t>专员办公室组合产品办公室</w:t>
      </w:r>
    </w:p>
    <w:p w14:paraId="61C69627">
      <w:pPr>
        <w:adjustRightInd w:val="0"/>
        <w:snapToGrid w:val="0"/>
        <w:spacing w:before="120" w:beforeLines="50" w:line="300" w:lineRule="auto"/>
        <w:jc w:val="center"/>
        <w:rPr>
          <w:b/>
          <w:sz w:val="21"/>
          <w:szCs w:val="21"/>
        </w:rPr>
      </w:pPr>
      <w:r>
        <w:rPr>
          <w:rFonts w:eastAsia="宋体" w:cs="宋体"/>
          <w:b/>
          <w:sz w:val="21"/>
        </w:rPr>
        <w:t>2020年4月</w:t>
      </w:r>
    </w:p>
    <w:p w14:paraId="1A7B4E48">
      <w:pPr>
        <w:adjustRightInd w:val="0"/>
        <w:snapToGrid w:val="0"/>
        <w:spacing w:before="120" w:beforeLines="50" w:line="300" w:lineRule="auto"/>
        <w:jc w:val="both"/>
        <w:rPr>
          <w:rFonts w:eastAsiaTheme="minorEastAsia"/>
          <w:b/>
          <w:sz w:val="21"/>
          <w:szCs w:val="21"/>
          <w:lang w:eastAsia="zh-CN"/>
        </w:rPr>
      </w:pPr>
    </w:p>
    <w:p w14:paraId="759BD445">
      <w:pPr>
        <w:adjustRightInd w:val="0"/>
        <w:snapToGrid w:val="0"/>
        <w:spacing w:before="120" w:beforeLines="50" w:line="300" w:lineRule="auto"/>
        <w:jc w:val="center"/>
        <w:rPr>
          <w:b/>
          <w:sz w:val="21"/>
          <w:szCs w:val="21"/>
        </w:rPr>
      </w:pPr>
      <w:r>
        <w:rPr>
          <w:rFonts w:eastAsia="宋体" w:cs="宋体"/>
          <w:b/>
          <w:sz w:val="21"/>
        </w:rPr>
        <w:t>目录</w:t>
      </w:r>
    </w:p>
    <w:p w14:paraId="762B4D8E">
      <w:pPr>
        <w:pStyle w:val="8"/>
        <w:tabs>
          <w:tab w:val="right" w:pos="9061"/>
        </w:tabs>
        <w:spacing w:before="120"/>
        <w:ind w:left="635" w:hanging="635" w:hangingChars="301"/>
        <w:rPr>
          <w:rFonts w:eastAsiaTheme="minorEastAsia"/>
          <w:kern w:val="2"/>
          <w:sz w:val="16"/>
          <w:szCs w:val="22"/>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TOC \o "1-3" \h \z \u </w:instrText>
      </w:r>
      <w:r>
        <w:rPr>
          <w:rFonts w:eastAsiaTheme="minorEastAsia"/>
          <w:b/>
          <w:sz w:val="21"/>
          <w:szCs w:val="21"/>
          <w:lang w:eastAsia="zh-CN"/>
        </w:rPr>
        <w:fldChar w:fldCharType="separate"/>
      </w:r>
      <w:r>
        <w:fldChar w:fldCharType="begin"/>
      </w:r>
      <w:r>
        <w:instrText xml:space="preserve"> HYPERLINK \l "_Toc91865912" </w:instrText>
      </w:r>
      <w:r>
        <w:fldChar w:fldCharType="separate"/>
      </w:r>
      <w:r>
        <w:rPr>
          <w:rStyle w:val="11"/>
          <w:rFonts w:eastAsia="宋体"/>
          <w:sz w:val="21"/>
          <w:lang w:eastAsia="zh-CN"/>
        </w:rPr>
        <w:t>I.</w:t>
      </w:r>
      <w:r>
        <w:rPr>
          <w:rFonts w:eastAsiaTheme="minorEastAsia"/>
          <w:kern w:val="2"/>
          <w:sz w:val="16"/>
          <w:szCs w:val="22"/>
          <w:lang w:eastAsia="zh-CN" w:bidi="ar-SA"/>
        </w:rPr>
        <w:tab/>
      </w:r>
      <w:r>
        <w:rPr>
          <w:rFonts w:hint="eastAsia" w:eastAsiaTheme="minorEastAsia"/>
          <w:kern w:val="2"/>
          <w:sz w:val="16"/>
          <w:szCs w:val="22"/>
          <w:lang w:eastAsia="zh-CN" w:bidi="ar-SA"/>
        </w:rPr>
        <w:t xml:space="preserve">     </w:t>
      </w:r>
      <w:r>
        <w:rPr>
          <w:rStyle w:val="11"/>
          <w:rFonts w:eastAsia="宋体"/>
          <w:sz w:val="21"/>
          <w:lang w:eastAsia="zh-CN"/>
        </w:rPr>
        <w:t>引言</w:t>
      </w:r>
      <w:r>
        <w:rPr>
          <w:sz w:val="21"/>
        </w:rPr>
        <w:tab/>
      </w:r>
      <w:r>
        <w:rPr>
          <w:sz w:val="21"/>
        </w:rPr>
        <w:fldChar w:fldCharType="begin"/>
      </w:r>
      <w:r>
        <w:rPr>
          <w:sz w:val="21"/>
        </w:rPr>
        <w:instrText xml:space="preserve"> PAGEREF _Toc91865912 \h </w:instrText>
      </w:r>
      <w:r>
        <w:rPr>
          <w:sz w:val="21"/>
        </w:rPr>
        <w:fldChar w:fldCharType="separate"/>
      </w:r>
      <w:r>
        <w:rPr>
          <w:sz w:val="21"/>
        </w:rPr>
        <w:t>2</w:t>
      </w:r>
      <w:r>
        <w:rPr>
          <w:sz w:val="21"/>
        </w:rPr>
        <w:fldChar w:fldCharType="end"/>
      </w:r>
      <w:r>
        <w:rPr>
          <w:sz w:val="21"/>
        </w:rPr>
        <w:fldChar w:fldCharType="end"/>
      </w:r>
    </w:p>
    <w:p w14:paraId="764B2F67">
      <w:pPr>
        <w:pStyle w:val="8"/>
        <w:tabs>
          <w:tab w:val="right" w:pos="9061"/>
        </w:tabs>
        <w:spacing w:before="120"/>
        <w:ind w:left="843" w:hanging="842" w:hangingChars="301"/>
        <w:rPr>
          <w:rFonts w:eastAsiaTheme="minorEastAsia"/>
          <w:kern w:val="2"/>
          <w:sz w:val="16"/>
          <w:szCs w:val="22"/>
          <w:lang w:eastAsia="zh-CN" w:bidi="ar-SA"/>
        </w:rPr>
      </w:pPr>
      <w:r>
        <w:fldChar w:fldCharType="begin"/>
      </w:r>
      <w:r>
        <w:instrText xml:space="preserve"> HYPERLINK \l "_Toc91865913" </w:instrText>
      </w:r>
      <w:r>
        <w:fldChar w:fldCharType="separate"/>
      </w:r>
      <w:r>
        <w:rPr>
          <w:rStyle w:val="11"/>
          <w:rFonts w:eastAsia="宋体"/>
          <w:sz w:val="21"/>
          <w:lang w:eastAsia="zh-CN"/>
        </w:rPr>
        <w:t>II.</w:t>
      </w:r>
      <w:r>
        <w:rPr>
          <w:rFonts w:eastAsiaTheme="minorEastAsia"/>
          <w:kern w:val="2"/>
          <w:sz w:val="16"/>
          <w:szCs w:val="22"/>
          <w:lang w:eastAsia="zh-CN" w:bidi="ar-SA"/>
        </w:rPr>
        <w:tab/>
      </w:r>
      <w:r>
        <w:rPr>
          <w:rStyle w:val="11"/>
          <w:rFonts w:eastAsia="宋体"/>
          <w:sz w:val="21"/>
          <w:lang w:eastAsia="zh-CN"/>
        </w:rPr>
        <w:t>范围</w:t>
      </w:r>
      <w:r>
        <w:rPr>
          <w:sz w:val="21"/>
        </w:rPr>
        <w:tab/>
      </w:r>
      <w:r>
        <w:rPr>
          <w:sz w:val="21"/>
        </w:rPr>
        <w:fldChar w:fldCharType="begin"/>
      </w:r>
      <w:r>
        <w:rPr>
          <w:sz w:val="21"/>
        </w:rPr>
        <w:instrText xml:space="preserve"> PAGEREF _Toc91865913 \h </w:instrText>
      </w:r>
      <w:r>
        <w:rPr>
          <w:sz w:val="21"/>
        </w:rPr>
        <w:fldChar w:fldCharType="separate"/>
      </w:r>
      <w:r>
        <w:rPr>
          <w:sz w:val="21"/>
        </w:rPr>
        <w:t>3</w:t>
      </w:r>
      <w:r>
        <w:rPr>
          <w:sz w:val="21"/>
        </w:rPr>
        <w:fldChar w:fldCharType="end"/>
      </w:r>
      <w:r>
        <w:rPr>
          <w:sz w:val="21"/>
        </w:rPr>
        <w:fldChar w:fldCharType="end"/>
      </w:r>
    </w:p>
    <w:p w14:paraId="3D667522">
      <w:pPr>
        <w:pStyle w:val="8"/>
        <w:tabs>
          <w:tab w:val="right" w:pos="9061"/>
        </w:tabs>
        <w:spacing w:before="120"/>
        <w:ind w:left="843" w:hanging="842" w:hangingChars="301"/>
        <w:rPr>
          <w:rFonts w:eastAsiaTheme="minorEastAsia"/>
          <w:kern w:val="2"/>
          <w:sz w:val="16"/>
          <w:szCs w:val="22"/>
          <w:lang w:eastAsia="zh-CN" w:bidi="ar-SA"/>
        </w:rPr>
      </w:pPr>
      <w:r>
        <w:fldChar w:fldCharType="begin"/>
      </w:r>
      <w:r>
        <w:instrText xml:space="preserve"> HYPERLINK \l "_Toc91865914" </w:instrText>
      </w:r>
      <w:r>
        <w:fldChar w:fldCharType="separate"/>
      </w:r>
      <w:r>
        <w:rPr>
          <w:rStyle w:val="11"/>
          <w:rFonts w:eastAsia="宋体"/>
          <w:sz w:val="21"/>
          <w:lang w:eastAsia="zh-CN"/>
        </w:rPr>
        <w:t>III.</w:t>
      </w:r>
      <w:r>
        <w:rPr>
          <w:rFonts w:eastAsiaTheme="minorEastAsia"/>
          <w:kern w:val="2"/>
          <w:sz w:val="16"/>
          <w:szCs w:val="22"/>
          <w:lang w:eastAsia="zh-CN" w:bidi="ar-SA"/>
        </w:rPr>
        <w:tab/>
      </w:r>
      <w:r>
        <w:rPr>
          <w:rStyle w:val="11"/>
          <w:rFonts w:eastAsia="宋体"/>
          <w:sz w:val="21"/>
          <w:lang w:eastAsia="zh-CN"/>
        </w:rPr>
        <w:t>监管框架</w:t>
      </w:r>
      <w:r>
        <w:rPr>
          <w:sz w:val="21"/>
        </w:rPr>
        <w:tab/>
      </w:r>
      <w:r>
        <w:rPr>
          <w:sz w:val="21"/>
        </w:rPr>
        <w:fldChar w:fldCharType="begin"/>
      </w:r>
      <w:r>
        <w:rPr>
          <w:sz w:val="21"/>
        </w:rPr>
        <w:instrText xml:space="preserve"> PAGEREF _Toc91865914 \h </w:instrText>
      </w:r>
      <w:r>
        <w:rPr>
          <w:sz w:val="21"/>
        </w:rPr>
        <w:fldChar w:fldCharType="separate"/>
      </w:r>
      <w:r>
        <w:rPr>
          <w:sz w:val="21"/>
        </w:rPr>
        <w:t>4</w:t>
      </w:r>
      <w:r>
        <w:rPr>
          <w:sz w:val="21"/>
        </w:rPr>
        <w:fldChar w:fldCharType="end"/>
      </w:r>
      <w:r>
        <w:rPr>
          <w:sz w:val="21"/>
        </w:rPr>
        <w:fldChar w:fldCharType="end"/>
      </w:r>
    </w:p>
    <w:p w14:paraId="1EA876CA">
      <w:pPr>
        <w:pStyle w:val="8"/>
        <w:tabs>
          <w:tab w:val="right" w:pos="9061"/>
        </w:tabs>
        <w:spacing w:before="120"/>
        <w:ind w:left="843" w:hanging="842" w:hangingChars="301"/>
        <w:rPr>
          <w:rFonts w:eastAsiaTheme="minorEastAsia"/>
          <w:kern w:val="2"/>
          <w:sz w:val="16"/>
          <w:szCs w:val="22"/>
          <w:lang w:eastAsia="zh-CN" w:bidi="ar-SA"/>
        </w:rPr>
      </w:pPr>
      <w:r>
        <w:fldChar w:fldCharType="begin"/>
      </w:r>
      <w:r>
        <w:instrText xml:space="preserve"> HYPERLINK \l "_Toc91865915" </w:instrText>
      </w:r>
      <w:r>
        <w:fldChar w:fldCharType="separate"/>
      </w:r>
      <w:r>
        <w:rPr>
          <w:rStyle w:val="11"/>
          <w:rFonts w:eastAsia="宋体"/>
          <w:sz w:val="21"/>
          <w:lang w:eastAsia="zh-CN"/>
        </w:rPr>
        <w:t>IV.</w:t>
      </w:r>
      <w:r>
        <w:rPr>
          <w:rFonts w:eastAsiaTheme="minorEastAsia"/>
          <w:kern w:val="2"/>
          <w:sz w:val="16"/>
          <w:szCs w:val="22"/>
          <w:lang w:eastAsia="zh-CN" w:bidi="ar-SA"/>
        </w:rPr>
        <w:tab/>
      </w:r>
      <w:r>
        <w:rPr>
          <w:rStyle w:val="11"/>
          <w:rFonts w:eastAsia="宋体"/>
          <w:sz w:val="21"/>
          <w:lang w:eastAsia="zh-CN"/>
        </w:rPr>
        <w:t>可靠性背景</w:t>
      </w:r>
      <w:r>
        <w:rPr>
          <w:sz w:val="21"/>
        </w:rPr>
        <w:tab/>
      </w:r>
      <w:r>
        <w:rPr>
          <w:sz w:val="21"/>
        </w:rPr>
        <w:fldChar w:fldCharType="begin"/>
      </w:r>
      <w:r>
        <w:rPr>
          <w:sz w:val="21"/>
        </w:rPr>
        <w:instrText xml:space="preserve"> PAGEREF _Toc91865915 \h </w:instrText>
      </w:r>
      <w:r>
        <w:rPr>
          <w:sz w:val="21"/>
        </w:rPr>
        <w:fldChar w:fldCharType="separate"/>
      </w:r>
      <w:r>
        <w:rPr>
          <w:sz w:val="21"/>
        </w:rPr>
        <w:t>5</w:t>
      </w:r>
      <w:r>
        <w:rPr>
          <w:sz w:val="21"/>
        </w:rPr>
        <w:fldChar w:fldCharType="end"/>
      </w:r>
      <w:r>
        <w:rPr>
          <w:sz w:val="21"/>
        </w:rPr>
        <w:fldChar w:fldCharType="end"/>
      </w:r>
    </w:p>
    <w:p w14:paraId="3FE1EA44">
      <w:pPr>
        <w:pStyle w:val="8"/>
        <w:tabs>
          <w:tab w:val="right" w:pos="9061"/>
        </w:tabs>
        <w:spacing w:before="120"/>
        <w:ind w:left="843" w:hanging="842" w:hangingChars="301"/>
        <w:rPr>
          <w:rFonts w:eastAsiaTheme="minorEastAsia"/>
          <w:kern w:val="2"/>
          <w:sz w:val="16"/>
          <w:szCs w:val="22"/>
          <w:lang w:eastAsia="zh-CN" w:bidi="ar-SA"/>
        </w:rPr>
      </w:pPr>
      <w:r>
        <w:fldChar w:fldCharType="begin"/>
      </w:r>
      <w:r>
        <w:instrText xml:space="preserve"> HYPERLINK \l "_Toc91865916" </w:instrText>
      </w:r>
      <w:r>
        <w:fldChar w:fldCharType="separate"/>
      </w:r>
      <w:r>
        <w:rPr>
          <w:rStyle w:val="11"/>
          <w:rFonts w:eastAsia="宋体"/>
          <w:sz w:val="21"/>
          <w:lang w:eastAsia="zh-CN"/>
        </w:rPr>
        <w:t>V.</w:t>
      </w:r>
      <w:r>
        <w:rPr>
          <w:rFonts w:eastAsiaTheme="minorEastAsia"/>
          <w:kern w:val="2"/>
          <w:sz w:val="16"/>
          <w:szCs w:val="22"/>
          <w:lang w:eastAsia="zh-CN" w:bidi="ar-SA"/>
        </w:rPr>
        <w:tab/>
      </w:r>
      <w:r>
        <w:rPr>
          <w:rStyle w:val="11"/>
          <w:rFonts w:eastAsia="宋体"/>
          <w:sz w:val="21"/>
          <w:lang w:eastAsia="zh-CN"/>
        </w:rPr>
        <w:t>上市前申请的可靠性报告编制和内容建议</w:t>
      </w:r>
      <w:r>
        <w:rPr>
          <w:sz w:val="21"/>
        </w:rPr>
        <w:tab/>
      </w:r>
      <w:r>
        <w:rPr>
          <w:sz w:val="21"/>
        </w:rPr>
        <w:fldChar w:fldCharType="begin"/>
      </w:r>
      <w:r>
        <w:rPr>
          <w:sz w:val="21"/>
        </w:rPr>
        <w:instrText xml:space="preserve"> PAGEREF _Toc91865916 \h </w:instrText>
      </w:r>
      <w:r>
        <w:rPr>
          <w:sz w:val="21"/>
        </w:rPr>
        <w:fldChar w:fldCharType="separate"/>
      </w:r>
      <w:r>
        <w:rPr>
          <w:sz w:val="21"/>
        </w:rPr>
        <w:t>9</w:t>
      </w:r>
      <w:r>
        <w:rPr>
          <w:sz w:val="21"/>
        </w:rPr>
        <w:fldChar w:fldCharType="end"/>
      </w:r>
      <w:r>
        <w:rPr>
          <w:sz w:val="21"/>
        </w:rPr>
        <w:fldChar w:fldCharType="end"/>
      </w:r>
    </w:p>
    <w:p w14:paraId="58E50619">
      <w:pPr>
        <w:pStyle w:val="8"/>
        <w:tabs>
          <w:tab w:val="right" w:pos="9061"/>
        </w:tabs>
        <w:spacing w:before="120"/>
        <w:ind w:left="843" w:hanging="842" w:hangingChars="301"/>
        <w:rPr>
          <w:rFonts w:eastAsiaTheme="minorEastAsia"/>
          <w:kern w:val="2"/>
          <w:sz w:val="16"/>
          <w:szCs w:val="22"/>
          <w:lang w:eastAsia="zh-CN" w:bidi="ar-SA"/>
        </w:rPr>
      </w:pPr>
      <w:r>
        <w:fldChar w:fldCharType="begin"/>
      </w:r>
      <w:r>
        <w:instrText xml:space="preserve"> HYPERLINK \l "_Toc91865917" </w:instrText>
      </w:r>
      <w:r>
        <w:fldChar w:fldCharType="separate"/>
      </w:r>
      <w:r>
        <w:rPr>
          <w:rStyle w:val="11"/>
          <w:rFonts w:eastAsia="宋体"/>
          <w:sz w:val="21"/>
          <w:lang w:eastAsia="zh-CN"/>
        </w:rPr>
        <w:t>VI.</w:t>
      </w:r>
      <w:r>
        <w:rPr>
          <w:rFonts w:eastAsiaTheme="minorEastAsia"/>
          <w:kern w:val="2"/>
          <w:sz w:val="16"/>
          <w:szCs w:val="22"/>
          <w:lang w:eastAsia="zh-CN" w:bidi="ar-SA"/>
        </w:rPr>
        <w:tab/>
      </w:r>
      <w:r>
        <w:rPr>
          <w:rStyle w:val="11"/>
          <w:rFonts w:eastAsia="宋体"/>
          <w:sz w:val="21"/>
          <w:lang w:eastAsia="zh-CN"/>
        </w:rPr>
        <w:t>可靠性报告格式考虑因素</w:t>
      </w:r>
      <w:r>
        <w:rPr>
          <w:sz w:val="21"/>
        </w:rPr>
        <w:tab/>
      </w:r>
      <w:r>
        <w:rPr>
          <w:sz w:val="21"/>
        </w:rPr>
        <w:fldChar w:fldCharType="begin"/>
      </w:r>
      <w:r>
        <w:rPr>
          <w:sz w:val="21"/>
        </w:rPr>
        <w:instrText xml:space="preserve"> PAGEREF _Toc91865917 \h </w:instrText>
      </w:r>
      <w:r>
        <w:rPr>
          <w:sz w:val="21"/>
        </w:rPr>
        <w:fldChar w:fldCharType="separate"/>
      </w:r>
      <w:r>
        <w:rPr>
          <w:sz w:val="21"/>
        </w:rPr>
        <w:t>17</w:t>
      </w:r>
      <w:r>
        <w:rPr>
          <w:sz w:val="21"/>
        </w:rPr>
        <w:fldChar w:fldCharType="end"/>
      </w:r>
      <w:r>
        <w:rPr>
          <w:sz w:val="21"/>
        </w:rPr>
        <w:fldChar w:fldCharType="end"/>
      </w:r>
    </w:p>
    <w:p w14:paraId="6527CD4A">
      <w:pPr>
        <w:pStyle w:val="8"/>
        <w:tabs>
          <w:tab w:val="right" w:pos="9061"/>
        </w:tabs>
        <w:spacing w:before="120"/>
        <w:ind w:left="843" w:hanging="842" w:hangingChars="301"/>
        <w:rPr>
          <w:rFonts w:eastAsiaTheme="minorEastAsia"/>
          <w:kern w:val="2"/>
          <w:sz w:val="16"/>
          <w:szCs w:val="22"/>
          <w:lang w:eastAsia="zh-CN" w:bidi="ar-SA"/>
        </w:rPr>
      </w:pPr>
      <w:r>
        <w:fldChar w:fldCharType="begin"/>
      </w:r>
      <w:r>
        <w:instrText xml:space="preserve"> HYPERLINK \l "_Toc91865918" </w:instrText>
      </w:r>
      <w:r>
        <w:fldChar w:fldCharType="separate"/>
      </w:r>
      <w:r>
        <w:rPr>
          <w:rStyle w:val="11"/>
          <w:rFonts w:eastAsia="宋体"/>
          <w:sz w:val="21"/>
          <w:lang w:eastAsia="zh-CN"/>
        </w:rPr>
        <w:t>VII.</w:t>
      </w:r>
      <w:r>
        <w:rPr>
          <w:rFonts w:eastAsiaTheme="minorEastAsia"/>
          <w:kern w:val="2"/>
          <w:sz w:val="16"/>
          <w:szCs w:val="22"/>
          <w:lang w:eastAsia="zh-CN" w:bidi="ar-SA"/>
        </w:rPr>
        <w:tab/>
      </w:r>
      <w:r>
        <w:rPr>
          <w:rStyle w:val="11"/>
          <w:rFonts w:eastAsia="宋体"/>
          <w:sz w:val="21"/>
          <w:lang w:eastAsia="zh-CN"/>
        </w:rPr>
        <w:t>附加信息的位置</w:t>
      </w:r>
      <w:r>
        <w:rPr>
          <w:sz w:val="21"/>
        </w:rPr>
        <w:tab/>
      </w:r>
      <w:r>
        <w:rPr>
          <w:sz w:val="21"/>
        </w:rPr>
        <w:fldChar w:fldCharType="begin"/>
      </w:r>
      <w:r>
        <w:rPr>
          <w:sz w:val="21"/>
        </w:rPr>
        <w:instrText xml:space="preserve"> PAGEREF _Toc91865918 \h </w:instrText>
      </w:r>
      <w:r>
        <w:rPr>
          <w:sz w:val="21"/>
        </w:rPr>
        <w:fldChar w:fldCharType="separate"/>
      </w:r>
      <w:r>
        <w:rPr>
          <w:sz w:val="21"/>
        </w:rPr>
        <w:t>17</w:t>
      </w:r>
      <w:r>
        <w:rPr>
          <w:sz w:val="21"/>
        </w:rPr>
        <w:fldChar w:fldCharType="end"/>
      </w:r>
      <w:r>
        <w:rPr>
          <w:sz w:val="21"/>
        </w:rPr>
        <w:fldChar w:fldCharType="end"/>
      </w:r>
    </w:p>
    <w:p w14:paraId="42FB726A">
      <w:pPr>
        <w:pStyle w:val="8"/>
        <w:tabs>
          <w:tab w:val="left" w:pos="1680"/>
          <w:tab w:val="right" w:pos="9061"/>
        </w:tabs>
        <w:spacing w:before="120"/>
        <w:ind w:left="843" w:hanging="842" w:hangingChars="301"/>
        <w:rPr>
          <w:rFonts w:eastAsiaTheme="minorEastAsia"/>
          <w:kern w:val="2"/>
          <w:sz w:val="16"/>
          <w:szCs w:val="22"/>
          <w:lang w:eastAsia="zh-CN" w:bidi="ar-SA"/>
        </w:rPr>
      </w:pPr>
      <w:r>
        <w:fldChar w:fldCharType="begin"/>
      </w:r>
      <w:r>
        <w:instrText xml:space="preserve"> HYPERLINK \l "_Toc91865919" </w:instrText>
      </w:r>
      <w:r>
        <w:fldChar w:fldCharType="separate"/>
      </w:r>
      <w:r>
        <w:rPr>
          <w:rStyle w:val="11"/>
          <w:rFonts w:eastAsia="宋体"/>
          <w:sz w:val="21"/>
          <w:lang w:eastAsia="zh-CN"/>
        </w:rPr>
        <w:t>VIII.</w:t>
      </w:r>
      <w:r>
        <w:rPr>
          <w:rFonts w:eastAsiaTheme="minorEastAsia"/>
          <w:kern w:val="2"/>
          <w:sz w:val="16"/>
          <w:szCs w:val="22"/>
          <w:lang w:eastAsia="zh-CN" w:bidi="ar-SA"/>
        </w:rPr>
        <w:tab/>
      </w:r>
      <w:r>
        <w:rPr>
          <w:rStyle w:val="11"/>
          <w:rFonts w:eastAsia="宋体"/>
          <w:sz w:val="21"/>
          <w:lang w:eastAsia="zh-CN"/>
        </w:rPr>
        <w:t>附录：故障树示例</w:t>
      </w:r>
      <w:r>
        <w:rPr>
          <w:sz w:val="21"/>
        </w:rPr>
        <w:tab/>
      </w:r>
      <w:r>
        <w:rPr>
          <w:sz w:val="21"/>
        </w:rPr>
        <w:fldChar w:fldCharType="begin"/>
      </w:r>
      <w:r>
        <w:rPr>
          <w:sz w:val="21"/>
        </w:rPr>
        <w:instrText xml:space="preserve"> PAGEREF _Toc91865919 \h </w:instrText>
      </w:r>
      <w:r>
        <w:rPr>
          <w:sz w:val="21"/>
        </w:rPr>
        <w:fldChar w:fldCharType="separate"/>
      </w:r>
      <w:r>
        <w:rPr>
          <w:sz w:val="21"/>
        </w:rPr>
        <w:t>19</w:t>
      </w:r>
      <w:r>
        <w:rPr>
          <w:sz w:val="21"/>
        </w:rPr>
        <w:fldChar w:fldCharType="end"/>
      </w:r>
      <w:r>
        <w:rPr>
          <w:sz w:val="21"/>
        </w:rPr>
        <w:fldChar w:fldCharType="end"/>
      </w:r>
    </w:p>
    <w:p w14:paraId="436120E1">
      <w:pPr>
        <w:adjustRightInd w:val="0"/>
        <w:snapToGrid w:val="0"/>
        <w:spacing w:before="120" w:beforeLines="50" w:line="300" w:lineRule="auto"/>
        <w:jc w:val="both"/>
        <w:rPr>
          <w:rFonts w:eastAsiaTheme="minorEastAsia"/>
          <w:b/>
          <w:sz w:val="21"/>
          <w:szCs w:val="21"/>
          <w:lang w:eastAsia="zh-CN"/>
        </w:rPr>
      </w:pPr>
      <w:r>
        <w:rPr>
          <w:rFonts w:eastAsiaTheme="minorEastAsia"/>
          <w:b/>
          <w:sz w:val="21"/>
          <w:szCs w:val="21"/>
          <w:lang w:eastAsia="zh-CN"/>
        </w:rPr>
        <w:fldChar w:fldCharType="end"/>
      </w:r>
    </w:p>
    <w:p w14:paraId="00371F73">
      <w:pPr>
        <w:adjustRightInd w:val="0"/>
        <w:snapToGrid w:val="0"/>
        <w:spacing w:before="120" w:beforeLines="50" w:line="300" w:lineRule="auto"/>
        <w:jc w:val="both"/>
        <w:rPr>
          <w:b/>
          <w:sz w:val="21"/>
          <w:szCs w:val="21"/>
        </w:rPr>
        <w:sectPr>
          <w:headerReference r:id="rId3" w:type="default"/>
          <w:footerReference r:id="rId4" w:type="default"/>
          <w:pgSz w:w="11907" w:h="16840"/>
          <w:pgMar w:top="1418" w:right="1418" w:bottom="1418" w:left="1418" w:header="720" w:footer="720" w:gutter="0"/>
          <w:pgNumType w:fmt="lowerRoman" w:start="1"/>
          <w:cols w:space="720" w:num="1"/>
        </w:sectPr>
      </w:pPr>
    </w:p>
    <w:p w14:paraId="5DBE2BBC">
      <w:pPr>
        <w:adjustRightInd w:val="0"/>
        <w:snapToGrid w:val="0"/>
        <w:spacing w:before="120" w:beforeLines="50" w:line="300" w:lineRule="auto"/>
        <w:jc w:val="center"/>
        <w:rPr>
          <w:b/>
          <w:sz w:val="24"/>
          <w:szCs w:val="28"/>
          <w:lang w:eastAsia="zh-CN"/>
        </w:rPr>
      </w:pPr>
      <w:r>
        <w:rPr>
          <w:rFonts w:eastAsia="宋体" w:cs="宋体"/>
          <w:b/>
          <w:sz w:val="24"/>
          <w:lang w:eastAsia="zh-CN"/>
        </w:rPr>
        <w:t>根据BLA、NDA或ANDA提交的证明急救用注射器可靠性的技术考量：行业和美国食品药品</w:t>
      </w:r>
      <w:r>
        <w:rPr>
          <w:rFonts w:hint="eastAsia" w:eastAsia="宋体" w:cs="宋体"/>
          <w:b/>
          <w:sz w:val="24"/>
          <w:lang w:eastAsia="zh-CN"/>
        </w:rPr>
        <w:t>监督</w:t>
      </w:r>
      <w:r>
        <w:rPr>
          <w:rFonts w:eastAsia="宋体" w:cs="宋体"/>
          <w:b/>
          <w:sz w:val="24"/>
          <w:lang w:eastAsia="zh-CN"/>
        </w:rPr>
        <w:t>管理局工作人员指南</w:t>
      </w:r>
      <w:r>
        <w:rPr>
          <w:rFonts w:eastAsia="宋体" w:cs="宋体"/>
          <w:b/>
          <w:sz w:val="24"/>
          <w:vertAlign w:val="superscript"/>
          <w:lang w:eastAsia="zh-CN"/>
        </w:rPr>
        <w:t>1</w:t>
      </w:r>
    </w:p>
    <w:tbl>
      <w:tblPr>
        <w:tblStyle w:val="12"/>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24D510CF">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63A0A489">
            <w:pPr>
              <w:pStyle w:val="4"/>
              <w:adjustRightInd w:val="0"/>
              <w:snapToGrid w:val="0"/>
              <w:spacing w:before="120" w:beforeLines="50" w:line="300" w:lineRule="auto"/>
              <w:jc w:val="both"/>
              <w:rPr>
                <w:i/>
                <w:sz w:val="21"/>
                <w:szCs w:val="21"/>
                <w:lang w:eastAsia="zh-CN"/>
              </w:rPr>
            </w:pPr>
            <w:r>
              <w:rPr>
                <w:rFonts w:hint="eastAsia" w:eastAsia="宋体" w:cs="宋体"/>
                <w:i/>
                <w:sz w:val="21"/>
                <w:lang w:eastAsia="zh-CN"/>
              </w:rPr>
              <w:t>本指南草案代表美国食品药品监督管理局（</w:t>
            </w:r>
            <w:r>
              <w:rPr>
                <w:rFonts w:eastAsia="宋体" w:cs="宋体"/>
                <w:i/>
                <w:sz w:val="21"/>
                <w:lang w:eastAsia="zh-CN"/>
              </w:rPr>
              <w:t>FDA或本机构</w:t>
            </w:r>
            <w:r>
              <w:rPr>
                <w:rFonts w:hint="eastAsia" w:eastAsia="宋体" w:cs="宋体"/>
                <w:i/>
                <w:sz w:val="21"/>
                <w:lang w:eastAsia="zh-CN"/>
              </w:rPr>
              <w:t>）目前关于该主题的思考。本指南不会为任何人创造或赋予任何权利，也不会对</w:t>
            </w:r>
            <w:r>
              <w:rPr>
                <w:rFonts w:eastAsia="宋体" w:cs="宋体"/>
                <w:i/>
                <w:sz w:val="21"/>
                <w:lang w:eastAsia="zh-CN"/>
              </w:rPr>
              <w:t>FDA</w:t>
            </w:r>
            <w:r>
              <w:rPr>
                <w:rFonts w:hint="eastAsia" w:eastAsia="宋体" w:cs="宋体"/>
                <w:i/>
                <w:sz w:val="21"/>
                <w:lang w:eastAsia="zh-CN"/>
              </w:rPr>
              <w:t>或公众产生约束。如果替代方法满足适用的法律法规的要求，则可以使用该方法。如需讨论替代方法，请联系标题页负责实施本指南文件的</w:t>
            </w:r>
            <w:r>
              <w:rPr>
                <w:rFonts w:eastAsia="宋体" w:cs="宋体"/>
                <w:i/>
                <w:sz w:val="21"/>
                <w:lang w:eastAsia="zh-CN"/>
              </w:rPr>
              <w:t>FDA</w:t>
            </w:r>
            <w:r>
              <w:rPr>
                <w:rFonts w:hint="eastAsia" w:eastAsia="宋体" w:cs="宋体"/>
                <w:i/>
                <w:sz w:val="21"/>
                <w:lang w:eastAsia="zh-CN"/>
              </w:rPr>
              <w:t>工作人员或办公室。</w:t>
            </w:r>
          </w:p>
        </w:tc>
      </w:tr>
    </w:tbl>
    <w:p w14:paraId="1CF2A467">
      <w:pPr>
        <w:pStyle w:val="4"/>
        <w:adjustRightInd w:val="0"/>
        <w:snapToGrid w:val="0"/>
        <w:spacing w:before="120" w:beforeLines="50" w:line="300" w:lineRule="auto"/>
        <w:ind w:left="1160" w:leftChars="200" w:hanging="720" w:hangingChars="300"/>
        <w:jc w:val="both"/>
        <w:outlineLvl w:val="0"/>
        <w:rPr>
          <w:szCs w:val="21"/>
          <w:lang w:eastAsia="zh-CN"/>
        </w:rPr>
      </w:pPr>
      <w:bookmarkStart w:id="2" w:name="_Toc91865912"/>
      <w:r>
        <w:rPr>
          <w:rFonts w:eastAsia="宋体" w:cs="宋体"/>
          <w:lang w:eastAsia="zh-CN"/>
        </w:rPr>
        <w:t>I.</w:t>
      </w:r>
      <w:r>
        <w:rPr>
          <w:rFonts w:eastAsia="宋体" w:cs="宋体"/>
          <w:lang w:eastAsia="zh-CN"/>
        </w:rPr>
        <w:tab/>
      </w:r>
      <w:r>
        <w:rPr>
          <w:rFonts w:eastAsia="宋体" w:cs="宋体"/>
          <w:lang w:eastAsia="zh-CN"/>
        </w:rPr>
        <w:t>引言</w:t>
      </w:r>
      <w:bookmarkEnd w:id="2"/>
    </w:p>
    <w:p w14:paraId="2399B6AC">
      <w:pPr>
        <w:pStyle w:val="4"/>
        <w:adjustRightInd w:val="0"/>
        <w:snapToGrid w:val="0"/>
        <w:spacing w:before="120" w:beforeLines="50" w:line="300" w:lineRule="auto"/>
        <w:jc w:val="both"/>
        <w:rPr>
          <w:sz w:val="21"/>
          <w:szCs w:val="21"/>
          <w:lang w:eastAsia="zh-CN"/>
        </w:rPr>
      </w:pPr>
      <w:r>
        <w:rPr>
          <w:rFonts w:eastAsia="宋体" w:cs="宋体"/>
          <w:sz w:val="21"/>
          <w:lang w:eastAsia="zh-CN"/>
        </w:rPr>
        <w:t>本指南涵盖根据生物制品许可申请（BLA）、新药申请（NDA）或简化新药申请（ANDA）提交的急救用注射器。术语“急救用注射器”是指与急救用药物</w:t>
      </w:r>
      <w:r>
        <w:rPr>
          <w:rFonts w:eastAsia="宋体" w:cs="宋体"/>
          <w:sz w:val="21"/>
          <w:vertAlign w:val="superscript"/>
          <w:lang w:eastAsia="zh-CN"/>
        </w:rPr>
        <w:t>2</w:t>
      </w:r>
      <w:r>
        <w:rPr>
          <w:rFonts w:eastAsia="宋体" w:cs="宋体"/>
          <w:sz w:val="21"/>
          <w:lang w:eastAsia="zh-CN"/>
        </w:rPr>
        <w:t>一起</w:t>
      </w:r>
      <w:r>
        <w:rPr>
          <w:rFonts w:hint="eastAsia" w:eastAsia="宋体" w:cs="宋体"/>
          <w:sz w:val="21"/>
          <w:lang w:eastAsia="zh-CN"/>
        </w:rPr>
        <w:t>作为</w:t>
      </w:r>
      <w:r>
        <w:rPr>
          <w:rFonts w:eastAsia="宋体" w:cs="宋体"/>
          <w:sz w:val="21"/>
          <w:lang w:eastAsia="zh-CN"/>
        </w:rPr>
        <w:t>预充式单一实体组合产品（根据21 CFR 3.2(e)(1)）或共同包装的组合产品（根据21 CFR 3.2(e)(2)）的形式上市销售的注射器。急救用注射器包括笔式注射器、自动注射器或可穿戴式给药系统，用于过敏性反应、阿片类药物过量、中毒或重度低血糖等情况的急救药物。</w:t>
      </w:r>
    </w:p>
    <w:p w14:paraId="5B01A140">
      <w:pPr>
        <w:pStyle w:val="4"/>
        <w:adjustRightInd w:val="0"/>
        <w:snapToGrid w:val="0"/>
        <w:spacing w:before="120" w:beforeLines="50" w:line="300" w:lineRule="auto"/>
        <w:jc w:val="both"/>
        <w:rPr>
          <w:sz w:val="21"/>
          <w:szCs w:val="21"/>
          <w:lang w:eastAsia="zh-CN"/>
        </w:rPr>
      </w:pPr>
      <w:r>
        <w:rPr>
          <w:rFonts w:eastAsia="宋体" w:cs="宋体"/>
          <w:sz w:val="21"/>
          <w:lang w:eastAsia="zh-CN"/>
        </w:rPr>
        <w:t>对于预期用于治疗紧急、危及生命的疾病的注射药物或生物制品，必须确保急救用注射器能够可靠地按预期递送药物。注射器失效可能妨碍向患者充分递送救命药物。在这种情况下，可靠性定义为注射器在规定条件下和给定的时间间隔内按预期发挥作用且不发生失效的概率。</w:t>
      </w:r>
      <w:r>
        <w:rPr>
          <w:rFonts w:eastAsia="宋体" w:cs="宋体"/>
          <w:sz w:val="21"/>
          <w:vertAlign w:val="superscript"/>
          <w:lang w:eastAsia="zh-CN"/>
        </w:rPr>
        <w:t>3</w:t>
      </w:r>
    </w:p>
    <w:p w14:paraId="6893FA00">
      <w:pPr>
        <w:pStyle w:val="4"/>
        <w:adjustRightInd w:val="0"/>
        <w:snapToGrid w:val="0"/>
        <w:spacing w:before="120" w:beforeLines="50" w:line="300" w:lineRule="auto"/>
        <w:jc w:val="both"/>
        <w:rPr>
          <w:sz w:val="21"/>
          <w:szCs w:val="21"/>
          <w:lang w:eastAsia="zh-CN"/>
        </w:rPr>
      </w:pPr>
      <w:r>
        <w:rPr>
          <w:rFonts w:eastAsia="宋体" w:cs="宋体"/>
          <w:sz w:val="21"/>
          <w:lang w:eastAsia="zh-CN"/>
        </w:rPr>
        <w:t>FDA指南文件《与药物和生物制品一起使用的笔式注射器、喷射式注射器和相关注射器的技术考虑因素》提供了对一系列各种用途的注射器的上市申请中包含的技术和科学信息的一般建议。</w:t>
      </w:r>
      <w:r>
        <w:rPr>
          <w:rFonts w:eastAsia="宋体" w:cs="宋体"/>
          <w:sz w:val="21"/>
          <w:vertAlign w:val="superscript"/>
          <w:lang w:eastAsia="zh-CN"/>
        </w:rPr>
        <w:t>4</w:t>
      </w:r>
      <w:r>
        <w:rPr>
          <w:rFonts w:eastAsia="宋体" w:cs="宋体"/>
          <w:sz w:val="21"/>
          <w:lang w:eastAsia="zh-CN"/>
        </w:rPr>
        <w:t>在该文件中，注射器递送药物的可靠性被列为FDA在上市前审查中评估的功能要素之一。本文件描述了FDA建议在上市申请中纳入的用于证明急救用注射器可靠性的附加信息和数据。</w:t>
      </w:r>
    </w:p>
    <w:p w14:paraId="0FEAC578">
      <w:pPr>
        <w:pStyle w:val="4"/>
        <w:adjustRightInd w:val="0"/>
        <w:snapToGrid w:val="0"/>
        <w:spacing w:before="3600" w:beforeLines="1500" w:line="300" w:lineRule="auto"/>
        <w:jc w:val="both"/>
        <w:rPr>
          <w:rFonts w:eastAsiaTheme="minorEastAsia"/>
          <w:sz w:val="21"/>
          <w:szCs w:val="21"/>
          <w:lang w:eastAsia="zh-CN"/>
        </w:rPr>
      </w:pPr>
      <w:r>
        <w:rPr>
          <w:rFonts w:eastAsia="宋体" w:cs="宋体"/>
          <w:sz w:val="21"/>
          <w:lang w:eastAsia="zh-CN"/>
        </w:rPr>
        <w:t>____________________</w:t>
      </w:r>
    </w:p>
    <w:p w14:paraId="3CA63C8C">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w:t>
      </w:r>
      <w:r>
        <w:rPr>
          <w:rFonts w:eastAsia="宋体" w:cs="宋体"/>
          <w:sz w:val="18"/>
          <w:lang w:eastAsia="zh-CN"/>
        </w:rPr>
        <w:t xml:space="preserve"> 本指南由美国食品药品</w:t>
      </w:r>
      <w:r>
        <w:rPr>
          <w:rFonts w:hint="eastAsia" w:eastAsia="宋体" w:cs="宋体"/>
          <w:sz w:val="18"/>
          <w:lang w:eastAsia="zh-CN"/>
        </w:rPr>
        <w:t>监督</w:t>
      </w:r>
      <w:r>
        <w:rPr>
          <w:rFonts w:eastAsia="宋体" w:cs="宋体"/>
          <w:sz w:val="18"/>
          <w:lang w:eastAsia="zh-CN"/>
        </w:rPr>
        <w:t>管理局的器械和放射卫生中心、药品评价与研究中心、生物制品评价与研究中心、药品和烟草办公室/临床政策和计划办公室/专员办公室的组合产品办公室合作编写。</w:t>
      </w:r>
    </w:p>
    <w:p w14:paraId="506DAA4A">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w:t>
      </w:r>
      <w:r>
        <w:rPr>
          <w:rFonts w:eastAsia="宋体" w:cs="宋体"/>
          <w:sz w:val="18"/>
          <w:lang w:eastAsia="zh-CN"/>
        </w:rPr>
        <w:t xml:space="preserve"> 在本指南中，除非另有说明，否则“药物”一词适用于人用药物和生物制品。</w:t>
      </w:r>
    </w:p>
    <w:p w14:paraId="1A2AB426">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w:t>
      </w:r>
      <w:r>
        <w:rPr>
          <w:rFonts w:eastAsia="宋体" w:cs="宋体"/>
          <w:sz w:val="18"/>
          <w:lang w:eastAsia="zh-CN"/>
        </w:rPr>
        <w:t xml:space="preserve"> 可靠性定义来源：IEC 61078:2016 - 可靠性框图。一些机构指南文件使用“稳健性”一词表达可靠性概念。</w:t>
      </w:r>
    </w:p>
    <w:p w14:paraId="734DD26B">
      <w:pPr>
        <w:adjustRightInd w:val="0"/>
        <w:snapToGrid w:val="0"/>
        <w:spacing w:before="36" w:beforeLines="15" w:line="276" w:lineRule="auto"/>
        <w:jc w:val="both"/>
        <w:rPr>
          <w:b/>
          <w:sz w:val="21"/>
          <w:szCs w:val="21"/>
        </w:rPr>
      </w:pPr>
      <w:r>
        <w:rPr>
          <w:rFonts w:eastAsia="宋体" w:cs="宋体"/>
          <w:sz w:val="18"/>
          <w:vertAlign w:val="superscript"/>
        </w:rPr>
        <w:t>4</w:t>
      </w:r>
      <w:r>
        <w:rPr>
          <w:rFonts w:eastAsia="宋体" w:cs="宋体"/>
          <w:sz w:val="18"/>
        </w:rPr>
        <w:t xml:space="preserve"> FDA指南《与药物和生物制品一起使用的笔式注射器、喷射式注射器和相关注射器的技术考虑因素》可登录以下网址获取：</w:t>
      </w:r>
      <w:r>
        <w:rPr>
          <w:rFonts w:eastAsia="宋体" w:cs="宋体"/>
          <w:color w:val="0000FF"/>
          <w:sz w:val="18"/>
          <w:u w:val="single"/>
        </w:rPr>
        <w:t>https://www.fda.gov/regulatory-information/search-fda-guidance-</w:t>
      </w:r>
      <w:r>
        <w:rPr>
          <w:rFonts w:eastAsia="宋体" w:cs="宋体"/>
          <w:color w:val="0000FF"/>
          <w:sz w:val="18"/>
        </w:rPr>
        <w:t xml:space="preserve"> </w:t>
      </w:r>
      <w:r>
        <w:rPr>
          <w:rFonts w:eastAsia="宋体" w:cs="宋体"/>
          <w:color w:val="0000FF"/>
          <w:sz w:val="18"/>
          <w:u w:val="single"/>
        </w:rPr>
        <w:t>documents/technical-considerations-pen-jet-and-related-injectors-intended-use-drugs-and-biological-products</w:t>
      </w:r>
      <w:r>
        <w:rPr>
          <w:rFonts w:eastAsia="宋体" w:cs="宋体"/>
          <w:sz w:val="18"/>
        </w:rPr>
        <w:t>。</w:t>
      </w:r>
      <w:r>
        <w:rPr>
          <w:rFonts w:eastAsia="宋体" w:cs="宋体"/>
          <w:b/>
          <w:sz w:val="21"/>
        </w:rPr>
        <w:br w:type="page"/>
      </w:r>
    </w:p>
    <w:p w14:paraId="0B8E510E">
      <w:pPr>
        <w:pStyle w:val="4"/>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eastAsia="宋体" w:cs="宋体"/>
          <w:sz w:val="21"/>
          <w:lang w:eastAsia="zh-CN"/>
        </w:rPr>
        <w:t>。</w:t>
      </w:r>
    </w:p>
    <w:p w14:paraId="6DC83510">
      <w:pPr>
        <w:pStyle w:val="4"/>
        <w:adjustRightInd w:val="0"/>
        <w:snapToGrid w:val="0"/>
        <w:spacing w:before="120" w:beforeLines="50" w:line="300" w:lineRule="auto"/>
        <w:ind w:left="1160" w:leftChars="200" w:hanging="720" w:hangingChars="300"/>
        <w:jc w:val="both"/>
        <w:outlineLvl w:val="0"/>
        <w:rPr>
          <w:szCs w:val="21"/>
          <w:lang w:eastAsia="zh-CN"/>
        </w:rPr>
      </w:pPr>
      <w:bookmarkStart w:id="3" w:name="_Toc91865913"/>
      <w:r>
        <w:rPr>
          <w:rFonts w:eastAsia="宋体" w:cs="宋体"/>
          <w:lang w:eastAsia="zh-CN"/>
        </w:rPr>
        <w:t>II.</w:t>
      </w:r>
      <w:r>
        <w:rPr>
          <w:rFonts w:eastAsia="宋体" w:cs="宋体"/>
          <w:lang w:eastAsia="zh-CN"/>
        </w:rPr>
        <w:tab/>
      </w:r>
      <w:r>
        <w:rPr>
          <w:rFonts w:eastAsia="宋体" w:cs="宋体"/>
          <w:lang w:eastAsia="zh-CN"/>
        </w:rPr>
        <w:t>范围</w:t>
      </w:r>
      <w:bookmarkEnd w:id="3"/>
    </w:p>
    <w:p w14:paraId="34A8A2BF">
      <w:pPr>
        <w:pStyle w:val="4"/>
        <w:adjustRightInd w:val="0"/>
        <w:snapToGrid w:val="0"/>
        <w:spacing w:before="120" w:beforeLines="50" w:line="300" w:lineRule="auto"/>
        <w:jc w:val="both"/>
        <w:rPr>
          <w:sz w:val="21"/>
          <w:szCs w:val="21"/>
          <w:lang w:eastAsia="zh-CN"/>
        </w:rPr>
      </w:pPr>
      <w:r>
        <w:rPr>
          <w:rFonts w:eastAsia="宋体" w:cs="宋体"/>
          <w:sz w:val="21"/>
          <w:lang w:eastAsia="zh-CN"/>
        </w:rPr>
        <w:t>本指南专注于与急救用药物一起</w:t>
      </w:r>
      <w:r>
        <w:rPr>
          <w:rFonts w:hint="eastAsia" w:eastAsia="宋体" w:cs="宋体"/>
          <w:sz w:val="21"/>
          <w:lang w:eastAsia="zh-CN"/>
        </w:rPr>
        <w:t>作为</w:t>
      </w:r>
      <w:r>
        <w:rPr>
          <w:rFonts w:eastAsia="宋体" w:cs="宋体"/>
          <w:sz w:val="21"/>
          <w:lang w:eastAsia="zh-CN"/>
        </w:rPr>
        <w:t>预充式单一实体组合产品或共同包装的组合产品的形式上市销售的急救用注射器。</w:t>
      </w:r>
      <w:r>
        <w:rPr>
          <w:rFonts w:eastAsia="宋体" w:cs="宋体"/>
          <w:sz w:val="21"/>
          <w:vertAlign w:val="superscript"/>
          <w:lang w:eastAsia="zh-CN"/>
        </w:rPr>
        <w:t>5</w:t>
      </w:r>
      <w:r>
        <w:rPr>
          <w:rFonts w:eastAsia="宋体" w:cs="宋体"/>
          <w:sz w:val="21"/>
          <w:lang w:eastAsia="zh-CN"/>
        </w:rPr>
        <w:t>本指南中的建议适用于预期用于治疗紧急、危及生命的疾病的组合产品（在必须确保注射器能够可靠地按预期递送药物的条件下）。</w:t>
      </w:r>
      <w:r>
        <w:rPr>
          <w:rFonts w:eastAsia="宋体" w:cs="宋体"/>
          <w:sz w:val="21"/>
          <w:vertAlign w:val="superscript"/>
          <w:lang w:eastAsia="zh-CN"/>
        </w:rPr>
        <w:t>6</w:t>
      </w:r>
      <w:r>
        <w:rPr>
          <w:rFonts w:eastAsia="宋体" w:cs="宋体"/>
          <w:sz w:val="21"/>
          <w:lang w:eastAsia="zh-CN"/>
        </w:rPr>
        <w:t>此类产品以组合产品的形式上市销售，由药品评价与研究中心（CDER）或生物制品评价与研究中心（CBER）监管，并根据NDA、ANDA或BLA批准获得上市许可。</w:t>
      </w:r>
      <w:r>
        <w:rPr>
          <w:rFonts w:eastAsia="宋体" w:cs="宋体"/>
          <w:sz w:val="21"/>
          <w:vertAlign w:val="superscript"/>
          <w:lang w:eastAsia="zh-CN"/>
        </w:rPr>
        <w:t>7</w:t>
      </w:r>
    </w:p>
    <w:p w14:paraId="44783DA5">
      <w:pPr>
        <w:pStyle w:val="4"/>
        <w:adjustRightInd w:val="0"/>
        <w:snapToGrid w:val="0"/>
        <w:spacing w:before="120" w:beforeLines="50" w:line="300" w:lineRule="auto"/>
        <w:jc w:val="both"/>
        <w:rPr>
          <w:sz w:val="21"/>
          <w:szCs w:val="21"/>
          <w:lang w:eastAsia="zh-CN"/>
        </w:rPr>
      </w:pPr>
      <w:r>
        <w:rPr>
          <w:rFonts w:eastAsia="宋体" w:cs="宋体"/>
          <w:sz w:val="21"/>
          <w:lang w:eastAsia="zh-CN"/>
        </w:rPr>
        <w:t>虽然本指南包括证明急救用注射器可靠性的具体建议</w:t>
      </w:r>
      <w:r>
        <w:rPr>
          <w:rFonts w:eastAsia="宋体" w:cs="宋体"/>
          <w:sz w:val="21"/>
          <w:vertAlign w:val="superscript"/>
          <w:lang w:eastAsia="zh-CN"/>
        </w:rPr>
        <w:t>8</w:t>
      </w:r>
      <w:r>
        <w:rPr>
          <w:rFonts w:eastAsia="宋体" w:cs="宋体"/>
          <w:sz w:val="21"/>
          <w:lang w:eastAsia="zh-CN"/>
        </w:rPr>
        <w:t>，但是这些建议在证明其他急救用药物递送器械的可靠性时也有帮助；例如，鼻内喷雾剂、吸入装置、皮肤外用喷雾剂、注射器，或透皮给药系统。应在产品开发早期与FDA讨论这些建议是否适用于特定的急救用药物递送系统，以及有关提议的可靠性证明方法的问题。</w:t>
      </w:r>
      <w:r>
        <w:rPr>
          <w:rFonts w:eastAsia="宋体" w:cs="宋体"/>
          <w:sz w:val="21"/>
          <w:vertAlign w:val="superscript"/>
          <w:lang w:eastAsia="zh-CN"/>
        </w:rPr>
        <w:t>9</w:t>
      </w:r>
    </w:p>
    <w:p w14:paraId="53E1CEFD">
      <w:pPr>
        <w:pStyle w:val="4"/>
        <w:adjustRightInd w:val="0"/>
        <w:snapToGrid w:val="0"/>
        <w:spacing w:before="4560" w:beforeLines="1900" w:line="300" w:lineRule="auto"/>
        <w:jc w:val="both"/>
        <w:rPr>
          <w:rFonts w:eastAsiaTheme="minorEastAsia"/>
          <w:sz w:val="21"/>
          <w:szCs w:val="21"/>
          <w:lang w:eastAsia="zh-CN"/>
        </w:rPr>
      </w:pPr>
      <w:r>
        <w:rPr>
          <w:rFonts w:eastAsia="宋体" w:cs="宋体"/>
          <w:sz w:val="21"/>
          <w:lang w:eastAsia="zh-CN"/>
        </w:rPr>
        <w:t>____________________</w:t>
      </w:r>
    </w:p>
    <w:p w14:paraId="18CE96E8">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5</w:t>
      </w:r>
      <w:r>
        <w:rPr>
          <w:rFonts w:eastAsia="宋体" w:cs="宋体"/>
          <w:sz w:val="18"/>
          <w:lang w:eastAsia="zh-CN"/>
        </w:rPr>
        <w:t xml:space="preserve"> 参见CFR第21篇第3部分。组合产品由不同监管类别的产品组成；例如药物-器械、器械-生物制品、药物-生物制品或药物、器械和生物制品的组合。 单一实体和共同包装的组合产品的定义参见21 CFR 3.2(e)(1)和(2)。</w:t>
      </w:r>
    </w:p>
    <w:p w14:paraId="487FF156">
      <w:pPr>
        <w:wordWrap w:val="0"/>
        <w:adjustRightInd w:val="0"/>
        <w:snapToGrid w:val="0"/>
        <w:spacing w:before="36" w:beforeLines="15" w:line="276" w:lineRule="auto"/>
        <w:jc w:val="both"/>
        <w:rPr>
          <w:sz w:val="18"/>
          <w:szCs w:val="21"/>
        </w:rPr>
      </w:pPr>
      <w:r>
        <w:rPr>
          <w:rFonts w:eastAsia="宋体" w:cs="宋体"/>
          <w:sz w:val="18"/>
          <w:vertAlign w:val="superscript"/>
          <w:lang w:eastAsia="zh-CN"/>
        </w:rPr>
        <w:t>6</w:t>
      </w:r>
      <w:r>
        <w:rPr>
          <w:rFonts w:eastAsia="宋体" w:cs="宋体"/>
          <w:sz w:val="18"/>
          <w:lang w:eastAsia="zh-CN"/>
        </w:rPr>
        <w:t xml:space="preserve"> 本指南文件中讨论的可靠性数据仅限于评估器械的功能性能，不涉及人为因素/用户界面考虑因素。</w:t>
      </w:r>
      <w:r>
        <w:rPr>
          <w:rFonts w:eastAsia="宋体" w:cs="宋体"/>
          <w:sz w:val="18"/>
        </w:rPr>
        <w:t>有关人为因素的信息请参见FDA指南《组合产品设计和开发中的人为因素研究和相关临床研究考虑因素》（</w:t>
      </w:r>
      <w:r>
        <w:rPr>
          <w:rFonts w:eastAsia="宋体" w:cs="宋体"/>
          <w:color w:val="0000FF"/>
          <w:sz w:val="18"/>
          <w:u w:val="single"/>
        </w:rPr>
        <w:t>https://www.fda.gov/regulatory-information/search-fda-guidance-documents/human-factors-</w:t>
      </w:r>
      <w:r>
        <w:rPr>
          <w:rFonts w:eastAsia="宋体" w:cs="宋体"/>
          <w:color w:val="0000FF"/>
          <w:sz w:val="18"/>
        </w:rPr>
        <w:t xml:space="preserve"> </w:t>
      </w:r>
      <w:r>
        <w:rPr>
          <w:rFonts w:eastAsia="宋体" w:cs="宋体"/>
          <w:color w:val="0000FF"/>
          <w:sz w:val="18"/>
          <w:u w:val="single"/>
        </w:rPr>
        <w:t>studies-and-related-clinical-study-considerations-combination-product-design-and;</w:t>
      </w:r>
      <w:r>
        <w:rPr>
          <w:rFonts w:eastAsia="宋体" w:cs="宋体"/>
          <w:sz w:val="18"/>
        </w:rPr>
        <w:t>） 或FDA指南《人为因素和可用性工程在医疗器械中的应用》（</w:t>
      </w:r>
      <w:r>
        <w:rPr>
          <w:rFonts w:eastAsia="宋体" w:cs="宋体"/>
          <w:color w:val="0000FF"/>
          <w:sz w:val="18"/>
          <w:u w:val="single"/>
        </w:rPr>
        <w:t>https://www.fda.gov/regulatory-information/search-</w:t>
      </w:r>
      <w:r>
        <w:rPr>
          <w:rFonts w:eastAsia="宋体" w:cs="宋体"/>
          <w:color w:val="0000FF"/>
          <w:sz w:val="18"/>
        </w:rPr>
        <w:t xml:space="preserve"> </w:t>
      </w:r>
      <w:r>
        <w:rPr>
          <w:rFonts w:eastAsia="宋体" w:cs="宋体"/>
          <w:color w:val="0000FF"/>
          <w:sz w:val="18"/>
          <w:u w:val="single"/>
        </w:rPr>
        <w:t>fda-guidance-documents/applying-human-factors-and-usability-engineering-medical-devices</w:t>
      </w:r>
      <w:r>
        <w:rPr>
          <w:rFonts w:eastAsia="宋体" w:cs="宋体"/>
          <w:sz w:val="18"/>
        </w:rPr>
        <w:t>）。</w:t>
      </w:r>
    </w:p>
    <w:p w14:paraId="6F5A4CC7">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7</w:t>
      </w:r>
      <w:r>
        <w:rPr>
          <w:rFonts w:eastAsia="宋体" w:cs="宋体"/>
          <w:sz w:val="18"/>
          <w:lang w:eastAsia="zh-CN"/>
        </w:rPr>
        <w:t>参见21 CFR 3.4。基于主要作用方式（PMOA）将组合产品分配给牵头中心。在这种情况下，药物或生物制品被视为PMOA，组合产品被分配给CDER或CBER。如需了解更多信息，请联系组合产品办公室，电子邮箱：</w:t>
      </w:r>
      <w:r>
        <w:rPr>
          <w:rFonts w:eastAsia="宋体" w:cs="宋体"/>
          <w:color w:val="0000FF"/>
          <w:sz w:val="18"/>
          <w:u w:val="single"/>
          <w:lang w:eastAsia="zh-CN"/>
        </w:rPr>
        <w:t>atcombination@fda.gov</w:t>
      </w:r>
      <w:r>
        <w:rPr>
          <w:rFonts w:eastAsia="宋体" w:cs="宋体"/>
          <w:sz w:val="18"/>
          <w:lang w:eastAsia="zh-CN"/>
        </w:rPr>
        <w:t>。</w:t>
      </w:r>
    </w:p>
    <w:p w14:paraId="764054A4">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8</w:t>
      </w:r>
      <w:r>
        <w:rPr>
          <w:rFonts w:eastAsia="宋体" w:cs="宋体"/>
          <w:sz w:val="18"/>
          <w:lang w:eastAsia="zh-CN"/>
        </w:rPr>
        <w:t xml:space="preserve"> 在本文件中，术语“急救用注射器”适用于组合产品的器械组成部分。</w:t>
      </w:r>
    </w:p>
    <w:p w14:paraId="1CFC1C94">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9</w:t>
      </w:r>
      <w:r>
        <w:rPr>
          <w:rFonts w:eastAsia="宋体" w:cs="宋体"/>
          <w:sz w:val="18"/>
          <w:lang w:eastAsia="zh-CN"/>
        </w:rPr>
        <w:t xml:space="preserve"> 开发急救用注射器或类似产品的ANDA申请人应请求FDA就本指南文件中建议的潜在适用性提供反馈意见。</w:t>
      </w:r>
      <w:r>
        <w:rPr>
          <w:rFonts w:eastAsia="宋体" w:cs="宋体"/>
          <w:b/>
          <w:sz w:val="18"/>
          <w:lang w:eastAsia="zh-CN"/>
        </w:rPr>
        <w:br w:type="page"/>
      </w:r>
    </w:p>
    <w:p w14:paraId="0EE11D21">
      <w:pPr>
        <w:pStyle w:val="4"/>
        <w:adjustRightInd w:val="0"/>
        <w:snapToGrid w:val="0"/>
        <w:spacing w:before="120" w:beforeLines="50" w:line="300" w:lineRule="auto"/>
        <w:ind w:left="1160" w:leftChars="200" w:hanging="720" w:hangingChars="300"/>
        <w:jc w:val="both"/>
        <w:outlineLvl w:val="0"/>
        <w:rPr>
          <w:szCs w:val="21"/>
          <w:lang w:eastAsia="zh-CN"/>
        </w:rPr>
      </w:pPr>
      <w:bookmarkStart w:id="4" w:name="_Toc91865914"/>
      <w:r>
        <w:rPr>
          <w:rFonts w:eastAsia="宋体" w:cs="宋体"/>
          <w:lang w:eastAsia="zh-CN"/>
        </w:rPr>
        <w:t>III.</w:t>
      </w:r>
      <w:r>
        <w:rPr>
          <w:rFonts w:eastAsia="宋体" w:cs="宋体"/>
          <w:lang w:eastAsia="zh-CN"/>
        </w:rPr>
        <w:tab/>
      </w:r>
      <w:r>
        <w:rPr>
          <w:rFonts w:eastAsia="宋体" w:cs="宋体"/>
          <w:lang w:eastAsia="zh-CN"/>
        </w:rPr>
        <w:t>监管框架</w:t>
      </w:r>
      <w:bookmarkEnd w:id="4"/>
    </w:p>
    <w:p w14:paraId="6D2739C7">
      <w:pPr>
        <w:pStyle w:val="4"/>
        <w:adjustRightInd w:val="0"/>
        <w:snapToGrid w:val="0"/>
        <w:spacing w:before="120" w:beforeLines="50" w:line="300" w:lineRule="auto"/>
        <w:jc w:val="both"/>
        <w:rPr>
          <w:sz w:val="21"/>
          <w:szCs w:val="21"/>
          <w:lang w:eastAsia="zh-CN"/>
        </w:rPr>
      </w:pPr>
      <w:r>
        <w:rPr>
          <w:rFonts w:eastAsia="宋体" w:cs="宋体"/>
          <w:sz w:val="21"/>
          <w:lang w:eastAsia="zh-CN"/>
        </w:rPr>
        <w:t>组合产品应遵守CFR第21篇第4部分的规定，该部分规定了组合产品的现行生产质量管理规范（CGMP）要求。组合产品各组成部分在组合后保留其监管状态（例如作为药物或器械）。适用于每个组成部分的CGMP要求也适用于其构成的组合产品。</w:t>
      </w:r>
    </w:p>
    <w:p w14:paraId="14E06961">
      <w:pPr>
        <w:pStyle w:val="4"/>
        <w:adjustRightInd w:val="0"/>
        <w:snapToGrid w:val="0"/>
        <w:spacing w:before="120" w:beforeLines="50" w:line="300" w:lineRule="auto"/>
        <w:jc w:val="both"/>
        <w:rPr>
          <w:sz w:val="21"/>
          <w:szCs w:val="21"/>
          <w:lang w:eastAsia="zh-CN"/>
        </w:rPr>
      </w:pPr>
      <w:r>
        <w:rPr>
          <w:rFonts w:eastAsia="宋体" w:cs="宋体"/>
          <w:sz w:val="21"/>
          <w:lang w:eastAsia="zh-CN"/>
        </w:rPr>
        <w:t>对于单一实体组合产品和共同包装的组合产品，例如本指南涵盖的产品，第4部分确定了两种证明其符合CGMP要求的方法。第一种方法是，制造商证明产品符合适用于组合产品中每个组成部分的所有CGMP法规。第二种方法是，制造商通过证明产品符合药物CGMP（CFR第21篇第210和211部分）或器械质量体系（QS）法规（CFR第21篇第820部分），并证明产品符合其他两组CGMP要求中的指定规定，对包括药物和器械的组合产品实施简化方法。</w:t>
      </w:r>
    </w:p>
    <w:p w14:paraId="003758E0">
      <w:pPr>
        <w:pStyle w:val="4"/>
        <w:adjustRightInd w:val="0"/>
        <w:snapToGrid w:val="0"/>
        <w:spacing w:before="120" w:beforeLines="50" w:line="300" w:lineRule="auto"/>
        <w:jc w:val="both"/>
        <w:rPr>
          <w:sz w:val="21"/>
          <w:szCs w:val="21"/>
          <w:lang w:eastAsia="zh-CN"/>
        </w:rPr>
      </w:pPr>
      <w:r>
        <w:rPr>
          <w:rFonts w:eastAsia="宋体" w:cs="宋体"/>
          <w:sz w:val="21"/>
          <w:lang w:eastAsia="zh-CN"/>
        </w:rPr>
        <w:t>根据21 CFR 4.4(b)中描述的简化方法（基于药物CGMP的简化方法），药物主导的药械组合产品（例如本指南针对的器械）制造商</w:t>
      </w:r>
      <w:r>
        <w:rPr>
          <w:rFonts w:eastAsia="宋体" w:cs="宋体"/>
          <w:sz w:val="21"/>
          <w:vertAlign w:val="superscript"/>
          <w:lang w:eastAsia="zh-CN"/>
        </w:rPr>
        <w:t>10</w:t>
      </w:r>
      <w:r>
        <w:rPr>
          <w:rFonts w:eastAsia="宋体" w:cs="宋体"/>
          <w:sz w:val="21"/>
          <w:lang w:eastAsia="zh-CN"/>
        </w:rPr>
        <w:t>可以根据21 CFR 4.4(b)(1)设计和执行（证明产物符合药物CGMP和器械QS法规中以下规定的）CGMP操作系统，以满足药物CGMP和器械QS法规的要求：</w:t>
      </w:r>
    </w:p>
    <w:p w14:paraId="66594A69">
      <w:pPr>
        <w:pStyle w:val="13"/>
        <w:numPr>
          <w:ilvl w:val="0"/>
          <w:numId w:val="1"/>
        </w:numPr>
        <w:tabs>
          <w:tab w:val="left" w:pos="2977"/>
        </w:tabs>
        <w:adjustRightInd w:val="0"/>
        <w:snapToGrid w:val="0"/>
        <w:spacing w:before="120" w:beforeLines="50" w:line="300" w:lineRule="auto"/>
        <w:ind w:left="860" w:leftChars="200" w:hangingChars="200"/>
        <w:jc w:val="both"/>
        <w:rPr>
          <w:sz w:val="21"/>
          <w:szCs w:val="21"/>
        </w:rPr>
      </w:pPr>
      <w:r>
        <w:rPr>
          <w:rFonts w:eastAsia="宋体" w:cs="宋体"/>
          <w:sz w:val="21"/>
        </w:rPr>
        <w:t>21 CFR 820.20</w:t>
      </w:r>
      <w:r>
        <w:rPr>
          <w:rFonts w:eastAsia="宋体" w:cs="宋体"/>
          <w:sz w:val="21"/>
        </w:rPr>
        <w:tab/>
      </w:r>
      <w:r>
        <w:rPr>
          <w:rFonts w:eastAsia="宋体" w:cs="宋体"/>
          <w:sz w:val="21"/>
        </w:rPr>
        <w:t>管理职责</w:t>
      </w:r>
    </w:p>
    <w:p w14:paraId="0A889177">
      <w:pPr>
        <w:pStyle w:val="13"/>
        <w:numPr>
          <w:ilvl w:val="0"/>
          <w:numId w:val="1"/>
        </w:numPr>
        <w:tabs>
          <w:tab w:val="left" w:pos="2977"/>
        </w:tabs>
        <w:adjustRightInd w:val="0"/>
        <w:snapToGrid w:val="0"/>
        <w:spacing w:before="120" w:beforeLines="50" w:line="300" w:lineRule="auto"/>
        <w:ind w:left="860" w:leftChars="200" w:hangingChars="200"/>
        <w:jc w:val="both"/>
        <w:rPr>
          <w:sz w:val="21"/>
          <w:szCs w:val="21"/>
        </w:rPr>
      </w:pPr>
      <w:r>
        <w:rPr>
          <w:rFonts w:eastAsia="宋体" w:cs="宋体"/>
          <w:sz w:val="21"/>
        </w:rPr>
        <w:t>21 CFR 820.30</w:t>
      </w:r>
      <w:r>
        <w:rPr>
          <w:rFonts w:eastAsia="宋体" w:cs="宋体"/>
          <w:sz w:val="21"/>
        </w:rPr>
        <w:tab/>
      </w:r>
      <w:r>
        <w:rPr>
          <w:rFonts w:eastAsia="宋体" w:cs="宋体"/>
          <w:sz w:val="21"/>
        </w:rPr>
        <w:t>设计控制</w:t>
      </w:r>
    </w:p>
    <w:p w14:paraId="344132A3">
      <w:pPr>
        <w:pStyle w:val="13"/>
        <w:numPr>
          <w:ilvl w:val="0"/>
          <w:numId w:val="1"/>
        </w:numPr>
        <w:tabs>
          <w:tab w:val="left" w:pos="2977"/>
        </w:tabs>
        <w:adjustRightInd w:val="0"/>
        <w:snapToGrid w:val="0"/>
        <w:spacing w:before="120" w:beforeLines="50" w:line="300" w:lineRule="auto"/>
        <w:ind w:left="860" w:leftChars="200" w:hangingChars="200"/>
        <w:jc w:val="both"/>
        <w:rPr>
          <w:sz w:val="21"/>
          <w:szCs w:val="21"/>
        </w:rPr>
      </w:pPr>
      <w:r>
        <w:rPr>
          <w:rFonts w:eastAsia="宋体" w:cs="宋体"/>
          <w:sz w:val="21"/>
        </w:rPr>
        <w:t>21 CFR 820.50</w:t>
      </w:r>
      <w:r>
        <w:rPr>
          <w:rFonts w:eastAsia="宋体" w:cs="宋体"/>
          <w:sz w:val="21"/>
        </w:rPr>
        <w:tab/>
      </w:r>
      <w:r>
        <w:rPr>
          <w:rFonts w:eastAsia="宋体" w:cs="宋体"/>
          <w:sz w:val="21"/>
        </w:rPr>
        <w:t>采购控制</w:t>
      </w:r>
    </w:p>
    <w:p w14:paraId="444057BA">
      <w:pPr>
        <w:pStyle w:val="13"/>
        <w:numPr>
          <w:ilvl w:val="0"/>
          <w:numId w:val="1"/>
        </w:numPr>
        <w:tabs>
          <w:tab w:val="left" w:pos="2977"/>
        </w:tabs>
        <w:adjustRightInd w:val="0"/>
        <w:snapToGrid w:val="0"/>
        <w:spacing w:before="120" w:beforeLines="50" w:line="300" w:lineRule="auto"/>
        <w:ind w:left="860" w:leftChars="200" w:hangingChars="200"/>
        <w:jc w:val="both"/>
        <w:rPr>
          <w:sz w:val="21"/>
          <w:szCs w:val="21"/>
        </w:rPr>
      </w:pPr>
      <w:r>
        <w:rPr>
          <w:rFonts w:eastAsia="宋体" w:cs="宋体"/>
          <w:sz w:val="21"/>
        </w:rPr>
        <w:t>21 CFR 820.100</w:t>
      </w:r>
      <w:r>
        <w:rPr>
          <w:rFonts w:eastAsia="宋体" w:cs="宋体"/>
          <w:sz w:val="21"/>
        </w:rPr>
        <w:tab/>
      </w:r>
      <w:r>
        <w:rPr>
          <w:rFonts w:eastAsia="宋体" w:cs="宋体"/>
          <w:sz w:val="21"/>
        </w:rPr>
        <w:t>纠正和预防措施</w:t>
      </w:r>
    </w:p>
    <w:p w14:paraId="73726378">
      <w:pPr>
        <w:pStyle w:val="13"/>
        <w:numPr>
          <w:ilvl w:val="0"/>
          <w:numId w:val="1"/>
        </w:numPr>
        <w:tabs>
          <w:tab w:val="left" w:pos="2977"/>
        </w:tabs>
        <w:adjustRightInd w:val="0"/>
        <w:snapToGrid w:val="0"/>
        <w:spacing w:before="120" w:beforeLines="50" w:line="300" w:lineRule="auto"/>
        <w:ind w:left="860" w:leftChars="200" w:hangingChars="200"/>
        <w:jc w:val="both"/>
        <w:rPr>
          <w:sz w:val="21"/>
          <w:szCs w:val="21"/>
        </w:rPr>
      </w:pPr>
      <w:r>
        <w:rPr>
          <w:rFonts w:eastAsia="宋体" w:cs="宋体"/>
          <w:sz w:val="21"/>
        </w:rPr>
        <w:t>21 CFR 820.170</w:t>
      </w:r>
      <w:r>
        <w:rPr>
          <w:rFonts w:eastAsia="宋体" w:cs="宋体"/>
          <w:sz w:val="21"/>
        </w:rPr>
        <w:tab/>
      </w:r>
      <w:r>
        <w:rPr>
          <w:rFonts w:eastAsia="宋体" w:cs="宋体"/>
          <w:sz w:val="21"/>
        </w:rPr>
        <w:t>安装</w:t>
      </w:r>
    </w:p>
    <w:p w14:paraId="065ED7D3">
      <w:pPr>
        <w:pStyle w:val="13"/>
        <w:numPr>
          <w:ilvl w:val="0"/>
          <w:numId w:val="1"/>
        </w:numPr>
        <w:tabs>
          <w:tab w:val="left" w:pos="2977"/>
        </w:tabs>
        <w:adjustRightInd w:val="0"/>
        <w:snapToGrid w:val="0"/>
        <w:spacing w:before="120" w:beforeLines="50" w:line="300" w:lineRule="auto"/>
        <w:ind w:left="860" w:leftChars="200" w:hangingChars="200"/>
        <w:jc w:val="both"/>
        <w:rPr>
          <w:sz w:val="21"/>
          <w:szCs w:val="21"/>
        </w:rPr>
      </w:pPr>
      <w:r>
        <w:rPr>
          <w:rFonts w:eastAsia="宋体" w:cs="宋体"/>
          <w:sz w:val="21"/>
        </w:rPr>
        <w:t>21 CFR 820.200</w:t>
      </w:r>
      <w:r>
        <w:rPr>
          <w:rFonts w:eastAsia="宋体" w:cs="宋体"/>
          <w:sz w:val="21"/>
        </w:rPr>
        <w:tab/>
      </w:r>
      <w:r>
        <w:rPr>
          <w:rFonts w:eastAsia="宋体" w:cs="宋体"/>
          <w:sz w:val="21"/>
        </w:rPr>
        <w:t>维修</w:t>
      </w:r>
    </w:p>
    <w:p w14:paraId="7F8A7C69">
      <w:pPr>
        <w:pStyle w:val="4"/>
        <w:adjustRightInd w:val="0"/>
        <w:snapToGrid w:val="0"/>
        <w:spacing w:before="120" w:beforeLines="50" w:line="300" w:lineRule="auto"/>
        <w:jc w:val="both"/>
        <w:rPr>
          <w:sz w:val="21"/>
          <w:szCs w:val="21"/>
          <w:lang w:eastAsia="zh-CN"/>
        </w:rPr>
      </w:pPr>
      <w:r>
        <w:rPr>
          <w:rFonts w:eastAsia="宋体" w:cs="宋体"/>
          <w:sz w:val="21"/>
          <w:lang w:eastAsia="zh-CN"/>
        </w:rPr>
        <w:t>正如FDA指南《组合产品现行生产质量管理规范要求》中所解释的，“这些法规中包括的核心要求规定了确保制造工艺和设施正确设计、监测和控制的体系。这包括建立一个强大的质量管理体系、使用适当质量的原材料、建立基于合理设计原则的稳健生产和控制程序以及检测和调查产品质量偏差。此外，这些法规要求对体系进行持续评估，并酌情实施纠正措施”。</w:t>
      </w:r>
      <w:r>
        <w:rPr>
          <w:rFonts w:eastAsia="宋体" w:cs="宋体"/>
          <w:sz w:val="21"/>
          <w:vertAlign w:val="superscript"/>
          <w:lang w:eastAsia="zh-CN"/>
        </w:rPr>
        <w:t>11</w:t>
      </w:r>
    </w:p>
    <w:p w14:paraId="7ED3C246">
      <w:pPr>
        <w:pStyle w:val="4"/>
        <w:adjustRightInd w:val="0"/>
        <w:snapToGrid w:val="0"/>
        <w:spacing w:before="3600" w:beforeLines="1500" w:line="300" w:lineRule="auto"/>
        <w:jc w:val="both"/>
        <w:rPr>
          <w:rFonts w:eastAsiaTheme="minorEastAsia"/>
          <w:sz w:val="21"/>
          <w:szCs w:val="21"/>
          <w:lang w:eastAsia="zh-CN"/>
        </w:rPr>
      </w:pPr>
      <w:r>
        <w:rPr>
          <w:rFonts w:eastAsia="宋体" w:cs="宋体"/>
          <w:sz w:val="21"/>
          <w:lang w:eastAsia="zh-CN"/>
        </w:rPr>
        <w:t>____________________</w:t>
      </w:r>
    </w:p>
    <w:p w14:paraId="1CD0FAA2">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10</w:t>
      </w:r>
      <w:r>
        <w:rPr>
          <w:rFonts w:eastAsia="宋体" w:cs="宋体"/>
          <w:sz w:val="18"/>
          <w:lang w:eastAsia="zh-CN"/>
        </w:rPr>
        <w:t xml:space="preserve"> 按照定义，受《公共健康服务法案》第351节监控的生物制品也属于药物或器械。因此，对于包括生物制品的组合产品，除了遵守CFR第21篇第4部分中适用于药物CGMP和器械QS法规的要求外，此类产品的制造商还必须遵守CFR第21篇第600至680部分中适用于非组合产品的生物制品的CGMP要求。21 CFR 4.4(b)(3)。</w:t>
      </w:r>
      <w:r>
        <w:rPr>
          <w:rFonts w:eastAsia="宋体" w:cs="宋体"/>
          <w:b/>
          <w:sz w:val="21"/>
          <w:lang w:eastAsia="zh-CN"/>
        </w:rPr>
        <w:br w:type="page"/>
      </w:r>
    </w:p>
    <w:p w14:paraId="182BCE6E">
      <w:pPr>
        <w:pStyle w:val="4"/>
        <w:adjustRightInd w:val="0"/>
        <w:snapToGrid w:val="0"/>
        <w:spacing w:before="120" w:beforeLines="50" w:line="300" w:lineRule="auto"/>
        <w:ind w:left="1160" w:leftChars="200" w:hanging="720" w:hangingChars="300"/>
        <w:jc w:val="both"/>
        <w:outlineLvl w:val="0"/>
        <w:rPr>
          <w:szCs w:val="21"/>
          <w:lang w:eastAsia="zh-CN"/>
        </w:rPr>
      </w:pPr>
      <w:bookmarkStart w:id="5" w:name="_Toc91865915"/>
      <w:r>
        <w:rPr>
          <w:rFonts w:eastAsia="宋体" w:cs="宋体"/>
          <w:lang w:eastAsia="zh-CN"/>
        </w:rPr>
        <w:t>IV.</w:t>
      </w:r>
      <w:r>
        <w:rPr>
          <w:rFonts w:eastAsia="宋体" w:cs="宋体"/>
          <w:lang w:eastAsia="zh-CN"/>
        </w:rPr>
        <w:tab/>
      </w:r>
      <w:r>
        <w:rPr>
          <w:rFonts w:eastAsia="宋体" w:cs="宋体"/>
          <w:lang w:eastAsia="zh-CN"/>
        </w:rPr>
        <w:t>可靠性背景</w:t>
      </w:r>
      <w:bookmarkEnd w:id="5"/>
    </w:p>
    <w:p w14:paraId="639B0091">
      <w:pPr>
        <w:pStyle w:val="4"/>
        <w:adjustRightInd w:val="0"/>
        <w:snapToGrid w:val="0"/>
        <w:spacing w:before="120" w:beforeLines="50" w:line="300" w:lineRule="auto"/>
        <w:jc w:val="both"/>
        <w:rPr>
          <w:sz w:val="21"/>
          <w:szCs w:val="21"/>
          <w:lang w:eastAsia="zh-CN"/>
        </w:rPr>
      </w:pPr>
      <w:r>
        <w:rPr>
          <w:rFonts w:eastAsia="宋体" w:cs="宋体"/>
          <w:sz w:val="21"/>
          <w:lang w:eastAsia="zh-CN"/>
        </w:rPr>
        <w:t>急救用注射器，例如用于治疗过敏反应的注射器，通常由患者、护理者或现场急救员在医疗保健环境之外使用。对于发生紧急情况的患者或其非专业协助护理者，可能只有一次机会使用本产品，且急救用注射器必须成功注射药物。此外，由于这些急救用注射器是一次性器械，因此在使用注射器之前无法验证功能性能。因此，为了确保急救用注射器的安全和有效使用，FDA建议使用本指南中描述的可靠性工程方法，以确保注射器在其有效期内能够发挥预期作用。设计组合产品以实现其确定的功能性能（可靠性）与组合产品生产质量管理规范设计控制要求的规定一致（参见21 CFR 4.4(b)(1)(ii)和4.4(b)(1)(iv)）。</w:t>
      </w:r>
    </w:p>
    <w:p w14:paraId="4C7193C4">
      <w:pPr>
        <w:pStyle w:val="4"/>
        <w:adjustRightInd w:val="0"/>
        <w:snapToGrid w:val="0"/>
        <w:spacing w:before="120" w:beforeLines="50" w:line="300" w:lineRule="auto"/>
        <w:jc w:val="both"/>
        <w:rPr>
          <w:sz w:val="21"/>
          <w:szCs w:val="21"/>
          <w:lang w:eastAsia="zh-CN"/>
        </w:rPr>
      </w:pPr>
      <w:r>
        <w:rPr>
          <w:rFonts w:eastAsia="宋体" w:cs="宋体"/>
          <w:sz w:val="21"/>
          <w:lang w:eastAsia="zh-CN"/>
        </w:rPr>
        <w:t>如上文第III节所述，尽管必须满足药物CGMP和器械QS法规的要求，但21 CFR 4.4(b)(1)(ii)中确定的设计要求的几个方面对于急救用注射器的开发和可靠性尤为重要。例如：</w:t>
      </w:r>
    </w:p>
    <w:p w14:paraId="3C3E9EEB">
      <w:pPr>
        <w:pStyle w:val="13"/>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21 CFR 820.30(c)规定，“各制造商应建立并维护相关程序，以确保与器械相关的设计要求是适当的，并涵盖器械的预期用途，包括用户和患者需求”。</w:t>
      </w:r>
    </w:p>
    <w:p w14:paraId="4963799C">
      <w:pPr>
        <w:pStyle w:val="13"/>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21 CFR 820.30(d)规定，“各制造商应建立并维护设计输出的定义和记录程序，以便充分评价是否符合设计输入要求。设计输出程序包括或参照验收标准，并确保识别出这些对器械的适当运行十分重要的设计输出”。</w:t>
      </w:r>
    </w:p>
    <w:p w14:paraId="083D2028">
      <w:pPr>
        <w:pStyle w:val="13"/>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21 CFR 820.30(f)规定，“各制造商应建立并维护器械设计验证程序。设计验证应证明设计输出符合设计输入要求。应将设计确认的结果（包括设计标识、方法、日期和执行确认的个人）记录在DHF中”。此外，21 CFR 820.30(g)规定，“各制造商应建立并维护器械设计确认程序。供应商应在指定的操作条件下针对初始生产单位、批次或其等同物实施设计确认。设计确认应确保器械符合规定的用户需求和预期用途，应包括在实际或模拟使用条件下对生产单元开展的试验”。</w:t>
      </w:r>
    </w:p>
    <w:p w14:paraId="2C0740C6">
      <w:pPr>
        <w:pStyle w:val="4"/>
        <w:adjustRightInd w:val="0"/>
        <w:snapToGrid w:val="0"/>
        <w:spacing w:before="4800" w:beforeLines="2000" w:line="300" w:lineRule="auto"/>
        <w:jc w:val="both"/>
        <w:rPr>
          <w:rFonts w:eastAsiaTheme="minorEastAsia"/>
          <w:sz w:val="21"/>
          <w:szCs w:val="21"/>
          <w:lang w:eastAsia="zh-CN"/>
        </w:rPr>
      </w:pPr>
      <w:r>
        <w:rPr>
          <w:rFonts w:eastAsia="宋体" w:cs="宋体"/>
          <w:sz w:val="21"/>
        </w:rPr>
        <w:t>____________________</w:t>
      </w:r>
    </w:p>
    <w:p w14:paraId="2D4CC625">
      <w:pPr>
        <w:adjustRightInd w:val="0"/>
        <w:snapToGrid w:val="0"/>
        <w:spacing w:before="36" w:beforeLines="15" w:line="276" w:lineRule="auto"/>
        <w:jc w:val="both"/>
        <w:rPr>
          <w:b/>
          <w:sz w:val="21"/>
          <w:szCs w:val="21"/>
        </w:rPr>
      </w:pPr>
      <w:r>
        <w:rPr>
          <w:rFonts w:eastAsia="宋体" w:cs="宋体"/>
          <w:sz w:val="18"/>
          <w:vertAlign w:val="superscript"/>
        </w:rPr>
        <w:t>11</w:t>
      </w:r>
      <w:r>
        <w:rPr>
          <w:rFonts w:eastAsia="宋体" w:cs="宋体"/>
          <w:sz w:val="18"/>
        </w:rPr>
        <w:t xml:space="preserve"> 参见第II.B节，可登录以下网址获取：</w:t>
      </w:r>
      <w:r>
        <w:rPr>
          <w:rFonts w:eastAsia="宋体" w:cs="宋体"/>
          <w:color w:val="0000FF"/>
          <w:sz w:val="18"/>
          <w:u w:val="single"/>
        </w:rPr>
        <w:t>https://www.fda.gov/regulatory-information/search-fda-guidance-</w:t>
      </w:r>
      <w:r>
        <w:rPr>
          <w:rFonts w:eastAsia="宋体" w:cs="宋体"/>
          <w:color w:val="0000FF"/>
          <w:sz w:val="18"/>
        </w:rPr>
        <w:t xml:space="preserve"> </w:t>
      </w:r>
      <w:r>
        <w:rPr>
          <w:rFonts w:eastAsia="宋体" w:cs="宋体"/>
          <w:color w:val="0000FF"/>
          <w:sz w:val="18"/>
          <w:u w:val="single"/>
        </w:rPr>
        <w:t>documents/current-good-manufacturing-practice-requirements-combination-products</w:t>
      </w:r>
      <w:r>
        <w:rPr>
          <w:rFonts w:eastAsia="宋体" w:cs="宋体"/>
          <w:sz w:val="18"/>
        </w:rPr>
        <w:t>。</w:t>
      </w:r>
      <w:r>
        <w:rPr>
          <w:rFonts w:eastAsia="宋体" w:cs="宋体"/>
          <w:b/>
          <w:sz w:val="21"/>
        </w:rPr>
        <w:br w:type="page"/>
      </w:r>
    </w:p>
    <w:p w14:paraId="755A4797">
      <w:pPr>
        <w:pStyle w:val="13"/>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21 CFR 820.30(h)规定，“各制造商应建立并维护确保器械设计正确转化为生产质量标准的程序”。</w:t>
      </w:r>
    </w:p>
    <w:p w14:paraId="23795701">
      <w:pPr>
        <w:pStyle w:val="13"/>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21 CFR 820.30(i)规定：“各制造商应建立并维护设计变更实现前的确定、记录、确认或验证（视情况而定）、评审和批准程序”。</w:t>
      </w:r>
    </w:p>
    <w:p w14:paraId="010B919E">
      <w:pPr>
        <w:pStyle w:val="13"/>
        <w:numPr>
          <w:ilvl w:val="0"/>
          <w:numId w:val="3"/>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21 CFR 820.100规定，“各制造商应建立并维护纠正和预防措施实施程序”。</w:t>
      </w:r>
    </w:p>
    <w:p w14:paraId="33DDFC1E">
      <w:pPr>
        <w:pStyle w:val="4"/>
        <w:adjustRightInd w:val="0"/>
        <w:snapToGrid w:val="0"/>
        <w:spacing w:before="120" w:beforeLines="50" w:line="300" w:lineRule="auto"/>
        <w:jc w:val="both"/>
        <w:rPr>
          <w:sz w:val="21"/>
          <w:szCs w:val="21"/>
          <w:lang w:eastAsia="zh-CN"/>
        </w:rPr>
      </w:pPr>
      <w:r>
        <w:rPr>
          <w:rFonts w:eastAsia="宋体" w:cs="宋体"/>
          <w:sz w:val="21"/>
          <w:lang w:eastAsia="zh-CN"/>
        </w:rPr>
        <w:t>FDA 认为，在急救用情景下，“用户和患者的需求”（21 CFR 820.30(c)）是指，发生紧急情况的患者或其非专业协助护理者仅有一次机会使用该产品；因此，FDA认为，急救用注射器如果能够在第一次尝试时成功注射药物，则该器械合格。在这种情况下，设计输入要求将提供性能特征的功能指标、急救用注射器功能的可靠性标准以及患者或护理者的使用条件。这包括确定可靠性标准，该标准应与急救用注射器不能发挥作用时对患者造成的风险等级（例如，与未得到治疗的过敏性休克相关的发病率或死亡率）一致。</w:t>
      </w:r>
    </w:p>
    <w:p w14:paraId="661DDAB2">
      <w:pPr>
        <w:pStyle w:val="4"/>
        <w:adjustRightInd w:val="0"/>
        <w:snapToGrid w:val="0"/>
        <w:spacing w:before="120" w:beforeLines="50" w:line="300" w:lineRule="auto"/>
        <w:jc w:val="both"/>
        <w:rPr>
          <w:sz w:val="21"/>
          <w:szCs w:val="21"/>
          <w:lang w:eastAsia="zh-CN"/>
        </w:rPr>
      </w:pPr>
      <w:r>
        <w:rPr>
          <w:rFonts w:eastAsia="宋体" w:cs="宋体"/>
          <w:sz w:val="21"/>
          <w:lang w:eastAsia="zh-CN"/>
        </w:rPr>
        <w:t>此外，FDA将21 CFR 820.30(f)和(g)项下的要求解释为，急救用注射器的制造商必须验证和确认注射器的设计，确保其能够在“一次机会”的情况下顺利注射。例如，如果可用的文件证明（1）急救用注射器过期时在规定的可靠性目标范围内满足设计输入要求，以及（2）已对成品进行了设计确认，确保符合可靠性目标，并且试验条件可代表产品在过期之前的暴露条件，则可满足这些要求。</w:t>
      </w:r>
    </w:p>
    <w:p w14:paraId="225BD52A">
      <w:pPr>
        <w:pStyle w:val="4"/>
        <w:adjustRightInd w:val="0"/>
        <w:snapToGrid w:val="0"/>
        <w:spacing w:before="120" w:beforeLines="50" w:line="300" w:lineRule="auto"/>
        <w:jc w:val="both"/>
        <w:rPr>
          <w:sz w:val="21"/>
          <w:szCs w:val="21"/>
          <w:lang w:eastAsia="zh-CN"/>
        </w:rPr>
      </w:pPr>
      <w:r>
        <w:rPr>
          <w:rFonts w:eastAsia="宋体" w:cs="宋体"/>
          <w:sz w:val="21"/>
          <w:lang w:eastAsia="zh-CN"/>
        </w:rPr>
        <w:t>上述设计控制要求旨在确保急救用注射器的性能尽可能可靠。与此目的一致，FDA认为，如果在“一次机会”（或紧急）情况下急救用注射器能够在第一次尝试时成功注射，则该器械合格。该可靠性概念需要考虑固有的可行性。FDA建议急救用注射器的成功注射可靠性的设计控制标准为99.999%，置信度为95%，因为FDA认为该标准在适用标准下可接受。99.999%的预期目标等同于上市后检测到1/100,000的注射失败率。已发现该可靠性水平可适当平衡确保急救用注射器性能尽可能安全和可靠的目标与可行性考虑因素。</w:t>
      </w:r>
    </w:p>
    <w:p w14:paraId="380D7D08">
      <w:pPr>
        <w:pStyle w:val="4"/>
        <w:adjustRightInd w:val="0"/>
        <w:snapToGrid w:val="0"/>
        <w:spacing w:before="120" w:beforeLines="50" w:line="300" w:lineRule="auto"/>
        <w:jc w:val="both"/>
        <w:rPr>
          <w:rFonts w:eastAsiaTheme="minorEastAsia"/>
          <w:sz w:val="21"/>
          <w:szCs w:val="21"/>
          <w:lang w:eastAsia="zh-CN"/>
        </w:rPr>
      </w:pPr>
      <w:r>
        <w:rPr>
          <w:rFonts w:eastAsia="宋体" w:cs="宋体"/>
          <w:sz w:val="21"/>
          <w:lang w:eastAsia="zh-CN"/>
        </w:rPr>
        <w:t>在确定可接受的可靠性水平时，FDA考虑了风险评定的可用信息。具体来说，FDA认可的标准ISO 14791 - 风险管理在医疗器械中的应用提供了有关发生率的见解。</w:t>
      </w:r>
      <w:r>
        <w:rPr>
          <w:rFonts w:eastAsia="宋体" w:cs="宋体"/>
          <w:sz w:val="21"/>
          <w:vertAlign w:val="superscript"/>
          <w:lang w:eastAsia="zh-CN"/>
        </w:rPr>
        <w:t>12</w:t>
      </w:r>
      <w:r>
        <w:rPr>
          <w:rFonts w:eastAsia="宋体" w:cs="宋体"/>
          <w:sz w:val="21"/>
          <w:lang w:eastAsia="zh-CN"/>
        </w:rPr>
        <w:t>在该标准中，提供了确定事件发生率（很可能、极少和不可能）的半定量分析的示例。在该标准中，检测率高于1/10,000的事件发生率被归为“很可能”。根据FDA审查经验，如果失败率为“很可能”，则急救用注射器的不良事件发生率很可能是不可接受的，这可能导致产品召回。在该标准中，检测率低于1/1,000,000的事件发生率被归为“不可能”。虽然希望尽可能降低失败率，但FDA认为，基于标准发生率和当前技术，要求达到“不可能”发生率（检测率低于1/1,000,000）可能导致药物短缺或产品供应延迟。与上述两种发生率相比，1/100,000至1/1,000,000检测率范围内的事件发生率被归为“极少”。因此，根据ISO标准，FDA认为检测到1/100,000的注射失败率是确保在仅有一次注射机会的情况下成功注射和治疗的适当风险管理目标。此外，FDA对近期上市申请的审查表明，这些急救用注射器可以实现99.999%的可靠性目标和95%的置信度（即1/100,000的注射失败率）。</w:t>
      </w:r>
    </w:p>
    <w:p w14:paraId="78826E66">
      <w:pPr>
        <w:rPr>
          <w:sz w:val="21"/>
          <w:szCs w:val="21"/>
          <w:lang w:eastAsia="zh-CN"/>
        </w:rPr>
      </w:pPr>
      <w:r>
        <w:rPr>
          <w:rFonts w:eastAsia="宋体" w:cs="宋体"/>
          <w:sz w:val="21"/>
          <w:lang w:eastAsia="zh-CN"/>
        </w:rPr>
        <w:br w:type="page"/>
      </w:r>
    </w:p>
    <w:p w14:paraId="3ED23EBC">
      <w:pPr>
        <w:pStyle w:val="4"/>
        <w:adjustRightInd w:val="0"/>
        <w:snapToGrid w:val="0"/>
        <w:spacing w:before="120" w:beforeLines="50" w:line="300" w:lineRule="auto"/>
        <w:jc w:val="both"/>
        <w:rPr>
          <w:sz w:val="21"/>
          <w:szCs w:val="21"/>
          <w:lang w:eastAsia="zh-CN"/>
        </w:rPr>
      </w:pPr>
      <w:r>
        <w:rPr>
          <w:rFonts w:eastAsia="宋体" w:cs="宋体"/>
          <w:sz w:val="21"/>
          <w:lang w:eastAsia="zh-CN"/>
        </w:rPr>
        <w:t>以下信息提供了FDA目前认为可接受的数学模型、统计、故障树分析方法，以及使用组合产品现行生产质量管理规范设计控制要求条款（21 CFR 4.4(b)(1)(ii)和4.4(b)(1)(iv)）确立急救用注射器可靠性的示例的详细信息。FDA认可申请人提出其他可靠性标准方法，作为本指南中讨论方法的替代方法。例如，根据产品设计、递送的药物、未满足的急诊医疗需求、反恐或使用条件等考虑因素，可使用可靠性替代标准。在急救用注射器的开发过程中，FDA鼓励申请人设法召开FDA会议，以讨论其提案和理由（例如使用背景、风险/获益、不足和支持性数据）。</w:t>
      </w:r>
    </w:p>
    <w:p w14:paraId="22BD798E">
      <w:pPr>
        <w:pStyle w:val="4"/>
        <w:adjustRightInd w:val="0"/>
        <w:snapToGrid w:val="0"/>
        <w:spacing w:before="120" w:beforeLines="50" w:line="300" w:lineRule="auto"/>
        <w:jc w:val="both"/>
        <w:rPr>
          <w:sz w:val="21"/>
          <w:szCs w:val="21"/>
          <w:lang w:eastAsia="zh-CN"/>
        </w:rPr>
      </w:pPr>
      <w:r>
        <w:rPr>
          <w:rFonts w:eastAsia="宋体" w:cs="宋体"/>
          <w:sz w:val="21"/>
          <w:u w:val="single"/>
          <w:lang w:eastAsia="zh-CN"/>
        </w:rPr>
        <w:t>确立可靠性</w:t>
      </w:r>
    </w:p>
    <w:p w14:paraId="59ED0C75">
      <w:pPr>
        <w:pStyle w:val="4"/>
        <w:adjustRightInd w:val="0"/>
        <w:snapToGrid w:val="0"/>
        <w:spacing w:before="120" w:beforeLines="50" w:line="300" w:lineRule="auto"/>
        <w:jc w:val="both"/>
        <w:rPr>
          <w:sz w:val="21"/>
          <w:szCs w:val="21"/>
          <w:lang w:eastAsia="zh-CN"/>
        </w:rPr>
      </w:pPr>
      <w:r>
        <w:rPr>
          <w:rFonts w:eastAsia="宋体" w:cs="宋体"/>
          <w:sz w:val="21"/>
          <w:lang w:eastAsia="zh-CN"/>
        </w:rPr>
        <w:t>确立可靠性是一个迭代过程，在这个过程中，设计控制应侧重于确定急救用注射器属性，这对实现急救用注射器预期用途至关重要。</w:t>
      </w:r>
      <w:r>
        <w:rPr>
          <w:rFonts w:eastAsia="宋体" w:cs="宋体"/>
          <w:sz w:val="21"/>
          <w:vertAlign w:val="superscript"/>
          <w:lang w:eastAsia="zh-CN"/>
        </w:rPr>
        <w:t>13</w:t>
      </w:r>
      <w:r>
        <w:rPr>
          <w:rFonts w:eastAsia="宋体" w:cs="宋体"/>
          <w:sz w:val="21"/>
          <w:lang w:eastAsia="zh-CN"/>
        </w:rPr>
        <w:t>制造安全有效的组合产品所需的可靠性水平与不可靠急救用注射器的相关风险等级直接相关。由于可靠性数学模型被定义为R（t） = 1 – F（t），其中F（t）代表累积失效分布函数，因此目标应是确定该分布（即F（t））得到充分控制的点。可靠性标准（即R（t））表示在特定条件下和给定时间间隔内，急救用注射器按预期发挥作用而不发生失效的概率。应在器械设计控制活动中的风险分析中确定该风险等级。</w:t>
      </w:r>
      <w:r>
        <w:rPr>
          <w:rFonts w:eastAsia="宋体" w:cs="宋体"/>
          <w:sz w:val="21"/>
          <w:vertAlign w:val="superscript"/>
          <w:lang w:eastAsia="zh-CN"/>
        </w:rPr>
        <w:t>14</w:t>
      </w:r>
    </w:p>
    <w:p w14:paraId="7603D678">
      <w:pPr>
        <w:pStyle w:val="4"/>
        <w:adjustRightInd w:val="0"/>
        <w:snapToGrid w:val="0"/>
        <w:spacing w:before="7440" w:beforeLines="3100" w:line="300" w:lineRule="auto"/>
        <w:jc w:val="both"/>
        <w:rPr>
          <w:rFonts w:eastAsiaTheme="minorEastAsia"/>
          <w:sz w:val="21"/>
          <w:szCs w:val="21"/>
          <w:lang w:eastAsia="zh-CN"/>
        </w:rPr>
      </w:pPr>
      <w:r>
        <w:rPr>
          <w:rFonts w:eastAsia="宋体" w:cs="宋体"/>
          <w:sz w:val="21"/>
          <w:lang w:eastAsia="zh-CN"/>
        </w:rPr>
        <w:t>____________________</w:t>
      </w:r>
    </w:p>
    <w:p w14:paraId="0C479E0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12</w:t>
      </w:r>
      <w:r>
        <w:rPr>
          <w:rFonts w:eastAsia="宋体" w:cs="宋体"/>
          <w:sz w:val="18"/>
          <w:lang w:eastAsia="zh-CN"/>
        </w:rPr>
        <w:t xml:space="preserve"> ISO 14971:2007/R（2016）医疗器械 - 风险管理在医疗器械中的应用；第3.4.2节半定量分析。</w:t>
      </w:r>
    </w:p>
    <w:p w14:paraId="328528C3">
      <w:pPr>
        <w:adjustRightInd w:val="0"/>
        <w:snapToGrid w:val="0"/>
        <w:spacing w:before="36" w:beforeLines="15" w:line="276" w:lineRule="auto"/>
        <w:jc w:val="both"/>
        <w:rPr>
          <w:b/>
          <w:sz w:val="21"/>
          <w:szCs w:val="21"/>
        </w:rPr>
      </w:pPr>
      <w:r>
        <w:rPr>
          <w:rFonts w:eastAsia="宋体" w:cs="宋体"/>
          <w:sz w:val="18"/>
          <w:vertAlign w:val="superscript"/>
        </w:rPr>
        <w:t>13</w:t>
      </w:r>
      <w:r>
        <w:rPr>
          <w:rFonts w:eastAsia="宋体" w:cs="宋体"/>
          <w:sz w:val="18"/>
        </w:rPr>
        <w:t xml:space="preserve"> 关于组合产品的设计控制的更多信息，参见CFR第21篇第4部分A子部分，以及相关FDA指南《组合产品现行生产质量管理规范要求》，可登录以下网址获取：</w:t>
      </w:r>
      <w:r>
        <w:rPr>
          <w:rFonts w:eastAsia="宋体" w:cs="宋体"/>
          <w:color w:val="0000FF"/>
          <w:sz w:val="18"/>
          <w:u w:val="single"/>
        </w:rPr>
        <w:t>https://www.fda.gov/regulatory-information/search-fda-guidance-documents/current-good-manufacturing-practice-</w:t>
      </w:r>
      <w:r>
        <w:rPr>
          <w:rFonts w:eastAsia="宋体" w:cs="宋体"/>
          <w:color w:val="0000FF"/>
          <w:sz w:val="18"/>
        </w:rPr>
        <w:t xml:space="preserve"> </w:t>
      </w:r>
      <w:r>
        <w:rPr>
          <w:rFonts w:eastAsia="宋体" w:cs="宋体"/>
          <w:color w:val="0000FF"/>
          <w:sz w:val="18"/>
          <w:u w:val="single"/>
        </w:rPr>
        <w:t>requirements-combination-products</w:t>
      </w:r>
      <w:r>
        <w:rPr>
          <w:rFonts w:eastAsia="宋体" w:cs="宋体"/>
          <w:sz w:val="18"/>
        </w:rPr>
        <w:t>.</w:t>
      </w:r>
      <w:r>
        <w:rPr>
          <w:rFonts w:eastAsia="宋体" w:cs="宋体"/>
          <w:b/>
          <w:sz w:val="21"/>
        </w:rPr>
        <w:br w:type="page"/>
      </w:r>
    </w:p>
    <w:p w14:paraId="3979949C">
      <w:pPr>
        <w:pStyle w:val="4"/>
        <w:adjustRightInd w:val="0"/>
        <w:snapToGrid w:val="0"/>
        <w:spacing w:before="120" w:beforeLines="50" w:line="300" w:lineRule="auto"/>
        <w:jc w:val="both"/>
        <w:rPr>
          <w:sz w:val="21"/>
          <w:szCs w:val="21"/>
          <w:lang w:eastAsia="zh-CN"/>
        </w:rPr>
      </w:pPr>
      <w:r>
        <w:rPr>
          <w:rFonts w:eastAsia="宋体" w:cs="宋体"/>
          <w:sz w:val="21"/>
          <w:lang w:eastAsia="zh-CN"/>
        </w:rPr>
        <w:t>该评定专门针对组合产品的预期用途，因为风险可能受到正在治疗的病情、使用环境、急救用注射器技术、药物、用户特征等因素的影响。除了传统开发活动外，急救用注射器可靠性分析还应结合适用于急救用注射器的以下器械设计控制活动：</w:t>
      </w:r>
    </w:p>
    <w:p w14:paraId="0847015D">
      <w:pPr>
        <w:pStyle w:val="13"/>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确定可靠性要求和标准；</w:t>
      </w:r>
    </w:p>
    <w:p w14:paraId="270BF459">
      <w:pPr>
        <w:pStyle w:val="13"/>
        <w:numPr>
          <w:ilvl w:val="0"/>
          <w:numId w:val="4"/>
        </w:numPr>
        <w:adjustRightInd w:val="0"/>
        <w:snapToGrid w:val="0"/>
        <w:spacing w:before="120" w:beforeLines="50" w:line="300" w:lineRule="auto"/>
        <w:ind w:left="860" w:leftChars="200" w:hangingChars="200"/>
        <w:jc w:val="both"/>
        <w:rPr>
          <w:sz w:val="21"/>
          <w:szCs w:val="21"/>
        </w:rPr>
      </w:pPr>
      <w:r>
        <w:rPr>
          <w:rFonts w:eastAsia="宋体" w:cs="宋体"/>
          <w:sz w:val="21"/>
        </w:rPr>
        <w:t>风险分析；</w:t>
      </w:r>
    </w:p>
    <w:p w14:paraId="10A9D094">
      <w:pPr>
        <w:pStyle w:val="13"/>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可靠性要求和标准的设计验证和确认；以及</w:t>
      </w:r>
    </w:p>
    <w:p w14:paraId="5DB373DD">
      <w:pPr>
        <w:pStyle w:val="13"/>
        <w:numPr>
          <w:ilvl w:val="0"/>
          <w:numId w:val="4"/>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从可靠性标准到正确生产质量标准的设计转化。</w:t>
      </w:r>
    </w:p>
    <w:p w14:paraId="4870C4AB">
      <w:pPr>
        <w:pStyle w:val="4"/>
        <w:adjustRightInd w:val="0"/>
        <w:snapToGrid w:val="0"/>
        <w:spacing w:before="120" w:beforeLines="50" w:line="300" w:lineRule="auto"/>
        <w:jc w:val="both"/>
        <w:rPr>
          <w:sz w:val="21"/>
          <w:szCs w:val="21"/>
          <w:lang w:eastAsia="zh-CN"/>
        </w:rPr>
      </w:pPr>
      <w:r>
        <w:rPr>
          <w:rFonts w:eastAsia="宋体" w:cs="宋体"/>
          <w:sz w:val="21"/>
          <w:lang w:eastAsia="zh-CN"/>
        </w:rPr>
        <w:t>如第IV节可靠性背景中所述，在将设计转化为生产后，制造控制措施应足以按照规定生产出可靠的急救用注射器。</w:t>
      </w:r>
      <w:r>
        <w:rPr>
          <w:rFonts w:eastAsia="宋体" w:cs="宋体"/>
          <w:sz w:val="21"/>
          <w:vertAlign w:val="superscript"/>
          <w:lang w:eastAsia="zh-CN"/>
        </w:rPr>
        <w:t>15</w:t>
      </w:r>
      <w:r>
        <w:rPr>
          <w:rFonts w:eastAsia="宋体" w:cs="宋体"/>
          <w:sz w:val="21"/>
          <w:lang w:eastAsia="zh-CN"/>
        </w:rPr>
        <w:t>除要求的其他活动外，这些控制措施应包括以下内容，以确保在生产过程中必须实现设计标准和公差，并分析所有潜在质量问题的来源：</w:t>
      </w:r>
    </w:p>
    <w:p w14:paraId="2935B6BA">
      <w:pPr>
        <w:pStyle w:val="13"/>
        <w:numPr>
          <w:ilvl w:val="0"/>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制造过程中充分的控制和放行活动，以确保成品急救用注射器符合其标准；</w:t>
      </w:r>
    </w:p>
    <w:p w14:paraId="0CAFD8E9">
      <w:pPr>
        <w:pStyle w:val="13"/>
        <w:numPr>
          <w:ilvl w:val="0"/>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所提供组成部分的明确验收活动，用于确保制造的组合产品具有所需的设计属性，从而确保产品符合可靠性标准；以及</w:t>
      </w:r>
    </w:p>
    <w:p w14:paraId="5121263B">
      <w:pPr>
        <w:pStyle w:val="13"/>
        <w:numPr>
          <w:ilvl w:val="0"/>
          <w:numId w:val="5"/>
        </w:numPr>
        <w:adjustRightInd w:val="0"/>
        <w:snapToGrid w:val="0"/>
        <w:spacing w:before="120" w:beforeLines="50" w:line="300" w:lineRule="auto"/>
        <w:ind w:left="860" w:leftChars="200" w:hangingChars="200"/>
        <w:jc w:val="both"/>
        <w:rPr>
          <w:sz w:val="21"/>
          <w:szCs w:val="21"/>
        </w:rPr>
      </w:pPr>
      <w:r>
        <w:rPr>
          <w:rFonts w:eastAsia="宋体" w:cs="宋体"/>
          <w:sz w:val="21"/>
          <w:lang w:eastAsia="zh-CN"/>
        </w:rPr>
        <w:t>建立并维护纠正和预防措施（CAPA）活动（例如上市后投诉）的实施程序，以确保对所有质量数据来源进行分析，并且必要时可以采取预防措施或纠正措施。</w:t>
      </w:r>
      <w:r>
        <w:rPr>
          <w:rFonts w:eastAsia="宋体" w:cs="宋体"/>
          <w:sz w:val="21"/>
          <w:vertAlign w:val="superscript"/>
        </w:rPr>
        <w:t>16</w:t>
      </w:r>
    </w:p>
    <w:p w14:paraId="7FC47920">
      <w:pPr>
        <w:pStyle w:val="4"/>
        <w:adjustRightInd w:val="0"/>
        <w:snapToGrid w:val="0"/>
        <w:spacing w:before="120" w:beforeLines="50" w:line="300" w:lineRule="auto"/>
        <w:jc w:val="both"/>
        <w:rPr>
          <w:sz w:val="21"/>
          <w:szCs w:val="21"/>
          <w:lang w:eastAsia="zh-CN"/>
        </w:rPr>
      </w:pPr>
      <w:r>
        <w:rPr>
          <w:rFonts w:eastAsia="宋体" w:cs="宋体"/>
          <w:sz w:val="21"/>
          <w:lang w:eastAsia="zh-CN"/>
        </w:rPr>
        <w:t>除了保证急救用注射器的可靠性之外，设计良好的可靠性分析的优点还包括设计和制造控制措施之间的连接环节中的以下生命周期管理益处。</w:t>
      </w:r>
    </w:p>
    <w:p w14:paraId="2F67BCB5">
      <w:pPr>
        <w:pStyle w:val="13"/>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可在组合产品上市之前识别急救用注射器的最不可靠的设计元素或制造控制措施。这可以进一步为制造控制措施的潜在改进、被拒绝部件的限制跟踪或趋势分析以及未来失效组合产品调查提供信息；</w:t>
      </w:r>
    </w:p>
    <w:p w14:paraId="39BF3DCD">
      <w:pPr>
        <w:pStyle w:val="13"/>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可根据可靠性分析评价设计或制造工艺的未来变更，以评估对急救用注射器可靠性的潜在影响；</w:t>
      </w:r>
    </w:p>
    <w:p w14:paraId="78B2B756">
      <w:pPr>
        <w:pStyle w:val="13"/>
        <w:numPr>
          <w:ilvl w:val="0"/>
          <w:numId w:val="6"/>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上市后急救用注射器失效调查可以直接与急救用注射器的可靠性分析相关联，以便识别急救用注射器的设计和/或制造控制措施中的差距或不足；以及</w:t>
      </w:r>
    </w:p>
    <w:p w14:paraId="7B306496">
      <w:pPr>
        <w:pStyle w:val="4"/>
        <w:adjustRightInd w:val="0"/>
        <w:snapToGrid w:val="0"/>
        <w:spacing w:before="2760" w:beforeLines="1150" w:line="300" w:lineRule="auto"/>
        <w:jc w:val="both"/>
        <w:rPr>
          <w:rFonts w:eastAsiaTheme="minorEastAsia"/>
          <w:sz w:val="21"/>
          <w:szCs w:val="21"/>
          <w:lang w:eastAsia="zh-CN"/>
        </w:rPr>
      </w:pPr>
      <w:r>
        <w:rPr>
          <w:rFonts w:eastAsia="宋体" w:cs="宋体"/>
          <w:sz w:val="21"/>
          <w:lang w:eastAsia="zh-CN"/>
        </w:rPr>
        <w:t>____________________</w:t>
      </w:r>
    </w:p>
    <w:p w14:paraId="0A8FC28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14</w:t>
      </w:r>
      <w:r>
        <w:rPr>
          <w:rFonts w:eastAsia="宋体" w:cs="宋体"/>
          <w:sz w:val="18"/>
          <w:lang w:eastAsia="zh-CN"/>
        </w:rPr>
        <w:t xml:space="preserve"> 参见21 CFR 820.30(g)。</w:t>
      </w:r>
    </w:p>
    <w:p w14:paraId="4827A95D">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15</w:t>
      </w:r>
      <w:r>
        <w:rPr>
          <w:rFonts w:eastAsia="宋体" w:cs="宋体"/>
          <w:sz w:val="18"/>
          <w:lang w:eastAsia="zh-CN"/>
        </w:rPr>
        <w:t xml:space="preserve"> 参见21 CFR 820.30(h)。</w:t>
      </w:r>
    </w:p>
    <w:p w14:paraId="34991E37">
      <w:pPr>
        <w:adjustRightInd w:val="0"/>
        <w:snapToGrid w:val="0"/>
        <w:spacing w:before="36" w:beforeLines="15" w:line="276" w:lineRule="auto"/>
        <w:jc w:val="both"/>
        <w:rPr>
          <w:b/>
          <w:sz w:val="21"/>
          <w:szCs w:val="21"/>
        </w:rPr>
      </w:pPr>
      <w:r>
        <w:rPr>
          <w:rFonts w:eastAsia="宋体" w:cs="宋体"/>
          <w:sz w:val="18"/>
          <w:vertAlign w:val="superscript"/>
        </w:rPr>
        <w:t>16</w:t>
      </w:r>
      <w:r>
        <w:rPr>
          <w:rFonts w:eastAsia="宋体" w:cs="宋体"/>
          <w:sz w:val="18"/>
        </w:rPr>
        <w:t xml:space="preserve"> 参见21 CFR 820.100。</w:t>
      </w:r>
      <w:r>
        <w:rPr>
          <w:rFonts w:eastAsia="宋体" w:cs="宋体"/>
          <w:b/>
          <w:sz w:val="21"/>
        </w:rPr>
        <w:br w:type="page"/>
      </w:r>
    </w:p>
    <w:p w14:paraId="7128FE1E">
      <w:pPr>
        <w:pStyle w:val="13"/>
        <w:numPr>
          <w:ilvl w:val="1"/>
          <w:numId w:val="7"/>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在整体可靠性分析的背景下理解这些特定设计元素或制造控制措施的结果后，如果在开发周期早期实施可靠性分析，则可通过更改急救用注射器设计或制造工艺或控制措施提高可靠性。</w:t>
      </w:r>
    </w:p>
    <w:p w14:paraId="4CA9B271">
      <w:pPr>
        <w:pStyle w:val="4"/>
        <w:adjustRightInd w:val="0"/>
        <w:snapToGrid w:val="0"/>
        <w:spacing w:before="120" w:beforeLines="50" w:line="300" w:lineRule="auto"/>
        <w:jc w:val="both"/>
        <w:rPr>
          <w:sz w:val="21"/>
          <w:szCs w:val="21"/>
          <w:lang w:eastAsia="zh-CN"/>
        </w:rPr>
      </w:pPr>
      <w:r>
        <w:rPr>
          <w:rFonts w:eastAsia="宋体" w:cs="宋体"/>
          <w:sz w:val="21"/>
          <w:lang w:eastAsia="zh-CN"/>
        </w:rPr>
        <w:t>下文第V节提供了证明急救用注射器可靠性和定义注射失败的可接受方式示例。</w:t>
      </w:r>
    </w:p>
    <w:p w14:paraId="252F8879">
      <w:pPr>
        <w:pStyle w:val="4"/>
        <w:adjustRightInd w:val="0"/>
        <w:snapToGrid w:val="0"/>
        <w:spacing w:before="120" w:beforeLines="50" w:line="300" w:lineRule="auto"/>
        <w:ind w:left="1160" w:leftChars="200" w:hanging="720" w:hangingChars="300"/>
        <w:jc w:val="both"/>
        <w:outlineLvl w:val="0"/>
        <w:rPr>
          <w:szCs w:val="21"/>
          <w:lang w:eastAsia="zh-CN"/>
        </w:rPr>
      </w:pPr>
      <w:bookmarkStart w:id="6" w:name="_Toc91865916"/>
      <w:r>
        <w:rPr>
          <w:rFonts w:eastAsia="宋体" w:cs="宋体"/>
          <w:lang w:eastAsia="zh-CN"/>
        </w:rPr>
        <w:t>V.</w:t>
      </w:r>
      <w:r>
        <w:rPr>
          <w:rFonts w:eastAsia="宋体" w:cs="宋体"/>
          <w:lang w:eastAsia="zh-CN"/>
        </w:rPr>
        <w:tab/>
      </w:r>
      <w:r>
        <w:rPr>
          <w:rFonts w:eastAsia="宋体" w:cs="宋体"/>
          <w:lang w:eastAsia="zh-CN"/>
        </w:rPr>
        <w:t>上市前申请的可靠性报告编制和内容建议</w:t>
      </w:r>
      <w:bookmarkEnd w:id="6"/>
    </w:p>
    <w:p w14:paraId="2B934141">
      <w:pPr>
        <w:pStyle w:val="4"/>
        <w:adjustRightInd w:val="0"/>
        <w:snapToGrid w:val="0"/>
        <w:spacing w:before="120" w:beforeLines="50" w:line="300" w:lineRule="auto"/>
        <w:jc w:val="both"/>
        <w:rPr>
          <w:sz w:val="21"/>
          <w:szCs w:val="21"/>
          <w:lang w:eastAsia="zh-CN"/>
        </w:rPr>
      </w:pPr>
      <w:r>
        <w:rPr>
          <w:rFonts w:eastAsia="宋体" w:cs="宋体"/>
          <w:sz w:val="21"/>
          <w:lang w:eastAsia="zh-CN"/>
        </w:rPr>
        <w:t>如第IV节所述，根据组合产品的设计、制造和使用知识，实现必要的可靠性标准。通常，最高风险是注射失败（例如激活和药物递送功能）。当一种或多种功能失效模式导致急救用注射器无法将针头送至目标部位或无法按预期完成药物递送时，则注射失败。如第IV节可靠性背景所述，FDA认为，如果在“一次机会”（或紧急）情况下急救用注射器能够成功注射，则该器械合格。如上所述，FDA认为，当急救用注射器的成功注射可靠性的设计控制标准为99.999%，置信度为95%时，则该注射器符合适用标准。</w:t>
      </w:r>
    </w:p>
    <w:p w14:paraId="4B3B3666">
      <w:pPr>
        <w:pStyle w:val="4"/>
        <w:adjustRightInd w:val="0"/>
        <w:snapToGrid w:val="0"/>
        <w:spacing w:before="120" w:beforeLines="50" w:line="300" w:lineRule="auto"/>
        <w:jc w:val="both"/>
        <w:rPr>
          <w:sz w:val="21"/>
          <w:szCs w:val="21"/>
          <w:lang w:eastAsia="zh-CN"/>
        </w:rPr>
      </w:pPr>
      <w:r>
        <w:rPr>
          <w:rFonts w:eastAsia="宋体" w:cs="宋体"/>
          <w:sz w:val="21"/>
          <w:lang w:eastAsia="zh-CN"/>
        </w:rPr>
        <w:t>为确定急救用注射器的安全有效的注射性能，上市申请中应包括验证和确认注射器是否达到其可靠性标准的信息和相关信息。以下章节列出了用于获取验证和确认数据的可接受活动示例。如果申请人提交了这些信息，FDA建议申请人以急救用注射器可靠性报告的形式提供这些数据，以便于进行高效审查。</w:t>
      </w:r>
      <w:r>
        <w:rPr>
          <w:rFonts w:eastAsia="宋体" w:cs="宋体"/>
          <w:sz w:val="21"/>
          <w:vertAlign w:val="superscript"/>
          <w:lang w:eastAsia="zh-CN"/>
        </w:rPr>
        <w:t>17</w:t>
      </w:r>
      <w:r>
        <w:rPr>
          <w:rFonts w:eastAsia="宋体" w:cs="宋体"/>
          <w:sz w:val="21"/>
          <w:lang w:eastAsia="zh-CN"/>
        </w:rPr>
        <w:t>以下小节提供了可靠性报告中应包括的信息类型示例。本指南第VI节提供了可靠性报告格式示例。</w:t>
      </w:r>
    </w:p>
    <w:p w14:paraId="39A2D473">
      <w:pPr>
        <w:adjustRightInd w:val="0"/>
        <w:snapToGrid w:val="0"/>
        <w:spacing w:before="120" w:beforeLines="50" w:line="300" w:lineRule="auto"/>
        <w:ind w:left="860" w:leftChars="200" w:hanging="420" w:hangingChars="200"/>
        <w:jc w:val="both"/>
        <w:rPr>
          <w:sz w:val="21"/>
          <w:szCs w:val="21"/>
          <w:u w:val="single"/>
          <w:lang w:eastAsia="zh-CN"/>
        </w:rPr>
      </w:pPr>
      <w:r>
        <w:rPr>
          <w:rFonts w:eastAsia="宋体" w:cs="宋体"/>
          <w:sz w:val="21"/>
          <w:u w:val="single"/>
          <w:lang w:eastAsia="zh-CN"/>
        </w:rPr>
        <w:t>1.</w:t>
      </w:r>
      <w:r>
        <w:rPr>
          <w:rFonts w:eastAsia="宋体" w:cs="宋体"/>
          <w:sz w:val="21"/>
          <w:lang w:eastAsia="zh-CN"/>
        </w:rPr>
        <w:tab/>
      </w:r>
      <w:r>
        <w:rPr>
          <w:rFonts w:eastAsia="宋体" w:cs="宋体"/>
          <w:sz w:val="21"/>
          <w:u w:val="single"/>
          <w:lang w:eastAsia="zh-CN"/>
        </w:rPr>
        <w:t>确保可靠性所需的设计输入和设计输出</w:t>
      </w:r>
      <w:r>
        <w:rPr>
          <w:rFonts w:eastAsia="宋体" w:cs="宋体"/>
          <w:sz w:val="21"/>
          <w:vertAlign w:val="superscript"/>
          <w:lang w:eastAsia="zh-CN"/>
        </w:rPr>
        <w:t>18</w:t>
      </w:r>
    </w:p>
    <w:p w14:paraId="36BD211C">
      <w:pPr>
        <w:pStyle w:val="4"/>
        <w:adjustRightInd w:val="0"/>
        <w:snapToGrid w:val="0"/>
        <w:spacing w:before="120" w:beforeLines="50" w:line="300" w:lineRule="auto"/>
        <w:ind w:left="440" w:leftChars="200"/>
        <w:jc w:val="both"/>
        <w:rPr>
          <w:sz w:val="21"/>
          <w:szCs w:val="21"/>
          <w:lang w:eastAsia="zh-CN"/>
        </w:rPr>
      </w:pPr>
      <w:r>
        <w:rPr>
          <w:rFonts w:eastAsia="宋体" w:cs="宋体"/>
          <w:sz w:val="21"/>
          <w:lang w:eastAsia="zh-CN"/>
        </w:rPr>
        <w:t>如第IV节所述，需要确定急救用注射器功能的可靠性标准以及患者或护理者的使用条件。</w:t>
      </w:r>
      <w:r>
        <w:rPr>
          <w:rFonts w:eastAsia="宋体" w:cs="宋体"/>
          <w:sz w:val="21"/>
          <w:vertAlign w:val="superscript"/>
          <w:lang w:eastAsia="zh-CN"/>
        </w:rPr>
        <w:t>19</w:t>
      </w:r>
      <w:r>
        <w:rPr>
          <w:rFonts w:eastAsia="宋体" w:cs="宋体"/>
          <w:sz w:val="21"/>
          <w:lang w:eastAsia="zh-CN"/>
        </w:rPr>
        <w:t>应确定确保可靠性所需的设计输入，并将其转化为规定的设计输出。选择可能与急救用注射器的可靠功能无关的设计输入，可能导致无法满足制造商制定的可靠性标准。为帮助确定设计输入要求，制造商应考虑以下信息：</w:t>
      </w:r>
    </w:p>
    <w:p w14:paraId="10AC0724">
      <w:pPr>
        <w:pStyle w:val="4"/>
        <w:adjustRightInd w:val="0"/>
        <w:snapToGrid w:val="0"/>
        <w:spacing w:before="4200" w:beforeLines="1750" w:line="300" w:lineRule="auto"/>
        <w:jc w:val="both"/>
        <w:rPr>
          <w:rFonts w:eastAsiaTheme="minorEastAsia"/>
          <w:sz w:val="21"/>
          <w:szCs w:val="21"/>
          <w:lang w:eastAsia="zh-CN"/>
        </w:rPr>
      </w:pPr>
      <w:r>
        <w:rPr>
          <w:rFonts w:eastAsia="宋体" w:cs="宋体"/>
          <w:sz w:val="21"/>
          <w:lang w:eastAsia="zh-CN"/>
        </w:rPr>
        <w:t>____________________</w:t>
      </w:r>
    </w:p>
    <w:p w14:paraId="329AACF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17</w:t>
      </w:r>
      <w:r>
        <w:rPr>
          <w:rFonts w:eastAsia="宋体" w:cs="宋体"/>
          <w:sz w:val="18"/>
          <w:lang w:eastAsia="zh-CN"/>
        </w:rPr>
        <w:t>在本文件的剩余部分中，术语“可靠性报告”适用于急救用注射器可靠性报告。</w:t>
      </w:r>
    </w:p>
    <w:p w14:paraId="72EB7FF6">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18</w:t>
      </w:r>
      <w:r>
        <w:rPr>
          <w:rFonts w:eastAsia="宋体" w:cs="宋体"/>
          <w:sz w:val="18"/>
          <w:lang w:eastAsia="zh-CN"/>
        </w:rPr>
        <w:t>参见21 CFR 820.30(c)和820.30(d)。</w:t>
      </w:r>
    </w:p>
    <w:p w14:paraId="4F98EB97">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19</w:t>
      </w:r>
      <w:r>
        <w:rPr>
          <w:rFonts w:eastAsia="宋体" w:cs="宋体"/>
          <w:sz w:val="18"/>
          <w:lang w:eastAsia="zh-CN"/>
        </w:rPr>
        <w:t>参见21 CFR 820.30(c)。</w:t>
      </w:r>
      <w:r>
        <w:rPr>
          <w:rFonts w:eastAsia="宋体" w:cs="宋体"/>
          <w:b/>
          <w:sz w:val="18"/>
          <w:lang w:eastAsia="zh-CN"/>
        </w:rPr>
        <w:br w:type="page"/>
      </w:r>
    </w:p>
    <w:p w14:paraId="3892D6FF">
      <w:pPr>
        <w:pStyle w:val="13"/>
        <w:numPr>
          <w:ilvl w:val="1"/>
          <w:numId w:val="8"/>
        </w:numPr>
        <w:adjustRightInd w:val="0"/>
        <w:snapToGrid w:val="0"/>
        <w:spacing w:before="120" w:beforeLines="50" w:line="300" w:lineRule="auto"/>
        <w:ind w:left="860" w:leftChars="200" w:hangingChars="200"/>
        <w:jc w:val="both"/>
        <w:rPr>
          <w:sz w:val="21"/>
          <w:szCs w:val="21"/>
        </w:rPr>
      </w:pPr>
      <w:r>
        <w:rPr>
          <w:rFonts w:eastAsia="宋体" w:cs="宋体"/>
          <w:sz w:val="21"/>
        </w:rPr>
        <w:t>预期用途和相关风险；</w:t>
      </w:r>
    </w:p>
    <w:p w14:paraId="744ED7FD">
      <w:pPr>
        <w:pStyle w:val="13"/>
        <w:numPr>
          <w:ilvl w:val="1"/>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急救用注射器风险分析，包括药物组成部分的特征；</w:t>
      </w:r>
    </w:p>
    <w:p w14:paraId="0FC0FF92">
      <w:pPr>
        <w:pStyle w:val="13"/>
        <w:numPr>
          <w:ilvl w:val="1"/>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可能影响组合产品可靠性的使用相关问题，包括：</w:t>
      </w:r>
    </w:p>
    <w:p w14:paraId="7A1944D9">
      <w:pPr>
        <w:pStyle w:val="13"/>
        <w:numPr>
          <w:ilvl w:val="0"/>
          <w:numId w:val="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使用任务，可能包括组合产品的拆包、制备、给药和处置；以及</w:t>
      </w:r>
    </w:p>
    <w:p w14:paraId="36733D9B">
      <w:pPr>
        <w:pStyle w:val="13"/>
        <w:numPr>
          <w:ilvl w:val="0"/>
          <w:numId w:val="9"/>
        </w:numPr>
        <w:adjustRightInd w:val="0"/>
        <w:snapToGrid w:val="0"/>
        <w:spacing w:before="120" w:beforeLines="50" w:line="300" w:lineRule="auto"/>
        <w:ind w:left="1300" w:leftChars="400" w:hangingChars="200"/>
        <w:jc w:val="both"/>
        <w:rPr>
          <w:sz w:val="21"/>
          <w:szCs w:val="21"/>
        </w:rPr>
      </w:pPr>
      <w:r>
        <w:rPr>
          <w:rFonts w:eastAsia="宋体" w:cs="宋体"/>
          <w:sz w:val="21"/>
        </w:rPr>
        <w:t>使用条件和使用环境。</w:t>
      </w:r>
    </w:p>
    <w:p w14:paraId="7E0F380D">
      <w:pPr>
        <w:pStyle w:val="13"/>
        <w:numPr>
          <w:ilvl w:val="1"/>
          <w:numId w:val="10"/>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要考虑的使用条件因素</w:t>
      </w:r>
      <w:r>
        <w:rPr>
          <w:rFonts w:eastAsia="宋体" w:cs="宋体"/>
          <w:sz w:val="21"/>
          <w:vertAlign w:val="superscript"/>
          <w:lang w:eastAsia="zh-CN"/>
        </w:rPr>
        <w:t>20</w:t>
      </w:r>
      <w:r>
        <w:rPr>
          <w:rFonts w:eastAsia="宋体" w:cs="宋体"/>
          <w:sz w:val="21"/>
          <w:lang w:eastAsia="zh-CN"/>
        </w:rPr>
        <w:t>包括急救用注射器的所有用户、使用</w:t>
      </w:r>
      <w:r>
        <w:rPr>
          <w:rFonts w:hint="eastAsia" w:eastAsia="宋体" w:cs="宋体"/>
          <w:sz w:val="21"/>
          <w:lang w:eastAsia="zh-CN"/>
        </w:rPr>
        <w:t>部位</w:t>
      </w:r>
      <w:r>
        <w:rPr>
          <w:rFonts w:eastAsia="宋体" w:cs="宋体"/>
          <w:sz w:val="21"/>
          <w:lang w:eastAsia="zh-CN"/>
        </w:rPr>
        <w:t>以及可能使用急救用注射器的情况，包括：</w:t>
      </w:r>
    </w:p>
    <w:p w14:paraId="28E63546">
      <w:pPr>
        <w:pStyle w:val="13"/>
        <w:numPr>
          <w:ilvl w:val="0"/>
          <w:numId w:val="1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使用环境（例如学校、工作场所、公共交通工具、恶劣气候、急救人员处于混乱状态）和相关的可靠性风险；以及</w:t>
      </w:r>
    </w:p>
    <w:p w14:paraId="22967D4C">
      <w:pPr>
        <w:pStyle w:val="13"/>
        <w:numPr>
          <w:ilvl w:val="0"/>
          <w:numId w:val="11"/>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用户特征（例如，在与所治疗的疾病相关的认知存在障碍或存在身体损害的情况下自我注射）和相关的可靠性风险。</w:t>
      </w:r>
    </w:p>
    <w:p w14:paraId="02518F4D">
      <w:pPr>
        <w:pStyle w:val="4"/>
        <w:adjustRightInd w:val="0"/>
        <w:snapToGrid w:val="0"/>
        <w:spacing w:before="120" w:beforeLines="50" w:line="300" w:lineRule="auto"/>
        <w:jc w:val="both"/>
        <w:rPr>
          <w:sz w:val="21"/>
          <w:szCs w:val="21"/>
          <w:lang w:eastAsia="zh-CN"/>
        </w:rPr>
      </w:pPr>
      <w:r>
        <w:rPr>
          <w:rFonts w:eastAsia="宋体" w:cs="宋体"/>
          <w:sz w:val="21"/>
          <w:lang w:eastAsia="zh-CN"/>
        </w:rPr>
        <w:t>表1提供了仅针对急救用注射器可靠性的急救用注射器设计考虑因素的示例。</w:t>
      </w:r>
      <w:r>
        <w:rPr>
          <w:rFonts w:eastAsia="宋体" w:cs="宋体"/>
          <w:sz w:val="21"/>
          <w:vertAlign w:val="superscript"/>
          <w:lang w:eastAsia="zh-CN"/>
        </w:rPr>
        <w:t>21</w:t>
      </w:r>
    </w:p>
    <w:p w14:paraId="0DF3236A">
      <w:pPr>
        <w:pStyle w:val="4"/>
        <w:adjustRightInd w:val="0"/>
        <w:snapToGrid w:val="0"/>
        <w:spacing w:before="120" w:beforeLines="50" w:line="300" w:lineRule="auto"/>
        <w:jc w:val="both"/>
        <w:rPr>
          <w:sz w:val="21"/>
          <w:szCs w:val="21"/>
          <w:lang w:eastAsia="zh-CN"/>
        </w:rPr>
      </w:pPr>
    </w:p>
    <w:p w14:paraId="43A253F4">
      <w:pPr>
        <w:pStyle w:val="4"/>
        <w:adjustRightInd w:val="0"/>
        <w:snapToGrid w:val="0"/>
        <w:spacing w:before="120" w:beforeLines="50" w:line="300" w:lineRule="auto"/>
        <w:jc w:val="center"/>
        <w:rPr>
          <w:sz w:val="21"/>
          <w:szCs w:val="21"/>
          <w:lang w:eastAsia="zh-CN"/>
        </w:rPr>
      </w:pPr>
      <w:r>
        <w:rPr>
          <w:rFonts w:eastAsia="宋体" w:cs="宋体"/>
          <w:sz w:val="21"/>
          <w:lang w:eastAsia="zh-CN"/>
        </w:rPr>
        <w:t>（表1见下一页）</w:t>
      </w:r>
    </w:p>
    <w:p w14:paraId="457B9C32">
      <w:pPr>
        <w:pStyle w:val="4"/>
        <w:adjustRightInd w:val="0"/>
        <w:snapToGrid w:val="0"/>
        <w:spacing w:before="4560" w:beforeLines="1900" w:line="300" w:lineRule="auto"/>
        <w:jc w:val="both"/>
        <w:rPr>
          <w:rFonts w:eastAsiaTheme="minorEastAsia"/>
          <w:sz w:val="21"/>
          <w:szCs w:val="21"/>
          <w:lang w:eastAsia="zh-CN"/>
        </w:rPr>
      </w:pPr>
      <w:r>
        <w:rPr>
          <w:rFonts w:eastAsia="宋体" w:cs="宋体"/>
          <w:sz w:val="21"/>
          <w:lang w:eastAsia="zh-CN"/>
        </w:rPr>
        <w:t>____________________</w:t>
      </w:r>
    </w:p>
    <w:p w14:paraId="3223FADD">
      <w:pPr>
        <w:wordWrap w:val="0"/>
        <w:adjustRightInd w:val="0"/>
        <w:snapToGrid w:val="0"/>
        <w:spacing w:before="36" w:beforeLines="15" w:line="276" w:lineRule="auto"/>
        <w:jc w:val="both"/>
        <w:rPr>
          <w:sz w:val="18"/>
          <w:szCs w:val="21"/>
          <w:lang w:eastAsia="zh-CN"/>
        </w:rPr>
      </w:pPr>
      <w:r>
        <w:rPr>
          <w:rFonts w:eastAsia="宋体" w:cs="宋体"/>
          <w:sz w:val="18"/>
          <w:vertAlign w:val="superscript"/>
          <w:lang w:eastAsia="zh-CN"/>
        </w:rPr>
        <w:t>20</w:t>
      </w:r>
      <w:r>
        <w:rPr>
          <w:rFonts w:eastAsia="宋体" w:cs="宋体"/>
          <w:sz w:val="18"/>
          <w:lang w:eastAsia="zh-CN"/>
        </w:rPr>
        <w:t xml:space="preserve"> 本指南文件中讨论的使用条件因素仅限于评估急救用注射器的功能性能，不涉及人为因素/用户界面考虑因素。有关人为因素的信息参见FDA指南《组合产品设计和开发中的人为因素研究和相关临床研究考虑因素（2016年草案）》（</w:t>
      </w:r>
      <w:r>
        <w:rPr>
          <w:rFonts w:eastAsia="宋体" w:cs="宋体"/>
          <w:color w:val="0000FF"/>
          <w:sz w:val="18"/>
          <w:u w:val="single"/>
          <w:lang w:eastAsia="zh-CN"/>
        </w:rPr>
        <w:t>https://www.fda.gov/regulatory-</w:t>
      </w:r>
      <w:r>
        <w:rPr>
          <w:rFonts w:eastAsia="宋体" w:cs="宋体"/>
          <w:color w:val="0000FF"/>
          <w:sz w:val="18"/>
          <w:lang w:eastAsia="zh-CN"/>
        </w:rPr>
        <w:t xml:space="preserve"> </w:t>
      </w:r>
      <w:r>
        <w:rPr>
          <w:rFonts w:eastAsia="宋体" w:cs="宋体"/>
          <w:color w:val="0000FF"/>
          <w:sz w:val="18"/>
          <w:u w:val="single"/>
          <w:lang w:eastAsia="zh-CN"/>
        </w:rPr>
        <w:t>information/search-fda-guidance-documents/human-factors-studies-and-related-clinical-study-considerations-</w:t>
      </w:r>
      <w:r>
        <w:rPr>
          <w:rFonts w:eastAsia="宋体" w:cs="宋体"/>
          <w:color w:val="0000FF"/>
          <w:sz w:val="18"/>
          <w:lang w:eastAsia="zh-CN"/>
        </w:rPr>
        <w:t xml:space="preserve"> </w:t>
      </w:r>
      <w:r>
        <w:rPr>
          <w:rFonts w:eastAsia="宋体" w:cs="宋体"/>
          <w:color w:val="0000FF"/>
          <w:sz w:val="18"/>
          <w:u w:val="single"/>
          <w:lang w:eastAsia="zh-CN"/>
        </w:rPr>
        <w:t>combination-product-design-and;</w:t>
      </w:r>
      <w:r>
        <w:rPr>
          <w:rFonts w:eastAsia="宋体" w:cs="宋体"/>
          <w:sz w:val="18"/>
          <w:lang w:eastAsia="zh-CN"/>
        </w:rPr>
        <w:t>）或《人为因素和可用性工程在医疗器械中的应用》（</w:t>
      </w:r>
      <w:r>
        <w:rPr>
          <w:rFonts w:eastAsia="宋体" w:cs="宋体"/>
          <w:color w:val="0000FF"/>
          <w:sz w:val="18"/>
          <w:u w:val="single"/>
          <w:lang w:eastAsia="zh-CN"/>
        </w:rPr>
        <w:t>https://www.fda.gov/regulatory-information/search-fda-guidance-documents/applying-human-factors-and-usability-engineering-medical-devices</w:t>
      </w:r>
      <w:r>
        <w:rPr>
          <w:rFonts w:eastAsia="宋体" w:cs="宋体"/>
          <w:sz w:val="18"/>
          <w:lang w:eastAsia="zh-CN"/>
        </w:rPr>
        <w:t>）。</w:t>
      </w:r>
    </w:p>
    <w:p w14:paraId="295BBBD1">
      <w:pPr>
        <w:adjustRightInd w:val="0"/>
        <w:snapToGrid w:val="0"/>
        <w:spacing w:before="36" w:beforeLines="15" w:line="276" w:lineRule="auto"/>
        <w:jc w:val="both"/>
        <w:rPr>
          <w:b/>
          <w:sz w:val="21"/>
          <w:szCs w:val="21"/>
        </w:rPr>
      </w:pPr>
      <w:r>
        <w:rPr>
          <w:rFonts w:eastAsia="宋体" w:cs="宋体"/>
          <w:sz w:val="18"/>
          <w:vertAlign w:val="superscript"/>
          <w:lang w:eastAsia="zh-CN"/>
        </w:rPr>
        <w:t>21</w:t>
      </w:r>
      <w:r>
        <w:rPr>
          <w:rFonts w:eastAsia="宋体" w:cs="宋体"/>
          <w:sz w:val="18"/>
          <w:lang w:eastAsia="zh-CN"/>
        </w:rPr>
        <w:t xml:space="preserve"> 应继续在组合产品开发中纳入其他类型的输入或输出考虑因素，以确保急救用注射器的安全和有效使用。</w:t>
      </w:r>
      <w:r>
        <w:rPr>
          <w:rFonts w:eastAsia="宋体" w:cs="宋体"/>
          <w:sz w:val="18"/>
        </w:rPr>
        <w:t>更多信息参见FDA指南《与药物和生物制品一起使用的笔式注射器、喷射式注射器和相关注射器的技术考虑因素》，可登录以下网址获取：</w:t>
      </w:r>
      <w:r>
        <w:rPr>
          <w:rFonts w:eastAsia="宋体" w:cs="宋体"/>
          <w:color w:val="0000FF"/>
          <w:sz w:val="18"/>
          <w:u w:val="single"/>
        </w:rPr>
        <w:t>https://www.fda.gov/regulatory-information/search-fda-guidance-documents/technical-considerations-pen-jet-</w:t>
      </w:r>
      <w:r>
        <w:rPr>
          <w:rFonts w:eastAsia="宋体" w:cs="宋体"/>
          <w:color w:val="0000FF"/>
          <w:sz w:val="18"/>
        </w:rPr>
        <w:t xml:space="preserve"> </w:t>
      </w:r>
      <w:r>
        <w:rPr>
          <w:rFonts w:eastAsia="宋体" w:cs="宋体"/>
          <w:color w:val="0000FF"/>
          <w:sz w:val="18"/>
          <w:u w:val="single"/>
        </w:rPr>
        <w:t>and-related-injectors-intended-use-drugs-and-biological-products</w:t>
      </w:r>
      <w:r>
        <w:rPr>
          <w:rFonts w:eastAsia="宋体" w:cs="宋体"/>
          <w:sz w:val="18"/>
        </w:rPr>
        <w:t>。</w:t>
      </w:r>
      <w:r>
        <w:rPr>
          <w:rFonts w:eastAsia="宋体" w:cs="宋体"/>
          <w:b/>
          <w:sz w:val="18"/>
        </w:rPr>
        <w:br w:type="page"/>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3" w:type="dxa"/>
          <w:bottom w:w="0" w:type="dxa"/>
          <w:right w:w="113" w:type="dxa"/>
        </w:tblCellMar>
      </w:tblPr>
      <w:tblGrid>
        <w:gridCol w:w="3005"/>
        <w:gridCol w:w="6292"/>
      </w:tblGrid>
      <w:tr w14:paraId="3A76D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5000" w:type="pct"/>
            <w:gridSpan w:val="2"/>
            <w:vAlign w:val="center"/>
          </w:tcPr>
          <w:p w14:paraId="3F40F800">
            <w:pPr>
              <w:pStyle w:val="14"/>
              <w:adjustRightInd w:val="0"/>
              <w:snapToGrid w:val="0"/>
              <w:spacing w:before="36" w:beforeLines="15" w:line="276" w:lineRule="auto"/>
              <w:ind w:left="0"/>
              <w:jc w:val="center"/>
              <w:rPr>
                <w:b/>
                <w:sz w:val="18"/>
                <w:szCs w:val="18"/>
                <w:lang w:eastAsia="zh-CN"/>
              </w:rPr>
            </w:pPr>
            <w:r>
              <w:rPr>
                <w:rFonts w:eastAsia="宋体" w:cs="宋体"/>
                <w:b/>
                <w:sz w:val="18"/>
                <w:lang w:eastAsia="zh-CN"/>
              </w:rPr>
              <w:t>表1：急救用注射器设计可靠性开发考虑因素</w:t>
            </w:r>
            <w:r>
              <w:rPr>
                <w:rFonts w:eastAsia="宋体" w:cs="宋体"/>
                <w:b/>
                <w:sz w:val="18"/>
                <w:vertAlign w:val="superscript"/>
                <w:lang w:eastAsia="zh-CN"/>
              </w:rPr>
              <w:t>22</w:t>
            </w:r>
          </w:p>
        </w:tc>
      </w:tr>
      <w:tr w14:paraId="0D39A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7D51577E">
            <w:pPr>
              <w:pStyle w:val="14"/>
              <w:adjustRightInd w:val="0"/>
              <w:snapToGrid w:val="0"/>
              <w:spacing w:before="36" w:beforeLines="15" w:line="276" w:lineRule="auto"/>
              <w:ind w:left="0"/>
              <w:jc w:val="center"/>
              <w:rPr>
                <w:b/>
                <w:sz w:val="18"/>
                <w:szCs w:val="18"/>
              </w:rPr>
            </w:pPr>
            <w:r>
              <w:rPr>
                <w:rFonts w:eastAsia="宋体" w:cs="宋体"/>
                <w:b/>
                <w:sz w:val="18"/>
              </w:rPr>
              <w:t>考虑因素类别</w:t>
            </w:r>
          </w:p>
        </w:tc>
        <w:tc>
          <w:tcPr>
            <w:tcW w:w="3384" w:type="pct"/>
          </w:tcPr>
          <w:p w14:paraId="34968358">
            <w:pPr>
              <w:pStyle w:val="14"/>
              <w:adjustRightInd w:val="0"/>
              <w:snapToGrid w:val="0"/>
              <w:spacing w:before="36" w:beforeLines="15" w:line="276" w:lineRule="auto"/>
              <w:ind w:left="0"/>
              <w:jc w:val="both"/>
              <w:rPr>
                <w:b/>
                <w:sz w:val="18"/>
                <w:szCs w:val="18"/>
              </w:rPr>
            </w:pPr>
            <w:r>
              <w:rPr>
                <w:rFonts w:eastAsia="宋体" w:cs="宋体"/>
                <w:b/>
                <w:sz w:val="18"/>
              </w:rPr>
              <w:t>示例</w:t>
            </w:r>
          </w:p>
        </w:tc>
      </w:tr>
      <w:tr w14:paraId="0658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782867DE">
            <w:pPr>
              <w:pStyle w:val="14"/>
              <w:adjustRightInd w:val="0"/>
              <w:snapToGrid w:val="0"/>
              <w:spacing w:before="36" w:beforeLines="15" w:line="276" w:lineRule="auto"/>
              <w:ind w:left="0"/>
              <w:jc w:val="center"/>
              <w:rPr>
                <w:sz w:val="18"/>
                <w:szCs w:val="18"/>
              </w:rPr>
            </w:pPr>
            <w:r>
              <w:rPr>
                <w:rFonts w:eastAsia="宋体" w:cs="宋体"/>
                <w:sz w:val="18"/>
              </w:rPr>
              <w:t>保护性包装</w:t>
            </w:r>
          </w:p>
        </w:tc>
        <w:tc>
          <w:tcPr>
            <w:tcW w:w="3384" w:type="pct"/>
          </w:tcPr>
          <w:p w14:paraId="41259DB8">
            <w:pPr>
              <w:pStyle w:val="14"/>
              <w:numPr>
                <w:ilvl w:val="1"/>
                <w:numId w:val="10"/>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防止急救用注射器在运输、日常搬运等过程中损坏的包装能力。</w:t>
            </w:r>
          </w:p>
          <w:p w14:paraId="5B206F3D">
            <w:pPr>
              <w:pStyle w:val="14"/>
              <w:numPr>
                <w:ilvl w:val="1"/>
                <w:numId w:val="10"/>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从包装或运输箱中取出（例如取出器械所需的力）</w:t>
            </w:r>
          </w:p>
        </w:tc>
      </w:tr>
      <w:tr w14:paraId="2A6CF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061C93AF">
            <w:pPr>
              <w:pStyle w:val="14"/>
              <w:adjustRightInd w:val="0"/>
              <w:snapToGrid w:val="0"/>
              <w:spacing w:before="36" w:beforeLines="15" w:line="276" w:lineRule="auto"/>
              <w:ind w:left="0"/>
              <w:jc w:val="center"/>
              <w:rPr>
                <w:sz w:val="18"/>
                <w:szCs w:val="18"/>
              </w:rPr>
            </w:pPr>
            <w:r>
              <w:rPr>
                <w:rFonts w:eastAsia="宋体" w:cs="宋体"/>
                <w:sz w:val="18"/>
              </w:rPr>
              <w:t>安全机构的移除/停用</w:t>
            </w:r>
          </w:p>
        </w:tc>
        <w:tc>
          <w:tcPr>
            <w:tcW w:w="3384" w:type="pct"/>
          </w:tcPr>
          <w:p w14:paraId="115A4E95">
            <w:pPr>
              <w:pStyle w:val="14"/>
              <w:numPr>
                <w:ilvl w:val="1"/>
                <w:numId w:val="12"/>
              </w:numPr>
              <w:adjustRightInd w:val="0"/>
              <w:snapToGrid w:val="0"/>
              <w:spacing w:before="36" w:beforeLines="15" w:line="276" w:lineRule="auto"/>
              <w:ind w:left="360" w:hanging="360" w:hangingChars="200"/>
              <w:jc w:val="both"/>
              <w:rPr>
                <w:sz w:val="18"/>
                <w:szCs w:val="18"/>
              </w:rPr>
            </w:pPr>
            <w:r>
              <w:rPr>
                <w:rFonts w:eastAsia="宋体" w:cs="宋体"/>
                <w:sz w:val="18"/>
              </w:rPr>
              <w:t>取下针帽或针套的力</w:t>
            </w:r>
          </w:p>
          <w:p w14:paraId="508571D6">
            <w:pPr>
              <w:pStyle w:val="14"/>
              <w:numPr>
                <w:ilvl w:val="0"/>
                <w:numId w:val="12"/>
              </w:numPr>
              <w:adjustRightInd w:val="0"/>
              <w:snapToGrid w:val="0"/>
              <w:spacing w:before="36" w:beforeLines="15" w:line="276" w:lineRule="auto"/>
              <w:ind w:left="360" w:hanging="360" w:hangingChars="200"/>
              <w:jc w:val="both"/>
              <w:rPr>
                <w:sz w:val="18"/>
                <w:szCs w:val="18"/>
              </w:rPr>
            </w:pPr>
            <w:r>
              <w:rPr>
                <w:rFonts w:eastAsia="宋体" w:cs="宋体"/>
                <w:sz w:val="18"/>
              </w:rPr>
              <w:t>停用安全机构所需的力</w:t>
            </w:r>
          </w:p>
        </w:tc>
      </w:tr>
      <w:tr w14:paraId="0C62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308F290E">
            <w:pPr>
              <w:pStyle w:val="14"/>
              <w:adjustRightInd w:val="0"/>
              <w:snapToGrid w:val="0"/>
              <w:spacing w:before="36" w:beforeLines="15" w:line="276" w:lineRule="auto"/>
              <w:ind w:left="0"/>
              <w:jc w:val="center"/>
              <w:rPr>
                <w:sz w:val="18"/>
                <w:szCs w:val="18"/>
              </w:rPr>
            </w:pPr>
            <w:r>
              <w:rPr>
                <w:rFonts w:eastAsia="宋体" w:cs="宋体"/>
                <w:sz w:val="18"/>
              </w:rPr>
              <w:t>激活力</w:t>
            </w:r>
          </w:p>
        </w:tc>
        <w:tc>
          <w:tcPr>
            <w:tcW w:w="3384" w:type="pct"/>
          </w:tcPr>
          <w:p w14:paraId="7F26BE5F">
            <w:pPr>
              <w:pStyle w:val="14"/>
              <w:numPr>
                <w:ilvl w:val="0"/>
                <w:numId w:val="12"/>
              </w:numPr>
              <w:adjustRightInd w:val="0"/>
              <w:snapToGrid w:val="0"/>
              <w:spacing w:before="36" w:beforeLines="15" w:line="276" w:lineRule="auto"/>
              <w:ind w:left="360" w:hanging="360" w:hangingChars="200"/>
              <w:jc w:val="both"/>
              <w:rPr>
                <w:sz w:val="18"/>
                <w:szCs w:val="18"/>
                <w:lang w:eastAsia="zh-CN"/>
              </w:rPr>
            </w:pPr>
            <w:r>
              <w:rPr>
                <w:rFonts w:hint="eastAsia" w:eastAsia="宋体" w:cs="宋体"/>
                <w:sz w:val="18"/>
                <w:lang w:eastAsia="zh-CN"/>
              </w:rPr>
              <w:t>启动</w:t>
            </w:r>
            <w:r>
              <w:rPr>
                <w:rFonts w:eastAsia="宋体" w:cs="宋体"/>
                <w:sz w:val="18"/>
                <w:lang w:eastAsia="zh-CN"/>
              </w:rPr>
              <w:t>注射机构所需的力</w:t>
            </w:r>
          </w:p>
        </w:tc>
      </w:tr>
      <w:tr w14:paraId="7CC6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2FC60251">
            <w:pPr>
              <w:pStyle w:val="14"/>
              <w:adjustRightInd w:val="0"/>
              <w:snapToGrid w:val="0"/>
              <w:spacing w:before="36" w:beforeLines="15" w:line="276" w:lineRule="auto"/>
              <w:ind w:left="0"/>
              <w:jc w:val="center"/>
              <w:rPr>
                <w:sz w:val="18"/>
                <w:szCs w:val="18"/>
              </w:rPr>
            </w:pPr>
            <w:r>
              <w:rPr>
                <w:rFonts w:eastAsia="宋体" w:cs="宋体"/>
                <w:sz w:val="18"/>
              </w:rPr>
              <w:t>插针</w:t>
            </w:r>
          </w:p>
        </w:tc>
        <w:tc>
          <w:tcPr>
            <w:tcW w:w="3384" w:type="pct"/>
          </w:tcPr>
          <w:p w14:paraId="5A53A5F5">
            <w:pPr>
              <w:pStyle w:val="14"/>
              <w:numPr>
                <w:ilvl w:val="0"/>
                <w:numId w:val="13"/>
              </w:numPr>
              <w:adjustRightInd w:val="0"/>
              <w:snapToGrid w:val="0"/>
              <w:spacing w:before="36" w:beforeLines="15" w:line="276" w:lineRule="auto"/>
              <w:ind w:left="360" w:hanging="360" w:hangingChars="200"/>
              <w:jc w:val="both"/>
              <w:rPr>
                <w:sz w:val="18"/>
                <w:szCs w:val="18"/>
              </w:rPr>
            </w:pPr>
            <w:r>
              <w:rPr>
                <w:rFonts w:eastAsia="宋体" w:cs="宋体"/>
                <w:sz w:val="18"/>
              </w:rPr>
              <w:t>针尖斜面规格</w:t>
            </w:r>
          </w:p>
          <w:p w14:paraId="56127B40">
            <w:pPr>
              <w:pStyle w:val="14"/>
              <w:numPr>
                <w:ilvl w:val="0"/>
                <w:numId w:val="13"/>
              </w:numPr>
              <w:adjustRightInd w:val="0"/>
              <w:snapToGrid w:val="0"/>
              <w:spacing w:before="36" w:beforeLines="15" w:line="276" w:lineRule="auto"/>
              <w:ind w:left="360" w:hanging="360" w:hangingChars="200"/>
              <w:jc w:val="both"/>
              <w:rPr>
                <w:sz w:val="18"/>
                <w:szCs w:val="18"/>
              </w:rPr>
            </w:pPr>
            <w:r>
              <w:rPr>
                <w:rFonts w:eastAsia="宋体" w:cs="宋体"/>
                <w:sz w:val="18"/>
              </w:rPr>
              <w:t>针的构造材料</w:t>
            </w:r>
          </w:p>
          <w:p w14:paraId="1E0F1886">
            <w:pPr>
              <w:pStyle w:val="14"/>
              <w:numPr>
                <w:ilvl w:val="0"/>
                <w:numId w:val="13"/>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针插入力（例如穿透衣服、皮肤等）</w:t>
            </w:r>
          </w:p>
          <w:p w14:paraId="442C9117">
            <w:pPr>
              <w:pStyle w:val="14"/>
              <w:numPr>
                <w:ilvl w:val="0"/>
                <w:numId w:val="13"/>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针的抗弯曲和抗断裂性能</w:t>
            </w:r>
          </w:p>
        </w:tc>
      </w:tr>
      <w:tr w14:paraId="633A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77642F91">
            <w:pPr>
              <w:pStyle w:val="14"/>
              <w:adjustRightInd w:val="0"/>
              <w:snapToGrid w:val="0"/>
              <w:spacing w:before="36" w:beforeLines="15" w:line="276" w:lineRule="auto"/>
              <w:ind w:left="0"/>
              <w:jc w:val="center"/>
              <w:rPr>
                <w:sz w:val="18"/>
                <w:szCs w:val="18"/>
              </w:rPr>
            </w:pPr>
            <w:r>
              <w:rPr>
                <w:rFonts w:eastAsia="宋体" w:cs="宋体"/>
                <w:sz w:val="18"/>
              </w:rPr>
              <w:t>针通畅性</w:t>
            </w:r>
          </w:p>
        </w:tc>
        <w:tc>
          <w:tcPr>
            <w:tcW w:w="3384" w:type="pct"/>
          </w:tcPr>
          <w:p w14:paraId="5981CA48">
            <w:pPr>
              <w:pStyle w:val="14"/>
              <w:numPr>
                <w:ilvl w:val="0"/>
                <w:numId w:val="14"/>
              </w:numPr>
              <w:adjustRightInd w:val="0"/>
              <w:snapToGrid w:val="0"/>
              <w:spacing w:before="36" w:beforeLines="15" w:line="276" w:lineRule="auto"/>
              <w:ind w:left="360" w:hanging="360" w:hangingChars="200"/>
              <w:jc w:val="both"/>
              <w:rPr>
                <w:sz w:val="18"/>
                <w:szCs w:val="18"/>
              </w:rPr>
            </w:pPr>
            <w:r>
              <w:rPr>
                <w:rFonts w:eastAsia="宋体" w:cs="宋体"/>
                <w:sz w:val="18"/>
              </w:rPr>
              <w:t>颗粒物</w:t>
            </w:r>
          </w:p>
        </w:tc>
      </w:tr>
      <w:tr w14:paraId="388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446C54A7">
            <w:pPr>
              <w:pStyle w:val="14"/>
              <w:adjustRightInd w:val="0"/>
              <w:snapToGrid w:val="0"/>
              <w:spacing w:before="36" w:beforeLines="15" w:line="276" w:lineRule="auto"/>
              <w:ind w:left="0"/>
              <w:jc w:val="center"/>
              <w:rPr>
                <w:sz w:val="18"/>
                <w:szCs w:val="18"/>
              </w:rPr>
            </w:pPr>
            <w:r>
              <w:rPr>
                <w:rFonts w:eastAsia="宋体" w:cs="宋体"/>
                <w:sz w:val="18"/>
              </w:rPr>
              <w:t>注射深度</w:t>
            </w:r>
          </w:p>
        </w:tc>
        <w:tc>
          <w:tcPr>
            <w:tcW w:w="3384" w:type="pct"/>
          </w:tcPr>
          <w:p w14:paraId="0AF86928">
            <w:pPr>
              <w:pStyle w:val="14"/>
              <w:numPr>
                <w:ilvl w:val="0"/>
                <w:numId w:val="14"/>
              </w:numPr>
              <w:adjustRightInd w:val="0"/>
              <w:snapToGrid w:val="0"/>
              <w:spacing w:before="36" w:beforeLines="15" w:line="276" w:lineRule="auto"/>
              <w:ind w:left="360" w:hanging="360" w:hangingChars="200"/>
              <w:jc w:val="both"/>
              <w:rPr>
                <w:sz w:val="18"/>
                <w:szCs w:val="18"/>
              </w:rPr>
            </w:pPr>
            <w:r>
              <w:rPr>
                <w:rFonts w:eastAsia="宋体" w:cs="宋体"/>
                <w:sz w:val="18"/>
              </w:rPr>
              <w:t>药物递送的靶组织</w:t>
            </w:r>
          </w:p>
          <w:p w14:paraId="76E6D8E1">
            <w:pPr>
              <w:pStyle w:val="14"/>
              <w:numPr>
                <w:ilvl w:val="0"/>
                <w:numId w:val="14"/>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身体习惯、皮肤和组织特征</w:t>
            </w:r>
          </w:p>
          <w:p w14:paraId="111B162B">
            <w:pPr>
              <w:pStyle w:val="14"/>
              <w:numPr>
                <w:ilvl w:val="0"/>
                <w:numId w:val="14"/>
              </w:numPr>
              <w:adjustRightInd w:val="0"/>
              <w:snapToGrid w:val="0"/>
              <w:spacing w:before="36" w:beforeLines="15" w:line="276" w:lineRule="auto"/>
              <w:ind w:left="360" w:hanging="360" w:hangingChars="200"/>
              <w:jc w:val="both"/>
              <w:rPr>
                <w:sz w:val="18"/>
                <w:szCs w:val="18"/>
              </w:rPr>
            </w:pPr>
            <w:r>
              <w:rPr>
                <w:rFonts w:eastAsia="宋体" w:cs="宋体"/>
                <w:sz w:val="18"/>
              </w:rPr>
              <w:t>注射的解剖位置</w:t>
            </w:r>
          </w:p>
          <w:p w14:paraId="572E2EC9">
            <w:pPr>
              <w:pStyle w:val="14"/>
              <w:numPr>
                <w:ilvl w:val="0"/>
                <w:numId w:val="14"/>
              </w:numPr>
              <w:adjustRightInd w:val="0"/>
              <w:snapToGrid w:val="0"/>
              <w:spacing w:before="36" w:beforeLines="15" w:line="276" w:lineRule="auto"/>
              <w:ind w:left="360" w:hanging="360" w:hangingChars="200"/>
              <w:jc w:val="both"/>
              <w:rPr>
                <w:sz w:val="18"/>
                <w:szCs w:val="18"/>
              </w:rPr>
            </w:pPr>
            <w:r>
              <w:rPr>
                <w:rFonts w:eastAsia="宋体" w:cs="宋体"/>
                <w:sz w:val="18"/>
              </w:rPr>
              <w:t>注射针穿透的衣物类型</w:t>
            </w:r>
          </w:p>
          <w:p w14:paraId="21C5B395">
            <w:pPr>
              <w:pStyle w:val="14"/>
              <w:numPr>
                <w:ilvl w:val="0"/>
                <w:numId w:val="14"/>
              </w:numPr>
              <w:adjustRightInd w:val="0"/>
              <w:snapToGrid w:val="0"/>
              <w:spacing w:before="36" w:beforeLines="15" w:line="276" w:lineRule="auto"/>
              <w:ind w:left="360" w:hanging="360" w:hangingChars="200"/>
              <w:jc w:val="both"/>
              <w:rPr>
                <w:sz w:val="18"/>
                <w:szCs w:val="18"/>
              </w:rPr>
            </w:pPr>
            <w:r>
              <w:rPr>
                <w:rFonts w:eastAsia="宋体" w:cs="宋体"/>
                <w:sz w:val="18"/>
              </w:rPr>
              <w:t>裸露的针长度</w:t>
            </w:r>
          </w:p>
        </w:tc>
      </w:tr>
      <w:tr w14:paraId="089B2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319B52B9">
            <w:pPr>
              <w:pStyle w:val="14"/>
              <w:adjustRightInd w:val="0"/>
              <w:snapToGrid w:val="0"/>
              <w:spacing w:before="36" w:beforeLines="15" w:line="276" w:lineRule="auto"/>
              <w:ind w:left="0"/>
              <w:jc w:val="center"/>
              <w:rPr>
                <w:sz w:val="18"/>
                <w:szCs w:val="18"/>
              </w:rPr>
            </w:pPr>
            <w:r>
              <w:rPr>
                <w:rFonts w:eastAsia="宋体" w:cs="宋体"/>
                <w:sz w:val="18"/>
              </w:rPr>
              <w:t>药物递送按预期启动</w:t>
            </w:r>
          </w:p>
        </w:tc>
        <w:tc>
          <w:tcPr>
            <w:tcW w:w="3384" w:type="pct"/>
          </w:tcPr>
          <w:p w14:paraId="2EC142AC">
            <w:pPr>
              <w:pStyle w:val="14"/>
              <w:numPr>
                <w:ilvl w:val="1"/>
                <w:numId w:val="15"/>
              </w:numPr>
              <w:adjustRightInd w:val="0"/>
              <w:snapToGrid w:val="0"/>
              <w:spacing w:before="36" w:beforeLines="15" w:line="276" w:lineRule="auto"/>
              <w:ind w:left="360" w:hanging="360" w:hangingChars="200"/>
              <w:jc w:val="both"/>
              <w:rPr>
                <w:sz w:val="18"/>
                <w:szCs w:val="18"/>
              </w:rPr>
            </w:pPr>
            <w:r>
              <w:rPr>
                <w:rFonts w:eastAsia="宋体" w:cs="宋体"/>
                <w:sz w:val="18"/>
              </w:rPr>
              <w:t>针达到预期注射深度</w:t>
            </w:r>
          </w:p>
          <w:p w14:paraId="4727948E">
            <w:pPr>
              <w:pStyle w:val="14"/>
              <w:numPr>
                <w:ilvl w:val="1"/>
                <w:numId w:val="16"/>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当针处于预期注射深度时开始药物递送</w:t>
            </w:r>
          </w:p>
          <w:p w14:paraId="547ADDC8">
            <w:pPr>
              <w:pStyle w:val="14"/>
              <w:numPr>
                <w:ilvl w:val="0"/>
                <w:numId w:val="17"/>
              </w:numPr>
              <w:adjustRightInd w:val="0"/>
              <w:snapToGrid w:val="0"/>
              <w:spacing w:before="36" w:beforeLines="15" w:line="276" w:lineRule="auto"/>
              <w:ind w:left="360" w:hanging="360" w:hangingChars="200"/>
              <w:jc w:val="both"/>
              <w:rPr>
                <w:sz w:val="18"/>
                <w:szCs w:val="18"/>
              </w:rPr>
            </w:pPr>
            <w:r>
              <w:rPr>
                <w:rFonts w:eastAsia="宋体" w:cs="宋体"/>
                <w:sz w:val="18"/>
              </w:rPr>
              <w:t>药液性质（如粘度）</w:t>
            </w:r>
          </w:p>
        </w:tc>
      </w:tr>
      <w:tr w14:paraId="17F5B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42F8F79C">
            <w:pPr>
              <w:pStyle w:val="14"/>
              <w:adjustRightInd w:val="0"/>
              <w:snapToGrid w:val="0"/>
              <w:spacing w:before="36" w:beforeLines="15" w:line="276" w:lineRule="auto"/>
              <w:ind w:left="0"/>
              <w:jc w:val="center"/>
              <w:rPr>
                <w:sz w:val="18"/>
                <w:szCs w:val="18"/>
              </w:rPr>
            </w:pPr>
            <w:r>
              <w:rPr>
                <w:rFonts w:eastAsia="宋体" w:cs="宋体"/>
                <w:sz w:val="18"/>
              </w:rPr>
              <w:t>药物递送按预期停止</w:t>
            </w:r>
          </w:p>
        </w:tc>
        <w:tc>
          <w:tcPr>
            <w:tcW w:w="3384" w:type="pct"/>
          </w:tcPr>
          <w:p w14:paraId="643FEA0C">
            <w:pPr>
              <w:pStyle w:val="14"/>
              <w:numPr>
                <w:ilvl w:val="0"/>
                <w:numId w:val="17"/>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针不会在预期剂量递送完成前缩回</w:t>
            </w:r>
          </w:p>
          <w:p w14:paraId="0302A80D">
            <w:pPr>
              <w:pStyle w:val="14"/>
              <w:numPr>
                <w:ilvl w:val="0"/>
                <w:numId w:val="17"/>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听觉、视觉或触觉反馈不会过早发出注射完成的信号</w:t>
            </w:r>
          </w:p>
        </w:tc>
      </w:tr>
      <w:tr w14:paraId="053C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trPr>
        <w:tc>
          <w:tcPr>
            <w:tcW w:w="1616" w:type="pct"/>
            <w:vAlign w:val="center"/>
          </w:tcPr>
          <w:p w14:paraId="49987023">
            <w:pPr>
              <w:pStyle w:val="14"/>
              <w:adjustRightInd w:val="0"/>
              <w:snapToGrid w:val="0"/>
              <w:spacing w:before="36" w:beforeLines="15" w:line="276" w:lineRule="auto"/>
              <w:ind w:left="0"/>
              <w:jc w:val="center"/>
              <w:rPr>
                <w:sz w:val="18"/>
                <w:szCs w:val="18"/>
              </w:rPr>
            </w:pPr>
            <w:r>
              <w:rPr>
                <w:rFonts w:eastAsia="宋体" w:cs="宋体"/>
                <w:sz w:val="18"/>
              </w:rPr>
              <w:t>剂量准确度</w:t>
            </w:r>
          </w:p>
        </w:tc>
        <w:tc>
          <w:tcPr>
            <w:tcW w:w="3384" w:type="pct"/>
          </w:tcPr>
          <w:p w14:paraId="7812D331">
            <w:pPr>
              <w:pStyle w:val="14"/>
              <w:numPr>
                <w:ilvl w:val="0"/>
                <w:numId w:val="18"/>
              </w:numPr>
              <w:adjustRightInd w:val="0"/>
              <w:snapToGrid w:val="0"/>
              <w:spacing w:before="36" w:beforeLines="15" w:line="276" w:lineRule="auto"/>
              <w:ind w:left="360" w:hanging="360" w:hangingChars="200"/>
              <w:jc w:val="both"/>
              <w:rPr>
                <w:sz w:val="18"/>
                <w:szCs w:val="18"/>
                <w:lang w:eastAsia="zh-CN"/>
              </w:rPr>
            </w:pPr>
            <w:r>
              <w:rPr>
                <w:rFonts w:eastAsia="宋体" w:cs="宋体"/>
                <w:sz w:val="18"/>
                <w:lang w:eastAsia="zh-CN"/>
              </w:rPr>
              <w:t>将预期剂量递送至预期注射部位或深度</w:t>
            </w:r>
          </w:p>
        </w:tc>
      </w:tr>
    </w:tbl>
    <w:p w14:paraId="0DA596D8">
      <w:pPr>
        <w:pStyle w:val="4"/>
        <w:adjustRightInd w:val="0"/>
        <w:snapToGrid w:val="0"/>
        <w:spacing w:before="120" w:beforeLines="50" w:line="300" w:lineRule="auto"/>
        <w:jc w:val="both"/>
        <w:rPr>
          <w:sz w:val="21"/>
          <w:szCs w:val="21"/>
          <w:lang w:eastAsia="zh-CN"/>
        </w:rPr>
      </w:pPr>
      <w:r>
        <w:rPr>
          <w:rFonts w:eastAsia="宋体" w:cs="宋体"/>
          <w:sz w:val="21"/>
          <w:lang w:eastAsia="zh-CN"/>
        </w:rPr>
        <w:t>上面列表显示的考虑因素是为了帮助确定急救用注射器的性能特征，为设计输入和输出提供信息。申请人应基于这些考虑因素，开发对于确保申报产品的可靠性至关重要的设计输入和输出。可靠性报告应定义为实现可靠性所需的所有设计输入和输出。必须明确定义可接受和不可接受的急救用注射器性能之间的差异，以确定为设计输出提供信息的适当设计输入。如果未正确定义设计输出，则整体可靠性分析也可能不充分。</w:t>
      </w:r>
    </w:p>
    <w:p w14:paraId="2498932B">
      <w:pPr>
        <w:pStyle w:val="4"/>
        <w:adjustRightInd w:val="0"/>
        <w:snapToGrid w:val="0"/>
        <w:spacing w:before="3480" w:beforeLines="1450" w:line="300" w:lineRule="auto"/>
        <w:jc w:val="both"/>
        <w:rPr>
          <w:rFonts w:eastAsiaTheme="minorEastAsia"/>
          <w:sz w:val="21"/>
          <w:szCs w:val="21"/>
          <w:lang w:eastAsia="zh-CN"/>
        </w:rPr>
      </w:pPr>
      <w:r>
        <w:rPr>
          <w:rFonts w:eastAsia="宋体" w:cs="宋体"/>
          <w:sz w:val="21"/>
        </w:rPr>
        <w:t>____________________</w:t>
      </w:r>
    </w:p>
    <w:p w14:paraId="0C52A307">
      <w:pPr>
        <w:adjustRightInd w:val="0"/>
        <w:snapToGrid w:val="0"/>
        <w:spacing w:before="36" w:beforeLines="15" w:line="276" w:lineRule="auto"/>
        <w:jc w:val="both"/>
        <w:rPr>
          <w:b/>
          <w:sz w:val="21"/>
          <w:szCs w:val="21"/>
        </w:rPr>
      </w:pPr>
      <w:r>
        <w:rPr>
          <w:rFonts w:eastAsia="宋体" w:cs="宋体"/>
          <w:sz w:val="18"/>
          <w:vertAlign w:val="superscript"/>
        </w:rPr>
        <w:t>22</w:t>
      </w:r>
      <w:r>
        <w:rPr>
          <w:rFonts w:eastAsia="宋体" w:cs="宋体"/>
          <w:sz w:val="18"/>
        </w:rPr>
        <w:t>关于组合产品开发设计控制的更多信息，参见CFR第21篇第4部分A子部分，以及相关FDA指南《组合产品现行生产质量管理规范要求》，可登录以下网址获取：</w:t>
      </w:r>
      <w:r>
        <w:rPr>
          <w:rFonts w:eastAsia="宋体" w:cs="宋体"/>
          <w:color w:val="0000FF"/>
          <w:sz w:val="18"/>
          <w:u w:val="single"/>
        </w:rPr>
        <w:t>https://www.fda.gov/regulatory-information/search-fda-guidance-documents/current-good-</w:t>
      </w:r>
      <w:r>
        <w:rPr>
          <w:rFonts w:eastAsia="宋体" w:cs="宋体"/>
          <w:color w:val="0000FF"/>
          <w:sz w:val="18"/>
        </w:rPr>
        <w:t xml:space="preserve"> </w:t>
      </w:r>
      <w:r>
        <w:rPr>
          <w:rFonts w:eastAsia="宋体" w:cs="宋体"/>
          <w:color w:val="0000FF"/>
          <w:sz w:val="18"/>
          <w:u w:val="single"/>
        </w:rPr>
        <w:t>manufacturing-practice-requirements-combination-products</w:t>
      </w:r>
      <w:r>
        <w:rPr>
          <w:rFonts w:eastAsia="宋体" w:cs="宋体"/>
          <w:sz w:val="18"/>
        </w:rPr>
        <w:t>。</w:t>
      </w:r>
      <w:r>
        <w:rPr>
          <w:rFonts w:eastAsia="宋体" w:cs="宋体"/>
          <w:b/>
          <w:sz w:val="21"/>
        </w:rPr>
        <w:br w:type="page"/>
      </w:r>
    </w:p>
    <w:p w14:paraId="5945052E">
      <w:pPr>
        <w:adjustRightInd w:val="0"/>
        <w:snapToGrid w:val="0"/>
        <w:spacing w:before="120" w:beforeLines="50" w:line="300" w:lineRule="auto"/>
        <w:ind w:left="860" w:leftChars="200" w:hanging="420" w:hangingChars="200"/>
        <w:jc w:val="both"/>
        <w:rPr>
          <w:sz w:val="21"/>
          <w:szCs w:val="21"/>
          <w:u w:val="single"/>
          <w:lang w:eastAsia="zh-CN"/>
        </w:rPr>
      </w:pPr>
      <w:r>
        <w:rPr>
          <w:rFonts w:eastAsia="宋体" w:cs="宋体"/>
          <w:sz w:val="21"/>
          <w:u w:val="single"/>
          <w:lang w:eastAsia="zh-CN"/>
        </w:rPr>
        <w:t>2.</w:t>
      </w:r>
      <w:r>
        <w:rPr>
          <w:rFonts w:eastAsia="宋体" w:cs="宋体"/>
          <w:sz w:val="21"/>
          <w:lang w:eastAsia="zh-CN"/>
        </w:rPr>
        <w:tab/>
      </w:r>
      <w:r>
        <w:rPr>
          <w:rFonts w:eastAsia="宋体" w:cs="宋体"/>
          <w:sz w:val="21"/>
          <w:u w:val="single"/>
          <w:lang w:eastAsia="zh-CN"/>
        </w:rPr>
        <w:t>急救用注射器可靠性标准的定义</w:t>
      </w:r>
    </w:p>
    <w:p w14:paraId="47E4940C">
      <w:pPr>
        <w:pStyle w:val="4"/>
        <w:adjustRightInd w:val="0"/>
        <w:snapToGrid w:val="0"/>
        <w:spacing w:before="120" w:beforeLines="50" w:line="300" w:lineRule="auto"/>
        <w:ind w:left="440" w:leftChars="200"/>
        <w:jc w:val="both"/>
        <w:rPr>
          <w:sz w:val="21"/>
          <w:szCs w:val="21"/>
          <w:lang w:eastAsia="zh-CN"/>
        </w:rPr>
      </w:pPr>
      <w:r>
        <w:rPr>
          <w:rFonts w:eastAsia="宋体" w:cs="宋体"/>
          <w:sz w:val="21"/>
          <w:lang w:eastAsia="zh-CN"/>
        </w:rPr>
        <w:t>如上文中有关设计输入和输出的讨论所述，在急救用注射器的可靠性方面应考虑多种设计标准。使用第IV节中确定的数学表达式R（t） = 1 – F（t），将可靠性标准定义为概率分布，即R（t）。可接受可靠性标准的示例：根据本文件第V.3节 – 故障树分析中描述的风险评定制定的标准，通过该分析与适当的制造控制措施相关联，以确保成品组合产品的可靠性。标准可以是单侧的，也可以是双侧的，取决于失效相关的风险（例如，对于双侧剂量准确度的可靠性标准，存在剂量过大和剂量不足的风险）。</w:t>
      </w:r>
    </w:p>
    <w:p w14:paraId="27105E23">
      <w:pPr>
        <w:pStyle w:val="4"/>
        <w:adjustRightInd w:val="0"/>
        <w:snapToGrid w:val="0"/>
        <w:spacing w:before="120" w:beforeLines="50" w:line="300" w:lineRule="auto"/>
        <w:ind w:left="440" w:leftChars="200"/>
        <w:jc w:val="both"/>
        <w:rPr>
          <w:sz w:val="21"/>
          <w:szCs w:val="21"/>
          <w:lang w:eastAsia="zh-CN"/>
        </w:rPr>
      </w:pPr>
      <w:r>
        <w:rPr>
          <w:rFonts w:eastAsia="宋体" w:cs="宋体"/>
          <w:sz w:val="21"/>
          <w:lang w:eastAsia="zh-CN"/>
        </w:rPr>
        <w:t>对于可靠性标准分析，注射失败应为主要终点。这应该是第V.3节中描述的故障树分析的顶层失效模式。</w:t>
      </w:r>
      <w:r>
        <w:rPr>
          <w:rFonts w:eastAsia="宋体" w:cs="宋体"/>
          <w:sz w:val="21"/>
          <w:vertAlign w:val="superscript"/>
          <w:lang w:eastAsia="zh-CN"/>
        </w:rPr>
        <w:t>23</w:t>
      </w:r>
      <w:r>
        <w:rPr>
          <w:rFonts w:eastAsia="宋体" w:cs="宋体"/>
          <w:sz w:val="21"/>
          <w:lang w:eastAsia="zh-CN"/>
        </w:rPr>
        <w:t xml:space="preserve"> 可靠性分析和试验应包括基于设计评估的急救用注射器性能要求（见第V.1节）。总之，FDA建议将剂量准确度、延长针长度、激活力和注射时间作为急救用注射器可靠性的一部分。</w:t>
      </w:r>
      <w:r>
        <w:rPr>
          <w:rFonts w:eastAsia="宋体" w:cs="宋体"/>
          <w:sz w:val="21"/>
          <w:vertAlign w:val="superscript"/>
          <w:lang w:eastAsia="zh-CN"/>
        </w:rPr>
        <w:t>24</w:t>
      </w:r>
      <w:r>
        <w:rPr>
          <w:rFonts w:eastAsia="宋体" w:cs="宋体"/>
          <w:sz w:val="21"/>
          <w:lang w:eastAsia="zh-CN"/>
        </w:rPr>
        <w:t>然而，制造商应评估具体的急救用注射器设计，以确定是否有其他性能属性对于成功完成注射至关重要。例如，某个设计可能带有针帽，必须取下才能开始注射，而制造商可能确定取下针帽对于成功完成注射至关重要。</w:t>
      </w:r>
    </w:p>
    <w:p w14:paraId="39F82D05">
      <w:pPr>
        <w:adjustRightInd w:val="0"/>
        <w:snapToGrid w:val="0"/>
        <w:spacing w:before="120" w:beforeLines="50" w:line="300" w:lineRule="auto"/>
        <w:ind w:left="860" w:leftChars="200" w:hanging="420" w:hangingChars="200"/>
        <w:jc w:val="both"/>
        <w:rPr>
          <w:sz w:val="21"/>
          <w:szCs w:val="21"/>
          <w:u w:val="single"/>
          <w:lang w:eastAsia="zh-CN"/>
        </w:rPr>
      </w:pPr>
      <w:r>
        <w:rPr>
          <w:rFonts w:eastAsia="宋体" w:cs="宋体"/>
          <w:sz w:val="21"/>
          <w:u w:val="single"/>
          <w:lang w:eastAsia="zh-CN"/>
        </w:rPr>
        <w:t>3.</w:t>
      </w:r>
      <w:r>
        <w:rPr>
          <w:rFonts w:eastAsia="宋体" w:cs="宋体"/>
          <w:sz w:val="21"/>
          <w:lang w:eastAsia="zh-CN"/>
        </w:rPr>
        <w:tab/>
      </w:r>
      <w:r>
        <w:rPr>
          <w:rFonts w:eastAsia="宋体" w:cs="宋体"/>
          <w:sz w:val="21"/>
          <w:u w:val="single"/>
          <w:lang w:eastAsia="zh-CN"/>
        </w:rPr>
        <w:t>故障树分析</w:t>
      </w:r>
    </w:p>
    <w:p w14:paraId="00E3FD86">
      <w:pPr>
        <w:pStyle w:val="4"/>
        <w:adjustRightInd w:val="0"/>
        <w:snapToGrid w:val="0"/>
        <w:spacing w:before="120" w:beforeLines="50" w:line="300" w:lineRule="auto"/>
        <w:ind w:left="440" w:leftChars="200"/>
        <w:jc w:val="both"/>
        <w:rPr>
          <w:sz w:val="21"/>
          <w:szCs w:val="21"/>
        </w:rPr>
      </w:pPr>
      <w:r>
        <w:rPr>
          <w:rFonts w:eastAsia="宋体" w:cs="宋体"/>
          <w:sz w:val="21"/>
          <w:lang w:eastAsia="zh-CN"/>
        </w:rPr>
        <w:t>先前章节中描述的信息可用于通过故障树分析开发可靠性模型。故障树分析将侧重于无法达到可靠性标准的情况。可接受分析的示例：分析还包括其他故障树，以解决确定对可靠性至关重要的其他急救用注射器性能要求（例如剂量准确度、延长针长度）。</w:t>
      </w:r>
      <w:r>
        <w:rPr>
          <w:rFonts w:eastAsia="宋体" w:cs="宋体"/>
          <w:sz w:val="21"/>
        </w:rPr>
        <w:t>制造商在进行故障树分析时应考虑以下内容：</w:t>
      </w:r>
    </w:p>
    <w:p w14:paraId="4581B5F3">
      <w:pPr>
        <w:pStyle w:val="13"/>
        <w:numPr>
          <w:ilvl w:val="1"/>
          <w:numId w:val="5"/>
        </w:numPr>
        <w:adjustRightInd w:val="0"/>
        <w:snapToGrid w:val="0"/>
        <w:spacing w:before="120" w:beforeLines="50" w:line="300" w:lineRule="auto"/>
        <w:ind w:left="1300" w:leftChars="400" w:hanging="420" w:hangingChars="200"/>
        <w:jc w:val="both"/>
        <w:rPr>
          <w:sz w:val="21"/>
          <w:szCs w:val="21"/>
          <w:lang w:eastAsia="zh-CN"/>
        </w:rPr>
      </w:pPr>
      <w:r>
        <w:rPr>
          <w:rFonts w:eastAsia="宋体" w:cs="宋体"/>
          <w:sz w:val="21"/>
          <w:lang w:eastAsia="zh-CN"/>
        </w:rPr>
        <w:t>故障树分析应考虑设计和制造元素，以确定急救用注射器在规定条件下和给定时间间隔内按预期发挥作用而不发生失效的可靠性；</w:t>
      </w:r>
    </w:p>
    <w:p w14:paraId="1C2E14EE">
      <w:pPr>
        <w:pStyle w:val="4"/>
        <w:adjustRightInd w:val="0"/>
        <w:snapToGrid w:val="0"/>
        <w:spacing w:before="4680" w:beforeLines="1950" w:line="300" w:lineRule="auto"/>
        <w:jc w:val="both"/>
        <w:rPr>
          <w:rFonts w:eastAsiaTheme="minorEastAsia"/>
          <w:sz w:val="21"/>
          <w:szCs w:val="21"/>
          <w:lang w:eastAsia="zh-CN"/>
        </w:rPr>
      </w:pPr>
      <w:r>
        <w:rPr>
          <w:rFonts w:eastAsia="宋体" w:cs="宋体"/>
          <w:sz w:val="21"/>
          <w:lang w:eastAsia="zh-CN"/>
        </w:rPr>
        <w:t>____________________</w:t>
      </w:r>
    </w:p>
    <w:p w14:paraId="2EE5B1BF">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23</w:t>
      </w:r>
      <w:r>
        <w:rPr>
          <w:rFonts w:eastAsia="宋体" w:cs="宋体"/>
          <w:sz w:val="18"/>
          <w:lang w:eastAsia="zh-CN"/>
        </w:rPr>
        <w:t xml:space="preserve"> 有关故障树分析的更多信息，请参见IEC 61025:2006 – 故障树分析（FTA）、美国航空航天局（NASA）航空航天应用故障树手册（2006）。</w:t>
      </w:r>
    </w:p>
    <w:p w14:paraId="3CE0CA92">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24</w:t>
      </w:r>
      <w:r>
        <w:rPr>
          <w:rFonts w:eastAsia="宋体" w:cs="宋体"/>
          <w:sz w:val="18"/>
          <w:lang w:eastAsia="zh-CN"/>
        </w:rPr>
        <w:t xml:space="preserve"> 应根据与临床性能的相关性（即，确定为设计输入），而不是根据制造能力或为了满足可靠性目标，确立表2中所示性能属性的验收标准。</w:t>
      </w:r>
      <w:r>
        <w:rPr>
          <w:rFonts w:eastAsia="宋体" w:cs="宋体"/>
          <w:b/>
          <w:sz w:val="18"/>
          <w:lang w:eastAsia="zh-CN"/>
        </w:rPr>
        <w:br w:type="page"/>
      </w:r>
    </w:p>
    <w:p w14:paraId="16C8293E">
      <w:pPr>
        <w:pStyle w:val="13"/>
        <w:numPr>
          <w:ilvl w:val="1"/>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故障树中应包括每个基本事件</w:t>
      </w:r>
      <w:r>
        <w:rPr>
          <w:rFonts w:eastAsia="宋体" w:cs="宋体"/>
          <w:sz w:val="21"/>
          <w:vertAlign w:val="superscript"/>
          <w:lang w:eastAsia="zh-CN"/>
        </w:rPr>
        <w:t>25</w:t>
      </w:r>
      <w:r>
        <w:rPr>
          <w:rFonts w:eastAsia="宋体" w:cs="宋体"/>
          <w:sz w:val="21"/>
          <w:lang w:eastAsia="zh-CN"/>
        </w:rPr>
        <w:t>的概率数据；</w:t>
      </w:r>
    </w:p>
    <w:p w14:paraId="17E30013">
      <w:pPr>
        <w:pStyle w:val="13"/>
        <w:numPr>
          <w:ilvl w:val="1"/>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分析应考虑潜在的共因失效以及是否可支持事件独立性的假设；</w:t>
      </w:r>
    </w:p>
    <w:p w14:paraId="7A86967D">
      <w:pPr>
        <w:pStyle w:val="13"/>
        <w:numPr>
          <w:ilvl w:val="1"/>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任何风险分析（例如设计和工艺失效模式与效应分析）</w:t>
      </w:r>
      <w:r>
        <w:rPr>
          <w:rFonts w:eastAsia="宋体" w:cs="宋体"/>
          <w:sz w:val="21"/>
          <w:vertAlign w:val="superscript"/>
          <w:lang w:eastAsia="zh-CN"/>
        </w:rPr>
        <w:t>26</w:t>
      </w:r>
    </w:p>
    <w:p w14:paraId="18484574">
      <w:pPr>
        <w:pStyle w:val="4"/>
        <w:numPr>
          <w:ilvl w:val="0"/>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可靠性报告中应包括用于支持故障树分析的内容；</w:t>
      </w:r>
    </w:p>
    <w:p w14:paraId="279D395A">
      <w:pPr>
        <w:pStyle w:val="13"/>
        <w:numPr>
          <w:ilvl w:val="1"/>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故障树分析完全开发之后，应提供数据以支持顶层失效模式的可靠性标准已得到验证和确认（例如，应有证据支持每个基本事件的概率数据）；以及，</w:t>
      </w:r>
    </w:p>
    <w:p w14:paraId="55ADECBD">
      <w:pPr>
        <w:pStyle w:val="13"/>
        <w:numPr>
          <w:ilvl w:val="1"/>
          <w:numId w:val="19"/>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故障树分析中的基本事件应与适当的设计和/或制造控制措施相关联。</w:t>
      </w:r>
    </w:p>
    <w:p w14:paraId="0C5FED99">
      <w:pPr>
        <w:pStyle w:val="4"/>
        <w:adjustRightInd w:val="0"/>
        <w:snapToGrid w:val="0"/>
        <w:spacing w:before="120" w:beforeLines="50" w:line="300" w:lineRule="auto"/>
        <w:ind w:left="440" w:leftChars="200"/>
        <w:jc w:val="both"/>
        <w:rPr>
          <w:sz w:val="21"/>
          <w:szCs w:val="21"/>
          <w:lang w:eastAsia="zh-CN"/>
        </w:rPr>
      </w:pPr>
      <w:r>
        <w:rPr>
          <w:rFonts w:eastAsia="宋体" w:cs="宋体"/>
          <w:sz w:val="21"/>
          <w:lang w:eastAsia="zh-CN"/>
        </w:rPr>
        <w:t>基于标准故障树分析量化方法，故障树分析中每个基本事件的可靠性应通过累积分析进行评估，以确定顶层失效模式的可靠性标准是否得到充分支持。用于证明故障树分析中每个基本事件可靠性的统计方法应能确定成品组合产品的可靠性试验所需的样本量。为了评估急救用注射器的基本事件失效模式的可能性，必须使用统计容许区间</w:t>
      </w:r>
      <w:r>
        <w:rPr>
          <w:rFonts w:eastAsia="宋体" w:cs="宋体"/>
          <w:sz w:val="21"/>
          <w:vertAlign w:val="superscript"/>
          <w:lang w:eastAsia="zh-CN"/>
        </w:rPr>
        <w:t>27</w:t>
      </w:r>
      <w:r>
        <w:rPr>
          <w:rFonts w:eastAsia="宋体" w:cs="宋体"/>
          <w:sz w:val="21"/>
          <w:lang w:eastAsia="zh-CN"/>
        </w:rPr>
        <w:t>法，该方法可单独或与相关组成部分结合（即累计分析）分析每个组成部分的限值（例如尺寸、几何形状、材料强度等）</w:t>
      </w:r>
      <w:r>
        <w:rPr>
          <w:rFonts w:eastAsia="宋体" w:cs="宋体"/>
          <w:sz w:val="21"/>
          <w:vertAlign w:val="superscript"/>
          <w:lang w:eastAsia="zh-CN"/>
        </w:rPr>
        <w:t>28</w:t>
      </w:r>
      <w:r>
        <w:rPr>
          <w:rFonts w:eastAsia="宋体" w:cs="宋体"/>
          <w:sz w:val="21"/>
          <w:lang w:eastAsia="zh-CN"/>
        </w:rPr>
        <w:t>。为了有效地使用容许区间法，应明确说明促成基本事件的每个组成部分的关键可测量元素，并确定统计容许限值</w:t>
      </w:r>
      <w:r>
        <w:rPr>
          <w:rFonts w:eastAsia="宋体" w:cs="宋体"/>
          <w:sz w:val="21"/>
          <w:vertAlign w:val="superscript"/>
          <w:lang w:eastAsia="zh-CN"/>
        </w:rPr>
        <w:t>29</w:t>
      </w:r>
      <w:r>
        <w:rPr>
          <w:rFonts w:eastAsia="宋体" w:cs="宋体"/>
          <w:sz w:val="21"/>
          <w:lang w:eastAsia="zh-CN"/>
        </w:rPr>
        <w:t>。应提供支持容许区间法的数据，可能包括单个组成部分的工艺确认数据。应使用每个基本事件的</w:t>
      </w:r>
      <w:r>
        <w:rPr>
          <w:rFonts w:eastAsia="宋体" w:cs="宋体"/>
          <w:i/>
          <w:sz w:val="21"/>
          <w:lang w:eastAsia="zh-CN"/>
        </w:rPr>
        <w:t>k</w:t>
      </w:r>
      <w:r>
        <w:rPr>
          <w:rFonts w:eastAsia="宋体" w:cs="宋体"/>
          <w:sz w:val="21"/>
          <w:lang w:eastAsia="zh-CN"/>
        </w:rPr>
        <w:t>系数</w:t>
      </w:r>
      <w:r>
        <w:rPr>
          <w:rFonts w:eastAsia="宋体" w:cs="宋体"/>
          <w:sz w:val="21"/>
          <w:vertAlign w:val="superscript"/>
          <w:lang w:eastAsia="zh-CN"/>
        </w:rPr>
        <w:t>30</w:t>
      </w:r>
      <w:r>
        <w:rPr>
          <w:rFonts w:eastAsia="宋体" w:cs="宋体"/>
          <w:sz w:val="21"/>
          <w:lang w:eastAsia="zh-CN"/>
        </w:rPr>
        <w:t>，根据所需的可靠性标准和置信区间计算可靠性研究所需的样本量。</w:t>
      </w:r>
    </w:p>
    <w:p w14:paraId="572ABF60">
      <w:pPr>
        <w:pStyle w:val="4"/>
        <w:adjustRightInd w:val="0"/>
        <w:snapToGrid w:val="0"/>
        <w:spacing w:before="120" w:beforeLines="50" w:line="300" w:lineRule="auto"/>
        <w:ind w:left="440" w:leftChars="200"/>
        <w:jc w:val="both"/>
        <w:rPr>
          <w:sz w:val="21"/>
          <w:szCs w:val="21"/>
          <w:lang w:eastAsia="zh-CN"/>
        </w:rPr>
      </w:pPr>
      <w:r>
        <w:rPr>
          <w:rFonts w:eastAsia="宋体" w:cs="宋体"/>
          <w:sz w:val="21"/>
          <w:lang w:eastAsia="zh-CN"/>
        </w:rPr>
        <w:t>统计容许区间法的可接受使用示例如上文所述。</w:t>
      </w:r>
      <w:r>
        <w:rPr>
          <w:rFonts w:eastAsia="宋体" w:cs="宋体"/>
          <w:sz w:val="21"/>
          <w:vertAlign w:val="superscript"/>
          <w:lang w:eastAsia="zh-CN"/>
        </w:rPr>
        <w:t>31</w:t>
      </w:r>
      <w:r>
        <w:rPr>
          <w:rFonts w:eastAsia="宋体" w:cs="宋体"/>
          <w:sz w:val="21"/>
          <w:lang w:eastAsia="zh-CN"/>
        </w:rPr>
        <w:t>可接受的方法应评价与急救用注射器相关的设计和制造风险，以便故障树分析评估成品组合产品的可靠性。（故障树分析模板示例见第VIII节 - 附录。）</w:t>
      </w:r>
    </w:p>
    <w:p w14:paraId="1DFCB9F1">
      <w:pPr>
        <w:pStyle w:val="4"/>
        <w:adjustRightInd w:val="0"/>
        <w:snapToGrid w:val="0"/>
        <w:spacing w:before="3480" w:beforeLines="1450" w:line="300" w:lineRule="auto"/>
        <w:jc w:val="both"/>
        <w:rPr>
          <w:rFonts w:eastAsiaTheme="minorEastAsia"/>
          <w:sz w:val="21"/>
          <w:szCs w:val="21"/>
          <w:lang w:eastAsia="zh-CN"/>
        </w:rPr>
      </w:pPr>
      <w:r>
        <w:rPr>
          <w:rFonts w:eastAsia="宋体" w:cs="宋体"/>
          <w:sz w:val="21"/>
          <w:lang w:eastAsia="zh-CN"/>
        </w:rPr>
        <w:t>____________________</w:t>
      </w:r>
    </w:p>
    <w:p w14:paraId="037613E4">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25</w:t>
      </w:r>
      <w:r>
        <w:rPr>
          <w:rFonts w:eastAsia="宋体" w:cs="宋体"/>
          <w:sz w:val="18"/>
          <w:lang w:eastAsia="zh-CN"/>
        </w:rPr>
        <w:t xml:space="preserve"> 基本事件是不能进一步发展的失效模式事件或状态，即不能进一步细分的最底层的失效模式。</w:t>
      </w:r>
    </w:p>
    <w:p w14:paraId="63E5D44A">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26</w:t>
      </w:r>
      <w:r>
        <w:rPr>
          <w:rFonts w:eastAsia="宋体" w:cs="宋体"/>
          <w:sz w:val="18"/>
          <w:lang w:eastAsia="zh-CN"/>
        </w:rPr>
        <w:t xml:space="preserve"> ISO 14971第二版2007 - 医疗器械 - 风险管理在医疗器械中的应用；和IEC 60812:2006 - 系统可靠性分析技术 - 失效模式与效应分析程序（FMEA）。（FDA认可的标准。）</w:t>
      </w:r>
    </w:p>
    <w:p w14:paraId="030DF926">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27</w:t>
      </w:r>
      <w:r>
        <w:rPr>
          <w:rFonts w:eastAsia="宋体" w:cs="宋体"/>
          <w:sz w:val="18"/>
          <w:lang w:eastAsia="zh-CN"/>
        </w:rPr>
        <w:t>根据ISO 3534-1:2006，统计容许区间是根据随机样本确定的区间，即对于该区间是否能至少覆盖规定比例的抽样群体，可达到规定的置信度。（FDA认可的标准。）</w:t>
      </w:r>
    </w:p>
    <w:p w14:paraId="4A1BC740">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28</w:t>
      </w:r>
      <w:r>
        <w:rPr>
          <w:rFonts w:eastAsia="宋体" w:cs="宋体"/>
          <w:sz w:val="18"/>
          <w:lang w:eastAsia="zh-CN"/>
        </w:rPr>
        <w:t xml:space="preserve"> ISO 16269-6第二版2014 - 数据的统计解释 - 统计容许区间的确定。（FDA认可的标准。）</w:t>
      </w:r>
    </w:p>
    <w:p w14:paraId="26B7AEAE">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29</w:t>
      </w:r>
      <w:r>
        <w:rPr>
          <w:rFonts w:eastAsia="宋体" w:cs="宋体"/>
          <w:sz w:val="18"/>
          <w:lang w:eastAsia="zh-CN"/>
        </w:rPr>
        <w:t xml:space="preserve"> 统计容许限值是代表ISO 3534-1:2006规定的统计容许区间终点的统计量。（FDA认可的标准。）</w:t>
      </w:r>
    </w:p>
    <w:p w14:paraId="6FB51E2D">
      <w:pPr>
        <w:adjustRightInd w:val="0"/>
        <w:snapToGrid w:val="0"/>
        <w:spacing w:before="36" w:beforeLines="15" w:line="276" w:lineRule="auto"/>
        <w:jc w:val="both"/>
        <w:rPr>
          <w:rFonts w:eastAsiaTheme="minorEastAsia"/>
          <w:sz w:val="18"/>
          <w:szCs w:val="21"/>
          <w:lang w:eastAsia="zh-CN"/>
        </w:rPr>
      </w:pPr>
      <w:r>
        <w:rPr>
          <w:rFonts w:eastAsia="宋体" w:cs="宋体"/>
          <w:sz w:val="18"/>
          <w:vertAlign w:val="superscript"/>
          <w:lang w:eastAsia="zh-CN"/>
        </w:rPr>
        <w:t>30</w:t>
      </w:r>
      <w:r>
        <w:rPr>
          <w:rFonts w:eastAsia="宋体" w:cs="宋体"/>
          <w:sz w:val="18"/>
          <w:lang w:eastAsia="zh-CN"/>
        </w:rPr>
        <w:t xml:space="preserve"> </w:t>
      </w:r>
      <w:r>
        <w:rPr>
          <w:rFonts w:eastAsia="宋体" w:cs="宋体"/>
          <w:i/>
          <w:sz w:val="18"/>
          <w:lang w:eastAsia="zh-CN"/>
        </w:rPr>
        <w:t>k</w:t>
      </w:r>
      <w:r>
        <w:rPr>
          <w:rFonts w:eastAsia="宋体" w:cs="宋体"/>
          <w:sz w:val="18"/>
          <w:lang w:eastAsia="zh-CN"/>
        </w:rPr>
        <w:t>系数是用于确定ISO 16269-6:2014规定的统计容许区间限值的变量。</w:t>
      </w:r>
    </w:p>
    <w:p w14:paraId="1253A3CE">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31</w:t>
      </w:r>
      <w:r>
        <w:rPr>
          <w:rFonts w:eastAsia="宋体" w:cs="宋体"/>
          <w:sz w:val="18"/>
          <w:lang w:eastAsia="zh-CN"/>
        </w:rPr>
        <w:t xml:space="preserve"> 可能还有其他方法也适用于支持故障树分析和总体可靠性标准。如果制造商打算使用本指南文件中未描述的方法，FDA鼓励制造商请求召开会议，讨论提议的支持可靠性标准的方法的有效性。</w:t>
      </w:r>
      <w:r>
        <w:rPr>
          <w:rFonts w:eastAsia="宋体" w:cs="宋体"/>
          <w:b/>
          <w:sz w:val="21"/>
          <w:lang w:eastAsia="zh-CN"/>
        </w:rPr>
        <w:br w:type="page"/>
      </w:r>
    </w:p>
    <w:p w14:paraId="2DBFC844">
      <w:pPr>
        <w:adjustRightInd w:val="0"/>
        <w:snapToGrid w:val="0"/>
        <w:spacing w:before="120" w:beforeLines="50" w:line="300" w:lineRule="auto"/>
        <w:ind w:left="860" w:leftChars="200" w:hanging="420" w:hangingChars="200"/>
        <w:jc w:val="both"/>
        <w:rPr>
          <w:sz w:val="21"/>
          <w:szCs w:val="21"/>
          <w:u w:val="single"/>
          <w:lang w:eastAsia="zh-CN"/>
        </w:rPr>
      </w:pPr>
      <w:r>
        <w:rPr>
          <w:rFonts w:eastAsia="宋体" w:cs="宋体"/>
          <w:sz w:val="21"/>
          <w:u w:val="single"/>
          <w:lang w:eastAsia="zh-CN"/>
        </w:rPr>
        <w:t>4.</w:t>
      </w:r>
      <w:r>
        <w:rPr>
          <w:rFonts w:eastAsia="宋体" w:cs="宋体"/>
          <w:sz w:val="21"/>
          <w:lang w:eastAsia="zh-CN"/>
        </w:rPr>
        <w:tab/>
      </w:r>
      <w:r>
        <w:rPr>
          <w:rFonts w:eastAsia="宋体" w:cs="宋体"/>
          <w:sz w:val="21"/>
          <w:u w:val="single"/>
          <w:lang w:eastAsia="zh-CN"/>
        </w:rPr>
        <w:t>可靠性试验</w:t>
      </w:r>
    </w:p>
    <w:p w14:paraId="3172958C">
      <w:pPr>
        <w:pStyle w:val="4"/>
        <w:adjustRightInd w:val="0"/>
        <w:snapToGrid w:val="0"/>
        <w:spacing w:before="120" w:beforeLines="50" w:line="300" w:lineRule="auto"/>
        <w:ind w:left="440" w:leftChars="200"/>
        <w:jc w:val="both"/>
        <w:rPr>
          <w:sz w:val="21"/>
          <w:szCs w:val="21"/>
          <w:lang w:eastAsia="zh-CN"/>
        </w:rPr>
      </w:pPr>
      <w:r>
        <w:rPr>
          <w:rFonts w:eastAsia="宋体" w:cs="宋体"/>
          <w:sz w:val="21"/>
          <w:lang w:eastAsia="zh-CN"/>
        </w:rPr>
        <w:t>FDA建议可靠性分析包括验证和确认用于支持可靠性标准的数据的充分性，并且建议在组合产品有效期内，使用数据支持可靠性标准。以下小节描述了可靠性样品预处理和试验的信息建议。</w:t>
      </w:r>
    </w:p>
    <w:p w14:paraId="13DFE238">
      <w:pPr>
        <w:adjustRightInd w:val="0"/>
        <w:snapToGrid w:val="0"/>
        <w:spacing w:before="120" w:beforeLines="50" w:line="300" w:lineRule="auto"/>
        <w:ind w:left="1740" w:leftChars="6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使用条件和预处理建议</w:t>
      </w:r>
    </w:p>
    <w:p w14:paraId="0EF64754">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为了确定可靠性试验条件以确保产品在使用寿命结束时能够达到可靠性标准，</w:t>
      </w:r>
      <w:r>
        <w:rPr>
          <w:rFonts w:eastAsia="宋体" w:cs="宋体"/>
          <w:sz w:val="21"/>
          <w:vertAlign w:val="superscript"/>
          <w:lang w:eastAsia="zh-CN"/>
        </w:rPr>
        <w:t>32</w:t>
      </w:r>
      <w:r>
        <w:rPr>
          <w:rFonts w:eastAsia="宋体" w:cs="宋体"/>
          <w:sz w:val="21"/>
          <w:lang w:eastAsia="zh-CN"/>
        </w:rPr>
        <w:t>确定组合产品的使用条件和预处理步骤非常重要。这可以确保试验程序能充分挑战急救用注射器承受可能发生的或产品在使用寿命期间受到的应力的能力。对于影响有效期的预处理步骤，需要考虑的组合产品特定货架有效期因素可能包括以下预处理：</w:t>
      </w:r>
    </w:p>
    <w:p w14:paraId="191B11D9">
      <w:pPr>
        <w:pStyle w:val="13"/>
        <w:numPr>
          <w:ilvl w:val="1"/>
          <w:numId w:val="20"/>
        </w:numPr>
        <w:adjustRightInd w:val="0"/>
        <w:snapToGrid w:val="0"/>
        <w:spacing w:before="120" w:beforeLines="50" w:line="300" w:lineRule="auto"/>
        <w:ind w:left="1740" w:leftChars="600" w:hangingChars="200"/>
        <w:jc w:val="both"/>
        <w:rPr>
          <w:sz w:val="21"/>
          <w:szCs w:val="21"/>
        </w:rPr>
      </w:pPr>
      <w:r>
        <w:rPr>
          <w:rFonts w:eastAsia="宋体" w:cs="宋体"/>
          <w:sz w:val="21"/>
        </w:rPr>
        <w:t>运输；</w:t>
      </w:r>
    </w:p>
    <w:p w14:paraId="3E886B61">
      <w:pPr>
        <w:pStyle w:val="13"/>
        <w:numPr>
          <w:ilvl w:val="1"/>
          <w:numId w:val="20"/>
        </w:numPr>
        <w:adjustRightInd w:val="0"/>
        <w:snapToGrid w:val="0"/>
        <w:spacing w:before="120" w:beforeLines="50" w:line="300" w:lineRule="auto"/>
        <w:ind w:left="1740" w:leftChars="600" w:hangingChars="200"/>
        <w:jc w:val="both"/>
        <w:rPr>
          <w:sz w:val="21"/>
          <w:szCs w:val="21"/>
        </w:rPr>
      </w:pPr>
      <w:r>
        <w:rPr>
          <w:rFonts w:eastAsia="宋体" w:cs="宋体"/>
          <w:sz w:val="21"/>
        </w:rPr>
        <w:t>老化；</w:t>
      </w:r>
    </w:p>
    <w:p w14:paraId="128C2EE6">
      <w:pPr>
        <w:pStyle w:val="13"/>
        <w:numPr>
          <w:ilvl w:val="1"/>
          <w:numId w:val="20"/>
        </w:numPr>
        <w:adjustRightInd w:val="0"/>
        <w:snapToGrid w:val="0"/>
        <w:spacing w:before="120" w:beforeLines="50" w:line="300" w:lineRule="auto"/>
        <w:ind w:left="1740" w:leftChars="600" w:hangingChars="200"/>
        <w:jc w:val="both"/>
        <w:rPr>
          <w:sz w:val="21"/>
          <w:szCs w:val="21"/>
        </w:rPr>
      </w:pPr>
      <w:r>
        <w:rPr>
          <w:rFonts w:eastAsia="宋体" w:cs="宋体"/>
          <w:sz w:val="21"/>
        </w:rPr>
        <w:t>贮存方向和条件；</w:t>
      </w:r>
    </w:p>
    <w:p w14:paraId="26EFEC0C">
      <w:pPr>
        <w:pStyle w:val="13"/>
        <w:numPr>
          <w:ilvl w:val="1"/>
          <w:numId w:val="20"/>
        </w:numPr>
        <w:adjustRightInd w:val="0"/>
        <w:snapToGrid w:val="0"/>
        <w:spacing w:before="120" w:beforeLines="50" w:line="300" w:lineRule="auto"/>
        <w:ind w:left="1740" w:leftChars="600" w:hangingChars="200"/>
        <w:jc w:val="both"/>
        <w:rPr>
          <w:sz w:val="21"/>
          <w:szCs w:val="21"/>
        </w:rPr>
      </w:pPr>
      <w:r>
        <w:rPr>
          <w:rFonts w:eastAsia="宋体" w:cs="宋体"/>
          <w:sz w:val="21"/>
        </w:rPr>
        <w:t>振动；</w:t>
      </w:r>
    </w:p>
    <w:p w14:paraId="5D3F4E91">
      <w:pPr>
        <w:pStyle w:val="13"/>
        <w:numPr>
          <w:ilvl w:val="1"/>
          <w:numId w:val="20"/>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冲击（例如抗冲击性，如掉落）；以及</w:t>
      </w:r>
    </w:p>
    <w:p w14:paraId="60B5F215">
      <w:pPr>
        <w:pStyle w:val="13"/>
        <w:numPr>
          <w:ilvl w:val="1"/>
          <w:numId w:val="20"/>
        </w:numPr>
        <w:adjustRightInd w:val="0"/>
        <w:snapToGrid w:val="0"/>
        <w:spacing w:before="120" w:beforeLines="50" w:line="300" w:lineRule="auto"/>
        <w:ind w:left="1740" w:leftChars="600" w:hangingChars="200"/>
        <w:jc w:val="both"/>
        <w:rPr>
          <w:sz w:val="21"/>
          <w:szCs w:val="21"/>
        </w:rPr>
      </w:pPr>
      <w:r>
        <w:rPr>
          <w:rFonts w:eastAsia="宋体" w:cs="宋体"/>
          <w:sz w:val="21"/>
        </w:rPr>
        <w:t>环境因素：</w:t>
      </w:r>
    </w:p>
    <w:p w14:paraId="3F14EE90">
      <w:pPr>
        <w:pStyle w:val="13"/>
        <w:numPr>
          <w:ilvl w:val="0"/>
          <w:numId w:val="21"/>
        </w:numPr>
        <w:adjustRightInd w:val="0"/>
        <w:snapToGrid w:val="0"/>
        <w:spacing w:before="120" w:beforeLines="50" w:line="300" w:lineRule="auto"/>
        <w:ind w:left="2180" w:leftChars="800" w:hangingChars="200"/>
        <w:jc w:val="both"/>
        <w:rPr>
          <w:sz w:val="21"/>
          <w:szCs w:val="21"/>
          <w:lang w:eastAsia="zh-CN"/>
        </w:rPr>
      </w:pPr>
      <w:r>
        <w:rPr>
          <w:rFonts w:eastAsia="宋体" w:cs="宋体"/>
          <w:sz w:val="21"/>
          <w:lang w:eastAsia="zh-CN"/>
        </w:rPr>
        <w:t>温度（极端和循环温度）；</w:t>
      </w:r>
    </w:p>
    <w:p w14:paraId="2110E979">
      <w:pPr>
        <w:pStyle w:val="13"/>
        <w:numPr>
          <w:ilvl w:val="0"/>
          <w:numId w:val="21"/>
        </w:numPr>
        <w:adjustRightInd w:val="0"/>
        <w:snapToGrid w:val="0"/>
        <w:spacing w:before="120" w:beforeLines="50" w:line="300" w:lineRule="auto"/>
        <w:ind w:left="2180" w:leftChars="800" w:hangingChars="200"/>
        <w:jc w:val="both"/>
        <w:rPr>
          <w:sz w:val="21"/>
          <w:szCs w:val="21"/>
          <w:lang w:eastAsia="zh-CN"/>
        </w:rPr>
      </w:pPr>
      <w:r>
        <w:rPr>
          <w:rFonts w:eastAsia="宋体" w:cs="宋体"/>
          <w:sz w:val="21"/>
          <w:lang w:eastAsia="zh-CN"/>
        </w:rPr>
        <w:t>海拔高度和压力影响（例如飞机、潜艇或其他高于/低于海平面的影响）；以及</w:t>
      </w:r>
    </w:p>
    <w:p w14:paraId="20D994A9">
      <w:pPr>
        <w:pStyle w:val="13"/>
        <w:numPr>
          <w:ilvl w:val="0"/>
          <w:numId w:val="21"/>
        </w:numPr>
        <w:adjustRightInd w:val="0"/>
        <w:snapToGrid w:val="0"/>
        <w:spacing w:before="120" w:beforeLines="50" w:line="300" w:lineRule="auto"/>
        <w:ind w:left="2180" w:leftChars="800" w:hangingChars="200"/>
        <w:jc w:val="both"/>
        <w:rPr>
          <w:sz w:val="21"/>
          <w:szCs w:val="21"/>
          <w:lang w:eastAsia="zh-CN"/>
        </w:rPr>
      </w:pPr>
      <w:r>
        <w:rPr>
          <w:rFonts w:eastAsia="宋体" w:cs="宋体"/>
          <w:sz w:val="21"/>
          <w:lang w:eastAsia="zh-CN"/>
        </w:rPr>
        <w:t>空气颗粒物（灰尘/沙子）。</w:t>
      </w:r>
    </w:p>
    <w:p w14:paraId="5628D8BB">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FDA建议可靠性报告包括以下信息，以帮助确定使用加速试验生成支持性数据的可接受性：</w:t>
      </w:r>
    </w:p>
    <w:p w14:paraId="780F66C1">
      <w:pPr>
        <w:pStyle w:val="13"/>
        <w:numPr>
          <w:ilvl w:val="1"/>
          <w:numId w:val="22"/>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确认数据，用于确保加速方法准确模拟急救用注射器随时间变化的失效机制；</w:t>
      </w:r>
    </w:p>
    <w:p w14:paraId="01E5FEBE">
      <w:pPr>
        <w:pStyle w:val="13"/>
        <w:numPr>
          <w:ilvl w:val="1"/>
          <w:numId w:val="22"/>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不同时间点的试验结果，用于确定急救用注射器性能的任何趋势；以及</w:t>
      </w:r>
    </w:p>
    <w:p w14:paraId="6F6A5F9D">
      <w:pPr>
        <w:pStyle w:val="4"/>
        <w:adjustRightInd w:val="0"/>
        <w:snapToGrid w:val="0"/>
        <w:spacing w:before="3720" w:beforeLines="1550" w:line="300" w:lineRule="auto"/>
        <w:jc w:val="both"/>
        <w:rPr>
          <w:rFonts w:eastAsiaTheme="minorEastAsia"/>
          <w:sz w:val="21"/>
          <w:szCs w:val="21"/>
          <w:lang w:eastAsia="zh-CN"/>
        </w:rPr>
      </w:pPr>
      <w:r>
        <w:rPr>
          <w:rFonts w:eastAsia="宋体" w:cs="宋体"/>
          <w:sz w:val="21"/>
          <w:lang w:eastAsia="zh-CN"/>
        </w:rPr>
        <w:t>____________________</w:t>
      </w:r>
    </w:p>
    <w:p w14:paraId="5EE30AC3">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32</w:t>
      </w:r>
      <w:r>
        <w:rPr>
          <w:rFonts w:eastAsia="宋体" w:cs="宋体"/>
          <w:sz w:val="18"/>
          <w:lang w:eastAsia="zh-CN"/>
        </w:rPr>
        <w:t xml:space="preserve"> 使用寿命从产品制造完成时开始，到产品不能发挥预期作用时（失效日期）为止。对于组合产品，失效日期也可描述为药械组合产品的货架有效期或使用寿命结束之时。</w:t>
      </w:r>
      <w:r>
        <w:rPr>
          <w:rFonts w:eastAsia="宋体" w:cs="宋体"/>
          <w:b/>
          <w:sz w:val="21"/>
          <w:lang w:eastAsia="zh-CN"/>
        </w:rPr>
        <w:br w:type="page"/>
      </w:r>
    </w:p>
    <w:p w14:paraId="4720CE01">
      <w:pPr>
        <w:pStyle w:val="13"/>
        <w:numPr>
          <w:ilvl w:val="0"/>
          <w:numId w:val="2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统计学依据，用于确保最终时间点的样本量足以支持预先规定的可靠性和置信区间目标。FDA建议使用第V.3节中讨论的容许区间法以提供样本量确定依据。</w:t>
      </w:r>
    </w:p>
    <w:p w14:paraId="508BDD2C">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报告还应描述对急救用注射器可靠性至关重要的使用条件，并应确定每种条件的限制标准（例如温度范围）。</w:t>
      </w:r>
    </w:p>
    <w:p w14:paraId="20B0AE8A">
      <w:pPr>
        <w:adjustRightInd w:val="0"/>
        <w:snapToGrid w:val="0"/>
        <w:spacing w:before="120" w:beforeLines="50" w:line="300" w:lineRule="auto"/>
        <w:ind w:left="1740" w:leftChars="6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试验</w:t>
      </w:r>
    </w:p>
    <w:p w14:paraId="35249789">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应考虑第IV.4.a节中规定的适当预处理和使用条件，对成品组合产品进行可靠性验证试验。可靠性报告应包括试验方案和经确认的试验方法。</w:t>
      </w:r>
    </w:p>
    <w:p w14:paraId="57D62D79">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可靠性验证试验的样本量应使用第V.3节中讨论的适当统计方法，并根据第V.2节中描述的急救用注射器可靠性标准进行论证。如果制造商的方案中包括多个试验组，如老化和非老化试验组，则样本量应确保每组有足够的统计结果。</w:t>
      </w:r>
    </w:p>
    <w:p w14:paraId="4E9B5878">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应对所有试验失败进行根本原因分析，该分析与故障树分析直接相关。故障树分析可能需要根据可靠性验证试验期间发现的任何以前未知的失效模式进行更新。如果发生失效，可能需要重新开展可靠性分析，这取决于根本原因分析的结论。</w:t>
      </w:r>
    </w:p>
    <w:p w14:paraId="389DC172">
      <w:pPr>
        <w:adjustRightInd w:val="0"/>
        <w:snapToGrid w:val="0"/>
        <w:spacing w:before="120" w:beforeLines="50" w:line="300" w:lineRule="auto"/>
        <w:ind w:left="1300" w:leftChars="400" w:hanging="420" w:hangingChars="200"/>
        <w:jc w:val="both"/>
        <w:rPr>
          <w:sz w:val="21"/>
          <w:szCs w:val="21"/>
          <w:u w:val="single"/>
          <w:lang w:eastAsia="zh-CN"/>
        </w:rPr>
      </w:pPr>
      <w:r>
        <w:rPr>
          <w:rFonts w:eastAsia="宋体" w:cs="宋体"/>
          <w:sz w:val="21"/>
          <w:u w:val="single"/>
          <w:lang w:eastAsia="zh-CN"/>
        </w:rPr>
        <w:t>5.</w:t>
      </w:r>
      <w:r>
        <w:rPr>
          <w:rFonts w:eastAsia="宋体" w:cs="宋体"/>
          <w:sz w:val="21"/>
          <w:lang w:eastAsia="zh-CN"/>
        </w:rPr>
        <w:tab/>
      </w:r>
      <w:r>
        <w:rPr>
          <w:rFonts w:eastAsia="宋体" w:cs="宋体"/>
          <w:sz w:val="21"/>
          <w:u w:val="single"/>
          <w:lang w:eastAsia="zh-CN"/>
        </w:rPr>
        <w:t>产品整体生命周期可靠性</w:t>
      </w:r>
    </w:p>
    <w:p w14:paraId="171301B1">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在组合产品的整个生命周期内，制造商可能会发现急救用注射器的潜在失效、不合格或其他相关质量问题。在这些情况下，制造商必须调查潜在原因，确定纠正措施和防止这些问题再次发生所需的任何措施。</w:t>
      </w:r>
      <w:r>
        <w:rPr>
          <w:rFonts w:eastAsia="宋体" w:cs="宋体"/>
          <w:sz w:val="21"/>
          <w:vertAlign w:val="superscript"/>
          <w:lang w:eastAsia="zh-CN"/>
        </w:rPr>
        <w:t>33</w:t>
      </w:r>
    </w:p>
    <w:p w14:paraId="4F349D85">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可接受可靠性报告的示例：记录制造商在急救用注射器的整个产品生命周期内维持其可靠性的计划，以符合CFR第21篇第4部分组合产品现行生产质量管理规范要求。</w:t>
      </w:r>
      <w:r>
        <w:rPr>
          <w:rFonts w:eastAsia="宋体" w:cs="宋体"/>
          <w:sz w:val="21"/>
          <w:vertAlign w:val="superscript"/>
          <w:lang w:eastAsia="zh-CN"/>
        </w:rPr>
        <w:t>34</w:t>
      </w:r>
      <w:r>
        <w:rPr>
          <w:rFonts w:eastAsia="宋体" w:cs="宋体"/>
          <w:sz w:val="21"/>
          <w:lang w:eastAsia="zh-CN"/>
        </w:rPr>
        <w:t>举例说明可接受计划应包括以下内容：</w:t>
      </w:r>
    </w:p>
    <w:p w14:paraId="308BD654">
      <w:pPr>
        <w:pStyle w:val="4"/>
        <w:adjustRightInd w:val="0"/>
        <w:snapToGrid w:val="0"/>
        <w:spacing w:before="4320" w:beforeLines="1800" w:line="300" w:lineRule="auto"/>
        <w:jc w:val="both"/>
        <w:rPr>
          <w:rFonts w:eastAsiaTheme="minorEastAsia"/>
          <w:sz w:val="21"/>
          <w:szCs w:val="21"/>
          <w:lang w:eastAsia="zh-CN"/>
        </w:rPr>
      </w:pPr>
      <w:r>
        <w:rPr>
          <w:rFonts w:eastAsia="宋体" w:cs="宋体"/>
          <w:sz w:val="21"/>
          <w:lang w:eastAsia="zh-CN"/>
        </w:rPr>
        <w:t>____________________</w:t>
      </w:r>
    </w:p>
    <w:p w14:paraId="7FAA1447">
      <w:pPr>
        <w:adjustRightInd w:val="0"/>
        <w:snapToGrid w:val="0"/>
        <w:spacing w:before="36" w:beforeLines="15" w:line="276" w:lineRule="auto"/>
        <w:jc w:val="both"/>
        <w:rPr>
          <w:sz w:val="18"/>
          <w:szCs w:val="21"/>
          <w:lang w:eastAsia="zh-CN"/>
        </w:rPr>
      </w:pPr>
      <w:bookmarkStart w:id="7" w:name="_bookmark37"/>
      <w:bookmarkEnd w:id="7"/>
      <w:r>
        <w:rPr>
          <w:sz w:val="18"/>
          <w:szCs w:val="21"/>
          <w:vertAlign w:val="superscript"/>
          <w:lang w:eastAsia="zh-CN"/>
        </w:rPr>
        <w:t>33</w:t>
      </w:r>
      <w:r>
        <w:rPr>
          <w:sz w:val="18"/>
          <w:szCs w:val="21"/>
          <w:lang w:eastAsia="zh-CN"/>
        </w:rPr>
        <w:t xml:space="preserve"> 21 CFR 820.100.</w:t>
      </w:r>
    </w:p>
    <w:p w14:paraId="3AD8D7BD">
      <w:pPr>
        <w:adjustRightInd w:val="0"/>
        <w:snapToGrid w:val="0"/>
        <w:spacing w:before="36" w:beforeLines="15" w:line="276" w:lineRule="auto"/>
        <w:jc w:val="both"/>
        <w:rPr>
          <w:b/>
          <w:sz w:val="21"/>
          <w:szCs w:val="21"/>
        </w:rPr>
      </w:pPr>
      <w:r>
        <w:rPr>
          <w:rFonts w:eastAsia="宋体" w:cs="宋体"/>
          <w:sz w:val="18"/>
          <w:vertAlign w:val="superscript"/>
        </w:rPr>
        <w:t>34</w:t>
      </w:r>
      <w:r>
        <w:rPr>
          <w:rFonts w:eastAsia="宋体" w:cs="宋体"/>
          <w:sz w:val="18"/>
        </w:rPr>
        <w:t xml:space="preserve"> 参见CFR第21篇第4部分A子部分，以及相关FDA指南《组合产品现行生产质量管理规范要求》，可登录以下网址获取：</w:t>
      </w:r>
      <w:r>
        <w:rPr>
          <w:rFonts w:eastAsia="宋体" w:cs="宋体"/>
          <w:color w:val="0000FF"/>
          <w:sz w:val="18"/>
          <w:u w:val="single"/>
        </w:rPr>
        <w:t>https://www.fda.gov/regulatory-information/search-fda-guidance-</w:t>
      </w:r>
      <w:r>
        <w:rPr>
          <w:rFonts w:eastAsia="宋体" w:cs="宋体"/>
          <w:color w:val="0000FF"/>
          <w:sz w:val="18"/>
        </w:rPr>
        <w:t xml:space="preserve"> </w:t>
      </w:r>
      <w:r>
        <w:rPr>
          <w:rFonts w:eastAsia="宋体" w:cs="宋体"/>
          <w:color w:val="0000FF"/>
          <w:sz w:val="18"/>
          <w:u w:val="single"/>
        </w:rPr>
        <w:t>documents/current-good-manufacturing-practice-requirements-combination-products</w:t>
      </w:r>
      <w:r>
        <w:rPr>
          <w:rFonts w:eastAsia="宋体" w:cs="宋体"/>
          <w:sz w:val="18"/>
        </w:rPr>
        <w:t>。</w:t>
      </w:r>
      <w:r>
        <w:rPr>
          <w:rFonts w:eastAsia="宋体" w:cs="宋体"/>
          <w:b/>
          <w:sz w:val="18"/>
        </w:rPr>
        <w:br w:type="page"/>
      </w:r>
    </w:p>
    <w:p w14:paraId="2BD92F86">
      <w:pPr>
        <w:pStyle w:val="13"/>
        <w:numPr>
          <w:ilvl w:val="0"/>
          <w:numId w:val="23"/>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包括分析过程、操作、让步、质量审计报告、质量记录、服务记录、投诉、退回组合产品以及其他质量数据来源的要求的程序（以识别不合规或其他质量问题的现存或潜在原因）；</w:t>
      </w:r>
      <w:r>
        <w:rPr>
          <w:rFonts w:eastAsia="宋体" w:cs="宋体"/>
          <w:sz w:val="21"/>
          <w:vertAlign w:val="superscript"/>
          <w:lang w:eastAsia="zh-CN"/>
        </w:rPr>
        <w:t>35</w:t>
      </w:r>
    </w:p>
    <w:p w14:paraId="4600F48E">
      <w:pPr>
        <w:pStyle w:val="13"/>
        <w:numPr>
          <w:ilvl w:val="1"/>
          <w:numId w:val="24"/>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在缺陷和/或失效调查中，程序应使用可靠性数据和故障树分析进行根本原因分析；</w:t>
      </w:r>
    </w:p>
    <w:p w14:paraId="2DB2D35D">
      <w:pPr>
        <w:pStyle w:val="13"/>
        <w:numPr>
          <w:ilvl w:val="1"/>
          <w:numId w:val="24"/>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在投诉调查和相关CAPA活动期间，对急救用注射器进行内部成像或拆开急救用注射器，以检查、测量和测试组装件或单个组成部分，并将结果与可靠性分析中确定的标准和数据进行比较时的程序；</w:t>
      </w:r>
    </w:p>
    <w:p w14:paraId="40636037">
      <w:pPr>
        <w:pStyle w:val="13"/>
        <w:numPr>
          <w:ilvl w:val="1"/>
          <w:numId w:val="24"/>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将可靠性数据与适当的验收活动关联的适当步骤，包括待评价的具体急救用注射器属性、评价方法和应考虑的急救用注射器可靠性的可接受标准；</w:t>
      </w:r>
    </w:p>
    <w:p w14:paraId="3F6EF81F">
      <w:pPr>
        <w:pStyle w:val="13"/>
        <w:numPr>
          <w:ilvl w:val="1"/>
          <w:numId w:val="24"/>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过程中控制和放行检测抽样计划的详细描述（以确保每个放行批次均符合可靠性标准）；</w:t>
      </w:r>
    </w:p>
    <w:p w14:paraId="1F318472">
      <w:pPr>
        <w:pStyle w:val="13"/>
        <w:numPr>
          <w:ilvl w:val="1"/>
          <w:numId w:val="24"/>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针对因来料检查、过程中控制或放行检测失败而被拒绝的急救用注射器及其组成部分数量显著增加设定的行动限；</w:t>
      </w:r>
    </w:p>
    <w:p w14:paraId="49B2D252">
      <w:pPr>
        <w:pStyle w:val="13"/>
        <w:numPr>
          <w:ilvl w:val="1"/>
          <w:numId w:val="24"/>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因超出行动限而触发的活动应包括：1）确定是否需要实施CAPA，2）根本原因调查，3）失效的相关风险分析。在进行根本原因调查时，查阅可靠性数据和故障树分析；</w:t>
      </w:r>
    </w:p>
    <w:p w14:paraId="6C3B6383">
      <w:pPr>
        <w:pStyle w:val="13"/>
        <w:numPr>
          <w:ilvl w:val="1"/>
          <w:numId w:val="24"/>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在获得新信息（例如之前未识别的失效模式）时更新可靠性数据的程序；以及</w:t>
      </w:r>
    </w:p>
    <w:p w14:paraId="3D657C9F">
      <w:pPr>
        <w:pStyle w:val="13"/>
        <w:numPr>
          <w:ilvl w:val="1"/>
          <w:numId w:val="24"/>
        </w:numPr>
        <w:adjustRightInd w:val="0"/>
        <w:snapToGrid w:val="0"/>
        <w:spacing w:before="120" w:beforeLines="50" w:line="300" w:lineRule="auto"/>
        <w:ind w:left="1740" w:leftChars="600" w:hangingChars="200"/>
        <w:jc w:val="both"/>
        <w:rPr>
          <w:sz w:val="21"/>
          <w:szCs w:val="21"/>
          <w:lang w:eastAsia="zh-CN"/>
        </w:rPr>
      </w:pPr>
      <w:r>
        <w:rPr>
          <w:rFonts w:eastAsia="宋体" w:cs="宋体"/>
          <w:sz w:val="21"/>
          <w:lang w:eastAsia="zh-CN"/>
        </w:rPr>
        <w:t>涉及以下内容的章节：对未放行的急救用注射器或待分析组合产品的处置，以及针对新确定失效的缓解措施。</w:t>
      </w:r>
    </w:p>
    <w:p w14:paraId="796AA61E">
      <w:pPr>
        <w:adjustRightInd w:val="0"/>
        <w:snapToGrid w:val="0"/>
        <w:spacing w:before="120" w:beforeLines="50" w:line="300" w:lineRule="auto"/>
        <w:ind w:left="1300" w:leftChars="400" w:hanging="420" w:hangingChars="200"/>
        <w:jc w:val="both"/>
        <w:rPr>
          <w:sz w:val="21"/>
          <w:szCs w:val="21"/>
          <w:u w:val="single"/>
          <w:lang w:eastAsia="zh-CN"/>
        </w:rPr>
      </w:pPr>
      <w:r>
        <w:rPr>
          <w:rFonts w:eastAsia="宋体" w:cs="宋体"/>
          <w:sz w:val="21"/>
          <w:u w:val="single"/>
          <w:lang w:eastAsia="zh-CN"/>
        </w:rPr>
        <w:t>6.</w:t>
      </w:r>
      <w:r>
        <w:rPr>
          <w:rFonts w:eastAsia="宋体" w:cs="宋体"/>
          <w:sz w:val="21"/>
          <w:lang w:eastAsia="zh-CN"/>
        </w:rPr>
        <w:tab/>
      </w:r>
      <w:r>
        <w:rPr>
          <w:rFonts w:eastAsia="宋体" w:cs="宋体"/>
          <w:sz w:val="21"/>
          <w:u w:val="single"/>
          <w:lang w:eastAsia="zh-CN"/>
        </w:rPr>
        <w:t>进行急救用注射器设计或实施制造修改时的活动</w:t>
      </w:r>
    </w:p>
    <w:p w14:paraId="0B73BC3F">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可接受可靠性报告的示例：包括在进行急救用注射器设计或实施制造修改时需要完成活动的计划。完成急救用注射器的初始可靠性报告后，未来可能发生设计变更和制造工艺变更，故需要重新评价可靠性，以确保产品的可靠性。</w:t>
      </w:r>
      <w:r>
        <w:rPr>
          <w:rFonts w:eastAsia="宋体" w:cs="宋体"/>
          <w:sz w:val="21"/>
          <w:vertAlign w:val="superscript"/>
          <w:lang w:eastAsia="zh-CN"/>
        </w:rPr>
        <w:t>36</w:t>
      </w:r>
      <w:r>
        <w:rPr>
          <w:rFonts w:eastAsia="宋体" w:cs="宋体"/>
          <w:sz w:val="21"/>
          <w:lang w:eastAsia="zh-CN"/>
        </w:rPr>
        <w:t>为确定更新可靠性数据的时间，应根据现有可靠性模型评价变更的影响。</w:t>
      </w:r>
    </w:p>
    <w:p w14:paraId="72096D5D">
      <w:pPr>
        <w:pStyle w:val="4"/>
        <w:adjustRightInd w:val="0"/>
        <w:snapToGrid w:val="0"/>
        <w:spacing w:before="3240" w:beforeLines="1350" w:line="300" w:lineRule="auto"/>
        <w:jc w:val="both"/>
        <w:rPr>
          <w:rFonts w:eastAsiaTheme="minorEastAsia"/>
          <w:sz w:val="21"/>
          <w:szCs w:val="21"/>
          <w:lang w:eastAsia="zh-CN"/>
        </w:rPr>
      </w:pPr>
      <w:r>
        <w:rPr>
          <w:rFonts w:eastAsia="宋体" w:cs="宋体"/>
          <w:sz w:val="21"/>
          <w:lang w:eastAsia="zh-CN"/>
        </w:rPr>
        <w:t>____________________</w:t>
      </w:r>
    </w:p>
    <w:p w14:paraId="6EB576A1">
      <w:pPr>
        <w:adjustRightInd w:val="0"/>
        <w:snapToGrid w:val="0"/>
        <w:spacing w:before="36" w:beforeLines="15" w:line="276" w:lineRule="auto"/>
        <w:jc w:val="both"/>
        <w:rPr>
          <w:b/>
          <w:sz w:val="21"/>
          <w:szCs w:val="21"/>
          <w:lang w:eastAsia="zh-CN"/>
        </w:rPr>
      </w:pPr>
      <w:r>
        <w:rPr>
          <w:sz w:val="18"/>
          <w:szCs w:val="21"/>
          <w:vertAlign w:val="superscript"/>
          <w:lang w:eastAsia="zh-CN"/>
        </w:rPr>
        <w:t>35</w:t>
      </w:r>
      <w:r>
        <w:rPr>
          <w:sz w:val="18"/>
          <w:szCs w:val="21"/>
          <w:lang w:eastAsia="zh-CN"/>
        </w:rPr>
        <w:t xml:space="preserve"> 21 CFR 820.100.</w:t>
      </w:r>
      <w:r>
        <w:rPr>
          <w:rFonts w:eastAsia="宋体" w:cs="宋体"/>
          <w:b/>
          <w:sz w:val="21"/>
          <w:lang w:eastAsia="zh-CN"/>
        </w:rPr>
        <w:br w:type="page"/>
      </w:r>
    </w:p>
    <w:p w14:paraId="4294E36B">
      <w:pPr>
        <w:pStyle w:val="4"/>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制造商应考虑变更是否会影响急救用注射器的设计输出规格或故障树分析的基本事件。如果确定变更确实会影响以上方面，产生新的设计输出或造成新的风险，应使用与变更相关的数据更新急救用注射器可靠性报告，并将其纳入上市前申请中。</w:t>
      </w:r>
    </w:p>
    <w:p w14:paraId="64E54D1F">
      <w:pPr>
        <w:pStyle w:val="4"/>
        <w:adjustRightInd w:val="0"/>
        <w:snapToGrid w:val="0"/>
        <w:spacing w:before="120" w:beforeLines="50" w:line="300" w:lineRule="auto"/>
        <w:ind w:left="1160" w:leftChars="200" w:hanging="720" w:hangingChars="300"/>
        <w:jc w:val="both"/>
        <w:outlineLvl w:val="0"/>
        <w:rPr>
          <w:szCs w:val="21"/>
          <w:lang w:eastAsia="zh-CN"/>
        </w:rPr>
      </w:pPr>
      <w:bookmarkStart w:id="8" w:name="_Toc91865917"/>
      <w:r>
        <w:rPr>
          <w:rFonts w:eastAsia="宋体" w:cs="宋体"/>
          <w:lang w:eastAsia="zh-CN"/>
        </w:rPr>
        <w:t>VI.</w:t>
      </w:r>
      <w:r>
        <w:rPr>
          <w:rFonts w:eastAsia="宋体" w:cs="宋体"/>
          <w:lang w:eastAsia="zh-CN"/>
        </w:rPr>
        <w:tab/>
      </w:r>
      <w:r>
        <w:rPr>
          <w:rFonts w:eastAsia="宋体" w:cs="宋体"/>
          <w:lang w:eastAsia="zh-CN"/>
        </w:rPr>
        <w:t>可靠性报告格式考虑因素</w:t>
      </w:r>
      <w:bookmarkEnd w:id="8"/>
    </w:p>
    <w:p w14:paraId="4BCC8284">
      <w:pPr>
        <w:pStyle w:val="4"/>
        <w:adjustRightInd w:val="0"/>
        <w:snapToGrid w:val="0"/>
        <w:spacing w:before="120" w:beforeLines="50" w:line="300" w:lineRule="auto"/>
        <w:jc w:val="both"/>
        <w:rPr>
          <w:sz w:val="21"/>
          <w:szCs w:val="21"/>
          <w:lang w:eastAsia="zh-CN"/>
        </w:rPr>
      </w:pPr>
      <w:r>
        <w:rPr>
          <w:rFonts w:eastAsia="宋体" w:cs="宋体"/>
          <w:sz w:val="21"/>
          <w:lang w:eastAsia="zh-CN"/>
        </w:rPr>
        <w:t>为了便于数据评估，可靠性报告应采用以下格式：</w:t>
      </w:r>
    </w:p>
    <w:tbl>
      <w:tblPr>
        <w:tblStyle w:val="12"/>
        <w:tblW w:w="7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006"/>
        <w:gridCol w:w="6752"/>
      </w:tblGrid>
      <w:tr w14:paraId="0EDD7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jc w:val="center"/>
        </w:trPr>
        <w:tc>
          <w:tcPr>
            <w:tcW w:w="1006" w:type="dxa"/>
          </w:tcPr>
          <w:p w14:paraId="7FB7DD23">
            <w:pPr>
              <w:pStyle w:val="14"/>
              <w:adjustRightInd w:val="0"/>
              <w:snapToGrid w:val="0"/>
              <w:spacing w:before="36" w:beforeLines="15" w:line="276" w:lineRule="auto"/>
              <w:ind w:left="0"/>
              <w:jc w:val="both"/>
              <w:rPr>
                <w:sz w:val="18"/>
                <w:szCs w:val="21"/>
              </w:rPr>
            </w:pPr>
            <w:r>
              <w:rPr>
                <w:rFonts w:eastAsia="宋体" w:cs="宋体"/>
                <w:sz w:val="18"/>
              </w:rPr>
              <w:t>章节</w:t>
            </w:r>
          </w:p>
        </w:tc>
        <w:tc>
          <w:tcPr>
            <w:tcW w:w="6752" w:type="dxa"/>
          </w:tcPr>
          <w:p w14:paraId="4BAB8A17">
            <w:pPr>
              <w:pStyle w:val="14"/>
              <w:adjustRightInd w:val="0"/>
              <w:snapToGrid w:val="0"/>
              <w:spacing w:before="36" w:beforeLines="15" w:line="276" w:lineRule="auto"/>
              <w:ind w:left="0"/>
              <w:jc w:val="both"/>
              <w:rPr>
                <w:sz w:val="18"/>
                <w:szCs w:val="21"/>
              </w:rPr>
            </w:pPr>
            <w:r>
              <w:rPr>
                <w:rFonts w:eastAsia="宋体" w:cs="宋体"/>
                <w:sz w:val="18"/>
              </w:rPr>
              <w:t>内容</w:t>
            </w:r>
          </w:p>
        </w:tc>
      </w:tr>
      <w:tr w14:paraId="37D28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jc w:val="center"/>
        </w:trPr>
        <w:tc>
          <w:tcPr>
            <w:tcW w:w="1006" w:type="dxa"/>
          </w:tcPr>
          <w:p w14:paraId="6029C237">
            <w:pPr>
              <w:pStyle w:val="14"/>
              <w:adjustRightInd w:val="0"/>
              <w:snapToGrid w:val="0"/>
              <w:spacing w:before="36" w:beforeLines="15" w:line="276" w:lineRule="auto"/>
              <w:ind w:left="0"/>
              <w:jc w:val="both"/>
              <w:rPr>
                <w:sz w:val="18"/>
                <w:szCs w:val="21"/>
              </w:rPr>
            </w:pPr>
            <w:r>
              <w:rPr>
                <w:sz w:val="18"/>
                <w:szCs w:val="21"/>
              </w:rPr>
              <w:t>1.</w:t>
            </w:r>
          </w:p>
        </w:tc>
        <w:tc>
          <w:tcPr>
            <w:tcW w:w="6752" w:type="dxa"/>
          </w:tcPr>
          <w:p w14:paraId="3D0C9112">
            <w:pPr>
              <w:pStyle w:val="14"/>
              <w:adjustRightInd w:val="0"/>
              <w:snapToGrid w:val="0"/>
              <w:spacing w:before="36" w:beforeLines="15" w:line="276" w:lineRule="auto"/>
              <w:ind w:left="0"/>
              <w:jc w:val="both"/>
              <w:rPr>
                <w:sz w:val="18"/>
                <w:szCs w:val="21"/>
              </w:rPr>
            </w:pPr>
            <w:r>
              <w:rPr>
                <w:rFonts w:eastAsia="宋体" w:cs="宋体"/>
                <w:sz w:val="18"/>
              </w:rPr>
              <w:t>组合产品定义</w:t>
            </w:r>
          </w:p>
          <w:p w14:paraId="26263842">
            <w:pPr>
              <w:pStyle w:val="14"/>
              <w:numPr>
                <w:ilvl w:val="1"/>
                <w:numId w:val="25"/>
              </w:numPr>
              <w:adjustRightInd w:val="0"/>
              <w:snapToGrid w:val="0"/>
              <w:spacing w:before="36" w:beforeLines="15" w:line="276" w:lineRule="auto"/>
              <w:ind w:left="360" w:hanging="360" w:hangingChars="200"/>
              <w:jc w:val="both"/>
              <w:rPr>
                <w:sz w:val="18"/>
                <w:szCs w:val="21"/>
              </w:rPr>
            </w:pPr>
            <w:r>
              <w:rPr>
                <w:rFonts w:eastAsia="宋体" w:cs="宋体"/>
                <w:sz w:val="18"/>
              </w:rPr>
              <w:t>药物类型</w:t>
            </w:r>
          </w:p>
          <w:p w14:paraId="2348F1DA">
            <w:pPr>
              <w:pStyle w:val="14"/>
              <w:numPr>
                <w:ilvl w:val="1"/>
                <w:numId w:val="25"/>
              </w:numPr>
              <w:adjustRightInd w:val="0"/>
              <w:snapToGrid w:val="0"/>
              <w:spacing w:before="36" w:beforeLines="15" w:line="276" w:lineRule="auto"/>
              <w:ind w:left="360" w:hanging="360" w:hangingChars="200"/>
              <w:jc w:val="both"/>
              <w:rPr>
                <w:sz w:val="18"/>
                <w:szCs w:val="21"/>
              </w:rPr>
            </w:pPr>
            <w:r>
              <w:rPr>
                <w:rFonts w:eastAsia="宋体" w:cs="宋体"/>
                <w:sz w:val="18"/>
              </w:rPr>
              <w:t>适用范围</w:t>
            </w:r>
          </w:p>
          <w:p w14:paraId="407302AD">
            <w:pPr>
              <w:pStyle w:val="14"/>
              <w:numPr>
                <w:ilvl w:val="1"/>
                <w:numId w:val="25"/>
              </w:numPr>
              <w:adjustRightInd w:val="0"/>
              <w:snapToGrid w:val="0"/>
              <w:spacing w:before="36" w:beforeLines="15" w:line="276" w:lineRule="auto"/>
              <w:ind w:left="360" w:hanging="360" w:hangingChars="200"/>
              <w:jc w:val="both"/>
              <w:rPr>
                <w:sz w:val="18"/>
                <w:szCs w:val="21"/>
                <w:lang w:eastAsia="zh-CN"/>
              </w:rPr>
            </w:pPr>
            <w:r>
              <w:rPr>
                <w:rFonts w:eastAsia="宋体" w:cs="宋体"/>
                <w:sz w:val="18"/>
                <w:lang w:eastAsia="zh-CN"/>
              </w:rPr>
              <w:t>急救用注射器技术和功能描述</w:t>
            </w:r>
          </w:p>
          <w:p w14:paraId="173A6F75">
            <w:pPr>
              <w:pStyle w:val="14"/>
              <w:numPr>
                <w:ilvl w:val="0"/>
                <w:numId w:val="26"/>
              </w:numPr>
              <w:adjustRightInd w:val="0"/>
              <w:snapToGrid w:val="0"/>
              <w:spacing w:before="36" w:beforeLines="15" w:line="276" w:lineRule="auto"/>
              <w:ind w:left="360" w:hanging="360" w:hangingChars="200"/>
              <w:jc w:val="both"/>
              <w:rPr>
                <w:sz w:val="18"/>
                <w:szCs w:val="21"/>
                <w:lang w:eastAsia="zh-CN"/>
              </w:rPr>
            </w:pPr>
            <w:r>
              <w:rPr>
                <w:rFonts w:eastAsia="宋体" w:cs="宋体"/>
                <w:sz w:val="18"/>
                <w:lang w:eastAsia="zh-CN"/>
              </w:rPr>
              <w:t>可靠性所需的设计输入和设计输出</w:t>
            </w:r>
          </w:p>
        </w:tc>
      </w:tr>
      <w:tr w14:paraId="1A5CA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jc w:val="center"/>
        </w:trPr>
        <w:tc>
          <w:tcPr>
            <w:tcW w:w="1006" w:type="dxa"/>
          </w:tcPr>
          <w:p w14:paraId="23D26436">
            <w:pPr>
              <w:pStyle w:val="14"/>
              <w:adjustRightInd w:val="0"/>
              <w:snapToGrid w:val="0"/>
              <w:spacing w:before="36" w:beforeLines="15" w:line="276" w:lineRule="auto"/>
              <w:ind w:left="0"/>
              <w:jc w:val="both"/>
              <w:rPr>
                <w:sz w:val="18"/>
                <w:szCs w:val="21"/>
              </w:rPr>
            </w:pPr>
            <w:r>
              <w:rPr>
                <w:sz w:val="18"/>
                <w:szCs w:val="21"/>
              </w:rPr>
              <w:t>2.</w:t>
            </w:r>
          </w:p>
        </w:tc>
        <w:tc>
          <w:tcPr>
            <w:tcW w:w="6752" w:type="dxa"/>
          </w:tcPr>
          <w:p w14:paraId="595B3066">
            <w:pPr>
              <w:pStyle w:val="14"/>
              <w:adjustRightInd w:val="0"/>
              <w:snapToGrid w:val="0"/>
              <w:spacing w:before="36" w:beforeLines="15" w:line="276" w:lineRule="auto"/>
              <w:ind w:left="0"/>
              <w:jc w:val="both"/>
              <w:rPr>
                <w:sz w:val="18"/>
                <w:szCs w:val="21"/>
                <w:lang w:eastAsia="zh-CN"/>
              </w:rPr>
            </w:pPr>
            <w:r>
              <w:rPr>
                <w:rFonts w:eastAsia="宋体" w:cs="宋体"/>
                <w:sz w:val="18"/>
                <w:lang w:eastAsia="zh-CN"/>
              </w:rPr>
              <w:t>急救用注射器可靠性标准</w:t>
            </w:r>
          </w:p>
        </w:tc>
      </w:tr>
      <w:tr w14:paraId="675DA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jc w:val="center"/>
        </w:trPr>
        <w:tc>
          <w:tcPr>
            <w:tcW w:w="1006" w:type="dxa"/>
          </w:tcPr>
          <w:p w14:paraId="70C63B75">
            <w:pPr>
              <w:pStyle w:val="14"/>
              <w:adjustRightInd w:val="0"/>
              <w:snapToGrid w:val="0"/>
              <w:spacing w:before="36" w:beforeLines="15" w:line="276" w:lineRule="auto"/>
              <w:ind w:left="0"/>
              <w:jc w:val="both"/>
              <w:rPr>
                <w:sz w:val="18"/>
                <w:szCs w:val="21"/>
              </w:rPr>
            </w:pPr>
            <w:r>
              <w:rPr>
                <w:sz w:val="18"/>
                <w:szCs w:val="21"/>
              </w:rPr>
              <w:t>3.</w:t>
            </w:r>
          </w:p>
        </w:tc>
        <w:tc>
          <w:tcPr>
            <w:tcW w:w="6752" w:type="dxa"/>
          </w:tcPr>
          <w:p w14:paraId="7FE3F5E8">
            <w:pPr>
              <w:pStyle w:val="14"/>
              <w:adjustRightInd w:val="0"/>
              <w:snapToGrid w:val="0"/>
              <w:spacing w:before="36" w:beforeLines="15" w:line="276" w:lineRule="auto"/>
              <w:ind w:left="0"/>
              <w:jc w:val="both"/>
              <w:rPr>
                <w:sz w:val="18"/>
                <w:szCs w:val="21"/>
              </w:rPr>
            </w:pPr>
            <w:r>
              <w:rPr>
                <w:rFonts w:eastAsia="宋体" w:cs="宋体"/>
                <w:sz w:val="18"/>
              </w:rPr>
              <w:t>故障树分析</w:t>
            </w:r>
          </w:p>
        </w:tc>
      </w:tr>
      <w:tr w14:paraId="5DB9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jc w:val="center"/>
        </w:trPr>
        <w:tc>
          <w:tcPr>
            <w:tcW w:w="1006" w:type="dxa"/>
          </w:tcPr>
          <w:p w14:paraId="10269D8F">
            <w:pPr>
              <w:pStyle w:val="14"/>
              <w:adjustRightInd w:val="0"/>
              <w:snapToGrid w:val="0"/>
              <w:spacing w:before="36" w:beforeLines="15" w:line="276" w:lineRule="auto"/>
              <w:ind w:left="0"/>
              <w:jc w:val="both"/>
              <w:rPr>
                <w:sz w:val="18"/>
                <w:szCs w:val="21"/>
              </w:rPr>
            </w:pPr>
            <w:r>
              <w:rPr>
                <w:sz w:val="18"/>
                <w:szCs w:val="21"/>
              </w:rPr>
              <w:t>4.</w:t>
            </w:r>
          </w:p>
        </w:tc>
        <w:tc>
          <w:tcPr>
            <w:tcW w:w="6752" w:type="dxa"/>
          </w:tcPr>
          <w:p w14:paraId="34773F08">
            <w:pPr>
              <w:pStyle w:val="14"/>
              <w:adjustRightInd w:val="0"/>
              <w:snapToGrid w:val="0"/>
              <w:spacing w:before="36" w:beforeLines="15" w:line="276" w:lineRule="auto"/>
              <w:ind w:left="0"/>
              <w:jc w:val="both"/>
              <w:rPr>
                <w:sz w:val="18"/>
                <w:szCs w:val="21"/>
                <w:lang w:eastAsia="zh-CN"/>
              </w:rPr>
            </w:pPr>
            <w:r>
              <w:rPr>
                <w:rFonts w:eastAsia="宋体" w:cs="宋体"/>
                <w:sz w:val="18"/>
                <w:lang w:eastAsia="zh-CN"/>
              </w:rPr>
              <w:t>可靠性试验计划和数据</w:t>
            </w:r>
          </w:p>
        </w:tc>
      </w:tr>
      <w:tr w14:paraId="42972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jc w:val="center"/>
        </w:trPr>
        <w:tc>
          <w:tcPr>
            <w:tcW w:w="1006" w:type="dxa"/>
          </w:tcPr>
          <w:p w14:paraId="3FAE1563">
            <w:pPr>
              <w:pStyle w:val="14"/>
              <w:adjustRightInd w:val="0"/>
              <w:snapToGrid w:val="0"/>
              <w:spacing w:before="36" w:beforeLines="15" w:line="276" w:lineRule="auto"/>
              <w:ind w:left="0"/>
              <w:jc w:val="both"/>
              <w:rPr>
                <w:sz w:val="18"/>
                <w:szCs w:val="21"/>
              </w:rPr>
            </w:pPr>
            <w:r>
              <w:rPr>
                <w:sz w:val="18"/>
                <w:szCs w:val="21"/>
              </w:rPr>
              <w:t>5.</w:t>
            </w:r>
          </w:p>
        </w:tc>
        <w:tc>
          <w:tcPr>
            <w:tcW w:w="6752" w:type="dxa"/>
          </w:tcPr>
          <w:p w14:paraId="14775F7E">
            <w:pPr>
              <w:pStyle w:val="14"/>
              <w:adjustRightInd w:val="0"/>
              <w:snapToGrid w:val="0"/>
              <w:spacing w:before="36" w:beforeLines="15" w:line="276" w:lineRule="auto"/>
              <w:ind w:left="0"/>
              <w:jc w:val="both"/>
              <w:rPr>
                <w:sz w:val="18"/>
                <w:szCs w:val="21"/>
                <w:lang w:eastAsia="zh-CN"/>
              </w:rPr>
            </w:pPr>
            <w:r>
              <w:rPr>
                <w:rFonts w:eastAsia="宋体" w:cs="宋体"/>
                <w:sz w:val="18"/>
                <w:lang w:eastAsia="zh-CN"/>
              </w:rPr>
              <w:t>产品整体生命周期可靠性计划</w:t>
            </w:r>
          </w:p>
        </w:tc>
      </w:tr>
      <w:tr w14:paraId="3B25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jc w:val="center"/>
        </w:trPr>
        <w:tc>
          <w:tcPr>
            <w:tcW w:w="1006" w:type="dxa"/>
          </w:tcPr>
          <w:p w14:paraId="3BC62730">
            <w:pPr>
              <w:pStyle w:val="14"/>
              <w:adjustRightInd w:val="0"/>
              <w:snapToGrid w:val="0"/>
              <w:spacing w:before="36" w:beforeLines="15" w:line="276" w:lineRule="auto"/>
              <w:ind w:left="0"/>
              <w:jc w:val="both"/>
              <w:rPr>
                <w:sz w:val="18"/>
                <w:szCs w:val="21"/>
              </w:rPr>
            </w:pPr>
            <w:r>
              <w:rPr>
                <w:sz w:val="18"/>
                <w:szCs w:val="21"/>
              </w:rPr>
              <w:t>7.</w:t>
            </w:r>
          </w:p>
        </w:tc>
        <w:tc>
          <w:tcPr>
            <w:tcW w:w="6752" w:type="dxa"/>
          </w:tcPr>
          <w:p w14:paraId="3BDA275E">
            <w:pPr>
              <w:pStyle w:val="14"/>
              <w:adjustRightInd w:val="0"/>
              <w:snapToGrid w:val="0"/>
              <w:spacing w:before="36" w:beforeLines="15" w:line="276" w:lineRule="auto"/>
              <w:ind w:left="0"/>
              <w:jc w:val="both"/>
              <w:rPr>
                <w:sz w:val="18"/>
                <w:szCs w:val="21"/>
              </w:rPr>
            </w:pPr>
            <w:r>
              <w:rPr>
                <w:rFonts w:eastAsia="宋体" w:cs="宋体"/>
                <w:sz w:val="18"/>
              </w:rPr>
              <w:t>结论</w:t>
            </w:r>
          </w:p>
        </w:tc>
      </w:tr>
      <w:tr w14:paraId="36A9C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20" w:hRule="atLeast"/>
          <w:jc w:val="center"/>
        </w:trPr>
        <w:tc>
          <w:tcPr>
            <w:tcW w:w="1006" w:type="dxa"/>
          </w:tcPr>
          <w:p w14:paraId="17784561">
            <w:pPr>
              <w:pStyle w:val="14"/>
              <w:adjustRightInd w:val="0"/>
              <w:snapToGrid w:val="0"/>
              <w:spacing w:before="36" w:beforeLines="15" w:line="276" w:lineRule="auto"/>
              <w:ind w:left="0"/>
              <w:jc w:val="both"/>
              <w:rPr>
                <w:sz w:val="18"/>
                <w:szCs w:val="21"/>
              </w:rPr>
            </w:pPr>
            <w:r>
              <w:rPr>
                <w:sz w:val="18"/>
                <w:szCs w:val="21"/>
              </w:rPr>
              <w:t>8.</w:t>
            </w:r>
          </w:p>
        </w:tc>
        <w:tc>
          <w:tcPr>
            <w:tcW w:w="6752" w:type="dxa"/>
          </w:tcPr>
          <w:p w14:paraId="7C0A6AA2">
            <w:pPr>
              <w:pStyle w:val="14"/>
              <w:adjustRightInd w:val="0"/>
              <w:snapToGrid w:val="0"/>
              <w:spacing w:before="36" w:beforeLines="15" w:line="276" w:lineRule="auto"/>
              <w:ind w:left="0"/>
              <w:jc w:val="both"/>
              <w:rPr>
                <w:sz w:val="18"/>
                <w:szCs w:val="21"/>
                <w:lang w:eastAsia="zh-CN"/>
              </w:rPr>
            </w:pPr>
            <w:r>
              <w:rPr>
                <w:rFonts w:eastAsia="宋体" w:cs="宋体"/>
                <w:sz w:val="18"/>
                <w:lang w:eastAsia="zh-CN"/>
              </w:rPr>
              <w:t>包括支持性数据报告或风险分析的附录</w:t>
            </w:r>
          </w:p>
        </w:tc>
      </w:tr>
    </w:tbl>
    <w:p w14:paraId="2A00565B">
      <w:pPr>
        <w:pStyle w:val="4"/>
        <w:adjustRightInd w:val="0"/>
        <w:snapToGrid w:val="0"/>
        <w:spacing w:before="120" w:beforeLines="50" w:line="300" w:lineRule="auto"/>
        <w:jc w:val="both"/>
        <w:rPr>
          <w:sz w:val="21"/>
          <w:szCs w:val="21"/>
          <w:lang w:eastAsia="zh-CN"/>
        </w:rPr>
      </w:pPr>
      <w:r>
        <w:rPr>
          <w:rFonts w:eastAsia="宋体" w:cs="宋体"/>
          <w:sz w:val="21"/>
          <w:lang w:eastAsia="zh-CN"/>
        </w:rPr>
        <w:t>在向NDA或BLA提交该信息时，本局建议将该信息与eCTD技术合规性指南中章节3.2.P.7的其他器械组成部分的信息一起包括在内。</w:t>
      </w:r>
      <w:r>
        <w:rPr>
          <w:rFonts w:eastAsia="宋体" w:cs="宋体"/>
          <w:sz w:val="21"/>
          <w:vertAlign w:val="superscript"/>
          <w:lang w:eastAsia="zh-CN"/>
        </w:rPr>
        <w:t>37</w:t>
      </w:r>
    </w:p>
    <w:p w14:paraId="69FDA671">
      <w:pPr>
        <w:pStyle w:val="4"/>
        <w:adjustRightInd w:val="0"/>
        <w:snapToGrid w:val="0"/>
        <w:spacing w:before="120" w:beforeLines="50" w:line="300" w:lineRule="auto"/>
        <w:ind w:left="1160" w:leftChars="200" w:hanging="720" w:hangingChars="300"/>
        <w:jc w:val="both"/>
        <w:outlineLvl w:val="0"/>
        <w:rPr>
          <w:szCs w:val="21"/>
          <w:lang w:eastAsia="zh-CN"/>
        </w:rPr>
      </w:pPr>
      <w:bookmarkStart w:id="9" w:name="_Toc91865918"/>
      <w:r>
        <w:rPr>
          <w:rFonts w:eastAsia="宋体" w:cs="宋体"/>
          <w:lang w:eastAsia="zh-CN"/>
        </w:rPr>
        <w:t>VII.</w:t>
      </w:r>
      <w:r>
        <w:rPr>
          <w:rFonts w:eastAsia="宋体" w:cs="宋体"/>
          <w:lang w:eastAsia="zh-CN"/>
        </w:rPr>
        <w:tab/>
      </w:r>
      <w:r>
        <w:rPr>
          <w:rFonts w:eastAsia="宋体" w:cs="宋体"/>
          <w:lang w:eastAsia="zh-CN"/>
        </w:rPr>
        <w:t>附加信息的位置</w:t>
      </w:r>
      <w:bookmarkEnd w:id="9"/>
    </w:p>
    <w:p w14:paraId="42E71E88">
      <w:pPr>
        <w:pStyle w:val="4"/>
        <w:adjustRightInd w:val="0"/>
        <w:snapToGrid w:val="0"/>
        <w:spacing w:before="120" w:beforeLines="50" w:line="300" w:lineRule="auto"/>
        <w:jc w:val="both"/>
        <w:rPr>
          <w:sz w:val="21"/>
          <w:szCs w:val="21"/>
          <w:lang w:eastAsia="zh-CN"/>
        </w:rPr>
      </w:pPr>
      <w:r>
        <w:rPr>
          <w:rFonts w:eastAsia="宋体" w:cs="宋体"/>
          <w:sz w:val="21"/>
          <w:lang w:eastAsia="zh-CN"/>
        </w:rPr>
        <w:t>如第II节所述，本指南涉及的药物递送急救用注射器被设计为组合产品的一部分，由CDER或CBER负责。这些组合产品通过IND、NDA、ANDA或BLA途径（包括补充申请）提交。为了解决急救用注射器可靠性开发过程中的任何不确定性，FDA强烈建议举行早期开发会议（例如预IND前或预ANDA，讨论初始组合产品），并在整个开发过程中举行后续IND会议</w:t>
      </w:r>
    </w:p>
    <w:p w14:paraId="378B2D4F">
      <w:pPr>
        <w:pStyle w:val="4"/>
        <w:adjustRightInd w:val="0"/>
        <w:snapToGrid w:val="0"/>
        <w:spacing w:before="3360" w:beforeLines="1400" w:line="300" w:lineRule="auto"/>
        <w:jc w:val="both"/>
        <w:rPr>
          <w:rFonts w:eastAsiaTheme="minorEastAsia"/>
          <w:sz w:val="21"/>
          <w:szCs w:val="21"/>
          <w:lang w:eastAsia="zh-CN"/>
        </w:rPr>
      </w:pPr>
      <w:r>
        <w:rPr>
          <w:rFonts w:eastAsia="宋体" w:cs="宋体"/>
          <w:sz w:val="21"/>
          <w:lang w:eastAsia="zh-CN"/>
        </w:rPr>
        <w:t>____________________</w:t>
      </w:r>
    </w:p>
    <w:p w14:paraId="71560ABC">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36</w:t>
      </w:r>
      <w:r>
        <w:rPr>
          <w:rFonts w:eastAsia="宋体" w:cs="宋体"/>
          <w:sz w:val="18"/>
          <w:lang w:eastAsia="zh-CN"/>
        </w:rPr>
        <w:t xml:space="preserve"> 参见21 CFR 820.30(i)和820.70(b)。</w:t>
      </w:r>
    </w:p>
    <w:p w14:paraId="0CE6C2BD">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37</w:t>
      </w:r>
      <w:r>
        <w:rPr>
          <w:rFonts w:eastAsia="宋体" w:cs="宋体"/>
          <w:sz w:val="18"/>
          <w:lang w:eastAsia="zh-CN"/>
        </w:rPr>
        <w:t xml:space="preserve"> 参见FDA的药品电子通用技术文档（eCTD）技术合规性指南 - 技术规范文档 - 行业指南《以电子格式提交申报资料 - 使用eCTD规范提交特定人用药品申请和相关申报资料》（2019年12月）第5节，可登录以下网址获取： </w:t>
      </w:r>
      <w:r>
        <w:rPr>
          <w:rFonts w:eastAsia="宋体" w:cs="宋体"/>
          <w:color w:val="0000FF"/>
          <w:sz w:val="18"/>
          <w:u w:val="single"/>
          <w:lang w:eastAsia="zh-CN"/>
        </w:rPr>
        <w:t>https://www.fda.gov/regulatory-information/search-fda-guidance-documents/ectd-technical-conformance-guide</w:t>
      </w:r>
      <w:r>
        <w:rPr>
          <w:rFonts w:eastAsia="宋体" w:cs="宋体"/>
          <w:sz w:val="18"/>
          <w:lang w:eastAsia="zh-CN"/>
        </w:rPr>
        <w:t>。</w:t>
      </w:r>
      <w:r>
        <w:rPr>
          <w:rFonts w:eastAsia="宋体" w:cs="宋体"/>
          <w:b/>
          <w:sz w:val="21"/>
          <w:lang w:eastAsia="zh-CN"/>
        </w:rPr>
        <w:br w:type="page"/>
      </w:r>
    </w:p>
    <w:p w14:paraId="0BC98AA1">
      <w:pPr>
        <w:pStyle w:val="4"/>
        <w:adjustRightInd w:val="0"/>
        <w:snapToGrid w:val="0"/>
        <w:spacing w:before="120" w:beforeLines="50" w:line="300" w:lineRule="auto"/>
        <w:jc w:val="both"/>
        <w:rPr>
          <w:sz w:val="21"/>
          <w:szCs w:val="21"/>
          <w:lang w:eastAsia="zh-CN"/>
        </w:rPr>
      </w:pPr>
      <w:r>
        <w:rPr>
          <w:rFonts w:eastAsia="宋体" w:cs="宋体"/>
          <w:sz w:val="21"/>
          <w:lang w:eastAsia="zh-CN"/>
        </w:rPr>
        <w:t>这些会议可包括本文件中讨论的可靠性信息相关说明的请求。对于急救用注射器以外的急救用递送系统的申请人，这些会议可用作本文件中确定原则的早期考虑因素。所有会议请求均应按照相关程序提交至牵头中心，并应注明请求的参与者（例如牵头中心、CDRH、组合产品办公室）。FDA计划使用其中心间协商审评流程</w:t>
      </w:r>
      <w:r>
        <w:rPr>
          <w:rFonts w:eastAsia="宋体" w:cs="宋体"/>
          <w:sz w:val="21"/>
          <w:vertAlign w:val="superscript"/>
          <w:lang w:eastAsia="zh-CN"/>
        </w:rPr>
        <w:t>38</w:t>
      </w:r>
      <w:r>
        <w:rPr>
          <w:rFonts w:eastAsia="宋体" w:cs="宋体"/>
          <w:sz w:val="21"/>
          <w:lang w:eastAsia="zh-CN"/>
        </w:rPr>
        <w:t>以评估本文件中描述的科学和技术问题。以下指南文件提供了请求与FDA举行会议有关的程序信息以及组合产品的一般信息。</w:t>
      </w:r>
    </w:p>
    <w:p w14:paraId="4DD7FE48">
      <w:pPr>
        <w:pStyle w:val="13"/>
        <w:numPr>
          <w:ilvl w:val="1"/>
          <w:numId w:val="27"/>
        </w:numPr>
        <w:wordWrap w:val="0"/>
        <w:adjustRightInd w:val="0"/>
        <w:snapToGrid w:val="0"/>
        <w:spacing w:before="120" w:beforeLines="50" w:line="300" w:lineRule="auto"/>
        <w:ind w:left="860" w:leftChars="200" w:hangingChars="200"/>
        <w:jc w:val="both"/>
        <w:rPr>
          <w:sz w:val="21"/>
          <w:szCs w:val="21"/>
        </w:rPr>
      </w:pPr>
      <w:r>
        <w:rPr>
          <w:rFonts w:eastAsia="宋体" w:cs="宋体"/>
          <w:sz w:val="21"/>
        </w:rPr>
        <w:t>行业指南《FDA和PDUFA产品的申办方或申请人召开正式会议》（</w:t>
      </w:r>
      <w:r>
        <w:rPr>
          <w:rFonts w:eastAsia="宋体" w:cs="宋体"/>
          <w:color w:val="0000FF"/>
          <w:sz w:val="21"/>
          <w:u w:val="single"/>
        </w:rPr>
        <w:t>https://www.fda.gov/regulatory-information/search-fda-guidance- documents/formal-meetings-between-fda-and-sponsors-or-applicants-pdufa-products- guidance-industry</w:t>
      </w:r>
      <w:r>
        <w:rPr>
          <w:rFonts w:eastAsia="宋体" w:cs="宋体"/>
          <w:sz w:val="21"/>
        </w:rPr>
        <w:t>）</w:t>
      </w:r>
    </w:p>
    <w:p w14:paraId="7242E80B">
      <w:pPr>
        <w:pStyle w:val="13"/>
        <w:numPr>
          <w:ilvl w:val="1"/>
          <w:numId w:val="27"/>
        </w:numPr>
        <w:wordWrap w:val="0"/>
        <w:adjustRightInd w:val="0"/>
        <w:snapToGrid w:val="0"/>
        <w:spacing w:before="120" w:beforeLines="50" w:line="300" w:lineRule="auto"/>
        <w:ind w:left="860" w:leftChars="200" w:hangingChars="200"/>
        <w:jc w:val="both"/>
        <w:rPr>
          <w:sz w:val="21"/>
          <w:szCs w:val="21"/>
        </w:rPr>
      </w:pPr>
      <w:r>
        <w:rPr>
          <w:rFonts w:eastAsia="宋体" w:cs="宋体"/>
          <w:sz w:val="21"/>
        </w:rPr>
        <w:t>行业指南（草案）《GDUFA下FDA和复杂产品ANDA申请人之间的正式会议》（</w:t>
      </w:r>
      <w:r>
        <w:rPr>
          <w:rFonts w:eastAsia="宋体" w:cs="宋体"/>
          <w:color w:val="0000FF"/>
          <w:sz w:val="21"/>
          <w:u w:val="single"/>
        </w:rPr>
        <w:t>https://www.fda.gov/regulatory- information/search-fda-guidance-documents/formal-meetings-between-fda-and-anda- applicants-complex-products-under-gdufa-guidance-industry</w:t>
      </w:r>
      <w:r>
        <w:rPr>
          <w:rFonts w:eastAsia="宋体" w:cs="宋体"/>
          <w:sz w:val="21"/>
        </w:rPr>
        <w:t>）</w:t>
      </w:r>
    </w:p>
    <w:p w14:paraId="0BCCF0AD">
      <w:pPr>
        <w:pStyle w:val="13"/>
        <w:numPr>
          <w:ilvl w:val="1"/>
          <w:numId w:val="27"/>
        </w:numPr>
        <w:wordWrap w:val="0"/>
        <w:adjustRightInd w:val="0"/>
        <w:snapToGrid w:val="0"/>
        <w:spacing w:before="120" w:beforeLines="50" w:line="300" w:lineRule="auto"/>
        <w:ind w:left="860" w:leftChars="200" w:hangingChars="200"/>
        <w:jc w:val="both"/>
        <w:rPr>
          <w:sz w:val="21"/>
          <w:szCs w:val="21"/>
        </w:rPr>
      </w:pPr>
      <w:r>
        <w:rPr>
          <w:rFonts w:eastAsia="宋体" w:cs="宋体"/>
          <w:sz w:val="21"/>
        </w:rPr>
        <w:t>行业和FDA工作人员指南《与药物和生物制品一起使用的笔式注射器、喷射式注射器和相关注射器的技术考虑因素》可登录以下网址获取：</w:t>
      </w:r>
      <w:r>
        <w:rPr>
          <w:rFonts w:eastAsia="宋体" w:cs="宋体"/>
          <w:color w:val="0000FF"/>
          <w:sz w:val="21"/>
          <w:u w:val="single"/>
        </w:rPr>
        <w:t>https://www.fda.gov/regulatory-information/search-fda-guidance-documents/technical- considerations-pen-jet-and-related-injectors-intended-use-drugs-and-biological-products</w:t>
      </w:r>
    </w:p>
    <w:p w14:paraId="5039C7EE">
      <w:pPr>
        <w:pStyle w:val="13"/>
        <w:numPr>
          <w:ilvl w:val="1"/>
          <w:numId w:val="27"/>
        </w:numPr>
        <w:wordWrap w:val="0"/>
        <w:adjustRightInd w:val="0"/>
        <w:snapToGrid w:val="0"/>
        <w:spacing w:before="120" w:beforeLines="50" w:line="300" w:lineRule="auto"/>
        <w:ind w:left="860" w:leftChars="200" w:hangingChars="200"/>
        <w:jc w:val="both"/>
        <w:rPr>
          <w:sz w:val="21"/>
          <w:szCs w:val="21"/>
        </w:rPr>
      </w:pPr>
      <w:r>
        <w:rPr>
          <w:rFonts w:eastAsia="宋体" w:cs="宋体"/>
          <w:sz w:val="21"/>
        </w:rPr>
        <w:t>药品电子通用技术文档（eCTD）技术合规性指南 - 技术规范文档 - 行业指南《以电子格式提交申报资料 - 使用eCTD规范提交特定人用药品申请和相关申报资料》（2019年12月），可登录以下网址获取：</w:t>
      </w:r>
      <w:r>
        <w:rPr>
          <w:rFonts w:eastAsia="宋体" w:cs="宋体"/>
          <w:color w:val="0000FF"/>
          <w:sz w:val="21"/>
          <w:u w:val="single"/>
        </w:rPr>
        <w:t>https://www.fda.gov/regulatory- information/search-fda-guidance-documents/ectd-technical-conformance-guide</w:t>
      </w:r>
    </w:p>
    <w:p w14:paraId="53B7E04F">
      <w:pPr>
        <w:pStyle w:val="13"/>
        <w:numPr>
          <w:ilvl w:val="1"/>
          <w:numId w:val="27"/>
        </w:numPr>
        <w:wordWrap w:val="0"/>
        <w:adjustRightInd w:val="0"/>
        <w:snapToGrid w:val="0"/>
        <w:spacing w:before="120" w:beforeLines="50" w:line="300" w:lineRule="auto"/>
        <w:ind w:left="860" w:leftChars="200" w:hangingChars="200"/>
        <w:jc w:val="both"/>
        <w:rPr>
          <w:sz w:val="21"/>
          <w:szCs w:val="21"/>
        </w:rPr>
      </w:pPr>
      <w:r>
        <w:rPr>
          <w:rFonts w:eastAsia="宋体" w:cs="宋体"/>
          <w:sz w:val="21"/>
        </w:rPr>
        <w:t>组合产品的一般信息参见</w:t>
      </w:r>
      <w:r>
        <w:rPr>
          <w:rFonts w:eastAsia="宋体" w:cs="宋体"/>
          <w:color w:val="0000FF"/>
          <w:sz w:val="21"/>
          <w:u w:val="single"/>
        </w:rPr>
        <w:t>https://www.fda.gov/CombinationProducts/default.htm</w:t>
      </w:r>
    </w:p>
    <w:p w14:paraId="50251149">
      <w:pPr>
        <w:pStyle w:val="4"/>
        <w:adjustRightInd w:val="0"/>
        <w:snapToGrid w:val="0"/>
        <w:spacing w:before="5760" w:beforeLines="2400" w:line="300" w:lineRule="auto"/>
        <w:jc w:val="both"/>
        <w:rPr>
          <w:rFonts w:eastAsiaTheme="minorEastAsia"/>
          <w:sz w:val="21"/>
          <w:szCs w:val="21"/>
          <w:lang w:eastAsia="zh-CN"/>
        </w:rPr>
      </w:pPr>
      <w:r>
        <w:rPr>
          <w:rFonts w:eastAsia="宋体" w:cs="宋体"/>
          <w:sz w:val="21"/>
        </w:rPr>
        <w:t>____________________</w:t>
      </w:r>
    </w:p>
    <w:p w14:paraId="39150E83">
      <w:pPr>
        <w:adjustRightInd w:val="0"/>
        <w:snapToGrid w:val="0"/>
        <w:spacing w:before="36" w:beforeLines="15" w:line="276" w:lineRule="auto"/>
        <w:jc w:val="both"/>
        <w:rPr>
          <w:b/>
          <w:sz w:val="21"/>
          <w:szCs w:val="21"/>
        </w:rPr>
      </w:pPr>
      <w:r>
        <w:rPr>
          <w:rFonts w:eastAsia="宋体" w:cs="宋体"/>
          <w:sz w:val="18"/>
          <w:vertAlign w:val="superscript"/>
        </w:rPr>
        <w:t>38</w:t>
      </w:r>
      <w:r>
        <w:rPr>
          <w:rFonts w:eastAsia="宋体" w:cs="宋体"/>
          <w:sz w:val="18"/>
        </w:rPr>
        <w:t xml:space="preserve"> 关于中心间协商审评流程的更多信息，请参见</w:t>
      </w:r>
      <w:r>
        <w:rPr>
          <w:rFonts w:eastAsia="宋体" w:cs="宋体"/>
          <w:color w:val="0000FF"/>
          <w:sz w:val="18"/>
          <w:u w:val="single"/>
        </w:rPr>
        <w:t>https://www.fda.gov/media/81927/download</w:t>
      </w:r>
      <w:r>
        <w:rPr>
          <w:rFonts w:eastAsia="宋体" w:cs="宋体"/>
          <w:b/>
          <w:sz w:val="21"/>
        </w:rPr>
        <w:br w:type="page"/>
      </w:r>
    </w:p>
    <w:p w14:paraId="77DA8E21">
      <w:pPr>
        <w:pStyle w:val="4"/>
        <w:adjustRightInd w:val="0"/>
        <w:snapToGrid w:val="0"/>
        <w:spacing w:before="120" w:beforeLines="50" w:line="300" w:lineRule="auto"/>
        <w:ind w:left="1160" w:leftChars="200" w:hanging="720" w:hangingChars="300"/>
        <w:jc w:val="both"/>
        <w:outlineLvl w:val="0"/>
        <w:rPr>
          <w:szCs w:val="21"/>
          <w:lang w:eastAsia="zh-CN"/>
        </w:rPr>
      </w:pPr>
      <w:bookmarkStart w:id="10" w:name="_Toc91865919"/>
      <w:r>
        <w:rPr>
          <w:rFonts w:eastAsia="宋体" w:cs="宋体"/>
          <w:lang w:eastAsia="zh-CN"/>
        </w:rPr>
        <w:t>VIII.</w:t>
      </w:r>
      <w:r>
        <w:rPr>
          <w:rFonts w:eastAsia="宋体" w:cs="宋体"/>
          <w:lang w:eastAsia="zh-CN"/>
        </w:rPr>
        <w:tab/>
      </w:r>
      <w:r>
        <w:rPr>
          <w:rFonts w:eastAsia="宋体" w:cs="宋体"/>
          <w:lang w:eastAsia="zh-CN"/>
        </w:rPr>
        <w:t>附录：故障树示例</w:t>
      </w:r>
      <w:bookmarkEnd w:id="10"/>
    </w:p>
    <w:p w14:paraId="168B8053">
      <w:pPr>
        <w:pStyle w:val="4"/>
        <w:adjustRightInd w:val="0"/>
        <w:snapToGrid w:val="0"/>
        <w:spacing w:before="120" w:beforeLines="50" w:line="300" w:lineRule="auto"/>
        <w:jc w:val="both"/>
        <w:rPr>
          <w:sz w:val="21"/>
          <w:szCs w:val="21"/>
        </w:rPr>
      </w:pPr>
      <w:r>
        <w:rPr>
          <w:rFonts w:eastAsia="宋体" w:cs="宋体"/>
          <w:sz w:val="21"/>
          <w:lang w:eastAsia="zh-CN"/>
        </w:rPr>
        <w:t>以下是急救用注射器故障树分析的模板示例。该示例使用以下关键术语。</w:t>
      </w:r>
      <w:r>
        <w:rPr>
          <w:rFonts w:eastAsia="宋体" w:cs="宋体"/>
          <w:sz w:val="21"/>
          <w:vertAlign w:val="superscript"/>
        </w:rPr>
        <w:t>39</w:t>
      </w:r>
    </w:p>
    <w:p w14:paraId="00C6BF35">
      <w:pPr>
        <w:pStyle w:val="13"/>
        <w:numPr>
          <w:ilvl w:val="1"/>
          <w:numId w:val="28"/>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基本事件：无法进一步发展的失效模式事件或状态。</w:t>
      </w:r>
    </w:p>
    <w:p w14:paraId="63A1F991">
      <w:pPr>
        <w:pStyle w:val="13"/>
        <w:numPr>
          <w:ilvl w:val="1"/>
          <w:numId w:val="28"/>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注射失败：当一种或多种功能失效模式导致急救用注射器无法展开针头或无法按预期完成药物递送时，急救用注射器注射失败。这可能包括急救用注射器过早激活或未按预期激活的情况。</w:t>
      </w:r>
    </w:p>
    <w:p w14:paraId="57F01B0C">
      <w:pPr>
        <w:pStyle w:val="13"/>
        <w:numPr>
          <w:ilvl w:val="1"/>
          <w:numId w:val="28"/>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失效模式：</w:t>
      </w:r>
      <w:r>
        <w:rPr>
          <w:rFonts w:hint="eastAsia" w:eastAsia="宋体" w:cs="宋体"/>
          <w:sz w:val="21"/>
          <w:lang w:eastAsia="zh-CN"/>
        </w:rPr>
        <w:t>故障</w:t>
      </w:r>
      <w:r>
        <w:rPr>
          <w:rFonts w:eastAsia="宋体" w:cs="宋体"/>
          <w:sz w:val="21"/>
          <w:lang w:eastAsia="zh-CN"/>
        </w:rPr>
        <w:t>发生的方式。</w:t>
      </w:r>
    </w:p>
    <w:p w14:paraId="314A8BD4">
      <w:pPr>
        <w:pStyle w:val="4"/>
        <w:adjustRightInd w:val="0"/>
        <w:snapToGrid w:val="0"/>
        <w:spacing w:before="120" w:beforeLines="50" w:line="300" w:lineRule="auto"/>
        <w:jc w:val="both"/>
        <w:rPr>
          <w:sz w:val="21"/>
          <w:szCs w:val="21"/>
          <w:lang w:eastAsia="zh-CN"/>
        </w:rPr>
      </w:pPr>
      <w:r>
        <w:rPr>
          <w:rFonts w:eastAsia="宋体" w:cs="宋体"/>
          <w:sz w:val="21"/>
          <w:u w:val="single"/>
          <w:lang w:eastAsia="zh-CN"/>
        </w:rPr>
        <w:t>故障树分析：</w:t>
      </w:r>
    </w:p>
    <w:p w14:paraId="13E31025">
      <w:pPr>
        <w:pStyle w:val="4"/>
        <w:adjustRightInd w:val="0"/>
        <w:snapToGrid w:val="0"/>
        <w:spacing w:before="120" w:beforeLines="50" w:line="300" w:lineRule="auto"/>
        <w:jc w:val="both"/>
        <w:rPr>
          <w:sz w:val="21"/>
          <w:szCs w:val="21"/>
          <w:lang w:eastAsia="zh-CN"/>
        </w:rPr>
      </w:pPr>
      <w:r>
        <w:rPr>
          <w:rFonts w:eastAsia="宋体" w:cs="宋体"/>
          <w:sz w:val="21"/>
          <w:lang w:eastAsia="zh-CN"/>
        </w:rPr>
        <w:t>对于急救用注射器，故障树的每个最终元素（例如A.1.i.a）应与支持产品整体可靠性的概率数据直接关联。故障树分析的步骤包括以下内容。关于完成这些步骤、实施分析和提交数据的信息，参见本文件的前述章节。</w:t>
      </w:r>
    </w:p>
    <w:p w14:paraId="08EF23E7">
      <w:pPr>
        <w:pStyle w:val="13"/>
        <w:numPr>
          <w:ilvl w:val="1"/>
          <w:numId w:val="29"/>
        </w:numPr>
        <w:adjustRightInd w:val="0"/>
        <w:snapToGrid w:val="0"/>
        <w:spacing w:before="120" w:beforeLines="50" w:line="300" w:lineRule="auto"/>
        <w:ind w:left="860" w:leftChars="200" w:hangingChars="200"/>
        <w:jc w:val="both"/>
        <w:rPr>
          <w:sz w:val="21"/>
          <w:szCs w:val="21"/>
        </w:rPr>
      </w:pPr>
      <w:r>
        <w:rPr>
          <w:rFonts w:eastAsia="宋体" w:cs="宋体"/>
          <w:sz w:val="21"/>
        </w:rPr>
        <w:t>确定分析范围；</w:t>
      </w:r>
    </w:p>
    <w:p w14:paraId="5940FAD5">
      <w:pPr>
        <w:pStyle w:val="13"/>
        <w:numPr>
          <w:ilvl w:val="1"/>
          <w:numId w:val="29"/>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熟悉系统的设计、功能和操作；</w:t>
      </w:r>
    </w:p>
    <w:p w14:paraId="2CE393C6">
      <w:pPr>
        <w:pStyle w:val="13"/>
        <w:numPr>
          <w:ilvl w:val="1"/>
          <w:numId w:val="29"/>
        </w:numPr>
        <w:adjustRightInd w:val="0"/>
        <w:snapToGrid w:val="0"/>
        <w:spacing w:before="120" w:beforeLines="50" w:line="300" w:lineRule="auto"/>
        <w:ind w:left="860" w:leftChars="200" w:hangingChars="200"/>
        <w:jc w:val="both"/>
        <w:rPr>
          <w:sz w:val="21"/>
          <w:szCs w:val="21"/>
        </w:rPr>
      </w:pPr>
      <w:r>
        <w:rPr>
          <w:rFonts w:eastAsia="宋体" w:cs="宋体"/>
          <w:sz w:val="21"/>
        </w:rPr>
        <w:t>确定顶层事件；</w:t>
      </w:r>
    </w:p>
    <w:p w14:paraId="31A8D6F7">
      <w:pPr>
        <w:pStyle w:val="13"/>
        <w:numPr>
          <w:ilvl w:val="1"/>
          <w:numId w:val="29"/>
        </w:numPr>
        <w:adjustRightInd w:val="0"/>
        <w:snapToGrid w:val="0"/>
        <w:spacing w:before="120" w:beforeLines="50" w:line="300" w:lineRule="auto"/>
        <w:ind w:left="860" w:leftChars="200" w:hangingChars="200"/>
        <w:jc w:val="both"/>
        <w:rPr>
          <w:sz w:val="21"/>
          <w:szCs w:val="21"/>
        </w:rPr>
      </w:pPr>
      <w:r>
        <w:rPr>
          <w:rFonts w:eastAsia="宋体" w:cs="宋体"/>
          <w:sz w:val="21"/>
        </w:rPr>
        <w:t>构建故障树；</w:t>
      </w:r>
    </w:p>
    <w:p w14:paraId="354B98E0">
      <w:pPr>
        <w:pStyle w:val="13"/>
        <w:numPr>
          <w:ilvl w:val="1"/>
          <w:numId w:val="29"/>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分析故障树逻辑；以及，</w:t>
      </w:r>
    </w:p>
    <w:p w14:paraId="3034865E">
      <w:pPr>
        <w:pStyle w:val="13"/>
        <w:numPr>
          <w:ilvl w:val="1"/>
          <w:numId w:val="29"/>
        </w:numPr>
        <w:adjustRightInd w:val="0"/>
        <w:snapToGrid w:val="0"/>
        <w:spacing w:before="120" w:beforeLines="50" w:line="300" w:lineRule="auto"/>
        <w:ind w:left="860" w:leftChars="200" w:hangingChars="200"/>
        <w:jc w:val="both"/>
        <w:rPr>
          <w:sz w:val="21"/>
          <w:szCs w:val="21"/>
        </w:rPr>
      </w:pPr>
      <w:r>
        <w:rPr>
          <w:rFonts w:eastAsia="宋体" w:cs="宋体"/>
          <w:sz w:val="21"/>
        </w:rPr>
        <w:t>报告分析结果；</w:t>
      </w:r>
    </w:p>
    <w:p w14:paraId="6A139871">
      <w:pPr>
        <w:pStyle w:val="4"/>
        <w:adjustRightInd w:val="0"/>
        <w:snapToGrid w:val="0"/>
        <w:spacing w:before="120" w:beforeLines="50" w:line="300" w:lineRule="auto"/>
        <w:jc w:val="both"/>
        <w:rPr>
          <w:sz w:val="21"/>
          <w:szCs w:val="21"/>
          <w:lang w:eastAsia="zh-CN"/>
        </w:rPr>
      </w:pPr>
      <w:r>
        <w:rPr>
          <w:rFonts w:eastAsia="宋体" w:cs="宋体"/>
          <w:sz w:val="21"/>
          <w:lang w:eastAsia="zh-CN"/>
        </w:rPr>
        <w:t>模板确定顶层事件为注射失败。应将故障树分解为可能导致注射失败事件的所有合理、已识别的故障和失效模式。故障树示例中的最底层示显示了各个组成部分并入故障树</w:t>
      </w:r>
      <w:r>
        <w:rPr>
          <w:rFonts w:hint="eastAsia" w:eastAsia="宋体" w:cs="宋体"/>
          <w:sz w:val="21"/>
          <w:lang w:eastAsia="zh-CN"/>
        </w:rPr>
        <w:t>的方法</w:t>
      </w:r>
      <w:r>
        <w:rPr>
          <w:rFonts w:eastAsia="宋体" w:cs="宋体"/>
          <w:sz w:val="21"/>
          <w:lang w:eastAsia="zh-CN"/>
        </w:rPr>
        <w:t>。</w:t>
      </w:r>
    </w:p>
    <w:p w14:paraId="0CCC0E28">
      <w:pPr>
        <w:pStyle w:val="4"/>
        <w:adjustRightInd w:val="0"/>
        <w:snapToGrid w:val="0"/>
        <w:spacing w:before="120" w:beforeLines="50" w:line="300" w:lineRule="auto"/>
        <w:jc w:val="both"/>
        <w:rPr>
          <w:sz w:val="21"/>
          <w:szCs w:val="21"/>
          <w:lang w:eastAsia="zh-CN"/>
        </w:rPr>
      </w:pPr>
      <w:r>
        <w:rPr>
          <w:rFonts w:eastAsia="宋体" w:cs="宋体"/>
          <w:sz w:val="21"/>
          <w:lang w:eastAsia="zh-CN"/>
        </w:rPr>
        <w:t>该故障树示例并非规定性的。制造商的故障树中确定的实际层级数和失效模式总数将取决于该急救用注射器的具体设计和制造。</w:t>
      </w:r>
    </w:p>
    <w:p w14:paraId="0B47C59D">
      <w:pPr>
        <w:pStyle w:val="4"/>
        <w:adjustRightInd w:val="0"/>
        <w:snapToGrid w:val="0"/>
        <w:spacing w:before="120" w:beforeLines="50" w:line="300" w:lineRule="auto"/>
        <w:jc w:val="both"/>
        <w:rPr>
          <w:sz w:val="21"/>
          <w:szCs w:val="21"/>
          <w:lang w:eastAsia="zh-CN"/>
        </w:rPr>
      </w:pPr>
    </w:p>
    <w:p w14:paraId="5B74CA89">
      <w:pPr>
        <w:pStyle w:val="4"/>
        <w:adjustRightInd w:val="0"/>
        <w:snapToGrid w:val="0"/>
        <w:spacing w:before="120" w:beforeLines="50" w:line="300" w:lineRule="auto"/>
        <w:jc w:val="center"/>
        <w:rPr>
          <w:sz w:val="21"/>
          <w:szCs w:val="21"/>
          <w:lang w:eastAsia="zh-CN"/>
        </w:rPr>
      </w:pPr>
      <w:r>
        <w:rPr>
          <w:rFonts w:eastAsia="宋体" w:cs="宋体"/>
          <w:sz w:val="21"/>
          <w:lang w:eastAsia="zh-CN"/>
        </w:rPr>
        <w:t>（流程图示例见下一页。）</w:t>
      </w:r>
    </w:p>
    <w:p w14:paraId="2A8AD3F2">
      <w:pPr>
        <w:pStyle w:val="4"/>
        <w:adjustRightInd w:val="0"/>
        <w:snapToGrid w:val="0"/>
        <w:spacing w:before="2760" w:beforeLines="1150" w:line="300" w:lineRule="auto"/>
        <w:jc w:val="both"/>
        <w:rPr>
          <w:rFonts w:eastAsiaTheme="minorEastAsia"/>
          <w:sz w:val="21"/>
          <w:szCs w:val="21"/>
          <w:lang w:eastAsia="zh-CN"/>
        </w:rPr>
      </w:pPr>
      <w:r>
        <w:rPr>
          <w:rFonts w:eastAsia="宋体" w:cs="宋体"/>
          <w:sz w:val="21"/>
          <w:lang w:eastAsia="zh-CN"/>
        </w:rPr>
        <w:t>____________________</w:t>
      </w:r>
    </w:p>
    <w:p w14:paraId="2AF1AD27">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39</w:t>
      </w:r>
      <w:r>
        <w:rPr>
          <w:rFonts w:eastAsia="宋体" w:cs="宋体"/>
          <w:sz w:val="18"/>
          <w:lang w:eastAsia="zh-CN"/>
        </w:rPr>
        <w:t xml:space="preserve"> 更完整的术语表和更多信息参见ISO 61025:2006 – 故障树分析和美国航空航天局（NASA）航空航天应用故障树手册（2006）。</w:t>
      </w:r>
      <w:r>
        <w:rPr>
          <w:rFonts w:eastAsia="宋体" w:cs="宋体"/>
          <w:b/>
          <w:sz w:val="21"/>
          <w:lang w:eastAsia="zh-CN"/>
        </w:rPr>
        <w:br w:type="page"/>
      </w:r>
    </w:p>
    <w:p w14:paraId="148C7A87">
      <w:pPr>
        <w:adjustRightInd w:val="0"/>
        <w:snapToGrid w:val="0"/>
        <w:spacing w:before="120" w:beforeLines="50" w:line="300" w:lineRule="auto"/>
        <w:jc w:val="center"/>
        <w:rPr>
          <w:sz w:val="21"/>
          <w:szCs w:val="21"/>
        </w:rPr>
      </w:pPr>
      <w:r>
        <w:rPr>
          <w:sz w:val="21"/>
          <w:szCs w:val="21"/>
          <w:lang w:eastAsia="zh-CN" w:bidi="ar-SA"/>
        </w:rPr>
        <mc:AlternateContent>
          <mc:Choice Requires="wpg">
            <w:drawing>
              <wp:anchor distT="0" distB="0" distL="114300" distR="114300" simplePos="0" relativeHeight="251659264" behindDoc="0" locked="0" layoutInCell="1" allowOverlap="1">
                <wp:simplePos x="0" y="0"/>
                <wp:positionH relativeFrom="column">
                  <wp:posOffset>387350</wp:posOffset>
                </wp:positionH>
                <wp:positionV relativeFrom="paragraph">
                  <wp:posOffset>153670</wp:posOffset>
                </wp:positionV>
                <wp:extent cx="4985385" cy="5311775"/>
                <wp:effectExtent l="0" t="0" r="5715" b="3810"/>
                <wp:wrapNone/>
                <wp:docPr id="51" name="组合 51"/>
                <wp:cNvGraphicFramePr/>
                <a:graphic xmlns:a="http://schemas.openxmlformats.org/drawingml/2006/main">
                  <a:graphicData uri="http://schemas.microsoft.com/office/word/2010/wordprocessingGroup">
                    <wpg:wgp>
                      <wpg:cNvGrpSpPr/>
                      <wpg:grpSpPr>
                        <a:xfrm>
                          <a:off x="0" y="0"/>
                          <a:ext cx="4985467" cy="5311471"/>
                          <a:chOff x="0" y="0"/>
                          <a:chExt cx="4985467" cy="5311471"/>
                        </a:xfrm>
                      </wpg:grpSpPr>
                      <wps:wsp>
                        <wps:cNvPr id="307" name="文本框 2"/>
                        <wps:cNvSpPr txBox="1">
                          <a:spLocks noChangeArrowheads="1"/>
                        </wps:cNvSpPr>
                        <wps:spPr bwMode="auto">
                          <a:xfrm>
                            <a:off x="2536466" y="0"/>
                            <a:ext cx="1232453" cy="318052"/>
                          </a:xfrm>
                          <a:prstGeom prst="rect">
                            <a:avLst/>
                          </a:prstGeom>
                          <a:solidFill>
                            <a:srgbClr val="FFFFFF"/>
                          </a:solidFill>
                          <a:ln w="9525">
                            <a:noFill/>
                            <a:miter lim="800000"/>
                          </a:ln>
                        </wps:spPr>
                        <wps:txbx>
                          <w:txbxContent>
                            <w:p w14:paraId="24A57AD1">
                              <w:pPr>
                                <w:jc w:val="center"/>
                                <w:rPr>
                                  <w:sz w:val="18"/>
                                  <w:szCs w:val="18"/>
                                </w:rPr>
                              </w:pPr>
                              <w:r>
                                <w:rPr>
                                  <w:rFonts w:eastAsia="宋体" w:cs="宋体"/>
                                  <w:sz w:val="18"/>
                                </w:rPr>
                                <w:t>注射失败</w:t>
                              </w:r>
                            </w:p>
                          </w:txbxContent>
                        </wps:txbx>
                        <wps:bodyPr rot="0" vert="horz" wrap="square" lIns="0" tIns="0" rIns="0" bIns="0" anchor="ctr" anchorCtr="0">
                          <a:noAutofit/>
                        </wps:bodyPr>
                      </wps:wsp>
                      <wps:wsp>
                        <wps:cNvPr id="36" name="文本框 2"/>
                        <wps:cNvSpPr txBox="1">
                          <a:spLocks noChangeArrowheads="1"/>
                        </wps:cNvSpPr>
                        <wps:spPr bwMode="auto">
                          <a:xfrm>
                            <a:off x="1319917" y="1224501"/>
                            <a:ext cx="1017766" cy="318052"/>
                          </a:xfrm>
                          <a:prstGeom prst="rect">
                            <a:avLst/>
                          </a:prstGeom>
                          <a:solidFill>
                            <a:srgbClr val="FFFFFF"/>
                          </a:solidFill>
                          <a:ln w="9525">
                            <a:noFill/>
                            <a:miter lim="800000"/>
                          </a:ln>
                        </wps:spPr>
                        <wps:txbx>
                          <w:txbxContent>
                            <w:p w14:paraId="7DADEFDB">
                              <w:pPr>
                                <w:jc w:val="center"/>
                                <w:rPr>
                                  <w:sz w:val="18"/>
                                  <w:szCs w:val="18"/>
                                </w:rPr>
                              </w:pPr>
                              <w:r>
                                <w:rPr>
                                  <w:rFonts w:eastAsia="宋体" w:cs="宋体"/>
                                  <w:sz w:val="18"/>
                                </w:rPr>
                                <w:t>（A）触发机制失效</w:t>
                              </w:r>
                            </w:p>
                          </w:txbxContent>
                        </wps:txbx>
                        <wps:bodyPr rot="0" vert="horz" wrap="square" lIns="0" tIns="0" rIns="0" bIns="0" anchor="ctr" anchorCtr="0">
                          <a:noAutofit/>
                        </wps:bodyPr>
                      </wps:wsp>
                      <wps:wsp>
                        <wps:cNvPr id="37" name="文本框 2"/>
                        <wps:cNvSpPr txBox="1">
                          <a:spLocks noChangeArrowheads="1"/>
                        </wps:cNvSpPr>
                        <wps:spPr bwMode="auto">
                          <a:xfrm>
                            <a:off x="2647785" y="1216549"/>
                            <a:ext cx="1017766" cy="318052"/>
                          </a:xfrm>
                          <a:prstGeom prst="rect">
                            <a:avLst/>
                          </a:prstGeom>
                          <a:solidFill>
                            <a:srgbClr val="FFFFFF"/>
                          </a:solidFill>
                          <a:ln w="9525">
                            <a:noFill/>
                            <a:miter lim="800000"/>
                          </a:ln>
                        </wps:spPr>
                        <wps:txbx>
                          <w:txbxContent>
                            <w:p w14:paraId="31488E09">
                              <w:pPr>
                                <w:jc w:val="center"/>
                                <w:rPr>
                                  <w:sz w:val="18"/>
                                  <w:szCs w:val="18"/>
                                </w:rPr>
                              </w:pPr>
                              <w:r>
                                <w:rPr>
                                  <w:rFonts w:eastAsia="宋体" w:cs="宋体"/>
                                  <w:sz w:val="18"/>
                                </w:rPr>
                                <w:t>（B）针套无法缩回</w:t>
                              </w:r>
                            </w:p>
                          </w:txbxContent>
                        </wps:txbx>
                        <wps:bodyPr rot="0" vert="horz" wrap="square" lIns="0" tIns="0" rIns="0" bIns="0" anchor="ctr" anchorCtr="0">
                          <a:noAutofit/>
                        </wps:bodyPr>
                      </wps:wsp>
                      <wps:wsp>
                        <wps:cNvPr id="38" name="文本框 2"/>
                        <wps:cNvSpPr txBox="1">
                          <a:spLocks noChangeArrowheads="1"/>
                        </wps:cNvSpPr>
                        <wps:spPr bwMode="auto">
                          <a:xfrm>
                            <a:off x="3967701" y="1208598"/>
                            <a:ext cx="1017766" cy="318052"/>
                          </a:xfrm>
                          <a:prstGeom prst="rect">
                            <a:avLst/>
                          </a:prstGeom>
                          <a:solidFill>
                            <a:srgbClr val="FFFFFF"/>
                          </a:solidFill>
                          <a:ln w="9525">
                            <a:noFill/>
                            <a:miter lim="800000"/>
                          </a:ln>
                        </wps:spPr>
                        <wps:txbx>
                          <w:txbxContent>
                            <w:p w14:paraId="3C434F41">
                              <w:pPr>
                                <w:jc w:val="center"/>
                                <w:rPr>
                                  <w:sz w:val="18"/>
                                  <w:szCs w:val="18"/>
                                </w:rPr>
                              </w:pPr>
                              <w:r>
                                <w:rPr>
                                  <w:rFonts w:eastAsia="宋体" w:cs="宋体"/>
                                  <w:sz w:val="18"/>
                                </w:rPr>
                                <w:t>（C）失效模式N</w:t>
                              </w:r>
                            </w:p>
                          </w:txbxContent>
                        </wps:txbx>
                        <wps:bodyPr rot="0" vert="horz" wrap="square" lIns="0" tIns="0" rIns="0" bIns="0" anchor="ctr" anchorCtr="0">
                          <a:noAutofit/>
                        </wps:bodyPr>
                      </wps:wsp>
                      <wps:wsp>
                        <wps:cNvPr id="39" name="文本框 2"/>
                        <wps:cNvSpPr txBox="1">
                          <a:spLocks noChangeArrowheads="1"/>
                        </wps:cNvSpPr>
                        <wps:spPr bwMode="auto">
                          <a:xfrm>
                            <a:off x="0" y="2409245"/>
                            <a:ext cx="1017766" cy="461175"/>
                          </a:xfrm>
                          <a:prstGeom prst="rect">
                            <a:avLst/>
                          </a:prstGeom>
                          <a:solidFill>
                            <a:srgbClr val="FFFFFF"/>
                          </a:solidFill>
                          <a:ln w="9525">
                            <a:noFill/>
                            <a:miter lim="800000"/>
                          </a:ln>
                        </wps:spPr>
                        <wps:txbx>
                          <w:txbxContent>
                            <w:p w14:paraId="3F4AFCED">
                              <w:pPr>
                                <w:jc w:val="center"/>
                                <w:rPr>
                                  <w:sz w:val="18"/>
                                  <w:szCs w:val="18"/>
                                  <w:lang w:eastAsia="zh-CN"/>
                                </w:rPr>
                              </w:pPr>
                              <w:r>
                                <w:rPr>
                                  <w:rFonts w:eastAsia="宋体" w:cs="宋体"/>
                                  <w:sz w:val="18"/>
                                  <w:lang w:eastAsia="zh-CN"/>
                                </w:rPr>
                                <w:t>（A.1）高触发力阻止激活</w:t>
                              </w:r>
                            </w:p>
                          </w:txbxContent>
                        </wps:txbx>
                        <wps:bodyPr rot="0" vert="horz" wrap="square" lIns="0" tIns="0" rIns="0" bIns="0" anchor="ctr" anchorCtr="0">
                          <a:noAutofit/>
                        </wps:bodyPr>
                      </wps:wsp>
                      <wps:wsp>
                        <wps:cNvPr id="40" name="文本框 2"/>
                        <wps:cNvSpPr txBox="1">
                          <a:spLocks noChangeArrowheads="1"/>
                        </wps:cNvSpPr>
                        <wps:spPr bwMode="auto">
                          <a:xfrm>
                            <a:off x="1319917" y="2393342"/>
                            <a:ext cx="1017766" cy="461175"/>
                          </a:xfrm>
                          <a:prstGeom prst="rect">
                            <a:avLst/>
                          </a:prstGeom>
                          <a:solidFill>
                            <a:srgbClr val="FFFFFF"/>
                          </a:solidFill>
                          <a:ln w="9525">
                            <a:noFill/>
                            <a:miter lim="800000"/>
                          </a:ln>
                        </wps:spPr>
                        <wps:txbx>
                          <w:txbxContent>
                            <w:p w14:paraId="3AE6F496">
                              <w:pPr>
                                <w:jc w:val="center"/>
                                <w:rPr>
                                  <w:sz w:val="18"/>
                                  <w:szCs w:val="18"/>
                                  <w:lang w:eastAsia="zh-CN"/>
                                </w:rPr>
                              </w:pPr>
                              <w:r>
                                <w:rPr>
                                  <w:rFonts w:eastAsia="宋体" w:cs="宋体"/>
                                  <w:sz w:val="18"/>
                                  <w:lang w:eastAsia="zh-CN"/>
                                </w:rPr>
                                <w:t>（A.2）触发器无法释放弹簧</w:t>
                              </w:r>
                            </w:p>
                          </w:txbxContent>
                        </wps:txbx>
                        <wps:bodyPr rot="0" vert="horz" wrap="square" lIns="0" tIns="0" rIns="0" bIns="0" anchor="ctr" anchorCtr="0">
                          <a:noAutofit/>
                        </wps:bodyPr>
                      </wps:wsp>
                      <wps:wsp>
                        <wps:cNvPr id="41" name="文本框 2"/>
                        <wps:cNvSpPr txBox="1">
                          <a:spLocks noChangeArrowheads="1"/>
                        </wps:cNvSpPr>
                        <wps:spPr bwMode="auto">
                          <a:xfrm>
                            <a:off x="2647785" y="2393342"/>
                            <a:ext cx="1017766" cy="461175"/>
                          </a:xfrm>
                          <a:prstGeom prst="rect">
                            <a:avLst/>
                          </a:prstGeom>
                          <a:solidFill>
                            <a:srgbClr val="FFFFFF"/>
                          </a:solidFill>
                          <a:ln w="9525">
                            <a:noFill/>
                            <a:miter lim="800000"/>
                          </a:ln>
                        </wps:spPr>
                        <wps:txbx>
                          <w:txbxContent>
                            <w:p w14:paraId="006E02BF">
                              <w:pPr>
                                <w:jc w:val="center"/>
                                <w:rPr>
                                  <w:sz w:val="18"/>
                                  <w:szCs w:val="18"/>
                                </w:rPr>
                              </w:pPr>
                              <w:r>
                                <w:rPr>
                                  <w:rFonts w:eastAsia="宋体" w:cs="宋体"/>
                                  <w:sz w:val="18"/>
                                </w:rPr>
                                <w:t>（A.3）失效模式N</w:t>
                              </w:r>
                            </w:p>
                          </w:txbxContent>
                        </wps:txbx>
                        <wps:bodyPr rot="0" vert="horz" wrap="square" lIns="0" tIns="0" rIns="0" bIns="0" anchor="ctr" anchorCtr="0">
                          <a:noAutofit/>
                        </wps:bodyPr>
                      </wps:wsp>
                      <wps:wsp>
                        <wps:cNvPr id="42" name="文本框 2"/>
                        <wps:cNvSpPr txBox="1">
                          <a:spLocks noChangeArrowheads="1"/>
                        </wps:cNvSpPr>
                        <wps:spPr bwMode="auto">
                          <a:xfrm>
                            <a:off x="0" y="3625795"/>
                            <a:ext cx="1017766" cy="461175"/>
                          </a:xfrm>
                          <a:prstGeom prst="rect">
                            <a:avLst/>
                          </a:prstGeom>
                          <a:solidFill>
                            <a:srgbClr val="FFFFFF"/>
                          </a:solidFill>
                          <a:ln w="9525">
                            <a:noFill/>
                            <a:miter lim="800000"/>
                          </a:ln>
                        </wps:spPr>
                        <wps:txbx>
                          <w:txbxContent>
                            <w:p w14:paraId="298C310F">
                              <w:pPr>
                                <w:jc w:val="center"/>
                                <w:rPr>
                                  <w:sz w:val="18"/>
                                  <w:szCs w:val="18"/>
                                  <w:lang w:eastAsia="zh-CN"/>
                                </w:rPr>
                              </w:pPr>
                              <w:r>
                                <w:rPr>
                                  <w:rFonts w:eastAsia="宋体" w:cs="宋体"/>
                                  <w:sz w:val="18"/>
                                  <w:lang w:eastAsia="zh-CN"/>
                                </w:rPr>
                                <w:t>（A.1.i）主弹簧卡在释放杆上</w:t>
                              </w:r>
                            </w:p>
                          </w:txbxContent>
                        </wps:txbx>
                        <wps:bodyPr rot="0" vert="horz" wrap="square" lIns="0" tIns="0" rIns="0" bIns="0" anchor="ctr" anchorCtr="0">
                          <a:noAutofit/>
                        </wps:bodyPr>
                      </wps:wsp>
                      <wps:wsp>
                        <wps:cNvPr id="43" name="文本框 2"/>
                        <wps:cNvSpPr txBox="1">
                          <a:spLocks noChangeArrowheads="1"/>
                        </wps:cNvSpPr>
                        <wps:spPr bwMode="auto">
                          <a:xfrm>
                            <a:off x="1319917" y="3601941"/>
                            <a:ext cx="1017766" cy="461175"/>
                          </a:xfrm>
                          <a:prstGeom prst="rect">
                            <a:avLst/>
                          </a:prstGeom>
                          <a:solidFill>
                            <a:srgbClr val="FFFFFF"/>
                          </a:solidFill>
                          <a:ln w="9525">
                            <a:noFill/>
                            <a:miter lim="800000"/>
                          </a:ln>
                        </wps:spPr>
                        <wps:txbx>
                          <w:txbxContent>
                            <w:p w14:paraId="5B378A3D">
                              <w:pPr>
                                <w:jc w:val="center"/>
                                <w:rPr>
                                  <w:sz w:val="18"/>
                                  <w:szCs w:val="18"/>
                                </w:rPr>
                              </w:pPr>
                              <w:r>
                                <w:rPr>
                                  <w:rFonts w:eastAsia="宋体" w:cs="宋体"/>
                                  <w:sz w:val="18"/>
                                </w:rPr>
                                <w:t>（A.1.ii.）基本事件N</w:t>
                              </w:r>
                            </w:p>
                          </w:txbxContent>
                        </wps:txbx>
                        <wps:bodyPr rot="0" vert="horz" wrap="square" lIns="0" tIns="0" rIns="0" bIns="0" anchor="ctr" anchorCtr="0">
                          <a:noAutofit/>
                        </wps:bodyPr>
                      </wps:wsp>
                      <wps:wsp>
                        <wps:cNvPr id="45" name="文本框 2"/>
                        <wps:cNvSpPr txBox="1">
                          <a:spLocks noChangeArrowheads="1"/>
                        </wps:cNvSpPr>
                        <wps:spPr bwMode="auto">
                          <a:xfrm>
                            <a:off x="0" y="4850296"/>
                            <a:ext cx="1017766" cy="461175"/>
                          </a:xfrm>
                          <a:prstGeom prst="rect">
                            <a:avLst/>
                          </a:prstGeom>
                          <a:solidFill>
                            <a:srgbClr val="FFFFFF"/>
                          </a:solidFill>
                          <a:ln w="9525">
                            <a:noFill/>
                            <a:miter lim="800000"/>
                          </a:ln>
                        </wps:spPr>
                        <wps:txbx>
                          <w:txbxContent>
                            <w:p w14:paraId="4E64B43B">
                              <w:pPr>
                                <w:jc w:val="center"/>
                                <w:rPr>
                                  <w:sz w:val="18"/>
                                  <w:szCs w:val="18"/>
                                  <w:lang w:eastAsia="zh-CN"/>
                                </w:rPr>
                              </w:pPr>
                              <w:r>
                                <w:rPr>
                                  <w:rFonts w:eastAsia="宋体" w:cs="宋体"/>
                                  <w:sz w:val="18"/>
                                  <w:lang w:eastAsia="zh-CN"/>
                                </w:rPr>
                                <w:t>（A.1.i.a）主弹簧几何形状/尺寸</w:t>
                              </w:r>
                            </w:p>
                          </w:txbxContent>
                        </wps:txbx>
                        <wps:bodyPr rot="0" vert="horz" wrap="square" lIns="0" tIns="0" rIns="0" bIns="0" anchor="ctr" anchorCtr="0">
                          <a:noAutofit/>
                        </wps:bodyPr>
                      </wps:wsp>
                      <wps:wsp>
                        <wps:cNvPr id="46" name="文本框 2"/>
                        <wps:cNvSpPr txBox="1">
                          <a:spLocks noChangeArrowheads="1"/>
                        </wps:cNvSpPr>
                        <wps:spPr bwMode="auto">
                          <a:xfrm>
                            <a:off x="1319917" y="4834393"/>
                            <a:ext cx="1017766" cy="461175"/>
                          </a:xfrm>
                          <a:prstGeom prst="rect">
                            <a:avLst/>
                          </a:prstGeom>
                          <a:solidFill>
                            <a:srgbClr val="FFFFFF"/>
                          </a:solidFill>
                          <a:ln w="9525">
                            <a:noFill/>
                            <a:miter lim="800000"/>
                          </a:ln>
                        </wps:spPr>
                        <wps:txbx>
                          <w:txbxContent>
                            <w:p w14:paraId="5EA0D42A">
                              <w:pPr>
                                <w:jc w:val="center"/>
                                <w:rPr>
                                  <w:sz w:val="18"/>
                                  <w:szCs w:val="18"/>
                                  <w:lang w:eastAsia="zh-CN"/>
                                </w:rPr>
                              </w:pPr>
                              <w:r>
                                <w:rPr>
                                  <w:rFonts w:eastAsia="宋体" w:cs="宋体"/>
                                  <w:sz w:val="18"/>
                                  <w:lang w:eastAsia="zh-CN"/>
                                </w:rPr>
                                <w:t>（A.1.i.b）释放杆几何形状/尺寸</w:t>
                              </w:r>
                            </w:p>
                          </w:txbxContent>
                        </wps:txbx>
                        <wps:bodyPr rot="0" vert="horz" wrap="square" lIns="0" tIns="0" rIns="0" bIns="0" anchor="ctr" anchorCtr="0">
                          <a:noAutofit/>
                        </wps:bodyPr>
                      </wps:wsp>
                      <wps:wsp>
                        <wps:cNvPr id="47" name="文本框 2"/>
                        <wps:cNvSpPr txBox="1">
                          <a:spLocks noChangeArrowheads="1"/>
                        </wps:cNvSpPr>
                        <wps:spPr bwMode="auto">
                          <a:xfrm>
                            <a:off x="389614" y="4269850"/>
                            <a:ext cx="238539" cy="135172"/>
                          </a:xfrm>
                          <a:prstGeom prst="rect">
                            <a:avLst/>
                          </a:prstGeom>
                          <a:solidFill>
                            <a:srgbClr val="FFFFFF"/>
                          </a:solidFill>
                          <a:ln w="9525">
                            <a:noFill/>
                            <a:miter lim="800000"/>
                          </a:ln>
                        </wps:spPr>
                        <wps:txbx>
                          <w:txbxContent>
                            <w:p w14:paraId="01D101C5">
                              <w:pPr>
                                <w:jc w:val="center"/>
                                <w:rPr>
                                  <w:rFonts w:eastAsiaTheme="minorEastAsia"/>
                                  <w:sz w:val="15"/>
                                  <w:szCs w:val="18"/>
                                  <w:lang w:eastAsia="zh-CN"/>
                                </w:rPr>
                              </w:pPr>
                              <w:r>
                                <w:rPr>
                                  <w:rFonts w:eastAsia="宋体" w:cs="宋体"/>
                                  <w:sz w:val="14"/>
                                </w:rPr>
                                <w:t>和</w:t>
                              </w:r>
                            </w:p>
                          </w:txbxContent>
                        </wps:txbx>
                        <wps:bodyPr rot="0" vert="horz" wrap="square" lIns="0" tIns="0" rIns="0" bIns="0" anchor="ctr" anchorCtr="0">
                          <a:noAutofit/>
                        </wps:bodyPr>
                      </wps:wsp>
                      <wps:wsp>
                        <wps:cNvPr id="48" name="文本框 2"/>
                        <wps:cNvSpPr txBox="1">
                          <a:spLocks noChangeArrowheads="1"/>
                        </wps:cNvSpPr>
                        <wps:spPr bwMode="auto">
                          <a:xfrm>
                            <a:off x="389614" y="3021496"/>
                            <a:ext cx="238539" cy="135172"/>
                          </a:xfrm>
                          <a:prstGeom prst="rect">
                            <a:avLst/>
                          </a:prstGeom>
                          <a:solidFill>
                            <a:srgbClr val="FFFFFF"/>
                          </a:solidFill>
                          <a:ln w="9525">
                            <a:noFill/>
                            <a:miter lim="800000"/>
                          </a:ln>
                        </wps:spPr>
                        <wps:txbx>
                          <w:txbxContent>
                            <w:p w14:paraId="3692829B">
                              <w:pPr>
                                <w:jc w:val="center"/>
                                <w:rPr>
                                  <w:rFonts w:eastAsiaTheme="minorEastAsia"/>
                                  <w:sz w:val="15"/>
                                  <w:szCs w:val="18"/>
                                  <w:lang w:eastAsia="zh-CN"/>
                                </w:rPr>
                              </w:pPr>
                              <w:r>
                                <w:rPr>
                                  <w:rFonts w:eastAsia="宋体" w:cs="宋体"/>
                                  <w:sz w:val="14"/>
                                </w:rPr>
                                <w:t>或</w:t>
                              </w:r>
                            </w:p>
                          </w:txbxContent>
                        </wps:txbx>
                        <wps:bodyPr rot="0" vert="horz" wrap="square" lIns="0" tIns="0" rIns="0" bIns="0" anchor="ctr" anchorCtr="0">
                          <a:noAutofit/>
                        </wps:bodyPr>
                      </wps:wsp>
                      <wps:wsp>
                        <wps:cNvPr id="49" name="文本框 2"/>
                        <wps:cNvSpPr txBox="1">
                          <a:spLocks noChangeArrowheads="1"/>
                        </wps:cNvSpPr>
                        <wps:spPr bwMode="auto">
                          <a:xfrm>
                            <a:off x="1709531" y="1773141"/>
                            <a:ext cx="238539" cy="135172"/>
                          </a:xfrm>
                          <a:prstGeom prst="rect">
                            <a:avLst/>
                          </a:prstGeom>
                          <a:solidFill>
                            <a:srgbClr val="FFFFFF"/>
                          </a:solidFill>
                          <a:ln w="9525">
                            <a:noFill/>
                            <a:miter lim="800000"/>
                          </a:ln>
                        </wps:spPr>
                        <wps:txbx>
                          <w:txbxContent>
                            <w:p w14:paraId="4F4DE5D6">
                              <w:pPr>
                                <w:jc w:val="center"/>
                                <w:rPr>
                                  <w:rFonts w:eastAsiaTheme="minorEastAsia"/>
                                  <w:sz w:val="15"/>
                                  <w:szCs w:val="18"/>
                                  <w:lang w:eastAsia="zh-CN"/>
                                </w:rPr>
                              </w:pPr>
                              <w:r>
                                <w:rPr>
                                  <w:rFonts w:eastAsia="宋体" w:cs="宋体"/>
                                  <w:sz w:val="14"/>
                                </w:rPr>
                                <w:t>或</w:t>
                              </w:r>
                            </w:p>
                          </w:txbxContent>
                        </wps:txbx>
                        <wps:bodyPr rot="0" vert="horz" wrap="square" lIns="0" tIns="0" rIns="0" bIns="0" anchor="ctr" anchorCtr="0">
                          <a:noAutofit/>
                        </wps:bodyPr>
                      </wps:wsp>
                      <wps:wsp>
                        <wps:cNvPr id="50" name="文本框 2"/>
                        <wps:cNvSpPr txBox="1">
                          <a:spLocks noChangeArrowheads="1"/>
                        </wps:cNvSpPr>
                        <wps:spPr bwMode="auto">
                          <a:xfrm>
                            <a:off x="3029447" y="580445"/>
                            <a:ext cx="238539" cy="135172"/>
                          </a:xfrm>
                          <a:prstGeom prst="rect">
                            <a:avLst/>
                          </a:prstGeom>
                          <a:solidFill>
                            <a:srgbClr val="FFFFFF"/>
                          </a:solidFill>
                          <a:ln w="9525">
                            <a:noFill/>
                            <a:miter lim="800000"/>
                          </a:ln>
                        </wps:spPr>
                        <wps:txbx>
                          <w:txbxContent>
                            <w:p w14:paraId="459BFCCB">
                              <w:pPr>
                                <w:jc w:val="center"/>
                                <w:rPr>
                                  <w:rFonts w:eastAsiaTheme="minorEastAsia"/>
                                  <w:sz w:val="15"/>
                                  <w:szCs w:val="18"/>
                                  <w:lang w:eastAsia="zh-CN"/>
                                </w:rPr>
                              </w:pPr>
                              <w:r>
                                <w:rPr>
                                  <w:rFonts w:eastAsia="宋体" w:cs="宋体"/>
                                  <w:sz w:val="14"/>
                                </w:rPr>
                                <w:t>或</w:t>
                              </w:r>
                            </w:p>
                          </w:txbxContent>
                        </wps:txbx>
                        <wps:bodyPr rot="0" vert="horz" wrap="square" lIns="0" tIns="0" rIns="0" bIns="0" anchor="ctr" anchorCtr="0">
                          <a:noAutofit/>
                        </wps:bodyPr>
                      </wps:wsp>
                    </wpg:wgp>
                  </a:graphicData>
                </a:graphic>
              </wp:anchor>
            </w:drawing>
          </mc:Choice>
          <mc:Fallback>
            <w:pict>
              <v:group id="_x0000_s1026" o:spid="_x0000_s1026" o:spt="203" style="position:absolute;left:0pt;margin-left:30.5pt;margin-top:12.1pt;height:418.25pt;width:392.55pt;z-index:251659264;mso-width-relative:page;mso-height-relative:page;" coordsize="4985467,5311471" o:gfxdata="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C6YSS7aAAAACQEAAA8AAAAAAAAAAQAg&#10;AAAAIgAAAGRycy9kb3ducmV2LnhtbFBLAQIUABQAAAAIAIdO4kD3vEDvDQQAALAnAAAOAAAAAAAA&#10;AAEAIAAAACkBAABkcnMvZTJvRG9jLnhtbFBLBQYAAAAABgAGAFkBAACoBwAAAAA=&#10;">
                <o:lock v:ext="edit" aspectratio="f"/>
                <v:shape id="文本框 2" o:spid="_x0000_s1026" o:spt="202" type="#_x0000_t202" style="position:absolute;left:2536466;top:0;height:318052;width:1232453;v-text-anchor:middle;" fillcolor="#FFFFFF" filled="t" stroked="f" coordsize="21600,21600" o:gfxdata="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IkzG8AAAA&#10;3A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24A57AD1">
                        <w:pPr>
                          <w:jc w:val="center"/>
                          <w:rPr>
                            <w:sz w:val="18"/>
                            <w:szCs w:val="18"/>
                          </w:rPr>
                        </w:pPr>
                        <w:r>
                          <w:rPr>
                            <w:rFonts w:eastAsia="宋体" w:cs="宋体"/>
                            <w:sz w:val="18"/>
                          </w:rPr>
                          <w:t>注射失败</w:t>
                        </w:r>
                      </w:p>
                    </w:txbxContent>
                  </v:textbox>
                </v:shape>
                <v:shape id="文本框 2" o:spid="_x0000_s1026" o:spt="202" type="#_x0000_t202" style="position:absolute;left:1319917;top:1224501;height:318052;width:1017766;v-text-anchor:middle;" fillcolor="#FFFFFF" filled="t" stroked="f" coordsize="21600,21600" o:gfxdata="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6wIvQAA&#10;ANs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inset="0mm,0mm,0mm,0mm">
                    <w:txbxContent>
                      <w:p w14:paraId="7DADEFDB">
                        <w:pPr>
                          <w:jc w:val="center"/>
                          <w:rPr>
                            <w:sz w:val="18"/>
                            <w:szCs w:val="18"/>
                          </w:rPr>
                        </w:pPr>
                        <w:r>
                          <w:rPr>
                            <w:rFonts w:eastAsia="宋体" w:cs="宋体"/>
                            <w:sz w:val="18"/>
                          </w:rPr>
                          <w:t>（A）触发机制失效</w:t>
                        </w:r>
                      </w:p>
                    </w:txbxContent>
                  </v:textbox>
                </v:shape>
                <v:shape id="文本框 2" o:spid="_x0000_s1026" o:spt="202" type="#_x0000_t202" style="position:absolute;left:2647785;top:1216549;height:318052;width:1017766;v-text-anchor:middle;" fillcolor="#FFFFFF" filled="t" stroked="f" coordsize="21600,21600" o:gfxdata="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FwmTvQAA&#10;ANs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inset="0mm,0mm,0mm,0mm">
                    <w:txbxContent>
                      <w:p w14:paraId="31488E09">
                        <w:pPr>
                          <w:jc w:val="center"/>
                          <w:rPr>
                            <w:sz w:val="18"/>
                            <w:szCs w:val="18"/>
                          </w:rPr>
                        </w:pPr>
                        <w:r>
                          <w:rPr>
                            <w:rFonts w:eastAsia="宋体" w:cs="宋体"/>
                            <w:sz w:val="18"/>
                          </w:rPr>
                          <w:t>（B）针套无法缩回</w:t>
                        </w:r>
                      </w:p>
                    </w:txbxContent>
                  </v:textbox>
                </v:shape>
                <v:shape id="文本框 2" o:spid="_x0000_s1026" o:spt="202" type="#_x0000_t202" style="position:absolute;left:3967701;top:1208598;height:318052;width:1017766;v-text-anchor:middle;" fillcolor="#FFFFFF" filled="t" stroked="f" coordsize="21600,21600" o:gfxdata="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iJ3hugAAANsA&#10;AAAPAAAAAAAAAAEAIAAAACIAAABkcnMvZG93bnJldi54bWxQSwECFAAUAAAACACHTuJAMy8FnjsA&#10;AAA5AAAAEAAAAAAAAAABACAAAAAJAQAAZHJzL3NoYXBleG1sLnhtbFBLBQYAAAAABgAGAFsBAACz&#10;AwAAAAA=&#10;">
                  <v:fill on="t" focussize="0,0"/>
                  <v:stroke on="f" miterlimit="8" joinstyle="miter"/>
                  <v:imagedata o:title=""/>
                  <o:lock v:ext="edit" aspectratio="f"/>
                  <v:textbox inset="0mm,0mm,0mm,0mm">
                    <w:txbxContent>
                      <w:p w14:paraId="3C434F41">
                        <w:pPr>
                          <w:jc w:val="center"/>
                          <w:rPr>
                            <w:sz w:val="18"/>
                            <w:szCs w:val="18"/>
                          </w:rPr>
                        </w:pPr>
                        <w:r>
                          <w:rPr>
                            <w:rFonts w:eastAsia="宋体" w:cs="宋体"/>
                            <w:sz w:val="18"/>
                          </w:rPr>
                          <w:t>（C）失效模式N</w:t>
                        </w:r>
                      </w:p>
                    </w:txbxContent>
                  </v:textbox>
                </v:shape>
                <v:shape id="文本框 2" o:spid="_x0000_s1026" o:spt="202" type="#_x0000_t202" style="position:absolute;left:0;top:2409245;height:461175;width:1017766;v-text-anchor:middle;" fillcolor="#FFFFFF" filled="t" stroked="f" coordsize="21600,21600" o:gfxdata="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EOHq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3F4AFCED">
                        <w:pPr>
                          <w:jc w:val="center"/>
                          <w:rPr>
                            <w:sz w:val="18"/>
                            <w:szCs w:val="18"/>
                            <w:lang w:eastAsia="zh-CN"/>
                          </w:rPr>
                        </w:pPr>
                        <w:r>
                          <w:rPr>
                            <w:rFonts w:eastAsia="宋体" w:cs="宋体"/>
                            <w:sz w:val="18"/>
                            <w:lang w:eastAsia="zh-CN"/>
                          </w:rPr>
                          <w:t>（A.1）高触发力阻止激活</w:t>
                        </w:r>
                      </w:p>
                    </w:txbxContent>
                  </v:textbox>
                </v:shape>
                <v:shape id="文本框 2" o:spid="_x0000_s1026" o:spt="202" type="#_x0000_t202" style="position:absolute;left:1319917;top:2393342;height:461175;width:1017766;v-text-anchor:middle;" fillcolor="#FFFFFF" filled="t" stroked="f" coordsize="21600,21600" o:gfxdata="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44pq5AAAA2w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inset="0mm,0mm,0mm,0mm">
                    <w:txbxContent>
                      <w:p w14:paraId="3AE6F496">
                        <w:pPr>
                          <w:jc w:val="center"/>
                          <w:rPr>
                            <w:sz w:val="18"/>
                            <w:szCs w:val="18"/>
                            <w:lang w:eastAsia="zh-CN"/>
                          </w:rPr>
                        </w:pPr>
                        <w:r>
                          <w:rPr>
                            <w:rFonts w:eastAsia="宋体" w:cs="宋体"/>
                            <w:sz w:val="18"/>
                            <w:lang w:eastAsia="zh-CN"/>
                          </w:rPr>
                          <w:t>（A.2）触发器无法释放弹簧</w:t>
                        </w:r>
                      </w:p>
                    </w:txbxContent>
                  </v:textbox>
                </v:shape>
                <v:shape id="文本框 2" o:spid="_x0000_s1026" o:spt="202" type="#_x0000_t202" style="position:absolute;left:2647785;top:2393342;height:461175;width:1017766;v-text-anchor:middle;" fillcolor="#FFFFFF" filled="t" stroked="f" coordsize="21600,21600" o:gfxdata="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tEcBvQAA&#10;ANs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inset="0mm,0mm,0mm,0mm">
                    <w:txbxContent>
                      <w:p w14:paraId="006E02BF">
                        <w:pPr>
                          <w:jc w:val="center"/>
                          <w:rPr>
                            <w:sz w:val="18"/>
                            <w:szCs w:val="18"/>
                          </w:rPr>
                        </w:pPr>
                        <w:r>
                          <w:rPr>
                            <w:rFonts w:eastAsia="宋体" w:cs="宋体"/>
                            <w:sz w:val="18"/>
                          </w:rPr>
                          <w:t>（A.3）失效模式N</w:t>
                        </w:r>
                      </w:p>
                    </w:txbxContent>
                  </v:textbox>
                </v:shape>
                <v:shape id="文本框 2" o:spid="_x0000_s1026" o:spt="202" type="#_x0000_t202" style="position:absolute;left:0;top:3625795;height:461175;width:1017766;v-text-anchor:middle;" fillcolor="#FFFFFF" filled="t" stroked="f" coordsize="21600,21600" o:gfxdata="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m2Xa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298C310F">
                        <w:pPr>
                          <w:jc w:val="center"/>
                          <w:rPr>
                            <w:sz w:val="18"/>
                            <w:szCs w:val="18"/>
                            <w:lang w:eastAsia="zh-CN"/>
                          </w:rPr>
                        </w:pPr>
                        <w:r>
                          <w:rPr>
                            <w:rFonts w:eastAsia="宋体" w:cs="宋体"/>
                            <w:sz w:val="18"/>
                            <w:lang w:eastAsia="zh-CN"/>
                          </w:rPr>
                          <w:t>（A.1.i）主弹簧卡在释放杆上</w:t>
                        </w:r>
                      </w:p>
                    </w:txbxContent>
                  </v:textbox>
                </v:shape>
                <v:shape id="文本框 2" o:spid="_x0000_s1026" o:spt="202" type="#_x0000_t202" style="position:absolute;left:1319917;top:3601941;height:461175;width:1017766;v-text-anchor:middle;" fillcolor="#FFFFFF" filled="t" stroked="f" coordsize="21600,21600" o:gfxdata="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qfO2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5B378A3D">
                        <w:pPr>
                          <w:jc w:val="center"/>
                          <w:rPr>
                            <w:sz w:val="18"/>
                            <w:szCs w:val="18"/>
                          </w:rPr>
                        </w:pPr>
                        <w:r>
                          <w:rPr>
                            <w:rFonts w:eastAsia="宋体" w:cs="宋体"/>
                            <w:sz w:val="18"/>
                          </w:rPr>
                          <w:t>（A.1.ii.）基本事件N</w:t>
                        </w:r>
                      </w:p>
                    </w:txbxContent>
                  </v:textbox>
                </v:shape>
                <v:shape id="文本框 2" o:spid="_x0000_s1026" o:spt="202" type="#_x0000_t202" style="position:absolute;left:0;top:4850296;height:461175;width:1017766;v-text-anchor:middle;" fillcolor="#FFFFFF" filled="t" stroked="f" coordsize="21600,21600" o:gfxdata="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j0ECvQAA&#10;ANs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inset="0mm,0mm,0mm,0mm">
                    <w:txbxContent>
                      <w:p w14:paraId="4E64B43B">
                        <w:pPr>
                          <w:jc w:val="center"/>
                          <w:rPr>
                            <w:sz w:val="18"/>
                            <w:szCs w:val="18"/>
                            <w:lang w:eastAsia="zh-CN"/>
                          </w:rPr>
                        </w:pPr>
                        <w:r>
                          <w:rPr>
                            <w:rFonts w:eastAsia="宋体" w:cs="宋体"/>
                            <w:sz w:val="18"/>
                            <w:lang w:eastAsia="zh-CN"/>
                          </w:rPr>
                          <w:t>（A.1.i.a）主弹簧几何形状/尺寸</w:t>
                        </w:r>
                      </w:p>
                    </w:txbxContent>
                  </v:textbox>
                </v:shape>
                <v:shape id="文本框 2" o:spid="_x0000_s1026" o:spt="202" type="#_x0000_t202" style="position:absolute;left:1319917;top:4834393;height:461175;width:1017766;v-text-anchor:middle;" fillcolor="#FFFFFF" filled="t" stroked="f" coordsize="21600,21600" o:gfxdata="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d33W8AAAA&#10;2w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inset="0mm,0mm,0mm,0mm">
                    <w:txbxContent>
                      <w:p w14:paraId="5EA0D42A">
                        <w:pPr>
                          <w:jc w:val="center"/>
                          <w:rPr>
                            <w:sz w:val="18"/>
                            <w:szCs w:val="18"/>
                            <w:lang w:eastAsia="zh-CN"/>
                          </w:rPr>
                        </w:pPr>
                        <w:r>
                          <w:rPr>
                            <w:rFonts w:eastAsia="宋体" w:cs="宋体"/>
                            <w:sz w:val="18"/>
                            <w:lang w:eastAsia="zh-CN"/>
                          </w:rPr>
                          <w:t>（A.1.i.b）释放杆几何形状/尺寸</w:t>
                        </w:r>
                      </w:p>
                    </w:txbxContent>
                  </v:textbox>
                </v:shape>
                <v:shape id="文本框 2" o:spid="_x0000_s1026" o:spt="202" type="#_x0000_t202" style="position:absolute;left:389614;top:4269850;height:135172;width:238539;v-text-anchor:middle;" fillcolor="#FFFFFF" filled="t" stroked="f" coordsize="21600,21600" o:gfxdata="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XruvQAA&#10;ANs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inset="0mm,0mm,0mm,0mm">
                    <w:txbxContent>
                      <w:p w14:paraId="01D101C5">
                        <w:pPr>
                          <w:jc w:val="center"/>
                          <w:rPr>
                            <w:rFonts w:eastAsiaTheme="minorEastAsia"/>
                            <w:sz w:val="15"/>
                            <w:szCs w:val="18"/>
                            <w:lang w:eastAsia="zh-CN"/>
                          </w:rPr>
                        </w:pPr>
                        <w:r>
                          <w:rPr>
                            <w:rFonts w:eastAsia="宋体" w:cs="宋体"/>
                            <w:sz w:val="14"/>
                          </w:rPr>
                          <w:t>和</w:t>
                        </w:r>
                      </w:p>
                    </w:txbxContent>
                  </v:textbox>
                </v:shape>
                <v:shape id="文本框 2" o:spid="_x0000_s1026" o:spt="202" type="#_x0000_t202" style="position:absolute;left:389614;top:3021496;height:135172;width:238539;v-text-anchor:middle;" fillcolor="#FFFFFF" filled="t" stroked="f" coordsize="21600,21600" o:gfxdata="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2O7py5AAAA2w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inset="0mm,0mm,0mm,0mm">
                    <w:txbxContent>
                      <w:p w14:paraId="3692829B">
                        <w:pPr>
                          <w:jc w:val="center"/>
                          <w:rPr>
                            <w:rFonts w:eastAsiaTheme="minorEastAsia"/>
                            <w:sz w:val="15"/>
                            <w:szCs w:val="18"/>
                            <w:lang w:eastAsia="zh-CN"/>
                          </w:rPr>
                        </w:pPr>
                        <w:r>
                          <w:rPr>
                            <w:rFonts w:eastAsia="宋体" w:cs="宋体"/>
                            <w:sz w:val="14"/>
                          </w:rPr>
                          <w:t>或</w:t>
                        </w:r>
                      </w:p>
                    </w:txbxContent>
                  </v:textbox>
                </v:shape>
                <v:shape id="文本框 2" o:spid="_x0000_s1026" o:spt="202" type="#_x0000_t202" style="position:absolute;left:1709531;top:1773141;height:135172;width:238539;v-text-anchor:middle;" fillcolor="#FFFFFF" filled="t" stroked="f" coordsize="21600,21600" o:gfxdata="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wksHvQAA&#10;ANs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inset="0mm,0mm,0mm,0mm">
                    <w:txbxContent>
                      <w:p w14:paraId="4F4DE5D6">
                        <w:pPr>
                          <w:jc w:val="center"/>
                          <w:rPr>
                            <w:rFonts w:eastAsiaTheme="minorEastAsia"/>
                            <w:sz w:val="15"/>
                            <w:szCs w:val="18"/>
                            <w:lang w:eastAsia="zh-CN"/>
                          </w:rPr>
                        </w:pPr>
                        <w:r>
                          <w:rPr>
                            <w:rFonts w:eastAsia="宋体" w:cs="宋体"/>
                            <w:sz w:val="14"/>
                          </w:rPr>
                          <w:t>或</w:t>
                        </w:r>
                      </w:p>
                    </w:txbxContent>
                  </v:textbox>
                </v:shape>
                <v:shape id="文本框 2" o:spid="_x0000_s1026" o:spt="202" type="#_x0000_t202" style="position:absolute;left:3029447;top:580445;height:135172;width:238539;v-text-anchor:middle;" fillcolor="#FFFFFF" filled="t" stroked="f" coordsize="21600,21600" o:gfxdata="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hdEe5AAAA2w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inset="0mm,0mm,0mm,0mm">
                    <w:txbxContent>
                      <w:p w14:paraId="459BFCCB">
                        <w:pPr>
                          <w:jc w:val="center"/>
                          <w:rPr>
                            <w:rFonts w:eastAsiaTheme="minorEastAsia"/>
                            <w:sz w:val="15"/>
                            <w:szCs w:val="18"/>
                            <w:lang w:eastAsia="zh-CN"/>
                          </w:rPr>
                        </w:pPr>
                        <w:r>
                          <w:rPr>
                            <w:rFonts w:eastAsia="宋体" w:cs="宋体"/>
                            <w:sz w:val="14"/>
                          </w:rPr>
                          <w:t>或</w:t>
                        </w:r>
                      </w:p>
                    </w:txbxContent>
                  </v:textbox>
                </v:shape>
              </v:group>
            </w:pict>
          </mc:Fallback>
        </mc:AlternateContent>
      </w:r>
      <w:r>
        <w:rPr>
          <w:rFonts w:eastAsia="宋体" w:cs="宋体"/>
          <w:sz w:val="21"/>
          <w:lang w:eastAsia="zh-CN" w:bidi="ar-SA"/>
        </w:rPr>
        <w:drawing>
          <wp:inline distT="0" distB="0" distL="0" distR="0">
            <wp:extent cx="5031105" cy="5518150"/>
            <wp:effectExtent l="0" t="0" r="0" b="63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31522" cy="5518534"/>
                    </a:xfrm>
                    <a:prstGeom prst="rect">
                      <a:avLst/>
                    </a:prstGeom>
                  </pic:spPr>
                </pic:pic>
              </a:graphicData>
            </a:graphic>
          </wp:inline>
        </w:drawing>
      </w:r>
    </w:p>
    <w:p w14:paraId="26820088">
      <w:pPr>
        <w:adjustRightInd w:val="0"/>
        <w:snapToGrid w:val="0"/>
        <w:spacing w:before="120" w:beforeLines="50" w:line="300" w:lineRule="auto"/>
        <w:jc w:val="center"/>
        <w:rPr>
          <w:rFonts w:hint="eastAsia" w:eastAsia="宋体"/>
          <w:lang w:eastAsia="zh-CN"/>
        </w:rPr>
      </w:pPr>
    </w:p>
    <w:p w14:paraId="7BA99D04">
      <w:pPr>
        <w:adjustRightInd w:val="0"/>
        <w:snapToGrid w:val="0"/>
        <w:spacing w:before="120" w:beforeLines="50" w:line="300" w:lineRule="auto"/>
        <w:jc w:val="center"/>
        <w:rPr>
          <w:rFonts w:hint="eastAsia" w:eastAsia="宋体"/>
          <w:lang w:eastAsia="zh-CN"/>
        </w:rPr>
      </w:pPr>
    </w:p>
    <w:p w14:paraId="27D45C04">
      <w:pP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7" w:h="16840"/>
      <w:pgMar w:top="1418" w:right="1418" w:bottom="1418" w:left="1418" w:header="720" w:footer="720"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13656">
    <w:pPr>
      <w:pStyle w:val="6"/>
      <w:jc w:val="right"/>
    </w:pPr>
    <w:r>
      <w:fldChar w:fldCharType="begin"/>
    </w:r>
    <w:r>
      <w:instrText xml:space="preserve">PAGE   \* MERGEFORMAT</w:instrText>
    </w:r>
    <w:r>
      <w:fldChar w:fldCharType="separate"/>
    </w:r>
    <w:r>
      <w:rPr>
        <w:lang w:val="zh-CN" w:eastAsia="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5E6B">
    <w:pPr>
      <w:pStyle w:val="6"/>
      <w:jc w:val="right"/>
    </w:pPr>
    <w:r>
      <w:fldChar w:fldCharType="begin"/>
    </w:r>
    <w:r>
      <w:instrText xml:space="preserve">PAGE   \* MERGEFORMAT</w:instrText>
    </w:r>
    <w:r>
      <w:fldChar w:fldCharType="separate"/>
    </w:r>
    <w:r>
      <w:rPr>
        <w:lang w:val="zh-CN" w:eastAsia="zh-CN"/>
      </w:rP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F67A">
    <w:pPr>
      <w:jc w:val="center"/>
      <w:rPr>
        <w:rFonts w:eastAsiaTheme="minorEastAsia"/>
        <w:b/>
        <w:bCs/>
        <w:sz w:val="21"/>
        <w:szCs w:val="21"/>
        <w:lang w:eastAsia="zh-CN"/>
      </w:rPr>
    </w:pPr>
    <w:r>
      <w:rPr>
        <w:rFonts w:hint="eastAsia" w:eastAsia="宋体" w:cs="宋体"/>
        <w:b/>
        <w:sz w:val="21"/>
        <w:lang w:eastAsia="zh-CN"/>
      </w:rPr>
      <w:t>所含建议不具约束力</w:t>
    </w:r>
  </w:p>
  <w:p w14:paraId="65C88135">
    <w:pPr>
      <w:jc w:val="center"/>
      <w:rPr>
        <w:rFonts w:eastAsiaTheme="minorEastAsia"/>
        <w:b/>
        <w:bCs/>
        <w:sz w:val="21"/>
        <w:szCs w:val="21"/>
        <w:lang w:eastAsia="zh-CN"/>
      </w:rPr>
    </w:pPr>
  </w:p>
  <w:p w14:paraId="5811B4C1">
    <w:pPr>
      <w:jc w:val="center"/>
      <w:rPr>
        <w:rFonts w:eastAsiaTheme="minorEastAsia"/>
        <w:i/>
        <w:iCs/>
        <w:sz w:val="21"/>
        <w:szCs w:val="21"/>
        <w:lang w:eastAsia="zh-CN"/>
      </w:rPr>
    </w:pPr>
    <w:r>
      <w:rPr>
        <w:rFonts w:eastAsia="宋体" w:cs="宋体"/>
        <w:i/>
        <w:sz w:val="21"/>
        <w:lang w:eastAsia="zh-CN"/>
      </w:rPr>
      <w:t>草案 – 非执行版</w:t>
    </w:r>
  </w:p>
  <w:p w14:paraId="3A503C89">
    <w:pPr>
      <w:jc w:val="center"/>
      <w:rPr>
        <w:rFonts w:eastAsiaTheme="minorEastAsia"/>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853F9"/>
    <w:multiLevelType w:val="multilevel"/>
    <w:tmpl w:val="00A853F9"/>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9C01C9"/>
    <w:multiLevelType w:val="multilevel"/>
    <w:tmpl w:val="089C01C9"/>
    <w:lvl w:ilvl="0" w:tentative="0">
      <w:start w:val="1"/>
      <w:numFmt w:val="bullet"/>
      <w:lvlText w:val=""/>
      <w:lvlJc w:val="left"/>
      <w:pPr>
        <w:ind w:left="420" w:hanging="420"/>
      </w:pPr>
      <w:rPr>
        <w:rFonts w:hint="default" w:ascii="Wingdings 2" w:hAnsi="Wingdings 2"/>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2590A14"/>
    <w:multiLevelType w:val="multilevel"/>
    <w:tmpl w:val="12590A14"/>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6501DDB"/>
    <w:multiLevelType w:val="multilevel"/>
    <w:tmpl w:val="16501DDB"/>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68F33DB"/>
    <w:multiLevelType w:val="multilevel"/>
    <w:tmpl w:val="168F33D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1B14313"/>
    <w:multiLevelType w:val="multilevel"/>
    <w:tmpl w:val="21B14313"/>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Times New Roman" w:hAnsi="Times New Roman" w:eastAsia="Symbol"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2F00242"/>
    <w:multiLevelType w:val="multilevel"/>
    <w:tmpl w:val="22F00242"/>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70F11D6"/>
    <w:multiLevelType w:val="multilevel"/>
    <w:tmpl w:val="270F11D6"/>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7720BC9"/>
    <w:multiLevelType w:val="multilevel"/>
    <w:tmpl w:val="27720BC9"/>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9AC7543"/>
    <w:multiLevelType w:val="multilevel"/>
    <w:tmpl w:val="29AC7543"/>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FE3611A"/>
    <w:multiLevelType w:val="multilevel"/>
    <w:tmpl w:val="2FE3611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27D23B9"/>
    <w:multiLevelType w:val="multilevel"/>
    <w:tmpl w:val="327D23B9"/>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Times New Roman" w:hAnsi="Times New Roman" w:eastAsia="Symbol"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2937C02"/>
    <w:multiLevelType w:val="multilevel"/>
    <w:tmpl w:val="32937C02"/>
    <w:lvl w:ilvl="0" w:tentative="0">
      <w:start w:val="1"/>
      <w:numFmt w:val="decimal"/>
      <w:lvlText w:val="%1."/>
      <w:lvlJc w:val="left"/>
      <w:pPr>
        <w:ind w:left="420" w:hanging="420"/>
      </w:pPr>
    </w:lvl>
    <w:lvl w:ilvl="1" w:tentative="0">
      <w:start w:val="0"/>
      <w:numFmt w:val="bullet"/>
      <w:lvlText w:val="•"/>
      <w:lvlJc w:val="left"/>
      <w:pPr>
        <w:ind w:left="840" w:hanging="420"/>
      </w:pPr>
      <w:rPr>
        <w:rFonts w:hint="default"/>
        <w:lang w:val="en-US" w:eastAsia="en-US" w:bidi="en-U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B9E6756"/>
    <w:multiLevelType w:val="multilevel"/>
    <w:tmpl w:val="3B9E6756"/>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F653E59"/>
    <w:multiLevelType w:val="multilevel"/>
    <w:tmpl w:val="3F653E59"/>
    <w:lvl w:ilvl="0" w:tentative="0">
      <w:start w:val="0"/>
      <w:numFmt w:val="bullet"/>
      <w:lvlText w:val="•"/>
      <w:lvlJc w:val="left"/>
      <w:pPr>
        <w:ind w:left="840" w:hanging="420"/>
      </w:pPr>
      <w:rPr>
        <w:rFonts w:hint="default"/>
        <w:lang w:val="en-US" w:eastAsia="en-US" w:bidi="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470417F8"/>
    <w:multiLevelType w:val="multilevel"/>
    <w:tmpl w:val="470417F8"/>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90B4859"/>
    <w:multiLevelType w:val="multilevel"/>
    <w:tmpl w:val="590B4859"/>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DDA3310"/>
    <w:multiLevelType w:val="multilevel"/>
    <w:tmpl w:val="5DDA3310"/>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F231B1A"/>
    <w:multiLevelType w:val="multilevel"/>
    <w:tmpl w:val="5F231B1A"/>
    <w:lvl w:ilvl="0" w:tentative="0">
      <w:start w:val="0"/>
      <w:numFmt w:val="bullet"/>
      <w:lvlText w:val="•"/>
      <w:lvlJc w:val="left"/>
      <w:pPr>
        <w:ind w:left="840" w:hanging="420"/>
      </w:pPr>
      <w:rPr>
        <w:rFonts w:hint="default"/>
        <w:lang w:val="en-US" w:eastAsia="en-US" w:bidi="en-US"/>
      </w:rPr>
    </w:lvl>
    <w:lvl w:ilvl="1" w:tentative="0">
      <w:start w:val="0"/>
      <w:numFmt w:val="bullet"/>
      <w:lvlText w:val="•"/>
      <w:lvlJc w:val="left"/>
      <w:pPr>
        <w:ind w:left="1260" w:hanging="420"/>
      </w:pPr>
      <w:rPr>
        <w:rFonts w:hint="default"/>
        <w:lang w:val="en-US" w:eastAsia="en-US" w:bidi="en-U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6C9901E6"/>
    <w:multiLevelType w:val="multilevel"/>
    <w:tmpl w:val="6C9901E6"/>
    <w:lvl w:ilvl="0" w:tentative="0">
      <w:start w:val="0"/>
      <w:numFmt w:val="bullet"/>
      <w:lvlText w:val="•"/>
      <w:lvlJc w:val="left"/>
      <w:pPr>
        <w:ind w:left="840" w:hanging="420"/>
      </w:pPr>
      <w:rPr>
        <w:rFonts w:hint="default"/>
        <w:lang w:val="en-US" w:eastAsia="en-US" w:bidi="en-US"/>
      </w:rPr>
    </w:lvl>
    <w:lvl w:ilvl="1" w:tentative="0">
      <w:start w:val="0"/>
      <w:numFmt w:val="bullet"/>
      <w:lvlText w:val="•"/>
      <w:lvlJc w:val="left"/>
      <w:pPr>
        <w:ind w:left="1260" w:hanging="420"/>
      </w:pPr>
      <w:rPr>
        <w:rFonts w:hint="default"/>
        <w:lang w:val="en-US" w:eastAsia="en-US" w:bidi="en-U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6D145CA1"/>
    <w:multiLevelType w:val="multilevel"/>
    <w:tmpl w:val="6D145CA1"/>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D395F98"/>
    <w:multiLevelType w:val="multilevel"/>
    <w:tmpl w:val="6D395F98"/>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3206230"/>
    <w:multiLevelType w:val="multilevel"/>
    <w:tmpl w:val="73206230"/>
    <w:lvl w:ilvl="0" w:tentative="0">
      <w:start w:val="0"/>
      <w:numFmt w:val="bullet"/>
      <w:lvlText w:val="•"/>
      <w:lvlJc w:val="left"/>
      <w:pPr>
        <w:ind w:left="840" w:hanging="420"/>
      </w:pPr>
      <w:rPr>
        <w:rFonts w:hint="default"/>
        <w:lang w:val="en-US" w:eastAsia="en-US" w:bidi="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743F694E"/>
    <w:multiLevelType w:val="multilevel"/>
    <w:tmpl w:val="743F694E"/>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5CE3F45"/>
    <w:multiLevelType w:val="multilevel"/>
    <w:tmpl w:val="75CE3F45"/>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62E0B1D"/>
    <w:multiLevelType w:val="multilevel"/>
    <w:tmpl w:val="762E0B1D"/>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78E52DBA"/>
    <w:multiLevelType w:val="multilevel"/>
    <w:tmpl w:val="78E52DBA"/>
    <w:lvl w:ilvl="0" w:tentative="0">
      <w:start w:val="0"/>
      <w:numFmt w:val="bullet"/>
      <w:lvlText w:val="•"/>
      <w:lvlJc w:val="left"/>
      <w:pPr>
        <w:ind w:left="840" w:hanging="420"/>
      </w:pPr>
      <w:rPr>
        <w:rFonts w:hint="default"/>
        <w:lang w:val="en-US" w:eastAsia="en-US" w:bidi="en-US"/>
      </w:rPr>
    </w:lvl>
    <w:lvl w:ilvl="1" w:tentative="0">
      <w:start w:val="0"/>
      <w:numFmt w:val="bullet"/>
      <w:lvlText w:val="•"/>
      <w:lvlJc w:val="left"/>
      <w:pPr>
        <w:ind w:left="1260" w:hanging="420"/>
      </w:pPr>
      <w:rPr>
        <w:rFonts w:hint="default"/>
        <w:lang w:val="en-US" w:eastAsia="en-US" w:bidi="en-U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7CAC13BF"/>
    <w:multiLevelType w:val="multilevel"/>
    <w:tmpl w:val="7CAC13BF"/>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E0027EC"/>
    <w:multiLevelType w:val="multilevel"/>
    <w:tmpl w:val="7E0027EC"/>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3"/>
  </w:num>
  <w:num w:numId="2">
    <w:abstractNumId w:val="10"/>
  </w:num>
  <w:num w:numId="3">
    <w:abstractNumId w:val="5"/>
  </w:num>
  <w:num w:numId="4">
    <w:abstractNumId w:val="21"/>
  </w:num>
  <w:num w:numId="5">
    <w:abstractNumId w:val="7"/>
  </w:num>
  <w:num w:numId="6">
    <w:abstractNumId w:val="24"/>
  </w:num>
  <w:num w:numId="7">
    <w:abstractNumId w:val="3"/>
  </w:num>
  <w:num w:numId="8">
    <w:abstractNumId w:val="9"/>
  </w:num>
  <w:num w:numId="9">
    <w:abstractNumId w:val="1"/>
  </w:num>
  <w:num w:numId="10">
    <w:abstractNumId w:val="27"/>
  </w:num>
  <w:num w:numId="11">
    <w:abstractNumId w:val="4"/>
  </w:num>
  <w:num w:numId="12">
    <w:abstractNumId w:val="26"/>
  </w:num>
  <w:num w:numId="13">
    <w:abstractNumId w:val="17"/>
  </w:num>
  <w:num w:numId="14">
    <w:abstractNumId w:val="15"/>
  </w:num>
  <w:num w:numId="15">
    <w:abstractNumId w:val="28"/>
  </w:num>
  <w:num w:numId="16">
    <w:abstractNumId w:val="0"/>
  </w:num>
  <w:num w:numId="17">
    <w:abstractNumId w:val="11"/>
  </w:num>
  <w:num w:numId="18">
    <w:abstractNumId w:val="2"/>
  </w:num>
  <w:num w:numId="19">
    <w:abstractNumId w:val="18"/>
  </w:num>
  <w:num w:numId="20">
    <w:abstractNumId w:val="12"/>
  </w:num>
  <w:num w:numId="21">
    <w:abstractNumId w:val="23"/>
  </w:num>
  <w:num w:numId="22">
    <w:abstractNumId w:val="8"/>
  </w:num>
  <w:num w:numId="23">
    <w:abstractNumId w:val="22"/>
  </w:num>
  <w:num w:numId="24">
    <w:abstractNumId w:val="25"/>
  </w:num>
  <w:num w:numId="25">
    <w:abstractNumId w:val="19"/>
  </w:num>
  <w:num w:numId="26">
    <w:abstractNumId w:val="14"/>
  </w:num>
  <w:num w:numId="27">
    <w:abstractNumId w:val="16"/>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8EB"/>
    <w:rsid w:val="00000AC3"/>
    <w:rsid w:val="00027626"/>
    <w:rsid w:val="0003660B"/>
    <w:rsid w:val="00085F7F"/>
    <w:rsid w:val="000A219C"/>
    <w:rsid w:val="000C7CFF"/>
    <w:rsid w:val="00133B81"/>
    <w:rsid w:val="001639B1"/>
    <w:rsid w:val="001846E9"/>
    <w:rsid w:val="0018484F"/>
    <w:rsid w:val="001C16A2"/>
    <w:rsid w:val="001F6E46"/>
    <w:rsid w:val="0025239F"/>
    <w:rsid w:val="00276BF5"/>
    <w:rsid w:val="002C01A0"/>
    <w:rsid w:val="00346AAD"/>
    <w:rsid w:val="00357FAD"/>
    <w:rsid w:val="003B7A86"/>
    <w:rsid w:val="003C3FAE"/>
    <w:rsid w:val="00401B95"/>
    <w:rsid w:val="00405921"/>
    <w:rsid w:val="0050701B"/>
    <w:rsid w:val="0051376E"/>
    <w:rsid w:val="00546F44"/>
    <w:rsid w:val="00613BA8"/>
    <w:rsid w:val="006443A9"/>
    <w:rsid w:val="0065147D"/>
    <w:rsid w:val="00672D82"/>
    <w:rsid w:val="00683AE6"/>
    <w:rsid w:val="006B3D86"/>
    <w:rsid w:val="006D0B04"/>
    <w:rsid w:val="00723E10"/>
    <w:rsid w:val="00725AEC"/>
    <w:rsid w:val="0074479A"/>
    <w:rsid w:val="00790901"/>
    <w:rsid w:val="00797CA2"/>
    <w:rsid w:val="007B75AB"/>
    <w:rsid w:val="007D03F8"/>
    <w:rsid w:val="007D0A4D"/>
    <w:rsid w:val="008111DB"/>
    <w:rsid w:val="008328D5"/>
    <w:rsid w:val="00837CD0"/>
    <w:rsid w:val="008E6FC0"/>
    <w:rsid w:val="009015E2"/>
    <w:rsid w:val="00957C39"/>
    <w:rsid w:val="00A121D9"/>
    <w:rsid w:val="00AA7718"/>
    <w:rsid w:val="00B113EF"/>
    <w:rsid w:val="00B87EE0"/>
    <w:rsid w:val="00BC4C6E"/>
    <w:rsid w:val="00BD73EC"/>
    <w:rsid w:val="00C25025"/>
    <w:rsid w:val="00C55383"/>
    <w:rsid w:val="00C911EC"/>
    <w:rsid w:val="00CC4842"/>
    <w:rsid w:val="00D03581"/>
    <w:rsid w:val="00D277DA"/>
    <w:rsid w:val="00D71BEB"/>
    <w:rsid w:val="00D942E6"/>
    <w:rsid w:val="00EA58EB"/>
    <w:rsid w:val="00EC23A9"/>
    <w:rsid w:val="00EC490F"/>
    <w:rsid w:val="00F414F2"/>
    <w:rsid w:val="00F63E6C"/>
    <w:rsid w:val="00FC0148"/>
    <w:rsid w:val="00FD6482"/>
    <w:rsid w:val="00FE5DF9"/>
    <w:rsid w:val="00FF00D0"/>
    <w:rsid w:val="43F4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1879" w:hanging="725"/>
      <w:outlineLvl w:val="0"/>
    </w:pPr>
    <w:rPr>
      <w:sz w:val="28"/>
      <w:szCs w:val="28"/>
    </w:rPr>
  </w:style>
  <w:style w:type="paragraph" w:styleId="3">
    <w:name w:val="heading 2"/>
    <w:basedOn w:val="1"/>
    <w:qFormat/>
    <w:uiPriority w:val="1"/>
    <w:pPr>
      <w:ind w:left="475" w:right="499"/>
      <w:jc w:val="center"/>
      <w:outlineLvl w:val="1"/>
    </w:pPr>
    <w:rPr>
      <w:b/>
      <w:bCs/>
      <w:sz w:val="24"/>
      <w:szCs w:val="2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39"/>
    <w:pPr>
      <w:spacing w:before="148"/>
      <w:ind w:left="1460" w:hanging="661"/>
    </w:pPr>
    <w:rPr>
      <w:sz w:val="28"/>
      <w:szCs w:val="28"/>
    </w:rPr>
  </w:style>
  <w:style w:type="character" w:styleId="11">
    <w:name w:val="Hyperlink"/>
    <w:basedOn w:val="10"/>
    <w:unhideWhenUsed/>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520" w:hanging="360"/>
    </w:pPr>
  </w:style>
  <w:style w:type="paragraph" w:customStyle="1" w:styleId="14">
    <w:name w:val="Table Paragraph"/>
    <w:basedOn w:val="1"/>
    <w:qFormat/>
    <w:uiPriority w:val="1"/>
    <w:pPr>
      <w:ind w:left="425"/>
    </w:pPr>
  </w:style>
  <w:style w:type="character" w:customStyle="1" w:styleId="15">
    <w:name w:val="页眉 Char"/>
    <w:basedOn w:val="10"/>
    <w:link w:val="7"/>
    <w:qFormat/>
    <w:uiPriority w:val="99"/>
    <w:rPr>
      <w:rFonts w:ascii="Times New Roman" w:hAnsi="Times New Roman" w:eastAsia="Times New Roman" w:cs="Times New Roman"/>
      <w:sz w:val="18"/>
      <w:szCs w:val="18"/>
      <w:lang w:bidi="en-US"/>
    </w:rPr>
  </w:style>
  <w:style w:type="character" w:customStyle="1" w:styleId="16">
    <w:name w:val="页脚 Char"/>
    <w:basedOn w:val="10"/>
    <w:link w:val="6"/>
    <w:uiPriority w:val="99"/>
    <w:rPr>
      <w:rFonts w:ascii="Times New Roman" w:hAnsi="Times New Roman" w:eastAsia="Times New Roman" w:cs="Times New Roman"/>
      <w:sz w:val="18"/>
      <w:szCs w:val="18"/>
      <w:lang w:bidi="en-US"/>
    </w:rPr>
  </w:style>
  <w:style w:type="character" w:customStyle="1" w:styleId="17">
    <w:name w:val="批注框文本 Char"/>
    <w:basedOn w:val="10"/>
    <w:link w:val="5"/>
    <w:semiHidden/>
    <w:qFormat/>
    <w:uiPriority w:val="99"/>
    <w:rPr>
      <w:rFonts w:ascii="Times New Roman" w:hAnsi="Times New Roman" w:eastAsia="Times New Roman" w:cs="Times New Roman"/>
      <w:sz w:val="18"/>
      <w:szCs w:val="18"/>
      <w:lang w:bidi="en-US"/>
    </w:rPr>
  </w:style>
  <w:style w:type="paragraph" w:customStyle="1" w:styleId="18">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55A71-983A-48BF-8E7C-2C2ACE778E17}">
  <ds:schemaRefs/>
</ds:datastoreItem>
</file>

<file path=docProps/app.xml><?xml version="1.0" encoding="utf-8"?>
<Properties xmlns="http://schemas.openxmlformats.org/officeDocument/2006/extended-properties" xmlns:vt="http://schemas.openxmlformats.org/officeDocument/2006/docPropsVTypes">
  <Template>Normal</Template>
  <Pages>21</Pages>
  <Words>12978</Words>
  <Characters>17077</Characters>
  <Lines>128</Lines>
  <Paragraphs>36</Paragraphs>
  <TotalTime>475</TotalTime>
  <ScaleCrop>false</ScaleCrop>
  <LinksUpToDate>false</LinksUpToDate>
  <CharactersWithSpaces>17319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2021-11-10T09:25:00Z</dcterms:created>
  <dc:creator>Food and Drug Administration</dc:creator>
  <cp:lastModifiedBy>太极箫客</cp:lastModifiedBy>
  <cp:lastPrinted>2021-11-10T08:06:00Z</cp:lastPrinted>
  <dcterms:modified xsi:type="dcterms:W3CDTF">2025-08-14T06:59:12Z</dcterms:modified>
  <dc:subject>Technical Considerations for Demonstrating Reliability of Emergency-Use Injectors Submitted under a BLA, NDA or ANDA</dc:subject>
  <dc:title>Technical Considerations for Demonstrating Reliability of Emergency-Use Injectors Submitted under a BLA, NDA or ANDA</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17 for Word</vt:lpwstr>
  </property>
  <property fmtid="{D5CDD505-2E9C-101B-9397-08002B2CF9AE}" pid="4" name="LastSaved">
    <vt:filetime>2021-11-09T00:00:00Z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9874C25FA422438F9D8872948AF7EBEF_12</vt:lpwstr>
  </property>
</Properties>
</file>