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B83CB">
      <w:pPr>
        <w:pStyle w:val="16"/>
        <w:pBdr>
          <w:bottom w:val="single" w:color="auto" w:sz="6" w:space="1"/>
        </w:pBdr>
        <w:jc w:val="center"/>
        <w:rPr>
          <w:rFonts w:eastAsia="宋体"/>
          <w:sz w:val="60"/>
          <w:szCs w:val="60"/>
        </w:rPr>
      </w:pPr>
      <w:bookmarkStart w:id="18" w:name="_GoBack"/>
      <w:bookmarkEnd w:id="18"/>
      <w:r>
        <w:rPr>
          <w:rFonts w:eastAsia="宋体"/>
          <w:b/>
          <w:bCs/>
          <w:sz w:val="60"/>
          <w:szCs w:val="60"/>
        </w:rPr>
        <w:t>根据最小负担条款制定和答复补正资料</w:t>
      </w:r>
    </w:p>
    <w:p w14:paraId="0CABED73">
      <w:pPr>
        <w:pStyle w:val="16"/>
        <w:jc w:val="center"/>
        <w:rPr>
          <w:rFonts w:eastAsia="宋体"/>
          <w:sz w:val="56"/>
          <w:szCs w:val="56"/>
        </w:rPr>
      </w:pPr>
      <w:r>
        <w:rPr>
          <w:rFonts w:eastAsia="宋体"/>
          <w:b/>
          <w:bCs/>
          <w:sz w:val="56"/>
          <w:szCs w:val="56"/>
        </w:rPr>
        <w:t>行业和美国食品药品监督管理局工作人员指南</w:t>
      </w:r>
    </w:p>
    <w:p w14:paraId="3AC0FB11">
      <w:pPr>
        <w:pStyle w:val="16"/>
        <w:jc w:val="center"/>
        <w:rPr>
          <w:rFonts w:eastAsia="宋体"/>
          <w:b/>
          <w:bCs/>
          <w:sz w:val="28"/>
          <w:szCs w:val="28"/>
        </w:rPr>
      </w:pPr>
    </w:p>
    <w:p w14:paraId="186C8E0D">
      <w:pPr>
        <w:pStyle w:val="16"/>
        <w:jc w:val="center"/>
        <w:rPr>
          <w:rFonts w:eastAsia="宋体"/>
          <w:b/>
          <w:bCs/>
          <w:sz w:val="28"/>
          <w:szCs w:val="28"/>
        </w:rPr>
      </w:pPr>
    </w:p>
    <w:p w14:paraId="17923828">
      <w:pPr>
        <w:pStyle w:val="16"/>
        <w:jc w:val="center"/>
        <w:rPr>
          <w:rFonts w:eastAsia="宋体"/>
          <w:b/>
          <w:bCs/>
          <w:sz w:val="28"/>
          <w:szCs w:val="28"/>
        </w:rPr>
      </w:pPr>
      <w:r>
        <w:rPr>
          <w:rFonts w:hint="eastAsia" w:eastAsia="宋体"/>
          <w:b/>
          <w:bCs/>
          <w:sz w:val="28"/>
          <w:szCs w:val="28"/>
        </w:rPr>
        <w:t>文件发布日期：</w:t>
      </w:r>
      <w:r>
        <w:rPr>
          <w:rFonts w:eastAsia="宋体"/>
          <w:b/>
          <w:bCs/>
          <w:sz w:val="28"/>
          <w:szCs w:val="28"/>
        </w:rPr>
        <w:t>2017年9月29日</w:t>
      </w:r>
    </w:p>
    <w:p w14:paraId="5F81092E">
      <w:pPr>
        <w:pStyle w:val="16"/>
        <w:jc w:val="center"/>
        <w:rPr>
          <w:rFonts w:eastAsia="宋体"/>
          <w:sz w:val="28"/>
          <w:szCs w:val="28"/>
        </w:rPr>
      </w:pPr>
    </w:p>
    <w:p w14:paraId="744A21D1">
      <w:pPr>
        <w:shd w:val="clear" w:color="auto" w:fill="FFFFFF"/>
        <w:snapToGrid w:val="0"/>
        <w:jc w:val="center"/>
        <w:rPr>
          <w:rFonts w:eastAsia="宋体"/>
          <w:b/>
          <w:bCs/>
          <w:sz w:val="28"/>
          <w:szCs w:val="28"/>
        </w:rPr>
      </w:pPr>
      <w:r>
        <w:rPr>
          <w:rFonts w:hint="eastAsia" w:eastAsia="宋体"/>
          <w:b/>
          <w:bCs/>
          <w:sz w:val="28"/>
          <w:szCs w:val="28"/>
        </w:rPr>
        <w:t>文件</w:t>
      </w:r>
      <w:r>
        <w:rPr>
          <w:rFonts w:eastAsia="宋体"/>
          <w:b/>
          <w:bCs/>
          <w:sz w:val="28"/>
          <w:szCs w:val="28"/>
        </w:rPr>
        <w:t>最初</w:t>
      </w:r>
      <w:r>
        <w:rPr>
          <w:rFonts w:hint="eastAsia" w:eastAsia="宋体"/>
          <w:b/>
          <w:bCs/>
          <w:sz w:val="28"/>
          <w:szCs w:val="28"/>
        </w:rPr>
        <w:t>发布日期：</w:t>
      </w:r>
      <w:r>
        <w:rPr>
          <w:rFonts w:eastAsia="宋体"/>
          <w:b/>
          <w:bCs/>
          <w:sz w:val="28"/>
          <w:szCs w:val="28"/>
        </w:rPr>
        <w:t>2000年11月2日</w:t>
      </w:r>
    </w:p>
    <w:p w14:paraId="5B0055A5">
      <w:pPr>
        <w:shd w:val="clear" w:color="auto" w:fill="FFFFFF"/>
        <w:snapToGrid w:val="0"/>
        <w:jc w:val="center"/>
        <w:rPr>
          <w:rFonts w:eastAsia="宋体"/>
          <w:b/>
          <w:bCs/>
          <w:sz w:val="28"/>
          <w:szCs w:val="28"/>
        </w:rPr>
      </w:pPr>
    </w:p>
    <w:p w14:paraId="36E28B8F">
      <w:pPr>
        <w:shd w:val="clear" w:color="auto" w:fill="FFFFFF"/>
        <w:snapToGrid w:val="0"/>
        <w:jc w:val="center"/>
        <w:rPr>
          <w:rFonts w:eastAsia="宋体"/>
          <w:b/>
          <w:bCs/>
          <w:sz w:val="28"/>
          <w:szCs w:val="28"/>
        </w:rPr>
      </w:pPr>
    </w:p>
    <w:p w14:paraId="2C10C704">
      <w:pPr>
        <w:shd w:val="clear" w:color="auto" w:fill="FFFFFF"/>
        <w:snapToGrid w:val="0"/>
        <w:jc w:val="both"/>
        <w:rPr>
          <w:rFonts w:eastAsia="宋体"/>
          <w:color w:val="000000"/>
          <w:sz w:val="24"/>
          <w:szCs w:val="24"/>
        </w:rPr>
      </w:pPr>
      <w:r>
        <w:rPr>
          <w:rFonts w:eastAsia="宋体"/>
          <w:color w:val="000000"/>
          <w:sz w:val="24"/>
          <w:szCs w:val="24"/>
        </w:rPr>
        <w:t>如对本文件有任何关于CDRH监管器械的问题，请致电301-796-5560联系器械评价办公室，项目运营工作人员（POS）。</w:t>
      </w:r>
    </w:p>
    <w:p w14:paraId="1AAFA4AB">
      <w:pPr>
        <w:shd w:val="clear" w:color="auto" w:fill="FFFFFF"/>
        <w:snapToGrid w:val="0"/>
        <w:jc w:val="both"/>
        <w:rPr>
          <w:rFonts w:eastAsia="宋体"/>
          <w:sz w:val="24"/>
          <w:szCs w:val="24"/>
        </w:rPr>
      </w:pPr>
    </w:p>
    <w:p w14:paraId="5F4D0125">
      <w:pPr>
        <w:shd w:val="clear" w:color="auto" w:fill="FFFFFF"/>
        <w:snapToGrid w:val="0"/>
        <w:jc w:val="both"/>
        <w:rPr>
          <w:rFonts w:eastAsia="宋体"/>
          <w:sz w:val="24"/>
          <w:szCs w:val="24"/>
        </w:rPr>
      </w:pPr>
    </w:p>
    <w:p w14:paraId="2831DE28">
      <w:pPr>
        <w:shd w:val="clear" w:color="auto" w:fill="FFFFFF"/>
        <w:snapToGrid w:val="0"/>
        <w:jc w:val="both"/>
        <w:rPr>
          <w:rFonts w:eastAsia="宋体"/>
          <w:sz w:val="24"/>
          <w:szCs w:val="24"/>
        </w:rPr>
      </w:pPr>
      <w:r>
        <w:rPr>
          <w:rFonts w:eastAsia="宋体"/>
          <w:color w:val="000000"/>
          <w:sz w:val="24"/>
          <w:szCs w:val="24"/>
        </w:rPr>
        <w:t>有关本文件中CBER监管器械的问题，请致电1-800-835-4709或240-402-8010联系对外信息、外联与发展办公室（OCOD）。</w:t>
      </w:r>
    </w:p>
    <w:p w14:paraId="1C2465B9">
      <w:pPr>
        <w:snapToGrid w:val="0"/>
        <w:jc w:val="both"/>
        <w:rPr>
          <w:rFonts w:eastAsia="宋体"/>
          <w:sz w:val="24"/>
          <w:szCs w:val="24"/>
        </w:rPr>
      </w:pPr>
    </w:p>
    <w:p w14:paraId="3B5F1EBB">
      <w:pPr>
        <w:snapToGrid w:val="0"/>
        <w:jc w:val="both"/>
        <w:rPr>
          <w:rFonts w:eastAsia="宋体"/>
          <w:sz w:val="24"/>
          <w:szCs w:val="24"/>
        </w:rPr>
      </w:pPr>
    </w:p>
    <w:p w14:paraId="4B2AD26F">
      <w:pPr>
        <w:snapToGrid w:val="0"/>
        <w:jc w:val="both"/>
        <w:rPr>
          <w:rFonts w:eastAsia="宋体"/>
          <w:sz w:val="24"/>
          <w:szCs w:val="24"/>
        </w:rPr>
      </w:pPr>
    </w:p>
    <w:p w14:paraId="44D7D8BF">
      <w:pPr>
        <w:snapToGrid w:val="0"/>
        <w:jc w:val="both"/>
        <w:rPr>
          <w:rFonts w:eastAsia="宋体"/>
          <w:sz w:val="24"/>
          <w:szCs w:val="24"/>
        </w:rPr>
      </w:pPr>
    </w:p>
    <w:tbl>
      <w:tblPr>
        <w:tblStyle w:val="10"/>
        <w:tblW w:w="5000" w:type="pct"/>
        <w:tblInd w:w="0" w:type="dxa"/>
        <w:tblLayout w:type="fixed"/>
        <w:tblCellMar>
          <w:top w:w="0" w:type="dxa"/>
          <w:left w:w="40" w:type="dxa"/>
          <w:bottom w:w="0" w:type="dxa"/>
          <w:right w:w="40" w:type="dxa"/>
        </w:tblCellMar>
      </w:tblPr>
      <w:tblGrid>
        <w:gridCol w:w="4020"/>
        <w:gridCol w:w="5166"/>
      </w:tblGrid>
      <w:tr w14:paraId="1BF9E9C9">
        <w:tblPrEx>
          <w:tblCellMar>
            <w:top w:w="0" w:type="dxa"/>
            <w:left w:w="40" w:type="dxa"/>
            <w:bottom w:w="0" w:type="dxa"/>
            <w:right w:w="40" w:type="dxa"/>
          </w:tblCellMar>
        </w:tblPrEx>
        <w:tc>
          <w:tcPr>
            <w:tcW w:w="4138" w:type="dxa"/>
            <w:tcBorders>
              <w:top w:val="nil"/>
              <w:left w:val="nil"/>
              <w:bottom w:val="nil"/>
              <w:right w:val="nil"/>
            </w:tcBorders>
            <w:shd w:val="clear" w:color="auto" w:fill="FFFFFF"/>
            <w:tcMar>
              <w:left w:w="57" w:type="dxa"/>
              <w:right w:w="57" w:type="dxa"/>
            </w:tcMar>
          </w:tcPr>
          <w:p w14:paraId="27A2EADC">
            <w:pPr>
              <w:shd w:val="clear" w:color="auto" w:fill="FFFFFF"/>
              <w:snapToGrid w:val="0"/>
              <w:jc w:val="both"/>
              <w:rPr>
                <w:rFonts w:eastAsia="宋体"/>
                <w:sz w:val="24"/>
                <w:szCs w:val="24"/>
              </w:rPr>
            </w:pPr>
            <w:r>
              <w:rPr>
                <w:rFonts w:eastAsia="宋体"/>
                <w:sz w:val="24"/>
                <w:szCs w:val="24"/>
              </w:rPr>
              <w:drawing>
                <wp:inline distT="0" distB="0" distL="0" distR="0">
                  <wp:extent cx="2278380" cy="510540"/>
                  <wp:effectExtent l="0" t="0" r="762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2278577" cy="510584"/>
                          </a:xfrm>
                          <a:prstGeom prst="rect">
                            <a:avLst/>
                          </a:prstGeom>
                        </pic:spPr>
                      </pic:pic>
                    </a:graphicData>
                  </a:graphic>
                </wp:inline>
              </w:drawing>
            </w:r>
          </w:p>
        </w:tc>
        <w:tc>
          <w:tcPr>
            <w:tcW w:w="5318" w:type="dxa"/>
            <w:tcBorders>
              <w:top w:val="nil"/>
              <w:left w:val="nil"/>
              <w:bottom w:val="nil"/>
              <w:right w:val="nil"/>
            </w:tcBorders>
            <w:shd w:val="clear" w:color="auto" w:fill="FFFFFF"/>
            <w:tcMar>
              <w:left w:w="57" w:type="dxa"/>
              <w:right w:w="57" w:type="dxa"/>
            </w:tcMar>
          </w:tcPr>
          <w:p w14:paraId="3018BABC">
            <w:pPr>
              <w:shd w:val="clear" w:color="auto" w:fill="FFFFFF"/>
              <w:snapToGrid w:val="0"/>
              <w:jc w:val="right"/>
              <w:rPr>
                <w:rFonts w:eastAsia="宋体"/>
                <w:b/>
                <w:bCs/>
                <w:color w:val="000000"/>
                <w:sz w:val="24"/>
                <w:szCs w:val="24"/>
              </w:rPr>
            </w:pPr>
            <w:r>
              <w:rPr>
                <w:rFonts w:eastAsia="宋体"/>
                <w:b/>
                <w:bCs/>
                <w:color w:val="000000"/>
                <w:sz w:val="24"/>
                <w:szCs w:val="24"/>
              </w:rPr>
              <w:t>美国卫生</w:t>
            </w:r>
            <w:r>
              <w:rPr>
                <w:rFonts w:hint="eastAsia" w:eastAsia="宋体"/>
                <w:b/>
                <w:bCs/>
                <w:color w:val="000000"/>
                <w:sz w:val="24"/>
                <w:szCs w:val="24"/>
              </w:rPr>
              <w:t>与</w:t>
            </w:r>
            <w:r>
              <w:rPr>
                <w:rFonts w:eastAsia="宋体"/>
                <w:b/>
                <w:bCs/>
                <w:color w:val="000000"/>
                <w:sz w:val="24"/>
                <w:szCs w:val="24"/>
              </w:rPr>
              <w:t>公众服务部</w:t>
            </w:r>
          </w:p>
          <w:p w14:paraId="3FC09CB5">
            <w:pPr>
              <w:shd w:val="clear" w:color="auto" w:fill="FFFFFF"/>
              <w:snapToGrid w:val="0"/>
              <w:jc w:val="right"/>
              <w:rPr>
                <w:rFonts w:eastAsia="宋体"/>
                <w:b/>
                <w:bCs/>
                <w:color w:val="000000"/>
                <w:sz w:val="24"/>
                <w:szCs w:val="24"/>
              </w:rPr>
            </w:pPr>
            <w:r>
              <w:rPr>
                <w:rFonts w:eastAsia="宋体"/>
                <w:b/>
                <w:bCs/>
                <w:color w:val="000000"/>
                <w:sz w:val="24"/>
                <w:szCs w:val="24"/>
              </w:rPr>
              <w:t>美国食品药品监督管理局</w:t>
            </w:r>
          </w:p>
          <w:p w14:paraId="5B48A07F">
            <w:pPr>
              <w:shd w:val="clear" w:color="auto" w:fill="FFFFFF"/>
              <w:snapToGrid w:val="0"/>
              <w:jc w:val="right"/>
              <w:rPr>
                <w:rFonts w:eastAsia="宋体"/>
                <w:sz w:val="24"/>
                <w:szCs w:val="24"/>
              </w:rPr>
            </w:pPr>
          </w:p>
          <w:p w14:paraId="0C4212B0">
            <w:pPr>
              <w:shd w:val="clear" w:color="auto" w:fill="FFFFFF"/>
              <w:snapToGrid w:val="0"/>
              <w:jc w:val="right"/>
              <w:rPr>
                <w:rFonts w:eastAsia="宋体"/>
                <w:b/>
                <w:bCs/>
                <w:color w:val="000000"/>
                <w:sz w:val="24"/>
                <w:szCs w:val="24"/>
              </w:rPr>
            </w:pPr>
            <w:r>
              <w:rPr>
                <w:rFonts w:eastAsia="宋体"/>
                <w:b/>
                <w:bCs/>
                <w:color w:val="000000"/>
                <w:sz w:val="24"/>
                <w:szCs w:val="24"/>
              </w:rPr>
              <w:t>医疗器械</w:t>
            </w:r>
            <w:r>
              <w:rPr>
                <w:rFonts w:hint="eastAsia" w:eastAsia="宋体"/>
                <w:b/>
                <w:bCs/>
                <w:color w:val="000000"/>
                <w:sz w:val="24"/>
                <w:szCs w:val="24"/>
              </w:rPr>
              <w:t>和</w:t>
            </w:r>
            <w:r>
              <w:rPr>
                <w:rFonts w:eastAsia="宋体"/>
                <w:b/>
                <w:bCs/>
                <w:color w:val="000000"/>
                <w:sz w:val="24"/>
                <w:szCs w:val="24"/>
              </w:rPr>
              <w:t>放射健康中心</w:t>
            </w:r>
          </w:p>
          <w:p w14:paraId="5DD3A8A7">
            <w:pPr>
              <w:shd w:val="clear" w:color="auto" w:fill="FFFFFF"/>
              <w:snapToGrid w:val="0"/>
              <w:jc w:val="right"/>
              <w:rPr>
                <w:rFonts w:eastAsia="宋体"/>
                <w:sz w:val="24"/>
                <w:szCs w:val="24"/>
              </w:rPr>
            </w:pPr>
            <w:r>
              <w:rPr>
                <w:rFonts w:eastAsia="宋体"/>
                <w:b/>
                <w:bCs/>
                <w:color w:val="000000"/>
                <w:sz w:val="24"/>
                <w:szCs w:val="24"/>
              </w:rPr>
              <w:t>生物制品评价和研究中心</w:t>
            </w:r>
          </w:p>
        </w:tc>
      </w:tr>
    </w:tbl>
    <w:p w14:paraId="5D8A72B3">
      <w:pPr>
        <w:snapToGrid w:val="0"/>
        <w:jc w:val="both"/>
        <w:rPr>
          <w:rFonts w:eastAsia="宋体"/>
          <w:sz w:val="21"/>
          <w:szCs w:val="21"/>
        </w:rPr>
      </w:pPr>
    </w:p>
    <w:p w14:paraId="235F1D16">
      <w:pPr>
        <w:snapToGrid w:val="0"/>
        <w:jc w:val="both"/>
        <w:rPr>
          <w:rFonts w:eastAsia="宋体"/>
          <w:sz w:val="21"/>
          <w:szCs w:val="21"/>
        </w:rPr>
        <w:sectPr>
          <w:headerReference r:id="rId4" w:type="default"/>
          <w:type w:val="continuous"/>
          <w:pgSz w:w="11906" w:h="16838"/>
          <w:pgMar w:top="1134" w:right="1417" w:bottom="1134" w:left="1417" w:header="850" w:footer="720" w:gutter="0"/>
          <w:cols w:space="60" w:num="1"/>
          <w:docGrid w:linePitch="272" w:charSpace="0"/>
        </w:sectPr>
      </w:pPr>
    </w:p>
    <w:p w14:paraId="12EBA997">
      <w:pPr>
        <w:pStyle w:val="16"/>
        <w:jc w:val="center"/>
        <w:rPr>
          <w:rFonts w:eastAsia="宋体"/>
          <w:b/>
          <w:bCs/>
          <w:sz w:val="48"/>
          <w:szCs w:val="48"/>
        </w:rPr>
      </w:pPr>
      <w:r>
        <w:rPr>
          <w:rFonts w:eastAsia="宋体"/>
          <w:b/>
          <w:bCs/>
          <w:sz w:val="48"/>
          <w:szCs w:val="48"/>
        </w:rPr>
        <w:t>前言</w:t>
      </w:r>
    </w:p>
    <w:p w14:paraId="75D5BC1A">
      <w:pPr>
        <w:pStyle w:val="16"/>
        <w:jc w:val="center"/>
        <w:rPr>
          <w:rFonts w:eastAsia="宋体"/>
          <w:sz w:val="48"/>
          <w:szCs w:val="48"/>
        </w:rPr>
      </w:pPr>
    </w:p>
    <w:p w14:paraId="239E1EC5">
      <w:pPr>
        <w:shd w:val="clear" w:color="auto" w:fill="FFFFFF"/>
        <w:snapToGrid w:val="0"/>
        <w:jc w:val="both"/>
        <w:rPr>
          <w:rFonts w:eastAsia="宋体"/>
          <w:b/>
          <w:bCs/>
          <w:sz w:val="36"/>
          <w:szCs w:val="36"/>
        </w:rPr>
      </w:pPr>
      <w:r>
        <w:rPr>
          <w:rFonts w:eastAsia="宋体"/>
          <w:b/>
          <w:bCs/>
          <w:sz w:val="36"/>
          <w:szCs w:val="36"/>
        </w:rPr>
        <w:t>公众意见</w:t>
      </w:r>
    </w:p>
    <w:p w14:paraId="040F1FA5">
      <w:pPr>
        <w:shd w:val="clear" w:color="auto" w:fill="FFFFFF"/>
        <w:snapToGrid w:val="0"/>
        <w:jc w:val="both"/>
        <w:rPr>
          <w:rFonts w:eastAsia="宋体"/>
          <w:b/>
          <w:bCs/>
          <w:sz w:val="36"/>
          <w:szCs w:val="36"/>
        </w:rPr>
      </w:pPr>
    </w:p>
    <w:p w14:paraId="533DB9A2">
      <w:pPr>
        <w:shd w:val="clear" w:color="auto" w:fill="FFFFFF"/>
        <w:snapToGrid w:val="0"/>
        <w:jc w:val="both"/>
        <w:rPr>
          <w:rFonts w:eastAsia="宋体"/>
          <w:color w:val="000000"/>
          <w:sz w:val="24"/>
          <w:szCs w:val="24"/>
        </w:rPr>
      </w:pPr>
      <w:r>
        <w:rPr>
          <w:rFonts w:eastAsia="宋体"/>
          <w:color w:val="000000"/>
          <w:sz w:val="24"/>
          <w:szCs w:val="24"/>
        </w:rPr>
        <w:t>您可随时提交电子意见和建议至</w:t>
      </w:r>
      <w:r>
        <w:rPr>
          <w:rFonts w:eastAsia="宋体"/>
          <w:color w:val="0000FF"/>
          <w:sz w:val="24"/>
          <w:szCs w:val="24"/>
          <w:u w:val="single"/>
        </w:rPr>
        <w:t>http://www.regulations.gov</w:t>
      </w:r>
      <w:r>
        <w:rPr>
          <w:rFonts w:eastAsia="宋体"/>
          <w:color w:val="000000"/>
          <w:sz w:val="24"/>
          <w:szCs w:val="24"/>
        </w:rPr>
        <w:t>，以供</w:t>
      </w:r>
      <w:r>
        <w:rPr>
          <w:rFonts w:hint="eastAsia" w:eastAsia="宋体"/>
          <w:color w:val="000000"/>
          <w:sz w:val="24"/>
          <w:szCs w:val="24"/>
        </w:rPr>
        <w:t>F</w:t>
      </w:r>
      <w:r>
        <w:rPr>
          <w:rFonts w:eastAsia="宋体"/>
          <w:color w:val="000000"/>
          <w:sz w:val="24"/>
          <w:szCs w:val="24"/>
        </w:rPr>
        <w:t>DA考虑。请提交书面意见至美国食品药品监督管理局档案管理工作人员（5630 Fishers Lane, Room 1061, （HFA-305）, Rockville, MD 20852）。</w:t>
      </w:r>
    </w:p>
    <w:p w14:paraId="02075AA4">
      <w:pPr>
        <w:shd w:val="clear" w:color="auto" w:fill="FFFFFF"/>
        <w:snapToGrid w:val="0"/>
        <w:jc w:val="both"/>
        <w:rPr>
          <w:rFonts w:eastAsia="宋体"/>
          <w:sz w:val="24"/>
          <w:szCs w:val="24"/>
        </w:rPr>
      </w:pPr>
    </w:p>
    <w:p w14:paraId="6F2CF06F">
      <w:pPr>
        <w:shd w:val="clear" w:color="auto" w:fill="FFFFFF"/>
        <w:snapToGrid w:val="0"/>
        <w:jc w:val="both"/>
        <w:rPr>
          <w:rFonts w:eastAsia="宋体"/>
          <w:sz w:val="24"/>
          <w:szCs w:val="24"/>
        </w:rPr>
      </w:pPr>
      <w:r>
        <w:rPr>
          <w:rFonts w:eastAsia="宋体"/>
          <w:color w:val="000000"/>
          <w:sz w:val="24"/>
          <w:szCs w:val="24"/>
        </w:rPr>
        <w:t>使用案卷编号FDA-2017-D-5711标识所有评注。下次修订或更新文件前，</w:t>
      </w:r>
      <w:r>
        <w:rPr>
          <w:rFonts w:hint="eastAsia" w:eastAsia="宋体"/>
          <w:color w:val="000000"/>
          <w:sz w:val="24"/>
          <w:szCs w:val="24"/>
        </w:rPr>
        <w:t>F</w:t>
      </w:r>
      <w:r>
        <w:rPr>
          <w:rFonts w:eastAsia="宋体"/>
          <w:color w:val="000000"/>
          <w:sz w:val="24"/>
          <w:szCs w:val="24"/>
        </w:rPr>
        <w:t>DA可能不会对评论意见采取行动。</w:t>
      </w:r>
    </w:p>
    <w:p w14:paraId="2A10CEA2">
      <w:pPr>
        <w:pStyle w:val="16"/>
        <w:rPr>
          <w:rFonts w:eastAsia="宋体"/>
          <w:b/>
          <w:bCs/>
          <w:sz w:val="36"/>
          <w:szCs w:val="36"/>
        </w:rPr>
      </w:pPr>
    </w:p>
    <w:p w14:paraId="61D3F471">
      <w:pPr>
        <w:pStyle w:val="16"/>
        <w:rPr>
          <w:rFonts w:eastAsia="宋体"/>
          <w:sz w:val="36"/>
          <w:szCs w:val="36"/>
        </w:rPr>
      </w:pPr>
      <w:r>
        <w:rPr>
          <w:rFonts w:hint="eastAsia" w:eastAsia="宋体"/>
          <w:b/>
          <w:bCs/>
          <w:sz w:val="36"/>
          <w:szCs w:val="36"/>
        </w:rPr>
        <w:t>更多</w:t>
      </w:r>
      <w:r>
        <w:rPr>
          <w:rFonts w:eastAsia="宋体"/>
          <w:b/>
          <w:bCs/>
          <w:sz w:val="36"/>
          <w:szCs w:val="36"/>
        </w:rPr>
        <w:t>副本</w:t>
      </w:r>
    </w:p>
    <w:p w14:paraId="1B5579DB">
      <w:pPr>
        <w:shd w:val="clear" w:color="auto" w:fill="FFFFFF"/>
        <w:snapToGrid w:val="0"/>
        <w:jc w:val="both"/>
        <w:rPr>
          <w:rFonts w:eastAsia="宋体"/>
          <w:b/>
          <w:bCs/>
          <w:sz w:val="28"/>
          <w:szCs w:val="28"/>
        </w:rPr>
      </w:pPr>
    </w:p>
    <w:p w14:paraId="39308221">
      <w:pPr>
        <w:shd w:val="clear" w:color="auto" w:fill="FFFFFF"/>
        <w:snapToGrid w:val="0"/>
        <w:jc w:val="both"/>
        <w:rPr>
          <w:rFonts w:eastAsia="宋体"/>
          <w:b/>
          <w:bCs/>
          <w:sz w:val="28"/>
          <w:szCs w:val="28"/>
        </w:rPr>
      </w:pPr>
      <w:r>
        <w:rPr>
          <w:rFonts w:eastAsia="宋体"/>
          <w:b/>
          <w:bCs/>
          <w:sz w:val="28"/>
          <w:szCs w:val="28"/>
        </w:rPr>
        <w:t>医疗器械和放射健康中心（CDRH）</w:t>
      </w:r>
    </w:p>
    <w:p w14:paraId="14FCEEFA">
      <w:pPr>
        <w:shd w:val="clear" w:color="auto" w:fill="FFFFFF"/>
        <w:snapToGrid w:val="0"/>
        <w:jc w:val="both"/>
        <w:rPr>
          <w:rFonts w:eastAsia="宋体"/>
          <w:sz w:val="24"/>
          <w:szCs w:val="24"/>
        </w:rPr>
      </w:pPr>
      <w:r>
        <w:rPr>
          <w:rFonts w:eastAsia="宋体"/>
          <w:color w:val="000000"/>
          <w:sz w:val="24"/>
          <w:szCs w:val="24"/>
        </w:rPr>
        <w:t>可从互联网获取其他副本。同时，也可发送电子邮件请求至</w:t>
      </w:r>
      <w:r>
        <w:rPr>
          <w:rFonts w:eastAsia="宋体"/>
          <w:color w:val="0000FF"/>
          <w:sz w:val="24"/>
          <w:szCs w:val="24"/>
          <w:u w:val="single"/>
        </w:rPr>
        <w:t>CDRH-Guidance@fda.hhs.gov</w:t>
      </w:r>
      <w:r>
        <w:rPr>
          <w:rFonts w:eastAsia="宋体"/>
          <w:color w:val="000000"/>
          <w:sz w:val="24"/>
          <w:szCs w:val="24"/>
        </w:rPr>
        <w:t>接收指南副本。请使用文件编号1195识别您请求的指南。</w:t>
      </w:r>
    </w:p>
    <w:p w14:paraId="4668AF22">
      <w:pPr>
        <w:shd w:val="clear" w:color="auto" w:fill="FFFFFF"/>
        <w:snapToGrid w:val="0"/>
        <w:jc w:val="both"/>
        <w:rPr>
          <w:rFonts w:eastAsia="宋体"/>
          <w:b/>
          <w:bCs/>
          <w:sz w:val="28"/>
          <w:szCs w:val="28"/>
        </w:rPr>
      </w:pPr>
    </w:p>
    <w:p w14:paraId="39137BAD">
      <w:pPr>
        <w:shd w:val="clear" w:color="auto" w:fill="FFFFFF"/>
        <w:snapToGrid w:val="0"/>
        <w:jc w:val="both"/>
        <w:rPr>
          <w:rFonts w:eastAsia="宋体"/>
          <w:b/>
          <w:bCs/>
          <w:sz w:val="28"/>
          <w:szCs w:val="28"/>
        </w:rPr>
      </w:pPr>
      <w:r>
        <w:rPr>
          <w:rFonts w:eastAsia="宋体"/>
          <w:b/>
          <w:bCs/>
          <w:sz w:val="28"/>
          <w:szCs w:val="28"/>
        </w:rPr>
        <w:t>生物制品评价</w:t>
      </w:r>
      <w:r>
        <w:rPr>
          <w:rFonts w:hint="eastAsia" w:eastAsia="宋体"/>
          <w:b/>
          <w:bCs/>
          <w:sz w:val="28"/>
          <w:szCs w:val="28"/>
        </w:rPr>
        <w:t>和</w:t>
      </w:r>
      <w:r>
        <w:rPr>
          <w:rFonts w:eastAsia="宋体"/>
          <w:b/>
          <w:bCs/>
          <w:sz w:val="28"/>
          <w:szCs w:val="28"/>
        </w:rPr>
        <w:t>研究中心（CBER）</w:t>
      </w:r>
    </w:p>
    <w:p w14:paraId="3B7C6AE6">
      <w:pPr>
        <w:shd w:val="clear" w:color="auto" w:fill="FFFFFF"/>
        <w:snapToGrid w:val="0"/>
        <w:jc w:val="both"/>
        <w:rPr>
          <w:rFonts w:eastAsia="宋体"/>
          <w:color w:val="000000"/>
          <w:sz w:val="24"/>
          <w:szCs w:val="24"/>
        </w:rPr>
      </w:pPr>
      <w:r>
        <w:rPr>
          <w:rFonts w:eastAsia="宋体"/>
          <w:color w:val="000000"/>
          <w:sz w:val="24"/>
          <w:szCs w:val="24"/>
        </w:rPr>
        <w:t xml:space="preserve">其他副本可通过书面申请从生物制品评价和研究中心（CBER），通信、推广和发展办公室（OCOD）（10903 New Hampshire Ave.,WO71, Room 3128, Silver Spring, MD 20903）获取，或致电1-800-835 -4709或240-402-8010，发送电子邮件到以下电子邮箱： </w:t>
      </w:r>
      <w:r>
        <w:rPr>
          <w:rFonts w:eastAsia="宋体"/>
          <w:color w:val="0000FF"/>
          <w:sz w:val="24"/>
          <w:szCs w:val="24"/>
          <w:u w:val="single"/>
        </w:rPr>
        <w:t xml:space="preserve">ocod@fda.hhs.gov, </w:t>
      </w:r>
      <w:r>
        <w:rPr>
          <w:rFonts w:eastAsia="宋体"/>
          <w:color w:val="000000"/>
          <w:sz w:val="24"/>
          <w:szCs w:val="24"/>
        </w:rPr>
        <w:t>或登录以下网站：</w:t>
      </w:r>
    </w:p>
    <w:p w14:paraId="2F1DC53C">
      <w:pPr>
        <w:shd w:val="clear" w:color="auto" w:fill="FFFFFF"/>
        <w:snapToGrid w:val="0"/>
        <w:jc w:val="both"/>
        <w:rPr>
          <w:rFonts w:eastAsia="宋体"/>
          <w:sz w:val="24"/>
          <w:szCs w:val="24"/>
        </w:rPr>
      </w:pPr>
      <w:r>
        <w:fldChar w:fldCharType="begin"/>
      </w:r>
      <w:r>
        <w:instrText xml:space="preserve"> HYPERLINK "http://www.fda.gov/BiologicsBloodVaccines/GuidanceComplianceRegulatoryInformation/Guidances/default.htm" </w:instrText>
      </w:r>
      <w:r>
        <w:fldChar w:fldCharType="separate"/>
      </w:r>
      <w:r>
        <w:rPr>
          <w:rStyle w:val="12"/>
          <w:rFonts w:eastAsia="宋体"/>
          <w:sz w:val="24"/>
          <w:szCs w:val="24"/>
        </w:rPr>
        <w:t>http://www.fda.gov/BiologicsBloodVaccines/GuidanceComplianceRegulatoryInformation/Guidances/default.htm</w:t>
      </w:r>
      <w:r>
        <w:rPr>
          <w:rStyle w:val="12"/>
          <w:rFonts w:eastAsia="宋体"/>
          <w:sz w:val="24"/>
          <w:szCs w:val="24"/>
        </w:rPr>
        <w:fldChar w:fldCharType="end"/>
      </w:r>
      <w:r>
        <w:rPr>
          <w:rFonts w:hint="eastAsia" w:eastAsia="宋体"/>
          <w:color w:val="000000"/>
          <w:sz w:val="24"/>
          <w:szCs w:val="24"/>
        </w:rPr>
        <w:t>。</w:t>
      </w:r>
    </w:p>
    <w:p w14:paraId="242453CF">
      <w:pPr>
        <w:shd w:val="clear" w:color="auto" w:fill="FFFFFF"/>
        <w:snapToGrid w:val="0"/>
        <w:jc w:val="both"/>
        <w:rPr>
          <w:rFonts w:eastAsia="宋体"/>
          <w:sz w:val="21"/>
          <w:szCs w:val="21"/>
        </w:rPr>
      </w:pPr>
    </w:p>
    <w:p w14:paraId="20AFEAD7">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17D10E41">
      <w:pPr>
        <w:snapToGrid w:val="0"/>
        <w:jc w:val="center"/>
        <w:rPr>
          <w:rFonts w:eastAsia="宋体"/>
          <w:b/>
          <w:bCs/>
          <w:sz w:val="36"/>
          <w:szCs w:val="36"/>
        </w:rPr>
      </w:pPr>
      <w:r>
        <w:rPr>
          <w:rFonts w:eastAsia="宋体"/>
          <w:b/>
          <w:bCs/>
          <w:sz w:val="36"/>
          <w:szCs w:val="36"/>
        </w:rPr>
        <w:t>目录</w:t>
      </w:r>
    </w:p>
    <w:p w14:paraId="4A1C866A">
      <w:pPr>
        <w:snapToGrid w:val="0"/>
        <w:jc w:val="both"/>
        <w:rPr>
          <w:rFonts w:eastAsia="宋体"/>
          <w:sz w:val="21"/>
          <w:szCs w:val="21"/>
        </w:rPr>
      </w:pPr>
    </w:p>
    <w:p w14:paraId="435D7031">
      <w:pPr>
        <w:pStyle w:val="7"/>
        <w:spacing w:before="120" w:after="120"/>
        <w:rPr>
          <w:rFonts w:asciiTheme="minorHAnsi" w:hAnsiTheme="minorHAnsi" w:eastAsiaTheme="minorEastAsia" w:cstheme="minorBidi"/>
          <w:b w:val="0"/>
          <w:kern w:val="2"/>
          <w:sz w:val="21"/>
          <w:szCs w:val="22"/>
        </w:rPr>
      </w:pPr>
      <w:r>
        <w:rPr>
          <w:bCs/>
          <w:sz w:val="21"/>
          <w:szCs w:val="21"/>
        </w:rPr>
        <w:fldChar w:fldCharType="begin"/>
      </w:r>
      <w:r>
        <w:rPr>
          <w:sz w:val="21"/>
          <w:szCs w:val="21"/>
        </w:rPr>
        <w:instrText xml:space="preserve"> TOC \o "1-2" \h \z \u </w:instrText>
      </w:r>
      <w:r>
        <w:rPr>
          <w:sz w:val="21"/>
          <w:szCs w:val="21"/>
        </w:rPr>
        <w:fldChar w:fldCharType="separate"/>
      </w:r>
      <w:r>
        <w:fldChar w:fldCharType="begin"/>
      </w:r>
      <w:r>
        <w:instrText xml:space="preserve"> HYPERLINK \l "_Toc97486027" </w:instrText>
      </w:r>
      <w:r>
        <w:fldChar w:fldCharType="separate"/>
      </w:r>
      <w:r>
        <w:rPr>
          <w:rStyle w:val="12"/>
        </w:rPr>
        <w:t>I.</w:t>
      </w:r>
      <w:r>
        <w:rPr>
          <w:rFonts w:asciiTheme="minorHAnsi" w:hAnsiTheme="minorHAnsi" w:eastAsiaTheme="minorEastAsia" w:cstheme="minorBidi"/>
          <w:b w:val="0"/>
          <w:kern w:val="2"/>
          <w:sz w:val="21"/>
          <w:szCs w:val="22"/>
        </w:rPr>
        <w:tab/>
      </w:r>
      <w:r>
        <w:rPr>
          <w:rStyle w:val="12"/>
          <w:rFonts w:hint="eastAsia"/>
        </w:rPr>
        <w:t>前言</w:t>
      </w:r>
      <w:r>
        <w:tab/>
      </w:r>
      <w:r>
        <w:fldChar w:fldCharType="begin"/>
      </w:r>
      <w:r>
        <w:instrText xml:space="preserve"> PAGEREF _Toc97486027 \h </w:instrText>
      </w:r>
      <w:r>
        <w:fldChar w:fldCharType="separate"/>
      </w:r>
      <w:r>
        <w:t>1</w:t>
      </w:r>
      <w:r>
        <w:fldChar w:fldCharType="end"/>
      </w:r>
      <w:r>
        <w:fldChar w:fldCharType="end"/>
      </w:r>
    </w:p>
    <w:p w14:paraId="72A5DFEA">
      <w:pPr>
        <w:pStyle w:val="7"/>
        <w:spacing w:before="120" w:after="120"/>
        <w:rPr>
          <w:rFonts w:asciiTheme="minorHAnsi" w:hAnsiTheme="minorHAnsi" w:eastAsiaTheme="minorEastAsia" w:cstheme="minorBidi"/>
          <w:b w:val="0"/>
          <w:kern w:val="2"/>
          <w:sz w:val="21"/>
          <w:szCs w:val="22"/>
        </w:rPr>
      </w:pPr>
      <w:r>
        <w:fldChar w:fldCharType="begin"/>
      </w:r>
      <w:r>
        <w:instrText xml:space="preserve"> HYPERLINK \l "_Toc97486028" </w:instrText>
      </w:r>
      <w:r>
        <w:fldChar w:fldCharType="separate"/>
      </w:r>
      <w:r>
        <w:rPr>
          <w:rStyle w:val="12"/>
        </w:rPr>
        <w:t>II.</w:t>
      </w:r>
      <w:r>
        <w:rPr>
          <w:rFonts w:asciiTheme="minorHAnsi" w:hAnsiTheme="minorHAnsi" w:eastAsiaTheme="minorEastAsia" w:cstheme="minorBidi"/>
          <w:b w:val="0"/>
          <w:kern w:val="2"/>
          <w:sz w:val="21"/>
          <w:szCs w:val="22"/>
        </w:rPr>
        <w:tab/>
      </w:r>
      <w:r>
        <w:rPr>
          <w:rStyle w:val="12"/>
          <w:rFonts w:hint="eastAsia"/>
        </w:rPr>
        <w:t>背景</w:t>
      </w:r>
      <w:r>
        <w:tab/>
      </w:r>
      <w:r>
        <w:fldChar w:fldCharType="begin"/>
      </w:r>
      <w:r>
        <w:instrText xml:space="preserve"> PAGEREF _Toc97486028 \h </w:instrText>
      </w:r>
      <w:r>
        <w:fldChar w:fldCharType="separate"/>
      </w:r>
      <w:r>
        <w:t>2</w:t>
      </w:r>
      <w:r>
        <w:fldChar w:fldCharType="end"/>
      </w:r>
      <w:r>
        <w:fldChar w:fldCharType="end"/>
      </w:r>
    </w:p>
    <w:p w14:paraId="608C0539">
      <w:pPr>
        <w:pStyle w:val="7"/>
        <w:spacing w:before="120" w:after="120"/>
        <w:rPr>
          <w:rFonts w:asciiTheme="minorHAnsi" w:hAnsiTheme="minorHAnsi" w:eastAsiaTheme="minorEastAsia" w:cstheme="minorBidi"/>
          <w:b w:val="0"/>
          <w:kern w:val="2"/>
          <w:sz w:val="21"/>
          <w:szCs w:val="22"/>
        </w:rPr>
      </w:pPr>
      <w:r>
        <w:fldChar w:fldCharType="begin"/>
      </w:r>
      <w:r>
        <w:instrText xml:space="preserve"> HYPERLINK \l "_Toc97486029" </w:instrText>
      </w:r>
      <w:r>
        <w:fldChar w:fldCharType="separate"/>
      </w:r>
      <w:r>
        <w:rPr>
          <w:rStyle w:val="12"/>
        </w:rPr>
        <w:t>III.</w:t>
      </w:r>
      <w:r>
        <w:rPr>
          <w:rFonts w:asciiTheme="minorHAnsi" w:hAnsiTheme="minorHAnsi" w:eastAsiaTheme="minorEastAsia" w:cstheme="minorBidi"/>
          <w:b w:val="0"/>
          <w:kern w:val="2"/>
          <w:sz w:val="21"/>
          <w:szCs w:val="22"/>
        </w:rPr>
        <w:tab/>
      </w:r>
      <w:r>
        <w:rPr>
          <w:rStyle w:val="12"/>
          <w:rFonts w:hint="eastAsia"/>
        </w:rPr>
        <w:t>范围</w:t>
      </w:r>
      <w:r>
        <w:tab/>
      </w:r>
      <w:r>
        <w:fldChar w:fldCharType="begin"/>
      </w:r>
      <w:r>
        <w:instrText xml:space="preserve"> PAGEREF _Toc97486029 \h </w:instrText>
      </w:r>
      <w:r>
        <w:fldChar w:fldCharType="separate"/>
      </w:r>
      <w:r>
        <w:t>4</w:t>
      </w:r>
      <w:r>
        <w:fldChar w:fldCharType="end"/>
      </w:r>
      <w:r>
        <w:fldChar w:fldCharType="end"/>
      </w:r>
    </w:p>
    <w:p w14:paraId="76B1473A">
      <w:pPr>
        <w:pStyle w:val="7"/>
        <w:spacing w:before="120" w:after="120"/>
        <w:rPr>
          <w:rFonts w:asciiTheme="minorHAnsi" w:hAnsiTheme="minorHAnsi" w:eastAsiaTheme="minorEastAsia" w:cstheme="minorBidi"/>
          <w:b w:val="0"/>
          <w:kern w:val="2"/>
          <w:sz w:val="21"/>
          <w:szCs w:val="22"/>
        </w:rPr>
      </w:pPr>
      <w:r>
        <w:fldChar w:fldCharType="begin"/>
      </w:r>
      <w:r>
        <w:instrText xml:space="preserve"> HYPERLINK \l "_Toc97486030" </w:instrText>
      </w:r>
      <w:r>
        <w:fldChar w:fldCharType="separate"/>
      </w:r>
      <w:r>
        <w:rPr>
          <w:rStyle w:val="12"/>
        </w:rPr>
        <w:t>IV.</w:t>
      </w:r>
      <w:r>
        <w:rPr>
          <w:rFonts w:asciiTheme="minorHAnsi" w:hAnsiTheme="minorHAnsi" w:eastAsiaTheme="minorEastAsia" w:cstheme="minorBidi"/>
          <w:b w:val="0"/>
          <w:kern w:val="2"/>
          <w:sz w:val="21"/>
          <w:szCs w:val="22"/>
        </w:rPr>
        <w:tab/>
      </w:r>
      <w:r>
        <w:rPr>
          <w:rStyle w:val="12"/>
          <w:rFonts w:hint="eastAsia"/>
        </w:rPr>
        <w:t>上市申请中的发补单</w:t>
      </w:r>
      <w:r>
        <w:tab/>
      </w:r>
      <w:r>
        <w:fldChar w:fldCharType="begin"/>
      </w:r>
      <w:r>
        <w:instrText xml:space="preserve"> PAGEREF _Toc97486030 \h </w:instrText>
      </w:r>
      <w:r>
        <w:fldChar w:fldCharType="separate"/>
      </w:r>
      <w:r>
        <w:t>4</w:t>
      </w:r>
      <w:r>
        <w:fldChar w:fldCharType="end"/>
      </w:r>
      <w:r>
        <w:fldChar w:fldCharType="end"/>
      </w:r>
    </w:p>
    <w:p w14:paraId="0A066F04">
      <w:pPr>
        <w:pStyle w:val="9"/>
        <w:rPr>
          <w:rFonts w:asciiTheme="minorHAnsi" w:hAnsiTheme="minorHAnsi" w:eastAsiaTheme="minorEastAsia" w:cstheme="minorBidi"/>
          <w:kern w:val="2"/>
          <w:szCs w:val="22"/>
        </w:rPr>
      </w:pPr>
      <w:r>
        <w:fldChar w:fldCharType="begin"/>
      </w:r>
      <w:r>
        <w:instrText xml:space="preserve"> HYPERLINK \l "_Toc97486031" </w:instrText>
      </w:r>
      <w:r>
        <w:fldChar w:fldCharType="separate"/>
      </w:r>
      <w:r>
        <w:rPr>
          <w:rStyle w:val="12"/>
        </w:rPr>
        <w:t>A.</w:t>
      </w:r>
      <w:r>
        <w:rPr>
          <w:rFonts w:asciiTheme="minorHAnsi" w:hAnsiTheme="minorHAnsi" w:eastAsiaTheme="minorEastAsia" w:cstheme="minorBidi"/>
          <w:kern w:val="2"/>
          <w:szCs w:val="22"/>
        </w:rPr>
        <w:tab/>
      </w:r>
      <w:r>
        <w:rPr>
          <w:rStyle w:val="12"/>
          <w:rFonts w:hint="eastAsia"/>
        </w:rPr>
        <w:t>指导原则</w:t>
      </w:r>
      <w:r>
        <w:tab/>
      </w:r>
      <w:r>
        <w:fldChar w:fldCharType="begin"/>
      </w:r>
      <w:r>
        <w:instrText xml:space="preserve"> PAGEREF _Toc97486031 \h </w:instrText>
      </w:r>
      <w:r>
        <w:fldChar w:fldCharType="separate"/>
      </w:r>
      <w:r>
        <w:t>4</w:t>
      </w:r>
      <w:r>
        <w:fldChar w:fldCharType="end"/>
      </w:r>
      <w:r>
        <w:fldChar w:fldCharType="end"/>
      </w:r>
    </w:p>
    <w:p w14:paraId="33DD9225">
      <w:pPr>
        <w:pStyle w:val="9"/>
        <w:rPr>
          <w:rFonts w:asciiTheme="minorHAnsi" w:hAnsiTheme="minorHAnsi" w:eastAsiaTheme="minorEastAsia" w:cstheme="minorBidi"/>
          <w:kern w:val="2"/>
          <w:szCs w:val="22"/>
        </w:rPr>
      </w:pPr>
      <w:r>
        <w:fldChar w:fldCharType="begin"/>
      </w:r>
      <w:r>
        <w:instrText xml:space="preserve"> HYPERLINK \l "_Toc97486032" </w:instrText>
      </w:r>
      <w:r>
        <w:fldChar w:fldCharType="separate"/>
      </w:r>
      <w:r>
        <w:rPr>
          <w:rStyle w:val="12"/>
        </w:rPr>
        <w:t>B.</w:t>
      </w:r>
      <w:r>
        <w:rPr>
          <w:rFonts w:asciiTheme="minorHAnsi" w:hAnsiTheme="minorHAnsi" w:eastAsiaTheme="minorEastAsia" w:cstheme="minorBidi"/>
          <w:kern w:val="2"/>
          <w:szCs w:val="22"/>
        </w:rPr>
        <w:tab/>
      </w:r>
      <w:r>
        <w:rPr>
          <w:rStyle w:val="12"/>
          <w:rFonts w:hint="eastAsia"/>
        </w:rPr>
        <w:t>补正资料的建议内容和格式</w:t>
      </w:r>
      <w:r>
        <w:tab/>
      </w:r>
      <w:r>
        <w:fldChar w:fldCharType="begin"/>
      </w:r>
      <w:r>
        <w:instrText xml:space="preserve"> PAGEREF _Toc97486032 \h </w:instrText>
      </w:r>
      <w:r>
        <w:fldChar w:fldCharType="separate"/>
      </w:r>
      <w:r>
        <w:t>5</w:t>
      </w:r>
      <w:r>
        <w:fldChar w:fldCharType="end"/>
      </w:r>
      <w:r>
        <w:fldChar w:fldCharType="end"/>
      </w:r>
    </w:p>
    <w:p w14:paraId="563C56ED">
      <w:pPr>
        <w:pStyle w:val="9"/>
        <w:rPr>
          <w:rFonts w:asciiTheme="minorHAnsi" w:hAnsiTheme="minorHAnsi" w:eastAsiaTheme="minorEastAsia" w:cstheme="minorBidi"/>
          <w:kern w:val="2"/>
          <w:szCs w:val="22"/>
        </w:rPr>
      </w:pPr>
      <w:r>
        <w:fldChar w:fldCharType="begin"/>
      </w:r>
      <w:r>
        <w:instrText xml:space="preserve"> HYPERLINK \l "_Toc97486033" </w:instrText>
      </w:r>
      <w:r>
        <w:fldChar w:fldCharType="separate"/>
      </w:r>
      <w:r>
        <w:rPr>
          <w:rStyle w:val="12"/>
        </w:rPr>
        <w:t>C.</w:t>
      </w:r>
      <w:r>
        <w:rPr>
          <w:rFonts w:asciiTheme="minorHAnsi" w:hAnsiTheme="minorHAnsi" w:eastAsiaTheme="minorEastAsia" w:cstheme="minorBidi"/>
          <w:kern w:val="2"/>
          <w:szCs w:val="22"/>
        </w:rPr>
        <w:tab/>
      </w:r>
      <w:r>
        <w:rPr>
          <w:rStyle w:val="12"/>
          <w:rFonts w:hint="eastAsia"/>
        </w:rPr>
        <w:t>对发补单的审评</w:t>
      </w:r>
      <w:r>
        <w:tab/>
      </w:r>
      <w:r>
        <w:fldChar w:fldCharType="begin"/>
      </w:r>
      <w:r>
        <w:instrText xml:space="preserve"> PAGEREF _Toc97486033 \h </w:instrText>
      </w:r>
      <w:r>
        <w:fldChar w:fldCharType="separate"/>
      </w:r>
      <w:r>
        <w:t>6</w:t>
      </w:r>
      <w:r>
        <w:fldChar w:fldCharType="end"/>
      </w:r>
      <w:r>
        <w:fldChar w:fldCharType="end"/>
      </w:r>
    </w:p>
    <w:p w14:paraId="63DFB8DB">
      <w:pPr>
        <w:pStyle w:val="7"/>
        <w:spacing w:before="120" w:after="120"/>
        <w:rPr>
          <w:rFonts w:asciiTheme="minorHAnsi" w:hAnsiTheme="minorHAnsi" w:eastAsiaTheme="minorEastAsia" w:cstheme="minorBidi"/>
          <w:b w:val="0"/>
          <w:kern w:val="2"/>
          <w:sz w:val="21"/>
          <w:szCs w:val="22"/>
        </w:rPr>
      </w:pPr>
      <w:r>
        <w:fldChar w:fldCharType="begin"/>
      </w:r>
      <w:r>
        <w:instrText xml:space="preserve"> HYPERLINK \l "_Toc97486034" </w:instrText>
      </w:r>
      <w:r>
        <w:fldChar w:fldCharType="separate"/>
      </w:r>
      <w:r>
        <w:rPr>
          <w:rStyle w:val="12"/>
        </w:rPr>
        <w:t>V.</w:t>
      </w:r>
      <w:r>
        <w:rPr>
          <w:rFonts w:asciiTheme="minorHAnsi" w:hAnsiTheme="minorHAnsi" w:eastAsiaTheme="minorEastAsia" w:cstheme="minorBidi"/>
          <w:b w:val="0"/>
          <w:kern w:val="2"/>
          <w:sz w:val="21"/>
          <w:szCs w:val="22"/>
        </w:rPr>
        <w:tab/>
      </w:r>
      <w:r>
        <w:rPr>
          <w:rStyle w:val="12"/>
          <w:rFonts w:hint="eastAsia"/>
        </w:rPr>
        <w:t>行业对</w:t>
      </w:r>
      <w:r>
        <w:rPr>
          <w:rStyle w:val="12"/>
        </w:rPr>
        <w:t>FDA</w:t>
      </w:r>
      <w:r>
        <w:rPr>
          <w:rStyle w:val="12"/>
          <w:rFonts w:hint="eastAsia"/>
        </w:rPr>
        <w:t>补正资料答复的建议格式</w:t>
      </w:r>
      <w:r>
        <w:tab/>
      </w:r>
      <w:r>
        <w:fldChar w:fldCharType="begin"/>
      </w:r>
      <w:r>
        <w:instrText xml:space="preserve"> PAGEREF _Toc97486034 \h </w:instrText>
      </w:r>
      <w:r>
        <w:fldChar w:fldCharType="separate"/>
      </w:r>
      <w:r>
        <w:t>6</w:t>
      </w:r>
      <w:r>
        <w:fldChar w:fldCharType="end"/>
      </w:r>
      <w:r>
        <w:fldChar w:fldCharType="end"/>
      </w:r>
    </w:p>
    <w:p w14:paraId="18C3A5F1">
      <w:pPr>
        <w:pStyle w:val="7"/>
        <w:spacing w:before="120" w:after="120"/>
        <w:rPr>
          <w:rFonts w:asciiTheme="minorHAnsi" w:hAnsiTheme="minorHAnsi" w:eastAsiaTheme="minorEastAsia" w:cstheme="minorBidi"/>
          <w:b w:val="0"/>
          <w:kern w:val="2"/>
          <w:sz w:val="21"/>
          <w:szCs w:val="22"/>
        </w:rPr>
      </w:pPr>
      <w:r>
        <w:fldChar w:fldCharType="begin"/>
      </w:r>
      <w:r>
        <w:instrText xml:space="preserve"> HYPERLINK \l "_Toc97486035" </w:instrText>
      </w:r>
      <w:r>
        <w:fldChar w:fldCharType="separate"/>
      </w:r>
      <w:r>
        <w:rPr>
          <w:rStyle w:val="12"/>
          <w:rFonts w:hint="eastAsia"/>
        </w:rPr>
        <w:t>附录</w:t>
      </w:r>
      <w:r>
        <w:rPr>
          <w:rStyle w:val="12"/>
        </w:rPr>
        <w:t>A.</w:t>
      </w:r>
      <w:r>
        <w:rPr>
          <w:rFonts w:asciiTheme="minorHAnsi" w:hAnsiTheme="minorHAnsi" w:eastAsiaTheme="minorEastAsia" w:cstheme="minorBidi"/>
          <w:b w:val="0"/>
          <w:kern w:val="2"/>
          <w:sz w:val="21"/>
          <w:szCs w:val="22"/>
        </w:rPr>
        <w:tab/>
      </w:r>
      <w:r>
        <w:rPr>
          <w:rStyle w:val="12"/>
          <w:rFonts w:hint="eastAsia"/>
        </w:rPr>
        <w:t>补正资料示例</w:t>
      </w:r>
      <w:r>
        <w:tab/>
      </w:r>
      <w:r>
        <w:fldChar w:fldCharType="begin"/>
      </w:r>
      <w:r>
        <w:instrText xml:space="preserve"> PAGEREF _Toc97486035 \h </w:instrText>
      </w:r>
      <w:r>
        <w:fldChar w:fldCharType="separate"/>
      </w:r>
      <w:r>
        <w:t>8</w:t>
      </w:r>
      <w:r>
        <w:fldChar w:fldCharType="end"/>
      </w:r>
      <w:r>
        <w:fldChar w:fldCharType="end"/>
      </w:r>
    </w:p>
    <w:p w14:paraId="24C1D61C">
      <w:pPr>
        <w:pStyle w:val="7"/>
        <w:spacing w:before="120" w:after="120"/>
        <w:rPr>
          <w:rFonts w:asciiTheme="minorHAnsi" w:hAnsiTheme="minorHAnsi" w:eastAsiaTheme="minorEastAsia" w:cstheme="minorBidi"/>
          <w:b w:val="0"/>
          <w:kern w:val="2"/>
          <w:sz w:val="21"/>
          <w:szCs w:val="22"/>
        </w:rPr>
      </w:pPr>
      <w:r>
        <w:fldChar w:fldCharType="begin"/>
      </w:r>
      <w:r>
        <w:instrText xml:space="preserve"> HYPERLINK \l "_Toc97486036" </w:instrText>
      </w:r>
      <w:r>
        <w:fldChar w:fldCharType="separate"/>
      </w:r>
      <w:r>
        <w:rPr>
          <w:rStyle w:val="12"/>
          <w:rFonts w:hint="eastAsia"/>
        </w:rPr>
        <w:t>附录</w:t>
      </w:r>
      <w:r>
        <w:rPr>
          <w:rStyle w:val="12"/>
        </w:rPr>
        <w:t>B.</w:t>
      </w:r>
      <w:r>
        <w:rPr>
          <w:rFonts w:asciiTheme="minorHAnsi" w:hAnsiTheme="minorHAnsi" w:eastAsiaTheme="minorEastAsia" w:cstheme="minorBidi"/>
          <w:b w:val="0"/>
          <w:kern w:val="2"/>
          <w:sz w:val="21"/>
          <w:szCs w:val="22"/>
        </w:rPr>
        <w:tab/>
      </w:r>
      <w:r>
        <w:rPr>
          <w:rStyle w:val="12"/>
          <w:rFonts w:hint="eastAsia"/>
        </w:rPr>
        <w:t>补正资料答复示例</w:t>
      </w:r>
      <w:r>
        <w:tab/>
      </w:r>
      <w:r>
        <w:fldChar w:fldCharType="begin"/>
      </w:r>
      <w:r>
        <w:instrText xml:space="preserve"> PAGEREF _Toc97486036 \h </w:instrText>
      </w:r>
      <w:r>
        <w:fldChar w:fldCharType="separate"/>
      </w:r>
      <w:r>
        <w:t>12</w:t>
      </w:r>
      <w:r>
        <w:fldChar w:fldCharType="end"/>
      </w:r>
      <w:r>
        <w:fldChar w:fldCharType="end"/>
      </w:r>
    </w:p>
    <w:p w14:paraId="3B3FB58E">
      <w:pPr>
        <w:shd w:val="clear" w:color="auto" w:fill="FFFFFF"/>
        <w:snapToGrid w:val="0"/>
        <w:jc w:val="both"/>
        <w:rPr>
          <w:rFonts w:eastAsia="宋体"/>
          <w:b/>
          <w:sz w:val="21"/>
          <w:szCs w:val="21"/>
        </w:rPr>
      </w:pPr>
      <w:r>
        <w:rPr>
          <w:rFonts w:eastAsia="宋体"/>
          <w:sz w:val="21"/>
          <w:szCs w:val="21"/>
        </w:rPr>
        <w:fldChar w:fldCharType="end"/>
      </w:r>
    </w:p>
    <w:p w14:paraId="1624EA12">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21347415">
      <w:pPr>
        <w:pStyle w:val="16"/>
        <w:pBdr>
          <w:bottom w:val="single" w:color="auto" w:sz="6" w:space="1"/>
        </w:pBdr>
        <w:jc w:val="center"/>
        <w:rPr>
          <w:rFonts w:eastAsia="宋体"/>
          <w:sz w:val="60"/>
          <w:szCs w:val="60"/>
        </w:rPr>
      </w:pPr>
      <w:r>
        <w:rPr>
          <w:rFonts w:eastAsia="宋体"/>
          <w:b/>
          <w:bCs/>
          <w:sz w:val="60"/>
          <w:szCs w:val="60"/>
        </w:rPr>
        <w:t>根据最小负担条款制定和答复补正资料</w:t>
      </w:r>
    </w:p>
    <w:p w14:paraId="2209C46A">
      <w:pPr>
        <w:pStyle w:val="16"/>
        <w:jc w:val="center"/>
        <w:rPr>
          <w:rFonts w:eastAsia="宋体"/>
          <w:b/>
          <w:bCs/>
          <w:sz w:val="56"/>
          <w:szCs w:val="56"/>
        </w:rPr>
      </w:pPr>
      <w:r>
        <w:rPr>
          <w:rFonts w:eastAsia="宋体"/>
          <w:b/>
          <w:bCs/>
          <w:sz w:val="56"/>
          <w:szCs w:val="56"/>
        </w:rPr>
        <w:t>行业和美国食品药品监督管理局工作人员指南</w:t>
      </w:r>
    </w:p>
    <w:p w14:paraId="6BC0D479">
      <w:pPr>
        <w:shd w:val="clear" w:color="auto" w:fill="FFFFFF"/>
        <w:snapToGrid w:val="0"/>
        <w:jc w:val="both"/>
        <w:rPr>
          <w:rFonts w:eastAsia="宋体"/>
          <w:b/>
          <w:bCs/>
          <w:i/>
          <w:iCs/>
          <w:color w:val="000000"/>
          <w:sz w:val="21"/>
          <w:szCs w:val="21"/>
        </w:rPr>
      </w:pPr>
    </w:p>
    <w:p w14:paraId="32D81894">
      <w:pPr>
        <w:pBdr>
          <w:top w:val="thinThickThinSmallGap" w:color="auto" w:sz="24" w:space="1"/>
          <w:left w:val="thinThickThinSmallGap" w:color="auto" w:sz="24" w:space="4"/>
          <w:bottom w:val="thinThickThinSmallGap" w:color="auto" w:sz="24" w:space="1"/>
          <w:right w:val="thinThickThinSmallGap" w:color="auto" w:sz="24" w:space="4"/>
        </w:pBdr>
        <w:snapToGrid w:val="0"/>
        <w:jc w:val="both"/>
        <w:rPr>
          <w:rFonts w:eastAsia="宋体"/>
        </w:rPr>
      </w:pPr>
      <w:bookmarkStart w:id="0" w:name="OLE_LINK1"/>
      <w:r>
        <w:rPr>
          <w:rFonts w:hint="eastAsia" w:eastAsia="宋体"/>
          <w:b/>
          <w:bCs/>
          <w:i/>
          <w:iCs/>
          <w:color w:val="000000"/>
          <w:sz w:val="21"/>
          <w:szCs w:val="21"/>
        </w:rPr>
        <w:t>本指南代表美国食品药品监督管理局（FDA）对该主题的当前看法。本文件不赋予任何人任何权利，对FDA或公众不具有约束力。如果替代方法满足适用的情形和法规 的要求，则贵司可使用替代方法。如需讨论替代方法，请联系标题页所列负责本指南的FDA工作人员或办公室。</w:t>
      </w:r>
      <w:bookmarkEnd w:id="0"/>
    </w:p>
    <w:p w14:paraId="2733A9A7">
      <w:pPr>
        <w:shd w:val="clear" w:color="auto" w:fill="FFFFFF"/>
        <w:snapToGrid w:val="0"/>
        <w:jc w:val="both"/>
        <w:rPr>
          <w:rFonts w:eastAsia="宋体"/>
          <w:color w:val="000000"/>
          <w:sz w:val="24"/>
          <w:szCs w:val="24"/>
        </w:rPr>
      </w:pPr>
      <w:r>
        <w:rPr>
          <w:rFonts w:eastAsia="宋体"/>
          <w:b/>
          <w:bCs/>
          <w:sz w:val="36"/>
          <w:szCs w:val="36"/>
        </w:rPr>
        <w:t>I.</w:t>
      </w:r>
      <w:r>
        <w:rPr>
          <w:rFonts w:eastAsia="宋体"/>
          <w:b/>
          <w:bCs/>
          <w:sz w:val="36"/>
          <w:szCs w:val="36"/>
        </w:rPr>
        <w:tab/>
      </w:r>
      <w:r>
        <w:rPr>
          <w:rFonts w:hint="eastAsia" w:eastAsia="宋体"/>
          <w:b/>
          <w:bCs/>
          <w:sz w:val="36"/>
          <w:szCs w:val="36"/>
        </w:rPr>
        <w:t>前言</w:t>
      </w:r>
    </w:p>
    <w:p w14:paraId="040034E0">
      <w:pPr>
        <w:shd w:val="clear" w:color="auto" w:fill="FFFFFF"/>
        <w:snapToGrid w:val="0"/>
        <w:jc w:val="both"/>
        <w:rPr>
          <w:rFonts w:eastAsia="宋体"/>
          <w:color w:val="000000"/>
          <w:sz w:val="24"/>
          <w:szCs w:val="24"/>
        </w:rPr>
      </w:pPr>
      <w:r>
        <w:rPr>
          <w:rFonts w:eastAsia="宋体"/>
          <w:color w:val="000000"/>
          <w:sz w:val="24"/>
          <w:szCs w:val="24"/>
        </w:rPr>
        <w:t>本指导文件旨在帮助美国食品药品监督管理局（FDA）工作人员根据《联邦食品、药品和化妆品法案》（《FD&amp;C法案》）中的最小负担条款，提出对医疗器械上市申请做出决定所需的额外信息的要求。FDA这种对提供额外信息的要求称为</w:t>
      </w:r>
      <w:r>
        <w:rPr>
          <w:rFonts w:ascii="宋体" w:hAnsi="宋体" w:eastAsia="宋体"/>
          <w:color w:val="000000"/>
          <w:sz w:val="24"/>
          <w:szCs w:val="24"/>
        </w:rPr>
        <w:t>“</w:t>
      </w:r>
      <w:r>
        <w:rPr>
          <w:rFonts w:eastAsia="宋体"/>
          <w:color w:val="000000"/>
          <w:sz w:val="24"/>
          <w:szCs w:val="24"/>
        </w:rPr>
        <w:t>补正</w:t>
      </w:r>
      <w:r>
        <w:rPr>
          <w:rFonts w:ascii="宋体" w:hAnsi="宋体" w:eastAsia="宋体"/>
          <w:color w:val="000000"/>
          <w:sz w:val="24"/>
          <w:szCs w:val="24"/>
        </w:rPr>
        <w:t>”</w:t>
      </w:r>
      <w:r>
        <w:rPr>
          <w:rFonts w:eastAsia="宋体"/>
          <w:color w:val="000000"/>
          <w:sz w:val="24"/>
          <w:szCs w:val="24"/>
        </w:rPr>
        <w:t>。此外，本指南还描述了FDA工作人员沟通补正资料的建议格式，以及行业答复此类要求所采用的建议格式，以便有效利用行业及FDA的时间。本指南包括精心构建的补正资料和行业答复的示例，以促进有效的审评过程。本指南还详细说明了监督审查、主要/次要缺陷、</w:t>
      </w:r>
      <w:r>
        <w:rPr>
          <w:rFonts w:hint="eastAsia" w:eastAsia="宋体"/>
          <w:color w:val="000000"/>
          <w:sz w:val="24"/>
          <w:szCs w:val="24"/>
        </w:rPr>
        <w:t>其他</w:t>
      </w:r>
      <w:r>
        <w:rPr>
          <w:rFonts w:eastAsia="宋体"/>
          <w:color w:val="000000"/>
          <w:sz w:val="24"/>
          <w:szCs w:val="24"/>
        </w:rPr>
        <w:t>考虑事项以及FDA发补单中补正资料的优先顺序。</w:t>
      </w:r>
    </w:p>
    <w:p w14:paraId="16F93A9D">
      <w:pPr>
        <w:shd w:val="clear" w:color="auto" w:fill="FFFFFF"/>
        <w:snapToGrid w:val="0"/>
        <w:jc w:val="both"/>
        <w:rPr>
          <w:rFonts w:eastAsia="宋体"/>
          <w:sz w:val="24"/>
          <w:szCs w:val="24"/>
        </w:rPr>
      </w:pPr>
    </w:p>
    <w:p w14:paraId="724A4637">
      <w:pPr>
        <w:shd w:val="clear" w:color="auto" w:fill="FFFFFF"/>
        <w:snapToGrid w:val="0"/>
        <w:jc w:val="both"/>
        <w:rPr>
          <w:rFonts w:eastAsia="宋体"/>
          <w:color w:val="000000"/>
          <w:sz w:val="24"/>
          <w:szCs w:val="24"/>
        </w:rPr>
      </w:pPr>
      <w:r>
        <w:rPr>
          <w:rFonts w:eastAsia="宋体"/>
          <w:color w:val="000000"/>
          <w:sz w:val="24"/>
          <w:szCs w:val="24"/>
        </w:rPr>
        <w:t>有关本文件中引用的FDA认可的标准的最新版本，请参见FDA认可的共识标准数据库，网站：</w:t>
      </w:r>
    </w:p>
    <w:p w14:paraId="26749A21">
      <w:pPr>
        <w:shd w:val="clear" w:color="auto" w:fill="FFFFFF"/>
        <w:snapToGrid w:val="0"/>
        <w:jc w:val="both"/>
        <w:rPr>
          <w:rFonts w:eastAsia="宋体"/>
          <w:sz w:val="24"/>
          <w:szCs w:val="24"/>
        </w:rPr>
      </w:pPr>
      <w:r>
        <w:fldChar w:fldCharType="begin"/>
      </w:r>
      <w:r>
        <w:instrText xml:space="preserve"> HYPERLINK "http://www.accessdata.fda.gov/scripts/cdrh/cfdocs/cfStandards/search.cfm" </w:instrText>
      </w:r>
      <w:r>
        <w:fldChar w:fldCharType="separate"/>
      </w:r>
      <w:r>
        <w:rPr>
          <w:rStyle w:val="12"/>
          <w:rFonts w:eastAsia="宋体"/>
          <w:sz w:val="24"/>
          <w:szCs w:val="24"/>
        </w:rPr>
        <w:t>http://www.accessdata.fda.gov/scripts/cdrh/cfdocs/cfStandards/search.cfm</w:t>
      </w:r>
      <w:r>
        <w:rPr>
          <w:rStyle w:val="12"/>
          <w:rFonts w:eastAsia="宋体"/>
          <w:sz w:val="24"/>
          <w:szCs w:val="24"/>
        </w:rPr>
        <w:fldChar w:fldCharType="end"/>
      </w:r>
      <w:r>
        <w:rPr>
          <w:rFonts w:hint="eastAsia" w:eastAsia="宋体"/>
          <w:color w:val="000000"/>
          <w:sz w:val="24"/>
          <w:szCs w:val="24"/>
        </w:rPr>
        <w:t>。</w:t>
      </w:r>
    </w:p>
    <w:p w14:paraId="62499810">
      <w:pPr>
        <w:shd w:val="clear" w:color="auto" w:fill="FFFFFF"/>
        <w:snapToGrid w:val="0"/>
        <w:jc w:val="both"/>
        <w:rPr>
          <w:rFonts w:eastAsia="宋体"/>
          <w:color w:val="000000"/>
          <w:sz w:val="24"/>
          <w:szCs w:val="24"/>
        </w:rPr>
      </w:pPr>
    </w:p>
    <w:p w14:paraId="3C5B80DE">
      <w:pPr>
        <w:shd w:val="clear" w:color="auto" w:fill="FFFFFF"/>
        <w:snapToGrid w:val="0"/>
        <w:jc w:val="both"/>
        <w:rPr>
          <w:rFonts w:eastAsia="宋体"/>
          <w:sz w:val="24"/>
          <w:szCs w:val="24"/>
        </w:rPr>
      </w:pPr>
      <w:r>
        <w:rPr>
          <w:rFonts w:hint="eastAsia" w:eastAsia="宋体"/>
          <w:color w:val="000000"/>
          <w:sz w:val="24"/>
          <w:szCs w:val="24"/>
        </w:rPr>
        <w:t>FDA指南文件，包括本指南，并未规定具有法律强制力的责任。相反，指南描述了FDA对该主题的当前看法，除非引用了具体监管或法定要求，否则应仅视为建议。FDA指南中使用的“应该（should）”一词指建议或推荐进行某一事项，并非强制要求。</w:t>
      </w:r>
      <w:r>
        <w:rPr>
          <w:rFonts w:eastAsia="宋体"/>
          <w:color w:val="000000"/>
          <w:sz w:val="24"/>
          <w:szCs w:val="24"/>
        </w:rPr>
        <w:t>在本指导文件中，</w:t>
      </w:r>
      <w:r>
        <w:rPr>
          <w:rFonts w:ascii="宋体" w:hAnsi="宋体" w:eastAsia="宋体"/>
          <w:color w:val="000000"/>
          <w:sz w:val="24"/>
          <w:szCs w:val="24"/>
        </w:rPr>
        <w:t>“</w:t>
      </w:r>
      <w:r>
        <w:rPr>
          <w:rFonts w:eastAsia="宋体"/>
          <w:color w:val="000000"/>
          <w:sz w:val="24"/>
          <w:szCs w:val="24"/>
        </w:rPr>
        <w:t>我们</w:t>
      </w:r>
      <w:r>
        <w:rPr>
          <w:rFonts w:ascii="宋体" w:hAnsi="宋体" w:eastAsia="宋体"/>
          <w:color w:val="000000"/>
          <w:sz w:val="24"/>
          <w:szCs w:val="24"/>
        </w:rPr>
        <w:t>”</w:t>
      </w:r>
      <w:r>
        <w:rPr>
          <w:rFonts w:eastAsia="宋体"/>
          <w:color w:val="000000"/>
          <w:sz w:val="24"/>
          <w:szCs w:val="24"/>
        </w:rPr>
        <w:t>和</w:t>
      </w:r>
      <w:r>
        <w:rPr>
          <w:rFonts w:ascii="宋体" w:hAnsi="宋体" w:eastAsia="宋体"/>
          <w:color w:val="000000"/>
          <w:sz w:val="24"/>
          <w:szCs w:val="24"/>
        </w:rPr>
        <w:t>“</w:t>
      </w:r>
      <w:r>
        <w:rPr>
          <w:rFonts w:eastAsia="宋体"/>
          <w:color w:val="000000"/>
          <w:sz w:val="24"/>
          <w:szCs w:val="24"/>
        </w:rPr>
        <w:t>我们的</w:t>
      </w:r>
      <w:r>
        <w:rPr>
          <w:rFonts w:ascii="宋体" w:hAnsi="宋体" w:eastAsia="宋体"/>
          <w:color w:val="000000"/>
          <w:sz w:val="24"/>
          <w:szCs w:val="24"/>
        </w:rPr>
        <w:t>”</w:t>
      </w:r>
      <w:r>
        <w:rPr>
          <w:rFonts w:eastAsia="宋体"/>
          <w:color w:val="000000"/>
          <w:sz w:val="24"/>
          <w:szCs w:val="24"/>
        </w:rPr>
        <w:t>指参与上市申请审评和决策方面的医疗器械与放射健康中心（CDRH）或生物制品评价和研究中心（CBER）的FDA工作人员。</w:t>
      </w:r>
      <w:r>
        <w:rPr>
          <w:rFonts w:ascii="宋体" w:hAnsi="宋体" w:eastAsia="宋体"/>
          <w:color w:val="000000"/>
          <w:sz w:val="24"/>
          <w:szCs w:val="24"/>
        </w:rPr>
        <w:t>“</w:t>
      </w:r>
      <w:r>
        <w:rPr>
          <w:rFonts w:eastAsia="宋体"/>
          <w:color w:val="000000"/>
          <w:sz w:val="24"/>
          <w:szCs w:val="24"/>
        </w:rPr>
        <w:t>您</w:t>
      </w:r>
      <w:r>
        <w:rPr>
          <w:rFonts w:ascii="宋体" w:hAnsi="宋体" w:eastAsia="宋体"/>
          <w:color w:val="000000"/>
          <w:sz w:val="24"/>
          <w:szCs w:val="24"/>
        </w:rPr>
        <w:t>”</w:t>
      </w:r>
      <w:r>
        <w:rPr>
          <w:rFonts w:eastAsia="宋体"/>
          <w:color w:val="000000"/>
          <w:sz w:val="24"/>
          <w:szCs w:val="24"/>
        </w:rPr>
        <w:t>、</w:t>
      </w:r>
      <w:r>
        <w:rPr>
          <w:rFonts w:ascii="宋体" w:hAnsi="宋体" w:eastAsia="宋体"/>
          <w:color w:val="000000"/>
          <w:sz w:val="24"/>
          <w:szCs w:val="24"/>
        </w:rPr>
        <w:t>“</w:t>
      </w:r>
      <w:r>
        <w:rPr>
          <w:rFonts w:eastAsia="宋体"/>
          <w:color w:val="000000"/>
          <w:sz w:val="24"/>
          <w:szCs w:val="24"/>
        </w:rPr>
        <w:t>您的</w:t>
      </w:r>
      <w:r>
        <w:rPr>
          <w:rFonts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申请人</w:t>
      </w:r>
      <w:r>
        <w:rPr>
          <w:rFonts w:ascii="宋体" w:hAnsi="宋体" w:eastAsia="宋体"/>
          <w:color w:val="000000"/>
          <w:sz w:val="24"/>
          <w:szCs w:val="24"/>
        </w:rPr>
        <w:t>”</w:t>
      </w:r>
      <w:r>
        <w:rPr>
          <w:rFonts w:eastAsia="宋体"/>
          <w:color w:val="000000"/>
          <w:sz w:val="24"/>
          <w:szCs w:val="24"/>
        </w:rPr>
        <w:t>指上市前申请的递交人。</w:t>
      </w:r>
    </w:p>
    <w:p w14:paraId="1D6BA36F">
      <w:pPr>
        <w:shd w:val="clear" w:color="auto" w:fill="FFFFFF"/>
        <w:snapToGrid w:val="0"/>
        <w:jc w:val="both"/>
        <w:rPr>
          <w:rFonts w:eastAsia="宋体"/>
          <w:sz w:val="24"/>
          <w:szCs w:val="24"/>
        </w:rPr>
      </w:pPr>
    </w:p>
    <w:p w14:paraId="4569AA8C">
      <w:pPr>
        <w:shd w:val="clear" w:color="auto" w:fill="FFFFFF"/>
        <w:snapToGrid w:val="0"/>
        <w:jc w:val="both"/>
        <w:rPr>
          <w:rFonts w:eastAsia="宋体"/>
          <w:sz w:val="21"/>
          <w:szCs w:val="21"/>
        </w:rPr>
      </w:pPr>
    </w:p>
    <w:p w14:paraId="01C092CE">
      <w:pPr>
        <w:shd w:val="clear" w:color="auto" w:fill="FFFFFF"/>
        <w:snapToGrid w:val="0"/>
        <w:jc w:val="both"/>
        <w:rPr>
          <w:rFonts w:eastAsia="宋体"/>
          <w:sz w:val="21"/>
          <w:szCs w:val="21"/>
        </w:rPr>
        <w:sectPr>
          <w:footerReference r:id="rId5" w:type="default"/>
          <w:pgSz w:w="11906" w:h="16838"/>
          <w:pgMar w:top="1134" w:right="1417" w:bottom="1134" w:left="1417" w:header="850" w:footer="720" w:gutter="0"/>
          <w:pgNumType w:start="1"/>
          <w:cols w:space="60" w:num="1"/>
          <w:docGrid w:linePitch="272" w:charSpace="0"/>
        </w:sectPr>
      </w:pPr>
    </w:p>
    <w:p w14:paraId="53CCA96C">
      <w:pPr>
        <w:pStyle w:val="2"/>
        <w:spacing w:before="240" w:after="240"/>
        <w:rPr>
          <w:rFonts w:eastAsia="宋体"/>
        </w:rPr>
      </w:pPr>
      <w:bookmarkStart w:id="1" w:name="bookmark1"/>
      <w:bookmarkStart w:id="2" w:name="_Toc97486028"/>
      <w:r>
        <w:rPr>
          <w:rFonts w:eastAsia="宋体"/>
        </w:rPr>
        <w:t>I</w:t>
      </w:r>
      <w:bookmarkEnd w:id="1"/>
      <w:r>
        <w:rPr>
          <w:rFonts w:eastAsia="宋体"/>
        </w:rPr>
        <w:t>I.</w:t>
      </w:r>
      <w:r>
        <w:rPr>
          <w:rFonts w:eastAsia="宋体"/>
        </w:rPr>
        <w:tab/>
      </w:r>
      <w:r>
        <w:rPr>
          <w:rFonts w:eastAsia="宋体"/>
        </w:rPr>
        <w:t>背景</w:t>
      </w:r>
      <w:bookmarkEnd w:id="2"/>
    </w:p>
    <w:p w14:paraId="6D8C841A">
      <w:pPr>
        <w:shd w:val="clear" w:color="auto" w:fill="FFFFFF"/>
        <w:snapToGrid w:val="0"/>
        <w:jc w:val="both"/>
        <w:rPr>
          <w:rFonts w:eastAsia="宋体"/>
          <w:color w:val="000000"/>
          <w:sz w:val="24"/>
          <w:szCs w:val="24"/>
        </w:rPr>
      </w:pPr>
      <w:r>
        <w:rPr>
          <w:rFonts w:eastAsia="宋体"/>
          <w:color w:val="000000"/>
          <w:sz w:val="24"/>
          <w:szCs w:val="24"/>
        </w:rPr>
        <w:t>FDA审评人员经常确定需要递交额外信息，以便对安全性和有效性的合理保证（RASE）进行上市前批准（PMA）确定，对安全性和可能的</w:t>
      </w:r>
      <w:r>
        <w:rPr>
          <w:rFonts w:hint="eastAsia" w:eastAsia="宋体"/>
          <w:color w:val="000000"/>
          <w:sz w:val="24"/>
          <w:szCs w:val="24"/>
        </w:rPr>
        <w:t>获益</w:t>
      </w:r>
      <w:r>
        <w:rPr>
          <w:rFonts w:eastAsia="宋体"/>
          <w:color w:val="000000"/>
          <w:sz w:val="24"/>
          <w:szCs w:val="24"/>
        </w:rPr>
        <w:t>进行人道主义器械豁免（HDE）确定，对实质等同性（SE）进行510（k）确定，或对重新申请进行分类确定。在本指导文件中，PMA、510（k）、HDE和</w:t>
      </w:r>
      <w:r>
        <w:rPr>
          <w:sz w:val="23"/>
          <w:szCs w:val="23"/>
        </w:rPr>
        <w:t>De Novo</w:t>
      </w:r>
      <w:r>
        <w:rPr>
          <w:rFonts w:eastAsia="宋体"/>
          <w:color w:val="000000"/>
          <w:sz w:val="24"/>
          <w:szCs w:val="24"/>
        </w:rPr>
        <w:t>上市前递交将统称为上市申请。此外，在本指导文件中，FDA对这些申请所做的决定将统称为上市许可（例如，PMA批准、510（k）批准、HDE批准和</w:t>
      </w:r>
      <w:r>
        <w:rPr>
          <w:sz w:val="23"/>
          <w:szCs w:val="23"/>
        </w:rPr>
        <w:t>De Novo</w:t>
      </w:r>
      <w:r>
        <w:rPr>
          <w:rFonts w:eastAsia="宋体"/>
          <w:color w:val="000000"/>
          <w:sz w:val="24"/>
          <w:szCs w:val="24"/>
        </w:rPr>
        <w:t>授权通知单）。FDA要求提供完成审评过程所需的额外信息俗称为</w:t>
      </w:r>
      <w:r>
        <w:rPr>
          <w:rFonts w:ascii="宋体" w:hAnsi="宋体" w:eastAsia="宋体"/>
          <w:color w:val="000000"/>
          <w:sz w:val="24"/>
          <w:szCs w:val="24"/>
        </w:rPr>
        <w:t>“</w:t>
      </w:r>
      <w:r>
        <w:rPr>
          <w:rFonts w:eastAsia="宋体"/>
          <w:color w:val="000000"/>
          <w:sz w:val="24"/>
          <w:szCs w:val="24"/>
        </w:rPr>
        <w:t>补正资料</w:t>
      </w:r>
      <w:r>
        <w:rPr>
          <w:rFonts w:ascii="宋体" w:hAnsi="宋体" w:eastAsia="宋体"/>
          <w:color w:val="000000"/>
          <w:sz w:val="24"/>
          <w:szCs w:val="24"/>
        </w:rPr>
        <w:t>”</w:t>
      </w:r>
      <w:r>
        <w:rPr>
          <w:rFonts w:eastAsia="宋体"/>
          <w:color w:val="000000"/>
          <w:sz w:val="24"/>
          <w:szCs w:val="24"/>
        </w:rPr>
        <w:t>。</w:t>
      </w:r>
    </w:p>
    <w:p w14:paraId="42B4D18E">
      <w:pPr>
        <w:shd w:val="clear" w:color="auto" w:fill="FFFFFF"/>
        <w:snapToGrid w:val="0"/>
        <w:jc w:val="both"/>
        <w:rPr>
          <w:rFonts w:eastAsia="宋体"/>
          <w:sz w:val="24"/>
          <w:szCs w:val="24"/>
        </w:rPr>
      </w:pPr>
    </w:p>
    <w:p w14:paraId="2DD81505">
      <w:pPr>
        <w:shd w:val="clear" w:color="auto" w:fill="FFFFFF"/>
        <w:snapToGrid w:val="0"/>
        <w:jc w:val="both"/>
        <w:rPr>
          <w:rFonts w:eastAsia="宋体"/>
          <w:color w:val="000000"/>
          <w:sz w:val="24"/>
          <w:szCs w:val="24"/>
        </w:rPr>
      </w:pPr>
      <w:r>
        <w:rPr>
          <w:rFonts w:eastAsia="宋体"/>
          <w:color w:val="000000"/>
          <w:sz w:val="24"/>
          <w:szCs w:val="24"/>
        </w:rPr>
        <w:t>FDA可以通过交互式审评或通过发补单传达补正资料。一般说来，FDA使用交互式审评尝试通过电话或电子邮件与申请人解决次要缺陷和</w:t>
      </w:r>
      <w:r>
        <w:rPr>
          <w:rFonts w:hint="eastAsia" w:eastAsia="宋体"/>
          <w:color w:val="000000"/>
          <w:sz w:val="24"/>
          <w:szCs w:val="24"/>
        </w:rPr>
        <w:t>其他</w:t>
      </w:r>
      <w:r>
        <w:rPr>
          <w:rFonts w:eastAsia="宋体"/>
          <w:color w:val="000000"/>
          <w:sz w:val="24"/>
          <w:szCs w:val="24"/>
        </w:rPr>
        <w:t>考虑事项，而不会正式搁置递交。发补单通过电子邮件发送，通常至少包括一个主要问题，并将上市申请搁置，等待FDA收到所要求的额外信息。FDA将PMA和HDE发补单称为</w:t>
      </w:r>
      <w:r>
        <w:rPr>
          <w:rFonts w:ascii="宋体" w:hAnsi="宋体" w:eastAsia="宋体"/>
          <w:color w:val="000000"/>
          <w:sz w:val="24"/>
          <w:szCs w:val="24"/>
        </w:rPr>
        <w:t>“</w:t>
      </w:r>
      <w:r>
        <w:rPr>
          <w:rFonts w:eastAsia="宋体"/>
          <w:color w:val="000000"/>
          <w:sz w:val="24"/>
          <w:szCs w:val="24"/>
        </w:rPr>
        <w:t>主要发补单</w:t>
      </w:r>
      <w:r>
        <w:rPr>
          <w:rFonts w:ascii="宋体" w:hAnsi="宋体" w:eastAsia="宋体"/>
          <w:color w:val="000000"/>
          <w:sz w:val="24"/>
          <w:szCs w:val="24"/>
        </w:rPr>
        <w:t>”</w:t>
      </w:r>
      <w:r>
        <w:rPr>
          <w:rFonts w:eastAsia="宋体"/>
          <w:color w:val="000000"/>
          <w:sz w:val="24"/>
          <w:szCs w:val="24"/>
        </w:rPr>
        <w:t>，将510（k）和</w:t>
      </w:r>
      <w:r>
        <w:rPr>
          <w:sz w:val="23"/>
          <w:szCs w:val="23"/>
        </w:rPr>
        <w:t>De Novo</w:t>
      </w:r>
      <w:r>
        <w:rPr>
          <w:rFonts w:eastAsia="宋体"/>
          <w:color w:val="000000"/>
          <w:sz w:val="24"/>
          <w:szCs w:val="24"/>
        </w:rPr>
        <w:t>发补单称为</w:t>
      </w:r>
      <w:r>
        <w:rPr>
          <w:rFonts w:ascii="宋体" w:hAnsi="宋体" w:eastAsia="宋体"/>
          <w:color w:val="000000"/>
          <w:sz w:val="24"/>
          <w:szCs w:val="24"/>
        </w:rPr>
        <w:t>“</w:t>
      </w:r>
      <w:r>
        <w:rPr>
          <w:rFonts w:eastAsia="宋体"/>
          <w:color w:val="000000"/>
          <w:sz w:val="24"/>
          <w:szCs w:val="24"/>
        </w:rPr>
        <w:t>额外信息单</w:t>
      </w:r>
      <w:r>
        <w:rPr>
          <w:rFonts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额外信息申请</w:t>
      </w:r>
      <w:r>
        <w:rPr>
          <w:rFonts w:ascii="宋体" w:hAnsi="宋体" w:eastAsia="宋体"/>
          <w:color w:val="000000"/>
          <w:sz w:val="24"/>
          <w:szCs w:val="24"/>
        </w:rPr>
        <w:t>”</w:t>
      </w:r>
      <w:r>
        <w:rPr>
          <w:rFonts w:eastAsia="宋体"/>
          <w:color w:val="000000"/>
          <w:sz w:val="24"/>
          <w:szCs w:val="24"/>
        </w:rPr>
        <w:t>。有关交互式审评以及医疗器械递交被搁置的更多信息，请参见FDA指导文件</w:t>
      </w:r>
      <w:r>
        <w:rPr>
          <w:rFonts w:ascii="宋体" w:hAnsi="宋体" w:eastAsia="宋体"/>
          <w:color w:val="000000"/>
          <w:sz w:val="24"/>
          <w:szCs w:val="24"/>
        </w:rPr>
        <w:t>“</w:t>
      </w:r>
      <w:r>
        <w:rPr>
          <w:rFonts w:eastAsia="宋体"/>
          <w:color w:val="000000"/>
          <w:sz w:val="24"/>
          <w:szCs w:val="24"/>
        </w:rPr>
        <w:t>医疗器械递交资料审评期间的沟通类型</w:t>
      </w:r>
      <w:r>
        <w:rPr>
          <w:rFonts w:ascii="宋体" w:hAnsi="宋体" w:eastAsia="宋体"/>
          <w:color w:val="000000"/>
          <w:sz w:val="24"/>
          <w:szCs w:val="24"/>
        </w:rPr>
        <w:t>”</w:t>
      </w:r>
      <w:r>
        <w:rPr>
          <w:rFonts w:eastAsia="宋体"/>
          <w:color w:val="000000"/>
          <w:sz w:val="24"/>
          <w:szCs w:val="24"/>
        </w:rPr>
        <w:t>，</w:t>
      </w:r>
    </w:p>
    <w:p w14:paraId="55AB31E3">
      <w:pPr>
        <w:shd w:val="clear" w:color="auto" w:fill="FFFFFF"/>
        <w:snapToGrid w:val="0"/>
        <w:jc w:val="both"/>
        <w:rPr>
          <w:rFonts w:eastAsia="宋体"/>
          <w:sz w:val="24"/>
          <w:szCs w:val="24"/>
        </w:rPr>
      </w:pPr>
      <w:r>
        <w:rPr>
          <w:rFonts w:eastAsia="宋体"/>
          <w:color w:val="000000"/>
          <w:sz w:val="24"/>
          <w:szCs w:val="24"/>
        </w:rPr>
        <w:t>（</w:t>
      </w:r>
      <w:r>
        <w:rPr>
          <w:rFonts w:eastAsia="宋体"/>
          <w:color w:val="0000FF"/>
          <w:sz w:val="24"/>
          <w:szCs w:val="24"/>
          <w:u w:val="single"/>
        </w:rPr>
        <w:t>https://www.fda.gov/downloads/MedicalDevices/DeviceRegulationandGuidance/GuidanceDocuments/UCM341948.pdf</w:t>
      </w:r>
      <w:r>
        <w:rPr>
          <w:rFonts w:eastAsia="宋体"/>
          <w:color w:val="000000"/>
          <w:sz w:val="24"/>
          <w:szCs w:val="24"/>
        </w:rPr>
        <w:t>），</w:t>
      </w:r>
      <w:r>
        <w:rPr>
          <w:rFonts w:ascii="宋体" w:hAnsi="宋体" w:eastAsia="宋体"/>
          <w:color w:val="000000"/>
          <w:sz w:val="24"/>
          <w:szCs w:val="24"/>
        </w:rPr>
        <w:t>“</w:t>
      </w:r>
      <w:r>
        <w:rPr>
          <w:rFonts w:eastAsia="宋体"/>
          <w:color w:val="000000"/>
          <w:sz w:val="24"/>
          <w:szCs w:val="24"/>
        </w:rPr>
        <w:t>关于上市前通知（510（k））递交的FDA及行业行动：对FDA审评时钟和目标的影响，</w:t>
      </w:r>
      <w:r>
        <w:rPr>
          <w:rFonts w:ascii="宋体" w:hAnsi="宋体" w:eastAsia="宋体"/>
          <w:color w:val="000000"/>
          <w:sz w:val="24"/>
          <w:szCs w:val="24"/>
        </w:rPr>
        <w:t>”</w:t>
      </w:r>
    </w:p>
    <w:p w14:paraId="23A5BFD6">
      <w:pPr>
        <w:shd w:val="clear" w:color="auto" w:fill="FFFFFF"/>
        <w:snapToGrid w:val="0"/>
        <w:jc w:val="both"/>
        <w:rPr>
          <w:rFonts w:eastAsia="宋体"/>
          <w:sz w:val="24"/>
          <w:szCs w:val="24"/>
        </w:rPr>
      </w:pPr>
      <w:r>
        <w:rPr>
          <w:rFonts w:eastAsia="宋体"/>
          <w:color w:val="000000"/>
          <w:sz w:val="24"/>
          <w:szCs w:val="24"/>
        </w:rPr>
        <w:t>（</w:t>
      </w:r>
      <w:r>
        <w:rPr>
          <w:rFonts w:eastAsia="宋体"/>
          <w:color w:val="0000FF"/>
          <w:sz w:val="24"/>
          <w:szCs w:val="24"/>
          <w:u w:val="single"/>
        </w:rPr>
        <w:t>http://www.fda.gov/downloads/MedicalDevices/DeviceRegulationandGuidance/GuidanceDocuments/ucm089738.pdf</w:t>
      </w:r>
      <w:r>
        <w:rPr>
          <w:rFonts w:eastAsia="宋体"/>
          <w:color w:val="000000"/>
          <w:sz w:val="24"/>
          <w:szCs w:val="24"/>
        </w:rPr>
        <w:t>），</w:t>
      </w:r>
      <w:r>
        <w:rPr>
          <w:rFonts w:ascii="宋体" w:hAnsi="宋体" w:eastAsia="宋体"/>
          <w:color w:val="000000"/>
          <w:sz w:val="24"/>
          <w:szCs w:val="24"/>
        </w:rPr>
        <w:t>“</w:t>
      </w:r>
      <w:r>
        <w:rPr>
          <w:rFonts w:eastAsia="宋体"/>
          <w:color w:val="000000"/>
          <w:sz w:val="24"/>
          <w:szCs w:val="24"/>
        </w:rPr>
        <w:t>关于上市前批准申请（PMA）的FDA及行业行动：对FDA审评时钟和目标的影响，</w:t>
      </w:r>
      <w:r>
        <w:rPr>
          <w:rFonts w:ascii="宋体" w:hAnsi="宋体" w:eastAsia="宋体"/>
          <w:color w:val="000000"/>
          <w:sz w:val="24"/>
          <w:szCs w:val="24"/>
        </w:rPr>
        <w:t>”</w:t>
      </w:r>
    </w:p>
    <w:p w14:paraId="28BD3D93">
      <w:pPr>
        <w:shd w:val="clear" w:color="auto" w:fill="FFFFFF"/>
        <w:snapToGrid w:val="0"/>
        <w:jc w:val="both"/>
        <w:rPr>
          <w:rFonts w:eastAsia="宋体"/>
          <w:sz w:val="24"/>
          <w:szCs w:val="24"/>
        </w:rPr>
      </w:pPr>
      <w:r>
        <w:rPr>
          <w:rFonts w:eastAsia="宋体"/>
          <w:color w:val="000000"/>
          <w:sz w:val="24"/>
          <w:szCs w:val="24"/>
        </w:rPr>
        <w:t>（</w:t>
      </w:r>
      <w:r>
        <w:rPr>
          <w:rFonts w:eastAsia="宋体"/>
          <w:color w:val="0000FF"/>
          <w:sz w:val="24"/>
          <w:szCs w:val="24"/>
          <w:u w:val="single"/>
        </w:rPr>
        <w:t>http://www.fda.gov/downloads/MedicalDevices/DeviceRegulationandGuidance/GuidanceDocuments/ucm089734.pdf</w:t>
      </w:r>
      <w:r>
        <w:rPr>
          <w:rFonts w:eastAsia="宋体"/>
          <w:color w:val="000000"/>
          <w:sz w:val="24"/>
          <w:szCs w:val="24"/>
        </w:rPr>
        <w:t>），以及</w:t>
      </w:r>
      <w:r>
        <w:rPr>
          <w:rFonts w:ascii="宋体" w:hAnsi="宋体" w:eastAsia="宋体"/>
          <w:color w:val="000000"/>
          <w:sz w:val="24"/>
          <w:szCs w:val="24"/>
        </w:rPr>
        <w:t>“</w:t>
      </w:r>
      <w:r>
        <w:rPr>
          <w:rFonts w:eastAsia="宋体"/>
          <w:color w:val="000000"/>
          <w:sz w:val="24"/>
          <w:szCs w:val="24"/>
        </w:rPr>
        <w:t>关于重新申请的FDA及行业行动：对FDA审评时钟和目标的影响</w:t>
      </w:r>
      <w:r>
        <w:rPr>
          <w:rFonts w:ascii="宋体" w:hAnsi="宋体" w:eastAsia="宋体"/>
          <w:color w:val="000000"/>
          <w:sz w:val="24"/>
          <w:szCs w:val="24"/>
        </w:rPr>
        <w:t>”</w:t>
      </w:r>
    </w:p>
    <w:p w14:paraId="7EEFF927">
      <w:pPr>
        <w:shd w:val="clear" w:color="auto" w:fill="FFFFFF"/>
        <w:snapToGrid w:val="0"/>
        <w:jc w:val="both"/>
        <w:rPr>
          <w:rFonts w:eastAsia="宋体"/>
          <w:sz w:val="24"/>
          <w:szCs w:val="24"/>
        </w:rPr>
      </w:pPr>
      <w:r>
        <w:rPr>
          <w:rFonts w:eastAsia="宋体"/>
          <w:color w:val="000000"/>
          <w:sz w:val="24"/>
          <w:szCs w:val="24"/>
        </w:rPr>
        <w:t>(</w:t>
      </w:r>
      <w:r>
        <w:rPr>
          <w:rFonts w:eastAsia="宋体"/>
          <w:color w:val="0000FF"/>
          <w:sz w:val="24"/>
          <w:szCs w:val="24"/>
          <w:u w:val="single"/>
        </w:rPr>
        <w:t>https://www.fda.gov/downloads/MedicalDevices/DeviceRegulationandGuidance/GuidanceDocuments/UCM576305.pdf</w:t>
      </w:r>
      <w:r>
        <w:rPr>
          <w:rFonts w:eastAsia="宋体"/>
          <w:color w:val="000000"/>
          <w:sz w:val="24"/>
          <w:szCs w:val="24"/>
        </w:rPr>
        <w:t>)</w:t>
      </w:r>
      <w:r>
        <w:rPr>
          <w:rFonts w:hint="eastAsia" w:eastAsia="宋体"/>
          <w:color w:val="000000"/>
          <w:sz w:val="24"/>
          <w:szCs w:val="24"/>
        </w:rPr>
        <w:t>。</w:t>
      </w:r>
    </w:p>
    <w:p w14:paraId="57365BAE">
      <w:pPr>
        <w:shd w:val="clear" w:color="auto" w:fill="FFFFFF"/>
        <w:snapToGrid w:val="0"/>
        <w:jc w:val="both"/>
        <w:rPr>
          <w:rFonts w:eastAsia="宋体"/>
          <w:color w:val="000000"/>
          <w:sz w:val="24"/>
          <w:szCs w:val="24"/>
        </w:rPr>
      </w:pPr>
    </w:p>
    <w:p w14:paraId="5B680EA1">
      <w:pPr>
        <w:shd w:val="clear" w:color="auto" w:fill="FFFFFF"/>
        <w:snapToGrid w:val="0"/>
        <w:jc w:val="both"/>
        <w:rPr>
          <w:rFonts w:eastAsia="宋体"/>
          <w:sz w:val="24"/>
          <w:szCs w:val="24"/>
        </w:rPr>
      </w:pPr>
      <w:r>
        <w:rPr>
          <w:rFonts w:eastAsia="宋体"/>
          <w:color w:val="000000"/>
          <w:sz w:val="24"/>
          <w:szCs w:val="24"/>
        </w:rPr>
        <w:t>在有关实质性问题解决方案时（例如，修改拟议的适应症可能导致对标签和行政项目的修订），或者在交互式审评尝试后仍未解决的问题，仍可能在发补单中包含次要缺陷。如果在交互式审评尝试后仍未解决，额外考虑事项也可能包含在发补单中，但不需要申请人答复。</w:t>
      </w:r>
    </w:p>
    <w:p w14:paraId="42063052">
      <w:pPr>
        <w:shd w:val="clear" w:color="auto" w:fill="FFFFFF"/>
        <w:snapToGrid w:val="0"/>
        <w:jc w:val="both"/>
        <w:rPr>
          <w:rFonts w:eastAsia="宋体"/>
          <w:sz w:val="24"/>
          <w:szCs w:val="24"/>
        </w:rPr>
      </w:pPr>
    </w:p>
    <w:p w14:paraId="0278A0F8">
      <w:pPr>
        <w:shd w:val="clear" w:color="auto" w:fill="FFFFFF"/>
        <w:snapToGrid w:val="0"/>
        <w:jc w:val="both"/>
        <w:rPr>
          <w:rFonts w:eastAsia="宋体"/>
          <w:sz w:val="24"/>
          <w:szCs w:val="24"/>
        </w:rPr>
      </w:pPr>
    </w:p>
    <w:p w14:paraId="68C40223">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4292F3D3">
      <w:pPr>
        <w:shd w:val="clear" w:color="auto" w:fill="FFFFFF"/>
        <w:snapToGrid w:val="0"/>
        <w:jc w:val="both"/>
        <w:rPr>
          <w:rFonts w:eastAsia="宋体"/>
          <w:color w:val="000000"/>
          <w:sz w:val="24"/>
          <w:szCs w:val="24"/>
        </w:rPr>
      </w:pPr>
      <w:r>
        <w:rPr>
          <w:rFonts w:eastAsia="宋体"/>
          <w:color w:val="000000"/>
          <w:sz w:val="24"/>
          <w:szCs w:val="24"/>
        </w:rPr>
        <w:t>1997年，将美国食品药品监督管理局《现代化法案》（FDAMA）的最小负担条款添加到《联邦食品、药品和化妆品法案》中。根据《美国食品药品监督管理局安全与创新法案》（FDASIA）和《21世纪治愈法案》对最小负担条款进行了修正，并规定：</w:t>
      </w:r>
    </w:p>
    <w:p w14:paraId="1AA0C0D8">
      <w:pPr>
        <w:shd w:val="clear" w:color="auto" w:fill="FFFFFF"/>
        <w:snapToGrid w:val="0"/>
        <w:jc w:val="both"/>
        <w:rPr>
          <w:rFonts w:eastAsia="宋体"/>
          <w:sz w:val="24"/>
          <w:szCs w:val="24"/>
        </w:rPr>
      </w:pPr>
    </w:p>
    <w:p w14:paraId="2412D41F">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ascii="宋体" w:hAnsi="宋体" w:eastAsia="宋体"/>
          <w:color w:val="000000"/>
          <w:sz w:val="24"/>
          <w:szCs w:val="24"/>
        </w:rPr>
        <w:t>“</w:t>
      </w:r>
      <w:r>
        <w:rPr>
          <w:rFonts w:eastAsia="宋体"/>
          <w:color w:val="000000"/>
          <w:sz w:val="24"/>
          <w:szCs w:val="24"/>
        </w:rPr>
        <w:t>每当秘书要求提供信息证明具有不同技术特征的器械具有实质等同性时，秘书只应要求提供做出实质等同性决定所必需的信息。在提出这种要求时，秘书应考虑证明实质等同性的最小负担法，并据此要求提供信息。</w:t>
      </w:r>
      <w:r>
        <w:rPr>
          <w:rFonts w:ascii="宋体" w:hAnsi="宋体" w:eastAsia="宋体"/>
          <w:color w:val="000000"/>
          <w:sz w:val="24"/>
          <w:szCs w:val="24"/>
        </w:rPr>
        <w:t>”</w:t>
      </w:r>
      <w:r>
        <w:rPr>
          <w:rStyle w:val="13"/>
          <w:rFonts w:eastAsia="宋体"/>
          <w:color w:val="000000"/>
          <w:sz w:val="24"/>
          <w:szCs w:val="24"/>
        </w:rPr>
        <w:footnoteReference w:id="0"/>
      </w:r>
    </w:p>
    <w:p w14:paraId="01605ED7">
      <w:pPr>
        <w:shd w:val="clear" w:color="auto" w:fill="FFFFFF"/>
        <w:snapToGrid w:val="0"/>
        <w:ind w:left="660" w:leftChars="150" w:hanging="360" w:hangingChars="150"/>
        <w:jc w:val="both"/>
        <w:rPr>
          <w:rFonts w:eastAsia="宋体"/>
          <w:color w:val="000000"/>
          <w:sz w:val="24"/>
          <w:szCs w:val="24"/>
        </w:rPr>
      </w:pPr>
    </w:p>
    <w:p w14:paraId="69230CB5">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ascii="宋体" w:hAnsi="宋体" w:eastAsia="宋体"/>
          <w:color w:val="000000"/>
          <w:sz w:val="24"/>
          <w:szCs w:val="24"/>
        </w:rPr>
        <w:t>“</w:t>
      </w:r>
      <w:r>
        <w:rPr>
          <w:rFonts w:eastAsia="宋体"/>
          <w:color w:val="000000"/>
          <w:sz w:val="24"/>
          <w:szCs w:val="24"/>
        </w:rPr>
        <w:t>应根据这些数据对于建立器械有效性是必要的这一秘书决定来明确秘书书面规定用于证明器械有效性的合理保证的任何临床数据，包括一项或多项对照良好的研究。秘书应与申请人协商，考虑评价器械有效性的适当最小负担法，这种方法有合理的可能性获得批准。</w:t>
      </w:r>
      <w:r>
        <w:rPr>
          <w:rFonts w:ascii="宋体" w:hAnsi="宋体" w:eastAsia="宋体"/>
          <w:color w:val="000000"/>
          <w:sz w:val="24"/>
          <w:szCs w:val="24"/>
        </w:rPr>
        <w:t>”</w:t>
      </w:r>
      <w:r>
        <w:rPr>
          <w:rStyle w:val="13"/>
          <w:rFonts w:eastAsia="宋体"/>
          <w:color w:val="000000"/>
          <w:sz w:val="24"/>
          <w:szCs w:val="24"/>
        </w:rPr>
        <w:t xml:space="preserve"> </w:t>
      </w:r>
      <w:r>
        <w:rPr>
          <w:rStyle w:val="13"/>
          <w:rFonts w:eastAsia="宋体"/>
          <w:color w:val="000000"/>
          <w:sz w:val="24"/>
          <w:szCs w:val="24"/>
        </w:rPr>
        <w:footnoteReference w:id="1"/>
      </w:r>
    </w:p>
    <w:p w14:paraId="00AB7B36">
      <w:pPr>
        <w:shd w:val="clear" w:color="auto" w:fill="FFFFFF"/>
        <w:snapToGrid w:val="0"/>
        <w:ind w:left="660" w:leftChars="150" w:hanging="360" w:hangingChars="150"/>
        <w:jc w:val="both"/>
        <w:rPr>
          <w:rFonts w:eastAsia="宋体"/>
          <w:color w:val="000000"/>
          <w:sz w:val="24"/>
          <w:szCs w:val="24"/>
        </w:rPr>
      </w:pPr>
    </w:p>
    <w:p w14:paraId="4DA2846F">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在要求提供有关PMA申请的更多信息时，</w:t>
      </w:r>
      <w:r>
        <w:rPr>
          <w:rFonts w:ascii="宋体" w:hAnsi="宋体" w:eastAsia="宋体"/>
          <w:color w:val="000000"/>
          <w:sz w:val="24"/>
          <w:szCs w:val="24"/>
        </w:rPr>
        <w:t>“</w:t>
      </w:r>
      <w:r>
        <w:rPr>
          <w:rFonts w:eastAsia="宋体"/>
          <w:color w:val="000000"/>
          <w:sz w:val="24"/>
          <w:szCs w:val="24"/>
        </w:rPr>
        <w:t>秘书应考虑为证明器械安全性和有效性的合理保证所需的适当最小负担法。</w:t>
      </w:r>
      <w:r>
        <w:rPr>
          <w:rFonts w:ascii="宋体" w:hAnsi="宋体" w:eastAsia="宋体"/>
          <w:color w:val="000000"/>
          <w:sz w:val="24"/>
          <w:szCs w:val="24"/>
        </w:rPr>
        <w:t>”</w:t>
      </w:r>
      <w:r>
        <w:rPr>
          <w:rStyle w:val="13"/>
          <w:rFonts w:eastAsia="宋体"/>
          <w:color w:val="000000"/>
          <w:sz w:val="24"/>
          <w:szCs w:val="24"/>
        </w:rPr>
        <w:t xml:space="preserve"> </w:t>
      </w:r>
      <w:r>
        <w:rPr>
          <w:rStyle w:val="13"/>
          <w:rFonts w:eastAsia="宋体"/>
          <w:color w:val="000000"/>
          <w:sz w:val="24"/>
          <w:szCs w:val="24"/>
        </w:rPr>
        <w:footnoteReference w:id="2"/>
      </w:r>
    </w:p>
    <w:p w14:paraId="6EBF6A8B">
      <w:pPr>
        <w:shd w:val="clear" w:color="auto" w:fill="FFFFFF"/>
        <w:snapToGrid w:val="0"/>
        <w:ind w:left="660" w:leftChars="150" w:hanging="360" w:hangingChars="150"/>
        <w:jc w:val="both"/>
        <w:rPr>
          <w:rFonts w:eastAsia="宋体"/>
          <w:color w:val="000000"/>
          <w:sz w:val="24"/>
          <w:szCs w:val="24"/>
        </w:rPr>
      </w:pPr>
    </w:p>
    <w:p w14:paraId="40674218">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ascii="宋体" w:hAnsi="宋体" w:eastAsia="宋体"/>
          <w:color w:val="000000"/>
          <w:sz w:val="24"/>
          <w:szCs w:val="24"/>
        </w:rPr>
        <w:t>“</w:t>
      </w:r>
      <w:r>
        <w:rPr>
          <w:rFonts w:eastAsia="宋体"/>
          <w:color w:val="000000"/>
          <w:sz w:val="24"/>
          <w:szCs w:val="24"/>
        </w:rPr>
        <w:t>秘书应考虑上市后信息在确定证明器械安全性和有效性的合理保证的最小负担法方面的作用。</w:t>
      </w:r>
      <w:r>
        <w:rPr>
          <w:rFonts w:ascii="宋体" w:hAnsi="宋体" w:eastAsia="宋体"/>
          <w:color w:val="000000"/>
          <w:sz w:val="24"/>
          <w:szCs w:val="24"/>
        </w:rPr>
        <w:t>”</w:t>
      </w:r>
      <w:r>
        <w:rPr>
          <w:rStyle w:val="13"/>
          <w:rFonts w:eastAsia="宋体"/>
          <w:color w:val="000000"/>
          <w:sz w:val="24"/>
          <w:szCs w:val="24"/>
        </w:rPr>
        <w:t xml:space="preserve"> </w:t>
      </w:r>
      <w:r>
        <w:rPr>
          <w:rStyle w:val="13"/>
          <w:rFonts w:eastAsia="宋体"/>
          <w:color w:val="000000"/>
          <w:sz w:val="24"/>
          <w:szCs w:val="24"/>
        </w:rPr>
        <w:footnoteReference w:id="3"/>
      </w:r>
    </w:p>
    <w:p w14:paraId="545F6643">
      <w:pPr>
        <w:shd w:val="clear" w:color="auto" w:fill="FFFFFF"/>
        <w:snapToGrid w:val="0"/>
        <w:ind w:left="660" w:leftChars="150" w:hanging="360" w:hangingChars="150"/>
        <w:jc w:val="both"/>
        <w:rPr>
          <w:rFonts w:eastAsia="宋体"/>
          <w:color w:val="000000"/>
          <w:sz w:val="24"/>
          <w:szCs w:val="24"/>
        </w:rPr>
      </w:pPr>
    </w:p>
    <w:p w14:paraId="6AE3067B">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秘书只应要求提供必要的</w:t>
      </w:r>
      <w:r>
        <w:rPr>
          <w:rFonts w:ascii="宋体" w:hAnsi="宋体" w:eastAsia="宋体"/>
          <w:color w:val="000000"/>
          <w:sz w:val="24"/>
          <w:szCs w:val="24"/>
        </w:rPr>
        <w:t>“</w:t>
      </w:r>
      <w:r>
        <w:rPr>
          <w:rFonts w:eastAsia="宋体"/>
          <w:color w:val="000000"/>
          <w:sz w:val="24"/>
          <w:szCs w:val="24"/>
        </w:rPr>
        <w:t>最低</w:t>
      </w:r>
      <w:r>
        <w:rPr>
          <w:rFonts w:hint="eastAsia" w:eastAsia="宋体"/>
          <w:color w:val="000000"/>
          <w:sz w:val="24"/>
          <w:szCs w:val="24"/>
        </w:rPr>
        <w:t>必要</w:t>
      </w:r>
      <w:r>
        <w:rPr>
          <w:rFonts w:eastAsia="宋体"/>
          <w:color w:val="000000"/>
          <w:sz w:val="24"/>
          <w:szCs w:val="24"/>
        </w:rPr>
        <w:t>信息</w:t>
      </w:r>
      <w:r>
        <w:rPr>
          <w:rFonts w:ascii="宋体" w:hAnsi="宋体" w:eastAsia="宋体"/>
          <w:color w:val="000000"/>
          <w:sz w:val="24"/>
          <w:szCs w:val="24"/>
        </w:rPr>
        <w:t>”</w:t>
      </w:r>
      <w:r>
        <w:rPr>
          <w:rFonts w:eastAsia="宋体"/>
          <w:color w:val="000000"/>
          <w:sz w:val="24"/>
          <w:szCs w:val="24"/>
        </w:rPr>
        <w:t>，以支持确定该器械的实质等同性或安全性和有效性的合理保证。</w:t>
      </w:r>
      <w:r>
        <w:rPr>
          <w:rStyle w:val="13"/>
          <w:rFonts w:eastAsia="宋体"/>
          <w:color w:val="000000"/>
          <w:sz w:val="24"/>
          <w:szCs w:val="24"/>
        </w:rPr>
        <w:t xml:space="preserve"> </w:t>
      </w:r>
      <w:r>
        <w:rPr>
          <w:rStyle w:val="13"/>
          <w:rFonts w:eastAsia="宋体"/>
          <w:color w:val="000000"/>
          <w:sz w:val="24"/>
          <w:szCs w:val="24"/>
        </w:rPr>
        <w:footnoteReference w:id="4"/>
      </w:r>
    </w:p>
    <w:p w14:paraId="227C9D56">
      <w:pPr>
        <w:shd w:val="clear" w:color="auto" w:fill="FFFFFF"/>
        <w:snapToGrid w:val="0"/>
        <w:ind w:left="660" w:leftChars="150" w:hanging="360" w:hangingChars="150"/>
        <w:jc w:val="both"/>
        <w:rPr>
          <w:rFonts w:eastAsia="宋体"/>
          <w:color w:val="000000"/>
          <w:sz w:val="24"/>
          <w:szCs w:val="24"/>
        </w:rPr>
      </w:pPr>
    </w:p>
    <w:p w14:paraId="21ACC170">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最小负担条款不会变更上市前批准或实质等同性的标准。</w:t>
      </w:r>
      <w:r>
        <w:rPr>
          <w:rStyle w:val="13"/>
          <w:rFonts w:eastAsia="宋体"/>
          <w:color w:val="000000"/>
          <w:sz w:val="24"/>
          <w:szCs w:val="24"/>
        </w:rPr>
        <w:t xml:space="preserve"> </w:t>
      </w:r>
      <w:r>
        <w:rPr>
          <w:rStyle w:val="13"/>
          <w:rFonts w:eastAsia="宋体"/>
          <w:color w:val="000000"/>
          <w:sz w:val="24"/>
          <w:szCs w:val="24"/>
        </w:rPr>
        <w:footnoteReference w:id="5"/>
      </w:r>
    </w:p>
    <w:p w14:paraId="7B85AD51">
      <w:pPr>
        <w:shd w:val="clear" w:color="auto" w:fill="FFFFFF"/>
        <w:tabs>
          <w:tab w:val="left" w:pos="115"/>
        </w:tabs>
        <w:snapToGrid w:val="0"/>
        <w:jc w:val="both"/>
        <w:rPr>
          <w:rFonts w:eastAsia="宋体"/>
          <w:color w:val="000000"/>
          <w:sz w:val="24"/>
          <w:szCs w:val="24"/>
          <w:vertAlign w:val="superscript"/>
        </w:rPr>
      </w:pPr>
    </w:p>
    <w:p w14:paraId="5256EF24">
      <w:pPr>
        <w:shd w:val="clear" w:color="auto" w:fill="FFFFFF"/>
        <w:tabs>
          <w:tab w:val="left" w:pos="115"/>
        </w:tabs>
        <w:snapToGrid w:val="0"/>
        <w:jc w:val="both"/>
        <w:rPr>
          <w:rFonts w:eastAsia="宋体"/>
          <w:sz w:val="24"/>
          <w:szCs w:val="24"/>
        </w:rPr>
      </w:pPr>
    </w:p>
    <w:p w14:paraId="6C211583">
      <w:pPr>
        <w:shd w:val="clear" w:color="auto" w:fill="FFFFFF"/>
        <w:tabs>
          <w:tab w:val="left" w:pos="115"/>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4C432FD6">
      <w:pPr>
        <w:shd w:val="clear" w:color="auto" w:fill="FFFFFF"/>
        <w:snapToGrid w:val="0"/>
        <w:rPr>
          <w:rFonts w:eastAsia="宋体"/>
          <w:sz w:val="24"/>
          <w:szCs w:val="24"/>
        </w:rPr>
      </w:pPr>
      <w:r>
        <w:rPr>
          <w:rFonts w:eastAsia="宋体"/>
          <w:color w:val="000000"/>
          <w:sz w:val="24"/>
          <w:szCs w:val="24"/>
        </w:rPr>
        <w:t>关于最小负担条款的具体方法的信息详见FDA指导文件</w:t>
      </w:r>
      <w:r>
        <w:rPr>
          <w:rFonts w:ascii="宋体" w:hAnsi="宋体" w:eastAsia="宋体"/>
          <w:color w:val="000000"/>
          <w:sz w:val="24"/>
          <w:szCs w:val="24"/>
        </w:rPr>
        <w:t>“</w:t>
      </w:r>
      <w:r>
        <w:rPr>
          <w:rFonts w:eastAsia="宋体"/>
          <w:color w:val="000000"/>
          <w:sz w:val="24"/>
          <w:szCs w:val="24"/>
        </w:rPr>
        <w:t>《1997年FDA现代化法案》中的最小负担条款：概念和原理</w:t>
      </w:r>
      <w:r>
        <w:rPr>
          <w:rFonts w:ascii="宋体" w:hAnsi="宋体" w:eastAsia="宋体"/>
          <w:color w:val="000000"/>
          <w:sz w:val="24"/>
          <w:szCs w:val="24"/>
        </w:rPr>
        <w:t>”</w:t>
      </w:r>
      <w:r>
        <w:rPr>
          <w:rFonts w:eastAsia="宋体"/>
          <w:color w:val="000000"/>
          <w:sz w:val="24"/>
          <w:szCs w:val="24"/>
        </w:rPr>
        <w:t>（</w:t>
      </w:r>
      <w:r>
        <w:rPr>
          <w:rFonts w:eastAsia="宋体"/>
          <w:color w:val="0000FF"/>
          <w:sz w:val="24"/>
          <w:szCs w:val="24"/>
          <w:u w:val="single"/>
        </w:rPr>
        <w:t>http://www.fda.gov/downloads/MedicalDevices/DeviceRegulationandGuidance/GuidanceDocuments/ucm085999.pdf）</w:t>
      </w:r>
      <w:r>
        <w:rPr>
          <w:rFonts w:eastAsia="宋体"/>
          <w:color w:val="000000"/>
          <w:sz w:val="24"/>
          <w:szCs w:val="24"/>
        </w:rPr>
        <w:t>。此外，FDA指导文件《510（k）计划：上市前通知中的实质等同性评价[510（k）]》（</w:t>
      </w:r>
      <w:r>
        <w:rPr>
          <w:rFonts w:eastAsia="宋体"/>
          <w:color w:val="0000FF"/>
          <w:sz w:val="24"/>
          <w:szCs w:val="24"/>
          <w:u w:val="single"/>
        </w:rPr>
        <w:t>https://www.fda.gov/downloads/MedicalDevices/DeviceRegulationandGuidance/GuidanceDocuments/UCM284443.pdf</w:t>
      </w:r>
      <w:r>
        <w:rPr>
          <w:rFonts w:eastAsia="宋体"/>
          <w:color w:val="000000"/>
          <w:sz w:val="24"/>
          <w:szCs w:val="24"/>
        </w:rPr>
        <w:t>）讨论了510（k）递交资料中</w:t>
      </w:r>
      <w:r>
        <w:rPr>
          <w:rFonts w:hint="eastAsia" w:eastAsia="宋体"/>
          <w:color w:val="000000"/>
          <w:sz w:val="24"/>
          <w:szCs w:val="24"/>
        </w:rPr>
        <w:t>F</w:t>
      </w:r>
      <w:r>
        <w:rPr>
          <w:rFonts w:eastAsia="宋体"/>
          <w:color w:val="000000"/>
          <w:sz w:val="24"/>
          <w:szCs w:val="24"/>
        </w:rPr>
        <w:t>DA的最小负担原则的方法。</w:t>
      </w:r>
    </w:p>
    <w:p w14:paraId="488EF849">
      <w:pPr>
        <w:shd w:val="clear" w:color="auto" w:fill="FFFFFF"/>
        <w:snapToGrid w:val="0"/>
        <w:jc w:val="both"/>
        <w:rPr>
          <w:rFonts w:eastAsia="宋体"/>
          <w:color w:val="000000"/>
          <w:sz w:val="24"/>
          <w:szCs w:val="24"/>
        </w:rPr>
      </w:pPr>
    </w:p>
    <w:p w14:paraId="2FD7F6AA">
      <w:pPr>
        <w:shd w:val="clear" w:color="auto" w:fill="FFFFFF"/>
        <w:snapToGrid w:val="0"/>
        <w:jc w:val="both"/>
        <w:rPr>
          <w:rFonts w:eastAsia="宋体"/>
          <w:sz w:val="24"/>
          <w:szCs w:val="24"/>
        </w:rPr>
      </w:pPr>
      <w:r>
        <w:rPr>
          <w:rFonts w:eastAsia="宋体"/>
          <w:color w:val="000000"/>
          <w:sz w:val="24"/>
          <w:szCs w:val="24"/>
        </w:rPr>
        <w:t>在美国卫生和公众服务部部长递交给国会的《2017年医疗器械申请人付费法案修正案》（MDUFA IV）承诺书中，</w:t>
      </w:r>
      <w:r>
        <w:rPr>
          <w:rStyle w:val="13"/>
          <w:rFonts w:eastAsia="宋体"/>
          <w:color w:val="000000"/>
          <w:sz w:val="24"/>
          <w:szCs w:val="24"/>
        </w:rPr>
        <w:t xml:space="preserve"> </w:t>
      </w:r>
      <w:r>
        <w:rPr>
          <w:rStyle w:val="13"/>
          <w:rFonts w:eastAsia="宋体"/>
          <w:color w:val="000000"/>
          <w:sz w:val="24"/>
          <w:szCs w:val="24"/>
        </w:rPr>
        <w:footnoteReference w:id="6"/>
      </w:r>
      <w:r>
        <w:rPr>
          <w:rFonts w:eastAsia="宋体"/>
          <w:color w:val="000000"/>
          <w:sz w:val="24"/>
          <w:szCs w:val="24"/>
        </w:rPr>
        <w:t xml:space="preserve"> FDA承诺更新本指导文件，以表明所有</w:t>
      </w:r>
      <w:r>
        <w:rPr>
          <w:rFonts w:ascii="宋体" w:hAnsi="宋体" w:eastAsia="宋体"/>
          <w:color w:val="000000"/>
          <w:sz w:val="24"/>
          <w:szCs w:val="24"/>
        </w:rPr>
        <w:t>“</w:t>
      </w:r>
      <w:r>
        <w:rPr>
          <w:rFonts w:eastAsia="宋体"/>
          <w:color w:val="000000"/>
          <w:sz w:val="24"/>
          <w:szCs w:val="24"/>
        </w:rPr>
        <w:t>发补单</w:t>
      </w:r>
      <w:r>
        <w:rPr>
          <w:rFonts w:hint="eastAsia" w:eastAsia="宋体"/>
          <w:color w:val="000000"/>
          <w:sz w:val="24"/>
          <w:szCs w:val="24"/>
        </w:rPr>
        <w:t>都</w:t>
      </w:r>
      <w:r>
        <w:rPr>
          <w:rFonts w:eastAsia="宋体"/>
          <w:color w:val="000000"/>
          <w:sz w:val="24"/>
          <w:szCs w:val="24"/>
        </w:rPr>
        <w:t>将包括补正资料依据的声明（例如，对条例适用部分、最终指南、认可标准的具体引用，除非整个或大部分文件适用）。如果不能以上述方式追踪补正资料并涉及与决定相关的科学或法规问题，FDA将引用具体的科学问题和信息来支持其立场。所有发补单在发布前都将经过监督审查，确保所引用的补正资料与上市许可决定相关（例如，510（k）批准、PMA批准和</w:t>
      </w:r>
      <w:r>
        <w:rPr>
          <w:sz w:val="23"/>
          <w:szCs w:val="23"/>
        </w:rPr>
        <w:t>De Novo</w:t>
      </w:r>
      <w:r>
        <w:rPr>
          <w:rFonts w:eastAsia="宋体"/>
          <w:color w:val="000000"/>
          <w:sz w:val="24"/>
          <w:szCs w:val="24"/>
        </w:rPr>
        <w:t>分类）。</w:t>
      </w:r>
    </w:p>
    <w:p w14:paraId="0B1EB20D">
      <w:pPr>
        <w:pStyle w:val="2"/>
        <w:spacing w:before="240" w:after="240"/>
        <w:rPr>
          <w:rFonts w:eastAsia="宋体"/>
        </w:rPr>
      </w:pPr>
      <w:bookmarkStart w:id="3" w:name="bookmark7"/>
      <w:bookmarkStart w:id="4" w:name="_Toc97486029"/>
      <w:r>
        <w:rPr>
          <w:rFonts w:eastAsia="宋体"/>
        </w:rPr>
        <w:t>I</w:t>
      </w:r>
      <w:bookmarkEnd w:id="3"/>
      <w:r>
        <w:rPr>
          <w:rFonts w:eastAsia="宋体"/>
        </w:rPr>
        <w:t>II.</w:t>
      </w:r>
      <w:r>
        <w:rPr>
          <w:rFonts w:eastAsia="宋体"/>
        </w:rPr>
        <w:tab/>
      </w:r>
      <w:r>
        <w:rPr>
          <w:rFonts w:eastAsia="宋体"/>
        </w:rPr>
        <w:t>范围</w:t>
      </w:r>
      <w:bookmarkEnd w:id="4"/>
    </w:p>
    <w:p w14:paraId="33A14B7B">
      <w:pPr>
        <w:shd w:val="clear" w:color="auto" w:fill="FFFFFF"/>
        <w:snapToGrid w:val="0"/>
        <w:jc w:val="both"/>
        <w:rPr>
          <w:rFonts w:eastAsia="宋体"/>
          <w:sz w:val="24"/>
          <w:szCs w:val="24"/>
        </w:rPr>
      </w:pPr>
      <w:r>
        <w:rPr>
          <w:rFonts w:eastAsia="宋体"/>
          <w:color w:val="000000"/>
          <w:sz w:val="24"/>
          <w:szCs w:val="24"/>
        </w:rPr>
        <w:t>本指南旨在帮助FDA审评人员和监督员制定补正资料，将其纳入医疗器械上市申请的发补单中。虽然FDA审评人员可以使用类似的补正资料格式进行交互式审评、临床试验用器械豁免申请（IDE）、513（g）信息申请和Q-递交，但本指导文件仅适用于在审评上市申请期间发出的发补单。本指南还将帮助行业准备对发补单的答复。附录A包括不同类型的FDA补正资料的示例以及支持此类信息申请的依据。附录B包括答复FDA补正资料的不同方法的示例。</w:t>
      </w:r>
    </w:p>
    <w:p w14:paraId="4DD96E59">
      <w:pPr>
        <w:pStyle w:val="2"/>
        <w:spacing w:before="240" w:after="240"/>
        <w:rPr>
          <w:rFonts w:eastAsia="宋体"/>
        </w:rPr>
      </w:pPr>
      <w:bookmarkStart w:id="5" w:name="bookmark8"/>
      <w:bookmarkStart w:id="6" w:name="_Toc97486030"/>
      <w:r>
        <w:rPr>
          <w:rFonts w:eastAsia="宋体"/>
        </w:rPr>
        <w:t>I</w:t>
      </w:r>
      <w:bookmarkEnd w:id="5"/>
      <w:r>
        <w:rPr>
          <w:rFonts w:eastAsia="宋体"/>
        </w:rPr>
        <w:t>V.</w:t>
      </w:r>
      <w:r>
        <w:rPr>
          <w:rFonts w:eastAsia="宋体"/>
        </w:rPr>
        <w:tab/>
      </w:r>
      <w:r>
        <w:rPr>
          <w:rFonts w:eastAsia="宋体"/>
        </w:rPr>
        <w:t>上市申请中的发补单</w:t>
      </w:r>
      <w:bookmarkEnd w:id="6"/>
    </w:p>
    <w:p w14:paraId="296B1CCF">
      <w:pPr>
        <w:pStyle w:val="3"/>
        <w:spacing w:before="240" w:after="240"/>
        <w:rPr>
          <w:rFonts w:eastAsia="宋体"/>
        </w:rPr>
      </w:pPr>
      <w:bookmarkStart w:id="7" w:name="_Toc97486031"/>
      <w:r>
        <w:rPr>
          <w:rFonts w:eastAsia="宋体"/>
        </w:rPr>
        <w:t>A.</w:t>
      </w:r>
      <w:r>
        <w:rPr>
          <w:rFonts w:eastAsia="宋体"/>
        </w:rPr>
        <w:tab/>
      </w:r>
      <w:r>
        <w:rPr>
          <w:rFonts w:eastAsia="宋体"/>
        </w:rPr>
        <w:t>指导原则</w:t>
      </w:r>
      <w:bookmarkEnd w:id="7"/>
    </w:p>
    <w:p w14:paraId="0D3CE7D3">
      <w:pPr>
        <w:shd w:val="clear" w:color="auto" w:fill="FFFFFF"/>
        <w:snapToGrid w:val="0"/>
        <w:jc w:val="both"/>
        <w:rPr>
          <w:rFonts w:eastAsia="宋体"/>
          <w:sz w:val="21"/>
          <w:szCs w:val="21"/>
        </w:rPr>
      </w:pPr>
    </w:p>
    <w:p w14:paraId="74964D16">
      <w:pPr>
        <w:shd w:val="clear" w:color="auto" w:fill="FFFFFF"/>
        <w:snapToGrid w:val="0"/>
        <w:jc w:val="both"/>
        <w:rPr>
          <w:rFonts w:eastAsia="宋体"/>
          <w:sz w:val="21"/>
          <w:szCs w:val="21"/>
        </w:rPr>
      </w:pPr>
    </w:p>
    <w:p w14:paraId="4518311D">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4C210392">
      <w:pPr>
        <w:shd w:val="clear" w:color="auto" w:fill="FFFFFF"/>
        <w:snapToGrid w:val="0"/>
        <w:ind w:left="614" w:leftChars="307"/>
        <w:jc w:val="both"/>
        <w:rPr>
          <w:rFonts w:eastAsia="宋体"/>
          <w:color w:val="000000"/>
          <w:sz w:val="24"/>
          <w:szCs w:val="24"/>
        </w:rPr>
      </w:pPr>
      <w:r>
        <w:rPr>
          <w:rFonts w:eastAsia="宋体"/>
          <w:color w:val="000000"/>
          <w:sz w:val="24"/>
          <w:szCs w:val="24"/>
        </w:rPr>
        <w:t>在使用本指导文件时，FDA审评人员应遵循以下有关制定发补单的指导原则：</w:t>
      </w:r>
    </w:p>
    <w:p w14:paraId="2992D04E">
      <w:pPr>
        <w:shd w:val="clear" w:color="auto" w:fill="FFFFFF"/>
        <w:snapToGrid w:val="0"/>
        <w:jc w:val="both"/>
        <w:rPr>
          <w:rFonts w:eastAsia="宋体"/>
          <w:sz w:val="24"/>
          <w:szCs w:val="24"/>
        </w:rPr>
      </w:pPr>
    </w:p>
    <w:p w14:paraId="004E1921">
      <w:pPr>
        <w:shd w:val="clear" w:color="auto" w:fill="FFFFFF"/>
        <w:snapToGrid w:val="0"/>
        <w:ind w:left="1275" w:leftChars="480" w:hanging="315"/>
        <w:jc w:val="both"/>
        <w:rPr>
          <w:rFonts w:eastAsia="宋体"/>
          <w:color w:val="000000"/>
          <w:sz w:val="24"/>
          <w:szCs w:val="24"/>
        </w:rPr>
      </w:pPr>
      <w:r>
        <w:rPr>
          <w:rFonts w:eastAsia="宋体"/>
          <w:color w:val="000000"/>
          <w:sz w:val="24"/>
          <w:szCs w:val="24"/>
        </w:rPr>
        <w:t>1.</w:t>
      </w:r>
      <w:r>
        <w:rPr>
          <w:rFonts w:eastAsia="宋体"/>
          <w:color w:val="000000"/>
          <w:sz w:val="24"/>
          <w:szCs w:val="24"/>
        </w:rPr>
        <w:tab/>
      </w:r>
      <w:r>
        <w:rPr>
          <w:rFonts w:eastAsia="宋体"/>
          <w:color w:val="000000"/>
          <w:sz w:val="24"/>
          <w:szCs w:val="24"/>
        </w:rPr>
        <w:t>与监管决策无关的信息不应成为决策过程的一部分。</w:t>
      </w:r>
    </w:p>
    <w:p w14:paraId="4F26C3D4">
      <w:pPr>
        <w:shd w:val="clear" w:color="auto" w:fill="FFFFFF"/>
        <w:snapToGrid w:val="0"/>
        <w:ind w:left="1275" w:leftChars="480" w:hanging="315"/>
        <w:jc w:val="both"/>
        <w:rPr>
          <w:rFonts w:eastAsia="宋体"/>
          <w:color w:val="000000"/>
          <w:sz w:val="24"/>
          <w:szCs w:val="24"/>
        </w:rPr>
      </w:pPr>
    </w:p>
    <w:p w14:paraId="1D3388BE">
      <w:pPr>
        <w:shd w:val="clear" w:color="auto" w:fill="FFFFFF"/>
        <w:snapToGrid w:val="0"/>
        <w:ind w:left="1275" w:leftChars="480" w:hanging="315"/>
        <w:jc w:val="both"/>
        <w:rPr>
          <w:rFonts w:eastAsia="宋体"/>
          <w:color w:val="000000"/>
          <w:sz w:val="24"/>
          <w:szCs w:val="24"/>
        </w:rPr>
      </w:pPr>
      <w:r>
        <w:rPr>
          <w:rFonts w:eastAsia="宋体"/>
          <w:color w:val="000000"/>
          <w:sz w:val="24"/>
          <w:szCs w:val="24"/>
        </w:rPr>
        <w:t>2.</w:t>
      </w:r>
      <w:r>
        <w:rPr>
          <w:rFonts w:eastAsia="宋体"/>
          <w:color w:val="000000"/>
          <w:sz w:val="24"/>
          <w:szCs w:val="24"/>
        </w:rPr>
        <w:tab/>
      </w:r>
      <w:r>
        <w:rPr>
          <w:rFonts w:eastAsia="宋体"/>
          <w:color w:val="000000"/>
          <w:sz w:val="24"/>
          <w:szCs w:val="24"/>
        </w:rPr>
        <w:t>应考虑解决监管问题的替代方法，以优化制定应答复所需的时间、工作和资源。</w:t>
      </w:r>
    </w:p>
    <w:p w14:paraId="5D119206">
      <w:pPr>
        <w:shd w:val="clear" w:color="auto" w:fill="FFFFFF"/>
        <w:snapToGrid w:val="0"/>
        <w:ind w:left="1275" w:leftChars="480" w:hanging="315"/>
        <w:jc w:val="both"/>
        <w:rPr>
          <w:rFonts w:eastAsia="宋体"/>
          <w:color w:val="000000"/>
          <w:sz w:val="24"/>
          <w:szCs w:val="24"/>
        </w:rPr>
      </w:pPr>
    </w:p>
    <w:p w14:paraId="061BE872">
      <w:pPr>
        <w:shd w:val="clear" w:color="auto" w:fill="FFFFFF"/>
        <w:snapToGrid w:val="0"/>
        <w:ind w:left="1275" w:leftChars="480" w:hanging="315"/>
        <w:jc w:val="both"/>
        <w:rPr>
          <w:rFonts w:eastAsia="宋体"/>
          <w:color w:val="000000"/>
          <w:sz w:val="24"/>
          <w:szCs w:val="24"/>
        </w:rPr>
      </w:pPr>
      <w:r>
        <w:rPr>
          <w:rFonts w:eastAsia="宋体"/>
          <w:color w:val="000000"/>
          <w:sz w:val="24"/>
          <w:szCs w:val="24"/>
        </w:rPr>
        <w:t>3.</w:t>
      </w:r>
      <w:r>
        <w:rPr>
          <w:rFonts w:eastAsia="宋体"/>
          <w:color w:val="000000"/>
          <w:sz w:val="24"/>
          <w:szCs w:val="24"/>
        </w:rPr>
        <w:tab/>
      </w:r>
      <w:r>
        <w:rPr>
          <w:rFonts w:eastAsia="宋体"/>
          <w:color w:val="000000"/>
          <w:sz w:val="24"/>
          <w:szCs w:val="24"/>
        </w:rPr>
        <w:t>补正资料应要求提供最少量（即最小负担）的必要信息，以便在正确的时间以最有效的方式充分解决已识别出的问题。应考虑上市前和上市后之间的平衡，以确定何时应提供信息来解决已识别出的问题。</w:t>
      </w:r>
    </w:p>
    <w:p w14:paraId="77B0FEFB">
      <w:pPr>
        <w:shd w:val="clear" w:color="auto" w:fill="FFFFFF"/>
        <w:snapToGrid w:val="0"/>
        <w:ind w:left="1275" w:leftChars="480" w:hanging="315"/>
        <w:jc w:val="both"/>
        <w:rPr>
          <w:rFonts w:eastAsia="宋体"/>
          <w:color w:val="000000"/>
          <w:sz w:val="24"/>
          <w:szCs w:val="24"/>
        </w:rPr>
      </w:pPr>
    </w:p>
    <w:p w14:paraId="5C32CB68">
      <w:pPr>
        <w:shd w:val="clear" w:color="auto" w:fill="FFFFFF"/>
        <w:snapToGrid w:val="0"/>
        <w:ind w:left="1275" w:leftChars="480" w:hanging="315"/>
        <w:jc w:val="both"/>
        <w:rPr>
          <w:rFonts w:eastAsia="宋体"/>
          <w:color w:val="000000"/>
          <w:sz w:val="24"/>
          <w:szCs w:val="24"/>
        </w:rPr>
      </w:pPr>
      <w:r>
        <w:rPr>
          <w:rFonts w:eastAsia="宋体"/>
          <w:color w:val="000000"/>
          <w:sz w:val="24"/>
          <w:szCs w:val="24"/>
        </w:rPr>
        <w:t>4.</w:t>
      </w:r>
      <w:r>
        <w:rPr>
          <w:rFonts w:eastAsia="宋体"/>
          <w:color w:val="000000"/>
          <w:sz w:val="24"/>
          <w:szCs w:val="24"/>
        </w:rPr>
        <w:tab/>
      </w:r>
      <w:r>
        <w:rPr>
          <w:rFonts w:eastAsia="宋体"/>
          <w:color w:val="000000"/>
          <w:sz w:val="24"/>
          <w:szCs w:val="24"/>
        </w:rPr>
        <w:t>主要缺陷是那些基于最小负担原则的缺陷，如果不解决，将妨碍对上市申请的有利决定。只有在需要解决主要缺陷才能最终决定上市许可</w:t>
      </w:r>
      <w:r>
        <w:rPr>
          <w:rFonts w:hint="eastAsia" w:eastAsia="宋体"/>
          <w:color w:val="000000"/>
          <w:sz w:val="24"/>
          <w:szCs w:val="24"/>
        </w:rPr>
        <w:t>时</w:t>
      </w:r>
      <w:r>
        <w:rPr>
          <w:rFonts w:eastAsia="宋体"/>
          <w:color w:val="000000"/>
          <w:sz w:val="24"/>
          <w:szCs w:val="24"/>
        </w:rPr>
        <w:t>，才应包括主要缺陷。</w:t>
      </w:r>
    </w:p>
    <w:p w14:paraId="23B24819">
      <w:pPr>
        <w:shd w:val="clear" w:color="auto" w:fill="FFFFFF"/>
        <w:snapToGrid w:val="0"/>
        <w:ind w:left="1275" w:leftChars="480" w:hanging="315"/>
        <w:jc w:val="both"/>
        <w:rPr>
          <w:rFonts w:eastAsia="宋体"/>
          <w:color w:val="000000"/>
          <w:sz w:val="24"/>
          <w:szCs w:val="24"/>
        </w:rPr>
      </w:pPr>
    </w:p>
    <w:p w14:paraId="0984AF77">
      <w:pPr>
        <w:shd w:val="clear" w:color="auto" w:fill="FFFFFF"/>
        <w:snapToGrid w:val="0"/>
        <w:ind w:left="1275" w:leftChars="480" w:hanging="315"/>
        <w:jc w:val="both"/>
        <w:rPr>
          <w:rFonts w:eastAsia="宋体"/>
          <w:color w:val="000000"/>
          <w:sz w:val="24"/>
          <w:szCs w:val="24"/>
        </w:rPr>
      </w:pPr>
      <w:r>
        <w:rPr>
          <w:rFonts w:eastAsia="宋体"/>
          <w:color w:val="000000"/>
          <w:sz w:val="24"/>
          <w:szCs w:val="24"/>
        </w:rPr>
        <w:t>5.</w:t>
      </w:r>
      <w:r>
        <w:rPr>
          <w:rFonts w:eastAsia="宋体"/>
          <w:color w:val="000000"/>
          <w:sz w:val="24"/>
          <w:szCs w:val="24"/>
        </w:rPr>
        <w:tab/>
      </w:r>
      <w:r>
        <w:rPr>
          <w:rFonts w:eastAsia="宋体"/>
          <w:color w:val="000000"/>
          <w:sz w:val="24"/>
          <w:szCs w:val="24"/>
        </w:rPr>
        <w:t>如果</w:t>
      </w:r>
      <w:r>
        <w:rPr>
          <w:rFonts w:hint="eastAsia" w:eastAsia="宋体"/>
          <w:color w:val="000000"/>
          <w:sz w:val="24"/>
          <w:szCs w:val="24"/>
        </w:rPr>
        <w:t>F</w:t>
      </w:r>
      <w:r>
        <w:rPr>
          <w:rFonts w:eastAsia="宋体"/>
          <w:color w:val="000000"/>
          <w:sz w:val="24"/>
          <w:szCs w:val="24"/>
        </w:rPr>
        <w:t>DA在发补单中包括审评期间识别出的次要缺陷，则</w:t>
      </w:r>
      <w:r>
        <w:rPr>
          <w:rFonts w:hint="eastAsia" w:eastAsia="宋体"/>
          <w:color w:val="000000"/>
          <w:sz w:val="24"/>
          <w:szCs w:val="24"/>
        </w:rPr>
        <w:t>F</w:t>
      </w:r>
      <w:r>
        <w:rPr>
          <w:rFonts w:eastAsia="宋体"/>
          <w:color w:val="000000"/>
          <w:sz w:val="24"/>
          <w:szCs w:val="24"/>
        </w:rPr>
        <w:t>DA应将这些申请与主要问题分开，并尽可能尝试以交互方式解决次要问题。次要缺陷是FDA的要求，这些要求可以直接解决，但需要解决，以满足监管要求或防止潜在的标识错误或掺假。一般来说，如果只存在次要缺陷，则</w:t>
      </w:r>
      <w:r>
        <w:rPr>
          <w:rFonts w:hint="eastAsia" w:eastAsia="宋体"/>
          <w:color w:val="000000"/>
          <w:sz w:val="24"/>
          <w:szCs w:val="24"/>
        </w:rPr>
        <w:t>F</w:t>
      </w:r>
      <w:r>
        <w:rPr>
          <w:rFonts w:eastAsia="宋体"/>
          <w:color w:val="000000"/>
          <w:sz w:val="24"/>
          <w:szCs w:val="24"/>
        </w:rPr>
        <w:t>DA不应发出正式的发补单，而应尝试以交互方式解决这些问题。</w:t>
      </w:r>
    </w:p>
    <w:p w14:paraId="424C2D8A">
      <w:pPr>
        <w:shd w:val="clear" w:color="auto" w:fill="FFFFFF"/>
        <w:snapToGrid w:val="0"/>
        <w:ind w:left="1275" w:leftChars="480" w:hanging="315"/>
        <w:jc w:val="both"/>
        <w:rPr>
          <w:rFonts w:eastAsia="宋体"/>
          <w:color w:val="000000"/>
          <w:sz w:val="24"/>
          <w:szCs w:val="24"/>
        </w:rPr>
      </w:pPr>
    </w:p>
    <w:p w14:paraId="7F7BE1A5">
      <w:pPr>
        <w:shd w:val="clear" w:color="auto" w:fill="FFFFFF"/>
        <w:snapToGrid w:val="0"/>
        <w:ind w:left="1275" w:leftChars="480" w:hanging="315"/>
        <w:jc w:val="both"/>
        <w:rPr>
          <w:rFonts w:eastAsia="宋体"/>
          <w:color w:val="000000"/>
          <w:sz w:val="24"/>
          <w:szCs w:val="24"/>
        </w:rPr>
      </w:pPr>
      <w:r>
        <w:rPr>
          <w:rFonts w:eastAsia="宋体"/>
          <w:color w:val="000000"/>
          <w:sz w:val="24"/>
          <w:szCs w:val="24"/>
        </w:rPr>
        <w:t>6.</w:t>
      </w:r>
      <w:r>
        <w:rPr>
          <w:rFonts w:eastAsia="宋体"/>
          <w:color w:val="000000"/>
          <w:sz w:val="24"/>
          <w:szCs w:val="24"/>
        </w:rPr>
        <w:tab/>
      </w:r>
      <w:r>
        <w:rPr>
          <w:rFonts w:eastAsia="宋体"/>
          <w:color w:val="000000"/>
          <w:sz w:val="24"/>
          <w:szCs w:val="24"/>
        </w:rPr>
        <w:t>FDA还可能包括</w:t>
      </w:r>
      <w:r>
        <w:rPr>
          <w:rFonts w:hint="eastAsia" w:eastAsia="宋体"/>
          <w:color w:val="000000"/>
          <w:sz w:val="24"/>
          <w:szCs w:val="24"/>
        </w:rPr>
        <w:t>其他</w:t>
      </w:r>
      <w:r>
        <w:rPr>
          <w:rFonts w:eastAsia="宋体"/>
          <w:color w:val="000000"/>
          <w:sz w:val="24"/>
          <w:szCs w:val="24"/>
        </w:rPr>
        <w:t>考虑事项，这些考虑事项</w:t>
      </w:r>
      <w:r>
        <w:rPr>
          <w:rFonts w:hint="eastAsia" w:eastAsia="宋体"/>
          <w:color w:val="000000"/>
          <w:sz w:val="24"/>
          <w:szCs w:val="24"/>
        </w:rPr>
        <w:t>可以</w:t>
      </w:r>
      <w:r>
        <w:rPr>
          <w:rFonts w:eastAsia="宋体"/>
          <w:color w:val="000000"/>
          <w:sz w:val="24"/>
          <w:szCs w:val="24"/>
        </w:rPr>
        <w:t>是建议、推荐或要求，而且预期不会妨碍对上市申请的有利决定。由于</w:t>
      </w:r>
      <w:r>
        <w:rPr>
          <w:rFonts w:hint="eastAsia" w:eastAsia="宋体"/>
          <w:color w:val="000000"/>
          <w:sz w:val="24"/>
          <w:szCs w:val="24"/>
        </w:rPr>
        <w:t>其他</w:t>
      </w:r>
      <w:r>
        <w:rPr>
          <w:rFonts w:eastAsia="宋体"/>
          <w:color w:val="000000"/>
          <w:sz w:val="24"/>
          <w:szCs w:val="24"/>
        </w:rPr>
        <w:t>考虑事项预期不会妨碍有利决定，因此其</w:t>
      </w:r>
      <w:r>
        <w:rPr>
          <w:rFonts w:hint="eastAsia" w:eastAsia="宋体"/>
          <w:color w:val="000000"/>
          <w:sz w:val="24"/>
          <w:szCs w:val="24"/>
        </w:rPr>
        <w:t>无需</w:t>
      </w:r>
      <w:r>
        <w:rPr>
          <w:rFonts w:eastAsia="宋体"/>
          <w:color w:val="000000"/>
          <w:sz w:val="24"/>
          <w:szCs w:val="24"/>
        </w:rPr>
        <w:t>申请人答复。</w:t>
      </w:r>
    </w:p>
    <w:p w14:paraId="4E8C60F7">
      <w:pPr>
        <w:pStyle w:val="3"/>
        <w:spacing w:before="240" w:after="240"/>
        <w:rPr>
          <w:rFonts w:eastAsia="宋体"/>
        </w:rPr>
      </w:pPr>
      <w:bookmarkStart w:id="8" w:name="bookmark10"/>
      <w:bookmarkStart w:id="9" w:name="_Toc97486032"/>
      <w:r>
        <w:rPr>
          <w:rFonts w:eastAsia="宋体"/>
        </w:rPr>
        <w:t>B</w:t>
      </w:r>
      <w:bookmarkEnd w:id="8"/>
      <w:r>
        <w:rPr>
          <w:rFonts w:eastAsia="宋体"/>
        </w:rPr>
        <w:t>.</w:t>
      </w:r>
      <w:r>
        <w:rPr>
          <w:rFonts w:eastAsia="宋体"/>
        </w:rPr>
        <w:tab/>
      </w:r>
      <w:r>
        <w:rPr>
          <w:rFonts w:eastAsia="宋体"/>
        </w:rPr>
        <w:t>补正资料的建议内容和格式</w:t>
      </w:r>
      <w:bookmarkEnd w:id="9"/>
    </w:p>
    <w:p w14:paraId="7A70BE77">
      <w:pPr>
        <w:shd w:val="clear" w:color="auto" w:fill="FFFFFF"/>
        <w:snapToGrid w:val="0"/>
        <w:ind w:left="614" w:leftChars="307"/>
        <w:jc w:val="both"/>
        <w:rPr>
          <w:rFonts w:eastAsia="宋体"/>
          <w:sz w:val="24"/>
          <w:szCs w:val="24"/>
        </w:rPr>
      </w:pPr>
      <w:r>
        <w:rPr>
          <w:rFonts w:eastAsia="宋体"/>
          <w:color w:val="000000"/>
          <w:sz w:val="24"/>
          <w:szCs w:val="24"/>
        </w:rPr>
        <w:t>有效补正资料应简明扼要地包括以下四个要素：</w:t>
      </w:r>
    </w:p>
    <w:p w14:paraId="5247DA29">
      <w:pPr>
        <w:shd w:val="clear" w:color="auto" w:fill="FFFFFF"/>
        <w:snapToGrid w:val="0"/>
        <w:ind w:left="1275" w:leftChars="480" w:hanging="315"/>
        <w:jc w:val="both"/>
        <w:rPr>
          <w:rFonts w:eastAsia="宋体"/>
          <w:color w:val="000000"/>
          <w:sz w:val="24"/>
          <w:szCs w:val="24"/>
        </w:rPr>
      </w:pPr>
    </w:p>
    <w:p w14:paraId="29892559">
      <w:pPr>
        <w:shd w:val="clear" w:color="auto" w:fill="FFFFFF"/>
        <w:snapToGrid w:val="0"/>
        <w:ind w:left="1275" w:leftChars="480" w:hanging="315"/>
        <w:jc w:val="both"/>
        <w:rPr>
          <w:rFonts w:eastAsia="宋体"/>
          <w:sz w:val="24"/>
          <w:szCs w:val="24"/>
        </w:rPr>
      </w:pPr>
      <w:r>
        <w:rPr>
          <w:rFonts w:eastAsia="宋体"/>
          <w:color w:val="000000"/>
          <w:sz w:val="24"/>
          <w:szCs w:val="24"/>
        </w:rPr>
        <w:t>1.</w:t>
      </w:r>
      <w:r>
        <w:rPr>
          <w:rFonts w:eastAsia="宋体"/>
          <w:color w:val="000000"/>
          <w:sz w:val="24"/>
          <w:szCs w:val="24"/>
        </w:rPr>
        <w:tab/>
      </w:r>
      <w:r>
        <w:rPr>
          <w:rFonts w:eastAsia="宋体"/>
          <w:color w:val="000000"/>
          <w:sz w:val="24"/>
          <w:szCs w:val="24"/>
        </w:rPr>
        <w:t>确认申请人递交的信息，包括章节、页码或表格的引用（视情况而定）。</w:t>
      </w:r>
    </w:p>
    <w:p w14:paraId="0D6A81A1">
      <w:pPr>
        <w:shd w:val="clear" w:color="auto" w:fill="FFFFFF"/>
        <w:snapToGrid w:val="0"/>
        <w:jc w:val="both"/>
        <w:rPr>
          <w:rFonts w:eastAsia="宋体"/>
          <w:sz w:val="21"/>
          <w:szCs w:val="21"/>
        </w:rPr>
      </w:pPr>
    </w:p>
    <w:p w14:paraId="49FBBD1A">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59927073">
      <w:pPr>
        <w:shd w:val="clear" w:color="auto" w:fill="FFFFFF"/>
        <w:snapToGrid w:val="0"/>
        <w:ind w:left="1275" w:leftChars="480" w:hanging="315"/>
        <w:jc w:val="both"/>
        <w:rPr>
          <w:rFonts w:eastAsia="宋体"/>
          <w:color w:val="000000"/>
          <w:sz w:val="24"/>
          <w:szCs w:val="24"/>
        </w:rPr>
      </w:pPr>
      <w:r>
        <w:rPr>
          <w:rFonts w:eastAsia="宋体"/>
          <w:color w:val="000000"/>
          <w:sz w:val="24"/>
          <w:szCs w:val="24"/>
        </w:rPr>
        <w:t>2.</w:t>
      </w:r>
      <w:r>
        <w:rPr>
          <w:rFonts w:eastAsia="宋体"/>
          <w:color w:val="000000"/>
          <w:sz w:val="24"/>
          <w:szCs w:val="24"/>
        </w:rPr>
        <w:tab/>
      </w:r>
      <w:r>
        <w:rPr>
          <w:rFonts w:eastAsia="宋体"/>
          <w:color w:val="000000"/>
          <w:sz w:val="24"/>
          <w:szCs w:val="24"/>
        </w:rPr>
        <w:t>解释为何当前信息不能充分解决问题（即，缺少什么资料）。</w:t>
      </w:r>
    </w:p>
    <w:p w14:paraId="61F0DC18">
      <w:pPr>
        <w:shd w:val="clear" w:color="auto" w:fill="FFFFFF"/>
        <w:snapToGrid w:val="0"/>
        <w:ind w:left="1275" w:leftChars="480" w:hanging="315"/>
        <w:jc w:val="both"/>
        <w:rPr>
          <w:rFonts w:eastAsia="宋体"/>
          <w:color w:val="000000"/>
          <w:sz w:val="24"/>
          <w:szCs w:val="24"/>
        </w:rPr>
      </w:pPr>
    </w:p>
    <w:p w14:paraId="70386945">
      <w:pPr>
        <w:shd w:val="clear" w:color="auto" w:fill="FFFFFF"/>
        <w:snapToGrid w:val="0"/>
        <w:ind w:left="1275" w:leftChars="480" w:hanging="315"/>
        <w:jc w:val="both"/>
        <w:rPr>
          <w:rFonts w:eastAsia="宋体"/>
          <w:color w:val="000000"/>
          <w:sz w:val="24"/>
          <w:szCs w:val="24"/>
        </w:rPr>
      </w:pPr>
      <w:r>
        <w:rPr>
          <w:rFonts w:eastAsia="宋体"/>
          <w:color w:val="000000"/>
          <w:sz w:val="24"/>
          <w:szCs w:val="24"/>
        </w:rPr>
        <w:t>3.</w:t>
      </w:r>
      <w:r>
        <w:rPr>
          <w:rFonts w:eastAsia="宋体"/>
          <w:color w:val="000000"/>
          <w:sz w:val="24"/>
          <w:szCs w:val="24"/>
        </w:rPr>
        <w:tab/>
      </w:r>
      <w:r>
        <w:rPr>
          <w:rFonts w:eastAsia="宋体"/>
          <w:color w:val="000000"/>
          <w:sz w:val="24"/>
          <w:szCs w:val="24"/>
        </w:rPr>
        <w:t>解释申请与PMA RASE决定、510（k） SE决定、HDE安全性和可能的受益决定或</w:t>
      </w:r>
      <w:r>
        <w:rPr>
          <w:sz w:val="23"/>
          <w:szCs w:val="23"/>
        </w:rPr>
        <w:t>De Novo</w:t>
      </w:r>
      <w:r>
        <w:rPr>
          <w:rFonts w:eastAsia="宋体"/>
          <w:color w:val="000000"/>
          <w:sz w:val="24"/>
          <w:szCs w:val="24"/>
        </w:rPr>
        <w:t>分类决定的相关性，包括对最终条例适用部分、最终指南、和/或FDA认可标准的引用（除非整个或大部分文件适用）（视情况而定）。如果不能以上述方式追踪补正资料并涉及与决定相关的科学或法规问题，FDA将引用具体的科学问题和信息来支持其立场。</w:t>
      </w:r>
    </w:p>
    <w:p w14:paraId="3F2B7321">
      <w:pPr>
        <w:shd w:val="clear" w:color="auto" w:fill="FFFFFF"/>
        <w:snapToGrid w:val="0"/>
        <w:ind w:left="1275" w:leftChars="480" w:hanging="315"/>
        <w:jc w:val="both"/>
        <w:rPr>
          <w:rFonts w:eastAsia="宋体"/>
          <w:color w:val="000000"/>
          <w:sz w:val="24"/>
          <w:szCs w:val="24"/>
        </w:rPr>
      </w:pPr>
    </w:p>
    <w:p w14:paraId="00EC8498">
      <w:pPr>
        <w:shd w:val="clear" w:color="auto" w:fill="FFFFFF"/>
        <w:snapToGrid w:val="0"/>
        <w:ind w:left="1275" w:leftChars="480" w:hanging="315"/>
        <w:jc w:val="both"/>
        <w:rPr>
          <w:rFonts w:eastAsia="宋体"/>
          <w:color w:val="000000"/>
          <w:sz w:val="24"/>
          <w:szCs w:val="24"/>
        </w:rPr>
      </w:pPr>
      <w:r>
        <w:rPr>
          <w:rFonts w:eastAsia="宋体"/>
          <w:color w:val="000000"/>
          <w:sz w:val="24"/>
          <w:szCs w:val="24"/>
        </w:rPr>
        <w:t>4.</w:t>
      </w:r>
      <w:r>
        <w:rPr>
          <w:rFonts w:eastAsia="宋体"/>
          <w:color w:val="000000"/>
          <w:sz w:val="24"/>
          <w:szCs w:val="24"/>
        </w:rPr>
        <w:tab/>
      </w:r>
      <w:r>
        <w:rPr>
          <w:rFonts w:eastAsia="宋体"/>
          <w:color w:val="000000"/>
          <w:sz w:val="24"/>
          <w:szCs w:val="24"/>
        </w:rPr>
        <w:t>明确要求提供解决该问题所需的额外信息以及满足该问题的潜在替代方法（如适用）。</w:t>
      </w:r>
    </w:p>
    <w:p w14:paraId="0CA77943">
      <w:pPr>
        <w:shd w:val="clear" w:color="auto" w:fill="FFFFFF"/>
        <w:snapToGrid w:val="0"/>
        <w:ind w:left="614" w:leftChars="307"/>
        <w:jc w:val="both"/>
        <w:rPr>
          <w:rFonts w:eastAsia="宋体"/>
          <w:color w:val="000000"/>
          <w:sz w:val="24"/>
          <w:szCs w:val="24"/>
        </w:rPr>
      </w:pPr>
    </w:p>
    <w:p w14:paraId="0FE3C21B">
      <w:pPr>
        <w:shd w:val="clear" w:color="auto" w:fill="FFFFFF"/>
        <w:snapToGrid w:val="0"/>
        <w:ind w:left="614" w:leftChars="307"/>
        <w:jc w:val="both"/>
        <w:rPr>
          <w:rFonts w:eastAsia="宋体"/>
          <w:sz w:val="24"/>
          <w:szCs w:val="24"/>
        </w:rPr>
      </w:pPr>
      <w:r>
        <w:rPr>
          <w:rFonts w:eastAsia="宋体"/>
          <w:color w:val="000000"/>
          <w:sz w:val="24"/>
          <w:szCs w:val="24"/>
        </w:rPr>
        <w:t>FDA审评人员可能会改变上面所列要素的顺序，以代表逻辑思维流程，或者因为这些概念可能错综复杂。此外，FDA审评人员可能会在发补单中加入一段介绍性段落，或在同一主题上为多处补正资料做一个前言，以提高清晰度并减少多余的措辞。附录A中包括不同结构的补正资料示例，以供参考。</w:t>
      </w:r>
    </w:p>
    <w:p w14:paraId="2F9A3EB8">
      <w:pPr>
        <w:pStyle w:val="3"/>
        <w:spacing w:before="240" w:after="240"/>
        <w:rPr>
          <w:rFonts w:eastAsia="宋体"/>
        </w:rPr>
      </w:pPr>
      <w:bookmarkStart w:id="10" w:name="bookmark11"/>
      <w:bookmarkStart w:id="11" w:name="_Toc97486033"/>
      <w:r>
        <w:rPr>
          <w:rFonts w:eastAsia="宋体"/>
        </w:rPr>
        <w:t>C</w:t>
      </w:r>
      <w:bookmarkEnd w:id="10"/>
      <w:r>
        <w:rPr>
          <w:rFonts w:eastAsia="宋体"/>
        </w:rPr>
        <w:t>.</w:t>
      </w:r>
      <w:r>
        <w:rPr>
          <w:rFonts w:eastAsia="宋体"/>
        </w:rPr>
        <w:tab/>
      </w:r>
      <w:r>
        <w:rPr>
          <w:rFonts w:eastAsia="宋体"/>
        </w:rPr>
        <w:t>对发补单的审评</w:t>
      </w:r>
      <w:bookmarkEnd w:id="11"/>
    </w:p>
    <w:p w14:paraId="4B64DDD1">
      <w:pPr>
        <w:shd w:val="clear" w:color="auto" w:fill="FFFFFF"/>
        <w:snapToGrid w:val="0"/>
        <w:ind w:left="614" w:leftChars="307"/>
        <w:jc w:val="both"/>
        <w:rPr>
          <w:rFonts w:eastAsia="宋体"/>
          <w:sz w:val="24"/>
          <w:szCs w:val="24"/>
        </w:rPr>
      </w:pPr>
      <w:r>
        <w:rPr>
          <w:rFonts w:eastAsia="宋体"/>
          <w:color w:val="000000"/>
          <w:sz w:val="24"/>
          <w:szCs w:val="24"/>
        </w:rPr>
        <w:t>如MDUFA IV承诺函中所述，发补单在发布前都将经过监督审查，以确保所引用的补正资料与上市许可决定相关，并包括本指南第IV.B部分所述的四个要素。FDA工作人员和管理人员应确保根据</w:t>
      </w:r>
      <w:r>
        <w:rPr>
          <w:rFonts w:hint="eastAsia" w:eastAsia="宋体"/>
          <w:color w:val="000000"/>
          <w:sz w:val="24"/>
          <w:szCs w:val="24"/>
        </w:rPr>
        <w:t>F</w:t>
      </w:r>
      <w:r>
        <w:rPr>
          <w:rFonts w:eastAsia="宋体"/>
          <w:color w:val="000000"/>
          <w:sz w:val="24"/>
          <w:szCs w:val="24"/>
        </w:rPr>
        <w:t>DA对补正资料重要性的看法来确定补正资料的优先顺序。最重要的补正资料应列在发补单的第一位。在审评期间，FDA管理人员还应考虑所有补正资料的总体情况，以确定每个单独的申请是否仍然适合。</w:t>
      </w:r>
    </w:p>
    <w:p w14:paraId="779E6943">
      <w:pPr>
        <w:pStyle w:val="2"/>
        <w:spacing w:before="240" w:after="240"/>
        <w:ind w:left="632" w:hanging="632" w:hangingChars="175"/>
        <w:rPr>
          <w:rFonts w:eastAsia="宋体"/>
        </w:rPr>
      </w:pPr>
      <w:bookmarkStart w:id="12" w:name="bookmark12"/>
      <w:bookmarkStart w:id="13" w:name="_Toc97486034"/>
      <w:r>
        <w:rPr>
          <w:rFonts w:eastAsia="宋体"/>
        </w:rPr>
        <w:t>V</w:t>
      </w:r>
      <w:bookmarkEnd w:id="12"/>
      <w:r>
        <w:rPr>
          <w:rFonts w:eastAsia="宋体"/>
        </w:rPr>
        <w:t>.</w:t>
      </w:r>
      <w:r>
        <w:rPr>
          <w:rFonts w:eastAsia="宋体"/>
        </w:rPr>
        <w:tab/>
      </w:r>
      <w:r>
        <w:rPr>
          <w:rFonts w:eastAsia="宋体"/>
        </w:rPr>
        <w:t>行业对FDA补正资料答复的建议格式</w:t>
      </w:r>
      <w:bookmarkEnd w:id="13"/>
    </w:p>
    <w:p w14:paraId="133918B1">
      <w:pPr>
        <w:shd w:val="clear" w:color="auto" w:fill="FFFFFF"/>
        <w:snapToGrid w:val="0"/>
        <w:rPr>
          <w:rFonts w:eastAsia="宋体"/>
          <w:sz w:val="24"/>
          <w:szCs w:val="24"/>
        </w:rPr>
      </w:pPr>
      <w:r>
        <w:rPr>
          <w:rFonts w:eastAsia="宋体"/>
          <w:color w:val="000000"/>
          <w:sz w:val="24"/>
          <w:szCs w:val="24"/>
        </w:rPr>
        <w:t>申请人应在FDA的发补单中规定的时间范围内对所有补正资料做出完整答复。有关发补单答复及其对FDA审评时</w:t>
      </w:r>
      <w:r>
        <w:rPr>
          <w:rFonts w:hint="eastAsia" w:eastAsia="宋体"/>
          <w:color w:val="000000"/>
          <w:sz w:val="24"/>
          <w:szCs w:val="24"/>
        </w:rPr>
        <w:t>限</w:t>
      </w:r>
      <w:r>
        <w:rPr>
          <w:rFonts w:eastAsia="宋体"/>
          <w:color w:val="000000"/>
          <w:sz w:val="24"/>
          <w:szCs w:val="24"/>
        </w:rPr>
        <w:t>的影响的更多信息，请参见</w:t>
      </w:r>
      <w:r>
        <w:rPr>
          <w:rFonts w:ascii="宋体" w:hAnsi="宋体" w:eastAsia="宋体"/>
          <w:color w:val="000000"/>
          <w:sz w:val="24"/>
          <w:szCs w:val="24"/>
        </w:rPr>
        <w:t>“</w:t>
      </w:r>
      <w:r>
        <w:rPr>
          <w:rFonts w:eastAsia="宋体"/>
          <w:color w:val="000000"/>
          <w:sz w:val="24"/>
          <w:szCs w:val="24"/>
        </w:rPr>
        <w:t>关于上市前通知（510（k））递交的FDA及行业行动：对FDA审评时</w:t>
      </w:r>
      <w:r>
        <w:rPr>
          <w:rFonts w:hint="eastAsia" w:eastAsia="宋体"/>
          <w:color w:val="000000"/>
          <w:sz w:val="24"/>
          <w:szCs w:val="24"/>
        </w:rPr>
        <w:t>限</w:t>
      </w:r>
      <w:r>
        <w:rPr>
          <w:rFonts w:eastAsia="宋体"/>
          <w:color w:val="000000"/>
          <w:sz w:val="24"/>
          <w:szCs w:val="24"/>
        </w:rPr>
        <w:t>和目标的影响，</w:t>
      </w:r>
      <w:r>
        <w:rPr>
          <w:rFonts w:ascii="宋体" w:hAnsi="宋体" w:eastAsia="宋体"/>
          <w:color w:val="000000"/>
          <w:sz w:val="24"/>
          <w:szCs w:val="24"/>
        </w:rPr>
        <w:t>”</w:t>
      </w:r>
      <w:r>
        <w:rPr>
          <w:rFonts w:eastAsia="宋体"/>
          <w:color w:val="000000"/>
          <w:sz w:val="24"/>
          <w:szCs w:val="24"/>
        </w:rPr>
        <w:t>（</w:t>
      </w:r>
      <w:r>
        <w:rPr>
          <w:rFonts w:eastAsia="宋体"/>
          <w:color w:val="0000FF"/>
          <w:sz w:val="24"/>
          <w:szCs w:val="24"/>
          <w:u w:val="single"/>
        </w:rPr>
        <w:t>http://www.fda.gov/downloads/MedicalDevices/DeviceRegulationandGuidance/GuidanceDocuments/ucm089738.pdf</w:t>
      </w:r>
      <w:r>
        <w:rPr>
          <w:rFonts w:eastAsia="宋体"/>
          <w:color w:val="000000"/>
          <w:sz w:val="24"/>
          <w:szCs w:val="24"/>
        </w:rPr>
        <w:t>），</w:t>
      </w:r>
      <w:r>
        <w:rPr>
          <w:rFonts w:ascii="宋体" w:hAnsi="宋体" w:eastAsia="宋体"/>
          <w:color w:val="000000"/>
          <w:sz w:val="24"/>
          <w:szCs w:val="24"/>
        </w:rPr>
        <w:t>“</w:t>
      </w:r>
      <w:r>
        <w:rPr>
          <w:rFonts w:eastAsia="宋体"/>
          <w:color w:val="000000"/>
          <w:sz w:val="24"/>
          <w:szCs w:val="24"/>
        </w:rPr>
        <w:t>关于上市前批准申请（PMA）的FDA及行业行动：对FDA审评时</w:t>
      </w:r>
      <w:r>
        <w:rPr>
          <w:rFonts w:hint="eastAsia" w:eastAsia="宋体"/>
          <w:color w:val="000000"/>
          <w:sz w:val="24"/>
          <w:szCs w:val="24"/>
        </w:rPr>
        <w:t>限</w:t>
      </w:r>
      <w:r>
        <w:rPr>
          <w:rFonts w:eastAsia="宋体"/>
          <w:color w:val="000000"/>
          <w:sz w:val="24"/>
          <w:szCs w:val="24"/>
        </w:rPr>
        <w:t>和目标的影响，</w:t>
      </w:r>
      <w:r>
        <w:rPr>
          <w:rFonts w:ascii="宋体" w:hAnsi="宋体" w:eastAsia="宋体"/>
          <w:color w:val="000000"/>
          <w:sz w:val="24"/>
          <w:szCs w:val="24"/>
        </w:rPr>
        <w:t>”</w:t>
      </w:r>
      <w:r>
        <w:rPr>
          <w:rFonts w:eastAsia="宋体"/>
          <w:color w:val="000000"/>
          <w:sz w:val="24"/>
          <w:szCs w:val="24"/>
        </w:rPr>
        <w:t>（</w:t>
      </w:r>
      <w:r>
        <w:rPr>
          <w:rFonts w:eastAsia="宋体"/>
          <w:color w:val="0000FF"/>
          <w:sz w:val="24"/>
          <w:szCs w:val="24"/>
          <w:u w:val="single"/>
        </w:rPr>
        <w:t>http://www.fda.gov/downloads/MedicalDevices/DeviceRegulationandGuidance/GuidanceDocuments/ucm089734.pdf</w:t>
      </w:r>
      <w:r>
        <w:rPr>
          <w:rFonts w:eastAsia="宋体"/>
          <w:color w:val="000000"/>
          <w:sz w:val="24"/>
          <w:szCs w:val="24"/>
        </w:rPr>
        <w:t>），以及</w:t>
      </w:r>
      <w:r>
        <w:rPr>
          <w:rFonts w:ascii="宋体" w:hAnsi="宋体" w:eastAsia="宋体"/>
          <w:color w:val="000000"/>
          <w:sz w:val="24"/>
          <w:szCs w:val="24"/>
        </w:rPr>
        <w:t>“</w:t>
      </w:r>
      <w:r>
        <w:rPr>
          <w:rFonts w:eastAsia="宋体"/>
          <w:color w:val="000000"/>
          <w:sz w:val="24"/>
          <w:szCs w:val="24"/>
        </w:rPr>
        <w:t>关于</w:t>
      </w:r>
      <w:r>
        <w:rPr>
          <w:sz w:val="23"/>
          <w:szCs w:val="23"/>
        </w:rPr>
        <w:t>De Novo</w:t>
      </w:r>
      <w:r>
        <w:rPr>
          <w:rFonts w:eastAsia="宋体"/>
          <w:color w:val="000000"/>
          <w:sz w:val="24"/>
          <w:szCs w:val="24"/>
        </w:rPr>
        <w:t>申请的FDA及行业行动：对FDA审评时</w:t>
      </w:r>
      <w:r>
        <w:rPr>
          <w:rFonts w:hint="eastAsia" w:eastAsia="宋体"/>
          <w:color w:val="000000"/>
          <w:sz w:val="24"/>
          <w:szCs w:val="24"/>
        </w:rPr>
        <w:t>限</w:t>
      </w:r>
      <w:r>
        <w:rPr>
          <w:rFonts w:eastAsia="宋体"/>
          <w:color w:val="000000"/>
          <w:sz w:val="24"/>
          <w:szCs w:val="24"/>
        </w:rPr>
        <w:t>和目标的影响</w:t>
      </w:r>
      <w:r>
        <w:rPr>
          <w:rFonts w:ascii="宋体" w:hAnsi="宋体" w:eastAsia="宋体"/>
          <w:color w:val="000000"/>
          <w:sz w:val="24"/>
          <w:szCs w:val="24"/>
        </w:rPr>
        <w:t>”</w:t>
      </w:r>
      <w:r>
        <w:rPr>
          <w:rFonts w:eastAsia="宋体"/>
          <w:color w:val="000000"/>
          <w:sz w:val="24"/>
          <w:szCs w:val="24"/>
        </w:rPr>
        <w:t>（</w:t>
      </w:r>
      <w:r>
        <w:rPr>
          <w:rFonts w:eastAsia="宋体"/>
          <w:color w:val="0000FF"/>
          <w:sz w:val="24"/>
          <w:szCs w:val="24"/>
          <w:u w:val="single"/>
        </w:rPr>
        <w:t>https://www.fda.gov/downloads/MedicalDevices/DeviceRegulationandGuidance/GuidanceDocuments/UCM576305.pdf</w:t>
      </w:r>
      <w:r>
        <w:rPr>
          <w:rFonts w:eastAsia="宋体"/>
          <w:color w:val="000000"/>
          <w:sz w:val="24"/>
          <w:szCs w:val="24"/>
        </w:rPr>
        <w:t>）。</w:t>
      </w:r>
    </w:p>
    <w:p w14:paraId="107500C4">
      <w:pPr>
        <w:shd w:val="clear" w:color="auto" w:fill="FFFFFF"/>
        <w:snapToGrid w:val="0"/>
        <w:rPr>
          <w:rFonts w:eastAsia="宋体"/>
          <w:sz w:val="21"/>
          <w:szCs w:val="21"/>
        </w:rPr>
      </w:pPr>
    </w:p>
    <w:p w14:paraId="73AB1719">
      <w:pPr>
        <w:shd w:val="clear" w:color="auto" w:fill="FFFFFF"/>
        <w:snapToGrid w:val="0"/>
        <w:jc w:val="both"/>
        <w:rPr>
          <w:rFonts w:eastAsia="宋体"/>
          <w:sz w:val="21"/>
          <w:szCs w:val="21"/>
        </w:rPr>
      </w:pPr>
    </w:p>
    <w:p w14:paraId="05A20742">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33FD151E">
      <w:pPr>
        <w:shd w:val="clear" w:color="auto" w:fill="FFFFFF"/>
        <w:snapToGrid w:val="0"/>
        <w:jc w:val="both"/>
        <w:rPr>
          <w:rFonts w:eastAsia="宋体"/>
          <w:color w:val="000000"/>
          <w:sz w:val="24"/>
          <w:szCs w:val="24"/>
        </w:rPr>
      </w:pPr>
      <w:r>
        <w:rPr>
          <w:rFonts w:eastAsia="宋体"/>
          <w:color w:val="000000"/>
          <w:sz w:val="24"/>
          <w:szCs w:val="24"/>
        </w:rPr>
        <w:t>FDA建议申请人在答复补正资料时使用以下格式：</w:t>
      </w:r>
    </w:p>
    <w:p w14:paraId="0F1FE4D6">
      <w:pPr>
        <w:shd w:val="clear" w:color="auto" w:fill="FFFFFF"/>
        <w:snapToGrid w:val="0"/>
        <w:jc w:val="both"/>
        <w:rPr>
          <w:rFonts w:eastAsia="宋体"/>
          <w:sz w:val="24"/>
          <w:szCs w:val="24"/>
        </w:rPr>
      </w:pPr>
    </w:p>
    <w:p w14:paraId="559A9D6A">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1.</w:t>
      </w:r>
      <w:r>
        <w:rPr>
          <w:rFonts w:eastAsia="宋体"/>
          <w:color w:val="000000"/>
          <w:sz w:val="24"/>
          <w:szCs w:val="24"/>
        </w:rPr>
        <w:tab/>
      </w:r>
      <w:r>
        <w:rPr>
          <w:rFonts w:eastAsia="宋体"/>
          <w:color w:val="000000"/>
          <w:sz w:val="24"/>
          <w:szCs w:val="24"/>
        </w:rPr>
        <w:t>重申识别出的</w:t>
      </w:r>
      <w:r>
        <w:rPr>
          <w:rFonts w:hint="eastAsia" w:eastAsia="宋体"/>
          <w:color w:val="000000"/>
          <w:sz w:val="24"/>
          <w:szCs w:val="24"/>
        </w:rPr>
        <w:t>F</w:t>
      </w:r>
      <w:r>
        <w:rPr>
          <w:rFonts w:eastAsia="宋体"/>
          <w:color w:val="000000"/>
          <w:sz w:val="24"/>
          <w:szCs w:val="24"/>
        </w:rPr>
        <w:t>DA问题；和</w:t>
      </w:r>
    </w:p>
    <w:p w14:paraId="2795C3C6">
      <w:pPr>
        <w:shd w:val="clear" w:color="auto" w:fill="FFFFFF"/>
        <w:snapToGrid w:val="0"/>
        <w:ind w:left="660" w:leftChars="150" w:hanging="360" w:hangingChars="150"/>
        <w:jc w:val="both"/>
        <w:rPr>
          <w:rFonts w:eastAsia="宋体"/>
          <w:color w:val="000000"/>
          <w:sz w:val="24"/>
          <w:szCs w:val="24"/>
        </w:rPr>
      </w:pPr>
    </w:p>
    <w:p w14:paraId="37845BB8">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2.</w:t>
      </w:r>
      <w:r>
        <w:rPr>
          <w:rFonts w:eastAsia="宋体"/>
          <w:color w:val="000000"/>
          <w:sz w:val="24"/>
          <w:szCs w:val="24"/>
        </w:rPr>
        <w:tab/>
      </w:r>
      <w:r>
        <w:rPr>
          <w:rFonts w:eastAsia="宋体"/>
          <w:color w:val="000000"/>
          <w:sz w:val="24"/>
          <w:szCs w:val="24"/>
        </w:rPr>
        <w:t>提供以下选项之一：</w:t>
      </w:r>
    </w:p>
    <w:p w14:paraId="6BBF850C">
      <w:pPr>
        <w:shd w:val="clear" w:color="auto" w:fill="FFFFFF"/>
        <w:snapToGrid w:val="0"/>
        <w:ind w:left="1275" w:leftChars="480" w:hanging="315"/>
        <w:jc w:val="both"/>
        <w:rPr>
          <w:rFonts w:eastAsia="宋体"/>
          <w:color w:val="000000"/>
          <w:sz w:val="24"/>
          <w:szCs w:val="24"/>
        </w:rPr>
      </w:pPr>
    </w:p>
    <w:p w14:paraId="2D600A15">
      <w:pPr>
        <w:shd w:val="clear" w:color="auto" w:fill="FFFFFF"/>
        <w:snapToGrid w:val="0"/>
        <w:ind w:left="1275" w:leftChars="480" w:hanging="315"/>
        <w:jc w:val="both"/>
        <w:rPr>
          <w:rFonts w:eastAsia="宋体"/>
          <w:sz w:val="24"/>
          <w:szCs w:val="24"/>
        </w:rPr>
      </w:pPr>
      <w:r>
        <w:rPr>
          <w:rFonts w:eastAsia="宋体"/>
          <w:color w:val="000000"/>
          <w:sz w:val="24"/>
          <w:szCs w:val="24"/>
        </w:rPr>
        <w:t>a.</w:t>
      </w:r>
      <w:r>
        <w:rPr>
          <w:rFonts w:eastAsia="宋体"/>
          <w:color w:val="000000"/>
          <w:sz w:val="24"/>
          <w:szCs w:val="24"/>
        </w:rPr>
        <w:tab/>
      </w:r>
      <w:r>
        <w:rPr>
          <w:rFonts w:eastAsia="宋体"/>
          <w:color w:val="000000"/>
          <w:sz w:val="24"/>
          <w:szCs w:val="24"/>
        </w:rPr>
        <w:t>所要求的信息或数据；</w:t>
      </w:r>
    </w:p>
    <w:p w14:paraId="586F90AF">
      <w:pPr>
        <w:shd w:val="clear" w:color="auto" w:fill="FFFFFF"/>
        <w:snapToGrid w:val="0"/>
        <w:ind w:left="1275" w:leftChars="480" w:hanging="315"/>
        <w:jc w:val="both"/>
        <w:rPr>
          <w:rFonts w:eastAsia="宋体"/>
          <w:color w:val="000000"/>
          <w:sz w:val="24"/>
          <w:szCs w:val="24"/>
        </w:rPr>
      </w:pPr>
    </w:p>
    <w:p w14:paraId="4B0E673C">
      <w:pPr>
        <w:shd w:val="clear" w:color="auto" w:fill="FFFFFF"/>
        <w:snapToGrid w:val="0"/>
        <w:ind w:left="1275" w:leftChars="480" w:hanging="315"/>
        <w:jc w:val="both"/>
        <w:rPr>
          <w:rFonts w:eastAsia="宋体"/>
          <w:sz w:val="24"/>
          <w:szCs w:val="24"/>
        </w:rPr>
      </w:pPr>
      <w:r>
        <w:rPr>
          <w:rFonts w:eastAsia="宋体"/>
          <w:color w:val="000000"/>
          <w:sz w:val="24"/>
          <w:szCs w:val="24"/>
        </w:rPr>
        <w:t>b.</w:t>
      </w:r>
      <w:r>
        <w:rPr>
          <w:rFonts w:eastAsia="宋体"/>
          <w:color w:val="000000"/>
          <w:sz w:val="24"/>
          <w:szCs w:val="24"/>
        </w:rPr>
        <w:tab/>
      </w:r>
      <w:r>
        <w:rPr>
          <w:rFonts w:eastAsia="宋体"/>
          <w:color w:val="000000"/>
          <w:sz w:val="24"/>
          <w:szCs w:val="24"/>
        </w:rPr>
        <w:t>解释为何该问题与上市许可决定无关；或</w:t>
      </w:r>
    </w:p>
    <w:p w14:paraId="029B4497">
      <w:pPr>
        <w:shd w:val="clear" w:color="auto" w:fill="FFFFFF"/>
        <w:snapToGrid w:val="0"/>
        <w:ind w:left="1275" w:leftChars="480" w:hanging="315"/>
        <w:jc w:val="both"/>
        <w:rPr>
          <w:rFonts w:eastAsia="宋体"/>
          <w:color w:val="000000"/>
          <w:sz w:val="24"/>
          <w:szCs w:val="24"/>
        </w:rPr>
      </w:pPr>
    </w:p>
    <w:p w14:paraId="19A2F587">
      <w:pPr>
        <w:shd w:val="clear" w:color="auto" w:fill="FFFFFF"/>
        <w:snapToGrid w:val="0"/>
        <w:ind w:left="1275" w:leftChars="480" w:hanging="315"/>
        <w:jc w:val="both"/>
        <w:rPr>
          <w:rFonts w:eastAsia="宋体"/>
          <w:sz w:val="24"/>
          <w:szCs w:val="24"/>
        </w:rPr>
      </w:pPr>
      <w:r>
        <w:rPr>
          <w:rFonts w:eastAsia="宋体"/>
          <w:color w:val="000000"/>
          <w:sz w:val="24"/>
          <w:szCs w:val="24"/>
        </w:rPr>
        <w:t>c.</w:t>
      </w:r>
      <w:r>
        <w:rPr>
          <w:rFonts w:eastAsia="宋体"/>
          <w:color w:val="000000"/>
          <w:sz w:val="24"/>
          <w:szCs w:val="24"/>
        </w:rPr>
        <w:tab/>
      </w:r>
      <w:r>
        <w:rPr>
          <w:rFonts w:eastAsia="宋体"/>
          <w:color w:val="000000"/>
          <w:sz w:val="24"/>
          <w:szCs w:val="24"/>
        </w:rPr>
        <w:t>替代信息和描述信息为何充分解决问题的解释。</w:t>
      </w:r>
    </w:p>
    <w:p w14:paraId="1BB1F704">
      <w:pPr>
        <w:shd w:val="clear" w:color="auto" w:fill="FFFFFF"/>
        <w:snapToGrid w:val="0"/>
        <w:jc w:val="both"/>
        <w:rPr>
          <w:rFonts w:eastAsia="宋体"/>
          <w:color w:val="000000"/>
          <w:sz w:val="24"/>
          <w:szCs w:val="24"/>
        </w:rPr>
      </w:pPr>
    </w:p>
    <w:p w14:paraId="155E1D10">
      <w:pPr>
        <w:shd w:val="clear" w:color="auto" w:fill="FFFFFF"/>
        <w:snapToGrid w:val="0"/>
        <w:rPr>
          <w:rFonts w:eastAsia="宋体"/>
          <w:sz w:val="24"/>
          <w:szCs w:val="24"/>
        </w:rPr>
      </w:pPr>
      <w:r>
        <w:rPr>
          <w:rFonts w:eastAsia="宋体"/>
          <w:color w:val="000000"/>
          <w:sz w:val="24"/>
          <w:szCs w:val="24"/>
        </w:rPr>
        <w:t>FDA建议申请人在答复特定补正资料时提供补正资料编号和</w:t>
      </w:r>
      <w:r>
        <w:rPr>
          <w:rFonts w:hint="eastAsia" w:eastAsia="宋体"/>
          <w:color w:val="000000"/>
          <w:sz w:val="24"/>
          <w:szCs w:val="24"/>
        </w:rPr>
        <w:t>F</w:t>
      </w:r>
      <w:r>
        <w:rPr>
          <w:rFonts w:eastAsia="宋体"/>
          <w:color w:val="000000"/>
          <w:sz w:val="24"/>
          <w:szCs w:val="24"/>
        </w:rPr>
        <w:t>DA问题的相同重申。如果您答复之前补正资料的后续问题，FDA建议您在回答此类补正资料之前先加入原始补正资料和后续问题。如果您的答复涉及面较广，我们建议您根据需要使用目录、图目录和/或表目录组织信息，以便于审评。在答复补正资料时，您应描述或合理说明信息如何充分解决</w:t>
      </w:r>
      <w:r>
        <w:rPr>
          <w:rFonts w:hint="eastAsia" w:eastAsia="宋体"/>
          <w:color w:val="000000"/>
          <w:sz w:val="24"/>
          <w:szCs w:val="24"/>
        </w:rPr>
        <w:t>F</w:t>
      </w:r>
      <w:r>
        <w:rPr>
          <w:rFonts w:eastAsia="宋体"/>
          <w:color w:val="000000"/>
          <w:sz w:val="24"/>
          <w:szCs w:val="24"/>
        </w:rPr>
        <w:t>DA关</w:t>
      </w:r>
      <w:r>
        <w:rPr>
          <w:rFonts w:hint="eastAsia" w:eastAsia="宋体"/>
          <w:color w:val="000000"/>
          <w:sz w:val="24"/>
          <w:szCs w:val="24"/>
        </w:rPr>
        <w:t>注</w:t>
      </w:r>
      <w:r>
        <w:rPr>
          <w:rFonts w:eastAsia="宋体"/>
          <w:color w:val="000000"/>
          <w:sz w:val="24"/>
          <w:szCs w:val="24"/>
        </w:rPr>
        <w:t>的问题。在提供FDA认可的标准符合性声明来代替数据时，您应识别标准、其修订日期、适用部分以及与标准的任何偏离。有关共识标准的更多信息，请参考FDA指导文件</w:t>
      </w:r>
      <w:r>
        <w:rPr>
          <w:rFonts w:ascii="宋体" w:hAnsi="宋体" w:eastAsia="宋体"/>
          <w:color w:val="000000"/>
          <w:sz w:val="24"/>
          <w:szCs w:val="24"/>
        </w:rPr>
        <w:t>“</w:t>
      </w:r>
      <w:r>
        <w:rPr>
          <w:rFonts w:eastAsia="宋体"/>
          <w:color w:val="000000"/>
          <w:sz w:val="24"/>
          <w:szCs w:val="24"/>
        </w:rPr>
        <w:t>共识标准的认可和使用</w:t>
      </w:r>
      <w:r>
        <w:rPr>
          <w:rFonts w:ascii="宋体" w:hAnsi="宋体" w:eastAsia="宋体"/>
          <w:color w:val="000000"/>
          <w:sz w:val="24"/>
          <w:szCs w:val="24"/>
        </w:rPr>
        <w:t>”</w:t>
      </w:r>
      <w:r>
        <w:rPr>
          <w:rFonts w:eastAsia="宋体"/>
          <w:color w:val="000000"/>
          <w:sz w:val="24"/>
          <w:szCs w:val="24"/>
        </w:rPr>
        <w:t>（</w:t>
      </w:r>
      <w:r>
        <w:rPr>
          <w:rFonts w:eastAsia="宋体"/>
          <w:color w:val="0000FF"/>
          <w:sz w:val="24"/>
          <w:szCs w:val="24"/>
          <w:u w:val="single"/>
        </w:rPr>
        <w:t>https://www.fda.gov/downloads/MedicalDevices/DeviceRegulationandGuidance/GuidanceDocuments/ucm077295.pdf</w:t>
      </w:r>
      <w:r>
        <w:rPr>
          <w:rFonts w:eastAsia="宋体"/>
          <w:color w:val="000000"/>
          <w:sz w:val="24"/>
          <w:szCs w:val="24"/>
        </w:rPr>
        <w:t>）。</w:t>
      </w:r>
    </w:p>
    <w:p w14:paraId="568DA2A9">
      <w:pPr>
        <w:shd w:val="clear" w:color="auto" w:fill="FFFFFF"/>
        <w:snapToGrid w:val="0"/>
        <w:jc w:val="both"/>
        <w:rPr>
          <w:rFonts w:eastAsia="宋体"/>
          <w:color w:val="000000"/>
          <w:sz w:val="24"/>
          <w:szCs w:val="24"/>
        </w:rPr>
      </w:pPr>
    </w:p>
    <w:p w14:paraId="12A621E9">
      <w:pPr>
        <w:shd w:val="clear" w:color="auto" w:fill="FFFFFF"/>
        <w:snapToGrid w:val="0"/>
        <w:jc w:val="both"/>
        <w:rPr>
          <w:rFonts w:eastAsia="宋体"/>
          <w:color w:val="000000"/>
          <w:sz w:val="24"/>
          <w:szCs w:val="24"/>
        </w:rPr>
      </w:pPr>
      <w:r>
        <w:rPr>
          <w:rFonts w:eastAsia="宋体"/>
          <w:color w:val="000000"/>
          <w:sz w:val="24"/>
          <w:szCs w:val="24"/>
        </w:rPr>
        <w:t>如上文2b所述，如果您认为</w:t>
      </w:r>
      <w:r>
        <w:rPr>
          <w:rFonts w:hint="eastAsia" w:eastAsia="宋体"/>
          <w:color w:val="000000"/>
          <w:sz w:val="24"/>
          <w:szCs w:val="24"/>
        </w:rPr>
        <w:t>F</w:t>
      </w:r>
      <w:r>
        <w:rPr>
          <w:rFonts w:eastAsia="宋体"/>
          <w:color w:val="000000"/>
          <w:sz w:val="24"/>
          <w:szCs w:val="24"/>
        </w:rPr>
        <w:t>DA的要求与上市许可无关，您应在答复FDA的发补单时提供理由。如果有上市同品种器械可用于支持您510（k）递交资料的论点，您还应引用相关的510（k）编号。</w:t>
      </w:r>
    </w:p>
    <w:p w14:paraId="0A6FAC6F">
      <w:pPr>
        <w:shd w:val="clear" w:color="auto" w:fill="FFFFFF"/>
        <w:snapToGrid w:val="0"/>
        <w:jc w:val="both"/>
        <w:rPr>
          <w:rFonts w:eastAsia="宋体"/>
          <w:sz w:val="24"/>
          <w:szCs w:val="24"/>
        </w:rPr>
      </w:pPr>
    </w:p>
    <w:p w14:paraId="7936C80E">
      <w:pPr>
        <w:shd w:val="clear" w:color="auto" w:fill="FFFFFF"/>
        <w:snapToGrid w:val="0"/>
        <w:jc w:val="both"/>
        <w:rPr>
          <w:rFonts w:eastAsia="宋体"/>
          <w:sz w:val="24"/>
          <w:szCs w:val="24"/>
        </w:rPr>
      </w:pPr>
      <w:r>
        <w:rPr>
          <w:rFonts w:eastAsia="宋体"/>
          <w:color w:val="000000"/>
          <w:sz w:val="24"/>
          <w:szCs w:val="24"/>
        </w:rPr>
        <w:t>如上文2c所述，在制定答复时，您可以考虑建议替代方法，以在适用的上市许可法定和监管标准范围内优化解决问题的时间、工作和成本。这种替代方法可以包括不同类型的台架试验，建议用非临床试验代替临床试验，或者符合FDA认可的共识标准。如果采取替代方法，您应讨论所包括的信息如何满足用于上市许可的法定和监管标准。</w:t>
      </w:r>
    </w:p>
    <w:p w14:paraId="45A5C7F5">
      <w:pPr>
        <w:shd w:val="clear" w:color="auto" w:fill="FFFFFF"/>
        <w:snapToGrid w:val="0"/>
        <w:jc w:val="both"/>
        <w:rPr>
          <w:rFonts w:eastAsia="宋体"/>
          <w:sz w:val="24"/>
          <w:szCs w:val="24"/>
        </w:rPr>
      </w:pPr>
    </w:p>
    <w:p w14:paraId="03F4DA0C">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635DC23E">
      <w:pPr>
        <w:pStyle w:val="2"/>
        <w:spacing w:before="240" w:after="240"/>
        <w:rPr>
          <w:rFonts w:eastAsia="宋体"/>
        </w:rPr>
      </w:pPr>
      <w:bookmarkStart w:id="14" w:name="bookmark13"/>
      <w:bookmarkEnd w:id="14"/>
      <w:bookmarkStart w:id="15" w:name="_Toc97486035"/>
      <w:r>
        <w:rPr>
          <w:rFonts w:eastAsia="宋体"/>
        </w:rPr>
        <w:t>附录A.</w:t>
      </w:r>
      <w:r>
        <w:rPr>
          <w:rFonts w:eastAsia="宋体"/>
        </w:rPr>
        <w:tab/>
      </w:r>
      <w:r>
        <w:rPr>
          <w:rFonts w:eastAsia="宋体"/>
        </w:rPr>
        <w:t>补正资料示例</w:t>
      </w:r>
      <w:bookmarkEnd w:id="15"/>
    </w:p>
    <w:p w14:paraId="1EF1B418">
      <w:pPr>
        <w:shd w:val="clear" w:color="auto" w:fill="FFFFFF"/>
        <w:snapToGrid w:val="0"/>
        <w:jc w:val="both"/>
        <w:rPr>
          <w:rFonts w:eastAsia="宋体"/>
          <w:sz w:val="24"/>
          <w:szCs w:val="24"/>
        </w:rPr>
      </w:pPr>
      <w:r>
        <w:rPr>
          <w:rFonts w:eastAsia="宋体"/>
          <w:color w:val="000000"/>
          <w:sz w:val="24"/>
          <w:szCs w:val="24"/>
        </w:rPr>
        <w:t>以下示例仅用于说明本指导文件中讨论的原则和建议。为了说明起见，我们在括号中引用了以下每个部分的补正资料，以证明每个示例如何满足四部分补正资料格式方法。FDA预期并不在发补单中引用四部分补正资料格式的每一部分。</w:t>
      </w:r>
    </w:p>
    <w:p w14:paraId="3996C1F4">
      <w:pPr>
        <w:shd w:val="clear" w:color="auto" w:fill="FFFFFF"/>
        <w:snapToGrid w:val="0"/>
        <w:ind w:left="361" w:hanging="361" w:hangingChars="150"/>
        <w:jc w:val="both"/>
        <w:rPr>
          <w:rFonts w:eastAsia="宋体"/>
          <w:b/>
          <w:bCs/>
          <w:color w:val="000000"/>
          <w:sz w:val="24"/>
          <w:szCs w:val="24"/>
        </w:rPr>
      </w:pPr>
    </w:p>
    <w:p w14:paraId="679B812F">
      <w:pPr>
        <w:shd w:val="clear" w:color="auto" w:fill="FFFFFF"/>
        <w:snapToGrid w:val="0"/>
        <w:ind w:left="361" w:hanging="361" w:hangingChars="150"/>
        <w:jc w:val="both"/>
        <w:rPr>
          <w:rFonts w:eastAsia="宋体"/>
          <w:sz w:val="24"/>
          <w:szCs w:val="24"/>
        </w:rPr>
      </w:pPr>
      <w:r>
        <w:rPr>
          <w:rFonts w:eastAsia="宋体"/>
          <w:b/>
          <w:bCs/>
          <w:color w:val="000000"/>
          <w:sz w:val="24"/>
          <w:szCs w:val="24"/>
        </w:rPr>
        <w:t>1.</w:t>
      </w:r>
      <w:r>
        <w:rPr>
          <w:rFonts w:eastAsia="宋体"/>
          <w:b/>
          <w:bCs/>
          <w:color w:val="000000"/>
          <w:sz w:val="24"/>
          <w:szCs w:val="24"/>
        </w:rPr>
        <w:tab/>
      </w:r>
      <w:r>
        <w:rPr>
          <w:rFonts w:eastAsia="宋体"/>
          <w:b/>
          <w:bCs/>
          <w:color w:val="000000"/>
          <w:sz w:val="24"/>
          <w:szCs w:val="24"/>
        </w:rPr>
        <w:t>510（k） - 科学问题</w:t>
      </w:r>
    </w:p>
    <w:p w14:paraId="53B7D638">
      <w:pPr>
        <w:shd w:val="clear" w:color="auto" w:fill="FFFFFF"/>
        <w:snapToGrid w:val="0"/>
        <w:jc w:val="both"/>
        <w:rPr>
          <w:rFonts w:eastAsia="宋体"/>
          <w:color w:val="000000"/>
          <w:sz w:val="24"/>
          <w:szCs w:val="24"/>
        </w:rPr>
      </w:pPr>
    </w:p>
    <w:p w14:paraId="4EA1FCA2">
      <w:pPr>
        <w:shd w:val="clear" w:color="auto" w:fill="FFFFFF"/>
        <w:snapToGrid w:val="0"/>
        <w:jc w:val="both"/>
        <w:rPr>
          <w:rFonts w:eastAsia="宋体"/>
          <w:sz w:val="24"/>
          <w:szCs w:val="24"/>
        </w:rPr>
      </w:pPr>
      <w:r>
        <w:rPr>
          <w:rFonts w:eastAsia="宋体"/>
          <w:color w:val="000000"/>
          <w:sz w:val="24"/>
          <w:szCs w:val="24"/>
        </w:rPr>
        <w:t>（1）您为您的体外试验提供了前瞻性研究的行数据。从样品采集和接种的行数据中列出的日期来看，发现新鲜冷冻的样品都进行了试验。（2）但是，您没有在行数据中识别新鲜冷冻样品，也没有根据新鲜冷冻状态对临床性能进行分层。（4）请更新行数据以</w:t>
      </w:r>
      <w:r>
        <w:rPr>
          <w:rFonts w:hint="eastAsia" w:eastAsia="宋体"/>
          <w:color w:val="000000"/>
          <w:sz w:val="24"/>
          <w:szCs w:val="24"/>
        </w:rPr>
        <w:t>说明</w:t>
      </w:r>
      <w:r>
        <w:rPr>
          <w:rFonts w:eastAsia="宋体"/>
          <w:color w:val="000000"/>
          <w:sz w:val="24"/>
          <w:szCs w:val="24"/>
        </w:rPr>
        <w:t>新鲜冷冻状态，并根据此参数对临床性能进行分层（3）以便我们可以更好地了解在您的标签草案中</w:t>
      </w:r>
      <w:r>
        <w:rPr>
          <w:rFonts w:hint="eastAsia" w:eastAsia="宋体"/>
          <w:color w:val="000000"/>
          <w:sz w:val="24"/>
          <w:szCs w:val="24"/>
        </w:rPr>
        <w:t>识别</w:t>
      </w:r>
      <w:r>
        <w:rPr>
          <w:rFonts w:eastAsia="宋体"/>
          <w:color w:val="000000"/>
          <w:sz w:val="24"/>
          <w:szCs w:val="24"/>
        </w:rPr>
        <w:t>的拟议使用条件下您的测试的性能。</w:t>
      </w:r>
    </w:p>
    <w:p w14:paraId="3765A7F9">
      <w:pPr>
        <w:shd w:val="clear" w:color="auto" w:fill="FFFFFF"/>
        <w:snapToGrid w:val="0"/>
        <w:ind w:left="361" w:hanging="361" w:hangingChars="150"/>
        <w:jc w:val="both"/>
        <w:rPr>
          <w:rFonts w:eastAsia="宋体"/>
          <w:b/>
          <w:bCs/>
          <w:color w:val="000000"/>
          <w:sz w:val="24"/>
          <w:szCs w:val="24"/>
        </w:rPr>
      </w:pPr>
    </w:p>
    <w:p w14:paraId="51E9BC1F">
      <w:pPr>
        <w:shd w:val="clear" w:color="auto" w:fill="FFFFFF"/>
        <w:snapToGrid w:val="0"/>
        <w:ind w:left="361" w:hanging="361" w:hangingChars="150"/>
        <w:jc w:val="both"/>
        <w:rPr>
          <w:rFonts w:eastAsia="宋体"/>
          <w:sz w:val="24"/>
          <w:szCs w:val="24"/>
        </w:rPr>
      </w:pPr>
      <w:r>
        <w:rPr>
          <w:rFonts w:eastAsia="宋体"/>
          <w:b/>
          <w:bCs/>
          <w:color w:val="000000"/>
          <w:sz w:val="24"/>
          <w:szCs w:val="24"/>
        </w:rPr>
        <w:t>2.</w:t>
      </w:r>
      <w:r>
        <w:rPr>
          <w:rFonts w:eastAsia="宋体"/>
          <w:b/>
          <w:bCs/>
          <w:color w:val="000000"/>
          <w:sz w:val="24"/>
          <w:szCs w:val="24"/>
        </w:rPr>
        <w:tab/>
      </w:r>
      <w:r>
        <w:rPr>
          <w:rFonts w:eastAsia="宋体"/>
          <w:b/>
          <w:bCs/>
          <w:color w:val="000000"/>
          <w:sz w:val="24"/>
          <w:szCs w:val="24"/>
        </w:rPr>
        <w:t>510（k） - 对FDA认可的共识标准的引用</w:t>
      </w:r>
    </w:p>
    <w:p w14:paraId="0EE2C1BD">
      <w:pPr>
        <w:shd w:val="clear" w:color="auto" w:fill="FFFFFF"/>
        <w:tabs>
          <w:tab w:val="left" w:pos="696"/>
        </w:tabs>
        <w:snapToGrid w:val="0"/>
        <w:jc w:val="both"/>
        <w:rPr>
          <w:rFonts w:eastAsia="宋体"/>
          <w:color w:val="000000"/>
          <w:sz w:val="24"/>
          <w:szCs w:val="24"/>
        </w:rPr>
      </w:pPr>
    </w:p>
    <w:p w14:paraId="2C2F2649">
      <w:pPr>
        <w:shd w:val="clear" w:color="auto" w:fill="FFFFFF"/>
        <w:tabs>
          <w:tab w:val="left" w:pos="696"/>
        </w:tabs>
        <w:snapToGrid w:val="0"/>
        <w:ind w:left="314" w:leftChars="157"/>
        <w:jc w:val="both"/>
        <w:rPr>
          <w:rFonts w:eastAsia="宋体"/>
          <w:color w:val="000000"/>
          <w:sz w:val="24"/>
          <w:szCs w:val="24"/>
        </w:rPr>
      </w:pPr>
      <w:r>
        <w:rPr>
          <w:rFonts w:eastAsia="宋体"/>
          <w:color w:val="000000"/>
          <w:sz w:val="24"/>
          <w:szCs w:val="24"/>
        </w:rPr>
        <w:t>（1）</w:t>
      </w:r>
      <w:r>
        <w:rPr>
          <w:rFonts w:eastAsia="宋体"/>
          <w:color w:val="000000"/>
          <w:sz w:val="24"/>
          <w:szCs w:val="24"/>
        </w:rPr>
        <w:tab/>
      </w:r>
      <w:r>
        <w:rPr>
          <w:rFonts w:eastAsia="宋体"/>
          <w:color w:val="000000"/>
          <w:sz w:val="24"/>
          <w:szCs w:val="24"/>
        </w:rPr>
        <w:t>您在您的皮下注射器递交资料中引用了目前FDA认可的ISO 7886-1版本，并且没有包含符合性声明。</w:t>
      </w:r>
    </w:p>
    <w:p w14:paraId="27DC81F5">
      <w:pPr>
        <w:shd w:val="clear" w:color="auto" w:fill="FFFFFF"/>
        <w:tabs>
          <w:tab w:val="left" w:pos="696"/>
        </w:tabs>
        <w:snapToGrid w:val="0"/>
        <w:ind w:left="314" w:leftChars="157"/>
        <w:jc w:val="both"/>
        <w:rPr>
          <w:rFonts w:eastAsia="宋体"/>
          <w:color w:val="000000"/>
          <w:sz w:val="24"/>
          <w:szCs w:val="24"/>
        </w:rPr>
      </w:pPr>
      <w:r>
        <w:rPr>
          <w:rFonts w:eastAsia="宋体"/>
          <w:color w:val="000000"/>
          <w:sz w:val="24"/>
          <w:szCs w:val="24"/>
        </w:rPr>
        <w:t>（2）</w:t>
      </w:r>
      <w:r>
        <w:rPr>
          <w:rFonts w:eastAsia="宋体"/>
          <w:color w:val="000000"/>
          <w:sz w:val="24"/>
          <w:szCs w:val="24"/>
        </w:rPr>
        <w:tab/>
      </w:r>
      <w:r>
        <w:rPr>
          <w:rFonts w:eastAsia="宋体"/>
          <w:color w:val="000000"/>
          <w:sz w:val="24"/>
          <w:szCs w:val="24"/>
        </w:rPr>
        <w:t>虽然您已根据ISO 7886-1递交了多项测试，但您并未包含有关酸碱度限值或可浸提金属限值的测试总结（第6条和第7条）。（3）您应证明符合第6条和第7条（或</w:t>
      </w:r>
      <w:r>
        <w:rPr>
          <w:rFonts w:hint="eastAsia" w:eastAsia="宋体"/>
          <w:color w:val="000000"/>
          <w:sz w:val="24"/>
          <w:szCs w:val="24"/>
        </w:rPr>
        <w:t>另外</w:t>
      </w:r>
      <w:r>
        <w:rPr>
          <w:rFonts w:eastAsia="宋体"/>
          <w:color w:val="000000"/>
          <w:sz w:val="24"/>
          <w:szCs w:val="24"/>
        </w:rPr>
        <w:t>证明具有实质等同性），因为您所识别出的实质等同器械已通过符合ISO 7886-1而被确定为具有实质等同性。（4）因此，请提供这两项测试的测试结果或提供符合ISO 7886-1第6条和第7条中确定的方法和验收标准的声明，以便FDA可以评估您的性能数据是否支持您的器械与实质等同器械的实质等同性。</w:t>
      </w:r>
    </w:p>
    <w:p w14:paraId="517259C3">
      <w:pPr>
        <w:shd w:val="clear" w:color="auto" w:fill="FFFFFF"/>
        <w:tabs>
          <w:tab w:val="left" w:pos="360"/>
        </w:tabs>
        <w:snapToGrid w:val="0"/>
        <w:jc w:val="both"/>
        <w:rPr>
          <w:rFonts w:eastAsia="宋体"/>
          <w:b/>
          <w:bCs/>
          <w:color w:val="000000"/>
          <w:sz w:val="24"/>
          <w:szCs w:val="24"/>
        </w:rPr>
      </w:pPr>
    </w:p>
    <w:p w14:paraId="2AEA6BCD">
      <w:pPr>
        <w:shd w:val="clear" w:color="auto" w:fill="FFFFFF"/>
        <w:tabs>
          <w:tab w:val="left" w:pos="360"/>
        </w:tabs>
        <w:snapToGrid w:val="0"/>
        <w:jc w:val="both"/>
        <w:rPr>
          <w:rFonts w:eastAsia="宋体"/>
          <w:sz w:val="24"/>
          <w:szCs w:val="24"/>
        </w:rPr>
      </w:pPr>
      <w:r>
        <w:rPr>
          <w:rFonts w:eastAsia="宋体"/>
          <w:b/>
          <w:bCs/>
          <w:color w:val="000000"/>
          <w:sz w:val="24"/>
          <w:szCs w:val="24"/>
        </w:rPr>
        <w:t>3.</w:t>
      </w:r>
      <w:r>
        <w:rPr>
          <w:rFonts w:eastAsia="宋体"/>
          <w:b/>
          <w:bCs/>
          <w:color w:val="000000"/>
          <w:sz w:val="24"/>
          <w:szCs w:val="24"/>
        </w:rPr>
        <w:tab/>
      </w:r>
      <w:r>
        <w:rPr>
          <w:rFonts w:eastAsia="宋体"/>
          <w:b/>
          <w:bCs/>
          <w:color w:val="000000"/>
          <w:sz w:val="24"/>
          <w:szCs w:val="24"/>
        </w:rPr>
        <w:t>510（k） - 对最终指导文件的引用</w:t>
      </w:r>
    </w:p>
    <w:p w14:paraId="7E3668C4">
      <w:pPr>
        <w:shd w:val="clear" w:color="auto" w:fill="FFFFFF"/>
        <w:snapToGrid w:val="0"/>
        <w:jc w:val="both"/>
        <w:rPr>
          <w:rFonts w:eastAsia="宋体"/>
          <w:color w:val="000000"/>
          <w:sz w:val="24"/>
          <w:szCs w:val="24"/>
        </w:rPr>
      </w:pPr>
    </w:p>
    <w:p w14:paraId="085E2A7B">
      <w:pPr>
        <w:shd w:val="clear" w:color="auto" w:fill="FFFFFF"/>
        <w:tabs>
          <w:tab w:val="left" w:pos="696"/>
        </w:tabs>
        <w:snapToGrid w:val="0"/>
        <w:ind w:left="314" w:leftChars="157"/>
        <w:jc w:val="both"/>
        <w:rPr>
          <w:rFonts w:eastAsia="宋体"/>
          <w:sz w:val="24"/>
          <w:szCs w:val="24"/>
        </w:rPr>
      </w:pPr>
      <w:r>
        <w:rPr>
          <w:rFonts w:eastAsia="宋体"/>
          <w:color w:val="000000"/>
          <w:sz w:val="24"/>
          <w:szCs w:val="24"/>
        </w:rPr>
        <w:t>（1）您建议您的电动肌肉刺激器适用于供非专业使用者在家庭环境中使用。（2）但是，您仅包含了适用于医护人员的专业标签。（3）FDA在我们的</w:t>
      </w:r>
      <w:r>
        <w:rPr>
          <w:rFonts w:ascii="宋体" w:hAnsi="宋体" w:eastAsia="宋体"/>
          <w:color w:val="000000"/>
          <w:sz w:val="24"/>
          <w:szCs w:val="24"/>
        </w:rPr>
        <w:t>“</w:t>
      </w:r>
      <w:r>
        <w:rPr>
          <w:rFonts w:eastAsia="宋体"/>
          <w:color w:val="000000"/>
          <w:sz w:val="24"/>
          <w:szCs w:val="24"/>
        </w:rPr>
        <w:t>医疗器械患者标识指南</w:t>
      </w:r>
      <w:r>
        <w:rPr>
          <w:rFonts w:ascii="宋体" w:hAnsi="宋体" w:eastAsia="宋体"/>
          <w:color w:val="000000"/>
          <w:sz w:val="24"/>
          <w:szCs w:val="24"/>
        </w:rPr>
        <w:t>”</w:t>
      </w:r>
      <w:r>
        <w:rPr>
          <w:rFonts w:eastAsia="宋体"/>
          <w:color w:val="000000"/>
          <w:sz w:val="24"/>
          <w:szCs w:val="24"/>
        </w:rPr>
        <w:t>(</w:t>
      </w:r>
      <w:r>
        <w:rPr>
          <w:rFonts w:eastAsia="宋体"/>
          <w:color w:val="0000FF"/>
          <w:sz w:val="24"/>
          <w:szCs w:val="24"/>
          <w:u w:val="single"/>
        </w:rPr>
        <w:t>https://www.fda.gov/downloads/MedicalDevices/DeviceRegulationand</w:t>
      </w:r>
      <w:r>
        <w:rPr>
          <w:rFonts w:hint="eastAsia" w:eastAsia="宋体"/>
          <w:color w:val="0000FF"/>
          <w:sz w:val="24"/>
          <w:szCs w:val="24"/>
          <w:u w:val="single"/>
        </w:rPr>
        <w:t xml:space="preserve"> </w:t>
      </w:r>
      <w:r>
        <w:rPr>
          <w:rFonts w:eastAsia="宋体"/>
          <w:color w:val="0000FF"/>
          <w:sz w:val="24"/>
          <w:szCs w:val="24"/>
          <w:u w:val="single"/>
        </w:rPr>
        <w:t>Guidance/GuidanceDocuments/ucm070801.pdf</w:t>
      </w:r>
      <w:r>
        <w:rPr>
          <w:rFonts w:eastAsia="宋体"/>
          <w:color w:val="000000"/>
          <w:sz w:val="24"/>
          <w:szCs w:val="24"/>
        </w:rPr>
        <w:t>）中建议，由于您打算让患者操作器械，您应该为您的器械提供患者标识。（4）因此，请递交患者标识，说明您的器械，包括使用说明、研究设计和结果，以及其他相关信息。请使用非专业人员能够理解的清晰措辞和术语。还请包括所有相关医学术语的词汇表，并确保专业标签中所有适当的禁忌症、警告和注意事项在概念上相同，但</w:t>
      </w:r>
      <w:r>
        <w:rPr>
          <w:rFonts w:hint="eastAsia" w:eastAsia="宋体"/>
          <w:color w:val="000000"/>
          <w:sz w:val="24"/>
          <w:szCs w:val="24"/>
        </w:rPr>
        <w:t>修改表述</w:t>
      </w:r>
      <w:r>
        <w:rPr>
          <w:rFonts w:eastAsia="宋体"/>
          <w:color w:val="000000"/>
          <w:sz w:val="24"/>
          <w:szCs w:val="24"/>
        </w:rPr>
        <w:t>以便于非专业人员理解。</w:t>
      </w:r>
    </w:p>
    <w:p w14:paraId="1F906D27">
      <w:pPr>
        <w:shd w:val="clear" w:color="auto" w:fill="FFFFFF"/>
        <w:tabs>
          <w:tab w:val="left" w:pos="696"/>
        </w:tabs>
        <w:snapToGrid w:val="0"/>
        <w:ind w:left="314" w:leftChars="157"/>
        <w:rPr>
          <w:rFonts w:eastAsia="宋体"/>
          <w:sz w:val="24"/>
          <w:szCs w:val="24"/>
        </w:rPr>
      </w:pPr>
    </w:p>
    <w:p w14:paraId="02B83B0D">
      <w:pPr>
        <w:shd w:val="clear" w:color="auto" w:fill="FFFFFF"/>
        <w:snapToGrid w:val="0"/>
        <w:jc w:val="both"/>
        <w:rPr>
          <w:rFonts w:eastAsia="宋体"/>
          <w:sz w:val="24"/>
          <w:szCs w:val="24"/>
        </w:rPr>
      </w:pPr>
    </w:p>
    <w:p w14:paraId="70BE18F1">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47CFD0BC">
      <w:pPr>
        <w:pStyle w:val="16"/>
      </w:pPr>
      <w:r>
        <w:rPr>
          <w:rFonts w:eastAsia="宋体"/>
          <w:b/>
          <w:bCs/>
        </w:rPr>
        <w:t>4.</w:t>
      </w:r>
      <w:r>
        <w:rPr>
          <w:rFonts w:eastAsia="宋体"/>
          <w:b/>
          <w:bCs/>
        </w:rPr>
        <w:tab/>
      </w:r>
    </w:p>
    <w:p w14:paraId="0A879E88">
      <w:pPr>
        <w:rPr>
          <w:color w:val="000000"/>
          <w:sz w:val="23"/>
          <w:szCs w:val="23"/>
        </w:rPr>
      </w:pPr>
      <w:r>
        <w:rPr>
          <w:b/>
          <w:bCs/>
          <w:color w:val="000000"/>
          <w:sz w:val="23"/>
          <w:szCs w:val="23"/>
        </w:rPr>
        <w:t xml:space="preserve">De Novo </w:t>
      </w:r>
    </w:p>
    <w:p w14:paraId="0FD97FE8">
      <w:pPr>
        <w:shd w:val="clear" w:color="auto" w:fill="FFFFFF"/>
        <w:snapToGrid w:val="0"/>
        <w:ind w:left="361" w:hanging="361" w:hangingChars="150"/>
        <w:jc w:val="both"/>
        <w:rPr>
          <w:rFonts w:eastAsia="宋体"/>
          <w:sz w:val="24"/>
          <w:szCs w:val="24"/>
        </w:rPr>
      </w:pPr>
      <w:r>
        <w:rPr>
          <w:rFonts w:eastAsia="宋体"/>
          <w:b/>
          <w:bCs/>
          <w:color w:val="000000"/>
          <w:sz w:val="24"/>
          <w:szCs w:val="24"/>
        </w:rPr>
        <w:t xml:space="preserve"> - 对最终指导文件的引用</w:t>
      </w:r>
    </w:p>
    <w:p w14:paraId="260C991C">
      <w:pPr>
        <w:shd w:val="clear" w:color="auto" w:fill="FFFFFF"/>
        <w:tabs>
          <w:tab w:val="left" w:pos="696"/>
        </w:tabs>
        <w:snapToGrid w:val="0"/>
        <w:ind w:left="314" w:leftChars="157"/>
        <w:jc w:val="both"/>
        <w:rPr>
          <w:rFonts w:eastAsia="宋体"/>
          <w:color w:val="000000"/>
          <w:sz w:val="24"/>
          <w:szCs w:val="24"/>
        </w:rPr>
      </w:pPr>
    </w:p>
    <w:p w14:paraId="4C5A98FE">
      <w:pPr>
        <w:shd w:val="clear" w:color="auto" w:fill="FFFFFF"/>
        <w:tabs>
          <w:tab w:val="left" w:pos="696"/>
        </w:tabs>
        <w:snapToGrid w:val="0"/>
        <w:ind w:left="314" w:leftChars="157"/>
        <w:rPr>
          <w:rFonts w:eastAsia="宋体"/>
          <w:sz w:val="24"/>
          <w:szCs w:val="24"/>
        </w:rPr>
      </w:pPr>
      <w:r>
        <w:rPr>
          <w:rFonts w:eastAsia="宋体"/>
          <w:color w:val="000000"/>
          <w:sz w:val="24"/>
          <w:szCs w:val="24"/>
        </w:rPr>
        <w:t>（1）您已经提供了您的器械中使用的充气导管的技术描述；（2）但是，您尚未描述用于操</w:t>
      </w:r>
      <w:r>
        <w:rPr>
          <w:rFonts w:hint="eastAsia" w:eastAsia="宋体"/>
          <w:color w:val="000000"/>
          <w:sz w:val="24"/>
          <w:szCs w:val="24"/>
        </w:rPr>
        <w:t>纵</w:t>
      </w:r>
      <w:r>
        <w:rPr>
          <w:rFonts w:eastAsia="宋体"/>
          <w:color w:val="000000"/>
          <w:sz w:val="24"/>
          <w:szCs w:val="24"/>
        </w:rPr>
        <w:t>压力超出您预期范围时警报</w:t>
      </w:r>
      <w:r>
        <w:rPr>
          <w:rFonts w:hint="eastAsia" w:eastAsia="宋体"/>
          <w:color w:val="000000"/>
          <w:sz w:val="24"/>
          <w:szCs w:val="24"/>
        </w:rPr>
        <w:t>亮起</w:t>
      </w:r>
      <w:r>
        <w:rPr>
          <w:rFonts w:eastAsia="宋体"/>
          <w:color w:val="000000"/>
          <w:sz w:val="24"/>
          <w:szCs w:val="24"/>
        </w:rPr>
        <w:t>的软件。（4）因此，请</w:t>
      </w:r>
      <w:r>
        <w:rPr>
          <w:rFonts w:hint="eastAsia" w:eastAsia="宋体"/>
          <w:color w:val="000000"/>
          <w:sz w:val="24"/>
          <w:szCs w:val="24"/>
        </w:rPr>
        <w:t>提交</w:t>
      </w:r>
      <w:r>
        <w:rPr>
          <w:rFonts w:eastAsia="宋体"/>
          <w:color w:val="000000"/>
          <w:sz w:val="24"/>
          <w:szCs w:val="24"/>
        </w:rPr>
        <w:t>在指导文件</w:t>
      </w:r>
      <w:r>
        <w:rPr>
          <w:rFonts w:ascii="宋体" w:hAnsi="宋体" w:eastAsia="宋体"/>
          <w:color w:val="000000"/>
          <w:sz w:val="24"/>
          <w:szCs w:val="24"/>
        </w:rPr>
        <w:t>“</w:t>
      </w:r>
      <w:r>
        <w:rPr>
          <w:rFonts w:eastAsia="宋体"/>
          <w:color w:val="000000"/>
          <w:sz w:val="24"/>
          <w:szCs w:val="24"/>
        </w:rPr>
        <w:t>医疗器械软件上市前递交资料内容指南</w:t>
      </w:r>
      <w:r>
        <w:rPr>
          <w:rFonts w:ascii="宋体" w:hAnsi="宋体" w:eastAsia="宋体"/>
          <w:color w:val="000000"/>
          <w:sz w:val="24"/>
          <w:szCs w:val="24"/>
        </w:rPr>
        <w:t>”</w:t>
      </w:r>
      <w:r>
        <w:rPr>
          <w:rFonts w:eastAsia="宋体"/>
          <w:color w:val="000000"/>
          <w:sz w:val="24"/>
          <w:szCs w:val="24"/>
        </w:rPr>
        <w:t>中FDA推荐的软件</w:t>
      </w:r>
      <w:r>
        <w:rPr>
          <w:rFonts w:hint="eastAsia" w:eastAsia="宋体"/>
          <w:color w:val="000000"/>
          <w:sz w:val="24"/>
          <w:szCs w:val="24"/>
        </w:rPr>
        <w:t>文档</w:t>
      </w:r>
      <w:r>
        <w:rPr>
          <w:rFonts w:eastAsia="宋体"/>
          <w:color w:val="000000"/>
          <w:sz w:val="24"/>
          <w:szCs w:val="24"/>
        </w:rPr>
        <w:t>（</w:t>
      </w:r>
      <w:r>
        <w:rPr>
          <w:rFonts w:eastAsia="宋体"/>
          <w:color w:val="0000FF"/>
          <w:sz w:val="24"/>
          <w:szCs w:val="24"/>
          <w:u w:val="single"/>
        </w:rPr>
        <w:t>http://www.</w:t>
      </w:r>
      <w:r>
        <w:rPr>
          <w:rFonts w:hint="eastAsia" w:eastAsia="宋体"/>
          <w:color w:val="0000FF"/>
          <w:sz w:val="24"/>
          <w:szCs w:val="24"/>
          <w:u w:val="single"/>
        </w:rPr>
        <w:t xml:space="preserve"> </w:t>
      </w:r>
      <w:r>
        <w:rPr>
          <w:rFonts w:eastAsia="宋体"/>
          <w:color w:val="0000FF"/>
          <w:sz w:val="24"/>
          <w:szCs w:val="24"/>
          <w:u w:val="single"/>
        </w:rPr>
        <w:t>fda.gov/downloads/MedicalDevices/DeviceRegulationandGuidance/GuidanceDocuments/ucm089593.pdf）</w:t>
      </w:r>
      <w:r>
        <w:rPr>
          <w:rFonts w:eastAsia="宋体"/>
          <w:color w:val="000000"/>
          <w:sz w:val="24"/>
          <w:szCs w:val="24"/>
        </w:rPr>
        <w:t>。（3）本证明文件对于验证您的器械是否在安全参数范围内运行，以及是否已有效缓解健康风险以支持</w:t>
      </w:r>
      <w:r>
        <w:rPr>
          <w:rFonts w:hint="eastAsia" w:eastAsia="宋体"/>
          <w:color w:val="000000"/>
          <w:sz w:val="24"/>
          <w:szCs w:val="24"/>
        </w:rPr>
        <w:t>D</w:t>
      </w:r>
      <w:r>
        <w:rPr>
          <w:rFonts w:eastAsia="宋体"/>
          <w:color w:val="000000"/>
          <w:sz w:val="24"/>
          <w:szCs w:val="24"/>
        </w:rPr>
        <w:t>e Novo分类非常重要。根据我们的中期审评，我们认为您的器械</w:t>
      </w:r>
      <w:r>
        <w:rPr>
          <w:rFonts w:hint="eastAsia" w:eastAsia="宋体"/>
          <w:color w:val="000000"/>
          <w:sz w:val="24"/>
          <w:szCs w:val="24"/>
        </w:rPr>
        <w:t>有一个主要等级关注问题。</w:t>
      </w:r>
    </w:p>
    <w:p w14:paraId="4AAC2F99">
      <w:pPr>
        <w:shd w:val="clear" w:color="auto" w:fill="FFFFFF"/>
        <w:tabs>
          <w:tab w:val="left" w:pos="360"/>
        </w:tabs>
        <w:snapToGrid w:val="0"/>
        <w:jc w:val="both"/>
        <w:rPr>
          <w:rFonts w:eastAsia="宋体"/>
          <w:b/>
          <w:bCs/>
          <w:color w:val="000000"/>
          <w:sz w:val="24"/>
          <w:szCs w:val="24"/>
        </w:rPr>
      </w:pPr>
    </w:p>
    <w:p w14:paraId="4AAAECEE">
      <w:pPr>
        <w:shd w:val="clear" w:color="auto" w:fill="FFFFFF"/>
        <w:snapToGrid w:val="0"/>
        <w:ind w:left="361" w:hanging="361" w:hangingChars="150"/>
        <w:jc w:val="both"/>
        <w:rPr>
          <w:rFonts w:eastAsia="宋体"/>
          <w:sz w:val="24"/>
          <w:szCs w:val="24"/>
        </w:rPr>
      </w:pPr>
      <w:r>
        <w:rPr>
          <w:rFonts w:eastAsia="宋体"/>
          <w:b/>
          <w:bCs/>
          <w:color w:val="000000"/>
          <w:sz w:val="24"/>
          <w:szCs w:val="24"/>
        </w:rPr>
        <w:t>5.</w:t>
      </w:r>
      <w:r>
        <w:rPr>
          <w:rFonts w:eastAsia="宋体"/>
          <w:b/>
          <w:bCs/>
          <w:color w:val="000000"/>
          <w:sz w:val="24"/>
          <w:szCs w:val="24"/>
        </w:rPr>
        <w:tab/>
      </w:r>
      <w:r>
        <w:rPr>
          <w:rFonts w:hint="eastAsia" w:eastAsia="宋体"/>
          <w:b/>
          <w:bCs/>
          <w:color w:val="000000"/>
          <w:sz w:val="24"/>
          <w:szCs w:val="24"/>
        </w:rPr>
        <w:t>De</w:t>
      </w:r>
      <w:r>
        <w:rPr>
          <w:rFonts w:eastAsia="宋体"/>
          <w:b/>
          <w:bCs/>
          <w:color w:val="000000"/>
          <w:sz w:val="24"/>
          <w:szCs w:val="24"/>
        </w:rPr>
        <w:t xml:space="preserve"> Novo - 科学问题</w:t>
      </w:r>
    </w:p>
    <w:p w14:paraId="1A5032F7">
      <w:pPr>
        <w:shd w:val="clear" w:color="auto" w:fill="FFFFFF"/>
        <w:snapToGrid w:val="0"/>
        <w:jc w:val="both"/>
        <w:rPr>
          <w:rFonts w:eastAsia="宋体"/>
          <w:color w:val="000000"/>
          <w:sz w:val="24"/>
          <w:szCs w:val="24"/>
        </w:rPr>
      </w:pPr>
    </w:p>
    <w:p w14:paraId="11BFF2AB">
      <w:pPr>
        <w:shd w:val="clear" w:color="auto" w:fill="FFFFFF"/>
        <w:tabs>
          <w:tab w:val="left" w:pos="696"/>
        </w:tabs>
        <w:snapToGrid w:val="0"/>
        <w:ind w:left="314" w:leftChars="157"/>
        <w:jc w:val="both"/>
        <w:rPr>
          <w:rFonts w:eastAsia="宋体"/>
          <w:sz w:val="24"/>
          <w:szCs w:val="24"/>
        </w:rPr>
      </w:pPr>
      <w:r>
        <w:rPr>
          <w:rFonts w:eastAsia="宋体"/>
          <w:color w:val="000000"/>
          <w:sz w:val="24"/>
          <w:szCs w:val="24"/>
        </w:rPr>
        <w:t>（1）您已为您的眼科手术器械添加了器械描述。（2）但是，您的描述没有完全说明您的器械的设计和功能模块。您没有描述器械如何控制和操作，以及您的器械如何与其他器械通信。（4）请提供一个框图，说明器械的主要功能电子模块、这些模块之间的互连以及每个功能模块的详细描述。请确保您的描述还包括与其他器械的通信接口。请同时提供硬件和软件接口的信息。（3）此信息对于了解您器械的功能以及评价您为证明器械安全性和性能而进行的测试的充分性是必要的。</w:t>
      </w:r>
    </w:p>
    <w:p w14:paraId="0BCD41CC">
      <w:pPr>
        <w:shd w:val="clear" w:color="auto" w:fill="FFFFFF"/>
        <w:snapToGrid w:val="0"/>
        <w:ind w:left="361" w:hanging="361" w:hangingChars="150"/>
        <w:jc w:val="both"/>
        <w:rPr>
          <w:rFonts w:eastAsia="宋体"/>
          <w:b/>
          <w:bCs/>
          <w:color w:val="000000"/>
          <w:sz w:val="24"/>
          <w:szCs w:val="24"/>
        </w:rPr>
      </w:pPr>
    </w:p>
    <w:p w14:paraId="5C61E103">
      <w:pPr>
        <w:shd w:val="clear" w:color="auto" w:fill="FFFFFF"/>
        <w:snapToGrid w:val="0"/>
        <w:ind w:left="361" w:hanging="361" w:hangingChars="150"/>
        <w:jc w:val="both"/>
        <w:rPr>
          <w:rFonts w:eastAsia="宋体"/>
          <w:sz w:val="24"/>
          <w:szCs w:val="24"/>
        </w:rPr>
      </w:pPr>
      <w:r>
        <w:rPr>
          <w:rFonts w:eastAsia="宋体"/>
          <w:b/>
          <w:bCs/>
          <w:color w:val="000000"/>
          <w:sz w:val="24"/>
          <w:szCs w:val="24"/>
        </w:rPr>
        <w:t>6.</w:t>
      </w:r>
      <w:r>
        <w:rPr>
          <w:rFonts w:eastAsia="宋体"/>
          <w:b/>
          <w:bCs/>
          <w:color w:val="000000"/>
          <w:sz w:val="24"/>
          <w:szCs w:val="24"/>
        </w:rPr>
        <w:tab/>
      </w:r>
      <w:r>
        <w:rPr>
          <w:rFonts w:eastAsia="宋体"/>
          <w:b/>
          <w:bCs/>
          <w:color w:val="000000"/>
          <w:sz w:val="24"/>
          <w:szCs w:val="24"/>
        </w:rPr>
        <w:t>PMA - 科学问题</w:t>
      </w:r>
    </w:p>
    <w:p w14:paraId="320208E2">
      <w:pPr>
        <w:shd w:val="clear" w:color="auto" w:fill="FFFFFF"/>
        <w:snapToGrid w:val="0"/>
        <w:jc w:val="both"/>
        <w:rPr>
          <w:rFonts w:eastAsia="宋体"/>
          <w:color w:val="000000"/>
          <w:sz w:val="24"/>
          <w:szCs w:val="24"/>
        </w:rPr>
      </w:pPr>
    </w:p>
    <w:p w14:paraId="131B82F2">
      <w:pPr>
        <w:shd w:val="clear" w:color="auto" w:fill="FFFFFF"/>
        <w:tabs>
          <w:tab w:val="left" w:pos="696"/>
        </w:tabs>
        <w:snapToGrid w:val="0"/>
        <w:ind w:left="314" w:leftChars="157"/>
        <w:jc w:val="both"/>
        <w:rPr>
          <w:rFonts w:eastAsia="宋体"/>
          <w:sz w:val="24"/>
          <w:szCs w:val="24"/>
        </w:rPr>
      </w:pPr>
      <w:r>
        <w:rPr>
          <w:rFonts w:eastAsia="宋体"/>
          <w:color w:val="000000"/>
          <w:sz w:val="24"/>
          <w:szCs w:val="24"/>
        </w:rPr>
        <w:t>（1）您已经提供了申请胃内球囊系统一年</w:t>
      </w:r>
      <w:r>
        <w:rPr>
          <w:rFonts w:hint="eastAsia" w:eastAsia="宋体"/>
          <w:color w:val="000000"/>
          <w:sz w:val="24"/>
          <w:szCs w:val="24"/>
        </w:rPr>
        <w:t>有效</w:t>
      </w:r>
      <w:r>
        <w:rPr>
          <w:rFonts w:eastAsia="宋体"/>
          <w:color w:val="000000"/>
          <w:sz w:val="24"/>
          <w:szCs w:val="24"/>
        </w:rPr>
        <w:t>期的方案和测试结果。（2）然而，FDA担心用于此测试的受试品不能代表最终成品器械，因为自此测试完成以来，您已对您的器械进行了几次设计变更。（3）</w:t>
      </w:r>
      <w:r>
        <w:rPr>
          <w:rFonts w:hint="eastAsia" w:eastAsia="宋体"/>
          <w:color w:val="000000"/>
          <w:sz w:val="24"/>
          <w:szCs w:val="24"/>
        </w:rPr>
        <w:t>F</w:t>
      </w:r>
      <w:r>
        <w:rPr>
          <w:rFonts w:eastAsia="宋体"/>
          <w:color w:val="000000"/>
          <w:sz w:val="24"/>
          <w:szCs w:val="24"/>
        </w:rPr>
        <w:t>DA已确定您的设计变更可能会影响您器械的性能。因此，您的</w:t>
      </w:r>
      <w:r>
        <w:rPr>
          <w:rFonts w:hint="eastAsia" w:eastAsia="宋体"/>
          <w:color w:val="000000"/>
          <w:sz w:val="24"/>
          <w:szCs w:val="24"/>
        </w:rPr>
        <w:t>有效期</w:t>
      </w:r>
      <w:r>
        <w:rPr>
          <w:rFonts w:eastAsia="宋体"/>
          <w:color w:val="000000"/>
          <w:sz w:val="24"/>
          <w:szCs w:val="24"/>
        </w:rPr>
        <w:t>性能测试不支持您确定的一年</w:t>
      </w:r>
      <w:r>
        <w:rPr>
          <w:rFonts w:hint="eastAsia" w:eastAsia="宋体"/>
          <w:color w:val="000000"/>
          <w:sz w:val="24"/>
          <w:szCs w:val="24"/>
        </w:rPr>
        <w:t>有效</w:t>
      </w:r>
      <w:r>
        <w:rPr>
          <w:rFonts w:eastAsia="宋体"/>
          <w:color w:val="000000"/>
          <w:sz w:val="24"/>
          <w:szCs w:val="24"/>
        </w:rPr>
        <w:t>期。（4）请提供方案和测试报告，包括老化后对最终成品器械的性能测试，以支持您确定的产品一年</w:t>
      </w:r>
      <w:r>
        <w:rPr>
          <w:rFonts w:hint="eastAsia" w:eastAsia="宋体"/>
          <w:color w:val="000000"/>
          <w:sz w:val="24"/>
          <w:szCs w:val="24"/>
        </w:rPr>
        <w:t>有效</w:t>
      </w:r>
      <w:r>
        <w:rPr>
          <w:rFonts w:eastAsia="宋体"/>
          <w:color w:val="000000"/>
          <w:sz w:val="24"/>
          <w:szCs w:val="24"/>
        </w:rPr>
        <w:t>期。</w:t>
      </w:r>
    </w:p>
    <w:p w14:paraId="217B4446">
      <w:pPr>
        <w:shd w:val="clear" w:color="auto" w:fill="FFFFFF"/>
        <w:tabs>
          <w:tab w:val="left" w:pos="360"/>
        </w:tabs>
        <w:snapToGrid w:val="0"/>
        <w:jc w:val="both"/>
        <w:rPr>
          <w:rFonts w:eastAsia="宋体"/>
          <w:b/>
          <w:bCs/>
          <w:color w:val="000000"/>
          <w:sz w:val="24"/>
          <w:szCs w:val="24"/>
        </w:rPr>
      </w:pPr>
    </w:p>
    <w:p w14:paraId="10F6FA6A">
      <w:pPr>
        <w:shd w:val="clear" w:color="auto" w:fill="FFFFFF"/>
        <w:snapToGrid w:val="0"/>
        <w:ind w:left="361" w:hanging="361" w:hangingChars="150"/>
        <w:jc w:val="both"/>
        <w:rPr>
          <w:rFonts w:eastAsia="宋体"/>
          <w:sz w:val="24"/>
          <w:szCs w:val="24"/>
        </w:rPr>
      </w:pPr>
      <w:r>
        <w:rPr>
          <w:rFonts w:eastAsia="宋体"/>
          <w:b/>
          <w:bCs/>
          <w:color w:val="000000"/>
          <w:sz w:val="24"/>
          <w:szCs w:val="24"/>
        </w:rPr>
        <w:t>7.</w:t>
      </w:r>
      <w:r>
        <w:rPr>
          <w:rFonts w:eastAsia="宋体"/>
          <w:b/>
          <w:bCs/>
          <w:color w:val="000000"/>
          <w:sz w:val="24"/>
          <w:szCs w:val="24"/>
        </w:rPr>
        <w:tab/>
      </w:r>
      <w:r>
        <w:rPr>
          <w:rFonts w:eastAsia="宋体"/>
          <w:b/>
          <w:bCs/>
          <w:color w:val="000000"/>
          <w:sz w:val="24"/>
          <w:szCs w:val="24"/>
        </w:rPr>
        <w:t>PMA - 对FDA认可的共识标准的引用</w:t>
      </w:r>
    </w:p>
    <w:p w14:paraId="6DF164D6">
      <w:pPr>
        <w:shd w:val="clear" w:color="auto" w:fill="FFFFFF"/>
        <w:snapToGrid w:val="0"/>
        <w:jc w:val="both"/>
        <w:rPr>
          <w:rFonts w:eastAsia="宋体"/>
          <w:color w:val="000000"/>
          <w:sz w:val="24"/>
          <w:szCs w:val="24"/>
        </w:rPr>
      </w:pPr>
    </w:p>
    <w:p w14:paraId="60B645A6">
      <w:pPr>
        <w:shd w:val="clear" w:color="auto" w:fill="FFFFFF"/>
        <w:tabs>
          <w:tab w:val="left" w:pos="696"/>
        </w:tabs>
        <w:snapToGrid w:val="0"/>
        <w:ind w:left="314" w:leftChars="157"/>
        <w:jc w:val="both"/>
        <w:rPr>
          <w:rFonts w:eastAsia="宋体"/>
          <w:sz w:val="24"/>
          <w:szCs w:val="24"/>
        </w:rPr>
      </w:pPr>
      <w:r>
        <w:rPr>
          <w:rFonts w:eastAsia="宋体"/>
          <w:color w:val="000000"/>
          <w:sz w:val="24"/>
          <w:szCs w:val="24"/>
        </w:rPr>
        <w:t>（1）您提供的标签草案包括21 CFR 809.10中概述的要素。此标签草案显示您的分析测量范围为5-200 µg/mL。（2）您在第4卷中提供的线性研究支持这一标签声明的</w:t>
      </w:r>
      <w:r>
        <w:rPr>
          <w:rFonts w:hint="eastAsia" w:eastAsia="宋体"/>
          <w:color w:val="000000"/>
          <w:sz w:val="24"/>
          <w:szCs w:val="24"/>
        </w:rPr>
        <w:t>上限</w:t>
      </w:r>
      <w:r>
        <w:rPr>
          <w:rFonts w:eastAsia="宋体"/>
          <w:color w:val="000000"/>
          <w:sz w:val="24"/>
          <w:szCs w:val="24"/>
        </w:rPr>
        <w:t>，但没有显示出接近5 µg/mL的可接受的分析精密度。临床使用时，医疗决策点可能接近5 µg/mL。（3）为了正确解释结果，您的</w:t>
      </w:r>
      <w:r>
        <w:rPr>
          <w:rFonts w:hint="eastAsia" w:eastAsia="宋体"/>
          <w:color w:val="000000"/>
          <w:sz w:val="24"/>
          <w:szCs w:val="24"/>
        </w:rPr>
        <w:t>试剂</w:t>
      </w:r>
      <w:r>
        <w:rPr>
          <w:rFonts w:eastAsia="宋体"/>
          <w:color w:val="000000"/>
          <w:sz w:val="24"/>
          <w:szCs w:val="24"/>
        </w:rPr>
        <w:t>的使用者应</w:t>
      </w:r>
      <w:r>
        <w:rPr>
          <w:rFonts w:hint="eastAsia" w:eastAsia="宋体"/>
          <w:color w:val="000000"/>
          <w:sz w:val="24"/>
          <w:szCs w:val="24"/>
        </w:rPr>
        <w:t>知晓</w:t>
      </w:r>
      <w:r>
        <w:rPr>
          <w:rFonts w:eastAsia="宋体"/>
          <w:color w:val="000000"/>
          <w:sz w:val="24"/>
          <w:szCs w:val="24"/>
        </w:rPr>
        <w:t>到它在这个浓度下的精密度。此外，您应</w:t>
      </w:r>
      <w:r>
        <w:rPr>
          <w:rFonts w:hint="eastAsia" w:eastAsia="宋体"/>
          <w:color w:val="000000"/>
          <w:sz w:val="24"/>
          <w:szCs w:val="24"/>
        </w:rPr>
        <w:t>证明在</w:t>
      </w:r>
      <w:r>
        <w:rPr>
          <w:rFonts w:eastAsia="宋体"/>
          <w:color w:val="000000"/>
          <w:sz w:val="24"/>
          <w:szCs w:val="24"/>
        </w:rPr>
        <w:t>您宣称的测量范围的下限</w:t>
      </w:r>
      <w:r>
        <w:rPr>
          <w:rFonts w:hint="eastAsia" w:eastAsia="宋体"/>
          <w:color w:val="000000"/>
          <w:sz w:val="24"/>
          <w:szCs w:val="24"/>
        </w:rPr>
        <w:t>的性能可</w:t>
      </w:r>
      <w:r>
        <w:rPr>
          <w:rFonts w:eastAsia="宋体"/>
          <w:color w:val="000000"/>
          <w:sz w:val="24"/>
          <w:szCs w:val="24"/>
        </w:rPr>
        <w:t>接受，以证明安全性和有效性的合理保证。（4）请修改您的分析测量范围，使其与现有的支持数据一致，或提供其他数据来支持您宣称的测量范围。为了证明5 µg/mL的性能，您可以根据当前FDA认可的CLSI EP17版本：《临床实验室测量程序的检测能力评价》进行定量水平研究，根据CLSI EP05：《定量测量程序的精密度评价》将接近5 µg/mL的样品纳入您的精密度研究，或提供另一种科学有效的方法来解决</w:t>
      </w:r>
      <w:r>
        <w:rPr>
          <w:rFonts w:hint="eastAsia" w:eastAsia="宋体"/>
          <w:color w:val="000000"/>
          <w:sz w:val="24"/>
          <w:szCs w:val="24"/>
        </w:rPr>
        <w:t>F</w:t>
      </w:r>
      <w:r>
        <w:rPr>
          <w:rFonts w:eastAsia="宋体"/>
          <w:color w:val="000000"/>
          <w:sz w:val="24"/>
          <w:szCs w:val="24"/>
        </w:rPr>
        <w:t>DA对您当前标示测量范围下限的担忧。</w:t>
      </w:r>
    </w:p>
    <w:p w14:paraId="4B9ADE53">
      <w:pPr>
        <w:shd w:val="clear" w:color="auto" w:fill="FFFFFF"/>
        <w:tabs>
          <w:tab w:val="left" w:pos="696"/>
        </w:tabs>
        <w:snapToGrid w:val="0"/>
        <w:ind w:left="314" w:leftChars="157"/>
        <w:jc w:val="both"/>
        <w:rPr>
          <w:rFonts w:eastAsia="宋体"/>
          <w:sz w:val="24"/>
          <w:szCs w:val="24"/>
        </w:rPr>
      </w:pPr>
    </w:p>
    <w:p w14:paraId="0F4FFB02">
      <w:pPr>
        <w:shd w:val="clear" w:color="auto" w:fill="FFFFFF"/>
        <w:snapToGrid w:val="0"/>
        <w:jc w:val="both"/>
        <w:rPr>
          <w:rFonts w:eastAsia="宋体"/>
          <w:sz w:val="24"/>
          <w:szCs w:val="24"/>
        </w:rPr>
      </w:pPr>
    </w:p>
    <w:p w14:paraId="0A5D41F0">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36B74F3B">
      <w:pPr>
        <w:shd w:val="clear" w:color="auto" w:fill="FFFFFF"/>
        <w:snapToGrid w:val="0"/>
        <w:ind w:left="361" w:hanging="361" w:hangingChars="150"/>
        <w:jc w:val="both"/>
        <w:rPr>
          <w:rFonts w:eastAsia="宋体"/>
          <w:sz w:val="24"/>
          <w:szCs w:val="24"/>
        </w:rPr>
      </w:pPr>
      <w:r>
        <w:rPr>
          <w:rFonts w:eastAsia="宋体"/>
          <w:b/>
          <w:bCs/>
          <w:color w:val="000000"/>
          <w:sz w:val="24"/>
          <w:szCs w:val="24"/>
        </w:rPr>
        <w:t>8.</w:t>
      </w:r>
      <w:r>
        <w:rPr>
          <w:rFonts w:eastAsia="宋体"/>
          <w:b/>
          <w:bCs/>
          <w:color w:val="000000"/>
          <w:sz w:val="24"/>
          <w:szCs w:val="24"/>
        </w:rPr>
        <w:tab/>
      </w:r>
      <w:r>
        <w:rPr>
          <w:rFonts w:hint="eastAsia" w:eastAsia="宋体"/>
          <w:b/>
          <w:bCs/>
          <w:color w:val="000000"/>
          <w:sz w:val="24"/>
          <w:szCs w:val="24"/>
        </w:rPr>
        <w:t>D</w:t>
      </w:r>
      <w:r>
        <w:rPr>
          <w:rFonts w:eastAsia="宋体"/>
          <w:b/>
          <w:bCs/>
          <w:color w:val="000000"/>
          <w:sz w:val="24"/>
          <w:szCs w:val="24"/>
        </w:rPr>
        <w:t>e Novo - 对最终条例的引用</w:t>
      </w:r>
    </w:p>
    <w:p w14:paraId="3167695E">
      <w:pPr>
        <w:shd w:val="clear" w:color="auto" w:fill="FFFFFF"/>
        <w:tabs>
          <w:tab w:val="left" w:pos="696"/>
        </w:tabs>
        <w:snapToGrid w:val="0"/>
        <w:ind w:left="314" w:leftChars="157"/>
        <w:jc w:val="both"/>
        <w:rPr>
          <w:rFonts w:eastAsia="宋体"/>
          <w:color w:val="000000"/>
          <w:sz w:val="24"/>
          <w:szCs w:val="24"/>
        </w:rPr>
      </w:pPr>
      <w:r>
        <w:rPr>
          <w:rFonts w:eastAsia="宋体"/>
          <w:color w:val="000000"/>
          <w:sz w:val="24"/>
          <w:szCs w:val="24"/>
        </w:rPr>
        <w:t>（1）您在重新申请中为您的骨外科植入系统提供了标签草案。（2）您的标签不包括制造商、包装商或分销商的名称和营业地点，（3）21 CFR 801.1所要求的内容。（4）在您的答复中，请提供更新的标签，其中包括您器械的制造商、包装商或分销商的名称和营业地点。</w:t>
      </w:r>
    </w:p>
    <w:p w14:paraId="67421A4E">
      <w:pPr>
        <w:shd w:val="clear" w:color="auto" w:fill="FFFFFF"/>
        <w:tabs>
          <w:tab w:val="left" w:pos="696"/>
        </w:tabs>
        <w:snapToGrid w:val="0"/>
        <w:ind w:left="314" w:leftChars="157"/>
        <w:jc w:val="both"/>
        <w:rPr>
          <w:rFonts w:eastAsia="宋体"/>
          <w:sz w:val="24"/>
          <w:szCs w:val="24"/>
        </w:rPr>
      </w:pPr>
    </w:p>
    <w:p w14:paraId="6DF81666">
      <w:pPr>
        <w:shd w:val="clear" w:color="auto" w:fill="FFFFFF"/>
        <w:snapToGrid w:val="0"/>
        <w:ind w:left="361" w:hanging="361" w:hangingChars="150"/>
        <w:jc w:val="both"/>
        <w:rPr>
          <w:rFonts w:eastAsia="宋体"/>
          <w:sz w:val="24"/>
          <w:szCs w:val="24"/>
        </w:rPr>
      </w:pPr>
      <w:r>
        <w:rPr>
          <w:rFonts w:eastAsia="宋体"/>
          <w:b/>
          <w:bCs/>
          <w:color w:val="000000"/>
          <w:sz w:val="24"/>
          <w:szCs w:val="24"/>
        </w:rPr>
        <w:t>9.</w:t>
      </w:r>
      <w:r>
        <w:rPr>
          <w:rFonts w:eastAsia="宋体"/>
          <w:b/>
          <w:bCs/>
          <w:color w:val="000000"/>
          <w:sz w:val="24"/>
          <w:szCs w:val="24"/>
        </w:rPr>
        <w:tab/>
      </w:r>
      <w:r>
        <w:rPr>
          <w:rFonts w:eastAsia="宋体"/>
          <w:b/>
          <w:bCs/>
          <w:color w:val="000000"/>
          <w:sz w:val="24"/>
          <w:szCs w:val="24"/>
        </w:rPr>
        <w:t>510（k） - 对最终指导文件和FDA认可的共识标准的引用</w:t>
      </w:r>
    </w:p>
    <w:p w14:paraId="61802EC1">
      <w:pPr>
        <w:shd w:val="clear" w:color="auto" w:fill="FFFFFF"/>
        <w:tabs>
          <w:tab w:val="left" w:pos="696"/>
        </w:tabs>
        <w:snapToGrid w:val="0"/>
        <w:ind w:left="314" w:leftChars="157"/>
        <w:jc w:val="both"/>
        <w:rPr>
          <w:rFonts w:eastAsia="宋体"/>
          <w:color w:val="000000"/>
          <w:sz w:val="24"/>
          <w:szCs w:val="24"/>
        </w:rPr>
      </w:pPr>
    </w:p>
    <w:p w14:paraId="0D8E8AF1">
      <w:pPr>
        <w:shd w:val="clear" w:color="auto" w:fill="FFFFFF"/>
        <w:tabs>
          <w:tab w:val="left" w:pos="696"/>
        </w:tabs>
        <w:snapToGrid w:val="0"/>
        <w:ind w:left="314" w:leftChars="157"/>
        <w:jc w:val="both"/>
        <w:rPr>
          <w:rFonts w:eastAsia="宋体"/>
          <w:sz w:val="24"/>
          <w:szCs w:val="24"/>
        </w:rPr>
      </w:pPr>
      <w:r>
        <w:rPr>
          <w:rFonts w:eastAsia="宋体"/>
          <w:color w:val="000000"/>
          <w:sz w:val="24"/>
          <w:szCs w:val="24"/>
        </w:rPr>
        <w:t>（1）根据FDA指导文件</w:t>
      </w:r>
      <w:r>
        <w:rPr>
          <w:rFonts w:ascii="宋体" w:hAnsi="宋体" w:eastAsia="宋体"/>
          <w:color w:val="000000"/>
          <w:sz w:val="24"/>
          <w:szCs w:val="24"/>
        </w:rPr>
        <w:t>“</w:t>
      </w:r>
      <w:r>
        <w:rPr>
          <w:rFonts w:eastAsia="宋体"/>
          <w:color w:val="000000"/>
          <w:sz w:val="24"/>
          <w:szCs w:val="24"/>
        </w:rPr>
        <w:t>国际标准ISO 10993-1，‘医疗器械生物学评价-第1部分：风险管理过程中的评价与试验’的使用</w:t>
      </w:r>
      <w:r>
        <w:rPr>
          <w:rFonts w:ascii="宋体" w:hAnsi="宋体" w:eastAsia="宋体"/>
          <w:color w:val="000000"/>
          <w:sz w:val="24"/>
          <w:szCs w:val="24"/>
        </w:rPr>
        <w:t>”</w:t>
      </w:r>
      <w:r>
        <w:rPr>
          <w:rFonts w:eastAsia="宋体"/>
          <w:color w:val="000000"/>
          <w:sz w:val="24"/>
          <w:szCs w:val="24"/>
        </w:rPr>
        <w:t>中的建议，您已经提供了使用最终成品形式的器械进行细胞毒性试验的方案和结果。（2）但是，我们发现您的试验存在以下不足：</w:t>
      </w:r>
    </w:p>
    <w:p w14:paraId="3074F773">
      <w:pPr>
        <w:shd w:val="clear" w:color="auto" w:fill="FFFFFF"/>
        <w:snapToGrid w:val="0"/>
        <w:ind w:left="929" w:leftChars="307" w:hanging="315"/>
        <w:jc w:val="both"/>
        <w:rPr>
          <w:rFonts w:eastAsia="宋体"/>
          <w:color w:val="000000"/>
          <w:sz w:val="24"/>
          <w:szCs w:val="24"/>
        </w:rPr>
      </w:pPr>
    </w:p>
    <w:p w14:paraId="1245BD96">
      <w:pPr>
        <w:shd w:val="clear" w:color="auto" w:fill="FFFFFF"/>
        <w:snapToGrid w:val="0"/>
        <w:ind w:left="929" w:leftChars="307" w:hanging="315"/>
        <w:jc w:val="both"/>
        <w:rPr>
          <w:rFonts w:eastAsia="宋体"/>
          <w:sz w:val="24"/>
          <w:szCs w:val="24"/>
        </w:rPr>
      </w:pPr>
      <w:r>
        <w:rPr>
          <w:rFonts w:eastAsia="宋体"/>
          <w:color w:val="000000"/>
          <w:sz w:val="24"/>
          <w:szCs w:val="24"/>
        </w:rPr>
        <w:t>a.</w:t>
      </w:r>
      <w:r>
        <w:rPr>
          <w:rFonts w:eastAsia="宋体"/>
          <w:color w:val="000000"/>
          <w:sz w:val="24"/>
          <w:szCs w:val="24"/>
        </w:rPr>
        <w:tab/>
      </w:r>
      <w:r>
        <w:rPr>
          <w:rFonts w:eastAsia="宋体"/>
          <w:color w:val="000000"/>
          <w:sz w:val="24"/>
          <w:szCs w:val="24"/>
        </w:rPr>
        <w:t>目前FDA认可的ISO 10993-12版本建议使用表面积来确定浸提液中包含的器械数量，重量仅用于无法计算表面积的器械或组件。（3）我们担心使用重量而不是表面积可能导致研究中的假阴性结果（即，由于检测系统中样品不足可能导致阴性结果）。（4）请提供信息以证明与使用表面积相比，使用重量来确定浸提比具有相等或更大量的受试品。</w:t>
      </w:r>
    </w:p>
    <w:p w14:paraId="1886EFEC">
      <w:pPr>
        <w:shd w:val="clear" w:color="auto" w:fill="FFFFFF"/>
        <w:snapToGrid w:val="0"/>
        <w:ind w:left="929" w:leftChars="307" w:hanging="315"/>
        <w:jc w:val="both"/>
        <w:rPr>
          <w:rFonts w:eastAsia="宋体"/>
          <w:color w:val="000000"/>
          <w:sz w:val="24"/>
          <w:szCs w:val="24"/>
        </w:rPr>
      </w:pPr>
    </w:p>
    <w:p w14:paraId="0BAEEEB4">
      <w:pPr>
        <w:shd w:val="clear" w:color="auto" w:fill="FFFFFF"/>
        <w:snapToGrid w:val="0"/>
        <w:ind w:left="929" w:leftChars="307" w:hanging="315"/>
        <w:jc w:val="both"/>
        <w:rPr>
          <w:rFonts w:eastAsia="宋体"/>
          <w:sz w:val="24"/>
          <w:szCs w:val="24"/>
        </w:rPr>
      </w:pPr>
      <w:r>
        <w:rPr>
          <w:rFonts w:eastAsia="宋体"/>
          <w:color w:val="000000"/>
          <w:sz w:val="24"/>
          <w:szCs w:val="24"/>
        </w:rPr>
        <w:t>b.</w:t>
      </w:r>
      <w:r>
        <w:rPr>
          <w:rFonts w:eastAsia="宋体"/>
          <w:color w:val="000000"/>
          <w:sz w:val="24"/>
          <w:szCs w:val="24"/>
        </w:rPr>
        <w:tab/>
      </w:r>
      <w:r>
        <w:rPr>
          <w:rFonts w:eastAsia="宋体"/>
          <w:color w:val="000000"/>
          <w:sz w:val="24"/>
          <w:szCs w:val="24"/>
        </w:rPr>
        <w:t>您的浸提液被描述为在浸提期后具有颗粒。（4）请合理说明浸提液中颗粒的存在（3）并不表示您的成品器械存在问题，和/或可能使研究结果无效的不适当的浸提条件。</w:t>
      </w:r>
    </w:p>
    <w:p w14:paraId="51082B2F">
      <w:pPr>
        <w:shd w:val="clear" w:color="auto" w:fill="FFFFFF"/>
        <w:tabs>
          <w:tab w:val="left" w:pos="1080"/>
        </w:tabs>
        <w:snapToGrid w:val="0"/>
        <w:jc w:val="both"/>
        <w:rPr>
          <w:rFonts w:eastAsia="宋体"/>
          <w:sz w:val="24"/>
          <w:szCs w:val="24"/>
        </w:rPr>
      </w:pPr>
    </w:p>
    <w:p w14:paraId="416D81F7">
      <w:pPr>
        <w:shd w:val="clear" w:color="auto" w:fill="FFFFFF"/>
        <w:tabs>
          <w:tab w:val="left" w:pos="1080"/>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211FBD0B">
      <w:pPr>
        <w:shd w:val="clear" w:color="auto" w:fill="FFFFFF"/>
        <w:snapToGrid w:val="0"/>
        <w:ind w:left="614" w:leftChars="307"/>
        <w:jc w:val="both"/>
        <w:rPr>
          <w:rFonts w:eastAsia="宋体"/>
          <w:color w:val="000000"/>
          <w:sz w:val="24"/>
          <w:szCs w:val="24"/>
        </w:rPr>
      </w:pPr>
      <w:r>
        <w:rPr>
          <w:rFonts w:eastAsia="宋体"/>
          <w:color w:val="000000"/>
          <w:sz w:val="24"/>
          <w:szCs w:val="24"/>
        </w:rPr>
        <w:t>有关产品化学成分的信息可能有助于您的答复。</w:t>
      </w:r>
    </w:p>
    <w:p w14:paraId="59A42071">
      <w:pPr>
        <w:shd w:val="clear" w:color="auto" w:fill="FFFFFF"/>
        <w:snapToGrid w:val="0"/>
        <w:ind w:left="614" w:leftChars="307"/>
        <w:jc w:val="both"/>
        <w:rPr>
          <w:rFonts w:eastAsia="宋体"/>
          <w:sz w:val="24"/>
          <w:szCs w:val="24"/>
        </w:rPr>
      </w:pPr>
    </w:p>
    <w:p w14:paraId="087D79E7">
      <w:pPr>
        <w:shd w:val="clear" w:color="auto" w:fill="FFFFFF"/>
        <w:tabs>
          <w:tab w:val="left" w:pos="696"/>
        </w:tabs>
        <w:snapToGrid w:val="0"/>
        <w:ind w:left="314" w:leftChars="157"/>
        <w:jc w:val="both"/>
        <w:rPr>
          <w:rFonts w:eastAsia="宋体"/>
          <w:sz w:val="24"/>
          <w:szCs w:val="24"/>
        </w:rPr>
      </w:pPr>
      <w:r>
        <w:rPr>
          <w:rFonts w:eastAsia="宋体"/>
          <w:color w:val="000000"/>
          <w:sz w:val="24"/>
          <w:szCs w:val="24"/>
        </w:rPr>
        <w:t>如果您不能提供充分的依据，那么FDA建议您使用与当前FDA认可的ISO 10993-12版本中的表面积建议一致的样品制备方法来完成新的细胞毒性试验。</w:t>
      </w:r>
    </w:p>
    <w:p w14:paraId="50BA4724">
      <w:pPr>
        <w:shd w:val="clear" w:color="auto" w:fill="FFFFFF"/>
        <w:snapToGrid w:val="0"/>
        <w:jc w:val="both"/>
        <w:rPr>
          <w:rFonts w:eastAsia="宋体"/>
          <w:sz w:val="24"/>
          <w:szCs w:val="24"/>
        </w:rPr>
      </w:pPr>
    </w:p>
    <w:p w14:paraId="15482113">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0B298616">
      <w:pPr>
        <w:pStyle w:val="2"/>
        <w:spacing w:before="240" w:after="240"/>
        <w:rPr>
          <w:rFonts w:eastAsia="宋体"/>
        </w:rPr>
      </w:pPr>
      <w:bookmarkStart w:id="16" w:name="bookmark14"/>
      <w:bookmarkEnd w:id="16"/>
      <w:bookmarkStart w:id="17" w:name="_Toc97486036"/>
      <w:r>
        <w:rPr>
          <w:rFonts w:eastAsia="宋体"/>
        </w:rPr>
        <w:t>附录B.</w:t>
      </w:r>
      <w:r>
        <w:rPr>
          <w:rFonts w:eastAsia="宋体"/>
        </w:rPr>
        <w:tab/>
      </w:r>
      <w:r>
        <w:rPr>
          <w:rFonts w:eastAsia="宋体"/>
        </w:rPr>
        <w:t>补正资料答复示例</w:t>
      </w:r>
      <w:bookmarkEnd w:id="17"/>
    </w:p>
    <w:p w14:paraId="5309A59A">
      <w:pPr>
        <w:shd w:val="clear" w:color="auto" w:fill="FFFFFF"/>
        <w:snapToGrid w:val="0"/>
        <w:jc w:val="both"/>
        <w:rPr>
          <w:rFonts w:eastAsia="宋体"/>
          <w:color w:val="000000"/>
          <w:sz w:val="24"/>
          <w:szCs w:val="24"/>
        </w:rPr>
      </w:pPr>
      <w:r>
        <w:rPr>
          <w:rFonts w:eastAsia="宋体"/>
          <w:color w:val="000000"/>
          <w:sz w:val="24"/>
          <w:szCs w:val="24"/>
        </w:rPr>
        <w:t>以下示例仅用于说明本指导文件中讨论的原则和建议。其中一些示例包括代替所要求的信息的理由。这些不一定被认为足以支持上市许可，但显示为潜在的替代方法。</w:t>
      </w:r>
    </w:p>
    <w:p w14:paraId="3422D3D9">
      <w:pPr>
        <w:shd w:val="clear" w:color="auto" w:fill="FFFFFF"/>
        <w:snapToGrid w:val="0"/>
        <w:jc w:val="both"/>
        <w:rPr>
          <w:rFonts w:eastAsia="宋体"/>
          <w:sz w:val="24"/>
          <w:szCs w:val="24"/>
        </w:rPr>
      </w:pPr>
    </w:p>
    <w:p w14:paraId="3725E993">
      <w:pPr>
        <w:shd w:val="clear" w:color="auto" w:fill="FFFFFF"/>
        <w:snapToGrid w:val="0"/>
        <w:ind w:left="361" w:hanging="361" w:hangingChars="150"/>
        <w:jc w:val="both"/>
        <w:rPr>
          <w:rFonts w:eastAsia="宋体"/>
          <w:sz w:val="24"/>
          <w:szCs w:val="24"/>
        </w:rPr>
      </w:pPr>
      <w:r>
        <w:rPr>
          <w:rFonts w:eastAsia="宋体"/>
          <w:b/>
          <w:bCs/>
          <w:color w:val="000000"/>
          <w:sz w:val="24"/>
          <w:szCs w:val="24"/>
        </w:rPr>
        <w:t>1.</w:t>
      </w:r>
      <w:r>
        <w:rPr>
          <w:rFonts w:eastAsia="宋体"/>
          <w:b/>
          <w:bCs/>
          <w:color w:val="000000"/>
          <w:sz w:val="24"/>
          <w:szCs w:val="24"/>
        </w:rPr>
        <w:tab/>
      </w:r>
      <w:r>
        <w:rPr>
          <w:rFonts w:eastAsia="宋体"/>
          <w:b/>
          <w:bCs/>
          <w:color w:val="000000"/>
          <w:sz w:val="24"/>
          <w:szCs w:val="24"/>
        </w:rPr>
        <w:t>510（k）补正资料答复</w:t>
      </w:r>
    </w:p>
    <w:p w14:paraId="447E79A7">
      <w:pPr>
        <w:shd w:val="clear" w:color="auto" w:fill="FFFFFF"/>
        <w:snapToGrid w:val="0"/>
        <w:jc w:val="both"/>
        <w:rPr>
          <w:rFonts w:eastAsia="宋体"/>
          <w:b/>
          <w:bCs/>
          <w:color w:val="000000"/>
          <w:sz w:val="24"/>
          <w:szCs w:val="24"/>
        </w:rPr>
      </w:pPr>
    </w:p>
    <w:p w14:paraId="430DDFEC">
      <w:pPr>
        <w:shd w:val="clear" w:color="auto" w:fill="FFFFFF"/>
        <w:snapToGrid w:val="0"/>
        <w:ind w:left="314" w:leftChars="157"/>
        <w:jc w:val="both"/>
        <w:rPr>
          <w:rFonts w:eastAsia="宋体"/>
          <w:sz w:val="24"/>
          <w:szCs w:val="24"/>
        </w:rPr>
      </w:pPr>
      <w:r>
        <w:rPr>
          <w:rFonts w:eastAsia="宋体"/>
          <w:b/>
          <w:bCs/>
          <w:color w:val="000000"/>
          <w:sz w:val="24"/>
          <w:szCs w:val="24"/>
        </w:rPr>
        <w:t>FDA补正资料：</w:t>
      </w:r>
    </w:p>
    <w:p w14:paraId="06543BED">
      <w:pPr>
        <w:shd w:val="clear" w:color="auto" w:fill="FFFFFF"/>
        <w:snapToGrid w:val="0"/>
        <w:ind w:left="314" w:leftChars="157"/>
        <w:jc w:val="both"/>
        <w:rPr>
          <w:rFonts w:eastAsia="宋体"/>
          <w:sz w:val="24"/>
          <w:szCs w:val="24"/>
        </w:rPr>
      </w:pPr>
      <w:r>
        <w:rPr>
          <w:rFonts w:eastAsia="宋体"/>
          <w:color w:val="000000"/>
          <w:sz w:val="24"/>
          <w:szCs w:val="24"/>
        </w:rPr>
        <w:t>您为您的体外试验提供了前瞻性研究的行数据。从样品采集和接种的行数据中列出的日期来看，发现新鲜冷冻的样品都进行了试验。但是，您没有在行数据中识别新鲜冷冻样品，也没有根据新鲜冷冻状态对临床性能进行分层。请更新行数据以指示新鲜冷冻状态，并根据此参数对临床性能进行分层以便我们可以更好地了解在您的标签草案中确定的拟议使用条件下您的测试的性能。</w:t>
      </w:r>
    </w:p>
    <w:p w14:paraId="688BA8BF">
      <w:pPr>
        <w:shd w:val="clear" w:color="auto" w:fill="FFFFFF"/>
        <w:snapToGrid w:val="0"/>
        <w:ind w:left="314" w:leftChars="157"/>
        <w:jc w:val="both"/>
        <w:rPr>
          <w:rFonts w:eastAsia="宋体"/>
          <w:b/>
          <w:bCs/>
          <w:color w:val="000000"/>
          <w:sz w:val="24"/>
          <w:szCs w:val="24"/>
        </w:rPr>
      </w:pPr>
    </w:p>
    <w:p w14:paraId="50D58353">
      <w:pPr>
        <w:shd w:val="clear" w:color="auto" w:fill="FFFFFF"/>
        <w:snapToGrid w:val="0"/>
        <w:ind w:left="314" w:leftChars="157"/>
        <w:jc w:val="both"/>
        <w:rPr>
          <w:rFonts w:eastAsia="宋体"/>
          <w:sz w:val="24"/>
          <w:szCs w:val="24"/>
        </w:rPr>
      </w:pPr>
      <w:r>
        <w:rPr>
          <w:rFonts w:eastAsia="宋体"/>
          <w:b/>
          <w:bCs/>
          <w:color w:val="000000"/>
          <w:sz w:val="24"/>
          <w:szCs w:val="24"/>
        </w:rPr>
        <w:t>申请人答复：</w:t>
      </w:r>
    </w:p>
    <w:p w14:paraId="2A1BDC1F">
      <w:pPr>
        <w:shd w:val="clear" w:color="auto" w:fill="FFFFFF"/>
        <w:snapToGrid w:val="0"/>
        <w:ind w:left="314" w:leftChars="157"/>
        <w:jc w:val="both"/>
        <w:rPr>
          <w:rFonts w:eastAsia="宋体"/>
          <w:sz w:val="24"/>
          <w:szCs w:val="24"/>
        </w:rPr>
      </w:pPr>
      <w:r>
        <w:rPr>
          <w:rFonts w:eastAsia="宋体"/>
          <w:color w:val="000000"/>
          <w:sz w:val="24"/>
          <w:szCs w:val="24"/>
        </w:rPr>
        <w:t>我们已经纳入了分层结果和更新</w:t>
      </w:r>
      <w:r>
        <w:rPr>
          <w:rFonts w:hint="eastAsia" w:eastAsia="宋体"/>
          <w:color w:val="000000"/>
          <w:sz w:val="24"/>
          <w:szCs w:val="24"/>
        </w:rPr>
        <w:t>了</w:t>
      </w:r>
      <w:r>
        <w:rPr>
          <w:rFonts w:eastAsia="宋体"/>
          <w:color w:val="000000"/>
          <w:sz w:val="24"/>
          <w:szCs w:val="24"/>
        </w:rPr>
        <w:t>标签，以解决</w:t>
      </w:r>
      <w:r>
        <w:rPr>
          <w:rFonts w:hint="eastAsia" w:eastAsia="宋体"/>
          <w:color w:val="000000"/>
          <w:sz w:val="24"/>
          <w:szCs w:val="24"/>
        </w:rPr>
        <w:t>F</w:t>
      </w:r>
      <w:r>
        <w:rPr>
          <w:rFonts w:eastAsia="宋体"/>
          <w:color w:val="000000"/>
          <w:sz w:val="24"/>
          <w:szCs w:val="24"/>
        </w:rPr>
        <w:t>DA对新鲜</w:t>
      </w:r>
      <w:r>
        <w:rPr>
          <w:rFonts w:hint="eastAsia" w:eastAsia="宋体"/>
          <w:color w:val="000000"/>
          <w:sz w:val="24"/>
          <w:szCs w:val="24"/>
        </w:rPr>
        <w:t>和</w:t>
      </w:r>
      <w:r>
        <w:rPr>
          <w:rFonts w:eastAsia="宋体"/>
          <w:color w:val="000000"/>
          <w:sz w:val="24"/>
          <w:szCs w:val="24"/>
        </w:rPr>
        <w:t>冷冻</w:t>
      </w:r>
      <w:r>
        <w:rPr>
          <w:rFonts w:hint="eastAsia" w:eastAsia="宋体"/>
          <w:color w:val="000000"/>
          <w:sz w:val="24"/>
          <w:szCs w:val="24"/>
        </w:rPr>
        <w:t>样</w:t>
      </w:r>
      <w:r>
        <w:rPr>
          <w:rFonts w:eastAsia="宋体"/>
          <w:color w:val="000000"/>
          <w:sz w:val="24"/>
          <w:szCs w:val="24"/>
        </w:rPr>
        <w:t>本</w:t>
      </w:r>
      <w:r>
        <w:rPr>
          <w:rFonts w:hint="eastAsia" w:eastAsia="宋体"/>
          <w:color w:val="000000"/>
          <w:sz w:val="24"/>
          <w:szCs w:val="24"/>
        </w:rPr>
        <w:t>相关</w:t>
      </w:r>
      <w:r>
        <w:rPr>
          <w:rFonts w:eastAsia="宋体"/>
          <w:color w:val="000000"/>
          <w:sz w:val="24"/>
          <w:szCs w:val="24"/>
        </w:rPr>
        <w:t>性能的担忧。我们在附录1中</w:t>
      </w:r>
      <w:r>
        <w:rPr>
          <w:rFonts w:hint="eastAsia" w:eastAsia="宋体"/>
          <w:color w:val="000000"/>
          <w:sz w:val="24"/>
          <w:szCs w:val="24"/>
        </w:rPr>
        <w:t>提交</w:t>
      </w:r>
      <w:r>
        <w:rPr>
          <w:rFonts w:eastAsia="宋体"/>
          <w:color w:val="000000"/>
          <w:sz w:val="24"/>
          <w:szCs w:val="24"/>
        </w:rPr>
        <w:t>了我们的结果，并在我们的答复附录2中更新了标签。</w:t>
      </w:r>
    </w:p>
    <w:p w14:paraId="09D86A5B">
      <w:pPr>
        <w:shd w:val="clear" w:color="auto" w:fill="FFFFFF"/>
        <w:tabs>
          <w:tab w:val="left" w:pos="360"/>
        </w:tabs>
        <w:snapToGrid w:val="0"/>
        <w:jc w:val="both"/>
        <w:rPr>
          <w:rFonts w:eastAsia="宋体"/>
          <w:b/>
          <w:bCs/>
          <w:color w:val="000000"/>
          <w:sz w:val="24"/>
          <w:szCs w:val="24"/>
        </w:rPr>
      </w:pPr>
    </w:p>
    <w:p w14:paraId="4E74D769">
      <w:pPr>
        <w:shd w:val="clear" w:color="auto" w:fill="FFFFFF"/>
        <w:snapToGrid w:val="0"/>
        <w:ind w:left="361" w:hanging="361" w:hangingChars="150"/>
        <w:jc w:val="both"/>
        <w:rPr>
          <w:rFonts w:eastAsia="宋体"/>
          <w:sz w:val="24"/>
          <w:szCs w:val="24"/>
        </w:rPr>
      </w:pPr>
      <w:r>
        <w:rPr>
          <w:rFonts w:eastAsia="宋体"/>
          <w:b/>
          <w:bCs/>
          <w:color w:val="000000"/>
          <w:sz w:val="24"/>
          <w:szCs w:val="24"/>
        </w:rPr>
        <w:t>2.</w:t>
      </w:r>
      <w:r>
        <w:rPr>
          <w:rFonts w:eastAsia="宋体"/>
          <w:b/>
          <w:bCs/>
          <w:color w:val="000000"/>
          <w:sz w:val="24"/>
          <w:szCs w:val="24"/>
        </w:rPr>
        <w:tab/>
      </w:r>
      <w:r>
        <w:rPr>
          <w:rFonts w:eastAsia="宋体"/>
          <w:b/>
          <w:bCs/>
          <w:color w:val="000000"/>
          <w:sz w:val="24"/>
          <w:szCs w:val="24"/>
        </w:rPr>
        <w:t>510（k）补正资料答复</w:t>
      </w:r>
    </w:p>
    <w:p w14:paraId="7378B361">
      <w:pPr>
        <w:shd w:val="clear" w:color="auto" w:fill="FFFFFF"/>
        <w:snapToGrid w:val="0"/>
        <w:ind w:left="314" w:leftChars="157"/>
        <w:jc w:val="both"/>
        <w:rPr>
          <w:rFonts w:eastAsia="宋体"/>
          <w:b/>
          <w:bCs/>
          <w:color w:val="000000"/>
          <w:sz w:val="24"/>
          <w:szCs w:val="24"/>
        </w:rPr>
      </w:pPr>
    </w:p>
    <w:p w14:paraId="78868114">
      <w:pPr>
        <w:shd w:val="clear" w:color="auto" w:fill="FFFFFF"/>
        <w:snapToGrid w:val="0"/>
        <w:ind w:left="314" w:leftChars="157"/>
        <w:jc w:val="both"/>
        <w:rPr>
          <w:rFonts w:eastAsia="宋体"/>
          <w:sz w:val="24"/>
          <w:szCs w:val="24"/>
        </w:rPr>
      </w:pPr>
      <w:r>
        <w:rPr>
          <w:rFonts w:eastAsia="宋体"/>
          <w:b/>
          <w:bCs/>
          <w:color w:val="000000"/>
          <w:sz w:val="24"/>
          <w:szCs w:val="24"/>
        </w:rPr>
        <w:t>FDA补正资料：</w:t>
      </w:r>
    </w:p>
    <w:p w14:paraId="5B12CB62">
      <w:pPr>
        <w:shd w:val="clear" w:color="auto" w:fill="FFFFFF"/>
        <w:snapToGrid w:val="0"/>
        <w:ind w:left="314" w:leftChars="157"/>
        <w:jc w:val="both"/>
        <w:rPr>
          <w:rFonts w:eastAsia="宋体"/>
          <w:sz w:val="24"/>
          <w:szCs w:val="24"/>
        </w:rPr>
      </w:pPr>
      <w:r>
        <w:rPr>
          <w:rFonts w:eastAsia="宋体"/>
          <w:color w:val="000000"/>
          <w:sz w:val="24"/>
          <w:szCs w:val="24"/>
        </w:rPr>
        <w:t>您在您的皮下注射器递交资料中引用了目前FDA认可的ISO 7886-1版本，并且没有包含符合性声明。虽然您已根据ISO 7886-1递交了多项测试，但您并未包含有关酸碱度限值或可浸提金属限值的测试总结（第6条和第7条）。您应证明符合第6条和第7条（或证明具有实质等效性），因为您识别出的实质等同器械已通过符合ISO 7886-1而被确定为具有实质等效性。因此，请提供这两项测试的测试结果或提供符合ISO 7886-1第6条和第7条中确定的方法和验收标准的声明，以便FDA可以评估您的性能数据是否支持您的器械与实质等同器械的实质等效性。</w:t>
      </w:r>
    </w:p>
    <w:p w14:paraId="7B1156D3">
      <w:pPr>
        <w:shd w:val="clear" w:color="auto" w:fill="FFFFFF"/>
        <w:snapToGrid w:val="0"/>
        <w:ind w:left="314" w:leftChars="157"/>
        <w:jc w:val="both"/>
        <w:rPr>
          <w:rFonts w:eastAsia="宋体"/>
          <w:b/>
          <w:bCs/>
          <w:color w:val="000000"/>
          <w:sz w:val="24"/>
          <w:szCs w:val="24"/>
        </w:rPr>
      </w:pPr>
    </w:p>
    <w:p w14:paraId="633CCFE4">
      <w:pPr>
        <w:shd w:val="clear" w:color="auto" w:fill="FFFFFF"/>
        <w:snapToGrid w:val="0"/>
        <w:ind w:left="314" w:leftChars="157"/>
        <w:jc w:val="both"/>
        <w:rPr>
          <w:rFonts w:eastAsia="宋体"/>
          <w:sz w:val="24"/>
          <w:szCs w:val="24"/>
        </w:rPr>
      </w:pPr>
      <w:r>
        <w:rPr>
          <w:rFonts w:eastAsia="宋体"/>
          <w:b/>
          <w:bCs/>
          <w:color w:val="000000"/>
          <w:sz w:val="24"/>
          <w:szCs w:val="24"/>
        </w:rPr>
        <w:t>申请人答复：</w:t>
      </w:r>
    </w:p>
    <w:p w14:paraId="2F0045C1">
      <w:pPr>
        <w:shd w:val="clear" w:color="auto" w:fill="FFFFFF"/>
        <w:snapToGrid w:val="0"/>
        <w:ind w:left="314" w:leftChars="157"/>
        <w:jc w:val="both"/>
        <w:rPr>
          <w:rFonts w:eastAsia="宋体"/>
          <w:sz w:val="24"/>
          <w:szCs w:val="24"/>
        </w:rPr>
      </w:pPr>
      <w:r>
        <w:rPr>
          <w:rFonts w:eastAsia="宋体"/>
          <w:color w:val="000000"/>
          <w:sz w:val="24"/>
          <w:szCs w:val="24"/>
        </w:rPr>
        <w:t>我们未包括这项测试，因为本510（k）的目的是修改我们自己的实质等同器械。我们没有更换注射器里的任何材料。因此，实质等同器械对酸碱度限值和可浸提金属限值的测试结果仍然有效。</w:t>
      </w:r>
    </w:p>
    <w:p w14:paraId="3880D47B">
      <w:pPr>
        <w:shd w:val="clear" w:color="auto" w:fill="FFFFFF"/>
        <w:snapToGrid w:val="0"/>
        <w:ind w:left="361" w:hanging="361" w:hangingChars="150"/>
        <w:jc w:val="both"/>
        <w:rPr>
          <w:rFonts w:eastAsia="宋体"/>
          <w:b/>
          <w:bCs/>
          <w:color w:val="000000"/>
          <w:sz w:val="24"/>
          <w:szCs w:val="24"/>
        </w:rPr>
      </w:pPr>
    </w:p>
    <w:p w14:paraId="41644495">
      <w:pPr>
        <w:shd w:val="clear" w:color="auto" w:fill="FFFFFF"/>
        <w:snapToGrid w:val="0"/>
        <w:ind w:left="361" w:hanging="361" w:hangingChars="150"/>
        <w:jc w:val="both"/>
        <w:rPr>
          <w:rFonts w:eastAsia="宋体"/>
          <w:sz w:val="24"/>
          <w:szCs w:val="24"/>
        </w:rPr>
      </w:pPr>
      <w:r>
        <w:rPr>
          <w:rFonts w:eastAsia="宋体"/>
          <w:b/>
          <w:bCs/>
          <w:color w:val="000000"/>
          <w:sz w:val="24"/>
          <w:szCs w:val="24"/>
        </w:rPr>
        <w:t>3.</w:t>
      </w:r>
      <w:r>
        <w:rPr>
          <w:rFonts w:eastAsia="宋体"/>
          <w:b/>
          <w:bCs/>
          <w:color w:val="000000"/>
          <w:sz w:val="24"/>
          <w:szCs w:val="24"/>
        </w:rPr>
        <w:tab/>
      </w:r>
      <w:r>
        <w:rPr>
          <w:rFonts w:eastAsia="宋体"/>
          <w:b/>
          <w:bCs/>
          <w:color w:val="000000"/>
          <w:sz w:val="24"/>
          <w:szCs w:val="24"/>
        </w:rPr>
        <w:t>510（k）补正资料答复</w:t>
      </w:r>
    </w:p>
    <w:p w14:paraId="3EA7D00F">
      <w:pPr>
        <w:shd w:val="clear" w:color="auto" w:fill="FFFFFF"/>
        <w:tabs>
          <w:tab w:val="left" w:pos="360"/>
        </w:tabs>
        <w:snapToGrid w:val="0"/>
        <w:jc w:val="both"/>
        <w:rPr>
          <w:rFonts w:eastAsia="宋体"/>
          <w:sz w:val="21"/>
          <w:szCs w:val="21"/>
        </w:rPr>
      </w:pPr>
    </w:p>
    <w:p w14:paraId="46E5B7AD">
      <w:pPr>
        <w:shd w:val="clear" w:color="auto" w:fill="FFFFFF"/>
        <w:tabs>
          <w:tab w:val="left" w:pos="360"/>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75C434B9">
      <w:pPr>
        <w:shd w:val="clear" w:color="auto" w:fill="FFFFFF"/>
        <w:snapToGrid w:val="0"/>
        <w:ind w:left="314" w:leftChars="157"/>
        <w:jc w:val="both"/>
        <w:rPr>
          <w:rFonts w:eastAsia="宋体"/>
          <w:sz w:val="24"/>
          <w:szCs w:val="24"/>
        </w:rPr>
      </w:pPr>
      <w:r>
        <w:rPr>
          <w:rFonts w:eastAsia="宋体"/>
          <w:b/>
          <w:bCs/>
          <w:color w:val="000000"/>
          <w:sz w:val="24"/>
          <w:szCs w:val="24"/>
        </w:rPr>
        <w:t>FDA补正资料：</w:t>
      </w:r>
    </w:p>
    <w:p w14:paraId="032784FD">
      <w:pPr>
        <w:shd w:val="clear" w:color="auto" w:fill="FFFFFF"/>
        <w:snapToGrid w:val="0"/>
        <w:ind w:left="314" w:leftChars="157"/>
        <w:jc w:val="both"/>
        <w:rPr>
          <w:rFonts w:eastAsia="宋体"/>
          <w:sz w:val="24"/>
          <w:szCs w:val="24"/>
        </w:rPr>
      </w:pPr>
      <w:r>
        <w:rPr>
          <w:rFonts w:eastAsia="宋体"/>
          <w:color w:val="000000"/>
          <w:sz w:val="24"/>
          <w:szCs w:val="24"/>
        </w:rPr>
        <w:t>您建议您的电动肌肉刺激器适用于供非专业使用者在家庭环境中使用。但是，您仅包含了适用于医护人员的专业标签。FDA在我们的</w:t>
      </w:r>
      <w:r>
        <w:rPr>
          <w:rFonts w:ascii="宋体" w:hAnsi="宋体" w:eastAsia="宋体"/>
          <w:color w:val="000000"/>
          <w:sz w:val="24"/>
          <w:szCs w:val="24"/>
        </w:rPr>
        <w:t>“</w:t>
      </w:r>
      <w:r>
        <w:rPr>
          <w:rFonts w:eastAsia="宋体"/>
          <w:color w:val="000000"/>
          <w:sz w:val="24"/>
          <w:szCs w:val="24"/>
        </w:rPr>
        <w:t>医疗器械患者标识指南</w:t>
      </w:r>
      <w:r>
        <w:rPr>
          <w:rFonts w:ascii="宋体" w:hAnsi="宋体" w:eastAsia="宋体"/>
          <w:color w:val="000000"/>
          <w:sz w:val="24"/>
          <w:szCs w:val="24"/>
        </w:rPr>
        <w:t>”</w:t>
      </w:r>
    </w:p>
    <w:p w14:paraId="1E25810E">
      <w:pPr>
        <w:shd w:val="clear" w:color="auto" w:fill="FFFFFF"/>
        <w:snapToGrid w:val="0"/>
        <w:ind w:left="314" w:leftChars="157"/>
        <w:jc w:val="both"/>
        <w:rPr>
          <w:rFonts w:eastAsia="宋体"/>
          <w:sz w:val="24"/>
          <w:szCs w:val="24"/>
        </w:rPr>
      </w:pPr>
      <w:r>
        <w:rPr>
          <w:rFonts w:eastAsia="宋体"/>
          <w:color w:val="000000"/>
          <w:sz w:val="24"/>
          <w:szCs w:val="24"/>
        </w:rPr>
        <w:t>（</w:t>
      </w:r>
      <w:r>
        <w:rPr>
          <w:rFonts w:eastAsia="宋体"/>
          <w:color w:val="0000FF"/>
          <w:sz w:val="24"/>
          <w:szCs w:val="24"/>
          <w:u w:val="single"/>
        </w:rPr>
        <w:t>https://www.fda.gov/downloads/MedicalDevices/DeviceRegulationandGuidance/GuidanceDocuments/ucm070801.pdf</w:t>
      </w:r>
      <w:r>
        <w:rPr>
          <w:rFonts w:eastAsia="宋体"/>
          <w:color w:val="000000"/>
          <w:sz w:val="24"/>
          <w:szCs w:val="24"/>
        </w:rPr>
        <w:t>）中建议，由于您打算让患者操作器械，您应该为您的器械提供患者标识。因此，请递交患者标识，说明您的器械，包括使用说明、研究设计和结果，以及其他相关信息。请使用非专业人员能够理解的清晰措辞和术语。还请包括所有相关医学术语的词汇表，并确保专业标签中所有适当的禁忌症、警告和注意事项在概念上相同，但要改写以便于非专业人员理解。</w:t>
      </w:r>
    </w:p>
    <w:p w14:paraId="1FD4B0D6">
      <w:pPr>
        <w:shd w:val="clear" w:color="auto" w:fill="FFFFFF"/>
        <w:snapToGrid w:val="0"/>
        <w:ind w:left="314" w:leftChars="157"/>
        <w:jc w:val="both"/>
        <w:rPr>
          <w:rFonts w:eastAsia="宋体"/>
          <w:b/>
          <w:bCs/>
          <w:color w:val="000000"/>
          <w:sz w:val="24"/>
          <w:szCs w:val="24"/>
        </w:rPr>
      </w:pPr>
    </w:p>
    <w:p w14:paraId="3D90B571">
      <w:pPr>
        <w:shd w:val="clear" w:color="auto" w:fill="FFFFFF"/>
        <w:snapToGrid w:val="0"/>
        <w:ind w:left="314" w:leftChars="157"/>
        <w:jc w:val="both"/>
        <w:rPr>
          <w:rFonts w:eastAsia="宋体"/>
          <w:sz w:val="24"/>
          <w:szCs w:val="24"/>
        </w:rPr>
      </w:pPr>
      <w:r>
        <w:rPr>
          <w:rFonts w:eastAsia="宋体"/>
          <w:b/>
          <w:bCs/>
          <w:color w:val="000000"/>
          <w:sz w:val="24"/>
          <w:szCs w:val="24"/>
        </w:rPr>
        <w:t>申请人答复：</w:t>
      </w:r>
    </w:p>
    <w:p w14:paraId="738D96A0">
      <w:pPr>
        <w:shd w:val="clear" w:color="auto" w:fill="FFFFFF"/>
        <w:snapToGrid w:val="0"/>
        <w:ind w:left="314" w:leftChars="157"/>
        <w:jc w:val="both"/>
        <w:rPr>
          <w:rFonts w:eastAsia="宋体"/>
          <w:sz w:val="24"/>
          <w:szCs w:val="24"/>
        </w:rPr>
      </w:pPr>
      <w:r>
        <w:rPr>
          <w:rFonts w:eastAsia="宋体"/>
          <w:color w:val="000000"/>
          <w:sz w:val="24"/>
          <w:szCs w:val="24"/>
        </w:rPr>
        <w:t>我们在答复的第5部分中包括了患者标识草案。我们的患者标识草案涉及FDA</w:t>
      </w:r>
      <w:r>
        <w:rPr>
          <w:rFonts w:ascii="宋体" w:hAnsi="宋体" w:eastAsia="宋体"/>
          <w:color w:val="000000"/>
          <w:sz w:val="24"/>
          <w:szCs w:val="24"/>
        </w:rPr>
        <w:t>“</w:t>
      </w:r>
      <w:r>
        <w:rPr>
          <w:rFonts w:eastAsia="宋体"/>
          <w:color w:val="000000"/>
          <w:sz w:val="24"/>
          <w:szCs w:val="24"/>
        </w:rPr>
        <w:t>医疗器械患者标识指南</w:t>
      </w:r>
      <w:r>
        <w:rPr>
          <w:rFonts w:ascii="宋体" w:hAnsi="宋体" w:eastAsia="宋体"/>
          <w:color w:val="000000"/>
          <w:sz w:val="24"/>
          <w:szCs w:val="24"/>
        </w:rPr>
        <w:t>”</w:t>
      </w:r>
      <w:r>
        <w:rPr>
          <w:rFonts w:eastAsia="宋体"/>
          <w:color w:val="000000"/>
          <w:sz w:val="24"/>
          <w:szCs w:val="24"/>
        </w:rPr>
        <w:t>中概述的建议。</w:t>
      </w:r>
    </w:p>
    <w:p w14:paraId="19D86B84">
      <w:pPr>
        <w:shd w:val="clear" w:color="auto" w:fill="FFFFFF"/>
        <w:snapToGrid w:val="0"/>
        <w:ind w:left="361" w:hanging="361" w:hangingChars="150"/>
        <w:jc w:val="both"/>
        <w:rPr>
          <w:rFonts w:eastAsia="宋体"/>
          <w:b/>
          <w:bCs/>
          <w:color w:val="000000"/>
          <w:sz w:val="24"/>
          <w:szCs w:val="24"/>
        </w:rPr>
      </w:pPr>
    </w:p>
    <w:p w14:paraId="1EA1764E">
      <w:pPr>
        <w:shd w:val="clear" w:color="auto" w:fill="FFFFFF"/>
        <w:snapToGrid w:val="0"/>
        <w:ind w:left="361" w:hanging="361" w:hangingChars="150"/>
        <w:jc w:val="both"/>
        <w:rPr>
          <w:rFonts w:eastAsia="宋体"/>
          <w:sz w:val="24"/>
          <w:szCs w:val="24"/>
        </w:rPr>
      </w:pPr>
      <w:r>
        <w:rPr>
          <w:rFonts w:eastAsia="宋体"/>
          <w:b/>
          <w:bCs/>
          <w:color w:val="000000"/>
          <w:sz w:val="24"/>
          <w:szCs w:val="24"/>
        </w:rPr>
        <w:t>4.</w:t>
      </w:r>
      <w:r>
        <w:rPr>
          <w:rFonts w:eastAsia="宋体"/>
          <w:b/>
          <w:bCs/>
          <w:color w:val="000000"/>
          <w:sz w:val="24"/>
          <w:szCs w:val="24"/>
        </w:rPr>
        <w:tab/>
      </w:r>
      <w:r>
        <w:rPr>
          <w:rFonts w:hint="eastAsia" w:eastAsia="宋体"/>
          <w:b/>
          <w:bCs/>
          <w:color w:val="000000"/>
          <w:sz w:val="24"/>
          <w:szCs w:val="24"/>
        </w:rPr>
        <w:t>D</w:t>
      </w:r>
      <w:r>
        <w:rPr>
          <w:rFonts w:eastAsia="宋体"/>
          <w:b/>
          <w:bCs/>
          <w:color w:val="000000"/>
          <w:sz w:val="24"/>
          <w:szCs w:val="24"/>
        </w:rPr>
        <w:t>e Novo补正资料答复</w:t>
      </w:r>
    </w:p>
    <w:p w14:paraId="33444F86">
      <w:pPr>
        <w:shd w:val="clear" w:color="auto" w:fill="FFFFFF"/>
        <w:snapToGrid w:val="0"/>
        <w:ind w:left="314" w:leftChars="157"/>
        <w:jc w:val="both"/>
        <w:rPr>
          <w:rFonts w:eastAsia="宋体"/>
          <w:b/>
          <w:bCs/>
          <w:color w:val="000000"/>
          <w:sz w:val="24"/>
          <w:szCs w:val="24"/>
        </w:rPr>
      </w:pPr>
    </w:p>
    <w:p w14:paraId="5EABA291">
      <w:pPr>
        <w:shd w:val="clear" w:color="auto" w:fill="FFFFFF"/>
        <w:snapToGrid w:val="0"/>
        <w:ind w:left="314" w:leftChars="157"/>
        <w:jc w:val="both"/>
        <w:rPr>
          <w:rFonts w:eastAsia="宋体"/>
          <w:sz w:val="24"/>
          <w:szCs w:val="24"/>
        </w:rPr>
      </w:pPr>
      <w:r>
        <w:rPr>
          <w:rFonts w:eastAsia="宋体"/>
          <w:b/>
          <w:bCs/>
          <w:color w:val="000000"/>
          <w:sz w:val="24"/>
          <w:szCs w:val="24"/>
        </w:rPr>
        <w:t>FDA补正资料：</w:t>
      </w:r>
    </w:p>
    <w:p w14:paraId="79887B2D">
      <w:pPr>
        <w:shd w:val="clear" w:color="auto" w:fill="FFFFFF"/>
        <w:snapToGrid w:val="0"/>
        <w:ind w:left="314" w:leftChars="157"/>
        <w:jc w:val="both"/>
        <w:rPr>
          <w:rFonts w:eastAsia="宋体"/>
          <w:sz w:val="24"/>
          <w:szCs w:val="24"/>
        </w:rPr>
      </w:pPr>
      <w:r>
        <w:rPr>
          <w:rFonts w:eastAsia="宋体"/>
          <w:color w:val="000000"/>
          <w:sz w:val="24"/>
          <w:szCs w:val="24"/>
        </w:rPr>
        <w:t>您已经提供了您的器械中使用的充气导管的技术描述；但是，您尚未描述用于操</w:t>
      </w:r>
      <w:r>
        <w:rPr>
          <w:rFonts w:hint="eastAsia" w:eastAsia="宋体"/>
          <w:color w:val="000000"/>
          <w:sz w:val="24"/>
          <w:szCs w:val="24"/>
        </w:rPr>
        <w:t>纵</w:t>
      </w:r>
      <w:r>
        <w:rPr>
          <w:rFonts w:eastAsia="宋体"/>
          <w:color w:val="000000"/>
          <w:sz w:val="24"/>
          <w:szCs w:val="24"/>
        </w:rPr>
        <w:t>压力超出您预期范围时警报亮起的软件。因此，请</w:t>
      </w:r>
      <w:r>
        <w:rPr>
          <w:rFonts w:hint="eastAsia" w:eastAsia="宋体"/>
          <w:color w:val="000000"/>
          <w:sz w:val="24"/>
          <w:szCs w:val="24"/>
        </w:rPr>
        <w:t>提交</w:t>
      </w:r>
      <w:r>
        <w:rPr>
          <w:rFonts w:eastAsia="宋体"/>
          <w:color w:val="000000"/>
          <w:sz w:val="24"/>
          <w:szCs w:val="24"/>
        </w:rPr>
        <w:t>在指导文件</w:t>
      </w:r>
      <w:r>
        <w:rPr>
          <w:rFonts w:ascii="宋体" w:hAnsi="宋体" w:eastAsia="宋体"/>
          <w:color w:val="000000"/>
          <w:sz w:val="24"/>
          <w:szCs w:val="24"/>
        </w:rPr>
        <w:t>“</w:t>
      </w:r>
      <w:r>
        <w:rPr>
          <w:rFonts w:eastAsia="宋体"/>
          <w:color w:val="000000"/>
          <w:sz w:val="24"/>
          <w:szCs w:val="24"/>
        </w:rPr>
        <w:t>医疗器械软件上市前递交资料内容指南</w:t>
      </w:r>
      <w:r>
        <w:rPr>
          <w:rFonts w:ascii="宋体" w:hAnsi="宋体" w:eastAsia="宋体"/>
          <w:color w:val="000000"/>
          <w:sz w:val="24"/>
          <w:szCs w:val="24"/>
        </w:rPr>
        <w:t>”</w:t>
      </w:r>
      <w:r>
        <w:rPr>
          <w:rFonts w:eastAsia="宋体"/>
          <w:color w:val="000000"/>
          <w:sz w:val="24"/>
          <w:szCs w:val="24"/>
        </w:rPr>
        <w:t>中FDA推荐的软件</w:t>
      </w:r>
      <w:r>
        <w:rPr>
          <w:rFonts w:hint="eastAsia" w:eastAsia="宋体"/>
          <w:color w:val="000000"/>
          <w:sz w:val="24"/>
          <w:szCs w:val="24"/>
        </w:rPr>
        <w:t>文档</w:t>
      </w:r>
      <w:r>
        <w:rPr>
          <w:rFonts w:eastAsia="宋体"/>
          <w:color w:val="000000"/>
          <w:sz w:val="24"/>
          <w:szCs w:val="24"/>
        </w:rPr>
        <w:t>（</w:t>
      </w:r>
      <w:r>
        <w:rPr>
          <w:rFonts w:eastAsia="宋体"/>
          <w:color w:val="0000FF"/>
          <w:sz w:val="24"/>
          <w:szCs w:val="24"/>
          <w:u w:val="single"/>
        </w:rPr>
        <w:t>http://www.fda.gov/downloads/MedicalDevices/DeviceRegulationandGuidance/GuidanceDocuments/ucm089593.pdf</w:t>
      </w:r>
      <w:r>
        <w:rPr>
          <w:rFonts w:eastAsia="宋体"/>
          <w:color w:val="000000"/>
          <w:sz w:val="24"/>
          <w:szCs w:val="24"/>
          <w:u w:val="single"/>
        </w:rPr>
        <w:t>）</w:t>
      </w:r>
      <w:r>
        <w:rPr>
          <w:rFonts w:eastAsia="宋体"/>
          <w:color w:val="000000"/>
          <w:sz w:val="24"/>
          <w:szCs w:val="24"/>
        </w:rPr>
        <w:t>。本证明文件对于验证您的器械是否在安全参数范围内运行，以及是否已有效缓解健康风险以支持</w:t>
      </w:r>
      <w:r>
        <w:rPr>
          <w:rFonts w:hint="eastAsia" w:eastAsia="宋体"/>
          <w:color w:val="000000"/>
          <w:sz w:val="24"/>
          <w:szCs w:val="24"/>
        </w:rPr>
        <w:t>D</w:t>
      </w:r>
      <w:r>
        <w:rPr>
          <w:rFonts w:eastAsia="宋体"/>
          <w:color w:val="000000"/>
          <w:sz w:val="24"/>
          <w:szCs w:val="24"/>
        </w:rPr>
        <w:t>e Novo分类非常重要。根据我们的中期审评，我们认为您的器械</w:t>
      </w:r>
      <w:r>
        <w:rPr>
          <w:rFonts w:hint="eastAsia" w:eastAsia="宋体"/>
          <w:color w:val="000000"/>
          <w:sz w:val="24"/>
          <w:szCs w:val="24"/>
        </w:rPr>
        <w:t>有一个主要等级关注问题</w:t>
      </w:r>
      <w:r>
        <w:rPr>
          <w:rFonts w:eastAsia="宋体"/>
          <w:color w:val="000000"/>
          <w:sz w:val="24"/>
          <w:szCs w:val="24"/>
        </w:rPr>
        <w:t>。</w:t>
      </w:r>
    </w:p>
    <w:p w14:paraId="03EA59C6">
      <w:pPr>
        <w:shd w:val="clear" w:color="auto" w:fill="FFFFFF"/>
        <w:snapToGrid w:val="0"/>
        <w:ind w:left="314" w:leftChars="157"/>
        <w:jc w:val="both"/>
        <w:rPr>
          <w:rFonts w:eastAsia="宋体"/>
          <w:b/>
          <w:bCs/>
          <w:color w:val="000000"/>
          <w:sz w:val="24"/>
          <w:szCs w:val="24"/>
        </w:rPr>
      </w:pPr>
    </w:p>
    <w:p w14:paraId="5082AE1C">
      <w:pPr>
        <w:shd w:val="clear" w:color="auto" w:fill="FFFFFF"/>
        <w:snapToGrid w:val="0"/>
        <w:ind w:left="314" w:leftChars="157"/>
        <w:jc w:val="both"/>
        <w:rPr>
          <w:rFonts w:eastAsia="宋体"/>
          <w:sz w:val="24"/>
          <w:szCs w:val="24"/>
        </w:rPr>
      </w:pPr>
      <w:r>
        <w:rPr>
          <w:rFonts w:eastAsia="宋体"/>
          <w:b/>
          <w:bCs/>
          <w:color w:val="000000"/>
          <w:sz w:val="24"/>
          <w:szCs w:val="24"/>
        </w:rPr>
        <w:t>申请人答复：</w:t>
      </w:r>
    </w:p>
    <w:p w14:paraId="405E5651">
      <w:pPr>
        <w:shd w:val="clear" w:color="auto" w:fill="FFFFFF"/>
        <w:snapToGrid w:val="0"/>
        <w:ind w:left="314" w:leftChars="157"/>
        <w:jc w:val="both"/>
        <w:rPr>
          <w:rFonts w:eastAsia="宋体"/>
          <w:sz w:val="24"/>
          <w:szCs w:val="24"/>
        </w:rPr>
      </w:pPr>
      <w:r>
        <w:rPr>
          <w:rFonts w:eastAsia="宋体"/>
          <w:color w:val="000000"/>
          <w:sz w:val="24"/>
          <w:szCs w:val="24"/>
        </w:rPr>
        <w:t>我们的充气导管内的光信号警报没有安装软件。我们的压力表连接到一个基于电阻的系统，该系统为基于光信号的警报供电。因此，FDA的要求与这一上市申请无关。鉴于以上原因，我们没有在答复中包含任何软件信息。我们在答复的第3部分中</w:t>
      </w:r>
      <w:r>
        <w:rPr>
          <w:rFonts w:hint="eastAsia" w:eastAsia="宋体"/>
          <w:color w:val="000000"/>
          <w:sz w:val="24"/>
          <w:szCs w:val="24"/>
        </w:rPr>
        <w:t>提供</w:t>
      </w:r>
      <w:r>
        <w:rPr>
          <w:rFonts w:eastAsia="宋体"/>
          <w:color w:val="000000"/>
          <w:sz w:val="24"/>
          <w:szCs w:val="24"/>
        </w:rPr>
        <w:t>了更详细的器械描述，其中包括报警系统的工程原理图。</w:t>
      </w:r>
    </w:p>
    <w:p w14:paraId="7E223BB6">
      <w:pPr>
        <w:shd w:val="clear" w:color="auto" w:fill="FFFFFF"/>
        <w:snapToGrid w:val="0"/>
        <w:ind w:left="361" w:hanging="361" w:hangingChars="150"/>
        <w:jc w:val="both"/>
        <w:rPr>
          <w:rFonts w:eastAsia="宋体"/>
          <w:b/>
          <w:bCs/>
          <w:color w:val="000000"/>
          <w:sz w:val="24"/>
          <w:szCs w:val="24"/>
        </w:rPr>
      </w:pPr>
    </w:p>
    <w:p w14:paraId="0259B09A">
      <w:pPr>
        <w:shd w:val="clear" w:color="auto" w:fill="FFFFFF"/>
        <w:snapToGrid w:val="0"/>
        <w:ind w:left="361" w:hanging="361" w:hangingChars="150"/>
        <w:jc w:val="both"/>
        <w:rPr>
          <w:rFonts w:eastAsia="宋体"/>
          <w:sz w:val="24"/>
          <w:szCs w:val="24"/>
        </w:rPr>
      </w:pPr>
      <w:r>
        <w:rPr>
          <w:rFonts w:eastAsia="宋体"/>
          <w:b/>
          <w:bCs/>
          <w:color w:val="000000"/>
          <w:sz w:val="24"/>
          <w:szCs w:val="24"/>
        </w:rPr>
        <w:t>5.</w:t>
      </w:r>
      <w:r>
        <w:rPr>
          <w:rFonts w:eastAsia="宋体"/>
          <w:b/>
          <w:bCs/>
          <w:color w:val="000000"/>
          <w:sz w:val="24"/>
          <w:szCs w:val="24"/>
        </w:rPr>
        <w:tab/>
      </w:r>
      <w:r>
        <w:rPr>
          <w:rFonts w:hint="eastAsia" w:eastAsia="宋体"/>
          <w:b/>
          <w:bCs/>
          <w:color w:val="000000"/>
          <w:sz w:val="24"/>
          <w:szCs w:val="24"/>
        </w:rPr>
        <w:t>D</w:t>
      </w:r>
      <w:r>
        <w:rPr>
          <w:rFonts w:eastAsia="宋体"/>
          <w:b/>
          <w:bCs/>
          <w:color w:val="000000"/>
          <w:sz w:val="24"/>
          <w:szCs w:val="24"/>
        </w:rPr>
        <w:t>e Novo补正资料答复</w:t>
      </w:r>
    </w:p>
    <w:p w14:paraId="45D8C49C">
      <w:pPr>
        <w:shd w:val="clear" w:color="auto" w:fill="FFFFFF"/>
        <w:snapToGrid w:val="0"/>
        <w:ind w:left="314" w:leftChars="157"/>
        <w:jc w:val="both"/>
        <w:rPr>
          <w:rFonts w:eastAsia="宋体"/>
          <w:b/>
          <w:bCs/>
          <w:color w:val="000000"/>
          <w:sz w:val="24"/>
          <w:szCs w:val="24"/>
        </w:rPr>
      </w:pPr>
    </w:p>
    <w:p w14:paraId="27FB6526">
      <w:pPr>
        <w:shd w:val="clear" w:color="auto" w:fill="FFFFFF"/>
        <w:snapToGrid w:val="0"/>
        <w:ind w:left="314" w:leftChars="157"/>
        <w:jc w:val="both"/>
        <w:rPr>
          <w:rFonts w:eastAsia="宋体"/>
          <w:sz w:val="24"/>
          <w:szCs w:val="24"/>
        </w:rPr>
      </w:pPr>
      <w:r>
        <w:rPr>
          <w:rFonts w:eastAsia="宋体"/>
          <w:b/>
          <w:bCs/>
          <w:color w:val="000000"/>
          <w:sz w:val="24"/>
          <w:szCs w:val="24"/>
        </w:rPr>
        <w:t>FDA补正资料：</w:t>
      </w:r>
    </w:p>
    <w:p w14:paraId="7264306D">
      <w:pPr>
        <w:shd w:val="clear" w:color="auto" w:fill="FFFFFF"/>
        <w:snapToGrid w:val="0"/>
        <w:ind w:left="314" w:leftChars="157"/>
        <w:jc w:val="both"/>
        <w:rPr>
          <w:rFonts w:eastAsia="宋体"/>
          <w:sz w:val="24"/>
          <w:szCs w:val="24"/>
        </w:rPr>
      </w:pPr>
      <w:r>
        <w:rPr>
          <w:rFonts w:eastAsia="宋体"/>
          <w:color w:val="000000"/>
          <w:sz w:val="24"/>
          <w:szCs w:val="24"/>
        </w:rPr>
        <w:t>您已为您的眼科手术器械添加了器械描述。但是，您的描述没有完全说明您的器械的设计和功能模块。您没有描述器械如何控制和操作，以及您的器械如何与其他器械通信。请提供一个框图，说明器械的主要功能电子模块、这些模块之间的互连以及每个功能模块的详细描述。请确保您的描述还包括与其他器械的通信接口。请同时提供硬件和软件接口的信息。此信息对于了解您的器械的功能以及评价您为证明您的器械的安全性和性能而进行的测试的充分性是必要的。</w:t>
      </w:r>
    </w:p>
    <w:p w14:paraId="08A2CCB2">
      <w:pPr>
        <w:shd w:val="clear" w:color="auto" w:fill="FFFFFF"/>
        <w:snapToGrid w:val="0"/>
        <w:ind w:left="314" w:leftChars="157"/>
        <w:jc w:val="both"/>
        <w:rPr>
          <w:rFonts w:eastAsia="宋体"/>
          <w:sz w:val="24"/>
          <w:szCs w:val="24"/>
        </w:rPr>
      </w:pPr>
    </w:p>
    <w:p w14:paraId="68938F52">
      <w:pPr>
        <w:shd w:val="clear" w:color="auto" w:fill="FFFFFF"/>
        <w:snapToGrid w:val="0"/>
        <w:jc w:val="both"/>
        <w:rPr>
          <w:rFonts w:eastAsia="宋体"/>
          <w:sz w:val="24"/>
          <w:szCs w:val="24"/>
        </w:rPr>
      </w:pPr>
    </w:p>
    <w:p w14:paraId="7FEE21A4">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6D8D7D26">
      <w:pPr>
        <w:shd w:val="clear" w:color="auto" w:fill="FFFFFF"/>
        <w:snapToGrid w:val="0"/>
        <w:ind w:left="314" w:leftChars="157"/>
        <w:jc w:val="both"/>
        <w:rPr>
          <w:rFonts w:eastAsia="宋体"/>
          <w:sz w:val="24"/>
          <w:szCs w:val="24"/>
        </w:rPr>
      </w:pPr>
      <w:r>
        <w:rPr>
          <w:rFonts w:eastAsia="宋体"/>
          <w:b/>
          <w:bCs/>
          <w:color w:val="000000"/>
          <w:sz w:val="24"/>
          <w:szCs w:val="24"/>
        </w:rPr>
        <w:t>申请人答复：</w:t>
      </w:r>
    </w:p>
    <w:p w14:paraId="6806FC49">
      <w:pPr>
        <w:shd w:val="clear" w:color="auto" w:fill="FFFFFF"/>
        <w:snapToGrid w:val="0"/>
        <w:ind w:left="314" w:leftChars="157"/>
        <w:jc w:val="both"/>
        <w:rPr>
          <w:rFonts w:eastAsia="宋体"/>
          <w:sz w:val="24"/>
          <w:szCs w:val="24"/>
        </w:rPr>
      </w:pPr>
      <w:r>
        <w:rPr>
          <w:rFonts w:eastAsia="宋体"/>
          <w:color w:val="000000"/>
          <w:sz w:val="24"/>
          <w:szCs w:val="24"/>
        </w:rPr>
        <w:t>在我们的答复中，我们包括了更新的器械描述，以满足</w:t>
      </w:r>
      <w:r>
        <w:rPr>
          <w:rFonts w:hint="eastAsia" w:eastAsia="宋体"/>
          <w:color w:val="000000"/>
          <w:sz w:val="24"/>
          <w:szCs w:val="24"/>
        </w:rPr>
        <w:t>F</w:t>
      </w:r>
      <w:r>
        <w:rPr>
          <w:rFonts w:eastAsia="宋体"/>
          <w:color w:val="000000"/>
          <w:sz w:val="24"/>
          <w:szCs w:val="24"/>
        </w:rPr>
        <w:t>DA在第2部分中提出的每一项要求。第2.1部分包括使用者控制和操作我们器械的信息。第2.2部分包括描述与兼容器械、框图、电子模块以及所有电子模块之间连接的通信的图形。我们在第2.1部分中</w:t>
      </w:r>
      <w:r>
        <w:rPr>
          <w:rFonts w:hint="eastAsia" w:eastAsia="宋体"/>
          <w:color w:val="000000"/>
          <w:sz w:val="24"/>
          <w:szCs w:val="24"/>
        </w:rPr>
        <w:t>提供</w:t>
      </w:r>
      <w:r>
        <w:rPr>
          <w:rFonts w:eastAsia="宋体"/>
          <w:color w:val="000000"/>
          <w:sz w:val="24"/>
          <w:szCs w:val="24"/>
        </w:rPr>
        <w:t>了这些图形的描述。我们相信，本信息将便于</w:t>
      </w:r>
      <w:r>
        <w:rPr>
          <w:rFonts w:hint="eastAsia" w:eastAsia="宋体"/>
          <w:color w:val="000000"/>
          <w:sz w:val="24"/>
          <w:szCs w:val="24"/>
        </w:rPr>
        <w:t>F</w:t>
      </w:r>
      <w:r>
        <w:rPr>
          <w:rFonts w:eastAsia="宋体"/>
          <w:color w:val="000000"/>
          <w:sz w:val="24"/>
          <w:szCs w:val="24"/>
        </w:rPr>
        <w:t>DA完成其审评。</w:t>
      </w:r>
    </w:p>
    <w:p w14:paraId="6F09627F">
      <w:pPr>
        <w:shd w:val="clear" w:color="auto" w:fill="FFFFFF"/>
        <w:snapToGrid w:val="0"/>
        <w:ind w:left="361" w:hanging="361" w:hangingChars="150"/>
        <w:jc w:val="both"/>
        <w:rPr>
          <w:rFonts w:eastAsia="宋体"/>
          <w:b/>
          <w:bCs/>
          <w:color w:val="000000"/>
          <w:sz w:val="24"/>
          <w:szCs w:val="24"/>
        </w:rPr>
      </w:pPr>
    </w:p>
    <w:p w14:paraId="56148424">
      <w:pPr>
        <w:shd w:val="clear" w:color="auto" w:fill="FFFFFF"/>
        <w:snapToGrid w:val="0"/>
        <w:ind w:left="361" w:hanging="361" w:hangingChars="150"/>
        <w:jc w:val="both"/>
        <w:rPr>
          <w:rFonts w:eastAsia="宋体"/>
          <w:sz w:val="24"/>
          <w:szCs w:val="24"/>
        </w:rPr>
      </w:pPr>
      <w:r>
        <w:rPr>
          <w:rFonts w:eastAsia="宋体"/>
          <w:b/>
          <w:bCs/>
          <w:color w:val="000000"/>
          <w:sz w:val="24"/>
          <w:szCs w:val="24"/>
        </w:rPr>
        <w:t>6.</w:t>
      </w:r>
      <w:r>
        <w:rPr>
          <w:rFonts w:eastAsia="宋体"/>
          <w:b/>
          <w:bCs/>
          <w:color w:val="000000"/>
          <w:sz w:val="24"/>
          <w:szCs w:val="24"/>
        </w:rPr>
        <w:tab/>
      </w:r>
      <w:r>
        <w:rPr>
          <w:rFonts w:eastAsia="宋体"/>
          <w:b/>
          <w:bCs/>
          <w:color w:val="000000"/>
          <w:sz w:val="24"/>
          <w:szCs w:val="24"/>
        </w:rPr>
        <w:t>PMA补正资料答复</w:t>
      </w:r>
    </w:p>
    <w:p w14:paraId="6C1E4965">
      <w:pPr>
        <w:shd w:val="clear" w:color="auto" w:fill="FFFFFF"/>
        <w:snapToGrid w:val="0"/>
        <w:ind w:left="314" w:leftChars="157"/>
        <w:jc w:val="both"/>
        <w:rPr>
          <w:rFonts w:eastAsia="宋体"/>
          <w:b/>
          <w:bCs/>
          <w:color w:val="000000"/>
          <w:sz w:val="24"/>
          <w:szCs w:val="24"/>
        </w:rPr>
      </w:pPr>
    </w:p>
    <w:p w14:paraId="60F28C3E">
      <w:pPr>
        <w:shd w:val="clear" w:color="auto" w:fill="FFFFFF"/>
        <w:snapToGrid w:val="0"/>
        <w:ind w:left="314" w:leftChars="157"/>
        <w:jc w:val="both"/>
        <w:rPr>
          <w:rFonts w:eastAsia="宋体"/>
          <w:sz w:val="24"/>
          <w:szCs w:val="24"/>
        </w:rPr>
      </w:pPr>
      <w:r>
        <w:rPr>
          <w:rFonts w:eastAsia="宋体"/>
          <w:b/>
          <w:bCs/>
          <w:color w:val="000000"/>
          <w:sz w:val="24"/>
          <w:szCs w:val="24"/>
        </w:rPr>
        <w:t>FDA补正资料：</w:t>
      </w:r>
    </w:p>
    <w:p w14:paraId="53FB1DBC">
      <w:pPr>
        <w:shd w:val="clear" w:color="auto" w:fill="FFFFFF"/>
        <w:snapToGrid w:val="0"/>
        <w:ind w:left="314" w:leftChars="157"/>
        <w:jc w:val="both"/>
        <w:rPr>
          <w:rFonts w:eastAsia="宋体"/>
          <w:sz w:val="24"/>
          <w:szCs w:val="24"/>
        </w:rPr>
      </w:pPr>
      <w:r>
        <w:rPr>
          <w:rFonts w:eastAsia="宋体"/>
          <w:color w:val="000000"/>
          <w:sz w:val="24"/>
          <w:szCs w:val="24"/>
        </w:rPr>
        <w:t>您已经提供了申请胃内球囊系统一年</w:t>
      </w:r>
      <w:r>
        <w:rPr>
          <w:rFonts w:hint="eastAsia" w:eastAsia="宋体"/>
          <w:color w:val="000000"/>
          <w:sz w:val="24"/>
          <w:szCs w:val="24"/>
        </w:rPr>
        <w:t>有效</w:t>
      </w:r>
      <w:r>
        <w:rPr>
          <w:rFonts w:eastAsia="宋体"/>
          <w:color w:val="000000"/>
          <w:sz w:val="24"/>
          <w:szCs w:val="24"/>
        </w:rPr>
        <w:t>期的方案和测试结果。然而，FDA担心用于此测试的受试品不能代表最终成品器械，因为自此测试完成以来，您已对您的器械进行了几次设计变更。</w:t>
      </w:r>
      <w:r>
        <w:rPr>
          <w:rFonts w:hint="eastAsia" w:eastAsia="宋体"/>
          <w:color w:val="000000"/>
          <w:sz w:val="24"/>
          <w:szCs w:val="24"/>
        </w:rPr>
        <w:t>F</w:t>
      </w:r>
      <w:r>
        <w:rPr>
          <w:rFonts w:eastAsia="宋体"/>
          <w:color w:val="000000"/>
          <w:sz w:val="24"/>
          <w:szCs w:val="24"/>
        </w:rPr>
        <w:t>DA已确定您的设计变更可能会影响您器械的性能。因此，您的</w:t>
      </w:r>
      <w:r>
        <w:rPr>
          <w:rFonts w:hint="eastAsia" w:eastAsia="宋体"/>
          <w:color w:val="000000"/>
          <w:sz w:val="24"/>
          <w:szCs w:val="24"/>
        </w:rPr>
        <w:t>有效</w:t>
      </w:r>
      <w:r>
        <w:rPr>
          <w:rFonts w:eastAsia="宋体"/>
          <w:color w:val="000000"/>
          <w:sz w:val="24"/>
          <w:szCs w:val="24"/>
        </w:rPr>
        <w:t>期性能测试不支持您确定的一年</w:t>
      </w:r>
      <w:r>
        <w:rPr>
          <w:rFonts w:hint="eastAsia" w:eastAsia="宋体"/>
          <w:color w:val="000000"/>
          <w:sz w:val="24"/>
          <w:szCs w:val="24"/>
        </w:rPr>
        <w:t>有效</w:t>
      </w:r>
      <w:r>
        <w:rPr>
          <w:rFonts w:eastAsia="宋体"/>
          <w:color w:val="000000"/>
          <w:sz w:val="24"/>
          <w:szCs w:val="24"/>
        </w:rPr>
        <w:t>期。请提供方案和测试报告，包括老化后对最终成品器械的性能测试，以支持您确定的产品一年</w:t>
      </w:r>
      <w:r>
        <w:rPr>
          <w:rFonts w:hint="eastAsia" w:eastAsia="宋体"/>
          <w:color w:val="000000"/>
          <w:sz w:val="24"/>
          <w:szCs w:val="24"/>
        </w:rPr>
        <w:t>有效</w:t>
      </w:r>
      <w:r>
        <w:rPr>
          <w:rFonts w:eastAsia="宋体"/>
          <w:color w:val="000000"/>
          <w:sz w:val="24"/>
          <w:szCs w:val="24"/>
        </w:rPr>
        <w:t>期。</w:t>
      </w:r>
    </w:p>
    <w:p w14:paraId="63B08EC2">
      <w:pPr>
        <w:shd w:val="clear" w:color="auto" w:fill="FFFFFF"/>
        <w:snapToGrid w:val="0"/>
        <w:ind w:left="314" w:leftChars="157"/>
        <w:jc w:val="both"/>
        <w:rPr>
          <w:rFonts w:eastAsia="宋体"/>
          <w:b/>
          <w:bCs/>
          <w:color w:val="000000"/>
          <w:sz w:val="24"/>
          <w:szCs w:val="24"/>
        </w:rPr>
      </w:pPr>
    </w:p>
    <w:p w14:paraId="0761A409">
      <w:pPr>
        <w:shd w:val="clear" w:color="auto" w:fill="FFFFFF"/>
        <w:snapToGrid w:val="0"/>
        <w:ind w:left="314" w:leftChars="157"/>
        <w:jc w:val="both"/>
        <w:rPr>
          <w:rFonts w:eastAsia="宋体"/>
          <w:sz w:val="24"/>
          <w:szCs w:val="24"/>
        </w:rPr>
      </w:pPr>
      <w:r>
        <w:rPr>
          <w:rFonts w:eastAsia="宋体"/>
          <w:b/>
          <w:bCs/>
          <w:color w:val="000000"/>
          <w:sz w:val="24"/>
          <w:szCs w:val="24"/>
        </w:rPr>
        <w:t>申请人答复：</w:t>
      </w:r>
    </w:p>
    <w:p w14:paraId="47DEB4E7">
      <w:pPr>
        <w:shd w:val="clear" w:color="auto" w:fill="FFFFFF"/>
        <w:snapToGrid w:val="0"/>
        <w:ind w:left="314" w:leftChars="157"/>
        <w:jc w:val="both"/>
        <w:rPr>
          <w:rFonts w:eastAsia="宋体"/>
          <w:sz w:val="24"/>
          <w:szCs w:val="24"/>
        </w:rPr>
      </w:pPr>
      <w:r>
        <w:rPr>
          <w:rFonts w:eastAsia="宋体"/>
          <w:color w:val="000000"/>
          <w:sz w:val="24"/>
          <w:szCs w:val="24"/>
        </w:rPr>
        <w:t>我们使用了</w:t>
      </w:r>
      <w:r>
        <w:rPr>
          <w:rFonts w:hint="eastAsia" w:eastAsia="宋体"/>
          <w:color w:val="000000"/>
          <w:sz w:val="24"/>
          <w:szCs w:val="24"/>
        </w:rPr>
        <w:t>与</w:t>
      </w:r>
      <w:r>
        <w:rPr>
          <w:rFonts w:eastAsia="宋体"/>
          <w:color w:val="000000"/>
          <w:sz w:val="24"/>
          <w:szCs w:val="24"/>
        </w:rPr>
        <w:t>首次递交相同</w:t>
      </w:r>
      <w:r>
        <w:rPr>
          <w:rFonts w:hint="eastAsia" w:eastAsia="宋体"/>
          <w:color w:val="000000"/>
          <w:sz w:val="24"/>
          <w:szCs w:val="24"/>
        </w:rPr>
        <w:t>的</w:t>
      </w:r>
      <w:r>
        <w:rPr>
          <w:rFonts w:eastAsia="宋体"/>
          <w:color w:val="000000"/>
          <w:sz w:val="24"/>
          <w:szCs w:val="24"/>
        </w:rPr>
        <w:t>老化方案。我们纳入了测试结果，其中包括加速老化后经修改的器械性能测试。我们认为我们提供的结果支持我们的一年</w:t>
      </w:r>
      <w:r>
        <w:rPr>
          <w:rFonts w:hint="eastAsia" w:eastAsia="宋体"/>
          <w:color w:val="000000"/>
          <w:sz w:val="24"/>
          <w:szCs w:val="24"/>
        </w:rPr>
        <w:t>有效</w:t>
      </w:r>
      <w:r>
        <w:rPr>
          <w:rFonts w:eastAsia="宋体"/>
          <w:color w:val="000000"/>
          <w:sz w:val="24"/>
          <w:szCs w:val="24"/>
        </w:rPr>
        <w:t>期要求。</w:t>
      </w:r>
    </w:p>
    <w:p w14:paraId="45CECE45">
      <w:pPr>
        <w:shd w:val="clear" w:color="auto" w:fill="FFFFFF"/>
        <w:snapToGrid w:val="0"/>
        <w:ind w:left="361" w:hanging="361" w:hangingChars="150"/>
        <w:jc w:val="both"/>
        <w:rPr>
          <w:rFonts w:eastAsia="宋体"/>
          <w:b/>
          <w:bCs/>
          <w:color w:val="000000"/>
          <w:sz w:val="24"/>
          <w:szCs w:val="24"/>
        </w:rPr>
      </w:pPr>
    </w:p>
    <w:p w14:paraId="29CC0A6E">
      <w:pPr>
        <w:shd w:val="clear" w:color="auto" w:fill="FFFFFF"/>
        <w:snapToGrid w:val="0"/>
        <w:ind w:left="361" w:hanging="361" w:hangingChars="150"/>
        <w:jc w:val="both"/>
        <w:rPr>
          <w:rFonts w:eastAsia="宋体"/>
          <w:sz w:val="24"/>
          <w:szCs w:val="24"/>
        </w:rPr>
      </w:pPr>
      <w:r>
        <w:rPr>
          <w:rFonts w:eastAsia="宋体"/>
          <w:b/>
          <w:bCs/>
          <w:color w:val="000000"/>
          <w:sz w:val="24"/>
          <w:szCs w:val="24"/>
        </w:rPr>
        <w:t>7.</w:t>
      </w:r>
      <w:r>
        <w:rPr>
          <w:rFonts w:eastAsia="宋体"/>
          <w:b/>
          <w:bCs/>
          <w:color w:val="000000"/>
          <w:sz w:val="24"/>
          <w:szCs w:val="24"/>
        </w:rPr>
        <w:tab/>
      </w:r>
      <w:r>
        <w:rPr>
          <w:rFonts w:eastAsia="宋体"/>
          <w:b/>
          <w:bCs/>
          <w:color w:val="000000"/>
          <w:sz w:val="24"/>
          <w:szCs w:val="24"/>
        </w:rPr>
        <w:t>PMA补正资料答复</w:t>
      </w:r>
    </w:p>
    <w:p w14:paraId="13B8DDE1">
      <w:pPr>
        <w:shd w:val="clear" w:color="auto" w:fill="FFFFFF"/>
        <w:snapToGrid w:val="0"/>
        <w:ind w:left="314" w:leftChars="157"/>
        <w:jc w:val="both"/>
        <w:rPr>
          <w:rFonts w:eastAsia="宋体"/>
          <w:b/>
          <w:bCs/>
          <w:color w:val="000000"/>
          <w:sz w:val="24"/>
          <w:szCs w:val="24"/>
        </w:rPr>
      </w:pPr>
    </w:p>
    <w:p w14:paraId="3624B1E4">
      <w:pPr>
        <w:shd w:val="clear" w:color="auto" w:fill="FFFFFF"/>
        <w:snapToGrid w:val="0"/>
        <w:ind w:left="314" w:leftChars="157"/>
        <w:jc w:val="both"/>
        <w:rPr>
          <w:rFonts w:eastAsia="宋体"/>
          <w:sz w:val="24"/>
          <w:szCs w:val="24"/>
        </w:rPr>
      </w:pPr>
      <w:r>
        <w:rPr>
          <w:rFonts w:eastAsia="宋体"/>
          <w:b/>
          <w:bCs/>
          <w:color w:val="000000"/>
          <w:sz w:val="24"/>
          <w:szCs w:val="24"/>
        </w:rPr>
        <w:t>FDA补正资料：</w:t>
      </w:r>
    </w:p>
    <w:p w14:paraId="38C957AA">
      <w:pPr>
        <w:shd w:val="clear" w:color="auto" w:fill="FFFFFF"/>
        <w:snapToGrid w:val="0"/>
        <w:ind w:left="314" w:leftChars="157"/>
        <w:jc w:val="both"/>
        <w:rPr>
          <w:rFonts w:eastAsia="宋体"/>
          <w:sz w:val="24"/>
          <w:szCs w:val="24"/>
        </w:rPr>
      </w:pPr>
      <w:r>
        <w:rPr>
          <w:rFonts w:eastAsia="宋体"/>
          <w:color w:val="000000"/>
          <w:sz w:val="24"/>
          <w:szCs w:val="24"/>
        </w:rPr>
        <w:t>您提供的标签草案包括21 CFR 809.10中概述的要素。此标签草案显示您的分析测量范围为5-200 µg/mL。您在第4卷中提供的线性研究支持这一标签声明的</w:t>
      </w:r>
      <w:r>
        <w:rPr>
          <w:rFonts w:hint="eastAsia" w:eastAsia="宋体"/>
          <w:color w:val="000000"/>
          <w:sz w:val="24"/>
          <w:szCs w:val="24"/>
        </w:rPr>
        <w:t>上限</w:t>
      </w:r>
      <w:r>
        <w:rPr>
          <w:rFonts w:eastAsia="宋体"/>
          <w:color w:val="000000"/>
          <w:sz w:val="24"/>
          <w:szCs w:val="24"/>
        </w:rPr>
        <w:t>，但没有显示出接近5 µg/mL的可接受的分析精密度。临床使用时，医疗决策点可能接近5 µg/mL。为了正确解释结果，您的</w:t>
      </w:r>
      <w:r>
        <w:rPr>
          <w:rFonts w:hint="eastAsia" w:eastAsia="宋体"/>
          <w:color w:val="000000"/>
          <w:sz w:val="24"/>
          <w:szCs w:val="24"/>
        </w:rPr>
        <w:t>试剂</w:t>
      </w:r>
      <w:r>
        <w:rPr>
          <w:rFonts w:eastAsia="宋体"/>
          <w:color w:val="000000"/>
          <w:sz w:val="24"/>
          <w:szCs w:val="24"/>
        </w:rPr>
        <w:t>的使用者应</w:t>
      </w:r>
      <w:r>
        <w:rPr>
          <w:rFonts w:hint="eastAsia" w:eastAsia="宋体"/>
          <w:color w:val="000000"/>
          <w:sz w:val="24"/>
          <w:szCs w:val="24"/>
        </w:rPr>
        <w:t>知晓</w:t>
      </w:r>
      <w:r>
        <w:rPr>
          <w:rFonts w:eastAsia="宋体"/>
          <w:color w:val="000000"/>
          <w:sz w:val="24"/>
          <w:szCs w:val="24"/>
        </w:rPr>
        <w:t>到它在这个浓度下的精密度。此外，您应在您宣称的测量范围的下限证明可接受的性能，以证明安全性和有效性的合理保证。请修改您的分析测量范围，使其与现有的支持数据一致，或提供其他数据来支持您宣称的测量范围。为了证明5 µg/mL的性能，您可以根据当前FDA认可的CLSI EP17版本：《临床实验室测量程序的检测能力评价》进行定量水平研究，根据CLSI EP05：《定量测量程序的精密度评价》将接近5 µg/mL的样品纳入您的精密度研究，或提供另一种科学有效的方法来解决</w:t>
      </w:r>
      <w:r>
        <w:rPr>
          <w:rFonts w:hint="eastAsia" w:eastAsia="宋体"/>
          <w:color w:val="000000"/>
          <w:sz w:val="24"/>
          <w:szCs w:val="24"/>
        </w:rPr>
        <w:t>F</w:t>
      </w:r>
      <w:r>
        <w:rPr>
          <w:rFonts w:eastAsia="宋体"/>
          <w:color w:val="000000"/>
          <w:sz w:val="24"/>
          <w:szCs w:val="24"/>
        </w:rPr>
        <w:t>DA对您当前标示测量范围下限的担忧。</w:t>
      </w:r>
    </w:p>
    <w:p w14:paraId="1F34D473">
      <w:pPr>
        <w:shd w:val="clear" w:color="auto" w:fill="FFFFFF"/>
        <w:snapToGrid w:val="0"/>
        <w:jc w:val="both"/>
        <w:rPr>
          <w:rFonts w:eastAsia="宋体"/>
          <w:sz w:val="24"/>
          <w:szCs w:val="24"/>
        </w:rPr>
      </w:pPr>
    </w:p>
    <w:p w14:paraId="48C70263">
      <w:pPr>
        <w:shd w:val="clear" w:color="auto" w:fill="FFFFFF"/>
        <w:snapToGrid w:val="0"/>
        <w:jc w:val="both"/>
        <w:rPr>
          <w:rFonts w:eastAsia="宋体"/>
          <w:sz w:val="24"/>
          <w:szCs w:val="24"/>
        </w:rPr>
      </w:pPr>
    </w:p>
    <w:p w14:paraId="15B37C2A">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21AF15D3">
      <w:pPr>
        <w:shd w:val="clear" w:color="auto" w:fill="FFFFFF"/>
        <w:snapToGrid w:val="0"/>
        <w:ind w:left="314" w:leftChars="157"/>
        <w:jc w:val="both"/>
        <w:rPr>
          <w:rFonts w:eastAsia="宋体"/>
          <w:sz w:val="24"/>
          <w:szCs w:val="24"/>
        </w:rPr>
      </w:pPr>
      <w:r>
        <w:rPr>
          <w:rFonts w:eastAsia="宋体"/>
          <w:b/>
          <w:bCs/>
          <w:color w:val="000000"/>
          <w:sz w:val="24"/>
          <w:szCs w:val="24"/>
        </w:rPr>
        <w:t>申请人答复：</w:t>
      </w:r>
    </w:p>
    <w:p w14:paraId="54E50CD4">
      <w:pPr>
        <w:shd w:val="clear" w:color="auto" w:fill="FFFFFF"/>
        <w:snapToGrid w:val="0"/>
        <w:ind w:left="314" w:leftChars="157"/>
        <w:jc w:val="both"/>
        <w:rPr>
          <w:rFonts w:eastAsia="宋体"/>
          <w:sz w:val="24"/>
          <w:szCs w:val="24"/>
        </w:rPr>
      </w:pPr>
      <w:r>
        <w:rPr>
          <w:rFonts w:eastAsia="宋体"/>
          <w:color w:val="000000"/>
          <w:sz w:val="24"/>
          <w:szCs w:val="24"/>
        </w:rPr>
        <w:t>根据CLSI EP17，我们已经</w:t>
      </w:r>
      <w:r>
        <w:rPr>
          <w:rFonts w:hint="eastAsia" w:eastAsia="宋体"/>
          <w:color w:val="000000"/>
          <w:sz w:val="24"/>
          <w:szCs w:val="24"/>
        </w:rPr>
        <w:t>提供</w:t>
      </w:r>
      <w:r>
        <w:rPr>
          <w:rFonts w:eastAsia="宋体"/>
          <w:color w:val="000000"/>
          <w:sz w:val="24"/>
          <w:szCs w:val="24"/>
        </w:rPr>
        <w:t>了定量研究</w:t>
      </w:r>
      <w:r>
        <w:rPr>
          <w:rFonts w:hint="eastAsia" w:eastAsia="宋体"/>
          <w:color w:val="000000"/>
          <w:sz w:val="24"/>
          <w:szCs w:val="24"/>
        </w:rPr>
        <w:t>水平</w:t>
      </w:r>
      <w:r>
        <w:rPr>
          <w:rFonts w:eastAsia="宋体"/>
          <w:color w:val="000000"/>
          <w:sz w:val="24"/>
          <w:szCs w:val="24"/>
        </w:rPr>
        <w:t>的测试结果。我们已将完整的测试报告包含在修正案2-第6卷中。</w:t>
      </w:r>
    </w:p>
    <w:p w14:paraId="7229FE4C">
      <w:pPr>
        <w:shd w:val="clear" w:color="auto" w:fill="FFFFFF"/>
        <w:snapToGrid w:val="0"/>
        <w:ind w:left="361" w:hanging="361" w:hangingChars="150"/>
        <w:jc w:val="both"/>
        <w:rPr>
          <w:rFonts w:eastAsia="宋体"/>
          <w:b/>
          <w:bCs/>
          <w:color w:val="000000"/>
          <w:sz w:val="24"/>
          <w:szCs w:val="24"/>
        </w:rPr>
      </w:pPr>
    </w:p>
    <w:p w14:paraId="500DAF48">
      <w:pPr>
        <w:shd w:val="clear" w:color="auto" w:fill="FFFFFF"/>
        <w:snapToGrid w:val="0"/>
        <w:ind w:left="361" w:hanging="361" w:hangingChars="150"/>
        <w:jc w:val="both"/>
        <w:rPr>
          <w:rFonts w:eastAsia="宋体"/>
          <w:sz w:val="24"/>
          <w:szCs w:val="24"/>
        </w:rPr>
      </w:pPr>
      <w:r>
        <w:rPr>
          <w:rFonts w:eastAsia="宋体"/>
          <w:b/>
          <w:bCs/>
          <w:color w:val="000000"/>
          <w:sz w:val="24"/>
          <w:szCs w:val="24"/>
        </w:rPr>
        <w:t>8.</w:t>
      </w:r>
      <w:r>
        <w:rPr>
          <w:rFonts w:eastAsia="宋体"/>
          <w:b/>
          <w:bCs/>
          <w:color w:val="000000"/>
          <w:sz w:val="24"/>
          <w:szCs w:val="24"/>
        </w:rPr>
        <w:tab/>
      </w:r>
      <w:r>
        <w:rPr>
          <w:rFonts w:hint="eastAsia" w:eastAsia="宋体"/>
          <w:b/>
          <w:bCs/>
          <w:color w:val="000000"/>
          <w:sz w:val="24"/>
          <w:szCs w:val="24"/>
        </w:rPr>
        <w:t>D</w:t>
      </w:r>
      <w:r>
        <w:rPr>
          <w:rFonts w:eastAsia="宋体"/>
          <w:b/>
          <w:bCs/>
          <w:color w:val="000000"/>
          <w:sz w:val="24"/>
          <w:szCs w:val="24"/>
        </w:rPr>
        <w:t>e Novo补正资料答复</w:t>
      </w:r>
    </w:p>
    <w:p w14:paraId="380A38CB">
      <w:pPr>
        <w:shd w:val="clear" w:color="auto" w:fill="FFFFFF"/>
        <w:snapToGrid w:val="0"/>
        <w:ind w:left="314" w:leftChars="157"/>
        <w:jc w:val="both"/>
        <w:rPr>
          <w:rFonts w:eastAsia="宋体"/>
          <w:b/>
          <w:bCs/>
          <w:color w:val="000000"/>
          <w:sz w:val="24"/>
          <w:szCs w:val="24"/>
        </w:rPr>
      </w:pPr>
    </w:p>
    <w:p w14:paraId="7B31A334">
      <w:pPr>
        <w:shd w:val="clear" w:color="auto" w:fill="FFFFFF"/>
        <w:snapToGrid w:val="0"/>
        <w:ind w:left="314" w:leftChars="157"/>
        <w:jc w:val="both"/>
        <w:rPr>
          <w:rFonts w:eastAsia="宋体"/>
          <w:sz w:val="24"/>
          <w:szCs w:val="24"/>
        </w:rPr>
      </w:pPr>
      <w:r>
        <w:rPr>
          <w:rFonts w:eastAsia="宋体"/>
          <w:b/>
          <w:bCs/>
          <w:color w:val="000000"/>
          <w:sz w:val="24"/>
          <w:szCs w:val="24"/>
        </w:rPr>
        <w:t>FDA补正资料：</w:t>
      </w:r>
    </w:p>
    <w:p w14:paraId="3A4EEB77">
      <w:pPr>
        <w:shd w:val="clear" w:color="auto" w:fill="FFFFFF"/>
        <w:snapToGrid w:val="0"/>
        <w:ind w:left="314" w:leftChars="157"/>
        <w:jc w:val="both"/>
        <w:rPr>
          <w:rFonts w:eastAsia="宋体"/>
          <w:sz w:val="24"/>
          <w:szCs w:val="24"/>
        </w:rPr>
      </w:pPr>
      <w:r>
        <w:rPr>
          <w:rFonts w:eastAsia="宋体"/>
          <w:color w:val="000000"/>
          <w:sz w:val="24"/>
          <w:szCs w:val="24"/>
        </w:rPr>
        <w:t>您在重新申请中为您的骨外科植入系统提供了标签草案。您的标签</w:t>
      </w:r>
      <w:r>
        <w:rPr>
          <w:rFonts w:hint="eastAsia" w:eastAsia="宋体"/>
          <w:color w:val="000000"/>
          <w:sz w:val="24"/>
          <w:szCs w:val="24"/>
        </w:rPr>
        <w:t>未</w:t>
      </w:r>
      <w:r>
        <w:rPr>
          <w:rFonts w:eastAsia="宋体"/>
          <w:color w:val="000000"/>
          <w:sz w:val="24"/>
          <w:szCs w:val="24"/>
        </w:rPr>
        <w:t>包括制造商、包装商或分销商的名称和营业地点，</w:t>
      </w:r>
      <w:r>
        <w:rPr>
          <w:rFonts w:hint="eastAsia" w:eastAsia="宋体"/>
          <w:color w:val="000000"/>
          <w:sz w:val="24"/>
          <w:szCs w:val="24"/>
        </w:rPr>
        <w:t>而这些内容根据</w:t>
      </w:r>
      <w:r>
        <w:rPr>
          <w:rFonts w:eastAsia="宋体"/>
          <w:color w:val="000000"/>
          <w:sz w:val="24"/>
          <w:szCs w:val="24"/>
        </w:rPr>
        <w:t>21 CFR 801.1要求</w:t>
      </w:r>
      <w:r>
        <w:rPr>
          <w:rFonts w:hint="eastAsia" w:eastAsia="宋体"/>
          <w:color w:val="000000"/>
          <w:sz w:val="24"/>
          <w:szCs w:val="24"/>
        </w:rPr>
        <w:t>应包含在内</w:t>
      </w:r>
      <w:r>
        <w:rPr>
          <w:rFonts w:eastAsia="宋体"/>
          <w:color w:val="000000"/>
          <w:sz w:val="24"/>
          <w:szCs w:val="24"/>
        </w:rPr>
        <w:t>。在您的答复中，请提供更新</w:t>
      </w:r>
      <w:r>
        <w:rPr>
          <w:rFonts w:hint="eastAsia" w:eastAsia="宋体"/>
          <w:color w:val="000000"/>
          <w:sz w:val="24"/>
          <w:szCs w:val="24"/>
        </w:rPr>
        <w:t>后</w:t>
      </w:r>
      <w:r>
        <w:rPr>
          <w:rFonts w:eastAsia="宋体"/>
          <w:color w:val="000000"/>
          <w:sz w:val="24"/>
          <w:szCs w:val="24"/>
        </w:rPr>
        <w:t>标签，</w:t>
      </w:r>
      <w:r>
        <w:rPr>
          <w:rFonts w:hint="eastAsia" w:eastAsia="宋体"/>
          <w:color w:val="000000"/>
          <w:sz w:val="24"/>
          <w:szCs w:val="24"/>
        </w:rPr>
        <w:t>包含</w:t>
      </w:r>
      <w:r>
        <w:rPr>
          <w:rFonts w:eastAsia="宋体"/>
          <w:color w:val="000000"/>
          <w:sz w:val="24"/>
          <w:szCs w:val="24"/>
        </w:rPr>
        <w:t>您器械的制造商、包装商或分销商的名称和营业地点。</w:t>
      </w:r>
    </w:p>
    <w:p w14:paraId="00AC0B87">
      <w:pPr>
        <w:shd w:val="clear" w:color="auto" w:fill="FFFFFF"/>
        <w:snapToGrid w:val="0"/>
        <w:ind w:left="314" w:leftChars="157"/>
        <w:jc w:val="both"/>
        <w:rPr>
          <w:rFonts w:eastAsia="宋体"/>
          <w:b/>
          <w:bCs/>
          <w:color w:val="000000"/>
          <w:sz w:val="24"/>
          <w:szCs w:val="24"/>
        </w:rPr>
      </w:pPr>
    </w:p>
    <w:p w14:paraId="6342DE9B">
      <w:pPr>
        <w:shd w:val="clear" w:color="auto" w:fill="FFFFFF"/>
        <w:snapToGrid w:val="0"/>
        <w:ind w:left="314" w:leftChars="157"/>
        <w:jc w:val="both"/>
        <w:rPr>
          <w:rFonts w:eastAsia="宋体"/>
          <w:sz w:val="24"/>
          <w:szCs w:val="24"/>
        </w:rPr>
      </w:pPr>
      <w:r>
        <w:rPr>
          <w:rFonts w:eastAsia="宋体"/>
          <w:b/>
          <w:bCs/>
          <w:color w:val="000000"/>
          <w:sz w:val="24"/>
          <w:szCs w:val="24"/>
        </w:rPr>
        <w:t>申请人答复：</w:t>
      </w:r>
    </w:p>
    <w:p w14:paraId="1762D2BA">
      <w:pPr>
        <w:shd w:val="clear" w:color="auto" w:fill="FFFFFF"/>
        <w:snapToGrid w:val="0"/>
        <w:ind w:left="314" w:leftChars="157"/>
        <w:jc w:val="both"/>
        <w:rPr>
          <w:rFonts w:eastAsia="宋体"/>
          <w:sz w:val="24"/>
          <w:szCs w:val="24"/>
        </w:rPr>
      </w:pPr>
      <w:r>
        <w:rPr>
          <w:rFonts w:eastAsia="宋体"/>
          <w:color w:val="000000"/>
          <w:sz w:val="24"/>
          <w:szCs w:val="24"/>
        </w:rPr>
        <w:t>我们在答复的第3部分中包含了更新的标签草案，以包含分销商的名称和营业地点。</w:t>
      </w:r>
    </w:p>
    <w:p w14:paraId="453AF686">
      <w:pPr>
        <w:shd w:val="clear" w:color="auto" w:fill="FFFFFF"/>
        <w:snapToGrid w:val="0"/>
        <w:ind w:left="361" w:hanging="361" w:hangingChars="150"/>
        <w:jc w:val="both"/>
        <w:rPr>
          <w:rFonts w:eastAsia="宋体"/>
          <w:b/>
          <w:bCs/>
          <w:color w:val="000000"/>
          <w:sz w:val="24"/>
          <w:szCs w:val="24"/>
        </w:rPr>
      </w:pPr>
    </w:p>
    <w:p w14:paraId="02103B11">
      <w:pPr>
        <w:shd w:val="clear" w:color="auto" w:fill="FFFFFF"/>
        <w:snapToGrid w:val="0"/>
        <w:ind w:left="361" w:hanging="361" w:hangingChars="150"/>
        <w:jc w:val="both"/>
        <w:rPr>
          <w:rFonts w:eastAsia="宋体"/>
          <w:sz w:val="24"/>
          <w:szCs w:val="24"/>
        </w:rPr>
      </w:pPr>
      <w:r>
        <w:rPr>
          <w:rFonts w:eastAsia="宋体"/>
          <w:b/>
          <w:bCs/>
          <w:color w:val="000000"/>
          <w:sz w:val="24"/>
          <w:szCs w:val="24"/>
        </w:rPr>
        <w:t>9.</w:t>
      </w:r>
      <w:r>
        <w:rPr>
          <w:rFonts w:eastAsia="宋体"/>
          <w:b/>
          <w:bCs/>
          <w:color w:val="000000"/>
          <w:sz w:val="24"/>
          <w:szCs w:val="24"/>
        </w:rPr>
        <w:tab/>
      </w:r>
      <w:r>
        <w:rPr>
          <w:rFonts w:eastAsia="宋体"/>
          <w:b/>
          <w:bCs/>
          <w:color w:val="000000"/>
          <w:sz w:val="24"/>
          <w:szCs w:val="24"/>
        </w:rPr>
        <w:t>510（k）补正资料答复</w:t>
      </w:r>
    </w:p>
    <w:p w14:paraId="43B69A1F">
      <w:pPr>
        <w:shd w:val="clear" w:color="auto" w:fill="FFFFFF"/>
        <w:snapToGrid w:val="0"/>
        <w:ind w:left="314" w:leftChars="157"/>
        <w:jc w:val="both"/>
        <w:rPr>
          <w:rFonts w:eastAsia="宋体"/>
          <w:b/>
          <w:bCs/>
          <w:color w:val="000000"/>
          <w:sz w:val="24"/>
          <w:szCs w:val="24"/>
        </w:rPr>
      </w:pPr>
    </w:p>
    <w:p w14:paraId="4F4371C7">
      <w:pPr>
        <w:shd w:val="clear" w:color="auto" w:fill="FFFFFF"/>
        <w:snapToGrid w:val="0"/>
        <w:ind w:left="314" w:leftChars="157"/>
        <w:jc w:val="both"/>
        <w:rPr>
          <w:rFonts w:eastAsia="宋体"/>
          <w:sz w:val="24"/>
          <w:szCs w:val="24"/>
        </w:rPr>
      </w:pPr>
      <w:r>
        <w:rPr>
          <w:rFonts w:eastAsia="宋体"/>
          <w:b/>
          <w:bCs/>
          <w:color w:val="000000"/>
          <w:sz w:val="24"/>
          <w:szCs w:val="24"/>
        </w:rPr>
        <w:t>FDA补正资料：</w:t>
      </w:r>
    </w:p>
    <w:p w14:paraId="6970B9F4">
      <w:pPr>
        <w:shd w:val="clear" w:color="auto" w:fill="FFFFFF"/>
        <w:snapToGrid w:val="0"/>
        <w:ind w:left="314" w:leftChars="157"/>
        <w:jc w:val="both"/>
        <w:rPr>
          <w:rFonts w:eastAsia="宋体"/>
          <w:color w:val="000000"/>
          <w:sz w:val="24"/>
          <w:szCs w:val="24"/>
        </w:rPr>
      </w:pPr>
      <w:r>
        <w:rPr>
          <w:rFonts w:eastAsia="宋体"/>
          <w:color w:val="000000"/>
          <w:sz w:val="24"/>
          <w:szCs w:val="24"/>
        </w:rPr>
        <w:t>根据FDA指导文件</w:t>
      </w:r>
      <w:r>
        <w:rPr>
          <w:rFonts w:ascii="宋体" w:hAnsi="宋体" w:eastAsia="宋体"/>
          <w:color w:val="000000"/>
          <w:sz w:val="24"/>
          <w:szCs w:val="24"/>
        </w:rPr>
        <w:t>“</w:t>
      </w:r>
      <w:r>
        <w:rPr>
          <w:rFonts w:eastAsia="宋体"/>
          <w:color w:val="000000"/>
          <w:sz w:val="24"/>
          <w:szCs w:val="24"/>
        </w:rPr>
        <w:t>国际标准ISO 10993-1，‘医疗器械生物学评价-第1部分：风险管理过程中的评价与试验’的使用</w:t>
      </w:r>
      <w:r>
        <w:rPr>
          <w:rFonts w:ascii="宋体" w:hAnsi="宋体" w:eastAsia="宋体"/>
          <w:color w:val="000000"/>
          <w:sz w:val="24"/>
          <w:szCs w:val="24"/>
        </w:rPr>
        <w:t>”</w:t>
      </w:r>
      <w:r>
        <w:rPr>
          <w:rFonts w:eastAsia="宋体"/>
          <w:color w:val="000000"/>
          <w:sz w:val="24"/>
          <w:szCs w:val="24"/>
        </w:rPr>
        <w:t>中的建议，您已经提供了使用最终成品形式的器械进行细胞毒性试验的方案和结果。但是，我们发现您的试验存在以下不足：</w:t>
      </w:r>
    </w:p>
    <w:p w14:paraId="249ABD9A">
      <w:pPr>
        <w:shd w:val="clear" w:color="auto" w:fill="FFFFFF"/>
        <w:snapToGrid w:val="0"/>
        <w:ind w:left="314" w:leftChars="157"/>
        <w:jc w:val="both"/>
        <w:rPr>
          <w:rFonts w:eastAsia="宋体"/>
          <w:sz w:val="24"/>
          <w:szCs w:val="24"/>
        </w:rPr>
      </w:pPr>
    </w:p>
    <w:p w14:paraId="5F688F5D">
      <w:pPr>
        <w:shd w:val="clear" w:color="auto" w:fill="FFFFFF"/>
        <w:snapToGrid w:val="0"/>
        <w:ind w:left="929" w:leftChars="307" w:hanging="315"/>
        <w:jc w:val="both"/>
        <w:rPr>
          <w:rFonts w:eastAsia="宋体"/>
          <w:sz w:val="24"/>
          <w:szCs w:val="24"/>
        </w:rPr>
      </w:pPr>
      <w:r>
        <w:rPr>
          <w:rFonts w:eastAsia="宋体"/>
          <w:color w:val="000000"/>
          <w:sz w:val="24"/>
          <w:szCs w:val="24"/>
        </w:rPr>
        <w:t>a.</w:t>
      </w:r>
      <w:r>
        <w:rPr>
          <w:rFonts w:eastAsia="宋体"/>
          <w:color w:val="000000"/>
          <w:sz w:val="24"/>
          <w:szCs w:val="24"/>
        </w:rPr>
        <w:tab/>
      </w:r>
      <w:r>
        <w:rPr>
          <w:rFonts w:eastAsia="宋体"/>
          <w:color w:val="000000"/>
          <w:sz w:val="24"/>
          <w:szCs w:val="24"/>
        </w:rPr>
        <w:t>目前FDA认可的ISO 10993-12版本建议使用表面积来确定浸提液中包含的器械数量，重量仅用于无法计算表面积的器械或组件。我们担心使用重量而不是表面积可能导致研究中的假阴性结果（即，由于检测系统中样品不足可能导致阴性结果）。请提供信息以证明与使用表面积相比，使用重量来确定浸提比具有相等或更大量的受试品。</w:t>
      </w:r>
    </w:p>
    <w:p w14:paraId="4950DB7F">
      <w:pPr>
        <w:shd w:val="clear" w:color="auto" w:fill="FFFFFF"/>
        <w:snapToGrid w:val="0"/>
        <w:jc w:val="both"/>
        <w:rPr>
          <w:rFonts w:eastAsia="宋体"/>
          <w:sz w:val="24"/>
          <w:szCs w:val="24"/>
        </w:rPr>
      </w:pPr>
    </w:p>
    <w:p w14:paraId="3E016284">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562D3173">
      <w:pPr>
        <w:shd w:val="clear" w:color="auto" w:fill="FFFFFF"/>
        <w:snapToGrid w:val="0"/>
        <w:ind w:left="929" w:leftChars="307" w:hanging="315"/>
        <w:jc w:val="both"/>
        <w:rPr>
          <w:rFonts w:eastAsia="宋体"/>
          <w:sz w:val="24"/>
          <w:szCs w:val="24"/>
        </w:rPr>
      </w:pPr>
      <w:r>
        <w:rPr>
          <w:rFonts w:eastAsia="宋体"/>
          <w:color w:val="000000"/>
          <w:sz w:val="24"/>
          <w:szCs w:val="24"/>
        </w:rPr>
        <w:t>b.</w:t>
      </w:r>
      <w:r>
        <w:rPr>
          <w:rFonts w:eastAsia="宋体"/>
          <w:color w:val="000000"/>
          <w:sz w:val="24"/>
          <w:szCs w:val="24"/>
        </w:rPr>
        <w:tab/>
      </w:r>
      <w:r>
        <w:rPr>
          <w:rFonts w:eastAsia="宋体"/>
          <w:color w:val="000000"/>
          <w:sz w:val="24"/>
          <w:szCs w:val="24"/>
        </w:rPr>
        <w:t>您的浸提液被描述为在浸提期后具有颗粒。请说明</w:t>
      </w:r>
      <w:r>
        <w:rPr>
          <w:rFonts w:hint="eastAsia" w:eastAsia="宋体"/>
          <w:color w:val="000000"/>
          <w:sz w:val="24"/>
          <w:szCs w:val="24"/>
        </w:rPr>
        <w:t>为什么</w:t>
      </w:r>
      <w:r>
        <w:rPr>
          <w:rFonts w:eastAsia="宋体"/>
          <w:color w:val="000000"/>
          <w:sz w:val="24"/>
          <w:szCs w:val="24"/>
        </w:rPr>
        <w:t>浸提液中</w:t>
      </w:r>
      <w:r>
        <w:rPr>
          <w:rFonts w:hint="eastAsia" w:eastAsia="宋体"/>
          <w:color w:val="000000"/>
          <w:sz w:val="24"/>
          <w:szCs w:val="24"/>
        </w:rPr>
        <w:t>存在</w:t>
      </w:r>
      <w:r>
        <w:rPr>
          <w:rFonts w:eastAsia="宋体"/>
          <w:color w:val="000000"/>
          <w:sz w:val="24"/>
          <w:szCs w:val="24"/>
        </w:rPr>
        <w:t>颗粒并不</w:t>
      </w:r>
      <w:r>
        <w:rPr>
          <w:rFonts w:hint="eastAsia" w:eastAsia="宋体"/>
          <w:color w:val="000000"/>
          <w:sz w:val="24"/>
          <w:szCs w:val="24"/>
        </w:rPr>
        <w:t>代表</w:t>
      </w:r>
      <w:r>
        <w:rPr>
          <w:rFonts w:eastAsia="宋体"/>
          <w:color w:val="000000"/>
          <w:sz w:val="24"/>
          <w:szCs w:val="24"/>
        </w:rPr>
        <w:t>您的成品器械存在问题，和/或浸提条件</w:t>
      </w:r>
      <w:r>
        <w:rPr>
          <w:rFonts w:hint="eastAsia" w:eastAsia="宋体"/>
          <w:color w:val="000000"/>
          <w:sz w:val="24"/>
          <w:szCs w:val="24"/>
        </w:rPr>
        <w:t>并不会</w:t>
      </w:r>
      <w:r>
        <w:rPr>
          <w:rFonts w:eastAsia="宋体"/>
          <w:color w:val="000000"/>
          <w:sz w:val="24"/>
          <w:szCs w:val="24"/>
        </w:rPr>
        <w:t>使研究结果无效。有关产品化学成分的信息可能有助于您的答复。</w:t>
      </w:r>
    </w:p>
    <w:p w14:paraId="1ECEFE44">
      <w:pPr>
        <w:shd w:val="clear" w:color="auto" w:fill="FFFFFF"/>
        <w:snapToGrid w:val="0"/>
        <w:ind w:left="314" w:leftChars="157"/>
        <w:jc w:val="both"/>
        <w:rPr>
          <w:rFonts w:eastAsia="宋体"/>
          <w:color w:val="000000"/>
          <w:sz w:val="24"/>
          <w:szCs w:val="24"/>
        </w:rPr>
      </w:pPr>
    </w:p>
    <w:p w14:paraId="05FD495A">
      <w:pPr>
        <w:shd w:val="clear" w:color="auto" w:fill="FFFFFF"/>
        <w:snapToGrid w:val="0"/>
        <w:ind w:left="314" w:leftChars="157"/>
        <w:jc w:val="both"/>
        <w:rPr>
          <w:rFonts w:eastAsia="宋体"/>
          <w:sz w:val="24"/>
          <w:szCs w:val="24"/>
        </w:rPr>
      </w:pPr>
      <w:r>
        <w:rPr>
          <w:rFonts w:eastAsia="宋体"/>
          <w:color w:val="000000"/>
          <w:sz w:val="24"/>
          <w:szCs w:val="24"/>
        </w:rPr>
        <w:t>如果您不能提供充分的依据，那么FDA建议您使用与当前FDA认可的ISO 10993-12版本中的表面积建议一致的样品制备方法来完成新的细胞毒性试验。</w:t>
      </w:r>
    </w:p>
    <w:p w14:paraId="60F3C295">
      <w:pPr>
        <w:shd w:val="clear" w:color="auto" w:fill="FFFFFF"/>
        <w:snapToGrid w:val="0"/>
        <w:ind w:left="314" w:leftChars="157"/>
        <w:jc w:val="both"/>
        <w:rPr>
          <w:rFonts w:eastAsia="宋体"/>
          <w:b/>
          <w:bCs/>
          <w:color w:val="000000"/>
          <w:sz w:val="24"/>
          <w:szCs w:val="24"/>
        </w:rPr>
      </w:pPr>
    </w:p>
    <w:p w14:paraId="027CB383">
      <w:pPr>
        <w:shd w:val="clear" w:color="auto" w:fill="FFFFFF"/>
        <w:snapToGrid w:val="0"/>
        <w:ind w:left="314" w:leftChars="157"/>
        <w:jc w:val="both"/>
        <w:rPr>
          <w:rFonts w:eastAsia="宋体"/>
          <w:sz w:val="24"/>
          <w:szCs w:val="24"/>
        </w:rPr>
      </w:pPr>
      <w:r>
        <w:rPr>
          <w:rFonts w:eastAsia="宋体"/>
          <w:b/>
          <w:bCs/>
          <w:color w:val="000000"/>
          <w:sz w:val="24"/>
          <w:szCs w:val="24"/>
        </w:rPr>
        <w:t>申请人答复：</w:t>
      </w:r>
    </w:p>
    <w:p w14:paraId="04FF52DA">
      <w:pPr>
        <w:shd w:val="clear" w:color="auto" w:fill="FFFFFF"/>
        <w:snapToGrid w:val="0"/>
        <w:ind w:left="314" w:leftChars="157"/>
        <w:jc w:val="both"/>
        <w:rPr>
          <w:rFonts w:eastAsia="宋体"/>
          <w:color w:val="000000"/>
          <w:sz w:val="24"/>
          <w:szCs w:val="24"/>
        </w:rPr>
      </w:pPr>
      <w:r>
        <w:rPr>
          <w:rFonts w:eastAsia="宋体"/>
          <w:color w:val="000000"/>
          <w:sz w:val="24"/>
          <w:szCs w:val="24"/>
        </w:rPr>
        <w:t>关于</w:t>
      </w:r>
      <w:r>
        <w:rPr>
          <w:rFonts w:hint="eastAsia" w:eastAsia="宋体"/>
          <w:color w:val="000000"/>
          <w:sz w:val="24"/>
          <w:szCs w:val="24"/>
        </w:rPr>
        <w:t>F</w:t>
      </w:r>
      <w:r>
        <w:rPr>
          <w:rFonts w:eastAsia="宋体"/>
          <w:color w:val="000000"/>
          <w:sz w:val="24"/>
          <w:szCs w:val="24"/>
        </w:rPr>
        <w:t>DA的两项问题：</w:t>
      </w:r>
    </w:p>
    <w:p w14:paraId="521A39C2">
      <w:pPr>
        <w:shd w:val="clear" w:color="auto" w:fill="FFFFFF"/>
        <w:snapToGrid w:val="0"/>
        <w:ind w:left="314" w:leftChars="157"/>
        <w:jc w:val="both"/>
        <w:rPr>
          <w:rFonts w:eastAsia="宋体"/>
          <w:sz w:val="24"/>
          <w:szCs w:val="24"/>
        </w:rPr>
      </w:pPr>
    </w:p>
    <w:p w14:paraId="532699AA">
      <w:pPr>
        <w:shd w:val="clear" w:color="auto" w:fill="FFFFFF"/>
        <w:snapToGrid w:val="0"/>
        <w:ind w:left="929" w:leftChars="307" w:hanging="315"/>
        <w:jc w:val="both"/>
        <w:rPr>
          <w:rFonts w:eastAsia="宋体"/>
          <w:sz w:val="24"/>
          <w:szCs w:val="24"/>
        </w:rPr>
      </w:pPr>
      <w:r>
        <w:rPr>
          <w:rFonts w:eastAsia="宋体"/>
          <w:color w:val="000000"/>
          <w:sz w:val="24"/>
          <w:szCs w:val="24"/>
        </w:rPr>
        <w:t>a.</w:t>
      </w:r>
      <w:r>
        <w:rPr>
          <w:rFonts w:eastAsia="宋体"/>
          <w:color w:val="000000"/>
          <w:sz w:val="24"/>
          <w:szCs w:val="24"/>
        </w:rPr>
        <w:tab/>
      </w:r>
      <w:r>
        <w:rPr>
          <w:rFonts w:eastAsia="宋体"/>
          <w:color w:val="000000"/>
          <w:sz w:val="24"/>
          <w:szCs w:val="24"/>
        </w:rPr>
        <w:t>我们已计算出器械的表面积。根据我们在答复第2.1部分中的附件，使用器械重量导致使用的器械比使用表面积用于样品制备的器械多两倍。因此，我们的细胞毒性试验比ISO 10993-12标准要求的更灵敏。</w:t>
      </w:r>
    </w:p>
    <w:p w14:paraId="0AE1E348">
      <w:pPr>
        <w:shd w:val="clear" w:color="auto" w:fill="FFFFFF"/>
        <w:snapToGrid w:val="0"/>
        <w:ind w:left="929" w:leftChars="307" w:hanging="315"/>
        <w:jc w:val="both"/>
        <w:rPr>
          <w:rFonts w:eastAsia="宋体"/>
          <w:color w:val="000000"/>
          <w:sz w:val="24"/>
          <w:szCs w:val="24"/>
        </w:rPr>
      </w:pPr>
    </w:p>
    <w:p w14:paraId="16D8F070">
      <w:pPr>
        <w:shd w:val="clear" w:color="auto" w:fill="FFFFFF"/>
        <w:snapToGrid w:val="0"/>
        <w:ind w:left="929" w:leftChars="307" w:hanging="315"/>
        <w:jc w:val="both"/>
        <w:rPr>
          <w:rFonts w:eastAsia="宋体"/>
          <w:sz w:val="24"/>
          <w:szCs w:val="24"/>
        </w:rPr>
      </w:pPr>
      <w:r>
        <w:rPr>
          <w:rFonts w:eastAsia="宋体"/>
          <w:color w:val="000000"/>
          <w:sz w:val="24"/>
          <w:szCs w:val="24"/>
        </w:rPr>
        <w:t>b.</w:t>
      </w:r>
      <w:r>
        <w:rPr>
          <w:rFonts w:eastAsia="宋体"/>
          <w:color w:val="000000"/>
          <w:sz w:val="24"/>
          <w:szCs w:val="24"/>
        </w:rPr>
        <w:tab/>
      </w:r>
      <w:r>
        <w:rPr>
          <w:rFonts w:eastAsia="宋体"/>
          <w:color w:val="000000"/>
          <w:sz w:val="24"/>
          <w:szCs w:val="24"/>
        </w:rPr>
        <w:t>我们浸提液中的颗粒是切割过程中的人工制品。我们的器械由纤维材料制成，在浸提过程中，纤维材料在切割和搅拌后解体。在我们答复的第2.2部分中，我们</w:t>
      </w:r>
      <w:r>
        <w:rPr>
          <w:rFonts w:hint="eastAsia" w:eastAsia="宋体"/>
          <w:color w:val="000000"/>
          <w:sz w:val="24"/>
          <w:szCs w:val="24"/>
        </w:rPr>
        <w:t>包含</w:t>
      </w:r>
      <w:r>
        <w:rPr>
          <w:rFonts w:eastAsia="宋体"/>
          <w:color w:val="000000"/>
          <w:sz w:val="24"/>
          <w:szCs w:val="24"/>
        </w:rPr>
        <w:t>了照片和化学表征信息，以支持我们的声明，即浸提有效。</w:t>
      </w:r>
    </w:p>
    <w:p w14:paraId="1B8CC3C5">
      <w:pPr>
        <w:shd w:val="clear" w:color="auto" w:fill="FFFFFF"/>
        <w:snapToGrid w:val="0"/>
        <w:ind w:left="314" w:leftChars="157"/>
        <w:jc w:val="both"/>
        <w:rPr>
          <w:rFonts w:eastAsia="宋体"/>
          <w:color w:val="000000"/>
          <w:sz w:val="24"/>
          <w:szCs w:val="24"/>
        </w:rPr>
      </w:pPr>
    </w:p>
    <w:p w14:paraId="023F1032">
      <w:pPr>
        <w:shd w:val="clear" w:color="auto" w:fill="FFFFFF"/>
        <w:snapToGrid w:val="0"/>
        <w:ind w:left="314" w:leftChars="157"/>
        <w:jc w:val="both"/>
        <w:rPr>
          <w:rFonts w:eastAsia="宋体"/>
          <w:color w:val="000000"/>
          <w:sz w:val="24"/>
          <w:szCs w:val="24"/>
        </w:rPr>
      </w:pPr>
      <w:r>
        <w:rPr>
          <w:rFonts w:eastAsia="宋体"/>
          <w:color w:val="000000"/>
          <w:sz w:val="24"/>
          <w:szCs w:val="24"/>
        </w:rPr>
        <w:t>我们认为，现有的细胞毒性结果足以证明我们的器械对其预期用途具有生物相容性。</w:t>
      </w:r>
    </w:p>
    <w:p w14:paraId="485D0769">
      <w:pPr>
        <w:shd w:val="clear" w:color="auto" w:fill="FFFFFF"/>
        <w:snapToGrid w:val="0"/>
        <w:ind w:left="314" w:leftChars="157"/>
        <w:jc w:val="both"/>
        <w:rPr>
          <w:rFonts w:eastAsia="宋体"/>
          <w:sz w:val="24"/>
          <w:szCs w:val="24"/>
        </w:rPr>
      </w:pPr>
    </w:p>
    <w:p w14:paraId="3438D904">
      <w:pPr>
        <w:pStyle w:val="16"/>
        <w:pBdr>
          <w:bottom w:val="single" w:color="auto" w:sz="6" w:space="1"/>
        </w:pBdr>
        <w:jc w:val="center"/>
        <w:rPr>
          <w:rFonts w:hint="eastAsia" w:eastAsia="等线"/>
          <w:lang w:eastAsia="zh-CN"/>
        </w:rPr>
      </w:pPr>
    </w:p>
    <w:p w14:paraId="4E4B7A17">
      <w:pPr>
        <w:pStyle w:val="16"/>
        <w:pBdr>
          <w:bottom w:val="single" w:color="auto" w:sz="6" w:space="1"/>
        </w:pBdr>
        <w:jc w:val="center"/>
        <w:rPr>
          <w:rFonts w:hint="eastAsia" w:eastAsia="等线"/>
          <w:lang w:eastAsia="zh-CN"/>
        </w:rPr>
      </w:pPr>
    </w:p>
    <w:p w14:paraId="615BBA34">
      <w:pPr>
        <w:pStyle w:val="16"/>
        <w:pBdr>
          <w:bottom w:val="single" w:color="auto" w:sz="6" w:space="1"/>
        </w:pBdr>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pgSz w:w="11906" w:h="16838"/>
      <w:pgMar w:top="1134" w:right="1417" w:bottom="1134" w:left="1417" w:header="850" w:footer="720" w:gutter="0"/>
      <w:cols w:space="6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EF71C">
    <w:pPr>
      <w:pStyle w:val="5"/>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rPr>
      <w:t>16</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14:paraId="105350E6">
      <w:pPr>
        <w:pStyle w:val="8"/>
        <w:rPr>
          <w:rFonts w:eastAsia="宋体"/>
        </w:rPr>
      </w:pPr>
      <w:r>
        <w:rPr>
          <w:rStyle w:val="13"/>
          <w:rFonts w:eastAsia="宋体"/>
        </w:rPr>
        <w:footnoteRef/>
      </w:r>
      <w:r>
        <w:rPr>
          <w:rFonts w:eastAsia="宋体"/>
        </w:rPr>
        <w:t xml:space="preserve"> </w:t>
      </w:r>
      <w:r>
        <w:rPr>
          <w:rFonts w:eastAsia="宋体"/>
          <w:color w:val="000000"/>
        </w:rPr>
        <w:t>见《联邦食品、药品和化妆品法案》，第513（i）（1）（D）（i）条。</w:t>
      </w:r>
    </w:p>
  </w:footnote>
  <w:footnote w:id="1">
    <w:p w14:paraId="67534D50">
      <w:pPr>
        <w:pStyle w:val="8"/>
        <w:rPr>
          <w:rFonts w:eastAsia="宋体"/>
        </w:rPr>
      </w:pPr>
      <w:r>
        <w:rPr>
          <w:rStyle w:val="13"/>
          <w:rFonts w:eastAsia="宋体"/>
        </w:rPr>
        <w:footnoteRef/>
      </w:r>
      <w:r>
        <w:rPr>
          <w:rFonts w:eastAsia="宋体"/>
        </w:rPr>
        <w:t xml:space="preserve"> </w:t>
      </w:r>
      <w:r>
        <w:rPr>
          <w:rFonts w:eastAsia="宋体"/>
          <w:color w:val="000000"/>
        </w:rPr>
        <w:t>见《联邦食品、药品和化妆品法案》，第513（a）（3）（D）（ii）条。</w:t>
      </w:r>
    </w:p>
  </w:footnote>
  <w:footnote w:id="2">
    <w:p w14:paraId="01C9D407">
      <w:pPr>
        <w:pStyle w:val="8"/>
        <w:rPr>
          <w:rFonts w:eastAsia="宋体"/>
        </w:rPr>
      </w:pPr>
      <w:r>
        <w:rPr>
          <w:rStyle w:val="13"/>
          <w:rFonts w:eastAsia="宋体"/>
        </w:rPr>
        <w:footnoteRef/>
      </w:r>
      <w:r>
        <w:rPr>
          <w:rFonts w:eastAsia="宋体"/>
        </w:rPr>
        <w:t xml:space="preserve"> </w:t>
      </w:r>
      <w:r>
        <w:rPr>
          <w:rFonts w:eastAsia="宋体"/>
          <w:color w:val="000000"/>
        </w:rPr>
        <w:t>见《联邦食品、药品和化妆品法案》，第515（c）（5）（A）。</w:t>
      </w:r>
    </w:p>
  </w:footnote>
  <w:footnote w:id="3">
    <w:p w14:paraId="36D7BB7A">
      <w:pPr>
        <w:pStyle w:val="8"/>
        <w:rPr>
          <w:rFonts w:eastAsia="宋体"/>
        </w:rPr>
      </w:pPr>
      <w:r>
        <w:rPr>
          <w:rStyle w:val="13"/>
          <w:rFonts w:eastAsia="宋体"/>
        </w:rPr>
        <w:footnoteRef/>
      </w:r>
      <w:r>
        <w:rPr>
          <w:rFonts w:eastAsia="宋体"/>
        </w:rPr>
        <w:t xml:space="preserve"> </w:t>
      </w:r>
      <w:r>
        <w:rPr>
          <w:rFonts w:eastAsia="宋体"/>
          <w:color w:val="000000"/>
        </w:rPr>
        <w:t>见《联邦食品、药品和化妆品法案》，第15（c）（5）（C）。</w:t>
      </w:r>
    </w:p>
  </w:footnote>
  <w:footnote w:id="4">
    <w:p w14:paraId="0D40143D">
      <w:pPr>
        <w:pStyle w:val="8"/>
        <w:rPr>
          <w:rFonts w:eastAsia="宋体"/>
        </w:rPr>
      </w:pPr>
      <w:r>
        <w:rPr>
          <w:rStyle w:val="13"/>
          <w:rFonts w:eastAsia="宋体"/>
        </w:rPr>
        <w:footnoteRef/>
      </w:r>
      <w:r>
        <w:rPr>
          <w:rFonts w:eastAsia="宋体"/>
        </w:rPr>
        <w:t xml:space="preserve"> </w:t>
      </w:r>
      <w:r>
        <w:rPr>
          <w:rFonts w:eastAsia="宋体"/>
          <w:color w:val="000000"/>
        </w:rPr>
        <w:t>见《联邦食品、药品和化妆品法案》，第513（i）（1）（D）（ii），513（a）（3）（D）（iii）和515（c）（5）（B）。</w:t>
      </w:r>
    </w:p>
  </w:footnote>
  <w:footnote w:id="5">
    <w:p w14:paraId="6E551544">
      <w:pPr>
        <w:pStyle w:val="8"/>
        <w:rPr>
          <w:rFonts w:eastAsia="宋体"/>
        </w:rPr>
      </w:pPr>
      <w:r>
        <w:rPr>
          <w:rStyle w:val="13"/>
          <w:rFonts w:eastAsia="宋体"/>
        </w:rPr>
        <w:footnoteRef/>
      </w:r>
      <w:r>
        <w:rPr>
          <w:rFonts w:eastAsia="宋体"/>
        </w:rPr>
        <w:t xml:space="preserve"> </w:t>
      </w:r>
      <w:r>
        <w:rPr>
          <w:rFonts w:eastAsia="宋体"/>
          <w:color w:val="000000"/>
        </w:rPr>
        <w:t>见《联邦食品、药品和化妆品法案》，第513（i）（1）（D）（iii），513（a）（3）（D）（iv）和515（c）（5）（D）。</w:t>
      </w:r>
    </w:p>
  </w:footnote>
  <w:footnote w:id="6">
    <w:p w14:paraId="511DB8E1">
      <w:pPr>
        <w:pStyle w:val="8"/>
        <w:rPr>
          <w:rFonts w:eastAsia="宋体"/>
        </w:rPr>
      </w:pPr>
      <w:r>
        <w:rPr>
          <w:rStyle w:val="13"/>
          <w:rFonts w:eastAsia="宋体"/>
        </w:rPr>
        <w:footnoteRef/>
      </w:r>
      <w:r>
        <w:rPr>
          <w:rFonts w:eastAsia="宋体"/>
        </w:rPr>
        <w:t xml:space="preserve"> </w:t>
      </w:r>
      <w:r>
        <w:rPr>
          <w:rFonts w:eastAsia="宋体"/>
          <w:color w:val="000000"/>
        </w:rPr>
        <w:t xml:space="preserve">见163 CONG.REC。S4729-S4736（每日 ed. 2017年8月2日）（美国食品药品监督管理局申请人付费再授权），另可登录以下网站： </w:t>
      </w:r>
      <w:r>
        <w:rPr>
          <w:rFonts w:eastAsia="宋体"/>
          <w:color w:val="0000FF"/>
          <w:u w:val="single"/>
        </w:rPr>
        <w:t>https://www.fda.gov/downloads/ForIndustry/UserFees/MedicalDeviceUserFee/UCM535548.pdf</w:t>
      </w:r>
      <w:r>
        <w:rPr>
          <w:rFonts w:eastAsia="宋体"/>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61D04">
    <w:pPr>
      <w:shd w:val="clear" w:color="auto" w:fill="FFFFFF"/>
      <w:snapToGrid w:val="0"/>
      <w:jc w:val="center"/>
      <w:rPr>
        <w:rFonts w:eastAsia="宋体"/>
        <w:sz w:val="21"/>
        <w:szCs w:val="21"/>
      </w:rPr>
    </w:pPr>
    <w:r>
      <w:rPr>
        <w:rFonts w:hint="eastAsia" w:eastAsia="宋体"/>
        <w:b/>
        <w:bCs/>
        <w:i/>
        <w:iCs/>
        <w:color w:val="000000"/>
        <w:sz w:val="21"/>
        <w:szCs w:val="21"/>
      </w:rPr>
      <w:t>所含建议</w:t>
    </w:r>
    <w:r>
      <w:rPr>
        <w:rFonts w:eastAsia="宋体"/>
        <w:b/>
        <w:bCs/>
        <w:i/>
        <w:iCs/>
        <w:color w:val="000000"/>
        <w:sz w:val="21"/>
        <w:szCs w:val="21"/>
      </w:rPr>
      <w:t>不具有约束力</w:t>
    </w:r>
  </w:p>
  <w:p w14:paraId="0044018B">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dit="readOnly"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14"/>
    <w:footnote w:id="15"/>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21316E"/>
    <w:rsid w:val="00034A11"/>
    <w:rsid w:val="0005273A"/>
    <w:rsid w:val="00085652"/>
    <w:rsid w:val="000A3625"/>
    <w:rsid w:val="000B0BE9"/>
    <w:rsid w:val="0021316E"/>
    <w:rsid w:val="00226611"/>
    <w:rsid w:val="0029521A"/>
    <w:rsid w:val="00297C6E"/>
    <w:rsid w:val="002F147A"/>
    <w:rsid w:val="002F3167"/>
    <w:rsid w:val="00370812"/>
    <w:rsid w:val="003971CA"/>
    <w:rsid w:val="003A0093"/>
    <w:rsid w:val="003F0D57"/>
    <w:rsid w:val="004C3B2C"/>
    <w:rsid w:val="004C78CD"/>
    <w:rsid w:val="004D16BA"/>
    <w:rsid w:val="004D1DA1"/>
    <w:rsid w:val="0050024C"/>
    <w:rsid w:val="00527CFD"/>
    <w:rsid w:val="005F08A5"/>
    <w:rsid w:val="00603560"/>
    <w:rsid w:val="00616C0B"/>
    <w:rsid w:val="006A3F2D"/>
    <w:rsid w:val="00737852"/>
    <w:rsid w:val="007570E5"/>
    <w:rsid w:val="007C6ED0"/>
    <w:rsid w:val="007D6763"/>
    <w:rsid w:val="00806805"/>
    <w:rsid w:val="00833D9D"/>
    <w:rsid w:val="008350A7"/>
    <w:rsid w:val="00844931"/>
    <w:rsid w:val="00863E09"/>
    <w:rsid w:val="00894FDD"/>
    <w:rsid w:val="00954F76"/>
    <w:rsid w:val="009A3D36"/>
    <w:rsid w:val="009B02FA"/>
    <w:rsid w:val="009C664C"/>
    <w:rsid w:val="009F6935"/>
    <w:rsid w:val="00AC72E0"/>
    <w:rsid w:val="00B138AC"/>
    <w:rsid w:val="00B51F38"/>
    <w:rsid w:val="00B62B7A"/>
    <w:rsid w:val="00C410E3"/>
    <w:rsid w:val="00C97CF8"/>
    <w:rsid w:val="00D171F6"/>
    <w:rsid w:val="00D85E36"/>
    <w:rsid w:val="00D93963"/>
    <w:rsid w:val="00DC797E"/>
    <w:rsid w:val="00E036A1"/>
    <w:rsid w:val="00E1142C"/>
    <w:rsid w:val="00E32143"/>
    <w:rsid w:val="00E514FC"/>
    <w:rsid w:val="00E96162"/>
    <w:rsid w:val="00EC1A57"/>
    <w:rsid w:val="00EC2120"/>
    <w:rsid w:val="00F06B03"/>
    <w:rsid w:val="00F13860"/>
    <w:rsid w:val="00F40050"/>
    <w:rsid w:val="00F62B45"/>
    <w:rsid w:val="00F67A72"/>
    <w:rsid w:val="00F92D38"/>
    <w:rsid w:val="00FB18D1"/>
    <w:rsid w:val="00FE007D"/>
    <w:rsid w:val="00FF5F41"/>
    <w:rsid w:val="4F6567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cs="Times New Roman" w:eastAsiaTheme="minorEastAsia"/>
      <w:kern w:val="0"/>
      <w:sz w:val="20"/>
      <w:szCs w:val="20"/>
      <w:lang w:val="en-US" w:eastAsia="zh-CN" w:bidi="ar-SA"/>
    </w:rPr>
  </w:style>
  <w:style w:type="paragraph" w:styleId="2">
    <w:name w:val="heading 1"/>
    <w:basedOn w:val="1"/>
    <w:next w:val="1"/>
    <w:link w:val="17"/>
    <w:qFormat/>
    <w:uiPriority w:val="9"/>
    <w:pPr>
      <w:tabs>
        <w:tab w:val="left" w:pos="630"/>
        <w:tab w:val="left" w:pos="1274"/>
      </w:tabs>
      <w:snapToGrid w:val="0"/>
      <w:spacing w:beforeLines="100" w:afterLines="100"/>
      <w:jc w:val="both"/>
      <w:outlineLvl w:val="0"/>
    </w:pPr>
    <w:rPr>
      <w:b/>
      <w:bCs/>
      <w:sz w:val="36"/>
      <w:szCs w:val="36"/>
    </w:rPr>
  </w:style>
  <w:style w:type="paragraph" w:styleId="3">
    <w:name w:val="heading 2"/>
    <w:basedOn w:val="1"/>
    <w:next w:val="1"/>
    <w:link w:val="19"/>
    <w:unhideWhenUsed/>
    <w:qFormat/>
    <w:uiPriority w:val="9"/>
    <w:pPr>
      <w:snapToGrid w:val="0"/>
      <w:spacing w:beforeLines="100" w:afterLines="100"/>
      <w:ind w:left="1096" w:leftChars="307" w:hanging="482"/>
      <w:jc w:val="both"/>
      <w:outlineLvl w:val="1"/>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tabs>
        <w:tab w:val="left" w:pos="993"/>
        <w:tab w:val="right" w:leader="dot" w:pos="9062"/>
      </w:tabs>
      <w:spacing w:beforeLines="50" w:afterLines="50"/>
    </w:pPr>
    <w:rPr>
      <w:rFonts w:eastAsia="宋体"/>
      <w:b/>
      <w:sz w:val="24"/>
    </w:rPr>
  </w:style>
  <w:style w:type="paragraph" w:styleId="8">
    <w:name w:val="footnote text"/>
    <w:basedOn w:val="1"/>
    <w:link w:val="18"/>
    <w:semiHidden/>
    <w:unhideWhenUsed/>
    <w:qFormat/>
    <w:uiPriority w:val="99"/>
    <w:pPr>
      <w:snapToGrid w:val="0"/>
    </w:pPr>
    <w:rPr>
      <w:sz w:val="18"/>
      <w:szCs w:val="18"/>
    </w:rPr>
  </w:style>
  <w:style w:type="paragraph" w:styleId="9">
    <w:name w:val="toc 2"/>
    <w:basedOn w:val="1"/>
    <w:next w:val="1"/>
    <w:autoRedefine/>
    <w:unhideWhenUsed/>
    <w:qFormat/>
    <w:uiPriority w:val="39"/>
    <w:pPr>
      <w:tabs>
        <w:tab w:val="left" w:pos="993"/>
        <w:tab w:val="right" w:leader="dot" w:pos="9062"/>
      </w:tabs>
      <w:ind w:left="142" w:leftChars="71"/>
    </w:pPr>
    <w:rPr>
      <w:rFonts w:eastAsia="宋体"/>
      <w:sz w:val="21"/>
    </w:rPr>
  </w:style>
  <w:style w:type="character" w:styleId="12">
    <w:name w:val="Hyperlink"/>
    <w:basedOn w:val="11"/>
    <w:unhideWhenUsed/>
    <w:qFormat/>
    <w:uiPriority w:val="99"/>
    <w:rPr>
      <w:color w:val="0563C1" w:themeColor="hyperlink"/>
      <w:u w:val="single"/>
    </w:rPr>
  </w:style>
  <w:style w:type="character" w:styleId="13">
    <w:name w:val="footnote reference"/>
    <w:basedOn w:val="11"/>
    <w:semiHidden/>
    <w:unhideWhenUsed/>
    <w:qFormat/>
    <w:uiPriority w:val="99"/>
    <w:rPr>
      <w:vertAlign w:val="superscript"/>
    </w:rPr>
  </w:style>
  <w:style w:type="character" w:customStyle="1" w:styleId="14">
    <w:name w:val="页眉 字符"/>
    <w:basedOn w:val="11"/>
    <w:link w:val="6"/>
    <w:qFormat/>
    <w:uiPriority w:val="99"/>
    <w:rPr>
      <w:rFonts w:ascii="Times New Roman" w:hAnsi="Times New Roman" w:cs="Times New Roman"/>
      <w:kern w:val="0"/>
      <w:sz w:val="18"/>
      <w:szCs w:val="18"/>
    </w:rPr>
  </w:style>
  <w:style w:type="character" w:customStyle="1" w:styleId="15">
    <w:name w:val="页脚 字符"/>
    <w:basedOn w:val="11"/>
    <w:link w:val="5"/>
    <w:qFormat/>
    <w:uiPriority w:val="99"/>
    <w:rPr>
      <w:rFonts w:ascii="Times New Roman" w:hAnsi="Times New Roman" w:cs="Times New Roman"/>
      <w:kern w:val="0"/>
      <w:sz w:val="18"/>
      <w:szCs w:val="18"/>
    </w:rPr>
  </w:style>
  <w:style w:type="paragraph" w:customStyle="1" w:styleId="16">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7">
    <w:name w:val="标题 1 字符"/>
    <w:basedOn w:val="11"/>
    <w:link w:val="2"/>
    <w:qFormat/>
    <w:uiPriority w:val="9"/>
    <w:rPr>
      <w:rFonts w:ascii="Times New Roman" w:hAnsi="Times New Roman" w:cs="Times New Roman"/>
      <w:b/>
      <w:bCs/>
      <w:kern w:val="0"/>
      <w:sz w:val="36"/>
      <w:szCs w:val="36"/>
    </w:rPr>
  </w:style>
  <w:style w:type="character" w:customStyle="1" w:styleId="18">
    <w:name w:val="脚注文本 字符"/>
    <w:basedOn w:val="11"/>
    <w:link w:val="8"/>
    <w:semiHidden/>
    <w:qFormat/>
    <w:uiPriority w:val="99"/>
    <w:rPr>
      <w:rFonts w:ascii="Times New Roman" w:hAnsi="Times New Roman" w:cs="Times New Roman"/>
      <w:kern w:val="0"/>
      <w:sz w:val="18"/>
      <w:szCs w:val="18"/>
    </w:rPr>
  </w:style>
  <w:style w:type="character" w:customStyle="1" w:styleId="19">
    <w:name w:val="标题 2 字符"/>
    <w:basedOn w:val="11"/>
    <w:link w:val="3"/>
    <w:qFormat/>
    <w:uiPriority w:val="9"/>
    <w:rPr>
      <w:rFonts w:ascii="Times New Roman" w:hAnsi="Times New Roman" w:cs="Times New Roman"/>
      <w:b/>
      <w:bCs/>
      <w:kern w:val="0"/>
      <w:sz w:val="32"/>
      <w:szCs w:val="32"/>
    </w:rPr>
  </w:style>
  <w:style w:type="character" w:customStyle="1" w:styleId="20">
    <w:name w:val="批注框文本 字符"/>
    <w:basedOn w:val="11"/>
    <w:link w:val="4"/>
    <w:semiHidden/>
    <w:qFormat/>
    <w:uiPriority w:val="99"/>
    <w:rPr>
      <w:rFonts w:ascii="Times New Roman" w:hAnsi="Times New Roman" w:cs="Times New Roman"/>
      <w:kern w:val="0"/>
      <w:sz w:val="18"/>
      <w:szCs w:val="18"/>
    </w:rPr>
  </w:style>
  <w:style w:type="character" w:customStyle="1" w:styleId="21">
    <w:name w:val="未处理的提及1"/>
    <w:basedOn w:val="11"/>
    <w:semiHidden/>
    <w:unhideWhenUsed/>
    <w:qFormat/>
    <w:uiPriority w:val="99"/>
    <w:rPr>
      <w:color w:val="605E5C"/>
      <w:shd w:val="clear" w:color="auto" w:fill="E1DFDD"/>
    </w:rPr>
  </w:style>
  <w:style w:type="paragraph" w:customStyle="1" w:styleId="22">
    <w:name w:val="Revision"/>
    <w:hidden/>
    <w:semiHidden/>
    <w:qFormat/>
    <w:uiPriority w:val="99"/>
    <w:rPr>
      <w:rFonts w:ascii="Times New Roman" w:hAnsi="Times New Roman" w:cs="Times New Roman" w:eastAsiaTheme="minorEastAsia"/>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4909A-12AE-49D9-9AD3-D0E6F5DC8CBD}">
  <ds:schemaRefs/>
</ds:datastoreItem>
</file>

<file path=docProps/app.xml><?xml version="1.0" encoding="utf-8"?>
<Properties xmlns="http://schemas.openxmlformats.org/officeDocument/2006/extended-properties" xmlns:vt="http://schemas.openxmlformats.org/officeDocument/2006/docPropsVTypes">
  <Template>Normal</Template>
  <Pages>19</Pages>
  <Words>10352</Words>
  <Characters>12954</Characters>
  <Lines>101</Lines>
  <Paragraphs>28</Paragraphs>
  <TotalTime>408</TotalTime>
  <ScaleCrop>false</ScaleCrop>
  <LinksUpToDate>false</LinksUpToDate>
  <CharactersWithSpaces>13136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2021-11-14T05:52:00Z</dcterms:created>
  <dc:creator>CDRH</dc:creator>
  <cp:lastModifiedBy>太极箫客</cp:lastModifiedBy>
  <dcterms:modified xsi:type="dcterms:W3CDTF">2025-08-14T06:59:21Z</dcterms:modified>
  <dc:title>Developing and Responding to Deficiencies in Accordance with the Least Burdensome Provisions - Guidance for Industry and Food and Drug Administration Staff</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2307E2BB4DC14079A24A5189B46E81CA_12</vt:lpwstr>
  </property>
</Properties>
</file>