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1C194">
      <w:pPr>
        <w:pBdr>
          <w:bottom w:val="single" w:color="auto" w:sz="4" w:space="1"/>
        </w:pBdr>
        <w:snapToGrid w:val="0"/>
        <w:spacing w:after="0" w:line="240" w:lineRule="auto"/>
        <w:jc w:val="center"/>
        <w:rPr>
          <w:b/>
          <w:sz w:val="44"/>
          <w:lang w:eastAsia="zh-CN"/>
        </w:rPr>
      </w:pPr>
      <w:bookmarkStart w:id="56" w:name="_GoBack"/>
      <w:bookmarkEnd w:id="56"/>
      <w:r>
        <w:rPr>
          <w:b/>
          <w:sz w:val="44"/>
          <w:lang w:eastAsia="zh-CN"/>
        </w:rPr>
        <w:t>根据《联邦食品、药品和化妆品法案》第522</w:t>
      </w:r>
      <w:r>
        <w:rPr>
          <w:rFonts w:hint="eastAsia"/>
          <w:b/>
          <w:sz w:val="44"/>
          <w:lang w:eastAsia="zh-CN"/>
        </w:rPr>
        <w:t>节进行的上市后监督</w:t>
      </w:r>
    </w:p>
    <w:p w14:paraId="339E1E12">
      <w:pPr>
        <w:snapToGrid w:val="0"/>
        <w:spacing w:after="0" w:line="240" w:lineRule="auto"/>
        <w:jc w:val="center"/>
        <w:rPr>
          <w:sz w:val="44"/>
          <w:lang w:eastAsia="zh-CN"/>
        </w:rPr>
      </w:pPr>
      <w:r>
        <w:rPr>
          <w:rFonts w:hint="eastAsia"/>
          <w:b/>
          <w:sz w:val="44"/>
          <w:lang w:eastAsia="zh-CN"/>
        </w:rPr>
        <w:t>面向行业和美国食品药品监督管理局工作人员的指南草案</w:t>
      </w:r>
    </w:p>
    <w:p w14:paraId="4726742C">
      <w:pPr>
        <w:snapToGrid w:val="0"/>
        <w:spacing w:after="0" w:line="240" w:lineRule="auto"/>
        <w:jc w:val="center"/>
        <w:rPr>
          <w:b/>
          <w:i/>
          <w:snapToGrid w:val="0"/>
          <w:sz w:val="28"/>
          <w:lang w:eastAsia="zh-CN"/>
        </w:rPr>
      </w:pPr>
    </w:p>
    <w:p w14:paraId="791E84C8">
      <w:pPr>
        <w:snapToGrid w:val="0"/>
        <w:spacing w:after="0" w:line="240" w:lineRule="auto"/>
        <w:jc w:val="center"/>
        <w:rPr>
          <w:b/>
          <w:i/>
          <w:sz w:val="28"/>
          <w:lang w:eastAsia="zh-CN"/>
        </w:rPr>
      </w:pPr>
      <w:r>
        <w:rPr>
          <w:rFonts w:hint="eastAsia"/>
          <w:b/>
          <w:i/>
          <w:sz w:val="28"/>
          <w:lang w:eastAsia="zh-CN"/>
        </w:rPr>
        <w:t>指南草案</w:t>
      </w:r>
    </w:p>
    <w:p w14:paraId="77B7BE26">
      <w:pPr>
        <w:snapToGrid w:val="0"/>
        <w:spacing w:after="0" w:line="240" w:lineRule="auto"/>
        <w:jc w:val="center"/>
        <w:rPr>
          <w:b/>
          <w:bCs/>
          <w:i/>
          <w:snapToGrid w:val="0"/>
          <w:sz w:val="28"/>
          <w:szCs w:val="24"/>
          <w:lang w:eastAsia="zh-CN"/>
        </w:rPr>
      </w:pPr>
    </w:p>
    <w:p w14:paraId="441B7D97">
      <w:pPr>
        <w:snapToGrid w:val="0"/>
        <w:spacing w:after="0" w:line="240" w:lineRule="auto"/>
        <w:jc w:val="center"/>
        <w:rPr>
          <w:b/>
          <w:lang w:eastAsia="zh-CN"/>
        </w:rPr>
      </w:pPr>
      <w:r>
        <w:rPr>
          <w:b/>
          <w:lang w:eastAsia="zh-CN"/>
        </w:rPr>
        <w:t>本指南草案仅供征求意见</w:t>
      </w:r>
    </w:p>
    <w:p w14:paraId="6ED1B681">
      <w:pPr>
        <w:snapToGrid w:val="0"/>
        <w:spacing w:after="0" w:line="240" w:lineRule="auto"/>
        <w:jc w:val="center"/>
        <w:rPr>
          <w:b/>
          <w:bCs/>
          <w:snapToGrid w:val="0"/>
          <w:szCs w:val="24"/>
          <w:lang w:eastAsia="zh-CN"/>
        </w:rPr>
      </w:pPr>
    </w:p>
    <w:p w14:paraId="6A0A721E">
      <w:pPr>
        <w:snapToGrid w:val="0"/>
        <w:spacing w:after="0" w:line="240" w:lineRule="auto"/>
        <w:jc w:val="center"/>
        <w:rPr>
          <w:b/>
          <w:lang w:eastAsia="zh-CN"/>
        </w:rPr>
      </w:pPr>
      <w:r>
        <w:rPr>
          <w:b/>
          <w:lang w:eastAsia="zh-CN"/>
        </w:rPr>
        <w:t>文件发布日期：2021</w:t>
      </w:r>
      <w:r>
        <w:rPr>
          <w:rFonts w:hint="eastAsia"/>
          <w:b/>
          <w:lang w:eastAsia="zh-CN"/>
        </w:rPr>
        <w:t>年</w:t>
      </w:r>
      <w:r>
        <w:rPr>
          <w:b/>
          <w:lang w:eastAsia="zh-CN"/>
        </w:rPr>
        <w:t>5</w:t>
      </w:r>
      <w:r>
        <w:rPr>
          <w:rFonts w:hint="eastAsia"/>
          <w:b/>
          <w:lang w:eastAsia="zh-CN"/>
        </w:rPr>
        <w:t>月</w:t>
      </w:r>
      <w:r>
        <w:rPr>
          <w:b/>
          <w:lang w:eastAsia="zh-CN"/>
        </w:rPr>
        <w:t>27</w:t>
      </w:r>
      <w:r>
        <w:rPr>
          <w:rFonts w:hint="eastAsia"/>
          <w:b/>
          <w:lang w:eastAsia="zh-CN"/>
        </w:rPr>
        <w:t>日</w:t>
      </w:r>
    </w:p>
    <w:p w14:paraId="1DC1BEBA">
      <w:pPr>
        <w:snapToGrid w:val="0"/>
        <w:spacing w:after="0" w:line="240" w:lineRule="auto"/>
        <w:jc w:val="center"/>
        <w:rPr>
          <w:snapToGrid w:val="0"/>
          <w:szCs w:val="24"/>
          <w:lang w:eastAsia="zh-CN"/>
        </w:rPr>
      </w:pPr>
    </w:p>
    <w:p w14:paraId="376E8AE8">
      <w:pPr>
        <w:snapToGrid w:val="0"/>
        <w:spacing w:after="0" w:line="240" w:lineRule="auto"/>
        <w:ind w:firstLine="480" w:firstLineChars="200"/>
        <w:jc w:val="both"/>
        <w:rPr>
          <w:snapToGrid w:val="0"/>
          <w:lang w:eastAsia="zh-CN"/>
        </w:rPr>
      </w:pPr>
      <w:r>
        <w:rPr>
          <w:snapToGrid w:val="0"/>
          <w:lang w:eastAsia="zh-CN"/>
        </w:rPr>
        <w:t>关于本草案的建议和意见请在</w:t>
      </w:r>
      <w:r>
        <w:t>《联邦公报》刊登</w:t>
      </w:r>
      <w:r>
        <w:rPr>
          <w:snapToGrid w:val="0"/>
          <w:lang w:eastAsia="zh-CN"/>
        </w:rPr>
        <w:t>关于指导原则</w:t>
      </w:r>
      <w:r>
        <w:t>草案</w:t>
      </w:r>
      <w:r>
        <w:rPr>
          <w:snapToGrid w:val="0"/>
          <w:lang w:eastAsia="zh-CN"/>
        </w:rPr>
        <w:t>有效性</w:t>
      </w:r>
      <w:r>
        <w:t>的</w:t>
      </w:r>
      <w:r>
        <w:rPr>
          <w:snapToGrid w:val="0"/>
          <w:lang w:eastAsia="zh-CN"/>
        </w:rPr>
        <w:t>通知后60天内</w:t>
      </w:r>
      <w:r>
        <w:t>提交</w:t>
      </w:r>
      <w:r>
        <w:rPr>
          <w:snapToGrid w:val="0"/>
          <w:lang w:eastAsia="zh-CN"/>
        </w:rPr>
        <w:t>，以电子形式</w:t>
      </w:r>
      <w:r>
        <w:t>提交至</w:t>
      </w:r>
      <w:r>
        <w:rPr>
          <w:snapToGrid w:val="0"/>
          <w:lang w:eastAsia="zh-CN"/>
        </w:rPr>
        <w:t>下述网站</w:t>
      </w:r>
      <w:r>
        <w:fldChar w:fldCharType="begin"/>
      </w:r>
      <w:r>
        <w:instrText xml:space="preserve"> HYPERLINK "https://www.regulations.gov/" \h </w:instrText>
      </w:r>
      <w:r>
        <w:fldChar w:fldCharType="separate"/>
      </w:r>
      <w:r>
        <w:rPr>
          <w:color w:val="0000FF"/>
          <w:u w:val="single"/>
        </w:rPr>
        <w:t>https://www.regulations.gov</w:t>
      </w:r>
      <w:r>
        <w:rPr>
          <w:color w:val="0000FF"/>
          <w:u w:val="single"/>
        </w:rPr>
        <w:fldChar w:fldCharType="end"/>
      </w:r>
      <w:r>
        <w:t>。</w:t>
      </w:r>
      <w:r>
        <w:rPr>
          <w:snapToGrid w:val="0"/>
          <w:lang w:eastAsia="zh-CN"/>
        </w:rPr>
        <w:t>此外，公众</w:t>
      </w:r>
      <w:r>
        <w:rPr>
          <w:snapToGrid w:val="0"/>
          <w:color w:val="000000"/>
          <w:lang w:eastAsia="zh-CN"/>
        </w:rPr>
        <w:t>可以</w:t>
      </w:r>
      <w:r>
        <w:rPr>
          <w:rFonts w:hint="eastAsia"/>
          <w:snapToGrid w:val="0"/>
          <w:color w:val="000000"/>
          <w:lang w:eastAsia="zh-CN"/>
        </w:rPr>
        <w:t>将</w:t>
      </w:r>
      <w:r>
        <w:rPr>
          <w:snapToGrid w:val="0"/>
          <w:color w:val="000000"/>
          <w:lang w:eastAsia="zh-CN"/>
        </w:rPr>
        <w:t>纸质版意见提交至</w:t>
      </w:r>
      <w:r>
        <w:rPr>
          <w:color w:val="000000"/>
          <w:lang w:eastAsia="zh-CN"/>
        </w:rPr>
        <w:t>美国食品药品监督管理局</w:t>
      </w:r>
      <w:r>
        <w:rPr>
          <w:rFonts w:hint="eastAsia"/>
          <w:color w:val="000000"/>
          <w:lang w:eastAsia="zh-CN"/>
        </w:rPr>
        <w:t>备案文件管理部，地址：</w:t>
      </w:r>
      <w:r>
        <w:rPr>
          <w:color w:val="000000"/>
          <w:lang w:eastAsia="zh-CN"/>
        </w:rPr>
        <w:t>5630 Fishers Lane,</w:t>
      </w:r>
      <w:r>
        <w:rPr>
          <w:snapToGrid w:val="0"/>
          <w:color w:val="000000"/>
          <w:lang w:eastAsia="zh-CN"/>
        </w:rPr>
        <w:t>Rm. 1061</w:t>
      </w:r>
      <w:r>
        <w:rPr>
          <w:color w:val="000000"/>
          <w:lang w:eastAsia="zh-CN"/>
        </w:rPr>
        <w:t>,Rockville, MD 20852</w:t>
      </w:r>
      <w:r>
        <w:rPr>
          <w:rFonts w:hint="eastAsia"/>
          <w:color w:val="000000"/>
          <w:lang w:eastAsia="zh-CN"/>
        </w:rPr>
        <w:t>。</w:t>
      </w:r>
      <w:r>
        <w:rPr>
          <w:snapToGrid w:val="0"/>
          <w:lang w:eastAsia="zh-CN"/>
        </w:rPr>
        <w:t>所有建议均应标明</w:t>
      </w:r>
      <w:r>
        <w:rPr>
          <w:lang w:eastAsia="zh-CN"/>
        </w:rPr>
        <w:t>《联邦公报》</w:t>
      </w:r>
      <w:r>
        <w:rPr>
          <w:snapToGrid w:val="0"/>
          <w:lang w:eastAsia="zh-CN"/>
        </w:rPr>
        <w:t>刊登</w:t>
      </w:r>
      <w:r>
        <w:rPr>
          <w:lang w:eastAsia="zh-CN"/>
        </w:rPr>
        <w:t>的</w:t>
      </w:r>
      <w:r>
        <w:rPr>
          <w:snapToGrid w:val="0"/>
          <w:lang w:eastAsia="zh-CN"/>
        </w:rPr>
        <w:t>有效性</w:t>
      </w:r>
      <w:r>
        <w:rPr>
          <w:lang w:eastAsia="zh-CN"/>
        </w:rPr>
        <w:t>通知中</w:t>
      </w:r>
      <w:r>
        <w:rPr>
          <w:snapToGrid w:val="0"/>
          <w:lang w:eastAsia="zh-CN"/>
        </w:rPr>
        <w:t>列出</w:t>
      </w:r>
      <w:r>
        <w:rPr>
          <w:lang w:eastAsia="zh-CN"/>
        </w:rPr>
        <w:t>的备案编号。</w:t>
      </w:r>
    </w:p>
    <w:p w14:paraId="6369F196">
      <w:pPr>
        <w:snapToGrid w:val="0"/>
        <w:spacing w:after="0" w:line="240" w:lineRule="auto"/>
        <w:ind w:firstLine="480" w:firstLineChars="200"/>
        <w:jc w:val="both"/>
        <w:rPr>
          <w:lang w:eastAsia="zh-CN"/>
        </w:rPr>
      </w:pPr>
    </w:p>
    <w:p w14:paraId="3B2B54B4">
      <w:pPr>
        <w:snapToGrid w:val="0"/>
        <w:spacing w:after="0" w:line="240" w:lineRule="auto"/>
        <w:ind w:firstLine="480" w:firstLineChars="200"/>
        <w:jc w:val="both"/>
        <w:rPr>
          <w:color w:val="000000"/>
          <w:lang w:eastAsia="zh-CN"/>
        </w:rPr>
      </w:pPr>
      <w:r>
        <w:rPr>
          <w:lang w:eastAsia="zh-CN"/>
        </w:rPr>
        <w:t>如对本文件有任何疑问，请发送电子邮件至</w:t>
      </w:r>
      <w:r>
        <w:fldChar w:fldCharType="begin"/>
      </w:r>
      <w:r>
        <w:rPr>
          <w:lang w:eastAsia="zh-CN"/>
        </w:rPr>
        <w:instrText xml:space="preserve"> HYPERLINK "mailto:MandatedStudiesPrograms@fda.hhs.gov" \h </w:instrText>
      </w:r>
      <w:r>
        <w:fldChar w:fldCharType="separate"/>
      </w:r>
      <w:r>
        <w:rPr>
          <w:color w:val="0000FF"/>
          <w:u w:val="single"/>
          <w:lang w:eastAsia="zh-CN"/>
        </w:rPr>
        <w:t>MandatedStudiesPrograms@fda.hhs.gov</w:t>
      </w:r>
      <w:r>
        <w:rPr>
          <w:color w:val="0000FF"/>
          <w:u w:val="single"/>
        </w:rPr>
        <w:fldChar w:fldCharType="end"/>
      </w:r>
      <w:r>
        <w:rPr>
          <w:lang w:eastAsia="zh-CN"/>
        </w:rPr>
        <w:t>联系产品评价与质量办公室（OPEQ</w:t>
      </w:r>
      <w:r>
        <w:rPr>
          <w:rFonts w:hint="eastAsia"/>
          <w:lang w:eastAsia="zh-CN"/>
        </w:rPr>
        <w:t>）、临床证据和分析办公室（</w:t>
      </w:r>
      <w:r>
        <w:rPr>
          <w:lang w:eastAsia="zh-CN"/>
        </w:rPr>
        <w:t>OCEA</w:t>
      </w:r>
      <w:r>
        <w:rPr>
          <w:rFonts w:hint="eastAsia"/>
          <w:lang w:eastAsia="zh-CN"/>
        </w:rPr>
        <w:t>）或临床科学和质量部。</w:t>
      </w:r>
    </w:p>
    <w:p w14:paraId="2C3D1681">
      <w:pPr>
        <w:snapToGrid w:val="0"/>
        <w:spacing w:after="0" w:line="240" w:lineRule="auto"/>
        <w:jc w:val="both"/>
        <w:rPr>
          <w:lang w:eastAsia="zh-CN"/>
        </w:rPr>
      </w:pPr>
    </w:p>
    <w:p w14:paraId="09754400">
      <w:pPr>
        <w:snapToGrid w:val="0"/>
        <w:spacing w:after="0" w:line="240" w:lineRule="auto"/>
        <w:jc w:val="center"/>
        <w:rPr>
          <w:sz w:val="28"/>
          <w:lang w:eastAsia="zh-CN"/>
        </w:rPr>
      </w:pPr>
      <w:r>
        <w:rPr>
          <w:rFonts w:hint="eastAsia"/>
          <w:b/>
          <w:sz w:val="28"/>
          <w:lang w:eastAsia="zh-CN"/>
        </w:rPr>
        <w:t>本指南最终定稿后将取代</w:t>
      </w:r>
      <w:r>
        <w:rPr>
          <w:b/>
          <w:sz w:val="28"/>
          <w:lang w:eastAsia="zh-CN"/>
        </w:rPr>
        <w:t>2016</w:t>
      </w:r>
      <w:r>
        <w:rPr>
          <w:rFonts w:hint="eastAsia"/>
          <w:b/>
          <w:sz w:val="28"/>
          <w:lang w:eastAsia="zh-CN"/>
        </w:rPr>
        <w:t>年</w:t>
      </w:r>
      <w:r>
        <w:rPr>
          <w:b/>
          <w:sz w:val="28"/>
          <w:lang w:eastAsia="zh-CN"/>
        </w:rPr>
        <w:t>5</w:t>
      </w:r>
      <w:r>
        <w:rPr>
          <w:rFonts w:hint="eastAsia"/>
          <w:b/>
          <w:sz w:val="28"/>
          <w:lang w:eastAsia="zh-CN"/>
        </w:rPr>
        <w:t>月</w:t>
      </w:r>
      <w:r>
        <w:rPr>
          <w:b/>
          <w:sz w:val="28"/>
          <w:lang w:eastAsia="zh-CN"/>
        </w:rPr>
        <w:t>16</w:t>
      </w:r>
      <w:r>
        <w:rPr>
          <w:rFonts w:hint="eastAsia"/>
          <w:b/>
          <w:sz w:val="28"/>
          <w:lang w:eastAsia="zh-CN"/>
        </w:rPr>
        <w:t>日发布的</w:t>
      </w:r>
      <w:r>
        <w:rPr>
          <w:rFonts w:ascii="宋体" w:hAnsi="宋体"/>
          <w:b/>
          <w:sz w:val="28"/>
          <w:lang w:eastAsia="zh-CN"/>
        </w:rPr>
        <w:t>“</w:t>
      </w:r>
      <w:r>
        <w:rPr>
          <w:rFonts w:hint="eastAsia"/>
          <w:b/>
          <w:sz w:val="28"/>
          <w:lang w:eastAsia="zh-CN"/>
        </w:rPr>
        <w:t>根据《联邦食品、药品和化妆品法案》第</w:t>
      </w:r>
      <w:r>
        <w:rPr>
          <w:b/>
          <w:sz w:val="28"/>
          <w:lang w:eastAsia="zh-CN"/>
        </w:rPr>
        <w:t>522</w:t>
      </w:r>
      <w:r>
        <w:rPr>
          <w:rFonts w:hint="eastAsia"/>
          <w:b/>
          <w:sz w:val="28"/>
          <w:lang w:eastAsia="zh-CN"/>
        </w:rPr>
        <w:t>节进行的上市后监督</w:t>
      </w:r>
      <w:r>
        <w:rPr>
          <w:rFonts w:ascii="宋体" w:hAnsi="宋体"/>
          <w:b/>
          <w:sz w:val="28"/>
          <w:lang w:eastAsia="zh-CN"/>
        </w:rPr>
        <w:t>”</w:t>
      </w:r>
      <w:r>
        <w:rPr>
          <w:rFonts w:hint="eastAsia"/>
          <w:b/>
          <w:sz w:val="28"/>
          <w:lang w:eastAsia="zh-CN"/>
        </w:rPr>
        <w:t>。</w:t>
      </w:r>
    </w:p>
    <w:p w14:paraId="0E5662C4">
      <w:pPr>
        <w:tabs>
          <w:tab w:val="left" w:pos="6330"/>
        </w:tabs>
        <w:snapToGrid w:val="0"/>
        <w:spacing w:after="0" w:line="240" w:lineRule="auto"/>
        <w:jc w:val="both"/>
        <w:rPr>
          <w:lang w:eastAsia="zh-CN"/>
        </w:rPr>
      </w:pPr>
    </w:p>
    <w:p w14:paraId="148183AB">
      <w:pPr>
        <w:snapToGrid w:val="0"/>
        <w:spacing w:after="0" w:line="240" w:lineRule="auto"/>
        <w:jc w:val="both"/>
        <w:rPr>
          <w:lang w:eastAsia="zh-CN"/>
        </w:rPr>
      </w:pPr>
    </w:p>
    <w:tbl>
      <w:tblPr>
        <w:tblStyle w:val="13"/>
        <w:tblW w:w="0" w:type="auto"/>
        <w:tblInd w:w="0" w:type="dxa"/>
        <w:tblLayout w:type="autofit"/>
        <w:tblCellMar>
          <w:top w:w="0" w:type="dxa"/>
          <w:left w:w="57" w:type="dxa"/>
          <w:bottom w:w="0" w:type="dxa"/>
          <w:right w:w="57" w:type="dxa"/>
        </w:tblCellMar>
      </w:tblPr>
      <w:tblGrid>
        <w:gridCol w:w="4647"/>
        <w:gridCol w:w="4644"/>
      </w:tblGrid>
      <w:tr w14:paraId="5A0D82C0">
        <w:tblPrEx>
          <w:tblCellMar>
            <w:top w:w="0" w:type="dxa"/>
            <w:left w:w="57" w:type="dxa"/>
            <w:bottom w:w="0" w:type="dxa"/>
            <w:right w:w="57" w:type="dxa"/>
          </w:tblCellMar>
        </w:tblPrEx>
        <w:tc>
          <w:tcPr>
            <w:tcW w:w="4643" w:type="dxa"/>
          </w:tcPr>
          <w:p w14:paraId="6B8EEC33">
            <w:pPr>
              <w:snapToGrid w:val="0"/>
              <w:spacing w:after="0" w:line="240" w:lineRule="auto"/>
              <w:jc w:val="both"/>
              <w:rPr>
                <w:b/>
              </w:rPr>
            </w:pPr>
            <w:r>
              <w:rPr>
                <w:snapToGrid w:val="0"/>
                <w:lang w:eastAsia="zh-CN"/>
              </w:rPr>
              <w:pict>
                <v:shape id="_x0000_i1025" o:spt="75" type="#_x0000_t75" style="height:65.75pt;width:226.65pt;" filled="f" o:preferrelative="t" stroked="f" coordsize="21600,21600">
                  <v:path/>
                  <v:fill on="f" focussize="0,0"/>
                  <v:stroke on="f" joinstyle="miter"/>
                  <v:imagedata r:id="rId12" o:title=""/>
                  <o:lock v:ext="edit" aspectratio="t"/>
                  <w10:wrap type="none"/>
                  <w10:anchorlock/>
                </v:shape>
              </w:pict>
            </w:r>
          </w:p>
        </w:tc>
        <w:tc>
          <w:tcPr>
            <w:tcW w:w="4644" w:type="dxa"/>
          </w:tcPr>
          <w:p w14:paraId="3E192B5B">
            <w:pPr>
              <w:snapToGrid w:val="0"/>
              <w:spacing w:after="0" w:line="240" w:lineRule="auto"/>
              <w:jc w:val="right"/>
              <w:rPr>
                <w:b/>
                <w:sz w:val="21"/>
                <w:lang w:eastAsia="zh-CN"/>
              </w:rPr>
            </w:pPr>
            <w:r>
              <w:rPr>
                <w:rFonts w:hint="eastAsia"/>
                <w:b/>
                <w:sz w:val="21"/>
                <w:lang w:eastAsia="zh-CN"/>
              </w:rPr>
              <w:t>美国卫生与</w:t>
            </w:r>
            <w:r>
              <w:rPr>
                <w:rFonts w:hint="eastAsia"/>
                <w:b/>
                <w:snapToGrid w:val="0"/>
                <w:sz w:val="21"/>
                <w:lang w:eastAsia="zh-CN"/>
              </w:rPr>
              <w:t>公共</w:t>
            </w:r>
            <w:r>
              <w:rPr>
                <w:b/>
                <w:sz w:val="21"/>
                <w:lang w:eastAsia="zh-CN"/>
              </w:rPr>
              <w:t>服务部</w:t>
            </w:r>
          </w:p>
          <w:p w14:paraId="5125103B">
            <w:pPr>
              <w:snapToGrid w:val="0"/>
              <w:spacing w:after="0" w:line="240" w:lineRule="auto"/>
              <w:jc w:val="right"/>
              <w:rPr>
                <w:b/>
                <w:bCs/>
                <w:snapToGrid w:val="0"/>
                <w:sz w:val="21"/>
                <w:lang w:eastAsia="zh-CN"/>
              </w:rPr>
            </w:pPr>
            <w:r>
              <w:rPr>
                <w:b/>
                <w:snapToGrid w:val="0"/>
                <w:sz w:val="21"/>
                <w:lang w:eastAsia="zh-CN"/>
              </w:rPr>
              <w:t>美国食品药品监督管理局</w:t>
            </w:r>
          </w:p>
          <w:p w14:paraId="45C3CE09">
            <w:pPr>
              <w:snapToGrid w:val="0"/>
              <w:spacing w:after="0" w:line="240" w:lineRule="auto"/>
              <w:jc w:val="right"/>
              <w:rPr>
                <w:b/>
                <w:sz w:val="21"/>
                <w:lang w:eastAsia="zh-CN"/>
              </w:rPr>
            </w:pPr>
            <w:r>
              <w:rPr>
                <w:b/>
                <w:snapToGrid w:val="0"/>
                <w:sz w:val="21"/>
                <w:lang w:eastAsia="zh-CN"/>
              </w:rPr>
              <w:t>医疗</w:t>
            </w:r>
            <w:r>
              <w:rPr>
                <w:b/>
                <w:sz w:val="21"/>
                <w:lang w:eastAsia="zh-CN"/>
              </w:rPr>
              <w:t>器械和</w:t>
            </w:r>
            <w:r>
              <w:rPr>
                <w:b/>
                <w:snapToGrid w:val="0"/>
                <w:sz w:val="21"/>
                <w:lang w:eastAsia="zh-CN"/>
              </w:rPr>
              <w:t>辐射健康</w:t>
            </w:r>
            <w:r>
              <w:rPr>
                <w:b/>
                <w:sz w:val="21"/>
                <w:lang w:eastAsia="zh-CN"/>
              </w:rPr>
              <w:t>中心</w:t>
            </w:r>
          </w:p>
        </w:tc>
      </w:tr>
    </w:tbl>
    <w:p w14:paraId="2701DDA5">
      <w:pPr>
        <w:snapToGrid w:val="0"/>
        <w:spacing w:after="0" w:line="240" w:lineRule="auto"/>
        <w:jc w:val="both"/>
        <w:rPr>
          <w:b/>
          <w:lang w:eastAsia="zh-CN"/>
        </w:rPr>
      </w:pPr>
      <w:r>
        <w:rPr>
          <w:b/>
          <w:lang w:eastAsia="zh-CN"/>
        </w:rPr>
        <w:br w:type="page"/>
      </w:r>
    </w:p>
    <w:p w14:paraId="3CEE6794">
      <w:pPr>
        <w:snapToGrid w:val="0"/>
        <w:spacing w:after="0" w:line="240" w:lineRule="auto"/>
        <w:jc w:val="center"/>
        <w:rPr>
          <w:sz w:val="44"/>
        </w:rPr>
      </w:pPr>
      <w:r>
        <w:rPr>
          <w:rFonts w:hint="eastAsia"/>
          <w:b/>
          <w:sz w:val="44"/>
        </w:rPr>
        <w:t>前言</w:t>
      </w:r>
    </w:p>
    <w:p w14:paraId="5E01D7B2">
      <w:pPr>
        <w:snapToGrid w:val="0"/>
        <w:spacing w:after="0" w:line="240" w:lineRule="auto"/>
        <w:jc w:val="both"/>
        <w:rPr>
          <w:b/>
          <w:snapToGrid w:val="0"/>
          <w:sz w:val="32"/>
          <w:lang w:eastAsia="zh-CN"/>
        </w:rPr>
      </w:pPr>
    </w:p>
    <w:p w14:paraId="1DF62D7F">
      <w:pPr>
        <w:snapToGrid w:val="0"/>
        <w:spacing w:after="0" w:line="240" w:lineRule="auto"/>
        <w:jc w:val="both"/>
        <w:rPr>
          <w:snapToGrid w:val="0"/>
          <w:sz w:val="28"/>
          <w:szCs w:val="32"/>
          <w:lang w:eastAsia="zh-CN"/>
        </w:rPr>
      </w:pPr>
      <w:r>
        <w:rPr>
          <w:b/>
          <w:snapToGrid w:val="0"/>
          <w:sz w:val="28"/>
          <w:lang w:eastAsia="zh-CN"/>
        </w:rPr>
        <w:t>其他</w:t>
      </w:r>
      <w:r>
        <w:rPr>
          <w:rFonts w:hint="eastAsia"/>
          <w:b/>
          <w:sz w:val="28"/>
        </w:rPr>
        <w:t>副本</w:t>
      </w:r>
    </w:p>
    <w:p w14:paraId="456F40FB">
      <w:pPr>
        <w:snapToGrid w:val="0"/>
        <w:spacing w:after="0" w:line="240" w:lineRule="auto"/>
        <w:ind w:firstLine="480" w:firstLineChars="200"/>
        <w:jc w:val="both"/>
        <w:rPr>
          <w:lang w:eastAsia="zh-CN"/>
        </w:rPr>
      </w:pPr>
      <w:r>
        <w:rPr>
          <w:snapToGrid w:val="0"/>
          <w:szCs w:val="24"/>
          <w:lang w:eastAsia="zh-CN"/>
        </w:rPr>
        <w:t>其他副本可通过互联网</w:t>
      </w:r>
      <w:r>
        <w:rPr>
          <w:rFonts w:hint="eastAsia"/>
          <w:snapToGrid w:val="0"/>
          <w:szCs w:val="24"/>
          <w:lang w:eastAsia="zh-CN"/>
        </w:rPr>
        <w:t>获取</w:t>
      </w:r>
      <w:r>
        <w:rPr>
          <w:snapToGrid w:val="0"/>
          <w:szCs w:val="24"/>
          <w:lang w:eastAsia="zh-CN"/>
        </w:rPr>
        <w:t>，</w:t>
      </w:r>
      <w:r>
        <w:rPr>
          <w:rFonts w:hint="eastAsia"/>
        </w:rPr>
        <w:t>也可通过电子邮件发送请求至</w:t>
      </w:r>
      <w:r>
        <w:fldChar w:fldCharType="begin"/>
      </w:r>
      <w:r>
        <w:instrText xml:space="preserve"> HYPERLINK "mailto:CDRH-Guidance@fda.hhs.gov" \h </w:instrText>
      </w:r>
      <w:r>
        <w:fldChar w:fldCharType="separate"/>
      </w:r>
      <w:r>
        <w:rPr>
          <w:color w:val="0000FF"/>
          <w:u w:val="single" w:color="0000FF"/>
        </w:rPr>
        <w:t>CDRH-Guidance@fda.hhs.gov</w:t>
      </w:r>
      <w:r>
        <w:rPr>
          <w:color w:val="0000FF"/>
          <w:u w:val="single" w:color="0000FF"/>
        </w:rPr>
        <w:fldChar w:fldCharType="end"/>
      </w:r>
      <w:r>
        <w:rPr>
          <w:rFonts w:hint="eastAsia"/>
        </w:rPr>
        <w:t>以</w:t>
      </w:r>
      <w:r>
        <w:rPr>
          <w:rFonts w:hint="eastAsia"/>
          <w:color w:val="000000"/>
        </w:rPr>
        <w:t>获取本指南的副本。</w:t>
      </w:r>
      <w:r>
        <w:rPr>
          <w:rFonts w:hint="eastAsia"/>
          <w:color w:val="000000"/>
          <w:lang w:eastAsia="zh-CN"/>
        </w:rPr>
        <w:t>请在申请中注明文件编号</w:t>
      </w:r>
      <w:r>
        <w:rPr>
          <w:color w:val="000000"/>
          <w:lang w:eastAsia="zh-CN"/>
        </w:rPr>
        <w:t>19042</w:t>
      </w:r>
      <w:r>
        <w:rPr>
          <w:rFonts w:hint="eastAsia"/>
          <w:color w:val="000000"/>
          <w:lang w:eastAsia="zh-CN"/>
        </w:rPr>
        <w:t>和本指南的完整标题。</w:t>
      </w:r>
    </w:p>
    <w:p w14:paraId="54904446">
      <w:pPr>
        <w:snapToGrid w:val="0"/>
        <w:spacing w:after="0" w:line="240" w:lineRule="auto"/>
        <w:jc w:val="both"/>
        <w:rPr>
          <w:lang w:eastAsia="zh-CN"/>
        </w:rPr>
      </w:pPr>
      <w:r>
        <w:rPr>
          <w:lang w:eastAsia="zh-CN"/>
        </w:rPr>
        <w:br w:type="page"/>
      </w:r>
    </w:p>
    <w:p w14:paraId="388F7369">
      <w:pPr>
        <w:snapToGrid w:val="0"/>
        <w:spacing w:after="0" w:line="240" w:lineRule="auto"/>
        <w:jc w:val="center"/>
        <w:rPr>
          <w:sz w:val="28"/>
          <w:lang w:eastAsia="zh-CN"/>
        </w:rPr>
      </w:pPr>
      <w:r>
        <w:rPr>
          <w:rFonts w:hint="eastAsia"/>
          <w:b/>
          <w:sz w:val="28"/>
          <w:lang w:eastAsia="zh-CN"/>
        </w:rPr>
        <w:t>目录</w:t>
      </w:r>
    </w:p>
    <w:p w14:paraId="5BC9F69B">
      <w:pPr>
        <w:pStyle w:val="10"/>
        <w:tabs>
          <w:tab w:val="right" w:leader="dot" w:pos="9337"/>
          <w:tab w:val="clear" w:pos="9061"/>
        </w:tabs>
        <w:rPr>
          <w:rFonts w:ascii="Calibri" w:hAnsi="Calibri"/>
          <w:b w:val="0"/>
          <w:kern w:val="2"/>
          <w:sz w:val="21"/>
          <w:szCs w:val="22"/>
          <w:lang w:eastAsia="zh-CN"/>
        </w:rPr>
      </w:pPr>
      <w:r>
        <w:rPr>
          <w:snapToGrid w:val="0"/>
          <w:lang w:eastAsia="zh-CN"/>
        </w:rPr>
        <w:fldChar w:fldCharType="begin"/>
      </w:r>
      <w:r>
        <w:rPr>
          <w:snapToGrid w:val="0"/>
          <w:lang w:eastAsia="zh-CN"/>
        </w:rPr>
        <w:instrText xml:space="preserve"> TOC \o "1-3" \h \z \u </w:instrText>
      </w:r>
      <w:r>
        <w:rPr>
          <w:snapToGrid w:val="0"/>
          <w:lang w:eastAsia="zh-CN"/>
        </w:rPr>
        <w:fldChar w:fldCharType="separate"/>
      </w:r>
      <w:r>
        <w:fldChar w:fldCharType="begin"/>
      </w:r>
      <w:r>
        <w:instrText xml:space="preserve"> HYPERLINK \l "_Toc97546980" </w:instrText>
      </w:r>
      <w:r>
        <w:fldChar w:fldCharType="separate"/>
      </w:r>
      <w:r>
        <w:rPr>
          <w:rStyle w:val="16"/>
          <w:snapToGrid w:val="0"/>
          <w:lang w:eastAsia="zh-CN"/>
        </w:rPr>
        <w:t>I.</w:t>
      </w:r>
      <w:r>
        <w:rPr>
          <w:rFonts w:ascii="Calibri" w:hAnsi="Calibri"/>
          <w:b w:val="0"/>
          <w:kern w:val="2"/>
          <w:sz w:val="21"/>
          <w:szCs w:val="22"/>
          <w:lang w:eastAsia="zh-CN"/>
        </w:rPr>
        <w:tab/>
      </w:r>
      <w:r>
        <w:rPr>
          <w:rStyle w:val="16"/>
          <w:rFonts w:hint="eastAsia"/>
          <w:snapToGrid w:val="0"/>
          <w:lang w:eastAsia="zh-CN"/>
        </w:rPr>
        <w:t>引言</w:t>
      </w:r>
      <w:r>
        <w:tab/>
      </w:r>
      <w:r>
        <w:fldChar w:fldCharType="begin"/>
      </w:r>
      <w:r>
        <w:instrText xml:space="preserve"> PAGEREF _Toc97546980 \h </w:instrText>
      </w:r>
      <w:r>
        <w:fldChar w:fldCharType="separate"/>
      </w:r>
      <w:r>
        <w:t>4</w:t>
      </w:r>
      <w:r>
        <w:fldChar w:fldCharType="end"/>
      </w:r>
      <w:r>
        <w:fldChar w:fldCharType="end"/>
      </w:r>
    </w:p>
    <w:p w14:paraId="4FD46C64">
      <w:pPr>
        <w:pStyle w:val="10"/>
        <w:tabs>
          <w:tab w:val="right" w:leader="dot" w:pos="9337"/>
          <w:tab w:val="clear" w:pos="9061"/>
        </w:tabs>
        <w:rPr>
          <w:rFonts w:ascii="Calibri" w:hAnsi="Calibri"/>
          <w:b w:val="0"/>
          <w:kern w:val="2"/>
          <w:sz w:val="21"/>
          <w:szCs w:val="22"/>
          <w:lang w:eastAsia="zh-CN"/>
        </w:rPr>
      </w:pPr>
      <w:r>
        <w:fldChar w:fldCharType="begin"/>
      </w:r>
      <w:r>
        <w:instrText xml:space="preserve"> HYPERLINK \l "_Toc97546981" </w:instrText>
      </w:r>
      <w:r>
        <w:fldChar w:fldCharType="separate"/>
      </w:r>
      <w:r>
        <w:rPr>
          <w:rStyle w:val="16"/>
          <w:snapToGrid w:val="0"/>
          <w:lang w:eastAsia="zh-CN"/>
        </w:rPr>
        <w:t>II.</w:t>
      </w:r>
      <w:r>
        <w:rPr>
          <w:rFonts w:ascii="Calibri" w:hAnsi="Calibri"/>
          <w:b w:val="0"/>
          <w:kern w:val="2"/>
          <w:sz w:val="21"/>
          <w:szCs w:val="22"/>
          <w:lang w:eastAsia="zh-CN"/>
        </w:rPr>
        <w:tab/>
      </w:r>
      <w:r>
        <w:rPr>
          <w:rStyle w:val="16"/>
          <w:snapToGrid w:val="0"/>
          <w:lang w:eastAsia="zh-CN"/>
        </w:rPr>
        <w:t>522</w:t>
      </w:r>
      <w:r>
        <w:rPr>
          <w:rStyle w:val="16"/>
          <w:rFonts w:hint="eastAsia"/>
          <w:snapToGrid w:val="0"/>
          <w:lang w:eastAsia="zh-CN"/>
        </w:rPr>
        <w:t>前的上市后监督程序</w:t>
      </w:r>
      <w:r>
        <w:tab/>
      </w:r>
      <w:r>
        <w:fldChar w:fldCharType="begin"/>
      </w:r>
      <w:r>
        <w:instrText xml:space="preserve"> PAGEREF _Toc97546981 \h </w:instrText>
      </w:r>
      <w:r>
        <w:fldChar w:fldCharType="separate"/>
      </w:r>
      <w:r>
        <w:t>5</w:t>
      </w:r>
      <w:r>
        <w:fldChar w:fldCharType="end"/>
      </w:r>
      <w:r>
        <w:fldChar w:fldCharType="end"/>
      </w:r>
    </w:p>
    <w:p w14:paraId="6BD43497">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"_Toc97546982" </w:instrText>
      </w:r>
      <w:r>
        <w:fldChar w:fldCharType="separate"/>
      </w:r>
      <w:r>
        <w:rPr>
          <w:rStyle w:val="16"/>
          <w:snapToGrid w:val="0"/>
          <w:lang w:eastAsia="zh-CN"/>
        </w:rPr>
        <w:t>A.</w:t>
      </w:r>
      <w:r>
        <w:rPr>
          <w:rFonts w:ascii="Calibri" w:hAnsi="Calibri"/>
          <w:kern w:val="2"/>
          <w:sz w:val="21"/>
          <w:szCs w:val="22"/>
          <w:lang w:eastAsia="zh-CN"/>
        </w:rPr>
        <w:tab/>
      </w:r>
      <w:r>
        <w:rPr>
          <w:rStyle w:val="16"/>
          <w:rFonts w:hint="eastAsia"/>
          <w:snapToGrid w:val="0"/>
          <w:lang w:eastAsia="zh-CN"/>
        </w:rPr>
        <w:t>法律背景</w:t>
      </w:r>
      <w:r>
        <w:tab/>
      </w:r>
      <w:r>
        <w:fldChar w:fldCharType="begin"/>
      </w:r>
      <w:r>
        <w:instrText xml:space="preserve"> PAGEREF _Toc97546982 \h </w:instrText>
      </w:r>
      <w:r>
        <w:fldChar w:fldCharType="separate"/>
      </w:r>
      <w:r>
        <w:t>5</w:t>
      </w:r>
      <w:r>
        <w:fldChar w:fldCharType="end"/>
      </w:r>
      <w:r>
        <w:fldChar w:fldCharType="end"/>
      </w:r>
    </w:p>
    <w:p w14:paraId="6792A235">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"_Toc97546983" </w:instrText>
      </w:r>
      <w:r>
        <w:fldChar w:fldCharType="separate"/>
      </w:r>
      <w:r>
        <w:rPr>
          <w:rStyle w:val="16"/>
          <w:snapToGrid w:val="0"/>
          <w:lang w:eastAsia="zh-CN"/>
        </w:rPr>
        <w:t>B.</w:t>
      </w:r>
      <w:r>
        <w:rPr>
          <w:rFonts w:ascii="Calibri" w:hAnsi="Calibri"/>
          <w:kern w:val="2"/>
          <w:sz w:val="21"/>
          <w:szCs w:val="22"/>
          <w:lang w:eastAsia="zh-CN"/>
        </w:rPr>
        <w:tab/>
      </w:r>
      <w:r>
        <w:rPr>
          <w:rStyle w:val="16"/>
          <w:rFonts w:hint="eastAsia"/>
          <w:snapToGrid w:val="0"/>
          <w:lang w:eastAsia="zh-CN"/>
        </w:rPr>
        <w:t>问题确定</w:t>
      </w:r>
      <w:r>
        <w:tab/>
      </w:r>
      <w:r>
        <w:fldChar w:fldCharType="begin"/>
      </w:r>
      <w:r>
        <w:instrText xml:space="preserve"> PAGEREF _Toc97546983 \h </w:instrText>
      </w:r>
      <w:r>
        <w:fldChar w:fldCharType="separate"/>
      </w:r>
      <w:r>
        <w:t>6</w:t>
      </w:r>
      <w:r>
        <w:fldChar w:fldCharType="end"/>
      </w:r>
      <w:r>
        <w:fldChar w:fldCharType="end"/>
      </w:r>
    </w:p>
    <w:p w14:paraId="44E50D11">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"_Toc97546984" </w:instrText>
      </w:r>
      <w:r>
        <w:fldChar w:fldCharType="separate"/>
      </w:r>
      <w:r>
        <w:rPr>
          <w:rStyle w:val="16"/>
          <w:snapToGrid w:val="0"/>
          <w:lang w:eastAsia="zh-CN"/>
        </w:rPr>
        <w:t>C.</w:t>
      </w:r>
      <w:r>
        <w:rPr>
          <w:rFonts w:ascii="Calibri" w:hAnsi="Calibri"/>
          <w:kern w:val="2"/>
          <w:sz w:val="21"/>
          <w:szCs w:val="22"/>
          <w:lang w:eastAsia="zh-CN"/>
        </w:rPr>
        <w:tab/>
      </w:r>
      <w:r>
        <w:rPr>
          <w:rStyle w:val="16"/>
          <w:rFonts w:hint="eastAsia"/>
          <w:snapToGrid w:val="0"/>
          <w:lang w:eastAsia="zh-CN"/>
        </w:rPr>
        <w:t>问题团队评审</w:t>
      </w:r>
      <w:r>
        <w:tab/>
      </w:r>
      <w:r>
        <w:fldChar w:fldCharType="begin"/>
      </w:r>
      <w:r>
        <w:instrText xml:space="preserve"> PAGEREF _Toc97546984 \h </w:instrText>
      </w:r>
      <w:r>
        <w:fldChar w:fldCharType="separate"/>
      </w:r>
      <w:r>
        <w:t>6</w:t>
      </w:r>
      <w:r>
        <w:fldChar w:fldCharType="end"/>
      </w:r>
      <w:r>
        <w:fldChar w:fldCharType="end"/>
      </w:r>
    </w:p>
    <w:p w14:paraId="10D53478">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"_Toc97546985" </w:instrText>
      </w:r>
      <w:r>
        <w:fldChar w:fldCharType="separate"/>
      </w:r>
      <w:r>
        <w:rPr>
          <w:rStyle w:val="16"/>
          <w:snapToGrid w:val="0"/>
          <w:lang w:eastAsia="zh-CN"/>
        </w:rPr>
        <w:t>D.</w:t>
      </w:r>
      <w:r>
        <w:rPr>
          <w:rFonts w:ascii="Calibri" w:hAnsi="Calibri"/>
          <w:kern w:val="2"/>
          <w:sz w:val="21"/>
          <w:szCs w:val="22"/>
          <w:lang w:eastAsia="zh-CN"/>
        </w:rPr>
        <w:tab/>
      </w:r>
      <w:r>
        <w:rPr>
          <w:rStyle w:val="16"/>
          <w:rFonts w:hint="eastAsia"/>
          <w:snapToGrid w:val="0"/>
          <w:lang w:eastAsia="zh-CN"/>
        </w:rPr>
        <w:t>关于儿科人群规定的考虑</w:t>
      </w:r>
      <w:r>
        <w:tab/>
      </w:r>
      <w:r>
        <w:fldChar w:fldCharType="begin"/>
      </w:r>
      <w:r>
        <w:instrText xml:space="preserve"> PAGEREF _Toc97546985 \h </w:instrText>
      </w:r>
      <w:r>
        <w:fldChar w:fldCharType="separate"/>
      </w:r>
      <w:r>
        <w:t>7</w:t>
      </w:r>
      <w:r>
        <w:fldChar w:fldCharType="end"/>
      </w:r>
      <w:r>
        <w:fldChar w:fldCharType="end"/>
      </w:r>
    </w:p>
    <w:p w14:paraId="7EBC7DF1">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"_Toc97546986" </w:instrText>
      </w:r>
      <w:r>
        <w:fldChar w:fldCharType="separate"/>
      </w:r>
      <w:r>
        <w:rPr>
          <w:rStyle w:val="16"/>
          <w:snapToGrid w:val="0"/>
          <w:lang w:eastAsia="zh-CN"/>
        </w:rPr>
        <w:t>E.</w:t>
      </w:r>
      <w:r>
        <w:rPr>
          <w:rFonts w:ascii="Calibri" w:hAnsi="Calibri"/>
          <w:kern w:val="2"/>
          <w:sz w:val="21"/>
          <w:szCs w:val="22"/>
          <w:lang w:eastAsia="zh-CN"/>
        </w:rPr>
        <w:tab/>
      </w:r>
      <w:r>
        <w:rPr>
          <w:rStyle w:val="16"/>
          <w:rFonts w:hint="eastAsia"/>
          <w:snapToGrid w:val="0"/>
          <w:lang w:eastAsia="zh-CN"/>
        </w:rPr>
        <w:t>发布</w:t>
      </w:r>
      <w:r>
        <w:rPr>
          <w:rStyle w:val="16"/>
          <w:snapToGrid w:val="0"/>
          <w:lang w:eastAsia="zh-CN"/>
        </w:rPr>
        <w:t>522</w:t>
      </w:r>
      <w:r>
        <w:rPr>
          <w:rStyle w:val="16"/>
          <w:rFonts w:hint="eastAsia"/>
          <w:snapToGrid w:val="0"/>
          <w:lang w:eastAsia="zh-CN"/>
        </w:rPr>
        <w:t>指令</w:t>
      </w:r>
      <w:r>
        <w:tab/>
      </w:r>
      <w:r>
        <w:fldChar w:fldCharType="begin"/>
      </w:r>
      <w:r>
        <w:instrText xml:space="preserve"> PAGEREF _Toc97546986 \h </w:instrText>
      </w:r>
      <w:r>
        <w:fldChar w:fldCharType="separate"/>
      </w:r>
      <w:r>
        <w:t>8</w:t>
      </w:r>
      <w:r>
        <w:fldChar w:fldCharType="end"/>
      </w:r>
      <w:r>
        <w:fldChar w:fldCharType="end"/>
      </w:r>
    </w:p>
    <w:p w14:paraId="4D80FE55">
      <w:pPr>
        <w:pStyle w:val="10"/>
        <w:tabs>
          <w:tab w:val="right" w:leader="dot" w:pos="9337"/>
          <w:tab w:val="clear" w:pos="9061"/>
        </w:tabs>
        <w:rPr>
          <w:rFonts w:ascii="Calibri" w:hAnsi="Calibri"/>
          <w:b w:val="0"/>
          <w:kern w:val="2"/>
          <w:sz w:val="21"/>
          <w:szCs w:val="22"/>
          <w:lang w:eastAsia="zh-CN"/>
        </w:rPr>
      </w:pPr>
      <w:r>
        <w:fldChar w:fldCharType="begin"/>
      </w:r>
      <w:r>
        <w:instrText xml:space="preserve"> HYPERLINK \l "_Toc97546987" </w:instrText>
      </w:r>
      <w:r>
        <w:fldChar w:fldCharType="separate"/>
      </w:r>
      <w:r>
        <w:rPr>
          <w:rStyle w:val="16"/>
          <w:snapToGrid w:val="0"/>
          <w:lang w:eastAsia="zh-CN"/>
        </w:rPr>
        <w:t>III.</w:t>
      </w:r>
      <w:r>
        <w:rPr>
          <w:rFonts w:ascii="Calibri" w:hAnsi="Calibri"/>
          <w:b w:val="0"/>
          <w:kern w:val="2"/>
          <w:sz w:val="21"/>
          <w:szCs w:val="22"/>
          <w:lang w:eastAsia="zh-CN"/>
        </w:rPr>
        <w:tab/>
      </w:r>
      <w:r>
        <w:rPr>
          <w:rStyle w:val="16"/>
          <w:rFonts w:hint="eastAsia"/>
          <w:snapToGrid w:val="0"/>
          <w:lang w:eastAsia="zh-CN"/>
        </w:rPr>
        <w:t>上市后监督计划</w:t>
      </w:r>
      <w:r>
        <w:tab/>
      </w:r>
      <w:r>
        <w:fldChar w:fldCharType="begin"/>
      </w:r>
      <w:r>
        <w:instrText xml:space="preserve"> PAGEREF _Toc97546987 \h </w:instrText>
      </w:r>
      <w:r>
        <w:fldChar w:fldCharType="separate"/>
      </w:r>
      <w:r>
        <w:t>9</w:t>
      </w:r>
      <w:r>
        <w:fldChar w:fldCharType="end"/>
      </w:r>
      <w:r>
        <w:fldChar w:fldCharType="end"/>
      </w:r>
    </w:p>
    <w:p w14:paraId="17070484">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"_Toc97546988" </w:instrText>
      </w:r>
      <w:r>
        <w:fldChar w:fldCharType="separate"/>
      </w:r>
      <w:r>
        <w:rPr>
          <w:rStyle w:val="16"/>
          <w:snapToGrid w:val="0"/>
          <w:lang w:eastAsia="zh-CN"/>
        </w:rPr>
        <w:t>A.</w:t>
      </w:r>
      <w:r>
        <w:rPr>
          <w:rFonts w:ascii="Calibri" w:hAnsi="Calibri"/>
          <w:kern w:val="2"/>
          <w:sz w:val="21"/>
          <w:szCs w:val="22"/>
          <w:lang w:eastAsia="zh-CN"/>
        </w:rPr>
        <w:tab/>
      </w:r>
      <w:r>
        <w:rPr>
          <w:rStyle w:val="16"/>
          <w:rFonts w:hint="eastAsia"/>
          <w:snapToGrid w:val="0"/>
          <w:lang w:eastAsia="zh-CN"/>
        </w:rPr>
        <w:t>一般信息</w:t>
      </w:r>
      <w:r>
        <w:tab/>
      </w:r>
      <w:r>
        <w:fldChar w:fldCharType="begin"/>
      </w:r>
      <w:r>
        <w:instrText xml:space="preserve"> PAGEREF _Toc97546988 \h </w:instrText>
      </w:r>
      <w:r>
        <w:fldChar w:fldCharType="separate"/>
      </w:r>
      <w:r>
        <w:t>9</w:t>
      </w:r>
      <w:r>
        <w:fldChar w:fldCharType="end"/>
      </w:r>
      <w:r>
        <w:fldChar w:fldCharType="end"/>
      </w:r>
    </w:p>
    <w:p w14:paraId="65FC87FB">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"_Toc97546989" </w:instrText>
      </w:r>
      <w:r>
        <w:fldChar w:fldCharType="separate"/>
      </w:r>
      <w:r>
        <w:rPr>
          <w:rStyle w:val="16"/>
          <w:snapToGrid w:val="0"/>
          <w:lang w:eastAsia="zh-CN"/>
        </w:rPr>
        <w:t>B.</w:t>
      </w:r>
      <w:r>
        <w:rPr>
          <w:rFonts w:ascii="Calibri" w:hAnsi="Calibri"/>
          <w:kern w:val="2"/>
          <w:sz w:val="21"/>
          <w:szCs w:val="22"/>
          <w:lang w:eastAsia="zh-CN"/>
        </w:rPr>
        <w:tab/>
      </w:r>
      <w:r>
        <w:rPr>
          <w:rStyle w:val="16"/>
          <w:rFonts w:hint="eastAsia"/>
          <w:snapToGrid w:val="0"/>
          <w:lang w:eastAsia="zh-CN"/>
        </w:rPr>
        <w:t>上市后监督计划中包含的要素</w:t>
      </w:r>
      <w:r>
        <w:tab/>
      </w:r>
      <w:r>
        <w:fldChar w:fldCharType="begin"/>
      </w:r>
      <w:r>
        <w:instrText xml:space="preserve"> PAGEREF _Toc97546989 \h </w:instrText>
      </w:r>
      <w:r>
        <w:fldChar w:fldCharType="separate"/>
      </w:r>
      <w:r>
        <w:t>9</w:t>
      </w:r>
      <w:r>
        <w:fldChar w:fldCharType="end"/>
      </w:r>
      <w:r>
        <w:fldChar w:fldCharType="end"/>
      </w:r>
    </w:p>
    <w:p w14:paraId="3AAEC710">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"_Toc97546990" </w:instrText>
      </w:r>
      <w:r>
        <w:fldChar w:fldCharType="separate"/>
      </w:r>
      <w:r>
        <w:rPr>
          <w:rStyle w:val="16"/>
          <w:snapToGrid w:val="0"/>
          <w:lang w:eastAsia="zh-CN"/>
        </w:rPr>
        <w:t>C.</w:t>
      </w:r>
      <w:r>
        <w:rPr>
          <w:rFonts w:ascii="Calibri" w:hAnsi="Calibri"/>
          <w:kern w:val="2"/>
          <w:sz w:val="21"/>
          <w:szCs w:val="22"/>
          <w:lang w:eastAsia="zh-CN"/>
        </w:rPr>
        <w:tab/>
      </w:r>
      <w:r>
        <w:rPr>
          <w:rStyle w:val="16"/>
          <w:snapToGrid w:val="0"/>
          <w:lang w:eastAsia="zh-CN"/>
        </w:rPr>
        <w:t>FDA</w:t>
      </w:r>
      <w:r>
        <w:rPr>
          <w:rStyle w:val="16"/>
          <w:rFonts w:hint="eastAsia"/>
          <w:snapToGrid w:val="0"/>
          <w:lang w:eastAsia="zh-CN"/>
        </w:rPr>
        <w:t>和制造商关于监督计划的协议</w:t>
      </w:r>
      <w:r>
        <w:tab/>
      </w:r>
      <w:r>
        <w:fldChar w:fldCharType="begin"/>
      </w:r>
      <w:r>
        <w:instrText xml:space="preserve"> PAGEREF _Toc97546990 \h </w:instrText>
      </w:r>
      <w:r>
        <w:fldChar w:fldCharType="separate"/>
      </w:r>
      <w:r>
        <w:t>11</w:t>
      </w:r>
      <w:r>
        <w:fldChar w:fldCharType="end"/>
      </w:r>
      <w:r>
        <w:fldChar w:fldCharType="end"/>
      </w:r>
    </w:p>
    <w:p w14:paraId="2AA5BD29">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"_Toc97546991" </w:instrText>
      </w:r>
      <w:r>
        <w:fldChar w:fldCharType="separate"/>
      </w:r>
      <w:r>
        <w:rPr>
          <w:rStyle w:val="16"/>
          <w:snapToGrid w:val="0"/>
          <w:lang w:eastAsia="zh-CN"/>
        </w:rPr>
        <w:t>D.</w:t>
      </w:r>
      <w:r>
        <w:rPr>
          <w:rFonts w:ascii="Calibri" w:hAnsi="Calibri"/>
          <w:kern w:val="2"/>
          <w:sz w:val="21"/>
          <w:szCs w:val="22"/>
          <w:lang w:eastAsia="zh-CN"/>
        </w:rPr>
        <w:tab/>
      </w:r>
      <w:r>
        <w:rPr>
          <w:rStyle w:val="16"/>
          <w:rFonts w:hint="eastAsia"/>
          <w:snapToGrid w:val="0"/>
          <w:lang w:eastAsia="zh-CN"/>
        </w:rPr>
        <w:t>经批准上市后监督计划的变更</w:t>
      </w:r>
      <w:r>
        <w:tab/>
      </w:r>
      <w:r>
        <w:fldChar w:fldCharType="begin"/>
      </w:r>
      <w:r>
        <w:instrText xml:space="preserve"> PAGEREF _Toc97546991 \h </w:instrText>
      </w:r>
      <w:r>
        <w:fldChar w:fldCharType="separate"/>
      </w:r>
      <w:r>
        <w:t>13</w:t>
      </w:r>
      <w:r>
        <w:fldChar w:fldCharType="end"/>
      </w:r>
      <w:r>
        <w:fldChar w:fldCharType="end"/>
      </w:r>
    </w:p>
    <w:p w14:paraId="06730038">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"_Toc97546992" </w:instrText>
      </w:r>
      <w:r>
        <w:fldChar w:fldCharType="separate"/>
      </w:r>
      <w:r>
        <w:rPr>
          <w:rStyle w:val="16"/>
          <w:snapToGrid w:val="0"/>
          <w:lang w:eastAsia="zh-CN"/>
        </w:rPr>
        <w:t>E.</w:t>
      </w:r>
      <w:r>
        <w:rPr>
          <w:rFonts w:ascii="Calibri" w:hAnsi="Calibri"/>
          <w:kern w:val="2"/>
          <w:sz w:val="21"/>
          <w:szCs w:val="22"/>
          <w:lang w:eastAsia="zh-CN"/>
        </w:rPr>
        <w:tab/>
      </w:r>
      <w:r>
        <w:rPr>
          <w:rStyle w:val="16"/>
          <w:rFonts w:hint="eastAsia"/>
          <w:snapToGrid w:val="0"/>
          <w:lang w:eastAsia="zh-CN"/>
        </w:rPr>
        <w:t>上市后监督类别</w:t>
      </w:r>
      <w:r>
        <w:tab/>
      </w:r>
      <w:r>
        <w:fldChar w:fldCharType="begin"/>
      </w:r>
      <w:r>
        <w:instrText xml:space="preserve"> PAGEREF _Toc97546992 \h </w:instrText>
      </w:r>
      <w:r>
        <w:fldChar w:fldCharType="separate"/>
      </w:r>
      <w:r>
        <w:t>14</w:t>
      </w:r>
      <w:r>
        <w:fldChar w:fldCharType="end"/>
      </w:r>
      <w:r>
        <w:fldChar w:fldCharType="end"/>
      </w:r>
    </w:p>
    <w:p w14:paraId="05F8E066">
      <w:pPr>
        <w:pStyle w:val="10"/>
        <w:tabs>
          <w:tab w:val="right" w:leader="dot" w:pos="9337"/>
          <w:tab w:val="clear" w:pos="9061"/>
        </w:tabs>
        <w:rPr>
          <w:rFonts w:ascii="Calibri" w:hAnsi="Calibri"/>
          <w:b w:val="0"/>
          <w:kern w:val="2"/>
          <w:sz w:val="21"/>
          <w:szCs w:val="22"/>
          <w:lang w:eastAsia="zh-CN"/>
        </w:rPr>
      </w:pPr>
      <w:r>
        <w:fldChar w:fldCharType="begin"/>
      </w:r>
      <w:r>
        <w:instrText xml:space="preserve"> HYPERLINK \l "_Toc97546993" </w:instrText>
      </w:r>
      <w:r>
        <w:fldChar w:fldCharType="separate"/>
      </w:r>
      <w:r>
        <w:rPr>
          <w:rStyle w:val="16"/>
          <w:snapToGrid w:val="0"/>
          <w:lang w:eastAsia="zh-CN"/>
        </w:rPr>
        <w:t>IV.</w:t>
      </w:r>
      <w:r>
        <w:rPr>
          <w:rFonts w:ascii="Calibri" w:hAnsi="Calibri"/>
          <w:b w:val="0"/>
          <w:kern w:val="2"/>
          <w:sz w:val="21"/>
          <w:szCs w:val="22"/>
          <w:lang w:eastAsia="zh-CN"/>
        </w:rPr>
        <w:tab/>
      </w:r>
      <w:r>
        <w:rPr>
          <w:rStyle w:val="16"/>
          <w:rFonts w:hint="eastAsia"/>
          <w:snapToGrid w:val="0"/>
          <w:lang w:eastAsia="zh-CN"/>
        </w:rPr>
        <w:t>提交上市后监督报告的时间和方式</w:t>
      </w:r>
      <w:r>
        <w:tab/>
      </w:r>
      <w:r>
        <w:fldChar w:fldCharType="begin"/>
      </w:r>
      <w:r>
        <w:instrText xml:space="preserve"> PAGEREF _Toc97546993 \h </w:instrText>
      </w:r>
      <w:r>
        <w:fldChar w:fldCharType="separate"/>
      </w:r>
      <w:r>
        <w:t>16</w:t>
      </w:r>
      <w:r>
        <w:fldChar w:fldCharType="end"/>
      </w:r>
      <w:r>
        <w:fldChar w:fldCharType="end"/>
      </w:r>
    </w:p>
    <w:p w14:paraId="6757D5F2">
      <w:pPr>
        <w:pStyle w:val="10"/>
        <w:tabs>
          <w:tab w:val="right" w:leader="dot" w:pos="9337"/>
          <w:tab w:val="clear" w:pos="9061"/>
        </w:tabs>
        <w:rPr>
          <w:rFonts w:ascii="Calibri" w:hAnsi="Calibri"/>
          <w:b w:val="0"/>
          <w:kern w:val="2"/>
          <w:sz w:val="21"/>
          <w:szCs w:val="22"/>
          <w:lang w:eastAsia="zh-CN"/>
        </w:rPr>
      </w:pPr>
      <w:r>
        <w:fldChar w:fldCharType="begin"/>
      </w:r>
      <w:r>
        <w:instrText xml:space="preserve"> HYPERLINK \l "_Toc97546994" </w:instrText>
      </w:r>
      <w:r>
        <w:fldChar w:fldCharType="separate"/>
      </w:r>
      <w:r>
        <w:rPr>
          <w:rStyle w:val="16"/>
          <w:snapToGrid w:val="0"/>
          <w:lang w:eastAsia="zh-CN"/>
        </w:rPr>
        <w:t>V.</w:t>
      </w:r>
      <w:r>
        <w:rPr>
          <w:rFonts w:ascii="Calibri" w:hAnsi="Calibri"/>
          <w:b w:val="0"/>
          <w:kern w:val="2"/>
          <w:sz w:val="21"/>
          <w:szCs w:val="22"/>
          <w:lang w:eastAsia="zh-CN"/>
        </w:rPr>
        <w:tab/>
      </w:r>
      <w:r>
        <w:rPr>
          <w:rStyle w:val="16"/>
          <w:rFonts w:hint="eastAsia"/>
          <w:snapToGrid w:val="0"/>
          <w:lang w:eastAsia="zh-CN"/>
        </w:rPr>
        <w:t>上市后监督报告的内容及格式</w:t>
      </w:r>
      <w:r>
        <w:tab/>
      </w:r>
      <w:r>
        <w:fldChar w:fldCharType="begin"/>
      </w:r>
      <w:r>
        <w:instrText xml:space="preserve"> PAGEREF _Toc97546994 \h </w:instrText>
      </w:r>
      <w:r>
        <w:fldChar w:fldCharType="separate"/>
      </w:r>
      <w:r>
        <w:t>17</w:t>
      </w:r>
      <w:r>
        <w:fldChar w:fldCharType="end"/>
      </w:r>
      <w:r>
        <w:fldChar w:fldCharType="end"/>
      </w:r>
    </w:p>
    <w:p w14:paraId="57C88BBD">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"_Toc97546995" </w:instrText>
      </w:r>
      <w:r>
        <w:fldChar w:fldCharType="separate"/>
      </w:r>
      <w:r>
        <w:rPr>
          <w:rStyle w:val="16"/>
          <w:snapToGrid w:val="0"/>
          <w:lang w:eastAsia="zh-CN"/>
        </w:rPr>
        <w:t>A.</w:t>
      </w:r>
      <w:r>
        <w:rPr>
          <w:rFonts w:ascii="Calibri" w:hAnsi="Calibri"/>
          <w:kern w:val="2"/>
          <w:sz w:val="21"/>
          <w:szCs w:val="22"/>
          <w:lang w:eastAsia="zh-CN"/>
        </w:rPr>
        <w:tab/>
      </w:r>
      <w:r>
        <w:rPr>
          <w:rStyle w:val="16"/>
          <w:rFonts w:hint="eastAsia"/>
          <w:snapToGrid w:val="0"/>
          <w:lang w:eastAsia="zh-CN"/>
        </w:rPr>
        <w:t>一般信息</w:t>
      </w:r>
      <w:r>
        <w:tab/>
      </w:r>
      <w:r>
        <w:fldChar w:fldCharType="begin"/>
      </w:r>
      <w:r>
        <w:instrText xml:space="preserve"> PAGEREF _Toc97546995 \h </w:instrText>
      </w:r>
      <w:r>
        <w:fldChar w:fldCharType="separate"/>
      </w:r>
      <w:r>
        <w:t>17</w:t>
      </w:r>
      <w:r>
        <w:fldChar w:fldCharType="end"/>
      </w:r>
      <w:r>
        <w:fldChar w:fldCharType="end"/>
      </w:r>
    </w:p>
    <w:p w14:paraId="5CB22B0F">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"_Toc97546996" </w:instrText>
      </w:r>
      <w:r>
        <w:fldChar w:fldCharType="separate"/>
      </w:r>
      <w:r>
        <w:rPr>
          <w:rStyle w:val="16"/>
          <w:snapToGrid w:val="0"/>
          <w:lang w:eastAsia="zh-CN"/>
        </w:rPr>
        <w:t>B.</w:t>
      </w:r>
      <w:r>
        <w:rPr>
          <w:rFonts w:ascii="Calibri" w:hAnsi="Calibri"/>
          <w:kern w:val="2"/>
          <w:sz w:val="21"/>
          <w:szCs w:val="22"/>
          <w:lang w:eastAsia="zh-CN"/>
        </w:rPr>
        <w:tab/>
      </w:r>
      <w:r>
        <w:rPr>
          <w:rStyle w:val="16"/>
          <w:rFonts w:hint="eastAsia"/>
          <w:snapToGrid w:val="0"/>
          <w:lang w:eastAsia="zh-CN"/>
        </w:rPr>
        <w:t>上市后监督入组报告</w:t>
      </w:r>
      <w:r>
        <w:tab/>
      </w:r>
      <w:r>
        <w:fldChar w:fldCharType="begin"/>
      </w:r>
      <w:r>
        <w:instrText xml:space="preserve"> PAGEREF _Toc97546996 \h </w:instrText>
      </w:r>
      <w:r>
        <w:fldChar w:fldCharType="separate"/>
      </w:r>
      <w:r>
        <w:t>18</w:t>
      </w:r>
      <w:r>
        <w:fldChar w:fldCharType="end"/>
      </w:r>
      <w:r>
        <w:fldChar w:fldCharType="end"/>
      </w:r>
    </w:p>
    <w:p w14:paraId="7501BEC6">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"_Toc97546997" </w:instrText>
      </w:r>
      <w:r>
        <w:fldChar w:fldCharType="separate"/>
      </w:r>
      <w:r>
        <w:rPr>
          <w:rStyle w:val="16"/>
          <w:snapToGrid w:val="0"/>
          <w:lang w:eastAsia="zh-CN"/>
        </w:rPr>
        <w:t>C.</w:t>
      </w:r>
      <w:r>
        <w:rPr>
          <w:rFonts w:ascii="Calibri" w:hAnsi="Calibri"/>
          <w:kern w:val="2"/>
          <w:sz w:val="21"/>
          <w:szCs w:val="22"/>
          <w:lang w:eastAsia="zh-CN"/>
        </w:rPr>
        <w:tab/>
      </w:r>
      <w:r>
        <w:rPr>
          <w:rStyle w:val="16"/>
          <w:rFonts w:hint="eastAsia"/>
          <w:snapToGrid w:val="0"/>
          <w:lang w:eastAsia="zh-CN"/>
        </w:rPr>
        <w:t>中期上市后监督情况报告</w:t>
      </w:r>
      <w:r>
        <w:tab/>
      </w:r>
      <w:r>
        <w:fldChar w:fldCharType="begin"/>
      </w:r>
      <w:r>
        <w:instrText xml:space="preserve"> PAGEREF _Toc97546997 \h </w:instrText>
      </w:r>
      <w:r>
        <w:fldChar w:fldCharType="separate"/>
      </w:r>
      <w:r>
        <w:t>19</w:t>
      </w:r>
      <w:r>
        <w:fldChar w:fldCharType="end"/>
      </w:r>
      <w:r>
        <w:fldChar w:fldCharType="end"/>
      </w:r>
    </w:p>
    <w:p w14:paraId="0A86958E">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"_Toc97546998" </w:instrText>
      </w:r>
      <w:r>
        <w:fldChar w:fldCharType="separate"/>
      </w:r>
      <w:r>
        <w:rPr>
          <w:rStyle w:val="16"/>
          <w:snapToGrid w:val="0"/>
          <w:lang w:eastAsia="zh-CN"/>
        </w:rPr>
        <w:t>D.</w:t>
      </w:r>
      <w:r>
        <w:rPr>
          <w:rFonts w:ascii="Calibri" w:hAnsi="Calibri"/>
          <w:kern w:val="2"/>
          <w:sz w:val="21"/>
          <w:szCs w:val="22"/>
          <w:lang w:eastAsia="zh-CN"/>
        </w:rPr>
        <w:tab/>
      </w:r>
      <w:r>
        <w:rPr>
          <w:rStyle w:val="16"/>
          <w:rFonts w:hint="eastAsia"/>
          <w:snapToGrid w:val="0"/>
          <w:lang w:eastAsia="zh-CN"/>
        </w:rPr>
        <w:t>最终上市后监督报告</w:t>
      </w:r>
      <w:r>
        <w:tab/>
      </w:r>
      <w:r>
        <w:fldChar w:fldCharType="begin"/>
      </w:r>
      <w:r>
        <w:instrText xml:space="preserve"> PAGEREF _Toc97546998 \h </w:instrText>
      </w:r>
      <w:r>
        <w:fldChar w:fldCharType="separate"/>
      </w:r>
      <w:r>
        <w:t>19</w:t>
      </w:r>
      <w:r>
        <w:fldChar w:fldCharType="end"/>
      </w:r>
      <w:r>
        <w:fldChar w:fldCharType="end"/>
      </w:r>
    </w:p>
    <w:p w14:paraId="3387A2FD">
      <w:pPr>
        <w:pStyle w:val="10"/>
        <w:tabs>
          <w:tab w:val="right" w:leader="dot" w:pos="9337"/>
          <w:tab w:val="clear" w:pos="9061"/>
        </w:tabs>
        <w:rPr>
          <w:rFonts w:ascii="Calibri" w:hAnsi="Calibri"/>
          <w:b w:val="0"/>
          <w:kern w:val="2"/>
          <w:sz w:val="21"/>
          <w:szCs w:val="22"/>
          <w:lang w:eastAsia="zh-CN"/>
        </w:rPr>
      </w:pPr>
      <w:r>
        <w:fldChar w:fldCharType="begin"/>
      </w:r>
      <w:r>
        <w:instrText xml:space="preserve"> HYPERLINK \l "_Toc97546999" </w:instrText>
      </w:r>
      <w:r>
        <w:fldChar w:fldCharType="separate"/>
      </w:r>
      <w:r>
        <w:rPr>
          <w:rStyle w:val="16"/>
          <w:snapToGrid w:val="0"/>
          <w:lang w:eastAsia="zh-CN"/>
        </w:rPr>
        <w:t>VI.</w:t>
      </w:r>
      <w:r>
        <w:rPr>
          <w:rFonts w:ascii="Calibri" w:hAnsi="Calibri"/>
          <w:b w:val="0"/>
          <w:kern w:val="2"/>
          <w:sz w:val="21"/>
          <w:szCs w:val="22"/>
          <w:lang w:eastAsia="zh-CN"/>
        </w:rPr>
        <w:tab/>
      </w:r>
      <w:r>
        <w:rPr>
          <w:rStyle w:val="16"/>
          <w:rFonts w:hint="eastAsia"/>
          <w:snapToGrid w:val="0"/>
          <w:lang w:eastAsia="zh-CN"/>
        </w:rPr>
        <w:t>中期上市后监督报告的评价</w:t>
      </w:r>
      <w:r>
        <w:tab/>
      </w:r>
      <w:r>
        <w:fldChar w:fldCharType="begin"/>
      </w:r>
      <w:r>
        <w:instrText xml:space="preserve"> PAGEREF _Toc97546999 \h </w:instrText>
      </w:r>
      <w:r>
        <w:fldChar w:fldCharType="separate"/>
      </w:r>
      <w:r>
        <w:t>20</w:t>
      </w:r>
      <w:r>
        <w:fldChar w:fldCharType="end"/>
      </w:r>
      <w:r>
        <w:fldChar w:fldCharType="end"/>
      </w:r>
    </w:p>
    <w:p w14:paraId="6395C2EC">
      <w:pPr>
        <w:pStyle w:val="10"/>
        <w:tabs>
          <w:tab w:val="right" w:leader="dot" w:pos="9337"/>
          <w:tab w:val="clear" w:pos="9061"/>
        </w:tabs>
        <w:rPr>
          <w:rFonts w:ascii="Calibri" w:hAnsi="Calibri"/>
          <w:b w:val="0"/>
          <w:kern w:val="2"/>
          <w:sz w:val="21"/>
          <w:szCs w:val="22"/>
          <w:lang w:eastAsia="zh-CN"/>
        </w:rPr>
      </w:pPr>
      <w:r>
        <w:fldChar w:fldCharType="begin"/>
      </w:r>
      <w:r>
        <w:instrText xml:space="preserve"> HYPERLINK \l "_Toc97547000" </w:instrText>
      </w:r>
      <w:r>
        <w:fldChar w:fldCharType="separate"/>
      </w:r>
      <w:r>
        <w:rPr>
          <w:rStyle w:val="16"/>
          <w:snapToGrid w:val="0"/>
          <w:lang w:eastAsia="zh-CN"/>
        </w:rPr>
        <w:t>VII.</w:t>
      </w:r>
      <w:r>
        <w:rPr>
          <w:rFonts w:ascii="Calibri" w:hAnsi="Calibri"/>
          <w:b w:val="0"/>
          <w:kern w:val="2"/>
          <w:sz w:val="21"/>
          <w:szCs w:val="22"/>
          <w:lang w:eastAsia="zh-CN"/>
        </w:rPr>
        <w:tab/>
      </w:r>
      <w:r>
        <w:rPr>
          <w:rStyle w:val="16"/>
          <w:rFonts w:hint="eastAsia"/>
          <w:snapToGrid w:val="0"/>
          <w:lang w:eastAsia="zh-CN"/>
        </w:rPr>
        <w:t>评价</w:t>
      </w:r>
      <w:r>
        <w:rPr>
          <w:rStyle w:val="16"/>
          <w:snapToGrid w:val="0"/>
          <w:lang w:eastAsia="zh-CN"/>
        </w:rPr>
        <w:t>522</w:t>
      </w:r>
      <w:r>
        <w:rPr>
          <w:rStyle w:val="16"/>
          <w:rFonts w:hint="eastAsia"/>
          <w:snapToGrid w:val="0"/>
          <w:lang w:eastAsia="zh-CN"/>
        </w:rPr>
        <w:t>指令完成后的上市后监督最终报告和</w:t>
      </w:r>
      <w:r>
        <w:rPr>
          <w:rStyle w:val="16"/>
          <w:snapToGrid w:val="0"/>
          <w:lang w:eastAsia="zh-CN"/>
        </w:rPr>
        <w:t>FDA</w:t>
      </w:r>
      <w:r>
        <w:rPr>
          <w:rStyle w:val="16"/>
          <w:rFonts w:hint="eastAsia"/>
          <w:snapToGrid w:val="0"/>
          <w:lang w:eastAsia="zh-CN"/>
        </w:rPr>
        <w:t>可能采取的行动</w:t>
      </w:r>
      <w:r>
        <w:tab/>
      </w:r>
      <w:r>
        <w:fldChar w:fldCharType="begin"/>
      </w:r>
      <w:r>
        <w:instrText xml:space="preserve"> PAGEREF _Toc97547000 \h </w:instrText>
      </w:r>
      <w:r>
        <w:fldChar w:fldCharType="separate"/>
      </w:r>
      <w:r>
        <w:t>20</w:t>
      </w:r>
      <w:r>
        <w:fldChar w:fldCharType="end"/>
      </w:r>
      <w:r>
        <w:fldChar w:fldCharType="end"/>
      </w:r>
    </w:p>
    <w:p w14:paraId="76EF392B">
      <w:pPr>
        <w:pStyle w:val="10"/>
        <w:tabs>
          <w:tab w:val="left" w:pos="880"/>
          <w:tab w:val="right" w:leader="dot" w:pos="9337"/>
          <w:tab w:val="clear" w:pos="9061"/>
        </w:tabs>
        <w:rPr>
          <w:rFonts w:ascii="Calibri" w:hAnsi="Calibri"/>
          <w:b w:val="0"/>
          <w:kern w:val="2"/>
          <w:sz w:val="21"/>
          <w:szCs w:val="22"/>
          <w:lang w:eastAsia="zh-CN"/>
        </w:rPr>
      </w:pPr>
      <w:r>
        <w:fldChar w:fldCharType="begin"/>
      </w:r>
      <w:r>
        <w:instrText xml:space="preserve"> HYPERLINK \l "_Toc97547001" </w:instrText>
      </w:r>
      <w:r>
        <w:fldChar w:fldCharType="separate"/>
      </w:r>
      <w:r>
        <w:rPr>
          <w:rStyle w:val="16"/>
          <w:snapToGrid w:val="0"/>
          <w:lang w:eastAsia="zh-CN"/>
        </w:rPr>
        <w:t>VIII.</w:t>
      </w:r>
      <w:r>
        <w:rPr>
          <w:rFonts w:ascii="Calibri" w:hAnsi="Calibri"/>
          <w:b w:val="0"/>
          <w:kern w:val="2"/>
          <w:sz w:val="21"/>
          <w:szCs w:val="22"/>
          <w:lang w:eastAsia="zh-CN"/>
        </w:rPr>
        <w:tab/>
      </w:r>
      <w:r>
        <w:rPr>
          <w:rStyle w:val="16"/>
          <w:rFonts w:hint="eastAsia"/>
          <w:snapToGrid w:val="0"/>
          <w:lang w:eastAsia="zh-CN"/>
        </w:rPr>
        <w:t>制造商的报告状态</w:t>
      </w:r>
      <w:r>
        <w:tab/>
      </w:r>
      <w:r>
        <w:fldChar w:fldCharType="begin"/>
      </w:r>
      <w:r>
        <w:instrText xml:space="preserve"> PAGEREF _Toc97547001 \h </w:instrText>
      </w:r>
      <w:r>
        <w:fldChar w:fldCharType="separate"/>
      </w:r>
      <w:r>
        <w:t>21</w:t>
      </w:r>
      <w:r>
        <w:fldChar w:fldCharType="end"/>
      </w:r>
      <w:r>
        <w:fldChar w:fldCharType="end"/>
      </w:r>
    </w:p>
    <w:p w14:paraId="37E7D29D">
      <w:pPr>
        <w:pStyle w:val="10"/>
        <w:tabs>
          <w:tab w:val="right" w:leader="dot" w:pos="9337"/>
          <w:tab w:val="clear" w:pos="9061"/>
        </w:tabs>
        <w:rPr>
          <w:rFonts w:ascii="Calibri" w:hAnsi="Calibri"/>
          <w:b w:val="0"/>
          <w:kern w:val="2"/>
          <w:sz w:val="21"/>
          <w:szCs w:val="22"/>
          <w:lang w:eastAsia="zh-CN"/>
        </w:rPr>
      </w:pPr>
      <w:r>
        <w:fldChar w:fldCharType="begin"/>
      </w:r>
      <w:r>
        <w:instrText xml:space="preserve"> HYPERLINK \l "_Toc97547002" </w:instrText>
      </w:r>
      <w:r>
        <w:fldChar w:fldCharType="separate"/>
      </w:r>
      <w:r>
        <w:rPr>
          <w:rStyle w:val="16"/>
          <w:snapToGrid w:val="0"/>
          <w:lang w:eastAsia="zh-CN"/>
        </w:rPr>
        <w:t>IX.</w:t>
      </w:r>
      <w:r>
        <w:rPr>
          <w:rFonts w:ascii="Calibri" w:hAnsi="Calibri"/>
          <w:b w:val="0"/>
          <w:kern w:val="2"/>
          <w:sz w:val="21"/>
          <w:szCs w:val="22"/>
          <w:lang w:eastAsia="zh-CN"/>
        </w:rPr>
        <w:tab/>
      </w:r>
      <w:r>
        <w:rPr>
          <w:rStyle w:val="16"/>
          <w:rFonts w:hint="eastAsia"/>
          <w:snapToGrid w:val="0"/>
          <w:lang w:eastAsia="zh-CN"/>
        </w:rPr>
        <w:t>上市后监督状态</w:t>
      </w:r>
      <w:r>
        <w:tab/>
      </w:r>
      <w:r>
        <w:fldChar w:fldCharType="begin"/>
      </w:r>
      <w:r>
        <w:instrText xml:space="preserve"> PAGEREF _Toc97547002 \h </w:instrText>
      </w:r>
      <w:r>
        <w:fldChar w:fldCharType="separate"/>
      </w:r>
      <w:r>
        <w:t>22</w:t>
      </w:r>
      <w:r>
        <w:fldChar w:fldCharType="end"/>
      </w:r>
      <w:r>
        <w:fldChar w:fldCharType="end"/>
      </w:r>
    </w:p>
    <w:p w14:paraId="1826B1F6">
      <w:pPr>
        <w:pStyle w:val="10"/>
        <w:tabs>
          <w:tab w:val="right" w:leader="dot" w:pos="9337"/>
          <w:tab w:val="clear" w:pos="9061"/>
        </w:tabs>
        <w:rPr>
          <w:rFonts w:ascii="Calibri" w:hAnsi="Calibri"/>
          <w:b w:val="0"/>
          <w:kern w:val="2"/>
          <w:sz w:val="21"/>
          <w:szCs w:val="22"/>
          <w:lang w:eastAsia="zh-CN"/>
        </w:rPr>
      </w:pPr>
      <w:r>
        <w:fldChar w:fldCharType="begin"/>
      </w:r>
      <w:r>
        <w:instrText xml:space="preserve"> HYPERLINK \l "_Toc97547003" </w:instrText>
      </w:r>
      <w:r>
        <w:fldChar w:fldCharType="separate"/>
      </w:r>
      <w:r>
        <w:rPr>
          <w:rStyle w:val="16"/>
          <w:snapToGrid w:val="0"/>
          <w:lang w:eastAsia="zh-CN"/>
        </w:rPr>
        <w:t>X.</w:t>
      </w:r>
      <w:r>
        <w:rPr>
          <w:rFonts w:ascii="Calibri" w:hAnsi="Calibri"/>
          <w:b w:val="0"/>
          <w:kern w:val="2"/>
          <w:sz w:val="21"/>
          <w:szCs w:val="22"/>
          <w:lang w:eastAsia="zh-CN"/>
        </w:rPr>
        <w:tab/>
      </w:r>
      <w:r>
        <w:rPr>
          <w:rStyle w:val="16"/>
          <w:rFonts w:hint="eastAsia"/>
          <w:snapToGrid w:val="0"/>
          <w:lang w:eastAsia="zh-CN"/>
        </w:rPr>
        <w:t>未能遵守《</w:t>
      </w:r>
      <w:r>
        <w:rPr>
          <w:rStyle w:val="16"/>
          <w:snapToGrid w:val="0"/>
          <w:lang w:eastAsia="zh-CN"/>
        </w:rPr>
        <w:t>FD&amp;C</w:t>
      </w:r>
      <w:r>
        <w:rPr>
          <w:rStyle w:val="16"/>
          <w:rFonts w:hint="eastAsia"/>
          <w:snapToGrid w:val="0"/>
          <w:lang w:eastAsia="zh-CN"/>
        </w:rPr>
        <w:t>法案》第</w:t>
      </w:r>
      <w:r>
        <w:rPr>
          <w:rStyle w:val="16"/>
          <w:snapToGrid w:val="0"/>
          <w:lang w:eastAsia="zh-CN"/>
        </w:rPr>
        <w:t>522</w:t>
      </w:r>
      <w:r>
        <w:rPr>
          <w:rStyle w:val="16"/>
          <w:rFonts w:hint="eastAsia"/>
          <w:snapToGrid w:val="0"/>
          <w:lang w:eastAsia="zh-CN"/>
        </w:rPr>
        <w:t>节规定的上市后监督要求</w:t>
      </w:r>
      <w:r>
        <w:tab/>
      </w:r>
      <w:r>
        <w:fldChar w:fldCharType="begin"/>
      </w:r>
      <w:r>
        <w:instrText xml:space="preserve"> PAGEREF _Toc97547003 \h </w:instrText>
      </w:r>
      <w:r>
        <w:fldChar w:fldCharType="separate"/>
      </w:r>
      <w:r>
        <w:t>24</w:t>
      </w:r>
      <w:r>
        <w:fldChar w:fldCharType="end"/>
      </w:r>
      <w:r>
        <w:fldChar w:fldCharType="end"/>
      </w:r>
    </w:p>
    <w:p w14:paraId="2CEC40C8">
      <w:pPr>
        <w:pStyle w:val="10"/>
        <w:tabs>
          <w:tab w:val="right" w:leader="dot" w:pos="9337"/>
          <w:tab w:val="clear" w:pos="9061"/>
        </w:tabs>
        <w:rPr>
          <w:rFonts w:ascii="Calibri" w:hAnsi="Calibri"/>
          <w:b w:val="0"/>
          <w:kern w:val="2"/>
          <w:sz w:val="21"/>
          <w:szCs w:val="22"/>
          <w:lang w:eastAsia="zh-CN"/>
        </w:rPr>
      </w:pPr>
      <w:r>
        <w:fldChar w:fldCharType="begin"/>
      </w:r>
      <w:r>
        <w:instrText xml:space="preserve"> HYPERLINK \l "_Toc97547004" </w:instrText>
      </w:r>
      <w:r>
        <w:fldChar w:fldCharType="separate"/>
      </w:r>
      <w:r>
        <w:rPr>
          <w:rStyle w:val="16"/>
          <w:snapToGrid w:val="0"/>
          <w:lang w:eastAsia="zh-CN"/>
        </w:rPr>
        <w:t>XI.</w:t>
      </w:r>
      <w:r>
        <w:rPr>
          <w:rFonts w:ascii="Calibri" w:hAnsi="Calibri"/>
          <w:b w:val="0"/>
          <w:kern w:val="2"/>
          <w:sz w:val="21"/>
          <w:szCs w:val="22"/>
          <w:lang w:eastAsia="zh-CN"/>
        </w:rPr>
        <w:tab/>
      </w:r>
      <w:r>
        <w:rPr>
          <w:rStyle w:val="16"/>
          <w:rFonts w:hint="eastAsia"/>
          <w:snapToGrid w:val="0"/>
          <w:lang w:eastAsia="zh-CN"/>
        </w:rPr>
        <w:t>上市后监督计划信息和报告的公开披露</w:t>
      </w:r>
      <w:r>
        <w:tab/>
      </w:r>
      <w:r>
        <w:fldChar w:fldCharType="begin"/>
      </w:r>
      <w:r>
        <w:instrText xml:space="preserve"> PAGEREF _Toc97547004 \h </w:instrText>
      </w:r>
      <w:r>
        <w:fldChar w:fldCharType="separate"/>
      </w:r>
      <w:r>
        <w:t>25</w:t>
      </w:r>
      <w:r>
        <w:fldChar w:fldCharType="end"/>
      </w:r>
      <w:r>
        <w:fldChar w:fldCharType="end"/>
      </w:r>
    </w:p>
    <w:p w14:paraId="79073802">
      <w:pPr>
        <w:pStyle w:val="12"/>
        <w:tabs>
          <w:tab w:val="right" w:leader="dot" w:pos="9337"/>
          <w:tab w:val="clear" w:pos="9061"/>
        </w:tabs>
        <w:ind w:left="480"/>
        <w:rPr>
          <w:rFonts w:ascii="Calibri" w:hAnsi="Calibri"/>
          <w:kern w:val="2"/>
          <w:sz w:val="21"/>
          <w:szCs w:val="22"/>
          <w:lang w:eastAsia="zh-CN"/>
        </w:rPr>
      </w:pPr>
      <w:r>
        <w:fldChar w:fldCharType="begin"/>
      </w:r>
      <w:r>
        <w:instrText xml:space="preserve"> HYPERLINK \l "_Toc97547005" </w:instrText>
      </w:r>
      <w:r>
        <w:fldChar w:fldCharType="separate"/>
      </w:r>
      <w:r>
        <w:rPr>
          <w:rStyle w:val="16"/>
          <w:snapToGrid w:val="0"/>
          <w:lang w:eastAsia="zh-CN"/>
        </w:rPr>
        <w:t>A.</w:t>
      </w:r>
      <w:r>
        <w:rPr>
          <w:rFonts w:ascii="Calibri" w:hAnsi="Calibri"/>
          <w:kern w:val="2"/>
          <w:sz w:val="21"/>
          <w:szCs w:val="22"/>
          <w:lang w:eastAsia="zh-CN"/>
        </w:rPr>
        <w:tab/>
      </w:r>
      <w:r>
        <w:rPr>
          <w:rStyle w:val="16"/>
          <w:snapToGrid w:val="0"/>
          <w:lang w:eastAsia="zh-CN"/>
        </w:rPr>
        <w:t>FDA</w:t>
      </w:r>
      <w:r>
        <w:rPr>
          <w:rStyle w:val="16"/>
          <w:rFonts w:hint="eastAsia"/>
          <w:snapToGrid w:val="0"/>
          <w:lang w:eastAsia="zh-CN"/>
        </w:rPr>
        <w:t>网站</w:t>
      </w:r>
      <w:r>
        <w:tab/>
      </w:r>
      <w:r>
        <w:fldChar w:fldCharType="begin"/>
      </w:r>
      <w:r>
        <w:instrText xml:space="preserve"> PAGEREF _Toc97547005 \h </w:instrText>
      </w:r>
      <w:r>
        <w:fldChar w:fldCharType="separate"/>
      </w:r>
      <w:r>
        <w:t>25</w:t>
      </w:r>
      <w:r>
        <w:fldChar w:fldCharType="end"/>
      </w:r>
      <w:r>
        <w:fldChar w:fldCharType="end"/>
      </w:r>
    </w:p>
    <w:p w14:paraId="40957CD5">
      <w:pPr>
        <w:pStyle w:val="10"/>
        <w:tabs>
          <w:tab w:val="right" w:leader="dot" w:pos="9337"/>
          <w:tab w:val="clear" w:pos="9061"/>
        </w:tabs>
        <w:rPr>
          <w:rFonts w:ascii="Calibri" w:hAnsi="Calibri"/>
          <w:b w:val="0"/>
          <w:kern w:val="2"/>
          <w:sz w:val="21"/>
          <w:szCs w:val="22"/>
          <w:lang w:eastAsia="zh-CN"/>
        </w:rPr>
      </w:pPr>
      <w:r>
        <w:fldChar w:fldCharType="begin"/>
      </w:r>
      <w:r>
        <w:instrText xml:space="preserve"> HYPERLINK \l "_Toc97547006" </w:instrText>
      </w:r>
      <w:r>
        <w:fldChar w:fldCharType="separate"/>
      </w:r>
      <w:r>
        <w:rPr>
          <w:rStyle w:val="16"/>
          <w:rFonts w:hint="eastAsia"/>
          <w:snapToGrid w:val="0"/>
          <w:lang w:eastAsia="zh-CN"/>
        </w:rPr>
        <w:t>附录</w:t>
      </w:r>
      <w:r>
        <w:rPr>
          <w:rStyle w:val="16"/>
          <w:snapToGrid w:val="0"/>
          <w:lang w:eastAsia="zh-CN"/>
        </w:rPr>
        <w:t>1</w:t>
      </w:r>
      <w:r>
        <w:rPr>
          <w:rStyle w:val="16"/>
          <w:rFonts w:hint="eastAsia"/>
          <w:snapToGrid w:val="0"/>
          <w:lang w:eastAsia="zh-CN"/>
        </w:rPr>
        <w:t>：第</w:t>
      </w:r>
      <w:r>
        <w:rPr>
          <w:rStyle w:val="16"/>
          <w:snapToGrid w:val="0"/>
          <w:lang w:eastAsia="zh-CN"/>
        </w:rPr>
        <w:t>522</w:t>
      </w:r>
      <w:r>
        <w:rPr>
          <w:rStyle w:val="16"/>
          <w:rFonts w:hint="eastAsia"/>
          <w:snapToGrid w:val="0"/>
          <w:lang w:eastAsia="zh-CN"/>
        </w:rPr>
        <w:t>节管理核对表审查（根据《美国联邦法规》第21篇第</w:t>
      </w:r>
      <w:r>
        <w:rPr>
          <w:rStyle w:val="16"/>
          <w:snapToGrid w:val="0"/>
          <w:lang w:eastAsia="zh-CN"/>
        </w:rPr>
        <w:t>822.9</w:t>
      </w:r>
      <w:r>
        <w:rPr>
          <w:rStyle w:val="16"/>
          <w:rFonts w:hint="eastAsia"/>
          <w:snapToGrid w:val="0"/>
          <w:lang w:eastAsia="zh-CN"/>
        </w:rPr>
        <w:t>和</w:t>
      </w:r>
      <w:r>
        <w:rPr>
          <w:rStyle w:val="16"/>
          <w:snapToGrid w:val="0"/>
          <w:lang w:eastAsia="zh-CN"/>
        </w:rPr>
        <w:t>822.10</w:t>
      </w:r>
      <w:r>
        <w:rPr>
          <w:rStyle w:val="16"/>
          <w:rFonts w:hint="eastAsia"/>
          <w:snapToGrid w:val="0"/>
          <w:lang w:eastAsia="zh-CN"/>
        </w:rPr>
        <w:t>节）</w:t>
      </w:r>
      <w:r>
        <w:tab/>
      </w:r>
      <w:r>
        <w:fldChar w:fldCharType="begin"/>
      </w:r>
      <w:r>
        <w:instrText xml:space="preserve"> PAGEREF _Toc97547006 \h </w:instrText>
      </w:r>
      <w:r>
        <w:fldChar w:fldCharType="separate"/>
      </w:r>
      <w:r>
        <w:t>27</w:t>
      </w:r>
      <w:r>
        <w:fldChar w:fldCharType="end"/>
      </w:r>
      <w:r>
        <w:fldChar w:fldCharType="end"/>
      </w:r>
    </w:p>
    <w:p w14:paraId="00AD1200">
      <w:pPr>
        <w:adjustRightInd w:val="0"/>
        <w:snapToGrid w:val="0"/>
        <w:spacing w:after="0" w:line="240" w:lineRule="auto"/>
        <w:jc w:val="both"/>
        <w:rPr>
          <w:snapToGrid w:val="0"/>
          <w:szCs w:val="24"/>
          <w:lang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134" w:right="1134" w:bottom="1134" w:left="1418" w:header="567" w:footer="567" w:gutter="0"/>
          <w:cols w:space="720" w:num="1"/>
          <w:docGrid w:linePitch="299" w:charSpace="0"/>
        </w:sectPr>
      </w:pPr>
      <w:r>
        <w:rPr>
          <w:snapToGrid w:val="0"/>
          <w:szCs w:val="24"/>
          <w:lang w:eastAsia="zh-CN"/>
        </w:rPr>
        <w:fldChar w:fldCharType="end"/>
      </w:r>
    </w:p>
    <w:p w14:paraId="6616EF34">
      <w:pPr>
        <w:pBdr>
          <w:bottom w:val="single" w:color="auto" w:sz="4" w:space="1"/>
        </w:pBdr>
        <w:snapToGrid w:val="0"/>
        <w:spacing w:after="0" w:line="240" w:lineRule="auto"/>
        <w:jc w:val="center"/>
        <w:rPr>
          <w:b/>
          <w:sz w:val="44"/>
          <w:lang w:eastAsia="zh-CN"/>
        </w:rPr>
      </w:pPr>
      <w:r>
        <w:rPr>
          <w:rFonts w:hint="eastAsia"/>
          <w:b/>
          <w:sz w:val="44"/>
          <w:lang w:eastAsia="zh-CN"/>
        </w:rPr>
        <w:t>根据《联邦食品、药品和化妆品法案》第</w:t>
      </w:r>
      <w:r>
        <w:rPr>
          <w:b/>
          <w:sz w:val="44"/>
          <w:lang w:eastAsia="zh-CN"/>
        </w:rPr>
        <w:t>522</w:t>
      </w:r>
      <w:r>
        <w:rPr>
          <w:rFonts w:hint="eastAsia"/>
          <w:b/>
          <w:sz w:val="44"/>
          <w:lang w:eastAsia="zh-CN"/>
        </w:rPr>
        <w:t>节进行的上市后监督</w:t>
      </w:r>
    </w:p>
    <w:p w14:paraId="5937F9ED">
      <w:pPr>
        <w:snapToGrid w:val="0"/>
        <w:spacing w:after="0" w:line="240" w:lineRule="auto"/>
        <w:jc w:val="center"/>
        <w:rPr>
          <w:b/>
          <w:sz w:val="44"/>
          <w:lang w:eastAsia="zh-CN"/>
        </w:rPr>
      </w:pPr>
      <w:r>
        <w:rPr>
          <w:rFonts w:hint="eastAsia"/>
          <w:b/>
          <w:sz w:val="44"/>
          <w:lang w:eastAsia="zh-CN"/>
        </w:rPr>
        <w:t>面向行业和美国食品药品监督管理局工作人员的指南草案</w:t>
      </w:r>
    </w:p>
    <w:p w14:paraId="5B4EB93A">
      <w:pPr>
        <w:snapToGrid w:val="0"/>
        <w:spacing w:after="0" w:line="240" w:lineRule="auto"/>
        <w:jc w:val="center"/>
        <w:rPr>
          <w:b/>
          <w:bCs/>
          <w:snapToGrid w:val="0"/>
          <w:szCs w:val="24"/>
          <w:lang w:eastAsia="zh-CN"/>
        </w:rPr>
      </w:pPr>
      <w:bookmarkStart w:id="0" w:name="_Toc91249648"/>
    </w:p>
    <w:p w14:paraId="0A7D2305">
      <w:pPr>
        <w:pBdr>
          <w:top w:val="thinThickThinSmallGap" w:color="auto" w:sz="24" w:space="1"/>
          <w:left w:val="thinThickThinSmallGap" w:color="auto" w:sz="24" w:space="4"/>
          <w:bottom w:val="thinThickThinSmallGap" w:color="auto" w:sz="24" w:space="1"/>
          <w:right w:val="thinThickThinSmallGap" w:color="auto" w:sz="24" w:space="4"/>
        </w:pBdr>
        <w:snapToGrid w:val="0"/>
        <w:spacing w:after="0" w:line="240" w:lineRule="auto"/>
        <w:ind w:firstLine="482" w:firstLineChars="200"/>
        <w:jc w:val="both"/>
        <w:rPr>
          <w:b/>
          <w:bCs/>
          <w:snapToGrid w:val="0"/>
          <w:szCs w:val="24"/>
          <w:lang w:eastAsia="zh-CN"/>
        </w:rPr>
      </w:pPr>
      <w:r>
        <w:rPr>
          <w:rFonts w:hint="eastAsia"/>
          <w:b/>
          <w:i/>
          <w:snapToGrid w:val="0"/>
          <w:szCs w:val="24"/>
          <w:lang w:eastAsia="zh-CN"/>
        </w:rPr>
        <w:t>本指南代表美国食品药品监督管理局（FDA或本机构）目前关于该主题的思考。其不会为任何人创造或赋予任何权利，也不会对FDA或公众产生约束。如果替代方法满足适用的法律法规要求，则可以使用该替代方法。如需讨论替代方法，请联系标题页列出的负责实施本指南文件的FDA工作人员或办公室。</w:t>
      </w:r>
    </w:p>
    <w:p w14:paraId="554BC176">
      <w:pPr>
        <w:snapToGrid w:val="0"/>
        <w:spacing w:after="0" w:line="240" w:lineRule="auto"/>
        <w:jc w:val="both"/>
        <w:rPr>
          <w:snapToGrid w:val="0"/>
          <w:szCs w:val="24"/>
          <w:lang w:eastAsia="zh-CN"/>
        </w:rPr>
      </w:pPr>
    </w:p>
    <w:p w14:paraId="5E5B7811">
      <w:pPr>
        <w:pStyle w:val="2"/>
        <w:numPr>
          <w:ilvl w:val="0"/>
          <w:numId w:val="1"/>
        </w:numPr>
        <w:snapToGrid w:val="0"/>
        <w:spacing w:before="0" w:beforeLines="0" w:line="240" w:lineRule="auto"/>
        <w:ind w:left="562" w:hanging="562" w:firstLineChars="0"/>
        <w:rPr>
          <w:rFonts w:eastAsia="宋体"/>
          <w:sz w:val="28"/>
        </w:rPr>
      </w:pPr>
      <w:bookmarkStart w:id="1" w:name="_Toc97546980"/>
      <w:r>
        <w:rPr>
          <w:rFonts w:hint="eastAsia" w:eastAsia="宋体"/>
          <w:sz w:val="28"/>
        </w:rPr>
        <w:t>引言</w:t>
      </w:r>
      <w:bookmarkEnd w:id="0"/>
      <w:bookmarkEnd w:id="1"/>
    </w:p>
    <w:p w14:paraId="482C93C9">
      <w:pPr>
        <w:tabs>
          <w:tab w:val="left" w:pos="567"/>
        </w:tabs>
        <w:snapToGrid w:val="0"/>
        <w:spacing w:after="0" w:line="240" w:lineRule="auto"/>
        <w:ind w:left="240" w:leftChars="100" w:firstLine="480" w:firstLineChars="200"/>
        <w:jc w:val="both"/>
        <w:rPr>
          <w:lang w:eastAsia="zh-CN"/>
        </w:rPr>
      </w:pPr>
      <w:r>
        <w:rPr>
          <w:rFonts w:hint="eastAsia"/>
          <w:lang w:eastAsia="zh-CN"/>
        </w:rPr>
        <w:t>《联邦食品、药品和化妆品法案》《</w:t>
      </w:r>
      <w:r>
        <w:rPr>
          <w:lang w:eastAsia="zh-CN"/>
        </w:rPr>
        <w:t>FD&amp;C</w:t>
      </w:r>
      <w:r>
        <w:rPr>
          <w:rFonts w:hint="eastAsia"/>
          <w:lang w:eastAsia="zh-CN"/>
        </w:rPr>
        <w:t>法案》第</w:t>
      </w:r>
      <w:r>
        <w:rPr>
          <w:lang w:eastAsia="zh-CN"/>
        </w:rPr>
        <w:t>522</w:t>
      </w:r>
      <w:r>
        <w:rPr>
          <w:rFonts w:hint="eastAsia"/>
          <w:lang w:eastAsia="zh-CN"/>
        </w:rPr>
        <w:t>节规定，美国食品药品监督管理局（</w:t>
      </w:r>
      <w:r>
        <w:rPr>
          <w:lang w:eastAsia="zh-CN"/>
        </w:rPr>
        <w:t>FDA</w:t>
      </w:r>
      <w:r>
        <w:rPr>
          <w:rFonts w:hint="eastAsia"/>
          <w:lang w:eastAsia="zh-CN"/>
        </w:rPr>
        <w:t>）有权要求制造商在批准或许可之时或之后的任何时间</w:t>
      </w:r>
      <w:r>
        <w:rPr>
          <w:snapToGrid w:val="0"/>
          <w:szCs w:val="24"/>
          <w:lang w:eastAsia="zh-CN"/>
        </w:rPr>
        <w:t>，</w:t>
      </w:r>
      <w:r>
        <w:rPr>
          <w:rFonts w:hint="eastAsia"/>
          <w:lang w:eastAsia="zh-CN"/>
        </w:rPr>
        <w:t>对某些</w:t>
      </w:r>
      <w:r>
        <w:rPr>
          <w:lang w:eastAsia="zh-CN"/>
        </w:rPr>
        <w:t>II</w:t>
      </w:r>
      <w:r>
        <w:rPr>
          <w:rFonts w:hint="eastAsia"/>
          <w:lang w:eastAsia="zh-CN"/>
        </w:rPr>
        <w:t>类或</w:t>
      </w:r>
      <w:r>
        <w:rPr>
          <w:lang w:eastAsia="zh-CN"/>
        </w:rPr>
        <w:t>III</w:t>
      </w:r>
      <w:r>
        <w:rPr>
          <w:rFonts w:hint="eastAsia"/>
          <w:lang w:eastAsia="zh-CN"/>
        </w:rPr>
        <w:t>类器械进行上市后监督。上市后监督是以主动、系统、科学有效的方式采集、分析并解读</w:t>
      </w:r>
      <w:r>
        <w:rPr>
          <w:snapToGrid w:val="0"/>
          <w:szCs w:val="24"/>
          <w:lang w:eastAsia="zh-CN"/>
        </w:rPr>
        <w:t>有关</w:t>
      </w:r>
      <w:r>
        <w:rPr>
          <w:rFonts w:hint="eastAsia"/>
          <w:lang w:eastAsia="zh-CN"/>
        </w:rPr>
        <w:t>已上市医疗器械的数据和其他信息的过程。</w:t>
      </w:r>
      <w:r>
        <w:rPr>
          <w:rStyle w:val="17"/>
          <w:snapToGrid w:val="0"/>
          <w:szCs w:val="24"/>
          <w:lang w:eastAsia="zh-CN"/>
        </w:rPr>
        <w:footnoteReference w:id="0"/>
      </w:r>
      <w:r>
        <w:rPr>
          <w:rFonts w:hint="eastAsia"/>
          <w:lang w:eastAsia="zh-CN"/>
        </w:rPr>
        <w:t>根据监督指令收集的数据有助于解决有关器械安全性和有效性的重要公共卫生问题。</w:t>
      </w:r>
    </w:p>
    <w:p w14:paraId="2ED85DE2">
      <w:pPr>
        <w:tabs>
          <w:tab w:val="left" w:pos="567"/>
        </w:tabs>
        <w:snapToGrid w:val="0"/>
        <w:spacing w:after="0" w:line="240" w:lineRule="auto"/>
        <w:ind w:left="240" w:leftChars="100" w:firstLine="480" w:firstLineChars="200"/>
        <w:jc w:val="both"/>
        <w:rPr>
          <w:snapToGrid w:val="0"/>
          <w:szCs w:val="24"/>
          <w:lang w:eastAsia="zh-CN"/>
        </w:rPr>
      </w:pPr>
    </w:p>
    <w:p w14:paraId="39A39396">
      <w:pPr>
        <w:pStyle w:val="24"/>
        <w:autoSpaceDE/>
        <w:autoSpaceDN/>
        <w:adjustRightInd/>
        <w:snapToGrid w:val="0"/>
        <w:ind w:left="240" w:leftChars="100" w:firstLine="480" w:firstLineChars="200"/>
        <w:jc w:val="both"/>
        <w:rPr>
          <w:snapToGrid w:val="0"/>
          <w:lang w:eastAsia="zh-CN"/>
        </w:rPr>
      </w:pPr>
      <w:r>
        <w:rPr>
          <w:snapToGrid w:val="0"/>
          <w:lang w:eastAsia="zh-CN"/>
        </w:rPr>
        <w:t>本指南草案定稿后，将通过提供以下内容，协助受第522节《上市后监督指令》（522指令）约束的医疗器械制造商：</w:t>
      </w:r>
    </w:p>
    <w:p w14:paraId="046FD6AB">
      <w:pPr>
        <w:pStyle w:val="24"/>
        <w:autoSpaceDE/>
        <w:autoSpaceDN/>
        <w:adjustRightInd/>
        <w:snapToGrid w:val="0"/>
        <w:ind w:left="240" w:leftChars="100" w:firstLine="480" w:firstLineChars="200"/>
        <w:jc w:val="both"/>
        <w:rPr>
          <w:snapToGrid w:val="0"/>
          <w:lang w:eastAsia="zh-CN"/>
        </w:rPr>
      </w:pPr>
    </w:p>
    <w:p w14:paraId="5ABC54FA">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《FD&amp;C法案》第522节概述；</w:t>
      </w:r>
    </w:p>
    <w:p w14:paraId="4AE56EF0">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有关如何履行第522节义务</w:t>
      </w:r>
      <w:r>
        <w:rPr>
          <w:rStyle w:val="17"/>
          <w:snapToGrid w:val="0"/>
          <w:lang w:eastAsia="zh-CN"/>
        </w:rPr>
        <w:footnoteReference w:id="1"/>
      </w:r>
      <w:r>
        <w:rPr>
          <w:snapToGrid w:val="0"/>
          <w:lang w:eastAsia="zh-CN"/>
        </w:rPr>
        <w:t>的信息，包括：</w:t>
      </w:r>
    </w:p>
    <w:p w14:paraId="20CC0343">
      <w:pPr>
        <w:pStyle w:val="24"/>
        <w:numPr>
          <w:ilvl w:val="0"/>
          <w:numId w:val="3"/>
        </w:numPr>
        <w:autoSpaceDE/>
        <w:autoSpaceDN/>
        <w:snapToGrid w:val="0"/>
        <w:ind w:left="1440" w:leftChars="600"/>
        <w:jc w:val="both"/>
        <w:rPr>
          <w:snapToGrid w:val="0"/>
          <w:lang w:eastAsia="zh-CN"/>
        </w:rPr>
      </w:pPr>
      <w:r>
        <w:rPr>
          <w:snapToGrid w:val="0"/>
          <w:lang w:eastAsia="zh-CN"/>
        </w:rPr>
        <w:t>应考虑开展上市后监督的时间；</w:t>
      </w:r>
    </w:p>
    <w:p w14:paraId="05C5A856">
      <w:pPr>
        <w:pStyle w:val="24"/>
        <w:numPr>
          <w:ilvl w:val="0"/>
          <w:numId w:val="3"/>
        </w:numPr>
        <w:autoSpaceDE/>
        <w:autoSpaceDN/>
        <w:snapToGrid w:val="0"/>
        <w:ind w:left="1440" w:leftChars="600"/>
        <w:jc w:val="both"/>
        <w:rPr>
          <w:snapToGrid w:val="0"/>
          <w:lang w:eastAsia="zh-CN"/>
        </w:rPr>
      </w:pPr>
      <w:r>
        <w:rPr>
          <w:snapToGrid w:val="0"/>
          <w:lang w:eastAsia="zh-CN"/>
        </w:rPr>
        <w:t>及时完成已批准上市后监督计划的建议；以及</w:t>
      </w:r>
    </w:p>
    <w:p w14:paraId="79DD99B5">
      <w:pPr>
        <w:snapToGrid w:val="0"/>
        <w:spacing w:after="0" w:line="240" w:lineRule="auto"/>
        <w:jc w:val="both"/>
        <w:rPr>
          <w:lang w:eastAsia="zh-CN"/>
        </w:rPr>
      </w:pPr>
      <w:r>
        <w:rPr>
          <w:lang w:eastAsia="zh-CN"/>
        </w:rPr>
        <w:br w:type="page"/>
      </w:r>
    </w:p>
    <w:p w14:paraId="5E5A75CC">
      <w:pPr>
        <w:pStyle w:val="24"/>
        <w:numPr>
          <w:ilvl w:val="0"/>
          <w:numId w:val="3"/>
        </w:numPr>
        <w:autoSpaceDE/>
        <w:autoSpaceDN/>
        <w:snapToGrid w:val="0"/>
        <w:ind w:left="1440" w:leftChars="600"/>
        <w:jc w:val="both"/>
        <w:rPr>
          <w:snapToGrid w:val="0"/>
          <w:lang w:eastAsia="zh-CN"/>
        </w:rPr>
      </w:pPr>
      <w:r>
        <w:rPr>
          <w:snapToGrid w:val="0"/>
          <w:lang w:eastAsia="zh-CN"/>
        </w:rPr>
        <w:t>关于帮助及时完成上市后监督的入组时间表的建议；</w:t>
      </w:r>
    </w:p>
    <w:p w14:paraId="2A82E0F4">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关于上市后监督计划和报告提交的格式、内容和审查的建议，包括修订后的FDA对上市后监督相关提交资料的审查时间；和</w:t>
      </w:r>
    </w:p>
    <w:p w14:paraId="7CAA2F58">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更新监督状态类别，以更好地反映进展情况。</w:t>
      </w:r>
    </w:p>
    <w:p w14:paraId="0C7EE948">
      <w:pPr>
        <w:snapToGrid w:val="0"/>
        <w:spacing w:after="0" w:line="240" w:lineRule="auto"/>
        <w:ind w:firstLine="480" w:firstLineChars="200"/>
        <w:jc w:val="both"/>
        <w:rPr>
          <w:snapToGrid w:val="0"/>
          <w:color w:val="000000"/>
          <w:szCs w:val="24"/>
          <w:lang w:eastAsia="zh-CN"/>
        </w:rPr>
      </w:pPr>
    </w:p>
    <w:p w14:paraId="6FEFF8E4">
      <w:pPr>
        <w:snapToGrid w:val="0"/>
        <w:spacing w:after="0" w:line="240" w:lineRule="auto"/>
        <w:ind w:left="240" w:leftChars="100" w:firstLine="480" w:firstLineChars="200"/>
        <w:jc w:val="both"/>
        <w:rPr>
          <w:color w:val="000000"/>
          <w:vertAlign w:val="superscript"/>
          <w:lang w:eastAsia="zh-CN"/>
        </w:rPr>
      </w:pPr>
      <w:r>
        <w:rPr>
          <w:rFonts w:hint="eastAsia"/>
          <w:color w:val="000000"/>
          <w:lang w:eastAsia="zh-CN"/>
        </w:rPr>
        <w:t>该指南草案还旨在提高利益相关者</w:t>
      </w:r>
      <w:r>
        <w:rPr>
          <w:snapToGrid w:val="0"/>
          <w:color w:val="000000"/>
          <w:szCs w:val="24"/>
          <w:lang w:eastAsia="zh-CN"/>
        </w:rPr>
        <w:t>对下列问题的透明度：</w:t>
      </w:r>
      <w:r>
        <w:rPr>
          <w:color w:val="000000"/>
          <w:lang w:eastAsia="zh-CN"/>
        </w:rPr>
        <w:t>FDA</w:t>
      </w:r>
      <w:r>
        <w:rPr>
          <w:rFonts w:hint="eastAsia"/>
          <w:color w:val="000000"/>
          <w:lang w:eastAsia="zh-CN"/>
        </w:rPr>
        <w:t>发布和跟踪</w:t>
      </w:r>
      <w:r>
        <w:rPr>
          <w:snapToGrid w:val="0"/>
          <w:color w:val="000000"/>
          <w:szCs w:val="24"/>
          <w:lang w:eastAsia="zh-CN"/>
        </w:rPr>
        <w:t>第522节</w:t>
      </w:r>
      <w:r>
        <w:rPr>
          <w:rFonts w:hint="eastAsia"/>
          <w:color w:val="000000"/>
          <w:lang w:eastAsia="zh-CN"/>
        </w:rPr>
        <w:t>上市后监督指令的方法，以及对及时完成研究的期望。本机构提高透明度的举措包括在</w:t>
      </w:r>
      <w:r>
        <w:rPr>
          <w:color w:val="000000"/>
          <w:lang w:eastAsia="zh-CN"/>
        </w:rPr>
        <w:t>FDA</w:t>
      </w:r>
      <w:r>
        <w:rPr>
          <w:rFonts w:hint="eastAsia"/>
          <w:color w:val="000000"/>
          <w:lang w:eastAsia="zh-CN"/>
        </w:rPr>
        <w:t>网站上公布制造商在处理第</w:t>
      </w:r>
      <w:r>
        <w:rPr>
          <w:color w:val="000000"/>
          <w:lang w:eastAsia="zh-CN"/>
        </w:rPr>
        <w:t>522</w:t>
      </w:r>
      <w:r>
        <w:rPr>
          <w:rFonts w:hint="eastAsia"/>
          <w:color w:val="000000"/>
          <w:lang w:eastAsia="zh-CN"/>
        </w:rPr>
        <w:t>节指令方面的进展。</w:t>
      </w:r>
      <w:r>
        <w:rPr>
          <w:rStyle w:val="17"/>
          <w:snapToGrid w:val="0"/>
          <w:color w:val="000000"/>
          <w:szCs w:val="24"/>
          <w:lang w:eastAsia="zh-CN"/>
        </w:rPr>
        <w:footnoteReference w:id="2"/>
      </w:r>
    </w:p>
    <w:p w14:paraId="79983B89">
      <w:pPr>
        <w:snapToGrid w:val="0"/>
        <w:spacing w:after="0" w:line="240" w:lineRule="auto"/>
        <w:ind w:left="240" w:leftChars="100" w:firstLine="480" w:firstLineChars="200"/>
        <w:jc w:val="both"/>
        <w:rPr>
          <w:snapToGrid w:val="0"/>
          <w:color w:val="000000"/>
          <w:szCs w:val="24"/>
          <w:lang w:eastAsia="zh-CN"/>
        </w:rPr>
      </w:pPr>
    </w:p>
    <w:p w14:paraId="22A276A9">
      <w:pPr>
        <w:snapToGrid w:val="0"/>
        <w:spacing w:after="120" w:afterLines="50"/>
        <w:ind w:firstLine="480" w:firstLineChars="200"/>
        <w:jc w:val="both"/>
        <w:rPr>
          <w:lang w:eastAsia="zh-CN"/>
        </w:rPr>
      </w:pPr>
      <w:r>
        <w:rPr>
          <w:rFonts w:hint="eastAsia"/>
          <w:color w:val="000000"/>
          <w:lang w:eastAsia="zh-CN"/>
        </w:rPr>
        <w:t>本文件内容</w:t>
      </w:r>
      <w:r>
        <w:rPr>
          <w:snapToGrid w:val="0"/>
          <w:color w:val="000000"/>
          <w:szCs w:val="24"/>
          <w:lang w:eastAsia="zh-CN"/>
        </w:rPr>
        <w:t>除非明确并入合同，否则</w:t>
      </w:r>
      <w:r>
        <w:rPr>
          <w:rFonts w:hint="eastAsia"/>
          <w:color w:val="000000"/>
          <w:lang w:eastAsia="zh-CN"/>
        </w:rPr>
        <w:t>不具有法律效力，不以任何方式约束公众。本文件仅用于向公众说明法律规定的现有要求。</w:t>
      </w:r>
      <w:r>
        <w:rPr>
          <w:snapToGrid w:val="0"/>
          <w:lang w:eastAsia="zh-CN"/>
        </w:rPr>
        <w:t>一般来说，FDA指南文件，包括本指南在内，不具有法律强制责任。相反，指南表明了本机构关于这一主题的最新见解，除非引用具体的法规或法律要求，否则只应视为建议。</w:t>
      </w:r>
      <w:r>
        <w:rPr>
          <w:rFonts w:hint="eastAsia"/>
          <w:lang w:eastAsia="zh-CN"/>
        </w:rPr>
        <w:t>FDA</w:t>
      </w:r>
      <w:r>
        <w:rPr>
          <w:rFonts w:hint="eastAsia" w:ascii="宋体" w:hAnsi="宋体" w:cs="宋体"/>
          <w:lang w:eastAsia="zh-CN"/>
        </w:rPr>
        <w:t>指南中出现的</w:t>
      </w:r>
      <w:r>
        <w:rPr>
          <w:lang w:eastAsia="zh-CN"/>
        </w:rPr>
        <w:t>“</w:t>
      </w:r>
      <w:r>
        <w:rPr>
          <w:rFonts w:hint="eastAsia" w:ascii="宋体" w:hAnsi="宋体" w:cs="宋体"/>
          <w:lang w:eastAsia="zh-CN"/>
        </w:rPr>
        <w:t>应（当）</w:t>
      </w:r>
      <w:r>
        <w:rPr>
          <w:lang w:eastAsia="zh-CN"/>
        </w:rPr>
        <w:t>”</w:t>
      </w:r>
      <w:r>
        <w:rPr>
          <w:rFonts w:hint="eastAsia" w:ascii="宋体" w:hAnsi="宋体" w:cs="宋体"/>
          <w:lang w:eastAsia="zh-CN"/>
        </w:rPr>
        <w:t>的词义是指建议或推荐，而非要求。</w:t>
      </w:r>
    </w:p>
    <w:p w14:paraId="14C08860">
      <w:pPr>
        <w:snapToGrid w:val="0"/>
        <w:spacing w:after="0" w:line="240" w:lineRule="auto"/>
        <w:ind w:left="240" w:leftChars="100" w:firstLine="480" w:firstLineChars="200"/>
        <w:jc w:val="both"/>
        <w:rPr>
          <w:lang w:eastAsia="zh-CN"/>
        </w:rPr>
      </w:pPr>
      <w:r>
        <w:rPr>
          <w:rFonts w:hint="eastAsia"/>
          <w:lang w:eastAsia="zh-CN"/>
        </w:rPr>
        <w:t xml:space="preserve"> </w:t>
      </w:r>
    </w:p>
    <w:p w14:paraId="1DF393B7">
      <w:pPr>
        <w:snapToGrid w:val="0"/>
        <w:spacing w:after="0" w:line="240" w:lineRule="auto"/>
        <w:ind w:left="240" w:leftChars="100" w:firstLine="480" w:firstLineChars="200"/>
        <w:jc w:val="both"/>
        <w:rPr>
          <w:lang w:eastAsia="zh-CN"/>
        </w:rPr>
      </w:pPr>
    </w:p>
    <w:p w14:paraId="26D693AB">
      <w:pPr>
        <w:pStyle w:val="2"/>
        <w:numPr>
          <w:ilvl w:val="0"/>
          <w:numId w:val="1"/>
        </w:numPr>
        <w:snapToGrid w:val="0"/>
        <w:spacing w:before="0" w:beforeLines="0" w:line="240" w:lineRule="auto"/>
        <w:ind w:left="562" w:hanging="562" w:firstLineChars="0"/>
        <w:rPr>
          <w:rFonts w:eastAsia="宋体"/>
          <w:sz w:val="28"/>
        </w:rPr>
      </w:pPr>
      <w:bookmarkStart w:id="2" w:name="_Toc91249649"/>
      <w:bookmarkStart w:id="3" w:name="_Toc97546981"/>
      <w:r>
        <w:rPr>
          <w:rFonts w:eastAsia="宋体"/>
          <w:sz w:val="28"/>
        </w:rPr>
        <w:t>522</w:t>
      </w:r>
      <w:r>
        <w:rPr>
          <w:rFonts w:hint="eastAsia" w:eastAsia="宋体"/>
          <w:sz w:val="28"/>
        </w:rPr>
        <w:t>前</w:t>
      </w:r>
      <w:r>
        <w:rPr>
          <w:rFonts w:eastAsia="宋体"/>
          <w:snapToGrid w:val="0"/>
          <w:sz w:val="28"/>
          <w:szCs w:val="24"/>
          <w:lang w:eastAsia="zh-CN"/>
        </w:rPr>
        <w:t>的</w:t>
      </w:r>
      <w:r>
        <w:rPr>
          <w:rFonts w:hint="eastAsia" w:eastAsia="宋体"/>
          <w:sz w:val="28"/>
        </w:rPr>
        <w:t>上市后监督程序</w:t>
      </w:r>
      <w:bookmarkEnd w:id="2"/>
      <w:bookmarkEnd w:id="3"/>
    </w:p>
    <w:p w14:paraId="7FB68177">
      <w:pPr>
        <w:spacing w:after="0"/>
        <w:jc w:val="both"/>
        <w:rPr>
          <w:lang w:eastAsia="zh-CN"/>
        </w:rPr>
      </w:pPr>
    </w:p>
    <w:p w14:paraId="1F067071">
      <w:pPr>
        <w:pStyle w:val="3"/>
        <w:snapToGrid w:val="0"/>
        <w:spacing w:before="0" w:beforeLines="0" w:line="240" w:lineRule="auto"/>
        <w:ind w:left="1162" w:leftChars="250"/>
        <w:rPr>
          <w:rFonts w:eastAsia="宋体"/>
          <w:snapToGrid w:val="0"/>
          <w:szCs w:val="24"/>
          <w:lang w:eastAsia="zh-CN"/>
        </w:rPr>
      </w:pPr>
      <w:bookmarkStart w:id="4" w:name="_Toc91249650"/>
      <w:bookmarkStart w:id="5" w:name="_Toc97546982"/>
      <w:r>
        <w:rPr>
          <w:rFonts w:eastAsia="宋体"/>
          <w:snapToGrid w:val="0"/>
          <w:szCs w:val="24"/>
          <w:lang w:eastAsia="zh-CN"/>
        </w:rPr>
        <w:t>A.</w:t>
      </w:r>
      <w:r>
        <w:rPr>
          <w:rFonts w:eastAsia="宋体"/>
          <w:snapToGrid w:val="0"/>
          <w:szCs w:val="24"/>
          <w:lang w:eastAsia="zh-CN"/>
        </w:rPr>
        <w:tab/>
      </w:r>
      <w:r>
        <w:rPr>
          <w:rFonts w:eastAsia="宋体"/>
          <w:snapToGrid w:val="0"/>
          <w:szCs w:val="24"/>
          <w:lang w:eastAsia="zh-CN"/>
        </w:rPr>
        <w:t>法律背景</w:t>
      </w:r>
      <w:bookmarkEnd w:id="4"/>
      <w:bookmarkEnd w:id="5"/>
    </w:p>
    <w:p w14:paraId="46FFD7C9">
      <w:pPr>
        <w:tabs>
          <w:tab w:val="left" w:pos="567"/>
        </w:tabs>
        <w:snapToGrid w:val="0"/>
        <w:spacing w:after="0" w:line="240" w:lineRule="auto"/>
        <w:ind w:left="240" w:leftChars="100" w:firstLine="480" w:firstLineChars="200"/>
        <w:jc w:val="both"/>
        <w:rPr>
          <w:lang w:eastAsia="zh-CN"/>
        </w:rPr>
      </w:pPr>
      <w:r>
        <w:rPr>
          <w:snapToGrid w:val="0"/>
          <w:szCs w:val="24"/>
          <w:lang w:eastAsia="zh-CN"/>
        </w:rPr>
        <w:t>如果</w:t>
      </w:r>
      <w:r>
        <w:rPr>
          <w:lang w:eastAsia="zh-CN"/>
        </w:rPr>
        <w:t>FDA</w:t>
      </w:r>
      <w:r>
        <w:rPr>
          <w:rFonts w:hint="eastAsia"/>
          <w:lang w:eastAsia="zh-CN"/>
        </w:rPr>
        <w:t>发现可能需要上市后监督的器械存在潜在问题（如</w:t>
      </w:r>
      <w:r>
        <w:rPr>
          <w:rFonts w:hint="eastAsia"/>
          <w:color w:val="000000"/>
          <w:lang w:eastAsia="zh-CN"/>
        </w:rPr>
        <w:t>下文</w:t>
      </w:r>
      <w:r>
        <w:rPr>
          <w:rFonts w:hint="eastAsia"/>
          <w:color w:val="0000FF"/>
          <w:u w:val="single"/>
          <w:lang w:eastAsia="zh-CN"/>
        </w:rPr>
        <w:t>第</w:t>
      </w:r>
      <w:r>
        <w:rPr>
          <w:color w:val="0000FF"/>
          <w:u w:val="single"/>
          <w:lang w:eastAsia="zh-CN"/>
        </w:rPr>
        <w:t>II.B</w:t>
      </w:r>
      <w:r>
        <w:rPr>
          <w:rFonts w:hint="eastAsia"/>
          <w:color w:val="0000FF"/>
          <w:u w:val="single"/>
          <w:lang w:eastAsia="zh-CN"/>
        </w:rPr>
        <w:t>节</w:t>
      </w:r>
      <w:r>
        <w:rPr>
          <w:rFonts w:hint="eastAsia"/>
          <w:lang w:eastAsia="zh-CN"/>
        </w:rPr>
        <w:t>所述），</w:t>
      </w:r>
      <w:r>
        <w:rPr>
          <w:rFonts w:hint="eastAsia"/>
          <w:color w:val="000000"/>
          <w:lang w:eastAsia="zh-CN"/>
        </w:rPr>
        <w:t>相关审查小组</w:t>
      </w:r>
      <w:r>
        <w:rPr>
          <w:snapToGrid w:val="0"/>
          <w:szCs w:val="24"/>
          <w:lang w:eastAsia="zh-CN"/>
        </w:rPr>
        <w:t>会</w:t>
      </w:r>
      <w:r>
        <w:rPr>
          <w:rFonts w:hint="eastAsia"/>
          <w:lang w:eastAsia="zh-CN"/>
        </w:rPr>
        <w:t>评估</w:t>
      </w:r>
      <w:r>
        <w:rPr>
          <w:lang w:eastAsia="zh-CN"/>
        </w:rPr>
        <w:t>522</w:t>
      </w:r>
      <w:r>
        <w:rPr>
          <w:rFonts w:hint="eastAsia"/>
          <w:lang w:eastAsia="zh-CN"/>
        </w:rPr>
        <w:t>指令是否适用，是否符合法定标准。</w:t>
      </w:r>
    </w:p>
    <w:p w14:paraId="479C9C44">
      <w:pPr>
        <w:tabs>
          <w:tab w:val="left" w:pos="567"/>
        </w:tabs>
        <w:snapToGrid w:val="0"/>
        <w:spacing w:after="0" w:line="240" w:lineRule="auto"/>
        <w:ind w:left="240" w:leftChars="100" w:firstLine="480" w:firstLineChars="200"/>
        <w:jc w:val="both"/>
        <w:rPr>
          <w:snapToGrid w:val="0"/>
          <w:szCs w:val="24"/>
          <w:lang w:eastAsia="zh-CN"/>
        </w:rPr>
      </w:pPr>
    </w:p>
    <w:p w14:paraId="4E3F9BF0">
      <w:pPr>
        <w:tabs>
          <w:tab w:val="left" w:pos="567"/>
        </w:tabs>
        <w:snapToGrid w:val="0"/>
        <w:spacing w:after="0" w:line="240" w:lineRule="auto"/>
        <w:ind w:left="240" w:leftChars="100" w:firstLine="480" w:firstLineChars="200"/>
        <w:jc w:val="both"/>
        <w:rPr>
          <w:lang w:eastAsia="zh-CN"/>
        </w:rPr>
      </w:pPr>
      <w:r>
        <w:rPr>
          <w:rFonts w:hint="eastAsia"/>
          <w:lang w:eastAsia="zh-CN"/>
        </w:rPr>
        <w:t>《</w:t>
      </w:r>
      <w:r>
        <w:rPr>
          <w:lang w:eastAsia="zh-CN"/>
        </w:rPr>
        <w:t>FD&amp;C</w:t>
      </w:r>
      <w:r>
        <w:rPr>
          <w:rFonts w:hint="eastAsia"/>
          <w:lang w:eastAsia="zh-CN"/>
        </w:rPr>
        <w:t>法案》</w:t>
      </w:r>
      <w:r>
        <w:rPr>
          <w:snapToGrid w:val="0"/>
          <w:szCs w:val="24"/>
          <w:lang w:eastAsia="zh-CN"/>
        </w:rPr>
        <w:t>522节和《美国法典》第21篇第3601条</w:t>
      </w:r>
      <w:r>
        <w:rPr>
          <w:rFonts w:hint="eastAsia"/>
          <w:lang w:eastAsia="zh-CN"/>
        </w:rPr>
        <w:t>授权</w:t>
      </w:r>
      <w:r>
        <w:rPr>
          <w:lang w:eastAsia="zh-CN"/>
        </w:rPr>
        <w:t>FDA</w:t>
      </w:r>
      <w:r>
        <w:rPr>
          <w:rFonts w:hint="eastAsia"/>
          <w:lang w:eastAsia="zh-CN"/>
        </w:rPr>
        <w:t>在下列情况要求进行上市后监督：</w:t>
      </w:r>
    </w:p>
    <w:p w14:paraId="113E6AB2">
      <w:pPr>
        <w:tabs>
          <w:tab w:val="left" w:pos="567"/>
        </w:tabs>
        <w:snapToGrid w:val="0"/>
        <w:spacing w:after="0" w:line="240" w:lineRule="auto"/>
        <w:ind w:left="240" w:leftChars="100" w:firstLine="480" w:firstLineChars="200"/>
        <w:jc w:val="both"/>
        <w:rPr>
          <w:snapToGrid w:val="0"/>
          <w:szCs w:val="24"/>
          <w:lang w:eastAsia="zh-CN"/>
        </w:rPr>
      </w:pPr>
    </w:p>
    <w:p w14:paraId="0FDA67B6">
      <w:pPr>
        <w:pStyle w:val="24"/>
        <w:numPr>
          <w:ilvl w:val="0"/>
          <w:numId w:val="2"/>
        </w:numPr>
        <w:tabs>
          <w:tab w:val="left" w:pos="896"/>
        </w:tabs>
        <w:autoSpaceDE/>
        <w:autoSpaceDN/>
        <w:snapToGrid w:val="0"/>
        <w:jc w:val="both"/>
        <w:rPr>
          <w:snapToGrid w:val="0"/>
          <w:lang w:eastAsia="zh-CN"/>
        </w:rPr>
      </w:pPr>
      <w:r>
        <w:rPr>
          <w:snapToGrid w:val="0"/>
          <w:lang w:eastAsia="zh-CN"/>
        </w:rPr>
        <w:t>因器械故障而可能产生严重不良健康后果的II类或III类器械（《FD&amp;C法案》第522(a)(1)(A)(i)节）；</w:t>
      </w:r>
    </w:p>
    <w:p w14:paraId="4317D319">
      <w:pPr>
        <w:pStyle w:val="24"/>
        <w:tabs>
          <w:tab w:val="left" w:pos="896"/>
          <w:tab w:val="left" w:pos="980"/>
        </w:tabs>
        <w:autoSpaceDE/>
        <w:autoSpaceDN/>
        <w:snapToGrid w:val="0"/>
        <w:ind w:left="970"/>
        <w:jc w:val="both"/>
        <w:rPr>
          <w:snapToGrid w:val="0"/>
          <w:lang w:eastAsia="zh-CN"/>
        </w:rPr>
      </w:pPr>
    </w:p>
    <w:p w14:paraId="595BBA2B">
      <w:pPr>
        <w:pStyle w:val="24"/>
        <w:numPr>
          <w:ilvl w:val="0"/>
          <w:numId w:val="2"/>
        </w:numPr>
        <w:tabs>
          <w:tab w:val="left" w:pos="896"/>
        </w:tabs>
        <w:autoSpaceDE/>
        <w:autoSpaceDN/>
        <w:snapToGrid w:val="0"/>
        <w:jc w:val="both"/>
        <w:rPr>
          <w:snapToGrid w:val="0"/>
          <w:lang w:eastAsia="zh-CN"/>
        </w:rPr>
      </w:pPr>
      <w:r>
        <w:rPr>
          <w:snapToGrid w:val="0"/>
          <w:lang w:eastAsia="zh-CN"/>
        </w:rPr>
        <w:t>预期在儿科人群中大量使用的II类或III类器械（《FD&amp;C法案》第522(a)(1)(A)(ii)节）；</w:t>
      </w:r>
    </w:p>
    <w:p w14:paraId="09D0A5DC">
      <w:pPr>
        <w:pStyle w:val="22"/>
        <w:tabs>
          <w:tab w:val="left" w:pos="896"/>
        </w:tabs>
        <w:spacing w:after="0"/>
        <w:ind w:firstLine="480"/>
        <w:jc w:val="both"/>
        <w:rPr>
          <w:snapToGrid w:val="0"/>
          <w:lang w:eastAsia="zh-CN"/>
        </w:rPr>
      </w:pPr>
    </w:p>
    <w:p w14:paraId="2E2A6796">
      <w:pPr>
        <w:pStyle w:val="24"/>
        <w:numPr>
          <w:ilvl w:val="0"/>
          <w:numId w:val="2"/>
        </w:numPr>
        <w:tabs>
          <w:tab w:val="left" w:pos="896"/>
        </w:tabs>
        <w:autoSpaceDE/>
        <w:autoSpaceDN/>
        <w:snapToGrid w:val="0"/>
        <w:jc w:val="both"/>
        <w:rPr>
          <w:snapToGrid w:val="0"/>
          <w:lang w:eastAsia="zh-CN"/>
        </w:rPr>
      </w:pPr>
      <w:r>
        <w:rPr>
          <w:snapToGrid w:val="0"/>
          <w:lang w:eastAsia="zh-CN"/>
        </w:rPr>
        <w:t>拟在人体内植入一年以上的II类或III类器械（《FD&amp;C法案》第522(a)(1)(A)(iii)(I)）；或</w:t>
      </w:r>
    </w:p>
    <w:p w14:paraId="3AC44A2F">
      <w:pPr>
        <w:snapToGrid w:val="0"/>
        <w:spacing w:after="0" w:line="240" w:lineRule="auto"/>
        <w:jc w:val="both"/>
        <w:rPr>
          <w:color w:val="000000"/>
          <w:lang w:eastAsia="zh-CN"/>
        </w:rPr>
      </w:pPr>
      <w:r>
        <w:rPr>
          <w:lang w:eastAsia="zh-CN"/>
        </w:rPr>
        <w:br w:type="page"/>
      </w:r>
    </w:p>
    <w:p w14:paraId="4AF252E4">
      <w:pPr>
        <w:pStyle w:val="24"/>
        <w:numPr>
          <w:ilvl w:val="0"/>
          <w:numId w:val="2"/>
        </w:numPr>
        <w:tabs>
          <w:tab w:val="left" w:pos="896"/>
        </w:tabs>
        <w:autoSpaceDE/>
        <w:autoSpaceDN/>
        <w:snapToGrid w:val="0"/>
        <w:jc w:val="both"/>
        <w:rPr>
          <w:snapToGrid w:val="0"/>
          <w:lang w:eastAsia="zh-CN"/>
        </w:rPr>
      </w:pPr>
      <w:r>
        <w:rPr>
          <w:snapToGrid w:val="0"/>
          <w:lang w:eastAsia="zh-CN"/>
        </w:rPr>
        <w:t>拟作为在器械使用者设施外使用的生命维持或生命支持器械的II类或III类器械（《FD&amp;C法案》第522(a)(1)(A)(iii)(II)节）。</w:t>
      </w:r>
    </w:p>
    <w:p w14:paraId="4080763C">
      <w:pPr>
        <w:snapToGrid w:val="0"/>
        <w:spacing w:after="0" w:line="240" w:lineRule="auto"/>
        <w:ind w:firstLine="480" w:firstLineChars="200"/>
        <w:jc w:val="both"/>
        <w:rPr>
          <w:snapToGrid w:val="0"/>
          <w:szCs w:val="24"/>
          <w:lang w:eastAsia="zh-CN"/>
        </w:rPr>
      </w:pPr>
    </w:p>
    <w:p w14:paraId="22307BDC">
      <w:pPr>
        <w:pStyle w:val="3"/>
        <w:snapToGrid w:val="0"/>
        <w:spacing w:before="0" w:beforeLines="0" w:line="240" w:lineRule="auto"/>
        <w:ind w:left="1162" w:leftChars="250"/>
        <w:rPr>
          <w:rFonts w:eastAsia="宋体"/>
          <w:snapToGrid w:val="0"/>
          <w:szCs w:val="24"/>
          <w:lang w:eastAsia="zh-CN"/>
        </w:rPr>
      </w:pPr>
      <w:bookmarkStart w:id="6" w:name="_Toc97546983"/>
      <w:bookmarkStart w:id="7" w:name="_Toc91249651"/>
      <w:r>
        <w:rPr>
          <w:rFonts w:eastAsia="宋体"/>
          <w:snapToGrid w:val="0"/>
          <w:szCs w:val="24"/>
          <w:lang w:eastAsia="zh-CN"/>
        </w:rPr>
        <w:t>B.</w:t>
      </w:r>
      <w:r>
        <w:rPr>
          <w:rFonts w:eastAsia="宋体"/>
          <w:snapToGrid w:val="0"/>
          <w:szCs w:val="24"/>
          <w:lang w:eastAsia="zh-CN"/>
        </w:rPr>
        <w:tab/>
      </w:r>
      <w:r>
        <w:rPr>
          <w:rFonts w:eastAsia="宋体"/>
          <w:snapToGrid w:val="0"/>
          <w:szCs w:val="24"/>
          <w:lang w:eastAsia="zh-CN"/>
        </w:rPr>
        <w:t>问题确定</w:t>
      </w:r>
      <w:bookmarkEnd w:id="6"/>
      <w:bookmarkEnd w:id="7"/>
    </w:p>
    <w:p w14:paraId="223A4BA5">
      <w:pPr>
        <w:snapToGrid w:val="0"/>
        <w:spacing w:after="0" w:line="240" w:lineRule="auto"/>
        <w:ind w:left="240" w:leftChars="100" w:firstLine="480" w:firstLineChars="200"/>
        <w:jc w:val="both"/>
        <w:rPr>
          <w:lang w:eastAsia="zh-CN"/>
        </w:rPr>
      </w:pPr>
      <w:r>
        <w:rPr>
          <w:lang w:eastAsia="zh-CN"/>
        </w:rPr>
        <w:t>FDA</w:t>
      </w:r>
      <w:r>
        <w:rPr>
          <w:rFonts w:hint="eastAsia"/>
          <w:lang w:eastAsia="zh-CN"/>
        </w:rPr>
        <w:t>可在符合《</w:t>
      </w:r>
      <w:r>
        <w:rPr>
          <w:lang w:eastAsia="zh-CN"/>
        </w:rPr>
        <w:t>FD&amp;C</w:t>
      </w:r>
      <w:r>
        <w:rPr>
          <w:rFonts w:hint="eastAsia"/>
          <w:lang w:eastAsia="zh-CN"/>
        </w:rPr>
        <w:t>法案》第</w:t>
      </w:r>
      <w:r>
        <w:rPr>
          <w:lang w:eastAsia="zh-CN"/>
        </w:rPr>
        <w:t>522(a)(1)(A)</w:t>
      </w:r>
      <w:r>
        <w:rPr>
          <w:rFonts w:hint="eastAsia"/>
          <w:lang w:eastAsia="zh-CN"/>
        </w:rPr>
        <w:t>节规定的法定标准的</w:t>
      </w:r>
      <w:r>
        <w:rPr>
          <w:lang w:eastAsia="zh-CN"/>
        </w:rPr>
        <w:t>II</w:t>
      </w:r>
      <w:r>
        <w:rPr>
          <w:rFonts w:hint="eastAsia"/>
          <w:lang w:eastAsia="zh-CN"/>
        </w:rPr>
        <w:t>类或</w:t>
      </w:r>
      <w:r>
        <w:rPr>
          <w:lang w:eastAsia="zh-CN"/>
        </w:rPr>
        <w:t>III</w:t>
      </w:r>
      <w:r>
        <w:rPr>
          <w:rFonts w:hint="eastAsia"/>
          <w:lang w:eastAsia="zh-CN"/>
        </w:rPr>
        <w:t>类器械的寿命期内的任何时间点</w:t>
      </w:r>
      <w:r>
        <w:rPr>
          <w:snapToGrid w:val="0"/>
          <w:szCs w:val="24"/>
          <w:lang w:eastAsia="zh-CN"/>
        </w:rPr>
        <w:t>，</w:t>
      </w:r>
      <w:r>
        <w:rPr>
          <w:rFonts w:hint="eastAsia"/>
          <w:lang w:eastAsia="zh-CN"/>
        </w:rPr>
        <w:t>确定适用于上市后监督的器械问题。此类问题可通过各种来源确定，包括不良事件报告分析、召回或纠正措施、批准后数据、上市前数据审评、其他政府机构的报告或科学文献审评。</w:t>
      </w:r>
    </w:p>
    <w:p w14:paraId="0B2373F1">
      <w:pPr>
        <w:snapToGrid w:val="0"/>
        <w:spacing w:after="0" w:line="240" w:lineRule="auto"/>
        <w:ind w:left="240" w:leftChars="100" w:firstLine="480" w:firstLineChars="200"/>
        <w:jc w:val="both"/>
        <w:rPr>
          <w:snapToGrid w:val="0"/>
          <w:szCs w:val="24"/>
          <w:lang w:eastAsia="zh-CN"/>
        </w:rPr>
      </w:pPr>
    </w:p>
    <w:p w14:paraId="42356F2A">
      <w:pPr>
        <w:snapToGrid w:val="0"/>
        <w:spacing w:after="0" w:line="240" w:lineRule="auto"/>
        <w:ind w:left="240" w:leftChars="100" w:firstLine="480" w:firstLineChars="200"/>
        <w:jc w:val="both"/>
        <w:rPr>
          <w:lang w:eastAsia="zh-CN"/>
        </w:rPr>
      </w:pPr>
      <w:r>
        <w:rPr>
          <w:rFonts w:hint="eastAsia"/>
          <w:lang w:eastAsia="zh-CN"/>
        </w:rPr>
        <w:t>下文</w:t>
      </w:r>
      <w:r>
        <w:rPr>
          <w:snapToGrid w:val="0"/>
          <w:szCs w:val="24"/>
          <w:lang w:eastAsia="zh-CN"/>
        </w:rPr>
        <w:t>列出</w:t>
      </w:r>
      <w:r>
        <w:rPr>
          <w:rFonts w:hint="eastAsia"/>
          <w:lang w:eastAsia="zh-CN"/>
        </w:rPr>
        <w:t>了在上市前和上市后期间可能引发上市后问题的情况示例。</w:t>
      </w:r>
      <w:r>
        <w:rPr>
          <w:lang w:eastAsia="zh-CN"/>
        </w:rPr>
        <w:t>FDA</w:t>
      </w:r>
      <w:r>
        <w:rPr>
          <w:rFonts w:hint="eastAsia"/>
          <w:lang w:eastAsia="zh-CN"/>
        </w:rPr>
        <w:t>可命令进行上市后监督，以：</w:t>
      </w:r>
    </w:p>
    <w:p w14:paraId="5D1087A1">
      <w:pPr>
        <w:snapToGrid w:val="0"/>
        <w:spacing w:after="0" w:line="240" w:lineRule="auto"/>
        <w:ind w:left="240" w:leftChars="100" w:firstLine="480" w:firstLineChars="200"/>
        <w:jc w:val="both"/>
        <w:rPr>
          <w:snapToGrid w:val="0"/>
          <w:szCs w:val="24"/>
          <w:lang w:eastAsia="zh-CN"/>
        </w:rPr>
      </w:pPr>
    </w:p>
    <w:p w14:paraId="2AAD5078">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更好地了解不良事件报告或已发表文献中报告的可疑问题的性质、严重性或频率。</w:t>
      </w:r>
    </w:p>
    <w:p w14:paraId="3C044C7D">
      <w:pPr>
        <w:pStyle w:val="24"/>
        <w:tabs>
          <w:tab w:val="left" w:pos="896"/>
          <w:tab w:val="left" w:pos="980"/>
        </w:tabs>
        <w:autoSpaceDE/>
        <w:autoSpaceDN/>
        <w:snapToGrid w:val="0"/>
        <w:ind w:left="970"/>
        <w:jc w:val="both"/>
        <w:rPr>
          <w:snapToGrid w:val="0"/>
          <w:lang w:eastAsia="zh-CN"/>
        </w:rPr>
      </w:pPr>
    </w:p>
    <w:p w14:paraId="35D1F5C7">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获取与真实世界临床实践相关的器械性能的详细信息。</w:t>
      </w:r>
    </w:p>
    <w:p w14:paraId="2D39D037">
      <w:pPr>
        <w:pStyle w:val="24"/>
        <w:tabs>
          <w:tab w:val="left" w:pos="896"/>
          <w:tab w:val="left" w:pos="980"/>
        </w:tabs>
        <w:autoSpaceDE/>
        <w:autoSpaceDN/>
        <w:snapToGrid w:val="0"/>
        <w:ind w:left="970"/>
        <w:jc w:val="both"/>
        <w:rPr>
          <w:snapToGrid w:val="0"/>
          <w:lang w:eastAsia="zh-CN"/>
        </w:rPr>
      </w:pPr>
    </w:p>
    <w:p w14:paraId="34B61FDF">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解决植入式和其他器械长期或不常见的安全性和有效性问题（上市前试验所提供信息的有限）。例如，器械的上市前评价可能基于替代标记。在该器械实际上市后，上市后监督可能适合于评估该器械（而不是替代品）在检测或治疗疾病或护理方面的有效性。上市后监督收集的数据可能包括长期使用的器械的故障率或失效率，或器械使用导致的潜在后遗症事件。</w:t>
      </w:r>
    </w:p>
    <w:p w14:paraId="0229FA83">
      <w:pPr>
        <w:pStyle w:val="24"/>
        <w:tabs>
          <w:tab w:val="left" w:pos="896"/>
          <w:tab w:val="left" w:pos="980"/>
        </w:tabs>
        <w:autoSpaceDE/>
        <w:autoSpaceDN/>
        <w:snapToGrid w:val="0"/>
        <w:ind w:left="970"/>
        <w:jc w:val="both"/>
        <w:rPr>
          <w:snapToGrid w:val="0"/>
          <w:lang w:eastAsia="zh-CN"/>
        </w:rPr>
      </w:pPr>
    </w:p>
    <w:p w14:paraId="7458186F">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当器械上市后发生意外或无法解释的严重不良事件，如果严重不良事件的性质发生变化（如严重程度），或者如果严重不良事件的频率增加，最好确定问题与器械之间的关联。</w:t>
      </w:r>
    </w:p>
    <w:p w14:paraId="05AA4271">
      <w:pPr>
        <w:pStyle w:val="24"/>
        <w:tabs>
          <w:tab w:val="left" w:pos="980"/>
        </w:tabs>
        <w:autoSpaceDE/>
        <w:autoSpaceDN/>
        <w:snapToGrid w:val="0"/>
        <w:ind w:left="970"/>
        <w:jc w:val="both"/>
        <w:rPr>
          <w:snapToGrid w:val="0"/>
          <w:lang w:eastAsia="zh-CN"/>
        </w:rPr>
      </w:pPr>
    </w:p>
    <w:p w14:paraId="371D4071">
      <w:pPr>
        <w:pStyle w:val="3"/>
        <w:snapToGrid w:val="0"/>
        <w:spacing w:before="0" w:beforeLines="0" w:line="240" w:lineRule="auto"/>
        <w:ind w:left="1162" w:leftChars="250"/>
        <w:rPr>
          <w:rFonts w:eastAsia="宋体"/>
          <w:snapToGrid w:val="0"/>
          <w:szCs w:val="24"/>
          <w:lang w:eastAsia="zh-CN"/>
        </w:rPr>
      </w:pPr>
      <w:bookmarkStart w:id="8" w:name="_Toc91249652"/>
      <w:bookmarkStart w:id="9" w:name="_Toc97546984"/>
      <w:r>
        <w:rPr>
          <w:rFonts w:eastAsia="宋体"/>
          <w:snapToGrid w:val="0"/>
          <w:szCs w:val="24"/>
          <w:lang w:eastAsia="zh-CN"/>
        </w:rPr>
        <w:t>C.</w:t>
      </w:r>
      <w:r>
        <w:rPr>
          <w:rFonts w:eastAsia="宋体"/>
          <w:snapToGrid w:val="0"/>
          <w:szCs w:val="24"/>
          <w:lang w:eastAsia="zh-CN"/>
        </w:rPr>
        <w:tab/>
      </w:r>
      <w:r>
        <w:rPr>
          <w:rFonts w:eastAsia="宋体"/>
          <w:snapToGrid w:val="0"/>
          <w:szCs w:val="24"/>
          <w:lang w:eastAsia="zh-CN"/>
        </w:rPr>
        <w:t>问题</w:t>
      </w:r>
      <w:bookmarkEnd w:id="8"/>
      <w:r>
        <w:rPr>
          <w:rFonts w:eastAsia="宋体"/>
          <w:snapToGrid w:val="0"/>
          <w:szCs w:val="24"/>
          <w:lang w:eastAsia="zh-CN"/>
        </w:rPr>
        <w:t>团队评审</w:t>
      </w:r>
      <w:bookmarkEnd w:id="9"/>
    </w:p>
    <w:p w14:paraId="39F23093">
      <w:pPr>
        <w:snapToGrid w:val="0"/>
        <w:spacing w:after="0" w:line="240" w:lineRule="auto"/>
        <w:ind w:left="240" w:leftChars="100" w:firstLine="480" w:firstLineChars="200"/>
        <w:jc w:val="both"/>
        <w:rPr>
          <w:lang w:eastAsia="zh-CN"/>
        </w:rPr>
      </w:pPr>
      <w:r>
        <w:rPr>
          <w:rFonts w:hint="eastAsia"/>
          <w:lang w:eastAsia="zh-CN"/>
        </w:rPr>
        <w:t>在评估发布</w:t>
      </w:r>
      <w:r>
        <w:rPr>
          <w:lang w:eastAsia="zh-CN"/>
        </w:rPr>
        <w:t>522</w:t>
      </w:r>
      <w:r>
        <w:rPr>
          <w:rFonts w:hint="eastAsia"/>
          <w:lang w:eastAsia="zh-CN"/>
        </w:rPr>
        <w:t>指令的适当性时，考虑了多个因素，如下所示，目的是确定是否应下达对</w:t>
      </w:r>
      <w:r>
        <w:rPr>
          <w:lang w:eastAsia="zh-CN"/>
        </w:rPr>
        <w:t>II</w:t>
      </w:r>
      <w:r>
        <w:rPr>
          <w:rFonts w:hint="eastAsia"/>
          <w:lang w:eastAsia="zh-CN"/>
        </w:rPr>
        <w:t>类或</w:t>
      </w:r>
      <w:r>
        <w:rPr>
          <w:lang w:eastAsia="zh-CN"/>
        </w:rPr>
        <w:t>III</w:t>
      </w:r>
      <w:r>
        <w:rPr>
          <w:rFonts w:hint="eastAsia"/>
          <w:lang w:eastAsia="zh-CN"/>
        </w:rPr>
        <w:t>类器械的上市后监督指令。此外，</w:t>
      </w:r>
      <w:r>
        <w:rPr>
          <w:lang w:eastAsia="zh-CN"/>
        </w:rPr>
        <w:t>FDA</w:t>
      </w:r>
      <w:r>
        <w:rPr>
          <w:rFonts w:hint="eastAsia"/>
          <w:lang w:eastAsia="zh-CN"/>
        </w:rPr>
        <w:t>还可以选择在发布</w:t>
      </w:r>
      <w:r>
        <w:rPr>
          <w:lang w:eastAsia="zh-CN"/>
        </w:rPr>
        <w:t>522</w:t>
      </w:r>
      <w:r>
        <w:rPr>
          <w:rFonts w:hint="eastAsia"/>
          <w:lang w:eastAsia="zh-CN"/>
        </w:rPr>
        <w:t>指令之前与外部利益相关者进行接触。</w:t>
      </w:r>
    </w:p>
    <w:p w14:paraId="76369AD8">
      <w:pPr>
        <w:snapToGrid w:val="0"/>
        <w:spacing w:after="0" w:line="240" w:lineRule="auto"/>
        <w:ind w:left="240" w:leftChars="100" w:firstLine="480" w:firstLineChars="200"/>
        <w:jc w:val="both"/>
        <w:rPr>
          <w:snapToGrid w:val="0"/>
          <w:szCs w:val="24"/>
          <w:lang w:eastAsia="zh-CN"/>
        </w:rPr>
      </w:pPr>
    </w:p>
    <w:p w14:paraId="4F385966">
      <w:pPr>
        <w:snapToGrid w:val="0"/>
        <w:spacing w:after="0" w:line="240" w:lineRule="auto"/>
        <w:ind w:left="240" w:leftChars="100"/>
        <w:jc w:val="both"/>
        <w:rPr>
          <w:lang w:eastAsia="zh-CN"/>
        </w:rPr>
      </w:pPr>
      <w:r>
        <w:rPr>
          <w:lang w:eastAsia="zh-CN"/>
        </w:rPr>
        <w:t>522</w:t>
      </w:r>
      <w:r>
        <w:rPr>
          <w:rFonts w:hint="eastAsia"/>
          <w:lang w:eastAsia="zh-CN"/>
        </w:rPr>
        <w:t>之前</w:t>
      </w:r>
      <w:r>
        <w:rPr>
          <w:lang w:eastAsia="zh-CN"/>
        </w:rPr>
        <w:t>FDA</w:t>
      </w:r>
      <w:r>
        <w:rPr>
          <w:rFonts w:hint="eastAsia"/>
          <w:lang w:eastAsia="zh-CN"/>
        </w:rPr>
        <w:t>团队考虑的一些因素包括：</w:t>
      </w:r>
    </w:p>
    <w:p w14:paraId="5482829D">
      <w:pPr>
        <w:snapToGrid w:val="0"/>
        <w:spacing w:after="0" w:line="240" w:lineRule="auto"/>
        <w:jc w:val="both"/>
        <w:rPr>
          <w:lang w:eastAsia="zh-CN"/>
        </w:rPr>
      </w:pPr>
      <w:r>
        <w:rPr>
          <w:lang w:eastAsia="zh-CN"/>
        </w:rPr>
        <w:br w:type="page"/>
      </w:r>
    </w:p>
    <w:p w14:paraId="7853410E">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是否符合法定标准？</w:t>
      </w:r>
    </w:p>
    <w:p w14:paraId="22C1BB42">
      <w:pPr>
        <w:pStyle w:val="24"/>
        <w:tabs>
          <w:tab w:val="left" w:pos="896"/>
          <w:tab w:val="left" w:pos="980"/>
        </w:tabs>
        <w:autoSpaceDE/>
        <w:autoSpaceDN/>
        <w:snapToGrid w:val="0"/>
        <w:ind w:left="970"/>
        <w:jc w:val="both"/>
        <w:rPr>
          <w:snapToGrid w:val="0"/>
          <w:lang w:eastAsia="zh-CN"/>
        </w:rPr>
      </w:pPr>
    </w:p>
    <w:p w14:paraId="3F9451BB">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公共卫生问题的定义？公共卫生问题的界定是小组讨论的最重要的内容。</w:t>
      </w:r>
    </w:p>
    <w:p w14:paraId="7C9FDA97">
      <w:pPr>
        <w:pStyle w:val="24"/>
        <w:tabs>
          <w:tab w:val="left" w:pos="896"/>
          <w:tab w:val="left" w:pos="980"/>
        </w:tabs>
        <w:autoSpaceDE/>
        <w:autoSpaceDN/>
        <w:snapToGrid w:val="0"/>
        <w:ind w:left="970"/>
        <w:jc w:val="both"/>
        <w:rPr>
          <w:snapToGrid w:val="0"/>
          <w:lang w:eastAsia="zh-CN"/>
        </w:rPr>
      </w:pPr>
    </w:p>
    <w:p w14:paraId="08BFEDA4">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公共卫生问题遵循的依据？它应基于FDA对当前可用数据的评价。示例包括但不限于：审评上市前提交的科学/医学问题和/或上市前数据中观察到的问题、召回、医疗器械报告（MDR）、案例研究、文献或其他来源。</w:t>
      </w:r>
    </w:p>
    <w:p w14:paraId="16434481">
      <w:pPr>
        <w:pStyle w:val="24"/>
        <w:tabs>
          <w:tab w:val="left" w:pos="896"/>
          <w:tab w:val="left" w:pos="980"/>
        </w:tabs>
        <w:autoSpaceDE/>
        <w:autoSpaceDN/>
        <w:snapToGrid w:val="0"/>
        <w:ind w:left="970"/>
        <w:jc w:val="both"/>
        <w:rPr>
          <w:snapToGrid w:val="0"/>
          <w:lang w:eastAsia="zh-CN"/>
        </w:rPr>
      </w:pPr>
    </w:p>
    <w:p w14:paraId="05E91C10">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公共卫生问题是特定于器械还是特定于器械类型？</w:t>
      </w:r>
    </w:p>
    <w:p w14:paraId="5F588FFF">
      <w:pPr>
        <w:pStyle w:val="24"/>
        <w:tabs>
          <w:tab w:val="left" w:pos="896"/>
          <w:tab w:val="left" w:pos="980"/>
        </w:tabs>
        <w:autoSpaceDE/>
        <w:autoSpaceDN/>
        <w:snapToGrid w:val="0"/>
        <w:ind w:left="970"/>
        <w:jc w:val="both"/>
        <w:rPr>
          <w:snapToGrid w:val="0"/>
          <w:lang w:eastAsia="zh-CN"/>
        </w:rPr>
      </w:pPr>
    </w:p>
    <w:p w14:paraId="784DAAA3">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对于正在考虑许可或批准条件的器械，是否可以且应该在上市前（而不是作为522指令的一部分）解决公共卫生问题？</w:t>
      </w:r>
    </w:p>
    <w:p w14:paraId="084177F2">
      <w:pPr>
        <w:pStyle w:val="24"/>
        <w:tabs>
          <w:tab w:val="left" w:pos="896"/>
          <w:tab w:val="left" w:pos="980"/>
        </w:tabs>
        <w:autoSpaceDE/>
        <w:autoSpaceDN/>
        <w:snapToGrid w:val="0"/>
        <w:ind w:left="970"/>
        <w:jc w:val="both"/>
        <w:rPr>
          <w:snapToGrid w:val="0"/>
          <w:lang w:eastAsia="zh-CN"/>
        </w:rPr>
      </w:pPr>
    </w:p>
    <w:p w14:paraId="19A9522D">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是否有任何其他数据来源（如MDR审评、已发表文献、真实世界数据来源）或行动（如修订标签、公共卫生通知、召回）或其组合，可用于解决公共卫生问题，而不是522指令？</w:t>
      </w:r>
    </w:p>
    <w:p w14:paraId="70734B34">
      <w:pPr>
        <w:pStyle w:val="24"/>
        <w:tabs>
          <w:tab w:val="left" w:pos="896"/>
          <w:tab w:val="left" w:pos="980"/>
        </w:tabs>
        <w:autoSpaceDE/>
        <w:autoSpaceDN/>
        <w:snapToGrid w:val="0"/>
        <w:ind w:left="970"/>
        <w:jc w:val="both"/>
        <w:rPr>
          <w:snapToGrid w:val="0"/>
          <w:lang w:eastAsia="zh-CN"/>
        </w:rPr>
      </w:pPr>
    </w:p>
    <w:p w14:paraId="2C3A4EEB">
      <w:pPr>
        <w:pStyle w:val="24"/>
        <w:numPr>
          <w:ilvl w:val="0"/>
          <w:numId w:val="2"/>
        </w:numPr>
        <w:tabs>
          <w:tab w:val="left" w:pos="896"/>
        </w:tabs>
        <w:autoSpaceDE/>
        <w:autoSpaceDN/>
        <w:snapToGrid w:val="0"/>
        <w:jc w:val="both"/>
        <w:rPr>
          <w:snapToGrid w:val="0"/>
          <w:lang w:eastAsia="zh-CN"/>
        </w:rPr>
      </w:pPr>
      <w:r>
        <w:rPr>
          <w:snapToGrid w:val="0"/>
          <w:lang w:eastAsia="zh-CN"/>
        </w:rPr>
        <w:t>另一项正在进行的研究（如《美国联邦法规》第21篇第814.82(a)(2)节和第814.82(a)(9)节中所述的上市前批准申请（PMA）后批准研究）是否解决了公共卫生问题？</w:t>
      </w:r>
    </w:p>
    <w:p w14:paraId="4AF1C966">
      <w:pPr>
        <w:pStyle w:val="24"/>
        <w:tabs>
          <w:tab w:val="left" w:pos="896"/>
          <w:tab w:val="left" w:pos="980"/>
        </w:tabs>
        <w:autoSpaceDE/>
        <w:autoSpaceDN/>
        <w:snapToGrid w:val="0"/>
        <w:ind w:left="970"/>
        <w:jc w:val="both"/>
        <w:rPr>
          <w:snapToGrid w:val="0"/>
          <w:lang w:eastAsia="zh-CN"/>
        </w:rPr>
      </w:pPr>
    </w:p>
    <w:p w14:paraId="492A661A">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应建议何种类型的522上市后监督设计？应考虑不同类型的上市后监督的可行性和及时性。</w:t>
      </w:r>
    </w:p>
    <w:p w14:paraId="64D997CE">
      <w:pPr>
        <w:pStyle w:val="24"/>
        <w:tabs>
          <w:tab w:val="left" w:pos="896"/>
          <w:tab w:val="left" w:pos="980"/>
        </w:tabs>
        <w:autoSpaceDE/>
        <w:autoSpaceDN/>
        <w:snapToGrid w:val="0"/>
        <w:ind w:left="970"/>
        <w:jc w:val="both"/>
        <w:rPr>
          <w:snapToGrid w:val="0"/>
          <w:lang w:eastAsia="zh-CN"/>
        </w:rPr>
      </w:pPr>
    </w:p>
    <w:p w14:paraId="22800C61">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为解决公共卫生问题，应考虑采取何种组合措施？此外，在适用的情况下，对上市前审查进行了何种变更（如有）？</w:t>
      </w:r>
    </w:p>
    <w:p w14:paraId="3505F4F8">
      <w:pPr>
        <w:pStyle w:val="24"/>
        <w:tabs>
          <w:tab w:val="left" w:pos="980"/>
        </w:tabs>
        <w:autoSpaceDE/>
        <w:autoSpaceDN/>
        <w:snapToGrid w:val="0"/>
        <w:ind w:left="970"/>
        <w:jc w:val="both"/>
        <w:rPr>
          <w:snapToGrid w:val="0"/>
          <w:lang w:eastAsia="zh-CN"/>
        </w:rPr>
      </w:pPr>
    </w:p>
    <w:p w14:paraId="7B4C3476">
      <w:pPr>
        <w:pStyle w:val="3"/>
        <w:snapToGrid w:val="0"/>
        <w:spacing w:before="0" w:beforeLines="0" w:line="240" w:lineRule="auto"/>
        <w:ind w:left="1162" w:leftChars="250"/>
        <w:rPr>
          <w:rFonts w:eastAsia="宋体"/>
          <w:snapToGrid w:val="0"/>
          <w:szCs w:val="24"/>
          <w:lang w:eastAsia="zh-CN"/>
        </w:rPr>
      </w:pPr>
      <w:bookmarkStart w:id="10" w:name="_Toc91249653"/>
      <w:bookmarkStart w:id="11" w:name="_Toc97546985"/>
      <w:r>
        <w:rPr>
          <w:rFonts w:eastAsia="宋体"/>
          <w:snapToGrid w:val="0"/>
          <w:szCs w:val="24"/>
          <w:lang w:eastAsia="zh-CN"/>
        </w:rPr>
        <w:t>D.</w:t>
      </w:r>
      <w:r>
        <w:rPr>
          <w:rFonts w:eastAsia="宋体"/>
          <w:snapToGrid w:val="0"/>
          <w:szCs w:val="24"/>
          <w:lang w:eastAsia="zh-CN"/>
        </w:rPr>
        <w:tab/>
      </w:r>
      <w:r>
        <w:rPr>
          <w:rFonts w:eastAsia="宋体"/>
          <w:snapToGrid w:val="0"/>
          <w:szCs w:val="24"/>
          <w:lang w:eastAsia="zh-CN"/>
        </w:rPr>
        <w:t>关于儿科人群规定的考虑</w:t>
      </w:r>
      <w:bookmarkEnd w:id="10"/>
      <w:bookmarkEnd w:id="11"/>
    </w:p>
    <w:p w14:paraId="7B5E1936">
      <w:pPr>
        <w:snapToGrid w:val="0"/>
        <w:spacing w:after="0" w:line="240" w:lineRule="auto"/>
        <w:ind w:left="240" w:leftChars="100" w:firstLine="480" w:firstLineChars="200"/>
        <w:jc w:val="both"/>
        <w:rPr>
          <w:lang w:eastAsia="zh-CN"/>
        </w:rPr>
      </w:pPr>
      <w:r>
        <w:rPr>
          <w:rFonts w:hint="eastAsia"/>
          <w:lang w:eastAsia="zh-CN"/>
        </w:rPr>
        <w:t>如上所述，法规授权对</w:t>
      </w:r>
      <w:r>
        <w:rPr>
          <w:rFonts w:ascii="宋体" w:hAnsi="宋体"/>
          <w:lang w:eastAsia="zh-CN"/>
        </w:rPr>
        <w:t>“</w:t>
      </w:r>
      <w:r>
        <w:rPr>
          <w:rFonts w:hint="eastAsia"/>
          <w:lang w:eastAsia="zh-CN"/>
        </w:rPr>
        <w:t>预期在儿科人群中有重要用途</w:t>
      </w:r>
      <w:r>
        <w:rPr>
          <w:rFonts w:ascii="宋体" w:hAnsi="宋体"/>
          <w:lang w:eastAsia="zh-CN"/>
        </w:rPr>
        <w:t>”</w:t>
      </w:r>
      <w:r>
        <w:rPr>
          <w:rFonts w:hint="eastAsia"/>
          <w:lang w:eastAsia="zh-CN"/>
        </w:rPr>
        <w:t>的</w:t>
      </w:r>
      <w:r>
        <w:rPr>
          <w:lang w:eastAsia="zh-CN"/>
        </w:rPr>
        <w:t>II</w:t>
      </w:r>
      <w:r>
        <w:rPr>
          <w:rFonts w:hint="eastAsia"/>
          <w:lang w:eastAsia="zh-CN"/>
        </w:rPr>
        <w:t>类和</w:t>
      </w:r>
      <w:r>
        <w:rPr>
          <w:lang w:eastAsia="zh-CN"/>
        </w:rPr>
        <w:t>III</w:t>
      </w:r>
      <w:r>
        <w:rPr>
          <w:rFonts w:hint="eastAsia"/>
          <w:lang w:eastAsia="zh-CN"/>
        </w:rPr>
        <w:t>类器械进行上市后监督，并授权本机构下达上市后监督的指令，作为对预期在儿科人群中有重要用途的器械进行许可或批准的条件。</w:t>
      </w:r>
      <w:r>
        <w:rPr>
          <w:rStyle w:val="17"/>
          <w:snapToGrid w:val="0"/>
          <w:szCs w:val="24"/>
          <w:lang w:eastAsia="zh-CN"/>
        </w:rPr>
        <w:footnoteReference w:id="3"/>
      </w:r>
      <w:r>
        <w:rPr>
          <w:snapToGrid w:val="0"/>
          <w:szCs w:val="24"/>
          <w:vertAlign w:val="superscript"/>
          <w:lang w:eastAsia="zh-CN"/>
        </w:rPr>
        <w:t>,</w:t>
      </w:r>
      <w:r>
        <w:rPr>
          <w:rStyle w:val="17"/>
          <w:snapToGrid w:val="0"/>
          <w:szCs w:val="24"/>
          <w:lang w:eastAsia="zh-CN"/>
        </w:rPr>
        <w:footnoteReference w:id="4"/>
      </w:r>
      <w:r>
        <w:rPr>
          <w:rFonts w:hint="eastAsia"/>
          <w:lang w:eastAsia="zh-CN"/>
        </w:rPr>
        <w:t>这些规定不限于标记为儿科用途的器械。因此，对预期用于儿科用途的器械给予了特殊考虑。</w:t>
      </w:r>
    </w:p>
    <w:p w14:paraId="4FD453BF">
      <w:pPr>
        <w:snapToGrid w:val="0"/>
        <w:spacing w:after="0" w:line="240" w:lineRule="auto"/>
        <w:jc w:val="both"/>
        <w:rPr>
          <w:snapToGrid w:val="0"/>
          <w:szCs w:val="24"/>
          <w:lang w:eastAsia="zh-CN"/>
        </w:rPr>
      </w:pPr>
      <w:r>
        <w:rPr>
          <w:snapToGrid w:val="0"/>
          <w:szCs w:val="24"/>
          <w:lang w:eastAsia="zh-CN"/>
        </w:rPr>
        <w:br w:type="page"/>
      </w:r>
    </w:p>
    <w:p w14:paraId="4E3655C9">
      <w:pPr>
        <w:snapToGrid w:val="0"/>
        <w:spacing w:after="0" w:line="240" w:lineRule="auto"/>
        <w:ind w:left="240" w:leftChars="100" w:firstLine="480" w:firstLineChars="200"/>
        <w:jc w:val="both"/>
        <w:rPr>
          <w:lang w:eastAsia="zh-CN"/>
        </w:rPr>
      </w:pPr>
      <w:r>
        <w:rPr>
          <w:snapToGrid w:val="0"/>
          <w:szCs w:val="24"/>
          <w:lang w:eastAsia="zh-CN"/>
        </w:rPr>
        <w:t>注意</w:t>
      </w:r>
      <w:r>
        <w:rPr>
          <w:rFonts w:hint="eastAsia"/>
          <w:lang w:eastAsia="zh-CN"/>
        </w:rPr>
        <w:t>，《公共卫生服务法案》《</w:t>
      </w:r>
      <w:r>
        <w:rPr>
          <w:lang w:eastAsia="zh-CN"/>
        </w:rPr>
        <w:t>PHS</w:t>
      </w:r>
      <w:r>
        <w:rPr>
          <w:rFonts w:hint="eastAsia"/>
          <w:lang w:eastAsia="zh-CN"/>
        </w:rPr>
        <w:t>法案》（</w:t>
      </w:r>
      <w:r>
        <w:rPr>
          <w:snapToGrid w:val="0"/>
          <w:szCs w:val="24"/>
          <w:lang w:eastAsia="zh-CN"/>
        </w:rPr>
        <w:t>《美国法典》第42编第282(j)(1)(A)(ii)节</w:t>
      </w:r>
      <w:r>
        <w:rPr>
          <w:rFonts w:hint="eastAsia"/>
          <w:lang w:eastAsia="zh-CN"/>
        </w:rPr>
        <w:t>）第</w:t>
      </w:r>
      <w:r>
        <w:rPr>
          <w:lang w:eastAsia="zh-CN"/>
        </w:rPr>
        <w:t>402(j)(1)(A)(ii)</w:t>
      </w:r>
      <w:r>
        <w:rPr>
          <w:rFonts w:hint="eastAsia"/>
          <w:lang w:eastAsia="zh-CN"/>
        </w:rPr>
        <w:t>节还规定，任何</w:t>
      </w:r>
      <w:r>
        <w:rPr>
          <w:rFonts w:ascii="宋体" w:hAnsi="宋体"/>
          <w:lang w:eastAsia="zh-CN"/>
        </w:rPr>
        <w:t>“</w:t>
      </w:r>
      <w:r>
        <w:rPr>
          <w:rFonts w:hint="eastAsia"/>
          <w:lang w:eastAsia="zh-CN"/>
        </w:rPr>
        <w:t>第</w:t>
      </w:r>
      <w:r>
        <w:rPr>
          <w:lang w:eastAsia="zh-CN"/>
        </w:rPr>
        <w:t>522</w:t>
      </w:r>
      <w:r>
        <w:rPr>
          <w:rFonts w:hint="eastAsia"/>
          <w:lang w:eastAsia="zh-CN"/>
        </w:rPr>
        <w:t>节要求的儿科上市后监督</w:t>
      </w:r>
      <w:r>
        <w:rPr>
          <w:rFonts w:ascii="宋体" w:hAnsi="宋体"/>
          <w:lang w:eastAsia="zh-CN"/>
        </w:rPr>
        <w:t>”</w:t>
      </w:r>
      <w:r>
        <w:rPr>
          <w:rFonts w:hint="eastAsia"/>
          <w:lang w:eastAsia="zh-CN"/>
        </w:rPr>
        <w:t>均视为</w:t>
      </w:r>
      <w:r>
        <w:rPr>
          <w:rFonts w:ascii="宋体" w:hAnsi="宋体"/>
          <w:lang w:eastAsia="zh-CN"/>
        </w:rPr>
        <w:t>“</w:t>
      </w:r>
      <w:r>
        <w:rPr>
          <w:rFonts w:hint="eastAsia"/>
          <w:lang w:eastAsia="zh-CN"/>
        </w:rPr>
        <w:t>适用的器械临床试验。</w:t>
      </w:r>
      <w:r>
        <w:rPr>
          <w:rFonts w:ascii="宋体" w:hAnsi="宋体"/>
          <w:lang w:eastAsia="zh-CN"/>
        </w:rPr>
        <w:t>”</w:t>
      </w:r>
      <w:r>
        <w:rPr>
          <w:rFonts w:hint="eastAsia"/>
          <w:lang w:eastAsia="zh-CN"/>
        </w:rPr>
        <w:t>因此，儿科上市后监督必须符合《</w:t>
      </w:r>
      <w:r>
        <w:rPr>
          <w:lang w:eastAsia="zh-CN"/>
        </w:rPr>
        <w:t>PHS</w:t>
      </w:r>
      <w:r>
        <w:rPr>
          <w:rFonts w:hint="eastAsia"/>
          <w:lang w:eastAsia="zh-CN"/>
        </w:rPr>
        <w:t>法案》（</w:t>
      </w:r>
      <w:r>
        <w:rPr>
          <w:snapToGrid w:val="0"/>
          <w:szCs w:val="24"/>
          <w:lang w:eastAsia="zh-CN"/>
        </w:rPr>
        <w:t>《美国法典》第42编第282(j)节</w:t>
      </w:r>
      <w:r>
        <w:rPr>
          <w:rFonts w:hint="eastAsia"/>
          <w:lang w:eastAsia="zh-CN"/>
        </w:rPr>
        <w:t>）第</w:t>
      </w:r>
      <w:r>
        <w:rPr>
          <w:lang w:eastAsia="zh-CN"/>
        </w:rPr>
        <w:t>402(j)</w:t>
      </w:r>
      <w:r>
        <w:rPr>
          <w:rFonts w:hint="eastAsia"/>
          <w:lang w:eastAsia="zh-CN"/>
        </w:rPr>
        <w:t>节的注册和结果提交要求。有关这些要求的信息，请访问</w:t>
      </w:r>
      <w:r>
        <w:fldChar w:fldCharType="begin"/>
      </w:r>
      <w:r>
        <w:rPr>
          <w:lang w:eastAsia="zh-CN"/>
        </w:rPr>
        <w:instrText xml:space="preserve"> HYPERLINK "https://clinicaltrials.gov/" \h </w:instrText>
      </w:r>
      <w:r>
        <w:fldChar w:fldCharType="separate"/>
      </w:r>
      <w:r>
        <w:rPr>
          <w:color w:val="0000FF"/>
          <w:u w:val="single"/>
          <w:lang w:eastAsia="zh-CN"/>
        </w:rPr>
        <w:t>https://clinicaltrials.gov/</w:t>
      </w:r>
      <w:r>
        <w:rPr>
          <w:color w:val="0000FF"/>
          <w:u w:val="single"/>
        </w:rPr>
        <w:fldChar w:fldCharType="end"/>
      </w:r>
      <w:r>
        <w:rPr>
          <w:rFonts w:hint="eastAsia"/>
          <w:lang w:eastAsia="zh-CN"/>
        </w:rPr>
        <w:t>。</w:t>
      </w:r>
    </w:p>
    <w:p w14:paraId="37A283F7">
      <w:pPr>
        <w:snapToGrid w:val="0"/>
        <w:spacing w:after="0" w:line="240" w:lineRule="auto"/>
        <w:ind w:left="240" w:leftChars="100" w:firstLine="480" w:firstLineChars="200"/>
        <w:jc w:val="both"/>
        <w:rPr>
          <w:snapToGrid w:val="0"/>
          <w:szCs w:val="24"/>
          <w:lang w:eastAsia="zh-CN"/>
        </w:rPr>
      </w:pPr>
    </w:p>
    <w:p w14:paraId="2EB12AFC">
      <w:pPr>
        <w:snapToGrid w:val="0"/>
        <w:spacing w:after="0" w:line="240" w:lineRule="auto"/>
        <w:ind w:left="240" w:leftChars="100" w:firstLine="480" w:firstLineChars="200"/>
        <w:jc w:val="both"/>
        <w:rPr>
          <w:lang w:eastAsia="zh-CN"/>
        </w:rPr>
      </w:pPr>
      <w:r>
        <w:rPr>
          <w:lang w:eastAsia="zh-CN"/>
        </w:rPr>
        <w:t>FDA</w:t>
      </w:r>
      <w:r>
        <w:rPr>
          <w:rFonts w:hint="eastAsia"/>
          <w:lang w:eastAsia="zh-CN"/>
        </w:rPr>
        <w:t>计划与制造商合作，帮助确定儿科</w:t>
      </w:r>
      <w:r>
        <w:rPr>
          <w:lang w:eastAsia="zh-CN"/>
        </w:rPr>
        <w:t>522</w:t>
      </w:r>
      <w:r>
        <w:rPr>
          <w:rFonts w:hint="eastAsia"/>
          <w:lang w:eastAsia="zh-CN"/>
        </w:rPr>
        <w:t>上市后监督研究的适当时间范围。</w:t>
      </w:r>
    </w:p>
    <w:p w14:paraId="2A1CFBDB">
      <w:pPr>
        <w:snapToGrid w:val="0"/>
        <w:spacing w:after="0" w:line="240" w:lineRule="auto"/>
        <w:ind w:left="240" w:leftChars="100" w:firstLine="480" w:firstLineChars="200"/>
        <w:jc w:val="both"/>
        <w:rPr>
          <w:snapToGrid w:val="0"/>
          <w:szCs w:val="24"/>
          <w:lang w:eastAsia="zh-CN"/>
        </w:rPr>
      </w:pPr>
    </w:p>
    <w:p w14:paraId="68C40517">
      <w:pPr>
        <w:pStyle w:val="3"/>
        <w:snapToGrid w:val="0"/>
        <w:spacing w:before="0" w:beforeLines="0" w:line="240" w:lineRule="auto"/>
        <w:ind w:left="1162" w:leftChars="250"/>
        <w:rPr>
          <w:rFonts w:eastAsia="宋体"/>
          <w:snapToGrid w:val="0"/>
          <w:szCs w:val="24"/>
          <w:lang w:eastAsia="zh-CN"/>
        </w:rPr>
      </w:pPr>
      <w:bookmarkStart w:id="12" w:name="_Toc91249654"/>
      <w:bookmarkStart w:id="13" w:name="_Toc97546986"/>
      <w:r>
        <w:rPr>
          <w:rFonts w:eastAsia="宋体"/>
          <w:snapToGrid w:val="0"/>
          <w:szCs w:val="24"/>
          <w:lang w:eastAsia="zh-CN"/>
        </w:rPr>
        <w:t>E.</w:t>
      </w:r>
      <w:r>
        <w:rPr>
          <w:rFonts w:eastAsia="宋体"/>
          <w:snapToGrid w:val="0"/>
          <w:szCs w:val="24"/>
          <w:lang w:eastAsia="zh-CN"/>
        </w:rPr>
        <w:tab/>
      </w:r>
      <w:r>
        <w:rPr>
          <w:rFonts w:eastAsia="宋体"/>
          <w:snapToGrid w:val="0"/>
          <w:szCs w:val="24"/>
          <w:lang w:eastAsia="zh-CN"/>
        </w:rPr>
        <w:t>发布522指令</w:t>
      </w:r>
      <w:bookmarkEnd w:id="12"/>
      <w:bookmarkEnd w:id="13"/>
    </w:p>
    <w:p w14:paraId="4CC5975A">
      <w:pPr>
        <w:snapToGrid w:val="0"/>
        <w:spacing w:after="0" w:line="240" w:lineRule="auto"/>
        <w:ind w:left="240" w:leftChars="100" w:firstLine="480" w:firstLineChars="200"/>
        <w:jc w:val="both"/>
        <w:rPr>
          <w:lang w:eastAsia="zh-CN"/>
        </w:rPr>
      </w:pPr>
      <w:r>
        <w:rPr>
          <w:lang w:eastAsia="zh-CN"/>
        </w:rPr>
        <w:t>522</w:t>
      </w:r>
      <w:r>
        <w:rPr>
          <w:rFonts w:hint="eastAsia"/>
          <w:lang w:eastAsia="zh-CN"/>
        </w:rPr>
        <w:t>指令将详细说明受监督指令约束的器械</w:t>
      </w:r>
      <w:r>
        <w:rPr>
          <w:snapToGrid w:val="0"/>
          <w:szCs w:val="24"/>
          <w:lang w:eastAsia="zh-CN"/>
        </w:rPr>
        <w:t>，</w:t>
      </w:r>
      <w:r>
        <w:rPr>
          <w:rFonts w:hint="eastAsia"/>
          <w:lang w:eastAsia="zh-CN"/>
        </w:rPr>
        <w:t>以及</w:t>
      </w:r>
      <w:r>
        <w:rPr>
          <w:lang w:eastAsia="zh-CN"/>
        </w:rPr>
        <w:t>FDA</w:t>
      </w:r>
      <w:r>
        <w:rPr>
          <w:rFonts w:hint="eastAsia"/>
          <w:lang w:eastAsia="zh-CN"/>
        </w:rPr>
        <w:t>要求进行上市后监督的原因（即公共卫生问题）。</w:t>
      </w:r>
      <w:r>
        <w:rPr>
          <w:rStyle w:val="17"/>
          <w:snapToGrid w:val="0"/>
          <w:szCs w:val="24"/>
          <w:lang w:eastAsia="zh-CN"/>
        </w:rPr>
        <w:footnoteReference w:id="5"/>
      </w:r>
      <w:r>
        <w:rPr>
          <w:snapToGrid w:val="0"/>
          <w:szCs w:val="24"/>
          <w:lang w:eastAsia="zh-CN"/>
        </w:rPr>
        <w:t>该</w:t>
      </w:r>
      <w:r>
        <w:rPr>
          <w:rFonts w:hint="eastAsia"/>
          <w:lang w:eastAsia="zh-CN"/>
        </w:rPr>
        <w:t>指令通常还包括可用于协助制造商根据</w:t>
      </w:r>
      <w:r>
        <w:rPr>
          <w:lang w:eastAsia="zh-CN"/>
        </w:rPr>
        <w:t>522</w:t>
      </w:r>
      <w:r>
        <w:rPr>
          <w:rFonts w:hint="eastAsia"/>
          <w:lang w:eastAsia="zh-CN"/>
        </w:rPr>
        <w:t>指令编制上市后监督计划的任何一般或特定指南。</w:t>
      </w:r>
      <w:r>
        <w:rPr>
          <w:rStyle w:val="17"/>
          <w:snapToGrid w:val="0"/>
          <w:szCs w:val="24"/>
          <w:lang w:eastAsia="zh-CN"/>
        </w:rPr>
        <w:footnoteReference w:id="6"/>
      </w:r>
      <w:r>
        <w:rPr>
          <w:lang w:eastAsia="zh-CN"/>
        </w:rPr>
        <w:t>FDA</w:t>
      </w:r>
      <w:r>
        <w:rPr>
          <w:rFonts w:hint="eastAsia"/>
          <w:lang w:eastAsia="zh-CN"/>
        </w:rPr>
        <w:t>计划确定</w:t>
      </w:r>
      <w:r>
        <w:rPr>
          <w:lang w:eastAsia="zh-CN"/>
        </w:rPr>
        <w:t>522</w:t>
      </w:r>
      <w:r>
        <w:rPr>
          <w:rFonts w:hint="eastAsia"/>
          <w:lang w:eastAsia="zh-CN"/>
        </w:rPr>
        <w:t>指令中涉及的上市前提交（即上市前通知</w:t>
      </w:r>
      <w:r>
        <w:rPr>
          <w:lang w:eastAsia="zh-CN"/>
        </w:rPr>
        <w:t>[510(k)</w:t>
      </w:r>
      <w:r>
        <w:rPr>
          <w:snapToGrid w:val="0"/>
          <w:szCs w:val="24"/>
          <w:lang w:eastAsia="zh-CN"/>
        </w:rPr>
        <w:t>]</w:t>
      </w:r>
      <w:r>
        <w:rPr>
          <w:rFonts w:hint="eastAsia"/>
          <w:lang w:eastAsia="zh-CN"/>
        </w:rPr>
        <w:t>、</w:t>
      </w:r>
      <w:r>
        <w:rPr>
          <w:lang w:eastAsia="zh-CN"/>
        </w:rPr>
        <w:t>PMA</w:t>
      </w:r>
      <w:r>
        <w:rPr>
          <w:rFonts w:hint="eastAsia"/>
          <w:lang w:eastAsia="zh-CN"/>
        </w:rPr>
        <w:t>、人道主义器械豁免（</w:t>
      </w:r>
      <w:r>
        <w:rPr>
          <w:lang w:eastAsia="zh-CN"/>
        </w:rPr>
        <w:t>HDE</w:t>
      </w:r>
      <w:r>
        <w:rPr>
          <w:rFonts w:hint="eastAsia"/>
          <w:lang w:eastAsia="zh-CN"/>
        </w:rPr>
        <w:t>）申请或重新申请）。</w:t>
      </w:r>
      <w:r>
        <w:rPr>
          <w:lang w:eastAsia="zh-CN"/>
        </w:rPr>
        <w:t>522</w:t>
      </w:r>
      <w:r>
        <w:rPr>
          <w:rFonts w:hint="eastAsia"/>
          <w:lang w:eastAsia="zh-CN"/>
        </w:rPr>
        <w:t>指令还可能包括某些监督计划时间节点的时间表，如受试者入组、数据累积和最终报告提交，具体取决于指令的计划和时间安排。如果制造商不同意《</w:t>
      </w:r>
      <w:r>
        <w:rPr>
          <w:lang w:eastAsia="zh-CN"/>
        </w:rPr>
        <w:t>FD&amp;C</w:t>
      </w:r>
      <w:r>
        <w:rPr>
          <w:rFonts w:hint="eastAsia"/>
          <w:lang w:eastAsia="zh-CN"/>
        </w:rPr>
        <w:t>法案》第</w:t>
      </w:r>
      <w:r>
        <w:rPr>
          <w:lang w:eastAsia="zh-CN"/>
        </w:rPr>
        <w:t>522</w:t>
      </w:r>
      <w:r>
        <w:rPr>
          <w:rFonts w:hint="eastAsia"/>
          <w:lang w:eastAsia="zh-CN"/>
        </w:rPr>
        <w:t>节要求进行上市后监督的任何指令或条件，制造商可根据《</w:t>
      </w:r>
      <w:r>
        <w:rPr>
          <w:lang w:eastAsia="zh-CN"/>
        </w:rPr>
        <w:t>FD&amp;C</w:t>
      </w:r>
      <w:r>
        <w:rPr>
          <w:rFonts w:hint="eastAsia"/>
          <w:lang w:eastAsia="zh-CN"/>
        </w:rPr>
        <w:t>法案》第</w:t>
      </w:r>
      <w:r>
        <w:rPr>
          <w:lang w:eastAsia="zh-CN"/>
        </w:rPr>
        <w:t>562</w:t>
      </w:r>
      <w:r>
        <w:rPr>
          <w:rFonts w:hint="eastAsia"/>
          <w:lang w:eastAsia="zh-CN"/>
        </w:rPr>
        <w:t>节（见《</w:t>
      </w:r>
      <w:r>
        <w:rPr>
          <w:lang w:eastAsia="zh-CN"/>
        </w:rPr>
        <w:t>FD&amp;C</w:t>
      </w:r>
      <w:r>
        <w:rPr>
          <w:rFonts w:hint="eastAsia"/>
          <w:lang w:eastAsia="zh-CN"/>
        </w:rPr>
        <w:t>法案》第</w:t>
      </w:r>
      <w:r>
        <w:rPr>
          <w:lang w:eastAsia="zh-CN"/>
        </w:rPr>
        <w:t>522(c)</w:t>
      </w:r>
      <w:r>
        <w:rPr>
          <w:rFonts w:hint="eastAsia"/>
          <w:lang w:eastAsia="zh-CN"/>
        </w:rPr>
        <w:t>节）要求审查，其他选项在</w:t>
      </w:r>
      <w:r>
        <w:rPr>
          <w:snapToGrid w:val="0"/>
          <w:szCs w:val="24"/>
          <w:lang w:eastAsia="zh-CN"/>
        </w:rPr>
        <w:t>《美国联邦法规》第21篇第822</w:t>
      </w:r>
      <w:r>
        <w:rPr>
          <w:lang w:eastAsia="zh-CN"/>
        </w:rPr>
        <w:t>.7</w:t>
      </w:r>
      <w:r>
        <w:rPr>
          <w:snapToGrid w:val="0"/>
          <w:szCs w:val="24"/>
          <w:lang w:eastAsia="zh-CN"/>
        </w:rPr>
        <w:t>节</w:t>
      </w:r>
      <w:r>
        <w:rPr>
          <w:rFonts w:hint="eastAsia"/>
          <w:lang w:eastAsia="zh-CN"/>
        </w:rPr>
        <w:t>中进一步说明。</w:t>
      </w:r>
    </w:p>
    <w:p w14:paraId="629B8490">
      <w:pPr>
        <w:snapToGrid w:val="0"/>
        <w:spacing w:after="0" w:line="240" w:lineRule="auto"/>
        <w:ind w:left="240" w:leftChars="100" w:firstLine="480" w:firstLineChars="200"/>
        <w:jc w:val="both"/>
        <w:rPr>
          <w:snapToGrid w:val="0"/>
          <w:szCs w:val="24"/>
          <w:lang w:eastAsia="zh-CN"/>
        </w:rPr>
      </w:pPr>
    </w:p>
    <w:p w14:paraId="1DC25F2D">
      <w:pPr>
        <w:snapToGrid w:val="0"/>
        <w:spacing w:after="0" w:line="240" w:lineRule="auto"/>
        <w:ind w:left="240" w:leftChars="100" w:firstLine="480" w:firstLineChars="200"/>
        <w:jc w:val="both"/>
        <w:rPr>
          <w:lang w:eastAsia="zh-CN"/>
        </w:rPr>
      </w:pPr>
      <w:r>
        <w:rPr>
          <w:rFonts w:hint="eastAsia"/>
          <w:lang w:eastAsia="zh-CN"/>
        </w:rPr>
        <w:t>《</w:t>
      </w:r>
      <w:r>
        <w:rPr>
          <w:lang w:eastAsia="zh-CN"/>
        </w:rPr>
        <w:t>FD&amp;C</w:t>
      </w:r>
      <w:r>
        <w:rPr>
          <w:rFonts w:hint="eastAsia"/>
          <w:lang w:eastAsia="zh-CN"/>
        </w:rPr>
        <w:t>法案》第</w:t>
      </w:r>
      <w:r>
        <w:rPr>
          <w:lang w:eastAsia="zh-CN"/>
        </w:rPr>
        <w:t>522(a)(1)(A)</w:t>
      </w:r>
      <w:r>
        <w:rPr>
          <w:rFonts w:hint="eastAsia"/>
          <w:lang w:eastAsia="zh-CN"/>
        </w:rPr>
        <w:t>节规定，</w:t>
      </w:r>
      <w:r>
        <w:rPr>
          <w:lang w:eastAsia="zh-CN"/>
        </w:rPr>
        <w:t>FDA</w:t>
      </w:r>
      <w:r>
        <w:rPr>
          <w:rFonts w:hint="eastAsia"/>
          <w:lang w:eastAsia="zh-CN"/>
        </w:rPr>
        <w:t>可在器械批准或许可之时或之后的任何时间发布上市后监督指令。当考虑在上市授权时发布</w:t>
      </w:r>
      <w:r>
        <w:rPr>
          <w:lang w:eastAsia="zh-CN"/>
        </w:rPr>
        <w:t>522</w:t>
      </w:r>
      <w:r>
        <w:rPr>
          <w:rFonts w:hint="eastAsia"/>
          <w:lang w:eastAsia="zh-CN"/>
        </w:rPr>
        <w:t>指令，</w:t>
      </w:r>
      <w:r>
        <w:rPr>
          <w:lang w:eastAsia="zh-CN"/>
        </w:rPr>
        <w:t>FDA</w:t>
      </w:r>
      <w:r>
        <w:rPr>
          <w:rFonts w:hint="eastAsia"/>
          <w:lang w:eastAsia="zh-CN"/>
        </w:rPr>
        <w:t>可将潜在的</w:t>
      </w:r>
      <w:r>
        <w:rPr>
          <w:lang w:eastAsia="zh-CN"/>
        </w:rPr>
        <w:t>522</w:t>
      </w:r>
      <w:r>
        <w:rPr>
          <w:rFonts w:hint="eastAsia"/>
          <w:lang w:eastAsia="zh-CN"/>
        </w:rPr>
        <w:t>指令和监督计划表告知制造商。根据第</w:t>
      </w:r>
      <w:r>
        <w:rPr>
          <w:lang w:eastAsia="zh-CN"/>
        </w:rPr>
        <w:t>522(b)(1)</w:t>
      </w:r>
      <w:r>
        <w:rPr>
          <w:rFonts w:hint="eastAsia"/>
          <w:lang w:eastAsia="zh-CN"/>
        </w:rPr>
        <w:t>节，每个制造商必须在收到指令后</w:t>
      </w:r>
      <w:r>
        <w:rPr>
          <w:lang w:eastAsia="zh-CN"/>
        </w:rPr>
        <w:t>30</w:t>
      </w:r>
      <w:r>
        <w:rPr>
          <w:rFonts w:hint="eastAsia"/>
          <w:lang w:eastAsia="zh-CN"/>
        </w:rPr>
        <w:t>天内</w:t>
      </w:r>
      <w:r>
        <w:rPr>
          <w:snapToGrid w:val="0"/>
          <w:szCs w:val="24"/>
          <w:lang w:eastAsia="zh-CN"/>
        </w:rPr>
        <w:t>，</w:t>
      </w:r>
      <w:r>
        <w:rPr>
          <w:rFonts w:hint="eastAsia"/>
          <w:lang w:eastAsia="zh-CN"/>
        </w:rPr>
        <w:t>制定并提交一份上市后监督计划供</w:t>
      </w:r>
      <w:r>
        <w:rPr>
          <w:lang w:eastAsia="zh-CN"/>
        </w:rPr>
        <w:t>FDA</w:t>
      </w:r>
      <w:r>
        <w:rPr>
          <w:rFonts w:hint="eastAsia"/>
          <w:lang w:eastAsia="zh-CN"/>
        </w:rPr>
        <w:t>批准（另见</w:t>
      </w:r>
      <w:r>
        <w:rPr>
          <w:snapToGrid w:val="0"/>
          <w:szCs w:val="24"/>
          <w:lang w:eastAsia="zh-CN"/>
        </w:rPr>
        <w:t>《美国联邦法规》第21编第822</w:t>
      </w:r>
      <w:r>
        <w:rPr>
          <w:lang w:eastAsia="zh-CN"/>
        </w:rPr>
        <w:t>.9</w:t>
      </w:r>
      <w:r>
        <w:rPr>
          <w:snapToGrid w:val="0"/>
          <w:szCs w:val="24"/>
          <w:lang w:eastAsia="zh-CN"/>
        </w:rPr>
        <w:t>节</w:t>
      </w:r>
      <w:r>
        <w:rPr>
          <w:rFonts w:hint="eastAsia"/>
          <w:lang w:eastAsia="zh-CN"/>
        </w:rPr>
        <w:t>和</w:t>
      </w:r>
      <w:r>
        <w:rPr>
          <w:snapToGrid w:val="0"/>
          <w:szCs w:val="24"/>
          <w:lang w:eastAsia="zh-CN"/>
        </w:rPr>
        <w:t>第822</w:t>
      </w:r>
      <w:r>
        <w:rPr>
          <w:lang w:eastAsia="zh-CN"/>
        </w:rPr>
        <w:t>.10</w:t>
      </w:r>
      <w:r>
        <w:rPr>
          <w:snapToGrid w:val="0"/>
          <w:szCs w:val="24"/>
          <w:lang w:eastAsia="zh-CN"/>
        </w:rPr>
        <w:t>节</w:t>
      </w:r>
      <w:r>
        <w:rPr>
          <w:rFonts w:hint="eastAsia"/>
          <w:lang w:eastAsia="zh-CN"/>
        </w:rPr>
        <w:t>）。《</w:t>
      </w:r>
      <w:r>
        <w:rPr>
          <w:lang w:eastAsia="zh-CN"/>
        </w:rPr>
        <w:t>FD&amp;C</w:t>
      </w:r>
      <w:r>
        <w:rPr>
          <w:rFonts w:hint="eastAsia"/>
          <w:lang w:eastAsia="zh-CN"/>
        </w:rPr>
        <w:t>法案》第</w:t>
      </w:r>
      <w:r>
        <w:rPr>
          <w:lang w:eastAsia="zh-CN"/>
        </w:rPr>
        <w:t>522(b)(1)</w:t>
      </w:r>
      <w:r>
        <w:rPr>
          <w:rFonts w:hint="eastAsia"/>
          <w:lang w:eastAsia="zh-CN"/>
        </w:rPr>
        <w:t>节规定，制造商必须在指令发布之日起</w:t>
      </w:r>
      <w:r>
        <w:rPr>
          <w:lang w:eastAsia="zh-CN"/>
        </w:rPr>
        <w:t>15</w:t>
      </w:r>
      <w:r>
        <w:rPr>
          <w:rFonts w:hint="eastAsia"/>
          <w:lang w:eastAsia="zh-CN"/>
        </w:rPr>
        <w:t>个月内开始上市后监督。</w:t>
      </w:r>
      <w:r>
        <w:rPr>
          <w:lang w:eastAsia="zh-CN"/>
        </w:rPr>
        <w:t>FDA</w:t>
      </w:r>
      <w:r>
        <w:rPr>
          <w:rFonts w:hint="eastAsia"/>
          <w:lang w:eastAsia="zh-CN"/>
        </w:rPr>
        <w:t>通常认为，当根据经批准监督计划入组第一例受试者时，即视为上市后监督开始进行。对于不涉及受试者入组的计划（例如，非临床研究），</w:t>
      </w:r>
      <w:r>
        <w:rPr>
          <w:lang w:eastAsia="zh-CN"/>
        </w:rPr>
        <w:t>FDA</w:t>
      </w:r>
      <w:r>
        <w:rPr>
          <w:rFonts w:hint="eastAsia"/>
          <w:lang w:eastAsia="zh-CN"/>
        </w:rPr>
        <w:t>认为，当根据经批准监督计划开始数据累积时，即视为上市后监督开始进行。</w:t>
      </w:r>
      <w:r>
        <w:rPr>
          <w:rStyle w:val="17"/>
          <w:snapToGrid w:val="0"/>
          <w:szCs w:val="24"/>
          <w:lang w:eastAsia="zh-CN"/>
        </w:rPr>
        <w:footnoteReference w:id="7"/>
      </w:r>
      <w:r>
        <w:rPr>
          <w:rFonts w:hint="eastAsia"/>
          <w:lang w:eastAsia="zh-CN"/>
        </w:rPr>
        <w:t>根据</w:t>
      </w:r>
      <w:r>
        <w:rPr>
          <w:lang w:eastAsia="zh-CN"/>
        </w:rPr>
        <w:t>FDA</w:t>
      </w:r>
      <w:r>
        <w:rPr>
          <w:rFonts w:hint="eastAsia"/>
          <w:lang w:eastAsia="zh-CN"/>
        </w:rPr>
        <w:t>的经验，从</w:t>
      </w:r>
      <w:r>
        <w:rPr>
          <w:lang w:eastAsia="zh-CN"/>
        </w:rPr>
        <w:t>522</w:t>
      </w:r>
      <w:r>
        <w:rPr>
          <w:rFonts w:hint="eastAsia"/>
          <w:lang w:eastAsia="zh-CN"/>
        </w:rPr>
        <w:t>指令发布之日起，按照以下建议的时间表以前瞻性针对性方式要求入组受试者的监督计划更有可能及时完成。</w:t>
      </w:r>
    </w:p>
    <w:p w14:paraId="262C4F95">
      <w:pPr>
        <w:snapToGrid w:val="0"/>
        <w:spacing w:after="0" w:line="240" w:lineRule="auto"/>
        <w:jc w:val="both"/>
        <w:rPr>
          <w:lang w:eastAsia="zh-CN"/>
        </w:rPr>
      </w:pPr>
      <w:r>
        <w:rPr>
          <w:lang w:eastAsia="zh-CN"/>
        </w:rPr>
        <w:br w:type="page"/>
      </w:r>
    </w:p>
    <w:p w14:paraId="2AC736CF">
      <w:pPr>
        <w:pStyle w:val="24"/>
        <w:numPr>
          <w:ilvl w:val="0"/>
          <w:numId w:val="2"/>
        </w:numPr>
        <w:tabs>
          <w:tab w:val="left" w:pos="896"/>
        </w:tabs>
        <w:autoSpaceDE/>
        <w:autoSpaceDN/>
        <w:snapToGrid w:val="0"/>
        <w:ind w:left="900" w:leftChars="200" w:hanging="420"/>
        <w:jc w:val="both"/>
      </w:pPr>
      <w:r>
        <w:t>15</w:t>
      </w:r>
      <w:r>
        <w:rPr>
          <w:rFonts w:hint="eastAsia"/>
        </w:rPr>
        <w:t>个月内，启动研究</w:t>
      </w:r>
    </w:p>
    <w:p w14:paraId="2D14E2A0">
      <w:pPr>
        <w:pStyle w:val="24"/>
        <w:numPr>
          <w:ilvl w:val="0"/>
          <w:numId w:val="2"/>
        </w:numPr>
        <w:tabs>
          <w:tab w:val="left" w:pos="896"/>
        </w:tabs>
        <w:autoSpaceDE/>
        <w:autoSpaceDN/>
        <w:snapToGrid w:val="0"/>
        <w:ind w:left="900" w:leftChars="200" w:hanging="420"/>
        <w:jc w:val="both"/>
      </w:pPr>
      <w:r>
        <w:t>18</w:t>
      </w:r>
      <w:r>
        <w:rPr>
          <w:rFonts w:hint="eastAsia"/>
        </w:rPr>
        <w:t>个月内，入组</w:t>
      </w:r>
      <w:r>
        <w:t>20%</w:t>
      </w:r>
      <w:r>
        <w:rPr>
          <w:rFonts w:hint="eastAsia"/>
        </w:rPr>
        <w:t>的受试者</w:t>
      </w:r>
    </w:p>
    <w:p w14:paraId="0B7088B7">
      <w:pPr>
        <w:pStyle w:val="24"/>
        <w:numPr>
          <w:ilvl w:val="0"/>
          <w:numId w:val="2"/>
        </w:numPr>
        <w:tabs>
          <w:tab w:val="left" w:pos="896"/>
        </w:tabs>
        <w:autoSpaceDE/>
        <w:autoSpaceDN/>
        <w:snapToGrid w:val="0"/>
        <w:ind w:left="900" w:leftChars="200" w:hanging="420"/>
        <w:jc w:val="both"/>
      </w:pPr>
      <w:r>
        <w:t>21</w:t>
      </w:r>
      <w:r>
        <w:rPr>
          <w:rFonts w:hint="eastAsia"/>
        </w:rPr>
        <w:t>个月内，入组</w:t>
      </w:r>
      <w:r>
        <w:t>50%</w:t>
      </w:r>
      <w:r>
        <w:rPr>
          <w:rFonts w:hint="eastAsia"/>
        </w:rPr>
        <w:t>的受试者</w:t>
      </w:r>
    </w:p>
    <w:p w14:paraId="4D27AD3C">
      <w:pPr>
        <w:pStyle w:val="24"/>
        <w:numPr>
          <w:ilvl w:val="0"/>
          <w:numId w:val="2"/>
        </w:numPr>
        <w:tabs>
          <w:tab w:val="left" w:pos="896"/>
        </w:tabs>
        <w:autoSpaceDE/>
        <w:autoSpaceDN/>
        <w:snapToGrid w:val="0"/>
        <w:ind w:left="900" w:leftChars="200" w:hanging="420"/>
        <w:jc w:val="both"/>
      </w:pPr>
      <w:r>
        <w:t>24</w:t>
      </w:r>
      <w:r>
        <w:rPr>
          <w:rFonts w:hint="eastAsia"/>
        </w:rPr>
        <w:t>个月内，入组</w:t>
      </w:r>
      <w:r>
        <w:t>100%</w:t>
      </w:r>
      <w:r>
        <w:rPr>
          <w:rFonts w:hint="eastAsia"/>
        </w:rPr>
        <w:t>的受试者</w:t>
      </w:r>
    </w:p>
    <w:p w14:paraId="378253FE">
      <w:pPr>
        <w:snapToGrid w:val="0"/>
        <w:spacing w:after="0" w:line="240" w:lineRule="auto"/>
        <w:jc w:val="both"/>
      </w:pPr>
    </w:p>
    <w:p w14:paraId="62051914">
      <w:pPr>
        <w:pStyle w:val="2"/>
        <w:numPr>
          <w:ilvl w:val="0"/>
          <w:numId w:val="1"/>
        </w:numPr>
        <w:snapToGrid w:val="0"/>
        <w:spacing w:before="0" w:beforeLines="0" w:line="240" w:lineRule="auto"/>
        <w:ind w:left="562" w:hanging="562" w:firstLineChars="0"/>
        <w:rPr>
          <w:rFonts w:eastAsia="宋体"/>
          <w:sz w:val="28"/>
        </w:rPr>
      </w:pPr>
      <w:bookmarkStart w:id="14" w:name="_Toc97546987"/>
      <w:bookmarkStart w:id="15" w:name="_Toc91249655"/>
      <w:r>
        <w:rPr>
          <w:rFonts w:hint="eastAsia" w:eastAsia="宋体"/>
          <w:sz w:val="28"/>
        </w:rPr>
        <w:t>上市后监督计划</w:t>
      </w:r>
      <w:bookmarkEnd w:id="14"/>
      <w:bookmarkEnd w:id="15"/>
    </w:p>
    <w:p w14:paraId="2622D9A5">
      <w:pPr>
        <w:snapToGrid w:val="0"/>
        <w:spacing w:after="0" w:line="240" w:lineRule="auto"/>
        <w:ind w:left="240" w:leftChars="100" w:firstLine="480" w:firstLineChars="200"/>
        <w:jc w:val="both"/>
        <w:rPr>
          <w:lang w:eastAsia="zh-CN"/>
        </w:rPr>
      </w:pPr>
      <w:r>
        <w:rPr>
          <w:lang w:eastAsia="zh-CN"/>
        </w:rPr>
        <w:t>FDA</w:t>
      </w:r>
      <w:r>
        <w:rPr>
          <w:rFonts w:hint="eastAsia"/>
          <w:lang w:eastAsia="zh-CN"/>
        </w:rPr>
        <w:t>将为每个</w:t>
      </w:r>
      <w:r>
        <w:rPr>
          <w:lang w:eastAsia="zh-CN"/>
        </w:rPr>
        <w:t>522</w:t>
      </w:r>
      <w:r>
        <w:rPr>
          <w:rFonts w:hint="eastAsia"/>
          <w:lang w:eastAsia="zh-CN"/>
        </w:rPr>
        <w:t>指令指定一个上市后监督（</w:t>
      </w:r>
      <w:r>
        <w:rPr>
          <w:lang w:eastAsia="zh-CN"/>
        </w:rPr>
        <w:t>PS</w:t>
      </w:r>
      <w:r>
        <w:rPr>
          <w:rFonts w:hint="eastAsia"/>
          <w:lang w:eastAsia="zh-CN"/>
        </w:rPr>
        <w:t>）指令编号（即</w:t>
      </w:r>
      <w:r>
        <w:rPr>
          <w:lang w:eastAsia="zh-CN"/>
        </w:rPr>
        <w:t>PS######</w:t>
      </w:r>
      <w:r>
        <w:rPr>
          <w:rFonts w:hint="eastAsia"/>
          <w:lang w:eastAsia="zh-CN"/>
        </w:rPr>
        <w:t>）。制造商在提交拟议的上市后监督计划时，应引用指定的</w:t>
      </w:r>
      <w:r>
        <w:rPr>
          <w:snapToGrid w:val="0"/>
          <w:szCs w:val="24"/>
          <w:lang w:eastAsia="zh-CN"/>
        </w:rPr>
        <w:t>上市后监督</w:t>
      </w:r>
      <w:r>
        <w:rPr>
          <w:rFonts w:hint="eastAsia"/>
          <w:lang w:eastAsia="zh-CN"/>
        </w:rPr>
        <w:t>编号。监督计划将作为</w:t>
      </w:r>
      <w:r>
        <w:rPr>
          <w:snapToGrid w:val="0"/>
          <w:szCs w:val="24"/>
          <w:lang w:eastAsia="zh-CN"/>
        </w:rPr>
        <w:t>上市后监督</w:t>
      </w:r>
      <w:r>
        <w:rPr>
          <w:rFonts w:hint="eastAsia"/>
          <w:lang w:eastAsia="zh-CN"/>
        </w:rPr>
        <w:t>指令编号的补充资料进行审查。如果一个</w:t>
      </w:r>
      <w:r>
        <w:rPr>
          <w:lang w:eastAsia="zh-CN"/>
        </w:rPr>
        <w:t>522</w:t>
      </w:r>
      <w:r>
        <w:rPr>
          <w:rFonts w:hint="eastAsia"/>
          <w:lang w:eastAsia="zh-CN"/>
        </w:rPr>
        <w:t>指令中存在多个上市后监督问题，而每个问题需以不同方法解决，则应为每个问题提交单独的上市后监督计划，并将该计划作为</w:t>
      </w:r>
      <w:r>
        <w:rPr>
          <w:snapToGrid w:val="0"/>
          <w:szCs w:val="24"/>
          <w:lang w:eastAsia="zh-CN"/>
        </w:rPr>
        <w:t>上市后监督</w:t>
      </w:r>
      <w:r>
        <w:rPr>
          <w:rFonts w:hint="eastAsia"/>
          <w:lang w:eastAsia="zh-CN"/>
        </w:rPr>
        <w:t>指令编号下的单个要求进行跟踪。</w:t>
      </w:r>
      <w:r>
        <w:rPr>
          <w:lang w:eastAsia="zh-CN"/>
        </w:rPr>
        <w:t>FDA</w:t>
      </w:r>
      <w:r>
        <w:rPr>
          <w:rFonts w:hint="eastAsia"/>
          <w:lang w:eastAsia="zh-CN"/>
        </w:rPr>
        <w:t>将通过唯一的文件编号确认收到并识别每份提交计划。</w:t>
      </w:r>
      <w:r>
        <w:rPr>
          <w:rStyle w:val="17"/>
          <w:snapToGrid w:val="0"/>
          <w:szCs w:val="24"/>
          <w:lang w:eastAsia="zh-CN"/>
        </w:rPr>
        <w:footnoteReference w:id="8"/>
      </w:r>
    </w:p>
    <w:p w14:paraId="4AB3A6A3">
      <w:pPr>
        <w:snapToGrid w:val="0"/>
        <w:spacing w:after="0" w:line="240" w:lineRule="auto"/>
        <w:ind w:left="240" w:leftChars="100" w:firstLine="480" w:firstLineChars="200"/>
        <w:jc w:val="both"/>
        <w:rPr>
          <w:snapToGrid w:val="0"/>
          <w:szCs w:val="24"/>
          <w:lang w:eastAsia="zh-CN"/>
        </w:rPr>
      </w:pPr>
    </w:p>
    <w:p w14:paraId="137F478D">
      <w:pPr>
        <w:snapToGrid w:val="0"/>
        <w:spacing w:after="0" w:line="240" w:lineRule="auto"/>
        <w:ind w:left="240" w:leftChars="100" w:firstLine="480" w:firstLineChars="200"/>
        <w:jc w:val="both"/>
        <w:rPr>
          <w:lang w:eastAsia="zh-CN"/>
        </w:rPr>
      </w:pPr>
      <w:r>
        <w:rPr>
          <w:rFonts w:hint="eastAsia"/>
          <w:lang w:eastAsia="zh-CN"/>
        </w:rPr>
        <w:t>制造商必须在收到</w:t>
      </w:r>
      <w:r>
        <w:rPr>
          <w:lang w:eastAsia="zh-CN"/>
        </w:rPr>
        <w:t>522</w:t>
      </w:r>
      <w:r>
        <w:rPr>
          <w:rFonts w:hint="eastAsia"/>
          <w:lang w:eastAsia="zh-CN"/>
        </w:rPr>
        <w:t>指令后</w:t>
      </w:r>
      <w:r>
        <w:rPr>
          <w:lang w:eastAsia="zh-CN"/>
        </w:rPr>
        <w:t>30</w:t>
      </w:r>
      <w:r>
        <w:rPr>
          <w:rFonts w:hint="eastAsia"/>
          <w:lang w:eastAsia="zh-CN"/>
        </w:rPr>
        <w:t>个日历日内</w:t>
      </w:r>
      <w:r>
        <w:rPr>
          <w:snapToGrid w:val="0"/>
          <w:szCs w:val="24"/>
          <w:lang w:eastAsia="zh-CN"/>
        </w:rPr>
        <w:t>，</w:t>
      </w:r>
      <w:r>
        <w:rPr>
          <w:rFonts w:hint="eastAsia"/>
          <w:lang w:eastAsia="zh-CN"/>
        </w:rPr>
        <w:t>提交上市后监督计划。</w:t>
      </w:r>
      <w:r>
        <w:rPr>
          <w:rStyle w:val="17"/>
          <w:snapToGrid w:val="0"/>
          <w:szCs w:val="24"/>
          <w:lang w:eastAsia="zh-CN"/>
        </w:rPr>
        <w:footnoteReference w:id="9"/>
      </w:r>
      <w:r>
        <w:rPr>
          <w:rFonts w:hint="eastAsia"/>
          <w:lang w:eastAsia="zh-CN"/>
        </w:rPr>
        <w:t>根据《</w:t>
      </w:r>
      <w:r>
        <w:rPr>
          <w:lang w:eastAsia="zh-CN"/>
        </w:rPr>
        <w:t>FD&amp;C</w:t>
      </w:r>
      <w:r>
        <w:rPr>
          <w:rFonts w:hint="eastAsia"/>
          <w:lang w:eastAsia="zh-CN"/>
        </w:rPr>
        <w:t>法案》第</w:t>
      </w:r>
      <w:r>
        <w:rPr>
          <w:lang w:eastAsia="zh-CN"/>
        </w:rPr>
        <w:t>522(b)(1)</w:t>
      </w:r>
      <w:r>
        <w:rPr>
          <w:rFonts w:hint="eastAsia"/>
          <w:lang w:eastAsia="zh-CN"/>
        </w:rPr>
        <w:t>节</w:t>
      </w:r>
      <w:r>
        <w:rPr>
          <w:snapToGrid w:val="0"/>
          <w:szCs w:val="24"/>
          <w:lang w:eastAsia="zh-CN"/>
        </w:rPr>
        <w:t>《美国联邦法规》第21篇第822</w:t>
      </w:r>
      <w:r>
        <w:rPr>
          <w:lang w:eastAsia="zh-CN"/>
        </w:rPr>
        <w:t>.17</w:t>
      </w:r>
      <w:r>
        <w:rPr>
          <w:snapToGrid w:val="0"/>
          <w:szCs w:val="24"/>
          <w:lang w:eastAsia="zh-CN"/>
        </w:rPr>
        <w:t>节</w:t>
      </w:r>
      <w:r>
        <w:rPr>
          <w:rFonts w:hint="eastAsia"/>
          <w:lang w:eastAsia="zh-CN"/>
        </w:rPr>
        <w:t>，</w:t>
      </w:r>
      <w:r>
        <w:rPr>
          <w:lang w:eastAsia="zh-CN"/>
        </w:rPr>
        <w:t>FDA</w:t>
      </w:r>
      <w:r>
        <w:rPr>
          <w:rFonts w:hint="eastAsia"/>
          <w:lang w:eastAsia="zh-CN"/>
        </w:rPr>
        <w:t>将在收到计划后</w:t>
      </w:r>
      <w:r>
        <w:rPr>
          <w:lang w:eastAsia="zh-CN"/>
        </w:rPr>
        <w:t>60</w:t>
      </w:r>
      <w:r>
        <w:rPr>
          <w:rFonts w:hint="eastAsia"/>
          <w:lang w:eastAsia="zh-CN"/>
        </w:rPr>
        <w:t>个日历日内</w:t>
      </w:r>
      <w:r>
        <w:rPr>
          <w:snapToGrid w:val="0"/>
          <w:szCs w:val="24"/>
          <w:lang w:eastAsia="zh-CN"/>
        </w:rPr>
        <w:t>，</w:t>
      </w:r>
      <w:r>
        <w:rPr>
          <w:rFonts w:hint="eastAsia"/>
          <w:lang w:eastAsia="zh-CN"/>
        </w:rPr>
        <w:t>审查上市后监督计划并作出答复。</w:t>
      </w:r>
      <w:r>
        <w:rPr>
          <w:lang w:eastAsia="zh-CN"/>
        </w:rPr>
        <w:t>FDA</w:t>
      </w:r>
      <w:r>
        <w:rPr>
          <w:rFonts w:hint="eastAsia"/>
          <w:lang w:eastAsia="zh-CN"/>
        </w:rPr>
        <w:t>将及时审查上市后监督计划，并与制造商互动，以便在收到计划后</w:t>
      </w:r>
      <w:r>
        <w:rPr>
          <w:lang w:eastAsia="zh-CN"/>
        </w:rPr>
        <w:t>30</w:t>
      </w:r>
      <w:r>
        <w:rPr>
          <w:rFonts w:hint="eastAsia"/>
          <w:lang w:eastAsia="zh-CN"/>
        </w:rPr>
        <w:t>个日历日内做出决定。制造商应优先解决本机构确定的任何监督计划</w:t>
      </w:r>
      <w:r>
        <w:rPr>
          <w:snapToGrid w:val="0"/>
          <w:szCs w:val="24"/>
          <w:lang w:eastAsia="zh-CN"/>
        </w:rPr>
        <w:t>问题</w:t>
      </w:r>
      <w:r>
        <w:rPr>
          <w:rFonts w:hint="eastAsia"/>
          <w:lang w:eastAsia="zh-CN"/>
        </w:rPr>
        <w:t>，并与</w:t>
      </w:r>
      <w:r>
        <w:rPr>
          <w:lang w:eastAsia="zh-CN"/>
        </w:rPr>
        <w:t>FDA</w:t>
      </w:r>
      <w:r>
        <w:rPr>
          <w:rFonts w:hint="eastAsia"/>
          <w:lang w:eastAsia="zh-CN"/>
        </w:rPr>
        <w:t>互相协作，以</w:t>
      </w:r>
      <w:r>
        <w:rPr>
          <w:snapToGrid w:val="0"/>
          <w:szCs w:val="24"/>
          <w:lang w:eastAsia="zh-CN"/>
        </w:rPr>
        <w:t>便与</w:t>
      </w:r>
      <w:r>
        <w:rPr>
          <w:lang w:eastAsia="zh-CN"/>
        </w:rPr>
        <w:t>FDA</w:t>
      </w:r>
      <w:r>
        <w:rPr>
          <w:rFonts w:hint="eastAsia"/>
          <w:lang w:eastAsia="zh-CN"/>
        </w:rPr>
        <w:t>在</w:t>
      </w:r>
      <w:r>
        <w:rPr>
          <w:lang w:eastAsia="zh-CN"/>
        </w:rPr>
        <w:t>522</w:t>
      </w:r>
      <w:r>
        <w:rPr>
          <w:rFonts w:hint="eastAsia"/>
          <w:lang w:eastAsia="zh-CN"/>
        </w:rPr>
        <w:t>指令发布日期后</w:t>
      </w:r>
      <w:r>
        <w:rPr>
          <w:lang w:eastAsia="zh-CN"/>
        </w:rPr>
        <w:t>60</w:t>
      </w:r>
      <w:r>
        <w:rPr>
          <w:rFonts w:hint="eastAsia"/>
          <w:lang w:eastAsia="zh-CN"/>
        </w:rPr>
        <w:t>个日历日内完成全面监督计划审查。</w:t>
      </w:r>
    </w:p>
    <w:p w14:paraId="7325E0B6">
      <w:pPr>
        <w:snapToGrid w:val="0"/>
        <w:spacing w:after="0" w:line="240" w:lineRule="auto"/>
        <w:ind w:left="240" w:leftChars="100" w:firstLine="480" w:firstLineChars="200"/>
        <w:jc w:val="both"/>
        <w:rPr>
          <w:snapToGrid w:val="0"/>
          <w:szCs w:val="24"/>
          <w:lang w:eastAsia="zh-CN"/>
        </w:rPr>
      </w:pPr>
    </w:p>
    <w:p w14:paraId="12F8F759">
      <w:pPr>
        <w:pStyle w:val="3"/>
        <w:snapToGrid w:val="0"/>
        <w:spacing w:before="0" w:beforeLines="0" w:line="240" w:lineRule="auto"/>
        <w:ind w:left="1162" w:leftChars="250"/>
        <w:rPr>
          <w:rFonts w:eastAsia="宋体"/>
          <w:snapToGrid w:val="0"/>
          <w:szCs w:val="24"/>
          <w:lang w:eastAsia="zh-CN"/>
        </w:rPr>
      </w:pPr>
      <w:bookmarkStart w:id="16" w:name="_Toc97546988"/>
      <w:bookmarkStart w:id="17" w:name="_Toc91249656"/>
      <w:r>
        <w:rPr>
          <w:rFonts w:eastAsia="宋体"/>
          <w:snapToGrid w:val="0"/>
          <w:szCs w:val="24"/>
          <w:lang w:eastAsia="zh-CN"/>
        </w:rPr>
        <w:t>A.</w:t>
      </w:r>
      <w:r>
        <w:rPr>
          <w:rFonts w:eastAsia="宋体"/>
          <w:snapToGrid w:val="0"/>
          <w:szCs w:val="24"/>
          <w:lang w:eastAsia="zh-CN"/>
        </w:rPr>
        <w:tab/>
      </w:r>
      <w:r>
        <w:rPr>
          <w:rFonts w:eastAsia="宋体"/>
          <w:snapToGrid w:val="0"/>
          <w:szCs w:val="24"/>
          <w:lang w:eastAsia="zh-CN"/>
        </w:rPr>
        <w:t>一般信息</w:t>
      </w:r>
      <w:bookmarkEnd w:id="16"/>
      <w:bookmarkEnd w:id="17"/>
    </w:p>
    <w:p w14:paraId="3FCC3B45">
      <w:pPr>
        <w:snapToGrid w:val="0"/>
        <w:spacing w:after="0" w:line="240" w:lineRule="auto"/>
        <w:ind w:left="240" w:leftChars="100" w:firstLine="480" w:firstLineChars="200"/>
        <w:jc w:val="both"/>
        <w:rPr>
          <w:lang w:eastAsia="zh-CN"/>
        </w:rPr>
      </w:pPr>
      <w:r>
        <w:rPr>
          <w:snapToGrid w:val="0"/>
          <w:szCs w:val="24"/>
          <w:lang w:eastAsia="zh-CN"/>
        </w:rPr>
        <w:t>《美国联邦法规》第21篇第822</w:t>
      </w:r>
      <w:r>
        <w:rPr>
          <w:lang w:eastAsia="zh-CN"/>
        </w:rPr>
        <w:t>.9</w:t>
      </w:r>
      <w:r>
        <w:rPr>
          <w:snapToGrid w:val="0"/>
          <w:szCs w:val="24"/>
          <w:lang w:eastAsia="zh-CN"/>
        </w:rPr>
        <w:t>节</w:t>
      </w:r>
      <w:r>
        <w:rPr>
          <w:rFonts w:hint="eastAsia"/>
          <w:lang w:eastAsia="zh-CN"/>
        </w:rPr>
        <w:t>概述了上市后监督提交文件的一般内容和格式。请参见</w:t>
      </w:r>
      <w:r>
        <w:rPr>
          <w:rFonts w:hint="eastAsia"/>
          <w:color w:val="0000FF"/>
          <w:u w:val="single"/>
          <w:lang w:eastAsia="zh-CN"/>
        </w:rPr>
        <w:t>附录</w:t>
      </w:r>
      <w:r>
        <w:rPr>
          <w:snapToGrid w:val="0"/>
          <w:color w:val="0000FF"/>
          <w:szCs w:val="24"/>
          <w:u w:val="single"/>
          <w:lang w:eastAsia="zh-CN"/>
        </w:rPr>
        <w:t>1</w:t>
      </w:r>
      <w:r>
        <w:rPr>
          <w:snapToGrid w:val="0"/>
          <w:color w:val="0000FF"/>
          <w:szCs w:val="24"/>
          <w:lang w:eastAsia="zh-CN"/>
        </w:rPr>
        <w:t xml:space="preserve"> </w:t>
      </w:r>
      <w:r>
        <w:rPr>
          <w:snapToGrid w:val="0"/>
          <w:szCs w:val="24"/>
          <w:lang w:eastAsia="zh-CN"/>
        </w:rPr>
        <w:t>CDRH</w:t>
      </w:r>
      <w:r>
        <w:rPr>
          <w:rFonts w:hint="eastAsia"/>
          <w:lang w:eastAsia="zh-CN"/>
        </w:rPr>
        <w:t>内部核对表以确定提交文件是否按照</w:t>
      </w:r>
      <w:r>
        <w:rPr>
          <w:snapToGrid w:val="0"/>
          <w:szCs w:val="24"/>
          <w:lang w:eastAsia="zh-CN"/>
        </w:rPr>
        <w:t>《美国联邦法规》第21编第822</w:t>
      </w:r>
      <w:r>
        <w:rPr>
          <w:lang w:eastAsia="zh-CN"/>
        </w:rPr>
        <w:t>.9</w:t>
      </w:r>
      <w:r>
        <w:rPr>
          <w:snapToGrid w:val="0"/>
          <w:szCs w:val="24"/>
          <w:lang w:eastAsia="zh-CN"/>
        </w:rPr>
        <w:t>节</w:t>
      </w:r>
      <w:r>
        <w:rPr>
          <w:rFonts w:hint="eastAsia"/>
          <w:lang w:eastAsia="zh-CN"/>
        </w:rPr>
        <w:t>的规定在行政管理上完整。</w:t>
      </w:r>
    </w:p>
    <w:p w14:paraId="44EAA878">
      <w:pPr>
        <w:snapToGrid w:val="0"/>
        <w:spacing w:after="0" w:line="240" w:lineRule="auto"/>
        <w:ind w:left="240" w:leftChars="100" w:firstLine="480" w:firstLineChars="200"/>
        <w:jc w:val="both"/>
        <w:rPr>
          <w:snapToGrid w:val="0"/>
          <w:szCs w:val="24"/>
          <w:lang w:eastAsia="zh-CN"/>
        </w:rPr>
      </w:pPr>
    </w:p>
    <w:p w14:paraId="52CFACFD">
      <w:pPr>
        <w:pStyle w:val="3"/>
        <w:snapToGrid w:val="0"/>
        <w:spacing w:before="0" w:beforeLines="0" w:line="240" w:lineRule="auto"/>
        <w:ind w:left="1162" w:leftChars="250"/>
        <w:rPr>
          <w:rFonts w:eastAsia="宋体"/>
          <w:snapToGrid w:val="0"/>
          <w:szCs w:val="24"/>
          <w:lang w:eastAsia="zh-CN"/>
        </w:rPr>
      </w:pPr>
      <w:bookmarkStart w:id="18" w:name="_Toc97546989"/>
      <w:bookmarkStart w:id="19" w:name="_Toc91249657"/>
      <w:r>
        <w:rPr>
          <w:rFonts w:eastAsia="宋体"/>
          <w:snapToGrid w:val="0"/>
          <w:szCs w:val="24"/>
          <w:lang w:eastAsia="zh-CN"/>
        </w:rPr>
        <w:t>B.</w:t>
      </w:r>
      <w:r>
        <w:rPr>
          <w:rFonts w:eastAsia="宋体"/>
          <w:snapToGrid w:val="0"/>
          <w:szCs w:val="24"/>
          <w:lang w:eastAsia="zh-CN"/>
        </w:rPr>
        <w:tab/>
      </w:r>
      <w:r>
        <w:rPr>
          <w:rFonts w:eastAsia="宋体"/>
          <w:snapToGrid w:val="0"/>
          <w:szCs w:val="24"/>
          <w:lang w:eastAsia="zh-CN"/>
        </w:rPr>
        <w:t>上市后监督计划中包含的要素</w:t>
      </w:r>
      <w:bookmarkEnd w:id="18"/>
      <w:bookmarkEnd w:id="19"/>
    </w:p>
    <w:p w14:paraId="3D5782F0">
      <w:pPr>
        <w:snapToGrid w:val="0"/>
        <w:spacing w:after="0" w:line="240" w:lineRule="auto"/>
        <w:ind w:left="240" w:leftChars="100" w:firstLine="480" w:firstLineChars="200"/>
        <w:jc w:val="both"/>
        <w:rPr>
          <w:lang w:eastAsia="zh-CN"/>
        </w:rPr>
      </w:pPr>
      <w:r>
        <w:rPr>
          <w:rFonts w:hint="eastAsia"/>
          <w:lang w:eastAsia="zh-CN"/>
        </w:rPr>
        <w:t>如</w:t>
      </w:r>
      <w:r>
        <w:rPr>
          <w:snapToGrid w:val="0"/>
          <w:szCs w:val="24"/>
          <w:lang w:eastAsia="zh-CN"/>
        </w:rPr>
        <w:t>《美国联邦法规》第21篇第822</w:t>
      </w:r>
      <w:r>
        <w:rPr>
          <w:lang w:eastAsia="zh-CN"/>
        </w:rPr>
        <w:t>.10</w:t>
      </w:r>
      <w:r>
        <w:rPr>
          <w:snapToGrid w:val="0"/>
          <w:szCs w:val="24"/>
          <w:lang w:eastAsia="zh-CN"/>
        </w:rPr>
        <w:t>节</w:t>
      </w:r>
      <w:r>
        <w:rPr>
          <w:rFonts w:hint="eastAsia"/>
          <w:lang w:eastAsia="zh-CN"/>
        </w:rPr>
        <w:t>所述，上市后监督计划必须包括以下部分：</w:t>
      </w:r>
    </w:p>
    <w:p w14:paraId="6098E153">
      <w:pPr>
        <w:snapToGrid w:val="0"/>
        <w:spacing w:after="0" w:line="240" w:lineRule="auto"/>
        <w:jc w:val="both"/>
        <w:rPr>
          <w:lang w:eastAsia="zh-CN"/>
        </w:rPr>
      </w:pPr>
      <w:r>
        <w:rPr>
          <w:lang w:eastAsia="zh-CN"/>
        </w:rPr>
        <w:br w:type="page"/>
      </w:r>
    </w:p>
    <w:p w14:paraId="1DF67590">
      <w:pPr>
        <w:pStyle w:val="24"/>
        <w:numPr>
          <w:ilvl w:val="0"/>
          <w:numId w:val="2"/>
        </w:numPr>
        <w:tabs>
          <w:tab w:val="left" w:pos="896"/>
        </w:tabs>
        <w:autoSpaceDE/>
        <w:autoSpaceDN/>
        <w:snapToGrid w:val="0"/>
        <w:ind w:left="938" w:leftChars="200" w:hanging="458"/>
        <w:jc w:val="both"/>
        <w:rPr>
          <w:snapToGrid w:val="0"/>
          <w:lang w:eastAsia="zh-CN"/>
        </w:rPr>
      </w:pPr>
      <w:r>
        <w:rPr>
          <w:snapToGrid w:val="0"/>
          <w:lang w:eastAsia="zh-CN"/>
        </w:rPr>
        <w:t>解决监管问题</w:t>
      </w:r>
      <w:r>
        <w:rPr>
          <w:rStyle w:val="17"/>
          <w:snapToGrid w:val="0"/>
          <w:lang w:eastAsia="zh-CN"/>
        </w:rPr>
        <w:footnoteReference w:id="10"/>
      </w:r>
      <w:r>
        <w:rPr>
          <w:snapToGrid w:val="0"/>
          <w:lang w:eastAsia="zh-CN"/>
        </w:rPr>
        <w:t>的上市后监督计划目标</w:t>
      </w:r>
    </w:p>
    <w:p w14:paraId="494108B6">
      <w:pPr>
        <w:pStyle w:val="24"/>
        <w:tabs>
          <w:tab w:val="left" w:pos="896"/>
        </w:tabs>
        <w:autoSpaceDE/>
        <w:autoSpaceDN/>
        <w:snapToGrid w:val="0"/>
        <w:ind w:left="900"/>
        <w:jc w:val="both"/>
        <w:rPr>
          <w:snapToGrid w:val="0"/>
          <w:lang w:eastAsia="zh-CN"/>
        </w:rPr>
      </w:pPr>
    </w:p>
    <w:p w14:paraId="1EC4C606">
      <w:pPr>
        <w:pStyle w:val="24"/>
        <w:numPr>
          <w:ilvl w:val="0"/>
          <w:numId w:val="2"/>
        </w:numPr>
        <w:tabs>
          <w:tab w:val="left" w:pos="896"/>
        </w:tabs>
        <w:autoSpaceDE/>
        <w:autoSpaceDN/>
        <w:snapToGrid w:val="0"/>
        <w:ind w:left="938" w:leftChars="200" w:hanging="458"/>
        <w:jc w:val="both"/>
        <w:rPr>
          <w:snapToGrid w:val="0"/>
          <w:lang w:eastAsia="zh-CN"/>
        </w:rPr>
      </w:pPr>
      <w:r>
        <w:rPr>
          <w:snapToGrid w:val="0"/>
          <w:lang w:eastAsia="zh-CN"/>
        </w:rPr>
        <w:t>待使用的上市后监督方法</w:t>
      </w:r>
      <w:r>
        <w:rPr>
          <w:rStyle w:val="17"/>
          <w:snapToGrid w:val="0"/>
          <w:lang w:eastAsia="zh-CN"/>
        </w:rPr>
        <w:footnoteReference w:id="11"/>
      </w:r>
      <w:r>
        <w:rPr>
          <w:snapToGrid w:val="0"/>
          <w:lang w:eastAsia="zh-CN"/>
        </w:rPr>
        <w:t>（即设计）或方式（见本指南</w:t>
      </w:r>
      <w:r>
        <w:rPr>
          <w:snapToGrid w:val="0"/>
          <w:color w:val="0000FF"/>
          <w:u w:val="single"/>
          <w:lang w:eastAsia="zh-CN"/>
        </w:rPr>
        <w:t>第III.E节</w:t>
      </w:r>
      <w:r>
        <w:rPr>
          <w:snapToGrid w:val="0"/>
          <w:lang w:eastAsia="zh-CN"/>
        </w:rPr>
        <w:t>），本机构建议包括假设和成功标准</w:t>
      </w:r>
    </w:p>
    <w:p w14:paraId="3A3A99D1">
      <w:pPr>
        <w:pStyle w:val="24"/>
        <w:tabs>
          <w:tab w:val="left" w:pos="896"/>
        </w:tabs>
        <w:autoSpaceDE/>
        <w:autoSpaceDN/>
        <w:snapToGrid w:val="0"/>
        <w:ind w:left="900"/>
        <w:jc w:val="both"/>
        <w:rPr>
          <w:snapToGrid w:val="0"/>
          <w:lang w:eastAsia="zh-CN"/>
        </w:rPr>
      </w:pPr>
    </w:p>
    <w:p w14:paraId="7806256A">
      <w:pPr>
        <w:pStyle w:val="24"/>
        <w:numPr>
          <w:ilvl w:val="0"/>
          <w:numId w:val="2"/>
        </w:numPr>
        <w:tabs>
          <w:tab w:val="left" w:pos="896"/>
        </w:tabs>
        <w:autoSpaceDE/>
        <w:autoSpaceDN/>
        <w:snapToGrid w:val="0"/>
        <w:ind w:left="938" w:leftChars="200" w:hanging="458"/>
        <w:jc w:val="both"/>
        <w:rPr>
          <w:snapToGrid w:val="0"/>
          <w:lang w:eastAsia="zh-CN"/>
        </w:rPr>
      </w:pPr>
      <w:r>
        <w:rPr>
          <w:snapToGrid w:val="0"/>
          <w:lang w:eastAsia="zh-CN"/>
        </w:rPr>
        <w:t>研究对象，</w:t>
      </w:r>
      <w:r>
        <w:rPr>
          <w:rStyle w:val="17"/>
          <w:snapToGrid w:val="0"/>
          <w:lang w:eastAsia="zh-CN"/>
        </w:rPr>
        <w:footnoteReference w:id="12"/>
      </w:r>
      <w:r>
        <w:rPr>
          <w:snapToGrid w:val="0"/>
          <w:lang w:eastAsia="zh-CN"/>
        </w:rPr>
        <w:t>例如患者群体（可能包括受试者纳入和排除标准以及对照组的定义和来源）</w:t>
      </w:r>
    </w:p>
    <w:p w14:paraId="3A0D333D">
      <w:pPr>
        <w:pStyle w:val="24"/>
        <w:tabs>
          <w:tab w:val="left" w:pos="896"/>
        </w:tabs>
        <w:autoSpaceDE/>
        <w:autoSpaceDN/>
        <w:snapToGrid w:val="0"/>
        <w:ind w:left="900"/>
        <w:jc w:val="both"/>
        <w:rPr>
          <w:snapToGrid w:val="0"/>
          <w:lang w:eastAsia="zh-CN"/>
        </w:rPr>
      </w:pPr>
    </w:p>
    <w:p w14:paraId="689CFA3C">
      <w:pPr>
        <w:pStyle w:val="24"/>
        <w:numPr>
          <w:ilvl w:val="0"/>
          <w:numId w:val="2"/>
        </w:numPr>
        <w:tabs>
          <w:tab w:val="left" w:pos="896"/>
        </w:tabs>
        <w:autoSpaceDE/>
        <w:autoSpaceDN/>
        <w:snapToGrid w:val="0"/>
        <w:ind w:left="938" w:leftChars="200" w:hanging="458"/>
        <w:jc w:val="both"/>
        <w:rPr>
          <w:snapToGrid w:val="0"/>
          <w:lang w:eastAsia="zh-CN"/>
        </w:rPr>
      </w:pPr>
      <w:r>
        <w:rPr>
          <w:snapToGrid w:val="0"/>
          <w:lang w:eastAsia="zh-CN"/>
        </w:rPr>
        <w:t>评估监督问题的变量和终点，</w:t>
      </w:r>
      <w:r>
        <w:rPr>
          <w:rStyle w:val="17"/>
          <w:snapToGrid w:val="0"/>
          <w:lang w:eastAsia="zh-CN"/>
        </w:rPr>
        <w:footnoteReference w:id="13"/>
      </w:r>
      <w:r>
        <w:rPr>
          <w:snapToGrid w:val="0"/>
          <w:lang w:eastAsia="zh-CN"/>
        </w:rPr>
        <w:t>如主要和次要终点；本机构建议包括终点定义、预期不良事件/并发症列表、收集意外不良事件的协议以及评估终点与器械和/或程序相关性的计划</w:t>
      </w:r>
    </w:p>
    <w:p w14:paraId="3BEE69A6">
      <w:pPr>
        <w:pStyle w:val="24"/>
        <w:tabs>
          <w:tab w:val="left" w:pos="896"/>
        </w:tabs>
        <w:autoSpaceDE/>
        <w:autoSpaceDN/>
        <w:snapToGrid w:val="0"/>
        <w:ind w:left="900"/>
        <w:jc w:val="both"/>
        <w:rPr>
          <w:snapToGrid w:val="0"/>
          <w:lang w:eastAsia="zh-CN"/>
        </w:rPr>
      </w:pPr>
    </w:p>
    <w:p w14:paraId="7B5FF5DB">
      <w:pPr>
        <w:pStyle w:val="24"/>
        <w:numPr>
          <w:ilvl w:val="0"/>
          <w:numId w:val="2"/>
        </w:numPr>
        <w:tabs>
          <w:tab w:val="left" w:pos="896"/>
        </w:tabs>
        <w:autoSpaceDE/>
        <w:autoSpaceDN/>
        <w:snapToGrid w:val="0"/>
        <w:ind w:left="938" w:leftChars="200" w:hanging="458"/>
        <w:jc w:val="both"/>
        <w:rPr>
          <w:snapToGrid w:val="0"/>
          <w:lang w:eastAsia="zh-CN"/>
        </w:rPr>
      </w:pPr>
      <w:r>
        <w:rPr>
          <w:snapToGrid w:val="0"/>
          <w:lang w:eastAsia="zh-CN"/>
        </w:rPr>
        <w:t>样本量；</w:t>
      </w:r>
      <w:r>
        <w:rPr>
          <w:rStyle w:val="17"/>
          <w:snapToGrid w:val="0"/>
          <w:lang w:eastAsia="zh-CN"/>
        </w:rPr>
        <w:footnoteReference w:id="14"/>
      </w:r>
      <w:r>
        <w:rPr>
          <w:snapToGrid w:val="0"/>
          <w:lang w:eastAsia="zh-CN"/>
        </w:rPr>
        <w:t>本机构建议在适用的情况下，包括统计上合理且基于研究假设的样本量计算</w:t>
      </w:r>
    </w:p>
    <w:p w14:paraId="7AE27E93">
      <w:pPr>
        <w:pStyle w:val="24"/>
        <w:tabs>
          <w:tab w:val="left" w:pos="896"/>
        </w:tabs>
        <w:autoSpaceDE/>
        <w:autoSpaceDN/>
        <w:snapToGrid w:val="0"/>
        <w:ind w:left="900"/>
        <w:jc w:val="both"/>
        <w:rPr>
          <w:snapToGrid w:val="0"/>
          <w:lang w:eastAsia="zh-CN"/>
        </w:rPr>
      </w:pPr>
    </w:p>
    <w:p w14:paraId="337BC836">
      <w:pPr>
        <w:pStyle w:val="24"/>
        <w:numPr>
          <w:ilvl w:val="0"/>
          <w:numId w:val="2"/>
        </w:numPr>
        <w:tabs>
          <w:tab w:val="left" w:pos="896"/>
        </w:tabs>
        <w:autoSpaceDE/>
        <w:autoSpaceDN/>
        <w:snapToGrid w:val="0"/>
        <w:ind w:left="938" w:leftChars="200" w:hanging="458"/>
        <w:jc w:val="both"/>
        <w:rPr>
          <w:snapToGrid w:val="0"/>
          <w:lang w:eastAsia="zh-CN"/>
        </w:rPr>
      </w:pPr>
      <w:r>
        <w:rPr>
          <w:snapToGrid w:val="0"/>
          <w:lang w:eastAsia="zh-CN"/>
        </w:rPr>
        <w:t>数据源描述（例如，医院记录、登记数据）；</w:t>
      </w:r>
      <w:r>
        <w:rPr>
          <w:rStyle w:val="17"/>
          <w:snapToGrid w:val="0"/>
          <w:lang w:eastAsia="zh-CN"/>
        </w:rPr>
        <w:footnoteReference w:id="15"/>
      </w:r>
      <w:r>
        <w:rPr>
          <w:snapToGrid w:val="0"/>
          <w:lang w:eastAsia="zh-CN"/>
        </w:rPr>
        <w:t>本机构建议包括对数据源相关性（例如，是否捕获信息以解决指令中的监督问题）及其可靠性（例如，数据质量）的描述</w:t>
      </w:r>
    </w:p>
    <w:p w14:paraId="21B943DD">
      <w:pPr>
        <w:pStyle w:val="24"/>
        <w:tabs>
          <w:tab w:val="left" w:pos="896"/>
        </w:tabs>
        <w:autoSpaceDE/>
        <w:autoSpaceDN/>
        <w:snapToGrid w:val="0"/>
        <w:ind w:left="900"/>
        <w:jc w:val="both"/>
        <w:rPr>
          <w:snapToGrid w:val="0"/>
          <w:lang w:eastAsia="zh-CN"/>
        </w:rPr>
      </w:pPr>
    </w:p>
    <w:p w14:paraId="7C48D160">
      <w:pPr>
        <w:pStyle w:val="24"/>
        <w:numPr>
          <w:ilvl w:val="0"/>
          <w:numId w:val="2"/>
        </w:numPr>
        <w:tabs>
          <w:tab w:val="left" w:pos="896"/>
        </w:tabs>
        <w:autoSpaceDE/>
        <w:autoSpaceDN/>
        <w:snapToGrid w:val="0"/>
        <w:ind w:left="938" w:leftChars="200" w:hanging="458"/>
        <w:jc w:val="both"/>
        <w:rPr>
          <w:snapToGrid w:val="0"/>
          <w:lang w:eastAsia="zh-CN"/>
        </w:rPr>
      </w:pPr>
      <w:r>
        <w:rPr>
          <w:snapToGrid w:val="0"/>
          <w:lang w:eastAsia="zh-CN"/>
        </w:rPr>
        <w:t>数据收集计划</w:t>
      </w:r>
      <w:r>
        <w:rPr>
          <w:rStyle w:val="17"/>
          <w:snapToGrid w:val="0"/>
          <w:lang w:eastAsia="zh-CN"/>
        </w:rPr>
        <w:footnoteReference w:id="16"/>
      </w:r>
      <w:r>
        <w:rPr>
          <w:snapToGrid w:val="0"/>
          <w:lang w:eastAsia="zh-CN"/>
        </w:rPr>
        <w:t>的描述（如程序，包括适用的数据管理和质量控制</w:t>
      </w:r>
      <w:r>
        <w:rPr>
          <w:rStyle w:val="17"/>
          <w:snapToGrid w:val="0"/>
          <w:lang w:eastAsia="zh-CN"/>
        </w:rPr>
        <w:footnoteReference w:id="17"/>
      </w:r>
      <w:r>
        <w:rPr>
          <w:snapToGrid w:val="0"/>
          <w:lang w:eastAsia="zh-CN"/>
        </w:rPr>
        <w:t>）</w:t>
      </w:r>
    </w:p>
    <w:p w14:paraId="1B8DAEF0">
      <w:pPr>
        <w:pStyle w:val="24"/>
        <w:tabs>
          <w:tab w:val="left" w:pos="896"/>
        </w:tabs>
        <w:autoSpaceDE/>
        <w:autoSpaceDN/>
        <w:snapToGrid w:val="0"/>
        <w:ind w:left="900"/>
        <w:jc w:val="both"/>
        <w:rPr>
          <w:snapToGrid w:val="0"/>
          <w:lang w:eastAsia="zh-CN"/>
        </w:rPr>
      </w:pPr>
    </w:p>
    <w:p w14:paraId="4E2545DF">
      <w:pPr>
        <w:pStyle w:val="24"/>
        <w:numPr>
          <w:ilvl w:val="0"/>
          <w:numId w:val="2"/>
        </w:numPr>
        <w:tabs>
          <w:tab w:val="left" w:pos="896"/>
        </w:tabs>
        <w:autoSpaceDE/>
        <w:autoSpaceDN/>
        <w:snapToGrid w:val="0"/>
        <w:ind w:left="938" w:leftChars="200" w:hanging="458"/>
        <w:jc w:val="both"/>
        <w:rPr>
          <w:snapToGrid w:val="0"/>
          <w:lang w:eastAsia="zh-CN"/>
        </w:rPr>
      </w:pPr>
      <w:r>
        <w:rPr>
          <w:snapToGrid w:val="0"/>
          <w:lang w:eastAsia="zh-CN"/>
        </w:rPr>
        <w:t>数据收集表</w:t>
      </w:r>
      <w:r>
        <w:rPr>
          <w:rStyle w:val="17"/>
          <w:snapToGrid w:val="0"/>
          <w:lang w:eastAsia="zh-CN"/>
        </w:rPr>
        <w:footnoteReference w:id="18"/>
      </w:r>
      <w:r>
        <w:rPr>
          <w:snapToGrid w:val="0"/>
          <w:lang w:eastAsia="zh-CN"/>
        </w:rPr>
        <w:t>、知情同意书</w:t>
      </w:r>
      <w:r>
        <w:rPr>
          <w:rStyle w:val="17"/>
          <w:snapToGrid w:val="0"/>
          <w:lang w:eastAsia="zh-CN"/>
        </w:rPr>
        <w:footnoteReference w:id="19"/>
      </w:r>
      <w:r>
        <w:rPr>
          <w:snapToGrid w:val="0"/>
          <w:lang w:eastAsia="zh-CN"/>
        </w:rPr>
        <w:t>和机构审查委员会（IRB）批准或IRB豁免表</w:t>
      </w:r>
      <w:r>
        <w:rPr>
          <w:rStyle w:val="17"/>
          <w:snapToGrid w:val="0"/>
          <w:lang w:eastAsia="zh-CN"/>
        </w:rPr>
        <w:footnoteReference w:id="20"/>
      </w:r>
      <w:r>
        <w:rPr>
          <w:snapToGrid w:val="0"/>
          <w:lang w:eastAsia="zh-CN"/>
        </w:rPr>
        <w:t>（如适用）</w:t>
      </w:r>
    </w:p>
    <w:p w14:paraId="12ADFFC5">
      <w:pPr>
        <w:pStyle w:val="24"/>
        <w:tabs>
          <w:tab w:val="left" w:pos="896"/>
        </w:tabs>
        <w:autoSpaceDE/>
        <w:autoSpaceDN/>
        <w:snapToGrid w:val="0"/>
        <w:ind w:left="900"/>
        <w:jc w:val="both"/>
        <w:rPr>
          <w:snapToGrid w:val="0"/>
          <w:lang w:eastAsia="zh-CN"/>
        </w:rPr>
      </w:pPr>
    </w:p>
    <w:p w14:paraId="4DC0DD28">
      <w:pPr>
        <w:pStyle w:val="24"/>
        <w:numPr>
          <w:ilvl w:val="0"/>
          <w:numId w:val="2"/>
        </w:numPr>
        <w:tabs>
          <w:tab w:val="left" w:pos="896"/>
        </w:tabs>
        <w:autoSpaceDE/>
        <w:autoSpaceDN/>
        <w:snapToGrid w:val="0"/>
        <w:ind w:left="938" w:leftChars="200" w:hanging="458"/>
        <w:jc w:val="both"/>
        <w:rPr>
          <w:snapToGrid w:val="0"/>
          <w:lang w:eastAsia="zh-CN"/>
        </w:rPr>
      </w:pPr>
      <w:r>
        <w:rPr>
          <w:snapToGrid w:val="0"/>
          <w:lang w:eastAsia="zh-CN"/>
        </w:rPr>
        <w:t>患者随访计划或时间表；</w:t>
      </w:r>
      <w:r>
        <w:rPr>
          <w:rStyle w:val="17"/>
          <w:snapToGrid w:val="0"/>
          <w:lang w:eastAsia="zh-CN"/>
        </w:rPr>
        <w:footnoteReference w:id="21"/>
      </w:r>
      <w:r>
        <w:rPr>
          <w:snapToGrid w:val="0"/>
          <w:lang w:eastAsia="zh-CN"/>
        </w:rPr>
        <w:t>本机构建议包括随访时间、减少失访评估的计划、随访率目标以及基线和随访评估说明</w:t>
      </w:r>
    </w:p>
    <w:p w14:paraId="36321538">
      <w:pPr>
        <w:snapToGrid w:val="0"/>
        <w:spacing w:after="0" w:line="240" w:lineRule="auto"/>
        <w:jc w:val="both"/>
        <w:rPr>
          <w:sz w:val="21"/>
          <w:lang w:eastAsia="zh-CN"/>
        </w:rPr>
      </w:pPr>
      <w:r>
        <w:rPr>
          <w:sz w:val="21"/>
          <w:lang w:eastAsia="zh-CN"/>
        </w:rPr>
        <w:br w:type="page"/>
      </w:r>
    </w:p>
    <w:p w14:paraId="626ED62C">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计划的所有数据分析和统计检验</w:t>
      </w:r>
      <w:r>
        <w:rPr>
          <w:rStyle w:val="17"/>
          <w:snapToGrid w:val="0"/>
          <w:lang w:eastAsia="zh-CN"/>
        </w:rPr>
        <w:footnoteReference w:id="22"/>
      </w:r>
      <w:r>
        <w:rPr>
          <w:snapToGrid w:val="0"/>
          <w:lang w:eastAsia="zh-CN"/>
        </w:rPr>
        <w:t>（如统计分析计划，包括中期数据发布计划（如适用）和最终数据分析）</w:t>
      </w:r>
    </w:p>
    <w:p w14:paraId="6AEFDD5A">
      <w:pPr>
        <w:pStyle w:val="24"/>
        <w:tabs>
          <w:tab w:val="left" w:pos="896"/>
        </w:tabs>
        <w:autoSpaceDE/>
        <w:autoSpaceDN/>
        <w:snapToGrid w:val="0"/>
        <w:ind w:left="900"/>
        <w:jc w:val="both"/>
        <w:rPr>
          <w:snapToGrid w:val="0"/>
          <w:lang w:eastAsia="zh-CN"/>
        </w:rPr>
      </w:pPr>
    </w:p>
    <w:p w14:paraId="235230E0">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研究员协议，如适用</w:t>
      </w:r>
      <w:r>
        <w:rPr>
          <w:rStyle w:val="17"/>
          <w:snapToGrid w:val="0"/>
          <w:lang w:eastAsia="zh-CN"/>
        </w:rPr>
        <w:footnoteReference w:id="23"/>
      </w:r>
    </w:p>
    <w:p w14:paraId="4F431CC9">
      <w:pPr>
        <w:pStyle w:val="24"/>
        <w:tabs>
          <w:tab w:val="left" w:pos="896"/>
        </w:tabs>
        <w:autoSpaceDE/>
        <w:autoSpaceDN/>
        <w:snapToGrid w:val="0"/>
        <w:ind w:left="900"/>
        <w:jc w:val="both"/>
        <w:rPr>
          <w:snapToGrid w:val="0"/>
          <w:lang w:eastAsia="zh-CN"/>
        </w:rPr>
      </w:pPr>
    </w:p>
    <w:p w14:paraId="0EA7C159">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监控执行和监督</w:t>
      </w:r>
      <w:r>
        <w:rPr>
          <w:rStyle w:val="17"/>
          <w:snapToGrid w:val="0"/>
          <w:lang w:eastAsia="zh-CN"/>
        </w:rPr>
        <w:footnoteReference w:id="24"/>
      </w:r>
      <w:r>
        <w:rPr>
          <w:snapToGrid w:val="0"/>
          <w:lang w:eastAsia="zh-CN"/>
        </w:rPr>
        <w:t>进度的计划，以及监督的估计持续时间</w:t>
      </w:r>
      <w:r>
        <w:rPr>
          <w:rStyle w:val="17"/>
          <w:snapToGrid w:val="0"/>
          <w:lang w:eastAsia="zh-CN"/>
        </w:rPr>
        <w:footnoteReference w:id="25"/>
      </w:r>
      <w:r>
        <w:rPr>
          <w:snapToGrid w:val="0"/>
          <w:lang w:eastAsia="zh-CN"/>
        </w:rPr>
        <w:t>，如计划时间节点/时间表要素，包括下列内容（如适用）：</w:t>
      </w:r>
    </w:p>
    <w:p w14:paraId="0D914AD9">
      <w:pPr>
        <w:pStyle w:val="24"/>
        <w:numPr>
          <w:ilvl w:val="0"/>
          <w:numId w:val="3"/>
        </w:numPr>
        <w:autoSpaceDE/>
        <w:autoSpaceDN/>
        <w:snapToGrid w:val="0"/>
        <w:ind w:left="1440" w:leftChars="600"/>
        <w:jc w:val="both"/>
        <w:rPr>
          <w:lang w:eastAsia="zh-CN"/>
        </w:rPr>
      </w:pPr>
      <w:r>
        <w:rPr>
          <w:rFonts w:hint="eastAsia"/>
          <w:lang w:eastAsia="zh-CN"/>
        </w:rPr>
        <w:t>研究</w:t>
      </w:r>
      <w:r>
        <w:rPr>
          <w:lang w:eastAsia="zh-CN"/>
        </w:rPr>
        <w:t>/</w:t>
      </w:r>
      <w:r>
        <w:rPr>
          <w:rFonts w:hint="eastAsia"/>
          <w:lang w:eastAsia="zh-CN"/>
        </w:rPr>
        <w:t>监督启动的预期日期</w:t>
      </w:r>
    </w:p>
    <w:p w14:paraId="46C7D1B1">
      <w:pPr>
        <w:pStyle w:val="24"/>
        <w:numPr>
          <w:ilvl w:val="0"/>
          <w:numId w:val="3"/>
        </w:numPr>
        <w:autoSpaceDE/>
        <w:autoSpaceDN/>
        <w:snapToGrid w:val="0"/>
        <w:ind w:left="1440" w:leftChars="600"/>
        <w:jc w:val="both"/>
        <w:rPr>
          <w:lang w:eastAsia="zh-CN"/>
        </w:rPr>
      </w:pPr>
      <w:r>
        <w:rPr>
          <w:lang w:eastAsia="zh-CN"/>
        </w:rPr>
        <w:t>IRB</w:t>
      </w:r>
      <w:r>
        <w:rPr>
          <w:rFonts w:hint="eastAsia"/>
          <w:lang w:eastAsia="zh-CN"/>
        </w:rPr>
        <w:t>每月批准的临床试验机构预期数量</w:t>
      </w:r>
    </w:p>
    <w:p w14:paraId="7B809F73">
      <w:pPr>
        <w:pStyle w:val="24"/>
        <w:numPr>
          <w:ilvl w:val="0"/>
          <w:numId w:val="3"/>
        </w:numPr>
        <w:autoSpaceDE/>
        <w:autoSpaceDN/>
        <w:snapToGrid w:val="0"/>
        <w:ind w:left="1440" w:leftChars="600"/>
        <w:jc w:val="both"/>
        <w:rPr>
          <w:lang w:eastAsia="zh-CN"/>
        </w:rPr>
      </w:pPr>
      <w:r>
        <w:rPr>
          <w:rFonts w:hint="eastAsia"/>
          <w:lang w:eastAsia="zh-CN"/>
        </w:rPr>
        <w:t>受试者入组的预期开始日期</w:t>
      </w:r>
    </w:p>
    <w:p w14:paraId="4EB2379D">
      <w:pPr>
        <w:pStyle w:val="24"/>
        <w:numPr>
          <w:ilvl w:val="0"/>
          <w:numId w:val="3"/>
        </w:numPr>
        <w:autoSpaceDE/>
        <w:autoSpaceDN/>
        <w:snapToGrid w:val="0"/>
        <w:ind w:left="1440" w:leftChars="600"/>
        <w:jc w:val="both"/>
        <w:rPr>
          <w:lang w:eastAsia="zh-CN"/>
        </w:rPr>
      </w:pPr>
      <w:r>
        <w:rPr>
          <w:rFonts w:hint="eastAsia"/>
          <w:lang w:eastAsia="zh-CN"/>
        </w:rPr>
        <w:t>实现</w:t>
      </w:r>
      <w:r>
        <w:rPr>
          <w:lang w:eastAsia="zh-CN"/>
        </w:rPr>
        <w:t>20%</w:t>
      </w:r>
      <w:r>
        <w:rPr>
          <w:rFonts w:hint="eastAsia"/>
          <w:lang w:eastAsia="zh-CN"/>
        </w:rPr>
        <w:t>入组和</w:t>
      </w:r>
      <w:r>
        <w:rPr>
          <w:lang w:eastAsia="zh-CN"/>
        </w:rPr>
        <w:t>50%</w:t>
      </w:r>
      <w:r>
        <w:rPr>
          <w:rFonts w:hint="eastAsia"/>
          <w:lang w:eastAsia="zh-CN"/>
        </w:rPr>
        <w:t>入组的预期日期</w:t>
      </w:r>
    </w:p>
    <w:p w14:paraId="4937F29D">
      <w:pPr>
        <w:pStyle w:val="24"/>
        <w:numPr>
          <w:ilvl w:val="0"/>
          <w:numId w:val="3"/>
        </w:numPr>
        <w:autoSpaceDE/>
        <w:autoSpaceDN/>
        <w:snapToGrid w:val="0"/>
        <w:ind w:left="1440" w:leftChars="600"/>
        <w:jc w:val="both"/>
        <w:rPr>
          <w:lang w:eastAsia="zh-CN"/>
        </w:rPr>
      </w:pPr>
      <w:r>
        <w:rPr>
          <w:rFonts w:hint="eastAsia"/>
          <w:lang w:eastAsia="zh-CN"/>
        </w:rPr>
        <w:t>受试者入组完成的预期日期</w:t>
      </w:r>
    </w:p>
    <w:p w14:paraId="486CDFA7">
      <w:pPr>
        <w:pStyle w:val="24"/>
        <w:numPr>
          <w:ilvl w:val="0"/>
          <w:numId w:val="3"/>
        </w:numPr>
        <w:autoSpaceDE/>
        <w:autoSpaceDN/>
        <w:snapToGrid w:val="0"/>
        <w:ind w:left="1440" w:leftChars="600"/>
        <w:jc w:val="both"/>
        <w:rPr>
          <w:lang w:eastAsia="zh-CN"/>
        </w:rPr>
      </w:pPr>
      <w:r>
        <w:rPr>
          <w:rFonts w:hint="eastAsia"/>
          <w:lang w:eastAsia="zh-CN"/>
        </w:rPr>
        <w:t>所有研究参与者完成随访的日期</w:t>
      </w:r>
    </w:p>
    <w:p w14:paraId="5EEED6B7">
      <w:pPr>
        <w:pStyle w:val="24"/>
        <w:numPr>
          <w:ilvl w:val="0"/>
          <w:numId w:val="3"/>
        </w:numPr>
        <w:autoSpaceDE/>
        <w:autoSpaceDN/>
        <w:snapToGrid w:val="0"/>
        <w:ind w:left="1440" w:leftChars="600"/>
        <w:jc w:val="both"/>
        <w:rPr>
          <w:lang w:eastAsia="zh-CN"/>
        </w:rPr>
      </w:pPr>
      <w:r>
        <w:rPr>
          <w:rFonts w:hint="eastAsia"/>
          <w:lang w:eastAsia="zh-CN"/>
        </w:rPr>
        <w:t>如适用，与中间时间节点相关的信息（例如，对同样衡量临床益处的</w:t>
      </w:r>
    </w:p>
    <w:p w14:paraId="1F97871F">
      <w:pPr>
        <w:pStyle w:val="24"/>
        <w:numPr>
          <w:ilvl w:val="0"/>
          <w:numId w:val="3"/>
        </w:numPr>
        <w:autoSpaceDE/>
        <w:autoSpaceDN/>
        <w:snapToGrid w:val="0"/>
        <w:ind w:left="1440" w:leftChars="600"/>
        <w:jc w:val="both"/>
        <w:rPr>
          <w:lang w:eastAsia="zh-CN"/>
        </w:rPr>
      </w:pPr>
      <w:r>
        <w:rPr>
          <w:rFonts w:hint="eastAsia"/>
          <w:lang w:eastAsia="zh-CN"/>
        </w:rPr>
        <w:t>研究中的替代终点的评价）</w:t>
      </w:r>
    </w:p>
    <w:p w14:paraId="4EFE3AD7">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上市后监督报告的内容和时间</w:t>
      </w:r>
      <w:r>
        <w:rPr>
          <w:rStyle w:val="17"/>
          <w:snapToGrid w:val="0"/>
          <w:lang w:eastAsia="zh-CN"/>
        </w:rPr>
        <w:footnoteReference w:id="26"/>
      </w:r>
    </w:p>
    <w:p w14:paraId="5A84B22D">
      <w:pPr>
        <w:snapToGrid w:val="0"/>
        <w:spacing w:after="0" w:line="240" w:lineRule="auto"/>
        <w:ind w:left="240" w:leftChars="100" w:firstLine="480" w:firstLineChars="200"/>
        <w:jc w:val="both"/>
        <w:rPr>
          <w:snapToGrid w:val="0"/>
          <w:szCs w:val="24"/>
          <w:lang w:eastAsia="zh-CN"/>
        </w:rPr>
      </w:pPr>
    </w:p>
    <w:p w14:paraId="653B15E7">
      <w:pPr>
        <w:snapToGrid w:val="0"/>
        <w:spacing w:after="0" w:line="240" w:lineRule="auto"/>
        <w:ind w:left="240" w:leftChars="100" w:firstLine="480" w:firstLineChars="200"/>
        <w:jc w:val="both"/>
        <w:rPr>
          <w:lang w:eastAsia="zh-CN"/>
        </w:rPr>
      </w:pPr>
      <w:r>
        <w:rPr>
          <w:rFonts w:hint="eastAsia"/>
          <w:lang w:eastAsia="zh-CN"/>
        </w:rPr>
        <w:t>本机构建议监督计划中同样纳入一个背景部分（例如，器械简要描述、监管历史、适用范围）以及入组和招募计划（包括入组目标）。</w:t>
      </w:r>
    </w:p>
    <w:p w14:paraId="215BA105">
      <w:pPr>
        <w:snapToGrid w:val="0"/>
        <w:spacing w:after="0" w:line="240" w:lineRule="auto"/>
        <w:ind w:left="240" w:leftChars="100" w:firstLine="480" w:firstLineChars="200"/>
        <w:jc w:val="both"/>
        <w:rPr>
          <w:snapToGrid w:val="0"/>
          <w:szCs w:val="24"/>
          <w:lang w:eastAsia="zh-CN"/>
        </w:rPr>
      </w:pPr>
    </w:p>
    <w:p w14:paraId="09BB4DD1">
      <w:pPr>
        <w:snapToGrid w:val="0"/>
        <w:spacing w:after="0" w:line="240" w:lineRule="auto"/>
        <w:ind w:left="240" w:leftChars="100" w:firstLine="480" w:firstLineChars="200"/>
        <w:jc w:val="both"/>
        <w:rPr>
          <w:lang w:eastAsia="zh-CN"/>
        </w:rPr>
      </w:pPr>
      <w:r>
        <w:rPr>
          <w:rFonts w:hint="eastAsia"/>
          <w:lang w:eastAsia="zh-CN"/>
        </w:rPr>
        <w:t>通常是在制造商和</w:t>
      </w:r>
      <w:r>
        <w:rPr>
          <w:lang w:eastAsia="zh-CN"/>
        </w:rPr>
        <w:t>FDA</w:t>
      </w:r>
      <w:r>
        <w:rPr>
          <w:rFonts w:hint="eastAsia"/>
          <w:lang w:eastAsia="zh-CN"/>
        </w:rPr>
        <w:t>同意延长该期限，或在没有协议的情况下完成《</w:t>
      </w:r>
      <w:r>
        <w:rPr>
          <w:lang w:eastAsia="zh-CN"/>
        </w:rPr>
        <w:t>FD&amp;C</w:t>
      </w:r>
      <w:r>
        <w:rPr>
          <w:rFonts w:hint="eastAsia"/>
          <w:lang w:eastAsia="zh-CN"/>
        </w:rPr>
        <w:t>法案》第</w:t>
      </w:r>
      <w:r>
        <w:rPr>
          <w:lang w:eastAsia="zh-CN"/>
        </w:rPr>
        <w:t>562</w:t>
      </w:r>
      <w:r>
        <w:rPr>
          <w:rFonts w:hint="eastAsia"/>
          <w:lang w:eastAsia="zh-CN"/>
        </w:rPr>
        <w:t>节所述的争议解决后，《</w:t>
      </w:r>
      <w:r>
        <w:rPr>
          <w:lang w:eastAsia="zh-CN"/>
        </w:rPr>
        <w:t>FD&amp;C</w:t>
      </w:r>
      <w:r>
        <w:rPr>
          <w:rFonts w:hint="eastAsia"/>
          <w:lang w:eastAsia="zh-CN"/>
        </w:rPr>
        <w:t>法案》第</w:t>
      </w:r>
      <w:r>
        <w:rPr>
          <w:lang w:eastAsia="zh-CN"/>
        </w:rPr>
        <w:t>522(b)(1)</w:t>
      </w:r>
      <w:r>
        <w:rPr>
          <w:rFonts w:hint="eastAsia"/>
          <w:lang w:eastAsia="zh-CN"/>
        </w:rPr>
        <w:t>节授权</w:t>
      </w:r>
      <w:r>
        <w:rPr>
          <w:lang w:eastAsia="zh-CN"/>
        </w:rPr>
        <w:t>FDA</w:t>
      </w:r>
      <w:r>
        <w:rPr>
          <w:rFonts w:hint="eastAsia"/>
          <w:lang w:eastAsia="zh-CN"/>
        </w:rPr>
        <w:t>下令进行为期</w:t>
      </w:r>
      <w:r>
        <w:rPr>
          <w:lang w:eastAsia="zh-CN"/>
        </w:rPr>
        <w:t>36</w:t>
      </w:r>
      <w:r>
        <w:rPr>
          <w:rFonts w:hint="eastAsia"/>
          <w:lang w:eastAsia="zh-CN"/>
        </w:rPr>
        <w:t>个月的前瞻性上市后监督。此外，根据《</w:t>
      </w:r>
      <w:r>
        <w:rPr>
          <w:lang w:eastAsia="zh-CN"/>
        </w:rPr>
        <w:t>FD&amp;C</w:t>
      </w:r>
      <w:r>
        <w:rPr>
          <w:rFonts w:hint="eastAsia"/>
          <w:lang w:eastAsia="zh-CN"/>
        </w:rPr>
        <w:t>法案》第</w:t>
      </w:r>
      <w:r>
        <w:rPr>
          <w:lang w:eastAsia="zh-CN"/>
        </w:rPr>
        <w:t>522(b)(2)</w:t>
      </w:r>
      <w:r>
        <w:rPr>
          <w:rFonts w:hint="eastAsia"/>
          <w:lang w:eastAsia="zh-CN"/>
        </w:rPr>
        <w:t>节，如果有必要来评估器械对生长和发育的影响或生长、发育、活动水平或其他因素</w:t>
      </w:r>
      <w:r>
        <w:rPr>
          <w:snapToGrid w:val="0"/>
          <w:szCs w:val="24"/>
          <w:lang w:eastAsia="zh-CN"/>
        </w:rPr>
        <w:t>对器械安全性或有效性的影响</w:t>
      </w:r>
      <w:r>
        <w:rPr>
          <w:rFonts w:hint="eastAsia"/>
          <w:lang w:eastAsia="zh-CN"/>
        </w:rPr>
        <w:t>，</w:t>
      </w:r>
      <w:r>
        <w:rPr>
          <w:lang w:eastAsia="zh-CN"/>
        </w:rPr>
        <w:t>FDA</w:t>
      </w:r>
      <w:r>
        <w:rPr>
          <w:rFonts w:hint="eastAsia"/>
          <w:lang w:eastAsia="zh-CN"/>
        </w:rPr>
        <w:t>可通过指令要求对预期在儿科人群中有重要用途的器械进行超过</w:t>
      </w:r>
      <w:r>
        <w:rPr>
          <w:lang w:eastAsia="zh-CN"/>
        </w:rPr>
        <w:t>36</w:t>
      </w:r>
      <w:r>
        <w:rPr>
          <w:rFonts w:hint="eastAsia"/>
          <w:lang w:eastAsia="zh-CN"/>
        </w:rPr>
        <w:t>个月的前瞻性监督。</w:t>
      </w:r>
      <w:r>
        <w:rPr>
          <w:lang w:eastAsia="zh-CN"/>
        </w:rPr>
        <w:t>FDA</w:t>
      </w:r>
      <w:r>
        <w:rPr>
          <w:rFonts w:hint="eastAsia"/>
          <w:lang w:eastAsia="zh-CN"/>
        </w:rPr>
        <w:t>可与制造商互动，帮助</w:t>
      </w:r>
      <w:r>
        <w:rPr>
          <w:lang w:eastAsia="zh-CN"/>
        </w:rPr>
        <w:t>FDA</w:t>
      </w:r>
      <w:r>
        <w:rPr>
          <w:rFonts w:hint="eastAsia"/>
          <w:lang w:eastAsia="zh-CN"/>
        </w:rPr>
        <w:t>确定儿科</w:t>
      </w:r>
      <w:r>
        <w:rPr>
          <w:lang w:eastAsia="zh-CN"/>
        </w:rPr>
        <w:t>522</w:t>
      </w:r>
      <w:r>
        <w:rPr>
          <w:rFonts w:hint="eastAsia"/>
          <w:lang w:eastAsia="zh-CN"/>
        </w:rPr>
        <w:t>上市后监督研究的适当时间范围。</w:t>
      </w:r>
    </w:p>
    <w:p w14:paraId="1FEFB4E9">
      <w:pPr>
        <w:snapToGrid w:val="0"/>
        <w:spacing w:after="0" w:line="240" w:lineRule="auto"/>
        <w:ind w:left="240" w:leftChars="100" w:firstLine="480" w:firstLineChars="200"/>
        <w:jc w:val="both"/>
        <w:rPr>
          <w:snapToGrid w:val="0"/>
          <w:szCs w:val="24"/>
          <w:lang w:eastAsia="zh-CN"/>
        </w:rPr>
      </w:pPr>
    </w:p>
    <w:p w14:paraId="58CB17F9">
      <w:pPr>
        <w:pStyle w:val="3"/>
        <w:snapToGrid w:val="0"/>
        <w:spacing w:before="0" w:beforeLines="0" w:line="240" w:lineRule="auto"/>
        <w:ind w:left="1162" w:leftChars="250"/>
        <w:rPr>
          <w:rFonts w:eastAsia="宋体"/>
          <w:snapToGrid w:val="0"/>
          <w:szCs w:val="24"/>
          <w:lang w:eastAsia="zh-CN"/>
        </w:rPr>
      </w:pPr>
      <w:bookmarkStart w:id="20" w:name="_Toc97546990"/>
      <w:bookmarkStart w:id="21" w:name="_Toc91249658"/>
      <w:r>
        <w:rPr>
          <w:rFonts w:eastAsia="宋体"/>
          <w:snapToGrid w:val="0"/>
          <w:szCs w:val="24"/>
          <w:lang w:eastAsia="zh-CN"/>
        </w:rPr>
        <w:t>C.</w:t>
      </w:r>
      <w:r>
        <w:rPr>
          <w:rFonts w:eastAsia="宋体"/>
          <w:snapToGrid w:val="0"/>
          <w:szCs w:val="24"/>
          <w:lang w:eastAsia="zh-CN"/>
        </w:rPr>
        <w:tab/>
      </w:r>
      <w:r>
        <w:rPr>
          <w:rFonts w:eastAsia="宋体"/>
          <w:snapToGrid w:val="0"/>
          <w:szCs w:val="24"/>
          <w:lang w:eastAsia="zh-CN"/>
        </w:rPr>
        <w:t>FDA和制造商关于监督计划的协议</w:t>
      </w:r>
      <w:bookmarkEnd w:id="20"/>
      <w:bookmarkEnd w:id="21"/>
    </w:p>
    <w:p w14:paraId="5B679B53">
      <w:pPr>
        <w:snapToGrid w:val="0"/>
        <w:spacing w:after="0" w:line="240" w:lineRule="auto"/>
        <w:jc w:val="both"/>
        <w:rPr>
          <w:lang w:eastAsia="zh-CN"/>
        </w:rPr>
      </w:pPr>
    </w:p>
    <w:p w14:paraId="431A3ACA">
      <w:pPr>
        <w:snapToGrid w:val="0"/>
        <w:spacing w:after="0" w:line="240" w:lineRule="auto"/>
        <w:ind w:left="240" w:leftChars="100" w:firstLine="480" w:firstLineChars="200"/>
        <w:jc w:val="both"/>
      </w:pPr>
      <w:r>
        <w:rPr>
          <w:lang w:eastAsia="zh-CN"/>
        </w:rPr>
        <w:t>FDA</w:t>
      </w:r>
      <w:r>
        <w:rPr>
          <w:rFonts w:hint="eastAsia"/>
          <w:lang w:eastAsia="zh-CN"/>
        </w:rPr>
        <w:t>将对拟议的监督计划进行评价，以确定其是否在行政管理上完整，指定进行监督的人员是否具有进行此类监督的适当资格和经验，该计划是否会收集有用的数据，以揭示不可预见的不良事件或保护公众健康所需的其他信息，并回答监督问题。</w:t>
      </w:r>
      <w:r>
        <w:rPr>
          <w:rStyle w:val="17"/>
          <w:snapToGrid w:val="0"/>
          <w:szCs w:val="24"/>
          <w:lang w:eastAsia="zh-CN"/>
        </w:rPr>
        <w:footnoteReference w:id="27"/>
      </w:r>
      <w:r>
        <w:rPr>
          <w:rFonts w:hint="eastAsia"/>
        </w:rPr>
        <w:t>因此，</w:t>
      </w:r>
      <w:r>
        <w:t>FDA</w:t>
      </w:r>
      <w:r>
        <w:rPr>
          <w:rFonts w:hint="eastAsia"/>
        </w:rPr>
        <w:t>可发布以下</w:t>
      </w:r>
      <w:r>
        <w:rPr>
          <w:snapToGrid w:val="0"/>
          <w:szCs w:val="24"/>
          <w:lang w:eastAsia="zh-CN"/>
        </w:rPr>
        <w:t>其中一个</w:t>
      </w:r>
      <w:r>
        <w:rPr>
          <w:rFonts w:hint="eastAsia"/>
        </w:rPr>
        <w:t>信函</w:t>
      </w:r>
      <w:r>
        <w:rPr>
          <w:snapToGrid w:val="0"/>
          <w:szCs w:val="24"/>
          <w:lang w:eastAsia="zh-CN"/>
        </w:rPr>
        <w:t>：</w:t>
      </w:r>
      <w:r>
        <w:rPr>
          <w:rStyle w:val="17"/>
          <w:snapToGrid w:val="0"/>
          <w:szCs w:val="24"/>
          <w:lang w:eastAsia="zh-CN"/>
        </w:rPr>
        <w:footnoteReference w:id="28"/>
      </w:r>
    </w:p>
    <w:p w14:paraId="7E97533D">
      <w:pPr>
        <w:adjustRightInd w:val="0"/>
        <w:snapToGrid w:val="0"/>
        <w:spacing w:after="0" w:line="240" w:lineRule="auto"/>
        <w:jc w:val="both"/>
        <w:rPr>
          <w:snapToGrid w:val="0"/>
          <w:szCs w:val="24"/>
          <w:lang w:eastAsia="zh-CN"/>
        </w:rPr>
      </w:pPr>
      <w:r>
        <w:rPr>
          <w:snapToGrid w:val="0"/>
          <w:szCs w:val="24"/>
          <w:lang w:eastAsia="zh-CN"/>
        </w:rPr>
        <w:br w:type="page"/>
      </w:r>
    </w:p>
    <w:p w14:paraId="716E8E00">
      <w:pPr>
        <w:pStyle w:val="24"/>
        <w:numPr>
          <w:ilvl w:val="0"/>
          <w:numId w:val="2"/>
        </w:numPr>
        <w:tabs>
          <w:tab w:val="left" w:pos="896"/>
        </w:tabs>
        <w:autoSpaceDE/>
        <w:autoSpaceDN/>
        <w:snapToGrid w:val="0"/>
        <w:ind w:left="900" w:leftChars="200" w:hanging="420"/>
        <w:jc w:val="both"/>
        <w:rPr>
          <w:snapToGrid w:val="0"/>
          <w:lang w:eastAsia="zh-CN"/>
        </w:rPr>
      </w:pPr>
      <w:r>
        <w:rPr>
          <w:b/>
          <w:snapToGrid w:val="0"/>
          <w:lang w:eastAsia="zh-CN"/>
        </w:rPr>
        <w:t>不可接受信函</w:t>
      </w:r>
      <w:r>
        <w:rPr>
          <w:snapToGrid w:val="0"/>
          <w:lang w:eastAsia="zh-CN"/>
        </w:rPr>
        <w:t>-当发现提交文件因为不包括《美国联邦法规》第21篇第822.9和822.10节要求的便于进行实质性审查项目而在行政管理上不完整时，将发出此信函。请参见</w:t>
      </w:r>
      <w:r>
        <w:rPr>
          <w:snapToGrid w:val="0"/>
          <w:color w:val="0000FF"/>
          <w:u w:val="single"/>
          <w:lang w:eastAsia="zh-CN"/>
        </w:rPr>
        <w:t>附录1</w:t>
      </w:r>
      <w:r>
        <w:rPr>
          <w:snapToGrid w:val="0"/>
          <w:color w:val="0000FF"/>
          <w:lang w:eastAsia="zh-CN"/>
        </w:rPr>
        <w:t xml:space="preserve"> </w:t>
      </w:r>
      <w:r>
        <w:rPr>
          <w:snapToGrid w:val="0"/>
          <w:lang w:eastAsia="zh-CN"/>
        </w:rPr>
        <w:t>CDRH内部核对表，以确定提交文件是否在行政管理上完整。</w:t>
      </w:r>
    </w:p>
    <w:p w14:paraId="468BDA8A">
      <w:pPr>
        <w:pStyle w:val="24"/>
        <w:tabs>
          <w:tab w:val="left" w:pos="896"/>
        </w:tabs>
        <w:autoSpaceDE/>
        <w:autoSpaceDN/>
        <w:snapToGrid w:val="0"/>
        <w:ind w:left="860"/>
        <w:jc w:val="both"/>
        <w:rPr>
          <w:snapToGrid w:val="0"/>
          <w:lang w:eastAsia="zh-CN"/>
        </w:rPr>
      </w:pPr>
    </w:p>
    <w:p w14:paraId="38BF2896">
      <w:pPr>
        <w:pStyle w:val="24"/>
        <w:numPr>
          <w:ilvl w:val="0"/>
          <w:numId w:val="2"/>
        </w:numPr>
        <w:tabs>
          <w:tab w:val="left" w:pos="896"/>
        </w:tabs>
        <w:autoSpaceDE/>
        <w:autoSpaceDN/>
        <w:snapToGrid w:val="0"/>
        <w:ind w:left="900" w:leftChars="200" w:hanging="420"/>
        <w:jc w:val="both"/>
        <w:rPr>
          <w:snapToGrid w:val="0"/>
          <w:lang w:eastAsia="zh-CN"/>
        </w:rPr>
      </w:pPr>
      <w:r>
        <w:rPr>
          <w:b/>
          <w:snapToGrid w:val="0"/>
          <w:lang w:eastAsia="zh-CN"/>
        </w:rPr>
        <w:t>批准函</w:t>
      </w:r>
      <w:r>
        <w:rPr>
          <w:snapToGrid w:val="0"/>
          <w:lang w:eastAsia="zh-CN"/>
        </w:rPr>
        <w:t>-此函表示FDA批准提交的拟议监督计划，以及与监督计划相关的任何具体要求或建议。</w:t>
      </w:r>
    </w:p>
    <w:p w14:paraId="644DF622">
      <w:pPr>
        <w:pStyle w:val="24"/>
        <w:tabs>
          <w:tab w:val="left" w:pos="896"/>
        </w:tabs>
        <w:autoSpaceDE/>
        <w:autoSpaceDN/>
        <w:snapToGrid w:val="0"/>
        <w:ind w:left="860"/>
        <w:jc w:val="both"/>
        <w:rPr>
          <w:snapToGrid w:val="0"/>
          <w:lang w:eastAsia="zh-CN"/>
        </w:rPr>
      </w:pPr>
    </w:p>
    <w:p w14:paraId="17D1C3BF">
      <w:pPr>
        <w:pStyle w:val="24"/>
        <w:numPr>
          <w:ilvl w:val="0"/>
          <w:numId w:val="2"/>
        </w:numPr>
        <w:tabs>
          <w:tab w:val="left" w:pos="896"/>
        </w:tabs>
        <w:autoSpaceDE/>
        <w:autoSpaceDN/>
        <w:snapToGrid w:val="0"/>
        <w:ind w:left="900" w:leftChars="200" w:hanging="420"/>
        <w:jc w:val="both"/>
        <w:rPr>
          <w:snapToGrid w:val="0"/>
          <w:lang w:eastAsia="zh-CN"/>
        </w:rPr>
      </w:pPr>
      <w:r>
        <w:rPr>
          <w:b/>
          <w:snapToGrid w:val="0"/>
          <w:lang w:eastAsia="zh-CN"/>
        </w:rPr>
        <w:t>重大缺陷函</w:t>
      </w:r>
      <w:r>
        <w:rPr>
          <w:snapToGrid w:val="0"/>
          <w:lang w:eastAsia="zh-CN"/>
        </w:rPr>
        <w:t>–此函列举了与该计划是否会导致收集有用数据以回答监督问题有关的严重缺陷。在批准监督计划之前，制造商必须在规定的时间范围内解决这些缺陷和/或特定信息的要求。</w:t>
      </w:r>
      <w:r>
        <w:rPr>
          <w:rStyle w:val="17"/>
          <w:snapToGrid w:val="0"/>
          <w:lang w:eastAsia="zh-CN"/>
        </w:rPr>
        <w:footnoteReference w:id="29"/>
      </w:r>
    </w:p>
    <w:p w14:paraId="5803AC85">
      <w:pPr>
        <w:pStyle w:val="24"/>
        <w:tabs>
          <w:tab w:val="left" w:pos="896"/>
        </w:tabs>
        <w:autoSpaceDE/>
        <w:autoSpaceDN/>
        <w:snapToGrid w:val="0"/>
        <w:ind w:left="860"/>
        <w:jc w:val="both"/>
        <w:rPr>
          <w:snapToGrid w:val="0"/>
          <w:lang w:eastAsia="zh-CN"/>
        </w:rPr>
      </w:pPr>
    </w:p>
    <w:p w14:paraId="04D58D4B">
      <w:pPr>
        <w:pStyle w:val="24"/>
        <w:numPr>
          <w:ilvl w:val="0"/>
          <w:numId w:val="2"/>
        </w:numPr>
        <w:tabs>
          <w:tab w:val="left" w:pos="896"/>
        </w:tabs>
        <w:autoSpaceDE/>
        <w:autoSpaceDN/>
        <w:snapToGrid w:val="0"/>
        <w:ind w:left="900" w:leftChars="200" w:hanging="420"/>
        <w:jc w:val="both"/>
        <w:rPr>
          <w:snapToGrid w:val="0"/>
          <w:lang w:eastAsia="zh-CN"/>
        </w:rPr>
      </w:pPr>
      <w:r>
        <w:rPr>
          <w:b/>
          <w:snapToGrid w:val="0"/>
          <w:lang w:eastAsia="zh-CN"/>
        </w:rPr>
        <w:t>不批准函</w:t>
      </w:r>
      <w:r>
        <w:rPr>
          <w:snapToGrid w:val="0"/>
          <w:lang w:eastAsia="zh-CN"/>
        </w:rPr>
        <w:t>–此函表示FDA不批准提交的计划，因为FDA已确定该计划不太可能导致收集有用数据，以解决522指令中的上市后监督问题。该信函指示制造商修改其监督计划，在规定的时间范围内提交一份全新的提交文件，提出新的监督计划，以解决522指令中的上市后监督问题。</w:t>
      </w:r>
    </w:p>
    <w:p w14:paraId="225AC79A">
      <w:pPr>
        <w:snapToGrid w:val="0"/>
        <w:spacing w:after="0" w:line="240" w:lineRule="auto"/>
        <w:ind w:left="240" w:leftChars="100" w:firstLine="480" w:firstLineChars="200"/>
        <w:jc w:val="both"/>
        <w:rPr>
          <w:snapToGrid w:val="0"/>
          <w:szCs w:val="24"/>
          <w:lang w:eastAsia="zh-CN"/>
        </w:rPr>
      </w:pPr>
    </w:p>
    <w:p w14:paraId="1F46E535">
      <w:pPr>
        <w:snapToGrid w:val="0"/>
        <w:spacing w:after="0" w:line="240" w:lineRule="auto"/>
        <w:ind w:left="240" w:leftChars="100" w:firstLine="480" w:firstLineChars="200"/>
        <w:jc w:val="both"/>
        <w:rPr>
          <w:lang w:eastAsia="zh-CN"/>
        </w:rPr>
      </w:pPr>
      <w:r>
        <w:rPr>
          <w:rFonts w:hint="eastAsia"/>
          <w:lang w:eastAsia="zh-CN"/>
        </w:rPr>
        <w:t>如果制造商不同意</w:t>
      </w:r>
      <w:r>
        <w:rPr>
          <w:lang w:eastAsia="zh-CN"/>
        </w:rPr>
        <w:t>FDA</w:t>
      </w:r>
      <w:r>
        <w:rPr>
          <w:snapToGrid w:val="0"/>
          <w:szCs w:val="24"/>
          <w:lang w:eastAsia="zh-CN"/>
        </w:rPr>
        <w:t>有关</w:t>
      </w:r>
      <w:r>
        <w:rPr>
          <w:rFonts w:hint="eastAsia"/>
          <w:lang w:eastAsia="zh-CN"/>
        </w:rPr>
        <w:t>监督计划的内容，或者如果监督计划不被批准，可按照</w:t>
      </w:r>
      <w:r>
        <w:rPr>
          <w:snapToGrid w:val="0"/>
          <w:szCs w:val="24"/>
          <w:lang w:eastAsia="zh-CN"/>
        </w:rPr>
        <w:t>《美国联邦法规》第21篇第822</w:t>
      </w:r>
      <w:r>
        <w:rPr>
          <w:lang w:eastAsia="zh-CN"/>
        </w:rPr>
        <w:t>.22</w:t>
      </w:r>
      <w:r>
        <w:rPr>
          <w:snapToGrid w:val="0"/>
          <w:szCs w:val="24"/>
          <w:lang w:eastAsia="zh-CN"/>
        </w:rPr>
        <w:t>节</w:t>
      </w:r>
      <w:r>
        <w:rPr>
          <w:rFonts w:hint="eastAsia"/>
          <w:lang w:eastAsia="zh-CN"/>
        </w:rPr>
        <w:t>中所述追索选项请求原因审查。其中包括根据</w:t>
      </w:r>
      <w:r>
        <w:rPr>
          <w:snapToGrid w:val="0"/>
          <w:szCs w:val="24"/>
          <w:lang w:eastAsia="zh-CN"/>
        </w:rPr>
        <w:t>《美国联邦法规》第21篇第10</w:t>
      </w:r>
      <w:r>
        <w:rPr>
          <w:lang w:eastAsia="zh-CN"/>
        </w:rPr>
        <w:t>.75</w:t>
      </w:r>
      <w:r>
        <w:rPr>
          <w:snapToGrid w:val="0"/>
          <w:szCs w:val="24"/>
          <w:lang w:eastAsia="zh-CN"/>
        </w:rPr>
        <w:t>节要</w:t>
      </w:r>
      <w:r>
        <w:rPr>
          <w:rFonts w:hint="eastAsia"/>
          <w:lang w:eastAsia="zh-CN"/>
        </w:rPr>
        <w:t>求对</w:t>
      </w:r>
      <w:r>
        <w:rPr>
          <w:lang w:eastAsia="zh-CN"/>
        </w:rPr>
        <w:t>FDA</w:t>
      </w:r>
      <w:r>
        <w:rPr>
          <w:rFonts w:hint="eastAsia"/>
          <w:lang w:eastAsia="zh-CN"/>
        </w:rPr>
        <w:t>的决定进行内部审查；根据</w:t>
      </w:r>
      <w:r>
        <w:rPr>
          <w:snapToGrid w:val="0"/>
          <w:szCs w:val="24"/>
          <w:lang w:eastAsia="zh-CN"/>
        </w:rPr>
        <w:t>《美国联邦法规》</w:t>
      </w:r>
      <w:r>
        <w:rPr>
          <w:rFonts w:hint="eastAsia"/>
          <w:lang w:eastAsia="zh-CN"/>
        </w:rPr>
        <w:t>第</w:t>
      </w:r>
      <w:r>
        <w:rPr>
          <w:lang w:eastAsia="zh-CN"/>
        </w:rPr>
        <w:t>21</w:t>
      </w:r>
      <w:r>
        <w:rPr>
          <w:rFonts w:hint="eastAsia"/>
          <w:lang w:eastAsia="zh-CN"/>
        </w:rPr>
        <w:t>篇第</w:t>
      </w:r>
      <w:r>
        <w:rPr>
          <w:lang w:eastAsia="zh-CN"/>
        </w:rPr>
        <w:t>16</w:t>
      </w:r>
      <w:r>
        <w:rPr>
          <w:snapToGrid w:val="0"/>
          <w:szCs w:val="24"/>
          <w:lang w:eastAsia="zh-CN"/>
        </w:rPr>
        <w:t>节要</w:t>
      </w:r>
      <w:r>
        <w:rPr>
          <w:rFonts w:hint="eastAsia"/>
          <w:lang w:eastAsia="zh-CN"/>
        </w:rPr>
        <w:t>求举行非正式听证会；或要求医疗器械咨询委员会医疗器械争议解决小组进行审查。制造商也可以要求与签署</w:t>
      </w:r>
      <w:r>
        <w:rPr>
          <w:lang w:eastAsia="zh-CN"/>
        </w:rPr>
        <w:t>522</w:t>
      </w:r>
      <w:r>
        <w:rPr>
          <w:rFonts w:hint="eastAsia"/>
          <w:lang w:eastAsia="zh-CN"/>
        </w:rPr>
        <w:t>指令的</w:t>
      </w:r>
      <w:r>
        <w:rPr>
          <w:lang w:eastAsia="zh-CN"/>
        </w:rPr>
        <w:t>FDA</w:t>
      </w:r>
      <w:r>
        <w:rPr>
          <w:rFonts w:hint="eastAsia"/>
          <w:lang w:eastAsia="zh-CN"/>
        </w:rPr>
        <w:t>员工召开会议。在该审查待定期间，</w:t>
      </w:r>
      <w:r>
        <w:rPr>
          <w:lang w:eastAsia="zh-CN"/>
        </w:rPr>
        <w:t>FDA</w:t>
      </w:r>
      <w:r>
        <w:rPr>
          <w:rFonts w:hint="eastAsia"/>
          <w:lang w:eastAsia="zh-CN"/>
        </w:rPr>
        <w:t>将不采取强制措施，除非</w:t>
      </w:r>
      <w:r>
        <w:rPr>
          <w:rFonts w:hint="eastAsia"/>
          <w:color w:val="0000FF"/>
          <w:u w:val="single"/>
          <w:lang w:eastAsia="zh-CN"/>
        </w:rPr>
        <w:t>第</w:t>
      </w:r>
      <w:r>
        <w:rPr>
          <w:color w:val="0000FF"/>
          <w:u w:val="single"/>
          <w:lang w:eastAsia="zh-CN"/>
        </w:rPr>
        <w:t>X</w:t>
      </w:r>
      <w:r>
        <w:rPr>
          <w:rFonts w:hint="eastAsia"/>
          <w:color w:val="0000FF"/>
          <w:u w:val="single"/>
          <w:lang w:eastAsia="zh-CN"/>
        </w:rPr>
        <w:t>节</w:t>
      </w:r>
      <w:r>
        <w:rPr>
          <w:rFonts w:hint="eastAsia"/>
          <w:lang w:eastAsia="zh-CN"/>
        </w:rPr>
        <w:t>另有说明。</w:t>
      </w:r>
    </w:p>
    <w:p w14:paraId="1E866829">
      <w:pPr>
        <w:snapToGrid w:val="0"/>
        <w:spacing w:after="0" w:line="240" w:lineRule="auto"/>
        <w:jc w:val="both"/>
        <w:rPr>
          <w:lang w:eastAsia="zh-CN"/>
        </w:rPr>
      </w:pPr>
      <w:r>
        <w:rPr>
          <w:lang w:eastAsia="zh-CN"/>
        </w:rPr>
        <w:br w:type="page"/>
      </w:r>
    </w:p>
    <w:p w14:paraId="5863C232">
      <w:pPr>
        <w:snapToGrid w:val="0"/>
        <w:spacing w:after="0" w:line="240" w:lineRule="auto"/>
        <w:ind w:left="240" w:leftChars="100" w:firstLine="480" w:firstLineChars="200"/>
        <w:jc w:val="both"/>
        <w:rPr>
          <w:lang w:eastAsia="zh-CN"/>
        </w:rPr>
      </w:pPr>
      <w:r>
        <w:rPr>
          <w:lang w:eastAsia="zh-CN"/>
        </w:rPr>
        <w:t>FDA</w:t>
      </w:r>
      <w:r>
        <w:rPr>
          <w:rFonts w:hint="eastAsia"/>
          <w:lang w:eastAsia="zh-CN"/>
        </w:rPr>
        <w:t>制定本指南的部分目的是帮助及时与制造商讨论</w:t>
      </w:r>
      <w:r>
        <w:rPr>
          <w:snapToGrid w:val="0"/>
          <w:szCs w:val="24"/>
          <w:lang w:eastAsia="zh-CN"/>
        </w:rPr>
        <w:t>，</w:t>
      </w:r>
      <w:r>
        <w:rPr>
          <w:rFonts w:hint="eastAsia"/>
          <w:lang w:eastAsia="zh-CN"/>
        </w:rPr>
        <w:t>上市后监督计划、问题和挑战。与</w:t>
      </w:r>
      <w:r>
        <w:rPr>
          <w:lang w:eastAsia="zh-CN"/>
        </w:rPr>
        <w:t>FDA</w:t>
      </w:r>
      <w:r>
        <w:rPr>
          <w:rFonts w:hint="eastAsia"/>
          <w:lang w:eastAsia="zh-CN"/>
        </w:rPr>
        <w:t>的早期和持续互动应是确保</w:t>
      </w:r>
      <w:r>
        <w:rPr>
          <w:lang w:eastAsia="zh-CN"/>
        </w:rPr>
        <w:t>522</w:t>
      </w:r>
      <w:r>
        <w:rPr>
          <w:rFonts w:hint="eastAsia"/>
          <w:lang w:eastAsia="zh-CN"/>
        </w:rPr>
        <w:t>监督计划充分性和解决任何问题的主要方法。</w:t>
      </w:r>
      <w:r>
        <w:rPr>
          <w:lang w:eastAsia="zh-CN"/>
        </w:rPr>
        <w:t>FDA</w:t>
      </w:r>
      <w:r>
        <w:rPr>
          <w:rFonts w:hint="eastAsia"/>
          <w:lang w:eastAsia="zh-CN"/>
        </w:rPr>
        <w:t>计划与制造商合作制定其监督计划，包括上市后监督开始和进展的时间表和预期。但是，如果由于制造商需要解决</w:t>
      </w:r>
      <w:r>
        <w:rPr>
          <w:snapToGrid w:val="0"/>
          <w:szCs w:val="24"/>
          <w:lang w:eastAsia="zh-CN"/>
        </w:rPr>
        <w:t>典型</w:t>
      </w:r>
      <w:r>
        <w:rPr>
          <w:rFonts w:hint="eastAsia"/>
          <w:lang w:eastAsia="zh-CN"/>
        </w:rPr>
        <w:t>缺陷而导致</w:t>
      </w:r>
      <w:r>
        <w:rPr>
          <w:lang w:eastAsia="zh-CN"/>
        </w:rPr>
        <w:t>FDA</w:t>
      </w:r>
      <w:r>
        <w:rPr>
          <w:rFonts w:hint="eastAsia"/>
          <w:lang w:eastAsia="zh-CN"/>
        </w:rPr>
        <w:t>无法在</w:t>
      </w:r>
      <w:r>
        <w:rPr>
          <w:lang w:eastAsia="zh-CN"/>
        </w:rPr>
        <w:t>522</w:t>
      </w:r>
      <w:r>
        <w:rPr>
          <w:rFonts w:hint="eastAsia"/>
          <w:lang w:eastAsia="zh-CN"/>
        </w:rPr>
        <w:t>指令发布后</w:t>
      </w:r>
      <w:r>
        <w:rPr>
          <w:lang w:eastAsia="zh-CN"/>
        </w:rPr>
        <w:t>60</w:t>
      </w:r>
      <w:r>
        <w:rPr>
          <w:rFonts w:hint="eastAsia"/>
          <w:lang w:eastAsia="zh-CN"/>
        </w:rPr>
        <w:t>个日历日内完成对上市后监督计划的审查，则本机构将在</w:t>
      </w:r>
      <w:r>
        <w:rPr>
          <w:lang w:eastAsia="zh-CN"/>
        </w:rPr>
        <w:t>FDA</w:t>
      </w:r>
      <w:r>
        <w:rPr>
          <w:rFonts w:hint="eastAsia"/>
          <w:lang w:eastAsia="zh-CN"/>
        </w:rPr>
        <w:t>网站上将上市后监督归类为</w:t>
      </w:r>
      <w:r>
        <w:rPr>
          <w:rFonts w:ascii="宋体" w:hAnsi="宋体"/>
          <w:lang w:eastAsia="zh-CN"/>
        </w:rPr>
        <w:t>“</w:t>
      </w:r>
      <w:r>
        <w:rPr>
          <w:rFonts w:hint="eastAsia"/>
          <w:lang w:eastAsia="zh-CN"/>
        </w:rPr>
        <w:t>计划逾期</w:t>
      </w:r>
      <w:r>
        <w:rPr>
          <w:rFonts w:ascii="宋体" w:hAnsi="宋体"/>
          <w:lang w:eastAsia="zh-CN"/>
        </w:rPr>
        <w:t>”</w:t>
      </w:r>
      <w:r>
        <w:rPr>
          <w:rFonts w:hint="eastAsia"/>
          <w:lang w:eastAsia="zh-CN"/>
        </w:rPr>
        <w:t>。此外，部长根据第</w:t>
      </w:r>
      <w:r>
        <w:rPr>
          <w:lang w:eastAsia="zh-CN"/>
        </w:rPr>
        <w:t>522</w:t>
      </w:r>
      <w:r>
        <w:rPr>
          <w:rFonts w:hint="eastAsia"/>
          <w:lang w:eastAsia="zh-CN"/>
        </w:rPr>
        <w:t>节发布指令，要求制造商进行市场后监督，如果制造商未能在</w:t>
      </w:r>
      <w:r>
        <w:rPr>
          <w:lang w:eastAsia="zh-CN"/>
        </w:rPr>
        <w:t>522</w:t>
      </w:r>
      <w:r>
        <w:rPr>
          <w:rFonts w:hint="eastAsia"/>
          <w:lang w:eastAsia="zh-CN"/>
        </w:rPr>
        <w:t>指令发布后的</w:t>
      </w:r>
      <w:r>
        <w:rPr>
          <w:lang w:eastAsia="zh-CN"/>
        </w:rPr>
        <w:t>30</w:t>
      </w:r>
      <w:r>
        <w:rPr>
          <w:rFonts w:hint="eastAsia"/>
          <w:lang w:eastAsia="zh-CN"/>
        </w:rPr>
        <w:t>个日历日内提交计划，未能获得批准的计划，或未能在</w:t>
      </w:r>
      <w:r>
        <w:rPr>
          <w:lang w:eastAsia="zh-CN"/>
        </w:rPr>
        <w:t>522</w:t>
      </w:r>
      <w:r>
        <w:rPr>
          <w:rFonts w:hint="eastAsia"/>
          <w:lang w:eastAsia="zh-CN"/>
        </w:rPr>
        <w:t>指令发布后的</w:t>
      </w:r>
      <w:r>
        <w:rPr>
          <w:lang w:eastAsia="zh-CN"/>
        </w:rPr>
        <w:t>15</w:t>
      </w:r>
      <w:r>
        <w:rPr>
          <w:rFonts w:hint="eastAsia"/>
          <w:lang w:eastAsia="zh-CN"/>
        </w:rPr>
        <w:t>个月内开始市场后监督，这将构成未遵守第</w:t>
      </w:r>
      <w:r>
        <w:rPr>
          <w:lang w:eastAsia="zh-CN"/>
        </w:rPr>
        <w:t>522</w:t>
      </w:r>
      <w:r>
        <w:rPr>
          <w:rFonts w:hint="eastAsia"/>
          <w:lang w:eastAsia="zh-CN"/>
        </w:rPr>
        <w:t>节规定的行为。未遵守《</w:t>
      </w:r>
      <w:r>
        <w:rPr>
          <w:lang w:eastAsia="zh-CN"/>
        </w:rPr>
        <w:t>FD&amp;C</w:t>
      </w:r>
      <w:r>
        <w:rPr>
          <w:rFonts w:hint="eastAsia"/>
          <w:lang w:eastAsia="zh-CN"/>
        </w:rPr>
        <w:t>法案》第</w:t>
      </w:r>
      <w:r>
        <w:rPr>
          <w:lang w:eastAsia="zh-CN"/>
        </w:rPr>
        <w:t>522</w:t>
      </w:r>
      <w:r>
        <w:rPr>
          <w:rFonts w:hint="eastAsia"/>
          <w:lang w:eastAsia="zh-CN"/>
        </w:rPr>
        <w:t>节的要求可能导致</w:t>
      </w:r>
      <w:r>
        <w:rPr>
          <w:lang w:eastAsia="zh-CN"/>
        </w:rPr>
        <w:t>FDA</w:t>
      </w:r>
      <w:r>
        <w:rPr>
          <w:rFonts w:hint="eastAsia"/>
          <w:lang w:eastAsia="zh-CN"/>
        </w:rPr>
        <w:t>采取强制措施（视情况而定）。</w:t>
      </w:r>
    </w:p>
    <w:p w14:paraId="5F8474DD">
      <w:pPr>
        <w:snapToGrid w:val="0"/>
        <w:spacing w:after="0" w:line="240" w:lineRule="auto"/>
        <w:ind w:left="240" w:leftChars="100" w:firstLine="480" w:firstLineChars="200"/>
        <w:jc w:val="both"/>
        <w:rPr>
          <w:snapToGrid w:val="0"/>
          <w:szCs w:val="24"/>
          <w:lang w:eastAsia="zh-CN"/>
        </w:rPr>
      </w:pPr>
    </w:p>
    <w:p w14:paraId="36A77B18">
      <w:pPr>
        <w:pStyle w:val="3"/>
        <w:snapToGrid w:val="0"/>
        <w:spacing w:before="0" w:beforeLines="0" w:line="240" w:lineRule="auto"/>
        <w:ind w:left="1162" w:leftChars="250"/>
        <w:rPr>
          <w:rFonts w:eastAsia="宋体"/>
          <w:snapToGrid w:val="0"/>
          <w:szCs w:val="24"/>
          <w:lang w:eastAsia="zh-CN"/>
        </w:rPr>
      </w:pPr>
      <w:bookmarkStart w:id="22" w:name="_Toc97546991"/>
      <w:bookmarkStart w:id="23" w:name="_Toc91249659"/>
      <w:r>
        <w:rPr>
          <w:rFonts w:eastAsia="宋体"/>
          <w:snapToGrid w:val="0"/>
          <w:szCs w:val="24"/>
          <w:lang w:eastAsia="zh-CN"/>
        </w:rPr>
        <w:t>D.</w:t>
      </w:r>
      <w:r>
        <w:rPr>
          <w:rFonts w:eastAsia="宋体"/>
          <w:snapToGrid w:val="0"/>
          <w:szCs w:val="24"/>
          <w:lang w:eastAsia="zh-CN"/>
        </w:rPr>
        <w:tab/>
      </w:r>
      <w:r>
        <w:rPr>
          <w:rFonts w:eastAsia="宋体"/>
          <w:snapToGrid w:val="0"/>
          <w:szCs w:val="24"/>
          <w:lang w:eastAsia="zh-CN"/>
        </w:rPr>
        <w:t>经批准上市后监督计划的变更</w:t>
      </w:r>
      <w:bookmarkEnd w:id="22"/>
      <w:bookmarkEnd w:id="23"/>
    </w:p>
    <w:p w14:paraId="5D6D630F">
      <w:pPr>
        <w:snapToGrid w:val="0"/>
        <w:spacing w:after="0" w:line="240" w:lineRule="auto"/>
        <w:ind w:left="240" w:leftChars="100" w:firstLine="480" w:firstLineChars="200"/>
        <w:jc w:val="both"/>
        <w:rPr>
          <w:lang w:eastAsia="zh-CN"/>
        </w:rPr>
      </w:pPr>
      <w:r>
        <w:rPr>
          <w:rFonts w:hint="eastAsia"/>
          <w:lang w:eastAsia="zh-CN"/>
        </w:rPr>
        <w:t>如果制造商希望对已批准上市后监督计划提出变更，这将影响所收集数据的性质或有效性，则制造商必须在做出此类变更之前获得</w:t>
      </w:r>
      <w:r>
        <w:rPr>
          <w:lang w:eastAsia="zh-CN"/>
        </w:rPr>
        <w:t>FDA</w:t>
      </w:r>
      <w:r>
        <w:rPr>
          <w:rFonts w:hint="eastAsia"/>
          <w:lang w:eastAsia="zh-CN"/>
        </w:rPr>
        <w:t>的书面批准。</w:t>
      </w:r>
      <w:r>
        <w:rPr>
          <w:rStyle w:val="17"/>
          <w:snapToGrid w:val="0"/>
          <w:szCs w:val="24"/>
          <w:lang w:eastAsia="zh-CN"/>
        </w:rPr>
        <w:footnoteReference w:id="30"/>
      </w:r>
    </w:p>
    <w:p w14:paraId="19D7C53E">
      <w:pPr>
        <w:snapToGrid w:val="0"/>
        <w:spacing w:after="0" w:line="240" w:lineRule="auto"/>
        <w:ind w:left="240" w:leftChars="100" w:firstLine="480" w:firstLineChars="200"/>
        <w:jc w:val="both"/>
        <w:rPr>
          <w:snapToGrid w:val="0"/>
          <w:szCs w:val="24"/>
          <w:lang w:eastAsia="zh-CN"/>
        </w:rPr>
      </w:pPr>
    </w:p>
    <w:p w14:paraId="6EAE8531">
      <w:pPr>
        <w:snapToGrid w:val="0"/>
        <w:spacing w:after="0" w:line="240" w:lineRule="auto"/>
        <w:ind w:left="240" w:leftChars="100" w:firstLine="480" w:firstLineChars="200"/>
        <w:jc w:val="both"/>
        <w:rPr>
          <w:lang w:eastAsia="zh-CN"/>
        </w:rPr>
      </w:pPr>
      <w:r>
        <w:rPr>
          <w:rFonts w:hint="eastAsia"/>
          <w:lang w:eastAsia="zh-CN"/>
        </w:rPr>
        <w:t>此外，如果制造商希望对监督计划完成日期提出变更，制造商应将该计划修订作为补充文件的一部分提交审查和批准。</w:t>
      </w:r>
    </w:p>
    <w:p w14:paraId="651AC1E6">
      <w:pPr>
        <w:snapToGrid w:val="0"/>
        <w:spacing w:after="0" w:line="240" w:lineRule="auto"/>
        <w:ind w:left="240" w:leftChars="100" w:firstLine="480" w:firstLineChars="200"/>
        <w:jc w:val="both"/>
        <w:rPr>
          <w:snapToGrid w:val="0"/>
          <w:szCs w:val="24"/>
          <w:lang w:eastAsia="zh-CN"/>
        </w:rPr>
      </w:pPr>
      <w:r>
        <w:rPr>
          <w:rFonts w:hint="eastAsia"/>
          <w:lang w:eastAsia="zh-CN"/>
        </w:rPr>
        <w:t>制造商不应将监督计划变更请求（包括时间表变更）与任何</w:t>
      </w:r>
      <w:r>
        <w:rPr>
          <w:lang w:eastAsia="zh-CN"/>
        </w:rPr>
        <w:t>522</w:t>
      </w:r>
      <w:r>
        <w:rPr>
          <w:snapToGrid w:val="0"/>
          <w:szCs w:val="24"/>
          <w:lang w:eastAsia="zh-CN"/>
        </w:rPr>
        <w:t>指令</w:t>
      </w:r>
      <w:r>
        <w:rPr>
          <w:rFonts w:hint="eastAsia"/>
          <w:lang w:eastAsia="zh-CN"/>
        </w:rPr>
        <w:t>报告合并，而是应将该请求和经修订的上市后监督计划作为上市后监督指令编号（</w:t>
      </w:r>
      <w:r>
        <w:rPr>
          <w:lang w:eastAsia="zh-CN"/>
        </w:rPr>
        <w:t>PS######</w:t>
      </w:r>
      <w:r>
        <w:rPr>
          <w:rFonts w:hint="eastAsia"/>
          <w:lang w:eastAsia="zh-CN"/>
        </w:rPr>
        <w:t>）的单独补充文件提交给</w:t>
      </w:r>
      <w:r>
        <w:rPr>
          <w:lang w:eastAsia="zh-CN"/>
        </w:rPr>
        <w:t>FDA</w:t>
      </w:r>
      <w:r>
        <w:rPr>
          <w:rFonts w:hint="eastAsia"/>
          <w:lang w:eastAsia="zh-CN"/>
        </w:rPr>
        <w:t>审查和批准。任何涉及更改已批准上市后监督计划的提交文件</w:t>
      </w:r>
      <w:r>
        <w:rPr>
          <w:snapToGrid w:val="0"/>
          <w:szCs w:val="24"/>
          <w:lang w:eastAsia="zh-CN"/>
        </w:rPr>
        <w:t>，</w:t>
      </w:r>
      <w:r>
        <w:rPr>
          <w:rFonts w:hint="eastAsia"/>
          <w:lang w:eastAsia="zh-CN"/>
        </w:rPr>
        <w:t>都由</w:t>
      </w:r>
      <w:r>
        <w:rPr>
          <w:lang w:eastAsia="zh-CN"/>
        </w:rPr>
        <w:t>FDA</w:t>
      </w:r>
      <w:r>
        <w:rPr>
          <w:rFonts w:hint="eastAsia"/>
          <w:lang w:eastAsia="zh-CN"/>
        </w:rPr>
        <w:t>作为</w:t>
      </w:r>
      <w:r>
        <w:rPr>
          <w:snapToGrid w:val="0"/>
          <w:szCs w:val="24"/>
          <w:lang w:eastAsia="zh-CN"/>
        </w:rPr>
        <w:t>上市后监督</w:t>
      </w:r>
      <w:r>
        <w:rPr>
          <w:rFonts w:hint="eastAsia"/>
          <w:lang w:eastAsia="zh-CN"/>
        </w:rPr>
        <w:t>指令的补充文件进行跟踪，并应通过指定的</w:t>
      </w:r>
      <w:r>
        <w:rPr>
          <w:snapToGrid w:val="0"/>
          <w:szCs w:val="24"/>
          <w:lang w:eastAsia="zh-CN"/>
        </w:rPr>
        <w:t>上市后监督</w:t>
      </w:r>
      <w:r>
        <w:rPr>
          <w:rFonts w:hint="eastAsia"/>
          <w:lang w:eastAsia="zh-CN"/>
        </w:rPr>
        <w:t>编号进行标识。</w:t>
      </w:r>
    </w:p>
    <w:p w14:paraId="03C7DEDF">
      <w:pPr>
        <w:snapToGrid w:val="0"/>
        <w:spacing w:after="0" w:line="240" w:lineRule="auto"/>
        <w:ind w:left="240" w:leftChars="100" w:firstLine="480" w:firstLineChars="200"/>
        <w:jc w:val="both"/>
        <w:rPr>
          <w:lang w:eastAsia="zh-CN"/>
        </w:rPr>
      </w:pPr>
    </w:p>
    <w:p w14:paraId="08E1F680">
      <w:pPr>
        <w:snapToGrid w:val="0"/>
        <w:spacing w:after="0" w:line="240" w:lineRule="auto"/>
        <w:ind w:left="240" w:leftChars="100" w:firstLine="480" w:firstLineChars="200"/>
        <w:jc w:val="both"/>
        <w:rPr>
          <w:lang w:eastAsia="zh-CN"/>
        </w:rPr>
      </w:pPr>
      <w:r>
        <w:rPr>
          <w:rFonts w:hint="eastAsia"/>
          <w:lang w:eastAsia="zh-CN"/>
        </w:rPr>
        <w:t>根据</w:t>
      </w:r>
      <w:r>
        <w:rPr>
          <w:lang w:eastAsia="zh-CN"/>
        </w:rPr>
        <w:t>FDA</w:t>
      </w:r>
      <w:r>
        <w:rPr>
          <w:rFonts w:hint="eastAsia"/>
          <w:lang w:eastAsia="zh-CN"/>
        </w:rPr>
        <w:t>将审查资源集中于完整提交文件的惯例，将首先对已批准的上市后监督计划的变更请求进行验收审查，以评估补充文件在行政管理上是否完整以便</w:t>
      </w:r>
      <w:r>
        <w:rPr>
          <w:lang w:eastAsia="zh-CN"/>
        </w:rPr>
        <w:t>FDA</w:t>
      </w:r>
      <w:r>
        <w:rPr>
          <w:rFonts w:hint="eastAsia"/>
          <w:lang w:eastAsia="zh-CN"/>
        </w:rPr>
        <w:t>进行实质性审查。</w:t>
      </w:r>
      <w:r>
        <w:rPr>
          <w:rStyle w:val="17"/>
          <w:snapToGrid w:val="0"/>
          <w:szCs w:val="24"/>
          <w:lang w:eastAsia="zh-CN"/>
        </w:rPr>
        <w:footnoteReference w:id="31"/>
      </w:r>
      <w:r>
        <w:rPr>
          <w:rFonts w:hint="eastAsia"/>
          <w:lang w:eastAsia="zh-CN"/>
        </w:rPr>
        <w:t>如果补充文件不包括</w:t>
      </w:r>
      <w:r>
        <w:rPr>
          <w:rFonts w:hint="eastAsia"/>
          <w:color w:val="0000FF"/>
          <w:u w:val="single"/>
          <w:lang w:eastAsia="zh-CN"/>
        </w:rPr>
        <w:t>附录</w:t>
      </w:r>
      <w:r>
        <w:rPr>
          <w:color w:val="0000FF"/>
          <w:u w:val="single"/>
          <w:lang w:eastAsia="zh-CN"/>
        </w:rPr>
        <w:t>1</w:t>
      </w:r>
      <w:r>
        <w:rPr>
          <w:rFonts w:hint="eastAsia"/>
          <w:lang w:eastAsia="zh-CN"/>
        </w:rPr>
        <w:t>中列出的项目，则可能会发出一封不可接受信函，以确定缺失的项目，制造商需要提供该信函，以便</w:t>
      </w:r>
      <w:r>
        <w:rPr>
          <w:lang w:eastAsia="zh-CN"/>
        </w:rPr>
        <w:t>FDA</w:t>
      </w:r>
      <w:r>
        <w:rPr>
          <w:rFonts w:hint="eastAsia"/>
          <w:lang w:eastAsia="zh-CN"/>
        </w:rPr>
        <w:t>对补充文件进行实质性审查。</w:t>
      </w:r>
    </w:p>
    <w:p w14:paraId="2AB6AA97">
      <w:pPr>
        <w:snapToGrid w:val="0"/>
        <w:spacing w:after="0" w:line="240" w:lineRule="auto"/>
        <w:ind w:left="240" w:leftChars="100" w:firstLine="480" w:firstLineChars="200"/>
        <w:jc w:val="both"/>
        <w:rPr>
          <w:snapToGrid w:val="0"/>
          <w:szCs w:val="24"/>
          <w:lang w:eastAsia="zh-CN"/>
        </w:rPr>
      </w:pPr>
    </w:p>
    <w:p w14:paraId="1278685F">
      <w:pPr>
        <w:snapToGrid w:val="0"/>
        <w:spacing w:after="0" w:line="240" w:lineRule="auto"/>
        <w:ind w:left="240" w:leftChars="100" w:firstLine="480" w:firstLineChars="200"/>
        <w:jc w:val="both"/>
        <w:rPr>
          <w:lang w:eastAsia="zh-CN"/>
        </w:rPr>
      </w:pPr>
      <w:r>
        <w:rPr>
          <w:snapToGrid w:val="0"/>
          <w:szCs w:val="24"/>
          <w:lang w:eastAsia="zh-CN"/>
        </w:rPr>
        <w:t>在</w:t>
      </w:r>
      <w:r>
        <w:rPr>
          <w:rFonts w:hint="eastAsia"/>
          <w:lang w:eastAsia="zh-CN"/>
        </w:rPr>
        <w:t>接受实质性审查</w:t>
      </w:r>
      <w:r>
        <w:rPr>
          <w:snapToGrid w:val="0"/>
          <w:szCs w:val="24"/>
          <w:lang w:eastAsia="zh-CN"/>
        </w:rPr>
        <w:t>后</w:t>
      </w:r>
      <w:r>
        <w:rPr>
          <w:rFonts w:hint="eastAsia"/>
          <w:lang w:eastAsia="zh-CN"/>
        </w:rPr>
        <w:t>，</w:t>
      </w:r>
      <w:r>
        <w:rPr>
          <w:lang w:eastAsia="zh-CN"/>
        </w:rPr>
        <w:t>FDA</w:t>
      </w:r>
      <w:r>
        <w:rPr>
          <w:rFonts w:hint="eastAsia"/>
          <w:lang w:eastAsia="zh-CN"/>
        </w:rPr>
        <w:t>也可以通过补充文件发现其他缺陷并发布一份轻微或严重缺陷函，确定制造商需要解决的问题，以获得批准。</w:t>
      </w:r>
      <w:r>
        <w:rPr>
          <w:snapToGrid w:val="0"/>
          <w:szCs w:val="24"/>
          <w:lang w:eastAsia="zh-CN"/>
        </w:rPr>
        <w:t>此外</w:t>
      </w:r>
      <w:r>
        <w:rPr>
          <w:rFonts w:hint="eastAsia"/>
          <w:lang w:eastAsia="zh-CN"/>
        </w:rPr>
        <w:t>，如果</w:t>
      </w:r>
      <w:r>
        <w:rPr>
          <w:lang w:eastAsia="zh-CN"/>
        </w:rPr>
        <w:t>FDA</w:t>
      </w:r>
      <w:r>
        <w:rPr>
          <w:rFonts w:hint="eastAsia"/>
          <w:lang w:eastAsia="zh-CN"/>
        </w:rPr>
        <w:t>确定对批准计划的拟议修改不太可能导致收集有用的数据来解决上市后监督问题，</w:t>
      </w:r>
      <w:r>
        <w:rPr>
          <w:lang w:eastAsia="zh-CN"/>
        </w:rPr>
        <w:t>FDA</w:t>
      </w:r>
      <w:r>
        <w:rPr>
          <w:rFonts w:hint="eastAsia"/>
          <w:lang w:eastAsia="zh-CN"/>
        </w:rPr>
        <w:t>将发布一封不批准函，说明不批准的原因。</w:t>
      </w:r>
      <w:r>
        <w:rPr>
          <w:rStyle w:val="17"/>
          <w:snapToGrid w:val="0"/>
          <w:szCs w:val="24"/>
          <w:lang w:eastAsia="zh-CN"/>
        </w:rPr>
        <w:footnoteReference w:id="32"/>
      </w:r>
    </w:p>
    <w:p w14:paraId="56089AB6">
      <w:pPr>
        <w:snapToGrid w:val="0"/>
        <w:spacing w:after="0" w:line="240" w:lineRule="auto"/>
        <w:jc w:val="both"/>
        <w:rPr>
          <w:lang w:eastAsia="zh-CN"/>
        </w:rPr>
      </w:pPr>
      <w:r>
        <w:rPr>
          <w:lang w:eastAsia="zh-CN"/>
        </w:rPr>
        <w:br w:type="page"/>
      </w:r>
    </w:p>
    <w:p w14:paraId="001BD041">
      <w:pPr>
        <w:snapToGrid w:val="0"/>
        <w:spacing w:after="0" w:line="240" w:lineRule="auto"/>
        <w:ind w:left="240" w:leftChars="100" w:firstLine="480" w:firstLineChars="200"/>
        <w:jc w:val="both"/>
        <w:rPr>
          <w:lang w:eastAsia="zh-CN"/>
        </w:rPr>
      </w:pPr>
      <w:r>
        <w:rPr>
          <w:rFonts w:hint="eastAsia"/>
          <w:lang w:eastAsia="zh-CN"/>
        </w:rPr>
        <w:t>除非</w:t>
      </w:r>
      <w:r>
        <w:rPr>
          <w:lang w:eastAsia="zh-CN"/>
        </w:rPr>
        <w:t>FDA</w:t>
      </w:r>
      <w:r>
        <w:rPr>
          <w:rFonts w:hint="eastAsia"/>
          <w:lang w:eastAsia="zh-CN"/>
        </w:rPr>
        <w:t>批准修订后的监督计划，否则制造商仍有责任按照先前批准的监督计划完成上市后监督。未能达到批准的监督计划中概述的时间节点和时间表</w:t>
      </w:r>
      <w:r>
        <w:rPr>
          <w:snapToGrid w:val="0"/>
          <w:szCs w:val="24"/>
          <w:lang w:eastAsia="zh-CN"/>
        </w:rPr>
        <w:t>，</w:t>
      </w:r>
      <w:r>
        <w:rPr>
          <w:rFonts w:hint="eastAsia"/>
          <w:lang w:eastAsia="zh-CN"/>
        </w:rPr>
        <w:t>可能导致</w:t>
      </w:r>
      <w:r>
        <w:rPr>
          <w:lang w:eastAsia="zh-CN"/>
        </w:rPr>
        <w:t>FDA</w:t>
      </w:r>
      <w:r>
        <w:rPr>
          <w:rFonts w:hint="eastAsia"/>
          <w:lang w:eastAsia="zh-CN"/>
        </w:rPr>
        <w:t>采取强制措施（参见</w:t>
      </w:r>
      <w:r>
        <w:rPr>
          <w:rFonts w:hint="eastAsia"/>
          <w:color w:val="0000FF"/>
          <w:u w:val="single"/>
          <w:lang w:eastAsia="zh-CN"/>
        </w:rPr>
        <w:t>第</w:t>
      </w:r>
      <w:r>
        <w:rPr>
          <w:color w:val="0000FF"/>
          <w:u w:val="single"/>
          <w:lang w:eastAsia="zh-CN"/>
        </w:rPr>
        <w:t>X</w:t>
      </w:r>
      <w:r>
        <w:rPr>
          <w:rFonts w:hint="eastAsia"/>
          <w:color w:val="0000FF"/>
          <w:u w:val="single"/>
          <w:lang w:eastAsia="zh-CN"/>
        </w:rPr>
        <w:t>节</w:t>
      </w:r>
      <w:r>
        <w:rPr>
          <w:rFonts w:hint="eastAsia"/>
          <w:lang w:eastAsia="zh-CN"/>
        </w:rPr>
        <w:t>）。</w:t>
      </w:r>
    </w:p>
    <w:p w14:paraId="1370F0B6">
      <w:pPr>
        <w:snapToGrid w:val="0"/>
        <w:spacing w:after="0" w:line="240" w:lineRule="auto"/>
        <w:ind w:left="240" w:leftChars="100" w:firstLine="480" w:firstLineChars="200"/>
        <w:jc w:val="both"/>
        <w:rPr>
          <w:snapToGrid w:val="0"/>
          <w:szCs w:val="24"/>
          <w:lang w:eastAsia="zh-CN"/>
        </w:rPr>
      </w:pPr>
    </w:p>
    <w:p w14:paraId="7A14AC46">
      <w:pPr>
        <w:pStyle w:val="3"/>
        <w:snapToGrid w:val="0"/>
        <w:spacing w:before="0" w:beforeLines="0" w:line="240" w:lineRule="auto"/>
        <w:ind w:left="1162" w:leftChars="250"/>
        <w:rPr>
          <w:rFonts w:eastAsia="宋体"/>
          <w:snapToGrid w:val="0"/>
          <w:szCs w:val="24"/>
          <w:lang w:eastAsia="zh-CN"/>
        </w:rPr>
      </w:pPr>
      <w:bookmarkStart w:id="24" w:name="_Toc91249660"/>
      <w:bookmarkStart w:id="25" w:name="_Toc97546992"/>
      <w:r>
        <w:rPr>
          <w:rFonts w:eastAsia="宋体"/>
          <w:snapToGrid w:val="0"/>
          <w:szCs w:val="24"/>
          <w:lang w:eastAsia="zh-CN"/>
        </w:rPr>
        <w:t>E.</w:t>
      </w:r>
      <w:r>
        <w:rPr>
          <w:rFonts w:eastAsia="宋体"/>
          <w:snapToGrid w:val="0"/>
          <w:szCs w:val="24"/>
          <w:lang w:eastAsia="zh-CN"/>
        </w:rPr>
        <w:tab/>
      </w:r>
      <w:r>
        <w:rPr>
          <w:rFonts w:eastAsia="宋体"/>
          <w:snapToGrid w:val="0"/>
          <w:szCs w:val="24"/>
          <w:lang w:eastAsia="zh-CN"/>
        </w:rPr>
        <w:t>上市后监督类别</w:t>
      </w:r>
      <w:bookmarkEnd w:id="24"/>
      <w:bookmarkEnd w:id="25"/>
    </w:p>
    <w:p w14:paraId="4A6EA5E3">
      <w:pPr>
        <w:snapToGrid w:val="0"/>
        <w:spacing w:after="0" w:line="240" w:lineRule="auto"/>
        <w:ind w:left="240" w:leftChars="100" w:firstLine="480" w:firstLineChars="200"/>
        <w:jc w:val="both"/>
        <w:rPr>
          <w:lang w:eastAsia="zh-CN"/>
        </w:rPr>
      </w:pPr>
      <w:r>
        <w:rPr>
          <w:lang w:eastAsia="zh-CN"/>
        </w:rPr>
        <w:t>FDA</w:t>
      </w:r>
      <w:r>
        <w:rPr>
          <w:rFonts w:hint="eastAsia"/>
          <w:lang w:eastAsia="zh-CN"/>
        </w:rPr>
        <w:t>可能会下达上市后监督指令以解决各种与器械相关的公共卫生问题。当制定监督计划时，</w:t>
      </w:r>
      <w:r>
        <w:rPr>
          <w:lang w:eastAsia="zh-CN"/>
        </w:rPr>
        <w:t>FDA</w:t>
      </w:r>
      <w:r>
        <w:rPr>
          <w:rFonts w:hint="eastAsia"/>
          <w:lang w:eastAsia="zh-CN"/>
        </w:rPr>
        <w:t>和制造商应该考虑采用最不繁琐且在科学上适用于解决监督问题的方法。</w:t>
      </w:r>
      <w:r>
        <w:rPr>
          <w:rStyle w:val="17"/>
          <w:snapToGrid w:val="0"/>
          <w:szCs w:val="24"/>
          <w:lang w:eastAsia="zh-CN"/>
        </w:rPr>
        <w:footnoteReference w:id="33"/>
      </w:r>
      <w:r>
        <w:rPr>
          <w:rFonts w:hint="eastAsia"/>
          <w:lang w:eastAsia="zh-CN"/>
        </w:rPr>
        <w:t>每项</w:t>
      </w:r>
      <w:r>
        <w:rPr>
          <w:lang w:eastAsia="zh-CN"/>
        </w:rPr>
        <w:t>522</w:t>
      </w:r>
      <w:r>
        <w:rPr>
          <w:rFonts w:hint="eastAsia"/>
          <w:lang w:eastAsia="zh-CN"/>
        </w:rPr>
        <w:t>指令可能包括多个公共卫生问题。如果需要一项以上的上市后监督研究来解决上市后问题，则根据</w:t>
      </w:r>
      <w:r>
        <w:rPr>
          <w:lang w:eastAsia="zh-CN"/>
        </w:rPr>
        <w:t>522</w:t>
      </w:r>
      <w:r>
        <w:rPr>
          <w:rFonts w:hint="eastAsia"/>
          <w:lang w:eastAsia="zh-CN"/>
        </w:rPr>
        <w:t>指令，每项研究都作为一项独特要求进行跟踪。</w:t>
      </w:r>
      <w:r>
        <w:rPr>
          <w:lang w:eastAsia="zh-CN"/>
        </w:rPr>
        <w:t>FDA</w:t>
      </w:r>
      <w:r>
        <w:rPr>
          <w:rFonts w:hint="eastAsia"/>
          <w:lang w:eastAsia="zh-CN"/>
        </w:rPr>
        <w:t>还注意到，在适当的情况下，通过对真实数据源（如器械注册和电子健康记录）的数据进行前瞻性或回顾性分析，可以满足</w:t>
      </w:r>
      <w:r>
        <w:rPr>
          <w:lang w:eastAsia="zh-CN"/>
        </w:rPr>
        <w:t>522</w:t>
      </w:r>
      <w:r>
        <w:rPr>
          <w:rFonts w:hint="eastAsia"/>
          <w:lang w:eastAsia="zh-CN"/>
        </w:rPr>
        <w:t>指令要求。</w:t>
      </w:r>
      <w:r>
        <w:rPr>
          <w:rStyle w:val="17"/>
          <w:snapToGrid w:val="0"/>
          <w:szCs w:val="24"/>
          <w:lang w:eastAsia="zh-CN"/>
        </w:rPr>
        <w:footnoteReference w:id="34"/>
      </w:r>
      <w:r>
        <w:rPr>
          <w:rFonts w:hint="eastAsia"/>
          <w:lang w:eastAsia="zh-CN"/>
        </w:rPr>
        <w:t>此外，如果已经存在具有足够相关性和可靠性的真实世界数据，并且</w:t>
      </w:r>
      <w:r>
        <w:rPr>
          <w:snapToGrid w:val="0"/>
          <w:szCs w:val="24"/>
          <w:lang w:eastAsia="zh-CN"/>
        </w:rPr>
        <w:t>医疗</w:t>
      </w:r>
      <w:r>
        <w:rPr>
          <w:rFonts w:hint="eastAsia"/>
          <w:lang w:eastAsia="zh-CN"/>
        </w:rPr>
        <w:t>器械制造商将及时进行前瞻性分析，则</w:t>
      </w:r>
      <w:r>
        <w:rPr>
          <w:lang w:eastAsia="zh-CN"/>
        </w:rPr>
        <w:t>FDA</w:t>
      </w:r>
      <w:r>
        <w:rPr>
          <w:rFonts w:hint="eastAsia"/>
          <w:lang w:eastAsia="zh-CN"/>
        </w:rPr>
        <w:t>可能决定不发布</w:t>
      </w:r>
      <w:r>
        <w:rPr>
          <w:lang w:eastAsia="zh-CN"/>
        </w:rPr>
        <w:t>522</w:t>
      </w:r>
      <w:r>
        <w:rPr>
          <w:rFonts w:hint="eastAsia"/>
          <w:lang w:eastAsia="zh-CN"/>
        </w:rPr>
        <w:t>指令。</w:t>
      </w:r>
    </w:p>
    <w:p w14:paraId="0410AF65">
      <w:pPr>
        <w:snapToGrid w:val="0"/>
        <w:spacing w:after="0" w:line="240" w:lineRule="auto"/>
        <w:ind w:left="240" w:leftChars="100" w:firstLine="480" w:firstLineChars="200"/>
        <w:jc w:val="both"/>
        <w:rPr>
          <w:snapToGrid w:val="0"/>
          <w:szCs w:val="24"/>
          <w:lang w:eastAsia="zh-CN"/>
        </w:rPr>
      </w:pPr>
    </w:p>
    <w:p w14:paraId="2DE47C49">
      <w:pPr>
        <w:snapToGrid w:val="0"/>
        <w:spacing w:after="0" w:line="240" w:lineRule="auto"/>
        <w:ind w:left="240" w:leftChars="100" w:firstLine="480" w:firstLineChars="200"/>
        <w:jc w:val="both"/>
        <w:rPr>
          <w:lang w:eastAsia="zh-CN"/>
        </w:rPr>
      </w:pPr>
      <w:r>
        <w:rPr>
          <w:rFonts w:hint="eastAsia"/>
          <w:lang w:eastAsia="zh-CN"/>
        </w:rPr>
        <w:t>下表</w:t>
      </w:r>
      <w:r>
        <w:rPr>
          <w:lang w:eastAsia="zh-CN"/>
        </w:rPr>
        <w:t>1</w:t>
      </w:r>
      <w:r>
        <w:rPr>
          <w:rFonts w:hint="eastAsia"/>
          <w:lang w:eastAsia="zh-CN"/>
        </w:rPr>
        <w:t>描述了根据特定公共卫生问题可使用的不同类型的上市后监督设计。</w:t>
      </w:r>
    </w:p>
    <w:p w14:paraId="28EBA067">
      <w:pPr>
        <w:snapToGrid w:val="0"/>
        <w:spacing w:after="0" w:line="240" w:lineRule="auto"/>
        <w:jc w:val="center"/>
        <w:rPr>
          <w:b/>
          <w:snapToGrid w:val="0"/>
          <w:color w:val="000000"/>
          <w:szCs w:val="24"/>
          <w:lang w:eastAsia="zh-CN"/>
        </w:rPr>
      </w:pPr>
    </w:p>
    <w:p w14:paraId="0327192E">
      <w:pPr>
        <w:snapToGrid w:val="0"/>
        <w:spacing w:after="0" w:line="240" w:lineRule="auto"/>
        <w:jc w:val="center"/>
        <w:rPr>
          <w:b/>
          <w:color w:val="000000"/>
        </w:rPr>
      </w:pPr>
      <w:r>
        <w:rPr>
          <w:rFonts w:hint="eastAsia"/>
          <w:b/>
          <w:color w:val="000000"/>
        </w:rPr>
        <w:t>表</w:t>
      </w:r>
      <w:r>
        <w:rPr>
          <w:b/>
          <w:color w:val="000000"/>
        </w:rPr>
        <w:t>1.</w:t>
      </w:r>
      <w:r>
        <w:rPr>
          <w:rFonts w:hint="eastAsia"/>
          <w:b/>
          <w:color w:val="000000"/>
        </w:rPr>
        <w:t>上市后监督设计类型</w:t>
      </w:r>
    </w:p>
    <w:tbl>
      <w:tblPr>
        <w:tblStyle w:val="13"/>
        <w:tblW w:w="5000" w:type="pct"/>
        <w:tblInd w:w="0" w:type="dxa"/>
        <w:tblLayout w:type="fixed"/>
        <w:tblCellMar>
          <w:top w:w="0" w:type="dxa"/>
          <w:left w:w="57" w:type="dxa"/>
          <w:bottom w:w="0" w:type="dxa"/>
          <w:right w:w="57" w:type="dxa"/>
        </w:tblCellMar>
      </w:tblPr>
      <w:tblGrid>
        <w:gridCol w:w="2148"/>
        <w:gridCol w:w="419"/>
        <w:gridCol w:w="2580"/>
        <w:gridCol w:w="4271"/>
        <w:gridCol w:w="51"/>
      </w:tblGrid>
      <w:tr w14:paraId="02B1ED65">
        <w:tblPrEx>
          <w:tblCellMar>
            <w:top w:w="0" w:type="dxa"/>
            <w:left w:w="57" w:type="dxa"/>
            <w:bottom w:w="0" w:type="dxa"/>
            <w:right w:w="57" w:type="dxa"/>
          </w:tblCellMar>
        </w:tblPrEx>
        <w:trPr>
          <w:gridAfter w:val="1"/>
          <w:wAfter w:w="51" w:type="dxa"/>
          <w:tblHeader/>
        </w:trPr>
        <w:tc>
          <w:tcPr>
            <w:tcW w:w="1369" w:type="pct"/>
            <w:gridSpan w:val="2"/>
            <w:tcBorders>
              <w:top w:val="single" w:color="auto" w:sz="4" w:space="0"/>
              <w:left w:val="nil"/>
              <w:bottom w:val="nil"/>
              <w:right w:val="nil"/>
            </w:tcBorders>
            <w:shd w:val="clear" w:color="auto" w:fill="D9D9D9"/>
          </w:tcPr>
          <w:p w14:paraId="5B560669">
            <w:pPr>
              <w:snapToGrid w:val="0"/>
              <w:spacing w:after="0" w:line="240" w:lineRule="auto"/>
              <w:jc w:val="both"/>
              <w:rPr>
                <w:sz w:val="21"/>
              </w:rPr>
            </w:pPr>
            <w:r>
              <w:rPr>
                <w:rFonts w:hint="eastAsia"/>
                <w:b/>
                <w:color w:val="000000"/>
                <w:sz w:val="21"/>
              </w:rPr>
              <w:t>类型</w:t>
            </w:r>
          </w:p>
        </w:tc>
        <w:tc>
          <w:tcPr>
            <w:tcW w:w="3631" w:type="pct"/>
            <w:gridSpan w:val="2"/>
            <w:tcBorders>
              <w:top w:val="single" w:color="auto" w:sz="4" w:space="0"/>
              <w:left w:val="nil"/>
              <w:bottom w:val="nil"/>
              <w:right w:val="nil"/>
            </w:tcBorders>
            <w:shd w:val="clear" w:color="auto" w:fill="D9D9D9"/>
          </w:tcPr>
          <w:p w14:paraId="49B2FFF5">
            <w:pPr>
              <w:snapToGrid w:val="0"/>
              <w:spacing w:after="0" w:line="240" w:lineRule="auto"/>
              <w:jc w:val="both"/>
              <w:rPr>
                <w:sz w:val="21"/>
              </w:rPr>
            </w:pPr>
            <w:r>
              <w:rPr>
                <w:rFonts w:hint="eastAsia"/>
                <w:b/>
                <w:color w:val="000000"/>
                <w:sz w:val="21"/>
              </w:rPr>
              <w:t>设计</w:t>
            </w:r>
          </w:p>
        </w:tc>
      </w:tr>
      <w:tr w14:paraId="68D88F9E">
        <w:tblPrEx>
          <w:tblCellMar>
            <w:top w:w="0" w:type="dxa"/>
            <w:left w:w="57" w:type="dxa"/>
            <w:bottom w:w="0" w:type="dxa"/>
            <w:right w:w="57" w:type="dxa"/>
          </w:tblCellMar>
        </w:tblPrEx>
        <w:trPr>
          <w:gridAfter w:val="1"/>
          <w:wAfter w:w="51" w:type="dxa"/>
        </w:trPr>
        <w:tc>
          <w:tcPr>
            <w:tcW w:w="1369" w:type="pct"/>
            <w:gridSpan w:val="2"/>
            <w:tcBorders>
              <w:top w:val="single" w:color="auto" w:sz="4" w:space="0"/>
              <w:left w:val="nil"/>
              <w:bottom w:val="nil"/>
              <w:right w:val="nil"/>
            </w:tcBorders>
            <w:shd w:val="clear" w:color="auto" w:fill="FFFFFF"/>
          </w:tcPr>
          <w:p w14:paraId="79FBC4B0">
            <w:pPr>
              <w:snapToGrid w:val="0"/>
              <w:spacing w:after="0" w:line="240" w:lineRule="auto"/>
              <w:jc w:val="both"/>
              <w:rPr>
                <w:sz w:val="21"/>
              </w:rPr>
            </w:pPr>
            <w:r>
              <w:rPr>
                <w:rFonts w:hint="eastAsia"/>
                <w:b/>
                <w:color w:val="000000"/>
                <w:sz w:val="21"/>
              </w:rPr>
              <w:t>随机临床试验</w:t>
            </w:r>
          </w:p>
        </w:tc>
        <w:tc>
          <w:tcPr>
            <w:tcW w:w="3631" w:type="pct"/>
            <w:gridSpan w:val="2"/>
            <w:tcBorders>
              <w:top w:val="single" w:color="auto" w:sz="4" w:space="0"/>
              <w:left w:val="nil"/>
              <w:bottom w:val="nil"/>
              <w:right w:val="nil"/>
            </w:tcBorders>
            <w:shd w:val="clear" w:color="auto" w:fill="FFFFFF"/>
          </w:tcPr>
          <w:p w14:paraId="7A38CCF2">
            <w:pPr>
              <w:snapToGrid w:val="0"/>
              <w:spacing w:after="0" w:line="240" w:lineRule="auto"/>
              <w:jc w:val="both"/>
              <w:rPr>
                <w:sz w:val="21"/>
                <w:lang w:eastAsia="zh-CN"/>
              </w:rPr>
            </w:pPr>
            <w:r>
              <w:rPr>
                <w:rFonts w:hint="eastAsia"/>
                <w:color w:val="000000"/>
                <w:sz w:val="21"/>
                <w:lang w:eastAsia="zh-CN"/>
              </w:rPr>
              <w:t>比较一个或多个干预措施与对照组效果的前瞻性研究。将受试者随机分配到其中一个研究组。</w:t>
            </w:r>
          </w:p>
        </w:tc>
      </w:tr>
      <w:tr w14:paraId="3524F036">
        <w:tblPrEx>
          <w:tblCellMar>
            <w:top w:w="0" w:type="dxa"/>
            <w:left w:w="57" w:type="dxa"/>
            <w:bottom w:w="0" w:type="dxa"/>
            <w:right w:w="57" w:type="dxa"/>
          </w:tblCellMar>
        </w:tblPrEx>
        <w:trPr>
          <w:gridAfter w:val="1"/>
          <w:wAfter w:w="51" w:type="dxa"/>
        </w:trPr>
        <w:tc>
          <w:tcPr>
            <w:tcW w:w="1369" w:type="pct"/>
            <w:gridSpan w:val="2"/>
            <w:tcBorders>
              <w:top w:val="single" w:color="auto" w:sz="4" w:space="0"/>
              <w:left w:val="nil"/>
              <w:bottom w:val="nil"/>
              <w:right w:val="nil"/>
            </w:tcBorders>
            <w:shd w:val="clear" w:color="auto" w:fill="FFFFFF"/>
          </w:tcPr>
          <w:p w14:paraId="766C8CAC">
            <w:pPr>
              <w:snapToGrid w:val="0"/>
              <w:spacing w:after="0" w:line="240" w:lineRule="auto"/>
              <w:jc w:val="both"/>
              <w:rPr>
                <w:sz w:val="21"/>
              </w:rPr>
            </w:pPr>
            <w:r>
              <w:rPr>
                <w:rFonts w:hint="eastAsia"/>
                <w:b/>
                <w:color w:val="000000"/>
                <w:sz w:val="21"/>
              </w:rPr>
              <w:t>前瞻性队列研究</w:t>
            </w:r>
          </w:p>
        </w:tc>
        <w:tc>
          <w:tcPr>
            <w:tcW w:w="3631" w:type="pct"/>
            <w:gridSpan w:val="2"/>
            <w:tcBorders>
              <w:top w:val="single" w:color="auto" w:sz="4" w:space="0"/>
              <w:left w:val="nil"/>
              <w:bottom w:val="nil"/>
              <w:right w:val="nil"/>
            </w:tcBorders>
            <w:shd w:val="clear" w:color="auto" w:fill="FFFFFF"/>
          </w:tcPr>
          <w:p w14:paraId="71E1AD34">
            <w:pPr>
              <w:snapToGrid w:val="0"/>
              <w:spacing w:after="0" w:line="240" w:lineRule="auto"/>
              <w:jc w:val="both"/>
              <w:rPr>
                <w:sz w:val="21"/>
              </w:rPr>
            </w:pPr>
            <w:r>
              <w:rPr>
                <w:rFonts w:hint="eastAsia"/>
                <w:color w:val="000000"/>
                <w:sz w:val="21"/>
                <w:lang w:eastAsia="zh-CN"/>
              </w:rPr>
              <w:t>对特定人群中的受试者进行及时前瞻性跟踪的一项研究，以评估相关结果的发生。此类研究可包括一个或多个根据器械暴露情况确定的群体。</w:t>
            </w:r>
            <w:r>
              <w:rPr>
                <w:rFonts w:hint="eastAsia"/>
                <w:color w:val="000000"/>
                <w:sz w:val="21"/>
              </w:rPr>
              <w:t>治疗分配未随机化。</w:t>
            </w:r>
          </w:p>
        </w:tc>
      </w:tr>
      <w:tr w14:paraId="36D311E8">
        <w:tblPrEx>
          <w:tblCellMar>
            <w:top w:w="0" w:type="dxa"/>
            <w:left w:w="57" w:type="dxa"/>
            <w:bottom w:w="0" w:type="dxa"/>
            <w:right w:w="57" w:type="dxa"/>
          </w:tblCellMar>
        </w:tblPrEx>
        <w:trPr>
          <w:gridAfter w:val="1"/>
          <w:wAfter w:w="51" w:type="dxa"/>
        </w:trPr>
        <w:tc>
          <w:tcPr>
            <w:tcW w:w="1369" w:type="pct"/>
            <w:gridSpan w:val="2"/>
            <w:tcBorders>
              <w:top w:val="single" w:color="auto" w:sz="4" w:space="0"/>
              <w:left w:val="nil"/>
              <w:bottom w:val="single" w:color="auto" w:sz="4" w:space="0"/>
              <w:right w:val="nil"/>
            </w:tcBorders>
            <w:shd w:val="clear" w:color="auto" w:fill="FFFFFF"/>
          </w:tcPr>
          <w:p w14:paraId="6C151398">
            <w:pPr>
              <w:snapToGrid w:val="0"/>
              <w:spacing w:after="0" w:line="240" w:lineRule="auto"/>
              <w:jc w:val="both"/>
              <w:rPr>
                <w:sz w:val="21"/>
              </w:rPr>
            </w:pPr>
            <w:r>
              <w:rPr>
                <w:rFonts w:hint="eastAsia"/>
                <w:b/>
                <w:color w:val="000000"/>
                <w:sz w:val="21"/>
              </w:rPr>
              <w:t>回顾性队列研究</w:t>
            </w:r>
          </w:p>
        </w:tc>
        <w:tc>
          <w:tcPr>
            <w:tcW w:w="3631" w:type="pct"/>
            <w:gridSpan w:val="2"/>
            <w:tcBorders>
              <w:top w:val="single" w:color="auto" w:sz="4" w:space="0"/>
              <w:left w:val="nil"/>
              <w:bottom w:val="single" w:color="auto" w:sz="4" w:space="0"/>
              <w:right w:val="nil"/>
            </w:tcBorders>
            <w:shd w:val="clear" w:color="auto" w:fill="FFFFFF"/>
          </w:tcPr>
          <w:p w14:paraId="05F69754">
            <w:pPr>
              <w:snapToGrid w:val="0"/>
              <w:spacing w:after="0" w:line="240" w:lineRule="auto"/>
              <w:jc w:val="both"/>
              <w:rPr>
                <w:sz w:val="21"/>
              </w:rPr>
            </w:pPr>
            <w:r>
              <w:rPr>
                <w:rFonts w:hint="eastAsia"/>
                <w:color w:val="000000"/>
                <w:sz w:val="21"/>
                <w:lang w:eastAsia="zh-CN"/>
              </w:rPr>
              <w:t>对特定人群中的受试者进行及时向前追溯的研究；然而，与前瞻性队列研究不同，记录器械</w:t>
            </w:r>
            <w:r>
              <w:rPr>
                <w:snapToGrid w:val="0"/>
                <w:color w:val="000000"/>
                <w:sz w:val="21"/>
                <w:szCs w:val="21"/>
                <w:lang w:eastAsia="zh-CN"/>
              </w:rPr>
              <w:t>接触</w:t>
            </w:r>
            <w:r>
              <w:rPr>
                <w:rFonts w:hint="eastAsia"/>
                <w:color w:val="000000"/>
                <w:sz w:val="21"/>
                <w:lang w:eastAsia="zh-CN"/>
              </w:rPr>
              <w:t>和结果的数据记录是在相对于研究开始时的过去时间点收集的。此类研究可包括一个或多个根据器械</w:t>
            </w:r>
            <w:r>
              <w:rPr>
                <w:snapToGrid w:val="0"/>
                <w:color w:val="000000"/>
                <w:sz w:val="21"/>
                <w:szCs w:val="21"/>
                <w:lang w:eastAsia="zh-CN"/>
              </w:rPr>
              <w:t>接触</w:t>
            </w:r>
            <w:r>
              <w:rPr>
                <w:rFonts w:hint="eastAsia"/>
                <w:color w:val="000000"/>
                <w:sz w:val="21"/>
                <w:lang w:eastAsia="zh-CN"/>
              </w:rPr>
              <w:t>情况确定的群体。</w:t>
            </w:r>
            <w:r>
              <w:rPr>
                <w:rFonts w:hint="eastAsia"/>
                <w:color w:val="000000"/>
                <w:sz w:val="21"/>
              </w:rPr>
              <w:t>治疗分配未随机化。</w:t>
            </w:r>
          </w:p>
        </w:tc>
      </w:tr>
      <w:tr w14:paraId="56A9E522">
        <w:tblPrEx>
          <w:tblCellMar>
            <w:top w:w="0" w:type="dxa"/>
            <w:left w:w="57" w:type="dxa"/>
            <w:bottom w:w="0" w:type="dxa"/>
            <w:right w:w="57" w:type="dxa"/>
          </w:tblCellMar>
        </w:tblPrEx>
        <w:trPr>
          <w:gridBefore w:val="1"/>
          <w:wBefore w:w="2148" w:type="dxa"/>
          <w:trHeight w:val="20" w:hRule="atLeast"/>
        </w:trPr>
        <w:tc>
          <w:tcPr>
            <w:tcW w:w="1369" w:type="pct"/>
            <w:gridSpan w:val="2"/>
            <w:tcBorders>
              <w:top w:val="single" w:color="auto" w:sz="4" w:space="0"/>
              <w:left w:val="nil"/>
              <w:right w:val="nil"/>
            </w:tcBorders>
            <w:shd w:val="clear" w:color="auto" w:fill="FFFFFF"/>
          </w:tcPr>
          <w:p w14:paraId="07647CCA">
            <w:pPr>
              <w:pageBreakBefore/>
              <w:snapToGrid w:val="0"/>
              <w:spacing w:after="0" w:line="240" w:lineRule="auto"/>
              <w:jc w:val="both"/>
              <w:rPr>
                <w:sz w:val="21"/>
              </w:rPr>
            </w:pPr>
            <w:r>
              <w:rPr>
                <w:rFonts w:hint="eastAsia"/>
                <w:b/>
                <w:color w:val="000000"/>
                <w:sz w:val="21"/>
              </w:rPr>
              <w:t>交叉研究</w:t>
            </w:r>
          </w:p>
        </w:tc>
        <w:tc>
          <w:tcPr>
            <w:tcW w:w="3631" w:type="pct"/>
            <w:gridSpan w:val="2"/>
            <w:tcBorders>
              <w:top w:val="single" w:color="auto" w:sz="4" w:space="0"/>
              <w:left w:val="nil"/>
              <w:right w:val="nil"/>
            </w:tcBorders>
            <w:shd w:val="clear" w:color="auto" w:fill="FFFFFF"/>
          </w:tcPr>
          <w:p w14:paraId="77E8D5C0">
            <w:pPr>
              <w:snapToGrid w:val="0"/>
              <w:spacing w:after="0" w:line="240" w:lineRule="auto"/>
              <w:jc w:val="both"/>
              <w:rPr>
                <w:sz w:val="21"/>
                <w:lang w:eastAsia="zh-CN"/>
              </w:rPr>
            </w:pPr>
            <w:r>
              <w:rPr>
                <w:rFonts w:hint="eastAsia"/>
                <w:color w:val="000000"/>
                <w:sz w:val="21"/>
                <w:lang w:eastAsia="zh-CN"/>
              </w:rPr>
              <w:t>在同一时间点评估是否存在暴露和健康结果的研究。</w:t>
            </w:r>
          </w:p>
        </w:tc>
      </w:tr>
      <w:tr w14:paraId="2EA5D7B2">
        <w:tblPrEx>
          <w:tblCellMar>
            <w:top w:w="0" w:type="dxa"/>
            <w:left w:w="57" w:type="dxa"/>
            <w:bottom w:w="0" w:type="dxa"/>
            <w:right w:w="57" w:type="dxa"/>
          </w:tblCellMar>
        </w:tblPrEx>
        <w:trPr>
          <w:gridBefore w:val="1"/>
          <w:wBefore w:w="2148" w:type="dxa"/>
          <w:trHeight w:val="20" w:hRule="atLeast"/>
        </w:trPr>
        <w:tc>
          <w:tcPr>
            <w:tcW w:w="1369" w:type="pct"/>
            <w:gridSpan w:val="2"/>
            <w:tcBorders>
              <w:top w:val="single" w:color="auto" w:sz="4" w:space="0"/>
              <w:left w:val="nil"/>
              <w:bottom w:val="nil"/>
              <w:right w:val="nil"/>
            </w:tcBorders>
            <w:shd w:val="clear" w:color="auto" w:fill="FFFFFF"/>
          </w:tcPr>
          <w:p w14:paraId="1C849627">
            <w:pPr>
              <w:snapToGrid w:val="0"/>
              <w:spacing w:after="0" w:line="240" w:lineRule="auto"/>
              <w:jc w:val="both"/>
              <w:rPr>
                <w:sz w:val="21"/>
              </w:rPr>
            </w:pPr>
            <w:r>
              <w:rPr>
                <w:rFonts w:hint="eastAsia"/>
                <w:b/>
                <w:color w:val="000000"/>
                <w:sz w:val="21"/>
              </w:rPr>
              <w:t>加强监督</w:t>
            </w:r>
          </w:p>
        </w:tc>
        <w:tc>
          <w:tcPr>
            <w:tcW w:w="3631" w:type="pct"/>
            <w:gridSpan w:val="2"/>
            <w:tcBorders>
              <w:top w:val="single" w:color="auto" w:sz="4" w:space="0"/>
              <w:left w:val="nil"/>
              <w:bottom w:val="nil"/>
              <w:right w:val="nil"/>
            </w:tcBorders>
            <w:shd w:val="clear" w:color="auto" w:fill="FFFFFF"/>
          </w:tcPr>
          <w:p w14:paraId="47FB850D">
            <w:pPr>
              <w:snapToGrid w:val="0"/>
              <w:spacing w:after="0" w:line="240" w:lineRule="auto"/>
              <w:jc w:val="both"/>
              <w:rPr>
                <w:sz w:val="21"/>
                <w:lang w:eastAsia="zh-CN"/>
              </w:rPr>
            </w:pPr>
            <w:r>
              <w:rPr>
                <w:rFonts w:hint="eastAsia"/>
                <w:sz w:val="21"/>
                <w:lang w:eastAsia="zh-CN"/>
              </w:rPr>
              <w:t>通过持续、</w:t>
            </w:r>
            <w:r>
              <w:rPr>
                <w:rFonts w:hint="eastAsia"/>
                <w:i/>
                <w:sz w:val="21"/>
                <w:lang w:eastAsia="zh-CN"/>
              </w:rPr>
              <w:t>被动</w:t>
            </w:r>
            <w:r>
              <w:rPr>
                <w:rFonts w:hint="eastAsia"/>
                <w:sz w:val="21"/>
                <w:lang w:eastAsia="zh-CN"/>
              </w:rPr>
              <w:t>但系统地收集、分析和解释数据，持续监测不良事件发生率的分布和趋势。</w:t>
            </w:r>
            <w:r>
              <w:rPr>
                <w:rFonts w:hint="eastAsia"/>
                <w:color w:val="000000"/>
                <w:sz w:val="21"/>
                <w:lang w:eastAsia="zh-CN"/>
              </w:rPr>
              <w:t>被动监督方法意味着进行监督的组织不联系潜在的报告者，而将首次报告留给其他人。监督的目的是可能是收集</w:t>
            </w:r>
            <w:r>
              <w:rPr>
                <w:color w:val="000000"/>
                <w:sz w:val="21"/>
                <w:lang w:eastAsia="zh-CN"/>
              </w:rPr>
              <w:t>MDR</w:t>
            </w:r>
            <w:r>
              <w:rPr>
                <w:rFonts w:hint="eastAsia"/>
                <w:color w:val="000000"/>
                <w:sz w:val="21"/>
                <w:lang w:eastAsia="zh-CN"/>
              </w:rPr>
              <w:t>可报告和</w:t>
            </w:r>
            <w:r>
              <w:rPr>
                <w:color w:val="000000"/>
                <w:sz w:val="21"/>
                <w:lang w:eastAsia="zh-CN"/>
              </w:rPr>
              <w:t>MDR</w:t>
            </w:r>
            <w:r>
              <w:rPr>
                <w:rFonts w:hint="eastAsia"/>
                <w:color w:val="000000"/>
                <w:sz w:val="21"/>
                <w:lang w:eastAsia="zh-CN"/>
              </w:rPr>
              <w:t>不可报告不良事件或器械投诉的事件信息。</w:t>
            </w:r>
          </w:p>
        </w:tc>
      </w:tr>
      <w:tr w14:paraId="2AD85B89">
        <w:tblPrEx>
          <w:tblCellMar>
            <w:top w:w="0" w:type="dxa"/>
            <w:left w:w="57" w:type="dxa"/>
            <w:bottom w:w="0" w:type="dxa"/>
            <w:right w:w="57" w:type="dxa"/>
          </w:tblCellMar>
        </w:tblPrEx>
        <w:trPr>
          <w:gridBefore w:val="1"/>
          <w:wBefore w:w="2148" w:type="dxa"/>
          <w:trHeight w:val="20" w:hRule="atLeast"/>
        </w:trPr>
        <w:tc>
          <w:tcPr>
            <w:tcW w:w="1369" w:type="pct"/>
            <w:gridSpan w:val="2"/>
            <w:tcBorders>
              <w:top w:val="single" w:color="auto" w:sz="4" w:space="0"/>
              <w:left w:val="nil"/>
              <w:bottom w:val="nil"/>
              <w:right w:val="nil"/>
            </w:tcBorders>
            <w:shd w:val="clear" w:color="auto" w:fill="FFFFFF"/>
          </w:tcPr>
          <w:p w14:paraId="73EA55F0">
            <w:pPr>
              <w:snapToGrid w:val="0"/>
              <w:spacing w:after="0" w:line="240" w:lineRule="auto"/>
              <w:jc w:val="both"/>
              <w:rPr>
                <w:sz w:val="21"/>
              </w:rPr>
            </w:pPr>
            <w:r>
              <w:rPr>
                <w:rFonts w:hint="eastAsia"/>
                <w:b/>
                <w:color w:val="000000"/>
                <w:sz w:val="21"/>
              </w:rPr>
              <w:t>主动监督</w:t>
            </w:r>
          </w:p>
        </w:tc>
        <w:tc>
          <w:tcPr>
            <w:tcW w:w="3631" w:type="pct"/>
            <w:gridSpan w:val="2"/>
            <w:tcBorders>
              <w:top w:val="single" w:color="auto" w:sz="4" w:space="0"/>
              <w:left w:val="nil"/>
              <w:bottom w:val="nil"/>
              <w:right w:val="nil"/>
            </w:tcBorders>
            <w:shd w:val="clear" w:color="auto" w:fill="FFFFFF"/>
          </w:tcPr>
          <w:p w14:paraId="4AF4F91B">
            <w:pPr>
              <w:snapToGrid w:val="0"/>
              <w:spacing w:after="0" w:line="240" w:lineRule="auto"/>
              <w:jc w:val="both"/>
              <w:rPr>
                <w:sz w:val="21"/>
                <w:lang w:eastAsia="zh-CN"/>
              </w:rPr>
            </w:pPr>
            <w:r>
              <w:rPr>
                <w:rFonts w:hint="eastAsia"/>
                <w:sz w:val="21"/>
                <w:lang w:eastAsia="zh-CN"/>
              </w:rPr>
              <w:t>通过持续、</w:t>
            </w:r>
            <w:r>
              <w:rPr>
                <w:rFonts w:hint="eastAsia"/>
                <w:i/>
                <w:sz w:val="21"/>
                <w:lang w:eastAsia="zh-CN"/>
              </w:rPr>
              <w:t>积极</w:t>
            </w:r>
            <w:r>
              <w:rPr>
                <w:rFonts w:hint="eastAsia"/>
                <w:sz w:val="21"/>
                <w:lang w:eastAsia="zh-CN"/>
              </w:rPr>
              <w:t>、系统地收集、分析和解释数据，持续监督不良事件发生率的分布和趋势。</w:t>
            </w:r>
            <w:r>
              <w:rPr>
                <w:rFonts w:hint="eastAsia"/>
                <w:color w:val="000000"/>
                <w:sz w:val="21"/>
                <w:lang w:eastAsia="zh-CN"/>
              </w:rPr>
              <w:t>主动方法是指进行监督的组织启动程序以获取报告。监督的目的可能旨在收集</w:t>
            </w:r>
            <w:r>
              <w:rPr>
                <w:color w:val="000000"/>
                <w:sz w:val="21"/>
                <w:lang w:eastAsia="zh-CN"/>
              </w:rPr>
              <w:t>MDR</w:t>
            </w:r>
            <w:r>
              <w:rPr>
                <w:rFonts w:hint="eastAsia"/>
                <w:color w:val="000000"/>
                <w:sz w:val="21"/>
                <w:lang w:eastAsia="zh-CN"/>
              </w:rPr>
              <w:t>可报告和</w:t>
            </w:r>
            <w:r>
              <w:rPr>
                <w:color w:val="000000"/>
                <w:sz w:val="21"/>
                <w:lang w:eastAsia="zh-CN"/>
              </w:rPr>
              <w:t>MDR</w:t>
            </w:r>
            <w:r>
              <w:rPr>
                <w:rFonts w:hint="eastAsia"/>
                <w:color w:val="000000"/>
                <w:sz w:val="21"/>
                <w:lang w:eastAsia="zh-CN"/>
              </w:rPr>
              <w:t>不可报告不良事件或器械投诉的事件信息。</w:t>
            </w:r>
          </w:p>
        </w:tc>
      </w:tr>
      <w:tr w14:paraId="176F9461">
        <w:tblPrEx>
          <w:tblCellMar>
            <w:top w:w="0" w:type="dxa"/>
            <w:left w:w="57" w:type="dxa"/>
            <w:bottom w:w="0" w:type="dxa"/>
            <w:right w:w="57" w:type="dxa"/>
          </w:tblCellMar>
        </w:tblPrEx>
        <w:trPr>
          <w:gridBefore w:val="1"/>
          <w:wBefore w:w="2148" w:type="dxa"/>
          <w:trHeight w:val="20" w:hRule="atLeast"/>
        </w:trPr>
        <w:tc>
          <w:tcPr>
            <w:tcW w:w="1369" w:type="pct"/>
            <w:gridSpan w:val="2"/>
            <w:tcBorders>
              <w:top w:val="single" w:color="auto" w:sz="4" w:space="0"/>
              <w:left w:val="nil"/>
              <w:bottom w:val="nil"/>
              <w:right w:val="nil"/>
            </w:tcBorders>
            <w:shd w:val="clear" w:color="auto" w:fill="FFFFFF"/>
          </w:tcPr>
          <w:p w14:paraId="3A0EC232">
            <w:pPr>
              <w:snapToGrid w:val="0"/>
              <w:spacing w:after="0" w:line="240" w:lineRule="auto"/>
              <w:jc w:val="both"/>
              <w:rPr>
                <w:sz w:val="21"/>
              </w:rPr>
            </w:pPr>
            <w:r>
              <w:rPr>
                <w:rFonts w:hint="eastAsia"/>
                <w:b/>
                <w:color w:val="000000"/>
                <w:sz w:val="21"/>
              </w:rPr>
              <w:t>荟萃分析</w:t>
            </w:r>
          </w:p>
        </w:tc>
        <w:tc>
          <w:tcPr>
            <w:tcW w:w="3631" w:type="pct"/>
            <w:gridSpan w:val="2"/>
            <w:tcBorders>
              <w:top w:val="single" w:color="auto" w:sz="4" w:space="0"/>
              <w:left w:val="nil"/>
              <w:bottom w:val="nil"/>
              <w:right w:val="nil"/>
            </w:tcBorders>
            <w:shd w:val="clear" w:color="auto" w:fill="FFFFFF"/>
          </w:tcPr>
          <w:p w14:paraId="315DE40B">
            <w:pPr>
              <w:snapToGrid w:val="0"/>
              <w:spacing w:after="0" w:line="240" w:lineRule="auto"/>
              <w:jc w:val="both"/>
              <w:rPr>
                <w:sz w:val="21"/>
                <w:lang w:eastAsia="zh-CN"/>
              </w:rPr>
            </w:pPr>
            <w:r>
              <w:rPr>
                <w:rFonts w:hint="eastAsia"/>
                <w:color w:val="000000"/>
                <w:sz w:val="21"/>
                <w:lang w:eastAsia="zh-CN"/>
              </w:rPr>
              <w:t>综合了多项研究结果的系统回顾解决了一系列相关的研究假设。这通常通过确定效应大小的通用度量单位实现，该度量使用已发表或未发表研究数据的荟萃回归形式进行建模。</w:t>
            </w:r>
          </w:p>
        </w:tc>
      </w:tr>
      <w:tr w14:paraId="4B10D595">
        <w:tblPrEx>
          <w:tblCellMar>
            <w:top w:w="0" w:type="dxa"/>
            <w:left w:w="57" w:type="dxa"/>
            <w:bottom w:w="0" w:type="dxa"/>
            <w:right w:w="57" w:type="dxa"/>
          </w:tblCellMar>
        </w:tblPrEx>
        <w:trPr>
          <w:gridBefore w:val="1"/>
          <w:wBefore w:w="2148" w:type="dxa"/>
          <w:trHeight w:val="20" w:hRule="atLeast"/>
        </w:trPr>
        <w:tc>
          <w:tcPr>
            <w:tcW w:w="1369" w:type="pct"/>
            <w:gridSpan w:val="2"/>
            <w:tcBorders>
              <w:top w:val="single" w:color="auto" w:sz="4" w:space="0"/>
              <w:left w:val="nil"/>
              <w:right w:val="nil"/>
            </w:tcBorders>
            <w:shd w:val="clear" w:color="auto" w:fill="FFFFFF"/>
          </w:tcPr>
          <w:p w14:paraId="543CFB1B">
            <w:pPr>
              <w:snapToGrid w:val="0"/>
              <w:spacing w:after="0" w:line="240" w:lineRule="auto"/>
              <w:jc w:val="both"/>
              <w:rPr>
                <w:sz w:val="21"/>
              </w:rPr>
            </w:pPr>
            <w:r>
              <w:rPr>
                <w:rFonts w:hint="eastAsia"/>
                <w:b/>
                <w:color w:val="000000"/>
                <w:sz w:val="21"/>
              </w:rPr>
              <w:t>前瞻性和回顾性研究</w:t>
            </w:r>
          </w:p>
        </w:tc>
        <w:tc>
          <w:tcPr>
            <w:tcW w:w="3631" w:type="pct"/>
            <w:gridSpan w:val="2"/>
            <w:tcBorders>
              <w:top w:val="single" w:color="auto" w:sz="4" w:space="0"/>
              <w:left w:val="nil"/>
              <w:right w:val="nil"/>
            </w:tcBorders>
            <w:shd w:val="clear" w:color="auto" w:fill="FFFFFF"/>
          </w:tcPr>
          <w:p w14:paraId="2CA37596">
            <w:pPr>
              <w:snapToGrid w:val="0"/>
              <w:spacing w:after="0" w:line="240" w:lineRule="auto"/>
              <w:jc w:val="both"/>
              <w:rPr>
                <w:sz w:val="21"/>
              </w:rPr>
            </w:pPr>
            <w:r>
              <w:rPr>
                <w:rFonts w:hint="eastAsia"/>
                <w:color w:val="000000"/>
                <w:sz w:val="21"/>
                <w:lang w:eastAsia="zh-CN"/>
              </w:rPr>
              <w:t>一项回顾性和前瞻性收集数据的混合队列研究。</w:t>
            </w:r>
            <w:r>
              <w:rPr>
                <w:rFonts w:hint="eastAsia"/>
                <w:color w:val="000000"/>
                <w:sz w:val="21"/>
              </w:rPr>
              <w:t>治疗任务未随机化。</w:t>
            </w:r>
          </w:p>
        </w:tc>
      </w:tr>
      <w:tr w14:paraId="10B1BEF9">
        <w:tblPrEx>
          <w:tblCellMar>
            <w:top w:w="0" w:type="dxa"/>
            <w:left w:w="57" w:type="dxa"/>
            <w:bottom w:w="0" w:type="dxa"/>
            <w:right w:w="57" w:type="dxa"/>
          </w:tblCellMar>
        </w:tblPrEx>
        <w:trPr>
          <w:gridBefore w:val="1"/>
          <w:wBefore w:w="2148" w:type="dxa"/>
          <w:trHeight w:val="20" w:hRule="atLeast"/>
        </w:trPr>
        <w:tc>
          <w:tcPr>
            <w:tcW w:w="1369" w:type="pct"/>
            <w:gridSpan w:val="2"/>
            <w:tcBorders>
              <w:top w:val="single" w:color="auto" w:sz="4" w:space="0"/>
              <w:left w:val="nil"/>
              <w:bottom w:val="nil"/>
              <w:right w:val="nil"/>
            </w:tcBorders>
            <w:shd w:val="clear" w:color="auto" w:fill="FFFFFF"/>
          </w:tcPr>
          <w:p w14:paraId="144EA583">
            <w:pPr>
              <w:snapToGrid w:val="0"/>
              <w:spacing w:after="0" w:line="240" w:lineRule="auto"/>
              <w:jc w:val="both"/>
              <w:rPr>
                <w:sz w:val="21"/>
              </w:rPr>
            </w:pPr>
            <w:r>
              <w:rPr>
                <w:rFonts w:hint="eastAsia"/>
                <w:b/>
                <w:color w:val="000000"/>
                <w:sz w:val="21"/>
              </w:rPr>
              <w:t>病例对照研究</w:t>
            </w:r>
          </w:p>
        </w:tc>
        <w:tc>
          <w:tcPr>
            <w:tcW w:w="3631" w:type="pct"/>
            <w:gridSpan w:val="2"/>
            <w:tcBorders>
              <w:top w:val="single" w:color="auto" w:sz="4" w:space="0"/>
              <w:left w:val="nil"/>
              <w:bottom w:val="nil"/>
              <w:right w:val="nil"/>
            </w:tcBorders>
            <w:shd w:val="clear" w:color="auto" w:fill="FFFFFF"/>
          </w:tcPr>
          <w:p w14:paraId="45F8850E">
            <w:pPr>
              <w:snapToGrid w:val="0"/>
              <w:spacing w:after="0" w:line="240" w:lineRule="auto"/>
              <w:jc w:val="both"/>
              <w:rPr>
                <w:sz w:val="21"/>
                <w:lang w:eastAsia="zh-CN"/>
              </w:rPr>
            </w:pPr>
            <w:r>
              <w:rPr>
                <w:rFonts w:hint="eastAsia"/>
                <w:color w:val="000000"/>
                <w:sz w:val="21"/>
                <w:lang w:eastAsia="zh-CN"/>
              </w:rPr>
              <w:t>根据结果（病例）确定受试者并与适当对照组（非病例）进行比较的研究。比较相关暴露的比例，并计算利益结果的比值比。</w:t>
            </w:r>
          </w:p>
        </w:tc>
      </w:tr>
      <w:tr w14:paraId="53164247">
        <w:tblPrEx>
          <w:tblCellMar>
            <w:top w:w="0" w:type="dxa"/>
            <w:left w:w="57" w:type="dxa"/>
            <w:bottom w:w="0" w:type="dxa"/>
            <w:right w:w="57" w:type="dxa"/>
          </w:tblCellMar>
        </w:tblPrEx>
        <w:trPr>
          <w:gridBefore w:val="1"/>
          <w:wBefore w:w="2148" w:type="dxa"/>
          <w:trHeight w:val="20" w:hRule="atLeast"/>
        </w:trPr>
        <w:tc>
          <w:tcPr>
            <w:tcW w:w="1369" w:type="pct"/>
            <w:gridSpan w:val="2"/>
            <w:tcBorders>
              <w:top w:val="single" w:color="auto" w:sz="4" w:space="0"/>
              <w:left w:val="nil"/>
              <w:bottom w:val="nil"/>
              <w:right w:val="nil"/>
            </w:tcBorders>
            <w:shd w:val="clear" w:color="auto" w:fill="FFFFFF"/>
          </w:tcPr>
          <w:p w14:paraId="0952025F">
            <w:pPr>
              <w:snapToGrid w:val="0"/>
              <w:spacing w:after="0" w:line="240" w:lineRule="auto"/>
              <w:jc w:val="both"/>
              <w:rPr>
                <w:sz w:val="21"/>
              </w:rPr>
            </w:pPr>
            <w:r>
              <w:rPr>
                <w:rFonts w:hint="eastAsia"/>
                <w:b/>
                <w:color w:val="000000"/>
                <w:sz w:val="21"/>
              </w:rPr>
              <w:t>非临床研究</w:t>
            </w:r>
          </w:p>
        </w:tc>
        <w:tc>
          <w:tcPr>
            <w:tcW w:w="3631" w:type="pct"/>
            <w:gridSpan w:val="2"/>
            <w:tcBorders>
              <w:top w:val="single" w:color="auto" w:sz="4" w:space="0"/>
              <w:left w:val="nil"/>
              <w:bottom w:val="nil"/>
              <w:right w:val="nil"/>
            </w:tcBorders>
            <w:shd w:val="clear" w:color="auto" w:fill="FFFFFF"/>
          </w:tcPr>
          <w:p w14:paraId="13D5CAD9">
            <w:pPr>
              <w:snapToGrid w:val="0"/>
              <w:spacing w:after="0" w:line="240" w:lineRule="auto"/>
              <w:jc w:val="both"/>
              <w:rPr>
                <w:sz w:val="21"/>
                <w:lang w:eastAsia="zh-CN"/>
              </w:rPr>
            </w:pPr>
            <w:r>
              <w:rPr>
                <w:rFonts w:hint="eastAsia"/>
                <w:color w:val="000000"/>
                <w:sz w:val="21"/>
                <w:lang w:eastAsia="zh-CN"/>
              </w:rPr>
              <w:t>涉及在试验台或实验室环境下进行试验的研究（例如，磨损试验、疲劳试验）。</w:t>
            </w:r>
          </w:p>
        </w:tc>
      </w:tr>
      <w:tr w14:paraId="063B117C">
        <w:tblPrEx>
          <w:tblCellMar>
            <w:top w:w="0" w:type="dxa"/>
            <w:left w:w="57" w:type="dxa"/>
            <w:bottom w:w="0" w:type="dxa"/>
            <w:right w:w="57" w:type="dxa"/>
          </w:tblCellMar>
        </w:tblPrEx>
        <w:trPr>
          <w:gridBefore w:val="1"/>
          <w:wBefore w:w="2148" w:type="dxa"/>
          <w:trHeight w:val="20" w:hRule="atLeast"/>
        </w:trPr>
        <w:tc>
          <w:tcPr>
            <w:tcW w:w="1369" w:type="pct"/>
            <w:gridSpan w:val="2"/>
            <w:tcBorders>
              <w:top w:val="single" w:color="auto" w:sz="4" w:space="0"/>
              <w:left w:val="nil"/>
              <w:bottom w:val="single" w:color="auto" w:sz="4" w:space="0"/>
              <w:right w:val="nil"/>
            </w:tcBorders>
            <w:shd w:val="clear" w:color="auto" w:fill="FFFFFF"/>
          </w:tcPr>
          <w:p w14:paraId="30DF35A2">
            <w:pPr>
              <w:snapToGrid w:val="0"/>
              <w:spacing w:after="0" w:line="240" w:lineRule="auto"/>
              <w:jc w:val="both"/>
              <w:rPr>
                <w:sz w:val="21"/>
              </w:rPr>
            </w:pPr>
            <w:r>
              <w:rPr>
                <w:rFonts w:hint="eastAsia"/>
                <w:b/>
                <w:color w:val="000000"/>
                <w:sz w:val="21"/>
              </w:rPr>
              <w:t>动物研究</w:t>
            </w:r>
            <w:r>
              <w:rPr>
                <w:rStyle w:val="17"/>
                <w:snapToGrid w:val="0"/>
                <w:color w:val="000000"/>
                <w:sz w:val="21"/>
                <w:szCs w:val="21"/>
                <w:lang w:eastAsia="zh-CN"/>
              </w:rPr>
              <w:footnoteReference w:id="35"/>
            </w:r>
          </w:p>
        </w:tc>
        <w:tc>
          <w:tcPr>
            <w:tcW w:w="3631" w:type="pct"/>
            <w:gridSpan w:val="2"/>
            <w:tcBorders>
              <w:top w:val="single" w:color="auto" w:sz="4" w:space="0"/>
              <w:left w:val="nil"/>
              <w:bottom w:val="single" w:color="auto" w:sz="4" w:space="0"/>
              <w:right w:val="nil"/>
            </w:tcBorders>
            <w:shd w:val="clear" w:color="auto" w:fill="FFFFFF"/>
          </w:tcPr>
          <w:p w14:paraId="22EBEA5F">
            <w:pPr>
              <w:snapToGrid w:val="0"/>
              <w:spacing w:after="0" w:line="240" w:lineRule="auto"/>
              <w:jc w:val="both"/>
              <w:rPr>
                <w:sz w:val="21"/>
                <w:lang w:eastAsia="zh-CN"/>
              </w:rPr>
            </w:pPr>
            <w:r>
              <w:rPr>
                <w:rFonts w:hint="eastAsia"/>
                <w:color w:val="000000"/>
                <w:sz w:val="21"/>
                <w:lang w:eastAsia="zh-CN"/>
              </w:rPr>
              <w:t>涉及动物试验的研究（例如，植入动物体内的器械或材料）。</w:t>
            </w:r>
          </w:p>
        </w:tc>
      </w:tr>
      <w:tr w14:paraId="189B3D90">
        <w:tblPrEx>
          <w:tblCellMar>
            <w:top w:w="0" w:type="dxa"/>
            <w:left w:w="57" w:type="dxa"/>
            <w:bottom w:w="0" w:type="dxa"/>
            <w:right w:w="57" w:type="dxa"/>
          </w:tblCellMar>
        </w:tblPrEx>
        <w:trPr>
          <w:gridBefore w:val="1"/>
          <w:wBefore w:w="2148" w:type="dxa"/>
          <w:trHeight w:val="20" w:hRule="atLeast"/>
        </w:trPr>
        <w:tc>
          <w:tcPr>
            <w:tcW w:w="1369" w:type="pct"/>
            <w:gridSpan w:val="2"/>
            <w:tcBorders>
              <w:top w:val="single" w:color="auto" w:sz="4" w:space="0"/>
              <w:left w:val="nil"/>
              <w:bottom w:val="single" w:color="auto" w:sz="4" w:space="0"/>
              <w:right w:val="nil"/>
            </w:tcBorders>
            <w:shd w:val="clear" w:color="auto" w:fill="FFFFFF"/>
          </w:tcPr>
          <w:p w14:paraId="25D58E05">
            <w:pPr>
              <w:pageBreakBefore/>
              <w:snapToGrid w:val="0"/>
              <w:spacing w:after="0" w:line="240" w:lineRule="auto"/>
              <w:jc w:val="both"/>
              <w:rPr>
                <w:b/>
                <w:color w:val="000000"/>
                <w:sz w:val="21"/>
              </w:rPr>
            </w:pPr>
            <w:r>
              <w:rPr>
                <w:rFonts w:hint="eastAsia"/>
                <w:b/>
                <w:color w:val="000000"/>
                <w:sz w:val="21"/>
              </w:rPr>
              <w:t>其他设计</w:t>
            </w:r>
          </w:p>
        </w:tc>
        <w:tc>
          <w:tcPr>
            <w:tcW w:w="3631" w:type="pct"/>
            <w:gridSpan w:val="2"/>
            <w:tcBorders>
              <w:top w:val="single" w:color="auto" w:sz="4" w:space="0"/>
              <w:left w:val="nil"/>
              <w:bottom w:val="single" w:color="auto" w:sz="4" w:space="0"/>
              <w:right w:val="nil"/>
            </w:tcBorders>
            <w:shd w:val="clear" w:color="auto" w:fill="FFFFFF"/>
          </w:tcPr>
          <w:p w14:paraId="0ED46FDC">
            <w:pPr>
              <w:snapToGrid w:val="0"/>
              <w:spacing w:after="0" w:line="240" w:lineRule="auto"/>
              <w:jc w:val="both"/>
              <w:rPr>
                <w:color w:val="000000"/>
                <w:sz w:val="21"/>
                <w:lang w:eastAsia="zh-CN"/>
              </w:rPr>
            </w:pPr>
            <w:r>
              <w:rPr>
                <w:rFonts w:hint="eastAsia"/>
                <w:color w:val="000000"/>
                <w:sz w:val="21"/>
                <w:lang w:eastAsia="zh-CN"/>
              </w:rPr>
              <w:t>不适合其他类别的监督方法。</w:t>
            </w:r>
          </w:p>
        </w:tc>
      </w:tr>
    </w:tbl>
    <w:p w14:paraId="03189D42">
      <w:pPr>
        <w:snapToGrid w:val="0"/>
        <w:spacing w:after="0" w:line="240" w:lineRule="auto"/>
        <w:jc w:val="both"/>
        <w:rPr>
          <w:lang w:eastAsia="zh-CN"/>
        </w:rPr>
      </w:pPr>
    </w:p>
    <w:p w14:paraId="5D0D28ED">
      <w:pPr>
        <w:pStyle w:val="2"/>
        <w:numPr>
          <w:ilvl w:val="0"/>
          <w:numId w:val="1"/>
        </w:numPr>
        <w:snapToGrid w:val="0"/>
        <w:spacing w:before="0" w:beforeLines="0" w:line="240" w:lineRule="auto"/>
        <w:ind w:left="562" w:hanging="562" w:firstLineChars="0"/>
        <w:rPr>
          <w:rFonts w:eastAsia="宋体"/>
          <w:sz w:val="28"/>
          <w:lang w:eastAsia="zh-CN"/>
        </w:rPr>
      </w:pPr>
      <w:bookmarkStart w:id="26" w:name="_Toc91249661"/>
      <w:bookmarkStart w:id="27" w:name="_Toc97546993"/>
      <w:r>
        <w:rPr>
          <w:rFonts w:hint="eastAsia" w:eastAsia="宋体"/>
          <w:sz w:val="28"/>
          <w:lang w:eastAsia="zh-CN"/>
        </w:rPr>
        <w:t>提交上市后监督报告</w:t>
      </w:r>
      <w:bookmarkEnd w:id="26"/>
      <w:r>
        <w:rPr>
          <w:rFonts w:hint="eastAsia" w:eastAsia="宋体"/>
          <w:sz w:val="28"/>
          <w:lang w:eastAsia="zh-CN"/>
        </w:rPr>
        <w:t>的时间和方式</w:t>
      </w:r>
      <w:bookmarkEnd w:id="27"/>
    </w:p>
    <w:p w14:paraId="6C6E3AFA">
      <w:pPr>
        <w:snapToGrid w:val="0"/>
        <w:spacing w:after="0" w:line="240" w:lineRule="auto"/>
        <w:ind w:left="240" w:leftChars="100" w:firstLine="480" w:firstLineChars="200"/>
        <w:jc w:val="both"/>
        <w:rPr>
          <w:lang w:eastAsia="zh-CN"/>
        </w:rPr>
      </w:pPr>
      <w:r>
        <w:rPr>
          <w:rFonts w:hint="eastAsia"/>
          <w:lang w:eastAsia="zh-CN"/>
        </w:rPr>
        <w:t>根据</w:t>
      </w:r>
      <w:r>
        <w:rPr>
          <w:snapToGrid w:val="0"/>
          <w:szCs w:val="24"/>
          <w:lang w:eastAsia="zh-CN"/>
        </w:rPr>
        <w:t>《美国联邦法规》第21篇第822</w:t>
      </w:r>
      <w:r>
        <w:rPr>
          <w:lang w:eastAsia="zh-CN"/>
        </w:rPr>
        <w:t>.38</w:t>
      </w:r>
      <w:r>
        <w:rPr>
          <w:snapToGrid w:val="0"/>
          <w:szCs w:val="24"/>
          <w:lang w:eastAsia="zh-CN"/>
        </w:rPr>
        <w:t>节</w:t>
      </w:r>
      <w:r>
        <w:rPr>
          <w:rFonts w:hint="eastAsia"/>
          <w:lang w:eastAsia="zh-CN"/>
        </w:rPr>
        <w:t>，制造商必须按照经批准上市后监督计划的规定提交中期和最终报告。</w:t>
      </w:r>
      <w:r>
        <w:rPr>
          <w:lang w:eastAsia="zh-CN"/>
        </w:rPr>
        <w:t>522</w:t>
      </w:r>
      <w:r>
        <w:rPr>
          <w:rFonts w:hint="eastAsia"/>
          <w:lang w:eastAsia="zh-CN"/>
        </w:rPr>
        <w:t>指令可以包括报告的时间安排。</w:t>
      </w:r>
      <w:r>
        <w:rPr>
          <w:lang w:eastAsia="zh-CN"/>
        </w:rPr>
        <w:t>FDA</w:t>
      </w:r>
      <w:r>
        <w:rPr>
          <w:rFonts w:hint="eastAsia"/>
          <w:lang w:eastAsia="zh-CN"/>
        </w:rPr>
        <w:t>建议提交两类中期报告，即，</w:t>
      </w:r>
      <w:r>
        <w:rPr>
          <w:rFonts w:ascii="宋体" w:hAnsi="宋体"/>
          <w:lang w:eastAsia="zh-CN"/>
        </w:rPr>
        <w:t>“</w:t>
      </w:r>
      <w:r>
        <w:rPr>
          <w:rFonts w:hint="eastAsia"/>
          <w:lang w:eastAsia="zh-CN"/>
        </w:rPr>
        <w:t>入组报告</w:t>
      </w:r>
      <w:r>
        <w:rPr>
          <w:rFonts w:ascii="宋体" w:hAnsi="宋体"/>
          <w:lang w:eastAsia="zh-CN"/>
        </w:rPr>
        <w:t>”</w:t>
      </w:r>
      <w:r>
        <w:rPr>
          <w:rFonts w:hint="eastAsia"/>
          <w:lang w:eastAsia="zh-CN"/>
        </w:rPr>
        <w:t>和</w:t>
      </w:r>
      <w:r>
        <w:rPr>
          <w:rFonts w:ascii="宋体" w:hAnsi="宋体"/>
          <w:lang w:eastAsia="zh-CN"/>
        </w:rPr>
        <w:t>“</w:t>
      </w:r>
      <w:r>
        <w:rPr>
          <w:rFonts w:hint="eastAsia"/>
          <w:lang w:eastAsia="zh-CN"/>
        </w:rPr>
        <w:t>中期上市后监督状态报告</w:t>
      </w:r>
      <w:r>
        <w:rPr>
          <w:rFonts w:ascii="宋体" w:hAnsi="宋体"/>
          <w:lang w:eastAsia="zh-CN"/>
        </w:rPr>
        <w:t>”</w:t>
      </w:r>
      <w:r>
        <w:rPr>
          <w:rFonts w:hint="eastAsia"/>
          <w:lang w:eastAsia="zh-CN"/>
        </w:rPr>
        <w:t>。入组报告提供实现监督计划中概述的入组时间节点的进展情况。对于入组报告，时间安排可以基于入组时间节点的预期完成日期。中期上市后监督状态报告包括受试者人数和器械性能数据。在某些情况下，提交入组报告的时间可能与中期市场后监督状态报告的时间一致。</w:t>
      </w:r>
      <w:r>
        <w:rPr>
          <w:snapToGrid w:val="0"/>
          <w:szCs w:val="24"/>
          <w:lang w:eastAsia="zh-CN"/>
        </w:rPr>
        <w:t>在此种</w:t>
      </w:r>
      <w:r>
        <w:rPr>
          <w:rFonts w:hint="eastAsia"/>
          <w:lang w:eastAsia="zh-CN"/>
        </w:rPr>
        <w:t>情况下，制造商可以提交一份报告，标记为</w:t>
      </w:r>
      <w:r>
        <w:rPr>
          <w:rFonts w:ascii="宋体" w:hAnsi="宋体"/>
          <w:lang w:eastAsia="zh-CN"/>
        </w:rPr>
        <w:t>“</w:t>
      </w:r>
      <w:r>
        <w:rPr>
          <w:rFonts w:hint="eastAsia"/>
          <w:lang w:eastAsia="zh-CN"/>
        </w:rPr>
        <w:t>入组和中期上市后监督状态报告</w:t>
      </w:r>
      <w:r>
        <w:rPr>
          <w:rFonts w:ascii="宋体" w:hAnsi="宋体"/>
          <w:lang w:eastAsia="zh-CN"/>
        </w:rPr>
        <w:t>”</w:t>
      </w:r>
      <w:r>
        <w:rPr>
          <w:rFonts w:hint="eastAsia"/>
          <w:lang w:eastAsia="zh-CN"/>
        </w:rPr>
        <w:t>。</w:t>
      </w:r>
    </w:p>
    <w:p w14:paraId="1EF63D4C">
      <w:pPr>
        <w:snapToGrid w:val="0"/>
        <w:spacing w:after="0" w:line="240" w:lineRule="auto"/>
        <w:ind w:left="240" w:leftChars="100" w:firstLine="480" w:firstLineChars="200"/>
        <w:jc w:val="both"/>
        <w:rPr>
          <w:snapToGrid w:val="0"/>
          <w:szCs w:val="24"/>
          <w:lang w:eastAsia="zh-CN"/>
        </w:rPr>
      </w:pPr>
    </w:p>
    <w:p w14:paraId="729BC87B">
      <w:pPr>
        <w:snapToGrid w:val="0"/>
        <w:spacing w:after="0" w:line="240" w:lineRule="auto"/>
        <w:ind w:left="240" w:leftChars="100" w:firstLine="480" w:firstLineChars="200"/>
        <w:jc w:val="both"/>
        <w:rPr>
          <w:lang w:eastAsia="zh-CN"/>
        </w:rPr>
      </w:pPr>
      <w:r>
        <w:rPr>
          <w:rFonts w:hint="eastAsia"/>
          <w:lang w:eastAsia="zh-CN"/>
        </w:rPr>
        <w:t>最终上市后监督报告是已完成或终止的上市后监督要求的书面报告。</w:t>
      </w:r>
    </w:p>
    <w:p w14:paraId="0927B82F">
      <w:pPr>
        <w:snapToGrid w:val="0"/>
        <w:spacing w:after="0" w:line="240" w:lineRule="auto"/>
        <w:ind w:left="240" w:leftChars="100" w:firstLine="480" w:firstLineChars="200"/>
        <w:jc w:val="both"/>
        <w:rPr>
          <w:snapToGrid w:val="0"/>
          <w:szCs w:val="24"/>
          <w:lang w:eastAsia="zh-CN"/>
        </w:rPr>
      </w:pPr>
    </w:p>
    <w:p w14:paraId="17CE397F">
      <w:pPr>
        <w:snapToGrid w:val="0"/>
        <w:spacing w:after="0" w:line="240" w:lineRule="auto"/>
        <w:ind w:left="240" w:leftChars="100" w:firstLine="480" w:firstLineChars="200"/>
        <w:jc w:val="both"/>
        <w:rPr>
          <w:snapToGrid w:val="0"/>
          <w:szCs w:val="24"/>
          <w:lang w:eastAsia="zh-CN"/>
        </w:rPr>
      </w:pPr>
      <w:r>
        <w:rPr>
          <w:rFonts w:hint="eastAsia"/>
          <w:lang w:eastAsia="zh-CN"/>
        </w:rPr>
        <w:t>除非</w:t>
      </w:r>
      <w:r>
        <w:rPr>
          <w:lang w:eastAsia="zh-CN"/>
        </w:rPr>
        <w:t>522</w:t>
      </w:r>
      <w:r>
        <w:rPr>
          <w:rFonts w:hint="eastAsia"/>
          <w:lang w:eastAsia="zh-CN"/>
        </w:rPr>
        <w:t>指令中另有规定，对于每项上市后监督要求，制造商应在上市后监督的前</w:t>
      </w:r>
      <w:r>
        <w:rPr>
          <w:lang w:eastAsia="zh-CN"/>
        </w:rPr>
        <w:t>2</w:t>
      </w:r>
      <w:r>
        <w:rPr>
          <w:rFonts w:hint="eastAsia"/>
          <w:lang w:eastAsia="zh-CN"/>
        </w:rPr>
        <w:t>年内每</w:t>
      </w:r>
      <w:r>
        <w:rPr>
          <w:lang w:eastAsia="zh-CN"/>
        </w:rPr>
        <w:t>6</w:t>
      </w:r>
      <w:r>
        <w:rPr>
          <w:rFonts w:hint="eastAsia"/>
          <w:lang w:eastAsia="zh-CN"/>
        </w:rPr>
        <w:t>个月提交一份中期上市后监督状态报告，此后每年提交一份。自</w:t>
      </w:r>
      <w:r>
        <w:rPr>
          <w:lang w:eastAsia="zh-CN"/>
        </w:rPr>
        <w:t>522</w:t>
      </w:r>
      <w:r>
        <w:rPr>
          <w:rFonts w:hint="eastAsia"/>
          <w:lang w:eastAsia="zh-CN"/>
        </w:rPr>
        <w:t>上市后监督计划批准之日或其他约定的开始日期起，针对每项独特要求单独进行。制造商应针对每项独特要求继续执行该报告计划，直到提交最终的上市后监督报告。根据</w:t>
      </w:r>
      <w:r>
        <w:rPr>
          <w:lang w:eastAsia="zh-CN"/>
        </w:rPr>
        <w:t>522</w:t>
      </w:r>
      <w:r>
        <w:rPr>
          <w:rFonts w:hint="eastAsia"/>
          <w:lang w:eastAsia="zh-CN"/>
        </w:rPr>
        <w:t>指令，针对特定的上市后监督要求，最终的上市后监督报告必须在研究</w:t>
      </w:r>
      <w:r>
        <w:rPr>
          <w:lang w:eastAsia="zh-CN"/>
        </w:rPr>
        <w:t>/</w:t>
      </w:r>
      <w:r>
        <w:rPr>
          <w:rFonts w:hint="eastAsia"/>
          <w:lang w:eastAsia="zh-CN"/>
        </w:rPr>
        <w:t>监督完成后三个月内提交，</w:t>
      </w:r>
      <w:r>
        <w:rPr>
          <w:lang w:eastAsia="zh-CN"/>
        </w:rPr>
        <w:t>FDA</w:t>
      </w:r>
      <w:r>
        <w:rPr>
          <w:rFonts w:hint="eastAsia"/>
          <w:lang w:eastAsia="zh-CN"/>
        </w:rPr>
        <w:t>认为这在监督期间收集最后一个数据点时发生（例如，当最后一例受试者完成最后一次随访时）。</w:t>
      </w:r>
      <w:r>
        <w:rPr>
          <w:rStyle w:val="17"/>
          <w:snapToGrid w:val="0"/>
          <w:szCs w:val="24"/>
          <w:lang w:eastAsia="zh-CN"/>
        </w:rPr>
        <w:footnoteReference w:id="36"/>
      </w:r>
    </w:p>
    <w:p w14:paraId="7B7D190E">
      <w:pPr>
        <w:snapToGrid w:val="0"/>
        <w:spacing w:after="0" w:line="240" w:lineRule="auto"/>
        <w:ind w:left="240" w:leftChars="100" w:firstLine="480" w:firstLineChars="200"/>
        <w:jc w:val="both"/>
        <w:rPr>
          <w:lang w:eastAsia="zh-CN"/>
        </w:rPr>
      </w:pPr>
    </w:p>
    <w:p w14:paraId="73CD194D">
      <w:pPr>
        <w:snapToGrid w:val="0"/>
        <w:spacing w:after="0" w:line="240" w:lineRule="auto"/>
        <w:ind w:left="240" w:leftChars="100" w:firstLine="480" w:firstLineChars="200"/>
        <w:jc w:val="both"/>
        <w:rPr>
          <w:lang w:eastAsia="zh-CN"/>
        </w:rPr>
      </w:pPr>
      <w:r>
        <w:rPr>
          <w:rFonts w:hint="eastAsia"/>
          <w:lang w:eastAsia="zh-CN"/>
        </w:rPr>
        <w:t>为确保适当审查，制造商应在报告封面上以</w:t>
      </w:r>
      <w:r>
        <w:rPr>
          <w:rFonts w:hint="eastAsia"/>
          <w:b/>
          <w:lang w:eastAsia="zh-CN"/>
        </w:rPr>
        <w:t>粗体</w:t>
      </w:r>
      <w:r>
        <w:rPr>
          <w:rFonts w:hint="eastAsia"/>
          <w:lang w:eastAsia="zh-CN"/>
        </w:rPr>
        <w:t>字母标明报告类型和时间跨度（例如，</w:t>
      </w:r>
      <w:r>
        <w:rPr>
          <w:rFonts w:hint="eastAsia"/>
          <w:b/>
          <w:lang w:eastAsia="zh-CN"/>
        </w:rPr>
        <w:t>入组报告、</w:t>
      </w:r>
      <w:r>
        <w:rPr>
          <w:b/>
          <w:lang w:eastAsia="zh-CN"/>
        </w:rPr>
        <w:t>6</w:t>
      </w:r>
      <w:r>
        <w:rPr>
          <w:rFonts w:hint="eastAsia"/>
          <w:b/>
          <w:lang w:eastAsia="zh-CN"/>
        </w:rPr>
        <w:t>个月中期上市后监督状态报告、</w:t>
      </w:r>
      <w:r>
        <w:rPr>
          <w:b/>
          <w:lang w:eastAsia="zh-CN"/>
        </w:rPr>
        <w:t>12</w:t>
      </w:r>
      <w:r>
        <w:rPr>
          <w:rFonts w:hint="eastAsia"/>
          <w:b/>
          <w:lang w:eastAsia="zh-CN"/>
        </w:rPr>
        <w:t>个月中期上市后监督状态报告、最终上市后监督报告</w:t>
      </w:r>
      <w:r>
        <w:rPr>
          <w:rFonts w:hint="eastAsia"/>
          <w:lang w:eastAsia="zh-CN"/>
        </w:rPr>
        <w:t>）。对于最终报告，</w:t>
      </w:r>
      <w:r>
        <w:rPr>
          <w:lang w:eastAsia="zh-CN"/>
        </w:rPr>
        <w:t>FDA</w:t>
      </w:r>
      <w:r>
        <w:rPr>
          <w:rFonts w:hint="eastAsia"/>
          <w:lang w:eastAsia="zh-CN"/>
        </w:rPr>
        <w:t>还建议制造商明确说明提交报告的上市后监督要求（即公共卫生问题）。</w:t>
      </w:r>
    </w:p>
    <w:p w14:paraId="3980CF7A">
      <w:pPr>
        <w:snapToGrid w:val="0"/>
        <w:spacing w:after="0" w:line="240" w:lineRule="auto"/>
        <w:jc w:val="both"/>
        <w:rPr>
          <w:lang w:eastAsia="zh-CN"/>
        </w:rPr>
      </w:pPr>
      <w:r>
        <w:rPr>
          <w:lang w:eastAsia="zh-CN"/>
        </w:rPr>
        <w:br w:type="page"/>
      </w:r>
    </w:p>
    <w:p w14:paraId="425C0F22">
      <w:pPr>
        <w:snapToGrid w:val="0"/>
        <w:spacing w:after="0" w:line="240" w:lineRule="auto"/>
        <w:ind w:left="240" w:leftChars="100" w:firstLine="480" w:firstLineChars="200"/>
        <w:jc w:val="both"/>
        <w:rPr>
          <w:lang w:eastAsia="zh-CN"/>
        </w:rPr>
      </w:pPr>
      <w:r>
        <w:rPr>
          <w:rFonts w:hint="eastAsia"/>
          <w:lang w:eastAsia="zh-CN"/>
        </w:rPr>
        <w:t>第</w:t>
      </w:r>
      <w:r>
        <w:rPr>
          <w:lang w:eastAsia="zh-CN"/>
        </w:rPr>
        <w:t>522</w:t>
      </w:r>
      <w:r>
        <w:rPr>
          <w:rFonts w:hint="eastAsia"/>
          <w:lang w:eastAsia="zh-CN"/>
        </w:rPr>
        <w:t>节不受《</w:t>
      </w:r>
      <w:r>
        <w:rPr>
          <w:lang w:eastAsia="zh-CN"/>
        </w:rPr>
        <w:t>FD&amp;C</w:t>
      </w:r>
      <w:r>
        <w:rPr>
          <w:rFonts w:hint="eastAsia"/>
          <w:lang w:eastAsia="zh-CN"/>
        </w:rPr>
        <w:t>法案》</w:t>
      </w:r>
      <w:r>
        <w:rPr>
          <w:lang w:eastAsia="zh-CN"/>
        </w:rPr>
        <w:t>[</w:t>
      </w:r>
      <w:r>
        <w:rPr>
          <w:snapToGrid w:val="0"/>
          <w:szCs w:val="24"/>
          <w:lang w:eastAsia="zh-CN"/>
        </w:rPr>
        <w:t>《美国法典》第21篇第379k-1(b)节]</w:t>
      </w:r>
      <w:r>
        <w:rPr>
          <w:rFonts w:hint="eastAsia"/>
          <w:lang w:eastAsia="zh-CN"/>
        </w:rPr>
        <w:t>第</w:t>
      </w:r>
      <w:r>
        <w:rPr>
          <w:lang w:eastAsia="zh-CN"/>
        </w:rPr>
        <w:t>745A(b)</w:t>
      </w:r>
      <w:r>
        <w:rPr>
          <w:snapToGrid w:val="0"/>
          <w:szCs w:val="24"/>
          <w:lang w:eastAsia="zh-CN"/>
        </w:rPr>
        <w:t>节有关电子副本</w:t>
      </w:r>
      <w:r>
        <w:rPr>
          <w:rFonts w:hint="eastAsia"/>
          <w:lang w:eastAsia="zh-CN"/>
        </w:rPr>
        <w:t>（</w:t>
      </w:r>
      <w:r>
        <w:rPr>
          <w:lang w:eastAsia="zh-CN"/>
        </w:rPr>
        <w:t>eCopy</w:t>
      </w:r>
      <w:r>
        <w:rPr>
          <w:rFonts w:hint="eastAsia"/>
          <w:lang w:eastAsia="zh-CN"/>
        </w:rPr>
        <w:t>）要求的约束。但是，建议提交所有上市后监督计划的电子副本。如果选择提交电子副本，电子副本应随附已签署的说明信的一份纸质副本，并应发送至网站上显示的当前地址</w:t>
      </w:r>
      <w:r>
        <w:rPr>
          <w:snapToGrid w:val="0"/>
          <w:szCs w:val="24"/>
          <w:lang w:eastAsia="zh-CN"/>
        </w:rPr>
        <w:fldChar w:fldCharType="begin"/>
      </w:r>
      <w:r>
        <w:rPr>
          <w:snapToGrid w:val="0"/>
          <w:szCs w:val="24"/>
          <w:lang w:eastAsia="zh-CN"/>
        </w:rPr>
        <w:instrText xml:space="preserve"> HYPERLINK "http://www.fda.gov/cdrhsubmissionaddress" \h </w:instrText>
      </w:r>
      <w:r>
        <w:rPr>
          <w:snapToGrid w:val="0"/>
          <w:szCs w:val="24"/>
          <w:lang w:eastAsia="zh-CN"/>
        </w:rPr>
        <w:fldChar w:fldCharType="separate"/>
      </w:r>
      <w:r>
        <w:rPr>
          <w:color w:val="0000FF"/>
          <w:u w:val="single" w:color="0000FF"/>
          <w:lang w:eastAsia="zh-CN"/>
        </w:rPr>
        <w:t>http://www.fda.gov/cdrhsubmissionaddress</w:t>
      </w:r>
      <w:r>
        <w:rPr>
          <w:color w:val="0000FF"/>
          <w:u w:val="single" w:color="0000FF"/>
        </w:rPr>
        <w:fldChar w:fldCharType="end"/>
      </w:r>
      <w:r>
        <w:rPr>
          <w:rFonts w:hint="eastAsia"/>
          <w:lang w:eastAsia="zh-CN"/>
        </w:rPr>
        <w:t>。</w:t>
      </w:r>
      <w:r>
        <w:rPr>
          <w:rFonts w:hint="eastAsia"/>
          <w:color w:val="000000"/>
          <w:lang w:eastAsia="zh-CN"/>
        </w:rPr>
        <w:t>有关电子副本计划</w:t>
      </w:r>
      <w:r>
        <w:rPr>
          <w:rStyle w:val="17"/>
          <w:snapToGrid w:val="0"/>
          <w:color w:val="000000"/>
          <w:szCs w:val="24"/>
          <w:lang w:eastAsia="zh-CN"/>
        </w:rPr>
        <w:footnoteReference w:id="37"/>
      </w:r>
      <w:r>
        <w:rPr>
          <w:rFonts w:hint="eastAsia"/>
          <w:color w:val="000000"/>
          <w:lang w:eastAsia="zh-CN"/>
        </w:rPr>
        <w:t>的</w:t>
      </w:r>
      <w:r>
        <w:rPr>
          <w:snapToGrid w:val="0"/>
          <w:color w:val="000000"/>
          <w:szCs w:val="24"/>
          <w:lang w:eastAsia="zh-CN"/>
        </w:rPr>
        <w:t>详细</w:t>
      </w:r>
      <w:r>
        <w:rPr>
          <w:rFonts w:hint="eastAsia"/>
          <w:color w:val="000000"/>
          <w:lang w:eastAsia="zh-CN"/>
        </w:rPr>
        <w:t>信息，请参阅</w:t>
      </w:r>
      <w:r>
        <w:rPr>
          <w:color w:val="000000"/>
          <w:lang w:eastAsia="zh-CN"/>
        </w:rPr>
        <w:t>FDA</w:t>
      </w:r>
      <w:r>
        <w:rPr>
          <w:rFonts w:hint="eastAsia"/>
          <w:color w:val="000000"/>
          <w:lang w:eastAsia="zh-CN"/>
        </w:rPr>
        <w:t>指南</w:t>
      </w:r>
      <w:r>
        <w:rPr>
          <w:rFonts w:hint="eastAsia"/>
          <w:lang w:eastAsia="zh-CN"/>
        </w:rPr>
        <w:t>《</w:t>
      </w:r>
      <w:r>
        <w:fldChar w:fldCharType="begin"/>
      </w:r>
      <w:r>
        <w:instrText xml:space="preserve"> HYPERLINK "https://www.fda.gov/regulatory-information/search-fda-guidance-documents/ecopy-program-medical-device-submissions" \h </w:instrText>
      </w:r>
      <w:r>
        <w:fldChar w:fldCharType="separate"/>
      </w:r>
      <w:r>
        <w:rPr>
          <w:rFonts w:hint="eastAsia"/>
          <w:color w:val="0000FF"/>
          <w:u w:val="single" w:color="0000FF"/>
          <w:lang w:eastAsia="zh-CN"/>
        </w:rPr>
        <w:t>医疗器械提交资料的电子副本计划</w:t>
      </w:r>
      <w:r>
        <w:rPr>
          <w:rFonts w:hint="eastAsia"/>
          <w:color w:val="0000FF"/>
          <w:u w:val="single" w:color="0000FF"/>
          <w:lang w:eastAsia="zh-CN"/>
        </w:rPr>
        <w:fldChar w:fldCharType="end"/>
      </w:r>
      <w:r>
        <w:rPr>
          <w:rFonts w:hint="eastAsia"/>
          <w:lang w:eastAsia="zh-CN"/>
        </w:rPr>
        <w:t>》。</w:t>
      </w:r>
    </w:p>
    <w:p w14:paraId="11B44E89">
      <w:pPr>
        <w:snapToGrid w:val="0"/>
        <w:spacing w:after="0" w:line="240" w:lineRule="auto"/>
        <w:ind w:left="240" w:leftChars="100" w:firstLine="480"/>
        <w:jc w:val="both"/>
        <w:rPr>
          <w:lang w:eastAsia="zh-CN"/>
        </w:rPr>
      </w:pPr>
    </w:p>
    <w:p w14:paraId="0624838F">
      <w:pPr>
        <w:pStyle w:val="2"/>
        <w:numPr>
          <w:ilvl w:val="0"/>
          <w:numId w:val="1"/>
        </w:numPr>
        <w:snapToGrid w:val="0"/>
        <w:spacing w:before="0" w:beforeLines="0" w:line="240" w:lineRule="auto"/>
        <w:ind w:left="562" w:hanging="562" w:firstLineChars="0"/>
        <w:rPr>
          <w:rFonts w:eastAsia="宋体"/>
          <w:sz w:val="28"/>
          <w:lang w:eastAsia="zh-CN"/>
        </w:rPr>
      </w:pPr>
      <w:bookmarkStart w:id="28" w:name="_Toc97546994"/>
      <w:bookmarkStart w:id="29" w:name="_Toc91249662"/>
      <w:r>
        <w:rPr>
          <w:rFonts w:hint="eastAsia" w:eastAsia="宋体"/>
          <w:sz w:val="28"/>
          <w:lang w:eastAsia="zh-CN"/>
        </w:rPr>
        <w:t>上市后监督报告的内容及格式</w:t>
      </w:r>
      <w:bookmarkEnd w:id="28"/>
      <w:bookmarkEnd w:id="29"/>
    </w:p>
    <w:p w14:paraId="55C9885F">
      <w:pPr>
        <w:snapToGrid w:val="0"/>
        <w:spacing w:after="0" w:line="240" w:lineRule="auto"/>
        <w:ind w:left="240" w:leftChars="100" w:firstLine="480" w:firstLineChars="200"/>
        <w:jc w:val="both"/>
        <w:rPr>
          <w:lang w:eastAsia="zh-CN"/>
        </w:rPr>
      </w:pPr>
      <w:r>
        <w:rPr>
          <w:lang w:eastAsia="zh-CN"/>
        </w:rPr>
        <w:t>FDA</w:t>
      </w:r>
      <w:r>
        <w:rPr>
          <w:rFonts w:hint="eastAsia"/>
          <w:lang w:eastAsia="zh-CN"/>
        </w:rPr>
        <w:t>充分跟踪和评估上市后监督的能力取决于所提供信息的质量和及时性。本节中的建议旨在帮助确保上市后监督报告包含足够的信息，以便本机构确定正在研究的器械、正在进行的特定上市后监督、上市后监督的状态，以及（如适用）任何延迟或未能完成上市后监督的原因。</w:t>
      </w:r>
    </w:p>
    <w:p w14:paraId="4C8C229B">
      <w:pPr>
        <w:snapToGrid w:val="0"/>
        <w:spacing w:after="0" w:line="240" w:lineRule="auto"/>
        <w:ind w:left="240" w:leftChars="100" w:firstLine="480" w:firstLineChars="200"/>
        <w:jc w:val="both"/>
        <w:rPr>
          <w:snapToGrid w:val="0"/>
          <w:szCs w:val="24"/>
          <w:lang w:eastAsia="zh-CN"/>
        </w:rPr>
      </w:pPr>
    </w:p>
    <w:p w14:paraId="7348CB1D">
      <w:pPr>
        <w:snapToGrid w:val="0"/>
        <w:spacing w:after="0" w:line="240" w:lineRule="auto"/>
        <w:ind w:left="240" w:leftChars="100" w:firstLine="480" w:firstLineChars="200"/>
        <w:jc w:val="both"/>
        <w:rPr>
          <w:lang w:eastAsia="zh-CN"/>
        </w:rPr>
      </w:pPr>
      <w:r>
        <w:rPr>
          <w:lang w:eastAsia="zh-CN"/>
        </w:rPr>
        <w:t>FDA</w:t>
      </w:r>
      <w:r>
        <w:rPr>
          <w:rFonts w:hint="eastAsia"/>
          <w:lang w:eastAsia="zh-CN"/>
        </w:rPr>
        <w:t>建议，上市后监督报告（中期和最终）应包括下列信息，并明确标识，并在单独章节中列出。所有报告均应包含下列数据，并按照上市后监督计划中的时间表提交。</w:t>
      </w:r>
    </w:p>
    <w:p w14:paraId="7D0BC6C2">
      <w:pPr>
        <w:snapToGrid w:val="0"/>
        <w:spacing w:after="0" w:line="240" w:lineRule="auto"/>
        <w:ind w:left="240" w:leftChars="100" w:firstLine="480" w:firstLineChars="200"/>
        <w:jc w:val="both"/>
        <w:rPr>
          <w:snapToGrid w:val="0"/>
          <w:szCs w:val="24"/>
          <w:lang w:eastAsia="zh-CN"/>
        </w:rPr>
      </w:pPr>
    </w:p>
    <w:p w14:paraId="54D6DC70">
      <w:pPr>
        <w:snapToGrid w:val="0"/>
        <w:spacing w:after="0" w:line="240" w:lineRule="auto"/>
        <w:ind w:left="240" w:leftChars="100" w:firstLine="480" w:firstLineChars="200"/>
        <w:jc w:val="both"/>
        <w:rPr>
          <w:snapToGrid w:val="0"/>
          <w:szCs w:val="24"/>
          <w:lang w:eastAsia="zh-CN"/>
        </w:rPr>
      </w:pPr>
    </w:p>
    <w:p w14:paraId="7F2DC959">
      <w:pPr>
        <w:pStyle w:val="3"/>
        <w:snapToGrid w:val="0"/>
        <w:spacing w:before="0" w:beforeLines="0" w:line="240" w:lineRule="auto"/>
        <w:ind w:left="1162" w:leftChars="250"/>
        <w:rPr>
          <w:rFonts w:eastAsia="宋体"/>
          <w:snapToGrid w:val="0"/>
          <w:szCs w:val="24"/>
          <w:lang w:eastAsia="zh-CN"/>
        </w:rPr>
      </w:pPr>
      <w:bookmarkStart w:id="30" w:name="_Toc97546995"/>
      <w:bookmarkStart w:id="31" w:name="_Toc91249663"/>
      <w:r>
        <w:rPr>
          <w:rFonts w:eastAsia="宋体"/>
          <w:snapToGrid w:val="0"/>
          <w:szCs w:val="24"/>
          <w:lang w:eastAsia="zh-CN"/>
        </w:rPr>
        <w:t>A.</w:t>
      </w:r>
      <w:r>
        <w:rPr>
          <w:rFonts w:eastAsia="宋体"/>
          <w:snapToGrid w:val="0"/>
          <w:szCs w:val="24"/>
          <w:lang w:eastAsia="zh-CN"/>
        </w:rPr>
        <w:tab/>
      </w:r>
      <w:r>
        <w:rPr>
          <w:rFonts w:eastAsia="宋体"/>
          <w:snapToGrid w:val="0"/>
          <w:szCs w:val="24"/>
          <w:lang w:eastAsia="zh-CN"/>
        </w:rPr>
        <w:t>一般信息</w:t>
      </w:r>
      <w:bookmarkEnd w:id="30"/>
      <w:bookmarkEnd w:id="31"/>
    </w:p>
    <w:p w14:paraId="050A529E">
      <w:pPr>
        <w:snapToGrid w:val="0"/>
        <w:spacing w:after="0" w:line="240" w:lineRule="auto"/>
        <w:ind w:left="240" w:leftChars="100"/>
        <w:jc w:val="both"/>
        <w:rPr>
          <w:lang w:eastAsia="zh-CN"/>
        </w:rPr>
      </w:pPr>
      <w:r>
        <w:rPr>
          <w:lang w:eastAsia="zh-CN"/>
        </w:rPr>
        <w:t>FDA</w:t>
      </w:r>
      <w:r>
        <w:rPr>
          <w:rFonts w:hint="eastAsia"/>
          <w:lang w:eastAsia="zh-CN"/>
        </w:rPr>
        <w:t>建议所有报告中应纳入一个章节</w:t>
      </w:r>
      <w:r>
        <w:rPr>
          <w:snapToGrid w:val="0"/>
          <w:szCs w:val="24"/>
          <w:lang w:eastAsia="zh-CN"/>
        </w:rPr>
        <w:t>并</w:t>
      </w:r>
      <w:r>
        <w:rPr>
          <w:rFonts w:hint="eastAsia"/>
          <w:lang w:eastAsia="zh-CN"/>
        </w:rPr>
        <w:t>包含以下基本信息：</w:t>
      </w:r>
    </w:p>
    <w:p w14:paraId="7D4F6C28">
      <w:pPr>
        <w:snapToGrid w:val="0"/>
        <w:spacing w:after="0" w:line="240" w:lineRule="auto"/>
        <w:ind w:left="240" w:leftChars="100"/>
        <w:jc w:val="both"/>
        <w:rPr>
          <w:snapToGrid w:val="0"/>
          <w:szCs w:val="24"/>
          <w:lang w:eastAsia="zh-CN"/>
        </w:rPr>
      </w:pPr>
    </w:p>
    <w:p w14:paraId="1E518B4F">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上市后监督跟踪号（即</w:t>
      </w:r>
      <w:r>
        <w:rPr>
          <w:lang w:eastAsia="zh-CN"/>
        </w:rPr>
        <w:t>PS######</w:t>
      </w:r>
      <w:r>
        <w:rPr>
          <w:rFonts w:hint="eastAsia"/>
          <w:lang w:eastAsia="zh-CN"/>
        </w:rPr>
        <w:t>）</w:t>
      </w:r>
    </w:p>
    <w:p w14:paraId="2FD5E3E7">
      <w:pPr>
        <w:pStyle w:val="24"/>
        <w:numPr>
          <w:ilvl w:val="0"/>
          <w:numId w:val="2"/>
        </w:numPr>
        <w:tabs>
          <w:tab w:val="left" w:pos="896"/>
        </w:tabs>
        <w:autoSpaceDE/>
        <w:autoSpaceDN/>
        <w:snapToGrid w:val="0"/>
        <w:jc w:val="both"/>
        <w:rPr>
          <w:lang w:eastAsia="zh-CN"/>
        </w:rPr>
      </w:pPr>
      <w:r>
        <w:rPr>
          <w:rFonts w:hint="eastAsia"/>
          <w:lang w:eastAsia="zh-CN"/>
        </w:rPr>
        <w:t>制造商名称和联系信息（持有批准的</w:t>
      </w:r>
      <w:r>
        <w:rPr>
          <w:lang w:eastAsia="zh-CN"/>
        </w:rPr>
        <w:t>PMA</w:t>
      </w:r>
      <w:r>
        <w:rPr>
          <w:rFonts w:hint="eastAsia"/>
          <w:lang w:eastAsia="zh-CN"/>
        </w:rPr>
        <w:t>或</w:t>
      </w:r>
      <w:r>
        <w:rPr>
          <w:lang w:eastAsia="zh-CN"/>
        </w:rPr>
        <w:t>HDE</w:t>
      </w:r>
      <w:r>
        <w:rPr>
          <w:rFonts w:hint="eastAsia"/>
          <w:lang w:eastAsia="zh-CN"/>
        </w:rPr>
        <w:t>、批准的</w:t>
      </w:r>
      <w:r>
        <w:rPr>
          <w:lang w:eastAsia="zh-CN"/>
        </w:rPr>
        <w:t>510(k)</w:t>
      </w:r>
      <w:r>
        <w:rPr>
          <w:rFonts w:hint="eastAsia"/>
          <w:lang w:eastAsia="zh-CN"/>
        </w:rPr>
        <w:t>或新指令的个人或实体的名称）：</w:t>
      </w:r>
    </w:p>
    <w:p w14:paraId="58EB7A00">
      <w:pPr>
        <w:pStyle w:val="24"/>
        <w:numPr>
          <w:ilvl w:val="0"/>
          <w:numId w:val="3"/>
        </w:numPr>
        <w:autoSpaceDE/>
        <w:autoSpaceDN/>
        <w:snapToGrid w:val="0"/>
        <w:ind w:left="1440" w:leftChars="600"/>
        <w:jc w:val="both"/>
      </w:pPr>
      <w:r>
        <w:rPr>
          <w:rFonts w:hint="eastAsia"/>
        </w:rPr>
        <w:t>公司名称</w:t>
      </w:r>
      <w:r>
        <w:t>/</w:t>
      </w:r>
      <w:r>
        <w:rPr>
          <w:rFonts w:hint="eastAsia"/>
        </w:rPr>
        <w:t>机构名称</w:t>
      </w:r>
    </w:p>
    <w:p w14:paraId="5D368F76">
      <w:pPr>
        <w:pStyle w:val="24"/>
        <w:numPr>
          <w:ilvl w:val="0"/>
          <w:numId w:val="3"/>
        </w:numPr>
        <w:autoSpaceDE/>
        <w:autoSpaceDN/>
        <w:snapToGrid w:val="0"/>
        <w:ind w:left="1440" w:leftChars="600"/>
        <w:jc w:val="both"/>
      </w:pPr>
      <w:r>
        <w:rPr>
          <w:rFonts w:hint="eastAsia"/>
        </w:rPr>
        <w:t>街道地址</w:t>
      </w:r>
    </w:p>
    <w:p w14:paraId="2ED70426">
      <w:pPr>
        <w:pStyle w:val="24"/>
        <w:numPr>
          <w:ilvl w:val="0"/>
          <w:numId w:val="3"/>
        </w:numPr>
        <w:autoSpaceDE/>
        <w:autoSpaceDN/>
        <w:snapToGrid w:val="0"/>
        <w:ind w:left="1440" w:leftChars="600"/>
        <w:jc w:val="both"/>
      </w:pPr>
      <w:r>
        <w:rPr>
          <w:rFonts w:hint="eastAsia"/>
        </w:rPr>
        <w:t>城市</w:t>
      </w:r>
    </w:p>
    <w:p w14:paraId="09C47D8A">
      <w:pPr>
        <w:pStyle w:val="24"/>
        <w:numPr>
          <w:ilvl w:val="0"/>
          <w:numId w:val="3"/>
        </w:numPr>
        <w:autoSpaceDE/>
        <w:autoSpaceDN/>
        <w:snapToGrid w:val="0"/>
        <w:ind w:left="1440" w:leftChars="600"/>
        <w:jc w:val="both"/>
      </w:pPr>
      <w:r>
        <w:rPr>
          <w:rFonts w:hint="eastAsia"/>
        </w:rPr>
        <w:t>省</w:t>
      </w:r>
      <w:r>
        <w:rPr>
          <w:snapToGrid w:val="0"/>
          <w:lang w:eastAsia="zh-CN"/>
        </w:rPr>
        <w:t>/直辖市/自治区</w:t>
      </w:r>
    </w:p>
    <w:p w14:paraId="635AC3FF">
      <w:pPr>
        <w:pStyle w:val="24"/>
        <w:numPr>
          <w:ilvl w:val="0"/>
          <w:numId w:val="3"/>
        </w:numPr>
        <w:autoSpaceDE/>
        <w:autoSpaceDN/>
        <w:snapToGrid w:val="0"/>
        <w:ind w:left="1440" w:leftChars="600"/>
        <w:jc w:val="both"/>
      </w:pPr>
      <w:r>
        <w:rPr>
          <w:rFonts w:hint="eastAsia"/>
        </w:rPr>
        <w:t>邮政编码</w:t>
      </w:r>
    </w:p>
    <w:p w14:paraId="30A5488B">
      <w:pPr>
        <w:pStyle w:val="24"/>
        <w:numPr>
          <w:ilvl w:val="0"/>
          <w:numId w:val="3"/>
        </w:numPr>
        <w:autoSpaceDE/>
        <w:autoSpaceDN/>
        <w:snapToGrid w:val="0"/>
        <w:ind w:left="1440" w:leftChars="600"/>
        <w:jc w:val="both"/>
      </w:pPr>
      <w:r>
        <w:rPr>
          <w:rFonts w:hint="eastAsia"/>
        </w:rPr>
        <w:t>电话（包括区号）</w:t>
      </w:r>
    </w:p>
    <w:p w14:paraId="2E1C15C9">
      <w:pPr>
        <w:pStyle w:val="24"/>
        <w:numPr>
          <w:ilvl w:val="0"/>
          <w:numId w:val="3"/>
        </w:numPr>
        <w:autoSpaceDE/>
        <w:autoSpaceDN/>
        <w:snapToGrid w:val="0"/>
        <w:ind w:left="1440" w:leftChars="600"/>
        <w:jc w:val="both"/>
      </w:pPr>
      <w:r>
        <w:rPr>
          <w:rFonts w:hint="eastAsia"/>
        </w:rPr>
        <w:t>联系人姓名</w:t>
      </w:r>
      <w:r>
        <w:t>/</w:t>
      </w:r>
      <w:r>
        <w:rPr>
          <w:rFonts w:hint="eastAsia"/>
        </w:rPr>
        <w:t>职务</w:t>
      </w:r>
    </w:p>
    <w:p w14:paraId="71B14918">
      <w:pPr>
        <w:pStyle w:val="24"/>
        <w:numPr>
          <w:ilvl w:val="0"/>
          <w:numId w:val="3"/>
        </w:numPr>
        <w:autoSpaceDE/>
        <w:autoSpaceDN/>
        <w:snapToGrid w:val="0"/>
        <w:ind w:left="1440" w:leftChars="600"/>
        <w:jc w:val="both"/>
      </w:pPr>
      <w:r>
        <w:rPr>
          <w:rFonts w:hint="eastAsia"/>
        </w:rPr>
        <w:t>联系人的电子邮箱</w:t>
      </w:r>
    </w:p>
    <w:p w14:paraId="49BAB825">
      <w:pPr>
        <w:snapToGrid w:val="0"/>
        <w:spacing w:after="0" w:line="240" w:lineRule="auto"/>
        <w:jc w:val="both"/>
      </w:pPr>
      <w:r>
        <w:br w:type="page"/>
      </w:r>
    </w:p>
    <w:p w14:paraId="657688D6">
      <w:pPr>
        <w:pStyle w:val="24"/>
        <w:numPr>
          <w:ilvl w:val="0"/>
          <w:numId w:val="2"/>
        </w:numPr>
        <w:tabs>
          <w:tab w:val="left" w:pos="896"/>
        </w:tabs>
        <w:autoSpaceDE/>
        <w:autoSpaceDN/>
        <w:snapToGrid w:val="0"/>
        <w:ind w:left="900" w:leftChars="200" w:hanging="420"/>
        <w:jc w:val="both"/>
      </w:pPr>
      <w:r>
        <w:t>522</w:t>
      </w:r>
      <w:r>
        <w:rPr>
          <w:rFonts w:hint="eastAsia"/>
        </w:rPr>
        <w:t>指令的发布日期</w:t>
      </w:r>
    </w:p>
    <w:p w14:paraId="4E5BE2DE">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上市后监督计划的批准日期、批准任何计划修订的日期（如适用）</w:t>
      </w:r>
    </w:p>
    <w:p w14:paraId="575707C5">
      <w:pPr>
        <w:pStyle w:val="24"/>
        <w:numPr>
          <w:ilvl w:val="0"/>
          <w:numId w:val="2"/>
        </w:numPr>
        <w:tabs>
          <w:tab w:val="left" w:pos="896"/>
        </w:tabs>
        <w:autoSpaceDE/>
        <w:autoSpaceDN/>
        <w:snapToGrid w:val="0"/>
        <w:ind w:left="938" w:leftChars="200" w:hanging="458" w:hangingChars="191"/>
        <w:jc w:val="both"/>
        <w:rPr>
          <w:lang w:eastAsia="zh-CN"/>
        </w:rPr>
      </w:pPr>
      <w:r>
        <w:rPr>
          <w:rFonts w:hint="eastAsia"/>
          <w:lang w:eastAsia="zh-CN"/>
        </w:rPr>
        <w:t>器械商品名，以</w:t>
      </w:r>
      <w:r>
        <w:rPr>
          <w:lang w:eastAsia="zh-CN"/>
        </w:rPr>
        <w:t>522</w:t>
      </w:r>
      <w:r>
        <w:rPr>
          <w:rFonts w:hint="eastAsia"/>
          <w:lang w:eastAsia="zh-CN"/>
        </w:rPr>
        <w:t>指令为准</w:t>
      </w:r>
    </w:p>
    <w:p w14:paraId="38AA84A7">
      <w:pPr>
        <w:pStyle w:val="24"/>
        <w:numPr>
          <w:ilvl w:val="0"/>
          <w:numId w:val="2"/>
        </w:numPr>
        <w:tabs>
          <w:tab w:val="left" w:pos="896"/>
        </w:tabs>
        <w:autoSpaceDE/>
        <w:autoSpaceDN/>
        <w:snapToGrid w:val="0"/>
        <w:ind w:left="938" w:leftChars="200" w:hanging="458" w:hangingChars="191"/>
        <w:jc w:val="both"/>
      </w:pPr>
      <w:r>
        <w:rPr>
          <w:rFonts w:hint="eastAsia"/>
        </w:rPr>
        <w:t>器械型号，以</w:t>
      </w:r>
      <w:r>
        <w:t>522</w:t>
      </w:r>
      <w:r>
        <w:rPr>
          <w:rFonts w:hint="eastAsia"/>
        </w:rPr>
        <w:t>指令为准</w:t>
      </w:r>
    </w:p>
    <w:p w14:paraId="65696555">
      <w:pPr>
        <w:pStyle w:val="24"/>
        <w:numPr>
          <w:ilvl w:val="0"/>
          <w:numId w:val="2"/>
        </w:numPr>
        <w:tabs>
          <w:tab w:val="left" w:pos="896"/>
        </w:tabs>
        <w:autoSpaceDE/>
        <w:autoSpaceDN/>
        <w:snapToGrid w:val="0"/>
        <w:ind w:left="900" w:leftChars="200" w:hanging="420"/>
        <w:jc w:val="both"/>
      </w:pPr>
      <w:r>
        <w:rPr>
          <w:rFonts w:hint="eastAsia"/>
        </w:rPr>
        <w:t>报告信息：</w:t>
      </w:r>
    </w:p>
    <w:p w14:paraId="77112C97">
      <w:pPr>
        <w:pStyle w:val="24"/>
        <w:numPr>
          <w:ilvl w:val="0"/>
          <w:numId w:val="3"/>
        </w:numPr>
        <w:autoSpaceDE/>
        <w:autoSpaceDN/>
        <w:snapToGrid w:val="0"/>
        <w:ind w:left="1440" w:leftChars="600"/>
        <w:jc w:val="both"/>
      </w:pPr>
      <w:r>
        <w:rPr>
          <w:rFonts w:hint="eastAsia"/>
        </w:rPr>
        <w:t>报告日期</w:t>
      </w:r>
    </w:p>
    <w:p w14:paraId="19E5EB4D">
      <w:pPr>
        <w:pStyle w:val="24"/>
        <w:numPr>
          <w:ilvl w:val="0"/>
          <w:numId w:val="3"/>
        </w:numPr>
        <w:autoSpaceDE/>
        <w:autoSpaceDN/>
        <w:snapToGrid w:val="0"/>
        <w:ind w:left="1440" w:leftChars="600"/>
        <w:jc w:val="both"/>
        <w:rPr>
          <w:lang w:eastAsia="zh-CN"/>
        </w:rPr>
      </w:pPr>
      <w:r>
        <w:rPr>
          <w:rFonts w:hint="eastAsia"/>
          <w:lang w:eastAsia="zh-CN"/>
        </w:rPr>
        <w:t>报告所含数据的描述，包括：</w:t>
      </w:r>
    </w:p>
    <w:p w14:paraId="3157934E">
      <w:pPr>
        <w:pStyle w:val="22"/>
        <w:numPr>
          <w:ilvl w:val="3"/>
          <w:numId w:val="4"/>
        </w:numPr>
        <w:tabs>
          <w:tab w:val="left" w:pos="1880"/>
        </w:tabs>
        <w:snapToGrid w:val="0"/>
        <w:spacing w:after="0" w:line="240" w:lineRule="auto"/>
        <w:ind w:left="2177" w:firstLineChars="0"/>
        <w:jc w:val="both"/>
      </w:pPr>
      <w:r>
        <w:rPr>
          <w:rFonts w:hint="eastAsia"/>
        </w:rPr>
        <w:t>入组数据</w:t>
      </w:r>
    </w:p>
    <w:p w14:paraId="3D9CCF33">
      <w:pPr>
        <w:pStyle w:val="22"/>
        <w:numPr>
          <w:ilvl w:val="3"/>
          <w:numId w:val="4"/>
        </w:numPr>
        <w:tabs>
          <w:tab w:val="left" w:pos="1880"/>
        </w:tabs>
        <w:snapToGrid w:val="0"/>
        <w:spacing w:after="0" w:line="240" w:lineRule="auto"/>
        <w:ind w:left="2177" w:firstLineChars="0"/>
        <w:jc w:val="both"/>
      </w:pPr>
      <w:r>
        <w:rPr>
          <w:rFonts w:hint="eastAsia"/>
        </w:rPr>
        <w:t>临床研究数据</w:t>
      </w:r>
    </w:p>
    <w:p w14:paraId="42B4DF8C">
      <w:pPr>
        <w:pStyle w:val="22"/>
        <w:numPr>
          <w:ilvl w:val="3"/>
          <w:numId w:val="4"/>
        </w:numPr>
        <w:tabs>
          <w:tab w:val="left" w:pos="1880"/>
        </w:tabs>
        <w:snapToGrid w:val="0"/>
        <w:spacing w:after="0" w:line="240" w:lineRule="auto"/>
        <w:ind w:left="2177" w:firstLineChars="0"/>
        <w:jc w:val="both"/>
        <w:rPr>
          <w:lang w:eastAsia="zh-CN"/>
        </w:rPr>
      </w:pPr>
      <w:r>
        <w:rPr>
          <w:rFonts w:hint="eastAsia"/>
          <w:lang w:eastAsia="zh-CN"/>
        </w:rPr>
        <w:t>非临床数据（例如，试验台</w:t>
      </w:r>
      <w:r>
        <w:rPr>
          <w:lang w:eastAsia="zh-CN"/>
        </w:rPr>
        <w:t>/</w:t>
      </w:r>
      <w:r>
        <w:rPr>
          <w:rFonts w:hint="eastAsia"/>
          <w:lang w:eastAsia="zh-CN"/>
        </w:rPr>
        <w:t>实验室）</w:t>
      </w:r>
    </w:p>
    <w:p w14:paraId="5086179D">
      <w:pPr>
        <w:pStyle w:val="22"/>
        <w:numPr>
          <w:ilvl w:val="3"/>
          <w:numId w:val="4"/>
        </w:numPr>
        <w:tabs>
          <w:tab w:val="left" w:pos="1880"/>
        </w:tabs>
        <w:snapToGrid w:val="0"/>
        <w:spacing w:after="0" w:line="240" w:lineRule="auto"/>
        <w:ind w:left="2177" w:firstLineChars="0"/>
        <w:jc w:val="both"/>
      </w:pPr>
      <w:r>
        <w:rPr>
          <w:rFonts w:hint="eastAsia"/>
        </w:rPr>
        <w:t>动物</w:t>
      </w:r>
      <w:r>
        <w:rPr>
          <w:snapToGrid w:val="0"/>
          <w:szCs w:val="24"/>
          <w:lang w:eastAsia="zh-CN"/>
        </w:rPr>
        <w:t>研究数据</w:t>
      </w:r>
      <w:r>
        <w:rPr>
          <w:rStyle w:val="17"/>
          <w:snapToGrid w:val="0"/>
          <w:szCs w:val="24"/>
          <w:lang w:eastAsia="zh-CN"/>
        </w:rPr>
        <w:footnoteReference w:id="38"/>
      </w:r>
    </w:p>
    <w:p w14:paraId="57A5E496">
      <w:pPr>
        <w:pStyle w:val="22"/>
        <w:numPr>
          <w:ilvl w:val="3"/>
          <w:numId w:val="4"/>
        </w:numPr>
        <w:tabs>
          <w:tab w:val="left" w:pos="1880"/>
        </w:tabs>
        <w:snapToGrid w:val="0"/>
        <w:spacing w:after="0" w:line="240" w:lineRule="auto"/>
        <w:ind w:left="2177" w:firstLineChars="0"/>
        <w:jc w:val="both"/>
      </w:pPr>
      <w:r>
        <w:rPr>
          <w:rFonts w:hint="eastAsia"/>
        </w:rPr>
        <w:t>其他</w:t>
      </w:r>
    </w:p>
    <w:p w14:paraId="1FC96EB5">
      <w:pPr>
        <w:pStyle w:val="22"/>
        <w:numPr>
          <w:ilvl w:val="2"/>
          <w:numId w:val="5"/>
        </w:numPr>
        <w:tabs>
          <w:tab w:val="left" w:pos="854"/>
        </w:tabs>
        <w:adjustRightInd w:val="0"/>
        <w:snapToGrid w:val="0"/>
        <w:spacing w:after="0" w:line="240" w:lineRule="auto"/>
        <w:ind w:left="938" w:leftChars="200" w:hanging="458" w:hangingChars="191"/>
        <w:jc w:val="both"/>
        <w:rPr>
          <w:lang w:eastAsia="zh-CN"/>
        </w:rPr>
      </w:pPr>
      <w:r>
        <w:rPr>
          <w:rFonts w:hint="eastAsia"/>
          <w:lang w:eastAsia="zh-CN"/>
        </w:rPr>
        <w:t>提交类型（选择一种）：</w:t>
      </w:r>
    </w:p>
    <w:p w14:paraId="1FFC1E00">
      <w:pPr>
        <w:pStyle w:val="24"/>
        <w:numPr>
          <w:ilvl w:val="0"/>
          <w:numId w:val="3"/>
        </w:numPr>
        <w:autoSpaceDE/>
        <w:autoSpaceDN/>
        <w:snapToGrid w:val="0"/>
        <w:ind w:left="1440" w:leftChars="600"/>
        <w:jc w:val="both"/>
      </w:pPr>
      <w:r>
        <w:rPr>
          <w:rFonts w:hint="eastAsia"/>
        </w:rPr>
        <w:t>入组报告</w:t>
      </w:r>
    </w:p>
    <w:p w14:paraId="7307676E">
      <w:pPr>
        <w:pStyle w:val="24"/>
        <w:numPr>
          <w:ilvl w:val="0"/>
          <w:numId w:val="3"/>
        </w:numPr>
        <w:autoSpaceDE/>
        <w:autoSpaceDN/>
        <w:snapToGrid w:val="0"/>
        <w:ind w:left="1440" w:leftChars="600"/>
        <w:jc w:val="both"/>
        <w:rPr>
          <w:lang w:eastAsia="zh-CN"/>
        </w:rPr>
      </w:pPr>
      <w:r>
        <w:rPr>
          <w:rFonts w:hint="eastAsia"/>
          <w:lang w:eastAsia="zh-CN"/>
        </w:rPr>
        <w:t>中期上市后监督情况报告</w:t>
      </w:r>
    </w:p>
    <w:p w14:paraId="1950FC24">
      <w:pPr>
        <w:pStyle w:val="24"/>
        <w:numPr>
          <w:ilvl w:val="0"/>
          <w:numId w:val="3"/>
        </w:numPr>
        <w:autoSpaceDE/>
        <w:autoSpaceDN/>
        <w:snapToGrid w:val="0"/>
        <w:ind w:left="1440" w:leftChars="600"/>
        <w:jc w:val="both"/>
      </w:pPr>
      <w:r>
        <w:rPr>
          <w:rFonts w:hint="eastAsia"/>
        </w:rPr>
        <w:t>最终上市后监督报告</w:t>
      </w:r>
    </w:p>
    <w:p w14:paraId="3A358C4E">
      <w:pPr>
        <w:pStyle w:val="24"/>
        <w:numPr>
          <w:ilvl w:val="0"/>
          <w:numId w:val="3"/>
        </w:numPr>
        <w:autoSpaceDE/>
        <w:autoSpaceDN/>
        <w:snapToGrid w:val="0"/>
        <w:ind w:left="1440" w:leftChars="600"/>
        <w:jc w:val="both"/>
        <w:rPr>
          <w:lang w:eastAsia="zh-CN"/>
        </w:rPr>
      </w:pPr>
      <w:r>
        <w:rPr>
          <w:rFonts w:hint="eastAsia"/>
          <w:lang w:eastAsia="zh-CN"/>
        </w:rPr>
        <w:t>因缺陷报告或其他原因对</w:t>
      </w:r>
      <w:r>
        <w:rPr>
          <w:lang w:eastAsia="zh-CN"/>
        </w:rPr>
        <w:t>FDA</w:t>
      </w:r>
      <w:r>
        <w:rPr>
          <w:rFonts w:hint="eastAsia"/>
          <w:lang w:eastAsia="zh-CN"/>
        </w:rPr>
        <w:t>信函的回复（具体说明）</w:t>
      </w:r>
    </w:p>
    <w:p w14:paraId="3B0A633F">
      <w:pPr>
        <w:pStyle w:val="24"/>
        <w:autoSpaceDE/>
        <w:autoSpaceDN/>
        <w:snapToGrid w:val="0"/>
        <w:ind w:left="1740"/>
        <w:jc w:val="both"/>
        <w:rPr>
          <w:snapToGrid w:val="0"/>
          <w:lang w:eastAsia="zh-CN"/>
        </w:rPr>
      </w:pPr>
    </w:p>
    <w:p w14:paraId="17763818">
      <w:pPr>
        <w:pStyle w:val="3"/>
        <w:snapToGrid w:val="0"/>
        <w:spacing w:before="0" w:beforeLines="0" w:line="240" w:lineRule="auto"/>
        <w:ind w:left="1162" w:leftChars="250"/>
        <w:rPr>
          <w:rFonts w:eastAsia="宋体"/>
          <w:snapToGrid w:val="0"/>
          <w:szCs w:val="24"/>
          <w:lang w:eastAsia="zh-CN"/>
        </w:rPr>
      </w:pPr>
      <w:bookmarkStart w:id="32" w:name="_Toc97546996"/>
      <w:bookmarkStart w:id="33" w:name="_Toc91249664"/>
      <w:r>
        <w:rPr>
          <w:rFonts w:eastAsia="宋体"/>
          <w:snapToGrid w:val="0"/>
          <w:szCs w:val="24"/>
          <w:lang w:eastAsia="zh-CN"/>
        </w:rPr>
        <w:t>B.</w:t>
      </w:r>
      <w:r>
        <w:rPr>
          <w:rFonts w:eastAsia="宋体"/>
          <w:snapToGrid w:val="0"/>
          <w:szCs w:val="24"/>
          <w:lang w:eastAsia="zh-CN"/>
        </w:rPr>
        <w:tab/>
      </w:r>
      <w:r>
        <w:rPr>
          <w:rFonts w:eastAsia="宋体"/>
          <w:snapToGrid w:val="0"/>
          <w:szCs w:val="24"/>
          <w:lang w:eastAsia="zh-CN"/>
        </w:rPr>
        <w:t>上市后监督入组报告</w:t>
      </w:r>
      <w:bookmarkEnd w:id="32"/>
      <w:bookmarkEnd w:id="33"/>
    </w:p>
    <w:p w14:paraId="3D7FA309">
      <w:pPr>
        <w:snapToGrid w:val="0"/>
        <w:spacing w:after="0" w:line="240" w:lineRule="auto"/>
        <w:ind w:left="240" w:leftChars="100" w:firstLine="480" w:firstLineChars="200"/>
        <w:jc w:val="both"/>
        <w:rPr>
          <w:snapToGrid w:val="0"/>
          <w:szCs w:val="24"/>
          <w:lang w:eastAsia="zh-CN"/>
        </w:rPr>
      </w:pPr>
      <w:r>
        <w:rPr>
          <w:lang w:eastAsia="zh-CN"/>
        </w:rPr>
        <w:t>FDA</w:t>
      </w:r>
      <w:r>
        <w:rPr>
          <w:rFonts w:hint="eastAsia"/>
          <w:lang w:eastAsia="zh-CN"/>
        </w:rPr>
        <w:t>计划审查入组报告以评估监督计划时间节点的进展情况。如果上市后监督计划涉及新的受试者入组</w:t>
      </w:r>
      <w:r>
        <w:rPr>
          <w:rStyle w:val="17"/>
          <w:snapToGrid w:val="0"/>
          <w:szCs w:val="24"/>
          <w:lang w:eastAsia="zh-CN"/>
        </w:rPr>
        <w:footnoteReference w:id="39"/>
      </w:r>
      <w:r>
        <w:rPr>
          <w:rFonts w:hint="eastAsia"/>
          <w:lang w:eastAsia="zh-CN"/>
        </w:rPr>
        <w:t>，</w:t>
      </w:r>
      <w:r>
        <w:rPr>
          <w:lang w:eastAsia="zh-CN"/>
        </w:rPr>
        <w:t>FDA</w:t>
      </w:r>
      <w:r>
        <w:rPr>
          <w:rFonts w:hint="eastAsia"/>
          <w:lang w:eastAsia="zh-CN"/>
        </w:rPr>
        <w:t>可要求制造商提交入组报告，直到入组完成。入组报告应包括</w:t>
      </w:r>
      <w:r>
        <w:rPr>
          <w:snapToGrid w:val="0"/>
          <w:szCs w:val="24"/>
          <w:lang w:eastAsia="zh-CN"/>
        </w:rPr>
        <w:t>详细</w:t>
      </w:r>
      <w:r>
        <w:rPr>
          <w:rFonts w:hint="eastAsia"/>
          <w:lang w:eastAsia="zh-CN"/>
        </w:rPr>
        <w:t>的信息以便</w:t>
      </w:r>
      <w:r>
        <w:rPr>
          <w:lang w:eastAsia="zh-CN"/>
        </w:rPr>
        <w:t>FDA</w:t>
      </w:r>
      <w:r>
        <w:rPr>
          <w:rFonts w:hint="eastAsia"/>
          <w:lang w:eastAsia="zh-CN"/>
        </w:rPr>
        <w:t>和制造商跟踪入组时间节点的进展，包括：</w:t>
      </w:r>
    </w:p>
    <w:p w14:paraId="3D867B64">
      <w:pPr>
        <w:snapToGrid w:val="0"/>
        <w:spacing w:after="0" w:line="240" w:lineRule="auto"/>
        <w:ind w:left="240" w:leftChars="100" w:firstLine="480" w:firstLineChars="200"/>
        <w:jc w:val="both"/>
        <w:rPr>
          <w:lang w:eastAsia="zh-CN"/>
        </w:rPr>
      </w:pPr>
    </w:p>
    <w:p w14:paraId="4E1A5E54">
      <w:pPr>
        <w:pStyle w:val="24"/>
        <w:numPr>
          <w:ilvl w:val="0"/>
          <w:numId w:val="2"/>
        </w:numPr>
        <w:tabs>
          <w:tab w:val="left" w:pos="896"/>
        </w:tabs>
        <w:autoSpaceDE/>
        <w:autoSpaceDN/>
        <w:snapToGrid w:val="0"/>
        <w:ind w:left="900" w:leftChars="200" w:hanging="420"/>
        <w:jc w:val="both"/>
      </w:pPr>
      <w:r>
        <w:rPr>
          <w:rFonts w:hint="eastAsia"/>
        </w:rPr>
        <w:t>监督计划的批准日期</w:t>
      </w:r>
    </w:p>
    <w:p w14:paraId="65BF2A25">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临床研究中心招募开始和结束的日期</w:t>
      </w:r>
    </w:p>
    <w:p w14:paraId="631BD527">
      <w:pPr>
        <w:pStyle w:val="24"/>
        <w:numPr>
          <w:ilvl w:val="0"/>
          <w:numId w:val="2"/>
        </w:numPr>
        <w:tabs>
          <w:tab w:val="left" w:pos="896"/>
        </w:tabs>
        <w:autoSpaceDE/>
        <w:autoSpaceDN/>
        <w:snapToGrid w:val="0"/>
        <w:ind w:left="900" w:leftChars="200" w:hanging="420"/>
        <w:jc w:val="both"/>
        <w:rPr>
          <w:lang w:eastAsia="zh-CN"/>
        </w:rPr>
      </w:pPr>
      <w:r>
        <w:rPr>
          <w:lang w:eastAsia="zh-CN"/>
        </w:rPr>
        <w:t>IRB</w:t>
      </w:r>
      <w:r>
        <w:rPr>
          <w:rFonts w:hint="eastAsia"/>
          <w:lang w:eastAsia="zh-CN"/>
        </w:rPr>
        <w:t>批准数量和发起监督的临床研究中心数量</w:t>
      </w:r>
    </w:p>
    <w:p w14:paraId="2315C0B4">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受试者入选开始日期和预期的完成日期</w:t>
      </w:r>
    </w:p>
    <w:p w14:paraId="43B19E58">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入组的受试者人数（如适用，这些信息应呈现给整个受试者人群和每个亚组）</w:t>
      </w:r>
    </w:p>
    <w:p w14:paraId="0CAB4806">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目标入选日期和实际入选日期的对比（例如，第一例入选受试者、</w:t>
      </w:r>
      <w:r>
        <w:rPr>
          <w:lang w:eastAsia="zh-CN"/>
        </w:rPr>
        <w:t>20%</w:t>
      </w:r>
      <w:r>
        <w:rPr>
          <w:rFonts w:hint="eastAsia"/>
          <w:lang w:eastAsia="zh-CN"/>
        </w:rPr>
        <w:t>入选受试者、</w:t>
      </w:r>
      <w:r>
        <w:rPr>
          <w:lang w:eastAsia="zh-CN"/>
        </w:rPr>
        <w:t>50%</w:t>
      </w:r>
      <w:r>
        <w:rPr>
          <w:rFonts w:hint="eastAsia"/>
          <w:lang w:eastAsia="zh-CN"/>
        </w:rPr>
        <w:t>入选受试者、</w:t>
      </w:r>
      <w:r>
        <w:rPr>
          <w:lang w:eastAsia="zh-CN"/>
        </w:rPr>
        <w:t>100%</w:t>
      </w:r>
      <w:r>
        <w:rPr>
          <w:rFonts w:hint="eastAsia"/>
          <w:lang w:eastAsia="zh-CN"/>
        </w:rPr>
        <w:t>入选受试者）</w:t>
      </w:r>
    </w:p>
    <w:p w14:paraId="549DA1B9">
      <w:pPr>
        <w:tabs>
          <w:tab w:val="left" w:pos="896"/>
        </w:tabs>
        <w:snapToGrid w:val="0"/>
        <w:spacing w:after="0" w:line="240" w:lineRule="auto"/>
        <w:jc w:val="both"/>
        <w:rPr>
          <w:lang w:eastAsia="zh-CN"/>
        </w:rPr>
      </w:pPr>
      <w:r>
        <w:rPr>
          <w:lang w:eastAsia="zh-CN"/>
        </w:rPr>
        <w:br w:type="page"/>
      </w:r>
    </w:p>
    <w:p w14:paraId="622DB586">
      <w:pPr>
        <w:pStyle w:val="3"/>
        <w:snapToGrid w:val="0"/>
        <w:spacing w:before="0" w:beforeLines="0" w:line="240" w:lineRule="auto"/>
        <w:ind w:left="1162" w:leftChars="250"/>
        <w:rPr>
          <w:rFonts w:eastAsia="宋体"/>
          <w:snapToGrid w:val="0"/>
          <w:szCs w:val="24"/>
          <w:lang w:eastAsia="zh-CN"/>
        </w:rPr>
      </w:pPr>
      <w:bookmarkStart w:id="34" w:name="_Toc91249665"/>
      <w:bookmarkStart w:id="35" w:name="_Toc97546997"/>
      <w:r>
        <w:rPr>
          <w:rFonts w:eastAsia="宋体"/>
          <w:snapToGrid w:val="0"/>
          <w:szCs w:val="24"/>
          <w:lang w:eastAsia="zh-CN"/>
        </w:rPr>
        <w:t>C.</w:t>
      </w:r>
      <w:r>
        <w:rPr>
          <w:rFonts w:eastAsia="宋体"/>
          <w:snapToGrid w:val="0"/>
          <w:szCs w:val="24"/>
          <w:lang w:eastAsia="zh-CN"/>
        </w:rPr>
        <w:tab/>
      </w:r>
      <w:r>
        <w:rPr>
          <w:rFonts w:eastAsia="宋体"/>
          <w:snapToGrid w:val="0"/>
          <w:szCs w:val="24"/>
          <w:lang w:eastAsia="zh-CN"/>
        </w:rPr>
        <w:t>中期上市后监督情况报告</w:t>
      </w:r>
      <w:bookmarkEnd w:id="34"/>
      <w:bookmarkEnd w:id="35"/>
    </w:p>
    <w:p w14:paraId="6FDA0DCB">
      <w:pPr>
        <w:snapToGrid w:val="0"/>
        <w:spacing w:after="0" w:line="240" w:lineRule="auto"/>
        <w:ind w:left="240" w:leftChars="100"/>
        <w:jc w:val="both"/>
        <w:rPr>
          <w:lang w:eastAsia="zh-CN"/>
        </w:rPr>
      </w:pPr>
      <w:r>
        <w:rPr>
          <w:lang w:eastAsia="zh-CN"/>
        </w:rPr>
        <w:t>FDA</w:t>
      </w:r>
      <w:r>
        <w:rPr>
          <w:rFonts w:hint="eastAsia"/>
          <w:lang w:eastAsia="zh-CN"/>
        </w:rPr>
        <w:t>建议中期上市后监督状态报告包括（如适用）：</w:t>
      </w:r>
    </w:p>
    <w:p w14:paraId="36A77291">
      <w:pPr>
        <w:snapToGrid w:val="0"/>
        <w:spacing w:after="0" w:line="240" w:lineRule="auto"/>
        <w:ind w:left="240" w:leftChars="100"/>
        <w:jc w:val="both"/>
        <w:rPr>
          <w:snapToGrid w:val="0"/>
          <w:szCs w:val="24"/>
          <w:lang w:eastAsia="zh-CN"/>
        </w:rPr>
      </w:pPr>
    </w:p>
    <w:p w14:paraId="4AEE8AB7">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上市后监督的目的，包括目标、目的以及主要和次要终点</w:t>
      </w:r>
    </w:p>
    <w:p w14:paraId="41344F4D">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报告涵盖的开始日期和结束日期</w:t>
      </w:r>
    </w:p>
    <w:p w14:paraId="4A4E555D">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报告数据库关闭日期（不应超过报告提交截止日期前三个月）</w:t>
      </w:r>
    </w:p>
    <w:p w14:paraId="710AF02E">
      <w:pPr>
        <w:pStyle w:val="24"/>
        <w:numPr>
          <w:ilvl w:val="0"/>
          <w:numId w:val="2"/>
        </w:numPr>
        <w:tabs>
          <w:tab w:val="left" w:pos="896"/>
        </w:tabs>
        <w:autoSpaceDE/>
        <w:autoSpaceDN/>
        <w:snapToGrid w:val="0"/>
        <w:ind w:left="900" w:leftChars="200" w:hanging="420"/>
        <w:jc w:val="both"/>
      </w:pPr>
      <w:r>
        <w:rPr>
          <w:rFonts w:hint="eastAsia"/>
        </w:rPr>
        <w:t>如果是临床研究：</w:t>
      </w:r>
    </w:p>
    <w:p w14:paraId="26DEA36F">
      <w:pPr>
        <w:pStyle w:val="24"/>
        <w:numPr>
          <w:ilvl w:val="0"/>
          <w:numId w:val="3"/>
        </w:numPr>
        <w:autoSpaceDE/>
        <w:autoSpaceDN/>
        <w:snapToGrid w:val="0"/>
        <w:ind w:left="1440" w:leftChars="600"/>
        <w:jc w:val="both"/>
      </w:pPr>
      <w:r>
        <w:rPr>
          <w:rFonts w:hint="eastAsia"/>
        </w:rPr>
        <w:t>正在研究的患者群体的描述，包括：</w:t>
      </w:r>
    </w:p>
    <w:p w14:paraId="113E4257">
      <w:pPr>
        <w:pStyle w:val="22"/>
        <w:numPr>
          <w:ilvl w:val="3"/>
          <w:numId w:val="6"/>
        </w:numPr>
        <w:tabs>
          <w:tab w:val="left" w:pos="1800"/>
          <w:tab w:val="left" w:pos="2296"/>
        </w:tabs>
        <w:snapToGrid w:val="0"/>
        <w:spacing w:after="0" w:line="240" w:lineRule="auto"/>
        <w:ind w:left="2291" w:firstLineChars="0"/>
        <w:jc w:val="both"/>
      </w:pPr>
      <w:r>
        <w:rPr>
          <w:rFonts w:hint="eastAsia"/>
        </w:rPr>
        <w:t>特定的疾病或状况</w:t>
      </w:r>
    </w:p>
    <w:p w14:paraId="0F55ECFA">
      <w:pPr>
        <w:pStyle w:val="22"/>
        <w:numPr>
          <w:ilvl w:val="3"/>
          <w:numId w:val="6"/>
        </w:numPr>
        <w:tabs>
          <w:tab w:val="left" w:pos="1800"/>
          <w:tab w:val="left" w:pos="2296"/>
        </w:tabs>
        <w:snapToGrid w:val="0"/>
        <w:spacing w:after="0" w:line="240" w:lineRule="auto"/>
        <w:ind w:left="2291" w:firstLineChars="0"/>
        <w:jc w:val="both"/>
        <w:rPr>
          <w:lang w:eastAsia="zh-CN"/>
        </w:rPr>
      </w:pPr>
      <w:r>
        <w:rPr>
          <w:rFonts w:hint="eastAsia"/>
          <w:lang w:eastAsia="zh-CN"/>
        </w:rPr>
        <w:t>市场后监督是否针对亚群体（如儿童、老年人）</w:t>
      </w:r>
    </w:p>
    <w:p w14:paraId="0CA6956B">
      <w:pPr>
        <w:pStyle w:val="22"/>
        <w:numPr>
          <w:ilvl w:val="3"/>
          <w:numId w:val="6"/>
        </w:numPr>
        <w:tabs>
          <w:tab w:val="left" w:pos="1800"/>
          <w:tab w:val="left" w:pos="2296"/>
        </w:tabs>
        <w:snapToGrid w:val="0"/>
        <w:spacing w:after="0" w:line="240" w:lineRule="auto"/>
        <w:ind w:left="2291" w:firstLineChars="0"/>
        <w:jc w:val="both"/>
      </w:pPr>
      <w:r>
        <w:rPr>
          <w:rFonts w:hint="eastAsia"/>
        </w:rPr>
        <w:t>待研究受试者总数</w:t>
      </w:r>
    </w:p>
    <w:p w14:paraId="78B7F0F7">
      <w:pPr>
        <w:pStyle w:val="22"/>
        <w:numPr>
          <w:ilvl w:val="3"/>
          <w:numId w:val="6"/>
        </w:numPr>
        <w:tabs>
          <w:tab w:val="left" w:pos="1800"/>
          <w:tab w:val="left" w:pos="2296"/>
        </w:tabs>
        <w:snapToGrid w:val="0"/>
        <w:spacing w:after="0" w:line="240" w:lineRule="auto"/>
        <w:ind w:left="2291" w:firstLineChars="0"/>
        <w:jc w:val="both"/>
      </w:pPr>
      <w:r>
        <w:rPr>
          <w:rFonts w:hint="eastAsia"/>
        </w:rPr>
        <w:t>受试者随访时间表</w:t>
      </w:r>
    </w:p>
    <w:p w14:paraId="2D421F58">
      <w:pPr>
        <w:pStyle w:val="24"/>
        <w:numPr>
          <w:ilvl w:val="0"/>
          <w:numId w:val="3"/>
        </w:numPr>
        <w:autoSpaceDE/>
        <w:autoSpaceDN/>
        <w:snapToGrid w:val="0"/>
        <w:ind w:left="1440" w:leftChars="600"/>
        <w:jc w:val="both"/>
        <w:rPr>
          <w:lang w:eastAsia="zh-CN"/>
        </w:rPr>
      </w:pPr>
      <w:r>
        <w:rPr>
          <w:rFonts w:hint="eastAsia"/>
          <w:lang w:eastAsia="zh-CN"/>
        </w:rPr>
        <w:t>按整个人群和每个亚组的每个随访时间点分层的受试者人数。为了限制安全性和有效性数据中的潜在偏差，制造商应尽一切努力减少失访的受试者数量。</w:t>
      </w:r>
    </w:p>
    <w:p w14:paraId="43A965E1">
      <w:pPr>
        <w:pStyle w:val="24"/>
        <w:numPr>
          <w:ilvl w:val="0"/>
          <w:numId w:val="3"/>
        </w:numPr>
        <w:autoSpaceDE/>
        <w:autoSpaceDN/>
        <w:snapToGrid w:val="0"/>
        <w:ind w:left="1440" w:leftChars="600"/>
        <w:jc w:val="both"/>
      </w:pPr>
      <w:r>
        <w:rPr>
          <w:rFonts w:hint="eastAsia"/>
        </w:rPr>
        <w:t>如适用，说明：</w:t>
      </w:r>
    </w:p>
    <w:p w14:paraId="3E920C3C">
      <w:pPr>
        <w:pStyle w:val="22"/>
        <w:numPr>
          <w:ilvl w:val="0"/>
          <w:numId w:val="7"/>
        </w:numPr>
        <w:tabs>
          <w:tab w:val="left" w:pos="2296"/>
        </w:tabs>
        <w:snapToGrid w:val="0"/>
        <w:spacing w:after="0" w:line="240" w:lineRule="auto"/>
        <w:ind w:left="2291" w:firstLineChars="0"/>
        <w:jc w:val="both"/>
        <w:rPr>
          <w:lang w:eastAsia="zh-CN"/>
        </w:rPr>
      </w:pPr>
      <w:r>
        <w:rPr>
          <w:rFonts w:hint="eastAsia"/>
          <w:lang w:eastAsia="zh-CN"/>
        </w:rPr>
        <w:t>随访受试者失访，以及为减少将来此类事件的发生而采取的任何措施</w:t>
      </w:r>
    </w:p>
    <w:p w14:paraId="3A78D48A">
      <w:pPr>
        <w:pStyle w:val="22"/>
        <w:numPr>
          <w:ilvl w:val="0"/>
          <w:numId w:val="7"/>
        </w:numPr>
        <w:tabs>
          <w:tab w:val="left" w:pos="2296"/>
        </w:tabs>
        <w:snapToGrid w:val="0"/>
        <w:spacing w:after="0" w:line="240" w:lineRule="auto"/>
        <w:ind w:left="2291" w:firstLineChars="0"/>
        <w:jc w:val="both"/>
        <w:rPr>
          <w:lang w:eastAsia="zh-CN"/>
        </w:rPr>
      </w:pPr>
      <w:r>
        <w:rPr>
          <w:rFonts w:hint="eastAsia"/>
          <w:lang w:eastAsia="zh-CN"/>
        </w:rPr>
        <w:t>受试者和医生发起的中止</w:t>
      </w:r>
    </w:p>
    <w:p w14:paraId="041E87F9">
      <w:pPr>
        <w:pStyle w:val="22"/>
        <w:numPr>
          <w:ilvl w:val="0"/>
          <w:numId w:val="7"/>
        </w:numPr>
        <w:tabs>
          <w:tab w:val="left" w:pos="2296"/>
        </w:tabs>
        <w:snapToGrid w:val="0"/>
        <w:spacing w:after="0" w:line="240" w:lineRule="auto"/>
        <w:ind w:left="2291" w:firstLineChars="0"/>
        <w:jc w:val="both"/>
        <w:rPr>
          <w:lang w:eastAsia="zh-CN"/>
        </w:rPr>
      </w:pPr>
      <w:r>
        <w:rPr>
          <w:rFonts w:hint="eastAsia"/>
          <w:lang w:eastAsia="zh-CN"/>
        </w:rPr>
        <w:t>任何死亡，包括尸检报告</w:t>
      </w:r>
    </w:p>
    <w:p w14:paraId="1E9A1772">
      <w:pPr>
        <w:pStyle w:val="24"/>
        <w:numPr>
          <w:ilvl w:val="0"/>
          <w:numId w:val="2"/>
        </w:numPr>
        <w:tabs>
          <w:tab w:val="left" w:pos="896"/>
        </w:tabs>
        <w:autoSpaceDE/>
        <w:autoSpaceDN/>
        <w:snapToGrid w:val="0"/>
        <w:ind w:left="938" w:leftChars="200" w:hanging="458" w:hangingChars="191"/>
        <w:jc w:val="both"/>
      </w:pPr>
      <w:r>
        <w:rPr>
          <w:rFonts w:hint="eastAsia"/>
        </w:rPr>
        <w:t>对结果的汇总和解释</w:t>
      </w:r>
    </w:p>
    <w:p w14:paraId="112A32A1">
      <w:pPr>
        <w:pStyle w:val="24"/>
        <w:numPr>
          <w:ilvl w:val="0"/>
          <w:numId w:val="3"/>
        </w:numPr>
        <w:autoSpaceDE/>
        <w:autoSpaceDN/>
        <w:snapToGrid w:val="0"/>
        <w:ind w:left="1440" w:leftChars="600"/>
        <w:jc w:val="both"/>
        <w:rPr>
          <w:lang w:eastAsia="zh-CN"/>
        </w:rPr>
      </w:pPr>
      <w:r>
        <w:rPr>
          <w:rFonts w:hint="eastAsia"/>
          <w:lang w:eastAsia="zh-CN"/>
        </w:rPr>
        <w:t>中期安全性</w:t>
      </w:r>
      <w:r>
        <w:rPr>
          <w:lang w:eastAsia="zh-CN"/>
        </w:rPr>
        <w:t>/</w:t>
      </w:r>
      <w:r>
        <w:rPr>
          <w:rFonts w:hint="eastAsia"/>
          <w:lang w:eastAsia="zh-CN"/>
        </w:rPr>
        <w:t>有效性调查结果，如上市后监督计划中所述</w:t>
      </w:r>
    </w:p>
    <w:p w14:paraId="443425A3">
      <w:pPr>
        <w:pStyle w:val="24"/>
        <w:autoSpaceDE/>
        <w:autoSpaceDN/>
        <w:snapToGrid w:val="0"/>
        <w:ind w:left="1740"/>
        <w:jc w:val="both"/>
        <w:rPr>
          <w:snapToGrid w:val="0"/>
          <w:lang w:eastAsia="zh-CN"/>
        </w:rPr>
      </w:pPr>
    </w:p>
    <w:p w14:paraId="44008724">
      <w:pPr>
        <w:pStyle w:val="3"/>
        <w:snapToGrid w:val="0"/>
        <w:spacing w:before="0" w:beforeLines="0" w:line="240" w:lineRule="auto"/>
        <w:ind w:left="1162" w:leftChars="250"/>
        <w:rPr>
          <w:rFonts w:eastAsia="宋体"/>
          <w:snapToGrid w:val="0"/>
          <w:szCs w:val="24"/>
          <w:lang w:eastAsia="zh-CN"/>
        </w:rPr>
      </w:pPr>
      <w:bookmarkStart w:id="36" w:name="_Toc97546998"/>
      <w:bookmarkStart w:id="37" w:name="_Toc91249666"/>
      <w:r>
        <w:rPr>
          <w:rFonts w:eastAsia="宋体"/>
          <w:snapToGrid w:val="0"/>
          <w:szCs w:val="24"/>
          <w:lang w:eastAsia="zh-CN"/>
        </w:rPr>
        <w:t>D.</w:t>
      </w:r>
      <w:r>
        <w:rPr>
          <w:rFonts w:eastAsia="宋体"/>
          <w:snapToGrid w:val="0"/>
          <w:szCs w:val="24"/>
          <w:lang w:eastAsia="zh-CN"/>
        </w:rPr>
        <w:tab/>
      </w:r>
      <w:r>
        <w:rPr>
          <w:rFonts w:eastAsia="宋体"/>
          <w:snapToGrid w:val="0"/>
          <w:szCs w:val="24"/>
          <w:lang w:eastAsia="zh-CN"/>
        </w:rPr>
        <w:t>最终上市后监督报告</w:t>
      </w:r>
      <w:bookmarkEnd w:id="36"/>
      <w:bookmarkEnd w:id="37"/>
    </w:p>
    <w:p w14:paraId="5167CB7E">
      <w:pPr>
        <w:snapToGrid w:val="0"/>
        <w:spacing w:after="0" w:line="240" w:lineRule="auto"/>
        <w:ind w:left="240" w:leftChars="100"/>
        <w:jc w:val="both"/>
        <w:rPr>
          <w:lang w:eastAsia="zh-CN"/>
        </w:rPr>
      </w:pPr>
      <w:r>
        <w:rPr>
          <w:lang w:eastAsia="zh-CN"/>
        </w:rPr>
        <w:t>FDA</w:t>
      </w:r>
      <w:r>
        <w:rPr>
          <w:rFonts w:hint="eastAsia"/>
          <w:lang w:eastAsia="zh-CN"/>
        </w:rPr>
        <w:t>建议最终上市后监督报告包括（如适用）：</w:t>
      </w:r>
    </w:p>
    <w:p w14:paraId="31E8D4F9">
      <w:pPr>
        <w:snapToGrid w:val="0"/>
        <w:spacing w:after="0" w:line="240" w:lineRule="auto"/>
        <w:ind w:left="240" w:leftChars="100"/>
        <w:jc w:val="both"/>
        <w:rPr>
          <w:snapToGrid w:val="0"/>
          <w:szCs w:val="24"/>
          <w:lang w:eastAsia="zh-CN"/>
        </w:rPr>
      </w:pPr>
    </w:p>
    <w:p w14:paraId="22EFD381">
      <w:pPr>
        <w:pStyle w:val="24"/>
        <w:numPr>
          <w:ilvl w:val="0"/>
          <w:numId w:val="2"/>
        </w:numPr>
        <w:tabs>
          <w:tab w:val="left" w:pos="896"/>
        </w:tabs>
        <w:autoSpaceDE/>
        <w:autoSpaceDN/>
        <w:snapToGrid w:val="0"/>
        <w:ind w:left="938" w:leftChars="200" w:hanging="458" w:hangingChars="191"/>
        <w:jc w:val="both"/>
        <w:rPr>
          <w:lang w:eastAsia="zh-CN"/>
        </w:rPr>
      </w:pPr>
      <w:r>
        <w:rPr>
          <w:rFonts w:hint="eastAsia"/>
          <w:lang w:eastAsia="zh-CN"/>
        </w:rPr>
        <w:t>上市后监督的目的，包括目标、目的以及主要和次要终点</w:t>
      </w:r>
    </w:p>
    <w:p w14:paraId="07E14EB2">
      <w:pPr>
        <w:pStyle w:val="24"/>
        <w:numPr>
          <w:ilvl w:val="0"/>
          <w:numId w:val="2"/>
        </w:numPr>
        <w:tabs>
          <w:tab w:val="left" w:pos="896"/>
        </w:tabs>
        <w:autoSpaceDE/>
        <w:autoSpaceDN/>
        <w:snapToGrid w:val="0"/>
        <w:ind w:left="938" w:leftChars="200" w:hanging="458" w:hangingChars="191"/>
        <w:jc w:val="both"/>
        <w:rPr>
          <w:lang w:eastAsia="zh-CN"/>
        </w:rPr>
      </w:pPr>
      <w:r>
        <w:rPr>
          <w:rFonts w:hint="eastAsia"/>
          <w:lang w:eastAsia="zh-CN"/>
        </w:rPr>
        <w:t>最终报告所涵盖的开始和结束日期</w:t>
      </w:r>
    </w:p>
    <w:p w14:paraId="149B1A2F">
      <w:pPr>
        <w:pStyle w:val="24"/>
        <w:numPr>
          <w:ilvl w:val="0"/>
          <w:numId w:val="2"/>
        </w:numPr>
        <w:tabs>
          <w:tab w:val="left" w:pos="896"/>
        </w:tabs>
        <w:autoSpaceDE/>
        <w:autoSpaceDN/>
        <w:snapToGrid w:val="0"/>
        <w:ind w:left="938" w:leftChars="200" w:hanging="458" w:hangingChars="191"/>
        <w:jc w:val="both"/>
        <w:rPr>
          <w:lang w:eastAsia="zh-CN"/>
        </w:rPr>
      </w:pPr>
      <w:r>
        <w:rPr>
          <w:rFonts w:hint="eastAsia"/>
          <w:lang w:eastAsia="zh-CN"/>
        </w:rPr>
        <w:t>最终报告数据库关闭日期（不应超过报告提交截止日期前三个月）</w:t>
      </w:r>
    </w:p>
    <w:p w14:paraId="7958AC9D">
      <w:pPr>
        <w:pStyle w:val="24"/>
        <w:numPr>
          <w:ilvl w:val="0"/>
          <w:numId w:val="2"/>
        </w:numPr>
        <w:tabs>
          <w:tab w:val="left" w:pos="896"/>
        </w:tabs>
        <w:autoSpaceDE/>
        <w:autoSpaceDN/>
        <w:snapToGrid w:val="0"/>
        <w:ind w:left="938" w:leftChars="200" w:hanging="458" w:hangingChars="191"/>
        <w:jc w:val="both"/>
      </w:pPr>
      <w:r>
        <w:rPr>
          <w:rFonts w:hint="eastAsia"/>
        </w:rPr>
        <w:t>如果是临床研究：</w:t>
      </w:r>
    </w:p>
    <w:p w14:paraId="5F554A4D">
      <w:pPr>
        <w:pStyle w:val="24"/>
        <w:numPr>
          <w:ilvl w:val="0"/>
          <w:numId w:val="3"/>
        </w:numPr>
        <w:autoSpaceDE/>
        <w:autoSpaceDN/>
        <w:snapToGrid w:val="0"/>
        <w:ind w:left="1440" w:leftChars="600"/>
        <w:jc w:val="both"/>
      </w:pPr>
      <w:r>
        <w:rPr>
          <w:rFonts w:hint="eastAsia"/>
        </w:rPr>
        <w:t>正在研究的患者群体，包括：</w:t>
      </w:r>
    </w:p>
    <w:p w14:paraId="3794D278">
      <w:pPr>
        <w:pStyle w:val="22"/>
        <w:numPr>
          <w:ilvl w:val="3"/>
          <w:numId w:val="6"/>
        </w:numPr>
        <w:tabs>
          <w:tab w:val="left" w:pos="1800"/>
          <w:tab w:val="left" w:pos="2296"/>
        </w:tabs>
        <w:snapToGrid w:val="0"/>
        <w:spacing w:after="0" w:line="240" w:lineRule="auto"/>
        <w:ind w:left="2291" w:firstLineChars="0"/>
        <w:jc w:val="both"/>
      </w:pPr>
      <w:r>
        <w:rPr>
          <w:rFonts w:hint="eastAsia"/>
        </w:rPr>
        <w:t>特定的疾病或状况</w:t>
      </w:r>
    </w:p>
    <w:p w14:paraId="62234191">
      <w:pPr>
        <w:pStyle w:val="22"/>
        <w:numPr>
          <w:ilvl w:val="3"/>
          <w:numId w:val="6"/>
        </w:numPr>
        <w:tabs>
          <w:tab w:val="left" w:pos="1800"/>
          <w:tab w:val="left" w:pos="2296"/>
        </w:tabs>
        <w:snapToGrid w:val="0"/>
        <w:spacing w:after="0" w:line="240" w:lineRule="auto"/>
        <w:ind w:left="2291" w:firstLineChars="0"/>
        <w:jc w:val="both"/>
        <w:rPr>
          <w:lang w:eastAsia="zh-CN"/>
        </w:rPr>
      </w:pPr>
      <w:r>
        <w:rPr>
          <w:rFonts w:hint="eastAsia"/>
          <w:lang w:eastAsia="zh-CN"/>
        </w:rPr>
        <w:t>市场后监督是否针对亚群体（如儿童、老年人）</w:t>
      </w:r>
    </w:p>
    <w:p w14:paraId="7D7567FA">
      <w:pPr>
        <w:pStyle w:val="22"/>
        <w:numPr>
          <w:ilvl w:val="3"/>
          <w:numId w:val="6"/>
        </w:numPr>
        <w:tabs>
          <w:tab w:val="left" w:pos="1800"/>
          <w:tab w:val="left" w:pos="2296"/>
        </w:tabs>
        <w:snapToGrid w:val="0"/>
        <w:spacing w:after="0" w:line="240" w:lineRule="auto"/>
        <w:ind w:left="2291" w:firstLineChars="0"/>
        <w:jc w:val="both"/>
      </w:pPr>
      <w:r>
        <w:rPr>
          <w:rFonts w:hint="eastAsia"/>
        </w:rPr>
        <w:t>待研究受试者总数</w:t>
      </w:r>
    </w:p>
    <w:p w14:paraId="3245F427">
      <w:pPr>
        <w:pStyle w:val="22"/>
        <w:numPr>
          <w:ilvl w:val="3"/>
          <w:numId w:val="6"/>
        </w:numPr>
        <w:tabs>
          <w:tab w:val="left" w:pos="1800"/>
          <w:tab w:val="left" w:pos="2296"/>
        </w:tabs>
        <w:snapToGrid w:val="0"/>
        <w:spacing w:after="0" w:line="240" w:lineRule="auto"/>
        <w:ind w:left="2291" w:firstLineChars="0"/>
        <w:jc w:val="both"/>
        <w:rPr>
          <w:snapToGrid w:val="0"/>
          <w:szCs w:val="24"/>
          <w:lang w:eastAsia="zh-CN"/>
        </w:rPr>
      </w:pPr>
      <w:r>
        <w:rPr>
          <w:rFonts w:hint="eastAsia"/>
        </w:rPr>
        <w:t>受试者随访时间表</w:t>
      </w:r>
    </w:p>
    <w:p w14:paraId="19EFCB0A">
      <w:pPr>
        <w:pStyle w:val="22"/>
        <w:tabs>
          <w:tab w:val="left" w:pos="1700"/>
        </w:tabs>
        <w:snapToGrid w:val="0"/>
        <w:spacing w:after="0" w:line="240" w:lineRule="auto"/>
        <w:ind w:left="1679" w:firstLine="0" w:firstLineChars="0"/>
        <w:jc w:val="both"/>
      </w:pPr>
      <w:r>
        <w:br w:type="page"/>
      </w:r>
    </w:p>
    <w:p w14:paraId="3E7CDAF8">
      <w:pPr>
        <w:pStyle w:val="24"/>
        <w:numPr>
          <w:ilvl w:val="0"/>
          <w:numId w:val="3"/>
        </w:numPr>
        <w:autoSpaceDE/>
        <w:autoSpaceDN/>
        <w:snapToGrid w:val="0"/>
        <w:ind w:left="1440" w:leftChars="600"/>
        <w:jc w:val="both"/>
        <w:rPr>
          <w:lang w:eastAsia="zh-CN"/>
        </w:rPr>
      </w:pPr>
      <w:r>
        <w:rPr>
          <w:rFonts w:hint="eastAsia"/>
          <w:lang w:eastAsia="zh-CN"/>
        </w:rPr>
        <w:t>与目标相比，最终入组受试者的清点数量</w:t>
      </w:r>
    </w:p>
    <w:p w14:paraId="4BFEA2CB">
      <w:pPr>
        <w:pStyle w:val="24"/>
        <w:numPr>
          <w:ilvl w:val="0"/>
          <w:numId w:val="3"/>
        </w:numPr>
        <w:autoSpaceDE/>
        <w:autoSpaceDN/>
        <w:snapToGrid w:val="0"/>
        <w:ind w:left="1440" w:leftChars="600"/>
        <w:jc w:val="both"/>
        <w:rPr>
          <w:lang w:eastAsia="zh-CN"/>
        </w:rPr>
      </w:pPr>
      <w:r>
        <w:rPr>
          <w:rFonts w:hint="eastAsia"/>
          <w:lang w:eastAsia="zh-CN"/>
        </w:rPr>
        <w:t>根据整个人群和每个亚组的每个随访时间点对跟踪监督的受试者数量进行最终清点。</w:t>
      </w:r>
    </w:p>
    <w:p w14:paraId="34D7037C">
      <w:pPr>
        <w:pStyle w:val="24"/>
        <w:numPr>
          <w:ilvl w:val="0"/>
          <w:numId w:val="3"/>
        </w:numPr>
        <w:autoSpaceDE/>
        <w:autoSpaceDN/>
        <w:snapToGrid w:val="0"/>
        <w:ind w:left="1440" w:leftChars="600"/>
        <w:jc w:val="both"/>
      </w:pPr>
      <w:r>
        <w:rPr>
          <w:rFonts w:hint="eastAsia"/>
        </w:rPr>
        <w:t>如适用，说明：</w:t>
      </w:r>
    </w:p>
    <w:p w14:paraId="200E28CC">
      <w:pPr>
        <w:pStyle w:val="22"/>
        <w:numPr>
          <w:ilvl w:val="3"/>
          <w:numId w:val="6"/>
        </w:numPr>
        <w:tabs>
          <w:tab w:val="left" w:pos="1800"/>
          <w:tab w:val="left" w:pos="2296"/>
        </w:tabs>
        <w:snapToGrid w:val="0"/>
        <w:spacing w:after="0" w:line="240" w:lineRule="auto"/>
        <w:ind w:left="2291" w:firstLineChars="0"/>
        <w:jc w:val="both"/>
      </w:pPr>
      <w:r>
        <w:rPr>
          <w:rFonts w:hint="eastAsia"/>
        </w:rPr>
        <w:t>受试者失访</w:t>
      </w:r>
    </w:p>
    <w:p w14:paraId="0559FFC3">
      <w:pPr>
        <w:pStyle w:val="22"/>
        <w:numPr>
          <w:ilvl w:val="3"/>
          <w:numId w:val="6"/>
        </w:numPr>
        <w:tabs>
          <w:tab w:val="left" w:pos="1800"/>
          <w:tab w:val="left" w:pos="2296"/>
        </w:tabs>
        <w:snapToGrid w:val="0"/>
        <w:spacing w:after="0" w:line="240" w:lineRule="auto"/>
        <w:ind w:left="2291" w:firstLineChars="0"/>
        <w:jc w:val="both"/>
        <w:rPr>
          <w:lang w:eastAsia="zh-CN"/>
        </w:rPr>
      </w:pPr>
      <w:r>
        <w:rPr>
          <w:rFonts w:hint="eastAsia"/>
          <w:lang w:eastAsia="zh-CN"/>
        </w:rPr>
        <w:t>受试者和医生发起的中止</w:t>
      </w:r>
    </w:p>
    <w:p w14:paraId="791BC7C5">
      <w:pPr>
        <w:pStyle w:val="22"/>
        <w:numPr>
          <w:ilvl w:val="3"/>
          <w:numId w:val="6"/>
        </w:numPr>
        <w:tabs>
          <w:tab w:val="left" w:pos="1800"/>
          <w:tab w:val="left" w:pos="2296"/>
        </w:tabs>
        <w:snapToGrid w:val="0"/>
        <w:spacing w:after="0" w:line="240" w:lineRule="auto"/>
        <w:ind w:left="2291" w:firstLineChars="0"/>
        <w:jc w:val="both"/>
        <w:rPr>
          <w:lang w:eastAsia="zh-CN"/>
        </w:rPr>
      </w:pPr>
      <w:r>
        <w:rPr>
          <w:rFonts w:hint="eastAsia"/>
          <w:lang w:eastAsia="zh-CN"/>
        </w:rPr>
        <w:t>任何死亡，包括尸检报告</w:t>
      </w:r>
    </w:p>
    <w:p w14:paraId="3B7F725F">
      <w:pPr>
        <w:pStyle w:val="22"/>
        <w:numPr>
          <w:ilvl w:val="3"/>
          <w:numId w:val="6"/>
        </w:numPr>
        <w:tabs>
          <w:tab w:val="left" w:pos="1800"/>
          <w:tab w:val="left" w:pos="2296"/>
        </w:tabs>
        <w:snapToGrid w:val="0"/>
        <w:spacing w:after="0" w:line="240" w:lineRule="auto"/>
        <w:ind w:left="2291" w:firstLineChars="0"/>
        <w:jc w:val="both"/>
        <w:rPr>
          <w:lang w:eastAsia="zh-CN"/>
        </w:rPr>
      </w:pPr>
      <w:r>
        <w:rPr>
          <w:rFonts w:hint="eastAsia"/>
          <w:lang w:eastAsia="zh-CN"/>
        </w:rPr>
        <w:t>评估因失访而引起的潜在偏差（例如，失访的受试者是否不同于继续接受监督的受试者，研究组是否因失访而存在差异）以及对结果解释的影响</w:t>
      </w:r>
    </w:p>
    <w:p w14:paraId="74E609BC">
      <w:pPr>
        <w:pStyle w:val="24"/>
        <w:numPr>
          <w:ilvl w:val="0"/>
          <w:numId w:val="2"/>
        </w:numPr>
        <w:tabs>
          <w:tab w:val="left" w:pos="896"/>
        </w:tabs>
        <w:autoSpaceDE/>
        <w:autoSpaceDN/>
        <w:snapToGrid w:val="0"/>
        <w:ind w:left="938" w:leftChars="200" w:hanging="458" w:hangingChars="191"/>
        <w:jc w:val="both"/>
      </w:pPr>
      <w:r>
        <w:rPr>
          <w:rFonts w:hint="eastAsia"/>
        </w:rPr>
        <w:t>对结果的汇总和解释</w:t>
      </w:r>
    </w:p>
    <w:p w14:paraId="4AB676F1">
      <w:pPr>
        <w:pStyle w:val="24"/>
        <w:numPr>
          <w:ilvl w:val="0"/>
          <w:numId w:val="3"/>
        </w:numPr>
        <w:autoSpaceDE/>
        <w:autoSpaceDN/>
        <w:snapToGrid w:val="0"/>
        <w:ind w:left="1440" w:leftChars="600"/>
        <w:jc w:val="both"/>
        <w:rPr>
          <w:lang w:eastAsia="zh-CN"/>
        </w:rPr>
      </w:pPr>
      <w:r>
        <w:rPr>
          <w:rFonts w:hint="eastAsia"/>
          <w:lang w:eastAsia="zh-CN"/>
        </w:rPr>
        <w:t>最终安全性</w:t>
      </w:r>
      <w:r>
        <w:rPr>
          <w:lang w:eastAsia="zh-CN"/>
        </w:rPr>
        <w:t>/</w:t>
      </w:r>
      <w:r>
        <w:rPr>
          <w:rFonts w:hint="eastAsia"/>
          <w:lang w:eastAsia="zh-CN"/>
        </w:rPr>
        <w:t>有效性调查结果</w:t>
      </w:r>
    </w:p>
    <w:p w14:paraId="230A4F7F">
      <w:pPr>
        <w:pStyle w:val="24"/>
        <w:autoSpaceDE/>
        <w:autoSpaceDN/>
        <w:snapToGrid w:val="0"/>
        <w:ind w:left="1740"/>
        <w:jc w:val="both"/>
        <w:rPr>
          <w:snapToGrid w:val="0"/>
          <w:lang w:eastAsia="zh-CN"/>
        </w:rPr>
      </w:pPr>
      <w:bookmarkStart w:id="38" w:name="_Toc91249667"/>
    </w:p>
    <w:p w14:paraId="0B3630DD">
      <w:pPr>
        <w:pStyle w:val="2"/>
        <w:numPr>
          <w:ilvl w:val="0"/>
          <w:numId w:val="1"/>
        </w:numPr>
        <w:snapToGrid w:val="0"/>
        <w:spacing w:before="0" w:beforeLines="0" w:line="240" w:lineRule="auto"/>
        <w:ind w:left="562" w:hanging="562" w:firstLineChars="0"/>
        <w:rPr>
          <w:rFonts w:eastAsia="宋体"/>
          <w:sz w:val="28"/>
          <w:lang w:eastAsia="zh-CN"/>
        </w:rPr>
      </w:pPr>
      <w:bookmarkStart w:id="39" w:name="_Toc97546999"/>
      <w:r>
        <w:rPr>
          <w:rFonts w:hint="eastAsia" w:eastAsia="宋体"/>
          <w:sz w:val="28"/>
          <w:lang w:eastAsia="zh-CN"/>
        </w:rPr>
        <w:t>中期上市后监督报告的评价</w:t>
      </w:r>
      <w:bookmarkEnd w:id="38"/>
      <w:bookmarkEnd w:id="39"/>
    </w:p>
    <w:p w14:paraId="00FF56D2">
      <w:pPr>
        <w:snapToGrid w:val="0"/>
        <w:spacing w:after="0" w:line="240" w:lineRule="auto"/>
        <w:ind w:left="240" w:leftChars="100"/>
        <w:jc w:val="both"/>
        <w:rPr>
          <w:lang w:eastAsia="zh-CN"/>
        </w:rPr>
      </w:pPr>
      <w:r>
        <w:rPr>
          <w:lang w:eastAsia="zh-CN"/>
        </w:rPr>
        <w:t>FDA</w:t>
      </w:r>
      <w:r>
        <w:rPr>
          <w:rFonts w:hint="eastAsia"/>
          <w:lang w:eastAsia="zh-CN"/>
        </w:rPr>
        <w:t>在评价中期上市后监督</w:t>
      </w:r>
      <w:r>
        <w:rPr>
          <w:snapToGrid w:val="0"/>
          <w:szCs w:val="24"/>
          <w:lang w:eastAsia="zh-CN"/>
        </w:rPr>
        <w:t>研究报告</w:t>
      </w:r>
      <w:r>
        <w:rPr>
          <w:rFonts w:hint="eastAsia"/>
          <w:lang w:eastAsia="zh-CN"/>
        </w:rPr>
        <w:t>时</w:t>
      </w:r>
      <w:r>
        <w:rPr>
          <w:snapToGrid w:val="0"/>
          <w:szCs w:val="24"/>
          <w:lang w:eastAsia="zh-CN"/>
        </w:rPr>
        <w:t>需要</w:t>
      </w:r>
      <w:r>
        <w:rPr>
          <w:rFonts w:hint="eastAsia"/>
          <w:lang w:eastAsia="zh-CN"/>
        </w:rPr>
        <w:t>考虑多种因素，包括</w:t>
      </w:r>
      <w:r>
        <w:rPr>
          <w:snapToGrid w:val="0"/>
          <w:szCs w:val="24"/>
          <w:lang w:eastAsia="zh-CN"/>
        </w:rPr>
        <w:t>下列内容</w:t>
      </w:r>
      <w:r>
        <w:rPr>
          <w:rFonts w:hint="eastAsia"/>
          <w:lang w:eastAsia="zh-CN"/>
        </w:rPr>
        <w:t>：</w:t>
      </w:r>
    </w:p>
    <w:p w14:paraId="31F2281C">
      <w:pPr>
        <w:snapToGrid w:val="0"/>
        <w:spacing w:after="0" w:line="240" w:lineRule="auto"/>
        <w:ind w:left="240" w:leftChars="100"/>
        <w:jc w:val="both"/>
        <w:rPr>
          <w:snapToGrid w:val="0"/>
          <w:szCs w:val="24"/>
          <w:lang w:eastAsia="zh-CN"/>
        </w:rPr>
      </w:pPr>
    </w:p>
    <w:p w14:paraId="25515854">
      <w:pPr>
        <w:pStyle w:val="24"/>
        <w:numPr>
          <w:ilvl w:val="0"/>
          <w:numId w:val="2"/>
        </w:numPr>
        <w:tabs>
          <w:tab w:val="left" w:pos="896"/>
        </w:tabs>
        <w:autoSpaceDE/>
        <w:autoSpaceDN/>
        <w:snapToGrid w:val="0"/>
        <w:ind w:left="938" w:leftChars="200" w:hanging="458" w:hangingChars="191"/>
        <w:jc w:val="both"/>
        <w:rPr>
          <w:lang w:eastAsia="zh-CN"/>
        </w:rPr>
      </w:pPr>
      <w:r>
        <w:rPr>
          <w:rFonts w:hint="eastAsia"/>
          <w:lang w:eastAsia="zh-CN"/>
        </w:rPr>
        <w:t>报告内容的完整性（尤其是在实现主要和次要终点和性能目标方面，或在复合终点的情况下，有足够的单个终点数据推断进展情况）</w:t>
      </w:r>
    </w:p>
    <w:p w14:paraId="73323DD8">
      <w:pPr>
        <w:pStyle w:val="24"/>
        <w:numPr>
          <w:ilvl w:val="0"/>
          <w:numId w:val="2"/>
        </w:numPr>
        <w:tabs>
          <w:tab w:val="left" w:pos="896"/>
        </w:tabs>
        <w:autoSpaceDE/>
        <w:autoSpaceDN/>
        <w:snapToGrid w:val="0"/>
        <w:ind w:left="938" w:leftChars="200" w:hanging="458" w:hangingChars="191"/>
        <w:jc w:val="both"/>
        <w:rPr>
          <w:lang w:eastAsia="zh-CN"/>
        </w:rPr>
      </w:pPr>
      <w:r>
        <w:rPr>
          <w:rFonts w:hint="eastAsia"/>
          <w:lang w:eastAsia="zh-CN"/>
        </w:rPr>
        <w:t>报告时研究的预期与实际状态（</w:t>
      </w:r>
      <w:r>
        <w:rPr>
          <w:snapToGrid w:val="0"/>
          <w:lang w:eastAsia="zh-CN"/>
        </w:rPr>
        <w:t>特别是</w:t>
      </w:r>
      <w:r>
        <w:rPr>
          <w:rFonts w:hint="eastAsia"/>
          <w:lang w:eastAsia="zh-CN"/>
        </w:rPr>
        <w:t>招募受试者和研究地点的及时性以及遵守上市后监督计划中的时间表）</w:t>
      </w:r>
    </w:p>
    <w:p w14:paraId="215133BD">
      <w:pPr>
        <w:pStyle w:val="24"/>
        <w:numPr>
          <w:ilvl w:val="0"/>
          <w:numId w:val="2"/>
        </w:numPr>
        <w:tabs>
          <w:tab w:val="left" w:pos="896"/>
        </w:tabs>
        <w:autoSpaceDE/>
        <w:autoSpaceDN/>
        <w:snapToGrid w:val="0"/>
        <w:ind w:left="938" w:leftChars="200" w:hanging="458" w:hangingChars="191"/>
        <w:jc w:val="both"/>
        <w:rPr>
          <w:lang w:eastAsia="zh-CN"/>
        </w:rPr>
      </w:pPr>
      <w:r>
        <w:rPr>
          <w:rFonts w:hint="eastAsia"/>
          <w:lang w:eastAsia="zh-CN"/>
        </w:rPr>
        <w:t>上市后监督进展延迟的原因及解决方案</w:t>
      </w:r>
    </w:p>
    <w:p w14:paraId="61484BB3">
      <w:pPr>
        <w:pStyle w:val="24"/>
        <w:numPr>
          <w:ilvl w:val="0"/>
          <w:numId w:val="2"/>
        </w:numPr>
        <w:tabs>
          <w:tab w:val="left" w:pos="896"/>
        </w:tabs>
        <w:autoSpaceDE/>
        <w:autoSpaceDN/>
        <w:snapToGrid w:val="0"/>
        <w:ind w:left="938" w:leftChars="200" w:hanging="458" w:hangingChars="191"/>
        <w:jc w:val="both"/>
        <w:rPr>
          <w:lang w:eastAsia="zh-CN"/>
        </w:rPr>
      </w:pPr>
      <w:r>
        <w:rPr>
          <w:rFonts w:hint="eastAsia"/>
          <w:lang w:eastAsia="zh-CN"/>
        </w:rPr>
        <w:t>遵守上市后监督计划中的方法以及偏离方法的原因</w:t>
      </w:r>
    </w:p>
    <w:p w14:paraId="1FDC476B">
      <w:pPr>
        <w:pStyle w:val="24"/>
        <w:numPr>
          <w:ilvl w:val="0"/>
          <w:numId w:val="2"/>
        </w:numPr>
        <w:tabs>
          <w:tab w:val="left" w:pos="896"/>
        </w:tabs>
        <w:autoSpaceDE/>
        <w:autoSpaceDN/>
        <w:snapToGrid w:val="0"/>
        <w:ind w:left="938" w:leftChars="200" w:hanging="458" w:hangingChars="191"/>
        <w:jc w:val="both"/>
        <w:rPr>
          <w:lang w:eastAsia="zh-CN"/>
        </w:rPr>
      </w:pPr>
      <w:r>
        <w:rPr>
          <w:rFonts w:hint="eastAsia"/>
          <w:lang w:eastAsia="zh-CN"/>
        </w:rPr>
        <w:t>报告中的信息是否涉及公共卫生问题</w:t>
      </w:r>
    </w:p>
    <w:p w14:paraId="52007852">
      <w:pPr>
        <w:snapToGrid w:val="0"/>
        <w:spacing w:after="0" w:line="240" w:lineRule="auto"/>
        <w:ind w:left="240" w:leftChars="100" w:firstLine="480" w:firstLineChars="200"/>
        <w:jc w:val="both"/>
        <w:rPr>
          <w:snapToGrid w:val="0"/>
          <w:szCs w:val="24"/>
          <w:lang w:eastAsia="zh-CN"/>
        </w:rPr>
      </w:pPr>
    </w:p>
    <w:p w14:paraId="1DE02BCA">
      <w:pPr>
        <w:snapToGrid w:val="0"/>
        <w:spacing w:after="0" w:line="240" w:lineRule="auto"/>
        <w:ind w:left="240" w:leftChars="100" w:firstLine="480" w:firstLineChars="200"/>
        <w:jc w:val="both"/>
        <w:rPr>
          <w:lang w:eastAsia="zh-CN"/>
        </w:rPr>
      </w:pPr>
      <w:r>
        <w:rPr>
          <w:lang w:eastAsia="zh-CN"/>
        </w:rPr>
        <w:t>FDA</w:t>
      </w:r>
      <w:r>
        <w:rPr>
          <w:rFonts w:hint="eastAsia"/>
          <w:lang w:eastAsia="zh-CN"/>
        </w:rPr>
        <w:t>计划在收到提交文件后</w:t>
      </w:r>
      <w:r>
        <w:rPr>
          <w:lang w:eastAsia="zh-CN"/>
        </w:rPr>
        <w:t>30</w:t>
      </w:r>
      <w:r>
        <w:rPr>
          <w:rFonts w:hint="eastAsia"/>
          <w:lang w:eastAsia="zh-CN"/>
        </w:rPr>
        <w:t>个日历日内审查中期上市后监督报告。如果</w:t>
      </w:r>
      <w:r>
        <w:rPr>
          <w:lang w:eastAsia="zh-CN"/>
        </w:rPr>
        <w:t>FDA</w:t>
      </w:r>
      <w:r>
        <w:rPr>
          <w:rFonts w:hint="eastAsia"/>
          <w:lang w:eastAsia="zh-CN"/>
        </w:rPr>
        <w:t>对报告中提供的数据有疑问，或认为数据不完整或不足，</w:t>
      </w:r>
      <w:r>
        <w:rPr>
          <w:lang w:eastAsia="zh-CN"/>
        </w:rPr>
        <w:t>FDA</w:t>
      </w:r>
      <w:r>
        <w:rPr>
          <w:rFonts w:hint="eastAsia"/>
          <w:lang w:eastAsia="zh-CN"/>
        </w:rPr>
        <w:t>通常会以交互方式和</w:t>
      </w:r>
      <w:r>
        <w:rPr>
          <w:lang w:eastAsia="zh-CN"/>
        </w:rPr>
        <w:t>/</w:t>
      </w:r>
      <w:r>
        <w:rPr>
          <w:rFonts w:hint="eastAsia"/>
          <w:lang w:eastAsia="zh-CN"/>
        </w:rPr>
        <w:t>或通过缺陷函要求提供其他信息。如果中期报告中包含的数据不充分，或包含的数据对器械的安全性和</w:t>
      </w:r>
      <w:r>
        <w:rPr>
          <w:lang w:eastAsia="zh-CN"/>
        </w:rPr>
        <w:t>/</w:t>
      </w:r>
      <w:r>
        <w:rPr>
          <w:rFonts w:hint="eastAsia"/>
          <w:lang w:eastAsia="zh-CN"/>
        </w:rPr>
        <w:t>或有效性提出了新的</w:t>
      </w:r>
      <w:r>
        <w:rPr>
          <w:snapToGrid w:val="0"/>
          <w:szCs w:val="24"/>
          <w:lang w:eastAsia="zh-CN"/>
        </w:rPr>
        <w:t>问题</w:t>
      </w:r>
      <w:r>
        <w:rPr>
          <w:rFonts w:hint="eastAsia"/>
          <w:lang w:eastAsia="zh-CN"/>
        </w:rPr>
        <w:t>，</w:t>
      </w:r>
      <w:r>
        <w:rPr>
          <w:lang w:eastAsia="zh-CN"/>
        </w:rPr>
        <w:t>FDA</w:t>
      </w:r>
      <w:r>
        <w:rPr>
          <w:rFonts w:hint="eastAsia"/>
          <w:lang w:eastAsia="zh-CN"/>
        </w:rPr>
        <w:t>可酌情采取合规性或强制措施。</w:t>
      </w:r>
    </w:p>
    <w:p w14:paraId="315A0E41">
      <w:pPr>
        <w:snapToGrid w:val="0"/>
        <w:spacing w:after="0" w:line="240" w:lineRule="auto"/>
        <w:ind w:left="240" w:leftChars="100" w:firstLine="480" w:firstLineChars="200"/>
        <w:jc w:val="both"/>
        <w:rPr>
          <w:snapToGrid w:val="0"/>
          <w:szCs w:val="24"/>
          <w:lang w:eastAsia="zh-CN"/>
        </w:rPr>
      </w:pPr>
      <w:bookmarkStart w:id="40" w:name="_Toc91249668"/>
    </w:p>
    <w:p w14:paraId="138F6A0C">
      <w:pPr>
        <w:pStyle w:val="2"/>
        <w:numPr>
          <w:ilvl w:val="0"/>
          <w:numId w:val="1"/>
        </w:numPr>
        <w:snapToGrid w:val="0"/>
        <w:spacing w:before="0" w:beforeLines="0" w:line="240" w:lineRule="auto"/>
        <w:ind w:left="562" w:hanging="562" w:firstLineChars="0"/>
        <w:rPr>
          <w:rFonts w:eastAsia="宋体"/>
          <w:sz w:val="28"/>
          <w:lang w:eastAsia="zh-CN"/>
        </w:rPr>
      </w:pPr>
      <w:bookmarkStart w:id="41" w:name="_Toc97547000"/>
      <w:r>
        <w:rPr>
          <w:rFonts w:hint="eastAsia" w:eastAsia="宋体"/>
          <w:sz w:val="28"/>
          <w:lang w:eastAsia="zh-CN"/>
        </w:rPr>
        <w:t>评价</w:t>
      </w:r>
      <w:r>
        <w:rPr>
          <w:rFonts w:eastAsia="宋体"/>
          <w:sz w:val="28"/>
          <w:lang w:eastAsia="zh-CN"/>
        </w:rPr>
        <w:t>522</w:t>
      </w:r>
      <w:r>
        <w:rPr>
          <w:rFonts w:hint="eastAsia" w:eastAsia="宋体"/>
          <w:sz w:val="28"/>
          <w:lang w:eastAsia="zh-CN"/>
        </w:rPr>
        <w:t>指令完成后的上市后监督最终报告和</w:t>
      </w:r>
      <w:r>
        <w:rPr>
          <w:rFonts w:eastAsia="宋体"/>
          <w:sz w:val="28"/>
          <w:lang w:eastAsia="zh-CN"/>
        </w:rPr>
        <w:t>FDA</w:t>
      </w:r>
      <w:r>
        <w:rPr>
          <w:rFonts w:hint="eastAsia" w:eastAsia="宋体"/>
          <w:sz w:val="28"/>
          <w:lang w:eastAsia="zh-CN"/>
        </w:rPr>
        <w:t>可能采取的行动</w:t>
      </w:r>
      <w:bookmarkEnd w:id="40"/>
      <w:bookmarkEnd w:id="41"/>
    </w:p>
    <w:p w14:paraId="6664ED20">
      <w:pPr>
        <w:snapToGrid w:val="0"/>
        <w:spacing w:after="0" w:line="240" w:lineRule="auto"/>
        <w:ind w:left="240" w:leftChars="100" w:firstLine="480" w:firstLineChars="200"/>
        <w:jc w:val="both"/>
        <w:rPr>
          <w:lang w:eastAsia="zh-CN"/>
        </w:rPr>
      </w:pPr>
      <w:r>
        <w:rPr>
          <w:lang w:eastAsia="zh-CN"/>
        </w:rPr>
        <w:t>FDA</w:t>
      </w:r>
      <w:r>
        <w:rPr>
          <w:rFonts w:hint="eastAsia"/>
          <w:lang w:eastAsia="zh-CN"/>
        </w:rPr>
        <w:t>建议最终的上市后监督报告描述方法和结果，并解释其如何满足</w:t>
      </w:r>
      <w:r>
        <w:rPr>
          <w:lang w:eastAsia="zh-CN"/>
        </w:rPr>
        <w:t>522</w:t>
      </w:r>
      <w:r>
        <w:rPr>
          <w:rFonts w:hint="eastAsia"/>
          <w:lang w:eastAsia="zh-CN"/>
        </w:rPr>
        <w:t>指令中确定的公共卫生问题。</w:t>
      </w:r>
    </w:p>
    <w:p w14:paraId="09723C9E">
      <w:pPr>
        <w:snapToGrid w:val="0"/>
        <w:spacing w:after="0" w:line="240" w:lineRule="auto"/>
        <w:ind w:left="240" w:leftChars="100" w:firstLine="480" w:firstLineChars="200"/>
        <w:jc w:val="both"/>
        <w:rPr>
          <w:snapToGrid w:val="0"/>
          <w:szCs w:val="24"/>
          <w:lang w:eastAsia="zh-CN"/>
        </w:rPr>
      </w:pPr>
    </w:p>
    <w:p w14:paraId="1F19BD16">
      <w:pPr>
        <w:snapToGrid w:val="0"/>
        <w:spacing w:after="0" w:line="240" w:lineRule="auto"/>
        <w:ind w:left="240" w:leftChars="100"/>
        <w:jc w:val="both"/>
        <w:rPr>
          <w:lang w:eastAsia="zh-CN"/>
        </w:rPr>
      </w:pPr>
      <w:r>
        <w:rPr>
          <w:lang w:eastAsia="zh-CN"/>
        </w:rPr>
        <w:t>FDA</w:t>
      </w:r>
      <w:r>
        <w:rPr>
          <w:rFonts w:hint="eastAsia"/>
          <w:lang w:eastAsia="zh-CN"/>
        </w:rPr>
        <w:t>将考虑多个因素来评估最终的上市后监督报告，包括：</w:t>
      </w:r>
    </w:p>
    <w:p w14:paraId="3AB62646">
      <w:pPr>
        <w:snapToGrid w:val="0"/>
        <w:spacing w:after="0" w:line="240" w:lineRule="auto"/>
        <w:ind w:firstLine="480" w:firstLineChars="200"/>
        <w:jc w:val="both"/>
        <w:rPr>
          <w:snapToGrid w:val="0"/>
          <w:szCs w:val="24"/>
          <w:lang w:eastAsia="zh-CN"/>
        </w:rPr>
      </w:pPr>
      <w:r>
        <w:rPr>
          <w:snapToGrid w:val="0"/>
          <w:szCs w:val="24"/>
          <w:lang w:eastAsia="zh-CN"/>
        </w:rPr>
        <w:br w:type="page"/>
      </w:r>
    </w:p>
    <w:p w14:paraId="1F9F132C">
      <w:pPr>
        <w:pStyle w:val="24"/>
        <w:numPr>
          <w:ilvl w:val="0"/>
          <w:numId w:val="2"/>
        </w:numPr>
        <w:tabs>
          <w:tab w:val="left" w:pos="896"/>
        </w:tabs>
        <w:autoSpaceDE/>
        <w:autoSpaceDN/>
        <w:snapToGrid w:val="0"/>
        <w:ind w:left="900" w:leftChars="200" w:hanging="420"/>
        <w:jc w:val="both"/>
      </w:pPr>
      <w:r>
        <w:rPr>
          <w:rFonts w:hint="eastAsia"/>
        </w:rPr>
        <w:t>报告内容的完成度；</w:t>
      </w:r>
    </w:p>
    <w:p w14:paraId="31C184CF">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遵循上市后监督计划中的方法以及偏离方法的原因；</w:t>
      </w:r>
    </w:p>
    <w:p w14:paraId="7596AF2C">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评价报告中的信息，以评估器械的性能；和</w:t>
      </w:r>
    </w:p>
    <w:p w14:paraId="14C0A92B">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对</w:t>
      </w:r>
      <w:r>
        <w:rPr>
          <w:lang w:eastAsia="zh-CN"/>
        </w:rPr>
        <w:t>522</w:t>
      </w:r>
      <w:r>
        <w:rPr>
          <w:rFonts w:hint="eastAsia"/>
          <w:lang w:eastAsia="zh-CN"/>
        </w:rPr>
        <w:t>指令履行情况的评价（即公共卫生问题是否得到解决）。</w:t>
      </w:r>
    </w:p>
    <w:p w14:paraId="48BFA634">
      <w:pPr>
        <w:snapToGrid w:val="0"/>
        <w:spacing w:after="0" w:line="240" w:lineRule="auto"/>
        <w:ind w:left="240" w:leftChars="100" w:firstLine="480" w:firstLineChars="200"/>
        <w:jc w:val="both"/>
        <w:rPr>
          <w:snapToGrid w:val="0"/>
          <w:szCs w:val="24"/>
          <w:lang w:eastAsia="zh-CN"/>
        </w:rPr>
      </w:pPr>
    </w:p>
    <w:p w14:paraId="104E02A5">
      <w:pPr>
        <w:snapToGrid w:val="0"/>
        <w:spacing w:after="0" w:line="240" w:lineRule="auto"/>
        <w:ind w:left="240" w:leftChars="100" w:firstLine="480" w:firstLineChars="200"/>
        <w:jc w:val="both"/>
      </w:pPr>
      <w:r>
        <w:rPr>
          <w:lang w:eastAsia="zh-CN"/>
        </w:rPr>
        <w:t>FDA</w:t>
      </w:r>
      <w:r>
        <w:rPr>
          <w:rFonts w:hint="eastAsia"/>
          <w:lang w:eastAsia="zh-CN"/>
        </w:rPr>
        <w:t>计划在</w:t>
      </w:r>
      <w:r>
        <w:rPr>
          <w:lang w:eastAsia="zh-CN"/>
        </w:rPr>
        <w:t>60</w:t>
      </w:r>
      <w:r>
        <w:rPr>
          <w:rFonts w:hint="eastAsia"/>
          <w:lang w:eastAsia="zh-CN"/>
        </w:rPr>
        <w:t>个日历日内完成对制造商提交的最终上市后监督报告的审查并作出答复。如果</w:t>
      </w:r>
      <w:r>
        <w:rPr>
          <w:lang w:eastAsia="zh-CN"/>
        </w:rPr>
        <w:t>FDA</w:t>
      </w:r>
      <w:r>
        <w:rPr>
          <w:rFonts w:hint="eastAsia"/>
          <w:lang w:eastAsia="zh-CN"/>
        </w:rPr>
        <w:t>认定制造商已履行</w:t>
      </w:r>
      <w:r>
        <w:rPr>
          <w:lang w:eastAsia="zh-CN"/>
        </w:rPr>
        <w:t>522</w:t>
      </w:r>
      <w:r>
        <w:rPr>
          <w:rFonts w:hint="eastAsia"/>
          <w:lang w:eastAsia="zh-CN"/>
        </w:rPr>
        <w:t>指令中的义务，</w:t>
      </w:r>
      <w:r>
        <w:rPr>
          <w:lang w:eastAsia="zh-CN"/>
        </w:rPr>
        <w:t>FDA</w:t>
      </w:r>
      <w:r>
        <w:rPr>
          <w:rFonts w:hint="eastAsia"/>
          <w:lang w:eastAsia="zh-CN"/>
        </w:rPr>
        <w:t>将向制造商发送一封反映该决定的信函。然而，如果上市后监督的结果提出了新的问题，则可能需要采取其他行动。</w:t>
      </w:r>
      <w:r>
        <w:rPr>
          <w:snapToGrid w:val="0"/>
          <w:szCs w:val="24"/>
          <w:lang w:eastAsia="zh-CN"/>
        </w:rPr>
        <w:t>在此种情况下</w:t>
      </w:r>
      <w:r>
        <w:rPr>
          <w:rFonts w:hint="eastAsia"/>
        </w:rPr>
        <w:t>，</w:t>
      </w:r>
      <w:r>
        <w:t>FDA</w:t>
      </w:r>
      <w:r>
        <w:rPr>
          <w:rFonts w:hint="eastAsia"/>
        </w:rPr>
        <w:t>可以（例如）：</w:t>
      </w:r>
    </w:p>
    <w:p w14:paraId="647B9E35">
      <w:pPr>
        <w:snapToGrid w:val="0"/>
        <w:spacing w:after="0" w:line="240" w:lineRule="auto"/>
        <w:ind w:left="240" w:leftChars="100" w:firstLine="480" w:firstLineChars="200"/>
        <w:jc w:val="both"/>
        <w:rPr>
          <w:snapToGrid w:val="0"/>
          <w:szCs w:val="24"/>
          <w:lang w:eastAsia="zh-CN"/>
        </w:rPr>
      </w:pPr>
    </w:p>
    <w:p w14:paraId="78C3FF21">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请求更改器械标签，以反映从上市后监督中获得的其他信息；</w:t>
      </w:r>
    </w:p>
    <w:p w14:paraId="4FC753F0">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发出新的上市后监督指令，以解决新问题；或</w:t>
      </w:r>
    </w:p>
    <w:p w14:paraId="7FD41D55">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考虑保护公众健康的行政或管理措施（例如，请求对器械适用范围进行更新）。</w:t>
      </w:r>
    </w:p>
    <w:p w14:paraId="13131328">
      <w:pPr>
        <w:snapToGrid w:val="0"/>
        <w:spacing w:after="0" w:line="240" w:lineRule="auto"/>
        <w:jc w:val="both"/>
        <w:rPr>
          <w:lang w:eastAsia="zh-CN"/>
        </w:rPr>
      </w:pPr>
    </w:p>
    <w:p w14:paraId="1B2046D7">
      <w:pPr>
        <w:pStyle w:val="2"/>
        <w:numPr>
          <w:ilvl w:val="0"/>
          <w:numId w:val="1"/>
        </w:numPr>
        <w:snapToGrid w:val="0"/>
        <w:spacing w:before="0" w:beforeLines="0" w:line="240" w:lineRule="auto"/>
        <w:ind w:left="562" w:hanging="562" w:firstLineChars="0"/>
        <w:rPr>
          <w:rFonts w:eastAsia="宋体"/>
          <w:sz w:val="28"/>
        </w:rPr>
      </w:pPr>
      <w:bookmarkStart w:id="42" w:name="_Toc97547001"/>
      <w:bookmarkStart w:id="43" w:name="_Toc91249669"/>
      <w:r>
        <w:rPr>
          <w:rFonts w:hint="eastAsia" w:eastAsia="宋体"/>
          <w:sz w:val="28"/>
        </w:rPr>
        <w:t>制造商的报告状态</w:t>
      </w:r>
      <w:bookmarkEnd w:id="42"/>
      <w:bookmarkEnd w:id="43"/>
    </w:p>
    <w:p w14:paraId="5D772084">
      <w:pPr>
        <w:snapToGrid w:val="0"/>
        <w:spacing w:after="0" w:line="240" w:lineRule="auto"/>
        <w:ind w:left="240" w:leftChars="100" w:firstLine="480" w:firstLineChars="200"/>
        <w:jc w:val="both"/>
        <w:rPr>
          <w:snapToGrid w:val="0"/>
          <w:szCs w:val="24"/>
          <w:lang w:eastAsia="zh-CN"/>
        </w:rPr>
      </w:pPr>
      <w:r>
        <w:rPr>
          <w:rFonts w:hint="eastAsia"/>
          <w:lang w:eastAsia="zh-CN"/>
        </w:rPr>
        <w:t>在收到中期或最终的上市后监督报告后，</w:t>
      </w:r>
      <w:r>
        <w:rPr>
          <w:lang w:eastAsia="zh-CN"/>
        </w:rPr>
        <w:t>FDA</w:t>
      </w:r>
      <w:r>
        <w:rPr>
          <w:rFonts w:hint="eastAsia"/>
          <w:lang w:eastAsia="zh-CN"/>
        </w:rPr>
        <w:t>将根据上市后监督计划中的时间表确定报告状态。报告状态类别见下表</w:t>
      </w:r>
      <w:r>
        <w:rPr>
          <w:lang w:eastAsia="zh-CN"/>
        </w:rPr>
        <w:t>2</w:t>
      </w:r>
      <w:r>
        <w:rPr>
          <w:rFonts w:hint="eastAsia"/>
          <w:lang w:eastAsia="zh-CN"/>
        </w:rPr>
        <w:t>。每个上市后监督研究的报告状态将发布在</w:t>
      </w:r>
      <w:r>
        <w:rPr>
          <w:lang w:eastAsia="zh-CN"/>
        </w:rPr>
        <w:t>522</w:t>
      </w:r>
      <w:r>
        <w:rPr>
          <w:rFonts w:hint="eastAsia"/>
          <w:lang w:eastAsia="zh-CN"/>
        </w:rPr>
        <w:t>上市后监督计划网页中。</w:t>
      </w:r>
      <w:r>
        <w:rPr>
          <w:rStyle w:val="17"/>
          <w:snapToGrid w:val="0"/>
          <w:szCs w:val="24"/>
          <w:lang w:eastAsia="zh-CN"/>
        </w:rPr>
        <w:footnoteReference w:id="40"/>
      </w:r>
    </w:p>
    <w:p w14:paraId="29F257DE">
      <w:pPr>
        <w:snapToGrid w:val="0"/>
        <w:spacing w:after="0" w:line="240" w:lineRule="auto"/>
        <w:ind w:left="240" w:leftChars="100" w:firstLine="480" w:firstLineChars="200"/>
        <w:jc w:val="both"/>
        <w:rPr>
          <w:lang w:eastAsia="zh-CN"/>
        </w:rPr>
      </w:pPr>
    </w:p>
    <w:p w14:paraId="0E9F9468">
      <w:pPr>
        <w:keepNext/>
        <w:snapToGrid w:val="0"/>
        <w:spacing w:after="0" w:line="240" w:lineRule="auto"/>
        <w:jc w:val="center"/>
      </w:pPr>
      <w:r>
        <w:rPr>
          <w:rFonts w:hint="eastAsia"/>
          <w:b/>
        </w:rPr>
        <w:t>表</w:t>
      </w:r>
      <w:r>
        <w:rPr>
          <w:b/>
        </w:rPr>
        <w:t>2.</w:t>
      </w:r>
      <w:r>
        <w:rPr>
          <w:rFonts w:hint="eastAsia"/>
          <w:b/>
        </w:rPr>
        <w:t>报告状态类别</w:t>
      </w:r>
    </w:p>
    <w:tbl>
      <w:tblPr>
        <w:tblStyle w:val="13"/>
        <w:tblW w:w="0" w:type="auto"/>
        <w:tblInd w:w="318" w:type="dxa"/>
        <w:tblLayout w:type="fixed"/>
        <w:tblCellMar>
          <w:top w:w="0" w:type="dxa"/>
          <w:left w:w="57" w:type="dxa"/>
          <w:bottom w:w="0" w:type="dxa"/>
          <w:right w:w="57" w:type="dxa"/>
        </w:tblCellMar>
      </w:tblPr>
      <w:tblGrid>
        <w:gridCol w:w="2048"/>
        <w:gridCol w:w="7065"/>
      </w:tblGrid>
      <w:tr w14:paraId="158F0E4A">
        <w:tblPrEx>
          <w:tblCellMar>
            <w:top w:w="0" w:type="dxa"/>
            <w:left w:w="57" w:type="dxa"/>
            <w:bottom w:w="0" w:type="dxa"/>
            <w:right w:w="57" w:type="dxa"/>
          </w:tblCellMar>
        </w:tblPrEx>
        <w:tc>
          <w:tcPr>
            <w:tcW w:w="2048" w:type="dxa"/>
            <w:tcBorders>
              <w:top w:val="single" w:color="auto" w:sz="4" w:space="0"/>
              <w:left w:val="nil"/>
              <w:bottom w:val="nil"/>
              <w:right w:val="nil"/>
            </w:tcBorders>
            <w:shd w:val="clear" w:color="auto" w:fill="D9D9D9"/>
          </w:tcPr>
          <w:p w14:paraId="232F1474">
            <w:pPr>
              <w:snapToGrid w:val="0"/>
              <w:spacing w:after="0" w:line="240" w:lineRule="auto"/>
              <w:jc w:val="both"/>
              <w:rPr>
                <w:sz w:val="21"/>
              </w:rPr>
            </w:pPr>
            <w:r>
              <w:rPr>
                <w:rFonts w:hint="eastAsia"/>
                <w:b/>
                <w:color w:val="000000"/>
                <w:sz w:val="21"/>
              </w:rPr>
              <w:t>状态</w:t>
            </w:r>
          </w:p>
        </w:tc>
        <w:tc>
          <w:tcPr>
            <w:tcW w:w="7065" w:type="dxa"/>
            <w:tcBorders>
              <w:top w:val="single" w:color="auto" w:sz="4" w:space="0"/>
              <w:left w:val="nil"/>
              <w:bottom w:val="nil"/>
              <w:right w:val="nil"/>
            </w:tcBorders>
            <w:shd w:val="clear" w:color="auto" w:fill="D9D9D9"/>
          </w:tcPr>
          <w:p w14:paraId="0EE82E60">
            <w:pPr>
              <w:snapToGrid w:val="0"/>
              <w:spacing w:after="0" w:line="240" w:lineRule="auto"/>
              <w:jc w:val="both"/>
              <w:rPr>
                <w:sz w:val="21"/>
              </w:rPr>
            </w:pPr>
            <w:r>
              <w:rPr>
                <w:rFonts w:hint="eastAsia"/>
                <w:b/>
                <w:color w:val="000000"/>
                <w:sz w:val="21"/>
              </w:rPr>
              <w:t>定义</w:t>
            </w:r>
          </w:p>
        </w:tc>
      </w:tr>
      <w:tr w14:paraId="780E8C9F">
        <w:tblPrEx>
          <w:tblCellMar>
            <w:top w:w="0" w:type="dxa"/>
            <w:left w:w="57" w:type="dxa"/>
            <w:bottom w:w="0" w:type="dxa"/>
            <w:right w:w="57" w:type="dxa"/>
          </w:tblCellMar>
        </w:tblPrEx>
        <w:tc>
          <w:tcPr>
            <w:tcW w:w="2048" w:type="dxa"/>
            <w:tcBorders>
              <w:top w:val="single" w:color="auto" w:sz="4" w:space="0"/>
              <w:left w:val="nil"/>
              <w:bottom w:val="nil"/>
              <w:right w:val="nil"/>
            </w:tcBorders>
            <w:shd w:val="clear" w:color="auto" w:fill="FFFFFF"/>
          </w:tcPr>
          <w:p w14:paraId="1EA9E58B">
            <w:pPr>
              <w:snapToGrid w:val="0"/>
              <w:spacing w:after="0" w:line="240" w:lineRule="auto"/>
              <w:jc w:val="both"/>
              <w:rPr>
                <w:sz w:val="21"/>
              </w:rPr>
            </w:pPr>
            <w:r>
              <w:rPr>
                <w:rFonts w:hint="eastAsia"/>
                <w:b/>
                <w:color w:val="000000"/>
                <w:sz w:val="21"/>
              </w:rPr>
              <w:t>报告准时</w:t>
            </w:r>
          </w:p>
        </w:tc>
        <w:tc>
          <w:tcPr>
            <w:tcW w:w="7065" w:type="dxa"/>
            <w:tcBorders>
              <w:top w:val="single" w:color="auto" w:sz="4" w:space="0"/>
              <w:left w:val="nil"/>
              <w:bottom w:val="nil"/>
              <w:right w:val="nil"/>
            </w:tcBorders>
            <w:shd w:val="clear" w:color="auto" w:fill="FFFFFF"/>
          </w:tcPr>
          <w:p w14:paraId="499FD4B2">
            <w:pPr>
              <w:snapToGrid w:val="0"/>
              <w:spacing w:after="0" w:line="240" w:lineRule="auto"/>
              <w:jc w:val="both"/>
              <w:rPr>
                <w:sz w:val="21"/>
                <w:lang w:eastAsia="zh-CN"/>
              </w:rPr>
            </w:pPr>
            <w:r>
              <w:rPr>
                <w:color w:val="000000"/>
                <w:sz w:val="21"/>
                <w:lang w:eastAsia="zh-CN"/>
              </w:rPr>
              <w:t>FDA</w:t>
            </w:r>
            <w:r>
              <w:rPr>
                <w:rFonts w:hint="eastAsia"/>
                <w:color w:val="000000"/>
                <w:sz w:val="21"/>
                <w:lang w:eastAsia="zh-CN"/>
              </w:rPr>
              <w:t>已在商定时间表中规定的截止日期前收到预定的中期或最终上市后监督报告。</w:t>
            </w:r>
          </w:p>
        </w:tc>
      </w:tr>
      <w:tr w14:paraId="6EDDA37B">
        <w:tblPrEx>
          <w:tblCellMar>
            <w:top w:w="0" w:type="dxa"/>
            <w:left w:w="57" w:type="dxa"/>
            <w:bottom w:w="0" w:type="dxa"/>
            <w:right w:w="57" w:type="dxa"/>
          </w:tblCellMar>
        </w:tblPrEx>
        <w:tc>
          <w:tcPr>
            <w:tcW w:w="2048" w:type="dxa"/>
            <w:tcBorders>
              <w:top w:val="single" w:color="auto" w:sz="4" w:space="0"/>
              <w:left w:val="nil"/>
              <w:bottom w:val="nil"/>
              <w:right w:val="nil"/>
            </w:tcBorders>
            <w:shd w:val="clear" w:color="auto" w:fill="FFFFFF"/>
          </w:tcPr>
          <w:p w14:paraId="66E296DC">
            <w:pPr>
              <w:snapToGrid w:val="0"/>
              <w:spacing w:after="0" w:line="240" w:lineRule="auto"/>
              <w:jc w:val="both"/>
              <w:rPr>
                <w:sz w:val="21"/>
              </w:rPr>
            </w:pPr>
            <w:r>
              <w:rPr>
                <w:rFonts w:hint="eastAsia"/>
                <w:b/>
                <w:color w:val="000000"/>
                <w:sz w:val="21"/>
              </w:rPr>
              <w:t>报告逾期</w:t>
            </w:r>
          </w:p>
        </w:tc>
        <w:tc>
          <w:tcPr>
            <w:tcW w:w="7065" w:type="dxa"/>
            <w:tcBorders>
              <w:top w:val="single" w:color="auto" w:sz="4" w:space="0"/>
              <w:left w:val="nil"/>
              <w:bottom w:val="nil"/>
              <w:right w:val="nil"/>
            </w:tcBorders>
            <w:shd w:val="clear" w:color="auto" w:fill="FFFFFF"/>
          </w:tcPr>
          <w:p w14:paraId="648AE530">
            <w:pPr>
              <w:snapToGrid w:val="0"/>
              <w:spacing w:after="0" w:line="240" w:lineRule="auto"/>
              <w:jc w:val="both"/>
              <w:rPr>
                <w:sz w:val="21"/>
                <w:lang w:eastAsia="zh-CN"/>
              </w:rPr>
            </w:pPr>
            <w:r>
              <w:rPr>
                <w:rFonts w:hint="eastAsia"/>
                <w:color w:val="000000"/>
                <w:sz w:val="21"/>
                <w:lang w:eastAsia="zh-CN"/>
              </w:rPr>
              <w:t>在商定时间表中规定的截止日期之前，</w:t>
            </w:r>
            <w:r>
              <w:rPr>
                <w:color w:val="000000"/>
                <w:sz w:val="21"/>
                <w:lang w:eastAsia="zh-CN"/>
              </w:rPr>
              <w:t>FDA</w:t>
            </w:r>
            <w:r>
              <w:rPr>
                <w:rFonts w:hint="eastAsia"/>
                <w:color w:val="000000"/>
                <w:sz w:val="21"/>
                <w:lang w:eastAsia="zh-CN"/>
              </w:rPr>
              <w:t>尚未收到中期或最终的上市后监督报告。</w:t>
            </w:r>
          </w:p>
        </w:tc>
      </w:tr>
      <w:tr w14:paraId="3DFED5DA">
        <w:tblPrEx>
          <w:tblCellMar>
            <w:top w:w="0" w:type="dxa"/>
            <w:left w:w="57" w:type="dxa"/>
            <w:bottom w:w="0" w:type="dxa"/>
            <w:right w:w="57" w:type="dxa"/>
          </w:tblCellMar>
        </w:tblPrEx>
        <w:tc>
          <w:tcPr>
            <w:tcW w:w="2048" w:type="dxa"/>
            <w:tcBorders>
              <w:top w:val="single" w:color="auto" w:sz="4" w:space="0"/>
              <w:left w:val="nil"/>
              <w:bottom w:val="single" w:color="auto" w:sz="4" w:space="0"/>
              <w:right w:val="nil"/>
            </w:tcBorders>
            <w:shd w:val="clear" w:color="auto" w:fill="FFFFFF"/>
          </w:tcPr>
          <w:p w14:paraId="6A0F490E">
            <w:pPr>
              <w:snapToGrid w:val="0"/>
              <w:spacing w:after="0" w:line="240" w:lineRule="auto"/>
              <w:jc w:val="both"/>
              <w:rPr>
                <w:sz w:val="21"/>
              </w:rPr>
            </w:pPr>
            <w:r>
              <w:rPr>
                <w:rFonts w:hint="eastAsia"/>
                <w:b/>
                <w:color w:val="000000"/>
                <w:sz w:val="21"/>
              </w:rPr>
              <w:t>报告逾期</w:t>
            </w:r>
            <w:r>
              <w:rPr>
                <w:b/>
                <w:color w:val="000000"/>
                <w:sz w:val="21"/>
              </w:rPr>
              <w:t>/</w:t>
            </w:r>
            <w:r>
              <w:rPr>
                <w:b/>
                <w:snapToGrid w:val="0"/>
                <w:color w:val="000000"/>
                <w:sz w:val="21"/>
                <w:szCs w:val="21"/>
                <w:lang w:eastAsia="zh-CN"/>
              </w:rPr>
              <w:t>已接收</w:t>
            </w:r>
          </w:p>
        </w:tc>
        <w:tc>
          <w:tcPr>
            <w:tcW w:w="7065" w:type="dxa"/>
            <w:tcBorders>
              <w:top w:val="single" w:color="auto" w:sz="4" w:space="0"/>
              <w:left w:val="nil"/>
              <w:bottom w:val="single" w:color="auto" w:sz="4" w:space="0"/>
              <w:right w:val="nil"/>
            </w:tcBorders>
            <w:shd w:val="clear" w:color="auto" w:fill="FFFFFF"/>
          </w:tcPr>
          <w:p w14:paraId="57D2157F">
            <w:pPr>
              <w:snapToGrid w:val="0"/>
              <w:spacing w:after="0" w:line="240" w:lineRule="auto"/>
              <w:jc w:val="both"/>
              <w:rPr>
                <w:sz w:val="21"/>
                <w:lang w:eastAsia="zh-CN"/>
              </w:rPr>
            </w:pPr>
            <w:r>
              <w:rPr>
                <w:color w:val="000000"/>
                <w:sz w:val="21"/>
                <w:lang w:eastAsia="zh-CN"/>
              </w:rPr>
              <w:t>FDA</w:t>
            </w:r>
            <w:r>
              <w:rPr>
                <w:rFonts w:hint="eastAsia"/>
                <w:color w:val="000000"/>
                <w:sz w:val="21"/>
                <w:lang w:eastAsia="zh-CN"/>
              </w:rPr>
              <w:t>已经收到了中期或最终的上市后监督报告，但该报告的接收日期发生在商定时间表中规定的截止日期之后。</w:t>
            </w:r>
          </w:p>
        </w:tc>
      </w:tr>
    </w:tbl>
    <w:p w14:paraId="383326B0">
      <w:pPr>
        <w:snapToGrid w:val="0"/>
        <w:spacing w:after="0" w:line="240" w:lineRule="auto"/>
        <w:jc w:val="both"/>
        <w:rPr>
          <w:b/>
          <w:bCs/>
          <w:snapToGrid w:val="0"/>
          <w:szCs w:val="24"/>
          <w:lang w:eastAsia="zh-CN"/>
        </w:rPr>
      </w:pPr>
      <w:bookmarkStart w:id="44" w:name="_Toc91249670"/>
      <w:r>
        <w:rPr>
          <w:snapToGrid w:val="0"/>
          <w:szCs w:val="24"/>
          <w:lang w:eastAsia="zh-CN"/>
        </w:rPr>
        <w:br w:type="page"/>
      </w:r>
    </w:p>
    <w:p w14:paraId="2992AD78">
      <w:pPr>
        <w:pStyle w:val="2"/>
        <w:numPr>
          <w:ilvl w:val="0"/>
          <w:numId w:val="1"/>
        </w:numPr>
        <w:snapToGrid w:val="0"/>
        <w:spacing w:before="0" w:beforeLines="0" w:line="240" w:lineRule="auto"/>
        <w:ind w:left="562" w:hanging="562" w:firstLineChars="0"/>
        <w:rPr>
          <w:rFonts w:eastAsia="宋体"/>
          <w:sz w:val="28"/>
        </w:rPr>
      </w:pPr>
      <w:bookmarkStart w:id="45" w:name="_Toc97547002"/>
      <w:r>
        <w:rPr>
          <w:rFonts w:hint="eastAsia" w:eastAsia="宋体"/>
          <w:sz w:val="28"/>
        </w:rPr>
        <w:t>上市后监督状态</w:t>
      </w:r>
      <w:bookmarkEnd w:id="44"/>
      <w:bookmarkEnd w:id="45"/>
    </w:p>
    <w:p w14:paraId="36E93466">
      <w:pPr>
        <w:snapToGrid w:val="0"/>
        <w:spacing w:after="0" w:line="240" w:lineRule="auto"/>
        <w:ind w:left="240" w:leftChars="100" w:firstLine="480" w:firstLineChars="200"/>
        <w:jc w:val="both"/>
        <w:rPr>
          <w:lang w:eastAsia="zh-CN"/>
        </w:rPr>
      </w:pPr>
      <w:r>
        <w:rPr>
          <w:rFonts w:hint="eastAsia"/>
          <w:lang w:eastAsia="zh-CN"/>
        </w:rPr>
        <w:t>在审查了补充上市后监督研究计划</w:t>
      </w:r>
      <w:r>
        <w:rPr>
          <w:snapToGrid w:val="0"/>
          <w:szCs w:val="24"/>
          <w:lang w:eastAsia="zh-CN"/>
        </w:rPr>
        <w:t>、</w:t>
      </w:r>
      <w:r>
        <w:rPr>
          <w:rFonts w:hint="eastAsia"/>
          <w:lang w:eastAsia="zh-CN"/>
        </w:rPr>
        <w:t>中期</w:t>
      </w:r>
      <w:r>
        <w:rPr>
          <w:rStyle w:val="17"/>
          <w:snapToGrid w:val="0"/>
          <w:szCs w:val="24"/>
          <w:lang w:eastAsia="zh-CN"/>
        </w:rPr>
        <w:footnoteReference w:id="41"/>
      </w:r>
      <w:r>
        <w:rPr>
          <w:rFonts w:hint="eastAsia"/>
          <w:lang w:eastAsia="zh-CN"/>
        </w:rPr>
        <w:t>或最终报告后，</w:t>
      </w:r>
      <w:r>
        <w:rPr>
          <w:lang w:eastAsia="zh-CN"/>
        </w:rPr>
        <w:t>FDA</w:t>
      </w:r>
      <w:r>
        <w:rPr>
          <w:rFonts w:hint="eastAsia"/>
          <w:lang w:eastAsia="zh-CN"/>
        </w:rPr>
        <w:t>将考虑制造商完成后上市后监督的进展。考虑上市后监督状态的因素</w:t>
      </w:r>
      <w:r>
        <w:rPr>
          <w:snapToGrid w:val="0"/>
          <w:szCs w:val="24"/>
          <w:lang w:eastAsia="zh-CN"/>
        </w:rPr>
        <w:t>，</w:t>
      </w:r>
      <w:r>
        <w:rPr>
          <w:rFonts w:hint="eastAsia"/>
          <w:lang w:eastAsia="zh-CN"/>
        </w:rPr>
        <w:t>包括（如适用）：</w:t>
      </w:r>
    </w:p>
    <w:p w14:paraId="291D5563">
      <w:pPr>
        <w:snapToGrid w:val="0"/>
        <w:spacing w:after="0" w:line="240" w:lineRule="auto"/>
        <w:ind w:left="720" w:leftChars="100" w:hanging="480" w:hangingChars="200"/>
        <w:jc w:val="both"/>
        <w:rPr>
          <w:lang w:eastAsia="zh-CN"/>
        </w:rPr>
      </w:pPr>
      <w:r>
        <w:rPr>
          <w:lang w:eastAsia="zh-CN"/>
        </w:rPr>
        <w:t>1.</w:t>
      </w:r>
      <w:r>
        <w:rPr>
          <w:lang w:eastAsia="zh-CN"/>
        </w:rPr>
        <w:tab/>
      </w:r>
      <w:r>
        <w:rPr>
          <w:rFonts w:hint="eastAsia"/>
          <w:lang w:eastAsia="zh-CN"/>
        </w:rPr>
        <w:t>评估监督计划批准的状态</w:t>
      </w:r>
    </w:p>
    <w:p w14:paraId="3AA3DBDA">
      <w:pPr>
        <w:snapToGrid w:val="0"/>
        <w:spacing w:after="0" w:line="240" w:lineRule="auto"/>
        <w:ind w:left="720" w:leftChars="100" w:hanging="480" w:hangingChars="200"/>
        <w:jc w:val="both"/>
        <w:rPr>
          <w:lang w:eastAsia="zh-CN"/>
        </w:rPr>
      </w:pPr>
      <w:r>
        <w:rPr>
          <w:lang w:eastAsia="zh-CN"/>
        </w:rPr>
        <w:t>2.</w:t>
      </w:r>
      <w:r>
        <w:rPr>
          <w:lang w:eastAsia="zh-CN"/>
        </w:rPr>
        <w:tab/>
      </w:r>
      <w:r>
        <w:rPr>
          <w:rFonts w:hint="eastAsia"/>
          <w:lang w:eastAsia="zh-CN"/>
        </w:rPr>
        <w:t>监督计划批准后，评估以下各项：</w:t>
      </w:r>
    </w:p>
    <w:p w14:paraId="3E1B118D">
      <w:pPr>
        <w:snapToGrid w:val="0"/>
        <w:spacing w:after="0" w:line="240" w:lineRule="auto"/>
        <w:ind w:left="1440" w:leftChars="400" w:hanging="480" w:hangingChars="200"/>
        <w:jc w:val="both"/>
        <w:rPr>
          <w:lang w:eastAsia="zh-CN"/>
        </w:rPr>
      </w:pPr>
      <w:r>
        <w:rPr>
          <w:lang w:eastAsia="zh-CN"/>
        </w:rPr>
        <w:t>a.</w:t>
      </w:r>
      <w:r>
        <w:rPr>
          <w:lang w:eastAsia="zh-CN"/>
        </w:rPr>
        <w:tab/>
      </w:r>
      <w:r>
        <w:rPr>
          <w:rFonts w:hint="eastAsia"/>
          <w:lang w:eastAsia="zh-CN"/>
        </w:rPr>
        <w:t>是否满足监督计划时间节点</w:t>
      </w:r>
    </w:p>
    <w:p w14:paraId="64A4A74C">
      <w:pPr>
        <w:snapToGrid w:val="0"/>
        <w:spacing w:after="0" w:line="240" w:lineRule="auto"/>
        <w:ind w:left="1440" w:leftChars="400" w:hanging="480" w:hangingChars="200"/>
        <w:jc w:val="both"/>
        <w:rPr>
          <w:lang w:eastAsia="zh-CN"/>
        </w:rPr>
      </w:pPr>
      <w:r>
        <w:rPr>
          <w:lang w:eastAsia="zh-CN"/>
        </w:rPr>
        <w:t>b.</w:t>
      </w:r>
      <w:r>
        <w:rPr>
          <w:lang w:eastAsia="zh-CN"/>
        </w:rPr>
        <w:tab/>
      </w:r>
      <w:r>
        <w:rPr>
          <w:rFonts w:hint="eastAsia"/>
          <w:lang w:eastAsia="zh-CN"/>
        </w:rPr>
        <w:t>数据累积的进展</w:t>
      </w:r>
    </w:p>
    <w:p w14:paraId="2238F105">
      <w:pPr>
        <w:snapToGrid w:val="0"/>
        <w:spacing w:after="0" w:line="240" w:lineRule="auto"/>
        <w:ind w:left="1440" w:leftChars="400" w:hanging="480" w:hangingChars="200"/>
        <w:jc w:val="both"/>
        <w:rPr>
          <w:lang w:eastAsia="zh-CN"/>
        </w:rPr>
      </w:pPr>
      <w:r>
        <w:rPr>
          <w:lang w:eastAsia="zh-CN"/>
        </w:rPr>
        <w:t>c.</w:t>
      </w:r>
      <w:r>
        <w:rPr>
          <w:lang w:eastAsia="zh-CN"/>
        </w:rPr>
        <w:tab/>
      </w:r>
      <w:r>
        <w:rPr>
          <w:rFonts w:hint="eastAsia"/>
          <w:lang w:eastAsia="zh-CN"/>
        </w:rPr>
        <w:t>提交最终报告</w:t>
      </w:r>
    </w:p>
    <w:p w14:paraId="02B0F1BF">
      <w:pPr>
        <w:snapToGrid w:val="0"/>
        <w:spacing w:after="0" w:line="240" w:lineRule="auto"/>
        <w:ind w:left="240" w:leftChars="100" w:firstLine="480" w:firstLineChars="200"/>
        <w:jc w:val="both"/>
        <w:rPr>
          <w:snapToGrid w:val="0"/>
          <w:szCs w:val="24"/>
          <w:lang w:eastAsia="zh-CN"/>
        </w:rPr>
      </w:pPr>
    </w:p>
    <w:p w14:paraId="2EB8E47F">
      <w:pPr>
        <w:snapToGrid w:val="0"/>
        <w:spacing w:after="0" w:line="240" w:lineRule="auto"/>
        <w:ind w:left="240" w:leftChars="100" w:firstLine="480" w:firstLineChars="200"/>
        <w:jc w:val="both"/>
        <w:rPr>
          <w:color w:val="000000"/>
          <w:lang w:eastAsia="zh-CN"/>
        </w:rPr>
      </w:pPr>
      <w:r>
        <w:rPr>
          <w:rFonts w:hint="eastAsia"/>
          <w:lang w:eastAsia="zh-CN"/>
        </w:rPr>
        <w:t>基于上述情况，</w:t>
      </w:r>
      <w:r>
        <w:rPr>
          <w:lang w:eastAsia="zh-CN"/>
        </w:rPr>
        <w:t>FDA</w:t>
      </w:r>
      <w:r>
        <w:rPr>
          <w:rFonts w:hint="eastAsia"/>
          <w:lang w:eastAsia="zh-CN"/>
        </w:rPr>
        <w:t>将审查潜在的进展类别（见下表</w:t>
      </w:r>
      <w:r>
        <w:rPr>
          <w:lang w:eastAsia="zh-CN"/>
        </w:rPr>
        <w:t>3</w:t>
      </w:r>
      <w:r>
        <w:rPr>
          <w:rFonts w:hint="eastAsia"/>
          <w:lang w:eastAsia="zh-CN"/>
        </w:rPr>
        <w:t>），并考虑将发布在第</w:t>
      </w:r>
      <w:r>
        <w:rPr>
          <w:lang w:eastAsia="zh-CN"/>
        </w:rPr>
        <w:t>522</w:t>
      </w:r>
      <w:r>
        <w:rPr>
          <w:rFonts w:hint="eastAsia"/>
          <w:lang w:eastAsia="zh-CN"/>
        </w:rPr>
        <w:t>节上市后监督计划公共网页上的适当进展状况。</w:t>
      </w:r>
      <w:r>
        <w:rPr>
          <w:rStyle w:val="17"/>
          <w:snapToGrid w:val="0"/>
          <w:szCs w:val="24"/>
          <w:lang w:eastAsia="zh-CN"/>
        </w:rPr>
        <w:footnoteReference w:id="42"/>
      </w:r>
      <w:r>
        <w:rPr>
          <w:rFonts w:hint="eastAsia"/>
          <w:lang w:eastAsia="zh-CN"/>
        </w:rPr>
        <w:t>有关以何种方式处理监督时间表变更的信息，请参阅</w:t>
      </w:r>
      <w:r>
        <w:rPr>
          <w:rFonts w:hint="eastAsia"/>
          <w:color w:val="0000FF"/>
          <w:u w:val="single"/>
          <w:lang w:eastAsia="zh-CN"/>
        </w:rPr>
        <w:t>第</w:t>
      </w:r>
      <w:r>
        <w:rPr>
          <w:color w:val="0000FF"/>
          <w:u w:val="single"/>
          <w:lang w:eastAsia="zh-CN"/>
        </w:rPr>
        <w:t>III</w:t>
      </w:r>
      <w:r>
        <w:rPr>
          <w:rFonts w:hint="eastAsia"/>
          <w:color w:val="0000FF"/>
          <w:u w:val="single"/>
          <w:lang w:eastAsia="zh-CN"/>
        </w:rPr>
        <w:t>节</w:t>
      </w:r>
      <w:r>
        <w:rPr>
          <w:color w:val="0000FF"/>
          <w:u w:val="single"/>
          <w:lang w:eastAsia="zh-CN"/>
        </w:rPr>
        <w:t>D</w:t>
      </w:r>
      <w:r>
        <w:rPr>
          <w:rFonts w:hint="eastAsia"/>
          <w:lang w:eastAsia="zh-CN"/>
        </w:rPr>
        <w:t>。值得注意的是，在某些情况下，上市后监督要求可能会暂停、重新设计或终止。</w:t>
      </w:r>
      <w:r>
        <w:rPr>
          <w:rFonts w:hint="eastAsia"/>
          <w:color w:val="000000"/>
          <w:lang w:eastAsia="zh-CN"/>
        </w:rPr>
        <w:t>制造商的进展状态基于本机构可获得的当前信息进行考虑，并可根据新信息的可用性进行相应修改。下表</w:t>
      </w:r>
      <w:r>
        <w:rPr>
          <w:color w:val="000000"/>
          <w:lang w:eastAsia="zh-CN"/>
        </w:rPr>
        <w:t>3</w:t>
      </w:r>
      <w:r>
        <w:rPr>
          <w:rFonts w:hint="eastAsia"/>
          <w:color w:val="000000"/>
          <w:lang w:eastAsia="zh-CN"/>
        </w:rPr>
        <w:t>描述了每一种状态类别。</w:t>
      </w:r>
    </w:p>
    <w:p w14:paraId="4FBF69EA">
      <w:pPr>
        <w:snapToGrid w:val="0"/>
        <w:spacing w:after="0" w:line="240" w:lineRule="auto"/>
        <w:ind w:left="240" w:leftChars="100" w:firstLine="480" w:firstLineChars="200"/>
        <w:jc w:val="both"/>
        <w:rPr>
          <w:snapToGrid w:val="0"/>
          <w:szCs w:val="24"/>
          <w:lang w:eastAsia="zh-CN"/>
        </w:rPr>
      </w:pPr>
    </w:p>
    <w:p w14:paraId="1B4BDE0B">
      <w:pPr>
        <w:snapToGrid w:val="0"/>
        <w:spacing w:after="0" w:line="240" w:lineRule="auto"/>
        <w:jc w:val="center"/>
        <w:rPr>
          <w:lang w:eastAsia="zh-CN"/>
        </w:rPr>
      </w:pPr>
      <w:r>
        <w:rPr>
          <w:rFonts w:hint="eastAsia"/>
          <w:b/>
          <w:lang w:eastAsia="zh-CN"/>
        </w:rPr>
        <w:t>表</w:t>
      </w:r>
      <w:r>
        <w:rPr>
          <w:b/>
          <w:lang w:eastAsia="zh-CN"/>
        </w:rPr>
        <w:t>3.</w:t>
      </w:r>
      <w:r>
        <w:rPr>
          <w:rFonts w:hint="eastAsia"/>
          <w:b/>
          <w:lang w:eastAsia="zh-CN"/>
        </w:rPr>
        <w:t>上市后监督状态类别</w:t>
      </w:r>
      <w:r>
        <w:rPr>
          <w:b/>
          <w:lang w:eastAsia="zh-CN"/>
        </w:rPr>
        <w:t>1</w:t>
      </w:r>
    </w:p>
    <w:tbl>
      <w:tblPr>
        <w:tblStyle w:val="13"/>
        <w:tblW w:w="4839" w:type="pct"/>
        <w:tblInd w:w="309" w:type="dxa"/>
        <w:tblLayout w:type="autofit"/>
        <w:tblCellMar>
          <w:top w:w="0" w:type="dxa"/>
          <w:left w:w="57" w:type="dxa"/>
          <w:bottom w:w="0" w:type="dxa"/>
          <w:right w:w="57" w:type="dxa"/>
        </w:tblCellMar>
      </w:tblPr>
      <w:tblGrid>
        <w:gridCol w:w="1125"/>
        <w:gridCol w:w="1125"/>
        <w:gridCol w:w="1117"/>
        <w:gridCol w:w="5758"/>
        <w:gridCol w:w="39"/>
      </w:tblGrid>
      <w:tr w14:paraId="1E5B9946">
        <w:tblPrEx>
          <w:tblCellMar>
            <w:top w:w="0" w:type="dxa"/>
            <w:left w:w="57" w:type="dxa"/>
            <w:bottom w:w="0" w:type="dxa"/>
            <w:right w:w="57" w:type="dxa"/>
          </w:tblCellMar>
        </w:tblPrEx>
        <w:trPr>
          <w:gridBefore w:val="1"/>
          <w:gridAfter w:val="1"/>
          <w:wBefore w:w="1888" w:type="dxa"/>
          <w:wAfter w:w="47" w:type="dxa"/>
          <w:tblHeader/>
        </w:trPr>
        <w:tc>
          <w:tcPr>
            <w:tcW w:w="1234" w:type="pct"/>
            <w:gridSpan w:val="2"/>
            <w:tcBorders>
              <w:top w:val="single" w:color="auto" w:sz="4" w:space="0"/>
              <w:left w:val="nil"/>
              <w:bottom w:val="nil"/>
              <w:right w:val="nil"/>
            </w:tcBorders>
            <w:shd w:val="clear" w:color="auto" w:fill="D9D9D9"/>
          </w:tcPr>
          <w:p w14:paraId="5171D4AB">
            <w:pPr>
              <w:snapToGrid w:val="0"/>
              <w:spacing w:after="0" w:line="240" w:lineRule="auto"/>
              <w:jc w:val="both"/>
              <w:rPr>
                <w:sz w:val="21"/>
              </w:rPr>
            </w:pPr>
            <w:r>
              <w:rPr>
                <w:rFonts w:hint="eastAsia"/>
                <w:b/>
                <w:color w:val="000000"/>
                <w:sz w:val="21"/>
              </w:rPr>
              <w:t>总体状态</w:t>
            </w:r>
          </w:p>
        </w:tc>
        <w:tc>
          <w:tcPr>
            <w:tcW w:w="3766" w:type="pct"/>
            <w:tcBorders>
              <w:top w:val="single" w:color="auto" w:sz="4" w:space="0"/>
              <w:left w:val="nil"/>
              <w:bottom w:val="nil"/>
              <w:right w:val="nil"/>
            </w:tcBorders>
            <w:shd w:val="clear" w:color="auto" w:fill="D9D9D9"/>
          </w:tcPr>
          <w:p w14:paraId="650D4AEE">
            <w:pPr>
              <w:snapToGrid w:val="0"/>
              <w:spacing w:after="0" w:line="240" w:lineRule="auto"/>
              <w:jc w:val="both"/>
              <w:rPr>
                <w:sz w:val="21"/>
              </w:rPr>
            </w:pPr>
            <w:r>
              <w:rPr>
                <w:rFonts w:hint="eastAsia"/>
                <w:b/>
                <w:color w:val="000000"/>
                <w:sz w:val="21"/>
              </w:rPr>
              <w:t>描述</w:t>
            </w:r>
          </w:p>
        </w:tc>
      </w:tr>
      <w:tr w14:paraId="7CDB8190">
        <w:tblPrEx>
          <w:tblCellMar>
            <w:top w:w="0" w:type="dxa"/>
            <w:left w:w="57" w:type="dxa"/>
            <w:bottom w:w="0" w:type="dxa"/>
            <w:right w:w="57" w:type="dxa"/>
          </w:tblCellMar>
        </w:tblPrEx>
        <w:trPr>
          <w:gridBefore w:val="1"/>
          <w:gridAfter w:val="1"/>
          <w:wBefore w:w="1888" w:type="dxa"/>
          <w:wAfter w:w="47" w:type="dxa"/>
        </w:trPr>
        <w:tc>
          <w:tcPr>
            <w:tcW w:w="1234" w:type="pct"/>
            <w:gridSpan w:val="2"/>
            <w:tcBorders>
              <w:top w:val="single" w:color="auto" w:sz="4" w:space="0"/>
              <w:left w:val="nil"/>
              <w:bottom w:val="nil"/>
              <w:right w:val="nil"/>
            </w:tcBorders>
            <w:shd w:val="clear" w:color="auto" w:fill="FFFFFF"/>
          </w:tcPr>
          <w:p w14:paraId="74F82ACA">
            <w:pPr>
              <w:snapToGrid w:val="0"/>
              <w:spacing w:after="0" w:line="240" w:lineRule="auto"/>
              <w:jc w:val="both"/>
              <w:rPr>
                <w:sz w:val="21"/>
              </w:rPr>
            </w:pPr>
            <w:r>
              <w:rPr>
                <w:rFonts w:hint="eastAsia"/>
                <w:b/>
                <w:color w:val="000000"/>
                <w:sz w:val="21"/>
              </w:rPr>
              <w:t>计划待定</w:t>
            </w:r>
          </w:p>
        </w:tc>
        <w:tc>
          <w:tcPr>
            <w:tcW w:w="3766" w:type="pct"/>
            <w:tcBorders>
              <w:top w:val="single" w:color="auto" w:sz="4" w:space="0"/>
              <w:left w:val="nil"/>
              <w:bottom w:val="nil"/>
              <w:right w:val="nil"/>
            </w:tcBorders>
            <w:shd w:val="clear" w:color="auto" w:fill="FFFFFF"/>
          </w:tcPr>
          <w:p w14:paraId="76ED7B4F">
            <w:pPr>
              <w:snapToGrid w:val="0"/>
              <w:spacing w:after="0" w:line="240" w:lineRule="auto"/>
              <w:jc w:val="both"/>
              <w:rPr>
                <w:sz w:val="21"/>
                <w:lang w:eastAsia="zh-CN"/>
              </w:rPr>
            </w:pPr>
            <w:r>
              <w:rPr>
                <w:color w:val="000000"/>
                <w:sz w:val="21"/>
                <w:lang w:eastAsia="zh-CN"/>
              </w:rPr>
              <w:t>FDA</w:t>
            </w:r>
            <w:r>
              <w:rPr>
                <w:rFonts w:hint="eastAsia"/>
                <w:color w:val="000000"/>
                <w:sz w:val="21"/>
                <w:lang w:eastAsia="zh-CN"/>
              </w:rPr>
              <w:t>正在审查制造商提出的上市后监督计划，而</w:t>
            </w:r>
            <w:r>
              <w:rPr>
                <w:color w:val="000000"/>
                <w:sz w:val="21"/>
                <w:lang w:eastAsia="zh-CN"/>
              </w:rPr>
              <w:t>522</w:t>
            </w:r>
            <w:r>
              <w:rPr>
                <w:rFonts w:hint="eastAsia"/>
                <w:color w:val="000000"/>
                <w:sz w:val="21"/>
                <w:lang w:eastAsia="zh-CN"/>
              </w:rPr>
              <w:t>指令自发布以来尚不到</w:t>
            </w:r>
            <w:r>
              <w:rPr>
                <w:color w:val="000000"/>
                <w:sz w:val="21"/>
                <w:lang w:eastAsia="zh-CN"/>
              </w:rPr>
              <w:t>60</w:t>
            </w:r>
            <w:r>
              <w:rPr>
                <w:rFonts w:hint="eastAsia"/>
                <w:color w:val="000000"/>
                <w:sz w:val="21"/>
                <w:lang w:eastAsia="zh-CN"/>
              </w:rPr>
              <w:t>个日历日。</w:t>
            </w:r>
          </w:p>
        </w:tc>
      </w:tr>
      <w:tr w14:paraId="58911B8D">
        <w:tblPrEx>
          <w:tblCellMar>
            <w:top w:w="0" w:type="dxa"/>
            <w:left w:w="57" w:type="dxa"/>
            <w:bottom w:w="0" w:type="dxa"/>
            <w:right w:w="57" w:type="dxa"/>
          </w:tblCellMar>
        </w:tblPrEx>
        <w:trPr>
          <w:gridBefore w:val="1"/>
          <w:gridAfter w:val="1"/>
          <w:wBefore w:w="1888" w:type="dxa"/>
          <w:wAfter w:w="47" w:type="dxa"/>
        </w:trPr>
        <w:tc>
          <w:tcPr>
            <w:tcW w:w="1234" w:type="pct"/>
            <w:gridSpan w:val="2"/>
            <w:tcBorders>
              <w:top w:val="single" w:color="auto" w:sz="4" w:space="0"/>
              <w:left w:val="nil"/>
              <w:bottom w:val="nil"/>
              <w:right w:val="nil"/>
            </w:tcBorders>
            <w:shd w:val="clear" w:color="auto" w:fill="FFFFFF"/>
          </w:tcPr>
          <w:p w14:paraId="55CF0A7A">
            <w:pPr>
              <w:snapToGrid w:val="0"/>
              <w:spacing w:after="0" w:line="240" w:lineRule="auto"/>
              <w:jc w:val="both"/>
              <w:rPr>
                <w:sz w:val="21"/>
              </w:rPr>
            </w:pPr>
            <w:r>
              <w:rPr>
                <w:rFonts w:hint="eastAsia"/>
                <w:b/>
                <w:color w:val="000000"/>
                <w:sz w:val="21"/>
              </w:rPr>
              <w:t>计划逾期</w:t>
            </w:r>
          </w:p>
        </w:tc>
        <w:tc>
          <w:tcPr>
            <w:tcW w:w="3766" w:type="pct"/>
            <w:tcBorders>
              <w:top w:val="single" w:color="auto" w:sz="4" w:space="0"/>
              <w:left w:val="nil"/>
              <w:bottom w:val="nil"/>
              <w:right w:val="nil"/>
            </w:tcBorders>
            <w:shd w:val="clear" w:color="auto" w:fill="FFFFFF"/>
          </w:tcPr>
          <w:p w14:paraId="706736CD">
            <w:pPr>
              <w:snapToGrid w:val="0"/>
              <w:spacing w:after="0" w:line="240" w:lineRule="auto"/>
              <w:jc w:val="both"/>
              <w:rPr>
                <w:sz w:val="21"/>
                <w:lang w:eastAsia="zh-CN"/>
              </w:rPr>
            </w:pPr>
            <w:r>
              <w:rPr>
                <w:rFonts w:hint="eastAsia"/>
                <w:color w:val="000000"/>
                <w:sz w:val="21"/>
                <w:lang w:eastAsia="zh-CN"/>
              </w:rPr>
              <w:t>由于制造商需要解决</w:t>
            </w:r>
            <w:r>
              <w:rPr>
                <w:snapToGrid w:val="0"/>
                <w:color w:val="000000"/>
                <w:sz w:val="21"/>
                <w:szCs w:val="21"/>
                <w:lang w:eastAsia="zh-CN"/>
              </w:rPr>
              <w:t>典型</w:t>
            </w:r>
            <w:r>
              <w:rPr>
                <w:rFonts w:hint="eastAsia"/>
                <w:color w:val="000000"/>
                <w:sz w:val="21"/>
                <w:lang w:eastAsia="zh-CN"/>
              </w:rPr>
              <w:t>缺陷，</w:t>
            </w:r>
            <w:r>
              <w:rPr>
                <w:color w:val="000000"/>
                <w:sz w:val="21"/>
                <w:lang w:eastAsia="zh-CN"/>
              </w:rPr>
              <w:t>FDA</w:t>
            </w:r>
            <w:r>
              <w:rPr>
                <w:rFonts w:hint="eastAsia"/>
                <w:color w:val="000000"/>
                <w:sz w:val="21"/>
                <w:lang w:eastAsia="zh-CN"/>
              </w:rPr>
              <w:t>无法完成其对拟议的上市后监督计划的审查，而</w:t>
            </w:r>
            <w:r>
              <w:rPr>
                <w:color w:val="000000"/>
                <w:sz w:val="21"/>
                <w:lang w:eastAsia="zh-CN"/>
              </w:rPr>
              <w:t>522</w:t>
            </w:r>
            <w:r>
              <w:rPr>
                <w:rFonts w:hint="eastAsia"/>
                <w:color w:val="000000"/>
                <w:sz w:val="21"/>
                <w:lang w:eastAsia="zh-CN"/>
              </w:rPr>
              <w:t>指令自发布以来已超过</w:t>
            </w:r>
            <w:r>
              <w:rPr>
                <w:color w:val="000000"/>
                <w:sz w:val="21"/>
                <w:lang w:eastAsia="zh-CN"/>
              </w:rPr>
              <w:t>60</w:t>
            </w:r>
            <w:r>
              <w:rPr>
                <w:rFonts w:hint="eastAsia"/>
                <w:color w:val="000000"/>
                <w:sz w:val="21"/>
                <w:lang w:eastAsia="zh-CN"/>
              </w:rPr>
              <w:t>个日历日。</w:t>
            </w:r>
          </w:p>
        </w:tc>
      </w:tr>
      <w:tr w14:paraId="7889AC12">
        <w:tblPrEx>
          <w:tblCellMar>
            <w:top w:w="0" w:type="dxa"/>
            <w:left w:w="57" w:type="dxa"/>
            <w:bottom w:w="0" w:type="dxa"/>
            <w:right w:w="57" w:type="dxa"/>
          </w:tblCellMar>
        </w:tblPrEx>
        <w:trPr>
          <w:gridBefore w:val="1"/>
          <w:gridAfter w:val="1"/>
          <w:wBefore w:w="1888" w:type="dxa"/>
          <w:wAfter w:w="47" w:type="dxa"/>
        </w:trPr>
        <w:tc>
          <w:tcPr>
            <w:tcW w:w="1234" w:type="pct"/>
            <w:gridSpan w:val="2"/>
            <w:tcBorders>
              <w:top w:val="single" w:color="auto" w:sz="4" w:space="0"/>
              <w:left w:val="nil"/>
              <w:bottom w:val="nil"/>
              <w:right w:val="nil"/>
            </w:tcBorders>
            <w:shd w:val="clear" w:color="auto" w:fill="FFFFFF"/>
          </w:tcPr>
          <w:p w14:paraId="26BC4D9A">
            <w:pPr>
              <w:snapToGrid w:val="0"/>
              <w:spacing w:after="0" w:line="240" w:lineRule="auto"/>
              <w:jc w:val="both"/>
              <w:rPr>
                <w:sz w:val="21"/>
              </w:rPr>
            </w:pPr>
            <w:r>
              <w:rPr>
                <w:rFonts w:hint="eastAsia"/>
                <w:b/>
                <w:color w:val="000000"/>
                <w:sz w:val="21"/>
              </w:rPr>
              <w:t>监督待定</w:t>
            </w:r>
          </w:p>
        </w:tc>
        <w:tc>
          <w:tcPr>
            <w:tcW w:w="3766" w:type="pct"/>
            <w:tcBorders>
              <w:top w:val="single" w:color="auto" w:sz="4" w:space="0"/>
              <w:left w:val="nil"/>
              <w:bottom w:val="nil"/>
              <w:right w:val="nil"/>
            </w:tcBorders>
            <w:shd w:val="clear" w:color="auto" w:fill="FFFFFF"/>
          </w:tcPr>
          <w:p w14:paraId="6EAD19C3">
            <w:pPr>
              <w:snapToGrid w:val="0"/>
              <w:spacing w:after="0" w:line="240" w:lineRule="auto"/>
              <w:jc w:val="both"/>
              <w:rPr>
                <w:sz w:val="21"/>
                <w:lang w:eastAsia="zh-CN"/>
              </w:rPr>
            </w:pPr>
            <w:r>
              <w:rPr>
                <w:rFonts w:hint="eastAsia"/>
                <w:color w:val="000000"/>
                <w:sz w:val="21"/>
                <w:lang w:eastAsia="zh-CN"/>
              </w:rPr>
              <w:t>此状态类别自批准上市后监督计划到完成第一份中期上市后监督报告审查的期间使用。</w:t>
            </w:r>
          </w:p>
        </w:tc>
      </w:tr>
      <w:tr w14:paraId="79DEA1D6">
        <w:tblPrEx>
          <w:tblCellMar>
            <w:top w:w="0" w:type="dxa"/>
            <w:left w:w="57" w:type="dxa"/>
            <w:bottom w:w="0" w:type="dxa"/>
            <w:right w:w="57" w:type="dxa"/>
          </w:tblCellMar>
        </w:tblPrEx>
        <w:trPr>
          <w:gridBefore w:val="1"/>
          <w:gridAfter w:val="1"/>
          <w:wBefore w:w="1888" w:type="dxa"/>
          <w:wAfter w:w="47" w:type="dxa"/>
        </w:trPr>
        <w:tc>
          <w:tcPr>
            <w:tcW w:w="1234" w:type="pct"/>
            <w:gridSpan w:val="2"/>
            <w:tcBorders>
              <w:top w:val="single" w:color="auto" w:sz="4" w:space="0"/>
              <w:left w:val="nil"/>
              <w:bottom w:val="single" w:color="auto" w:sz="4" w:space="0"/>
              <w:right w:val="nil"/>
            </w:tcBorders>
            <w:shd w:val="clear" w:color="auto" w:fill="FFFFFF"/>
          </w:tcPr>
          <w:p w14:paraId="5DAE6680">
            <w:pPr>
              <w:snapToGrid w:val="0"/>
              <w:spacing w:after="0" w:line="240" w:lineRule="auto"/>
              <w:jc w:val="both"/>
              <w:rPr>
                <w:sz w:val="21"/>
              </w:rPr>
            </w:pPr>
            <w:r>
              <w:rPr>
                <w:rFonts w:hint="eastAsia"/>
                <w:b/>
                <w:color w:val="000000"/>
                <w:sz w:val="21"/>
              </w:rPr>
              <w:t>仍在持续</w:t>
            </w:r>
          </w:p>
        </w:tc>
        <w:tc>
          <w:tcPr>
            <w:tcW w:w="3766" w:type="pct"/>
            <w:tcBorders>
              <w:top w:val="single" w:color="auto" w:sz="4" w:space="0"/>
              <w:left w:val="nil"/>
              <w:bottom w:val="single" w:color="auto" w:sz="4" w:space="0"/>
              <w:right w:val="nil"/>
            </w:tcBorders>
            <w:shd w:val="clear" w:color="auto" w:fill="FFFFFF"/>
          </w:tcPr>
          <w:p w14:paraId="35CF6FCB">
            <w:pPr>
              <w:snapToGrid w:val="0"/>
              <w:spacing w:after="0" w:line="240" w:lineRule="auto"/>
              <w:jc w:val="both"/>
              <w:rPr>
                <w:sz w:val="21"/>
                <w:lang w:eastAsia="zh-CN"/>
              </w:rPr>
            </w:pPr>
            <w:r>
              <w:rPr>
                <w:rFonts w:hint="eastAsia"/>
                <w:color w:val="000000"/>
                <w:sz w:val="21"/>
                <w:lang w:eastAsia="zh-CN"/>
              </w:rPr>
              <w:t>监督工作正在按照或提前于原计划进行。</w:t>
            </w:r>
            <w:r>
              <w:rPr>
                <w:color w:val="000000"/>
                <w:sz w:val="21"/>
                <w:lang w:eastAsia="zh-CN"/>
              </w:rPr>
              <w:t>FDA</w:t>
            </w:r>
            <w:r>
              <w:rPr>
                <w:rFonts w:hint="eastAsia"/>
                <w:color w:val="000000"/>
                <w:sz w:val="21"/>
                <w:lang w:eastAsia="zh-CN"/>
              </w:rPr>
              <w:t>认为，只要监督活动按照已批准监督计划进行，监督就将一直持续，直至向</w:t>
            </w:r>
            <w:r>
              <w:rPr>
                <w:color w:val="000000"/>
                <w:sz w:val="21"/>
                <w:lang w:eastAsia="zh-CN"/>
              </w:rPr>
              <w:t>FDA</w:t>
            </w:r>
            <w:r>
              <w:rPr>
                <w:rFonts w:hint="eastAsia"/>
                <w:color w:val="000000"/>
                <w:sz w:val="21"/>
                <w:lang w:eastAsia="zh-CN"/>
              </w:rPr>
              <w:t>提交最终报告。</w:t>
            </w:r>
          </w:p>
        </w:tc>
      </w:tr>
      <w:tr w14:paraId="7A39131D">
        <w:tblPrEx>
          <w:tblCellMar>
            <w:top w:w="0" w:type="dxa"/>
            <w:left w:w="57" w:type="dxa"/>
            <w:bottom w:w="0" w:type="dxa"/>
            <w:right w:w="57" w:type="dxa"/>
          </w:tblCellMar>
        </w:tblPrEx>
        <w:tc>
          <w:tcPr>
            <w:tcW w:w="1238" w:type="pct"/>
            <w:gridSpan w:val="2"/>
            <w:tcBorders>
              <w:top w:val="single" w:color="auto" w:sz="4" w:space="0"/>
              <w:left w:val="nil"/>
              <w:bottom w:val="single" w:color="auto" w:sz="4" w:space="0"/>
              <w:right w:val="nil"/>
            </w:tcBorders>
            <w:shd w:val="clear" w:color="auto" w:fill="FFFFFF"/>
          </w:tcPr>
          <w:p w14:paraId="2479CF25">
            <w:pPr>
              <w:pageBreakBefore/>
              <w:snapToGrid w:val="0"/>
              <w:spacing w:after="0" w:line="240" w:lineRule="auto"/>
              <w:jc w:val="both"/>
              <w:rPr>
                <w:b/>
                <w:color w:val="000000"/>
                <w:sz w:val="21"/>
              </w:rPr>
            </w:pPr>
            <w:r>
              <w:rPr>
                <w:rFonts w:hint="eastAsia"/>
                <w:b/>
                <w:color w:val="000000"/>
                <w:sz w:val="21"/>
              </w:rPr>
              <w:t>延迟</w:t>
            </w:r>
          </w:p>
        </w:tc>
        <w:tc>
          <w:tcPr>
            <w:tcW w:w="3762" w:type="pct"/>
            <w:gridSpan w:val="3"/>
            <w:tcBorders>
              <w:top w:val="single" w:color="auto" w:sz="4" w:space="0"/>
              <w:left w:val="nil"/>
              <w:bottom w:val="single" w:color="auto" w:sz="4" w:space="0"/>
              <w:right w:val="nil"/>
            </w:tcBorders>
            <w:shd w:val="clear" w:color="auto" w:fill="FFFFFF"/>
          </w:tcPr>
          <w:p w14:paraId="2B706021">
            <w:pPr>
              <w:snapToGrid w:val="0"/>
              <w:spacing w:after="0" w:line="240" w:lineRule="auto"/>
              <w:jc w:val="both"/>
              <w:rPr>
                <w:color w:val="000000"/>
                <w:sz w:val="21"/>
                <w:lang w:eastAsia="zh-CN"/>
              </w:rPr>
            </w:pPr>
            <w:r>
              <w:rPr>
                <w:rFonts w:hint="eastAsia"/>
                <w:color w:val="000000"/>
                <w:sz w:val="21"/>
                <w:lang w:eastAsia="zh-CN"/>
              </w:rPr>
              <w:t>监督的进展落后于原定计划。</w:t>
            </w:r>
            <w:r>
              <w:rPr>
                <w:rFonts w:hint="eastAsia"/>
                <w:sz w:val="21"/>
                <w:lang w:eastAsia="zh-CN"/>
              </w:rPr>
              <w:t>例如，受试者入组（或数据累积）可能已经开始，也可能尚未开始，但该时间节点的预计完成日期已经过去。监督的任何阶段都可能出现延误，包括受试者入组、数据分析或向</w:t>
            </w:r>
            <w:r>
              <w:rPr>
                <w:sz w:val="21"/>
                <w:lang w:eastAsia="zh-CN"/>
              </w:rPr>
              <w:t>FDA</w:t>
            </w:r>
            <w:r>
              <w:rPr>
                <w:rFonts w:hint="eastAsia"/>
                <w:sz w:val="21"/>
                <w:lang w:eastAsia="zh-CN"/>
              </w:rPr>
              <w:t>提交最终报告。</w:t>
            </w:r>
            <w:r>
              <w:rPr>
                <w:rFonts w:hint="eastAsia"/>
                <w:color w:val="000000"/>
                <w:sz w:val="21"/>
                <w:lang w:eastAsia="zh-CN"/>
              </w:rPr>
              <w:t>虽然最初批准的计划中的时间节点是将监督定义为延迟的基础，但监督的</w:t>
            </w:r>
            <w:r>
              <w:rPr>
                <w:snapToGrid w:val="0"/>
                <w:color w:val="000000"/>
                <w:sz w:val="21"/>
                <w:szCs w:val="21"/>
                <w:lang w:eastAsia="zh-CN"/>
              </w:rPr>
              <w:t>所有</w:t>
            </w:r>
            <w:r>
              <w:rPr>
                <w:rFonts w:hint="eastAsia"/>
                <w:color w:val="000000"/>
                <w:sz w:val="21"/>
                <w:lang w:eastAsia="zh-CN"/>
              </w:rPr>
              <w:t>阶段都将单独考虑。如果制造商有一个阶段延迟，但在下一个阶段恢复了计划，则延迟状态将不再适用。</w:t>
            </w:r>
          </w:p>
        </w:tc>
      </w:tr>
      <w:tr w14:paraId="7764E568">
        <w:tblPrEx>
          <w:tblCellMar>
            <w:top w:w="0" w:type="dxa"/>
            <w:left w:w="57" w:type="dxa"/>
            <w:bottom w:w="0" w:type="dxa"/>
            <w:right w:w="57" w:type="dxa"/>
          </w:tblCellMar>
        </w:tblPrEx>
        <w:tc>
          <w:tcPr>
            <w:tcW w:w="1238" w:type="pct"/>
            <w:gridSpan w:val="2"/>
            <w:tcBorders>
              <w:top w:val="single" w:color="auto" w:sz="4" w:space="0"/>
              <w:left w:val="nil"/>
              <w:bottom w:val="single" w:color="auto" w:sz="4" w:space="0"/>
              <w:right w:val="nil"/>
            </w:tcBorders>
            <w:shd w:val="clear" w:color="auto" w:fill="FFFFFF"/>
          </w:tcPr>
          <w:p w14:paraId="68ABC02C">
            <w:pPr>
              <w:snapToGrid w:val="0"/>
              <w:spacing w:after="0" w:line="240" w:lineRule="auto"/>
              <w:jc w:val="both"/>
              <w:rPr>
                <w:b/>
                <w:color w:val="000000"/>
                <w:sz w:val="21"/>
              </w:rPr>
            </w:pPr>
            <w:r>
              <w:rPr>
                <w:rFonts w:hint="eastAsia"/>
                <w:b/>
                <w:color w:val="000000"/>
                <w:sz w:val="21"/>
              </w:rPr>
              <w:t>不符合</w:t>
            </w:r>
          </w:p>
        </w:tc>
        <w:tc>
          <w:tcPr>
            <w:tcW w:w="3762" w:type="pct"/>
            <w:gridSpan w:val="3"/>
            <w:tcBorders>
              <w:top w:val="single" w:color="auto" w:sz="4" w:space="0"/>
              <w:left w:val="nil"/>
              <w:bottom w:val="single" w:color="auto" w:sz="4" w:space="0"/>
              <w:right w:val="nil"/>
            </w:tcBorders>
            <w:shd w:val="clear" w:color="auto" w:fill="FFFFFF"/>
          </w:tcPr>
          <w:p w14:paraId="0467D1FF">
            <w:pPr>
              <w:snapToGrid w:val="0"/>
              <w:spacing w:after="0" w:line="240" w:lineRule="auto"/>
              <w:jc w:val="both"/>
              <w:rPr>
                <w:color w:val="000000"/>
                <w:sz w:val="21"/>
                <w:lang w:eastAsia="zh-CN"/>
              </w:rPr>
            </w:pPr>
            <w:r>
              <w:rPr>
                <w:rFonts w:hint="eastAsia"/>
                <w:color w:val="000000"/>
                <w:sz w:val="21"/>
                <w:lang w:eastAsia="zh-CN"/>
              </w:rPr>
              <w:t>监督不符合第</w:t>
            </w:r>
            <w:r>
              <w:rPr>
                <w:color w:val="000000"/>
                <w:sz w:val="21"/>
                <w:lang w:eastAsia="zh-CN"/>
              </w:rPr>
              <w:t>522</w:t>
            </w:r>
            <w:r>
              <w:rPr>
                <w:rFonts w:hint="eastAsia"/>
                <w:color w:val="000000"/>
                <w:sz w:val="21"/>
                <w:lang w:eastAsia="zh-CN"/>
              </w:rPr>
              <w:t>节的要求，例如，自</w:t>
            </w:r>
            <w:r>
              <w:rPr>
                <w:color w:val="000000"/>
                <w:sz w:val="21"/>
                <w:lang w:eastAsia="zh-CN"/>
              </w:rPr>
              <w:t>522</w:t>
            </w:r>
            <w:r>
              <w:rPr>
                <w:rFonts w:hint="eastAsia"/>
                <w:color w:val="000000"/>
                <w:sz w:val="21"/>
                <w:lang w:eastAsia="zh-CN"/>
              </w:rPr>
              <w:t>指令日期起已超过</w:t>
            </w:r>
            <w:r>
              <w:rPr>
                <w:color w:val="000000"/>
                <w:sz w:val="21"/>
                <w:lang w:eastAsia="zh-CN"/>
              </w:rPr>
              <w:t>15</w:t>
            </w:r>
            <w:r>
              <w:rPr>
                <w:rFonts w:hint="eastAsia"/>
                <w:color w:val="000000"/>
                <w:sz w:val="21"/>
                <w:lang w:eastAsia="zh-CN"/>
              </w:rPr>
              <w:t>个月，监督尚未开始。</w:t>
            </w:r>
          </w:p>
        </w:tc>
      </w:tr>
      <w:tr w14:paraId="2AEBC0E9">
        <w:tblPrEx>
          <w:tblCellMar>
            <w:top w:w="0" w:type="dxa"/>
            <w:left w:w="57" w:type="dxa"/>
            <w:bottom w:w="0" w:type="dxa"/>
            <w:right w:w="57" w:type="dxa"/>
          </w:tblCellMar>
        </w:tblPrEx>
        <w:tc>
          <w:tcPr>
            <w:tcW w:w="1238" w:type="pct"/>
            <w:gridSpan w:val="2"/>
            <w:tcBorders>
              <w:top w:val="single" w:color="auto" w:sz="4" w:space="0"/>
              <w:left w:val="nil"/>
              <w:bottom w:val="single" w:color="auto" w:sz="4" w:space="0"/>
              <w:right w:val="nil"/>
            </w:tcBorders>
            <w:shd w:val="clear" w:color="auto" w:fill="FFFFFF"/>
          </w:tcPr>
          <w:p w14:paraId="43276E68">
            <w:pPr>
              <w:snapToGrid w:val="0"/>
              <w:spacing w:after="0" w:line="240" w:lineRule="auto"/>
              <w:jc w:val="both"/>
              <w:rPr>
                <w:b/>
                <w:color w:val="000000"/>
                <w:sz w:val="21"/>
              </w:rPr>
            </w:pPr>
            <w:r>
              <w:rPr>
                <w:rFonts w:hint="eastAsia"/>
                <w:b/>
                <w:color w:val="000000"/>
                <w:sz w:val="21"/>
              </w:rPr>
              <w:t>完成</w:t>
            </w:r>
          </w:p>
        </w:tc>
        <w:tc>
          <w:tcPr>
            <w:tcW w:w="3762" w:type="pct"/>
            <w:gridSpan w:val="3"/>
            <w:tcBorders>
              <w:top w:val="single" w:color="auto" w:sz="4" w:space="0"/>
              <w:left w:val="nil"/>
              <w:bottom w:val="single" w:color="auto" w:sz="4" w:space="0"/>
              <w:right w:val="nil"/>
            </w:tcBorders>
            <w:shd w:val="clear" w:color="auto" w:fill="FFFFFF"/>
          </w:tcPr>
          <w:p w14:paraId="31DF697C">
            <w:pPr>
              <w:snapToGrid w:val="0"/>
              <w:spacing w:after="0" w:line="240" w:lineRule="auto"/>
              <w:jc w:val="both"/>
              <w:rPr>
                <w:color w:val="000000"/>
                <w:sz w:val="21"/>
                <w:lang w:eastAsia="zh-CN"/>
              </w:rPr>
            </w:pPr>
            <w:r>
              <w:rPr>
                <w:rFonts w:hint="eastAsia"/>
                <w:color w:val="000000"/>
                <w:sz w:val="21"/>
                <w:lang w:eastAsia="zh-CN"/>
              </w:rPr>
              <w:t>制造商已满足上市后监督要求且</w:t>
            </w:r>
            <w:r>
              <w:rPr>
                <w:color w:val="000000"/>
                <w:sz w:val="21"/>
                <w:lang w:eastAsia="zh-CN"/>
              </w:rPr>
              <w:t>FDA</w:t>
            </w:r>
            <w:r>
              <w:rPr>
                <w:rFonts w:hint="eastAsia"/>
                <w:color w:val="000000"/>
                <w:sz w:val="21"/>
                <w:lang w:eastAsia="zh-CN"/>
              </w:rPr>
              <w:t>认为符合</w:t>
            </w:r>
            <w:r>
              <w:rPr>
                <w:color w:val="000000"/>
                <w:sz w:val="21"/>
                <w:lang w:eastAsia="zh-CN"/>
              </w:rPr>
              <w:t>522</w:t>
            </w:r>
            <w:r>
              <w:rPr>
                <w:rFonts w:hint="eastAsia"/>
                <w:color w:val="000000"/>
                <w:sz w:val="21"/>
                <w:lang w:eastAsia="zh-CN"/>
              </w:rPr>
              <w:t>指令下的要求。</w:t>
            </w:r>
          </w:p>
        </w:tc>
      </w:tr>
      <w:tr w14:paraId="6C66351C">
        <w:tblPrEx>
          <w:tblCellMar>
            <w:top w:w="0" w:type="dxa"/>
            <w:left w:w="57" w:type="dxa"/>
            <w:bottom w:w="0" w:type="dxa"/>
            <w:right w:w="57" w:type="dxa"/>
          </w:tblCellMar>
        </w:tblPrEx>
        <w:tc>
          <w:tcPr>
            <w:tcW w:w="1238" w:type="pct"/>
            <w:gridSpan w:val="2"/>
            <w:tcBorders>
              <w:top w:val="single" w:color="auto" w:sz="4" w:space="0"/>
              <w:left w:val="nil"/>
              <w:bottom w:val="single" w:color="auto" w:sz="4" w:space="0"/>
              <w:right w:val="nil"/>
            </w:tcBorders>
            <w:shd w:val="clear" w:color="auto" w:fill="FFFFFF"/>
          </w:tcPr>
          <w:p w14:paraId="47B64B2E">
            <w:pPr>
              <w:snapToGrid w:val="0"/>
              <w:spacing w:after="0" w:line="240" w:lineRule="auto"/>
              <w:jc w:val="both"/>
              <w:rPr>
                <w:b/>
                <w:color w:val="000000"/>
                <w:sz w:val="21"/>
              </w:rPr>
            </w:pPr>
            <w:r>
              <w:rPr>
                <w:rFonts w:hint="eastAsia"/>
                <w:b/>
                <w:color w:val="000000"/>
                <w:sz w:val="21"/>
              </w:rPr>
              <w:t>终止</w:t>
            </w:r>
          </w:p>
        </w:tc>
        <w:tc>
          <w:tcPr>
            <w:tcW w:w="3762" w:type="pct"/>
            <w:gridSpan w:val="3"/>
            <w:tcBorders>
              <w:top w:val="single" w:color="auto" w:sz="4" w:space="0"/>
              <w:left w:val="nil"/>
              <w:bottom w:val="single" w:color="auto" w:sz="4" w:space="0"/>
              <w:right w:val="nil"/>
            </w:tcBorders>
            <w:shd w:val="clear" w:color="auto" w:fill="FFFFFF"/>
          </w:tcPr>
          <w:p w14:paraId="4B6731E6">
            <w:pPr>
              <w:snapToGrid w:val="0"/>
              <w:spacing w:after="0" w:line="240" w:lineRule="auto"/>
              <w:jc w:val="both"/>
              <w:rPr>
                <w:color w:val="000000"/>
                <w:sz w:val="21"/>
                <w:lang w:eastAsia="zh-CN"/>
              </w:rPr>
            </w:pPr>
            <w:r>
              <w:rPr>
                <w:rFonts w:hint="eastAsia"/>
                <w:color w:val="000000"/>
                <w:sz w:val="21"/>
                <w:lang w:eastAsia="zh-CN"/>
              </w:rPr>
              <w:t>制造商未满足或无法满足</w:t>
            </w:r>
            <w:r>
              <w:rPr>
                <w:color w:val="000000"/>
                <w:sz w:val="21"/>
                <w:lang w:eastAsia="zh-CN"/>
              </w:rPr>
              <w:t>522</w:t>
            </w:r>
            <w:r>
              <w:rPr>
                <w:rFonts w:hint="eastAsia"/>
                <w:color w:val="000000"/>
                <w:sz w:val="21"/>
                <w:lang w:eastAsia="zh-CN"/>
              </w:rPr>
              <w:t>指令中确定的上市后监督要求，即上市后监督问题不再相关，数据集无法解决</w:t>
            </w:r>
            <w:r>
              <w:rPr>
                <w:color w:val="000000"/>
                <w:sz w:val="21"/>
                <w:lang w:eastAsia="zh-CN"/>
              </w:rPr>
              <w:t>522</w:t>
            </w:r>
            <w:r>
              <w:rPr>
                <w:rFonts w:hint="eastAsia"/>
                <w:color w:val="000000"/>
                <w:sz w:val="21"/>
                <w:lang w:eastAsia="zh-CN"/>
              </w:rPr>
              <w:t>指令中的公共卫生问题，并且在用尽所有适当的努力满足要求后，</w:t>
            </w:r>
            <w:r>
              <w:rPr>
                <w:color w:val="000000"/>
                <w:sz w:val="21"/>
                <w:lang w:eastAsia="zh-CN"/>
              </w:rPr>
              <w:t>FDA</w:t>
            </w:r>
            <w:r>
              <w:rPr>
                <w:rFonts w:hint="eastAsia"/>
                <w:color w:val="000000"/>
                <w:sz w:val="21"/>
                <w:lang w:eastAsia="zh-CN"/>
              </w:rPr>
              <w:t>已终止上市后监督要求。</w:t>
            </w:r>
          </w:p>
        </w:tc>
      </w:tr>
      <w:tr w14:paraId="37A2B225">
        <w:tblPrEx>
          <w:tblCellMar>
            <w:top w:w="0" w:type="dxa"/>
            <w:left w:w="57" w:type="dxa"/>
            <w:bottom w:w="0" w:type="dxa"/>
            <w:right w:w="57" w:type="dxa"/>
          </w:tblCellMar>
        </w:tblPrEx>
        <w:tc>
          <w:tcPr>
            <w:tcW w:w="1238" w:type="pct"/>
            <w:gridSpan w:val="2"/>
            <w:tcBorders>
              <w:top w:val="single" w:color="auto" w:sz="4" w:space="0"/>
              <w:left w:val="nil"/>
              <w:right w:val="nil"/>
            </w:tcBorders>
            <w:shd w:val="clear" w:color="auto" w:fill="FFFFFF"/>
          </w:tcPr>
          <w:p w14:paraId="49D0134F">
            <w:pPr>
              <w:snapToGrid w:val="0"/>
              <w:spacing w:after="0" w:line="240" w:lineRule="auto"/>
              <w:jc w:val="both"/>
              <w:rPr>
                <w:b/>
                <w:color w:val="000000"/>
                <w:sz w:val="21"/>
              </w:rPr>
            </w:pPr>
            <w:r>
              <w:rPr>
                <w:rFonts w:hint="eastAsia"/>
                <w:b/>
                <w:color w:val="000000"/>
                <w:sz w:val="21"/>
              </w:rPr>
              <w:t>重新设计</w:t>
            </w:r>
            <w:r>
              <w:rPr>
                <w:b/>
                <w:color w:val="000000"/>
                <w:sz w:val="21"/>
              </w:rPr>
              <w:t>/</w:t>
            </w:r>
            <w:r>
              <w:rPr>
                <w:rFonts w:hint="eastAsia"/>
                <w:b/>
                <w:color w:val="000000"/>
                <w:sz w:val="21"/>
              </w:rPr>
              <w:t>替换</w:t>
            </w:r>
          </w:p>
        </w:tc>
        <w:tc>
          <w:tcPr>
            <w:tcW w:w="3762" w:type="pct"/>
            <w:gridSpan w:val="3"/>
            <w:tcBorders>
              <w:top w:val="single" w:color="auto" w:sz="4" w:space="0"/>
              <w:left w:val="nil"/>
              <w:right w:val="nil"/>
            </w:tcBorders>
            <w:shd w:val="clear" w:color="auto" w:fill="FFFFFF"/>
          </w:tcPr>
          <w:p w14:paraId="03212A79">
            <w:pPr>
              <w:snapToGrid w:val="0"/>
              <w:spacing w:after="0" w:line="240" w:lineRule="auto"/>
              <w:jc w:val="both"/>
              <w:rPr>
                <w:color w:val="000000"/>
                <w:sz w:val="21"/>
              </w:rPr>
            </w:pPr>
            <w:r>
              <w:rPr>
                <w:rFonts w:hint="eastAsia"/>
                <w:color w:val="000000"/>
                <w:sz w:val="21"/>
                <w:lang w:eastAsia="zh-CN"/>
              </w:rPr>
              <w:t>制造商未达到或无法达到最初设计的</w:t>
            </w:r>
            <w:r>
              <w:rPr>
                <w:color w:val="000000"/>
                <w:sz w:val="21"/>
                <w:lang w:eastAsia="zh-CN"/>
              </w:rPr>
              <w:t>522</w:t>
            </w:r>
            <w:r>
              <w:rPr>
                <w:rFonts w:hint="eastAsia"/>
                <w:color w:val="000000"/>
                <w:sz w:val="21"/>
                <w:lang w:eastAsia="zh-CN"/>
              </w:rPr>
              <w:t>指令中的监督要求。已尽一切努力满足上市后监督要求，</w:t>
            </w:r>
            <w:r>
              <w:rPr>
                <w:color w:val="000000"/>
                <w:sz w:val="21"/>
                <w:lang w:eastAsia="zh-CN"/>
              </w:rPr>
              <w:t>FDA</w:t>
            </w:r>
            <w:r>
              <w:rPr>
                <w:rFonts w:hint="eastAsia"/>
                <w:color w:val="000000"/>
                <w:sz w:val="21"/>
                <w:lang w:eastAsia="zh-CN"/>
              </w:rPr>
              <w:t>已同意允许制造商修改或替换原有的上市后监督计划以解决</w:t>
            </w:r>
            <w:r>
              <w:rPr>
                <w:color w:val="000000"/>
                <w:sz w:val="21"/>
                <w:lang w:eastAsia="zh-CN"/>
              </w:rPr>
              <w:t>522</w:t>
            </w:r>
            <w:r>
              <w:rPr>
                <w:rFonts w:hint="eastAsia"/>
                <w:color w:val="000000"/>
                <w:sz w:val="21"/>
                <w:lang w:eastAsia="zh-CN"/>
              </w:rPr>
              <w:t>指令中的公共卫生问题。</w:t>
            </w:r>
            <w:r>
              <w:rPr>
                <w:rFonts w:hint="eastAsia"/>
                <w:color w:val="000000"/>
                <w:sz w:val="21"/>
              </w:rPr>
              <w:t>新计划将取代先前的计划。</w:t>
            </w:r>
          </w:p>
        </w:tc>
      </w:tr>
      <w:tr w14:paraId="5B982AA4">
        <w:tblPrEx>
          <w:tblCellMar>
            <w:top w:w="0" w:type="dxa"/>
            <w:left w:w="57" w:type="dxa"/>
            <w:bottom w:w="0" w:type="dxa"/>
            <w:right w:w="57" w:type="dxa"/>
          </w:tblCellMar>
        </w:tblPrEx>
        <w:tc>
          <w:tcPr>
            <w:tcW w:w="1238" w:type="pct"/>
            <w:gridSpan w:val="2"/>
            <w:tcBorders>
              <w:top w:val="single" w:color="auto" w:sz="4" w:space="0"/>
              <w:left w:val="nil"/>
              <w:bottom w:val="single" w:color="auto" w:sz="4" w:space="0"/>
              <w:right w:val="nil"/>
            </w:tcBorders>
            <w:shd w:val="clear" w:color="auto" w:fill="FFFFFF"/>
          </w:tcPr>
          <w:p w14:paraId="6E5CF1A7">
            <w:pPr>
              <w:snapToGrid w:val="0"/>
              <w:spacing w:after="0" w:line="240" w:lineRule="auto"/>
              <w:jc w:val="both"/>
              <w:rPr>
                <w:b/>
                <w:color w:val="000000"/>
                <w:sz w:val="21"/>
              </w:rPr>
            </w:pPr>
            <w:r>
              <w:rPr>
                <w:rFonts w:hint="eastAsia"/>
                <w:b/>
                <w:color w:val="000000"/>
                <w:sz w:val="21"/>
              </w:rPr>
              <w:t>暂停</w:t>
            </w:r>
          </w:p>
        </w:tc>
        <w:tc>
          <w:tcPr>
            <w:tcW w:w="3762" w:type="pct"/>
            <w:gridSpan w:val="3"/>
            <w:tcBorders>
              <w:top w:val="single" w:color="auto" w:sz="4" w:space="0"/>
              <w:left w:val="nil"/>
              <w:bottom w:val="single" w:color="auto" w:sz="4" w:space="0"/>
              <w:right w:val="nil"/>
            </w:tcBorders>
            <w:shd w:val="clear" w:color="auto" w:fill="FFFFFF"/>
          </w:tcPr>
          <w:p w14:paraId="148203F5">
            <w:pPr>
              <w:snapToGrid w:val="0"/>
              <w:spacing w:after="0" w:line="240" w:lineRule="auto"/>
              <w:jc w:val="both"/>
              <w:rPr>
                <w:color w:val="000000"/>
                <w:sz w:val="21"/>
                <w:lang w:eastAsia="zh-CN"/>
              </w:rPr>
            </w:pPr>
            <w:r>
              <w:rPr>
                <w:rFonts w:hint="eastAsia"/>
                <w:color w:val="000000"/>
                <w:sz w:val="21"/>
                <w:lang w:eastAsia="zh-CN"/>
              </w:rPr>
              <w:t>此状态反映了暂停上市后监督要求的情况。可能暂停上市后监督要求的情况示例包括以下示例：</w:t>
            </w:r>
          </w:p>
          <w:p w14:paraId="39450EEB">
            <w:pPr>
              <w:numPr>
                <w:ilvl w:val="0"/>
                <w:numId w:val="8"/>
              </w:numPr>
              <w:snapToGrid w:val="0"/>
              <w:spacing w:after="0" w:line="240" w:lineRule="auto"/>
              <w:ind w:left="660" w:leftChars="100" w:hanging="420" w:hangingChars="200"/>
              <w:jc w:val="both"/>
              <w:rPr>
                <w:color w:val="000000"/>
                <w:sz w:val="21"/>
                <w:lang w:eastAsia="zh-CN"/>
              </w:rPr>
            </w:pPr>
            <w:r>
              <w:rPr>
                <w:rFonts w:hint="eastAsia"/>
                <w:color w:val="000000"/>
                <w:sz w:val="21"/>
                <w:lang w:eastAsia="zh-CN"/>
              </w:rPr>
              <w:t>在所有权变更完成的同时，正在进行一项待定的单独研究以解决</w:t>
            </w:r>
            <w:r>
              <w:rPr>
                <w:color w:val="000000"/>
                <w:sz w:val="21"/>
                <w:lang w:eastAsia="zh-CN"/>
              </w:rPr>
              <w:t>522</w:t>
            </w:r>
            <w:r>
              <w:rPr>
                <w:rFonts w:hint="eastAsia"/>
                <w:color w:val="000000"/>
                <w:sz w:val="21"/>
                <w:lang w:eastAsia="zh-CN"/>
              </w:rPr>
              <w:t>令中的公共卫生问题，</w:t>
            </w:r>
          </w:p>
          <w:p w14:paraId="42728183">
            <w:pPr>
              <w:numPr>
                <w:ilvl w:val="0"/>
                <w:numId w:val="8"/>
              </w:numPr>
              <w:snapToGrid w:val="0"/>
              <w:spacing w:after="0" w:line="240" w:lineRule="auto"/>
              <w:ind w:left="660" w:leftChars="100" w:hanging="420" w:hangingChars="200"/>
              <w:jc w:val="both"/>
              <w:rPr>
                <w:color w:val="000000"/>
                <w:sz w:val="21"/>
                <w:lang w:eastAsia="zh-CN"/>
              </w:rPr>
            </w:pPr>
            <w:r>
              <w:rPr>
                <w:rFonts w:hint="eastAsia"/>
                <w:color w:val="000000"/>
                <w:sz w:val="21"/>
                <w:lang w:eastAsia="zh-CN"/>
              </w:rPr>
              <w:t>重新设计器械，需要事先获得上市前授权才能在研究中使用，</w:t>
            </w:r>
          </w:p>
          <w:p w14:paraId="039440FA">
            <w:pPr>
              <w:numPr>
                <w:ilvl w:val="0"/>
                <w:numId w:val="8"/>
              </w:numPr>
              <w:snapToGrid w:val="0"/>
              <w:spacing w:after="0" w:line="240" w:lineRule="auto"/>
              <w:ind w:left="660" w:leftChars="100" w:hanging="420" w:hangingChars="200"/>
              <w:jc w:val="both"/>
              <w:rPr>
                <w:snapToGrid w:val="0"/>
                <w:color w:val="000000"/>
                <w:sz w:val="21"/>
                <w:szCs w:val="21"/>
                <w:lang w:eastAsia="zh-CN"/>
              </w:rPr>
            </w:pPr>
            <w:r>
              <w:rPr>
                <w:rFonts w:hint="eastAsia"/>
                <w:color w:val="000000"/>
                <w:sz w:val="21"/>
                <w:lang w:eastAsia="zh-CN"/>
              </w:rPr>
              <w:t>该器械已被授权在美国销售，但制造商目前尚未销售，</w:t>
            </w:r>
          </w:p>
          <w:p w14:paraId="5FFD68DC">
            <w:pPr>
              <w:numPr>
                <w:ilvl w:val="0"/>
                <w:numId w:val="8"/>
              </w:numPr>
              <w:snapToGrid w:val="0"/>
              <w:spacing w:after="0" w:line="240" w:lineRule="auto"/>
              <w:ind w:left="660" w:leftChars="100" w:hanging="420" w:hangingChars="200"/>
              <w:jc w:val="both"/>
              <w:rPr>
                <w:snapToGrid w:val="0"/>
                <w:color w:val="000000"/>
                <w:sz w:val="21"/>
                <w:szCs w:val="21"/>
                <w:lang w:eastAsia="zh-CN"/>
              </w:rPr>
            </w:pPr>
            <w:r>
              <w:rPr>
                <w:snapToGrid w:val="0"/>
                <w:color w:val="000000"/>
                <w:sz w:val="21"/>
                <w:szCs w:val="21"/>
                <w:lang w:eastAsia="zh-CN"/>
              </w:rPr>
              <w:t>已停止器械销售，但收到指令的监管提交尚未撤回。</w:t>
            </w:r>
          </w:p>
          <w:p w14:paraId="42EF5EB0">
            <w:pPr>
              <w:snapToGrid w:val="0"/>
              <w:spacing w:after="0" w:line="240" w:lineRule="auto"/>
              <w:jc w:val="both"/>
              <w:rPr>
                <w:color w:val="000000"/>
                <w:sz w:val="21"/>
                <w:lang w:eastAsia="zh-CN"/>
              </w:rPr>
            </w:pPr>
            <w:r>
              <w:rPr>
                <w:snapToGrid w:val="0"/>
                <w:color w:val="000000"/>
                <w:sz w:val="21"/>
                <w:szCs w:val="21"/>
                <w:lang w:eastAsia="zh-CN"/>
              </w:rPr>
              <w:t>当支持暂停的情况得到解决时，制造商负责实施监督计划。根据监督计划中的时间节点和修订指令发布后的时间评估进展。</w:t>
            </w:r>
          </w:p>
        </w:tc>
      </w:tr>
      <w:tr w14:paraId="7AA5688A">
        <w:tblPrEx>
          <w:tblCellMar>
            <w:top w:w="0" w:type="dxa"/>
            <w:left w:w="57" w:type="dxa"/>
            <w:bottom w:w="0" w:type="dxa"/>
            <w:right w:w="57" w:type="dxa"/>
          </w:tblCellMar>
        </w:tblPrEx>
        <w:tc>
          <w:tcPr>
            <w:tcW w:w="1238" w:type="pct"/>
            <w:gridSpan w:val="2"/>
            <w:tcBorders>
              <w:top w:val="single" w:color="auto" w:sz="4" w:space="0"/>
              <w:left w:val="nil"/>
              <w:bottom w:val="single" w:color="auto" w:sz="4" w:space="0"/>
              <w:right w:val="nil"/>
            </w:tcBorders>
            <w:shd w:val="clear" w:color="auto" w:fill="FFFFFF"/>
          </w:tcPr>
          <w:p w14:paraId="5E63B753">
            <w:pPr>
              <w:pageBreakBefore/>
              <w:snapToGrid w:val="0"/>
              <w:spacing w:after="0" w:line="240" w:lineRule="auto"/>
              <w:jc w:val="both"/>
              <w:rPr>
                <w:b/>
                <w:color w:val="000000"/>
                <w:sz w:val="21"/>
              </w:rPr>
            </w:pPr>
            <w:r>
              <w:rPr>
                <w:rFonts w:hint="eastAsia"/>
                <w:b/>
                <w:color w:val="000000"/>
                <w:sz w:val="21"/>
              </w:rPr>
              <w:t>合并</w:t>
            </w:r>
          </w:p>
        </w:tc>
        <w:tc>
          <w:tcPr>
            <w:tcW w:w="3762" w:type="pct"/>
            <w:gridSpan w:val="3"/>
            <w:tcBorders>
              <w:top w:val="single" w:color="auto" w:sz="4" w:space="0"/>
              <w:left w:val="nil"/>
              <w:bottom w:val="single" w:color="auto" w:sz="4" w:space="0"/>
              <w:right w:val="nil"/>
            </w:tcBorders>
            <w:shd w:val="clear" w:color="auto" w:fill="FFFFFF"/>
          </w:tcPr>
          <w:p w14:paraId="0358F292">
            <w:pPr>
              <w:snapToGrid w:val="0"/>
              <w:spacing w:after="0" w:line="240" w:lineRule="auto"/>
              <w:jc w:val="both"/>
              <w:rPr>
                <w:color w:val="000000"/>
                <w:sz w:val="21"/>
                <w:lang w:eastAsia="zh-CN"/>
              </w:rPr>
            </w:pPr>
            <w:r>
              <w:rPr>
                <w:rFonts w:hint="eastAsia"/>
                <w:color w:val="000000"/>
                <w:sz w:val="21"/>
                <w:lang w:eastAsia="zh-CN"/>
              </w:rPr>
              <w:t>制造商已要求将特定器械类型的多个</w:t>
            </w:r>
            <w:r>
              <w:rPr>
                <w:color w:val="000000"/>
                <w:sz w:val="21"/>
                <w:lang w:eastAsia="zh-CN"/>
              </w:rPr>
              <w:t>522</w:t>
            </w:r>
            <w:r>
              <w:rPr>
                <w:rFonts w:hint="eastAsia"/>
                <w:color w:val="000000"/>
                <w:sz w:val="21"/>
                <w:lang w:eastAsia="zh-CN"/>
              </w:rPr>
              <w:t>指令合并为一个合并的</w:t>
            </w:r>
            <w:r>
              <w:rPr>
                <w:color w:val="000000"/>
                <w:sz w:val="21"/>
                <w:lang w:eastAsia="zh-CN"/>
              </w:rPr>
              <w:t>522</w:t>
            </w:r>
            <w:r>
              <w:rPr>
                <w:rFonts w:hint="eastAsia"/>
                <w:color w:val="000000"/>
                <w:sz w:val="21"/>
                <w:lang w:eastAsia="zh-CN"/>
              </w:rPr>
              <w:t>指令。</w:t>
            </w:r>
            <w:r>
              <w:rPr>
                <w:color w:val="000000"/>
                <w:sz w:val="21"/>
                <w:lang w:eastAsia="zh-CN"/>
              </w:rPr>
              <w:t>FDA</w:t>
            </w:r>
            <w:r>
              <w:rPr>
                <w:rFonts w:hint="eastAsia"/>
                <w:color w:val="000000"/>
                <w:sz w:val="21"/>
                <w:lang w:eastAsia="zh-CN"/>
              </w:rPr>
              <w:t>已同意将多个</w:t>
            </w:r>
            <w:r>
              <w:rPr>
                <w:color w:val="000000"/>
                <w:sz w:val="21"/>
                <w:lang w:eastAsia="zh-CN"/>
              </w:rPr>
              <w:t>522</w:t>
            </w:r>
            <w:r>
              <w:rPr>
                <w:rFonts w:hint="eastAsia"/>
                <w:color w:val="000000"/>
                <w:sz w:val="21"/>
                <w:lang w:eastAsia="zh-CN"/>
              </w:rPr>
              <w:t>指令合并为一份指令。</w:t>
            </w:r>
          </w:p>
        </w:tc>
      </w:tr>
    </w:tbl>
    <w:p w14:paraId="014D7169">
      <w:pPr>
        <w:snapToGrid w:val="0"/>
        <w:spacing w:after="0" w:line="240" w:lineRule="auto"/>
        <w:ind w:left="240" w:leftChars="100"/>
        <w:jc w:val="both"/>
        <w:rPr>
          <w:sz w:val="21"/>
          <w:lang w:eastAsia="zh-CN"/>
        </w:rPr>
      </w:pPr>
      <w:r>
        <w:rPr>
          <w:sz w:val="21"/>
          <w:vertAlign w:val="superscript"/>
          <w:lang w:eastAsia="zh-CN"/>
        </w:rPr>
        <w:t>1</w:t>
      </w:r>
      <w:r>
        <w:rPr>
          <w:rFonts w:hint="eastAsia"/>
          <w:sz w:val="21"/>
          <w:lang w:eastAsia="zh-CN"/>
        </w:rPr>
        <w:t>参见</w:t>
      </w:r>
      <w:r>
        <w:rPr>
          <w:rFonts w:hint="eastAsia"/>
          <w:color w:val="0000FF"/>
          <w:sz w:val="21"/>
          <w:u w:val="single"/>
          <w:lang w:eastAsia="zh-CN"/>
        </w:rPr>
        <w:t>第</w:t>
      </w:r>
      <w:r>
        <w:rPr>
          <w:color w:val="0000FF"/>
          <w:sz w:val="21"/>
          <w:u w:val="single"/>
          <w:lang w:eastAsia="zh-CN"/>
        </w:rPr>
        <w:t>III.C</w:t>
      </w:r>
      <w:r>
        <w:rPr>
          <w:rFonts w:hint="eastAsia"/>
          <w:color w:val="0000FF"/>
          <w:sz w:val="21"/>
          <w:u w:val="single"/>
          <w:lang w:eastAsia="zh-CN"/>
        </w:rPr>
        <w:t>节</w:t>
      </w:r>
      <w:r>
        <w:rPr>
          <w:rFonts w:hint="eastAsia"/>
          <w:sz w:val="21"/>
          <w:lang w:eastAsia="zh-CN"/>
        </w:rPr>
        <w:t>和</w:t>
      </w:r>
      <w:r>
        <w:rPr>
          <w:rFonts w:hint="eastAsia"/>
          <w:color w:val="0000FF"/>
          <w:sz w:val="21"/>
          <w:u w:val="single"/>
          <w:lang w:eastAsia="zh-CN"/>
        </w:rPr>
        <w:t>第</w:t>
      </w:r>
      <w:r>
        <w:rPr>
          <w:color w:val="0000FF"/>
          <w:sz w:val="21"/>
          <w:u w:val="single"/>
          <w:lang w:eastAsia="zh-CN"/>
        </w:rPr>
        <w:t>X</w:t>
      </w:r>
      <w:r>
        <w:rPr>
          <w:rFonts w:hint="eastAsia"/>
          <w:color w:val="0000FF"/>
          <w:sz w:val="21"/>
          <w:u w:val="single"/>
          <w:lang w:eastAsia="zh-CN"/>
        </w:rPr>
        <w:t>节</w:t>
      </w:r>
    </w:p>
    <w:p w14:paraId="53FBE678">
      <w:pPr>
        <w:tabs>
          <w:tab w:val="left" w:pos="700"/>
        </w:tabs>
        <w:snapToGrid w:val="0"/>
        <w:spacing w:after="0" w:line="240" w:lineRule="auto"/>
        <w:jc w:val="both"/>
        <w:rPr>
          <w:b/>
          <w:lang w:eastAsia="zh-CN"/>
        </w:rPr>
      </w:pPr>
    </w:p>
    <w:p w14:paraId="653D5756">
      <w:pPr>
        <w:pStyle w:val="2"/>
        <w:numPr>
          <w:ilvl w:val="0"/>
          <w:numId w:val="1"/>
        </w:numPr>
        <w:snapToGrid w:val="0"/>
        <w:spacing w:before="0" w:beforeLines="0" w:line="240" w:lineRule="auto"/>
        <w:ind w:left="562" w:hanging="562" w:firstLineChars="0"/>
        <w:rPr>
          <w:rFonts w:eastAsia="宋体"/>
          <w:sz w:val="28"/>
          <w:lang w:eastAsia="zh-CN"/>
        </w:rPr>
      </w:pPr>
      <w:bookmarkStart w:id="46" w:name="_Toc97547003"/>
      <w:bookmarkStart w:id="47" w:name="_Toc91249671"/>
      <w:r>
        <w:rPr>
          <w:rFonts w:hint="eastAsia" w:eastAsia="宋体"/>
          <w:sz w:val="28"/>
          <w:lang w:eastAsia="zh-CN"/>
        </w:rPr>
        <w:t>未能遵守《</w:t>
      </w:r>
      <w:r>
        <w:rPr>
          <w:rFonts w:eastAsia="宋体"/>
          <w:sz w:val="28"/>
          <w:lang w:eastAsia="zh-CN"/>
        </w:rPr>
        <w:t>FD&amp;C</w:t>
      </w:r>
      <w:r>
        <w:rPr>
          <w:rFonts w:hint="eastAsia" w:eastAsia="宋体"/>
          <w:sz w:val="28"/>
          <w:lang w:eastAsia="zh-CN"/>
        </w:rPr>
        <w:t>法案》第</w:t>
      </w:r>
      <w:r>
        <w:rPr>
          <w:rFonts w:eastAsia="宋体"/>
          <w:sz w:val="28"/>
          <w:lang w:eastAsia="zh-CN"/>
        </w:rPr>
        <w:t>522</w:t>
      </w:r>
      <w:r>
        <w:rPr>
          <w:rFonts w:hint="eastAsia" w:eastAsia="宋体"/>
          <w:sz w:val="28"/>
          <w:lang w:eastAsia="zh-CN"/>
        </w:rPr>
        <w:t>节规定的上市后监督要求</w:t>
      </w:r>
      <w:bookmarkEnd w:id="46"/>
      <w:bookmarkEnd w:id="47"/>
    </w:p>
    <w:p w14:paraId="6E708F99">
      <w:pPr>
        <w:snapToGrid w:val="0"/>
        <w:spacing w:after="0" w:line="240" w:lineRule="auto"/>
        <w:ind w:left="240" w:leftChars="100" w:firstLine="480" w:firstLineChars="200"/>
        <w:jc w:val="both"/>
        <w:rPr>
          <w:lang w:eastAsia="zh-CN"/>
        </w:rPr>
      </w:pPr>
      <w:r>
        <w:rPr>
          <w:rFonts w:hint="eastAsia"/>
          <w:lang w:eastAsia="zh-CN"/>
        </w:rPr>
        <w:t>未能或拒绝遵守第</w:t>
      </w:r>
      <w:r>
        <w:rPr>
          <w:lang w:eastAsia="zh-CN"/>
        </w:rPr>
        <w:t>522</w:t>
      </w:r>
      <w:r>
        <w:rPr>
          <w:rFonts w:hint="eastAsia"/>
          <w:lang w:eastAsia="zh-CN"/>
        </w:rPr>
        <w:t>节规定的要求，包括未能在</w:t>
      </w:r>
      <w:r>
        <w:rPr>
          <w:lang w:eastAsia="zh-CN"/>
        </w:rPr>
        <w:t>522</w:t>
      </w:r>
      <w:r>
        <w:rPr>
          <w:rFonts w:hint="eastAsia"/>
          <w:lang w:eastAsia="zh-CN"/>
        </w:rPr>
        <w:t>指令发出后</w:t>
      </w:r>
      <w:r>
        <w:rPr>
          <w:lang w:eastAsia="zh-CN"/>
        </w:rPr>
        <w:t>15</w:t>
      </w:r>
      <w:r>
        <w:rPr>
          <w:rFonts w:hint="eastAsia"/>
          <w:lang w:eastAsia="zh-CN"/>
        </w:rPr>
        <w:t>个月内开始监督，是《</w:t>
      </w:r>
      <w:r>
        <w:rPr>
          <w:lang w:eastAsia="zh-CN"/>
        </w:rPr>
        <w:t>FD&amp;C</w:t>
      </w:r>
      <w:r>
        <w:rPr>
          <w:rFonts w:hint="eastAsia"/>
          <w:lang w:eastAsia="zh-CN"/>
        </w:rPr>
        <w:t>法案》第</w:t>
      </w:r>
      <w:r>
        <w:rPr>
          <w:lang w:eastAsia="zh-CN"/>
        </w:rPr>
        <w:t>301</w:t>
      </w:r>
      <w:r>
        <w:rPr>
          <w:snapToGrid w:val="0"/>
          <w:szCs w:val="24"/>
          <w:lang w:eastAsia="zh-CN"/>
        </w:rPr>
        <w:t>（q）（1）（C）节和《美国联邦法规》第21篇第331（</w:t>
      </w:r>
      <w:r>
        <w:rPr>
          <w:lang w:eastAsia="zh-CN"/>
        </w:rPr>
        <w:t>q</w:t>
      </w:r>
      <w:r>
        <w:rPr>
          <w:snapToGrid w:val="0"/>
          <w:szCs w:val="24"/>
          <w:lang w:eastAsia="zh-CN"/>
        </w:rPr>
        <w:t>）（</w:t>
      </w:r>
      <w:r>
        <w:rPr>
          <w:lang w:eastAsia="zh-CN"/>
        </w:rPr>
        <w:t>1</w:t>
      </w:r>
      <w:r>
        <w:rPr>
          <w:snapToGrid w:val="0"/>
          <w:szCs w:val="24"/>
          <w:lang w:eastAsia="zh-CN"/>
        </w:rPr>
        <w:t>）（</w:t>
      </w:r>
      <w:r>
        <w:rPr>
          <w:lang w:eastAsia="zh-CN"/>
        </w:rPr>
        <w:t>C</w:t>
      </w:r>
      <w:r>
        <w:rPr>
          <w:snapToGrid w:val="0"/>
          <w:szCs w:val="24"/>
          <w:lang w:eastAsia="zh-CN"/>
        </w:rPr>
        <w:t>）</w:t>
      </w:r>
      <w:r>
        <w:rPr>
          <w:rFonts w:hint="eastAsia"/>
          <w:lang w:eastAsia="zh-CN"/>
        </w:rPr>
        <w:t>节规定的禁止行为，并且根据《</w:t>
      </w:r>
      <w:r>
        <w:rPr>
          <w:lang w:eastAsia="zh-CN"/>
        </w:rPr>
        <w:t>FD&amp;C</w:t>
      </w:r>
      <w:r>
        <w:rPr>
          <w:rFonts w:hint="eastAsia"/>
          <w:lang w:eastAsia="zh-CN"/>
        </w:rPr>
        <w:t>法案》第</w:t>
      </w:r>
      <w:r>
        <w:rPr>
          <w:lang w:eastAsia="zh-CN"/>
        </w:rPr>
        <w:t>502</w:t>
      </w:r>
      <w:r>
        <w:rPr>
          <w:snapToGrid w:val="0"/>
          <w:szCs w:val="24"/>
          <w:lang w:eastAsia="zh-CN"/>
        </w:rPr>
        <w:t>（t）（3）节和《美国联邦法规》第§352（</w:t>
      </w:r>
      <w:r>
        <w:rPr>
          <w:lang w:eastAsia="zh-CN"/>
        </w:rPr>
        <w:t>t</w:t>
      </w:r>
      <w:r>
        <w:rPr>
          <w:snapToGrid w:val="0"/>
          <w:szCs w:val="24"/>
          <w:lang w:eastAsia="zh-CN"/>
        </w:rPr>
        <w:t>）（</w:t>
      </w:r>
      <w:r>
        <w:rPr>
          <w:lang w:eastAsia="zh-CN"/>
        </w:rPr>
        <w:t>3</w:t>
      </w:r>
      <w:r>
        <w:rPr>
          <w:snapToGrid w:val="0"/>
          <w:szCs w:val="24"/>
          <w:lang w:eastAsia="zh-CN"/>
        </w:rPr>
        <w:t>）</w:t>
      </w:r>
      <w:r>
        <w:rPr>
          <w:rFonts w:hint="eastAsia"/>
          <w:lang w:eastAsia="zh-CN"/>
        </w:rPr>
        <w:t>节的</w:t>
      </w:r>
      <w:r>
        <w:rPr>
          <w:snapToGrid w:val="0"/>
          <w:szCs w:val="24"/>
          <w:lang w:eastAsia="zh-CN"/>
        </w:rPr>
        <w:t>规定</w:t>
      </w:r>
      <w:r>
        <w:rPr>
          <w:rFonts w:hint="eastAsia"/>
          <w:lang w:eastAsia="zh-CN"/>
        </w:rPr>
        <w:t>，该器械将视为违标器械。注意，违反第</w:t>
      </w:r>
      <w:r>
        <w:rPr>
          <w:lang w:eastAsia="zh-CN"/>
        </w:rPr>
        <w:t>301</w:t>
      </w:r>
      <w:r>
        <w:rPr>
          <w:snapToGrid w:val="0"/>
          <w:szCs w:val="24"/>
          <w:lang w:eastAsia="zh-CN"/>
        </w:rPr>
        <w:t>（</w:t>
      </w:r>
      <w:r>
        <w:rPr>
          <w:lang w:eastAsia="zh-CN"/>
        </w:rPr>
        <w:t>q</w:t>
      </w:r>
      <w:r>
        <w:rPr>
          <w:snapToGrid w:val="0"/>
          <w:szCs w:val="24"/>
          <w:lang w:eastAsia="zh-CN"/>
        </w:rPr>
        <w:t>）（</w:t>
      </w:r>
      <w:r>
        <w:rPr>
          <w:lang w:eastAsia="zh-CN"/>
        </w:rPr>
        <w:t>1</w:t>
      </w:r>
      <w:r>
        <w:rPr>
          <w:snapToGrid w:val="0"/>
          <w:szCs w:val="24"/>
          <w:lang w:eastAsia="zh-CN"/>
        </w:rPr>
        <w:t>）（</w:t>
      </w:r>
      <w:r>
        <w:rPr>
          <w:lang w:eastAsia="zh-CN"/>
        </w:rPr>
        <w:t>C</w:t>
      </w:r>
      <w:r>
        <w:rPr>
          <w:snapToGrid w:val="0"/>
          <w:szCs w:val="24"/>
          <w:lang w:eastAsia="zh-CN"/>
        </w:rPr>
        <w:t>）</w:t>
      </w:r>
      <w:r>
        <w:rPr>
          <w:rFonts w:hint="eastAsia"/>
          <w:lang w:eastAsia="zh-CN"/>
        </w:rPr>
        <w:t>节和第</w:t>
      </w:r>
      <w:r>
        <w:rPr>
          <w:lang w:eastAsia="zh-CN"/>
        </w:rPr>
        <w:t>502</w:t>
      </w:r>
      <w:r>
        <w:rPr>
          <w:snapToGrid w:val="0"/>
          <w:szCs w:val="24"/>
          <w:lang w:eastAsia="zh-CN"/>
        </w:rPr>
        <w:t>（</w:t>
      </w:r>
      <w:r>
        <w:rPr>
          <w:lang w:eastAsia="zh-CN"/>
        </w:rPr>
        <w:t>t</w:t>
      </w:r>
      <w:r>
        <w:rPr>
          <w:snapToGrid w:val="0"/>
          <w:szCs w:val="24"/>
          <w:lang w:eastAsia="zh-CN"/>
        </w:rPr>
        <w:t>）（</w:t>
      </w:r>
      <w:r>
        <w:rPr>
          <w:lang w:eastAsia="zh-CN"/>
        </w:rPr>
        <w:t>3</w:t>
      </w:r>
      <w:r>
        <w:rPr>
          <w:snapToGrid w:val="0"/>
          <w:szCs w:val="24"/>
          <w:lang w:eastAsia="zh-CN"/>
        </w:rPr>
        <w:t>）</w:t>
      </w:r>
      <w:r>
        <w:rPr>
          <w:rFonts w:hint="eastAsia"/>
          <w:lang w:eastAsia="zh-CN"/>
        </w:rPr>
        <w:t>节可能导致强制措施，包括扣押产品、禁令、起诉和</w:t>
      </w:r>
      <w:r>
        <w:rPr>
          <w:lang w:eastAsia="zh-CN"/>
        </w:rPr>
        <w:t>/</w:t>
      </w:r>
      <w:r>
        <w:rPr>
          <w:rFonts w:hint="eastAsia"/>
          <w:lang w:eastAsia="zh-CN"/>
        </w:rPr>
        <w:t>或民事罚款（视情况而定）。</w:t>
      </w:r>
      <w:r>
        <w:rPr>
          <w:rStyle w:val="17"/>
          <w:snapToGrid w:val="0"/>
          <w:szCs w:val="24"/>
          <w:lang w:eastAsia="zh-CN"/>
        </w:rPr>
        <w:footnoteReference w:id="43"/>
      </w:r>
    </w:p>
    <w:p w14:paraId="08ED804E">
      <w:pPr>
        <w:snapToGrid w:val="0"/>
        <w:spacing w:after="0" w:line="240" w:lineRule="auto"/>
        <w:ind w:left="240" w:leftChars="100" w:firstLine="480" w:firstLineChars="200"/>
        <w:jc w:val="both"/>
        <w:rPr>
          <w:snapToGrid w:val="0"/>
          <w:szCs w:val="24"/>
          <w:lang w:eastAsia="zh-CN"/>
        </w:rPr>
      </w:pPr>
    </w:p>
    <w:p w14:paraId="46E06972">
      <w:pPr>
        <w:snapToGrid w:val="0"/>
        <w:spacing w:after="0" w:line="240" w:lineRule="auto"/>
        <w:ind w:left="240" w:leftChars="100" w:firstLine="480" w:firstLineChars="200"/>
        <w:jc w:val="both"/>
        <w:rPr>
          <w:lang w:eastAsia="zh-CN"/>
        </w:rPr>
      </w:pPr>
      <w:r>
        <w:rPr>
          <w:rFonts w:hint="eastAsia"/>
          <w:lang w:eastAsia="zh-CN"/>
        </w:rPr>
        <w:t>此外，未获得批准的上市后监督计划也可能是强制措施的依据，因为这构成未遵守《</w:t>
      </w:r>
      <w:r>
        <w:rPr>
          <w:lang w:eastAsia="zh-CN"/>
        </w:rPr>
        <w:t>FD&amp;C</w:t>
      </w:r>
      <w:r>
        <w:rPr>
          <w:rFonts w:hint="eastAsia"/>
          <w:lang w:eastAsia="zh-CN"/>
        </w:rPr>
        <w:t>法案》第</w:t>
      </w:r>
      <w:r>
        <w:rPr>
          <w:lang w:eastAsia="zh-CN"/>
        </w:rPr>
        <w:t>522</w:t>
      </w:r>
      <w:r>
        <w:rPr>
          <w:rFonts w:hint="eastAsia"/>
          <w:lang w:eastAsia="zh-CN"/>
        </w:rPr>
        <w:t>节的规定，而根据《</w:t>
      </w:r>
      <w:r>
        <w:rPr>
          <w:lang w:eastAsia="zh-CN"/>
        </w:rPr>
        <w:t>FD&amp;C</w:t>
      </w:r>
      <w:r>
        <w:rPr>
          <w:rFonts w:hint="eastAsia"/>
          <w:lang w:eastAsia="zh-CN"/>
        </w:rPr>
        <w:t>法案》第</w:t>
      </w:r>
      <w:r>
        <w:rPr>
          <w:lang w:eastAsia="zh-CN"/>
        </w:rPr>
        <w:t>301</w:t>
      </w:r>
      <w:r>
        <w:rPr>
          <w:snapToGrid w:val="0"/>
          <w:szCs w:val="24"/>
          <w:lang w:eastAsia="zh-CN"/>
        </w:rPr>
        <w:t>（</w:t>
      </w:r>
      <w:r>
        <w:rPr>
          <w:lang w:eastAsia="zh-CN"/>
        </w:rPr>
        <w:t>q</w:t>
      </w:r>
      <w:r>
        <w:rPr>
          <w:snapToGrid w:val="0"/>
          <w:szCs w:val="24"/>
          <w:lang w:eastAsia="zh-CN"/>
        </w:rPr>
        <w:t>）（</w:t>
      </w:r>
      <w:r>
        <w:rPr>
          <w:lang w:eastAsia="zh-CN"/>
        </w:rPr>
        <w:t>1</w:t>
      </w:r>
      <w:r>
        <w:rPr>
          <w:snapToGrid w:val="0"/>
          <w:szCs w:val="24"/>
          <w:lang w:eastAsia="zh-CN"/>
        </w:rPr>
        <w:t>）（</w:t>
      </w:r>
      <w:r>
        <w:rPr>
          <w:lang w:eastAsia="zh-CN"/>
        </w:rPr>
        <w:t>C</w:t>
      </w:r>
      <w:r>
        <w:rPr>
          <w:snapToGrid w:val="0"/>
          <w:szCs w:val="24"/>
          <w:lang w:eastAsia="zh-CN"/>
        </w:rPr>
        <w:t>）</w:t>
      </w:r>
      <w:r>
        <w:rPr>
          <w:rFonts w:hint="eastAsia"/>
          <w:lang w:eastAsia="zh-CN"/>
        </w:rPr>
        <w:t>节，这是一项禁止行为，并且根据《</w:t>
      </w:r>
      <w:r>
        <w:rPr>
          <w:lang w:eastAsia="zh-CN"/>
        </w:rPr>
        <w:t>FD&amp;C</w:t>
      </w:r>
      <w:r>
        <w:rPr>
          <w:rFonts w:hint="eastAsia"/>
          <w:lang w:eastAsia="zh-CN"/>
        </w:rPr>
        <w:t>法案》（</w:t>
      </w:r>
      <w:r>
        <w:rPr>
          <w:snapToGrid w:val="0"/>
          <w:szCs w:val="24"/>
          <w:lang w:eastAsia="zh-CN"/>
        </w:rPr>
        <w:t>《美国联邦法规》第21篇第820</w:t>
      </w:r>
      <w:r>
        <w:rPr>
          <w:lang w:eastAsia="zh-CN"/>
        </w:rPr>
        <w:t>.20</w:t>
      </w:r>
      <w:r>
        <w:rPr>
          <w:snapToGrid w:val="0"/>
          <w:szCs w:val="24"/>
          <w:lang w:eastAsia="zh-CN"/>
        </w:rPr>
        <w:t>节</w:t>
      </w:r>
      <w:r>
        <w:rPr>
          <w:rFonts w:hint="eastAsia"/>
          <w:lang w:eastAsia="zh-CN"/>
        </w:rPr>
        <w:t>）第</w:t>
      </w:r>
      <w:r>
        <w:rPr>
          <w:lang w:eastAsia="zh-CN"/>
        </w:rPr>
        <w:t>502</w:t>
      </w:r>
      <w:r>
        <w:rPr>
          <w:snapToGrid w:val="0"/>
          <w:szCs w:val="24"/>
          <w:lang w:eastAsia="zh-CN"/>
        </w:rPr>
        <w:t>（</w:t>
      </w:r>
      <w:r>
        <w:rPr>
          <w:lang w:eastAsia="zh-CN"/>
        </w:rPr>
        <w:t>t</w:t>
      </w:r>
      <w:r>
        <w:rPr>
          <w:snapToGrid w:val="0"/>
          <w:szCs w:val="24"/>
          <w:lang w:eastAsia="zh-CN"/>
        </w:rPr>
        <w:t>）（</w:t>
      </w:r>
      <w:r>
        <w:rPr>
          <w:lang w:eastAsia="zh-CN"/>
        </w:rPr>
        <w:t>3</w:t>
      </w:r>
      <w:r>
        <w:rPr>
          <w:snapToGrid w:val="0"/>
          <w:szCs w:val="24"/>
          <w:lang w:eastAsia="zh-CN"/>
        </w:rPr>
        <w:t>）</w:t>
      </w:r>
      <w:r>
        <w:rPr>
          <w:rFonts w:hint="eastAsia"/>
          <w:lang w:eastAsia="zh-CN"/>
        </w:rPr>
        <w:t>节，该器械将视为违标器械。</w:t>
      </w:r>
    </w:p>
    <w:p w14:paraId="5EFC40EA">
      <w:pPr>
        <w:snapToGrid w:val="0"/>
        <w:spacing w:after="0" w:line="240" w:lineRule="auto"/>
        <w:ind w:left="240" w:leftChars="100" w:firstLine="480" w:firstLineChars="200"/>
        <w:jc w:val="both"/>
        <w:rPr>
          <w:snapToGrid w:val="0"/>
          <w:szCs w:val="24"/>
          <w:lang w:eastAsia="zh-CN"/>
        </w:rPr>
      </w:pPr>
    </w:p>
    <w:p w14:paraId="5BCE8857">
      <w:pPr>
        <w:snapToGrid w:val="0"/>
        <w:spacing w:after="0" w:line="240" w:lineRule="auto"/>
        <w:ind w:left="240" w:leftChars="100" w:firstLine="480" w:firstLineChars="200"/>
        <w:jc w:val="both"/>
        <w:rPr>
          <w:lang w:eastAsia="zh-CN"/>
        </w:rPr>
      </w:pPr>
      <w:r>
        <w:rPr>
          <w:rFonts w:hint="eastAsia"/>
          <w:lang w:eastAsia="zh-CN"/>
        </w:rPr>
        <w:t>在某些情况下，制造商不可能或不适合于完成特定的上市后监督指令，制造商可要求豁免对其器械进行上市后监督的要求，</w:t>
      </w:r>
      <w:r>
        <w:rPr>
          <w:lang w:eastAsia="zh-CN"/>
        </w:rPr>
        <w:t>FDA</w:t>
      </w:r>
      <w:r>
        <w:rPr>
          <w:rFonts w:hint="eastAsia"/>
          <w:lang w:eastAsia="zh-CN"/>
        </w:rPr>
        <w:t>将根据</w:t>
      </w:r>
      <w:r>
        <w:rPr>
          <w:snapToGrid w:val="0"/>
          <w:szCs w:val="24"/>
          <w:lang w:eastAsia="zh-CN"/>
        </w:rPr>
        <w:t>《美国联邦法规》第21篇第822</w:t>
      </w:r>
      <w:r>
        <w:rPr>
          <w:lang w:eastAsia="zh-CN"/>
        </w:rPr>
        <w:t>.30</w:t>
      </w:r>
      <w:r>
        <w:rPr>
          <w:snapToGrid w:val="0"/>
          <w:szCs w:val="24"/>
          <w:lang w:eastAsia="zh-CN"/>
        </w:rPr>
        <w:t>节</w:t>
      </w:r>
      <w:r>
        <w:rPr>
          <w:rFonts w:hint="eastAsia"/>
          <w:lang w:eastAsia="zh-CN"/>
        </w:rPr>
        <w:t>考虑。除非获得豁免，否则制造商必须遵守</w:t>
      </w:r>
      <w:r>
        <w:rPr>
          <w:lang w:eastAsia="zh-CN"/>
        </w:rPr>
        <w:t>522</w:t>
      </w:r>
      <w:r>
        <w:rPr>
          <w:rFonts w:hint="eastAsia"/>
          <w:lang w:eastAsia="zh-CN"/>
        </w:rPr>
        <w:t>指令。</w:t>
      </w:r>
      <w:r>
        <w:rPr>
          <w:rStyle w:val="17"/>
          <w:snapToGrid w:val="0"/>
          <w:szCs w:val="24"/>
          <w:lang w:eastAsia="zh-CN"/>
        </w:rPr>
        <w:footnoteReference w:id="44"/>
      </w:r>
      <w:r>
        <w:rPr>
          <w:rFonts w:hint="eastAsia"/>
          <w:lang w:eastAsia="zh-CN"/>
        </w:rPr>
        <w:t>如果制造商停止销售受上市后监督指令约束的器械，其仍必须按照批准的计划继续进行上市后监督，除非本机构另有通知。</w:t>
      </w:r>
      <w:r>
        <w:rPr>
          <w:rStyle w:val="17"/>
          <w:snapToGrid w:val="0"/>
          <w:szCs w:val="24"/>
          <w:lang w:eastAsia="zh-CN"/>
        </w:rPr>
        <w:footnoteReference w:id="45"/>
      </w:r>
      <w:r>
        <w:rPr>
          <w:snapToGrid w:val="0"/>
          <w:szCs w:val="24"/>
          <w:lang w:eastAsia="zh-CN"/>
        </w:rPr>
        <w:t>在此种</w:t>
      </w:r>
      <w:r>
        <w:rPr>
          <w:rFonts w:hint="eastAsia"/>
          <w:lang w:eastAsia="zh-CN"/>
        </w:rPr>
        <w:t>情况下，对于终止或修改上市后监督的请求，本机构将根据具体情况决定，但对于长期植入的器械，本机构不太可能给予批准。如果制造商打算在履行上市后监督承诺之前终止上市后监督，</w:t>
      </w:r>
      <w:r>
        <w:rPr>
          <w:lang w:eastAsia="zh-CN"/>
        </w:rPr>
        <w:t>FDA</w:t>
      </w:r>
      <w:r>
        <w:rPr>
          <w:rFonts w:hint="eastAsia"/>
          <w:lang w:eastAsia="zh-CN"/>
        </w:rPr>
        <w:t>建议制造商尽早与</w:t>
      </w:r>
      <w:r>
        <w:rPr>
          <w:lang w:eastAsia="zh-CN"/>
        </w:rPr>
        <w:t>FDA</w:t>
      </w:r>
      <w:r>
        <w:rPr>
          <w:rFonts w:hint="eastAsia"/>
          <w:lang w:eastAsia="zh-CN"/>
        </w:rPr>
        <w:t>沟通。</w:t>
      </w:r>
    </w:p>
    <w:p w14:paraId="5F400E7F">
      <w:pPr>
        <w:snapToGrid w:val="0"/>
        <w:spacing w:after="0" w:line="240" w:lineRule="auto"/>
        <w:jc w:val="both"/>
        <w:rPr>
          <w:lang w:eastAsia="zh-CN"/>
        </w:rPr>
      </w:pPr>
      <w:r>
        <w:rPr>
          <w:lang w:eastAsia="zh-CN"/>
        </w:rPr>
        <w:br w:type="page"/>
      </w:r>
    </w:p>
    <w:p w14:paraId="143360DE">
      <w:pPr>
        <w:snapToGrid w:val="0"/>
        <w:spacing w:after="0" w:line="240" w:lineRule="auto"/>
        <w:ind w:left="240" w:leftChars="100" w:firstLine="480" w:firstLineChars="200"/>
        <w:jc w:val="both"/>
        <w:rPr>
          <w:lang w:eastAsia="zh-CN"/>
        </w:rPr>
      </w:pPr>
      <w:r>
        <w:rPr>
          <w:rFonts w:hint="eastAsia"/>
          <w:lang w:eastAsia="zh-CN"/>
        </w:rPr>
        <w:t>或者，如果</w:t>
      </w:r>
      <w:r>
        <w:rPr>
          <w:lang w:eastAsia="zh-CN"/>
        </w:rPr>
        <w:t>FDA</w:t>
      </w:r>
      <w:r>
        <w:rPr>
          <w:rFonts w:hint="eastAsia"/>
          <w:lang w:eastAsia="zh-CN"/>
        </w:rPr>
        <w:t>确定一项监督计划将不再解答或充分解决</w:t>
      </w:r>
      <w:r>
        <w:rPr>
          <w:lang w:eastAsia="zh-CN"/>
        </w:rPr>
        <w:t>522</w:t>
      </w:r>
      <w:r>
        <w:rPr>
          <w:rFonts w:hint="eastAsia"/>
          <w:lang w:eastAsia="zh-CN"/>
        </w:rPr>
        <w:t>指令中的问题，例如，由于上市后监督设计或数据不足，或由于该器械的营销或制造中断，但</w:t>
      </w:r>
      <w:r>
        <w:rPr>
          <w:lang w:eastAsia="zh-CN"/>
        </w:rPr>
        <w:t>522</w:t>
      </w:r>
      <w:r>
        <w:rPr>
          <w:rFonts w:hint="eastAsia"/>
          <w:lang w:eastAsia="zh-CN"/>
        </w:rPr>
        <w:t>指令目标仍然很重要，则</w:t>
      </w:r>
      <w:r>
        <w:rPr>
          <w:lang w:eastAsia="zh-CN"/>
        </w:rPr>
        <w:t>FDA</w:t>
      </w:r>
      <w:r>
        <w:rPr>
          <w:rFonts w:hint="eastAsia"/>
          <w:lang w:eastAsia="zh-CN"/>
        </w:rPr>
        <w:t>将与制造商讨论制定新的上市后监督计划和时间表。</w:t>
      </w:r>
    </w:p>
    <w:p w14:paraId="7074917F">
      <w:pPr>
        <w:snapToGrid w:val="0"/>
        <w:spacing w:after="0" w:line="240" w:lineRule="auto"/>
        <w:jc w:val="both"/>
        <w:rPr>
          <w:lang w:eastAsia="zh-CN"/>
        </w:rPr>
      </w:pPr>
    </w:p>
    <w:p w14:paraId="1AB7A263">
      <w:pPr>
        <w:pStyle w:val="2"/>
        <w:numPr>
          <w:ilvl w:val="0"/>
          <w:numId w:val="1"/>
        </w:numPr>
        <w:snapToGrid w:val="0"/>
        <w:spacing w:before="0" w:beforeLines="0" w:line="240" w:lineRule="auto"/>
        <w:ind w:left="562" w:hanging="562" w:firstLineChars="0"/>
        <w:rPr>
          <w:rFonts w:eastAsia="宋体"/>
          <w:sz w:val="28"/>
          <w:lang w:eastAsia="zh-CN"/>
        </w:rPr>
      </w:pPr>
      <w:bookmarkStart w:id="48" w:name="_Toc97547004"/>
      <w:bookmarkStart w:id="49" w:name="_Toc91249672"/>
      <w:r>
        <w:rPr>
          <w:rFonts w:hint="eastAsia" w:eastAsia="宋体"/>
          <w:sz w:val="28"/>
          <w:lang w:eastAsia="zh-CN"/>
        </w:rPr>
        <w:t>上市后监督计划信息和报告的公开披露</w:t>
      </w:r>
      <w:bookmarkEnd w:id="48"/>
      <w:bookmarkEnd w:id="49"/>
    </w:p>
    <w:p w14:paraId="63D6EC65">
      <w:pPr>
        <w:snapToGrid w:val="0"/>
        <w:spacing w:after="0" w:line="240" w:lineRule="auto"/>
        <w:ind w:left="240" w:leftChars="100" w:firstLine="480" w:firstLineChars="200"/>
        <w:jc w:val="both"/>
        <w:rPr>
          <w:lang w:eastAsia="zh-CN"/>
        </w:rPr>
      </w:pPr>
      <w:r>
        <w:rPr>
          <w:rFonts w:hint="eastAsia"/>
          <w:lang w:eastAsia="zh-CN"/>
        </w:rPr>
        <w:t>在批准制造商计划后，</w:t>
      </w:r>
      <w:r>
        <w:rPr>
          <w:lang w:eastAsia="zh-CN"/>
        </w:rPr>
        <w:t>FDA</w:t>
      </w:r>
      <w:r>
        <w:rPr>
          <w:rFonts w:hint="eastAsia"/>
          <w:lang w:eastAsia="zh-CN"/>
        </w:rPr>
        <w:t>可根据适用的披露法（如《信息自由法案》）披露原始提交文件和任何修订、补充或报告的内容。当</w:t>
      </w:r>
      <w:r>
        <w:rPr>
          <w:lang w:eastAsia="zh-CN"/>
        </w:rPr>
        <w:t>FDA</w:t>
      </w:r>
      <w:r>
        <w:rPr>
          <w:rFonts w:hint="eastAsia"/>
          <w:lang w:eastAsia="zh-CN"/>
        </w:rPr>
        <w:t>披露此类信息时，</w:t>
      </w:r>
      <w:r>
        <w:rPr>
          <w:lang w:eastAsia="zh-CN"/>
        </w:rPr>
        <w:t>FDA</w:t>
      </w:r>
      <w:r>
        <w:rPr>
          <w:rFonts w:hint="eastAsia"/>
          <w:lang w:eastAsia="zh-CN"/>
        </w:rPr>
        <w:t>将继续保护任何商业秘密或机密商业信息，以及患者的</w:t>
      </w:r>
      <w:r>
        <w:rPr>
          <w:snapToGrid w:val="0"/>
          <w:szCs w:val="24"/>
          <w:lang w:eastAsia="zh-CN"/>
        </w:rPr>
        <w:t>所有</w:t>
      </w:r>
      <w:r>
        <w:rPr>
          <w:rFonts w:hint="eastAsia"/>
          <w:lang w:eastAsia="zh-CN"/>
        </w:rPr>
        <w:t>个人隐私信息。</w:t>
      </w:r>
      <w:r>
        <w:rPr>
          <w:rStyle w:val="17"/>
          <w:snapToGrid w:val="0"/>
          <w:szCs w:val="24"/>
          <w:lang w:eastAsia="zh-CN"/>
        </w:rPr>
        <w:footnoteReference w:id="46"/>
      </w:r>
    </w:p>
    <w:p w14:paraId="089E50C3">
      <w:pPr>
        <w:snapToGrid w:val="0"/>
        <w:spacing w:after="0" w:line="240" w:lineRule="auto"/>
        <w:ind w:left="240" w:leftChars="100" w:firstLine="480" w:firstLineChars="200"/>
        <w:jc w:val="both"/>
        <w:rPr>
          <w:snapToGrid w:val="0"/>
          <w:szCs w:val="24"/>
          <w:lang w:eastAsia="zh-CN"/>
        </w:rPr>
      </w:pPr>
    </w:p>
    <w:p w14:paraId="7AC57166">
      <w:pPr>
        <w:snapToGrid w:val="0"/>
        <w:spacing w:after="0" w:line="240" w:lineRule="auto"/>
        <w:ind w:left="240" w:leftChars="100" w:firstLine="480" w:firstLineChars="200"/>
        <w:jc w:val="both"/>
      </w:pPr>
      <w:r>
        <w:rPr>
          <w:rFonts w:hint="eastAsia"/>
          <w:lang w:eastAsia="zh-CN"/>
        </w:rPr>
        <w:t>根据《</w:t>
      </w:r>
      <w:r>
        <w:rPr>
          <w:lang w:eastAsia="zh-CN"/>
        </w:rPr>
        <w:t>PHS</w:t>
      </w:r>
      <w:r>
        <w:rPr>
          <w:rFonts w:hint="eastAsia"/>
          <w:lang w:eastAsia="zh-CN"/>
        </w:rPr>
        <w:t>法案》第</w:t>
      </w:r>
      <w:r>
        <w:rPr>
          <w:lang w:eastAsia="zh-CN"/>
        </w:rPr>
        <w:t>402</w:t>
      </w:r>
      <w:r>
        <w:rPr>
          <w:snapToGrid w:val="0"/>
          <w:szCs w:val="24"/>
          <w:lang w:eastAsia="zh-CN"/>
        </w:rPr>
        <w:t>（</w:t>
      </w:r>
      <w:r>
        <w:rPr>
          <w:lang w:eastAsia="zh-CN"/>
        </w:rPr>
        <w:t>j</w:t>
      </w:r>
      <w:r>
        <w:rPr>
          <w:snapToGrid w:val="0"/>
          <w:szCs w:val="24"/>
          <w:lang w:eastAsia="zh-CN"/>
        </w:rPr>
        <w:t>）（</w:t>
      </w:r>
      <w:r>
        <w:rPr>
          <w:lang w:eastAsia="zh-CN"/>
        </w:rPr>
        <w:t>1</w:t>
      </w:r>
      <w:r>
        <w:rPr>
          <w:snapToGrid w:val="0"/>
          <w:szCs w:val="24"/>
          <w:lang w:eastAsia="zh-CN"/>
        </w:rPr>
        <w:t>）（</w:t>
      </w:r>
      <w:r>
        <w:rPr>
          <w:lang w:eastAsia="zh-CN"/>
        </w:rPr>
        <w:t>A</w:t>
      </w:r>
      <w:r>
        <w:rPr>
          <w:snapToGrid w:val="0"/>
          <w:szCs w:val="24"/>
          <w:lang w:eastAsia="zh-CN"/>
        </w:rPr>
        <w:t>）（</w:t>
      </w:r>
      <w:r>
        <w:rPr>
          <w:lang w:eastAsia="zh-CN"/>
        </w:rPr>
        <w:t>ii</w:t>
      </w:r>
      <w:r>
        <w:rPr>
          <w:snapToGrid w:val="0"/>
          <w:szCs w:val="24"/>
          <w:lang w:eastAsia="zh-CN"/>
        </w:rPr>
        <w:t>）</w:t>
      </w:r>
      <w:r>
        <w:rPr>
          <w:rFonts w:hint="eastAsia"/>
          <w:lang w:eastAsia="zh-CN"/>
        </w:rPr>
        <w:t>节的定义，属于</w:t>
      </w:r>
      <w:r>
        <w:rPr>
          <w:rFonts w:ascii="宋体" w:hAnsi="宋体"/>
          <w:lang w:eastAsia="zh-CN"/>
        </w:rPr>
        <w:t>“</w:t>
      </w:r>
      <w:r>
        <w:rPr>
          <w:rFonts w:hint="eastAsia"/>
          <w:lang w:eastAsia="zh-CN"/>
        </w:rPr>
        <w:t>适用器械临床试验</w:t>
      </w:r>
      <w:r>
        <w:rPr>
          <w:rFonts w:ascii="宋体" w:hAnsi="宋体"/>
          <w:lang w:eastAsia="zh-CN"/>
        </w:rPr>
        <w:t>”</w:t>
      </w:r>
      <w:r>
        <w:rPr>
          <w:rFonts w:hint="eastAsia"/>
          <w:lang w:eastAsia="zh-CN"/>
        </w:rPr>
        <w:t>的任何上市后监督研究</w:t>
      </w:r>
      <w:r>
        <w:rPr>
          <w:snapToGrid w:val="0"/>
          <w:szCs w:val="24"/>
          <w:lang w:eastAsia="zh-CN"/>
        </w:rPr>
        <w:t>，</w:t>
      </w:r>
      <w:r>
        <w:rPr>
          <w:rFonts w:hint="eastAsia"/>
          <w:lang w:eastAsia="zh-CN"/>
        </w:rPr>
        <w:t>必须符合此类临床试验的登记和结果提交要求。可在</w:t>
      </w:r>
      <w:r>
        <w:fldChar w:fldCharType="begin"/>
      </w:r>
      <w:r>
        <w:instrText xml:space="preserve"> HYPERLINK "http://www.clinicaltrials.gov/" \h </w:instrText>
      </w:r>
      <w:r>
        <w:fldChar w:fldCharType="separate"/>
      </w:r>
      <w:r>
        <w:rPr>
          <w:rFonts w:hint="eastAsia"/>
          <w:color w:val="0000FF"/>
          <w:u w:val="single" w:color="0000FF"/>
          <w:lang w:eastAsia="zh-CN"/>
        </w:rPr>
        <w:t>临床试验网页</w:t>
      </w:r>
      <w:r>
        <w:rPr>
          <w:rFonts w:hint="eastAsia"/>
          <w:color w:val="0000FF"/>
          <w:u w:val="single" w:color="0000FF"/>
          <w:lang w:eastAsia="zh-CN"/>
        </w:rPr>
        <w:fldChar w:fldCharType="end"/>
      </w:r>
      <w:r>
        <w:rPr>
          <w:rFonts w:hint="eastAsia"/>
          <w:lang w:eastAsia="zh-CN"/>
        </w:rPr>
        <w:t>上公开获取</w:t>
      </w:r>
      <w:r>
        <w:rPr>
          <w:snapToGrid w:val="0"/>
          <w:szCs w:val="24"/>
          <w:lang w:eastAsia="zh-CN"/>
        </w:rPr>
        <w:t>临床试验的某些信息。</w:t>
      </w:r>
      <w:r>
        <w:rPr>
          <w:rStyle w:val="17"/>
          <w:snapToGrid w:val="0"/>
          <w:szCs w:val="24"/>
          <w:lang w:eastAsia="zh-CN"/>
        </w:rPr>
        <w:footnoteReference w:id="47"/>
      </w:r>
      <w:r>
        <w:rPr>
          <w:rFonts w:hint="eastAsia"/>
          <w:color w:val="000000"/>
        </w:rPr>
        <w:t>有关这些要求的</w:t>
      </w:r>
      <w:r>
        <w:rPr>
          <w:snapToGrid w:val="0"/>
          <w:color w:val="000000"/>
          <w:szCs w:val="24"/>
          <w:lang w:eastAsia="zh-CN"/>
        </w:rPr>
        <w:t>详细</w:t>
      </w:r>
      <w:r>
        <w:rPr>
          <w:rFonts w:hint="eastAsia"/>
          <w:color w:val="000000"/>
        </w:rPr>
        <w:t>信息，请访问</w:t>
      </w:r>
      <w:r>
        <w:fldChar w:fldCharType="begin"/>
      </w:r>
      <w:r>
        <w:instrText xml:space="preserve"> HYPERLINK "https://clinicaltrials.gov/ct2/manage-recs/background" \h </w:instrText>
      </w:r>
      <w:r>
        <w:fldChar w:fldCharType="separate"/>
      </w:r>
      <w:r>
        <w:rPr>
          <w:color w:val="0000FF"/>
          <w:u w:val="single"/>
        </w:rPr>
        <w:t>https://clinicaltrials.gov/ct2/manage-recs/background</w:t>
      </w:r>
      <w:r>
        <w:rPr>
          <w:color w:val="0000FF"/>
          <w:u w:val="single"/>
        </w:rPr>
        <w:fldChar w:fldCharType="end"/>
      </w:r>
      <w:r>
        <w:rPr>
          <w:rFonts w:hint="eastAsia"/>
        </w:rPr>
        <w:t>。</w:t>
      </w:r>
    </w:p>
    <w:p w14:paraId="18617821">
      <w:pPr>
        <w:snapToGrid w:val="0"/>
        <w:spacing w:after="0" w:line="240" w:lineRule="auto"/>
        <w:ind w:left="240" w:leftChars="100" w:firstLine="480" w:firstLineChars="200"/>
        <w:jc w:val="both"/>
        <w:rPr>
          <w:snapToGrid w:val="0"/>
          <w:szCs w:val="24"/>
          <w:lang w:eastAsia="zh-CN"/>
        </w:rPr>
      </w:pPr>
    </w:p>
    <w:p w14:paraId="41EC76CE">
      <w:pPr>
        <w:pStyle w:val="3"/>
        <w:snapToGrid w:val="0"/>
        <w:spacing w:before="0" w:beforeLines="0" w:line="240" w:lineRule="auto"/>
        <w:ind w:left="1162" w:leftChars="250"/>
        <w:rPr>
          <w:rFonts w:eastAsia="宋体"/>
          <w:lang w:eastAsia="zh-CN"/>
        </w:rPr>
      </w:pPr>
      <w:bookmarkStart w:id="50" w:name="_Toc97547005"/>
      <w:bookmarkStart w:id="51" w:name="_Toc91249673"/>
      <w:r>
        <w:rPr>
          <w:rFonts w:eastAsia="宋体"/>
          <w:snapToGrid w:val="0"/>
          <w:szCs w:val="24"/>
          <w:lang w:eastAsia="zh-CN"/>
        </w:rPr>
        <w:t>A.</w:t>
      </w:r>
      <w:r>
        <w:rPr>
          <w:rFonts w:eastAsia="宋体"/>
          <w:snapToGrid w:val="0"/>
          <w:szCs w:val="24"/>
          <w:lang w:eastAsia="zh-CN"/>
        </w:rPr>
        <w:tab/>
      </w:r>
      <w:r>
        <w:rPr>
          <w:rFonts w:eastAsia="宋体"/>
          <w:snapToGrid w:val="0"/>
          <w:szCs w:val="24"/>
          <w:lang w:eastAsia="zh-CN"/>
        </w:rPr>
        <w:t>FDA网站</w:t>
      </w:r>
      <w:bookmarkEnd w:id="50"/>
      <w:bookmarkEnd w:id="51"/>
    </w:p>
    <w:p w14:paraId="2E6B9760">
      <w:pPr>
        <w:snapToGrid w:val="0"/>
        <w:spacing w:after="0" w:line="240" w:lineRule="auto"/>
        <w:ind w:left="240" w:leftChars="100" w:firstLine="480" w:firstLineChars="200"/>
        <w:jc w:val="both"/>
        <w:rPr>
          <w:snapToGrid w:val="0"/>
          <w:szCs w:val="24"/>
          <w:lang w:eastAsia="zh-CN"/>
        </w:rPr>
      </w:pPr>
      <w:r>
        <w:rPr>
          <w:rFonts w:hint="eastAsia"/>
          <w:lang w:eastAsia="zh-CN"/>
        </w:rPr>
        <w:t>为了提高对</w:t>
      </w:r>
      <w:r>
        <w:rPr>
          <w:lang w:eastAsia="zh-CN"/>
        </w:rPr>
        <w:t>FDA</w:t>
      </w:r>
      <w:r>
        <w:rPr>
          <w:rFonts w:hint="eastAsia"/>
          <w:lang w:eastAsia="zh-CN"/>
        </w:rPr>
        <w:t>利益相关者（包括消费者、医师和行业）的</w:t>
      </w:r>
      <w:r>
        <w:rPr>
          <w:snapToGrid w:val="0"/>
          <w:szCs w:val="24"/>
          <w:lang w:eastAsia="zh-CN"/>
        </w:rPr>
        <w:t>信息</w:t>
      </w:r>
      <w:r>
        <w:rPr>
          <w:rFonts w:hint="eastAsia"/>
          <w:lang w:eastAsia="zh-CN"/>
        </w:rPr>
        <w:t>透明度，</w:t>
      </w:r>
      <w:r>
        <w:rPr>
          <w:lang w:eastAsia="zh-CN"/>
        </w:rPr>
        <w:t>FDA</w:t>
      </w:r>
      <w:r>
        <w:rPr>
          <w:rFonts w:hint="eastAsia"/>
          <w:lang w:eastAsia="zh-CN"/>
        </w:rPr>
        <w:t>在</w:t>
      </w:r>
      <w:r>
        <w:rPr>
          <w:u w:val="single"/>
        </w:rPr>
        <w:fldChar w:fldCharType="begin"/>
      </w:r>
      <w:r>
        <w:rPr>
          <w:u w:val="single"/>
          <w:lang w:eastAsia="zh-CN"/>
        </w:rPr>
        <w:instrText xml:space="preserve"> HYPERLINK "http://www.accessdata.fda.gov/scripts/cdrh/cfdocs/cfPMA/pss.cfm" \h </w:instrText>
      </w:r>
      <w:r>
        <w:rPr>
          <w:u w:val="single"/>
        </w:rPr>
        <w:fldChar w:fldCharType="separate"/>
      </w:r>
      <w:r>
        <w:rPr>
          <w:color w:val="0000FF"/>
          <w:u w:val="single"/>
          <w:lang w:eastAsia="zh-CN"/>
        </w:rPr>
        <w:t>FDA 522</w:t>
      </w:r>
      <w:r>
        <w:rPr>
          <w:rFonts w:hint="eastAsia"/>
          <w:color w:val="0000FF"/>
          <w:u w:val="single"/>
          <w:lang w:eastAsia="zh-CN"/>
        </w:rPr>
        <w:t>网页</w:t>
      </w:r>
      <w:r>
        <w:rPr>
          <w:color w:val="0000FF"/>
          <w:u w:val="single"/>
        </w:rPr>
        <w:fldChar w:fldCharType="end"/>
      </w:r>
      <w:r>
        <w:rPr>
          <w:rFonts w:hint="eastAsia"/>
          <w:lang w:eastAsia="zh-CN"/>
        </w:rPr>
        <w:t>上发布了有关上市后监督的信息。</w:t>
      </w:r>
      <w:r>
        <w:rPr>
          <w:rStyle w:val="17"/>
          <w:snapToGrid w:val="0"/>
          <w:szCs w:val="24"/>
          <w:lang w:eastAsia="zh-CN"/>
        </w:rPr>
        <w:footnoteReference w:id="48"/>
      </w:r>
      <w:r>
        <w:rPr>
          <w:rFonts w:hint="eastAsia"/>
          <w:color w:val="000000"/>
          <w:lang w:eastAsia="zh-CN"/>
        </w:rPr>
        <w:t>如上所述，本信息的发布符合适用的披露</w:t>
      </w:r>
      <w:r>
        <w:rPr>
          <w:snapToGrid w:val="0"/>
          <w:color w:val="000000"/>
          <w:szCs w:val="24"/>
          <w:lang w:eastAsia="zh-CN"/>
        </w:rPr>
        <w:t>法令和</w:t>
      </w:r>
      <w:r>
        <w:rPr>
          <w:rFonts w:hint="eastAsia"/>
          <w:color w:val="000000"/>
          <w:lang w:eastAsia="zh-CN"/>
        </w:rPr>
        <w:t>法规。</w:t>
      </w:r>
      <w:r>
        <w:rPr>
          <w:rFonts w:hint="eastAsia"/>
          <w:color w:val="000000"/>
        </w:rPr>
        <w:t>可发布的上市后监督详细信息包括：</w:t>
      </w:r>
    </w:p>
    <w:p w14:paraId="31AE6882">
      <w:pPr>
        <w:snapToGrid w:val="0"/>
        <w:spacing w:after="0" w:line="240" w:lineRule="auto"/>
        <w:ind w:left="240" w:leftChars="100"/>
        <w:jc w:val="both"/>
        <w:rPr>
          <w:u w:val="single"/>
        </w:rPr>
      </w:pPr>
    </w:p>
    <w:p w14:paraId="3786A9F1">
      <w:pPr>
        <w:snapToGrid w:val="0"/>
        <w:spacing w:after="0" w:line="240" w:lineRule="auto"/>
        <w:ind w:left="240" w:leftChars="100"/>
        <w:jc w:val="both"/>
        <w:rPr>
          <w:u w:val="single"/>
        </w:rPr>
      </w:pPr>
      <w:r>
        <w:rPr>
          <w:rFonts w:hint="eastAsia"/>
          <w:u w:val="single"/>
        </w:rPr>
        <w:t>一般信息</w:t>
      </w:r>
    </w:p>
    <w:p w14:paraId="311D92FB">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上市后监督申请编号（即</w:t>
      </w:r>
      <w:r>
        <w:rPr>
          <w:lang w:eastAsia="zh-CN"/>
        </w:rPr>
        <w:t>PS#######</w:t>
      </w:r>
      <w:r>
        <w:rPr>
          <w:rFonts w:hint="eastAsia"/>
          <w:lang w:eastAsia="zh-CN"/>
        </w:rPr>
        <w:t>）</w:t>
      </w:r>
    </w:p>
    <w:p w14:paraId="3F80A640">
      <w:pPr>
        <w:pStyle w:val="24"/>
        <w:numPr>
          <w:ilvl w:val="0"/>
          <w:numId w:val="2"/>
        </w:numPr>
        <w:tabs>
          <w:tab w:val="left" w:pos="896"/>
        </w:tabs>
        <w:autoSpaceDE/>
        <w:autoSpaceDN/>
        <w:snapToGrid w:val="0"/>
        <w:ind w:left="900" w:leftChars="200" w:hanging="420"/>
        <w:jc w:val="both"/>
      </w:pPr>
      <w:r>
        <w:rPr>
          <w:rFonts w:hint="eastAsia"/>
        </w:rPr>
        <w:t>制造商名称</w:t>
      </w:r>
    </w:p>
    <w:p w14:paraId="53DA9BEF">
      <w:pPr>
        <w:pStyle w:val="24"/>
        <w:numPr>
          <w:ilvl w:val="0"/>
          <w:numId w:val="2"/>
        </w:numPr>
        <w:tabs>
          <w:tab w:val="left" w:pos="896"/>
        </w:tabs>
        <w:autoSpaceDE/>
        <w:autoSpaceDN/>
        <w:snapToGrid w:val="0"/>
        <w:ind w:left="900" w:leftChars="200" w:hanging="420"/>
        <w:jc w:val="both"/>
      </w:pPr>
      <w:r>
        <w:rPr>
          <w:rFonts w:hint="eastAsia"/>
        </w:rPr>
        <w:t>器械名称</w:t>
      </w:r>
    </w:p>
    <w:p w14:paraId="68244189">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医学专业（如心血管、骨科）</w:t>
      </w:r>
    </w:p>
    <w:p w14:paraId="4E119206">
      <w:pPr>
        <w:pStyle w:val="24"/>
        <w:numPr>
          <w:ilvl w:val="0"/>
          <w:numId w:val="2"/>
        </w:numPr>
        <w:tabs>
          <w:tab w:val="left" w:pos="896"/>
        </w:tabs>
        <w:autoSpaceDE/>
        <w:autoSpaceDN/>
        <w:snapToGrid w:val="0"/>
        <w:ind w:left="900" w:leftChars="200" w:hanging="420"/>
        <w:jc w:val="both"/>
      </w:pPr>
      <w:r>
        <w:t>522</w:t>
      </w:r>
      <w:r>
        <w:rPr>
          <w:rFonts w:hint="eastAsia"/>
        </w:rPr>
        <w:t>指令的发布日期</w:t>
      </w:r>
    </w:p>
    <w:p w14:paraId="7BE2FAE8">
      <w:pPr>
        <w:pStyle w:val="24"/>
        <w:numPr>
          <w:ilvl w:val="0"/>
          <w:numId w:val="2"/>
        </w:numPr>
        <w:tabs>
          <w:tab w:val="left" w:pos="896"/>
        </w:tabs>
        <w:autoSpaceDE/>
        <w:autoSpaceDN/>
        <w:snapToGrid w:val="0"/>
        <w:ind w:left="900" w:leftChars="200" w:hanging="420"/>
        <w:jc w:val="both"/>
      </w:pPr>
      <w:r>
        <w:rPr>
          <w:rFonts w:hint="eastAsia"/>
        </w:rPr>
        <w:t>研究</w:t>
      </w:r>
      <w:r>
        <w:t>/</w:t>
      </w:r>
      <w:r>
        <w:rPr>
          <w:rFonts w:hint="eastAsia"/>
        </w:rPr>
        <w:t>监督名称</w:t>
      </w:r>
    </w:p>
    <w:p w14:paraId="3C0508F1">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最近的监督计划批准日期</w:t>
      </w:r>
    </w:p>
    <w:p w14:paraId="465FBFD8">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研究</w:t>
      </w:r>
      <w:r>
        <w:rPr>
          <w:lang w:eastAsia="zh-CN"/>
        </w:rPr>
        <w:t>/</w:t>
      </w:r>
      <w:r>
        <w:rPr>
          <w:rFonts w:hint="eastAsia"/>
          <w:lang w:eastAsia="zh-CN"/>
        </w:rPr>
        <w:t>监督计划总体状态（参见本指南</w:t>
      </w:r>
      <w:r>
        <w:rPr>
          <w:rFonts w:hint="eastAsia"/>
          <w:color w:val="0000FF"/>
          <w:u w:val="single"/>
          <w:lang w:eastAsia="zh-CN"/>
        </w:rPr>
        <w:t>第</w:t>
      </w:r>
      <w:r>
        <w:rPr>
          <w:color w:val="0000FF"/>
          <w:u w:val="single"/>
          <w:lang w:eastAsia="zh-CN"/>
        </w:rPr>
        <w:t>IX</w:t>
      </w:r>
      <w:r>
        <w:rPr>
          <w:rFonts w:hint="eastAsia"/>
          <w:color w:val="0000FF"/>
          <w:u w:val="single"/>
          <w:lang w:eastAsia="zh-CN"/>
        </w:rPr>
        <w:t>节</w:t>
      </w:r>
      <w:r>
        <w:rPr>
          <w:rFonts w:hint="eastAsia"/>
          <w:lang w:eastAsia="zh-CN"/>
        </w:rPr>
        <w:t>表</w:t>
      </w:r>
      <w:r>
        <w:rPr>
          <w:lang w:eastAsia="zh-CN"/>
        </w:rPr>
        <w:t>3</w:t>
      </w:r>
      <w:r>
        <w:rPr>
          <w:rFonts w:hint="eastAsia"/>
          <w:lang w:eastAsia="zh-CN"/>
        </w:rPr>
        <w:t>）</w:t>
      </w:r>
    </w:p>
    <w:p w14:paraId="44D6993C">
      <w:pPr>
        <w:snapToGrid w:val="0"/>
        <w:spacing w:after="0" w:line="240" w:lineRule="auto"/>
        <w:jc w:val="both"/>
        <w:rPr>
          <w:lang w:eastAsia="zh-CN"/>
        </w:rPr>
      </w:pPr>
      <w:r>
        <w:rPr>
          <w:lang w:eastAsia="zh-CN"/>
        </w:rPr>
        <w:br w:type="page"/>
      </w:r>
    </w:p>
    <w:p w14:paraId="62DBD28E">
      <w:pPr>
        <w:snapToGrid w:val="0"/>
        <w:spacing w:after="0" w:line="240" w:lineRule="auto"/>
        <w:ind w:left="240" w:leftChars="100"/>
        <w:jc w:val="both"/>
      </w:pPr>
      <w:r>
        <w:rPr>
          <w:rFonts w:hint="eastAsia"/>
          <w:u w:val="single"/>
        </w:rPr>
        <w:t>一般监督计划参数</w:t>
      </w:r>
    </w:p>
    <w:p w14:paraId="01D94A29">
      <w:pPr>
        <w:pStyle w:val="24"/>
        <w:numPr>
          <w:ilvl w:val="0"/>
          <w:numId w:val="2"/>
        </w:numPr>
        <w:tabs>
          <w:tab w:val="left" w:pos="896"/>
        </w:tabs>
        <w:autoSpaceDE/>
        <w:autoSpaceDN/>
        <w:snapToGrid w:val="0"/>
        <w:ind w:left="900" w:leftChars="200" w:hanging="420"/>
        <w:jc w:val="both"/>
      </w:pPr>
      <w:r>
        <w:rPr>
          <w:rFonts w:hint="eastAsia"/>
        </w:rPr>
        <w:t>上市后监督设计</w:t>
      </w:r>
    </w:p>
    <w:p w14:paraId="12242AC0">
      <w:pPr>
        <w:pStyle w:val="24"/>
        <w:numPr>
          <w:ilvl w:val="0"/>
          <w:numId w:val="2"/>
        </w:numPr>
        <w:tabs>
          <w:tab w:val="left" w:pos="896"/>
        </w:tabs>
        <w:autoSpaceDE/>
        <w:autoSpaceDN/>
        <w:snapToGrid w:val="0"/>
        <w:ind w:left="900" w:leftChars="200" w:hanging="420"/>
        <w:jc w:val="both"/>
      </w:pPr>
      <w:r>
        <w:rPr>
          <w:rFonts w:hint="eastAsia"/>
        </w:rPr>
        <w:t>数据源</w:t>
      </w:r>
    </w:p>
    <w:p w14:paraId="30DF9EDF">
      <w:pPr>
        <w:pStyle w:val="24"/>
        <w:numPr>
          <w:ilvl w:val="0"/>
          <w:numId w:val="2"/>
        </w:numPr>
        <w:tabs>
          <w:tab w:val="left" w:pos="896"/>
        </w:tabs>
        <w:autoSpaceDE/>
        <w:autoSpaceDN/>
        <w:snapToGrid w:val="0"/>
        <w:ind w:left="900" w:leftChars="200" w:hanging="420"/>
        <w:jc w:val="both"/>
      </w:pPr>
      <w:r>
        <w:rPr>
          <w:rFonts w:hint="eastAsia"/>
        </w:rPr>
        <w:t>比较组</w:t>
      </w:r>
    </w:p>
    <w:p w14:paraId="32C37DB4">
      <w:pPr>
        <w:pStyle w:val="24"/>
        <w:numPr>
          <w:ilvl w:val="0"/>
          <w:numId w:val="2"/>
        </w:numPr>
        <w:tabs>
          <w:tab w:val="left" w:pos="896"/>
        </w:tabs>
        <w:autoSpaceDE/>
        <w:autoSpaceDN/>
        <w:snapToGrid w:val="0"/>
        <w:ind w:left="900" w:leftChars="200" w:hanging="420"/>
        <w:jc w:val="both"/>
      </w:pPr>
      <w:r>
        <w:rPr>
          <w:rFonts w:hint="eastAsia"/>
        </w:rPr>
        <w:t>分析类型</w:t>
      </w:r>
    </w:p>
    <w:p w14:paraId="30023381">
      <w:pPr>
        <w:pStyle w:val="24"/>
        <w:numPr>
          <w:ilvl w:val="0"/>
          <w:numId w:val="2"/>
        </w:numPr>
        <w:tabs>
          <w:tab w:val="left" w:pos="896"/>
        </w:tabs>
        <w:autoSpaceDE/>
        <w:autoSpaceDN/>
        <w:snapToGrid w:val="0"/>
        <w:ind w:left="900" w:leftChars="200" w:hanging="420"/>
        <w:jc w:val="both"/>
      </w:pPr>
      <w:r>
        <w:rPr>
          <w:rFonts w:hint="eastAsia"/>
        </w:rPr>
        <w:t>患者人群</w:t>
      </w:r>
    </w:p>
    <w:p w14:paraId="13EEDA4D">
      <w:pPr>
        <w:snapToGrid w:val="0"/>
        <w:spacing w:after="0" w:line="240" w:lineRule="auto"/>
        <w:ind w:left="240" w:leftChars="100"/>
        <w:jc w:val="both"/>
        <w:rPr>
          <w:snapToGrid w:val="0"/>
          <w:szCs w:val="24"/>
          <w:u w:val="single"/>
          <w:lang w:eastAsia="zh-CN"/>
        </w:rPr>
      </w:pPr>
    </w:p>
    <w:p w14:paraId="78EA2292">
      <w:pPr>
        <w:snapToGrid w:val="0"/>
        <w:spacing w:after="0" w:line="240" w:lineRule="auto"/>
        <w:ind w:left="240" w:leftChars="100"/>
        <w:jc w:val="both"/>
        <w:rPr>
          <w:lang w:eastAsia="zh-CN"/>
        </w:rPr>
      </w:pPr>
      <w:r>
        <w:rPr>
          <w:rFonts w:hint="eastAsia"/>
          <w:u w:val="single"/>
          <w:lang w:eastAsia="zh-CN"/>
        </w:rPr>
        <w:t>详细监督计划参数</w:t>
      </w:r>
      <w:r>
        <w:rPr>
          <w:rFonts w:hint="eastAsia"/>
          <w:lang w:eastAsia="zh-CN"/>
        </w:rPr>
        <w:t>（如适用）</w:t>
      </w:r>
    </w:p>
    <w:p w14:paraId="33B3414C">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上市后监督设计详细描述</w:t>
      </w:r>
    </w:p>
    <w:p w14:paraId="33A85080">
      <w:pPr>
        <w:pStyle w:val="24"/>
        <w:numPr>
          <w:ilvl w:val="0"/>
          <w:numId w:val="2"/>
        </w:numPr>
        <w:tabs>
          <w:tab w:val="left" w:pos="896"/>
        </w:tabs>
        <w:autoSpaceDE/>
        <w:autoSpaceDN/>
        <w:snapToGrid w:val="0"/>
        <w:ind w:left="900" w:leftChars="200" w:hanging="420"/>
        <w:jc w:val="both"/>
      </w:pPr>
      <w:r>
        <w:rPr>
          <w:rFonts w:hint="eastAsia"/>
        </w:rPr>
        <w:t>监督时间节点</w:t>
      </w:r>
    </w:p>
    <w:p w14:paraId="21B2AD48">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样本量（受试者和研究中心的数量）</w:t>
      </w:r>
    </w:p>
    <w:p w14:paraId="7899AB78">
      <w:pPr>
        <w:pStyle w:val="24"/>
        <w:numPr>
          <w:ilvl w:val="0"/>
          <w:numId w:val="2"/>
        </w:numPr>
        <w:tabs>
          <w:tab w:val="left" w:pos="896"/>
        </w:tabs>
        <w:autoSpaceDE/>
        <w:autoSpaceDN/>
        <w:snapToGrid w:val="0"/>
        <w:ind w:left="900" w:leftChars="200" w:hanging="420"/>
        <w:jc w:val="both"/>
      </w:pPr>
      <w:r>
        <w:rPr>
          <w:rFonts w:hint="eastAsia"/>
        </w:rPr>
        <w:t>研究人群详细描述</w:t>
      </w:r>
    </w:p>
    <w:p w14:paraId="74790083">
      <w:pPr>
        <w:pStyle w:val="24"/>
        <w:numPr>
          <w:ilvl w:val="0"/>
          <w:numId w:val="2"/>
        </w:numPr>
        <w:tabs>
          <w:tab w:val="left" w:pos="896"/>
        </w:tabs>
        <w:autoSpaceDE/>
        <w:autoSpaceDN/>
        <w:snapToGrid w:val="0"/>
        <w:ind w:left="900" w:leftChars="200" w:hanging="420"/>
        <w:jc w:val="both"/>
      </w:pPr>
      <w:r>
        <w:rPr>
          <w:rFonts w:hint="eastAsia"/>
        </w:rPr>
        <w:t>数据收集详细描述</w:t>
      </w:r>
    </w:p>
    <w:p w14:paraId="7B7BF767">
      <w:pPr>
        <w:pStyle w:val="24"/>
        <w:numPr>
          <w:ilvl w:val="0"/>
          <w:numId w:val="2"/>
        </w:numPr>
        <w:tabs>
          <w:tab w:val="left" w:pos="896"/>
        </w:tabs>
        <w:autoSpaceDE/>
        <w:autoSpaceDN/>
        <w:snapToGrid w:val="0"/>
        <w:ind w:left="900" w:leftChars="200" w:hanging="420"/>
        <w:jc w:val="both"/>
      </w:pPr>
      <w:r>
        <w:rPr>
          <w:rFonts w:hint="eastAsia"/>
        </w:rPr>
        <w:t>随访访问和随访时间</w:t>
      </w:r>
    </w:p>
    <w:p w14:paraId="03AD6E8D">
      <w:pPr>
        <w:snapToGrid w:val="0"/>
        <w:spacing w:after="0" w:line="240" w:lineRule="auto"/>
        <w:ind w:left="240" w:leftChars="100"/>
        <w:jc w:val="both"/>
        <w:rPr>
          <w:snapToGrid w:val="0"/>
          <w:szCs w:val="24"/>
          <w:u w:val="single"/>
          <w:lang w:eastAsia="zh-CN"/>
        </w:rPr>
      </w:pPr>
    </w:p>
    <w:p w14:paraId="0A3B3152">
      <w:pPr>
        <w:snapToGrid w:val="0"/>
        <w:spacing w:after="0" w:line="240" w:lineRule="auto"/>
        <w:ind w:left="240" w:leftChars="100"/>
        <w:jc w:val="both"/>
        <w:rPr>
          <w:u w:val="single"/>
          <w:lang w:eastAsia="zh-CN"/>
        </w:rPr>
      </w:pPr>
      <w:r>
        <w:rPr>
          <w:rFonts w:hint="eastAsia"/>
          <w:u w:val="single"/>
          <w:lang w:eastAsia="zh-CN"/>
        </w:rPr>
        <w:t>中期上市后监督状态报告信息</w:t>
      </w:r>
    </w:p>
    <w:p w14:paraId="43157B70">
      <w:pPr>
        <w:snapToGrid w:val="0"/>
        <w:spacing w:after="0" w:line="240" w:lineRule="auto"/>
        <w:ind w:left="240" w:leftChars="100" w:firstLine="480" w:firstLineChars="200"/>
        <w:jc w:val="both"/>
      </w:pPr>
      <w:r>
        <w:rPr>
          <w:lang w:eastAsia="zh-CN"/>
        </w:rPr>
        <w:t>FDA</w:t>
      </w:r>
      <w:r>
        <w:rPr>
          <w:rFonts w:hint="eastAsia"/>
          <w:lang w:eastAsia="zh-CN"/>
        </w:rPr>
        <w:t>计划在其网站上发布或以其他方式公开上市后监督中期摘要数据和</w:t>
      </w:r>
      <w:r>
        <w:rPr>
          <w:lang w:eastAsia="zh-CN"/>
        </w:rPr>
        <w:t>/</w:t>
      </w:r>
      <w:r>
        <w:rPr>
          <w:rFonts w:hint="eastAsia"/>
          <w:lang w:eastAsia="zh-CN"/>
        </w:rPr>
        <w:t>或</w:t>
      </w:r>
      <w:r>
        <w:rPr>
          <w:lang w:eastAsia="zh-CN"/>
        </w:rPr>
        <w:t>FDA</w:t>
      </w:r>
      <w:r>
        <w:rPr>
          <w:rFonts w:hint="eastAsia"/>
          <w:lang w:eastAsia="zh-CN"/>
        </w:rPr>
        <w:t>的分析，以保护公众健康。例如，当中期结果引起安全问题或可能影响治疗时。</w:t>
      </w:r>
      <w:r>
        <w:rPr>
          <w:lang w:eastAsia="zh-CN"/>
        </w:rPr>
        <w:t>FDA</w:t>
      </w:r>
      <w:r>
        <w:rPr>
          <w:rFonts w:hint="eastAsia"/>
          <w:lang w:eastAsia="zh-CN"/>
        </w:rPr>
        <w:t>通常认为此类信息可根据适用的披露法公开发布，</w:t>
      </w:r>
      <w:r>
        <w:rPr>
          <w:snapToGrid w:val="0"/>
          <w:szCs w:val="24"/>
          <w:lang w:eastAsia="zh-CN"/>
        </w:rPr>
        <w:t>如果中期结果引起安全问题或可能影响治疗，FDA通常认为可根据适用的披露法公开发布此类信息，</w:t>
      </w:r>
      <w:r>
        <w:rPr>
          <w:rFonts w:hint="eastAsia"/>
          <w:lang w:eastAsia="zh-CN"/>
        </w:rPr>
        <w:t>如《信息自由法案》。</w:t>
      </w:r>
      <w:r>
        <w:t>FDA</w:t>
      </w:r>
      <w:r>
        <w:rPr>
          <w:rFonts w:hint="eastAsia"/>
        </w:rPr>
        <w:t>公开披露的中期报告信息包括：</w:t>
      </w:r>
    </w:p>
    <w:p w14:paraId="2B032CD8">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入组受试者人数</w:t>
      </w:r>
    </w:p>
    <w:p w14:paraId="6462D2D4">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纳入的研究中心数量</w:t>
      </w:r>
    </w:p>
    <w:p w14:paraId="2B0CEB73">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中期安全性</w:t>
      </w:r>
      <w:r>
        <w:rPr>
          <w:lang w:eastAsia="zh-CN"/>
        </w:rPr>
        <w:t>/</w:t>
      </w:r>
      <w:r>
        <w:rPr>
          <w:rFonts w:hint="eastAsia"/>
          <w:lang w:eastAsia="zh-CN"/>
        </w:rPr>
        <w:t>有效性结果，如上市后监督计划中所述</w:t>
      </w:r>
    </w:p>
    <w:p w14:paraId="250DB0DB">
      <w:pPr>
        <w:snapToGrid w:val="0"/>
        <w:spacing w:after="0" w:line="240" w:lineRule="auto"/>
        <w:ind w:left="240" w:leftChars="100"/>
        <w:jc w:val="both"/>
        <w:rPr>
          <w:snapToGrid w:val="0"/>
          <w:szCs w:val="24"/>
          <w:u w:val="single"/>
          <w:lang w:eastAsia="zh-CN"/>
        </w:rPr>
      </w:pPr>
    </w:p>
    <w:p w14:paraId="4216FA12">
      <w:pPr>
        <w:snapToGrid w:val="0"/>
        <w:spacing w:after="0" w:line="240" w:lineRule="auto"/>
        <w:ind w:left="240" w:leftChars="100"/>
        <w:jc w:val="both"/>
        <w:rPr>
          <w:u w:val="single"/>
          <w:lang w:eastAsia="zh-CN"/>
        </w:rPr>
      </w:pPr>
      <w:r>
        <w:rPr>
          <w:rFonts w:hint="eastAsia"/>
          <w:u w:val="single"/>
          <w:lang w:eastAsia="zh-CN"/>
        </w:rPr>
        <w:t>最终上市后监督报告结果（如适用）</w:t>
      </w:r>
    </w:p>
    <w:p w14:paraId="20547917">
      <w:pPr>
        <w:pStyle w:val="24"/>
        <w:numPr>
          <w:ilvl w:val="0"/>
          <w:numId w:val="2"/>
        </w:numPr>
        <w:tabs>
          <w:tab w:val="left" w:pos="896"/>
        </w:tabs>
        <w:autoSpaceDE/>
        <w:autoSpaceDN/>
        <w:snapToGrid w:val="0"/>
        <w:ind w:left="900" w:leftChars="200" w:hanging="420"/>
        <w:jc w:val="both"/>
      </w:pPr>
      <w:r>
        <w:rPr>
          <w:rFonts w:hint="eastAsia"/>
        </w:rPr>
        <w:t>实际</w:t>
      </w:r>
      <w:bookmarkStart w:id="52" w:name="OLE_LINK10"/>
      <w:bookmarkStart w:id="53" w:name="OLE_LINK9"/>
      <w:r>
        <w:rPr>
          <w:rFonts w:hint="eastAsia"/>
        </w:rPr>
        <w:t>入组受试者人数</w:t>
      </w:r>
      <w:bookmarkEnd w:id="52"/>
      <w:bookmarkEnd w:id="53"/>
    </w:p>
    <w:p w14:paraId="31613542">
      <w:pPr>
        <w:pStyle w:val="24"/>
        <w:numPr>
          <w:ilvl w:val="0"/>
          <w:numId w:val="2"/>
        </w:numPr>
        <w:tabs>
          <w:tab w:val="left" w:pos="896"/>
        </w:tabs>
        <w:autoSpaceDE/>
        <w:autoSpaceDN/>
        <w:snapToGrid w:val="0"/>
        <w:ind w:left="900" w:leftChars="200" w:hanging="420"/>
        <w:jc w:val="both"/>
        <w:rPr>
          <w:snapToGrid w:val="0"/>
          <w:lang w:eastAsia="zh-CN"/>
        </w:rPr>
      </w:pPr>
      <w:r>
        <w:rPr>
          <w:snapToGrid w:val="0"/>
          <w:lang w:eastAsia="zh-CN"/>
        </w:rPr>
        <w:t>实际纳入的研究中心数量</w:t>
      </w:r>
    </w:p>
    <w:p w14:paraId="484AFE33">
      <w:pPr>
        <w:pStyle w:val="24"/>
        <w:numPr>
          <w:ilvl w:val="0"/>
          <w:numId w:val="2"/>
        </w:numPr>
        <w:tabs>
          <w:tab w:val="left" w:pos="896"/>
        </w:tabs>
        <w:autoSpaceDE/>
        <w:autoSpaceDN/>
        <w:snapToGrid w:val="0"/>
        <w:ind w:left="900" w:leftChars="200" w:hanging="420"/>
        <w:jc w:val="both"/>
      </w:pPr>
      <w:r>
        <w:rPr>
          <w:rFonts w:hint="eastAsia"/>
        </w:rPr>
        <w:t>受试者随访率</w:t>
      </w:r>
    </w:p>
    <w:p w14:paraId="501715F5">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最终安全性</w:t>
      </w:r>
      <w:r>
        <w:rPr>
          <w:lang w:eastAsia="zh-CN"/>
        </w:rPr>
        <w:t>/</w:t>
      </w:r>
      <w:r>
        <w:rPr>
          <w:rFonts w:hint="eastAsia"/>
          <w:lang w:eastAsia="zh-CN"/>
        </w:rPr>
        <w:t>有效性调查发现和结果</w:t>
      </w:r>
    </w:p>
    <w:p w14:paraId="6C7D2F4B">
      <w:pPr>
        <w:pStyle w:val="24"/>
        <w:numPr>
          <w:ilvl w:val="0"/>
          <w:numId w:val="2"/>
        </w:numPr>
        <w:tabs>
          <w:tab w:val="left" w:pos="896"/>
        </w:tabs>
        <w:autoSpaceDE/>
        <w:autoSpaceDN/>
        <w:snapToGrid w:val="0"/>
        <w:ind w:left="900" w:leftChars="200" w:hanging="420"/>
        <w:jc w:val="both"/>
        <w:rPr>
          <w:lang w:eastAsia="zh-CN"/>
        </w:rPr>
      </w:pPr>
      <w:r>
        <w:rPr>
          <w:lang w:eastAsia="zh-CN"/>
        </w:rPr>
        <w:t>FDA</w:t>
      </w:r>
      <w:r>
        <w:rPr>
          <w:rFonts w:hint="eastAsia"/>
          <w:lang w:eastAsia="zh-CN"/>
        </w:rPr>
        <w:t>对研究</w:t>
      </w:r>
      <w:r>
        <w:rPr>
          <w:lang w:eastAsia="zh-CN"/>
        </w:rPr>
        <w:t>/</w:t>
      </w:r>
      <w:r>
        <w:rPr>
          <w:rFonts w:hint="eastAsia"/>
          <w:lang w:eastAsia="zh-CN"/>
        </w:rPr>
        <w:t>监督优缺点的</w:t>
      </w:r>
      <w:r>
        <w:rPr>
          <w:snapToGrid w:val="0"/>
          <w:lang w:eastAsia="zh-CN"/>
        </w:rPr>
        <w:t>阐释</w:t>
      </w:r>
      <w:r>
        <w:rPr>
          <w:rFonts w:hint="eastAsia"/>
          <w:lang w:eastAsia="zh-CN"/>
        </w:rPr>
        <w:t>和总结</w:t>
      </w:r>
    </w:p>
    <w:p w14:paraId="64026BB0">
      <w:pPr>
        <w:snapToGrid w:val="0"/>
        <w:spacing w:after="0" w:line="240" w:lineRule="auto"/>
        <w:ind w:left="240" w:leftChars="100"/>
        <w:jc w:val="both"/>
        <w:rPr>
          <w:snapToGrid w:val="0"/>
          <w:szCs w:val="24"/>
          <w:u w:val="single"/>
          <w:lang w:eastAsia="zh-CN"/>
        </w:rPr>
      </w:pPr>
    </w:p>
    <w:p w14:paraId="58D1726D">
      <w:pPr>
        <w:snapToGrid w:val="0"/>
        <w:spacing w:after="0" w:line="240" w:lineRule="auto"/>
        <w:ind w:left="240" w:leftChars="100"/>
        <w:jc w:val="both"/>
      </w:pPr>
      <w:r>
        <w:rPr>
          <w:rFonts w:hint="eastAsia"/>
          <w:u w:val="single"/>
        </w:rPr>
        <w:t>报告信息</w:t>
      </w:r>
    </w:p>
    <w:p w14:paraId="0D5BC1B9">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中期及最终上市后监督报告时间表</w:t>
      </w:r>
    </w:p>
    <w:p w14:paraId="2D466264">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中期和最终报告的截止日期（基于上市后监督计划）</w:t>
      </w:r>
    </w:p>
    <w:p w14:paraId="5F8FD3DD">
      <w:pPr>
        <w:pStyle w:val="24"/>
        <w:numPr>
          <w:ilvl w:val="0"/>
          <w:numId w:val="2"/>
        </w:numPr>
        <w:tabs>
          <w:tab w:val="left" w:pos="896"/>
        </w:tabs>
        <w:autoSpaceDE/>
        <w:autoSpaceDN/>
        <w:snapToGrid w:val="0"/>
        <w:ind w:left="900" w:leftChars="200" w:hanging="420"/>
        <w:jc w:val="both"/>
        <w:rPr>
          <w:lang w:eastAsia="zh-CN"/>
        </w:rPr>
      </w:pPr>
      <w:r>
        <w:rPr>
          <w:lang w:eastAsia="zh-CN"/>
        </w:rPr>
        <w:t>FDA</w:t>
      </w:r>
      <w:r>
        <w:rPr>
          <w:rFonts w:hint="eastAsia"/>
          <w:lang w:eastAsia="zh-CN"/>
        </w:rPr>
        <w:t>收到中期和最终上市后监督报告的日期</w:t>
      </w:r>
    </w:p>
    <w:p w14:paraId="477EA5F5">
      <w:pPr>
        <w:pStyle w:val="24"/>
        <w:numPr>
          <w:ilvl w:val="0"/>
          <w:numId w:val="2"/>
        </w:numPr>
        <w:tabs>
          <w:tab w:val="left" w:pos="896"/>
        </w:tabs>
        <w:autoSpaceDE/>
        <w:autoSpaceDN/>
        <w:snapToGrid w:val="0"/>
        <w:ind w:left="900" w:leftChars="200" w:hanging="420"/>
        <w:jc w:val="both"/>
        <w:rPr>
          <w:lang w:eastAsia="zh-CN"/>
        </w:rPr>
      </w:pPr>
      <w:r>
        <w:rPr>
          <w:rFonts w:hint="eastAsia"/>
          <w:lang w:eastAsia="zh-CN"/>
        </w:rPr>
        <w:t>中期和最终上市后监督报告的接收状态类别</w:t>
      </w:r>
    </w:p>
    <w:p w14:paraId="1AA83DDF">
      <w:pPr>
        <w:snapToGrid w:val="0"/>
        <w:spacing w:after="0" w:line="240" w:lineRule="auto"/>
        <w:ind w:left="240" w:leftChars="100" w:firstLine="480" w:firstLineChars="200"/>
        <w:jc w:val="both"/>
        <w:rPr>
          <w:snapToGrid w:val="0"/>
          <w:szCs w:val="24"/>
          <w:lang w:eastAsia="zh-CN"/>
        </w:rPr>
      </w:pPr>
    </w:p>
    <w:p w14:paraId="2317BD2C">
      <w:pPr>
        <w:snapToGrid w:val="0"/>
        <w:spacing w:after="0" w:line="240" w:lineRule="auto"/>
        <w:ind w:left="240" w:leftChars="100" w:firstLine="480" w:firstLineChars="200"/>
        <w:jc w:val="both"/>
        <w:rPr>
          <w:lang w:eastAsia="zh-CN"/>
        </w:rPr>
      </w:pPr>
      <w:r>
        <w:rPr>
          <w:rFonts w:hint="eastAsia"/>
          <w:lang w:eastAsia="zh-CN"/>
        </w:rPr>
        <w:t>如适用的披露法规允许，可在</w:t>
      </w:r>
      <w:r>
        <w:rPr>
          <w:lang w:eastAsia="zh-CN"/>
        </w:rPr>
        <w:t>FDA</w:t>
      </w:r>
      <w:r>
        <w:rPr>
          <w:rFonts w:hint="eastAsia"/>
          <w:lang w:eastAsia="zh-CN"/>
        </w:rPr>
        <w:t>网站上发布其他内容。</w:t>
      </w:r>
    </w:p>
    <w:p w14:paraId="4B0999FC">
      <w:pPr>
        <w:snapToGrid w:val="0"/>
        <w:spacing w:after="0" w:line="240" w:lineRule="auto"/>
        <w:ind w:left="240" w:leftChars="100" w:firstLine="480" w:firstLineChars="200"/>
        <w:jc w:val="both"/>
        <w:rPr>
          <w:snapToGrid w:val="0"/>
          <w:szCs w:val="24"/>
          <w:lang w:eastAsia="zh-CN"/>
        </w:rPr>
      </w:pPr>
    </w:p>
    <w:p w14:paraId="0370ED1E">
      <w:pPr>
        <w:snapToGrid w:val="0"/>
        <w:spacing w:after="0" w:line="240" w:lineRule="auto"/>
        <w:ind w:left="240" w:leftChars="100" w:firstLine="480" w:firstLineChars="200"/>
        <w:jc w:val="both"/>
        <w:rPr>
          <w:snapToGrid w:val="0"/>
          <w:szCs w:val="24"/>
          <w:lang w:eastAsia="zh-CN"/>
        </w:rPr>
        <w:sectPr>
          <w:pgSz w:w="11907" w:h="16840"/>
          <w:pgMar w:top="1134" w:right="1134" w:bottom="1134" w:left="1418" w:header="567" w:footer="567" w:gutter="0"/>
          <w:lnNumType w:countBy="1" w:restart="newSection"/>
          <w:cols w:space="720" w:num="1"/>
          <w:docGrid w:linePitch="299" w:charSpace="0"/>
        </w:sectPr>
      </w:pPr>
    </w:p>
    <w:p w14:paraId="40347A5C">
      <w:pPr>
        <w:pStyle w:val="2"/>
        <w:snapToGrid w:val="0"/>
        <w:spacing w:before="0" w:beforeLines="0" w:line="240" w:lineRule="auto"/>
        <w:ind w:left="240" w:leftChars="100" w:firstLine="0" w:firstLineChars="0"/>
        <w:rPr>
          <w:rFonts w:eastAsia="宋体"/>
          <w:sz w:val="28"/>
          <w:lang w:eastAsia="zh-CN"/>
        </w:rPr>
      </w:pPr>
      <w:bookmarkStart w:id="54" w:name="_Toc91249674"/>
      <w:bookmarkStart w:id="55" w:name="_Toc97547006"/>
      <w:r>
        <w:rPr>
          <w:rFonts w:hint="eastAsia" w:eastAsia="宋体"/>
          <w:sz w:val="28"/>
          <w:lang w:eastAsia="zh-CN"/>
        </w:rPr>
        <w:t>附录</w:t>
      </w:r>
      <w:r>
        <w:rPr>
          <w:rFonts w:eastAsia="宋体"/>
          <w:sz w:val="28"/>
          <w:lang w:eastAsia="zh-CN"/>
        </w:rPr>
        <w:t>1</w:t>
      </w:r>
      <w:r>
        <w:rPr>
          <w:rFonts w:hint="eastAsia" w:eastAsia="宋体"/>
          <w:sz w:val="28"/>
          <w:lang w:eastAsia="zh-CN"/>
        </w:rPr>
        <w:t>：第</w:t>
      </w:r>
      <w:r>
        <w:rPr>
          <w:rFonts w:eastAsia="宋体"/>
          <w:sz w:val="28"/>
          <w:lang w:eastAsia="zh-CN"/>
        </w:rPr>
        <w:t>522</w:t>
      </w:r>
      <w:r>
        <w:rPr>
          <w:rFonts w:hint="eastAsia" w:eastAsia="宋体"/>
          <w:sz w:val="28"/>
          <w:lang w:eastAsia="zh-CN"/>
        </w:rPr>
        <w:t>节管理核对表审查（根据</w:t>
      </w:r>
      <w:r>
        <w:rPr>
          <w:rFonts w:eastAsia="宋体"/>
          <w:snapToGrid w:val="0"/>
          <w:sz w:val="28"/>
          <w:szCs w:val="24"/>
          <w:lang w:eastAsia="zh-CN"/>
        </w:rPr>
        <w:t>《美国联邦法规》第21篇第822</w:t>
      </w:r>
      <w:r>
        <w:rPr>
          <w:rFonts w:eastAsia="宋体"/>
          <w:sz w:val="28"/>
          <w:lang w:eastAsia="zh-CN"/>
        </w:rPr>
        <w:t>.9</w:t>
      </w:r>
      <w:r>
        <w:rPr>
          <w:rFonts w:hint="eastAsia" w:eastAsia="宋体"/>
          <w:sz w:val="28"/>
          <w:lang w:eastAsia="zh-CN"/>
        </w:rPr>
        <w:t>和</w:t>
      </w:r>
      <w:r>
        <w:rPr>
          <w:rFonts w:eastAsia="宋体"/>
          <w:sz w:val="28"/>
          <w:lang w:eastAsia="zh-CN"/>
        </w:rPr>
        <w:t>822.10</w:t>
      </w:r>
      <w:r>
        <w:rPr>
          <w:rFonts w:eastAsia="宋体"/>
          <w:snapToGrid w:val="0"/>
          <w:sz w:val="28"/>
          <w:szCs w:val="24"/>
          <w:lang w:eastAsia="zh-CN"/>
        </w:rPr>
        <w:t>节</w:t>
      </w:r>
      <w:r>
        <w:rPr>
          <w:rFonts w:hint="eastAsia" w:eastAsia="宋体"/>
          <w:sz w:val="28"/>
          <w:lang w:eastAsia="zh-CN"/>
        </w:rPr>
        <w:t>）</w:t>
      </w:r>
      <w:bookmarkEnd w:id="54"/>
      <w:bookmarkEnd w:id="55"/>
    </w:p>
    <w:p w14:paraId="74892388">
      <w:pPr>
        <w:snapToGrid w:val="0"/>
        <w:spacing w:after="0" w:line="240" w:lineRule="auto"/>
        <w:ind w:left="240" w:leftChars="100" w:firstLine="480" w:firstLineChars="200"/>
        <w:jc w:val="both"/>
        <w:rPr>
          <w:lang w:eastAsia="zh-CN"/>
        </w:rPr>
      </w:pPr>
      <w:r>
        <w:rPr>
          <w:rFonts w:hint="eastAsia"/>
          <w:lang w:eastAsia="zh-CN"/>
        </w:rPr>
        <w:t>以下是供</w:t>
      </w:r>
      <w:r>
        <w:rPr>
          <w:lang w:eastAsia="zh-CN"/>
        </w:rPr>
        <w:t>FDA</w:t>
      </w:r>
      <w:r>
        <w:rPr>
          <w:rFonts w:hint="eastAsia"/>
          <w:lang w:eastAsia="zh-CN"/>
        </w:rPr>
        <w:t>工作人员使用的内部核对表，用于确定上市后监督</w:t>
      </w:r>
      <w:r>
        <w:rPr>
          <w:snapToGrid w:val="0"/>
          <w:szCs w:val="24"/>
          <w:lang w:eastAsia="zh-CN"/>
        </w:rPr>
        <w:t>的</w:t>
      </w:r>
      <w:r>
        <w:rPr>
          <w:rFonts w:hint="eastAsia"/>
          <w:lang w:eastAsia="zh-CN"/>
        </w:rPr>
        <w:t>提交</w:t>
      </w:r>
      <w:r>
        <w:rPr>
          <w:snapToGrid w:val="0"/>
          <w:szCs w:val="24"/>
          <w:lang w:eastAsia="zh-CN"/>
        </w:rPr>
        <w:t>内容</w:t>
      </w:r>
      <w:r>
        <w:rPr>
          <w:rFonts w:hint="eastAsia"/>
          <w:lang w:eastAsia="zh-CN"/>
        </w:rPr>
        <w:t>是否在行政管理上完整。制造商在准备其上市后监督报告时，可将该核对表用作参考。</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534"/>
        <w:gridCol w:w="1935"/>
      </w:tblGrid>
      <w:tr w14:paraId="6185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7" w:hRule="atLeast"/>
          <w:tblHeader/>
        </w:trPr>
        <w:tc>
          <w:tcPr>
            <w:tcW w:w="3978" w:type="pct"/>
            <w:shd w:val="clear" w:color="auto" w:fill="FE0000"/>
          </w:tcPr>
          <w:p w14:paraId="272265C2">
            <w:pPr>
              <w:snapToGrid w:val="0"/>
              <w:spacing w:after="0" w:line="240" w:lineRule="auto"/>
              <w:jc w:val="center"/>
              <w:rPr>
                <w:sz w:val="21"/>
                <w:u w:val="single"/>
              </w:rPr>
            </w:pPr>
            <w:r>
              <w:rPr>
                <w:rFonts w:hint="eastAsia"/>
                <w:b/>
                <w:color w:val="FFFFFF"/>
                <w:sz w:val="21"/>
                <w:u w:val="single"/>
              </w:rPr>
              <w:t>所需项目</w:t>
            </w:r>
          </w:p>
        </w:tc>
        <w:tc>
          <w:tcPr>
            <w:tcW w:w="1022" w:type="pct"/>
            <w:shd w:val="clear" w:color="auto" w:fill="FE0000"/>
          </w:tcPr>
          <w:p w14:paraId="507B201F">
            <w:pPr>
              <w:snapToGrid w:val="0"/>
              <w:spacing w:after="0" w:line="240" w:lineRule="auto"/>
              <w:jc w:val="center"/>
              <w:rPr>
                <w:sz w:val="21"/>
                <w:u w:val="single"/>
              </w:rPr>
            </w:pPr>
            <w:r>
              <w:rPr>
                <w:rFonts w:hint="eastAsia"/>
                <w:b/>
                <w:color w:val="FFFFFF"/>
                <w:sz w:val="21"/>
                <w:u w:val="single"/>
              </w:rPr>
              <w:t>圈出是或否或不适用</w:t>
            </w:r>
          </w:p>
        </w:tc>
      </w:tr>
      <w:tr w14:paraId="404C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000" w:type="pct"/>
            <w:gridSpan w:val="2"/>
            <w:shd w:val="clear" w:color="auto" w:fill="00B0F0"/>
          </w:tcPr>
          <w:p w14:paraId="41B4ECAD">
            <w:pPr>
              <w:snapToGrid w:val="0"/>
              <w:spacing w:after="0" w:line="240" w:lineRule="auto"/>
              <w:jc w:val="center"/>
              <w:rPr>
                <w:sz w:val="21"/>
                <w:lang w:eastAsia="zh-CN"/>
              </w:rPr>
            </w:pPr>
            <w:r>
              <w:rPr>
                <w:b/>
                <w:snapToGrid w:val="0"/>
                <w:color w:val="000000"/>
                <w:sz w:val="21"/>
                <w:szCs w:val="21"/>
                <w:lang w:eastAsia="zh-CN"/>
              </w:rPr>
              <w:t>《美国联邦法规》第21编第822.9节-</w:t>
            </w:r>
            <w:r>
              <w:rPr>
                <w:rFonts w:hint="eastAsia"/>
                <w:b/>
                <w:color w:val="000000"/>
                <w:sz w:val="21"/>
                <w:lang w:eastAsia="zh-CN"/>
              </w:rPr>
              <w:t>申报材料必须包括：</w:t>
            </w:r>
          </w:p>
        </w:tc>
      </w:tr>
      <w:tr w14:paraId="4FCE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75367AD7">
            <w:pPr>
              <w:snapToGrid w:val="0"/>
              <w:spacing w:after="0" w:line="240" w:lineRule="auto"/>
              <w:ind w:left="502" w:hanging="501" w:hangingChars="239"/>
              <w:jc w:val="both"/>
              <w:rPr>
                <w:sz w:val="21"/>
              </w:rPr>
            </w:pPr>
            <w:r>
              <w:rPr>
                <w:snapToGrid w:val="0"/>
                <w:color w:val="000000"/>
                <w:sz w:val="21"/>
                <w:szCs w:val="21"/>
                <w:lang w:eastAsia="zh-CN"/>
              </w:rPr>
              <w:t>(</w:t>
            </w:r>
            <w:r>
              <w:rPr>
                <w:color w:val="000000"/>
                <w:sz w:val="21"/>
              </w:rPr>
              <w:t>a</w:t>
            </w:r>
            <w:r>
              <w:rPr>
                <w:snapToGrid w:val="0"/>
                <w:color w:val="000000"/>
                <w:sz w:val="21"/>
                <w:szCs w:val="21"/>
                <w:lang w:eastAsia="zh-CN"/>
              </w:rPr>
              <w:t>)</w:t>
            </w:r>
            <w:r>
              <w:rPr>
                <w:color w:val="000000"/>
                <w:sz w:val="21"/>
              </w:rPr>
              <w:tab/>
            </w:r>
            <w:r>
              <w:rPr>
                <w:rFonts w:hint="eastAsia"/>
                <w:color w:val="000000"/>
                <w:sz w:val="21"/>
              </w:rPr>
              <w:t>组织</w:t>
            </w:r>
            <w:r>
              <w:rPr>
                <w:color w:val="000000"/>
                <w:sz w:val="21"/>
              </w:rPr>
              <w:t>/</w:t>
            </w:r>
            <w:r>
              <w:rPr>
                <w:rFonts w:hint="eastAsia"/>
                <w:color w:val="000000"/>
                <w:sz w:val="21"/>
              </w:rPr>
              <w:t>管理信息</w:t>
            </w:r>
          </w:p>
        </w:tc>
        <w:tc>
          <w:tcPr>
            <w:tcW w:w="1022" w:type="pct"/>
            <w:shd w:val="clear" w:color="auto" w:fill="FFFFFF"/>
          </w:tcPr>
          <w:p w14:paraId="247F9924">
            <w:pPr>
              <w:snapToGrid w:val="0"/>
              <w:spacing w:after="0" w:line="240" w:lineRule="auto"/>
              <w:jc w:val="center"/>
              <w:rPr>
                <w:sz w:val="21"/>
              </w:rPr>
            </w:pPr>
          </w:p>
        </w:tc>
      </w:tr>
      <w:tr w14:paraId="129E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356FD8FE">
            <w:pPr>
              <w:snapToGrid w:val="0"/>
              <w:spacing w:after="0" w:line="240" w:lineRule="auto"/>
              <w:ind w:left="1071" w:leftChars="275" w:hanging="411" w:hangingChars="196"/>
              <w:jc w:val="both"/>
              <w:rPr>
                <w:sz w:val="21"/>
              </w:rPr>
            </w:pPr>
            <w:r>
              <w:rPr>
                <w:snapToGrid w:val="0"/>
                <w:color w:val="000000"/>
                <w:sz w:val="21"/>
                <w:szCs w:val="21"/>
                <w:lang w:eastAsia="zh-CN"/>
              </w:rPr>
              <w:t>(</w:t>
            </w:r>
            <w:r>
              <w:rPr>
                <w:color w:val="000000"/>
                <w:sz w:val="21"/>
              </w:rPr>
              <w:t>1</w:t>
            </w:r>
            <w:r>
              <w:rPr>
                <w:snapToGrid w:val="0"/>
                <w:color w:val="000000"/>
                <w:sz w:val="21"/>
                <w:szCs w:val="21"/>
                <w:lang w:eastAsia="zh-CN"/>
              </w:rPr>
              <w:t>)</w:t>
            </w:r>
            <w:r>
              <w:rPr>
                <w:sz w:val="21"/>
              </w:rPr>
              <w:tab/>
            </w:r>
            <w:r>
              <w:rPr>
                <w:rFonts w:hint="eastAsia"/>
                <w:color w:val="000000"/>
                <w:sz w:val="21"/>
              </w:rPr>
              <w:t>名称和地址</w:t>
            </w:r>
          </w:p>
        </w:tc>
        <w:tc>
          <w:tcPr>
            <w:tcW w:w="1022" w:type="pct"/>
            <w:shd w:val="clear" w:color="auto" w:fill="FFFFFF"/>
          </w:tcPr>
          <w:p w14:paraId="69771615">
            <w:pPr>
              <w:snapToGrid w:val="0"/>
              <w:spacing w:after="0" w:line="240" w:lineRule="auto"/>
              <w:jc w:val="center"/>
              <w:rPr>
                <w:sz w:val="21"/>
              </w:rPr>
            </w:pPr>
            <w:r>
              <w:rPr>
                <w:rFonts w:hint="eastAsia"/>
                <w:b/>
                <w:color w:val="000000"/>
                <w:sz w:val="21"/>
              </w:rPr>
              <w:t>是或否或不适用</w:t>
            </w:r>
          </w:p>
        </w:tc>
      </w:tr>
      <w:tr w14:paraId="4B29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40941951">
            <w:pPr>
              <w:snapToGrid w:val="0"/>
              <w:spacing w:after="0" w:line="240" w:lineRule="auto"/>
              <w:ind w:left="1071" w:leftChars="275" w:hanging="411" w:hangingChars="196"/>
              <w:jc w:val="both"/>
              <w:rPr>
                <w:sz w:val="21"/>
              </w:rPr>
            </w:pPr>
            <w:r>
              <w:rPr>
                <w:snapToGrid w:val="0"/>
                <w:color w:val="000000"/>
                <w:sz w:val="21"/>
                <w:szCs w:val="21"/>
                <w:lang w:eastAsia="zh-CN"/>
              </w:rPr>
              <w:t>(</w:t>
            </w:r>
            <w:r>
              <w:rPr>
                <w:color w:val="000000"/>
                <w:sz w:val="21"/>
              </w:rPr>
              <w:t>2</w:t>
            </w:r>
            <w:r>
              <w:rPr>
                <w:snapToGrid w:val="0"/>
                <w:color w:val="000000"/>
                <w:sz w:val="21"/>
                <w:szCs w:val="21"/>
                <w:lang w:eastAsia="zh-CN"/>
              </w:rPr>
              <w:t>)</w:t>
            </w:r>
            <w:r>
              <w:rPr>
                <w:sz w:val="21"/>
              </w:rPr>
              <w:tab/>
            </w:r>
            <w:r>
              <w:rPr>
                <w:rFonts w:hint="eastAsia"/>
                <w:color w:val="000000"/>
                <w:sz w:val="21"/>
              </w:rPr>
              <w:t>器械的通用名和商品名</w:t>
            </w:r>
          </w:p>
        </w:tc>
        <w:tc>
          <w:tcPr>
            <w:tcW w:w="1022" w:type="pct"/>
            <w:shd w:val="clear" w:color="auto" w:fill="FFFFFF"/>
          </w:tcPr>
          <w:p w14:paraId="4CD1CBB6">
            <w:pPr>
              <w:snapToGrid w:val="0"/>
              <w:spacing w:after="0" w:line="240" w:lineRule="auto"/>
              <w:jc w:val="center"/>
              <w:rPr>
                <w:sz w:val="21"/>
              </w:rPr>
            </w:pPr>
            <w:r>
              <w:rPr>
                <w:rFonts w:hint="eastAsia"/>
                <w:b/>
                <w:color w:val="000000"/>
                <w:sz w:val="21"/>
              </w:rPr>
              <w:t>是或否或不适用</w:t>
            </w:r>
          </w:p>
        </w:tc>
      </w:tr>
      <w:tr w14:paraId="67F6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61F02F88">
            <w:pPr>
              <w:snapToGrid w:val="0"/>
              <w:spacing w:after="0" w:line="240" w:lineRule="auto"/>
              <w:ind w:left="1071" w:leftChars="275" w:hanging="411" w:hangingChars="196"/>
              <w:jc w:val="both"/>
              <w:rPr>
                <w:sz w:val="21"/>
                <w:lang w:eastAsia="zh-CN"/>
              </w:rPr>
            </w:pPr>
            <w:r>
              <w:rPr>
                <w:snapToGrid w:val="0"/>
                <w:color w:val="000000"/>
                <w:sz w:val="21"/>
                <w:szCs w:val="21"/>
                <w:lang w:eastAsia="zh-CN"/>
              </w:rPr>
              <w:t>(</w:t>
            </w:r>
            <w:r>
              <w:rPr>
                <w:color w:val="000000"/>
                <w:sz w:val="21"/>
                <w:lang w:eastAsia="zh-CN"/>
              </w:rPr>
              <w:t>3</w:t>
            </w:r>
            <w:r>
              <w:rPr>
                <w:snapToGrid w:val="0"/>
                <w:color w:val="000000"/>
                <w:sz w:val="21"/>
                <w:szCs w:val="21"/>
                <w:lang w:eastAsia="zh-CN"/>
              </w:rPr>
              <w:t>)</w:t>
            </w:r>
            <w:r>
              <w:rPr>
                <w:sz w:val="21"/>
                <w:lang w:eastAsia="zh-CN"/>
              </w:rPr>
              <w:tab/>
            </w:r>
            <w:r>
              <w:rPr>
                <w:rFonts w:hint="eastAsia"/>
                <w:color w:val="000000"/>
                <w:sz w:val="21"/>
                <w:lang w:eastAsia="zh-CN"/>
              </w:rPr>
              <w:t>提交文件联系人的姓名和地址</w:t>
            </w:r>
          </w:p>
        </w:tc>
        <w:tc>
          <w:tcPr>
            <w:tcW w:w="1022" w:type="pct"/>
            <w:shd w:val="clear" w:color="auto" w:fill="FFFFFF"/>
          </w:tcPr>
          <w:p w14:paraId="2CD416F2">
            <w:pPr>
              <w:snapToGrid w:val="0"/>
              <w:spacing w:after="0" w:line="240" w:lineRule="auto"/>
              <w:jc w:val="center"/>
              <w:rPr>
                <w:sz w:val="21"/>
              </w:rPr>
            </w:pPr>
            <w:r>
              <w:rPr>
                <w:rFonts w:hint="eastAsia"/>
                <w:b/>
                <w:color w:val="000000"/>
                <w:sz w:val="21"/>
              </w:rPr>
              <w:t>是或否或不适用</w:t>
            </w:r>
          </w:p>
        </w:tc>
      </w:tr>
      <w:tr w14:paraId="7D5B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16DA3703">
            <w:pPr>
              <w:snapToGrid w:val="0"/>
              <w:spacing w:after="0" w:line="240" w:lineRule="auto"/>
              <w:ind w:left="1071" w:leftChars="275" w:hanging="411" w:hangingChars="196"/>
              <w:jc w:val="both"/>
              <w:rPr>
                <w:sz w:val="21"/>
                <w:lang w:eastAsia="zh-CN"/>
              </w:rPr>
            </w:pPr>
            <w:r>
              <w:rPr>
                <w:snapToGrid w:val="0"/>
                <w:color w:val="000000"/>
                <w:sz w:val="21"/>
                <w:szCs w:val="21"/>
                <w:lang w:eastAsia="zh-CN"/>
              </w:rPr>
              <w:t>(</w:t>
            </w:r>
            <w:r>
              <w:rPr>
                <w:color w:val="000000"/>
                <w:sz w:val="21"/>
                <w:lang w:eastAsia="zh-CN"/>
              </w:rPr>
              <w:t>4</w:t>
            </w:r>
            <w:r>
              <w:rPr>
                <w:snapToGrid w:val="0"/>
                <w:color w:val="000000"/>
                <w:sz w:val="21"/>
                <w:szCs w:val="21"/>
                <w:lang w:eastAsia="zh-CN"/>
              </w:rPr>
              <w:t>)</w:t>
            </w:r>
            <w:r>
              <w:rPr>
                <w:sz w:val="21"/>
                <w:lang w:eastAsia="zh-CN"/>
              </w:rPr>
              <w:tab/>
            </w:r>
            <w:r>
              <w:rPr>
                <w:rFonts w:hint="eastAsia"/>
                <w:color w:val="000000"/>
                <w:sz w:val="21"/>
                <w:lang w:eastAsia="zh-CN"/>
              </w:rPr>
              <w:t>器械的上市前申请</w:t>
            </w:r>
            <w:r>
              <w:rPr>
                <w:color w:val="000000"/>
                <w:sz w:val="21"/>
                <w:lang w:eastAsia="zh-CN"/>
              </w:rPr>
              <w:t>/</w:t>
            </w:r>
            <w:r>
              <w:rPr>
                <w:rFonts w:hint="eastAsia"/>
                <w:color w:val="000000"/>
                <w:sz w:val="21"/>
                <w:lang w:eastAsia="zh-CN"/>
              </w:rPr>
              <w:t>提交编号和器械标识符</w:t>
            </w:r>
          </w:p>
        </w:tc>
        <w:tc>
          <w:tcPr>
            <w:tcW w:w="1022" w:type="pct"/>
            <w:shd w:val="clear" w:color="auto" w:fill="FFFFFF"/>
          </w:tcPr>
          <w:p w14:paraId="5931C11C">
            <w:pPr>
              <w:snapToGrid w:val="0"/>
              <w:spacing w:after="0" w:line="240" w:lineRule="auto"/>
              <w:jc w:val="center"/>
              <w:rPr>
                <w:sz w:val="21"/>
              </w:rPr>
            </w:pPr>
            <w:r>
              <w:rPr>
                <w:rFonts w:hint="eastAsia"/>
                <w:b/>
                <w:color w:val="000000"/>
                <w:sz w:val="21"/>
              </w:rPr>
              <w:t>是或否或不适用</w:t>
            </w:r>
          </w:p>
        </w:tc>
      </w:tr>
      <w:tr w14:paraId="4F8E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22AF2675">
            <w:pPr>
              <w:snapToGrid w:val="0"/>
              <w:spacing w:after="0" w:line="240" w:lineRule="auto"/>
              <w:ind w:left="1071" w:leftChars="275" w:hanging="411" w:hangingChars="196"/>
              <w:jc w:val="both"/>
              <w:rPr>
                <w:sz w:val="21"/>
                <w:lang w:eastAsia="zh-CN"/>
              </w:rPr>
            </w:pPr>
            <w:r>
              <w:rPr>
                <w:snapToGrid w:val="0"/>
                <w:color w:val="000000"/>
                <w:sz w:val="21"/>
                <w:szCs w:val="21"/>
                <w:lang w:eastAsia="zh-CN"/>
              </w:rPr>
              <w:t>(</w:t>
            </w:r>
            <w:r>
              <w:rPr>
                <w:color w:val="000000"/>
                <w:sz w:val="21"/>
                <w:lang w:eastAsia="zh-CN"/>
              </w:rPr>
              <w:t>5</w:t>
            </w:r>
            <w:r>
              <w:rPr>
                <w:snapToGrid w:val="0"/>
                <w:color w:val="000000"/>
                <w:sz w:val="21"/>
                <w:szCs w:val="21"/>
                <w:lang w:eastAsia="zh-CN"/>
              </w:rPr>
              <w:t>)</w:t>
            </w:r>
            <w:r>
              <w:rPr>
                <w:sz w:val="21"/>
                <w:lang w:eastAsia="zh-CN"/>
              </w:rPr>
              <w:tab/>
            </w:r>
            <w:r>
              <w:rPr>
                <w:rFonts w:hint="eastAsia"/>
                <w:color w:val="000000"/>
                <w:sz w:val="21"/>
                <w:lang w:eastAsia="zh-CN"/>
              </w:rPr>
              <w:t>标明各部分页码的提交文件的目录</w:t>
            </w:r>
          </w:p>
        </w:tc>
        <w:tc>
          <w:tcPr>
            <w:tcW w:w="1022" w:type="pct"/>
            <w:shd w:val="clear" w:color="auto" w:fill="FFFFFF"/>
          </w:tcPr>
          <w:p w14:paraId="177A32F8">
            <w:pPr>
              <w:snapToGrid w:val="0"/>
              <w:spacing w:after="0" w:line="240" w:lineRule="auto"/>
              <w:jc w:val="center"/>
              <w:rPr>
                <w:sz w:val="21"/>
              </w:rPr>
            </w:pPr>
            <w:r>
              <w:rPr>
                <w:rFonts w:hint="eastAsia"/>
                <w:b/>
                <w:color w:val="000000"/>
                <w:sz w:val="21"/>
              </w:rPr>
              <w:t>是或否或不适用</w:t>
            </w:r>
          </w:p>
        </w:tc>
      </w:tr>
      <w:tr w14:paraId="5BFD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11F7136D">
            <w:pPr>
              <w:snapToGrid w:val="0"/>
              <w:spacing w:after="0" w:line="240" w:lineRule="auto"/>
              <w:ind w:left="1071" w:leftChars="275" w:hanging="411" w:hangingChars="196"/>
              <w:jc w:val="both"/>
              <w:rPr>
                <w:sz w:val="21"/>
                <w:lang w:eastAsia="zh-CN"/>
              </w:rPr>
            </w:pPr>
            <w:r>
              <w:rPr>
                <w:snapToGrid w:val="0"/>
                <w:color w:val="000000"/>
                <w:sz w:val="21"/>
                <w:szCs w:val="21"/>
                <w:lang w:eastAsia="zh-CN"/>
              </w:rPr>
              <w:t>(</w:t>
            </w:r>
            <w:r>
              <w:rPr>
                <w:color w:val="000000"/>
                <w:sz w:val="21"/>
                <w:lang w:eastAsia="zh-CN"/>
              </w:rPr>
              <w:t>6</w:t>
            </w:r>
            <w:r>
              <w:rPr>
                <w:snapToGrid w:val="0"/>
                <w:color w:val="000000"/>
                <w:sz w:val="21"/>
                <w:szCs w:val="21"/>
                <w:lang w:eastAsia="zh-CN"/>
              </w:rPr>
              <w:t>)</w:t>
            </w:r>
            <w:r>
              <w:rPr>
                <w:sz w:val="21"/>
                <w:lang w:eastAsia="zh-CN"/>
              </w:rPr>
              <w:tab/>
            </w:r>
            <w:r>
              <w:rPr>
                <w:rFonts w:hint="eastAsia"/>
                <w:color w:val="000000"/>
                <w:sz w:val="21"/>
                <w:lang w:eastAsia="zh-CN"/>
              </w:rPr>
              <w:t>器械描述</w:t>
            </w:r>
            <w:r>
              <w:rPr>
                <w:snapToGrid w:val="0"/>
                <w:color w:val="000000"/>
                <w:sz w:val="21"/>
                <w:szCs w:val="21"/>
                <w:lang w:eastAsia="zh-CN"/>
              </w:rPr>
              <w:t>(</w:t>
            </w:r>
            <w:r>
              <w:rPr>
                <w:rFonts w:hint="eastAsia"/>
                <w:color w:val="000000"/>
                <w:sz w:val="21"/>
                <w:lang w:eastAsia="zh-CN"/>
              </w:rPr>
              <w:t>可通过参考适当的上市前申请</w:t>
            </w:r>
            <w:r>
              <w:rPr>
                <w:color w:val="000000"/>
                <w:sz w:val="21"/>
                <w:lang w:eastAsia="zh-CN"/>
              </w:rPr>
              <w:t>/</w:t>
            </w:r>
            <w:r>
              <w:rPr>
                <w:rFonts w:hint="eastAsia"/>
                <w:color w:val="000000"/>
                <w:sz w:val="21"/>
                <w:lang w:eastAsia="zh-CN"/>
              </w:rPr>
              <w:t>提交而纳入</w:t>
            </w:r>
            <w:r>
              <w:rPr>
                <w:snapToGrid w:val="0"/>
                <w:color w:val="000000"/>
                <w:sz w:val="21"/>
                <w:szCs w:val="21"/>
                <w:lang w:eastAsia="zh-CN"/>
              </w:rPr>
              <w:t>)</w:t>
            </w:r>
          </w:p>
        </w:tc>
        <w:tc>
          <w:tcPr>
            <w:tcW w:w="1022" w:type="pct"/>
            <w:shd w:val="clear" w:color="auto" w:fill="FFFFFF"/>
          </w:tcPr>
          <w:p w14:paraId="218ECB5F">
            <w:pPr>
              <w:snapToGrid w:val="0"/>
              <w:spacing w:after="0" w:line="240" w:lineRule="auto"/>
              <w:jc w:val="center"/>
              <w:rPr>
                <w:sz w:val="21"/>
              </w:rPr>
            </w:pPr>
            <w:r>
              <w:rPr>
                <w:rFonts w:hint="eastAsia"/>
                <w:b/>
                <w:color w:val="000000"/>
                <w:sz w:val="21"/>
              </w:rPr>
              <w:t>是或否或不适用</w:t>
            </w:r>
          </w:p>
        </w:tc>
      </w:tr>
      <w:tr w14:paraId="00EC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3EDDAD73">
            <w:pPr>
              <w:snapToGrid w:val="0"/>
              <w:spacing w:after="0" w:line="240" w:lineRule="auto"/>
              <w:ind w:left="1071" w:leftChars="275" w:hanging="411" w:hangingChars="196"/>
              <w:jc w:val="both"/>
              <w:rPr>
                <w:sz w:val="21"/>
                <w:lang w:eastAsia="zh-CN"/>
              </w:rPr>
            </w:pPr>
            <w:r>
              <w:rPr>
                <w:snapToGrid w:val="0"/>
                <w:color w:val="000000"/>
                <w:sz w:val="21"/>
                <w:szCs w:val="21"/>
                <w:lang w:eastAsia="zh-CN"/>
              </w:rPr>
              <w:t>(</w:t>
            </w:r>
            <w:r>
              <w:rPr>
                <w:color w:val="000000"/>
                <w:sz w:val="21"/>
                <w:lang w:eastAsia="zh-CN"/>
              </w:rPr>
              <w:t>7</w:t>
            </w:r>
            <w:r>
              <w:rPr>
                <w:snapToGrid w:val="0"/>
                <w:color w:val="000000"/>
                <w:sz w:val="21"/>
                <w:szCs w:val="21"/>
                <w:lang w:eastAsia="zh-CN"/>
              </w:rPr>
              <w:t>)</w:t>
            </w:r>
            <w:r>
              <w:rPr>
                <w:sz w:val="21"/>
                <w:lang w:eastAsia="zh-CN"/>
              </w:rPr>
              <w:tab/>
            </w:r>
            <w:r>
              <w:rPr>
                <w:rFonts w:hint="eastAsia"/>
                <w:color w:val="000000"/>
                <w:sz w:val="21"/>
                <w:lang w:eastAsia="zh-CN"/>
              </w:rPr>
              <w:t>产品代码和所有相关型号的列表</w:t>
            </w:r>
          </w:p>
        </w:tc>
        <w:tc>
          <w:tcPr>
            <w:tcW w:w="1022" w:type="pct"/>
            <w:shd w:val="clear" w:color="auto" w:fill="FFFFFF"/>
          </w:tcPr>
          <w:p w14:paraId="45F58829">
            <w:pPr>
              <w:snapToGrid w:val="0"/>
              <w:spacing w:after="0" w:line="240" w:lineRule="auto"/>
              <w:jc w:val="center"/>
              <w:rPr>
                <w:sz w:val="21"/>
              </w:rPr>
            </w:pPr>
            <w:r>
              <w:rPr>
                <w:rFonts w:hint="eastAsia"/>
                <w:b/>
                <w:color w:val="000000"/>
                <w:sz w:val="21"/>
              </w:rPr>
              <w:t>是或否或不适用</w:t>
            </w:r>
          </w:p>
        </w:tc>
      </w:tr>
      <w:tr w14:paraId="5C6C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0539B3A5">
            <w:pPr>
              <w:snapToGrid w:val="0"/>
              <w:spacing w:after="0" w:line="240" w:lineRule="auto"/>
              <w:ind w:left="1071" w:leftChars="275" w:hanging="411" w:hangingChars="196"/>
              <w:jc w:val="both"/>
              <w:rPr>
                <w:sz w:val="21"/>
                <w:lang w:eastAsia="zh-CN"/>
              </w:rPr>
            </w:pPr>
            <w:r>
              <w:rPr>
                <w:snapToGrid w:val="0"/>
                <w:color w:val="000000"/>
                <w:sz w:val="21"/>
                <w:szCs w:val="21"/>
                <w:lang w:eastAsia="zh-CN"/>
              </w:rPr>
              <w:t>(</w:t>
            </w:r>
            <w:r>
              <w:rPr>
                <w:color w:val="000000"/>
                <w:sz w:val="21"/>
                <w:lang w:eastAsia="zh-CN"/>
              </w:rPr>
              <w:t>8</w:t>
            </w:r>
            <w:r>
              <w:rPr>
                <w:snapToGrid w:val="0"/>
                <w:color w:val="000000"/>
                <w:sz w:val="21"/>
                <w:szCs w:val="21"/>
                <w:lang w:eastAsia="zh-CN"/>
              </w:rPr>
              <w:t>)</w:t>
            </w:r>
            <w:r>
              <w:rPr>
                <w:sz w:val="21"/>
                <w:lang w:eastAsia="zh-CN"/>
              </w:rPr>
              <w:tab/>
            </w:r>
            <w:r>
              <w:rPr>
                <w:rFonts w:hint="eastAsia"/>
                <w:color w:val="000000"/>
                <w:sz w:val="21"/>
                <w:lang w:eastAsia="zh-CN"/>
              </w:rPr>
              <w:t>器械的适用范围和要求</w:t>
            </w:r>
          </w:p>
        </w:tc>
        <w:tc>
          <w:tcPr>
            <w:tcW w:w="1022" w:type="pct"/>
            <w:shd w:val="clear" w:color="auto" w:fill="FFFFFF"/>
          </w:tcPr>
          <w:p w14:paraId="24C7D290">
            <w:pPr>
              <w:snapToGrid w:val="0"/>
              <w:spacing w:after="0" w:line="240" w:lineRule="auto"/>
              <w:jc w:val="center"/>
              <w:rPr>
                <w:sz w:val="21"/>
              </w:rPr>
            </w:pPr>
            <w:r>
              <w:rPr>
                <w:rFonts w:hint="eastAsia"/>
                <w:b/>
                <w:color w:val="000000"/>
                <w:sz w:val="21"/>
              </w:rPr>
              <w:t>是或否或不适用</w:t>
            </w:r>
          </w:p>
        </w:tc>
      </w:tr>
      <w:tr w14:paraId="4F7B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1DC1C067">
            <w:pPr>
              <w:snapToGrid w:val="0"/>
              <w:spacing w:after="0" w:line="240" w:lineRule="auto"/>
              <w:ind w:left="502" w:hanging="501" w:hangingChars="239"/>
              <w:jc w:val="both"/>
              <w:rPr>
                <w:sz w:val="21"/>
              </w:rPr>
            </w:pPr>
            <w:r>
              <w:rPr>
                <w:snapToGrid w:val="0"/>
                <w:color w:val="000000"/>
                <w:sz w:val="21"/>
                <w:szCs w:val="21"/>
                <w:lang w:eastAsia="zh-CN"/>
              </w:rPr>
              <w:t>(</w:t>
            </w:r>
            <w:r>
              <w:rPr>
                <w:color w:val="000000"/>
                <w:sz w:val="21"/>
              </w:rPr>
              <w:t>b</w:t>
            </w:r>
            <w:r>
              <w:rPr>
                <w:snapToGrid w:val="0"/>
                <w:color w:val="000000"/>
                <w:sz w:val="21"/>
                <w:szCs w:val="21"/>
                <w:lang w:eastAsia="zh-CN"/>
              </w:rPr>
              <w:t>)</w:t>
            </w:r>
            <w:r>
              <w:rPr>
                <w:color w:val="000000"/>
                <w:sz w:val="21"/>
              </w:rPr>
              <w:tab/>
            </w:r>
            <w:r>
              <w:rPr>
                <w:rFonts w:hint="eastAsia"/>
                <w:color w:val="000000"/>
                <w:sz w:val="21"/>
              </w:rPr>
              <w:t>上市后监督计划</w:t>
            </w:r>
          </w:p>
        </w:tc>
        <w:tc>
          <w:tcPr>
            <w:tcW w:w="1022" w:type="pct"/>
            <w:shd w:val="clear" w:color="auto" w:fill="FFFFFF"/>
          </w:tcPr>
          <w:p w14:paraId="531D72F1">
            <w:pPr>
              <w:snapToGrid w:val="0"/>
              <w:spacing w:after="0" w:line="240" w:lineRule="auto"/>
              <w:jc w:val="center"/>
              <w:rPr>
                <w:sz w:val="21"/>
              </w:rPr>
            </w:pPr>
            <w:r>
              <w:rPr>
                <w:rFonts w:hint="eastAsia"/>
                <w:b/>
                <w:color w:val="000000"/>
                <w:sz w:val="21"/>
              </w:rPr>
              <w:t>是或否或不适用</w:t>
            </w:r>
          </w:p>
        </w:tc>
      </w:tr>
      <w:tr w14:paraId="5CC6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3BF453B9">
            <w:pPr>
              <w:snapToGrid w:val="0"/>
              <w:spacing w:after="0" w:line="240" w:lineRule="auto"/>
              <w:ind w:left="502" w:hanging="501" w:hangingChars="239"/>
              <w:jc w:val="both"/>
              <w:rPr>
                <w:sz w:val="21"/>
              </w:rPr>
            </w:pPr>
            <w:r>
              <w:rPr>
                <w:snapToGrid w:val="0"/>
                <w:color w:val="000000"/>
                <w:sz w:val="21"/>
                <w:szCs w:val="21"/>
                <w:lang w:eastAsia="zh-CN"/>
              </w:rPr>
              <w:t>(</w:t>
            </w:r>
            <w:r>
              <w:rPr>
                <w:color w:val="000000"/>
                <w:sz w:val="21"/>
              </w:rPr>
              <w:t>c</w:t>
            </w:r>
            <w:r>
              <w:rPr>
                <w:snapToGrid w:val="0"/>
                <w:color w:val="000000"/>
                <w:sz w:val="21"/>
                <w:szCs w:val="21"/>
                <w:lang w:eastAsia="zh-CN"/>
              </w:rPr>
              <w:t>)</w:t>
            </w:r>
            <w:r>
              <w:rPr>
                <w:color w:val="000000"/>
                <w:sz w:val="21"/>
              </w:rPr>
              <w:tab/>
            </w:r>
            <w:r>
              <w:rPr>
                <w:rFonts w:hint="eastAsia"/>
                <w:color w:val="000000"/>
                <w:sz w:val="21"/>
              </w:rPr>
              <w:t>指定个人信息</w:t>
            </w:r>
          </w:p>
        </w:tc>
        <w:tc>
          <w:tcPr>
            <w:tcW w:w="1022" w:type="pct"/>
            <w:shd w:val="clear" w:color="auto" w:fill="FFFFFF"/>
          </w:tcPr>
          <w:p w14:paraId="67BD9064">
            <w:pPr>
              <w:snapToGrid w:val="0"/>
              <w:spacing w:after="0" w:line="240" w:lineRule="auto"/>
              <w:jc w:val="center"/>
              <w:rPr>
                <w:sz w:val="21"/>
              </w:rPr>
            </w:pPr>
          </w:p>
        </w:tc>
      </w:tr>
      <w:tr w14:paraId="5B29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3B3CA2F6">
            <w:pPr>
              <w:snapToGrid w:val="0"/>
              <w:spacing w:after="0" w:line="240" w:lineRule="auto"/>
              <w:ind w:left="1071" w:leftChars="275" w:hanging="411" w:hangingChars="196"/>
              <w:jc w:val="both"/>
              <w:rPr>
                <w:color w:val="000000"/>
                <w:sz w:val="21"/>
                <w:lang w:eastAsia="zh-CN"/>
              </w:rPr>
            </w:pPr>
            <w:r>
              <w:rPr>
                <w:snapToGrid w:val="0"/>
                <w:color w:val="000000"/>
                <w:sz w:val="21"/>
                <w:szCs w:val="21"/>
                <w:lang w:eastAsia="zh-CN"/>
              </w:rPr>
              <w:t>(</w:t>
            </w:r>
            <w:r>
              <w:rPr>
                <w:color w:val="000000"/>
                <w:sz w:val="21"/>
                <w:lang w:eastAsia="zh-CN"/>
              </w:rPr>
              <w:t>1</w:t>
            </w:r>
            <w:r>
              <w:rPr>
                <w:snapToGrid w:val="0"/>
                <w:color w:val="000000"/>
                <w:sz w:val="21"/>
                <w:szCs w:val="21"/>
                <w:lang w:eastAsia="zh-CN"/>
              </w:rPr>
              <w:t>)</w:t>
            </w:r>
            <w:r>
              <w:rPr>
                <w:sz w:val="21"/>
                <w:lang w:eastAsia="zh-CN"/>
              </w:rPr>
              <w:tab/>
            </w:r>
            <w:r>
              <w:rPr>
                <w:rFonts w:hint="eastAsia"/>
                <w:color w:val="000000"/>
                <w:sz w:val="21"/>
                <w:lang w:eastAsia="zh-CN"/>
              </w:rPr>
              <w:t>姓名、地址和电话号码</w:t>
            </w:r>
          </w:p>
        </w:tc>
        <w:tc>
          <w:tcPr>
            <w:tcW w:w="1022" w:type="pct"/>
            <w:shd w:val="clear" w:color="auto" w:fill="FFFFFF"/>
          </w:tcPr>
          <w:p w14:paraId="73586BE0">
            <w:pPr>
              <w:snapToGrid w:val="0"/>
              <w:spacing w:after="0" w:line="240" w:lineRule="auto"/>
              <w:jc w:val="center"/>
              <w:rPr>
                <w:sz w:val="21"/>
              </w:rPr>
            </w:pPr>
            <w:r>
              <w:rPr>
                <w:rFonts w:hint="eastAsia"/>
                <w:b/>
                <w:color w:val="000000"/>
                <w:sz w:val="21"/>
              </w:rPr>
              <w:t>是或否或不适用</w:t>
            </w:r>
          </w:p>
        </w:tc>
      </w:tr>
      <w:tr w14:paraId="2224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3EA7E648">
            <w:pPr>
              <w:snapToGrid w:val="0"/>
              <w:spacing w:after="0" w:line="240" w:lineRule="auto"/>
              <w:ind w:left="1071" w:leftChars="275" w:hanging="411" w:hangingChars="196"/>
              <w:jc w:val="both"/>
              <w:rPr>
                <w:color w:val="000000"/>
                <w:sz w:val="21"/>
              </w:rPr>
            </w:pPr>
            <w:r>
              <w:rPr>
                <w:snapToGrid w:val="0"/>
                <w:color w:val="000000"/>
                <w:sz w:val="21"/>
                <w:szCs w:val="21"/>
                <w:lang w:eastAsia="zh-CN"/>
              </w:rPr>
              <w:t>(</w:t>
            </w:r>
            <w:r>
              <w:rPr>
                <w:color w:val="000000"/>
                <w:sz w:val="21"/>
              </w:rPr>
              <w:t>2</w:t>
            </w:r>
            <w:r>
              <w:rPr>
                <w:snapToGrid w:val="0"/>
                <w:color w:val="000000"/>
                <w:sz w:val="21"/>
                <w:szCs w:val="21"/>
                <w:lang w:eastAsia="zh-CN"/>
              </w:rPr>
              <w:t>)</w:t>
            </w:r>
            <w:r>
              <w:rPr>
                <w:sz w:val="21"/>
              </w:rPr>
              <w:tab/>
            </w:r>
            <w:r>
              <w:rPr>
                <w:rFonts w:hint="eastAsia"/>
                <w:color w:val="000000"/>
                <w:sz w:val="21"/>
              </w:rPr>
              <w:t>经验和资质</w:t>
            </w:r>
          </w:p>
        </w:tc>
        <w:tc>
          <w:tcPr>
            <w:tcW w:w="1022" w:type="pct"/>
            <w:shd w:val="clear" w:color="auto" w:fill="FFFFFF"/>
          </w:tcPr>
          <w:p w14:paraId="33B70882">
            <w:pPr>
              <w:snapToGrid w:val="0"/>
              <w:spacing w:after="0" w:line="240" w:lineRule="auto"/>
              <w:jc w:val="center"/>
              <w:rPr>
                <w:sz w:val="21"/>
              </w:rPr>
            </w:pPr>
            <w:r>
              <w:rPr>
                <w:rFonts w:hint="eastAsia"/>
                <w:b/>
                <w:color w:val="000000"/>
                <w:sz w:val="21"/>
              </w:rPr>
              <w:t>是或否或不适用</w:t>
            </w:r>
          </w:p>
        </w:tc>
      </w:tr>
      <w:tr w14:paraId="66BE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000" w:type="pct"/>
            <w:gridSpan w:val="2"/>
            <w:shd w:val="clear" w:color="auto" w:fill="00B0F0"/>
          </w:tcPr>
          <w:p w14:paraId="68044B4C">
            <w:pPr>
              <w:snapToGrid w:val="0"/>
              <w:spacing w:after="0" w:line="240" w:lineRule="auto"/>
              <w:jc w:val="center"/>
              <w:rPr>
                <w:sz w:val="21"/>
                <w:lang w:eastAsia="zh-CN"/>
              </w:rPr>
            </w:pPr>
            <w:r>
              <w:rPr>
                <w:b/>
                <w:snapToGrid w:val="0"/>
                <w:color w:val="000000"/>
                <w:sz w:val="21"/>
                <w:szCs w:val="21"/>
                <w:lang w:eastAsia="zh-CN"/>
              </w:rPr>
              <w:t>《美国联邦法规》第21编第822</w:t>
            </w:r>
            <w:r>
              <w:rPr>
                <w:b/>
                <w:color w:val="000000"/>
                <w:sz w:val="21"/>
                <w:lang w:eastAsia="zh-CN"/>
              </w:rPr>
              <w:t>.10</w:t>
            </w:r>
            <w:r>
              <w:rPr>
                <w:b/>
                <w:snapToGrid w:val="0"/>
                <w:color w:val="000000"/>
                <w:sz w:val="21"/>
                <w:szCs w:val="21"/>
                <w:lang w:eastAsia="zh-CN"/>
              </w:rPr>
              <w:t>节-</w:t>
            </w:r>
            <w:r>
              <w:rPr>
                <w:rFonts w:hint="eastAsia"/>
                <w:b/>
                <w:color w:val="000000"/>
                <w:sz w:val="21"/>
                <w:lang w:eastAsia="zh-CN"/>
              </w:rPr>
              <w:t>监督计划必须包括：</w:t>
            </w:r>
          </w:p>
        </w:tc>
      </w:tr>
      <w:tr w14:paraId="4980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346334CD">
            <w:pPr>
              <w:snapToGrid w:val="0"/>
              <w:spacing w:after="0" w:line="240" w:lineRule="auto"/>
              <w:ind w:left="502" w:hanging="501" w:hangingChars="239"/>
              <w:jc w:val="both"/>
              <w:rPr>
                <w:color w:val="000000"/>
                <w:sz w:val="21"/>
                <w:lang w:eastAsia="zh-CN"/>
              </w:rPr>
            </w:pPr>
            <w:r>
              <w:rPr>
                <w:snapToGrid w:val="0"/>
                <w:color w:val="000000"/>
                <w:sz w:val="21"/>
                <w:szCs w:val="21"/>
                <w:lang w:eastAsia="zh-CN"/>
              </w:rPr>
              <w:t>(</w:t>
            </w:r>
            <w:r>
              <w:rPr>
                <w:color w:val="000000"/>
                <w:sz w:val="21"/>
                <w:lang w:eastAsia="zh-CN"/>
              </w:rPr>
              <w:t>a</w:t>
            </w:r>
            <w:r>
              <w:rPr>
                <w:snapToGrid w:val="0"/>
                <w:color w:val="000000"/>
                <w:sz w:val="21"/>
                <w:szCs w:val="21"/>
                <w:lang w:eastAsia="zh-CN"/>
              </w:rPr>
              <w:t>)</w:t>
            </w:r>
            <w:r>
              <w:rPr>
                <w:color w:val="000000"/>
                <w:sz w:val="21"/>
                <w:lang w:eastAsia="zh-CN"/>
              </w:rPr>
              <w:tab/>
            </w:r>
            <w:r>
              <w:rPr>
                <w:rFonts w:hint="eastAsia"/>
                <w:color w:val="000000"/>
                <w:sz w:val="21"/>
                <w:lang w:eastAsia="zh-CN"/>
              </w:rPr>
              <w:t>解决</w:t>
            </w:r>
            <w:r>
              <w:rPr>
                <w:color w:val="000000"/>
                <w:sz w:val="21"/>
                <w:lang w:eastAsia="zh-CN"/>
              </w:rPr>
              <w:t>522</w:t>
            </w:r>
            <w:r>
              <w:rPr>
                <w:rFonts w:hint="eastAsia"/>
                <w:color w:val="000000"/>
                <w:sz w:val="21"/>
                <w:lang w:eastAsia="zh-CN"/>
              </w:rPr>
              <w:t>指令中确定的监督问题的计划目标</w:t>
            </w:r>
          </w:p>
        </w:tc>
        <w:tc>
          <w:tcPr>
            <w:tcW w:w="1022" w:type="pct"/>
            <w:shd w:val="clear" w:color="auto" w:fill="FFFFFF"/>
          </w:tcPr>
          <w:p w14:paraId="1F2A8574">
            <w:pPr>
              <w:snapToGrid w:val="0"/>
              <w:spacing w:after="0" w:line="240" w:lineRule="auto"/>
              <w:jc w:val="center"/>
              <w:rPr>
                <w:sz w:val="21"/>
              </w:rPr>
            </w:pPr>
            <w:r>
              <w:rPr>
                <w:rFonts w:hint="eastAsia"/>
                <w:b/>
                <w:color w:val="000000"/>
                <w:sz w:val="21"/>
              </w:rPr>
              <w:t>是或否或不适用</w:t>
            </w:r>
          </w:p>
        </w:tc>
      </w:tr>
      <w:tr w14:paraId="5F30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48FE797B">
            <w:pPr>
              <w:snapToGrid w:val="0"/>
              <w:spacing w:after="0" w:line="240" w:lineRule="auto"/>
              <w:ind w:left="502" w:hanging="501" w:hangingChars="239"/>
              <w:jc w:val="both"/>
              <w:rPr>
                <w:color w:val="000000"/>
                <w:sz w:val="21"/>
                <w:lang w:eastAsia="zh-CN"/>
              </w:rPr>
            </w:pPr>
            <w:r>
              <w:rPr>
                <w:snapToGrid w:val="0"/>
                <w:color w:val="000000"/>
                <w:sz w:val="21"/>
                <w:szCs w:val="21"/>
                <w:lang w:eastAsia="zh-CN"/>
              </w:rPr>
              <w:t>(</w:t>
            </w:r>
            <w:r>
              <w:rPr>
                <w:color w:val="000000"/>
                <w:sz w:val="21"/>
                <w:lang w:eastAsia="zh-CN"/>
              </w:rPr>
              <w:t>b</w:t>
            </w:r>
            <w:r>
              <w:rPr>
                <w:snapToGrid w:val="0"/>
                <w:color w:val="000000"/>
                <w:sz w:val="21"/>
                <w:szCs w:val="21"/>
                <w:lang w:eastAsia="zh-CN"/>
              </w:rPr>
              <w:t>)</w:t>
            </w:r>
            <w:r>
              <w:rPr>
                <w:color w:val="000000"/>
                <w:sz w:val="21"/>
                <w:lang w:eastAsia="zh-CN"/>
              </w:rPr>
              <w:tab/>
            </w:r>
            <w:r>
              <w:rPr>
                <w:rFonts w:hint="eastAsia"/>
                <w:color w:val="000000"/>
                <w:sz w:val="21"/>
                <w:lang w:eastAsia="zh-CN"/>
              </w:rPr>
              <w:t>研究对象，例如患者、器械、动物</w:t>
            </w:r>
          </w:p>
        </w:tc>
        <w:tc>
          <w:tcPr>
            <w:tcW w:w="1022" w:type="pct"/>
            <w:shd w:val="clear" w:color="auto" w:fill="FFFFFF"/>
          </w:tcPr>
          <w:p w14:paraId="0DD4C946">
            <w:pPr>
              <w:snapToGrid w:val="0"/>
              <w:spacing w:after="0" w:line="240" w:lineRule="auto"/>
              <w:jc w:val="center"/>
              <w:rPr>
                <w:sz w:val="21"/>
              </w:rPr>
            </w:pPr>
            <w:r>
              <w:rPr>
                <w:rFonts w:hint="eastAsia"/>
                <w:b/>
                <w:color w:val="000000"/>
                <w:sz w:val="21"/>
              </w:rPr>
              <w:t>是或否或不适用</w:t>
            </w:r>
          </w:p>
        </w:tc>
      </w:tr>
      <w:tr w14:paraId="179E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00EAA668">
            <w:pPr>
              <w:snapToGrid w:val="0"/>
              <w:spacing w:after="0" w:line="240" w:lineRule="auto"/>
              <w:ind w:left="502" w:hanging="501" w:hangingChars="239"/>
              <w:jc w:val="both"/>
              <w:rPr>
                <w:color w:val="000000"/>
                <w:sz w:val="21"/>
                <w:lang w:eastAsia="zh-CN"/>
              </w:rPr>
            </w:pPr>
            <w:r>
              <w:rPr>
                <w:snapToGrid w:val="0"/>
                <w:color w:val="000000"/>
                <w:sz w:val="21"/>
                <w:szCs w:val="21"/>
                <w:lang w:eastAsia="zh-CN"/>
              </w:rPr>
              <w:t>(</w:t>
            </w:r>
            <w:r>
              <w:rPr>
                <w:color w:val="000000"/>
                <w:sz w:val="21"/>
                <w:lang w:eastAsia="zh-CN"/>
              </w:rPr>
              <w:t>c</w:t>
            </w:r>
            <w:r>
              <w:rPr>
                <w:snapToGrid w:val="0"/>
                <w:color w:val="000000"/>
                <w:sz w:val="21"/>
                <w:szCs w:val="21"/>
                <w:lang w:eastAsia="zh-CN"/>
              </w:rPr>
              <w:t>)</w:t>
            </w:r>
            <w:r>
              <w:rPr>
                <w:color w:val="000000"/>
                <w:sz w:val="21"/>
                <w:lang w:eastAsia="zh-CN"/>
              </w:rPr>
              <w:tab/>
            </w:r>
            <w:r>
              <w:rPr>
                <w:rFonts w:hint="eastAsia"/>
                <w:color w:val="000000"/>
                <w:sz w:val="21"/>
                <w:lang w:eastAsia="zh-CN"/>
              </w:rPr>
              <w:t>用于答复监督问题的变量和终点，如临床参数或结果</w:t>
            </w:r>
          </w:p>
        </w:tc>
        <w:tc>
          <w:tcPr>
            <w:tcW w:w="1022" w:type="pct"/>
            <w:shd w:val="clear" w:color="auto" w:fill="FFFFFF"/>
          </w:tcPr>
          <w:p w14:paraId="297614B0">
            <w:pPr>
              <w:snapToGrid w:val="0"/>
              <w:spacing w:after="0" w:line="240" w:lineRule="auto"/>
              <w:jc w:val="center"/>
              <w:rPr>
                <w:sz w:val="21"/>
              </w:rPr>
            </w:pPr>
            <w:r>
              <w:rPr>
                <w:rFonts w:hint="eastAsia"/>
                <w:b/>
                <w:color w:val="000000"/>
                <w:sz w:val="21"/>
              </w:rPr>
              <w:t>是或否或不适用</w:t>
            </w:r>
          </w:p>
        </w:tc>
      </w:tr>
      <w:tr w14:paraId="3A2D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0B93B73E">
            <w:pPr>
              <w:snapToGrid w:val="0"/>
              <w:spacing w:after="0" w:line="240" w:lineRule="auto"/>
              <w:ind w:left="502" w:hanging="501" w:hangingChars="239"/>
              <w:jc w:val="both"/>
              <w:rPr>
                <w:color w:val="000000"/>
                <w:sz w:val="21"/>
                <w:lang w:eastAsia="zh-CN"/>
              </w:rPr>
            </w:pPr>
            <w:r>
              <w:rPr>
                <w:snapToGrid w:val="0"/>
                <w:color w:val="000000"/>
                <w:sz w:val="21"/>
                <w:szCs w:val="21"/>
                <w:lang w:eastAsia="zh-CN"/>
              </w:rPr>
              <w:t>(</w:t>
            </w:r>
            <w:r>
              <w:rPr>
                <w:color w:val="000000"/>
                <w:sz w:val="21"/>
                <w:lang w:eastAsia="zh-CN"/>
              </w:rPr>
              <w:t>d</w:t>
            </w:r>
            <w:r>
              <w:rPr>
                <w:snapToGrid w:val="0"/>
                <w:color w:val="000000"/>
                <w:sz w:val="21"/>
                <w:szCs w:val="21"/>
                <w:lang w:eastAsia="zh-CN"/>
              </w:rPr>
              <w:t>)</w:t>
            </w:r>
            <w:r>
              <w:rPr>
                <w:color w:val="000000"/>
                <w:sz w:val="21"/>
                <w:lang w:eastAsia="zh-CN"/>
              </w:rPr>
              <w:tab/>
            </w:r>
            <w:r>
              <w:rPr>
                <w:rFonts w:hint="eastAsia"/>
                <w:color w:val="000000"/>
                <w:sz w:val="21"/>
                <w:lang w:eastAsia="zh-CN"/>
              </w:rPr>
              <w:t>拟采用的监督途径或方法</w:t>
            </w:r>
          </w:p>
        </w:tc>
        <w:tc>
          <w:tcPr>
            <w:tcW w:w="1022" w:type="pct"/>
            <w:shd w:val="clear" w:color="auto" w:fill="FFFFFF"/>
          </w:tcPr>
          <w:p w14:paraId="16BBFB3D">
            <w:pPr>
              <w:snapToGrid w:val="0"/>
              <w:spacing w:after="0" w:line="240" w:lineRule="auto"/>
              <w:jc w:val="center"/>
              <w:rPr>
                <w:sz w:val="21"/>
              </w:rPr>
            </w:pPr>
            <w:r>
              <w:rPr>
                <w:rFonts w:hint="eastAsia"/>
                <w:b/>
                <w:color w:val="000000"/>
                <w:sz w:val="21"/>
              </w:rPr>
              <w:t>是或否或不适用</w:t>
            </w:r>
          </w:p>
        </w:tc>
      </w:tr>
      <w:tr w14:paraId="5F06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446F1FCC">
            <w:pPr>
              <w:snapToGrid w:val="0"/>
              <w:spacing w:after="0" w:line="240" w:lineRule="auto"/>
              <w:ind w:left="502" w:hanging="501" w:hangingChars="239"/>
              <w:jc w:val="both"/>
              <w:rPr>
                <w:color w:val="000000"/>
                <w:sz w:val="21"/>
              </w:rPr>
            </w:pPr>
            <w:r>
              <w:rPr>
                <w:snapToGrid w:val="0"/>
                <w:color w:val="000000"/>
                <w:sz w:val="21"/>
                <w:szCs w:val="21"/>
                <w:lang w:eastAsia="zh-CN"/>
              </w:rPr>
              <w:t>(</w:t>
            </w:r>
            <w:r>
              <w:rPr>
                <w:color w:val="000000"/>
                <w:sz w:val="21"/>
              </w:rPr>
              <w:t>e</w:t>
            </w:r>
            <w:r>
              <w:rPr>
                <w:snapToGrid w:val="0"/>
                <w:color w:val="000000"/>
                <w:sz w:val="21"/>
                <w:szCs w:val="21"/>
                <w:lang w:eastAsia="zh-CN"/>
              </w:rPr>
              <w:t>)</w:t>
            </w:r>
            <w:r>
              <w:rPr>
                <w:color w:val="000000"/>
                <w:sz w:val="21"/>
              </w:rPr>
              <w:tab/>
            </w:r>
            <w:r>
              <w:rPr>
                <w:rFonts w:hint="eastAsia"/>
                <w:color w:val="000000"/>
                <w:sz w:val="21"/>
              </w:rPr>
              <w:t>样本量和观察单位</w:t>
            </w:r>
          </w:p>
        </w:tc>
        <w:tc>
          <w:tcPr>
            <w:tcW w:w="1022" w:type="pct"/>
            <w:shd w:val="clear" w:color="auto" w:fill="FFFFFF"/>
          </w:tcPr>
          <w:p w14:paraId="7C4DB60B">
            <w:pPr>
              <w:snapToGrid w:val="0"/>
              <w:spacing w:after="0" w:line="240" w:lineRule="auto"/>
              <w:jc w:val="center"/>
              <w:rPr>
                <w:sz w:val="21"/>
              </w:rPr>
            </w:pPr>
            <w:r>
              <w:rPr>
                <w:rFonts w:hint="eastAsia"/>
                <w:b/>
                <w:color w:val="000000"/>
                <w:sz w:val="21"/>
              </w:rPr>
              <w:t>是或否或不适用</w:t>
            </w:r>
          </w:p>
        </w:tc>
      </w:tr>
      <w:tr w14:paraId="1F69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45F9A652">
            <w:pPr>
              <w:snapToGrid w:val="0"/>
              <w:spacing w:after="0" w:line="240" w:lineRule="auto"/>
              <w:ind w:left="502" w:hanging="501" w:hangingChars="239"/>
              <w:jc w:val="both"/>
              <w:rPr>
                <w:color w:val="000000"/>
                <w:sz w:val="21"/>
              </w:rPr>
            </w:pPr>
            <w:r>
              <w:rPr>
                <w:snapToGrid w:val="0"/>
                <w:color w:val="000000"/>
                <w:sz w:val="21"/>
                <w:szCs w:val="21"/>
                <w:lang w:eastAsia="zh-CN"/>
              </w:rPr>
              <w:t>(</w:t>
            </w:r>
            <w:r>
              <w:rPr>
                <w:color w:val="000000"/>
                <w:sz w:val="21"/>
              </w:rPr>
              <w:t>f</w:t>
            </w:r>
            <w:r>
              <w:rPr>
                <w:snapToGrid w:val="0"/>
                <w:color w:val="000000"/>
                <w:sz w:val="21"/>
                <w:szCs w:val="21"/>
                <w:lang w:eastAsia="zh-CN"/>
              </w:rPr>
              <w:t>)</w:t>
            </w:r>
            <w:r>
              <w:rPr>
                <w:color w:val="000000"/>
                <w:sz w:val="21"/>
              </w:rPr>
              <w:tab/>
            </w:r>
            <w:r>
              <w:rPr>
                <w:rFonts w:hint="eastAsia"/>
                <w:color w:val="000000"/>
                <w:sz w:val="21"/>
              </w:rPr>
              <w:t>研究者协议</w:t>
            </w:r>
            <w:r>
              <w:rPr>
                <w:snapToGrid w:val="0"/>
                <w:color w:val="000000"/>
                <w:sz w:val="21"/>
                <w:szCs w:val="21"/>
                <w:lang w:eastAsia="zh-CN"/>
              </w:rPr>
              <w:t>(</w:t>
            </w:r>
            <w:r>
              <w:rPr>
                <w:rFonts w:hint="eastAsia"/>
                <w:color w:val="000000"/>
                <w:sz w:val="21"/>
              </w:rPr>
              <w:t>如适用</w:t>
            </w:r>
            <w:r>
              <w:rPr>
                <w:snapToGrid w:val="0"/>
                <w:color w:val="000000"/>
                <w:sz w:val="21"/>
                <w:szCs w:val="21"/>
                <w:lang w:eastAsia="zh-CN"/>
              </w:rPr>
              <w:t>)</w:t>
            </w:r>
          </w:p>
        </w:tc>
        <w:tc>
          <w:tcPr>
            <w:tcW w:w="1022" w:type="pct"/>
            <w:shd w:val="clear" w:color="auto" w:fill="FFFFFF"/>
          </w:tcPr>
          <w:p w14:paraId="3061AC55">
            <w:pPr>
              <w:snapToGrid w:val="0"/>
              <w:spacing w:after="0" w:line="240" w:lineRule="auto"/>
              <w:jc w:val="center"/>
              <w:rPr>
                <w:sz w:val="21"/>
              </w:rPr>
            </w:pPr>
            <w:r>
              <w:rPr>
                <w:rFonts w:hint="eastAsia"/>
                <w:b/>
                <w:color w:val="000000"/>
                <w:sz w:val="21"/>
              </w:rPr>
              <w:t>是或否或不适用</w:t>
            </w:r>
          </w:p>
        </w:tc>
      </w:tr>
      <w:tr w14:paraId="3369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21D96A26">
            <w:pPr>
              <w:snapToGrid w:val="0"/>
              <w:spacing w:after="0" w:line="240" w:lineRule="auto"/>
              <w:ind w:left="502" w:hanging="501" w:hangingChars="239"/>
              <w:jc w:val="both"/>
              <w:rPr>
                <w:color w:val="000000"/>
                <w:sz w:val="21"/>
                <w:lang w:eastAsia="zh-CN"/>
              </w:rPr>
            </w:pPr>
            <w:r>
              <w:rPr>
                <w:snapToGrid w:val="0"/>
                <w:color w:val="000000"/>
                <w:sz w:val="21"/>
                <w:szCs w:val="21"/>
                <w:lang w:eastAsia="zh-CN"/>
              </w:rPr>
              <w:t>(</w:t>
            </w:r>
            <w:r>
              <w:rPr>
                <w:color w:val="000000"/>
                <w:sz w:val="21"/>
                <w:lang w:eastAsia="zh-CN"/>
              </w:rPr>
              <w:t>g</w:t>
            </w:r>
            <w:r>
              <w:rPr>
                <w:snapToGrid w:val="0"/>
                <w:color w:val="000000"/>
                <w:sz w:val="21"/>
                <w:szCs w:val="21"/>
                <w:lang w:eastAsia="zh-CN"/>
              </w:rPr>
              <w:t>)</w:t>
            </w:r>
            <w:r>
              <w:rPr>
                <w:color w:val="000000"/>
                <w:sz w:val="21"/>
                <w:lang w:eastAsia="zh-CN"/>
              </w:rPr>
              <w:tab/>
            </w:r>
            <w:r>
              <w:rPr>
                <w:rFonts w:hint="eastAsia"/>
                <w:color w:val="000000"/>
                <w:sz w:val="21"/>
                <w:lang w:eastAsia="zh-CN"/>
              </w:rPr>
              <w:t>数据来源，如医院记录</w:t>
            </w:r>
          </w:p>
        </w:tc>
        <w:tc>
          <w:tcPr>
            <w:tcW w:w="1022" w:type="pct"/>
            <w:shd w:val="clear" w:color="auto" w:fill="FFFFFF"/>
          </w:tcPr>
          <w:p w14:paraId="0CBC9C03">
            <w:pPr>
              <w:snapToGrid w:val="0"/>
              <w:spacing w:after="0" w:line="240" w:lineRule="auto"/>
              <w:jc w:val="center"/>
              <w:rPr>
                <w:sz w:val="21"/>
              </w:rPr>
            </w:pPr>
            <w:r>
              <w:rPr>
                <w:rFonts w:hint="eastAsia"/>
                <w:b/>
                <w:color w:val="000000"/>
                <w:sz w:val="21"/>
              </w:rPr>
              <w:t>是或否或不适用</w:t>
            </w:r>
          </w:p>
        </w:tc>
      </w:tr>
      <w:tr w14:paraId="32C7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6948E965">
            <w:pPr>
              <w:snapToGrid w:val="0"/>
              <w:spacing w:after="0" w:line="240" w:lineRule="auto"/>
              <w:ind w:left="502" w:hanging="501" w:hangingChars="239"/>
              <w:jc w:val="both"/>
              <w:rPr>
                <w:color w:val="000000"/>
                <w:sz w:val="21"/>
                <w:lang w:eastAsia="zh-CN"/>
              </w:rPr>
            </w:pPr>
            <w:r>
              <w:rPr>
                <w:snapToGrid w:val="0"/>
                <w:color w:val="000000"/>
                <w:sz w:val="21"/>
                <w:szCs w:val="21"/>
                <w:lang w:eastAsia="zh-CN"/>
              </w:rPr>
              <w:t>(</w:t>
            </w:r>
            <w:r>
              <w:rPr>
                <w:color w:val="000000"/>
                <w:sz w:val="21"/>
                <w:lang w:eastAsia="zh-CN"/>
              </w:rPr>
              <w:t>h</w:t>
            </w:r>
            <w:r>
              <w:rPr>
                <w:snapToGrid w:val="0"/>
                <w:color w:val="000000"/>
                <w:sz w:val="21"/>
                <w:szCs w:val="21"/>
                <w:lang w:eastAsia="zh-CN"/>
              </w:rPr>
              <w:t>)</w:t>
            </w:r>
            <w:r>
              <w:rPr>
                <w:color w:val="000000"/>
                <w:sz w:val="21"/>
                <w:lang w:eastAsia="zh-CN"/>
              </w:rPr>
              <w:tab/>
            </w:r>
            <w:r>
              <w:rPr>
                <w:rFonts w:hint="eastAsia"/>
                <w:color w:val="000000"/>
                <w:sz w:val="21"/>
                <w:lang w:eastAsia="zh-CN"/>
              </w:rPr>
              <w:t>数据收集计划和表格</w:t>
            </w:r>
          </w:p>
        </w:tc>
        <w:tc>
          <w:tcPr>
            <w:tcW w:w="1022" w:type="pct"/>
            <w:shd w:val="clear" w:color="auto" w:fill="FFFFFF"/>
          </w:tcPr>
          <w:p w14:paraId="7F7D1D2C">
            <w:pPr>
              <w:snapToGrid w:val="0"/>
              <w:spacing w:after="0" w:line="240" w:lineRule="auto"/>
              <w:jc w:val="center"/>
              <w:rPr>
                <w:sz w:val="21"/>
              </w:rPr>
            </w:pPr>
            <w:r>
              <w:rPr>
                <w:rFonts w:hint="eastAsia"/>
                <w:b/>
                <w:color w:val="000000"/>
                <w:sz w:val="21"/>
              </w:rPr>
              <w:t>是或否或不适用</w:t>
            </w:r>
          </w:p>
        </w:tc>
      </w:tr>
      <w:tr w14:paraId="728A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2E51E1BE">
            <w:pPr>
              <w:pageBreakBefore/>
              <w:snapToGrid w:val="0"/>
              <w:spacing w:after="0" w:line="240" w:lineRule="auto"/>
              <w:ind w:left="502" w:hanging="501" w:hangingChars="239"/>
              <w:jc w:val="both"/>
              <w:rPr>
                <w:snapToGrid w:val="0"/>
                <w:color w:val="000000"/>
                <w:sz w:val="21"/>
                <w:szCs w:val="21"/>
                <w:lang w:eastAsia="zh-CN"/>
              </w:rPr>
            </w:pPr>
            <w:r>
              <w:rPr>
                <w:snapToGrid w:val="0"/>
                <w:color w:val="000000"/>
                <w:sz w:val="21"/>
                <w:szCs w:val="21"/>
                <w:lang w:eastAsia="zh-CN"/>
              </w:rPr>
              <w:t>(i)</w:t>
            </w:r>
            <w:r>
              <w:rPr>
                <w:snapToGrid w:val="0"/>
                <w:color w:val="000000"/>
                <w:sz w:val="21"/>
                <w:szCs w:val="21"/>
                <w:lang w:eastAsia="zh-CN"/>
              </w:rPr>
              <w:tab/>
            </w:r>
            <w:r>
              <w:rPr>
                <w:snapToGrid w:val="0"/>
                <w:color w:val="000000"/>
                <w:sz w:val="21"/>
                <w:szCs w:val="21"/>
                <w:lang w:eastAsia="zh-CN"/>
              </w:rPr>
              <w:t>知情同意</w:t>
            </w:r>
            <w:r>
              <w:rPr>
                <w:rFonts w:hint="eastAsia"/>
                <w:snapToGrid w:val="0"/>
                <w:color w:val="000000"/>
                <w:sz w:val="21"/>
                <w:szCs w:val="21"/>
                <w:lang w:eastAsia="zh-CN"/>
              </w:rPr>
              <w:t>书</w:t>
            </w:r>
            <w:r>
              <w:rPr>
                <w:snapToGrid w:val="0"/>
                <w:color w:val="000000"/>
                <w:sz w:val="21"/>
                <w:szCs w:val="21"/>
                <w:lang w:eastAsia="zh-CN"/>
              </w:rPr>
              <w:t>(如适用)</w:t>
            </w:r>
          </w:p>
        </w:tc>
        <w:tc>
          <w:tcPr>
            <w:tcW w:w="1022" w:type="pct"/>
            <w:shd w:val="clear" w:color="auto" w:fill="FFFFFF"/>
          </w:tcPr>
          <w:p w14:paraId="04DD6C9D">
            <w:pPr>
              <w:snapToGrid w:val="0"/>
              <w:spacing w:after="0" w:line="240" w:lineRule="auto"/>
              <w:jc w:val="center"/>
              <w:rPr>
                <w:b/>
                <w:bCs/>
                <w:snapToGrid w:val="0"/>
                <w:color w:val="000000"/>
                <w:sz w:val="21"/>
                <w:szCs w:val="21"/>
                <w:lang w:eastAsia="zh-CN"/>
              </w:rPr>
            </w:pPr>
            <w:r>
              <w:rPr>
                <w:b/>
                <w:snapToGrid w:val="0"/>
                <w:color w:val="000000"/>
                <w:sz w:val="21"/>
                <w:szCs w:val="21"/>
                <w:lang w:eastAsia="zh-CN"/>
              </w:rPr>
              <w:t>是或否或不适用</w:t>
            </w:r>
          </w:p>
        </w:tc>
      </w:tr>
      <w:tr w14:paraId="4590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35392C5C">
            <w:pPr>
              <w:snapToGrid w:val="0"/>
              <w:spacing w:after="0" w:line="240" w:lineRule="auto"/>
              <w:ind w:left="502" w:hanging="501" w:hangingChars="239"/>
              <w:jc w:val="both"/>
              <w:rPr>
                <w:snapToGrid w:val="0"/>
                <w:color w:val="000000"/>
                <w:sz w:val="21"/>
                <w:szCs w:val="21"/>
                <w:lang w:eastAsia="zh-CN"/>
              </w:rPr>
            </w:pPr>
            <w:r>
              <w:rPr>
                <w:snapToGrid w:val="0"/>
                <w:color w:val="000000"/>
                <w:sz w:val="21"/>
                <w:szCs w:val="21"/>
                <w:lang w:eastAsia="zh-CN"/>
              </w:rPr>
              <w:t>(j)</w:t>
            </w:r>
            <w:r>
              <w:rPr>
                <w:snapToGrid w:val="0"/>
                <w:color w:val="000000"/>
                <w:sz w:val="21"/>
                <w:szCs w:val="21"/>
                <w:lang w:eastAsia="zh-CN"/>
              </w:rPr>
              <w:tab/>
            </w:r>
            <w:r>
              <w:rPr>
                <w:snapToGrid w:val="0"/>
                <w:color w:val="000000"/>
                <w:sz w:val="21"/>
                <w:szCs w:val="21"/>
                <w:lang w:eastAsia="zh-CN"/>
              </w:rPr>
              <w:t>机构审查委员会信息(如适用)</w:t>
            </w:r>
          </w:p>
        </w:tc>
        <w:tc>
          <w:tcPr>
            <w:tcW w:w="1022" w:type="pct"/>
            <w:shd w:val="clear" w:color="auto" w:fill="FFFFFF"/>
          </w:tcPr>
          <w:p w14:paraId="22E7C950">
            <w:pPr>
              <w:snapToGrid w:val="0"/>
              <w:spacing w:after="0" w:line="240" w:lineRule="auto"/>
              <w:jc w:val="center"/>
              <w:rPr>
                <w:b/>
                <w:bCs/>
                <w:snapToGrid w:val="0"/>
                <w:color w:val="000000"/>
                <w:sz w:val="21"/>
                <w:szCs w:val="21"/>
                <w:lang w:eastAsia="zh-CN"/>
              </w:rPr>
            </w:pPr>
            <w:r>
              <w:rPr>
                <w:b/>
                <w:snapToGrid w:val="0"/>
                <w:color w:val="000000"/>
                <w:sz w:val="21"/>
                <w:szCs w:val="21"/>
                <w:lang w:eastAsia="zh-CN"/>
              </w:rPr>
              <w:t>是或否或不适用</w:t>
            </w:r>
          </w:p>
        </w:tc>
      </w:tr>
      <w:tr w14:paraId="76D9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159689AA">
            <w:pPr>
              <w:snapToGrid w:val="0"/>
              <w:spacing w:after="0" w:line="240" w:lineRule="auto"/>
              <w:ind w:left="502" w:hanging="501" w:hangingChars="239"/>
              <w:jc w:val="both"/>
              <w:rPr>
                <w:snapToGrid w:val="0"/>
                <w:color w:val="000000"/>
                <w:sz w:val="21"/>
                <w:szCs w:val="21"/>
                <w:lang w:eastAsia="zh-CN"/>
              </w:rPr>
            </w:pPr>
            <w:r>
              <w:rPr>
                <w:snapToGrid w:val="0"/>
                <w:color w:val="000000"/>
                <w:sz w:val="21"/>
                <w:szCs w:val="21"/>
                <w:lang w:eastAsia="zh-CN"/>
              </w:rPr>
              <w:t>(k)</w:t>
            </w:r>
            <w:r>
              <w:rPr>
                <w:snapToGrid w:val="0"/>
                <w:color w:val="000000"/>
                <w:sz w:val="21"/>
                <w:szCs w:val="21"/>
                <w:lang w:eastAsia="zh-CN"/>
              </w:rPr>
              <w:tab/>
            </w:r>
            <w:r>
              <w:rPr>
                <w:snapToGrid w:val="0"/>
                <w:color w:val="000000"/>
                <w:sz w:val="21"/>
                <w:szCs w:val="21"/>
                <w:lang w:eastAsia="zh-CN"/>
              </w:rPr>
              <w:t>患者随访计划(如适用)</w:t>
            </w:r>
          </w:p>
        </w:tc>
        <w:tc>
          <w:tcPr>
            <w:tcW w:w="1022" w:type="pct"/>
            <w:shd w:val="clear" w:color="auto" w:fill="FFFFFF"/>
          </w:tcPr>
          <w:p w14:paraId="500BBAA2">
            <w:pPr>
              <w:snapToGrid w:val="0"/>
              <w:spacing w:after="0" w:line="240" w:lineRule="auto"/>
              <w:jc w:val="center"/>
              <w:rPr>
                <w:b/>
                <w:bCs/>
                <w:snapToGrid w:val="0"/>
                <w:color w:val="000000"/>
                <w:sz w:val="21"/>
                <w:szCs w:val="21"/>
                <w:lang w:eastAsia="zh-CN"/>
              </w:rPr>
            </w:pPr>
            <w:r>
              <w:rPr>
                <w:b/>
                <w:snapToGrid w:val="0"/>
                <w:color w:val="000000"/>
                <w:sz w:val="21"/>
                <w:szCs w:val="21"/>
                <w:lang w:eastAsia="zh-CN"/>
              </w:rPr>
              <w:t>是或否或不适用</w:t>
            </w:r>
          </w:p>
        </w:tc>
      </w:tr>
      <w:tr w14:paraId="29FB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426332DA">
            <w:pPr>
              <w:snapToGrid w:val="0"/>
              <w:spacing w:after="0" w:line="240" w:lineRule="auto"/>
              <w:ind w:left="502" w:hanging="501" w:hangingChars="239"/>
              <w:jc w:val="both"/>
              <w:rPr>
                <w:snapToGrid w:val="0"/>
                <w:color w:val="000000"/>
                <w:sz w:val="21"/>
                <w:szCs w:val="21"/>
                <w:lang w:eastAsia="zh-CN"/>
              </w:rPr>
            </w:pPr>
            <w:r>
              <w:rPr>
                <w:snapToGrid w:val="0"/>
                <w:color w:val="000000"/>
                <w:sz w:val="21"/>
                <w:szCs w:val="21"/>
                <w:lang w:eastAsia="zh-CN"/>
              </w:rPr>
              <w:t>(l)</w:t>
            </w:r>
            <w:r>
              <w:rPr>
                <w:snapToGrid w:val="0"/>
                <w:color w:val="000000"/>
                <w:sz w:val="21"/>
                <w:szCs w:val="21"/>
                <w:lang w:eastAsia="zh-CN"/>
              </w:rPr>
              <w:tab/>
            </w:r>
            <w:r>
              <w:rPr>
                <w:snapToGrid w:val="0"/>
                <w:color w:val="000000"/>
                <w:sz w:val="21"/>
                <w:szCs w:val="21"/>
                <w:lang w:eastAsia="zh-CN"/>
              </w:rPr>
              <w:t>监督监控行为和进展的程序</w:t>
            </w:r>
          </w:p>
        </w:tc>
        <w:tc>
          <w:tcPr>
            <w:tcW w:w="1022" w:type="pct"/>
            <w:shd w:val="clear" w:color="auto" w:fill="FFFFFF"/>
          </w:tcPr>
          <w:p w14:paraId="0CC77090">
            <w:pPr>
              <w:snapToGrid w:val="0"/>
              <w:spacing w:after="0" w:line="240" w:lineRule="auto"/>
              <w:jc w:val="center"/>
              <w:rPr>
                <w:b/>
                <w:bCs/>
                <w:snapToGrid w:val="0"/>
                <w:color w:val="000000"/>
                <w:sz w:val="21"/>
                <w:szCs w:val="21"/>
                <w:lang w:eastAsia="zh-CN"/>
              </w:rPr>
            </w:pPr>
            <w:r>
              <w:rPr>
                <w:b/>
                <w:snapToGrid w:val="0"/>
                <w:color w:val="000000"/>
                <w:sz w:val="21"/>
                <w:szCs w:val="21"/>
                <w:lang w:eastAsia="zh-CN"/>
              </w:rPr>
              <w:t>是或否或不适用</w:t>
            </w:r>
          </w:p>
        </w:tc>
      </w:tr>
      <w:tr w14:paraId="27D1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42031B1A">
            <w:pPr>
              <w:overflowPunct w:val="0"/>
              <w:snapToGrid w:val="0"/>
              <w:spacing w:after="0" w:line="240" w:lineRule="auto"/>
              <w:ind w:left="502" w:hanging="501" w:hangingChars="239"/>
              <w:jc w:val="both"/>
              <w:rPr>
                <w:snapToGrid w:val="0"/>
                <w:color w:val="000000"/>
                <w:sz w:val="21"/>
                <w:szCs w:val="21"/>
                <w:lang w:eastAsia="zh-CN"/>
              </w:rPr>
            </w:pPr>
            <w:r>
              <w:rPr>
                <w:snapToGrid w:val="0"/>
                <w:color w:val="000000"/>
                <w:sz w:val="21"/>
                <w:szCs w:val="21"/>
                <w:lang w:eastAsia="zh-CN"/>
              </w:rPr>
              <w:t>(m)</w:t>
            </w:r>
            <w:r>
              <w:rPr>
                <w:snapToGrid w:val="0"/>
                <w:color w:val="000000"/>
                <w:sz w:val="21"/>
                <w:szCs w:val="21"/>
                <w:lang w:eastAsia="zh-CN"/>
              </w:rPr>
              <w:tab/>
            </w:r>
            <w:r>
              <w:rPr>
                <w:snapToGrid w:val="0"/>
                <w:color w:val="000000"/>
                <w:sz w:val="21"/>
                <w:szCs w:val="21"/>
                <w:lang w:eastAsia="zh-CN"/>
              </w:rPr>
              <w:t>对监督持续时间的估计，例如时间节点的时间表</w:t>
            </w:r>
          </w:p>
        </w:tc>
        <w:tc>
          <w:tcPr>
            <w:tcW w:w="1022" w:type="pct"/>
            <w:shd w:val="clear" w:color="auto" w:fill="FFFFFF"/>
          </w:tcPr>
          <w:p w14:paraId="038F0148">
            <w:pPr>
              <w:snapToGrid w:val="0"/>
              <w:spacing w:after="0" w:line="240" w:lineRule="auto"/>
              <w:jc w:val="center"/>
              <w:rPr>
                <w:b/>
                <w:bCs/>
                <w:snapToGrid w:val="0"/>
                <w:color w:val="000000"/>
                <w:sz w:val="21"/>
                <w:szCs w:val="21"/>
                <w:lang w:eastAsia="zh-CN"/>
              </w:rPr>
            </w:pPr>
            <w:r>
              <w:rPr>
                <w:b/>
                <w:snapToGrid w:val="0"/>
                <w:color w:val="000000"/>
                <w:sz w:val="21"/>
                <w:szCs w:val="21"/>
                <w:lang w:eastAsia="zh-CN"/>
              </w:rPr>
              <w:t>是或否或不适用</w:t>
            </w:r>
          </w:p>
        </w:tc>
      </w:tr>
      <w:tr w14:paraId="4839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01ADCF67">
            <w:pPr>
              <w:snapToGrid w:val="0"/>
              <w:spacing w:after="0" w:line="240" w:lineRule="auto"/>
              <w:ind w:left="502" w:hanging="501" w:hangingChars="239"/>
              <w:jc w:val="both"/>
              <w:rPr>
                <w:snapToGrid w:val="0"/>
                <w:color w:val="000000"/>
                <w:sz w:val="21"/>
                <w:szCs w:val="21"/>
                <w:lang w:eastAsia="zh-CN"/>
              </w:rPr>
            </w:pPr>
            <w:r>
              <w:rPr>
                <w:snapToGrid w:val="0"/>
                <w:color w:val="000000"/>
                <w:sz w:val="21"/>
                <w:szCs w:val="21"/>
                <w:lang w:eastAsia="zh-CN"/>
              </w:rPr>
              <w:t>(n)</w:t>
            </w:r>
            <w:r>
              <w:rPr>
                <w:snapToGrid w:val="0"/>
                <w:color w:val="000000"/>
                <w:sz w:val="21"/>
                <w:szCs w:val="21"/>
                <w:lang w:eastAsia="zh-CN"/>
              </w:rPr>
              <w:tab/>
            </w:r>
            <w:r>
              <w:rPr>
                <w:snapToGrid w:val="0"/>
                <w:color w:val="000000"/>
                <w:sz w:val="21"/>
                <w:szCs w:val="21"/>
                <w:lang w:eastAsia="zh-CN"/>
              </w:rPr>
              <w:t>计划进行的所有数据分析和统计测试</w:t>
            </w:r>
          </w:p>
        </w:tc>
        <w:tc>
          <w:tcPr>
            <w:tcW w:w="1022" w:type="pct"/>
            <w:shd w:val="clear" w:color="auto" w:fill="FFFFFF"/>
          </w:tcPr>
          <w:p w14:paraId="2ABCC40B">
            <w:pPr>
              <w:snapToGrid w:val="0"/>
              <w:spacing w:after="0" w:line="240" w:lineRule="auto"/>
              <w:jc w:val="center"/>
              <w:rPr>
                <w:b/>
                <w:bCs/>
                <w:snapToGrid w:val="0"/>
                <w:color w:val="000000"/>
                <w:sz w:val="21"/>
                <w:szCs w:val="21"/>
                <w:lang w:eastAsia="zh-CN"/>
              </w:rPr>
            </w:pPr>
            <w:r>
              <w:rPr>
                <w:b/>
                <w:snapToGrid w:val="0"/>
                <w:color w:val="000000"/>
                <w:sz w:val="21"/>
                <w:szCs w:val="21"/>
                <w:lang w:eastAsia="zh-CN"/>
              </w:rPr>
              <w:t>是或否或不适用</w:t>
            </w:r>
          </w:p>
        </w:tc>
      </w:tr>
      <w:tr w14:paraId="58D0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978" w:type="pct"/>
            <w:shd w:val="clear" w:color="auto" w:fill="FFFFFF"/>
          </w:tcPr>
          <w:p w14:paraId="046393CA">
            <w:pPr>
              <w:snapToGrid w:val="0"/>
              <w:spacing w:after="0" w:line="240" w:lineRule="auto"/>
              <w:ind w:left="502" w:hanging="501" w:hangingChars="239"/>
              <w:jc w:val="both"/>
              <w:rPr>
                <w:snapToGrid w:val="0"/>
                <w:color w:val="000000"/>
                <w:sz w:val="21"/>
                <w:szCs w:val="21"/>
                <w:lang w:eastAsia="zh-CN"/>
              </w:rPr>
            </w:pPr>
            <w:r>
              <w:rPr>
                <w:snapToGrid w:val="0"/>
                <w:color w:val="000000"/>
                <w:sz w:val="21"/>
                <w:szCs w:val="21"/>
                <w:lang w:eastAsia="zh-CN"/>
              </w:rPr>
              <w:t>(o)</w:t>
            </w:r>
            <w:r>
              <w:rPr>
                <w:snapToGrid w:val="0"/>
                <w:color w:val="000000"/>
                <w:sz w:val="21"/>
                <w:szCs w:val="21"/>
                <w:lang w:eastAsia="zh-CN"/>
              </w:rPr>
              <w:tab/>
            </w:r>
            <w:r>
              <w:rPr>
                <w:snapToGrid w:val="0"/>
                <w:color w:val="000000"/>
                <w:sz w:val="21"/>
                <w:szCs w:val="21"/>
                <w:lang w:eastAsia="zh-CN"/>
              </w:rPr>
              <w:t>报告的内容和时间安排，如报告时间表</w:t>
            </w:r>
          </w:p>
        </w:tc>
        <w:tc>
          <w:tcPr>
            <w:tcW w:w="1022" w:type="pct"/>
            <w:shd w:val="clear" w:color="auto" w:fill="FFFFFF"/>
          </w:tcPr>
          <w:p w14:paraId="59E3A02F">
            <w:pPr>
              <w:snapToGrid w:val="0"/>
              <w:spacing w:after="0" w:line="240" w:lineRule="auto"/>
              <w:jc w:val="center"/>
              <w:rPr>
                <w:b/>
                <w:bCs/>
                <w:snapToGrid w:val="0"/>
                <w:color w:val="000000"/>
                <w:sz w:val="21"/>
                <w:szCs w:val="21"/>
                <w:lang w:eastAsia="zh-CN"/>
              </w:rPr>
            </w:pPr>
            <w:r>
              <w:rPr>
                <w:b/>
                <w:snapToGrid w:val="0"/>
                <w:color w:val="000000"/>
                <w:sz w:val="21"/>
                <w:szCs w:val="21"/>
                <w:lang w:eastAsia="zh-CN"/>
              </w:rPr>
              <w:t>是或否或不适用</w:t>
            </w:r>
          </w:p>
        </w:tc>
      </w:tr>
    </w:tbl>
    <w:p w14:paraId="42BFA281">
      <w:pPr>
        <w:snapToGrid w:val="0"/>
        <w:spacing w:after="0" w:line="240" w:lineRule="auto"/>
        <w:jc w:val="both"/>
        <w:rPr>
          <w:lang w:eastAsia="zh-CN"/>
        </w:rPr>
      </w:pPr>
    </w:p>
    <w:p w14:paraId="651DC55B">
      <w:pPr>
        <w:pBdr>
          <w:bottom w:val="single" w:color="auto" w:sz="4" w:space="1"/>
        </w:pBdr>
        <w:snapToGrid w:val="0"/>
        <w:spacing w:after="0" w:line="240" w:lineRule="auto"/>
        <w:jc w:val="center"/>
        <w:rPr>
          <w:rFonts w:hint="eastAsia" w:eastAsia="宋体"/>
          <w:lang w:eastAsia="zh-CN"/>
        </w:rPr>
      </w:pPr>
    </w:p>
    <w:p w14:paraId="33A544D1">
      <w:pPr>
        <w:pBdr>
          <w:bottom w:val="single" w:color="auto" w:sz="4" w:space="1"/>
        </w:pBdr>
        <w:snapToGrid w:val="0"/>
        <w:spacing w:after="0" w:line="240" w:lineRule="auto"/>
        <w:jc w:val="center"/>
        <w:rPr>
          <w:rFonts w:hint="eastAsia" w:eastAsia="宋体"/>
          <w:lang w:eastAsia="zh-CN"/>
        </w:rPr>
      </w:pPr>
    </w:p>
    <w:p w14:paraId="22F5C4EC">
      <w:pPr>
        <w:pBdr>
          <w:bottom w:val="single" w:color="auto" w:sz="4" w:space="1"/>
        </w:pBdr>
        <w:snapToGrid w:val="0"/>
        <w:spacing w:after="0" w:line="24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3"/>
                    <a:stretch>
                      <a:fillRect/>
                    </a:stretch>
                  </pic:blipFill>
                  <pic:spPr>
                    <a:xfrm>
                      <a:off x="0" y="0"/>
                      <a:ext cx="5210175" cy="7343775"/>
                    </a:xfrm>
                    <a:prstGeom prst="rect">
                      <a:avLst/>
                    </a:prstGeom>
                  </pic:spPr>
                </pic:pic>
              </a:graphicData>
            </a:graphic>
          </wp:inline>
        </w:drawing>
      </w:r>
    </w:p>
    <w:sectPr>
      <w:pgSz w:w="11907" w:h="16840"/>
      <w:pgMar w:top="1134" w:right="1134" w:bottom="1134" w:left="1418" w:header="567" w:footer="567"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D9BDECA-5D10-4767-B1BF-585B58C15022}"/>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89A9D">
    <w:pPr>
      <w:snapToGrid w:val="0"/>
      <w:spacing w:after="0" w:line="240" w:lineRule="auto"/>
      <w:jc w:val="right"/>
      <w:rPr>
        <w:sz w:val="21"/>
      </w:rPr>
    </w:pPr>
    <w:r>
      <w:rPr>
        <w:sz w:val="21"/>
      </w:rPr>
      <w:fldChar w:fldCharType="begin"/>
    </w:r>
    <w:r>
      <w:rPr>
        <w:rFonts w:eastAsia="Times New Roman"/>
        <w:sz w:val="21"/>
        <w:szCs w:val="21"/>
      </w:rPr>
      <w:instrText xml:space="preserve"> PAGE </w:instrText>
    </w:r>
    <w:r>
      <w:rPr>
        <w:sz w:val="21"/>
      </w:rPr>
      <w:fldChar w:fldCharType="separate"/>
    </w:r>
    <w:r>
      <w:rPr>
        <w:rFonts w:eastAsia="Times New Roman"/>
        <w:sz w:val="21"/>
        <w:szCs w:val="21"/>
      </w:rPr>
      <w:t>1</w:t>
    </w:r>
    <w:r>
      <w:rPr>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3A17">
    <w:pPr>
      <w:pStyle w:val="8"/>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48B8A">
    <w:pPr>
      <w:pStyle w:val="8"/>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8">
    <w:p>
      <w:pPr>
        <w:spacing w:before="0" w:after="0" w:line="276" w:lineRule="auto"/>
      </w:pPr>
      <w:r>
        <w:separator/>
      </w:r>
    </w:p>
  </w:footnote>
  <w:footnote w:type="continuationSeparator" w:id="99">
    <w:p>
      <w:pPr>
        <w:spacing w:before="0" w:after="0" w:line="276" w:lineRule="auto"/>
      </w:pPr>
      <w:r>
        <w:continuationSeparator/>
      </w:r>
    </w:p>
  </w:footnote>
  <w:footnote w:id="0">
    <w:p w14:paraId="305975C1">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snapToGrid w:val="0"/>
          <w:sz w:val="21"/>
          <w:szCs w:val="21"/>
          <w:lang w:eastAsia="zh-CN"/>
        </w:rPr>
        <w:t>《美国联邦法规》第21篇第822.3(i)节。</w:t>
      </w:r>
    </w:p>
  </w:footnote>
  <w:footnote w:id="1">
    <w:p w14:paraId="2A3864EC">
      <w:pPr>
        <w:pStyle w:val="11"/>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w:t>
      </w:r>
      <w:r>
        <w:rPr>
          <w:snapToGrid w:val="0"/>
          <w:sz w:val="21"/>
          <w:szCs w:val="21"/>
          <w:lang w:eastAsia="zh-CN"/>
        </w:rPr>
        <w:t>参见《美国联邦法规》第21篇第822节，了解《FD&amp;C法案》第522节规定下的整套上市后监督程序和要求。</w:t>
      </w:r>
    </w:p>
  </w:footnote>
  <w:footnote w:id="2">
    <w:p w14:paraId="06F7C44F">
      <w:pPr>
        <w:snapToGrid w:val="0"/>
        <w:spacing w:after="0" w:line="240" w:lineRule="auto"/>
        <w:jc w:val="both"/>
        <w:rPr>
          <w:snapToGrid w:val="0"/>
          <w:sz w:val="21"/>
          <w:szCs w:val="21"/>
          <w:lang w:eastAsia="zh-CN"/>
        </w:rPr>
      </w:pPr>
      <w:r>
        <w:rPr>
          <w:snapToGrid w:val="0"/>
          <w:sz w:val="21"/>
          <w:szCs w:val="21"/>
          <w:vertAlign w:val="superscript"/>
          <w:lang w:eastAsia="zh-CN"/>
        </w:rPr>
        <w:footnoteRef/>
      </w:r>
      <w:r>
        <w:rPr>
          <w:rFonts w:hint="eastAsia"/>
          <w:snapToGrid w:val="0"/>
          <w:sz w:val="21"/>
          <w:szCs w:val="21"/>
          <w:lang w:eastAsia="zh-CN"/>
        </w:rPr>
        <w:t xml:space="preserve"> 第522节上市后监督计划网站</w:t>
      </w:r>
      <w:r>
        <w:rPr>
          <w:rFonts w:hint="eastAsia"/>
        </w:rPr>
        <w:fldChar w:fldCharType="begin"/>
      </w:r>
      <w:r>
        <w:rPr>
          <w:rFonts w:hint="eastAsia"/>
          <w:snapToGrid w:val="0"/>
          <w:sz w:val="21"/>
          <w:szCs w:val="21"/>
          <w:lang w:eastAsia="zh-CN"/>
        </w:rPr>
        <w:instrText xml:space="preserve"> HYPERLINK "https://www.accessdata.fda.gov/scripts/cdrh/cfdocs/cfpma/pss.cfm" </w:instrText>
      </w:r>
      <w:r>
        <w:rPr>
          <w:rFonts w:hint="eastAsia"/>
        </w:rPr>
        <w:fldChar w:fldCharType="separate"/>
      </w:r>
      <w:r>
        <w:rPr>
          <w:rStyle w:val="16"/>
          <w:rFonts w:hint="eastAsia"/>
          <w:snapToGrid w:val="0"/>
          <w:sz w:val="21"/>
          <w:szCs w:val="21"/>
          <w:u w:color="0000FF"/>
          <w:lang w:eastAsia="zh-CN"/>
        </w:rPr>
        <w:t>https://www.accessdata.fda.gov/scripts/cdrh/cfdocs/cfpma/pss.cfm</w:t>
      </w:r>
      <w:r>
        <w:rPr>
          <w:rStyle w:val="16"/>
          <w:rFonts w:hint="eastAsia"/>
          <w:snapToGrid w:val="0"/>
          <w:sz w:val="21"/>
          <w:szCs w:val="21"/>
          <w:u w:color="0000FF"/>
          <w:lang w:eastAsia="zh-CN"/>
        </w:rPr>
        <w:fldChar w:fldCharType="end"/>
      </w:r>
      <w:r>
        <w:rPr>
          <w:rFonts w:hint="eastAsia"/>
          <w:snapToGrid w:val="0"/>
          <w:sz w:val="21"/>
          <w:szCs w:val="21"/>
          <w:u w:val="single"/>
          <w:lang w:eastAsia="zh-CN"/>
        </w:rPr>
        <w:t>。</w:t>
      </w:r>
    </w:p>
  </w:footnote>
  <w:footnote w:id="3">
    <w:p w14:paraId="36F1A9B6">
      <w:pPr>
        <w:snapToGrid w:val="0"/>
        <w:spacing w:after="0" w:line="240" w:lineRule="auto"/>
        <w:jc w:val="both"/>
        <w:rPr>
          <w:snapToGrid w:val="0"/>
          <w:sz w:val="21"/>
          <w:szCs w:val="21"/>
          <w:lang w:eastAsia="zh-CN"/>
        </w:rPr>
      </w:pPr>
      <w:r>
        <w:rPr>
          <w:snapToGrid w:val="0"/>
          <w:sz w:val="21"/>
          <w:szCs w:val="21"/>
          <w:vertAlign w:val="superscript"/>
          <w:lang w:eastAsia="zh-CN"/>
        </w:rPr>
        <w:footnoteRef/>
      </w:r>
      <w:r>
        <w:rPr>
          <w:rFonts w:hint="eastAsia"/>
          <w:snapToGrid w:val="0"/>
          <w:sz w:val="21"/>
          <w:szCs w:val="21"/>
          <w:lang w:eastAsia="zh-CN"/>
        </w:rPr>
        <w:t xml:space="preserve"> 第</w:t>
      </w:r>
      <w:r>
        <w:rPr>
          <w:snapToGrid w:val="0"/>
          <w:sz w:val="21"/>
          <w:szCs w:val="21"/>
          <w:lang w:eastAsia="zh-CN"/>
        </w:rPr>
        <w:t>522(a)(1)(A)(ii)</w:t>
      </w:r>
      <w:r>
        <w:rPr>
          <w:rFonts w:hint="eastAsia"/>
          <w:snapToGrid w:val="0"/>
          <w:sz w:val="21"/>
          <w:szCs w:val="21"/>
          <w:lang w:eastAsia="zh-CN"/>
        </w:rPr>
        <w:t>和</w:t>
      </w:r>
      <w:r>
        <w:rPr>
          <w:snapToGrid w:val="0"/>
          <w:sz w:val="21"/>
          <w:szCs w:val="21"/>
          <w:lang w:eastAsia="zh-CN"/>
        </w:rPr>
        <w:t>522(a)(1)(B)</w:t>
      </w:r>
      <w:r>
        <w:rPr>
          <w:rFonts w:hint="eastAsia"/>
          <w:snapToGrid w:val="0"/>
          <w:sz w:val="21"/>
          <w:szCs w:val="21"/>
          <w:lang w:eastAsia="zh-CN"/>
        </w:rPr>
        <w:t>节</w:t>
      </w:r>
    </w:p>
  </w:footnote>
  <w:footnote w:id="4">
    <w:p w14:paraId="3E6F8E69">
      <w:pPr>
        <w:snapToGrid w:val="0"/>
        <w:spacing w:after="0" w:line="240" w:lineRule="auto"/>
        <w:jc w:val="both"/>
        <w:rPr>
          <w:snapToGrid w:val="0"/>
          <w:sz w:val="21"/>
          <w:szCs w:val="21"/>
          <w:lang w:eastAsia="zh-CN"/>
        </w:rPr>
      </w:pPr>
      <w:r>
        <w:rPr>
          <w:snapToGrid w:val="0"/>
          <w:sz w:val="21"/>
          <w:szCs w:val="21"/>
          <w:vertAlign w:val="superscript"/>
          <w:lang w:eastAsia="zh-CN"/>
        </w:rPr>
        <w:footnoteRef/>
      </w:r>
      <w:r>
        <w:rPr>
          <w:rFonts w:hint="eastAsia"/>
          <w:snapToGrid w:val="0"/>
          <w:sz w:val="21"/>
          <w:szCs w:val="21"/>
          <w:lang w:eastAsia="zh-CN"/>
        </w:rPr>
        <w:t xml:space="preserve"> 由于《FD&amp;C法案》第522节未对</w:t>
      </w:r>
      <w:r>
        <w:rPr>
          <w:rFonts w:hint="eastAsia" w:ascii="宋体" w:hAnsi="宋体"/>
          <w:snapToGrid w:val="0"/>
          <w:sz w:val="21"/>
          <w:szCs w:val="21"/>
          <w:lang w:eastAsia="zh-CN"/>
        </w:rPr>
        <w:t>“</w:t>
      </w:r>
      <w:r>
        <w:rPr>
          <w:rFonts w:hint="eastAsia"/>
          <w:snapToGrid w:val="0"/>
          <w:sz w:val="21"/>
          <w:szCs w:val="21"/>
          <w:lang w:eastAsia="zh-CN"/>
        </w:rPr>
        <w:t>儿科人群</w:t>
      </w:r>
      <w:r>
        <w:rPr>
          <w:rFonts w:hint="eastAsia" w:ascii="宋体" w:hAnsi="宋体"/>
          <w:snapToGrid w:val="0"/>
          <w:sz w:val="21"/>
          <w:szCs w:val="21"/>
          <w:lang w:eastAsia="zh-CN"/>
        </w:rPr>
        <w:t>”</w:t>
      </w:r>
      <w:r>
        <w:rPr>
          <w:rFonts w:hint="eastAsia"/>
          <w:snapToGrid w:val="0"/>
          <w:sz w:val="21"/>
          <w:szCs w:val="21"/>
          <w:lang w:eastAsia="zh-CN"/>
        </w:rPr>
        <w:t>进行定义，出于522指令的目的，FDA将儿科人群定义为诊断或治疗时年龄在21岁或以下的患者，即从出生到21岁但不满22岁的患者。该定义与《FD&amp;C法案》第</w:t>
      </w:r>
      <w:r>
        <w:rPr>
          <w:snapToGrid w:val="0"/>
          <w:sz w:val="21"/>
          <w:szCs w:val="21"/>
          <w:lang w:eastAsia="zh-CN"/>
        </w:rPr>
        <w:t>520(m)(6)(E)(i)</w:t>
      </w:r>
      <w:r>
        <w:rPr>
          <w:rFonts w:hint="eastAsia"/>
          <w:snapToGrid w:val="0"/>
          <w:sz w:val="21"/>
          <w:szCs w:val="21"/>
          <w:lang w:eastAsia="zh-CN"/>
        </w:rPr>
        <w:t>节中</w:t>
      </w:r>
      <w:r>
        <w:rPr>
          <w:rFonts w:hint="eastAsia" w:ascii="宋体" w:hAnsi="宋体"/>
          <w:snapToGrid w:val="0"/>
          <w:sz w:val="21"/>
          <w:szCs w:val="21"/>
          <w:lang w:eastAsia="zh-CN"/>
        </w:rPr>
        <w:t>“</w:t>
      </w:r>
      <w:r>
        <w:rPr>
          <w:rFonts w:hint="eastAsia"/>
          <w:snapToGrid w:val="0"/>
          <w:sz w:val="21"/>
          <w:szCs w:val="21"/>
          <w:lang w:eastAsia="zh-CN"/>
        </w:rPr>
        <w:t>儿科患者</w:t>
      </w:r>
      <w:r>
        <w:rPr>
          <w:rFonts w:hint="eastAsia" w:ascii="宋体" w:hAnsi="宋体"/>
          <w:snapToGrid w:val="0"/>
          <w:sz w:val="21"/>
          <w:szCs w:val="21"/>
          <w:lang w:eastAsia="zh-CN"/>
        </w:rPr>
        <w:t>”</w:t>
      </w:r>
      <w:r>
        <w:rPr>
          <w:rFonts w:hint="eastAsia"/>
          <w:snapToGrid w:val="0"/>
          <w:sz w:val="21"/>
          <w:szCs w:val="21"/>
          <w:lang w:eastAsia="zh-CN"/>
        </w:rPr>
        <w:t>的定义一致，并作为第522节的儿科使用标准同时添加至《FD&amp;C法案》。</w:t>
      </w:r>
    </w:p>
  </w:footnote>
  <w:footnote w:id="5">
    <w:p w14:paraId="22D1E43C">
      <w:pPr>
        <w:snapToGrid w:val="0"/>
        <w:spacing w:after="0" w:line="240" w:lineRule="auto"/>
        <w:jc w:val="both"/>
        <w:rPr>
          <w:snapToGrid w:val="0"/>
          <w:sz w:val="21"/>
          <w:szCs w:val="21"/>
          <w:lang w:eastAsia="zh-CN"/>
        </w:rPr>
      </w:pPr>
      <w:r>
        <w:rPr>
          <w:snapToGrid w:val="0"/>
          <w:sz w:val="21"/>
          <w:szCs w:val="21"/>
          <w:vertAlign w:val="superscript"/>
          <w:lang w:eastAsia="zh-CN"/>
        </w:rPr>
        <w:footnoteRef/>
      </w:r>
      <w:r>
        <w:rPr>
          <w:snapToGrid w:val="0"/>
          <w:sz w:val="21"/>
          <w:szCs w:val="21"/>
          <w:lang w:eastAsia="zh-CN"/>
        </w:rPr>
        <w:t xml:space="preserve"> </w:t>
      </w:r>
      <w:r>
        <w:rPr>
          <w:rFonts w:hint="eastAsia"/>
          <w:snapToGrid w:val="0"/>
          <w:sz w:val="21"/>
          <w:szCs w:val="21"/>
          <w:lang w:eastAsia="zh-CN"/>
        </w:rPr>
        <w:t>《美国联邦法规》第21篇第822.5节。</w:t>
      </w:r>
    </w:p>
  </w:footnote>
  <w:footnote w:id="6">
    <w:p w14:paraId="036D3E24">
      <w:pPr>
        <w:snapToGrid w:val="0"/>
        <w:spacing w:after="0" w:line="240" w:lineRule="auto"/>
        <w:jc w:val="both"/>
        <w:rPr>
          <w:snapToGrid w:val="0"/>
          <w:sz w:val="21"/>
          <w:szCs w:val="21"/>
          <w:lang w:eastAsia="zh-CN"/>
        </w:rPr>
      </w:pPr>
      <w:r>
        <w:rPr>
          <w:snapToGrid w:val="0"/>
          <w:sz w:val="21"/>
          <w:szCs w:val="21"/>
          <w:vertAlign w:val="superscript"/>
          <w:lang w:eastAsia="zh-CN"/>
        </w:rPr>
        <w:footnoteRef/>
      </w:r>
      <w:r>
        <w:rPr>
          <w:snapToGrid w:val="0"/>
          <w:sz w:val="21"/>
          <w:szCs w:val="21"/>
          <w:lang w:eastAsia="zh-CN"/>
        </w:rPr>
        <w:t xml:space="preserve"> </w:t>
      </w:r>
      <w:r>
        <w:rPr>
          <w:rFonts w:hint="eastAsia"/>
          <w:i/>
          <w:snapToGrid w:val="0"/>
          <w:sz w:val="21"/>
          <w:szCs w:val="21"/>
          <w:lang w:eastAsia="zh-CN"/>
        </w:rPr>
        <w:t>Ibid</w:t>
      </w:r>
    </w:p>
  </w:footnote>
  <w:footnote w:id="7">
    <w:p w14:paraId="6322EA7C">
      <w:pPr>
        <w:snapToGrid w:val="0"/>
        <w:spacing w:after="0" w:line="240" w:lineRule="auto"/>
        <w:jc w:val="both"/>
        <w:rPr>
          <w:lang w:eastAsia="zh-CN"/>
        </w:rPr>
      </w:pPr>
      <w:r>
        <w:rPr>
          <w:snapToGrid w:val="0"/>
          <w:sz w:val="21"/>
          <w:szCs w:val="21"/>
          <w:vertAlign w:val="superscript"/>
          <w:lang w:eastAsia="zh-CN"/>
        </w:rPr>
        <w:footnoteRef/>
      </w:r>
      <w:r>
        <w:rPr>
          <w:rFonts w:hint="eastAsia"/>
          <w:snapToGrid w:val="0"/>
          <w:sz w:val="21"/>
          <w:szCs w:val="21"/>
          <w:lang w:eastAsia="zh-CN"/>
        </w:rPr>
        <w:t xml:space="preserve"> 对于非临床监督/研究数据，累积时间节点报告可用于追踪进程。</w:t>
      </w:r>
    </w:p>
  </w:footnote>
  <w:footnote w:id="8">
    <w:p w14:paraId="67040845">
      <w:pPr>
        <w:pStyle w:val="11"/>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见《美国联邦法规》第21篇第822.8节。</w:t>
      </w:r>
    </w:p>
  </w:footnote>
  <w:footnote w:id="9">
    <w:p w14:paraId="0C586960">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《FD&amp;C法案》第</w:t>
      </w:r>
      <w:r>
        <w:rPr>
          <w:snapToGrid w:val="0"/>
          <w:sz w:val="21"/>
          <w:szCs w:val="21"/>
          <w:lang w:eastAsia="zh-CN"/>
        </w:rPr>
        <w:t>522(b)(1)</w:t>
      </w:r>
      <w:r>
        <w:rPr>
          <w:rFonts w:hint="eastAsia"/>
          <w:snapToGrid w:val="0"/>
          <w:sz w:val="21"/>
          <w:szCs w:val="21"/>
          <w:lang w:eastAsia="zh-CN"/>
        </w:rPr>
        <w:t>节和《美国联邦法规》第21篇第822.8节</w:t>
      </w:r>
    </w:p>
  </w:footnote>
  <w:footnote w:id="10">
    <w:p w14:paraId="380AC5DB">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822.10(a)</w:t>
      </w:r>
      <w:r>
        <w:rPr>
          <w:rFonts w:hint="eastAsia"/>
          <w:snapToGrid w:val="0"/>
          <w:sz w:val="21"/>
          <w:szCs w:val="21"/>
          <w:lang w:eastAsia="zh-CN"/>
        </w:rPr>
        <w:t>节</w:t>
      </w:r>
    </w:p>
  </w:footnote>
  <w:footnote w:id="11">
    <w:p w14:paraId="6F69076B">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822.10(d)</w:t>
      </w:r>
      <w:r>
        <w:rPr>
          <w:rFonts w:hint="eastAsia"/>
          <w:snapToGrid w:val="0"/>
          <w:sz w:val="21"/>
          <w:szCs w:val="21"/>
          <w:lang w:eastAsia="zh-CN"/>
        </w:rPr>
        <w:t>节</w:t>
      </w:r>
    </w:p>
  </w:footnote>
  <w:footnote w:id="12">
    <w:p w14:paraId="7A79FEEB">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822.10(b)</w:t>
      </w:r>
      <w:r>
        <w:rPr>
          <w:rFonts w:hint="eastAsia"/>
          <w:snapToGrid w:val="0"/>
          <w:sz w:val="21"/>
          <w:szCs w:val="21"/>
          <w:lang w:eastAsia="zh-CN"/>
        </w:rPr>
        <w:t>节</w:t>
      </w:r>
    </w:p>
  </w:footnote>
  <w:footnote w:id="13">
    <w:p w14:paraId="32A78099">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822.10(c)</w:t>
      </w:r>
      <w:r>
        <w:rPr>
          <w:rFonts w:hint="eastAsia"/>
          <w:snapToGrid w:val="0"/>
          <w:sz w:val="21"/>
          <w:szCs w:val="21"/>
          <w:lang w:eastAsia="zh-CN"/>
        </w:rPr>
        <w:t>节</w:t>
      </w:r>
    </w:p>
  </w:footnote>
  <w:footnote w:id="14">
    <w:p w14:paraId="45CB0243">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822.10(e)</w:t>
      </w:r>
      <w:r>
        <w:rPr>
          <w:rFonts w:hint="eastAsia"/>
          <w:snapToGrid w:val="0"/>
          <w:sz w:val="21"/>
          <w:szCs w:val="21"/>
          <w:lang w:eastAsia="zh-CN"/>
        </w:rPr>
        <w:t>节</w:t>
      </w:r>
    </w:p>
  </w:footnote>
  <w:footnote w:id="15">
    <w:p w14:paraId="274A3B06">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822.10(g)</w:t>
      </w:r>
      <w:r>
        <w:rPr>
          <w:rFonts w:hint="eastAsia"/>
          <w:snapToGrid w:val="0"/>
          <w:sz w:val="21"/>
          <w:szCs w:val="21"/>
          <w:lang w:eastAsia="zh-CN"/>
        </w:rPr>
        <w:t>节</w:t>
      </w:r>
    </w:p>
  </w:footnote>
  <w:footnote w:id="16">
    <w:p w14:paraId="5CCAB66E">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822.10(h)</w:t>
      </w:r>
      <w:r>
        <w:rPr>
          <w:rFonts w:hint="eastAsia"/>
          <w:snapToGrid w:val="0"/>
          <w:sz w:val="21"/>
          <w:szCs w:val="21"/>
          <w:lang w:eastAsia="zh-CN"/>
        </w:rPr>
        <w:t>节</w:t>
      </w:r>
    </w:p>
  </w:footnote>
  <w:footnote w:id="17">
    <w:p w14:paraId="18F043FF">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FDA指出，在适当的情况下，可以通过对来自真实世界数据源（如器械注册和电子健康记录）的数据进行前瞻性或回顾性分析来满足522指令要求。此外，如果已经存在具有充分相关性和可靠性的真实世界数据，并且医疗器械制造商将及时进行前瞻性分析，FDA可能决定不发布522指令。有关医疗器械使用真实世界证据的详细信息，请参见FDA指南《使用真实世界证据支持医疗器械监管决策》，可登录以下网址获取：</w:t>
      </w:r>
      <w:r>
        <w:rPr>
          <w:rFonts w:hint="eastAsia"/>
        </w:rPr>
        <w:fldChar w:fldCharType="begin"/>
      </w:r>
      <w:r>
        <w:rPr>
          <w:rFonts w:hint="eastAsia"/>
          <w:snapToGrid w:val="0"/>
          <w:sz w:val="21"/>
          <w:szCs w:val="21"/>
          <w:lang w:eastAsia="zh-CN"/>
        </w:rPr>
        <w:instrText xml:space="preserve"> HYPERLINK "https://www.fda.gov/regulatory-information/search-fda-guidance-documents/use-real-world-evidence-support-regulatory-decision-making-medical-devices" </w:instrText>
      </w:r>
      <w:r>
        <w:rPr>
          <w:rFonts w:hint="eastAsia"/>
        </w:rPr>
        <w:fldChar w:fldCharType="separate"/>
      </w:r>
      <w:r>
        <w:rPr>
          <w:rStyle w:val="16"/>
          <w:rFonts w:hint="eastAsia"/>
          <w:snapToGrid w:val="0"/>
          <w:sz w:val="21"/>
          <w:szCs w:val="21"/>
          <w:u w:color="0000FF"/>
          <w:lang w:eastAsia="zh-CN"/>
        </w:rPr>
        <w:t>https://www.fda.gov/regulatory-information/search-fda-guidance-documents/use-real-world-evidence-support-regulatory-decision-making-medical-devices</w:t>
      </w:r>
      <w:r>
        <w:rPr>
          <w:rStyle w:val="16"/>
          <w:rFonts w:hint="eastAsia"/>
          <w:snapToGrid w:val="0"/>
          <w:sz w:val="21"/>
          <w:szCs w:val="21"/>
          <w:u w:color="0000FF"/>
          <w:lang w:eastAsia="zh-CN"/>
        </w:rPr>
        <w:fldChar w:fldCharType="end"/>
      </w:r>
      <w:r>
        <w:rPr>
          <w:rFonts w:hint="eastAsia"/>
          <w:snapToGrid w:val="0"/>
          <w:sz w:val="21"/>
          <w:szCs w:val="21"/>
          <w:lang w:eastAsia="zh-CN"/>
        </w:rPr>
        <w:t>。</w:t>
      </w:r>
    </w:p>
  </w:footnote>
  <w:footnote w:id="18">
    <w:p w14:paraId="68AD4D01">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822.10(h)</w:t>
      </w:r>
      <w:r>
        <w:rPr>
          <w:rFonts w:hint="eastAsia"/>
          <w:snapToGrid w:val="0"/>
          <w:sz w:val="21"/>
          <w:szCs w:val="21"/>
          <w:lang w:eastAsia="zh-CN"/>
        </w:rPr>
        <w:t>节</w:t>
      </w:r>
    </w:p>
  </w:footnote>
  <w:footnote w:id="19">
    <w:p w14:paraId="3FB9F620">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822.10(i)</w:t>
      </w:r>
      <w:r>
        <w:rPr>
          <w:rFonts w:hint="eastAsia"/>
          <w:snapToGrid w:val="0"/>
          <w:sz w:val="21"/>
          <w:szCs w:val="21"/>
          <w:lang w:eastAsia="zh-CN"/>
        </w:rPr>
        <w:t>节</w:t>
      </w:r>
    </w:p>
  </w:footnote>
  <w:footnote w:id="20">
    <w:p w14:paraId="77F15DD5">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822.10(j)</w:t>
      </w:r>
      <w:r>
        <w:rPr>
          <w:rFonts w:hint="eastAsia"/>
          <w:snapToGrid w:val="0"/>
          <w:sz w:val="21"/>
          <w:szCs w:val="21"/>
          <w:lang w:eastAsia="zh-CN"/>
        </w:rPr>
        <w:t>节</w:t>
      </w:r>
    </w:p>
  </w:footnote>
  <w:footnote w:id="21">
    <w:p w14:paraId="66CB9598">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822.10(k)</w:t>
      </w:r>
      <w:r>
        <w:rPr>
          <w:rFonts w:hint="eastAsia"/>
          <w:snapToGrid w:val="0"/>
          <w:sz w:val="21"/>
          <w:szCs w:val="21"/>
          <w:lang w:eastAsia="zh-CN"/>
        </w:rPr>
        <w:t>节</w:t>
      </w:r>
    </w:p>
  </w:footnote>
  <w:footnote w:id="22">
    <w:p w14:paraId="3F60230E">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822.10(n)</w:t>
      </w:r>
      <w:r>
        <w:rPr>
          <w:rFonts w:hint="eastAsia"/>
          <w:snapToGrid w:val="0"/>
          <w:sz w:val="21"/>
          <w:szCs w:val="21"/>
          <w:lang w:eastAsia="zh-CN"/>
        </w:rPr>
        <w:t>节</w:t>
      </w:r>
    </w:p>
  </w:footnote>
  <w:footnote w:id="23">
    <w:p w14:paraId="60C73EA7">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822.10(f)</w:t>
      </w:r>
      <w:r>
        <w:rPr>
          <w:rFonts w:hint="eastAsia"/>
          <w:snapToGrid w:val="0"/>
          <w:sz w:val="21"/>
          <w:szCs w:val="21"/>
          <w:lang w:eastAsia="zh-CN"/>
        </w:rPr>
        <w:t>节</w:t>
      </w:r>
    </w:p>
  </w:footnote>
  <w:footnote w:id="24">
    <w:p w14:paraId="5A9D8224">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822.10(l)</w:t>
      </w:r>
      <w:r>
        <w:rPr>
          <w:rFonts w:hint="eastAsia"/>
          <w:snapToGrid w:val="0"/>
          <w:sz w:val="21"/>
          <w:szCs w:val="21"/>
          <w:lang w:eastAsia="zh-CN"/>
        </w:rPr>
        <w:t>节</w:t>
      </w:r>
    </w:p>
  </w:footnote>
  <w:footnote w:id="25">
    <w:p w14:paraId="4301202A">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822.10(m)</w:t>
      </w:r>
      <w:r>
        <w:rPr>
          <w:rFonts w:hint="eastAsia"/>
          <w:snapToGrid w:val="0"/>
          <w:sz w:val="21"/>
          <w:szCs w:val="21"/>
          <w:lang w:eastAsia="zh-CN"/>
        </w:rPr>
        <w:t>节</w:t>
      </w:r>
    </w:p>
  </w:footnote>
  <w:footnote w:id="26">
    <w:p w14:paraId="2843D9B3">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w:t>
      </w:r>
      <w:r>
        <w:rPr>
          <w:snapToGrid w:val="0"/>
          <w:sz w:val="21"/>
          <w:szCs w:val="21"/>
          <w:lang w:eastAsia="zh-CN"/>
        </w:rPr>
        <w:t>822.10(o)</w:t>
      </w:r>
      <w:r>
        <w:rPr>
          <w:rFonts w:hint="eastAsia"/>
          <w:snapToGrid w:val="0"/>
          <w:sz w:val="21"/>
          <w:szCs w:val="21"/>
          <w:lang w:eastAsia="zh-CN"/>
        </w:rPr>
        <w:t>节</w:t>
      </w:r>
    </w:p>
  </w:footnote>
  <w:footnote w:id="27">
    <w:p w14:paraId="5BE1741C">
      <w:pPr>
        <w:pStyle w:val="11"/>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参见《FD&amp;C法案》第</w:t>
      </w:r>
      <w:r>
        <w:rPr>
          <w:snapToGrid w:val="0"/>
          <w:sz w:val="21"/>
          <w:szCs w:val="21"/>
          <w:lang w:eastAsia="zh-CN"/>
        </w:rPr>
        <w:t>522(b)(1)</w:t>
      </w:r>
      <w:r>
        <w:rPr>
          <w:rFonts w:hint="eastAsia"/>
          <w:snapToGrid w:val="0"/>
          <w:sz w:val="21"/>
          <w:szCs w:val="21"/>
          <w:lang w:eastAsia="zh-CN"/>
        </w:rPr>
        <w:t>节和《美国联邦法规》第21篇第822.16节。</w:t>
      </w:r>
    </w:p>
  </w:footnote>
  <w:footnote w:id="28">
    <w:p w14:paraId="49222197">
      <w:pPr>
        <w:pStyle w:val="11"/>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参见《美国联邦法规》第21篇第822.19节。FDA计划对制造商提交的增补文件使用类似的决定函，建议对批准的监督计划进行更改。</w:t>
      </w:r>
    </w:p>
  </w:footnote>
  <w:footnote w:id="29">
    <w:p w14:paraId="5E4F84EC">
      <w:pPr>
        <w:pStyle w:val="11"/>
        <w:wordWrap w:val="0"/>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符合FDA《按照最小负担原则确定并应对缺陷》指南中概述的最小负担原则的方法（</w:t>
      </w:r>
      <w:r>
        <w:fldChar w:fldCharType="begin"/>
      </w:r>
      <w:r>
        <w:instrText xml:space="preserve"> HYPERLINK "https://www.fda.gov/regulatory-information/search-fda-guidance-documents/developing-and-responding-deficiencies-accordance-least-burdensome-provisions" </w:instrText>
      </w:r>
      <w:r>
        <w:fldChar w:fldCharType="separate"/>
      </w:r>
      <w:r>
        <w:rPr>
          <w:rStyle w:val="16"/>
          <w:rFonts w:hint="eastAsia"/>
          <w:snapToGrid w:val="0"/>
          <w:sz w:val="21"/>
          <w:szCs w:val="21"/>
          <w:u w:color="0000FF"/>
          <w:lang w:eastAsia="zh-CN"/>
        </w:rPr>
        <w:t>https://www.fda.gov/regulatory-information/search-fda-guidance-documents/developing-and-responding-deficiencies-accordance-least-burdensome-provisions</w:t>
      </w:r>
      <w:r>
        <w:rPr>
          <w:rStyle w:val="16"/>
          <w:rFonts w:hint="eastAsia"/>
          <w:snapToGrid w:val="0"/>
          <w:sz w:val="21"/>
          <w:szCs w:val="21"/>
          <w:u w:color="0000FF"/>
          <w:lang w:eastAsia="zh-CN"/>
        </w:rPr>
        <w:fldChar w:fldCharType="end"/>
      </w:r>
      <w:r>
        <w:rPr>
          <w:rFonts w:hint="eastAsia"/>
          <w:snapToGrid w:val="0"/>
          <w:color w:val="000000"/>
          <w:sz w:val="21"/>
          <w:szCs w:val="21"/>
          <w:lang w:eastAsia="zh-CN"/>
        </w:rPr>
        <w:t>），如果只发现轻微缺陷，FDA将以互动方式解决这些待定问题。</w:t>
      </w:r>
    </w:p>
  </w:footnote>
  <w:footnote w:id="30">
    <w:p w14:paraId="12713597">
      <w:pPr>
        <w:pStyle w:val="11"/>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见《美国联邦法规》第21篇第822.21节。</w:t>
      </w:r>
    </w:p>
  </w:footnote>
  <w:footnote w:id="31">
    <w:p w14:paraId="50DDC402">
      <w:pPr>
        <w:pStyle w:val="11"/>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见《美国联邦法规》第21篇第822.16节。</w:t>
      </w:r>
    </w:p>
  </w:footnote>
  <w:footnote w:id="32">
    <w:p w14:paraId="5CB16EFB">
      <w:pPr>
        <w:pStyle w:val="11"/>
        <w:spacing w:after="0" w:line="240" w:lineRule="auto"/>
        <w:jc w:val="both"/>
        <w:rPr>
          <w:sz w:val="21"/>
          <w:szCs w:val="21"/>
          <w:lang w:eastAsia="zh-CN"/>
        </w:rPr>
      </w:pPr>
      <w:r>
        <w:rPr>
          <w:rStyle w:val="17"/>
          <w:sz w:val="21"/>
          <w:szCs w:val="21"/>
        </w:rPr>
        <w:footnoteRef/>
      </w:r>
      <w:r>
        <w:rPr>
          <w:snapToGrid w:val="0"/>
          <w:sz w:val="21"/>
          <w:szCs w:val="21"/>
          <w:lang w:eastAsia="zh-CN"/>
        </w:rPr>
        <w:t xml:space="preserve"> 见《美国联邦法规》第21篇第822.19节。</w:t>
      </w:r>
    </w:p>
  </w:footnote>
  <w:footnote w:id="33">
    <w:p w14:paraId="2D4A3C72">
      <w:pPr>
        <w:pStyle w:val="11"/>
        <w:wordWrap w:val="0"/>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w:t>
      </w:r>
      <w:r>
        <w:rPr>
          <w:snapToGrid w:val="0"/>
          <w:sz w:val="21"/>
          <w:szCs w:val="21"/>
          <w:lang w:eastAsia="zh-CN"/>
        </w:rPr>
        <w:t>参见FDA指南《</w:t>
      </w:r>
      <w:r>
        <w:rPr>
          <w:rFonts w:hint="eastAsia"/>
          <w:snapToGrid w:val="0"/>
          <w:sz w:val="21"/>
          <w:szCs w:val="21"/>
          <w:lang w:eastAsia="zh-CN"/>
        </w:rPr>
        <w:t>最小负担原则</w:t>
      </w:r>
      <w:r>
        <w:rPr>
          <w:snapToGrid w:val="0"/>
          <w:sz w:val="21"/>
          <w:szCs w:val="21"/>
          <w:lang w:eastAsia="zh-CN"/>
        </w:rPr>
        <w:t>：概念和原则》，可登录以下网址获取：</w:t>
      </w:r>
      <w:r>
        <w:rPr>
          <w:snapToGrid w:val="0"/>
          <w:color w:val="0000FF"/>
          <w:sz w:val="21"/>
          <w:szCs w:val="21"/>
          <w:u w:val="single"/>
          <w:lang w:eastAsia="zh-CN"/>
        </w:rPr>
        <w:t>https://www.fda.gov/regulatory-information/search-fda-guidance-documents/least-burdensome-provisions-concept-and-principles</w:t>
      </w:r>
      <w:r>
        <w:rPr>
          <w:snapToGrid w:val="0"/>
          <w:sz w:val="21"/>
          <w:szCs w:val="21"/>
          <w:lang w:eastAsia="zh-CN"/>
        </w:rPr>
        <w:t>。</w:t>
      </w:r>
    </w:p>
  </w:footnote>
  <w:footnote w:id="34">
    <w:p w14:paraId="5480A44B">
      <w:pPr>
        <w:pStyle w:val="11"/>
        <w:wordWrap w:val="0"/>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w:t>
      </w:r>
      <w:r>
        <w:rPr>
          <w:snapToGrid w:val="0"/>
          <w:sz w:val="21"/>
          <w:szCs w:val="21"/>
          <w:lang w:eastAsia="zh-CN"/>
        </w:rPr>
        <w:t>参见FDA指南《使用真实世界证据支持医疗器械监管决策》，可登录以下网址获取：</w:t>
      </w:r>
      <w:r>
        <w:rPr>
          <w:snapToGrid w:val="0"/>
          <w:color w:val="0000FF"/>
          <w:sz w:val="21"/>
          <w:szCs w:val="21"/>
          <w:u w:val="single"/>
          <w:lang w:eastAsia="zh-CN"/>
        </w:rPr>
        <w:t>https://www.fda.gov/regulatory-information/search-fda-guidance-documents/use-real-world-evidence-support-regulatory-decision-making-medical-devices</w:t>
      </w:r>
      <w:r>
        <w:rPr>
          <w:snapToGrid w:val="0"/>
          <w:sz w:val="21"/>
          <w:szCs w:val="21"/>
          <w:lang w:eastAsia="zh-CN"/>
        </w:rPr>
        <w:t>。</w:t>
      </w:r>
    </w:p>
  </w:footnote>
  <w:footnote w:id="35">
    <w:p w14:paraId="453FE288">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FDA支持</w:t>
      </w:r>
      <w:r>
        <w:rPr>
          <w:rFonts w:hint="eastAsia" w:ascii="宋体" w:hAnsi="宋体"/>
          <w:snapToGrid w:val="0"/>
          <w:sz w:val="21"/>
          <w:szCs w:val="21"/>
          <w:lang w:eastAsia="zh-CN"/>
        </w:rPr>
        <w:t>“</w:t>
      </w:r>
      <w:r>
        <w:rPr>
          <w:rFonts w:hint="eastAsia"/>
          <w:snapToGrid w:val="0"/>
          <w:sz w:val="21"/>
          <w:szCs w:val="21"/>
          <w:lang w:eastAsia="zh-CN"/>
        </w:rPr>
        <w:t>3R</w:t>
      </w:r>
      <w:r>
        <w:rPr>
          <w:rFonts w:hint="eastAsia" w:ascii="宋体" w:hAnsi="宋体"/>
          <w:snapToGrid w:val="0"/>
          <w:sz w:val="21"/>
          <w:szCs w:val="21"/>
          <w:lang w:eastAsia="zh-CN"/>
        </w:rPr>
        <w:t>”</w:t>
      </w:r>
      <w:r>
        <w:rPr>
          <w:rFonts w:hint="eastAsia"/>
          <w:snapToGrid w:val="0"/>
          <w:sz w:val="21"/>
          <w:szCs w:val="21"/>
          <w:lang w:eastAsia="zh-CN"/>
        </w:rPr>
        <w:t>原则，即在可行情况下减少、改进和取代试验中的动物使用。如果制造商希望使用他们认为合适、充分、有效和可行的非动物试验方法，鼓励制造商向本机构进行咨询。本机构将考虑此种备选方法是否可被评价为等同于动物试验方法。</w:t>
      </w:r>
    </w:p>
  </w:footnote>
  <w:footnote w:id="36">
    <w:p w14:paraId="0580007B">
      <w:pPr>
        <w:pStyle w:val="11"/>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对于非临床监督/研究，最终报告的提交预计不迟于最后一个数据点采集之日起三个月。</w:t>
      </w:r>
    </w:p>
  </w:footnote>
  <w:footnote w:id="37">
    <w:p w14:paraId="406646EA">
      <w:pPr>
        <w:pStyle w:val="11"/>
        <w:wordWrap w:val="0"/>
        <w:spacing w:after="0" w:line="240" w:lineRule="auto"/>
        <w:jc w:val="both"/>
        <w:rPr>
          <w:sz w:val="21"/>
          <w:szCs w:val="21"/>
          <w:lang w:eastAsia="zh-CN"/>
        </w:rPr>
      </w:pPr>
      <w:r>
        <w:rPr>
          <w:rStyle w:val="17"/>
          <w:sz w:val="21"/>
          <w:szCs w:val="21"/>
        </w:rPr>
        <w:footnoteRef/>
      </w:r>
      <w:r>
        <w:rPr>
          <w:sz w:val="21"/>
          <w:szCs w:val="21"/>
        </w:rPr>
        <w:t xml:space="preserve"> </w:t>
      </w:r>
      <w:r>
        <w:fldChar w:fldCharType="begin"/>
      </w:r>
      <w:r>
        <w:instrText xml:space="preserve"> HYPERLINK "https://www.fda.gov/regulatory-information/search-fda-guidance-documents/ecopy-program-medical-device-submissions" \h </w:instrText>
      </w:r>
      <w:r>
        <w:fldChar w:fldCharType="separate"/>
      </w:r>
      <w:r>
        <w:rPr>
          <w:rFonts w:hint="eastAsia"/>
          <w:snapToGrid w:val="0"/>
          <w:color w:val="0000FF"/>
          <w:sz w:val="21"/>
          <w:szCs w:val="21"/>
          <w:u w:val="single" w:color="0000FF"/>
          <w:lang w:eastAsia="zh-CN"/>
        </w:rPr>
        <w:t>https://www.fda.gov/regulatory-information/search-fda-guidance-documents/ecopy-program-medical-device-</w:t>
      </w:r>
      <w:r>
        <w:rPr>
          <w:rFonts w:hint="eastAsia"/>
          <w:snapToGrid w:val="0"/>
          <w:color w:val="0000FF"/>
          <w:sz w:val="21"/>
          <w:szCs w:val="21"/>
          <w:u w:val="single" w:color="0000FF"/>
          <w:lang w:eastAsia="zh-CN"/>
        </w:rPr>
        <w:fldChar w:fldCharType="end"/>
      </w:r>
      <w:r>
        <w:fldChar w:fldCharType="begin"/>
      </w:r>
      <w:r>
        <w:instrText xml:space="preserve"> HYPERLINK "https://www.fda.gov/regulatory-information/search-fda-guidance-documents/ecopy-program-medical-device-submissions" \h </w:instrText>
      </w:r>
      <w:r>
        <w:fldChar w:fldCharType="separate"/>
      </w:r>
      <w:r>
        <w:rPr>
          <w:rFonts w:hint="eastAsia"/>
          <w:snapToGrid w:val="0"/>
          <w:color w:val="0000FF"/>
          <w:sz w:val="21"/>
          <w:szCs w:val="21"/>
          <w:u w:val="single" w:color="0000FF"/>
          <w:lang w:eastAsia="zh-CN"/>
        </w:rPr>
        <w:t>submissions</w:t>
      </w:r>
      <w:r>
        <w:rPr>
          <w:rFonts w:hint="eastAsia"/>
          <w:snapToGrid w:val="0"/>
          <w:color w:val="0000FF"/>
          <w:sz w:val="21"/>
          <w:szCs w:val="21"/>
          <w:u w:val="single" w:color="0000FF"/>
          <w:lang w:eastAsia="zh-CN"/>
        </w:rPr>
        <w:fldChar w:fldCharType="end"/>
      </w:r>
    </w:p>
  </w:footnote>
  <w:footnote w:id="38">
    <w:p w14:paraId="0F665523">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FDA支持</w:t>
      </w:r>
      <w:r>
        <w:rPr>
          <w:rFonts w:hint="eastAsia" w:ascii="宋体" w:hAnsi="宋体"/>
          <w:snapToGrid w:val="0"/>
          <w:sz w:val="21"/>
          <w:szCs w:val="21"/>
          <w:lang w:eastAsia="zh-CN"/>
        </w:rPr>
        <w:t>“</w:t>
      </w:r>
      <w:r>
        <w:rPr>
          <w:rFonts w:hint="eastAsia"/>
          <w:snapToGrid w:val="0"/>
          <w:sz w:val="21"/>
          <w:szCs w:val="21"/>
          <w:lang w:eastAsia="zh-CN"/>
        </w:rPr>
        <w:t>3R</w:t>
      </w:r>
      <w:r>
        <w:rPr>
          <w:rFonts w:hint="eastAsia" w:ascii="宋体" w:hAnsi="宋体"/>
          <w:snapToGrid w:val="0"/>
          <w:sz w:val="21"/>
          <w:szCs w:val="21"/>
          <w:lang w:eastAsia="zh-CN"/>
        </w:rPr>
        <w:t>”</w:t>
      </w:r>
      <w:r>
        <w:rPr>
          <w:rFonts w:hint="eastAsia"/>
          <w:snapToGrid w:val="0"/>
          <w:sz w:val="21"/>
          <w:szCs w:val="21"/>
          <w:lang w:eastAsia="zh-CN"/>
        </w:rPr>
        <w:t>原则，即在可行情况下减少、改进和取代试验中的动物使用。如果制造商希望使用他们认为合适、充分、有效和可行的非动物试验方法，鼓励制造商向本机构进行咨询。本机构将考虑此种备选方法是否可被评价为等同于动物试验方法。</w:t>
      </w:r>
    </w:p>
  </w:footnote>
  <w:footnote w:id="39">
    <w:p w14:paraId="1D2E0C47">
      <w:pPr>
        <w:pStyle w:val="11"/>
        <w:spacing w:after="0" w:line="240" w:lineRule="auto"/>
        <w:jc w:val="both"/>
        <w:rPr>
          <w:sz w:val="21"/>
          <w:szCs w:val="21"/>
          <w:lang w:eastAsia="zh-CN"/>
        </w:rPr>
      </w:pPr>
      <w:r>
        <w:rPr>
          <w:rStyle w:val="17"/>
          <w:sz w:val="21"/>
          <w:szCs w:val="21"/>
        </w:rPr>
        <w:footnoteRef/>
      </w:r>
      <w:r>
        <w:rPr>
          <w:rFonts w:hint="eastAsia"/>
          <w:snapToGrid w:val="0"/>
          <w:sz w:val="21"/>
          <w:szCs w:val="21"/>
          <w:lang w:eastAsia="zh-CN"/>
        </w:rPr>
        <w:t xml:space="preserve"> 对于非临床监督数据，累积时间节点报告可用于跟踪进展。</w:t>
      </w:r>
    </w:p>
  </w:footnote>
  <w:footnote w:id="40">
    <w:p w14:paraId="57547F38">
      <w:pPr>
        <w:pStyle w:val="11"/>
        <w:spacing w:after="0" w:line="240" w:lineRule="auto"/>
        <w:jc w:val="both"/>
        <w:rPr>
          <w:sz w:val="21"/>
          <w:szCs w:val="21"/>
          <w:lang w:eastAsia="zh-CN"/>
        </w:rPr>
      </w:pPr>
      <w:r>
        <w:rPr>
          <w:rStyle w:val="17"/>
          <w:sz w:val="21"/>
          <w:szCs w:val="21"/>
        </w:rPr>
        <w:footnoteRef/>
      </w:r>
      <w:r>
        <w:rPr>
          <w:sz w:val="21"/>
          <w:szCs w:val="21"/>
        </w:rPr>
        <w:t xml:space="preserve"> </w:t>
      </w:r>
      <w:r>
        <w:fldChar w:fldCharType="begin"/>
      </w:r>
      <w:r>
        <w:instrText xml:space="preserve"> HYPERLINK "https://www.accessdata.fda.gov/scripts/cdrh/cfdocs/cfpma/pss.cfm" </w:instrText>
      </w:r>
      <w:r>
        <w:fldChar w:fldCharType="separate"/>
      </w:r>
      <w:r>
        <w:rPr>
          <w:rStyle w:val="16"/>
          <w:rFonts w:hint="eastAsia"/>
          <w:snapToGrid w:val="0"/>
          <w:sz w:val="21"/>
          <w:szCs w:val="21"/>
          <w:lang w:eastAsia="zh-CN"/>
        </w:rPr>
        <w:t>https://www.accessdata.fda.gov/scripts/cdrh/cfdocs/cfpma/pss.cfm</w:t>
      </w:r>
      <w:r>
        <w:rPr>
          <w:rStyle w:val="16"/>
          <w:rFonts w:hint="eastAsia"/>
          <w:snapToGrid w:val="0"/>
          <w:sz w:val="21"/>
          <w:szCs w:val="21"/>
          <w:lang w:eastAsia="zh-CN"/>
        </w:rPr>
        <w:fldChar w:fldCharType="end"/>
      </w:r>
    </w:p>
  </w:footnote>
  <w:footnote w:id="41">
    <w:p w14:paraId="16ACE8F3">
      <w:pPr>
        <w:pStyle w:val="11"/>
        <w:spacing w:after="0" w:line="240" w:lineRule="auto"/>
        <w:jc w:val="both"/>
        <w:rPr>
          <w:sz w:val="21"/>
          <w:szCs w:val="21"/>
          <w:lang w:eastAsia="zh-CN"/>
        </w:rPr>
      </w:pPr>
      <w:r>
        <w:rPr>
          <w:rStyle w:val="17"/>
          <w:sz w:val="21"/>
          <w:szCs w:val="21"/>
        </w:rPr>
        <w:footnoteRef/>
      </w:r>
      <w:r>
        <w:rPr>
          <w:snapToGrid w:val="0"/>
          <w:sz w:val="21"/>
          <w:szCs w:val="21"/>
          <w:lang w:eastAsia="zh-CN"/>
        </w:rPr>
        <w:t>有关上市后监督报告的类型，请参见</w:t>
      </w:r>
      <w:r>
        <w:rPr>
          <w:snapToGrid w:val="0"/>
          <w:color w:val="0000FF"/>
          <w:sz w:val="21"/>
          <w:szCs w:val="21"/>
          <w:u w:val="single"/>
          <w:lang w:eastAsia="zh-CN"/>
        </w:rPr>
        <w:t>第IV节。</w:t>
      </w:r>
    </w:p>
  </w:footnote>
  <w:footnote w:id="42">
    <w:p w14:paraId="20AF5346">
      <w:pPr>
        <w:pStyle w:val="11"/>
        <w:spacing w:after="0" w:line="240" w:lineRule="auto"/>
        <w:jc w:val="both"/>
        <w:rPr>
          <w:sz w:val="21"/>
          <w:szCs w:val="21"/>
          <w:lang w:eastAsia="zh-CN"/>
        </w:rPr>
      </w:pPr>
      <w:r>
        <w:rPr>
          <w:rStyle w:val="17"/>
          <w:sz w:val="21"/>
          <w:szCs w:val="21"/>
        </w:rPr>
        <w:footnoteRef/>
      </w:r>
      <w:r>
        <w:rPr>
          <w:sz w:val="21"/>
          <w:szCs w:val="21"/>
        </w:rPr>
        <w:t xml:space="preserve"> </w:t>
      </w:r>
      <w:r>
        <w:rPr>
          <w:snapToGrid w:val="0"/>
          <w:color w:val="0000FF"/>
          <w:sz w:val="21"/>
          <w:szCs w:val="21"/>
          <w:u w:val="single"/>
          <w:lang w:eastAsia="zh-CN"/>
        </w:rPr>
        <w:t>https://www.accessdata.fda.gov/scripts/cdrh/cfdocs/cfpma/pss.cfm</w:t>
      </w:r>
    </w:p>
  </w:footnote>
  <w:footnote w:id="43">
    <w:p w14:paraId="54C6ED88">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《美国联邦法规》第21篇第822.20节</w:t>
      </w:r>
    </w:p>
  </w:footnote>
  <w:footnote w:id="44">
    <w:p w14:paraId="4D2F45A8">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《美国联邦法规》第21篇第822.30节</w:t>
      </w:r>
    </w:p>
  </w:footnote>
  <w:footnote w:id="45">
    <w:p w14:paraId="03C047CB">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《美国联邦法规》第21篇第822.28节</w:t>
      </w:r>
    </w:p>
  </w:footnote>
  <w:footnote w:id="46">
    <w:p w14:paraId="7D6BD411">
      <w:pPr>
        <w:pStyle w:val="11"/>
        <w:spacing w:after="0" w:line="240" w:lineRule="auto"/>
        <w:jc w:val="both"/>
        <w:rPr>
          <w:sz w:val="21"/>
          <w:szCs w:val="21"/>
          <w:lang w:eastAsia="zh-CN"/>
        </w:rPr>
      </w:pPr>
      <w:r>
        <w:rPr>
          <w:rStyle w:val="17"/>
          <w:sz w:val="21"/>
          <w:szCs w:val="21"/>
        </w:rPr>
        <w:footnoteRef/>
      </w:r>
      <w:r>
        <w:rPr>
          <w:sz w:val="21"/>
          <w:szCs w:val="21"/>
          <w:lang w:eastAsia="zh-CN"/>
        </w:rPr>
        <w:t xml:space="preserve"> </w:t>
      </w:r>
      <w:r>
        <w:rPr>
          <w:rFonts w:hint="eastAsia"/>
          <w:snapToGrid w:val="0"/>
          <w:sz w:val="21"/>
          <w:szCs w:val="21"/>
          <w:lang w:eastAsia="zh-CN"/>
        </w:rPr>
        <w:t>《美国联邦法规》第21篇822.23</w:t>
      </w:r>
    </w:p>
  </w:footnote>
  <w:footnote w:id="47">
    <w:p w14:paraId="6B835FBE">
      <w:pPr>
        <w:pStyle w:val="11"/>
        <w:spacing w:after="0" w:line="240" w:lineRule="auto"/>
        <w:jc w:val="both"/>
        <w:rPr>
          <w:sz w:val="21"/>
          <w:szCs w:val="21"/>
          <w:lang w:eastAsia="zh-CN"/>
        </w:rPr>
      </w:pPr>
      <w:r>
        <w:rPr>
          <w:rStyle w:val="17"/>
          <w:sz w:val="21"/>
          <w:szCs w:val="21"/>
        </w:rPr>
        <w:footnoteRef/>
      </w:r>
      <w:r>
        <w:rPr>
          <w:sz w:val="21"/>
          <w:szCs w:val="21"/>
        </w:rPr>
        <w:t xml:space="preserve"> </w:t>
      </w:r>
      <w:r>
        <w:fldChar w:fldCharType="begin"/>
      </w:r>
      <w:r>
        <w:instrText xml:space="preserve"> HYPERLINK "http://www.clinicaltrials.gov/" \h </w:instrText>
      </w:r>
      <w:r>
        <w:fldChar w:fldCharType="separate"/>
      </w:r>
      <w:r>
        <w:rPr>
          <w:rFonts w:hint="eastAsia"/>
          <w:snapToGrid w:val="0"/>
          <w:color w:val="0000FF"/>
          <w:sz w:val="21"/>
          <w:szCs w:val="21"/>
          <w:u w:val="single" w:color="0000FF"/>
          <w:lang w:eastAsia="zh-CN"/>
        </w:rPr>
        <w:t>http://www.clinicaltrials.gov</w:t>
      </w:r>
      <w:r>
        <w:rPr>
          <w:rFonts w:hint="eastAsia"/>
          <w:snapToGrid w:val="0"/>
          <w:color w:val="0000FF"/>
          <w:sz w:val="21"/>
          <w:szCs w:val="21"/>
          <w:u w:val="single" w:color="0000FF"/>
          <w:lang w:eastAsia="zh-CN"/>
        </w:rPr>
        <w:fldChar w:fldCharType="end"/>
      </w:r>
    </w:p>
  </w:footnote>
  <w:footnote w:id="48">
    <w:p w14:paraId="741D355F">
      <w:pPr>
        <w:pStyle w:val="11"/>
        <w:spacing w:after="0" w:line="240" w:lineRule="auto"/>
        <w:jc w:val="both"/>
        <w:rPr>
          <w:sz w:val="21"/>
          <w:szCs w:val="21"/>
          <w:lang w:eastAsia="zh-CN"/>
        </w:rPr>
      </w:pPr>
      <w:r>
        <w:rPr>
          <w:rStyle w:val="17"/>
          <w:sz w:val="21"/>
          <w:szCs w:val="21"/>
        </w:rPr>
        <w:footnoteRef/>
      </w:r>
      <w:r>
        <w:rPr>
          <w:sz w:val="21"/>
          <w:szCs w:val="21"/>
        </w:rPr>
        <w:t xml:space="preserve"> </w:t>
      </w:r>
      <w:r>
        <w:fldChar w:fldCharType="begin"/>
      </w:r>
      <w:r>
        <w:instrText xml:space="preserve"> HYPERLINK "http://www.accessdata.fda.gov/scripts/cdrh/cfdocs/cfPMA/pss.cfm" \h </w:instrText>
      </w:r>
      <w:r>
        <w:fldChar w:fldCharType="separate"/>
      </w:r>
      <w:r>
        <w:rPr>
          <w:rFonts w:hint="eastAsia"/>
          <w:snapToGrid w:val="0"/>
          <w:color w:val="0000FF"/>
          <w:sz w:val="21"/>
          <w:szCs w:val="21"/>
          <w:u w:val="single" w:color="0000FF"/>
          <w:lang w:eastAsia="zh-CN"/>
        </w:rPr>
        <w:t>http://www.accessdata.fda.gov/scripts/cdrh/cfdocs/cfPMA/pss.cfm</w:t>
      </w:r>
      <w:r>
        <w:rPr>
          <w:rFonts w:hint="eastAsia"/>
          <w:snapToGrid w:val="0"/>
          <w:color w:val="0000FF"/>
          <w:sz w:val="21"/>
          <w:szCs w:val="21"/>
          <w:u w:val="single" w:color="0000FF"/>
          <w:lang w:eastAsia="zh-C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C3A21">
    <w:pPr>
      <w:pStyle w:val="9"/>
      <w:pBdr>
        <w:bottom w:val="none" w:color="auto" w:sz="0" w:space="0"/>
      </w:pBdr>
      <w:spacing w:after="0"/>
      <w:rPr>
        <w:b/>
        <w:i/>
        <w:sz w:val="21"/>
        <w:lang w:eastAsia="zh-CN"/>
      </w:rPr>
    </w:pPr>
    <w:r>
      <w:pict>
        <v:shape id="PowerPlusWaterMarkObject90940173" o:spid="_x0000_s2051" o:spt="136" type="#_x0000_t136" style="position:absolute;left:0pt;height:219.8pt;width:439.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草案" style="font-family:宋体;font-size:1pt;v-text-align:center;"/>
        </v:shape>
      </w:pict>
    </w:r>
    <w:r>
      <w:rPr>
        <w:rFonts w:hint="eastAsia"/>
        <w:b/>
        <w:i/>
        <w:sz w:val="21"/>
        <w:lang w:eastAsia="zh-CN"/>
      </w:rPr>
      <w:t>所含建议不具约束力</w:t>
    </w:r>
  </w:p>
  <w:p w14:paraId="268C4386">
    <w:pPr>
      <w:pStyle w:val="9"/>
      <w:pBdr>
        <w:bottom w:val="none" w:color="auto" w:sz="0" w:space="0"/>
      </w:pBdr>
      <w:spacing w:after="0"/>
      <w:rPr>
        <w:b/>
        <w:i/>
        <w:sz w:val="21"/>
        <w:szCs w:val="21"/>
        <w:lang w:eastAsia="zh-CN"/>
      </w:rPr>
    </w:pPr>
  </w:p>
  <w:p w14:paraId="59A36BF2">
    <w:pPr>
      <w:pStyle w:val="9"/>
      <w:pBdr>
        <w:bottom w:val="none" w:color="auto" w:sz="0" w:space="0"/>
      </w:pBdr>
      <w:spacing w:after="0"/>
      <w:rPr>
        <w:b/>
        <w:i/>
        <w:sz w:val="21"/>
        <w:szCs w:val="21"/>
        <w:lang w:eastAsia="zh-CN"/>
      </w:rPr>
    </w:pPr>
    <w:r>
      <w:rPr>
        <w:rFonts w:hint="eastAsia"/>
        <w:b/>
        <w:i/>
        <w:sz w:val="21"/>
        <w:lang w:eastAsia="zh-CN"/>
      </w:rPr>
      <w:t>草案</w:t>
    </w:r>
    <w:r>
      <w:rPr>
        <w:b/>
        <w:i/>
        <w:sz w:val="21"/>
        <w:szCs w:val="21"/>
        <w:lang w:eastAsia="zh-CN"/>
      </w:rPr>
      <w:t>–</w:t>
    </w:r>
    <w:r>
      <w:rPr>
        <w:rFonts w:hint="eastAsia"/>
        <w:b/>
        <w:i/>
        <w:sz w:val="21"/>
        <w:lang w:eastAsia="zh-CN"/>
      </w:rPr>
      <w:t>非执行版</w:t>
    </w:r>
  </w:p>
  <w:p w14:paraId="4C09B322">
    <w:pPr>
      <w:pStyle w:val="9"/>
      <w:pBdr>
        <w:bottom w:val="none" w:color="auto" w:sz="0" w:space="0"/>
      </w:pBdr>
      <w:spacing w:after="0"/>
      <w:rPr>
        <w:b/>
        <w:i/>
        <w:sz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3829A">
    <w:pPr>
      <w:pStyle w:val="9"/>
    </w:pPr>
    <w:r>
      <w:pict>
        <v:shape id="PowerPlusWaterMarkObject90940172" o:spid="_x0000_s2050" o:spt="136" type="#_x0000_t136" style="position:absolute;left:0pt;height:219.8pt;width:439.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草案"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5296B">
    <w:pPr>
      <w:pStyle w:val="9"/>
    </w:pPr>
    <w:r>
      <w:pict>
        <v:shape id="PowerPlusWaterMarkObject90940171" o:spid="_x0000_s2049" o:spt="136" type="#_x0000_t136" style="position:absolute;left:0pt;height:219.8pt;width:439.6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草案"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D6713"/>
    <w:multiLevelType w:val="multilevel"/>
    <w:tmpl w:val="01FD6713"/>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780" w:hanging="360"/>
      </w:pPr>
      <w:rPr>
        <w:rFonts w:hint="default" w:ascii="Wingdings 2" w:hAnsi="Wingdings 2" w:eastAsia="宋体" w:cs="Times New Roman"/>
      </w:rPr>
    </w:lvl>
    <w:lvl w:ilvl="2" w:tentative="0">
      <w:start w:val="1"/>
      <w:numFmt w:val="bullet"/>
      <w:lvlText w:val="○"/>
      <w:lvlJc w:val="left"/>
      <w:pPr>
        <w:ind w:left="1200" w:hanging="360"/>
      </w:pPr>
      <w:rPr>
        <w:rFonts w:hint="default" w:ascii="Times New Roman" w:hAnsi="Times New Roman"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4D032C5"/>
    <w:multiLevelType w:val="multilevel"/>
    <w:tmpl w:val="14D032C5"/>
    <w:lvl w:ilvl="0" w:tentative="0">
      <w:start w:val="0"/>
      <w:numFmt w:val="bullet"/>
      <w:lvlText w:val="•"/>
      <w:lvlJc w:val="left"/>
      <w:pPr>
        <w:ind w:left="1680" w:hanging="420"/>
      </w:pPr>
      <w:rPr>
        <w:rFonts w:hint="default" w:ascii="Times New Roman" w:hAnsi="Times New Roman" w:eastAsia="宋体" w:cs="Times New Roman"/>
      </w:rPr>
    </w:lvl>
    <w:lvl w:ilvl="1" w:tentative="0">
      <w:start w:val="1"/>
      <w:numFmt w:val="bullet"/>
      <w:lvlText w:val=""/>
      <w:lvlJc w:val="left"/>
      <w:pPr>
        <w:ind w:left="2100" w:hanging="420"/>
      </w:pPr>
      <w:rPr>
        <w:rFonts w:hint="default" w:ascii="Wingdings" w:hAnsi="Wingdings"/>
      </w:rPr>
    </w:lvl>
    <w:lvl w:ilvl="2" w:tentative="0">
      <w:start w:val="1"/>
      <w:numFmt w:val="bullet"/>
      <w:lvlText w:val=""/>
      <w:lvlJc w:val="left"/>
      <w:pPr>
        <w:ind w:left="2520" w:hanging="420"/>
      </w:pPr>
      <w:rPr>
        <w:rFonts w:hint="default" w:ascii="Wingdings" w:hAnsi="Wingdings"/>
      </w:rPr>
    </w:lvl>
    <w:lvl w:ilvl="3" w:tentative="0">
      <w:start w:val="1"/>
      <w:numFmt w:val="bullet"/>
      <w:lvlText w:val=""/>
      <w:lvlJc w:val="left"/>
      <w:pPr>
        <w:ind w:left="2940" w:hanging="420"/>
      </w:pPr>
      <w:rPr>
        <w:rFonts w:hint="default" w:ascii="Wingdings" w:hAnsi="Wingdings"/>
      </w:rPr>
    </w:lvl>
    <w:lvl w:ilvl="4" w:tentative="0">
      <w:start w:val="1"/>
      <w:numFmt w:val="bullet"/>
      <w:lvlText w:val=""/>
      <w:lvlJc w:val="left"/>
      <w:pPr>
        <w:ind w:left="3360" w:hanging="420"/>
      </w:pPr>
      <w:rPr>
        <w:rFonts w:hint="default" w:ascii="Wingdings" w:hAnsi="Wingdings"/>
      </w:rPr>
    </w:lvl>
    <w:lvl w:ilvl="5" w:tentative="0">
      <w:start w:val="1"/>
      <w:numFmt w:val="bullet"/>
      <w:lvlText w:val=""/>
      <w:lvlJc w:val="left"/>
      <w:pPr>
        <w:ind w:left="3780" w:hanging="420"/>
      </w:pPr>
      <w:rPr>
        <w:rFonts w:hint="default" w:ascii="Wingdings" w:hAnsi="Wingdings"/>
      </w:rPr>
    </w:lvl>
    <w:lvl w:ilvl="6" w:tentative="0">
      <w:start w:val="1"/>
      <w:numFmt w:val="bullet"/>
      <w:lvlText w:val=""/>
      <w:lvlJc w:val="left"/>
      <w:pPr>
        <w:ind w:left="4200" w:hanging="420"/>
      </w:pPr>
      <w:rPr>
        <w:rFonts w:hint="default" w:ascii="Wingdings" w:hAnsi="Wingdings"/>
      </w:rPr>
    </w:lvl>
    <w:lvl w:ilvl="7" w:tentative="0">
      <w:start w:val="1"/>
      <w:numFmt w:val="bullet"/>
      <w:lvlText w:val=""/>
      <w:lvlJc w:val="left"/>
      <w:pPr>
        <w:ind w:left="4620" w:hanging="420"/>
      </w:pPr>
      <w:rPr>
        <w:rFonts w:hint="default" w:ascii="Wingdings" w:hAnsi="Wingdings"/>
      </w:rPr>
    </w:lvl>
    <w:lvl w:ilvl="8" w:tentative="0">
      <w:start w:val="1"/>
      <w:numFmt w:val="bullet"/>
      <w:lvlText w:val=""/>
      <w:lvlJc w:val="left"/>
      <w:pPr>
        <w:ind w:left="5040" w:hanging="420"/>
      </w:pPr>
      <w:rPr>
        <w:rFonts w:hint="default" w:ascii="Wingdings" w:hAnsi="Wingdings"/>
      </w:rPr>
    </w:lvl>
  </w:abstractNum>
  <w:abstractNum w:abstractNumId="2">
    <w:nsid w:val="24EF1D47"/>
    <w:multiLevelType w:val="multilevel"/>
    <w:tmpl w:val="24EF1D47"/>
    <w:lvl w:ilvl="0" w:tentative="0">
      <w:start w:val="1"/>
      <w:numFmt w:val="bullet"/>
      <w:lvlText w:val="○"/>
      <w:lvlJc w:val="left"/>
      <w:pPr>
        <w:ind w:left="420" w:hanging="420"/>
      </w:pPr>
      <w:rPr>
        <w:rFonts w:hint="default" w:ascii="Times New Roman" w:hAnsi="Times New Roman" w:cs="Times New Roman"/>
      </w:rPr>
    </w:lvl>
    <w:lvl w:ilvl="1" w:tentative="0">
      <w:start w:val="0"/>
      <w:numFmt w:val="bullet"/>
      <w:lvlText w:val="•"/>
      <w:lvlJc w:val="left"/>
      <w:pPr>
        <w:ind w:left="780" w:hanging="360"/>
      </w:pPr>
      <w:rPr>
        <w:rFonts w:hint="default" w:ascii="Times New Roman" w:hAnsi="Times New Roman" w:eastAsia="宋体"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7046C65"/>
    <w:multiLevelType w:val="multilevel"/>
    <w:tmpl w:val="27046C65"/>
    <w:lvl w:ilvl="0" w:tentative="0">
      <w:start w:val="1"/>
      <w:numFmt w:val="upperRoman"/>
      <w:lvlText w:val="%1."/>
      <w:lvlJc w:val="left"/>
      <w:pPr>
        <w:ind w:left="555" w:hanging="5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02B02E6"/>
    <w:multiLevelType w:val="multilevel"/>
    <w:tmpl w:val="402B02E6"/>
    <w:lvl w:ilvl="0" w:tentative="0">
      <w:start w:val="1"/>
      <w:numFmt w:val="bullet"/>
      <w:lvlText w:val=""/>
      <w:lvlJc w:val="left"/>
      <w:pPr>
        <w:ind w:left="360" w:hanging="360"/>
      </w:pPr>
      <w:rPr>
        <w:rFonts w:hint="default" w:ascii="Wingdings 2" w:hAnsi="Wingdings 2" w:eastAsia="宋体" w:cs="Times New Roman"/>
      </w:rPr>
    </w:lvl>
    <w:lvl w:ilvl="1" w:tentative="0">
      <w:start w:val="0"/>
      <w:numFmt w:val="bullet"/>
      <w:lvlText w:val=""/>
      <w:lvlJc w:val="left"/>
      <w:pPr>
        <w:ind w:left="780" w:hanging="360"/>
      </w:pPr>
      <w:rPr>
        <w:rFonts w:hint="default" w:ascii="Wingdings" w:hAnsi="Wingdings" w:eastAsia="宋体"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2EC7CF8"/>
    <w:multiLevelType w:val="multilevel"/>
    <w:tmpl w:val="52EC7C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54A1A5C"/>
    <w:multiLevelType w:val="multilevel"/>
    <w:tmpl w:val="654A1A5C"/>
    <w:lvl w:ilvl="0" w:tentative="0">
      <w:start w:val="0"/>
      <w:numFmt w:val="bullet"/>
      <w:lvlText w:val="•"/>
      <w:lvlJc w:val="left"/>
      <w:pPr>
        <w:ind w:left="420" w:hanging="42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00" w:hanging="360"/>
      </w:pPr>
      <w:rPr>
        <w:rFonts w:hint="default" w:ascii="Times New Roman" w:hAnsi="Times New Roman" w:cs="Times New Roman"/>
      </w:rPr>
    </w:lvl>
    <w:lvl w:ilvl="3" w:tentative="0">
      <w:start w:val="0"/>
      <w:numFmt w:val="bullet"/>
      <w:lvlText w:val="•"/>
      <w:lvlJc w:val="left"/>
      <w:pPr>
        <w:ind w:left="1680" w:hanging="420"/>
      </w:pPr>
      <w:rPr>
        <w:rFonts w:hint="default" w:ascii="Times New Roman" w:hAnsi="Times New Roman" w:eastAsia="宋体" w:cs="Times New Roman"/>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8763D91"/>
    <w:multiLevelType w:val="multilevel"/>
    <w:tmpl w:val="68763D91"/>
    <w:lvl w:ilvl="0" w:tentative="0">
      <w:start w:val="1"/>
      <w:numFmt w:val="bullet"/>
      <w:lvlText w:val=""/>
      <w:lvlJc w:val="left"/>
      <w:rPr>
        <w:rFonts w:hint="default" w:ascii="Wingdings 2" w:hAnsi="Wingdings 2" w:eastAsia="宋体" w:cs="Times New Roman"/>
        <w:b w:val="0"/>
        <w:bCs w:val="0"/>
        <w:i w:val="0"/>
        <w:iCs w:val="0"/>
        <w:smallCaps w:val="0"/>
        <w:strike w:val="0"/>
        <w:color w:val="000000"/>
        <w:spacing w:val="0"/>
        <w:w w:val="100"/>
        <w:position w:val="0"/>
        <w:sz w:val="24"/>
        <w:szCs w:val="23"/>
        <w:u w:val="none"/>
      </w:rPr>
    </w:lvl>
    <w:lvl w:ilvl="1" w:tentative="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tentative="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tentative="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tentative="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tentative="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tentative="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tentative="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tentative="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num w:numId="1">
    <w:abstractNumId w:val="3"/>
  </w:num>
  <w:num w:numId="2">
    <w:abstractNumId w:val="4"/>
  </w:num>
  <w:num w:numId="3">
    <w:abstractNumId w:val="2"/>
  </w:num>
  <w:num w:numId="4">
    <w:abstractNumId w:val="5"/>
  </w:num>
  <w:num w:numId="5">
    <w:abstractNumId w:val="0"/>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doNotTrackMoves/>
  <w:documentProtection w:edit="readOnly" w:enforcement="0"/>
  <w:defaultTabStop w:val="719"/>
  <w:drawingGridHorizontalSpacing w:val="110"/>
  <w:displayHorizontalDrawingGridEvery w:val="2"/>
  <w:characterSpacingControl w:val="doNotCompress"/>
  <w:hdrShapeDefaults>
    <o:shapelayout v:ext="edit">
      <o:idmap v:ext="edit" data="2"/>
    </o:shapelayout>
  </w:hdrShapeDefaults>
  <w:footnotePr>
    <w:footnote w:id="98"/>
    <w:footnote w:id="99"/>
  </w:footnotePr>
  <w:endnotePr>
    <w:endnote w:id="0"/>
    <w:endnote w:id="1"/>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2C6F"/>
    <w:rsid w:val="00033988"/>
    <w:rsid w:val="00035F2F"/>
    <w:rsid w:val="0004371C"/>
    <w:rsid w:val="000664EA"/>
    <w:rsid w:val="00072A56"/>
    <w:rsid w:val="00091356"/>
    <w:rsid w:val="00091A7B"/>
    <w:rsid w:val="00094E02"/>
    <w:rsid w:val="000B0CE5"/>
    <w:rsid w:val="000F254E"/>
    <w:rsid w:val="00113208"/>
    <w:rsid w:val="0012286D"/>
    <w:rsid w:val="00140C6A"/>
    <w:rsid w:val="001604C4"/>
    <w:rsid w:val="00192025"/>
    <w:rsid w:val="0019639D"/>
    <w:rsid w:val="001A3209"/>
    <w:rsid w:val="001A6F35"/>
    <w:rsid w:val="001C1AA9"/>
    <w:rsid w:val="001D5E22"/>
    <w:rsid w:val="001E369D"/>
    <w:rsid w:val="001E7902"/>
    <w:rsid w:val="001F3490"/>
    <w:rsid w:val="001F5A7A"/>
    <w:rsid w:val="00202827"/>
    <w:rsid w:val="00204779"/>
    <w:rsid w:val="00210B7A"/>
    <w:rsid w:val="00225F2F"/>
    <w:rsid w:val="00235419"/>
    <w:rsid w:val="00244A50"/>
    <w:rsid w:val="00246658"/>
    <w:rsid w:val="0026591A"/>
    <w:rsid w:val="00277B5D"/>
    <w:rsid w:val="002A0454"/>
    <w:rsid w:val="002B183E"/>
    <w:rsid w:val="002C4283"/>
    <w:rsid w:val="002C5720"/>
    <w:rsid w:val="00307E61"/>
    <w:rsid w:val="003226D0"/>
    <w:rsid w:val="00327DD6"/>
    <w:rsid w:val="00345E19"/>
    <w:rsid w:val="00346B65"/>
    <w:rsid w:val="003526B1"/>
    <w:rsid w:val="00353EE9"/>
    <w:rsid w:val="00360245"/>
    <w:rsid w:val="00362559"/>
    <w:rsid w:val="003635E3"/>
    <w:rsid w:val="003B76B4"/>
    <w:rsid w:val="003C478E"/>
    <w:rsid w:val="003D20B0"/>
    <w:rsid w:val="003D67FF"/>
    <w:rsid w:val="003F64FE"/>
    <w:rsid w:val="00421859"/>
    <w:rsid w:val="00425325"/>
    <w:rsid w:val="0045654B"/>
    <w:rsid w:val="00456F8B"/>
    <w:rsid w:val="00482416"/>
    <w:rsid w:val="00496F09"/>
    <w:rsid w:val="004C18C6"/>
    <w:rsid w:val="004D344B"/>
    <w:rsid w:val="004D5F88"/>
    <w:rsid w:val="004E6731"/>
    <w:rsid w:val="004E6A24"/>
    <w:rsid w:val="004E73FB"/>
    <w:rsid w:val="004E791F"/>
    <w:rsid w:val="00511F84"/>
    <w:rsid w:val="00513601"/>
    <w:rsid w:val="005163BB"/>
    <w:rsid w:val="00516D29"/>
    <w:rsid w:val="00522164"/>
    <w:rsid w:val="0052645A"/>
    <w:rsid w:val="0052679F"/>
    <w:rsid w:val="005324B0"/>
    <w:rsid w:val="00535310"/>
    <w:rsid w:val="00550D75"/>
    <w:rsid w:val="0055179B"/>
    <w:rsid w:val="00552495"/>
    <w:rsid w:val="0055326C"/>
    <w:rsid w:val="00567E61"/>
    <w:rsid w:val="00580628"/>
    <w:rsid w:val="00585E4C"/>
    <w:rsid w:val="00593574"/>
    <w:rsid w:val="005A4B13"/>
    <w:rsid w:val="005A65F7"/>
    <w:rsid w:val="005B4B58"/>
    <w:rsid w:val="005C41D7"/>
    <w:rsid w:val="005C47EB"/>
    <w:rsid w:val="005D1DCC"/>
    <w:rsid w:val="005E7AF4"/>
    <w:rsid w:val="00601468"/>
    <w:rsid w:val="006016E9"/>
    <w:rsid w:val="00602C6F"/>
    <w:rsid w:val="00640E6C"/>
    <w:rsid w:val="00663FAD"/>
    <w:rsid w:val="00666C79"/>
    <w:rsid w:val="0066749F"/>
    <w:rsid w:val="00674005"/>
    <w:rsid w:val="006931E4"/>
    <w:rsid w:val="00693B36"/>
    <w:rsid w:val="006B1F53"/>
    <w:rsid w:val="006B5F2D"/>
    <w:rsid w:val="006B6903"/>
    <w:rsid w:val="006C4B60"/>
    <w:rsid w:val="006C5936"/>
    <w:rsid w:val="006C5A92"/>
    <w:rsid w:val="006D60F4"/>
    <w:rsid w:val="006E1FB9"/>
    <w:rsid w:val="006E7FA3"/>
    <w:rsid w:val="006F205E"/>
    <w:rsid w:val="007266A2"/>
    <w:rsid w:val="00730A10"/>
    <w:rsid w:val="007315E6"/>
    <w:rsid w:val="0073793C"/>
    <w:rsid w:val="00741E46"/>
    <w:rsid w:val="00746A7F"/>
    <w:rsid w:val="00767AFD"/>
    <w:rsid w:val="00783A81"/>
    <w:rsid w:val="007861F8"/>
    <w:rsid w:val="00787221"/>
    <w:rsid w:val="007A2145"/>
    <w:rsid w:val="007B348E"/>
    <w:rsid w:val="007D0CAA"/>
    <w:rsid w:val="007D4443"/>
    <w:rsid w:val="007D77A8"/>
    <w:rsid w:val="007F16E0"/>
    <w:rsid w:val="008264B8"/>
    <w:rsid w:val="00830C47"/>
    <w:rsid w:val="008378C8"/>
    <w:rsid w:val="00837A66"/>
    <w:rsid w:val="008627BF"/>
    <w:rsid w:val="00863056"/>
    <w:rsid w:val="00885942"/>
    <w:rsid w:val="008A325E"/>
    <w:rsid w:val="008A787E"/>
    <w:rsid w:val="008C0718"/>
    <w:rsid w:val="008D5699"/>
    <w:rsid w:val="00916D41"/>
    <w:rsid w:val="00976319"/>
    <w:rsid w:val="00994CE0"/>
    <w:rsid w:val="00995AED"/>
    <w:rsid w:val="009A5C06"/>
    <w:rsid w:val="009B258B"/>
    <w:rsid w:val="009B7648"/>
    <w:rsid w:val="009D1B76"/>
    <w:rsid w:val="009F58A8"/>
    <w:rsid w:val="00A0608A"/>
    <w:rsid w:val="00A17161"/>
    <w:rsid w:val="00A23303"/>
    <w:rsid w:val="00A4471C"/>
    <w:rsid w:val="00AA2AB6"/>
    <w:rsid w:val="00AA628A"/>
    <w:rsid w:val="00AC0779"/>
    <w:rsid w:val="00AC229F"/>
    <w:rsid w:val="00AE1EFC"/>
    <w:rsid w:val="00B071B6"/>
    <w:rsid w:val="00B12BF9"/>
    <w:rsid w:val="00B25A35"/>
    <w:rsid w:val="00B33D1D"/>
    <w:rsid w:val="00B431AD"/>
    <w:rsid w:val="00B51145"/>
    <w:rsid w:val="00B55724"/>
    <w:rsid w:val="00B64470"/>
    <w:rsid w:val="00BB0C63"/>
    <w:rsid w:val="00BB6D10"/>
    <w:rsid w:val="00BF7BBC"/>
    <w:rsid w:val="00C040A4"/>
    <w:rsid w:val="00C1144F"/>
    <w:rsid w:val="00C119DF"/>
    <w:rsid w:val="00C62EE7"/>
    <w:rsid w:val="00C71910"/>
    <w:rsid w:val="00C843F9"/>
    <w:rsid w:val="00CB75E0"/>
    <w:rsid w:val="00CB75E9"/>
    <w:rsid w:val="00CD4F58"/>
    <w:rsid w:val="00CE4696"/>
    <w:rsid w:val="00D22180"/>
    <w:rsid w:val="00D25026"/>
    <w:rsid w:val="00D36700"/>
    <w:rsid w:val="00D36F70"/>
    <w:rsid w:val="00D843CF"/>
    <w:rsid w:val="00D904D7"/>
    <w:rsid w:val="00D95863"/>
    <w:rsid w:val="00DA7AAB"/>
    <w:rsid w:val="00DC0789"/>
    <w:rsid w:val="00DC2E09"/>
    <w:rsid w:val="00DD7923"/>
    <w:rsid w:val="00E11E1E"/>
    <w:rsid w:val="00E326FB"/>
    <w:rsid w:val="00E34302"/>
    <w:rsid w:val="00E44BA9"/>
    <w:rsid w:val="00E538C8"/>
    <w:rsid w:val="00E57872"/>
    <w:rsid w:val="00E66AC1"/>
    <w:rsid w:val="00E70022"/>
    <w:rsid w:val="00E868C6"/>
    <w:rsid w:val="00E91780"/>
    <w:rsid w:val="00E95C58"/>
    <w:rsid w:val="00EE30FE"/>
    <w:rsid w:val="00EE53E7"/>
    <w:rsid w:val="00F04B6E"/>
    <w:rsid w:val="00F121FE"/>
    <w:rsid w:val="00F22FE9"/>
    <w:rsid w:val="00F31EF3"/>
    <w:rsid w:val="00F34911"/>
    <w:rsid w:val="00F4282F"/>
    <w:rsid w:val="00F52F4B"/>
    <w:rsid w:val="00F60CDA"/>
    <w:rsid w:val="00F66EAF"/>
    <w:rsid w:val="00F742AC"/>
    <w:rsid w:val="00F7651E"/>
    <w:rsid w:val="00FB34B9"/>
    <w:rsid w:val="00FC4DBE"/>
    <w:rsid w:val="00FD1B67"/>
    <w:rsid w:val="00FD6541"/>
    <w:rsid w:val="00FE0AFA"/>
    <w:rsid w:val="00FE77D3"/>
    <w:rsid w:val="00FF4127"/>
    <w:rsid w:val="7DBD3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imes New Roman" w:hAnsi="Times New Roman" w:eastAsia="宋体" w:cs="Times New Roman"/>
      <w:sz w:val="24"/>
      <w:szCs w:val="22"/>
      <w:lang w:val="en-US" w:eastAsia="en-US" w:bidi="ar-SA"/>
    </w:rPr>
  </w:style>
  <w:style w:type="paragraph" w:styleId="2">
    <w:name w:val="heading 1"/>
    <w:basedOn w:val="1"/>
    <w:next w:val="1"/>
    <w:link w:val="20"/>
    <w:qFormat/>
    <w:uiPriority w:val="9"/>
    <w:pPr>
      <w:spacing w:before="120" w:beforeLines="50" w:after="0" w:line="300" w:lineRule="auto"/>
      <w:ind w:left="723" w:hanging="723" w:hangingChars="200"/>
      <w:jc w:val="both"/>
      <w:outlineLvl w:val="0"/>
    </w:pPr>
    <w:rPr>
      <w:rFonts w:eastAsia="Times New Roman"/>
      <w:b/>
      <w:bCs/>
      <w:sz w:val="36"/>
      <w:szCs w:val="36"/>
    </w:rPr>
  </w:style>
  <w:style w:type="paragraph" w:styleId="3">
    <w:name w:val="heading 2"/>
    <w:basedOn w:val="1"/>
    <w:next w:val="1"/>
    <w:link w:val="21"/>
    <w:unhideWhenUsed/>
    <w:qFormat/>
    <w:uiPriority w:val="9"/>
    <w:pPr>
      <w:spacing w:before="120" w:beforeLines="50" w:after="0" w:line="300" w:lineRule="auto"/>
      <w:ind w:left="1270" w:leftChars="322" w:hanging="562" w:hangingChars="200"/>
      <w:jc w:val="both"/>
      <w:outlineLvl w:val="1"/>
    </w:pPr>
    <w:rPr>
      <w:rFonts w:eastAsia="Times New Roman"/>
      <w:b/>
      <w:bCs/>
      <w:sz w:val="28"/>
      <w:szCs w:val="28"/>
    </w:rPr>
  </w:style>
  <w:style w:type="paragraph" w:styleId="4">
    <w:name w:val="heading 3"/>
    <w:basedOn w:val="1"/>
    <w:next w:val="1"/>
    <w:link w:val="23"/>
    <w:unhideWhenUsed/>
    <w:qFormat/>
    <w:uiPriority w:val="9"/>
    <w:pPr>
      <w:spacing w:before="120" w:beforeLines="50" w:after="0" w:line="300" w:lineRule="auto"/>
      <w:ind w:left="1802" w:leftChars="600" w:hanging="482" w:hangingChars="200"/>
      <w:jc w:val="both"/>
      <w:outlineLvl w:val="2"/>
    </w:pPr>
    <w:rPr>
      <w:rFonts w:eastAsia="Times New Roman"/>
      <w:b/>
      <w:bCs/>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9"/>
    <w:qFormat/>
    <w:uiPriority w:val="1"/>
    <w:pPr>
      <w:autoSpaceDE w:val="0"/>
      <w:autoSpaceDN w:val="0"/>
      <w:spacing w:after="0" w:line="240" w:lineRule="auto"/>
    </w:pPr>
    <w:rPr>
      <w:rFonts w:eastAsia="Times New Roman"/>
      <w:szCs w:val="24"/>
      <w:lang w:bidi="en-US"/>
    </w:rPr>
  </w:style>
  <w:style w:type="paragraph" w:styleId="6">
    <w:name w:val="toc 3"/>
    <w:basedOn w:val="1"/>
    <w:next w:val="1"/>
    <w:autoRedefine/>
    <w:unhideWhenUsed/>
    <w:qFormat/>
    <w:uiPriority w:val="39"/>
    <w:pPr>
      <w:tabs>
        <w:tab w:val="left" w:pos="1418"/>
        <w:tab w:val="right" w:leader="dot" w:pos="9061"/>
      </w:tabs>
      <w:spacing w:before="36" w:beforeLines="15" w:after="0"/>
      <w:ind w:left="880" w:leftChars="400"/>
    </w:pPr>
    <w:rPr>
      <w:szCs w:val="24"/>
    </w:rPr>
  </w:style>
  <w:style w:type="paragraph" w:styleId="7">
    <w:name w:val="Balloon Text"/>
    <w:basedOn w:val="1"/>
    <w:link w:val="26"/>
    <w:semiHidden/>
    <w:unhideWhenUsed/>
    <w:qFormat/>
    <w:uiPriority w:val="99"/>
    <w:pPr>
      <w:spacing w:after="0" w:line="240" w:lineRule="auto"/>
    </w:pPr>
    <w:rPr>
      <w:sz w:val="18"/>
      <w:szCs w:val="18"/>
    </w:rPr>
  </w:style>
  <w:style w:type="paragraph" w:styleId="8">
    <w:name w:val="footer"/>
    <w:basedOn w:val="1"/>
    <w:link w:val="19"/>
    <w:unhideWhenUsed/>
    <w:uiPriority w:val="99"/>
    <w:pPr>
      <w:tabs>
        <w:tab w:val="center" w:pos="4153"/>
        <w:tab w:val="right" w:pos="8306"/>
      </w:tabs>
      <w:snapToGrid w:val="0"/>
      <w:spacing w:line="240" w:lineRule="auto"/>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autoRedefine/>
    <w:unhideWhenUsed/>
    <w:uiPriority w:val="39"/>
    <w:pPr>
      <w:tabs>
        <w:tab w:val="left" w:pos="434"/>
        <w:tab w:val="right" w:leader="dot" w:pos="9061"/>
      </w:tabs>
      <w:snapToGrid w:val="0"/>
      <w:spacing w:before="120" w:beforeLines="50" w:after="0" w:line="240" w:lineRule="auto"/>
      <w:ind w:left="482" w:hanging="482" w:hangingChars="200"/>
      <w:jc w:val="both"/>
    </w:pPr>
    <w:rPr>
      <w:b/>
      <w:szCs w:val="24"/>
    </w:rPr>
  </w:style>
  <w:style w:type="paragraph" w:styleId="11">
    <w:name w:val="footnote text"/>
    <w:basedOn w:val="1"/>
    <w:link w:val="30"/>
    <w:semiHidden/>
    <w:unhideWhenUsed/>
    <w:uiPriority w:val="99"/>
    <w:pPr>
      <w:snapToGrid w:val="0"/>
    </w:pPr>
    <w:rPr>
      <w:sz w:val="18"/>
      <w:szCs w:val="18"/>
    </w:rPr>
  </w:style>
  <w:style w:type="paragraph" w:styleId="12">
    <w:name w:val="toc 2"/>
    <w:basedOn w:val="1"/>
    <w:next w:val="1"/>
    <w:autoRedefine/>
    <w:unhideWhenUsed/>
    <w:uiPriority w:val="39"/>
    <w:pPr>
      <w:tabs>
        <w:tab w:val="left" w:pos="1134"/>
        <w:tab w:val="right" w:leader="dot" w:pos="9061"/>
      </w:tabs>
      <w:adjustRightInd w:val="0"/>
      <w:snapToGrid w:val="0"/>
      <w:spacing w:after="0" w:line="240" w:lineRule="auto"/>
      <w:ind w:left="200" w:leftChars="200"/>
      <w:jc w:val="both"/>
    </w:pPr>
    <w:rPr>
      <w:szCs w:val="24"/>
    </w:rPr>
  </w:style>
  <w:style w:type="character" w:styleId="15">
    <w:name w:val="line number"/>
    <w:semiHidden/>
    <w:unhideWhenUsed/>
    <w:uiPriority w:val="99"/>
  </w:style>
  <w:style w:type="character" w:styleId="16">
    <w:name w:val="Hyperlink"/>
    <w:unhideWhenUsed/>
    <w:uiPriority w:val="99"/>
    <w:rPr>
      <w:color w:val="0000FF"/>
      <w:u w:val="single"/>
    </w:rPr>
  </w:style>
  <w:style w:type="character" w:styleId="17">
    <w:name w:val="footnote reference"/>
    <w:semiHidden/>
    <w:unhideWhenUsed/>
    <w:qFormat/>
    <w:uiPriority w:val="99"/>
    <w:rPr>
      <w:vertAlign w:val="superscript"/>
    </w:rPr>
  </w:style>
  <w:style w:type="character" w:customStyle="1" w:styleId="18">
    <w:name w:val="页眉 Char"/>
    <w:link w:val="9"/>
    <w:uiPriority w:val="99"/>
    <w:rPr>
      <w:rFonts w:ascii="Times New Roman" w:hAnsi="Times New Roman"/>
      <w:sz w:val="18"/>
      <w:szCs w:val="18"/>
      <w:lang w:eastAsia="en-US"/>
    </w:rPr>
  </w:style>
  <w:style w:type="character" w:customStyle="1" w:styleId="19">
    <w:name w:val="页脚 Char"/>
    <w:link w:val="8"/>
    <w:uiPriority w:val="99"/>
    <w:rPr>
      <w:rFonts w:ascii="Times New Roman" w:hAnsi="Times New Roman"/>
      <w:sz w:val="18"/>
      <w:szCs w:val="18"/>
      <w:lang w:eastAsia="en-US"/>
    </w:rPr>
  </w:style>
  <w:style w:type="character" w:customStyle="1" w:styleId="20">
    <w:name w:val="标题 1 Char"/>
    <w:link w:val="2"/>
    <w:qFormat/>
    <w:uiPriority w:val="9"/>
    <w:rPr>
      <w:rFonts w:ascii="Times New Roman" w:hAnsi="Times New Roman" w:eastAsia="Times New Roman" w:cs="Times New Roman"/>
      <w:b/>
      <w:bCs/>
      <w:sz w:val="36"/>
      <w:szCs w:val="36"/>
    </w:rPr>
  </w:style>
  <w:style w:type="character" w:customStyle="1" w:styleId="21">
    <w:name w:val="标题 2 Char"/>
    <w:link w:val="3"/>
    <w:qFormat/>
    <w:uiPriority w:val="9"/>
    <w:rPr>
      <w:rFonts w:ascii="Times New Roman" w:hAnsi="Times New Roman" w:eastAsia="Times New Roman" w:cs="Times New Roman"/>
      <w:b/>
      <w:bCs/>
      <w:sz w:val="28"/>
      <w:szCs w:val="28"/>
    </w:rPr>
  </w:style>
  <w:style w:type="paragraph" w:styleId="22">
    <w:name w:val="List Paragraph"/>
    <w:basedOn w:val="1"/>
    <w:qFormat/>
    <w:uiPriority w:val="34"/>
    <w:pPr>
      <w:ind w:firstLine="420" w:firstLineChars="200"/>
    </w:pPr>
  </w:style>
  <w:style w:type="character" w:customStyle="1" w:styleId="23">
    <w:name w:val="标题 3 Char"/>
    <w:link w:val="4"/>
    <w:uiPriority w:val="9"/>
    <w:rPr>
      <w:rFonts w:ascii="Times New Roman" w:hAnsi="Times New Roman" w:eastAsia="Times New Roman" w:cs="Times New Roman"/>
      <w:b/>
      <w:bCs/>
      <w:sz w:val="24"/>
      <w:szCs w:val="24"/>
    </w:rPr>
  </w:style>
  <w:style w:type="paragraph" w:customStyle="1" w:styleId="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en-US" w:bidi="ar-SA"/>
    </w:rPr>
  </w:style>
  <w:style w:type="paragraph" w:customStyle="1" w:styleId="25">
    <w:name w:val="APPENDIX"/>
    <w:basedOn w:val="1"/>
    <w:qFormat/>
    <w:uiPriority w:val="0"/>
    <w:pPr>
      <w:snapToGrid w:val="0"/>
      <w:spacing w:before="120" w:beforeLines="50" w:after="0" w:line="300" w:lineRule="auto"/>
      <w:jc w:val="both"/>
    </w:pPr>
    <w:rPr>
      <w:rFonts w:eastAsia="Times New Roman"/>
      <w:b/>
      <w:bCs/>
      <w:sz w:val="36"/>
      <w:szCs w:val="36"/>
    </w:rPr>
  </w:style>
  <w:style w:type="character" w:customStyle="1" w:styleId="26">
    <w:name w:val="批注框文本 Char"/>
    <w:link w:val="7"/>
    <w:semiHidden/>
    <w:uiPriority w:val="99"/>
    <w:rPr>
      <w:rFonts w:ascii="Times New Roman" w:hAnsi="Times New Roman"/>
      <w:sz w:val="18"/>
      <w:szCs w:val="18"/>
      <w:lang w:eastAsia="en-US"/>
    </w:rPr>
  </w:style>
  <w:style w:type="paragraph" w:customStyle="1" w:styleId="27">
    <w:name w:val="Revision"/>
    <w:hidden/>
    <w:semiHidden/>
    <w:qFormat/>
    <w:uiPriority w:val="99"/>
    <w:rPr>
      <w:rFonts w:ascii="Calibri" w:hAnsi="Calibri" w:eastAsia="宋体" w:cs="Times New Roman"/>
      <w:sz w:val="22"/>
      <w:szCs w:val="22"/>
      <w:lang w:val="en-US" w:eastAsia="en-US" w:bidi="ar-SA"/>
    </w:rPr>
  </w:style>
  <w:style w:type="paragraph" w:customStyle="1" w:styleId="28">
    <w:name w:val="TOC Heading"/>
    <w:basedOn w:val="2"/>
    <w:next w:val="1"/>
    <w:semiHidden/>
    <w:unhideWhenUsed/>
    <w:qFormat/>
    <w:uiPriority w:val="39"/>
    <w:pPr>
      <w:keepNext/>
      <w:keepLines/>
      <w:widowControl/>
      <w:spacing w:before="480" w:beforeLines="0" w:line="276" w:lineRule="auto"/>
      <w:ind w:left="0" w:firstLine="0" w:firstLineChars="0"/>
      <w:jc w:val="left"/>
      <w:outlineLvl w:val="9"/>
    </w:pPr>
    <w:rPr>
      <w:rFonts w:ascii="Cambria" w:hAnsi="Cambria" w:eastAsia="宋体"/>
      <w:color w:val="365F91"/>
      <w:sz w:val="28"/>
      <w:szCs w:val="28"/>
      <w:lang w:eastAsia="zh-CN"/>
    </w:rPr>
  </w:style>
  <w:style w:type="character" w:customStyle="1" w:styleId="29">
    <w:name w:val="正文文本 Char"/>
    <w:link w:val="5"/>
    <w:uiPriority w:val="1"/>
    <w:rPr>
      <w:rFonts w:ascii="Times New Roman" w:hAnsi="Times New Roman" w:eastAsia="Times New Roman"/>
      <w:sz w:val="24"/>
      <w:szCs w:val="24"/>
      <w:lang w:eastAsia="en-US" w:bidi="en-US"/>
    </w:rPr>
  </w:style>
  <w:style w:type="character" w:customStyle="1" w:styleId="30">
    <w:name w:val="脚注文本 Char"/>
    <w:link w:val="11"/>
    <w:semiHidden/>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BBFFC5-AA4E-4032-9D37-5345E33D54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12285</Words>
  <Characters>13608</Characters>
  <Lines>136</Lines>
  <Paragraphs>38</Paragraphs>
  <TotalTime>217</TotalTime>
  <ScaleCrop>false</ScaleCrop>
  <LinksUpToDate>false</LinksUpToDate>
  <CharactersWithSpaces>13688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2022-03-05T02:01:00Z</dcterms:created>
  <dc:creator>CDRH</dc:creator>
  <cp:lastModifiedBy>太极箫客</cp:lastModifiedBy>
  <dcterms:modified xsi:type="dcterms:W3CDTF">2025-08-14T06:59:14Z</dcterms:modified>
  <dc:title>Procedures for Meetings of the Medical Devices Advisory Committee - Guidance for Industry and Food and Drug Administration Staff</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2017-08-30T00:00:00Z</vt:filetime>
  </property>
  <property fmtid="{D5CDD505-2E9C-101B-9397-08002B2CF9AE}" pid="3" name="LastSaved">
    <vt:filetime>2021-11-10T00:00:00Z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C50BFD388B35447A85D0B82CB3E5FCD0_12</vt:lpwstr>
  </property>
</Properties>
</file>