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734DB">
      <w:pPr>
        <w:pBdr>
          <w:bottom w:val="single" w:color="auto" w:sz="4" w:space="1"/>
        </w:pBdr>
        <w:snapToGrid w:val="0"/>
        <w:spacing w:line="300" w:lineRule="auto"/>
        <w:jc w:val="center"/>
        <w:rPr>
          <w:rFonts w:ascii="Arial" w:hAnsi="Arial" w:eastAsia="宋体" w:cs="Arial"/>
          <w:b/>
          <w:sz w:val="72"/>
          <w:szCs w:val="72"/>
        </w:rPr>
      </w:pPr>
      <w:bookmarkStart w:id="22" w:name="_GoBack"/>
      <w:bookmarkEnd w:id="22"/>
      <w:r>
        <w:rPr>
          <w:rFonts w:ascii="Arial" w:hAnsi="Arial" w:eastAsia="宋体" w:cs="Arial"/>
          <w:b/>
          <w:sz w:val="72"/>
          <w:szCs w:val="72"/>
        </w:rPr>
        <w:t>行业</w:t>
      </w:r>
      <w:r>
        <w:rPr>
          <w:rFonts w:hint="eastAsia" w:ascii="Arial" w:hAnsi="Arial" w:eastAsia="宋体" w:cs="Arial"/>
          <w:b/>
          <w:sz w:val="72"/>
          <w:szCs w:val="72"/>
        </w:rPr>
        <w:t>和</w:t>
      </w:r>
      <w:r>
        <w:rPr>
          <w:rFonts w:ascii="Arial" w:hAnsi="Arial" w:eastAsia="宋体" w:cs="Arial"/>
          <w:b/>
          <w:sz w:val="72"/>
          <w:szCs w:val="72"/>
        </w:rPr>
        <w:t>FDA工作人员指南</w:t>
      </w:r>
    </w:p>
    <w:p w14:paraId="6558DBB9">
      <w:pPr>
        <w:snapToGrid w:val="0"/>
        <w:spacing w:after="240" w:line="300" w:lineRule="auto"/>
        <w:jc w:val="center"/>
        <w:rPr>
          <w:rFonts w:ascii="Arial" w:hAnsi="Arial" w:eastAsia="宋体" w:cs="Arial"/>
          <w:b/>
          <w:sz w:val="72"/>
          <w:szCs w:val="72"/>
        </w:rPr>
      </w:pPr>
      <w:r>
        <w:rPr>
          <w:rFonts w:ascii="Arial" w:hAnsi="Arial" w:eastAsia="宋体" w:cs="Arial"/>
          <w:b/>
          <w:sz w:val="72"/>
          <w:szCs w:val="72"/>
        </w:rPr>
        <w:t>柜式X射线系统合规指南</w:t>
      </w:r>
    </w:p>
    <w:p w14:paraId="7CC9F5D8">
      <w:pPr>
        <w:snapToGrid w:val="0"/>
        <w:spacing w:after="240" w:line="300" w:lineRule="auto"/>
        <w:jc w:val="center"/>
        <w:rPr>
          <w:rFonts w:ascii="Arial" w:hAnsi="Arial" w:eastAsia="宋体" w:cs="Arial"/>
          <w:b/>
          <w:sz w:val="24"/>
          <w:szCs w:val="24"/>
          <w:lang w:val="de-DE"/>
        </w:rPr>
      </w:pPr>
      <w:r>
        <w:rPr>
          <w:rFonts w:ascii="Arial" w:hAnsi="Arial" w:eastAsia="宋体" w:cs="Arial"/>
          <w:b/>
          <w:sz w:val="24"/>
          <w:szCs w:val="24"/>
        </w:rPr>
        <w:t>文件发布于</w:t>
      </w:r>
      <w:r>
        <w:rPr>
          <w:rFonts w:ascii="Arial" w:hAnsi="Arial" w:eastAsia="宋体" w:cs="Arial"/>
          <w:b/>
          <w:sz w:val="24"/>
          <w:szCs w:val="24"/>
          <w:lang w:val="de-DE"/>
        </w:rPr>
        <w:t>2007</w:t>
      </w:r>
      <w:r>
        <w:rPr>
          <w:rFonts w:ascii="Arial" w:hAnsi="Arial" w:eastAsia="宋体" w:cs="Arial"/>
          <w:b/>
          <w:sz w:val="24"/>
          <w:szCs w:val="24"/>
        </w:rPr>
        <w:t>年</w:t>
      </w:r>
      <w:r>
        <w:rPr>
          <w:rFonts w:ascii="Arial" w:hAnsi="Arial" w:eastAsia="宋体" w:cs="Arial"/>
          <w:b/>
          <w:sz w:val="24"/>
          <w:szCs w:val="24"/>
          <w:lang w:val="de-DE"/>
        </w:rPr>
        <w:t>9</w:t>
      </w:r>
      <w:r>
        <w:rPr>
          <w:rFonts w:ascii="Arial" w:hAnsi="Arial" w:eastAsia="宋体" w:cs="Arial"/>
          <w:b/>
          <w:sz w:val="24"/>
          <w:szCs w:val="24"/>
        </w:rPr>
        <w:t>月</w:t>
      </w:r>
      <w:r>
        <w:rPr>
          <w:rFonts w:ascii="Arial" w:hAnsi="Arial" w:eastAsia="宋体" w:cs="Arial"/>
          <w:b/>
          <w:sz w:val="24"/>
          <w:szCs w:val="24"/>
          <w:lang w:val="de-DE"/>
        </w:rPr>
        <w:t>19</w:t>
      </w:r>
      <w:r>
        <w:rPr>
          <w:rFonts w:ascii="Arial" w:hAnsi="Arial" w:eastAsia="宋体" w:cs="Arial"/>
          <w:b/>
          <w:sz w:val="24"/>
          <w:szCs w:val="24"/>
        </w:rPr>
        <w:t>日</w:t>
      </w:r>
    </w:p>
    <w:p w14:paraId="354D46CC">
      <w:pPr>
        <w:snapToGrid w:val="0"/>
        <w:spacing w:after="240" w:line="300" w:lineRule="auto"/>
        <w:jc w:val="left"/>
        <w:rPr>
          <w:rFonts w:ascii="Arial" w:hAnsi="Arial" w:eastAsia="宋体" w:cs="Arial"/>
          <w:sz w:val="24"/>
          <w:szCs w:val="24"/>
          <w:lang w:val="de-DE"/>
        </w:rPr>
      </w:pPr>
      <w:r>
        <w:rPr>
          <w:rFonts w:ascii="Arial" w:hAnsi="Arial" w:eastAsia="宋体" w:cs="Arial"/>
          <w:sz w:val="24"/>
          <w:szCs w:val="24"/>
        </w:rPr>
        <w:t>关于本文件的任何问题</w:t>
      </w:r>
      <w:r>
        <w:rPr>
          <w:rFonts w:ascii="Arial" w:hAnsi="Arial" w:eastAsia="宋体" w:cs="Arial"/>
          <w:sz w:val="24"/>
          <w:szCs w:val="24"/>
          <w:lang w:val="de-DE"/>
        </w:rPr>
        <w:t>，</w:t>
      </w:r>
      <w:r>
        <w:rPr>
          <w:rFonts w:ascii="Arial" w:hAnsi="Arial" w:eastAsia="宋体" w:cs="Arial"/>
          <w:sz w:val="24"/>
          <w:szCs w:val="24"/>
        </w:rPr>
        <w:t>请通过电话</w:t>
      </w:r>
      <w:r>
        <w:rPr>
          <w:rFonts w:ascii="Arial" w:hAnsi="Arial" w:eastAsia="宋体" w:cs="Arial"/>
          <w:sz w:val="24"/>
          <w:szCs w:val="24"/>
          <w:lang w:val="de-DE"/>
        </w:rPr>
        <w:t>301-796-5865</w:t>
      </w:r>
      <w:r>
        <w:rPr>
          <w:rFonts w:ascii="Arial" w:hAnsi="Arial" w:eastAsia="宋体" w:cs="Arial"/>
          <w:sz w:val="24"/>
          <w:szCs w:val="24"/>
        </w:rPr>
        <w:t>或邮箱</w:t>
      </w:r>
      <w:r>
        <w:rPr>
          <w:rFonts w:ascii="Arial" w:hAnsi="Arial" w:eastAsia="宋体" w:cs="Arial"/>
          <w:sz w:val="24"/>
          <w:szCs w:val="24"/>
          <w:lang w:val="de-DE"/>
        </w:rPr>
        <w:t>Daniel.Kassiday@FDA.HHS.GOV</w:t>
      </w:r>
      <w:r>
        <w:rPr>
          <w:rFonts w:ascii="Arial" w:hAnsi="Arial" w:eastAsia="宋体" w:cs="Arial"/>
          <w:sz w:val="24"/>
          <w:szCs w:val="24"/>
        </w:rPr>
        <w:t>联系</w:t>
      </w:r>
      <w:r>
        <w:rPr>
          <w:rFonts w:ascii="Arial" w:hAnsi="Arial" w:eastAsia="宋体" w:cs="Arial"/>
          <w:sz w:val="24"/>
          <w:szCs w:val="24"/>
          <w:lang w:val="de-DE"/>
        </w:rPr>
        <w:t>Daniel Kassiday</w:t>
      </w:r>
      <w:r>
        <w:rPr>
          <w:rFonts w:ascii="Arial" w:hAnsi="Arial" w:eastAsia="宋体" w:cs="Arial"/>
          <w:sz w:val="24"/>
          <w:szCs w:val="24"/>
        </w:rPr>
        <w:t>。</w:t>
      </w:r>
    </w:p>
    <w:p w14:paraId="33F22F1B">
      <w:pPr>
        <w:snapToGrid w:val="0"/>
        <w:spacing w:after="240" w:line="300" w:lineRule="auto"/>
        <w:jc w:val="left"/>
        <w:rPr>
          <w:rFonts w:ascii="Arial" w:hAnsi="Arial" w:eastAsia="宋体" w:cs="Arial"/>
          <w:lang w:val="de-DE"/>
        </w:rPr>
      </w:pPr>
    </w:p>
    <w:p w14:paraId="7FB098B1">
      <w:pPr>
        <w:snapToGrid w:val="0"/>
        <w:spacing w:after="240" w:line="300" w:lineRule="auto"/>
        <w:jc w:val="left"/>
        <w:rPr>
          <w:rFonts w:ascii="Arial" w:hAnsi="Arial" w:eastAsia="宋体" w:cs="Arial"/>
          <w:lang w:val="de-DE"/>
        </w:rPr>
      </w:pPr>
    </w:p>
    <w:p w14:paraId="34DEB86F">
      <w:pPr>
        <w:snapToGrid w:val="0"/>
        <w:spacing w:after="240" w:line="300" w:lineRule="auto"/>
        <w:jc w:val="left"/>
        <w:rPr>
          <w:rFonts w:ascii="Arial" w:hAnsi="Arial" w:eastAsia="宋体" w:cs="Arial"/>
          <w:lang w:val="de-DE"/>
        </w:rPr>
      </w:pPr>
    </w:p>
    <w:p w14:paraId="5F565702">
      <w:pPr>
        <w:snapToGrid w:val="0"/>
        <w:spacing w:after="240" w:line="300" w:lineRule="auto"/>
        <w:jc w:val="left"/>
        <w:rPr>
          <w:rFonts w:ascii="Arial" w:hAnsi="Arial" w:eastAsia="宋体" w:cs="Arial"/>
          <w:lang w:val="de-DE"/>
        </w:rPr>
      </w:pPr>
    </w:p>
    <w:p w14:paraId="0E54DC05">
      <w:pPr>
        <w:snapToGrid w:val="0"/>
        <w:spacing w:after="240" w:line="300" w:lineRule="auto"/>
        <w:jc w:val="left"/>
        <w:rPr>
          <w:rFonts w:ascii="Arial" w:hAnsi="Arial" w:eastAsia="宋体" w:cs="Arial"/>
          <w:lang w:val="de-DE"/>
        </w:rPr>
      </w:pPr>
    </w:p>
    <w:p w14:paraId="68895BB2">
      <w:pPr>
        <w:snapToGrid w:val="0"/>
        <w:spacing w:after="240" w:line="300" w:lineRule="auto"/>
        <w:jc w:val="left"/>
        <w:rPr>
          <w:rFonts w:ascii="Arial" w:hAnsi="Arial" w:eastAsia="宋体" w:cs="Arial"/>
          <w:lang w:val="de-DE"/>
        </w:rPr>
      </w:pPr>
    </w:p>
    <w:p w14:paraId="788F981F">
      <w:pPr>
        <w:snapToGrid w:val="0"/>
        <w:spacing w:after="240" w:line="300" w:lineRule="auto"/>
        <w:jc w:val="left"/>
        <w:rPr>
          <w:rFonts w:ascii="Arial" w:hAnsi="Arial" w:eastAsia="宋体" w:cs="Arial"/>
          <w:lang w:val="de-DE"/>
        </w:rPr>
      </w:pPr>
    </w:p>
    <w:p w14:paraId="37CBE302">
      <w:pPr>
        <w:snapToGrid w:val="0"/>
        <w:spacing w:after="240" w:line="300" w:lineRule="auto"/>
        <w:jc w:val="left"/>
        <w:rPr>
          <w:rFonts w:ascii="Arial" w:hAnsi="Arial" w:eastAsia="宋体" w:cs="Arial"/>
          <w:lang w:val="de-DE"/>
        </w:rPr>
      </w:pPr>
    </w:p>
    <w:p w14:paraId="168CC617">
      <w:pPr>
        <w:snapToGrid w:val="0"/>
        <w:spacing w:after="240" w:line="300" w:lineRule="auto"/>
        <w:jc w:val="left"/>
        <w:rPr>
          <w:rFonts w:ascii="Arial" w:hAnsi="Arial" w:eastAsia="宋体" w:cs="Arial"/>
          <w:lang w:val="de-DE"/>
        </w:rPr>
      </w:pPr>
    </w:p>
    <w:p w14:paraId="31981FD2">
      <w:pPr>
        <w:snapToGrid w:val="0"/>
        <w:spacing w:after="240" w:line="300" w:lineRule="auto"/>
        <w:jc w:val="left"/>
        <w:rPr>
          <w:rFonts w:ascii="Arial" w:hAnsi="Arial" w:eastAsia="宋体" w:cs="Arial"/>
          <w:lang w:val="de-DE"/>
        </w:rPr>
      </w:pPr>
    </w:p>
    <w:p w14:paraId="796EF876">
      <w:pPr>
        <w:snapToGrid w:val="0"/>
        <w:spacing w:after="240" w:line="300" w:lineRule="auto"/>
        <w:jc w:val="left"/>
        <w:rPr>
          <w:rFonts w:ascii="Arial" w:hAnsi="Arial" w:eastAsia="宋体" w:cs="Arial"/>
          <w:lang w:val="de-DE"/>
        </w:rPr>
      </w:pPr>
    </w:p>
    <w:p w14:paraId="34098F5C">
      <w:pPr>
        <w:snapToGrid w:val="0"/>
        <w:spacing w:after="240" w:line="300" w:lineRule="auto"/>
        <w:jc w:val="left"/>
        <w:rPr>
          <w:rFonts w:ascii="Arial" w:hAnsi="Arial" w:eastAsia="宋体" w:cs="Arial"/>
          <w:lang w:val="de-DE"/>
        </w:rPr>
      </w:pPr>
    </w:p>
    <w:p w14:paraId="12995B73">
      <w:pPr>
        <w:snapToGrid w:val="0"/>
        <w:spacing w:after="240" w:line="300" w:lineRule="auto"/>
        <w:jc w:val="left"/>
        <w:rPr>
          <w:rFonts w:ascii="Arial" w:hAnsi="Arial" w:eastAsia="宋体" w:cs="Arial"/>
          <w:lang w:val="de-DE"/>
        </w:rPr>
      </w:pPr>
    </w:p>
    <w:p w14:paraId="20560047">
      <w:pPr>
        <w:snapToGrid w:val="0"/>
        <w:spacing w:after="240" w:line="300" w:lineRule="auto"/>
        <w:jc w:val="left"/>
        <w:rPr>
          <w:rFonts w:ascii="Arial" w:hAnsi="Arial" w:eastAsia="宋体" w:cs="Arial"/>
          <w:b/>
          <w:lang w:val="de-DE"/>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1905</wp:posOffset>
            </wp:positionV>
            <wp:extent cx="857250" cy="1009650"/>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57143" cy="1009524"/>
                    </a:xfrm>
                    <a:prstGeom prst="rect">
                      <a:avLst/>
                    </a:prstGeom>
                  </pic:spPr>
                </pic:pic>
              </a:graphicData>
            </a:graphic>
          </wp:anchor>
        </w:drawing>
      </w:r>
    </w:p>
    <w:p w14:paraId="29626204">
      <w:pPr>
        <w:snapToGrid w:val="0"/>
        <w:spacing w:line="300" w:lineRule="auto"/>
        <w:jc w:val="right"/>
        <w:rPr>
          <w:rFonts w:ascii="Arial" w:hAnsi="Arial" w:eastAsia="宋体" w:cs="Arial"/>
          <w:b/>
        </w:rPr>
      </w:pPr>
      <w:r>
        <w:rPr>
          <w:rFonts w:ascii="Arial" w:hAnsi="Arial" w:eastAsia="宋体" w:cs="Arial"/>
          <w:b/>
        </w:rPr>
        <w:t>美国卫生和人类服务署</w:t>
      </w:r>
    </w:p>
    <w:p w14:paraId="5D3FFE78">
      <w:pPr>
        <w:snapToGrid w:val="0"/>
        <w:spacing w:line="300" w:lineRule="auto"/>
        <w:jc w:val="right"/>
        <w:rPr>
          <w:rFonts w:ascii="Arial" w:hAnsi="Arial" w:eastAsia="宋体" w:cs="Arial"/>
          <w:b/>
        </w:rPr>
      </w:pPr>
      <w:r>
        <w:rPr>
          <w:rFonts w:ascii="Arial" w:hAnsi="Arial" w:eastAsia="宋体" w:cs="Arial"/>
          <w:b/>
        </w:rPr>
        <w:t>食品药品监督管理局</w:t>
      </w:r>
    </w:p>
    <w:p w14:paraId="7617CFE6">
      <w:pPr>
        <w:snapToGrid w:val="0"/>
        <w:spacing w:line="300" w:lineRule="auto"/>
        <w:jc w:val="right"/>
        <w:rPr>
          <w:rFonts w:ascii="Arial" w:hAnsi="Arial" w:eastAsia="宋体" w:cs="Arial"/>
          <w:b/>
        </w:rPr>
      </w:pPr>
      <w:r>
        <w:rPr>
          <w:rFonts w:ascii="Arial" w:hAnsi="Arial" w:eastAsia="宋体" w:cs="Arial"/>
          <w:b/>
        </w:rPr>
        <w:t>器械和放射卫生中心</w:t>
      </w:r>
    </w:p>
    <w:p w14:paraId="4C3B5129">
      <w:pPr>
        <w:snapToGrid w:val="0"/>
        <w:spacing w:line="300" w:lineRule="auto"/>
        <w:jc w:val="right"/>
        <w:rPr>
          <w:rFonts w:ascii="Arial" w:hAnsi="Arial" w:eastAsia="宋体" w:cs="Arial"/>
          <w:b/>
        </w:rPr>
      </w:pPr>
      <w:r>
        <w:rPr>
          <w:rFonts w:ascii="Arial" w:hAnsi="Arial" w:eastAsia="宋体" w:cs="Arial"/>
          <w:b/>
        </w:rPr>
        <w:t>电子产品分部</w:t>
      </w:r>
    </w:p>
    <w:p w14:paraId="3429455D">
      <w:pPr>
        <w:snapToGrid w:val="0"/>
        <w:spacing w:line="300" w:lineRule="auto"/>
        <w:jc w:val="right"/>
        <w:rPr>
          <w:rFonts w:ascii="Arial" w:hAnsi="Arial" w:eastAsia="宋体" w:cs="Arial"/>
          <w:b/>
        </w:rPr>
      </w:pPr>
      <w:r>
        <w:rPr>
          <w:rFonts w:ascii="Arial" w:hAnsi="Arial" w:eastAsia="宋体" w:cs="Arial"/>
          <w:b/>
        </w:rPr>
        <w:t>乳房X光造影术质量和辐射项目分部</w:t>
      </w:r>
    </w:p>
    <w:p w14:paraId="2B33964D">
      <w:pPr>
        <w:snapToGrid w:val="0"/>
        <w:spacing w:line="300" w:lineRule="auto"/>
        <w:jc w:val="right"/>
        <w:rPr>
          <w:rFonts w:ascii="Arial" w:hAnsi="Arial" w:eastAsia="宋体" w:cs="Arial"/>
          <w:b/>
        </w:rPr>
      </w:pPr>
      <w:r>
        <w:rPr>
          <w:rFonts w:ascii="Arial" w:hAnsi="Arial" w:eastAsia="宋体" w:cs="Arial"/>
          <w:b/>
        </w:rPr>
        <w:t>沟通、教育和辐射项目办公室</w:t>
      </w:r>
    </w:p>
    <w:p w14:paraId="7519C257">
      <w:pPr>
        <w:snapToGrid w:val="0"/>
        <w:spacing w:line="300" w:lineRule="auto"/>
        <w:jc w:val="right"/>
        <w:rPr>
          <w:rFonts w:ascii="Arial" w:hAnsi="Arial" w:eastAsia="宋体" w:cs="Arial"/>
          <w:b/>
        </w:rPr>
        <w:sectPr>
          <w:pgSz w:w="11906" w:h="16838"/>
          <w:pgMar w:top="1440" w:right="1800" w:bottom="1440" w:left="1800" w:header="851" w:footer="992" w:gutter="0"/>
          <w:cols w:space="425" w:num="1"/>
          <w:docGrid w:type="lines" w:linePitch="312" w:charSpace="0"/>
        </w:sectPr>
      </w:pPr>
    </w:p>
    <w:p w14:paraId="54E31D78">
      <w:pPr>
        <w:snapToGrid w:val="0"/>
        <w:spacing w:after="240" w:line="300" w:lineRule="auto"/>
        <w:jc w:val="center"/>
        <w:rPr>
          <w:rFonts w:ascii="Arial" w:hAnsi="Arial" w:eastAsia="宋体" w:cs="Arial"/>
          <w:b/>
          <w:sz w:val="44"/>
          <w:szCs w:val="44"/>
        </w:rPr>
      </w:pPr>
      <w:r>
        <w:rPr>
          <w:rFonts w:ascii="Arial" w:hAnsi="Arial" w:eastAsia="宋体" w:cs="Arial"/>
          <w:b/>
          <w:sz w:val="44"/>
          <w:szCs w:val="44"/>
        </w:rPr>
        <w:t>前言</w:t>
      </w:r>
    </w:p>
    <w:p w14:paraId="1A048000">
      <w:pPr>
        <w:snapToGrid w:val="0"/>
        <w:spacing w:after="240" w:line="300" w:lineRule="auto"/>
        <w:jc w:val="left"/>
        <w:rPr>
          <w:rFonts w:ascii="Arial" w:hAnsi="Arial" w:eastAsia="宋体" w:cs="Arial"/>
          <w:b/>
          <w:sz w:val="24"/>
          <w:szCs w:val="24"/>
        </w:rPr>
      </w:pPr>
      <w:r>
        <w:rPr>
          <w:rFonts w:hint="eastAsia" w:ascii="Arial" w:hAnsi="Arial" w:eastAsia="宋体" w:cs="Arial"/>
          <w:b/>
          <w:sz w:val="24"/>
          <w:szCs w:val="24"/>
        </w:rPr>
        <w:t>公共</w:t>
      </w:r>
      <w:r>
        <w:rPr>
          <w:rFonts w:ascii="Arial" w:hAnsi="Arial" w:eastAsia="宋体" w:cs="Arial"/>
          <w:b/>
          <w:sz w:val="24"/>
          <w:szCs w:val="24"/>
        </w:rPr>
        <w:t>评论</w:t>
      </w:r>
    </w:p>
    <w:p w14:paraId="4662560B">
      <w:pPr>
        <w:snapToGrid w:val="0"/>
        <w:spacing w:after="240" w:line="300" w:lineRule="auto"/>
        <w:jc w:val="left"/>
        <w:rPr>
          <w:rFonts w:ascii="Arial" w:hAnsi="Arial" w:eastAsia="宋体" w:cs="Arial"/>
          <w:sz w:val="24"/>
          <w:szCs w:val="24"/>
        </w:rPr>
      </w:pPr>
      <w:r>
        <w:rPr>
          <w:rFonts w:ascii="Arial" w:hAnsi="Arial" w:eastAsia="宋体" w:cs="Arial"/>
          <w:sz w:val="24"/>
          <w:szCs w:val="24"/>
        </w:rPr>
        <w:t>为便于本机构收集评论和建议，书面评论和建议可以随时提交至食品药品监督管理局，人力资源和管理服务办公室，管理系统和政策司，案卷管理科（5630 Fishers Lane，ROOM 1061（HFA-305），Rockville，MD，20852）。此外，电子评论可提交至http：//www.regulations.gov。所有评论应注明案卷编号，该编号在联邦公报上公布的可用性通知中列出。再次进行文件修订或更新之前，本机构可能不会针对评论采取行动。</w:t>
      </w:r>
    </w:p>
    <w:p w14:paraId="0A612132">
      <w:pPr>
        <w:snapToGrid w:val="0"/>
        <w:spacing w:after="240" w:line="300" w:lineRule="auto"/>
        <w:jc w:val="left"/>
        <w:rPr>
          <w:rFonts w:ascii="Arial" w:hAnsi="Arial" w:eastAsia="宋体" w:cs="Arial"/>
          <w:b/>
          <w:sz w:val="24"/>
          <w:szCs w:val="24"/>
        </w:rPr>
      </w:pPr>
      <w:r>
        <w:rPr>
          <w:rFonts w:ascii="Arial" w:hAnsi="Arial" w:eastAsia="宋体" w:cs="Arial"/>
          <w:b/>
          <w:sz w:val="24"/>
          <w:szCs w:val="24"/>
        </w:rPr>
        <w:t>其他副本</w:t>
      </w:r>
    </w:p>
    <w:p w14:paraId="4513B383">
      <w:pPr>
        <w:widowControl/>
        <w:snapToGrid w:val="0"/>
        <w:spacing w:line="300" w:lineRule="auto"/>
        <w:rPr>
          <w:rFonts w:ascii="Arial" w:hAnsi="Arial" w:eastAsia="宋体" w:cs="Arial"/>
          <w:sz w:val="24"/>
          <w:szCs w:val="24"/>
        </w:rPr>
      </w:pPr>
      <w:r>
        <w:rPr>
          <w:rFonts w:ascii="Arial" w:hAnsi="Arial" w:eastAsia="宋体" w:cs="Arial"/>
          <w:sz w:val="24"/>
          <w:szCs w:val="24"/>
        </w:rPr>
        <w:t>其他副本可从互联网获得</w:t>
      </w:r>
      <w:r>
        <w:rPr>
          <w:rFonts w:ascii="Arial" w:hAnsi="Arial" w:cs="Arial"/>
          <w:color w:val="0000FF"/>
          <w:sz w:val="24"/>
          <w:szCs w:val="24"/>
          <w:u w:val="single"/>
        </w:rPr>
        <w:t>http://www.fda.gov/cdrh/ocer/guidance/1634.html</w:t>
      </w:r>
      <w:r>
        <w:rPr>
          <w:rFonts w:ascii="Arial" w:hAnsi="Arial" w:eastAsia="宋体" w:cs="Arial"/>
          <w:sz w:val="24"/>
          <w:szCs w:val="24"/>
        </w:rPr>
        <w:t>。您还可以向</w:t>
      </w:r>
      <w:r>
        <w:rPr>
          <w:rFonts w:ascii="Arial" w:hAnsi="Arial" w:eastAsia="宋体" w:cs="Arial"/>
          <w:color w:val="0000FF"/>
          <w:sz w:val="24"/>
          <w:szCs w:val="24"/>
          <w:u w:val="single"/>
        </w:rPr>
        <w:t>dsmica@fda.hhs.gov</w:t>
      </w:r>
      <w:r>
        <w:rPr>
          <w:rFonts w:ascii="Arial" w:hAnsi="Arial" w:eastAsia="宋体" w:cs="Arial"/>
          <w:sz w:val="24"/>
          <w:szCs w:val="24"/>
        </w:rPr>
        <w:t xml:space="preserve"> 发送电子邮件请求以接收本指南的电子副本，或向301-847-8149发送传真请求以接收副本。请使用文件编号1634来注明您所要求获得的指南。</w:t>
      </w:r>
      <w:r>
        <w:rPr>
          <w:rFonts w:ascii="Arial" w:hAnsi="Arial" w:eastAsia="宋体" w:cs="Arial"/>
          <w:sz w:val="24"/>
          <w:szCs w:val="24"/>
        </w:rPr>
        <w:br w:type="page"/>
      </w:r>
    </w:p>
    <w:p w14:paraId="7E153970">
      <w:pPr>
        <w:snapToGrid w:val="0"/>
        <w:spacing w:line="300" w:lineRule="auto"/>
        <w:jc w:val="center"/>
        <w:rPr>
          <w:rFonts w:ascii="Arial" w:hAnsi="Arial" w:eastAsia="宋体" w:cs="Arial"/>
          <w:b/>
          <w:sz w:val="44"/>
          <w:szCs w:val="44"/>
        </w:rPr>
      </w:pPr>
      <w:r>
        <w:rPr>
          <w:rFonts w:ascii="Arial" w:hAnsi="Arial" w:eastAsia="宋体" w:cs="Arial"/>
          <w:b/>
          <w:sz w:val="44"/>
          <w:szCs w:val="44"/>
        </w:rPr>
        <w:t>目录</w:t>
      </w:r>
    </w:p>
    <w:sdt>
      <w:sdtPr>
        <w:rPr>
          <w:rFonts w:asciiTheme="minorHAnsi" w:hAnsiTheme="minorHAnsi" w:eastAsiaTheme="minorEastAsia" w:cstheme="minorBidi"/>
          <w:b w:val="0"/>
          <w:bCs w:val="0"/>
          <w:color w:val="auto"/>
          <w:kern w:val="2"/>
          <w:sz w:val="21"/>
          <w:szCs w:val="22"/>
          <w:lang w:val="zh-CN"/>
        </w:rPr>
        <w:id w:val="-114765849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07F6B7F1">
          <w:pPr>
            <w:pStyle w:val="20"/>
            <w:spacing w:before="0"/>
          </w:pPr>
        </w:p>
        <w:p w14:paraId="645178D8">
          <w:pPr>
            <w:pStyle w:val="6"/>
            <w:tabs>
              <w:tab w:val="right" w:leader="dot" w:pos="8296"/>
            </w:tabs>
            <w:rPr>
              <w:rFonts w:eastAsiaTheme="minorEastAsia"/>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"_Toc496890868" </w:instrText>
          </w:r>
          <w:r>
            <w:fldChar w:fldCharType="separate"/>
          </w:r>
          <w:r>
            <w:rPr>
              <w:rStyle w:val="11"/>
              <w:rFonts w:hint="eastAsia" w:ascii="Arial" w:hAnsi="Arial" w:cs="Arial"/>
              <w:b/>
            </w:rPr>
            <w:t>引言</w:t>
          </w:r>
          <w:r>
            <w:tab/>
          </w:r>
          <w:r>
            <w:fldChar w:fldCharType="begin"/>
          </w:r>
          <w:r>
            <w:instrText xml:space="preserve"> PAGEREF _Toc496890868 \h </w:instrText>
          </w:r>
          <w:r>
            <w:fldChar w:fldCharType="separate"/>
          </w:r>
          <w:r>
            <w:t>1</w:t>
          </w:r>
          <w:r>
            <w:fldChar w:fldCharType="end"/>
          </w:r>
          <w:r>
            <w:fldChar w:fldCharType="end"/>
          </w:r>
        </w:p>
        <w:p w14:paraId="2495D3AE">
          <w:pPr>
            <w:pStyle w:val="6"/>
            <w:tabs>
              <w:tab w:val="left" w:pos="420"/>
              <w:tab w:val="right" w:leader="dot" w:pos="8296"/>
            </w:tabs>
            <w:rPr>
              <w:rFonts w:eastAsiaTheme="minorEastAsia"/>
            </w:rPr>
          </w:pPr>
          <w:r>
            <w:fldChar w:fldCharType="begin"/>
          </w:r>
          <w:r>
            <w:instrText xml:space="preserve"> HYPERLINK \l "_Toc496890869" </w:instrText>
          </w:r>
          <w:r>
            <w:fldChar w:fldCharType="separate"/>
          </w:r>
          <w:r>
            <w:rPr>
              <w:rStyle w:val="11"/>
              <w:rFonts w:ascii="Arial" w:hAnsi="Arial" w:cs="Arial"/>
              <w:b/>
            </w:rPr>
            <w:t>1.</w:t>
          </w:r>
          <w:r>
            <w:rPr>
              <w:rFonts w:eastAsiaTheme="minorEastAsia"/>
            </w:rPr>
            <w:tab/>
          </w:r>
          <w:r>
            <w:rPr>
              <w:rStyle w:val="11"/>
              <w:rFonts w:hint="eastAsia" w:ascii="Arial" w:hAnsi="Arial" w:cs="Arial"/>
              <w:b/>
            </w:rPr>
            <w:t>定义</w:t>
          </w:r>
          <w:r>
            <w:tab/>
          </w:r>
          <w:r>
            <w:fldChar w:fldCharType="begin"/>
          </w:r>
          <w:r>
            <w:instrText xml:space="preserve"> PAGEREF _Toc496890869 \h </w:instrText>
          </w:r>
          <w:r>
            <w:fldChar w:fldCharType="separate"/>
          </w:r>
          <w:r>
            <w:t>2</w:t>
          </w:r>
          <w:r>
            <w:fldChar w:fldCharType="end"/>
          </w:r>
          <w:r>
            <w:fldChar w:fldCharType="end"/>
          </w:r>
        </w:p>
        <w:p w14:paraId="22E6928E">
          <w:pPr>
            <w:pStyle w:val="6"/>
            <w:tabs>
              <w:tab w:val="left" w:pos="420"/>
              <w:tab w:val="right" w:leader="dot" w:pos="8296"/>
            </w:tabs>
            <w:rPr>
              <w:rFonts w:eastAsiaTheme="minorEastAsia"/>
            </w:rPr>
          </w:pPr>
          <w:r>
            <w:fldChar w:fldCharType="begin"/>
          </w:r>
          <w:r>
            <w:instrText xml:space="preserve"> HYPERLINK \l "_Toc496890870" </w:instrText>
          </w:r>
          <w:r>
            <w:fldChar w:fldCharType="separate"/>
          </w:r>
          <w:r>
            <w:rPr>
              <w:rStyle w:val="11"/>
              <w:rFonts w:ascii="Arial" w:hAnsi="Arial" w:cs="Arial"/>
              <w:b/>
            </w:rPr>
            <w:t>2.</w:t>
          </w:r>
          <w:r>
            <w:rPr>
              <w:rFonts w:eastAsiaTheme="minorEastAsia"/>
            </w:rPr>
            <w:tab/>
          </w:r>
          <w:r>
            <w:rPr>
              <w:rStyle w:val="11"/>
              <w:rFonts w:hint="eastAsia" w:ascii="Arial" w:hAnsi="Arial" w:cs="Arial"/>
              <w:b/>
            </w:rPr>
            <w:t>柜式</w:t>
          </w:r>
          <w:r>
            <w:rPr>
              <w:rStyle w:val="11"/>
              <w:rFonts w:ascii="Arial" w:hAnsi="Arial" w:cs="Arial"/>
              <w:b/>
            </w:rPr>
            <w:t>X</w:t>
          </w:r>
          <w:r>
            <w:rPr>
              <w:rStyle w:val="11"/>
              <w:rFonts w:hint="eastAsia" w:ascii="Arial" w:hAnsi="Arial" w:cs="Arial"/>
              <w:b/>
            </w:rPr>
            <w:t>射线产品制造商要求概述</w:t>
          </w:r>
          <w:r>
            <w:tab/>
          </w:r>
          <w:r>
            <w:fldChar w:fldCharType="begin"/>
          </w:r>
          <w:r>
            <w:instrText xml:space="preserve"> PAGEREF _Toc496890870 \h </w:instrText>
          </w:r>
          <w:r>
            <w:fldChar w:fldCharType="separate"/>
          </w:r>
          <w:r>
            <w:t>7</w:t>
          </w:r>
          <w:r>
            <w:fldChar w:fldCharType="end"/>
          </w:r>
          <w:r>
            <w:fldChar w:fldCharType="end"/>
          </w:r>
        </w:p>
        <w:p w14:paraId="02910AFC">
          <w:pPr>
            <w:pStyle w:val="6"/>
            <w:tabs>
              <w:tab w:val="left" w:pos="420"/>
              <w:tab w:val="right" w:leader="dot" w:pos="8296"/>
            </w:tabs>
            <w:rPr>
              <w:rFonts w:eastAsiaTheme="minorEastAsia"/>
            </w:rPr>
          </w:pPr>
          <w:r>
            <w:fldChar w:fldCharType="begin"/>
          </w:r>
          <w:r>
            <w:instrText xml:space="preserve"> HYPERLINK \l "_Toc496890871" </w:instrText>
          </w:r>
          <w:r>
            <w:fldChar w:fldCharType="separate"/>
          </w:r>
          <w:r>
            <w:rPr>
              <w:rStyle w:val="11"/>
              <w:rFonts w:ascii="Arial" w:hAnsi="Arial" w:cs="Arial"/>
              <w:b/>
            </w:rPr>
            <w:t>3.</w:t>
          </w:r>
          <w:r>
            <w:rPr>
              <w:rFonts w:eastAsiaTheme="minorEastAsia"/>
            </w:rPr>
            <w:tab/>
          </w:r>
          <w:r>
            <w:rPr>
              <w:rStyle w:val="11"/>
              <w:rFonts w:hint="eastAsia" w:ascii="Arial" w:hAnsi="Arial" w:cs="Arial"/>
              <w:b/>
            </w:rPr>
            <w:t>联邦辐射安全一般性能标准要求</w:t>
          </w:r>
          <w:r>
            <w:tab/>
          </w:r>
          <w:r>
            <w:fldChar w:fldCharType="begin"/>
          </w:r>
          <w:r>
            <w:instrText xml:space="preserve"> PAGEREF _Toc496890871 \h </w:instrText>
          </w:r>
          <w:r>
            <w:fldChar w:fldCharType="separate"/>
          </w:r>
          <w:r>
            <w:t>8</w:t>
          </w:r>
          <w:r>
            <w:fldChar w:fldCharType="end"/>
          </w:r>
          <w:r>
            <w:fldChar w:fldCharType="end"/>
          </w:r>
        </w:p>
        <w:p w14:paraId="115F1E45">
          <w:pPr>
            <w:pStyle w:val="6"/>
            <w:tabs>
              <w:tab w:val="left" w:pos="420"/>
              <w:tab w:val="right" w:leader="dot" w:pos="8296"/>
            </w:tabs>
            <w:rPr>
              <w:rFonts w:eastAsiaTheme="minorEastAsia"/>
            </w:rPr>
          </w:pPr>
          <w:r>
            <w:fldChar w:fldCharType="begin"/>
          </w:r>
          <w:r>
            <w:instrText xml:space="preserve"> HYPERLINK \l "_Toc496890872" </w:instrText>
          </w:r>
          <w:r>
            <w:fldChar w:fldCharType="separate"/>
          </w:r>
          <w:r>
            <w:rPr>
              <w:rStyle w:val="11"/>
              <w:rFonts w:ascii="Arial" w:hAnsi="Arial" w:cs="Arial"/>
              <w:b/>
            </w:rPr>
            <w:t>4.</w:t>
          </w:r>
          <w:r>
            <w:rPr>
              <w:rFonts w:eastAsiaTheme="minorEastAsia"/>
            </w:rPr>
            <w:tab/>
          </w:r>
          <w:r>
            <w:rPr>
              <w:rStyle w:val="11"/>
              <w:rFonts w:hint="eastAsia" w:ascii="Arial" w:hAnsi="Arial" w:cs="Arial"/>
              <w:b/>
            </w:rPr>
            <w:t>柜式</w:t>
          </w:r>
          <w:r>
            <w:rPr>
              <w:rStyle w:val="11"/>
              <w:rFonts w:ascii="Arial" w:hAnsi="Arial" w:cs="Arial"/>
              <w:b/>
            </w:rPr>
            <w:t>X</w:t>
          </w:r>
          <w:r>
            <w:rPr>
              <w:rStyle w:val="11"/>
              <w:rFonts w:hint="eastAsia" w:ascii="Arial" w:hAnsi="Arial" w:cs="Arial"/>
              <w:b/>
            </w:rPr>
            <w:t>射线系统联邦辐射安全性能标准要求</w:t>
          </w:r>
          <w:r>
            <w:tab/>
          </w:r>
          <w:r>
            <w:fldChar w:fldCharType="begin"/>
          </w:r>
          <w:r>
            <w:instrText xml:space="preserve"> PAGEREF _Toc496890872 \h </w:instrText>
          </w:r>
          <w:r>
            <w:fldChar w:fldCharType="separate"/>
          </w:r>
          <w:r>
            <w:t>11</w:t>
          </w:r>
          <w:r>
            <w:fldChar w:fldCharType="end"/>
          </w:r>
          <w:r>
            <w:fldChar w:fldCharType="end"/>
          </w:r>
        </w:p>
        <w:p w14:paraId="091903CE">
          <w:pPr>
            <w:pStyle w:val="6"/>
            <w:tabs>
              <w:tab w:val="left" w:pos="420"/>
              <w:tab w:val="right" w:leader="dot" w:pos="8296"/>
            </w:tabs>
            <w:rPr>
              <w:rFonts w:eastAsiaTheme="minorEastAsia"/>
            </w:rPr>
          </w:pPr>
          <w:r>
            <w:fldChar w:fldCharType="begin"/>
          </w:r>
          <w:r>
            <w:instrText xml:space="preserve"> HYPERLINK \l "_Toc496890873" </w:instrText>
          </w:r>
          <w:r>
            <w:fldChar w:fldCharType="separate"/>
          </w:r>
          <w:r>
            <w:rPr>
              <w:rStyle w:val="11"/>
              <w:rFonts w:ascii="Arial" w:hAnsi="Arial" w:cs="Arial"/>
              <w:b/>
            </w:rPr>
            <w:t>5.</w:t>
          </w:r>
          <w:r>
            <w:rPr>
              <w:rFonts w:eastAsiaTheme="minorEastAsia"/>
            </w:rPr>
            <w:tab/>
          </w:r>
          <w:r>
            <w:rPr>
              <w:rStyle w:val="11"/>
              <w:rFonts w:hint="eastAsia" w:ascii="Arial" w:hAnsi="Arial" w:cs="Arial"/>
              <w:b/>
            </w:rPr>
            <w:t>记录和报告</w:t>
          </w:r>
          <w:r>
            <w:tab/>
          </w:r>
          <w:r>
            <w:fldChar w:fldCharType="begin"/>
          </w:r>
          <w:r>
            <w:instrText xml:space="preserve"> PAGEREF _Toc496890873 \h </w:instrText>
          </w:r>
          <w:r>
            <w:fldChar w:fldCharType="separate"/>
          </w:r>
          <w:r>
            <w:t>18</w:t>
          </w:r>
          <w:r>
            <w:fldChar w:fldCharType="end"/>
          </w:r>
          <w:r>
            <w:fldChar w:fldCharType="end"/>
          </w:r>
        </w:p>
        <w:p w14:paraId="1FB3ABF0">
          <w:pPr>
            <w:pStyle w:val="6"/>
            <w:tabs>
              <w:tab w:val="left" w:pos="420"/>
              <w:tab w:val="right" w:leader="dot" w:pos="8296"/>
            </w:tabs>
            <w:rPr>
              <w:rFonts w:eastAsiaTheme="minorEastAsia"/>
            </w:rPr>
          </w:pPr>
          <w:r>
            <w:fldChar w:fldCharType="begin"/>
          </w:r>
          <w:r>
            <w:instrText xml:space="preserve"> HYPERLINK \l "_Toc496890874" </w:instrText>
          </w:r>
          <w:r>
            <w:fldChar w:fldCharType="separate"/>
          </w:r>
          <w:r>
            <w:rPr>
              <w:rStyle w:val="11"/>
              <w:rFonts w:ascii="Arial" w:hAnsi="Arial" w:cs="Arial"/>
              <w:b/>
            </w:rPr>
            <w:t>6.</w:t>
          </w:r>
          <w:r>
            <w:rPr>
              <w:rFonts w:eastAsiaTheme="minorEastAsia"/>
            </w:rPr>
            <w:tab/>
          </w:r>
          <w:r>
            <w:rPr>
              <w:rStyle w:val="11"/>
              <w:rFonts w:hint="eastAsia" w:ascii="Arial" w:hAnsi="Arial" w:cs="Arial"/>
              <w:b/>
            </w:rPr>
            <w:t>事故报告和召回</w:t>
          </w:r>
          <w:r>
            <w:tab/>
          </w:r>
          <w:r>
            <w:fldChar w:fldCharType="begin"/>
          </w:r>
          <w:r>
            <w:instrText xml:space="preserve"> PAGEREF _Toc496890874 \h </w:instrText>
          </w:r>
          <w:r>
            <w:fldChar w:fldCharType="separate"/>
          </w:r>
          <w:r>
            <w:t>20</w:t>
          </w:r>
          <w:r>
            <w:fldChar w:fldCharType="end"/>
          </w:r>
          <w:r>
            <w:fldChar w:fldCharType="end"/>
          </w:r>
        </w:p>
        <w:p w14:paraId="4AD7CF35">
          <w:pPr>
            <w:pStyle w:val="6"/>
            <w:tabs>
              <w:tab w:val="left" w:pos="420"/>
              <w:tab w:val="right" w:leader="dot" w:pos="8296"/>
            </w:tabs>
            <w:rPr>
              <w:rFonts w:eastAsiaTheme="minorEastAsia"/>
            </w:rPr>
          </w:pPr>
          <w:r>
            <w:fldChar w:fldCharType="begin"/>
          </w:r>
          <w:r>
            <w:instrText xml:space="preserve"> HYPERLINK \l "_Toc496890875" </w:instrText>
          </w:r>
          <w:r>
            <w:fldChar w:fldCharType="separate"/>
          </w:r>
          <w:r>
            <w:rPr>
              <w:rStyle w:val="11"/>
              <w:rFonts w:ascii="Arial" w:hAnsi="Arial" w:cs="Arial"/>
              <w:b/>
            </w:rPr>
            <w:t>7.</w:t>
          </w:r>
          <w:r>
            <w:rPr>
              <w:rFonts w:eastAsiaTheme="minorEastAsia"/>
            </w:rPr>
            <w:tab/>
          </w:r>
          <w:r>
            <w:rPr>
              <w:rStyle w:val="11"/>
              <w:rFonts w:hint="eastAsia" w:ascii="Arial" w:hAnsi="Arial" w:cs="Arial"/>
              <w:b/>
            </w:rPr>
            <w:t>特殊情况和豁免</w:t>
          </w:r>
          <w:r>
            <w:tab/>
          </w:r>
          <w:r>
            <w:fldChar w:fldCharType="begin"/>
          </w:r>
          <w:r>
            <w:instrText xml:space="preserve"> PAGEREF _Toc496890875 \h </w:instrText>
          </w:r>
          <w:r>
            <w:fldChar w:fldCharType="separate"/>
          </w:r>
          <w:r>
            <w:t>23</w:t>
          </w:r>
          <w:r>
            <w:fldChar w:fldCharType="end"/>
          </w:r>
          <w:r>
            <w:fldChar w:fldCharType="end"/>
          </w:r>
        </w:p>
        <w:p w14:paraId="543506DC">
          <w:pPr>
            <w:pStyle w:val="6"/>
            <w:tabs>
              <w:tab w:val="left" w:pos="420"/>
              <w:tab w:val="right" w:leader="dot" w:pos="8296"/>
            </w:tabs>
            <w:rPr>
              <w:rFonts w:eastAsiaTheme="minorEastAsia"/>
            </w:rPr>
          </w:pPr>
          <w:r>
            <w:fldChar w:fldCharType="begin"/>
          </w:r>
          <w:r>
            <w:instrText xml:space="preserve"> HYPERLINK \l "_Toc496890876" </w:instrText>
          </w:r>
          <w:r>
            <w:fldChar w:fldCharType="separate"/>
          </w:r>
          <w:r>
            <w:rPr>
              <w:rStyle w:val="11"/>
              <w:rFonts w:ascii="Arial" w:hAnsi="Arial" w:cs="Arial"/>
              <w:b/>
            </w:rPr>
            <w:t>8.</w:t>
          </w:r>
          <w:r>
            <w:rPr>
              <w:rFonts w:eastAsiaTheme="minorEastAsia"/>
            </w:rPr>
            <w:tab/>
          </w:r>
          <w:r>
            <w:rPr>
              <w:rStyle w:val="11"/>
              <w:rFonts w:hint="eastAsia" w:ascii="Arial" w:hAnsi="Arial" w:cs="Arial"/>
              <w:b/>
            </w:rPr>
            <w:t>进出口</w:t>
          </w:r>
          <w:r>
            <w:tab/>
          </w:r>
          <w:r>
            <w:fldChar w:fldCharType="begin"/>
          </w:r>
          <w:r>
            <w:instrText xml:space="preserve"> PAGEREF _Toc496890876 \h </w:instrText>
          </w:r>
          <w:r>
            <w:fldChar w:fldCharType="separate"/>
          </w:r>
          <w:r>
            <w:t>24</w:t>
          </w:r>
          <w:r>
            <w:fldChar w:fldCharType="end"/>
          </w:r>
          <w:r>
            <w:fldChar w:fldCharType="end"/>
          </w:r>
        </w:p>
        <w:p w14:paraId="11550143">
          <w:pPr>
            <w:pStyle w:val="6"/>
            <w:tabs>
              <w:tab w:val="left" w:pos="420"/>
              <w:tab w:val="right" w:leader="dot" w:pos="8296"/>
            </w:tabs>
            <w:rPr>
              <w:rFonts w:eastAsiaTheme="minorEastAsia"/>
            </w:rPr>
          </w:pPr>
          <w:r>
            <w:fldChar w:fldCharType="begin"/>
          </w:r>
          <w:r>
            <w:instrText xml:space="preserve"> HYPERLINK \l "_Toc496890877" </w:instrText>
          </w:r>
          <w:r>
            <w:fldChar w:fldCharType="separate"/>
          </w:r>
          <w:r>
            <w:rPr>
              <w:rStyle w:val="11"/>
              <w:rFonts w:ascii="Arial" w:hAnsi="Arial" w:cs="Arial"/>
              <w:b/>
            </w:rPr>
            <w:t>9.</w:t>
          </w:r>
          <w:r>
            <w:rPr>
              <w:rFonts w:eastAsiaTheme="minorEastAsia"/>
            </w:rPr>
            <w:tab/>
          </w:r>
          <w:r>
            <w:rPr>
              <w:rStyle w:val="11"/>
              <w:rFonts w:hint="eastAsia" w:ascii="Arial" w:hAnsi="Arial" w:cs="Arial"/>
              <w:b/>
            </w:rPr>
            <w:t>获取更多信息</w:t>
          </w:r>
          <w:r>
            <w:tab/>
          </w:r>
          <w:r>
            <w:fldChar w:fldCharType="begin"/>
          </w:r>
          <w:r>
            <w:instrText xml:space="preserve"> PAGEREF _Toc496890877 \h </w:instrText>
          </w:r>
          <w:r>
            <w:fldChar w:fldCharType="separate"/>
          </w:r>
          <w:r>
            <w:t>25</w:t>
          </w:r>
          <w:r>
            <w:fldChar w:fldCharType="end"/>
          </w:r>
          <w:r>
            <w:fldChar w:fldCharType="end"/>
          </w:r>
        </w:p>
        <w:p w14:paraId="1EFB49EE">
          <w:r>
            <w:rPr>
              <w:rFonts w:ascii="Arial" w:hAnsi="Arial" w:eastAsia="宋体" w:cs="Arial"/>
            </w:rPr>
            <w:fldChar w:fldCharType="end"/>
          </w:r>
        </w:p>
      </w:sdtContent>
    </w:sdt>
    <w:p w14:paraId="694746A7">
      <w:pPr>
        <w:snapToGrid w:val="0"/>
        <w:spacing w:after="240" w:line="300" w:lineRule="auto"/>
        <w:jc w:val="left"/>
        <w:rPr>
          <w:rFonts w:ascii="Arial" w:hAnsi="Arial" w:eastAsia="宋体" w:cs="Arial"/>
          <w:b/>
          <w:sz w:val="44"/>
          <w:szCs w:val="44"/>
        </w:rPr>
      </w:pPr>
    </w:p>
    <w:p w14:paraId="6E6E7372">
      <w:pPr>
        <w:snapToGrid w:val="0"/>
        <w:spacing w:after="240" w:line="300" w:lineRule="auto"/>
        <w:jc w:val="left"/>
        <w:rPr>
          <w:rFonts w:ascii="Arial" w:hAnsi="Arial" w:eastAsia="宋体" w:cs="Arial"/>
          <w:b/>
          <w:sz w:val="44"/>
          <w:szCs w:val="44"/>
        </w:rPr>
      </w:pPr>
    </w:p>
    <w:p w14:paraId="736B9EF5">
      <w:pPr>
        <w:pBdr>
          <w:bottom w:val="single" w:color="auto" w:sz="4" w:space="1"/>
        </w:pBdr>
        <w:snapToGrid w:val="0"/>
        <w:spacing w:line="300" w:lineRule="auto"/>
        <w:jc w:val="center"/>
        <w:rPr>
          <w:rFonts w:ascii="Arial" w:hAnsi="Arial" w:eastAsia="宋体" w:cs="Arial"/>
          <w:b/>
          <w:sz w:val="52"/>
          <w:szCs w:val="52"/>
        </w:rPr>
        <w:sectPr>
          <w:headerReference r:id="rId4" w:type="default"/>
          <w:pgSz w:w="11906" w:h="16838"/>
          <w:pgMar w:top="1440" w:right="1800" w:bottom="1440" w:left="1800" w:header="851" w:footer="992" w:gutter="0"/>
          <w:cols w:space="425" w:num="1"/>
          <w:docGrid w:type="lines" w:linePitch="312" w:charSpace="0"/>
        </w:sectPr>
      </w:pPr>
    </w:p>
    <w:p w14:paraId="4B87CE5D">
      <w:pPr>
        <w:pBdr>
          <w:bottom w:val="single" w:color="auto" w:sz="4" w:space="1"/>
        </w:pBdr>
        <w:snapToGrid w:val="0"/>
        <w:spacing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和</w:t>
      </w:r>
      <w:r>
        <w:rPr>
          <w:rFonts w:ascii="Arial" w:hAnsi="Arial" w:eastAsia="宋体" w:cs="Arial"/>
          <w:b/>
          <w:sz w:val="52"/>
          <w:szCs w:val="52"/>
        </w:rPr>
        <w:t>FDA工作人员指南</w:t>
      </w:r>
    </w:p>
    <w:p w14:paraId="3404A71E">
      <w:pPr>
        <w:snapToGrid w:val="0"/>
        <w:spacing w:after="240" w:line="300" w:lineRule="auto"/>
        <w:jc w:val="center"/>
        <w:rPr>
          <w:rFonts w:ascii="Arial" w:hAnsi="Arial" w:eastAsia="宋体" w:cs="Arial"/>
          <w:b/>
          <w:sz w:val="52"/>
          <w:szCs w:val="52"/>
        </w:rPr>
      </w:pPr>
      <w:r>
        <w:rPr>
          <w:rFonts w:ascii="Arial" w:hAnsi="Arial" w:eastAsia="宋体" w:cs="Arial"/>
          <w:b/>
          <w:sz w:val="52"/>
          <w:szCs w:val="52"/>
        </w:rPr>
        <w:t>柜式X射线系统合规指南</w:t>
      </w:r>
    </w:p>
    <w:tbl>
      <w:tblPr>
        <w:tblStyle w:val="9"/>
        <w:tblW w:w="0" w:type="auto"/>
        <w:tblInd w:w="0" w:type="dxa"/>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Layout w:type="autofit"/>
        <w:tblCellMar>
          <w:top w:w="0" w:type="dxa"/>
          <w:left w:w="108" w:type="dxa"/>
          <w:bottom w:w="0" w:type="dxa"/>
          <w:right w:w="108" w:type="dxa"/>
        </w:tblCellMar>
      </w:tblPr>
      <w:tblGrid>
        <w:gridCol w:w="8296"/>
      </w:tblGrid>
      <w:tr w14:paraId="4DB331D7">
        <w:tblPrEx>
          <w:tblBorders>
            <w:top w:val="thickThinSmallGap" w:color="auto" w:sz="24" w:space="0"/>
            <w:left w:val="thickThinSmallGap" w:color="auto" w:sz="24" w:space="0"/>
            <w:bottom w:val="thickThinSmallGap" w:color="auto" w:sz="24" w:space="0"/>
            <w:right w:val="thickThinSmallGap" w:color="auto" w:sz="24" w:space="0"/>
            <w:insideH w:val="thickThinSmallGap" w:color="auto" w:sz="24" w:space="0"/>
            <w:insideV w:val="thickThinSmallGap" w:color="auto" w:sz="24" w:space="0"/>
          </w:tblBorders>
          <w:tblCellMar>
            <w:top w:w="0" w:type="dxa"/>
            <w:left w:w="108" w:type="dxa"/>
            <w:bottom w:w="0" w:type="dxa"/>
            <w:right w:w="108" w:type="dxa"/>
          </w:tblCellMar>
        </w:tblPrEx>
        <w:tc>
          <w:tcPr>
            <w:tcW w:w="8296" w:type="dxa"/>
          </w:tcPr>
          <w:p w14:paraId="0433AE52">
            <w:pPr>
              <w:snapToGrid w:val="0"/>
              <w:spacing w:line="300" w:lineRule="auto"/>
              <w:jc w:val="left"/>
              <w:rPr>
                <w:rFonts w:ascii="Arial" w:hAnsi="Arial" w:eastAsia="宋体" w:cs="Arial"/>
                <w:i/>
              </w:rPr>
            </w:pPr>
            <w:r>
              <w:rPr>
                <w:rFonts w:hint="eastAsia" w:ascii="Arial" w:hAnsi="Arial" w:eastAsia="宋体" w:cs="Arial"/>
                <w:i/>
              </w:rPr>
              <w:t>本指南代表</w:t>
            </w:r>
            <w:r>
              <w:rPr>
                <w:rFonts w:ascii="Arial" w:hAnsi="Arial" w:eastAsia="宋体" w:cs="Arial"/>
                <w:i/>
              </w:rPr>
              <w:t>FDA</w:t>
            </w:r>
            <w:r>
              <w:rPr>
                <w:rFonts w:hint="eastAsia" w:ascii="Arial" w:hAnsi="Arial" w:eastAsia="宋体" w:cs="Arial"/>
                <w:i/>
              </w:rPr>
              <w:t>目前关于该主题的思考。其不会为任何人创造或赋予任何权利，也不会对</w:t>
            </w:r>
            <w:r>
              <w:rPr>
                <w:rFonts w:ascii="Arial" w:hAnsi="Arial" w:eastAsia="宋体" w:cs="Arial"/>
                <w:i/>
              </w:rPr>
              <w:t>FDA</w:t>
            </w:r>
            <w:r>
              <w:rPr>
                <w:rFonts w:hint="eastAsia" w:ascii="Arial" w:hAnsi="Arial" w:eastAsia="宋体" w:cs="Arial"/>
                <w:i/>
              </w:rPr>
              <w:t>或公众产生约束。如果替代方法满足适用的法律法规的要求，则可以使用该方法。如果您想讨论另一种方法，请联系</w:t>
            </w:r>
            <w:r>
              <w:rPr>
                <w:rFonts w:ascii="Arial" w:hAnsi="Arial" w:eastAsia="宋体" w:cs="Arial"/>
                <w:i/>
              </w:rPr>
              <w:t>FDA</w:t>
            </w:r>
            <w:r>
              <w:rPr>
                <w:rFonts w:hint="eastAsia" w:ascii="Arial" w:hAnsi="Arial" w:eastAsia="宋体" w:cs="Arial"/>
                <w:i/>
              </w:rPr>
              <w:t>负责实施本指南的人员。如果您无法确定适当的</w:t>
            </w:r>
            <w:r>
              <w:rPr>
                <w:rFonts w:ascii="Arial" w:hAnsi="Arial" w:eastAsia="宋体" w:cs="Arial"/>
                <w:i/>
              </w:rPr>
              <w:t>FDA</w:t>
            </w:r>
            <w:r>
              <w:rPr>
                <w:rFonts w:hint="eastAsia" w:ascii="Arial" w:hAnsi="Arial" w:eastAsia="宋体" w:cs="Arial"/>
                <w:i/>
              </w:rPr>
              <w:t>工作人员，请拨打本指南标题页上列出的适当号码。</w:t>
            </w:r>
          </w:p>
        </w:tc>
      </w:tr>
    </w:tbl>
    <w:p w14:paraId="0D77A237">
      <w:pPr>
        <w:snapToGrid w:val="0"/>
        <w:spacing w:after="240" w:line="300" w:lineRule="auto"/>
        <w:jc w:val="left"/>
        <w:rPr>
          <w:rFonts w:ascii="Arial" w:hAnsi="Arial" w:eastAsia="宋体" w:cs="Arial"/>
        </w:rPr>
      </w:pPr>
    </w:p>
    <w:p w14:paraId="3A876FC8">
      <w:pPr>
        <w:snapToGrid w:val="0"/>
        <w:spacing w:after="240" w:line="300" w:lineRule="auto"/>
        <w:jc w:val="left"/>
        <w:outlineLvl w:val="0"/>
        <w:rPr>
          <w:rFonts w:ascii="Arial" w:hAnsi="Arial" w:eastAsia="宋体" w:cs="Arial"/>
          <w:b/>
          <w:sz w:val="32"/>
          <w:szCs w:val="32"/>
        </w:rPr>
      </w:pPr>
      <w:bookmarkStart w:id="0" w:name="_Toc496890868"/>
      <w:r>
        <w:rPr>
          <w:rFonts w:ascii="Arial" w:hAnsi="Arial" w:eastAsia="宋体" w:cs="Arial"/>
          <w:b/>
          <w:sz w:val="32"/>
          <w:szCs w:val="32"/>
        </w:rPr>
        <w:t>引言</w:t>
      </w:r>
      <w:bookmarkEnd w:id="0"/>
    </w:p>
    <w:p w14:paraId="3EBC97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在美国（U.S.）境内销售的柜式</w:t>
      </w:r>
      <w:bookmarkStart w:id="1" w:name="OLE_LINK30"/>
      <w:r>
        <w:rPr>
          <w:rFonts w:ascii="Arial" w:hAnsi="Arial" w:eastAsia="宋体" w:cs="Arial"/>
          <w:sz w:val="24"/>
          <w:szCs w:val="24"/>
        </w:rPr>
        <w:t>x射线</w:t>
      </w:r>
      <w:bookmarkEnd w:id="1"/>
      <w:r>
        <w:rPr>
          <w:rFonts w:ascii="Arial" w:hAnsi="Arial" w:eastAsia="宋体" w:cs="Arial"/>
          <w:sz w:val="24"/>
          <w:szCs w:val="24"/>
        </w:rPr>
        <w:t>系统的制造商应负责遵守联邦食品、药品和化妆品法案（</w:t>
      </w:r>
      <w:r>
        <w:rPr>
          <w:rFonts w:hint="eastAsia" w:ascii="Arial" w:hAnsi="Arial" w:eastAsia="宋体" w:cs="Arial"/>
          <w:sz w:val="24"/>
          <w:szCs w:val="24"/>
        </w:rPr>
        <w:t>简称法案</w:t>
      </w:r>
      <w:r>
        <w:rPr>
          <w:rFonts w:ascii="Arial" w:hAnsi="Arial" w:eastAsia="宋体" w:cs="Arial"/>
          <w:sz w:val="24"/>
          <w:szCs w:val="24"/>
        </w:rPr>
        <w:t>）对于电子产品辐射控制规定，包括辐射性能标准【21 USC 360hh-360ss】。本指南旨在帮助柜式X射线系统的制造商满足该法案和适用的联邦辐射安全规定【21 CFR 1020.40，第1000-1005，1010部分</w:t>
      </w:r>
      <w:r>
        <w:rPr>
          <w:rStyle w:val="12"/>
          <w:rFonts w:ascii="Arial" w:hAnsi="Arial" w:eastAsia="宋体" w:cs="Arial"/>
          <w:sz w:val="24"/>
          <w:szCs w:val="24"/>
        </w:rPr>
        <w:footnoteReference w:id="0"/>
      </w:r>
      <w:r>
        <w:rPr>
          <w:rFonts w:ascii="Arial" w:hAnsi="Arial" w:eastAsia="宋体" w:cs="Arial"/>
          <w:sz w:val="24"/>
          <w:szCs w:val="24"/>
        </w:rPr>
        <w:t>】的相关要求。“制造商”一词包括从事制造、组装或进口柜式x射线系统到美国的各类公司。</w:t>
      </w:r>
    </w:p>
    <w:p w14:paraId="640060E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柜式X射线系统的联邦辐射安全性能标准（性能标准）见于21 CFR 1020.40。在美国销售的柜式X射线系统必须符合性能标准的所有适用要求。在美国销售柜式X射线系统之前，制造商必须证明其产品符合性能标准【21 CFR 1010.2】的适用要求。此认证必须基于符合良好生产规范的质量控制和测试计划【21 CFR 1010.2】。符合外国辐射安全标准的认证不能取代符合美国性能标准的认证。</w:t>
      </w:r>
    </w:p>
    <w:p w14:paraId="7941E57D">
      <w:pPr>
        <w:widowControl/>
        <w:jc w:val="left"/>
        <w:rPr>
          <w:rFonts w:ascii="Arial" w:hAnsi="Arial" w:eastAsia="宋体" w:cs="Arial"/>
          <w:sz w:val="24"/>
          <w:szCs w:val="24"/>
        </w:rPr>
      </w:pPr>
      <w:r>
        <w:rPr>
          <w:rFonts w:ascii="Arial" w:hAnsi="Arial" w:eastAsia="宋体" w:cs="Arial"/>
          <w:sz w:val="24"/>
          <w:szCs w:val="24"/>
        </w:rPr>
        <w:br w:type="page"/>
      </w:r>
    </w:p>
    <w:p w14:paraId="74EC803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在本指南中，将会引用法规的相关章节。本指南不能代替法规。如果两者之间发生冲突，则以法规为准。当法规的文本被引用时，它将以</w:t>
      </w:r>
      <w:r>
        <w:rPr>
          <w:rFonts w:hint="eastAsia" w:ascii="Arial" w:hAnsi="Arial" w:eastAsia="宋体" w:cs="Arial"/>
          <w:i/>
          <w:sz w:val="24"/>
          <w:szCs w:val="24"/>
        </w:rPr>
        <w:t>斜体</w:t>
      </w:r>
      <w:r>
        <w:rPr>
          <w:rFonts w:ascii="Arial" w:hAnsi="Arial" w:eastAsia="宋体" w:cs="Arial"/>
          <w:sz w:val="24"/>
          <w:szCs w:val="24"/>
        </w:rPr>
        <w:t>显示。</w:t>
      </w:r>
    </w:p>
    <w:p w14:paraId="1FC042CC">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存在</w:t>
      </w:r>
      <w:r>
        <w:rPr>
          <w:rFonts w:ascii="Arial" w:hAnsi="Arial" w:eastAsia="宋体" w:cs="Arial"/>
          <w:sz w:val="24"/>
          <w:szCs w:val="24"/>
        </w:rPr>
        <w:t>具体问题，</w:t>
      </w:r>
      <w:r>
        <w:rPr>
          <w:rFonts w:hint="eastAsia" w:ascii="Arial" w:hAnsi="Arial" w:eastAsia="宋体" w:cs="Arial"/>
          <w:sz w:val="24"/>
          <w:szCs w:val="24"/>
        </w:rPr>
        <w:t>请致电指南封面上列出的联系人或写信邮寄至以下地址：</w:t>
      </w:r>
    </w:p>
    <w:p w14:paraId="712865C7">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器械和放射卫生中心</w:t>
      </w:r>
    </w:p>
    <w:p w14:paraId="7881C6AD">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沟通、教育和辐射项目办公室（HFZ-240）</w:t>
      </w:r>
    </w:p>
    <w:p w14:paraId="25AFC938">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电子产品分部</w:t>
      </w:r>
    </w:p>
    <w:p w14:paraId="0F9C03C5">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10903 New Hampshire Avenue</w:t>
      </w:r>
    </w:p>
    <w:p w14:paraId="6F494B05">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Silver Spring, MD 20993</w:t>
      </w:r>
    </w:p>
    <w:p w14:paraId="7E05F0A8">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Rockville, MD 20850</w:t>
      </w:r>
    </w:p>
    <w:p w14:paraId="27EE1FE7">
      <w:pPr>
        <w:overflowPunct w:val="0"/>
        <w:snapToGrid w:val="0"/>
        <w:spacing w:line="300" w:lineRule="auto"/>
        <w:ind w:firstLine="3117" w:firstLineChars="1299"/>
        <w:rPr>
          <w:rFonts w:ascii="Arial" w:hAnsi="Arial" w:eastAsia="宋体" w:cs="Arial"/>
          <w:sz w:val="24"/>
          <w:szCs w:val="24"/>
        </w:rPr>
      </w:pPr>
    </w:p>
    <w:p w14:paraId="7AC9847C">
      <w:pPr>
        <w:overflowPunct w:val="0"/>
        <w:snapToGrid w:val="0"/>
        <w:spacing w:line="300" w:lineRule="auto"/>
        <w:ind w:firstLine="3117" w:firstLineChars="1299"/>
        <w:rPr>
          <w:rFonts w:ascii="Arial" w:hAnsi="Arial" w:eastAsia="宋体" w:cs="Arial"/>
          <w:sz w:val="24"/>
          <w:szCs w:val="24"/>
        </w:rPr>
      </w:pPr>
      <w:r>
        <w:rPr>
          <w:rFonts w:ascii="Arial" w:hAnsi="Arial" w:eastAsia="宋体" w:cs="Arial"/>
          <w:sz w:val="24"/>
          <w:szCs w:val="24"/>
        </w:rPr>
        <w:t xml:space="preserve">电话：301-796-5710 </w:t>
      </w:r>
    </w:p>
    <w:p w14:paraId="1FEC75C5">
      <w:pPr>
        <w:overflowPunct w:val="0"/>
        <w:snapToGrid w:val="0"/>
        <w:spacing w:after="240" w:line="300" w:lineRule="auto"/>
        <w:ind w:firstLine="3117" w:firstLineChars="1299"/>
        <w:rPr>
          <w:rFonts w:ascii="Arial" w:hAnsi="Arial" w:eastAsia="宋体" w:cs="Arial"/>
          <w:sz w:val="24"/>
          <w:szCs w:val="24"/>
        </w:rPr>
      </w:pPr>
      <w:r>
        <w:rPr>
          <w:rFonts w:ascii="Arial" w:hAnsi="Arial" w:eastAsia="宋体" w:cs="Arial"/>
          <w:sz w:val="24"/>
          <w:szCs w:val="24"/>
        </w:rPr>
        <w:t>传真：301-847-8502</w:t>
      </w:r>
    </w:p>
    <w:p w14:paraId="2F1FE46C">
      <w:pPr>
        <w:overflowPunct w:val="0"/>
        <w:snapToGrid w:val="0"/>
        <w:spacing w:after="240" w:line="300" w:lineRule="auto"/>
        <w:rPr>
          <w:rFonts w:ascii="Arial" w:hAnsi="Arial" w:eastAsia="宋体" w:cs="Arial"/>
          <w:b/>
          <w:sz w:val="32"/>
          <w:szCs w:val="32"/>
        </w:rPr>
      </w:pPr>
      <w:r>
        <w:rPr>
          <w:rFonts w:ascii="Arial" w:hAnsi="Arial" w:eastAsia="宋体" w:cs="Arial"/>
          <w:b/>
          <w:sz w:val="32"/>
          <w:szCs w:val="32"/>
        </w:rPr>
        <w:t>最小负担手段原则</w:t>
      </w:r>
    </w:p>
    <w:p w14:paraId="6B9AB036">
      <w:pPr>
        <w:overflowPunct w:val="0"/>
        <w:snapToGrid w:val="0"/>
        <w:spacing w:after="240" w:line="300" w:lineRule="auto"/>
        <w:jc w:val="left"/>
        <w:rPr>
          <w:rFonts w:ascii="Arial" w:hAnsi="Arial" w:eastAsia="宋体" w:cs="Arial"/>
          <w:sz w:val="24"/>
          <w:szCs w:val="24"/>
        </w:rPr>
      </w:pPr>
      <w:r>
        <w:rPr>
          <w:rFonts w:ascii="Arial" w:hAnsi="Arial" w:eastAsia="宋体" w:cs="Arial"/>
          <w:sz w:val="24"/>
          <w:szCs w:val="24"/>
        </w:rPr>
        <w:t>我们认为，在医疗器械和电子产品监管的各个领域，我们应该考虑最小负担手段原则。本指南反映了我们对相关科学和法律要求的仔细思考，以及我们</w:t>
      </w:r>
      <w:r>
        <w:rPr>
          <w:rFonts w:hint="eastAsia" w:ascii="Arial" w:hAnsi="Arial" w:eastAsia="宋体" w:cs="Arial"/>
          <w:sz w:val="24"/>
          <w:szCs w:val="24"/>
        </w:rPr>
        <w:t>认为</w:t>
      </w:r>
      <w:r>
        <w:rPr>
          <w:rFonts w:ascii="Arial" w:hAnsi="Arial" w:eastAsia="宋体" w:cs="Arial"/>
          <w:sz w:val="24"/>
          <w:szCs w:val="24"/>
        </w:rPr>
        <w:t>是您遵守这些要求的最小负担方式。但是，如果您认为存在负担更</w:t>
      </w:r>
      <w:r>
        <w:rPr>
          <w:rFonts w:hint="eastAsia" w:ascii="Arial" w:hAnsi="Arial" w:eastAsia="宋体" w:cs="Arial"/>
          <w:sz w:val="24"/>
          <w:szCs w:val="24"/>
        </w:rPr>
        <w:t>小</w:t>
      </w:r>
      <w:r>
        <w:rPr>
          <w:rFonts w:ascii="Arial" w:hAnsi="Arial" w:eastAsia="宋体" w:cs="Arial"/>
          <w:sz w:val="24"/>
          <w:szCs w:val="24"/>
        </w:rPr>
        <w:t>的替代方法，请与我们联系，</w:t>
      </w:r>
      <w:r>
        <w:rPr>
          <w:rFonts w:hint="eastAsia" w:ascii="Arial" w:hAnsi="Arial" w:eastAsia="宋体" w:cs="Arial"/>
          <w:sz w:val="24"/>
          <w:szCs w:val="24"/>
        </w:rPr>
        <w:t>我们会对该方法进行讨论</w:t>
      </w:r>
      <w:r>
        <w:rPr>
          <w:rFonts w:ascii="Arial" w:hAnsi="Arial" w:eastAsia="宋体" w:cs="Arial"/>
          <w:sz w:val="24"/>
          <w:szCs w:val="24"/>
        </w:rPr>
        <w:t>。您可以将书面意见发送到本指南封面中列出的联系人或CDRH监察专员。有关CDRH监察专员的</w:t>
      </w:r>
      <w:r>
        <w:rPr>
          <w:rFonts w:hint="eastAsia" w:ascii="Arial" w:hAnsi="Arial" w:eastAsia="宋体" w:cs="Arial"/>
          <w:sz w:val="24"/>
          <w:szCs w:val="24"/>
        </w:rPr>
        <w:t>综合信息</w:t>
      </w:r>
      <w:r>
        <w:rPr>
          <w:rFonts w:ascii="Arial" w:hAnsi="Arial" w:eastAsia="宋体" w:cs="Arial"/>
          <w:sz w:val="24"/>
          <w:szCs w:val="24"/>
        </w:rPr>
        <w:t>，包括联络方式</w:t>
      </w:r>
      <w:r>
        <w:rPr>
          <w:rFonts w:hint="eastAsia" w:ascii="Arial" w:hAnsi="Arial" w:eastAsia="宋体" w:cs="Arial"/>
          <w:sz w:val="24"/>
          <w:szCs w:val="24"/>
        </w:rPr>
        <w:t>在内</w:t>
      </w:r>
      <w:r>
        <w:rPr>
          <w:rFonts w:ascii="Arial" w:hAnsi="Arial" w:eastAsia="宋体" w:cs="Arial"/>
          <w:sz w:val="24"/>
          <w:szCs w:val="24"/>
        </w:rPr>
        <w:t>，可在以下网址找到：</w:t>
      </w:r>
      <w:r>
        <w:rPr>
          <w:rFonts w:ascii="Arial" w:hAnsi="Arial" w:eastAsia="宋体" w:cs="Arial"/>
          <w:color w:val="0000FF"/>
          <w:sz w:val="24"/>
          <w:szCs w:val="24"/>
          <w:u w:val="single"/>
        </w:rPr>
        <w:t>http://www.fda.gov/cdrh/ombudsman/</w:t>
      </w:r>
      <w:r>
        <w:rPr>
          <w:rFonts w:ascii="Arial" w:hAnsi="Arial" w:eastAsia="宋体" w:cs="Arial"/>
          <w:sz w:val="24"/>
          <w:szCs w:val="24"/>
        </w:rPr>
        <w:t>。</w:t>
      </w:r>
    </w:p>
    <w:p w14:paraId="15DE2FAD">
      <w:pPr>
        <w:pStyle w:val="13"/>
        <w:numPr>
          <w:ilvl w:val="0"/>
          <w:numId w:val="1"/>
        </w:numPr>
        <w:overflowPunct w:val="0"/>
        <w:snapToGrid w:val="0"/>
        <w:spacing w:after="240" w:line="300" w:lineRule="auto"/>
        <w:ind w:left="357" w:hanging="357" w:firstLineChars="0"/>
        <w:outlineLvl w:val="0"/>
        <w:rPr>
          <w:rFonts w:ascii="Arial" w:hAnsi="Arial" w:eastAsia="宋体" w:cs="Arial"/>
          <w:b/>
          <w:sz w:val="32"/>
          <w:szCs w:val="32"/>
        </w:rPr>
      </w:pPr>
      <w:bookmarkStart w:id="2" w:name="_Toc496890869"/>
      <w:r>
        <w:rPr>
          <w:rFonts w:ascii="Arial" w:hAnsi="Arial" w:eastAsia="宋体" w:cs="Arial"/>
          <w:b/>
          <w:sz w:val="32"/>
          <w:szCs w:val="32"/>
        </w:rPr>
        <w:t>定义</w:t>
      </w:r>
      <w:bookmarkEnd w:id="2"/>
    </w:p>
    <w:p w14:paraId="7C48E35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您可能会在21 CFR 1000.3或1020.40（b）中找到许多以下定义（我们提供了具体的引文）。一些定义是对条例中未明确定义的术语的解释，但是这些解释是基于我们在电子产品方面的经验。</w:t>
      </w:r>
    </w:p>
    <w:p w14:paraId="13459456">
      <w:pPr>
        <w:overflowPunct w:val="0"/>
        <w:snapToGrid w:val="0"/>
        <w:spacing w:line="300" w:lineRule="auto"/>
        <w:rPr>
          <w:rFonts w:ascii="Arial" w:hAnsi="Arial" w:eastAsia="宋体" w:cs="Arial"/>
          <w:sz w:val="24"/>
          <w:szCs w:val="24"/>
          <w:u w:val="single"/>
        </w:rPr>
      </w:pPr>
      <w:r>
        <w:rPr>
          <w:rFonts w:ascii="Arial" w:hAnsi="Arial" w:eastAsia="宋体" w:cs="Arial"/>
          <w:sz w:val="24"/>
          <w:szCs w:val="24"/>
          <w:u w:val="single"/>
        </w:rPr>
        <w:t>X射线产品类别</w:t>
      </w:r>
    </w:p>
    <w:p w14:paraId="6F586F1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本指南讨论了各种X射线类别。针对柜式X射线系统的要求范围最广，因为柜式X射线系统需要满足特定的性能标准【21 CFR 1020.40】。除了性能标准【21 CFR 1020.40】之外，在美国销售的柜式X射线系统的制造商必须遵守21 CFR第1000、1002、1003、1004、1005和1010部分的规定。</w:t>
      </w:r>
    </w:p>
    <w:p w14:paraId="3B61ADB9">
      <w:pPr>
        <w:widowControl/>
        <w:jc w:val="left"/>
        <w:rPr>
          <w:rFonts w:ascii="Arial" w:hAnsi="Arial" w:eastAsia="宋体" w:cs="Arial"/>
          <w:sz w:val="24"/>
          <w:szCs w:val="24"/>
        </w:rPr>
      </w:pPr>
      <w:r>
        <w:rPr>
          <w:rFonts w:ascii="Arial" w:hAnsi="Arial" w:eastAsia="宋体" w:cs="Arial"/>
          <w:sz w:val="24"/>
          <w:szCs w:val="24"/>
        </w:rPr>
        <w:br w:type="page"/>
      </w:r>
    </w:p>
    <w:p w14:paraId="2EAAF357">
      <w:pPr>
        <w:pStyle w:val="13"/>
        <w:numPr>
          <w:ilvl w:val="0"/>
          <w:numId w:val="2"/>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柜式X射线系统</w:t>
      </w:r>
      <w:r>
        <w:rPr>
          <w:rFonts w:ascii="Arial" w:hAnsi="Arial" w:eastAsia="宋体" w:cs="Arial"/>
          <w:sz w:val="24"/>
          <w:szCs w:val="24"/>
        </w:rPr>
        <w:t xml:space="preserve"> 【21 CFR 1020.40（b）（3）】</w:t>
      </w:r>
      <w:r>
        <w:rPr>
          <w:rFonts w:ascii="Arial" w:hAnsi="Arial" w:eastAsia="宋体" w:cs="Arial"/>
          <w:i/>
          <w:sz w:val="24"/>
          <w:szCs w:val="24"/>
        </w:rPr>
        <w:t>是指其X射线管安装在外壳（以下称为机柜）内的X射线系统，除需要放置于地面外，其独立于已有的结构体系，旨在至少包含被辐射的材料的部分结构、提供辐射消减、并且在产生X射线期间允许人员撤离。该分类主要包括用于航空公司、铁路、巴士总站以及类似设施的所有类型的随身行李X射线检查系统。在建筑物的屏蔽部分内使用的X射线管，或者可能暂时或偶尔与便携式屏蔽设备进行整合的X射线设备不被认为是柜式X射线系统。</w:t>
      </w:r>
    </w:p>
    <w:p w14:paraId="6E680F3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柜式X射线系统应始终包含安装于屏蔽外壳中的X射线管，用于容纳被辐射的物品。外壳保护人们免受产生的X射线影响，并保证人员</w:t>
      </w:r>
      <w:r>
        <w:rPr>
          <w:rFonts w:hint="eastAsia" w:ascii="Arial" w:hAnsi="Arial" w:eastAsia="宋体" w:cs="Arial"/>
          <w:sz w:val="24"/>
          <w:szCs w:val="24"/>
        </w:rPr>
        <w:t>与外壳内部隔离</w:t>
      </w:r>
      <w:r>
        <w:rPr>
          <w:rFonts w:ascii="Arial" w:hAnsi="Arial" w:eastAsia="宋体" w:cs="Arial"/>
          <w:sz w:val="24"/>
          <w:szCs w:val="24"/>
        </w:rPr>
        <w:t>。因为屏蔽外壳会将暴露于X射线的部分包绕起来，且屏蔽外壳是系统的固有部分，因此柜式X射线系统有时称为闭合X射线系统。</w:t>
      </w:r>
    </w:p>
    <w:p w14:paraId="291C882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主要用于安全检查和工业质量控制。其安全应用范围包括了从机场的行李箱检查系统到美国进口卡车的检查系统等各类系统。工业质量控制应用包括食品、电路板和轮胎等检查。另外，一些医疗器械也是柜式X射线系统，例如用于观察组织样本的</w:t>
      </w:r>
      <w:bookmarkStart w:id="3" w:name="OLE_LINK3"/>
      <w:bookmarkStart w:id="4" w:name="OLE_LINK4"/>
      <w:r>
        <w:rPr>
          <w:rFonts w:ascii="Arial" w:hAnsi="Arial" w:eastAsia="宋体" w:cs="Arial"/>
          <w:sz w:val="24"/>
          <w:szCs w:val="24"/>
        </w:rPr>
        <w:t>X射线系统</w:t>
      </w:r>
      <w:bookmarkEnd w:id="3"/>
      <w:bookmarkEnd w:id="4"/>
      <w:r>
        <w:rPr>
          <w:rFonts w:ascii="Arial" w:hAnsi="Arial" w:eastAsia="宋体" w:cs="Arial"/>
          <w:sz w:val="24"/>
          <w:szCs w:val="24"/>
        </w:rPr>
        <w:t>。</w:t>
      </w:r>
    </w:p>
    <w:p w14:paraId="5A84919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性能标准的规定适用于1974年4月25日以后生产或组装的、主要用于检查随身行李的X射线系统。此外，性能标准也适用于1975年4月10日或之后生产或组装的所有柜式X射线系统或【21 CFR 1020.40（a）】。</w:t>
      </w:r>
    </w:p>
    <w:p w14:paraId="6A6BD54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X射线系统不完全符合规定中关于定义的标准，那么该系统不是一个柜式X射线系统。例如，为已有的房间添加屏蔽后，因为房间不是独立于现有的结构体系，因此该房间无法成为一个柜式系统。独立于现有结构体系（不包括用于容纳X射线管的地板）的独立屏蔽室则符合性能标准。</w:t>
      </w:r>
    </w:p>
    <w:p w14:paraId="50FC741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非柜式X射线系统因遵守不同的报告要求【21 CFR 1002.1，表1】。性能标准【21 CFR 1020.40（A）】不适用于：</w:t>
      </w:r>
    </w:p>
    <w:p w14:paraId="6D209EB2">
      <w:pPr>
        <w:pStyle w:val="13"/>
        <w:numPr>
          <w:ilvl w:val="0"/>
          <w:numId w:val="3"/>
        </w:numPr>
        <w:overflowPunct w:val="0"/>
        <w:snapToGrid w:val="0"/>
        <w:spacing w:line="300" w:lineRule="auto"/>
        <w:ind w:left="993" w:leftChars="360" w:hanging="237" w:hangingChars="99"/>
        <w:rPr>
          <w:rFonts w:ascii="Arial" w:hAnsi="Arial" w:eastAsia="宋体" w:cs="Arial"/>
          <w:sz w:val="24"/>
          <w:szCs w:val="24"/>
        </w:rPr>
      </w:pPr>
      <w:r>
        <w:rPr>
          <w:rFonts w:ascii="Arial" w:hAnsi="Arial" w:eastAsia="宋体" w:cs="Arial"/>
          <w:sz w:val="24"/>
          <w:szCs w:val="24"/>
        </w:rPr>
        <w:t>专门用于材料显微镜检查的系统；</w:t>
      </w:r>
    </w:p>
    <w:p w14:paraId="1774F1E7">
      <w:pPr>
        <w:pStyle w:val="13"/>
        <w:numPr>
          <w:ilvl w:val="0"/>
          <w:numId w:val="3"/>
        </w:numPr>
        <w:overflowPunct w:val="0"/>
        <w:snapToGrid w:val="0"/>
        <w:spacing w:line="300" w:lineRule="auto"/>
        <w:ind w:left="993" w:leftChars="360" w:hanging="237" w:hangingChars="99"/>
        <w:rPr>
          <w:rFonts w:ascii="Arial" w:hAnsi="Arial" w:eastAsia="宋体" w:cs="Arial"/>
          <w:sz w:val="24"/>
          <w:szCs w:val="24"/>
        </w:rPr>
      </w:pPr>
      <w:r>
        <w:rPr>
          <w:rFonts w:ascii="Arial" w:hAnsi="Arial" w:eastAsia="宋体" w:cs="Arial"/>
          <w:sz w:val="24"/>
          <w:szCs w:val="24"/>
        </w:rPr>
        <w:t>旨在有意将人体暴露于X射线的系统；或</w:t>
      </w:r>
    </w:p>
    <w:p w14:paraId="7C70D94C">
      <w:pPr>
        <w:pStyle w:val="13"/>
        <w:numPr>
          <w:ilvl w:val="0"/>
          <w:numId w:val="3"/>
        </w:numPr>
        <w:overflowPunct w:val="0"/>
        <w:snapToGrid w:val="0"/>
        <w:spacing w:after="240" w:line="300" w:lineRule="auto"/>
        <w:ind w:left="993" w:leftChars="360" w:hanging="237" w:hangingChars="99"/>
        <w:rPr>
          <w:rFonts w:ascii="Arial" w:hAnsi="Arial" w:eastAsia="宋体" w:cs="Arial"/>
          <w:sz w:val="24"/>
          <w:szCs w:val="24"/>
        </w:rPr>
      </w:pPr>
      <w:r>
        <w:rPr>
          <w:rFonts w:ascii="Arial" w:hAnsi="Arial" w:eastAsia="宋体" w:cs="Arial"/>
          <w:sz w:val="24"/>
          <w:szCs w:val="24"/>
        </w:rPr>
        <w:t>使用放射性物质作为放射源的产品。</w:t>
      </w:r>
    </w:p>
    <w:p w14:paraId="104D232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其他类别的X射线系统定义如下。</w:t>
      </w:r>
    </w:p>
    <w:p w14:paraId="7E51D75D">
      <w:pPr>
        <w:widowControl/>
        <w:jc w:val="left"/>
        <w:rPr>
          <w:rFonts w:ascii="Arial" w:hAnsi="Arial" w:eastAsia="宋体" w:cs="Arial"/>
          <w:b/>
          <w:sz w:val="24"/>
          <w:szCs w:val="24"/>
        </w:rPr>
      </w:pPr>
      <w:r>
        <w:rPr>
          <w:rFonts w:ascii="Arial" w:hAnsi="Arial" w:eastAsia="宋体" w:cs="Arial"/>
          <w:b/>
          <w:sz w:val="24"/>
          <w:szCs w:val="24"/>
        </w:rPr>
        <w:br w:type="page"/>
      </w:r>
    </w:p>
    <w:p w14:paraId="1B1FED87">
      <w:pPr>
        <w:overflowPunct w:val="0"/>
        <w:snapToGrid w:val="0"/>
        <w:spacing w:after="240" w:line="300" w:lineRule="auto"/>
        <w:rPr>
          <w:rFonts w:ascii="Arial" w:hAnsi="Arial" w:eastAsia="宋体" w:cs="Arial"/>
          <w:b/>
          <w:sz w:val="24"/>
          <w:szCs w:val="24"/>
          <w:u w:val="single"/>
        </w:rPr>
      </w:pPr>
      <w:r>
        <w:rPr>
          <w:rFonts w:ascii="Arial" w:hAnsi="Arial" w:eastAsia="宋体" w:cs="Arial"/>
          <w:b/>
          <w:sz w:val="24"/>
          <w:szCs w:val="24"/>
          <w:u w:val="single"/>
        </w:rPr>
        <w:t>用于产生除诊断</w:t>
      </w:r>
      <w:r>
        <w:rPr>
          <w:rStyle w:val="12"/>
          <w:rFonts w:ascii="Arial" w:hAnsi="Arial" w:eastAsia="宋体" w:cs="Arial"/>
          <w:b/>
          <w:sz w:val="24"/>
          <w:szCs w:val="24"/>
          <w:u w:val="single"/>
        </w:rPr>
        <w:footnoteReference w:id="1"/>
      </w:r>
      <w:r>
        <w:rPr>
          <w:rFonts w:ascii="Arial" w:hAnsi="Arial" w:eastAsia="宋体" w:cs="Arial"/>
          <w:b/>
          <w:sz w:val="24"/>
          <w:szCs w:val="24"/>
          <w:u w:val="single"/>
        </w:rPr>
        <w:t>或柜式X射线系统之外的微粒辐射或X射线的产品</w:t>
      </w:r>
      <w:r>
        <w:rPr>
          <w:rFonts w:ascii="Arial" w:hAnsi="Arial" w:eastAsia="宋体" w:cs="Arial"/>
          <w:b/>
          <w:sz w:val="24"/>
          <w:szCs w:val="24"/>
        </w:rPr>
        <w:t>【21 CFR 1002.1，表1】</w:t>
      </w:r>
    </w:p>
    <w:p w14:paraId="0E469F05">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虽然以下产品不受强制性能标准的限制，但是该产品和制造商仍受该法规的约束。在美国销售的X射线和微粒辐射系统的制造商有义务遵守21 CFR第1000、1002、1003、1004部分和21 CFR 1005.25。如果可能，那么制造商在设计其产品时，如果有自愿共识的辐射安全标准可用并适合该产品，FDA建议制造商遵守该标准。</w:t>
      </w:r>
    </w:p>
    <w:p w14:paraId="6A8ECE23">
      <w:pPr>
        <w:pStyle w:val="13"/>
        <w:numPr>
          <w:ilvl w:val="0"/>
          <w:numId w:val="4"/>
        </w:numPr>
        <w:overflowPunct w:val="0"/>
        <w:snapToGrid w:val="0"/>
        <w:spacing w:after="240" w:line="300" w:lineRule="auto"/>
        <w:ind w:left="-420" w:leftChars="-200" w:firstLineChars="0"/>
        <w:rPr>
          <w:rFonts w:ascii="Arial" w:hAnsi="Arial" w:eastAsia="宋体" w:cs="Arial"/>
          <w:b/>
          <w:sz w:val="24"/>
          <w:szCs w:val="24"/>
        </w:rPr>
      </w:pPr>
      <w:r>
        <w:rPr>
          <w:rFonts w:ascii="Arial" w:hAnsi="Arial" w:eastAsia="宋体" w:cs="Arial"/>
          <w:b/>
          <w:sz w:val="24"/>
          <w:szCs w:val="24"/>
        </w:rPr>
        <w:t>分析用X射线系统</w:t>
      </w:r>
    </w:p>
    <w:p w14:paraId="0386FEB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X射线系统是专门用于材料显微镜检查的系统。“专门用于材料显微镜检查”的表述特指X射线光谱、X射线衍射或X射线荧光。这些X射线系统通常仅在实验室环境中运行。当专门用于材料的显微镜检查时，X射线系统可以免除性能标准的要求【21 CFR 1020.40（a）】。性能标准适用于用于教育的系统（例如X射线物理学教学）或用于生产环境下的工业质量控制，因为这些用途非“专门用于材料显微镜检查”。</w:t>
      </w:r>
    </w:p>
    <w:p w14:paraId="064008C1">
      <w:pPr>
        <w:pStyle w:val="13"/>
        <w:numPr>
          <w:ilvl w:val="0"/>
          <w:numId w:val="4"/>
        </w:numPr>
        <w:overflowPunct w:val="0"/>
        <w:snapToGrid w:val="0"/>
        <w:spacing w:after="240" w:line="300" w:lineRule="auto"/>
        <w:ind w:left="-420" w:leftChars="-200" w:firstLineChars="0"/>
        <w:rPr>
          <w:rFonts w:ascii="Arial" w:hAnsi="Arial" w:eastAsia="宋体" w:cs="Arial"/>
          <w:b/>
          <w:sz w:val="24"/>
          <w:szCs w:val="24"/>
        </w:rPr>
      </w:pPr>
      <w:r>
        <w:rPr>
          <w:rFonts w:ascii="Arial" w:hAnsi="Arial" w:eastAsia="宋体" w:cs="Arial"/>
          <w:b/>
          <w:sz w:val="24"/>
          <w:szCs w:val="24"/>
        </w:rPr>
        <w:t>医用X射线系统</w:t>
      </w:r>
    </w:p>
    <w:p w14:paraId="4BF0CA3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不受柜式X射线或诊断X射线标准约束，且作为医疗器械使用的产品是医用X射线系统。实例包括但不限于使用加速器的放射治疗产品和兽用X射线系统等。</w:t>
      </w:r>
    </w:p>
    <w:p w14:paraId="6F89F425">
      <w:pPr>
        <w:pStyle w:val="13"/>
        <w:numPr>
          <w:ilvl w:val="0"/>
          <w:numId w:val="4"/>
        </w:numPr>
        <w:overflowPunct w:val="0"/>
        <w:snapToGrid w:val="0"/>
        <w:spacing w:after="240" w:line="300" w:lineRule="auto"/>
        <w:ind w:left="-420" w:leftChars="-200" w:firstLineChars="0"/>
        <w:rPr>
          <w:rFonts w:ascii="Arial" w:hAnsi="Arial" w:eastAsia="宋体" w:cs="Arial"/>
          <w:b/>
          <w:sz w:val="24"/>
          <w:szCs w:val="24"/>
        </w:rPr>
      </w:pPr>
      <w:r>
        <w:rPr>
          <w:rFonts w:ascii="Arial" w:hAnsi="Arial" w:eastAsia="宋体" w:cs="Arial"/>
          <w:b/>
          <w:sz w:val="24"/>
          <w:szCs w:val="24"/>
        </w:rPr>
        <w:t>工业X射线和微粒辐射系统</w:t>
      </w:r>
    </w:p>
    <w:p w14:paraId="1A6825A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不受柜式X射线或诊断X射线标准</w:t>
      </w:r>
      <w:bookmarkStart w:id="5" w:name="OLE_LINK8"/>
      <w:r>
        <w:rPr>
          <w:rFonts w:ascii="Arial" w:hAnsi="Arial" w:eastAsia="宋体" w:cs="Arial"/>
          <w:sz w:val="24"/>
          <w:szCs w:val="24"/>
        </w:rPr>
        <w:t>约束</w:t>
      </w:r>
      <w:bookmarkEnd w:id="5"/>
      <w:r>
        <w:rPr>
          <w:rFonts w:ascii="Arial" w:hAnsi="Arial" w:eastAsia="宋体" w:cs="Arial"/>
          <w:sz w:val="24"/>
          <w:szCs w:val="24"/>
        </w:rPr>
        <w:t>，不属于分析用X射线或医用X射线类别，并且使用X射线管或加速器产生电离辐射的系统属于工业X射线或微粒辐射类别。但具有工业目的和封闭系统的X射线产品属于柜式X射线系统，受性能标准约束。工业X射线系统的例子包括用于医疗器械灭菌的加速器、用于非破坏性测试的开放射束系统、用于炸弹探测的开放射束系统、以及使用X射线的人员安全检查系统等。</w:t>
      </w:r>
    </w:p>
    <w:p w14:paraId="775A82B4">
      <w:pPr>
        <w:overflowPunct w:val="0"/>
        <w:snapToGrid w:val="0"/>
        <w:spacing w:after="240" w:line="300" w:lineRule="auto"/>
        <w:rPr>
          <w:rFonts w:ascii="Arial" w:hAnsi="Arial" w:eastAsia="宋体" w:cs="Arial"/>
          <w:b/>
          <w:sz w:val="24"/>
          <w:szCs w:val="24"/>
          <w:u w:val="single"/>
        </w:rPr>
      </w:pPr>
      <w:r>
        <w:rPr>
          <w:rFonts w:ascii="Arial" w:hAnsi="Arial" w:eastAsia="宋体" w:cs="Arial"/>
          <w:b/>
          <w:sz w:val="24"/>
          <w:szCs w:val="24"/>
          <w:u w:val="single"/>
        </w:rPr>
        <w:t>监管条款</w:t>
      </w:r>
    </w:p>
    <w:p w14:paraId="78211B50">
      <w:pPr>
        <w:pStyle w:val="13"/>
        <w:widowControl/>
        <w:numPr>
          <w:ilvl w:val="0"/>
          <w:numId w:val="5"/>
        </w:numPr>
        <w:overflowPunct w:val="0"/>
        <w:snapToGrid w:val="0"/>
        <w:spacing w:after="240" w:line="300" w:lineRule="auto"/>
        <w:ind w:left="-420" w:leftChars="-200" w:firstLineChars="0"/>
        <w:jc w:val="left"/>
        <w:rPr>
          <w:rFonts w:ascii="Arial" w:hAnsi="Arial" w:eastAsia="宋体" w:cs="Arial"/>
          <w:sz w:val="24"/>
          <w:szCs w:val="24"/>
        </w:rPr>
      </w:pPr>
      <w:r>
        <w:rPr>
          <w:rFonts w:ascii="Arial" w:hAnsi="Arial" w:eastAsia="宋体" w:cs="Arial"/>
          <w:b/>
          <w:sz w:val="24"/>
          <w:szCs w:val="24"/>
        </w:rPr>
        <w:t>意外辐射发生</w:t>
      </w:r>
      <w:r>
        <w:rPr>
          <w:rFonts w:ascii="Arial" w:hAnsi="Arial" w:eastAsia="宋体" w:cs="Arial"/>
          <w:sz w:val="24"/>
          <w:szCs w:val="24"/>
        </w:rPr>
        <w:t>（ARO）【21 CFR 1000.3（a）】</w:t>
      </w:r>
      <w:r>
        <w:rPr>
          <w:rFonts w:ascii="Arial" w:hAnsi="Arial" w:eastAsia="宋体" w:cs="Arial"/>
          <w:i/>
          <w:sz w:val="24"/>
          <w:szCs w:val="24"/>
        </w:rPr>
        <w:t>是指由于制造、测试或使用电子产品，而导致人体暴露于电子产品辐射中，并造成或潜在造成损害的单一事件或一系列事件。</w:t>
      </w:r>
      <w:r>
        <w:rPr>
          <w:rFonts w:ascii="Arial" w:hAnsi="Arial" w:eastAsia="宋体" w:cs="Arial"/>
          <w:sz w:val="24"/>
          <w:szCs w:val="24"/>
        </w:rPr>
        <w:br w:type="page"/>
      </w:r>
    </w:p>
    <w:p w14:paraId="0A1708D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21 CFR 1002.20要求对ARO进行报告。关于该要求的讨论见本文档的“</w:t>
      </w:r>
      <w:r>
        <w:rPr>
          <w:rFonts w:ascii="Arial" w:hAnsi="Arial" w:eastAsia="宋体" w:cs="Arial"/>
          <w:b/>
          <w:sz w:val="24"/>
          <w:szCs w:val="24"/>
        </w:rPr>
        <w:t>报告和记录</w:t>
      </w:r>
      <w:r>
        <w:rPr>
          <w:rFonts w:ascii="Arial" w:hAnsi="Arial" w:eastAsia="宋体" w:cs="Arial"/>
          <w:sz w:val="24"/>
          <w:szCs w:val="24"/>
        </w:rPr>
        <w:t>”部分。</w:t>
      </w:r>
    </w:p>
    <w:p w14:paraId="6500FAAE">
      <w:pPr>
        <w:pStyle w:val="13"/>
        <w:numPr>
          <w:ilvl w:val="0"/>
          <w:numId w:val="6"/>
        </w:numPr>
        <w:overflowPunct w:val="0"/>
        <w:snapToGrid w:val="0"/>
        <w:spacing w:line="300" w:lineRule="auto"/>
        <w:ind w:left="-420" w:leftChars="-200" w:firstLineChars="0"/>
        <w:rPr>
          <w:rFonts w:ascii="Arial" w:hAnsi="Arial" w:eastAsia="宋体" w:cs="Arial"/>
          <w:sz w:val="24"/>
          <w:szCs w:val="24"/>
        </w:rPr>
      </w:pPr>
      <w:r>
        <w:rPr>
          <w:rFonts w:ascii="Arial" w:hAnsi="Arial" w:eastAsia="宋体" w:cs="Arial"/>
          <w:b/>
          <w:sz w:val="24"/>
          <w:szCs w:val="24"/>
        </w:rPr>
        <w:t>贸易</w:t>
      </w:r>
      <w:r>
        <w:rPr>
          <w:rFonts w:ascii="Arial" w:hAnsi="Arial" w:eastAsia="宋体" w:cs="Arial"/>
          <w:sz w:val="24"/>
          <w:szCs w:val="24"/>
        </w:rPr>
        <w:t>【21 CFR 1000.3（d）】</w:t>
      </w:r>
      <w:r>
        <w:rPr>
          <w:rFonts w:ascii="Arial" w:hAnsi="Arial" w:eastAsia="宋体" w:cs="Arial"/>
          <w:i/>
          <w:sz w:val="24"/>
          <w:szCs w:val="24"/>
        </w:rPr>
        <w:t>是指：</w:t>
      </w:r>
    </w:p>
    <w:p w14:paraId="719DC14C">
      <w:pPr>
        <w:overflowPunct w:val="0"/>
        <w:snapToGrid w:val="0"/>
        <w:spacing w:line="300" w:lineRule="auto"/>
        <w:rPr>
          <w:rFonts w:ascii="Arial" w:hAnsi="Arial" w:eastAsia="宋体" w:cs="Arial"/>
          <w:i/>
          <w:sz w:val="24"/>
          <w:szCs w:val="24"/>
        </w:rPr>
      </w:pPr>
      <w:r>
        <w:rPr>
          <w:rFonts w:ascii="Arial" w:hAnsi="Arial" w:eastAsia="宋体" w:cs="Arial"/>
          <w:i/>
          <w:sz w:val="24"/>
          <w:szCs w:val="24"/>
        </w:rPr>
        <w:t>（1）任何州的任何地方与其外的任何地点之间的商业贸易，以及</w:t>
      </w:r>
    </w:p>
    <w:p w14:paraId="4C0D6384">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（2）完全在哥伦比亚特区内的商业贸易。</w:t>
      </w:r>
    </w:p>
    <w:p w14:paraId="422C84F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在产品使用地点建立系统供自己使用通常不被视为贸易。为公司的使用建立系统，并运输至其他地方则可以视为商业贸易。</w:t>
      </w:r>
    </w:p>
    <w:p w14:paraId="0885373D">
      <w:pPr>
        <w:pStyle w:val="13"/>
        <w:numPr>
          <w:ilvl w:val="0"/>
          <w:numId w:val="7"/>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制造商</w:t>
      </w:r>
      <w:r>
        <w:rPr>
          <w:rFonts w:ascii="Arial" w:hAnsi="Arial" w:eastAsia="宋体" w:cs="Arial"/>
          <w:sz w:val="24"/>
          <w:szCs w:val="24"/>
        </w:rPr>
        <w:t>【21 CFR 1000.3（n）】</w:t>
      </w:r>
      <w:r>
        <w:rPr>
          <w:rFonts w:ascii="Arial" w:hAnsi="Arial" w:eastAsia="宋体" w:cs="Arial"/>
          <w:i/>
          <w:sz w:val="24"/>
          <w:szCs w:val="24"/>
        </w:rPr>
        <w:t>指从事电子产品制造、组装或进口业务的任何人。</w:t>
      </w:r>
    </w:p>
    <w:p w14:paraId="412C202A">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型号</w:t>
      </w:r>
      <w:r>
        <w:rPr>
          <w:rFonts w:ascii="Arial" w:hAnsi="Arial" w:eastAsia="宋体" w:cs="Arial"/>
          <w:sz w:val="24"/>
          <w:szCs w:val="24"/>
        </w:rPr>
        <w:t>【21 CFR 1000.3（o）】</w:t>
      </w:r>
      <w:r>
        <w:rPr>
          <w:rFonts w:ascii="Arial" w:hAnsi="Arial" w:eastAsia="宋体" w:cs="Arial"/>
          <w:i/>
          <w:sz w:val="24"/>
          <w:szCs w:val="24"/>
        </w:rPr>
        <w:t>是指任何可识别的、独特的电子产品设计，并且是指具有相同结构和电气设计特征的产品，并且制造商指定了具体名称以区分其与由该制造商生产的其他产品。</w:t>
      </w:r>
    </w:p>
    <w:p w14:paraId="69AB0C06">
      <w:pPr>
        <w:overflowPunct w:val="0"/>
        <w:snapToGrid w:val="0"/>
        <w:spacing w:after="240" w:line="300" w:lineRule="auto"/>
        <w:rPr>
          <w:rFonts w:ascii="Arial" w:hAnsi="Arial" w:eastAsia="宋体" w:cs="Arial"/>
          <w:b/>
          <w:sz w:val="24"/>
          <w:szCs w:val="24"/>
          <w:u w:val="single"/>
        </w:rPr>
      </w:pPr>
      <w:r>
        <w:rPr>
          <w:rFonts w:ascii="Arial" w:hAnsi="Arial" w:eastAsia="宋体" w:cs="Arial"/>
          <w:b/>
          <w:sz w:val="24"/>
          <w:szCs w:val="24"/>
          <w:u w:val="single"/>
        </w:rPr>
        <w:t>柜式X射线系统术语</w:t>
      </w:r>
    </w:p>
    <w:p w14:paraId="61F94022">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检修面板 【21 CFR 1020.40（b）（1）】</w:t>
      </w:r>
      <w:r>
        <w:rPr>
          <w:rFonts w:ascii="Arial" w:hAnsi="Arial" w:eastAsia="宋体" w:cs="Arial"/>
          <w:i/>
          <w:sz w:val="24"/>
          <w:szCs w:val="24"/>
        </w:rPr>
        <w:t>是指为了维护或维修目的而可以被拆卸或开启的任何屏障或面板，需要工具打开并允许进入机柜内部。</w:t>
      </w:r>
    </w:p>
    <w:p w14:paraId="4D699D19">
      <w:pPr>
        <w:overflowPunct w:val="0"/>
        <w:snapToGrid w:val="0"/>
        <w:spacing w:after="240" w:line="300" w:lineRule="auto"/>
        <w:rPr>
          <w:rFonts w:ascii="Arial" w:hAnsi="Arial" w:eastAsia="宋体" w:cs="Arial"/>
          <w:sz w:val="24"/>
          <w:szCs w:val="24"/>
        </w:rPr>
      </w:pPr>
      <w:bookmarkStart w:id="6" w:name="OLE_LINK9"/>
      <w:r>
        <w:rPr>
          <w:rFonts w:ascii="Arial" w:hAnsi="Arial" w:eastAsia="宋体" w:cs="Arial"/>
          <w:sz w:val="24"/>
          <w:szCs w:val="24"/>
        </w:rPr>
        <w:t>设计为可移动或打开以进行常规操作的任何</w:t>
      </w:r>
      <w:r>
        <w:rPr>
          <w:rFonts w:hint="eastAsia" w:ascii="Arial" w:hAnsi="Arial" w:eastAsia="宋体" w:cs="Arial"/>
          <w:sz w:val="24"/>
          <w:szCs w:val="24"/>
        </w:rPr>
        <w:t>屏障</w:t>
      </w:r>
      <w:bookmarkEnd w:id="6"/>
      <w:r>
        <w:rPr>
          <w:rFonts w:ascii="Arial" w:hAnsi="Arial" w:eastAsia="宋体" w:cs="Arial"/>
          <w:sz w:val="24"/>
          <w:szCs w:val="24"/>
        </w:rPr>
        <w:t>都是门（定义见下文），而不是检修面板。</w:t>
      </w:r>
    </w:p>
    <w:p w14:paraId="4CEFB1A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一些柜式X射线系统有隐藏电子设备的装饰性覆盖物，但在打开时不允许进入机柜。除非它们</w:t>
      </w:r>
      <w:r>
        <w:rPr>
          <w:rFonts w:hint="eastAsia" w:ascii="Arial" w:hAnsi="Arial" w:eastAsia="宋体" w:cs="Arial"/>
          <w:sz w:val="24"/>
          <w:szCs w:val="24"/>
        </w:rPr>
        <w:t>可</w:t>
      </w:r>
      <w:r>
        <w:rPr>
          <w:rFonts w:ascii="Arial" w:hAnsi="Arial" w:eastAsia="宋体" w:cs="Arial"/>
          <w:sz w:val="24"/>
          <w:szCs w:val="24"/>
        </w:rPr>
        <w:t>用于防止</w:t>
      </w:r>
      <w:r>
        <w:rPr>
          <w:rFonts w:hint="eastAsia" w:ascii="Arial" w:hAnsi="Arial" w:eastAsia="宋体" w:cs="Arial"/>
          <w:sz w:val="24"/>
          <w:szCs w:val="24"/>
        </w:rPr>
        <w:t>进入</w:t>
      </w:r>
      <w:r>
        <w:rPr>
          <w:rFonts w:ascii="Arial" w:hAnsi="Arial" w:eastAsia="宋体" w:cs="Arial"/>
          <w:sz w:val="24"/>
          <w:szCs w:val="24"/>
        </w:rPr>
        <w:t>内部系统组件</w:t>
      </w:r>
      <w:r>
        <w:rPr>
          <w:rFonts w:hint="eastAsia" w:ascii="Arial" w:hAnsi="Arial" w:eastAsia="宋体" w:cs="Arial"/>
          <w:sz w:val="24"/>
          <w:szCs w:val="24"/>
        </w:rPr>
        <w:t>（允许进入机柜）</w:t>
      </w:r>
      <w:r>
        <w:rPr>
          <w:rFonts w:ascii="Arial" w:hAnsi="Arial" w:eastAsia="宋体" w:cs="Arial"/>
          <w:sz w:val="24"/>
          <w:szCs w:val="24"/>
        </w:rPr>
        <w:t>，否则这些覆盖物不属于检修面板。</w:t>
      </w:r>
    </w:p>
    <w:p w14:paraId="6B959F2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工具可以是钥匙或通用工具，如螺丝</w:t>
      </w:r>
      <w:r>
        <w:rPr>
          <w:rFonts w:hint="eastAsia" w:ascii="Arial" w:hAnsi="Arial" w:eastAsia="宋体" w:cs="Arial"/>
          <w:sz w:val="24"/>
          <w:szCs w:val="24"/>
        </w:rPr>
        <w:t>起子</w:t>
      </w:r>
      <w:r>
        <w:rPr>
          <w:rFonts w:ascii="Arial" w:hAnsi="Arial" w:eastAsia="宋体" w:cs="Arial"/>
          <w:sz w:val="24"/>
          <w:szCs w:val="24"/>
        </w:rPr>
        <w:t>和扳手。</w:t>
      </w:r>
    </w:p>
    <w:p w14:paraId="72FF4645">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开孔</w:t>
      </w:r>
      <w:r>
        <w:rPr>
          <w:rFonts w:ascii="Arial" w:hAnsi="Arial" w:eastAsia="宋体" w:cs="Arial"/>
          <w:sz w:val="24"/>
          <w:szCs w:val="24"/>
        </w:rPr>
        <w:t>【21 CFR 1020.40（b）（2）】</w:t>
      </w:r>
      <w:r>
        <w:rPr>
          <w:rFonts w:ascii="Arial" w:hAnsi="Arial" w:eastAsia="宋体" w:cs="Arial"/>
          <w:i/>
          <w:sz w:val="24"/>
          <w:szCs w:val="24"/>
        </w:rPr>
        <w:t>表示机柜外表面上除</w:t>
      </w:r>
      <w:r>
        <w:rPr>
          <w:rFonts w:hint="eastAsia" w:ascii="Arial" w:hAnsi="Arial" w:eastAsia="宋体" w:cs="Arial"/>
          <w:i/>
          <w:sz w:val="24"/>
          <w:szCs w:val="24"/>
        </w:rPr>
        <w:t>端口</w:t>
      </w:r>
      <w:r>
        <w:rPr>
          <w:rFonts w:ascii="Arial" w:hAnsi="Arial" w:eastAsia="宋体" w:cs="Arial"/>
          <w:i/>
          <w:sz w:val="24"/>
          <w:szCs w:val="24"/>
        </w:rPr>
        <w:t>外的任何开口，且在X射线产生期间保持打开。</w:t>
      </w:r>
    </w:p>
    <w:p w14:paraId="629AF0C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开孔通常是常规电缆、通风或接线进出机柜的孔。</w:t>
      </w:r>
    </w:p>
    <w:p w14:paraId="300A5DD7">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机柜</w:t>
      </w:r>
      <w:r>
        <w:rPr>
          <w:rFonts w:hint="eastAsia" w:ascii="Arial" w:hAnsi="Arial" w:eastAsia="宋体" w:cs="Arial"/>
          <w:sz w:val="24"/>
          <w:szCs w:val="24"/>
        </w:rPr>
        <w:t>【</w:t>
      </w:r>
      <w:r>
        <w:rPr>
          <w:rFonts w:ascii="Arial" w:hAnsi="Arial" w:eastAsia="宋体" w:cs="Arial"/>
          <w:sz w:val="24"/>
          <w:szCs w:val="24"/>
        </w:rPr>
        <w:t>由21 CFR 1020.40（b）（3）解释</w:t>
      </w:r>
      <w:r>
        <w:rPr>
          <w:rFonts w:hint="eastAsia" w:ascii="Arial" w:hAnsi="Arial" w:eastAsia="宋体" w:cs="Arial"/>
          <w:sz w:val="24"/>
          <w:szCs w:val="24"/>
        </w:rPr>
        <w:t>】</w:t>
      </w:r>
      <w:r>
        <w:rPr>
          <w:rFonts w:ascii="Arial" w:hAnsi="Arial" w:eastAsia="宋体" w:cs="Arial"/>
          <w:i/>
          <w:sz w:val="24"/>
          <w:szCs w:val="24"/>
        </w:rPr>
        <w:t>是指包含X射线管的外壳，至少可以容纳材料被辐射的部分</w:t>
      </w:r>
      <w:r>
        <w:rPr>
          <w:rFonts w:hint="eastAsia" w:ascii="Arial" w:hAnsi="Arial" w:eastAsia="宋体" w:cs="Arial"/>
          <w:i/>
          <w:sz w:val="24"/>
          <w:szCs w:val="24"/>
        </w:rPr>
        <w:t>，</w:t>
      </w:r>
      <w:r>
        <w:rPr>
          <w:rFonts w:ascii="Arial" w:hAnsi="Arial" w:eastAsia="宋体" w:cs="Arial"/>
          <w:i/>
          <w:sz w:val="24"/>
          <w:szCs w:val="24"/>
        </w:rPr>
        <w:t>提供辐射衰减、并在X射线的产生期间</w:t>
      </w:r>
      <w:r>
        <w:rPr>
          <w:rFonts w:hint="eastAsia" w:ascii="Arial" w:hAnsi="Arial" w:eastAsia="宋体" w:cs="Arial"/>
          <w:i/>
          <w:sz w:val="24"/>
          <w:szCs w:val="24"/>
        </w:rPr>
        <w:t>将人员与机柜内部隔离。</w:t>
      </w:r>
      <w:r>
        <w:rPr>
          <w:rFonts w:ascii="Arial" w:hAnsi="Arial" w:eastAsia="宋体" w:cs="Arial"/>
          <w:i/>
          <w:sz w:val="24"/>
          <w:szCs w:val="24"/>
        </w:rPr>
        <w:t>机柜是柜式X射线系统中唯一允许大于放射上限【21 CFR 1020.4(c)(1)】的空间。</w:t>
      </w:r>
    </w:p>
    <w:p w14:paraId="57753CA4">
      <w:pPr>
        <w:widowControl/>
        <w:jc w:val="left"/>
        <w:rPr>
          <w:rFonts w:ascii="Arial" w:hAnsi="Arial" w:eastAsia="宋体" w:cs="Arial"/>
          <w:sz w:val="24"/>
          <w:szCs w:val="24"/>
        </w:rPr>
      </w:pPr>
      <w:r>
        <w:rPr>
          <w:rFonts w:ascii="Arial" w:hAnsi="Arial" w:eastAsia="宋体" w:cs="Arial"/>
          <w:sz w:val="24"/>
          <w:szCs w:val="24"/>
        </w:rPr>
        <w:br w:type="page"/>
      </w:r>
    </w:p>
    <w:p w14:paraId="6C528E0D">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门</w:t>
      </w:r>
      <w:r>
        <w:rPr>
          <w:rFonts w:ascii="Arial" w:hAnsi="Arial" w:eastAsia="宋体" w:cs="Arial"/>
          <w:sz w:val="24"/>
          <w:szCs w:val="24"/>
        </w:rPr>
        <w:t>【21 CFR 1020.40（b）（4）】</w:t>
      </w:r>
      <w:r>
        <w:rPr>
          <w:rFonts w:ascii="Arial" w:hAnsi="Arial" w:eastAsia="宋体" w:cs="Arial"/>
          <w:i/>
          <w:sz w:val="24"/>
          <w:szCs w:val="24"/>
        </w:rPr>
        <w:t>是指</w:t>
      </w:r>
      <w:r>
        <w:rPr>
          <w:rFonts w:hint="eastAsia" w:ascii="Arial" w:hAnsi="Arial" w:eastAsia="宋体" w:cs="Arial"/>
          <w:i/>
          <w:sz w:val="24"/>
          <w:szCs w:val="24"/>
        </w:rPr>
        <w:t>设计为可移动或打开以进行常规操作的任何屏障</w:t>
      </w:r>
      <w:r>
        <w:rPr>
          <w:rFonts w:ascii="Arial" w:hAnsi="Arial" w:eastAsia="宋体" w:cs="Arial"/>
          <w:i/>
          <w:sz w:val="24"/>
          <w:szCs w:val="24"/>
        </w:rPr>
        <w:t>，通常不需要打开工具，并允许进入机柜内部。在本部分的第（c）（4）（i）部分规定，严格固定在门上的、不能灵活移动的硬件应视为门的一部分。</w:t>
      </w:r>
    </w:p>
    <w:p w14:paraId="1582E84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如果屏障仅</w:t>
      </w:r>
      <w:r>
        <w:rPr>
          <w:rFonts w:hint="eastAsia" w:ascii="Arial" w:hAnsi="Arial" w:eastAsia="宋体" w:cs="Arial"/>
          <w:sz w:val="24"/>
          <w:szCs w:val="24"/>
        </w:rPr>
        <w:t>在进行</w:t>
      </w:r>
      <w:r>
        <w:rPr>
          <w:rFonts w:ascii="Arial" w:hAnsi="Arial" w:eastAsia="宋体" w:cs="Arial"/>
          <w:sz w:val="24"/>
          <w:szCs w:val="24"/>
        </w:rPr>
        <w:t>维护和维修</w:t>
      </w:r>
      <w:r>
        <w:rPr>
          <w:rFonts w:hint="eastAsia" w:ascii="Arial" w:hAnsi="Arial" w:eastAsia="宋体" w:cs="Arial"/>
          <w:sz w:val="24"/>
          <w:szCs w:val="24"/>
        </w:rPr>
        <w:t>时</w:t>
      </w:r>
      <w:r>
        <w:rPr>
          <w:rFonts w:ascii="Arial" w:hAnsi="Arial" w:eastAsia="宋体" w:cs="Arial"/>
          <w:sz w:val="24"/>
          <w:szCs w:val="24"/>
        </w:rPr>
        <w:t>开启，则</w:t>
      </w:r>
      <w:r>
        <w:rPr>
          <w:rFonts w:hint="eastAsia" w:ascii="Arial" w:hAnsi="Arial" w:eastAsia="宋体" w:cs="Arial"/>
          <w:sz w:val="24"/>
          <w:szCs w:val="24"/>
        </w:rPr>
        <w:t>为</w:t>
      </w:r>
      <w:r>
        <w:rPr>
          <w:rFonts w:ascii="Arial" w:hAnsi="Arial" w:eastAsia="宋体" w:cs="Arial"/>
          <w:sz w:val="24"/>
          <w:szCs w:val="24"/>
        </w:rPr>
        <w:t>如上所述的检修面板。然而，如果在材料接受辐射时必须将屏障移除，或作为常规操作的一部分，则即使需要工具开启，该屏障也是门。</w:t>
      </w:r>
    </w:p>
    <w:p w14:paraId="7B9FB79C">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暴露量</w:t>
      </w:r>
      <w:r>
        <w:rPr>
          <w:rFonts w:ascii="Arial" w:hAnsi="Arial" w:eastAsia="宋体" w:cs="Arial"/>
          <w:sz w:val="24"/>
          <w:szCs w:val="24"/>
        </w:rPr>
        <w:t>【21 CFR 1020.40（b）（5）】</w:t>
      </w:r>
      <w:r>
        <w:rPr>
          <w:rFonts w:ascii="Arial" w:hAnsi="Arial" w:eastAsia="宋体" w:cs="Arial"/>
          <w:i/>
          <w:sz w:val="24"/>
          <w:szCs w:val="24"/>
        </w:rPr>
        <w:t>表示dQ除以dm的商，其中dQ是当由光子在质量为dm的空气中所释放所有电子（负电子和正电子）完全停止时产生的离子的总电荷的绝对值。</w:t>
      </w:r>
    </w:p>
    <w:p w14:paraId="793207A2">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外表面</w:t>
      </w:r>
      <w:r>
        <w:rPr>
          <w:rFonts w:ascii="Arial" w:hAnsi="Arial" w:eastAsia="宋体" w:cs="Arial"/>
          <w:sz w:val="24"/>
          <w:szCs w:val="24"/>
        </w:rPr>
        <w:t>【21 CFR 1020.40（b）（6）】</w:t>
      </w:r>
      <w:r>
        <w:rPr>
          <w:rFonts w:ascii="Arial" w:hAnsi="Arial" w:eastAsia="宋体" w:cs="Arial"/>
          <w:i/>
          <w:sz w:val="24"/>
          <w:szCs w:val="24"/>
        </w:rPr>
        <w:t>表示柜式X射线系统的外表面，包括高压发生器、门、检修面板、闩锁、控制旋钮、和其他永久安装的硬件，包括穿过任何开孔或开口的平面。</w:t>
      </w:r>
    </w:p>
    <w:p w14:paraId="0F5BBD3A">
      <w:pPr>
        <w:pStyle w:val="13"/>
        <w:numPr>
          <w:ilvl w:val="0"/>
          <w:numId w:val="8"/>
        </w:numPr>
        <w:overflowPunct w:val="0"/>
        <w:snapToGrid w:val="0"/>
        <w:spacing w:after="240" w:line="300" w:lineRule="auto"/>
        <w:ind w:left="-420" w:leftChars="-200" w:firstLineChars="0"/>
        <w:rPr>
          <w:rFonts w:ascii="Arial" w:hAnsi="Arial" w:eastAsia="宋体" w:cs="Arial"/>
          <w:sz w:val="24"/>
          <w:szCs w:val="24"/>
        </w:rPr>
      </w:pPr>
      <w:r>
        <w:rPr>
          <w:rFonts w:ascii="Arial" w:hAnsi="Arial" w:eastAsia="宋体" w:cs="Arial"/>
          <w:b/>
          <w:sz w:val="24"/>
          <w:szCs w:val="24"/>
        </w:rPr>
        <w:t>地板</w:t>
      </w:r>
      <w:r>
        <w:rPr>
          <w:rFonts w:ascii="Arial" w:hAnsi="Arial" w:eastAsia="宋体" w:cs="Arial"/>
          <w:sz w:val="24"/>
          <w:szCs w:val="24"/>
        </w:rPr>
        <w:t>【21 CFR 1020.40（b）（7）】</w:t>
      </w:r>
      <w:r>
        <w:rPr>
          <w:rFonts w:ascii="Arial" w:hAnsi="Arial" w:eastAsia="宋体" w:cs="Arial"/>
          <w:i/>
          <w:sz w:val="24"/>
          <w:szCs w:val="24"/>
        </w:rPr>
        <w:t>表示机柜的下侧外表面。</w:t>
      </w:r>
    </w:p>
    <w:p w14:paraId="6CFEB221">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接地故障</w:t>
      </w:r>
      <w:r>
        <w:rPr>
          <w:rFonts w:ascii="Arial" w:hAnsi="Arial" w:eastAsia="宋体" w:cs="Arial"/>
          <w:sz w:val="24"/>
          <w:szCs w:val="24"/>
        </w:rPr>
        <w:t>【21 CFR 1020.40（b）（8）】</w:t>
      </w:r>
      <w:r>
        <w:rPr>
          <w:rFonts w:ascii="Arial" w:hAnsi="Arial" w:eastAsia="宋体" w:cs="Arial"/>
          <w:i/>
          <w:sz w:val="24"/>
          <w:szCs w:val="24"/>
        </w:rPr>
        <w:t>表示电导体意外接地。</w:t>
      </w:r>
    </w:p>
    <w:p w14:paraId="0530DDD4">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hint="eastAsia" w:ascii="Arial" w:hAnsi="Arial" w:eastAsia="宋体" w:cs="Arial"/>
          <w:b/>
          <w:sz w:val="24"/>
          <w:szCs w:val="24"/>
        </w:rPr>
        <w:t>端口</w:t>
      </w:r>
      <w:r>
        <w:rPr>
          <w:rFonts w:ascii="Arial" w:hAnsi="Arial" w:eastAsia="宋体" w:cs="Arial"/>
          <w:sz w:val="24"/>
          <w:szCs w:val="24"/>
        </w:rPr>
        <w:t>【21 CFR 1020.40（b）（9）】</w:t>
      </w:r>
      <w:r>
        <w:rPr>
          <w:rFonts w:ascii="Arial" w:hAnsi="Arial" w:eastAsia="宋体" w:cs="Arial"/>
          <w:i/>
          <w:sz w:val="24"/>
          <w:szCs w:val="24"/>
        </w:rPr>
        <w:t>是指柜子的外表面在产生X射线期间保持</w:t>
      </w:r>
      <w:r>
        <w:rPr>
          <w:rFonts w:hint="eastAsia" w:ascii="Arial" w:hAnsi="Arial" w:eastAsia="宋体" w:cs="Arial"/>
          <w:i/>
          <w:sz w:val="24"/>
          <w:szCs w:val="24"/>
        </w:rPr>
        <w:t>打开状态</w:t>
      </w:r>
      <w:r>
        <w:rPr>
          <w:rFonts w:ascii="Arial" w:hAnsi="Arial" w:eastAsia="宋体" w:cs="Arial"/>
          <w:i/>
          <w:sz w:val="24"/>
          <w:szCs w:val="24"/>
        </w:rPr>
        <w:t>的任何开口，用于输送</w:t>
      </w:r>
      <w:r>
        <w:rPr>
          <w:rFonts w:hint="eastAsia" w:ascii="Arial" w:hAnsi="Arial" w:eastAsia="宋体" w:cs="Arial"/>
          <w:i/>
          <w:sz w:val="24"/>
          <w:szCs w:val="24"/>
        </w:rPr>
        <w:t>待</w:t>
      </w:r>
      <w:r>
        <w:rPr>
          <w:rFonts w:ascii="Arial" w:hAnsi="Arial" w:eastAsia="宋体" w:cs="Arial"/>
          <w:i/>
          <w:sz w:val="24"/>
          <w:szCs w:val="24"/>
        </w:rPr>
        <w:t>辐射材料进出机柜，或用于部分插入其尺寸不允许完全插入机柜中的物体进行辐射。</w:t>
      </w:r>
    </w:p>
    <w:p w14:paraId="1DE00478">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主光束</w:t>
      </w:r>
      <w:r>
        <w:rPr>
          <w:rFonts w:ascii="Arial" w:hAnsi="Arial" w:eastAsia="宋体" w:cs="Arial"/>
          <w:sz w:val="24"/>
          <w:szCs w:val="24"/>
        </w:rPr>
        <w:t>【21 CFR 1020.40（b）中（10）】</w:t>
      </w:r>
      <w:r>
        <w:rPr>
          <w:rFonts w:ascii="Arial" w:hAnsi="Arial" w:eastAsia="宋体" w:cs="Arial"/>
          <w:i/>
          <w:sz w:val="24"/>
          <w:szCs w:val="24"/>
        </w:rPr>
        <w:t>是指直接从目标发出并穿过X射线管的窗口的X射线。</w:t>
      </w:r>
    </w:p>
    <w:p w14:paraId="5659C2F8">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安全连锁</w:t>
      </w:r>
      <w:r>
        <w:rPr>
          <w:rFonts w:ascii="Arial" w:hAnsi="Arial" w:eastAsia="宋体" w:cs="Arial"/>
          <w:sz w:val="24"/>
          <w:szCs w:val="24"/>
        </w:rPr>
        <w:t>【21 CFR 1020.40（b）（11）】</w:t>
      </w:r>
      <w:r>
        <w:rPr>
          <w:rFonts w:ascii="Arial" w:hAnsi="Arial" w:eastAsia="宋体" w:cs="Arial"/>
          <w:i/>
          <w:sz w:val="24"/>
          <w:szCs w:val="24"/>
        </w:rPr>
        <w:t>是指当通过人体的任何部分通过门或</w:t>
      </w:r>
      <w:r>
        <w:rPr>
          <w:rFonts w:hint="eastAsia" w:ascii="Arial" w:hAnsi="Arial" w:eastAsia="宋体" w:cs="Arial"/>
          <w:i/>
          <w:sz w:val="24"/>
          <w:szCs w:val="24"/>
        </w:rPr>
        <w:t>检修面板</w:t>
      </w:r>
      <w:r>
        <w:rPr>
          <w:rFonts w:ascii="Arial" w:hAnsi="Arial" w:eastAsia="宋体" w:cs="Arial"/>
          <w:i/>
          <w:sz w:val="24"/>
          <w:szCs w:val="24"/>
        </w:rPr>
        <w:t>进入柜式X射线系统的内部时，用于防止产生X射线的装置。</w:t>
      </w:r>
    </w:p>
    <w:p w14:paraId="0DB2B442">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每个门所需的两个连锁必须满足非常具体的要求（下文讨论）。【21 CFR 1020.40（c）（4）（i）】。</w:t>
      </w:r>
    </w:p>
    <w:p w14:paraId="1BB9F649">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X射线系统</w:t>
      </w:r>
      <w:r>
        <w:rPr>
          <w:rFonts w:ascii="Arial" w:hAnsi="Arial" w:eastAsia="宋体" w:cs="Arial"/>
          <w:sz w:val="24"/>
          <w:szCs w:val="24"/>
        </w:rPr>
        <w:t>【21 CFR 1020.40（b）（12）】</w:t>
      </w:r>
      <w:r>
        <w:rPr>
          <w:rFonts w:ascii="Arial" w:hAnsi="Arial" w:eastAsia="宋体" w:cs="Arial"/>
          <w:i/>
          <w:sz w:val="24"/>
          <w:szCs w:val="24"/>
        </w:rPr>
        <w:t>表示用于在受控条件下产生X射线的部件组合。</w:t>
      </w:r>
    </w:p>
    <w:p w14:paraId="10111480">
      <w:pPr>
        <w:pStyle w:val="13"/>
        <w:numPr>
          <w:ilvl w:val="0"/>
          <w:numId w:val="8"/>
        </w:numPr>
        <w:overflowPunct w:val="0"/>
        <w:snapToGrid w:val="0"/>
        <w:spacing w:after="240" w:line="300" w:lineRule="auto"/>
        <w:ind w:left="-420" w:leftChars="-200" w:firstLineChars="0"/>
        <w:rPr>
          <w:rFonts w:ascii="Arial" w:hAnsi="Arial" w:eastAsia="宋体" w:cs="Arial"/>
          <w:i/>
          <w:sz w:val="24"/>
          <w:szCs w:val="24"/>
        </w:rPr>
      </w:pPr>
      <w:r>
        <w:rPr>
          <w:rFonts w:ascii="Arial" w:hAnsi="Arial" w:eastAsia="宋体" w:cs="Arial"/>
          <w:b/>
          <w:sz w:val="24"/>
          <w:szCs w:val="24"/>
        </w:rPr>
        <w:t>X射线管</w:t>
      </w:r>
      <w:r>
        <w:rPr>
          <w:rFonts w:ascii="Arial" w:hAnsi="Arial" w:eastAsia="宋体" w:cs="Arial"/>
          <w:sz w:val="24"/>
          <w:szCs w:val="24"/>
        </w:rPr>
        <w:t>【21 CFR 1020.40（b）（13）】</w:t>
      </w:r>
      <w:r>
        <w:rPr>
          <w:rFonts w:ascii="Arial" w:hAnsi="Arial" w:eastAsia="宋体" w:cs="Arial"/>
          <w:i/>
          <w:sz w:val="24"/>
          <w:szCs w:val="24"/>
        </w:rPr>
        <w:t>是指用于将电能转换成X射线能量的各类电子管。</w:t>
      </w:r>
    </w:p>
    <w:p w14:paraId="1BCA7952">
      <w:pPr>
        <w:widowControl/>
        <w:jc w:val="left"/>
        <w:rPr>
          <w:rFonts w:ascii="Arial" w:hAnsi="Arial" w:eastAsia="宋体" w:cs="Arial"/>
          <w:sz w:val="24"/>
          <w:szCs w:val="24"/>
        </w:rPr>
      </w:pPr>
      <w:r>
        <w:rPr>
          <w:rFonts w:ascii="Arial" w:hAnsi="Arial" w:eastAsia="宋体" w:cs="Arial"/>
          <w:sz w:val="24"/>
          <w:szCs w:val="24"/>
        </w:rPr>
        <w:br w:type="page"/>
      </w:r>
    </w:p>
    <w:p w14:paraId="767AE6FF">
      <w:pPr>
        <w:pStyle w:val="13"/>
        <w:numPr>
          <w:ilvl w:val="0"/>
          <w:numId w:val="1"/>
        </w:numPr>
        <w:overflowPunct w:val="0"/>
        <w:snapToGrid w:val="0"/>
        <w:spacing w:after="240" w:line="300" w:lineRule="auto"/>
        <w:ind w:left="357" w:hanging="357" w:firstLineChars="0"/>
        <w:outlineLvl w:val="0"/>
        <w:rPr>
          <w:rFonts w:ascii="Arial" w:hAnsi="Arial" w:eastAsia="宋体" w:cs="Arial"/>
          <w:b/>
          <w:sz w:val="32"/>
          <w:szCs w:val="32"/>
        </w:rPr>
      </w:pPr>
      <w:bookmarkStart w:id="7" w:name="_Toc496890870"/>
      <w:r>
        <w:rPr>
          <w:rFonts w:ascii="Arial" w:hAnsi="Arial" w:eastAsia="宋体" w:cs="Arial"/>
          <w:b/>
          <w:sz w:val="32"/>
          <w:szCs w:val="32"/>
        </w:rPr>
        <w:t>柜式X射线产品制造商要求概述</w:t>
      </w:r>
      <w:bookmarkEnd w:id="7"/>
    </w:p>
    <w:p w14:paraId="741DD228">
      <w:pPr>
        <w:overflowPunct w:val="0"/>
        <w:snapToGrid w:val="0"/>
        <w:spacing w:after="240" w:line="360" w:lineRule="auto"/>
        <w:rPr>
          <w:rFonts w:ascii="Arial" w:hAnsi="Arial" w:eastAsia="宋体" w:cs="Arial"/>
          <w:sz w:val="24"/>
          <w:szCs w:val="24"/>
        </w:rPr>
      </w:pPr>
      <w:r>
        <w:rPr>
          <w:rFonts w:ascii="Arial" w:hAnsi="Arial" w:eastAsia="宋体" w:cs="Arial"/>
          <w:sz w:val="24"/>
          <w:szCs w:val="24"/>
        </w:rPr>
        <w:t>为遵守法案和规定【21 CFR</w:t>
      </w:r>
      <w:r>
        <w:rPr>
          <w:rFonts w:hint="eastAsia" w:ascii="Arial" w:hAnsi="Arial" w:eastAsia="宋体" w:cs="Arial"/>
          <w:sz w:val="24"/>
          <w:szCs w:val="24"/>
        </w:rPr>
        <w:t>第</w:t>
      </w:r>
      <w:r>
        <w:rPr>
          <w:rFonts w:ascii="Arial" w:hAnsi="Arial" w:eastAsia="宋体" w:cs="Arial"/>
          <w:sz w:val="24"/>
          <w:szCs w:val="24"/>
        </w:rPr>
        <w:t>1000 – 1020</w:t>
      </w:r>
      <w:r>
        <w:rPr>
          <w:rFonts w:hint="eastAsia" w:ascii="Arial" w:hAnsi="Arial" w:eastAsia="宋体" w:cs="Arial"/>
          <w:sz w:val="24"/>
          <w:szCs w:val="24"/>
        </w:rPr>
        <w:t>部分</w:t>
      </w:r>
      <w:r>
        <w:rPr>
          <w:rFonts w:ascii="Arial" w:hAnsi="Arial" w:eastAsia="宋体" w:cs="Arial"/>
          <w:sz w:val="24"/>
          <w:szCs w:val="24"/>
        </w:rPr>
        <w:t>】，柜式X射线系统产品的制造商必须：</w:t>
      </w:r>
    </w:p>
    <w:p w14:paraId="3714387A">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设计和制造的产品符合性能标准【21 CFR 1020.40】。</w:t>
      </w:r>
    </w:p>
    <w:p w14:paraId="050E71F4">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对其产品进行测试，确保符合性能标准【21 CFR 1010.2（c）】；该测试应为符合良好生产规范的质量控制和测试计划的要素之一。</w:t>
      </w:r>
    </w:p>
    <w:p w14:paraId="3EE96584">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根据其质量控制和测试程序，证明其产品符合性能标准【21 CFR 1010.2】的要求。</w:t>
      </w:r>
    </w:p>
    <w:p w14:paraId="5DC886E6">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在柜式X射线系统产品【21 CFR 1010.2（b）和1010.3】上永久性粘贴认证和识别标签。</w:t>
      </w:r>
    </w:p>
    <w:p w14:paraId="2BE7B261">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维护和保存测试和销售记录以及关于辐射安全、安全投诉和查询的通信档案【21 CFR 1002.30和1002.31】；</w:t>
      </w:r>
    </w:p>
    <w:p w14:paraId="55D0BA90">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向器械和放射卫生中心（CDRH）提供柜式X射线产品报告【21 CFR 1002.10】，描述产品设计、质量控制和测试程序的合规性。</w:t>
      </w:r>
    </w:p>
    <w:p w14:paraId="5550107E">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向CDRH提供测试数据和记录汇总的年度报告【21 CFR 1002.13】；</w:t>
      </w:r>
    </w:p>
    <w:p w14:paraId="32B81C1B">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当有合理理由怀疑事件发生时，报告该偶然</w:t>
      </w:r>
      <w:r>
        <w:rPr>
          <w:rFonts w:hint="eastAsia" w:ascii="Arial" w:hAnsi="Arial" w:eastAsia="宋体" w:cs="Arial"/>
          <w:sz w:val="24"/>
          <w:szCs w:val="24"/>
        </w:rPr>
        <w:t>性</w:t>
      </w:r>
      <w:r>
        <w:rPr>
          <w:rFonts w:ascii="Arial" w:hAnsi="Arial" w:eastAsia="宋体" w:cs="Arial"/>
          <w:sz w:val="24"/>
          <w:szCs w:val="24"/>
        </w:rPr>
        <w:t>辐射事件（即已造成损害或可能有害的暴露情况）。【21 CFR 1000.3（a）和1002.20】；</w:t>
      </w:r>
    </w:p>
    <w:p w14:paraId="136FF6C7">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报告辐射安全缺陷或不符合性能标准的情况【21 CFR 1003.10】；</w:t>
      </w:r>
    </w:p>
    <w:p w14:paraId="3D769E89">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召回（回购/退款，修理或更换）具有辐射安全缺陷或不符合性能标准的产品【21 CFR 1004】。</w:t>
      </w:r>
    </w:p>
    <w:p w14:paraId="1EB51CE7">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所有标签、报告、数据、</w:t>
      </w:r>
      <w:r>
        <w:rPr>
          <w:rFonts w:hint="eastAsia" w:ascii="Arial" w:hAnsi="Arial" w:eastAsia="宋体" w:cs="Arial"/>
          <w:sz w:val="24"/>
          <w:szCs w:val="24"/>
        </w:rPr>
        <w:t>规范</w:t>
      </w:r>
      <w:r>
        <w:rPr>
          <w:rFonts w:ascii="Arial" w:hAnsi="Arial" w:eastAsia="宋体" w:cs="Arial"/>
          <w:sz w:val="24"/>
          <w:szCs w:val="24"/>
        </w:rPr>
        <w:t>和信件应提供英文版本【21 CFR 1010.2（b）和1010.3（a）】。</w:t>
      </w:r>
    </w:p>
    <w:p w14:paraId="3856902C">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另外，柜式X射线系统中使用的阴极射线管（CRT）视频监视器应经过认证，以符合电视接收器产品【21 CFR 1020.10】的联邦辐射安全性能标准要求。</w:t>
      </w:r>
    </w:p>
    <w:p w14:paraId="68778B41">
      <w:pPr>
        <w:pStyle w:val="13"/>
        <w:numPr>
          <w:ilvl w:val="0"/>
          <w:numId w:val="9"/>
        </w:numPr>
        <w:overflowPunct w:val="0"/>
        <w:snapToGrid w:val="0"/>
        <w:spacing w:after="240" w:line="360" w:lineRule="auto"/>
        <w:ind w:left="851" w:hanging="425" w:firstLineChars="0"/>
        <w:rPr>
          <w:rFonts w:ascii="Arial" w:hAnsi="Arial" w:eastAsia="宋体" w:cs="Arial"/>
          <w:sz w:val="24"/>
          <w:szCs w:val="24"/>
        </w:rPr>
      </w:pPr>
      <w:r>
        <w:rPr>
          <w:rFonts w:ascii="Arial" w:hAnsi="Arial" w:eastAsia="宋体" w:cs="Arial"/>
          <w:sz w:val="24"/>
          <w:szCs w:val="24"/>
        </w:rPr>
        <w:t>如果原始制造商不在美国，则应在美国指定</w:t>
      </w:r>
      <w:r>
        <w:rPr>
          <w:rFonts w:hint="eastAsia" w:ascii="Arial" w:hAnsi="Arial" w:eastAsia="宋体" w:cs="Arial"/>
          <w:sz w:val="24"/>
          <w:szCs w:val="24"/>
        </w:rPr>
        <w:t>一个</w:t>
      </w:r>
      <w:r>
        <w:rPr>
          <w:rFonts w:ascii="Arial" w:hAnsi="Arial" w:eastAsia="宋体" w:cs="Arial"/>
          <w:sz w:val="24"/>
          <w:szCs w:val="24"/>
        </w:rPr>
        <w:t>代理商【21 CFR 1005.25】</w:t>
      </w:r>
    </w:p>
    <w:p w14:paraId="58CE2840">
      <w:pPr>
        <w:overflowPunct w:val="0"/>
        <w:snapToGrid w:val="0"/>
        <w:spacing w:after="240" w:line="360" w:lineRule="auto"/>
        <w:rPr>
          <w:rFonts w:ascii="Arial" w:hAnsi="Arial" w:eastAsia="宋体" w:cs="Arial"/>
          <w:sz w:val="24"/>
          <w:szCs w:val="24"/>
        </w:rPr>
      </w:pPr>
      <w:r>
        <w:rPr>
          <w:rFonts w:ascii="Arial" w:hAnsi="Arial" w:eastAsia="宋体" w:cs="Arial"/>
          <w:sz w:val="24"/>
          <w:szCs w:val="24"/>
        </w:rPr>
        <w:t>上述要求的细节在本文件的其他部分进行了讨论。</w:t>
      </w:r>
    </w:p>
    <w:p w14:paraId="77EB170F">
      <w:pPr>
        <w:pStyle w:val="13"/>
        <w:numPr>
          <w:ilvl w:val="0"/>
          <w:numId w:val="1"/>
        </w:numPr>
        <w:overflowPunct w:val="0"/>
        <w:snapToGrid w:val="0"/>
        <w:spacing w:after="240" w:line="300" w:lineRule="auto"/>
        <w:ind w:left="357" w:hanging="357" w:firstLineChars="0"/>
        <w:outlineLvl w:val="0"/>
        <w:rPr>
          <w:rFonts w:ascii="Arial" w:hAnsi="Arial" w:eastAsia="宋体" w:cs="Arial"/>
          <w:b/>
          <w:sz w:val="32"/>
          <w:szCs w:val="32"/>
        </w:rPr>
      </w:pPr>
      <w:bookmarkStart w:id="8" w:name="_Toc496890871"/>
      <w:r>
        <w:rPr>
          <w:rFonts w:ascii="Arial" w:hAnsi="Arial" w:eastAsia="宋体" w:cs="Arial"/>
          <w:b/>
          <w:sz w:val="32"/>
          <w:szCs w:val="32"/>
        </w:rPr>
        <w:t>联邦辐射安全一般性能标准要求</w:t>
      </w:r>
      <w:bookmarkEnd w:id="8"/>
    </w:p>
    <w:p w14:paraId="10668F5A">
      <w:pPr>
        <w:overflowPunct w:val="0"/>
        <w:snapToGrid w:val="0"/>
        <w:spacing w:after="240" w:line="360" w:lineRule="auto"/>
        <w:rPr>
          <w:rFonts w:ascii="Arial" w:hAnsi="Arial" w:eastAsia="宋体" w:cs="Arial"/>
          <w:sz w:val="24"/>
          <w:szCs w:val="24"/>
        </w:rPr>
      </w:pPr>
      <w:r>
        <w:rPr>
          <w:rFonts w:ascii="Arial" w:hAnsi="Arial" w:eastAsia="宋体" w:cs="Arial"/>
          <w:sz w:val="24"/>
          <w:szCs w:val="24"/>
        </w:rPr>
        <w:t>电子产品的一般性能标准【21 CFR</w:t>
      </w:r>
      <w:r>
        <w:rPr>
          <w:rFonts w:hint="eastAsia" w:ascii="Arial" w:hAnsi="Arial" w:eastAsia="宋体" w:cs="Arial"/>
          <w:sz w:val="24"/>
          <w:szCs w:val="24"/>
        </w:rPr>
        <w:t>第</w:t>
      </w:r>
      <w:r>
        <w:rPr>
          <w:rFonts w:ascii="Arial" w:hAnsi="Arial" w:eastAsia="宋体" w:cs="Arial"/>
          <w:sz w:val="24"/>
          <w:szCs w:val="24"/>
        </w:rPr>
        <w:t>1010</w:t>
      </w:r>
      <w:r>
        <w:rPr>
          <w:rFonts w:hint="eastAsia" w:ascii="Arial" w:hAnsi="Arial" w:eastAsia="宋体" w:cs="Arial"/>
          <w:sz w:val="24"/>
          <w:szCs w:val="24"/>
        </w:rPr>
        <w:t>部分</w:t>
      </w:r>
      <w:r>
        <w:rPr>
          <w:rFonts w:ascii="Arial" w:hAnsi="Arial" w:eastAsia="宋体" w:cs="Arial"/>
          <w:sz w:val="24"/>
          <w:szCs w:val="24"/>
        </w:rPr>
        <w:t>】适用于柜式X射线系统，因为柜式X射线系统适用特定的性能标准【21 CFR 1020.40】。一般标准包含了对符合特定标准的制造商的认证要求以及产品识别要求。一般标准还包含关于具体标准的变化和豁免的规定。</w:t>
      </w:r>
    </w:p>
    <w:p w14:paraId="499621E6">
      <w:pPr>
        <w:overflowPunct w:val="0"/>
        <w:snapToGrid w:val="0"/>
        <w:spacing w:line="360" w:lineRule="auto"/>
        <w:rPr>
          <w:rFonts w:ascii="Arial" w:hAnsi="Arial" w:eastAsia="宋体" w:cs="Arial"/>
          <w:sz w:val="24"/>
          <w:szCs w:val="24"/>
        </w:rPr>
      </w:pPr>
      <w:r>
        <w:rPr>
          <w:rFonts w:ascii="Arial" w:hAnsi="Arial" w:eastAsia="宋体" w:cs="Arial"/>
          <w:b/>
          <w:sz w:val="24"/>
          <w:szCs w:val="24"/>
        </w:rPr>
        <w:t>认证</w:t>
      </w:r>
      <w:r>
        <w:rPr>
          <w:rFonts w:ascii="Arial" w:hAnsi="Arial" w:eastAsia="宋体" w:cs="Arial"/>
          <w:sz w:val="24"/>
          <w:szCs w:val="24"/>
        </w:rPr>
        <w:t>【21 CFR 1010.2】</w:t>
      </w:r>
    </w:p>
    <w:p w14:paraId="1F9F42DB">
      <w:pPr>
        <w:overflowPunct w:val="0"/>
        <w:snapToGrid w:val="0"/>
        <w:spacing w:after="240" w:line="360" w:lineRule="auto"/>
        <w:rPr>
          <w:rFonts w:ascii="Arial" w:hAnsi="Arial" w:eastAsia="宋体" w:cs="Arial"/>
          <w:i/>
          <w:sz w:val="24"/>
          <w:szCs w:val="24"/>
        </w:rPr>
      </w:pPr>
      <w:r>
        <w:rPr>
          <w:rFonts w:ascii="Arial" w:hAnsi="Arial" w:eastAsia="宋体" w:cs="Arial"/>
          <w:i/>
          <w:sz w:val="24"/>
          <w:szCs w:val="24"/>
        </w:rPr>
        <w:t>（a）适用本章节部分所颁布标准的电子产品制造商应在交付该产品时向零售商或经销商提供该产品符合本分类下的所有适用标准的认证。</w:t>
      </w:r>
    </w:p>
    <w:p w14:paraId="3BD49E48">
      <w:pPr>
        <w:overflowPunct w:val="0"/>
        <w:snapToGrid w:val="0"/>
        <w:spacing w:after="240" w:line="360" w:lineRule="auto"/>
        <w:rPr>
          <w:rFonts w:ascii="Arial" w:hAnsi="Arial" w:eastAsia="宋体" w:cs="Arial"/>
          <w:i/>
          <w:sz w:val="24"/>
          <w:szCs w:val="24"/>
        </w:rPr>
      </w:pPr>
      <w:r>
        <w:rPr>
          <w:rFonts w:ascii="Arial" w:hAnsi="Arial" w:eastAsia="宋体" w:cs="Arial"/>
          <w:i/>
          <w:sz w:val="24"/>
          <w:szCs w:val="24"/>
        </w:rPr>
        <w:t>（b）除非适用的标准规定了其他类型的认证形式，否则认证应采用永久固定在该产品上的标签或标记的形式，以便在产品组装完成提供使用时保持清晰、易读。所有这些标签或标记应使用英文。</w:t>
      </w:r>
    </w:p>
    <w:p w14:paraId="46DF6C59">
      <w:pPr>
        <w:overflowPunct w:val="0"/>
        <w:snapToGrid w:val="0"/>
        <w:spacing w:after="240" w:line="360" w:lineRule="auto"/>
        <w:rPr>
          <w:rFonts w:ascii="Arial" w:hAnsi="Arial" w:eastAsia="宋体" w:cs="Arial"/>
          <w:i/>
          <w:sz w:val="24"/>
          <w:szCs w:val="24"/>
        </w:rPr>
      </w:pPr>
      <w:r>
        <w:rPr>
          <w:rFonts w:ascii="Arial" w:hAnsi="Arial" w:eastAsia="宋体" w:cs="Arial"/>
          <w:i/>
          <w:sz w:val="24"/>
          <w:szCs w:val="24"/>
        </w:rPr>
        <w:t>（c）按照标准，此类认证应根据标签所对应的单个物品，或以符合良好生产规范的测试程序进行测试。如果某项测试不能确保对危险的电子产品辐射的安全防范，或者不能保证电子产品符合本章规定的标准，则器械和放射卫生中心主任可能不会</w:t>
      </w:r>
      <w:r>
        <w:rPr>
          <w:rFonts w:hint="eastAsia" w:ascii="Arial" w:hAnsi="Arial" w:eastAsia="宋体" w:cs="Arial"/>
          <w:i/>
          <w:sz w:val="24"/>
          <w:szCs w:val="24"/>
        </w:rPr>
        <w:t>批准</w:t>
      </w:r>
      <w:r>
        <w:rPr>
          <w:rFonts w:ascii="Arial" w:hAnsi="Arial" w:eastAsia="宋体" w:cs="Arial"/>
          <w:i/>
          <w:sz w:val="24"/>
          <w:szCs w:val="24"/>
        </w:rPr>
        <w:t>该测试计划。</w:t>
      </w:r>
    </w:p>
    <w:p w14:paraId="24241057">
      <w:pPr>
        <w:overflowPunct w:val="0"/>
        <w:snapToGrid w:val="0"/>
        <w:spacing w:after="240" w:line="360" w:lineRule="auto"/>
        <w:rPr>
          <w:rFonts w:ascii="Arial" w:hAnsi="Arial" w:eastAsia="宋体" w:cs="Arial"/>
          <w:sz w:val="24"/>
          <w:szCs w:val="24"/>
        </w:rPr>
      </w:pPr>
      <w:r>
        <w:rPr>
          <w:rFonts w:ascii="Arial" w:hAnsi="Arial" w:eastAsia="宋体" w:cs="Arial"/>
          <w:sz w:val="24"/>
          <w:szCs w:val="24"/>
        </w:rPr>
        <w:t>柜式X射线系统产品的制造商必须证明其产品符合性能标准【21 CFR 1020.40】的所有适用要求。认证必须采用永久固定在柜式X射线产品上的标签或标记的形式，并且必须清晰可读，用英文书写，并且在产品完成组装时可以方便查看。该认证必须基于按照良好生产规范实施的质量控制和测试计划。此外，必须在交货时向零售商或经销商提供认证。</w:t>
      </w:r>
      <w:r>
        <w:rPr>
          <w:rFonts w:ascii="Arial" w:hAnsi="Arial" w:eastAsia="宋体" w:cs="Arial"/>
          <w:sz w:val="24"/>
          <w:szCs w:val="24"/>
        </w:rPr>
        <w:br w:type="page"/>
      </w:r>
    </w:p>
    <w:p w14:paraId="0F9B188C">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认证标签必须包含产品符合适用性能标准的声明。规定</w:t>
      </w:r>
      <w:r>
        <w:rPr>
          <w:rFonts w:hint="eastAsia" w:ascii="Arial" w:hAnsi="Arial" w:eastAsia="宋体" w:cs="Arial"/>
          <w:sz w:val="24"/>
          <w:szCs w:val="24"/>
        </w:rPr>
        <w:t>对</w:t>
      </w:r>
      <w:r>
        <w:rPr>
          <w:rFonts w:ascii="Arial" w:hAnsi="Arial" w:eastAsia="宋体" w:cs="Arial"/>
          <w:sz w:val="24"/>
          <w:szCs w:val="24"/>
        </w:rPr>
        <w:t>认证声明的具体措辞</w:t>
      </w:r>
      <w:r>
        <w:rPr>
          <w:rFonts w:hint="eastAsia" w:ascii="Arial" w:hAnsi="Arial" w:eastAsia="宋体" w:cs="Arial"/>
          <w:sz w:val="24"/>
          <w:szCs w:val="24"/>
        </w:rPr>
        <w:t>未作要求</w:t>
      </w:r>
      <w:r>
        <w:rPr>
          <w:rFonts w:ascii="Arial" w:hAnsi="Arial" w:eastAsia="宋体" w:cs="Arial"/>
          <w:sz w:val="24"/>
          <w:szCs w:val="24"/>
        </w:rPr>
        <w:t>。关于符合性能标准的标签应保持清晰。</w:t>
      </w:r>
    </w:p>
    <w:p w14:paraId="4C095EF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FDA不负责柜式X射线产品符合性能标准的批准工作。认证是制造商针对其产品符合柜式X射线辐射安全性能标准【21 CFR 1020.40】和一般性能标准【21 CFR</w:t>
      </w:r>
      <w:r>
        <w:rPr>
          <w:rFonts w:hint="eastAsia" w:ascii="Arial" w:hAnsi="Arial" w:eastAsia="宋体" w:cs="Arial"/>
          <w:sz w:val="24"/>
          <w:szCs w:val="24"/>
        </w:rPr>
        <w:t>第</w:t>
      </w:r>
      <w:r>
        <w:rPr>
          <w:rFonts w:ascii="Arial" w:hAnsi="Arial" w:eastAsia="宋体" w:cs="Arial"/>
          <w:sz w:val="24"/>
          <w:szCs w:val="24"/>
        </w:rPr>
        <w:t>1010</w:t>
      </w:r>
      <w:r>
        <w:rPr>
          <w:rFonts w:hint="eastAsia" w:ascii="Arial" w:hAnsi="Arial" w:eastAsia="宋体" w:cs="Arial"/>
          <w:sz w:val="24"/>
          <w:szCs w:val="24"/>
        </w:rPr>
        <w:t>部分</w:t>
      </w:r>
      <w:r>
        <w:rPr>
          <w:rFonts w:ascii="Arial" w:hAnsi="Arial" w:eastAsia="宋体" w:cs="Arial"/>
          <w:sz w:val="24"/>
          <w:szCs w:val="24"/>
        </w:rPr>
        <w:t>】的所有适用要求的声明。制造商应负责确保，在其所知范围内该认证为真实的。这种认证声明必须基于质量控制和测试程序，并证明所生产的每个产品均符合适用的标准。</w:t>
      </w:r>
    </w:p>
    <w:p w14:paraId="4AF8DB1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批准制造商的质量控制和测试计划不能保证符合性能标准，则FDA可以不批准该质量控制和测试计划。因为认证必须基于能够证明该产品符合标准的测试或检测项目，因此如果其质量控制和测试程序不被批准，则制造商无法对其产品进行认证。因此，如果FDA不批准质量控制和测试计划，制造商就无法合法销售其产品。</w:t>
      </w:r>
    </w:p>
    <w:p w14:paraId="785B02BE">
      <w:pPr>
        <w:overflowPunct w:val="0"/>
        <w:snapToGrid w:val="0"/>
        <w:spacing w:after="240" w:line="300" w:lineRule="auto"/>
        <w:rPr>
          <w:rFonts w:ascii="Arial" w:hAnsi="Arial" w:eastAsia="宋体" w:cs="Arial"/>
          <w:sz w:val="24"/>
          <w:szCs w:val="24"/>
        </w:rPr>
      </w:pPr>
      <w:r>
        <w:rPr>
          <w:rFonts w:hint="eastAsia" w:ascii="Arial" w:hAnsi="Arial" w:eastAsia="宋体" w:cs="Arial"/>
          <w:b/>
          <w:sz w:val="24"/>
          <w:szCs w:val="24"/>
        </w:rPr>
        <w:t>标识</w:t>
      </w:r>
      <w:r>
        <w:rPr>
          <w:rFonts w:ascii="Arial" w:hAnsi="Arial" w:eastAsia="宋体" w:cs="Arial"/>
          <w:sz w:val="24"/>
          <w:szCs w:val="24"/>
        </w:rPr>
        <w:t>【21 CFR 1010.3】</w:t>
      </w:r>
    </w:p>
    <w:p w14:paraId="50A0578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（a）适用本标准的电子产品的制造商应列出本节（a）（1）和（2）中规定的信息。该信息</w:t>
      </w:r>
      <w:bookmarkStart w:id="9" w:name="OLE_LINK1"/>
      <w:r>
        <w:rPr>
          <w:rFonts w:ascii="Arial" w:hAnsi="Arial" w:eastAsia="宋体" w:cs="Arial"/>
          <w:i/>
          <w:sz w:val="24"/>
          <w:szCs w:val="24"/>
        </w:rPr>
        <w:t>应以永久固定或铭刻在该产品上的标签或标记的形式</w:t>
      </w:r>
      <w:bookmarkEnd w:id="9"/>
      <w:r>
        <w:rPr>
          <w:rFonts w:ascii="Arial" w:hAnsi="Arial" w:eastAsia="宋体" w:cs="Arial"/>
          <w:i/>
          <w:sz w:val="24"/>
          <w:szCs w:val="24"/>
        </w:rPr>
        <w:t>提供，以便在产品完全组装使用时，或按照适用规定所描述的其他方式使用时，方便阅读和查看。除本条（a）（1）部分授权的外文等效缩写外，所有此类标签或标记均应为英文。</w:t>
      </w:r>
    </w:p>
    <w:p w14:paraId="58A2B85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1）产品制造商的全名和地址；可以使用诸如“Co.”“Inc.”的缩写或其他外文等效缩写，也可以使用个人的姓名或中间名缩写。如果产品以产品制造商以外的名义出售，只要该个人或公司为已有记录的经销商，且器械和放射卫生中心有足够的信息来识别该产品的制造商，则可以提供负责销售该产品的个人或公司的全名和地址。</w:t>
      </w:r>
    </w:p>
    <w:p w14:paraId="3409D38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（a）（2）生产地点和年份：</w:t>
      </w:r>
    </w:p>
    <w:p w14:paraId="4C51653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（i）如果制造商先前曾向器械和放射卫生中心主任提供其地区代码，则生产地点可以以代码的形式提供。</w:t>
      </w:r>
    </w:p>
    <w:p w14:paraId="3AE40341">
      <w:pPr>
        <w:widowControl/>
        <w:jc w:val="left"/>
        <w:rPr>
          <w:rFonts w:ascii="Arial" w:hAnsi="Arial" w:eastAsia="宋体" w:cs="Arial"/>
          <w:i/>
          <w:sz w:val="24"/>
          <w:szCs w:val="24"/>
        </w:rPr>
      </w:pPr>
      <w:r>
        <w:rPr>
          <w:rFonts w:ascii="Arial" w:hAnsi="Arial" w:eastAsia="宋体" w:cs="Arial"/>
          <w:i/>
          <w:sz w:val="24"/>
          <w:szCs w:val="24"/>
        </w:rPr>
        <w:br w:type="page"/>
      </w:r>
    </w:p>
    <w:p w14:paraId="4FF276F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（ii）应清楚明确地提供生产的月份和年份，无缩写，年份应按照以下格式的4位数字提供：</w:t>
      </w:r>
    </w:p>
    <w:p w14:paraId="3FB0D5C8">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生产日期：（插入月份和生产年份）</w:t>
      </w:r>
    </w:p>
    <w:p w14:paraId="595D744C">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（b）如果该产品不适合根据本条（a）项所规定的方式附加标识标签，则在制造商提出申请后，器械和放射卫生中心主任可以批准标识的替代方法。</w:t>
      </w:r>
    </w:p>
    <w:p w14:paraId="71435BAD">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（c）适用本标准的电子产品的制造商应向器械和放射卫生中心主任提供一份列出适用于产品的每个品牌名称，以负责该品牌下每个产品制造的个人或公司的全名和地址。</w:t>
      </w:r>
    </w:p>
    <w:p w14:paraId="4B4D1DA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制造商必须在其柜式X射线系统上提供应以永久固定或铭刻在该产品上的标签或标记的形式的标识信息。这些信息必须清晰可读，用英文写成，并且在产品完全组装时可以随时查看。</w:t>
      </w:r>
      <w:r>
        <w:rPr>
          <w:rFonts w:hint="eastAsia" w:ascii="Arial" w:hAnsi="Arial" w:eastAsia="宋体" w:cs="Arial"/>
          <w:sz w:val="24"/>
          <w:szCs w:val="24"/>
        </w:rPr>
        <w:t>标识</w:t>
      </w:r>
      <w:r>
        <w:rPr>
          <w:rFonts w:ascii="Arial" w:hAnsi="Arial" w:eastAsia="宋体" w:cs="Arial"/>
          <w:sz w:val="24"/>
          <w:szCs w:val="24"/>
        </w:rPr>
        <w:t>信息必须包括：</w:t>
      </w:r>
    </w:p>
    <w:p w14:paraId="5451C510">
      <w:pPr>
        <w:pStyle w:val="13"/>
        <w:numPr>
          <w:ilvl w:val="0"/>
          <w:numId w:val="10"/>
        </w:numPr>
        <w:overflowPunct w:val="0"/>
        <w:snapToGrid w:val="0"/>
        <w:spacing w:line="300" w:lineRule="auto"/>
        <w:ind w:left="784" w:hanging="406" w:firstLineChars="0"/>
        <w:rPr>
          <w:rFonts w:ascii="Arial" w:hAnsi="Arial" w:eastAsia="宋体" w:cs="Arial"/>
          <w:sz w:val="24"/>
          <w:szCs w:val="24"/>
        </w:rPr>
      </w:pPr>
      <w:r>
        <w:rPr>
          <w:rFonts w:ascii="Arial" w:hAnsi="Arial" w:eastAsia="宋体" w:cs="Arial"/>
          <w:sz w:val="24"/>
          <w:szCs w:val="24"/>
        </w:rPr>
        <w:t>制造商的全名和地址。</w:t>
      </w:r>
    </w:p>
    <w:p w14:paraId="6001D0E0">
      <w:pPr>
        <w:pStyle w:val="13"/>
        <w:numPr>
          <w:ilvl w:val="0"/>
          <w:numId w:val="11"/>
        </w:numPr>
        <w:overflowPunct w:val="0"/>
        <w:snapToGrid w:val="0"/>
        <w:spacing w:line="300" w:lineRule="auto"/>
        <w:ind w:left="1134" w:hanging="322" w:firstLineChars="0"/>
        <w:rPr>
          <w:rFonts w:ascii="Arial" w:hAnsi="Arial" w:eastAsia="宋体" w:cs="Arial"/>
          <w:sz w:val="24"/>
          <w:szCs w:val="24"/>
        </w:rPr>
      </w:pPr>
      <w:r>
        <w:rPr>
          <w:rFonts w:ascii="Arial" w:hAnsi="Arial" w:eastAsia="宋体" w:cs="Arial"/>
          <w:sz w:val="24"/>
          <w:szCs w:val="24"/>
        </w:rPr>
        <w:t>如果产品以其他公司或个人的名义出售，则如果用于识别该制造商的信息已经以产品报告【21 CFR 1002.10】或补充资料【21 CFR 1002.11】的形式提交给CDRH，那么上述内容可以替换为出售产品的个人或公司的全名和地址。</w:t>
      </w:r>
    </w:p>
    <w:p w14:paraId="40B707F4">
      <w:pPr>
        <w:pStyle w:val="13"/>
        <w:numPr>
          <w:ilvl w:val="0"/>
          <w:numId w:val="11"/>
        </w:numPr>
        <w:overflowPunct w:val="0"/>
        <w:snapToGrid w:val="0"/>
        <w:spacing w:line="300" w:lineRule="auto"/>
        <w:ind w:left="1134" w:hanging="322" w:firstLineChars="0"/>
        <w:rPr>
          <w:rFonts w:ascii="Arial" w:hAnsi="Arial" w:eastAsia="宋体" w:cs="Arial"/>
          <w:sz w:val="24"/>
          <w:szCs w:val="24"/>
        </w:rPr>
      </w:pPr>
      <w:r>
        <w:rPr>
          <w:rFonts w:ascii="Arial" w:hAnsi="Arial" w:eastAsia="宋体" w:cs="Arial"/>
          <w:sz w:val="24"/>
          <w:szCs w:val="24"/>
        </w:rPr>
        <w:t>有关制造商名称中可接受的缩写的详细信息，请参阅21 CFR 1010.3（a）（1）。</w:t>
      </w:r>
    </w:p>
    <w:p w14:paraId="48B8E8AB">
      <w:pPr>
        <w:pStyle w:val="13"/>
        <w:numPr>
          <w:ilvl w:val="0"/>
          <w:numId w:val="10"/>
        </w:numPr>
        <w:overflowPunct w:val="0"/>
        <w:snapToGrid w:val="0"/>
        <w:spacing w:line="300" w:lineRule="auto"/>
        <w:ind w:left="784" w:hanging="406" w:firstLineChars="0"/>
        <w:rPr>
          <w:rFonts w:ascii="Arial" w:hAnsi="Arial" w:eastAsia="宋体" w:cs="Arial"/>
          <w:sz w:val="24"/>
          <w:szCs w:val="24"/>
        </w:rPr>
      </w:pPr>
      <w:r>
        <w:rPr>
          <w:rFonts w:ascii="Arial" w:hAnsi="Arial" w:eastAsia="宋体" w:cs="Arial"/>
          <w:sz w:val="24"/>
          <w:szCs w:val="24"/>
        </w:rPr>
        <w:t>生产地址。</w:t>
      </w:r>
    </w:p>
    <w:p w14:paraId="78C2B778">
      <w:pPr>
        <w:pStyle w:val="13"/>
        <w:numPr>
          <w:ilvl w:val="0"/>
          <w:numId w:val="10"/>
        </w:numPr>
        <w:overflowPunct w:val="0"/>
        <w:snapToGrid w:val="0"/>
        <w:spacing w:line="300" w:lineRule="auto"/>
        <w:ind w:left="784" w:hanging="406" w:firstLineChars="0"/>
        <w:rPr>
          <w:rFonts w:ascii="Arial" w:hAnsi="Arial" w:eastAsia="宋体" w:cs="Arial"/>
          <w:sz w:val="24"/>
          <w:szCs w:val="24"/>
        </w:rPr>
      </w:pPr>
      <w:r>
        <w:rPr>
          <w:rFonts w:ascii="Arial" w:hAnsi="Arial" w:eastAsia="宋体" w:cs="Arial"/>
          <w:sz w:val="24"/>
          <w:szCs w:val="24"/>
        </w:rPr>
        <w:t>生产的月份和年份。</w:t>
      </w:r>
    </w:p>
    <w:p w14:paraId="25F98C7B">
      <w:pPr>
        <w:pStyle w:val="13"/>
        <w:numPr>
          <w:ilvl w:val="0"/>
          <w:numId w:val="12"/>
        </w:numPr>
        <w:overflowPunct w:val="0"/>
        <w:snapToGrid w:val="0"/>
        <w:spacing w:line="300" w:lineRule="auto"/>
        <w:ind w:left="1624" w:hanging="490" w:firstLineChars="0"/>
        <w:rPr>
          <w:rFonts w:ascii="Arial" w:hAnsi="Arial" w:eastAsia="宋体" w:cs="Arial"/>
          <w:sz w:val="24"/>
          <w:szCs w:val="24"/>
        </w:rPr>
      </w:pPr>
      <w:r>
        <w:rPr>
          <w:rFonts w:ascii="Arial" w:hAnsi="Arial" w:eastAsia="宋体" w:cs="Arial"/>
          <w:sz w:val="24"/>
          <w:szCs w:val="24"/>
        </w:rPr>
        <w:t>月份和年份不能缩写。</w:t>
      </w:r>
    </w:p>
    <w:p w14:paraId="718F18C2">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0" w:name="_Toc496890872"/>
      <w:r>
        <w:rPr>
          <w:rFonts w:ascii="Arial" w:hAnsi="Arial" w:eastAsia="宋体" w:cs="Arial"/>
          <w:b/>
          <w:sz w:val="32"/>
          <w:szCs w:val="32"/>
        </w:rPr>
        <w:t>柜式X射线系统联邦辐射安全性能标准要求</w:t>
      </w:r>
      <w:bookmarkEnd w:id="10"/>
    </w:p>
    <w:p w14:paraId="69FA375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制造商必须证明【21 CFR 1010.2】其在美国销售的产品符合柜式X射线系统的辐射安全性能标准【21 CFR 1020.40】。性能标准的适用性参见上文关于“柜式X射线系统”和“分析用X射线系统”的定义的讨论。</w:t>
      </w:r>
    </w:p>
    <w:p w14:paraId="2F455F0E">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放射</w:t>
      </w:r>
      <w:r>
        <w:rPr>
          <w:rFonts w:hint="eastAsia" w:ascii="Arial" w:hAnsi="Arial" w:eastAsia="宋体" w:cs="Arial"/>
          <w:b/>
          <w:sz w:val="24"/>
          <w:szCs w:val="24"/>
        </w:rPr>
        <w:t>限值</w:t>
      </w:r>
      <w:r>
        <w:rPr>
          <w:rFonts w:ascii="Arial" w:hAnsi="Arial" w:eastAsia="宋体" w:cs="Arial"/>
          <w:sz w:val="24"/>
          <w:szCs w:val="24"/>
        </w:rPr>
        <w:t>【21 CFR 1020.40（c）（1）（i）】：在外表面以外0.5厘米处的任何一点，在暴露1小时后，从柜式X射线系统发射的辐射不得超过0.5微伦琴。</w:t>
      </w:r>
    </w:p>
    <w:p w14:paraId="14AB3831">
      <w:pPr>
        <w:widowControl/>
        <w:jc w:val="left"/>
        <w:rPr>
          <w:rFonts w:ascii="Arial" w:hAnsi="Arial" w:eastAsia="宋体" w:cs="Arial"/>
          <w:sz w:val="24"/>
          <w:szCs w:val="24"/>
        </w:rPr>
      </w:pPr>
      <w:r>
        <w:rPr>
          <w:rFonts w:ascii="Arial" w:hAnsi="Arial" w:eastAsia="宋体" w:cs="Arial"/>
          <w:sz w:val="24"/>
          <w:szCs w:val="24"/>
        </w:rPr>
        <w:br w:type="page"/>
      </w:r>
    </w:p>
    <w:p w14:paraId="135C74F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这个要求并不限制X射线发射的速率。其限制的是在任何一个小时内的总放射量。请</w:t>
      </w:r>
      <w:r>
        <w:rPr>
          <w:rFonts w:hint="eastAsia" w:ascii="Arial" w:hAnsi="Arial" w:eastAsia="宋体" w:cs="Arial"/>
          <w:sz w:val="24"/>
          <w:szCs w:val="24"/>
        </w:rPr>
        <w:t>在</w:t>
      </w:r>
      <w:r>
        <w:rPr>
          <w:rFonts w:ascii="Arial" w:hAnsi="Arial" w:eastAsia="宋体" w:cs="Arial"/>
          <w:sz w:val="24"/>
          <w:szCs w:val="24"/>
        </w:rPr>
        <w:t>设计测试项目时考虑会导致产品外表面的X射线辐射量最大的因素。必须在最大放射量的设置和操作条件下进行测试，确保系统不超过此限度【21 CFR 1010.2】。</w:t>
      </w:r>
    </w:p>
    <w:p w14:paraId="4FBCBC6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任意一个小时的时间内，X射线开放（X射线开放时间）的时间量，即工作循环，是满足这一要求的一个因素。X射线开放的时间可以使用物理系统性能或互锁的方式进行限制。应保证即使在X射线放射量最大的时间段内，1小时的总放射量也不得超过0.5mR。</w:t>
      </w:r>
    </w:p>
    <w:p w14:paraId="38380064">
      <w:pPr>
        <w:overflowPunct w:val="0"/>
        <w:snapToGrid w:val="0"/>
        <w:spacing w:after="240" w:line="300" w:lineRule="auto"/>
        <w:rPr>
          <w:rFonts w:ascii="Arial" w:hAnsi="Arial" w:eastAsia="宋体" w:cs="Arial"/>
          <w:sz w:val="24"/>
          <w:szCs w:val="24"/>
        </w:rPr>
      </w:pPr>
      <w:r>
        <w:rPr>
          <w:rFonts w:hint="eastAsia" w:ascii="Arial" w:hAnsi="Arial" w:eastAsia="宋体" w:cs="Arial"/>
          <w:sz w:val="24"/>
          <w:szCs w:val="24"/>
        </w:rPr>
        <w:t>具有端口的柜式</w:t>
      </w:r>
      <w:r>
        <w:rPr>
          <w:rFonts w:ascii="Arial" w:hAnsi="Arial" w:eastAsia="宋体" w:cs="Arial"/>
          <w:sz w:val="24"/>
          <w:szCs w:val="24"/>
        </w:rPr>
        <w:t>X射线系统通常使用铅帘来减少辐射。大多数铅帘由多条含铅材料组成。当物品通过时，这些含铅材料条被偏转，产生间隙。具有由铅帘覆盖的</w:t>
      </w:r>
      <w:r>
        <w:rPr>
          <w:rFonts w:hint="eastAsia" w:ascii="Arial" w:hAnsi="Arial" w:eastAsia="宋体" w:cs="Arial"/>
          <w:sz w:val="24"/>
          <w:szCs w:val="24"/>
        </w:rPr>
        <w:t>端口</w:t>
      </w:r>
      <w:r>
        <w:rPr>
          <w:rFonts w:ascii="Arial" w:hAnsi="Arial" w:eastAsia="宋体" w:cs="Arial"/>
          <w:sz w:val="24"/>
          <w:szCs w:val="24"/>
        </w:rPr>
        <w:t>的柜式X射线系统必须保证所有</w:t>
      </w:r>
      <w:r>
        <w:rPr>
          <w:rFonts w:hint="eastAsia" w:ascii="Arial" w:hAnsi="Arial" w:eastAsia="宋体" w:cs="Arial"/>
          <w:sz w:val="24"/>
          <w:szCs w:val="24"/>
        </w:rPr>
        <w:t>端口</w:t>
      </w:r>
      <w:r>
        <w:rPr>
          <w:rFonts w:ascii="Arial" w:hAnsi="Arial" w:eastAsia="宋体" w:cs="Arial"/>
          <w:sz w:val="24"/>
          <w:szCs w:val="24"/>
        </w:rPr>
        <w:t>平面符合放射限值，即使在系统允许物品尽快运入系统的一小时内也应如此。在维护计划【21 CFR 1020.40（c）（9）（i）】中应包括对铅帘状态的检查，以确保系统保持符合性能标准。</w:t>
      </w:r>
    </w:p>
    <w:p w14:paraId="0FBE5A6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测试和测量【21 CFR 1020.40（c）（1）（ii）】：是否符合本部分（c）（1）（i）中的暴露量限制的测量条件为：横截面积为十平方厘米，线性尺寸均不大于5厘米，柜式X射线系统在能够在外表面产生最大X射线暴露的X射线管电位、电流、光束方向和散射辐射条件的组合下工作，其他任何可能产生X射线部位的门和检修面板保持完全关闭和固定。</w:t>
      </w:r>
    </w:p>
    <w:p w14:paraId="145E3B1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该标准规定，应通过在10平方厘米、线性尺寸不大于5厘米的横截面积上测量的平均值来确定合规情况。这表明当FDA进行测量以确定产品是否符合放射限值时，我们的测试程序应使用满足该标准的测量尺度，或能够产生相同结果的测试程序。当选择仪器和设计测试程序时，制造商应该能够证明其结果具有等同性。</w:t>
      </w:r>
    </w:p>
    <w:p w14:paraId="039C1AF8">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您应该在程序和产品报告中说明测试和后续计算中使用的任何校正因子。</w:t>
      </w:r>
    </w:p>
    <w:p w14:paraId="5C26F8D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从最高发射读数的测量值必须小于</w:t>
      </w:r>
      <w:r>
        <w:rPr>
          <w:rFonts w:hint="eastAsia" w:ascii="Arial" w:hAnsi="Arial" w:eastAsia="宋体" w:cs="Arial"/>
          <w:sz w:val="24"/>
          <w:szCs w:val="24"/>
        </w:rPr>
        <w:t>0.</w:t>
      </w:r>
      <w:r>
        <w:rPr>
          <w:rFonts w:ascii="Arial" w:hAnsi="Arial" w:eastAsia="宋体" w:cs="Arial"/>
          <w:sz w:val="24"/>
          <w:szCs w:val="24"/>
        </w:rPr>
        <w:t>5 mR发射限值【21 CFR 1020.40（c）（1）（i）】。在一小时内小于0.5 mR的所有放射测量的平均值不足以证明符合性能标准。</w:t>
      </w:r>
    </w:p>
    <w:p w14:paraId="2305674A">
      <w:pPr>
        <w:widowControl/>
        <w:jc w:val="left"/>
        <w:rPr>
          <w:rFonts w:ascii="Arial" w:hAnsi="Arial" w:eastAsia="宋体" w:cs="Arial"/>
          <w:sz w:val="24"/>
          <w:szCs w:val="24"/>
        </w:rPr>
      </w:pPr>
      <w:r>
        <w:rPr>
          <w:rFonts w:ascii="Arial" w:hAnsi="Arial" w:eastAsia="宋体" w:cs="Arial"/>
          <w:sz w:val="24"/>
          <w:szCs w:val="24"/>
        </w:rPr>
        <w:br w:type="page"/>
      </w:r>
    </w:p>
    <w:p w14:paraId="610F8048">
      <w:pPr>
        <w:overflowPunct w:val="0"/>
        <w:snapToGrid w:val="0"/>
        <w:spacing w:after="240" w:line="300" w:lineRule="auto"/>
        <w:rPr>
          <w:rFonts w:ascii="Arial" w:hAnsi="Arial" w:eastAsia="宋体" w:cs="Arial"/>
          <w:sz w:val="24"/>
          <w:szCs w:val="24"/>
        </w:rPr>
      </w:pPr>
      <w:r>
        <w:rPr>
          <w:rFonts w:hint="eastAsia" w:ascii="Arial" w:hAnsi="Arial" w:eastAsia="宋体" w:cs="Arial"/>
          <w:sz w:val="24"/>
          <w:szCs w:val="24"/>
        </w:rPr>
        <w:t>在</w:t>
      </w:r>
      <w:r>
        <w:rPr>
          <w:rFonts w:ascii="Arial" w:hAnsi="Arial" w:eastAsia="宋体" w:cs="Arial"/>
          <w:sz w:val="24"/>
          <w:szCs w:val="24"/>
        </w:rPr>
        <w:t>确定是否符合放射</w:t>
      </w:r>
      <w:bookmarkStart w:id="11" w:name="OLE_LINK11"/>
      <w:bookmarkStart w:id="12" w:name="OLE_LINK10"/>
      <w:r>
        <w:rPr>
          <w:rFonts w:hint="eastAsia" w:ascii="Arial" w:hAnsi="Arial" w:eastAsia="宋体" w:cs="Arial"/>
          <w:sz w:val="24"/>
          <w:szCs w:val="24"/>
        </w:rPr>
        <w:t>限值</w:t>
      </w:r>
      <w:bookmarkEnd w:id="11"/>
      <w:bookmarkEnd w:id="12"/>
      <w:r>
        <w:rPr>
          <w:rFonts w:ascii="Arial" w:hAnsi="Arial" w:eastAsia="宋体" w:cs="Arial"/>
          <w:sz w:val="24"/>
          <w:szCs w:val="24"/>
        </w:rPr>
        <w:t>时，您应保守地设置测试拒绝</w:t>
      </w:r>
      <w:r>
        <w:rPr>
          <w:rFonts w:hint="eastAsia" w:ascii="Arial" w:hAnsi="Arial" w:eastAsia="宋体" w:cs="Arial"/>
          <w:sz w:val="24"/>
          <w:szCs w:val="24"/>
        </w:rPr>
        <w:t>限值</w:t>
      </w:r>
      <w:r>
        <w:rPr>
          <w:rFonts w:ascii="Arial" w:hAnsi="Arial" w:eastAsia="宋体" w:cs="Arial"/>
          <w:sz w:val="24"/>
          <w:szCs w:val="24"/>
        </w:rPr>
        <w:t>，以便容纳测量方法的</w:t>
      </w:r>
      <w:r>
        <w:rPr>
          <w:rFonts w:hint="eastAsia" w:ascii="Arial" w:hAnsi="Arial" w:eastAsia="宋体" w:cs="Arial"/>
          <w:sz w:val="24"/>
          <w:szCs w:val="24"/>
        </w:rPr>
        <w:t>固有</w:t>
      </w:r>
      <w:r>
        <w:rPr>
          <w:rFonts w:ascii="Arial" w:hAnsi="Arial" w:eastAsia="宋体" w:cs="Arial"/>
          <w:sz w:val="24"/>
          <w:szCs w:val="24"/>
        </w:rPr>
        <w:t>误差和仪器精度。如果将拒绝限制设定为放射限值，则可能会导致认证的产品性能似乎符合性能标准，但实际不符合标准。</w:t>
      </w:r>
    </w:p>
    <w:p w14:paraId="534E56A8">
      <w:pPr>
        <w:overflowPunct w:val="0"/>
        <w:snapToGrid w:val="0"/>
        <w:spacing w:after="240" w:line="300" w:lineRule="auto"/>
        <w:rPr>
          <w:rFonts w:ascii="Arial" w:hAnsi="Arial" w:cs="Arial"/>
          <w:sz w:val="24"/>
          <w:szCs w:val="24"/>
        </w:rPr>
      </w:pPr>
      <w:r>
        <w:rPr>
          <w:rFonts w:ascii="Arial" w:hAnsi="Arial" w:eastAsia="宋体" w:cs="Arial"/>
          <w:sz w:val="24"/>
          <w:szCs w:val="24"/>
        </w:rPr>
        <w:t>为方便记录，您需要以数值测量值的形式记录每个系统在最差情况下放射的测量值。您必须在年度报告中以直方图的形式提供这些测试结果的总结 【21 CFR 1002.30；见“X光成像与系统年度报告指南”（1980年7月）】。</w:t>
      </w:r>
      <w:r>
        <w:rPr>
          <w:rFonts w:hint="eastAsia"/>
          <w:sz w:val="24"/>
          <w:szCs w:val="24"/>
        </w:rPr>
        <w:br w:type="textWrapping"/>
      </w:r>
      <w:r>
        <w:rPr>
          <w:rFonts w:ascii="Arial" w:hAnsi="Arial" w:cs="Arial"/>
          <w:sz w:val="24"/>
          <w:szCs w:val="24"/>
        </w:rPr>
        <w:t>(</w:t>
      </w:r>
      <w:r>
        <w:rPr>
          <w:rFonts w:ascii="Arial" w:hAnsi="Arial" w:cs="Arial"/>
          <w:color w:val="0000FF"/>
          <w:sz w:val="24"/>
          <w:szCs w:val="24"/>
          <w:u w:val="single"/>
        </w:rPr>
        <w:t>http://www.fda.gov/cdrh/radhlth/pdf/xrcrpt0a.pdf</w:t>
      </w:r>
      <w:r>
        <w:rPr>
          <w:rFonts w:ascii="Arial" w:hAnsi="Arial" w:cs="Arial"/>
          <w:sz w:val="24"/>
          <w:szCs w:val="24"/>
        </w:rPr>
        <w:t xml:space="preserve">)】. </w:t>
      </w:r>
    </w:p>
    <w:p w14:paraId="4373C9C3">
      <w:pPr>
        <w:overflowPunct w:val="0"/>
        <w:snapToGrid w:val="0"/>
        <w:spacing w:after="240" w:line="300" w:lineRule="auto"/>
        <w:rPr>
          <w:rFonts w:ascii="Arial" w:hAnsi="Arial" w:eastAsia="宋体" w:cs="Arial"/>
          <w:b/>
          <w:sz w:val="24"/>
          <w:szCs w:val="24"/>
        </w:rPr>
      </w:pPr>
      <w:r>
        <w:rPr>
          <w:rFonts w:hint="eastAsia" w:ascii="Arial" w:hAnsi="Arial" w:eastAsia="宋体" w:cs="Arial"/>
          <w:b/>
          <w:sz w:val="24"/>
          <w:szCs w:val="24"/>
        </w:rPr>
        <w:t>仪器</w:t>
      </w:r>
    </w:p>
    <w:p w14:paraId="226EA89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薄壁Geiger-Mueller（GM）测量仪在进行定性测量时非常有用，可以确定柜式X射线系统外表面上最大辐射量的位置。GM测量仪不适用于进行X射线发射的定量测量。X射线管会产生含有不同能量谱的辐射。GM测量仪对不同能量的辐射没有线性响应。GM测量仪可以响应测量空间内发生的电离事件数量；然而，它不产生关于每个电离事件相关能量的信息。因此，GM测量仪对来自不同能量的光子的相同暴露率和响应不同。您不应认为GM测量仪的读数单位为暴露率，则测量仪就可以准确地测量该数量。有关测量仪器选择标准的更多信息，请参见国家辐射防护和测量委员会（NCRP）报告57和112（见于</w:t>
      </w:r>
      <w:r>
        <w:rPr>
          <w:rFonts w:ascii="Arial" w:hAnsi="Arial" w:eastAsia="宋体" w:cs="Arial"/>
          <w:color w:val="0000FF"/>
          <w:sz w:val="24"/>
          <w:szCs w:val="24"/>
          <w:u w:val="single"/>
        </w:rPr>
        <w:t>http://www.ncrponline.org</w:t>
      </w:r>
      <w:r>
        <w:rPr>
          <w:rFonts w:ascii="Arial" w:hAnsi="Arial" w:eastAsia="宋体" w:cs="Arial"/>
          <w:sz w:val="24"/>
          <w:szCs w:val="24"/>
        </w:rPr>
        <w:t>）。</w:t>
      </w:r>
    </w:p>
    <w:p w14:paraId="6310067F">
      <w:pPr>
        <w:widowControl/>
        <w:numPr>
          <w:ilvl w:val="0"/>
          <w:numId w:val="13"/>
        </w:numPr>
        <w:shd w:val="clear" w:color="auto" w:fill="FFFFFF"/>
        <w:overflowPunct w:val="0"/>
        <w:snapToGrid w:val="0"/>
        <w:spacing w:after="240" w:line="300" w:lineRule="auto"/>
        <w:ind w:left="0"/>
        <w:jc w:val="left"/>
        <w:rPr>
          <w:rFonts w:ascii="Arial" w:hAnsi="Arial" w:eastAsia="宋体" w:cs="Arial"/>
          <w:sz w:val="24"/>
          <w:szCs w:val="24"/>
        </w:rPr>
      </w:pPr>
      <w:r>
        <w:rPr>
          <w:rFonts w:hint="eastAsia" w:ascii="Arial" w:hAnsi="Arial" w:eastAsia="宋体" w:cs="Arial"/>
          <w:sz w:val="24"/>
          <w:szCs w:val="24"/>
        </w:rPr>
        <w:t>离子室通常可以用于对来自柜式</w:t>
      </w:r>
      <w:r>
        <w:rPr>
          <w:rFonts w:ascii="Arial" w:hAnsi="Arial" w:eastAsia="宋体" w:cs="Arial"/>
          <w:sz w:val="24"/>
          <w:szCs w:val="24"/>
        </w:rPr>
        <w:t>X</w:t>
      </w:r>
      <w:r>
        <w:rPr>
          <w:rFonts w:hint="eastAsia" w:ascii="Arial" w:hAnsi="Arial" w:eastAsia="宋体" w:cs="Arial"/>
          <w:sz w:val="24"/>
          <w:szCs w:val="24"/>
        </w:rPr>
        <w:t>射线系统的辐射进行定量测量。您应该按照制造商的建议校准该仪器。应针对您的产品进行适当的能量范围的校准。用铯</w:t>
      </w:r>
      <w:r>
        <w:rPr>
          <w:rFonts w:ascii="Arial" w:hAnsi="Arial" w:eastAsia="宋体" w:cs="Arial"/>
          <w:sz w:val="24"/>
          <w:szCs w:val="24"/>
        </w:rPr>
        <w:t>137</w:t>
      </w:r>
      <w:r>
        <w:rPr>
          <w:rFonts w:hint="eastAsia" w:ascii="Arial" w:hAnsi="Arial" w:eastAsia="宋体" w:cs="Arial"/>
          <w:sz w:val="24"/>
          <w:szCs w:val="24"/>
        </w:rPr>
        <w:t>源（</w:t>
      </w:r>
      <w:r>
        <w:rPr>
          <w:rFonts w:ascii="Arial" w:hAnsi="Arial" w:eastAsia="宋体" w:cs="Arial"/>
          <w:sz w:val="24"/>
          <w:szCs w:val="24"/>
        </w:rPr>
        <w:t>β511 keV</w:t>
      </w:r>
      <w:r>
        <w:rPr>
          <w:rFonts w:hint="eastAsia" w:ascii="Arial" w:hAnsi="Arial" w:eastAsia="宋体" w:cs="Arial"/>
          <w:sz w:val="24"/>
          <w:szCs w:val="24"/>
        </w:rPr>
        <w:t>和</w:t>
      </w:r>
      <w:r>
        <w:rPr>
          <w:rFonts w:ascii="Arial" w:hAnsi="Arial" w:eastAsia="宋体" w:cs="Arial"/>
          <w:sz w:val="24"/>
          <w:szCs w:val="24"/>
        </w:rPr>
        <w:t>γ662 keV</w:t>
      </w:r>
      <w:r>
        <w:rPr>
          <w:rFonts w:hint="eastAsia" w:ascii="Arial" w:hAnsi="Arial" w:eastAsia="宋体" w:cs="Arial"/>
          <w:sz w:val="24"/>
          <w:szCs w:val="24"/>
        </w:rPr>
        <w:t>）校准仪表并使用它测量</w:t>
      </w:r>
      <w:r>
        <w:rPr>
          <w:rFonts w:ascii="Arial" w:hAnsi="Arial" w:eastAsia="宋体" w:cs="Arial"/>
          <w:sz w:val="24"/>
          <w:szCs w:val="24"/>
        </w:rPr>
        <w:t>120 kVp X</w:t>
      </w:r>
      <w:r>
        <w:rPr>
          <w:rFonts w:hint="eastAsia" w:ascii="Arial" w:hAnsi="Arial" w:eastAsia="宋体" w:cs="Arial"/>
          <w:sz w:val="24"/>
          <w:szCs w:val="24"/>
        </w:rPr>
        <w:t>射线谱将可能会导致严重的错误。</w:t>
      </w:r>
    </w:p>
    <w:p w14:paraId="47D0B440">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地板</w:t>
      </w:r>
      <w:r>
        <w:rPr>
          <w:rFonts w:ascii="Arial" w:hAnsi="Arial" w:eastAsia="宋体" w:cs="Arial"/>
          <w:sz w:val="24"/>
          <w:szCs w:val="24"/>
        </w:rPr>
        <w:t>【21 CFR 1020.40（c）（2）】：柜式X射线系统应具有永久性的地板。柜式X射线系统永久固定的任何支撑表面都可视为系统的地板。</w:t>
      </w:r>
    </w:p>
    <w:p w14:paraId="0A9C2695">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如果柜式X射线系统所在的地板下的空间被占据，则地板可能需要额外的屏蔽，以确保地面以下的放射满足21 CFR 1020.40（c）（1）的要求。</w:t>
      </w:r>
    </w:p>
    <w:p w14:paraId="22279A9E">
      <w:pPr>
        <w:overflowPunct w:val="0"/>
        <w:snapToGrid w:val="0"/>
        <w:spacing w:after="240" w:line="300" w:lineRule="auto"/>
        <w:rPr>
          <w:rFonts w:ascii="Arial" w:hAnsi="Arial" w:eastAsia="宋体" w:cs="Arial"/>
          <w:sz w:val="24"/>
          <w:szCs w:val="24"/>
        </w:rPr>
      </w:pPr>
      <w:r>
        <w:rPr>
          <w:rFonts w:hint="eastAsia" w:ascii="Arial" w:hAnsi="Arial" w:eastAsia="宋体" w:cs="Arial"/>
          <w:b/>
          <w:sz w:val="24"/>
          <w:szCs w:val="24"/>
        </w:rPr>
        <w:t>端口</w:t>
      </w:r>
      <w:r>
        <w:rPr>
          <w:rFonts w:ascii="Arial" w:hAnsi="Arial" w:eastAsia="宋体" w:cs="Arial"/>
          <w:b/>
          <w:sz w:val="24"/>
          <w:szCs w:val="24"/>
        </w:rPr>
        <w:t>和开孔</w:t>
      </w:r>
      <w:r>
        <w:rPr>
          <w:rFonts w:ascii="Arial" w:hAnsi="Arial" w:eastAsia="宋体" w:cs="Arial"/>
          <w:sz w:val="24"/>
          <w:szCs w:val="24"/>
        </w:rPr>
        <w:t>【21 CFR 1020.40（c）（3）】：（i）不允许将人体的任何部分通过任何</w:t>
      </w:r>
      <w:r>
        <w:rPr>
          <w:rFonts w:hint="eastAsia" w:ascii="Arial" w:hAnsi="Arial" w:eastAsia="宋体" w:cs="Arial"/>
          <w:sz w:val="24"/>
          <w:szCs w:val="24"/>
        </w:rPr>
        <w:t>端口</w:t>
      </w:r>
      <w:r>
        <w:rPr>
          <w:rFonts w:ascii="Arial" w:hAnsi="Arial" w:eastAsia="宋体" w:cs="Arial"/>
          <w:sz w:val="24"/>
          <w:szCs w:val="24"/>
        </w:rPr>
        <w:t>插入主放射束。（ii）任何开孔不允许插入人体的任何部分。</w:t>
      </w:r>
    </w:p>
    <w:p w14:paraId="55A7FC6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该要求旨在防止非常规和常规操作者暴露于主X射线束。根据这一规定，将任何身体部位</w:t>
      </w:r>
      <w:r>
        <w:rPr>
          <w:rFonts w:hint="eastAsia" w:ascii="Arial" w:hAnsi="Arial" w:eastAsia="宋体" w:cs="Arial"/>
          <w:sz w:val="24"/>
          <w:szCs w:val="24"/>
        </w:rPr>
        <w:t>插入端口</w:t>
      </w:r>
      <w:r>
        <w:rPr>
          <w:rFonts w:ascii="Arial" w:hAnsi="Arial" w:eastAsia="宋体" w:cs="Arial"/>
          <w:sz w:val="24"/>
          <w:szCs w:val="24"/>
        </w:rPr>
        <w:t>均不是标准的操作程序。该要求并不是为了防止人们故意试图破坏系统安全功能和接触主放射束。通过</w:t>
      </w:r>
      <w:r>
        <w:rPr>
          <w:rFonts w:hint="eastAsia" w:ascii="Arial" w:hAnsi="Arial" w:eastAsia="宋体" w:cs="Arial"/>
          <w:sz w:val="24"/>
          <w:szCs w:val="24"/>
        </w:rPr>
        <w:t>端口</w:t>
      </w:r>
      <w:r>
        <w:rPr>
          <w:rFonts w:ascii="Arial" w:hAnsi="Arial" w:eastAsia="宋体" w:cs="Arial"/>
          <w:sz w:val="24"/>
          <w:szCs w:val="24"/>
        </w:rPr>
        <w:t>进入系统、爬进系统、进行碰撞等均为有意破坏安全系统的例子。</w:t>
      </w:r>
    </w:p>
    <w:p w14:paraId="13FF6A5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你可以用很多方法来满足这个要求。从任意端口到主放射束的距离至少为36英寸的直通道系统即符合这一要求。从任意端口到主放射束的距离小于36英寸的直通道的系统应具有除距离之外的一些其他方式，以使主放射束难以到达。例如，结合光电传感器，在其中断时打开放射束，并且放置在以正常姿势进入机柜后较难触发的位置。另一个例子是将系统端口位置定于相比常规位置来说较低（接近地板）或较高（在头部高度）的位置。此外，将系统集成到生产线上，保证检查产品的移动速度足够快，以限制进入该端口。</w:t>
      </w:r>
    </w:p>
    <w:p w14:paraId="01B65A3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当产品使用端口【21 CFR 1020.40（b）（9）】时，应在产品报告中描述用于防止无意中接触主放射束的方法。使用显示这些功能的柜式系统的等距视图通常是非常有帮助的。俯视图和侧视图的图纸或照片也可以更容易地解释系统的安全功能。</w:t>
      </w:r>
    </w:p>
    <w:p w14:paraId="4BAF14DE">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安全联锁</w:t>
      </w:r>
      <w:r>
        <w:rPr>
          <w:rFonts w:ascii="Arial" w:hAnsi="Arial" w:eastAsia="宋体" w:cs="Arial"/>
          <w:sz w:val="24"/>
          <w:szCs w:val="24"/>
        </w:rPr>
        <w:t>【21 CFR 1020.40（c）（4）（i）】：</w:t>
      </w:r>
      <w:r>
        <w:rPr>
          <w:rFonts w:ascii="Arial" w:hAnsi="Arial" w:eastAsia="宋体" w:cs="Arial"/>
          <w:i/>
          <w:sz w:val="24"/>
          <w:szCs w:val="24"/>
        </w:rPr>
        <w:t>柜式X射线系统的每个门都应至少具有两个安全联锁。其中一个，而非两个互锁应保证门开启时可以引发能量供应电路与高压发生器的物理断开，并且这种断开不应取决于门之外的任何移动部件。【注意：安全联锁的定义见21 CFR 1020.40（b）（11）】</w:t>
      </w:r>
    </w:p>
    <w:p w14:paraId="6E4735C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主门互锁应采用常规设计。第二个门互锁必须物理断开高压发生器的能量供应电路。物理断路意味着通过去除一个电路来打开能量供应电路。通常通过“电闸和闸口”或“插头和插座”这类连接实现。应确保主联锁在物理断开发生之前从能量供应电路中断电。继电器、微动开关和“安全开关”均包含运动部件，因此不能用于满足物理断路互锁“不依赖于门外的任何移动部件”的要求。</w:t>
      </w:r>
    </w:p>
    <w:p w14:paraId="2F6CD974">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1020.40（c）（4）（ii）】</w:t>
      </w:r>
      <w:r>
        <w:rPr>
          <w:rFonts w:ascii="Arial" w:hAnsi="Arial" w:eastAsia="宋体" w:cs="Arial"/>
          <w:i/>
          <w:sz w:val="24"/>
          <w:szCs w:val="24"/>
        </w:rPr>
        <w:t>每个检修面板应至少有一个安全互锁装置。</w:t>
      </w:r>
    </w:p>
    <w:p w14:paraId="7033EF05">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物理断开能量供应电路不需要检修面板互锁。</w:t>
      </w:r>
    </w:p>
    <w:p w14:paraId="376D5F1A">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1020.40（c）（4）（iii）】</w:t>
      </w:r>
      <w:r>
        <w:rPr>
          <w:rFonts w:ascii="Arial" w:hAnsi="Arial" w:eastAsia="宋体" w:cs="Arial"/>
          <w:i/>
          <w:sz w:val="24"/>
          <w:szCs w:val="24"/>
        </w:rPr>
        <w:t>在通过任何安全互锁的功能中断X射线产生之后，在恢复X射线产生时，必须使用本节（c）（6）（ii）所规定的控制措施。</w:t>
      </w:r>
    </w:p>
    <w:p w14:paraId="4E3CF0BB">
      <w:pPr>
        <w:widowControl/>
        <w:jc w:val="left"/>
        <w:rPr>
          <w:rFonts w:ascii="Arial" w:hAnsi="Arial" w:eastAsia="宋体" w:cs="Arial"/>
          <w:sz w:val="24"/>
          <w:szCs w:val="24"/>
        </w:rPr>
      </w:pPr>
      <w:r>
        <w:rPr>
          <w:rFonts w:ascii="Arial" w:hAnsi="Arial" w:eastAsia="宋体" w:cs="Arial"/>
          <w:sz w:val="24"/>
          <w:szCs w:val="24"/>
        </w:rPr>
        <w:br w:type="page"/>
      </w:r>
    </w:p>
    <w:p w14:paraId="1295102B">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触发任意互锁后，必须使用符合控制规定的控制措施恢复X射线的产生。该要求避免了使用互锁作为开关来启动X射线的产生。</w:t>
      </w:r>
    </w:p>
    <w:p w14:paraId="665072A7">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1020.40（c）（4）（iv）】</w:t>
      </w:r>
      <w:r>
        <w:rPr>
          <w:rFonts w:ascii="Arial" w:hAnsi="Arial" w:eastAsia="宋体" w:cs="Arial"/>
          <w:i/>
          <w:sz w:val="24"/>
          <w:szCs w:val="24"/>
        </w:rPr>
        <w:t>柜式X射线系统的任意单个部件的故障不得导致多于一个所需的安全互锁故障。</w:t>
      </w:r>
    </w:p>
    <w:p w14:paraId="374B4CD5">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接地故障【21 CFR 1020.40（c）（5）】：</w:t>
      </w:r>
      <w:r>
        <w:rPr>
          <w:rFonts w:ascii="Arial" w:hAnsi="Arial" w:eastAsia="宋体" w:cs="Arial"/>
          <w:i/>
          <w:sz w:val="24"/>
          <w:szCs w:val="24"/>
        </w:rPr>
        <w:t>接地故障不会导致X射线的产生。</w:t>
      </w:r>
    </w:p>
    <w:p w14:paraId="243EF66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通过叙述性文字描述可能的接地故障，以及描述其为什么不会导致X射线的产生是记录合规的良好方式【21 CFR 1002】。用于说明您对可能接地故障的分析的简化框图也是有帮助的。</w:t>
      </w:r>
    </w:p>
    <w:p w14:paraId="1E808546">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控制和指示</w:t>
      </w:r>
      <w:r>
        <w:rPr>
          <w:rFonts w:ascii="Arial" w:hAnsi="Arial" w:eastAsia="宋体" w:cs="Arial"/>
          <w:sz w:val="24"/>
          <w:szCs w:val="24"/>
        </w:rPr>
        <w:t>【21 CFR 1020.40（c）（6）】：</w:t>
      </w:r>
      <w:r>
        <w:rPr>
          <w:rFonts w:ascii="Arial" w:hAnsi="Arial" w:eastAsia="宋体" w:cs="Arial"/>
          <w:i/>
          <w:sz w:val="24"/>
          <w:szCs w:val="24"/>
        </w:rPr>
        <w:t>对于适用本章节规定的所有系统，应提供：</w:t>
      </w:r>
    </w:p>
    <w:p w14:paraId="73C433BA">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 xml:space="preserve">【21 CFR 1020.40（c）（6）（i）】 </w:t>
      </w:r>
      <w:r>
        <w:rPr>
          <w:rFonts w:ascii="Arial" w:hAnsi="Arial" w:eastAsia="宋体" w:cs="Arial"/>
          <w:i/>
          <w:sz w:val="24"/>
          <w:szCs w:val="24"/>
        </w:rPr>
        <w:t>一种由钥匙开动的控制，以确保在钥匙移除时不能产生X射线。</w:t>
      </w:r>
    </w:p>
    <w:p w14:paraId="53B423FD">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1020.40（c）（6）（ii）】</w:t>
      </w:r>
      <w:r>
        <w:rPr>
          <w:rFonts w:ascii="Arial" w:hAnsi="Arial" w:eastAsia="宋体" w:cs="Arial"/>
          <w:i/>
          <w:sz w:val="24"/>
          <w:szCs w:val="24"/>
        </w:rPr>
        <w:t>安全联锁或主电源控制方式外用于启动和终止X射线产生的控制功能。</w:t>
      </w:r>
    </w:p>
    <w:p w14:paraId="5AEC713D">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【21 CFR 1020.40（c）（6）（iii）】</w:t>
      </w:r>
      <w:r>
        <w:rPr>
          <w:rFonts w:ascii="Arial" w:hAnsi="Arial" w:eastAsia="宋体" w:cs="Arial"/>
          <w:i/>
          <w:sz w:val="24"/>
          <w:szCs w:val="24"/>
        </w:rPr>
        <w:t>应存在两种独立的方式指示何时产生X射线，且应仅当生成X射线时发出指示，除非X射线产生周期小于半秒。在上述情况下，指示应激活半秒钟，并且从可能产生X射线的任何点都可以观察到。柜式X射线系统单个部件的故障不应导致两个指示灯执行其预期功能故障。规定所要求的指示器之一，但不是两者可以为指示X射线管电流的毫安表。所有其他指示均应清晰标示为</w:t>
      </w:r>
      <w:r>
        <w:rPr>
          <w:rFonts w:ascii="Arial" w:hAnsi="Arial" w:eastAsia="宋体" w:cs="Arial"/>
          <w:sz w:val="24"/>
          <w:szCs w:val="24"/>
        </w:rPr>
        <w:t>“</w:t>
      </w:r>
      <w:r>
        <w:rPr>
          <w:rFonts w:ascii="Arial" w:hAnsi="Arial" w:eastAsia="宋体" w:cs="Arial"/>
          <w:b/>
          <w:sz w:val="24"/>
          <w:szCs w:val="24"/>
        </w:rPr>
        <w:t>X-RAY ON</w:t>
      </w:r>
      <w:r>
        <w:rPr>
          <w:rFonts w:ascii="Arial" w:hAnsi="Arial" w:eastAsia="宋体" w:cs="Arial"/>
          <w:sz w:val="24"/>
          <w:szCs w:val="24"/>
        </w:rPr>
        <w:t>”</w:t>
      </w:r>
      <w:r>
        <w:rPr>
          <w:rFonts w:ascii="Arial" w:hAnsi="Arial" w:eastAsia="宋体" w:cs="Arial"/>
          <w:i/>
          <w:sz w:val="24"/>
          <w:szCs w:val="24"/>
        </w:rPr>
        <w:t>。</w:t>
      </w:r>
    </w:p>
    <w:p w14:paraId="773D374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【21 CFR 1020.40（c）（6）（iv）】</w:t>
      </w:r>
      <w:r>
        <w:rPr>
          <w:rFonts w:ascii="Arial" w:hAnsi="Arial" w:eastAsia="宋体" w:cs="Arial"/>
          <w:i/>
          <w:sz w:val="24"/>
          <w:szCs w:val="24"/>
        </w:rPr>
        <w:t>应确保存在除毫安表之外的其他方式，指示何时产生X射线，且应仅当生成X射线时发出指示，除非X射线产生周期小于半秒，在上述情况下，指示应激活半秒钟，并且从可能产生X射线的任何点都可以观察到，以确保每个门，检修面板和端口至少有一个指示器可见，并清晰地标记为</w:t>
      </w:r>
      <w:r>
        <w:rPr>
          <w:rFonts w:ascii="Arial" w:hAnsi="Arial" w:eastAsia="宋体" w:cs="Arial"/>
          <w:b/>
          <w:sz w:val="24"/>
          <w:szCs w:val="24"/>
        </w:rPr>
        <w:t>“X-RAY ON”</w:t>
      </w:r>
      <w:r>
        <w:rPr>
          <w:rFonts w:ascii="Arial" w:hAnsi="Arial" w:eastAsia="宋体" w:cs="Arial"/>
          <w:sz w:val="24"/>
          <w:szCs w:val="24"/>
        </w:rPr>
        <w:t>。</w:t>
      </w:r>
    </w:p>
    <w:p w14:paraId="225621A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每个门，检修面板和端口必须至少有一个指示器。这些指示器必须清晰地标记为</w:t>
      </w:r>
      <w:r>
        <w:rPr>
          <w:rFonts w:ascii="Arial" w:hAnsi="Arial" w:eastAsia="宋体" w:cs="Arial"/>
          <w:b/>
          <w:sz w:val="24"/>
          <w:szCs w:val="24"/>
        </w:rPr>
        <w:t>“X-RAY ON”</w:t>
      </w:r>
      <w:r>
        <w:rPr>
          <w:rFonts w:ascii="Arial" w:hAnsi="Arial" w:eastAsia="宋体" w:cs="Arial"/>
          <w:sz w:val="24"/>
          <w:szCs w:val="24"/>
        </w:rPr>
        <w:t>。这些其他指示器不能是毫安表。其他的指示器必须指出何时产生X射线，且应仅当生成X射线时发出指示。如果X射线产生周期小于半秒，则必须将指示器激活半秒。</w:t>
      </w:r>
    </w:p>
    <w:p w14:paraId="5D54BA8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一些系统具有待机模式，需要向X射线管提供部分电流，并且一些使用电容器来对射线管供电。在这些情况下，X射线管没有足够的电流来产生足够的辐射用于正常操作，但是可能有足够的电流来产生一些辐射。当X射线管有任何电流可用时，指示器上应标识为X射线开放。我们还建议您使用一个额外的指示器来，用于在产生操作级别的X射线时进行指示。</w:t>
      </w:r>
    </w:p>
    <w:p w14:paraId="2ABE4C80">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其他控制和指示器</w:t>
      </w:r>
      <w:r>
        <w:rPr>
          <w:rFonts w:ascii="Arial" w:hAnsi="Arial" w:eastAsia="宋体" w:cs="Arial"/>
          <w:sz w:val="24"/>
          <w:szCs w:val="24"/>
        </w:rPr>
        <w:t>【21 CFR 1020.40（c）（7）】：对于用于人体的柜式X射线系统，还应提供：</w:t>
      </w:r>
    </w:p>
    <w:p w14:paraId="3DC8A8A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（i）机柜内的控制装置，用于防止和终止X射线的产生，且从机柜外部无法重置、重写或绕过。</w:t>
      </w:r>
    </w:p>
    <w:p w14:paraId="55FAB24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（ii）无法从柜内启动X射线产生。</w:t>
      </w:r>
    </w:p>
    <w:p w14:paraId="39579C1B">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（iii）在任何</w:t>
      </w:r>
      <w:r>
        <w:rPr>
          <w:rFonts w:hint="eastAsia" w:ascii="Arial" w:hAnsi="Arial" w:eastAsia="宋体" w:cs="Arial"/>
          <w:i/>
          <w:sz w:val="24"/>
          <w:szCs w:val="24"/>
        </w:rPr>
        <w:t>允许</w:t>
      </w:r>
      <w:r>
        <w:rPr>
          <w:rFonts w:ascii="Arial" w:hAnsi="Arial" w:eastAsia="宋体" w:cs="Arial"/>
          <w:i/>
          <w:sz w:val="24"/>
          <w:szCs w:val="24"/>
        </w:rPr>
        <w:t>人体</w:t>
      </w:r>
      <w:r>
        <w:rPr>
          <w:rFonts w:hint="eastAsia" w:ascii="Arial" w:hAnsi="Arial" w:eastAsia="宋体" w:cs="Arial"/>
          <w:i/>
          <w:sz w:val="24"/>
          <w:szCs w:val="24"/>
        </w:rPr>
        <w:t>进入</w:t>
      </w:r>
      <w:r>
        <w:rPr>
          <w:rFonts w:ascii="Arial" w:hAnsi="Arial" w:eastAsia="宋体" w:cs="Arial"/>
          <w:i/>
          <w:sz w:val="24"/>
          <w:szCs w:val="24"/>
        </w:rPr>
        <w:t>的门关闭后，以及首次开始X射线产生前，机柜内应发出可听见和可看见的警告信号至少10秒钟。柜式X射线系统的任何单个组件的故障不应导致可听见和可看见的警告信号的故障。</w:t>
      </w:r>
    </w:p>
    <w:p w14:paraId="081757AE">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（iv）当且仅当X射线产生时，机柜内的可见警告信号保持启动，除非X射线产生周期小于半秒，在这种情况下，指示灯应激活半秒。</w:t>
      </w:r>
    </w:p>
    <w:p w14:paraId="3B1ACCFC">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（v）应提供本节（c）（7）（iii）和（iv）部分所规定的用于指示警告信号的标志，并提供本节（c）（7）（i）部分所规定的控制措施指导。当主电源处于“开”位置时，这些标志应保证清晰易读，可以看到。</w:t>
      </w:r>
    </w:p>
    <w:p w14:paraId="153A13A0">
      <w:pPr>
        <w:overflowPunct w:val="0"/>
        <w:snapToGrid w:val="0"/>
        <w:spacing w:line="300" w:lineRule="auto"/>
        <w:rPr>
          <w:rFonts w:ascii="Arial" w:hAnsi="Arial" w:eastAsia="宋体" w:cs="Arial"/>
          <w:i/>
          <w:sz w:val="24"/>
          <w:szCs w:val="24"/>
        </w:rPr>
      </w:pPr>
      <w:r>
        <w:rPr>
          <w:rFonts w:ascii="Arial" w:hAnsi="Arial" w:eastAsia="宋体" w:cs="Arial"/>
          <w:b/>
          <w:sz w:val="24"/>
          <w:szCs w:val="24"/>
        </w:rPr>
        <w:t>警告标签</w:t>
      </w:r>
      <w:r>
        <w:rPr>
          <w:rFonts w:ascii="Arial" w:hAnsi="Arial" w:eastAsia="宋体" w:cs="Arial"/>
          <w:sz w:val="24"/>
          <w:szCs w:val="24"/>
        </w:rPr>
        <w:t>【21 CFR 1020.40（c）（8）】：</w:t>
      </w:r>
      <w:r>
        <w:rPr>
          <w:rFonts w:ascii="Arial" w:hAnsi="Arial" w:eastAsia="宋体" w:cs="Arial"/>
          <w:i/>
          <w:sz w:val="24"/>
          <w:szCs w:val="24"/>
        </w:rPr>
        <w:t>（i）在柜式X射线系统可用于启动X射线产生的任何控制的位置上，应永久地固定或刻上清晰可见的、带有下列陈述的标签：</w:t>
      </w:r>
    </w:p>
    <w:p w14:paraId="700F950C">
      <w:pPr>
        <w:overflowPunct w:val="0"/>
        <w:snapToGrid w:val="0"/>
        <w:spacing w:after="240" w:line="300" w:lineRule="auto"/>
        <w:rPr>
          <w:rFonts w:ascii="Arial" w:hAnsi="Arial" w:eastAsia="宋体" w:cs="Arial"/>
          <w:b/>
          <w:sz w:val="24"/>
          <w:szCs w:val="24"/>
        </w:rPr>
      </w:pPr>
      <w:r>
        <w:rPr>
          <w:rFonts w:ascii="Arial" w:hAnsi="Arial" w:eastAsia="宋体" w:cs="Arial"/>
          <w:b/>
          <w:sz w:val="24"/>
          <w:szCs w:val="24"/>
        </w:rPr>
        <w:t>注意：通电时产生X光</w:t>
      </w:r>
    </w:p>
    <w:p w14:paraId="49526722">
      <w:pPr>
        <w:overflowPunct w:val="0"/>
        <w:snapToGrid w:val="0"/>
        <w:spacing w:line="300" w:lineRule="auto"/>
        <w:rPr>
          <w:rFonts w:ascii="Arial" w:hAnsi="Arial" w:eastAsia="宋体" w:cs="Arial"/>
          <w:sz w:val="24"/>
          <w:szCs w:val="24"/>
        </w:rPr>
      </w:pPr>
      <w:r>
        <w:rPr>
          <w:rFonts w:ascii="Arial" w:hAnsi="Arial" w:eastAsia="宋体" w:cs="Arial"/>
          <w:sz w:val="24"/>
          <w:szCs w:val="24"/>
        </w:rPr>
        <w:t>（ii）在柜式X射线系统的每个端口附近应永久性地固定或铭刻明确清晰可见的、带有下列陈述的标签：</w:t>
      </w:r>
    </w:p>
    <w:p w14:paraId="59DBA2A3">
      <w:pPr>
        <w:overflowPunct w:val="0"/>
        <w:snapToGrid w:val="0"/>
        <w:spacing w:after="240" w:line="300" w:lineRule="auto"/>
        <w:rPr>
          <w:rFonts w:ascii="Arial" w:hAnsi="Arial" w:eastAsia="宋体" w:cs="Arial"/>
          <w:b/>
          <w:sz w:val="24"/>
          <w:szCs w:val="24"/>
        </w:rPr>
      </w:pPr>
      <w:r>
        <w:rPr>
          <w:rFonts w:ascii="Arial" w:hAnsi="Arial" w:eastAsia="宋体" w:cs="Arial"/>
          <w:b/>
          <w:sz w:val="24"/>
          <w:szCs w:val="24"/>
        </w:rPr>
        <w:t>注意：系统通电时不要将身体的任何部位伸入——X射线危害</w:t>
      </w:r>
    </w:p>
    <w:p w14:paraId="14970C16">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说明书</w:t>
      </w:r>
      <w:r>
        <w:rPr>
          <w:rFonts w:ascii="Arial" w:hAnsi="Arial" w:eastAsia="宋体" w:cs="Arial"/>
          <w:sz w:val="24"/>
          <w:szCs w:val="24"/>
        </w:rPr>
        <w:t>【21 CFR 1020.40（c）（9）（i）】：</w:t>
      </w:r>
      <w:r>
        <w:rPr>
          <w:rFonts w:ascii="Arial" w:hAnsi="Arial" w:eastAsia="宋体" w:cs="Arial"/>
          <w:i/>
          <w:sz w:val="24"/>
          <w:szCs w:val="24"/>
        </w:rPr>
        <w:t>柜式X射线系统的制造商应根据要求向买方和其他付费个人（费用不得超过制作和</w:t>
      </w:r>
      <w:r>
        <w:rPr>
          <w:rFonts w:hint="eastAsia" w:ascii="Arial" w:hAnsi="Arial" w:eastAsia="宋体" w:cs="Arial"/>
          <w:i/>
          <w:sz w:val="24"/>
          <w:szCs w:val="24"/>
        </w:rPr>
        <w:t>分销</w:t>
      </w:r>
      <w:r>
        <w:rPr>
          <w:rFonts w:ascii="Arial" w:hAnsi="Arial" w:eastAsia="宋体" w:cs="Arial"/>
          <w:i/>
          <w:sz w:val="24"/>
          <w:szCs w:val="24"/>
        </w:rPr>
        <w:t>的费用）提供说明手册和说明书，应至少包括以下技术和安全信息：X射线产生设备的电势、电流和运行周期分级；由于系统的独特特征，可能需要的任何放射性安全程序和注意事项的充分说明；以及遵守本部分规定所需的维护计划。</w:t>
      </w:r>
    </w:p>
    <w:p w14:paraId="23DAF619">
      <w:pPr>
        <w:overflowPunct w:val="0"/>
        <w:snapToGrid w:val="0"/>
        <w:spacing w:after="240" w:line="300" w:lineRule="auto"/>
        <w:rPr>
          <w:rFonts w:ascii="Arial" w:hAnsi="Arial" w:eastAsia="宋体" w:cs="Arial"/>
          <w:sz w:val="24"/>
          <w:szCs w:val="24"/>
        </w:rPr>
      </w:pPr>
      <w:r>
        <w:rPr>
          <w:rFonts w:ascii="Arial" w:hAnsi="Arial" w:eastAsia="宋体" w:cs="Arial"/>
          <w:sz w:val="24"/>
          <w:szCs w:val="24"/>
        </w:rPr>
        <w:t>除重大维修外，如何时更换X光管等，维护时间表应包括系统操作人员每天、每周、每月和每年检查的项目。例如，您的维护计划可能会声明：“操作员必须至少每天检查一次所有指示灯。”再例如定期检查使用铅帘系统的铅帘的状况。该规定不要求维护计划告诉系统的拥有者如何执行所有必需的维护，只需要注明进行什么维护以及维护频率。</w:t>
      </w:r>
    </w:p>
    <w:p w14:paraId="221FDBF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未提供必要的维护计划是一个常见的问题。如果产品真的不需要任何定期维护来</w:t>
      </w:r>
      <w:r>
        <w:rPr>
          <w:rFonts w:hint="eastAsia" w:ascii="Arial" w:hAnsi="Arial" w:eastAsia="宋体" w:cs="Arial"/>
          <w:sz w:val="24"/>
          <w:szCs w:val="24"/>
        </w:rPr>
        <w:t>保证</w:t>
      </w:r>
      <w:r>
        <w:rPr>
          <w:rFonts w:ascii="Arial" w:hAnsi="Arial" w:eastAsia="宋体" w:cs="Arial"/>
          <w:sz w:val="24"/>
          <w:szCs w:val="24"/>
        </w:rPr>
        <w:t>其符合标准，您应该在产品报告中进行解释，并提供明确的理由。</w:t>
      </w:r>
    </w:p>
    <w:p w14:paraId="6AE8A53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【21 CFR 1020.40（c）（9）（ii）】</w:t>
      </w:r>
      <w:r>
        <w:rPr>
          <w:rFonts w:ascii="Arial" w:hAnsi="Arial" w:eastAsia="宋体" w:cs="Arial"/>
          <w:i/>
          <w:sz w:val="24"/>
          <w:szCs w:val="24"/>
        </w:rPr>
        <w:t>由买方组装或安装的柜式X射线系统的制造商应提供组装、安装、调整和测试柜式X射线系统的说明，该说明应足以确保系统在按指示进行组装、安装、调整和测试时符合本节的适用规定。</w:t>
      </w:r>
    </w:p>
    <w:p w14:paraId="7A16FC87">
      <w:pPr>
        <w:overflowPunct w:val="0"/>
        <w:snapToGrid w:val="0"/>
        <w:spacing w:after="240" w:line="300" w:lineRule="auto"/>
        <w:rPr>
          <w:rFonts w:ascii="Arial" w:hAnsi="Arial" w:eastAsia="宋体" w:cs="Arial"/>
          <w:i/>
          <w:sz w:val="24"/>
          <w:szCs w:val="24"/>
        </w:rPr>
      </w:pPr>
      <w:r>
        <w:rPr>
          <w:rFonts w:ascii="Arial" w:hAnsi="Arial" w:eastAsia="宋体" w:cs="Arial"/>
          <w:sz w:val="24"/>
          <w:szCs w:val="24"/>
        </w:rPr>
        <w:t>X射线行李检查系统 【21 CFR 1020.40（c）（10）】：</w:t>
      </w:r>
      <w:r>
        <w:rPr>
          <w:rFonts w:ascii="Arial" w:hAnsi="Arial" w:eastAsia="宋体" w:cs="Arial"/>
          <w:i/>
          <w:sz w:val="24"/>
          <w:szCs w:val="24"/>
        </w:rPr>
        <w:t>根据本节（c）（10）（i）和（ii）部分的规定，主要用于机场、火车站和公交车站以及类似设施的随身行李检查的X射线系统应提供相应措施，确保操作员位于可以监测的控制区域，在产生X射线时监视端口和门的位置。</w:t>
      </w:r>
    </w:p>
    <w:p w14:paraId="3D028DA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（i）在暴露或预设暴露序列持续半秒或更长时间时，提供的措施应使操作者能够随时终止暴露或预设的暴露序列。</w:t>
      </w:r>
    </w:p>
    <w:p w14:paraId="484FA25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（ii）在暴露或预设暴露序列持续不足半秒时，提供的措施应可以允许完成正在进行的暴露，但应使操作者能够防止额外的暴露。</w:t>
      </w:r>
    </w:p>
    <w:p w14:paraId="321385B3">
      <w:pPr>
        <w:overflowPunct w:val="0"/>
        <w:snapToGrid w:val="0"/>
        <w:spacing w:after="240" w:line="300" w:lineRule="auto"/>
        <w:rPr>
          <w:rFonts w:ascii="Arial" w:hAnsi="Arial" w:eastAsia="宋体" w:cs="Arial"/>
          <w:sz w:val="24"/>
          <w:szCs w:val="24"/>
        </w:rPr>
      </w:pPr>
      <w:r>
        <w:rPr>
          <w:rFonts w:ascii="Arial" w:hAnsi="Arial" w:eastAsia="宋体" w:cs="Arial"/>
          <w:sz w:val="24"/>
          <w:szCs w:val="24"/>
        </w:rPr>
        <w:t>X射线行李系统必须有某种措施来确保操作人员处于操控状态，以便操作人员能够在X射线产生期间始终清楚地观察端口和门。</w:t>
      </w:r>
    </w:p>
    <w:p w14:paraId="4F9BB6B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“类似机场、火车站和公共汽车站的设施”一词包括任何公众人士为了检查其携带物品的安全性而进入的X射线系统。因此，办公楼、法院和学校使用的柜式X射线安全检查系统也受本节【21 CFR 1020.40（c）（10）】的约束。在控制操作区域内由经过训练的操作人员运输和卸载的柜式X射线系统不受本节的约束。</w:t>
      </w:r>
    </w:p>
    <w:p w14:paraId="3F79ECFD">
      <w:pPr>
        <w:widowControl/>
        <w:jc w:val="left"/>
        <w:rPr>
          <w:rFonts w:ascii="Arial" w:hAnsi="Arial" w:eastAsia="宋体" w:cs="Arial"/>
          <w:sz w:val="24"/>
          <w:szCs w:val="24"/>
        </w:rPr>
      </w:pPr>
      <w:r>
        <w:rPr>
          <w:rFonts w:ascii="Arial" w:hAnsi="Arial" w:eastAsia="宋体" w:cs="Arial"/>
          <w:sz w:val="24"/>
          <w:szCs w:val="24"/>
        </w:rPr>
        <w:br w:type="page"/>
      </w:r>
    </w:p>
    <w:p w14:paraId="4778EC3C">
      <w:pPr>
        <w:overflowPunct w:val="0"/>
        <w:snapToGrid w:val="0"/>
        <w:spacing w:after="240" w:line="300" w:lineRule="auto"/>
        <w:rPr>
          <w:rFonts w:ascii="Arial" w:hAnsi="Arial" w:eastAsia="宋体" w:cs="Arial"/>
          <w:i/>
          <w:sz w:val="24"/>
          <w:szCs w:val="24"/>
        </w:rPr>
      </w:pPr>
      <w:r>
        <w:rPr>
          <w:rFonts w:ascii="Arial" w:hAnsi="Arial" w:eastAsia="宋体" w:cs="Arial"/>
          <w:b/>
          <w:sz w:val="24"/>
          <w:szCs w:val="24"/>
        </w:rPr>
        <w:t>经过认证的系统的修改</w:t>
      </w:r>
      <w:r>
        <w:rPr>
          <w:rFonts w:ascii="Arial" w:hAnsi="Arial" w:eastAsia="宋体" w:cs="Arial"/>
          <w:sz w:val="24"/>
          <w:szCs w:val="24"/>
        </w:rPr>
        <w:t>【21 CFR 1020.40（d）】</w:t>
      </w:r>
      <w:r>
        <w:rPr>
          <w:rFonts w:ascii="Arial" w:hAnsi="Arial" w:eastAsia="宋体" w:cs="Arial"/>
          <w:i/>
          <w:sz w:val="24"/>
          <w:szCs w:val="24"/>
        </w:rPr>
        <w:t>根据法案规定，由任何从事生产、组装或改装柜式X射线系统业务的人员进行的，针对已经过1010.2认证的柜式X射线系统的修改，如果该修改影响了本部分适用要求下某部分的系统性能，则该修改应解释为生产行为。进行此类修改的制造商应按照本章1010.2和1010.3的规定重新认证和重新确定系统标识。</w:t>
      </w:r>
    </w:p>
    <w:p w14:paraId="70F33F88">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3" w:name="_Toc496890873"/>
      <w:r>
        <w:rPr>
          <w:rFonts w:ascii="Arial" w:hAnsi="Arial" w:eastAsia="宋体" w:cs="Arial"/>
          <w:b/>
          <w:sz w:val="32"/>
          <w:szCs w:val="32"/>
        </w:rPr>
        <w:t>记录和报告</w:t>
      </w:r>
      <w:bookmarkEnd w:id="13"/>
    </w:p>
    <w:p w14:paraId="3004882D">
      <w:pPr>
        <w:overflowPunct w:val="0"/>
        <w:snapToGrid w:val="0"/>
        <w:spacing w:line="300" w:lineRule="auto"/>
        <w:rPr>
          <w:rFonts w:ascii="Arial" w:hAnsi="Arial" w:eastAsia="宋体" w:cs="Arial"/>
          <w:sz w:val="24"/>
          <w:szCs w:val="24"/>
        </w:rPr>
      </w:pPr>
      <w:r>
        <w:rPr>
          <w:rFonts w:ascii="Arial" w:hAnsi="Arial" w:eastAsia="宋体" w:cs="Arial"/>
          <w:b/>
          <w:sz w:val="24"/>
          <w:szCs w:val="24"/>
        </w:rPr>
        <w:t>记录</w:t>
      </w:r>
      <w:r>
        <w:rPr>
          <w:rFonts w:ascii="Arial" w:hAnsi="Arial" w:eastAsia="宋体" w:cs="Arial"/>
          <w:sz w:val="24"/>
          <w:szCs w:val="24"/>
        </w:rPr>
        <w:t>【21 CFR 1002.30】</w:t>
      </w:r>
    </w:p>
    <w:p w14:paraId="5C4633CA">
      <w:pPr>
        <w:overflowPunct w:val="0"/>
        <w:snapToGrid w:val="0"/>
        <w:spacing w:line="300" w:lineRule="auto"/>
        <w:rPr>
          <w:rFonts w:ascii="Arial" w:hAnsi="Arial" w:eastAsia="宋体" w:cs="Arial"/>
          <w:i/>
          <w:sz w:val="24"/>
          <w:szCs w:val="24"/>
        </w:rPr>
      </w:pPr>
      <w:r>
        <w:rPr>
          <w:rFonts w:ascii="Arial" w:hAnsi="Arial" w:eastAsia="宋体" w:cs="Arial"/>
          <w:i/>
          <w:sz w:val="24"/>
          <w:szCs w:val="24"/>
        </w:rPr>
        <w:t>（a）1002.1表1所列产品的制造商应制定并维护有关产品的以下记录</w:t>
      </w:r>
    </w:p>
    <w:p w14:paraId="38FB526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（1）关于电子产品辐射安全的质量控制程序的说明。</w:t>
      </w:r>
    </w:p>
    <w:p w14:paraId="1C943F4A">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（2）电子产品辐射安全测试结果记录，包括不必要的、次要的、或泄漏的电子产品辐射的控制，这些测试中使用的方法，设备和程序，以及选择这些方法，设备，和程序的基础。</w:t>
      </w:r>
    </w:p>
    <w:p w14:paraId="5E363902">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（3）对于存在可能会增加电子产品辐射的老化效应的产品，应提供产品耐久性和稳定性试验结果的记录，以及选择这些试验的依据。</w:t>
      </w:r>
    </w:p>
    <w:p w14:paraId="6A9C96B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（4）制造商和经销商、分销商和采购商之间有关辐射安全的所有书面通信的副本，包括影响列表中产品的使用、修理、调整、维护或测试的所有投诉、调查、指导或说明。</w:t>
      </w:r>
    </w:p>
    <w:p w14:paraId="0B0214BC">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（5）有关生产和销售数量的数据（如</w:t>
      </w:r>
      <w:r>
        <w:rPr>
          <w:rFonts w:hint="eastAsia" w:ascii="Arial" w:hAnsi="Arial" w:eastAsia="宋体" w:cs="Arial"/>
          <w:i/>
          <w:sz w:val="24"/>
          <w:szCs w:val="24"/>
        </w:rPr>
        <w:t>可用</w:t>
      </w:r>
      <w:r>
        <w:rPr>
          <w:rFonts w:ascii="Arial" w:hAnsi="Arial" w:eastAsia="宋体" w:cs="Arial"/>
          <w:i/>
          <w:sz w:val="24"/>
          <w:szCs w:val="24"/>
        </w:rPr>
        <w:t>）。</w:t>
      </w:r>
    </w:p>
    <w:p w14:paraId="59BB4EF7">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（b）除本节（a）段所要求的记录外，【1002.1表1】所列出产品的制造商应制定并维护有关此类产品的以下记录：</w:t>
      </w:r>
    </w:p>
    <w:p w14:paraId="01D1408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（1）制造商直接销售给经销商的情况下，可以追踪分销商或经销商的产品或产品特定批次的制造商分销记录。</w:t>
      </w:r>
    </w:p>
    <w:p w14:paraId="0FAC639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（2）按照1002.41从经销商或分销商收到的记录。</w:t>
      </w:r>
    </w:p>
    <w:p w14:paraId="31432A07">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报告</w:t>
      </w:r>
      <w:r>
        <w:rPr>
          <w:rFonts w:ascii="Arial" w:hAnsi="Arial" w:eastAsia="宋体" w:cs="Arial"/>
          <w:sz w:val="24"/>
          <w:szCs w:val="24"/>
        </w:rPr>
        <w:t>【21 CFR 1002.1】</w:t>
      </w:r>
    </w:p>
    <w:p w14:paraId="3856FE5F">
      <w:pPr>
        <w:widowControl/>
        <w:jc w:val="left"/>
        <w:rPr>
          <w:rFonts w:ascii="Arial" w:hAnsi="Arial" w:eastAsia="宋体" w:cs="Arial"/>
          <w:sz w:val="24"/>
          <w:szCs w:val="24"/>
        </w:rPr>
      </w:pPr>
      <w:r>
        <w:rPr>
          <w:rFonts w:ascii="Arial" w:hAnsi="Arial" w:eastAsia="宋体" w:cs="Arial"/>
          <w:sz w:val="24"/>
          <w:szCs w:val="24"/>
        </w:rPr>
        <w:br w:type="page"/>
      </w:r>
    </w:p>
    <w:p w14:paraId="178BBA7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关于报告的要求及其适用性见于21 CFR 1002.1和相关表格。一般来说，柜式X射线系统的制造商都要遵守报告要求。</w:t>
      </w:r>
    </w:p>
    <w:p w14:paraId="7B4DCA6A">
      <w:pPr>
        <w:overflowPunct w:val="0"/>
        <w:snapToGrid w:val="0"/>
        <w:spacing w:line="300" w:lineRule="auto"/>
        <w:rPr>
          <w:rFonts w:ascii="Arial" w:hAnsi="Arial" w:eastAsia="宋体" w:cs="Arial"/>
          <w:sz w:val="24"/>
          <w:szCs w:val="24"/>
          <w:u w:val="single"/>
        </w:rPr>
      </w:pPr>
      <w:r>
        <w:rPr>
          <w:rFonts w:ascii="Arial" w:hAnsi="Arial" w:eastAsia="宋体" w:cs="Arial"/>
          <w:sz w:val="24"/>
          <w:szCs w:val="24"/>
          <w:u w:val="single"/>
        </w:rPr>
        <w:t>提交报告的地址</w:t>
      </w:r>
    </w:p>
    <w:p w14:paraId="30E0DD74">
      <w:pPr>
        <w:overflowPunct w:val="0"/>
        <w:snapToGrid w:val="0"/>
        <w:spacing w:line="300" w:lineRule="auto"/>
        <w:rPr>
          <w:rFonts w:ascii="Arial" w:hAnsi="Arial" w:eastAsia="宋体" w:cs="Arial"/>
          <w:sz w:val="24"/>
          <w:szCs w:val="24"/>
        </w:rPr>
      </w:pPr>
      <w:r>
        <w:rPr>
          <w:rFonts w:ascii="Arial" w:hAnsi="Arial" w:eastAsia="宋体" w:cs="Arial"/>
          <w:sz w:val="24"/>
          <w:szCs w:val="24"/>
        </w:rPr>
        <w:t>您应该将产品、补充文件和年度报告发送到：</w:t>
      </w:r>
    </w:p>
    <w:p w14:paraId="37647157">
      <w:pPr>
        <w:overflowPunct w:val="0"/>
        <w:snapToGrid w:val="0"/>
        <w:spacing w:line="300" w:lineRule="auto"/>
        <w:ind w:firstLine="708" w:firstLineChars="295"/>
        <w:rPr>
          <w:rFonts w:ascii="Arial" w:hAnsi="Arial" w:eastAsia="宋体" w:cs="Arial"/>
          <w:sz w:val="24"/>
          <w:szCs w:val="24"/>
        </w:rPr>
      </w:pPr>
      <w:bookmarkStart w:id="14" w:name="OLE_LINK5"/>
      <w:bookmarkStart w:id="15" w:name="OLE_LINK2"/>
      <w:r>
        <w:rPr>
          <w:rFonts w:ascii="Arial" w:hAnsi="Arial" w:eastAsia="宋体" w:cs="Arial"/>
          <w:sz w:val="24"/>
          <w:szCs w:val="24"/>
        </w:rPr>
        <w:t>器械和放射卫生中心</w:t>
      </w:r>
    </w:p>
    <w:p w14:paraId="235CF132">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ATTN：电子产品报告</w:t>
      </w:r>
    </w:p>
    <w:p w14:paraId="3F9DD5CB">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放射卫生文件控制（HFZ-309）</w:t>
      </w:r>
    </w:p>
    <w:p w14:paraId="251FA34A">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沟通、培训和辐射项目办公室</w:t>
      </w:r>
      <w:r>
        <w:rPr>
          <w:rStyle w:val="12"/>
          <w:rFonts w:ascii="Arial" w:hAnsi="Arial" w:eastAsia="宋体" w:cs="Arial"/>
          <w:sz w:val="24"/>
          <w:szCs w:val="24"/>
        </w:rPr>
        <w:footnoteReference w:id="2"/>
      </w:r>
    </w:p>
    <w:p w14:paraId="49C81FDB">
      <w:pPr>
        <w:overflowPunct w:val="0"/>
        <w:snapToGrid w:val="0"/>
        <w:spacing w:line="300" w:lineRule="auto"/>
        <w:ind w:firstLine="708" w:firstLineChars="295"/>
        <w:rPr>
          <w:rFonts w:ascii="Arial" w:hAnsi="Arial" w:eastAsia="宋体" w:cs="Arial"/>
          <w:sz w:val="24"/>
          <w:szCs w:val="24"/>
        </w:rPr>
      </w:pPr>
      <w:r>
        <w:rPr>
          <w:rFonts w:ascii="Arial" w:hAnsi="Arial" w:eastAsia="宋体" w:cs="Arial"/>
          <w:sz w:val="24"/>
          <w:szCs w:val="24"/>
        </w:rPr>
        <w:t>9200 Corporate Blvd</w:t>
      </w:r>
    </w:p>
    <w:p w14:paraId="1D7AE376">
      <w:pPr>
        <w:overflowPunct w:val="0"/>
        <w:snapToGrid w:val="0"/>
        <w:spacing w:after="240" w:line="300" w:lineRule="auto"/>
        <w:ind w:firstLine="708" w:firstLineChars="295"/>
        <w:rPr>
          <w:rFonts w:ascii="Arial" w:hAnsi="Arial" w:eastAsia="宋体" w:cs="Arial"/>
          <w:sz w:val="24"/>
          <w:szCs w:val="24"/>
        </w:rPr>
      </w:pPr>
      <w:r>
        <w:rPr>
          <w:rFonts w:ascii="Arial" w:hAnsi="Arial" w:eastAsia="宋体" w:cs="Arial"/>
          <w:sz w:val="24"/>
          <w:szCs w:val="24"/>
        </w:rPr>
        <w:t>Rockville，MD 20850</w:t>
      </w:r>
    </w:p>
    <w:bookmarkEnd w:id="14"/>
    <w:bookmarkEnd w:id="15"/>
    <w:p w14:paraId="354CA4ED">
      <w:pPr>
        <w:overflowPunct w:val="0"/>
        <w:snapToGrid w:val="0"/>
        <w:spacing w:line="300" w:lineRule="auto"/>
        <w:ind w:firstLine="708" w:firstLineChars="295"/>
        <w:rPr>
          <w:rFonts w:ascii="Arial" w:hAnsi="Arial" w:eastAsia="宋体" w:cs="Arial"/>
          <w:sz w:val="24"/>
          <w:szCs w:val="24"/>
          <w:u w:val="single"/>
        </w:rPr>
      </w:pPr>
      <w:r>
        <w:rPr>
          <w:rFonts w:ascii="Arial" w:hAnsi="Arial" w:eastAsia="宋体" w:cs="Arial"/>
          <w:sz w:val="24"/>
          <w:szCs w:val="24"/>
          <w:u w:val="single"/>
        </w:rPr>
        <w:t>电子报告选项</w:t>
      </w:r>
    </w:p>
    <w:p w14:paraId="5044A0BE">
      <w:pPr>
        <w:overflowPunct w:val="0"/>
        <w:snapToGrid w:val="0"/>
        <w:spacing w:line="300" w:lineRule="auto"/>
        <w:ind w:left="709" w:leftChars="337" w:hanging="1"/>
      </w:pPr>
      <w:r>
        <w:rPr>
          <w:rFonts w:ascii="Arial" w:hAnsi="Arial" w:eastAsia="宋体" w:cs="Arial"/>
          <w:sz w:val="24"/>
          <w:szCs w:val="24"/>
        </w:rPr>
        <w:t>制造商也可以使用CeSub eSubmitter软件以电子版形式填写和提交报告和通信。下载CeSub eSubmitter软件，并按照该软件附带的说明进行操作。有关CeSub eSubmitter软件的更多信息，请访问FDA网站。</w:t>
      </w:r>
    </w:p>
    <w:p w14:paraId="73D777CE">
      <w:pPr>
        <w:overflowPunct w:val="0"/>
        <w:snapToGrid w:val="0"/>
        <w:spacing w:line="300" w:lineRule="auto"/>
        <w:ind w:left="709" w:leftChars="337" w:hanging="1"/>
        <w:rPr>
          <w:rFonts w:ascii="Arial" w:hAnsi="Arial" w:cs="Arial"/>
          <w:color w:val="0000FF"/>
          <w:sz w:val="23"/>
          <w:szCs w:val="23"/>
          <w:u w:val="single"/>
        </w:rPr>
      </w:pPr>
      <w:r>
        <w:rPr>
          <w:rFonts w:ascii="Arial" w:hAnsi="Arial" w:cs="Arial"/>
          <w:color w:val="0000FF"/>
          <w:sz w:val="23"/>
          <w:szCs w:val="23"/>
          <w:u w:val="single"/>
        </w:rPr>
        <w:t>http://www.fda.gov/cdrh/</w:t>
      </w:r>
      <w:r>
        <w:rPr>
          <w:rFonts w:ascii="Arial" w:hAnsi="Arial" w:eastAsia="宋体" w:cs="Arial"/>
          <w:color w:val="0000FF"/>
          <w:sz w:val="24"/>
          <w:szCs w:val="24"/>
          <w:u w:val="single"/>
        </w:rPr>
        <w:t>cesub</w:t>
      </w:r>
      <w:r>
        <w:rPr>
          <w:rFonts w:ascii="Arial" w:hAnsi="Arial" w:cs="Arial"/>
          <w:color w:val="0000FF"/>
          <w:sz w:val="23"/>
          <w:szCs w:val="23"/>
          <w:u w:val="single"/>
        </w:rPr>
        <w:t>/</w:t>
      </w:r>
    </w:p>
    <w:p w14:paraId="3E942E76">
      <w:pPr>
        <w:overflowPunct w:val="0"/>
        <w:snapToGrid w:val="0"/>
        <w:spacing w:line="300" w:lineRule="auto"/>
        <w:rPr>
          <w:rFonts w:ascii="Arial" w:hAnsi="Arial" w:eastAsia="宋体" w:cs="Arial"/>
          <w:sz w:val="24"/>
          <w:szCs w:val="24"/>
        </w:rPr>
      </w:pPr>
    </w:p>
    <w:p w14:paraId="5FAF99A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产品报告【21 CFR 1002.10】</w:t>
      </w:r>
    </w:p>
    <w:p w14:paraId="07FBB418">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在产品上市前，产品或组件的所有制造商均需要按照要求向器械和放射卫生中心提供1002.1表1所列的产品报告【ATTN：电子产品报告；放射卫生文件控制（HFZ-309）；沟通、培训和辐射项目办公室；9200 Corporate Blvd；Rockville，MD 20850】。</w:t>
      </w:r>
    </w:p>
    <w:p w14:paraId="3D1E4903">
      <w:pPr>
        <w:overflowPunct w:val="0"/>
        <w:snapToGrid w:val="0"/>
        <w:spacing w:after="240" w:line="300" w:lineRule="auto"/>
        <w:rPr>
          <w:rFonts w:ascii="Arial" w:hAnsi="Arial" w:cs="Arial"/>
          <w:sz w:val="24"/>
          <w:szCs w:val="24"/>
        </w:rPr>
      </w:pPr>
      <w:r>
        <w:rPr>
          <w:rFonts w:ascii="Arial" w:hAnsi="Arial" w:eastAsia="宋体" w:cs="Arial"/>
          <w:sz w:val="24"/>
          <w:szCs w:val="24"/>
        </w:rPr>
        <w:t>柜式X射线系统的制造商必须在产品上市前提交产品报告。产品报告旨在描述该产品、是否符合性能标准、以及用于认证产品的质量控制和测试程序【21 CFR 1002.10】。产品报告的格式和内容的相关描述见于报告指南“根据21 CFR 1020.40的要求提交柜式X射线系统报告的指南”。</w:t>
      </w:r>
      <w:r>
        <w:rPr>
          <w:rFonts w:hint="eastAsia" w:ascii="Arial" w:hAnsi="Arial" w:eastAsia="宋体" w:cs="Arial"/>
          <w:sz w:val="24"/>
          <w:szCs w:val="24"/>
        </w:rPr>
        <w:br w:type="textWrapping"/>
      </w:r>
      <w:r>
        <w:rPr>
          <w:rFonts w:ascii="Arial" w:hAnsi="Arial" w:cs="Arial"/>
          <w:sz w:val="24"/>
          <w:szCs w:val="24"/>
        </w:rPr>
        <w:t>(</w:t>
      </w:r>
      <w:r>
        <w:rPr>
          <w:rFonts w:ascii="Arial" w:hAnsi="Arial" w:cs="Arial"/>
          <w:color w:val="0000FF"/>
          <w:sz w:val="24"/>
          <w:szCs w:val="24"/>
          <w:u w:val="single"/>
        </w:rPr>
        <w:t>http://www.fda.gov/cdrh/radhlth/pdf/cabrpt01.pdf</w:t>
      </w:r>
      <w:r>
        <w:rPr>
          <w:rFonts w:ascii="Arial" w:hAnsi="Arial" w:cs="Arial"/>
          <w:sz w:val="24"/>
          <w:szCs w:val="24"/>
        </w:rPr>
        <w:t>)</w:t>
      </w:r>
    </w:p>
    <w:p w14:paraId="4DF47E5A">
      <w:pPr>
        <w:overflowPunct w:val="0"/>
        <w:snapToGrid w:val="0"/>
        <w:spacing w:line="300" w:lineRule="auto"/>
        <w:rPr>
          <w:rFonts w:ascii="Arial" w:hAnsi="Arial" w:eastAsia="宋体" w:cs="Arial"/>
          <w:i/>
          <w:sz w:val="24"/>
          <w:szCs w:val="24"/>
        </w:rPr>
      </w:pPr>
      <w:r>
        <w:rPr>
          <w:rFonts w:ascii="Arial" w:hAnsi="Arial" w:eastAsia="宋体" w:cs="Arial"/>
          <w:sz w:val="24"/>
          <w:szCs w:val="24"/>
          <w:u w:val="single"/>
        </w:rPr>
        <w:t>补充报告</w:t>
      </w:r>
      <w:r>
        <w:rPr>
          <w:rFonts w:ascii="Arial" w:hAnsi="Arial" w:eastAsia="宋体" w:cs="Arial"/>
          <w:sz w:val="24"/>
          <w:szCs w:val="24"/>
        </w:rPr>
        <w:t>【21 CFR 1002.11】</w:t>
      </w:r>
      <w:r>
        <w:rPr>
          <w:rFonts w:ascii="Arial" w:hAnsi="Arial" w:eastAsia="宋体" w:cs="Arial"/>
          <w:i/>
          <w:sz w:val="24"/>
          <w:szCs w:val="24"/>
        </w:rPr>
        <w:t>在1002.1的表1所列产品的某种型号或系列中引入新的或修改的需要1002.10报告的型号之前，所有制造商应提交关于新的或修改后模式的报告，描述已提交的产品报告中的信息是否有任何变化。需要进行以下更改的报告：</w:t>
      </w:r>
    </w:p>
    <w:p w14:paraId="155C5AF8">
      <w:pPr>
        <w:overflowPunct w:val="0"/>
        <w:snapToGrid w:val="0"/>
        <w:spacing w:line="300" w:lineRule="auto"/>
        <w:rPr>
          <w:rFonts w:ascii="Arial" w:hAnsi="Arial" w:eastAsia="宋体" w:cs="Arial"/>
          <w:i/>
          <w:sz w:val="24"/>
          <w:szCs w:val="24"/>
        </w:rPr>
      </w:pPr>
      <w:r>
        <w:rPr>
          <w:rFonts w:ascii="Arial" w:hAnsi="Arial" w:eastAsia="宋体" w:cs="Arial"/>
          <w:i/>
          <w:sz w:val="24"/>
          <w:szCs w:val="24"/>
        </w:rPr>
        <w:t>（a）影响实际或潜在的辐射发射。</w:t>
      </w:r>
    </w:p>
    <w:p w14:paraId="131A9A9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（b）影响符合辐射安全测试标准或辐射安全性测试方式。</w:t>
      </w:r>
    </w:p>
    <w:p w14:paraId="3C0ADE6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补充报告描述了制造商产品报告中报告的模型和/或程序的变化。补充报告的格式和内容遵循与产品报告相同的格式。</w:t>
      </w:r>
    </w:p>
    <w:p w14:paraId="2262EE23">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年度报告</w:t>
      </w:r>
      <w:r>
        <w:rPr>
          <w:rFonts w:ascii="Arial" w:hAnsi="Arial" w:eastAsia="宋体" w:cs="Arial"/>
          <w:sz w:val="24"/>
          <w:szCs w:val="24"/>
        </w:rPr>
        <w:t>【21 CFR 1002.13】</w:t>
      </w:r>
    </w:p>
    <w:p w14:paraId="626C4E14">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（a）需要提交1002.1表1中所规定的年度报告的产品制造商应提交总结1002.30（a）所需记录内容的年度报告，并提供生产、销售或安装的产品数量信息。</w:t>
      </w:r>
    </w:p>
    <w:p w14:paraId="6FFC338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（b）报告应于9月1日前提交。此类报告应包括报告截止日期的6月30日为止的12个月期间的数据。</w:t>
      </w:r>
    </w:p>
    <w:p w14:paraId="64C19AF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（c）某型号系列不涉及辐射改变或性能标准要求改变的新型号在进入市场之前不需要补充报告。这些型号应在年度报告的季度更新中报告。</w:t>
      </w:r>
    </w:p>
    <w:p w14:paraId="7D0805C5">
      <w:pPr>
        <w:overflowPunct w:val="0"/>
        <w:snapToGrid w:val="0"/>
        <w:spacing w:line="300" w:lineRule="auto"/>
      </w:pPr>
      <w:r>
        <w:rPr>
          <w:rFonts w:ascii="Arial" w:hAnsi="Arial" w:eastAsia="宋体" w:cs="Arial"/>
          <w:sz w:val="24"/>
          <w:szCs w:val="24"/>
        </w:rPr>
        <w:t>柜式X射线系统制造商必须在每年的9月1日前提交年度报告。该报告应涵盖了上一年7月至提交年份6月30日期间在美国生产和认证的所有产品。年度报告的格式和内容的相关描述见于报告指南“X射线组件和系统年度报告指南”。</w:t>
      </w:r>
    </w:p>
    <w:p w14:paraId="37D243BD">
      <w:pPr>
        <w:pStyle w:val="18"/>
        <w:spacing w:after="240"/>
        <w:rPr>
          <w:rFonts w:ascii="Arial" w:hAnsi="Arial" w:cs="Arial"/>
        </w:rPr>
      </w:pPr>
      <w:r>
        <w:rPr>
          <w:rFonts w:ascii="Arial" w:hAnsi="Arial" w:cs="Arial"/>
        </w:rPr>
        <w:t>(</w:t>
      </w:r>
      <w:r>
        <w:rPr>
          <w:rFonts w:ascii="Arial" w:hAnsi="Arial" w:cs="Arial"/>
          <w:color w:val="0000FF"/>
          <w:u w:val="single"/>
        </w:rPr>
        <w:t>http://www.fda.gov/cdrh/radhlth/pdf/xrcrpt0a.pdf</w:t>
      </w:r>
      <w:r>
        <w:rPr>
          <w:rFonts w:ascii="Arial" w:hAnsi="Arial" w:cs="Arial"/>
        </w:rPr>
        <w:t>)</w:t>
      </w:r>
    </w:p>
    <w:p w14:paraId="0AF2CA3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年度报告指南介绍了两种测试总结格式。一般来说，您应该根据定量测量的数值结果将辐射测试结果报告为直方图。大多数其他测试和检查都可以使用已执行/未执行的方式进行报告。</w:t>
      </w:r>
    </w:p>
    <w:p w14:paraId="1F4555D0">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6" w:name="_Toc496890874"/>
      <w:r>
        <w:rPr>
          <w:rFonts w:ascii="Arial" w:hAnsi="Arial" w:eastAsia="宋体" w:cs="Arial"/>
          <w:b/>
          <w:sz w:val="32"/>
          <w:szCs w:val="32"/>
        </w:rPr>
        <w:t>事故报告和召回</w:t>
      </w:r>
      <w:bookmarkEnd w:id="16"/>
    </w:p>
    <w:p w14:paraId="25C4ABBF">
      <w:pPr>
        <w:overflowPunct w:val="0"/>
        <w:snapToGrid w:val="0"/>
        <w:spacing w:line="300" w:lineRule="auto"/>
        <w:rPr>
          <w:rFonts w:ascii="Arial" w:hAnsi="Arial" w:eastAsia="宋体" w:cs="Arial"/>
          <w:b/>
          <w:sz w:val="24"/>
          <w:szCs w:val="24"/>
        </w:rPr>
      </w:pPr>
      <w:r>
        <w:rPr>
          <w:rFonts w:ascii="Arial" w:hAnsi="Arial" w:eastAsia="宋体" w:cs="Arial"/>
          <w:b/>
          <w:sz w:val="24"/>
          <w:szCs w:val="24"/>
        </w:rPr>
        <w:t>事故报告</w:t>
      </w:r>
    </w:p>
    <w:p w14:paraId="04FD8007">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意外辐射事件报告</w:t>
      </w:r>
      <w:r>
        <w:rPr>
          <w:rFonts w:ascii="Arial" w:hAnsi="Arial" w:eastAsia="宋体" w:cs="Arial"/>
          <w:sz w:val="24"/>
          <w:szCs w:val="24"/>
        </w:rPr>
        <w:t xml:space="preserve"> 【21 CFR 1002.20（a）】</w:t>
      </w:r>
    </w:p>
    <w:p w14:paraId="0CC249BB">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电子产品制造商应在有合理理由怀疑发生此类事件的情况下立即向器械和放射卫生中心主任报告制造商接收报告或以其他方式知道的，或在制造、测试、或使用由该制造商引入或打算引入商业的任何产品的过程中发生的所有意外辐射事件。合理理由包括但不限于专业的、科学的或医学事实，或文献记载的其他意见，得出结论或可以推导得出这种事件已经发生的结论。</w:t>
      </w:r>
    </w:p>
    <w:p w14:paraId="72ED2FDC">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柜式X射线系统的制造商必须立即向器械和放射卫生中心主任报告意外辐射事件（ARO）：</w:t>
      </w:r>
    </w:p>
    <w:p w14:paraId="6AF53B03">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器械和放射卫生中心</w:t>
      </w:r>
    </w:p>
    <w:p w14:paraId="5CE5D76D">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ATTN：意外辐射事件报告</w:t>
      </w:r>
    </w:p>
    <w:p w14:paraId="78865BD1">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放射卫生文件控制（HFZ-240）</w:t>
      </w:r>
    </w:p>
    <w:p w14:paraId="557D5E5B">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沟通、培训和辐射项目办公室</w:t>
      </w:r>
      <w:r>
        <w:rPr>
          <w:rStyle w:val="12"/>
          <w:rFonts w:ascii="Arial" w:hAnsi="Arial" w:eastAsia="宋体" w:cs="Arial"/>
          <w:sz w:val="24"/>
          <w:szCs w:val="24"/>
        </w:rPr>
        <w:footnoteReference w:id="3"/>
      </w:r>
    </w:p>
    <w:p w14:paraId="4BD4E57E">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10903 New Hampshire Avenue</w:t>
      </w:r>
    </w:p>
    <w:p w14:paraId="42166B2A">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Silver Spring, MD 20993</w:t>
      </w:r>
    </w:p>
    <w:p w14:paraId="302CE6AE">
      <w:pPr>
        <w:overflowPunct w:val="0"/>
        <w:snapToGrid w:val="0"/>
        <w:spacing w:line="300" w:lineRule="auto"/>
        <w:rPr>
          <w:rFonts w:ascii="Arial" w:hAnsi="Arial" w:eastAsia="宋体" w:cs="Arial"/>
          <w:sz w:val="24"/>
          <w:szCs w:val="24"/>
        </w:rPr>
      </w:pPr>
      <w:r>
        <w:rPr>
          <w:rFonts w:ascii="Arial" w:hAnsi="Arial" w:eastAsia="宋体" w:cs="Arial"/>
          <w:sz w:val="24"/>
          <w:szCs w:val="24"/>
        </w:rPr>
        <w:t>制造商也可以使用CeSub eSubmitter软件以电子版形式填写和提交ARO报告和通信。下载CeSub eSubmitter软件，并按照该软件附带的说明进行操作。有关CeSub eSubmitter软件的更多信息，请访问FDA网站。</w:t>
      </w:r>
    </w:p>
    <w:p w14:paraId="5C24FA54">
      <w:pPr>
        <w:pStyle w:val="18"/>
        <w:snapToGrid w:val="0"/>
        <w:spacing w:after="240"/>
        <w:rPr>
          <w:rFonts w:ascii="Arial" w:hAnsi="Arial" w:cs="Arial"/>
          <w:color w:val="0000FF"/>
        </w:rPr>
      </w:pPr>
      <w:r>
        <w:rPr>
          <w:rFonts w:ascii="Arial" w:hAnsi="Arial" w:cs="Arial"/>
          <w:color w:val="0000FF"/>
          <w:u w:val="single"/>
        </w:rPr>
        <w:t>http://www.fda.gov/cdrh/cesub/</w:t>
      </w:r>
    </w:p>
    <w:p w14:paraId="5E78C786">
      <w:pPr>
        <w:overflowPunct w:val="0"/>
        <w:snapToGrid w:val="0"/>
        <w:spacing w:line="300" w:lineRule="auto"/>
        <w:rPr>
          <w:rFonts w:ascii="Arial" w:hAnsi="Arial" w:eastAsia="宋体" w:cs="Arial"/>
          <w:sz w:val="24"/>
          <w:szCs w:val="24"/>
        </w:rPr>
      </w:pPr>
      <w:r>
        <w:rPr>
          <w:rFonts w:ascii="Arial" w:hAnsi="Arial" w:eastAsia="宋体" w:cs="Arial"/>
          <w:sz w:val="24"/>
          <w:szCs w:val="24"/>
        </w:rPr>
        <w:t>【21 CFR 1002.20（b）】ARO报告应包含制造商已知的所有以下信息：</w:t>
      </w:r>
    </w:p>
    <w:p w14:paraId="2C4F7C4A">
      <w:pPr>
        <w:overflowPunct w:val="0"/>
        <w:snapToGrid w:val="0"/>
        <w:spacing w:line="300" w:lineRule="auto"/>
        <w:rPr>
          <w:rFonts w:ascii="Arial" w:hAnsi="Arial" w:eastAsia="宋体" w:cs="Arial"/>
          <w:sz w:val="24"/>
          <w:szCs w:val="24"/>
        </w:rPr>
      </w:pPr>
      <w:r>
        <w:rPr>
          <w:rFonts w:ascii="Arial" w:hAnsi="Arial" w:eastAsia="宋体" w:cs="Arial"/>
          <w:sz w:val="24"/>
          <w:szCs w:val="24"/>
        </w:rPr>
        <w:t>（1）意外辐射发生的性质；</w:t>
      </w:r>
    </w:p>
    <w:p w14:paraId="7A6419EC">
      <w:pPr>
        <w:overflowPunct w:val="0"/>
        <w:snapToGrid w:val="0"/>
        <w:spacing w:line="300" w:lineRule="auto"/>
        <w:rPr>
          <w:rFonts w:ascii="Arial" w:hAnsi="Arial" w:eastAsia="宋体" w:cs="Arial"/>
          <w:sz w:val="24"/>
          <w:szCs w:val="24"/>
        </w:rPr>
      </w:pPr>
      <w:r>
        <w:rPr>
          <w:rFonts w:ascii="Arial" w:hAnsi="Arial" w:eastAsia="宋体" w:cs="Arial"/>
          <w:sz w:val="24"/>
          <w:szCs w:val="24"/>
        </w:rPr>
        <w:t>（2）发生意外辐射的地点；</w:t>
      </w:r>
    </w:p>
    <w:p w14:paraId="502FDAA6">
      <w:pPr>
        <w:overflowPunct w:val="0"/>
        <w:snapToGrid w:val="0"/>
        <w:spacing w:line="300" w:lineRule="auto"/>
        <w:rPr>
          <w:rFonts w:ascii="Arial" w:hAnsi="Arial" w:eastAsia="宋体" w:cs="Arial"/>
          <w:sz w:val="24"/>
          <w:szCs w:val="24"/>
        </w:rPr>
      </w:pPr>
      <w:r>
        <w:rPr>
          <w:rFonts w:ascii="Arial" w:hAnsi="Arial" w:eastAsia="宋体" w:cs="Arial"/>
          <w:sz w:val="24"/>
          <w:szCs w:val="24"/>
        </w:rPr>
        <w:t>（3）涉及的电子产品或产品的制造商，类型和型号；</w:t>
      </w:r>
    </w:p>
    <w:p w14:paraId="07312D48">
      <w:pPr>
        <w:overflowPunct w:val="0"/>
        <w:snapToGrid w:val="0"/>
        <w:spacing w:line="300" w:lineRule="auto"/>
        <w:rPr>
          <w:rFonts w:ascii="Arial" w:hAnsi="Arial" w:eastAsia="宋体" w:cs="Arial"/>
          <w:sz w:val="24"/>
          <w:szCs w:val="24"/>
        </w:rPr>
      </w:pPr>
      <w:r>
        <w:rPr>
          <w:rFonts w:ascii="Arial" w:hAnsi="Arial" w:eastAsia="宋体" w:cs="Arial"/>
          <w:sz w:val="24"/>
          <w:szCs w:val="24"/>
        </w:rPr>
        <w:t>（4）意外辐射事件的情况，包括原因；</w:t>
      </w:r>
    </w:p>
    <w:p w14:paraId="04A2C87A">
      <w:pPr>
        <w:overflowPunct w:val="0"/>
        <w:snapToGrid w:val="0"/>
        <w:spacing w:line="300" w:lineRule="auto"/>
        <w:rPr>
          <w:rFonts w:ascii="Arial" w:hAnsi="Arial" w:eastAsia="宋体" w:cs="Arial"/>
          <w:sz w:val="24"/>
          <w:szCs w:val="24"/>
        </w:rPr>
      </w:pPr>
      <w:r>
        <w:rPr>
          <w:rFonts w:ascii="Arial" w:hAnsi="Arial" w:eastAsia="宋体" w:cs="Arial"/>
          <w:sz w:val="24"/>
          <w:szCs w:val="24"/>
        </w:rPr>
        <w:t>（5）在意外辐射事件期间涉及的、产生不利影响的、或暴露的人数，其暴露和/或伤害的性质和严重程度，如果器械和放射卫生中心主任要求，还应提供涉及人员姓名。</w:t>
      </w:r>
    </w:p>
    <w:p w14:paraId="65E0F5A5">
      <w:pPr>
        <w:overflowPunct w:val="0"/>
        <w:snapToGrid w:val="0"/>
        <w:spacing w:line="300" w:lineRule="auto"/>
        <w:rPr>
          <w:rFonts w:ascii="Arial" w:hAnsi="Arial" w:eastAsia="宋体" w:cs="Arial"/>
          <w:sz w:val="24"/>
          <w:szCs w:val="24"/>
        </w:rPr>
      </w:pPr>
      <w:r>
        <w:rPr>
          <w:rFonts w:ascii="Arial" w:hAnsi="Arial" w:eastAsia="宋体" w:cs="Arial"/>
          <w:sz w:val="24"/>
          <w:szCs w:val="24"/>
        </w:rPr>
        <w:t>（6）制造商可能采取的用于控制、纠正或消除事故原因，防止再次发生的行为；和</w:t>
      </w:r>
    </w:p>
    <w:p w14:paraId="023CB66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（7）关于意外辐射事件的任何其他相关信息。</w:t>
      </w:r>
    </w:p>
    <w:p w14:paraId="7F49259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如果涉及ARO的事件与辐射安全缺陷相关或不符合性能标准，并应根据21 CFR 1003.10（见下一节）提供报告，则不需要根据21 CFR 1002.20提供独立ARO报告。</w:t>
      </w:r>
    </w:p>
    <w:p w14:paraId="343552D4">
      <w:pPr>
        <w:overflowPunct w:val="0"/>
        <w:snapToGrid w:val="0"/>
        <w:spacing w:after="240" w:line="300" w:lineRule="auto"/>
        <w:rPr>
          <w:rFonts w:ascii="Arial" w:hAnsi="Arial" w:eastAsia="宋体" w:cs="Arial"/>
          <w:sz w:val="24"/>
          <w:szCs w:val="24"/>
        </w:rPr>
      </w:pPr>
      <w:r>
        <w:rPr>
          <w:rFonts w:ascii="Arial" w:hAnsi="Arial" w:eastAsia="宋体" w:cs="Arial"/>
          <w:b/>
          <w:sz w:val="24"/>
          <w:szCs w:val="24"/>
        </w:rPr>
        <w:t>召回</w:t>
      </w:r>
      <w:r>
        <w:rPr>
          <w:rFonts w:ascii="Arial" w:hAnsi="Arial" w:eastAsia="宋体" w:cs="Arial"/>
          <w:sz w:val="24"/>
          <w:szCs w:val="24"/>
        </w:rPr>
        <w:t>【21 CFR</w:t>
      </w:r>
      <w:r>
        <w:rPr>
          <w:rFonts w:hint="eastAsia" w:ascii="Arial" w:hAnsi="Arial" w:eastAsia="宋体" w:cs="Arial"/>
          <w:sz w:val="24"/>
          <w:szCs w:val="24"/>
        </w:rPr>
        <w:t>第</w:t>
      </w:r>
      <w:r>
        <w:rPr>
          <w:rFonts w:ascii="Arial" w:hAnsi="Arial" w:eastAsia="宋体" w:cs="Arial"/>
          <w:sz w:val="24"/>
          <w:szCs w:val="24"/>
        </w:rPr>
        <w:t>1003</w:t>
      </w:r>
      <w:r>
        <w:rPr>
          <w:rFonts w:hint="eastAsia" w:ascii="Arial" w:hAnsi="Arial" w:eastAsia="宋体" w:cs="Arial"/>
          <w:sz w:val="24"/>
          <w:szCs w:val="24"/>
        </w:rPr>
        <w:t>和</w:t>
      </w:r>
      <w:r>
        <w:rPr>
          <w:rFonts w:ascii="Arial" w:hAnsi="Arial" w:eastAsia="宋体" w:cs="Arial"/>
          <w:sz w:val="24"/>
          <w:szCs w:val="24"/>
        </w:rPr>
        <w:t>1004</w:t>
      </w:r>
      <w:r>
        <w:rPr>
          <w:rFonts w:hint="eastAsia" w:ascii="Arial" w:hAnsi="Arial" w:eastAsia="宋体" w:cs="Arial"/>
          <w:sz w:val="24"/>
          <w:szCs w:val="24"/>
        </w:rPr>
        <w:t>部分</w:t>
      </w:r>
      <w:r>
        <w:rPr>
          <w:rFonts w:ascii="Arial" w:hAnsi="Arial" w:eastAsia="宋体" w:cs="Arial"/>
          <w:sz w:val="24"/>
          <w:szCs w:val="24"/>
        </w:rPr>
        <w:t>】</w:t>
      </w:r>
    </w:p>
    <w:p w14:paraId="1FBD9395">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发现问题和通知</w:t>
      </w:r>
      <w:r>
        <w:rPr>
          <w:rFonts w:ascii="Arial" w:hAnsi="Arial" w:eastAsia="宋体" w:cs="Arial"/>
          <w:sz w:val="24"/>
          <w:szCs w:val="24"/>
        </w:rPr>
        <w:t>【21 CFR 1003.10】</w:t>
      </w:r>
    </w:p>
    <w:p w14:paraId="16A75F2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如果制造商发现其生产、组装或进口的，已经离开制造商的电子产品存在缺陷或不符合适用的联邦标准：</w:t>
      </w:r>
    </w:p>
    <w:p w14:paraId="68ACB4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（a）立即根据1003.20通知委员会</w:t>
      </w:r>
    </w:p>
    <w:p w14:paraId="4489222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 xml:space="preserve">（b）除经1003.30授权之外，应及时通知以下人员：  </w:t>
      </w:r>
    </w:p>
    <w:p w14:paraId="44D5B52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（1）制造商交付此类产品的经销商或分销商；和</w:t>
      </w:r>
    </w:p>
    <w:p w14:paraId="702C09F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（2）该产品的买方以及该产品的任何后续受让人（如果制造商知晓，或制造商通过对经销商，分销商或买方进行合理查询后可以识别当前用户）。</w:t>
      </w:r>
    </w:p>
    <w:p w14:paraId="31233752">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如果制造商发现其生产、组装或进口的，已经离开制造商的电子产品存在缺陷【21 CFR 1003.2】或不符合适用的联邦标准，则根据21 CFR 1003.20的要求制造商必须立即通知FDA。除非请求和获得批准了【21 CFR 1003.30和1003.31】的豁免，否则制造商还应按照21 CFR 1003.21的要求，及时向下列人员提供通知：</w:t>
      </w:r>
    </w:p>
    <w:p w14:paraId="7904CD38">
      <w:pPr>
        <w:pStyle w:val="13"/>
        <w:numPr>
          <w:ilvl w:val="0"/>
          <w:numId w:val="14"/>
        </w:numPr>
        <w:overflowPunct w:val="0"/>
        <w:snapToGrid w:val="0"/>
        <w:spacing w:after="240" w:line="300" w:lineRule="auto"/>
        <w:ind w:left="851" w:hanging="425" w:firstLineChars="0"/>
        <w:rPr>
          <w:rFonts w:ascii="Arial" w:hAnsi="Arial" w:eastAsia="宋体" w:cs="Arial"/>
          <w:sz w:val="24"/>
          <w:szCs w:val="24"/>
        </w:rPr>
      </w:pPr>
      <w:r>
        <w:rPr>
          <w:rFonts w:ascii="Arial" w:hAnsi="Arial" w:eastAsia="宋体" w:cs="Arial"/>
          <w:sz w:val="24"/>
          <w:szCs w:val="24"/>
        </w:rPr>
        <w:t>制造商交付此类产品的经销商或分销商；和</w:t>
      </w:r>
    </w:p>
    <w:p w14:paraId="4841D23B">
      <w:pPr>
        <w:pStyle w:val="13"/>
        <w:numPr>
          <w:ilvl w:val="0"/>
          <w:numId w:val="14"/>
        </w:numPr>
        <w:overflowPunct w:val="0"/>
        <w:snapToGrid w:val="0"/>
        <w:spacing w:after="240" w:line="300" w:lineRule="auto"/>
        <w:ind w:left="851" w:hanging="425" w:firstLineChars="0"/>
        <w:rPr>
          <w:rFonts w:ascii="Arial" w:hAnsi="Arial" w:eastAsia="宋体" w:cs="Arial"/>
          <w:sz w:val="24"/>
          <w:szCs w:val="24"/>
        </w:rPr>
      </w:pPr>
      <w:r>
        <w:rPr>
          <w:rFonts w:ascii="Arial" w:hAnsi="Arial" w:eastAsia="宋体" w:cs="Arial"/>
          <w:sz w:val="24"/>
          <w:szCs w:val="24"/>
        </w:rPr>
        <w:t>该产品的买方以及该产品的任何后续受让人（如果制造商知晓，或制造商通过对经销商，分销商或买方进行合理查询后可以识别当前用户）。</w:t>
      </w:r>
    </w:p>
    <w:p w14:paraId="36066802">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当FDA确定发生缺陷或不符合要求时，FDA将根据21 CFR 1003.11的规定通知制造商。</w:t>
      </w:r>
    </w:p>
    <w:p w14:paraId="2ED0E50D">
      <w:pPr>
        <w:overflowPunct w:val="0"/>
        <w:snapToGrid w:val="0"/>
        <w:spacing w:after="240" w:line="300" w:lineRule="auto"/>
        <w:rPr>
          <w:rFonts w:ascii="Arial" w:hAnsi="Arial" w:eastAsia="宋体" w:cs="Arial"/>
          <w:sz w:val="24"/>
          <w:szCs w:val="24"/>
          <w:u w:val="single"/>
        </w:rPr>
      </w:pPr>
      <w:r>
        <w:rPr>
          <w:rFonts w:ascii="Arial" w:hAnsi="Arial" w:eastAsia="宋体" w:cs="Arial"/>
          <w:sz w:val="24"/>
          <w:szCs w:val="24"/>
          <w:u w:val="single"/>
        </w:rPr>
        <w:t>联系以下地址处理所有辐射缺陷报告或未能遵守联邦执行标准：</w:t>
      </w:r>
    </w:p>
    <w:p w14:paraId="121E2F51">
      <w:pPr>
        <w:overflowPunct w:val="0"/>
        <w:snapToGrid w:val="0"/>
        <w:spacing w:line="300" w:lineRule="auto"/>
        <w:ind w:firstLine="566" w:firstLineChars="236"/>
        <w:rPr>
          <w:rFonts w:ascii="Arial" w:hAnsi="Arial" w:eastAsia="宋体" w:cs="Arial"/>
          <w:sz w:val="24"/>
          <w:szCs w:val="24"/>
        </w:rPr>
      </w:pPr>
      <w:bookmarkStart w:id="17" w:name="OLE_LINK6"/>
      <w:bookmarkStart w:id="18" w:name="OLE_LINK7"/>
      <w:r>
        <w:rPr>
          <w:rFonts w:ascii="Arial" w:hAnsi="Arial" w:eastAsia="宋体" w:cs="Arial"/>
          <w:sz w:val="24"/>
          <w:szCs w:val="24"/>
        </w:rPr>
        <w:t>器械和放射卫生中心</w:t>
      </w:r>
    </w:p>
    <w:p w14:paraId="39FE1AE2">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ATTN：缺陷或非合规通知（HFZ-240）</w:t>
      </w:r>
    </w:p>
    <w:p w14:paraId="645A23FB">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沟通、培训和辐射项目办公室</w:t>
      </w:r>
    </w:p>
    <w:p w14:paraId="71234E77">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10903 New Hampshire Avenue</w:t>
      </w:r>
    </w:p>
    <w:p w14:paraId="728615DA">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Silver Spring, MD 20993</w:t>
      </w:r>
    </w:p>
    <w:bookmarkEnd w:id="17"/>
    <w:bookmarkEnd w:id="18"/>
    <w:p w14:paraId="18AEFCAA">
      <w:pPr>
        <w:overflowPunct w:val="0"/>
        <w:snapToGrid w:val="0"/>
        <w:spacing w:line="300" w:lineRule="auto"/>
        <w:rPr>
          <w:rFonts w:ascii="Arial" w:hAnsi="Arial" w:eastAsia="宋体" w:cs="Arial"/>
          <w:sz w:val="24"/>
          <w:szCs w:val="24"/>
        </w:rPr>
      </w:pPr>
      <w:r>
        <w:rPr>
          <w:rFonts w:ascii="Arial" w:hAnsi="Arial" w:eastAsia="宋体" w:cs="Arial"/>
          <w:sz w:val="24"/>
          <w:szCs w:val="24"/>
        </w:rPr>
        <w:t>回购，维修或更换【21 CFR第1004部分】</w:t>
      </w:r>
    </w:p>
    <w:p w14:paraId="387F3F8E">
      <w:pPr>
        <w:overflowPunct w:val="0"/>
        <w:snapToGrid w:val="0"/>
        <w:spacing w:line="300" w:lineRule="auto"/>
        <w:rPr>
          <w:rFonts w:ascii="Arial" w:hAnsi="Arial" w:eastAsia="宋体" w:cs="Arial"/>
          <w:b/>
          <w:sz w:val="24"/>
          <w:szCs w:val="24"/>
        </w:rPr>
      </w:pPr>
      <w:r>
        <w:rPr>
          <w:rFonts w:ascii="Arial" w:hAnsi="Arial" w:eastAsia="宋体" w:cs="Arial"/>
          <w:b/>
          <w:sz w:val="24"/>
          <w:szCs w:val="24"/>
        </w:rPr>
        <w:t>制造商有义务修理、更换或退还电子产品的费用</w:t>
      </w:r>
    </w:p>
    <w:p w14:paraId="2B21A4B5">
      <w:pPr>
        <w:overflowPunct w:val="0"/>
        <w:snapToGrid w:val="0"/>
        <w:spacing w:line="300" w:lineRule="auto"/>
        <w:rPr>
          <w:rFonts w:ascii="Arial" w:hAnsi="Arial" w:eastAsia="宋体" w:cs="Arial"/>
          <w:i/>
          <w:sz w:val="24"/>
          <w:szCs w:val="24"/>
        </w:rPr>
      </w:pPr>
      <w:r>
        <w:rPr>
          <w:rFonts w:ascii="Arial" w:hAnsi="Arial" w:eastAsia="宋体" w:cs="Arial"/>
          <w:i/>
          <w:sz w:val="24"/>
          <w:szCs w:val="24"/>
        </w:rPr>
        <w:t>（a）如果任何电子产品不符合适用的联邦标准或有缺陷，并且必须提供本章1003.10（b）中规定的通知，则该产品的制造商应：</w:t>
      </w:r>
    </w:p>
    <w:p w14:paraId="44B86FFF">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（1）免费将产品符合该标准或者采取针对缺陷的补救措施，并对与改正相关的产品运输费用进行报销；或</w:t>
      </w:r>
    </w:p>
    <w:p w14:paraId="19EEFFA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（2）将产品替换为符合所有适用的联邦标准，并且没有与使用安全相关缺陷的同类或同等的产品；或</w:t>
      </w:r>
    </w:p>
    <w:p w14:paraId="00D180C9">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（3）将产品的费用退还给买方。</w:t>
      </w:r>
    </w:p>
    <w:p w14:paraId="2429BBA3">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（b）制造商应按照委员会根据1004.6批准的计划采取本节规定的行动。</w:t>
      </w:r>
    </w:p>
    <w:p w14:paraId="5A46BA93">
      <w:pPr>
        <w:widowControl/>
        <w:jc w:val="left"/>
        <w:rPr>
          <w:rFonts w:ascii="Arial" w:hAnsi="Arial" w:eastAsia="宋体" w:cs="Arial"/>
          <w:sz w:val="24"/>
          <w:szCs w:val="24"/>
        </w:rPr>
      </w:pPr>
      <w:r>
        <w:rPr>
          <w:rFonts w:ascii="Arial" w:hAnsi="Arial" w:eastAsia="宋体" w:cs="Arial"/>
          <w:sz w:val="24"/>
          <w:szCs w:val="24"/>
        </w:rPr>
        <w:br w:type="page"/>
      </w:r>
    </w:p>
    <w:p w14:paraId="34DD43D8">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每种类型的改正措施的相关细节描述见于21 CFR 1004。制造商的改正措施必须按照FDA 【21 CFR 1004.6】批准的计划进行。</w:t>
      </w:r>
    </w:p>
    <w:p w14:paraId="389C80D7">
      <w:pPr>
        <w:overflowPunct w:val="0"/>
        <w:snapToGrid w:val="0"/>
        <w:spacing w:line="300" w:lineRule="auto"/>
        <w:rPr>
          <w:rFonts w:ascii="Arial" w:hAnsi="Arial" w:eastAsia="宋体" w:cs="Arial"/>
          <w:sz w:val="24"/>
          <w:szCs w:val="24"/>
          <w:u w:val="single"/>
        </w:rPr>
      </w:pPr>
      <w:r>
        <w:rPr>
          <w:rFonts w:ascii="Arial" w:hAnsi="Arial" w:eastAsia="宋体" w:cs="Arial"/>
          <w:sz w:val="24"/>
          <w:szCs w:val="24"/>
          <w:u w:val="single"/>
        </w:rPr>
        <w:t>处理所有改正行动计划：</w:t>
      </w:r>
    </w:p>
    <w:p w14:paraId="6C434D5F">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器械和放射卫生中心</w:t>
      </w:r>
    </w:p>
    <w:p w14:paraId="6CFC289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ATTN：缺陷或非合规通知（HFZ-240）</w:t>
      </w:r>
    </w:p>
    <w:p w14:paraId="20AE75C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沟通、培训和辐射项目办公室</w:t>
      </w:r>
    </w:p>
    <w:p w14:paraId="5FE971C4">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10903 New Hampshire Avenue</w:t>
      </w:r>
    </w:p>
    <w:p w14:paraId="19BE4C90">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Silver Spring, MD 20993</w:t>
      </w:r>
    </w:p>
    <w:p w14:paraId="4683076C">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19" w:name="_Toc496890875"/>
      <w:r>
        <w:rPr>
          <w:rFonts w:ascii="Arial" w:hAnsi="Arial" w:eastAsia="宋体" w:cs="Arial"/>
          <w:b/>
          <w:sz w:val="32"/>
          <w:szCs w:val="32"/>
        </w:rPr>
        <w:t>特殊情况和豁免</w:t>
      </w:r>
      <w:bookmarkEnd w:id="19"/>
    </w:p>
    <w:p w14:paraId="160BCDE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特殊情况【21 CFR 1010.4】</w:t>
      </w:r>
    </w:p>
    <w:p w14:paraId="5DE7E83E">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希望生产不同于性能标准的柜式X射线系统的制造商必须在系统</w:t>
      </w:r>
      <w:r>
        <w:rPr>
          <w:rFonts w:hint="eastAsia" w:ascii="Arial" w:hAnsi="Arial" w:eastAsia="宋体" w:cs="Arial"/>
          <w:sz w:val="24"/>
          <w:szCs w:val="24"/>
        </w:rPr>
        <w:t>于</w:t>
      </w:r>
      <w:r>
        <w:rPr>
          <w:rFonts w:ascii="Arial" w:hAnsi="Arial" w:eastAsia="宋体" w:cs="Arial"/>
          <w:sz w:val="24"/>
          <w:szCs w:val="24"/>
        </w:rPr>
        <w:t>美国销售之前获得批准。获得该批准必须提交特殊情况申请。如果产品符合以下标准，则可以允许其与标准存在偏差：</w:t>
      </w:r>
    </w:p>
    <w:p w14:paraId="49250C0E">
      <w:pPr>
        <w:pStyle w:val="13"/>
        <w:numPr>
          <w:ilvl w:val="0"/>
          <w:numId w:val="15"/>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柜式X射线系统采用替代方式提供等同于或超过符合本标准所有要求的其他机柜系统提供的辐射安全或保护，或</w:t>
      </w:r>
    </w:p>
    <w:p w14:paraId="2D4C4D21">
      <w:pPr>
        <w:pStyle w:val="13"/>
        <w:numPr>
          <w:ilvl w:val="0"/>
          <w:numId w:val="15"/>
        </w:numPr>
        <w:overflowPunct w:val="0"/>
        <w:snapToGrid w:val="0"/>
        <w:spacing w:line="300" w:lineRule="auto"/>
        <w:ind w:firstLineChars="0"/>
        <w:rPr>
          <w:rFonts w:ascii="Arial" w:hAnsi="Arial" w:eastAsia="宋体" w:cs="Arial"/>
          <w:sz w:val="24"/>
          <w:szCs w:val="24"/>
        </w:rPr>
      </w:pPr>
      <w:r>
        <w:rPr>
          <w:rFonts w:ascii="Arial" w:hAnsi="Arial" w:eastAsia="宋体" w:cs="Arial"/>
          <w:sz w:val="24"/>
          <w:szCs w:val="24"/>
        </w:rPr>
        <w:t>柜式X射线系统所执行功能或旨在用于满足目的在柜式X射线系统标准要求范围内是无法执行或完成的，并提供用于确保辐射安全或保护的合适方式，或</w:t>
      </w:r>
    </w:p>
    <w:p w14:paraId="6337AEDF">
      <w:pPr>
        <w:pStyle w:val="13"/>
        <w:numPr>
          <w:ilvl w:val="0"/>
          <w:numId w:val="15"/>
        </w:numPr>
        <w:overflowPunct w:val="0"/>
        <w:snapToGrid w:val="0"/>
        <w:spacing w:after="240" w:line="300" w:lineRule="auto"/>
        <w:ind w:firstLineChars="0"/>
        <w:rPr>
          <w:rFonts w:ascii="Arial" w:hAnsi="Arial" w:eastAsia="宋体" w:cs="Arial"/>
          <w:sz w:val="24"/>
          <w:szCs w:val="24"/>
        </w:rPr>
      </w:pPr>
      <w:r>
        <w:rPr>
          <w:rFonts w:ascii="Arial" w:hAnsi="Arial" w:eastAsia="宋体" w:cs="Arial"/>
          <w:sz w:val="24"/>
          <w:szCs w:val="24"/>
        </w:rPr>
        <w:t>标准中的某个或多个要求不适用，并且提供了用于确保辐射安全或保护的适当手段。</w:t>
      </w:r>
    </w:p>
    <w:p w14:paraId="6A3C909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原件和四份特殊情况申请书应提交给：</w:t>
      </w:r>
    </w:p>
    <w:p w14:paraId="3083695D">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案卷管理科（HFA-305）</w:t>
      </w:r>
    </w:p>
    <w:p w14:paraId="3C6DE855">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食品药品监督管理局</w:t>
      </w:r>
    </w:p>
    <w:p w14:paraId="5F76CCA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 xml:space="preserve">5630 Fishers Lane，1061 </w:t>
      </w:r>
    </w:p>
    <w:p w14:paraId="6B9649AE">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Rockwell，MD 20852</w:t>
      </w:r>
    </w:p>
    <w:p w14:paraId="284FD454">
      <w:pPr>
        <w:overflowPunct w:val="0"/>
        <w:snapToGrid w:val="0"/>
        <w:spacing w:after="240" w:line="300" w:lineRule="auto"/>
        <w:rPr>
          <w:rFonts w:ascii="Arial" w:hAnsi="Arial" w:eastAsia="宋体" w:cs="Arial"/>
          <w:sz w:val="24"/>
          <w:szCs w:val="24"/>
        </w:rPr>
      </w:pPr>
      <w:r>
        <w:rPr>
          <w:rFonts w:ascii="Arial" w:hAnsi="Arial" w:eastAsia="宋体" w:cs="Arial"/>
          <w:sz w:val="24"/>
          <w:szCs w:val="24"/>
        </w:rPr>
        <w:t>特殊情况的申请应提供21 CFR 1010.4（b）所要求的信息。从历史上看，仅有很少的柜式X射线产品差异申请通过了批准。</w:t>
      </w:r>
    </w:p>
    <w:p w14:paraId="7AC528C3">
      <w:pPr>
        <w:overflowPunct w:val="0"/>
        <w:snapToGrid w:val="0"/>
        <w:spacing w:line="300" w:lineRule="auto"/>
        <w:rPr>
          <w:rFonts w:ascii="Arial" w:hAnsi="Arial" w:eastAsia="宋体" w:cs="Arial"/>
          <w:sz w:val="24"/>
          <w:szCs w:val="24"/>
        </w:rPr>
      </w:pPr>
      <w:r>
        <w:rPr>
          <w:rFonts w:ascii="Arial" w:hAnsi="Arial" w:eastAsia="宋体" w:cs="Arial"/>
          <w:b/>
          <w:sz w:val="24"/>
          <w:szCs w:val="24"/>
        </w:rPr>
        <w:t>豁免</w:t>
      </w:r>
      <w:r>
        <w:rPr>
          <w:rFonts w:ascii="Arial" w:hAnsi="Arial" w:eastAsia="宋体" w:cs="Arial"/>
          <w:sz w:val="24"/>
          <w:szCs w:val="24"/>
        </w:rPr>
        <w:t>【21 CFR 1010.5】</w:t>
      </w:r>
    </w:p>
    <w:p w14:paraId="0AF5C050">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在某些情况下，如果确定柜式X射线系统是供美国各部门或机构使用的系统，且符合以下标准，则当申请豁免性能标准时，可以由器械和放射卫生中心主任批准：</w:t>
      </w:r>
    </w:p>
    <w:p w14:paraId="6812629C">
      <w:pPr>
        <w:pStyle w:val="13"/>
        <w:numPr>
          <w:ilvl w:val="0"/>
          <w:numId w:val="15"/>
        </w:numPr>
        <w:overflowPunct w:val="0"/>
        <w:snapToGrid w:val="0"/>
        <w:spacing w:after="240" w:line="300" w:lineRule="auto"/>
        <w:ind w:left="993" w:hanging="567" w:firstLineChars="0"/>
        <w:rPr>
          <w:rFonts w:ascii="Arial" w:hAnsi="Arial" w:eastAsia="宋体" w:cs="Arial"/>
          <w:sz w:val="24"/>
          <w:szCs w:val="24"/>
        </w:rPr>
      </w:pPr>
      <w:r>
        <w:rPr>
          <w:rFonts w:ascii="Arial" w:hAnsi="Arial" w:eastAsia="宋体" w:cs="Arial"/>
          <w:sz w:val="24"/>
          <w:szCs w:val="24"/>
        </w:rPr>
        <w:t>希望获得该产品的机构规定了用于控制柜式X射线系统辐射的柜式X射线系统的采购</w:t>
      </w:r>
      <w:r>
        <w:rPr>
          <w:rFonts w:hint="eastAsia" w:ascii="Arial" w:hAnsi="Arial" w:eastAsia="宋体" w:cs="Arial"/>
          <w:sz w:val="24"/>
          <w:szCs w:val="24"/>
        </w:rPr>
        <w:t>质量标准</w:t>
      </w:r>
      <w:r>
        <w:rPr>
          <w:rFonts w:ascii="Arial" w:hAnsi="Arial" w:eastAsia="宋体" w:cs="Arial"/>
          <w:sz w:val="24"/>
          <w:szCs w:val="24"/>
        </w:rPr>
        <w:t>，并且该柜式X射线系统应仅由或主要由美国的部门或机构使用。</w:t>
      </w:r>
    </w:p>
    <w:p w14:paraId="245DFC13">
      <w:pPr>
        <w:pStyle w:val="13"/>
        <w:numPr>
          <w:ilvl w:val="0"/>
          <w:numId w:val="15"/>
        </w:numPr>
        <w:overflowPunct w:val="0"/>
        <w:snapToGrid w:val="0"/>
        <w:spacing w:after="240" w:line="300" w:lineRule="auto"/>
        <w:ind w:left="993" w:hanging="567" w:firstLineChars="0"/>
        <w:rPr>
          <w:rFonts w:ascii="Arial" w:hAnsi="Arial" w:eastAsia="宋体" w:cs="Arial"/>
          <w:sz w:val="24"/>
          <w:szCs w:val="24"/>
        </w:rPr>
      </w:pPr>
      <w:r>
        <w:rPr>
          <w:rFonts w:ascii="Arial" w:hAnsi="Arial" w:eastAsia="宋体" w:cs="Arial"/>
          <w:sz w:val="24"/>
          <w:szCs w:val="24"/>
        </w:rPr>
        <w:t>柜式X射线系统用于研究、调查、科研、示范、培训或国家安全的目的。</w:t>
      </w:r>
    </w:p>
    <w:p w14:paraId="449C32F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豁免申请应包括原件和两份复印件，并应提交给：</w:t>
      </w:r>
    </w:p>
    <w:p w14:paraId="70269947">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案卷管理科（HFA-305）</w:t>
      </w:r>
    </w:p>
    <w:p w14:paraId="13D33B19">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食品药品监督管理局</w:t>
      </w:r>
    </w:p>
    <w:p w14:paraId="298EDCC4">
      <w:pPr>
        <w:overflowPunct w:val="0"/>
        <w:snapToGrid w:val="0"/>
        <w:spacing w:line="300" w:lineRule="auto"/>
        <w:ind w:firstLine="566" w:firstLineChars="236"/>
        <w:rPr>
          <w:rFonts w:ascii="Arial" w:hAnsi="Arial" w:eastAsia="宋体" w:cs="Arial"/>
          <w:sz w:val="24"/>
          <w:szCs w:val="24"/>
        </w:rPr>
      </w:pPr>
      <w:r>
        <w:rPr>
          <w:rFonts w:ascii="Arial" w:hAnsi="Arial" w:eastAsia="宋体" w:cs="Arial"/>
          <w:sz w:val="24"/>
          <w:szCs w:val="24"/>
        </w:rPr>
        <w:t xml:space="preserve">5630 Fishers Lane，1061 </w:t>
      </w:r>
    </w:p>
    <w:p w14:paraId="68B804E5">
      <w:pPr>
        <w:overflowPunct w:val="0"/>
        <w:snapToGrid w:val="0"/>
        <w:spacing w:after="240" w:line="300" w:lineRule="auto"/>
        <w:ind w:firstLine="566" w:firstLineChars="236"/>
        <w:rPr>
          <w:rFonts w:ascii="Arial" w:hAnsi="Arial" w:eastAsia="宋体" w:cs="Arial"/>
          <w:sz w:val="24"/>
          <w:szCs w:val="24"/>
        </w:rPr>
      </w:pPr>
      <w:r>
        <w:rPr>
          <w:rFonts w:ascii="Arial" w:hAnsi="Arial" w:eastAsia="宋体" w:cs="Arial"/>
          <w:sz w:val="24"/>
          <w:szCs w:val="24"/>
        </w:rPr>
        <w:t>Rockwell，MD 20852</w:t>
      </w:r>
    </w:p>
    <w:p w14:paraId="79D2F801">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您不应在申请中纳入关于国家安全原因的信息。申请豁免及其批准的内容和标准见21 CFR 1010.5。</w:t>
      </w:r>
    </w:p>
    <w:p w14:paraId="2D8146CF">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根据信息自由法案（5 USC 552）（FOIA），FDA可能要求与豁免申请相关的信息。FDA将遵守21 CFR第20部分关于披露信息的要求。</w:t>
      </w:r>
    </w:p>
    <w:p w14:paraId="560D94DE">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20" w:name="_Toc496890876"/>
      <w:r>
        <w:rPr>
          <w:rFonts w:ascii="Arial" w:hAnsi="Arial" w:eastAsia="宋体" w:cs="Arial"/>
          <w:b/>
          <w:sz w:val="32"/>
          <w:szCs w:val="32"/>
        </w:rPr>
        <w:t>进出口</w:t>
      </w:r>
      <w:bookmarkEnd w:id="20"/>
    </w:p>
    <w:p w14:paraId="58EDC84D">
      <w:pPr>
        <w:overflowPunct w:val="0"/>
        <w:snapToGrid w:val="0"/>
        <w:spacing w:after="240" w:line="300" w:lineRule="auto"/>
        <w:rPr>
          <w:rFonts w:ascii="Arial" w:hAnsi="Arial" w:eastAsia="宋体" w:cs="Arial"/>
          <w:sz w:val="24"/>
          <w:szCs w:val="24"/>
        </w:rPr>
      </w:pPr>
      <w:r>
        <w:rPr>
          <w:rFonts w:ascii="Arial" w:hAnsi="Arial" w:eastAsia="宋体" w:cs="Arial"/>
          <w:sz w:val="24"/>
          <w:szCs w:val="24"/>
        </w:rPr>
        <w:t>进口【21 CFR</w:t>
      </w:r>
      <w:r>
        <w:rPr>
          <w:rFonts w:hint="eastAsia" w:ascii="Arial" w:hAnsi="Arial" w:eastAsia="宋体" w:cs="Arial"/>
          <w:sz w:val="24"/>
          <w:szCs w:val="24"/>
        </w:rPr>
        <w:t>第</w:t>
      </w:r>
      <w:r>
        <w:rPr>
          <w:rFonts w:ascii="Arial" w:hAnsi="Arial" w:eastAsia="宋体" w:cs="Arial"/>
          <w:sz w:val="24"/>
          <w:szCs w:val="24"/>
        </w:rPr>
        <w:t>1005</w:t>
      </w:r>
      <w:r>
        <w:rPr>
          <w:rFonts w:hint="eastAsia" w:ascii="Arial" w:hAnsi="Arial" w:eastAsia="宋体" w:cs="Arial"/>
          <w:sz w:val="24"/>
          <w:szCs w:val="24"/>
        </w:rPr>
        <w:t>部分</w:t>
      </w:r>
      <w:r>
        <w:rPr>
          <w:rFonts w:ascii="Arial" w:hAnsi="Arial" w:eastAsia="宋体" w:cs="Arial"/>
          <w:sz w:val="24"/>
          <w:szCs w:val="24"/>
        </w:rPr>
        <w:t>】</w:t>
      </w:r>
    </w:p>
    <w:p w14:paraId="57941FA9">
      <w:pPr>
        <w:overflowPunct w:val="0"/>
        <w:snapToGrid w:val="0"/>
        <w:spacing w:after="240" w:line="300" w:lineRule="auto"/>
        <w:rPr>
          <w:rFonts w:ascii="Arial" w:hAnsi="Arial" w:cs="Arial"/>
          <w:color w:val="0000FF"/>
          <w:sz w:val="24"/>
          <w:szCs w:val="24"/>
        </w:rPr>
      </w:pPr>
      <w:r>
        <w:rPr>
          <w:rFonts w:ascii="Arial" w:hAnsi="Arial" w:eastAsia="宋体" w:cs="Arial"/>
          <w:sz w:val="24"/>
          <w:szCs w:val="24"/>
        </w:rPr>
        <w:t>除非柜式X射线系统附有标签或标记，以证明其符合性能标准，否则该进口柜式X射线系统将被拒绝进入美国。除非及时和充分地保证使柜式X射线系统符合规定并获取许可，否则拒绝进入的所有系统将按照财政部长签署的规定予以销毁或退回。有关进口流程的更多信息，请访问FDA网站。</w:t>
      </w:r>
      <w:r>
        <w:rPr>
          <w:rFonts w:hint="eastAsia" w:ascii="Arial" w:hAnsi="Arial" w:eastAsia="宋体" w:cs="Arial"/>
          <w:sz w:val="24"/>
          <w:szCs w:val="24"/>
        </w:rPr>
        <w:br w:type="textWrapping"/>
      </w:r>
      <w:r>
        <w:rPr>
          <w:rFonts w:ascii="Arial" w:hAnsi="Arial" w:cs="Arial"/>
          <w:color w:val="0000FF"/>
          <w:sz w:val="24"/>
          <w:szCs w:val="24"/>
          <w:u w:val="single"/>
        </w:rPr>
        <w:t>http://www.fda.gov/cdrh/radhlth/eprc_imports_and_exports.html</w:t>
      </w:r>
    </w:p>
    <w:p w14:paraId="0A29BB93">
      <w:pPr>
        <w:overflowPunct w:val="0"/>
        <w:snapToGrid w:val="0"/>
        <w:spacing w:line="300" w:lineRule="auto"/>
        <w:rPr>
          <w:rFonts w:ascii="Arial" w:hAnsi="Arial" w:eastAsia="宋体" w:cs="Arial"/>
          <w:sz w:val="24"/>
          <w:szCs w:val="24"/>
        </w:rPr>
      </w:pPr>
      <w:r>
        <w:rPr>
          <w:rFonts w:ascii="Arial" w:hAnsi="Arial" w:eastAsia="宋体" w:cs="Arial"/>
          <w:sz w:val="24"/>
          <w:szCs w:val="24"/>
          <w:u w:val="single"/>
        </w:rPr>
        <w:t>制造商服务流程</w:t>
      </w:r>
      <w:r>
        <w:rPr>
          <w:rFonts w:ascii="Arial" w:hAnsi="Arial" w:eastAsia="宋体" w:cs="Arial"/>
          <w:sz w:val="24"/>
          <w:szCs w:val="24"/>
        </w:rPr>
        <w:t>【21 CFR 1005.25】</w:t>
      </w:r>
    </w:p>
    <w:p w14:paraId="6C1E5B36">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（a）电子产品制造商在提供进口美国的产品之前，应指定一名美国永久性居民作为制造商的代理人，为所有流程、通知、订单、决定和要求提供服务，以及根据1968年</w:t>
      </w:r>
      <w:r>
        <w:rPr>
          <w:rFonts w:hint="eastAsia" w:ascii="Arial" w:hAnsi="Arial" w:eastAsia="宋体" w:cs="Arial"/>
          <w:i/>
          <w:sz w:val="24"/>
          <w:szCs w:val="24"/>
        </w:rPr>
        <w:t>卫生</w:t>
      </w:r>
      <w:r>
        <w:rPr>
          <w:rFonts w:ascii="Arial" w:hAnsi="Arial" w:eastAsia="宋体" w:cs="Arial"/>
          <w:i/>
          <w:sz w:val="24"/>
          <w:szCs w:val="24"/>
        </w:rPr>
        <w:t>与安全辐射控制法案（42 USC 263h（d））和本节第360（d）条规定，代表制造商。代理人可以是个人、公司或国内公司。在本章节中，多个制造商都可以指定相同的代理。</w:t>
      </w:r>
    </w:p>
    <w:p w14:paraId="22B850AA">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（b）指定代理商的制造商必须将其指定上报至器械和放射卫生中心；ATTN：代理商名称（HFZ-240）；沟通、培训和放射项目办公室</w:t>
      </w:r>
      <w:r>
        <w:rPr>
          <w:rFonts w:hint="eastAsia" w:ascii="Arial" w:hAnsi="Arial" w:eastAsia="宋体" w:cs="Arial"/>
          <w:i/>
          <w:sz w:val="24"/>
          <w:szCs w:val="24"/>
        </w:rPr>
        <w:t>（</w:t>
      </w:r>
      <w:r>
        <w:rPr>
          <w:rFonts w:ascii="Arial" w:hAnsi="Arial" w:eastAsia="宋体" w:cs="Arial"/>
          <w:i/>
          <w:sz w:val="24"/>
          <w:szCs w:val="24"/>
        </w:rPr>
        <w:t>10903 New Hampshire Avenue, Silver Spring, MD 20993</w:t>
      </w:r>
      <w:r>
        <w:rPr>
          <w:rFonts w:hint="eastAsia" w:ascii="Arial" w:hAnsi="Arial" w:eastAsia="宋体" w:cs="Arial"/>
          <w:i/>
          <w:sz w:val="24"/>
          <w:szCs w:val="24"/>
        </w:rPr>
        <w:t>）</w:t>
      </w:r>
      <w:r>
        <w:rPr>
          <w:rFonts w:ascii="Arial" w:hAnsi="Arial" w:eastAsia="宋体" w:cs="Arial"/>
          <w:i/>
          <w:sz w:val="24"/>
          <w:szCs w:val="24"/>
        </w:rPr>
        <w:t>。必须以书面形式并注明日期；所有签名必须</w:t>
      </w:r>
      <w:r>
        <w:rPr>
          <w:rFonts w:hint="eastAsia" w:ascii="Arial" w:hAnsi="Arial" w:eastAsia="宋体" w:cs="Arial"/>
          <w:i/>
          <w:sz w:val="24"/>
          <w:szCs w:val="24"/>
        </w:rPr>
        <w:t>使用</w:t>
      </w:r>
      <w:r>
        <w:rPr>
          <w:rFonts w:ascii="Arial" w:hAnsi="Arial" w:eastAsia="宋体" w:cs="Arial"/>
          <w:i/>
          <w:sz w:val="24"/>
          <w:szCs w:val="24"/>
        </w:rPr>
        <w:t>墨水</w:t>
      </w:r>
      <w:r>
        <w:rPr>
          <w:rFonts w:hint="eastAsia" w:ascii="Arial" w:hAnsi="Arial" w:eastAsia="宋体" w:cs="Arial"/>
          <w:i/>
          <w:sz w:val="24"/>
          <w:szCs w:val="24"/>
        </w:rPr>
        <w:t>笔</w:t>
      </w:r>
      <w:r>
        <w:rPr>
          <w:rFonts w:ascii="Arial" w:hAnsi="Arial" w:eastAsia="宋体" w:cs="Arial"/>
          <w:i/>
          <w:sz w:val="24"/>
          <w:szCs w:val="24"/>
        </w:rPr>
        <w:t>。指定必须以法定形式完成，并以制造商根据法律、公司章程、或制造商在制造地点和时间进行指定的其他要求下对制造商有效并具有约束力的法定形式，并且</w:t>
      </w:r>
      <w:r>
        <w:rPr>
          <w:rFonts w:hint="eastAsia" w:ascii="Arial" w:hAnsi="Arial" w:eastAsia="宋体" w:cs="Arial"/>
          <w:i/>
          <w:sz w:val="24"/>
          <w:szCs w:val="24"/>
        </w:rPr>
        <w:t>相关人员或</w:t>
      </w:r>
      <w:r>
        <w:rPr>
          <w:rFonts w:ascii="Arial" w:hAnsi="Arial" w:eastAsia="宋体" w:cs="Arial"/>
          <w:i/>
          <w:sz w:val="24"/>
          <w:szCs w:val="24"/>
        </w:rPr>
        <w:t>签署</w:t>
      </w:r>
      <w:r>
        <w:rPr>
          <w:rFonts w:hint="eastAsia" w:ascii="Arial" w:hAnsi="Arial" w:eastAsia="宋体" w:cs="Arial"/>
          <w:i/>
          <w:sz w:val="24"/>
          <w:szCs w:val="24"/>
        </w:rPr>
        <w:t>该</w:t>
      </w:r>
      <w:r>
        <w:rPr>
          <w:rFonts w:ascii="Arial" w:hAnsi="Arial" w:eastAsia="宋体" w:cs="Arial"/>
          <w:i/>
          <w:sz w:val="24"/>
          <w:szCs w:val="24"/>
        </w:rPr>
        <w:t>指定的人</w:t>
      </w:r>
      <w:r>
        <w:rPr>
          <w:rFonts w:hint="eastAsia" w:ascii="Arial" w:hAnsi="Arial" w:eastAsia="宋体" w:cs="Arial"/>
          <w:i/>
          <w:sz w:val="24"/>
          <w:szCs w:val="24"/>
        </w:rPr>
        <w:t>员</w:t>
      </w:r>
      <w:r>
        <w:rPr>
          <w:rFonts w:ascii="Arial" w:hAnsi="Arial" w:eastAsia="宋体" w:cs="Arial"/>
          <w:i/>
          <w:sz w:val="24"/>
          <w:szCs w:val="24"/>
        </w:rPr>
        <w:t>应证明</w:t>
      </w:r>
      <w:r>
        <w:rPr>
          <w:rFonts w:hint="eastAsia" w:ascii="Arial" w:hAnsi="Arial" w:eastAsia="宋体" w:cs="Arial"/>
          <w:i/>
          <w:sz w:val="24"/>
          <w:szCs w:val="24"/>
        </w:rPr>
        <w:t>该过程</w:t>
      </w:r>
      <w:r>
        <w:rPr>
          <w:rFonts w:ascii="Arial" w:hAnsi="Arial" w:eastAsia="宋体" w:cs="Arial"/>
          <w:i/>
          <w:sz w:val="24"/>
          <w:szCs w:val="24"/>
        </w:rPr>
        <w:t>。该指定过程必须包含制造商的完整法定名称和制造商开展业务的名称（如果适用），主要营业地点和地址。如果制造商的任何产品不具有其法定名称，则该名称必须标识商标、商号、或这些产品的其他原产地名称。指定必须规定，在制造商撤回或更换之前，该规定将继续有效，并承担由指定代理人正式签署的承诺声明。必须说明代理人的完整法定名称和地址。在委员会否决之前，即使不符合本节的所有要求，指定对制造商仍具有约束力。指定代理人不应将其职能的履行分配给另一人。</w:t>
      </w:r>
    </w:p>
    <w:p w14:paraId="13FB4780">
      <w:pPr>
        <w:overflowPunct w:val="0"/>
        <w:snapToGrid w:val="0"/>
        <w:spacing w:line="300" w:lineRule="auto"/>
        <w:rPr>
          <w:rFonts w:ascii="Arial" w:hAnsi="Arial" w:eastAsia="宋体" w:cs="Arial"/>
          <w:sz w:val="24"/>
          <w:szCs w:val="24"/>
        </w:rPr>
      </w:pPr>
      <w:r>
        <w:rPr>
          <w:rFonts w:ascii="Arial" w:hAnsi="Arial" w:eastAsia="宋体" w:cs="Arial"/>
          <w:b/>
          <w:sz w:val="24"/>
          <w:szCs w:val="24"/>
          <w:u w:val="single"/>
        </w:rPr>
        <w:t>出口</w:t>
      </w:r>
      <w:r>
        <w:rPr>
          <w:rFonts w:ascii="Arial" w:hAnsi="Arial" w:eastAsia="宋体" w:cs="Arial"/>
          <w:sz w:val="24"/>
          <w:szCs w:val="24"/>
        </w:rPr>
        <w:t>【21 CFR 1010.20】</w:t>
      </w:r>
    </w:p>
    <w:p w14:paraId="61BF9801">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 xml:space="preserve">本章规定的性能标准不适用于以下情况下仅用于出口的任何电子产品：  </w:t>
      </w:r>
    </w:p>
    <w:p w14:paraId="776D83BB">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（a）此类产品或产品的任何运输集装箱外部的标签或标记表明该产品是用于出口的，和</w:t>
      </w:r>
    </w:p>
    <w:p w14:paraId="3F639857">
      <w:pPr>
        <w:overflowPunct w:val="0"/>
        <w:snapToGrid w:val="0"/>
        <w:spacing w:after="240" w:line="300" w:lineRule="auto"/>
        <w:rPr>
          <w:rFonts w:ascii="Arial" w:hAnsi="Arial" w:eastAsia="宋体" w:cs="Arial"/>
          <w:i/>
          <w:sz w:val="24"/>
          <w:szCs w:val="24"/>
        </w:rPr>
      </w:pPr>
      <w:r>
        <w:rPr>
          <w:rFonts w:ascii="Arial" w:hAnsi="Arial" w:eastAsia="宋体" w:cs="Arial"/>
          <w:i/>
          <w:sz w:val="24"/>
          <w:szCs w:val="24"/>
        </w:rPr>
        <w:t>（b）此类产品符合该产品用于出口的国家的所有适用要求。</w:t>
      </w:r>
    </w:p>
    <w:p w14:paraId="00932B3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一旦产品出口，可能无法将其退回到美国，即使退回也仅用于服务，然后再次出口。标记为出口的产品未经认证，因此将拒绝该产品进入美国。</w:t>
      </w:r>
    </w:p>
    <w:p w14:paraId="4DDCE59A">
      <w:pPr>
        <w:overflowPunct w:val="0"/>
        <w:snapToGrid w:val="0"/>
        <w:spacing w:after="240" w:line="300" w:lineRule="auto"/>
        <w:rPr>
          <w:rFonts w:ascii="Arial" w:hAnsi="Arial" w:eastAsia="宋体" w:cs="Arial"/>
          <w:sz w:val="24"/>
          <w:szCs w:val="24"/>
        </w:rPr>
      </w:pPr>
      <w:r>
        <w:rPr>
          <w:rFonts w:ascii="Arial" w:hAnsi="Arial" w:eastAsia="宋体" w:cs="Arial"/>
          <w:sz w:val="24"/>
          <w:szCs w:val="24"/>
        </w:rPr>
        <w:t>FDA不颁发非医用柜式X射线系统的出口证书。</w:t>
      </w:r>
    </w:p>
    <w:p w14:paraId="6C792B2E">
      <w:pPr>
        <w:pStyle w:val="13"/>
        <w:numPr>
          <w:ilvl w:val="0"/>
          <w:numId w:val="1"/>
        </w:numPr>
        <w:overflowPunct w:val="0"/>
        <w:snapToGrid w:val="0"/>
        <w:spacing w:before="156" w:beforeLines="50" w:after="240" w:line="300" w:lineRule="auto"/>
        <w:ind w:left="357" w:hanging="357" w:firstLineChars="0"/>
        <w:outlineLvl w:val="0"/>
        <w:rPr>
          <w:rFonts w:ascii="Arial" w:hAnsi="Arial" w:eastAsia="宋体" w:cs="Arial"/>
          <w:b/>
          <w:sz w:val="32"/>
          <w:szCs w:val="32"/>
        </w:rPr>
      </w:pPr>
      <w:bookmarkStart w:id="21" w:name="_Toc496890877"/>
      <w:r>
        <w:rPr>
          <w:rFonts w:ascii="Arial" w:hAnsi="Arial" w:eastAsia="宋体" w:cs="Arial"/>
          <w:b/>
          <w:sz w:val="32"/>
          <w:szCs w:val="32"/>
        </w:rPr>
        <w:t>获取更多信息</w:t>
      </w:r>
      <w:bookmarkEnd w:id="21"/>
    </w:p>
    <w:p w14:paraId="16356706">
      <w:pPr>
        <w:overflowPunct w:val="0"/>
        <w:snapToGrid w:val="0"/>
        <w:spacing w:after="240" w:line="300" w:lineRule="auto"/>
        <w:rPr>
          <w:rFonts w:ascii="Arial" w:hAnsi="Arial" w:eastAsia="宋体" w:cs="Arial"/>
          <w:sz w:val="24"/>
          <w:szCs w:val="24"/>
        </w:rPr>
      </w:pPr>
      <w:r>
        <w:rPr>
          <w:rFonts w:ascii="Arial" w:hAnsi="Arial" w:eastAsia="宋体" w:cs="Arial"/>
          <w:sz w:val="24"/>
          <w:szCs w:val="24"/>
        </w:rPr>
        <w:t>您可以从我们的电子产品辐射控制网页获取有关柜式X射线系统要求的更多信息：</w:t>
      </w:r>
      <w:r>
        <w:rPr>
          <w:rFonts w:ascii="Arial" w:hAnsi="Arial" w:eastAsia="宋体" w:cs="Arial"/>
          <w:color w:val="0000FF"/>
          <w:sz w:val="24"/>
          <w:szCs w:val="24"/>
          <w:u w:val="single"/>
        </w:rPr>
        <w:t>http://www.fda.gov/cdrh/radhealth/</w:t>
      </w:r>
      <w:r>
        <w:rPr>
          <w:rFonts w:ascii="Arial" w:hAnsi="Arial" w:eastAsia="宋体" w:cs="Arial"/>
          <w:sz w:val="24"/>
          <w:szCs w:val="24"/>
        </w:rPr>
        <w:t>。</w:t>
      </w:r>
    </w:p>
    <w:p w14:paraId="30BECDA7">
      <w:pPr>
        <w:overflowPunct w:val="0"/>
        <w:snapToGrid w:val="0"/>
        <w:spacing w:after="240" w:line="300" w:lineRule="auto"/>
        <w:rPr>
          <w:rFonts w:ascii="Arial" w:hAnsi="Arial" w:eastAsia="宋体" w:cs="Arial"/>
          <w:sz w:val="24"/>
          <w:szCs w:val="24"/>
        </w:rPr>
      </w:pPr>
      <w:r>
        <w:rPr>
          <w:rFonts w:ascii="Arial" w:hAnsi="Arial" w:eastAsia="宋体" w:cs="Arial"/>
          <w:sz w:val="24"/>
          <w:szCs w:val="24"/>
        </w:rPr>
        <w:t>如果您对本指南有任何疑问，请联系Daniel Kassiday，器械和放射卫生中心（HFZ-240），食品药品监督管理局</w:t>
      </w:r>
      <w:r>
        <w:rPr>
          <w:rFonts w:hint="eastAsia" w:ascii="Arial" w:hAnsi="Arial" w:eastAsia="宋体" w:cs="Arial"/>
          <w:sz w:val="24"/>
          <w:szCs w:val="24"/>
        </w:rPr>
        <w:t>（</w:t>
      </w:r>
      <w:r>
        <w:rPr>
          <w:rFonts w:ascii="Arial" w:hAnsi="Arial" w:eastAsia="宋体" w:cs="Arial"/>
          <w:sz w:val="24"/>
          <w:szCs w:val="24"/>
        </w:rPr>
        <w:t>10903 New Hampshire Avenue，Silver Spring，MD 20993</w:t>
      </w:r>
      <w:r>
        <w:rPr>
          <w:rFonts w:hint="eastAsia" w:ascii="Arial" w:hAnsi="Arial" w:eastAsia="宋体" w:cs="Arial"/>
          <w:sz w:val="24"/>
          <w:szCs w:val="24"/>
        </w:rPr>
        <w:t>）</w:t>
      </w:r>
      <w:r>
        <w:rPr>
          <w:rFonts w:ascii="Arial" w:hAnsi="Arial" w:eastAsia="宋体" w:cs="Arial"/>
          <w:sz w:val="24"/>
          <w:szCs w:val="24"/>
        </w:rPr>
        <w:t>或daniel.kassiday@fda.hhs.gov。</w:t>
      </w:r>
    </w:p>
    <w:p w14:paraId="532E926B">
      <w:pPr>
        <w:pBdr>
          <w:bottom w:val="single" w:color="auto" w:sz="4" w:space="1"/>
        </w:pBdr>
        <w:snapToGrid w:val="0"/>
        <w:spacing w:line="300" w:lineRule="auto"/>
        <w:jc w:val="center"/>
        <w:rPr>
          <w:rFonts w:hint="eastAsia" w:eastAsia="等线"/>
          <w:lang w:eastAsia="zh-CN"/>
        </w:rPr>
      </w:pPr>
    </w:p>
    <w:p w14:paraId="70E22AF4">
      <w:pPr>
        <w:pBdr>
          <w:bottom w:val="single" w:color="auto" w:sz="4" w:space="1"/>
        </w:pBdr>
        <w:snapToGrid w:val="0"/>
        <w:spacing w:line="300" w:lineRule="auto"/>
        <w:jc w:val="center"/>
        <w:rPr>
          <w:rFonts w:hint="eastAsia" w:eastAsia="等线"/>
          <w:lang w:eastAsia="zh-CN"/>
        </w:rPr>
      </w:pPr>
    </w:p>
    <w:p w14:paraId="6C6B5A03">
      <w:pPr>
        <w:pBdr>
          <w:bottom w:val="single" w:color="auto" w:sz="4" w:space="1"/>
        </w:pBdr>
        <w:snapToGrid w:val="0"/>
        <w:spacing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778941143"/>
      <w:docPartObj>
        <w:docPartGallery w:val="AutoText"/>
      </w:docPartObj>
    </w:sdtPr>
    <w:sdtEndPr>
      <w:rPr>
        <w:rFonts w:ascii="Arial" w:hAnsi="Arial" w:cs="Arial"/>
      </w:rPr>
    </w:sdtEndPr>
    <w:sdtContent>
      <w:p w14:paraId="1A61D048">
        <w:pPr>
          <w:pStyle w:val="4"/>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24</w:t>
        </w:r>
        <w:r>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38568F52">
      <w:pPr>
        <w:pStyle w:val="7"/>
        <w:rPr>
          <w:rFonts w:ascii="Arial" w:hAnsi="Arial" w:eastAsia="宋体" w:cs="Arial"/>
          <w:highlight w:val="yellow"/>
        </w:rPr>
      </w:pPr>
      <w:r>
        <w:rPr>
          <w:rStyle w:val="12"/>
          <w:rFonts w:ascii="Arial" w:hAnsi="Arial" w:eastAsia="宋体" w:cs="Arial"/>
        </w:rPr>
        <w:footnoteRef/>
      </w:r>
      <w:r>
        <w:rPr>
          <w:rFonts w:ascii="Arial" w:hAnsi="Arial" w:eastAsia="宋体" w:cs="Arial"/>
        </w:rPr>
        <w:t xml:space="preserve"> </w:t>
      </w:r>
      <w:r>
        <w:rPr>
          <w:rFonts w:hint="eastAsia" w:ascii="Arial" w:hAnsi="Arial" w:eastAsia="宋体" w:cs="Arial"/>
        </w:rPr>
        <w:t>除了上述法规的要求外，制造商还必须遵守其他适用的法案和法规条款，包括该产品为法案（</w:t>
      </w:r>
      <w:r>
        <w:rPr>
          <w:rFonts w:ascii="Arial" w:hAnsi="Arial" w:eastAsia="宋体" w:cs="Arial"/>
        </w:rPr>
        <w:t>21 U.S.C. 301(h)</w:t>
      </w:r>
      <w:r>
        <w:rPr>
          <w:rFonts w:hint="eastAsia" w:ascii="Arial" w:hAnsi="Arial" w:eastAsia="宋体" w:cs="Arial"/>
        </w:rPr>
        <w:t>）规定下的</w:t>
      </w:r>
      <w:r>
        <w:rPr>
          <w:rFonts w:ascii="Arial" w:hAnsi="Arial" w:eastAsia="宋体" w:cs="Arial"/>
        </w:rPr>
        <w:t>“</w:t>
      </w:r>
      <w:r>
        <w:rPr>
          <w:rFonts w:hint="eastAsia" w:ascii="Arial" w:hAnsi="Arial" w:eastAsia="宋体" w:cs="Arial"/>
        </w:rPr>
        <w:t>医疗器械</w:t>
      </w:r>
      <w:r>
        <w:rPr>
          <w:rFonts w:ascii="Arial" w:hAnsi="Arial" w:eastAsia="宋体" w:cs="Arial"/>
        </w:rPr>
        <w:t>”</w:t>
      </w:r>
      <w:r>
        <w:rPr>
          <w:rFonts w:hint="eastAsia" w:ascii="Arial" w:hAnsi="Arial" w:eastAsia="宋体" w:cs="Arial"/>
        </w:rPr>
        <w:t>时、以及该产品用于食品辐射时（</w:t>
      </w:r>
      <w:r>
        <w:rPr>
          <w:rFonts w:ascii="Arial" w:hAnsi="Arial" w:eastAsia="宋体" w:cs="Arial"/>
        </w:rPr>
        <w:t>21 CFR 179</w:t>
      </w:r>
      <w:r>
        <w:rPr>
          <w:rFonts w:hint="eastAsia" w:ascii="Arial" w:hAnsi="Arial" w:eastAsia="宋体" w:cs="Arial"/>
        </w:rPr>
        <w:t>部分）的相关适用要求。对医疗器械和食品辐射条款和法规的讨论不在本文件范围内。</w:t>
      </w:r>
    </w:p>
  </w:footnote>
  <w:footnote w:id="1">
    <w:p w14:paraId="31604336">
      <w:pPr>
        <w:pStyle w:val="7"/>
        <w:rPr>
          <w:rFonts w:ascii="Arial" w:hAnsi="Arial" w:eastAsia="宋体" w:cs="Arial"/>
          <w:highlight w:val="yellow"/>
        </w:rPr>
      </w:pPr>
      <w:r>
        <w:rPr>
          <w:rFonts w:eastAsia="宋体"/>
        </w:rPr>
        <w:footnoteRef/>
      </w:r>
      <w:r>
        <w:rPr>
          <w:rFonts w:ascii="Arial" w:hAnsi="Arial" w:eastAsia="宋体" w:cs="Arial"/>
        </w:rPr>
        <w:t xml:space="preserve"> </w:t>
      </w:r>
      <w:r>
        <w:rPr>
          <w:rFonts w:hint="eastAsia" w:ascii="Arial" w:hAnsi="Arial" w:eastAsia="宋体" w:cs="Arial"/>
        </w:rPr>
        <w:t>诊断</w:t>
      </w:r>
      <w:r>
        <w:rPr>
          <w:rFonts w:ascii="Arial" w:hAnsi="Arial" w:eastAsia="宋体" w:cs="Arial"/>
        </w:rPr>
        <w:t>X</w:t>
      </w:r>
      <w:r>
        <w:rPr>
          <w:rFonts w:hint="eastAsia" w:ascii="Arial" w:hAnsi="Arial" w:eastAsia="宋体" w:cs="Arial"/>
        </w:rPr>
        <w:t>射线系统受具体性能标准约束，</w:t>
      </w:r>
      <w:r>
        <w:rPr>
          <w:rFonts w:ascii="Arial" w:hAnsi="Arial" w:eastAsia="宋体" w:cs="Arial"/>
        </w:rPr>
        <w:t>21 CFR 1020.30</w:t>
      </w:r>
      <w:r>
        <w:rPr>
          <w:rFonts w:hint="eastAsia" w:ascii="Arial" w:hAnsi="Arial" w:eastAsia="宋体" w:cs="Arial"/>
        </w:rPr>
        <w:t>。</w:t>
      </w:r>
    </w:p>
  </w:footnote>
  <w:footnote w:id="2">
    <w:p w14:paraId="69E21C15">
      <w:pPr>
        <w:pStyle w:val="7"/>
        <w:rPr>
          <w:rFonts w:ascii="Arial" w:hAnsi="Arial" w:eastAsia="宋体" w:cs="Arial"/>
          <w:highlight w:val="yellow"/>
        </w:rPr>
      </w:pPr>
      <w:r>
        <w:rPr>
          <w:rStyle w:val="12"/>
          <w:rFonts w:ascii="Arial" w:hAnsi="Arial" w:eastAsia="宋体" w:cs="Arial"/>
        </w:rPr>
        <w:footnoteRef/>
      </w:r>
      <w:r>
        <w:rPr>
          <w:rFonts w:ascii="Arial" w:hAnsi="Arial" w:eastAsia="宋体" w:cs="Arial"/>
        </w:rPr>
        <w:t xml:space="preserve"> </w:t>
      </w:r>
      <w:r>
        <w:rPr>
          <w:rFonts w:hint="eastAsia" w:ascii="Arial" w:hAnsi="Arial" w:eastAsia="宋体" w:cs="Arial"/>
        </w:rPr>
        <w:t>本指南中的报告和其他文件提交地址是指南发布时的提交地址；法规中规定的地址非当前地址。</w:t>
      </w:r>
    </w:p>
  </w:footnote>
  <w:footnote w:id="3">
    <w:p w14:paraId="723A2585">
      <w:pPr>
        <w:pStyle w:val="7"/>
        <w:rPr>
          <w:rFonts w:ascii="Arial" w:hAnsi="Arial" w:eastAsia="宋体" w:cs="Arial"/>
        </w:rPr>
      </w:pPr>
      <w:r>
        <w:rPr>
          <w:rStyle w:val="12"/>
          <w:rFonts w:ascii="Arial" w:hAnsi="Arial" w:eastAsia="宋体" w:cs="Arial"/>
        </w:rPr>
        <w:footnoteRef/>
      </w:r>
      <w:r>
        <w:rPr>
          <w:rFonts w:ascii="Arial" w:hAnsi="Arial" w:eastAsia="宋体" w:cs="Arial"/>
        </w:rPr>
        <w:t xml:space="preserve"> </w:t>
      </w:r>
      <w:r>
        <w:rPr>
          <w:rFonts w:hint="eastAsia" w:ascii="Arial" w:hAnsi="Arial" w:eastAsia="宋体" w:cs="Arial"/>
        </w:rPr>
        <w:t>本指南中的报告和其他文件提交地址是指南发布时的提交地址；法规中规定的地址非当前地址。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3EA1">
    <w:pPr>
      <w:pStyle w:val="5"/>
      <w:pBdr>
        <w:bottom w:val="none" w:color="auto" w:sz="0" w:space="0"/>
      </w:pBdr>
      <w:rPr>
        <w:rFonts w:ascii="Arial" w:hAnsi="Arial" w:cs="Arial"/>
        <w:b/>
        <w:i/>
        <w:sz w:val="21"/>
        <w:szCs w:val="21"/>
      </w:rPr>
    </w:pPr>
    <w:r>
      <w:rPr>
        <w:rFonts w:hint="eastAsia" w:ascii="Arial" w:hAnsi="Arial" w:cs="Arial"/>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6017B"/>
    <w:multiLevelType w:val="multilevel"/>
    <w:tmpl w:val="01E601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9C3489"/>
    <w:multiLevelType w:val="multilevel"/>
    <w:tmpl w:val="039C34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97F63F8"/>
    <w:multiLevelType w:val="multilevel"/>
    <w:tmpl w:val="197F6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F0948A1"/>
    <w:multiLevelType w:val="multilevel"/>
    <w:tmpl w:val="1F0948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72E4273"/>
    <w:multiLevelType w:val="multilevel"/>
    <w:tmpl w:val="272E42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01C686A"/>
    <w:multiLevelType w:val="multilevel"/>
    <w:tmpl w:val="301C68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EA6E98"/>
    <w:multiLevelType w:val="multilevel"/>
    <w:tmpl w:val="3AEA6E9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051995"/>
    <w:multiLevelType w:val="multilevel"/>
    <w:tmpl w:val="450519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D115CA"/>
    <w:multiLevelType w:val="multilevel"/>
    <w:tmpl w:val="49D115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4C44B1"/>
    <w:multiLevelType w:val="multilevel"/>
    <w:tmpl w:val="504C44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3867997"/>
    <w:multiLevelType w:val="multilevel"/>
    <w:tmpl w:val="538679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417686"/>
    <w:multiLevelType w:val="multilevel"/>
    <w:tmpl w:val="6341768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BA26799"/>
    <w:multiLevelType w:val="multilevel"/>
    <w:tmpl w:val="6BA267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20616C4"/>
    <w:multiLevelType w:val="multilevel"/>
    <w:tmpl w:val="720616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53305C6"/>
    <w:multiLevelType w:val="multilevel"/>
    <w:tmpl w:val="753305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10"/>
  </w:num>
  <w:num w:numId="3">
    <w:abstractNumId w:val="13"/>
  </w:num>
  <w:num w:numId="4">
    <w:abstractNumId w:val="4"/>
  </w:num>
  <w:num w:numId="5">
    <w:abstractNumId w:val="1"/>
  </w:num>
  <w:num w:numId="6">
    <w:abstractNumId w:val="5"/>
  </w:num>
  <w:num w:numId="7">
    <w:abstractNumId w:val="2"/>
  </w:num>
  <w:num w:numId="8">
    <w:abstractNumId w:val="9"/>
  </w:num>
  <w:num w:numId="9">
    <w:abstractNumId w:val="12"/>
  </w:num>
  <w:num w:numId="10">
    <w:abstractNumId w:val="8"/>
  </w:num>
  <w:num w:numId="11">
    <w:abstractNumId w:val="6"/>
  </w:num>
  <w:num w:numId="12">
    <w:abstractNumId w:val="11"/>
  </w:num>
  <w:num w:numId="13">
    <w:abstractNumId w:val="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CB"/>
    <w:rsid w:val="00014DAC"/>
    <w:rsid w:val="00015795"/>
    <w:rsid w:val="000276D5"/>
    <w:rsid w:val="0002776A"/>
    <w:rsid w:val="00044E1E"/>
    <w:rsid w:val="000467FA"/>
    <w:rsid w:val="00055A38"/>
    <w:rsid w:val="00086D4D"/>
    <w:rsid w:val="000B3D3F"/>
    <w:rsid w:val="000C338C"/>
    <w:rsid w:val="000D1D2D"/>
    <w:rsid w:val="000D2151"/>
    <w:rsid w:val="000D2E68"/>
    <w:rsid w:val="000D78A3"/>
    <w:rsid w:val="000D79C0"/>
    <w:rsid w:val="000D7A8B"/>
    <w:rsid w:val="001001E8"/>
    <w:rsid w:val="00100E87"/>
    <w:rsid w:val="00107962"/>
    <w:rsid w:val="00164C70"/>
    <w:rsid w:val="001820FC"/>
    <w:rsid w:val="00185362"/>
    <w:rsid w:val="001900F4"/>
    <w:rsid w:val="001C1242"/>
    <w:rsid w:val="001C7D1C"/>
    <w:rsid w:val="001E4179"/>
    <w:rsid w:val="001E41C5"/>
    <w:rsid w:val="001E7160"/>
    <w:rsid w:val="001F29EB"/>
    <w:rsid w:val="001F2B16"/>
    <w:rsid w:val="00204CE6"/>
    <w:rsid w:val="002117AD"/>
    <w:rsid w:val="002207C8"/>
    <w:rsid w:val="00222C7D"/>
    <w:rsid w:val="00235637"/>
    <w:rsid w:val="00251C76"/>
    <w:rsid w:val="002538C2"/>
    <w:rsid w:val="002663F3"/>
    <w:rsid w:val="002845A5"/>
    <w:rsid w:val="00291137"/>
    <w:rsid w:val="002A12AB"/>
    <w:rsid w:val="002B3103"/>
    <w:rsid w:val="002B36FC"/>
    <w:rsid w:val="002D6013"/>
    <w:rsid w:val="002E3243"/>
    <w:rsid w:val="00303C39"/>
    <w:rsid w:val="00306E1B"/>
    <w:rsid w:val="00314C59"/>
    <w:rsid w:val="003820CC"/>
    <w:rsid w:val="0039049B"/>
    <w:rsid w:val="00390501"/>
    <w:rsid w:val="003935BC"/>
    <w:rsid w:val="00395B17"/>
    <w:rsid w:val="003B66CB"/>
    <w:rsid w:val="003C4138"/>
    <w:rsid w:val="003D46CF"/>
    <w:rsid w:val="003D493A"/>
    <w:rsid w:val="003F1160"/>
    <w:rsid w:val="003F4AC7"/>
    <w:rsid w:val="00401E42"/>
    <w:rsid w:val="004166C0"/>
    <w:rsid w:val="00417C38"/>
    <w:rsid w:val="00443A74"/>
    <w:rsid w:val="004460B5"/>
    <w:rsid w:val="0048150C"/>
    <w:rsid w:val="0049619B"/>
    <w:rsid w:val="004A6748"/>
    <w:rsid w:val="004B5EDE"/>
    <w:rsid w:val="004C16F3"/>
    <w:rsid w:val="004C3485"/>
    <w:rsid w:val="004C4A57"/>
    <w:rsid w:val="004E0F98"/>
    <w:rsid w:val="004E37D4"/>
    <w:rsid w:val="004F36A5"/>
    <w:rsid w:val="005000F9"/>
    <w:rsid w:val="005073C8"/>
    <w:rsid w:val="00523F87"/>
    <w:rsid w:val="00530C8A"/>
    <w:rsid w:val="00563F1C"/>
    <w:rsid w:val="00564835"/>
    <w:rsid w:val="005714EE"/>
    <w:rsid w:val="00572DF8"/>
    <w:rsid w:val="0058396E"/>
    <w:rsid w:val="005A0DF7"/>
    <w:rsid w:val="005A1FAA"/>
    <w:rsid w:val="005A273F"/>
    <w:rsid w:val="005B0050"/>
    <w:rsid w:val="005C3E59"/>
    <w:rsid w:val="005F1E2A"/>
    <w:rsid w:val="00611340"/>
    <w:rsid w:val="0062135E"/>
    <w:rsid w:val="00624FC4"/>
    <w:rsid w:val="0063225B"/>
    <w:rsid w:val="00641BA0"/>
    <w:rsid w:val="00662C61"/>
    <w:rsid w:val="00663830"/>
    <w:rsid w:val="00664EE4"/>
    <w:rsid w:val="006753CA"/>
    <w:rsid w:val="006849AE"/>
    <w:rsid w:val="00685DC4"/>
    <w:rsid w:val="006A6BAF"/>
    <w:rsid w:val="006F3D1A"/>
    <w:rsid w:val="007101A5"/>
    <w:rsid w:val="007339DA"/>
    <w:rsid w:val="00737E27"/>
    <w:rsid w:val="00765100"/>
    <w:rsid w:val="00773BF2"/>
    <w:rsid w:val="00773F30"/>
    <w:rsid w:val="007755F0"/>
    <w:rsid w:val="00791190"/>
    <w:rsid w:val="00791A15"/>
    <w:rsid w:val="007A4EDD"/>
    <w:rsid w:val="007B12A6"/>
    <w:rsid w:val="007B1380"/>
    <w:rsid w:val="007B3937"/>
    <w:rsid w:val="007F1AD9"/>
    <w:rsid w:val="007F3919"/>
    <w:rsid w:val="007F393A"/>
    <w:rsid w:val="008114E8"/>
    <w:rsid w:val="0082786C"/>
    <w:rsid w:val="00831F35"/>
    <w:rsid w:val="0085763A"/>
    <w:rsid w:val="00857F06"/>
    <w:rsid w:val="00881F68"/>
    <w:rsid w:val="00884152"/>
    <w:rsid w:val="00884CBF"/>
    <w:rsid w:val="008C5537"/>
    <w:rsid w:val="008D0162"/>
    <w:rsid w:val="00900DB1"/>
    <w:rsid w:val="0092393D"/>
    <w:rsid w:val="00935FFB"/>
    <w:rsid w:val="00950A0D"/>
    <w:rsid w:val="0095225F"/>
    <w:rsid w:val="00955290"/>
    <w:rsid w:val="00963D36"/>
    <w:rsid w:val="00964B68"/>
    <w:rsid w:val="00971DBB"/>
    <w:rsid w:val="00972835"/>
    <w:rsid w:val="00976882"/>
    <w:rsid w:val="009B7E6B"/>
    <w:rsid w:val="009D0861"/>
    <w:rsid w:val="009F72F7"/>
    <w:rsid w:val="00A061AA"/>
    <w:rsid w:val="00A06FE7"/>
    <w:rsid w:val="00A07089"/>
    <w:rsid w:val="00A113EF"/>
    <w:rsid w:val="00A21FD1"/>
    <w:rsid w:val="00A236C0"/>
    <w:rsid w:val="00A25095"/>
    <w:rsid w:val="00A51EC1"/>
    <w:rsid w:val="00A625EF"/>
    <w:rsid w:val="00A629CC"/>
    <w:rsid w:val="00A6433B"/>
    <w:rsid w:val="00A750C2"/>
    <w:rsid w:val="00AA314A"/>
    <w:rsid w:val="00AB130D"/>
    <w:rsid w:val="00AB1E25"/>
    <w:rsid w:val="00AC20AE"/>
    <w:rsid w:val="00AE1D84"/>
    <w:rsid w:val="00AE5788"/>
    <w:rsid w:val="00AF295A"/>
    <w:rsid w:val="00AF4128"/>
    <w:rsid w:val="00B0114A"/>
    <w:rsid w:val="00B04661"/>
    <w:rsid w:val="00B105A4"/>
    <w:rsid w:val="00B11287"/>
    <w:rsid w:val="00B1286F"/>
    <w:rsid w:val="00B36FCB"/>
    <w:rsid w:val="00B37ED7"/>
    <w:rsid w:val="00B50490"/>
    <w:rsid w:val="00B51B9C"/>
    <w:rsid w:val="00B747A4"/>
    <w:rsid w:val="00B83595"/>
    <w:rsid w:val="00BA2057"/>
    <w:rsid w:val="00BA387B"/>
    <w:rsid w:val="00BA5198"/>
    <w:rsid w:val="00BB1781"/>
    <w:rsid w:val="00BB1FE8"/>
    <w:rsid w:val="00BB5195"/>
    <w:rsid w:val="00BC34BB"/>
    <w:rsid w:val="00BD3651"/>
    <w:rsid w:val="00BF63F8"/>
    <w:rsid w:val="00BF7AE8"/>
    <w:rsid w:val="00C03037"/>
    <w:rsid w:val="00C03B88"/>
    <w:rsid w:val="00C16258"/>
    <w:rsid w:val="00C23933"/>
    <w:rsid w:val="00C241E3"/>
    <w:rsid w:val="00C247DE"/>
    <w:rsid w:val="00C35F3C"/>
    <w:rsid w:val="00C539F5"/>
    <w:rsid w:val="00C649EE"/>
    <w:rsid w:val="00C94A6D"/>
    <w:rsid w:val="00CB32F6"/>
    <w:rsid w:val="00CB76A6"/>
    <w:rsid w:val="00CC5132"/>
    <w:rsid w:val="00CD72B9"/>
    <w:rsid w:val="00D05105"/>
    <w:rsid w:val="00D1674D"/>
    <w:rsid w:val="00D20C67"/>
    <w:rsid w:val="00D23F67"/>
    <w:rsid w:val="00D7022C"/>
    <w:rsid w:val="00D71956"/>
    <w:rsid w:val="00D724E0"/>
    <w:rsid w:val="00D95F05"/>
    <w:rsid w:val="00DA6BCD"/>
    <w:rsid w:val="00DB1DA5"/>
    <w:rsid w:val="00DC459C"/>
    <w:rsid w:val="00E10E26"/>
    <w:rsid w:val="00E120ED"/>
    <w:rsid w:val="00E15C50"/>
    <w:rsid w:val="00E22E5D"/>
    <w:rsid w:val="00E34B37"/>
    <w:rsid w:val="00E6775E"/>
    <w:rsid w:val="00E728D3"/>
    <w:rsid w:val="00E923A0"/>
    <w:rsid w:val="00EA1499"/>
    <w:rsid w:val="00EB57BC"/>
    <w:rsid w:val="00EC18EE"/>
    <w:rsid w:val="00EC1C23"/>
    <w:rsid w:val="00ED785F"/>
    <w:rsid w:val="00EE6ACC"/>
    <w:rsid w:val="00F10A56"/>
    <w:rsid w:val="00F1642C"/>
    <w:rsid w:val="00F231EA"/>
    <w:rsid w:val="00F23964"/>
    <w:rsid w:val="00F54AC1"/>
    <w:rsid w:val="00FC3159"/>
    <w:rsid w:val="00FF3DFE"/>
    <w:rsid w:val="7886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rPr>
      <w:rFonts w:eastAsia="宋体"/>
    </w:rPr>
  </w:style>
  <w:style w:type="paragraph" w:styleId="7">
    <w:name w:val="footnote text"/>
    <w:basedOn w:val="1"/>
    <w:link w:val="14"/>
    <w:unhideWhenUsed/>
    <w:qFormat/>
    <w:uiPriority w:val="99"/>
    <w:pPr>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paragraph" w:styleId="13">
    <w:name w:val="List Paragraph"/>
    <w:basedOn w:val="1"/>
    <w:qFormat/>
    <w:uiPriority w:val="34"/>
    <w:pPr>
      <w:ind w:firstLine="420" w:firstLineChars="200"/>
    </w:pPr>
  </w:style>
  <w:style w:type="character" w:customStyle="1" w:styleId="14">
    <w:name w:val="脚注文本 Char"/>
    <w:basedOn w:val="10"/>
    <w:link w:val="7"/>
    <w:qFormat/>
    <w:uiPriority w:val="99"/>
    <w:rPr>
      <w:sz w:val="18"/>
      <w:szCs w:val="18"/>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批注框文本 Char"/>
    <w:basedOn w:val="10"/>
    <w:link w:val="3"/>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标题 1 Char"/>
    <w:basedOn w:val="10"/>
    <w:link w:val="2"/>
    <w:qFormat/>
    <w:uiPriority w:val="9"/>
    <w:rPr>
      <w:b/>
      <w:bCs/>
      <w:kern w:val="44"/>
      <w:sz w:val="44"/>
      <w:szCs w:val="44"/>
    </w:rPr>
  </w:style>
  <w:style w:type="paragraph" w:customStyle="1" w:styleId="2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0837-D27D-4190-947C-8568626062D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16108</Words>
  <Characters>18725</Characters>
  <Lines>142</Lines>
  <Paragraphs>39</Paragraphs>
  <TotalTime>1</TotalTime>
  <ScaleCrop>false</ScaleCrop>
  <LinksUpToDate>false</LinksUpToDate>
  <CharactersWithSpaces>19109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2017-11-09T16:45:00Z</dcterms:created>
  <dc:creator>Guozhen Liu</dc:creator>
  <cp:lastModifiedBy>太极箫客</cp:lastModifiedBy>
  <dcterms:modified xsi:type="dcterms:W3CDTF">2025-08-14T06:59:01Z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882DADD6805344FE9C4212A4E5CA9433_12</vt:lpwstr>
  </property>
</Properties>
</file>