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6530E">
      <w:pPr>
        <w:pStyle w:val="39"/>
        <w:shd w:val="clear" w:color="auto" w:fill="auto"/>
        <w:topLinePunct/>
        <w:adjustRightInd w:val="0"/>
        <w:snapToGrid w:val="0"/>
        <w:spacing w:after="163" w:afterLines="50" w:line="300" w:lineRule="auto"/>
        <w:jc w:val="both"/>
        <w:outlineLvl w:val="9"/>
        <w:rPr>
          <w:rFonts w:hint="eastAsia" w:eastAsia="宋体"/>
          <w:snapToGrid w:val="0"/>
          <w:kern w:val="0"/>
          <w:sz w:val="44"/>
          <w:szCs w:val="50"/>
        </w:rPr>
      </w:pPr>
      <w:bookmarkStart w:id="0" w:name="_GoBack"/>
      <w:bookmarkEnd w:id="0"/>
    </w:p>
    <w:p w14:paraId="1756B6A9">
      <w:pPr>
        <w:pStyle w:val="39"/>
        <w:shd w:val="clear" w:color="auto" w:fill="auto"/>
        <w:topLinePunct/>
        <w:adjustRightInd w:val="0"/>
        <w:snapToGrid w:val="0"/>
        <w:spacing w:after="163" w:afterLines="50" w:line="300" w:lineRule="auto"/>
        <w:jc w:val="both"/>
        <w:outlineLvl w:val="9"/>
        <w:rPr>
          <w:rFonts w:eastAsia="宋体"/>
          <w:snapToGrid w:val="0"/>
          <w:kern w:val="0"/>
          <w:sz w:val="48"/>
          <w:szCs w:val="50"/>
        </w:rPr>
      </w:pPr>
      <w:r>
        <w:rPr>
          <w:rFonts w:hint="eastAsia" w:eastAsia="宋体"/>
          <w:snapToGrid w:val="0"/>
          <w:kern w:val="0"/>
          <w:sz w:val="48"/>
          <w:szCs w:val="50"/>
        </w:rPr>
        <w:t>机构审查委员会常见问题</w:t>
      </w:r>
      <w:r>
        <w:rPr>
          <w:rFonts w:eastAsia="宋体"/>
          <w:snapToGrid w:val="0"/>
          <w:kern w:val="0"/>
          <w:sz w:val="48"/>
          <w:szCs w:val="50"/>
        </w:rPr>
        <w:t>–</w:t>
      </w:r>
      <w:r>
        <w:rPr>
          <w:rFonts w:hint="eastAsia" w:eastAsia="宋体"/>
          <w:snapToGrid w:val="0"/>
          <w:kern w:val="0"/>
          <w:sz w:val="48"/>
          <w:szCs w:val="50"/>
        </w:rPr>
        <w:t>信息表</w:t>
      </w:r>
    </w:p>
    <w:p w14:paraId="55DCB9AB">
      <w:pPr>
        <w:pStyle w:val="39"/>
        <w:shd w:val="clear" w:color="auto" w:fill="auto"/>
        <w:topLinePunct/>
        <w:adjustRightInd w:val="0"/>
        <w:snapToGrid w:val="0"/>
        <w:spacing w:after="244" w:afterLines="75" w:line="300" w:lineRule="auto"/>
        <w:jc w:val="both"/>
        <w:outlineLvl w:val="9"/>
        <w:rPr>
          <w:rFonts w:eastAsia="宋体"/>
          <w:b w:val="0"/>
          <w:snapToGrid w:val="0"/>
          <w:kern w:val="0"/>
          <w:sz w:val="36"/>
          <w:szCs w:val="32"/>
        </w:rPr>
      </w:pPr>
      <w:r>
        <w:rPr>
          <w:rFonts w:hint="eastAsia" w:eastAsia="宋体"/>
          <w:b w:val="0"/>
          <w:snapToGrid w:val="0"/>
          <w:kern w:val="0"/>
          <w:sz w:val="36"/>
          <w:szCs w:val="32"/>
        </w:rPr>
        <w:t>机构审查委员会和临床研究者指南</w:t>
      </w:r>
    </w:p>
    <w:p w14:paraId="2D08235A">
      <w:pPr>
        <w:pStyle w:val="41"/>
        <w:shd w:val="clear" w:color="auto" w:fill="auto"/>
        <w:topLinePunct/>
        <w:adjustRightInd w:val="0"/>
        <w:snapToGrid w:val="0"/>
        <w:spacing w:before="0" w:after="326" w:afterLines="100" w:line="300" w:lineRule="auto"/>
        <w:jc w:val="both"/>
        <w:rPr>
          <w:rFonts w:eastAsia="宋体"/>
          <w:b/>
          <w:snapToGrid w:val="0"/>
          <w:kern w:val="0"/>
          <w:sz w:val="24"/>
          <w:szCs w:val="24"/>
          <w:u w:val="single"/>
        </w:rPr>
      </w:pPr>
      <w:r>
        <w:rPr>
          <w:rFonts w:hint="eastAsia" w:eastAsia="宋体"/>
          <w:b/>
          <w:snapToGrid w:val="0"/>
          <w:kern w:val="0"/>
          <w:sz w:val="24"/>
          <w:szCs w:val="24"/>
          <w:u w:val="single"/>
        </w:rPr>
        <w:t>&lt;&lt;返回临床试验指导性文件</w:t>
      </w:r>
      <w:r>
        <w:rPr>
          <w:rFonts w:eastAsia="宋体"/>
          <w:b/>
          <w:snapToGrid w:val="0"/>
          <w:kern w:val="0"/>
          <w:sz w:val="24"/>
          <w:szCs w:val="24"/>
          <w:u w:val="single"/>
        </w:rPr>
        <w:cr/>
      </w:r>
      <w:r>
        <w:rPr>
          <w:rFonts w:eastAsia="宋体"/>
          <w:b/>
          <w:snapToGrid w:val="0"/>
          <w:kern w:val="0"/>
          <w:sz w:val="24"/>
          <w:szCs w:val="24"/>
          <w:u w:val="single"/>
        </w:rPr>
        <w:t>（</w:t>
      </w:r>
      <w:r>
        <w:rPr>
          <w:rFonts w:hint="eastAsia" w:eastAsia="宋体"/>
          <w:b/>
          <w:snapToGrid w:val="0"/>
          <w:kern w:val="0"/>
          <w:sz w:val="24"/>
          <w:szCs w:val="24"/>
          <w:u w:val="single"/>
        </w:rPr>
        <w:t>/RegulatoryInformation/Guidances/ucm122046.htm</w:t>
      </w:r>
      <w:r>
        <w:rPr>
          <w:rFonts w:eastAsia="宋体"/>
          <w:b/>
          <w:snapToGrid w:val="0"/>
          <w:kern w:val="0"/>
          <w:sz w:val="24"/>
          <w:szCs w:val="24"/>
          <w:u w:val="single"/>
        </w:rPr>
        <w:t>）</w:t>
      </w:r>
    </w:p>
    <w:p w14:paraId="51447465">
      <w:pPr>
        <w:pStyle w:val="41"/>
        <w:shd w:val="clear" w:color="auto" w:fill="auto"/>
        <w:topLinePunct/>
        <w:adjustRightInd w:val="0"/>
        <w:snapToGrid w:val="0"/>
        <w:spacing w:before="0" w:after="326" w:afterLines="100" w:line="300" w:lineRule="auto"/>
        <w:jc w:val="both"/>
        <w:rPr>
          <w:rFonts w:eastAsia="宋体"/>
          <w:snapToGrid w:val="0"/>
          <w:kern w:val="0"/>
          <w:sz w:val="24"/>
          <w:szCs w:val="24"/>
        </w:rPr>
      </w:pPr>
      <w:r>
        <w:rPr>
          <w:rFonts w:hint="eastAsia" w:eastAsia="宋体"/>
          <w:snapToGrid w:val="0"/>
          <w:kern w:val="0"/>
          <w:sz w:val="24"/>
          <w:szCs w:val="24"/>
        </w:rPr>
        <w:t>以下为</w:t>
      </w:r>
      <w:r>
        <w:rPr>
          <w:rFonts w:eastAsia="宋体"/>
          <w:snapToGrid w:val="0"/>
          <w:kern w:val="0"/>
          <w:sz w:val="24"/>
          <w:szCs w:val="24"/>
        </w:rPr>
        <w:t>FDA</w:t>
      </w:r>
      <w:r>
        <w:rPr>
          <w:rFonts w:hint="eastAsia" w:eastAsia="宋体"/>
          <w:snapToGrid w:val="0"/>
          <w:kern w:val="0"/>
          <w:sz w:val="24"/>
          <w:szCs w:val="24"/>
        </w:rPr>
        <w:t>有关受试者保护问题的答案汇编。为便于参考，本节内问题的分配编号是连续的。此类问题和答案汇编如下。</w:t>
      </w:r>
    </w:p>
    <w:p w14:paraId="7B6592A8">
      <w:pPr>
        <w:pStyle w:val="41"/>
        <w:numPr>
          <w:ilvl w:val="0"/>
          <w:numId w:val="2"/>
        </w:numPr>
        <w:shd w:val="clear" w:color="auto" w:fill="auto"/>
        <w:topLinePunct/>
        <w:adjustRightInd w:val="0"/>
        <w:snapToGrid w:val="0"/>
        <w:spacing w:before="0" w:after="244" w:afterLines="75" w:line="300" w:lineRule="auto"/>
        <w:ind w:left="602" w:hanging="602"/>
        <w:jc w:val="both"/>
        <w:rPr>
          <w:rFonts w:eastAsia="宋体"/>
          <w:b/>
          <w:snapToGrid w:val="0"/>
          <w:kern w:val="0"/>
          <w:sz w:val="24"/>
          <w:szCs w:val="24"/>
          <w:u w:val="single"/>
        </w:rPr>
      </w:pPr>
      <w:r>
        <w:rPr>
          <w:rFonts w:hint="eastAsia" w:eastAsia="宋体"/>
          <w:b/>
          <w:snapToGrid w:val="0"/>
          <w:kern w:val="0"/>
          <w:sz w:val="24"/>
          <w:szCs w:val="24"/>
          <w:u w:val="single"/>
        </w:rPr>
        <w:t>IRB机构</w:t>
      </w:r>
    </w:p>
    <w:p w14:paraId="5BD49984">
      <w:pPr>
        <w:pStyle w:val="41"/>
        <w:numPr>
          <w:ilvl w:val="0"/>
          <w:numId w:val="2"/>
        </w:numPr>
        <w:shd w:val="clear" w:color="auto" w:fill="auto"/>
        <w:topLinePunct/>
        <w:adjustRightInd w:val="0"/>
        <w:snapToGrid w:val="0"/>
        <w:spacing w:before="0" w:after="244" w:afterLines="75" w:line="300" w:lineRule="auto"/>
        <w:ind w:left="602" w:hanging="602"/>
        <w:jc w:val="both"/>
        <w:rPr>
          <w:rFonts w:eastAsia="宋体"/>
          <w:b/>
          <w:snapToGrid w:val="0"/>
          <w:kern w:val="0"/>
          <w:sz w:val="24"/>
          <w:szCs w:val="24"/>
          <w:u w:val="single"/>
        </w:rPr>
      </w:pPr>
      <w:r>
        <w:rPr>
          <w:rFonts w:hint="eastAsia" w:eastAsia="宋体"/>
          <w:b/>
          <w:snapToGrid w:val="0"/>
          <w:kern w:val="0"/>
          <w:sz w:val="24"/>
          <w:szCs w:val="24"/>
          <w:u w:val="single"/>
        </w:rPr>
        <w:t>IRB成员资格</w:t>
      </w:r>
    </w:p>
    <w:p w14:paraId="4EB0F7C1">
      <w:pPr>
        <w:pStyle w:val="41"/>
        <w:numPr>
          <w:ilvl w:val="0"/>
          <w:numId w:val="2"/>
        </w:numPr>
        <w:shd w:val="clear" w:color="auto" w:fill="auto"/>
        <w:topLinePunct/>
        <w:adjustRightInd w:val="0"/>
        <w:snapToGrid w:val="0"/>
        <w:spacing w:before="0" w:after="244" w:afterLines="75" w:line="300" w:lineRule="auto"/>
        <w:ind w:left="602" w:hanging="602"/>
        <w:jc w:val="both"/>
        <w:rPr>
          <w:rFonts w:eastAsia="宋体"/>
          <w:b/>
          <w:snapToGrid w:val="0"/>
          <w:kern w:val="0"/>
          <w:sz w:val="24"/>
          <w:szCs w:val="24"/>
          <w:u w:val="single"/>
        </w:rPr>
      </w:pPr>
      <w:r>
        <w:rPr>
          <w:rFonts w:hint="eastAsia" w:eastAsia="宋体"/>
          <w:b/>
          <w:snapToGrid w:val="0"/>
          <w:kern w:val="0"/>
          <w:sz w:val="24"/>
          <w:szCs w:val="24"/>
          <w:u w:val="single"/>
        </w:rPr>
        <w:t>IRB程序</w:t>
      </w:r>
    </w:p>
    <w:p w14:paraId="66030A09">
      <w:pPr>
        <w:pStyle w:val="41"/>
        <w:numPr>
          <w:ilvl w:val="0"/>
          <w:numId w:val="2"/>
        </w:numPr>
        <w:shd w:val="clear" w:color="auto" w:fill="auto"/>
        <w:topLinePunct/>
        <w:adjustRightInd w:val="0"/>
        <w:snapToGrid w:val="0"/>
        <w:spacing w:before="0" w:after="244" w:afterLines="75" w:line="300" w:lineRule="auto"/>
        <w:ind w:left="602" w:hanging="602"/>
        <w:jc w:val="both"/>
        <w:rPr>
          <w:rFonts w:eastAsia="宋体"/>
          <w:b/>
          <w:snapToGrid w:val="0"/>
          <w:kern w:val="0"/>
          <w:sz w:val="24"/>
          <w:szCs w:val="24"/>
          <w:u w:val="single"/>
        </w:rPr>
      </w:pPr>
      <w:r>
        <w:rPr>
          <w:rFonts w:hint="eastAsia" w:eastAsia="宋体"/>
          <w:b/>
          <w:snapToGrid w:val="0"/>
          <w:kern w:val="0"/>
          <w:sz w:val="24"/>
          <w:szCs w:val="24"/>
          <w:u w:val="single"/>
        </w:rPr>
        <w:t>IRB记录</w:t>
      </w:r>
    </w:p>
    <w:p w14:paraId="211F05CD">
      <w:pPr>
        <w:pStyle w:val="41"/>
        <w:numPr>
          <w:ilvl w:val="0"/>
          <w:numId w:val="2"/>
        </w:numPr>
        <w:shd w:val="clear" w:color="auto" w:fill="auto"/>
        <w:topLinePunct/>
        <w:adjustRightInd w:val="0"/>
        <w:snapToGrid w:val="0"/>
        <w:spacing w:before="0" w:after="244" w:afterLines="75" w:line="300" w:lineRule="auto"/>
        <w:ind w:left="602" w:hanging="602"/>
        <w:jc w:val="both"/>
        <w:rPr>
          <w:rFonts w:eastAsia="宋体"/>
          <w:b/>
          <w:snapToGrid w:val="0"/>
          <w:kern w:val="0"/>
          <w:sz w:val="24"/>
          <w:szCs w:val="24"/>
          <w:u w:val="single"/>
        </w:rPr>
      </w:pPr>
      <w:r>
        <w:rPr>
          <w:rFonts w:hint="eastAsia" w:eastAsia="宋体"/>
          <w:b/>
          <w:snapToGrid w:val="0"/>
          <w:kern w:val="0"/>
          <w:sz w:val="24"/>
          <w:szCs w:val="24"/>
          <w:u w:val="single"/>
        </w:rPr>
        <w:t>知情同意程序</w:t>
      </w:r>
    </w:p>
    <w:p w14:paraId="2C78F929">
      <w:pPr>
        <w:pStyle w:val="41"/>
        <w:numPr>
          <w:ilvl w:val="0"/>
          <w:numId w:val="2"/>
        </w:numPr>
        <w:shd w:val="clear" w:color="auto" w:fill="auto"/>
        <w:topLinePunct/>
        <w:adjustRightInd w:val="0"/>
        <w:snapToGrid w:val="0"/>
        <w:spacing w:before="0" w:after="244" w:afterLines="75" w:line="300" w:lineRule="auto"/>
        <w:ind w:left="602" w:hanging="602"/>
        <w:jc w:val="both"/>
        <w:rPr>
          <w:rFonts w:eastAsia="宋体"/>
          <w:b/>
          <w:snapToGrid w:val="0"/>
          <w:kern w:val="0"/>
          <w:sz w:val="24"/>
          <w:szCs w:val="24"/>
          <w:u w:val="single"/>
        </w:rPr>
      </w:pPr>
      <w:r>
        <w:rPr>
          <w:rFonts w:hint="eastAsia" w:eastAsia="宋体"/>
          <w:b/>
          <w:snapToGrid w:val="0"/>
          <w:kern w:val="0"/>
          <w:sz w:val="24"/>
          <w:szCs w:val="24"/>
          <w:u w:val="single"/>
        </w:rPr>
        <w:t>知情同意文件的内容</w:t>
      </w:r>
    </w:p>
    <w:p w14:paraId="02F15FDD">
      <w:pPr>
        <w:pStyle w:val="41"/>
        <w:numPr>
          <w:ilvl w:val="0"/>
          <w:numId w:val="2"/>
        </w:numPr>
        <w:shd w:val="clear" w:color="auto" w:fill="auto"/>
        <w:topLinePunct/>
        <w:adjustRightInd w:val="0"/>
        <w:snapToGrid w:val="0"/>
        <w:spacing w:before="0" w:after="244" w:afterLines="75" w:line="300" w:lineRule="auto"/>
        <w:ind w:left="602" w:hanging="602"/>
        <w:jc w:val="both"/>
        <w:rPr>
          <w:rFonts w:eastAsia="宋体"/>
          <w:b/>
          <w:snapToGrid w:val="0"/>
          <w:kern w:val="0"/>
          <w:sz w:val="24"/>
          <w:szCs w:val="24"/>
          <w:u w:val="single"/>
        </w:rPr>
      </w:pPr>
      <w:r>
        <w:rPr>
          <w:rFonts w:hint="eastAsia" w:eastAsia="宋体"/>
          <w:b/>
          <w:snapToGrid w:val="0"/>
          <w:kern w:val="0"/>
          <w:sz w:val="24"/>
          <w:szCs w:val="24"/>
          <w:u w:val="single"/>
        </w:rPr>
        <w:t>临床研究</w:t>
      </w:r>
    </w:p>
    <w:p w14:paraId="07106CEB">
      <w:pPr>
        <w:pStyle w:val="41"/>
        <w:numPr>
          <w:ilvl w:val="0"/>
          <w:numId w:val="2"/>
        </w:numPr>
        <w:shd w:val="clear" w:color="auto" w:fill="auto"/>
        <w:topLinePunct/>
        <w:adjustRightInd w:val="0"/>
        <w:snapToGrid w:val="0"/>
        <w:spacing w:before="0" w:after="244" w:afterLines="75" w:line="300" w:lineRule="auto"/>
        <w:ind w:left="602" w:hanging="602"/>
        <w:jc w:val="both"/>
        <w:rPr>
          <w:rFonts w:eastAsia="宋体"/>
          <w:b/>
          <w:snapToGrid w:val="0"/>
          <w:kern w:val="0"/>
          <w:sz w:val="24"/>
          <w:szCs w:val="24"/>
          <w:u w:val="single"/>
        </w:rPr>
      </w:pPr>
      <w:r>
        <w:rPr>
          <w:rFonts w:hint="eastAsia" w:eastAsia="宋体"/>
          <w:b/>
          <w:snapToGrid w:val="0"/>
          <w:kern w:val="0"/>
          <w:sz w:val="24"/>
          <w:szCs w:val="24"/>
          <w:u w:val="single"/>
        </w:rPr>
        <w:t>一般问题</w:t>
      </w:r>
    </w:p>
    <w:p w14:paraId="17E01953">
      <w:pPr>
        <w:pStyle w:val="41"/>
        <w:pBdr>
          <w:bottom w:val="single" w:color="C0C0C0" w:sz="4" w:space="1"/>
        </w:pBdr>
        <w:shd w:val="clear" w:color="auto" w:fill="auto"/>
        <w:topLinePunct/>
        <w:adjustRightInd w:val="0"/>
        <w:snapToGrid w:val="0"/>
        <w:spacing w:before="0" w:after="244" w:afterLines="75" w:line="300" w:lineRule="auto"/>
        <w:jc w:val="both"/>
        <w:rPr>
          <w:rFonts w:eastAsia="宋体"/>
          <w:b/>
          <w:snapToGrid w:val="0"/>
          <w:kern w:val="0"/>
          <w:sz w:val="2"/>
          <w:szCs w:val="2"/>
        </w:rPr>
      </w:pPr>
    </w:p>
    <w:p w14:paraId="532D3C25">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I. IRB机构</w:t>
      </w:r>
    </w:p>
    <w:p w14:paraId="3BF6F593">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1.什么是机构审查委员会（IRB）？</w:t>
      </w:r>
    </w:p>
    <w:p w14:paraId="1791C19E">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根据</w:t>
      </w:r>
      <w:r>
        <w:rPr>
          <w:rFonts w:eastAsia="宋体"/>
          <w:snapToGrid w:val="0"/>
          <w:kern w:val="0"/>
          <w:sz w:val="24"/>
          <w:szCs w:val="24"/>
        </w:rPr>
        <w:t>FDA</w:t>
      </w:r>
      <w:r>
        <w:rPr>
          <w:rFonts w:hint="eastAsia" w:eastAsia="宋体"/>
          <w:snapToGrid w:val="0"/>
          <w:kern w:val="0"/>
          <w:sz w:val="24"/>
          <w:szCs w:val="24"/>
        </w:rPr>
        <w:t>规定，</w:t>
      </w:r>
      <w:r>
        <w:rPr>
          <w:rFonts w:eastAsia="宋体"/>
          <w:snapToGrid w:val="0"/>
          <w:kern w:val="0"/>
          <w:sz w:val="24"/>
          <w:szCs w:val="24"/>
        </w:rPr>
        <w:t>IRB是一</w:t>
      </w:r>
      <w:r>
        <w:rPr>
          <w:rFonts w:hint="eastAsia" w:eastAsia="宋体"/>
          <w:snapToGrid w:val="0"/>
          <w:kern w:val="0"/>
          <w:sz w:val="24"/>
          <w:szCs w:val="24"/>
        </w:rPr>
        <w:t>个适当组成的小组，已正式指定审查和监控受试者生物医学研究。</w:t>
      </w:r>
      <w:r>
        <w:rPr>
          <w:rFonts w:eastAsia="宋体"/>
          <w:snapToGrid w:val="0"/>
          <w:kern w:val="0"/>
          <w:sz w:val="24"/>
          <w:szCs w:val="24"/>
        </w:rPr>
        <w:t>根据FDA</w:t>
      </w:r>
      <w:r>
        <w:rPr>
          <w:rFonts w:hint="eastAsia" w:eastAsia="宋体"/>
          <w:snapToGrid w:val="0"/>
          <w:kern w:val="0"/>
          <w:sz w:val="24"/>
          <w:szCs w:val="24"/>
        </w:rPr>
        <w:t>规定，</w:t>
      </w:r>
      <w:r>
        <w:rPr>
          <w:rFonts w:eastAsia="宋体"/>
          <w:snapToGrid w:val="0"/>
          <w:kern w:val="0"/>
          <w:sz w:val="24"/>
          <w:szCs w:val="24"/>
        </w:rPr>
        <w:t>IRB有</w:t>
      </w:r>
      <w:r>
        <w:rPr>
          <w:rFonts w:hint="eastAsia" w:eastAsia="宋体"/>
          <w:snapToGrid w:val="0"/>
          <w:kern w:val="0"/>
          <w:sz w:val="24"/>
          <w:szCs w:val="24"/>
        </w:rPr>
        <w:t>权批准、要求修改（以获得批准）或驳回研究。该小组审查在保护研究受试者的权利和福利方面发挥了重要作用。</w:t>
      </w:r>
    </w:p>
    <w:p w14:paraId="005A4C15">
      <w:pPr>
        <w:spacing w:after="0" w:line="240" w:lineRule="auto"/>
        <w:rPr>
          <w:rFonts w:ascii="Arial" w:hAnsi="Arial" w:eastAsia="宋体" w:cs="Arial"/>
          <w:snapToGrid w:val="0"/>
        </w:rPr>
      </w:pPr>
      <w:r>
        <w:rPr>
          <w:rFonts w:ascii="Arial" w:hAnsi="Arial" w:eastAsia="宋体" w:cs="Arial"/>
          <w:snapToGrid w:val="0"/>
        </w:rPr>
        <w:br w:type="page"/>
      </w:r>
    </w:p>
    <w:p w14:paraId="1839D4DE">
      <w:pPr>
        <w:widowControl w:val="0"/>
        <w:topLinePunct/>
        <w:adjustRightInd w:val="0"/>
        <w:snapToGrid w:val="0"/>
        <w:spacing w:after="244" w:afterLines="75" w:line="300" w:lineRule="auto"/>
        <w:jc w:val="both"/>
        <w:rPr>
          <w:rFonts w:ascii="Arial" w:hAnsi="Arial" w:eastAsia="宋体" w:cs="Arial"/>
          <w:snapToGrid w:val="0"/>
        </w:rPr>
      </w:pPr>
      <w:r>
        <w:rPr>
          <w:rFonts w:ascii="Arial" w:hAnsi="Arial" w:eastAsia="宋体" w:cs="Arial"/>
          <w:snapToGrid w:val="0"/>
        </w:rPr>
        <w:t>IRB</w:t>
      </w:r>
      <w:r>
        <w:rPr>
          <w:rFonts w:hint="eastAsia" w:ascii="Arial" w:hAnsi="Arial" w:eastAsia="宋体" w:cs="Arial"/>
          <w:snapToGrid w:val="0"/>
        </w:rPr>
        <w:t>审查（事前审查和定期审查）旨在确保采取适当措施来保护作为受试者参与研究的权利和福利。为达到这个目的，</w:t>
      </w:r>
      <w:r>
        <w:rPr>
          <w:rFonts w:ascii="Arial" w:hAnsi="Arial" w:eastAsia="宋体" w:cs="Arial"/>
          <w:snapToGrid w:val="0"/>
        </w:rPr>
        <w:t>IRB</w:t>
      </w:r>
      <w:r>
        <w:rPr>
          <w:rFonts w:hint="eastAsia" w:ascii="Arial" w:hAnsi="Arial" w:eastAsia="宋体" w:cs="Arial"/>
          <w:snapToGrid w:val="0"/>
        </w:rPr>
        <w:t>采</w:t>
      </w:r>
      <w:r>
        <w:rPr>
          <w:rFonts w:ascii="Arial" w:hAnsi="Arial" w:eastAsia="宋体" w:cs="Arial"/>
          <w:snapToGrid w:val="0"/>
        </w:rPr>
        <w:t>用</w:t>
      </w:r>
      <w:r>
        <w:rPr>
          <w:rFonts w:hint="eastAsia" w:ascii="Arial" w:hAnsi="Arial" w:eastAsia="宋体" w:cs="Arial"/>
          <w:snapToGrid w:val="0"/>
        </w:rPr>
        <w:t>小组程序来审查研究方案和相关资料（例如，知情同意文件和研究者手册），以确保参与研究的受试者的权利和福利得到保护。</w:t>
      </w:r>
    </w:p>
    <w:p w14:paraId="2DF0CDDE">
      <w:pPr>
        <w:widowControl w:val="0"/>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2. IRB必须以该名称作为正式称呼吗？</w:t>
      </w:r>
    </w:p>
    <w:p w14:paraId="2C21A9B4">
      <w:pPr>
        <w:widowControl w:val="0"/>
        <w:topLinePunct/>
        <w:adjustRightInd w:val="0"/>
        <w:snapToGrid w:val="0"/>
        <w:spacing w:after="244" w:afterLines="75" w:line="300" w:lineRule="auto"/>
        <w:jc w:val="both"/>
        <w:rPr>
          <w:rFonts w:ascii="Arial" w:hAnsi="Arial" w:eastAsia="宋体" w:cs="Arial"/>
          <w:snapToGrid w:val="0"/>
        </w:rPr>
      </w:pPr>
      <w:r>
        <w:rPr>
          <w:rFonts w:hint="eastAsia" w:ascii="Arial" w:hAnsi="Arial" w:eastAsia="宋体" w:cs="Arial"/>
          <w:snapToGrid w:val="0"/>
          <w:szCs w:val="24"/>
        </w:rPr>
        <w:t>否。</w:t>
      </w:r>
      <w:r>
        <w:rPr>
          <w:rFonts w:hint="eastAsia" w:ascii="宋体" w:hAnsi="宋体" w:eastAsia="宋体" w:cs="Arial"/>
          <w:snapToGrid w:val="0"/>
        </w:rPr>
        <w:t>“</w:t>
      </w:r>
      <w:r>
        <w:rPr>
          <w:rFonts w:ascii="Arial" w:hAnsi="Arial" w:eastAsia="宋体" w:cs="Arial"/>
          <w:snapToGrid w:val="0"/>
        </w:rPr>
        <w:t>IRB</w:t>
      </w:r>
      <w:r>
        <w:rPr>
          <w:rFonts w:ascii="宋体" w:hAnsi="宋体" w:eastAsia="宋体" w:cs="Arial"/>
          <w:snapToGrid w:val="0"/>
        </w:rPr>
        <w:t>”</w:t>
      </w:r>
      <w:r>
        <w:rPr>
          <w:rFonts w:ascii="Arial" w:hAnsi="Arial" w:eastAsia="宋体" w:cs="Arial"/>
          <w:snapToGrid w:val="0"/>
        </w:rPr>
        <w:t>是FDA（和HHS）使用的</w:t>
      </w:r>
      <w:r>
        <w:rPr>
          <w:rFonts w:hint="eastAsia" w:ascii="Arial" w:hAnsi="Arial" w:eastAsia="宋体" w:cs="Arial"/>
          <w:snapToGrid w:val="0"/>
        </w:rPr>
        <w:t>通用术语，指的是一个小组，其功能是审查研究以确保参与研究的受试者的权利和福利得到保护。</w:t>
      </w:r>
      <w:r>
        <w:rPr>
          <w:rFonts w:ascii="Arial" w:hAnsi="Arial" w:eastAsia="宋体" w:cs="Arial"/>
          <w:snapToGrid w:val="0"/>
        </w:rPr>
        <w:t>每</w:t>
      </w:r>
      <w:r>
        <w:rPr>
          <w:rFonts w:hint="eastAsia" w:ascii="Arial" w:hAnsi="Arial" w:eastAsia="宋体" w:cs="Arial"/>
          <w:snapToGrid w:val="0"/>
        </w:rPr>
        <w:t>个机构可以使用其选择的任何名称，但</w:t>
      </w:r>
      <w:r>
        <w:rPr>
          <w:rFonts w:ascii="Arial" w:hAnsi="Arial" w:eastAsia="宋体" w:cs="Arial"/>
          <w:snapToGrid w:val="0"/>
        </w:rPr>
        <w:t>不管</w:t>
      </w:r>
      <w:r>
        <w:rPr>
          <w:rFonts w:hint="eastAsia" w:ascii="Arial" w:hAnsi="Arial" w:eastAsia="宋体" w:cs="Arial"/>
          <w:snapToGrid w:val="0"/>
        </w:rPr>
        <w:t>选择何种名称，其在审查和批准FDA监管的产品所进行的研究时，</w:t>
      </w:r>
      <w:r>
        <w:rPr>
          <w:rFonts w:ascii="Arial" w:hAnsi="Arial" w:eastAsia="宋体" w:cs="Arial"/>
          <w:snapToGrid w:val="0"/>
        </w:rPr>
        <w:t>IRB</w:t>
      </w:r>
      <w:r>
        <w:rPr>
          <w:rFonts w:hint="eastAsia" w:ascii="Arial" w:hAnsi="Arial" w:eastAsia="宋体" w:cs="Arial"/>
          <w:snapToGrid w:val="0"/>
        </w:rPr>
        <w:t>需遵循该机构的</w:t>
      </w:r>
      <w:r>
        <w:rPr>
          <w:rFonts w:ascii="Arial" w:hAnsi="Arial" w:eastAsia="宋体" w:cs="Arial"/>
          <w:snapToGrid w:val="0"/>
        </w:rPr>
        <w:t>IRB</w:t>
      </w:r>
      <w:r>
        <w:rPr>
          <w:rFonts w:hint="eastAsia" w:ascii="Arial" w:hAnsi="Arial" w:eastAsia="宋体" w:cs="Arial"/>
          <w:snapToGrid w:val="0"/>
        </w:rPr>
        <w:t>法规。</w:t>
      </w:r>
    </w:p>
    <w:p w14:paraId="219105D2">
      <w:pPr>
        <w:widowControl w:val="0"/>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 xml:space="preserve">3. </w:t>
      </w:r>
      <w:r>
        <w:rPr>
          <w:rFonts w:ascii="Arial" w:hAnsi="Arial" w:eastAsia="宋体" w:cs="Arial"/>
          <w:b/>
          <w:snapToGrid w:val="0"/>
          <w:szCs w:val="24"/>
        </w:rPr>
        <w:t>IRB</w:t>
      </w:r>
      <w:r>
        <w:rPr>
          <w:rFonts w:hint="eastAsia" w:ascii="Arial" w:hAnsi="Arial" w:eastAsia="宋体" w:cs="Arial"/>
          <w:b/>
          <w:snapToGrid w:val="0"/>
          <w:szCs w:val="24"/>
        </w:rPr>
        <w:t>是否需要在批准研究之前取得</w:t>
      </w:r>
      <w:r>
        <w:rPr>
          <w:rFonts w:ascii="Arial" w:hAnsi="Arial" w:eastAsia="宋体" w:cs="Arial"/>
          <w:b/>
          <w:snapToGrid w:val="0"/>
          <w:szCs w:val="24"/>
        </w:rPr>
        <w:t>FDA</w:t>
      </w:r>
      <w:r>
        <w:rPr>
          <w:rFonts w:hint="eastAsia" w:ascii="Arial" w:hAnsi="Arial" w:eastAsia="宋体" w:cs="Arial"/>
          <w:b/>
          <w:snapToGrid w:val="0"/>
          <w:szCs w:val="24"/>
        </w:rPr>
        <w:t>注册？</w:t>
      </w:r>
    </w:p>
    <w:p w14:paraId="2CEDFE5C">
      <w:pPr>
        <w:widowControl w:val="0"/>
        <w:topLinePunct/>
        <w:adjustRightInd w:val="0"/>
        <w:snapToGrid w:val="0"/>
        <w:spacing w:after="244" w:afterLines="75" w:line="300" w:lineRule="auto"/>
        <w:jc w:val="both"/>
        <w:rPr>
          <w:rFonts w:ascii="Arial" w:hAnsi="Arial" w:eastAsia="宋体" w:cs="Arial"/>
          <w:snapToGrid w:val="0"/>
        </w:rPr>
      </w:pPr>
      <w:r>
        <w:rPr>
          <w:rFonts w:hint="eastAsia" w:ascii="Arial" w:hAnsi="Arial" w:eastAsia="宋体" w:cs="Arial"/>
          <w:snapToGrid w:val="0"/>
        </w:rPr>
        <w:t>如</w:t>
      </w:r>
      <w:r>
        <w:rPr>
          <w:rFonts w:ascii="Arial" w:hAnsi="Arial" w:eastAsia="宋体" w:cs="Arial"/>
          <w:snapToGrid w:val="0"/>
        </w:rPr>
        <w:t>2009年1月15日</w:t>
      </w:r>
      <w:r>
        <w:rPr>
          <w:rFonts w:hint="eastAsia" w:ascii="Arial" w:hAnsi="Arial" w:eastAsia="宋体" w:cs="Arial"/>
          <w:snapToGrid w:val="0"/>
        </w:rPr>
        <w:t>联邦公报上所发布的，（</w:t>
      </w:r>
      <w:r>
        <w:rPr>
          <w:rFonts w:ascii="Arial" w:hAnsi="Arial" w:eastAsia="宋体" w:cs="Arial"/>
          <w:snapToGrid w:val="0"/>
        </w:rPr>
        <w:t>74 FR 2358</w:t>
      </w:r>
      <w:r>
        <w:rPr>
          <w:rFonts w:hint="eastAsia" w:ascii="Arial" w:hAnsi="Arial" w:eastAsia="宋体" w:cs="Arial"/>
          <w:snapToGrid w:val="0"/>
        </w:rPr>
        <w:t>）</w:t>
      </w:r>
      <w:r>
        <w:rPr>
          <w:rFonts w:ascii="Arial" w:hAnsi="Arial" w:eastAsia="宋体" w:cs="Arial"/>
          <w:snapToGrid w:val="0"/>
        </w:rPr>
        <w:t>，21 CFR第56部分，机构</w:t>
      </w:r>
      <w:r>
        <w:rPr>
          <w:rFonts w:hint="eastAsia" w:ascii="Arial" w:hAnsi="Arial" w:eastAsia="宋体" w:cs="Arial"/>
          <w:snapToGrid w:val="0"/>
        </w:rPr>
        <w:t>审查委员会对</w:t>
      </w:r>
      <w:r>
        <w:rPr>
          <w:rFonts w:ascii="Arial" w:hAnsi="Arial" w:eastAsia="宋体" w:cs="Arial"/>
          <w:snapToGrid w:val="0"/>
        </w:rPr>
        <w:t>IRB注</w:t>
      </w:r>
      <w:r>
        <w:rPr>
          <w:rFonts w:hint="eastAsia" w:ascii="Arial" w:hAnsi="Arial" w:eastAsia="宋体" w:cs="Arial"/>
          <w:snapToGrid w:val="0"/>
        </w:rPr>
        <w:t>册（</w:t>
      </w:r>
      <w:r>
        <w:rPr>
          <w:rFonts w:ascii="Arial" w:hAnsi="Arial" w:eastAsia="宋体" w:cs="Arial"/>
          <w:snapToGrid w:val="0"/>
        </w:rPr>
        <w:t>21 CFR 56.106</w:t>
      </w:r>
      <w:r>
        <w:rPr>
          <w:rFonts w:hint="eastAsia" w:ascii="Arial" w:hAnsi="Arial" w:eastAsia="宋体" w:cs="Arial"/>
          <w:snapToGrid w:val="0"/>
        </w:rPr>
        <w:t>）进行了修订</w:t>
      </w:r>
      <w:r>
        <w:rPr>
          <w:rFonts w:ascii="Arial" w:hAnsi="Arial" w:eastAsia="宋体" w:cs="Arial"/>
          <w:snapToGrid w:val="0"/>
        </w:rPr>
        <w:t>。</w:t>
      </w:r>
      <w:r>
        <w:rPr>
          <w:rFonts w:hint="eastAsia" w:ascii="Arial" w:hAnsi="Arial" w:eastAsia="宋体" w:cs="Arial"/>
          <w:snapToGrid w:val="0"/>
        </w:rPr>
        <w:t>该修正案要求在美国（U.S.）审查</w:t>
      </w:r>
      <w:r>
        <w:rPr>
          <w:rFonts w:ascii="Arial" w:hAnsi="Arial" w:eastAsia="宋体" w:cs="Arial"/>
          <w:snapToGrid w:val="0"/>
        </w:rPr>
        <w:t>FDA</w:t>
      </w:r>
      <w:r>
        <w:rPr>
          <w:rFonts w:hint="eastAsia" w:ascii="Arial" w:hAnsi="Arial" w:eastAsia="宋体" w:cs="Arial"/>
          <w:snapToGrid w:val="0"/>
        </w:rPr>
        <w:t>监管研究的每个</w:t>
      </w:r>
      <w:r>
        <w:rPr>
          <w:rFonts w:ascii="Arial" w:hAnsi="Arial" w:eastAsia="宋体" w:cs="Arial"/>
          <w:snapToGrid w:val="0"/>
        </w:rPr>
        <w:t>IRB</w:t>
      </w:r>
      <w:r>
        <w:rPr>
          <w:rFonts w:hint="eastAsia" w:ascii="Arial" w:hAnsi="Arial" w:eastAsia="宋体" w:cs="Arial"/>
          <w:snapToGrid w:val="0"/>
        </w:rPr>
        <w:t>均需注册。</w:t>
      </w:r>
      <w:r>
        <w:rPr>
          <w:rFonts w:ascii="Arial" w:hAnsi="Arial" w:eastAsia="宋体" w:cs="Arial"/>
          <w:snapToGrid w:val="0"/>
        </w:rPr>
        <w:t>IRB</w:t>
      </w:r>
      <w:r>
        <w:rPr>
          <w:rFonts w:hint="eastAsia" w:ascii="Arial" w:hAnsi="Arial" w:eastAsia="宋体" w:cs="Arial"/>
          <w:snapToGrid w:val="0"/>
        </w:rPr>
        <w:t>的</w:t>
      </w:r>
      <w:r>
        <w:rPr>
          <w:rFonts w:ascii="Arial" w:hAnsi="Arial" w:eastAsia="宋体" w:cs="Arial"/>
          <w:snapToGrid w:val="0"/>
        </w:rPr>
        <w:t>注</w:t>
      </w:r>
      <w:r>
        <w:rPr>
          <w:rFonts w:hint="eastAsia" w:ascii="Arial" w:hAnsi="Arial" w:eastAsia="宋体" w:cs="Arial"/>
          <w:snapToGrid w:val="0"/>
        </w:rPr>
        <w:t>册信息被输入到由卫生和人类服务署（</w:t>
      </w:r>
      <w:r>
        <w:rPr>
          <w:rFonts w:ascii="Arial" w:hAnsi="Arial" w:eastAsia="宋体" w:cs="Arial"/>
          <w:snapToGrid w:val="0"/>
        </w:rPr>
        <w:t>HHS</w:t>
      </w:r>
      <w:r>
        <w:rPr>
          <w:rFonts w:hint="eastAsia" w:ascii="Arial" w:hAnsi="Arial" w:eastAsia="宋体" w:cs="Arial"/>
          <w:snapToGrid w:val="0"/>
        </w:rPr>
        <w:t>）维护的基于互联网的注册系统。</w:t>
      </w:r>
      <w:r>
        <w:rPr>
          <w:rFonts w:ascii="Arial" w:hAnsi="Arial" w:eastAsia="宋体" w:cs="Arial"/>
          <w:snapToGrid w:val="0"/>
        </w:rPr>
        <w:t>（</w:t>
      </w:r>
      <w:r>
        <w:rPr>
          <w:rFonts w:hint="eastAsia" w:ascii="Arial" w:hAnsi="Arial" w:eastAsia="宋体" w:cs="Arial"/>
          <w:snapToGrid w:val="0"/>
        </w:rPr>
        <w:t>见</w:t>
      </w:r>
      <w:r>
        <w:rPr>
          <w:rFonts w:hint="eastAsia" w:ascii="Arial" w:hAnsi="Arial" w:eastAsia="宋体" w:cs="Arial"/>
          <w:b/>
          <w:snapToGrid w:val="0"/>
          <w:u w:val="single"/>
        </w:rPr>
        <w:t>机构审查委员会（</w:t>
      </w:r>
      <w:r>
        <w:rPr>
          <w:rFonts w:ascii="Arial" w:hAnsi="Arial" w:eastAsia="宋体" w:cs="Arial"/>
          <w:b/>
          <w:snapToGrid w:val="0"/>
          <w:u w:val="single"/>
        </w:rPr>
        <w:t>IRB</w:t>
      </w:r>
      <w:r>
        <w:rPr>
          <w:rFonts w:hint="eastAsia" w:ascii="Arial" w:hAnsi="Arial" w:eastAsia="宋体" w:cs="Arial"/>
          <w:b/>
          <w:snapToGrid w:val="0"/>
          <w:u w:val="single"/>
        </w:rPr>
        <w:t>）的常见问题指南</w:t>
      </w:r>
      <w:r>
        <w:rPr>
          <w:rFonts w:ascii="Arial" w:hAnsi="Arial" w:eastAsia="宋体" w:cs="Arial"/>
          <w:b/>
          <w:snapToGrid w:val="0"/>
          <w:u w:val="single"/>
        </w:rPr>
        <w:t>- IRB注</w:t>
      </w:r>
      <w:r>
        <w:rPr>
          <w:rFonts w:hint="eastAsia" w:ascii="Arial" w:hAnsi="Arial" w:eastAsia="宋体" w:cs="Arial"/>
          <w:b/>
          <w:snapToGrid w:val="0"/>
          <w:u w:val="single"/>
        </w:rPr>
        <w:t>册（/</w:t>
      </w:r>
      <w:r>
        <w:rPr>
          <w:rFonts w:ascii="Arial" w:hAnsi="Arial" w:eastAsia="宋体" w:cs="Arial"/>
          <w:b/>
          <w:snapToGrid w:val="0"/>
          <w:u w:val="single"/>
        </w:rPr>
        <w:t>downloads/RegulatoryInformation/Guidances/UCM171256.pdf</w:t>
      </w:r>
      <w:r>
        <w:rPr>
          <w:rFonts w:hint="eastAsia" w:ascii="Arial" w:hAnsi="Arial" w:eastAsia="宋体" w:cs="Arial"/>
          <w:snapToGrid w:val="0"/>
        </w:rPr>
        <w:t>）</w:t>
      </w:r>
      <w:r>
        <w:rPr>
          <w:rFonts w:ascii="Arial" w:hAnsi="Arial" w:eastAsia="宋体" w:cs="Arial"/>
          <w:snapToGrid w:val="0"/>
        </w:rPr>
        <w:t>）</w:t>
      </w:r>
      <w:r>
        <w:rPr>
          <w:rFonts w:hint="eastAsia" w:ascii="Arial" w:hAnsi="Arial" w:eastAsia="宋体" w:cs="Arial"/>
          <w:snapToGrid w:val="0"/>
        </w:rPr>
        <w:t>。</w:t>
      </w:r>
    </w:p>
    <w:p w14:paraId="7BB191CE">
      <w:pPr>
        <w:widowControl w:val="0"/>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4.什么是</w:t>
      </w:r>
      <w:r>
        <w:rPr>
          <w:rFonts w:hint="eastAsia" w:ascii="宋体" w:hAnsi="宋体" w:eastAsia="宋体" w:cs="Arial"/>
          <w:b/>
          <w:snapToGrid w:val="0"/>
          <w:szCs w:val="24"/>
        </w:rPr>
        <w:t>“</w:t>
      </w:r>
      <w:r>
        <w:rPr>
          <w:rFonts w:hint="eastAsia" w:ascii="Arial" w:hAnsi="Arial" w:eastAsia="宋体" w:cs="Arial"/>
          <w:b/>
          <w:snapToGrid w:val="0"/>
          <w:szCs w:val="24"/>
        </w:rPr>
        <w:t>保证</w:t>
      </w:r>
      <w:r>
        <w:rPr>
          <w:rFonts w:hint="eastAsia" w:ascii="宋体" w:hAnsi="宋体" w:eastAsia="宋体" w:cs="Arial"/>
          <w:b/>
          <w:snapToGrid w:val="0"/>
          <w:szCs w:val="24"/>
        </w:rPr>
        <w:t>”</w:t>
      </w:r>
      <w:r>
        <w:rPr>
          <w:rFonts w:hint="eastAsia" w:ascii="Arial" w:hAnsi="Arial" w:eastAsia="宋体" w:cs="Arial"/>
          <w:b/>
          <w:snapToGrid w:val="0"/>
          <w:szCs w:val="24"/>
        </w:rPr>
        <w:t>或</w:t>
      </w:r>
      <w:r>
        <w:rPr>
          <w:rFonts w:hint="eastAsia" w:ascii="宋体" w:hAnsi="宋体" w:eastAsia="宋体" w:cs="Arial"/>
          <w:b/>
          <w:snapToGrid w:val="0"/>
          <w:szCs w:val="24"/>
        </w:rPr>
        <w:t>“</w:t>
      </w:r>
      <w:r>
        <w:rPr>
          <w:rFonts w:hint="eastAsia" w:ascii="Arial" w:hAnsi="Arial" w:eastAsia="宋体" w:cs="Arial"/>
          <w:b/>
          <w:snapToGrid w:val="0"/>
          <w:szCs w:val="24"/>
        </w:rPr>
        <w:t>多项目保证</w:t>
      </w:r>
      <w:r>
        <w:rPr>
          <w:rFonts w:hint="eastAsia" w:ascii="宋体" w:hAnsi="宋体" w:eastAsia="宋体" w:cs="Arial"/>
          <w:b/>
          <w:snapToGrid w:val="0"/>
          <w:szCs w:val="24"/>
        </w:rPr>
        <w:t>”</w:t>
      </w:r>
      <w:r>
        <w:rPr>
          <w:rFonts w:hint="eastAsia" w:ascii="Arial" w:hAnsi="Arial" w:eastAsia="宋体" w:cs="Arial"/>
          <w:b/>
          <w:snapToGrid w:val="0"/>
          <w:szCs w:val="24"/>
        </w:rPr>
        <w:t>？</w:t>
      </w:r>
    </w:p>
    <w:p w14:paraId="3F72AABB">
      <w:pPr>
        <w:pStyle w:val="41"/>
        <w:shd w:val="clear" w:color="auto" w:fill="auto"/>
        <w:tabs>
          <w:tab w:val="left" w:pos="332"/>
        </w:tabs>
        <w:topLinePunct/>
        <w:adjustRightInd w:val="0"/>
        <w:snapToGrid w:val="0"/>
        <w:spacing w:before="0" w:after="244" w:afterLines="75" w:line="300" w:lineRule="auto"/>
        <w:jc w:val="both"/>
        <w:rPr>
          <w:rFonts w:eastAsia="宋体"/>
          <w:snapToGrid w:val="0"/>
          <w:kern w:val="0"/>
          <w:sz w:val="24"/>
          <w:szCs w:val="24"/>
        </w:rPr>
      </w:pPr>
      <w:r>
        <w:rPr>
          <w:rFonts w:hint="eastAsia" w:ascii="宋体" w:hAnsi="宋体" w:eastAsia="宋体"/>
          <w:snapToGrid w:val="0"/>
          <w:kern w:val="0"/>
          <w:sz w:val="24"/>
          <w:szCs w:val="24"/>
        </w:rPr>
        <w:t>“</w:t>
      </w:r>
      <w:r>
        <w:rPr>
          <w:rFonts w:hint="eastAsia" w:eastAsia="宋体"/>
          <w:snapToGrid w:val="0"/>
          <w:kern w:val="0"/>
          <w:sz w:val="24"/>
          <w:szCs w:val="24"/>
        </w:rPr>
        <w:t>保证</w:t>
      </w:r>
      <w:r>
        <w:rPr>
          <w:rFonts w:hint="eastAsia" w:ascii="宋体" w:hAnsi="宋体" w:eastAsia="宋体"/>
          <w:snapToGrid w:val="0"/>
          <w:kern w:val="0"/>
          <w:sz w:val="24"/>
          <w:szCs w:val="24"/>
        </w:rPr>
        <w:t>”</w:t>
      </w:r>
      <w:r>
        <w:rPr>
          <w:rFonts w:hint="eastAsia" w:eastAsia="宋体"/>
          <w:snapToGrid w:val="0"/>
          <w:kern w:val="0"/>
          <w:sz w:val="24"/>
          <w:szCs w:val="24"/>
        </w:rPr>
        <w:t>是根据卫生和人类服务署（</w:t>
      </w:r>
      <w:r>
        <w:rPr>
          <w:rFonts w:eastAsia="宋体"/>
          <w:snapToGrid w:val="0"/>
          <w:kern w:val="0"/>
          <w:sz w:val="24"/>
          <w:szCs w:val="24"/>
        </w:rPr>
        <w:t>HHS</w:t>
      </w:r>
      <w:r>
        <w:rPr>
          <w:rFonts w:hint="eastAsia" w:eastAsia="宋体"/>
          <w:snapToGrid w:val="0"/>
          <w:kern w:val="0"/>
          <w:sz w:val="24"/>
          <w:szCs w:val="24"/>
        </w:rPr>
        <w:t>）法规，由机构和</w:t>
      </w:r>
      <w:r>
        <w:rPr>
          <w:rFonts w:eastAsia="宋体"/>
          <w:snapToGrid w:val="0"/>
          <w:kern w:val="0"/>
          <w:sz w:val="24"/>
          <w:szCs w:val="24"/>
        </w:rPr>
        <w:t>HHS之</w:t>
      </w:r>
      <w:r>
        <w:rPr>
          <w:rFonts w:hint="eastAsia" w:eastAsia="宋体"/>
          <w:snapToGrid w:val="0"/>
          <w:kern w:val="0"/>
          <w:sz w:val="24"/>
          <w:szCs w:val="24"/>
        </w:rPr>
        <w:t>间商定的文件。对于由</w:t>
      </w:r>
      <w:r>
        <w:rPr>
          <w:rFonts w:eastAsia="宋体"/>
          <w:snapToGrid w:val="0"/>
          <w:kern w:val="0"/>
          <w:sz w:val="24"/>
          <w:szCs w:val="24"/>
        </w:rPr>
        <w:t>HHS</w:t>
      </w:r>
      <w:r>
        <w:rPr>
          <w:rFonts w:hint="eastAsia" w:eastAsia="宋体"/>
          <w:snapToGrid w:val="0"/>
          <w:kern w:val="0"/>
          <w:sz w:val="24"/>
          <w:szCs w:val="24"/>
        </w:rPr>
        <w:t>进行的或由</w:t>
      </w:r>
      <w:r>
        <w:rPr>
          <w:rFonts w:eastAsia="宋体"/>
          <w:snapToGrid w:val="0"/>
          <w:kern w:val="0"/>
          <w:sz w:val="24"/>
          <w:szCs w:val="24"/>
        </w:rPr>
        <w:t>HHS全部或部分支持的</w:t>
      </w:r>
      <w:r>
        <w:rPr>
          <w:rFonts w:hint="eastAsia" w:eastAsia="宋体"/>
          <w:snapToGrid w:val="0"/>
          <w:kern w:val="0"/>
          <w:sz w:val="24"/>
          <w:szCs w:val="24"/>
        </w:rPr>
        <w:t>涉及</w:t>
      </w:r>
      <w:r>
        <w:rPr>
          <w:rFonts w:eastAsia="宋体"/>
          <w:snapToGrid w:val="0"/>
          <w:kern w:val="0"/>
          <w:sz w:val="24"/>
          <w:szCs w:val="24"/>
        </w:rPr>
        <w:t>受试者</w:t>
      </w:r>
      <w:r>
        <w:rPr>
          <w:rFonts w:hint="eastAsia" w:eastAsia="宋体"/>
          <w:snapToGrid w:val="0"/>
          <w:kern w:val="0"/>
          <w:sz w:val="24"/>
          <w:szCs w:val="24"/>
        </w:rPr>
        <w:t>的研究，</w:t>
      </w:r>
      <w:r>
        <w:rPr>
          <w:rFonts w:eastAsia="宋体"/>
          <w:snapToGrid w:val="0"/>
          <w:kern w:val="0"/>
          <w:sz w:val="24"/>
          <w:szCs w:val="24"/>
        </w:rPr>
        <w:t>HHS</w:t>
      </w:r>
      <w:r>
        <w:rPr>
          <w:rFonts w:hint="eastAsia" w:eastAsia="宋体"/>
          <w:snapToGrid w:val="0"/>
          <w:kern w:val="0"/>
          <w:sz w:val="24"/>
          <w:szCs w:val="24"/>
        </w:rPr>
        <w:t>法规要求执行中心机构做出书面保证，保证该机构将遵守</w:t>
      </w:r>
      <w:r>
        <w:rPr>
          <w:rFonts w:eastAsia="宋体"/>
          <w:snapToGrid w:val="0"/>
          <w:kern w:val="0"/>
          <w:sz w:val="24"/>
          <w:szCs w:val="24"/>
        </w:rPr>
        <w:t>HHS</w:t>
      </w:r>
      <w:r>
        <w:rPr>
          <w:rFonts w:hint="eastAsia" w:eastAsia="宋体"/>
          <w:snapToGrid w:val="0"/>
          <w:kern w:val="0"/>
          <w:sz w:val="24"/>
          <w:szCs w:val="24"/>
        </w:rPr>
        <w:t>对受试者的保护规定</w:t>
      </w:r>
      <w:r>
        <w:rPr>
          <w:rFonts w:eastAsia="宋体"/>
          <w:snapToGrid w:val="0"/>
          <w:kern w:val="0"/>
          <w:sz w:val="24"/>
          <w:szCs w:val="24"/>
        </w:rPr>
        <w:t>【45 CFR第46部分】</w:t>
      </w:r>
      <w:r>
        <w:rPr>
          <w:rFonts w:hint="eastAsia" w:eastAsia="宋体"/>
          <w:snapToGrid w:val="0"/>
          <w:kern w:val="0"/>
          <w:sz w:val="24"/>
          <w:szCs w:val="24"/>
        </w:rPr>
        <w:t>，</w:t>
      </w:r>
      <w:r>
        <w:rPr>
          <w:rFonts w:eastAsia="宋体"/>
          <w:snapToGrid w:val="0"/>
          <w:kern w:val="0"/>
          <w:sz w:val="24"/>
          <w:szCs w:val="24"/>
        </w:rPr>
        <w:t>保</w:t>
      </w:r>
      <w:r>
        <w:rPr>
          <w:rFonts w:hint="eastAsia" w:eastAsia="宋体"/>
          <w:snapToGrid w:val="0"/>
          <w:kern w:val="0"/>
          <w:sz w:val="24"/>
          <w:szCs w:val="24"/>
        </w:rPr>
        <w:t>证机制在</w:t>
      </w:r>
      <w:r>
        <w:rPr>
          <w:rFonts w:eastAsia="宋体"/>
          <w:snapToGrid w:val="0"/>
          <w:kern w:val="0"/>
          <w:sz w:val="24"/>
          <w:szCs w:val="24"/>
        </w:rPr>
        <w:t>45 CFR 46.103中有所描述。一旦机构的保</w:t>
      </w:r>
      <w:r>
        <w:rPr>
          <w:rFonts w:hint="eastAsia" w:eastAsia="宋体"/>
          <w:snapToGrid w:val="0"/>
          <w:kern w:val="0"/>
          <w:sz w:val="24"/>
          <w:szCs w:val="24"/>
        </w:rPr>
        <w:t>证被</w:t>
      </w:r>
      <w:r>
        <w:rPr>
          <w:rFonts w:eastAsia="宋体"/>
          <w:snapToGrid w:val="0"/>
          <w:kern w:val="0"/>
          <w:sz w:val="24"/>
          <w:szCs w:val="24"/>
        </w:rPr>
        <w:t>HHS批准，</w:t>
      </w:r>
      <w:r>
        <w:rPr>
          <w:rFonts w:hint="eastAsia" w:eastAsia="宋体"/>
          <w:snapToGrid w:val="0"/>
          <w:kern w:val="0"/>
          <w:sz w:val="24"/>
          <w:szCs w:val="24"/>
        </w:rPr>
        <w:t>该保证将分配到</w:t>
      </w:r>
      <w:r>
        <w:rPr>
          <w:rFonts w:eastAsia="宋体"/>
          <w:snapToGrid w:val="0"/>
          <w:kern w:val="0"/>
          <w:sz w:val="24"/>
          <w:szCs w:val="24"/>
        </w:rPr>
        <w:t>一</w:t>
      </w:r>
      <w:r>
        <w:rPr>
          <w:rFonts w:hint="eastAsia" w:eastAsia="宋体"/>
          <w:snapToGrid w:val="0"/>
          <w:kern w:val="0"/>
          <w:sz w:val="24"/>
          <w:szCs w:val="24"/>
        </w:rPr>
        <w:t>个编号。该保证可以是单份同意书或合同（</w:t>
      </w:r>
      <w:r>
        <w:rPr>
          <w:rFonts w:hint="eastAsia" w:ascii="宋体" w:hAnsi="宋体" w:eastAsia="宋体"/>
          <w:snapToGrid w:val="0"/>
          <w:kern w:val="0"/>
          <w:sz w:val="24"/>
          <w:szCs w:val="24"/>
        </w:rPr>
        <w:t>“</w:t>
      </w:r>
      <w:r>
        <w:rPr>
          <w:rFonts w:hint="eastAsia" w:eastAsia="宋体"/>
          <w:snapToGrid w:val="0"/>
          <w:kern w:val="0"/>
          <w:sz w:val="24"/>
          <w:szCs w:val="24"/>
        </w:rPr>
        <w:t>单项目保证</w:t>
      </w:r>
      <w:r>
        <w:rPr>
          <w:rFonts w:hint="eastAsia" w:ascii="宋体" w:hAnsi="宋体" w:eastAsia="宋体"/>
          <w:snapToGrid w:val="0"/>
          <w:kern w:val="0"/>
          <w:sz w:val="24"/>
          <w:szCs w:val="24"/>
        </w:rPr>
        <w:t>”</w:t>
      </w:r>
      <w:r>
        <w:rPr>
          <w:rFonts w:hint="eastAsia" w:eastAsia="宋体"/>
          <w:snapToGrid w:val="0"/>
          <w:kern w:val="0"/>
          <w:sz w:val="24"/>
          <w:szCs w:val="24"/>
        </w:rPr>
        <w:t>）；</w:t>
      </w:r>
      <w:r>
        <w:rPr>
          <w:rFonts w:eastAsia="宋体"/>
          <w:snapToGrid w:val="0"/>
          <w:kern w:val="0"/>
          <w:sz w:val="24"/>
          <w:szCs w:val="24"/>
        </w:rPr>
        <w:t>多</w:t>
      </w:r>
      <w:r>
        <w:rPr>
          <w:rFonts w:hint="eastAsia" w:eastAsia="宋体"/>
          <w:snapToGrid w:val="0"/>
          <w:kern w:val="0"/>
          <w:sz w:val="24"/>
          <w:szCs w:val="24"/>
        </w:rPr>
        <w:t>项同意书（</w:t>
      </w:r>
      <w:r>
        <w:rPr>
          <w:rFonts w:hint="eastAsia" w:ascii="宋体" w:hAnsi="宋体" w:eastAsia="宋体"/>
          <w:snapToGrid w:val="0"/>
          <w:kern w:val="0"/>
          <w:sz w:val="24"/>
          <w:szCs w:val="24"/>
        </w:rPr>
        <w:t>“</w:t>
      </w:r>
      <w:r>
        <w:rPr>
          <w:rFonts w:hint="eastAsia" w:eastAsia="宋体"/>
          <w:snapToGrid w:val="0"/>
          <w:kern w:val="0"/>
          <w:sz w:val="24"/>
          <w:szCs w:val="24"/>
        </w:rPr>
        <w:t>多项目保证</w:t>
      </w:r>
      <w:r>
        <w:rPr>
          <w:rFonts w:hint="eastAsia" w:ascii="宋体" w:hAnsi="宋体" w:eastAsia="宋体"/>
          <w:snapToGrid w:val="0"/>
          <w:kern w:val="0"/>
          <w:sz w:val="24"/>
          <w:szCs w:val="24"/>
        </w:rPr>
        <w:t>”</w:t>
      </w:r>
      <w:r>
        <w:rPr>
          <w:rFonts w:hint="eastAsia" w:eastAsia="宋体"/>
          <w:snapToGrid w:val="0"/>
          <w:kern w:val="0"/>
          <w:sz w:val="24"/>
          <w:szCs w:val="24"/>
        </w:rPr>
        <w:t>）</w:t>
      </w:r>
      <w:r>
        <w:rPr>
          <w:rFonts w:eastAsia="宋体"/>
          <w:snapToGrid w:val="0"/>
          <w:kern w:val="0"/>
          <w:sz w:val="24"/>
          <w:szCs w:val="24"/>
        </w:rPr>
        <w:t>-以前</w:t>
      </w:r>
      <w:r>
        <w:rPr>
          <w:rFonts w:hint="eastAsia" w:eastAsia="宋体"/>
          <w:snapToGrid w:val="0"/>
          <w:kern w:val="0"/>
          <w:sz w:val="24"/>
          <w:szCs w:val="24"/>
        </w:rPr>
        <w:t>称为</w:t>
      </w:r>
      <w:r>
        <w:rPr>
          <w:rFonts w:hint="eastAsia" w:ascii="宋体" w:hAnsi="宋体" w:eastAsia="宋体"/>
          <w:snapToGrid w:val="0"/>
          <w:kern w:val="0"/>
          <w:sz w:val="24"/>
          <w:szCs w:val="24"/>
        </w:rPr>
        <w:t>“</w:t>
      </w:r>
      <w:r>
        <w:rPr>
          <w:rFonts w:hint="eastAsia" w:eastAsia="宋体"/>
          <w:snapToGrid w:val="0"/>
          <w:kern w:val="0"/>
          <w:sz w:val="24"/>
          <w:szCs w:val="24"/>
        </w:rPr>
        <w:t>通用保证</w:t>
      </w:r>
      <w:r>
        <w:rPr>
          <w:rFonts w:hint="eastAsia" w:ascii="宋体" w:hAnsi="宋体" w:eastAsia="宋体"/>
          <w:snapToGrid w:val="0"/>
          <w:kern w:val="0"/>
          <w:sz w:val="24"/>
          <w:szCs w:val="24"/>
        </w:rPr>
        <w:t>”</w:t>
      </w:r>
      <w:r>
        <w:rPr>
          <w:rFonts w:hint="eastAsia" w:eastAsia="宋体"/>
          <w:snapToGrid w:val="0"/>
          <w:kern w:val="0"/>
          <w:sz w:val="24"/>
          <w:szCs w:val="24"/>
        </w:rPr>
        <w:t>）；</w:t>
      </w:r>
      <w:r>
        <w:rPr>
          <w:rFonts w:eastAsia="宋体"/>
          <w:snapToGrid w:val="0"/>
          <w:kern w:val="0"/>
          <w:sz w:val="24"/>
          <w:szCs w:val="24"/>
        </w:rPr>
        <w:t>或</w:t>
      </w:r>
      <w:r>
        <w:rPr>
          <w:rFonts w:hint="eastAsia" w:eastAsia="宋体"/>
          <w:snapToGrid w:val="0"/>
          <w:kern w:val="0"/>
          <w:sz w:val="24"/>
          <w:szCs w:val="24"/>
        </w:rPr>
        <w:t>针对</w:t>
      </w:r>
      <w:r>
        <w:rPr>
          <w:rFonts w:eastAsia="宋体"/>
          <w:snapToGrid w:val="0"/>
          <w:kern w:val="0"/>
          <w:sz w:val="24"/>
          <w:szCs w:val="24"/>
        </w:rPr>
        <w:t>某些</w:t>
      </w:r>
      <w:r>
        <w:rPr>
          <w:rFonts w:hint="eastAsia" w:eastAsia="宋体"/>
          <w:snapToGrid w:val="0"/>
          <w:kern w:val="0"/>
          <w:sz w:val="24"/>
          <w:szCs w:val="24"/>
        </w:rPr>
        <w:t>类型研究的保证，如肿瘤组研究和艾滋病组研究（</w:t>
      </w:r>
      <w:r>
        <w:rPr>
          <w:rFonts w:hint="eastAsia" w:ascii="宋体" w:hAnsi="宋体" w:eastAsia="宋体"/>
          <w:snapToGrid w:val="0"/>
          <w:kern w:val="0"/>
          <w:sz w:val="24"/>
          <w:szCs w:val="24"/>
        </w:rPr>
        <w:t>“</w:t>
      </w:r>
      <w:r>
        <w:rPr>
          <w:rFonts w:hint="eastAsia" w:eastAsia="宋体"/>
          <w:snapToGrid w:val="0"/>
          <w:kern w:val="0"/>
          <w:sz w:val="24"/>
          <w:szCs w:val="24"/>
        </w:rPr>
        <w:t>合作项目保证</w:t>
      </w:r>
      <w:r>
        <w:rPr>
          <w:rFonts w:ascii="宋体" w:hAnsi="宋体" w:eastAsia="宋体"/>
          <w:snapToGrid w:val="0"/>
          <w:kern w:val="0"/>
          <w:sz w:val="24"/>
          <w:szCs w:val="24"/>
        </w:rPr>
        <w:t>”</w:t>
      </w:r>
      <w:r>
        <w:rPr>
          <w:rFonts w:eastAsia="宋体"/>
          <w:snapToGrid w:val="0"/>
          <w:kern w:val="0"/>
          <w:sz w:val="24"/>
          <w:szCs w:val="24"/>
        </w:rPr>
        <w:t>）。人</w:t>
      </w:r>
      <w:r>
        <w:rPr>
          <w:rFonts w:hint="eastAsia" w:eastAsia="宋体"/>
          <w:snapToGrid w:val="0"/>
          <w:kern w:val="0"/>
          <w:sz w:val="24"/>
          <w:szCs w:val="24"/>
        </w:rPr>
        <w:t>类研究保护办公室（</w:t>
      </w:r>
      <w:r>
        <w:rPr>
          <w:rFonts w:eastAsia="宋体"/>
          <w:snapToGrid w:val="0"/>
          <w:kern w:val="0"/>
          <w:sz w:val="24"/>
          <w:szCs w:val="24"/>
        </w:rPr>
        <w:t>OHRP</w:t>
      </w:r>
      <w:r>
        <w:rPr>
          <w:rFonts w:hint="eastAsia" w:eastAsia="宋体"/>
          <w:snapToGrid w:val="0"/>
          <w:kern w:val="0"/>
          <w:sz w:val="24"/>
          <w:szCs w:val="24"/>
        </w:rPr>
        <w:t>）负责实施</w:t>
      </w:r>
      <w:r>
        <w:rPr>
          <w:rFonts w:eastAsia="宋体"/>
          <w:snapToGrid w:val="0"/>
          <w:kern w:val="0"/>
          <w:sz w:val="24"/>
          <w:szCs w:val="24"/>
        </w:rPr>
        <w:t>HHS</w:t>
      </w:r>
      <w:r>
        <w:rPr>
          <w:rFonts w:hint="eastAsia" w:eastAsia="宋体"/>
          <w:snapToGrid w:val="0"/>
          <w:kern w:val="0"/>
          <w:sz w:val="24"/>
          <w:szCs w:val="24"/>
        </w:rPr>
        <w:t>法规。</w:t>
      </w:r>
      <w:r>
        <w:rPr>
          <w:rFonts w:eastAsia="宋体"/>
          <w:snapToGrid w:val="0"/>
          <w:kern w:val="0"/>
          <w:sz w:val="24"/>
          <w:szCs w:val="24"/>
        </w:rPr>
        <w:t>OHRP的地址和</w:t>
      </w:r>
      <w:r>
        <w:rPr>
          <w:rFonts w:hint="eastAsia" w:eastAsia="宋体"/>
          <w:snapToGrid w:val="0"/>
          <w:kern w:val="0"/>
          <w:sz w:val="24"/>
          <w:szCs w:val="24"/>
        </w:rPr>
        <w:t>电话为：</w:t>
      </w:r>
      <w:r>
        <w:rPr>
          <w:rFonts w:eastAsia="宋体"/>
          <w:snapToGrid w:val="0"/>
          <w:kern w:val="0"/>
          <w:sz w:val="24"/>
          <w:szCs w:val="24"/>
        </w:rPr>
        <w:t>1101 Wootton Parkway，Tower Tower，Suite 200，Rockville，MD 20852</w:t>
      </w:r>
      <w:r>
        <w:rPr>
          <w:rFonts w:hint="eastAsia" w:eastAsia="宋体"/>
          <w:snapToGrid w:val="0"/>
          <w:kern w:val="0"/>
          <w:sz w:val="24"/>
          <w:szCs w:val="24"/>
        </w:rPr>
        <w:t>；</w:t>
      </w:r>
      <w:r>
        <w:rPr>
          <w:rFonts w:eastAsia="宋体"/>
          <w:snapToGrid w:val="0"/>
          <w:kern w:val="0"/>
          <w:sz w:val="24"/>
          <w:szCs w:val="24"/>
        </w:rPr>
        <w:t>美</w:t>
      </w:r>
      <w:r>
        <w:rPr>
          <w:rFonts w:hint="eastAsia" w:eastAsia="宋体"/>
          <w:snapToGrid w:val="0"/>
          <w:kern w:val="0"/>
          <w:sz w:val="24"/>
          <w:szCs w:val="24"/>
        </w:rPr>
        <w:t>国境内免费电话：（</w:t>
      </w:r>
      <w:r>
        <w:rPr>
          <w:rFonts w:eastAsia="宋体"/>
          <w:snapToGrid w:val="0"/>
          <w:kern w:val="0"/>
          <w:sz w:val="24"/>
          <w:szCs w:val="24"/>
        </w:rPr>
        <w:t>866</w:t>
      </w:r>
      <w:r>
        <w:rPr>
          <w:rFonts w:hint="eastAsia" w:eastAsia="宋体"/>
          <w:snapToGrid w:val="0"/>
          <w:kern w:val="0"/>
          <w:sz w:val="24"/>
          <w:szCs w:val="24"/>
        </w:rPr>
        <w:t>）</w:t>
      </w:r>
      <w:r>
        <w:rPr>
          <w:rFonts w:eastAsia="宋体"/>
          <w:snapToGrid w:val="0"/>
          <w:kern w:val="0"/>
          <w:sz w:val="24"/>
          <w:szCs w:val="24"/>
        </w:rPr>
        <w:t>447-4777，</w:t>
      </w:r>
      <w:r>
        <w:rPr>
          <w:rFonts w:hint="eastAsia" w:eastAsia="宋体"/>
          <w:snapToGrid w:val="0"/>
          <w:kern w:val="0"/>
          <w:sz w:val="24"/>
          <w:szCs w:val="24"/>
        </w:rPr>
        <w:t>电话：（</w:t>
      </w:r>
      <w:r>
        <w:rPr>
          <w:rFonts w:eastAsia="宋体"/>
          <w:snapToGrid w:val="0"/>
          <w:kern w:val="0"/>
          <w:sz w:val="24"/>
          <w:szCs w:val="24"/>
        </w:rPr>
        <w:t>240</w:t>
      </w:r>
      <w:r>
        <w:rPr>
          <w:rFonts w:hint="eastAsia" w:eastAsia="宋体"/>
          <w:snapToGrid w:val="0"/>
          <w:kern w:val="0"/>
          <w:sz w:val="24"/>
          <w:szCs w:val="24"/>
        </w:rPr>
        <w:t>）</w:t>
      </w:r>
      <w:r>
        <w:rPr>
          <w:rFonts w:eastAsia="宋体"/>
          <w:snapToGrid w:val="0"/>
          <w:kern w:val="0"/>
          <w:sz w:val="24"/>
          <w:szCs w:val="24"/>
        </w:rPr>
        <w:t>453-6900，</w:t>
      </w:r>
      <w:r>
        <w:rPr>
          <w:rFonts w:hint="eastAsia" w:eastAsia="宋体"/>
          <w:snapToGrid w:val="0"/>
          <w:kern w:val="0"/>
          <w:sz w:val="24"/>
          <w:szCs w:val="24"/>
        </w:rPr>
        <w:t>传真：（</w:t>
      </w:r>
      <w:r>
        <w:rPr>
          <w:rFonts w:eastAsia="宋体"/>
          <w:snapToGrid w:val="0"/>
          <w:kern w:val="0"/>
          <w:sz w:val="24"/>
          <w:szCs w:val="24"/>
        </w:rPr>
        <w:t>240</w:t>
      </w:r>
      <w:r>
        <w:rPr>
          <w:rFonts w:hint="eastAsia" w:eastAsia="宋体"/>
          <w:snapToGrid w:val="0"/>
          <w:kern w:val="0"/>
          <w:sz w:val="24"/>
          <w:szCs w:val="24"/>
        </w:rPr>
        <w:t>）</w:t>
      </w:r>
      <w:r>
        <w:rPr>
          <w:rFonts w:eastAsia="宋体"/>
          <w:snapToGrid w:val="0"/>
          <w:kern w:val="0"/>
          <w:sz w:val="24"/>
          <w:szCs w:val="24"/>
        </w:rPr>
        <w:t>453-6909。</w:t>
      </w:r>
    </w:p>
    <w:p w14:paraId="242317B5">
      <w:pPr>
        <w:widowControl w:val="0"/>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 xml:space="preserve">5. </w:t>
      </w:r>
      <w:r>
        <w:rPr>
          <w:rFonts w:ascii="Arial" w:hAnsi="Arial" w:eastAsia="宋体" w:cs="Arial"/>
          <w:b/>
          <w:snapToGrid w:val="0"/>
          <w:szCs w:val="24"/>
        </w:rPr>
        <w:t>FDA</w:t>
      </w:r>
      <w:r>
        <w:rPr>
          <w:rFonts w:hint="eastAsia" w:ascii="Arial" w:hAnsi="Arial" w:eastAsia="宋体" w:cs="Arial"/>
          <w:b/>
          <w:snapToGrid w:val="0"/>
          <w:szCs w:val="24"/>
        </w:rPr>
        <w:t>是否要求</w:t>
      </w:r>
      <w:r>
        <w:rPr>
          <w:rFonts w:ascii="宋体" w:hAnsi="宋体" w:eastAsia="宋体" w:cs="Arial"/>
          <w:b/>
          <w:snapToGrid w:val="0"/>
          <w:szCs w:val="24"/>
        </w:rPr>
        <w:t>“</w:t>
      </w:r>
      <w:r>
        <w:rPr>
          <w:rFonts w:hint="eastAsia" w:ascii="Arial" w:hAnsi="Arial" w:eastAsia="宋体" w:cs="Arial"/>
          <w:b/>
          <w:snapToGrid w:val="0"/>
          <w:szCs w:val="24"/>
        </w:rPr>
        <w:t>保证</w:t>
      </w:r>
      <w:r>
        <w:rPr>
          <w:rFonts w:ascii="宋体" w:hAnsi="宋体" w:eastAsia="宋体" w:cs="Arial"/>
          <w:b/>
          <w:snapToGrid w:val="0"/>
          <w:szCs w:val="24"/>
        </w:rPr>
        <w:t>”</w:t>
      </w:r>
      <w:r>
        <w:rPr>
          <w:rFonts w:hint="eastAsia" w:ascii="Arial" w:hAnsi="Arial" w:eastAsia="宋体" w:cs="Arial"/>
          <w:b/>
          <w:snapToGrid w:val="0"/>
          <w:szCs w:val="24"/>
        </w:rPr>
        <w:t>？</w:t>
      </w:r>
    </w:p>
    <w:p w14:paraId="4C2F2314">
      <w:pPr>
        <w:spacing w:after="0" w:line="240" w:lineRule="auto"/>
        <w:rPr>
          <w:rFonts w:ascii="Arial" w:hAnsi="Arial" w:eastAsia="宋体" w:cs="Arial"/>
          <w:snapToGrid w:val="0"/>
          <w:szCs w:val="24"/>
        </w:rPr>
      </w:pPr>
      <w:r>
        <w:rPr>
          <w:rFonts w:eastAsia="宋体"/>
          <w:snapToGrid w:val="0"/>
          <w:szCs w:val="24"/>
        </w:rPr>
        <w:br w:type="page"/>
      </w:r>
    </w:p>
    <w:p w14:paraId="2D0172F0">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目前，</w:t>
      </w:r>
      <w:r>
        <w:rPr>
          <w:rFonts w:eastAsia="宋体"/>
          <w:snapToGrid w:val="0"/>
          <w:kern w:val="0"/>
          <w:sz w:val="24"/>
          <w:szCs w:val="24"/>
        </w:rPr>
        <w:t>FDA</w:t>
      </w:r>
      <w:r>
        <w:rPr>
          <w:rFonts w:hint="eastAsia" w:eastAsia="宋体"/>
          <w:snapToGrid w:val="0"/>
          <w:kern w:val="0"/>
          <w:sz w:val="24"/>
          <w:szCs w:val="24"/>
        </w:rPr>
        <w:t>的法规并未要求保证。</w:t>
      </w:r>
      <w:r>
        <w:rPr>
          <w:rFonts w:eastAsia="宋体"/>
          <w:snapToGrid w:val="0"/>
          <w:kern w:val="0"/>
          <w:sz w:val="24"/>
          <w:szCs w:val="24"/>
        </w:rPr>
        <w:t>FDA</w:t>
      </w:r>
      <w:r>
        <w:rPr>
          <w:rFonts w:hint="eastAsia" w:eastAsia="宋体"/>
          <w:snapToGrid w:val="0"/>
          <w:kern w:val="0"/>
          <w:sz w:val="24"/>
          <w:szCs w:val="24"/>
        </w:rPr>
        <w:t>法规</w:t>
      </w:r>
      <w:r>
        <w:rPr>
          <w:rFonts w:eastAsia="宋体"/>
          <w:snapToGrid w:val="0"/>
          <w:kern w:val="0"/>
          <w:sz w:val="24"/>
          <w:szCs w:val="24"/>
        </w:rPr>
        <w:t>【21 CFR第50和56部分】适用于涉及FDA</w:t>
      </w:r>
      <w:r>
        <w:rPr>
          <w:rFonts w:hint="eastAsia" w:eastAsia="宋体"/>
          <w:snapToGrid w:val="0"/>
          <w:kern w:val="0"/>
          <w:sz w:val="24"/>
          <w:szCs w:val="24"/>
        </w:rPr>
        <w:t>监管产品的研究</w:t>
      </w:r>
      <w:r>
        <w:rPr>
          <w:rFonts w:eastAsia="宋体"/>
          <w:snapToGrid w:val="0"/>
          <w:kern w:val="0"/>
          <w:sz w:val="24"/>
          <w:szCs w:val="24"/>
        </w:rPr>
        <w:t>-</w:t>
      </w:r>
      <w:r>
        <w:rPr>
          <w:rFonts w:hint="eastAsia" w:eastAsia="宋体"/>
          <w:snapToGrid w:val="0"/>
          <w:kern w:val="0"/>
          <w:sz w:val="24"/>
          <w:szCs w:val="24"/>
        </w:rPr>
        <w:t>联邦基金和</w:t>
      </w:r>
      <w:r>
        <w:rPr>
          <w:rFonts w:eastAsia="宋体"/>
          <w:snapToGrid w:val="0"/>
          <w:kern w:val="0"/>
          <w:sz w:val="24"/>
          <w:szCs w:val="24"/>
        </w:rPr>
        <w:t>／或支持</w:t>
      </w:r>
      <w:r>
        <w:rPr>
          <w:rFonts w:hint="eastAsia" w:eastAsia="宋体"/>
          <w:snapToGrid w:val="0"/>
          <w:kern w:val="0"/>
          <w:sz w:val="24"/>
          <w:szCs w:val="24"/>
        </w:rPr>
        <w:t>研究</w:t>
      </w:r>
      <w:r>
        <w:rPr>
          <w:rFonts w:eastAsia="宋体"/>
          <w:snapToGrid w:val="0"/>
          <w:kern w:val="0"/>
          <w:sz w:val="24"/>
          <w:szCs w:val="24"/>
        </w:rPr>
        <w:t>不</w:t>
      </w:r>
      <w:r>
        <w:rPr>
          <w:rFonts w:hint="eastAsia" w:eastAsia="宋体"/>
          <w:snapToGrid w:val="0"/>
          <w:kern w:val="0"/>
          <w:sz w:val="24"/>
          <w:szCs w:val="24"/>
        </w:rPr>
        <w:t>涉及</w:t>
      </w:r>
      <w:r>
        <w:rPr>
          <w:rFonts w:eastAsia="宋体"/>
          <w:snapToGrid w:val="0"/>
          <w:kern w:val="0"/>
          <w:sz w:val="24"/>
          <w:szCs w:val="24"/>
        </w:rPr>
        <w:t>FDA</w:t>
      </w:r>
      <w:r>
        <w:rPr>
          <w:rFonts w:hint="eastAsia" w:eastAsia="宋体"/>
          <w:snapToGrid w:val="0"/>
          <w:kern w:val="0"/>
          <w:sz w:val="24"/>
          <w:szCs w:val="24"/>
        </w:rPr>
        <w:t>的法规使用。当</w:t>
      </w:r>
      <w:r>
        <w:rPr>
          <w:rFonts w:eastAsia="宋体"/>
          <w:snapToGrid w:val="0"/>
          <w:kern w:val="0"/>
          <w:sz w:val="24"/>
          <w:szCs w:val="24"/>
        </w:rPr>
        <w:t>HHS</w:t>
      </w:r>
      <w:r>
        <w:rPr>
          <w:rFonts w:hint="eastAsia" w:eastAsia="宋体"/>
          <w:snapToGrid w:val="0"/>
          <w:kern w:val="0"/>
          <w:sz w:val="24"/>
          <w:szCs w:val="24"/>
        </w:rPr>
        <w:t>资助</w:t>
      </w:r>
      <w:r>
        <w:rPr>
          <w:rFonts w:eastAsia="宋体"/>
          <w:snapToGrid w:val="0"/>
          <w:kern w:val="0"/>
          <w:sz w:val="24"/>
          <w:szCs w:val="24"/>
        </w:rPr>
        <w:t>／支持</w:t>
      </w:r>
      <w:r>
        <w:rPr>
          <w:rFonts w:hint="eastAsia" w:eastAsia="宋体"/>
          <w:snapToGrid w:val="0"/>
          <w:kern w:val="0"/>
          <w:sz w:val="24"/>
          <w:szCs w:val="24"/>
        </w:rPr>
        <w:t>的研究课题涉及</w:t>
      </w:r>
      <w:r>
        <w:rPr>
          <w:rFonts w:eastAsia="宋体"/>
          <w:snapToGrid w:val="0"/>
          <w:kern w:val="0"/>
          <w:sz w:val="24"/>
          <w:szCs w:val="24"/>
        </w:rPr>
        <w:t>FDA</w:t>
      </w:r>
      <w:r>
        <w:rPr>
          <w:rFonts w:hint="eastAsia" w:eastAsia="宋体"/>
          <w:snapToGrid w:val="0"/>
          <w:kern w:val="0"/>
          <w:sz w:val="24"/>
          <w:szCs w:val="24"/>
        </w:rPr>
        <w:t>监管产品，研究机构必须同时符合</w:t>
      </w:r>
      <w:r>
        <w:rPr>
          <w:rFonts w:eastAsia="宋体"/>
          <w:snapToGrid w:val="0"/>
          <w:kern w:val="0"/>
          <w:sz w:val="24"/>
          <w:szCs w:val="24"/>
        </w:rPr>
        <w:t>HHS和FDA</w:t>
      </w:r>
      <w:r>
        <w:rPr>
          <w:rFonts w:hint="eastAsia" w:eastAsia="宋体"/>
          <w:snapToGrid w:val="0"/>
          <w:kern w:val="0"/>
          <w:sz w:val="24"/>
          <w:szCs w:val="24"/>
        </w:rPr>
        <w:t>规定。</w:t>
      </w:r>
      <w:r>
        <w:rPr>
          <w:rFonts w:eastAsia="宋体"/>
          <w:snapToGrid w:val="0"/>
          <w:kern w:val="0"/>
          <w:sz w:val="24"/>
          <w:szCs w:val="24"/>
        </w:rPr>
        <w:t>【</w:t>
      </w:r>
      <w:r>
        <w:rPr>
          <w:rFonts w:eastAsia="宋体"/>
          <w:b/>
          <w:snapToGrid w:val="0"/>
          <w:kern w:val="0"/>
          <w:sz w:val="24"/>
          <w:szCs w:val="24"/>
          <w:u w:val="single"/>
        </w:rPr>
        <w:t>45 CFR第46部分</w:t>
      </w:r>
      <w:r>
        <w:rPr>
          <w:rFonts w:hint="eastAsia" w:eastAsia="宋体"/>
          <w:b/>
          <w:snapToGrid w:val="0"/>
          <w:kern w:val="0"/>
          <w:sz w:val="24"/>
          <w:szCs w:val="24"/>
          <w:u w:val="single"/>
        </w:rPr>
        <w:t>中的子部分</w:t>
      </w:r>
      <w:r>
        <w:rPr>
          <w:rFonts w:eastAsia="宋体"/>
          <w:b/>
          <w:snapToGrid w:val="0"/>
          <w:kern w:val="0"/>
          <w:sz w:val="24"/>
          <w:szCs w:val="24"/>
          <w:u w:val="single"/>
        </w:rPr>
        <w:t>A</w:t>
      </w:r>
      <w:r>
        <w:rPr>
          <w:rFonts w:hint="eastAsia" w:eastAsia="宋体"/>
          <w:b/>
          <w:snapToGrid w:val="0"/>
          <w:kern w:val="0"/>
          <w:sz w:val="24"/>
          <w:szCs w:val="24"/>
          <w:u w:val="single"/>
        </w:rPr>
        <w:t>与</w:t>
      </w:r>
      <w:r>
        <w:rPr>
          <w:rFonts w:eastAsia="宋体"/>
          <w:b/>
          <w:snapToGrid w:val="0"/>
          <w:kern w:val="0"/>
          <w:sz w:val="24"/>
          <w:szCs w:val="24"/>
          <w:u w:val="single"/>
        </w:rPr>
        <w:t>21 CFR第50和56部分之</w:t>
      </w:r>
      <w:r>
        <w:rPr>
          <w:rFonts w:hint="eastAsia" w:eastAsia="宋体"/>
          <w:b/>
          <w:snapToGrid w:val="0"/>
          <w:kern w:val="0"/>
          <w:sz w:val="24"/>
          <w:szCs w:val="24"/>
          <w:u w:val="single"/>
        </w:rPr>
        <w:t>间的显著差异表，</w:t>
      </w:r>
      <w:r>
        <w:rPr>
          <w:rFonts w:hint="eastAsia" w:eastAsia="宋体"/>
          <w:snapToGrid w:val="0"/>
          <w:kern w:val="0"/>
          <w:sz w:val="24"/>
          <w:szCs w:val="24"/>
          <w:u w:val="single"/>
        </w:rPr>
        <w:t>可见于FDA网站</w:t>
      </w:r>
      <w:r>
        <w:rPr>
          <w:rFonts w:eastAsia="宋体"/>
          <w:b/>
          <w:snapToGrid w:val="0"/>
          <w:kern w:val="0"/>
          <w:sz w:val="24"/>
          <w:szCs w:val="24"/>
          <w:u w:val="single"/>
        </w:rPr>
        <w:br w:type="textWrapping"/>
      </w:r>
      <w:r>
        <w:rPr>
          <w:rFonts w:hint="eastAsia" w:eastAsia="宋体"/>
          <w:b/>
          <w:snapToGrid w:val="0"/>
          <w:kern w:val="0"/>
          <w:sz w:val="24"/>
          <w:szCs w:val="24"/>
          <w:u w:val="single"/>
        </w:rPr>
        <w:t>（/</w:t>
      </w:r>
      <w:r>
        <w:rPr>
          <w:rFonts w:eastAsia="宋体"/>
          <w:b/>
          <w:snapToGrid w:val="0"/>
          <w:kern w:val="0"/>
          <w:sz w:val="24"/>
          <w:szCs w:val="24"/>
          <w:u w:val="single"/>
        </w:rPr>
        <w:t>ScienceResearch/SpecialTopics/RunningC</w:t>
      </w:r>
      <w:r>
        <w:rPr>
          <w:rFonts w:hint="eastAsia" w:eastAsia="宋体"/>
          <w:b/>
          <w:snapToGrid w:val="0"/>
          <w:kern w:val="0"/>
          <w:sz w:val="24"/>
          <w:szCs w:val="24"/>
          <w:u w:val="single"/>
        </w:rPr>
        <w:t>l</w:t>
      </w:r>
      <w:r>
        <w:rPr>
          <w:rFonts w:eastAsia="宋体"/>
          <w:b/>
          <w:snapToGrid w:val="0"/>
          <w:kern w:val="0"/>
          <w:sz w:val="24"/>
          <w:szCs w:val="24"/>
          <w:u w:val="single"/>
        </w:rPr>
        <w:t>ipicalTrials/EducationalMaterials/ucm112910.htm</w:t>
      </w:r>
      <w:r>
        <w:rPr>
          <w:rFonts w:hint="eastAsia" w:eastAsia="宋体"/>
          <w:b/>
          <w:snapToGrid w:val="0"/>
          <w:kern w:val="0"/>
          <w:sz w:val="24"/>
          <w:szCs w:val="24"/>
          <w:u w:val="single"/>
        </w:rPr>
        <w:t>）</w:t>
      </w:r>
      <w:r>
        <w:rPr>
          <w:rFonts w:hint="eastAsia" w:eastAsia="宋体"/>
          <w:snapToGrid w:val="0"/>
          <w:kern w:val="0"/>
          <w:sz w:val="24"/>
          <w:szCs w:val="24"/>
        </w:rPr>
        <w:t>】</w:t>
      </w:r>
    </w:p>
    <w:p w14:paraId="4FAB65F1">
      <w:pPr>
        <w:widowControl w:val="0"/>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6.机构必须建立自己的</w:t>
      </w:r>
      <w:r>
        <w:rPr>
          <w:rFonts w:ascii="Arial" w:hAnsi="Arial" w:eastAsia="宋体" w:cs="Arial"/>
          <w:b/>
          <w:snapToGrid w:val="0"/>
          <w:szCs w:val="24"/>
        </w:rPr>
        <w:t>IRB</w:t>
      </w:r>
      <w:r>
        <w:rPr>
          <w:rFonts w:hint="eastAsia" w:ascii="Arial" w:hAnsi="Arial" w:eastAsia="宋体" w:cs="Arial"/>
          <w:b/>
          <w:snapToGrid w:val="0"/>
          <w:szCs w:val="24"/>
        </w:rPr>
        <w:t>吗？</w:t>
      </w:r>
    </w:p>
    <w:p w14:paraId="62BD66DA">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否。虽然涉及受试者研究的机构通常会有自己的</w:t>
      </w:r>
      <w:r>
        <w:rPr>
          <w:rFonts w:eastAsia="宋体"/>
          <w:snapToGrid w:val="0"/>
          <w:kern w:val="0"/>
          <w:sz w:val="24"/>
          <w:szCs w:val="24"/>
        </w:rPr>
        <w:t>IRB</w:t>
      </w:r>
      <w:r>
        <w:rPr>
          <w:rFonts w:hint="eastAsia" w:eastAsia="宋体"/>
          <w:snapToGrid w:val="0"/>
          <w:kern w:val="0"/>
          <w:sz w:val="24"/>
          <w:szCs w:val="24"/>
        </w:rPr>
        <w:t>来审查该机构内部或该机构工作人员所进行的研究，但</w:t>
      </w:r>
      <w:r>
        <w:rPr>
          <w:rFonts w:eastAsia="宋体"/>
          <w:snapToGrid w:val="0"/>
          <w:kern w:val="0"/>
          <w:sz w:val="24"/>
          <w:szCs w:val="24"/>
        </w:rPr>
        <w:t>FDA</w:t>
      </w:r>
      <w:r>
        <w:rPr>
          <w:rFonts w:hint="eastAsia" w:eastAsia="宋体"/>
          <w:snapToGrid w:val="0"/>
          <w:kern w:val="0"/>
          <w:sz w:val="24"/>
          <w:szCs w:val="24"/>
        </w:rPr>
        <w:t>法规允许无</w:t>
      </w:r>
      <w:r>
        <w:rPr>
          <w:rFonts w:eastAsia="宋体"/>
          <w:snapToGrid w:val="0"/>
          <w:kern w:val="0"/>
          <w:sz w:val="24"/>
          <w:szCs w:val="24"/>
        </w:rPr>
        <w:t>IRB的机构</w:t>
      </w:r>
      <w:r>
        <w:rPr>
          <w:rFonts w:hint="eastAsia" w:eastAsia="宋体"/>
          <w:snapToGrid w:val="0"/>
          <w:kern w:val="0"/>
          <w:sz w:val="24"/>
          <w:szCs w:val="24"/>
        </w:rPr>
        <w:t>可</w:t>
      </w:r>
      <w:r>
        <w:rPr>
          <w:rFonts w:eastAsia="宋体"/>
          <w:snapToGrid w:val="0"/>
          <w:kern w:val="0"/>
          <w:sz w:val="24"/>
          <w:szCs w:val="24"/>
        </w:rPr>
        <w:t>安排</w:t>
      </w:r>
      <w:r>
        <w:rPr>
          <w:rFonts w:hint="eastAsia" w:ascii="宋体" w:hAnsi="宋体" w:eastAsia="宋体"/>
          <w:snapToGrid w:val="0"/>
          <w:kern w:val="0"/>
          <w:sz w:val="24"/>
          <w:szCs w:val="24"/>
        </w:rPr>
        <w:t>“</w:t>
      </w:r>
      <w:r>
        <w:rPr>
          <w:rFonts w:eastAsia="宋体"/>
          <w:snapToGrid w:val="0"/>
          <w:kern w:val="0"/>
          <w:sz w:val="24"/>
          <w:szCs w:val="24"/>
        </w:rPr>
        <w:t>外部</w:t>
      </w:r>
      <w:r>
        <w:rPr>
          <w:rFonts w:hint="eastAsia" w:eastAsia="宋体"/>
          <w:snapToGrid w:val="0"/>
          <w:kern w:val="0"/>
          <w:sz w:val="24"/>
          <w:szCs w:val="24"/>
        </w:rPr>
        <w:t>的</w:t>
      </w:r>
      <w:r>
        <w:rPr>
          <w:rFonts w:hint="eastAsia" w:ascii="宋体" w:hAnsi="宋体" w:eastAsia="宋体"/>
          <w:snapToGrid w:val="0"/>
          <w:kern w:val="0"/>
          <w:sz w:val="24"/>
          <w:szCs w:val="24"/>
        </w:rPr>
        <w:t>”</w:t>
      </w:r>
      <w:r>
        <w:rPr>
          <w:rFonts w:eastAsia="宋体"/>
          <w:snapToGrid w:val="0"/>
          <w:kern w:val="0"/>
          <w:sz w:val="24"/>
          <w:szCs w:val="24"/>
        </w:rPr>
        <w:t>IRB</w:t>
      </w:r>
      <w:r>
        <w:rPr>
          <w:rFonts w:hint="eastAsia" w:eastAsia="宋体"/>
          <w:snapToGrid w:val="0"/>
          <w:kern w:val="0"/>
          <w:sz w:val="24"/>
          <w:szCs w:val="24"/>
        </w:rPr>
        <w:t>，负责对无</w:t>
      </w:r>
      <w:r>
        <w:rPr>
          <w:rFonts w:eastAsia="宋体"/>
          <w:snapToGrid w:val="0"/>
          <w:kern w:val="0"/>
          <w:sz w:val="24"/>
          <w:szCs w:val="24"/>
        </w:rPr>
        <w:t>IRB</w:t>
      </w:r>
      <w:r>
        <w:rPr>
          <w:rFonts w:hint="eastAsia" w:eastAsia="宋体"/>
          <w:snapToGrid w:val="0"/>
          <w:kern w:val="0"/>
          <w:sz w:val="24"/>
          <w:szCs w:val="24"/>
        </w:rPr>
        <w:t>的</w:t>
      </w:r>
      <w:r>
        <w:rPr>
          <w:rFonts w:eastAsia="宋体"/>
          <w:snapToGrid w:val="0"/>
          <w:kern w:val="0"/>
          <w:sz w:val="24"/>
          <w:szCs w:val="24"/>
        </w:rPr>
        <w:t>机构</w:t>
      </w:r>
      <w:r>
        <w:rPr>
          <w:rFonts w:hint="eastAsia" w:eastAsia="宋体"/>
          <w:snapToGrid w:val="0"/>
          <w:kern w:val="0"/>
          <w:sz w:val="24"/>
          <w:szCs w:val="24"/>
        </w:rPr>
        <w:t>开展的研究进行启动审查</w:t>
      </w:r>
      <w:r>
        <w:rPr>
          <w:rFonts w:eastAsia="宋体"/>
          <w:snapToGrid w:val="0"/>
          <w:kern w:val="0"/>
          <w:sz w:val="24"/>
          <w:szCs w:val="24"/>
        </w:rPr>
        <w:t>和持</w:t>
      </w:r>
      <w:r>
        <w:rPr>
          <w:rFonts w:hint="eastAsia" w:eastAsia="宋体"/>
          <w:snapToGrid w:val="0"/>
          <w:kern w:val="0"/>
          <w:sz w:val="24"/>
          <w:szCs w:val="24"/>
        </w:rPr>
        <w:t>续审查，这种安排应以书面形式记录。</w:t>
      </w:r>
      <w:r>
        <w:rPr>
          <w:rFonts w:eastAsia="宋体"/>
          <w:snapToGrid w:val="0"/>
          <w:kern w:val="0"/>
          <w:sz w:val="24"/>
          <w:szCs w:val="24"/>
        </w:rPr>
        <w:t>在非机构</w:t>
      </w:r>
      <w:r>
        <w:rPr>
          <w:rFonts w:hint="eastAsia" w:eastAsia="宋体"/>
          <w:snapToGrid w:val="0"/>
          <w:kern w:val="0"/>
          <w:sz w:val="24"/>
          <w:szCs w:val="24"/>
        </w:rPr>
        <w:t>环境下进行研究的个人，通常会使用既定的</w:t>
      </w:r>
      <w:r>
        <w:rPr>
          <w:rFonts w:eastAsia="宋体"/>
          <w:snapToGrid w:val="0"/>
          <w:kern w:val="0"/>
          <w:sz w:val="24"/>
          <w:szCs w:val="24"/>
        </w:rPr>
        <w:t>IRB（</w:t>
      </w:r>
      <w:r>
        <w:rPr>
          <w:rFonts w:hint="eastAsia" w:eastAsia="宋体"/>
          <w:snapToGrid w:val="0"/>
          <w:kern w:val="0"/>
          <w:sz w:val="24"/>
          <w:szCs w:val="24"/>
        </w:rPr>
        <w:t>独立的或机构的），而不是组成自己的</w:t>
      </w:r>
      <w:r>
        <w:rPr>
          <w:rFonts w:eastAsia="宋体"/>
          <w:snapToGrid w:val="0"/>
          <w:kern w:val="0"/>
          <w:sz w:val="24"/>
          <w:szCs w:val="24"/>
        </w:rPr>
        <w:t>IRB。另</w:t>
      </w:r>
      <w:r>
        <w:rPr>
          <w:rFonts w:hint="eastAsia" w:eastAsia="宋体"/>
          <w:snapToGrid w:val="0"/>
          <w:kern w:val="0"/>
          <w:sz w:val="24"/>
          <w:szCs w:val="24"/>
        </w:rPr>
        <w:t>请参见题为</w:t>
      </w:r>
      <w:r>
        <w:rPr>
          <w:rFonts w:hint="eastAsia" w:ascii="宋体" w:hAnsi="宋体" w:eastAsia="宋体"/>
          <w:snapToGrid w:val="0"/>
          <w:kern w:val="0"/>
          <w:sz w:val="24"/>
          <w:szCs w:val="24"/>
        </w:rPr>
        <w:t>“</w:t>
      </w:r>
      <w:r>
        <w:rPr>
          <w:rFonts w:hint="eastAsia" w:eastAsia="宋体"/>
          <w:snapToGrid w:val="0"/>
          <w:kern w:val="0"/>
          <w:sz w:val="24"/>
          <w:szCs w:val="24"/>
        </w:rPr>
        <w:t>非本地</w:t>
      </w:r>
      <w:r>
        <w:rPr>
          <w:rFonts w:eastAsia="宋体"/>
          <w:snapToGrid w:val="0"/>
          <w:kern w:val="0"/>
          <w:sz w:val="24"/>
          <w:szCs w:val="24"/>
        </w:rPr>
        <w:t>IRB</w:t>
      </w:r>
      <w:r>
        <w:rPr>
          <w:rFonts w:hint="eastAsia" w:eastAsia="宋体"/>
          <w:snapToGrid w:val="0"/>
          <w:kern w:val="0"/>
          <w:sz w:val="24"/>
          <w:szCs w:val="24"/>
        </w:rPr>
        <w:t>审查</w:t>
      </w:r>
      <w:r>
        <w:rPr>
          <w:rFonts w:hint="eastAsia" w:ascii="宋体" w:hAnsi="宋体" w:eastAsia="宋体"/>
          <w:snapToGrid w:val="0"/>
          <w:kern w:val="0"/>
          <w:sz w:val="24"/>
          <w:szCs w:val="24"/>
        </w:rPr>
        <w:t>”</w:t>
      </w:r>
      <w:r>
        <w:rPr>
          <w:rFonts w:hint="eastAsia" w:eastAsia="宋体"/>
          <w:snapToGrid w:val="0"/>
          <w:kern w:val="0"/>
          <w:sz w:val="24"/>
          <w:szCs w:val="24"/>
        </w:rPr>
        <w:t>和</w:t>
      </w:r>
      <w:r>
        <w:rPr>
          <w:rFonts w:hint="eastAsia" w:ascii="宋体" w:hAnsi="宋体" w:eastAsia="宋体"/>
          <w:snapToGrid w:val="0"/>
          <w:kern w:val="0"/>
          <w:sz w:val="24"/>
          <w:szCs w:val="24"/>
        </w:rPr>
        <w:t>“</w:t>
      </w:r>
      <w:r>
        <w:rPr>
          <w:rFonts w:hint="eastAsia" w:eastAsia="宋体"/>
          <w:snapToGrid w:val="0"/>
          <w:kern w:val="0"/>
          <w:sz w:val="24"/>
          <w:szCs w:val="24"/>
        </w:rPr>
        <w:t>合作研究</w:t>
      </w:r>
      <w:r>
        <w:rPr>
          <w:rFonts w:hint="eastAsia" w:ascii="宋体" w:hAnsi="宋体" w:eastAsia="宋体"/>
          <w:snapToGrid w:val="0"/>
          <w:kern w:val="0"/>
          <w:sz w:val="24"/>
          <w:szCs w:val="24"/>
        </w:rPr>
        <w:t>”</w:t>
      </w:r>
      <w:r>
        <w:rPr>
          <w:rFonts w:hint="eastAsia" w:eastAsia="宋体"/>
          <w:snapToGrid w:val="0"/>
          <w:kern w:val="0"/>
          <w:sz w:val="24"/>
          <w:szCs w:val="24"/>
        </w:rPr>
        <w:t>的信息表。</w:t>
      </w:r>
    </w:p>
    <w:p w14:paraId="533D00EC">
      <w:pPr>
        <w:widowControl w:val="0"/>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7.某医院的</w:t>
      </w:r>
      <w:r>
        <w:rPr>
          <w:rFonts w:ascii="Arial" w:hAnsi="Arial" w:eastAsia="宋体" w:cs="Arial"/>
          <w:b/>
          <w:snapToGrid w:val="0"/>
          <w:szCs w:val="24"/>
        </w:rPr>
        <w:t>IRB</w:t>
      </w:r>
      <w:r>
        <w:rPr>
          <w:rFonts w:hint="eastAsia" w:ascii="Arial" w:hAnsi="Arial" w:eastAsia="宋体" w:cs="Arial"/>
          <w:b/>
          <w:snapToGrid w:val="0"/>
          <w:szCs w:val="24"/>
        </w:rPr>
        <w:t>是否可以审查该医院以外进行的研究？</w:t>
      </w:r>
    </w:p>
    <w:p w14:paraId="4327B4AC">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w:t>
      </w:r>
      <w:r>
        <w:rPr>
          <w:rFonts w:eastAsia="宋体"/>
          <w:snapToGrid w:val="0"/>
          <w:kern w:val="0"/>
          <w:sz w:val="24"/>
          <w:szCs w:val="24"/>
        </w:rPr>
        <w:t>IRB可能同意</w:t>
      </w:r>
      <w:r>
        <w:rPr>
          <w:rFonts w:hint="eastAsia" w:eastAsia="宋体"/>
          <w:snapToGrid w:val="0"/>
          <w:kern w:val="0"/>
          <w:sz w:val="24"/>
          <w:szCs w:val="24"/>
        </w:rPr>
        <w:t>审查来自从属或非从属研究者的研究，但</w:t>
      </w:r>
      <w:r>
        <w:rPr>
          <w:rFonts w:eastAsia="宋体"/>
          <w:snapToGrid w:val="0"/>
          <w:kern w:val="0"/>
          <w:sz w:val="24"/>
          <w:szCs w:val="24"/>
        </w:rPr>
        <w:t>FDA不要求IRB承</w:t>
      </w:r>
      <w:r>
        <w:rPr>
          <w:rFonts w:hint="eastAsia" w:eastAsia="宋体"/>
          <w:snapToGrid w:val="0"/>
          <w:kern w:val="0"/>
          <w:sz w:val="24"/>
          <w:szCs w:val="24"/>
        </w:rPr>
        <w:t>担此责任。</w:t>
      </w:r>
      <w:r>
        <w:rPr>
          <w:rFonts w:eastAsia="宋体"/>
          <w:snapToGrid w:val="0"/>
          <w:kern w:val="0"/>
          <w:sz w:val="24"/>
          <w:szCs w:val="24"/>
        </w:rPr>
        <w:t>如果IRB定期</w:t>
      </w:r>
      <w:r>
        <w:rPr>
          <w:rFonts w:hint="eastAsia" w:eastAsia="宋体"/>
          <w:snapToGrid w:val="0"/>
          <w:kern w:val="0"/>
          <w:sz w:val="24"/>
          <w:szCs w:val="24"/>
        </w:rPr>
        <w:t>进行这些审查，则</w:t>
      </w:r>
      <w:r>
        <w:rPr>
          <w:rFonts w:eastAsia="宋体"/>
          <w:snapToGrid w:val="0"/>
          <w:kern w:val="0"/>
          <w:sz w:val="24"/>
          <w:szCs w:val="24"/>
        </w:rPr>
        <w:t>IRB</w:t>
      </w:r>
      <w:r>
        <w:rPr>
          <w:rFonts w:hint="eastAsia" w:eastAsia="宋体"/>
          <w:snapToGrid w:val="0"/>
          <w:kern w:val="0"/>
          <w:sz w:val="24"/>
          <w:szCs w:val="24"/>
        </w:rPr>
        <w:t>政策应批准此类审查，并且应在</w:t>
      </w:r>
      <w:r>
        <w:rPr>
          <w:rFonts w:eastAsia="宋体"/>
          <w:snapToGrid w:val="0"/>
          <w:kern w:val="0"/>
          <w:sz w:val="24"/>
          <w:szCs w:val="24"/>
        </w:rPr>
        <w:t>IRB</w:t>
      </w:r>
      <w:r>
        <w:rPr>
          <w:rFonts w:hint="eastAsia" w:eastAsia="宋体"/>
          <w:snapToGrid w:val="0"/>
          <w:kern w:val="0"/>
          <w:sz w:val="24"/>
          <w:szCs w:val="24"/>
        </w:rPr>
        <w:t>书面程序中描述该过程。当会议备忘录中清楚地表明成员们意识到要进行研究的地点以及</w:t>
      </w:r>
      <w:r>
        <w:rPr>
          <w:rFonts w:eastAsia="宋体"/>
          <w:snapToGrid w:val="0"/>
          <w:kern w:val="0"/>
          <w:sz w:val="24"/>
          <w:szCs w:val="24"/>
        </w:rPr>
        <w:t>IRB是否</w:t>
      </w:r>
      <w:r>
        <w:rPr>
          <w:rFonts w:hint="eastAsia" w:eastAsia="宋体"/>
          <w:snapToGrid w:val="0"/>
          <w:kern w:val="0"/>
          <w:sz w:val="24"/>
          <w:szCs w:val="24"/>
        </w:rPr>
        <w:t>拥有关于这些研究中心的适当认知时，医院</w:t>
      </w:r>
      <w:r>
        <w:rPr>
          <w:rFonts w:eastAsia="宋体"/>
          <w:snapToGrid w:val="0"/>
          <w:kern w:val="0"/>
          <w:sz w:val="24"/>
          <w:szCs w:val="24"/>
        </w:rPr>
        <w:t>IRB可以在</w:t>
      </w:r>
      <w:r>
        <w:rPr>
          <w:rFonts w:hint="eastAsia" w:eastAsia="宋体"/>
          <w:snapToGrid w:val="0"/>
          <w:kern w:val="0"/>
          <w:sz w:val="24"/>
          <w:szCs w:val="24"/>
        </w:rPr>
        <w:t>个别时候对外部研究进行审查。</w:t>
      </w:r>
    </w:p>
    <w:p w14:paraId="55AFF010">
      <w:pPr>
        <w:widowControl w:val="0"/>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8.</w:t>
      </w:r>
      <w:r>
        <w:rPr>
          <w:rFonts w:ascii="Arial" w:hAnsi="Arial" w:eastAsia="宋体" w:cs="Arial"/>
          <w:b/>
          <w:snapToGrid w:val="0"/>
          <w:szCs w:val="24"/>
        </w:rPr>
        <w:t>IRB成</w:t>
      </w:r>
      <w:r>
        <w:rPr>
          <w:rFonts w:hint="eastAsia" w:ascii="Arial" w:hAnsi="Arial" w:eastAsia="宋体" w:cs="Arial"/>
          <w:b/>
          <w:snapToGrid w:val="0"/>
          <w:szCs w:val="24"/>
        </w:rPr>
        <w:t>员可以获得服务费用吗？</w:t>
      </w:r>
    </w:p>
    <w:p w14:paraId="62EB2D52">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w:t>
      </w:r>
      <w:r>
        <w:rPr>
          <w:rFonts w:hint="eastAsia" w:eastAsia="宋体"/>
          <w:snapToGrid w:val="0"/>
          <w:kern w:val="0"/>
          <w:sz w:val="24"/>
          <w:szCs w:val="24"/>
        </w:rPr>
        <w:t>法规并未阻止成员获取所提供服务补偿。对</w:t>
      </w:r>
      <w:r>
        <w:rPr>
          <w:rFonts w:eastAsia="宋体"/>
          <w:snapToGrid w:val="0"/>
          <w:kern w:val="0"/>
          <w:sz w:val="24"/>
          <w:szCs w:val="24"/>
        </w:rPr>
        <w:t>IRB成</w:t>
      </w:r>
      <w:r>
        <w:rPr>
          <w:rFonts w:hint="eastAsia" w:eastAsia="宋体"/>
          <w:snapToGrid w:val="0"/>
          <w:kern w:val="0"/>
          <w:sz w:val="24"/>
          <w:szCs w:val="24"/>
        </w:rPr>
        <w:t>员的支付不应取决于有利或与之有关的决定。费用</w:t>
      </w:r>
      <w:r>
        <w:rPr>
          <w:rFonts w:eastAsia="宋体"/>
          <w:snapToGrid w:val="0"/>
          <w:kern w:val="0"/>
          <w:sz w:val="24"/>
          <w:szCs w:val="24"/>
        </w:rPr>
        <w:t>，如</w:t>
      </w:r>
      <w:r>
        <w:rPr>
          <w:rFonts w:hint="eastAsia" w:eastAsia="宋体"/>
          <w:snapToGrid w:val="0"/>
          <w:kern w:val="0"/>
          <w:sz w:val="24"/>
          <w:szCs w:val="24"/>
        </w:rPr>
        <w:t>差旅费，也可以报销。</w:t>
      </w:r>
    </w:p>
    <w:p w14:paraId="16E916E0">
      <w:pPr>
        <w:widowControl w:val="0"/>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9.在医疗事故诉讼中FDA对IRB的责任起到什么作用？</w:t>
      </w:r>
    </w:p>
    <w:p w14:paraId="613947CC">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在医疗事故诉讼的情况下，</w:t>
      </w:r>
      <w:r>
        <w:rPr>
          <w:rFonts w:eastAsia="宋体"/>
          <w:snapToGrid w:val="0"/>
          <w:kern w:val="0"/>
          <w:sz w:val="24"/>
          <w:szCs w:val="24"/>
        </w:rPr>
        <w:t>FDA</w:t>
      </w:r>
      <w:r>
        <w:rPr>
          <w:rFonts w:hint="eastAsia" w:eastAsia="宋体"/>
          <w:snapToGrid w:val="0"/>
          <w:kern w:val="0"/>
          <w:sz w:val="24"/>
          <w:szCs w:val="24"/>
        </w:rPr>
        <w:t>法规并不会解决</w:t>
      </w:r>
      <w:r>
        <w:rPr>
          <w:rFonts w:eastAsia="宋体"/>
          <w:snapToGrid w:val="0"/>
          <w:kern w:val="0"/>
          <w:sz w:val="24"/>
          <w:szCs w:val="24"/>
        </w:rPr>
        <w:t>IRB或机构</w:t>
      </w:r>
      <w:r>
        <w:rPr>
          <w:rFonts w:hint="eastAsia" w:eastAsia="宋体"/>
          <w:snapToGrid w:val="0"/>
          <w:kern w:val="0"/>
          <w:sz w:val="24"/>
          <w:szCs w:val="24"/>
        </w:rPr>
        <w:t>责任的问题，</w:t>
      </w:r>
      <w:r>
        <w:rPr>
          <w:rFonts w:eastAsia="宋体"/>
          <w:snapToGrid w:val="0"/>
          <w:kern w:val="0"/>
          <w:sz w:val="24"/>
          <w:szCs w:val="24"/>
        </w:rPr>
        <w:t>FDA</w:t>
      </w:r>
      <w:r>
        <w:rPr>
          <w:rFonts w:hint="eastAsia" w:eastAsia="宋体"/>
          <w:snapToGrid w:val="0"/>
          <w:kern w:val="0"/>
          <w:sz w:val="24"/>
          <w:szCs w:val="24"/>
        </w:rPr>
        <w:t>无权限制</w:t>
      </w:r>
      <w:r>
        <w:rPr>
          <w:rFonts w:eastAsia="宋体"/>
          <w:snapToGrid w:val="0"/>
          <w:kern w:val="0"/>
          <w:sz w:val="24"/>
          <w:szCs w:val="24"/>
        </w:rPr>
        <w:t>IRB或其成</w:t>
      </w:r>
      <w:r>
        <w:rPr>
          <w:rFonts w:hint="eastAsia" w:eastAsia="宋体"/>
          <w:snapToGrid w:val="0"/>
          <w:kern w:val="0"/>
          <w:sz w:val="24"/>
          <w:szCs w:val="24"/>
        </w:rPr>
        <w:t>员的责任。</w:t>
      </w:r>
      <w:r>
        <w:rPr>
          <w:rFonts w:eastAsia="宋体"/>
          <w:snapToGrid w:val="0"/>
          <w:kern w:val="0"/>
          <w:sz w:val="24"/>
          <w:szCs w:val="24"/>
        </w:rPr>
        <w:t>符合FDA法规</w:t>
      </w:r>
      <w:r>
        <w:rPr>
          <w:rFonts w:hint="eastAsia" w:eastAsia="宋体"/>
          <w:snapToGrid w:val="0"/>
          <w:kern w:val="0"/>
          <w:sz w:val="24"/>
          <w:szCs w:val="24"/>
        </w:rPr>
        <w:t>可能有助于减少</w:t>
      </w:r>
      <w:r>
        <w:rPr>
          <w:rFonts w:eastAsia="宋体"/>
          <w:snapToGrid w:val="0"/>
          <w:kern w:val="0"/>
          <w:sz w:val="24"/>
          <w:szCs w:val="24"/>
        </w:rPr>
        <w:t>IRB的</w:t>
      </w:r>
      <w:r>
        <w:rPr>
          <w:rFonts w:hint="eastAsia" w:eastAsia="宋体"/>
          <w:snapToGrid w:val="0"/>
          <w:kern w:val="0"/>
          <w:sz w:val="24"/>
          <w:szCs w:val="24"/>
        </w:rPr>
        <w:t>责任风险。</w:t>
      </w:r>
    </w:p>
    <w:p w14:paraId="5EDDF315">
      <w:pPr>
        <w:widowControl w:val="0"/>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10.</w:t>
      </w:r>
      <w:r>
        <w:rPr>
          <w:rFonts w:ascii="Arial" w:hAnsi="Arial" w:eastAsia="宋体" w:cs="Arial"/>
          <w:b/>
          <w:snapToGrid w:val="0"/>
          <w:szCs w:val="24"/>
        </w:rPr>
        <w:t xml:space="preserve"> IRB</w:t>
      </w:r>
      <w:r>
        <w:rPr>
          <w:rFonts w:hint="eastAsia" w:ascii="Arial" w:hAnsi="Arial" w:eastAsia="宋体" w:cs="Arial"/>
          <w:b/>
          <w:snapToGrid w:val="0"/>
          <w:szCs w:val="24"/>
        </w:rPr>
        <w:t>审查知情同意的目的是保护机构还是受试者？</w:t>
      </w:r>
    </w:p>
    <w:p w14:paraId="646ECDE4">
      <w:pPr>
        <w:spacing w:after="0" w:line="240" w:lineRule="auto"/>
        <w:rPr>
          <w:rFonts w:ascii="Arial" w:hAnsi="Arial" w:eastAsia="宋体" w:cs="Arial"/>
          <w:snapToGrid w:val="0"/>
          <w:szCs w:val="24"/>
        </w:rPr>
      </w:pPr>
      <w:r>
        <w:rPr>
          <w:rFonts w:eastAsia="宋体"/>
          <w:snapToGrid w:val="0"/>
          <w:szCs w:val="24"/>
        </w:rPr>
        <w:br w:type="page"/>
      </w:r>
    </w:p>
    <w:p w14:paraId="36851C1A">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IRB</w:t>
      </w:r>
      <w:r>
        <w:rPr>
          <w:rFonts w:hint="eastAsia" w:eastAsia="宋体"/>
          <w:snapToGrid w:val="0"/>
          <w:kern w:val="0"/>
          <w:sz w:val="24"/>
          <w:szCs w:val="24"/>
        </w:rPr>
        <w:t>审查知情同意的根本目的是确保受试者的权利和福利受到保护。签署的知情同意书是证明该文件已经提供给潜在受试者（及大概已向其说明的），并且该受试者同意参与该研究。</w:t>
      </w:r>
      <w:r>
        <w:rPr>
          <w:rFonts w:eastAsia="宋体"/>
          <w:snapToGrid w:val="0"/>
          <w:kern w:val="0"/>
          <w:sz w:val="24"/>
          <w:szCs w:val="24"/>
        </w:rPr>
        <w:t>IRB</w:t>
      </w:r>
      <w:r>
        <w:rPr>
          <w:rFonts w:hint="eastAsia" w:eastAsia="宋体"/>
          <w:snapToGrid w:val="0"/>
          <w:kern w:val="0"/>
          <w:sz w:val="24"/>
          <w:szCs w:val="24"/>
        </w:rPr>
        <w:t>对知情同意文件的审查也确保了该机构遵守适用的规定。</w:t>
      </w:r>
    </w:p>
    <w:p w14:paraId="60AA88B7">
      <w:pPr>
        <w:widowControl w:val="0"/>
        <w:tabs>
          <w:tab w:val="left" w:pos="8647"/>
        </w:tabs>
        <w:topLinePunct/>
        <w:adjustRightInd w:val="0"/>
        <w:snapToGrid w:val="0"/>
        <w:spacing w:after="244" w:afterLines="75" w:line="300" w:lineRule="auto"/>
        <w:jc w:val="both"/>
        <w:rPr>
          <w:rFonts w:ascii="Arial" w:hAnsi="Arial" w:eastAsia="宋体" w:cs="Arial"/>
          <w:b/>
          <w:snapToGrid w:val="0"/>
          <w:szCs w:val="24"/>
        </w:rPr>
      </w:pPr>
      <w:r>
        <w:rPr>
          <w:rFonts w:hint="eastAsia" w:ascii="Arial" w:hAnsi="Arial" w:eastAsia="宋体" w:cs="Arial"/>
          <w:b/>
          <w:snapToGrid w:val="0"/>
          <w:szCs w:val="24"/>
        </w:rPr>
        <w:t>11.若受试者因参加研究而受到损伤，</w:t>
      </w:r>
      <w:r>
        <w:rPr>
          <w:rFonts w:ascii="Arial" w:hAnsi="Arial" w:eastAsia="宋体" w:cs="Arial"/>
          <w:b/>
          <w:snapToGrid w:val="0"/>
          <w:szCs w:val="24"/>
        </w:rPr>
        <w:t>IRB或机构是否</w:t>
      </w:r>
      <w:r>
        <w:rPr>
          <w:rFonts w:hint="eastAsia" w:ascii="Arial" w:hAnsi="Arial" w:eastAsia="宋体" w:cs="Arial"/>
          <w:b/>
          <w:snapToGrid w:val="0"/>
          <w:szCs w:val="24"/>
        </w:rPr>
        <w:t>必须对其进行赔偿？</w:t>
      </w:r>
    </w:p>
    <w:p w14:paraId="490E3066">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由机构政策而非</w:t>
      </w:r>
      <w:r>
        <w:rPr>
          <w:rFonts w:eastAsia="宋体"/>
          <w:snapToGrid w:val="0"/>
          <w:kern w:val="0"/>
          <w:sz w:val="24"/>
          <w:szCs w:val="24"/>
        </w:rPr>
        <w:t>FDA法规</w:t>
      </w:r>
      <w:r>
        <w:rPr>
          <w:rFonts w:hint="eastAsia" w:eastAsia="宋体"/>
          <w:snapToGrid w:val="0"/>
          <w:kern w:val="0"/>
          <w:sz w:val="24"/>
          <w:szCs w:val="24"/>
        </w:rPr>
        <w:t>决定是否提供赔偿和医学治疗，以及在什么情况下受试者可能有资格接受赔偿或治疗。</w:t>
      </w:r>
      <w:r>
        <w:rPr>
          <w:rFonts w:eastAsia="宋体"/>
          <w:snapToGrid w:val="0"/>
          <w:kern w:val="0"/>
          <w:sz w:val="24"/>
          <w:szCs w:val="24"/>
        </w:rPr>
        <w:t>FDA</w:t>
      </w:r>
      <w:r>
        <w:rPr>
          <w:rFonts w:hint="eastAsia" w:eastAsia="宋体"/>
          <w:snapToGrid w:val="0"/>
          <w:kern w:val="0"/>
          <w:sz w:val="24"/>
          <w:szCs w:val="24"/>
        </w:rPr>
        <w:t>知情同意法规中的赔偿</w:t>
      </w:r>
      <w:r>
        <w:rPr>
          <w:rFonts w:eastAsia="宋体"/>
          <w:snapToGrid w:val="0"/>
          <w:kern w:val="0"/>
          <w:sz w:val="24"/>
          <w:szCs w:val="24"/>
        </w:rPr>
        <w:t>【21 CFR 50.25 （a） （6） 】要求，</w:t>
      </w:r>
      <w:r>
        <w:rPr>
          <w:rFonts w:hint="eastAsia" w:eastAsia="宋体"/>
          <w:snapToGrid w:val="0"/>
          <w:kern w:val="0"/>
          <w:sz w:val="24"/>
          <w:szCs w:val="24"/>
        </w:rPr>
        <w:t>对于涉及超过最小风险的研究，必须告知受试者若受到损伤是否可以获得赔偿和医学治疗，如果有</w:t>
      </w:r>
      <w:r>
        <w:rPr>
          <w:rFonts w:eastAsia="宋体"/>
          <w:snapToGrid w:val="0"/>
          <w:kern w:val="0"/>
          <w:sz w:val="24"/>
          <w:szCs w:val="24"/>
        </w:rPr>
        <w:t>，它</w:t>
      </w:r>
      <w:r>
        <w:rPr>
          <w:rFonts w:hint="eastAsia" w:eastAsia="宋体"/>
          <w:snapToGrid w:val="0"/>
          <w:kern w:val="0"/>
          <w:sz w:val="24"/>
          <w:szCs w:val="24"/>
        </w:rPr>
        <w:t>们是什么，或者从哪里可以获得进一步的信息。</w:t>
      </w:r>
      <w:r>
        <w:rPr>
          <w:rFonts w:eastAsia="宋体"/>
          <w:snapToGrid w:val="0"/>
          <w:kern w:val="0"/>
          <w:sz w:val="24"/>
          <w:szCs w:val="24"/>
        </w:rPr>
        <w:t>任何不提供</w:t>
      </w:r>
      <w:r>
        <w:rPr>
          <w:rFonts w:hint="eastAsia" w:eastAsia="宋体"/>
          <w:snapToGrid w:val="0"/>
          <w:kern w:val="0"/>
          <w:sz w:val="24"/>
          <w:szCs w:val="24"/>
        </w:rPr>
        <w:t>赔偿的声明不得免除或貌似免除受试者的任何权利，或解除或貌似解除研究者、申办者或机构的过失责任</w:t>
      </w:r>
      <w:r>
        <w:rPr>
          <w:rFonts w:eastAsia="宋体"/>
          <w:snapToGrid w:val="0"/>
          <w:kern w:val="0"/>
          <w:sz w:val="24"/>
          <w:szCs w:val="24"/>
        </w:rPr>
        <w:t>【21 CFR 50.20】。</w:t>
      </w:r>
      <w:r>
        <w:rPr>
          <w:rFonts w:hint="eastAsia" w:eastAsia="宋体"/>
          <w:snapToGrid w:val="0"/>
          <w:kern w:val="0"/>
          <w:sz w:val="24"/>
          <w:szCs w:val="24"/>
        </w:rPr>
        <w:t xml:space="preserve"> </w:t>
      </w:r>
    </w:p>
    <w:p w14:paraId="3352E2A5">
      <w:pPr>
        <w:pStyle w:val="41"/>
        <w:shd w:val="clear" w:color="auto" w:fill="auto"/>
        <w:topLinePunct/>
        <w:adjustRightInd w:val="0"/>
        <w:snapToGrid w:val="0"/>
        <w:spacing w:before="0" w:after="244" w:afterLines="75" w:line="300" w:lineRule="auto"/>
        <w:jc w:val="both"/>
        <w:rPr>
          <w:rFonts w:eastAsia="宋体"/>
          <w:b/>
          <w:snapToGrid w:val="0"/>
          <w:kern w:val="0"/>
          <w:sz w:val="24"/>
          <w:szCs w:val="28"/>
        </w:rPr>
      </w:pPr>
      <w:r>
        <w:rPr>
          <w:rFonts w:hint="eastAsia" w:eastAsia="宋体"/>
          <w:b/>
          <w:snapToGrid w:val="0"/>
          <w:kern w:val="0"/>
          <w:sz w:val="24"/>
          <w:szCs w:val="28"/>
        </w:rPr>
        <w:t xml:space="preserve">II. </w:t>
      </w:r>
      <w:r>
        <w:rPr>
          <w:rFonts w:eastAsia="宋体"/>
          <w:b/>
          <w:snapToGrid w:val="0"/>
          <w:kern w:val="0"/>
          <w:sz w:val="24"/>
          <w:szCs w:val="28"/>
        </w:rPr>
        <w:t>IRB</w:t>
      </w:r>
      <w:r>
        <w:rPr>
          <w:rFonts w:hint="eastAsia" w:eastAsia="宋体"/>
          <w:b/>
          <w:snapToGrid w:val="0"/>
          <w:kern w:val="0"/>
          <w:sz w:val="24"/>
          <w:szCs w:val="28"/>
        </w:rPr>
        <w:t>成员资格</w:t>
      </w:r>
    </w:p>
    <w:p w14:paraId="7F64B24C">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12.临床研究者可以是</w:t>
      </w:r>
      <w:r>
        <w:rPr>
          <w:rFonts w:eastAsia="宋体"/>
          <w:b/>
          <w:snapToGrid w:val="0"/>
          <w:kern w:val="0"/>
          <w:sz w:val="24"/>
          <w:szCs w:val="24"/>
        </w:rPr>
        <w:t>IRB</w:t>
      </w:r>
      <w:r>
        <w:rPr>
          <w:rFonts w:hint="eastAsia" w:eastAsia="宋体"/>
          <w:b/>
          <w:snapToGrid w:val="0"/>
          <w:kern w:val="0"/>
          <w:sz w:val="24"/>
          <w:szCs w:val="24"/>
        </w:rPr>
        <w:t>成员吗？</w:t>
      </w:r>
    </w:p>
    <w:p w14:paraId="08FE7459">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是，但</w:t>
      </w:r>
      <w:r>
        <w:rPr>
          <w:rFonts w:eastAsia="宋体"/>
          <w:snapToGrid w:val="0"/>
          <w:kern w:val="0"/>
          <w:sz w:val="24"/>
          <w:szCs w:val="24"/>
        </w:rPr>
        <w:t>IRB</w:t>
      </w:r>
      <w:r>
        <w:rPr>
          <w:rFonts w:hint="eastAsia" w:eastAsia="宋体"/>
          <w:snapToGrid w:val="0"/>
          <w:kern w:val="0"/>
          <w:sz w:val="24"/>
          <w:szCs w:val="24"/>
        </w:rPr>
        <w:t>规定</w:t>
      </w:r>
      <w:r>
        <w:rPr>
          <w:rFonts w:eastAsia="宋体"/>
          <w:snapToGrid w:val="0"/>
          <w:kern w:val="0"/>
          <w:sz w:val="24"/>
          <w:szCs w:val="24"/>
        </w:rPr>
        <w:t>【21 CFR 56.107 （e）】禁止任何成</w:t>
      </w:r>
      <w:r>
        <w:rPr>
          <w:rFonts w:hint="eastAsia" w:eastAsia="宋体"/>
          <w:snapToGrid w:val="0"/>
          <w:kern w:val="0"/>
          <w:sz w:val="24"/>
          <w:szCs w:val="24"/>
        </w:rPr>
        <w:t>员参加与该成员有利益冲突的任何研究的</w:t>
      </w:r>
      <w:r>
        <w:rPr>
          <w:rFonts w:eastAsia="宋体"/>
          <w:snapToGrid w:val="0"/>
          <w:kern w:val="0"/>
          <w:sz w:val="24"/>
          <w:szCs w:val="24"/>
        </w:rPr>
        <w:t>IRB</w:t>
      </w:r>
      <w:r>
        <w:rPr>
          <w:rFonts w:hint="eastAsia" w:eastAsia="宋体"/>
          <w:snapToGrid w:val="0"/>
          <w:kern w:val="0"/>
          <w:sz w:val="24"/>
          <w:szCs w:val="24"/>
        </w:rPr>
        <w:t>初始</w:t>
      </w:r>
      <w:r>
        <w:rPr>
          <w:rFonts w:eastAsia="宋体"/>
          <w:snapToGrid w:val="0"/>
          <w:kern w:val="0"/>
          <w:sz w:val="24"/>
          <w:szCs w:val="24"/>
        </w:rPr>
        <w:t>或</w:t>
      </w:r>
      <w:r>
        <w:rPr>
          <w:rFonts w:hint="eastAsia" w:eastAsia="宋体"/>
          <w:snapToGrid w:val="0"/>
          <w:kern w:val="0"/>
          <w:sz w:val="24"/>
          <w:szCs w:val="24"/>
        </w:rPr>
        <w:t>继续审查，除非按</w:t>
      </w:r>
      <w:r>
        <w:rPr>
          <w:rFonts w:eastAsia="宋体"/>
          <w:snapToGrid w:val="0"/>
          <w:kern w:val="0"/>
          <w:sz w:val="24"/>
          <w:szCs w:val="24"/>
        </w:rPr>
        <w:t>IRB</w:t>
      </w:r>
      <w:r>
        <w:rPr>
          <w:rFonts w:hint="eastAsia" w:eastAsia="宋体"/>
          <w:snapToGrid w:val="0"/>
          <w:kern w:val="0"/>
          <w:sz w:val="24"/>
          <w:szCs w:val="24"/>
        </w:rPr>
        <w:t>要求提供资料</w:t>
      </w:r>
      <w:r>
        <w:rPr>
          <w:rFonts w:eastAsia="宋体"/>
          <w:snapToGrid w:val="0"/>
          <w:kern w:val="0"/>
          <w:sz w:val="24"/>
          <w:szCs w:val="24"/>
        </w:rPr>
        <w:t>。在</w:t>
      </w:r>
      <w:r>
        <w:rPr>
          <w:rFonts w:hint="eastAsia" w:eastAsia="宋体"/>
          <w:snapToGrid w:val="0"/>
          <w:kern w:val="0"/>
          <w:sz w:val="24"/>
          <w:szCs w:val="24"/>
        </w:rPr>
        <w:t>选择</w:t>
      </w:r>
      <w:r>
        <w:rPr>
          <w:rFonts w:eastAsia="宋体"/>
          <w:snapToGrid w:val="0"/>
          <w:kern w:val="0"/>
          <w:sz w:val="24"/>
          <w:szCs w:val="24"/>
        </w:rPr>
        <w:t>IRB成</w:t>
      </w:r>
      <w:r>
        <w:rPr>
          <w:rFonts w:hint="eastAsia" w:eastAsia="宋体"/>
          <w:snapToGrid w:val="0"/>
          <w:kern w:val="0"/>
          <w:sz w:val="24"/>
          <w:szCs w:val="24"/>
        </w:rPr>
        <w:t>员时，应考虑利益冲突的可能性。当成员经常有利益冲突，而不参加审议和放弃投票时，其对小组审查程序的贡献可能会减少，从而可能妨碍审查程序。</w:t>
      </w:r>
      <w:r>
        <w:rPr>
          <w:rFonts w:eastAsia="宋体"/>
          <w:snapToGrid w:val="0"/>
          <w:kern w:val="0"/>
          <w:sz w:val="24"/>
          <w:szCs w:val="24"/>
        </w:rPr>
        <w:t>如果</w:t>
      </w:r>
      <w:r>
        <w:rPr>
          <w:rFonts w:hint="eastAsia" w:eastAsia="宋体"/>
          <w:snapToGrid w:val="0"/>
          <w:kern w:val="0"/>
          <w:sz w:val="24"/>
          <w:szCs w:val="24"/>
        </w:rPr>
        <w:t>此人是</w:t>
      </w:r>
      <w:r>
        <w:rPr>
          <w:rFonts w:eastAsia="宋体"/>
          <w:snapToGrid w:val="0"/>
          <w:kern w:val="0"/>
          <w:sz w:val="24"/>
          <w:szCs w:val="24"/>
        </w:rPr>
        <w:t>IRB的主席，</w:t>
      </w:r>
      <w:r>
        <w:rPr>
          <w:rFonts w:hint="eastAsia" w:eastAsia="宋体"/>
          <w:snapToGrid w:val="0"/>
          <w:kern w:val="0"/>
          <w:sz w:val="24"/>
          <w:szCs w:val="24"/>
        </w:rPr>
        <w:t>则</w:t>
      </w:r>
      <w:r>
        <w:rPr>
          <w:rFonts w:eastAsia="宋体"/>
          <w:snapToGrid w:val="0"/>
          <w:kern w:val="0"/>
          <w:sz w:val="24"/>
          <w:szCs w:val="24"/>
        </w:rPr>
        <w:t>可能</w:t>
      </w:r>
      <w:r>
        <w:rPr>
          <w:rFonts w:hint="eastAsia" w:eastAsia="宋体"/>
          <w:snapToGrid w:val="0"/>
          <w:kern w:val="0"/>
          <w:sz w:val="24"/>
          <w:szCs w:val="24"/>
        </w:rPr>
        <w:t>会造成更大的干扰。</w:t>
      </w:r>
    </w:p>
    <w:p w14:paraId="70072F82">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13. </w:t>
      </w:r>
      <w:r>
        <w:rPr>
          <w:rFonts w:eastAsia="宋体"/>
          <w:b/>
          <w:snapToGrid w:val="0"/>
          <w:kern w:val="0"/>
          <w:sz w:val="24"/>
          <w:szCs w:val="24"/>
        </w:rPr>
        <w:t>IRB</w:t>
      </w:r>
      <w:r>
        <w:rPr>
          <w:rFonts w:hint="eastAsia" w:eastAsia="宋体"/>
          <w:b/>
          <w:snapToGrid w:val="0"/>
          <w:kern w:val="0"/>
          <w:sz w:val="24"/>
          <w:szCs w:val="24"/>
        </w:rPr>
        <w:t>规定要求</w:t>
      </w:r>
      <w:r>
        <w:rPr>
          <w:rFonts w:eastAsia="宋体"/>
          <w:b/>
          <w:snapToGrid w:val="0"/>
          <w:kern w:val="0"/>
          <w:sz w:val="24"/>
          <w:szCs w:val="24"/>
        </w:rPr>
        <w:t>IRB</w:t>
      </w:r>
      <w:r>
        <w:rPr>
          <w:rFonts w:hint="eastAsia" w:eastAsia="宋体"/>
          <w:b/>
          <w:snapToGrid w:val="0"/>
          <w:kern w:val="0"/>
          <w:sz w:val="24"/>
          <w:szCs w:val="24"/>
        </w:rPr>
        <w:t>拥有不同的成员资格，</w:t>
      </w:r>
      <w:r>
        <w:rPr>
          <w:rFonts w:eastAsia="宋体"/>
          <w:b/>
          <w:snapToGrid w:val="0"/>
          <w:kern w:val="0"/>
          <w:sz w:val="24"/>
          <w:szCs w:val="24"/>
        </w:rPr>
        <w:t>一</w:t>
      </w:r>
      <w:r>
        <w:rPr>
          <w:rFonts w:hint="eastAsia" w:eastAsia="宋体"/>
          <w:b/>
          <w:snapToGrid w:val="0"/>
          <w:kern w:val="0"/>
          <w:sz w:val="24"/>
          <w:szCs w:val="24"/>
        </w:rPr>
        <w:t>名成员可以符合多个成员资格的类别吗？</w:t>
      </w:r>
    </w:p>
    <w:p w14:paraId="35737AEE">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w:t>
      </w:r>
      <w:r>
        <w:rPr>
          <w:rFonts w:eastAsia="宋体"/>
          <w:snapToGrid w:val="0"/>
          <w:kern w:val="0"/>
          <w:sz w:val="24"/>
          <w:szCs w:val="24"/>
        </w:rPr>
        <w:t>例如，一</w:t>
      </w:r>
      <w:r>
        <w:rPr>
          <w:rFonts w:hint="eastAsia" w:eastAsia="宋体"/>
          <w:snapToGrid w:val="0"/>
          <w:kern w:val="0"/>
          <w:sz w:val="24"/>
          <w:szCs w:val="24"/>
        </w:rPr>
        <w:t>名成员可能是独立于该机构的，并且主要关注非科学领域，此人将满足法规中对于成员资格的两个要求。</w:t>
      </w:r>
      <w:r>
        <w:rPr>
          <w:rFonts w:eastAsia="宋体"/>
          <w:snapToGrid w:val="0"/>
          <w:kern w:val="0"/>
          <w:sz w:val="24"/>
          <w:szCs w:val="24"/>
        </w:rPr>
        <w:t>然而，</w:t>
      </w:r>
      <w:r>
        <w:rPr>
          <w:rFonts w:hint="eastAsia" w:eastAsia="宋体"/>
          <w:snapToGrid w:val="0"/>
          <w:kern w:val="0"/>
          <w:sz w:val="24"/>
          <w:szCs w:val="24"/>
        </w:rPr>
        <w:t>对于成员资格，</w:t>
      </w:r>
      <w:r>
        <w:rPr>
          <w:rFonts w:eastAsia="宋体"/>
          <w:snapToGrid w:val="0"/>
          <w:kern w:val="0"/>
          <w:sz w:val="24"/>
          <w:szCs w:val="24"/>
        </w:rPr>
        <w:t>IRB</w:t>
      </w:r>
      <w:r>
        <w:rPr>
          <w:rFonts w:hint="eastAsia" w:eastAsia="宋体"/>
          <w:snapToGrid w:val="0"/>
          <w:kern w:val="0"/>
          <w:sz w:val="24"/>
          <w:szCs w:val="24"/>
        </w:rPr>
        <w:t>应力争可以代表能力多样性和学科多样性。实际上，</w:t>
      </w:r>
      <w:r>
        <w:rPr>
          <w:rFonts w:eastAsia="宋体"/>
          <w:snapToGrid w:val="0"/>
          <w:kern w:val="0"/>
          <w:sz w:val="24"/>
          <w:szCs w:val="24"/>
        </w:rPr>
        <w:t>FDA法规【21 CFR 56.107 （a）】要求，作</w:t>
      </w:r>
      <w:r>
        <w:rPr>
          <w:rFonts w:hint="eastAsia" w:eastAsia="宋体"/>
          <w:snapToGrid w:val="0"/>
          <w:kern w:val="0"/>
          <w:sz w:val="24"/>
          <w:szCs w:val="24"/>
        </w:rPr>
        <w:t>为</w:t>
      </w:r>
      <w:r>
        <w:rPr>
          <w:rFonts w:eastAsia="宋体"/>
          <w:snapToGrid w:val="0"/>
          <w:kern w:val="0"/>
          <w:sz w:val="24"/>
          <w:szCs w:val="24"/>
        </w:rPr>
        <w:t>IRB</w:t>
      </w:r>
      <w:r>
        <w:rPr>
          <w:rFonts w:hint="eastAsia" w:eastAsia="宋体"/>
          <w:snapToGrid w:val="0"/>
          <w:kern w:val="0"/>
          <w:sz w:val="24"/>
          <w:szCs w:val="24"/>
        </w:rPr>
        <w:t>资格</w:t>
      </w:r>
      <w:r>
        <w:rPr>
          <w:rFonts w:eastAsia="宋体"/>
          <w:snapToGrid w:val="0"/>
          <w:kern w:val="0"/>
          <w:sz w:val="24"/>
          <w:szCs w:val="24"/>
        </w:rPr>
        <w:t>的一部分，IRB必</w:t>
      </w:r>
      <w:r>
        <w:rPr>
          <w:rFonts w:hint="eastAsia" w:eastAsia="宋体"/>
          <w:snapToGrid w:val="0"/>
          <w:kern w:val="0"/>
          <w:sz w:val="24"/>
          <w:szCs w:val="24"/>
        </w:rPr>
        <w:t>须具有</w:t>
      </w:r>
      <w:r>
        <w:rPr>
          <w:rFonts w:hint="eastAsia" w:ascii="宋体" w:hAnsi="宋体" w:eastAsia="宋体"/>
          <w:snapToGrid w:val="0"/>
          <w:kern w:val="0"/>
          <w:sz w:val="24"/>
          <w:szCs w:val="24"/>
        </w:rPr>
        <w:t>“</w:t>
      </w:r>
      <w:r>
        <w:rPr>
          <w:rFonts w:eastAsia="宋体"/>
          <w:snapToGrid w:val="0"/>
          <w:kern w:val="0"/>
          <w:sz w:val="24"/>
          <w:szCs w:val="24"/>
        </w:rPr>
        <w:t>...成</w:t>
      </w:r>
      <w:r>
        <w:rPr>
          <w:rFonts w:hint="eastAsia" w:eastAsia="宋体"/>
          <w:snapToGrid w:val="0"/>
          <w:kern w:val="0"/>
          <w:sz w:val="24"/>
          <w:szCs w:val="24"/>
        </w:rPr>
        <w:t>员的多样性，包括对种族、性别、文化背景以及</w:t>
      </w:r>
      <w:r>
        <w:rPr>
          <w:rFonts w:eastAsia="宋体"/>
          <w:snapToGrid w:val="0"/>
          <w:kern w:val="0"/>
          <w:sz w:val="24"/>
          <w:szCs w:val="24"/>
        </w:rPr>
        <w:t>对诸如社区</w:t>
      </w:r>
      <w:r>
        <w:rPr>
          <w:rFonts w:hint="eastAsia" w:eastAsia="宋体"/>
          <w:snapToGrid w:val="0"/>
          <w:kern w:val="0"/>
          <w:sz w:val="24"/>
          <w:szCs w:val="24"/>
        </w:rPr>
        <w:t>看法这种</w:t>
      </w:r>
      <w:r>
        <w:rPr>
          <w:rFonts w:eastAsia="宋体"/>
          <w:snapToGrid w:val="0"/>
          <w:kern w:val="0"/>
          <w:sz w:val="24"/>
          <w:szCs w:val="24"/>
        </w:rPr>
        <w:t>问题的敏感性...</w:t>
      </w:r>
      <w:r>
        <w:rPr>
          <w:rFonts w:hint="eastAsia" w:eastAsia="宋体"/>
          <w:snapToGrid w:val="0"/>
          <w:kern w:val="0"/>
          <w:sz w:val="24"/>
          <w:szCs w:val="24"/>
        </w:rPr>
        <w:t>...</w:t>
      </w:r>
      <w:r>
        <w:rPr>
          <w:rFonts w:hint="eastAsia" w:ascii="宋体" w:hAnsi="宋体" w:eastAsia="宋体"/>
          <w:snapToGrid w:val="0"/>
          <w:kern w:val="0"/>
          <w:sz w:val="24"/>
          <w:szCs w:val="24"/>
        </w:rPr>
        <w:t>”</w:t>
      </w:r>
    </w:p>
    <w:p w14:paraId="3A905B1B">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14.当</w:t>
      </w:r>
      <w:r>
        <w:rPr>
          <w:rFonts w:eastAsia="宋体"/>
          <w:b/>
          <w:snapToGrid w:val="0"/>
          <w:kern w:val="0"/>
          <w:sz w:val="24"/>
          <w:szCs w:val="24"/>
        </w:rPr>
        <w:t>IRB成</w:t>
      </w:r>
      <w:r>
        <w:rPr>
          <w:rFonts w:hint="eastAsia" w:eastAsia="宋体"/>
          <w:b/>
          <w:snapToGrid w:val="0"/>
          <w:kern w:val="0"/>
          <w:sz w:val="24"/>
          <w:szCs w:val="24"/>
        </w:rPr>
        <w:t>员无法出席召集会议时，是否可以委派同部门人员进行投票？</w:t>
      </w:r>
    </w:p>
    <w:p w14:paraId="55BCF413">
      <w:pPr>
        <w:widowControl w:val="0"/>
        <w:topLinePunct/>
        <w:adjustRightInd w:val="0"/>
        <w:snapToGrid w:val="0"/>
        <w:spacing w:after="244" w:afterLines="75" w:line="300" w:lineRule="auto"/>
        <w:jc w:val="both"/>
        <w:rPr>
          <w:rFonts w:ascii="Arial" w:hAnsi="Arial" w:eastAsia="宋体" w:cs="Arial"/>
          <w:snapToGrid w:val="0"/>
          <w:szCs w:val="24"/>
        </w:rPr>
      </w:pPr>
      <w:r>
        <w:rPr>
          <w:rFonts w:ascii="Arial" w:hAnsi="Arial" w:eastAsia="宋体" w:cs="Arial"/>
          <w:snapToGrid w:val="0"/>
          <w:szCs w:val="24"/>
        </w:rPr>
        <w:br w:type="page"/>
      </w:r>
    </w:p>
    <w:p w14:paraId="380C9088">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否。正式委任并在成员名册上列出的候选人可以替补，但不允许临时替补者作为</w:t>
      </w:r>
      <w:r>
        <w:rPr>
          <w:rFonts w:eastAsia="宋体"/>
          <w:snapToGrid w:val="0"/>
          <w:kern w:val="0"/>
          <w:sz w:val="24"/>
          <w:szCs w:val="24"/>
        </w:rPr>
        <w:t>IRB成</w:t>
      </w:r>
      <w:r>
        <w:rPr>
          <w:rFonts w:hint="eastAsia" w:eastAsia="宋体"/>
          <w:snapToGrid w:val="0"/>
          <w:kern w:val="0"/>
          <w:sz w:val="24"/>
          <w:szCs w:val="24"/>
        </w:rPr>
        <w:t>员。但是，当无法出席召集会议的成员已收到待审议的文件副本，则该成员可以参加电视会议或电话会议。这些成员可以投票，作为法定人数的组成部分。如果</w:t>
      </w:r>
      <w:r>
        <w:rPr>
          <w:rFonts w:eastAsia="宋体"/>
          <w:snapToGrid w:val="0"/>
          <w:kern w:val="0"/>
          <w:sz w:val="24"/>
          <w:szCs w:val="24"/>
        </w:rPr>
        <w:t>IRB程序允</w:t>
      </w:r>
      <w:r>
        <w:rPr>
          <w:rFonts w:hint="eastAsia" w:eastAsia="宋体"/>
          <w:snapToGrid w:val="0"/>
          <w:kern w:val="0"/>
          <w:sz w:val="24"/>
          <w:szCs w:val="24"/>
        </w:rPr>
        <w:t>许，临时替补者可以作为顾问出席，并为缺席成员收集资料，但不得计入法定人数或参与委员会的审议或投票。当然，</w:t>
      </w:r>
      <w:r>
        <w:rPr>
          <w:rFonts w:eastAsia="宋体"/>
          <w:snapToGrid w:val="0"/>
          <w:kern w:val="0"/>
          <w:sz w:val="24"/>
          <w:szCs w:val="24"/>
        </w:rPr>
        <w:t>IRB可以像</w:t>
      </w:r>
      <w:r>
        <w:rPr>
          <w:rFonts w:hint="eastAsia" w:eastAsia="宋体"/>
          <w:snapToGrid w:val="0"/>
          <w:kern w:val="0"/>
          <w:sz w:val="24"/>
          <w:szCs w:val="24"/>
        </w:rPr>
        <w:t>对待</w:t>
      </w:r>
      <w:r>
        <w:rPr>
          <w:rFonts w:eastAsia="宋体"/>
          <w:snapToGrid w:val="0"/>
          <w:kern w:val="0"/>
          <w:sz w:val="24"/>
          <w:szCs w:val="24"/>
        </w:rPr>
        <w:t>任何非</w:t>
      </w:r>
      <w:r>
        <w:rPr>
          <w:rFonts w:hint="eastAsia" w:eastAsia="宋体"/>
          <w:snapToGrid w:val="0"/>
          <w:kern w:val="0"/>
          <w:sz w:val="24"/>
          <w:szCs w:val="24"/>
        </w:rPr>
        <w:t>成员的顾问一样对这名代表提问。缺席成员的意见可通过邮件、电话、传真或电子邮件传达，供与会的</w:t>
      </w:r>
      <w:r>
        <w:rPr>
          <w:rFonts w:eastAsia="宋体"/>
          <w:snapToGrid w:val="0"/>
          <w:kern w:val="0"/>
          <w:sz w:val="24"/>
          <w:szCs w:val="24"/>
        </w:rPr>
        <w:t>IRB成</w:t>
      </w:r>
      <w:r>
        <w:rPr>
          <w:rFonts w:hint="eastAsia" w:eastAsia="宋体"/>
          <w:snapToGrid w:val="0"/>
          <w:kern w:val="0"/>
          <w:sz w:val="24"/>
          <w:szCs w:val="24"/>
        </w:rPr>
        <w:t>员考虑，但不得计入投票或召开会议的法定人数。</w:t>
      </w:r>
    </w:p>
    <w:p w14:paraId="38B6A076">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15. </w:t>
      </w:r>
      <w:r>
        <w:rPr>
          <w:rFonts w:eastAsia="宋体"/>
          <w:b/>
          <w:snapToGrid w:val="0"/>
          <w:kern w:val="0"/>
          <w:sz w:val="24"/>
          <w:szCs w:val="24"/>
        </w:rPr>
        <w:t>IRB可以使用候</w:t>
      </w:r>
      <w:r>
        <w:rPr>
          <w:rFonts w:hint="eastAsia" w:eastAsia="宋体"/>
          <w:b/>
          <w:snapToGrid w:val="0"/>
          <w:kern w:val="0"/>
          <w:sz w:val="24"/>
          <w:szCs w:val="24"/>
        </w:rPr>
        <w:t>补成员吗？</w:t>
      </w:r>
    </w:p>
    <w:p w14:paraId="69073E2B">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如果</w:t>
      </w:r>
      <w:r>
        <w:rPr>
          <w:rFonts w:eastAsia="宋体"/>
          <w:snapToGrid w:val="0"/>
          <w:kern w:val="0"/>
          <w:sz w:val="24"/>
          <w:szCs w:val="24"/>
        </w:rPr>
        <w:t>IRB的</w:t>
      </w:r>
      <w:r>
        <w:rPr>
          <w:rFonts w:hint="eastAsia" w:eastAsia="宋体"/>
          <w:snapToGrid w:val="0"/>
          <w:kern w:val="0"/>
          <w:sz w:val="24"/>
          <w:szCs w:val="24"/>
        </w:rPr>
        <w:t>书面程序说明了替补成员的任命和职责，则</w:t>
      </w:r>
      <w:r>
        <w:rPr>
          <w:rFonts w:eastAsia="宋体"/>
          <w:snapToGrid w:val="0"/>
          <w:kern w:val="0"/>
          <w:sz w:val="24"/>
          <w:szCs w:val="24"/>
        </w:rPr>
        <w:t>FDA可</w:t>
      </w:r>
      <w:r>
        <w:rPr>
          <w:rFonts w:hint="eastAsia" w:eastAsia="宋体"/>
          <w:snapToGrid w:val="0"/>
          <w:kern w:val="0"/>
          <w:sz w:val="24"/>
          <w:szCs w:val="24"/>
        </w:rPr>
        <w:t>以</w:t>
      </w:r>
      <w:r>
        <w:rPr>
          <w:rFonts w:eastAsia="宋体"/>
          <w:snapToGrid w:val="0"/>
          <w:kern w:val="0"/>
          <w:sz w:val="24"/>
          <w:szCs w:val="24"/>
        </w:rPr>
        <w:t>接受</w:t>
      </w:r>
      <w:r>
        <w:rPr>
          <w:rFonts w:hint="eastAsia" w:eastAsia="宋体"/>
          <w:snapToGrid w:val="0"/>
          <w:kern w:val="0"/>
          <w:sz w:val="24"/>
          <w:szCs w:val="24"/>
        </w:rPr>
        <w:t>使用</w:t>
      </w:r>
      <w:r>
        <w:rPr>
          <w:rFonts w:eastAsia="宋体"/>
          <w:snapToGrid w:val="0"/>
          <w:kern w:val="0"/>
          <w:sz w:val="24"/>
          <w:szCs w:val="24"/>
        </w:rPr>
        <w:t>正式任命的IRB</w:t>
      </w:r>
      <w:r>
        <w:rPr>
          <w:rFonts w:hint="eastAsia" w:eastAsia="宋体"/>
          <w:snapToGrid w:val="0"/>
          <w:kern w:val="0"/>
          <w:sz w:val="24"/>
          <w:szCs w:val="24"/>
        </w:rPr>
        <w:t>替补</w:t>
      </w:r>
      <w:r>
        <w:rPr>
          <w:rFonts w:eastAsia="宋体"/>
          <w:snapToGrid w:val="0"/>
          <w:kern w:val="0"/>
          <w:sz w:val="24"/>
          <w:szCs w:val="24"/>
        </w:rPr>
        <w:t>成</w:t>
      </w:r>
      <w:r>
        <w:rPr>
          <w:rFonts w:hint="eastAsia" w:eastAsia="宋体"/>
          <w:snapToGrid w:val="0"/>
          <w:kern w:val="0"/>
          <w:sz w:val="24"/>
          <w:szCs w:val="24"/>
        </w:rPr>
        <w:t>员。</w:t>
      </w:r>
      <w:r>
        <w:rPr>
          <w:rFonts w:eastAsia="宋体"/>
          <w:snapToGrid w:val="0"/>
          <w:kern w:val="0"/>
          <w:sz w:val="24"/>
          <w:szCs w:val="24"/>
        </w:rPr>
        <w:t>IRB名</w:t>
      </w:r>
      <w:r>
        <w:rPr>
          <w:rFonts w:hint="eastAsia" w:eastAsia="宋体"/>
          <w:snapToGrid w:val="0"/>
          <w:kern w:val="0"/>
          <w:sz w:val="24"/>
          <w:szCs w:val="24"/>
        </w:rPr>
        <w:t>册应确定每名替补成员可以替代的主要成员。为确保维持适当的法定人数，替补者的资格应与其要替换的主要成员相当。IRB会议备忘录中应记录替补成员对主要成员的替代。在替补成员替代主要成员时，该替补者收到并审查的材料应与主要成员收到或将要收到的材料相同。</w:t>
      </w:r>
    </w:p>
    <w:p w14:paraId="0A9C4DEA">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16.不属于该机构的成员是否需要参加每次</w:t>
      </w:r>
      <w:r>
        <w:rPr>
          <w:rFonts w:eastAsia="宋体"/>
          <w:b/>
          <w:snapToGrid w:val="0"/>
          <w:kern w:val="0"/>
          <w:sz w:val="24"/>
          <w:szCs w:val="24"/>
        </w:rPr>
        <w:t>IRB</w:t>
      </w:r>
      <w:r>
        <w:rPr>
          <w:rFonts w:hint="eastAsia" w:eastAsia="宋体"/>
          <w:b/>
          <w:snapToGrid w:val="0"/>
          <w:kern w:val="0"/>
          <w:sz w:val="24"/>
          <w:szCs w:val="24"/>
        </w:rPr>
        <w:t>会议？</w:t>
      </w:r>
    </w:p>
    <w:p w14:paraId="3FBD912C">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否。虽然</w:t>
      </w:r>
      <w:r>
        <w:rPr>
          <w:rFonts w:eastAsia="宋体"/>
          <w:snapToGrid w:val="0"/>
          <w:kern w:val="0"/>
          <w:sz w:val="24"/>
          <w:szCs w:val="24"/>
        </w:rPr>
        <w:t>21 CFR 56.108（c）并</w:t>
      </w:r>
      <w:r>
        <w:rPr>
          <w:rFonts w:hint="eastAsia" w:eastAsia="宋体"/>
          <w:snapToGrid w:val="0"/>
          <w:kern w:val="0"/>
          <w:sz w:val="24"/>
          <w:szCs w:val="24"/>
        </w:rPr>
        <w:t>没有特别规定不属于该机构的成员出席以构成法定人数，但</w:t>
      </w:r>
      <w:r>
        <w:rPr>
          <w:rFonts w:eastAsia="宋体"/>
          <w:snapToGrid w:val="0"/>
          <w:kern w:val="0"/>
          <w:sz w:val="24"/>
          <w:szCs w:val="24"/>
        </w:rPr>
        <w:t>FDA</w:t>
      </w:r>
      <w:r>
        <w:rPr>
          <w:rFonts w:hint="eastAsia" w:eastAsia="宋体"/>
          <w:snapToGrid w:val="0"/>
          <w:kern w:val="0"/>
          <w:sz w:val="24"/>
          <w:szCs w:val="24"/>
        </w:rPr>
        <w:t>认为这些成员的出席是</w:t>
      </w:r>
      <w:r>
        <w:rPr>
          <w:rFonts w:eastAsia="宋体"/>
          <w:snapToGrid w:val="0"/>
          <w:kern w:val="0"/>
          <w:sz w:val="24"/>
          <w:szCs w:val="24"/>
        </w:rPr>
        <w:t>IRB多</w:t>
      </w:r>
      <w:r>
        <w:rPr>
          <w:rFonts w:hint="eastAsia" w:eastAsia="宋体"/>
          <w:snapToGrid w:val="0"/>
          <w:kern w:val="0"/>
          <w:sz w:val="24"/>
          <w:szCs w:val="24"/>
        </w:rPr>
        <w:t>样性的重要组成部分。</w:t>
      </w:r>
      <w:r>
        <w:rPr>
          <w:rFonts w:eastAsia="宋体"/>
          <w:snapToGrid w:val="0"/>
          <w:kern w:val="0"/>
          <w:sz w:val="24"/>
          <w:szCs w:val="24"/>
        </w:rPr>
        <w:t>因此，FDA</w:t>
      </w:r>
      <w:r>
        <w:rPr>
          <w:rFonts w:hint="eastAsia" w:eastAsia="宋体"/>
          <w:snapToGrid w:val="0"/>
          <w:kern w:val="0"/>
          <w:sz w:val="24"/>
          <w:szCs w:val="24"/>
        </w:rPr>
        <w:t>不能</w:t>
      </w:r>
      <w:r>
        <w:rPr>
          <w:rFonts w:eastAsia="宋体"/>
          <w:snapToGrid w:val="0"/>
          <w:kern w:val="0"/>
          <w:sz w:val="24"/>
          <w:szCs w:val="24"/>
        </w:rPr>
        <w:t>接受</w:t>
      </w:r>
      <w:r>
        <w:rPr>
          <w:rFonts w:hint="eastAsia" w:eastAsia="宋体"/>
          <w:snapToGrid w:val="0"/>
          <w:kern w:val="0"/>
          <w:sz w:val="24"/>
          <w:szCs w:val="24"/>
        </w:rPr>
        <w:t>非从属成员的经常缺席</w:t>
      </w:r>
      <w:r>
        <w:rPr>
          <w:rFonts w:eastAsia="宋体"/>
          <w:snapToGrid w:val="0"/>
          <w:kern w:val="0"/>
          <w:sz w:val="24"/>
          <w:szCs w:val="24"/>
        </w:rPr>
        <w:t>。</w:t>
      </w:r>
      <w:r>
        <w:rPr>
          <w:rFonts w:hint="eastAsia" w:eastAsia="宋体"/>
          <w:snapToGrid w:val="0"/>
          <w:kern w:val="0"/>
          <w:sz w:val="24"/>
          <w:szCs w:val="24"/>
        </w:rPr>
        <w:t>许多</w:t>
      </w:r>
      <w:r>
        <w:rPr>
          <w:rFonts w:eastAsia="宋体"/>
          <w:snapToGrid w:val="0"/>
          <w:kern w:val="0"/>
          <w:sz w:val="24"/>
          <w:szCs w:val="24"/>
        </w:rPr>
        <w:t>IRB已</w:t>
      </w:r>
      <w:r>
        <w:rPr>
          <w:rFonts w:hint="eastAsia" w:eastAsia="宋体"/>
          <w:snapToGrid w:val="0"/>
          <w:kern w:val="0"/>
          <w:sz w:val="24"/>
          <w:szCs w:val="24"/>
        </w:rPr>
        <w:t>经任命了不止一个与该机构无关的成员，以</w:t>
      </w:r>
      <w:r>
        <w:rPr>
          <w:rFonts w:eastAsia="宋体"/>
          <w:snapToGrid w:val="0"/>
          <w:kern w:val="0"/>
          <w:sz w:val="24"/>
          <w:szCs w:val="24"/>
        </w:rPr>
        <w:t>承</w:t>
      </w:r>
      <w:r>
        <w:rPr>
          <w:rFonts w:hint="eastAsia" w:eastAsia="宋体"/>
          <w:snapToGrid w:val="0"/>
          <w:kern w:val="0"/>
          <w:sz w:val="24"/>
          <w:szCs w:val="24"/>
        </w:rPr>
        <w:t>认他们的重要作用。</w:t>
      </w:r>
      <w:r>
        <w:rPr>
          <w:rFonts w:eastAsia="宋体"/>
          <w:snapToGrid w:val="0"/>
          <w:kern w:val="0"/>
          <w:sz w:val="24"/>
          <w:szCs w:val="24"/>
        </w:rPr>
        <w:t>FDA鼓</w:t>
      </w:r>
      <w:r>
        <w:rPr>
          <w:rFonts w:hint="eastAsia" w:eastAsia="宋体"/>
          <w:snapToGrid w:val="0"/>
          <w:kern w:val="0"/>
          <w:sz w:val="24"/>
          <w:szCs w:val="24"/>
        </w:rPr>
        <w:t>励</w:t>
      </w:r>
      <w:r>
        <w:rPr>
          <w:rFonts w:eastAsia="宋体"/>
          <w:snapToGrid w:val="0"/>
          <w:kern w:val="0"/>
          <w:sz w:val="24"/>
          <w:szCs w:val="24"/>
        </w:rPr>
        <w:t>IRB根据21 CFR 56.107（a）任命成</w:t>
      </w:r>
      <w:r>
        <w:rPr>
          <w:rFonts w:hint="eastAsia" w:eastAsia="宋体"/>
          <w:snapToGrid w:val="0"/>
          <w:kern w:val="0"/>
          <w:sz w:val="24"/>
          <w:szCs w:val="24"/>
        </w:rPr>
        <w:t>员，他们就能够充分地参与</w:t>
      </w:r>
      <w:r>
        <w:rPr>
          <w:rFonts w:eastAsia="宋体"/>
          <w:snapToGrid w:val="0"/>
          <w:kern w:val="0"/>
          <w:sz w:val="24"/>
          <w:szCs w:val="24"/>
        </w:rPr>
        <w:t>IRB</w:t>
      </w:r>
      <w:r>
        <w:rPr>
          <w:rFonts w:hint="eastAsia" w:eastAsia="宋体"/>
          <w:snapToGrid w:val="0"/>
          <w:kern w:val="0"/>
          <w:sz w:val="24"/>
          <w:szCs w:val="24"/>
        </w:rPr>
        <w:t>的</w:t>
      </w:r>
      <w:r>
        <w:rPr>
          <w:rFonts w:eastAsia="宋体"/>
          <w:snapToGrid w:val="0"/>
          <w:kern w:val="0"/>
          <w:sz w:val="24"/>
          <w:szCs w:val="24"/>
        </w:rPr>
        <w:t>流程。</w:t>
      </w:r>
    </w:p>
    <w:p w14:paraId="7CCB3F9D">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17.哪些</w:t>
      </w:r>
      <w:r>
        <w:rPr>
          <w:rFonts w:eastAsia="宋体"/>
          <w:b/>
          <w:snapToGrid w:val="0"/>
          <w:kern w:val="0"/>
          <w:sz w:val="24"/>
          <w:szCs w:val="24"/>
        </w:rPr>
        <w:t>IRB成</w:t>
      </w:r>
      <w:r>
        <w:rPr>
          <w:rFonts w:hint="eastAsia" w:eastAsia="宋体"/>
          <w:b/>
          <w:snapToGrid w:val="0"/>
          <w:kern w:val="0"/>
          <w:sz w:val="24"/>
          <w:szCs w:val="24"/>
        </w:rPr>
        <w:t>员应该被视作科学家和非科学家？</w:t>
      </w:r>
    </w:p>
    <w:p w14:paraId="2012C957">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21 CFR 56.107（c）要求IRB中至少有一名成</w:t>
      </w:r>
      <w:r>
        <w:rPr>
          <w:rFonts w:hint="eastAsia" w:eastAsia="宋体"/>
          <w:snapToGrid w:val="0"/>
          <w:kern w:val="0"/>
          <w:sz w:val="24"/>
          <w:szCs w:val="24"/>
        </w:rPr>
        <w:t>员主要关注科学领域，至少有一名成员主要关注非科学领域。</w:t>
      </w:r>
      <w:r>
        <w:rPr>
          <w:rFonts w:eastAsia="宋体"/>
          <w:snapToGrid w:val="0"/>
          <w:kern w:val="0"/>
          <w:sz w:val="24"/>
          <w:szCs w:val="24"/>
        </w:rPr>
        <w:t>大多</w:t>
      </w:r>
      <w:r>
        <w:rPr>
          <w:rFonts w:hint="eastAsia" w:eastAsia="宋体"/>
          <w:snapToGrid w:val="0"/>
          <w:kern w:val="0"/>
          <w:sz w:val="24"/>
          <w:szCs w:val="24"/>
        </w:rPr>
        <w:t>数</w:t>
      </w:r>
      <w:r>
        <w:rPr>
          <w:rFonts w:eastAsia="宋体"/>
          <w:snapToGrid w:val="0"/>
          <w:kern w:val="0"/>
          <w:sz w:val="24"/>
          <w:szCs w:val="24"/>
        </w:rPr>
        <w:t>IRB包括</w:t>
      </w:r>
      <w:r>
        <w:rPr>
          <w:rFonts w:hint="eastAsia" w:eastAsia="宋体"/>
          <w:snapToGrid w:val="0"/>
          <w:kern w:val="0"/>
          <w:sz w:val="24"/>
          <w:szCs w:val="24"/>
        </w:rPr>
        <w:t>医生和博士</w:t>
      </w:r>
      <w:r>
        <w:rPr>
          <w:rFonts w:eastAsia="宋体"/>
          <w:snapToGrid w:val="0"/>
          <w:kern w:val="0"/>
          <w:sz w:val="24"/>
          <w:szCs w:val="24"/>
        </w:rPr>
        <w:t>水平的物理或生物科</w:t>
      </w:r>
      <w:r>
        <w:rPr>
          <w:rFonts w:hint="eastAsia" w:eastAsia="宋体"/>
          <w:snapToGrid w:val="0"/>
          <w:kern w:val="0"/>
          <w:sz w:val="24"/>
          <w:szCs w:val="24"/>
        </w:rPr>
        <w:t>学家，这些成员满足至少一名科学家的要求。当</w:t>
      </w:r>
      <w:r>
        <w:rPr>
          <w:rFonts w:eastAsia="宋体"/>
          <w:snapToGrid w:val="0"/>
          <w:kern w:val="0"/>
          <w:sz w:val="24"/>
          <w:szCs w:val="24"/>
        </w:rPr>
        <w:t>IRB遇到超出成</w:t>
      </w:r>
      <w:r>
        <w:rPr>
          <w:rFonts w:hint="eastAsia" w:eastAsia="宋体"/>
          <w:snapToGrid w:val="0"/>
          <w:kern w:val="0"/>
          <w:sz w:val="24"/>
          <w:szCs w:val="24"/>
        </w:rPr>
        <w:t>员专长涉及科学的研究时，</w:t>
      </w:r>
      <w:r>
        <w:rPr>
          <w:rFonts w:eastAsia="宋体"/>
          <w:snapToGrid w:val="0"/>
          <w:kern w:val="0"/>
          <w:sz w:val="24"/>
          <w:szCs w:val="24"/>
        </w:rPr>
        <w:t>IRB可根据21 CFR 56.107（f）的</w:t>
      </w:r>
      <w:r>
        <w:rPr>
          <w:rFonts w:hint="eastAsia" w:eastAsia="宋体"/>
          <w:snapToGrid w:val="0"/>
          <w:kern w:val="0"/>
          <w:sz w:val="24"/>
          <w:szCs w:val="24"/>
        </w:rPr>
        <w:t>规定，利用顾问协助审查。</w:t>
      </w:r>
    </w:p>
    <w:p w14:paraId="5719F3D8">
      <w:pPr>
        <w:widowControl w:val="0"/>
        <w:topLinePunct/>
        <w:adjustRightInd w:val="0"/>
        <w:snapToGrid w:val="0"/>
        <w:spacing w:after="244" w:afterLines="75" w:line="300" w:lineRule="auto"/>
        <w:jc w:val="both"/>
        <w:rPr>
          <w:rFonts w:ascii="Arial" w:hAnsi="Arial" w:eastAsia="宋体" w:cs="Arial"/>
          <w:snapToGrid w:val="0"/>
          <w:szCs w:val="24"/>
        </w:rPr>
      </w:pPr>
      <w:r>
        <w:rPr>
          <w:rFonts w:ascii="Arial" w:hAnsi="Arial" w:eastAsia="宋体" w:cs="Arial"/>
          <w:snapToGrid w:val="0"/>
          <w:szCs w:val="24"/>
        </w:rPr>
        <w:br w:type="page"/>
      </w:r>
    </w:p>
    <w:p w14:paraId="59E34E10">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w:t>
      </w:r>
      <w:r>
        <w:rPr>
          <w:rFonts w:hint="eastAsia" w:eastAsia="宋体"/>
          <w:snapToGrid w:val="0"/>
          <w:kern w:val="0"/>
          <w:sz w:val="24"/>
          <w:szCs w:val="24"/>
        </w:rPr>
        <w:t>认为要求学科多样化的目的是纳入很少或根本没有科学或医学培训或经验的成员。</w:t>
      </w:r>
      <w:r>
        <w:rPr>
          <w:rFonts w:eastAsia="宋体"/>
          <w:snapToGrid w:val="0"/>
          <w:kern w:val="0"/>
          <w:sz w:val="24"/>
          <w:szCs w:val="24"/>
        </w:rPr>
        <w:t>因此，</w:t>
      </w:r>
      <w:r>
        <w:rPr>
          <w:rFonts w:hint="eastAsia" w:eastAsia="宋体"/>
          <w:snapToGrid w:val="0"/>
          <w:kern w:val="0"/>
          <w:sz w:val="24"/>
          <w:szCs w:val="24"/>
        </w:rPr>
        <w:t>护士、药剂师和其他生物医学的卫生专业人员不应被视为</w:t>
      </w:r>
      <w:r>
        <w:rPr>
          <w:rFonts w:hint="eastAsia" w:ascii="宋体" w:hAnsi="宋体" w:eastAsia="宋体"/>
          <w:snapToGrid w:val="0"/>
          <w:kern w:val="0"/>
          <w:sz w:val="24"/>
          <w:szCs w:val="24"/>
        </w:rPr>
        <w:t>“</w:t>
      </w:r>
      <w:r>
        <w:rPr>
          <w:rFonts w:hint="eastAsia" w:eastAsia="宋体"/>
          <w:snapToGrid w:val="0"/>
          <w:kern w:val="0"/>
          <w:sz w:val="24"/>
          <w:szCs w:val="24"/>
        </w:rPr>
        <w:t>主要关注非科学领域</w:t>
      </w:r>
      <w:r>
        <w:rPr>
          <w:rFonts w:hint="eastAsia" w:ascii="宋体" w:hAnsi="宋体" w:eastAsia="宋体"/>
          <w:snapToGrid w:val="0"/>
          <w:kern w:val="0"/>
          <w:sz w:val="24"/>
          <w:szCs w:val="24"/>
        </w:rPr>
        <w:t>”</w:t>
      </w:r>
      <w:r>
        <w:rPr>
          <w:rFonts w:hint="eastAsia" w:eastAsia="宋体"/>
          <w:snapToGrid w:val="0"/>
          <w:kern w:val="0"/>
          <w:sz w:val="24"/>
          <w:szCs w:val="24"/>
        </w:rPr>
        <w:t>。过去，主要关注非科学领域的人员有律师、神职人员和伦理学家。</w:t>
      </w:r>
    </w:p>
    <w:p w14:paraId="5346DDF8">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一些成员在科学和非科学学科方面都受过培训，如</w:t>
      </w:r>
      <w:r>
        <w:rPr>
          <w:rFonts w:eastAsia="宋体"/>
          <w:snapToGrid w:val="0"/>
          <w:kern w:val="0"/>
          <w:sz w:val="24"/>
          <w:szCs w:val="24"/>
        </w:rPr>
        <w:t>J.D.，R.N。</w:t>
      </w:r>
      <w:r>
        <w:rPr>
          <w:rFonts w:hint="eastAsia" w:eastAsia="宋体"/>
          <w:snapToGrid w:val="0"/>
          <w:kern w:val="0"/>
          <w:sz w:val="24"/>
          <w:szCs w:val="24"/>
        </w:rPr>
        <w:t>虽然这些成员对</w:t>
      </w:r>
      <w:r>
        <w:rPr>
          <w:rFonts w:eastAsia="宋体"/>
          <w:snapToGrid w:val="0"/>
          <w:kern w:val="0"/>
          <w:sz w:val="24"/>
          <w:szCs w:val="24"/>
        </w:rPr>
        <w:t>IRB是非常有价值的，但是</w:t>
      </w:r>
      <w:r>
        <w:rPr>
          <w:rFonts w:hint="eastAsia" w:eastAsia="宋体"/>
          <w:snapToGrid w:val="0"/>
          <w:kern w:val="0"/>
          <w:sz w:val="24"/>
          <w:szCs w:val="24"/>
        </w:rPr>
        <w:t>，为满足非科学家的要求，应该任命其他明确为非科学领域的成员。</w:t>
      </w:r>
    </w:p>
    <w:p w14:paraId="149AD9AE">
      <w:pPr>
        <w:pStyle w:val="41"/>
        <w:shd w:val="clear" w:color="auto" w:fill="auto"/>
        <w:topLinePunct/>
        <w:adjustRightInd w:val="0"/>
        <w:snapToGrid w:val="0"/>
        <w:spacing w:before="0" w:after="244" w:afterLines="75" w:line="300" w:lineRule="auto"/>
        <w:jc w:val="both"/>
        <w:rPr>
          <w:rFonts w:eastAsia="宋体"/>
          <w:b/>
          <w:snapToGrid w:val="0"/>
          <w:kern w:val="0"/>
          <w:sz w:val="24"/>
          <w:szCs w:val="28"/>
        </w:rPr>
      </w:pPr>
      <w:r>
        <w:rPr>
          <w:rFonts w:hint="eastAsia" w:eastAsia="宋体"/>
          <w:b/>
          <w:snapToGrid w:val="0"/>
          <w:kern w:val="0"/>
          <w:sz w:val="24"/>
          <w:szCs w:val="28"/>
        </w:rPr>
        <w:t>III. IRB程序</w:t>
      </w:r>
    </w:p>
    <w:p w14:paraId="087FF40C">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18. </w:t>
      </w:r>
      <w:r>
        <w:rPr>
          <w:rFonts w:eastAsia="宋体"/>
          <w:b/>
          <w:snapToGrid w:val="0"/>
          <w:kern w:val="0"/>
          <w:sz w:val="24"/>
          <w:szCs w:val="24"/>
        </w:rPr>
        <w:t>FDA法规</w:t>
      </w:r>
      <w:r>
        <w:rPr>
          <w:rFonts w:hint="eastAsia" w:eastAsia="宋体"/>
          <w:b/>
          <w:snapToGrid w:val="0"/>
          <w:kern w:val="0"/>
          <w:sz w:val="24"/>
          <w:szCs w:val="24"/>
        </w:rPr>
        <w:t>【</w:t>
      </w:r>
      <w:r>
        <w:rPr>
          <w:rFonts w:eastAsia="宋体"/>
          <w:b/>
          <w:snapToGrid w:val="0"/>
          <w:kern w:val="0"/>
          <w:sz w:val="24"/>
          <w:szCs w:val="24"/>
        </w:rPr>
        <w:t>21 CFR 56.104 （c）】</w:t>
      </w:r>
      <w:r>
        <w:rPr>
          <w:rFonts w:hint="eastAsia" w:eastAsia="宋体"/>
          <w:b/>
          <w:snapToGrid w:val="0"/>
          <w:kern w:val="0"/>
          <w:sz w:val="24"/>
          <w:szCs w:val="24"/>
        </w:rPr>
        <w:t>豁免</w:t>
      </w:r>
      <w:r>
        <w:rPr>
          <w:rFonts w:eastAsia="宋体"/>
          <w:b/>
          <w:snapToGrid w:val="0"/>
          <w:kern w:val="0"/>
          <w:sz w:val="24"/>
          <w:szCs w:val="24"/>
        </w:rPr>
        <w:t>了</w:t>
      </w:r>
      <w:r>
        <w:rPr>
          <w:rFonts w:hint="eastAsia" w:eastAsia="宋体"/>
          <w:b/>
          <w:snapToGrid w:val="0"/>
          <w:kern w:val="0"/>
          <w:sz w:val="24"/>
          <w:szCs w:val="24"/>
        </w:rPr>
        <w:t>供试品紧急使用的</w:t>
      </w:r>
      <w:r>
        <w:rPr>
          <w:rFonts w:eastAsia="宋体"/>
          <w:b/>
          <w:snapToGrid w:val="0"/>
          <w:kern w:val="0"/>
          <w:sz w:val="24"/>
          <w:szCs w:val="24"/>
        </w:rPr>
        <w:t>IRB</w:t>
      </w:r>
      <w:r>
        <w:rPr>
          <w:rFonts w:hint="eastAsia" w:eastAsia="宋体"/>
          <w:b/>
          <w:snapToGrid w:val="0"/>
          <w:kern w:val="0"/>
          <w:sz w:val="24"/>
          <w:szCs w:val="24"/>
        </w:rPr>
        <w:t>事前审查，但是，</w:t>
      </w:r>
      <w:r>
        <w:rPr>
          <w:rFonts w:eastAsia="宋体"/>
          <w:b/>
          <w:snapToGrid w:val="0"/>
          <w:kern w:val="0"/>
          <w:sz w:val="24"/>
          <w:szCs w:val="24"/>
        </w:rPr>
        <w:t>...</w:t>
      </w:r>
      <w:r>
        <w:rPr>
          <w:rFonts w:hint="eastAsia" w:ascii="宋体" w:hAnsi="宋体" w:eastAsia="宋体"/>
          <w:b/>
          <w:snapToGrid w:val="0"/>
          <w:kern w:val="0"/>
          <w:sz w:val="24"/>
          <w:szCs w:val="24"/>
        </w:rPr>
        <w:t>“</w:t>
      </w:r>
      <w:r>
        <w:rPr>
          <w:rFonts w:hint="eastAsia" w:eastAsia="宋体"/>
          <w:b/>
          <w:snapToGrid w:val="0"/>
          <w:kern w:val="0"/>
          <w:sz w:val="24"/>
          <w:szCs w:val="24"/>
        </w:rPr>
        <w:t>该供试品后续在该机构的使用需经</w:t>
      </w:r>
      <w:r>
        <w:rPr>
          <w:rFonts w:eastAsia="宋体"/>
          <w:b/>
          <w:snapToGrid w:val="0"/>
          <w:kern w:val="0"/>
          <w:sz w:val="24"/>
          <w:szCs w:val="24"/>
        </w:rPr>
        <w:t>IRB</w:t>
      </w:r>
      <w:r>
        <w:rPr>
          <w:rFonts w:hint="eastAsia" w:eastAsia="宋体"/>
          <w:b/>
          <w:snapToGrid w:val="0"/>
          <w:kern w:val="0"/>
          <w:sz w:val="24"/>
          <w:szCs w:val="24"/>
        </w:rPr>
        <w:t>审查</w:t>
      </w:r>
      <w:r>
        <w:rPr>
          <w:rFonts w:hint="eastAsia" w:ascii="宋体" w:hAnsi="宋体" w:eastAsia="宋体"/>
          <w:b/>
          <w:snapToGrid w:val="0"/>
          <w:kern w:val="0"/>
          <w:sz w:val="24"/>
          <w:szCs w:val="24"/>
        </w:rPr>
        <w:t>”</w:t>
      </w:r>
      <w:r>
        <w:rPr>
          <w:rFonts w:hint="eastAsia" w:eastAsia="宋体"/>
          <w:b/>
          <w:snapToGrid w:val="0"/>
          <w:kern w:val="0"/>
          <w:sz w:val="24"/>
          <w:szCs w:val="24"/>
        </w:rPr>
        <w:t>。</w:t>
      </w:r>
      <w:r>
        <w:rPr>
          <w:rFonts w:eastAsia="宋体"/>
          <w:b/>
          <w:snapToGrid w:val="0"/>
          <w:kern w:val="0"/>
          <w:sz w:val="24"/>
          <w:szCs w:val="24"/>
        </w:rPr>
        <w:t>短</w:t>
      </w:r>
      <w:r>
        <w:rPr>
          <w:rFonts w:hint="eastAsia" w:eastAsia="宋体"/>
          <w:b/>
          <w:snapToGrid w:val="0"/>
          <w:kern w:val="0"/>
          <w:sz w:val="24"/>
          <w:szCs w:val="24"/>
        </w:rPr>
        <w:t>语</w:t>
      </w:r>
      <w:r>
        <w:rPr>
          <w:rFonts w:hint="eastAsia" w:ascii="宋体" w:hAnsi="宋体" w:eastAsia="宋体"/>
          <w:b/>
          <w:snapToGrid w:val="0"/>
          <w:kern w:val="0"/>
          <w:sz w:val="24"/>
          <w:szCs w:val="24"/>
        </w:rPr>
        <w:t>“</w:t>
      </w:r>
      <w:r>
        <w:rPr>
          <w:rFonts w:hint="eastAsia" w:eastAsia="宋体"/>
          <w:b/>
          <w:snapToGrid w:val="0"/>
          <w:kern w:val="0"/>
          <w:sz w:val="24"/>
          <w:szCs w:val="24"/>
        </w:rPr>
        <w:t>后续使用</w:t>
      </w:r>
      <w:r>
        <w:rPr>
          <w:rFonts w:hint="eastAsia" w:ascii="宋体" w:hAnsi="宋体" w:eastAsia="宋体"/>
          <w:b/>
          <w:snapToGrid w:val="0"/>
          <w:kern w:val="0"/>
          <w:sz w:val="24"/>
          <w:szCs w:val="24"/>
        </w:rPr>
        <w:t>”</w:t>
      </w:r>
      <w:r>
        <w:rPr>
          <w:rFonts w:hint="eastAsia" w:eastAsia="宋体"/>
          <w:b/>
          <w:snapToGrid w:val="0"/>
          <w:kern w:val="0"/>
          <w:sz w:val="24"/>
          <w:szCs w:val="24"/>
        </w:rPr>
        <w:t>是什么意思？</w:t>
      </w:r>
    </w:p>
    <w:p w14:paraId="493AC5B3">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在未经</w:t>
      </w:r>
      <w:r>
        <w:rPr>
          <w:rFonts w:eastAsia="宋体"/>
          <w:snapToGrid w:val="0"/>
          <w:kern w:val="0"/>
          <w:sz w:val="24"/>
          <w:szCs w:val="24"/>
        </w:rPr>
        <w:t>IRB</w:t>
      </w:r>
      <w:r>
        <w:rPr>
          <w:rFonts w:hint="eastAsia" w:eastAsia="宋体"/>
          <w:snapToGrid w:val="0"/>
          <w:kern w:val="0"/>
          <w:sz w:val="24"/>
          <w:szCs w:val="24"/>
        </w:rPr>
        <w:t>事前审查的情况下，</w:t>
      </w:r>
      <w:r>
        <w:rPr>
          <w:rFonts w:eastAsia="宋体"/>
          <w:snapToGrid w:val="0"/>
          <w:kern w:val="0"/>
          <w:sz w:val="24"/>
          <w:szCs w:val="24"/>
        </w:rPr>
        <w:t>FDA法规</w:t>
      </w:r>
      <w:r>
        <w:rPr>
          <w:rFonts w:hint="eastAsia" w:eastAsia="宋体"/>
          <w:snapToGrid w:val="0"/>
          <w:kern w:val="0"/>
          <w:sz w:val="24"/>
          <w:szCs w:val="24"/>
        </w:rPr>
        <w:t>允许可以在机构中紧急使用供试品一次，前提是这种紧急使用要在使用后的五个工作日内向</w:t>
      </w:r>
      <w:r>
        <w:rPr>
          <w:rFonts w:eastAsia="宋体"/>
          <w:snapToGrid w:val="0"/>
          <w:kern w:val="0"/>
          <w:sz w:val="24"/>
          <w:szCs w:val="24"/>
        </w:rPr>
        <w:t>IRB</w:t>
      </w:r>
      <w:r>
        <w:rPr>
          <w:rFonts w:hint="eastAsia" w:eastAsia="宋体"/>
          <w:snapToGrid w:val="0"/>
          <w:kern w:val="0"/>
          <w:sz w:val="24"/>
          <w:szCs w:val="24"/>
        </w:rPr>
        <w:t>报告。紧急使用的定义为，一例受试者的单次使用（或单个疗程，例如多次剂量的抗生素）。</w:t>
      </w:r>
      <w:r>
        <w:rPr>
          <w:rFonts w:hint="eastAsia" w:ascii="宋体" w:hAnsi="宋体" w:eastAsia="宋体"/>
          <w:snapToGrid w:val="0"/>
          <w:kern w:val="0"/>
          <w:sz w:val="24"/>
          <w:szCs w:val="24"/>
        </w:rPr>
        <w:t>“</w:t>
      </w:r>
      <w:r>
        <w:rPr>
          <w:rFonts w:eastAsia="宋体"/>
          <w:snapToGrid w:val="0"/>
          <w:kern w:val="0"/>
          <w:sz w:val="24"/>
          <w:szCs w:val="24"/>
        </w:rPr>
        <w:t>后</w:t>
      </w:r>
      <w:r>
        <w:rPr>
          <w:rFonts w:hint="eastAsia" w:eastAsia="宋体"/>
          <w:snapToGrid w:val="0"/>
          <w:kern w:val="0"/>
          <w:sz w:val="24"/>
          <w:szCs w:val="24"/>
        </w:rPr>
        <w:t>续使用</w:t>
      </w:r>
      <w:r>
        <w:rPr>
          <w:rFonts w:hint="eastAsia" w:ascii="宋体" w:hAnsi="宋体" w:eastAsia="宋体"/>
          <w:snapToGrid w:val="0"/>
          <w:kern w:val="0"/>
          <w:sz w:val="24"/>
          <w:szCs w:val="24"/>
        </w:rPr>
        <w:t>”</w:t>
      </w:r>
      <w:r>
        <w:rPr>
          <w:rFonts w:hint="eastAsia" w:eastAsia="宋体"/>
          <w:snapToGrid w:val="0"/>
          <w:kern w:val="0"/>
          <w:sz w:val="24"/>
          <w:szCs w:val="24"/>
        </w:rPr>
        <w:t>将是该受试者的第二次使用或由另一例受试者使用。</w:t>
      </w:r>
    </w:p>
    <w:p w14:paraId="58326AEF">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在对紧急使用的审查中，如果预计供试品可能会被再次使用，</w:t>
      </w:r>
      <w:r>
        <w:rPr>
          <w:rFonts w:eastAsia="宋体"/>
          <w:snapToGrid w:val="0"/>
          <w:kern w:val="0"/>
          <w:sz w:val="24"/>
          <w:szCs w:val="24"/>
        </w:rPr>
        <w:t>IRB</w:t>
      </w:r>
      <w:r>
        <w:rPr>
          <w:rFonts w:hint="eastAsia" w:eastAsia="宋体"/>
          <w:snapToGrid w:val="0"/>
          <w:kern w:val="0"/>
          <w:sz w:val="24"/>
          <w:szCs w:val="24"/>
        </w:rPr>
        <w:t>应要求制定方案和同意文件，以便在出现下一次使用需求时可以使用经批准的方案。尽管临床研究者和</w:t>
      </w:r>
      <w:r>
        <w:rPr>
          <w:rFonts w:eastAsia="宋体"/>
          <w:snapToGrid w:val="0"/>
          <w:kern w:val="0"/>
          <w:sz w:val="24"/>
          <w:szCs w:val="24"/>
        </w:rPr>
        <w:t>IRB做出了最大的努力，但</w:t>
      </w:r>
      <w:r>
        <w:rPr>
          <w:rFonts w:hint="eastAsia" w:eastAsia="宋体"/>
          <w:snapToGrid w:val="0"/>
          <w:kern w:val="0"/>
          <w:sz w:val="24"/>
          <w:szCs w:val="24"/>
        </w:rPr>
        <w:t>是</w:t>
      </w:r>
      <w:r>
        <w:rPr>
          <w:rFonts w:eastAsia="宋体"/>
          <w:snapToGrid w:val="0"/>
          <w:kern w:val="0"/>
          <w:sz w:val="24"/>
          <w:szCs w:val="24"/>
        </w:rPr>
        <w:t>要考</w:t>
      </w:r>
      <w:r>
        <w:rPr>
          <w:rFonts w:hint="eastAsia" w:eastAsia="宋体"/>
          <w:snapToGrid w:val="0"/>
          <w:kern w:val="0"/>
          <w:sz w:val="24"/>
          <w:szCs w:val="24"/>
        </w:rPr>
        <w:t>虑可能出现第二次需要紧急使用的情况。</w:t>
      </w:r>
      <w:r>
        <w:rPr>
          <w:rFonts w:eastAsia="宋体"/>
          <w:snapToGrid w:val="0"/>
          <w:kern w:val="0"/>
          <w:sz w:val="24"/>
          <w:szCs w:val="24"/>
        </w:rPr>
        <w:t>FDA</w:t>
      </w:r>
      <w:r>
        <w:rPr>
          <w:rFonts w:hint="eastAsia" w:eastAsia="宋体"/>
          <w:snapToGrid w:val="0"/>
          <w:kern w:val="0"/>
          <w:sz w:val="24"/>
          <w:szCs w:val="24"/>
        </w:rPr>
        <w:t>认为，当唯一的障碍是</w:t>
      </w:r>
      <w:r>
        <w:rPr>
          <w:rFonts w:eastAsia="宋体"/>
          <w:snapToGrid w:val="0"/>
          <w:kern w:val="0"/>
          <w:sz w:val="24"/>
          <w:szCs w:val="24"/>
        </w:rPr>
        <w:t>IRB</w:t>
      </w:r>
      <w:r>
        <w:rPr>
          <w:rFonts w:hint="eastAsia" w:eastAsia="宋体"/>
          <w:snapToGrid w:val="0"/>
          <w:kern w:val="0"/>
          <w:sz w:val="24"/>
          <w:szCs w:val="24"/>
        </w:rPr>
        <w:t>对使用和给予批准缺乏开会和审查的时间时，拒绝个人的紧急治疗是不合适的。</w:t>
      </w:r>
    </w:p>
    <w:p w14:paraId="775F2612">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19.</w:t>
      </w:r>
      <w:r>
        <w:rPr>
          <w:rFonts w:eastAsia="宋体"/>
          <w:b/>
          <w:snapToGrid w:val="0"/>
          <w:kern w:val="0"/>
          <w:sz w:val="24"/>
          <w:szCs w:val="24"/>
        </w:rPr>
        <w:t>是否有任何</w:t>
      </w:r>
      <w:r>
        <w:rPr>
          <w:rFonts w:hint="eastAsia" w:eastAsia="宋体"/>
          <w:b/>
          <w:snapToGrid w:val="0"/>
          <w:kern w:val="0"/>
          <w:sz w:val="24"/>
          <w:szCs w:val="24"/>
        </w:rPr>
        <w:t>法规要求临床研究者在完成研究后向</w:t>
      </w:r>
      <w:r>
        <w:rPr>
          <w:rFonts w:eastAsia="宋体"/>
          <w:b/>
          <w:snapToGrid w:val="0"/>
          <w:kern w:val="0"/>
          <w:sz w:val="24"/>
          <w:szCs w:val="24"/>
        </w:rPr>
        <w:t>IRB</w:t>
      </w:r>
      <w:r>
        <w:rPr>
          <w:rFonts w:hint="eastAsia" w:eastAsia="宋体"/>
          <w:b/>
          <w:snapToGrid w:val="0"/>
          <w:kern w:val="0"/>
          <w:sz w:val="24"/>
          <w:szCs w:val="24"/>
        </w:rPr>
        <w:t>报告？</w:t>
      </w:r>
    </w:p>
    <w:p w14:paraId="71CEFFE7">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IRB需要</w:t>
      </w:r>
      <w:r>
        <w:rPr>
          <w:rFonts w:hint="eastAsia" w:eastAsia="宋体"/>
          <w:snapToGrid w:val="0"/>
          <w:kern w:val="0"/>
          <w:sz w:val="24"/>
          <w:szCs w:val="24"/>
        </w:rPr>
        <w:t>运行签署程序。这些程序的要求之一</w:t>
      </w:r>
      <w:r>
        <w:rPr>
          <w:rFonts w:eastAsia="宋体"/>
          <w:snapToGrid w:val="0"/>
          <w:kern w:val="0"/>
          <w:sz w:val="24"/>
          <w:szCs w:val="24"/>
        </w:rPr>
        <w:t>【21 CFR 56.108 （a） （3）】</w:t>
      </w:r>
      <w:r>
        <w:rPr>
          <w:rFonts w:hint="eastAsia" w:eastAsia="宋体"/>
          <w:snapToGrid w:val="0"/>
          <w:kern w:val="0"/>
          <w:sz w:val="24"/>
          <w:szCs w:val="24"/>
        </w:rPr>
        <w:t>是，</w:t>
      </w:r>
      <w:r>
        <w:rPr>
          <w:rFonts w:eastAsia="宋体"/>
          <w:snapToGrid w:val="0"/>
          <w:kern w:val="0"/>
          <w:sz w:val="24"/>
          <w:szCs w:val="24"/>
        </w:rPr>
        <w:t>要求确保</w:t>
      </w:r>
      <w:r>
        <w:rPr>
          <w:rFonts w:hint="eastAsia" w:ascii="宋体" w:hAnsi="宋体" w:eastAsia="宋体"/>
          <w:snapToGrid w:val="0"/>
          <w:kern w:val="0"/>
          <w:sz w:val="24"/>
          <w:szCs w:val="24"/>
        </w:rPr>
        <w:t>“</w:t>
      </w:r>
      <w:r>
        <w:rPr>
          <w:rFonts w:eastAsia="宋体"/>
          <w:snapToGrid w:val="0"/>
          <w:kern w:val="0"/>
          <w:sz w:val="24"/>
          <w:szCs w:val="24"/>
        </w:rPr>
        <w:t>迅速向IRB</w:t>
      </w:r>
      <w:r>
        <w:rPr>
          <w:rFonts w:hint="eastAsia" w:eastAsia="宋体"/>
          <w:snapToGrid w:val="0"/>
          <w:kern w:val="0"/>
          <w:sz w:val="24"/>
          <w:szCs w:val="24"/>
        </w:rPr>
        <w:t>报告研究活动的变化</w:t>
      </w:r>
      <w:r>
        <w:rPr>
          <w:rFonts w:hint="eastAsia" w:ascii="宋体" w:hAnsi="宋体" w:eastAsia="宋体"/>
          <w:snapToGrid w:val="0"/>
          <w:kern w:val="0"/>
          <w:sz w:val="24"/>
          <w:szCs w:val="24"/>
        </w:rPr>
        <w:t>”</w:t>
      </w:r>
      <w:r>
        <w:rPr>
          <w:rFonts w:hint="eastAsia" w:eastAsia="宋体"/>
          <w:snapToGrid w:val="0"/>
          <w:kern w:val="0"/>
          <w:sz w:val="24"/>
          <w:szCs w:val="24"/>
        </w:rPr>
        <w:t>。</w:t>
      </w:r>
      <w:r>
        <w:rPr>
          <w:rFonts w:eastAsia="宋体"/>
          <w:snapToGrid w:val="0"/>
          <w:kern w:val="0"/>
          <w:sz w:val="24"/>
          <w:szCs w:val="24"/>
        </w:rPr>
        <w:t>研究的完成是活</w:t>
      </w:r>
      <w:r>
        <w:rPr>
          <w:rFonts w:hint="eastAsia" w:eastAsia="宋体"/>
          <w:snapToGrid w:val="0"/>
          <w:kern w:val="0"/>
          <w:sz w:val="24"/>
          <w:szCs w:val="24"/>
        </w:rPr>
        <w:t>动的变化，应该向</w:t>
      </w:r>
      <w:r>
        <w:rPr>
          <w:rFonts w:eastAsia="宋体"/>
          <w:snapToGrid w:val="0"/>
          <w:kern w:val="0"/>
          <w:sz w:val="24"/>
          <w:szCs w:val="24"/>
        </w:rPr>
        <w:t>IRB</w:t>
      </w:r>
      <w:r>
        <w:rPr>
          <w:rFonts w:hint="eastAsia" w:eastAsia="宋体"/>
          <w:snapToGrid w:val="0"/>
          <w:kern w:val="0"/>
          <w:sz w:val="24"/>
          <w:szCs w:val="24"/>
        </w:rPr>
        <w:t>报告。虽然研究中的受试者将不再</w:t>
      </w:r>
      <w:r>
        <w:rPr>
          <w:rFonts w:hint="eastAsia" w:ascii="宋体" w:hAnsi="宋体" w:eastAsia="宋体"/>
          <w:snapToGrid w:val="0"/>
          <w:kern w:val="0"/>
          <w:sz w:val="24"/>
          <w:szCs w:val="24"/>
        </w:rPr>
        <w:t>“</w:t>
      </w:r>
      <w:r>
        <w:rPr>
          <w:rFonts w:hint="eastAsia" w:eastAsia="宋体"/>
          <w:snapToGrid w:val="0"/>
          <w:kern w:val="0"/>
          <w:sz w:val="24"/>
          <w:szCs w:val="24"/>
        </w:rPr>
        <w:t>处于风险之中</w:t>
      </w:r>
      <w:r>
        <w:rPr>
          <w:rFonts w:hint="eastAsia" w:ascii="宋体" w:hAnsi="宋体" w:eastAsia="宋体"/>
          <w:snapToGrid w:val="0"/>
          <w:kern w:val="0"/>
          <w:sz w:val="24"/>
          <w:szCs w:val="24"/>
        </w:rPr>
        <w:t>”</w:t>
      </w:r>
      <w:r>
        <w:rPr>
          <w:rFonts w:hint="eastAsia" w:eastAsia="宋体"/>
          <w:snapToGrid w:val="0"/>
          <w:kern w:val="0"/>
          <w:sz w:val="24"/>
          <w:szCs w:val="24"/>
        </w:rPr>
        <w:t>，但需要向</w:t>
      </w:r>
      <w:r>
        <w:rPr>
          <w:rFonts w:eastAsia="宋体"/>
          <w:snapToGrid w:val="0"/>
          <w:kern w:val="0"/>
          <w:sz w:val="24"/>
          <w:szCs w:val="24"/>
        </w:rPr>
        <w:t>IRB</w:t>
      </w:r>
      <w:r>
        <w:rPr>
          <w:rFonts w:hint="eastAsia" w:eastAsia="宋体"/>
          <w:snapToGrid w:val="0"/>
          <w:kern w:val="0"/>
          <w:sz w:val="24"/>
          <w:szCs w:val="24"/>
        </w:rPr>
        <w:t>提交</w:t>
      </w:r>
      <w:r>
        <w:rPr>
          <w:rFonts w:eastAsia="宋体"/>
          <w:snapToGrid w:val="0"/>
          <w:kern w:val="0"/>
          <w:sz w:val="24"/>
          <w:szCs w:val="24"/>
        </w:rPr>
        <w:t>最</w:t>
      </w:r>
      <w:r>
        <w:rPr>
          <w:rFonts w:hint="eastAsia" w:eastAsia="宋体"/>
          <w:snapToGrid w:val="0"/>
          <w:kern w:val="0"/>
          <w:sz w:val="24"/>
          <w:szCs w:val="24"/>
        </w:rPr>
        <w:t>终报告</w:t>
      </w:r>
      <w:r>
        <w:rPr>
          <w:rFonts w:eastAsia="宋体"/>
          <w:snapToGrid w:val="0"/>
          <w:kern w:val="0"/>
          <w:sz w:val="24"/>
          <w:szCs w:val="24"/>
        </w:rPr>
        <w:t>／通知</w:t>
      </w:r>
      <w:r>
        <w:rPr>
          <w:rFonts w:hint="eastAsia" w:eastAsia="宋体"/>
          <w:snapToGrid w:val="0"/>
          <w:kern w:val="0"/>
          <w:sz w:val="24"/>
          <w:szCs w:val="24"/>
        </w:rPr>
        <w:t>，使其可以关闭文件，并向</w:t>
      </w:r>
      <w:r>
        <w:rPr>
          <w:rFonts w:eastAsia="宋体"/>
          <w:snapToGrid w:val="0"/>
          <w:kern w:val="0"/>
          <w:sz w:val="24"/>
          <w:szCs w:val="24"/>
        </w:rPr>
        <w:t>IRB</w:t>
      </w:r>
      <w:r>
        <w:rPr>
          <w:rFonts w:hint="eastAsia" w:eastAsia="宋体"/>
          <w:snapToGrid w:val="0"/>
          <w:kern w:val="0"/>
          <w:sz w:val="24"/>
          <w:szCs w:val="24"/>
        </w:rPr>
        <w:t>提供</w:t>
      </w:r>
      <w:r>
        <w:rPr>
          <w:rFonts w:eastAsia="宋体"/>
          <w:snapToGrid w:val="0"/>
          <w:kern w:val="0"/>
          <w:sz w:val="24"/>
          <w:szCs w:val="24"/>
        </w:rPr>
        <w:t>可用于</w:t>
      </w:r>
      <w:r>
        <w:rPr>
          <w:rFonts w:hint="eastAsia" w:eastAsia="宋体"/>
          <w:snapToGrid w:val="0"/>
          <w:kern w:val="0"/>
          <w:sz w:val="24"/>
          <w:szCs w:val="24"/>
        </w:rPr>
        <w:t>评估和批准相关研究的资料。</w:t>
      </w:r>
    </w:p>
    <w:p w14:paraId="2AD1AD32">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20.</w:t>
      </w:r>
      <w:r>
        <w:rPr>
          <w:rFonts w:eastAsia="宋体"/>
          <w:b/>
          <w:snapToGrid w:val="0"/>
          <w:kern w:val="0"/>
          <w:sz w:val="24"/>
          <w:szCs w:val="24"/>
        </w:rPr>
        <w:t>什么是快速</w:t>
      </w:r>
      <w:r>
        <w:rPr>
          <w:rFonts w:hint="eastAsia" w:eastAsia="宋体"/>
          <w:b/>
          <w:snapToGrid w:val="0"/>
          <w:kern w:val="0"/>
          <w:sz w:val="24"/>
          <w:szCs w:val="24"/>
        </w:rPr>
        <w:t>审查？</w:t>
      </w:r>
    </w:p>
    <w:p w14:paraId="3C66AED7">
      <w:pPr>
        <w:widowControl w:val="0"/>
        <w:topLinePunct/>
        <w:adjustRightInd w:val="0"/>
        <w:snapToGrid w:val="0"/>
        <w:spacing w:after="244" w:afterLines="75" w:line="300" w:lineRule="auto"/>
        <w:jc w:val="both"/>
        <w:rPr>
          <w:rFonts w:ascii="Arial" w:hAnsi="Arial" w:eastAsia="宋体" w:cs="Arial"/>
          <w:snapToGrid w:val="0"/>
          <w:szCs w:val="24"/>
        </w:rPr>
      </w:pPr>
      <w:r>
        <w:rPr>
          <w:rFonts w:ascii="Arial" w:hAnsi="Arial" w:eastAsia="宋体" w:cs="Arial"/>
          <w:snapToGrid w:val="0"/>
          <w:szCs w:val="24"/>
        </w:rPr>
        <w:br w:type="page"/>
      </w:r>
    </w:p>
    <w:p w14:paraId="33FCA03A">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快速审查是一个程序，通过这个程序可以在不召集</w:t>
      </w:r>
      <w:r>
        <w:rPr>
          <w:rFonts w:eastAsia="宋体"/>
          <w:snapToGrid w:val="0"/>
          <w:kern w:val="0"/>
          <w:sz w:val="24"/>
          <w:szCs w:val="24"/>
        </w:rPr>
        <w:t>IRB</w:t>
      </w:r>
      <w:r>
        <w:rPr>
          <w:rFonts w:hint="eastAsia" w:eastAsia="宋体"/>
          <w:snapToGrid w:val="0"/>
          <w:kern w:val="0"/>
          <w:sz w:val="24"/>
          <w:szCs w:val="24"/>
        </w:rPr>
        <w:t>会议的情况下审查和批准某些类型的研究。该</w:t>
      </w:r>
      <w:r>
        <w:rPr>
          <w:rFonts w:eastAsia="宋体"/>
          <w:snapToGrid w:val="0"/>
          <w:kern w:val="0"/>
          <w:sz w:val="24"/>
          <w:szCs w:val="24"/>
        </w:rPr>
        <w:t>机构的IRB</w:t>
      </w:r>
      <w:r>
        <w:rPr>
          <w:rFonts w:hint="eastAsia" w:eastAsia="宋体"/>
          <w:snapToGrid w:val="0"/>
          <w:kern w:val="0"/>
          <w:sz w:val="24"/>
          <w:szCs w:val="24"/>
        </w:rPr>
        <w:t>法规</w:t>
      </w:r>
      <w:r>
        <w:rPr>
          <w:rFonts w:eastAsia="宋体"/>
          <w:snapToGrid w:val="0"/>
          <w:kern w:val="0"/>
          <w:sz w:val="24"/>
          <w:szCs w:val="24"/>
        </w:rPr>
        <w:t>【21 CFR 56.110】允</w:t>
      </w:r>
      <w:r>
        <w:rPr>
          <w:rFonts w:hint="eastAsia" w:eastAsia="宋体"/>
          <w:snapToGrid w:val="0"/>
          <w:kern w:val="0"/>
          <w:sz w:val="24"/>
          <w:szCs w:val="24"/>
        </w:rPr>
        <w:t>许</w:t>
      </w:r>
      <w:r>
        <w:rPr>
          <w:rFonts w:eastAsia="宋体"/>
          <w:snapToGrid w:val="0"/>
          <w:kern w:val="0"/>
          <w:sz w:val="24"/>
          <w:szCs w:val="24"/>
        </w:rPr>
        <w:t>IRB通</w:t>
      </w:r>
      <w:r>
        <w:rPr>
          <w:rFonts w:hint="eastAsia" w:eastAsia="宋体"/>
          <w:snapToGrid w:val="0"/>
          <w:kern w:val="0"/>
          <w:sz w:val="24"/>
          <w:szCs w:val="24"/>
        </w:rPr>
        <w:t>过快速程序审查某些类别的研究（若研究涉及的风险不超过最小风险）。</w:t>
      </w:r>
      <w:r>
        <w:rPr>
          <w:rFonts w:eastAsia="宋体"/>
          <w:snapToGrid w:val="0"/>
          <w:kern w:val="0"/>
          <w:sz w:val="24"/>
          <w:szCs w:val="24"/>
        </w:rPr>
        <w:t>1981年1月27日，</w:t>
      </w:r>
      <w:r>
        <w:rPr>
          <w:rFonts w:hint="eastAsia" w:eastAsia="宋体"/>
          <w:snapToGrid w:val="0"/>
          <w:kern w:val="0"/>
          <w:sz w:val="24"/>
          <w:szCs w:val="24"/>
        </w:rPr>
        <w:t>联邦公报上发布了分类列表</w:t>
      </w:r>
      <w:r>
        <w:rPr>
          <w:rFonts w:eastAsia="宋体"/>
          <w:snapToGrid w:val="0"/>
          <w:kern w:val="0"/>
          <w:sz w:val="24"/>
          <w:szCs w:val="24"/>
        </w:rPr>
        <w:t>【46 FR 8980】。</w:t>
      </w:r>
    </w:p>
    <w:p w14:paraId="6FEB63B2">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IRB</w:t>
      </w:r>
      <w:r>
        <w:rPr>
          <w:rFonts w:hint="eastAsia" w:eastAsia="宋体"/>
          <w:snapToGrid w:val="0"/>
          <w:kern w:val="0"/>
          <w:sz w:val="24"/>
          <w:szCs w:val="24"/>
        </w:rPr>
        <w:t>还可以在原批准期间审查以前批准的研究中的微小变化时，使用快速审查程序。根据快速审查程序，研究审查可由</w:t>
      </w:r>
      <w:r>
        <w:rPr>
          <w:rFonts w:eastAsia="宋体"/>
          <w:snapToGrid w:val="0"/>
          <w:kern w:val="0"/>
          <w:sz w:val="24"/>
          <w:szCs w:val="24"/>
        </w:rPr>
        <w:t>IRB</w:t>
      </w:r>
      <w:r>
        <w:rPr>
          <w:rFonts w:hint="eastAsia" w:eastAsia="宋体"/>
          <w:snapToGrid w:val="0"/>
          <w:kern w:val="0"/>
          <w:sz w:val="24"/>
          <w:szCs w:val="24"/>
        </w:rPr>
        <w:t>主席或由主席指定的</w:t>
      </w:r>
      <w:r>
        <w:rPr>
          <w:rFonts w:eastAsia="宋体"/>
          <w:snapToGrid w:val="0"/>
          <w:kern w:val="0"/>
          <w:sz w:val="24"/>
          <w:szCs w:val="24"/>
        </w:rPr>
        <w:t>IRB</w:t>
      </w:r>
      <w:r>
        <w:rPr>
          <w:rFonts w:hint="eastAsia" w:eastAsia="宋体"/>
          <w:snapToGrid w:val="0"/>
          <w:kern w:val="0"/>
          <w:sz w:val="24"/>
          <w:szCs w:val="24"/>
        </w:rPr>
        <w:t>中一名或多名经验丰富的成员进行。审查员可以行使</w:t>
      </w:r>
      <w:r>
        <w:rPr>
          <w:rFonts w:eastAsia="宋体"/>
          <w:snapToGrid w:val="0"/>
          <w:kern w:val="0"/>
          <w:sz w:val="24"/>
          <w:szCs w:val="24"/>
        </w:rPr>
        <w:t>IRB</w:t>
      </w:r>
      <w:r>
        <w:rPr>
          <w:rFonts w:hint="eastAsia" w:eastAsia="宋体"/>
          <w:snapToGrid w:val="0"/>
          <w:kern w:val="0"/>
          <w:sz w:val="24"/>
          <w:szCs w:val="24"/>
        </w:rPr>
        <w:t>的所有职权，除了不批准，研究只有在全体委员会审查后才会被不批准。</w:t>
      </w:r>
      <w:r>
        <w:rPr>
          <w:rFonts w:eastAsia="宋体"/>
          <w:snapToGrid w:val="0"/>
          <w:kern w:val="0"/>
          <w:sz w:val="24"/>
          <w:szCs w:val="24"/>
        </w:rPr>
        <w:t>IRB</w:t>
      </w:r>
      <w:r>
        <w:rPr>
          <w:rFonts w:hint="eastAsia" w:eastAsia="宋体"/>
          <w:snapToGrid w:val="0"/>
          <w:kern w:val="0"/>
          <w:sz w:val="24"/>
          <w:szCs w:val="24"/>
        </w:rPr>
        <w:t>需要采取一种方法，使所有成员得到经由快速审查批准的研究报告。</w:t>
      </w:r>
    </w:p>
    <w:p w14:paraId="4BE39BC1">
      <w:pPr>
        <w:pStyle w:val="41"/>
        <w:shd w:val="clear" w:color="auto" w:fill="auto"/>
        <w:topLinePunct/>
        <w:adjustRightInd w:val="0"/>
        <w:snapToGrid w:val="0"/>
        <w:spacing w:before="0" w:after="0" w:line="300" w:lineRule="auto"/>
        <w:jc w:val="both"/>
        <w:rPr>
          <w:rFonts w:eastAsia="宋体"/>
          <w:b/>
          <w:snapToGrid w:val="0"/>
          <w:kern w:val="0"/>
          <w:sz w:val="24"/>
          <w:szCs w:val="24"/>
          <w:u w:val="single"/>
        </w:rPr>
      </w:pPr>
      <w:r>
        <w:rPr>
          <w:rFonts w:eastAsia="宋体"/>
          <w:snapToGrid w:val="0"/>
          <w:kern w:val="0"/>
          <w:sz w:val="24"/>
          <w:szCs w:val="24"/>
        </w:rPr>
        <w:t>【</w:t>
      </w:r>
      <w:r>
        <w:rPr>
          <w:rFonts w:hint="eastAsia" w:eastAsia="宋体"/>
          <w:snapToGrid w:val="0"/>
          <w:kern w:val="0"/>
          <w:sz w:val="24"/>
          <w:szCs w:val="24"/>
        </w:rPr>
        <w:t>参见</w:t>
      </w:r>
      <w:r>
        <w:rPr>
          <w:rFonts w:eastAsia="宋体"/>
          <w:b/>
          <w:snapToGrid w:val="0"/>
          <w:kern w:val="0"/>
          <w:sz w:val="24"/>
          <w:szCs w:val="24"/>
          <w:u w:val="single"/>
        </w:rPr>
        <w:t>IRB</w:t>
      </w:r>
      <w:r>
        <w:rPr>
          <w:rFonts w:hint="eastAsia" w:eastAsia="宋体"/>
          <w:b/>
          <w:snapToGrid w:val="0"/>
          <w:kern w:val="0"/>
          <w:sz w:val="24"/>
          <w:szCs w:val="24"/>
          <w:u w:val="single"/>
        </w:rPr>
        <w:t>使用快速审查的条件</w:t>
      </w:r>
      <w:r>
        <w:rPr>
          <w:rFonts w:eastAsia="宋体"/>
          <w:b/>
          <w:snapToGrid w:val="0"/>
          <w:kern w:val="0"/>
          <w:sz w:val="24"/>
          <w:szCs w:val="24"/>
          <w:u w:val="single"/>
        </w:rPr>
        <w:t>-</w:t>
      </w:r>
      <w:r>
        <w:rPr>
          <w:rFonts w:hint="eastAsia" w:eastAsia="宋体"/>
          <w:b/>
          <w:snapToGrid w:val="0"/>
          <w:kern w:val="0"/>
          <w:sz w:val="24"/>
          <w:szCs w:val="24"/>
          <w:u w:val="single"/>
        </w:rPr>
        <w:t>联邦公报：</w:t>
      </w:r>
      <w:r>
        <w:rPr>
          <w:rFonts w:eastAsia="宋体"/>
          <w:b/>
          <w:snapToGrid w:val="0"/>
          <w:kern w:val="0"/>
          <w:sz w:val="24"/>
          <w:szCs w:val="24"/>
          <w:u w:val="single"/>
        </w:rPr>
        <w:t>1998</w:t>
      </w:r>
      <w:r>
        <w:rPr>
          <w:rFonts w:hint="eastAsia" w:eastAsia="宋体"/>
          <w:b/>
          <w:snapToGrid w:val="0"/>
          <w:kern w:val="0"/>
          <w:sz w:val="24"/>
          <w:szCs w:val="24"/>
          <w:u w:val="single"/>
        </w:rPr>
        <w:t>年</w:t>
      </w:r>
      <w:r>
        <w:rPr>
          <w:rFonts w:eastAsia="宋体"/>
          <w:b/>
          <w:snapToGrid w:val="0"/>
          <w:kern w:val="0"/>
          <w:sz w:val="24"/>
          <w:szCs w:val="24"/>
          <w:u w:val="single"/>
        </w:rPr>
        <w:t>11</w:t>
      </w:r>
      <w:r>
        <w:rPr>
          <w:rFonts w:hint="eastAsia" w:eastAsia="宋体"/>
          <w:b/>
          <w:snapToGrid w:val="0"/>
          <w:kern w:val="0"/>
          <w:sz w:val="24"/>
          <w:szCs w:val="24"/>
          <w:u w:val="single"/>
        </w:rPr>
        <w:t>月</w:t>
      </w:r>
      <w:r>
        <w:rPr>
          <w:rFonts w:eastAsia="宋体"/>
          <w:b/>
          <w:snapToGrid w:val="0"/>
          <w:kern w:val="0"/>
          <w:sz w:val="24"/>
          <w:szCs w:val="24"/>
          <w:u w:val="single"/>
        </w:rPr>
        <w:t>9</w:t>
      </w:r>
      <w:r>
        <w:rPr>
          <w:rFonts w:hint="eastAsia" w:eastAsia="宋体"/>
          <w:b/>
          <w:snapToGrid w:val="0"/>
          <w:kern w:val="0"/>
          <w:sz w:val="24"/>
          <w:szCs w:val="24"/>
          <w:u w:val="single"/>
        </w:rPr>
        <w:t>日（第</w:t>
      </w:r>
      <w:r>
        <w:rPr>
          <w:rFonts w:eastAsia="宋体"/>
          <w:b/>
          <w:snapToGrid w:val="0"/>
          <w:kern w:val="0"/>
          <w:sz w:val="24"/>
          <w:szCs w:val="24"/>
          <w:u w:val="single"/>
        </w:rPr>
        <w:t>63</w:t>
      </w:r>
      <w:r>
        <w:rPr>
          <w:rFonts w:hint="eastAsia" w:eastAsia="宋体"/>
          <w:b/>
          <w:snapToGrid w:val="0"/>
          <w:kern w:val="0"/>
          <w:sz w:val="24"/>
          <w:szCs w:val="24"/>
          <w:u w:val="single"/>
        </w:rPr>
        <w:t>卷，</w:t>
      </w:r>
      <w:r>
        <w:rPr>
          <w:rFonts w:eastAsia="宋体"/>
          <w:b/>
          <w:snapToGrid w:val="0"/>
          <w:kern w:val="0"/>
          <w:sz w:val="24"/>
          <w:szCs w:val="24"/>
          <w:u w:val="single"/>
        </w:rPr>
        <w:t>216</w:t>
      </w:r>
      <w:r>
        <w:rPr>
          <w:rFonts w:hint="eastAsia" w:eastAsia="宋体"/>
          <w:b/>
          <w:snapToGrid w:val="0"/>
          <w:kern w:val="0"/>
          <w:sz w:val="24"/>
          <w:szCs w:val="24"/>
          <w:u w:val="single"/>
        </w:rPr>
        <w:t>号），通知</w:t>
      </w:r>
    </w:p>
    <w:p w14:paraId="218797A1">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b/>
          <w:snapToGrid w:val="0"/>
          <w:kern w:val="0"/>
          <w:sz w:val="24"/>
          <w:szCs w:val="24"/>
          <w:u w:val="single"/>
        </w:rPr>
        <w:t>（</w:t>
      </w:r>
      <w:r>
        <w:rPr>
          <w:rFonts w:hint="eastAsia" w:eastAsia="宋体"/>
          <w:b/>
          <w:snapToGrid w:val="0"/>
          <w:kern w:val="0"/>
          <w:sz w:val="24"/>
          <w:szCs w:val="24"/>
          <w:u w:val="single"/>
        </w:rPr>
        <w:t>/</w:t>
      </w:r>
      <w:r>
        <w:rPr>
          <w:rFonts w:eastAsia="宋体"/>
          <w:b/>
          <w:snapToGrid w:val="0"/>
          <w:kern w:val="0"/>
          <w:sz w:val="24"/>
          <w:szCs w:val="24"/>
          <w:u w:val="single"/>
        </w:rPr>
        <w:t>ScienceResearch/SpecialTopics/RunningC</w:t>
      </w:r>
      <w:r>
        <w:rPr>
          <w:rFonts w:hint="eastAsia" w:eastAsia="宋体"/>
          <w:b/>
          <w:snapToGrid w:val="0"/>
          <w:kern w:val="0"/>
          <w:sz w:val="24"/>
          <w:szCs w:val="24"/>
          <w:u w:val="single"/>
        </w:rPr>
        <w:t>l</w:t>
      </w:r>
      <w:r>
        <w:rPr>
          <w:rFonts w:eastAsia="宋体"/>
          <w:b/>
          <w:snapToGrid w:val="0"/>
          <w:kern w:val="0"/>
          <w:sz w:val="24"/>
          <w:szCs w:val="24"/>
          <w:u w:val="single"/>
        </w:rPr>
        <w:t>inicalTrials/GuidancesInformationSheetsand Notices/ucm118099.htm）</w:t>
      </w:r>
      <w:r>
        <w:rPr>
          <w:rFonts w:eastAsia="宋体"/>
          <w:snapToGrid w:val="0"/>
          <w:kern w:val="0"/>
          <w:sz w:val="24"/>
          <w:szCs w:val="24"/>
        </w:rPr>
        <w:t>】</w:t>
      </w:r>
    </w:p>
    <w:p w14:paraId="37DA7A5C">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21.审查的研究数量增加，向</w:t>
      </w:r>
      <w:r>
        <w:rPr>
          <w:rFonts w:eastAsia="宋体"/>
          <w:b/>
          <w:snapToGrid w:val="0"/>
          <w:kern w:val="0"/>
          <w:sz w:val="24"/>
          <w:szCs w:val="24"/>
        </w:rPr>
        <w:t>IRB成</w:t>
      </w:r>
      <w:r>
        <w:rPr>
          <w:rFonts w:hint="eastAsia" w:eastAsia="宋体"/>
          <w:b/>
          <w:snapToGrid w:val="0"/>
          <w:kern w:val="0"/>
          <w:sz w:val="24"/>
          <w:szCs w:val="24"/>
        </w:rPr>
        <w:t>员发送的审查材料文件包正在变大。</w:t>
      </w:r>
      <w:r>
        <w:rPr>
          <w:rFonts w:eastAsia="宋体"/>
          <w:b/>
          <w:snapToGrid w:val="0"/>
          <w:kern w:val="0"/>
          <w:sz w:val="24"/>
          <w:szCs w:val="24"/>
        </w:rPr>
        <w:t>我</w:t>
      </w:r>
      <w:r>
        <w:rPr>
          <w:rFonts w:hint="eastAsia" w:eastAsia="宋体"/>
          <w:b/>
          <w:snapToGrid w:val="0"/>
          <w:kern w:val="0"/>
          <w:sz w:val="24"/>
          <w:szCs w:val="24"/>
        </w:rPr>
        <w:t>们必须将完整的文件包发送给所有的</w:t>
      </w:r>
      <w:r>
        <w:rPr>
          <w:rFonts w:eastAsia="宋体"/>
          <w:b/>
          <w:snapToGrid w:val="0"/>
          <w:kern w:val="0"/>
          <w:sz w:val="24"/>
          <w:szCs w:val="24"/>
        </w:rPr>
        <w:t>IRB</w:t>
      </w:r>
      <w:r>
        <w:rPr>
          <w:rFonts w:hint="eastAsia" w:eastAsia="宋体"/>
          <w:b/>
          <w:snapToGrid w:val="0"/>
          <w:kern w:val="0"/>
          <w:sz w:val="24"/>
          <w:szCs w:val="24"/>
        </w:rPr>
        <w:t>成员吗？</w:t>
      </w:r>
    </w:p>
    <w:p w14:paraId="6AFED3C4">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IRB系</w:t>
      </w:r>
      <w:r>
        <w:rPr>
          <w:rFonts w:hint="eastAsia" w:eastAsia="宋体"/>
          <w:snapToGrid w:val="0"/>
          <w:kern w:val="0"/>
          <w:sz w:val="24"/>
          <w:szCs w:val="24"/>
        </w:rPr>
        <w:t>统旨在促进</w:t>
      </w:r>
      <w:r>
        <w:rPr>
          <w:rFonts w:eastAsia="宋体"/>
          <w:snapToGrid w:val="0"/>
          <w:kern w:val="0"/>
          <w:sz w:val="24"/>
          <w:szCs w:val="24"/>
        </w:rPr>
        <w:t>IRB成</w:t>
      </w:r>
      <w:r>
        <w:rPr>
          <w:rFonts w:hint="eastAsia" w:eastAsia="宋体"/>
          <w:snapToGrid w:val="0"/>
          <w:kern w:val="0"/>
          <w:sz w:val="24"/>
          <w:szCs w:val="24"/>
        </w:rPr>
        <w:t>员全体会议的公开讨论和辩论，必须向每名成员提供足够的资料以便其能够积极地、建设性地参与，最好是让每名</w:t>
      </w:r>
      <w:r>
        <w:rPr>
          <w:rFonts w:eastAsia="宋体"/>
          <w:snapToGrid w:val="0"/>
          <w:kern w:val="0"/>
          <w:sz w:val="24"/>
          <w:szCs w:val="24"/>
        </w:rPr>
        <w:t>IRB成</w:t>
      </w:r>
      <w:r>
        <w:rPr>
          <w:rFonts w:hint="eastAsia" w:eastAsia="宋体"/>
          <w:snapToGrid w:val="0"/>
          <w:kern w:val="0"/>
          <w:sz w:val="24"/>
          <w:szCs w:val="24"/>
        </w:rPr>
        <w:t>员能够拥有所有研究材料的个人副本。</w:t>
      </w:r>
      <w:r>
        <w:rPr>
          <w:rFonts w:eastAsia="宋体"/>
          <w:snapToGrid w:val="0"/>
          <w:kern w:val="0"/>
          <w:sz w:val="24"/>
          <w:szCs w:val="24"/>
        </w:rPr>
        <w:t>一些机构制定了</w:t>
      </w:r>
      <w:r>
        <w:rPr>
          <w:rFonts w:ascii="宋体" w:hAnsi="宋体" w:eastAsia="宋体"/>
          <w:snapToGrid w:val="0"/>
          <w:kern w:val="0"/>
          <w:sz w:val="24"/>
          <w:szCs w:val="24"/>
        </w:rPr>
        <w:t>“</w:t>
      </w:r>
      <w:r>
        <w:rPr>
          <w:rFonts w:hint="eastAsia" w:eastAsia="宋体"/>
          <w:snapToGrid w:val="0"/>
          <w:kern w:val="0"/>
          <w:sz w:val="24"/>
          <w:szCs w:val="24"/>
        </w:rPr>
        <w:t>主要审查员</w:t>
      </w:r>
      <w:r>
        <w:rPr>
          <w:rFonts w:hint="eastAsia" w:ascii="宋体" w:hAnsi="宋体" w:eastAsia="宋体"/>
          <w:snapToGrid w:val="0"/>
          <w:kern w:val="0"/>
          <w:sz w:val="24"/>
          <w:szCs w:val="24"/>
        </w:rPr>
        <w:t>”</w:t>
      </w:r>
      <w:r>
        <w:rPr>
          <w:rFonts w:hint="eastAsia" w:eastAsia="宋体"/>
          <w:snapToGrid w:val="0"/>
          <w:kern w:val="0"/>
          <w:sz w:val="24"/>
          <w:szCs w:val="24"/>
        </w:rPr>
        <w:t>制度以促进全面审查，</w:t>
      </w:r>
      <w:r>
        <w:rPr>
          <w:rFonts w:eastAsia="宋体"/>
          <w:snapToGrid w:val="0"/>
          <w:kern w:val="0"/>
          <w:sz w:val="24"/>
          <w:szCs w:val="24"/>
        </w:rPr>
        <w:t>在</w:t>
      </w:r>
      <w:r>
        <w:rPr>
          <w:rFonts w:hint="eastAsia" w:eastAsia="宋体"/>
          <w:snapToGrid w:val="0"/>
          <w:kern w:val="0"/>
          <w:sz w:val="24"/>
          <w:szCs w:val="24"/>
        </w:rPr>
        <w:t>这个系统下，研究被分配给一名或多名</w:t>
      </w:r>
      <w:r>
        <w:rPr>
          <w:rFonts w:eastAsia="宋体"/>
          <w:snapToGrid w:val="0"/>
          <w:kern w:val="0"/>
          <w:sz w:val="24"/>
          <w:szCs w:val="24"/>
        </w:rPr>
        <w:t>IRB成</w:t>
      </w:r>
      <w:r>
        <w:rPr>
          <w:rFonts w:hint="eastAsia" w:eastAsia="宋体"/>
          <w:snapToGrid w:val="0"/>
          <w:kern w:val="0"/>
          <w:sz w:val="24"/>
          <w:szCs w:val="24"/>
        </w:rPr>
        <w:t>员，以便全面审查所有材料。</w:t>
      </w:r>
      <w:r>
        <w:rPr>
          <w:rFonts w:eastAsia="宋体"/>
          <w:snapToGrid w:val="0"/>
          <w:kern w:val="0"/>
          <w:sz w:val="24"/>
          <w:szCs w:val="24"/>
        </w:rPr>
        <w:t>然后，在IRB召</w:t>
      </w:r>
      <w:r>
        <w:rPr>
          <w:rFonts w:hint="eastAsia" w:eastAsia="宋体"/>
          <w:snapToGrid w:val="0"/>
          <w:kern w:val="0"/>
          <w:sz w:val="24"/>
          <w:szCs w:val="24"/>
        </w:rPr>
        <w:t>开的会议上，由主要审查员提交研究报告，经</w:t>
      </w:r>
      <w:r>
        <w:rPr>
          <w:rFonts w:eastAsia="宋体"/>
          <w:snapToGrid w:val="0"/>
          <w:kern w:val="0"/>
          <w:sz w:val="24"/>
          <w:szCs w:val="24"/>
        </w:rPr>
        <w:t>IRB成</w:t>
      </w:r>
      <w:r>
        <w:rPr>
          <w:rFonts w:hint="eastAsia" w:eastAsia="宋体"/>
          <w:snapToGrid w:val="0"/>
          <w:kern w:val="0"/>
          <w:sz w:val="24"/>
          <w:szCs w:val="24"/>
        </w:rPr>
        <w:t>员讨论后，采取一项行动表决。</w:t>
      </w:r>
    </w:p>
    <w:p w14:paraId="1AFD5A89">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如果会议记录中的每名成员均已接受，则</w:t>
      </w:r>
      <w:r>
        <w:rPr>
          <w:rFonts w:eastAsia="宋体"/>
          <w:snapToGrid w:val="0"/>
          <w:kern w:val="0"/>
          <w:sz w:val="24"/>
          <w:szCs w:val="24"/>
        </w:rPr>
        <w:t>FDA可以接受</w:t>
      </w:r>
      <w:r>
        <w:rPr>
          <w:rFonts w:hint="eastAsia" w:ascii="宋体" w:hAnsi="宋体" w:eastAsia="宋体"/>
          <w:snapToGrid w:val="0"/>
          <w:kern w:val="0"/>
          <w:sz w:val="24"/>
          <w:szCs w:val="24"/>
        </w:rPr>
        <w:t>“</w:t>
      </w:r>
      <w:r>
        <w:rPr>
          <w:rFonts w:hint="eastAsia" w:eastAsia="宋体"/>
          <w:snapToGrid w:val="0"/>
          <w:kern w:val="0"/>
          <w:sz w:val="24"/>
          <w:szCs w:val="24"/>
        </w:rPr>
        <w:t>主要审查员</w:t>
      </w:r>
      <w:r>
        <w:rPr>
          <w:rFonts w:hint="eastAsia" w:ascii="宋体" w:hAnsi="宋体" w:eastAsia="宋体"/>
          <w:snapToGrid w:val="0"/>
          <w:kern w:val="0"/>
          <w:sz w:val="24"/>
          <w:szCs w:val="24"/>
        </w:rPr>
        <w:t>”</w:t>
      </w:r>
      <w:r>
        <w:rPr>
          <w:rFonts w:hint="eastAsia" w:eastAsia="宋体"/>
          <w:snapToGrid w:val="0"/>
          <w:kern w:val="0"/>
          <w:sz w:val="24"/>
          <w:szCs w:val="24"/>
        </w:rPr>
        <w:t>程序；</w:t>
      </w:r>
      <w:r>
        <w:rPr>
          <w:rFonts w:eastAsia="宋体"/>
          <w:snapToGrid w:val="0"/>
          <w:kern w:val="0"/>
          <w:sz w:val="24"/>
          <w:szCs w:val="24"/>
        </w:rPr>
        <w:t>同意文件的副本和</w:t>
      </w:r>
      <w:r>
        <w:rPr>
          <w:rFonts w:hint="eastAsia" w:eastAsia="宋体"/>
          <w:snapToGrid w:val="0"/>
          <w:kern w:val="0"/>
          <w:sz w:val="24"/>
          <w:szCs w:val="24"/>
        </w:rPr>
        <w:t>方案综述要足够详细，以确定该同意文件中的研究特定陈述的适用性。</w:t>
      </w:r>
      <w:r>
        <w:rPr>
          <w:rFonts w:eastAsia="宋体"/>
          <w:snapToGrid w:val="0"/>
          <w:kern w:val="0"/>
          <w:sz w:val="24"/>
          <w:szCs w:val="24"/>
        </w:rPr>
        <w:t>此外，在</w:t>
      </w:r>
      <w:r>
        <w:rPr>
          <w:rFonts w:hint="eastAsia" w:eastAsia="宋体"/>
          <w:snapToGrid w:val="0"/>
          <w:kern w:val="0"/>
          <w:sz w:val="24"/>
          <w:szCs w:val="24"/>
        </w:rPr>
        <w:t>会议前和会议期间，应对所有成员提供完整的文件供其审查。会议前，有充分成员资格的成员应收到审查材料，以便对材料进行适当审查。</w:t>
      </w:r>
    </w:p>
    <w:p w14:paraId="12BA8AD4">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一些</w:t>
      </w:r>
      <w:r>
        <w:rPr>
          <w:rFonts w:eastAsia="宋体"/>
          <w:snapToGrid w:val="0"/>
          <w:kern w:val="0"/>
          <w:sz w:val="24"/>
          <w:szCs w:val="24"/>
        </w:rPr>
        <w:t>IRB</w:t>
      </w:r>
      <w:r>
        <w:rPr>
          <w:rFonts w:hint="eastAsia" w:eastAsia="宋体"/>
          <w:snapToGrid w:val="0"/>
          <w:kern w:val="0"/>
          <w:sz w:val="24"/>
          <w:szCs w:val="24"/>
        </w:rPr>
        <w:t>也正在对</w:t>
      </w:r>
      <w:r>
        <w:rPr>
          <w:rFonts w:eastAsia="宋体"/>
          <w:snapToGrid w:val="0"/>
          <w:kern w:val="0"/>
          <w:sz w:val="24"/>
          <w:szCs w:val="24"/>
        </w:rPr>
        <w:t>IRB成</w:t>
      </w:r>
      <w:r>
        <w:rPr>
          <w:rFonts w:hint="eastAsia" w:eastAsia="宋体"/>
          <w:snapToGrid w:val="0"/>
          <w:kern w:val="0"/>
          <w:sz w:val="24"/>
          <w:szCs w:val="24"/>
        </w:rPr>
        <w:t>员使用电子提交和计算机访问进行探索。无论</w:t>
      </w:r>
      <w:r>
        <w:rPr>
          <w:rFonts w:eastAsia="宋体"/>
          <w:snapToGrid w:val="0"/>
          <w:kern w:val="0"/>
          <w:sz w:val="24"/>
          <w:szCs w:val="24"/>
        </w:rPr>
        <w:t>IRB</w:t>
      </w:r>
      <w:r>
        <w:rPr>
          <w:rFonts w:hint="eastAsia" w:eastAsia="宋体"/>
          <w:snapToGrid w:val="0"/>
          <w:kern w:val="0"/>
          <w:sz w:val="24"/>
          <w:szCs w:val="24"/>
        </w:rPr>
        <w:t>开发和使用什么系统，都必须确保每项研究得到适当的审查，并保护受试者的权利和福利。</w:t>
      </w:r>
    </w:p>
    <w:p w14:paraId="746409F5">
      <w:pPr>
        <w:spacing w:after="0" w:line="240" w:lineRule="auto"/>
        <w:rPr>
          <w:rFonts w:ascii="Arial" w:hAnsi="Arial" w:eastAsia="宋体" w:cs="Arial"/>
          <w:b/>
          <w:snapToGrid w:val="0"/>
          <w:szCs w:val="24"/>
        </w:rPr>
      </w:pPr>
      <w:r>
        <w:rPr>
          <w:rFonts w:eastAsia="宋体"/>
          <w:b/>
          <w:snapToGrid w:val="0"/>
          <w:szCs w:val="24"/>
        </w:rPr>
        <w:br w:type="page"/>
      </w:r>
    </w:p>
    <w:p w14:paraId="2CD008B8">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22.</w:t>
      </w:r>
      <w:r>
        <w:rPr>
          <w:rFonts w:hint="eastAsia" w:eastAsia="宋体"/>
          <w:b/>
          <w:snapToGrid w:val="0"/>
          <w:kern w:val="0"/>
          <w:sz w:val="24"/>
          <w:szCs w:val="24"/>
        </w:rPr>
        <w:t>是否允许申办者访问</w:t>
      </w:r>
      <w:r>
        <w:rPr>
          <w:rFonts w:eastAsia="宋体"/>
          <w:b/>
          <w:snapToGrid w:val="0"/>
          <w:kern w:val="0"/>
          <w:sz w:val="24"/>
          <w:szCs w:val="24"/>
        </w:rPr>
        <w:t>IRB的</w:t>
      </w:r>
      <w:r>
        <w:rPr>
          <w:rFonts w:hint="eastAsia" w:eastAsia="宋体"/>
          <w:b/>
          <w:snapToGrid w:val="0"/>
          <w:kern w:val="0"/>
          <w:sz w:val="24"/>
          <w:szCs w:val="24"/>
        </w:rPr>
        <w:t>书面程序、会议记录和成员名册？</w:t>
      </w:r>
    </w:p>
    <w:p w14:paraId="6A8C09CE">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FDA法规</w:t>
      </w:r>
      <w:r>
        <w:rPr>
          <w:rFonts w:hint="eastAsia" w:eastAsia="宋体"/>
          <w:snapToGrid w:val="0"/>
          <w:kern w:val="0"/>
          <w:sz w:val="24"/>
          <w:szCs w:val="24"/>
        </w:rPr>
        <w:t>不要求公众或申办者访问</w:t>
      </w:r>
      <w:r>
        <w:rPr>
          <w:rFonts w:eastAsia="宋体"/>
          <w:snapToGrid w:val="0"/>
          <w:kern w:val="0"/>
          <w:sz w:val="24"/>
          <w:szCs w:val="24"/>
        </w:rPr>
        <w:t>IRB</w:t>
      </w:r>
      <w:r>
        <w:rPr>
          <w:rFonts w:hint="eastAsia" w:eastAsia="宋体"/>
          <w:snapToGrid w:val="0"/>
          <w:kern w:val="0"/>
          <w:sz w:val="24"/>
          <w:szCs w:val="24"/>
        </w:rPr>
        <w:t>记录。</w:t>
      </w:r>
      <w:r>
        <w:rPr>
          <w:rFonts w:eastAsia="宋体"/>
          <w:snapToGrid w:val="0"/>
          <w:kern w:val="0"/>
          <w:sz w:val="24"/>
          <w:szCs w:val="24"/>
        </w:rPr>
        <w:t>但是，FDA并不禁止申</w:t>
      </w:r>
      <w:r>
        <w:rPr>
          <w:rFonts w:hint="eastAsia" w:eastAsia="宋体"/>
          <w:snapToGrid w:val="0"/>
          <w:kern w:val="0"/>
          <w:sz w:val="24"/>
          <w:szCs w:val="24"/>
        </w:rPr>
        <w:t>办者索取</w:t>
      </w:r>
      <w:r>
        <w:rPr>
          <w:rFonts w:eastAsia="宋体"/>
          <w:snapToGrid w:val="0"/>
          <w:kern w:val="0"/>
          <w:sz w:val="24"/>
          <w:szCs w:val="24"/>
        </w:rPr>
        <w:t>IRB</w:t>
      </w:r>
      <w:r>
        <w:rPr>
          <w:rFonts w:hint="eastAsia" w:eastAsia="宋体"/>
          <w:snapToGrid w:val="0"/>
          <w:kern w:val="0"/>
          <w:sz w:val="24"/>
          <w:szCs w:val="24"/>
        </w:rPr>
        <w:t>记录。</w:t>
      </w:r>
      <w:r>
        <w:rPr>
          <w:rFonts w:eastAsia="宋体"/>
          <w:snapToGrid w:val="0"/>
          <w:kern w:val="0"/>
          <w:sz w:val="24"/>
          <w:szCs w:val="24"/>
        </w:rPr>
        <w:t>IRB和机构可以制定</w:t>
      </w:r>
      <w:r>
        <w:rPr>
          <w:rFonts w:hint="eastAsia" w:eastAsia="宋体"/>
          <w:snapToGrid w:val="0"/>
          <w:kern w:val="0"/>
          <w:sz w:val="24"/>
          <w:szCs w:val="24"/>
        </w:rPr>
        <w:t>关于是否向申办者提供会议记录或相关部分的政策。</w:t>
      </w:r>
    </w:p>
    <w:p w14:paraId="63E3D4B2">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由于可变性，每个</w:t>
      </w:r>
      <w:r>
        <w:rPr>
          <w:rFonts w:eastAsia="宋体"/>
          <w:snapToGrid w:val="0"/>
          <w:kern w:val="0"/>
          <w:sz w:val="24"/>
          <w:szCs w:val="24"/>
        </w:rPr>
        <w:t>IRB</w:t>
      </w:r>
      <w:r>
        <w:rPr>
          <w:rFonts w:hint="eastAsia" w:eastAsia="宋体"/>
          <w:snapToGrid w:val="0"/>
          <w:kern w:val="0"/>
          <w:sz w:val="24"/>
          <w:szCs w:val="24"/>
        </w:rPr>
        <w:t>还需要了解关于访问</w:t>
      </w:r>
      <w:r>
        <w:rPr>
          <w:rFonts w:eastAsia="宋体"/>
          <w:snapToGrid w:val="0"/>
          <w:kern w:val="0"/>
          <w:sz w:val="24"/>
          <w:szCs w:val="24"/>
        </w:rPr>
        <w:t>IRB</w:t>
      </w:r>
      <w:r>
        <w:rPr>
          <w:rFonts w:hint="eastAsia" w:eastAsia="宋体"/>
          <w:snapToGrid w:val="0"/>
          <w:kern w:val="0"/>
          <w:sz w:val="24"/>
          <w:szCs w:val="24"/>
        </w:rPr>
        <w:t>记录的州及地方法律。</w:t>
      </w:r>
    </w:p>
    <w:p w14:paraId="56EC1124">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23.</w:t>
      </w:r>
      <w:r>
        <w:rPr>
          <w:rFonts w:hint="eastAsia" w:eastAsia="宋体"/>
          <w:b/>
          <w:snapToGrid w:val="0"/>
          <w:kern w:val="0"/>
          <w:sz w:val="24"/>
          <w:szCs w:val="24"/>
        </w:rPr>
        <w:t>当</w:t>
      </w:r>
      <w:r>
        <w:rPr>
          <w:rFonts w:eastAsia="宋体"/>
          <w:b/>
          <w:snapToGrid w:val="0"/>
          <w:kern w:val="0"/>
          <w:sz w:val="24"/>
          <w:szCs w:val="24"/>
        </w:rPr>
        <w:t>IRB</w:t>
      </w:r>
      <w:r>
        <w:rPr>
          <w:rFonts w:hint="eastAsia" w:eastAsia="宋体"/>
          <w:b/>
          <w:snapToGrid w:val="0"/>
          <w:kern w:val="0"/>
          <w:sz w:val="24"/>
          <w:szCs w:val="24"/>
        </w:rPr>
        <w:t>审查一项研究用药物的研究时，是否必须将研究者手册纳入文件？</w:t>
      </w:r>
    </w:p>
    <w:p w14:paraId="683FD787">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对于根据研究用新药申请进行的研究，按照</w:t>
      </w:r>
      <w:r>
        <w:rPr>
          <w:rFonts w:eastAsia="宋体"/>
          <w:snapToGrid w:val="0"/>
          <w:kern w:val="0"/>
          <w:sz w:val="24"/>
          <w:szCs w:val="24"/>
        </w:rPr>
        <w:t>FDA</w:t>
      </w:r>
      <w:r>
        <w:rPr>
          <w:rFonts w:hint="eastAsia" w:eastAsia="宋体"/>
          <w:snapToGrid w:val="0"/>
          <w:kern w:val="0"/>
          <w:sz w:val="24"/>
          <w:szCs w:val="24"/>
        </w:rPr>
        <w:t>【</w:t>
      </w:r>
      <w:r>
        <w:rPr>
          <w:rFonts w:eastAsia="宋体"/>
          <w:snapToGrid w:val="0"/>
          <w:kern w:val="0"/>
          <w:sz w:val="24"/>
          <w:szCs w:val="24"/>
        </w:rPr>
        <w:t>（21 CFR 312.23（a）（5）和312.55】通常要</w:t>
      </w:r>
      <w:r>
        <w:rPr>
          <w:rFonts w:hint="eastAsia" w:eastAsia="宋体"/>
          <w:snapToGrid w:val="0"/>
          <w:kern w:val="0"/>
          <w:sz w:val="24"/>
          <w:szCs w:val="24"/>
        </w:rPr>
        <w:t>求</w:t>
      </w:r>
      <w:r>
        <w:rPr>
          <w:rFonts w:eastAsia="宋体"/>
          <w:snapToGrid w:val="0"/>
          <w:kern w:val="0"/>
          <w:sz w:val="24"/>
          <w:szCs w:val="24"/>
        </w:rPr>
        <w:t>研究者手</w:t>
      </w:r>
      <w:r>
        <w:rPr>
          <w:rFonts w:hint="eastAsia" w:eastAsia="宋体"/>
          <w:snapToGrid w:val="0"/>
          <w:kern w:val="0"/>
          <w:sz w:val="24"/>
          <w:szCs w:val="24"/>
        </w:rPr>
        <w:t>册。虽然</w:t>
      </w:r>
      <w:r>
        <w:rPr>
          <w:rFonts w:eastAsia="宋体"/>
          <w:snapToGrid w:val="0"/>
          <w:kern w:val="0"/>
          <w:sz w:val="24"/>
          <w:szCs w:val="24"/>
        </w:rPr>
        <w:t>21 CFR第56部分</w:t>
      </w:r>
      <w:r>
        <w:rPr>
          <w:rFonts w:hint="eastAsia" w:eastAsia="宋体"/>
          <w:snapToGrid w:val="0"/>
          <w:kern w:val="0"/>
          <w:sz w:val="24"/>
          <w:szCs w:val="24"/>
        </w:rPr>
        <w:t>没有提及</w:t>
      </w:r>
      <w:r>
        <w:rPr>
          <w:rFonts w:hint="eastAsia" w:ascii="宋体" w:hAnsi="宋体" w:eastAsia="宋体"/>
          <w:snapToGrid w:val="0"/>
          <w:kern w:val="0"/>
          <w:sz w:val="24"/>
          <w:szCs w:val="24"/>
        </w:rPr>
        <w:t>“</w:t>
      </w:r>
      <w:r>
        <w:rPr>
          <w:rFonts w:hint="eastAsia" w:eastAsia="宋体"/>
          <w:snapToGrid w:val="0"/>
          <w:kern w:val="0"/>
          <w:sz w:val="24"/>
          <w:szCs w:val="24"/>
        </w:rPr>
        <w:t>研究者手册</w:t>
      </w:r>
      <w:r>
        <w:rPr>
          <w:rFonts w:hint="eastAsia" w:ascii="宋体" w:hAnsi="宋体" w:eastAsia="宋体"/>
          <w:snapToGrid w:val="0"/>
          <w:kern w:val="0"/>
          <w:sz w:val="24"/>
          <w:szCs w:val="24"/>
        </w:rPr>
        <w:t>”</w:t>
      </w:r>
      <w:r>
        <w:rPr>
          <w:rFonts w:hint="eastAsia" w:eastAsia="宋体"/>
          <w:snapToGrid w:val="0"/>
          <w:kern w:val="0"/>
          <w:sz w:val="24"/>
          <w:szCs w:val="24"/>
        </w:rPr>
        <w:t>的名称，但该手册中包含的大部分信息显然需要由</w:t>
      </w:r>
      <w:r>
        <w:rPr>
          <w:rFonts w:eastAsia="宋体"/>
          <w:snapToGrid w:val="0"/>
          <w:kern w:val="0"/>
          <w:sz w:val="24"/>
          <w:szCs w:val="24"/>
        </w:rPr>
        <w:t>IRB</w:t>
      </w:r>
      <w:r>
        <w:rPr>
          <w:rFonts w:hint="eastAsia" w:eastAsia="宋体"/>
          <w:snapToGrid w:val="0"/>
          <w:kern w:val="0"/>
          <w:sz w:val="24"/>
          <w:szCs w:val="24"/>
        </w:rPr>
        <w:t>进行审查。</w:t>
      </w:r>
      <w:r>
        <w:rPr>
          <w:rFonts w:eastAsia="宋体"/>
          <w:snapToGrid w:val="0"/>
          <w:kern w:val="0"/>
          <w:sz w:val="24"/>
          <w:szCs w:val="24"/>
        </w:rPr>
        <w:t>法</w:t>
      </w:r>
      <w:r>
        <w:rPr>
          <w:rFonts w:hint="eastAsia" w:eastAsia="宋体"/>
          <w:snapToGrid w:val="0"/>
          <w:kern w:val="0"/>
          <w:sz w:val="24"/>
          <w:szCs w:val="24"/>
        </w:rPr>
        <w:t>规规定了</w:t>
      </w:r>
      <w:r>
        <w:rPr>
          <w:rFonts w:eastAsia="宋体"/>
          <w:snapToGrid w:val="0"/>
          <w:kern w:val="0"/>
          <w:sz w:val="24"/>
          <w:szCs w:val="24"/>
        </w:rPr>
        <w:t>IRB批准研究的</w:t>
      </w:r>
      <w:r>
        <w:rPr>
          <w:rFonts w:hint="eastAsia" w:eastAsia="宋体"/>
          <w:snapToGrid w:val="0"/>
          <w:kern w:val="0"/>
          <w:sz w:val="24"/>
          <w:szCs w:val="24"/>
        </w:rPr>
        <w:t>标准。</w:t>
      </w:r>
      <w:r>
        <w:rPr>
          <w:rFonts w:eastAsia="宋体"/>
          <w:snapToGrid w:val="0"/>
          <w:kern w:val="0"/>
          <w:sz w:val="24"/>
          <w:szCs w:val="24"/>
        </w:rPr>
        <w:t>21 CFR 56.111 （a）（1）要求IRB</w:t>
      </w:r>
      <w:r>
        <w:rPr>
          <w:rFonts w:hint="eastAsia" w:eastAsia="宋体"/>
          <w:snapToGrid w:val="0"/>
          <w:kern w:val="0"/>
          <w:sz w:val="24"/>
          <w:szCs w:val="24"/>
        </w:rPr>
        <w:t>应</w:t>
      </w:r>
      <w:r>
        <w:rPr>
          <w:rFonts w:eastAsia="宋体"/>
          <w:snapToGrid w:val="0"/>
          <w:kern w:val="0"/>
          <w:sz w:val="24"/>
          <w:szCs w:val="24"/>
        </w:rPr>
        <w:t>确保</w:t>
      </w:r>
      <w:r>
        <w:rPr>
          <w:rFonts w:hint="eastAsia" w:eastAsia="宋体"/>
          <w:snapToGrid w:val="0"/>
          <w:kern w:val="0"/>
          <w:sz w:val="24"/>
          <w:szCs w:val="24"/>
        </w:rPr>
        <w:t>将受试者的风险降至最低。</w:t>
      </w:r>
      <w:r>
        <w:rPr>
          <w:rFonts w:eastAsia="宋体"/>
          <w:snapToGrid w:val="0"/>
          <w:kern w:val="0"/>
          <w:sz w:val="24"/>
          <w:szCs w:val="24"/>
        </w:rPr>
        <w:t>21 CFR 56.111 （a）（2）要求IRB</w:t>
      </w:r>
      <w:r>
        <w:rPr>
          <w:rFonts w:hint="eastAsia" w:eastAsia="宋体"/>
          <w:snapToGrid w:val="0"/>
          <w:kern w:val="0"/>
          <w:sz w:val="24"/>
          <w:szCs w:val="24"/>
        </w:rPr>
        <w:t>应</w:t>
      </w:r>
      <w:r>
        <w:rPr>
          <w:rFonts w:eastAsia="宋体"/>
          <w:snapToGrid w:val="0"/>
          <w:kern w:val="0"/>
          <w:sz w:val="24"/>
          <w:szCs w:val="24"/>
        </w:rPr>
        <w:t>确保受</w:t>
      </w:r>
      <w:r>
        <w:rPr>
          <w:rFonts w:hint="eastAsia" w:eastAsia="宋体"/>
          <w:snapToGrid w:val="0"/>
          <w:kern w:val="0"/>
          <w:sz w:val="24"/>
          <w:szCs w:val="24"/>
        </w:rPr>
        <w:t>试者的风险与预期获益的相关性是合理的。未审查此前进行的动物研究和人体研究的结果就无法充分评估风险，而研究者手册对这些研究进行了总结。</w:t>
      </w:r>
    </w:p>
    <w:p w14:paraId="584AC703">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没有具体的法规要求将研究者手册提交给</w:t>
      </w:r>
      <w:r>
        <w:rPr>
          <w:rFonts w:eastAsia="宋体"/>
          <w:snapToGrid w:val="0"/>
          <w:kern w:val="0"/>
          <w:sz w:val="24"/>
          <w:szCs w:val="24"/>
        </w:rPr>
        <w:t>IRB</w:t>
      </w:r>
      <w:r>
        <w:rPr>
          <w:rFonts w:hint="eastAsia" w:eastAsia="宋体"/>
          <w:snapToGrid w:val="0"/>
          <w:kern w:val="0"/>
          <w:sz w:val="24"/>
          <w:szCs w:val="24"/>
        </w:rPr>
        <w:t>，</w:t>
      </w:r>
      <w:r>
        <w:rPr>
          <w:rFonts w:eastAsia="宋体"/>
          <w:snapToGrid w:val="0"/>
          <w:kern w:val="0"/>
          <w:sz w:val="24"/>
          <w:szCs w:val="24"/>
        </w:rPr>
        <w:t>法</w:t>
      </w:r>
      <w:r>
        <w:rPr>
          <w:rFonts w:hint="eastAsia" w:eastAsia="宋体"/>
          <w:snapToGrid w:val="0"/>
          <w:kern w:val="0"/>
          <w:sz w:val="24"/>
          <w:szCs w:val="24"/>
        </w:rPr>
        <w:t>规要求</w:t>
      </w:r>
      <w:r>
        <w:rPr>
          <w:rFonts w:eastAsia="宋体"/>
          <w:snapToGrid w:val="0"/>
          <w:kern w:val="0"/>
          <w:sz w:val="24"/>
          <w:szCs w:val="24"/>
        </w:rPr>
        <w:t>提交的</w:t>
      </w:r>
      <w:r>
        <w:rPr>
          <w:rFonts w:hint="eastAsia" w:eastAsia="宋体"/>
          <w:snapToGrid w:val="0"/>
          <w:kern w:val="0"/>
          <w:sz w:val="24"/>
          <w:szCs w:val="24"/>
        </w:rPr>
        <w:t>资料通常包括</w:t>
      </w:r>
      <w:r>
        <w:rPr>
          <w:rFonts w:hint="eastAsia" w:ascii="宋体" w:hAnsi="宋体" w:eastAsia="宋体"/>
          <w:snapToGrid w:val="0"/>
          <w:kern w:val="0"/>
          <w:sz w:val="24"/>
          <w:szCs w:val="24"/>
        </w:rPr>
        <w:t>“</w:t>
      </w:r>
      <w:r>
        <w:rPr>
          <w:rFonts w:hint="eastAsia" w:eastAsia="宋体"/>
          <w:snapToGrid w:val="0"/>
          <w:kern w:val="0"/>
          <w:sz w:val="24"/>
          <w:szCs w:val="24"/>
        </w:rPr>
        <w:t>研究者手册</w:t>
      </w:r>
      <w:r>
        <w:rPr>
          <w:rFonts w:hint="eastAsia" w:ascii="宋体" w:hAnsi="宋体" w:eastAsia="宋体"/>
          <w:snapToGrid w:val="0"/>
          <w:kern w:val="0"/>
          <w:sz w:val="24"/>
          <w:szCs w:val="24"/>
        </w:rPr>
        <w:t>”</w:t>
      </w:r>
      <w:r>
        <w:rPr>
          <w:rFonts w:hint="eastAsia" w:eastAsia="宋体"/>
          <w:snapToGrid w:val="0"/>
          <w:kern w:val="0"/>
          <w:sz w:val="24"/>
          <w:szCs w:val="24"/>
        </w:rPr>
        <w:t>中的信息。</w:t>
      </w:r>
      <w:r>
        <w:rPr>
          <w:rFonts w:eastAsia="宋体"/>
          <w:snapToGrid w:val="0"/>
          <w:kern w:val="0"/>
          <w:sz w:val="24"/>
          <w:szCs w:val="24"/>
        </w:rPr>
        <w:t>研究者手</w:t>
      </w:r>
      <w:r>
        <w:rPr>
          <w:rFonts w:hint="eastAsia" w:eastAsia="宋体"/>
          <w:snapToGrid w:val="0"/>
          <w:kern w:val="0"/>
          <w:sz w:val="24"/>
          <w:szCs w:val="24"/>
        </w:rPr>
        <w:t>册通常会提交给</w:t>
      </w:r>
      <w:r>
        <w:rPr>
          <w:rFonts w:eastAsia="宋体"/>
          <w:snapToGrid w:val="0"/>
          <w:kern w:val="0"/>
          <w:sz w:val="24"/>
          <w:szCs w:val="24"/>
        </w:rPr>
        <w:t>IRB，IRB可能</w:t>
      </w:r>
      <w:r>
        <w:rPr>
          <w:rFonts w:hint="eastAsia" w:eastAsia="宋体"/>
          <w:snapToGrid w:val="0"/>
          <w:kern w:val="0"/>
          <w:sz w:val="24"/>
          <w:szCs w:val="24"/>
        </w:rPr>
        <w:t>会制定要求其提交的书面程序。</w:t>
      </w:r>
      <w:r>
        <w:rPr>
          <w:rFonts w:eastAsia="宋体"/>
          <w:snapToGrid w:val="0"/>
          <w:kern w:val="0"/>
          <w:sz w:val="24"/>
          <w:szCs w:val="24"/>
        </w:rPr>
        <w:t>研究者手</w:t>
      </w:r>
      <w:r>
        <w:rPr>
          <w:rFonts w:hint="eastAsia" w:eastAsia="宋体"/>
          <w:snapToGrid w:val="0"/>
          <w:kern w:val="0"/>
          <w:sz w:val="24"/>
          <w:szCs w:val="24"/>
        </w:rPr>
        <w:t>册可能是</w:t>
      </w:r>
      <w:r>
        <w:rPr>
          <w:rFonts w:eastAsia="宋体"/>
          <w:snapToGrid w:val="0"/>
          <w:kern w:val="0"/>
          <w:sz w:val="24"/>
          <w:szCs w:val="24"/>
        </w:rPr>
        <w:t>IRB</w:t>
      </w:r>
      <w:r>
        <w:rPr>
          <w:rFonts w:hint="eastAsia" w:eastAsia="宋体"/>
          <w:snapToGrid w:val="0"/>
          <w:kern w:val="0"/>
          <w:sz w:val="24"/>
          <w:szCs w:val="24"/>
        </w:rPr>
        <w:t>审查医疗器械研究时对研究计划审查的一部分。</w:t>
      </w:r>
    </w:p>
    <w:p w14:paraId="3C81AB13">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24.在多大程度上</w:t>
      </w:r>
      <w:r>
        <w:rPr>
          <w:rFonts w:hint="eastAsia" w:eastAsia="宋体"/>
          <w:b/>
          <w:snapToGrid w:val="0"/>
          <w:kern w:val="0"/>
          <w:sz w:val="24"/>
          <w:szCs w:val="24"/>
        </w:rPr>
        <w:t>期</w:t>
      </w:r>
      <w:r>
        <w:rPr>
          <w:rFonts w:eastAsia="宋体"/>
          <w:b/>
          <w:snapToGrid w:val="0"/>
          <w:kern w:val="0"/>
          <w:sz w:val="24"/>
          <w:szCs w:val="24"/>
        </w:rPr>
        <w:t>望IRB</w:t>
      </w:r>
      <w:r>
        <w:rPr>
          <w:rFonts w:hint="eastAsia" w:eastAsia="宋体"/>
          <w:b/>
          <w:snapToGrid w:val="0"/>
          <w:kern w:val="0"/>
          <w:sz w:val="24"/>
          <w:szCs w:val="24"/>
        </w:rPr>
        <w:t>去积极地审核和监控研究者在受试者保护问题上的表现？</w:t>
      </w:r>
    </w:p>
    <w:p w14:paraId="6EA3FD16">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FDA不期望IRB定期</w:t>
      </w:r>
      <w:r>
        <w:rPr>
          <w:rFonts w:hint="eastAsia" w:eastAsia="宋体"/>
          <w:snapToGrid w:val="0"/>
          <w:kern w:val="0"/>
          <w:sz w:val="24"/>
          <w:szCs w:val="24"/>
        </w:rPr>
        <w:t>视察同意访谈、研究的行为或审查研究记录。</w:t>
      </w:r>
      <w:r>
        <w:rPr>
          <w:rFonts w:eastAsia="宋体"/>
          <w:snapToGrid w:val="0"/>
          <w:kern w:val="0"/>
          <w:sz w:val="24"/>
          <w:szCs w:val="24"/>
        </w:rPr>
        <w:t>然而，21 CFR 56.109（f）</w:t>
      </w:r>
      <w:r>
        <w:rPr>
          <w:rFonts w:hint="eastAsia" w:eastAsia="宋体"/>
          <w:snapToGrid w:val="0"/>
          <w:kern w:val="0"/>
          <w:sz w:val="24"/>
          <w:szCs w:val="24"/>
        </w:rPr>
        <w:t>授权</w:t>
      </w:r>
      <w:r>
        <w:rPr>
          <w:rFonts w:eastAsia="宋体"/>
          <w:snapToGrid w:val="0"/>
          <w:kern w:val="0"/>
          <w:sz w:val="24"/>
          <w:szCs w:val="24"/>
        </w:rPr>
        <w:t>IRB</w:t>
      </w:r>
      <w:r>
        <w:rPr>
          <w:rFonts w:hint="eastAsia" w:eastAsia="宋体"/>
          <w:snapToGrid w:val="0"/>
          <w:kern w:val="0"/>
          <w:sz w:val="24"/>
          <w:szCs w:val="24"/>
        </w:rPr>
        <w:t>或第三方对同意过程和研究进行视察。</w:t>
      </w:r>
      <w:r>
        <w:rPr>
          <w:rFonts w:eastAsia="宋体"/>
          <w:snapToGrid w:val="0"/>
          <w:kern w:val="0"/>
          <w:sz w:val="24"/>
          <w:szCs w:val="24"/>
        </w:rPr>
        <w:t>IRB何</w:t>
      </w:r>
      <w:r>
        <w:rPr>
          <w:rFonts w:hint="eastAsia" w:eastAsia="宋体"/>
          <w:snapToGrid w:val="0"/>
          <w:kern w:val="0"/>
          <w:sz w:val="24"/>
          <w:szCs w:val="24"/>
        </w:rPr>
        <w:t>时以及是否关注研究的进行或取得同意的过程，以及如果对此关注，</w:t>
      </w:r>
      <w:r>
        <w:rPr>
          <w:rFonts w:eastAsia="宋体"/>
          <w:snapToGrid w:val="0"/>
          <w:kern w:val="0"/>
          <w:sz w:val="24"/>
          <w:szCs w:val="24"/>
        </w:rPr>
        <w:t>IRB</w:t>
      </w:r>
      <w:r>
        <w:rPr>
          <w:rFonts w:hint="eastAsia" w:eastAsia="宋体"/>
          <w:snapToGrid w:val="0"/>
          <w:kern w:val="0"/>
          <w:sz w:val="24"/>
          <w:szCs w:val="24"/>
        </w:rPr>
        <w:t>是否有必要进行积极的审计，将其视为对研究进行充分监督的一部分。</w:t>
      </w:r>
    </w:p>
    <w:p w14:paraId="58BB9B2D">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25.</w:t>
      </w:r>
      <w:r>
        <w:rPr>
          <w:rFonts w:hint="eastAsia" w:eastAsia="宋体"/>
          <w:b/>
          <w:snapToGrid w:val="0"/>
          <w:kern w:val="0"/>
          <w:sz w:val="24"/>
          <w:szCs w:val="24"/>
        </w:rPr>
        <w:t>申办者如何知道</w:t>
      </w:r>
      <w:r>
        <w:rPr>
          <w:rFonts w:eastAsia="宋体"/>
          <w:b/>
          <w:snapToGrid w:val="0"/>
          <w:kern w:val="0"/>
          <w:sz w:val="24"/>
          <w:szCs w:val="24"/>
        </w:rPr>
        <w:t>IRB是否已</w:t>
      </w:r>
      <w:r>
        <w:rPr>
          <w:rFonts w:hint="eastAsia" w:eastAsia="宋体"/>
          <w:b/>
          <w:snapToGrid w:val="0"/>
          <w:kern w:val="0"/>
          <w:sz w:val="24"/>
          <w:szCs w:val="24"/>
        </w:rPr>
        <w:t>经被</w:t>
      </w:r>
      <w:r>
        <w:rPr>
          <w:rFonts w:eastAsia="宋体"/>
          <w:b/>
          <w:snapToGrid w:val="0"/>
          <w:kern w:val="0"/>
          <w:sz w:val="24"/>
          <w:szCs w:val="24"/>
        </w:rPr>
        <w:t>FDA</w:t>
      </w:r>
      <w:r>
        <w:rPr>
          <w:rFonts w:hint="eastAsia" w:eastAsia="宋体"/>
          <w:b/>
          <w:snapToGrid w:val="0"/>
          <w:kern w:val="0"/>
          <w:sz w:val="24"/>
          <w:szCs w:val="24"/>
        </w:rPr>
        <w:t>检查过，检查的结果如何？</w:t>
      </w:r>
    </w:p>
    <w:p w14:paraId="1CDB9A08">
      <w:pPr>
        <w:widowControl w:val="0"/>
        <w:topLinePunct/>
        <w:adjustRightInd w:val="0"/>
        <w:snapToGrid w:val="0"/>
        <w:spacing w:after="244" w:afterLines="75" w:line="300" w:lineRule="auto"/>
        <w:jc w:val="both"/>
        <w:rPr>
          <w:rFonts w:ascii="Arial" w:hAnsi="Arial" w:eastAsia="宋体" w:cs="Arial"/>
          <w:snapToGrid w:val="0"/>
          <w:szCs w:val="24"/>
        </w:rPr>
      </w:pPr>
      <w:r>
        <w:rPr>
          <w:rFonts w:ascii="Arial" w:hAnsi="Arial" w:eastAsia="宋体" w:cs="Arial"/>
          <w:snapToGrid w:val="0"/>
          <w:szCs w:val="24"/>
        </w:rPr>
        <w:br w:type="page"/>
      </w:r>
    </w:p>
    <w:p w14:paraId="05C4609C">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药品评估和研究中心的科学研究部保留了已检查过的</w:t>
      </w:r>
      <w:r>
        <w:rPr>
          <w:rFonts w:eastAsia="宋体"/>
          <w:snapToGrid w:val="0"/>
          <w:kern w:val="0"/>
          <w:sz w:val="24"/>
          <w:szCs w:val="24"/>
        </w:rPr>
        <w:t>IRB清</w:t>
      </w:r>
      <w:r>
        <w:rPr>
          <w:rFonts w:hint="eastAsia" w:eastAsia="宋体"/>
          <w:snapToGrid w:val="0"/>
          <w:kern w:val="0"/>
          <w:sz w:val="24"/>
          <w:szCs w:val="24"/>
        </w:rPr>
        <w:t>单，包括检查日期和类别。该部门最近开始将生物制剂评估和研究中心以及器械和放射卫生中心的检查结果也纳入其中。这些信息可通过</w:t>
      </w:r>
      <w:r>
        <w:rPr>
          <w:rFonts w:hint="eastAsia" w:ascii="宋体" w:hAnsi="宋体" w:eastAsia="宋体"/>
          <w:snapToGrid w:val="0"/>
          <w:kern w:val="0"/>
          <w:sz w:val="24"/>
          <w:szCs w:val="24"/>
        </w:rPr>
        <w:t>“</w:t>
      </w:r>
      <w:r>
        <w:rPr>
          <w:rFonts w:hint="eastAsia" w:eastAsia="宋体"/>
          <w:snapToGrid w:val="0"/>
          <w:kern w:val="0"/>
          <w:sz w:val="24"/>
          <w:szCs w:val="24"/>
        </w:rPr>
        <w:t>信息自由法案</w:t>
      </w:r>
      <w:r>
        <w:rPr>
          <w:rFonts w:hint="eastAsia" w:ascii="宋体" w:hAnsi="宋体" w:eastAsia="宋体"/>
          <w:snapToGrid w:val="0"/>
          <w:kern w:val="0"/>
          <w:sz w:val="24"/>
          <w:szCs w:val="24"/>
        </w:rPr>
        <w:t>”</w:t>
      </w:r>
      <w:r>
        <w:rPr>
          <w:rFonts w:hint="eastAsia" w:eastAsia="宋体"/>
          <w:snapToGrid w:val="0"/>
          <w:kern w:val="0"/>
          <w:sz w:val="24"/>
          <w:szCs w:val="24"/>
        </w:rPr>
        <w:t>（</w:t>
      </w:r>
      <w:r>
        <w:rPr>
          <w:rFonts w:eastAsia="宋体"/>
          <w:snapToGrid w:val="0"/>
          <w:kern w:val="0"/>
          <w:sz w:val="24"/>
          <w:szCs w:val="24"/>
        </w:rPr>
        <w:t>FOIA</w:t>
      </w:r>
      <w:r>
        <w:rPr>
          <w:rFonts w:hint="eastAsia" w:eastAsia="宋体"/>
          <w:snapToGrid w:val="0"/>
          <w:kern w:val="0"/>
          <w:sz w:val="24"/>
          <w:szCs w:val="24"/>
        </w:rPr>
        <w:t>）</w:t>
      </w:r>
      <w:r>
        <w:rPr>
          <w:rFonts w:eastAsia="宋体"/>
          <w:snapToGrid w:val="0"/>
          <w:kern w:val="0"/>
          <w:sz w:val="24"/>
          <w:szCs w:val="24"/>
        </w:rPr>
        <w:t>程序</w:t>
      </w:r>
      <w:r>
        <w:rPr>
          <w:rFonts w:hint="eastAsia" w:eastAsia="宋体"/>
          <w:snapToGrid w:val="0"/>
          <w:kern w:val="0"/>
          <w:sz w:val="24"/>
          <w:szCs w:val="24"/>
        </w:rPr>
        <w:t>获得。</w:t>
      </w:r>
      <w:r>
        <w:rPr>
          <w:rFonts w:eastAsia="宋体"/>
          <w:snapToGrid w:val="0"/>
          <w:kern w:val="0"/>
          <w:sz w:val="24"/>
          <w:szCs w:val="24"/>
        </w:rPr>
        <w:t>一旦</w:t>
      </w:r>
      <w:r>
        <w:rPr>
          <w:rFonts w:hint="eastAsia" w:eastAsia="宋体"/>
          <w:snapToGrid w:val="0"/>
          <w:kern w:val="0"/>
          <w:sz w:val="24"/>
          <w:szCs w:val="24"/>
        </w:rPr>
        <w:t>研究文件关闭，</w:t>
      </w:r>
      <w:r>
        <w:rPr>
          <w:rFonts w:eastAsia="宋体"/>
          <w:snapToGrid w:val="0"/>
          <w:kern w:val="0"/>
          <w:sz w:val="24"/>
          <w:szCs w:val="24"/>
        </w:rPr>
        <w:t>FDA和IRB之</w:t>
      </w:r>
      <w:r>
        <w:rPr>
          <w:rFonts w:hint="eastAsia" w:eastAsia="宋体"/>
          <w:snapToGrid w:val="0"/>
          <w:kern w:val="0"/>
          <w:sz w:val="24"/>
          <w:szCs w:val="24"/>
        </w:rPr>
        <w:t>间的通信以及叙述性检查报告也可以通过FOI获得。</w:t>
      </w:r>
    </w:p>
    <w:p w14:paraId="6AC31DF0">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26.如果</w:t>
      </w:r>
      <w:r>
        <w:rPr>
          <w:rFonts w:hint="eastAsia" w:eastAsia="宋体"/>
          <w:b/>
          <w:snapToGrid w:val="0"/>
          <w:kern w:val="0"/>
          <w:sz w:val="24"/>
          <w:szCs w:val="24"/>
        </w:rPr>
        <w:t>一个</w:t>
      </w:r>
      <w:r>
        <w:rPr>
          <w:rFonts w:eastAsia="宋体"/>
          <w:b/>
          <w:snapToGrid w:val="0"/>
          <w:kern w:val="0"/>
          <w:sz w:val="24"/>
          <w:szCs w:val="24"/>
        </w:rPr>
        <w:t>IRB</w:t>
      </w:r>
      <w:r>
        <w:rPr>
          <w:rFonts w:hint="eastAsia" w:eastAsia="宋体"/>
          <w:b/>
          <w:snapToGrid w:val="0"/>
          <w:kern w:val="0"/>
          <w:sz w:val="24"/>
          <w:szCs w:val="24"/>
        </w:rPr>
        <w:t>未</w:t>
      </w:r>
      <w:r>
        <w:rPr>
          <w:rFonts w:eastAsia="宋体"/>
          <w:b/>
          <w:snapToGrid w:val="0"/>
          <w:kern w:val="0"/>
          <w:sz w:val="24"/>
          <w:szCs w:val="24"/>
        </w:rPr>
        <w:t>批准提交</w:t>
      </w:r>
      <w:r>
        <w:rPr>
          <w:rFonts w:hint="eastAsia" w:eastAsia="宋体"/>
          <w:b/>
          <w:snapToGrid w:val="0"/>
          <w:kern w:val="0"/>
          <w:sz w:val="24"/>
          <w:szCs w:val="24"/>
        </w:rPr>
        <w:t>给它的研究，而该研究随后被呈送给另一个</w:t>
      </w:r>
      <w:r>
        <w:rPr>
          <w:rFonts w:eastAsia="宋体"/>
          <w:b/>
          <w:snapToGrid w:val="0"/>
          <w:kern w:val="0"/>
          <w:sz w:val="24"/>
          <w:szCs w:val="24"/>
        </w:rPr>
        <w:t>IRB</w:t>
      </w:r>
      <w:r>
        <w:rPr>
          <w:rFonts w:hint="eastAsia" w:eastAsia="宋体"/>
          <w:b/>
          <w:snapToGrid w:val="0"/>
          <w:kern w:val="0"/>
          <w:sz w:val="24"/>
          <w:szCs w:val="24"/>
        </w:rPr>
        <w:t>审查，应将该未批准结果告知第二个</w:t>
      </w:r>
      <w:r>
        <w:rPr>
          <w:rFonts w:eastAsia="宋体"/>
          <w:b/>
          <w:snapToGrid w:val="0"/>
          <w:kern w:val="0"/>
          <w:sz w:val="24"/>
          <w:szCs w:val="24"/>
        </w:rPr>
        <w:t>IRB</w:t>
      </w:r>
      <w:r>
        <w:rPr>
          <w:rFonts w:hint="eastAsia" w:eastAsia="宋体"/>
          <w:b/>
          <w:snapToGrid w:val="0"/>
          <w:kern w:val="0"/>
          <w:sz w:val="24"/>
          <w:szCs w:val="24"/>
        </w:rPr>
        <w:t>吗？</w:t>
      </w:r>
    </w:p>
    <w:p w14:paraId="76E98372">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是。当一个</w:t>
      </w:r>
      <w:r>
        <w:rPr>
          <w:rFonts w:eastAsia="宋体"/>
          <w:snapToGrid w:val="0"/>
          <w:kern w:val="0"/>
          <w:sz w:val="24"/>
          <w:szCs w:val="24"/>
        </w:rPr>
        <w:t>IRB</w:t>
      </w:r>
      <w:r>
        <w:rPr>
          <w:rFonts w:hint="eastAsia" w:eastAsia="宋体"/>
          <w:snapToGrid w:val="0"/>
          <w:kern w:val="0"/>
          <w:sz w:val="24"/>
          <w:szCs w:val="24"/>
        </w:rPr>
        <w:t>驳回一项</w:t>
      </w:r>
      <w:r>
        <w:rPr>
          <w:rFonts w:eastAsia="宋体"/>
          <w:snapToGrid w:val="0"/>
          <w:kern w:val="0"/>
          <w:sz w:val="24"/>
          <w:szCs w:val="24"/>
        </w:rPr>
        <w:t>研究</w:t>
      </w:r>
      <w:r>
        <w:rPr>
          <w:rFonts w:hint="eastAsia" w:eastAsia="宋体"/>
          <w:snapToGrid w:val="0"/>
          <w:kern w:val="0"/>
          <w:sz w:val="24"/>
          <w:szCs w:val="24"/>
        </w:rPr>
        <w:t>时，必须向研究者和机构提供关于其决定原因的书面声明</w:t>
      </w:r>
      <w:r>
        <w:rPr>
          <w:rFonts w:eastAsia="宋体"/>
          <w:snapToGrid w:val="0"/>
          <w:kern w:val="0"/>
          <w:sz w:val="24"/>
          <w:szCs w:val="24"/>
        </w:rPr>
        <w:t>【21 CFR 56.109 （e）】。如果</w:t>
      </w:r>
      <w:r>
        <w:rPr>
          <w:rFonts w:hint="eastAsia" w:eastAsia="宋体"/>
          <w:snapToGrid w:val="0"/>
          <w:kern w:val="0"/>
          <w:sz w:val="24"/>
          <w:szCs w:val="24"/>
        </w:rPr>
        <w:t>将该</w:t>
      </w:r>
      <w:r>
        <w:rPr>
          <w:rFonts w:eastAsia="宋体"/>
          <w:snapToGrid w:val="0"/>
          <w:kern w:val="0"/>
          <w:sz w:val="24"/>
          <w:szCs w:val="24"/>
        </w:rPr>
        <w:t>研究</w:t>
      </w:r>
      <w:r>
        <w:rPr>
          <w:rFonts w:hint="eastAsia" w:eastAsia="宋体"/>
          <w:snapToGrid w:val="0"/>
          <w:kern w:val="0"/>
          <w:sz w:val="24"/>
          <w:szCs w:val="24"/>
        </w:rPr>
        <w:t>提交给第二个</w:t>
      </w:r>
      <w:r>
        <w:rPr>
          <w:rFonts w:eastAsia="宋体"/>
          <w:snapToGrid w:val="0"/>
          <w:kern w:val="0"/>
          <w:sz w:val="24"/>
          <w:szCs w:val="24"/>
        </w:rPr>
        <w:t>IRB，</w:t>
      </w:r>
      <w:r>
        <w:rPr>
          <w:rFonts w:hint="eastAsia" w:eastAsia="宋体"/>
          <w:snapToGrid w:val="0"/>
          <w:kern w:val="0"/>
          <w:sz w:val="24"/>
          <w:szCs w:val="24"/>
        </w:rPr>
        <w:t>则此份书面声明的副本应包含在研究文件中，以便能够对该研究做出知情决策。</w:t>
      </w:r>
      <w:r>
        <w:rPr>
          <w:rFonts w:eastAsia="宋体"/>
          <w:snapToGrid w:val="0"/>
          <w:kern w:val="0"/>
          <w:sz w:val="24"/>
          <w:szCs w:val="24"/>
        </w:rPr>
        <w:t>21 CFR 56.109（a）要求IRB</w:t>
      </w:r>
      <w:r>
        <w:rPr>
          <w:rFonts w:hint="eastAsia" w:ascii="宋体" w:hAnsi="宋体" w:eastAsia="宋体"/>
          <w:snapToGrid w:val="0"/>
          <w:kern w:val="0"/>
          <w:sz w:val="24"/>
          <w:szCs w:val="24"/>
        </w:rPr>
        <w:t>“</w:t>
      </w:r>
      <w:r>
        <w:rPr>
          <w:rFonts w:eastAsia="宋体"/>
          <w:snapToGrid w:val="0"/>
          <w:kern w:val="0"/>
          <w:sz w:val="24"/>
          <w:szCs w:val="24"/>
        </w:rPr>
        <w:t>...</w:t>
      </w:r>
      <w:r>
        <w:rPr>
          <w:rFonts w:hint="eastAsia" w:eastAsia="宋体"/>
          <w:snapToGrid w:val="0"/>
          <w:kern w:val="0"/>
          <w:sz w:val="24"/>
          <w:szCs w:val="24"/>
        </w:rPr>
        <w:t>审查</w:t>
      </w:r>
      <w:r>
        <w:rPr>
          <w:rFonts w:eastAsia="宋体"/>
          <w:snapToGrid w:val="0"/>
          <w:kern w:val="0"/>
          <w:sz w:val="24"/>
          <w:szCs w:val="24"/>
        </w:rPr>
        <w:t>...所有研究活</w:t>
      </w:r>
      <w:r>
        <w:rPr>
          <w:rFonts w:hint="eastAsia" w:eastAsia="宋体"/>
          <w:snapToGrid w:val="0"/>
          <w:kern w:val="0"/>
          <w:sz w:val="24"/>
          <w:szCs w:val="24"/>
        </w:rPr>
        <w:t>动</w:t>
      </w:r>
      <w:r>
        <w:rPr>
          <w:rFonts w:eastAsia="宋体"/>
          <w:snapToGrid w:val="0"/>
          <w:kern w:val="0"/>
          <w:sz w:val="24"/>
          <w:szCs w:val="24"/>
        </w:rPr>
        <w:t>【</w:t>
      </w:r>
      <w:r>
        <w:rPr>
          <w:rFonts w:hint="eastAsia" w:eastAsia="宋体"/>
          <w:snapToGrid w:val="0"/>
          <w:kern w:val="0"/>
          <w:sz w:val="24"/>
          <w:szCs w:val="24"/>
        </w:rPr>
        <w:t>着重强调</w:t>
      </w:r>
      <w:r>
        <w:rPr>
          <w:rFonts w:eastAsia="宋体"/>
          <w:snapToGrid w:val="0"/>
          <w:kern w:val="0"/>
          <w:sz w:val="24"/>
          <w:szCs w:val="24"/>
        </w:rPr>
        <w:t>】</w:t>
      </w:r>
      <w:r>
        <w:rPr>
          <w:rFonts w:hint="eastAsia" w:ascii="宋体" w:hAnsi="宋体" w:eastAsia="宋体"/>
          <w:snapToGrid w:val="0"/>
          <w:kern w:val="0"/>
          <w:sz w:val="24"/>
          <w:szCs w:val="24"/>
        </w:rPr>
        <w:t>”</w:t>
      </w:r>
      <w:r>
        <w:rPr>
          <w:rFonts w:hint="eastAsia" w:eastAsia="宋体"/>
          <w:snapToGrid w:val="0"/>
          <w:kern w:val="0"/>
          <w:sz w:val="24"/>
          <w:szCs w:val="24"/>
        </w:rPr>
        <w:t>，</w:t>
      </w:r>
      <w:r>
        <w:rPr>
          <w:rFonts w:eastAsia="宋体"/>
          <w:snapToGrid w:val="0"/>
          <w:kern w:val="0"/>
          <w:sz w:val="24"/>
          <w:szCs w:val="24"/>
        </w:rPr>
        <w:t>FDA法规</w:t>
      </w:r>
      <w:r>
        <w:rPr>
          <w:rFonts w:hint="eastAsia" w:eastAsia="宋体"/>
          <w:snapToGrid w:val="0"/>
          <w:kern w:val="0"/>
          <w:sz w:val="24"/>
          <w:szCs w:val="24"/>
        </w:rPr>
        <w:t>没有禁止一项研究在未获批准后再向另一个</w:t>
      </w:r>
      <w:r>
        <w:rPr>
          <w:rFonts w:eastAsia="宋体"/>
          <w:snapToGrid w:val="0"/>
          <w:kern w:val="0"/>
          <w:sz w:val="24"/>
          <w:szCs w:val="24"/>
        </w:rPr>
        <w:t>IRB提交</w:t>
      </w:r>
      <w:r>
        <w:rPr>
          <w:rFonts w:hint="eastAsia" w:eastAsia="宋体"/>
          <w:snapToGrid w:val="0"/>
          <w:kern w:val="0"/>
          <w:sz w:val="24"/>
          <w:szCs w:val="24"/>
        </w:rPr>
        <w:t>，但是，该研究的所有相关信息均应</w:t>
      </w:r>
      <w:r>
        <w:rPr>
          <w:rFonts w:eastAsia="宋体"/>
          <w:snapToGrid w:val="0"/>
          <w:kern w:val="0"/>
          <w:sz w:val="24"/>
          <w:szCs w:val="24"/>
        </w:rPr>
        <w:t>提供</w:t>
      </w:r>
      <w:r>
        <w:rPr>
          <w:rFonts w:hint="eastAsia" w:eastAsia="宋体"/>
          <w:snapToGrid w:val="0"/>
          <w:kern w:val="0"/>
          <w:sz w:val="24"/>
          <w:szCs w:val="24"/>
        </w:rPr>
        <w:t>给第二个</w:t>
      </w:r>
      <w:r>
        <w:rPr>
          <w:rFonts w:eastAsia="宋体"/>
          <w:snapToGrid w:val="0"/>
          <w:kern w:val="0"/>
          <w:sz w:val="24"/>
          <w:szCs w:val="24"/>
        </w:rPr>
        <w:t>IRB。</w:t>
      </w:r>
    </w:p>
    <w:p w14:paraId="7D0E7B9D">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27.</w:t>
      </w:r>
      <w:r>
        <w:rPr>
          <w:rFonts w:hint="eastAsia" w:eastAsia="宋体"/>
          <w:b/>
          <w:snapToGrid w:val="0"/>
          <w:kern w:val="0"/>
          <w:sz w:val="24"/>
          <w:szCs w:val="24"/>
        </w:rPr>
        <w:t>独立</w:t>
      </w:r>
      <w:r>
        <w:rPr>
          <w:rFonts w:eastAsia="宋体"/>
          <w:b/>
          <w:snapToGrid w:val="0"/>
          <w:kern w:val="0"/>
          <w:sz w:val="24"/>
          <w:szCs w:val="24"/>
        </w:rPr>
        <w:t>IRB可以</w:t>
      </w:r>
      <w:r>
        <w:rPr>
          <w:rFonts w:hint="eastAsia" w:eastAsia="宋体"/>
          <w:b/>
          <w:snapToGrid w:val="0"/>
          <w:kern w:val="0"/>
          <w:sz w:val="24"/>
          <w:szCs w:val="24"/>
        </w:rPr>
        <w:t>审查在有</w:t>
      </w:r>
      <w:r>
        <w:rPr>
          <w:rFonts w:eastAsia="宋体"/>
          <w:b/>
          <w:snapToGrid w:val="0"/>
          <w:kern w:val="0"/>
          <w:sz w:val="24"/>
          <w:szCs w:val="24"/>
        </w:rPr>
        <w:t>IRB</w:t>
      </w:r>
      <w:r>
        <w:rPr>
          <w:rFonts w:hint="eastAsia" w:eastAsia="宋体"/>
          <w:b/>
          <w:snapToGrid w:val="0"/>
          <w:kern w:val="0"/>
          <w:sz w:val="24"/>
          <w:szCs w:val="24"/>
        </w:rPr>
        <w:t>的</w:t>
      </w:r>
      <w:r>
        <w:rPr>
          <w:rFonts w:eastAsia="宋体"/>
          <w:b/>
          <w:snapToGrid w:val="0"/>
          <w:kern w:val="0"/>
          <w:sz w:val="24"/>
          <w:szCs w:val="24"/>
        </w:rPr>
        <w:t>机构</w:t>
      </w:r>
      <w:r>
        <w:rPr>
          <w:rFonts w:hint="eastAsia" w:eastAsia="宋体"/>
          <w:b/>
          <w:snapToGrid w:val="0"/>
          <w:kern w:val="0"/>
          <w:sz w:val="24"/>
          <w:szCs w:val="24"/>
        </w:rPr>
        <w:t>进行的研究吗？</w:t>
      </w:r>
    </w:p>
    <w:p w14:paraId="56E9CA45">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通常不行。</w:t>
      </w:r>
      <w:r>
        <w:rPr>
          <w:rFonts w:eastAsia="宋体"/>
          <w:snapToGrid w:val="0"/>
          <w:kern w:val="0"/>
          <w:sz w:val="24"/>
          <w:szCs w:val="24"/>
        </w:rPr>
        <w:t>大多</w:t>
      </w:r>
      <w:r>
        <w:rPr>
          <w:rFonts w:hint="eastAsia" w:eastAsia="宋体"/>
          <w:snapToGrid w:val="0"/>
          <w:kern w:val="0"/>
          <w:sz w:val="24"/>
          <w:szCs w:val="24"/>
        </w:rPr>
        <w:t>数机构</w:t>
      </w:r>
      <w:r>
        <w:rPr>
          <w:rFonts w:eastAsia="宋体"/>
          <w:snapToGrid w:val="0"/>
          <w:kern w:val="0"/>
          <w:sz w:val="24"/>
          <w:szCs w:val="24"/>
        </w:rPr>
        <w:t>IRB</w:t>
      </w:r>
      <w:r>
        <w:rPr>
          <w:rFonts w:hint="eastAsia" w:eastAsia="宋体"/>
          <w:snapToGrid w:val="0"/>
          <w:kern w:val="0"/>
          <w:sz w:val="24"/>
          <w:szCs w:val="24"/>
        </w:rPr>
        <w:t>对该机构内进行的所有研究具有管辖权。</w:t>
      </w:r>
      <w:r>
        <w:rPr>
          <w:rFonts w:eastAsia="宋体"/>
          <w:snapToGrid w:val="0"/>
          <w:kern w:val="0"/>
          <w:sz w:val="24"/>
          <w:szCs w:val="24"/>
        </w:rPr>
        <w:t>只有</w:t>
      </w:r>
      <w:r>
        <w:rPr>
          <w:rFonts w:hint="eastAsia" w:eastAsia="宋体"/>
          <w:snapToGrid w:val="0"/>
          <w:kern w:val="0"/>
          <w:sz w:val="24"/>
          <w:szCs w:val="24"/>
        </w:rPr>
        <w:t>经过机构管理程序或内部</w:t>
      </w:r>
      <w:r>
        <w:rPr>
          <w:rFonts w:eastAsia="宋体"/>
          <w:snapToGrid w:val="0"/>
          <w:kern w:val="0"/>
          <w:sz w:val="24"/>
          <w:szCs w:val="24"/>
        </w:rPr>
        <w:t>IRB的</w:t>
      </w:r>
      <w:r>
        <w:rPr>
          <w:rFonts w:hint="eastAsia" w:eastAsia="宋体"/>
          <w:snapToGrid w:val="0"/>
          <w:kern w:val="0"/>
          <w:sz w:val="24"/>
          <w:szCs w:val="24"/>
        </w:rPr>
        <w:t>书面协定，一个独立</w:t>
      </w:r>
      <w:r>
        <w:rPr>
          <w:rFonts w:eastAsia="宋体"/>
          <w:snapToGrid w:val="0"/>
          <w:kern w:val="0"/>
          <w:sz w:val="24"/>
          <w:szCs w:val="24"/>
        </w:rPr>
        <w:t>IRB才能成</w:t>
      </w:r>
      <w:r>
        <w:rPr>
          <w:rFonts w:hint="eastAsia" w:eastAsia="宋体"/>
          <w:snapToGrid w:val="0"/>
          <w:kern w:val="0"/>
          <w:sz w:val="24"/>
          <w:szCs w:val="24"/>
        </w:rPr>
        <w:t>为此类研究有案可查的</w:t>
      </w:r>
      <w:r>
        <w:rPr>
          <w:rFonts w:eastAsia="宋体"/>
          <w:snapToGrid w:val="0"/>
          <w:kern w:val="0"/>
          <w:sz w:val="24"/>
          <w:szCs w:val="24"/>
        </w:rPr>
        <w:t>IRB。</w:t>
      </w:r>
    </w:p>
    <w:p w14:paraId="28A8AD26">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28.</w:t>
      </w:r>
      <w:r>
        <w:rPr>
          <w:rFonts w:hint="eastAsia" w:eastAsia="宋体"/>
          <w:b/>
          <w:snapToGrid w:val="0"/>
          <w:kern w:val="0"/>
          <w:sz w:val="24"/>
          <w:szCs w:val="24"/>
        </w:rPr>
        <w:t>当有利益冲突的成员离开审议和投票的房间时，</w:t>
      </w:r>
      <w:r>
        <w:rPr>
          <w:rFonts w:eastAsia="宋体"/>
          <w:b/>
          <w:snapToGrid w:val="0"/>
          <w:kern w:val="0"/>
          <w:sz w:val="24"/>
          <w:szCs w:val="24"/>
        </w:rPr>
        <w:t>IRB</w:t>
      </w:r>
      <w:r>
        <w:rPr>
          <w:rFonts w:hint="eastAsia" w:eastAsia="宋体"/>
          <w:b/>
          <w:snapToGrid w:val="0"/>
          <w:kern w:val="0"/>
          <w:sz w:val="24"/>
          <w:szCs w:val="24"/>
        </w:rPr>
        <w:t>的法定人数会受损吗？</w:t>
      </w:r>
    </w:p>
    <w:p w14:paraId="74CEE5F0">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w:t>
      </w:r>
      <w:r>
        <w:rPr>
          <w:rFonts w:hint="eastAsia" w:ascii="宋体" w:hAnsi="宋体" w:eastAsia="宋体"/>
          <w:snapToGrid w:val="0"/>
          <w:kern w:val="0"/>
          <w:sz w:val="24"/>
          <w:szCs w:val="24"/>
        </w:rPr>
        <w:t>“</w:t>
      </w:r>
      <w:r>
        <w:rPr>
          <w:rFonts w:eastAsia="宋体"/>
          <w:snapToGrid w:val="0"/>
          <w:kern w:val="0"/>
          <w:sz w:val="24"/>
          <w:szCs w:val="24"/>
        </w:rPr>
        <w:t>法定人</w:t>
      </w:r>
      <w:r>
        <w:rPr>
          <w:rFonts w:hint="eastAsia" w:eastAsia="宋体"/>
          <w:snapToGrid w:val="0"/>
          <w:kern w:val="0"/>
          <w:sz w:val="24"/>
          <w:szCs w:val="24"/>
        </w:rPr>
        <w:t>数是出席的成员人数，若出席人数低于多数，则法定人数不成立。法规只要求有冲突的成员不参加其所参与的研究审议和表决，</w:t>
      </w:r>
      <w:r>
        <w:rPr>
          <w:rFonts w:eastAsia="宋体"/>
          <w:snapToGrid w:val="0"/>
          <w:kern w:val="0"/>
          <w:sz w:val="24"/>
          <w:szCs w:val="24"/>
        </w:rPr>
        <w:t>IRB可以</w:t>
      </w:r>
      <w:r>
        <w:rPr>
          <w:rFonts w:hint="eastAsia" w:eastAsia="宋体"/>
          <w:snapToGrid w:val="0"/>
          <w:kern w:val="0"/>
          <w:sz w:val="24"/>
          <w:szCs w:val="24"/>
        </w:rPr>
        <w:t>决定某个人是否应该留在房间里。</w:t>
      </w:r>
      <w:r>
        <w:rPr>
          <w:rFonts w:hint="eastAsia" w:ascii="宋体" w:hAnsi="宋体" w:eastAsia="宋体"/>
          <w:snapToGrid w:val="0"/>
          <w:kern w:val="0"/>
          <w:sz w:val="24"/>
          <w:szCs w:val="24"/>
        </w:rPr>
        <w:t>”</w:t>
      </w:r>
    </w:p>
    <w:p w14:paraId="3F7392F8">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29. </w:t>
      </w:r>
      <w:r>
        <w:rPr>
          <w:rFonts w:eastAsia="宋体"/>
          <w:b/>
          <w:snapToGrid w:val="0"/>
          <w:kern w:val="0"/>
          <w:sz w:val="24"/>
          <w:szCs w:val="24"/>
        </w:rPr>
        <w:t>FDA是否希望IRB主席</w:t>
      </w:r>
      <w:r>
        <w:rPr>
          <w:rFonts w:hint="eastAsia" w:eastAsia="宋体"/>
          <w:b/>
          <w:snapToGrid w:val="0"/>
          <w:kern w:val="0"/>
          <w:sz w:val="24"/>
          <w:szCs w:val="24"/>
        </w:rPr>
        <w:t>签署批准信？</w:t>
      </w:r>
    </w:p>
    <w:p w14:paraId="39CC026D">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w:t>
      </w:r>
      <w:r>
        <w:rPr>
          <w:rFonts w:hint="eastAsia" w:eastAsia="宋体"/>
          <w:snapToGrid w:val="0"/>
          <w:kern w:val="0"/>
          <w:sz w:val="24"/>
          <w:szCs w:val="24"/>
        </w:rPr>
        <w:t>没有规定</w:t>
      </w:r>
      <w:r>
        <w:rPr>
          <w:rFonts w:eastAsia="宋体"/>
          <w:snapToGrid w:val="0"/>
          <w:kern w:val="0"/>
          <w:sz w:val="24"/>
          <w:szCs w:val="24"/>
        </w:rPr>
        <w:t>IRB在</w:t>
      </w:r>
      <w:r>
        <w:rPr>
          <w:rFonts w:hint="eastAsia" w:eastAsia="宋体"/>
          <w:snapToGrid w:val="0"/>
          <w:kern w:val="0"/>
          <w:sz w:val="24"/>
          <w:szCs w:val="24"/>
        </w:rPr>
        <w:t>签署</w:t>
      </w:r>
      <w:r>
        <w:rPr>
          <w:rFonts w:eastAsia="宋体"/>
          <w:snapToGrid w:val="0"/>
          <w:kern w:val="0"/>
          <w:sz w:val="24"/>
          <w:szCs w:val="24"/>
        </w:rPr>
        <w:t>IRB批准信</w:t>
      </w:r>
      <w:r>
        <w:rPr>
          <w:rFonts w:hint="eastAsia" w:eastAsia="宋体"/>
          <w:snapToGrid w:val="0"/>
          <w:kern w:val="0"/>
          <w:sz w:val="24"/>
          <w:szCs w:val="24"/>
        </w:rPr>
        <w:t>时必须使用的程序。</w:t>
      </w:r>
      <w:r>
        <w:rPr>
          <w:rFonts w:eastAsia="宋体"/>
          <w:snapToGrid w:val="0"/>
          <w:kern w:val="0"/>
          <w:sz w:val="24"/>
          <w:szCs w:val="24"/>
        </w:rPr>
        <w:t>IRB的</w:t>
      </w:r>
      <w:r>
        <w:rPr>
          <w:rFonts w:hint="eastAsia" w:eastAsia="宋体"/>
          <w:snapToGrid w:val="0"/>
          <w:kern w:val="0"/>
          <w:sz w:val="24"/>
          <w:szCs w:val="24"/>
        </w:rPr>
        <w:t>书面操作程序应概述其遵循的程序。</w:t>
      </w:r>
    </w:p>
    <w:p w14:paraId="43D0F77B">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30. FDA是否禁止</w:t>
      </w:r>
      <w:r>
        <w:rPr>
          <w:rFonts w:hint="eastAsia" w:eastAsia="宋体"/>
          <w:b/>
          <w:snapToGrid w:val="0"/>
          <w:kern w:val="0"/>
          <w:sz w:val="24"/>
          <w:szCs w:val="24"/>
        </w:rPr>
        <w:t>申办者和</w:t>
      </w:r>
      <w:r>
        <w:rPr>
          <w:rFonts w:eastAsia="宋体"/>
          <w:b/>
          <w:snapToGrid w:val="0"/>
          <w:kern w:val="0"/>
          <w:sz w:val="24"/>
          <w:szCs w:val="24"/>
        </w:rPr>
        <w:t>IRB之</w:t>
      </w:r>
      <w:r>
        <w:rPr>
          <w:rFonts w:hint="eastAsia" w:eastAsia="宋体"/>
          <w:b/>
          <w:snapToGrid w:val="0"/>
          <w:kern w:val="0"/>
          <w:sz w:val="24"/>
          <w:szCs w:val="24"/>
        </w:rPr>
        <w:t>间的直接沟通？</w:t>
      </w:r>
    </w:p>
    <w:p w14:paraId="341DD525">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重要的是要在临床研究者和</w:t>
      </w:r>
      <w:r>
        <w:rPr>
          <w:rFonts w:eastAsia="宋体"/>
          <w:snapToGrid w:val="0"/>
          <w:kern w:val="0"/>
          <w:sz w:val="24"/>
          <w:szCs w:val="24"/>
        </w:rPr>
        <w:t>IRB之</w:t>
      </w:r>
      <w:r>
        <w:rPr>
          <w:rFonts w:hint="eastAsia" w:eastAsia="宋体"/>
          <w:snapToGrid w:val="0"/>
          <w:kern w:val="0"/>
          <w:sz w:val="24"/>
          <w:szCs w:val="24"/>
        </w:rPr>
        <w:t>间建立正式的沟通渠道。临床研究者应直接向负责的</w:t>
      </w:r>
      <w:r>
        <w:rPr>
          <w:rFonts w:eastAsia="宋体"/>
          <w:snapToGrid w:val="0"/>
          <w:kern w:val="0"/>
          <w:sz w:val="24"/>
          <w:szCs w:val="24"/>
        </w:rPr>
        <w:t>IRB</w:t>
      </w:r>
      <w:r>
        <w:rPr>
          <w:rFonts w:hint="eastAsia" w:eastAsia="宋体"/>
          <w:snapToGrid w:val="0"/>
          <w:kern w:val="0"/>
          <w:sz w:val="24"/>
          <w:szCs w:val="24"/>
        </w:rPr>
        <w:t>报告不良事件，并将进度报告直接发送给</w:t>
      </w:r>
      <w:r>
        <w:rPr>
          <w:rFonts w:eastAsia="宋体"/>
          <w:snapToGrid w:val="0"/>
          <w:kern w:val="0"/>
          <w:sz w:val="24"/>
          <w:szCs w:val="24"/>
        </w:rPr>
        <w:t>IRB。然而，FDA</w:t>
      </w:r>
      <w:r>
        <w:rPr>
          <w:rFonts w:hint="eastAsia" w:eastAsia="宋体"/>
          <w:snapToGrid w:val="0"/>
          <w:kern w:val="0"/>
          <w:sz w:val="24"/>
          <w:szCs w:val="24"/>
        </w:rPr>
        <w:t>未</w:t>
      </w:r>
      <w:r>
        <w:rPr>
          <w:rFonts w:eastAsia="宋体"/>
          <w:snapToGrid w:val="0"/>
          <w:kern w:val="0"/>
          <w:sz w:val="24"/>
          <w:szCs w:val="24"/>
        </w:rPr>
        <w:t>禁止</w:t>
      </w:r>
      <w:r>
        <w:rPr>
          <w:rFonts w:hint="eastAsia" w:eastAsia="宋体"/>
          <w:snapToGrid w:val="0"/>
          <w:kern w:val="0"/>
          <w:sz w:val="24"/>
          <w:szCs w:val="24"/>
        </w:rPr>
        <w:t>申办者和</w:t>
      </w:r>
      <w:r>
        <w:rPr>
          <w:rFonts w:eastAsia="宋体"/>
          <w:snapToGrid w:val="0"/>
          <w:kern w:val="0"/>
          <w:sz w:val="24"/>
          <w:szCs w:val="24"/>
        </w:rPr>
        <w:t>IRB之</w:t>
      </w:r>
      <w:r>
        <w:rPr>
          <w:rFonts w:hint="eastAsia" w:eastAsia="宋体"/>
          <w:snapToGrid w:val="0"/>
          <w:kern w:val="0"/>
          <w:sz w:val="24"/>
          <w:szCs w:val="24"/>
        </w:rPr>
        <w:t>间的直接沟通，并且认为此类做法可以有效地解决某些问题。</w:t>
      </w:r>
    </w:p>
    <w:p w14:paraId="1E36D471">
      <w:pPr>
        <w:spacing w:after="0" w:line="240" w:lineRule="auto"/>
        <w:rPr>
          <w:rFonts w:ascii="Arial" w:hAnsi="Arial" w:eastAsia="宋体" w:cs="Arial"/>
          <w:snapToGrid w:val="0"/>
          <w:szCs w:val="24"/>
        </w:rPr>
      </w:pPr>
      <w:r>
        <w:rPr>
          <w:rFonts w:eastAsia="宋体"/>
          <w:snapToGrid w:val="0"/>
          <w:szCs w:val="24"/>
        </w:rPr>
        <w:br w:type="page"/>
      </w:r>
    </w:p>
    <w:p w14:paraId="04D9766F">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FDA确</w:t>
      </w:r>
      <w:r>
        <w:rPr>
          <w:rFonts w:hint="eastAsia" w:eastAsia="宋体"/>
          <w:snapToGrid w:val="0"/>
          <w:kern w:val="0"/>
          <w:sz w:val="24"/>
          <w:szCs w:val="24"/>
        </w:rPr>
        <w:t>实要求申办者和</w:t>
      </w:r>
      <w:r>
        <w:rPr>
          <w:rFonts w:eastAsia="宋体"/>
          <w:snapToGrid w:val="0"/>
          <w:kern w:val="0"/>
          <w:sz w:val="24"/>
          <w:szCs w:val="24"/>
        </w:rPr>
        <w:t>IRB之</w:t>
      </w:r>
      <w:r>
        <w:rPr>
          <w:rFonts w:hint="eastAsia" w:eastAsia="宋体"/>
          <w:snapToGrid w:val="0"/>
          <w:kern w:val="0"/>
          <w:sz w:val="24"/>
          <w:szCs w:val="24"/>
        </w:rPr>
        <w:t>间就医疗器械的某些研究进行直接沟通，并在采用</w:t>
      </w:r>
      <w:r>
        <w:rPr>
          <w:rFonts w:eastAsia="宋体"/>
          <w:snapToGrid w:val="0"/>
          <w:kern w:val="0"/>
          <w:sz w:val="24"/>
          <w:szCs w:val="24"/>
        </w:rPr>
        <w:t>21 CFR 50.24知情同意豁免</w:t>
      </w:r>
      <w:r>
        <w:rPr>
          <w:rFonts w:hint="eastAsia" w:eastAsia="宋体"/>
          <w:snapToGrid w:val="0"/>
          <w:kern w:val="0"/>
          <w:sz w:val="24"/>
          <w:szCs w:val="24"/>
        </w:rPr>
        <w:t>时进行直接沟通。</w:t>
      </w:r>
      <w:r>
        <w:rPr>
          <w:rFonts w:eastAsia="宋体"/>
          <w:snapToGrid w:val="0"/>
          <w:kern w:val="0"/>
          <w:sz w:val="24"/>
          <w:szCs w:val="24"/>
        </w:rPr>
        <w:t>21 CFR 812.2,812.66和812.150（b）</w:t>
      </w:r>
      <w:r>
        <w:rPr>
          <w:rFonts w:hint="eastAsia" w:eastAsia="宋体"/>
          <w:snapToGrid w:val="0"/>
          <w:kern w:val="0"/>
          <w:sz w:val="24"/>
          <w:szCs w:val="24"/>
        </w:rPr>
        <w:t>要求申办者和</w:t>
      </w:r>
      <w:r>
        <w:rPr>
          <w:rFonts w:eastAsia="宋体"/>
          <w:snapToGrid w:val="0"/>
          <w:kern w:val="0"/>
          <w:sz w:val="24"/>
          <w:szCs w:val="24"/>
        </w:rPr>
        <w:t>IRB</w:t>
      </w:r>
      <w:r>
        <w:rPr>
          <w:rFonts w:hint="eastAsia" w:eastAsia="宋体"/>
          <w:snapToGrid w:val="0"/>
          <w:kern w:val="0"/>
          <w:sz w:val="24"/>
          <w:szCs w:val="24"/>
        </w:rPr>
        <w:t>就医疗器械的研究进行</w:t>
      </w:r>
      <w:r>
        <w:rPr>
          <w:rFonts w:eastAsia="宋体"/>
          <w:snapToGrid w:val="0"/>
          <w:kern w:val="0"/>
          <w:sz w:val="24"/>
          <w:szCs w:val="24"/>
        </w:rPr>
        <w:t>直接</w:t>
      </w:r>
      <w:r>
        <w:rPr>
          <w:rFonts w:hint="eastAsia" w:eastAsia="宋体"/>
          <w:snapToGrid w:val="0"/>
          <w:kern w:val="0"/>
          <w:sz w:val="24"/>
          <w:szCs w:val="24"/>
        </w:rPr>
        <w:t>沟通，对于知情同意豁免研究，根据</w:t>
      </w:r>
      <w:r>
        <w:rPr>
          <w:rFonts w:eastAsia="宋体"/>
          <w:snapToGrid w:val="0"/>
          <w:kern w:val="0"/>
          <w:sz w:val="24"/>
          <w:szCs w:val="24"/>
        </w:rPr>
        <w:t>21 CFR 50.24（e），56.109（e），56.109（g），312.54（b），312.130（d），812.38 （b）（4）和812.47（b）</w:t>
      </w:r>
      <w:r>
        <w:rPr>
          <w:rFonts w:hint="eastAsia" w:eastAsia="宋体"/>
          <w:snapToGrid w:val="0"/>
          <w:kern w:val="0"/>
          <w:sz w:val="24"/>
          <w:szCs w:val="24"/>
        </w:rPr>
        <w:t>的要求，申办者和</w:t>
      </w:r>
      <w:r>
        <w:rPr>
          <w:rFonts w:eastAsia="宋体"/>
          <w:snapToGrid w:val="0"/>
          <w:kern w:val="0"/>
          <w:sz w:val="24"/>
          <w:szCs w:val="24"/>
        </w:rPr>
        <w:t>IRB</w:t>
      </w:r>
      <w:r>
        <w:rPr>
          <w:rFonts w:hint="eastAsia" w:eastAsia="宋体"/>
          <w:snapToGrid w:val="0"/>
          <w:kern w:val="0"/>
          <w:sz w:val="24"/>
          <w:szCs w:val="24"/>
        </w:rPr>
        <w:t>应进行</w:t>
      </w:r>
      <w:r>
        <w:rPr>
          <w:rFonts w:eastAsia="宋体"/>
          <w:snapToGrid w:val="0"/>
          <w:kern w:val="0"/>
          <w:sz w:val="24"/>
          <w:szCs w:val="24"/>
        </w:rPr>
        <w:t>直接</w:t>
      </w:r>
      <w:r>
        <w:rPr>
          <w:rFonts w:hint="eastAsia" w:eastAsia="宋体"/>
          <w:snapToGrid w:val="0"/>
          <w:kern w:val="0"/>
          <w:sz w:val="24"/>
          <w:szCs w:val="24"/>
        </w:rPr>
        <w:t>沟通</w:t>
      </w:r>
      <w:r>
        <w:rPr>
          <w:rFonts w:eastAsia="宋体"/>
          <w:snapToGrid w:val="0"/>
          <w:kern w:val="0"/>
          <w:sz w:val="24"/>
          <w:szCs w:val="24"/>
        </w:rPr>
        <w:t>。</w:t>
      </w:r>
    </w:p>
    <w:p w14:paraId="4C2BC20E">
      <w:pPr>
        <w:pStyle w:val="41"/>
        <w:shd w:val="clear" w:color="auto" w:fill="auto"/>
        <w:topLinePunct/>
        <w:adjustRightInd w:val="0"/>
        <w:snapToGrid w:val="0"/>
        <w:spacing w:before="0" w:after="244" w:afterLines="75" w:line="300" w:lineRule="auto"/>
        <w:jc w:val="both"/>
        <w:rPr>
          <w:rFonts w:eastAsia="宋体"/>
          <w:b/>
          <w:snapToGrid w:val="0"/>
          <w:kern w:val="0"/>
          <w:sz w:val="24"/>
          <w:szCs w:val="28"/>
        </w:rPr>
      </w:pPr>
      <w:r>
        <w:rPr>
          <w:rFonts w:eastAsia="宋体"/>
          <w:b/>
          <w:snapToGrid w:val="0"/>
          <w:kern w:val="0"/>
          <w:sz w:val="24"/>
          <w:szCs w:val="28"/>
        </w:rPr>
        <w:t>IV. IRB</w:t>
      </w:r>
      <w:r>
        <w:rPr>
          <w:rFonts w:hint="eastAsia" w:eastAsia="宋体"/>
          <w:b/>
          <w:snapToGrid w:val="0"/>
          <w:kern w:val="0"/>
          <w:sz w:val="24"/>
          <w:szCs w:val="28"/>
        </w:rPr>
        <w:t>记录</w:t>
      </w:r>
    </w:p>
    <w:p w14:paraId="3129AFEA">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 xml:space="preserve">31. </w:t>
      </w:r>
      <w:r>
        <w:rPr>
          <w:rFonts w:hint="eastAsia" w:eastAsia="宋体"/>
          <w:b/>
          <w:snapToGrid w:val="0"/>
          <w:kern w:val="0"/>
          <w:sz w:val="24"/>
          <w:szCs w:val="24"/>
        </w:rPr>
        <w:t>在</w:t>
      </w:r>
      <w:r>
        <w:rPr>
          <w:rFonts w:eastAsia="宋体"/>
          <w:b/>
          <w:snapToGrid w:val="0"/>
          <w:kern w:val="0"/>
          <w:sz w:val="24"/>
          <w:szCs w:val="24"/>
        </w:rPr>
        <w:t>IRB每季度</w:t>
      </w:r>
      <w:r>
        <w:rPr>
          <w:rFonts w:hint="eastAsia" w:eastAsia="宋体"/>
          <w:b/>
          <w:snapToGrid w:val="0"/>
          <w:kern w:val="0"/>
          <w:sz w:val="24"/>
          <w:szCs w:val="24"/>
        </w:rPr>
        <w:t>审查了所有研究的情况下，是否需要进行年度</w:t>
      </w:r>
      <w:r>
        <w:rPr>
          <w:rFonts w:eastAsia="宋体"/>
          <w:b/>
          <w:snapToGrid w:val="0"/>
          <w:kern w:val="0"/>
          <w:sz w:val="24"/>
          <w:szCs w:val="24"/>
        </w:rPr>
        <w:t>IRB</w:t>
      </w:r>
      <w:r>
        <w:rPr>
          <w:rFonts w:hint="eastAsia" w:eastAsia="宋体"/>
          <w:b/>
          <w:snapToGrid w:val="0"/>
          <w:kern w:val="0"/>
          <w:sz w:val="24"/>
          <w:szCs w:val="24"/>
        </w:rPr>
        <w:t>审查？</w:t>
      </w:r>
    </w:p>
    <w:p w14:paraId="04667D76">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为便于下一次的持续审查，每项研究启动和持续审查的</w:t>
      </w:r>
      <w:r>
        <w:rPr>
          <w:rFonts w:eastAsia="宋体"/>
          <w:snapToGrid w:val="0"/>
          <w:kern w:val="0"/>
          <w:sz w:val="24"/>
          <w:szCs w:val="24"/>
        </w:rPr>
        <w:t>IRB</w:t>
      </w:r>
      <w:r>
        <w:rPr>
          <w:rFonts w:hint="eastAsia" w:eastAsia="宋体"/>
          <w:snapToGrid w:val="0"/>
          <w:kern w:val="0"/>
          <w:sz w:val="24"/>
          <w:szCs w:val="24"/>
        </w:rPr>
        <w:t>记录均应注明频率（不超过一年），无论是按月或其他情况，例如在特定数量的受试者入组后。</w:t>
      </w:r>
    </w:p>
    <w:p w14:paraId="3B28CC25">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IRB可以</w:t>
      </w:r>
      <w:r>
        <w:rPr>
          <w:rFonts w:hint="eastAsia" w:eastAsia="宋体"/>
          <w:snapToGrid w:val="0"/>
          <w:kern w:val="0"/>
          <w:sz w:val="24"/>
          <w:szCs w:val="24"/>
        </w:rPr>
        <w:t>决定每季度对所有研究进行审查。</w:t>
      </w:r>
      <w:r>
        <w:rPr>
          <w:rFonts w:eastAsia="宋体"/>
          <w:snapToGrid w:val="0"/>
          <w:kern w:val="0"/>
          <w:sz w:val="24"/>
          <w:szCs w:val="24"/>
        </w:rPr>
        <w:t>如果每</w:t>
      </w:r>
      <w:r>
        <w:rPr>
          <w:rFonts w:hint="eastAsia" w:eastAsia="宋体"/>
          <w:snapToGrid w:val="0"/>
          <w:kern w:val="0"/>
          <w:sz w:val="24"/>
          <w:szCs w:val="24"/>
        </w:rPr>
        <w:t>个季度报告都包含了足够的信息以进行适当的持续审查，并由</w:t>
      </w:r>
      <w:r>
        <w:rPr>
          <w:rFonts w:eastAsia="宋体"/>
          <w:snapToGrid w:val="0"/>
          <w:kern w:val="0"/>
          <w:sz w:val="24"/>
          <w:szCs w:val="24"/>
        </w:rPr>
        <w:t>IRB根据符合FDA持</w:t>
      </w:r>
      <w:r>
        <w:rPr>
          <w:rFonts w:hint="eastAsia" w:eastAsia="宋体"/>
          <w:snapToGrid w:val="0"/>
          <w:kern w:val="0"/>
          <w:sz w:val="24"/>
          <w:szCs w:val="24"/>
        </w:rPr>
        <w:t>续审查要求的程序审查，则</w:t>
      </w:r>
      <w:r>
        <w:rPr>
          <w:rFonts w:eastAsia="宋体"/>
          <w:snapToGrid w:val="0"/>
          <w:kern w:val="0"/>
          <w:sz w:val="24"/>
          <w:szCs w:val="24"/>
        </w:rPr>
        <w:t>FDA</w:t>
      </w:r>
      <w:r>
        <w:rPr>
          <w:rFonts w:hint="eastAsia" w:eastAsia="宋体"/>
          <w:snapToGrid w:val="0"/>
          <w:kern w:val="0"/>
          <w:sz w:val="24"/>
          <w:szCs w:val="24"/>
        </w:rPr>
        <w:t>将不要求进行额外的</w:t>
      </w:r>
      <w:r>
        <w:rPr>
          <w:rFonts w:hint="eastAsia" w:ascii="宋体" w:hAnsi="宋体" w:eastAsia="宋体"/>
          <w:snapToGrid w:val="0"/>
          <w:kern w:val="0"/>
          <w:sz w:val="24"/>
          <w:szCs w:val="24"/>
        </w:rPr>
        <w:t>“</w:t>
      </w:r>
      <w:r>
        <w:rPr>
          <w:rFonts w:hint="eastAsia" w:eastAsia="宋体"/>
          <w:snapToGrid w:val="0"/>
          <w:kern w:val="0"/>
          <w:sz w:val="24"/>
          <w:szCs w:val="24"/>
        </w:rPr>
        <w:t>年度</w:t>
      </w:r>
      <w:r>
        <w:rPr>
          <w:rFonts w:hint="eastAsia" w:ascii="宋体" w:hAnsi="宋体" w:eastAsia="宋体"/>
          <w:snapToGrid w:val="0"/>
          <w:kern w:val="0"/>
          <w:sz w:val="24"/>
          <w:szCs w:val="24"/>
        </w:rPr>
        <w:t>”</w:t>
      </w:r>
      <w:r>
        <w:rPr>
          <w:rFonts w:hint="eastAsia" w:eastAsia="宋体"/>
          <w:snapToGrid w:val="0"/>
          <w:kern w:val="0"/>
          <w:sz w:val="24"/>
          <w:szCs w:val="24"/>
        </w:rPr>
        <w:t>审查。</w:t>
      </w:r>
    </w:p>
    <w:p w14:paraId="1A229CEA">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32. </w:t>
      </w:r>
      <w:r>
        <w:rPr>
          <w:rFonts w:eastAsia="宋体"/>
          <w:b/>
          <w:snapToGrid w:val="0"/>
          <w:kern w:val="0"/>
          <w:sz w:val="24"/>
          <w:szCs w:val="24"/>
        </w:rPr>
        <w:t>21 CFR 56.115 （a）（1）要求IRB保留</w:t>
      </w:r>
      <w:r>
        <w:rPr>
          <w:rFonts w:ascii="宋体" w:hAnsi="宋体" w:eastAsia="宋体"/>
          <w:b/>
          <w:snapToGrid w:val="0"/>
          <w:kern w:val="0"/>
          <w:sz w:val="24"/>
          <w:szCs w:val="24"/>
        </w:rPr>
        <w:t>“</w:t>
      </w:r>
      <w:r>
        <w:rPr>
          <w:rFonts w:hint="eastAsia" w:eastAsia="宋体"/>
          <w:b/>
          <w:snapToGrid w:val="0"/>
          <w:kern w:val="0"/>
          <w:sz w:val="24"/>
          <w:szCs w:val="24"/>
        </w:rPr>
        <w:t>已审查的研究方案</w:t>
      </w:r>
      <w:r>
        <w:rPr>
          <w:rFonts w:hint="eastAsia" w:ascii="宋体" w:hAnsi="宋体" w:eastAsia="宋体"/>
          <w:b/>
          <w:snapToGrid w:val="0"/>
          <w:kern w:val="0"/>
          <w:sz w:val="24"/>
          <w:szCs w:val="24"/>
        </w:rPr>
        <w:t>”</w:t>
      </w:r>
      <w:r>
        <w:rPr>
          <w:rFonts w:hint="eastAsia" w:eastAsia="宋体"/>
          <w:b/>
          <w:snapToGrid w:val="0"/>
          <w:kern w:val="0"/>
          <w:sz w:val="24"/>
          <w:szCs w:val="24"/>
        </w:rPr>
        <w:t>副本。</w:t>
      </w:r>
      <w:r>
        <w:rPr>
          <w:rFonts w:ascii="宋体" w:hAnsi="宋体" w:eastAsia="宋体"/>
          <w:b/>
          <w:snapToGrid w:val="0"/>
          <w:kern w:val="0"/>
          <w:sz w:val="24"/>
          <w:szCs w:val="24"/>
        </w:rPr>
        <w:t>“</w:t>
      </w:r>
      <w:r>
        <w:rPr>
          <w:rFonts w:eastAsia="宋体"/>
          <w:b/>
          <w:snapToGrid w:val="0"/>
          <w:kern w:val="0"/>
          <w:sz w:val="24"/>
          <w:szCs w:val="24"/>
        </w:rPr>
        <w:t>研究方案</w:t>
      </w:r>
      <w:r>
        <w:rPr>
          <w:rFonts w:ascii="宋体" w:hAnsi="宋体" w:eastAsia="宋体"/>
          <w:b/>
          <w:snapToGrid w:val="0"/>
          <w:kern w:val="0"/>
          <w:sz w:val="24"/>
          <w:szCs w:val="24"/>
        </w:rPr>
        <w:t>”</w:t>
      </w:r>
      <w:r>
        <w:rPr>
          <w:rFonts w:eastAsia="宋体"/>
          <w:b/>
          <w:snapToGrid w:val="0"/>
          <w:kern w:val="0"/>
          <w:sz w:val="24"/>
          <w:szCs w:val="24"/>
        </w:rPr>
        <w:t>是否与研究</w:t>
      </w:r>
      <w:r>
        <w:rPr>
          <w:rFonts w:hint="eastAsia" w:eastAsia="宋体"/>
          <w:b/>
          <w:snapToGrid w:val="0"/>
          <w:kern w:val="0"/>
          <w:sz w:val="24"/>
          <w:szCs w:val="24"/>
        </w:rPr>
        <w:t>者从研究申办者那里获得的正式研究方案相同？</w:t>
      </w:r>
    </w:p>
    <w:p w14:paraId="07369FD4">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w:t>
      </w:r>
      <w:r>
        <w:rPr>
          <w:rFonts w:eastAsia="宋体"/>
          <w:snapToGrid w:val="0"/>
          <w:kern w:val="0"/>
          <w:sz w:val="24"/>
          <w:szCs w:val="24"/>
        </w:rPr>
        <w:t>IRB</w:t>
      </w:r>
      <w:r>
        <w:rPr>
          <w:rFonts w:hint="eastAsia" w:eastAsia="宋体"/>
          <w:snapToGrid w:val="0"/>
          <w:kern w:val="0"/>
          <w:sz w:val="24"/>
          <w:szCs w:val="24"/>
        </w:rPr>
        <w:t>应接受和审查所有研究活动</w:t>
      </w:r>
      <w:r>
        <w:rPr>
          <w:rFonts w:eastAsia="宋体"/>
          <w:snapToGrid w:val="0"/>
          <w:kern w:val="0"/>
          <w:sz w:val="24"/>
          <w:szCs w:val="24"/>
        </w:rPr>
        <w:t>【21 CFR 56.109 （a）】。</w:t>
      </w:r>
      <w:r>
        <w:rPr>
          <w:rFonts w:hint="eastAsia" w:eastAsia="宋体"/>
          <w:snapToGrid w:val="0"/>
          <w:kern w:val="0"/>
          <w:sz w:val="24"/>
          <w:szCs w:val="24"/>
        </w:rPr>
        <w:t>审查的文件应包括从临床研究者收到的完整文件，如方案、研究者手册、知情同意文件样稿以及预期研究受试者会看到或听到的任何广告。</w:t>
      </w:r>
      <w:r>
        <w:rPr>
          <w:rFonts w:eastAsia="宋体"/>
          <w:snapToGrid w:val="0"/>
          <w:kern w:val="0"/>
          <w:sz w:val="24"/>
          <w:szCs w:val="24"/>
        </w:rPr>
        <w:t>一些IRB</w:t>
      </w:r>
      <w:r>
        <w:rPr>
          <w:rFonts w:hint="eastAsia" w:eastAsia="宋体"/>
          <w:snapToGrid w:val="0"/>
          <w:kern w:val="0"/>
          <w:sz w:val="24"/>
          <w:szCs w:val="24"/>
        </w:rPr>
        <w:t>还要求研究者提交一个机构制定的方案摘要表。</w:t>
      </w:r>
      <w:r>
        <w:rPr>
          <w:rFonts w:eastAsia="宋体"/>
          <w:snapToGrid w:val="0"/>
          <w:kern w:val="0"/>
          <w:sz w:val="24"/>
          <w:szCs w:val="24"/>
        </w:rPr>
        <w:t>所有</w:t>
      </w:r>
      <w:r>
        <w:rPr>
          <w:rFonts w:hint="eastAsia" w:eastAsia="宋体"/>
          <w:snapToGrid w:val="0"/>
          <w:kern w:val="0"/>
          <w:sz w:val="24"/>
          <w:szCs w:val="24"/>
        </w:rPr>
        <w:t>审查文件的副本应在该机构保留至研究完成后至少三年</w:t>
      </w:r>
      <w:r>
        <w:rPr>
          <w:rFonts w:eastAsia="宋体"/>
          <w:snapToGrid w:val="0"/>
          <w:kern w:val="0"/>
          <w:sz w:val="24"/>
          <w:szCs w:val="24"/>
        </w:rPr>
        <w:t>【21 CFR 56.115 （b）】。但是，</w:t>
      </w:r>
      <w:r>
        <w:rPr>
          <w:rFonts w:hint="eastAsia" w:eastAsia="宋体"/>
          <w:snapToGrid w:val="0"/>
          <w:kern w:val="0"/>
          <w:sz w:val="24"/>
          <w:szCs w:val="24"/>
        </w:rPr>
        <w:t>当</w:t>
      </w:r>
      <w:r>
        <w:rPr>
          <w:rFonts w:eastAsia="宋体"/>
          <w:snapToGrid w:val="0"/>
          <w:kern w:val="0"/>
          <w:sz w:val="24"/>
          <w:szCs w:val="24"/>
        </w:rPr>
        <w:t>IRB</w:t>
      </w:r>
      <w:r>
        <w:rPr>
          <w:rFonts w:hint="eastAsia" w:eastAsia="宋体"/>
          <w:snapToGrid w:val="0"/>
          <w:kern w:val="0"/>
          <w:sz w:val="24"/>
          <w:szCs w:val="24"/>
        </w:rPr>
        <w:t>做出变更时，例如知情同意文件的措辞，仅最终批准的副本需要保留在</w:t>
      </w:r>
      <w:r>
        <w:rPr>
          <w:rFonts w:eastAsia="宋体"/>
          <w:snapToGrid w:val="0"/>
          <w:kern w:val="0"/>
          <w:sz w:val="24"/>
          <w:szCs w:val="24"/>
        </w:rPr>
        <w:t>IRB</w:t>
      </w:r>
      <w:r>
        <w:rPr>
          <w:rFonts w:hint="eastAsia" w:eastAsia="宋体"/>
          <w:snapToGrid w:val="0"/>
          <w:kern w:val="0"/>
          <w:sz w:val="24"/>
          <w:szCs w:val="24"/>
        </w:rPr>
        <w:t>记录中。</w:t>
      </w:r>
    </w:p>
    <w:p w14:paraId="19474988">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33.</w:t>
      </w:r>
      <w:r>
        <w:rPr>
          <w:rFonts w:hint="eastAsia" w:eastAsia="宋体"/>
          <w:b/>
          <w:snapToGrid w:val="0"/>
          <w:kern w:val="0"/>
          <w:sz w:val="24"/>
          <w:szCs w:val="24"/>
        </w:rPr>
        <w:t>已</w:t>
      </w:r>
      <w:r>
        <w:rPr>
          <w:rFonts w:eastAsia="宋体"/>
          <w:b/>
          <w:snapToGrid w:val="0"/>
          <w:kern w:val="0"/>
          <w:sz w:val="24"/>
          <w:szCs w:val="24"/>
        </w:rPr>
        <w:t>批准但</w:t>
      </w:r>
      <w:r>
        <w:rPr>
          <w:rFonts w:hint="eastAsia" w:eastAsia="宋体"/>
          <w:b/>
          <w:snapToGrid w:val="0"/>
          <w:kern w:val="0"/>
          <w:sz w:val="24"/>
          <w:szCs w:val="24"/>
        </w:rPr>
        <w:t>从未启动的研究需要哪些</w:t>
      </w:r>
      <w:r>
        <w:rPr>
          <w:rFonts w:eastAsia="宋体"/>
          <w:b/>
          <w:snapToGrid w:val="0"/>
          <w:kern w:val="0"/>
          <w:sz w:val="24"/>
          <w:szCs w:val="24"/>
        </w:rPr>
        <w:t>IRB</w:t>
      </w:r>
      <w:r>
        <w:rPr>
          <w:rFonts w:hint="eastAsia" w:eastAsia="宋体"/>
          <w:b/>
          <w:snapToGrid w:val="0"/>
          <w:kern w:val="0"/>
          <w:sz w:val="24"/>
          <w:szCs w:val="24"/>
        </w:rPr>
        <w:t>记录？</w:t>
      </w:r>
    </w:p>
    <w:p w14:paraId="7EDDC057">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当</w:t>
      </w:r>
      <w:r>
        <w:rPr>
          <w:rFonts w:eastAsia="宋体"/>
          <w:snapToGrid w:val="0"/>
          <w:kern w:val="0"/>
          <w:sz w:val="24"/>
          <w:szCs w:val="24"/>
        </w:rPr>
        <w:t>IRB批准一</w:t>
      </w:r>
      <w:r>
        <w:rPr>
          <w:rFonts w:hint="eastAsia" w:eastAsia="宋体"/>
          <w:snapToGrid w:val="0"/>
          <w:kern w:val="0"/>
          <w:sz w:val="24"/>
          <w:szCs w:val="24"/>
        </w:rPr>
        <w:t>项研究时，每年应至少进行一次持续审查。</w:t>
      </w:r>
      <w:r>
        <w:rPr>
          <w:rFonts w:eastAsia="宋体"/>
          <w:snapToGrid w:val="0"/>
          <w:kern w:val="0"/>
          <w:sz w:val="24"/>
          <w:szCs w:val="24"/>
        </w:rPr>
        <w:t>21 CFR 56.115 （a）（1）</w:t>
      </w:r>
      <w:r>
        <w:rPr>
          <w:rFonts w:hint="eastAsia" w:eastAsia="宋体"/>
          <w:snapToGrid w:val="0"/>
          <w:kern w:val="0"/>
          <w:sz w:val="24"/>
          <w:szCs w:val="24"/>
        </w:rPr>
        <w:t>-</w:t>
      </w:r>
      <w:r>
        <w:rPr>
          <w:rFonts w:eastAsia="宋体"/>
          <w:snapToGrid w:val="0"/>
          <w:kern w:val="0"/>
          <w:sz w:val="24"/>
          <w:szCs w:val="24"/>
        </w:rPr>
        <w:t>（4）中列出的所有</w:t>
      </w:r>
      <w:r>
        <w:rPr>
          <w:rFonts w:hint="eastAsia" w:eastAsia="宋体"/>
          <w:snapToGrid w:val="0"/>
          <w:kern w:val="0"/>
          <w:sz w:val="24"/>
          <w:szCs w:val="24"/>
        </w:rPr>
        <w:t>记录都需要维护。自批准日期开始计时，无论受试者是否已经入组。应从临床研究者处收到在</w:t>
      </w:r>
      <w:r>
        <w:rPr>
          <w:rFonts w:eastAsia="宋体"/>
          <w:snapToGrid w:val="0"/>
          <w:kern w:val="0"/>
          <w:sz w:val="24"/>
          <w:szCs w:val="24"/>
        </w:rPr>
        <w:t>IRB批准</w:t>
      </w:r>
      <w:r>
        <w:rPr>
          <w:rFonts w:hint="eastAsia" w:eastAsia="宋体"/>
          <w:snapToGrid w:val="0"/>
          <w:kern w:val="0"/>
          <w:sz w:val="24"/>
          <w:szCs w:val="24"/>
        </w:rPr>
        <w:t>的</w:t>
      </w:r>
      <w:r>
        <w:rPr>
          <w:rFonts w:eastAsia="宋体"/>
          <w:snapToGrid w:val="0"/>
          <w:kern w:val="0"/>
          <w:sz w:val="24"/>
          <w:szCs w:val="24"/>
        </w:rPr>
        <w:t>到期</w:t>
      </w:r>
      <w:r>
        <w:rPr>
          <w:rFonts w:hint="eastAsia" w:eastAsia="宋体"/>
          <w:snapToGrid w:val="0"/>
          <w:kern w:val="0"/>
          <w:sz w:val="24"/>
          <w:szCs w:val="24"/>
        </w:rPr>
        <w:t>日期</w:t>
      </w:r>
      <w:r>
        <w:rPr>
          <w:rFonts w:eastAsia="宋体"/>
          <w:snapToGrid w:val="0"/>
          <w:kern w:val="0"/>
          <w:sz w:val="24"/>
          <w:szCs w:val="24"/>
        </w:rPr>
        <w:t>之前</w:t>
      </w:r>
      <w:r>
        <w:rPr>
          <w:rFonts w:hint="eastAsia" w:eastAsia="宋体"/>
          <w:snapToGrid w:val="0"/>
          <w:kern w:val="0"/>
          <w:sz w:val="24"/>
          <w:szCs w:val="24"/>
        </w:rPr>
        <w:t>处于</w:t>
      </w:r>
      <w:r>
        <w:rPr>
          <w:rFonts w:eastAsia="宋体"/>
          <w:snapToGrid w:val="0"/>
          <w:kern w:val="0"/>
          <w:sz w:val="24"/>
          <w:szCs w:val="24"/>
        </w:rPr>
        <w:t>批准</w:t>
      </w:r>
      <w:r>
        <w:rPr>
          <w:rFonts w:hint="eastAsia" w:eastAsia="宋体"/>
          <w:snapToGrid w:val="0"/>
          <w:kern w:val="0"/>
          <w:sz w:val="24"/>
          <w:szCs w:val="24"/>
        </w:rPr>
        <w:t>状态的所有研究的进度报告。</w:t>
      </w:r>
      <w:r>
        <w:rPr>
          <w:rFonts w:eastAsia="宋体"/>
          <w:snapToGrid w:val="0"/>
          <w:kern w:val="0"/>
          <w:sz w:val="24"/>
          <w:szCs w:val="24"/>
        </w:rPr>
        <w:t>如果受</w:t>
      </w:r>
      <w:r>
        <w:rPr>
          <w:rFonts w:hint="eastAsia" w:eastAsia="宋体"/>
          <w:snapToGrid w:val="0"/>
          <w:kern w:val="0"/>
          <w:sz w:val="24"/>
          <w:szCs w:val="24"/>
        </w:rPr>
        <w:t>试者从未入组，临床研究者的进度报告便很简短，这些研究可以使用快速程序接受持续的</w:t>
      </w:r>
      <w:r>
        <w:rPr>
          <w:rFonts w:eastAsia="宋体"/>
          <w:snapToGrid w:val="0"/>
          <w:kern w:val="0"/>
          <w:sz w:val="24"/>
          <w:szCs w:val="24"/>
        </w:rPr>
        <w:t>IRB</w:t>
      </w:r>
      <w:r>
        <w:rPr>
          <w:rFonts w:hint="eastAsia" w:eastAsia="宋体"/>
          <w:snapToGrid w:val="0"/>
          <w:kern w:val="0"/>
          <w:sz w:val="24"/>
          <w:szCs w:val="24"/>
        </w:rPr>
        <w:t>审查。</w:t>
      </w:r>
      <w:r>
        <w:rPr>
          <w:rFonts w:eastAsia="宋体"/>
          <w:snapToGrid w:val="0"/>
          <w:kern w:val="0"/>
          <w:sz w:val="24"/>
          <w:szCs w:val="24"/>
        </w:rPr>
        <w:t>如果研究</w:t>
      </w:r>
      <w:r>
        <w:rPr>
          <w:rFonts w:hint="eastAsia" w:eastAsia="宋体"/>
          <w:snapToGrid w:val="0"/>
          <w:kern w:val="0"/>
          <w:sz w:val="24"/>
          <w:szCs w:val="24"/>
        </w:rPr>
        <w:t>最终在没有受试者入组的情况下被取消，记录应至少保留至取消后三年</w:t>
      </w:r>
      <w:r>
        <w:rPr>
          <w:rFonts w:eastAsia="宋体"/>
          <w:snapToGrid w:val="0"/>
          <w:kern w:val="0"/>
          <w:sz w:val="24"/>
          <w:szCs w:val="24"/>
        </w:rPr>
        <w:t>【21 CFR 56.115 （b）】。</w:t>
      </w:r>
    </w:p>
    <w:p w14:paraId="08CEF619">
      <w:pPr>
        <w:spacing w:after="0" w:line="240" w:lineRule="auto"/>
        <w:rPr>
          <w:rFonts w:ascii="Arial" w:hAnsi="Arial" w:eastAsia="宋体" w:cs="Arial"/>
          <w:b/>
          <w:snapToGrid w:val="0"/>
          <w:szCs w:val="28"/>
        </w:rPr>
      </w:pPr>
      <w:r>
        <w:rPr>
          <w:rFonts w:eastAsia="宋体"/>
          <w:b/>
          <w:snapToGrid w:val="0"/>
          <w:szCs w:val="28"/>
        </w:rPr>
        <w:br w:type="page"/>
      </w:r>
    </w:p>
    <w:p w14:paraId="345207E8">
      <w:pPr>
        <w:pStyle w:val="41"/>
        <w:shd w:val="clear" w:color="auto" w:fill="auto"/>
        <w:topLinePunct/>
        <w:adjustRightInd w:val="0"/>
        <w:snapToGrid w:val="0"/>
        <w:spacing w:before="0" w:after="244" w:afterLines="75" w:line="300" w:lineRule="auto"/>
        <w:jc w:val="both"/>
        <w:rPr>
          <w:rFonts w:eastAsia="宋体"/>
          <w:b/>
          <w:snapToGrid w:val="0"/>
          <w:kern w:val="0"/>
          <w:sz w:val="24"/>
          <w:szCs w:val="28"/>
        </w:rPr>
      </w:pPr>
      <w:r>
        <w:rPr>
          <w:rFonts w:hint="eastAsia" w:eastAsia="宋体"/>
          <w:b/>
          <w:snapToGrid w:val="0"/>
          <w:kern w:val="0"/>
          <w:sz w:val="24"/>
          <w:szCs w:val="28"/>
        </w:rPr>
        <w:t>VI.知情同意程序</w:t>
      </w:r>
    </w:p>
    <w:p w14:paraId="6E9F6CC3">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34.</w:t>
      </w:r>
      <w:r>
        <w:rPr>
          <w:rFonts w:hint="eastAsia" w:eastAsia="宋体"/>
          <w:b/>
          <w:snapToGrid w:val="0"/>
          <w:kern w:val="0"/>
          <w:sz w:val="24"/>
          <w:szCs w:val="24"/>
        </w:rPr>
        <w:t>获得受试者签署知情同意文件是否为法规要求的全部？</w:t>
      </w:r>
    </w:p>
    <w:p w14:paraId="778505FD">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否。该同意文件是应提供给受试者信息的书面摘要，许多临床研究者将同意文件用作口头解释此项研究的指南。受试者的签名提供了参与某项研究的协议文件，但只是同意过程的一部分。</w:t>
      </w:r>
      <w:r>
        <w:rPr>
          <w:rFonts w:eastAsia="宋体"/>
          <w:snapToGrid w:val="0"/>
          <w:kern w:val="0"/>
          <w:sz w:val="24"/>
          <w:szCs w:val="24"/>
        </w:rPr>
        <w:t>整</w:t>
      </w:r>
      <w:r>
        <w:rPr>
          <w:rFonts w:hint="eastAsia" w:eastAsia="宋体"/>
          <w:snapToGrid w:val="0"/>
          <w:kern w:val="0"/>
          <w:sz w:val="24"/>
          <w:szCs w:val="24"/>
        </w:rPr>
        <w:t>个知情同意程序涉及提供给受试者有关研究的充分信息，为受试者提供适当的机会来考虑所有选项，回答受试者的问题，确保受试者了解这些信息，获得受试者自愿参与的协议，继续根据受试者或情况要求提供资料。为使该过程有效，应为研究者和受试者提供足够的机会进行信息交换并提出问题。</w:t>
      </w:r>
    </w:p>
    <w:p w14:paraId="2D3F49D6">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35.可以通</w:t>
      </w:r>
      <w:r>
        <w:rPr>
          <w:rFonts w:hint="eastAsia" w:eastAsia="宋体"/>
          <w:b/>
          <w:snapToGrid w:val="0"/>
          <w:kern w:val="0"/>
          <w:sz w:val="24"/>
          <w:szCs w:val="24"/>
        </w:rPr>
        <w:t>过法定授权代理人的电话获得知情同意吗？</w:t>
      </w:r>
    </w:p>
    <w:p w14:paraId="34D46FFA">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如</w:t>
      </w:r>
      <w:r>
        <w:rPr>
          <w:rFonts w:eastAsia="宋体"/>
          <w:snapToGrid w:val="0"/>
          <w:kern w:val="0"/>
          <w:sz w:val="24"/>
          <w:szCs w:val="24"/>
        </w:rPr>
        <w:t>21 CFR 50.27（a）所述，口</w:t>
      </w:r>
      <w:r>
        <w:rPr>
          <w:rFonts w:hint="eastAsia" w:eastAsia="宋体"/>
          <w:snapToGrid w:val="0"/>
          <w:kern w:val="0"/>
          <w:sz w:val="24"/>
          <w:szCs w:val="24"/>
        </w:rPr>
        <w:t>头同意不符合</w:t>
      </w:r>
      <w:r>
        <w:rPr>
          <w:rFonts w:eastAsia="宋体"/>
          <w:snapToGrid w:val="0"/>
          <w:kern w:val="0"/>
          <w:sz w:val="24"/>
          <w:szCs w:val="24"/>
        </w:rPr>
        <w:t>21 CFR 56.109（c）</w:t>
      </w:r>
      <w:r>
        <w:rPr>
          <w:rFonts w:hint="eastAsia" w:eastAsia="宋体"/>
          <w:snapToGrid w:val="0"/>
          <w:kern w:val="0"/>
          <w:sz w:val="24"/>
          <w:szCs w:val="24"/>
        </w:rPr>
        <w:t>需签署同意文件的要求。</w:t>
      </w:r>
      <w:r>
        <w:rPr>
          <w:rFonts w:eastAsia="宋体"/>
          <w:snapToGrid w:val="0"/>
          <w:kern w:val="0"/>
          <w:sz w:val="24"/>
          <w:szCs w:val="24"/>
        </w:rPr>
        <w:t>但是，</w:t>
      </w:r>
      <w:r>
        <w:rPr>
          <w:rFonts w:hint="eastAsia" w:eastAsia="宋体"/>
          <w:snapToGrid w:val="0"/>
          <w:kern w:val="0"/>
          <w:sz w:val="24"/>
          <w:szCs w:val="24"/>
        </w:rPr>
        <w:t>可以接受的是，</w:t>
      </w:r>
      <w:r>
        <w:rPr>
          <w:rFonts w:eastAsia="宋体"/>
          <w:snapToGrid w:val="0"/>
          <w:kern w:val="0"/>
          <w:sz w:val="24"/>
          <w:szCs w:val="24"/>
        </w:rPr>
        <w:t>通</w:t>
      </w:r>
      <w:r>
        <w:rPr>
          <w:rFonts w:hint="eastAsia" w:eastAsia="宋体"/>
          <w:snapToGrid w:val="0"/>
          <w:kern w:val="0"/>
          <w:sz w:val="24"/>
          <w:szCs w:val="24"/>
        </w:rPr>
        <w:t>过传真将知情同意文件发送给法定授权代理人（</w:t>
      </w:r>
      <w:r>
        <w:rPr>
          <w:rFonts w:eastAsia="宋体"/>
          <w:snapToGrid w:val="0"/>
          <w:kern w:val="0"/>
          <w:sz w:val="24"/>
          <w:szCs w:val="24"/>
        </w:rPr>
        <w:t>LAR</w:t>
      </w:r>
      <w:r>
        <w:rPr>
          <w:rFonts w:hint="eastAsia" w:eastAsia="宋体"/>
          <w:snapToGrid w:val="0"/>
          <w:kern w:val="0"/>
          <w:sz w:val="24"/>
          <w:szCs w:val="24"/>
        </w:rPr>
        <w:t>）且LAR在阅读该同意文件时通过电话对此讨论事项进行了同意访谈。</w:t>
      </w:r>
      <w:r>
        <w:rPr>
          <w:rFonts w:eastAsia="宋体"/>
          <w:snapToGrid w:val="0"/>
          <w:kern w:val="0"/>
          <w:sz w:val="24"/>
          <w:szCs w:val="24"/>
        </w:rPr>
        <w:t>如果LAR同意，他／她可以</w:t>
      </w:r>
      <w:r>
        <w:rPr>
          <w:rFonts w:hint="eastAsia" w:eastAsia="宋体"/>
          <w:snapToGrid w:val="0"/>
          <w:kern w:val="0"/>
          <w:sz w:val="24"/>
          <w:szCs w:val="24"/>
        </w:rPr>
        <w:t>签署同意书，并通过传真将签署的文件返回临床研究者。</w:t>
      </w:r>
    </w:p>
    <w:p w14:paraId="0856AFD2">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36.</w:t>
      </w:r>
      <w:r>
        <w:rPr>
          <w:rFonts w:eastAsia="宋体"/>
          <w:b/>
          <w:snapToGrid w:val="0"/>
          <w:kern w:val="0"/>
          <w:sz w:val="24"/>
          <w:szCs w:val="24"/>
        </w:rPr>
        <w:t xml:space="preserve"> 21 CFR 50.27（a）要求</w:t>
      </w:r>
      <w:r>
        <w:rPr>
          <w:rFonts w:hint="eastAsia" w:eastAsia="宋体"/>
          <w:b/>
          <w:snapToGrid w:val="0"/>
          <w:kern w:val="0"/>
          <w:sz w:val="24"/>
          <w:szCs w:val="24"/>
        </w:rPr>
        <w:t>将同意文件的副本提供给签署表单的人员，该副本必须是有受试者签名的表单复印件吗？</w:t>
      </w:r>
    </w:p>
    <w:p w14:paraId="48DB3CF5">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否。该条例不要求给予该受试者的表单副本是具有该受试者签名的文件副本（尽管鼓励这样做）。但</w:t>
      </w:r>
      <w:r>
        <w:rPr>
          <w:rFonts w:eastAsia="宋体"/>
          <w:snapToGrid w:val="0"/>
          <w:kern w:val="0"/>
          <w:sz w:val="24"/>
          <w:szCs w:val="24"/>
        </w:rPr>
        <w:t>它必</w:t>
      </w:r>
      <w:r>
        <w:rPr>
          <w:rFonts w:hint="eastAsia" w:eastAsia="宋体"/>
          <w:snapToGrid w:val="0"/>
          <w:kern w:val="0"/>
          <w:sz w:val="24"/>
          <w:szCs w:val="24"/>
        </w:rPr>
        <w:t>须是</w:t>
      </w:r>
      <w:r>
        <w:rPr>
          <w:rFonts w:eastAsia="宋体"/>
          <w:snapToGrid w:val="0"/>
          <w:kern w:val="0"/>
          <w:sz w:val="24"/>
          <w:szCs w:val="24"/>
        </w:rPr>
        <w:t>IRB批准文件</w:t>
      </w:r>
      <w:r>
        <w:rPr>
          <w:rFonts w:hint="eastAsia" w:eastAsia="宋体"/>
          <w:snapToGrid w:val="0"/>
          <w:kern w:val="0"/>
          <w:sz w:val="24"/>
          <w:szCs w:val="24"/>
        </w:rPr>
        <w:t>的</w:t>
      </w:r>
      <w:r>
        <w:rPr>
          <w:rFonts w:eastAsia="宋体"/>
          <w:snapToGrid w:val="0"/>
          <w:kern w:val="0"/>
          <w:sz w:val="24"/>
          <w:szCs w:val="24"/>
        </w:rPr>
        <w:t>副本，</w:t>
      </w:r>
      <w:r>
        <w:rPr>
          <w:rFonts w:hint="eastAsia" w:eastAsia="宋体"/>
          <w:snapToGrid w:val="0"/>
          <w:kern w:val="0"/>
          <w:sz w:val="24"/>
          <w:szCs w:val="24"/>
        </w:rPr>
        <w:t>将该文件给予受试者以获得同意</w:t>
      </w:r>
      <w:r>
        <w:rPr>
          <w:rFonts w:eastAsia="宋体"/>
          <w:snapToGrid w:val="0"/>
          <w:kern w:val="0"/>
          <w:sz w:val="24"/>
          <w:szCs w:val="24"/>
        </w:rPr>
        <w:t>【21 CFR 50.27（a）或21 CFR 50.27 （b） （2）】。向</w:t>
      </w:r>
      <w:r>
        <w:rPr>
          <w:rFonts w:hint="eastAsia" w:eastAsia="宋体"/>
          <w:snapToGrid w:val="0"/>
          <w:kern w:val="0"/>
          <w:sz w:val="24"/>
          <w:szCs w:val="24"/>
        </w:rPr>
        <w:t>签署表单人员提供同意文件副本的一个目的是允许受试者在作出参加研究的决定之前和之后与他人一起审查资料，并为诸如程序计划和紧急联系等条目提供持续的参考。</w:t>
      </w:r>
    </w:p>
    <w:p w14:paraId="2A97520E">
      <w:pPr>
        <w:widowControl w:val="0"/>
        <w:topLinePunct/>
        <w:adjustRightInd w:val="0"/>
        <w:snapToGrid w:val="0"/>
        <w:spacing w:after="244" w:afterLines="75" w:line="300" w:lineRule="auto"/>
        <w:jc w:val="both"/>
        <w:rPr>
          <w:rFonts w:ascii="Arial" w:hAnsi="Arial" w:eastAsia="宋体" w:cs="Arial"/>
          <w:snapToGrid w:val="0"/>
          <w:szCs w:val="24"/>
        </w:rPr>
      </w:pPr>
      <w:r>
        <w:rPr>
          <w:rFonts w:ascii="Arial" w:hAnsi="Arial" w:eastAsia="宋体" w:cs="Arial"/>
          <w:snapToGrid w:val="0"/>
          <w:szCs w:val="24"/>
        </w:rPr>
        <w:br w:type="page"/>
      </w:r>
    </w:p>
    <w:p w14:paraId="43E4D79F">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37.</w:t>
      </w:r>
      <w:r>
        <w:rPr>
          <w:rFonts w:hint="eastAsia" w:eastAsia="宋体"/>
          <w:b/>
          <w:snapToGrid w:val="0"/>
          <w:kern w:val="0"/>
          <w:sz w:val="24"/>
          <w:szCs w:val="24"/>
        </w:rPr>
        <w:t>如果</w:t>
      </w:r>
      <w:r>
        <w:rPr>
          <w:rFonts w:eastAsia="宋体"/>
          <w:b/>
          <w:snapToGrid w:val="0"/>
          <w:kern w:val="0"/>
          <w:sz w:val="24"/>
          <w:szCs w:val="24"/>
        </w:rPr>
        <w:t>IRB</w:t>
      </w:r>
      <w:r>
        <w:rPr>
          <w:rFonts w:hint="eastAsia" w:eastAsia="宋体"/>
          <w:b/>
          <w:snapToGrid w:val="0"/>
          <w:kern w:val="0"/>
          <w:sz w:val="24"/>
          <w:szCs w:val="24"/>
        </w:rPr>
        <w:t>使用了标准</w:t>
      </w:r>
      <w:r>
        <w:rPr>
          <w:rFonts w:ascii="宋体" w:hAnsi="宋体" w:eastAsia="宋体"/>
          <w:b/>
          <w:snapToGrid w:val="0"/>
          <w:kern w:val="0"/>
          <w:sz w:val="24"/>
          <w:szCs w:val="24"/>
        </w:rPr>
        <w:t>“</w:t>
      </w:r>
      <w:r>
        <w:rPr>
          <w:rFonts w:hint="eastAsia" w:eastAsia="宋体"/>
          <w:b/>
          <w:snapToGrid w:val="0"/>
          <w:kern w:val="0"/>
          <w:sz w:val="24"/>
          <w:szCs w:val="24"/>
        </w:rPr>
        <w:t>空白填充</w:t>
      </w:r>
      <w:r>
        <w:rPr>
          <w:rFonts w:ascii="宋体" w:hAnsi="宋体" w:eastAsia="宋体"/>
          <w:b/>
          <w:snapToGrid w:val="0"/>
          <w:kern w:val="0"/>
          <w:sz w:val="24"/>
          <w:szCs w:val="24"/>
        </w:rPr>
        <w:t>”</w:t>
      </w:r>
      <w:r>
        <w:rPr>
          <w:rFonts w:hint="eastAsia" w:eastAsia="宋体"/>
          <w:b/>
          <w:snapToGrid w:val="0"/>
          <w:kern w:val="0"/>
          <w:sz w:val="24"/>
          <w:szCs w:val="24"/>
        </w:rPr>
        <w:t>的同意格式，</w:t>
      </w:r>
      <w:r>
        <w:rPr>
          <w:rFonts w:eastAsia="宋体"/>
          <w:b/>
          <w:snapToGrid w:val="0"/>
          <w:kern w:val="0"/>
          <w:sz w:val="24"/>
          <w:szCs w:val="24"/>
        </w:rPr>
        <w:t>IRB</w:t>
      </w:r>
      <w:r>
        <w:rPr>
          <w:rFonts w:hint="eastAsia" w:eastAsia="宋体"/>
          <w:b/>
          <w:snapToGrid w:val="0"/>
          <w:kern w:val="0"/>
          <w:sz w:val="24"/>
          <w:szCs w:val="24"/>
        </w:rPr>
        <w:t>是否需要检查每项研究的填写表单？</w:t>
      </w:r>
    </w:p>
    <w:p w14:paraId="296AF1ED">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是。空白填充的格式仅提供了一些标准措辞和组织相关研究信息的框架。</w:t>
      </w:r>
      <w:r>
        <w:rPr>
          <w:rFonts w:eastAsia="宋体"/>
          <w:snapToGrid w:val="0"/>
          <w:kern w:val="0"/>
          <w:sz w:val="24"/>
          <w:szCs w:val="24"/>
        </w:rPr>
        <w:t>IRB</w:t>
      </w:r>
      <w:r>
        <w:rPr>
          <w:rFonts w:hint="eastAsia" w:eastAsia="宋体"/>
          <w:snapToGrid w:val="0"/>
          <w:kern w:val="0"/>
          <w:sz w:val="24"/>
          <w:szCs w:val="24"/>
        </w:rPr>
        <w:t>应针对每项研究的完整表单样稿进行个别化审查，以确保同意书全文包含了</w:t>
      </w:r>
      <w:r>
        <w:rPr>
          <w:rFonts w:eastAsia="宋体"/>
          <w:snapToGrid w:val="0"/>
          <w:kern w:val="0"/>
          <w:sz w:val="24"/>
          <w:szCs w:val="24"/>
        </w:rPr>
        <w:t>21 CFR 50.25</w:t>
      </w:r>
      <w:r>
        <w:rPr>
          <w:rFonts w:hint="eastAsia" w:eastAsia="宋体"/>
          <w:snapToGrid w:val="0"/>
          <w:kern w:val="0"/>
          <w:sz w:val="24"/>
          <w:szCs w:val="24"/>
        </w:rPr>
        <w:t>要求的所有信息。应打印完整的表单样稿以增强对于受试者的可读性。</w:t>
      </w:r>
      <w:r>
        <w:rPr>
          <w:rFonts w:eastAsia="宋体"/>
          <w:snapToGrid w:val="0"/>
          <w:kern w:val="0"/>
          <w:sz w:val="24"/>
          <w:szCs w:val="24"/>
        </w:rPr>
        <w:t>IRB</w:t>
      </w:r>
      <w:r>
        <w:rPr>
          <w:rFonts w:hint="eastAsia" w:eastAsia="宋体"/>
          <w:snapToGrid w:val="0"/>
          <w:kern w:val="0"/>
          <w:sz w:val="24"/>
          <w:szCs w:val="24"/>
        </w:rPr>
        <w:t>最终批准的表单应该是将要提交给研究受试者的表单的准确副本。</w:t>
      </w:r>
      <w:r>
        <w:rPr>
          <w:rFonts w:eastAsia="宋体"/>
          <w:snapToGrid w:val="0"/>
          <w:kern w:val="0"/>
          <w:sz w:val="24"/>
          <w:szCs w:val="24"/>
        </w:rPr>
        <w:t>IRB</w:t>
      </w:r>
      <w:r>
        <w:rPr>
          <w:rFonts w:hint="eastAsia" w:eastAsia="宋体"/>
          <w:snapToGrid w:val="0"/>
          <w:kern w:val="0"/>
          <w:sz w:val="24"/>
          <w:szCs w:val="24"/>
        </w:rPr>
        <w:t>还应审查同意访谈的</w:t>
      </w:r>
      <w:r>
        <w:rPr>
          <w:rFonts w:ascii="宋体" w:hAnsi="宋体" w:eastAsia="宋体"/>
          <w:snapToGrid w:val="0"/>
          <w:kern w:val="0"/>
          <w:sz w:val="24"/>
          <w:szCs w:val="24"/>
        </w:rPr>
        <w:t>“</w:t>
      </w:r>
      <w:r>
        <w:rPr>
          <w:rFonts w:hint="eastAsia" w:eastAsia="宋体"/>
          <w:snapToGrid w:val="0"/>
          <w:kern w:val="0"/>
          <w:sz w:val="24"/>
          <w:szCs w:val="24"/>
        </w:rPr>
        <w:t>过程</w:t>
      </w:r>
      <w:r>
        <w:rPr>
          <w:rFonts w:ascii="宋体" w:hAnsi="宋体" w:eastAsia="宋体"/>
          <w:snapToGrid w:val="0"/>
          <w:kern w:val="0"/>
          <w:sz w:val="24"/>
          <w:szCs w:val="24"/>
        </w:rPr>
        <w:t>”</w:t>
      </w:r>
      <w:r>
        <w:rPr>
          <w:rFonts w:hint="eastAsia" w:eastAsia="宋体"/>
          <w:snapToGrid w:val="0"/>
          <w:kern w:val="0"/>
          <w:sz w:val="24"/>
          <w:szCs w:val="24"/>
        </w:rPr>
        <w:t>，即获得同意的情况、获得同意的人员等等。</w:t>
      </w:r>
    </w:p>
    <w:p w14:paraId="0A3180CD">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38.知情同意</w:t>
      </w:r>
      <w:r>
        <w:rPr>
          <w:rFonts w:hint="eastAsia" w:eastAsia="宋体"/>
          <w:b/>
          <w:snapToGrid w:val="0"/>
          <w:kern w:val="0"/>
          <w:sz w:val="24"/>
          <w:szCs w:val="24"/>
        </w:rPr>
        <w:t>法规</w:t>
      </w:r>
      <w:r>
        <w:rPr>
          <w:rFonts w:eastAsia="宋体"/>
          <w:b/>
          <w:snapToGrid w:val="0"/>
          <w:kern w:val="0"/>
          <w:sz w:val="24"/>
          <w:szCs w:val="24"/>
        </w:rPr>
        <w:t>【21 CFR 50.25 （a） （5）】要求同意文件</w:t>
      </w:r>
      <w:r>
        <w:rPr>
          <w:rFonts w:hint="eastAsia" w:eastAsia="宋体"/>
          <w:b/>
          <w:snapToGrid w:val="0"/>
          <w:kern w:val="0"/>
          <w:sz w:val="24"/>
          <w:szCs w:val="24"/>
        </w:rPr>
        <w:t>中包含</w:t>
      </w:r>
      <w:r>
        <w:rPr>
          <w:rFonts w:eastAsia="宋体"/>
          <w:b/>
          <w:snapToGrid w:val="0"/>
          <w:kern w:val="0"/>
          <w:sz w:val="24"/>
          <w:szCs w:val="24"/>
        </w:rPr>
        <w:t>一份</w:t>
      </w:r>
      <w:r>
        <w:rPr>
          <w:rFonts w:hint="eastAsia" w:eastAsia="宋体"/>
          <w:b/>
          <w:snapToGrid w:val="0"/>
          <w:kern w:val="0"/>
          <w:sz w:val="24"/>
          <w:szCs w:val="24"/>
        </w:rPr>
        <w:t>声明，说明</w:t>
      </w:r>
      <w:r>
        <w:rPr>
          <w:rFonts w:eastAsia="宋体"/>
          <w:b/>
          <w:snapToGrid w:val="0"/>
          <w:kern w:val="0"/>
          <w:sz w:val="24"/>
          <w:szCs w:val="24"/>
        </w:rPr>
        <w:t>FDA</w:t>
      </w:r>
      <w:r>
        <w:rPr>
          <w:rFonts w:hint="eastAsia" w:eastAsia="宋体"/>
          <w:b/>
          <w:snapToGrid w:val="0"/>
          <w:kern w:val="0"/>
          <w:sz w:val="24"/>
          <w:szCs w:val="24"/>
        </w:rPr>
        <w:t>检查记录的可能性。这份声明是否免除受试者的合法隐私权？</w:t>
      </w:r>
    </w:p>
    <w:p w14:paraId="29A92804">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否。</w:t>
      </w:r>
      <w:r>
        <w:rPr>
          <w:rFonts w:eastAsia="宋体"/>
          <w:snapToGrid w:val="0"/>
          <w:kern w:val="0"/>
          <w:sz w:val="24"/>
          <w:szCs w:val="24"/>
        </w:rPr>
        <w:t>FDA不要求任何</w:t>
      </w:r>
      <w:r>
        <w:rPr>
          <w:rFonts w:hint="eastAsia" w:eastAsia="宋体"/>
          <w:snapToGrid w:val="0"/>
          <w:kern w:val="0"/>
          <w:sz w:val="24"/>
          <w:szCs w:val="24"/>
        </w:rPr>
        <w:t>受试者</w:t>
      </w:r>
      <w:r>
        <w:rPr>
          <w:rFonts w:ascii="宋体" w:hAnsi="宋体" w:eastAsia="宋体"/>
          <w:snapToGrid w:val="0"/>
          <w:kern w:val="0"/>
          <w:sz w:val="24"/>
          <w:szCs w:val="24"/>
        </w:rPr>
        <w:t>“</w:t>
      </w:r>
      <w:r>
        <w:rPr>
          <w:rFonts w:eastAsia="宋体"/>
          <w:snapToGrid w:val="0"/>
          <w:kern w:val="0"/>
          <w:sz w:val="24"/>
          <w:szCs w:val="24"/>
        </w:rPr>
        <w:t>放</w:t>
      </w:r>
      <w:r>
        <w:rPr>
          <w:rFonts w:hint="eastAsia" w:eastAsia="宋体"/>
          <w:snapToGrid w:val="0"/>
          <w:kern w:val="0"/>
          <w:sz w:val="24"/>
          <w:szCs w:val="24"/>
        </w:rPr>
        <w:t>弃</w:t>
      </w:r>
      <w:r>
        <w:rPr>
          <w:rFonts w:hint="eastAsia" w:ascii="宋体" w:hAnsi="宋体" w:eastAsia="宋体"/>
          <w:snapToGrid w:val="0"/>
          <w:kern w:val="0"/>
          <w:sz w:val="24"/>
          <w:szCs w:val="24"/>
        </w:rPr>
        <w:t>”</w:t>
      </w:r>
      <w:r>
        <w:rPr>
          <w:rFonts w:hint="eastAsia" w:eastAsia="宋体"/>
          <w:snapToGrid w:val="0"/>
          <w:kern w:val="0"/>
          <w:sz w:val="24"/>
          <w:szCs w:val="24"/>
        </w:rPr>
        <w:t>某项法定权利。</w:t>
      </w:r>
      <w:r>
        <w:rPr>
          <w:rFonts w:eastAsia="宋体"/>
          <w:snapToGrid w:val="0"/>
          <w:kern w:val="0"/>
          <w:sz w:val="24"/>
          <w:szCs w:val="24"/>
        </w:rPr>
        <w:t>相反，FDA要求向受</w:t>
      </w:r>
      <w:r>
        <w:rPr>
          <w:rFonts w:hint="eastAsia" w:eastAsia="宋体"/>
          <w:snapToGrid w:val="0"/>
          <w:kern w:val="0"/>
          <w:sz w:val="24"/>
          <w:szCs w:val="24"/>
        </w:rPr>
        <w:t>试者告知，完整的隐私不适用于涉及</w:t>
      </w:r>
      <w:r>
        <w:rPr>
          <w:rFonts w:eastAsia="宋体"/>
          <w:snapToGrid w:val="0"/>
          <w:kern w:val="0"/>
          <w:sz w:val="24"/>
          <w:szCs w:val="24"/>
        </w:rPr>
        <w:t>FDA</w:t>
      </w:r>
      <w:r>
        <w:rPr>
          <w:rFonts w:hint="eastAsia" w:eastAsia="宋体"/>
          <w:snapToGrid w:val="0"/>
          <w:kern w:val="0"/>
          <w:sz w:val="24"/>
          <w:szCs w:val="24"/>
        </w:rPr>
        <w:t>监管产品的研究。</w:t>
      </w:r>
      <w:r>
        <w:rPr>
          <w:rFonts w:eastAsia="宋体"/>
          <w:snapToGrid w:val="0"/>
          <w:kern w:val="0"/>
          <w:sz w:val="24"/>
          <w:szCs w:val="24"/>
        </w:rPr>
        <w:t>在</w:t>
      </w:r>
      <w:r>
        <w:rPr>
          <w:rFonts w:hint="eastAsia" w:eastAsia="宋体"/>
          <w:snapToGrid w:val="0"/>
          <w:kern w:val="0"/>
          <w:sz w:val="24"/>
          <w:szCs w:val="24"/>
        </w:rPr>
        <w:t>联邦食品、药品和化妆品法案的许可下，</w:t>
      </w:r>
      <w:r>
        <w:rPr>
          <w:rFonts w:eastAsia="宋体"/>
          <w:snapToGrid w:val="0"/>
          <w:kern w:val="0"/>
          <w:sz w:val="24"/>
          <w:szCs w:val="24"/>
        </w:rPr>
        <w:t>FDA可以</w:t>
      </w:r>
      <w:r>
        <w:rPr>
          <w:rFonts w:hint="eastAsia" w:eastAsia="宋体"/>
          <w:snapToGrid w:val="0"/>
          <w:kern w:val="0"/>
          <w:sz w:val="24"/>
          <w:szCs w:val="24"/>
        </w:rPr>
        <w:t>检查和复制临床记录，以核实申办者提交的资料。</w:t>
      </w:r>
      <w:r>
        <w:rPr>
          <w:rFonts w:eastAsia="宋体"/>
          <w:snapToGrid w:val="0"/>
          <w:kern w:val="0"/>
          <w:sz w:val="24"/>
          <w:szCs w:val="24"/>
        </w:rPr>
        <w:t>FDA通常不</w:t>
      </w:r>
      <w:r>
        <w:rPr>
          <w:rFonts w:hint="eastAsia" w:eastAsia="宋体"/>
          <w:snapToGrid w:val="0"/>
          <w:kern w:val="0"/>
          <w:sz w:val="24"/>
          <w:szCs w:val="24"/>
        </w:rPr>
        <w:t>会在检查期间复制受试者的姓名，除非需要对该病例进行更详细的研究，或是有理由相信该记录不代表所研究的实际病例或结果。</w:t>
      </w:r>
    </w:p>
    <w:p w14:paraId="09A90A7F">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同意文件不应说明或暗示</w:t>
      </w:r>
      <w:r>
        <w:rPr>
          <w:rFonts w:eastAsia="宋体"/>
          <w:snapToGrid w:val="0"/>
          <w:kern w:val="0"/>
          <w:sz w:val="24"/>
          <w:szCs w:val="24"/>
        </w:rPr>
        <w:t>FDA</w:t>
      </w:r>
      <w:r>
        <w:rPr>
          <w:rFonts w:hint="eastAsia" w:eastAsia="宋体"/>
          <w:snapToGrid w:val="0"/>
          <w:kern w:val="0"/>
          <w:sz w:val="24"/>
          <w:szCs w:val="24"/>
        </w:rPr>
        <w:t>为此</w:t>
      </w:r>
      <w:r>
        <w:rPr>
          <w:rFonts w:eastAsia="宋体"/>
          <w:snapToGrid w:val="0"/>
          <w:kern w:val="0"/>
          <w:sz w:val="24"/>
          <w:szCs w:val="24"/>
        </w:rPr>
        <w:t>需要</w:t>
      </w:r>
      <w:r>
        <w:rPr>
          <w:rFonts w:hint="eastAsia" w:eastAsia="宋体"/>
          <w:snapToGrid w:val="0"/>
          <w:kern w:val="0"/>
          <w:sz w:val="24"/>
          <w:szCs w:val="24"/>
        </w:rPr>
        <w:t>得到临床研究者、受试者或</w:t>
      </w:r>
      <w:r>
        <w:rPr>
          <w:rFonts w:eastAsia="宋体"/>
          <w:snapToGrid w:val="0"/>
          <w:kern w:val="0"/>
          <w:sz w:val="24"/>
          <w:szCs w:val="24"/>
        </w:rPr>
        <w:t>IRB</w:t>
      </w:r>
      <w:r>
        <w:rPr>
          <w:rFonts w:hint="eastAsia" w:eastAsia="宋体"/>
          <w:snapToGrid w:val="0"/>
          <w:kern w:val="0"/>
          <w:sz w:val="24"/>
          <w:szCs w:val="24"/>
        </w:rPr>
        <w:t>的许可或同意。当临床研究者进行的研究是将要向FDA提交的研究时，他们同意允许</w:t>
      </w:r>
      <w:r>
        <w:rPr>
          <w:rFonts w:eastAsia="宋体"/>
          <w:snapToGrid w:val="0"/>
          <w:kern w:val="0"/>
          <w:sz w:val="24"/>
          <w:szCs w:val="24"/>
        </w:rPr>
        <w:t>FDA</w:t>
      </w:r>
      <w:r>
        <w:rPr>
          <w:rFonts w:hint="eastAsia" w:eastAsia="宋体"/>
          <w:snapToGrid w:val="0"/>
          <w:kern w:val="0"/>
          <w:sz w:val="24"/>
          <w:szCs w:val="24"/>
        </w:rPr>
        <w:t>访问研究记录，如</w:t>
      </w:r>
      <w:r>
        <w:rPr>
          <w:rFonts w:eastAsia="宋体"/>
          <w:snapToGrid w:val="0"/>
          <w:kern w:val="0"/>
          <w:sz w:val="24"/>
          <w:szCs w:val="24"/>
        </w:rPr>
        <w:t>21 CFR 312.68和812.145所述。知情同意</w:t>
      </w:r>
      <w:r>
        <w:rPr>
          <w:rFonts w:hint="eastAsia" w:eastAsia="宋体"/>
          <w:snapToGrid w:val="0"/>
          <w:kern w:val="0"/>
          <w:sz w:val="24"/>
          <w:szCs w:val="24"/>
        </w:rPr>
        <w:t>书应明确说明，通过参与研究，受试者记录自动成为研究数据库的一部分，</w:t>
      </w:r>
      <w:r>
        <w:rPr>
          <w:rFonts w:eastAsia="宋体"/>
          <w:snapToGrid w:val="0"/>
          <w:kern w:val="0"/>
          <w:sz w:val="24"/>
          <w:szCs w:val="24"/>
        </w:rPr>
        <w:t>受</w:t>
      </w:r>
      <w:r>
        <w:rPr>
          <w:rFonts w:hint="eastAsia" w:eastAsia="宋体"/>
          <w:snapToGrid w:val="0"/>
          <w:kern w:val="0"/>
          <w:sz w:val="24"/>
          <w:szCs w:val="24"/>
        </w:rPr>
        <w:t>试者无权使其记录免于</w:t>
      </w:r>
      <w:r>
        <w:rPr>
          <w:rFonts w:eastAsia="宋体"/>
          <w:snapToGrid w:val="0"/>
          <w:kern w:val="0"/>
          <w:sz w:val="24"/>
          <w:szCs w:val="24"/>
        </w:rPr>
        <w:t>FDA</w:t>
      </w:r>
      <w:r>
        <w:rPr>
          <w:rFonts w:hint="eastAsia" w:eastAsia="宋体"/>
          <w:snapToGrid w:val="0"/>
          <w:kern w:val="0"/>
          <w:sz w:val="24"/>
          <w:szCs w:val="24"/>
        </w:rPr>
        <w:t>的审核</w:t>
      </w:r>
      <w:r>
        <w:rPr>
          <w:rFonts w:eastAsia="宋体"/>
          <w:snapToGrid w:val="0"/>
          <w:kern w:val="0"/>
          <w:sz w:val="24"/>
          <w:szCs w:val="24"/>
        </w:rPr>
        <w:t>／</w:t>
      </w:r>
      <w:r>
        <w:rPr>
          <w:rFonts w:hint="eastAsia" w:eastAsia="宋体"/>
          <w:snapToGrid w:val="0"/>
          <w:kern w:val="0"/>
          <w:sz w:val="24"/>
          <w:szCs w:val="24"/>
        </w:rPr>
        <w:t>审查。</w:t>
      </w:r>
    </w:p>
    <w:p w14:paraId="5A594CC6">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当该机构复制和审查可识别的个人医疗记录（通常由临床研究者而不是由</w:t>
      </w:r>
      <w:r>
        <w:rPr>
          <w:rFonts w:eastAsia="宋体"/>
          <w:snapToGrid w:val="0"/>
          <w:kern w:val="0"/>
          <w:sz w:val="24"/>
          <w:szCs w:val="24"/>
        </w:rPr>
        <w:t>IRB</w:t>
      </w:r>
      <w:r>
        <w:rPr>
          <w:rFonts w:hint="eastAsia" w:eastAsia="宋体"/>
          <w:snapToGrid w:val="0"/>
          <w:kern w:val="0"/>
          <w:sz w:val="24"/>
          <w:szCs w:val="24"/>
        </w:rPr>
        <w:t>保存</w:t>
      </w:r>
      <w:r>
        <w:rPr>
          <w:rFonts w:eastAsia="宋体"/>
          <w:snapToGrid w:val="0"/>
          <w:kern w:val="0"/>
          <w:sz w:val="24"/>
          <w:szCs w:val="24"/>
        </w:rPr>
        <w:t>）</w:t>
      </w:r>
      <w:r>
        <w:rPr>
          <w:rFonts w:hint="eastAsia" w:eastAsia="宋体"/>
          <w:snapToGrid w:val="0"/>
          <w:kern w:val="0"/>
          <w:sz w:val="24"/>
          <w:szCs w:val="24"/>
        </w:rPr>
        <w:t>时，</w:t>
      </w:r>
      <w:r>
        <w:rPr>
          <w:rFonts w:eastAsia="宋体"/>
          <w:snapToGrid w:val="0"/>
          <w:kern w:val="0"/>
          <w:sz w:val="24"/>
          <w:szCs w:val="24"/>
        </w:rPr>
        <w:t>FDA</w:t>
      </w:r>
      <w:r>
        <w:rPr>
          <w:rFonts w:hint="eastAsia" w:eastAsia="宋体"/>
          <w:snapToGrid w:val="0"/>
          <w:kern w:val="0"/>
          <w:sz w:val="24"/>
          <w:szCs w:val="24"/>
        </w:rPr>
        <w:t>将遵循适当的保密程序。</w:t>
      </w:r>
      <w:r>
        <w:rPr>
          <w:rFonts w:eastAsia="宋体"/>
          <w:snapToGrid w:val="0"/>
          <w:kern w:val="0"/>
          <w:sz w:val="24"/>
          <w:szCs w:val="24"/>
        </w:rPr>
        <w:t>然而，根据有</w:t>
      </w:r>
      <w:r>
        <w:rPr>
          <w:rFonts w:hint="eastAsia" w:eastAsia="宋体"/>
          <w:snapToGrid w:val="0"/>
          <w:kern w:val="0"/>
          <w:sz w:val="24"/>
          <w:szCs w:val="24"/>
        </w:rPr>
        <w:t>关信息公开披露的法律和该机构的执法责任，无法保证绝对保密。</w:t>
      </w:r>
    </w:p>
    <w:p w14:paraId="7D2A443C">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39.在进行知情同意访谈时，谁应在场？</w:t>
      </w:r>
    </w:p>
    <w:p w14:paraId="1FC4DEA2">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FDA不要求第三人</w:t>
      </w:r>
      <w:r>
        <w:rPr>
          <w:rFonts w:hint="eastAsia" w:eastAsia="宋体"/>
          <w:snapToGrid w:val="0"/>
          <w:kern w:val="0"/>
          <w:sz w:val="24"/>
          <w:szCs w:val="24"/>
        </w:rPr>
        <w:t>见证同意访谈，除非该受试者或代理人没有机会在签署前阅读同意书，请参阅</w:t>
      </w:r>
      <w:r>
        <w:rPr>
          <w:rFonts w:hint="eastAsia" w:ascii="宋体" w:hAnsi="宋体" w:eastAsia="宋体"/>
          <w:snapToGrid w:val="0"/>
          <w:kern w:val="0"/>
          <w:sz w:val="24"/>
          <w:szCs w:val="24"/>
        </w:rPr>
        <w:t>“</w:t>
      </w:r>
      <w:r>
        <w:rPr>
          <w:rFonts w:eastAsia="宋体"/>
          <w:snapToGrid w:val="0"/>
          <w:kern w:val="0"/>
          <w:sz w:val="24"/>
          <w:szCs w:val="24"/>
        </w:rPr>
        <w:t>21 CFR 50.27（b）</w:t>
      </w:r>
      <w:r>
        <w:rPr>
          <w:rFonts w:ascii="宋体" w:hAnsi="宋体" w:eastAsia="宋体"/>
          <w:snapToGrid w:val="0"/>
          <w:kern w:val="0"/>
          <w:sz w:val="24"/>
          <w:szCs w:val="24"/>
        </w:rPr>
        <w:t>”</w:t>
      </w:r>
      <w:r>
        <w:rPr>
          <w:rFonts w:eastAsia="宋体"/>
          <w:snapToGrid w:val="0"/>
          <w:kern w:val="0"/>
          <w:sz w:val="24"/>
          <w:szCs w:val="24"/>
        </w:rPr>
        <w:t>。</w:t>
      </w:r>
      <w:r>
        <w:rPr>
          <w:rFonts w:hint="eastAsia" w:eastAsia="宋体"/>
          <w:snapToGrid w:val="0"/>
          <w:kern w:val="0"/>
          <w:sz w:val="24"/>
          <w:szCs w:val="24"/>
        </w:rPr>
        <w:t>进行同意访谈的人应该对研究有所了解，能够回答问题，</w:t>
      </w:r>
      <w:r>
        <w:rPr>
          <w:rFonts w:eastAsia="宋体"/>
          <w:snapToGrid w:val="0"/>
          <w:kern w:val="0"/>
          <w:sz w:val="24"/>
          <w:szCs w:val="24"/>
        </w:rPr>
        <w:t>FDA</w:t>
      </w:r>
      <w:r>
        <w:rPr>
          <w:rFonts w:hint="eastAsia" w:eastAsia="宋体"/>
          <w:snapToGrid w:val="0"/>
          <w:kern w:val="0"/>
          <w:sz w:val="24"/>
          <w:szCs w:val="24"/>
        </w:rPr>
        <w:t>未指定这个人应该是谁。</w:t>
      </w:r>
      <w:r>
        <w:rPr>
          <w:rFonts w:eastAsia="宋体"/>
          <w:snapToGrid w:val="0"/>
          <w:kern w:val="0"/>
          <w:sz w:val="24"/>
          <w:szCs w:val="24"/>
        </w:rPr>
        <w:t>一些</w:t>
      </w:r>
      <w:r>
        <w:rPr>
          <w:rFonts w:hint="eastAsia" w:eastAsia="宋体"/>
          <w:snapToGrid w:val="0"/>
          <w:kern w:val="0"/>
          <w:sz w:val="24"/>
          <w:szCs w:val="24"/>
        </w:rPr>
        <w:t>申办者和</w:t>
      </w:r>
      <w:r>
        <w:rPr>
          <w:rFonts w:eastAsia="宋体"/>
          <w:snapToGrid w:val="0"/>
          <w:kern w:val="0"/>
          <w:sz w:val="24"/>
          <w:szCs w:val="24"/>
        </w:rPr>
        <w:t>IRB要求</w:t>
      </w:r>
      <w:r>
        <w:rPr>
          <w:rFonts w:hint="eastAsia" w:eastAsia="宋体"/>
          <w:snapToGrid w:val="0"/>
          <w:kern w:val="0"/>
          <w:sz w:val="24"/>
          <w:szCs w:val="24"/>
        </w:rPr>
        <w:t>临床研究者亲自进行同意访谈，</w:t>
      </w:r>
      <w:r>
        <w:rPr>
          <w:rFonts w:eastAsia="宋体"/>
          <w:snapToGrid w:val="0"/>
          <w:kern w:val="0"/>
          <w:sz w:val="24"/>
          <w:szCs w:val="24"/>
        </w:rPr>
        <w:t>但如</w:t>
      </w:r>
      <w:r>
        <w:rPr>
          <w:rFonts w:hint="eastAsia" w:eastAsia="宋体"/>
          <w:snapToGrid w:val="0"/>
          <w:kern w:val="0"/>
          <w:sz w:val="24"/>
          <w:szCs w:val="24"/>
        </w:rPr>
        <w:t>果是由临床研究者以外的其他人进行访谈并获得了同意，则应由临床研究者正式授权该责任者，且获此授权的人员应接受过适当的培训以进行此项活动。</w:t>
      </w:r>
    </w:p>
    <w:p w14:paraId="705E4943">
      <w:pPr>
        <w:spacing w:after="0" w:line="240" w:lineRule="auto"/>
        <w:rPr>
          <w:rFonts w:ascii="Arial" w:hAnsi="Arial" w:eastAsia="宋体" w:cs="Arial"/>
          <w:b/>
          <w:snapToGrid w:val="0"/>
          <w:szCs w:val="24"/>
        </w:rPr>
      </w:pPr>
      <w:r>
        <w:rPr>
          <w:rFonts w:eastAsia="宋体"/>
          <w:b/>
          <w:snapToGrid w:val="0"/>
          <w:szCs w:val="24"/>
        </w:rPr>
        <w:br w:type="page"/>
      </w:r>
    </w:p>
    <w:p w14:paraId="7C99910A">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40.如何</w:t>
      </w:r>
      <w:r>
        <w:rPr>
          <w:rFonts w:hint="eastAsia" w:eastAsia="宋体"/>
          <w:b/>
          <w:snapToGrid w:val="0"/>
          <w:kern w:val="0"/>
          <w:sz w:val="24"/>
          <w:szCs w:val="24"/>
        </w:rPr>
        <w:t>获得会说、能听懂但不识字人员的知情同意？</w:t>
      </w:r>
    </w:p>
    <w:p w14:paraId="1FE55410">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同意为能听懂英语但不识字人员阅读，并</w:t>
      </w:r>
      <w:r>
        <w:rPr>
          <w:rFonts w:hint="eastAsia" w:ascii="宋体" w:hAnsi="宋体" w:eastAsia="宋体"/>
          <w:snapToGrid w:val="0"/>
          <w:kern w:val="0"/>
          <w:sz w:val="24"/>
          <w:szCs w:val="24"/>
        </w:rPr>
        <w:t>“</w:t>
      </w:r>
      <w:r>
        <w:rPr>
          <w:rFonts w:hint="eastAsia" w:eastAsia="宋体"/>
          <w:snapToGrid w:val="0"/>
          <w:kern w:val="0"/>
          <w:sz w:val="24"/>
          <w:szCs w:val="24"/>
        </w:rPr>
        <w:t>做出他们的标记</w:t>
      </w:r>
      <w:r>
        <w:rPr>
          <w:rFonts w:hint="eastAsia" w:ascii="宋体" w:hAnsi="宋体" w:eastAsia="宋体"/>
          <w:snapToGrid w:val="0"/>
          <w:kern w:val="0"/>
          <w:sz w:val="24"/>
          <w:szCs w:val="24"/>
        </w:rPr>
        <w:t>”</w:t>
      </w:r>
      <w:r>
        <w:rPr>
          <w:rFonts w:hint="eastAsia" w:eastAsia="宋体"/>
          <w:snapToGrid w:val="0"/>
          <w:kern w:val="0"/>
          <w:sz w:val="24"/>
          <w:szCs w:val="24"/>
        </w:rPr>
        <w:t>（如适用，可根据该州法律）。</w:t>
      </w:r>
      <w:r>
        <w:rPr>
          <w:rFonts w:eastAsia="宋体"/>
          <w:snapToGrid w:val="0"/>
          <w:kern w:val="0"/>
          <w:sz w:val="24"/>
          <w:szCs w:val="24"/>
        </w:rPr>
        <w:t>如果使用</w:t>
      </w:r>
      <w:r>
        <w:rPr>
          <w:rFonts w:ascii="宋体" w:hAnsi="宋体" w:eastAsia="宋体"/>
          <w:snapToGrid w:val="0"/>
          <w:kern w:val="0"/>
          <w:sz w:val="24"/>
          <w:szCs w:val="24"/>
        </w:rPr>
        <w:t>“</w:t>
      </w:r>
      <w:r>
        <w:rPr>
          <w:rFonts w:hint="eastAsia" w:eastAsia="宋体"/>
          <w:snapToGrid w:val="0"/>
          <w:kern w:val="0"/>
          <w:sz w:val="24"/>
          <w:szCs w:val="24"/>
        </w:rPr>
        <w:t>简易格式</w:t>
      </w:r>
      <w:r>
        <w:rPr>
          <w:rFonts w:hint="eastAsia" w:ascii="宋体" w:hAnsi="宋体" w:eastAsia="宋体"/>
          <w:snapToGrid w:val="0"/>
          <w:kern w:val="0"/>
          <w:sz w:val="24"/>
          <w:szCs w:val="24"/>
        </w:rPr>
        <w:t>”</w:t>
      </w:r>
      <w:r>
        <w:rPr>
          <w:rFonts w:hint="eastAsia" w:eastAsia="宋体"/>
          <w:snapToGrid w:val="0"/>
          <w:kern w:val="0"/>
          <w:sz w:val="24"/>
          <w:szCs w:val="24"/>
        </w:rPr>
        <w:t>，则必须遵守</w:t>
      </w:r>
      <w:r>
        <w:rPr>
          <w:rFonts w:eastAsia="宋体"/>
          <w:snapToGrid w:val="0"/>
          <w:kern w:val="0"/>
          <w:sz w:val="24"/>
          <w:szCs w:val="24"/>
        </w:rPr>
        <w:t>21 CFR 50.27 （b）（2）</w:t>
      </w:r>
      <w:r>
        <w:rPr>
          <w:rFonts w:hint="eastAsia" w:eastAsia="宋体"/>
          <w:snapToGrid w:val="0"/>
          <w:kern w:val="0"/>
          <w:sz w:val="24"/>
          <w:szCs w:val="24"/>
        </w:rPr>
        <w:t>签字同意程序的证人要求和执行同意访谈人员的签名要求。临床研究者在招募那些可能无法真正知道他们同意做什么的受试者时应多加注意。</w:t>
      </w:r>
      <w:r>
        <w:rPr>
          <w:rFonts w:eastAsia="宋体"/>
          <w:snapToGrid w:val="0"/>
          <w:kern w:val="0"/>
          <w:sz w:val="24"/>
          <w:szCs w:val="24"/>
        </w:rPr>
        <w:t>IRB</w:t>
      </w:r>
      <w:r>
        <w:rPr>
          <w:rFonts w:hint="eastAsia" w:eastAsia="宋体"/>
          <w:snapToGrid w:val="0"/>
          <w:kern w:val="0"/>
          <w:sz w:val="24"/>
          <w:szCs w:val="24"/>
        </w:rPr>
        <w:t>应考虑不识字人员容易受到胁迫和不正当的影响，并且在预见到这些人的入组时应确定适当的额外保障措施，见</w:t>
      </w:r>
      <w:r>
        <w:rPr>
          <w:rFonts w:eastAsia="宋体"/>
          <w:snapToGrid w:val="0"/>
          <w:kern w:val="0"/>
          <w:sz w:val="24"/>
          <w:szCs w:val="24"/>
        </w:rPr>
        <w:t>21 CFR 56.111（b）。</w:t>
      </w:r>
    </w:p>
    <w:p w14:paraId="18F95682">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41.</w:t>
      </w:r>
      <w:r>
        <w:rPr>
          <w:rFonts w:hint="eastAsia" w:eastAsia="宋体"/>
          <w:b/>
          <w:snapToGrid w:val="0"/>
          <w:kern w:val="0"/>
          <w:sz w:val="24"/>
          <w:szCs w:val="24"/>
        </w:rPr>
        <w:t>证人必须看到整个同意访谈过程，还是只看到受试者的签字？</w:t>
      </w:r>
    </w:p>
    <w:p w14:paraId="316F3D3D">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如</w:t>
      </w:r>
      <w:r>
        <w:rPr>
          <w:rFonts w:eastAsia="宋体"/>
          <w:snapToGrid w:val="0"/>
          <w:kern w:val="0"/>
          <w:sz w:val="24"/>
          <w:szCs w:val="24"/>
        </w:rPr>
        <w:t>21 CFR 50.27 （b）（1）所述，</w:t>
      </w:r>
      <w:r>
        <w:rPr>
          <w:rFonts w:hint="eastAsia" w:eastAsia="宋体"/>
          <w:snapToGrid w:val="0"/>
          <w:kern w:val="0"/>
          <w:sz w:val="24"/>
          <w:szCs w:val="24"/>
        </w:rPr>
        <w:t>当受试者能够阅读并理解同意文件时，</w:t>
      </w:r>
      <w:r>
        <w:rPr>
          <w:rFonts w:eastAsia="宋体"/>
          <w:snapToGrid w:val="0"/>
          <w:kern w:val="0"/>
          <w:sz w:val="24"/>
          <w:szCs w:val="24"/>
        </w:rPr>
        <w:t>FDA不要求</w:t>
      </w:r>
      <w:r>
        <w:rPr>
          <w:rFonts w:hint="eastAsia" w:eastAsia="宋体"/>
          <w:snapToGrid w:val="0"/>
          <w:kern w:val="0"/>
          <w:sz w:val="24"/>
          <w:szCs w:val="24"/>
        </w:rPr>
        <w:t>证人签名。其预期</w:t>
      </w:r>
      <w:r>
        <w:rPr>
          <w:rFonts w:eastAsia="宋体"/>
          <w:snapToGrid w:val="0"/>
          <w:kern w:val="0"/>
          <w:sz w:val="24"/>
          <w:szCs w:val="24"/>
        </w:rPr>
        <w:t>目的是</w:t>
      </w:r>
      <w:r>
        <w:rPr>
          <w:rFonts w:hint="eastAsia" w:eastAsia="宋体"/>
          <w:snapToGrid w:val="0"/>
          <w:kern w:val="0"/>
          <w:sz w:val="24"/>
          <w:szCs w:val="24"/>
        </w:rPr>
        <w:t>让证人在整个同意访谈中在场，并证明陈述的准确性和受试者的明确理解。</w:t>
      </w:r>
      <w:r>
        <w:rPr>
          <w:rFonts w:eastAsia="宋体"/>
          <w:snapToGrid w:val="0"/>
          <w:kern w:val="0"/>
          <w:sz w:val="24"/>
          <w:szCs w:val="24"/>
        </w:rPr>
        <w:t>如果</w:t>
      </w:r>
      <w:r>
        <w:rPr>
          <w:rFonts w:hint="eastAsia" w:eastAsia="宋体"/>
          <w:snapToGrid w:val="0"/>
          <w:kern w:val="0"/>
          <w:sz w:val="24"/>
          <w:szCs w:val="24"/>
        </w:rPr>
        <w:t>法规的意图只是为了证明该受试者签名的有效性，则当受试者阅读同意书时，也需要见证。</w:t>
      </w:r>
    </w:p>
    <w:p w14:paraId="43E0C62A">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42.</w:t>
      </w:r>
      <w:r>
        <w:rPr>
          <w:rFonts w:hint="eastAsia" w:eastAsia="宋体"/>
          <w:b/>
          <w:snapToGrid w:val="0"/>
          <w:kern w:val="0"/>
          <w:sz w:val="24"/>
          <w:szCs w:val="24"/>
        </w:rPr>
        <w:t>申办者应如何准备知情同意文件的样式？</w:t>
      </w:r>
    </w:p>
    <w:p w14:paraId="1691BE2A">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虽然</w:t>
      </w:r>
      <w:r>
        <w:rPr>
          <w:rFonts w:eastAsia="宋体"/>
          <w:snapToGrid w:val="0"/>
          <w:kern w:val="0"/>
          <w:sz w:val="24"/>
          <w:szCs w:val="24"/>
        </w:rPr>
        <w:t>IND</w:t>
      </w:r>
      <w:r>
        <w:rPr>
          <w:rFonts w:hint="eastAsia" w:eastAsia="宋体"/>
          <w:snapToGrid w:val="0"/>
          <w:kern w:val="0"/>
          <w:sz w:val="24"/>
          <w:szCs w:val="24"/>
        </w:rPr>
        <w:t>规定未作要求，但申办者在准备所建议研究同意书的科学和技术内容的具体措辞时，是为临床研究者和</w:t>
      </w:r>
      <w:r>
        <w:rPr>
          <w:rFonts w:eastAsia="宋体"/>
          <w:snapToGrid w:val="0"/>
          <w:kern w:val="0"/>
          <w:sz w:val="24"/>
          <w:szCs w:val="24"/>
        </w:rPr>
        <w:t>IRB提供服</w:t>
      </w:r>
      <w:r>
        <w:rPr>
          <w:rFonts w:hint="eastAsia" w:eastAsia="宋体"/>
          <w:snapToGrid w:val="0"/>
          <w:kern w:val="0"/>
          <w:sz w:val="24"/>
          <w:szCs w:val="24"/>
        </w:rPr>
        <w:t>务。</w:t>
      </w:r>
      <w:r>
        <w:rPr>
          <w:rFonts w:eastAsia="宋体"/>
          <w:snapToGrid w:val="0"/>
          <w:kern w:val="0"/>
          <w:sz w:val="24"/>
          <w:szCs w:val="24"/>
        </w:rPr>
        <w:t>然而，IRB有</w:t>
      </w:r>
      <w:r>
        <w:rPr>
          <w:rFonts w:hint="eastAsia" w:eastAsia="宋体"/>
          <w:snapToGrid w:val="0"/>
          <w:kern w:val="0"/>
          <w:sz w:val="24"/>
          <w:szCs w:val="24"/>
        </w:rPr>
        <w:t>责任和有权力确定所有同意书中所有措辞的妥当性和适用性，参见</w:t>
      </w:r>
      <w:r>
        <w:rPr>
          <w:rFonts w:eastAsia="宋体"/>
          <w:snapToGrid w:val="0"/>
          <w:kern w:val="0"/>
          <w:sz w:val="24"/>
          <w:szCs w:val="24"/>
        </w:rPr>
        <w:t>21 CFR 56.109（a），111 （a）（4）和111 （a）（5）。如果IRB</w:t>
      </w:r>
      <w:r>
        <w:rPr>
          <w:rFonts w:hint="eastAsia" w:eastAsia="宋体"/>
          <w:snapToGrid w:val="0"/>
          <w:kern w:val="0"/>
          <w:sz w:val="24"/>
          <w:szCs w:val="24"/>
        </w:rPr>
        <w:t>坚决要求申办者使用其所不能接受的措辞，则申办者可以决定不在该研究中心进行研究。对于在</w:t>
      </w:r>
      <w:r>
        <w:rPr>
          <w:rFonts w:eastAsia="宋体"/>
          <w:snapToGrid w:val="0"/>
          <w:kern w:val="0"/>
          <w:sz w:val="24"/>
          <w:szCs w:val="24"/>
        </w:rPr>
        <w:t>IDE下</w:t>
      </w:r>
      <w:r>
        <w:rPr>
          <w:rFonts w:hint="eastAsia" w:eastAsia="宋体"/>
          <w:snapToGrid w:val="0"/>
          <w:kern w:val="0"/>
          <w:sz w:val="24"/>
          <w:szCs w:val="24"/>
        </w:rPr>
        <w:t>进行的医疗器械研究，必须提供给受试者以获得知情同意的所有表单和信息材料的副本提交给</w:t>
      </w:r>
      <w:r>
        <w:rPr>
          <w:rFonts w:eastAsia="宋体"/>
          <w:snapToGrid w:val="0"/>
          <w:kern w:val="0"/>
          <w:sz w:val="24"/>
          <w:szCs w:val="24"/>
        </w:rPr>
        <w:t>FDA作</w:t>
      </w:r>
      <w:r>
        <w:rPr>
          <w:rFonts w:hint="eastAsia" w:eastAsia="宋体"/>
          <w:snapToGrid w:val="0"/>
          <w:kern w:val="0"/>
          <w:sz w:val="24"/>
          <w:szCs w:val="24"/>
        </w:rPr>
        <w:t>为</w:t>
      </w:r>
      <w:r>
        <w:rPr>
          <w:rFonts w:eastAsia="宋体"/>
          <w:snapToGrid w:val="0"/>
          <w:kern w:val="0"/>
          <w:sz w:val="24"/>
          <w:szCs w:val="24"/>
        </w:rPr>
        <w:t>IDE的一部分，</w:t>
      </w:r>
      <w:r>
        <w:rPr>
          <w:rFonts w:hint="eastAsia" w:eastAsia="宋体"/>
          <w:snapToGrid w:val="0"/>
          <w:kern w:val="0"/>
          <w:sz w:val="24"/>
          <w:szCs w:val="24"/>
        </w:rPr>
        <w:t>参见</w:t>
      </w:r>
      <w:r>
        <w:rPr>
          <w:rFonts w:eastAsia="宋体"/>
          <w:snapToGrid w:val="0"/>
          <w:kern w:val="0"/>
          <w:sz w:val="24"/>
          <w:szCs w:val="24"/>
        </w:rPr>
        <w:t>21 CFR 812.25（g）。</w:t>
      </w:r>
    </w:p>
    <w:p w14:paraId="0FF0E329">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43.申办者是否需要审查</w:t>
      </w:r>
      <w:r>
        <w:rPr>
          <w:rFonts w:eastAsia="宋体"/>
          <w:b/>
          <w:snapToGrid w:val="0"/>
          <w:kern w:val="0"/>
          <w:sz w:val="24"/>
          <w:szCs w:val="24"/>
        </w:rPr>
        <w:t>IRB批准的同意</w:t>
      </w:r>
      <w:r>
        <w:rPr>
          <w:rFonts w:hint="eastAsia" w:eastAsia="宋体"/>
          <w:b/>
          <w:snapToGrid w:val="0"/>
          <w:kern w:val="0"/>
          <w:sz w:val="24"/>
          <w:szCs w:val="24"/>
        </w:rPr>
        <w:t>书，以确保满足所有</w:t>
      </w:r>
      <w:r>
        <w:rPr>
          <w:rFonts w:eastAsia="宋体"/>
          <w:b/>
          <w:snapToGrid w:val="0"/>
          <w:kern w:val="0"/>
          <w:sz w:val="24"/>
          <w:szCs w:val="24"/>
        </w:rPr>
        <w:t>FDA要求？</w:t>
      </w:r>
    </w:p>
    <w:p w14:paraId="7221719F">
      <w:pPr>
        <w:widowControl w:val="0"/>
        <w:topLinePunct/>
        <w:adjustRightInd w:val="0"/>
        <w:snapToGrid w:val="0"/>
        <w:spacing w:after="244" w:afterLines="75" w:line="300" w:lineRule="auto"/>
        <w:jc w:val="both"/>
        <w:rPr>
          <w:rFonts w:ascii="Arial" w:hAnsi="Arial" w:eastAsia="宋体" w:cs="Arial"/>
          <w:b/>
          <w:snapToGrid w:val="0"/>
          <w:szCs w:val="24"/>
        </w:rPr>
      </w:pPr>
      <w:r>
        <w:rPr>
          <w:rFonts w:ascii="Arial" w:hAnsi="Arial" w:eastAsia="宋体" w:cs="Arial"/>
          <w:b/>
          <w:snapToGrid w:val="0"/>
          <w:szCs w:val="24"/>
        </w:rPr>
        <w:br w:type="page"/>
      </w:r>
    </w:p>
    <w:p w14:paraId="3DDA3B1C">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对于研究用器械，知情同意书是</w:t>
      </w:r>
      <w:r>
        <w:rPr>
          <w:rFonts w:eastAsia="宋体"/>
          <w:snapToGrid w:val="0"/>
          <w:kern w:val="0"/>
          <w:sz w:val="24"/>
          <w:szCs w:val="24"/>
        </w:rPr>
        <w:t>IDE提交的必要部分。因此，它</w:t>
      </w:r>
      <w:r>
        <w:rPr>
          <w:rFonts w:hint="eastAsia" w:eastAsia="宋体"/>
          <w:snapToGrid w:val="0"/>
          <w:kern w:val="0"/>
          <w:sz w:val="24"/>
          <w:szCs w:val="24"/>
        </w:rPr>
        <w:t>作为</w:t>
      </w:r>
      <w:r>
        <w:rPr>
          <w:rFonts w:eastAsia="宋体"/>
          <w:snapToGrid w:val="0"/>
          <w:kern w:val="0"/>
          <w:sz w:val="24"/>
          <w:szCs w:val="24"/>
        </w:rPr>
        <w:t>IDE</w:t>
      </w:r>
      <w:r>
        <w:rPr>
          <w:rFonts w:hint="eastAsia" w:eastAsia="宋体"/>
          <w:snapToGrid w:val="0"/>
          <w:kern w:val="0"/>
          <w:sz w:val="24"/>
          <w:szCs w:val="24"/>
        </w:rPr>
        <w:t>应用的一部分</w:t>
      </w:r>
      <w:r>
        <w:rPr>
          <w:rFonts w:eastAsia="宋体"/>
          <w:snapToGrid w:val="0"/>
          <w:kern w:val="0"/>
          <w:sz w:val="24"/>
          <w:szCs w:val="24"/>
        </w:rPr>
        <w:t>被FDA批准</w:t>
      </w:r>
      <w:r>
        <w:rPr>
          <w:rFonts w:hint="eastAsia" w:eastAsia="宋体"/>
          <w:snapToGrid w:val="0"/>
          <w:kern w:val="0"/>
          <w:sz w:val="24"/>
          <w:szCs w:val="24"/>
        </w:rPr>
        <w:t>。当</w:t>
      </w:r>
      <w:r>
        <w:rPr>
          <w:rFonts w:eastAsia="宋体"/>
          <w:snapToGrid w:val="0"/>
          <w:kern w:val="0"/>
          <w:sz w:val="24"/>
          <w:szCs w:val="24"/>
        </w:rPr>
        <w:t>IRB在文件中</w:t>
      </w:r>
      <w:r>
        <w:rPr>
          <w:rFonts w:hint="eastAsia" w:eastAsia="宋体"/>
          <w:snapToGrid w:val="0"/>
          <w:kern w:val="0"/>
          <w:sz w:val="24"/>
          <w:szCs w:val="24"/>
        </w:rPr>
        <w:t>进行了实质性修改时，需要</w:t>
      </w:r>
      <w:r>
        <w:rPr>
          <w:rFonts w:eastAsia="宋体"/>
          <w:snapToGrid w:val="0"/>
          <w:kern w:val="0"/>
          <w:sz w:val="24"/>
          <w:szCs w:val="24"/>
        </w:rPr>
        <w:t>FDA</w:t>
      </w:r>
      <w:r>
        <w:rPr>
          <w:rFonts w:hint="eastAsia" w:eastAsia="宋体"/>
          <w:snapToGrid w:val="0"/>
          <w:kern w:val="0"/>
          <w:sz w:val="24"/>
          <w:szCs w:val="24"/>
        </w:rPr>
        <w:t>的</w:t>
      </w:r>
      <w:r>
        <w:rPr>
          <w:rFonts w:eastAsia="宋体"/>
          <w:snapToGrid w:val="0"/>
          <w:kern w:val="0"/>
          <w:sz w:val="24"/>
          <w:szCs w:val="24"/>
        </w:rPr>
        <w:t>重新批准，并且</w:t>
      </w:r>
      <w:r>
        <w:rPr>
          <w:rFonts w:hint="eastAsia" w:eastAsia="宋体"/>
          <w:snapToGrid w:val="0"/>
          <w:kern w:val="0"/>
          <w:sz w:val="24"/>
          <w:szCs w:val="24"/>
        </w:rPr>
        <w:t>申办者必须参与此过程。</w:t>
      </w:r>
    </w:p>
    <w:p w14:paraId="1B510482">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w:t>
      </w:r>
      <w:r>
        <w:rPr>
          <w:rFonts w:hint="eastAsia" w:eastAsia="宋体"/>
          <w:snapToGrid w:val="0"/>
          <w:kern w:val="0"/>
          <w:sz w:val="24"/>
          <w:szCs w:val="24"/>
        </w:rPr>
        <w:t>对其他产品的规定并不特别要求申办者审查</w:t>
      </w:r>
      <w:r>
        <w:rPr>
          <w:rFonts w:eastAsia="宋体"/>
          <w:snapToGrid w:val="0"/>
          <w:kern w:val="0"/>
          <w:sz w:val="24"/>
          <w:szCs w:val="24"/>
        </w:rPr>
        <w:t>IRB批准的同意文件。但是，大多</w:t>
      </w:r>
      <w:r>
        <w:rPr>
          <w:rFonts w:hint="eastAsia" w:eastAsia="宋体"/>
          <w:snapToGrid w:val="0"/>
          <w:kern w:val="0"/>
          <w:sz w:val="24"/>
          <w:szCs w:val="24"/>
        </w:rPr>
        <w:t>数申办者都会进行该项审查，以确保措辞可被申办者接受。</w:t>
      </w:r>
    </w:p>
    <w:p w14:paraId="2D6E5FA3">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44.有没有从受试者处获得知情同意的替代方式？</w:t>
      </w:r>
    </w:p>
    <w:p w14:paraId="430E93A2">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法规通常要求研究者获得受试者的知情同意，研究者也可以获得受试者法定授权代理人的知情同意。</w:t>
      </w:r>
      <w:r>
        <w:rPr>
          <w:rFonts w:eastAsia="宋体"/>
          <w:snapToGrid w:val="0"/>
          <w:kern w:val="0"/>
          <w:sz w:val="24"/>
          <w:szCs w:val="24"/>
        </w:rPr>
        <w:t>FDA</w:t>
      </w:r>
      <w:r>
        <w:rPr>
          <w:rFonts w:hint="eastAsia" w:eastAsia="宋体"/>
          <w:snapToGrid w:val="0"/>
          <w:kern w:val="0"/>
          <w:sz w:val="24"/>
          <w:szCs w:val="24"/>
        </w:rPr>
        <w:t>认为，根据某些州和地方法律，持久代理权可能足以证明合法授权的代理人。例如，受试者可能已通过持久授权委托书指定某个人就医疗保健决定给予同意，还指定此人有权对纳入研究做出决定。关于谁是合法的授权代理人，</w:t>
      </w:r>
      <w:r>
        <w:rPr>
          <w:rFonts w:eastAsia="宋体"/>
          <w:snapToGrid w:val="0"/>
          <w:kern w:val="0"/>
          <w:sz w:val="24"/>
          <w:szCs w:val="24"/>
        </w:rPr>
        <w:t>FDA</w:t>
      </w:r>
      <w:r>
        <w:rPr>
          <w:rFonts w:hint="eastAsia" w:eastAsia="宋体"/>
          <w:snapToGrid w:val="0"/>
          <w:kern w:val="0"/>
          <w:sz w:val="24"/>
          <w:szCs w:val="24"/>
        </w:rPr>
        <w:t>遵从州和地方法律的规定。因此，</w:t>
      </w:r>
      <w:r>
        <w:rPr>
          <w:rFonts w:eastAsia="宋体"/>
          <w:snapToGrid w:val="0"/>
          <w:kern w:val="0"/>
          <w:sz w:val="24"/>
          <w:szCs w:val="24"/>
        </w:rPr>
        <w:t>IRB</w:t>
      </w:r>
      <w:r>
        <w:rPr>
          <w:rFonts w:hint="eastAsia" w:eastAsia="宋体"/>
          <w:snapToGrid w:val="0"/>
          <w:kern w:val="0"/>
          <w:sz w:val="24"/>
          <w:szCs w:val="24"/>
        </w:rPr>
        <w:t>应确保同意程序符合州和地方法律，包括确保法律适用于获得参加研究的受试者的知情同意，以及需要医疗保健决定的患者的知情同意。</w:t>
      </w:r>
      <w:r>
        <w:rPr>
          <w:rFonts w:hint="eastAsia" w:ascii="宋体" w:hAnsi="宋体" w:eastAsia="宋体"/>
          <w:snapToGrid w:val="0"/>
          <w:kern w:val="0"/>
          <w:sz w:val="24"/>
          <w:szCs w:val="24"/>
        </w:rPr>
        <w:t>”</w:t>
      </w:r>
    </w:p>
    <w:p w14:paraId="27BF02ED">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法规中提供的替代方案</w:t>
      </w:r>
      <w:r>
        <w:rPr>
          <w:rFonts w:eastAsia="宋体"/>
          <w:snapToGrid w:val="0"/>
          <w:kern w:val="0"/>
          <w:sz w:val="24"/>
          <w:szCs w:val="24"/>
        </w:rPr>
        <w:t>1和2是</w:t>
      </w:r>
      <w:r>
        <w:rPr>
          <w:rFonts w:hint="eastAsia" w:eastAsia="宋体"/>
          <w:snapToGrid w:val="0"/>
          <w:kern w:val="0"/>
          <w:sz w:val="24"/>
          <w:szCs w:val="24"/>
        </w:rPr>
        <w:t>适当的，替代方案</w:t>
      </w:r>
      <w:r>
        <w:rPr>
          <w:rFonts w:eastAsia="宋体"/>
          <w:snapToGrid w:val="0"/>
          <w:kern w:val="0"/>
          <w:sz w:val="24"/>
          <w:szCs w:val="24"/>
        </w:rPr>
        <w:t>3允</w:t>
      </w:r>
      <w:r>
        <w:rPr>
          <w:rFonts w:hint="eastAsia" w:eastAsia="宋体"/>
          <w:snapToGrid w:val="0"/>
          <w:kern w:val="0"/>
          <w:sz w:val="24"/>
          <w:szCs w:val="24"/>
        </w:rPr>
        <w:t>许指定的个人为患者在卫生保健决定方面给予同意，且特别是在纳入研究时是适当的。关于替代同意，</w:t>
      </w:r>
      <w:r>
        <w:rPr>
          <w:rFonts w:eastAsia="宋体"/>
          <w:snapToGrid w:val="0"/>
          <w:kern w:val="0"/>
          <w:sz w:val="24"/>
          <w:szCs w:val="24"/>
        </w:rPr>
        <w:t>FDA</w:t>
      </w:r>
      <w:r>
        <w:rPr>
          <w:rFonts w:hint="eastAsia" w:eastAsia="宋体"/>
          <w:snapToGrid w:val="0"/>
          <w:kern w:val="0"/>
          <w:sz w:val="24"/>
          <w:szCs w:val="24"/>
        </w:rPr>
        <w:t>遵从州和地方法律的规定。因此，</w:t>
      </w:r>
      <w:r>
        <w:rPr>
          <w:rFonts w:eastAsia="宋体"/>
          <w:snapToGrid w:val="0"/>
          <w:kern w:val="0"/>
          <w:sz w:val="24"/>
          <w:szCs w:val="24"/>
        </w:rPr>
        <w:t>IRB</w:t>
      </w:r>
      <w:r>
        <w:rPr>
          <w:rFonts w:hint="eastAsia" w:eastAsia="宋体"/>
          <w:snapToGrid w:val="0"/>
          <w:kern w:val="0"/>
          <w:sz w:val="24"/>
          <w:szCs w:val="24"/>
        </w:rPr>
        <w:t>应确保同意程序本身符合州和地方法律，包括确保法律适用于获得参与研究的受试者的知情同意，以及需要做出医疗保健决定的患者的知情同意。</w:t>
      </w:r>
    </w:p>
    <w:p w14:paraId="3AC6A692">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45.何时应向研究受试者告知研究中的变更？</w:t>
      </w:r>
    </w:p>
    <w:p w14:paraId="29F8C447">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方案修订版在执行前必须得到</w:t>
      </w:r>
      <w:r>
        <w:rPr>
          <w:rFonts w:eastAsia="宋体"/>
          <w:snapToGrid w:val="0"/>
          <w:kern w:val="0"/>
          <w:sz w:val="24"/>
          <w:szCs w:val="24"/>
        </w:rPr>
        <w:t>IRB的</w:t>
      </w:r>
      <w:r>
        <w:rPr>
          <w:rFonts w:hint="eastAsia" w:eastAsia="宋体"/>
          <w:snapToGrid w:val="0"/>
          <w:kern w:val="0"/>
          <w:sz w:val="24"/>
          <w:szCs w:val="24"/>
        </w:rPr>
        <w:t>审查和批准，除非是用于消除对受试者的明显危害需要做出的即时变更（</w:t>
      </w:r>
      <w:r>
        <w:rPr>
          <w:rFonts w:eastAsia="宋体"/>
          <w:snapToGrid w:val="0"/>
          <w:kern w:val="0"/>
          <w:sz w:val="24"/>
          <w:szCs w:val="24"/>
        </w:rPr>
        <w:t>21 CFR 56.108（a）（4））。</w:t>
      </w:r>
      <w:r>
        <w:rPr>
          <w:rFonts w:hint="eastAsia" w:eastAsia="宋体"/>
          <w:snapToGrid w:val="0"/>
          <w:kern w:val="0"/>
          <w:sz w:val="24"/>
          <w:szCs w:val="24"/>
        </w:rPr>
        <w:t>变更应告知</w:t>
      </w:r>
      <w:r>
        <w:rPr>
          <w:rFonts w:eastAsia="宋体"/>
          <w:snapToGrid w:val="0"/>
          <w:kern w:val="0"/>
          <w:sz w:val="24"/>
          <w:szCs w:val="24"/>
        </w:rPr>
        <w:t>目前</w:t>
      </w:r>
      <w:r>
        <w:rPr>
          <w:rFonts w:hint="eastAsia" w:eastAsia="宋体"/>
          <w:snapToGrid w:val="0"/>
          <w:kern w:val="0"/>
          <w:sz w:val="24"/>
          <w:szCs w:val="24"/>
        </w:rPr>
        <w:t>已</w:t>
      </w:r>
      <w:r>
        <w:rPr>
          <w:rFonts w:eastAsia="宋体"/>
          <w:snapToGrid w:val="0"/>
          <w:kern w:val="0"/>
          <w:sz w:val="24"/>
          <w:szCs w:val="24"/>
        </w:rPr>
        <w:t>入</w:t>
      </w:r>
      <w:r>
        <w:rPr>
          <w:rFonts w:hint="eastAsia" w:eastAsia="宋体"/>
          <w:snapToGrid w:val="0"/>
          <w:kern w:val="0"/>
          <w:sz w:val="24"/>
          <w:szCs w:val="24"/>
        </w:rPr>
        <w:t>组的和有效参与研究的那些受试者，这可能会与受试者是否愿意继续参与研究有关（</w:t>
      </w:r>
      <w:r>
        <w:rPr>
          <w:rFonts w:eastAsia="宋体"/>
          <w:snapToGrid w:val="0"/>
          <w:kern w:val="0"/>
          <w:sz w:val="24"/>
          <w:szCs w:val="24"/>
        </w:rPr>
        <w:t>21 CFR 50.25（b）（5））。FDA不要求</w:t>
      </w:r>
      <w:r>
        <w:rPr>
          <w:rFonts w:hint="eastAsia" w:eastAsia="宋体"/>
          <w:snapToGrid w:val="0"/>
          <w:kern w:val="0"/>
          <w:sz w:val="24"/>
          <w:szCs w:val="24"/>
        </w:rPr>
        <w:t>已完成有效参与研究的受试者重新同意，或者仍处于有效参与的受试者的重新同意（当该变更不会影响其参与时），例如当变更只针对后续的入组受试者进行实施时。</w:t>
      </w:r>
    </w:p>
    <w:p w14:paraId="4E120F10">
      <w:pPr>
        <w:pStyle w:val="41"/>
        <w:shd w:val="clear" w:color="auto" w:fill="auto"/>
        <w:topLinePunct/>
        <w:adjustRightInd w:val="0"/>
        <w:snapToGrid w:val="0"/>
        <w:spacing w:before="0" w:after="244" w:afterLines="75" w:line="300" w:lineRule="auto"/>
        <w:jc w:val="both"/>
        <w:rPr>
          <w:rFonts w:eastAsia="宋体"/>
          <w:b/>
          <w:snapToGrid w:val="0"/>
          <w:kern w:val="0"/>
          <w:sz w:val="24"/>
          <w:szCs w:val="28"/>
        </w:rPr>
      </w:pPr>
      <w:r>
        <w:rPr>
          <w:rFonts w:hint="eastAsia" w:eastAsia="宋体"/>
          <w:b/>
          <w:snapToGrid w:val="0"/>
          <w:kern w:val="0"/>
          <w:sz w:val="24"/>
          <w:szCs w:val="28"/>
        </w:rPr>
        <w:t>V. 知情同意文件的内容</w:t>
      </w:r>
    </w:p>
    <w:p w14:paraId="660FE2DE">
      <w:pPr>
        <w:spacing w:after="0" w:line="240" w:lineRule="auto"/>
        <w:rPr>
          <w:rFonts w:ascii="Arial" w:hAnsi="Arial" w:eastAsia="宋体" w:cs="Arial"/>
          <w:b/>
          <w:snapToGrid w:val="0"/>
          <w:szCs w:val="24"/>
        </w:rPr>
      </w:pPr>
      <w:r>
        <w:rPr>
          <w:rFonts w:eastAsia="宋体"/>
          <w:b/>
          <w:snapToGrid w:val="0"/>
          <w:szCs w:val="24"/>
        </w:rPr>
        <w:br w:type="page"/>
      </w:r>
    </w:p>
    <w:p w14:paraId="5B25556F">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46. IRB可以要求在研究</w:t>
      </w:r>
      <w:r>
        <w:rPr>
          <w:rFonts w:hint="eastAsia" w:eastAsia="宋体"/>
          <w:b/>
          <w:snapToGrid w:val="0"/>
          <w:kern w:val="0"/>
          <w:sz w:val="24"/>
          <w:szCs w:val="24"/>
        </w:rPr>
        <w:t>的</w:t>
      </w:r>
      <w:r>
        <w:rPr>
          <w:rFonts w:eastAsia="宋体"/>
          <w:b/>
          <w:snapToGrid w:val="0"/>
          <w:kern w:val="0"/>
          <w:sz w:val="24"/>
          <w:szCs w:val="24"/>
        </w:rPr>
        <w:t>同意</w:t>
      </w:r>
      <w:r>
        <w:rPr>
          <w:rFonts w:hint="eastAsia" w:eastAsia="宋体"/>
          <w:b/>
          <w:snapToGrid w:val="0"/>
          <w:kern w:val="0"/>
          <w:sz w:val="24"/>
          <w:szCs w:val="24"/>
        </w:rPr>
        <w:t>文件上指出研究的申办者和</w:t>
      </w:r>
      <w:r>
        <w:rPr>
          <w:rFonts w:eastAsia="宋体"/>
          <w:b/>
          <w:snapToGrid w:val="0"/>
          <w:kern w:val="0"/>
          <w:sz w:val="24"/>
          <w:szCs w:val="24"/>
        </w:rPr>
        <w:t>／或</w:t>
      </w:r>
      <w:r>
        <w:rPr>
          <w:rFonts w:hint="eastAsia" w:eastAsia="宋体"/>
          <w:b/>
          <w:snapToGrid w:val="0"/>
          <w:kern w:val="0"/>
          <w:sz w:val="24"/>
          <w:szCs w:val="24"/>
        </w:rPr>
        <w:t>临床研究者吗？</w:t>
      </w:r>
    </w:p>
    <w:p w14:paraId="6C8DD81B">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w:t>
      </w:r>
      <w:r>
        <w:rPr>
          <w:rFonts w:eastAsia="宋体"/>
          <w:snapToGrid w:val="0"/>
          <w:kern w:val="0"/>
          <w:sz w:val="24"/>
          <w:szCs w:val="24"/>
        </w:rPr>
        <w:t>FDA</w:t>
      </w:r>
      <w:r>
        <w:rPr>
          <w:rFonts w:hint="eastAsia" w:eastAsia="宋体"/>
          <w:snapToGrid w:val="0"/>
          <w:kern w:val="0"/>
          <w:sz w:val="24"/>
          <w:szCs w:val="24"/>
        </w:rPr>
        <w:t>对于知情同意的要求是必须将知情同意的最低限度基本要素提交给研究受试者</w:t>
      </w:r>
      <w:r>
        <w:rPr>
          <w:rFonts w:eastAsia="宋体"/>
          <w:snapToGrid w:val="0"/>
          <w:kern w:val="0"/>
          <w:sz w:val="24"/>
          <w:szCs w:val="24"/>
        </w:rPr>
        <w:t>【21 CFR 50.25】。IRB可</w:t>
      </w:r>
      <w:r>
        <w:rPr>
          <w:rFonts w:hint="eastAsia" w:eastAsia="宋体"/>
          <w:snapToGrid w:val="0"/>
          <w:kern w:val="0"/>
          <w:sz w:val="24"/>
          <w:szCs w:val="24"/>
        </w:rPr>
        <w:t>以要求</w:t>
      </w:r>
      <w:r>
        <w:rPr>
          <w:rFonts w:eastAsia="宋体"/>
          <w:snapToGrid w:val="0"/>
          <w:kern w:val="0"/>
          <w:sz w:val="24"/>
          <w:szCs w:val="24"/>
        </w:rPr>
        <w:t>列入其</w:t>
      </w:r>
      <w:r>
        <w:rPr>
          <w:rFonts w:hint="eastAsia" w:eastAsia="宋体"/>
          <w:snapToGrid w:val="0"/>
          <w:kern w:val="0"/>
          <w:sz w:val="24"/>
          <w:szCs w:val="24"/>
        </w:rPr>
        <w:t>认为对受试者决定参加研究是重要的其他任何信息</w:t>
      </w:r>
      <w:r>
        <w:rPr>
          <w:rFonts w:eastAsia="宋体"/>
          <w:snapToGrid w:val="0"/>
          <w:kern w:val="0"/>
          <w:sz w:val="24"/>
          <w:szCs w:val="24"/>
        </w:rPr>
        <w:t>【21 CFR 56.109 （b）】。</w:t>
      </w:r>
    </w:p>
    <w:p w14:paraId="4FEC9FC6">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47. FDA是否要求知情同意</w:t>
      </w:r>
      <w:r>
        <w:rPr>
          <w:rFonts w:hint="eastAsia" w:eastAsia="宋体"/>
          <w:b/>
          <w:snapToGrid w:val="0"/>
          <w:kern w:val="0"/>
          <w:sz w:val="24"/>
          <w:szCs w:val="24"/>
        </w:rPr>
        <w:t>文件中为儿童的同意留有空间？</w:t>
      </w:r>
    </w:p>
    <w:p w14:paraId="3CA4448D">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否。然而，许多研究者和</w:t>
      </w:r>
      <w:r>
        <w:rPr>
          <w:rFonts w:eastAsia="宋体"/>
          <w:snapToGrid w:val="0"/>
          <w:kern w:val="0"/>
          <w:sz w:val="24"/>
          <w:szCs w:val="24"/>
        </w:rPr>
        <w:t>IRB</w:t>
      </w:r>
      <w:r>
        <w:rPr>
          <w:rFonts w:hint="eastAsia" w:eastAsia="宋体"/>
          <w:snapToGrid w:val="0"/>
          <w:kern w:val="0"/>
          <w:sz w:val="24"/>
          <w:szCs w:val="24"/>
        </w:rPr>
        <w:t>认为，对于可以理解情况的大龄儿童，在参加研究之前获得其同意是标准惯例。虽然</w:t>
      </w:r>
      <w:r>
        <w:rPr>
          <w:rFonts w:eastAsia="宋体"/>
          <w:snapToGrid w:val="0"/>
          <w:kern w:val="0"/>
          <w:sz w:val="24"/>
          <w:szCs w:val="24"/>
        </w:rPr>
        <w:t>FDA的</w:t>
      </w:r>
      <w:r>
        <w:rPr>
          <w:rFonts w:hint="eastAsia" w:eastAsia="宋体"/>
          <w:snapToGrid w:val="0"/>
          <w:kern w:val="0"/>
          <w:sz w:val="24"/>
          <w:szCs w:val="24"/>
        </w:rPr>
        <w:t>规定并不专门针对儿童入组（除了将其列为弱势受试者之外），但</w:t>
      </w:r>
      <w:r>
        <w:rPr>
          <w:rFonts w:eastAsia="宋体"/>
          <w:snapToGrid w:val="0"/>
          <w:kern w:val="0"/>
          <w:sz w:val="24"/>
          <w:szCs w:val="24"/>
        </w:rPr>
        <w:t>21 CFR 50.20基本要求适用</w:t>
      </w:r>
      <w:r>
        <w:rPr>
          <w:rFonts w:hint="eastAsia" w:eastAsia="宋体"/>
          <w:snapToGrid w:val="0"/>
          <w:kern w:val="0"/>
          <w:sz w:val="24"/>
          <w:szCs w:val="24"/>
        </w:rPr>
        <w:t>的情况是，在入组前必须获得该受试者或受试者的法定授权代理人的合法有效的知情同意。根据适用的国家和地方法律法规（对该研究有管辖权），父母、法定监护人和</w:t>
      </w:r>
      <w:r>
        <w:rPr>
          <w:rFonts w:eastAsia="宋体"/>
          <w:snapToGrid w:val="0"/>
          <w:kern w:val="0"/>
          <w:sz w:val="24"/>
          <w:szCs w:val="24"/>
        </w:rPr>
        <w:t>／或其他人可</w:t>
      </w:r>
      <w:r>
        <w:rPr>
          <w:rFonts w:hint="eastAsia" w:eastAsia="宋体"/>
          <w:snapToGrid w:val="0"/>
          <w:kern w:val="0"/>
          <w:sz w:val="24"/>
          <w:szCs w:val="24"/>
        </w:rPr>
        <w:t>以对儿童入组研究给予允许。</w:t>
      </w:r>
      <w:r>
        <w:rPr>
          <w:rFonts w:eastAsia="宋体"/>
          <w:snapToGrid w:val="0"/>
          <w:kern w:val="0"/>
          <w:sz w:val="24"/>
          <w:szCs w:val="24"/>
        </w:rPr>
        <w:t>（注意：</w:t>
      </w:r>
      <w:r>
        <w:rPr>
          <w:rFonts w:hint="eastAsia" w:eastAsia="宋体"/>
          <w:snapToGrid w:val="0"/>
          <w:kern w:val="0"/>
          <w:sz w:val="24"/>
          <w:szCs w:val="24"/>
        </w:rPr>
        <w:t>允许</w:t>
      </w:r>
      <w:r>
        <w:rPr>
          <w:rFonts w:eastAsia="宋体"/>
          <w:snapToGrid w:val="0"/>
          <w:kern w:val="0"/>
          <w:sz w:val="24"/>
          <w:szCs w:val="24"/>
        </w:rPr>
        <w:t>入</w:t>
      </w:r>
      <w:r>
        <w:rPr>
          <w:rFonts w:hint="eastAsia" w:eastAsia="宋体"/>
          <w:snapToGrid w:val="0"/>
          <w:kern w:val="0"/>
          <w:sz w:val="24"/>
          <w:szCs w:val="24"/>
        </w:rPr>
        <w:t>组与允许提供医学治疗不同。）</w:t>
      </w:r>
      <w:r>
        <w:rPr>
          <w:rFonts w:eastAsia="宋体"/>
          <w:snapToGrid w:val="0"/>
          <w:kern w:val="0"/>
          <w:sz w:val="24"/>
          <w:szCs w:val="24"/>
        </w:rPr>
        <w:t>IRB通常要求</w:t>
      </w:r>
      <w:r>
        <w:rPr>
          <w:rFonts w:hint="eastAsia" w:eastAsia="宋体"/>
          <w:snapToGrid w:val="0"/>
          <w:kern w:val="0"/>
          <w:sz w:val="24"/>
          <w:szCs w:val="24"/>
        </w:rPr>
        <w:t>研究者获得父母一方或双方或是监护人（如适用）的许可，以及有知识和情感能力去理解有关概念的儿童的同意</w:t>
      </w:r>
      <w:r>
        <w:rPr>
          <w:rFonts w:eastAsia="宋体"/>
          <w:snapToGrid w:val="0"/>
          <w:kern w:val="0"/>
          <w:sz w:val="24"/>
          <w:szCs w:val="24"/>
        </w:rPr>
        <w:t>。一些IRB</w:t>
      </w:r>
      <w:r>
        <w:rPr>
          <w:rFonts w:hint="eastAsia" w:eastAsia="宋体"/>
          <w:snapToGrid w:val="0"/>
          <w:kern w:val="0"/>
          <w:sz w:val="24"/>
          <w:szCs w:val="24"/>
        </w:rPr>
        <w:t>要求两份文件，一份供父母和大龄儿童进行阅读和签名的充分而详细的说明，以及为年龄较小的儿童提供的一份较简短的说明。</w:t>
      </w:r>
      <w:r>
        <w:rPr>
          <w:rFonts w:eastAsia="宋体"/>
          <w:snapToGrid w:val="0"/>
          <w:kern w:val="0"/>
          <w:sz w:val="24"/>
          <w:szCs w:val="24"/>
        </w:rPr>
        <w:t>【</w:t>
      </w:r>
      <w:r>
        <w:rPr>
          <w:rFonts w:hint="eastAsia" w:eastAsia="宋体"/>
          <w:snapToGrid w:val="0"/>
          <w:kern w:val="0"/>
          <w:sz w:val="24"/>
          <w:szCs w:val="24"/>
        </w:rPr>
        <w:t>对于</w:t>
      </w:r>
      <w:r>
        <w:rPr>
          <w:rFonts w:eastAsia="宋体"/>
          <w:snapToGrid w:val="0"/>
          <w:kern w:val="0"/>
          <w:sz w:val="24"/>
          <w:szCs w:val="24"/>
        </w:rPr>
        <w:t>DHHS支持的研究，</w:t>
      </w:r>
      <w:r>
        <w:rPr>
          <w:rFonts w:hint="eastAsia" w:eastAsia="宋体"/>
          <w:snapToGrid w:val="0"/>
          <w:kern w:val="0"/>
          <w:sz w:val="24"/>
          <w:szCs w:val="24"/>
        </w:rPr>
        <w:t>还要求</w:t>
      </w:r>
      <w:r>
        <w:rPr>
          <w:rFonts w:eastAsia="宋体"/>
          <w:snapToGrid w:val="0"/>
          <w:kern w:val="0"/>
          <w:sz w:val="24"/>
          <w:szCs w:val="24"/>
        </w:rPr>
        <w:t>45 CFR 46子部分D</w:t>
      </w:r>
      <w:r>
        <w:rPr>
          <w:rFonts w:hint="eastAsia" w:eastAsia="宋体"/>
          <w:snapToGrid w:val="0"/>
          <w:kern w:val="0"/>
          <w:sz w:val="24"/>
          <w:szCs w:val="24"/>
        </w:rPr>
        <w:t>中</w:t>
      </w:r>
      <w:r>
        <w:rPr>
          <w:rFonts w:eastAsia="宋体"/>
          <w:snapToGrid w:val="0"/>
          <w:kern w:val="0"/>
          <w:sz w:val="24"/>
          <w:szCs w:val="24"/>
        </w:rPr>
        <w:t>的</w:t>
      </w:r>
      <w:r>
        <w:rPr>
          <w:rFonts w:hint="eastAsia" w:eastAsia="宋体"/>
          <w:snapToGrid w:val="0"/>
          <w:kern w:val="0"/>
          <w:sz w:val="24"/>
          <w:szCs w:val="24"/>
        </w:rPr>
        <w:t>额外</w:t>
      </w:r>
      <w:r>
        <w:rPr>
          <w:rFonts w:eastAsia="宋体"/>
          <w:snapToGrid w:val="0"/>
          <w:kern w:val="0"/>
          <w:sz w:val="24"/>
          <w:szCs w:val="24"/>
        </w:rPr>
        <w:t>保</w:t>
      </w:r>
      <w:r>
        <w:rPr>
          <w:rFonts w:hint="eastAsia" w:eastAsia="宋体"/>
          <w:snapToGrid w:val="0"/>
          <w:kern w:val="0"/>
          <w:sz w:val="24"/>
          <w:szCs w:val="24"/>
        </w:rPr>
        <w:t>护。子部分</w:t>
      </w:r>
      <w:r>
        <w:rPr>
          <w:rFonts w:eastAsia="宋体"/>
          <w:snapToGrid w:val="0"/>
          <w:kern w:val="0"/>
          <w:sz w:val="24"/>
          <w:szCs w:val="24"/>
        </w:rPr>
        <w:t>D</w:t>
      </w:r>
      <w:r>
        <w:rPr>
          <w:rFonts w:hint="eastAsia" w:eastAsia="宋体"/>
          <w:snapToGrid w:val="0"/>
          <w:kern w:val="0"/>
          <w:sz w:val="24"/>
          <w:szCs w:val="24"/>
        </w:rPr>
        <w:t>的规定为所有其他的儿科研究提供了适当的指导。】</w:t>
      </w:r>
    </w:p>
    <w:p w14:paraId="4D4DDE9A">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2001</w:t>
      </w:r>
      <w:r>
        <w:rPr>
          <w:rFonts w:hint="eastAsia" w:eastAsia="宋体"/>
          <w:snapToGrid w:val="0"/>
          <w:kern w:val="0"/>
          <w:sz w:val="24"/>
          <w:szCs w:val="24"/>
        </w:rPr>
        <w:t>年</w:t>
      </w:r>
      <w:r>
        <w:rPr>
          <w:rFonts w:eastAsia="宋体"/>
          <w:snapToGrid w:val="0"/>
          <w:kern w:val="0"/>
          <w:sz w:val="24"/>
          <w:szCs w:val="24"/>
        </w:rPr>
        <w:t>4</w:t>
      </w:r>
      <w:r>
        <w:rPr>
          <w:rFonts w:hint="eastAsia" w:eastAsia="宋体"/>
          <w:snapToGrid w:val="0"/>
          <w:kern w:val="0"/>
          <w:sz w:val="24"/>
          <w:szCs w:val="24"/>
        </w:rPr>
        <w:t>月</w:t>
      </w:r>
      <w:r>
        <w:rPr>
          <w:rFonts w:eastAsia="宋体"/>
          <w:snapToGrid w:val="0"/>
          <w:kern w:val="0"/>
          <w:sz w:val="24"/>
          <w:szCs w:val="24"/>
        </w:rPr>
        <w:t>24</w:t>
      </w:r>
      <w:r>
        <w:rPr>
          <w:rFonts w:hint="eastAsia" w:eastAsia="宋体"/>
          <w:snapToGrid w:val="0"/>
          <w:kern w:val="0"/>
          <w:sz w:val="24"/>
          <w:szCs w:val="24"/>
        </w:rPr>
        <w:t>日，</w:t>
      </w:r>
      <w:r>
        <w:rPr>
          <w:rFonts w:eastAsia="宋体"/>
          <w:snapToGrid w:val="0"/>
          <w:kern w:val="0"/>
          <w:sz w:val="24"/>
          <w:szCs w:val="24"/>
        </w:rPr>
        <w:t>FDA</w:t>
      </w:r>
      <w:r>
        <w:rPr>
          <w:rFonts w:hint="eastAsia" w:eastAsia="宋体"/>
          <w:snapToGrid w:val="0"/>
          <w:kern w:val="0"/>
          <w:sz w:val="24"/>
          <w:szCs w:val="24"/>
        </w:rPr>
        <w:t>发布了一项过渡期最终规则，</w:t>
      </w:r>
      <w:r>
        <w:rPr>
          <w:rFonts w:hint="eastAsia" w:ascii="宋体" w:hAnsi="宋体" w:eastAsia="宋体"/>
          <w:snapToGrid w:val="0"/>
          <w:kern w:val="0"/>
          <w:sz w:val="24"/>
          <w:szCs w:val="24"/>
        </w:rPr>
        <w:t>“</w:t>
      </w:r>
      <w:r>
        <w:rPr>
          <w:rFonts w:hint="eastAsia" w:eastAsia="宋体"/>
          <w:snapToGrid w:val="0"/>
          <w:kern w:val="0"/>
          <w:sz w:val="24"/>
          <w:szCs w:val="24"/>
        </w:rPr>
        <w:t>儿童的额外保护条例</w:t>
      </w:r>
      <w:r>
        <w:rPr>
          <w:rFonts w:hint="eastAsia" w:ascii="宋体" w:hAnsi="宋体" w:eastAsia="宋体"/>
          <w:snapToGrid w:val="0"/>
          <w:kern w:val="0"/>
          <w:sz w:val="24"/>
          <w:szCs w:val="24"/>
        </w:rPr>
        <w:t>”</w:t>
      </w:r>
      <w:r>
        <w:rPr>
          <w:rFonts w:hint="eastAsia" w:eastAsia="宋体"/>
          <w:snapToGrid w:val="0"/>
          <w:kern w:val="0"/>
          <w:sz w:val="24"/>
          <w:szCs w:val="24"/>
        </w:rPr>
        <w:t>，作为</w:t>
      </w:r>
      <w:r>
        <w:rPr>
          <w:rFonts w:eastAsia="宋体"/>
          <w:snapToGrid w:val="0"/>
          <w:kern w:val="0"/>
          <w:sz w:val="24"/>
          <w:szCs w:val="24"/>
        </w:rPr>
        <w:t>21 CFR</w:t>
      </w:r>
      <w:r>
        <w:rPr>
          <w:rFonts w:hint="eastAsia" w:eastAsia="宋体"/>
          <w:snapToGrid w:val="0"/>
          <w:kern w:val="0"/>
          <w:sz w:val="24"/>
          <w:szCs w:val="24"/>
        </w:rPr>
        <w:t>第</w:t>
      </w:r>
      <w:r>
        <w:rPr>
          <w:rFonts w:eastAsia="宋体"/>
          <w:snapToGrid w:val="0"/>
          <w:kern w:val="0"/>
          <w:sz w:val="24"/>
          <w:szCs w:val="24"/>
        </w:rPr>
        <w:t>50</w:t>
      </w:r>
      <w:r>
        <w:rPr>
          <w:rFonts w:hint="eastAsia" w:eastAsia="宋体"/>
          <w:snapToGrid w:val="0"/>
          <w:kern w:val="0"/>
          <w:sz w:val="24"/>
          <w:szCs w:val="24"/>
        </w:rPr>
        <w:t>部分的子部分</w:t>
      </w:r>
      <w:r>
        <w:rPr>
          <w:rFonts w:eastAsia="宋体"/>
          <w:snapToGrid w:val="0"/>
          <w:kern w:val="0"/>
          <w:sz w:val="24"/>
          <w:szCs w:val="24"/>
        </w:rPr>
        <w:t>D</w:t>
      </w:r>
      <w:r>
        <w:rPr>
          <w:rFonts w:hint="eastAsia" w:eastAsia="宋体"/>
          <w:snapToGrid w:val="0"/>
          <w:kern w:val="0"/>
          <w:sz w:val="24"/>
          <w:szCs w:val="24"/>
        </w:rPr>
        <w:t>，针对儿童的同意在子部分</w:t>
      </w:r>
      <w:r>
        <w:rPr>
          <w:rFonts w:eastAsia="宋体"/>
          <w:snapToGrid w:val="0"/>
          <w:kern w:val="0"/>
          <w:sz w:val="24"/>
          <w:szCs w:val="24"/>
        </w:rPr>
        <w:t>D</w:t>
      </w:r>
      <w:r>
        <w:rPr>
          <w:rFonts w:hint="eastAsia" w:eastAsia="宋体"/>
          <w:snapToGrid w:val="0"/>
          <w:kern w:val="0"/>
          <w:sz w:val="24"/>
          <w:szCs w:val="24"/>
        </w:rPr>
        <w:t>中规定。该过渡期最终规则及其前言可见于</w:t>
      </w:r>
    </w:p>
    <w:p w14:paraId="20967A13">
      <w:pPr>
        <w:widowControl w:val="0"/>
        <w:wordWrap w:val="0"/>
        <w:topLinePunct/>
        <w:adjustRightInd w:val="0"/>
        <w:snapToGrid w:val="0"/>
        <w:spacing w:after="244" w:afterLines="75" w:line="300" w:lineRule="auto"/>
        <w:jc w:val="both"/>
        <w:rPr>
          <w:rFonts w:ascii="Arial" w:hAnsi="Arial" w:eastAsia="宋体" w:cs="Arial"/>
          <w:b/>
          <w:snapToGrid w:val="0"/>
          <w:szCs w:val="20"/>
          <w:u w:val="single"/>
        </w:rPr>
      </w:pPr>
      <w:r>
        <w:rPr>
          <w:rFonts w:ascii="Arial" w:hAnsi="Arial" w:eastAsia="宋体" w:cs="Arial"/>
          <w:b/>
          <w:snapToGrid w:val="0"/>
          <w:szCs w:val="20"/>
          <w:u w:val="single"/>
        </w:rPr>
        <w:t>http://www.fda.gov/ScienceResearch/SpecialTopics/RunningClinicalTrials/ucm119111.htm （/ScienceResearch/SpecialTopics/RunningClinicalTrials/ucm119111.htm）.</w:t>
      </w:r>
    </w:p>
    <w:p w14:paraId="2DF1C6E3">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48. </w:t>
      </w:r>
      <w:r>
        <w:rPr>
          <w:rFonts w:eastAsia="宋体"/>
          <w:b/>
          <w:snapToGrid w:val="0"/>
          <w:kern w:val="0"/>
          <w:sz w:val="24"/>
          <w:szCs w:val="24"/>
        </w:rPr>
        <w:t>FDA是否要求在知情同意文件上</w:t>
      </w:r>
      <w:r>
        <w:rPr>
          <w:rFonts w:hint="eastAsia" w:eastAsia="宋体"/>
          <w:b/>
          <w:snapToGrid w:val="0"/>
          <w:kern w:val="0"/>
          <w:sz w:val="24"/>
          <w:szCs w:val="24"/>
        </w:rPr>
        <w:t>有儿童的签名？</w:t>
      </w:r>
    </w:p>
    <w:p w14:paraId="23EA0BC8">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如上所述，研究者可能会寻求不同年龄儿童的同意。年龄较大的儿童可能通过先前经历过的测试、许可和</w:t>
      </w:r>
      <w:r>
        <w:rPr>
          <w:rFonts w:eastAsia="宋体"/>
          <w:snapToGrid w:val="0"/>
          <w:kern w:val="0"/>
          <w:sz w:val="24"/>
          <w:szCs w:val="24"/>
        </w:rPr>
        <w:t>／或其他生活中</w:t>
      </w:r>
      <w:r>
        <w:rPr>
          <w:rFonts w:hint="eastAsia" w:eastAsia="宋体"/>
          <w:snapToGrid w:val="0"/>
          <w:kern w:val="0"/>
          <w:sz w:val="24"/>
          <w:szCs w:val="24"/>
        </w:rPr>
        <w:t>常会碰到的</w:t>
      </w:r>
      <w:r>
        <w:rPr>
          <w:rFonts w:eastAsia="宋体"/>
          <w:snapToGrid w:val="0"/>
          <w:kern w:val="0"/>
          <w:sz w:val="24"/>
          <w:szCs w:val="24"/>
        </w:rPr>
        <w:t>程序</w:t>
      </w:r>
      <w:r>
        <w:rPr>
          <w:rFonts w:hint="eastAsia" w:eastAsia="宋体"/>
          <w:snapToGrid w:val="0"/>
          <w:kern w:val="0"/>
          <w:sz w:val="24"/>
          <w:szCs w:val="24"/>
        </w:rPr>
        <w:t>，对文件签署有较好的理解，可签署表单以表示他们同意参加研究，不会视为不寻常，而应是合理的。</w:t>
      </w:r>
      <w:r>
        <w:rPr>
          <w:rFonts w:eastAsia="宋体"/>
          <w:snapToGrid w:val="0"/>
          <w:kern w:val="0"/>
          <w:sz w:val="24"/>
          <w:szCs w:val="24"/>
        </w:rPr>
        <w:t>但是，年</w:t>
      </w:r>
      <w:r>
        <w:rPr>
          <w:rFonts w:hint="eastAsia" w:eastAsia="宋体"/>
          <w:snapToGrid w:val="0"/>
          <w:kern w:val="0"/>
          <w:sz w:val="24"/>
          <w:szCs w:val="24"/>
        </w:rPr>
        <w:t>纪较小的儿童可能从来没有签署文件的经验，对这些孩子要求签名可能不合适，而可以使用一些确认同意的方法，</w:t>
      </w:r>
      <w:r>
        <w:rPr>
          <w:rFonts w:eastAsia="宋体"/>
          <w:snapToGrid w:val="0"/>
          <w:kern w:val="0"/>
          <w:sz w:val="24"/>
          <w:szCs w:val="24"/>
        </w:rPr>
        <w:t>例如，第三方可以通</w:t>
      </w:r>
      <w:r>
        <w:rPr>
          <w:rFonts w:hint="eastAsia" w:eastAsia="宋体"/>
          <w:snapToGrid w:val="0"/>
          <w:kern w:val="0"/>
          <w:sz w:val="24"/>
          <w:szCs w:val="24"/>
        </w:rPr>
        <w:t>过签名来确认是否获得了儿童的同意。</w:t>
      </w:r>
    </w:p>
    <w:p w14:paraId="47488B79">
      <w:pPr>
        <w:spacing w:after="0" w:line="240" w:lineRule="auto"/>
        <w:rPr>
          <w:rFonts w:ascii="Arial" w:hAnsi="Arial" w:eastAsia="宋体" w:cs="Arial"/>
          <w:snapToGrid w:val="0"/>
          <w:szCs w:val="24"/>
        </w:rPr>
      </w:pPr>
      <w:r>
        <w:rPr>
          <w:rFonts w:eastAsia="宋体"/>
          <w:snapToGrid w:val="0"/>
          <w:szCs w:val="24"/>
        </w:rPr>
        <w:br w:type="page"/>
      </w:r>
    </w:p>
    <w:p w14:paraId="34612FB0">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如上文答案所述，</w:t>
      </w:r>
      <w:r>
        <w:rPr>
          <w:rFonts w:eastAsia="宋体"/>
          <w:snapToGrid w:val="0"/>
          <w:kern w:val="0"/>
          <w:sz w:val="24"/>
          <w:szCs w:val="24"/>
        </w:rPr>
        <w:t>2001</w:t>
      </w:r>
      <w:r>
        <w:rPr>
          <w:rFonts w:hint="eastAsia" w:eastAsia="宋体"/>
          <w:snapToGrid w:val="0"/>
          <w:kern w:val="0"/>
          <w:sz w:val="24"/>
          <w:szCs w:val="24"/>
        </w:rPr>
        <w:t>年</w:t>
      </w:r>
      <w:r>
        <w:rPr>
          <w:rFonts w:eastAsia="宋体"/>
          <w:snapToGrid w:val="0"/>
          <w:kern w:val="0"/>
          <w:sz w:val="24"/>
          <w:szCs w:val="24"/>
        </w:rPr>
        <w:t>4</w:t>
      </w:r>
      <w:r>
        <w:rPr>
          <w:rFonts w:hint="eastAsia" w:eastAsia="宋体"/>
          <w:snapToGrid w:val="0"/>
          <w:kern w:val="0"/>
          <w:sz w:val="24"/>
          <w:szCs w:val="24"/>
        </w:rPr>
        <w:t>月</w:t>
      </w:r>
      <w:r>
        <w:rPr>
          <w:rFonts w:eastAsia="宋体"/>
          <w:snapToGrid w:val="0"/>
          <w:kern w:val="0"/>
          <w:sz w:val="24"/>
          <w:szCs w:val="24"/>
        </w:rPr>
        <w:t>24</w:t>
      </w:r>
      <w:r>
        <w:rPr>
          <w:rFonts w:hint="eastAsia" w:eastAsia="宋体"/>
          <w:snapToGrid w:val="0"/>
          <w:kern w:val="0"/>
          <w:sz w:val="24"/>
          <w:szCs w:val="24"/>
        </w:rPr>
        <w:t>日，</w:t>
      </w:r>
      <w:r>
        <w:rPr>
          <w:rFonts w:eastAsia="宋体"/>
          <w:snapToGrid w:val="0"/>
          <w:kern w:val="0"/>
          <w:sz w:val="24"/>
          <w:szCs w:val="24"/>
        </w:rPr>
        <w:t>FDA</w:t>
      </w:r>
      <w:r>
        <w:rPr>
          <w:rFonts w:hint="eastAsia" w:eastAsia="宋体"/>
          <w:snapToGrid w:val="0"/>
          <w:kern w:val="0"/>
          <w:sz w:val="24"/>
          <w:szCs w:val="24"/>
        </w:rPr>
        <w:t>发布了一项过渡期最终规则，</w:t>
      </w:r>
      <w:r>
        <w:rPr>
          <w:rFonts w:ascii="宋体" w:hAnsi="宋体" w:eastAsia="宋体"/>
          <w:snapToGrid w:val="0"/>
          <w:kern w:val="0"/>
          <w:sz w:val="24"/>
          <w:szCs w:val="24"/>
        </w:rPr>
        <w:t>“</w:t>
      </w:r>
      <w:r>
        <w:rPr>
          <w:rFonts w:hint="eastAsia" w:eastAsia="宋体"/>
          <w:snapToGrid w:val="0"/>
          <w:kern w:val="0"/>
          <w:sz w:val="24"/>
          <w:szCs w:val="24"/>
        </w:rPr>
        <w:t>儿童的额外保护条例</w:t>
      </w:r>
      <w:r>
        <w:rPr>
          <w:rFonts w:ascii="宋体" w:hAnsi="宋体" w:eastAsia="宋体"/>
          <w:snapToGrid w:val="0"/>
          <w:kern w:val="0"/>
          <w:sz w:val="24"/>
          <w:szCs w:val="24"/>
        </w:rPr>
        <w:t>”</w:t>
      </w:r>
      <w:r>
        <w:rPr>
          <w:rFonts w:hint="eastAsia" w:eastAsia="宋体"/>
          <w:snapToGrid w:val="0"/>
          <w:kern w:val="0"/>
          <w:sz w:val="24"/>
          <w:szCs w:val="24"/>
        </w:rPr>
        <w:t>，作为</w:t>
      </w:r>
      <w:r>
        <w:rPr>
          <w:rFonts w:eastAsia="宋体"/>
          <w:snapToGrid w:val="0"/>
          <w:kern w:val="0"/>
          <w:sz w:val="24"/>
          <w:szCs w:val="24"/>
        </w:rPr>
        <w:t>21 CFR</w:t>
      </w:r>
      <w:r>
        <w:rPr>
          <w:rFonts w:hint="eastAsia" w:eastAsia="宋体"/>
          <w:snapToGrid w:val="0"/>
          <w:kern w:val="0"/>
          <w:sz w:val="24"/>
          <w:szCs w:val="24"/>
        </w:rPr>
        <w:t>第</w:t>
      </w:r>
      <w:r>
        <w:rPr>
          <w:rFonts w:eastAsia="宋体"/>
          <w:snapToGrid w:val="0"/>
          <w:kern w:val="0"/>
          <w:sz w:val="24"/>
          <w:szCs w:val="24"/>
        </w:rPr>
        <w:t>50</w:t>
      </w:r>
      <w:r>
        <w:rPr>
          <w:rFonts w:hint="eastAsia" w:eastAsia="宋体"/>
          <w:snapToGrid w:val="0"/>
          <w:kern w:val="0"/>
          <w:sz w:val="24"/>
          <w:szCs w:val="24"/>
        </w:rPr>
        <w:t>部分的子部分</w:t>
      </w:r>
      <w:r>
        <w:rPr>
          <w:rFonts w:eastAsia="宋体"/>
          <w:snapToGrid w:val="0"/>
          <w:kern w:val="0"/>
          <w:sz w:val="24"/>
          <w:szCs w:val="24"/>
        </w:rPr>
        <w:t>D</w:t>
      </w:r>
      <w:r>
        <w:rPr>
          <w:rFonts w:hint="eastAsia" w:eastAsia="宋体"/>
          <w:snapToGrid w:val="0"/>
          <w:kern w:val="0"/>
          <w:sz w:val="24"/>
          <w:szCs w:val="24"/>
        </w:rPr>
        <w:t>，针对儿童的同意在子部分</w:t>
      </w:r>
      <w:r>
        <w:rPr>
          <w:rFonts w:eastAsia="宋体"/>
          <w:snapToGrid w:val="0"/>
          <w:kern w:val="0"/>
          <w:sz w:val="24"/>
          <w:szCs w:val="24"/>
        </w:rPr>
        <w:t>D</w:t>
      </w:r>
      <w:r>
        <w:rPr>
          <w:rFonts w:hint="eastAsia" w:eastAsia="宋体"/>
          <w:snapToGrid w:val="0"/>
          <w:kern w:val="0"/>
          <w:sz w:val="24"/>
          <w:szCs w:val="24"/>
        </w:rPr>
        <w:t>中规定。该过渡期最终规则及其前言可见于</w:t>
      </w:r>
    </w:p>
    <w:p w14:paraId="2C078C27">
      <w:pPr>
        <w:widowControl w:val="0"/>
        <w:wordWrap w:val="0"/>
        <w:topLinePunct/>
        <w:adjustRightInd w:val="0"/>
        <w:snapToGrid w:val="0"/>
        <w:spacing w:after="244" w:afterLines="75" w:line="300" w:lineRule="auto"/>
        <w:jc w:val="both"/>
        <w:rPr>
          <w:rFonts w:ascii="Arial" w:hAnsi="Arial" w:eastAsia="宋体" w:cs="Arial"/>
          <w:b/>
          <w:snapToGrid w:val="0"/>
          <w:szCs w:val="20"/>
          <w:u w:val="single"/>
        </w:rPr>
      </w:pPr>
      <w:r>
        <w:rPr>
          <w:rFonts w:ascii="Arial" w:hAnsi="Arial" w:eastAsia="宋体" w:cs="Arial"/>
          <w:b/>
          <w:snapToGrid w:val="0"/>
          <w:szCs w:val="20"/>
          <w:u w:val="single"/>
        </w:rPr>
        <w:t>http://www.fda.gov/ScienceResearch/SpecialTopics/RunningClinicalTrials/ucm119111.htm （/ScienceResearch/SpecialTopics/RunningClinicalTrials/ucm119111.htm） .</w:t>
      </w:r>
    </w:p>
    <w:p w14:paraId="038A4167">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49.同意书上回答问题的联系人应该写谁？</w:t>
      </w:r>
    </w:p>
    <w:p w14:paraId="4CA6834B">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21 CFR 50.25 （a）（7）要求</w:t>
      </w:r>
      <w:r>
        <w:rPr>
          <w:rFonts w:hint="eastAsia" w:eastAsia="宋体"/>
          <w:snapToGrid w:val="0"/>
          <w:kern w:val="0"/>
          <w:sz w:val="24"/>
          <w:szCs w:val="24"/>
        </w:rPr>
        <w:t>联系人回答有关研究、研究受试者的权利以及万一发生研究相关损害的问题，其并未指定可以与谁联系，</w:t>
      </w:r>
      <w:r>
        <w:rPr>
          <w:rFonts w:eastAsia="宋体"/>
          <w:snapToGrid w:val="0"/>
          <w:kern w:val="0"/>
          <w:sz w:val="24"/>
          <w:szCs w:val="24"/>
        </w:rPr>
        <w:t>同一人可能被列</w:t>
      </w:r>
      <w:r>
        <w:rPr>
          <w:rFonts w:hint="eastAsia" w:eastAsia="宋体"/>
          <w:snapToGrid w:val="0"/>
          <w:kern w:val="0"/>
          <w:sz w:val="24"/>
          <w:szCs w:val="24"/>
        </w:rPr>
        <w:t>为三种问题的联系人。</w:t>
      </w:r>
      <w:r>
        <w:rPr>
          <w:rFonts w:eastAsia="宋体"/>
          <w:snapToGrid w:val="0"/>
          <w:kern w:val="0"/>
          <w:sz w:val="24"/>
          <w:szCs w:val="24"/>
        </w:rPr>
        <w:t>然而，FDA和大多</w:t>
      </w:r>
      <w:r>
        <w:rPr>
          <w:rFonts w:hint="eastAsia" w:eastAsia="宋体"/>
          <w:snapToGrid w:val="0"/>
          <w:kern w:val="0"/>
          <w:sz w:val="24"/>
          <w:szCs w:val="24"/>
        </w:rPr>
        <w:t>数</w:t>
      </w:r>
      <w:r>
        <w:rPr>
          <w:rFonts w:eastAsia="宋体"/>
          <w:snapToGrid w:val="0"/>
          <w:kern w:val="0"/>
          <w:sz w:val="24"/>
          <w:szCs w:val="24"/>
        </w:rPr>
        <w:t>IRB</w:t>
      </w:r>
      <w:r>
        <w:rPr>
          <w:rFonts w:hint="eastAsia" w:eastAsia="宋体"/>
          <w:snapToGrid w:val="0"/>
          <w:kern w:val="0"/>
          <w:sz w:val="24"/>
          <w:szCs w:val="24"/>
        </w:rPr>
        <w:t>认为</w:t>
      </w:r>
      <w:r>
        <w:rPr>
          <w:rFonts w:eastAsia="宋体"/>
          <w:snapToGrid w:val="0"/>
          <w:kern w:val="0"/>
          <w:sz w:val="24"/>
          <w:szCs w:val="24"/>
        </w:rPr>
        <w:t>，</w:t>
      </w:r>
      <w:r>
        <w:rPr>
          <w:rFonts w:hint="eastAsia" w:eastAsia="宋体"/>
          <w:snapToGrid w:val="0"/>
          <w:kern w:val="0"/>
          <w:sz w:val="24"/>
          <w:szCs w:val="24"/>
        </w:rPr>
        <w:t>最好是将一名知识渊博者（而非临床研究者）作为研究受试者权利的联系人，让临床研究者作为唯一的联系人可能会阻止受试者报告问题和</w:t>
      </w:r>
      <w:r>
        <w:rPr>
          <w:rFonts w:eastAsia="宋体"/>
          <w:snapToGrid w:val="0"/>
          <w:kern w:val="0"/>
          <w:sz w:val="24"/>
          <w:szCs w:val="24"/>
        </w:rPr>
        <w:t>／或可能的</w:t>
      </w:r>
      <w:r>
        <w:rPr>
          <w:rFonts w:hint="eastAsia" w:eastAsia="宋体"/>
          <w:snapToGrid w:val="0"/>
          <w:kern w:val="0"/>
          <w:sz w:val="24"/>
          <w:szCs w:val="24"/>
        </w:rPr>
        <w:t>滥用。</w:t>
      </w:r>
    </w:p>
    <w:p w14:paraId="7F47FE47">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eastAsia="宋体"/>
          <w:b/>
          <w:snapToGrid w:val="0"/>
          <w:kern w:val="0"/>
          <w:sz w:val="24"/>
          <w:szCs w:val="24"/>
        </w:rPr>
        <w:t>50.</w:t>
      </w:r>
      <w:r>
        <w:rPr>
          <w:rFonts w:hint="eastAsia" w:eastAsia="宋体"/>
          <w:b/>
          <w:snapToGrid w:val="0"/>
          <w:kern w:val="0"/>
          <w:sz w:val="24"/>
          <w:szCs w:val="24"/>
        </w:rPr>
        <w:t xml:space="preserve"> 申办者提供参与试验的</w:t>
      </w:r>
      <w:r>
        <w:rPr>
          <w:rFonts w:hint="eastAsia" w:ascii="宋体" w:hAnsi="宋体" w:eastAsia="宋体"/>
          <w:b/>
          <w:snapToGrid w:val="0"/>
          <w:kern w:val="0"/>
          <w:sz w:val="24"/>
          <w:szCs w:val="24"/>
        </w:rPr>
        <w:t>“</w:t>
      </w:r>
      <w:r>
        <w:rPr>
          <w:rFonts w:hint="eastAsia" w:eastAsia="宋体"/>
          <w:b/>
          <w:snapToGrid w:val="0"/>
          <w:kern w:val="0"/>
          <w:sz w:val="24"/>
          <w:szCs w:val="24"/>
        </w:rPr>
        <w:t>补偿</w:t>
      </w:r>
      <w:r>
        <w:rPr>
          <w:rFonts w:hint="eastAsia" w:ascii="宋体" w:hAnsi="宋体" w:eastAsia="宋体"/>
          <w:b/>
          <w:snapToGrid w:val="0"/>
          <w:kern w:val="0"/>
          <w:sz w:val="24"/>
          <w:szCs w:val="24"/>
        </w:rPr>
        <w:t>”</w:t>
      </w:r>
      <w:r>
        <w:rPr>
          <w:rFonts w:hint="eastAsia" w:eastAsia="宋体"/>
          <w:b/>
          <w:snapToGrid w:val="0"/>
          <w:kern w:val="0"/>
          <w:sz w:val="24"/>
          <w:szCs w:val="24"/>
        </w:rPr>
        <w:t>可以包含优惠券（产品一旦获批上市，就可以有售价折扣）吗？</w:t>
      </w:r>
    </w:p>
    <w:p w14:paraId="0EF582AA">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否。该行为表明并误导受试者认为已确定研究结局有利并可迅速获批上市。</w:t>
      </w:r>
      <w:r>
        <w:rPr>
          <w:rFonts w:eastAsia="宋体"/>
          <w:snapToGrid w:val="0"/>
          <w:kern w:val="0"/>
          <w:sz w:val="24"/>
          <w:szCs w:val="24"/>
        </w:rPr>
        <w:t>此外，如果</w:t>
      </w:r>
      <w:r>
        <w:rPr>
          <w:rFonts w:hint="eastAsia" w:eastAsia="宋体"/>
          <w:snapToGrid w:val="0"/>
          <w:kern w:val="0"/>
          <w:sz w:val="24"/>
          <w:szCs w:val="24"/>
        </w:rPr>
        <w:t>产品获得批准，优惠券可能会从经济角度限制受试者依旧使用此类产品，尽管从医学角度来看，该产品并不是最合适的。</w:t>
      </w:r>
    </w:p>
    <w:p w14:paraId="4A417DEE">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51. 对于不懂英语的研究受试者，</w:t>
      </w:r>
      <w:r>
        <w:rPr>
          <w:rFonts w:eastAsia="宋体"/>
          <w:b/>
          <w:snapToGrid w:val="0"/>
          <w:kern w:val="0"/>
          <w:sz w:val="24"/>
          <w:szCs w:val="24"/>
        </w:rPr>
        <w:t>必</w:t>
      </w:r>
      <w:r>
        <w:rPr>
          <w:rFonts w:hint="eastAsia" w:eastAsia="宋体"/>
          <w:b/>
          <w:snapToGrid w:val="0"/>
          <w:kern w:val="0"/>
          <w:sz w:val="24"/>
          <w:szCs w:val="24"/>
        </w:rPr>
        <w:t>须将知情同意书翻译成书面的本土语言吗？</w:t>
      </w:r>
    </w:p>
    <w:p w14:paraId="2793803D">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签署的知情同意书是同意访谈的书面记录。研究受试者将获得同意书的副本作为参考文件，以强化他们对该研究的理解，如果需要，可以与他们的医师或家庭成员商量。</w:t>
      </w:r>
    </w:p>
    <w:p w14:paraId="3EE0B006">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为了符合</w:t>
      </w:r>
      <w:r>
        <w:rPr>
          <w:rFonts w:eastAsia="宋体"/>
          <w:snapToGrid w:val="0"/>
          <w:kern w:val="0"/>
          <w:sz w:val="24"/>
          <w:szCs w:val="24"/>
        </w:rPr>
        <w:t>21 CFR 50.20的要求，同意文件必</w:t>
      </w:r>
      <w:r>
        <w:rPr>
          <w:rFonts w:hint="eastAsia" w:eastAsia="宋体"/>
          <w:snapToGrid w:val="0"/>
          <w:kern w:val="0"/>
          <w:sz w:val="24"/>
          <w:szCs w:val="24"/>
        </w:rPr>
        <w:t>须是该受试者可以理解的语言。当预期的受试者英语流利时，同意访谈是用英语进行的，同意书应为英文。然而，当研究受试者人群包括非英语人员，由此临床研究者或</w:t>
      </w:r>
      <w:r>
        <w:rPr>
          <w:rFonts w:eastAsia="宋体"/>
          <w:snapToGrid w:val="0"/>
          <w:kern w:val="0"/>
          <w:sz w:val="24"/>
          <w:szCs w:val="24"/>
        </w:rPr>
        <w:t>IRB</w:t>
      </w:r>
      <w:r>
        <w:rPr>
          <w:rFonts w:hint="eastAsia" w:eastAsia="宋体"/>
          <w:snapToGrid w:val="0"/>
          <w:kern w:val="0"/>
          <w:sz w:val="24"/>
          <w:szCs w:val="24"/>
        </w:rPr>
        <w:t>预计同意访谈可能以英语以外的语言进行时，</w:t>
      </w:r>
      <w:r>
        <w:rPr>
          <w:rFonts w:eastAsia="宋体"/>
          <w:snapToGrid w:val="0"/>
          <w:kern w:val="0"/>
          <w:sz w:val="24"/>
          <w:szCs w:val="24"/>
        </w:rPr>
        <w:t>IRB</w:t>
      </w:r>
      <w:r>
        <w:rPr>
          <w:rFonts w:hint="eastAsia" w:eastAsia="宋体"/>
          <w:snapToGrid w:val="0"/>
          <w:kern w:val="0"/>
          <w:sz w:val="24"/>
          <w:szCs w:val="24"/>
        </w:rPr>
        <w:t>应确保有翻译的同意书，且翻译是准确的。</w:t>
      </w:r>
    </w:p>
    <w:p w14:paraId="0C98FDD6">
      <w:pPr>
        <w:spacing w:after="0" w:line="240" w:lineRule="auto"/>
        <w:rPr>
          <w:rFonts w:ascii="Arial" w:hAnsi="Arial" w:eastAsia="宋体" w:cs="Arial"/>
          <w:snapToGrid w:val="0"/>
          <w:szCs w:val="24"/>
        </w:rPr>
      </w:pPr>
      <w:r>
        <w:rPr>
          <w:rFonts w:eastAsia="宋体"/>
          <w:snapToGrid w:val="0"/>
          <w:szCs w:val="24"/>
        </w:rPr>
        <w:br w:type="page"/>
      </w:r>
    </w:p>
    <w:p w14:paraId="4906C9BA">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可以雇佣顾问来确保翻译的正确性。必须向每个适当的受试者提供翻译的同意书副本。虽然可以使用翻译来促进与受试者的交谈，但是，同意文件的日常临时翻译不能替代书面翻译。</w:t>
      </w:r>
    </w:p>
    <w:p w14:paraId="26076281">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另请参见</w:t>
      </w:r>
      <w:r>
        <w:rPr>
          <w:rFonts w:eastAsia="宋体"/>
          <w:snapToGrid w:val="0"/>
          <w:kern w:val="0"/>
          <w:sz w:val="24"/>
          <w:szCs w:val="24"/>
        </w:rPr>
        <w:t>FDA信息表：</w:t>
      </w:r>
      <w:r>
        <w:rPr>
          <w:rFonts w:ascii="宋体" w:hAnsi="宋体" w:eastAsia="宋体"/>
          <w:snapToGrid w:val="0"/>
          <w:kern w:val="0"/>
          <w:sz w:val="24"/>
          <w:szCs w:val="24"/>
        </w:rPr>
        <w:t>“</w:t>
      </w:r>
      <w:r>
        <w:rPr>
          <w:rFonts w:eastAsia="宋体"/>
          <w:snapToGrid w:val="0"/>
          <w:kern w:val="0"/>
          <w:sz w:val="24"/>
          <w:szCs w:val="24"/>
        </w:rPr>
        <w:t>知情同意</w:t>
      </w:r>
      <w:r>
        <w:rPr>
          <w:rFonts w:hint="eastAsia" w:eastAsia="宋体"/>
          <w:snapToGrid w:val="0"/>
          <w:kern w:val="0"/>
          <w:sz w:val="24"/>
          <w:szCs w:val="24"/>
        </w:rPr>
        <w:t>文件指南</w:t>
      </w:r>
      <w:r>
        <w:rPr>
          <w:rFonts w:hint="eastAsia" w:ascii="宋体" w:hAnsi="宋体" w:eastAsia="宋体"/>
          <w:snapToGrid w:val="0"/>
          <w:kern w:val="0"/>
          <w:sz w:val="24"/>
          <w:szCs w:val="24"/>
        </w:rPr>
        <w:t>”</w:t>
      </w:r>
      <w:r>
        <w:rPr>
          <w:rFonts w:hint="eastAsia" w:eastAsia="宋体"/>
          <w:snapToGrid w:val="0"/>
          <w:kern w:val="0"/>
          <w:sz w:val="24"/>
          <w:szCs w:val="24"/>
        </w:rPr>
        <w:t>和</w:t>
      </w:r>
      <w:r>
        <w:rPr>
          <w:rFonts w:hint="eastAsia" w:ascii="宋体" w:hAnsi="宋体" w:eastAsia="宋体"/>
          <w:snapToGrid w:val="0"/>
          <w:kern w:val="0"/>
          <w:sz w:val="24"/>
          <w:szCs w:val="24"/>
        </w:rPr>
        <w:t>“</w:t>
      </w:r>
      <w:r>
        <w:rPr>
          <w:rFonts w:hint="eastAsia" w:eastAsia="宋体"/>
          <w:snapToGrid w:val="0"/>
          <w:kern w:val="0"/>
          <w:sz w:val="24"/>
          <w:szCs w:val="24"/>
        </w:rPr>
        <w:t>知情同意书和临床研究者</w:t>
      </w:r>
      <w:r>
        <w:rPr>
          <w:rFonts w:hint="eastAsia" w:ascii="宋体" w:hAnsi="宋体" w:eastAsia="宋体"/>
          <w:snapToGrid w:val="0"/>
          <w:kern w:val="0"/>
          <w:sz w:val="24"/>
          <w:szCs w:val="24"/>
        </w:rPr>
        <w:t>”</w:t>
      </w:r>
      <w:r>
        <w:rPr>
          <w:rFonts w:hint="eastAsia" w:eastAsia="宋体"/>
          <w:snapToGrid w:val="0"/>
          <w:kern w:val="0"/>
          <w:sz w:val="24"/>
          <w:szCs w:val="24"/>
        </w:rPr>
        <w:t>。</w:t>
      </w:r>
    </w:p>
    <w:p w14:paraId="75AF2654">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52. </w:t>
      </w:r>
      <w:r>
        <w:rPr>
          <w:rFonts w:eastAsia="宋体"/>
          <w:b/>
          <w:snapToGrid w:val="0"/>
          <w:kern w:val="0"/>
          <w:sz w:val="24"/>
          <w:szCs w:val="24"/>
        </w:rPr>
        <w:t>同意</w:t>
      </w:r>
      <w:r>
        <w:rPr>
          <w:rFonts w:hint="eastAsia" w:eastAsia="宋体"/>
          <w:b/>
          <w:snapToGrid w:val="0"/>
          <w:kern w:val="0"/>
          <w:sz w:val="24"/>
          <w:szCs w:val="24"/>
        </w:rPr>
        <w:t>文件是否可以说样本是</w:t>
      </w:r>
      <w:r>
        <w:rPr>
          <w:rFonts w:hint="eastAsia" w:ascii="宋体" w:hAnsi="宋体" w:eastAsia="宋体"/>
          <w:b/>
          <w:snapToGrid w:val="0"/>
          <w:kern w:val="0"/>
          <w:sz w:val="24"/>
          <w:szCs w:val="24"/>
        </w:rPr>
        <w:t>“</w:t>
      </w:r>
      <w:r>
        <w:rPr>
          <w:rFonts w:hint="eastAsia" w:eastAsia="宋体"/>
          <w:b/>
          <w:snapToGrid w:val="0"/>
          <w:kern w:val="0"/>
          <w:sz w:val="24"/>
          <w:szCs w:val="24"/>
        </w:rPr>
        <w:t>捐赠的</w:t>
      </w:r>
      <w:r>
        <w:rPr>
          <w:rFonts w:hint="eastAsia" w:ascii="宋体" w:hAnsi="宋体" w:eastAsia="宋体"/>
          <w:b/>
          <w:snapToGrid w:val="0"/>
          <w:kern w:val="0"/>
          <w:sz w:val="24"/>
          <w:szCs w:val="24"/>
        </w:rPr>
        <w:t>”</w:t>
      </w:r>
      <w:r>
        <w:rPr>
          <w:rFonts w:hint="eastAsia" w:eastAsia="宋体"/>
          <w:b/>
          <w:snapToGrid w:val="0"/>
          <w:kern w:val="0"/>
          <w:sz w:val="24"/>
          <w:szCs w:val="24"/>
        </w:rPr>
        <w:t>？</w:t>
      </w:r>
    </w:p>
    <w:p w14:paraId="54393EBB">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独立捐赠声明如何？</w:t>
      </w:r>
      <w:r>
        <w:rPr>
          <w:rFonts w:eastAsia="宋体"/>
          <w:snapToGrid w:val="0"/>
          <w:kern w:val="0"/>
          <w:sz w:val="24"/>
          <w:szCs w:val="24"/>
        </w:rPr>
        <w:t>在同意</w:t>
      </w:r>
      <w:r>
        <w:rPr>
          <w:rFonts w:hint="eastAsia" w:eastAsia="宋体"/>
          <w:snapToGrid w:val="0"/>
          <w:kern w:val="0"/>
          <w:sz w:val="24"/>
          <w:szCs w:val="24"/>
        </w:rPr>
        <w:t>中说明样本将用于研究目的是可以接受的。</w:t>
      </w:r>
      <w:r>
        <w:rPr>
          <w:rFonts w:eastAsia="宋体"/>
          <w:snapToGrid w:val="0"/>
          <w:kern w:val="0"/>
          <w:sz w:val="24"/>
          <w:szCs w:val="24"/>
        </w:rPr>
        <w:t>但是，</w:t>
      </w:r>
      <w:r>
        <w:rPr>
          <w:rFonts w:ascii="宋体" w:hAnsi="宋体" w:eastAsia="宋体"/>
          <w:snapToGrid w:val="0"/>
          <w:kern w:val="0"/>
          <w:sz w:val="24"/>
          <w:szCs w:val="24"/>
        </w:rPr>
        <w:t>“</w:t>
      </w:r>
      <w:r>
        <w:rPr>
          <w:rFonts w:eastAsia="宋体"/>
          <w:snapToGrid w:val="0"/>
          <w:kern w:val="0"/>
          <w:sz w:val="24"/>
          <w:szCs w:val="24"/>
        </w:rPr>
        <w:t>捐</w:t>
      </w:r>
      <w:r>
        <w:rPr>
          <w:rFonts w:hint="eastAsia" w:eastAsia="宋体"/>
          <w:snapToGrid w:val="0"/>
          <w:kern w:val="0"/>
          <w:sz w:val="24"/>
          <w:szCs w:val="24"/>
        </w:rPr>
        <w:t>赠</w:t>
      </w:r>
      <w:r>
        <w:rPr>
          <w:rFonts w:hint="eastAsia" w:ascii="宋体" w:hAnsi="宋体" w:eastAsia="宋体"/>
          <w:snapToGrid w:val="0"/>
          <w:kern w:val="0"/>
          <w:sz w:val="24"/>
          <w:szCs w:val="24"/>
        </w:rPr>
        <w:t>”</w:t>
      </w:r>
      <w:r>
        <w:rPr>
          <w:rFonts w:hint="eastAsia" w:eastAsia="宋体"/>
          <w:snapToGrid w:val="0"/>
          <w:kern w:val="0"/>
          <w:sz w:val="24"/>
          <w:szCs w:val="24"/>
        </w:rPr>
        <w:t>一词意味着放弃对</w:t>
      </w:r>
      <w:r>
        <w:rPr>
          <w:rFonts w:hint="eastAsia" w:ascii="宋体" w:hAnsi="宋体" w:eastAsia="宋体"/>
          <w:snapToGrid w:val="0"/>
          <w:kern w:val="0"/>
          <w:sz w:val="24"/>
          <w:szCs w:val="24"/>
        </w:rPr>
        <w:t>“</w:t>
      </w:r>
      <w:r>
        <w:rPr>
          <w:rFonts w:hint="eastAsia" w:eastAsia="宋体"/>
          <w:snapToGrid w:val="0"/>
          <w:kern w:val="0"/>
          <w:sz w:val="24"/>
          <w:szCs w:val="24"/>
        </w:rPr>
        <w:t>财产</w:t>
      </w:r>
      <w:r>
        <w:rPr>
          <w:rFonts w:hint="eastAsia" w:ascii="宋体" w:hAnsi="宋体" w:eastAsia="宋体"/>
          <w:snapToGrid w:val="0"/>
          <w:kern w:val="0"/>
          <w:sz w:val="24"/>
          <w:szCs w:val="24"/>
        </w:rPr>
        <w:t>”</w:t>
      </w:r>
      <w:r>
        <w:rPr>
          <w:rFonts w:hint="eastAsia" w:eastAsia="宋体"/>
          <w:snapToGrid w:val="0"/>
          <w:kern w:val="0"/>
          <w:sz w:val="24"/>
          <w:szCs w:val="24"/>
        </w:rPr>
        <w:t>的权利。</w:t>
      </w:r>
      <w:r>
        <w:rPr>
          <w:rFonts w:eastAsia="宋体"/>
          <w:snapToGrid w:val="0"/>
          <w:kern w:val="0"/>
          <w:sz w:val="24"/>
          <w:szCs w:val="24"/>
        </w:rPr>
        <w:t>21 CFR 50.20禁止要求受试者放</w:t>
      </w:r>
      <w:r>
        <w:rPr>
          <w:rFonts w:hint="eastAsia" w:eastAsia="宋体"/>
          <w:snapToGrid w:val="0"/>
          <w:kern w:val="0"/>
          <w:sz w:val="24"/>
          <w:szCs w:val="24"/>
        </w:rPr>
        <w:t>弃或似乎放弃任何权利作为参加研究的条件，该</w:t>
      </w:r>
      <w:r>
        <w:rPr>
          <w:rFonts w:eastAsia="宋体"/>
          <w:snapToGrid w:val="0"/>
          <w:kern w:val="0"/>
          <w:sz w:val="24"/>
          <w:szCs w:val="24"/>
        </w:rPr>
        <w:t>措</w:t>
      </w:r>
      <w:r>
        <w:rPr>
          <w:rFonts w:hint="eastAsia" w:eastAsia="宋体"/>
          <w:snapToGrid w:val="0"/>
          <w:kern w:val="0"/>
          <w:sz w:val="24"/>
          <w:szCs w:val="24"/>
        </w:rPr>
        <w:t>辞是否包含在</w:t>
      </w:r>
      <w:r>
        <w:rPr>
          <w:rFonts w:hint="eastAsia" w:ascii="宋体" w:hAnsi="宋体" w:eastAsia="宋体"/>
          <w:snapToGrid w:val="0"/>
          <w:kern w:val="0"/>
          <w:sz w:val="24"/>
          <w:szCs w:val="24"/>
        </w:rPr>
        <w:t>“</w:t>
      </w:r>
      <w:r>
        <w:rPr>
          <w:rFonts w:hint="eastAsia" w:eastAsia="宋体"/>
          <w:snapToGrid w:val="0"/>
          <w:kern w:val="0"/>
          <w:sz w:val="24"/>
          <w:szCs w:val="24"/>
        </w:rPr>
        <w:t>实际的同意书</w:t>
      </w:r>
      <w:r>
        <w:rPr>
          <w:rFonts w:hint="eastAsia" w:ascii="宋体" w:hAnsi="宋体" w:eastAsia="宋体"/>
          <w:snapToGrid w:val="0"/>
          <w:kern w:val="0"/>
          <w:sz w:val="24"/>
          <w:szCs w:val="24"/>
        </w:rPr>
        <w:t>”</w:t>
      </w:r>
      <w:r>
        <w:rPr>
          <w:rFonts w:hint="eastAsia" w:eastAsia="宋体"/>
          <w:snapToGrid w:val="0"/>
          <w:kern w:val="0"/>
          <w:sz w:val="24"/>
          <w:szCs w:val="24"/>
        </w:rPr>
        <w:t>中是无关紧要的。</w:t>
      </w:r>
      <w:r>
        <w:rPr>
          <w:rFonts w:eastAsia="宋体"/>
          <w:snapToGrid w:val="0"/>
          <w:kern w:val="0"/>
          <w:sz w:val="24"/>
          <w:szCs w:val="24"/>
        </w:rPr>
        <w:t>所有与</w:t>
      </w:r>
      <w:r>
        <w:rPr>
          <w:rFonts w:hint="eastAsia" w:eastAsia="宋体"/>
          <w:snapToGrid w:val="0"/>
          <w:kern w:val="0"/>
          <w:sz w:val="24"/>
          <w:szCs w:val="24"/>
        </w:rPr>
        <w:t>研究有关的文件必须提交给</w:t>
      </w:r>
      <w:r>
        <w:rPr>
          <w:rFonts w:eastAsia="宋体"/>
          <w:snapToGrid w:val="0"/>
          <w:kern w:val="0"/>
          <w:sz w:val="24"/>
          <w:szCs w:val="24"/>
        </w:rPr>
        <w:t>IRB</w:t>
      </w:r>
      <w:r>
        <w:rPr>
          <w:rFonts w:hint="eastAsia" w:eastAsia="宋体"/>
          <w:snapToGrid w:val="0"/>
          <w:kern w:val="0"/>
          <w:sz w:val="24"/>
          <w:szCs w:val="24"/>
        </w:rPr>
        <w:t>审查，</w:t>
      </w:r>
      <w:r>
        <w:rPr>
          <w:rFonts w:eastAsia="宋体"/>
          <w:snapToGrid w:val="0"/>
          <w:kern w:val="0"/>
          <w:sz w:val="24"/>
          <w:szCs w:val="24"/>
        </w:rPr>
        <w:t>任何</w:t>
      </w:r>
      <w:r>
        <w:rPr>
          <w:rFonts w:hint="eastAsia" w:eastAsia="宋体"/>
          <w:snapToGrid w:val="0"/>
          <w:kern w:val="0"/>
          <w:sz w:val="24"/>
          <w:szCs w:val="24"/>
        </w:rPr>
        <w:t>单独的</w:t>
      </w:r>
      <w:r>
        <w:rPr>
          <w:rFonts w:hint="eastAsia" w:ascii="宋体" w:hAnsi="宋体" w:eastAsia="宋体"/>
          <w:snapToGrid w:val="0"/>
          <w:kern w:val="0"/>
          <w:sz w:val="24"/>
          <w:szCs w:val="24"/>
        </w:rPr>
        <w:t>“</w:t>
      </w:r>
      <w:r>
        <w:rPr>
          <w:rFonts w:hint="eastAsia" w:eastAsia="宋体"/>
          <w:snapToGrid w:val="0"/>
          <w:kern w:val="0"/>
          <w:sz w:val="24"/>
          <w:szCs w:val="24"/>
        </w:rPr>
        <w:t>捐赠</w:t>
      </w:r>
      <w:r>
        <w:rPr>
          <w:rFonts w:hint="eastAsia" w:ascii="宋体" w:hAnsi="宋体" w:eastAsia="宋体"/>
          <w:snapToGrid w:val="0"/>
          <w:kern w:val="0"/>
          <w:sz w:val="24"/>
          <w:szCs w:val="24"/>
        </w:rPr>
        <w:t>”</w:t>
      </w:r>
      <w:r>
        <w:rPr>
          <w:rFonts w:hint="eastAsia" w:eastAsia="宋体"/>
          <w:snapToGrid w:val="0"/>
          <w:kern w:val="0"/>
          <w:sz w:val="24"/>
          <w:szCs w:val="24"/>
        </w:rPr>
        <w:t>协议被视为知情同意文件的一部分，并且必须符合</w:t>
      </w:r>
      <w:r>
        <w:rPr>
          <w:rFonts w:eastAsia="宋体"/>
          <w:snapToGrid w:val="0"/>
          <w:kern w:val="0"/>
          <w:sz w:val="24"/>
          <w:szCs w:val="24"/>
        </w:rPr>
        <w:t>21 CFR 50。</w:t>
      </w:r>
    </w:p>
    <w:p w14:paraId="581E24CC">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53.知情同意书有理由向研究受试者收取费用吗？</w:t>
      </w:r>
    </w:p>
    <w:p w14:paraId="0DEAF83D">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w:t>
      </w:r>
      <w:r>
        <w:rPr>
          <w:rFonts w:hint="eastAsia" w:eastAsia="宋体"/>
          <w:snapToGrid w:val="0"/>
          <w:kern w:val="0"/>
          <w:sz w:val="24"/>
          <w:szCs w:val="24"/>
        </w:rPr>
        <w:t>不要求同意中包含收取费用的理由。</w:t>
      </w:r>
    </w:p>
    <w:p w14:paraId="4BA1B52D">
      <w:pPr>
        <w:pStyle w:val="41"/>
        <w:shd w:val="clear" w:color="auto" w:fill="auto"/>
        <w:topLinePunct/>
        <w:adjustRightInd w:val="0"/>
        <w:snapToGrid w:val="0"/>
        <w:spacing w:before="0" w:after="244" w:afterLines="75" w:line="300" w:lineRule="auto"/>
        <w:jc w:val="both"/>
        <w:rPr>
          <w:rFonts w:eastAsia="宋体"/>
          <w:b/>
          <w:snapToGrid w:val="0"/>
          <w:kern w:val="0"/>
          <w:sz w:val="24"/>
          <w:szCs w:val="28"/>
        </w:rPr>
      </w:pPr>
      <w:r>
        <w:rPr>
          <w:rFonts w:hint="eastAsia" w:eastAsia="宋体"/>
          <w:b/>
          <w:snapToGrid w:val="0"/>
          <w:kern w:val="0"/>
          <w:sz w:val="24"/>
          <w:szCs w:val="28"/>
        </w:rPr>
        <w:t>VII. 临床研究者</w:t>
      </w:r>
    </w:p>
    <w:p w14:paraId="05470F4C">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54. 医生在私人诊所中对</w:t>
      </w:r>
      <w:r>
        <w:rPr>
          <w:rFonts w:eastAsia="宋体"/>
          <w:b/>
          <w:snapToGrid w:val="0"/>
          <w:kern w:val="0"/>
          <w:sz w:val="24"/>
          <w:szCs w:val="24"/>
        </w:rPr>
        <w:t>FDA</w:t>
      </w:r>
      <w:r>
        <w:rPr>
          <w:rFonts w:hint="eastAsia" w:eastAsia="宋体"/>
          <w:b/>
          <w:snapToGrid w:val="0"/>
          <w:kern w:val="0"/>
          <w:sz w:val="24"/>
          <w:szCs w:val="24"/>
        </w:rPr>
        <w:t>监管产品进行研究，是否需要获得</w:t>
      </w:r>
      <w:r>
        <w:rPr>
          <w:rFonts w:eastAsia="宋体"/>
          <w:b/>
          <w:snapToGrid w:val="0"/>
          <w:kern w:val="0"/>
          <w:sz w:val="24"/>
          <w:szCs w:val="24"/>
        </w:rPr>
        <w:t>IRB的批准？</w:t>
      </w:r>
    </w:p>
    <w:p w14:paraId="4AE8D1B3">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w:t>
      </w:r>
      <w:r>
        <w:rPr>
          <w:rFonts w:eastAsia="宋体"/>
          <w:snapToGrid w:val="0"/>
          <w:kern w:val="0"/>
          <w:sz w:val="24"/>
          <w:szCs w:val="24"/>
        </w:rPr>
        <w:t>FDA法规</w:t>
      </w:r>
      <w:r>
        <w:rPr>
          <w:rFonts w:hint="eastAsia" w:eastAsia="宋体"/>
          <w:snapToGrid w:val="0"/>
          <w:kern w:val="0"/>
          <w:sz w:val="24"/>
          <w:szCs w:val="24"/>
        </w:rPr>
        <w:t>要求</w:t>
      </w:r>
      <w:r>
        <w:rPr>
          <w:rFonts w:eastAsia="宋体"/>
          <w:snapToGrid w:val="0"/>
          <w:kern w:val="0"/>
          <w:sz w:val="24"/>
          <w:szCs w:val="24"/>
        </w:rPr>
        <w:t>IRB</w:t>
      </w:r>
      <w:r>
        <w:rPr>
          <w:rFonts w:hint="eastAsia" w:eastAsia="宋体"/>
          <w:snapToGrid w:val="0"/>
          <w:kern w:val="0"/>
          <w:sz w:val="24"/>
          <w:szCs w:val="24"/>
        </w:rPr>
        <w:t>审查和批准受到法规监管的临床研究，无论研究是否涉及机构中的受试者。</w:t>
      </w:r>
      <w:r>
        <w:rPr>
          <w:rFonts w:eastAsia="宋体"/>
          <w:snapToGrid w:val="0"/>
          <w:kern w:val="0"/>
          <w:sz w:val="24"/>
          <w:szCs w:val="24"/>
        </w:rPr>
        <w:t>FDA已</w:t>
      </w:r>
      <w:r>
        <w:rPr>
          <w:rFonts w:hint="eastAsia" w:eastAsia="宋体"/>
          <w:snapToGrid w:val="0"/>
          <w:kern w:val="0"/>
          <w:sz w:val="24"/>
          <w:szCs w:val="24"/>
        </w:rPr>
        <w:t>经将非机构的受试者纳入监管，因为如果根据受试者是否是在机构中而对他们使用研究受试者保护的双重标准是不适当的。</w:t>
      </w:r>
    </w:p>
    <w:p w14:paraId="0057E950">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研究者应该能够通过向社区医院、大学</w:t>
      </w:r>
      <w:r>
        <w:rPr>
          <w:rFonts w:eastAsia="宋体"/>
          <w:snapToGrid w:val="0"/>
          <w:kern w:val="0"/>
          <w:sz w:val="24"/>
          <w:szCs w:val="24"/>
        </w:rPr>
        <w:t>／</w:t>
      </w:r>
      <w:r>
        <w:rPr>
          <w:rFonts w:hint="eastAsia" w:eastAsia="宋体"/>
          <w:snapToGrid w:val="0"/>
          <w:kern w:val="0"/>
          <w:sz w:val="24"/>
          <w:szCs w:val="24"/>
        </w:rPr>
        <w:t>医学院校、独立</w:t>
      </w:r>
      <w:r>
        <w:rPr>
          <w:rFonts w:eastAsia="宋体"/>
          <w:snapToGrid w:val="0"/>
          <w:kern w:val="0"/>
          <w:sz w:val="24"/>
          <w:szCs w:val="24"/>
        </w:rPr>
        <w:t>IRB</w:t>
      </w:r>
      <w:r>
        <w:rPr>
          <w:rFonts w:hint="eastAsia" w:eastAsia="宋体"/>
          <w:snapToGrid w:val="0"/>
          <w:kern w:val="0"/>
          <w:sz w:val="24"/>
          <w:szCs w:val="24"/>
        </w:rPr>
        <w:t>、</w:t>
      </w:r>
      <w:r>
        <w:rPr>
          <w:rFonts w:eastAsia="宋体"/>
          <w:snapToGrid w:val="0"/>
          <w:kern w:val="0"/>
          <w:sz w:val="24"/>
          <w:szCs w:val="24"/>
        </w:rPr>
        <w:t>地方或州政府</w:t>
      </w:r>
      <w:r>
        <w:rPr>
          <w:rFonts w:hint="eastAsia" w:eastAsia="宋体"/>
          <w:snapToGrid w:val="0"/>
          <w:kern w:val="0"/>
          <w:sz w:val="24"/>
          <w:szCs w:val="24"/>
        </w:rPr>
        <w:t>的卫生机构或其他组织提交研究方案来获取</w:t>
      </w:r>
      <w:r>
        <w:rPr>
          <w:rFonts w:eastAsia="宋体"/>
          <w:snapToGrid w:val="0"/>
          <w:kern w:val="0"/>
          <w:sz w:val="24"/>
          <w:szCs w:val="24"/>
        </w:rPr>
        <w:t>IRB</w:t>
      </w:r>
      <w:r>
        <w:rPr>
          <w:rFonts w:hint="eastAsia" w:eastAsia="宋体"/>
          <w:snapToGrid w:val="0"/>
          <w:kern w:val="0"/>
          <w:sz w:val="24"/>
          <w:szCs w:val="24"/>
        </w:rPr>
        <w:t>审查。</w:t>
      </w:r>
    </w:p>
    <w:p w14:paraId="1ACC29C5">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55. </w:t>
      </w:r>
      <w:r>
        <w:rPr>
          <w:rFonts w:eastAsia="宋体"/>
          <w:b/>
          <w:snapToGrid w:val="0"/>
          <w:kern w:val="0"/>
          <w:sz w:val="24"/>
          <w:szCs w:val="24"/>
        </w:rPr>
        <w:t>涉及</w:t>
      </w:r>
      <w:r>
        <w:rPr>
          <w:rFonts w:hint="eastAsia" w:eastAsia="宋体"/>
          <w:b/>
          <w:snapToGrid w:val="0"/>
          <w:kern w:val="0"/>
          <w:sz w:val="24"/>
          <w:szCs w:val="24"/>
        </w:rPr>
        <w:t>已</w:t>
      </w:r>
      <w:r>
        <w:rPr>
          <w:rFonts w:eastAsia="宋体"/>
          <w:b/>
          <w:snapToGrid w:val="0"/>
          <w:kern w:val="0"/>
          <w:sz w:val="24"/>
          <w:szCs w:val="24"/>
        </w:rPr>
        <w:t>上市</w:t>
      </w:r>
      <w:r>
        <w:rPr>
          <w:rFonts w:hint="eastAsia" w:eastAsia="宋体"/>
          <w:b/>
          <w:snapToGrid w:val="0"/>
          <w:kern w:val="0"/>
          <w:sz w:val="24"/>
          <w:szCs w:val="24"/>
        </w:rPr>
        <w:t>产品的临床研究是否需要</w:t>
      </w:r>
      <w:r>
        <w:rPr>
          <w:rFonts w:eastAsia="宋体"/>
          <w:b/>
          <w:snapToGrid w:val="0"/>
          <w:kern w:val="0"/>
          <w:sz w:val="24"/>
          <w:szCs w:val="24"/>
        </w:rPr>
        <w:t>IRB</w:t>
      </w:r>
      <w:r>
        <w:rPr>
          <w:rFonts w:hint="eastAsia" w:eastAsia="宋体"/>
          <w:b/>
          <w:snapToGrid w:val="0"/>
          <w:kern w:val="0"/>
          <w:sz w:val="24"/>
          <w:szCs w:val="24"/>
        </w:rPr>
        <w:t>的审查和批准？</w:t>
      </w:r>
    </w:p>
    <w:p w14:paraId="286C7E1E">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是，如果该研究受</w:t>
      </w:r>
      <w:r>
        <w:rPr>
          <w:rFonts w:eastAsia="宋体"/>
          <w:snapToGrid w:val="0"/>
          <w:kern w:val="0"/>
          <w:sz w:val="24"/>
          <w:szCs w:val="24"/>
        </w:rPr>
        <w:t>FDA</w:t>
      </w:r>
      <w:r>
        <w:rPr>
          <w:rFonts w:hint="eastAsia" w:eastAsia="宋体"/>
          <w:snapToGrid w:val="0"/>
          <w:kern w:val="0"/>
          <w:sz w:val="24"/>
          <w:szCs w:val="24"/>
        </w:rPr>
        <w:t>法规监管</w:t>
      </w:r>
      <w:r>
        <w:rPr>
          <w:rFonts w:eastAsia="宋体"/>
          <w:snapToGrid w:val="0"/>
          <w:kern w:val="0"/>
          <w:sz w:val="24"/>
          <w:szCs w:val="24"/>
        </w:rPr>
        <w:t>【</w:t>
      </w:r>
      <w:r>
        <w:rPr>
          <w:rFonts w:hint="eastAsia" w:eastAsia="宋体"/>
          <w:snapToGrid w:val="0"/>
          <w:kern w:val="0"/>
          <w:sz w:val="24"/>
          <w:szCs w:val="24"/>
        </w:rPr>
        <w:t>见</w:t>
      </w:r>
      <w:r>
        <w:rPr>
          <w:rFonts w:eastAsia="宋体"/>
          <w:snapToGrid w:val="0"/>
          <w:kern w:val="0"/>
          <w:sz w:val="24"/>
          <w:szCs w:val="24"/>
        </w:rPr>
        <w:t>21 CFR 56.101,56.102（c），312.2 （b）（1），361.1,601.2和812.2】</w:t>
      </w:r>
      <w:r>
        <w:rPr>
          <w:rFonts w:hint="eastAsia" w:eastAsia="宋体"/>
          <w:snapToGrid w:val="0"/>
          <w:kern w:val="0"/>
          <w:sz w:val="24"/>
          <w:szCs w:val="24"/>
        </w:rPr>
        <w:t>，亦可参见题为</w:t>
      </w:r>
      <w:r>
        <w:rPr>
          <w:rFonts w:hint="eastAsia" w:ascii="宋体" w:hAnsi="宋体" w:eastAsia="宋体"/>
          <w:snapToGrid w:val="0"/>
          <w:kern w:val="0"/>
          <w:sz w:val="24"/>
          <w:szCs w:val="24"/>
        </w:rPr>
        <w:t>“</w:t>
      </w:r>
      <w:r>
        <w:rPr>
          <w:rFonts w:hint="eastAsia" w:eastAsia="宋体"/>
          <w:snapToGrid w:val="0"/>
          <w:kern w:val="0"/>
          <w:sz w:val="24"/>
          <w:szCs w:val="24"/>
        </w:rPr>
        <w:t>已上市药品和生物制剂的‘标签外’和研究使用</w:t>
      </w:r>
      <w:r>
        <w:rPr>
          <w:rFonts w:hint="eastAsia" w:ascii="宋体" w:hAnsi="宋体" w:eastAsia="宋体"/>
          <w:snapToGrid w:val="0"/>
          <w:kern w:val="0"/>
          <w:sz w:val="24"/>
          <w:szCs w:val="24"/>
        </w:rPr>
        <w:t>”</w:t>
      </w:r>
      <w:r>
        <w:rPr>
          <w:rFonts w:hint="eastAsia" w:eastAsia="宋体"/>
          <w:snapToGrid w:val="0"/>
          <w:kern w:val="0"/>
          <w:sz w:val="24"/>
          <w:szCs w:val="24"/>
        </w:rPr>
        <w:t>的信息表。</w:t>
      </w:r>
      <w:r>
        <w:rPr>
          <w:rFonts w:hint="eastAsia" w:ascii="宋体" w:hAnsi="宋体" w:eastAsia="宋体"/>
          <w:snapToGrid w:val="0"/>
          <w:kern w:val="0"/>
          <w:sz w:val="24"/>
          <w:szCs w:val="24"/>
        </w:rPr>
        <w:t>”</w:t>
      </w:r>
    </w:p>
    <w:p w14:paraId="0B9F1BC9">
      <w:pPr>
        <w:pStyle w:val="41"/>
        <w:shd w:val="clear" w:color="auto" w:fill="auto"/>
        <w:topLinePunct/>
        <w:adjustRightInd w:val="0"/>
        <w:snapToGrid w:val="0"/>
        <w:spacing w:before="0" w:after="244" w:afterLines="75" w:line="300" w:lineRule="auto"/>
        <w:jc w:val="both"/>
        <w:rPr>
          <w:rFonts w:eastAsia="宋体"/>
          <w:b/>
          <w:snapToGrid w:val="0"/>
          <w:kern w:val="0"/>
          <w:sz w:val="24"/>
          <w:szCs w:val="28"/>
        </w:rPr>
      </w:pPr>
      <w:r>
        <w:rPr>
          <w:rFonts w:hint="eastAsia" w:eastAsia="宋体"/>
          <w:b/>
          <w:snapToGrid w:val="0"/>
          <w:kern w:val="0"/>
          <w:sz w:val="24"/>
          <w:szCs w:val="28"/>
        </w:rPr>
        <w:t>VIII. 一般问题</w:t>
      </w:r>
    </w:p>
    <w:p w14:paraId="0CC0A62E">
      <w:pPr>
        <w:widowControl w:val="0"/>
        <w:topLinePunct/>
        <w:adjustRightInd w:val="0"/>
        <w:snapToGrid w:val="0"/>
        <w:spacing w:after="244" w:afterLines="75" w:line="300" w:lineRule="auto"/>
        <w:jc w:val="both"/>
        <w:rPr>
          <w:rFonts w:ascii="Arial" w:hAnsi="Arial" w:eastAsia="宋体" w:cs="Arial"/>
          <w:b/>
          <w:snapToGrid w:val="0"/>
          <w:szCs w:val="24"/>
        </w:rPr>
      </w:pPr>
      <w:r>
        <w:rPr>
          <w:rFonts w:ascii="Arial" w:hAnsi="Arial" w:eastAsia="宋体" w:cs="Arial"/>
          <w:b/>
          <w:snapToGrid w:val="0"/>
          <w:szCs w:val="24"/>
        </w:rPr>
        <w:br w:type="page"/>
      </w:r>
    </w:p>
    <w:p w14:paraId="5C4F37B2">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56. </w:t>
      </w:r>
      <w:r>
        <w:rPr>
          <w:rFonts w:eastAsia="宋体"/>
          <w:b/>
          <w:snapToGrid w:val="0"/>
          <w:kern w:val="0"/>
          <w:sz w:val="24"/>
          <w:szCs w:val="24"/>
        </w:rPr>
        <w:t>IRB</w:t>
      </w:r>
      <w:r>
        <w:rPr>
          <w:rFonts w:hint="eastAsia" w:eastAsia="宋体"/>
          <w:b/>
          <w:snapToGrid w:val="0"/>
          <w:kern w:val="0"/>
          <w:sz w:val="24"/>
          <w:szCs w:val="24"/>
        </w:rPr>
        <w:t>可以联系哪个</w:t>
      </w:r>
      <w:r>
        <w:rPr>
          <w:rFonts w:eastAsia="宋体"/>
          <w:b/>
          <w:snapToGrid w:val="0"/>
          <w:kern w:val="0"/>
          <w:sz w:val="24"/>
          <w:szCs w:val="24"/>
        </w:rPr>
        <w:t>FDA</w:t>
      </w:r>
      <w:r>
        <w:rPr>
          <w:rFonts w:hint="eastAsia" w:eastAsia="宋体"/>
          <w:b/>
          <w:snapToGrid w:val="0"/>
          <w:kern w:val="0"/>
          <w:sz w:val="24"/>
          <w:szCs w:val="24"/>
        </w:rPr>
        <w:t>办公室以确定供试品的研究是要求研究用新药申请（</w:t>
      </w:r>
      <w:r>
        <w:rPr>
          <w:rFonts w:eastAsia="宋体"/>
          <w:b/>
          <w:snapToGrid w:val="0"/>
          <w:kern w:val="0"/>
          <w:sz w:val="24"/>
          <w:szCs w:val="24"/>
        </w:rPr>
        <w:t>IND</w:t>
      </w:r>
      <w:r>
        <w:rPr>
          <w:rFonts w:hint="eastAsia" w:eastAsia="宋体"/>
          <w:b/>
          <w:snapToGrid w:val="0"/>
          <w:kern w:val="0"/>
          <w:sz w:val="24"/>
          <w:szCs w:val="24"/>
        </w:rPr>
        <w:t>）还是</w:t>
      </w:r>
      <w:r>
        <w:rPr>
          <w:rFonts w:eastAsia="宋体"/>
          <w:b/>
          <w:snapToGrid w:val="0"/>
          <w:kern w:val="0"/>
          <w:sz w:val="24"/>
          <w:szCs w:val="24"/>
        </w:rPr>
        <w:t>研究</w:t>
      </w:r>
      <w:r>
        <w:rPr>
          <w:rFonts w:hint="eastAsia" w:eastAsia="宋体"/>
          <w:b/>
          <w:snapToGrid w:val="0"/>
          <w:kern w:val="0"/>
          <w:sz w:val="24"/>
          <w:szCs w:val="24"/>
        </w:rPr>
        <w:t>用器械豁免（</w:t>
      </w:r>
      <w:r>
        <w:rPr>
          <w:rFonts w:eastAsia="宋体"/>
          <w:b/>
          <w:snapToGrid w:val="0"/>
          <w:kern w:val="0"/>
          <w:sz w:val="24"/>
          <w:szCs w:val="24"/>
        </w:rPr>
        <w:t>IDE</w:t>
      </w:r>
      <w:r>
        <w:rPr>
          <w:rFonts w:hint="eastAsia" w:eastAsia="宋体"/>
          <w:b/>
          <w:snapToGrid w:val="0"/>
          <w:kern w:val="0"/>
          <w:sz w:val="24"/>
          <w:szCs w:val="24"/>
        </w:rPr>
        <w:t>）</w:t>
      </w:r>
      <w:r>
        <w:rPr>
          <w:rFonts w:eastAsia="宋体"/>
          <w:b/>
          <w:snapToGrid w:val="0"/>
          <w:kern w:val="0"/>
          <w:sz w:val="24"/>
          <w:szCs w:val="24"/>
        </w:rPr>
        <w:t>？</w:t>
      </w:r>
    </w:p>
    <w:p w14:paraId="66A5C09A">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对于药品，</w:t>
      </w:r>
      <w:r>
        <w:rPr>
          <w:rFonts w:eastAsia="宋体"/>
          <w:snapToGrid w:val="0"/>
          <w:kern w:val="0"/>
          <w:sz w:val="24"/>
          <w:szCs w:val="24"/>
        </w:rPr>
        <w:t>IRB可以</w:t>
      </w:r>
      <w:r>
        <w:rPr>
          <w:rFonts w:hint="eastAsia" w:eastAsia="宋体"/>
          <w:snapToGrid w:val="0"/>
          <w:kern w:val="0"/>
          <w:sz w:val="24"/>
          <w:szCs w:val="24"/>
        </w:rPr>
        <w:t>联系药品评估和研究中心（</w:t>
      </w:r>
      <w:r>
        <w:rPr>
          <w:rFonts w:eastAsia="宋体"/>
          <w:snapToGrid w:val="0"/>
          <w:kern w:val="0"/>
          <w:sz w:val="24"/>
          <w:szCs w:val="24"/>
        </w:rPr>
        <w:t>CDER</w:t>
      </w:r>
      <w:r>
        <w:rPr>
          <w:rFonts w:hint="eastAsia" w:eastAsia="宋体"/>
          <w:snapToGrid w:val="0"/>
          <w:kern w:val="0"/>
          <w:sz w:val="24"/>
          <w:szCs w:val="24"/>
        </w:rPr>
        <w:t>），交流办公室，药品信息部，请致电：（</w:t>
      </w:r>
      <w:r>
        <w:rPr>
          <w:rFonts w:eastAsia="宋体"/>
          <w:snapToGrid w:val="0"/>
          <w:kern w:val="0"/>
          <w:sz w:val="24"/>
          <w:szCs w:val="24"/>
        </w:rPr>
        <w:t>301</w:t>
      </w:r>
      <w:r>
        <w:rPr>
          <w:rFonts w:hint="eastAsia" w:eastAsia="宋体"/>
          <w:snapToGrid w:val="0"/>
          <w:kern w:val="0"/>
          <w:sz w:val="24"/>
          <w:szCs w:val="24"/>
        </w:rPr>
        <w:t>）</w:t>
      </w:r>
      <w:r>
        <w:rPr>
          <w:rFonts w:eastAsia="宋体"/>
          <w:snapToGrid w:val="0"/>
          <w:kern w:val="0"/>
          <w:sz w:val="24"/>
          <w:szCs w:val="24"/>
        </w:rPr>
        <w:t>796-3400</w:t>
      </w:r>
      <w:r>
        <w:rPr>
          <w:rFonts w:hint="eastAsia" w:eastAsia="宋体"/>
          <w:snapToGrid w:val="0"/>
          <w:kern w:val="0"/>
          <w:sz w:val="24"/>
          <w:szCs w:val="24"/>
        </w:rPr>
        <w:t>。</w:t>
      </w:r>
    </w:p>
    <w:p w14:paraId="559A3114">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对于生物制剂，请联系生物制剂评估与研究中心（</w:t>
      </w:r>
      <w:r>
        <w:rPr>
          <w:rFonts w:eastAsia="宋体"/>
          <w:snapToGrid w:val="0"/>
          <w:kern w:val="0"/>
          <w:sz w:val="24"/>
          <w:szCs w:val="24"/>
        </w:rPr>
        <w:t>CBER</w:t>
      </w:r>
      <w:r>
        <w:rPr>
          <w:rFonts w:hint="eastAsia" w:eastAsia="宋体"/>
          <w:snapToGrid w:val="0"/>
          <w:kern w:val="0"/>
          <w:sz w:val="24"/>
          <w:szCs w:val="24"/>
        </w:rPr>
        <w:t>），交流、外联与发展部，请致电：（</w:t>
      </w:r>
      <w:r>
        <w:rPr>
          <w:rFonts w:eastAsia="宋体"/>
          <w:snapToGrid w:val="0"/>
          <w:kern w:val="0"/>
          <w:sz w:val="24"/>
          <w:szCs w:val="24"/>
        </w:rPr>
        <w:t>800</w:t>
      </w:r>
      <w:r>
        <w:rPr>
          <w:rFonts w:hint="eastAsia" w:eastAsia="宋体"/>
          <w:snapToGrid w:val="0"/>
          <w:kern w:val="0"/>
          <w:sz w:val="24"/>
          <w:szCs w:val="24"/>
        </w:rPr>
        <w:t>）</w:t>
      </w:r>
      <w:r>
        <w:rPr>
          <w:rFonts w:eastAsia="宋体"/>
          <w:snapToGrid w:val="0"/>
          <w:kern w:val="0"/>
          <w:sz w:val="24"/>
          <w:szCs w:val="24"/>
        </w:rPr>
        <w:t>-835-4709或（301）827-1800</w:t>
      </w:r>
      <w:r>
        <w:rPr>
          <w:rFonts w:hint="eastAsia" w:eastAsia="宋体"/>
          <w:snapToGrid w:val="0"/>
          <w:kern w:val="0"/>
          <w:sz w:val="24"/>
          <w:szCs w:val="24"/>
        </w:rPr>
        <w:t>。</w:t>
      </w:r>
    </w:p>
    <w:p w14:paraId="1B720DEC">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对于医疗器械，请联系器械和放射卫生中心（</w:t>
      </w:r>
      <w:r>
        <w:rPr>
          <w:rFonts w:eastAsia="宋体"/>
          <w:snapToGrid w:val="0"/>
          <w:kern w:val="0"/>
          <w:sz w:val="24"/>
          <w:szCs w:val="24"/>
        </w:rPr>
        <w:t>CDRH</w:t>
      </w:r>
      <w:r>
        <w:rPr>
          <w:rFonts w:hint="eastAsia" w:eastAsia="宋体"/>
          <w:snapToGrid w:val="0"/>
          <w:kern w:val="0"/>
          <w:sz w:val="24"/>
          <w:szCs w:val="24"/>
        </w:rPr>
        <w:t>），器械评估办公室，研究用器械豁免（</w:t>
      </w:r>
      <w:r>
        <w:rPr>
          <w:rFonts w:eastAsia="宋体"/>
          <w:snapToGrid w:val="0"/>
          <w:kern w:val="0"/>
          <w:sz w:val="24"/>
          <w:szCs w:val="24"/>
        </w:rPr>
        <w:t>IDE</w:t>
      </w:r>
      <w:r>
        <w:rPr>
          <w:rFonts w:hint="eastAsia" w:eastAsia="宋体"/>
          <w:snapToGrid w:val="0"/>
          <w:kern w:val="0"/>
          <w:sz w:val="24"/>
          <w:szCs w:val="24"/>
        </w:rPr>
        <w:t>）</w:t>
      </w:r>
      <w:r>
        <w:rPr>
          <w:rFonts w:eastAsia="宋体"/>
          <w:snapToGrid w:val="0"/>
          <w:kern w:val="0"/>
          <w:sz w:val="24"/>
          <w:szCs w:val="24"/>
        </w:rPr>
        <w:t>工作人</w:t>
      </w:r>
      <w:r>
        <w:rPr>
          <w:rFonts w:hint="eastAsia" w:eastAsia="宋体"/>
          <w:snapToGrid w:val="0"/>
          <w:kern w:val="0"/>
          <w:sz w:val="24"/>
          <w:szCs w:val="24"/>
        </w:rPr>
        <w:t>员，请致电：（</w:t>
      </w:r>
      <w:r>
        <w:rPr>
          <w:rFonts w:eastAsia="宋体"/>
          <w:snapToGrid w:val="0"/>
          <w:kern w:val="0"/>
          <w:sz w:val="24"/>
          <w:szCs w:val="24"/>
        </w:rPr>
        <w:t>301</w:t>
      </w:r>
      <w:r>
        <w:rPr>
          <w:rFonts w:hint="eastAsia" w:eastAsia="宋体"/>
          <w:snapToGrid w:val="0"/>
          <w:kern w:val="0"/>
          <w:sz w:val="24"/>
          <w:szCs w:val="24"/>
        </w:rPr>
        <w:t>）</w:t>
      </w:r>
      <w:r>
        <w:rPr>
          <w:rFonts w:eastAsia="宋体"/>
          <w:snapToGrid w:val="0"/>
          <w:kern w:val="0"/>
          <w:sz w:val="24"/>
          <w:szCs w:val="24"/>
        </w:rPr>
        <w:t>796-5640</w:t>
      </w:r>
      <w:r>
        <w:rPr>
          <w:rFonts w:hint="eastAsia" w:eastAsia="宋体"/>
          <w:snapToGrid w:val="0"/>
          <w:kern w:val="0"/>
          <w:sz w:val="24"/>
          <w:szCs w:val="24"/>
        </w:rPr>
        <w:t>。</w:t>
      </w:r>
    </w:p>
    <w:p w14:paraId="35CC84C3">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57. </w:t>
      </w:r>
      <w:r>
        <w:rPr>
          <w:rFonts w:eastAsia="宋体"/>
          <w:b/>
          <w:snapToGrid w:val="0"/>
          <w:kern w:val="0"/>
          <w:sz w:val="24"/>
          <w:szCs w:val="24"/>
        </w:rPr>
        <w:t>FDA</w:t>
      </w:r>
      <w:r>
        <w:rPr>
          <w:rFonts w:hint="eastAsia" w:eastAsia="宋体"/>
          <w:b/>
          <w:snapToGrid w:val="0"/>
          <w:kern w:val="0"/>
          <w:sz w:val="24"/>
          <w:szCs w:val="24"/>
        </w:rPr>
        <w:t>检查</w:t>
      </w:r>
      <w:r>
        <w:rPr>
          <w:rFonts w:eastAsia="宋体"/>
          <w:b/>
          <w:snapToGrid w:val="0"/>
          <w:kern w:val="0"/>
          <w:sz w:val="24"/>
          <w:szCs w:val="24"/>
        </w:rPr>
        <w:t>IRB</w:t>
      </w:r>
      <w:r>
        <w:rPr>
          <w:rFonts w:hint="eastAsia" w:eastAsia="宋体"/>
          <w:b/>
          <w:snapToGrid w:val="0"/>
          <w:kern w:val="0"/>
          <w:sz w:val="24"/>
          <w:szCs w:val="24"/>
        </w:rPr>
        <w:t>期间会发生什么？</w:t>
      </w:r>
    </w:p>
    <w:p w14:paraId="6F56AB2C">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FDA</w:t>
      </w:r>
      <w:r>
        <w:rPr>
          <w:rFonts w:hint="eastAsia" w:eastAsia="宋体"/>
          <w:snapToGrid w:val="0"/>
          <w:kern w:val="0"/>
          <w:sz w:val="24"/>
          <w:szCs w:val="24"/>
        </w:rPr>
        <w:t>会在研究者现场与机构官员面谈，并检查</w:t>
      </w:r>
      <w:r>
        <w:rPr>
          <w:rFonts w:eastAsia="宋体"/>
          <w:snapToGrid w:val="0"/>
          <w:kern w:val="0"/>
          <w:sz w:val="24"/>
          <w:szCs w:val="24"/>
        </w:rPr>
        <w:t>IRB</w:t>
      </w:r>
      <w:r>
        <w:rPr>
          <w:rFonts w:hint="eastAsia" w:eastAsia="宋体"/>
          <w:snapToGrid w:val="0"/>
          <w:kern w:val="0"/>
          <w:sz w:val="24"/>
          <w:szCs w:val="24"/>
        </w:rPr>
        <w:t>记录以确定是否符合</w:t>
      </w:r>
      <w:r>
        <w:rPr>
          <w:rFonts w:eastAsia="宋体"/>
          <w:snapToGrid w:val="0"/>
          <w:kern w:val="0"/>
          <w:sz w:val="24"/>
          <w:szCs w:val="24"/>
        </w:rPr>
        <w:t>FDA法规</w:t>
      </w:r>
      <w:r>
        <w:rPr>
          <w:rFonts w:hint="eastAsia" w:eastAsia="宋体"/>
          <w:snapToGrid w:val="0"/>
          <w:kern w:val="0"/>
          <w:sz w:val="24"/>
          <w:szCs w:val="24"/>
        </w:rPr>
        <w:t>。</w:t>
      </w:r>
      <w:r>
        <w:rPr>
          <w:rFonts w:eastAsia="宋体"/>
          <w:snapToGrid w:val="0"/>
          <w:kern w:val="0"/>
          <w:sz w:val="24"/>
          <w:szCs w:val="24"/>
        </w:rPr>
        <w:t>有</w:t>
      </w:r>
      <w:r>
        <w:rPr>
          <w:rFonts w:hint="eastAsia" w:eastAsia="宋体"/>
          <w:snapToGrid w:val="0"/>
          <w:kern w:val="0"/>
          <w:sz w:val="24"/>
          <w:szCs w:val="24"/>
        </w:rPr>
        <w:t>关检查过程的完整说明，可参见题为</w:t>
      </w:r>
      <w:r>
        <w:rPr>
          <w:rFonts w:hint="eastAsia" w:ascii="宋体" w:hAnsi="宋体" w:eastAsia="宋体"/>
          <w:snapToGrid w:val="0"/>
          <w:kern w:val="0"/>
          <w:sz w:val="24"/>
          <w:szCs w:val="24"/>
        </w:rPr>
        <w:t>“</w:t>
      </w:r>
      <w:r>
        <w:rPr>
          <w:rFonts w:eastAsia="宋体"/>
          <w:snapToGrid w:val="0"/>
          <w:kern w:val="0"/>
          <w:sz w:val="24"/>
          <w:szCs w:val="24"/>
        </w:rPr>
        <w:t>FDA机构</w:t>
      </w:r>
      <w:r>
        <w:rPr>
          <w:rFonts w:hint="eastAsia" w:eastAsia="宋体"/>
          <w:snapToGrid w:val="0"/>
          <w:kern w:val="0"/>
          <w:sz w:val="24"/>
          <w:szCs w:val="24"/>
        </w:rPr>
        <w:t>审查委员会检查</w:t>
      </w:r>
      <w:r>
        <w:rPr>
          <w:rFonts w:hint="eastAsia" w:ascii="宋体" w:hAnsi="宋体" w:eastAsia="宋体"/>
          <w:snapToGrid w:val="0"/>
          <w:kern w:val="0"/>
          <w:sz w:val="24"/>
          <w:szCs w:val="24"/>
        </w:rPr>
        <w:t>”</w:t>
      </w:r>
      <w:r>
        <w:rPr>
          <w:rFonts w:hint="eastAsia" w:eastAsia="宋体"/>
          <w:snapToGrid w:val="0"/>
          <w:kern w:val="0"/>
          <w:sz w:val="24"/>
          <w:szCs w:val="24"/>
        </w:rPr>
        <w:t>的信息表。</w:t>
      </w:r>
    </w:p>
    <w:p w14:paraId="712FA4BE">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58.</w:t>
      </w:r>
      <w:r>
        <w:rPr>
          <w:rFonts w:eastAsia="宋体"/>
          <w:b/>
          <w:snapToGrid w:val="0"/>
          <w:kern w:val="0"/>
          <w:sz w:val="24"/>
          <w:szCs w:val="24"/>
        </w:rPr>
        <w:t>治</w:t>
      </w:r>
      <w:r>
        <w:rPr>
          <w:rFonts w:hint="eastAsia" w:eastAsia="宋体"/>
          <w:b/>
          <w:snapToGrid w:val="0"/>
          <w:kern w:val="0"/>
          <w:sz w:val="24"/>
          <w:szCs w:val="24"/>
        </w:rPr>
        <w:t>疗用</w:t>
      </w:r>
      <w:r>
        <w:rPr>
          <w:rFonts w:eastAsia="宋体"/>
          <w:b/>
          <w:snapToGrid w:val="0"/>
          <w:kern w:val="0"/>
          <w:sz w:val="24"/>
          <w:szCs w:val="24"/>
        </w:rPr>
        <w:t>IND/IDE【21 CFR 312.34 / 812.36】是否需要IRB</w:t>
      </w:r>
      <w:r>
        <w:rPr>
          <w:rFonts w:hint="eastAsia" w:eastAsia="宋体"/>
          <w:b/>
          <w:snapToGrid w:val="0"/>
          <w:kern w:val="0"/>
          <w:sz w:val="24"/>
          <w:szCs w:val="24"/>
        </w:rPr>
        <w:t>的事</w:t>
      </w:r>
      <w:r>
        <w:rPr>
          <w:rFonts w:eastAsia="宋体"/>
          <w:b/>
          <w:snapToGrid w:val="0"/>
          <w:kern w:val="0"/>
          <w:sz w:val="24"/>
          <w:szCs w:val="24"/>
        </w:rPr>
        <w:t>前批准？</w:t>
      </w:r>
    </w:p>
    <w:p w14:paraId="142A06F6">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根据治疗用</w:t>
      </w:r>
      <w:r>
        <w:rPr>
          <w:rFonts w:eastAsia="宋体"/>
          <w:snapToGrid w:val="0"/>
          <w:kern w:val="0"/>
          <w:sz w:val="24"/>
          <w:szCs w:val="24"/>
        </w:rPr>
        <w:t>IND / IDE</w:t>
      </w:r>
      <w:r>
        <w:rPr>
          <w:rFonts w:hint="eastAsia" w:eastAsia="宋体"/>
          <w:snapToGrid w:val="0"/>
          <w:kern w:val="0"/>
          <w:sz w:val="24"/>
          <w:szCs w:val="24"/>
        </w:rPr>
        <w:t>，向受试者提供供试品，需要事先获得</w:t>
      </w:r>
      <w:r>
        <w:rPr>
          <w:rFonts w:eastAsia="宋体"/>
          <w:snapToGrid w:val="0"/>
          <w:kern w:val="0"/>
          <w:sz w:val="24"/>
          <w:szCs w:val="24"/>
        </w:rPr>
        <w:t>IRB批准，但有</w:t>
      </w:r>
      <w:r>
        <w:rPr>
          <w:rFonts w:hint="eastAsia" w:eastAsia="宋体"/>
          <w:snapToGrid w:val="0"/>
          <w:kern w:val="0"/>
          <w:sz w:val="24"/>
          <w:szCs w:val="24"/>
        </w:rPr>
        <w:t>两种例外。</w:t>
      </w:r>
      <w:r>
        <w:rPr>
          <w:rFonts w:eastAsia="宋体"/>
          <w:snapToGrid w:val="0"/>
          <w:kern w:val="0"/>
          <w:sz w:val="24"/>
          <w:szCs w:val="24"/>
        </w:rPr>
        <w:t>如果存在危及生命的</w:t>
      </w:r>
      <w:r>
        <w:rPr>
          <w:rFonts w:hint="eastAsia" w:eastAsia="宋体"/>
          <w:snapToGrid w:val="0"/>
          <w:kern w:val="0"/>
          <w:sz w:val="24"/>
          <w:szCs w:val="24"/>
        </w:rPr>
        <w:t>紧急情况（根据</w:t>
      </w:r>
      <w:r>
        <w:rPr>
          <w:rFonts w:eastAsia="宋体"/>
          <w:snapToGrid w:val="0"/>
          <w:kern w:val="0"/>
          <w:sz w:val="24"/>
          <w:szCs w:val="24"/>
        </w:rPr>
        <w:t>21 CFR 56.102（d）的定</w:t>
      </w:r>
      <w:r>
        <w:rPr>
          <w:rFonts w:hint="eastAsia" w:eastAsia="宋体"/>
          <w:snapToGrid w:val="0"/>
          <w:kern w:val="0"/>
          <w:sz w:val="24"/>
          <w:szCs w:val="24"/>
        </w:rPr>
        <w:t>义），可以遵循第</w:t>
      </w:r>
      <w:r>
        <w:rPr>
          <w:rFonts w:eastAsia="宋体"/>
          <w:snapToGrid w:val="0"/>
          <w:kern w:val="0"/>
          <w:sz w:val="24"/>
          <w:szCs w:val="24"/>
        </w:rPr>
        <w:t>56.104（c）</w:t>
      </w:r>
      <w:r>
        <w:rPr>
          <w:rFonts w:hint="eastAsia" w:eastAsia="宋体"/>
          <w:snapToGrid w:val="0"/>
          <w:kern w:val="0"/>
          <w:sz w:val="24"/>
          <w:szCs w:val="24"/>
        </w:rPr>
        <w:t>条所述的程序（</w:t>
      </w:r>
      <w:r>
        <w:rPr>
          <w:rFonts w:hint="eastAsia" w:ascii="宋体" w:hAnsi="宋体" w:eastAsia="宋体"/>
          <w:snapToGrid w:val="0"/>
          <w:kern w:val="0"/>
          <w:sz w:val="24"/>
          <w:szCs w:val="24"/>
        </w:rPr>
        <w:t>“</w:t>
      </w:r>
      <w:r>
        <w:rPr>
          <w:rFonts w:eastAsia="宋体"/>
          <w:snapToGrid w:val="0"/>
          <w:kern w:val="0"/>
          <w:sz w:val="24"/>
          <w:szCs w:val="24"/>
        </w:rPr>
        <w:t>IRB要求的豁免</w:t>
      </w:r>
      <w:r>
        <w:rPr>
          <w:rFonts w:ascii="宋体" w:hAnsi="宋体" w:eastAsia="宋体"/>
          <w:snapToGrid w:val="0"/>
          <w:kern w:val="0"/>
          <w:sz w:val="24"/>
          <w:szCs w:val="24"/>
        </w:rPr>
        <w:t>”</w:t>
      </w:r>
      <w:r>
        <w:rPr>
          <w:rFonts w:eastAsia="宋体"/>
          <w:snapToGrid w:val="0"/>
          <w:kern w:val="0"/>
          <w:sz w:val="24"/>
          <w:szCs w:val="24"/>
        </w:rPr>
        <w:t>）。此外，FDA可以根据21 CFR 56.105</w:t>
      </w:r>
      <w:r>
        <w:rPr>
          <w:rFonts w:hint="eastAsia" w:eastAsia="宋体"/>
          <w:snapToGrid w:val="0"/>
          <w:kern w:val="0"/>
          <w:sz w:val="24"/>
          <w:szCs w:val="24"/>
        </w:rPr>
        <w:t>同意申办者或申办方</w:t>
      </w:r>
      <w:r>
        <w:rPr>
          <w:rFonts w:eastAsia="宋体"/>
          <w:snapToGrid w:val="0"/>
          <w:kern w:val="0"/>
          <w:sz w:val="24"/>
          <w:szCs w:val="24"/>
        </w:rPr>
        <w:t>／</w:t>
      </w:r>
      <w:r>
        <w:rPr>
          <w:rFonts w:hint="eastAsia" w:eastAsia="宋体"/>
          <w:snapToGrid w:val="0"/>
          <w:kern w:val="0"/>
          <w:sz w:val="24"/>
          <w:szCs w:val="24"/>
        </w:rPr>
        <w:t>研究者对</w:t>
      </w:r>
      <w:r>
        <w:rPr>
          <w:rFonts w:eastAsia="宋体"/>
          <w:snapToGrid w:val="0"/>
          <w:kern w:val="0"/>
          <w:sz w:val="24"/>
          <w:szCs w:val="24"/>
        </w:rPr>
        <w:t>IRB要求的</w:t>
      </w:r>
      <w:r>
        <w:rPr>
          <w:rFonts w:hint="eastAsia" w:eastAsia="宋体"/>
          <w:snapToGrid w:val="0"/>
          <w:kern w:val="0"/>
          <w:sz w:val="24"/>
          <w:szCs w:val="24"/>
        </w:rPr>
        <w:t>豁免，</w:t>
      </w:r>
      <w:r>
        <w:rPr>
          <w:rFonts w:eastAsia="宋体"/>
          <w:snapToGrid w:val="0"/>
          <w:kern w:val="0"/>
          <w:sz w:val="24"/>
          <w:szCs w:val="24"/>
        </w:rPr>
        <w:t>即使FDA已</w:t>
      </w:r>
      <w:r>
        <w:rPr>
          <w:rFonts w:hint="eastAsia" w:eastAsia="宋体"/>
          <w:snapToGrid w:val="0"/>
          <w:kern w:val="0"/>
          <w:sz w:val="24"/>
          <w:szCs w:val="24"/>
        </w:rPr>
        <w:t>经同意豁免，</w:t>
      </w:r>
      <w:r>
        <w:rPr>
          <w:rFonts w:eastAsia="宋体"/>
          <w:snapToGrid w:val="0"/>
          <w:kern w:val="0"/>
          <w:sz w:val="24"/>
          <w:szCs w:val="24"/>
        </w:rPr>
        <w:t>IRB仍可</w:t>
      </w:r>
      <w:r>
        <w:rPr>
          <w:rFonts w:hint="eastAsia" w:eastAsia="宋体"/>
          <w:snapToGrid w:val="0"/>
          <w:kern w:val="0"/>
          <w:sz w:val="24"/>
          <w:szCs w:val="24"/>
        </w:rPr>
        <w:t>以选择对一项研究进行审查。更多信息请参见题为</w:t>
      </w:r>
      <w:r>
        <w:rPr>
          <w:rFonts w:hint="eastAsia" w:ascii="宋体" w:hAnsi="宋体" w:eastAsia="宋体"/>
          <w:snapToGrid w:val="0"/>
          <w:kern w:val="0"/>
          <w:sz w:val="24"/>
          <w:szCs w:val="24"/>
        </w:rPr>
        <w:t>“</w:t>
      </w:r>
      <w:r>
        <w:rPr>
          <w:rFonts w:hint="eastAsia" w:eastAsia="宋体"/>
          <w:snapToGrid w:val="0"/>
          <w:kern w:val="0"/>
          <w:sz w:val="24"/>
          <w:szCs w:val="24"/>
        </w:rPr>
        <w:t>研究用药物或生物制剂的紧急使用</w:t>
      </w:r>
      <w:r>
        <w:rPr>
          <w:rFonts w:hint="eastAsia" w:ascii="宋体" w:hAnsi="宋体" w:eastAsia="宋体"/>
          <w:snapToGrid w:val="0"/>
          <w:kern w:val="0"/>
          <w:sz w:val="24"/>
          <w:szCs w:val="24"/>
        </w:rPr>
        <w:t>”</w:t>
      </w:r>
      <w:r>
        <w:rPr>
          <w:rFonts w:hint="eastAsia" w:eastAsia="宋体"/>
          <w:snapToGrid w:val="0"/>
          <w:kern w:val="0"/>
          <w:sz w:val="24"/>
          <w:szCs w:val="24"/>
        </w:rPr>
        <w:t>，</w:t>
      </w:r>
      <w:r>
        <w:rPr>
          <w:rFonts w:hint="eastAsia" w:ascii="宋体" w:hAnsi="宋体" w:eastAsia="宋体"/>
          <w:snapToGrid w:val="0"/>
          <w:kern w:val="0"/>
          <w:sz w:val="24"/>
          <w:szCs w:val="24"/>
        </w:rPr>
        <w:t>“</w:t>
      </w:r>
      <w:r>
        <w:rPr>
          <w:rFonts w:hint="eastAsia" w:eastAsia="宋体"/>
          <w:snapToGrid w:val="0"/>
          <w:kern w:val="0"/>
          <w:sz w:val="24"/>
          <w:szCs w:val="24"/>
        </w:rPr>
        <w:t>未经批准的医疗器械的紧急使用</w:t>
      </w:r>
      <w:r>
        <w:rPr>
          <w:rFonts w:hint="eastAsia" w:ascii="宋体" w:hAnsi="宋体" w:eastAsia="宋体"/>
          <w:snapToGrid w:val="0"/>
          <w:kern w:val="0"/>
          <w:sz w:val="24"/>
          <w:szCs w:val="24"/>
        </w:rPr>
        <w:t>”</w:t>
      </w:r>
      <w:r>
        <w:rPr>
          <w:rFonts w:hint="eastAsia" w:eastAsia="宋体"/>
          <w:snapToGrid w:val="0"/>
          <w:kern w:val="0"/>
          <w:sz w:val="24"/>
          <w:szCs w:val="24"/>
        </w:rPr>
        <w:t>，</w:t>
      </w:r>
      <w:r>
        <w:rPr>
          <w:rFonts w:hint="eastAsia" w:ascii="宋体" w:hAnsi="宋体" w:eastAsia="宋体"/>
          <w:snapToGrid w:val="0"/>
          <w:kern w:val="0"/>
          <w:sz w:val="24"/>
          <w:szCs w:val="24"/>
        </w:rPr>
        <w:t>“</w:t>
      </w:r>
      <w:r>
        <w:rPr>
          <w:rFonts w:eastAsia="宋体"/>
          <w:snapToGrid w:val="0"/>
          <w:kern w:val="0"/>
          <w:sz w:val="24"/>
          <w:szCs w:val="24"/>
        </w:rPr>
        <w:t>IRB要求</w:t>
      </w:r>
      <w:r>
        <w:rPr>
          <w:rFonts w:hint="eastAsia" w:eastAsia="宋体"/>
          <w:snapToGrid w:val="0"/>
          <w:kern w:val="0"/>
          <w:sz w:val="24"/>
          <w:szCs w:val="24"/>
        </w:rPr>
        <w:t>的豁免</w:t>
      </w:r>
      <w:r>
        <w:rPr>
          <w:rFonts w:ascii="宋体" w:hAnsi="宋体" w:eastAsia="宋体"/>
          <w:snapToGrid w:val="0"/>
          <w:kern w:val="0"/>
          <w:sz w:val="24"/>
          <w:szCs w:val="24"/>
        </w:rPr>
        <w:t>”</w:t>
      </w:r>
      <w:r>
        <w:rPr>
          <w:rFonts w:eastAsia="宋体"/>
          <w:snapToGrid w:val="0"/>
          <w:kern w:val="0"/>
          <w:sz w:val="24"/>
          <w:szCs w:val="24"/>
        </w:rPr>
        <w:t>和</w:t>
      </w:r>
      <w:r>
        <w:rPr>
          <w:rFonts w:ascii="宋体" w:hAnsi="宋体" w:eastAsia="宋体"/>
          <w:snapToGrid w:val="0"/>
          <w:kern w:val="0"/>
          <w:sz w:val="24"/>
          <w:szCs w:val="24"/>
        </w:rPr>
        <w:t>“</w:t>
      </w:r>
      <w:r>
        <w:rPr>
          <w:rFonts w:hint="eastAsia" w:eastAsia="宋体"/>
          <w:snapToGrid w:val="0"/>
          <w:kern w:val="0"/>
          <w:sz w:val="24"/>
          <w:szCs w:val="24"/>
        </w:rPr>
        <w:t>研究用药物或生物制剂的治疗使用</w:t>
      </w:r>
      <w:r>
        <w:rPr>
          <w:rFonts w:hint="eastAsia" w:ascii="宋体" w:hAnsi="宋体" w:eastAsia="宋体"/>
          <w:snapToGrid w:val="0"/>
          <w:kern w:val="0"/>
          <w:sz w:val="24"/>
          <w:szCs w:val="24"/>
        </w:rPr>
        <w:t>”</w:t>
      </w:r>
      <w:r>
        <w:rPr>
          <w:rFonts w:hint="eastAsia" w:eastAsia="宋体"/>
          <w:snapToGrid w:val="0"/>
          <w:kern w:val="0"/>
          <w:sz w:val="24"/>
          <w:szCs w:val="24"/>
        </w:rPr>
        <w:t>的信</w:t>
      </w:r>
      <w:r>
        <w:rPr>
          <w:rFonts w:eastAsia="宋体"/>
          <w:snapToGrid w:val="0"/>
          <w:kern w:val="0"/>
          <w:sz w:val="24"/>
          <w:szCs w:val="24"/>
        </w:rPr>
        <w:t>息表。</w:t>
      </w:r>
    </w:p>
    <w:p w14:paraId="35FB81BD">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59. </w:t>
      </w:r>
      <w:r>
        <w:rPr>
          <w:rFonts w:eastAsia="宋体"/>
          <w:b/>
          <w:snapToGrid w:val="0"/>
          <w:kern w:val="0"/>
          <w:sz w:val="24"/>
          <w:szCs w:val="24"/>
        </w:rPr>
        <w:t>FDA</w:t>
      </w:r>
      <w:r>
        <w:rPr>
          <w:rFonts w:hint="eastAsia" w:eastAsia="宋体"/>
          <w:b/>
          <w:snapToGrid w:val="0"/>
          <w:kern w:val="0"/>
          <w:sz w:val="24"/>
          <w:szCs w:val="24"/>
        </w:rPr>
        <w:t>对特殊人群的入组政策有何变化？</w:t>
      </w:r>
    </w:p>
    <w:p w14:paraId="6392E3FD">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1993年7月22日，FDA在</w:t>
      </w:r>
      <w:r>
        <w:rPr>
          <w:rFonts w:hint="eastAsia" w:eastAsia="宋体"/>
          <w:snapToGrid w:val="0"/>
          <w:kern w:val="0"/>
          <w:sz w:val="24"/>
          <w:szCs w:val="24"/>
        </w:rPr>
        <w:t>联邦公报</w:t>
      </w:r>
      <w:r>
        <w:rPr>
          <w:rFonts w:eastAsia="宋体"/>
          <w:snapToGrid w:val="0"/>
          <w:kern w:val="0"/>
          <w:sz w:val="24"/>
          <w:szCs w:val="24"/>
        </w:rPr>
        <w:t>【58 FR 39406】</w:t>
      </w:r>
      <w:r>
        <w:rPr>
          <w:rFonts w:hint="eastAsia" w:eastAsia="宋体"/>
          <w:snapToGrid w:val="0"/>
          <w:kern w:val="0"/>
          <w:sz w:val="24"/>
          <w:szCs w:val="24"/>
        </w:rPr>
        <w:t>上发布了</w:t>
      </w:r>
      <w:r>
        <w:rPr>
          <w:rFonts w:hint="eastAsia" w:ascii="宋体" w:hAnsi="宋体" w:eastAsia="宋体"/>
          <w:snapToGrid w:val="0"/>
          <w:kern w:val="0"/>
          <w:sz w:val="24"/>
          <w:szCs w:val="24"/>
        </w:rPr>
        <w:t>“</w:t>
      </w:r>
      <w:r>
        <w:rPr>
          <w:rFonts w:hint="eastAsia" w:eastAsia="宋体"/>
          <w:snapToGrid w:val="0"/>
          <w:kern w:val="0"/>
          <w:sz w:val="24"/>
          <w:szCs w:val="24"/>
        </w:rPr>
        <w:t>药品临床评价中对于性别差异的研究与评估指南</w:t>
      </w:r>
      <w:r>
        <w:rPr>
          <w:rFonts w:hint="eastAsia" w:ascii="宋体" w:hAnsi="宋体" w:eastAsia="宋体"/>
          <w:snapToGrid w:val="0"/>
          <w:kern w:val="0"/>
          <w:sz w:val="24"/>
          <w:szCs w:val="24"/>
        </w:rPr>
        <w:t>”</w:t>
      </w:r>
      <w:r>
        <w:rPr>
          <w:rFonts w:hint="eastAsia" w:eastAsia="宋体"/>
          <w:snapToGrid w:val="0"/>
          <w:kern w:val="0"/>
          <w:sz w:val="24"/>
          <w:szCs w:val="24"/>
        </w:rPr>
        <w:t>，制定该指南是为了确保药品的开发过程能提供有关药品和生物制剂对于女性影响的充分资料。更多详细信息，请参见题为</w:t>
      </w:r>
      <w:r>
        <w:rPr>
          <w:rFonts w:hint="eastAsia" w:ascii="宋体" w:hAnsi="宋体" w:eastAsia="宋体"/>
          <w:snapToGrid w:val="0"/>
          <w:kern w:val="0"/>
          <w:sz w:val="24"/>
          <w:szCs w:val="24"/>
        </w:rPr>
        <w:t>“</w:t>
      </w:r>
      <w:r>
        <w:rPr>
          <w:rFonts w:hint="eastAsia" w:eastAsia="宋体"/>
          <w:snapToGrid w:val="0"/>
          <w:kern w:val="0"/>
          <w:sz w:val="24"/>
          <w:szCs w:val="24"/>
        </w:rPr>
        <w:t>临床研究中性别差异的评估</w:t>
      </w:r>
      <w:r>
        <w:rPr>
          <w:rFonts w:hint="eastAsia" w:ascii="宋体" w:hAnsi="宋体" w:eastAsia="宋体"/>
          <w:snapToGrid w:val="0"/>
          <w:kern w:val="0"/>
          <w:sz w:val="24"/>
          <w:szCs w:val="24"/>
        </w:rPr>
        <w:t>”</w:t>
      </w:r>
      <w:r>
        <w:rPr>
          <w:rFonts w:hint="eastAsia" w:eastAsia="宋体"/>
          <w:snapToGrid w:val="0"/>
          <w:kern w:val="0"/>
          <w:sz w:val="24"/>
          <w:szCs w:val="24"/>
        </w:rPr>
        <w:t>的信息表。</w:t>
      </w:r>
    </w:p>
    <w:p w14:paraId="6FB3C924">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1994年12月13日，FDA</w:t>
      </w:r>
      <w:r>
        <w:rPr>
          <w:rFonts w:hint="eastAsia" w:eastAsia="宋体"/>
          <w:snapToGrid w:val="0"/>
          <w:kern w:val="0"/>
          <w:sz w:val="24"/>
          <w:szCs w:val="24"/>
        </w:rPr>
        <w:t>发布了关于儿科人群处方药标签的最终规则</w:t>
      </w:r>
      <w:r>
        <w:rPr>
          <w:rFonts w:eastAsia="宋体"/>
          <w:snapToGrid w:val="0"/>
          <w:kern w:val="0"/>
          <w:sz w:val="24"/>
          <w:szCs w:val="24"/>
        </w:rPr>
        <w:t>【59 FR 64240】。</w:t>
      </w:r>
      <w:r>
        <w:rPr>
          <w:rFonts w:hint="eastAsia" w:eastAsia="宋体"/>
          <w:snapToGrid w:val="0"/>
          <w:kern w:val="0"/>
          <w:sz w:val="24"/>
          <w:szCs w:val="24"/>
        </w:rPr>
        <w:t>该规则</w:t>
      </w:r>
      <w:r>
        <w:rPr>
          <w:rFonts w:eastAsia="宋体"/>
          <w:snapToGrid w:val="0"/>
          <w:kern w:val="0"/>
          <w:sz w:val="24"/>
          <w:szCs w:val="24"/>
        </w:rPr>
        <w:t>【21 CFR 201.57】鼓</w:t>
      </w:r>
      <w:r>
        <w:rPr>
          <w:rFonts w:hint="eastAsia" w:eastAsia="宋体"/>
          <w:snapToGrid w:val="0"/>
          <w:kern w:val="0"/>
          <w:sz w:val="24"/>
          <w:szCs w:val="24"/>
        </w:rPr>
        <w:t>励申办者将儿科受试者纳入临床试验，以便能将更为完整的关于儿科人群使用药品和生物制剂的资料用于研发。</w:t>
      </w:r>
    </w:p>
    <w:p w14:paraId="17F31229">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60. 什么是医疗器械？</w:t>
      </w:r>
    </w:p>
    <w:p w14:paraId="1C7DE2B3">
      <w:pPr>
        <w:widowControl w:val="0"/>
        <w:topLinePunct/>
        <w:adjustRightInd w:val="0"/>
        <w:snapToGrid w:val="0"/>
        <w:spacing w:after="244" w:afterLines="75" w:line="300" w:lineRule="auto"/>
        <w:jc w:val="both"/>
        <w:rPr>
          <w:rFonts w:ascii="Arial" w:hAnsi="Arial" w:eastAsia="宋体" w:cs="Arial"/>
          <w:snapToGrid w:val="0"/>
        </w:rPr>
      </w:pPr>
      <w:r>
        <w:rPr>
          <w:rFonts w:ascii="Arial" w:hAnsi="Arial" w:eastAsia="宋体" w:cs="Arial"/>
          <w:snapToGrid w:val="0"/>
        </w:rPr>
        <w:t>医疗器械是仪器、设备、工具、机器、装置、植入物、体外试剂或其他类似或相关的物品，包括任何组件、部件或配件，</w:t>
      </w:r>
      <w:r>
        <w:rPr>
          <w:rFonts w:hint="eastAsia" w:ascii="Arial" w:hAnsi="Arial" w:eastAsia="宋体" w:cs="Arial"/>
          <w:snapToGrid w:val="0"/>
        </w:rPr>
        <w:t>其中：（a）</w:t>
      </w:r>
      <w:r>
        <w:rPr>
          <w:rFonts w:ascii="Arial" w:hAnsi="Arial" w:eastAsia="宋体" w:cs="Arial"/>
          <w:snapToGrid w:val="0"/>
        </w:rPr>
        <w:t>在官方国家处方集、或美国药典、或其任何增补本中</w:t>
      </w:r>
      <w:r>
        <w:rPr>
          <w:rFonts w:hint="eastAsia" w:ascii="Arial" w:hAnsi="Arial" w:eastAsia="宋体" w:cs="Arial"/>
          <w:snapToGrid w:val="0"/>
        </w:rPr>
        <w:t>获得</w:t>
      </w:r>
      <w:r>
        <w:rPr>
          <w:rFonts w:ascii="Arial" w:hAnsi="Arial" w:eastAsia="宋体" w:cs="Arial"/>
          <w:snapToGrid w:val="0"/>
        </w:rPr>
        <w:t>认可</w:t>
      </w:r>
      <w:r>
        <w:rPr>
          <w:rFonts w:hint="eastAsia" w:ascii="Arial" w:hAnsi="Arial" w:eastAsia="宋体" w:cs="Arial"/>
          <w:snapToGrid w:val="0"/>
        </w:rPr>
        <w:t>；（b）</w:t>
      </w:r>
      <w:r>
        <w:rPr>
          <w:rFonts w:ascii="Arial" w:hAnsi="Arial" w:eastAsia="宋体" w:cs="Arial"/>
          <w:snapToGrid w:val="0"/>
        </w:rPr>
        <w:t>旨在用于诊断疾病或其他病症，或用于</w:t>
      </w:r>
      <w:r>
        <w:rPr>
          <w:rFonts w:hint="eastAsia" w:ascii="Arial" w:hAnsi="Arial" w:eastAsia="宋体" w:cs="Arial"/>
          <w:snapToGrid w:val="0"/>
        </w:rPr>
        <w:t>治愈</w:t>
      </w:r>
      <w:r>
        <w:rPr>
          <w:rFonts w:ascii="Arial" w:hAnsi="Arial" w:eastAsia="宋体" w:cs="Arial"/>
          <w:snapToGrid w:val="0"/>
        </w:rPr>
        <w:t>、缓解、治疗或预防疾病，用于人或其他动物，</w:t>
      </w:r>
      <w:r>
        <w:rPr>
          <w:rFonts w:ascii="Arial" w:hAnsi="Arial" w:eastAsia="宋体" w:cs="Arial"/>
          <w:b/>
          <w:snapToGrid w:val="0"/>
        </w:rPr>
        <w:t>或</w:t>
      </w:r>
      <w:r>
        <w:rPr>
          <w:rFonts w:ascii="Arial" w:hAnsi="Arial" w:eastAsia="宋体" w:cs="Arial"/>
          <w:snapToGrid w:val="0"/>
        </w:rPr>
        <w:t>（</w:t>
      </w:r>
      <w:r>
        <w:rPr>
          <w:rFonts w:hint="eastAsia" w:ascii="Arial" w:hAnsi="Arial" w:eastAsia="宋体" w:cs="Arial"/>
          <w:snapToGrid w:val="0"/>
        </w:rPr>
        <w:t>c）</w:t>
      </w:r>
      <w:r>
        <w:rPr>
          <w:rFonts w:ascii="Arial" w:hAnsi="Arial" w:eastAsia="宋体" w:cs="Arial"/>
          <w:snapToGrid w:val="0"/>
        </w:rPr>
        <w:t>旨在影响人或其他动物身体结构或某些功能，</w:t>
      </w:r>
      <w:r>
        <w:rPr>
          <w:rFonts w:hint="eastAsia" w:ascii="Arial" w:hAnsi="Arial" w:eastAsia="宋体" w:cs="Arial"/>
          <w:b/>
          <w:snapToGrid w:val="0"/>
        </w:rPr>
        <w:t>而</w:t>
      </w:r>
      <w:r>
        <w:rPr>
          <w:rFonts w:ascii="Arial" w:hAnsi="Arial" w:eastAsia="宋体" w:cs="Arial"/>
          <w:snapToGrid w:val="0"/>
        </w:rPr>
        <w:t>这些无法通过人或其他动物体内或身体上的化学作用而达到主要预期目的，且不依赖于代谢而实现其主要预期目的。FDA</w:t>
      </w:r>
      <w:r>
        <w:rPr>
          <w:rFonts w:hint="eastAsia" w:ascii="Arial" w:hAnsi="Arial" w:eastAsia="宋体" w:cs="Arial"/>
          <w:snapToGrid w:val="0"/>
        </w:rPr>
        <w:t>监管的医疗器械大约有</w:t>
      </w:r>
      <w:r>
        <w:rPr>
          <w:rFonts w:ascii="Arial" w:hAnsi="Arial" w:eastAsia="宋体" w:cs="Arial"/>
          <w:snapToGrid w:val="0"/>
        </w:rPr>
        <w:t>1,700种</w:t>
      </w:r>
      <w:r>
        <w:rPr>
          <w:rFonts w:hint="eastAsia" w:ascii="Arial" w:hAnsi="Arial" w:eastAsia="宋体" w:cs="Arial"/>
          <w:snapToGrid w:val="0"/>
        </w:rPr>
        <w:t>，器械的范围广泛而多样，包括绷带、温度计、</w:t>
      </w:r>
      <w:r>
        <w:rPr>
          <w:rFonts w:ascii="Arial" w:hAnsi="Arial" w:eastAsia="宋体" w:cs="Arial"/>
          <w:snapToGrid w:val="0"/>
        </w:rPr>
        <w:t>ECG</w:t>
      </w:r>
      <w:r>
        <w:rPr>
          <w:rFonts w:hint="eastAsia" w:ascii="Arial" w:hAnsi="Arial" w:eastAsia="宋体" w:cs="Arial"/>
          <w:snapToGrid w:val="0"/>
        </w:rPr>
        <w:t>电极、</w:t>
      </w:r>
      <w:r>
        <w:rPr>
          <w:rFonts w:ascii="Arial" w:hAnsi="Arial" w:eastAsia="宋体" w:cs="Arial"/>
          <w:snapToGrid w:val="0"/>
        </w:rPr>
        <w:t>IUD</w:t>
      </w:r>
      <w:r>
        <w:rPr>
          <w:rFonts w:hint="eastAsia" w:ascii="Arial" w:hAnsi="Arial" w:eastAsia="宋体" w:cs="Arial"/>
          <w:snapToGrid w:val="0"/>
        </w:rPr>
        <w:t>、</w:t>
      </w:r>
      <w:r>
        <w:rPr>
          <w:rFonts w:ascii="Arial" w:hAnsi="Arial" w:eastAsia="宋体" w:cs="Arial"/>
          <w:snapToGrid w:val="0"/>
        </w:rPr>
        <w:t>心</w:t>
      </w:r>
      <w:r>
        <w:rPr>
          <w:rFonts w:hint="eastAsia" w:ascii="Arial" w:hAnsi="Arial" w:eastAsia="宋体" w:cs="Arial"/>
          <w:snapToGrid w:val="0"/>
        </w:rPr>
        <w:t>脏起搏器和血液透析装置。更多详细信息，请参见题为</w:t>
      </w:r>
      <w:r>
        <w:rPr>
          <w:rFonts w:hint="eastAsia" w:ascii="宋体" w:hAnsi="宋体" w:eastAsia="宋体" w:cs="Arial"/>
          <w:snapToGrid w:val="0"/>
        </w:rPr>
        <w:t>“</w:t>
      </w:r>
      <w:r>
        <w:rPr>
          <w:rFonts w:hint="eastAsia" w:ascii="Arial" w:hAnsi="Arial" w:eastAsia="宋体" w:cs="Arial"/>
          <w:snapToGrid w:val="0"/>
        </w:rPr>
        <w:t>医疗器械</w:t>
      </w:r>
      <w:r>
        <w:rPr>
          <w:rFonts w:hint="eastAsia" w:ascii="宋体" w:hAnsi="宋体" w:eastAsia="宋体" w:cs="Arial"/>
          <w:snapToGrid w:val="0"/>
        </w:rPr>
        <w:t>”</w:t>
      </w:r>
      <w:r>
        <w:rPr>
          <w:rFonts w:hint="eastAsia" w:ascii="Arial" w:hAnsi="Arial" w:eastAsia="宋体" w:cs="Arial"/>
          <w:snapToGrid w:val="0"/>
        </w:rPr>
        <w:t>、</w:t>
      </w:r>
      <w:r>
        <w:rPr>
          <w:rFonts w:hint="eastAsia" w:ascii="宋体" w:hAnsi="宋体" w:eastAsia="宋体" w:cs="Arial"/>
          <w:snapToGrid w:val="0"/>
        </w:rPr>
        <w:t>“</w:t>
      </w:r>
      <w:r>
        <w:rPr>
          <w:rFonts w:hint="eastAsia" w:ascii="Arial" w:hAnsi="Arial" w:eastAsia="宋体" w:cs="Arial"/>
          <w:snapToGrid w:val="0"/>
        </w:rPr>
        <w:t>医疗器械</w:t>
      </w:r>
      <w:r>
        <w:rPr>
          <w:rFonts w:ascii="Arial" w:hAnsi="Arial" w:eastAsia="宋体" w:cs="Arial"/>
          <w:snapToGrid w:val="0"/>
        </w:rPr>
        <w:t>IRB</w:t>
      </w:r>
      <w:r>
        <w:rPr>
          <w:rFonts w:hint="eastAsia" w:ascii="Arial" w:hAnsi="Arial" w:eastAsia="宋体" w:cs="Arial"/>
          <w:snapToGrid w:val="0"/>
        </w:rPr>
        <w:t>评估的常见问题</w:t>
      </w:r>
      <w:r>
        <w:rPr>
          <w:rFonts w:hint="eastAsia" w:ascii="宋体" w:hAnsi="宋体" w:eastAsia="宋体" w:cs="Arial"/>
          <w:snapToGrid w:val="0"/>
        </w:rPr>
        <w:t>”</w:t>
      </w:r>
      <w:r>
        <w:rPr>
          <w:rFonts w:hint="eastAsia" w:ascii="Arial" w:hAnsi="Arial" w:eastAsia="宋体" w:cs="Arial"/>
          <w:snapToGrid w:val="0"/>
        </w:rPr>
        <w:t>和</w:t>
      </w:r>
      <w:r>
        <w:rPr>
          <w:rFonts w:hint="eastAsia" w:ascii="宋体" w:hAnsi="宋体" w:eastAsia="宋体" w:cs="Arial"/>
          <w:snapToGrid w:val="0"/>
        </w:rPr>
        <w:t>“</w:t>
      </w:r>
      <w:r>
        <w:rPr>
          <w:rFonts w:hint="eastAsia" w:ascii="Arial" w:hAnsi="Arial" w:eastAsia="宋体" w:cs="Arial"/>
          <w:snapToGrid w:val="0"/>
        </w:rPr>
        <w:t>重大风险和无重大风险的医疗器械研究</w:t>
      </w:r>
      <w:r>
        <w:rPr>
          <w:rFonts w:hint="eastAsia" w:ascii="宋体" w:hAnsi="宋体" w:eastAsia="宋体" w:cs="Arial"/>
          <w:snapToGrid w:val="0"/>
        </w:rPr>
        <w:t>”</w:t>
      </w:r>
      <w:r>
        <w:rPr>
          <w:rFonts w:hint="eastAsia" w:ascii="Arial" w:hAnsi="Arial" w:eastAsia="宋体" w:cs="Arial"/>
          <w:snapToGrid w:val="0"/>
        </w:rPr>
        <w:t>的信息表。</w:t>
      </w:r>
    </w:p>
    <w:p w14:paraId="6ECEFCB3">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61.体外诊断产品是否为医疗器械？</w:t>
      </w:r>
    </w:p>
    <w:p w14:paraId="0D100E34">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w:t>
      </w:r>
      <w:r>
        <w:rPr>
          <w:rFonts w:ascii="宋体" w:hAnsi="宋体" w:eastAsia="宋体"/>
          <w:snapToGrid w:val="0"/>
          <w:kern w:val="0"/>
          <w:sz w:val="24"/>
          <w:szCs w:val="24"/>
        </w:rPr>
        <w:t>“</w:t>
      </w:r>
      <w:r>
        <w:rPr>
          <w:rFonts w:hint="eastAsia" w:eastAsia="宋体"/>
          <w:snapToGrid w:val="0"/>
          <w:kern w:val="0"/>
          <w:sz w:val="24"/>
          <w:szCs w:val="24"/>
        </w:rPr>
        <w:t>器械</w:t>
      </w:r>
      <w:r>
        <w:rPr>
          <w:rFonts w:hint="eastAsia" w:ascii="宋体" w:hAnsi="宋体" w:eastAsia="宋体"/>
          <w:snapToGrid w:val="0"/>
          <w:kern w:val="0"/>
          <w:sz w:val="24"/>
          <w:szCs w:val="24"/>
        </w:rPr>
        <w:t>”</w:t>
      </w:r>
      <w:r>
        <w:rPr>
          <w:rFonts w:hint="eastAsia" w:eastAsia="宋体"/>
          <w:snapToGrid w:val="0"/>
          <w:kern w:val="0"/>
          <w:sz w:val="24"/>
          <w:szCs w:val="24"/>
        </w:rPr>
        <w:t>的定义包括了体外诊断产品</w:t>
      </w:r>
      <w:r>
        <w:rPr>
          <w:rFonts w:eastAsia="宋体"/>
          <w:snapToGrid w:val="0"/>
          <w:kern w:val="0"/>
          <w:sz w:val="24"/>
          <w:szCs w:val="24"/>
        </w:rPr>
        <w:t>-通</w:t>
      </w:r>
      <w:r>
        <w:rPr>
          <w:rFonts w:hint="eastAsia" w:eastAsia="宋体"/>
          <w:snapToGrid w:val="0"/>
          <w:kern w:val="0"/>
          <w:sz w:val="24"/>
          <w:szCs w:val="24"/>
        </w:rPr>
        <w:t>过使用人或动物的组分引起化学反应、发酵等来帮助诊断疾病或医学</w:t>
      </w:r>
      <w:r>
        <w:rPr>
          <w:rFonts w:eastAsia="宋体"/>
          <w:snapToGrid w:val="0"/>
          <w:kern w:val="0"/>
          <w:sz w:val="24"/>
          <w:szCs w:val="24"/>
        </w:rPr>
        <w:t>／生理</w:t>
      </w:r>
      <w:r>
        <w:rPr>
          <w:rFonts w:hint="eastAsia" w:eastAsia="宋体"/>
          <w:snapToGrid w:val="0"/>
          <w:kern w:val="0"/>
          <w:sz w:val="24"/>
          <w:szCs w:val="24"/>
        </w:rPr>
        <w:t>状况（例如怀孕）的器械。</w:t>
      </w:r>
      <w:r>
        <w:rPr>
          <w:rFonts w:eastAsia="宋体"/>
          <w:snapToGrid w:val="0"/>
          <w:kern w:val="0"/>
          <w:sz w:val="24"/>
          <w:szCs w:val="24"/>
        </w:rPr>
        <w:t>一些</w:t>
      </w:r>
      <w:r>
        <w:rPr>
          <w:rFonts w:hint="eastAsia" w:eastAsia="宋体"/>
          <w:snapToGrid w:val="0"/>
          <w:kern w:val="0"/>
          <w:sz w:val="24"/>
          <w:szCs w:val="24"/>
        </w:rPr>
        <w:t>诊断产品旨在用于控制其他受监管的产品（比如那些用于对血液供应进行输血传播疾病筛选的产品）和作为生物制剂进行监管的产品。</w:t>
      </w:r>
    </w:p>
    <w:p w14:paraId="36CD7A64">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62. </w:t>
      </w:r>
      <w:r>
        <w:rPr>
          <w:rFonts w:eastAsia="宋体"/>
          <w:b/>
          <w:snapToGrid w:val="0"/>
          <w:kern w:val="0"/>
          <w:sz w:val="24"/>
          <w:szCs w:val="24"/>
        </w:rPr>
        <w:t>IRB</w:t>
      </w:r>
      <w:r>
        <w:rPr>
          <w:rFonts w:hint="eastAsia" w:eastAsia="宋体"/>
          <w:b/>
          <w:snapToGrid w:val="0"/>
          <w:kern w:val="0"/>
          <w:sz w:val="24"/>
          <w:szCs w:val="24"/>
        </w:rPr>
        <w:t>对人工晶体（</w:t>
      </w:r>
      <w:r>
        <w:rPr>
          <w:rFonts w:eastAsia="宋体"/>
          <w:b/>
          <w:snapToGrid w:val="0"/>
          <w:kern w:val="0"/>
          <w:sz w:val="24"/>
          <w:szCs w:val="24"/>
        </w:rPr>
        <w:t>IOL</w:t>
      </w:r>
      <w:r>
        <w:rPr>
          <w:rFonts w:hint="eastAsia" w:eastAsia="宋体"/>
          <w:b/>
          <w:snapToGrid w:val="0"/>
          <w:kern w:val="0"/>
          <w:sz w:val="24"/>
          <w:szCs w:val="24"/>
        </w:rPr>
        <w:t>）临床研究的总体责任是什么？</w:t>
      </w:r>
    </w:p>
    <w:p w14:paraId="7FA67EE2">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eastAsia="宋体"/>
          <w:snapToGrid w:val="0"/>
          <w:kern w:val="0"/>
          <w:sz w:val="24"/>
          <w:szCs w:val="24"/>
        </w:rPr>
        <w:t>IRB</w:t>
      </w:r>
      <w:r>
        <w:rPr>
          <w:rFonts w:hint="eastAsia" w:eastAsia="宋体"/>
          <w:snapToGrid w:val="0"/>
          <w:kern w:val="0"/>
          <w:sz w:val="24"/>
          <w:szCs w:val="24"/>
        </w:rPr>
        <w:t>负责对所有</w:t>
      </w:r>
      <w:r>
        <w:rPr>
          <w:rFonts w:eastAsia="宋体"/>
          <w:snapToGrid w:val="0"/>
          <w:kern w:val="0"/>
          <w:sz w:val="24"/>
          <w:szCs w:val="24"/>
        </w:rPr>
        <w:t>IOL</w:t>
      </w:r>
      <w:r>
        <w:rPr>
          <w:rFonts w:hint="eastAsia" w:eastAsia="宋体"/>
          <w:snapToGrid w:val="0"/>
          <w:kern w:val="0"/>
          <w:sz w:val="24"/>
          <w:szCs w:val="24"/>
        </w:rPr>
        <w:t>临床研究的启动审查和持续审查，</w:t>
      </w:r>
      <w:r>
        <w:rPr>
          <w:rFonts w:eastAsia="宋体"/>
          <w:snapToGrid w:val="0"/>
          <w:kern w:val="0"/>
          <w:sz w:val="24"/>
          <w:szCs w:val="24"/>
        </w:rPr>
        <w:t>每</w:t>
      </w:r>
      <w:r>
        <w:rPr>
          <w:rFonts w:hint="eastAsia" w:eastAsia="宋体"/>
          <w:snapToGrid w:val="0"/>
          <w:kern w:val="0"/>
          <w:sz w:val="24"/>
          <w:szCs w:val="24"/>
        </w:rPr>
        <w:t>一个</w:t>
      </w:r>
      <w:r>
        <w:rPr>
          <w:rFonts w:eastAsia="宋体"/>
          <w:snapToGrid w:val="0"/>
          <w:kern w:val="0"/>
          <w:sz w:val="24"/>
          <w:szCs w:val="24"/>
        </w:rPr>
        <w:t>IOL</w:t>
      </w:r>
      <w:r>
        <w:rPr>
          <w:rFonts w:hint="eastAsia" w:eastAsia="宋体"/>
          <w:snapToGrid w:val="0"/>
          <w:kern w:val="0"/>
          <w:sz w:val="24"/>
          <w:szCs w:val="24"/>
        </w:rPr>
        <w:t>的款式均需由</w:t>
      </w:r>
      <w:r>
        <w:rPr>
          <w:rFonts w:eastAsia="宋体"/>
          <w:snapToGrid w:val="0"/>
          <w:kern w:val="0"/>
          <w:sz w:val="24"/>
          <w:szCs w:val="24"/>
        </w:rPr>
        <w:t>IRB</w:t>
      </w:r>
      <w:r>
        <w:rPr>
          <w:rFonts w:hint="eastAsia" w:eastAsia="宋体"/>
          <w:snapToGrid w:val="0"/>
          <w:kern w:val="0"/>
          <w:sz w:val="24"/>
          <w:szCs w:val="24"/>
        </w:rPr>
        <w:t>进行单独审查。</w:t>
      </w:r>
      <w:r>
        <w:rPr>
          <w:rFonts w:eastAsia="宋体"/>
          <w:snapToGrid w:val="0"/>
          <w:kern w:val="0"/>
          <w:sz w:val="24"/>
          <w:szCs w:val="24"/>
        </w:rPr>
        <w:t>然而，</w:t>
      </w:r>
      <w:r>
        <w:rPr>
          <w:rFonts w:hint="eastAsia" w:eastAsia="宋体"/>
          <w:snapToGrid w:val="0"/>
          <w:kern w:val="0"/>
          <w:sz w:val="24"/>
          <w:szCs w:val="24"/>
        </w:rPr>
        <w:t>这并不妨碍</w:t>
      </w:r>
      <w:r>
        <w:rPr>
          <w:rFonts w:eastAsia="宋体"/>
          <w:snapToGrid w:val="0"/>
          <w:kern w:val="0"/>
          <w:sz w:val="24"/>
          <w:szCs w:val="24"/>
        </w:rPr>
        <w:t>IRB在考</w:t>
      </w:r>
      <w:r>
        <w:rPr>
          <w:rFonts w:hint="eastAsia" w:eastAsia="宋体"/>
          <w:snapToGrid w:val="0"/>
          <w:kern w:val="0"/>
          <w:sz w:val="24"/>
          <w:szCs w:val="24"/>
        </w:rPr>
        <w:t>虑新型人工晶体的款式时，根据之前的经验，将其与其他IOL的优点进行比较，</w:t>
      </w:r>
      <w:r>
        <w:rPr>
          <w:rFonts w:eastAsia="宋体"/>
          <w:snapToGrid w:val="0"/>
          <w:kern w:val="0"/>
          <w:sz w:val="24"/>
          <w:szCs w:val="24"/>
        </w:rPr>
        <w:t>所有IOL研究也需要FDA批准。</w:t>
      </w:r>
    </w:p>
    <w:p w14:paraId="262CA115">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63. </w:t>
      </w:r>
      <w:r>
        <w:rPr>
          <w:rFonts w:eastAsia="宋体"/>
          <w:b/>
          <w:snapToGrid w:val="0"/>
          <w:kern w:val="0"/>
          <w:sz w:val="24"/>
          <w:szCs w:val="24"/>
        </w:rPr>
        <w:t>考</w:t>
      </w:r>
      <w:r>
        <w:rPr>
          <w:rFonts w:hint="eastAsia" w:eastAsia="宋体"/>
          <w:b/>
          <w:snapToGrid w:val="0"/>
          <w:kern w:val="0"/>
          <w:sz w:val="24"/>
          <w:szCs w:val="24"/>
        </w:rPr>
        <w:t>虑到大量的</w:t>
      </w:r>
      <w:r>
        <w:rPr>
          <w:rFonts w:eastAsia="宋体"/>
          <w:b/>
          <w:snapToGrid w:val="0"/>
          <w:kern w:val="0"/>
          <w:sz w:val="24"/>
          <w:szCs w:val="24"/>
        </w:rPr>
        <w:t>IOL研究，IRB如何</w:t>
      </w:r>
      <w:r>
        <w:rPr>
          <w:rFonts w:hint="eastAsia" w:eastAsia="宋体"/>
          <w:b/>
          <w:snapToGrid w:val="0"/>
          <w:kern w:val="0"/>
          <w:sz w:val="24"/>
          <w:szCs w:val="24"/>
        </w:rPr>
        <w:t>处理新型</w:t>
      </w:r>
      <w:r>
        <w:rPr>
          <w:rFonts w:eastAsia="宋体"/>
          <w:b/>
          <w:snapToGrid w:val="0"/>
          <w:kern w:val="0"/>
          <w:sz w:val="24"/>
          <w:szCs w:val="24"/>
        </w:rPr>
        <w:t>IOL</w:t>
      </w:r>
      <w:r>
        <w:rPr>
          <w:rFonts w:hint="eastAsia" w:eastAsia="宋体"/>
          <w:b/>
          <w:snapToGrid w:val="0"/>
          <w:kern w:val="0"/>
          <w:sz w:val="24"/>
          <w:szCs w:val="24"/>
        </w:rPr>
        <w:t>的审查？</w:t>
      </w:r>
    </w:p>
    <w:p w14:paraId="38A103D2">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所有与可得到的人工晶体有重要不同点的新</w:t>
      </w:r>
      <w:r>
        <w:rPr>
          <w:rFonts w:eastAsia="宋体"/>
          <w:snapToGrid w:val="0"/>
          <w:kern w:val="0"/>
          <w:sz w:val="24"/>
          <w:szCs w:val="24"/>
        </w:rPr>
        <w:t>IOL都需</w:t>
      </w:r>
      <w:r>
        <w:rPr>
          <w:rFonts w:hint="eastAsia" w:eastAsia="宋体"/>
          <w:snapToGrid w:val="0"/>
          <w:kern w:val="0"/>
          <w:sz w:val="24"/>
          <w:szCs w:val="24"/>
        </w:rPr>
        <w:t>进行</w:t>
      </w:r>
      <w:r>
        <w:rPr>
          <w:rFonts w:eastAsia="宋体"/>
          <w:snapToGrid w:val="0"/>
          <w:kern w:val="0"/>
          <w:sz w:val="24"/>
          <w:szCs w:val="24"/>
        </w:rPr>
        <w:t>完整的IRB</w:t>
      </w:r>
      <w:r>
        <w:rPr>
          <w:rFonts w:hint="eastAsia" w:eastAsia="宋体"/>
          <w:snapToGrid w:val="0"/>
          <w:kern w:val="0"/>
          <w:sz w:val="24"/>
          <w:szCs w:val="24"/>
        </w:rPr>
        <w:t>审查，对现有晶体进行微小变更的可以通过快速审查来获得批准。</w:t>
      </w:r>
      <w:r>
        <w:rPr>
          <w:rFonts w:eastAsia="宋体"/>
          <w:snapToGrid w:val="0"/>
          <w:kern w:val="0"/>
          <w:sz w:val="24"/>
          <w:szCs w:val="24"/>
        </w:rPr>
        <w:t>FDA根据</w:t>
      </w:r>
      <w:r>
        <w:rPr>
          <w:rFonts w:hint="eastAsia" w:eastAsia="宋体"/>
          <w:snapToGrid w:val="0"/>
          <w:kern w:val="0"/>
          <w:sz w:val="24"/>
          <w:szCs w:val="24"/>
        </w:rPr>
        <w:t>预定的分类方案将新</w:t>
      </w:r>
      <w:r>
        <w:rPr>
          <w:rFonts w:eastAsia="宋体"/>
          <w:snapToGrid w:val="0"/>
          <w:kern w:val="0"/>
          <w:sz w:val="24"/>
          <w:szCs w:val="24"/>
        </w:rPr>
        <w:t>IOL</w:t>
      </w:r>
      <w:r>
        <w:rPr>
          <w:rFonts w:hint="eastAsia" w:eastAsia="宋体"/>
          <w:snapToGrid w:val="0"/>
          <w:kern w:val="0"/>
          <w:sz w:val="24"/>
          <w:szCs w:val="24"/>
        </w:rPr>
        <w:t>类型规定为主要或次要变更，并建议申办者按此确定。申办者应通过研究者向</w:t>
      </w:r>
      <w:r>
        <w:rPr>
          <w:rFonts w:eastAsia="宋体"/>
          <w:snapToGrid w:val="0"/>
          <w:kern w:val="0"/>
          <w:sz w:val="24"/>
          <w:szCs w:val="24"/>
        </w:rPr>
        <w:t>IRB提</w:t>
      </w:r>
      <w:r>
        <w:rPr>
          <w:rFonts w:hint="eastAsia" w:eastAsia="宋体"/>
          <w:snapToGrid w:val="0"/>
          <w:kern w:val="0"/>
          <w:sz w:val="24"/>
          <w:szCs w:val="24"/>
        </w:rPr>
        <w:t>交研究计划（指出</w:t>
      </w:r>
      <w:r>
        <w:rPr>
          <w:rFonts w:eastAsia="宋体"/>
          <w:snapToGrid w:val="0"/>
          <w:kern w:val="0"/>
          <w:sz w:val="24"/>
          <w:szCs w:val="24"/>
        </w:rPr>
        <w:t>FDA</w:t>
      </w:r>
      <w:r>
        <w:rPr>
          <w:rFonts w:hint="eastAsia" w:eastAsia="宋体"/>
          <w:snapToGrid w:val="0"/>
          <w:kern w:val="0"/>
          <w:sz w:val="24"/>
          <w:szCs w:val="24"/>
        </w:rPr>
        <w:t>的</w:t>
      </w:r>
      <w:r>
        <w:rPr>
          <w:rFonts w:eastAsia="宋体"/>
          <w:snapToGrid w:val="0"/>
          <w:kern w:val="0"/>
          <w:sz w:val="24"/>
          <w:szCs w:val="24"/>
        </w:rPr>
        <w:t>研究要求</w:t>
      </w:r>
      <w:r>
        <w:rPr>
          <w:rFonts w:hint="eastAsia" w:eastAsia="宋体"/>
          <w:snapToGrid w:val="0"/>
          <w:kern w:val="0"/>
          <w:sz w:val="24"/>
          <w:szCs w:val="24"/>
        </w:rPr>
        <w:t>）及知情同意文件和其他描述该拟议晶体特征的其他比较信息。</w:t>
      </w:r>
      <w:r>
        <w:rPr>
          <w:rFonts w:eastAsia="宋体"/>
          <w:snapToGrid w:val="0"/>
          <w:kern w:val="0"/>
          <w:sz w:val="24"/>
          <w:szCs w:val="24"/>
        </w:rPr>
        <w:t>IRB有</w:t>
      </w:r>
      <w:r>
        <w:rPr>
          <w:rFonts w:hint="eastAsia" w:eastAsia="宋体"/>
          <w:snapToGrid w:val="0"/>
          <w:kern w:val="0"/>
          <w:sz w:val="24"/>
          <w:szCs w:val="24"/>
        </w:rPr>
        <w:t>权要求提交新型</w:t>
      </w:r>
      <w:r>
        <w:rPr>
          <w:rFonts w:eastAsia="宋体"/>
          <w:snapToGrid w:val="0"/>
          <w:kern w:val="0"/>
          <w:sz w:val="24"/>
          <w:szCs w:val="24"/>
        </w:rPr>
        <w:t>IOL</w:t>
      </w:r>
      <w:r>
        <w:rPr>
          <w:rFonts w:hint="eastAsia" w:eastAsia="宋体"/>
          <w:snapToGrid w:val="0"/>
          <w:kern w:val="0"/>
          <w:sz w:val="24"/>
          <w:szCs w:val="24"/>
        </w:rPr>
        <w:t>的任何相关资料以达成决定，或在其评估中比</w:t>
      </w:r>
      <w:r>
        <w:rPr>
          <w:rFonts w:eastAsia="宋体"/>
          <w:snapToGrid w:val="0"/>
          <w:kern w:val="0"/>
          <w:sz w:val="24"/>
          <w:szCs w:val="24"/>
        </w:rPr>
        <w:t>FDA</w:t>
      </w:r>
      <w:r>
        <w:rPr>
          <w:rFonts w:hint="eastAsia" w:eastAsia="宋体"/>
          <w:snapToGrid w:val="0"/>
          <w:kern w:val="0"/>
          <w:sz w:val="24"/>
          <w:szCs w:val="24"/>
        </w:rPr>
        <w:t>认为的最低要求更为严格。</w:t>
      </w:r>
    </w:p>
    <w:p w14:paraId="581004EE">
      <w:pPr>
        <w:spacing w:after="0" w:line="240" w:lineRule="auto"/>
        <w:rPr>
          <w:rFonts w:ascii="Arial" w:hAnsi="Arial" w:eastAsia="宋体" w:cs="Arial"/>
          <w:b/>
          <w:snapToGrid w:val="0"/>
          <w:szCs w:val="24"/>
        </w:rPr>
      </w:pPr>
      <w:r>
        <w:rPr>
          <w:rFonts w:eastAsia="宋体"/>
          <w:b/>
          <w:snapToGrid w:val="0"/>
          <w:szCs w:val="24"/>
        </w:rPr>
        <w:br w:type="page"/>
      </w:r>
    </w:p>
    <w:p w14:paraId="0A25DB4F">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64.</w:t>
      </w:r>
      <w:r>
        <w:rPr>
          <w:rFonts w:eastAsia="宋体"/>
          <w:b/>
          <w:snapToGrid w:val="0"/>
          <w:kern w:val="0"/>
          <w:sz w:val="24"/>
          <w:szCs w:val="24"/>
        </w:rPr>
        <w:t>在</w:t>
      </w:r>
      <w:r>
        <w:rPr>
          <w:rFonts w:hint="eastAsia" w:eastAsia="宋体"/>
          <w:b/>
          <w:snapToGrid w:val="0"/>
          <w:kern w:val="0"/>
          <w:sz w:val="24"/>
          <w:szCs w:val="24"/>
        </w:rPr>
        <w:t>内部机构将员工作为受试者进行临床试验，制造商必须遵循</w:t>
      </w:r>
      <w:r>
        <w:rPr>
          <w:rFonts w:eastAsia="宋体"/>
          <w:b/>
          <w:snapToGrid w:val="0"/>
          <w:kern w:val="0"/>
          <w:sz w:val="24"/>
          <w:szCs w:val="24"/>
        </w:rPr>
        <w:t>21 CFR 50和56 CFR 50和56</w:t>
      </w:r>
      <w:r>
        <w:rPr>
          <w:rFonts w:hint="eastAsia" w:eastAsia="宋体"/>
          <w:b/>
          <w:snapToGrid w:val="0"/>
          <w:kern w:val="0"/>
          <w:sz w:val="24"/>
          <w:szCs w:val="24"/>
        </w:rPr>
        <w:t>吗？</w:t>
      </w:r>
    </w:p>
    <w:p w14:paraId="053BA19F">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是。这种情况是弱势受试者群体的一个典型例子。</w:t>
      </w:r>
    </w:p>
    <w:p w14:paraId="58538A03">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65.放射性药物研究委员会（</w:t>
      </w:r>
      <w:r>
        <w:rPr>
          <w:rFonts w:eastAsia="宋体"/>
          <w:b/>
          <w:snapToGrid w:val="0"/>
          <w:kern w:val="0"/>
          <w:sz w:val="24"/>
          <w:szCs w:val="24"/>
        </w:rPr>
        <w:t>RDRC</w:t>
      </w:r>
      <w:r>
        <w:rPr>
          <w:rFonts w:hint="eastAsia" w:eastAsia="宋体"/>
          <w:b/>
          <w:snapToGrid w:val="0"/>
          <w:kern w:val="0"/>
          <w:sz w:val="24"/>
          <w:szCs w:val="24"/>
        </w:rPr>
        <w:t>）</w:t>
      </w:r>
      <w:r>
        <w:rPr>
          <w:rFonts w:eastAsia="宋体"/>
          <w:b/>
          <w:snapToGrid w:val="0"/>
          <w:kern w:val="0"/>
          <w:sz w:val="24"/>
          <w:szCs w:val="24"/>
        </w:rPr>
        <w:t>是否有</w:t>
      </w:r>
      <w:r>
        <w:rPr>
          <w:rFonts w:hint="eastAsia" w:eastAsia="宋体"/>
          <w:b/>
          <w:snapToGrid w:val="0"/>
          <w:kern w:val="0"/>
          <w:sz w:val="24"/>
          <w:szCs w:val="24"/>
        </w:rPr>
        <w:t>权批准初步临床研究来代替</w:t>
      </w:r>
      <w:r>
        <w:rPr>
          <w:rFonts w:eastAsia="宋体"/>
          <w:b/>
          <w:snapToGrid w:val="0"/>
          <w:kern w:val="0"/>
          <w:sz w:val="24"/>
          <w:szCs w:val="24"/>
        </w:rPr>
        <w:t>IND？</w:t>
      </w:r>
    </w:p>
    <w:p w14:paraId="2C1941F3">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否。当研究旨在确定药物安全性和有效性，或是直接治疗、诊断或类似目的时，需要</w:t>
      </w:r>
      <w:r>
        <w:rPr>
          <w:rFonts w:eastAsia="宋体"/>
          <w:snapToGrid w:val="0"/>
          <w:kern w:val="0"/>
          <w:sz w:val="24"/>
          <w:szCs w:val="24"/>
        </w:rPr>
        <w:t>IND。在21 CFR 361.1</w:t>
      </w:r>
      <w:r>
        <w:rPr>
          <w:rFonts w:hint="eastAsia" w:eastAsia="宋体"/>
          <w:snapToGrid w:val="0"/>
          <w:kern w:val="0"/>
          <w:sz w:val="24"/>
          <w:szCs w:val="24"/>
        </w:rPr>
        <w:t>中的</w:t>
      </w:r>
      <w:r>
        <w:rPr>
          <w:rFonts w:eastAsia="宋体"/>
          <w:snapToGrid w:val="0"/>
          <w:kern w:val="0"/>
          <w:sz w:val="24"/>
          <w:szCs w:val="24"/>
        </w:rPr>
        <w:t>RDRC</w:t>
      </w:r>
      <w:r>
        <w:rPr>
          <w:rFonts w:hint="eastAsia" w:eastAsia="宋体"/>
          <w:snapToGrid w:val="0"/>
          <w:kern w:val="0"/>
          <w:sz w:val="24"/>
          <w:szCs w:val="24"/>
        </w:rPr>
        <w:t>用于</w:t>
      </w:r>
      <w:r>
        <w:rPr>
          <w:rFonts w:eastAsia="宋体"/>
          <w:snapToGrid w:val="0"/>
          <w:kern w:val="0"/>
          <w:sz w:val="24"/>
          <w:szCs w:val="24"/>
        </w:rPr>
        <w:t>放射性</w:t>
      </w:r>
      <w:r>
        <w:rPr>
          <w:rFonts w:hint="eastAsia" w:eastAsia="宋体"/>
          <w:snapToGrid w:val="0"/>
          <w:kern w:val="0"/>
          <w:sz w:val="24"/>
          <w:szCs w:val="24"/>
        </w:rPr>
        <w:t>药物的某些研究用途。当研究项目旨在获得</w:t>
      </w:r>
      <w:r>
        <w:rPr>
          <w:rFonts w:eastAsia="宋体"/>
          <w:snapToGrid w:val="0"/>
          <w:kern w:val="0"/>
          <w:sz w:val="24"/>
          <w:szCs w:val="24"/>
        </w:rPr>
        <w:t>放射性</w:t>
      </w:r>
      <w:r>
        <w:rPr>
          <w:rFonts w:hint="eastAsia" w:eastAsia="宋体"/>
          <w:snapToGrid w:val="0"/>
          <w:kern w:val="0"/>
          <w:sz w:val="24"/>
          <w:szCs w:val="24"/>
        </w:rPr>
        <w:t>标记的药物有关代谢（包括药代动力学、分布和定位）的基本信息或有关人体生理学、病理生理学或生物化学的信息时，（如</w:t>
      </w:r>
      <w:r>
        <w:rPr>
          <w:rFonts w:eastAsia="宋体"/>
          <w:snapToGrid w:val="0"/>
          <w:kern w:val="0"/>
          <w:sz w:val="24"/>
          <w:szCs w:val="24"/>
        </w:rPr>
        <w:t>21 CFR 310.3（n）中的定</w:t>
      </w:r>
      <w:r>
        <w:rPr>
          <w:rFonts w:hint="eastAsia" w:eastAsia="宋体"/>
          <w:snapToGrid w:val="0"/>
          <w:kern w:val="0"/>
          <w:sz w:val="24"/>
          <w:szCs w:val="24"/>
        </w:rPr>
        <w:t>义））可以对研究受试者施用放射性药物而不必获得</w:t>
      </w:r>
      <w:r>
        <w:rPr>
          <w:rFonts w:eastAsia="宋体"/>
          <w:snapToGrid w:val="0"/>
          <w:kern w:val="0"/>
          <w:sz w:val="24"/>
          <w:szCs w:val="24"/>
        </w:rPr>
        <w:t>IND</w:t>
      </w:r>
      <w:r>
        <w:rPr>
          <w:rFonts w:hint="eastAsia" w:eastAsia="宋体"/>
          <w:snapToGrid w:val="0"/>
          <w:kern w:val="0"/>
          <w:sz w:val="24"/>
          <w:szCs w:val="24"/>
        </w:rPr>
        <w:t>。某些基础研究，例如用于确定药物是否定位在特定器官或体液空间以说明该定位的动力学研究，可能最终会具有治疗或诊断意义，但初始研究可视为</w:t>
      </w:r>
      <w:r>
        <w:rPr>
          <w:rFonts w:eastAsia="宋体"/>
          <w:snapToGrid w:val="0"/>
          <w:kern w:val="0"/>
          <w:sz w:val="24"/>
          <w:szCs w:val="24"/>
        </w:rPr>
        <w:t>21 CFR 361.1</w:t>
      </w:r>
      <w:r>
        <w:rPr>
          <w:rFonts w:hint="eastAsia" w:ascii="宋体" w:hAnsi="宋体" w:eastAsia="宋体"/>
          <w:snapToGrid w:val="0"/>
          <w:kern w:val="0"/>
          <w:sz w:val="24"/>
          <w:szCs w:val="24"/>
        </w:rPr>
        <w:t>“</w:t>
      </w:r>
      <w:r>
        <w:rPr>
          <w:rFonts w:hint="eastAsia" w:eastAsia="宋体"/>
          <w:snapToGrid w:val="0"/>
          <w:kern w:val="0"/>
          <w:sz w:val="24"/>
          <w:szCs w:val="24"/>
        </w:rPr>
        <w:t>基础研究</w:t>
      </w:r>
      <w:r>
        <w:rPr>
          <w:rFonts w:hint="eastAsia" w:ascii="宋体" w:hAnsi="宋体" w:eastAsia="宋体"/>
          <w:snapToGrid w:val="0"/>
          <w:kern w:val="0"/>
          <w:sz w:val="24"/>
          <w:szCs w:val="24"/>
        </w:rPr>
        <w:t>”</w:t>
      </w:r>
      <w:r>
        <w:rPr>
          <w:rFonts w:eastAsia="宋体"/>
          <w:snapToGrid w:val="0"/>
          <w:kern w:val="0"/>
          <w:sz w:val="24"/>
          <w:szCs w:val="24"/>
        </w:rPr>
        <w:t>的含</w:t>
      </w:r>
      <w:r>
        <w:rPr>
          <w:rFonts w:hint="eastAsia" w:eastAsia="宋体"/>
          <w:snapToGrid w:val="0"/>
          <w:kern w:val="0"/>
          <w:sz w:val="24"/>
          <w:szCs w:val="24"/>
        </w:rPr>
        <w:t>义，这些基础研究必须在</w:t>
      </w:r>
      <w:r>
        <w:rPr>
          <w:rFonts w:eastAsia="宋体"/>
          <w:snapToGrid w:val="0"/>
          <w:kern w:val="0"/>
          <w:sz w:val="24"/>
          <w:szCs w:val="24"/>
        </w:rPr>
        <w:t>21 CFR 361.1（b）中</w:t>
      </w:r>
      <w:r>
        <w:rPr>
          <w:rFonts w:hint="eastAsia" w:eastAsia="宋体"/>
          <w:snapToGrid w:val="0"/>
          <w:kern w:val="0"/>
          <w:sz w:val="24"/>
          <w:szCs w:val="24"/>
        </w:rPr>
        <w:t>规定的条件下进行。</w:t>
      </w:r>
    </w:p>
    <w:p w14:paraId="21E4B7C8">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所有</w:t>
      </w:r>
      <w:r>
        <w:rPr>
          <w:rFonts w:eastAsia="宋体"/>
          <w:snapToGrid w:val="0"/>
          <w:kern w:val="0"/>
          <w:sz w:val="24"/>
          <w:szCs w:val="24"/>
        </w:rPr>
        <w:t>RDRC</w:t>
      </w:r>
      <w:r>
        <w:rPr>
          <w:rFonts w:hint="eastAsia" w:eastAsia="宋体"/>
          <w:snapToGrid w:val="0"/>
          <w:kern w:val="0"/>
          <w:sz w:val="24"/>
          <w:szCs w:val="24"/>
        </w:rPr>
        <w:t>批准的研究也必须在研究启动之前经</w:t>
      </w:r>
      <w:r>
        <w:rPr>
          <w:rFonts w:eastAsia="宋体"/>
          <w:snapToGrid w:val="0"/>
          <w:kern w:val="0"/>
          <w:sz w:val="24"/>
          <w:szCs w:val="24"/>
        </w:rPr>
        <w:t>IRB批准。</w:t>
      </w:r>
    </w:p>
    <w:p w14:paraId="777109AD">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r>
        <w:rPr>
          <w:rFonts w:hint="eastAsia" w:eastAsia="宋体"/>
          <w:b/>
          <w:snapToGrid w:val="0"/>
          <w:kern w:val="0"/>
          <w:sz w:val="24"/>
          <w:szCs w:val="24"/>
        </w:rPr>
        <w:t xml:space="preserve">66. </w:t>
      </w:r>
      <w:r>
        <w:rPr>
          <w:rFonts w:eastAsia="宋体"/>
          <w:b/>
          <w:snapToGrid w:val="0"/>
          <w:kern w:val="0"/>
          <w:sz w:val="24"/>
          <w:szCs w:val="24"/>
        </w:rPr>
        <w:t>FDA</w:t>
      </w:r>
      <w:r>
        <w:rPr>
          <w:rFonts w:hint="eastAsia" w:eastAsia="宋体"/>
          <w:b/>
          <w:snapToGrid w:val="0"/>
          <w:kern w:val="0"/>
          <w:sz w:val="24"/>
          <w:szCs w:val="24"/>
        </w:rPr>
        <w:t>是否批准</w:t>
      </w:r>
      <w:r>
        <w:rPr>
          <w:rFonts w:eastAsia="宋体"/>
          <w:b/>
          <w:snapToGrid w:val="0"/>
          <w:kern w:val="0"/>
          <w:sz w:val="24"/>
          <w:szCs w:val="24"/>
        </w:rPr>
        <w:t>RDRC</w:t>
      </w:r>
      <w:r>
        <w:rPr>
          <w:rFonts w:hint="eastAsia" w:eastAsia="宋体"/>
          <w:b/>
          <w:snapToGrid w:val="0"/>
          <w:kern w:val="0"/>
          <w:sz w:val="24"/>
          <w:szCs w:val="24"/>
        </w:rPr>
        <w:t>？</w:t>
      </w:r>
    </w:p>
    <w:p w14:paraId="085A8F83">
      <w:pPr>
        <w:pStyle w:val="41"/>
        <w:shd w:val="clear" w:color="auto" w:fill="auto"/>
        <w:topLinePunct/>
        <w:adjustRightInd w:val="0"/>
        <w:snapToGrid w:val="0"/>
        <w:spacing w:before="0" w:after="244" w:afterLines="75" w:line="300" w:lineRule="auto"/>
        <w:jc w:val="both"/>
        <w:rPr>
          <w:rFonts w:eastAsia="宋体"/>
          <w:snapToGrid w:val="0"/>
          <w:kern w:val="0"/>
          <w:sz w:val="24"/>
          <w:szCs w:val="24"/>
        </w:rPr>
      </w:pPr>
      <w:r>
        <w:rPr>
          <w:rFonts w:hint="eastAsia" w:eastAsia="宋体"/>
          <w:snapToGrid w:val="0"/>
          <w:kern w:val="0"/>
          <w:sz w:val="24"/>
          <w:szCs w:val="24"/>
        </w:rPr>
        <w:t>是。如</w:t>
      </w:r>
      <w:r>
        <w:rPr>
          <w:rFonts w:eastAsia="宋体"/>
          <w:snapToGrid w:val="0"/>
          <w:kern w:val="0"/>
          <w:sz w:val="24"/>
          <w:szCs w:val="24"/>
        </w:rPr>
        <w:t>21 CFR 361.1</w:t>
      </w:r>
      <w:r>
        <w:rPr>
          <w:rFonts w:hint="eastAsia" w:eastAsia="宋体"/>
          <w:snapToGrid w:val="0"/>
          <w:kern w:val="0"/>
          <w:sz w:val="24"/>
          <w:szCs w:val="24"/>
        </w:rPr>
        <w:t>（</w:t>
      </w:r>
      <w:r>
        <w:rPr>
          <w:rFonts w:eastAsia="宋体"/>
          <w:snapToGrid w:val="0"/>
          <w:kern w:val="0"/>
          <w:sz w:val="24"/>
          <w:szCs w:val="24"/>
        </w:rPr>
        <w:t>c</w:t>
      </w:r>
      <w:r>
        <w:rPr>
          <w:rFonts w:hint="eastAsia" w:eastAsia="宋体"/>
          <w:snapToGrid w:val="0"/>
          <w:kern w:val="0"/>
          <w:sz w:val="24"/>
          <w:szCs w:val="24"/>
        </w:rPr>
        <w:t>）所述，</w:t>
      </w:r>
      <w:r>
        <w:rPr>
          <w:rFonts w:eastAsia="宋体"/>
          <w:snapToGrid w:val="0"/>
          <w:kern w:val="0"/>
          <w:sz w:val="24"/>
          <w:szCs w:val="24"/>
        </w:rPr>
        <w:t>RDRC</w:t>
      </w:r>
      <w:r>
        <w:rPr>
          <w:rFonts w:hint="eastAsia" w:eastAsia="宋体"/>
          <w:snapToGrid w:val="0"/>
          <w:kern w:val="0"/>
          <w:sz w:val="24"/>
          <w:szCs w:val="24"/>
        </w:rPr>
        <w:t>必须持续持有美国食品药品监督管理局的批准。</w:t>
      </w:r>
      <w:r>
        <w:rPr>
          <w:rFonts w:eastAsia="宋体"/>
          <w:snapToGrid w:val="0"/>
          <w:kern w:val="0"/>
          <w:sz w:val="24"/>
          <w:szCs w:val="24"/>
        </w:rPr>
        <w:t>RDRC</w:t>
      </w:r>
      <w:r>
        <w:rPr>
          <w:rFonts w:hint="eastAsia" w:eastAsia="宋体"/>
          <w:snapToGrid w:val="0"/>
          <w:kern w:val="0"/>
          <w:sz w:val="24"/>
          <w:szCs w:val="24"/>
        </w:rPr>
        <w:t>必须向以下机构申请注册：</w:t>
      </w:r>
      <w:r>
        <w:rPr>
          <w:rFonts w:eastAsia="宋体"/>
          <w:snapToGrid w:val="0"/>
          <w:kern w:val="0"/>
          <w:sz w:val="24"/>
          <w:szCs w:val="24"/>
        </w:rPr>
        <w:t>FDA</w:t>
      </w:r>
      <w:r>
        <w:rPr>
          <w:rFonts w:hint="eastAsia" w:eastAsia="宋体"/>
          <w:snapToGrid w:val="0"/>
          <w:kern w:val="0"/>
          <w:sz w:val="24"/>
          <w:szCs w:val="24"/>
        </w:rPr>
        <w:t>药品评估与研究中心（</w:t>
      </w:r>
      <w:r>
        <w:rPr>
          <w:rFonts w:eastAsia="宋体"/>
          <w:snapToGrid w:val="0"/>
          <w:kern w:val="0"/>
          <w:sz w:val="24"/>
          <w:szCs w:val="24"/>
        </w:rPr>
        <w:t>CDER</w:t>
      </w:r>
      <w:r>
        <w:rPr>
          <w:rFonts w:hint="eastAsia" w:eastAsia="宋体"/>
          <w:snapToGrid w:val="0"/>
          <w:kern w:val="0"/>
          <w:sz w:val="24"/>
          <w:szCs w:val="24"/>
        </w:rPr>
        <w:t>）医学成像产品司（</w:t>
      </w:r>
      <w:r>
        <w:rPr>
          <w:rFonts w:eastAsia="宋体"/>
          <w:snapToGrid w:val="0"/>
          <w:kern w:val="0"/>
          <w:sz w:val="24"/>
          <w:szCs w:val="24"/>
        </w:rPr>
        <w:t>5901-B Ammendale Road, Beltsville, MD 20105-1266</w:t>
      </w:r>
      <w:r>
        <w:rPr>
          <w:rFonts w:hint="eastAsia" w:eastAsia="宋体"/>
          <w:snapToGrid w:val="0"/>
          <w:kern w:val="0"/>
          <w:sz w:val="24"/>
          <w:szCs w:val="24"/>
        </w:rPr>
        <w:t>），联系人：</w:t>
      </w:r>
      <w:r>
        <w:rPr>
          <w:rFonts w:eastAsia="宋体"/>
          <w:snapToGrid w:val="0"/>
          <w:kern w:val="0"/>
          <w:sz w:val="24"/>
          <w:szCs w:val="24"/>
        </w:rPr>
        <w:t>RDRC</w:t>
      </w:r>
      <w:r>
        <w:rPr>
          <w:rFonts w:hint="eastAsia" w:eastAsia="宋体"/>
          <w:snapToGrid w:val="0"/>
          <w:kern w:val="0"/>
          <w:sz w:val="24"/>
          <w:szCs w:val="24"/>
        </w:rPr>
        <w:t>。</w:t>
      </w:r>
      <w:r>
        <w:rPr>
          <w:rFonts w:eastAsia="宋体"/>
          <w:snapToGrid w:val="0"/>
          <w:kern w:val="0"/>
          <w:sz w:val="24"/>
          <w:szCs w:val="24"/>
        </w:rPr>
        <w:t>FDA合</w:t>
      </w:r>
      <w:r>
        <w:rPr>
          <w:rFonts w:hint="eastAsia" w:eastAsia="宋体"/>
          <w:snapToGrid w:val="0"/>
          <w:kern w:val="0"/>
          <w:sz w:val="24"/>
          <w:szCs w:val="24"/>
        </w:rPr>
        <w:t>规问题联系人：</w:t>
      </w:r>
      <w:r>
        <w:rPr>
          <w:rFonts w:eastAsia="宋体"/>
          <w:snapToGrid w:val="0"/>
          <w:kern w:val="0"/>
          <w:sz w:val="24"/>
          <w:szCs w:val="24"/>
        </w:rPr>
        <w:t>FDA</w:t>
      </w:r>
      <w:r>
        <w:rPr>
          <w:rFonts w:hint="eastAsia" w:eastAsia="宋体"/>
          <w:snapToGrid w:val="0"/>
          <w:kern w:val="0"/>
          <w:sz w:val="24"/>
          <w:szCs w:val="24"/>
        </w:rPr>
        <w:t>，</w:t>
      </w:r>
      <w:r>
        <w:rPr>
          <w:rFonts w:eastAsia="宋体"/>
          <w:snapToGrid w:val="0"/>
          <w:kern w:val="0"/>
          <w:sz w:val="24"/>
          <w:szCs w:val="24"/>
        </w:rPr>
        <w:t>CDER</w:t>
      </w:r>
      <w:r>
        <w:rPr>
          <w:rFonts w:hint="eastAsia" w:eastAsia="宋体"/>
          <w:snapToGrid w:val="0"/>
          <w:kern w:val="0"/>
          <w:sz w:val="24"/>
          <w:szCs w:val="24"/>
        </w:rPr>
        <w:t>，科学研究司（DSI）受试者保护小组（</w:t>
      </w:r>
      <w:r>
        <w:rPr>
          <w:rFonts w:eastAsia="宋体"/>
          <w:snapToGrid w:val="0"/>
          <w:kern w:val="0"/>
          <w:sz w:val="24"/>
          <w:szCs w:val="24"/>
        </w:rPr>
        <w:t>110903 New Hampshire Avenue, WO51, Room 5342, Silver Spring, MD 20993</w:t>
      </w:r>
      <w:r>
        <w:rPr>
          <w:rFonts w:hint="eastAsia" w:eastAsia="宋体"/>
          <w:snapToGrid w:val="0"/>
          <w:kern w:val="0"/>
          <w:sz w:val="24"/>
          <w:szCs w:val="24"/>
        </w:rPr>
        <w:t>）。</w:t>
      </w:r>
    </w:p>
    <w:p w14:paraId="03651160">
      <w:pPr>
        <w:pStyle w:val="41"/>
        <w:shd w:val="clear" w:color="auto" w:fill="auto"/>
        <w:topLinePunct/>
        <w:adjustRightInd w:val="0"/>
        <w:snapToGrid w:val="0"/>
        <w:spacing w:before="0" w:after="244" w:afterLines="75" w:line="300" w:lineRule="auto"/>
        <w:jc w:val="both"/>
        <w:rPr>
          <w:rFonts w:eastAsia="宋体"/>
          <w:b/>
          <w:snapToGrid w:val="0"/>
          <w:kern w:val="0"/>
          <w:sz w:val="24"/>
          <w:szCs w:val="26"/>
          <w:u w:val="single"/>
        </w:rPr>
      </w:pPr>
      <w:r>
        <w:rPr>
          <w:rFonts w:eastAsia="宋体"/>
          <w:b/>
          <w:snapToGrid w:val="0"/>
          <w:kern w:val="0"/>
          <w:sz w:val="24"/>
          <w:szCs w:val="24"/>
          <w:u w:val="single"/>
        </w:rPr>
        <w:t>&lt;&lt;</w:t>
      </w:r>
      <w:r>
        <w:rPr>
          <w:rFonts w:hint="eastAsia" w:eastAsia="宋体"/>
          <w:b/>
          <w:snapToGrid w:val="0"/>
          <w:kern w:val="0"/>
          <w:sz w:val="24"/>
          <w:szCs w:val="24"/>
          <w:u w:val="single"/>
        </w:rPr>
        <w:t>返回临床试验指导性文件</w:t>
      </w:r>
      <w:r>
        <w:rPr>
          <w:rFonts w:eastAsia="宋体"/>
          <w:b/>
          <w:snapToGrid w:val="0"/>
          <w:szCs w:val="24"/>
          <w:u w:val="single"/>
        </w:rPr>
        <w:cr/>
      </w:r>
      <w:r>
        <w:rPr>
          <w:rFonts w:eastAsia="宋体"/>
          <w:b/>
          <w:snapToGrid w:val="0"/>
          <w:szCs w:val="24"/>
          <w:u w:val="single"/>
        </w:rPr>
        <w:t>（</w:t>
      </w:r>
      <w:r>
        <w:rPr>
          <w:rFonts w:eastAsia="宋体"/>
          <w:b/>
          <w:snapToGrid w:val="0"/>
          <w:kern w:val="0"/>
          <w:sz w:val="24"/>
          <w:szCs w:val="24"/>
          <w:u w:val="single"/>
        </w:rPr>
        <w:t>/RegulatoryInformation/Guidances/ucm122046.htm</w:t>
      </w:r>
      <w:r>
        <w:rPr>
          <w:rFonts w:eastAsia="宋体"/>
          <w:b/>
          <w:snapToGrid w:val="0"/>
          <w:szCs w:val="24"/>
          <w:u w:val="single"/>
        </w:rPr>
        <w:t>）</w:t>
      </w:r>
      <w:r>
        <w:rPr>
          <w:rFonts w:eastAsia="宋体"/>
          <w:b/>
          <w:snapToGrid w:val="0"/>
          <w:szCs w:val="24"/>
          <w:u w:val="single"/>
        </w:rPr>
        <w:cr/>
      </w:r>
    </w:p>
    <w:tbl>
      <w:tblPr>
        <w:tblStyle w:val="17"/>
        <w:tblW w:w="5000" w:type="pct"/>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9242"/>
      </w:tblGrid>
      <w:tr w14:paraId="14646AA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Borders>
              <w:top w:val="single" w:color="0070C0" w:sz="4" w:space="0"/>
              <w:left w:val="single" w:color="0070C0" w:sz="4" w:space="0"/>
              <w:bottom w:val="single" w:color="0070C0" w:sz="4" w:space="0"/>
              <w:right w:val="single" w:color="0070C0" w:sz="4" w:space="0"/>
            </w:tcBorders>
          </w:tcPr>
          <w:p w14:paraId="0B26EFD5">
            <w:pPr>
              <w:pStyle w:val="41"/>
              <w:shd w:val="clear" w:color="auto" w:fill="auto"/>
              <w:topLinePunct/>
              <w:adjustRightInd w:val="0"/>
              <w:snapToGrid w:val="0"/>
              <w:spacing w:before="48" w:beforeLines="15" w:after="163" w:afterLines="50" w:line="300" w:lineRule="auto"/>
              <w:jc w:val="both"/>
              <w:rPr>
                <w:rFonts w:eastAsia="宋体"/>
                <w:b/>
                <w:snapToGrid w:val="0"/>
                <w:kern w:val="0"/>
                <w:szCs w:val="24"/>
                <w:u w:val="single"/>
              </w:rPr>
            </w:pPr>
            <w:r>
              <w:rPr>
                <w:rFonts w:hint="eastAsia" w:eastAsia="宋体"/>
                <w:b/>
                <w:snapToGrid w:val="0"/>
                <w:kern w:val="0"/>
                <w:szCs w:val="24"/>
              </w:rPr>
              <w:t>更多</w:t>
            </w:r>
            <w:r>
              <w:rPr>
                <w:rFonts w:hint="eastAsia" w:eastAsia="宋体"/>
                <w:b/>
                <w:snapToGrid w:val="0"/>
                <w:kern w:val="0"/>
                <w:szCs w:val="24"/>
                <w:u w:val="single"/>
              </w:rPr>
              <w:t>查询FDA指导性文件信息：</w:t>
            </w:r>
            <w:r>
              <w:rPr>
                <w:rFonts w:eastAsia="宋体"/>
                <w:b/>
                <w:snapToGrid w:val="0"/>
                <w:kern w:val="0"/>
                <w:szCs w:val="24"/>
                <w:u w:val="single"/>
              </w:rPr>
              <w:br w:type="textWrapping"/>
            </w:r>
            <w:r>
              <w:rPr>
                <w:rFonts w:eastAsia="宋体"/>
                <w:b/>
                <w:snapToGrid w:val="0"/>
                <w:kern w:val="0"/>
                <w:szCs w:val="24"/>
                <w:u w:val="single"/>
              </w:rPr>
              <w:t>（/RegulatoryInformation/Guidances/default.htm）</w:t>
            </w:r>
          </w:p>
        </w:tc>
      </w:tr>
      <w:tr w14:paraId="16737E3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Borders>
              <w:top w:val="single" w:color="0070C0" w:sz="4" w:space="0"/>
            </w:tcBorders>
          </w:tcPr>
          <w:p w14:paraId="772F6CF6">
            <w:pPr>
              <w:pStyle w:val="41"/>
              <w:shd w:val="clear" w:color="auto" w:fill="auto"/>
              <w:topLinePunct/>
              <w:adjustRightInd w:val="0"/>
              <w:snapToGrid w:val="0"/>
              <w:spacing w:before="48" w:beforeLines="15" w:after="163" w:afterLines="50" w:line="300" w:lineRule="auto"/>
              <w:jc w:val="both"/>
              <w:rPr>
                <w:rFonts w:eastAsia="宋体"/>
                <w:b/>
                <w:snapToGrid w:val="0"/>
                <w:kern w:val="0"/>
                <w:szCs w:val="24"/>
                <w:u w:val="single"/>
              </w:rPr>
            </w:pPr>
            <w:r>
              <w:rPr>
                <w:rFonts w:hint="eastAsia" w:eastAsia="宋体"/>
                <w:b/>
                <w:snapToGrid w:val="0"/>
                <w:kern w:val="0"/>
                <w:szCs w:val="24"/>
                <w:u w:val="single"/>
              </w:rPr>
              <w:t>FDA指导性文件：通用和交叉主题</w:t>
            </w:r>
            <w:r>
              <w:rPr>
                <w:rFonts w:eastAsia="宋体"/>
                <w:b/>
                <w:snapToGrid w:val="0"/>
                <w:kern w:val="0"/>
                <w:szCs w:val="24"/>
                <w:u w:val="single"/>
              </w:rPr>
              <w:br w:type="textWrapping"/>
            </w:r>
            <w:r>
              <w:rPr>
                <w:rFonts w:eastAsia="宋体"/>
                <w:b/>
                <w:snapToGrid w:val="0"/>
                <w:kern w:val="0"/>
                <w:szCs w:val="24"/>
                <w:u w:val="single"/>
              </w:rPr>
              <w:t>（/RegulatoryInformation/Guidances/ucm122044.htm）</w:t>
            </w:r>
          </w:p>
        </w:tc>
      </w:tr>
      <w:tr w14:paraId="7CD3F79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6E774C4A">
            <w:pPr>
              <w:pStyle w:val="41"/>
              <w:shd w:val="clear" w:color="auto" w:fill="auto"/>
              <w:topLinePunct/>
              <w:adjustRightInd w:val="0"/>
              <w:snapToGrid w:val="0"/>
              <w:spacing w:before="48" w:beforeLines="15" w:after="163" w:afterLines="50" w:line="300" w:lineRule="auto"/>
              <w:jc w:val="both"/>
              <w:rPr>
                <w:rFonts w:eastAsia="宋体"/>
                <w:b/>
                <w:snapToGrid w:val="0"/>
                <w:kern w:val="0"/>
                <w:szCs w:val="24"/>
                <w:u w:val="single"/>
              </w:rPr>
            </w:pPr>
            <w:r>
              <w:rPr>
                <w:rFonts w:hint="eastAsia" w:eastAsia="宋体"/>
                <w:b/>
                <w:snapToGrid w:val="0"/>
                <w:kern w:val="0"/>
                <w:szCs w:val="24"/>
                <w:u w:val="single"/>
              </w:rPr>
              <w:t>咨询委员会指导性文件</w:t>
            </w:r>
            <w:r>
              <w:rPr>
                <w:rFonts w:eastAsia="宋体"/>
                <w:b/>
                <w:snapToGrid w:val="0"/>
                <w:kern w:val="0"/>
                <w:szCs w:val="24"/>
                <w:u w:val="single"/>
              </w:rPr>
              <w:br w:type="textWrapping"/>
            </w:r>
            <w:r>
              <w:rPr>
                <w:rFonts w:eastAsia="宋体"/>
                <w:b/>
                <w:snapToGrid w:val="0"/>
                <w:kern w:val="0"/>
                <w:szCs w:val="24"/>
                <w:u w:val="single"/>
              </w:rPr>
              <w:t>（/RegulatoryInformation/Guidances/ucm122045.htm）</w:t>
            </w:r>
          </w:p>
        </w:tc>
      </w:tr>
      <w:tr w14:paraId="1F5305A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648DD714">
            <w:pPr>
              <w:pStyle w:val="41"/>
              <w:shd w:val="clear" w:color="auto" w:fill="auto"/>
              <w:topLinePunct/>
              <w:adjustRightInd w:val="0"/>
              <w:snapToGrid w:val="0"/>
              <w:spacing w:before="48" w:beforeLines="15" w:after="163" w:afterLines="50" w:line="300" w:lineRule="auto"/>
              <w:jc w:val="both"/>
              <w:rPr>
                <w:rFonts w:eastAsia="宋体"/>
                <w:b/>
                <w:snapToGrid w:val="0"/>
                <w:kern w:val="0"/>
                <w:szCs w:val="24"/>
                <w:u w:val="single"/>
              </w:rPr>
            </w:pPr>
            <w:r>
              <w:rPr>
                <w:rFonts w:hint="eastAsia" w:eastAsia="宋体"/>
                <w:b/>
                <w:snapToGrid w:val="0"/>
                <w:kern w:val="0"/>
                <w:szCs w:val="24"/>
                <w:u w:val="single"/>
              </w:rPr>
              <w:t>临床试验指导性文件</w:t>
            </w:r>
            <w:r>
              <w:rPr>
                <w:rFonts w:eastAsia="宋体"/>
                <w:b/>
                <w:snapToGrid w:val="0"/>
                <w:kern w:val="0"/>
                <w:szCs w:val="24"/>
                <w:u w:val="single"/>
              </w:rPr>
              <w:br w:type="textWrapping"/>
            </w:r>
            <w:r>
              <w:rPr>
                <w:rFonts w:eastAsia="宋体"/>
                <w:b/>
                <w:snapToGrid w:val="0"/>
                <w:kern w:val="0"/>
                <w:szCs w:val="24"/>
                <w:u w:val="single"/>
              </w:rPr>
              <w:t>（/RegulatoryInformation/Guidances/ucm122046.htm）</w:t>
            </w:r>
          </w:p>
        </w:tc>
      </w:tr>
      <w:tr w14:paraId="5C82B23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62E7E90A">
            <w:pPr>
              <w:pStyle w:val="41"/>
              <w:shd w:val="clear" w:color="auto" w:fill="auto"/>
              <w:topLinePunct/>
              <w:adjustRightInd w:val="0"/>
              <w:snapToGrid w:val="0"/>
              <w:spacing w:before="48" w:beforeLines="15" w:after="163" w:afterLines="50" w:line="300" w:lineRule="auto"/>
              <w:jc w:val="both"/>
              <w:rPr>
                <w:rFonts w:eastAsia="宋体"/>
                <w:b/>
                <w:snapToGrid w:val="0"/>
                <w:kern w:val="0"/>
                <w:szCs w:val="24"/>
                <w:u w:val="single"/>
              </w:rPr>
            </w:pPr>
            <w:r>
              <w:rPr>
                <w:rFonts w:hint="eastAsia" w:eastAsia="宋体"/>
                <w:b/>
                <w:snapToGrid w:val="0"/>
                <w:kern w:val="0"/>
                <w:szCs w:val="24"/>
                <w:u w:val="single"/>
              </w:rPr>
              <w:t>组合产品指导性文件</w:t>
            </w:r>
            <w:r>
              <w:rPr>
                <w:rFonts w:eastAsia="宋体"/>
                <w:b/>
                <w:snapToGrid w:val="0"/>
                <w:kern w:val="0"/>
                <w:szCs w:val="24"/>
                <w:u w:val="single"/>
              </w:rPr>
              <w:br w:type="textWrapping"/>
            </w:r>
            <w:r>
              <w:rPr>
                <w:rFonts w:eastAsia="宋体"/>
                <w:b/>
                <w:snapToGrid w:val="0"/>
                <w:kern w:val="0"/>
                <w:szCs w:val="24"/>
                <w:u w:val="single"/>
              </w:rPr>
              <w:t>（/RegulatoryInformation/Guidances/ucm122047.htm）</w:t>
            </w:r>
          </w:p>
        </w:tc>
      </w:tr>
      <w:tr w14:paraId="1A13102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16FBDE3D">
            <w:pPr>
              <w:pStyle w:val="41"/>
              <w:shd w:val="clear" w:color="auto" w:fill="auto"/>
              <w:topLinePunct/>
              <w:adjustRightInd w:val="0"/>
              <w:snapToGrid w:val="0"/>
              <w:spacing w:before="48" w:beforeLines="15" w:after="163" w:afterLines="50" w:line="300" w:lineRule="auto"/>
              <w:jc w:val="both"/>
              <w:rPr>
                <w:rFonts w:eastAsia="宋体"/>
                <w:b/>
                <w:snapToGrid w:val="0"/>
                <w:kern w:val="0"/>
                <w:szCs w:val="24"/>
                <w:u w:val="single"/>
              </w:rPr>
            </w:pPr>
            <w:r>
              <w:rPr>
                <w:rFonts w:hint="eastAsia" w:eastAsia="宋体"/>
                <w:b/>
                <w:snapToGrid w:val="0"/>
                <w:kern w:val="0"/>
                <w:szCs w:val="24"/>
                <w:u w:val="single"/>
              </w:rPr>
              <w:t>进出口指导性文件</w:t>
            </w:r>
            <w:r>
              <w:rPr>
                <w:rFonts w:eastAsia="宋体"/>
                <w:b/>
                <w:snapToGrid w:val="0"/>
                <w:kern w:val="0"/>
                <w:szCs w:val="24"/>
                <w:u w:val="single"/>
              </w:rPr>
              <w:br w:type="textWrapping"/>
            </w:r>
            <w:r>
              <w:rPr>
                <w:rFonts w:eastAsia="宋体"/>
                <w:b/>
                <w:snapToGrid w:val="0"/>
                <w:kern w:val="0"/>
                <w:szCs w:val="24"/>
                <w:u w:val="single"/>
              </w:rPr>
              <w:t>（/RegulatoryInformation/Guidances/ucm122048.htm）</w:t>
            </w:r>
          </w:p>
        </w:tc>
      </w:tr>
      <w:tr w14:paraId="7201AA2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2A4D9003">
            <w:pPr>
              <w:pStyle w:val="41"/>
              <w:shd w:val="clear" w:color="auto" w:fill="auto"/>
              <w:topLinePunct/>
              <w:adjustRightInd w:val="0"/>
              <w:snapToGrid w:val="0"/>
              <w:spacing w:before="48" w:beforeLines="15" w:after="163" w:afterLines="50" w:line="300" w:lineRule="auto"/>
              <w:jc w:val="both"/>
              <w:rPr>
                <w:rFonts w:eastAsia="宋体"/>
                <w:b/>
                <w:snapToGrid w:val="0"/>
                <w:kern w:val="0"/>
                <w:szCs w:val="24"/>
                <w:u w:val="single"/>
              </w:rPr>
            </w:pPr>
            <w:r>
              <w:rPr>
                <w:rFonts w:hint="eastAsia" w:eastAsia="宋体"/>
                <w:b/>
                <w:snapToGrid w:val="0"/>
                <w:kern w:val="0"/>
                <w:szCs w:val="24"/>
                <w:u w:val="single"/>
              </w:rPr>
              <w:t>国际协调委员会（ICH）指导性文件</w:t>
            </w:r>
            <w:r>
              <w:rPr>
                <w:rFonts w:eastAsia="宋体"/>
                <w:b/>
                <w:snapToGrid w:val="0"/>
                <w:kern w:val="0"/>
                <w:szCs w:val="24"/>
                <w:u w:val="single"/>
              </w:rPr>
              <w:br w:type="textWrapping"/>
            </w:r>
            <w:r>
              <w:rPr>
                <w:rFonts w:eastAsia="宋体"/>
                <w:b/>
                <w:snapToGrid w:val="0"/>
                <w:kern w:val="0"/>
                <w:szCs w:val="24"/>
                <w:u w:val="single"/>
              </w:rPr>
              <w:t>（/RegulatoryInformation/Guidances/ucm122049.htm）</w:t>
            </w:r>
          </w:p>
        </w:tc>
      </w:tr>
      <w:tr w14:paraId="180B3C4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583F420A">
            <w:pPr>
              <w:pStyle w:val="41"/>
              <w:shd w:val="clear" w:color="auto" w:fill="auto"/>
              <w:topLinePunct/>
              <w:adjustRightInd w:val="0"/>
              <w:snapToGrid w:val="0"/>
              <w:spacing w:before="48" w:beforeLines="15" w:after="163" w:afterLines="50" w:line="300" w:lineRule="auto"/>
              <w:jc w:val="both"/>
              <w:rPr>
                <w:rFonts w:eastAsia="宋体"/>
                <w:b/>
                <w:snapToGrid w:val="0"/>
                <w:kern w:val="0"/>
                <w:szCs w:val="24"/>
                <w:u w:val="single"/>
              </w:rPr>
            </w:pPr>
            <w:r>
              <w:rPr>
                <w:rFonts w:hint="eastAsia" w:eastAsia="宋体"/>
                <w:b/>
                <w:snapToGrid w:val="0"/>
                <w:kern w:val="0"/>
                <w:szCs w:val="24"/>
                <w:u w:val="single"/>
              </w:rPr>
              <w:t>兽医国际协调委员会（VICH）指导性文件</w:t>
            </w:r>
            <w:r>
              <w:rPr>
                <w:rFonts w:eastAsia="宋体"/>
                <w:b/>
                <w:snapToGrid w:val="0"/>
                <w:kern w:val="0"/>
                <w:szCs w:val="24"/>
                <w:u w:val="single"/>
              </w:rPr>
              <w:br w:type="textWrapping"/>
            </w:r>
            <w:r>
              <w:rPr>
                <w:rFonts w:eastAsia="宋体"/>
                <w:b/>
                <w:snapToGrid w:val="0"/>
                <w:kern w:val="0"/>
                <w:szCs w:val="24"/>
                <w:u w:val="single"/>
              </w:rPr>
              <w:t>（/RegulatoryInformation/Guidances/ucm122050.htm）</w:t>
            </w:r>
          </w:p>
        </w:tc>
      </w:tr>
    </w:tbl>
    <w:p w14:paraId="6CD494D5">
      <w:pPr>
        <w:pStyle w:val="41"/>
        <w:shd w:val="clear" w:color="auto" w:fill="auto"/>
        <w:topLinePunct/>
        <w:adjustRightInd w:val="0"/>
        <w:snapToGrid w:val="0"/>
        <w:spacing w:before="0" w:after="244" w:afterLines="75" w:line="300" w:lineRule="auto"/>
        <w:jc w:val="both"/>
        <w:rPr>
          <w:rFonts w:eastAsia="宋体"/>
          <w:b/>
          <w:snapToGrid w:val="0"/>
          <w:kern w:val="0"/>
          <w:sz w:val="24"/>
          <w:szCs w:val="24"/>
        </w:rPr>
      </w:pPr>
    </w:p>
    <w:p w14:paraId="4ADB25E0">
      <w:pPr>
        <w:pStyle w:val="39"/>
        <w:shd w:val="clear" w:color="auto" w:fill="auto"/>
        <w:topLinePunct/>
        <w:adjustRightInd w:val="0"/>
        <w:snapToGrid w:val="0"/>
        <w:spacing w:after="163" w:afterLines="50" w:line="300" w:lineRule="auto"/>
        <w:jc w:val="both"/>
        <w:outlineLvl w:val="9"/>
        <w:rPr>
          <w:rFonts w:hint="eastAsia" w:eastAsia="宋体"/>
          <w:lang w:eastAsia="zh-CN"/>
        </w:rPr>
      </w:pPr>
    </w:p>
    <w:p w14:paraId="76B33AAB">
      <w:pPr>
        <w:pStyle w:val="39"/>
        <w:shd w:val="clear" w:color="auto" w:fill="auto"/>
        <w:topLinePunct/>
        <w:adjustRightInd w:val="0"/>
        <w:snapToGrid w:val="0"/>
        <w:spacing w:after="163" w:afterLines="50" w:line="300" w:lineRule="auto"/>
        <w:jc w:val="center"/>
        <w:outlineLvl w:val="9"/>
        <w:rPr>
          <w:rFonts w:hint="eastAsia" w:eastAsia="宋体"/>
          <w:lang w:eastAsia="zh-CN"/>
        </w:rPr>
      </w:pPr>
    </w:p>
    <w:p w14:paraId="69AB49CE">
      <w:pPr>
        <w:pStyle w:val="39"/>
        <w:shd w:val="clear" w:color="auto" w:fill="auto"/>
        <w:topLinePunct/>
        <w:adjustRightInd w:val="0"/>
        <w:snapToGrid w:val="0"/>
        <w:spacing w:after="163" w:afterLines="50" w:line="300" w:lineRule="auto"/>
        <w:jc w:val="center"/>
        <w:outlineLvl w:val="9"/>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440" w:bottom="1134" w:left="1440" w:header="720" w:footer="283"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D35A">
    <w:pPr>
      <w:pStyle w:val="14"/>
      <w:rPr>
        <w:rFonts w:ascii="Arial" w:hAnsi="Arial" w:cs="Arial"/>
        <w:sz w:val="16"/>
        <w:szCs w:val="16"/>
      </w:rPr>
    </w:pPr>
  </w:p>
  <w:p w14:paraId="5F5FED9E">
    <w:pPr>
      <w:pStyle w:val="14"/>
      <w:tabs>
        <w:tab w:val="right" w:pos="9043"/>
        <w:tab w:val="clear" w:pos="8306"/>
      </w:tabs>
    </w:pPr>
    <w:r>
      <w:fldChar w:fldCharType="begin"/>
    </w:r>
    <w:r>
      <w:instrText xml:space="preserve"> HYPERLINK "https://www.fda.gov/RegulatoryInformation/Guidances/ucm126420.htm" </w:instrText>
    </w:r>
    <w:r>
      <w:fldChar w:fldCharType="separate"/>
    </w:r>
    <w:r>
      <w:rPr>
        <w:rStyle w:val="19"/>
        <w:rFonts w:ascii="Arial" w:hAnsi="Arial" w:cs="Arial"/>
        <w:color w:val="auto"/>
        <w:sz w:val="16"/>
        <w:szCs w:val="16"/>
        <w:u w:val="none"/>
      </w:rPr>
      <w:t>https://www.fda.gov/RegulatoryInformation/Guidances/ucm126420.htm</w:t>
    </w:r>
    <w:r>
      <w:rPr>
        <w:rStyle w:val="19"/>
        <w:rFonts w:ascii="Arial" w:hAnsi="Arial" w:cs="Arial"/>
        <w:color w:val="auto"/>
        <w:sz w:val="16"/>
        <w:szCs w:val="16"/>
        <w:u w:val="none"/>
      </w:rPr>
      <w:fldChar w:fldCharType="end"/>
    </w:r>
    <w:r>
      <w:rPr>
        <w:rFonts w:hint="eastAsia"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PAGE  \* Arabic  \* MERGEFORMAT</w:instrText>
    </w:r>
    <w:r>
      <w:rPr>
        <w:rFonts w:ascii="Arial" w:hAnsi="Arial" w:cs="Arial"/>
        <w:sz w:val="16"/>
        <w:szCs w:val="16"/>
      </w:rPr>
      <w:fldChar w:fldCharType="separate"/>
    </w:r>
    <w:r>
      <w:rPr>
        <w:rFonts w:ascii="Arial" w:hAnsi="Arial" w:cs="Arial"/>
        <w:sz w:val="16"/>
        <w:szCs w:val="16"/>
      </w:rPr>
      <w:t>21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NUMPAGES  \* Arabic  \* MERGEFORMAT</w:instrText>
    </w:r>
    <w:r>
      <w:rPr>
        <w:rFonts w:ascii="Arial" w:hAnsi="Arial" w:cs="Arial"/>
        <w:sz w:val="16"/>
        <w:szCs w:val="16"/>
      </w:rPr>
      <w:fldChar w:fldCharType="separate"/>
    </w:r>
    <w:r>
      <w:rPr>
        <w:rFonts w:ascii="Arial" w:hAnsi="Arial" w:cs="Arial"/>
        <w:sz w:val="16"/>
        <w:szCs w:val="16"/>
      </w:rPr>
      <w:t>21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8000"/>
    </w:tblGrid>
    <w:tr w14:paraId="57E6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6CD8EB96">
          <w:pPr>
            <w:pStyle w:val="39"/>
            <w:shd w:val="clear" w:color="auto" w:fill="auto"/>
            <w:topLinePunct/>
            <w:adjustRightInd w:val="0"/>
            <w:snapToGrid w:val="0"/>
            <w:spacing w:after="180" w:afterLines="75" w:line="288" w:lineRule="auto"/>
            <w:jc w:val="both"/>
            <w:outlineLvl w:val="9"/>
            <w:rPr>
              <w:rFonts w:eastAsia="宋体"/>
              <w:b w:val="0"/>
              <w:snapToGrid w:val="0"/>
              <w:kern w:val="0"/>
              <w:sz w:val="16"/>
              <w:szCs w:val="50"/>
            </w:rPr>
          </w:pPr>
          <w:r>
            <w:rPr>
              <w:rFonts w:eastAsia="宋体"/>
              <w:b w:val="0"/>
              <w:snapToGrid w:val="0"/>
              <w:kern w:val="0"/>
              <w:sz w:val="16"/>
              <w:szCs w:val="50"/>
            </w:rPr>
            <w:t xml:space="preserve">2017/8/10 </w:t>
          </w:r>
        </w:p>
      </w:tc>
      <w:tc>
        <w:tcPr>
          <w:tcW w:w="8000" w:type="dxa"/>
        </w:tcPr>
        <w:p w14:paraId="7150E590">
          <w:pPr>
            <w:pStyle w:val="39"/>
            <w:shd w:val="clear" w:color="auto" w:fill="auto"/>
            <w:topLinePunct/>
            <w:adjustRightInd w:val="0"/>
            <w:snapToGrid w:val="0"/>
            <w:spacing w:after="180" w:afterLines="75" w:line="288" w:lineRule="auto"/>
            <w:jc w:val="center"/>
            <w:outlineLvl w:val="9"/>
            <w:rPr>
              <w:rFonts w:eastAsia="宋体"/>
              <w:b w:val="0"/>
              <w:snapToGrid w:val="0"/>
              <w:kern w:val="0"/>
              <w:sz w:val="16"/>
              <w:szCs w:val="50"/>
            </w:rPr>
          </w:pPr>
          <w:r>
            <w:rPr>
              <w:rFonts w:hint="eastAsia" w:eastAsia="宋体"/>
              <w:b w:val="0"/>
              <w:snapToGrid w:val="0"/>
              <w:kern w:val="0"/>
              <w:sz w:val="16"/>
              <w:szCs w:val="50"/>
            </w:rPr>
            <w:t>查询FDA指导性文件＞机构审查委员会常见问题</w:t>
          </w:r>
          <w:r>
            <w:rPr>
              <w:rFonts w:eastAsia="宋体"/>
              <w:b w:val="0"/>
              <w:snapToGrid w:val="0"/>
              <w:kern w:val="0"/>
              <w:sz w:val="16"/>
              <w:szCs w:val="50"/>
            </w:rPr>
            <w:t>-</w:t>
          </w:r>
          <w:r>
            <w:rPr>
              <w:rFonts w:hint="eastAsia" w:eastAsia="宋体"/>
              <w:b w:val="0"/>
              <w:snapToGrid w:val="0"/>
              <w:kern w:val="0"/>
              <w:sz w:val="16"/>
              <w:szCs w:val="50"/>
            </w:rPr>
            <w:t>信息表</w:t>
          </w:r>
        </w:p>
      </w:tc>
    </w:tr>
  </w:tbl>
  <w:p w14:paraId="40EE2491">
    <w:pPr>
      <w:pStyle w:val="15"/>
      <w:pBdr>
        <w:bottom w:val="none" w:color="auto" w:sz="0" w:space="0"/>
      </w:pBdr>
      <w:rPr>
        <w:sz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abstractNum w:abstractNumId="1">
    <w:nsid w:val="3186146B"/>
    <w:multiLevelType w:val="multilevel"/>
    <w:tmpl w:val="3186146B"/>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57"/>
    <w:rsid w:val="0001390D"/>
    <w:rsid w:val="000142C4"/>
    <w:rsid w:val="000445F6"/>
    <w:rsid w:val="0006635E"/>
    <w:rsid w:val="00072D64"/>
    <w:rsid w:val="0009125B"/>
    <w:rsid w:val="00092E59"/>
    <w:rsid w:val="00095C57"/>
    <w:rsid w:val="00096B2D"/>
    <w:rsid w:val="000B2FF3"/>
    <w:rsid w:val="000E2F92"/>
    <w:rsid w:val="000E582E"/>
    <w:rsid w:val="00101BA3"/>
    <w:rsid w:val="00103525"/>
    <w:rsid w:val="00120EFA"/>
    <w:rsid w:val="0013133E"/>
    <w:rsid w:val="001356F0"/>
    <w:rsid w:val="001435EB"/>
    <w:rsid w:val="0014726A"/>
    <w:rsid w:val="0016752F"/>
    <w:rsid w:val="00185641"/>
    <w:rsid w:val="00190309"/>
    <w:rsid w:val="00190C57"/>
    <w:rsid w:val="001B7633"/>
    <w:rsid w:val="001C7EB4"/>
    <w:rsid w:val="001C7FF0"/>
    <w:rsid w:val="001D5273"/>
    <w:rsid w:val="00234036"/>
    <w:rsid w:val="00237E1D"/>
    <w:rsid w:val="0025447A"/>
    <w:rsid w:val="00271B5C"/>
    <w:rsid w:val="00275283"/>
    <w:rsid w:val="002755A0"/>
    <w:rsid w:val="0028317B"/>
    <w:rsid w:val="00283EF8"/>
    <w:rsid w:val="00285307"/>
    <w:rsid w:val="00291671"/>
    <w:rsid w:val="00292F50"/>
    <w:rsid w:val="00296844"/>
    <w:rsid w:val="002A33A6"/>
    <w:rsid w:val="002A35F2"/>
    <w:rsid w:val="002B4674"/>
    <w:rsid w:val="002C71EC"/>
    <w:rsid w:val="002C76A4"/>
    <w:rsid w:val="002D398E"/>
    <w:rsid w:val="002D7F7D"/>
    <w:rsid w:val="00300994"/>
    <w:rsid w:val="0030770E"/>
    <w:rsid w:val="003139E3"/>
    <w:rsid w:val="00334F35"/>
    <w:rsid w:val="00344314"/>
    <w:rsid w:val="0034652A"/>
    <w:rsid w:val="003652C3"/>
    <w:rsid w:val="00375BF6"/>
    <w:rsid w:val="00377957"/>
    <w:rsid w:val="0038607E"/>
    <w:rsid w:val="00391741"/>
    <w:rsid w:val="003E0CC0"/>
    <w:rsid w:val="003E376E"/>
    <w:rsid w:val="003E3D68"/>
    <w:rsid w:val="00400BF8"/>
    <w:rsid w:val="00411FFD"/>
    <w:rsid w:val="0041505E"/>
    <w:rsid w:val="00426A62"/>
    <w:rsid w:val="00433EDA"/>
    <w:rsid w:val="0043635F"/>
    <w:rsid w:val="00444C84"/>
    <w:rsid w:val="00446726"/>
    <w:rsid w:val="00451E39"/>
    <w:rsid w:val="0047139D"/>
    <w:rsid w:val="00477862"/>
    <w:rsid w:val="00492A53"/>
    <w:rsid w:val="00493BE9"/>
    <w:rsid w:val="004A05B9"/>
    <w:rsid w:val="004B16E0"/>
    <w:rsid w:val="004E6328"/>
    <w:rsid w:val="004F28D5"/>
    <w:rsid w:val="004F43D9"/>
    <w:rsid w:val="004F7B5E"/>
    <w:rsid w:val="0051050A"/>
    <w:rsid w:val="00510E3B"/>
    <w:rsid w:val="00526005"/>
    <w:rsid w:val="00542A7B"/>
    <w:rsid w:val="00565C79"/>
    <w:rsid w:val="00566008"/>
    <w:rsid w:val="0058000B"/>
    <w:rsid w:val="00587502"/>
    <w:rsid w:val="00592194"/>
    <w:rsid w:val="005A2FD9"/>
    <w:rsid w:val="005B1FFE"/>
    <w:rsid w:val="005D3398"/>
    <w:rsid w:val="005E743F"/>
    <w:rsid w:val="00607631"/>
    <w:rsid w:val="00617B00"/>
    <w:rsid w:val="00617B05"/>
    <w:rsid w:val="00625B46"/>
    <w:rsid w:val="00660C3F"/>
    <w:rsid w:val="0068150E"/>
    <w:rsid w:val="00691921"/>
    <w:rsid w:val="00691ACE"/>
    <w:rsid w:val="006C028D"/>
    <w:rsid w:val="006C1949"/>
    <w:rsid w:val="006C68CB"/>
    <w:rsid w:val="006D3BD7"/>
    <w:rsid w:val="006E6344"/>
    <w:rsid w:val="0073230E"/>
    <w:rsid w:val="00732D37"/>
    <w:rsid w:val="00742A79"/>
    <w:rsid w:val="00762E0E"/>
    <w:rsid w:val="00767A39"/>
    <w:rsid w:val="00770A22"/>
    <w:rsid w:val="007779B2"/>
    <w:rsid w:val="00786C8E"/>
    <w:rsid w:val="0078729F"/>
    <w:rsid w:val="007927BE"/>
    <w:rsid w:val="00795FA4"/>
    <w:rsid w:val="007B64A5"/>
    <w:rsid w:val="007C02A3"/>
    <w:rsid w:val="007C3613"/>
    <w:rsid w:val="007C3E0C"/>
    <w:rsid w:val="007D5524"/>
    <w:rsid w:val="007F28CB"/>
    <w:rsid w:val="007F413E"/>
    <w:rsid w:val="008017D9"/>
    <w:rsid w:val="00806760"/>
    <w:rsid w:val="00850463"/>
    <w:rsid w:val="008656BC"/>
    <w:rsid w:val="00871348"/>
    <w:rsid w:val="00887778"/>
    <w:rsid w:val="008B1EFB"/>
    <w:rsid w:val="008E5F1B"/>
    <w:rsid w:val="008E7B68"/>
    <w:rsid w:val="008F2A10"/>
    <w:rsid w:val="008F30BD"/>
    <w:rsid w:val="0090245F"/>
    <w:rsid w:val="00906C0A"/>
    <w:rsid w:val="0091342C"/>
    <w:rsid w:val="009200F8"/>
    <w:rsid w:val="0092548F"/>
    <w:rsid w:val="0092607B"/>
    <w:rsid w:val="00937E4B"/>
    <w:rsid w:val="009406D9"/>
    <w:rsid w:val="00945567"/>
    <w:rsid w:val="00966CD9"/>
    <w:rsid w:val="00974D55"/>
    <w:rsid w:val="009769A7"/>
    <w:rsid w:val="0099086A"/>
    <w:rsid w:val="009A20B9"/>
    <w:rsid w:val="009A5F6C"/>
    <w:rsid w:val="009B45E3"/>
    <w:rsid w:val="009C1997"/>
    <w:rsid w:val="009D16B2"/>
    <w:rsid w:val="009E748F"/>
    <w:rsid w:val="00A35536"/>
    <w:rsid w:val="00A412DD"/>
    <w:rsid w:val="00A42042"/>
    <w:rsid w:val="00A70A3E"/>
    <w:rsid w:val="00A90983"/>
    <w:rsid w:val="00AB66B2"/>
    <w:rsid w:val="00AC0465"/>
    <w:rsid w:val="00AD283A"/>
    <w:rsid w:val="00AE33F8"/>
    <w:rsid w:val="00B34B33"/>
    <w:rsid w:val="00B36611"/>
    <w:rsid w:val="00B47F53"/>
    <w:rsid w:val="00B543B1"/>
    <w:rsid w:val="00B63503"/>
    <w:rsid w:val="00B65CBD"/>
    <w:rsid w:val="00B8379F"/>
    <w:rsid w:val="00B94A31"/>
    <w:rsid w:val="00B951FA"/>
    <w:rsid w:val="00BD2B61"/>
    <w:rsid w:val="00C2005C"/>
    <w:rsid w:val="00C21E17"/>
    <w:rsid w:val="00C278FE"/>
    <w:rsid w:val="00C46D73"/>
    <w:rsid w:val="00C67BCC"/>
    <w:rsid w:val="00C80016"/>
    <w:rsid w:val="00CB7B8A"/>
    <w:rsid w:val="00CC133D"/>
    <w:rsid w:val="00CD1881"/>
    <w:rsid w:val="00CD6F9E"/>
    <w:rsid w:val="00CE0476"/>
    <w:rsid w:val="00D01D25"/>
    <w:rsid w:val="00D24A4E"/>
    <w:rsid w:val="00D31B76"/>
    <w:rsid w:val="00D34E47"/>
    <w:rsid w:val="00D60355"/>
    <w:rsid w:val="00D711E3"/>
    <w:rsid w:val="00D71723"/>
    <w:rsid w:val="00D72135"/>
    <w:rsid w:val="00D746C6"/>
    <w:rsid w:val="00D74733"/>
    <w:rsid w:val="00DB04F1"/>
    <w:rsid w:val="00DB39AE"/>
    <w:rsid w:val="00DD0DFD"/>
    <w:rsid w:val="00E414BF"/>
    <w:rsid w:val="00E5049E"/>
    <w:rsid w:val="00E51BA8"/>
    <w:rsid w:val="00E60636"/>
    <w:rsid w:val="00E80EEF"/>
    <w:rsid w:val="00E84848"/>
    <w:rsid w:val="00E909EC"/>
    <w:rsid w:val="00E9639E"/>
    <w:rsid w:val="00EB3A7C"/>
    <w:rsid w:val="00EC6455"/>
    <w:rsid w:val="00ED1CDD"/>
    <w:rsid w:val="00EE1AF9"/>
    <w:rsid w:val="00EE6373"/>
    <w:rsid w:val="00EF4C96"/>
    <w:rsid w:val="00F02887"/>
    <w:rsid w:val="00F158F7"/>
    <w:rsid w:val="00F16CF2"/>
    <w:rsid w:val="00F25883"/>
    <w:rsid w:val="00F32ABA"/>
    <w:rsid w:val="00F33A4B"/>
    <w:rsid w:val="00F33EEB"/>
    <w:rsid w:val="00F4010F"/>
    <w:rsid w:val="00F45BC7"/>
    <w:rsid w:val="00F537E9"/>
    <w:rsid w:val="00F61FFD"/>
    <w:rsid w:val="00F71DA0"/>
    <w:rsid w:val="00F744D4"/>
    <w:rsid w:val="00F74E2A"/>
    <w:rsid w:val="00FA1A78"/>
    <w:rsid w:val="00FC1398"/>
    <w:rsid w:val="00FD21C0"/>
    <w:rsid w:val="4AAC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pPr>
    <w:rPr>
      <w:rFonts w:asciiTheme="minorHAnsi" w:hAnsiTheme="minorHAnsi" w:eastAsiaTheme="minorEastAsia" w:cstheme="minorBidi"/>
      <w:kern w:val="0"/>
      <w:sz w:val="24"/>
      <w:szCs w:val="21"/>
      <w:lang w:val="en-US" w:eastAsia="zh-CN" w:bidi="ar-SA"/>
    </w:rPr>
  </w:style>
  <w:style w:type="paragraph" w:styleId="2">
    <w:name w:val="heading 1"/>
    <w:basedOn w:val="3"/>
    <w:next w:val="1"/>
    <w:link w:val="20"/>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caps/>
      <w:kern w:val="28"/>
      <w:szCs w:val="20"/>
      <w:lang w:eastAsia="en-US"/>
    </w:rPr>
  </w:style>
  <w:style w:type="paragraph" w:styleId="4">
    <w:name w:val="heading 2"/>
    <w:basedOn w:val="2"/>
    <w:next w:val="1"/>
    <w:link w:val="21"/>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2"/>
    <w:qFormat/>
    <w:uiPriority w:val="9"/>
    <w:pPr>
      <w:keepNext/>
      <w:numPr>
        <w:ilvl w:val="2"/>
      </w:numPr>
      <w:tabs>
        <w:tab w:val="left" w:pos="720"/>
        <w:tab w:val="clear" w:pos="851"/>
      </w:tabs>
      <w:outlineLvl w:val="2"/>
    </w:pPr>
    <w:rPr>
      <w:szCs w:val="24"/>
    </w:rPr>
  </w:style>
  <w:style w:type="paragraph" w:styleId="6">
    <w:name w:val="heading 4"/>
    <w:basedOn w:val="5"/>
    <w:next w:val="1"/>
    <w:link w:val="23"/>
    <w:qFormat/>
    <w:uiPriority w:val="9"/>
    <w:pPr>
      <w:numPr>
        <w:ilvl w:val="3"/>
      </w:numPr>
      <w:tabs>
        <w:tab w:val="left" w:pos="851"/>
      </w:tabs>
      <w:outlineLvl w:val="3"/>
    </w:pPr>
  </w:style>
  <w:style w:type="paragraph" w:styleId="7">
    <w:name w:val="heading 5"/>
    <w:basedOn w:val="6"/>
    <w:next w:val="1"/>
    <w:link w:val="24"/>
    <w:qFormat/>
    <w:uiPriority w:val="9"/>
    <w:pPr>
      <w:numPr>
        <w:ilvl w:val="4"/>
      </w:numPr>
      <w:outlineLvl w:val="4"/>
    </w:pPr>
    <w:rPr>
      <w:i/>
    </w:rPr>
  </w:style>
  <w:style w:type="paragraph" w:styleId="8">
    <w:name w:val="heading 6"/>
    <w:basedOn w:val="7"/>
    <w:next w:val="1"/>
    <w:link w:val="25"/>
    <w:qFormat/>
    <w:uiPriority w:val="9"/>
    <w:pPr>
      <w:numPr>
        <w:ilvl w:val="5"/>
      </w:numPr>
      <w:outlineLvl w:val="5"/>
    </w:pPr>
  </w:style>
  <w:style w:type="paragraph" w:styleId="9">
    <w:name w:val="heading 7"/>
    <w:basedOn w:val="8"/>
    <w:next w:val="1"/>
    <w:link w:val="26"/>
    <w:qFormat/>
    <w:uiPriority w:val="9"/>
    <w:pPr>
      <w:numPr>
        <w:ilvl w:val="6"/>
      </w:numPr>
      <w:outlineLvl w:val="6"/>
    </w:pPr>
  </w:style>
  <w:style w:type="paragraph" w:styleId="10">
    <w:name w:val="heading 8"/>
    <w:basedOn w:val="9"/>
    <w:next w:val="1"/>
    <w:link w:val="27"/>
    <w:qFormat/>
    <w:uiPriority w:val="9"/>
    <w:pPr>
      <w:numPr>
        <w:ilvl w:val="7"/>
      </w:numPr>
      <w:outlineLvl w:val="7"/>
    </w:pPr>
  </w:style>
  <w:style w:type="paragraph" w:styleId="11">
    <w:name w:val="heading 9"/>
    <w:basedOn w:val="10"/>
    <w:next w:val="1"/>
    <w:link w:val="28"/>
    <w:qFormat/>
    <w:uiPriority w:val="9"/>
    <w:pPr>
      <w:numPr>
        <w:ilvl w:val="8"/>
      </w:numPr>
      <w:outlineLvl w:val="8"/>
    </w:p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toc 1"/>
    <w:basedOn w:val="1"/>
    <w:next w:val="1"/>
    <w:autoRedefine/>
    <w:semiHidden/>
    <w:unhideWhenUsed/>
    <w:uiPriority w:val="39"/>
  </w:style>
  <w:style w:type="paragraph" w:styleId="12">
    <w:name w:val="caption"/>
    <w:basedOn w:val="1"/>
    <w:next w:val="1"/>
    <w:link w:val="29"/>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Balloon Text"/>
    <w:basedOn w:val="1"/>
    <w:link w:val="44"/>
    <w:semiHidden/>
    <w:unhideWhenUsed/>
    <w:qFormat/>
    <w:uiPriority w:val="99"/>
    <w:pPr>
      <w:spacing w:after="0" w:line="240" w:lineRule="auto"/>
    </w:pPr>
    <w:rPr>
      <w:sz w:val="18"/>
      <w:szCs w:val="18"/>
    </w:rPr>
  </w:style>
  <w:style w:type="paragraph" w:styleId="14">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iPriority w:val="0"/>
    <w:rPr>
      <w:color w:val="0066CC"/>
      <w:u w:val="single"/>
    </w:rPr>
  </w:style>
  <w:style w:type="character" w:customStyle="1" w:styleId="20">
    <w:name w:val="标题 1 Char"/>
    <w:basedOn w:val="18"/>
    <w:link w:val="2"/>
    <w:qFormat/>
    <w:uiPriority w:val="9"/>
    <w:rPr>
      <w:rFonts w:ascii="Times New Roman" w:hAnsi="Times New Roman" w:eastAsia="Times New Roman" w:cs="Times New Roman"/>
      <w:b/>
      <w:caps/>
      <w:kern w:val="28"/>
      <w:sz w:val="22"/>
      <w:szCs w:val="20"/>
      <w:lang w:eastAsia="en-US"/>
    </w:rPr>
  </w:style>
  <w:style w:type="character" w:customStyle="1" w:styleId="21">
    <w:name w:val="标题 2 Char"/>
    <w:basedOn w:val="18"/>
    <w:link w:val="4"/>
    <w:qFormat/>
    <w:uiPriority w:val="9"/>
    <w:rPr>
      <w:rFonts w:ascii="Times New Roman" w:hAnsi="Times New Roman" w:eastAsia="宋体" w:cs="Times New Roman"/>
      <w:b/>
      <w:kern w:val="28"/>
      <w:sz w:val="24"/>
      <w:szCs w:val="20"/>
    </w:rPr>
  </w:style>
  <w:style w:type="character" w:customStyle="1" w:styleId="22">
    <w:name w:val="标题 3 Char"/>
    <w:basedOn w:val="18"/>
    <w:link w:val="5"/>
    <w:qFormat/>
    <w:uiPriority w:val="9"/>
    <w:rPr>
      <w:rFonts w:ascii="Times New Roman" w:hAnsi="Times New Roman" w:eastAsia="宋体" w:cs="Times New Roman"/>
      <w:b/>
      <w:kern w:val="28"/>
      <w:sz w:val="24"/>
      <w:szCs w:val="24"/>
    </w:rPr>
  </w:style>
  <w:style w:type="character" w:customStyle="1" w:styleId="23">
    <w:name w:val="标题 4 Char"/>
    <w:basedOn w:val="18"/>
    <w:link w:val="6"/>
    <w:qFormat/>
    <w:uiPriority w:val="9"/>
    <w:rPr>
      <w:rFonts w:ascii="Times New Roman" w:hAnsi="Times New Roman" w:eastAsia="宋体" w:cs="Times New Roman"/>
      <w:b/>
      <w:kern w:val="28"/>
      <w:sz w:val="24"/>
      <w:szCs w:val="24"/>
    </w:rPr>
  </w:style>
  <w:style w:type="character" w:customStyle="1" w:styleId="24">
    <w:name w:val="标题 5 Char"/>
    <w:basedOn w:val="18"/>
    <w:link w:val="7"/>
    <w:uiPriority w:val="9"/>
    <w:rPr>
      <w:rFonts w:ascii="Times New Roman" w:hAnsi="Times New Roman" w:eastAsia="宋体" w:cs="Times New Roman"/>
      <w:b/>
      <w:i/>
      <w:kern w:val="28"/>
      <w:sz w:val="24"/>
      <w:szCs w:val="24"/>
    </w:rPr>
  </w:style>
  <w:style w:type="character" w:customStyle="1" w:styleId="25">
    <w:name w:val="标题 6 Char"/>
    <w:basedOn w:val="18"/>
    <w:link w:val="8"/>
    <w:qFormat/>
    <w:uiPriority w:val="9"/>
    <w:rPr>
      <w:rFonts w:ascii="Times New Roman" w:hAnsi="Times New Roman" w:eastAsia="宋体" w:cs="Times New Roman"/>
      <w:b/>
      <w:i/>
      <w:kern w:val="28"/>
      <w:sz w:val="24"/>
      <w:szCs w:val="24"/>
    </w:rPr>
  </w:style>
  <w:style w:type="character" w:customStyle="1" w:styleId="26">
    <w:name w:val="标题 7 Char"/>
    <w:basedOn w:val="18"/>
    <w:link w:val="9"/>
    <w:uiPriority w:val="9"/>
    <w:rPr>
      <w:rFonts w:ascii="Times New Roman" w:hAnsi="Times New Roman" w:eastAsia="宋体" w:cs="Times New Roman"/>
      <w:b/>
      <w:i/>
      <w:kern w:val="28"/>
      <w:sz w:val="24"/>
      <w:szCs w:val="24"/>
    </w:rPr>
  </w:style>
  <w:style w:type="character" w:customStyle="1" w:styleId="27">
    <w:name w:val="标题 8 Char"/>
    <w:basedOn w:val="18"/>
    <w:link w:val="10"/>
    <w:qFormat/>
    <w:uiPriority w:val="9"/>
    <w:rPr>
      <w:rFonts w:ascii="Times New Roman" w:hAnsi="Times New Roman" w:eastAsia="宋体" w:cs="Times New Roman"/>
      <w:b/>
      <w:i/>
      <w:kern w:val="28"/>
      <w:sz w:val="24"/>
      <w:szCs w:val="24"/>
    </w:rPr>
  </w:style>
  <w:style w:type="character" w:customStyle="1" w:styleId="28">
    <w:name w:val="标题 9 Char"/>
    <w:basedOn w:val="18"/>
    <w:link w:val="11"/>
    <w:qFormat/>
    <w:uiPriority w:val="9"/>
    <w:rPr>
      <w:rFonts w:ascii="Times New Roman" w:hAnsi="Times New Roman" w:eastAsia="宋体" w:cs="Times New Roman"/>
      <w:b/>
      <w:i/>
      <w:kern w:val="28"/>
      <w:sz w:val="24"/>
      <w:szCs w:val="24"/>
    </w:rPr>
  </w:style>
  <w:style w:type="character" w:customStyle="1" w:styleId="29">
    <w:name w:val="题注 Char"/>
    <w:link w:val="12"/>
    <w:qFormat/>
    <w:uiPriority w:val="0"/>
    <w:rPr>
      <w:i/>
      <w:iCs/>
      <w:color w:val="1F497D" w:themeColor="text2"/>
      <w:kern w:val="0"/>
      <w:sz w:val="18"/>
      <w:szCs w:val="18"/>
      <w14:textFill>
        <w14:solidFill>
          <w14:schemeClr w14:val="tx2"/>
        </w14:solidFill>
      </w14:textFill>
    </w:rPr>
  </w:style>
  <w:style w:type="paragraph" w:styleId="30">
    <w:name w:val="List Paragraph"/>
    <w:basedOn w:val="1"/>
    <w:unhideWhenUsed/>
    <w:qFormat/>
    <w:uiPriority w:val="34"/>
    <w:pPr>
      <w:ind w:firstLine="420" w:firstLineChars="200"/>
    </w:pPr>
  </w:style>
  <w:style w:type="paragraph" w:customStyle="1" w:styleId="31">
    <w:name w:val="Para"/>
    <w:basedOn w:val="1"/>
    <w:link w:val="32"/>
    <w:qFormat/>
    <w:uiPriority w:val="99"/>
    <w:pPr>
      <w:spacing w:after="240" w:line="312" w:lineRule="atLeast"/>
    </w:pPr>
    <w:rPr>
      <w:rFonts w:ascii="Times" w:hAnsi="Times" w:eastAsia="Times New Roman" w:cs="Times New Roman"/>
      <w:szCs w:val="20"/>
      <w:lang w:eastAsia="en-US"/>
    </w:rPr>
  </w:style>
  <w:style w:type="character" w:customStyle="1" w:styleId="32">
    <w:name w:val="Para Char"/>
    <w:link w:val="31"/>
    <w:locked/>
    <w:uiPriority w:val="99"/>
    <w:rPr>
      <w:rFonts w:ascii="Times" w:hAnsi="Times" w:eastAsia="Times New Roman" w:cs="Times New Roman"/>
      <w:kern w:val="0"/>
      <w:sz w:val="24"/>
      <w:szCs w:val="20"/>
      <w:lang w:eastAsia="en-US"/>
    </w:rPr>
  </w:style>
  <w:style w:type="paragraph" w:customStyle="1" w:styleId="33">
    <w:name w:val="List Paragraph1"/>
    <w:basedOn w:val="1"/>
    <w:qFormat/>
    <w:uiPriority w:val="34"/>
    <w:pPr>
      <w:ind w:left="720"/>
      <w:contextualSpacing/>
    </w:pPr>
  </w:style>
  <w:style w:type="paragraph" w:customStyle="1" w:styleId="34">
    <w:name w:val="申报正文"/>
    <w:basedOn w:val="1"/>
    <w:link w:val="35"/>
    <w:qFormat/>
    <w:uiPriority w:val="0"/>
    <w:pPr>
      <w:widowControl w:val="0"/>
      <w:adjustRightInd w:val="0"/>
      <w:snapToGrid w:val="0"/>
      <w:spacing w:beforeLines="50" w:afterLines="50"/>
      <w:ind w:firstLine="200" w:firstLineChars="200"/>
      <w:jc w:val="both"/>
    </w:pPr>
    <w:rPr>
      <w:rFonts w:ascii="Times New Roman" w:hAnsi="宋体" w:eastAsia="宋体" w:cs="Times New Roman"/>
      <w:kern w:val="2"/>
      <w:szCs w:val="24"/>
    </w:rPr>
  </w:style>
  <w:style w:type="character" w:customStyle="1" w:styleId="35">
    <w:name w:val="申报正文 Char"/>
    <w:link w:val="34"/>
    <w:qFormat/>
    <w:uiPriority w:val="0"/>
    <w:rPr>
      <w:rFonts w:ascii="Times New Roman" w:hAnsi="宋体" w:eastAsia="宋体" w:cs="Times New Roman"/>
      <w:sz w:val="24"/>
      <w:szCs w:val="24"/>
    </w:rPr>
  </w:style>
  <w:style w:type="paragraph" w:customStyle="1" w:styleId="36">
    <w:name w:val="标注"/>
    <w:basedOn w:val="1"/>
    <w:link w:val="37"/>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37">
    <w:name w:val="标注 Char"/>
    <w:link w:val="36"/>
    <w:uiPriority w:val="0"/>
    <w:rPr>
      <w:rFonts w:ascii="Times New Roman" w:hAnsi="宋体" w:eastAsia="宋体" w:cs="Times New Roman"/>
      <w:szCs w:val="21"/>
    </w:rPr>
  </w:style>
  <w:style w:type="character" w:customStyle="1" w:styleId="38">
    <w:name w:val="标题 #1_"/>
    <w:basedOn w:val="18"/>
    <w:link w:val="39"/>
    <w:qFormat/>
    <w:uiPriority w:val="0"/>
    <w:rPr>
      <w:rFonts w:ascii="Arial" w:hAnsi="Arial" w:eastAsia="Arial" w:cs="Arial"/>
      <w:b/>
      <w:bCs/>
      <w:sz w:val="62"/>
      <w:szCs w:val="62"/>
      <w:shd w:val="clear" w:color="auto" w:fill="FFFFFF"/>
    </w:rPr>
  </w:style>
  <w:style w:type="paragraph" w:customStyle="1" w:styleId="39">
    <w:name w:val="标题 #1"/>
    <w:basedOn w:val="1"/>
    <w:link w:val="38"/>
    <w:qFormat/>
    <w:uiPriority w:val="0"/>
    <w:pPr>
      <w:widowControl w:val="0"/>
      <w:shd w:val="clear" w:color="auto" w:fill="FFFFFF"/>
      <w:spacing w:after="120" w:line="638" w:lineRule="exact"/>
      <w:outlineLvl w:val="0"/>
    </w:pPr>
    <w:rPr>
      <w:rFonts w:ascii="Arial" w:hAnsi="Arial" w:eastAsia="Arial" w:cs="Arial"/>
      <w:b/>
      <w:bCs/>
      <w:kern w:val="2"/>
      <w:sz w:val="62"/>
      <w:szCs w:val="62"/>
    </w:rPr>
  </w:style>
  <w:style w:type="character" w:customStyle="1" w:styleId="40">
    <w:name w:val="正文文本 (2)_"/>
    <w:basedOn w:val="18"/>
    <w:link w:val="41"/>
    <w:qFormat/>
    <w:uiPriority w:val="0"/>
    <w:rPr>
      <w:rFonts w:ascii="Arial" w:hAnsi="Arial" w:eastAsia="Arial" w:cs="Arial"/>
      <w:shd w:val="clear" w:color="auto" w:fill="FFFFFF"/>
    </w:rPr>
  </w:style>
  <w:style w:type="paragraph" w:customStyle="1" w:styleId="41">
    <w:name w:val="正文文本 (2)"/>
    <w:basedOn w:val="1"/>
    <w:link w:val="40"/>
    <w:qFormat/>
    <w:uiPriority w:val="0"/>
    <w:pPr>
      <w:widowControl w:val="0"/>
      <w:shd w:val="clear" w:color="auto" w:fill="FFFFFF"/>
      <w:spacing w:before="240" w:after="240" w:line="365" w:lineRule="exact"/>
    </w:pPr>
    <w:rPr>
      <w:rFonts w:ascii="Arial" w:hAnsi="Arial" w:eastAsia="Arial" w:cs="Arial"/>
      <w:kern w:val="2"/>
      <w:sz w:val="21"/>
    </w:rPr>
  </w:style>
  <w:style w:type="character" w:customStyle="1" w:styleId="42">
    <w:name w:val="页眉 Char"/>
    <w:basedOn w:val="18"/>
    <w:link w:val="15"/>
    <w:qFormat/>
    <w:uiPriority w:val="99"/>
    <w:rPr>
      <w:kern w:val="0"/>
      <w:sz w:val="18"/>
      <w:szCs w:val="18"/>
    </w:rPr>
  </w:style>
  <w:style w:type="character" w:customStyle="1" w:styleId="43">
    <w:name w:val="页脚 Char"/>
    <w:basedOn w:val="18"/>
    <w:link w:val="14"/>
    <w:qFormat/>
    <w:uiPriority w:val="99"/>
    <w:rPr>
      <w:kern w:val="0"/>
      <w:sz w:val="18"/>
      <w:szCs w:val="18"/>
    </w:rPr>
  </w:style>
  <w:style w:type="character" w:customStyle="1" w:styleId="44">
    <w:name w:val="批注框文本 Char"/>
    <w:basedOn w:val="18"/>
    <w:link w:val="13"/>
    <w:semiHidden/>
    <w:qFormat/>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F60F0-7AE5-495D-BA43-72362FB7C40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21</Pages>
  <Words>13829</Words>
  <Characters>16664</Characters>
  <Lines>121</Lines>
  <Paragraphs>34</Paragraphs>
  <TotalTime>0</TotalTime>
  <ScaleCrop>false</ScaleCrop>
  <LinksUpToDate>false</LinksUpToDate>
  <CharactersWithSpaces>16898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2017-12-18T14:54:00Z</dcterms:created>
  <dc:creator>y li</dc:creator>
  <cp:lastModifiedBy>太极箫客</cp:lastModifiedBy>
  <dcterms:modified xsi:type="dcterms:W3CDTF">2025-08-14T06:58:37Z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7F3BBF2B6F0E4A3DAA7F66FDE4C4C0E3_12</vt:lpwstr>
  </property>
</Properties>
</file>