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9FD1D">
      <w:pPr>
        <w:pStyle w:val="2"/>
        <w:snapToGrid w:val="0"/>
        <w:spacing w:after="120" w:afterLines="50" w:line="300" w:lineRule="auto"/>
        <w:ind w:left="0"/>
        <w:jc w:val="center"/>
        <w:rPr>
          <w:rFonts w:ascii="Arial" w:hAnsi="Arial" w:cs="Arial"/>
          <w:b w:val="0"/>
          <w:bCs w:val="0"/>
        </w:rPr>
      </w:pPr>
      <w:bookmarkStart w:id="1" w:name="_GoBack"/>
      <w:bookmarkEnd w:id="1"/>
      <w:r>
        <w:rPr>
          <w:rFonts w:ascii="Arial" w:hAnsi="Arial" w:cs="Arial"/>
        </w:rPr>
        <w:t>机构审查委员会、临床研究者和申办者的须知信息指南</w:t>
      </w:r>
    </w:p>
    <w:p w14:paraId="422A825F">
      <w:pPr>
        <w:snapToGrid w:val="0"/>
        <w:spacing w:after="120" w:afterLines="50" w:line="300" w:lineRule="auto"/>
        <w:jc w:val="center"/>
        <w:rPr>
          <w:rFonts w:ascii="Arial" w:hAnsi="Arial" w:eastAsia="宋体" w:cs="Arial"/>
          <w:sz w:val="52"/>
          <w:szCs w:val="52"/>
        </w:rPr>
      </w:pPr>
      <w:r>
        <w:rPr>
          <w:rFonts w:ascii="Arial" w:hAnsi="Arial" w:eastAsia="宋体" w:cs="Arial"/>
          <w:b/>
          <w:sz w:val="52"/>
          <w:szCs w:val="52"/>
        </w:rPr>
        <w:t>FDA机构审查委员会检查</w:t>
      </w:r>
    </w:p>
    <w:p w14:paraId="339FFAF2">
      <w:pPr>
        <w:snapToGrid w:val="0"/>
        <w:spacing w:after="120" w:afterLines="50" w:line="300" w:lineRule="auto"/>
        <w:rPr>
          <w:rFonts w:ascii="Arial" w:hAnsi="Arial" w:eastAsia="宋体" w:cs="Arial"/>
          <w:b/>
          <w:bCs/>
          <w:sz w:val="56"/>
          <w:szCs w:val="56"/>
        </w:rPr>
      </w:pPr>
    </w:p>
    <w:p w14:paraId="043F304F">
      <w:pPr>
        <w:snapToGrid w:val="0"/>
        <w:spacing w:after="120" w:afterLines="50" w:line="300" w:lineRule="auto"/>
        <w:rPr>
          <w:rFonts w:ascii="Arial" w:hAnsi="Arial" w:eastAsia="宋体" w:cs="Arial"/>
          <w:b/>
          <w:bCs/>
          <w:sz w:val="56"/>
          <w:szCs w:val="56"/>
        </w:rPr>
      </w:pPr>
    </w:p>
    <w:p w14:paraId="36C703CE">
      <w:pPr>
        <w:snapToGrid w:val="0"/>
        <w:spacing w:after="120" w:afterLines="50" w:line="300" w:lineRule="auto"/>
        <w:rPr>
          <w:rFonts w:ascii="Arial" w:hAnsi="Arial" w:eastAsia="宋体" w:cs="Arial"/>
          <w:b/>
          <w:bCs/>
          <w:sz w:val="51"/>
          <w:szCs w:val="51"/>
        </w:rPr>
      </w:pPr>
    </w:p>
    <w:p w14:paraId="457CB9AB">
      <w:pPr>
        <w:snapToGrid w:val="0"/>
        <w:spacing w:after="120" w:afterLines="50" w:line="300" w:lineRule="auto"/>
        <w:jc w:val="center"/>
        <w:rPr>
          <w:rFonts w:ascii="Arial" w:hAnsi="Arial" w:eastAsia="宋体" w:cs="Arial"/>
          <w:sz w:val="21"/>
          <w:szCs w:val="21"/>
        </w:rPr>
      </w:pPr>
      <w:r>
        <w:rPr>
          <w:rFonts w:ascii="Arial" w:hAnsi="Arial" w:eastAsia="宋体" w:cs="Arial"/>
          <w:i/>
          <w:sz w:val="21"/>
          <w:szCs w:val="21"/>
        </w:rPr>
        <w:t>更多副本请咨询：</w:t>
      </w:r>
    </w:p>
    <w:p w14:paraId="2797B4DA">
      <w:pPr>
        <w:snapToGrid w:val="0"/>
        <w:spacing w:after="120" w:afterLines="50" w:line="300" w:lineRule="auto"/>
        <w:rPr>
          <w:rFonts w:ascii="Arial" w:hAnsi="Arial" w:eastAsia="宋体" w:cs="Arial"/>
          <w:i/>
          <w:sz w:val="21"/>
          <w:szCs w:val="21"/>
        </w:rPr>
      </w:pPr>
    </w:p>
    <w:p w14:paraId="4E390F6C">
      <w:pPr>
        <w:snapToGrid w:val="0"/>
        <w:spacing w:line="300" w:lineRule="auto"/>
        <w:jc w:val="center"/>
        <w:rPr>
          <w:rFonts w:ascii="Arial" w:hAnsi="Arial" w:eastAsia="宋体" w:cs="Arial"/>
          <w:sz w:val="21"/>
          <w:szCs w:val="21"/>
        </w:rPr>
      </w:pPr>
      <w:r>
        <w:rPr>
          <w:rFonts w:ascii="Arial" w:hAnsi="Arial" w:eastAsia="宋体" w:cs="Arial"/>
          <w:sz w:val="21"/>
          <w:szCs w:val="21"/>
        </w:rPr>
        <w:t>良好临床实践办公室</w:t>
      </w:r>
    </w:p>
    <w:p w14:paraId="6B5F7DAE">
      <w:pPr>
        <w:snapToGrid w:val="0"/>
        <w:spacing w:line="300" w:lineRule="auto"/>
        <w:jc w:val="center"/>
        <w:rPr>
          <w:rFonts w:ascii="Arial" w:hAnsi="Arial" w:eastAsia="宋体" w:cs="Arial"/>
          <w:sz w:val="21"/>
          <w:szCs w:val="21"/>
        </w:rPr>
      </w:pPr>
      <w:r>
        <w:rPr>
          <w:rFonts w:ascii="Arial" w:hAnsi="Arial" w:eastAsia="宋体" w:cs="Arial"/>
          <w:sz w:val="21"/>
          <w:szCs w:val="21"/>
        </w:rPr>
        <w:t>特殊医疗项目办公室，FDA局长办公室</w:t>
      </w:r>
    </w:p>
    <w:p w14:paraId="1F4A94C4">
      <w:pPr>
        <w:snapToGrid w:val="0"/>
        <w:spacing w:line="300" w:lineRule="auto"/>
        <w:jc w:val="center"/>
        <w:rPr>
          <w:rFonts w:ascii="Arial" w:hAnsi="Arial" w:eastAsia="宋体" w:cs="Arial"/>
          <w:sz w:val="21"/>
          <w:szCs w:val="21"/>
        </w:rPr>
      </w:pPr>
      <w:r>
        <w:rPr>
          <w:rFonts w:ascii="Arial" w:hAnsi="Arial" w:eastAsia="宋体" w:cs="Arial"/>
          <w:sz w:val="21"/>
          <w:szCs w:val="21"/>
        </w:rPr>
        <w:t>10903 New Hampshire Ave., WO32-5129 Silver Spring, MD 20993-5129</w:t>
      </w:r>
    </w:p>
    <w:p w14:paraId="69A5A146">
      <w:pPr>
        <w:snapToGrid w:val="0"/>
        <w:spacing w:line="300" w:lineRule="auto"/>
        <w:jc w:val="center"/>
        <w:rPr>
          <w:rFonts w:ascii="Arial" w:hAnsi="Arial" w:eastAsia="宋体" w:cs="Arial"/>
          <w:sz w:val="21"/>
          <w:szCs w:val="21"/>
        </w:rPr>
      </w:pPr>
      <w:r>
        <w:rPr>
          <w:rFonts w:ascii="Arial" w:hAnsi="Arial" w:eastAsia="宋体" w:cs="Arial"/>
          <w:sz w:val="21"/>
          <w:szCs w:val="21"/>
        </w:rPr>
        <w:t>(电话) (301)-796-8340</w:t>
      </w:r>
    </w:p>
    <w:p w14:paraId="77169F32">
      <w:pPr>
        <w:snapToGrid w:val="0"/>
        <w:spacing w:after="120" w:afterLines="50" w:line="300" w:lineRule="auto"/>
        <w:jc w:val="center"/>
        <w:rPr>
          <w:rFonts w:ascii="Arial" w:hAnsi="Arial" w:eastAsia="宋体" w:cs="Arial"/>
          <w:sz w:val="21"/>
          <w:szCs w:val="21"/>
        </w:rPr>
      </w:pPr>
      <w:r>
        <w:fldChar w:fldCharType="begin"/>
      </w:r>
      <w:r>
        <w:instrText xml:space="preserve"> HYPERLINK "http://www.fda.gov/downloads/RegulatoryInformation/Guidances/UCM126555.pdf" \h </w:instrText>
      </w:r>
      <w:r>
        <w:fldChar w:fldCharType="separate"/>
      </w:r>
      <w:r>
        <w:rPr>
          <w:rFonts w:ascii="Arial" w:hAnsi="Arial" w:eastAsia="宋体" w:cs="Arial"/>
          <w:sz w:val="21"/>
          <w:szCs w:val="21"/>
        </w:rPr>
        <w:t>http://www.fda.gov/downloads/RegulatoryInformation/Guidances/UCM126555.pdf</w:t>
      </w:r>
      <w:r>
        <w:rPr>
          <w:rFonts w:ascii="Arial" w:hAnsi="Arial" w:eastAsia="宋体" w:cs="Arial"/>
          <w:sz w:val="21"/>
          <w:szCs w:val="21"/>
        </w:rPr>
        <w:fldChar w:fldCharType="end"/>
      </w:r>
    </w:p>
    <w:p w14:paraId="76BFF5E7">
      <w:pPr>
        <w:snapToGrid w:val="0"/>
        <w:spacing w:after="120" w:afterLines="50" w:line="300" w:lineRule="auto"/>
        <w:rPr>
          <w:rFonts w:ascii="Arial" w:hAnsi="Arial" w:eastAsia="宋体" w:cs="Arial"/>
          <w:sz w:val="21"/>
          <w:szCs w:val="21"/>
        </w:rPr>
      </w:pPr>
    </w:p>
    <w:p w14:paraId="6A901AAD">
      <w:pPr>
        <w:snapToGrid w:val="0"/>
        <w:spacing w:after="120" w:afterLines="50" w:line="300" w:lineRule="auto"/>
        <w:ind w:left="720" w:hanging="720"/>
        <w:jc w:val="center"/>
        <w:rPr>
          <w:rFonts w:ascii="Arial" w:hAnsi="Arial" w:eastAsia="宋体" w:cs="Arial"/>
          <w:sz w:val="21"/>
          <w:szCs w:val="21"/>
        </w:rPr>
      </w:pPr>
      <w:r>
        <w:rPr>
          <w:rFonts w:ascii="Arial" w:hAnsi="Arial" w:eastAsia="宋体" w:cs="Arial"/>
          <w:b/>
          <w:sz w:val="21"/>
          <w:szCs w:val="21"/>
        </w:rPr>
        <w:t>FDA美国卫生和公众服务部</w:t>
      </w:r>
    </w:p>
    <w:p w14:paraId="69F74376">
      <w:pPr>
        <w:snapToGrid w:val="0"/>
        <w:spacing w:after="120" w:afterLines="50" w:line="300" w:lineRule="auto"/>
        <w:jc w:val="center"/>
        <w:rPr>
          <w:rFonts w:ascii="Arial" w:hAnsi="Arial" w:eastAsia="宋体" w:cs="Arial"/>
          <w:b/>
          <w:bCs/>
          <w:sz w:val="21"/>
          <w:szCs w:val="21"/>
        </w:rPr>
      </w:pPr>
    </w:p>
    <w:p w14:paraId="3EC87308">
      <w:pPr>
        <w:snapToGrid w:val="0"/>
        <w:spacing w:after="120" w:afterLines="50" w:line="300" w:lineRule="auto"/>
        <w:jc w:val="center"/>
        <w:rPr>
          <w:rFonts w:ascii="Arial" w:hAnsi="Arial" w:eastAsia="宋体" w:cs="Arial"/>
          <w:sz w:val="21"/>
          <w:szCs w:val="21"/>
        </w:rPr>
      </w:pPr>
      <w:r>
        <w:rPr>
          <w:rFonts w:ascii="Arial" w:hAnsi="Arial" w:eastAsia="宋体" w:cs="Arial"/>
          <w:b/>
          <w:sz w:val="21"/>
          <w:szCs w:val="21"/>
        </w:rPr>
        <w:t>2006年1月</w:t>
      </w:r>
    </w:p>
    <w:p w14:paraId="48F9821D">
      <w:pPr>
        <w:snapToGrid w:val="0"/>
        <w:spacing w:after="120" w:afterLines="50" w:line="300" w:lineRule="auto"/>
        <w:jc w:val="center"/>
        <w:rPr>
          <w:rFonts w:ascii="Arial" w:hAnsi="Arial" w:eastAsia="宋体" w:cs="Arial"/>
          <w:sz w:val="24"/>
          <w:szCs w:val="24"/>
        </w:rPr>
        <w:sectPr>
          <w:type w:val="continuous"/>
          <w:pgSz w:w="12240" w:h="15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00AE9C28">
      <w:pPr>
        <w:snapToGrid w:val="0"/>
        <w:spacing w:after="120" w:afterLines="50" w:line="300" w:lineRule="auto"/>
        <w:jc w:val="center"/>
        <w:rPr>
          <w:rFonts w:ascii="Arial" w:hAnsi="Arial" w:eastAsia="宋体" w:cs="Arial"/>
          <w:b/>
          <w:sz w:val="32"/>
          <w:szCs w:val="32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fldChar w:fldCharType="end"/>
      </w:r>
      <w:r>
        <w:rPr>
          <w:rFonts w:ascii="Arial" w:hAnsi="Arial" w:eastAsia="宋体" w:cs="Arial"/>
          <w:b/>
          <w:sz w:val="32"/>
          <w:szCs w:val="32"/>
        </w:rPr>
        <w:t>机构审查委员会、临床研究者和申办者</w:t>
      </w:r>
      <w:r>
        <w:rPr>
          <w:rStyle w:val="12"/>
          <w:rFonts w:ascii="Arial" w:hAnsi="Arial" w:eastAsia="宋体" w:cs="Arial"/>
          <w:b/>
          <w:sz w:val="32"/>
          <w:szCs w:val="32"/>
        </w:rPr>
        <w:footnoteReference w:id="0"/>
      </w:r>
      <w:r>
        <w:rPr>
          <w:rFonts w:ascii="Arial" w:hAnsi="Arial" w:eastAsia="宋体" w:cs="Arial"/>
          <w:b/>
          <w:sz w:val="32"/>
          <w:szCs w:val="32"/>
        </w:rPr>
        <w:t>的须知信息指南</w:t>
      </w:r>
      <w:r>
        <w:rPr>
          <w:rFonts w:ascii="Arial" w:hAnsi="Arial" w:eastAsia="宋体" w:cs="Arial"/>
          <w:b/>
          <w:sz w:val="32"/>
          <w:szCs w:val="32"/>
        </w:rPr>
        <w:cr/>
      </w:r>
      <w:r>
        <w:rPr>
          <w:rFonts w:ascii="Arial" w:hAnsi="Arial" w:eastAsia="宋体" w:cs="Arial"/>
          <w:b/>
          <w:sz w:val="32"/>
          <w:szCs w:val="32"/>
        </w:rPr>
        <w:t>FDA机构审查委员会（IRB）检查</w:t>
      </w:r>
    </w:p>
    <w:p w14:paraId="2CA31A6A">
      <w:pPr>
        <w:snapToGrid w:val="0"/>
        <w:spacing w:after="120" w:afterLines="50" w:line="300" w:lineRule="auto"/>
        <w:rPr>
          <w:rFonts w:ascii="Arial" w:hAnsi="Arial" w:eastAsia="宋体" w:cs="Arial"/>
          <w:b/>
          <w:bCs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30B86BD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05A414">
            <w:pPr>
              <w:snapToGrid w:val="0"/>
              <w:spacing w:before="48" w:beforeLines="20" w:after="48" w:afterLines="20" w:line="300" w:lineRule="auto"/>
              <w:ind w:left="249" w:leftChars="113" w:right="249" w:rightChars="113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本指南草案代表FDA目前关于该主题的思考。其不会为任何人创造或赋予任何权利，也不会对FDA或公众产生约束。如果替代方法满足适用的法律法规的要求，则可以使用该方法。如果您想讨论另一种方法，请联系FDA负责实施本指南的人员。如果您无法确定适当的FDA工作人员，请拨打本指南标题页上列出的适当号码。</w:t>
            </w:r>
          </w:p>
        </w:tc>
      </w:tr>
    </w:tbl>
    <w:p w14:paraId="00E13B11">
      <w:pPr>
        <w:snapToGrid w:val="0"/>
        <w:spacing w:after="120" w:afterLines="50" w:line="300" w:lineRule="auto"/>
        <w:rPr>
          <w:rFonts w:ascii="Arial" w:hAnsi="Arial" w:eastAsia="宋体" w:cs="Arial"/>
          <w:b/>
          <w:bCs/>
          <w:sz w:val="24"/>
          <w:szCs w:val="24"/>
        </w:rPr>
      </w:pPr>
    </w:p>
    <w:p w14:paraId="4B6A1D7C">
      <w:pPr>
        <w:pStyle w:val="4"/>
        <w:numPr>
          <w:ilvl w:val="0"/>
          <w:numId w:val="1"/>
        </w:numPr>
        <w:tabs>
          <w:tab w:val="left" w:pos="1060"/>
        </w:tabs>
        <w:snapToGrid w:val="0"/>
        <w:spacing w:after="120" w:afterLines="50" w:line="300" w:lineRule="auto"/>
        <w:ind w:left="720"/>
        <w:jc w:val="left"/>
        <w:rPr>
          <w:rFonts w:ascii="Arial" w:hAnsi="Arial" w:cs="Arial"/>
          <w:b w:val="0"/>
          <w:bCs w:val="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引言</w:t>
      </w:r>
    </w:p>
    <w:p w14:paraId="3EDD9682">
      <w:pPr>
        <w:pStyle w:val="5"/>
        <w:snapToGrid w:val="0"/>
        <w:spacing w:after="120" w:afterLines="50" w:line="30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本指南旨在提供有关FDA根据FDA生物研究试验监查体系（BIMO）执行IRB检查的信息。本份文件取代了FDA前卫生局1998年9月发布的“FDA机构审查委员会检查”文件。</w:t>
      </w:r>
    </w:p>
    <w:p w14:paraId="39525C03">
      <w:pPr>
        <w:pStyle w:val="5"/>
        <w:snapToGrid w:val="0"/>
        <w:spacing w:after="120" w:afterLines="50" w:line="30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本文件进行了修订，编入了最新信息，并将根据FDA的良好指南实践法规（21 CFR 10.115）印发</w:t>
      </w:r>
      <w:r>
        <w:rPr>
          <w:rStyle w:val="12"/>
          <w:rFonts w:ascii="Arial" w:hAnsi="Arial" w:cs="Arial"/>
        </w:rPr>
        <w:footnoteReference w:id="1"/>
      </w:r>
      <w:r>
        <w:rPr>
          <w:rFonts w:ascii="Arial" w:hAnsi="Arial" w:cs="Arial"/>
        </w:rPr>
        <w:t>。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fldChar w:fldCharType="end"/>
      </w:r>
    </w:p>
    <w:p w14:paraId="36D6A813">
      <w:pPr>
        <w:pStyle w:val="5"/>
        <w:snapToGrid w:val="0"/>
        <w:spacing w:after="120" w:afterLines="50" w:line="30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包括本指南在内的FDA指导文件没有规定法律强制性义务。相反，指南描述了FDA对当前主题的思考，应仅视为推荐意见，除非引用具体的法律或法规要求。本FDA指南中使用的词语“应”表示“建议”或“推荐”意见，并不是强制性的。</w:t>
      </w:r>
    </w:p>
    <w:p w14:paraId="69E92F25">
      <w:pPr>
        <w:pStyle w:val="4"/>
        <w:numPr>
          <w:ilvl w:val="0"/>
          <w:numId w:val="1"/>
        </w:numPr>
        <w:tabs>
          <w:tab w:val="left" w:pos="1060"/>
        </w:tabs>
        <w:snapToGrid w:val="0"/>
        <w:spacing w:after="120" w:afterLines="50" w:line="300" w:lineRule="auto"/>
        <w:ind w:left="720"/>
        <w:jc w:val="left"/>
        <w:rPr>
          <w:rFonts w:ascii="Arial" w:hAnsi="Arial" w:cs="Arial"/>
          <w:sz w:val="32"/>
          <w:szCs w:val="32"/>
        </w:rPr>
      </w:pPr>
      <w:bookmarkStart w:id="0" w:name="II.___BACKGROUND"/>
      <w:bookmarkEnd w:id="0"/>
      <w:r>
        <w:rPr>
          <w:rFonts w:ascii="Arial" w:hAnsi="Arial" w:cs="Arial"/>
          <w:sz w:val="32"/>
          <w:szCs w:val="32"/>
        </w:rPr>
        <w:t>背景</w:t>
      </w:r>
    </w:p>
    <w:p w14:paraId="215B35F7">
      <w:pPr>
        <w:jc w:val="both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br w:type="page"/>
      </w:r>
    </w:p>
    <w:p w14:paraId="2D1A4B8A">
      <w:pPr>
        <w:pStyle w:val="5"/>
        <w:snapToGrid w:val="0"/>
        <w:spacing w:after="120" w:afterLines="50" w:line="30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FDA法规一般要求IRB审查和审批FDA管制产品的研究（如研究药物、生物制品和医疗器械）（21 CFR第56部分）。</w:t>
      </w:r>
    </w:p>
    <w:p w14:paraId="645B437F">
      <w:pPr>
        <w:pStyle w:val="5"/>
        <w:snapToGrid w:val="0"/>
        <w:spacing w:after="120" w:afterLines="50" w:line="30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FDA制定了BIMO体系，以保护人类受试者的权利、福利和安全性，及提交给机构的数据的质量和完好性。在其他方面，FDA的BIMO体系涉及实地考察机构审查委员会、临床研究者、申办者、监查员、合同研究组织，非临床（动物）实验室、生物等效分析实验室。本文涉及实地考察机构审查委员会（IRB），机构审查委员会（IRB）的职能是审查FDA 21 USC 355(i)和21 USC 360(j)监管的临床研究及支持FDA管制产品的研究申请或上市申请的临床研究。</w:t>
      </w:r>
    </w:p>
    <w:p w14:paraId="11CEEAE7">
      <w:pPr>
        <w:pStyle w:val="4"/>
        <w:numPr>
          <w:ilvl w:val="0"/>
          <w:numId w:val="1"/>
        </w:numPr>
        <w:tabs>
          <w:tab w:val="left" w:pos="1060"/>
        </w:tabs>
        <w:snapToGrid w:val="0"/>
        <w:spacing w:after="120" w:afterLines="50" w:line="300" w:lineRule="auto"/>
        <w:ind w:left="72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IRB检查什么时候进行？</w:t>
      </w:r>
    </w:p>
    <w:p w14:paraId="3DF4CB45">
      <w:pPr>
        <w:pStyle w:val="5"/>
        <w:snapToGrid w:val="0"/>
        <w:spacing w:after="120" w:afterLines="50" w:line="30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FDA对IRB进行检查，以确认IRB操作符合现行FDA法规和法律要求，并遵循IRB内部书面程序。IRB相关的FDA法规包括21 CFR 第 50部分（人类受试者保护）、第56部分（机构审查委员会）、第312部分（新药临床试验申请）及第812部分（研究性器械豁免）。</w:t>
      </w:r>
    </w:p>
    <w:p w14:paraId="3429C6CA">
      <w:pPr>
        <w:pStyle w:val="5"/>
        <w:snapToGrid w:val="0"/>
        <w:spacing w:after="120" w:afterLines="50" w:line="30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IRB的FDA检查一般可以分为两类：</w:t>
      </w:r>
    </w:p>
    <w:p w14:paraId="3C7F8AC5">
      <w:pPr>
        <w:pStyle w:val="5"/>
        <w:numPr>
          <w:ilvl w:val="1"/>
          <w:numId w:val="1"/>
        </w:numPr>
        <w:tabs>
          <w:tab w:val="left" w:pos="840"/>
        </w:tabs>
        <w:snapToGrid w:val="0"/>
        <w:spacing w:after="120" w:afterLines="50" w:line="300" w:lineRule="auto"/>
        <w:ind w:left="797" w:leftChars="2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监管检查—审查IRB总体操作和流程的定期有计划的检查。</w:t>
      </w:r>
    </w:p>
    <w:p w14:paraId="5B8F0141">
      <w:pPr>
        <w:pStyle w:val="5"/>
        <w:numPr>
          <w:ilvl w:val="1"/>
          <w:numId w:val="1"/>
        </w:numPr>
        <w:tabs>
          <w:tab w:val="left" w:pos="840"/>
        </w:tabs>
        <w:snapToGrid w:val="0"/>
        <w:spacing w:after="120" w:afterLines="50" w:line="300" w:lineRule="auto"/>
        <w:ind w:left="797" w:leftChars="2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定向检查-非计划性检查，重点是IRB对特定临床试验或试验的审查。定向检查通常是针对临床研究或临床研究机构有关的投诉、临床研究者不当行为或安全性问题。</w:t>
      </w:r>
    </w:p>
    <w:p w14:paraId="695B7B6F">
      <w:pPr>
        <w:pStyle w:val="4"/>
        <w:numPr>
          <w:ilvl w:val="0"/>
          <w:numId w:val="1"/>
        </w:numPr>
        <w:tabs>
          <w:tab w:val="left" w:pos="1060"/>
        </w:tabs>
        <w:snapToGrid w:val="0"/>
        <w:spacing w:after="120" w:afterLines="50" w:line="300" w:lineRule="auto"/>
        <w:ind w:left="72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IRB检查如何进行？</w:t>
      </w:r>
    </w:p>
    <w:p w14:paraId="28014BD9">
      <w:pPr>
        <w:pStyle w:val="5"/>
        <w:snapToGrid w:val="0"/>
        <w:spacing w:after="120" w:afterLines="50" w:line="30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FDA地方办事处的FDA人员联系机构负责人，通常是IRB主任。FDA人员发出检查通知（FDA 482表格），并在检查开始前向最高负责人出示证件。与相关人员面谈，获取IRB政策和流程的相关信息。通常情况下，通过跟踪IRB依据FDA法规审查的一个或多个研究，评价IRB执行能力。同时，检查IRB程序和成员名单，确定是否符合现行的FDA法规（21 CFR 第56部分，A-D节）。检查期间，FDA工作人员通常审查和复印：</w:t>
      </w:r>
    </w:p>
    <w:p w14:paraId="1B78AEC8">
      <w:pPr>
        <w:pStyle w:val="5"/>
        <w:numPr>
          <w:ilvl w:val="1"/>
          <w:numId w:val="1"/>
        </w:numPr>
        <w:tabs>
          <w:tab w:val="left" w:pos="840"/>
        </w:tabs>
        <w:snapToGrid w:val="0"/>
        <w:spacing w:after="120" w:afterLines="50" w:line="300" w:lineRule="auto"/>
        <w:ind w:left="797" w:leftChars="2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IRB成员记录</w:t>
      </w:r>
    </w:p>
    <w:p w14:paraId="2D41830A">
      <w:pPr>
        <w:pStyle w:val="5"/>
        <w:numPr>
          <w:ilvl w:val="1"/>
          <w:numId w:val="1"/>
        </w:numPr>
        <w:tabs>
          <w:tab w:val="left" w:pos="840"/>
        </w:tabs>
        <w:snapToGrid w:val="0"/>
        <w:spacing w:after="120" w:afterLines="50" w:line="300" w:lineRule="auto"/>
        <w:ind w:left="797" w:leftChars="2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IRB流程和指南</w:t>
      </w:r>
    </w:p>
    <w:p w14:paraId="0EEAB461">
      <w:pPr>
        <w:pStyle w:val="5"/>
        <w:numPr>
          <w:ilvl w:val="1"/>
          <w:numId w:val="1"/>
        </w:numPr>
        <w:tabs>
          <w:tab w:val="left" w:pos="840"/>
        </w:tabs>
        <w:snapToGrid w:val="0"/>
        <w:spacing w:after="120" w:afterLines="50" w:line="300" w:lineRule="auto"/>
        <w:ind w:left="797" w:leftChars="2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过去一年的IRB会议记录</w:t>
      </w:r>
    </w:p>
    <w:p w14:paraId="7DE927BD">
      <w:pPr>
        <w:pStyle w:val="5"/>
        <w:numPr>
          <w:ilvl w:val="1"/>
          <w:numId w:val="1"/>
        </w:numPr>
        <w:tabs>
          <w:tab w:val="left" w:pos="820"/>
        </w:tabs>
        <w:snapToGrid w:val="0"/>
        <w:spacing w:after="120" w:afterLines="50" w:line="300" w:lineRule="auto"/>
        <w:ind w:left="797" w:leftChars="2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临床研究者提交给IRB的研究文件</w:t>
      </w:r>
    </w:p>
    <w:p w14:paraId="06E11978">
      <w:pPr>
        <w:pStyle w:val="5"/>
        <w:numPr>
          <w:ilvl w:val="1"/>
          <w:numId w:val="1"/>
        </w:numPr>
        <w:tabs>
          <w:tab w:val="left" w:pos="820"/>
        </w:tabs>
        <w:snapToGrid w:val="0"/>
        <w:spacing w:after="120" w:afterLines="50" w:line="300" w:lineRule="auto"/>
        <w:ind w:left="797" w:leftChars="2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IRB发送给临床研究者的研究文件</w:t>
      </w:r>
    </w:p>
    <w:p w14:paraId="3A1A9EEE">
      <w:pPr>
        <w:pStyle w:val="5"/>
        <w:numPr>
          <w:ilvl w:val="1"/>
          <w:numId w:val="1"/>
        </w:numPr>
        <w:tabs>
          <w:tab w:val="left" w:pos="820"/>
        </w:tabs>
        <w:snapToGrid w:val="0"/>
        <w:spacing w:after="120" w:afterLines="50" w:line="300" w:lineRule="auto"/>
        <w:ind w:left="797" w:leftChars="2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这些研究的其他材料</w:t>
      </w:r>
    </w:p>
    <w:p w14:paraId="2DE96072">
      <w:pPr>
        <w:pStyle w:val="4"/>
        <w:numPr>
          <w:ilvl w:val="0"/>
          <w:numId w:val="1"/>
        </w:numPr>
        <w:tabs>
          <w:tab w:val="left" w:pos="1060"/>
        </w:tabs>
        <w:snapToGrid w:val="0"/>
        <w:spacing w:after="120" w:afterLines="50" w:line="300" w:lineRule="auto"/>
        <w:ind w:left="72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检查完成后应做什么？</w:t>
      </w:r>
    </w:p>
    <w:p w14:paraId="468CFAD1">
      <w:pPr>
        <w:pStyle w:val="5"/>
        <w:snapToGrid w:val="0"/>
        <w:spacing w:after="120" w:afterLines="50" w:line="30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检查结束时，FDA人员与负责机构和IRB代表进行总结面谈。面谈期间，FDA检查人员审查并讨论检查意见，如果发现缺陷，向IRB最高负责人代表发出书面表格FDA 483（检查意见；483）。483表格描述FDA检查工作人员认为代表适用法律和法规偏离情况的检查意见。IRB可在总结面谈时回复483意见，和/或在检查后以书面形式回复。如果IRB /责任机构选择书面答复483列出的缺陷，则应直接向483左上角列出的FDA地区办事处作出答复。FDA的网站列出了FDA各地区办事处</w:t>
      </w:r>
      <w:r>
        <w:rPr>
          <w:rFonts w:ascii="Arial" w:hAnsi="Arial" w:cs="Arial"/>
          <w:i/>
          <w:color w:val="0000FF"/>
        </w:rPr>
        <w:t>（http</w:t>
      </w:r>
      <w:r>
        <w:rPr>
          <w:rFonts w:hint="eastAsia" w:ascii="Arial" w:hAnsi="Arial" w:cs="Arial"/>
          <w:i/>
          <w:color w:val="0000FF"/>
        </w:rPr>
        <w:t>:</w:t>
      </w:r>
      <w:r>
        <w:rPr>
          <w:rFonts w:ascii="Arial" w:hAnsi="Arial" w:cs="Arial"/>
          <w:i/>
          <w:color w:val="0000FF"/>
        </w:rPr>
        <w:t>//www.gov</w:t>
      </w:r>
      <w:r>
        <w:fldChar w:fldCharType="begin"/>
      </w:r>
      <w:r>
        <w:instrText xml:space="preserve"> HYPERLINK "http://www.fda.gov/ora)" \h </w:instrText>
      </w:r>
      <w:r>
        <w:fldChar w:fldCharType="separate"/>
      </w:r>
      <w:r>
        <w:rPr>
          <w:rFonts w:ascii="Arial" w:hAnsi="Arial" w:cs="Arial"/>
          <w:b/>
          <w:i/>
          <w:color w:val="0000FF"/>
        </w:rPr>
        <w:t>/</w:t>
      </w:r>
      <w:r>
        <w:rPr>
          <w:rFonts w:hint="eastAsia" w:ascii="Arial" w:hAnsi="Arial" w:cs="Arial"/>
          <w:i/>
          <w:color w:val="0000FF"/>
        </w:rPr>
        <w:t>ora</w:t>
      </w:r>
      <w:r>
        <w:rPr>
          <w:rFonts w:ascii="Arial" w:hAnsi="Arial" w:cs="Arial"/>
          <w:i/>
          <w:color w:val="0000FF"/>
        </w:rPr>
        <w:t>）</w:t>
      </w:r>
      <w:r>
        <w:rPr>
          <w:rFonts w:ascii="Arial" w:hAnsi="Arial" w:cs="Arial"/>
          <w:i/>
        </w:rPr>
        <w:t>。</w:t>
      </w:r>
      <w:r>
        <w:rPr>
          <w:rFonts w:ascii="Arial" w:hAnsi="Arial" w:cs="Arial"/>
          <w:i/>
        </w:rPr>
        <w:fldChar w:fldCharType="end"/>
      </w:r>
    </w:p>
    <w:p w14:paraId="54CA6CC8">
      <w:pPr>
        <w:pStyle w:val="5"/>
        <w:snapToGrid w:val="0"/>
        <w:spacing w:after="120" w:afterLines="50" w:line="30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检查后，执行IRB检查的FDA人员出具书面现场检查报告（EIR）。现场检查报告、483（若发布）及检查期间收集的所有资料副本及所有IRB回复均应提交给相应的FDA中心，以便进行进一步审评。完成该审评后，审评中心将向IRB负责人或其他责任机构办事处发出如下其中一种类型的信函：</w:t>
      </w:r>
    </w:p>
    <w:p w14:paraId="1FED68B7">
      <w:pPr>
        <w:pStyle w:val="5"/>
        <w:numPr>
          <w:ilvl w:val="0"/>
          <w:numId w:val="2"/>
        </w:numPr>
        <w:tabs>
          <w:tab w:val="left" w:pos="820"/>
        </w:tabs>
        <w:snapToGrid w:val="0"/>
        <w:spacing w:after="120" w:afterLines="50" w:line="300" w:lineRule="auto"/>
        <w:ind w:left="577" w:leftChars="1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信中一般描述“FDA没有发现严重偏离法规的情况。请注意，若FDA没有发现严重偏离，则不一定发送信函。</w:t>
      </w:r>
    </w:p>
    <w:p w14:paraId="4AB10D7A">
      <w:pPr>
        <w:pStyle w:val="5"/>
        <w:numPr>
          <w:ilvl w:val="0"/>
          <w:numId w:val="2"/>
        </w:numPr>
        <w:tabs>
          <w:tab w:val="left" w:pos="820"/>
        </w:tabs>
        <w:snapToGrid w:val="0"/>
        <w:spacing w:after="120" w:afterLines="50" w:line="300" w:lineRule="auto"/>
        <w:ind w:left="577" w:leftChars="1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对于描述法律和法规偏离情况的通知性信函或无标题信函，只需采取自愿性纠正措施。有时需要IRB回复这类信函。</w:t>
      </w:r>
    </w:p>
    <w:p w14:paraId="09597DC3">
      <w:pPr>
        <w:pStyle w:val="5"/>
        <w:numPr>
          <w:ilvl w:val="0"/>
          <w:numId w:val="2"/>
        </w:numPr>
        <w:tabs>
          <w:tab w:val="left" w:pos="820"/>
        </w:tabs>
        <w:snapToGrid w:val="0"/>
        <w:spacing w:after="120" w:afterLines="50" w:line="300" w:lineRule="auto"/>
        <w:ind w:left="577" w:leftChars="1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警告信函描述适用法律和法规的严重偏离情况。警告信函一般要求IRB立即纠正，并要求给FDA提交正式书面答复。</w:t>
      </w:r>
    </w:p>
    <w:p w14:paraId="752CB8EC">
      <w:pPr>
        <w:pStyle w:val="5"/>
        <w:snapToGrid w:val="0"/>
        <w:spacing w:after="120" w:afterLines="50" w:line="30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也可根据21 CFR 56.120发布信函。在这种情况下，该FDA将要求IRB或母机构在FDA规定的期限内对该信作出答复，并描述IRB或母机构或两者都将采取的纠正措施，以达到合规性。基于IRB或机构对这些信函的回复，FDA可能会安排复检，确认纠正措施是否充分。对于适用法规和法律（21 CFR 第56部分，E节）的不合规情况，除了发布这些信函，FDA可以对IRB或其机构采取其他行政措施。在IRB或母机构采取适当的纠正措施之前，FDA可能（FDA IRB法规监管研究）：</w:t>
      </w:r>
    </w:p>
    <w:p w14:paraId="1021E77A">
      <w:pPr>
        <w:pStyle w:val="5"/>
        <w:numPr>
          <w:ilvl w:val="1"/>
          <w:numId w:val="1"/>
        </w:numPr>
        <w:tabs>
          <w:tab w:val="left" w:pos="840"/>
        </w:tabs>
        <w:snapToGrid w:val="0"/>
        <w:spacing w:after="120" w:afterLines="50" w:line="300" w:lineRule="auto"/>
        <w:ind w:left="577" w:leftChars="1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暂停审批该机构执行的或IRB审核的新研究。</w:t>
      </w:r>
    </w:p>
    <w:p w14:paraId="66DA672B">
      <w:pPr>
        <w:pStyle w:val="5"/>
        <w:numPr>
          <w:ilvl w:val="1"/>
          <w:numId w:val="1"/>
        </w:numPr>
        <w:tabs>
          <w:tab w:val="left" w:pos="840"/>
        </w:tabs>
        <w:snapToGrid w:val="0"/>
        <w:spacing w:after="120" w:afterLines="50" w:line="300" w:lineRule="auto"/>
        <w:ind w:left="577" w:leftChars="1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要求正在进行的研究不得增加受试者。</w:t>
      </w:r>
    </w:p>
    <w:p w14:paraId="40F4863F">
      <w:pPr>
        <w:pStyle w:val="5"/>
        <w:numPr>
          <w:ilvl w:val="1"/>
          <w:numId w:val="1"/>
        </w:numPr>
        <w:tabs>
          <w:tab w:val="left" w:pos="840"/>
        </w:tabs>
        <w:snapToGrid w:val="0"/>
        <w:spacing w:after="120" w:afterLines="50" w:line="300" w:lineRule="auto"/>
        <w:ind w:left="577" w:leftChars="1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终止正在进行的研究，以避免危害受试者</w:t>
      </w:r>
    </w:p>
    <w:p w14:paraId="648719A4">
      <w:pPr>
        <w:pStyle w:val="5"/>
        <w:numPr>
          <w:ilvl w:val="1"/>
          <w:numId w:val="1"/>
        </w:numPr>
        <w:tabs>
          <w:tab w:val="left" w:pos="840"/>
        </w:tabs>
        <w:snapToGrid w:val="0"/>
        <w:spacing w:after="120" w:afterLines="50" w:line="300" w:lineRule="auto"/>
        <w:ind w:left="577" w:leftChars="1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当不合规情况明显严重威胁人类受试者权利和福利时，应将IRB操作缺陷告知有关州和联邦监管机构及其他FDA行动利益相关方。</w:t>
      </w:r>
    </w:p>
    <w:p w14:paraId="672F7DD5">
      <w:pPr>
        <w:pStyle w:val="5"/>
        <w:snapToGrid w:val="0"/>
        <w:spacing w:after="120" w:afterLines="50" w:line="30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若IRB拒绝遵循或屡次违背FDA IRB法规（21 CFR 第56部分）并且不合规情况严重影响临床研究中人类受试者的权利或福利时，FDA专员也可启动吊销IRB资质的程序。</w:t>
      </w:r>
    </w:p>
    <w:p w14:paraId="676BAE76">
      <w:pPr>
        <w:pStyle w:val="4"/>
        <w:numPr>
          <w:ilvl w:val="0"/>
          <w:numId w:val="1"/>
        </w:numPr>
        <w:tabs>
          <w:tab w:val="left" w:pos="1060"/>
        </w:tabs>
        <w:snapToGrid w:val="0"/>
        <w:spacing w:after="120" w:afterLines="50" w:line="300" w:lineRule="auto"/>
        <w:ind w:left="72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谁能提供更多的信息？</w:t>
      </w:r>
    </w:p>
    <w:p w14:paraId="0C741A0E">
      <w:pPr>
        <w:pStyle w:val="5"/>
        <w:snapToGrid w:val="0"/>
        <w:spacing w:after="120" w:afterLines="50" w:line="30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检查期间，若IRB官员的问题没有得到FDA检查人员的答复，则可联系地区办事处主任或检查中心的联络人。FDA检查人员应提供地区办事处主任和中心联络人的姓名和电话号码。</w:t>
      </w:r>
    </w:p>
    <w:p w14:paraId="3D4742B0">
      <w:pPr>
        <w:pStyle w:val="5"/>
        <w:snapToGrid w:val="0"/>
        <w:spacing w:after="120" w:afterLines="50" w:line="30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此外，有关FDA执行检查依据的FDA IRB检查合规性项目指南手册，可访问 </w:t>
      </w:r>
      <w:r>
        <w:fldChar w:fldCharType="begin"/>
      </w:r>
      <w:r>
        <w:instrText xml:space="preserve"> HYPERLINK "http://www.fda.gov/ora/cpgm/default.htm%23bimo" \h </w:instrText>
      </w:r>
      <w:r>
        <w:fldChar w:fldCharType="separate"/>
      </w:r>
      <w:r>
        <w:rPr>
          <w:rFonts w:ascii="Arial" w:hAnsi="Arial" w:cs="Arial"/>
          <w:i/>
          <w:color w:val="0000FF"/>
          <w:u w:val="single"/>
        </w:rPr>
        <w:t>http://www.fda.gov/ora/cpgm/default.htm#bimo</w:t>
      </w:r>
      <w:r>
        <w:rPr>
          <w:rFonts w:ascii="Arial" w:hAnsi="Arial" w:cs="Arial"/>
          <w:i/>
          <w:color w:val="0000FF"/>
          <w:u w:val="single"/>
        </w:rPr>
        <w:fldChar w:fldCharType="end"/>
      </w:r>
      <w:r>
        <w:rPr>
          <w:rFonts w:ascii="Arial" w:hAnsi="Arial" w:cs="Arial"/>
        </w:rPr>
        <w:t>。</w:t>
      </w:r>
    </w:p>
    <w:p w14:paraId="198400EB">
      <w:pPr>
        <w:pStyle w:val="2"/>
        <w:snapToGrid w:val="0"/>
        <w:spacing w:after="120" w:afterLines="50" w:line="300" w:lineRule="auto"/>
        <w:ind w:left="0"/>
        <w:jc w:val="center"/>
        <w:rPr>
          <w:rFonts w:hint="eastAsia" w:eastAsia="宋体"/>
          <w:lang w:eastAsia="zh-CN"/>
        </w:rPr>
      </w:pPr>
    </w:p>
    <w:p w14:paraId="777997E3">
      <w:pPr>
        <w:pStyle w:val="2"/>
        <w:snapToGrid w:val="0"/>
        <w:spacing w:after="120" w:afterLines="50" w:line="300" w:lineRule="auto"/>
        <w:ind w:left="0"/>
        <w:jc w:val="center"/>
        <w:rPr>
          <w:rFonts w:hint="eastAsia" w:eastAsia="宋体"/>
          <w:lang w:eastAsia="zh-CN"/>
        </w:rPr>
      </w:pPr>
    </w:p>
    <w:p w14:paraId="61BE7E52">
      <w:pPr>
        <w:pStyle w:val="2"/>
        <w:snapToGrid w:val="0"/>
        <w:spacing w:after="120" w:afterLines="50" w:line="300" w:lineRule="auto"/>
        <w:ind w:left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default"/>
      <w:footerReference r:id="rId5" w:type="default"/>
      <w:pgSz w:w="12240" w:h="15840"/>
      <w:pgMar w:top="1440" w:right="1800" w:bottom="1440" w:left="1800" w:header="1134" w:footer="1134" w:gutter="0"/>
      <w:pgNumType w:start="1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cs="Arial"/>
        <w:sz w:val="21"/>
        <w:szCs w:val="21"/>
      </w:rPr>
      <w:id w:val="1265584178"/>
      <w:docPartObj>
        <w:docPartGallery w:val="AutoText"/>
      </w:docPartObj>
    </w:sdtPr>
    <w:sdtEndPr>
      <w:rPr>
        <w:rFonts w:ascii="Arial" w:hAnsi="Arial" w:cs="Arial"/>
        <w:sz w:val="21"/>
        <w:szCs w:val="21"/>
      </w:rPr>
    </w:sdtEndPr>
    <w:sdtContent>
      <w:p w14:paraId="6A1846B1">
        <w:pPr>
          <w:pStyle w:val="6"/>
          <w:jc w:val="center"/>
          <w:rPr>
            <w:rFonts w:ascii="Arial" w:hAnsi="Arial" w:cs="Arial"/>
            <w:sz w:val="21"/>
            <w:szCs w:val="21"/>
          </w:rPr>
        </w:pPr>
        <w:r>
          <w:rPr>
            <w:rFonts w:ascii="Arial" w:hAnsi="Arial" w:cs="Arial"/>
            <w:sz w:val="21"/>
            <w:szCs w:val="21"/>
          </w:rPr>
          <w:fldChar w:fldCharType="begin"/>
        </w:r>
        <w:r>
          <w:rPr>
            <w:rFonts w:ascii="Arial" w:hAnsi="Arial" w:cs="Arial"/>
            <w:sz w:val="21"/>
            <w:szCs w:val="21"/>
          </w:rPr>
          <w:instrText xml:space="preserve">PAGE   \* MERGEFORMAT</w:instrText>
        </w:r>
        <w:r>
          <w:rPr>
            <w:rFonts w:ascii="Arial" w:hAnsi="Arial" w:cs="Arial"/>
            <w:sz w:val="21"/>
            <w:szCs w:val="21"/>
          </w:rPr>
          <w:fldChar w:fldCharType="separate"/>
        </w:r>
        <w:r>
          <w:rPr>
            <w:rFonts w:ascii="Arial" w:hAnsi="Arial" w:cs="Arial"/>
            <w:sz w:val="21"/>
            <w:szCs w:val="21"/>
            <w:lang w:val="zh-CN"/>
          </w:rPr>
          <w:t>4</w:t>
        </w:r>
        <w:r>
          <w:rPr>
            <w:rFonts w:ascii="Arial" w:hAnsi="Arial" w:cs="Arial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4490782C">
      <w:pPr>
        <w:pStyle w:val="8"/>
        <w:rPr>
          <w:rFonts w:ascii="Arial" w:hAnsi="Arial" w:cs="Arial"/>
          <w:sz w:val="21"/>
          <w:szCs w:val="21"/>
        </w:rPr>
      </w:pPr>
      <w:r>
        <w:rPr>
          <w:rStyle w:val="12"/>
          <w:rFonts w:ascii="Arial" w:hAnsi="Arial" w:cs="Arial"/>
          <w:sz w:val="21"/>
          <w:szCs w:val="21"/>
        </w:rPr>
        <w:footnoteRef/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eastAsia="宋体" w:cs="Arial"/>
          <w:sz w:val="21"/>
          <w:szCs w:val="21"/>
        </w:rPr>
        <w:t>本指南由局长办公室良好临床实践小组（OC）联合生物制品评估和研究中心（CBER）、器械和放射卫生中心（CDRH）、药品评价和研究中心（CDER）及法规事务办公室（ORA）共同制定。</w:t>
      </w:r>
    </w:p>
  </w:footnote>
  <w:footnote w:id="1">
    <w:p w14:paraId="5298A4E5">
      <w:pPr>
        <w:pStyle w:val="8"/>
        <w:rPr>
          <w:rFonts w:ascii="Arial" w:hAnsi="Arial" w:cs="Arial"/>
          <w:sz w:val="21"/>
          <w:szCs w:val="21"/>
        </w:rPr>
      </w:pPr>
      <w:r>
        <w:rPr>
          <w:rStyle w:val="12"/>
          <w:rFonts w:ascii="Arial" w:hAnsi="Arial" w:cs="Arial"/>
          <w:sz w:val="21"/>
          <w:szCs w:val="21"/>
        </w:rPr>
        <w:footnoteRef/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eastAsia="宋体" w:cs="Arial"/>
          <w:sz w:val="21"/>
          <w:szCs w:val="21"/>
        </w:rPr>
        <w:t>65 FR 56477，2000年9月19日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0DA70">
    <w:pPr>
      <w:snapToGrid w:val="0"/>
      <w:spacing w:after="720" w:afterLines="300" w:line="300" w:lineRule="auto"/>
      <w:ind w:left="23"/>
      <w:jc w:val="center"/>
      <w:rPr>
        <w:rFonts w:ascii="Times New Roman" w:eastAsia="宋体"/>
        <w:b/>
        <w:i/>
        <w:sz w:val="21"/>
        <w:szCs w:val="21"/>
      </w:rPr>
    </w:pPr>
    <w:r>
      <w:rPr>
        <w:rFonts w:hint="eastAsia" w:ascii="Times New Roman" w:eastAsia="宋体"/>
        <w:b/>
        <w:i/>
        <w:sz w:val="21"/>
        <w:szCs w:val="21"/>
      </w:rPr>
      <w:t>所含建议不具约束力</w:t>
    </w:r>
  </w:p>
  <w:p w14:paraId="2269D06B">
    <w:pPr>
      <w:spacing w:line="14" w:lineRule="auto"/>
      <w:jc w:val="cent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B4497"/>
    <w:multiLevelType w:val="multilevel"/>
    <w:tmpl w:val="290B4497"/>
    <w:lvl w:ilvl="0" w:tentative="0">
      <w:start w:val="1"/>
      <w:numFmt w:val="upperRoman"/>
      <w:lvlText w:val="%1."/>
      <w:lvlJc w:val="left"/>
      <w:pPr>
        <w:ind w:left="1059" w:hanging="720"/>
        <w:jc w:val="right"/>
      </w:pPr>
      <w:rPr>
        <w:rFonts w:hint="default" w:ascii="Arial" w:hAnsi="Arial" w:eastAsia="Times New Roman" w:cs="Arial"/>
        <w:b/>
        <w:bCs/>
        <w:spacing w:val="-1"/>
        <w:sz w:val="32"/>
        <w:szCs w:val="32"/>
      </w:rPr>
    </w:lvl>
    <w:lvl w:ilvl="1" w:tentative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 w:eastAsia="Symbol"/>
        <w:w w:val="99"/>
        <w:sz w:val="24"/>
        <w:szCs w:val="24"/>
      </w:rPr>
    </w:lvl>
    <w:lvl w:ilvl="2" w:tentative="0">
      <w:start w:val="1"/>
      <w:numFmt w:val="bullet"/>
      <w:lvlText w:val="•"/>
      <w:lvlJc w:val="left"/>
      <w:pPr>
        <w:ind w:left="1059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184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247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309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372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434" w:hanging="360"/>
      </w:pPr>
      <w:rPr>
        <w:rFonts w:hint="default"/>
      </w:rPr>
    </w:lvl>
  </w:abstractNum>
  <w:abstractNum w:abstractNumId="1">
    <w:nsid w:val="6549720C"/>
    <w:multiLevelType w:val="multilevel"/>
    <w:tmpl w:val="6549720C"/>
    <w:lvl w:ilvl="0" w:tentative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Times New Roman" w:cs="Arial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4"/>
    <w:footnote w:id="5"/>
  </w:foot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62"/>
    <w:rsid w:val="001F0E14"/>
    <w:rsid w:val="00212B15"/>
    <w:rsid w:val="00400F89"/>
    <w:rsid w:val="00560D1F"/>
    <w:rsid w:val="007713AE"/>
    <w:rsid w:val="007A03DD"/>
    <w:rsid w:val="00AB24FA"/>
    <w:rsid w:val="00AD2412"/>
    <w:rsid w:val="00BA356D"/>
    <w:rsid w:val="00C42A62"/>
    <w:rsid w:val="00E02681"/>
    <w:rsid w:val="00E40A1A"/>
    <w:rsid w:val="00E8472F"/>
    <w:rsid w:val="4CCC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109"/>
      <w:outlineLvl w:val="0"/>
    </w:pPr>
    <w:rPr>
      <w:rFonts w:ascii="Times New Roman" w:hAnsi="Times New Roman" w:eastAsia="宋体"/>
      <w:b/>
      <w:bCs/>
      <w:sz w:val="72"/>
      <w:szCs w:val="72"/>
    </w:rPr>
  </w:style>
  <w:style w:type="paragraph" w:styleId="3">
    <w:name w:val="heading 2"/>
    <w:basedOn w:val="1"/>
    <w:qFormat/>
    <w:uiPriority w:val="1"/>
    <w:pPr>
      <w:spacing w:before="28"/>
      <w:outlineLvl w:val="1"/>
    </w:pPr>
    <w:rPr>
      <w:rFonts w:ascii="Times New Roman" w:hAnsi="Times New Roman" w:eastAsia="宋体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ind w:left="839" w:hanging="719"/>
      <w:outlineLvl w:val="2"/>
    </w:pPr>
    <w:rPr>
      <w:rFonts w:ascii="Times New Roman" w:hAnsi="Times New Roman" w:eastAsia="宋体"/>
      <w:b/>
      <w:bCs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0"/>
    </w:pPr>
    <w:rPr>
      <w:rFonts w:ascii="Times New Roman" w:hAnsi="Times New Roman" w:eastAsia="宋体"/>
      <w:sz w:val="24"/>
      <w:szCs w:val="24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8"/>
    <w:semiHidden/>
    <w:unhideWhenUsed/>
    <w:qFormat/>
    <w:uiPriority w:val="99"/>
    <w:pPr>
      <w:snapToGrid w:val="0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otnote reference"/>
    <w:basedOn w:val="11"/>
    <w:semiHidden/>
    <w:unhideWhenUsed/>
    <w:qFormat/>
    <w:uiPriority w:val="99"/>
    <w:rPr>
      <w:vertAlign w:val="superscript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脚注文本 Char"/>
    <w:basedOn w:val="11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B5CFB-F2C9-4502-970E-856B1ADB6B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2150</Words>
  <Characters>2680</Characters>
  <Lines>21</Lines>
  <Paragraphs>5</Paragraphs>
  <TotalTime>0</TotalTime>
  <ScaleCrop>false</ScaleCrop>
  <LinksUpToDate>false</LinksUpToDate>
  <CharactersWithSpaces>2715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2017-11-17T11:22:00Z</dcterms:created>
  <dc:creator>Food and Drug Administration</dc:creator>
  <cp:keywords>IRB, inspection, guidance</cp:keywords>
  <cp:lastModifiedBy>太极箫客</cp:lastModifiedBy>
  <dcterms:modified xsi:type="dcterms:W3CDTF">2025-08-14T06:58:33Z</dcterms:modified>
  <dc:subject>Information Sheet Guidance For IRBs, Clinical Investigators, and SponsorsFDA Institutional Review Board Inspections</dc:subject>
  <dc:title>FDA Institutional Review Board Inspections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2006-02-03T00:00:00Z</vt:filetime>
  </property>
  <property fmtid="{D5CDD505-2E9C-101B-9397-08002B2CF9AE}" pid="3" name="LastSaved">
    <vt:filetime>2017-09-28T00:00:00Z</vt:filetime>
  </property>
  <property fmtid="{D5CDD505-2E9C-101B-9397-08002B2CF9AE}" pid="4" name="KSOTemplateDocerSaveRecord">
    <vt:lpwstr>eyJoZGlkIjoiMDJiMzI3ODBiNTFmMWRjNDUyMjM1ZmZjODY5NDc2MWMiLCJ1c2VySWQiOiI0NTQ4Nzg1NzAifQ==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5009BAB047164583807D0E676A720AB9_12</vt:lpwstr>
  </property>
</Properties>
</file>