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E3A3">
      <w:pPr>
        <w:topLinePunct/>
        <w:adjustRightInd w:val="0"/>
        <w:snapToGrid w:val="0"/>
        <w:spacing w:after="224" w:afterLines="75" w:line="300" w:lineRule="auto"/>
        <w:jc w:val="center"/>
        <w:rPr>
          <w:rFonts w:hint="eastAsia" w:ascii="Arial" w:hAnsi="Arial" w:eastAsia="宋体" w:cs="Arial"/>
          <w:b/>
          <w:snapToGrid w:val="0"/>
          <w:sz w:val="52"/>
          <w:szCs w:val="52"/>
        </w:rPr>
      </w:pPr>
      <w:bookmarkStart w:id="468" w:name="_GoBack"/>
      <w:bookmarkEnd w:id="468"/>
    </w:p>
    <w:p w14:paraId="749CB4A8">
      <w:pPr>
        <w:topLinePunct/>
        <w:adjustRightInd w:val="0"/>
        <w:snapToGrid w:val="0"/>
        <w:spacing w:after="224" w:afterLines="75" w:line="300" w:lineRule="auto"/>
        <w:jc w:val="center"/>
        <w:rPr>
          <w:rFonts w:ascii="Arial" w:hAnsi="Arial" w:eastAsia="宋体" w:cs="Arial"/>
          <w:snapToGrid w:val="0"/>
          <w:sz w:val="52"/>
          <w:szCs w:val="52"/>
        </w:rPr>
      </w:pPr>
      <w:r>
        <w:rPr>
          <w:rFonts w:ascii="Arial" w:hAnsi="Arial" w:eastAsia="宋体" w:cs="Arial"/>
          <w:b/>
          <w:snapToGrid w:val="0"/>
          <w:sz w:val="52"/>
          <w:szCs w:val="52"/>
        </w:rPr>
        <w:t>机构审查委员会、临床研究者和申办方指南</w:t>
      </w:r>
    </w:p>
    <w:p w14:paraId="1882699A">
      <w:pPr>
        <w:topLinePunct/>
        <w:adjustRightInd w:val="0"/>
        <w:snapToGrid w:val="0"/>
        <w:spacing w:after="224" w:afterLines="75" w:line="300" w:lineRule="auto"/>
        <w:jc w:val="center"/>
        <w:rPr>
          <w:rFonts w:ascii="Arial" w:hAnsi="Arial" w:eastAsia="宋体" w:cs="Arial"/>
          <w:b/>
          <w:snapToGrid w:val="0"/>
          <w:sz w:val="52"/>
          <w:szCs w:val="52"/>
        </w:rPr>
      </w:pPr>
    </w:p>
    <w:p w14:paraId="7CCD4050">
      <w:pPr>
        <w:topLinePunct/>
        <w:adjustRightInd w:val="0"/>
        <w:snapToGrid w:val="0"/>
        <w:spacing w:after="224" w:afterLines="75" w:line="300" w:lineRule="auto"/>
        <w:jc w:val="center"/>
        <w:rPr>
          <w:rFonts w:ascii="Arial" w:hAnsi="Arial" w:eastAsia="宋体" w:cs="Arial"/>
          <w:b/>
          <w:snapToGrid w:val="0"/>
          <w:sz w:val="52"/>
          <w:szCs w:val="52"/>
        </w:rPr>
      </w:pPr>
    </w:p>
    <w:p w14:paraId="2C565627">
      <w:pPr>
        <w:topLinePunct/>
        <w:adjustRightInd w:val="0"/>
        <w:snapToGrid w:val="0"/>
        <w:spacing w:after="224" w:afterLines="75" w:line="300" w:lineRule="auto"/>
        <w:jc w:val="center"/>
        <w:rPr>
          <w:rFonts w:ascii="Arial" w:hAnsi="Arial" w:eastAsia="宋体" w:cs="Arial"/>
          <w:snapToGrid w:val="0"/>
          <w:sz w:val="52"/>
          <w:szCs w:val="52"/>
        </w:rPr>
      </w:pPr>
      <w:r>
        <w:rPr>
          <w:rFonts w:ascii="Arial" w:hAnsi="Arial" w:eastAsia="宋体" w:cs="Arial"/>
          <w:b/>
          <w:snapToGrid w:val="0"/>
          <w:sz w:val="52"/>
          <w:szCs w:val="52"/>
        </w:rPr>
        <w:t>紧急研究豁免知情同意要求</w:t>
      </w:r>
    </w:p>
    <w:p w14:paraId="5E19F15D">
      <w:pPr>
        <w:topLinePunct/>
        <w:adjustRightInd w:val="0"/>
        <w:snapToGrid w:val="0"/>
        <w:spacing w:after="224" w:afterLines="75" w:line="300" w:lineRule="auto"/>
        <w:jc w:val="both"/>
        <w:rPr>
          <w:rFonts w:ascii="Arial" w:hAnsi="Arial" w:eastAsia="宋体" w:cs="Arial"/>
          <w:b/>
          <w:snapToGrid w:val="0"/>
          <w:sz w:val="24"/>
          <w:szCs w:val="24"/>
        </w:rPr>
      </w:pPr>
    </w:p>
    <w:p w14:paraId="3D73A33B">
      <w:pPr>
        <w:topLinePunct/>
        <w:adjustRightInd w:val="0"/>
        <w:snapToGrid w:val="0"/>
        <w:spacing w:after="224" w:afterLines="75" w:line="300" w:lineRule="auto"/>
        <w:jc w:val="both"/>
        <w:rPr>
          <w:rFonts w:ascii="Arial" w:hAnsi="Arial" w:eastAsia="宋体" w:cs="Arial"/>
          <w:b/>
          <w:snapToGrid w:val="0"/>
          <w:sz w:val="24"/>
          <w:szCs w:val="24"/>
        </w:rPr>
      </w:pPr>
    </w:p>
    <w:p w14:paraId="69294415">
      <w:pPr>
        <w:topLinePunct/>
        <w:adjustRightInd w:val="0"/>
        <w:snapToGrid w:val="0"/>
        <w:spacing w:after="224" w:afterLines="75" w:line="300" w:lineRule="auto"/>
        <w:jc w:val="both"/>
        <w:rPr>
          <w:rFonts w:ascii="Arial" w:hAnsi="Arial" w:eastAsia="宋体" w:cs="Arial"/>
          <w:b/>
          <w:snapToGrid w:val="0"/>
          <w:sz w:val="24"/>
          <w:szCs w:val="24"/>
        </w:rPr>
      </w:pPr>
    </w:p>
    <w:p w14:paraId="244D745F">
      <w:pPr>
        <w:topLinePunct/>
        <w:adjustRightInd w:val="0"/>
        <w:snapToGrid w:val="0"/>
        <w:spacing w:after="224" w:afterLines="75" w:line="300" w:lineRule="auto"/>
        <w:jc w:val="both"/>
        <w:rPr>
          <w:rFonts w:ascii="Arial" w:hAnsi="Arial" w:eastAsia="宋体" w:cs="Arial"/>
          <w:b/>
          <w:snapToGrid w:val="0"/>
          <w:sz w:val="24"/>
          <w:szCs w:val="24"/>
        </w:rPr>
      </w:pPr>
    </w:p>
    <w:p w14:paraId="400F9969">
      <w:pPr>
        <w:topLinePunct/>
        <w:adjustRightInd w:val="0"/>
        <w:snapToGrid w:val="0"/>
        <w:spacing w:after="224" w:afterLines="75" w:line="300" w:lineRule="auto"/>
        <w:jc w:val="both"/>
        <w:rPr>
          <w:rFonts w:ascii="Arial" w:hAnsi="Arial" w:eastAsia="宋体" w:cs="Arial"/>
          <w:b/>
          <w:snapToGrid w:val="0"/>
          <w:sz w:val="24"/>
          <w:szCs w:val="24"/>
        </w:rPr>
      </w:pPr>
    </w:p>
    <w:p w14:paraId="60E76A9A">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美国卫生</w:t>
      </w:r>
      <w:r>
        <w:rPr>
          <w:rFonts w:hint="eastAsia" w:ascii="Arial" w:hAnsi="Arial" w:eastAsia="宋体" w:cs="Arial"/>
          <w:b/>
          <w:snapToGrid w:val="0"/>
          <w:sz w:val="24"/>
          <w:szCs w:val="24"/>
        </w:rPr>
        <w:t>和</w:t>
      </w:r>
      <w:r>
        <w:rPr>
          <w:rFonts w:ascii="Arial" w:hAnsi="Arial" w:eastAsia="宋体" w:cs="Arial"/>
          <w:b/>
          <w:snapToGrid w:val="0"/>
          <w:sz w:val="24"/>
          <w:szCs w:val="24"/>
        </w:rPr>
        <w:t>人类服务署</w:t>
      </w:r>
    </w:p>
    <w:p w14:paraId="39BE55E1">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食品药品监督管理局</w:t>
      </w:r>
    </w:p>
    <w:p w14:paraId="51E71D5B">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良好临床试验规范办公室</w:t>
      </w:r>
    </w:p>
    <w:p w14:paraId="55F16384">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药品评价和研究中心</w:t>
      </w:r>
    </w:p>
    <w:p w14:paraId="727FCC75">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生物制剂评价和研究中心</w:t>
      </w:r>
    </w:p>
    <w:p w14:paraId="6B525383">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器械</w:t>
      </w:r>
      <w:r>
        <w:rPr>
          <w:rFonts w:hint="eastAsia" w:ascii="Arial" w:hAnsi="Arial" w:eastAsia="宋体" w:cs="Arial"/>
          <w:b/>
          <w:snapToGrid w:val="0"/>
          <w:sz w:val="24"/>
          <w:szCs w:val="24"/>
        </w:rPr>
        <w:t>和</w:t>
      </w:r>
      <w:r>
        <w:rPr>
          <w:rFonts w:ascii="Arial" w:hAnsi="Arial" w:eastAsia="宋体" w:cs="Arial"/>
          <w:b/>
          <w:snapToGrid w:val="0"/>
          <w:sz w:val="24"/>
          <w:szCs w:val="24"/>
        </w:rPr>
        <w:t>放射卫生中心</w:t>
      </w:r>
    </w:p>
    <w:p w14:paraId="317D23CB">
      <w:pPr>
        <w:topLinePunct/>
        <w:adjustRightInd w:val="0"/>
        <w:snapToGrid w:val="0"/>
        <w:spacing w:line="300" w:lineRule="auto"/>
        <w:jc w:val="center"/>
        <w:rPr>
          <w:rFonts w:ascii="Arial" w:hAnsi="Arial" w:eastAsia="宋体" w:cs="Arial"/>
          <w:b/>
          <w:snapToGrid w:val="0"/>
          <w:sz w:val="24"/>
          <w:szCs w:val="24"/>
        </w:rPr>
      </w:pPr>
    </w:p>
    <w:p w14:paraId="6E791FBB">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2001年3月</w:t>
      </w:r>
    </w:p>
    <w:p w14:paraId="37C34C5C">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于2013年4月更新</w:t>
      </w:r>
    </w:p>
    <w:p w14:paraId="2A3A9B6E">
      <w:pPr>
        <w:topLinePunct/>
        <w:adjustRightInd w:val="0"/>
        <w:snapToGrid w:val="0"/>
        <w:spacing w:after="224" w:afterLines="75" w:line="300" w:lineRule="auto"/>
        <w:jc w:val="both"/>
        <w:rPr>
          <w:rFonts w:ascii="Arial" w:hAnsi="Arial" w:eastAsia="宋体" w:cs="Arial"/>
          <w:b/>
          <w:bCs/>
          <w:snapToGrid w:val="0"/>
          <w:sz w:val="24"/>
          <w:szCs w:val="24"/>
        </w:rPr>
      </w:pPr>
      <w:r>
        <w:rPr>
          <w:rFonts w:ascii="Arial" w:hAnsi="Arial" w:eastAsia="宋体" w:cs="Arial"/>
          <w:snapToGrid w:val="0"/>
          <w:sz w:val="24"/>
          <w:szCs w:val="24"/>
        </w:rPr>
        <w:br w:type="page"/>
      </w:r>
    </w:p>
    <w:p w14:paraId="5FADAC1C">
      <w:pPr>
        <w:topLinePunct/>
        <w:adjustRightInd w:val="0"/>
        <w:snapToGrid w:val="0"/>
        <w:spacing w:line="300" w:lineRule="auto"/>
        <w:jc w:val="center"/>
        <w:rPr>
          <w:rFonts w:ascii="Arial" w:hAnsi="Arial" w:eastAsia="宋体" w:cs="Arial"/>
          <w:snapToGrid w:val="0"/>
          <w:sz w:val="44"/>
          <w:szCs w:val="52"/>
        </w:rPr>
      </w:pPr>
      <w:r>
        <w:rPr>
          <w:rFonts w:ascii="Arial" w:hAnsi="Arial" w:eastAsia="宋体" w:cs="Arial"/>
          <w:snapToGrid w:val="0"/>
          <w:sz w:val="44"/>
          <w:szCs w:val="52"/>
        </w:rPr>
        <w:t>机构审查委员会、临床研究者和申办方指南</w:t>
      </w:r>
    </w:p>
    <w:p w14:paraId="6ED28647">
      <w:pPr>
        <w:topLinePunct/>
        <w:adjustRightInd w:val="0"/>
        <w:snapToGrid w:val="0"/>
        <w:spacing w:after="224" w:afterLines="75" w:line="300" w:lineRule="auto"/>
        <w:jc w:val="center"/>
        <w:rPr>
          <w:rFonts w:ascii="Arial" w:hAnsi="Arial" w:eastAsia="宋体" w:cs="Arial"/>
          <w:snapToGrid w:val="0"/>
          <w:sz w:val="44"/>
          <w:szCs w:val="52"/>
        </w:rPr>
      </w:pPr>
      <w:r>
        <w:rPr>
          <w:rFonts w:ascii="Arial" w:hAnsi="Arial" w:eastAsia="宋体" w:cs="Arial"/>
          <w:snapToGrid w:val="0"/>
          <w:sz w:val="44"/>
          <w:szCs w:val="52"/>
        </w:rPr>
        <w:t>紧急研究豁免知情同意要求</w:t>
      </w:r>
    </w:p>
    <w:p w14:paraId="1D763E97">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交流办公室</w:t>
      </w:r>
    </w:p>
    <w:p w14:paraId="7228DC80">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药品信息部，WO51, Room 2201</w:t>
      </w:r>
    </w:p>
    <w:p w14:paraId="5C4BF6CD">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药品评价和研究中心</w:t>
      </w:r>
    </w:p>
    <w:p w14:paraId="7A3582AC">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食品药品监督管理局</w:t>
      </w:r>
    </w:p>
    <w:p w14:paraId="2B2B624B">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10903 New Hampshire Ave。</w:t>
      </w:r>
    </w:p>
    <w:p w14:paraId="69480F68">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Silver Spring, MD 20993</w:t>
      </w:r>
    </w:p>
    <w:p w14:paraId="0C83E911">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电话：301-796-3400；传真：301-847-8714</w:t>
      </w:r>
    </w:p>
    <w:p w14:paraId="0FC434C1">
      <w:pPr>
        <w:topLinePunct/>
        <w:adjustRightInd w:val="0"/>
        <w:snapToGrid w:val="0"/>
        <w:jc w:val="center"/>
        <w:rPr>
          <w:rFonts w:ascii="Arial" w:hAnsi="Arial" w:eastAsia="宋体" w:cs="Arial"/>
          <w:i/>
          <w:snapToGrid w:val="0"/>
          <w:sz w:val="21"/>
          <w:szCs w:val="24"/>
        </w:rPr>
      </w:pPr>
      <w:r>
        <w:fldChar w:fldCharType="begin"/>
      </w:r>
      <w:r>
        <w:instrText xml:space="preserve"> HYPERLINK "mailto:druginfo@fda.hhs.gov" \h </w:instrText>
      </w:r>
      <w:r>
        <w:fldChar w:fldCharType="separate"/>
      </w:r>
      <w:r>
        <w:rPr>
          <w:rFonts w:ascii="Arial" w:hAnsi="Arial" w:eastAsia="宋体" w:cs="Arial"/>
          <w:i/>
          <w:snapToGrid w:val="0"/>
          <w:sz w:val="21"/>
          <w:szCs w:val="24"/>
        </w:rPr>
        <w:t>druginfo@fda.hhs.gov</w:t>
      </w:r>
      <w:r>
        <w:rPr>
          <w:rFonts w:ascii="Arial" w:hAnsi="Arial" w:eastAsia="宋体" w:cs="Arial"/>
          <w:i/>
          <w:snapToGrid w:val="0"/>
          <w:sz w:val="21"/>
          <w:szCs w:val="24"/>
        </w:rPr>
        <w:fldChar w:fldCharType="end"/>
      </w:r>
      <w:r>
        <w:rPr>
          <w:rFonts w:ascii="Arial" w:hAnsi="Arial" w:eastAsia="宋体" w:cs="Arial"/>
          <w:i/>
          <w:snapToGrid w:val="0"/>
          <w:sz w:val="21"/>
          <w:szCs w:val="24"/>
        </w:rPr>
        <w:t xml:space="preserve"> </w:t>
      </w:r>
    </w:p>
    <w:p w14:paraId="30697137">
      <w:pPr>
        <w:topLinePunct/>
        <w:adjustRightInd w:val="0"/>
        <w:snapToGrid w:val="0"/>
        <w:jc w:val="center"/>
        <w:rPr>
          <w:rFonts w:ascii="Arial" w:hAnsi="Arial" w:eastAsia="宋体" w:cs="Arial"/>
          <w:i/>
          <w:snapToGrid w:val="0"/>
          <w:sz w:val="21"/>
          <w:szCs w:val="24"/>
        </w:rPr>
      </w:pPr>
      <w:r>
        <w:fldChar w:fldCharType="begin"/>
      </w:r>
      <w:r>
        <w:instrText xml:space="preserve"> HYPERLINK "http://www.fda.gov/cder/guidance/index.htm" \h </w:instrText>
      </w:r>
      <w:r>
        <w:fldChar w:fldCharType="separate"/>
      </w:r>
      <w:r>
        <w:rPr>
          <w:rFonts w:ascii="Arial" w:hAnsi="Arial" w:eastAsia="宋体" w:cs="Arial"/>
          <w:i/>
          <w:snapToGrid w:val="0"/>
          <w:sz w:val="21"/>
          <w:szCs w:val="24"/>
        </w:rPr>
        <w:t>http://www.fda.gov/cder/guidance/index.htm</w:t>
      </w:r>
      <w:r>
        <w:rPr>
          <w:rFonts w:ascii="Arial" w:hAnsi="Arial" w:eastAsia="宋体" w:cs="Arial"/>
          <w:i/>
          <w:snapToGrid w:val="0"/>
          <w:sz w:val="21"/>
          <w:szCs w:val="24"/>
        </w:rPr>
        <w:fldChar w:fldCharType="end"/>
      </w:r>
    </w:p>
    <w:p w14:paraId="3B90F450">
      <w:pPr>
        <w:topLinePunct/>
        <w:adjustRightInd w:val="0"/>
        <w:snapToGrid w:val="0"/>
        <w:jc w:val="center"/>
        <w:rPr>
          <w:rFonts w:ascii="Arial" w:hAnsi="Arial" w:eastAsia="宋体" w:cs="Arial"/>
          <w:snapToGrid w:val="0"/>
          <w:sz w:val="21"/>
          <w:szCs w:val="24"/>
        </w:rPr>
      </w:pPr>
      <w:r>
        <w:rPr>
          <w:rFonts w:hint="eastAsia" w:ascii="Arial" w:hAnsi="Arial" w:eastAsia="宋体" w:cs="Arial"/>
          <w:i/>
          <w:snapToGrid w:val="0"/>
          <w:sz w:val="21"/>
          <w:szCs w:val="24"/>
        </w:rPr>
        <w:t>和/或</w:t>
      </w:r>
    </w:p>
    <w:p w14:paraId="2ABD7921">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交流、外联和开发办公室（HFM-40）</w:t>
      </w:r>
    </w:p>
    <w:p w14:paraId="42F97150">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生物制剂评价和研究中心</w:t>
      </w:r>
    </w:p>
    <w:p w14:paraId="48D6651E">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食品药品监督管理局</w:t>
      </w:r>
    </w:p>
    <w:p w14:paraId="54DA26F2">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1401 Rockville Pike，Suite 200N</w:t>
      </w:r>
    </w:p>
    <w:p w14:paraId="767CD224">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Rockville，MD 20852-1448</w:t>
      </w:r>
    </w:p>
    <w:p w14:paraId="510655DB">
      <w:pPr>
        <w:topLinePunct/>
        <w:adjustRightInd w:val="0"/>
        <w:snapToGrid w:val="0"/>
        <w:jc w:val="center"/>
        <w:rPr>
          <w:rFonts w:ascii="Arial" w:hAnsi="Arial" w:eastAsia="宋体" w:cs="Arial"/>
          <w:i/>
          <w:snapToGrid w:val="0"/>
          <w:sz w:val="21"/>
          <w:szCs w:val="24"/>
        </w:rPr>
      </w:pPr>
      <w:r>
        <w:fldChar w:fldCharType="begin"/>
      </w:r>
      <w:r>
        <w:instrText xml:space="preserve"> HYPERLINK "http://www.fda.gov/BiologicsBloodVaccines/GuidanceComplianceRegulatoryInformation/default.htm" \h </w:instrText>
      </w:r>
      <w:r>
        <w:fldChar w:fldCharType="separate"/>
      </w:r>
      <w:r>
        <w:rPr>
          <w:rFonts w:ascii="Arial" w:hAnsi="Arial" w:eastAsia="宋体" w:cs="Arial"/>
          <w:i/>
          <w:snapToGrid w:val="0"/>
          <w:sz w:val="21"/>
          <w:szCs w:val="24"/>
        </w:rPr>
        <w:t>http://www.fda.gov/BiologicsBloodVaccines/GuidanceComplianceRegulatoryInformation/default.htm</w:t>
      </w:r>
      <w:r>
        <w:rPr>
          <w:rFonts w:ascii="Arial" w:hAnsi="Arial" w:eastAsia="宋体" w:cs="Arial"/>
          <w:i/>
          <w:snapToGrid w:val="0"/>
          <w:sz w:val="21"/>
          <w:szCs w:val="24"/>
        </w:rPr>
        <w:fldChar w:fldCharType="end"/>
      </w:r>
    </w:p>
    <w:p w14:paraId="2D96A53E">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1-800-835-4709或301-827-1800</w:t>
      </w:r>
    </w:p>
    <w:p w14:paraId="074E003D">
      <w:pPr>
        <w:topLinePunct/>
        <w:adjustRightInd w:val="0"/>
        <w:snapToGrid w:val="0"/>
        <w:jc w:val="center"/>
        <w:rPr>
          <w:rFonts w:ascii="Arial" w:hAnsi="Arial" w:eastAsia="宋体" w:cs="Arial"/>
          <w:snapToGrid w:val="0"/>
          <w:sz w:val="21"/>
          <w:szCs w:val="24"/>
        </w:rPr>
      </w:pPr>
      <w:r>
        <w:rPr>
          <w:rFonts w:ascii="Arial" w:hAnsi="Arial" w:eastAsia="宋体" w:cs="Arial"/>
          <w:snapToGrid w:val="0"/>
          <w:sz w:val="21"/>
          <w:szCs w:val="24"/>
        </w:rPr>
        <w:t>和／或</w:t>
      </w:r>
    </w:p>
    <w:p w14:paraId="7B91EB66">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小制造商、国际和消费者援助部（HFZ-220）</w:t>
      </w:r>
    </w:p>
    <w:p w14:paraId="566BC6ED">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交流、教育和放射项目办公室</w:t>
      </w:r>
    </w:p>
    <w:p w14:paraId="3C497D77">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食品药品监督管理局</w:t>
      </w:r>
    </w:p>
    <w:p w14:paraId="7FBB56B9">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器械</w:t>
      </w:r>
      <w:r>
        <w:rPr>
          <w:rFonts w:hint="eastAsia" w:ascii="Arial" w:hAnsi="Arial" w:eastAsia="宋体" w:cs="Arial"/>
          <w:i/>
          <w:snapToGrid w:val="0"/>
          <w:sz w:val="21"/>
          <w:szCs w:val="24"/>
        </w:rPr>
        <w:t>和</w:t>
      </w:r>
      <w:r>
        <w:rPr>
          <w:rFonts w:ascii="Arial" w:hAnsi="Arial" w:eastAsia="宋体" w:cs="Arial"/>
          <w:i/>
          <w:snapToGrid w:val="0"/>
          <w:sz w:val="21"/>
          <w:szCs w:val="24"/>
        </w:rPr>
        <w:t>放射</w:t>
      </w:r>
      <w:r>
        <w:rPr>
          <w:rFonts w:hint="eastAsia" w:ascii="Arial" w:hAnsi="Arial" w:eastAsia="宋体" w:cs="Arial"/>
          <w:i/>
          <w:snapToGrid w:val="0"/>
          <w:sz w:val="21"/>
          <w:szCs w:val="24"/>
        </w:rPr>
        <w:t>卫生</w:t>
      </w:r>
      <w:r>
        <w:rPr>
          <w:rFonts w:ascii="Arial" w:hAnsi="Arial" w:eastAsia="宋体" w:cs="Arial"/>
          <w:i/>
          <w:snapToGrid w:val="0"/>
          <w:sz w:val="21"/>
          <w:szCs w:val="24"/>
        </w:rPr>
        <w:t>中心</w:t>
      </w:r>
    </w:p>
    <w:p w14:paraId="5CE91F2F">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交流、教育和放射项目办公室</w:t>
      </w:r>
    </w:p>
    <w:p w14:paraId="50FAF53C">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10903 New Hampshire Avenue, WO66-4621</w:t>
      </w:r>
    </w:p>
    <w:p w14:paraId="17D18F4A">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 xml:space="preserve">Silver Spring, MD 20993 </w:t>
      </w:r>
    </w:p>
    <w:p w14:paraId="469EECB7">
      <w:pPr>
        <w:topLinePunct/>
        <w:adjustRightInd w:val="0"/>
        <w:snapToGrid w:val="0"/>
        <w:jc w:val="center"/>
        <w:rPr>
          <w:rFonts w:ascii="Arial" w:hAnsi="Arial" w:eastAsia="宋体" w:cs="Arial"/>
          <w:snapToGrid w:val="0"/>
          <w:color w:val="0000FF"/>
          <w:sz w:val="21"/>
          <w:szCs w:val="24"/>
        </w:rPr>
      </w:pPr>
      <w:r>
        <w:rPr>
          <w:rFonts w:ascii="Arial" w:hAnsi="Arial" w:eastAsia="宋体" w:cs="Arial"/>
          <w:i/>
          <w:snapToGrid w:val="0"/>
          <w:sz w:val="21"/>
          <w:szCs w:val="24"/>
        </w:rPr>
        <w:t>电子邮箱</w:t>
      </w:r>
      <w:r>
        <w:rPr>
          <w:rFonts w:ascii="Arial" w:hAnsi="Arial" w:eastAsia="宋体" w:cs="Arial"/>
          <w:snapToGrid w:val="0"/>
          <w:sz w:val="21"/>
          <w:szCs w:val="24"/>
        </w:rPr>
        <w:t>：</w:t>
      </w:r>
      <w:r>
        <w:fldChar w:fldCharType="begin"/>
      </w:r>
      <w:r>
        <w:instrText xml:space="preserve"> HYPERLINK "mailto:DSMICA@fda.hhs.gov" \h </w:instrText>
      </w:r>
      <w:r>
        <w:fldChar w:fldCharType="separate"/>
      </w:r>
      <w:r>
        <w:rPr>
          <w:rFonts w:ascii="Arial" w:hAnsi="Arial" w:eastAsia="宋体" w:cs="Arial"/>
          <w:snapToGrid w:val="0"/>
          <w:color w:val="0000FF"/>
          <w:sz w:val="21"/>
          <w:szCs w:val="24"/>
          <w:u w:val="single" w:color="0000FF"/>
        </w:rPr>
        <w:t>DSMICA@fda.hhs.gov</w:t>
      </w:r>
      <w:r>
        <w:rPr>
          <w:rFonts w:ascii="Arial" w:hAnsi="Arial" w:eastAsia="宋体" w:cs="Arial"/>
          <w:snapToGrid w:val="0"/>
          <w:color w:val="0000FF"/>
          <w:sz w:val="21"/>
          <w:szCs w:val="24"/>
          <w:u w:val="single" w:color="0000FF"/>
        </w:rPr>
        <w:fldChar w:fldCharType="end"/>
      </w:r>
      <w:r>
        <w:rPr>
          <w:rFonts w:ascii="Arial" w:hAnsi="Arial" w:eastAsia="宋体" w:cs="Arial"/>
          <w:snapToGrid w:val="0"/>
          <w:color w:val="0000FF"/>
          <w:sz w:val="21"/>
          <w:szCs w:val="24"/>
        </w:rPr>
        <w:t xml:space="preserve"> </w:t>
      </w:r>
    </w:p>
    <w:p w14:paraId="59EC143A">
      <w:pPr>
        <w:topLinePunct/>
        <w:adjustRightInd w:val="0"/>
        <w:snapToGrid w:val="0"/>
        <w:jc w:val="center"/>
        <w:rPr>
          <w:rFonts w:ascii="Arial" w:hAnsi="Arial" w:eastAsia="宋体" w:cs="Arial"/>
          <w:snapToGrid w:val="0"/>
          <w:sz w:val="21"/>
          <w:szCs w:val="24"/>
        </w:rPr>
      </w:pPr>
      <w:r>
        <w:rPr>
          <w:rFonts w:ascii="Arial" w:hAnsi="Arial" w:eastAsia="宋体" w:cs="Arial"/>
          <w:i/>
          <w:snapToGrid w:val="0"/>
          <w:sz w:val="21"/>
          <w:szCs w:val="24"/>
        </w:rPr>
        <w:t>传真：301-847-8149</w:t>
      </w:r>
    </w:p>
    <w:p w14:paraId="1A2152B2">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 xml:space="preserve">制造商援助：1-800-638-2041或301-796-7100 </w:t>
      </w:r>
    </w:p>
    <w:p w14:paraId="26C2C5B5">
      <w:pPr>
        <w:topLinePunct/>
        <w:adjustRightInd w:val="0"/>
        <w:snapToGrid w:val="0"/>
        <w:jc w:val="center"/>
        <w:rPr>
          <w:rFonts w:ascii="Arial" w:hAnsi="Arial" w:eastAsia="宋体" w:cs="Arial"/>
          <w:i/>
          <w:snapToGrid w:val="0"/>
          <w:sz w:val="21"/>
          <w:szCs w:val="24"/>
        </w:rPr>
      </w:pPr>
      <w:r>
        <w:rPr>
          <w:rFonts w:ascii="Arial" w:hAnsi="Arial" w:eastAsia="宋体" w:cs="Arial"/>
          <w:i/>
          <w:snapToGrid w:val="0"/>
          <w:sz w:val="21"/>
          <w:szCs w:val="24"/>
        </w:rPr>
        <w:t>CDRH国际工作人员电话：301-796-5680</w:t>
      </w:r>
    </w:p>
    <w:p w14:paraId="66A5693D">
      <w:pPr>
        <w:topLinePunct/>
        <w:adjustRightInd w:val="0"/>
        <w:snapToGrid w:val="0"/>
        <w:spacing w:line="300" w:lineRule="auto"/>
        <w:jc w:val="center"/>
        <w:rPr>
          <w:rFonts w:ascii="Arial" w:hAnsi="Arial" w:eastAsia="宋体" w:cs="Arial"/>
          <w:snapToGrid w:val="0"/>
          <w:sz w:val="21"/>
          <w:szCs w:val="24"/>
        </w:rPr>
      </w:pPr>
    </w:p>
    <w:p w14:paraId="1C0E7BDB">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美国卫生</w:t>
      </w:r>
      <w:r>
        <w:rPr>
          <w:rFonts w:hint="eastAsia" w:ascii="Arial" w:hAnsi="Arial" w:eastAsia="宋体" w:cs="Arial"/>
          <w:b/>
          <w:snapToGrid w:val="0"/>
          <w:sz w:val="24"/>
          <w:szCs w:val="24"/>
        </w:rPr>
        <w:t>和</w:t>
      </w:r>
      <w:r>
        <w:rPr>
          <w:rFonts w:ascii="Arial" w:hAnsi="Arial" w:eastAsia="宋体" w:cs="Arial"/>
          <w:b/>
          <w:snapToGrid w:val="0"/>
          <w:sz w:val="24"/>
          <w:szCs w:val="24"/>
        </w:rPr>
        <w:t>人类服务署</w:t>
      </w:r>
    </w:p>
    <w:p w14:paraId="4F6E37AA">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食品药品监督管理局</w:t>
      </w:r>
    </w:p>
    <w:p w14:paraId="3CC4A970">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良好临床试验规范办公室</w:t>
      </w:r>
    </w:p>
    <w:p w14:paraId="525A42E8">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生物制剂评价和研究中心</w:t>
      </w:r>
    </w:p>
    <w:p w14:paraId="582D2294">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药品评价和研究中心</w:t>
      </w:r>
    </w:p>
    <w:p w14:paraId="15828835">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器械</w:t>
      </w:r>
      <w:r>
        <w:rPr>
          <w:rFonts w:hint="eastAsia" w:ascii="Arial" w:hAnsi="Arial" w:eastAsia="宋体" w:cs="Arial"/>
          <w:b/>
          <w:snapToGrid w:val="0"/>
          <w:sz w:val="24"/>
          <w:szCs w:val="24"/>
        </w:rPr>
        <w:t>和</w:t>
      </w:r>
      <w:r>
        <w:rPr>
          <w:rFonts w:ascii="Arial" w:hAnsi="Arial" w:eastAsia="宋体" w:cs="Arial"/>
          <w:b/>
          <w:snapToGrid w:val="0"/>
          <w:sz w:val="24"/>
          <w:szCs w:val="24"/>
        </w:rPr>
        <w:t>放射卫生中心</w:t>
      </w:r>
    </w:p>
    <w:p w14:paraId="6BC5A96D">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2011年3月</w:t>
      </w:r>
    </w:p>
    <w:p w14:paraId="1901B110">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于2013年4月更新</w:t>
      </w:r>
    </w:p>
    <w:p w14:paraId="19277936">
      <w:pPr>
        <w:topLinePunct/>
        <w:adjustRightInd w:val="0"/>
        <w:snapToGrid w:val="0"/>
        <w:spacing w:after="224" w:afterLines="75" w:line="300" w:lineRule="auto"/>
        <w:jc w:val="both"/>
        <w:rPr>
          <w:rFonts w:ascii="Arial" w:hAnsi="Arial" w:eastAsia="宋体" w:cs="Arial"/>
          <w:b/>
          <w:bCs/>
          <w:snapToGrid w:val="0"/>
          <w:sz w:val="24"/>
          <w:szCs w:val="24"/>
        </w:rPr>
      </w:pPr>
      <w:r>
        <w:rPr>
          <w:rFonts w:ascii="Arial" w:hAnsi="Arial" w:eastAsia="宋体" w:cs="Arial"/>
          <w:snapToGrid w:val="0"/>
          <w:sz w:val="24"/>
          <w:szCs w:val="24"/>
        </w:rPr>
        <w:br w:type="page"/>
      </w:r>
    </w:p>
    <w:p w14:paraId="36CA9F96">
      <w:pPr>
        <w:topLinePunct/>
        <w:adjustRightInd w:val="0"/>
        <w:snapToGrid w:val="0"/>
        <w:spacing w:line="300" w:lineRule="auto"/>
        <w:jc w:val="center"/>
        <w:rPr>
          <w:rFonts w:ascii="Arial" w:hAnsi="Arial" w:eastAsia="宋体" w:cs="Arial"/>
          <w:snapToGrid w:val="0"/>
          <w:sz w:val="44"/>
          <w:szCs w:val="52"/>
        </w:rPr>
      </w:pPr>
      <w:r>
        <w:rPr>
          <w:rFonts w:ascii="Arial" w:hAnsi="Arial" w:eastAsia="宋体" w:cs="Arial"/>
          <w:snapToGrid w:val="0"/>
          <w:sz w:val="44"/>
          <w:szCs w:val="52"/>
        </w:rPr>
        <w:t>机构审查委员会、临床研究者和申办方指南</w:t>
      </w:r>
    </w:p>
    <w:p w14:paraId="6F9C6F2F">
      <w:pPr>
        <w:topLinePunct/>
        <w:adjustRightInd w:val="0"/>
        <w:snapToGrid w:val="0"/>
        <w:spacing w:after="224" w:afterLines="75" w:line="300" w:lineRule="auto"/>
        <w:jc w:val="center"/>
        <w:rPr>
          <w:rFonts w:ascii="Arial" w:hAnsi="Arial" w:eastAsia="宋体" w:cs="Arial"/>
          <w:snapToGrid w:val="0"/>
          <w:sz w:val="44"/>
          <w:szCs w:val="44"/>
        </w:rPr>
      </w:pPr>
      <w:r>
        <w:rPr>
          <w:rFonts w:ascii="Arial" w:hAnsi="Arial" w:eastAsia="宋体" w:cs="Arial"/>
          <w:snapToGrid w:val="0"/>
          <w:sz w:val="44"/>
          <w:szCs w:val="44"/>
        </w:rPr>
        <w:t>紧急研究豁免知情同意要求</w:t>
      </w:r>
    </w:p>
    <w:p w14:paraId="3E0E118C">
      <w:pPr>
        <w:pStyle w:val="6"/>
        <w:topLinePunct/>
        <w:adjustRightInd w:val="0"/>
        <w:snapToGrid w:val="0"/>
        <w:spacing w:after="224" w:afterLines="75" w:line="300" w:lineRule="auto"/>
        <w:ind w:left="0"/>
        <w:jc w:val="both"/>
        <w:rPr>
          <w:rFonts w:ascii="Arial" w:hAnsi="Arial" w:cs="Arial"/>
          <w:b/>
          <w:snapToGrid w:val="0"/>
        </w:rPr>
      </w:pPr>
      <w:bookmarkStart w:id="0" w:name="_bookmark0"/>
      <w:bookmarkEnd w:id="0"/>
    </w:p>
    <w:p w14:paraId="3CC3EC7F">
      <w:pPr>
        <w:pStyle w:val="6"/>
        <w:topLinePunct/>
        <w:adjustRightInd w:val="0"/>
        <w:snapToGrid w:val="0"/>
        <w:spacing w:after="224" w:afterLines="75" w:line="300" w:lineRule="auto"/>
        <w:ind w:left="0"/>
        <w:jc w:val="both"/>
        <w:rPr>
          <w:rFonts w:ascii="Arial" w:hAnsi="Arial" w:cs="Arial"/>
          <w:b/>
          <w:snapToGrid w:val="0"/>
        </w:rPr>
      </w:pPr>
    </w:p>
    <w:p w14:paraId="5774ED4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备注：</w:t>
      </w:r>
      <w:r>
        <w:rPr>
          <w:rFonts w:ascii="Arial" w:hAnsi="Arial" w:cs="Arial"/>
          <w:snapToGrid w:val="0"/>
        </w:rPr>
        <w:t>FDA于2013年4月对本指南做了以下更新：</w:t>
      </w:r>
    </w:p>
    <w:p w14:paraId="072A38F6">
      <w:pPr>
        <w:pStyle w:val="24"/>
        <w:numPr>
          <w:ilvl w:val="0"/>
          <w:numId w:val="1"/>
        </w:numPr>
        <w:topLinePunct/>
        <w:adjustRightInd w:val="0"/>
        <w:snapToGrid w:val="0"/>
        <w:spacing w:after="224" w:afterLines="75" w:line="300" w:lineRule="auto"/>
        <w:ind w:left="1360" w:leftChars="327" w:hanging="641"/>
        <w:jc w:val="both"/>
        <w:rPr>
          <w:rFonts w:ascii="Arial" w:hAnsi="Arial" w:eastAsia="宋体" w:cs="Arial"/>
          <w:snapToGrid w:val="0"/>
          <w:sz w:val="24"/>
          <w:szCs w:val="24"/>
        </w:rPr>
      </w:pPr>
      <w:r>
        <w:rPr>
          <w:rFonts w:ascii="Arial" w:hAnsi="Arial" w:eastAsia="宋体" w:cs="Arial"/>
          <w:snapToGrid w:val="0"/>
          <w:sz w:val="24"/>
          <w:szCs w:val="24"/>
        </w:rPr>
        <w:t>在问题18中，短语</w:t>
      </w:r>
      <w:r>
        <w:rPr>
          <w:rFonts w:ascii="宋体" w:hAnsi="宋体" w:eastAsia="宋体" w:cs="Arial"/>
          <w:snapToGrid w:val="0"/>
          <w:sz w:val="24"/>
          <w:szCs w:val="24"/>
        </w:rPr>
        <w:t>“</w:t>
      </w:r>
      <w:r>
        <w:rPr>
          <w:rFonts w:ascii="Arial" w:hAnsi="Arial" w:eastAsia="宋体" w:cs="Arial"/>
          <w:snapToGrid w:val="0"/>
          <w:sz w:val="24"/>
          <w:szCs w:val="24"/>
        </w:rPr>
        <w:t>除非已前瞻性地申请并从FDA处获得豁免</w:t>
      </w:r>
      <w:r>
        <w:rPr>
          <w:rFonts w:hint="eastAsia" w:ascii="宋体" w:hAnsi="宋体" w:eastAsia="宋体" w:cs="Arial"/>
          <w:snapToGrid w:val="0"/>
          <w:sz w:val="24"/>
          <w:szCs w:val="24"/>
        </w:rPr>
        <w:t>”</w:t>
      </w:r>
      <w:r>
        <w:rPr>
          <w:rFonts w:ascii="Arial" w:hAnsi="Arial" w:eastAsia="宋体" w:cs="Arial"/>
          <w:snapToGrid w:val="0"/>
          <w:sz w:val="24"/>
          <w:szCs w:val="24"/>
        </w:rPr>
        <w:t>已被删除。FDA进行了此更改，以便说明无适用于21 CFR 50.24的豁免规定。</w:t>
      </w:r>
    </w:p>
    <w:p w14:paraId="1F80ECED">
      <w:pPr>
        <w:pStyle w:val="24"/>
        <w:numPr>
          <w:ilvl w:val="0"/>
          <w:numId w:val="1"/>
        </w:numPr>
        <w:topLinePunct/>
        <w:adjustRightInd w:val="0"/>
        <w:snapToGrid w:val="0"/>
        <w:spacing w:after="224" w:afterLines="75" w:line="300" w:lineRule="auto"/>
        <w:ind w:left="1360" w:leftChars="327" w:hanging="641"/>
        <w:jc w:val="both"/>
        <w:rPr>
          <w:rFonts w:ascii="Arial" w:hAnsi="Arial" w:eastAsia="宋体" w:cs="Arial"/>
          <w:snapToGrid w:val="0"/>
          <w:sz w:val="24"/>
          <w:szCs w:val="24"/>
        </w:rPr>
      </w:pPr>
      <w:r>
        <w:rPr>
          <w:rFonts w:ascii="Arial" w:hAnsi="Arial" w:eastAsia="宋体" w:cs="Arial"/>
          <w:snapToGrid w:val="0"/>
          <w:sz w:val="24"/>
          <w:szCs w:val="24"/>
        </w:rPr>
        <w:t>在第XI节和其他地方，FDA进行了微小更改，以进一步说明有关</w:t>
      </w:r>
      <w:r>
        <w:rPr>
          <w:rFonts w:ascii="宋体" w:hAnsi="宋体" w:eastAsia="宋体" w:cs="Arial"/>
          <w:snapToGrid w:val="0"/>
          <w:sz w:val="24"/>
          <w:szCs w:val="24"/>
        </w:rPr>
        <w:t>“</w:t>
      </w:r>
      <w:r>
        <w:rPr>
          <w:rFonts w:ascii="Arial" w:hAnsi="Arial" w:eastAsia="宋体" w:cs="Arial"/>
          <w:snapToGrid w:val="0"/>
          <w:sz w:val="24"/>
          <w:szCs w:val="24"/>
        </w:rPr>
        <w:t>建立</w:t>
      </w:r>
      <w:r>
        <w:rPr>
          <w:rFonts w:ascii="宋体" w:hAnsi="宋体" w:eastAsia="宋体" w:cs="Arial"/>
          <w:snapToGrid w:val="0"/>
          <w:sz w:val="24"/>
          <w:szCs w:val="24"/>
        </w:rPr>
        <w:t>”“</w:t>
      </w:r>
      <w:r>
        <w:rPr>
          <w:rFonts w:ascii="Arial" w:hAnsi="Arial" w:eastAsia="宋体" w:cs="Arial"/>
          <w:snapToGrid w:val="0"/>
          <w:sz w:val="24"/>
          <w:szCs w:val="24"/>
        </w:rPr>
        <w:t>独立数据安全监督委员会（DMC）</w:t>
      </w:r>
      <w:r>
        <w:rPr>
          <w:rFonts w:ascii="宋体" w:hAnsi="宋体" w:eastAsia="宋体" w:cs="Arial"/>
          <w:snapToGrid w:val="0"/>
          <w:sz w:val="24"/>
          <w:szCs w:val="24"/>
        </w:rPr>
        <w:t>”</w:t>
      </w:r>
      <w:r>
        <w:rPr>
          <w:rFonts w:ascii="Arial" w:hAnsi="Arial" w:eastAsia="宋体" w:cs="Arial"/>
          <w:snapToGrid w:val="0"/>
          <w:sz w:val="24"/>
          <w:szCs w:val="24"/>
        </w:rPr>
        <w:t>规定。FDA认为，此法规规定允许申办方建立独立的DMC或使用已经建立的DMC来对临床研究进行监督。FDA认为，进行此说明可以帮助申办方满足法规要求。</w:t>
      </w:r>
    </w:p>
    <w:p w14:paraId="364DFE5B">
      <w:pPr>
        <w:topLinePunct/>
        <w:adjustRightInd w:val="0"/>
        <w:snapToGrid w:val="0"/>
        <w:spacing w:after="224" w:afterLines="75" w:line="300" w:lineRule="auto"/>
        <w:jc w:val="both"/>
        <w:rPr>
          <w:rFonts w:ascii="Arial" w:hAnsi="Arial" w:eastAsia="宋体" w:cs="Arial"/>
          <w:b/>
          <w:snapToGrid w:val="0"/>
          <w:sz w:val="24"/>
          <w:szCs w:val="24"/>
        </w:rPr>
      </w:pPr>
    </w:p>
    <w:p w14:paraId="6923C571">
      <w:pPr>
        <w:topLinePunct/>
        <w:adjustRightInd w:val="0"/>
        <w:snapToGrid w:val="0"/>
        <w:spacing w:after="224" w:afterLines="75" w:line="300" w:lineRule="auto"/>
        <w:jc w:val="both"/>
        <w:rPr>
          <w:rFonts w:ascii="Arial" w:hAnsi="Arial" w:eastAsia="宋体" w:cs="Arial"/>
          <w:b/>
          <w:snapToGrid w:val="0"/>
          <w:sz w:val="24"/>
          <w:szCs w:val="24"/>
        </w:rPr>
      </w:pPr>
    </w:p>
    <w:p w14:paraId="56C071BE">
      <w:pPr>
        <w:topLinePunct/>
        <w:adjustRightInd w:val="0"/>
        <w:snapToGrid w:val="0"/>
        <w:spacing w:after="224" w:afterLines="75" w:line="300" w:lineRule="auto"/>
        <w:jc w:val="both"/>
        <w:rPr>
          <w:rFonts w:ascii="Arial" w:hAnsi="Arial" w:eastAsia="宋体" w:cs="Arial"/>
          <w:b/>
          <w:snapToGrid w:val="0"/>
          <w:sz w:val="24"/>
          <w:szCs w:val="24"/>
        </w:rPr>
      </w:pPr>
    </w:p>
    <w:p w14:paraId="2FD860FD">
      <w:pPr>
        <w:topLinePunct/>
        <w:adjustRightInd w:val="0"/>
        <w:snapToGrid w:val="0"/>
        <w:spacing w:after="224" w:afterLines="75" w:line="300" w:lineRule="auto"/>
        <w:jc w:val="both"/>
        <w:rPr>
          <w:rFonts w:ascii="Arial" w:hAnsi="Arial" w:eastAsia="宋体" w:cs="Arial"/>
          <w:b/>
          <w:snapToGrid w:val="0"/>
          <w:sz w:val="24"/>
          <w:szCs w:val="24"/>
        </w:rPr>
      </w:pPr>
    </w:p>
    <w:p w14:paraId="3DDF1CD8">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美国卫生</w:t>
      </w:r>
      <w:r>
        <w:rPr>
          <w:rFonts w:hint="eastAsia" w:ascii="Arial" w:hAnsi="Arial" w:eastAsia="宋体" w:cs="Arial"/>
          <w:b/>
          <w:snapToGrid w:val="0"/>
          <w:sz w:val="24"/>
          <w:szCs w:val="24"/>
        </w:rPr>
        <w:t>和</w:t>
      </w:r>
      <w:r>
        <w:rPr>
          <w:rFonts w:ascii="Arial" w:hAnsi="Arial" w:eastAsia="宋体" w:cs="Arial"/>
          <w:b/>
          <w:snapToGrid w:val="0"/>
          <w:sz w:val="24"/>
          <w:szCs w:val="24"/>
        </w:rPr>
        <w:t>人类服务署</w:t>
      </w:r>
    </w:p>
    <w:p w14:paraId="69271382">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食品药品监督管理局</w:t>
      </w:r>
    </w:p>
    <w:p w14:paraId="6127B6F0">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良好临床试验规范办公室</w:t>
      </w:r>
    </w:p>
    <w:p w14:paraId="1B245671">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生物制剂评价和研究中心</w:t>
      </w:r>
    </w:p>
    <w:p w14:paraId="211911A9">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药品评价和研究中心</w:t>
      </w:r>
    </w:p>
    <w:p w14:paraId="2220C1C2">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器械</w:t>
      </w:r>
      <w:r>
        <w:rPr>
          <w:rFonts w:hint="eastAsia" w:ascii="Arial" w:hAnsi="Arial" w:eastAsia="宋体" w:cs="Arial"/>
          <w:b/>
          <w:snapToGrid w:val="0"/>
          <w:sz w:val="24"/>
          <w:szCs w:val="24"/>
        </w:rPr>
        <w:t>和</w:t>
      </w:r>
      <w:r>
        <w:rPr>
          <w:rFonts w:ascii="Arial" w:hAnsi="Arial" w:eastAsia="宋体" w:cs="Arial"/>
          <w:b/>
          <w:snapToGrid w:val="0"/>
          <w:sz w:val="24"/>
          <w:szCs w:val="24"/>
        </w:rPr>
        <w:t>放射卫生中心</w:t>
      </w:r>
    </w:p>
    <w:p w14:paraId="72812EC0">
      <w:pPr>
        <w:topLinePunct/>
        <w:adjustRightInd w:val="0"/>
        <w:snapToGrid w:val="0"/>
        <w:spacing w:line="300" w:lineRule="auto"/>
        <w:jc w:val="center"/>
        <w:rPr>
          <w:rFonts w:ascii="Arial" w:hAnsi="Arial" w:eastAsia="宋体" w:cs="Arial"/>
          <w:b/>
          <w:snapToGrid w:val="0"/>
          <w:sz w:val="24"/>
          <w:szCs w:val="24"/>
        </w:rPr>
      </w:pPr>
    </w:p>
    <w:p w14:paraId="03C0F74F">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2001年3月</w:t>
      </w:r>
    </w:p>
    <w:p w14:paraId="4E95D036">
      <w:pPr>
        <w:topLinePunct/>
        <w:adjustRightInd w:val="0"/>
        <w:snapToGrid w:val="0"/>
        <w:spacing w:line="300" w:lineRule="auto"/>
        <w:jc w:val="center"/>
        <w:rPr>
          <w:rFonts w:ascii="Arial" w:hAnsi="Arial" w:eastAsia="宋体" w:cs="Arial"/>
          <w:b/>
          <w:snapToGrid w:val="0"/>
          <w:sz w:val="24"/>
          <w:szCs w:val="24"/>
        </w:rPr>
      </w:pPr>
      <w:r>
        <w:rPr>
          <w:rFonts w:ascii="Arial" w:hAnsi="Arial" w:eastAsia="宋体" w:cs="Arial"/>
          <w:b/>
          <w:snapToGrid w:val="0"/>
          <w:sz w:val="24"/>
          <w:szCs w:val="24"/>
        </w:rPr>
        <w:t>于2013年4月更新</w:t>
      </w:r>
    </w:p>
    <w:p w14:paraId="1B0D9105">
      <w:pPr>
        <w:topLinePunct/>
        <w:adjustRightInd w:val="0"/>
        <w:snapToGrid w:val="0"/>
        <w:spacing w:line="300" w:lineRule="auto"/>
        <w:jc w:val="center"/>
        <w:rPr>
          <w:rFonts w:ascii="Arial" w:hAnsi="Arial" w:eastAsia="宋体" w:cs="Arial"/>
          <w:b/>
          <w:snapToGrid w:val="0"/>
          <w:sz w:val="24"/>
          <w:szCs w:val="24"/>
        </w:rPr>
      </w:pPr>
    </w:p>
    <w:p w14:paraId="1CDC5177">
      <w:pPr>
        <w:topLinePunct/>
        <w:adjustRightInd w:val="0"/>
        <w:snapToGrid w:val="0"/>
        <w:spacing w:line="300" w:lineRule="auto"/>
        <w:jc w:val="center"/>
        <w:rPr>
          <w:rFonts w:ascii="Arial" w:hAnsi="Arial" w:eastAsia="宋体" w:cs="Arial"/>
          <w:snapToGrid w:val="0"/>
          <w:sz w:val="24"/>
          <w:szCs w:val="24"/>
        </w:rPr>
      </w:pPr>
      <w:r>
        <w:rPr>
          <w:rFonts w:ascii="Arial" w:hAnsi="Arial" w:eastAsia="宋体" w:cs="Arial"/>
          <w:b/>
          <w:snapToGrid w:val="0"/>
          <w:sz w:val="24"/>
          <w:szCs w:val="24"/>
        </w:rPr>
        <w:t>目录</w:t>
      </w:r>
    </w:p>
    <w:p w14:paraId="266D5EEA">
      <w:pPr>
        <w:topLinePunct/>
        <w:adjustRightInd w:val="0"/>
        <w:snapToGrid w:val="0"/>
        <w:spacing w:after="224" w:afterLines="75" w:line="300" w:lineRule="auto"/>
        <w:jc w:val="both"/>
        <w:rPr>
          <w:rFonts w:ascii="Arial" w:hAnsi="Arial" w:eastAsia="宋体" w:cs="Arial"/>
          <w:b/>
          <w:bCs/>
          <w:snapToGrid w:val="0"/>
          <w:sz w:val="24"/>
          <w:szCs w:val="24"/>
        </w:rPr>
      </w:pPr>
      <w:r>
        <w:rPr>
          <w:rFonts w:ascii="Arial" w:hAnsi="Arial" w:eastAsia="宋体" w:cs="Arial"/>
          <w:snapToGrid w:val="0"/>
          <w:sz w:val="24"/>
          <w:szCs w:val="24"/>
        </w:rPr>
        <w:br w:type="page"/>
      </w:r>
    </w:p>
    <w:p w14:paraId="7F6F6E85">
      <w:pPr>
        <w:pStyle w:val="13"/>
        <w:tabs>
          <w:tab w:val="right" w:leader="dot" w:pos="9016"/>
        </w:tabs>
        <w:snapToGrid w:val="0"/>
        <w:ind w:right="440"/>
        <w:rPr>
          <w:rFonts w:cs="Arial"/>
          <w:snapToGrid w:val="0"/>
        </w:rPr>
      </w:pPr>
      <w:r>
        <w:rPr>
          <w:rFonts w:hint="eastAsia" w:cs="Arial"/>
          <w:snapToGrid w:val="0"/>
        </w:rPr>
        <w:t>备注：在问题18中，短语“除非已前瞻性地申请并从FDA处获得豁免“已被删除。FDA进行了此更改，以便说明无适用于21 CFR 50.24的豁免规定。</w:t>
      </w:r>
      <w:r>
        <w:rPr>
          <w:rFonts w:hint="eastAsia" w:cs="Arial"/>
          <w:snapToGrid w:val="0"/>
        </w:rPr>
        <w:tab/>
      </w:r>
      <w:r>
        <w:rPr>
          <w:rFonts w:hint="eastAsia" w:cs="Arial"/>
          <w:snapToGrid w:val="0"/>
        </w:rPr>
        <w:t>3</w:t>
      </w:r>
    </w:p>
    <w:p w14:paraId="3B9DB150">
      <w:pPr>
        <w:pStyle w:val="13"/>
        <w:tabs>
          <w:tab w:val="right" w:leader="dot" w:pos="9016"/>
        </w:tabs>
        <w:ind w:right="440"/>
        <w:rPr>
          <w:rFonts w:asciiTheme="minorHAnsi" w:hAnsiTheme="minorHAnsi" w:eastAsiaTheme="minorEastAsia"/>
          <w:b w:val="0"/>
          <w:bCs w:val="0"/>
          <w:kern w:val="2"/>
          <w:sz w:val="21"/>
          <w:szCs w:val="22"/>
        </w:rPr>
      </w:pPr>
      <w:r>
        <w:rPr>
          <w:rFonts w:cs="Arial"/>
          <w:i/>
          <w:snapToGrid w:val="0"/>
        </w:rPr>
        <w:fldChar w:fldCharType="begin"/>
      </w:r>
      <w:r>
        <w:rPr>
          <w:rFonts w:cs="Arial"/>
          <w:i/>
          <w:snapToGrid w:val="0"/>
        </w:rPr>
        <w:instrText xml:space="preserve"> TOC \o "1-3" \h \z \u </w:instrText>
      </w:r>
      <w:r>
        <w:rPr>
          <w:rFonts w:cs="Arial"/>
          <w:i/>
          <w:snapToGrid w:val="0"/>
        </w:rPr>
        <w:fldChar w:fldCharType="separate"/>
      </w:r>
      <w:r>
        <w:fldChar w:fldCharType="begin"/>
      </w:r>
      <w:r>
        <w:instrText xml:space="preserve"> HYPERLINK \l "_Toc498446421" </w:instrText>
      </w:r>
      <w:r>
        <w:fldChar w:fldCharType="separate"/>
      </w:r>
      <w:r>
        <w:rPr>
          <w:rStyle w:val="21"/>
          <w:rFonts w:hint="eastAsia" w:cs="Arial"/>
          <w:snapToGrid w:val="0"/>
        </w:rPr>
        <w:t>机构审查委员会、临床研究者和申办方指南</w:t>
      </w:r>
      <w:r>
        <w:tab/>
      </w:r>
      <w:r>
        <w:fldChar w:fldCharType="begin"/>
      </w:r>
      <w:r>
        <w:instrText xml:space="preserve"> PAGEREF _Toc498446421 \h </w:instrText>
      </w:r>
      <w:r>
        <w:fldChar w:fldCharType="separate"/>
      </w:r>
      <w:r>
        <w:t>1</w:t>
      </w:r>
      <w:r>
        <w:fldChar w:fldCharType="end"/>
      </w:r>
      <w:r>
        <w:fldChar w:fldCharType="end"/>
      </w:r>
    </w:p>
    <w:p w14:paraId="2BA80CAD">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"_Toc498446422" </w:instrText>
      </w:r>
      <w:r>
        <w:fldChar w:fldCharType="separate"/>
      </w:r>
      <w:r>
        <w:rPr>
          <w:rStyle w:val="21"/>
          <w:rFonts w:eastAsia="Times New Roman" w:cs="Arial"/>
          <w:snapToGrid w:val="0"/>
          <w:spacing w:val="-1"/>
          <w:w w:val="99"/>
        </w:rPr>
        <w:t>I.</w:t>
      </w:r>
      <w:r>
        <w:rPr>
          <w:rFonts w:asciiTheme="minorHAnsi" w:hAnsiTheme="minorHAnsi" w:eastAsiaTheme="minorEastAsia"/>
          <w:b w:val="0"/>
          <w:bCs w:val="0"/>
          <w:i w:val="0"/>
          <w:kern w:val="2"/>
          <w:sz w:val="21"/>
        </w:rPr>
        <w:tab/>
      </w:r>
      <w:r>
        <w:rPr>
          <w:rStyle w:val="21"/>
          <w:rFonts w:hint="eastAsia" w:cs="Arial"/>
          <w:snapToGrid w:val="0"/>
        </w:rPr>
        <w:t>概述</w:t>
      </w:r>
      <w:r>
        <w:tab/>
      </w:r>
      <w:r>
        <w:fldChar w:fldCharType="begin"/>
      </w:r>
      <w:r>
        <w:instrText xml:space="preserve"> PAGEREF _Toc498446422 \h </w:instrText>
      </w:r>
      <w:r>
        <w:fldChar w:fldCharType="separate"/>
      </w:r>
      <w:r>
        <w:t>2</w:t>
      </w:r>
      <w:r>
        <w:fldChar w:fldCharType="end"/>
      </w:r>
      <w:r>
        <w:fldChar w:fldCharType="end"/>
      </w:r>
    </w:p>
    <w:p w14:paraId="68FB0EA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"_Toc498446423" </w:instrText>
      </w:r>
      <w:r>
        <w:fldChar w:fldCharType="separate"/>
      </w:r>
      <w:r>
        <w:rPr>
          <w:rStyle w:val="21"/>
          <w:rFonts w:eastAsia="Times New Roman" w:cs="Arial"/>
          <w:snapToGrid w:val="0"/>
        </w:rPr>
        <w:t>1.</w:t>
      </w:r>
      <w:r>
        <w:rPr>
          <w:rFonts w:asciiTheme="minorHAnsi" w:hAnsiTheme="minorHAnsi" w:eastAsiaTheme="minorEastAsia"/>
          <w:b w:val="0"/>
          <w:bCs w:val="0"/>
          <w:kern w:val="2"/>
          <w:sz w:val="21"/>
        </w:rPr>
        <w:tab/>
      </w:r>
      <w:r>
        <w:rPr>
          <w:rStyle w:val="21"/>
          <w:rFonts w:hint="eastAsia" w:cs="Arial"/>
          <w:snapToGrid w:val="0"/>
        </w:rPr>
        <w:t>可以在那里找到有关紧急研究豁免知情同意的法规？</w:t>
      </w:r>
      <w:r>
        <w:tab/>
      </w:r>
      <w:r>
        <w:fldChar w:fldCharType="begin"/>
      </w:r>
      <w:r>
        <w:instrText xml:space="preserve"> PAGEREF _Toc498446423 \h </w:instrText>
      </w:r>
      <w:r>
        <w:fldChar w:fldCharType="separate"/>
      </w:r>
      <w:r>
        <w:t>2</w:t>
      </w:r>
      <w:r>
        <w:fldChar w:fldCharType="end"/>
      </w:r>
      <w:r>
        <w:fldChar w:fldCharType="end"/>
      </w:r>
    </w:p>
    <w:p w14:paraId="026F0E2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"_Toc498446424" </w:instrText>
      </w:r>
      <w:r>
        <w:fldChar w:fldCharType="separate"/>
      </w:r>
      <w:r>
        <w:rPr>
          <w:rStyle w:val="21"/>
          <w:rFonts w:eastAsia="Times New Roman" w:cs="Arial"/>
          <w:snapToGrid w:val="0"/>
        </w:rPr>
        <w:t>2.</w:t>
      </w:r>
      <w:r>
        <w:rPr>
          <w:rFonts w:asciiTheme="minorHAnsi" w:hAnsiTheme="minorHAnsi" w:eastAsiaTheme="minorEastAsia"/>
          <w:b w:val="0"/>
          <w:bCs w:val="0"/>
          <w:kern w:val="2"/>
          <w:sz w:val="21"/>
        </w:rPr>
        <w:tab/>
      </w:r>
      <w:r>
        <w:rPr>
          <w:rStyle w:val="21"/>
          <w:rFonts w:cs="Arial"/>
          <w:snapToGrid w:val="0"/>
        </w:rPr>
        <w:t>FDA</w:t>
      </w:r>
      <w:r>
        <w:rPr>
          <w:rStyle w:val="21"/>
          <w:rFonts w:hint="eastAsia" w:cs="Arial"/>
          <w:snapToGrid w:val="0"/>
        </w:rPr>
        <w:t>为什么在</w:t>
      </w:r>
      <w:r>
        <w:rPr>
          <w:rStyle w:val="21"/>
          <w:rFonts w:cs="Arial"/>
          <w:snapToGrid w:val="0"/>
        </w:rPr>
        <w:t>21 CFR 50.24</w:t>
      </w:r>
      <w:r>
        <w:rPr>
          <w:rStyle w:val="21"/>
          <w:rFonts w:hint="eastAsia" w:cs="Arial"/>
          <w:snapToGrid w:val="0"/>
        </w:rPr>
        <w:t>中发布该法规？</w:t>
      </w:r>
      <w:r>
        <w:tab/>
      </w:r>
      <w:r>
        <w:fldChar w:fldCharType="begin"/>
      </w:r>
      <w:r>
        <w:instrText xml:space="preserve"> PAGEREF _Toc498446424 \h </w:instrText>
      </w:r>
      <w:r>
        <w:fldChar w:fldCharType="separate"/>
      </w:r>
      <w:r>
        <w:t>2</w:t>
      </w:r>
      <w:r>
        <w:fldChar w:fldCharType="end"/>
      </w:r>
      <w:r>
        <w:fldChar w:fldCharType="end"/>
      </w:r>
    </w:p>
    <w:p w14:paraId="797E4840">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"_Toc498446425" </w:instrText>
      </w:r>
      <w:r>
        <w:fldChar w:fldCharType="separate"/>
      </w:r>
      <w:r>
        <w:rPr>
          <w:rStyle w:val="21"/>
          <w:rFonts w:eastAsia="Times New Roman" w:cs="Arial"/>
          <w:snapToGrid w:val="0"/>
        </w:rPr>
        <w:t>3.</w:t>
      </w:r>
      <w:r>
        <w:rPr>
          <w:rFonts w:asciiTheme="minorHAnsi" w:hAnsiTheme="minorHAnsi" w:eastAsiaTheme="minorEastAsia"/>
          <w:b w:val="0"/>
          <w:bCs w:val="0"/>
          <w:kern w:val="2"/>
          <w:sz w:val="21"/>
        </w:rPr>
        <w:tab/>
      </w:r>
      <w:r>
        <w:rPr>
          <w:rStyle w:val="21"/>
          <w:rFonts w:hint="eastAsia" w:cs="Arial"/>
          <w:snapToGrid w:val="0"/>
        </w:rPr>
        <w:t>紧急研究为什么具有特殊性？</w:t>
      </w:r>
      <w:r>
        <w:tab/>
      </w:r>
      <w:r>
        <w:fldChar w:fldCharType="begin"/>
      </w:r>
      <w:r>
        <w:instrText xml:space="preserve"> PAGEREF _Toc498446425 \h </w:instrText>
      </w:r>
      <w:r>
        <w:fldChar w:fldCharType="separate"/>
      </w:r>
      <w:r>
        <w:t>2</w:t>
      </w:r>
      <w:r>
        <w:fldChar w:fldCharType="end"/>
      </w:r>
      <w:r>
        <w:fldChar w:fldCharType="end"/>
      </w:r>
    </w:p>
    <w:p w14:paraId="7CA6C2E6">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"_Toc498446426" </w:instrText>
      </w:r>
      <w:r>
        <w:fldChar w:fldCharType="separate"/>
      </w:r>
      <w:r>
        <w:rPr>
          <w:rStyle w:val="21"/>
          <w:rFonts w:eastAsia="Times New Roman" w:cs="Arial"/>
          <w:snapToGrid w:val="0"/>
        </w:rPr>
        <w:t>4.</w:t>
      </w:r>
      <w:r>
        <w:rPr>
          <w:rFonts w:asciiTheme="minorHAnsi" w:hAnsiTheme="minorHAnsi" w:eastAsiaTheme="minorEastAsia"/>
          <w:b w:val="0"/>
          <w:bCs w:val="0"/>
          <w:kern w:val="2"/>
          <w:sz w:val="21"/>
        </w:rPr>
        <w:tab/>
      </w:r>
      <w:r>
        <w:rPr>
          <w:rStyle w:val="21"/>
          <w:rFonts w:hint="eastAsia" w:cs="Arial"/>
          <w:snapToGrid w:val="0"/>
        </w:rPr>
        <w:t>根据</w:t>
      </w:r>
      <w:r>
        <w:rPr>
          <w:rStyle w:val="21"/>
          <w:rFonts w:cs="Arial"/>
          <w:snapToGrid w:val="0"/>
        </w:rPr>
        <w:t>21 CFR 50.24</w:t>
      </w:r>
      <w:r>
        <w:rPr>
          <w:rStyle w:val="21"/>
          <w:rFonts w:hint="eastAsia" w:cs="Arial"/>
          <w:snapToGrid w:val="0"/>
        </w:rPr>
        <w:t>进行研究的各方有什么附加责任？</w:t>
      </w:r>
      <w:r>
        <w:tab/>
      </w:r>
      <w:r>
        <w:fldChar w:fldCharType="begin"/>
      </w:r>
      <w:r>
        <w:instrText xml:space="preserve"> PAGEREF _Toc498446426 \h </w:instrText>
      </w:r>
      <w:r>
        <w:fldChar w:fldCharType="separate"/>
      </w:r>
      <w:r>
        <w:t>2</w:t>
      </w:r>
      <w:r>
        <w:fldChar w:fldCharType="end"/>
      </w:r>
      <w:r>
        <w:fldChar w:fldCharType="end"/>
      </w:r>
    </w:p>
    <w:p w14:paraId="248FE7D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"_Toc498446427" </w:instrText>
      </w:r>
      <w:r>
        <w:fldChar w:fldCharType="separate"/>
      </w:r>
      <w:r>
        <w:rPr>
          <w:rStyle w:val="21"/>
          <w:rFonts w:eastAsia="Times New Roman" w:cs="Arial"/>
          <w:snapToGrid w:val="0"/>
        </w:rPr>
        <w:t>5.</w:t>
      </w:r>
      <w:r>
        <w:rPr>
          <w:rFonts w:asciiTheme="minorHAnsi" w:hAnsiTheme="minorHAnsi" w:eastAsiaTheme="minorEastAsia"/>
          <w:b w:val="0"/>
          <w:bCs w:val="0"/>
          <w:kern w:val="2"/>
          <w:sz w:val="21"/>
        </w:rPr>
        <w:tab/>
      </w:r>
      <w:r>
        <w:rPr>
          <w:rStyle w:val="21"/>
          <w:rFonts w:hint="eastAsia" w:cs="Arial"/>
          <w:snapToGrid w:val="0"/>
        </w:rPr>
        <w:t>紧急研究法规何时生效？</w:t>
      </w:r>
      <w:r>
        <w:tab/>
      </w:r>
      <w:r>
        <w:fldChar w:fldCharType="begin"/>
      </w:r>
      <w:r>
        <w:instrText xml:space="preserve"> PAGEREF _Toc498446427 \h </w:instrText>
      </w:r>
      <w:r>
        <w:fldChar w:fldCharType="separate"/>
      </w:r>
      <w:r>
        <w:t>3</w:t>
      </w:r>
      <w:r>
        <w:fldChar w:fldCharType="end"/>
      </w:r>
      <w:r>
        <w:fldChar w:fldCharType="end"/>
      </w:r>
    </w:p>
    <w:p w14:paraId="3FBF024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"_Toc498446428" </w:instrText>
      </w:r>
      <w:r>
        <w:fldChar w:fldCharType="separate"/>
      </w:r>
      <w:r>
        <w:rPr>
          <w:rStyle w:val="21"/>
          <w:rFonts w:eastAsia="Times New Roman" w:cs="Arial"/>
          <w:snapToGrid w:val="0"/>
        </w:rPr>
        <w:t>6.</w:t>
      </w:r>
      <w:r>
        <w:rPr>
          <w:rFonts w:asciiTheme="minorHAnsi" w:hAnsiTheme="minorHAnsi" w:eastAsiaTheme="minorEastAsia"/>
          <w:b w:val="0"/>
          <w:bCs w:val="0"/>
          <w:kern w:val="2"/>
          <w:sz w:val="21"/>
        </w:rPr>
        <w:tab/>
      </w:r>
      <w:r>
        <w:rPr>
          <w:rStyle w:val="21"/>
          <w:rFonts w:cs="Arial"/>
          <w:snapToGrid w:val="0"/>
        </w:rPr>
        <w:t>FDA</w:t>
      </w:r>
      <w:r>
        <w:rPr>
          <w:rStyle w:val="21"/>
          <w:rFonts w:hint="eastAsia" w:cs="Arial"/>
          <w:snapToGrid w:val="0"/>
        </w:rPr>
        <w:t>为什么发布此指南？</w:t>
      </w:r>
      <w:r>
        <w:tab/>
      </w:r>
      <w:r>
        <w:fldChar w:fldCharType="begin"/>
      </w:r>
      <w:r>
        <w:instrText xml:space="preserve"> PAGEREF _Toc498446428 \h </w:instrText>
      </w:r>
      <w:r>
        <w:fldChar w:fldCharType="separate"/>
      </w:r>
      <w:r>
        <w:t>3</w:t>
      </w:r>
      <w:r>
        <w:fldChar w:fldCharType="end"/>
      </w:r>
      <w:r>
        <w:fldChar w:fldCharType="end"/>
      </w:r>
    </w:p>
    <w:p w14:paraId="1DC7DE80">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"_Toc498446429" </w:instrText>
      </w:r>
      <w:r>
        <w:fldChar w:fldCharType="separate"/>
      </w:r>
      <w:r>
        <w:rPr>
          <w:rStyle w:val="21"/>
          <w:rFonts w:eastAsia="Times New Roman" w:cs="Arial"/>
          <w:snapToGrid w:val="0"/>
        </w:rPr>
        <w:t>7.</w:t>
      </w:r>
      <w:r>
        <w:rPr>
          <w:rFonts w:asciiTheme="minorHAnsi" w:hAnsiTheme="minorHAnsi" w:eastAsiaTheme="minorEastAsia"/>
          <w:b w:val="0"/>
          <w:bCs w:val="0"/>
          <w:kern w:val="2"/>
          <w:sz w:val="21"/>
        </w:rPr>
        <w:tab/>
      </w:r>
      <w:r>
        <w:rPr>
          <w:rStyle w:val="21"/>
          <w:rFonts w:hint="eastAsia" w:cs="Arial"/>
          <w:snapToGrid w:val="0"/>
        </w:rPr>
        <w:t>可以继续进行已豁免知情同意的研究前，</w:t>
      </w:r>
      <w:r>
        <w:rPr>
          <w:rStyle w:val="21"/>
          <w:rFonts w:cs="Arial"/>
          <w:snapToGrid w:val="0"/>
        </w:rPr>
        <w:t>IRB</w:t>
      </w:r>
      <w:r>
        <w:rPr>
          <w:rStyle w:val="21"/>
          <w:rFonts w:hint="eastAsia" w:cs="Arial"/>
          <w:snapToGrid w:val="0"/>
        </w:rPr>
        <w:t>需要确定和确认什么信息？</w:t>
      </w:r>
      <w:r>
        <w:tab/>
      </w:r>
      <w:r>
        <w:tab/>
      </w:r>
      <w:r>
        <w:fldChar w:fldCharType="begin"/>
      </w:r>
      <w:r>
        <w:instrText xml:space="preserve"> PAGEREF _Toc498446429 \h </w:instrText>
      </w:r>
      <w:r>
        <w:fldChar w:fldCharType="separate"/>
      </w:r>
      <w:r>
        <w:t>3</w:t>
      </w:r>
      <w:r>
        <w:fldChar w:fldCharType="end"/>
      </w:r>
      <w:r>
        <w:fldChar w:fldCharType="end"/>
      </w:r>
    </w:p>
    <w:p w14:paraId="17AF9384">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"_Toc498446430" </w:instrText>
      </w:r>
      <w:r>
        <w:fldChar w:fldCharType="separate"/>
      </w:r>
      <w:r>
        <w:rPr>
          <w:rStyle w:val="21"/>
          <w:rFonts w:eastAsia="Times New Roman" w:cs="Arial"/>
          <w:snapToGrid w:val="0"/>
        </w:rPr>
        <w:t>8.</w:t>
      </w:r>
      <w:r>
        <w:rPr>
          <w:rFonts w:asciiTheme="minorHAnsi" w:hAnsiTheme="minorHAnsi" w:eastAsiaTheme="minorEastAsia"/>
          <w:b w:val="0"/>
          <w:bCs w:val="0"/>
          <w:kern w:val="2"/>
          <w:sz w:val="21"/>
        </w:rPr>
        <w:tab/>
      </w:r>
      <w:r>
        <w:rPr>
          <w:rStyle w:val="21"/>
          <w:rFonts w:hint="eastAsia" w:cs="Arial"/>
          <w:snapToGrid w:val="0"/>
        </w:rPr>
        <w:t>紧急研究是否可以同时符合</w:t>
      </w:r>
      <w:r>
        <w:rPr>
          <w:rStyle w:val="21"/>
          <w:rFonts w:cs="Arial"/>
          <w:snapToGrid w:val="0"/>
        </w:rPr>
        <w:t>21 CFR 50.24</w:t>
      </w:r>
      <w:r>
        <w:rPr>
          <w:rStyle w:val="21"/>
          <w:rFonts w:hint="eastAsia" w:cs="Arial"/>
          <w:snapToGrid w:val="0"/>
        </w:rPr>
        <w:t>的</w:t>
      </w:r>
      <w:r>
        <w:rPr>
          <w:rStyle w:val="21"/>
          <w:rFonts w:cs="Arial"/>
          <w:snapToGrid w:val="0"/>
        </w:rPr>
        <w:t>FDA</w:t>
      </w:r>
      <w:r>
        <w:rPr>
          <w:rStyle w:val="21"/>
          <w:rFonts w:hint="eastAsia" w:cs="Arial"/>
          <w:snapToGrid w:val="0"/>
        </w:rPr>
        <w:t>法规和</w:t>
      </w:r>
      <w:r>
        <w:rPr>
          <w:rStyle w:val="21"/>
          <w:rFonts w:cs="Arial"/>
          <w:snapToGrid w:val="0"/>
        </w:rPr>
        <w:t>45 CFR</w:t>
      </w:r>
      <w:r>
        <w:rPr>
          <w:rStyle w:val="21"/>
          <w:rFonts w:hint="eastAsia" w:cs="Arial"/>
          <w:snapToGrid w:val="0"/>
        </w:rPr>
        <w:t>第</w:t>
      </w:r>
      <w:r>
        <w:rPr>
          <w:rStyle w:val="21"/>
          <w:rFonts w:cs="Arial"/>
          <w:snapToGrid w:val="0"/>
        </w:rPr>
        <w:t>46</w:t>
      </w:r>
      <w:r>
        <w:rPr>
          <w:rStyle w:val="21"/>
          <w:rFonts w:hint="eastAsia" w:cs="Arial"/>
          <w:snapToGrid w:val="0"/>
        </w:rPr>
        <w:t>部分的</w:t>
      </w:r>
      <w:r>
        <w:rPr>
          <w:rStyle w:val="21"/>
          <w:rFonts w:cs="Arial"/>
          <w:snapToGrid w:val="0"/>
        </w:rPr>
        <w:t>HHS</w:t>
      </w:r>
      <w:r>
        <w:rPr>
          <w:rStyle w:val="21"/>
          <w:rFonts w:hint="eastAsia" w:cs="Arial"/>
          <w:snapToGrid w:val="0"/>
        </w:rPr>
        <w:t>法规？</w:t>
      </w:r>
      <w:r>
        <w:tab/>
      </w:r>
      <w:r>
        <w:fldChar w:fldCharType="begin"/>
      </w:r>
      <w:r>
        <w:instrText xml:space="preserve"> PAGEREF _Toc498446430 \h </w:instrText>
      </w:r>
      <w:r>
        <w:fldChar w:fldCharType="separate"/>
      </w:r>
      <w:r>
        <w:t>4</w:t>
      </w:r>
      <w:r>
        <w:fldChar w:fldCharType="end"/>
      </w:r>
      <w:r>
        <w:fldChar w:fldCharType="end"/>
      </w:r>
    </w:p>
    <w:p w14:paraId="45BAFF93">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"_Toc498446431" </w:instrText>
      </w:r>
      <w:r>
        <w:fldChar w:fldCharType="separate"/>
      </w:r>
      <w:r>
        <w:rPr>
          <w:rStyle w:val="21"/>
          <w:rFonts w:eastAsia="Times New Roman" w:cs="Arial"/>
          <w:snapToGrid w:val="0"/>
        </w:rPr>
        <w:t>9.</w:t>
      </w:r>
      <w:r>
        <w:rPr>
          <w:rFonts w:asciiTheme="minorHAnsi" w:hAnsiTheme="minorHAnsi" w:eastAsiaTheme="minorEastAsia"/>
          <w:b w:val="0"/>
          <w:bCs w:val="0"/>
          <w:kern w:val="2"/>
          <w:sz w:val="21"/>
        </w:rPr>
        <w:tab/>
      </w:r>
      <w:r>
        <w:rPr>
          <w:rStyle w:val="21"/>
          <w:rFonts w:cs="Arial"/>
          <w:snapToGrid w:val="0"/>
        </w:rPr>
        <w:t>21 CFR 50.24</w:t>
      </w:r>
      <w:r>
        <w:rPr>
          <w:rStyle w:val="21"/>
          <w:rFonts w:hint="eastAsia" w:cs="Arial"/>
          <w:snapToGrid w:val="0"/>
        </w:rPr>
        <w:t>是否先于州法律？</w:t>
      </w:r>
      <w:r>
        <w:tab/>
      </w:r>
      <w:r>
        <w:fldChar w:fldCharType="begin"/>
      </w:r>
      <w:r>
        <w:instrText xml:space="preserve"> PAGEREF _Toc498446431 \h </w:instrText>
      </w:r>
      <w:r>
        <w:fldChar w:fldCharType="separate"/>
      </w:r>
      <w:r>
        <w:t>4</w:t>
      </w:r>
      <w:r>
        <w:fldChar w:fldCharType="end"/>
      </w:r>
      <w:r>
        <w:fldChar w:fldCharType="end"/>
      </w:r>
    </w:p>
    <w:p w14:paraId="31EB9554">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"_Toc498446432" </w:instrText>
      </w:r>
      <w:r>
        <w:fldChar w:fldCharType="separate"/>
      </w:r>
      <w:r>
        <w:rPr>
          <w:rStyle w:val="21"/>
          <w:rFonts w:eastAsia="Times New Roman" w:cs="Arial"/>
          <w:snapToGrid w:val="0"/>
        </w:rPr>
        <w:t>10.</w:t>
      </w:r>
      <w:r>
        <w:rPr>
          <w:rFonts w:asciiTheme="minorHAnsi" w:hAnsiTheme="minorHAnsi" w:eastAsiaTheme="minorEastAsia"/>
          <w:b w:val="0"/>
          <w:bCs w:val="0"/>
          <w:kern w:val="2"/>
          <w:sz w:val="21"/>
        </w:rPr>
        <w:tab/>
      </w:r>
      <w:r>
        <w:rPr>
          <w:rStyle w:val="21"/>
          <w:rFonts w:hint="eastAsia" w:cs="Arial"/>
          <w:snapToGrid w:val="0"/>
        </w:rPr>
        <w:t>根据</w:t>
      </w:r>
      <w:r>
        <w:rPr>
          <w:rStyle w:val="21"/>
          <w:rFonts w:cs="Arial"/>
          <w:snapToGrid w:val="0"/>
        </w:rPr>
        <w:t>21 CFR 50.24</w:t>
      </w:r>
      <w:r>
        <w:rPr>
          <w:rStyle w:val="21"/>
          <w:rFonts w:hint="eastAsia" w:cs="Arial"/>
          <w:snapToGrid w:val="0"/>
        </w:rPr>
        <w:t>进行的研究是否需要单独提交研究性新药申请（</w:t>
      </w:r>
      <w:r>
        <w:rPr>
          <w:rStyle w:val="21"/>
          <w:rFonts w:cs="Arial"/>
          <w:snapToGrid w:val="0"/>
        </w:rPr>
        <w:t>IND</w:t>
      </w:r>
      <w:r>
        <w:rPr>
          <w:rStyle w:val="21"/>
          <w:rFonts w:hint="eastAsia" w:cs="Arial"/>
          <w:snapToGrid w:val="0"/>
        </w:rPr>
        <w:t>）或研究性器械豁免（</w:t>
      </w:r>
      <w:r>
        <w:rPr>
          <w:rStyle w:val="21"/>
          <w:rFonts w:cs="Arial"/>
          <w:snapToGrid w:val="0"/>
        </w:rPr>
        <w:t>IDE</w:t>
      </w:r>
      <w:r>
        <w:rPr>
          <w:rStyle w:val="21"/>
          <w:rFonts w:hint="eastAsia" w:cs="Arial"/>
          <w:snapToGrid w:val="0"/>
        </w:rPr>
        <w:t>）？</w:t>
      </w:r>
      <w:r>
        <w:tab/>
      </w:r>
      <w:r>
        <w:fldChar w:fldCharType="begin"/>
      </w:r>
      <w:r>
        <w:instrText xml:space="preserve"> PAGEREF _Toc498446432 \h </w:instrText>
      </w:r>
      <w:r>
        <w:fldChar w:fldCharType="separate"/>
      </w:r>
      <w:r>
        <w:t>4</w:t>
      </w:r>
      <w:r>
        <w:fldChar w:fldCharType="end"/>
      </w:r>
      <w:r>
        <w:fldChar w:fldCharType="end"/>
      </w:r>
    </w:p>
    <w:p w14:paraId="35CC72B6">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"_Toc498446433" </w:instrText>
      </w:r>
      <w:r>
        <w:fldChar w:fldCharType="separate"/>
      </w:r>
      <w:r>
        <w:rPr>
          <w:rStyle w:val="21"/>
          <w:rFonts w:eastAsia="Times New Roman" w:cs="Arial"/>
          <w:snapToGrid w:val="0"/>
        </w:rPr>
        <w:t>11.</w:t>
      </w:r>
      <w:r>
        <w:rPr>
          <w:rFonts w:asciiTheme="minorHAnsi" w:hAnsiTheme="minorHAnsi" w:eastAsiaTheme="minorEastAsia"/>
          <w:b w:val="0"/>
          <w:bCs w:val="0"/>
          <w:kern w:val="2"/>
          <w:sz w:val="21"/>
        </w:rPr>
        <w:tab/>
      </w:r>
      <w:r>
        <w:rPr>
          <w:rStyle w:val="21"/>
          <w:rFonts w:hint="eastAsia" w:cs="Arial"/>
          <w:snapToGrid w:val="0"/>
        </w:rPr>
        <w:t>根据</w:t>
      </w:r>
      <w:r>
        <w:rPr>
          <w:rStyle w:val="21"/>
          <w:rFonts w:ascii="宋体" w:hAnsi="宋体" w:cs="Arial"/>
          <w:snapToGrid w:val="0"/>
        </w:rPr>
        <w:t>“</w:t>
      </w:r>
      <w:r>
        <w:rPr>
          <w:rStyle w:val="21"/>
          <w:rFonts w:cs="Arial"/>
          <w:snapToGrid w:val="0"/>
        </w:rPr>
        <w:t>21 CFR 50.24</w:t>
      </w:r>
      <w:r>
        <w:rPr>
          <w:rStyle w:val="21"/>
          <w:rFonts w:ascii="宋体" w:hAnsi="宋体" w:cs="Arial"/>
          <w:snapToGrid w:val="0"/>
        </w:rPr>
        <w:t>”</w:t>
      </w:r>
      <w:r>
        <w:rPr>
          <w:rStyle w:val="21"/>
          <w:rFonts w:hint="eastAsia" w:cs="Arial"/>
          <w:snapToGrid w:val="0"/>
        </w:rPr>
        <w:t>进行研究时，必须向</w:t>
      </w:r>
      <w:r>
        <w:rPr>
          <w:rStyle w:val="21"/>
          <w:rFonts w:cs="Arial"/>
          <w:snapToGrid w:val="0"/>
        </w:rPr>
        <w:t>FDA</w:t>
      </w:r>
      <w:r>
        <w:rPr>
          <w:rStyle w:val="21"/>
          <w:rFonts w:hint="eastAsia" w:cs="Arial"/>
          <w:snapToGrid w:val="0"/>
        </w:rPr>
        <w:t>提交哪些信息？</w:t>
      </w:r>
      <w:r>
        <w:tab/>
      </w:r>
      <w:r>
        <w:tab/>
      </w:r>
      <w:r>
        <w:fldChar w:fldCharType="begin"/>
      </w:r>
      <w:r>
        <w:instrText xml:space="preserve"> PAGEREF _Toc498446433 \h </w:instrText>
      </w:r>
      <w:r>
        <w:fldChar w:fldCharType="separate"/>
      </w:r>
      <w:r>
        <w:t>4</w:t>
      </w:r>
      <w:r>
        <w:fldChar w:fldCharType="end"/>
      </w:r>
      <w:r>
        <w:fldChar w:fldCharType="end"/>
      </w:r>
    </w:p>
    <w:p w14:paraId="7F59769F">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"_Toc498446434" </w:instrText>
      </w:r>
      <w:r>
        <w:fldChar w:fldCharType="separate"/>
      </w:r>
      <w:r>
        <w:rPr>
          <w:rStyle w:val="21"/>
          <w:rFonts w:eastAsia="Times New Roman" w:cs="Arial"/>
          <w:snapToGrid w:val="0"/>
        </w:rPr>
        <w:t>12.</w:t>
      </w:r>
      <w:r>
        <w:rPr>
          <w:rFonts w:asciiTheme="minorHAnsi" w:hAnsiTheme="minorHAnsi" w:eastAsiaTheme="minorEastAsia"/>
          <w:b w:val="0"/>
          <w:bCs w:val="0"/>
          <w:kern w:val="2"/>
          <w:sz w:val="21"/>
        </w:rPr>
        <w:tab/>
      </w:r>
      <w:r>
        <w:rPr>
          <w:rStyle w:val="21"/>
          <w:rFonts w:hint="eastAsia" w:cs="Arial"/>
          <w:snapToGrid w:val="0"/>
        </w:rPr>
        <w:t>如何处理涉及研究性药品的紧急研究？</w:t>
      </w:r>
      <w:r>
        <w:tab/>
      </w:r>
      <w:r>
        <w:fldChar w:fldCharType="begin"/>
      </w:r>
      <w:r>
        <w:instrText xml:space="preserve"> PAGEREF _Toc498446434 \h </w:instrText>
      </w:r>
      <w:r>
        <w:fldChar w:fldCharType="separate"/>
      </w:r>
      <w:r>
        <w:t>5</w:t>
      </w:r>
      <w:r>
        <w:fldChar w:fldCharType="end"/>
      </w:r>
      <w:r>
        <w:fldChar w:fldCharType="end"/>
      </w:r>
    </w:p>
    <w:p w14:paraId="2628AF0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"_Toc498446435" </w:instrText>
      </w:r>
      <w:r>
        <w:fldChar w:fldCharType="separate"/>
      </w:r>
      <w:r>
        <w:rPr>
          <w:rStyle w:val="21"/>
          <w:rFonts w:eastAsia="Times New Roman" w:cs="Arial"/>
          <w:snapToGrid w:val="0"/>
        </w:rPr>
        <w:t>13.</w:t>
      </w:r>
      <w:r>
        <w:rPr>
          <w:rFonts w:asciiTheme="minorHAnsi" w:hAnsiTheme="minorHAnsi" w:eastAsiaTheme="minorEastAsia"/>
          <w:b w:val="0"/>
          <w:bCs w:val="0"/>
          <w:kern w:val="2"/>
          <w:sz w:val="21"/>
        </w:rPr>
        <w:tab/>
      </w:r>
      <w:r>
        <w:rPr>
          <w:rStyle w:val="21"/>
          <w:rFonts w:hint="eastAsia" w:cs="Arial"/>
          <w:snapToGrid w:val="0"/>
        </w:rPr>
        <w:t>是否可以按照</w:t>
      </w:r>
      <w:r>
        <w:rPr>
          <w:rStyle w:val="21"/>
          <w:rFonts w:cs="Arial"/>
          <w:snapToGrid w:val="0"/>
        </w:rPr>
        <w:t>21 CFR 50.24</w:t>
      </w:r>
      <w:r>
        <w:rPr>
          <w:rStyle w:val="21"/>
          <w:rFonts w:hint="eastAsia" w:cs="Arial"/>
          <w:snapToGrid w:val="0"/>
        </w:rPr>
        <w:t>进行阶段</w:t>
      </w:r>
      <w:r>
        <w:rPr>
          <w:rStyle w:val="21"/>
          <w:rFonts w:cs="Arial"/>
          <w:snapToGrid w:val="0"/>
        </w:rPr>
        <w:t>1</w:t>
      </w:r>
      <w:r>
        <w:rPr>
          <w:rStyle w:val="21"/>
          <w:rFonts w:hint="eastAsia" w:cs="Arial"/>
          <w:snapToGrid w:val="0"/>
        </w:rPr>
        <w:t>、阶段</w:t>
      </w:r>
      <w:r>
        <w:rPr>
          <w:rStyle w:val="21"/>
          <w:rFonts w:cs="Arial"/>
          <w:snapToGrid w:val="0"/>
        </w:rPr>
        <w:t>2</w:t>
      </w:r>
      <w:r>
        <w:rPr>
          <w:rStyle w:val="21"/>
          <w:rFonts w:hint="eastAsia" w:cs="Arial"/>
          <w:snapToGrid w:val="0"/>
        </w:rPr>
        <w:t>和阶段</w:t>
      </w:r>
      <w:r>
        <w:rPr>
          <w:rStyle w:val="21"/>
          <w:rFonts w:cs="Arial"/>
          <w:snapToGrid w:val="0"/>
        </w:rPr>
        <w:t>3</w:t>
      </w:r>
      <w:r>
        <w:rPr>
          <w:rStyle w:val="21"/>
          <w:rFonts w:hint="eastAsia" w:cs="Arial"/>
          <w:snapToGrid w:val="0"/>
        </w:rPr>
        <w:t>安全性和有效性研究？</w:t>
      </w:r>
      <w:r>
        <w:tab/>
      </w:r>
      <w:r>
        <w:fldChar w:fldCharType="begin"/>
      </w:r>
      <w:r>
        <w:instrText xml:space="preserve"> PAGEREF _Toc498446435 \h </w:instrText>
      </w:r>
      <w:r>
        <w:fldChar w:fldCharType="separate"/>
      </w:r>
      <w:r>
        <w:t>5</w:t>
      </w:r>
      <w:r>
        <w:fldChar w:fldCharType="end"/>
      </w:r>
      <w:r>
        <w:fldChar w:fldCharType="end"/>
      </w:r>
    </w:p>
    <w:p w14:paraId="01D00773">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"_Toc498446436" </w:instrText>
      </w:r>
      <w:r>
        <w:fldChar w:fldCharType="separate"/>
      </w:r>
      <w:r>
        <w:rPr>
          <w:rStyle w:val="21"/>
          <w:rFonts w:eastAsia="Times New Roman" w:cs="Arial"/>
          <w:snapToGrid w:val="0"/>
        </w:rPr>
        <w:t>14.</w:t>
      </w:r>
      <w:r>
        <w:rPr>
          <w:rFonts w:asciiTheme="minorHAnsi" w:hAnsiTheme="minorHAnsi" w:eastAsiaTheme="minorEastAsia"/>
          <w:b w:val="0"/>
          <w:bCs w:val="0"/>
          <w:kern w:val="2"/>
          <w:sz w:val="21"/>
        </w:rPr>
        <w:tab/>
      </w:r>
      <w:r>
        <w:rPr>
          <w:rStyle w:val="21"/>
          <w:rFonts w:hint="eastAsia" w:cs="Arial"/>
          <w:snapToGrid w:val="0"/>
        </w:rPr>
        <w:t>是否可以根据</w:t>
      </w:r>
      <w:r>
        <w:rPr>
          <w:rStyle w:val="21"/>
          <w:rFonts w:cs="Arial"/>
          <w:snapToGrid w:val="0"/>
        </w:rPr>
        <w:t>21 CFR 50.24</w:t>
      </w:r>
      <w:r>
        <w:rPr>
          <w:rStyle w:val="21"/>
          <w:rFonts w:hint="eastAsia" w:cs="Arial"/>
          <w:snapToGrid w:val="0"/>
        </w:rPr>
        <w:t>进行器械可行性／初步试验？</w:t>
      </w:r>
      <w:r>
        <w:tab/>
      </w:r>
      <w:r>
        <w:fldChar w:fldCharType="begin"/>
      </w:r>
      <w:r>
        <w:instrText xml:space="preserve"> PAGEREF _Toc498446436 \h </w:instrText>
      </w:r>
      <w:r>
        <w:fldChar w:fldCharType="separate"/>
      </w:r>
      <w:r>
        <w:t>5</w:t>
      </w:r>
      <w:r>
        <w:fldChar w:fldCharType="end"/>
      </w:r>
      <w:r>
        <w:fldChar w:fldCharType="end"/>
      </w:r>
    </w:p>
    <w:p w14:paraId="24BA8113">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"_Toc498446437" </w:instrText>
      </w:r>
      <w:r>
        <w:fldChar w:fldCharType="separate"/>
      </w:r>
      <w:r>
        <w:rPr>
          <w:rStyle w:val="21"/>
          <w:rFonts w:eastAsia="Times New Roman" w:cs="Arial"/>
          <w:snapToGrid w:val="0"/>
        </w:rPr>
        <w:t>15.</w:t>
      </w:r>
      <w:r>
        <w:rPr>
          <w:rFonts w:asciiTheme="minorHAnsi" w:hAnsiTheme="minorHAnsi" w:eastAsiaTheme="minorEastAsia"/>
          <w:b w:val="0"/>
          <w:bCs w:val="0"/>
          <w:kern w:val="2"/>
          <w:sz w:val="21"/>
        </w:rPr>
        <w:tab/>
      </w:r>
      <w:r>
        <w:rPr>
          <w:rStyle w:val="21"/>
          <w:rFonts w:hint="eastAsia" w:cs="Arial"/>
          <w:snapToGrid w:val="0"/>
        </w:rPr>
        <w:t>是否可以向涉及研究性药品的紧急研究施加临床试验暂停？</w:t>
      </w:r>
      <w:r>
        <w:tab/>
      </w:r>
      <w:r>
        <w:fldChar w:fldCharType="begin"/>
      </w:r>
      <w:r>
        <w:instrText xml:space="preserve"> PAGEREF _Toc498446437 \h </w:instrText>
      </w:r>
      <w:r>
        <w:fldChar w:fldCharType="separate"/>
      </w:r>
      <w:r>
        <w:t>5</w:t>
      </w:r>
      <w:r>
        <w:fldChar w:fldCharType="end"/>
      </w:r>
      <w:r>
        <w:fldChar w:fldCharType="end"/>
      </w:r>
    </w:p>
    <w:p w14:paraId="21F6758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"_Toc498446438" </w:instrText>
      </w:r>
      <w:r>
        <w:fldChar w:fldCharType="separate"/>
      </w:r>
      <w:r>
        <w:rPr>
          <w:rStyle w:val="21"/>
          <w:rFonts w:eastAsia="Times New Roman" w:cs="Arial"/>
          <w:snapToGrid w:val="0"/>
        </w:rPr>
        <w:t>16.</w:t>
      </w:r>
      <w:r>
        <w:rPr>
          <w:rFonts w:asciiTheme="minorHAnsi" w:hAnsiTheme="minorHAnsi" w:eastAsiaTheme="minorEastAsia"/>
          <w:b w:val="0"/>
          <w:bCs w:val="0"/>
          <w:kern w:val="2"/>
          <w:sz w:val="21"/>
        </w:rPr>
        <w:tab/>
      </w:r>
      <w:r>
        <w:rPr>
          <w:rStyle w:val="21"/>
          <w:rFonts w:hint="eastAsia" w:cs="Arial"/>
          <w:snapToGrid w:val="0"/>
        </w:rPr>
        <w:t>如何处理涉及器械的紧急研究？</w:t>
      </w:r>
      <w:r>
        <w:tab/>
      </w:r>
      <w:r>
        <w:fldChar w:fldCharType="begin"/>
      </w:r>
      <w:r>
        <w:instrText xml:space="preserve"> PAGEREF _Toc498446438 \h </w:instrText>
      </w:r>
      <w:r>
        <w:fldChar w:fldCharType="separate"/>
      </w:r>
      <w:r>
        <w:t>6</w:t>
      </w:r>
      <w:r>
        <w:fldChar w:fldCharType="end"/>
      </w:r>
      <w:r>
        <w:fldChar w:fldCharType="end"/>
      </w:r>
    </w:p>
    <w:p w14:paraId="070741F7">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"_Toc498446439" </w:instrText>
      </w:r>
      <w:r>
        <w:fldChar w:fldCharType="separate"/>
      </w:r>
      <w:r>
        <w:rPr>
          <w:rStyle w:val="21"/>
          <w:rFonts w:eastAsia="Times New Roman" w:cs="Arial"/>
          <w:snapToGrid w:val="0"/>
        </w:rPr>
        <w:t>17.</w:t>
      </w:r>
      <w:r>
        <w:rPr>
          <w:rFonts w:asciiTheme="minorHAnsi" w:hAnsiTheme="minorHAnsi" w:eastAsiaTheme="minorEastAsia"/>
          <w:b w:val="0"/>
          <w:bCs w:val="0"/>
          <w:kern w:val="2"/>
          <w:sz w:val="21"/>
        </w:rPr>
        <w:tab/>
      </w:r>
      <w:r>
        <w:rPr>
          <w:rStyle w:val="21"/>
          <w:rFonts w:hint="eastAsia" w:cs="Arial"/>
          <w:snapToGrid w:val="0"/>
        </w:rPr>
        <w:t>是否可以根据</w:t>
      </w:r>
      <w:r>
        <w:rPr>
          <w:rStyle w:val="21"/>
          <w:rFonts w:cs="Arial"/>
          <w:snapToGrid w:val="0"/>
        </w:rPr>
        <w:t>21 CFR 50.24</w:t>
      </w:r>
      <w:r>
        <w:rPr>
          <w:rStyle w:val="21"/>
          <w:rFonts w:hint="eastAsia" w:cs="Arial"/>
          <w:snapToGrid w:val="0"/>
        </w:rPr>
        <w:t>进行涉及体外诊断器械的研究？</w:t>
      </w:r>
      <w:r>
        <w:tab/>
      </w:r>
      <w:r>
        <w:fldChar w:fldCharType="begin"/>
      </w:r>
      <w:r>
        <w:instrText xml:space="preserve"> PAGEREF _Toc498446439 \h </w:instrText>
      </w:r>
      <w:r>
        <w:fldChar w:fldCharType="separate"/>
      </w:r>
      <w:r>
        <w:t>6</w:t>
      </w:r>
      <w:r>
        <w:fldChar w:fldCharType="end"/>
      </w:r>
      <w:r>
        <w:fldChar w:fldCharType="end"/>
      </w:r>
    </w:p>
    <w:p w14:paraId="3C7A619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"_Toc498446440" </w:instrText>
      </w:r>
      <w:r>
        <w:fldChar w:fldCharType="separate"/>
      </w:r>
      <w:r>
        <w:rPr>
          <w:rStyle w:val="21"/>
          <w:rFonts w:eastAsia="Times New Roman" w:cs="Arial"/>
          <w:snapToGrid w:val="0"/>
        </w:rPr>
        <w:t>18.</w:t>
      </w:r>
      <w:r>
        <w:rPr>
          <w:rFonts w:asciiTheme="minorHAnsi" w:hAnsiTheme="minorHAnsi" w:eastAsiaTheme="minorEastAsia"/>
          <w:b w:val="0"/>
          <w:bCs w:val="0"/>
          <w:kern w:val="2"/>
          <w:sz w:val="21"/>
        </w:rPr>
        <w:tab/>
      </w:r>
      <w:r>
        <w:rPr>
          <w:rStyle w:val="21"/>
          <w:rFonts w:cs="Arial"/>
          <w:snapToGrid w:val="0"/>
        </w:rPr>
        <w:t>FDA</w:t>
      </w:r>
      <w:r>
        <w:rPr>
          <w:rStyle w:val="21"/>
          <w:rFonts w:hint="eastAsia" w:cs="Arial"/>
          <w:snapToGrid w:val="0"/>
        </w:rPr>
        <w:t>是否可以接受在美国境外地点进行的紧急研究数据？</w:t>
      </w:r>
      <w:r>
        <w:tab/>
      </w:r>
      <w:r>
        <w:fldChar w:fldCharType="begin"/>
      </w:r>
      <w:r>
        <w:instrText xml:space="preserve"> PAGEREF _Toc498446440 \h </w:instrText>
      </w:r>
      <w:r>
        <w:fldChar w:fldCharType="separate"/>
      </w:r>
      <w:r>
        <w:t>6</w:t>
      </w:r>
      <w:r>
        <w:fldChar w:fldCharType="end"/>
      </w:r>
      <w:r>
        <w:fldChar w:fldCharType="end"/>
      </w:r>
    </w:p>
    <w:p w14:paraId="3DFFCFC7">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"_Toc498446441" </w:instrText>
      </w:r>
      <w:r>
        <w:fldChar w:fldCharType="separate"/>
      </w:r>
      <w:r>
        <w:rPr>
          <w:rStyle w:val="21"/>
          <w:rFonts w:eastAsia="Times New Roman" w:cs="Arial"/>
          <w:snapToGrid w:val="0"/>
        </w:rPr>
        <w:t>19.</w:t>
      </w:r>
      <w:r>
        <w:rPr>
          <w:rFonts w:asciiTheme="minorHAnsi" w:hAnsiTheme="minorHAnsi" w:eastAsiaTheme="minorEastAsia"/>
          <w:b w:val="0"/>
          <w:bCs w:val="0"/>
          <w:kern w:val="2"/>
          <w:sz w:val="21"/>
        </w:rPr>
        <w:tab/>
      </w:r>
      <w:r>
        <w:rPr>
          <w:rStyle w:val="21"/>
          <w:rFonts w:hint="eastAsia" w:cs="Arial"/>
          <w:snapToGrid w:val="0"/>
        </w:rPr>
        <w:t>是否必须注册根据</w:t>
      </w:r>
      <w:r>
        <w:rPr>
          <w:rStyle w:val="21"/>
          <w:rFonts w:cs="Arial"/>
          <w:snapToGrid w:val="0"/>
        </w:rPr>
        <w:t>21 CFR 50.24</w:t>
      </w:r>
      <w:r>
        <w:rPr>
          <w:rStyle w:val="21"/>
          <w:rFonts w:hint="eastAsia" w:cs="Arial"/>
          <w:snapToGrid w:val="0"/>
        </w:rPr>
        <w:t>进行的研究？</w:t>
      </w:r>
      <w:r>
        <w:tab/>
      </w:r>
      <w:r>
        <w:fldChar w:fldCharType="begin"/>
      </w:r>
      <w:r>
        <w:instrText xml:space="preserve"> PAGEREF _Toc498446441 \h </w:instrText>
      </w:r>
      <w:r>
        <w:fldChar w:fldCharType="separate"/>
      </w:r>
      <w:r>
        <w:t>7</w:t>
      </w:r>
      <w:r>
        <w:fldChar w:fldCharType="end"/>
      </w:r>
      <w:r>
        <w:fldChar w:fldCharType="end"/>
      </w:r>
    </w:p>
    <w:p w14:paraId="19D2D5EB">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"_Toc498446442" </w:instrText>
      </w:r>
      <w:r>
        <w:fldChar w:fldCharType="separate"/>
      </w:r>
      <w:r>
        <w:rPr>
          <w:rStyle w:val="21"/>
          <w:rFonts w:eastAsia="Times New Roman" w:cs="Arial"/>
          <w:snapToGrid w:val="0"/>
          <w:spacing w:val="-1"/>
          <w:w w:val="99"/>
        </w:rPr>
        <w:t>II.</w:t>
      </w:r>
      <w:r>
        <w:rPr>
          <w:rFonts w:asciiTheme="minorHAnsi" w:hAnsiTheme="minorHAnsi" w:eastAsiaTheme="minorEastAsia"/>
          <w:b w:val="0"/>
          <w:bCs w:val="0"/>
          <w:i w:val="0"/>
          <w:kern w:val="2"/>
          <w:sz w:val="21"/>
        </w:rPr>
        <w:tab/>
      </w:r>
      <w:r>
        <w:rPr>
          <w:rStyle w:val="21"/>
          <w:rFonts w:hint="eastAsia" w:cs="Arial"/>
          <w:snapToGrid w:val="0"/>
        </w:rPr>
        <w:t>可根据</w:t>
      </w:r>
      <w:r>
        <w:rPr>
          <w:rStyle w:val="21"/>
          <w:rFonts w:cs="Arial"/>
          <w:snapToGrid w:val="0"/>
        </w:rPr>
        <w:t>21 CFR 50.24</w:t>
      </w:r>
      <w:r>
        <w:rPr>
          <w:rStyle w:val="21"/>
          <w:rFonts w:hint="eastAsia" w:cs="Arial"/>
          <w:snapToGrid w:val="0"/>
        </w:rPr>
        <w:t>进行的研究资格</w:t>
      </w:r>
      <w:r>
        <w:tab/>
      </w:r>
      <w:r>
        <w:fldChar w:fldCharType="begin"/>
      </w:r>
      <w:r>
        <w:instrText xml:space="preserve"> PAGEREF _Toc498446442 \h </w:instrText>
      </w:r>
      <w:r>
        <w:fldChar w:fldCharType="separate"/>
      </w:r>
      <w:r>
        <w:t>7</w:t>
      </w:r>
      <w:r>
        <w:fldChar w:fldCharType="end"/>
      </w:r>
      <w:r>
        <w:fldChar w:fldCharType="end"/>
      </w:r>
    </w:p>
    <w:p w14:paraId="48655CE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"_Toc498446443" </w:instrText>
      </w:r>
      <w:r>
        <w:fldChar w:fldCharType="separate"/>
      </w:r>
      <w:r>
        <w:rPr>
          <w:rStyle w:val="21"/>
          <w:rFonts w:eastAsia="Times New Roman" w:cs="Arial"/>
          <w:snapToGrid w:val="0"/>
        </w:rPr>
        <w:t>20.</w:t>
      </w:r>
      <w:r>
        <w:rPr>
          <w:rFonts w:asciiTheme="minorHAnsi" w:hAnsiTheme="minorHAnsi" w:eastAsiaTheme="minorEastAsia"/>
          <w:b w:val="0"/>
          <w:bCs w:val="0"/>
          <w:kern w:val="2"/>
          <w:sz w:val="21"/>
        </w:rPr>
        <w:tab/>
      </w:r>
      <w:r>
        <w:rPr>
          <w:rStyle w:val="21"/>
          <w:rFonts w:hint="eastAsia" w:cs="Arial"/>
          <w:snapToGrid w:val="0"/>
        </w:rPr>
        <w:t>如果需要根据</w:t>
      </w:r>
      <w:r>
        <w:rPr>
          <w:rStyle w:val="21"/>
          <w:rFonts w:cs="Arial"/>
          <w:snapToGrid w:val="0"/>
        </w:rPr>
        <w:t>21 CFR 50.24</w:t>
      </w:r>
      <w:r>
        <w:rPr>
          <w:rStyle w:val="21"/>
          <w:rFonts w:hint="eastAsia" w:cs="Arial"/>
          <w:snapToGrid w:val="0"/>
        </w:rPr>
        <w:t>进行研究，需满足哪些条件？</w:t>
      </w:r>
      <w:r>
        <w:tab/>
      </w:r>
      <w:r>
        <w:fldChar w:fldCharType="begin"/>
      </w:r>
      <w:r>
        <w:instrText xml:space="preserve"> PAGEREF _Toc498446443 \h </w:instrText>
      </w:r>
      <w:r>
        <w:fldChar w:fldCharType="separate"/>
      </w:r>
      <w:r>
        <w:t>7</w:t>
      </w:r>
      <w:r>
        <w:fldChar w:fldCharType="end"/>
      </w:r>
      <w:r>
        <w:fldChar w:fldCharType="end"/>
      </w:r>
    </w:p>
    <w:p w14:paraId="73AAF804">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"_Toc498446444" </w:instrText>
      </w:r>
      <w:r>
        <w:fldChar w:fldCharType="separate"/>
      </w:r>
      <w:r>
        <w:rPr>
          <w:rStyle w:val="21"/>
          <w:rFonts w:eastAsia="Times New Roman" w:cs="Arial"/>
          <w:snapToGrid w:val="0"/>
        </w:rPr>
        <w:t>21.</w:t>
      </w:r>
      <w:r>
        <w:rPr>
          <w:rFonts w:asciiTheme="minorHAnsi" w:hAnsiTheme="minorHAnsi" w:eastAsiaTheme="minorEastAsia"/>
          <w:b w:val="0"/>
          <w:bCs w:val="0"/>
          <w:kern w:val="2"/>
          <w:sz w:val="21"/>
        </w:rPr>
        <w:tab/>
      </w:r>
      <w:r>
        <w:rPr>
          <w:rStyle w:val="21"/>
          <w:rFonts w:hint="eastAsia" w:cs="Arial"/>
          <w:snapToGrid w:val="0"/>
        </w:rPr>
        <w:t>什么是</w:t>
      </w:r>
      <w:r>
        <w:rPr>
          <w:rStyle w:val="21"/>
          <w:rFonts w:ascii="宋体" w:hAnsi="宋体" w:cs="Arial"/>
          <w:snapToGrid w:val="0"/>
        </w:rPr>
        <w:t>“</w:t>
      </w:r>
      <w:r>
        <w:rPr>
          <w:rStyle w:val="21"/>
          <w:rFonts w:hint="eastAsia" w:cs="Arial"/>
          <w:snapToGrid w:val="0"/>
        </w:rPr>
        <w:t>可能直接收益</w:t>
      </w:r>
      <w:r>
        <w:rPr>
          <w:rStyle w:val="21"/>
          <w:rFonts w:ascii="宋体" w:hAnsi="宋体" w:cs="Arial"/>
          <w:snapToGrid w:val="0"/>
        </w:rPr>
        <w:t>”</w:t>
      </w:r>
      <w:r>
        <w:rPr>
          <w:rStyle w:val="21"/>
          <w:rFonts w:hint="eastAsia" w:cs="Arial"/>
          <w:snapToGrid w:val="0"/>
        </w:rPr>
        <w:t>？</w:t>
      </w:r>
      <w:r>
        <w:tab/>
      </w:r>
      <w:r>
        <w:fldChar w:fldCharType="begin"/>
      </w:r>
      <w:r>
        <w:instrText xml:space="preserve"> PAGEREF _Toc498446444 \h </w:instrText>
      </w:r>
      <w:r>
        <w:fldChar w:fldCharType="separate"/>
      </w:r>
      <w:r>
        <w:t>8</w:t>
      </w:r>
      <w:r>
        <w:fldChar w:fldCharType="end"/>
      </w:r>
      <w:r>
        <w:fldChar w:fldCharType="end"/>
      </w:r>
    </w:p>
    <w:p w14:paraId="00F99E54">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"_Toc498446445" </w:instrText>
      </w:r>
      <w:r>
        <w:fldChar w:fldCharType="separate"/>
      </w:r>
      <w:r>
        <w:rPr>
          <w:rStyle w:val="21"/>
          <w:rFonts w:eastAsia="Times New Roman" w:cs="Arial"/>
          <w:snapToGrid w:val="0"/>
        </w:rPr>
        <w:t>22.</w:t>
      </w:r>
      <w:r>
        <w:rPr>
          <w:rFonts w:asciiTheme="minorHAnsi" w:hAnsiTheme="minorHAnsi" w:eastAsiaTheme="minorEastAsia"/>
          <w:b w:val="0"/>
          <w:bCs w:val="0"/>
          <w:kern w:val="2"/>
          <w:sz w:val="21"/>
        </w:rPr>
        <w:tab/>
      </w:r>
      <w:r>
        <w:rPr>
          <w:rStyle w:val="21"/>
          <w:rFonts w:hint="eastAsia" w:cs="Arial"/>
          <w:snapToGrid w:val="0"/>
        </w:rPr>
        <w:t>此法规是否允许进行无发病端点的试验？</w:t>
      </w:r>
      <w:r>
        <w:tab/>
      </w:r>
      <w:r>
        <w:fldChar w:fldCharType="begin"/>
      </w:r>
      <w:r>
        <w:instrText xml:space="preserve"> PAGEREF _Toc498446445 \h </w:instrText>
      </w:r>
      <w:r>
        <w:fldChar w:fldCharType="separate"/>
      </w:r>
      <w:r>
        <w:t>8</w:t>
      </w:r>
      <w:r>
        <w:fldChar w:fldCharType="end"/>
      </w:r>
      <w:r>
        <w:fldChar w:fldCharType="end"/>
      </w:r>
    </w:p>
    <w:p w14:paraId="033BAD26">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"_Toc498446446" </w:instrText>
      </w:r>
      <w:r>
        <w:fldChar w:fldCharType="separate"/>
      </w:r>
      <w:r>
        <w:rPr>
          <w:rStyle w:val="21"/>
          <w:rFonts w:eastAsia="Times New Roman" w:cs="Arial"/>
          <w:snapToGrid w:val="0"/>
        </w:rPr>
        <w:t>23.</w:t>
      </w:r>
      <w:r>
        <w:rPr>
          <w:rFonts w:asciiTheme="minorHAnsi" w:hAnsiTheme="minorHAnsi" w:eastAsiaTheme="minorEastAsia"/>
          <w:b w:val="0"/>
          <w:bCs w:val="0"/>
          <w:kern w:val="2"/>
          <w:sz w:val="21"/>
        </w:rPr>
        <w:tab/>
      </w:r>
      <w:r>
        <w:rPr>
          <w:rStyle w:val="21"/>
          <w:rFonts w:hint="eastAsia" w:cs="Arial"/>
          <w:snapToGrid w:val="0"/>
        </w:rPr>
        <w:t>什么是</w:t>
      </w:r>
      <w:r>
        <w:rPr>
          <w:rStyle w:val="21"/>
          <w:rFonts w:ascii="宋体" w:hAnsi="宋体" w:cs="Arial"/>
          <w:snapToGrid w:val="0"/>
        </w:rPr>
        <w:t>“</w:t>
      </w:r>
      <w:r>
        <w:rPr>
          <w:rStyle w:val="21"/>
          <w:rFonts w:hint="eastAsia" w:cs="Arial"/>
          <w:snapToGrid w:val="0"/>
        </w:rPr>
        <w:t>可用治疗未经证实或无法令人满意</w:t>
      </w:r>
      <w:r>
        <w:rPr>
          <w:rStyle w:val="21"/>
          <w:rFonts w:ascii="宋体" w:hAnsi="宋体" w:cs="Arial"/>
          <w:snapToGrid w:val="0"/>
        </w:rPr>
        <w:t>”</w:t>
      </w:r>
      <w:r>
        <w:rPr>
          <w:rStyle w:val="21"/>
          <w:rFonts w:hint="eastAsia" w:cs="Arial"/>
          <w:snapToGrid w:val="0"/>
        </w:rPr>
        <w:t>？</w:t>
      </w:r>
      <w:r>
        <w:tab/>
      </w:r>
      <w:r>
        <w:fldChar w:fldCharType="begin"/>
      </w:r>
      <w:r>
        <w:instrText xml:space="preserve"> PAGEREF _Toc498446446 \h </w:instrText>
      </w:r>
      <w:r>
        <w:fldChar w:fldCharType="separate"/>
      </w:r>
      <w:r>
        <w:t>9</w:t>
      </w:r>
      <w:r>
        <w:fldChar w:fldCharType="end"/>
      </w:r>
      <w:r>
        <w:fldChar w:fldCharType="end"/>
      </w:r>
    </w:p>
    <w:p w14:paraId="236E39D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"_Toc498446447" </w:instrText>
      </w:r>
      <w:r>
        <w:fldChar w:fldCharType="separate"/>
      </w:r>
      <w:r>
        <w:rPr>
          <w:rStyle w:val="21"/>
          <w:rFonts w:eastAsia="Times New Roman" w:cs="Arial"/>
          <w:snapToGrid w:val="0"/>
        </w:rPr>
        <w:t>24.</w:t>
      </w:r>
      <w:r>
        <w:rPr>
          <w:rFonts w:asciiTheme="minorHAnsi" w:hAnsiTheme="minorHAnsi" w:eastAsiaTheme="minorEastAsia"/>
          <w:b w:val="0"/>
          <w:bCs w:val="0"/>
          <w:kern w:val="2"/>
          <w:sz w:val="21"/>
        </w:rPr>
        <w:tab/>
      </w:r>
      <w:r>
        <w:rPr>
          <w:rStyle w:val="21"/>
          <w:rFonts w:hint="eastAsia" w:cs="Arial"/>
          <w:snapToGrid w:val="0"/>
        </w:rPr>
        <w:t>什么是</w:t>
      </w:r>
      <w:r>
        <w:rPr>
          <w:rStyle w:val="21"/>
          <w:rFonts w:ascii="宋体" w:hAnsi="宋体" w:cs="Arial"/>
          <w:snapToGrid w:val="0"/>
        </w:rPr>
        <w:t>“</w:t>
      </w:r>
      <w:r>
        <w:rPr>
          <w:rStyle w:val="21"/>
          <w:rFonts w:hint="eastAsia" w:cs="Arial"/>
          <w:snapToGrid w:val="0"/>
        </w:rPr>
        <w:t>未经证实</w:t>
      </w:r>
      <w:r>
        <w:rPr>
          <w:rStyle w:val="21"/>
          <w:rFonts w:ascii="宋体" w:hAnsi="宋体" w:cs="Arial"/>
          <w:snapToGrid w:val="0"/>
        </w:rPr>
        <w:t>”</w:t>
      </w:r>
      <w:r>
        <w:rPr>
          <w:rStyle w:val="21"/>
          <w:rFonts w:hint="eastAsia" w:cs="Arial"/>
          <w:snapToGrid w:val="0"/>
        </w:rPr>
        <w:t>？</w:t>
      </w:r>
      <w:r>
        <w:tab/>
      </w:r>
      <w:r>
        <w:fldChar w:fldCharType="begin"/>
      </w:r>
      <w:r>
        <w:instrText xml:space="preserve"> PAGEREF _Toc498446447 \h </w:instrText>
      </w:r>
      <w:r>
        <w:fldChar w:fldCharType="separate"/>
      </w:r>
      <w:r>
        <w:t>9</w:t>
      </w:r>
      <w:r>
        <w:fldChar w:fldCharType="end"/>
      </w:r>
      <w:r>
        <w:fldChar w:fldCharType="end"/>
      </w:r>
    </w:p>
    <w:p w14:paraId="56AE94F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"_Toc498446448" </w:instrText>
      </w:r>
      <w:r>
        <w:fldChar w:fldCharType="separate"/>
      </w:r>
      <w:r>
        <w:rPr>
          <w:rStyle w:val="21"/>
          <w:rFonts w:eastAsia="Times New Roman" w:cs="Arial"/>
          <w:snapToGrid w:val="0"/>
        </w:rPr>
        <w:t>25.</w:t>
      </w:r>
      <w:r>
        <w:rPr>
          <w:rFonts w:asciiTheme="minorHAnsi" w:hAnsiTheme="minorHAnsi" w:eastAsiaTheme="minorEastAsia"/>
          <w:b w:val="0"/>
          <w:bCs w:val="0"/>
          <w:kern w:val="2"/>
          <w:sz w:val="21"/>
        </w:rPr>
        <w:tab/>
      </w:r>
      <w:r>
        <w:rPr>
          <w:rStyle w:val="21"/>
          <w:rFonts w:hint="eastAsia" w:cs="Arial"/>
          <w:snapToGrid w:val="0"/>
        </w:rPr>
        <w:t>什么是</w:t>
      </w:r>
      <w:r>
        <w:rPr>
          <w:rStyle w:val="21"/>
          <w:rFonts w:ascii="宋体" w:hAnsi="宋体" w:cs="Arial"/>
          <w:snapToGrid w:val="0"/>
        </w:rPr>
        <w:t>“</w:t>
      </w:r>
      <w:r>
        <w:rPr>
          <w:rStyle w:val="21"/>
          <w:rFonts w:hint="eastAsia" w:cs="Arial"/>
          <w:snapToGrid w:val="0"/>
        </w:rPr>
        <w:t>无法令人满意</w:t>
      </w:r>
      <w:r>
        <w:rPr>
          <w:rStyle w:val="21"/>
          <w:rFonts w:ascii="宋体" w:hAnsi="宋体" w:cs="Arial"/>
          <w:snapToGrid w:val="0"/>
        </w:rPr>
        <w:t>”</w:t>
      </w:r>
      <w:r>
        <w:rPr>
          <w:rStyle w:val="21"/>
          <w:rFonts w:hint="eastAsia" w:cs="Arial"/>
          <w:snapToGrid w:val="0"/>
        </w:rPr>
        <w:t>？</w:t>
      </w:r>
      <w:r>
        <w:tab/>
      </w:r>
      <w:r>
        <w:fldChar w:fldCharType="begin"/>
      </w:r>
      <w:r>
        <w:instrText xml:space="preserve"> PAGEREF _Toc498446448 \h </w:instrText>
      </w:r>
      <w:r>
        <w:fldChar w:fldCharType="separate"/>
      </w:r>
      <w:r>
        <w:t>9</w:t>
      </w:r>
      <w:r>
        <w:fldChar w:fldCharType="end"/>
      </w:r>
      <w:r>
        <w:fldChar w:fldCharType="end"/>
      </w:r>
    </w:p>
    <w:p w14:paraId="02955901">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"_Toc498446449" </w:instrText>
      </w:r>
      <w:r>
        <w:fldChar w:fldCharType="separate"/>
      </w:r>
      <w:r>
        <w:rPr>
          <w:rStyle w:val="21"/>
          <w:rFonts w:eastAsia="Times New Roman" w:cs="Arial"/>
          <w:snapToGrid w:val="0"/>
          <w:spacing w:val="-1"/>
          <w:w w:val="99"/>
        </w:rPr>
        <w:t>III.</w:t>
      </w:r>
      <w:r>
        <w:rPr>
          <w:rFonts w:asciiTheme="minorHAnsi" w:hAnsiTheme="minorHAnsi" w:eastAsiaTheme="minorEastAsia"/>
          <w:b w:val="0"/>
          <w:bCs w:val="0"/>
          <w:i w:val="0"/>
          <w:kern w:val="2"/>
          <w:sz w:val="21"/>
        </w:rPr>
        <w:tab/>
      </w:r>
      <w:r>
        <w:rPr>
          <w:rStyle w:val="21"/>
          <w:rFonts w:hint="eastAsia" w:cs="Arial"/>
          <w:snapToGrid w:val="0"/>
        </w:rPr>
        <w:t>研究设计</w:t>
      </w:r>
      <w:r>
        <w:tab/>
      </w:r>
      <w:r>
        <w:fldChar w:fldCharType="begin"/>
      </w:r>
      <w:r>
        <w:instrText xml:space="preserve"> PAGEREF _Toc498446449 \h </w:instrText>
      </w:r>
      <w:r>
        <w:fldChar w:fldCharType="separate"/>
      </w:r>
      <w:r>
        <w:t>10</w:t>
      </w:r>
      <w:r>
        <w:fldChar w:fldCharType="end"/>
      </w:r>
      <w:r>
        <w:fldChar w:fldCharType="end"/>
      </w:r>
    </w:p>
    <w:p w14:paraId="36843D00">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"_Toc498446450" </w:instrText>
      </w:r>
      <w:r>
        <w:fldChar w:fldCharType="separate"/>
      </w:r>
      <w:r>
        <w:rPr>
          <w:rStyle w:val="21"/>
          <w:rFonts w:eastAsia="Times New Roman" w:cs="Arial"/>
          <w:snapToGrid w:val="0"/>
        </w:rPr>
        <w:t>26.</w:t>
      </w:r>
      <w:r>
        <w:rPr>
          <w:rFonts w:asciiTheme="minorHAnsi" w:hAnsiTheme="minorHAnsi" w:eastAsiaTheme="minorEastAsia"/>
          <w:b w:val="0"/>
          <w:bCs w:val="0"/>
          <w:kern w:val="2"/>
          <w:sz w:val="21"/>
        </w:rPr>
        <w:tab/>
      </w:r>
      <w:r>
        <w:rPr>
          <w:rStyle w:val="21"/>
          <w:rFonts w:hint="eastAsia" w:cs="Arial"/>
          <w:snapToGrid w:val="0"/>
        </w:rPr>
        <w:t>申办方应在紧急研究的拟定研究计划（方案）中提供哪些信息？</w:t>
      </w:r>
      <w:r>
        <w:tab/>
      </w:r>
      <w:r>
        <w:fldChar w:fldCharType="begin"/>
      </w:r>
      <w:r>
        <w:instrText xml:space="preserve"> PAGEREF _Toc498446450 \h </w:instrText>
      </w:r>
      <w:r>
        <w:fldChar w:fldCharType="separate"/>
      </w:r>
      <w:r>
        <w:t>10</w:t>
      </w:r>
      <w:r>
        <w:fldChar w:fldCharType="end"/>
      </w:r>
      <w:r>
        <w:fldChar w:fldCharType="end"/>
      </w:r>
    </w:p>
    <w:p w14:paraId="0A250757">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"_Toc498446451" </w:instrText>
      </w:r>
      <w:r>
        <w:fldChar w:fldCharType="separate"/>
      </w:r>
      <w:r>
        <w:rPr>
          <w:rStyle w:val="21"/>
          <w:rFonts w:eastAsia="Times New Roman" w:cs="Arial"/>
          <w:snapToGrid w:val="0"/>
        </w:rPr>
        <w:t>27.</w:t>
      </w:r>
      <w:r>
        <w:rPr>
          <w:rFonts w:asciiTheme="minorHAnsi" w:hAnsiTheme="minorHAnsi" w:eastAsiaTheme="minorEastAsia"/>
          <w:b w:val="0"/>
          <w:bCs w:val="0"/>
          <w:kern w:val="2"/>
          <w:sz w:val="21"/>
        </w:rPr>
        <w:tab/>
      </w:r>
      <w:r>
        <w:rPr>
          <w:rStyle w:val="21"/>
          <w:rFonts w:hint="eastAsia" w:cs="Arial"/>
          <w:snapToGrid w:val="0"/>
        </w:rPr>
        <w:t>是否可以根据</w:t>
      </w:r>
      <w:r>
        <w:rPr>
          <w:rStyle w:val="21"/>
          <w:rFonts w:cs="Arial"/>
          <w:snapToGrid w:val="0"/>
        </w:rPr>
        <w:t>21 CFR 50.24</w:t>
      </w:r>
      <w:r>
        <w:rPr>
          <w:rStyle w:val="21"/>
          <w:rFonts w:hint="eastAsia" w:cs="Arial"/>
          <w:snapToGrid w:val="0"/>
        </w:rPr>
        <w:t>进行安慰剂对照试验？</w:t>
      </w:r>
      <w:r>
        <w:tab/>
      </w:r>
      <w:r>
        <w:fldChar w:fldCharType="begin"/>
      </w:r>
      <w:r>
        <w:instrText xml:space="preserve"> PAGEREF _Toc498446451 \h </w:instrText>
      </w:r>
      <w:r>
        <w:fldChar w:fldCharType="separate"/>
      </w:r>
      <w:r>
        <w:t>10</w:t>
      </w:r>
      <w:r>
        <w:fldChar w:fldCharType="end"/>
      </w:r>
      <w:r>
        <w:fldChar w:fldCharType="end"/>
      </w:r>
    </w:p>
    <w:p w14:paraId="4997530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"_Toc498446452" </w:instrText>
      </w:r>
      <w:r>
        <w:fldChar w:fldCharType="separate"/>
      </w:r>
      <w:r>
        <w:rPr>
          <w:rStyle w:val="21"/>
          <w:rFonts w:eastAsia="Times New Roman" w:cs="Arial"/>
          <w:snapToGrid w:val="0"/>
        </w:rPr>
        <w:t>28.</w:t>
      </w:r>
      <w:r>
        <w:rPr>
          <w:rFonts w:asciiTheme="minorHAnsi" w:hAnsiTheme="minorHAnsi" w:eastAsiaTheme="minorEastAsia"/>
          <w:b w:val="0"/>
          <w:bCs w:val="0"/>
          <w:kern w:val="2"/>
          <w:sz w:val="21"/>
        </w:rPr>
        <w:tab/>
      </w:r>
      <w:r>
        <w:rPr>
          <w:rStyle w:val="21"/>
          <w:rFonts w:hint="eastAsia" w:cs="Arial"/>
          <w:snapToGrid w:val="0"/>
        </w:rPr>
        <w:t>什么是非劣效性试验？在什么情况下可以根据</w:t>
      </w:r>
      <w:r>
        <w:rPr>
          <w:rStyle w:val="21"/>
          <w:rFonts w:cs="Arial"/>
          <w:snapToGrid w:val="0"/>
        </w:rPr>
        <w:t>21 CFR 50.24</w:t>
      </w:r>
      <w:r>
        <w:rPr>
          <w:rStyle w:val="21"/>
          <w:rFonts w:hint="eastAsia" w:cs="Arial"/>
          <w:snapToGrid w:val="0"/>
        </w:rPr>
        <w:t>进行非劣效性试验？</w:t>
      </w:r>
      <w:r>
        <w:tab/>
      </w:r>
      <w:r>
        <w:fldChar w:fldCharType="begin"/>
      </w:r>
      <w:r>
        <w:instrText xml:space="preserve"> PAGEREF _Toc498446452 \h </w:instrText>
      </w:r>
      <w:r>
        <w:fldChar w:fldCharType="separate"/>
      </w:r>
      <w:r>
        <w:t>11</w:t>
      </w:r>
      <w:r>
        <w:fldChar w:fldCharType="end"/>
      </w:r>
      <w:r>
        <w:fldChar w:fldCharType="end"/>
      </w:r>
    </w:p>
    <w:p w14:paraId="4D58CC6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"_Toc498446453" </w:instrText>
      </w:r>
      <w:r>
        <w:fldChar w:fldCharType="separate"/>
      </w:r>
      <w:r>
        <w:rPr>
          <w:rStyle w:val="21"/>
          <w:rFonts w:eastAsia="Times New Roman" w:cs="Arial"/>
          <w:snapToGrid w:val="0"/>
        </w:rPr>
        <w:t>29.</w:t>
      </w:r>
      <w:r>
        <w:rPr>
          <w:rFonts w:asciiTheme="minorHAnsi" w:hAnsiTheme="minorHAnsi" w:eastAsiaTheme="minorEastAsia"/>
          <w:b w:val="0"/>
          <w:bCs w:val="0"/>
          <w:kern w:val="2"/>
          <w:sz w:val="21"/>
        </w:rPr>
        <w:tab/>
      </w:r>
      <w:r>
        <w:rPr>
          <w:rStyle w:val="21"/>
          <w:rFonts w:cs="Arial"/>
          <w:snapToGrid w:val="0"/>
        </w:rPr>
        <w:t>21 CFR 50.24</w:t>
      </w:r>
      <w:r>
        <w:rPr>
          <w:rStyle w:val="21"/>
          <w:rFonts w:hint="eastAsia" w:cs="Arial"/>
          <w:snapToGrid w:val="0"/>
        </w:rPr>
        <w:t>的要求之一是，</w:t>
      </w:r>
      <w:r>
        <w:rPr>
          <w:rStyle w:val="21"/>
          <w:rFonts w:ascii="宋体" w:hAnsi="宋体" w:cs="Arial"/>
          <w:snapToGrid w:val="0"/>
        </w:rPr>
        <w:t>“</w:t>
      </w:r>
      <w:r>
        <w:rPr>
          <w:rStyle w:val="21"/>
          <w:rFonts w:hint="eastAsia" w:cs="Arial"/>
          <w:snapToGrid w:val="0"/>
        </w:rPr>
        <w:t>如果未获得知情同意（</w:t>
      </w:r>
      <w:r>
        <w:rPr>
          <w:rStyle w:val="21"/>
          <w:rFonts w:cs="Arial"/>
          <w:snapToGrid w:val="0"/>
        </w:rPr>
        <w:t>21 CFR 50.24</w:t>
      </w:r>
      <w:r>
        <w:rPr>
          <w:rStyle w:val="21"/>
          <w:rFonts w:hint="eastAsia" w:cs="Arial"/>
          <w:snapToGrid w:val="0"/>
        </w:rPr>
        <w:t>（</w:t>
      </w:r>
      <w:r>
        <w:rPr>
          <w:rStyle w:val="21"/>
          <w:rFonts w:cs="Arial"/>
          <w:snapToGrid w:val="0"/>
        </w:rPr>
        <w:t>a</w:t>
      </w:r>
      <w:r>
        <w:rPr>
          <w:rStyle w:val="21"/>
          <w:rFonts w:hint="eastAsia" w:cs="Arial"/>
          <w:snapToGrid w:val="0"/>
        </w:rPr>
        <w:t>）（</w:t>
      </w:r>
      <w:r>
        <w:rPr>
          <w:rStyle w:val="21"/>
          <w:rFonts w:cs="Arial"/>
          <w:snapToGrid w:val="0"/>
        </w:rPr>
        <w:t>4</w:t>
      </w:r>
      <w:r>
        <w:rPr>
          <w:rStyle w:val="21"/>
          <w:rFonts w:hint="eastAsia" w:cs="Arial"/>
          <w:snapToGrid w:val="0"/>
        </w:rPr>
        <w:t>）），研究无法实际进行</w:t>
      </w:r>
      <w:r>
        <w:rPr>
          <w:rStyle w:val="21"/>
          <w:rFonts w:ascii="宋体" w:hAnsi="宋体" w:cs="Arial"/>
          <w:snapToGrid w:val="0"/>
        </w:rPr>
        <w:t>”</w:t>
      </w:r>
      <w:r>
        <w:rPr>
          <w:rStyle w:val="21"/>
          <w:rFonts w:hint="eastAsia" w:cs="Arial"/>
          <w:snapToGrid w:val="0"/>
        </w:rPr>
        <w:t>，这是什么意思？</w:t>
      </w:r>
      <w:r>
        <w:tab/>
      </w:r>
      <w:r>
        <w:fldChar w:fldCharType="begin"/>
      </w:r>
      <w:r>
        <w:instrText xml:space="preserve"> PAGEREF _Toc498446453 \h </w:instrText>
      </w:r>
      <w:r>
        <w:fldChar w:fldCharType="separate"/>
      </w:r>
      <w:r>
        <w:t>11</w:t>
      </w:r>
      <w:r>
        <w:fldChar w:fldCharType="end"/>
      </w:r>
      <w:r>
        <w:fldChar w:fldCharType="end"/>
      </w:r>
    </w:p>
    <w:p w14:paraId="62A70A66">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"_Toc498446454" </w:instrText>
      </w:r>
      <w:r>
        <w:fldChar w:fldCharType="separate"/>
      </w:r>
      <w:r>
        <w:rPr>
          <w:rStyle w:val="21"/>
          <w:rFonts w:eastAsia="Times New Roman" w:cs="Arial"/>
          <w:snapToGrid w:val="0"/>
        </w:rPr>
        <w:t>30.</w:t>
      </w:r>
      <w:r>
        <w:rPr>
          <w:rFonts w:asciiTheme="minorHAnsi" w:hAnsiTheme="minorHAnsi" w:eastAsiaTheme="minorEastAsia"/>
          <w:b w:val="0"/>
          <w:bCs w:val="0"/>
          <w:kern w:val="2"/>
          <w:sz w:val="21"/>
        </w:rPr>
        <w:tab/>
      </w:r>
      <w:r>
        <w:rPr>
          <w:rStyle w:val="21"/>
          <w:rFonts w:hint="eastAsia" w:cs="Arial"/>
          <w:snapToGrid w:val="0"/>
        </w:rPr>
        <w:t>研究者或第一反应人员是否可以确定不想参与研究的个体？</w:t>
      </w:r>
      <w:r>
        <w:tab/>
      </w:r>
      <w:r>
        <w:fldChar w:fldCharType="begin"/>
      </w:r>
      <w:r>
        <w:instrText xml:space="preserve"> PAGEREF _Toc498446454 \h </w:instrText>
      </w:r>
      <w:r>
        <w:fldChar w:fldCharType="separate"/>
      </w:r>
      <w:r>
        <w:t>12</w:t>
      </w:r>
      <w:r>
        <w:fldChar w:fldCharType="end"/>
      </w:r>
      <w:r>
        <w:fldChar w:fldCharType="end"/>
      </w:r>
    </w:p>
    <w:p w14:paraId="3D46C99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"_Toc498446455" </w:instrText>
      </w:r>
      <w:r>
        <w:fldChar w:fldCharType="separate"/>
      </w:r>
      <w:r>
        <w:rPr>
          <w:rStyle w:val="21"/>
          <w:rFonts w:eastAsia="Times New Roman" w:cs="Arial"/>
          <w:snapToGrid w:val="0"/>
        </w:rPr>
        <w:t>31.</w:t>
      </w:r>
      <w:r>
        <w:rPr>
          <w:rFonts w:asciiTheme="minorHAnsi" w:hAnsiTheme="minorHAnsi" w:eastAsiaTheme="minorEastAsia"/>
          <w:b w:val="0"/>
          <w:bCs w:val="0"/>
          <w:kern w:val="2"/>
          <w:sz w:val="21"/>
        </w:rPr>
        <w:tab/>
      </w:r>
      <w:r>
        <w:rPr>
          <w:rStyle w:val="21"/>
          <w:rFonts w:hint="eastAsia" w:cs="Arial"/>
          <w:snapToGrid w:val="0"/>
        </w:rPr>
        <w:t>是否可以根据</w:t>
      </w:r>
      <w:r>
        <w:rPr>
          <w:rStyle w:val="21"/>
          <w:rFonts w:cs="Arial"/>
          <w:snapToGrid w:val="0"/>
        </w:rPr>
        <w:t>21 CFR 50.24</w:t>
      </w:r>
      <w:r>
        <w:rPr>
          <w:rStyle w:val="21"/>
          <w:rFonts w:hint="eastAsia" w:cs="Arial"/>
          <w:snapToGrid w:val="0"/>
        </w:rPr>
        <w:t>在儿科受试者中进行研究？</w:t>
      </w:r>
      <w:r>
        <w:tab/>
      </w:r>
      <w:r>
        <w:fldChar w:fldCharType="begin"/>
      </w:r>
      <w:r>
        <w:instrText xml:space="preserve"> PAGEREF _Toc498446455 \h </w:instrText>
      </w:r>
      <w:r>
        <w:fldChar w:fldCharType="separate"/>
      </w:r>
      <w:r>
        <w:t>12</w:t>
      </w:r>
      <w:r>
        <w:fldChar w:fldCharType="end"/>
      </w:r>
      <w:r>
        <w:fldChar w:fldCharType="end"/>
      </w:r>
    </w:p>
    <w:p w14:paraId="5FB16EB7">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"_Toc498446456" </w:instrText>
      </w:r>
      <w:r>
        <w:fldChar w:fldCharType="separate"/>
      </w:r>
      <w:r>
        <w:rPr>
          <w:rStyle w:val="21"/>
          <w:rFonts w:eastAsia="Times New Roman" w:cs="Arial"/>
          <w:snapToGrid w:val="0"/>
        </w:rPr>
        <w:t>32.</w:t>
      </w:r>
      <w:r>
        <w:rPr>
          <w:rFonts w:asciiTheme="minorHAnsi" w:hAnsiTheme="minorHAnsi" w:eastAsiaTheme="minorEastAsia"/>
          <w:b w:val="0"/>
          <w:bCs w:val="0"/>
          <w:kern w:val="2"/>
          <w:sz w:val="21"/>
        </w:rPr>
        <w:tab/>
      </w:r>
      <w:r>
        <w:rPr>
          <w:rStyle w:val="21"/>
          <w:rFonts w:hint="eastAsia" w:cs="Arial"/>
          <w:snapToGrid w:val="0"/>
        </w:rPr>
        <w:t>什么是特殊试验方案评估（</w:t>
      </w:r>
      <w:r>
        <w:rPr>
          <w:rStyle w:val="21"/>
          <w:rFonts w:cs="Arial"/>
          <w:snapToGrid w:val="0"/>
        </w:rPr>
        <w:t>SPA</w:t>
      </w:r>
      <w:r>
        <w:rPr>
          <w:rStyle w:val="21"/>
          <w:rFonts w:hint="eastAsia" w:cs="Arial"/>
          <w:snapToGrid w:val="0"/>
        </w:rPr>
        <w:t>）？</w:t>
      </w:r>
      <w:r>
        <w:tab/>
      </w:r>
      <w:r>
        <w:fldChar w:fldCharType="begin"/>
      </w:r>
      <w:r>
        <w:instrText xml:space="preserve"> PAGEREF _Toc498446456 \h </w:instrText>
      </w:r>
      <w:r>
        <w:fldChar w:fldCharType="separate"/>
      </w:r>
      <w:r>
        <w:t>13</w:t>
      </w:r>
      <w:r>
        <w:fldChar w:fldCharType="end"/>
      </w:r>
      <w:r>
        <w:fldChar w:fldCharType="end"/>
      </w:r>
    </w:p>
    <w:p w14:paraId="34F144CA">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"_Toc498446457" </w:instrText>
      </w:r>
      <w:r>
        <w:fldChar w:fldCharType="separate"/>
      </w:r>
      <w:r>
        <w:rPr>
          <w:rStyle w:val="21"/>
          <w:rFonts w:eastAsia="Times New Roman" w:cs="Arial"/>
          <w:snapToGrid w:val="0"/>
        </w:rPr>
        <w:t>33.</w:t>
      </w:r>
      <w:r>
        <w:rPr>
          <w:rFonts w:asciiTheme="minorHAnsi" w:hAnsiTheme="minorHAnsi" w:eastAsiaTheme="minorEastAsia"/>
          <w:b w:val="0"/>
          <w:bCs w:val="0"/>
          <w:kern w:val="2"/>
          <w:sz w:val="21"/>
        </w:rPr>
        <w:tab/>
      </w:r>
      <w:r>
        <w:rPr>
          <w:rStyle w:val="21"/>
          <w:rFonts w:hint="eastAsia" w:cs="Arial"/>
          <w:snapToGrid w:val="0"/>
        </w:rPr>
        <w:t>特殊试验方案评估（</w:t>
      </w:r>
      <w:r>
        <w:rPr>
          <w:rStyle w:val="21"/>
          <w:rFonts w:cs="Arial"/>
          <w:snapToGrid w:val="0"/>
        </w:rPr>
        <w:t>SPA</w:t>
      </w:r>
      <w:r>
        <w:rPr>
          <w:rStyle w:val="21"/>
          <w:rFonts w:hint="eastAsia" w:cs="Arial"/>
          <w:snapToGrid w:val="0"/>
        </w:rPr>
        <w:t>）是否适用于器械研究？</w:t>
      </w:r>
      <w:r>
        <w:tab/>
      </w:r>
      <w:r>
        <w:fldChar w:fldCharType="begin"/>
      </w:r>
      <w:r>
        <w:instrText xml:space="preserve"> PAGEREF _Toc498446457 \h </w:instrText>
      </w:r>
      <w:r>
        <w:fldChar w:fldCharType="separate"/>
      </w:r>
      <w:r>
        <w:t>13</w:t>
      </w:r>
      <w:r>
        <w:fldChar w:fldCharType="end"/>
      </w:r>
      <w:r>
        <w:fldChar w:fldCharType="end"/>
      </w:r>
    </w:p>
    <w:p w14:paraId="26E8B8D9">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"_Toc498446458" </w:instrText>
      </w:r>
      <w:r>
        <w:fldChar w:fldCharType="separate"/>
      </w:r>
      <w:r>
        <w:rPr>
          <w:rStyle w:val="21"/>
          <w:rFonts w:eastAsia="Times New Roman" w:cs="Arial"/>
          <w:snapToGrid w:val="0"/>
          <w:spacing w:val="-1"/>
          <w:w w:val="99"/>
        </w:rPr>
        <w:t>IV.</w:t>
      </w:r>
      <w:r>
        <w:rPr>
          <w:rFonts w:asciiTheme="minorHAnsi" w:hAnsiTheme="minorHAnsi" w:eastAsiaTheme="minorEastAsia"/>
          <w:b w:val="0"/>
          <w:bCs w:val="0"/>
          <w:i w:val="0"/>
          <w:kern w:val="2"/>
          <w:sz w:val="21"/>
        </w:rPr>
        <w:tab/>
      </w:r>
      <w:r>
        <w:rPr>
          <w:rStyle w:val="21"/>
          <w:rFonts w:hint="eastAsia" w:cs="Arial"/>
          <w:snapToGrid w:val="0"/>
        </w:rPr>
        <w:t>治疗窗</w:t>
      </w:r>
      <w:r>
        <w:tab/>
      </w:r>
      <w:r>
        <w:fldChar w:fldCharType="begin"/>
      </w:r>
      <w:r>
        <w:instrText xml:space="preserve"> PAGEREF _Toc498446458 \h </w:instrText>
      </w:r>
      <w:r>
        <w:fldChar w:fldCharType="separate"/>
      </w:r>
      <w:r>
        <w:t>13</w:t>
      </w:r>
      <w:r>
        <w:fldChar w:fldCharType="end"/>
      </w:r>
      <w:r>
        <w:fldChar w:fldCharType="end"/>
      </w:r>
    </w:p>
    <w:p w14:paraId="490830E7">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"_Toc498446459" </w:instrText>
      </w:r>
      <w:r>
        <w:fldChar w:fldCharType="separate"/>
      </w:r>
      <w:r>
        <w:rPr>
          <w:rStyle w:val="21"/>
          <w:rFonts w:eastAsia="Times New Roman" w:cs="Arial"/>
          <w:snapToGrid w:val="0"/>
        </w:rPr>
        <w:t>34.</w:t>
      </w:r>
      <w:r>
        <w:rPr>
          <w:rFonts w:asciiTheme="minorHAnsi" w:hAnsiTheme="minorHAnsi" w:eastAsiaTheme="minorEastAsia"/>
          <w:b w:val="0"/>
          <w:bCs w:val="0"/>
          <w:kern w:val="2"/>
          <w:sz w:val="21"/>
        </w:rPr>
        <w:tab/>
      </w:r>
      <w:r>
        <w:rPr>
          <w:rStyle w:val="21"/>
          <w:rFonts w:hint="eastAsia" w:cs="Arial"/>
          <w:snapToGrid w:val="0"/>
        </w:rPr>
        <w:t>术语</w:t>
      </w:r>
      <w:r>
        <w:rPr>
          <w:rStyle w:val="21"/>
          <w:rFonts w:ascii="宋体" w:hAnsi="宋体" w:cs="Arial"/>
          <w:snapToGrid w:val="0"/>
        </w:rPr>
        <w:t>“</w:t>
      </w:r>
      <w:r>
        <w:rPr>
          <w:rStyle w:val="21"/>
          <w:rFonts w:hint="eastAsia" w:cs="Arial"/>
          <w:snapToGrid w:val="0"/>
        </w:rPr>
        <w:t>治疗窗</w:t>
      </w:r>
      <w:r>
        <w:rPr>
          <w:rStyle w:val="21"/>
          <w:rFonts w:ascii="宋体" w:hAnsi="宋体" w:cs="Arial"/>
          <w:snapToGrid w:val="0"/>
        </w:rPr>
        <w:t>”</w:t>
      </w:r>
      <w:r>
        <w:rPr>
          <w:rStyle w:val="21"/>
          <w:rFonts w:hint="eastAsia" w:cs="Arial"/>
          <w:snapToGrid w:val="0"/>
        </w:rPr>
        <w:t>是什么意思？</w:t>
      </w:r>
      <w:r>
        <w:tab/>
      </w:r>
      <w:r>
        <w:fldChar w:fldCharType="begin"/>
      </w:r>
      <w:r>
        <w:instrText xml:space="preserve"> PAGEREF _Toc498446459 \h </w:instrText>
      </w:r>
      <w:r>
        <w:fldChar w:fldCharType="separate"/>
      </w:r>
      <w:r>
        <w:t>13</w:t>
      </w:r>
      <w:r>
        <w:fldChar w:fldCharType="end"/>
      </w:r>
      <w:r>
        <w:fldChar w:fldCharType="end"/>
      </w:r>
    </w:p>
    <w:p w14:paraId="5A48E01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"_Toc498446460" </w:instrText>
      </w:r>
      <w:r>
        <w:fldChar w:fldCharType="separate"/>
      </w:r>
      <w:r>
        <w:rPr>
          <w:rStyle w:val="21"/>
          <w:rFonts w:eastAsia="Times New Roman" w:cs="Arial"/>
          <w:snapToGrid w:val="0"/>
        </w:rPr>
        <w:t>35.</w:t>
      </w:r>
      <w:r>
        <w:rPr>
          <w:rFonts w:asciiTheme="minorHAnsi" w:hAnsiTheme="minorHAnsi" w:eastAsiaTheme="minorEastAsia"/>
          <w:b w:val="0"/>
          <w:bCs w:val="0"/>
          <w:kern w:val="2"/>
          <w:sz w:val="21"/>
        </w:rPr>
        <w:tab/>
      </w:r>
      <w:r>
        <w:rPr>
          <w:rStyle w:val="21"/>
          <w:rFonts w:hint="eastAsia" w:cs="Arial"/>
          <w:snapToGrid w:val="0"/>
        </w:rPr>
        <w:t>申办方如何确定合适的治疗窗？</w:t>
      </w:r>
      <w:r>
        <w:tab/>
      </w:r>
      <w:r>
        <w:fldChar w:fldCharType="begin"/>
      </w:r>
      <w:r>
        <w:instrText xml:space="preserve"> PAGEREF _Toc498446460 \h </w:instrText>
      </w:r>
      <w:r>
        <w:fldChar w:fldCharType="separate"/>
      </w:r>
      <w:r>
        <w:t>13</w:t>
      </w:r>
      <w:r>
        <w:fldChar w:fldCharType="end"/>
      </w:r>
      <w:r>
        <w:fldChar w:fldCharType="end"/>
      </w:r>
    </w:p>
    <w:p w14:paraId="38CA9C57">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"_Toc498446461" </w:instrText>
      </w:r>
      <w:r>
        <w:fldChar w:fldCharType="separate"/>
      </w:r>
      <w:r>
        <w:rPr>
          <w:rStyle w:val="21"/>
          <w:rFonts w:eastAsia="Times New Roman" w:cs="Arial"/>
          <w:snapToGrid w:val="0"/>
        </w:rPr>
        <w:t>36.</w:t>
      </w:r>
      <w:r>
        <w:rPr>
          <w:rFonts w:asciiTheme="minorHAnsi" w:hAnsiTheme="minorHAnsi" w:eastAsiaTheme="minorEastAsia"/>
          <w:b w:val="0"/>
          <w:bCs w:val="0"/>
          <w:kern w:val="2"/>
          <w:sz w:val="21"/>
        </w:rPr>
        <w:tab/>
      </w:r>
      <w:r>
        <w:rPr>
          <w:rStyle w:val="21"/>
          <w:rFonts w:hint="eastAsia" w:cs="Arial"/>
          <w:snapToGrid w:val="0"/>
        </w:rPr>
        <w:t>术语</w:t>
      </w:r>
      <w:r>
        <w:rPr>
          <w:rStyle w:val="21"/>
          <w:rFonts w:ascii="宋体" w:hAnsi="宋体" w:cs="Arial"/>
          <w:snapToGrid w:val="0"/>
        </w:rPr>
        <w:t>“</w:t>
      </w:r>
      <w:r>
        <w:rPr>
          <w:rStyle w:val="21"/>
          <w:rFonts w:hint="eastAsia" w:cs="Arial"/>
          <w:snapToGrid w:val="0"/>
        </w:rPr>
        <w:t>治疗窗</w:t>
      </w:r>
      <w:r>
        <w:rPr>
          <w:rStyle w:val="21"/>
          <w:rFonts w:ascii="宋体" w:hAnsi="宋体" w:cs="Arial"/>
          <w:snapToGrid w:val="0"/>
        </w:rPr>
        <w:t>”</w:t>
      </w:r>
      <w:r>
        <w:rPr>
          <w:rStyle w:val="21"/>
          <w:rFonts w:hint="eastAsia" w:cs="Arial"/>
          <w:snapToGrid w:val="0"/>
        </w:rPr>
        <w:t>如何适用于体外诊断器械（</w:t>
      </w:r>
      <w:r>
        <w:rPr>
          <w:rStyle w:val="21"/>
          <w:rFonts w:cs="Arial"/>
          <w:snapToGrid w:val="0"/>
        </w:rPr>
        <w:t>IVD</w:t>
      </w:r>
      <w:r>
        <w:rPr>
          <w:rStyle w:val="21"/>
          <w:rFonts w:hint="eastAsia" w:cs="Arial"/>
          <w:snapToGrid w:val="0"/>
        </w:rPr>
        <w:t>）研究？</w:t>
      </w:r>
      <w:r>
        <w:tab/>
      </w:r>
      <w:r>
        <w:fldChar w:fldCharType="begin"/>
      </w:r>
      <w:r>
        <w:instrText xml:space="preserve"> PAGEREF _Toc498446461 \h </w:instrText>
      </w:r>
      <w:r>
        <w:fldChar w:fldCharType="separate"/>
      </w:r>
      <w:r>
        <w:t>14</w:t>
      </w:r>
      <w:r>
        <w:fldChar w:fldCharType="end"/>
      </w:r>
      <w:r>
        <w:fldChar w:fldCharType="end"/>
      </w:r>
    </w:p>
    <w:p w14:paraId="4FDC8D59">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"_Toc498446462" </w:instrText>
      </w:r>
      <w:r>
        <w:fldChar w:fldCharType="separate"/>
      </w:r>
      <w:r>
        <w:rPr>
          <w:rStyle w:val="21"/>
          <w:rFonts w:eastAsia="Times New Roman" w:cs="Arial"/>
          <w:snapToGrid w:val="0"/>
        </w:rPr>
        <w:t>37.</w:t>
      </w:r>
      <w:r>
        <w:rPr>
          <w:rFonts w:asciiTheme="minorHAnsi" w:hAnsiTheme="minorHAnsi" w:eastAsiaTheme="minorEastAsia"/>
          <w:b w:val="0"/>
          <w:bCs w:val="0"/>
          <w:kern w:val="2"/>
          <w:sz w:val="21"/>
        </w:rPr>
        <w:tab/>
      </w:r>
      <w:r>
        <w:rPr>
          <w:rStyle w:val="21"/>
          <w:rFonts w:hint="eastAsia" w:cs="Arial"/>
          <w:snapToGrid w:val="0"/>
        </w:rPr>
        <w:t>个体是否可以表示其不想参与紧急研究？</w:t>
      </w:r>
      <w:r>
        <w:tab/>
      </w:r>
      <w:r>
        <w:fldChar w:fldCharType="begin"/>
      </w:r>
      <w:r>
        <w:instrText xml:space="preserve"> PAGEREF _Toc498446462 \h </w:instrText>
      </w:r>
      <w:r>
        <w:fldChar w:fldCharType="separate"/>
      </w:r>
      <w:r>
        <w:t>14</w:t>
      </w:r>
      <w:r>
        <w:fldChar w:fldCharType="end"/>
      </w:r>
      <w:r>
        <w:fldChar w:fldCharType="end"/>
      </w:r>
    </w:p>
    <w:p w14:paraId="5B275DB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"_Toc498446463" </w:instrText>
      </w:r>
      <w:r>
        <w:fldChar w:fldCharType="separate"/>
      </w:r>
      <w:r>
        <w:rPr>
          <w:rStyle w:val="21"/>
          <w:rFonts w:eastAsia="Times New Roman" w:cs="Arial"/>
          <w:snapToGrid w:val="0"/>
        </w:rPr>
        <w:t>38.</w:t>
      </w:r>
      <w:r>
        <w:rPr>
          <w:rFonts w:asciiTheme="minorHAnsi" w:hAnsiTheme="minorHAnsi" w:eastAsiaTheme="minorEastAsia"/>
          <w:b w:val="0"/>
          <w:bCs w:val="0"/>
          <w:kern w:val="2"/>
          <w:sz w:val="21"/>
        </w:rPr>
        <w:tab/>
      </w:r>
      <w:r>
        <w:rPr>
          <w:rStyle w:val="21"/>
          <w:rFonts w:hint="eastAsia" w:cs="Arial"/>
          <w:snapToGrid w:val="0"/>
        </w:rPr>
        <w:t>什么是合法授权代表？</w:t>
      </w:r>
      <w:r>
        <w:tab/>
      </w:r>
      <w:r>
        <w:fldChar w:fldCharType="begin"/>
      </w:r>
      <w:r>
        <w:instrText xml:space="preserve"> PAGEREF _Toc498446463 \h </w:instrText>
      </w:r>
      <w:r>
        <w:fldChar w:fldCharType="separate"/>
      </w:r>
      <w:r>
        <w:t>14</w:t>
      </w:r>
      <w:r>
        <w:fldChar w:fldCharType="end"/>
      </w:r>
      <w:r>
        <w:fldChar w:fldCharType="end"/>
      </w:r>
    </w:p>
    <w:p w14:paraId="1042C272">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"_Toc498446464" </w:instrText>
      </w:r>
      <w:r>
        <w:fldChar w:fldCharType="separate"/>
      </w:r>
      <w:r>
        <w:rPr>
          <w:rStyle w:val="21"/>
          <w:rFonts w:eastAsia="Times New Roman" w:cs="Arial"/>
          <w:snapToGrid w:val="0"/>
        </w:rPr>
        <w:t>39.</w:t>
      </w:r>
      <w:r>
        <w:rPr>
          <w:rFonts w:asciiTheme="minorHAnsi" w:hAnsiTheme="minorHAnsi" w:eastAsiaTheme="minorEastAsia"/>
          <w:b w:val="0"/>
          <w:bCs w:val="0"/>
          <w:kern w:val="2"/>
          <w:sz w:val="21"/>
        </w:rPr>
        <w:tab/>
      </w:r>
      <w:r>
        <w:rPr>
          <w:rStyle w:val="21"/>
          <w:rFonts w:hint="eastAsia" w:cs="Arial"/>
          <w:snapToGrid w:val="0"/>
        </w:rPr>
        <w:t>谁可以担任合法授权代表（</w:t>
      </w:r>
      <w:r>
        <w:rPr>
          <w:rStyle w:val="21"/>
          <w:rFonts w:cs="Arial"/>
          <w:snapToGrid w:val="0"/>
        </w:rPr>
        <w:t>LAR</w:t>
      </w:r>
      <w:r>
        <w:rPr>
          <w:rStyle w:val="21"/>
          <w:rFonts w:hint="eastAsia" w:cs="Arial"/>
          <w:snapToGrid w:val="0"/>
        </w:rPr>
        <w:t>）？</w:t>
      </w:r>
      <w:r>
        <w:tab/>
      </w:r>
      <w:r>
        <w:fldChar w:fldCharType="begin"/>
      </w:r>
      <w:r>
        <w:instrText xml:space="preserve"> PAGEREF _Toc498446464 \h </w:instrText>
      </w:r>
      <w:r>
        <w:fldChar w:fldCharType="separate"/>
      </w:r>
      <w:r>
        <w:t>14</w:t>
      </w:r>
      <w:r>
        <w:fldChar w:fldCharType="end"/>
      </w:r>
      <w:r>
        <w:fldChar w:fldCharType="end"/>
      </w:r>
    </w:p>
    <w:p w14:paraId="6C2A5326">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"_Toc498446465" </w:instrText>
      </w:r>
      <w:r>
        <w:fldChar w:fldCharType="separate"/>
      </w:r>
      <w:r>
        <w:rPr>
          <w:rStyle w:val="21"/>
          <w:rFonts w:eastAsia="Times New Roman" w:cs="Arial"/>
          <w:snapToGrid w:val="0"/>
        </w:rPr>
        <w:t>40.</w:t>
      </w:r>
      <w:r>
        <w:rPr>
          <w:rFonts w:asciiTheme="minorHAnsi" w:hAnsiTheme="minorHAnsi" w:eastAsiaTheme="minorEastAsia"/>
          <w:b w:val="0"/>
          <w:bCs w:val="0"/>
          <w:kern w:val="2"/>
          <w:sz w:val="21"/>
        </w:rPr>
        <w:tab/>
      </w:r>
      <w:r>
        <w:rPr>
          <w:rStyle w:val="21"/>
          <w:rFonts w:hint="eastAsia" w:cs="Arial"/>
          <w:snapToGrid w:val="0"/>
        </w:rPr>
        <w:t>如果紧急研究涉及儿科受试者，谁可以担任儿童的法定授权代表（</w:t>
      </w:r>
      <w:r>
        <w:rPr>
          <w:rStyle w:val="21"/>
          <w:rFonts w:cs="Arial"/>
          <w:snapToGrid w:val="0"/>
        </w:rPr>
        <w:t>LAR</w:t>
      </w:r>
      <w:r>
        <w:rPr>
          <w:rStyle w:val="21"/>
          <w:rFonts w:hint="eastAsia" w:cs="Arial"/>
          <w:snapToGrid w:val="0"/>
        </w:rPr>
        <w:t>）？</w:t>
      </w:r>
      <w:r>
        <w:tab/>
      </w:r>
      <w:r>
        <w:fldChar w:fldCharType="begin"/>
      </w:r>
      <w:r>
        <w:instrText xml:space="preserve"> PAGEREF _Toc498446465 \h </w:instrText>
      </w:r>
      <w:r>
        <w:fldChar w:fldCharType="separate"/>
      </w:r>
      <w:r>
        <w:t>15</w:t>
      </w:r>
      <w:r>
        <w:fldChar w:fldCharType="end"/>
      </w:r>
      <w:r>
        <w:fldChar w:fldCharType="end"/>
      </w:r>
    </w:p>
    <w:p w14:paraId="2EC4BA70">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"_Toc498446466" </w:instrText>
      </w:r>
      <w:r>
        <w:fldChar w:fldCharType="separate"/>
      </w:r>
      <w:r>
        <w:rPr>
          <w:rStyle w:val="21"/>
          <w:rFonts w:eastAsia="Times New Roman" w:cs="Arial"/>
          <w:snapToGrid w:val="0"/>
        </w:rPr>
        <w:t>41.</w:t>
      </w:r>
      <w:r>
        <w:rPr>
          <w:rFonts w:asciiTheme="minorHAnsi" w:hAnsiTheme="minorHAnsi" w:eastAsiaTheme="minorEastAsia"/>
          <w:b w:val="0"/>
          <w:bCs w:val="0"/>
          <w:kern w:val="2"/>
          <w:sz w:val="21"/>
        </w:rPr>
        <w:tab/>
      </w:r>
      <w:r>
        <w:rPr>
          <w:rStyle w:val="21"/>
          <w:rFonts w:hint="eastAsia" w:cs="Arial"/>
          <w:snapToGrid w:val="0"/>
        </w:rPr>
        <w:t>联系受试者法定授权代表（</w:t>
      </w:r>
      <w:r>
        <w:rPr>
          <w:rStyle w:val="21"/>
          <w:rFonts w:cs="Arial"/>
          <w:snapToGrid w:val="0"/>
        </w:rPr>
        <w:t>LAR</w:t>
      </w:r>
      <w:r>
        <w:rPr>
          <w:rStyle w:val="21"/>
          <w:rFonts w:hint="eastAsia" w:cs="Arial"/>
          <w:snapToGrid w:val="0"/>
        </w:rPr>
        <w:t>）的目的是什么？</w:t>
      </w:r>
      <w:r>
        <w:tab/>
      </w:r>
      <w:r>
        <w:fldChar w:fldCharType="begin"/>
      </w:r>
      <w:r>
        <w:instrText xml:space="preserve"> PAGEREF _Toc498446466 \h </w:instrText>
      </w:r>
      <w:r>
        <w:fldChar w:fldCharType="separate"/>
      </w:r>
      <w:r>
        <w:t>15</w:t>
      </w:r>
      <w:r>
        <w:fldChar w:fldCharType="end"/>
      </w:r>
      <w:r>
        <w:fldChar w:fldCharType="end"/>
      </w:r>
    </w:p>
    <w:p w14:paraId="4C31283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"_Toc498446467" </w:instrText>
      </w:r>
      <w:r>
        <w:fldChar w:fldCharType="separate"/>
      </w:r>
      <w:r>
        <w:rPr>
          <w:rStyle w:val="21"/>
          <w:rFonts w:eastAsia="Times New Roman" w:cs="Arial"/>
          <w:snapToGrid w:val="0"/>
        </w:rPr>
        <w:t>42.</w:t>
      </w:r>
      <w:r>
        <w:rPr>
          <w:rFonts w:asciiTheme="minorHAnsi" w:hAnsiTheme="minorHAnsi" w:eastAsiaTheme="minorEastAsia"/>
          <w:b w:val="0"/>
          <w:bCs w:val="0"/>
          <w:kern w:val="2"/>
          <w:sz w:val="21"/>
        </w:rPr>
        <w:tab/>
      </w:r>
      <w:r>
        <w:rPr>
          <w:rStyle w:val="21"/>
          <w:rFonts w:hint="eastAsia" w:cs="Arial"/>
          <w:snapToGrid w:val="0"/>
        </w:rPr>
        <w:t>联系受试者家庭成员的目的是什么？</w:t>
      </w:r>
      <w:r>
        <w:tab/>
      </w:r>
      <w:r>
        <w:fldChar w:fldCharType="begin"/>
      </w:r>
      <w:r>
        <w:instrText xml:space="preserve"> PAGEREF _Toc498446467 \h </w:instrText>
      </w:r>
      <w:r>
        <w:fldChar w:fldCharType="separate"/>
      </w:r>
      <w:r>
        <w:t>15</w:t>
      </w:r>
      <w:r>
        <w:fldChar w:fldCharType="end"/>
      </w:r>
      <w:r>
        <w:fldChar w:fldCharType="end"/>
      </w:r>
    </w:p>
    <w:p w14:paraId="14E185E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"_Toc498446468" </w:instrText>
      </w:r>
      <w:r>
        <w:fldChar w:fldCharType="separate"/>
      </w:r>
      <w:r>
        <w:rPr>
          <w:rStyle w:val="21"/>
          <w:rFonts w:eastAsia="Times New Roman" w:cs="Arial"/>
          <w:snapToGrid w:val="0"/>
        </w:rPr>
        <w:t>43.</w:t>
      </w:r>
      <w:r>
        <w:rPr>
          <w:rFonts w:asciiTheme="minorHAnsi" w:hAnsiTheme="minorHAnsi" w:eastAsiaTheme="minorEastAsia"/>
          <w:b w:val="0"/>
          <w:bCs w:val="0"/>
          <w:kern w:val="2"/>
          <w:sz w:val="21"/>
        </w:rPr>
        <w:tab/>
      </w:r>
      <w:r>
        <w:rPr>
          <w:rStyle w:val="21"/>
          <w:rFonts w:hint="eastAsia" w:cs="Arial"/>
          <w:snapToGrid w:val="0"/>
        </w:rPr>
        <w:t>在可以将供试品施用于受试者之前，是否必须在整个治疗窗内持续尝试联系受试者的合法授权代表或家庭成员？</w:t>
      </w:r>
      <w:r>
        <w:tab/>
      </w:r>
      <w:r>
        <w:fldChar w:fldCharType="begin"/>
      </w:r>
      <w:r>
        <w:instrText xml:space="preserve"> PAGEREF _Toc498446468 \h </w:instrText>
      </w:r>
      <w:r>
        <w:fldChar w:fldCharType="separate"/>
      </w:r>
      <w:r>
        <w:t>15</w:t>
      </w:r>
      <w:r>
        <w:fldChar w:fldCharType="end"/>
      </w:r>
      <w:r>
        <w:fldChar w:fldCharType="end"/>
      </w:r>
    </w:p>
    <w:p w14:paraId="2ADB9FCE">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"_Toc498446469" </w:instrText>
      </w:r>
      <w:r>
        <w:fldChar w:fldCharType="separate"/>
      </w:r>
      <w:r>
        <w:rPr>
          <w:rStyle w:val="21"/>
          <w:rFonts w:eastAsia="Times New Roman" w:cs="Arial"/>
          <w:snapToGrid w:val="0"/>
          <w:spacing w:val="-1"/>
          <w:w w:val="99"/>
        </w:rPr>
        <w:t>V.</w:t>
      </w:r>
      <w:r>
        <w:rPr>
          <w:rFonts w:asciiTheme="minorHAnsi" w:hAnsiTheme="minorHAnsi" w:eastAsiaTheme="minorEastAsia"/>
          <w:b w:val="0"/>
          <w:bCs w:val="0"/>
          <w:i w:val="0"/>
          <w:kern w:val="2"/>
          <w:sz w:val="21"/>
        </w:rPr>
        <w:tab/>
      </w:r>
      <w:r>
        <w:rPr>
          <w:rStyle w:val="21"/>
          <w:rFonts w:cs="Arial"/>
          <w:snapToGrid w:val="0"/>
        </w:rPr>
        <w:t>IRB</w:t>
      </w:r>
      <w:r>
        <w:rPr>
          <w:rStyle w:val="21"/>
          <w:rFonts w:hint="eastAsia" w:cs="Arial"/>
          <w:snapToGrid w:val="0"/>
        </w:rPr>
        <w:t>责任</w:t>
      </w:r>
      <w:r>
        <w:tab/>
      </w:r>
      <w:r>
        <w:fldChar w:fldCharType="begin"/>
      </w:r>
      <w:r>
        <w:instrText xml:space="preserve"> PAGEREF _Toc498446469 \h </w:instrText>
      </w:r>
      <w:r>
        <w:fldChar w:fldCharType="separate"/>
      </w:r>
      <w:r>
        <w:t>16</w:t>
      </w:r>
      <w:r>
        <w:fldChar w:fldCharType="end"/>
      </w:r>
      <w:r>
        <w:fldChar w:fldCharType="end"/>
      </w:r>
    </w:p>
    <w:p w14:paraId="468E58FC">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"_Toc498446470" </w:instrText>
      </w:r>
      <w:r>
        <w:fldChar w:fldCharType="separate"/>
      </w:r>
      <w:r>
        <w:rPr>
          <w:rStyle w:val="21"/>
          <w:rFonts w:eastAsia="Times New Roman" w:cs="Arial"/>
          <w:snapToGrid w:val="0"/>
        </w:rPr>
        <w:t>44.</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在审查紧急研究中的作用是什么？</w:t>
      </w:r>
      <w:r>
        <w:tab/>
      </w:r>
      <w:r>
        <w:fldChar w:fldCharType="begin"/>
      </w:r>
      <w:r>
        <w:instrText xml:space="preserve"> PAGEREF _Toc498446470 \h </w:instrText>
      </w:r>
      <w:r>
        <w:fldChar w:fldCharType="separate"/>
      </w:r>
      <w:r>
        <w:t>16</w:t>
      </w:r>
      <w:r>
        <w:fldChar w:fldCharType="end"/>
      </w:r>
      <w:r>
        <w:fldChar w:fldCharType="end"/>
      </w:r>
    </w:p>
    <w:p w14:paraId="5DF8896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"_Toc498446471" </w:instrText>
      </w:r>
      <w:r>
        <w:fldChar w:fldCharType="separate"/>
      </w:r>
      <w:r>
        <w:rPr>
          <w:rStyle w:val="21"/>
          <w:rFonts w:eastAsia="Times New Roman" w:cs="Arial"/>
          <w:snapToGrid w:val="0"/>
        </w:rPr>
        <w:t>45.</w:t>
      </w:r>
      <w:r>
        <w:rPr>
          <w:rFonts w:asciiTheme="minorHAnsi" w:hAnsiTheme="minorHAnsi" w:eastAsiaTheme="minorEastAsia"/>
          <w:b w:val="0"/>
          <w:bCs w:val="0"/>
          <w:kern w:val="2"/>
          <w:sz w:val="21"/>
        </w:rPr>
        <w:tab/>
      </w:r>
      <w:r>
        <w:rPr>
          <w:rStyle w:val="21"/>
          <w:rFonts w:hint="eastAsia" w:cs="Arial"/>
          <w:snapToGrid w:val="0"/>
        </w:rPr>
        <w:t>如果研究方案已根据</w:t>
      </w:r>
      <w:r>
        <w:rPr>
          <w:rStyle w:val="21"/>
          <w:rFonts w:cs="Arial"/>
          <w:snapToGrid w:val="0"/>
        </w:rPr>
        <w:t>21 CFR 50.24</w:t>
      </w:r>
      <w:r>
        <w:rPr>
          <w:rStyle w:val="21"/>
          <w:rFonts w:hint="eastAsia" w:cs="Arial"/>
          <w:snapToGrid w:val="0"/>
        </w:rPr>
        <w:t>豁免知情同意，临床研究者或申办方向</w:t>
      </w:r>
      <w:r>
        <w:rPr>
          <w:rStyle w:val="21"/>
          <w:rFonts w:cs="Arial"/>
          <w:snapToGrid w:val="0"/>
        </w:rPr>
        <w:t>IRB</w:t>
      </w:r>
      <w:r>
        <w:rPr>
          <w:rStyle w:val="21"/>
          <w:rFonts w:hint="eastAsia" w:cs="Arial"/>
          <w:snapToGrid w:val="0"/>
        </w:rPr>
        <w:t>提供哪些相关信息？</w:t>
      </w:r>
      <w:r>
        <w:tab/>
      </w:r>
      <w:r>
        <w:fldChar w:fldCharType="begin"/>
      </w:r>
      <w:r>
        <w:instrText xml:space="preserve"> PAGEREF _Toc498446471 \h </w:instrText>
      </w:r>
      <w:r>
        <w:fldChar w:fldCharType="separate"/>
      </w:r>
      <w:r>
        <w:t>16</w:t>
      </w:r>
      <w:r>
        <w:fldChar w:fldCharType="end"/>
      </w:r>
      <w:r>
        <w:fldChar w:fldCharType="end"/>
      </w:r>
    </w:p>
    <w:p w14:paraId="22BBDD5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"_Toc498446472" </w:instrText>
      </w:r>
      <w:r>
        <w:fldChar w:fldCharType="separate"/>
      </w:r>
      <w:r>
        <w:rPr>
          <w:rStyle w:val="21"/>
          <w:rFonts w:eastAsia="Times New Roman" w:cs="Arial"/>
          <w:snapToGrid w:val="0"/>
        </w:rPr>
        <w:t>46.</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将如何使用所提交的信息？</w:t>
      </w:r>
      <w:r>
        <w:tab/>
      </w:r>
      <w:r>
        <w:fldChar w:fldCharType="begin"/>
      </w:r>
      <w:r>
        <w:instrText xml:space="preserve"> PAGEREF _Toc498446472 \h </w:instrText>
      </w:r>
      <w:r>
        <w:fldChar w:fldCharType="separate"/>
      </w:r>
      <w:r>
        <w:t>17</w:t>
      </w:r>
      <w:r>
        <w:fldChar w:fldCharType="end"/>
      </w:r>
      <w:r>
        <w:fldChar w:fldCharType="end"/>
      </w:r>
    </w:p>
    <w:p w14:paraId="1C26C01A">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"_Toc498446473" </w:instrText>
      </w:r>
      <w:r>
        <w:fldChar w:fldCharType="separate"/>
      </w:r>
      <w:r>
        <w:rPr>
          <w:rStyle w:val="21"/>
          <w:rFonts w:eastAsia="Times New Roman" w:cs="Arial"/>
          <w:snapToGrid w:val="0"/>
        </w:rPr>
        <w:t>47.</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是否仅负责确定和确认社区咨询和公开披露计划是否存在，或</w:t>
      </w:r>
      <w:r>
        <w:rPr>
          <w:rStyle w:val="21"/>
          <w:rFonts w:cs="Arial"/>
          <w:snapToGrid w:val="0"/>
        </w:rPr>
        <w:t>IRB</w:t>
      </w:r>
      <w:r>
        <w:rPr>
          <w:rStyle w:val="21"/>
          <w:rFonts w:hint="eastAsia" w:cs="Arial"/>
          <w:snapToGrid w:val="0"/>
        </w:rPr>
        <w:t>是否应承担其他责任来确保此类活动得到执行？</w:t>
      </w:r>
      <w:r>
        <w:tab/>
      </w:r>
      <w:r>
        <w:fldChar w:fldCharType="begin"/>
      </w:r>
      <w:r>
        <w:instrText xml:space="preserve"> PAGEREF _Toc498446473 \h </w:instrText>
      </w:r>
      <w:r>
        <w:fldChar w:fldCharType="separate"/>
      </w:r>
      <w:r>
        <w:t>18</w:t>
      </w:r>
      <w:r>
        <w:fldChar w:fldCharType="end"/>
      </w:r>
      <w:r>
        <w:fldChar w:fldCharType="end"/>
      </w:r>
    </w:p>
    <w:p w14:paraId="15A45E18">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"_Toc498446474" </w:instrText>
      </w:r>
      <w:r>
        <w:fldChar w:fldCharType="separate"/>
      </w:r>
      <w:r>
        <w:rPr>
          <w:rStyle w:val="21"/>
          <w:rFonts w:eastAsia="Times New Roman" w:cs="Arial"/>
          <w:snapToGrid w:val="0"/>
        </w:rPr>
        <w:t>48.</w:t>
      </w:r>
      <w:r>
        <w:rPr>
          <w:rFonts w:asciiTheme="minorHAnsi" w:hAnsiTheme="minorHAnsi" w:eastAsiaTheme="minorEastAsia"/>
          <w:b w:val="0"/>
          <w:bCs w:val="0"/>
          <w:kern w:val="2"/>
          <w:sz w:val="21"/>
        </w:rPr>
        <w:tab/>
      </w:r>
      <w:r>
        <w:rPr>
          <w:rStyle w:val="21"/>
          <w:rFonts w:hint="eastAsia" w:cs="Arial"/>
          <w:snapToGrid w:val="0"/>
        </w:rPr>
        <w:t>如果</w:t>
      </w:r>
      <w:r>
        <w:rPr>
          <w:rStyle w:val="21"/>
          <w:rFonts w:cs="Arial"/>
          <w:snapToGrid w:val="0"/>
        </w:rPr>
        <w:t>IRB</w:t>
      </w:r>
      <w:r>
        <w:rPr>
          <w:rStyle w:val="21"/>
          <w:rFonts w:hint="eastAsia" w:cs="Arial"/>
          <w:snapToGrid w:val="0"/>
        </w:rPr>
        <w:t>确定需要社区提供研究相关意见，</w:t>
      </w:r>
      <w:r>
        <w:rPr>
          <w:rStyle w:val="21"/>
          <w:rFonts w:cs="Arial"/>
          <w:snapToGrid w:val="0"/>
        </w:rPr>
        <w:t>IRB</w:t>
      </w:r>
      <w:r>
        <w:rPr>
          <w:rStyle w:val="21"/>
          <w:rFonts w:hint="eastAsia" w:cs="Arial"/>
          <w:snapToGrid w:val="0"/>
        </w:rPr>
        <w:t>应该怎么做？</w:t>
      </w:r>
      <w:r>
        <w:tab/>
      </w:r>
      <w:r>
        <w:fldChar w:fldCharType="begin"/>
      </w:r>
      <w:r>
        <w:instrText xml:space="preserve"> PAGEREF _Toc498446474 \h </w:instrText>
      </w:r>
      <w:r>
        <w:fldChar w:fldCharType="separate"/>
      </w:r>
      <w:r>
        <w:t>18</w:t>
      </w:r>
      <w:r>
        <w:fldChar w:fldCharType="end"/>
      </w:r>
      <w:r>
        <w:fldChar w:fldCharType="end"/>
      </w:r>
    </w:p>
    <w:p w14:paraId="5DBA7E7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"_Toc498446475" </w:instrText>
      </w:r>
      <w:r>
        <w:fldChar w:fldCharType="separate"/>
      </w:r>
      <w:r>
        <w:rPr>
          <w:rStyle w:val="21"/>
          <w:rFonts w:eastAsia="Times New Roman" w:cs="Arial"/>
          <w:snapToGrid w:val="0"/>
        </w:rPr>
        <w:t>49.</w:t>
      </w:r>
      <w:r>
        <w:rPr>
          <w:rFonts w:asciiTheme="minorHAnsi" w:hAnsiTheme="minorHAnsi" w:eastAsiaTheme="minorEastAsia"/>
          <w:b w:val="0"/>
          <w:bCs w:val="0"/>
          <w:kern w:val="2"/>
          <w:sz w:val="21"/>
        </w:rPr>
        <w:tab/>
      </w:r>
      <w:r>
        <w:rPr>
          <w:rStyle w:val="21"/>
          <w:rFonts w:hint="eastAsia" w:cs="Arial"/>
          <w:snapToGrid w:val="0"/>
        </w:rPr>
        <w:t>是否只有机构附属</w:t>
      </w:r>
      <w:r>
        <w:rPr>
          <w:rStyle w:val="21"/>
          <w:rFonts w:cs="Arial"/>
          <w:snapToGrid w:val="0"/>
        </w:rPr>
        <w:t>IRB</w:t>
      </w:r>
      <w:r>
        <w:rPr>
          <w:rStyle w:val="21"/>
          <w:rFonts w:hint="eastAsia" w:cs="Arial"/>
          <w:snapToGrid w:val="0"/>
        </w:rPr>
        <w:t>才能审查紧急研究？</w:t>
      </w:r>
      <w:r>
        <w:tab/>
      </w:r>
      <w:r>
        <w:fldChar w:fldCharType="begin"/>
      </w:r>
      <w:r>
        <w:instrText xml:space="preserve"> PAGEREF _Toc498446475 \h </w:instrText>
      </w:r>
      <w:r>
        <w:fldChar w:fldCharType="separate"/>
      </w:r>
      <w:r>
        <w:t>19</w:t>
      </w:r>
      <w:r>
        <w:fldChar w:fldCharType="end"/>
      </w:r>
      <w:r>
        <w:fldChar w:fldCharType="end"/>
      </w:r>
    </w:p>
    <w:p w14:paraId="569324A0">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"_Toc498446476" </w:instrText>
      </w:r>
      <w:r>
        <w:fldChar w:fldCharType="separate"/>
      </w:r>
      <w:r>
        <w:rPr>
          <w:rStyle w:val="21"/>
          <w:rFonts w:eastAsia="Times New Roman" w:cs="Arial"/>
          <w:snapToGrid w:val="0"/>
        </w:rPr>
        <w:t>50.</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应如何记录其对紧急研究的审查？</w:t>
      </w:r>
      <w:r>
        <w:tab/>
      </w:r>
      <w:r>
        <w:fldChar w:fldCharType="begin"/>
      </w:r>
      <w:r>
        <w:instrText xml:space="preserve"> PAGEREF _Toc498446476 \h </w:instrText>
      </w:r>
      <w:r>
        <w:fldChar w:fldCharType="separate"/>
      </w:r>
      <w:r>
        <w:t>20</w:t>
      </w:r>
      <w:r>
        <w:fldChar w:fldCharType="end"/>
      </w:r>
      <w:r>
        <w:fldChar w:fldCharType="end"/>
      </w:r>
    </w:p>
    <w:p w14:paraId="65F0F633">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"_Toc498446477" </w:instrText>
      </w:r>
      <w:r>
        <w:fldChar w:fldCharType="separate"/>
      </w:r>
      <w:r>
        <w:rPr>
          <w:rStyle w:val="21"/>
          <w:rFonts w:eastAsia="Times New Roman" w:cs="Arial"/>
          <w:snapToGrid w:val="0"/>
        </w:rPr>
        <w:t>51.</w:t>
      </w:r>
      <w:r>
        <w:rPr>
          <w:rFonts w:asciiTheme="minorHAnsi" w:hAnsiTheme="minorHAnsi" w:eastAsiaTheme="minorEastAsia"/>
          <w:b w:val="0"/>
          <w:bCs w:val="0"/>
          <w:kern w:val="2"/>
          <w:sz w:val="21"/>
        </w:rPr>
        <w:tab/>
      </w:r>
      <w:r>
        <w:rPr>
          <w:rStyle w:val="21"/>
          <w:rFonts w:ascii="宋体" w:hAnsi="宋体" w:cs="Arial"/>
          <w:snapToGrid w:val="0"/>
        </w:rPr>
        <w:t>“</w:t>
      </w:r>
      <w:r>
        <w:rPr>
          <w:rStyle w:val="21"/>
          <w:rFonts w:hint="eastAsia" w:cs="Arial"/>
          <w:snapToGrid w:val="0"/>
        </w:rPr>
        <w:t>执业医师同意</w:t>
      </w:r>
      <w:r>
        <w:rPr>
          <w:rStyle w:val="21"/>
          <w:rFonts w:ascii="宋体" w:hAnsi="宋体" w:cs="Arial"/>
          <w:snapToGrid w:val="0"/>
        </w:rPr>
        <w:t>”</w:t>
      </w:r>
      <w:r>
        <w:rPr>
          <w:rStyle w:val="21"/>
          <w:rFonts w:hint="eastAsia" w:cs="Arial"/>
          <w:snapToGrid w:val="0"/>
        </w:rPr>
        <w:t>是什么意思？</w:t>
      </w:r>
      <w:r>
        <w:tab/>
      </w:r>
      <w:r>
        <w:fldChar w:fldCharType="begin"/>
      </w:r>
      <w:r>
        <w:instrText xml:space="preserve"> PAGEREF _Toc498446477 \h </w:instrText>
      </w:r>
      <w:r>
        <w:fldChar w:fldCharType="separate"/>
      </w:r>
      <w:r>
        <w:t>20</w:t>
      </w:r>
      <w:r>
        <w:fldChar w:fldCharType="end"/>
      </w:r>
      <w:r>
        <w:fldChar w:fldCharType="end"/>
      </w:r>
    </w:p>
    <w:p w14:paraId="6821E7D4">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"_Toc498446478" </w:instrText>
      </w:r>
      <w:r>
        <w:fldChar w:fldCharType="separate"/>
      </w:r>
      <w:r>
        <w:rPr>
          <w:rStyle w:val="21"/>
          <w:rFonts w:eastAsia="Times New Roman" w:cs="Arial"/>
          <w:snapToGrid w:val="0"/>
          <w:spacing w:val="-1"/>
          <w:w w:val="99"/>
        </w:rPr>
        <w:t>VI.</w:t>
      </w:r>
      <w:r>
        <w:rPr>
          <w:rFonts w:asciiTheme="minorHAnsi" w:hAnsiTheme="minorHAnsi" w:eastAsiaTheme="minorEastAsia"/>
          <w:b w:val="0"/>
          <w:bCs w:val="0"/>
          <w:i w:val="0"/>
          <w:kern w:val="2"/>
          <w:sz w:val="21"/>
        </w:rPr>
        <w:tab/>
      </w:r>
      <w:r>
        <w:rPr>
          <w:rStyle w:val="21"/>
          <w:rFonts w:hint="eastAsia" w:cs="Arial"/>
          <w:snapToGrid w:val="0"/>
        </w:rPr>
        <w:t>申办方责任</w:t>
      </w:r>
      <w:r>
        <w:tab/>
      </w:r>
      <w:r>
        <w:fldChar w:fldCharType="begin"/>
      </w:r>
      <w:r>
        <w:instrText xml:space="preserve"> PAGEREF _Toc498446478 \h </w:instrText>
      </w:r>
      <w:r>
        <w:fldChar w:fldCharType="separate"/>
      </w:r>
      <w:r>
        <w:t>21</w:t>
      </w:r>
      <w:r>
        <w:fldChar w:fldCharType="end"/>
      </w:r>
      <w:r>
        <w:fldChar w:fldCharType="end"/>
      </w:r>
    </w:p>
    <w:p w14:paraId="77C7A008">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"_Toc498446479" </w:instrText>
      </w:r>
      <w:r>
        <w:fldChar w:fldCharType="separate"/>
      </w:r>
      <w:r>
        <w:rPr>
          <w:rStyle w:val="21"/>
          <w:rFonts w:eastAsia="Times New Roman" w:cs="Arial"/>
          <w:snapToGrid w:val="0"/>
        </w:rPr>
        <w:t>52.</w:t>
      </w:r>
      <w:r>
        <w:rPr>
          <w:rFonts w:asciiTheme="minorHAnsi" w:hAnsiTheme="minorHAnsi" w:eastAsiaTheme="minorEastAsia"/>
          <w:b w:val="0"/>
          <w:bCs w:val="0"/>
          <w:kern w:val="2"/>
          <w:sz w:val="21"/>
        </w:rPr>
        <w:tab/>
      </w:r>
      <w:r>
        <w:rPr>
          <w:rStyle w:val="21"/>
          <w:rFonts w:hint="eastAsia" w:cs="Arial"/>
          <w:snapToGrid w:val="0"/>
        </w:rPr>
        <w:t>根据</w:t>
      </w:r>
      <w:r>
        <w:rPr>
          <w:rStyle w:val="21"/>
          <w:rFonts w:cs="Arial"/>
          <w:snapToGrid w:val="0"/>
        </w:rPr>
        <w:t>21 CFR 50.24</w:t>
      </w:r>
      <w:r>
        <w:rPr>
          <w:rStyle w:val="21"/>
          <w:rFonts w:hint="eastAsia" w:cs="Arial"/>
          <w:snapToGrid w:val="0"/>
        </w:rPr>
        <w:t>，申办方的责任是什么？</w:t>
      </w:r>
      <w:r>
        <w:tab/>
      </w:r>
      <w:r>
        <w:fldChar w:fldCharType="begin"/>
      </w:r>
      <w:r>
        <w:instrText xml:space="preserve"> PAGEREF _Toc498446479 \h </w:instrText>
      </w:r>
      <w:r>
        <w:fldChar w:fldCharType="separate"/>
      </w:r>
      <w:r>
        <w:t>21</w:t>
      </w:r>
      <w:r>
        <w:fldChar w:fldCharType="end"/>
      </w:r>
      <w:r>
        <w:fldChar w:fldCharType="end"/>
      </w:r>
    </w:p>
    <w:p w14:paraId="405341F3">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"_Toc498446480" </w:instrText>
      </w:r>
      <w:r>
        <w:fldChar w:fldCharType="separate"/>
      </w:r>
      <w:r>
        <w:rPr>
          <w:rStyle w:val="21"/>
          <w:rFonts w:eastAsia="Times New Roman" w:cs="Arial"/>
          <w:snapToGrid w:val="0"/>
          <w:spacing w:val="-1"/>
          <w:w w:val="99"/>
        </w:rPr>
        <w:t>VII.</w:t>
      </w:r>
      <w:r>
        <w:rPr>
          <w:rFonts w:asciiTheme="minorHAnsi" w:hAnsiTheme="minorHAnsi" w:eastAsiaTheme="minorEastAsia"/>
          <w:b w:val="0"/>
          <w:bCs w:val="0"/>
          <w:i w:val="0"/>
          <w:kern w:val="2"/>
          <w:sz w:val="21"/>
        </w:rPr>
        <w:tab/>
      </w:r>
      <w:r>
        <w:rPr>
          <w:rStyle w:val="21"/>
          <w:rFonts w:hint="eastAsia" w:cs="Arial"/>
          <w:snapToGrid w:val="0"/>
        </w:rPr>
        <w:t>临床研究者责任</w:t>
      </w:r>
      <w:r>
        <w:tab/>
      </w:r>
      <w:r>
        <w:fldChar w:fldCharType="begin"/>
      </w:r>
      <w:r>
        <w:instrText xml:space="preserve"> PAGEREF _Toc498446480 \h </w:instrText>
      </w:r>
      <w:r>
        <w:fldChar w:fldCharType="separate"/>
      </w:r>
      <w:r>
        <w:t>23</w:t>
      </w:r>
      <w:r>
        <w:fldChar w:fldCharType="end"/>
      </w:r>
      <w:r>
        <w:fldChar w:fldCharType="end"/>
      </w:r>
    </w:p>
    <w:p w14:paraId="5515E87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"_Toc498446481" </w:instrText>
      </w:r>
      <w:r>
        <w:fldChar w:fldCharType="separate"/>
      </w:r>
      <w:r>
        <w:rPr>
          <w:rStyle w:val="21"/>
          <w:rFonts w:eastAsia="Times New Roman" w:cs="Arial"/>
          <w:snapToGrid w:val="0"/>
        </w:rPr>
        <w:t>53.</w:t>
      </w:r>
      <w:r>
        <w:rPr>
          <w:rFonts w:asciiTheme="minorHAnsi" w:hAnsiTheme="minorHAnsi" w:eastAsiaTheme="minorEastAsia"/>
          <w:b w:val="0"/>
          <w:bCs w:val="0"/>
          <w:kern w:val="2"/>
          <w:sz w:val="21"/>
        </w:rPr>
        <w:tab/>
      </w:r>
      <w:r>
        <w:rPr>
          <w:rStyle w:val="21"/>
          <w:rFonts w:hint="eastAsia" w:cs="Arial"/>
          <w:snapToGrid w:val="0"/>
        </w:rPr>
        <w:t>根据</w:t>
      </w:r>
      <w:r>
        <w:rPr>
          <w:rStyle w:val="21"/>
          <w:rFonts w:cs="Arial"/>
          <w:snapToGrid w:val="0"/>
        </w:rPr>
        <w:t>21 CFR 50.24</w:t>
      </w:r>
      <w:r>
        <w:rPr>
          <w:rStyle w:val="21"/>
          <w:rFonts w:hint="eastAsia" w:cs="Arial"/>
          <w:snapToGrid w:val="0"/>
        </w:rPr>
        <w:t>，临床研究者的责任是什么？</w:t>
      </w:r>
      <w:r>
        <w:tab/>
      </w:r>
      <w:r>
        <w:fldChar w:fldCharType="begin"/>
      </w:r>
      <w:r>
        <w:instrText xml:space="preserve"> PAGEREF _Toc498446481 \h </w:instrText>
      </w:r>
      <w:r>
        <w:fldChar w:fldCharType="separate"/>
      </w:r>
      <w:r>
        <w:t>23</w:t>
      </w:r>
      <w:r>
        <w:fldChar w:fldCharType="end"/>
      </w:r>
      <w:r>
        <w:fldChar w:fldCharType="end"/>
      </w:r>
    </w:p>
    <w:p w14:paraId="4483C0E5">
      <w:pPr>
        <w:pStyle w:val="17"/>
        <w:tabs>
          <w:tab w:val="left" w:pos="890"/>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"_Toc498446482" </w:instrText>
      </w:r>
      <w:r>
        <w:fldChar w:fldCharType="separate"/>
      </w:r>
      <w:r>
        <w:rPr>
          <w:rStyle w:val="21"/>
          <w:rFonts w:eastAsia="Times New Roman" w:cs="Arial"/>
          <w:snapToGrid w:val="0"/>
          <w:spacing w:val="-1"/>
          <w:w w:val="99"/>
        </w:rPr>
        <w:t>VIII.</w:t>
      </w:r>
      <w:r>
        <w:rPr>
          <w:rFonts w:asciiTheme="minorHAnsi" w:hAnsiTheme="minorHAnsi" w:eastAsiaTheme="minorEastAsia"/>
          <w:b w:val="0"/>
          <w:bCs w:val="0"/>
          <w:i w:val="0"/>
          <w:kern w:val="2"/>
          <w:sz w:val="21"/>
        </w:rPr>
        <w:tab/>
      </w:r>
      <w:r>
        <w:rPr>
          <w:rStyle w:val="21"/>
          <w:rFonts w:hint="eastAsia" w:cs="Arial"/>
          <w:snapToGrid w:val="0"/>
        </w:rPr>
        <w:t>社区咨询</w:t>
      </w:r>
      <w:r>
        <w:tab/>
      </w:r>
      <w:r>
        <w:fldChar w:fldCharType="begin"/>
      </w:r>
      <w:r>
        <w:instrText xml:space="preserve"> PAGEREF _Toc498446482 \h </w:instrText>
      </w:r>
      <w:r>
        <w:fldChar w:fldCharType="separate"/>
      </w:r>
      <w:r>
        <w:t>24</w:t>
      </w:r>
      <w:r>
        <w:fldChar w:fldCharType="end"/>
      </w:r>
      <w:r>
        <w:fldChar w:fldCharType="end"/>
      </w:r>
    </w:p>
    <w:p w14:paraId="0D8BFCB8">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"_Toc498446483" </w:instrText>
      </w:r>
      <w:r>
        <w:fldChar w:fldCharType="separate"/>
      </w:r>
      <w:r>
        <w:rPr>
          <w:rStyle w:val="21"/>
          <w:rFonts w:eastAsia="Times New Roman" w:cs="Arial"/>
          <w:snapToGrid w:val="0"/>
        </w:rPr>
        <w:t>54.</w:t>
      </w:r>
      <w:r>
        <w:rPr>
          <w:rFonts w:asciiTheme="minorHAnsi" w:hAnsiTheme="minorHAnsi" w:eastAsiaTheme="minorEastAsia"/>
          <w:b w:val="0"/>
          <w:bCs w:val="0"/>
          <w:kern w:val="2"/>
          <w:sz w:val="21"/>
        </w:rPr>
        <w:tab/>
      </w:r>
      <w:r>
        <w:rPr>
          <w:rStyle w:val="21"/>
          <w:rFonts w:ascii="宋体" w:hAnsi="宋体" w:cs="Arial"/>
          <w:snapToGrid w:val="0"/>
        </w:rPr>
        <w:t>“</w:t>
      </w:r>
      <w:r>
        <w:rPr>
          <w:rStyle w:val="21"/>
          <w:rFonts w:hint="eastAsia" w:cs="Arial"/>
          <w:snapToGrid w:val="0"/>
        </w:rPr>
        <w:t>社区咨询</w:t>
      </w:r>
      <w:r>
        <w:rPr>
          <w:rStyle w:val="21"/>
          <w:rFonts w:ascii="宋体" w:hAnsi="宋体" w:cs="Arial"/>
          <w:snapToGrid w:val="0"/>
        </w:rPr>
        <w:t>”</w:t>
      </w:r>
      <w:r>
        <w:rPr>
          <w:rStyle w:val="21"/>
          <w:rFonts w:hint="eastAsia" w:cs="Arial"/>
          <w:snapToGrid w:val="0"/>
        </w:rPr>
        <w:t>是什么意思，其目标是什么？</w:t>
      </w:r>
      <w:r>
        <w:tab/>
      </w:r>
      <w:r>
        <w:fldChar w:fldCharType="begin"/>
      </w:r>
      <w:r>
        <w:instrText xml:space="preserve"> PAGEREF _Toc498446483 \h </w:instrText>
      </w:r>
      <w:r>
        <w:fldChar w:fldCharType="separate"/>
      </w:r>
      <w:r>
        <w:t>25</w:t>
      </w:r>
      <w:r>
        <w:fldChar w:fldCharType="end"/>
      </w:r>
      <w:r>
        <w:fldChar w:fldCharType="end"/>
      </w:r>
    </w:p>
    <w:p w14:paraId="4E6AC50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"_Toc498446484" </w:instrText>
      </w:r>
      <w:r>
        <w:fldChar w:fldCharType="separate"/>
      </w:r>
      <w:r>
        <w:rPr>
          <w:rStyle w:val="21"/>
          <w:rFonts w:eastAsia="Times New Roman" w:cs="Arial"/>
          <w:snapToGrid w:val="0"/>
        </w:rPr>
        <w:t>55.</w:t>
      </w:r>
      <w:r>
        <w:rPr>
          <w:rFonts w:asciiTheme="minorHAnsi" w:hAnsiTheme="minorHAnsi" w:eastAsiaTheme="minorEastAsia"/>
          <w:b w:val="0"/>
          <w:bCs w:val="0"/>
          <w:kern w:val="2"/>
          <w:sz w:val="21"/>
        </w:rPr>
        <w:tab/>
      </w:r>
      <w:r>
        <w:rPr>
          <w:rStyle w:val="21"/>
          <w:rFonts w:ascii="宋体" w:hAnsi="宋体" w:cs="Arial"/>
          <w:snapToGrid w:val="0"/>
        </w:rPr>
        <w:t>“</w:t>
      </w:r>
      <w:r>
        <w:rPr>
          <w:rStyle w:val="21"/>
          <w:rFonts w:hint="eastAsia" w:cs="Arial"/>
          <w:snapToGrid w:val="0"/>
        </w:rPr>
        <w:t>研究所在社区</w:t>
      </w:r>
      <w:r>
        <w:rPr>
          <w:rStyle w:val="21"/>
          <w:rFonts w:ascii="宋体" w:hAnsi="宋体" w:cs="Arial"/>
          <w:snapToGrid w:val="0"/>
        </w:rPr>
        <w:t>”</w:t>
      </w:r>
      <w:r>
        <w:rPr>
          <w:rStyle w:val="21"/>
          <w:rFonts w:hint="eastAsia" w:cs="Arial"/>
          <w:snapToGrid w:val="0"/>
        </w:rPr>
        <w:t>是什么意思？</w:t>
      </w:r>
      <w:r>
        <w:tab/>
      </w:r>
      <w:r>
        <w:fldChar w:fldCharType="begin"/>
      </w:r>
      <w:r>
        <w:instrText xml:space="preserve"> PAGEREF _Toc498446484 \h </w:instrText>
      </w:r>
      <w:r>
        <w:fldChar w:fldCharType="separate"/>
      </w:r>
      <w:r>
        <w:t>25</w:t>
      </w:r>
      <w:r>
        <w:fldChar w:fldCharType="end"/>
      </w:r>
      <w:r>
        <w:fldChar w:fldCharType="end"/>
      </w:r>
    </w:p>
    <w:p w14:paraId="71169C59">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"_Toc498446485" </w:instrText>
      </w:r>
      <w:r>
        <w:fldChar w:fldCharType="separate"/>
      </w:r>
      <w:r>
        <w:rPr>
          <w:rStyle w:val="21"/>
          <w:rFonts w:eastAsia="Times New Roman" w:cs="Arial"/>
          <w:snapToGrid w:val="0"/>
        </w:rPr>
        <w:t>56.</w:t>
      </w:r>
      <w:r>
        <w:rPr>
          <w:rFonts w:asciiTheme="minorHAnsi" w:hAnsiTheme="minorHAnsi" w:eastAsiaTheme="minorEastAsia"/>
          <w:b w:val="0"/>
          <w:bCs w:val="0"/>
          <w:kern w:val="2"/>
          <w:sz w:val="21"/>
        </w:rPr>
        <w:tab/>
      </w:r>
      <w:r>
        <w:rPr>
          <w:rStyle w:val="21"/>
          <w:rFonts w:ascii="宋体" w:hAnsi="宋体" w:cs="Arial"/>
          <w:snapToGrid w:val="0"/>
        </w:rPr>
        <w:t>“</w:t>
      </w:r>
      <w:r>
        <w:rPr>
          <w:rStyle w:val="21"/>
          <w:rFonts w:hint="eastAsia" w:cs="Arial"/>
          <w:snapToGrid w:val="0"/>
        </w:rPr>
        <w:t>受试者所在社区</w:t>
      </w:r>
      <w:r>
        <w:rPr>
          <w:rStyle w:val="21"/>
          <w:rFonts w:ascii="宋体" w:hAnsi="宋体" w:cs="Arial"/>
          <w:snapToGrid w:val="0"/>
        </w:rPr>
        <w:t>”</w:t>
      </w:r>
      <w:r>
        <w:rPr>
          <w:rStyle w:val="21"/>
          <w:rFonts w:hint="eastAsia" w:cs="Arial"/>
          <w:snapToGrid w:val="0"/>
        </w:rPr>
        <w:t>是什么意思？</w:t>
      </w:r>
      <w:r>
        <w:tab/>
      </w:r>
      <w:r>
        <w:fldChar w:fldCharType="begin"/>
      </w:r>
      <w:r>
        <w:instrText xml:space="preserve"> PAGEREF _Toc498446485 \h </w:instrText>
      </w:r>
      <w:r>
        <w:fldChar w:fldCharType="separate"/>
      </w:r>
      <w:r>
        <w:t>25</w:t>
      </w:r>
      <w:r>
        <w:fldChar w:fldCharType="end"/>
      </w:r>
      <w:r>
        <w:fldChar w:fldCharType="end"/>
      </w:r>
    </w:p>
    <w:p w14:paraId="0B79029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"_Toc498446486" </w:instrText>
      </w:r>
      <w:r>
        <w:fldChar w:fldCharType="separate"/>
      </w:r>
      <w:r>
        <w:rPr>
          <w:rStyle w:val="21"/>
          <w:rFonts w:eastAsia="Times New Roman" w:cs="Arial"/>
          <w:snapToGrid w:val="0"/>
        </w:rPr>
        <w:t>57.</w:t>
      </w:r>
      <w:r>
        <w:rPr>
          <w:rFonts w:asciiTheme="minorHAnsi" w:hAnsiTheme="minorHAnsi" w:eastAsiaTheme="minorEastAsia"/>
          <w:b w:val="0"/>
          <w:bCs w:val="0"/>
          <w:kern w:val="2"/>
          <w:sz w:val="21"/>
        </w:rPr>
        <w:tab/>
      </w:r>
      <w:r>
        <w:rPr>
          <w:rStyle w:val="21"/>
          <w:rFonts w:hint="eastAsia" w:cs="Arial"/>
          <w:snapToGrid w:val="0"/>
        </w:rPr>
        <w:t>对于该研究来说，社区咨询是否与</w:t>
      </w:r>
      <w:r>
        <w:rPr>
          <w:rStyle w:val="21"/>
          <w:rFonts w:ascii="宋体" w:hAnsi="宋体" w:cs="Arial"/>
          <w:snapToGrid w:val="0"/>
        </w:rPr>
        <w:t>“</w:t>
      </w:r>
      <w:r>
        <w:rPr>
          <w:rStyle w:val="21"/>
          <w:rFonts w:hint="eastAsia" w:cs="Arial"/>
          <w:snapToGrid w:val="0"/>
        </w:rPr>
        <w:t>社区同意</w:t>
      </w:r>
      <w:r>
        <w:rPr>
          <w:rStyle w:val="21"/>
          <w:rFonts w:ascii="宋体" w:hAnsi="宋体" w:cs="Arial"/>
          <w:snapToGrid w:val="0"/>
        </w:rPr>
        <w:t>”</w:t>
      </w:r>
      <w:r>
        <w:rPr>
          <w:rStyle w:val="21"/>
          <w:rFonts w:hint="eastAsia" w:cs="Arial"/>
          <w:snapToGrid w:val="0"/>
        </w:rPr>
        <w:t>相同？</w:t>
      </w:r>
      <w:r>
        <w:rPr>
          <w:rStyle w:val="21"/>
          <w:rFonts w:ascii="宋体" w:hAnsi="宋体" w:cs="Arial"/>
          <w:snapToGrid w:val="0"/>
        </w:rPr>
        <w:t>“</w:t>
      </w:r>
      <w:r>
        <w:rPr>
          <w:rStyle w:val="21"/>
          <w:rFonts w:hint="eastAsia" w:cs="Arial"/>
          <w:snapToGrid w:val="0"/>
        </w:rPr>
        <w:t>社区同意</w:t>
      </w:r>
      <w:r>
        <w:rPr>
          <w:rStyle w:val="21"/>
          <w:rFonts w:ascii="宋体" w:hAnsi="宋体" w:cs="Arial"/>
          <w:snapToGrid w:val="0"/>
        </w:rPr>
        <w:t>”</w:t>
      </w:r>
      <w:r>
        <w:rPr>
          <w:rStyle w:val="21"/>
          <w:rFonts w:hint="eastAsia" w:cs="Arial"/>
          <w:snapToGrid w:val="0"/>
        </w:rPr>
        <w:t>是否可代替个体知情同意？</w:t>
      </w:r>
      <w:r>
        <w:tab/>
      </w:r>
      <w:r>
        <w:fldChar w:fldCharType="begin"/>
      </w:r>
      <w:r>
        <w:instrText xml:space="preserve"> PAGEREF _Toc498446486 \h </w:instrText>
      </w:r>
      <w:r>
        <w:fldChar w:fldCharType="separate"/>
      </w:r>
      <w:r>
        <w:t>25</w:t>
      </w:r>
      <w:r>
        <w:fldChar w:fldCharType="end"/>
      </w:r>
      <w:r>
        <w:fldChar w:fldCharType="end"/>
      </w:r>
    </w:p>
    <w:p w14:paraId="3C65F350">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"_Toc498446487" </w:instrText>
      </w:r>
      <w:r>
        <w:fldChar w:fldCharType="separate"/>
      </w:r>
      <w:r>
        <w:rPr>
          <w:rStyle w:val="21"/>
          <w:rFonts w:eastAsia="Times New Roman" w:cs="Arial"/>
          <w:snapToGrid w:val="0"/>
        </w:rPr>
        <w:t>58.</w:t>
      </w:r>
      <w:r>
        <w:rPr>
          <w:rFonts w:asciiTheme="minorHAnsi" w:hAnsiTheme="minorHAnsi" w:eastAsiaTheme="minorEastAsia"/>
          <w:b w:val="0"/>
          <w:bCs w:val="0"/>
          <w:kern w:val="2"/>
          <w:sz w:val="21"/>
        </w:rPr>
        <w:tab/>
      </w:r>
      <w:r>
        <w:rPr>
          <w:rStyle w:val="21"/>
          <w:rFonts w:hint="eastAsia" w:cs="Arial"/>
          <w:snapToGrid w:val="0"/>
        </w:rPr>
        <w:t>社区咨询期间应该做什么？</w:t>
      </w:r>
      <w:r>
        <w:tab/>
      </w:r>
      <w:r>
        <w:fldChar w:fldCharType="begin"/>
      </w:r>
      <w:r>
        <w:instrText xml:space="preserve"> PAGEREF _Toc498446487 \h </w:instrText>
      </w:r>
      <w:r>
        <w:fldChar w:fldCharType="separate"/>
      </w:r>
      <w:r>
        <w:t>26</w:t>
      </w:r>
      <w:r>
        <w:fldChar w:fldCharType="end"/>
      </w:r>
      <w:r>
        <w:fldChar w:fldCharType="end"/>
      </w:r>
    </w:p>
    <w:p w14:paraId="2E34195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"_Toc498446488" </w:instrText>
      </w:r>
      <w:r>
        <w:fldChar w:fldCharType="separate"/>
      </w:r>
      <w:r>
        <w:rPr>
          <w:rStyle w:val="21"/>
          <w:rFonts w:eastAsia="Times New Roman" w:cs="Arial"/>
          <w:snapToGrid w:val="0"/>
        </w:rPr>
        <w:t>59.</w:t>
      </w:r>
      <w:r>
        <w:rPr>
          <w:rFonts w:asciiTheme="minorHAnsi" w:hAnsiTheme="minorHAnsi" w:eastAsiaTheme="minorEastAsia"/>
          <w:b w:val="0"/>
          <w:bCs w:val="0"/>
          <w:kern w:val="2"/>
          <w:sz w:val="21"/>
        </w:rPr>
        <w:tab/>
      </w:r>
      <w:r>
        <w:rPr>
          <w:rStyle w:val="21"/>
          <w:rFonts w:hint="eastAsia" w:cs="Arial"/>
          <w:snapToGrid w:val="0"/>
        </w:rPr>
        <w:t>社区咨询期间应提供哪些信息？</w:t>
      </w:r>
      <w:r>
        <w:tab/>
      </w:r>
      <w:r>
        <w:fldChar w:fldCharType="begin"/>
      </w:r>
      <w:r>
        <w:instrText xml:space="preserve"> PAGEREF _Toc498446488 \h </w:instrText>
      </w:r>
      <w:r>
        <w:fldChar w:fldCharType="separate"/>
      </w:r>
      <w:r>
        <w:t>26</w:t>
      </w:r>
      <w:r>
        <w:fldChar w:fldCharType="end"/>
      </w:r>
      <w:r>
        <w:fldChar w:fldCharType="end"/>
      </w:r>
    </w:p>
    <w:p w14:paraId="1FBCA07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"_Toc498446489" </w:instrText>
      </w:r>
      <w:r>
        <w:fldChar w:fldCharType="separate"/>
      </w:r>
      <w:r>
        <w:rPr>
          <w:rStyle w:val="21"/>
          <w:rFonts w:eastAsia="Times New Roman" w:cs="Arial"/>
          <w:snapToGrid w:val="0"/>
        </w:rPr>
        <w:t>60.</w:t>
      </w:r>
      <w:r>
        <w:rPr>
          <w:rFonts w:asciiTheme="minorHAnsi" w:hAnsiTheme="minorHAnsi" w:eastAsiaTheme="minorEastAsia"/>
          <w:b w:val="0"/>
          <w:bCs w:val="0"/>
          <w:kern w:val="2"/>
          <w:sz w:val="21"/>
        </w:rPr>
        <w:tab/>
      </w:r>
      <w:r>
        <w:rPr>
          <w:rStyle w:val="21"/>
          <w:rFonts w:hint="eastAsia" w:cs="Arial"/>
          <w:snapToGrid w:val="0"/>
        </w:rPr>
        <w:t>社区咨询为什么如此重要？</w:t>
      </w:r>
      <w:r>
        <w:tab/>
      </w:r>
      <w:r>
        <w:fldChar w:fldCharType="begin"/>
      </w:r>
      <w:r>
        <w:instrText xml:space="preserve"> PAGEREF _Toc498446489 \h </w:instrText>
      </w:r>
      <w:r>
        <w:fldChar w:fldCharType="separate"/>
      </w:r>
      <w:r>
        <w:t>27</w:t>
      </w:r>
      <w:r>
        <w:fldChar w:fldCharType="end"/>
      </w:r>
      <w:r>
        <w:fldChar w:fldCharType="end"/>
      </w:r>
    </w:p>
    <w:p w14:paraId="226556E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"_Toc498446490" </w:instrText>
      </w:r>
      <w:r>
        <w:fldChar w:fldCharType="separate"/>
      </w:r>
      <w:r>
        <w:rPr>
          <w:rStyle w:val="21"/>
          <w:rFonts w:eastAsia="Times New Roman" w:cs="Arial"/>
          <w:snapToGrid w:val="0"/>
        </w:rPr>
        <w:t>61.</w:t>
      </w:r>
      <w:r>
        <w:rPr>
          <w:rFonts w:asciiTheme="minorHAnsi" w:hAnsiTheme="minorHAnsi" w:eastAsiaTheme="minorEastAsia"/>
          <w:b w:val="0"/>
          <w:bCs w:val="0"/>
          <w:kern w:val="2"/>
          <w:sz w:val="21"/>
        </w:rPr>
        <w:tab/>
      </w:r>
      <w:r>
        <w:rPr>
          <w:rStyle w:val="21"/>
          <w:rFonts w:hint="eastAsia" w:cs="Arial"/>
          <w:snapToGrid w:val="0"/>
        </w:rPr>
        <w:t>短语</w:t>
      </w:r>
      <w:r>
        <w:rPr>
          <w:rStyle w:val="21"/>
          <w:rFonts w:ascii="宋体" w:hAnsi="宋体" w:cs="Arial"/>
          <w:snapToGrid w:val="0"/>
        </w:rPr>
        <w:t>“</w:t>
      </w:r>
      <w:r>
        <w:rPr>
          <w:rStyle w:val="21"/>
          <w:rFonts w:hint="eastAsia" w:cs="Arial"/>
          <w:snapToGrid w:val="0"/>
        </w:rPr>
        <w:t>社区代表</w:t>
      </w:r>
      <w:r>
        <w:rPr>
          <w:rStyle w:val="21"/>
          <w:rFonts w:ascii="宋体" w:hAnsi="宋体" w:cs="Arial"/>
          <w:snapToGrid w:val="0"/>
        </w:rPr>
        <w:t>”</w:t>
      </w:r>
      <w:r>
        <w:rPr>
          <w:rStyle w:val="21"/>
          <w:rFonts w:hint="eastAsia" w:cs="Arial"/>
          <w:snapToGrid w:val="0"/>
        </w:rPr>
        <w:t>是什么意思（</w:t>
      </w:r>
      <w:r>
        <w:rPr>
          <w:rStyle w:val="21"/>
          <w:rFonts w:cs="Arial"/>
          <w:snapToGrid w:val="0"/>
        </w:rPr>
        <w:t>21 CFR 50.24</w:t>
      </w:r>
      <w:r>
        <w:rPr>
          <w:rStyle w:val="21"/>
          <w:rFonts w:hint="eastAsia" w:cs="Arial"/>
          <w:snapToGrid w:val="0"/>
        </w:rPr>
        <w:t>（</w:t>
      </w:r>
      <w:r>
        <w:rPr>
          <w:rStyle w:val="21"/>
          <w:rFonts w:cs="Arial"/>
          <w:snapToGrid w:val="0"/>
        </w:rPr>
        <w:t>a</w:t>
      </w:r>
      <w:r>
        <w:rPr>
          <w:rStyle w:val="21"/>
          <w:rFonts w:hint="eastAsia" w:cs="Arial"/>
          <w:snapToGrid w:val="0"/>
        </w:rPr>
        <w:t>）（</w:t>
      </w:r>
      <w:r>
        <w:rPr>
          <w:rStyle w:val="21"/>
          <w:rFonts w:cs="Arial"/>
          <w:snapToGrid w:val="0"/>
        </w:rPr>
        <w:t>7</w:t>
      </w:r>
      <w:r>
        <w:rPr>
          <w:rStyle w:val="21"/>
          <w:rFonts w:hint="eastAsia" w:cs="Arial"/>
          <w:snapToGrid w:val="0"/>
        </w:rPr>
        <w:t>）（</w:t>
      </w:r>
      <w:r>
        <w:rPr>
          <w:rStyle w:val="21"/>
          <w:rFonts w:cs="Arial"/>
          <w:snapToGrid w:val="0"/>
        </w:rPr>
        <w:t>i</w:t>
      </w:r>
      <w:r>
        <w:rPr>
          <w:rStyle w:val="21"/>
          <w:rFonts w:hint="eastAsia" w:cs="Arial"/>
          <w:snapToGrid w:val="0"/>
        </w:rPr>
        <w:t>）？社区代表是否必须是当选官员？</w:t>
      </w:r>
      <w:r>
        <w:tab/>
      </w:r>
      <w:r>
        <w:fldChar w:fldCharType="begin"/>
      </w:r>
      <w:r>
        <w:instrText xml:space="preserve"> PAGEREF _Toc498446490 \h </w:instrText>
      </w:r>
      <w:r>
        <w:fldChar w:fldCharType="separate"/>
      </w:r>
      <w:r>
        <w:t>28</w:t>
      </w:r>
      <w:r>
        <w:fldChar w:fldCharType="end"/>
      </w:r>
      <w:r>
        <w:fldChar w:fldCharType="end"/>
      </w:r>
    </w:p>
    <w:p w14:paraId="24C42CBF">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"_Toc498446491" </w:instrText>
      </w:r>
      <w:r>
        <w:fldChar w:fldCharType="separate"/>
      </w:r>
      <w:r>
        <w:rPr>
          <w:rStyle w:val="21"/>
          <w:rFonts w:eastAsia="Times New Roman" w:cs="Arial"/>
          <w:snapToGrid w:val="0"/>
        </w:rPr>
        <w:t>62.</w:t>
      </w:r>
      <w:r>
        <w:rPr>
          <w:rFonts w:asciiTheme="minorHAnsi" w:hAnsiTheme="minorHAnsi" w:eastAsiaTheme="minorEastAsia"/>
          <w:b w:val="0"/>
          <w:bCs w:val="0"/>
          <w:kern w:val="2"/>
          <w:sz w:val="21"/>
        </w:rPr>
        <w:tab/>
      </w:r>
      <w:r>
        <w:rPr>
          <w:rStyle w:val="21"/>
          <w:rFonts w:ascii="宋体" w:hAnsi="宋体" w:cs="Arial"/>
          <w:snapToGrid w:val="0"/>
        </w:rPr>
        <w:t>“</w:t>
      </w:r>
      <w:r>
        <w:rPr>
          <w:rStyle w:val="21"/>
          <w:rFonts w:hint="eastAsia" w:cs="Arial"/>
          <w:snapToGrid w:val="0"/>
        </w:rPr>
        <w:t>社区咨询</w:t>
      </w:r>
      <w:r>
        <w:rPr>
          <w:rStyle w:val="21"/>
          <w:rFonts w:ascii="宋体" w:hAnsi="宋体" w:cs="Arial"/>
          <w:snapToGrid w:val="0"/>
        </w:rPr>
        <w:t>”</w:t>
      </w:r>
      <w:r>
        <w:rPr>
          <w:rStyle w:val="21"/>
          <w:rFonts w:hint="eastAsia" w:cs="Arial"/>
          <w:snapToGrid w:val="0"/>
        </w:rPr>
        <w:t>与</w:t>
      </w:r>
      <w:r>
        <w:rPr>
          <w:rStyle w:val="21"/>
          <w:rFonts w:ascii="宋体" w:hAnsi="宋体" w:cs="Arial"/>
          <w:snapToGrid w:val="0"/>
        </w:rPr>
        <w:t>“</w:t>
      </w:r>
      <w:r>
        <w:rPr>
          <w:rStyle w:val="21"/>
          <w:rFonts w:hint="eastAsia" w:cs="Arial"/>
          <w:snapToGrid w:val="0"/>
        </w:rPr>
        <w:t>公开披露</w:t>
      </w:r>
      <w:r>
        <w:rPr>
          <w:rStyle w:val="21"/>
          <w:rFonts w:ascii="宋体" w:hAnsi="宋体" w:cs="Arial"/>
          <w:snapToGrid w:val="0"/>
        </w:rPr>
        <w:t>”</w:t>
      </w:r>
      <w:r>
        <w:rPr>
          <w:rStyle w:val="21"/>
          <w:rFonts w:hint="eastAsia" w:cs="Arial"/>
          <w:snapToGrid w:val="0"/>
        </w:rPr>
        <w:t>有何不同？</w:t>
      </w:r>
      <w:r>
        <w:tab/>
      </w:r>
      <w:r>
        <w:fldChar w:fldCharType="begin"/>
      </w:r>
      <w:r>
        <w:instrText xml:space="preserve"> PAGEREF _Toc498446491 \h </w:instrText>
      </w:r>
      <w:r>
        <w:fldChar w:fldCharType="separate"/>
      </w:r>
      <w:r>
        <w:t>28</w:t>
      </w:r>
      <w:r>
        <w:fldChar w:fldCharType="end"/>
      </w:r>
      <w:r>
        <w:fldChar w:fldCharType="end"/>
      </w:r>
    </w:p>
    <w:p w14:paraId="14F557C8">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"_Toc498446492" </w:instrText>
      </w:r>
      <w:r>
        <w:fldChar w:fldCharType="separate"/>
      </w:r>
      <w:r>
        <w:rPr>
          <w:rStyle w:val="21"/>
          <w:rFonts w:eastAsia="Times New Roman" w:cs="Arial"/>
          <w:snapToGrid w:val="0"/>
        </w:rPr>
        <w:t>63.</w:t>
      </w:r>
      <w:r>
        <w:rPr>
          <w:rFonts w:asciiTheme="minorHAnsi" w:hAnsiTheme="minorHAnsi" w:eastAsiaTheme="minorEastAsia"/>
          <w:b w:val="0"/>
          <w:bCs w:val="0"/>
          <w:kern w:val="2"/>
          <w:sz w:val="21"/>
        </w:rPr>
        <w:tab/>
      </w:r>
      <w:r>
        <w:rPr>
          <w:rStyle w:val="21"/>
          <w:rFonts w:hint="eastAsia" w:cs="Arial"/>
          <w:snapToGrid w:val="0"/>
        </w:rPr>
        <w:t>谁应承担与社区咨询和公开披露活动相关的成本？</w:t>
      </w:r>
      <w:r>
        <w:tab/>
      </w:r>
      <w:r>
        <w:fldChar w:fldCharType="begin"/>
      </w:r>
      <w:r>
        <w:instrText xml:space="preserve"> PAGEREF _Toc498446492 \h </w:instrText>
      </w:r>
      <w:r>
        <w:fldChar w:fldCharType="separate"/>
      </w:r>
      <w:r>
        <w:t>28</w:t>
      </w:r>
      <w:r>
        <w:fldChar w:fldCharType="end"/>
      </w:r>
      <w:r>
        <w:fldChar w:fldCharType="end"/>
      </w:r>
    </w:p>
    <w:p w14:paraId="23355692">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"_Toc498446493" </w:instrText>
      </w:r>
      <w:r>
        <w:fldChar w:fldCharType="separate"/>
      </w:r>
      <w:r>
        <w:rPr>
          <w:rStyle w:val="21"/>
          <w:rFonts w:eastAsia="Times New Roman" w:cs="Arial"/>
          <w:snapToGrid w:val="0"/>
        </w:rPr>
        <w:t>64.</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可否分开审查社区咨询和公开披露计划以及研究方案？</w:t>
      </w:r>
      <w:r>
        <w:tab/>
      </w:r>
      <w:r>
        <w:fldChar w:fldCharType="begin"/>
      </w:r>
      <w:r>
        <w:instrText xml:space="preserve"> PAGEREF _Toc498446493 \h </w:instrText>
      </w:r>
      <w:r>
        <w:fldChar w:fldCharType="separate"/>
      </w:r>
      <w:r>
        <w:t>28</w:t>
      </w:r>
      <w:r>
        <w:fldChar w:fldCharType="end"/>
      </w:r>
      <w:r>
        <w:fldChar w:fldCharType="end"/>
      </w:r>
    </w:p>
    <w:p w14:paraId="5046DA62">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"_Toc498446494" </w:instrText>
      </w:r>
      <w:r>
        <w:fldChar w:fldCharType="separate"/>
      </w:r>
      <w:r>
        <w:rPr>
          <w:rStyle w:val="21"/>
          <w:rFonts w:eastAsia="Times New Roman" w:cs="Arial"/>
          <w:snapToGrid w:val="0"/>
        </w:rPr>
        <w:t>65.</w:t>
      </w:r>
      <w:r>
        <w:rPr>
          <w:rFonts w:asciiTheme="minorHAnsi" w:hAnsiTheme="minorHAnsi" w:eastAsiaTheme="minorEastAsia"/>
          <w:b w:val="0"/>
          <w:bCs w:val="0"/>
          <w:kern w:val="2"/>
          <w:sz w:val="21"/>
        </w:rPr>
        <w:tab/>
      </w:r>
      <w:r>
        <w:rPr>
          <w:rStyle w:val="21"/>
          <w:rFonts w:hint="eastAsia" w:cs="Arial"/>
          <w:snapToGrid w:val="0"/>
        </w:rPr>
        <w:t>临床研究者如何确定属于受试者所在社区的人员？</w:t>
      </w:r>
      <w:r>
        <w:tab/>
      </w:r>
      <w:r>
        <w:fldChar w:fldCharType="begin"/>
      </w:r>
      <w:r>
        <w:instrText xml:space="preserve"> PAGEREF _Toc498446494 \h </w:instrText>
      </w:r>
      <w:r>
        <w:fldChar w:fldCharType="separate"/>
      </w:r>
      <w:r>
        <w:t>29</w:t>
      </w:r>
      <w:r>
        <w:fldChar w:fldCharType="end"/>
      </w:r>
      <w:r>
        <w:fldChar w:fldCharType="end"/>
      </w:r>
    </w:p>
    <w:p w14:paraId="4934B60C">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"_Toc498446495" </w:instrText>
      </w:r>
      <w:r>
        <w:fldChar w:fldCharType="separate"/>
      </w:r>
      <w:r>
        <w:rPr>
          <w:rStyle w:val="21"/>
          <w:rFonts w:eastAsia="Times New Roman" w:cs="Arial"/>
          <w:snapToGrid w:val="0"/>
        </w:rPr>
        <w:t>66.</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在社区咨询过程中的作用是什么？</w:t>
      </w:r>
      <w:r>
        <w:tab/>
      </w:r>
      <w:r>
        <w:fldChar w:fldCharType="begin"/>
      </w:r>
      <w:r>
        <w:instrText xml:space="preserve"> PAGEREF _Toc498446495 \h </w:instrText>
      </w:r>
      <w:r>
        <w:fldChar w:fldCharType="separate"/>
      </w:r>
      <w:r>
        <w:t>29</w:t>
      </w:r>
      <w:r>
        <w:fldChar w:fldCharType="end"/>
      </w:r>
      <w:r>
        <w:fldChar w:fldCharType="end"/>
      </w:r>
    </w:p>
    <w:p w14:paraId="0638B90A">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"_Toc498446496" </w:instrText>
      </w:r>
      <w:r>
        <w:fldChar w:fldCharType="separate"/>
      </w:r>
      <w:r>
        <w:rPr>
          <w:rStyle w:val="21"/>
          <w:rFonts w:eastAsia="Times New Roman" w:cs="Arial"/>
          <w:snapToGrid w:val="0"/>
        </w:rPr>
        <w:t>67.</w:t>
      </w:r>
      <w:r>
        <w:rPr>
          <w:rFonts w:asciiTheme="minorHAnsi" w:hAnsiTheme="minorHAnsi" w:eastAsiaTheme="minorEastAsia"/>
          <w:b w:val="0"/>
          <w:bCs w:val="0"/>
          <w:kern w:val="2"/>
          <w:sz w:val="21"/>
        </w:rPr>
        <w:tab/>
      </w:r>
      <w:r>
        <w:rPr>
          <w:rStyle w:val="21"/>
          <w:rFonts w:hint="eastAsia" w:cs="Arial"/>
          <w:snapToGrid w:val="0"/>
        </w:rPr>
        <w:t>在社区咨询期间，申办方和临床研究者应该从哪里获得应考虑的研究相关信息？</w:t>
      </w:r>
      <w:r>
        <w:tab/>
      </w:r>
      <w:r>
        <w:fldChar w:fldCharType="begin"/>
      </w:r>
      <w:r>
        <w:instrText xml:space="preserve"> PAGEREF _Toc498446496 \h </w:instrText>
      </w:r>
      <w:r>
        <w:fldChar w:fldCharType="separate"/>
      </w:r>
      <w:r>
        <w:t>29</w:t>
      </w:r>
      <w:r>
        <w:fldChar w:fldCharType="end"/>
      </w:r>
      <w:r>
        <w:fldChar w:fldCharType="end"/>
      </w:r>
    </w:p>
    <w:p w14:paraId="491F5D78">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"_Toc498446497" </w:instrText>
      </w:r>
      <w:r>
        <w:fldChar w:fldCharType="separate"/>
      </w:r>
      <w:r>
        <w:rPr>
          <w:rStyle w:val="21"/>
          <w:rFonts w:eastAsia="Times New Roman" w:cs="Arial"/>
          <w:snapToGrid w:val="0"/>
        </w:rPr>
        <w:t>68.</w:t>
      </w:r>
      <w:r>
        <w:rPr>
          <w:rFonts w:asciiTheme="minorHAnsi" w:hAnsiTheme="minorHAnsi" w:eastAsiaTheme="minorEastAsia"/>
          <w:b w:val="0"/>
          <w:bCs w:val="0"/>
          <w:kern w:val="2"/>
          <w:sz w:val="21"/>
        </w:rPr>
        <w:tab/>
      </w:r>
      <w:r>
        <w:rPr>
          <w:rStyle w:val="21"/>
          <w:rFonts w:hint="eastAsia" w:cs="Arial"/>
          <w:snapToGrid w:val="0"/>
        </w:rPr>
        <w:t>是否必须提供</w:t>
      </w:r>
      <w:r>
        <w:rPr>
          <w:rStyle w:val="21"/>
          <w:rFonts w:ascii="宋体" w:hAnsi="宋体" w:cs="Arial"/>
          <w:snapToGrid w:val="0"/>
        </w:rPr>
        <w:t>“</w:t>
      </w:r>
      <w:r>
        <w:rPr>
          <w:rStyle w:val="21"/>
          <w:rFonts w:hint="eastAsia" w:cs="Arial"/>
          <w:snapToGrid w:val="0"/>
        </w:rPr>
        <w:t>选择退出</w:t>
      </w:r>
      <w:r>
        <w:rPr>
          <w:rStyle w:val="21"/>
          <w:rFonts w:ascii="宋体" w:hAnsi="宋体" w:cs="Arial"/>
          <w:snapToGrid w:val="0"/>
        </w:rPr>
        <w:t>”</w:t>
      </w:r>
      <w:r>
        <w:rPr>
          <w:rStyle w:val="21"/>
          <w:rFonts w:hint="eastAsia" w:cs="Arial"/>
          <w:snapToGrid w:val="0"/>
        </w:rPr>
        <w:t>机制？</w:t>
      </w:r>
      <w:r>
        <w:tab/>
      </w:r>
      <w:r>
        <w:fldChar w:fldCharType="begin"/>
      </w:r>
      <w:r>
        <w:instrText xml:space="preserve"> PAGEREF _Toc498446497 \h </w:instrText>
      </w:r>
      <w:r>
        <w:fldChar w:fldCharType="separate"/>
      </w:r>
      <w:r>
        <w:t>30</w:t>
      </w:r>
      <w:r>
        <w:fldChar w:fldCharType="end"/>
      </w:r>
      <w:r>
        <w:fldChar w:fldCharType="end"/>
      </w:r>
    </w:p>
    <w:p w14:paraId="53519E3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"_Toc498446498" </w:instrText>
      </w:r>
      <w:r>
        <w:fldChar w:fldCharType="separate"/>
      </w:r>
      <w:r>
        <w:rPr>
          <w:rStyle w:val="21"/>
          <w:rFonts w:eastAsia="Times New Roman" w:cs="Arial"/>
          <w:snapToGrid w:val="0"/>
        </w:rPr>
        <w:t>69.</w:t>
      </w:r>
      <w:r>
        <w:rPr>
          <w:rFonts w:asciiTheme="minorHAnsi" w:hAnsiTheme="minorHAnsi" w:eastAsiaTheme="minorEastAsia"/>
          <w:b w:val="0"/>
          <w:bCs w:val="0"/>
          <w:kern w:val="2"/>
          <w:sz w:val="21"/>
        </w:rPr>
        <w:tab/>
      </w:r>
      <w:r>
        <w:rPr>
          <w:rStyle w:val="21"/>
          <w:rFonts w:ascii="宋体" w:hAnsi="宋体" w:cs="Arial"/>
          <w:snapToGrid w:val="0"/>
        </w:rPr>
        <w:t>“</w:t>
      </w:r>
      <w:r>
        <w:rPr>
          <w:rStyle w:val="21"/>
          <w:rFonts w:hint="eastAsia" w:cs="Arial"/>
          <w:snapToGrid w:val="0"/>
        </w:rPr>
        <w:t>选择退出</w:t>
      </w:r>
      <w:r>
        <w:rPr>
          <w:rStyle w:val="21"/>
          <w:rFonts w:ascii="宋体" w:hAnsi="宋体" w:cs="Arial"/>
          <w:snapToGrid w:val="0"/>
        </w:rPr>
        <w:t>”</w:t>
      </w:r>
      <w:r>
        <w:rPr>
          <w:rStyle w:val="21"/>
          <w:rFonts w:hint="eastAsia" w:cs="Arial"/>
          <w:snapToGrid w:val="0"/>
        </w:rPr>
        <w:t>与确认家庭成员是否反对受试者参与研究之间有什么区别？</w:t>
      </w:r>
      <w:r>
        <w:tab/>
      </w:r>
      <w:r>
        <w:fldChar w:fldCharType="begin"/>
      </w:r>
      <w:r>
        <w:instrText xml:space="preserve"> PAGEREF _Toc498446498 \h </w:instrText>
      </w:r>
      <w:r>
        <w:fldChar w:fldCharType="separate"/>
      </w:r>
      <w:r>
        <w:t>30</w:t>
      </w:r>
      <w:r>
        <w:fldChar w:fldCharType="end"/>
      </w:r>
      <w:r>
        <w:fldChar w:fldCharType="end"/>
      </w:r>
    </w:p>
    <w:p w14:paraId="7D2F3A61">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"_Toc498446499" </w:instrText>
      </w:r>
      <w:r>
        <w:fldChar w:fldCharType="separate"/>
      </w:r>
      <w:r>
        <w:rPr>
          <w:rStyle w:val="21"/>
          <w:rFonts w:eastAsia="Times New Roman" w:cs="Arial"/>
          <w:snapToGrid w:val="0"/>
        </w:rPr>
        <w:t>70.</w:t>
      </w:r>
      <w:r>
        <w:rPr>
          <w:rFonts w:asciiTheme="minorHAnsi" w:hAnsiTheme="minorHAnsi" w:eastAsiaTheme="minorEastAsia"/>
          <w:b w:val="0"/>
          <w:bCs w:val="0"/>
          <w:kern w:val="2"/>
          <w:sz w:val="21"/>
        </w:rPr>
        <w:tab/>
      </w:r>
      <w:r>
        <w:rPr>
          <w:rStyle w:val="21"/>
          <w:rFonts w:hint="eastAsia" w:cs="Arial"/>
          <w:snapToGrid w:val="0"/>
        </w:rPr>
        <w:t>需要进行多少次社区咨询活动？</w:t>
      </w:r>
      <w:r>
        <w:tab/>
      </w:r>
      <w:r>
        <w:fldChar w:fldCharType="begin"/>
      </w:r>
      <w:r>
        <w:instrText xml:space="preserve"> PAGEREF _Toc498446499 \h </w:instrText>
      </w:r>
      <w:r>
        <w:fldChar w:fldCharType="separate"/>
      </w:r>
      <w:r>
        <w:t>31</w:t>
      </w:r>
      <w:r>
        <w:fldChar w:fldCharType="end"/>
      </w:r>
      <w:r>
        <w:fldChar w:fldCharType="end"/>
      </w:r>
    </w:p>
    <w:p w14:paraId="17DFA75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"_Toc498446500" </w:instrText>
      </w:r>
      <w:r>
        <w:fldChar w:fldCharType="separate"/>
      </w:r>
      <w:r>
        <w:rPr>
          <w:rStyle w:val="21"/>
          <w:rFonts w:eastAsia="Times New Roman" w:cs="Arial"/>
          <w:snapToGrid w:val="0"/>
        </w:rPr>
        <w:t>71.</w:t>
      </w:r>
      <w:r>
        <w:rPr>
          <w:rFonts w:asciiTheme="minorHAnsi" w:hAnsiTheme="minorHAnsi" w:eastAsiaTheme="minorEastAsia"/>
          <w:b w:val="0"/>
          <w:bCs w:val="0"/>
          <w:kern w:val="2"/>
          <w:sz w:val="21"/>
        </w:rPr>
        <w:tab/>
      </w:r>
      <w:r>
        <w:rPr>
          <w:rStyle w:val="21"/>
          <w:rFonts w:hint="eastAsia" w:cs="Arial"/>
          <w:snapToGrid w:val="0"/>
        </w:rPr>
        <w:t>地点、申办方或</w:t>
      </w:r>
      <w:r>
        <w:rPr>
          <w:rStyle w:val="21"/>
          <w:rFonts w:cs="Arial"/>
          <w:snapToGrid w:val="0"/>
        </w:rPr>
        <w:t>IRB</w:t>
      </w:r>
      <w:r>
        <w:rPr>
          <w:rStyle w:val="21"/>
          <w:rFonts w:hint="eastAsia" w:cs="Arial"/>
          <w:snapToGrid w:val="0"/>
        </w:rPr>
        <w:t>是否应该评价社区咨询和公开披露活动的有效性？</w:t>
      </w:r>
      <w:r>
        <w:tab/>
      </w:r>
      <w:r>
        <w:fldChar w:fldCharType="begin"/>
      </w:r>
      <w:r>
        <w:instrText xml:space="preserve"> PAGEREF _Toc498446500 \h </w:instrText>
      </w:r>
      <w:r>
        <w:fldChar w:fldCharType="separate"/>
      </w:r>
      <w:r>
        <w:t>31</w:t>
      </w:r>
      <w:r>
        <w:fldChar w:fldCharType="end"/>
      </w:r>
      <w:r>
        <w:fldChar w:fldCharType="end"/>
      </w:r>
    </w:p>
    <w:p w14:paraId="7A241B28">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"_Toc498446501" </w:instrText>
      </w:r>
      <w:r>
        <w:fldChar w:fldCharType="separate"/>
      </w:r>
      <w:r>
        <w:rPr>
          <w:rStyle w:val="21"/>
          <w:rFonts w:eastAsia="Times New Roman" w:cs="Arial"/>
          <w:snapToGrid w:val="0"/>
        </w:rPr>
        <w:t>72.</w:t>
      </w:r>
      <w:r>
        <w:rPr>
          <w:rFonts w:asciiTheme="minorHAnsi" w:hAnsiTheme="minorHAnsi" w:eastAsiaTheme="minorEastAsia"/>
          <w:b w:val="0"/>
          <w:bCs w:val="0"/>
          <w:kern w:val="2"/>
          <w:sz w:val="21"/>
        </w:rPr>
        <w:tab/>
      </w:r>
      <w:r>
        <w:rPr>
          <w:rStyle w:val="21"/>
          <w:rFonts w:hint="eastAsia" w:cs="Arial"/>
          <w:snapToGrid w:val="0"/>
        </w:rPr>
        <w:t>谁负责社区咨询活动？进行社区咨询活动时，申办方、临床研究者和</w:t>
      </w:r>
      <w:r>
        <w:rPr>
          <w:rStyle w:val="21"/>
          <w:rFonts w:cs="Arial"/>
          <w:snapToGrid w:val="0"/>
        </w:rPr>
        <w:t>IRB</w:t>
      </w:r>
      <w:r>
        <w:rPr>
          <w:rStyle w:val="21"/>
          <w:rFonts w:hint="eastAsia" w:cs="Arial"/>
          <w:snapToGrid w:val="0"/>
        </w:rPr>
        <w:t>的作用分别是什么？</w:t>
      </w:r>
      <w:r>
        <w:tab/>
      </w:r>
      <w:r>
        <w:fldChar w:fldCharType="begin"/>
      </w:r>
      <w:r>
        <w:instrText xml:space="preserve"> PAGEREF _Toc498446501 \h </w:instrText>
      </w:r>
      <w:r>
        <w:fldChar w:fldCharType="separate"/>
      </w:r>
      <w:r>
        <w:t>31</w:t>
      </w:r>
      <w:r>
        <w:fldChar w:fldCharType="end"/>
      </w:r>
      <w:r>
        <w:fldChar w:fldCharType="end"/>
      </w:r>
    </w:p>
    <w:p w14:paraId="5632CA36">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"_Toc498446502" </w:instrText>
      </w:r>
      <w:r>
        <w:fldChar w:fldCharType="separate"/>
      </w:r>
      <w:r>
        <w:rPr>
          <w:rStyle w:val="21"/>
          <w:rFonts w:eastAsia="Times New Roman" w:cs="Arial"/>
          <w:snapToGrid w:val="0"/>
        </w:rPr>
        <w:t>73.</w:t>
      </w:r>
      <w:r>
        <w:rPr>
          <w:rFonts w:asciiTheme="minorHAnsi" w:hAnsiTheme="minorHAnsi" w:eastAsiaTheme="minorEastAsia"/>
          <w:b w:val="0"/>
          <w:bCs w:val="0"/>
          <w:kern w:val="2"/>
          <w:sz w:val="21"/>
        </w:rPr>
        <w:tab/>
      </w:r>
      <w:r>
        <w:rPr>
          <w:rStyle w:val="21"/>
          <w:rFonts w:hint="eastAsia" w:cs="Arial"/>
          <w:snapToGrid w:val="0"/>
        </w:rPr>
        <w:t>申办方和临床研究者如何确定应纳入社区咨询活动的社区？</w:t>
      </w:r>
      <w:r>
        <w:tab/>
      </w:r>
      <w:r>
        <w:fldChar w:fldCharType="begin"/>
      </w:r>
      <w:r>
        <w:instrText xml:space="preserve"> PAGEREF _Toc498446502 \h </w:instrText>
      </w:r>
      <w:r>
        <w:fldChar w:fldCharType="separate"/>
      </w:r>
      <w:r>
        <w:t>31</w:t>
      </w:r>
      <w:r>
        <w:fldChar w:fldCharType="end"/>
      </w:r>
      <w:r>
        <w:fldChar w:fldCharType="end"/>
      </w:r>
    </w:p>
    <w:p w14:paraId="75845D0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"_Toc498446503" </w:instrText>
      </w:r>
      <w:r>
        <w:fldChar w:fldCharType="separate"/>
      </w:r>
      <w:r>
        <w:rPr>
          <w:rStyle w:val="21"/>
          <w:rFonts w:eastAsia="Times New Roman" w:cs="Arial"/>
          <w:snapToGrid w:val="0"/>
        </w:rPr>
        <w:t>74.</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应该如何处理在社区咨询活动中收到的信息？</w:t>
      </w:r>
      <w:r>
        <w:tab/>
      </w:r>
      <w:r>
        <w:fldChar w:fldCharType="begin"/>
      </w:r>
      <w:r>
        <w:instrText xml:space="preserve"> PAGEREF _Toc498446503 \h </w:instrText>
      </w:r>
      <w:r>
        <w:fldChar w:fldCharType="separate"/>
      </w:r>
      <w:r>
        <w:t>32</w:t>
      </w:r>
      <w:r>
        <w:fldChar w:fldCharType="end"/>
      </w:r>
      <w:r>
        <w:fldChar w:fldCharType="end"/>
      </w:r>
    </w:p>
    <w:p w14:paraId="71F2709F">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"_Toc498446504" </w:instrText>
      </w:r>
      <w:r>
        <w:fldChar w:fldCharType="separate"/>
      </w:r>
      <w:r>
        <w:rPr>
          <w:rStyle w:val="21"/>
          <w:rFonts w:eastAsia="Times New Roman" w:cs="Arial"/>
          <w:snapToGrid w:val="0"/>
        </w:rPr>
        <w:t>75.</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如何完成对社区咨询计划的审查？</w:t>
      </w:r>
      <w:r>
        <w:tab/>
      </w:r>
      <w:r>
        <w:fldChar w:fldCharType="begin"/>
      </w:r>
      <w:r>
        <w:instrText xml:space="preserve"> PAGEREF _Toc498446504 \h </w:instrText>
      </w:r>
      <w:r>
        <w:fldChar w:fldCharType="separate"/>
      </w:r>
      <w:r>
        <w:t>32</w:t>
      </w:r>
      <w:r>
        <w:fldChar w:fldCharType="end"/>
      </w:r>
      <w:r>
        <w:fldChar w:fldCharType="end"/>
      </w:r>
    </w:p>
    <w:p w14:paraId="7CD766B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"_Toc498446505" </w:instrText>
      </w:r>
      <w:r>
        <w:fldChar w:fldCharType="separate"/>
      </w:r>
      <w:r>
        <w:rPr>
          <w:rStyle w:val="21"/>
          <w:rFonts w:eastAsia="Times New Roman" w:cs="Arial"/>
          <w:snapToGrid w:val="0"/>
        </w:rPr>
        <w:t>76.</w:t>
      </w:r>
      <w:r>
        <w:rPr>
          <w:rFonts w:asciiTheme="minorHAnsi" w:hAnsiTheme="minorHAnsi" w:eastAsiaTheme="minorEastAsia"/>
          <w:b w:val="0"/>
          <w:bCs w:val="0"/>
          <w:kern w:val="2"/>
          <w:sz w:val="21"/>
        </w:rPr>
        <w:tab/>
      </w:r>
      <w:r>
        <w:rPr>
          <w:rStyle w:val="21"/>
          <w:rFonts w:hint="eastAsia" w:cs="Arial"/>
          <w:snapToGrid w:val="0"/>
        </w:rPr>
        <w:t>申办方和临床研究者可以进行哪些类型的活动以便进行社区咨询？</w:t>
      </w:r>
      <w:r>
        <w:tab/>
      </w:r>
      <w:r>
        <w:fldChar w:fldCharType="begin"/>
      </w:r>
      <w:r>
        <w:instrText xml:space="preserve"> PAGEREF _Toc498446505 \h </w:instrText>
      </w:r>
      <w:r>
        <w:fldChar w:fldCharType="separate"/>
      </w:r>
      <w:r>
        <w:t>33</w:t>
      </w:r>
      <w:r>
        <w:fldChar w:fldCharType="end"/>
      </w:r>
      <w:r>
        <w:fldChar w:fldCharType="end"/>
      </w:r>
    </w:p>
    <w:p w14:paraId="6E8D5EE9">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"_Toc498446506" </w:instrText>
      </w:r>
      <w:r>
        <w:fldChar w:fldCharType="separate"/>
      </w:r>
      <w:r>
        <w:rPr>
          <w:rStyle w:val="21"/>
          <w:rFonts w:eastAsia="Times New Roman" w:cs="Arial"/>
          <w:snapToGrid w:val="0"/>
        </w:rPr>
        <w:t>77.</w:t>
      </w:r>
      <w:r>
        <w:rPr>
          <w:rFonts w:asciiTheme="minorHAnsi" w:hAnsiTheme="minorHAnsi" w:eastAsiaTheme="minorEastAsia"/>
          <w:b w:val="0"/>
          <w:bCs w:val="0"/>
          <w:kern w:val="2"/>
          <w:sz w:val="21"/>
        </w:rPr>
        <w:tab/>
      </w:r>
      <w:r>
        <w:rPr>
          <w:rStyle w:val="21"/>
          <w:rFonts w:hint="eastAsia" w:cs="Arial"/>
          <w:snapToGrid w:val="0"/>
        </w:rPr>
        <w:t>应举行多少次社区咨询会议？</w:t>
      </w:r>
      <w:r>
        <w:tab/>
      </w:r>
      <w:r>
        <w:fldChar w:fldCharType="begin"/>
      </w:r>
      <w:r>
        <w:instrText xml:space="preserve"> PAGEREF _Toc498446506 \h </w:instrText>
      </w:r>
      <w:r>
        <w:fldChar w:fldCharType="separate"/>
      </w:r>
      <w:r>
        <w:t>34</w:t>
      </w:r>
      <w:r>
        <w:fldChar w:fldCharType="end"/>
      </w:r>
      <w:r>
        <w:fldChar w:fldCharType="end"/>
      </w:r>
    </w:p>
    <w:p w14:paraId="407F1365">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"_Toc498446507" </w:instrText>
      </w:r>
      <w:r>
        <w:fldChar w:fldCharType="separate"/>
      </w:r>
      <w:r>
        <w:rPr>
          <w:rStyle w:val="21"/>
          <w:rFonts w:eastAsia="Times New Roman" w:cs="Arial"/>
          <w:snapToGrid w:val="0"/>
          <w:spacing w:val="-1"/>
          <w:w w:val="99"/>
        </w:rPr>
        <w:t>IX.</w:t>
      </w:r>
      <w:r>
        <w:rPr>
          <w:rFonts w:asciiTheme="minorHAnsi" w:hAnsiTheme="minorHAnsi" w:eastAsiaTheme="minorEastAsia"/>
          <w:b w:val="0"/>
          <w:bCs w:val="0"/>
          <w:i w:val="0"/>
          <w:kern w:val="2"/>
          <w:sz w:val="21"/>
        </w:rPr>
        <w:tab/>
      </w:r>
      <w:r>
        <w:rPr>
          <w:rStyle w:val="21"/>
          <w:rFonts w:hint="eastAsia" w:cs="Arial"/>
          <w:snapToGrid w:val="0"/>
        </w:rPr>
        <w:t>公开披露</w:t>
      </w:r>
      <w:r>
        <w:tab/>
      </w:r>
      <w:r>
        <w:fldChar w:fldCharType="begin"/>
      </w:r>
      <w:r>
        <w:instrText xml:space="preserve"> PAGEREF _Toc498446507 \h </w:instrText>
      </w:r>
      <w:r>
        <w:fldChar w:fldCharType="separate"/>
      </w:r>
      <w:r>
        <w:t>34</w:t>
      </w:r>
      <w:r>
        <w:fldChar w:fldCharType="end"/>
      </w:r>
      <w:r>
        <w:fldChar w:fldCharType="end"/>
      </w:r>
    </w:p>
    <w:p w14:paraId="6617E22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"_Toc498446508" </w:instrText>
      </w:r>
      <w:r>
        <w:fldChar w:fldCharType="separate"/>
      </w:r>
      <w:r>
        <w:rPr>
          <w:rStyle w:val="21"/>
          <w:rFonts w:eastAsia="Times New Roman" w:cs="Arial"/>
          <w:snapToGrid w:val="0"/>
        </w:rPr>
        <w:t>78.</w:t>
      </w:r>
      <w:r>
        <w:rPr>
          <w:rFonts w:asciiTheme="minorHAnsi" w:hAnsiTheme="minorHAnsi" w:eastAsiaTheme="minorEastAsia"/>
          <w:b w:val="0"/>
          <w:bCs w:val="0"/>
          <w:kern w:val="2"/>
          <w:sz w:val="21"/>
        </w:rPr>
        <w:tab/>
      </w:r>
      <w:r>
        <w:rPr>
          <w:rStyle w:val="21"/>
          <w:rFonts w:ascii="宋体" w:hAnsi="宋体" w:cs="Arial"/>
          <w:snapToGrid w:val="0"/>
        </w:rPr>
        <w:t>“</w:t>
      </w:r>
      <w:r>
        <w:rPr>
          <w:rStyle w:val="21"/>
          <w:rFonts w:hint="eastAsia" w:cs="Arial"/>
          <w:snapToGrid w:val="0"/>
        </w:rPr>
        <w:t>公开披露</w:t>
      </w:r>
      <w:r>
        <w:rPr>
          <w:rStyle w:val="21"/>
          <w:rFonts w:ascii="宋体" w:hAnsi="宋体" w:cs="Arial"/>
          <w:snapToGrid w:val="0"/>
        </w:rPr>
        <w:t>”</w:t>
      </w:r>
      <w:r>
        <w:rPr>
          <w:rStyle w:val="21"/>
          <w:rFonts w:hint="eastAsia" w:cs="Arial"/>
          <w:snapToGrid w:val="0"/>
        </w:rPr>
        <w:t>是什么意思，其目标是什么？</w:t>
      </w:r>
      <w:r>
        <w:tab/>
      </w:r>
      <w:r>
        <w:fldChar w:fldCharType="begin"/>
      </w:r>
      <w:r>
        <w:instrText xml:space="preserve"> PAGEREF _Toc498446508 \h </w:instrText>
      </w:r>
      <w:r>
        <w:fldChar w:fldCharType="separate"/>
      </w:r>
      <w:r>
        <w:t>34</w:t>
      </w:r>
      <w:r>
        <w:fldChar w:fldCharType="end"/>
      </w:r>
      <w:r>
        <w:fldChar w:fldCharType="end"/>
      </w:r>
    </w:p>
    <w:p w14:paraId="3D4CEC68">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"_Toc498446509" </w:instrText>
      </w:r>
      <w:r>
        <w:fldChar w:fldCharType="separate"/>
      </w:r>
      <w:r>
        <w:rPr>
          <w:rStyle w:val="21"/>
          <w:rFonts w:eastAsia="Times New Roman" w:cs="Arial"/>
          <w:snapToGrid w:val="0"/>
        </w:rPr>
        <w:t>79.</w:t>
      </w:r>
      <w:r>
        <w:rPr>
          <w:rFonts w:asciiTheme="minorHAnsi" w:hAnsiTheme="minorHAnsi" w:eastAsiaTheme="minorEastAsia"/>
          <w:b w:val="0"/>
          <w:bCs w:val="0"/>
          <w:kern w:val="2"/>
          <w:sz w:val="21"/>
        </w:rPr>
        <w:tab/>
      </w:r>
      <w:r>
        <w:rPr>
          <w:rStyle w:val="21"/>
          <w:rFonts w:hint="eastAsia" w:cs="Arial"/>
          <w:snapToGrid w:val="0"/>
        </w:rPr>
        <w:t>必须在什么时候进行公开披露？</w:t>
      </w:r>
      <w:r>
        <w:tab/>
      </w:r>
      <w:r>
        <w:fldChar w:fldCharType="begin"/>
      </w:r>
      <w:r>
        <w:instrText xml:space="preserve"> PAGEREF _Toc498446509 \h </w:instrText>
      </w:r>
      <w:r>
        <w:fldChar w:fldCharType="separate"/>
      </w:r>
      <w:r>
        <w:t>35</w:t>
      </w:r>
      <w:r>
        <w:fldChar w:fldCharType="end"/>
      </w:r>
      <w:r>
        <w:fldChar w:fldCharType="end"/>
      </w:r>
    </w:p>
    <w:p w14:paraId="4B16289F">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"_Toc498446510" </w:instrText>
      </w:r>
      <w:r>
        <w:fldChar w:fldCharType="separate"/>
      </w:r>
      <w:r>
        <w:rPr>
          <w:rStyle w:val="21"/>
          <w:rFonts w:eastAsia="Times New Roman" w:cs="Arial"/>
          <w:snapToGrid w:val="0"/>
        </w:rPr>
        <w:t>A.</w:t>
      </w:r>
      <w:r>
        <w:rPr>
          <w:rFonts w:asciiTheme="minorHAnsi" w:hAnsiTheme="minorHAnsi" w:eastAsiaTheme="minorEastAsia"/>
          <w:b w:val="0"/>
          <w:bCs w:val="0"/>
          <w:i w:val="0"/>
          <w:kern w:val="2"/>
          <w:sz w:val="21"/>
        </w:rPr>
        <w:tab/>
      </w:r>
      <w:r>
        <w:rPr>
          <w:rStyle w:val="21"/>
          <w:rFonts w:hint="eastAsia" w:cs="Arial"/>
          <w:snapToGrid w:val="0"/>
        </w:rPr>
        <w:t>研究开始前的公开披露</w:t>
      </w:r>
      <w:r>
        <w:tab/>
      </w:r>
      <w:r>
        <w:fldChar w:fldCharType="begin"/>
      </w:r>
      <w:r>
        <w:instrText xml:space="preserve"> PAGEREF _Toc498446510 \h </w:instrText>
      </w:r>
      <w:r>
        <w:fldChar w:fldCharType="separate"/>
      </w:r>
      <w:r>
        <w:t>35</w:t>
      </w:r>
      <w:r>
        <w:fldChar w:fldCharType="end"/>
      </w:r>
      <w:r>
        <w:fldChar w:fldCharType="end"/>
      </w:r>
    </w:p>
    <w:p w14:paraId="2C21499C">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"_Toc498446511" </w:instrText>
      </w:r>
      <w:r>
        <w:fldChar w:fldCharType="separate"/>
      </w:r>
      <w:r>
        <w:rPr>
          <w:rStyle w:val="21"/>
          <w:rFonts w:eastAsia="Times New Roman" w:cs="Arial"/>
          <w:snapToGrid w:val="0"/>
        </w:rPr>
        <w:t>80.</w:t>
      </w:r>
      <w:r>
        <w:rPr>
          <w:rFonts w:asciiTheme="minorHAnsi" w:hAnsiTheme="minorHAnsi" w:eastAsiaTheme="minorEastAsia"/>
          <w:b w:val="0"/>
          <w:bCs w:val="0"/>
          <w:kern w:val="2"/>
          <w:sz w:val="21"/>
        </w:rPr>
        <w:tab/>
      </w:r>
      <w:r>
        <w:rPr>
          <w:rStyle w:val="21"/>
          <w:rFonts w:hint="eastAsia" w:cs="Arial"/>
          <w:snapToGrid w:val="0"/>
        </w:rPr>
        <w:t>谁负责研究开始前的公开披露活动？</w:t>
      </w:r>
      <w:r>
        <w:tab/>
      </w:r>
      <w:r>
        <w:fldChar w:fldCharType="begin"/>
      </w:r>
      <w:r>
        <w:instrText xml:space="preserve"> PAGEREF _Toc498446511 \h </w:instrText>
      </w:r>
      <w:r>
        <w:fldChar w:fldCharType="separate"/>
      </w:r>
      <w:r>
        <w:t>35</w:t>
      </w:r>
      <w:r>
        <w:fldChar w:fldCharType="end"/>
      </w:r>
      <w:r>
        <w:fldChar w:fldCharType="end"/>
      </w:r>
    </w:p>
    <w:p w14:paraId="1411A417">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"_Toc498446512" </w:instrText>
      </w:r>
      <w:r>
        <w:fldChar w:fldCharType="separate"/>
      </w:r>
      <w:r>
        <w:rPr>
          <w:rStyle w:val="21"/>
          <w:rFonts w:eastAsia="Times New Roman" w:cs="Arial"/>
          <w:snapToGrid w:val="0"/>
        </w:rPr>
        <w:t>81.</w:t>
      </w:r>
      <w:r>
        <w:rPr>
          <w:rFonts w:asciiTheme="minorHAnsi" w:hAnsiTheme="minorHAnsi" w:eastAsiaTheme="minorEastAsia"/>
          <w:b w:val="0"/>
          <w:bCs w:val="0"/>
          <w:kern w:val="2"/>
          <w:sz w:val="21"/>
        </w:rPr>
        <w:tab/>
      </w:r>
      <w:r>
        <w:rPr>
          <w:rStyle w:val="21"/>
          <w:rFonts w:hint="eastAsia" w:cs="Arial"/>
          <w:snapToGrid w:val="0"/>
        </w:rPr>
        <w:t>必须公开披露哪些信息？</w:t>
      </w:r>
      <w:r>
        <w:tab/>
      </w:r>
      <w:r>
        <w:fldChar w:fldCharType="begin"/>
      </w:r>
      <w:r>
        <w:instrText xml:space="preserve"> PAGEREF _Toc498446512 \h </w:instrText>
      </w:r>
      <w:r>
        <w:fldChar w:fldCharType="separate"/>
      </w:r>
      <w:r>
        <w:t>35</w:t>
      </w:r>
      <w:r>
        <w:fldChar w:fldCharType="end"/>
      </w:r>
      <w:r>
        <w:fldChar w:fldCharType="end"/>
      </w:r>
    </w:p>
    <w:p w14:paraId="03D0C599">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"_Toc498446513" </w:instrText>
      </w:r>
      <w:r>
        <w:fldChar w:fldCharType="separate"/>
      </w:r>
      <w:r>
        <w:rPr>
          <w:rStyle w:val="21"/>
          <w:rFonts w:eastAsia="Times New Roman" w:cs="Arial"/>
          <w:snapToGrid w:val="0"/>
        </w:rPr>
        <w:t>82.</w:t>
      </w:r>
      <w:r>
        <w:rPr>
          <w:rFonts w:asciiTheme="minorHAnsi" w:hAnsiTheme="minorHAnsi" w:eastAsiaTheme="minorEastAsia"/>
          <w:b w:val="0"/>
          <w:bCs w:val="0"/>
          <w:kern w:val="2"/>
          <w:sz w:val="21"/>
        </w:rPr>
        <w:tab/>
      </w:r>
      <w:r>
        <w:rPr>
          <w:rStyle w:val="21"/>
          <w:rFonts w:hint="eastAsia" w:cs="Arial"/>
          <w:snapToGrid w:val="0"/>
        </w:rPr>
        <w:t>应如何进行公开披露？</w:t>
      </w:r>
      <w:r>
        <w:tab/>
      </w:r>
      <w:r>
        <w:fldChar w:fldCharType="begin"/>
      </w:r>
      <w:r>
        <w:instrText xml:space="preserve"> PAGEREF _Toc498446513 \h </w:instrText>
      </w:r>
      <w:r>
        <w:fldChar w:fldCharType="separate"/>
      </w:r>
      <w:r>
        <w:t>36</w:t>
      </w:r>
      <w:r>
        <w:fldChar w:fldCharType="end"/>
      </w:r>
      <w:r>
        <w:fldChar w:fldCharType="end"/>
      </w:r>
    </w:p>
    <w:p w14:paraId="7B393DB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"_Toc498446514" </w:instrText>
      </w:r>
      <w:r>
        <w:fldChar w:fldCharType="separate"/>
      </w:r>
      <w:r>
        <w:rPr>
          <w:rStyle w:val="21"/>
          <w:rFonts w:eastAsia="Times New Roman" w:cs="Arial"/>
          <w:snapToGrid w:val="0"/>
        </w:rPr>
        <w:t>83.</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将如何处理已公开披露的信息？</w:t>
      </w:r>
      <w:r>
        <w:tab/>
      </w:r>
      <w:r>
        <w:fldChar w:fldCharType="begin"/>
      </w:r>
      <w:r>
        <w:instrText xml:space="preserve"> PAGEREF _Toc498446514 \h </w:instrText>
      </w:r>
      <w:r>
        <w:fldChar w:fldCharType="separate"/>
      </w:r>
      <w:r>
        <w:t>37</w:t>
      </w:r>
      <w:r>
        <w:fldChar w:fldCharType="end"/>
      </w:r>
      <w:r>
        <w:fldChar w:fldCharType="end"/>
      </w:r>
    </w:p>
    <w:p w14:paraId="5E02A6F2">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"_Toc498446515" </w:instrText>
      </w:r>
      <w:r>
        <w:fldChar w:fldCharType="separate"/>
      </w:r>
      <w:r>
        <w:rPr>
          <w:rStyle w:val="21"/>
          <w:rFonts w:eastAsia="Times New Roman" w:cs="Arial"/>
          <w:snapToGrid w:val="0"/>
        </w:rPr>
        <w:t>84.</w:t>
      </w:r>
      <w:r>
        <w:rPr>
          <w:rFonts w:asciiTheme="minorHAnsi" w:hAnsiTheme="minorHAnsi" w:eastAsiaTheme="minorEastAsia"/>
          <w:b w:val="0"/>
          <w:bCs w:val="0"/>
          <w:kern w:val="2"/>
          <w:sz w:val="21"/>
        </w:rPr>
        <w:tab/>
      </w:r>
      <w:r>
        <w:rPr>
          <w:rStyle w:val="21"/>
          <w:rFonts w:hint="eastAsia" w:cs="Arial"/>
          <w:snapToGrid w:val="0"/>
        </w:rPr>
        <w:t>在从</w:t>
      </w:r>
      <w:r>
        <w:rPr>
          <w:rStyle w:val="21"/>
          <w:rFonts w:cs="Arial"/>
          <w:snapToGrid w:val="0"/>
        </w:rPr>
        <w:t>IRB</w:t>
      </w:r>
      <w:r>
        <w:rPr>
          <w:rStyle w:val="21"/>
          <w:rFonts w:hint="eastAsia" w:cs="Arial"/>
          <w:snapToGrid w:val="0"/>
        </w:rPr>
        <w:t>收到已公开披露的信息后，申办方应该做什么？</w:t>
      </w:r>
      <w:r>
        <w:tab/>
      </w:r>
      <w:r>
        <w:fldChar w:fldCharType="begin"/>
      </w:r>
      <w:r>
        <w:instrText xml:space="preserve"> PAGEREF _Toc498446515 \h </w:instrText>
      </w:r>
      <w:r>
        <w:fldChar w:fldCharType="separate"/>
      </w:r>
      <w:r>
        <w:t>37</w:t>
      </w:r>
      <w:r>
        <w:fldChar w:fldCharType="end"/>
      </w:r>
      <w:r>
        <w:fldChar w:fldCharType="end"/>
      </w:r>
    </w:p>
    <w:p w14:paraId="26CB7499">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"_Toc498446516" </w:instrText>
      </w:r>
      <w:r>
        <w:fldChar w:fldCharType="separate"/>
      </w:r>
      <w:r>
        <w:rPr>
          <w:rStyle w:val="21"/>
          <w:rFonts w:eastAsia="Times New Roman" w:cs="Arial"/>
          <w:snapToGrid w:val="0"/>
        </w:rPr>
        <w:t>B.</w:t>
      </w:r>
      <w:r>
        <w:rPr>
          <w:rFonts w:asciiTheme="minorHAnsi" w:hAnsiTheme="minorHAnsi" w:eastAsiaTheme="minorEastAsia"/>
          <w:b w:val="0"/>
          <w:bCs w:val="0"/>
          <w:i w:val="0"/>
          <w:kern w:val="2"/>
          <w:sz w:val="21"/>
        </w:rPr>
        <w:tab/>
      </w:r>
      <w:r>
        <w:rPr>
          <w:rStyle w:val="21"/>
          <w:rFonts w:hint="eastAsia" w:cs="Arial"/>
          <w:snapToGrid w:val="0"/>
        </w:rPr>
        <w:t>研究完成或终止后的公开披露</w:t>
      </w:r>
      <w:r>
        <w:tab/>
      </w:r>
      <w:r>
        <w:fldChar w:fldCharType="begin"/>
      </w:r>
      <w:r>
        <w:instrText xml:space="preserve"> PAGEREF _Toc498446516 \h </w:instrText>
      </w:r>
      <w:r>
        <w:fldChar w:fldCharType="separate"/>
      </w:r>
      <w:r>
        <w:t>38</w:t>
      </w:r>
      <w:r>
        <w:fldChar w:fldCharType="end"/>
      </w:r>
      <w:r>
        <w:fldChar w:fldCharType="end"/>
      </w:r>
    </w:p>
    <w:p w14:paraId="6644CD86">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"_Toc498446517" </w:instrText>
      </w:r>
      <w:r>
        <w:fldChar w:fldCharType="separate"/>
      </w:r>
      <w:r>
        <w:rPr>
          <w:rStyle w:val="21"/>
          <w:rFonts w:eastAsia="Times New Roman" w:cs="Arial"/>
          <w:snapToGrid w:val="0"/>
        </w:rPr>
        <w:t>85.</w:t>
      </w:r>
      <w:r>
        <w:rPr>
          <w:rFonts w:asciiTheme="minorHAnsi" w:hAnsiTheme="minorHAnsi" w:eastAsiaTheme="minorEastAsia"/>
          <w:b w:val="0"/>
          <w:bCs w:val="0"/>
          <w:kern w:val="2"/>
          <w:sz w:val="21"/>
        </w:rPr>
        <w:tab/>
      </w:r>
      <w:r>
        <w:rPr>
          <w:rStyle w:val="21"/>
          <w:rFonts w:hint="eastAsia" w:cs="Arial"/>
          <w:snapToGrid w:val="0"/>
        </w:rPr>
        <w:t>完成临床研究后必须披露哪些信息？</w:t>
      </w:r>
      <w:r>
        <w:tab/>
      </w:r>
      <w:r>
        <w:fldChar w:fldCharType="begin"/>
      </w:r>
      <w:r>
        <w:instrText xml:space="preserve"> PAGEREF _Toc498446517 \h </w:instrText>
      </w:r>
      <w:r>
        <w:fldChar w:fldCharType="separate"/>
      </w:r>
      <w:r>
        <w:t>38</w:t>
      </w:r>
      <w:r>
        <w:fldChar w:fldCharType="end"/>
      </w:r>
      <w:r>
        <w:fldChar w:fldCharType="end"/>
      </w:r>
    </w:p>
    <w:p w14:paraId="788D7381">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"_Toc498446518" </w:instrText>
      </w:r>
      <w:r>
        <w:fldChar w:fldCharType="separate"/>
      </w:r>
      <w:r>
        <w:rPr>
          <w:rStyle w:val="21"/>
          <w:rFonts w:eastAsia="Times New Roman" w:cs="Arial"/>
          <w:snapToGrid w:val="0"/>
        </w:rPr>
        <w:t>86.</w:t>
      </w:r>
      <w:r>
        <w:rPr>
          <w:rFonts w:asciiTheme="minorHAnsi" w:hAnsiTheme="minorHAnsi" w:eastAsiaTheme="minorEastAsia"/>
          <w:b w:val="0"/>
          <w:bCs w:val="0"/>
          <w:kern w:val="2"/>
          <w:sz w:val="21"/>
        </w:rPr>
        <w:tab/>
      </w:r>
      <w:r>
        <w:rPr>
          <w:rStyle w:val="21"/>
          <w:rFonts w:hint="eastAsia" w:cs="Arial"/>
          <w:snapToGrid w:val="0"/>
        </w:rPr>
        <w:t>临床研究</w:t>
      </w:r>
      <w:r>
        <w:rPr>
          <w:rStyle w:val="21"/>
          <w:rFonts w:ascii="宋体" w:hAnsi="宋体" w:cs="Arial"/>
          <w:snapToGrid w:val="0"/>
        </w:rPr>
        <w:t>“</w:t>
      </w:r>
      <w:r>
        <w:rPr>
          <w:rStyle w:val="21"/>
          <w:rFonts w:hint="eastAsia" w:cs="Arial"/>
          <w:snapToGrid w:val="0"/>
        </w:rPr>
        <w:t>完成</w:t>
      </w:r>
      <w:r>
        <w:rPr>
          <w:rStyle w:val="21"/>
          <w:rFonts w:ascii="宋体" w:hAnsi="宋体" w:cs="Arial"/>
          <w:snapToGrid w:val="0"/>
        </w:rPr>
        <w:t>”</w:t>
      </w:r>
      <w:r>
        <w:rPr>
          <w:rStyle w:val="21"/>
          <w:rFonts w:hint="eastAsia" w:cs="Arial"/>
          <w:snapToGrid w:val="0"/>
        </w:rPr>
        <w:t>是什么意思？</w:t>
      </w:r>
      <w:r>
        <w:tab/>
      </w:r>
      <w:r>
        <w:fldChar w:fldCharType="begin"/>
      </w:r>
      <w:r>
        <w:instrText xml:space="preserve"> PAGEREF _Toc498446518 \h </w:instrText>
      </w:r>
      <w:r>
        <w:fldChar w:fldCharType="separate"/>
      </w:r>
      <w:r>
        <w:t>39</w:t>
      </w:r>
      <w:r>
        <w:fldChar w:fldCharType="end"/>
      </w:r>
      <w:r>
        <w:fldChar w:fldCharType="end"/>
      </w:r>
    </w:p>
    <w:p w14:paraId="6595164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"_Toc498446519" </w:instrText>
      </w:r>
      <w:r>
        <w:fldChar w:fldCharType="separate"/>
      </w:r>
      <w:r>
        <w:rPr>
          <w:rStyle w:val="21"/>
          <w:rFonts w:eastAsia="Times New Roman" w:cs="Arial"/>
          <w:snapToGrid w:val="0"/>
        </w:rPr>
        <w:t>87.</w:t>
      </w:r>
      <w:r>
        <w:rPr>
          <w:rFonts w:asciiTheme="minorHAnsi" w:hAnsiTheme="minorHAnsi" w:eastAsiaTheme="minorEastAsia"/>
          <w:b w:val="0"/>
          <w:bCs w:val="0"/>
          <w:kern w:val="2"/>
          <w:sz w:val="21"/>
        </w:rPr>
        <w:tab/>
      </w:r>
      <w:r>
        <w:rPr>
          <w:rStyle w:val="21"/>
          <w:rFonts w:hint="eastAsia" w:cs="Arial"/>
          <w:snapToGrid w:val="0"/>
        </w:rPr>
        <w:t>临床研究</w:t>
      </w:r>
      <w:r>
        <w:rPr>
          <w:rStyle w:val="21"/>
          <w:rFonts w:ascii="宋体" w:hAnsi="宋体" w:cs="Arial"/>
          <w:snapToGrid w:val="0"/>
        </w:rPr>
        <w:t>“</w:t>
      </w:r>
      <w:r>
        <w:rPr>
          <w:rStyle w:val="21"/>
          <w:rFonts w:hint="eastAsia" w:cs="Arial"/>
          <w:snapToGrid w:val="0"/>
        </w:rPr>
        <w:t>终止</w:t>
      </w:r>
      <w:r>
        <w:rPr>
          <w:rStyle w:val="21"/>
          <w:rFonts w:ascii="宋体" w:hAnsi="宋体" w:cs="Arial"/>
          <w:snapToGrid w:val="0"/>
        </w:rPr>
        <w:t>”</w:t>
      </w:r>
      <w:r>
        <w:rPr>
          <w:rStyle w:val="21"/>
          <w:rFonts w:hint="eastAsia" w:cs="Arial"/>
          <w:snapToGrid w:val="0"/>
        </w:rPr>
        <w:t>是什么意思？</w:t>
      </w:r>
      <w:r>
        <w:tab/>
      </w:r>
      <w:r>
        <w:fldChar w:fldCharType="begin"/>
      </w:r>
      <w:r>
        <w:instrText xml:space="preserve"> PAGEREF _Toc498446519 \h </w:instrText>
      </w:r>
      <w:r>
        <w:fldChar w:fldCharType="separate"/>
      </w:r>
      <w:r>
        <w:t>39</w:t>
      </w:r>
      <w:r>
        <w:fldChar w:fldCharType="end"/>
      </w:r>
      <w:r>
        <w:fldChar w:fldCharType="end"/>
      </w:r>
    </w:p>
    <w:p w14:paraId="238533CF">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"_Toc498446520" </w:instrText>
      </w:r>
      <w:r>
        <w:fldChar w:fldCharType="separate"/>
      </w:r>
      <w:r>
        <w:rPr>
          <w:rStyle w:val="21"/>
          <w:rFonts w:eastAsia="Times New Roman" w:cs="Arial"/>
          <w:snapToGrid w:val="0"/>
        </w:rPr>
        <w:t>88.</w:t>
      </w:r>
      <w:r>
        <w:rPr>
          <w:rFonts w:asciiTheme="minorHAnsi" w:hAnsiTheme="minorHAnsi" w:eastAsiaTheme="minorEastAsia"/>
          <w:b w:val="0"/>
          <w:bCs w:val="0"/>
          <w:kern w:val="2"/>
          <w:sz w:val="21"/>
        </w:rPr>
        <w:tab/>
      </w:r>
      <w:r>
        <w:rPr>
          <w:rStyle w:val="21"/>
          <w:rFonts w:cs="Arial"/>
          <w:snapToGrid w:val="0"/>
        </w:rPr>
        <w:t>FDA</w:t>
      </w:r>
      <w:r>
        <w:rPr>
          <w:rStyle w:val="21"/>
          <w:rFonts w:hint="eastAsia" w:cs="Arial"/>
          <w:snapToGrid w:val="0"/>
        </w:rPr>
        <w:t>是否希望申办方公开披露有关已终止／中止研究的信息？</w:t>
      </w:r>
      <w:r>
        <w:tab/>
      </w:r>
      <w:r>
        <w:fldChar w:fldCharType="begin"/>
      </w:r>
      <w:r>
        <w:instrText xml:space="preserve"> PAGEREF _Toc498446520 \h </w:instrText>
      </w:r>
      <w:r>
        <w:fldChar w:fldCharType="separate"/>
      </w:r>
      <w:r>
        <w:t>39</w:t>
      </w:r>
      <w:r>
        <w:fldChar w:fldCharType="end"/>
      </w:r>
      <w:r>
        <w:fldChar w:fldCharType="end"/>
      </w:r>
    </w:p>
    <w:p w14:paraId="482149A4">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"_Toc498446521" </w:instrText>
      </w:r>
      <w:r>
        <w:fldChar w:fldCharType="separate"/>
      </w:r>
      <w:r>
        <w:rPr>
          <w:rStyle w:val="21"/>
          <w:rFonts w:eastAsia="Times New Roman" w:cs="Arial"/>
          <w:snapToGrid w:val="0"/>
        </w:rPr>
        <w:t>89.</w:t>
      </w:r>
      <w:r>
        <w:rPr>
          <w:rFonts w:asciiTheme="minorHAnsi" w:hAnsiTheme="minorHAnsi" w:eastAsiaTheme="minorEastAsia"/>
          <w:b w:val="0"/>
          <w:bCs w:val="0"/>
          <w:kern w:val="2"/>
          <w:sz w:val="21"/>
        </w:rPr>
        <w:tab/>
      </w:r>
      <w:r>
        <w:rPr>
          <w:rStyle w:val="21"/>
          <w:rFonts w:hint="eastAsia" w:cs="Arial"/>
          <w:snapToGrid w:val="0"/>
        </w:rPr>
        <w:t>谁负责在研究完成或终止之后披露研究相关信息？</w:t>
      </w:r>
      <w:r>
        <w:tab/>
      </w:r>
      <w:r>
        <w:fldChar w:fldCharType="begin"/>
      </w:r>
      <w:r>
        <w:instrText xml:space="preserve"> PAGEREF _Toc498446521 \h </w:instrText>
      </w:r>
      <w:r>
        <w:fldChar w:fldCharType="separate"/>
      </w:r>
      <w:r>
        <w:t>39</w:t>
      </w:r>
      <w:r>
        <w:fldChar w:fldCharType="end"/>
      </w:r>
      <w:r>
        <w:fldChar w:fldCharType="end"/>
      </w:r>
    </w:p>
    <w:p w14:paraId="4012F052">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"_Toc498446522" </w:instrText>
      </w:r>
      <w:r>
        <w:fldChar w:fldCharType="separate"/>
      </w:r>
      <w:r>
        <w:rPr>
          <w:rStyle w:val="21"/>
          <w:rFonts w:eastAsia="Times New Roman" w:cs="Arial"/>
          <w:snapToGrid w:val="0"/>
        </w:rPr>
        <w:t>90.</w:t>
      </w:r>
      <w:r>
        <w:rPr>
          <w:rFonts w:asciiTheme="minorHAnsi" w:hAnsiTheme="minorHAnsi" w:eastAsiaTheme="minorEastAsia"/>
          <w:b w:val="0"/>
          <w:bCs w:val="0"/>
          <w:kern w:val="2"/>
          <w:sz w:val="21"/>
        </w:rPr>
        <w:tab/>
      </w:r>
      <w:r>
        <w:rPr>
          <w:rStyle w:val="21"/>
          <w:rFonts w:hint="eastAsia" w:cs="Arial"/>
          <w:snapToGrid w:val="0"/>
        </w:rPr>
        <w:t>申办方应该在什么时候披露研究结果？</w:t>
      </w:r>
      <w:r>
        <w:tab/>
      </w:r>
      <w:r>
        <w:fldChar w:fldCharType="begin"/>
      </w:r>
      <w:r>
        <w:instrText xml:space="preserve"> PAGEREF _Toc498446522 \h </w:instrText>
      </w:r>
      <w:r>
        <w:fldChar w:fldCharType="separate"/>
      </w:r>
      <w:r>
        <w:t>39</w:t>
      </w:r>
      <w:r>
        <w:fldChar w:fldCharType="end"/>
      </w:r>
      <w:r>
        <w:fldChar w:fldCharType="end"/>
      </w:r>
    </w:p>
    <w:p w14:paraId="319A482A">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"_Toc498446523" </w:instrText>
      </w:r>
      <w:r>
        <w:fldChar w:fldCharType="separate"/>
      </w:r>
      <w:r>
        <w:rPr>
          <w:rStyle w:val="21"/>
          <w:rFonts w:eastAsia="Times New Roman" w:cs="Arial"/>
          <w:snapToGrid w:val="0"/>
        </w:rPr>
        <w:t>91.</w:t>
      </w:r>
      <w:r>
        <w:rPr>
          <w:rFonts w:asciiTheme="minorHAnsi" w:hAnsiTheme="minorHAnsi" w:eastAsiaTheme="minorEastAsia"/>
          <w:b w:val="0"/>
          <w:bCs w:val="0"/>
          <w:kern w:val="2"/>
          <w:sz w:val="21"/>
        </w:rPr>
        <w:tab/>
      </w:r>
      <w:r>
        <w:rPr>
          <w:rStyle w:val="21"/>
          <w:rFonts w:hint="eastAsia" w:cs="Arial"/>
          <w:snapToGrid w:val="0"/>
        </w:rPr>
        <w:t>研究完成后，在</w:t>
      </w:r>
      <w:r>
        <w:rPr>
          <w:rStyle w:val="21"/>
          <w:rFonts w:cs="Arial"/>
          <w:snapToGrid w:val="0"/>
        </w:rPr>
        <w:t>ClinicalTrials.gov</w:t>
      </w:r>
      <w:r>
        <w:rPr>
          <w:rStyle w:val="21"/>
          <w:rFonts w:hint="eastAsia" w:cs="Arial"/>
          <w:snapToGrid w:val="0"/>
        </w:rPr>
        <w:t>数据库中报告研究结果是否足以满足</w:t>
      </w:r>
      <w:r>
        <w:rPr>
          <w:rStyle w:val="21"/>
          <w:rFonts w:cs="Arial"/>
          <w:snapToGrid w:val="0"/>
        </w:rPr>
        <w:t>21 CFR 50.24</w:t>
      </w:r>
      <w:r>
        <w:rPr>
          <w:rStyle w:val="21"/>
          <w:rFonts w:hint="eastAsia" w:cs="Arial"/>
          <w:snapToGrid w:val="0"/>
        </w:rPr>
        <w:t>规定的公开披露要求？</w:t>
      </w:r>
      <w:r>
        <w:tab/>
      </w:r>
      <w:r>
        <w:fldChar w:fldCharType="begin"/>
      </w:r>
      <w:r>
        <w:instrText xml:space="preserve"> PAGEREF _Toc498446523 \h </w:instrText>
      </w:r>
      <w:r>
        <w:fldChar w:fldCharType="separate"/>
      </w:r>
      <w:r>
        <w:t>40</w:t>
      </w:r>
      <w:r>
        <w:fldChar w:fldCharType="end"/>
      </w:r>
      <w:r>
        <w:fldChar w:fldCharType="end"/>
      </w:r>
    </w:p>
    <w:p w14:paraId="06CF4CF3">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"_Toc498446524" </w:instrText>
      </w:r>
      <w:r>
        <w:fldChar w:fldCharType="separate"/>
      </w:r>
      <w:r>
        <w:rPr>
          <w:rStyle w:val="21"/>
          <w:rFonts w:eastAsia="Times New Roman" w:cs="Arial"/>
          <w:snapToGrid w:val="0"/>
        </w:rPr>
        <w:t>92.</w:t>
      </w:r>
      <w:r>
        <w:rPr>
          <w:rFonts w:asciiTheme="minorHAnsi" w:hAnsiTheme="minorHAnsi" w:eastAsiaTheme="minorEastAsia"/>
          <w:b w:val="0"/>
          <w:bCs w:val="0"/>
          <w:kern w:val="2"/>
          <w:sz w:val="21"/>
        </w:rPr>
        <w:tab/>
      </w:r>
      <w:r>
        <w:rPr>
          <w:rStyle w:val="21"/>
          <w:rFonts w:hint="eastAsia" w:cs="Arial"/>
          <w:snapToGrid w:val="0"/>
        </w:rPr>
        <w:t>如何将数据披露给临床研究所在社区和受试者所在社区（</w:t>
      </w:r>
      <w:r>
        <w:rPr>
          <w:rStyle w:val="21"/>
          <w:rFonts w:cs="Arial"/>
          <w:snapToGrid w:val="0"/>
        </w:rPr>
        <w:t>21 CFR 50.24</w:t>
      </w:r>
      <w:r>
        <w:rPr>
          <w:rStyle w:val="21"/>
          <w:rFonts w:hint="eastAsia" w:cs="Arial"/>
          <w:snapToGrid w:val="0"/>
        </w:rPr>
        <w:t>（</w:t>
      </w:r>
      <w:r>
        <w:rPr>
          <w:rStyle w:val="21"/>
          <w:rFonts w:cs="Arial"/>
          <w:snapToGrid w:val="0"/>
        </w:rPr>
        <w:t>a</w:t>
      </w:r>
      <w:r>
        <w:rPr>
          <w:rStyle w:val="21"/>
          <w:rFonts w:hint="eastAsia" w:cs="Arial"/>
          <w:snapToGrid w:val="0"/>
        </w:rPr>
        <w:t>）（</w:t>
      </w:r>
      <w:r>
        <w:rPr>
          <w:rStyle w:val="21"/>
          <w:rFonts w:cs="Arial"/>
          <w:snapToGrid w:val="0"/>
        </w:rPr>
        <w:t>7</w:t>
      </w:r>
      <w:r>
        <w:rPr>
          <w:rStyle w:val="21"/>
          <w:rFonts w:hint="eastAsia" w:cs="Arial"/>
          <w:snapToGrid w:val="0"/>
        </w:rPr>
        <w:t>）（</w:t>
      </w:r>
      <w:r>
        <w:rPr>
          <w:rStyle w:val="21"/>
          <w:rFonts w:cs="Arial"/>
          <w:snapToGrid w:val="0"/>
        </w:rPr>
        <w:t>iii</w:t>
      </w:r>
      <w:r>
        <w:rPr>
          <w:rStyle w:val="21"/>
          <w:rFonts w:hint="eastAsia" w:cs="Arial"/>
          <w:snapToGrid w:val="0"/>
        </w:rPr>
        <w:t>））？</w:t>
      </w:r>
      <w:r>
        <w:tab/>
      </w:r>
      <w:r>
        <w:fldChar w:fldCharType="begin"/>
      </w:r>
      <w:r>
        <w:instrText xml:space="preserve"> PAGEREF _Toc498446524 \h </w:instrText>
      </w:r>
      <w:r>
        <w:fldChar w:fldCharType="separate"/>
      </w:r>
      <w:r>
        <w:t>40</w:t>
      </w:r>
      <w:r>
        <w:fldChar w:fldCharType="end"/>
      </w:r>
      <w:r>
        <w:fldChar w:fldCharType="end"/>
      </w:r>
    </w:p>
    <w:p w14:paraId="59C7CA03">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"_Toc498446525" </w:instrText>
      </w:r>
      <w:r>
        <w:fldChar w:fldCharType="separate"/>
      </w:r>
      <w:r>
        <w:rPr>
          <w:rStyle w:val="21"/>
          <w:rFonts w:eastAsia="Times New Roman" w:cs="Arial"/>
          <w:snapToGrid w:val="0"/>
        </w:rPr>
        <w:t>93.</w:t>
      </w:r>
      <w:r>
        <w:rPr>
          <w:rFonts w:asciiTheme="minorHAnsi" w:hAnsiTheme="minorHAnsi" w:eastAsiaTheme="minorEastAsia"/>
          <w:b w:val="0"/>
          <w:bCs w:val="0"/>
          <w:kern w:val="2"/>
          <w:sz w:val="21"/>
        </w:rPr>
        <w:tab/>
      </w:r>
      <w:r>
        <w:rPr>
          <w:rStyle w:val="21"/>
          <w:rFonts w:hint="eastAsia" w:cs="Arial"/>
          <w:snapToGrid w:val="0"/>
        </w:rPr>
        <w:t>如何向其他研究者披露有关研究结果的信息？</w:t>
      </w:r>
      <w:r>
        <w:tab/>
      </w:r>
      <w:r>
        <w:fldChar w:fldCharType="begin"/>
      </w:r>
      <w:r>
        <w:instrText xml:space="preserve"> PAGEREF _Toc498446525 \h </w:instrText>
      </w:r>
      <w:r>
        <w:fldChar w:fldCharType="separate"/>
      </w:r>
      <w:r>
        <w:t>40</w:t>
      </w:r>
      <w:r>
        <w:fldChar w:fldCharType="end"/>
      </w:r>
      <w:r>
        <w:fldChar w:fldCharType="end"/>
      </w:r>
    </w:p>
    <w:p w14:paraId="609DB6B8">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"_Toc498446526" </w:instrText>
      </w:r>
      <w:r>
        <w:fldChar w:fldCharType="separate"/>
      </w:r>
      <w:r>
        <w:rPr>
          <w:rStyle w:val="21"/>
          <w:rFonts w:eastAsia="Times New Roman" w:cs="Arial"/>
          <w:snapToGrid w:val="0"/>
        </w:rPr>
        <w:t>94.</w:t>
      </w:r>
      <w:r>
        <w:rPr>
          <w:rFonts w:asciiTheme="minorHAnsi" w:hAnsiTheme="minorHAnsi" w:eastAsiaTheme="minorEastAsia"/>
          <w:b w:val="0"/>
          <w:bCs w:val="0"/>
          <w:kern w:val="2"/>
          <w:sz w:val="21"/>
        </w:rPr>
        <w:tab/>
      </w:r>
      <w:r>
        <w:rPr>
          <w:rStyle w:val="21"/>
          <w:rFonts w:hint="eastAsia" w:cs="Arial"/>
          <w:snapToGrid w:val="0"/>
        </w:rPr>
        <w:t>研究完成或终止后披露的信息是否必须提交给</w:t>
      </w:r>
      <w:r>
        <w:rPr>
          <w:rStyle w:val="21"/>
          <w:rFonts w:cs="Arial"/>
          <w:snapToGrid w:val="0"/>
        </w:rPr>
        <w:t>FDA</w:t>
      </w:r>
      <w:r>
        <w:rPr>
          <w:rStyle w:val="21"/>
          <w:rFonts w:hint="eastAsia" w:cs="Arial"/>
          <w:snapToGrid w:val="0"/>
        </w:rPr>
        <w:t>的公共案卷科？</w:t>
      </w:r>
      <w:r>
        <w:tab/>
      </w:r>
      <w:r>
        <w:fldChar w:fldCharType="begin"/>
      </w:r>
      <w:r>
        <w:instrText xml:space="preserve"> PAGEREF _Toc498446526 \h </w:instrText>
      </w:r>
      <w:r>
        <w:fldChar w:fldCharType="separate"/>
      </w:r>
      <w:r>
        <w:t>40</w:t>
      </w:r>
      <w:r>
        <w:fldChar w:fldCharType="end"/>
      </w:r>
      <w:r>
        <w:fldChar w:fldCharType="end"/>
      </w:r>
    </w:p>
    <w:p w14:paraId="1D77A4AF">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"_Toc498446527" </w:instrText>
      </w:r>
      <w:r>
        <w:fldChar w:fldCharType="separate"/>
      </w:r>
      <w:r>
        <w:rPr>
          <w:rStyle w:val="21"/>
          <w:rFonts w:eastAsia="Times New Roman" w:cs="Arial"/>
          <w:snapToGrid w:val="0"/>
          <w:spacing w:val="-1"/>
          <w:w w:val="99"/>
        </w:rPr>
        <w:t>X.</w:t>
      </w:r>
      <w:r>
        <w:rPr>
          <w:rFonts w:asciiTheme="minorHAnsi" w:hAnsiTheme="minorHAnsi" w:eastAsiaTheme="minorEastAsia"/>
          <w:b w:val="0"/>
          <w:bCs w:val="0"/>
          <w:i w:val="0"/>
          <w:kern w:val="2"/>
          <w:sz w:val="21"/>
        </w:rPr>
        <w:tab/>
      </w:r>
      <w:r>
        <w:rPr>
          <w:rStyle w:val="21"/>
          <w:rFonts w:hint="eastAsia" w:cs="Arial"/>
          <w:snapToGrid w:val="0"/>
        </w:rPr>
        <w:t>联系法定授权代表或家庭成员</w:t>
      </w:r>
      <w:r>
        <w:tab/>
      </w:r>
      <w:r>
        <w:fldChar w:fldCharType="begin"/>
      </w:r>
      <w:r>
        <w:instrText xml:space="preserve"> PAGEREF _Toc498446527 \h </w:instrText>
      </w:r>
      <w:r>
        <w:fldChar w:fldCharType="separate"/>
      </w:r>
      <w:r>
        <w:t>40</w:t>
      </w:r>
      <w:r>
        <w:fldChar w:fldCharType="end"/>
      </w:r>
      <w:r>
        <w:fldChar w:fldCharType="end"/>
      </w:r>
    </w:p>
    <w:p w14:paraId="11F5A060">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"_Toc498446528" </w:instrText>
      </w:r>
      <w:r>
        <w:fldChar w:fldCharType="separate"/>
      </w:r>
      <w:r>
        <w:rPr>
          <w:rStyle w:val="21"/>
          <w:rFonts w:eastAsia="Times New Roman" w:cs="Arial"/>
          <w:snapToGrid w:val="0"/>
          <w:spacing w:val="-1"/>
          <w:w w:val="99"/>
        </w:rPr>
        <w:t>A.</w:t>
      </w:r>
      <w:r>
        <w:rPr>
          <w:rFonts w:asciiTheme="minorHAnsi" w:hAnsiTheme="minorHAnsi" w:eastAsiaTheme="minorEastAsia"/>
          <w:b w:val="0"/>
          <w:bCs w:val="0"/>
          <w:i w:val="0"/>
          <w:kern w:val="2"/>
          <w:sz w:val="21"/>
        </w:rPr>
        <w:tab/>
      </w:r>
      <w:r>
        <w:rPr>
          <w:rStyle w:val="21"/>
          <w:rFonts w:hint="eastAsia" w:cs="Arial"/>
          <w:snapToGrid w:val="0"/>
        </w:rPr>
        <w:t>在施用供试品之前</w:t>
      </w:r>
      <w:r>
        <w:tab/>
      </w:r>
      <w:r>
        <w:fldChar w:fldCharType="begin"/>
      </w:r>
      <w:r>
        <w:instrText xml:space="preserve"> PAGEREF _Toc498446528 \h </w:instrText>
      </w:r>
      <w:r>
        <w:fldChar w:fldCharType="separate"/>
      </w:r>
      <w:r>
        <w:t>40</w:t>
      </w:r>
      <w:r>
        <w:fldChar w:fldCharType="end"/>
      </w:r>
      <w:r>
        <w:fldChar w:fldCharType="end"/>
      </w:r>
    </w:p>
    <w:p w14:paraId="17162B57">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"_Toc498446529" </w:instrText>
      </w:r>
      <w:r>
        <w:fldChar w:fldCharType="separate"/>
      </w:r>
      <w:r>
        <w:rPr>
          <w:rStyle w:val="21"/>
          <w:rFonts w:eastAsia="Times New Roman" w:cs="Arial"/>
          <w:snapToGrid w:val="0"/>
        </w:rPr>
        <w:t>95.</w:t>
      </w:r>
      <w:r>
        <w:rPr>
          <w:rFonts w:asciiTheme="minorHAnsi" w:hAnsiTheme="minorHAnsi" w:eastAsiaTheme="minorEastAsia"/>
          <w:b w:val="0"/>
          <w:bCs w:val="0"/>
          <w:kern w:val="2"/>
          <w:sz w:val="21"/>
        </w:rPr>
        <w:tab/>
      </w:r>
      <w:r>
        <w:rPr>
          <w:rStyle w:val="21"/>
          <w:rFonts w:hint="eastAsia" w:cs="Arial"/>
          <w:snapToGrid w:val="0"/>
        </w:rPr>
        <w:t>根据</w:t>
      </w:r>
      <w:r>
        <w:rPr>
          <w:rStyle w:val="21"/>
          <w:rFonts w:cs="Arial"/>
          <w:snapToGrid w:val="0"/>
        </w:rPr>
        <w:t>21 CFR 50.24</w:t>
      </w:r>
      <w:r>
        <w:rPr>
          <w:rStyle w:val="21"/>
          <w:rFonts w:hint="eastAsia" w:cs="Arial"/>
          <w:snapToGrid w:val="0"/>
        </w:rPr>
        <w:t>，在施用供试品之前，应使用什么程序联系受试者的合法授权代表（</w:t>
      </w:r>
      <w:r>
        <w:rPr>
          <w:rStyle w:val="21"/>
          <w:rFonts w:cs="Arial"/>
          <w:snapToGrid w:val="0"/>
        </w:rPr>
        <w:t>LAR</w:t>
      </w:r>
      <w:r>
        <w:rPr>
          <w:rStyle w:val="21"/>
          <w:rFonts w:hint="eastAsia" w:cs="Arial"/>
          <w:snapToGrid w:val="0"/>
        </w:rPr>
        <w:t>）或家庭成员？</w:t>
      </w:r>
      <w:r>
        <w:tab/>
      </w:r>
      <w:r>
        <w:fldChar w:fldCharType="begin"/>
      </w:r>
      <w:r>
        <w:instrText xml:space="preserve"> PAGEREF _Toc498446529 \h </w:instrText>
      </w:r>
      <w:r>
        <w:fldChar w:fldCharType="separate"/>
      </w:r>
      <w:r>
        <w:t>41</w:t>
      </w:r>
      <w:r>
        <w:fldChar w:fldCharType="end"/>
      </w:r>
      <w:r>
        <w:fldChar w:fldCharType="end"/>
      </w:r>
    </w:p>
    <w:p w14:paraId="48895F61">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"_Toc498446530" </w:instrText>
      </w:r>
      <w:r>
        <w:fldChar w:fldCharType="separate"/>
      </w:r>
      <w:r>
        <w:rPr>
          <w:rStyle w:val="21"/>
          <w:rFonts w:eastAsia="Times New Roman" w:cs="Arial"/>
          <w:snapToGrid w:val="0"/>
        </w:rPr>
        <w:t>96.</w:t>
      </w:r>
      <w:r>
        <w:rPr>
          <w:rFonts w:asciiTheme="minorHAnsi" w:hAnsiTheme="minorHAnsi" w:eastAsiaTheme="minorEastAsia"/>
          <w:b w:val="0"/>
          <w:bCs w:val="0"/>
          <w:kern w:val="2"/>
          <w:sz w:val="21"/>
        </w:rPr>
        <w:tab/>
      </w:r>
      <w:r>
        <w:rPr>
          <w:rStyle w:val="21"/>
          <w:rFonts w:cs="Arial"/>
          <w:snapToGrid w:val="0"/>
        </w:rPr>
        <w:t>IRB</w:t>
      </w:r>
      <w:r>
        <w:rPr>
          <w:rStyle w:val="21"/>
          <w:rFonts w:hint="eastAsia" w:cs="Arial"/>
          <w:snapToGrid w:val="0"/>
        </w:rPr>
        <w:t>如何确保在治疗窗内，研究者已尽量联系受试者的合法授权代表（</w:t>
      </w:r>
      <w:r>
        <w:rPr>
          <w:rStyle w:val="21"/>
          <w:rFonts w:cs="Arial"/>
          <w:snapToGrid w:val="0"/>
        </w:rPr>
        <w:t>LAR</w:t>
      </w:r>
      <w:r>
        <w:rPr>
          <w:rStyle w:val="21"/>
          <w:rFonts w:hint="eastAsia" w:cs="Arial"/>
          <w:snapToGrid w:val="0"/>
        </w:rPr>
        <w:t>）或家庭成员？</w:t>
      </w:r>
      <w:r>
        <w:tab/>
      </w:r>
      <w:r>
        <w:fldChar w:fldCharType="begin"/>
      </w:r>
      <w:r>
        <w:instrText xml:space="preserve"> PAGEREF _Toc498446530 \h </w:instrText>
      </w:r>
      <w:r>
        <w:fldChar w:fldCharType="separate"/>
      </w:r>
      <w:r>
        <w:t>41</w:t>
      </w:r>
      <w:r>
        <w:fldChar w:fldCharType="end"/>
      </w:r>
      <w:r>
        <w:fldChar w:fldCharType="end"/>
      </w:r>
    </w:p>
    <w:p w14:paraId="591CDD9C">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"_Toc498446531" </w:instrText>
      </w:r>
      <w:r>
        <w:fldChar w:fldCharType="separate"/>
      </w:r>
      <w:r>
        <w:rPr>
          <w:rStyle w:val="21"/>
          <w:rFonts w:eastAsia="Times New Roman" w:cs="Arial"/>
          <w:snapToGrid w:val="0"/>
        </w:rPr>
        <w:t>97.</w:t>
      </w:r>
      <w:r>
        <w:rPr>
          <w:rFonts w:asciiTheme="minorHAnsi" w:hAnsiTheme="minorHAnsi" w:eastAsiaTheme="minorEastAsia"/>
          <w:b w:val="0"/>
          <w:bCs w:val="0"/>
          <w:kern w:val="2"/>
          <w:sz w:val="21"/>
        </w:rPr>
        <w:tab/>
      </w:r>
      <w:r>
        <w:rPr>
          <w:rStyle w:val="21"/>
          <w:rFonts w:hint="eastAsia" w:cs="Arial"/>
          <w:snapToGrid w:val="0"/>
        </w:rPr>
        <w:t>此类研究已豁免知情同意要求。为什么必须准备知情同意书？</w:t>
      </w:r>
      <w:r>
        <w:tab/>
      </w:r>
      <w:r>
        <w:fldChar w:fldCharType="begin"/>
      </w:r>
      <w:r>
        <w:instrText xml:space="preserve"> PAGEREF _Toc498446531 \h </w:instrText>
      </w:r>
      <w:r>
        <w:fldChar w:fldCharType="separate"/>
      </w:r>
      <w:r>
        <w:t>42</w:t>
      </w:r>
      <w:r>
        <w:fldChar w:fldCharType="end"/>
      </w:r>
      <w:r>
        <w:fldChar w:fldCharType="end"/>
      </w:r>
    </w:p>
    <w:p w14:paraId="436E8D8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"_Toc498446532" </w:instrText>
      </w:r>
      <w:r>
        <w:fldChar w:fldCharType="separate"/>
      </w:r>
      <w:r>
        <w:rPr>
          <w:rStyle w:val="21"/>
          <w:rFonts w:eastAsia="Times New Roman" w:cs="Arial"/>
          <w:snapToGrid w:val="0"/>
        </w:rPr>
        <w:t>98.</w:t>
      </w:r>
      <w:r>
        <w:rPr>
          <w:rFonts w:asciiTheme="minorHAnsi" w:hAnsiTheme="minorHAnsi" w:eastAsiaTheme="minorEastAsia"/>
          <w:b w:val="0"/>
          <w:bCs w:val="0"/>
          <w:kern w:val="2"/>
          <w:sz w:val="21"/>
        </w:rPr>
        <w:tab/>
      </w:r>
      <w:r>
        <w:rPr>
          <w:rStyle w:val="21"/>
          <w:rFonts w:hint="eastAsia" w:cs="Arial"/>
          <w:snapToGrid w:val="0"/>
        </w:rPr>
        <w:t>联系受试者家庭成员的目的是什么？</w:t>
      </w:r>
      <w:r>
        <w:tab/>
      </w:r>
      <w:r>
        <w:fldChar w:fldCharType="begin"/>
      </w:r>
      <w:r>
        <w:instrText xml:space="preserve"> PAGEREF _Toc498446532 \h </w:instrText>
      </w:r>
      <w:r>
        <w:fldChar w:fldCharType="separate"/>
      </w:r>
      <w:r>
        <w:t>42</w:t>
      </w:r>
      <w:r>
        <w:fldChar w:fldCharType="end"/>
      </w:r>
      <w:r>
        <w:fldChar w:fldCharType="end"/>
      </w:r>
    </w:p>
    <w:p w14:paraId="033938F0">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"_Toc498446533" </w:instrText>
      </w:r>
      <w:r>
        <w:fldChar w:fldCharType="separate"/>
      </w:r>
      <w:r>
        <w:rPr>
          <w:rStyle w:val="21"/>
          <w:rFonts w:eastAsia="Times New Roman" w:cs="Arial"/>
          <w:snapToGrid w:val="0"/>
        </w:rPr>
        <w:t>99.</w:t>
      </w:r>
      <w:r>
        <w:rPr>
          <w:rFonts w:asciiTheme="minorHAnsi" w:hAnsiTheme="minorHAnsi" w:eastAsiaTheme="minorEastAsia"/>
          <w:b w:val="0"/>
          <w:bCs w:val="0"/>
          <w:kern w:val="2"/>
          <w:sz w:val="21"/>
        </w:rPr>
        <w:tab/>
      </w:r>
      <w:r>
        <w:rPr>
          <w:rStyle w:val="21"/>
          <w:rFonts w:hint="eastAsia" w:cs="Arial"/>
          <w:snapToGrid w:val="0"/>
        </w:rPr>
        <w:t>如果有法定授权代表（</w:t>
      </w:r>
      <w:r>
        <w:rPr>
          <w:rStyle w:val="21"/>
          <w:rFonts w:cs="Arial"/>
          <w:snapToGrid w:val="0"/>
        </w:rPr>
        <w:t>LAR</w:t>
      </w:r>
      <w:r>
        <w:rPr>
          <w:rStyle w:val="21"/>
          <w:rFonts w:hint="eastAsia" w:cs="Arial"/>
          <w:snapToGrid w:val="0"/>
        </w:rPr>
        <w:t>）可用，研究者应该做些什么？</w:t>
      </w:r>
      <w:r>
        <w:tab/>
      </w:r>
      <w:r>
        <w:fldChar w:fldCharType="begin"/>
      </w:r>
      <w:r>
        <w:instrText xml:space="preserve"> PAGEREF _Toc498446533 \h </w:instrText>
      </w:r>
      <w:r>
        <w:fldChar w:fldCharType="separate"/>
      </w:r>
      <w:r>
        <w:t>42</w:t>
      </w:r>
      <w:r>
        <w:fldChar w:fldCharType="end"/>
      </w:r>
      <w:r>
        <w:fldChar w:fldCharType="end"/>
      </w:r>
    </w:p>
    <w:p w14:paraId="4549F314">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"_Toc498446534" </w:instrText>
      </w:r>
      <w:r>
        <w:fldChar w:fldCharType="separate"/>
      </w:r>
      <w:r>
        <w:rPr>
          <w:rStyle w:val="21"/>
          <w:rFonts w:eastAsia="Times New Roman" w:cs="Arial"/>
          <w:snapToGrid w:val="0"/>
        </w:rPr>
        <w:t>100.</w:t>
      </w:r>
      <w:r>
        <w:rPr>
          <w:rFonts w:asciiTheme="minorHAnsi" w:hAnsiTheme="minorHAnsi" w:eastAsiaTheme="minorEastAsia"/>
          <w:b w:val="0"/>
          <w:bCs w:val="0"/>
          <w:kern w:val="2"/>
          <w:sz w:val="21"/>
        </w:rPr>
        <w:tab/>
      </w:r>
      <w:r>
        <w:rPr>
          <w:rStyle w:val="21"/>
          <w:rFonts w:hint="eastAsia" w:cs="Arial"/>
          <w:snapToGrid w:val="0"/>
        </w:rPr>
        <w:t>如果</w:t>
      </w:r>
      <w:r>
        <w:rPr>
          <w:rStyle w:val="21"/>
          <w:rFonts w:cs="Arial"/>
          <w:snapToGrid w:val="0"/>
        </w:rPr>
        <w:t>LAR</w:t>
      </w:r>
      <w:r>
        <w:rPr>
          <w:rStyle w:val="21"/>
          <w:rFonts w:hint="eastAsia" w:cs="Arial"/>
          <w:snapToGrid w:val="0"/>
        </w:rPr>
        <w:t>不可用，但家庭成员可用，研究者或第一反应人员应该做什么？</w:t>
      </w:r>
      <w:r>
        <w:tab/>
      </w:r>
      <w:r>
        <w:fldChar w:fldCharType="begin"/>
      </w:r>
      <w:r>
        <w:instrText xml:space="preserve"> PAGEREF _Toc498446534 \h </w:instrText>
      </w:r>
      <w:r>
        <w:fldChar w:fldCharType="separate"/>
      </w:r>
      <w:r>
        <w:t>42</w:t>
      </w:r>
      <w:r>
        <w:fldChar w:fldCharType="end"/>
      </w:r>
      <w:r>
        <w:fldChar w:fldCharType="end"/>
      </w:r>
    </w:p>
    <w:p w14:paraId="40FF205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"_Toc498446535" </w:instrText>
      </w:r>
      <w:r>
        <w:fldChar w:fldCharType="separate"/>
      </w:r>
      <w:r>
        <w:rPr>
          <w:rStyle w:val="21"/>
          <w:rFonts w:eastAsia="Times New Roman" w:cs="Arial"/>
          <w:snapToGrid w:val="0"/>
        </w:rPr>
        <w:t>101.</w:t>
      </w:r>
      <w:r>
        <w:rPr>
          <w:rFonts w:asciiTheme="minorHAnsi" w:hAnsiTheme="minorHAnsi" w:eastAsiaTheme="minorEastAsia"/>
          <w:b w:val="0"/>
          <w:bCs w:val="0"/>
          <w:kern w:val="2"/>
          <w:sz w:val="21"/>
        </w:rPr>
        <w:tab/>
      </w:r>
      <w:r>
        <w:rPr>
          <w:rStyle w:val="21"/>
          <w:rFonts w:hint="eastAsia" w:cs="Arial"/>
          <w:snapToGrid w:val="0"/>
        </w:rPr>
        <w:t>如果受试者的法定授权代表（</w:t>
      </w:r>
      <w:r>
        <w:rPr>
          <w:rStyle w:val="21"/>
          <w:rFonts w:cs="Arial"/>
          <w:snapToGrid w:val="0"/>
        </w:rPr>
        <w:t>LAR</w:t>
      </w:r>
      <w:r>
        <w:rPr>
          <w:rStyle w:val="21"/>
          <w:rFonts w:hint="eastAsia" w:cs="Arial"/>
          <w:snapToGrid w:val="0"/>
        </w:rPr>
        <w:t>）可用，并且</w:t>
      </w:r>
      <w:r>
        <w:rPr>
          <w:rStyle w:val="21"/>
          <w:rFonts w:cs="Arial"/>
          <w:snapToGrid w:val="0"/>
        </w:rPr>
        <w:t>LAR</w:t>
      </w:r>
      <w:r>
        <w:rPr>
          <w:rStyle w:val="21"/>
          <w:rFonts w:hint="eastAsia" w:cs="Arial"/>
          <w:snapToGrid w:val="0"/>
        </w:rPr>
        <w:t>同意受试者参与研究，临床研究者是否必须联系受试者的家庭成员？</w:t>
      </w:r>
      <w:r>
        <w:tab/>
      </w:r>
      <w:r>
        <w:fldChar w:fldCharType="begin"/>
      </w:r>
      <w:r>
        <w:instrText xml:space="preserve"> PAGEREF _Toc498446535 \h </w:instrText>
      </w:r>
      <w:r>
        <w:fldChar w:fldCharType="separate"/>
      </w:r>
      <w:r>
        <w:t>42</w:t>
      </w:r>
      <w:r>
        <w:fldChar w:fldCharType="end"/>
      </w:r>
      <w:r>
        <w:fldChar w:fldCharType="end"/>
      </w:r>
    </w:p>
    <w:p w14:paraId="16883419">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"_Toc498446536" </w:instrText>
      </w:r>
      <w:r>
        <w:fldChar w:fldCharType="separate"/>
      </w:r>
      <w:r>
        <w:rPr>
          <w:rStyle w:val="21"/>
          <w:rFonts w:eastAsia="Times New Roman" w:cs="Arial"/>
          <w:snapToGrid w:val="0"/>
        </w:rPr>
        <w:t>102.</w:t>
      </w:r>
      <w:r>
        <w:rPr>
          <w:rFonts w:asciiTheme="minorHAnsi" w:hAnsiTheme="minorHAnsi" w:eastAsiaTheme="minorEastAsia"/>
          <w:b w:val="0"/>
          <w:bCs w:val="0"/>
          <w:kern w:val="2"/>
          <w:sz w:val="21"/>
        </w:rPr>
        <w:tab/>
      </w:r>
      <w:r>
        <w:rPr>
          <w:rStyle w:val="21"/>
          <w:rFonts w:hint="eastAsia" w:cs="Arial"/>
          <w:snapToGrid w:val="0"/>
        </w:rPr>
        <w:t>家庭成员是否必须以书面形式表明其反对受试者参与研究？</w:t>
      </w:r>
      <w:r>
        <w:tab/>
      </w:r>
      <w:r>
        <w:fldChar w:fldCharType="begin"/>
      </w:r>
      <w:r>
        <w:instrText xml:space="preserve"> PAGEREF _Toc498446536 \h </w:instrText>
      </w:r>
      <w:r>
        <w:fldChar w:fldCharType="separate"/>
      </w:r>
      <w:r>
        <w:t>43</w:t>
      </w:r>
      <w:r>
        <w:fldChar w:fldCharType="end"/>
      </w:r>
      <w:r>
        <w:fldChar w:fldCharType="end"/>
      </w:r>
    </w:p>
    <w:p w14:paraId="0243670C">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"_Toc498446537" </w:instrText>
      </w:r>
      <w:r>
        <w:fldChar w:fldCharType="separate"/>
      </w:r>
      <w:r>
        <w:rPr>
          <w:rStyle w:val="21"/>
          <w:rFonts w:eastAsia="Times New Roman" w:cs="Arial"/>
          <w:snapToGrid w:val="0"/>
          <w:spacing w:val="-1"/>
          <w:w w:val="99"/>
        </w:rPr>
        <w:t>B.</w:t>
      </w:r>
      <w:r>
        <w:rPr>
          <w:rFonts w:asciiTheme="minorHAnsi" w:hAnsiTheme="minorHAnsi" w:eastAsiaTheme="minorEastAsia"/>
          <w:b w:val="0"/>
          <w:bCs w:val="0"/>
          <w:i w:val="0"/>
          <w:kern w:val="2"/>
          <w:sz w:val="21"/>
        </w:rPr>
        <w:tab/>
      </w:r>
      <w:r>
        <w:rPr>
          <w:rStyle w:val="21"/>
          <w:rFonts w:hint="eastAsia" w:cs="Arial"/>
          <w:snapToGrid w:val="0"/>
        </w:rPr>
        <w:t>施用供试品之后</w:t>
      </w:r>
      <w:r>
        <w:tab/>
      </w:r>
      <w:r>
        <w:fldChar w:fldCharType="begin"/>
      </w:r>
      <w:r>
        <w:instrText xml:space="preserve"> PAGEREF _Toc498446537 \h </w:instrText>
      </w:r>
      <w:r>
        <w:fldChar w:fldCharType="separate"/>
      </w:r>
      <w:r>
        <w:t>43</w:t>
      </w:r>
      <w:r>
        <w:fldChar w:fldCharType="end"/>
      </w:r>
      <w:r>
        <w:fldChar w:fldCharType="end"/>
      </w:r>
    </w:p>
    <w:p w14:paraId="6ED4E12B">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"_Toc498446538" </w:instrText>
      </w:r>
      <w:r>
        <w:fldChar w:fldCharType="separate"/>
      </w:r>
      <w:r>
        <w:rPr>
          <w:rStyle w:val="21"/>
          <w:rFonts w:eastAsia="Times New Roman" w:cs="Arial"/>
          <w:snapToGrid w:val="0"/>
        </w:rPr>
        <w:t>103.</w:t>
      </w:r>
      <w:r>
        <w:rPr>
          <w:rFonts w:asciiTheme="minorHAnsi" w:hAnsiTheme="minorHAnsi" w:eastAsiaTheme="minorEastAsia"/>
          <w:b w:val="0"/>
          <w:bCs w:val="0"/>
          <w:kern w:val="2"/>
          <w:sz w:val="21"/>
        </w:rPr>
        <w:tab/>
      </w:r>
      <w:r>
        <w:rPr>
          <w:rStyle w:val="21"/>
          <w:rFonts w:hint="eastAsia" w:cs="Arial"/>
          <w:snapToGrid w:val="0"/>
        </w:rPr>
        <w:t>如何告知受试者的家庭成员该受试者已参与研究？</w:t>
      </w:r>
      <w:r>
        <w:tab/>
      </w:r>
      <w:r>
        <w:fldChar w:fldCharType="begin"/>
      </w:r>
      <w:r>
        <w:instrText xml:space="preserve"> PAGEREF _Toc498446538 \h </w:instrText>
      </w:r>
      <w:r>
        <w:fldChar w:fldCharType="separate"/>
      </w:r>
      <w:r>
        <w:t>43</w:t>
      </w:r>
      <w:r>
        <w:fldChar w:fldCharType="end"/>
      </w:r>
      <w:r>
        <w:fldChar w:fldCharType="end"/>
      </w:r>
    </w:p>
    <w:p w14:paraId="77CF1619">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"_Toc498446539" </w:instrText>
      </w:r>
      <w:r>
        <w:fldChar w:fldCharType="separate"/>
      </w:r>
      <w:r>
        <w:rPr>
          <w:rStyle w:val="21"/>
          <w:rFonts w:eastAsia="Times New Roman" w:cs="Arial"/>
          <w:snapToGrid w:val="0"/>
        </w:rPr>
        <w:t>104.</w:t>
      </w:r>
      <w:r>
        <w:rPr>
          <w:rFonts w:asciiTheme="minorHAnsi" w:hAnsiTheme="minorHAnsi" w:eastAsiaTheme="minorEastAsia"/>
          <w:b w:val="0"/>
          <w:bCs w:val="0"/>
          <w:kern w:val="2"/>
          <w:sz w:val="21"/>
        </w:rPr>
        <w:tab/>
      </w:r>
      <w:r>
        <w:rPr>
          <w:rStyle w:val="21"/>
          <w:rFonts w:hint="eastAsia" w:cs="Arial"/>
          <w:snapToGrid w:val="0"/>
        </w:rPr>
        <w:t>如果根据</w:t>
      </w:r>
      <w:r>
        <w:rPr>
          <w:rStyle w:val="21"/>
          <w:rFonts w:cs="Arial"/>
          <w:snapToGrid w:val="0"/>
        </w:rPr>
        <w:t>21 CFR 50.24</w:t>
      </w:r>
      <w:r>
        <w:rPr>
          <w:rStyle w:val="21"/>
          <w:rFonts w:hint="eastAsia" w:cs="Arial"/>
          <w:snapToGrid w:val="0"/>
        </w:rPr>
        <w:t>将受试者招入研究，则必须向该受试者、受试者的法定授权代表（</w:t>
      </w:r>
      <w:r>
        <w:rPr>
          <w:rStyle w:val="21"/>
          <w:rFonts w:cs="Arial"/>
          <w:snapToGrid w:val="0"/>
        </w:rPr>
        <w:t>LAR</w:t>
      </w:r>
      <w:r>
        <w:rPr>
          <w:rStyle w:val="21"/>
          <w:rFonts w:hint="eastAsia" w:cs="Arial"/>
          <w:snapToGrid w:val="0"/>
        </w:rPr>
        <w:t>）或家庭成员提供哪些信息？</w:t>
      </w:r>
      <w:r>
        <w:tab/>
      </w:r>
      <w:r>
        <w:fldChar w:fldCharType="begin"/>
      </w:r>
      <w:r>
        <w:instrText xml:space="preserve"> PAGEREF _Toc498446539 \h </w:instrText>
      </w:r>
      <w:r>
        <w:fldChar w:fldCharType="separate"/>
      </w:r>
      <w:r>
        <w:t>43</w:t>
      </w:r>
      <w:r>
        <w:fldChar w:fldCharType="end"/>
      </w:r>
      <w:r>
        <w:fldChar w:fldCharType="end"/>
      </w:r>
    </w:p>
    <w:p w14:paraId="5E8FA801">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"_Toc498446540" </w:instrText>
      </w:r>
      <w:r>
        <w:fldChar w:fldCharType="separate"/>
      </w:r>
      <w:r>
        <w:rPr>
          <w:rStyle w:val="21"/>
          <w:rFonts w:eastAsia="Times New Roman" w:cs="Arial"/>
          <w:snapToGrid w:val="0"/>
        </w:rPr>
        <w:t>105.</w:t>
      </w:r>
      <w:r>
        <w:rPr>
          <w:rFonts w:asciiTheme="minorHAnsi" w:hAnsiTheme="minorHAnsi" w:eastAsiaTheme="minorEastAsia"/>
          <w:b w:val="0"/>
          <w:bCs w:val="0"/>
          <w:kern w:val="2"/>
          <w:sz w:val="21"/>
        </w:rPr>
        <w:tab/>
      </w:r>
      <w:r>
        <w:rPr>
          <w:rStyle w:val="21"/>
          <w:rFonts w:ascii="宋体" w:hAnsi="宋体" w:cs="Arial"/>
          <w:snapToGrid w:val="0"/>
        </w:rPr>
        <w:t>“</w:t>
      </w:r>
      <w:r>
        <w:rPr>
          <w:rStyle w:val="21"/>
          <w:rFonts w:hint="eastAsia" w:cs="Arial"/>
          <w:snapToGrid w:val="0"/>
        </w:rPr>
        <w:t>可行</w:t>
      </w:r>
      <w:r>
        <w:rPr>
          <w:rStyle w:val="21"/>
          <w:rFonts w:ascii="宋体" w:hAnsi="宋体" w:cs="Arial"/>
          <w:snapToGrid w:val="0"/>
        </w:rPr>
        <w:t>”</w:t>
      </w:r>
      <w:r>
        <w:rPr>
          <w:rStyle w:val="21"/>
          <w:rFonts w:hint="eastAsia" w:cs="Arial"/>
          <w:snapToGrid w:val="0"/>
        </w:rPr>
        <w:t>是什么意思？</w:t>
      </w:r>
      <w:r>
        <w:tab/>
      </w:r>
      <w:r>
        <w:fldChar w:fldCharType="begin"/>
      </w:r>
      <w:r>
        <w:instrText xml:space="preserve"> PAGEREF _Toc498446540 \h </w:instrText>
      </w:r>
      <w:r>
        <w:fldChar w:fldCharType="separate"/>
      </w:r>
      <w:r>
        <w:t>43</w:t>
      </w:r>
      <w:r>
        <w:fldChar w:fldCharType="end"/>
      </w:r>
      <w:r>
        <w:fldChar w:fldCharType="end"/>
      </w:r>
    </w:p>
    <w:p w14:paraId="482D0FFF">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"_Toc498446541" </w:instrText>
      </w:r>
      <w:r>
        <w:fldChar w:fldCharType="separate"/>
      </w:r>
      <w:r>
        <w:rPr>
          <w:rStyle w:val="21"/>
          <w:rFonts w:eastAsia="Times New Roman" w:cs="Arial"/>
          <w:snapToGrid w:val="0"/>
        </w:rPr>
        <w:t>106.</w:t>
      </w:r>
      <w:r>
        <w:rPr>
          <w:rFonts w:asciiTheme="minorHAnsi" w:hAnsiTheme="minorHAnsi" w:eastAsiaTheme="minorEastAsia"/>
          <w:b w:val="0"/>
          <w:bCs w:val="0"/>
          <w:kern w:val="2"/>
          <w:sz w:val="21"/>
        </w:rPr>
        <w:tab/>
      </w:r>
      <w:r>
        <w:rPr>
          <w:rStyle w:val="21"/>
          <w:rFonts w:hint="eastAsia" w:cs="Arial"/>
          <w:snapToGrid w:val="0"/>
        </w:rPr>
        <w:t>如果受试者恢复意识，或者找到其法定授权代表（</w:t>
      </w:r>
      <w:r>
        <w:rPr>
          <w:rStyle w:val="21"/>
          <w:rFonts w:cs="Arial"/>
          <w:snapToGrid w:val="0"/>
        </w:rPr>
        <w:t>LAR</w:t>
      </w:r>
      <w:r>
        <w:rPr>
          <w:rStyle w:val="21"/>
          <w:rFonts w:hint="eastAsia" w:cs="Arial"/>
          <w:snapToGrid w:val="0"/>
        </w:rPr>
        <w:t>），是否必须征得受试者或受试者的</w:t>
      </w:r>
      <w:r>
        <w:rPr>
          <w:rStyle w:val="21"/>
          <w:rFonts w:cs="Arial"/>
          <w:snapToGrid w:val="0"/>
        </w:rPr>
        <w:t>LAR</w:t>
      </w:r>
      <w:r>
        <w:rPr>
          <w:rStyle w:val="21"/>
          <w:rFonts w:hint="eastAsia" w:cs="Arial"/>
          <w:snapToGrid w:val="0"/>
        </w:rPr>
        <w:t>的同意，以继续参与研究？</w:t>
      </w:r>
      <w:r>
        <w:tab/>
      </w:r>
      <w:r>
        <w:fldChar w:fldCharType="begin"/>
      </w:r>
      <w:r>
        <w:instrText xml:space="preserve"> PAGEREF _Toc498446541 \h </w:instrText>
      </w:r>
      <w:r>
        <w:fldChar w:fldCharType="separate"/>
      </w:r>
      <w:r>
        <w:t>44</w:t>
      </w:r>
      <w:r>
        <w:fldChar w:fldCharType="end"/>
      </w:r>
      <w:r>
        <w:fldChar w:fldCharType="end"/>
      </w:r>
    </w:p>
    <w:p w14:paraId="03CB771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"_Toc498446542" </w:instrText>
      </w:r>
      <w:r>
        <w:fldChar w:fldCharType="separate"/>
      </w:r>
      <w:r>
        <w:rPr>
          <w:rStyle w:val="21"/>
          <w:rFonts w:eastAsia="Times New Roman" w:cs="Arial"/>
          <w:snapToGrid w:val="0"/>
        </w:rPr>
        <w:t>107.</w:t>
      </w:r>
      <w:r>
        <w:rPr>
          <w:rFonts w:asciiTheme="minorHAnsi" w:hAnsiTheme="minorHAnsi" w:eastAsiaTheme="minorEastAsia"/>
          <w:b w:val="0"/>
          <w:bCs w:val="0"/>
          <w:kern w:val="2"/>
          <w:sz w:val="21"/>
        </w:rPr>
        <w:tab/>
      </w:r>
      <w:r>
        <w:rPr>
          <w:rStyle w:val="21"/>
          <w:rFonts w:hint="eastAsia" w:cs="Arial"/>
          <w:snapToGrid w:val="0"/>
        </w:rPr>
        <w:t>如果受试者死亡，是否必须向受试者的法定授权代表（</w:t>
      </w:r>
      <w:r>
        <w:rPr>
          <w:rStyle w:val="21"/>
          <w:rFonts w:cs="Arial"/>
          <w:snapToGrid w:val="0"/>
        </w:rPr>
        <w:t>LAR</w:t>
      </w:r>
      <w:r>
        <w:rPr>
          <w:rStyle w:val="21"/>
          <w:rFonts w:hint="eastAsia" w:cs="Arial"/>
          <w:snapToGrid w:val="0"/>
        </w:rPr>
        <w:t>）或家庭成员提供关于该受试者入选研究的信息？</w:t>
      </w:r>
      <w:r>
        <w:tab/>
      </w:r>
      <w:r>
        <w:fldChar w:fldCharType="begin"/>
      </w:r>
      <w:r>
        <w:instrText xml:space="preserve"> PAGEREF _Toc498446542 \h </w:instrText>
      </w:r>
      <w:r>
        <w:fldChar w:fldCharType="separate"/>
      </w:r>
      <w:r>
        <w:t>44</w:t>
      </w:r>
      <w:r>
        <w:fldChar w:fldCharType="end"/>
      </w:r>
      <w:r>
        <w:fldChar w:fldCharType="end"/>
      </w:r>
    </w:p>
    <w:p w14:paraId="2FA56655">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"_Toc498446543" </w:instrText>
      </w:r>
      <w:r>
        <w:fldChar w:fldCharType="separate"/>
      </w:r>
      <w:r>
        <w:rPr>
          <w:rStyle w:val="21"/>
          <w:rFonts w:eastAsia="Times New Roman" w:cs="Arial"/>
          <w:snapToGrid w:val="0"/>
        </w:rPr>
        <w:t>108.</w:t>
      </w:r>
      <w:r>
        <w:rPr>
          <w:rFonts w:asciiTheme="minorHAnsi" w:hAnsiTheme="minorHAnsi" w:eastAsiaTheme="minorEastAsia"/>
          <w:b w:val="0"/>
          <w:bCs w:val="0"/>
          <w:kern w:val="2"/>
          <w:sz w:val="21"/>
        </w:rPr>
        <w:tab/>
      </w:r>
      <w:r>
        <w:rPr>
          <w:rStyle w:val="21"/>
          <w:rFonts w:hint="eastAsia" w:cs="Arial"/>
          <w:snapToGrid w:val="0"/>
        </w:rPr>
        <w:t>必须在什么时候向受试者的法定授权代表（</w:t>
      </w:r>
      <w:r>
        <w:rPr>
          <w:rStyle w:val="21"/>
          <w:rFonts w:cs="Arial"/>
          <w:snapToGrid w:val="0"/>
        </w:rPr>
        <w:t>LAR</w:t>
      </w:r>
      <w:r>
        <w:rPr>
          <w:rStyle w:val="21"/>
          <w:rFonts w:hint="eastAsia" w:cs="Arial"/>
          <w:snapToGrid w:val="0"/>
        </w:rPr>
        <w:t>）或家庭成员提供有关该研究已入选研究的信息？</w:t>
      </w:r>
      <w:r>
        <w:tab/>
      </w:r>
      <w:r>
        <w:fldChar w:fldCharType="begin"/>
      </w:r>
      <w:r>
        <w:instrText xml:space="preserve"> PAGEREF _Toc498446543 \h </w:instrText>
      </w:r>
      <w:r>
        <w:fldChar w:fldCharType="separate"/>
      </w:r>
      <w:r>
        <w:t>45</w:t>
      </w:r>
      <w:r>
        <w:fldChar w:fldCharType="end"/>
      </w:r>
      <w:r>
        <w:fldChar w:fldCharType="end"/>
      </w:r>
    </w:p>
    <w:p w14:paraId="775399B3">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"_Toc498446544" </w:instrText>
      </w:r>
      <w:r>
        <w:fldChar w:fldCharType="separate"/>
      </w:r>
      <w:r>
        <w:rPr>
          <w:rStyle w:val="21"/>
          <w:rFonts w:eastAsia="Times New Roman" w:cs="Arial"/>
          <w:snapToGrid w:val="0"/>
        </w:rPr>
        <w:t>109.</w:t>
      </w:r>
      <w:r>
        <w:rPr>
          <w:rFonts w:asciiTheme="minorHAnsi" w:hAnsiTheme="minorHAnsi" w:eastAsiaTheme="minorEastAsia"/>
          <w:b w:val="0"/>
          <w:bCs w:val="0"/>
          <w:kern w:val="2"/>
          <w:sz w:val="21"/>
        </w:rPr>
        <w:tab/>
      </w:r>
      <w:r>
        <w:rPr>
          <w:rStyle w:val="21"/>
          <w:rFonts w:hint="eastAsia" w:cs="Arial"/>
          <w:snapToGrid w:val="0"/>
        </w:rPr>
        <w:t>如果临床研究者进行了旨在联系法定授权代表（</w:t>
      </w:r>
      <w:r>
        <w:rPr>
          <w:rStyle w:val="21"/>
          <w:rFonts w:cs="Arial"/>
          <w:snapToGrid w:val="0"/>
        </w:rPr>
        <w:t>LAR</w:t>
      </w:r>
      <w:r>
        <w:rPr>
          <w:rStyle w:val="21"/>
          <w:rFonts w:hint="eastAsia" w:cs="Arial"/>
          <w:snapToGrid w:val="0"/>
        </w:rPr>
        <w:t>）或受试者家庭成员的工作，其需要维护哪些记录？</w:t>
      </w:r>
      <w:r>
        <w:tab/>
      </w:r>
      <w:r>
        <w:fldChar w:fldCharType="begin"/>
      </w:r>
      <w:r>
        <w:instrText xml:space="preserve"> PAGEREF _Toc498446544 \h </w:instrText>
      </w:r>
      <w:r>
        <w:fldChar w:fldCharType="separate"/>
      </w:r>
      <w:r>
        <w:t>45</w:t>
      </w:r>
      <w:r>
        <w:fldChar w:fldCharType="end"/>
      </w:r>
      <w:r>
        <w:fldChar w:fldCharType="end"/>
      </w:r>
    </w:p>
    <w:p w14:paraId="5D3C6B86">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"_Toc498446545" </w:instrText>
      </w:r>
      <w:r>
        <w:fldChar w:fldCharType="separate"/>
      </w:r>
      <w:r>
        <w:rPr>
          <w:rStyle w:val="21"/>
          <w:rFonts w:eastAsia="Times New Roman" w:cs="Arial"/>
          <w:snapToGrid w:val="0"/>
        </w:rPr>
        <w:t>110.</w:t>
      </w:r>
      <w:r>
        <w:rPr>
          <w:rFonts w:asciiTheme="minorHAnsi" w:hAnsiTheme="minorHAnsi" w:eastAsiaTheme="minorEastAsia"/>
          <w:b w:val="0"/>
          <w:bCs w:val="0"/>
          <w:kern w:val="2"/>
          <w:sz w:val="21"/>
        </w:rPr>
        <w:tab/>
      </w:r>
      <w:r>
        <w:rPr>
          <w:rStyle w:val="21"/>
          <w:rFonts w:hint="eastAsia" w:cs="Arial"/>
          <w:snapToGrid w:val="0"/>
        </w:rPr>
        <w:t>临床研究者可以通过哪些途径获得研究对象的医疗记录？</w:t>
      </w:r>
      <w:r>
        <w:tab/>
      </w:r>
      <w:r>
        <w:fldChar w:fldCharType="begin"/>
      </w:r>
      <w:r>
        <w:instrText xml:space="preserve"> PAGEREF _Toc498446545 \h </w:instrText>
      </w:r>
      <w:r>
        <w:fldChar w:fldCharType="separate"/>
      </w:r>
      <w:r>
        <w:t>45</w:t>
      </w:r>
      <w:r>
        <w:fldChar w:fldCharType="end"/>
      </w:r>
      <w:r>
        <w:fldChar w:fldCharType="end"/>
      </w:r>
    </w:p>
    <w:p w14:paraId="71F5EB7D">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"_Toc498446546" </w:instrText>
      </w:r>
      <w:r>
        <w:fldChar w:fldCharType="separate"/>
      </w:r>
      <w:r>
        <w:rPr>
          <w:rStyle w:val="21"/>
          <w:rFonts w:eastAsia="Times New Roman" w:cs="Arial"/>
          <w:snapToGrid w:val="0"/>
        </w:rPr>
        <w:t>111.</w:t>
      </w:r>
      <w:r>
        <w:rPr>
          <w:rFonts w:asciiTheme="minorHAnsi" w:hAnsiTheme="minorHAnsi" w:eastAsiaTheme="minorEastAsia"/>
          <w:b w:val="0"/>
          <w:bCs w:val="0"/>
          <w:kern w:val="2"/>
          <w:sz w:val="21"/>
        </w:rPr>
        <w:tab/>
      </w:r>
      <w:r>
        <w:rPr>
          <w:rStyle w:val="21"/>
          <w:rFonts w:hint="eastAsia" w:cs="Arial"/>
          <w:snapToGrid w:val="0"/>
        </w:rPr>
        <w:t>如果受试者、法定授权代表（</w:t>
      </w:r>
      <w:r>
        <w:rPr>
          <w:rStyle w:val="21"/>
          <w:rFonts w:cs="Arial"/>
          <w:snapToGrid w:val="0"/>
        </w:rPr>
        <w:t>LAR</w:t>
      </w:r>
      <w:r>
        <w:rPr>
          <w:rStyle w:val="21"/>
          <w:rFonts w:hint="eastAsia" w:cs="Arial"/>
          <w:snapToGrid w:val="0"/>
        </w:rPr>
        <w:t>）或家庭成员中止受试者参与研究，研究者仍可以使用哪些记录？</w:t>
      </w:r>
      <w:r>
        <w:tab/>
      </w:r>
      <w:r>
        <w:fldChar w:fldCharType="begin"/>
      </w:r>
      <w:r>
        <w:instrText xml:space="preserve"> PAGEREF _Toc498446546 \h </w:instrText>
      </w:r>
      <w:r>
        <w:fldChar w:fldCharType="separate"/>
      </w:r>
      <w:r>
        <w:t>46</w:t>
      </w:r>
      <w:r>
        <w:fldChar w:fldCharType="end"/>
      </w:r>
      <w:r>
        <w:fldChar w:fldCharType="end"/>
      </w:r>
    </w:p>
    <w:p w14:paraId="02580543">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"_Toc498446547" </w:instrText>
      </w:r>
      <w:r>
        <w:fldChar w:fldCharType="separate"/>
      </w:r>
      <w:r>
        <w:rPr>
          <w:rStyle w:val="21"/>
          <w:rFonts w:eastAsia="Times New Roman" w:cs="Arial"/>
          <w:snapToGrid w:val="0"/>
        </w:rPr>
        <w:t>112.</w:t>
      </w:r>
      <w:r>
        <w:rPr>
          <w:rFonts w:asciiTheme="minorHAnsi" w:hAnsiTheme="minorHAnsi" w:eastAsiaTheme="minorEastAsia"/>
          <w:b w:val="0"/>
          <w:bCs w:val="0"/>
          <w:kern w:val="2"/>
          <w:sz w:val="21"/>
        </w:rPr>
        <w:tab/>
      </w:r>
      <w:r>
        <w:rPr>
          <w:rStyle w:val="21"/>
          <w:rFonts w:hint="eastAsia" w:cs="Arial"/>
          <w:snapToGrid w:val="0"/>
        </w:rPr>
        <w:t>为什么获取受试者的数据（例如医学和研究记录）如此重要？受试者是否可以收回已经收集的数据或者研究数据库中的结果？</w:t>
      </w:r>
      <w:r>
        <w:rPr>
          <w:rStyle w:val="21"/>
          <w:rFonts w:cs="Arial"/>
          <w:snapToGrid w:val="0"/>
          <w:vertAlign w:val="superscript"/>
        </w:rPr>
        <w:t>51</w:t>
      </w:r>
      <w:r>
        <w:tab/>
      </w:r>
      <w:r>
        <w:fldChar w:fldCharType="begin"/>
      </w:r>
      <w:r>
        <w:instrText xml:space="preserve"> PAGEREF _Toc498446547 \h </w:instrText>
      </w:r>
      <w:r>
        <w:fldChar w:fldCharType="separate"/>
      </w:r>
      <w:r>
        <w:t>46</w:t>
      </w:r>
      <w:r>
        <w:fldChar w:fldCharType="end"/>
      </w:r>
      <w:r>
        <w:fldChar w:fldCharType="end"/>
      </w:r>
    </w:p>
    <w:p w14:paraId="05CE8F92">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"_Toc498446548" </w:instrText>
      </w:r>
      <w:r>
        <w:fldChar w:fldCharType="separate"/>
      </w:r>
      <w:r>
        <w:rPr>
          <w:rStyle w:val="21"/>
          <w:rFonts w:eastAsia="Times New Roman" w:cs="Arial"/>
          <w:snapToGrid w:val="0"/>
        </w:rPr>
        <w:t>113.</w:t>
      </w:r>
      <w:r>
        <w:rPr>
          <w:rFonts w:asciiTheme="minorHAnsi" w:hAnsiTheme="minorHAnsi" w:eastAsiaTheme="minorEastAsia"/>
          <w:b w:val="0"/>
          <w:bCs w:val="0"/>
          <w:kern w:val="2"/>
          <w:sz w:val="21"/>
        </w:rPr>
        <w:tab/>
      </w:r>
      <w:r>
        <w:rPr>
          <w:rStyle w:val="21"/>
          <w:rFonts w:hint="eastAsia" w:cs="Arial"/>
          <w:snapToGrid w:val="0"/>
        </w:rPr>
        <w:t>受试者中止参与研究后，是否还可以收集有关受试者死亡的信息？</w:t>
      </w:r>
      <w:r>
        <w:tab/>
      </w:r>
      <w:r>
        <w:fldChar w:fldCharType="begin"/>
      </w:r>
      <w:r>
        <w:instrText xml:space="preserve"> PAGEREF _Toc498446548 \h </w:instrText>
      </w:r>
      <w:r>
        <w:fldChar w:fldCharType="separate"/>
      </w:r>
      <w:r>
        <w:t>46</w:t>
      </w:r>
      <w:r>
        <w:fldChar w:fldCharType="end"/>
      </w:r>
      <w:r>
        <w:fldChar w:fldCharType="end"/>
      </w:r>
    </w:p>
    <w:p w14:paraId="6066784E">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"_Toc498446549" </w:instrText>
      </w:r>
      <w:r>
        <w:fldChar w:fldCharType="separate"/>
      </w:r>
      <w:r>
        <w:rPr>
          <w:rStyle w:val="21"/>
          <w:rFonts w:eastAsia="Times New Roman" w:cs="Arial"/>
          <w:snapToGrid w:val="0"/>
        </w:rPr>
        <w:t>114.</w:t>
      </w:r>
      <w:r>
        <w:rPr>
          <w:rFonts w:asciiTheme="minorHAnsi" w:hAnsiTheme="minorHAnsi" w:eastAsiaTheme="minorEastAsia"/>
          <w:b w:val="0"/>
          <w:bCs w:val="0"/>
          <w:kern w:val="2"/>
          <w:sz w:val="21"/>
        </w:rPr>
        <w:tab/>
      </w:r>
      <w:r>
        <w:rPr>
          <w:rStyle w:val="21"/>
          <w:rFonts w:cs="Arial"/>
          <w:snapToGrid w:val="0"/>
        </w:rPr>
        <w:t>FDA</w:t>
      </w:r>
      <w:r>
        <w:rPr>
          <w:rStyle w:val="21"/>
          <w:rFonts w:hint="eastAsia" w:cs="Arial"/>
          <w:snapToGrid w:val="0"/>
        </w:rPr>
        <w:t>法规要求是否在获得公开记录之前，从已故受试者的家庭成员获得知情同意？</w:t>
      </w:r>
      <w:r>
        <w:tab/>
      </w:r>
      <w:r>
        <w:fldChar w:fldCharType="begin"/>
      </w:r>
      <w:r>
        <w:instrText xml:space="preserve"> PAGEREF _Toc498446549 \h </w:instrText>
      </w:r>
      <w:r>
        <w:fldChar w:fldCharType="separate"/>
      </w:r>
      <w:r>
        <w:t>47</w:t>
      </w:r>
      <w:r>
        <w:fldChar w:fldCharType="end"/>
      </w:r>
      <w:r>
        <w:fldChar w:fldCharType="end"/>
      </w:r>
    </w:p>
    <w:p w14:paraId="562235E0">
      <w:pPr>
        <w:pStyle w:val="8"/>
        <w:tabs>
          <w:tab w:val="left" w:pos="1680"/>
          <w:tab w:val="right" w:leader="dot" w:pos="9016"/>
        </w:tabs>
        <w:ind w:right="440"/>
        <w:rPr>
          <w:rFonts w:asciiTheme="minorHAnsi" w:hAnsiTheme="minorHAnsi" w:eastAsiaTheme="minorEastAsia"/>
          <w:b w:val="0"/>
          <w:bCs w:val="0"/>
          <w:kern w:val="2"/>
          <w:sz w:val="21"/>
        </w:rPr>
      </w:pPr>
      <w:r>
        <w:fldChar w:fldCharType="begin"/>
      </w:r>
      <w:r>
        <w:instrText xml:space="preserve"> HYPERLINK \l "_Toc498446550" </w:instrText>
      </w:r>
      <w:r>
        <w:fldChar w:fldCharType="separate"/>
      </w:r>
      <w:r>
        <w:rPr>
          <w:rStyle w:val="21"/>
          <w:rFonts w:eastAsia="Times New Roman" w:cs="Arial"/>
          <w:snapToGrid w:val="0"/>
        </w:rPr>
        <w:t>115.</w:t>
      </w:r>
      <w:r>
        <w:rPr>
          <w:rFonts w:asciiTheme="minorHAnsi" w:hAnsiTheme="minorHAnsi" w:eastAsiaTheme="minorEastAsia"/>
          <w:b w:val="0"/>
          <w:bCs w:val="0"/>
          <w:kern w:val="2"/>
          <w:sz w:val="21"/>
        </w:rPr>
        <w:tab/>
      </w:r>
      <w:r>
        <w:rPr>
          <w:rStyle w:val="21"/>
          <w:rFonts w:hint="eastAsia" w:cs="Arial"/>
          <w:snapToGrid w:val="0"/>
        </w:rPr>
        <w:t>如果紧急研究已根据</w:t>
      </w:r>
      <w:r>
        <w:rPr>
          <w:rStyle w:val="21"/>
          <w:rFonts w:cs="Arial"/>
          <w:snapToGrid w:val="0"/>
        </w:rPr>
        <w:t>21 CFR 50.24</w:t>
      </w:r>
      <w:r>
        <w:rPr>
          <w:rStyle w:val="21"/>
          <w:rFonts w:hint="eastAsia" w:cs="Arial"/>
          <w:snapToGrid w:val="0"/>
        </w:rPr>
        <w:t>豁免知情同意，</w:t>
      </w:r>
      <w:r>
        <w:rPr>
          <w:rStyle w:val="21"/>
          <w:rFonts w:cs="Arial"/>
          <w:snapToGrid w:val="0"/>
        </w:rPr>
        <w:t>IRB</w:t>
      </w:r>
      <w:r>
        <w:rPr>
          <w:rStyle w:val="21"/>
          <w:rFonts w:hint="eastAsia" w:cs="Arial"/>
          <w:snapToGrid w:val="0"/>
        </w:rPr>
        <w:t>或隐私委员会可否豁免</w:t>
      </w:r>
      <w:r>
        <w:rPr>
          <w:rStyle w:val="21"/>
          <w:rFonts w:cs="Arial"/>
          <w:snapToGrid w:val="0"/>
        </w:rPr>
        <w:t>HIPAA</w:t>
      </w:r>
      <w:r>
        <w:rPr>
          <w:rStyle w:val="21"/>
          <w:rFonts w:hint="eastAsia" w:cs="Arial"/>
          <w:snapToGrid w:val="0"/>
        </w:rPr>
        <w:t>隐私规则第</w:t>
      </w:r>
      <w:r>
        <w:rPr>
          <w:rStyle w:val="21"/>
          <w:rFonts w:cs="Arial"/>
          <w:snapToGrid w:val="0"/>
        </w:rPr>
        <w:t>45 CFR 164.508</w:t>
      </w:r>
      <w:r>
        <w:rPr>
          <w:rStyle w:val="21"/>
          <w:rFonts w:hint="eastAsia" w:cs="Arial"/>
          <w:snapToGrid w:val="0"/>
        </w:rPr>
        <w:t>条要求的授权要求？</w:t>
      </w:r>
      <w:r>
        <w:tab/>
      </w:r>
      <w:r>
        <w:fldChar w:fldCharType="begin"/>
      </w:r>
      <w:r>
        <w:instrText xml:space="preserve"> PAGEREF _Toc498446550 \h </w:instrText>
      </w:r>
      <w:r>
        <w:fldChar w:fldCharType="separate"/>
      </w:r>
      <w:r>
        <w:t>47</w:t>
      </w:r>
      <w:r>
        <w:fldChar w:fldCharType="end"/>
      </w:r>
      <w:r>
        <w:fldChar w:fldCharType="end"/>
      </w:r>
    </w:p>
    <w:p w14:paraId="7979B9FF">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"_Toc498446551" </w:instrText>
      </w:r>
      <w:r>
        <w:fldChar w:fldCharType="separate"/>
      </w:r>
      <w:r>
        <w:rPr>
          <w:rStyle w:val="21"/>
          <w:rFonts w:eastAsia="Times New Roman" w:cs="Arial"/>
          <w:snapToGrid w:val="0"/>
          <w:spacing w:val="-1"/>
          <w:w w:val="99"/>
        </w:rPr>
        <w:t>XI.</w:t>
      </w:r>
      <w:r>
        <w:rPr>
          <w:rFonts w:asciiTheme="minorHAnsi" w:hAnsiTheme="minorHAnsi" w:eastAsiaTheme="minorEastAsia"/>
          <w:b w:val="0"/>
          <w:bCs w:val="0"/>
          <w:i w:val="0"/>
          <w:kern w:val="2"/>
          <w:sz w:val="21"/>
        </w:rPr>
        <w:tab/>
      </w:r>
      <w:r>
        <w:rPr>
          <w:rStyle w:val="21"/>
          <w:rFonts w:hint="eastAsia" w:cs="Arial"/>
          <w:snapToGrid w:val="0"/>
        </w:rPr>
        <w:t>数据监测委员会（</w:t>
      </w:r>
      <w:r>
        <w:rPr>
          <w:rStyle w:val="21"/>
          <w:rFonts w:cs="Arial"/>
          <w:snapToGrid w:val="0"/>
        </w:rPr>
        <w:t>DMC</w:t>
      </w:r>
      <w:r>
        <w:rPr>
          <w:rStyle w:val="21"/>
          <w:rFonts w:hint="eastAsia" w:cs="Arial"/>
          <w:snapToGrid w:val="0"/>
        </w:rPr>
        <w:t>）</w:t>
      </w:r>
      <w:r>
        <w:tab/>
      </w:r>
      <w:r>
        <w:fldChar w:fldCharType="begin"/>
      </w:r>
      <w:r>
        <w:instrText xml:space="preserve"> PAGEREF _Toc498446551 \h </w:instrText>
      </w:r>
      <w:r>
        <w:fldChar w:fldCharType="separate"/>
      </w:r>
      <w:r>
        <w:t>48</w:t>
      </w:r>
      <w:r>
        <w:fldChar w:fldCharType="end"/>
      </w:r>
      <w:r>
        <w:fldChar w:fldCharType="end"/>
      </w:r>
    </w:p>
    <w:p w14:paraId="4DE173DB">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"_Toc498446552" </w:instrText>
      </w:r>
      <w:r>
        <w:fldChar w:fldCharType="separate"/>
      </w:r>
      <w:r>
        <w:rPr>
          <w:rStyle w:val="21"/>
          <w:rFonts w:eastAsia="Times New Roman" w:cs="Arial"/>
          <w:snapToGrid w:val="0"/>
          <w:spacing w:val="-1"/>
          <w:w w:val="99"/>
        </w:rPr>
        <w:t>XII.</w:t>
      </w:r>
      <w:r>
        <w:rPr>
          <w:rFonts w:asciiTheme="minorHAnsi" w:hAnsiTheme="minorHAnsi" w:eastAsiaTheme="minorEastAsia"/>
          <w:b w:val="0"/>
          <w:bCs w:val="0"/>
          <w:i w:val="0"/>
          <w:kern w:val="2"/>
          <w:sz w:val="21"/>
        </w:rPr>
        <w:tab/>
      </w:r>
      <w:r>
        <w:rPr>
          <w:rStyle w:val="21"/>
          <w:rFonts w:hint="eastAsia" w:cs="Arial"/>
          <w:snapToGrid w:val="0"/>
        </w:rPr>
        <w:t>更多信息</w:t>
      </w:r>
      <w:r>
        <w:tab/>
      </w:r>
      <w:r>
        <w:fldChar w:fldCharType="begin"/>
      </w:r>
      <w:r>
        <w:instrText xml:space="preserve"> PAGEREF _Toc498446552 \h </w:instrText>
      </w:r>
      <w:r>
        <w:fldChar w:fldCharType="separate"/>
      </w:r>
      <w:r>
        <w:t>48</w:t>
      </w:r>
      <w:r>
        <w:fldChar w:fldCharType="end"/>
      </w:r>
      <w:r>
        <w:fldChar w:fldCharType="end"/>
      </w:r>
    </w:p>
    <w:p w14:paraId="5D267AF0">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"_Toc498446553" </w:instrText>
      </w:r>
      <w:r>
        <w:fldChar w:fldCharType="separate"/>
      </w:r>
      <w:r>
        <w:rPr>
          <w:rStyle w:val="21"/>
          <w:rFonts w:eastAsia="Times New Roman" w:cs="Arial"/>
          <w:snapToGrid w:val="0"/>
          <w:spacing w:val="-1"/>
        </w:rPr>
        <w:t>A.</w:t>
      </w:r>
      <w:r>
        <w:rPr>
          <w:rFonts w:asciiTheme="minorHAnsi" w:hAnsiTheme="minorHAnsi" w:eastAsiaTheme="minorEastAsia"/>
          <w:b w:val="0"/>
          <w:bCs w:val="0"/>
          <w:i w:val="0"/>
          <w:kern w:val="2"/>
          <w:sz w:val="21"/>
        </w:rPr>
        <w:tab/>
      </w:r>
      <w:r>
        <w:rPr>
          <w:rStyle w:val="21"/>
          <w:rFonts w:hint="eastAsia" w:cs="Arial"/>
          <w:snapToGrid w:val="0"/>
        </w:rPr>
        <w:t>联系方式</w:t>
      </w:r>
      <w:r>
        <w:tab/>
      </w:r>
      <w:r>
        <w:fldChar w:fldCharType="begin"/>
      </w:r>
      <w:r>
        <w:instrText xml:space="preserve"> PAGEREF _Toc498446553 \h </w:instrText>
      </w:r>
      <w:r>
        <w:fldChar w:fldCharType="separate"/>
      </w:r>
      <w:r>
        <w:t>48</w:t>
      </w:r>
      <w:r>
        <w:fldChar w:fldCharType="end"/>
      </w:r>
      <w:r>
        <w:fldChar w:fldCharType="end"/>
      </w:r>
    </w:p>
    <w:p w14:paraId="284735FC">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"_Toc498446554" </w:instrText>
      </w:r>
      <w:r>
        <w:fldChar w:fldCharType="separate"/>
      </w:r>
      <w:r>
        <w:rPr>
          <w:rStyle w:val="21"/>
          <w:rFonts w:eastAsia="Times New Roman" w:cs="Arial"/>
          <w:snapToGrid w:val="0"/>
          <w:spacing w:val="-1"/>
        </w:rPr>
        <w:t>B.</w:t>
      </w:r>
      <w:r>
        <w:rPr>
          <w:rFonts w:asciiTheme="minorHAnsi" w:hAnsiTheme="minorHAnsi" w:eastAsiaTheme="minorEastAsia"/>
          <w:b w:val="0"/>
          <w:bCs w:val="0"/>
          <w:i w:val="0"/>
          <w:kern w:val="2"/>
          <w:sz w:val="21"/>
        </w:rPr>
        <w:tab/>
      </w:r>
      <w:r>
        <w:rPr>
          <w:rStyle w:val="21"/>
          <w:rFonts w:cs="Arial"/>
          <w:snapToGrid w:val="0"/>
        </w:rPr>
        <w:t>FDA</w:t>
      </w:r>
      <w:r>
        <w:rPr>
          <w:rStyle w:val="21"/>
          <w:rFonts w:hint="eastAsia" w:cs="Arial"/>
          <w:snapToGrid w:val="0"/>
        </w:rPr>
        <w:t>的网站</w:t>
      </w:r>
      <w:r>
        <w:tab/>
      </w:r>
      <w:r>
        <w:fldChar w:fldCharType="begin"/>
      </w:r>
      <w:r>
        <w:instrText xml:space="preserve"> PAGEREF _Toc498446554 \h </w:instrText>
      </w:r>
      <w:r>
        <w:fldChar w:fldCharType="separate"/>
      </w:r>
      <w:r>
        <w:t>48</w:t>
      </w:r>
      <w:r>
        <w:fldChar w:fldCharType="end"/>
      </w:r>
      <w:r>
        <w:fldChar w:fldCharType="end"/>
      </w:r>
    </w:p>
    <w:p w14:paraId="4EEED47F">
      <w:pPr>
        <w:pStyle w:val="17"/>
        <w:tabs>
          <w:tab w:val="left" w:pos="2100"/>
          <w:tab w:val="right" w:leader="dot" w:pos="9016"/>
        </w:tabs>
        <w:ind w:left="422" w:right="440" w:hanging="422"/>
        <w:rPr>
          <w:rFonts w:asciiTheme="minorHAnsi" w:hAnsiTheme="minorHAnsi" w:eastAsiaTheme="minorEastAsia"/>
          <w:b w:val="0"/>
          <w:bCs w:val="0"/>
          <w:i w:val="0"/>
          <w:kern w:val="2"/>
          <w:sz w:val="21"/>
        </w:rPr>
      </w:pPr>
      <w:r>
        <w:rPr>
          <w:rStyle w:val="21"/>
          <w:rFonts w:hint="eastAsia"/>
        </w:rPr>
        <w:t>附录</w:t>
      </w:r>
      <w:r>
        <w:rPr>
          <w:rStyle w:val="21"/>
        </w:rPr>
        <w:t>A</w:t>
      </w:r>
      <w:r>
        <w:rPr>
          <w:rStyle w:val="21"/>
          <w:rFonts w:hint="eastAsia"/>
        </w:rPr>
        <w:t>-</w:t>
      </w:r>
      <w:r>
        <w:fldChar w:fldCharType="begin"/>
      </w:r>
      <w:r>
        <w:instrText xml:space="preserve"> HYPERLINK \l "_Toc498446555" </w:instrText>
      </w:r>
      <w:r>
        <w:fldChar w:fldCharType="separate"/>
      </w:r>
      <w:r>
        <w:rPr>
          <w:rStyle w:val="21"/>
          <w:rFonts w:cs="Arial"/>
          <w:snapToGrid w:val="0"/>
        </w:rPr>
        <w:t>21 CFR 50.24</w:t>
      </w:r>
      <w:r>
        <w:rPr>
          <w:rFonts w:asciiTheme="minorHAnsi" w:hAnsiTheme="minorHAnsi" w:eastAsiaTheme="minorEastAsia"/>
          <w:b w:val="0"/>
          <w:bCs w:val="0"/>
          <w:i w:val="0"/>
          <w:kern w:val="2"/>
          <w:sz w:val="21"/>
        </w:rPr>
        <w:tab/>
      </w:r>
      <w:r>
        <w:tab/>
      </w:r>
      <w:r>
        <w:fldChar w:fldCharType="begin"/>
      </w:r>
      <w:r>
        <w:instrText xml:space="preserve"> PAGEREF _Toc498446555 \h </w:instrText>
      </w:r>
      <w:r>
        <w:fldChar w:fldCharType="separate"/>
      </w:r>
      <w:r>
        <w:t>49</w:t>
      </w:r>
      <w:r>
        <w:fldChar w:fldCharType="end"/>
      </w:r>
      <w:r>
        <w:fldChar w:fldCharType="end"/>
      </w:r>
    </w:p>
    <w:p w14:paraId="3B5ADEB5">
      <w:pPr>
        <w:pStyle w:val="17"/>
        <w:tabs>
          <w:tab w:val="left" w:pos="890"/>
          <w:tab w:val="right" w:leader="dot" w:pos="9016"/>
        </w:tabs>
        <w:ind w:left="422" w:right="440" w:hanging="422"/>
        <w:rPr>
          <w:rFonts w:asciiTheme="minorHAnsi" w:hAnsiTheme="minorHAnsi" w:eastAsiaTheme="minorEastAsia"/>
          <w:b w:val="0"/>
          <w:bCs w:val="0"/>
          <w:i w:val="0"/>
          <w:kern w:val="2"/>
          <w:sz w:val="21"/>
        </w:rPr>
      </w:pPr>
      <w:r>
        <w:rPr>
          <w:rStyle w:val="21"/>
          <w:rFonts w:hint="eastAsia"/>
        </w:rPr>
        <w:t>附录</w:t>
      </w:r>
      <w:r>
        <w:rPr>
          <w:rStyle w:val="21"/>
        </w:rPr>
        <w:t>B</w:t>
      </w:r>
      <w:r>
        <w:rPr>
          <w:rStyle w:val="21"/>
          <w:rFonts w:hint="eastAsia"/>
        </w:rPr>
        <w:t>-</w:t>
      </w:r>
      <w:r>
        <w:fldChar w:fldCharType="begin"/>
      </w:r>
      <w:r>
        <w:instrText xml:space="preserve"> HYPERLINK \l "_Toc498446556" </w:instrText>
      </w:r>
      <w:r>
        <w:fldChar w:fldCharType="separate"/>
      </w:r>
      <w:r>
        <w:rPr>
          <w:rStyle w:val="21"/>
          <w:rFonts w:hint="eastAsia" w:cs="Arial"/>
          <w:snapToGrid w:val="0"/>
        </w:rPr>
        <w:t>定义</w:t>
      </w:r>
      <w:r>
        <w:rPr>
          <w:rFonts w:asciiTheme="minorHAnsi" w:hAnsiTheme="minorHAnsi" w:eastAsiaTheme="minorEastAsia"/>
          <w:b w:val="0"/>
          <w:bCs w:val="0"/>
          <w:i w:val="0"/>
          <w:kern w:val="2"/>
          <w:sz w:val="21"/>
        </w:rPr>
        <w:tab/>
      </w:r>
      <w:r>
        <w:tab/>
      </w:r>
      <w:r>
        <w:fldChar w:fldCharType="begin"/>
      </w:r>
      <w:r>
        <w:instrText xml:space="preserve"> PAGEREF _Toc498446556 \h </w:instrText>
      </w:r>
      <w:r>
        <w:fldChar w:fldCharType="separate"/>
      </w:r>
      <w:r>
        <w:t>52</w:t>
      </w:r>
      <w:r>
        <w:fldChar w:fldCharType="end"/>
      </w:r>
      <w:r>
        <w:fldChar w:fldCharType="end"/>
      </w:r>
    </w:p>
    <w:p w14:paraId="281EA60A">
      <w:pPr>
        <w:pStyle w:val="17"/>
        <w:tabs>
          <w:tab w:val="right" w:leader="dot" w:pos="9016"/>
        </w:tabs>
        <w:ind w:left="422" w:right="440" w:hanging="422"/>
        <w:rPr>
          <w:rFonts w:asciiTheme="minorHAnsi" w:hAnsiTheme="minorHAnsi" w:eastAsiaTheme="minorEastAsia"/>
          <w:b w:val="0"/>
          <w:bCs w:val="0"/>
          <w:i w:val="0"/>
          <w:kern w:val="2"/>
          <w:sz w:val="21"/>
        </w:rPr>
      </w:pPr>
      <w:r>
        <w:fldChar w:fldCharType="begin"/>
      </w:r>
      <w:r>
        <w:instrText xml:space="preserve"> HYPERLINK \l "_Toc498446557" </w:instrText>
      </w:r>
      <w:r>
        <w:fldChar w:fldCharType="separate"/>
      </w:r>
      <w:r>
        <w:rPr>
          <w:rStyle w:val="21"/>
          <w:rFonts w:hint="eastAsia" w:cs="Arial"/>
          <w:snapToGrid w:val="0"/>
        </w:rPr>
        <w:t>附录</w:t>
      </w:r>
      <w:r>
        <w:rPr>
          <w:rStyle w:val="21"/>
          <w:rFonts w:cs="Arial"/>
          <w:snapToGrid w:val="0"/>
        </w:rPr>
        <w:t>C</w:t>
      </w:r>
      <w:r>
        <w:rPr>
          <w:rStyle w:val="21"/>
          <w:rFonts w:hint="eastAsia" w:cs="Arial"/>
          <w:snapToGrid w:val="0"/>
        </w:rPr>
        <w:t>-</w:t>
      </w:r>
      <w:r>
        <w:rPr>
          <w:rStyle w:val="21"/>
          <w:rFonts w:cs="Arial"/>
          <w:snapToGrid w:val="0"/>
        </w:rPr>
        <w:t>50.24</w:t>
      </w:r>
      <w:r>
        <w:rPr>
          <w:rStyle w:val="21"/>
          <w:rFonts w:hint="eastAsia" w:cs="Arial"/>
          <w:snapToGrid w:val="0"/>
        </w:rPr>
        <w:t>研究的建议流程图</w:t>
      </w:r>
      <w:r>
        <w:tab/>
      </w:r>
      <w:r>
        <w:fldChar w:fldCharType="begin"/>
      </w:r>
      <w:r>
        <w:instrText xml:space="preserve"> PAGEREF _Toc498446557 \h </w:instrText>
      </w:r>
      <w:r>
        <w:fldChar w:fldCharType="separate"/>
      </w:r>
      <w:r>
        <w:t>54</w:t>
      </w:r>
      <w:r>
        <w:fldChar w:fldCharType="end"/>
      </w:r>
      <w:r>
        <w:fldChar w:fldCharType="end"/>
      </w:r>
    </w:p>
    <w:p w14:paraId="3AD490C5">
      <w:pPr>
        <w:pStyle w:val="17"/>
        <w:tabs>
          <w:tab w:val="right" w:leader="dot" w:pos="9016"/>
        </w:tabs>
        <w:ind w:left="368" w:right="440" w:hanging="368"/>
        <w:rPr>
          <w:rFonts w:asciiTheme="minorHAnsi" w:hAnsiTheme="minorHAnsi" w:eastAsiaTheme="minorEastAsia"/>
          <w:b w:val="0"/>
          <w:bCs w:val="0"/>
          <w:i w:val="0"/>
          <w:kern w:val="2"/>
          <w:sz w:val="21"/>
        </w:rPr>
      </w:pPr>
    </w:p>
    <w:p w14:paraId="7B027D48">
      <w:pPr>
        <w:topLinePunct/>
        <w:adjustRightInd w:val="0"/>
        <w:snapToGrid w:val="0"/>
        <w:spacing w:before="104" w:beforeLines="35" w:after="224" w:afterLines="75" w:line="300" w:lineRule="auto"/>
        <w:jc w:val="both"/>
        <w:rPr>
          <w:rFonts w:ascii="Arial" w:hAnsi="Arial" w:eastAsia="宋体" w:cs="Arial"/>
          <w:snapToGrid w:val="0"/>
          <w:sz w:val="24"/>
          <w:szCs w:val="24"/>
        </w:rPr>
      </w:pPr>
      <w:r>
        <w:rPr>
          <w:rFonts w:ascii="Arial" w:hAnsi="Arial" w:eastAsia="宋体" w:cs="Arial"/>
          <w:i/>
          <w:snapToGrid w:val="0"/>
          <w:sz w:val="24"/>
          <w:szCs w:val="24"/>
        </w:rPr>
        <w:fldChar w:fldCharType="end"/>
      </w:r>
    </w:p>
    <w:p w14:paraId="7569F118">
      <w:pPr>
        <w:pStyle w:val="2"/>
        <w:topLinePunct/>
        <w:adjustRightInd w:val="0"/>
        <w:snapToGrid w:val="0"/>
        <w:spacing w:line="300" w:lineRule="auto"/>
        <w:ind w:left="0"/>
        <w:jc w:val="center"/>
        <w:rPr>
          <w:rFonts w:ascii="Arial" w:hAnsi="Arial" w:cs="Arial"/>
          <w:snapToGrid w:val="0"/>
          <w:sz w:val="24"/>
          <w:szCs w:val="24"/>
        </w:rPr>
        <w:sectPr>
          <w:headerReference r:id="rId4" w:type="default"/>
          <w:footerReference r:id="rId5" w:type="default"/>
          <w:pgSz w:w="11906" w:h="16838"/>
          <w:pgMar w:top="1134" w:right="1440" w:bottom="1134" w:left="1440" w:header="720" w:footer="720" w:gutter="0"/>
          <w:cols w:space="720" w:num="1"/>
          <w:docGrid w:type="lines" w:linePitch="299" w:charSpace="0"/>
        </w:sectPr>
      </w:pPr>
    </w:p>
    <w:p w14:paraId="28CFE3FB">
      <w:pPr>
        <w:pStyle w:val="2"/>
        <w:topLinePunct/>
        <w:adjustRightInd w:val="0"/>
        <w:snapToGrid w:val="0"/>
        <w:spacing w:line="300" w:lineRule="auto"/>
        <w:ind w:left="0"/>
        <w:jc w:val="center"/>
        <w:rPr>
          <w:rFonts w:ascii="Arial" w:hAnsi="Arial" w:cs="Arial"/>
          <w:b w:val="0"/>
          <w:bCs w:val="0"/>
          <w:snapToGrid w:val="0"/>
          <w:szCs w:val="24"/>
        </w:rPr>
      </w:pPr>
      <w:bookmarkStart w:id="1" w:name="_bookmark2"/>
      <w:bookmarkEnd w:id="1"/>
      <w:bookmarkStart w:id="2" w:name="_Toc498200684"/>
      <w:bookmarkStart w:id="3" w:name="_Toc498446421"/>
      <w:r>
        <w:rPr>
          <w:rFonts w:ascii="Arial" w:hAnsi="Arial" w:cs="Arial"/>
          <w:snapToGrid w:val="0"/>
          <w:szCs w:val="24"/>
        </w:rPr>
        <w:t>机构审查委员会、临床研究者和申办方指南</w:t>
      </w:r>
      <w:bookmarkEnd w:id="2"/>
      <w:r>
        <w:rPr>
          <w:rStyle w:val="22"/>
          <w:rFonts w:ascii="Arial" w:hAnsi="Arial" w:cs="Arial"/>
          <w:snapToGrid w:val="0"/>
          <w:szCs w:val="24"/>
        </w:rPr>
        <w:footnoteReference w:id="0"/>
      </w:r>
      <w:bookmarkEnd w:id="3"/>
    </w:p>
    <w:p w14:paraId="22687F98">
      <w:pPr>
        <w:topLinePunct/>
        <w:adjustRightInd w:val="0"/>
        <w:snapToGrid w:val="0"/>
        <w:spacing w:after="224" w:afterLines="75" w:line="300" w:lineRule="auto"/>
        <w:jc w:val="center"/>
        <w:rPr>
          <w:rFonts w:ascii="Arial" w:hAnsi="Arial" w:eastAsia="宋体" w:cs="Arial"/>
          <w:snapToGrid w:val="0"/>
          <w:sz w:val="32"/>
          <w:szCs w:val="24"/>
        </w:rPr>
      </w:pPr>
      <w:r>
        <w:rPr>
          <w:rFonts w:ascii="Arial" w:hAnsi="Arial" w:eastAsia="宋体" w:cs="Arial"/>
          <w:b/>
          <w:snapToGrid w:val="0"/>
          <w:sz w:val="32"/>
          <w:szCs w:val="24"/>
        </w:rPr>
        <w:t>紧急研究豁免知情同意要求</w:t>
      </w:r>
    </w:p>
    <w:p w14:paraId="7BF52945">
      <w:pPr>
        <w:pBdr>
          <w:top w:val="thinThickSmallGap" w:color="auto" w:sz="24" w:space="1"/>
          <w:left w:val="thinThickSmallGap" w:color="auto" w:sz="24" w:space="4"/>
          <w:bottom w:val="thickThinSmallGap" w:color="auto" w:sz="24" w:space="1"/>
          <w:right w:val="thickThinSmallGap" w:color="auto" w:sz="24" w:space="4"/>
        </w:pBdr>
        <w:topLinePunct/>
        <w:adjustRightInd w:val="0"/>
        <w:snapToGrid w:val="0"/>
        <w:spacing w:after="224" w:afterLines="75" w:line="300" w:lineRule="auto"/>
        <w:jc w:val="both"/>
        <w:rPr>
          <w:rFonts w:ascii="Arial" w:hAnsi="Arial" w:eastAsia="宋体" w:cs="Arial"/>
          <w:snapToGrid w:val="0"/>
          <w:sz w:val="24"/>
          <w:szCs w:val="24"/>
        </w:rPr>
      </w:pPr>
      <w:r>
        <w:rPr>
          <w:rFonts w:hint="eastAsia" w:ascii="Arial" w:hAnsi="Arial" w:eastAsia="宋体" w:cs="Arial"/>
          <w:snapToGrid w:val="0"/>
          <w:sz w:val="24"/>
          <w:szCs w:val="24"/>
        </w:rPr>
        <w:t>本指南代表食品药品监督管理局（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p w14:paraId="4E742A5E">
      <w:pPr>
        <w:pStyle w:val="6"/>
        <w:topLinePunct/>
        <w:adjustRightInd w:val="0"/>
        <w:snapToGrid w:val="0"/>
        <w:spacing w:after="224" w:afterLines="75" w:line="300" w:lineRule="auto"/>
        <w:ind w:left="0"/>
        <w:jc w:val="both"/>
        <w:rPr>
          <w:rFonts w:ascii="Arial" w:hAnsi="Arial" w:cs="Arial"/>
          <w:snapToGrid w:val="0"/>
        </w:rPr>
      </w:pPr>
    </w:p>
    <w:p w14:paraId="524F5F7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本指南旨在协助机构审查委员会（IRB）、临床研究者和申办方开发、进行和监督研究，确定FDA监管产品（例如药品，包括生物制药产品，</w:t>
      </w:r>
      <w:r>
        <w:rPr>
          <w:rStyle w:val="22"/>
          <w:rFonts w:ascii="Arial" w:hAnsi="Arial" w:cs="Arial"/>
          <w:snapToGrid w:val="0"/>
        </w:rPr>
        <w:footnoteReference w:id="1"/>
      </w:r>
      <w:r>
        <w:rPr>
          <w:rFonts w:ascii="Arial" w:hAnsi="Arial" w:cs="Arial"/>
          <w:snapToGrid w:val="0"/>
        </w:rPr>
        <w:t>器械）在紧急情况下的安全性和有效性，其中，在此类情况下，可以根据联邦法规第21章第50.24条（21 CFR 50.24）要求豁免知情同意要求。本指南使用术语</w:t>
      </w:r>
      <w:r>
        <w:rPr>
          <w:rFonts w:ascii="宋体" w:hAnsi="宋体" w:cs="Arial"/>
          <w:snapToGrid w:val="0"/>
        </w:rPr>
        <w:t>“</w:t>
      </w:r>
      <w:r>
        <w:rPr>
          <w:rFonts w:ascii="Arial" w:hAnsi="Arial" w:cs="Arial"/>
          <w:snapToGrid w:val="0"/>
        </w:rPr>
        <w:t>紧急研究</w:t>
      </w:r>
      <w:r>
        <w:rPr>
          <w:rFonts w:ascii="宋体" w:hAnsi="宋体" w:cs="Arial"/>
          <w:snapToGrid w:val="0"/>
        </w:rPr>
        <w:t>”</w:t>
      </w:r>
      <w:r>
        <w:rPr>
          <w:rFonts w:ascii="Arial" w:hAnsi="Arial" w:cs="Arial"/>
          <w:snapToGrid w:val="0"/>
        </w:rPr>
        <w:t>来指代此类研究。此类研究一般涉及具有致命性医疗状况，因此需要进行紧急干预的受试者（可用治疗方法未经证实或无法令人满意），以及由于其病症（例如创伤性脑损伤）而无法提供知情同意的受试者。研究必须可对患者产生直接收益，必须涉及研究性产品，其中，要使此类产品有效，必须在可以获得受试者或受试者法定授权代表的知情同意之前进行施用，并且无法以合理方式前瞻性地确定可能有资格参与研究的个体。本指南确定了2006年7月发布的指导性文件草案</w:t>
      </w:r>
      <w:r>
        <w:rPr>
          <w:rFonts w:ascii="宋体" w:hAnsi="宋体" w:cs="Arial"/>
          <w:snapToGrid w:val="0"/>
        </w:rPr>
        <w:t>“</w:t>
      </w:r>
      <w:r>
        <w:rPr>
          <w:rFonts w:ascii="Arial" w:hAnsi="Arial" w:cs="Arial"/>
          <w:snapToGrid w:val="0"/>
        </w:rPr>
        <w:t>机构审查委员会、临床研究者和申办方指南：紧急研究豁免知情同意要求</w:t>
      </w:r>
      <w:r>
        <w:rPr>
          <w:rFonts w:ascii="宋体" w:hAnsi="宋体" w:cs="Arial"/>
          <w:snapToGrid w:val="0"/>
        </w:rPr>
        <w:t>”</w:t>
      </w:r>
      <w:r>
        <w:rPr>
          <w:rFonts w:ascii="Arial" w:hAnsi="Arial" w:cs="Arial"/>
          <w:snapToGrid w:val="0"/>
        </w:rPr>
        <w:t>（2006年8月29日发布）。</w:t>
      </w:r>
      <w:r>
        <w:rPr>
          <w:rStyle w:val="22"/>
          <w:rFonts w:ascii="Arial" w:hAnsi="Arial" w:cs="Arial"/>
          <w:snapToGrid w:val="0"/>
        </w:rPr>
        <w:footnoteReference w:id="2"/>
      </w:r>
    </w:p>
    <w:p w14:paraId="2896501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FDA指导性文件，包括本指南</w:t>
      </w:r>
      <w:r>
        <w:rPr>
          <w:rFonts w:hint="eastAsia" w:ascii="Arial" w:hAnsi="Arial" w:cs="Arial"/>
          <w:snapToGrid w:val="0"/>
        </w:rPr>
        <w:t>在内</w:t>
      </w:r>
      <w:r>
        <w:rPr>
          <w:rFonts w:ascii="Arial" w:hAnsi="Arial" w:cs="Arial"/>
          <w:snapToGrid w:val="0"/>
        </w:rPr>
        <w:t>，不构成具有法律强制力的责任。相反，指导性文件表明了本机构对某一主题的最新见解，除非引用具体的法规或法律要求，否则只应视为建议。在本审查机构指导性文件中使用词语</w:t>
      </w:r>
      <w:r>
        <w:rPr>
          <w:rFonts w:ascii="宋体" w:hAnsi="宋体" w:cs="Arial"/>
          <w:snapToGrid w:val="0"/>
        </w:rPr>
        <w:t>“</w:t>
      </w:r>
      <w:r>
        <w:rPr>
          <w:rFonts w:ascii="Arial" w:hAnsi="Arial" w:cs="Arial"/>
          <w:snapToGrid w:val="0"/>
        </w:rPr>
        <w:t>应</w:t>
      </w:r>
      <w:r>
        <w:rPr>
          <w:rFonts w:ascii="宋体" w:hAnsi="宋体" w:cs="Arial"/>
          <w:snapToGrid w:val="0"/>
        </w:rPr>
        <w:t>”</w:t>
      </w:r>
      <w:r>
        <w:rPr>
          <w:rFonts w:ascii="Arial" w:hAnsi="Arial" w:cs="Arial"/>
          <w:snapToGrid w:val="0"/>
        </w:rPr>
        <w:t>是指建议或推荐进行某一事项，并非强制要求。</w:t>
      </w:r>
    </w:p>
    <w:p w14:paraId="266839BA">
      <w:pPr>
        <w:rPr>
          <w:rFonts w:ascii="Arial" w:hAnsi="Arial" w:eastAsia="宋体" w:cs="Arial"/>
          <w:b/>
          <w:bCs/>
          <w:snapToGrid w:val="0"/>
          <w:sz w:val="24"/>
          <w:szCs w:val="24"/>
        </w:rPr>
      </w:pPr>
      <w:bookmarkStart w:id="4" w:name="_bookmark3"/>
      <w:bookmarkEnd w:id="4"/>
      <w:bookmarkStart w:id="5" w:name="I.__GENERAL"/>
      <w:bookmarkEnd w:id="5"/>
      <w:bookmarkStart w:id="6" w:name="1.__Where_are_the_regulations_involving_"/>
      <w:bookmarkEnd w:id="6"/>
      <w:bookmarkStart w:id="7" w:name="_bookmark6"/>
      <w:bookmarkEnd w:id="7"/>
      <w:bookmarkStart w:id="8" w:name="_bookmark5"/>
      <w:bookmarkEnd w:id="8"/>
      <w:bookmarkStart w:id="9" w:name="_Toc498200685"/>
      <w:r>
        <w:rPr>
          <w:rFonts w:ascii="Arial" w:hAnsi="Arial" w:cs="Arial"/>
          <w:snapToGrid w:val="0"/>
        </w:rPr>
        <w:br w:type="page"/>
      </w:r>
    </w:p>
    <w:p w14:paraId="47B14D53">
      <w:pPr>
        <w:pStyle w:val="3"/>
        <w:numPr>
          <w:ilvl w:val="0"/>
          <w:numId w:val="2"/>
        </w:numPr>
        <w:tabs>
          <w:tab w:val="left" w:pos="374"/>
        </w:tabs>
        <w:topLinePunct/>
        <w:adjustRightInd w:val="0"/>
        <w:snapToGrid w:val="0"/>
        <w:spacing w:after="224" w:afterLines="75" w:line="300" w:lineRule="auto"/>
        <w:ind w:left="0" w:firstLine="0"/>
        <w:jc w:val="both"/>
        <w:rPr>
          <w:rFonts w:ascii="Arial" w:hAnsi="Arial" w:cs="Arial"/>
          <w:b w:val="0"/>
          <w:bCs w:val="0"/>
          <w:snapToGrid w:val="0"/>
          <w:sz w:val="28"/>
        </w:rPr>
      </w:pPr>
      <w:bookmarkStart w:id="10" w:name="_Toc498446422"/>
      <w:r>
        <w:rPr>
          <w:rFonts w:ascii="Arial" w:hAnsi="Arial" w:cs="Arial"/>
          <w:snapToGrid w:val="0"/>
          <w:sz w:val="28"/>
        </w:rPr>
        <w:t>概述</w:t>
      </w:r>
      <w:bookmarkEnd w:id="9"/>
      <w:bookmarkEnd w:id="10"/>
    </w:p>
    <w:p w14:paraId="30FA5973">
      <w:pPr>
        <w:pStyle w:val="4"/>
        <w:numPr>
          <w:ilvl w:val="1"/>
          <w:numId w:val="2"/>
        </w:numPr>
        <w:tabs>
          <w:tab w:val="left" w:pos="401"/>
        </w:tabs>
        <w:topLinePunct/>
        <w:adjustRightInd w:val="0"/>
        <w:snapToGrid w:val="0"/>
        <w:spacing w:after="224" w:afterLines="75" w:line="300" w:lineRule="auto"/>
        <w:ind w:left="0" w:firstLine="0"/>
        <w:jc w:val="both"/>
        <w:rPr>
          <w:rFonts w:ascii="Arial" w:hAnsi="Arial" w:cs="Arial"/>
          <w:b w:val="0"/>
          <w:bCs w:val="0"/>
          <w:i w:val="0"/>
          <w:snapToGrid w:val="0"/>
        </w:rPr>
      </w:pPr>
      <w:bookmarkStart w:id="11" w:name="_bookmark7"/>
      <w:bookmarkEnd w:id="11"/>
      <w:bookmarkStart w:id="12" w:name="_Toc498446423"/>
      <w:bookmarkStart w:id="13" w:name="_Toc498200686"/>
      <w:r>
        <w:rPr>
          <w:rFonts w:ascii="Arial" w:hAnsi="Arial" w:cs="Arial"/>
          <w:snapToGrid w:val="0"/>
        </w:rPr>
        <w:t>可以在那里找到有关紧急研究豁免知情同意的法规？</w:t>
      </w:r>
      <w:bookmarkEnd w:id="12"/>
      <w:bookmarkEnd w:id="13"/>
    </w:p>
    <w:p w14:paraId="1A416EE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21 CFR 50.24的法规以及21 CFR第56、312、314、601、812和814部分所载合格修正案允许在特定情况下豁免此要求，即在参与紧急研究之前，研究者应获得每例受试者或受试者法定授权代表的知情同意。此类法规还为参与此类研究的受试者提供附加保护。例如，法规要求在开始临床研究之前，应咨询临床研究以及受试者所在社区的代表并向其公开披露相关信息。法规还要求，在完成临床研究后，应公开披露足够的信息，以便社区和研究者进行了解。此外，此类法规要求建立独立数据监测委员会来监督临床研究。（有关21 CFR 50.24的文本，请参见附录A）</w:t>
      </w:r>
    </w:p>
    <w:p w14:paraId="0D2D3AFE">
      <w:pPr>
        <w:pStyle w:val="4"/>
        <w:numPr>
          <w:ilvl w:val="1"/>
          <w:numId w:val="2"/>
        </w:numPr>
        <w:tabs>
          <w:tab w:val="left" w:pos="400"/>
        </w:tabs>
        <w:topLinePunct/>
        <w:adjustRightInd w:val="0"/>
        <w:snapToGrid w:val="0"/>
        <w:spacing w:after="224" w:afterLines="75" w:line="300" w:lineRule="auto"/>
        <w:ind w:left="0" w:firstLine="0"/>
        <w:jc w:val="both"/>
        <w:rPr>
          <w:rFonts w:ascii="Arial" w:hAnsi="Arial" w:cs="Arial"/>
          <w:b w:val="0"/>
          <w:bCs w:val="0"/>
          <w:i w:val="0"/>
          <w:snapToGrid w:val="0"/>
        </w:rPr>
      </w:pPr>
      <w:bookmarkStart w:id="14" w:name="2.__Why_did_FDA_issue_the_regulations_at"/>
      <w:bookmarkEnd w:id="14"/>
      <w:bookmarkStart w:id="15" w:name="_bookmark8"/>
      <w:bookmarkEnd w:id="15"/>
      <w:bookmarkStart w:id="16" w:name="_Toc498446424"/>
      <w:bookmarkStart w:id="17" w:name="_Toc498200687"/>
      <w:r>
        <w:rPr>
          <w:rFonts w:ascii="Arial" w:hAnsi="Arial" w:cs="Arial"/>
          <w:snapToGrid w:val="0"/>
        </w:rPr>
        <w:t>FDA为什么在21 CFR 50.24中发布该法规</w:t>
      </w:r>
      <w:r>
        <w:rPr>
          <w:rFonts w:hint="eastAsia" w:ascii="Arial" w:hAnsi="Arial" w:cs="Arial"/>
          <w:snapToGrid w:val="0"/>
        </w:rPr>
        <w:t>？</w:t>
      </w:r>
      <w:bookmarkEnd w:id="16"/>
      <w:bookmarkEnd w:id="17"/>
    </w:p>
    <w:p w14:paraId="0A7EBA4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FDA在21 CFR 50.24中发布了此类法规，旨在允许根据联邦食品、药品和化妆品法案（FD&amp;C法案）研究可能治疗和致命性病症的治疗改进，其中，由于现行治疗未经验证或无法令人满意，因此进行此类改进以期改善患者结局。</w:t>
      </w:r>
    </w:p>
    <w:p w14:paraId="1310679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由于在研究无法提供同意的受试者会引起伦理问题，尽管大多数药物疗法已成为紧急情况下可以使用的标准和公认疗法，但其尚未通过充分和良好对照的试验进行评价，证明治疗具有安全性或有效性。受控的临床试验随后证明，一些疗法虽然已成为标准医疗实践，但并不具有有效性或甚至可能造成损害。其他标准疗法虽然在临床试验中证明有效，但仍然具有明显限制（例如，其仅在一小部分接受此类疗法的个体中起作用）。FDA希望，允许进行某些紧急研究试验将会（1）为处于危及生命处境的个体提供潜在的救生疗法；（2）通过收集有效性和安全性相关信息，增进知识；以及（3）改善目前在紧急医疗情况下使用，但临床结局不良的疗法。</w:t>
      </w:r>
    </w:p>
    <w:p w14:paraId="2F39BCF5">
      <w:pPr>
        <w:pStyle w:val="4"/>
        <w:numPr>
          <w:ilvl w:val="1"/>
          <w:numId w:val="2"/>
        </w:numPr>
        <w:tabs>
          <w:tab w:val="left" w:pos="401"/>
        </w:tabs>
        <w:topLinePunct/>
        <w:adjustRightInd w:val="0"/>
        <w:snapToGrid w:val="0"/>
        <w:spacing w:after="224" w:afterLines="75" w:line="300" w:lineRule="auto"/>
        <w:ind w:left="0" w:firstLine="0"/>
        <w:jc w:val="both"/>
        <w:rPr>
          <w:rFonts w:ascii="Arial" w:hAnsi="Arial" w:cs="Arial"/>
          <w:b w:val="0"/>
          <w:bCs w:val="0"/>
          <w:i w:val="0"/>
          <w:snapToGrid w:val="0"/>
        </w:rPr>
      </w:pPr>
      <w:bookmarkStart w:id="18" w:name="3.__How_are_emergency_research_studies_u"/>
      <w:bookmarkEnd w:id="18"/>
      <w:bookmarkStart w:id="19" w:name="_bookmark9"/>
      <w:bookmarkEnd w:id="19"/>
      <w:bookmarkStart w:id="20" w:name="_Toc498446425"/>
      <w:bookmarkStart w:id="21" w:name="_Toc498200688"/>
      <w:r>
        <w:rPr>
          <w:rFonts w:ascii="Arial" w:hAnsi="Arial" w:cs="Arial"/>
          <w:snapToGrid w:val="0"/>
        </w:rPr>
        <w:t>紧急研究为什么具有特殊性？</w:t>
      </w:r>
      <w:bookmarkEnd w:id="20"/>
      <w:bookmarkEnd w:id="21"/>
    </w:p>
    <w:p w14:paraId="4D2B391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紧急研究一般涉及弱势研究对象人群（即无法控制其遭遇的事情以及无法同意的人群），且其中涉及的紧急情况需要及时采取行动，通常没有足够的时间和机会来确定和获得每例受试者法定授权代表的同意。为了保护此类弱势受试者，21 CFR 50.24要求参与此类研究的各方（包括申办方、临床研究者和IRB）承担附加责任。</w:t>
      </w:r>
    </w:p>
    <w:p w14:paraId="06D7F834">
      <w:pPr>
        <w:pStyle w:val="4"/>
        <w:numPr>
          <w:ilvl w:val="1"/>
          <w:numId w:val="2"/>
        </w:numPr>
        <w:tabs>
          <w:tab w:val="left" w:pos="400"/>
        </w:tabs>
        <w:topLinePunct/>
        <w:adjustRightInd w:val="0"/>
        <w:snapToGrid w:val="0"/>
        <w:spacing w:after="224" w:afterLines="75" w:line="300" w:lineRule="auto"/>
        <w:ind w:left="0" w:firstLine="0"/>
        <w:jc w:val="both"/>
        <w:rPr>
          <w:rFonts w:ascii="Arial" w:hAnsi="Arial" w:cs="Arial"/>
          <w:b w:val="0"/>
          <w:bCs w:val="0"/>
          <w:i w:val="0"/>
          <w:snapToGrid w:val="0"/>
        </w:rPr>
      </w:pPr>
      <w:bookmarkStart w:id="22" w:name="_bookmark10"/>
      <w:bookmarkEnd w:id="22"/>
      <w:bookmarkStart w:id="23" w:name="4.__What_are_the_additional_responsibili"/>
      <w:bookmarkEnd w:id="23"/>
      <w:bookmarkStart w:id="24" w:name="_Toc498446426"/>
      <w:bookmarkStart w:id="25" w:name="_Toc498200689"/>
      <w:r>
        <w:rPr>
          <w:rFonts w:ascii="Arial" w:hAnsi="Arial" w:cs="Arial"/>
          <w:snapToGrid w:val="0"/>
        </w:rPr>
        <w:t>根据21 CFR 50.24进行研究的各方</w:t>
      </w:r>
      <w:r>
        <w:rPr>
          <w:rFonts w:hint="eastAsia" w:ascii="Arial" w:hAnsi="Arial" w:cs="Arial"/>
          <w:snapToGrid w:val="0"/>
        </w:rPr>
        <w:t>有什么</w:t>
      </w:r>
      <w:r>
        <w:rPr>
          <w:rFonts w:ascii="Arial" w:hAnsi="Arial" w:cs="Arial"/>
          <w:snapToGrid w:val="0"/>
        </w:rPr>
        <w:t>附加责任？</w:t>
      </w:r>
      <w:bookmarkEnd w:id="24"/>
      <w:bookmarkEnd w:id="25"/>
    </w:p>
    <w:p w14:paraId="154E958C">
      <w:pPr>
        <w:rPr>
          <w:rFonts w:ascii="Arial" w:hAnsi="Arial" w:eastAsia="宋体" w:cs="Arial"/>
          <w:snapToGrid w:val="0"/>
          <w:sz w:val="24"/>
          <w:szCs w:val="24"/>
        </w:rPr>
      </w:pPr>
      <w:r>
        <w:rPr>
          <w:rFonts w:ascii="Arial" w:hAnsi="Arial" w:cs="Arial"/>
          <w:snapToGrid w:val="0"/>
        </w:rPr>
        <w:br w:type="page"/>
      </w:r>
    </w:p>
    <w:p w14:paraId="7F561E6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此类附加责任包括咨询临床研究以及受试者所在社区的代表；在研究开始之前公开披露信息；在研究完成之后，研究者承诺尝试找到受试者的合法授权代表或联系其家庭成员，确定该家庭成员是否反对受试者参与研究；以及建立独立数据监测委员会来监督研究（有关21 CFR 50.24的文本，请参见附录A）。</w:t>
      </w:r>
    </w:p>
    <w:p w14:paraId="13567E02">
      <w:pPr>
        <w:pStyle w:val="4"/>
        <w:numPr>
          <w:ilvl w:val="1"/>
          <w:numId w:val="2"/>
        </w:numPr>
        <w:tabs>
          <w:tab w:val="left" w:pos="421"/>
        </w:tabs>
        <w:topLinePunct/>
        <w:adjustRightInd w:val="0"/>
        <w:snapToGrid w:val="0"/>
        <w:spacing w:after="224" w:afterLines="75" w:line="300" w:lineRule="auto"/>
        <w:ind w:left="0" w:firstLine="0"/>
        <w:jc w:val="both"/>
        <w:rPr>
          <w:rFonts w:ascii="Arial" w:hAnsi="Arial" w:cs="Arial"/>
          <w:b w:val="0"/>
          <w:bCs w:val="0"/>
          <w:i w:val="0"/>
          <w:snapToGrid w:val="0"/>
        </w:rPr>
      </w:pPr>
      <w:bookmarkStart w:id="26" w:name="5.__When_did_the_emergency_research_regu"/>
      <w:bookmarkEnd w:id="26"/>
      <w:bookmarkStart w:id="27" w:name="_bookmark11"/>
      <w:bookmarkEnd w:id="27"/>
      <w:bookmarkStart w:id="28" w:name="_Toc498200690"/>
      <w:bookmarkStart w:id="29" w:name="_Toc498446427"/>
      <w:r>
        <w:rPr>
          <w:rFonts w:ascii="Arial" w:hAnsi="Arial" w:cs="Arial"/>
          <w:snapToGrid w:val="0"/>
        </w:rPr>
        <w:t>紧急研究法规何时生效？</w:t>
      </w:r>
      <w:bookmarkEnd w:id="28"/>
      <w:bookmarkEnd w:id="29"/>
    </w:p>
    <w:p w14:paraId="6B320E3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紧急研究法规自1996年11月1日起生效。</w:t>
      </w:r>
      <w:r>
        <w:rPr>
          <w:rStyle w:val="22"/>
          <w:rFonts w:ascii="Arial" w:hAnsi="Arial" w:cs="Arial"/>
          <w:snapToGrid w:val="0"/>
        </w:rPr>
        <w:footnoteReference w:id="3"/>
      </w:r>
    </w:p>
    <w:p w14:paraId="490D36F8">
      <w:pPr>
        <w:pStyle w:val="4"/>
        <w:numPr>
          <w:ilvl w:val="1"/>
          <w:numId w:val="2"/>
        </w:numPr>
        <w:tabs>
          <w:tab w:val="left" w:pos="420"/>
        </w:tabs>
        <w:topLinePunct/>
        <w:adjustRightInd w:val="0"/>
        <w:snapToGrid w:val="0"/>
        <w:spacing w:after="224" w:afterLines="75" w:line="300" w:lineRule="auto"/>
        <w:ind w:left="0" w:firstLine="0"/>
        <w:jc w:val="both"/>
        <w:rPr>
          <w:rFonts w:ascii="Arial" w:hAnsi="Arial" w:cs="Arial"/>
          <w:b w:val="0"/>
          <w:bCs w:val="0"/>
          <w:i w:val="0"/>
          <w:snapToGrid w:val="0"/>
        </w:rPr>
      </w:pPr>
      <w:bookmarkStart w:id="30" w:name="_bookmark12"/>
      <w:bookmarkEnd w:id="30"/>
      <w:bookmarkStart w:id="31" w:name="6.__Why_did_FDA_issue_this_guidance?"/>
      <w:bookmarkEnd w:id="31"/>
      <w:bookmarkStart w:id="32" w:name="_Toc498200691"/>
      <w:bookmarkStart w:id="33" w:name="_Toc498446428"/>
      <w:r>
        <w:rPr>
          <w:rFonts w:ascii="Arial" w:hAnsi="Arial" w:cs="Arial"/>
          <w:snapToGrid w:val="0"/>
        </w:rPr>
        <w:t>FDA为什么发布此指南</w:t>
      </w:r>
      <w:r>
        <w:rPr>
          <w:rFonts w:hint="eastAsia" w:ascii="Arial" w:hAnsi="Arial" w:cs="Arial"/>
          <w:snapToGrid w:val="0"/>
        </w:rPr>
        <w:t>？</w:t>
      </w:r>
      <w:bookmarkEnd w:id="32"/>
      <w:bookmarkEnd w:id="33"/>
    </w:p>
    <w:p w14:paraId="4CC6799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FDA确定，需要提供指导，以协助申办方、IRB和临床研究者解释和遵守此类法规，特别是在规划和进行社区咨询和公开披露活动，以及建立知情同意程序（如果可行）方面。</w:t>
      </w:r>
      <w:r>
        <w:rPr>
          <w:rStyle w:val="22"/>
          <w:rFonts w:ascii="Arial" w:hAnsi="Arial" w:cs="Arial"/>
          <w:snapToGrid w:val="0"/>
        </w:rPr>
        <w:footnoteReference w:id="4"/>
      </w:r>
      <w:r>
        <w:rPr>
          <w:rFonts w:ascii="Arial" w:hAnsi="Arial" w:cs="Arial"/>
          <w:snapToGrid w:val="0"/>
        </w:rPr>
        <w:t>本文档还提供了有关紧急研究法规其他方面的指导，例如征得执业医师同意、使用数据监测委员会、使用独立IRB以及记录旨在联系受试者法定授权代表或家庭成员，确定其是否反对受试者参与研究的工作等要求。</w:t>
      </w:r>
    </w:p>
    <w:p w14:paraId="7D82D44E">
      <w:pPr>
        <w:pStyle w:val="4"/>
        <w:numPr>
          <w:ilvl w:val="1"/>
          <w:numId w:val="2"/>
        </w:numPr>
        <w:tabs>
          <w:tab w:val="left" w:pos="421"/>
        </w:tabs>
        <w:topLinePunct/>
        <w:adjustRightInd w:val="0"/>
        <w:snapToGrid w:val="0"/>
        <w:spacing w:after="224" w:afterLines="75" w:line="300" w:lineRule="auto"/>
        <w:ind w:left="0" w:firstLine="0"/>
        <w:jc w:val="both"/>
        <w:rPr>
          <w:rFonts w:ascii="Arial" w:hAnsi="Arial" w:cs="Arial"/>
          <w:b w:val="0"/>
          <w:bCs w:val="0"/>
          <w:i w:val="0"/>
          <w:snapToGrid w:val="0"/>
        </w:rPr>
      </w:pPr>
      <w:bookmarkStart w:id="34" w:name="_bookmark13"/>
      <w:bookmarkEnd w:id="34"/>
      <w:bookmarkStart w:id="35" w:name="7.__What_must_the_IRB_find_and_document_"/>
      <w:bookmarkEnd w:id="35"/>
      <w:bookmarkStart w:id="36" w:name="_Toc498200692"/>
      <w:bookmarkStart w:id="37" w:name="_Toc498446429"/>
      <w:r>
        <w:rPr>
          <w:rFonts w:ascii="Arial" w:hAnsi="Arial" w:cs="Arial"/>
          <w:snapToGrid w:val="0"/>
        </w:rPr>
        <w:t>可以继续进行已豁免知情同意的研究前，IRB需要确定和</w:t>
      </w:r>
      <w:r>
        <w:rPr>
          <w:rFonts w:hint="eastAsia" w:ascii="Arial" w:hAnsi="Arial" w:cs="Arial"/>
          <w:snapToGrid w:val="0"/>
        </w:rPr>
        <w:t>确认什么</w:t>
      </w:r>
      <w:r>
        <w:rPr>
          <w:rFonts w:ascii="Arial" w:hAnsi="Arial" w:cs="Arial"/>
          <w:snapToGrid w:val="0"/>
        </w:rPr>
        <w:t>信息？</w:t>
      </w:r>
      <w:bookmarkEnd w:id="36"/>
      <w:bookmarkEnd w:id="37"/>
    </w:p>
    <w:p w14:paraId="6C78983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IRB必须确定和</w:t>
      </w:r>
      <w:r>
        <w:rPr>
          <w:rFonts w:hint="eastAsia" w:ascii="Arial" w:hAnsi="Arial" w:cs="Arial"/>
          <w:snapToGrid w:val="0"/>
        </w:rPr>
        <w:t>确认，</w:t>
      </w:r>
      <w:r>
        <w:rPr>
          <w:rFonts w:ascii="Arial" w:hAnsi="Arial" w:cs="Arial"/>
          <w:snapToGrid w:val="0"/>
        </w:rPr>
        <w:t>研究涉及无法同意的受试者，且研究符合FDA的法规</w:t>
      </w:r>
      <w:r>
        <w:rPr>
          <w:rFonts w:ascii="Arial" w:hAnsi="Arial" w:cs="Arial"/>
          <w:snapToGrid w:val="0"/>
          <w:vertAlign w:val="superscript"/>
        </w:rPr>
        <w:t>5</w:t>
      </w:r>
      <w:r>
        <w:rPr>
          <w:rFonts w:ascii="Arial" w:hAnsi="Arial" w:cs="Arial"/>
          <w:snapToGrid w:val="0"/>
        </w:rPr>
        <w:t>，并将根据FDA研究性新药申请（IND）或FDA研究性器械豁免（IDE）进行。IRB还必须确定和</w:t>
      </w:r>
      <w:r>
        <w:rPr>
          <w:rFonts w:hint="eastAsia" w:ascii="Arial" w:hAnsi="Arial" w:cs="Arial"/>
          <w:snapToGrid w:val="0"/>
        </w:rPr>
        <w:t>确认，</w:t>
      </w:r>
      <w:r>
        <w:rPr>
          <w:rFonts w:ascii="Arial" w:hAnsi="Arial" w:cs="Arial"/>
          <w:snapToGrid w:val="0"/>
        </w:rPr>
        <w:t>21 CFR 50.24中详细描述的紧急研究豁免知情同意的要求已经得到满足（有关21 CFR 50.24的文本，请参见附录A）。此外，IRB必须确定该研究符合21 CFR第50和56部分的相关要求。</w:t>
      </w:r>
    </w:p>
    <w:p w14:paraId="53882E6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如果IRB确定研究不符合FDA的法规，则IRB应确定研究是否已从卫生与人类服务署（HHS）署长获得紧急研究豁免授权，并将此结果报告给HHS人类研究保护办公室。</w:t>
      </w:r>
      <w:r>
        <w:rPr>
          <w:rStyle w:val="22"/>
          <w:rFonts w:ascii="Arial" w:hAnsi="Arial" w:cs="Arial"/>
          <w:snapToGrid w:val="0"/>
        </w:rPr>
        <w:footnoteReference w:id="5"/>
      </w:r>
    </w:p>
    <w:p w14:paraId="49379A88">
      <w:pPr>
        <w:pStyle w:val="4"/>
        <w:numPr>
          <w:ilvl w:val="1"/>
          <w:numId w:val="2"/>
        </w:numPr>
        <w:tabs>
          <w:tab w:val="left" w:pos="420"/>
        </w:tabs>
        <w:topLinePunct/>
        <w:adjustRightInd w:val="0"/>
        <w:snapToGrid w:val="0"/>
        <w:spacing w:after="224" w:afterLines="75" w:line="300" w:lineRule="auto"/>
        <w:ind w:left="420" w:hanging="420"/>
        <w:jc w:val="both"/>
        <w:rPr>
          <w:rFonts w:ascii="Arial" w:hAnsi="Arial" w:cs="Arial"/>
          <w:b w:val="0"/>
          <w:bCs w:val="0"/>
          <w:i w:val="0"/>
          <w:snapToGrid w:val="0"/>
        </w:rPr>
      </w:pPr>
      <w:bookmarkStart w:id="38" w:name="_bookmark16"/>
      <w:bookmarkEnd w:id="38"/>
      <w:bookmarkStart w:id="39" w:name="8.__Can_an_emergency_research_study_be_s"/>
      <w:bookmarkEnd w:id="39"/>
      <w:bookmarkStart w:id="40" w:name="_bookmark17"/>
      <w:bookmarkEnd w:id="40"/>
      <w:bookmarkStart w:id="41" w:name="_Toc498446430"/>
      <w:bookmarkStart w:id="42" w:name="_Toc498200693"/>
      <w:r>
        <w:rPr>
          <w:rFonts w:ascii="Arial" w:hAnsi="Arial" w:cs="Arial"/>
          <w:snapToGrid w:val="0"/>
        </w:rPr>
        <w:t>紧急研究是否可以同时符合21 CFR 50.24的FDA</w:t>
      </w:r>
      <w:r>
        <w:rPr>
          <w:rFonts w:hint="eastAsia" w:ascii="Arial" w:hAnsi="Arial" w:cs="Arial"/>
          <w:snapToGrid w:val="0"/>
        </w:rPr>
        <w:t>法规</w:t>
      </w:r>
      <w:r>
        <w:rPr>
          <w:rFonts w:ascii="Arial" w:hAnsi="Arial" w:cs="Arial"/>
          <w:snapToGrid w:val="0"/>
        </w:rPr>
        <w:t>和45 CFR第46部分的HHS</w:t>
      </w:r>
      <w:r>
        <w:rPr>
          <w:rFonts w:hint="eastAsia" w:ascii="Arial" w:hAnsi="Arial" w:cs="Arial"/>
          <w:snapToGrid w:val="0"/>
        </w:rPr>
        <w:t>法规</w:t>
      </w:r>
      <w:r>
        <w:rPr>
          <w:rFonts w:ascii="Arial" w:hAnsi="Arial" w:cs="Arial"/>
          <w:snapToGrid w:val="0"/>
        </w:rPr>
        <w:t>？</w:t>
      </w:r>
      <w:bookmarkEnd w:id="41"/>
      <w:bookmarkEnd w:id="42"/>
    </w:p>
    <w:p w14:paraId="51FA35F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是。如果研究涉及FDA监管产品，并由HHS进行或支持，则FDA法规和HHS受试者保护法规均适用。如果同时FDA和HHS法规的研究需要豁免知情同意要求，该研究不可将怀孕妇女或囚犯作为受试者</w:t>
      </w:r>
      <w:r>
        <w:rPr>
          <w:rStyle w:val="22"/>
          <w:rFonts w:ascii="Arial" w:hAnsi="Arial" w:cs="Arial"/>
          <w:snapToGrid w:val="0"/>
        </w:rPr>
        <w:footnoteReference w:id="6"/>
      </w:r>
      <w:r>
        <w:rPr>
          <w:rFonts w:ascii="Arial" w:hAnsi="Arial" w:cs="Arial"/>
          <w:snapToGrid w:val="0"/>
        </w:rPr>
        <w:t>，并且必须满足21 CFR 50.24的规定。在这种研究成功豁免知情同意要求后，必须满足21 CFR第50和56部分以及45 CFR 46的所有其他适用要求。</w:t>
      </w:r>
    </w:p>
    <w:p w14:paraId="61946C77">
      <w:pPr>
        <w:pStyle w:val="4"/>
        <w:numPr>
          <w:ilvl w:val="1"/>
          <w:numId w:val="2"/>
        </w:numPr>
        <w:tabs>
          <w:tab w:val="left" w:pos="421"/>
        </w:tabs>
        <w:topLinePunct/>
        <w:adjustRightInd w:val="0"/>
        <w:snapToGrid w:val="0"/>
        <w:spacing w:after="224" w:afterLines="75" w:line="300" w:lineRule="auto"/>
        <w:ind w:left="0" w:firstLine="0"/>
        <w:jc w:val="both"/>
        <w:rPr>
          <w:rFonts w:ascii="Arial" w:hAnsi="Arial" w:cs="Arial"/>
          <w:b w:val="0"/>
          <w:bCs w:val="0"/>
          <w:i w:val="0"/>
          <w:snapToGrid w:val="0"/>
        </w:rPr>
      </w:pPr>
      <w:bookmarkStart w:id="43" w:name="_bookmark18"/>
      <w:bookmarkEnd w:id="43"/>
      <w:bookmarkStart w:id="44" w:name="9.__Does_21_CFR_50.24_pre-empt_state_law"/>
      <w:bookmarkEnd w:id="44"/>
      <w:bookmarkStart w:id="45" w:name="_Toc498446431"/>
      <w:bookmarkStart w:id="46" w:name="_Toc498200694"/>
      <w:r>
        <w:rPr>
          <w:rFonts w:ascii="Arial" w:hAnsi="Arial" w:cs="Arial"/>
          <w:snapToGrid w:val="0"/>
        </w:rPr>
        <w:t>21 CFR 50.24是否先于州法律？</w:t>
      </w:r>
      <w:bookmarkEnd w:id="45"/>
      <w:bookmarkEnd w:id="46"/>
    </w:p>
    <w:p w14:paraId="4A84CB6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否。第50.24条不先于任何适用的联邦、州或地方法律。</w:t>
      </w:r>
      <w:r>
        <w:rPr>
          <w:rStyle w:val="22"/>
          <w:rFonts w:ascii="Arial" w:hAnsi="Arial" w:cs="Arial"/>
          <w:snapToGrid w:val="0"/>
        </w:rPr>
        <w:footnoteReference w:id="7"/>
      </w:r>
      <w:r>
        <w:rPr>
          <w:rFonts w:ascii="Arial" w:hAnsi="Arial" w:cs="Arial"/>
          <w:snapToGrid w:val="0"/>
        </w:rPr>
        <w:t>在根据州法律进行紧急研究时，研究者应了解其在此类法律下的义务。</w:t>
      </w:r>
    </w:p>
    <w:p w14:paraId="3ADC8843">
      <w:pPr>
        <w:pStyle w:val="4"/>
        <w:numPr>
          <w:ilvl w:val="1"/>
          <w:numId w:val="2"/>
        </w:numPr>
        <w:tabs>
          <w:tab w:val="left" w:pos="541"/>
        </w:tabs>
        <w:topLinePunct/>
        <w:adjustRightInd w:val="0"/>
        <w:snapToGrid w:val="0"/>
        <w:spacing w:after="224" w:afterLines="75" w:line="300" w:lineRule="auto"/>
        <w:ind w:left="541" w:hanging="541"/>
        <w:jc w:val="both"/>
        <w:rPr>
          <w:rFonts w:ascii="Arial" w:hAnsi="Arial" w:cs="Arial"/>
          <w:b w:val="0"/>
          <w:bCs w:val="0"/>
          <w:i w:val="0"/>
          <w:snapToGrid w:val="0"/>
        </w:rPr>
      </w:pPr>
      <w:bookmarkStart w:id="47" w:name="10.__Do_studies_conducted_under_21_CFR_5"/>
      <w:bookmarkEnd w:id="47"/>
      <w:bookmarkStart w:id="48" w:name="_bookmark19"/>
      <w:bookmarkEnd w:id="48"/>
      <w:bookmarkStart w:id="49" w:name="_Toc498200695"/>
      <w:bookmarkStart w:id="50" w:name="_Toc498446432"/>
      <w:r>
        <w:rPr>
          <w:rFonts w:ascii="Arial" w:hAnsi="Arial" w:cs="Arial"/>
          <w:snapToGrid w:val="0"/>
        </w:rPr>
        <w:t>根据21 CFR 50.24进行的研究是否需要单独提交研究性新药申请（IND）或研究性器械豁免（IDE）？</w:t>
      </w:r>
      <w:bookmarkEnd w:id="49"/>
      <w:bookmarkEnd w:id="50"/>
    </w:p>
    <w:p w14:paraId="564FE37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w:t>
      </w:r>
      <w:r>
        <w:rPr>
          <w:rFonts w:hint="eastAsia" w:ascii="Arial" w:hAnsi="Arial" w:cs="Arial"/>
          <w:snapToGrid w:val="0"/>
        </w:rPr>
        <w:t>。</w:t>
      </w:r>
      <w:r>
        <w:rPr>
          <w:rFonts w:ascii="Arial" w:hAnsi="Arial" w:cs="Arial"/>
          <w:snapToGrid w:val="0"/>
        </w:rPr>
        <w:t>如果已经提交IND或IDE，则在执行已豁免知情同意要求的研究方案前，必须单独提交IND或IDE，并在其中明确声明，研究方案可能会入选无法同意的受试者（21 CFR 50.24（d）。在申办方提交IND或IDE</w:t>
      </w:r>
      <w:r>
        <w:rPr>
          <w:rStyle w:val="22"/>
          <w:rFonts w:ascii="Arial" w:hAnsi="Arial" w:cs="Arial"/>
          <w:snapToGrid w:val="0"/>
        </w:rPr>
        <w:footnoteReference w:id="8"/>
      </w:r>
      <w:r>
        <w:rPr>
          <w:rFonts w:ascii="Arial" w:hAnsi="Arial" w:cs="Arial"/>
          <w:snapToGrid w:val="0"/>
        </w:rPr>
        <w:t>，并从FDA获得事先书面授权</w:t>
      </w:r>
      <w:r>
        <w:rPr>
          <w:rStyle w:val="22"/>
          <w:rFonts w:ascii="Arial" w:hAnsi="Arial" w:cs="Arial"/>
          <w:snapToGrid w:val="0"/>
        </w:rPr>
        <w:footnoteReference w:id="9"/>
      </w:r>
      <w:r>
        <w:rPr>
          <w:rFonts w:ascii="Arial" w:hAnsi="Arial" w:cs="Arial"/>
          <w:snapToGrid w:val="0"/>
        </w:rPr>
        <w:t>以及获得IRB批准前，即使已经已豁免知情同意要求，也不得进行此研究（即，IRB必须确定和</w:t>
      </w:r>
      <w:r>
        <w:rPr>
          <w:rFonts w:hint="eastAsia" w:ascii="Arial" w:hAnsi="Arial" w:cs="Arial"/>
          <w:snapToGrid w:val="0"/>
        </w:rPr>
        <w:t>确认，</w:t>
      </w:r>
      <w:r>
        <w:rPr>
          <w:rFonts w:ascii="Arial" w:hAnsi="Arial" w:cs="Arial"/>
          <w:snapToGrid w:val="0"/>
        </w:rPr>
        <w:t>此类法规中的具体条件已经得到满足</w:t>
      </w:r>
      <w:r>
        <w:rPr>
          <w:rStyle w:val="22"/>
          <w:rFonts w:ascii="Arial" w:hAnsi="Arial" w:cs="Arial"/>
          <w:snapToGrid w:val="0"/>
        </w:rPr>
        <w:footnoteReference w:id="10"/>
      </w:r>
      <w:r>
        <w:rPr>
          <w:rFonts w:ascii="Arial" w:hAnsi="Arial" w:cs="Arial"/>
          <w:snapToGrid w:val="0"/>
        </w:rPr>
        <w:t>）（有关21 CFR 50.24的文本，请参见附录A）</w:t>
      </w:r>
    </w:p>
    <w:p w14:paraId="0F374DBD">
      <w:pPr>
        <w:pStyle w:val="4"/>
        <w:numPr>
          <w:ilvl w:val="1"/>
          <w:numId w:val="2"/>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51" w:name="11.__What_information_must_be_submitted_"/>
      <w:bookmarkEnd w:id="51"/>
      <w:bookmarkStart w:id="52" w:name="_bookmark20"/>
      <w:bookmarkEnd w:id="52"/>
      <w:bookmarkStart w:id="53" w:name="_Toc498446433"/>
      <w:bookmarkStart w:id="54" w:name="_Toc498200696"/>
      <w:r>
        <w:rPr>
          <w:rFonts w:ascii="Arial" w:hAnsi="Arial" w:cs="Arial"/>
          <w:snapToGrid w:val="0"/>
        </w:rPr>
        <w:t>根据</w:t>
      </w:r>
      <w:r>
        <w:rPr>
          <w:rFonts w:ascii="宋体" w:hAnsi="宋体" w:cs="Arial"/>
          <w:snapToGrid w:val="0"/>
        </w:rPr>
        <w:t>“</w:t>
      </w:r>
      <w:r>
        <w:rPr>
          <w:rFonts w:ascii="Arial" w:hAnsi="Arial" w:cs="Arial"/>
          <w:snapToGrid w:val="0"/>
        </w:rPr>
        <w:t>21 CFR 50.24</w:t>
      </w:r>
      <w:r>
        <w:rPr>
          <w:rFonts w:ascii="宋体" w:hAnsi="宋体" w:cs="Arial"/>
          <w:snapToGrid w:val="0"/>
        </w:rPr>
        <w:t>”</w:t>
      </w:r>
      <w:r>
        <w:rPr>
          <w:rFonts w:ascii="Arial" w:hAnsi="Arial" w:cs="Arial"/>
          <w:snapToGrid w:val="0"/>
        </w:rPr>
        <w:t>进行研究时，必须向FDA提交</w:t>
      </w:r>
      <w:r>
        <w:rPr>
          <w:rFonts w:hint="eastAsia" w:ascii="Arial" w:hAnsi="Arial" w:cs="Arial"/>
          <w:snapToGrid w:val="0"/>
        </w:rPr>
        <w:t>哪些</w:t>
      </w:r>
      <w:r>
        <w:rPr>
          <w:rFonts w:ascii="Arial" w:hAnsi="Arial" w:cs="Arial"/>
          <w:snapToGrid w:val="0"/>
        </w:rPr>
        <w:t>信息？</w:t>
      </w:r>
      <w:bookmarkEnd w:id="53"/>
      <w:bookmarkEnd w:id="54"/>
    </w:p>
    <w:p w14:paraId="47B1C3F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对于已豁免知情同意的紧急研究，应按照适用法规的规定完成单独提交IND或IDE提交材料。先前提交给FDA的信息可以通过引用并入。通过引用并入的信息位置应使用申请编号、提交日期、卷、页码和章节具体注明。如果信息由当前申请人以外的其他人员提交，必须提供持有参考信息授权文件的人员的函件。此外，提交材料应涉及根据21 CFR 50.24进行的研究的具体要求（例如，社区咨询计划，公开披露计划）。如果对提交过程有疑问，申办方应直接与FDA联系。</w:t>
      </w:r>
    </w:p>
    <w:p w14:paraId="247D000B">
      <w:pPr>
        <w:pStyle w:val="4"/>
        <w:numPr>
          <w:ilvl w:val="1"/>
          <w:numId w:val="2"/>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55" w:name="_bookmark26"/>
      <w:bookmarkEnd w:id="55"/>
      <w:bookmarkStart w:id="56" w:name="12.__How_are_emergency_research_studies_"/>
      <w:bookmarkEnd w:id="56"/>
      <w:bookmarkStart w:id="57" w:name="_Toc498200697"/>
      <w:bookmarkStart w:id="58" w:name="_Toc498446434"/>
      <w:r>
        <w:rPr>
          <w:rFonts w:ascii="Arial" w:hAnsi="Arial" w:cs="Arial"/>
          <w:snapToGrid w:val="0"/>
        </w:rPr>
        <w:t>如何处理涉及研究性药品的紧急研究？</w:t>
      </w:r>
      <w:bookmarkEnd w:id="57"/>
      <w:bookmarkEnd w:id="58"/>
    </w:p>
    <w:p w14:paraId="01EC4EE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如果方案涉及研究性药品，则申办方必须单独提交研究性新药申请（IND）</w:t>
      </w:r>
      <w:r>
        <w:rPr>
          <w:rStyle w:val="22"/>
          <w:rFonts w:ascii="Arial" w:hAnsi="Arial" w:cs="Arial"/>
          <w:snapToGrid w:val="0"/>
        </w:rPr>
        <w:footnoteReference w:id="11"/>
      </w:r>
      <w:r>
        <w:rPr>
          <w:rFonts w:ascii="Arial" w:hAnsi="Arial" w:cs="Arial"/>
          <w:snapToGrid w:val="0"/>
        </w:rPr>
        <w:t>，其中应声明研究将入选无法同意的受试者（21 CFR 50.24（d））。在提交IND后，FDA将根据适用的IND规定和21 CFR 50.24审查研究方案。未经FDA事先书面授权</w:t>
      </w:r>
      <w:r>
        <w:rPr>
          <w:rStyle w:val="22"/>
          <w:rFonts w:ascii="Arial" w:hAnsi="Arial" w:cs="Arial"/>
          <w:snapToGrid w:val="0"/>
        </w:rPr>
        <w:footnoteReference w:id="12"/>
      </w:r>
      <w:r>
        <w:rPr>
          <w:rFonts w:ascii="Arial" w:hAnsi="Arial" w:cs="Arial"/>
          <w:snapToGrid w:val="0"/>
        </w:rPr>
        <w:t>和IRB批准，不得进行此项研究（即IRB必须确定和确认具体条件已得到满足</w:t>
      </w:r>
      <w:r>
        <w:rPr>
          <w:rStyle w:val="22"/>
          <w:rFonts w:ascii="Arial" w:hAnsi="Arial" w:cs="Arial"/>
          <w:snapToGrid w:val="0"/>
        </w:rPr>
        <w:footnoteReference w:id="13"/>
      </w:r>
      <w:r>
        <w:rPr>
          <w:rFonts w:ascii="Arial" w:hAnsi="Arial" w:cs="Arial"/>
          <w:snapToGrid w:val="0"/>
        </w:rPr>
        <w:t>）。FDA的事先授权副本可以提交给审查研究的IRB（有关21 CFR 50.24的文本，请参见附录A）</w:t>
      </w:r>
    </w:p>
    <w:p w14:paraId="2375DB51">
      <w:pPr>
        <w:pStyle w:val="4"/>
        <w:numPr>
          <w:ilvl w:val="1"/>
          <w:numId w:val="2"/>
        </w:numPr>
        <w:tabs>
          <w:tab w:val="left" w:pos="480"/>
        </w:tabs>
        <w:topLinePunct/>
        <w:adjustRightInd w:val="0"/>
        <w:snapToGrid w:val="0"/>
        <w:spacing w:after="224" w:afterLines="75" w:line="300" w:lineRule="auto"/>
        <w:ind w:left="0" w:firstLine="0"/>
        <w:jc w:val="both"/>
        <w:rPr>
          <w:rFonts w:ascii="Arial" w:hAnsi="Arial" w:cs="Arial"/>
          <w:b w:val="0"/>
          <w:bCs w:val="0"/>
          <w:i w:val="0"/>
          <w:snapToGrid w:val="0"/>
        </w:rPr>
      </w:pPr>
      <w:bookmarkStart w:id="59" w:name="_bookmark27"/>
      <w:bookmarkEnd w:id="59"/>
      <w:bookmarkStart w:id="60" w:name="13._Can_Phase_1,_Phase_2,_and_Phase_3_sa"/>
      <w:bookmarkEnd w:id="60"/>
      <w:bookmarkStart w:id="61" w:name="_Toc498446435"/>
      <w:bookmarkStart w:id="62" w:name="_Toc498200698"/>
      <w:r>
        <w:rPr>
          <w:rFonts w:ascii="Arial" w:hAnsi="Arial" w:cs="Arial"/>
          <w:snapToGrid w:val="0"/>
        </w:rPr>
        <w:t>是否可以按照21 CFR 50.24进行阶段1、阶段2和阶段3安全性和有效性研究？</w:t>
      </w:r>
      <w:bookmarkEnd w:id="61"/>
      <w:bookmarkEnd w:id="62"/>
    </w:p>
    <w:p w14:paraId="67BD20B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此法规不关注试验</w:t>
      </w:r>
      <w:r>
        <w:rPr>
          <w:rFonts w:ascii="宋体" w:hAnsi="宋体" w:cs="Arial"/>
          <w:snapToGrid w:val="0"/>
        </w:rPr>
        <w:t>“</w:t>
      </w:r>
      <w:r>
        <w:rPr>
          <w:rFonts w:ascii="Arial" w:hAnsi="Arial" w:cs="Arial"/>
          <w:snapToGrid w:val="0"/>
        </w:rPr>
        <w:t>阶段</w:t>
      </w:r>
      <w:r>
        <w:rPr>
          <w:rFonts w:ascii="宋体" w:hAnsi="宋体" w:cs="Arial"/>
          <w:snapToGrid w:val="0"/>
        </w:rPr>
        <w:t>”</w:t>
      </w:r>
      <w:r>
        <w:rPr>
          <w:rFonts w:ascii="Arial" w:hAnsi="Arial" w:cs="Arial"/>
          <w:snapToGrid w:val="0"/>
        </w:rPr>
        <w:t>，也不要求研究必须分成阶段1、阶段2和阶段3进行。相反，所研究的干预措施必须可为个体受试者提供直接收益。FDA希望，阶段1研究（包括药代动力学研究）将在同意受试者中进行，而不是根据21 CFR 50.24在试验中进行，因为此类研究一通常不符合21 CFR 50.24 （a）（3）规定的直接收益标准。为了确定潜在收益，可能需要在同意受试者中进行阶段2对照试验，以便在根据21 CFR 50.24进行研究之前，确定剂量反应对安全性的影响或生物标志物。如果不确定特定研究是否符合此法规的要求，申办方应咨询FDA（关于根据21 CFR 50.24进行的试验的适当端点讨论，请参见问题22）。</w:t>
      </w:r>
    </w:p>
    <w:p w14:paraId="558A7547">
      <w:pPr>
        <w:pStyle w:val="4"/>
        <w:numPr>
          <w:ilvl w:val="1"/>
          <w:numId w:val="2"/>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63" w:name="_bookmark28"/>
      <w:bookmarkEnd w:id="63"/>
      <w:bookmarkStart w:id="64" w:name="14.__Can_feasibility/pilot_trials_for_de"/>
      <w:bookmarkEnd w:id="64"/>
      <w:bookmarkStart w:id="65" w:name="_Toc498446436"/>
      <w:bookmarkStart w:id="66" w:name="_Toc498200699"/>
      <w:r>
        <w:rPr>
          <w:rFonts w:ascii="Arial" w:hAnsi="Arial" w:cs="Arial"/>
          <w:snapToGrid w:val="0"/>
        </w:rPr>
        <w:t>是否可以根据21 CFR 50.24进行器械可行性／初步试验？</w:t>
      </w:r>
      <w:bookmarkEnd w:id="65"/>
      <w:bookmarkEnd w:id="66"/>
    </w:p>
    <w:p w14:paraId="284887E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是。FDA认为，涉及器械的可行性／初步研究</w:t>
      </w:r>
      <w:r>
        <w:rPr>
          <w:rStyle w:val="22"/>
          <w:rFonts w:ascii="Arial" w:hAnsi="Arial" w:cs="Arial"/>
          <w:snapToGrid w:val="0"/>
        </w:rPr>
        <w:footnoteReference w:id="14"/>
      </w:r>
      <w:r>
        <w:rPr>
          <w:rFonts w:ascii="Arial" w:hAnsi="Arial" w:cs="Arial"/>
          <w:snapToGrid w:val="0"/>
        </w:rPr>
        <w:t>可以在具有紧急情况的个体中进行，但研究必须可提供直接收益。</w:t>
      </w:r>
    </w:p>
    <w:p w14:paraId="1DF60BA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如果不确定特定研究是否符合此法规的要求，申办方应咨询FDA（关于根据21 CFR 50.24进行的试验端点讨论，请参见问题22）。</w:t>
      </w:r>
    </w:p>
    <w:p w14:paraId="68F1825E">
      <w:pPr>
        <w:pStyle w:val="4"/>
        <w:numPr>
          <w:ilvl w:val="1"/>
          <w:numId w:val="2"/>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67" w:name="15.__Can_emergency_research_studies_invo"/>
      <w:bookmarkEnd w:id="67"/>
      <w:bookmarkStart w:id="68" w:name="_bookmark29"/>
      <w:bookmarkEnd w:id="68"/>
      <w:bookmarkStart w:id="69" w:name="_Toc498200700"/>
      <w:bookmarkStart w:id="70" w:name="_Toc498446437"/>
      <w:r>
        <w:rPr>
          <w:rFonts w:ascii="Arial" w:hAnsi="Arial" w:cs="Arial"/>
          <w:snapToGrid w:val="0"/>
        </w:rPr>
        <w:t>是否可以向涉及研究性药品的紧急研究施加临床试验暂停？</w:t>
      </w:r>
      <w:bookmarkEnd w:id="69"/>
      <w:bookmarkEnd w:id="70"/>
    </w:p>
    <w:p w14:paraId="2561E85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是。适用时，如果（1）21 CFR 312.42 （b）（1）或（b）（2）中的任何条件适用，或（2）未服从或满足21 CFR 50.24中关于开始或继续此类研究的相关标准，FDA将对拟定或进行中的紧急临床研究IND（或研究地点）施加临床试验暂停（请参见21 CFR 312.42 （b）（5））。</w:t>
      </w:r>
    </w:p>
    <w:p w14:paraId="2FB5D50A">
      <w:pPr>
        <w:pStyle w:val="4"/>
        <w:numPr>
          <w:ilvl w:val="1"/>
          <w:numId w:val="2"/>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71" w:name="_bookmark34"/>
      <w:bookmarkEnd w:id="71"/>
      <w:bookmarkStart w:id="72" w:name="16.__How_are_emergency_research_studies_"/>
      <w:bookmarkEnd w:id="72"/>
      <w:bookmarkStart w:id="73" w:name="_Toc498200701"/>
      <w:bookmarkStart w:id="74" w:name="_Toc498446438"/>
      <w:r>
        <w:rPr>
          <w:rFonts w:ascii="Arial" w:hAnsi="Arial" w:cs="Arial"/>
          <w:snapToGrid w:val="0"/>
        </w:rPr>
        <w:t>如何处理涉及器械的紧急研究？</w:t>
      </w:r>
      <w:bookmarkEnd w:id="73"/>
      <w:bookmarkEnd w:id="74"/>
    </w:p>
    <w:p w14:paraId="3003807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申办方通常需要完成并提交IDE申请，其中应描述拟定研究（请参见21 CFR 812.20 （a）（1））。但是，如果器械满足21 CFR 812.2（b）中简化要求的标准，或者拟定方案涉及已经许可或批准上市，并按照其许可／批准标签进行使用的器械，申办方或研究者应联系FDA，以进一步聊提交IDE申请的要求。FDA建议在IRB提交之前进行联系（特别是对于多中心研究），以方便IRB进行审查。</w:t>
      </w:r>
    </w:p>
    <w:p w14:paraId="3C066FE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如果需要提交IDE，FDA将根据IDE法规和21 CFR 50.24审查研究方案。未经FDA事先书面授权和IRB批准，不得进行研究（即IRB必须确定和确认，特定条件已经得到满足）</w:t>
      </w:r>
      <w:r>
        <w:rPr>
          <w:rStyle w:val="22"/>
          <w:rFonts w:ascii="Arial" w:hAnsi="Arial" w:cs="Arial"/>
          <w:snapToGrid w:val="0"/>
        </w:rPr>
        <w:footnoteReference w:id="15"/>
      </w:r>
      <w:r>
        <w:rPr>
          <w:rFonts w:ascii="Arial" w:hAnsi="Arial" w:cs="Arial"/>
          <w:snapToGrid w:val="0"/>
        </w:rPr>
        <w:t>。如果不遵守IDE法规，联邦食品、药品和化妆品法案，任何其他适用法规或法律的任何要求或IRB或FDA施加的任何批准条件，FDA可能会驳回IDE或撤销批准，包括与50.24研究行为有关的要求（请参见21 CFR 812.30）（有关21 CFR 50.24的文本，请参见附录A）</w:t>
      </w:r>
      <w:r>
        <w:rPr>
          <w:rFonts w:hint="eastAsia" w:ascii="Arial" w:hAnsi="Arial" w:cs="Arial"/>
          <w:snapToGrid w:val="0"/>
        </w:rPr>
        <w:t>。</w:t>
      </w:r>
    </w:p>
    <w:p w14:paraId="3E28F01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（另请参见问题10）</w:t>
      </w:r>
    </w:p>
    <w:p w14:paraId="5B63E748">
      <w:pPr>
        <w:pStyle w:val="4"/>
        <w:numPr>
          <w:ilvl w:val="1"/>
          <w:numId w:val="2"/>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75" w:name="17.__May_studies_involving_in_vitro_diag"/>
      <w:bookmarkEnd w:id="75"/>
      <w:bookmarkStart w:id="76" w:name="_bookmark35"/>
      <w:bookmarkEnd w:id="76"/>
      <w:bookmarkStart w:id="77" w:name="_Toc498200702"/>
      <w:bookmarkStart w:id="78" w:name="_Toc498446439"/>
      <w:r>
        <w:rPr>
          <w:rFonts w:ascii="Arial" w:hAnsi="Arial" w:cs="Arial"/>
          <w:snapToGrid w:val="0"/>
        </w:rPr>
        <w:t>是否可以根据21 CFR 50.24进行涉及体外诊断器械的研究？</w:t>
      </w:r>
      <w:bookmarkEnd w:id="77"/>
      <w:bookmarkEnd w:id="78"/>
    </w:p>
    <w:p w14:paraId="51BFD54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是。如果符合21 CFR 50.24的要求，可以进行体外诊断装置（IVD）研究。符合第50.24条要求的IVD研究包括诊断无法使用核准产品或既定程序确认的致命性病症的研究（例如，涉及研究性神经毒素试验的研究，其中，吸入或与皮肤接触后，此毒素可能导致患者在数分钟内呕吐，如果剂量较高，将失去意识，最终将癫痫和死亡）。与治疗产品相关的法规语言通常涵盖IVD，因为是否可在危及生命处境中实施治疗取决于诊断干预。如果不确定特定研究是否根据21 CFR 50.24进行，申办方应咨询FDA。</w:t>
      </w:r>
    </w:p>
    <w:p w14:paraId="0A4E2CC7">
      <w:pPr>
        <w:pStyle w:val="4"/>
        <w:numPr>
          <w:ilvl w:val="1"/>
          <w:numId w:val="2"/>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79" w:name="18.__Will_FDA_accept_data_from_emergency"/>
      <w:bookmarkEnd w:id="79"/>
      <w:bookmarkStart w:id="80" w:name="_bookmark36"/>
      <w:bookmarkEnd w:id="80"/>
      <w:bookmarkStart w:id="81" w:name="_Toc498200703"/>
      <w:bookmarkStart w:id="82" w:name="_Toc498446440"/>
      <w:r>
        <w:rPr>
          <w:rFonts w:ascii="Arial" w:hAnsi="Arial" w:cs="Arial"/>
          <w:snapToGrid w:val="0"/>
        </w:rPr>
        <w:t>FDA是否可以接受在美国境外地点进行的紧急研究数据？</w:t>
      </w:r>
      <w:bookmarkEnd w:id="81"/>
      <w:bookmarkEnd w:id="82"/>
    </w:p>
    <w:p w14:paraId="6C67E687">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是，但必须满足适当的法规要求。对于药品／生物制药研究，如果美国境外地点提交了IND，则必须满足21 CFR 50.24的所有要求以及21 CFR第312部分的其他规定。</w:t>
      </w:r>
    </w:p>
    <w:p w14:paraId="4F01E20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如果此类站点位于美国境外，但在上市申请中提供了数据，则21 CFR 312.120将适用。21 CFR 312.120（a）（1）（i）</w:t>
      </w:r>
      <w:r>
        <w:rPr>
          <w:rFonts w:ascii="宋体" w:hAnsi="宋体" w:cs="Arial"/>
          <w:snapToGrid w:val="0"/>
        </w:rPr>
        <w:t>“</w:t>
      </w:r>
      <w:r>
        <w:rPr>
          <w:rFonts w:ascii="Arial" w:hAnsi="Arial" w:cs="Arial"/>
          <w:snapToGrid w:val="0"/>
        </w:rPr>
        <w:t>不要求在危及生命处境中获得知情同意，其中，审查研究的【国际伦理委员会】在研究开始之前发现，无法获得知情同意，且所出现的条件与§50.23或§50.24（a）所述一致，或研究方案或其他地方中描述的措施可以保护受试者的权利、安全和福利...</w:t>
      </w:r>
      <w:r>
        <w:rPr>
          <w:rFonts w:ascii="宋体" w:hAnsi="宋体" w:cs="Arial"/>
          <w:snapToGrid w:val="0"/>
        </w:rPr>
        <w:t>”</w:t>
      </w:r>
      <w:r>
        <w:rPr>
          <w:rFonts w:ascii="Arial" w:hAnsi="Arial" w:cs="Arial"/>
          <w:snapToGrid w:val="0"/>
        </w:rPr>
        <w:t>FDA可以接受非IND紧急研究／站点的数据，但紧急研究必须按照国际公认的良好临床试验规范标准（如ICH E6）和适用的国家法律进行。</w:t>
      </w:r>
    </w:p>
    <w:p w14:paraId="4CE4A50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对于器械，根据21 CFR 814.15（b），如果数据有效，且研究者已经按照</w:t>
      </w:r>
      <w:r>
        <w:rPr>
          <w:rFonts w:ascii="宋体" w:hAnsi="宋体" w:cs="Arial"/>
          <w:snapToGrid w:val="0"/>
        </w:rPr>
        <w:t>“</w:t>
      </w:r>
      <w:r>
        <w:rPr>
          <w:rFonts w:ascii="Arial" w:hAnsi="Arial" w:cs="Arial"/>
          <w:snapToGrid w:val="0"/>
        </w:rPr>
        <w:t>赫尔辛基宣言</w:t>
      </w:r>
      <w:r>
        <w:rPr>
          <w:rFonts w:ascii="宋体" w:hAnsi="宋体" w:cs="Arial"/>
          <w:snapToGrid w:val="0"/>
        </w:rPr>
        <w:t>”</w:t>
      </w:r>
      <w:r>
        <w:rPr>
          <w:rFonts w:ascii="Arial" w:hAnsi="Arial" w:cs="Arial"/>
          <w:snapToGrid w:val="0"/>
        </w:rPr>
        <w:t>或研究所在国家的法律和法规进行研究（以更能保护受试者的为准），FDA可以接受提交外国研究支持上市前批准（PMA）申请。</w:t>
      </w:r>
    </w:p>
    <w:p w14:paraId="764D02C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请注意，一些国家的法律可能允许快速任命法定代表</w:t>
      </w:r>
      <w:r>
        <w:rPr>
          <w:rStyle w:val="22"/>
          <w:rFonts w:ascii="Arial" w:hAnsi="Arial" w:cs="Arial"/>
          <w:snapToGrid w:val="0"/>
        </w:rPr>
        <w:footnoteReference w:id="16"/>
      </w:r>
      <w:r>
        <w:rPr>
          <w:rFonts w:ascii="Arial" w:hAnsi="Arial" w:cs="Arial"/>
          <w:snapToGrid w:val="0"/>
        </w:rPr>
        <w:t>（例如法官，独立医生），此类代表可以提供同意，从而无需申请豁免知情同意（有关FDA接受未根据IND或IDE进行的美国境外研究数据的要求，请分别参见21 CFR 312.120和814.15。）</w:t>
      </w:r>
    </w:p>
    <w:p w14:paraId="24290B4A">
      <w:pPr>
        <w:pStyle w:val="4"/>
        <w:numPr>
          <w:ilvl w:val="1"/>
          <w:numId w:val="2"/>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83" w:name="19.__Must_studies_conducted_under_21_CFR"/>
      <w:bookmarkEnd w:id="83"/>
      <w:bookmarkStart w:id="84" w:name="_bookmark38"/>
      <w:bookmarkEnd w:id="84"/>
      <w:bookmarkStart w:id="85" w:name="_Toc498446441"/>
      <w:bookmarkStart w:id="86" w:name="_Toc498200704"/>
      <w:r>
        <w:rPr>
          <w:rFonts w:ascii="Arial" w:hAnsi="Arial" w:cs="Arial"/>
          <w:snapToGrid w:val="0"/>
        </w:rPr>
        <w:t>是否必须注册根据21 CFR 50.24进行的研究？</w:t>
      </w:r>
      <w:bookmarkEnd w:id="85"/>
      <w:bookmarkEnd w:id="86"/>
    </w:p>
    <w:p w14:paraId="62D6EBC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2007年食品药品监督管理局修正法案（FDAAA）</w:t>
      </w:r>
      <w:r>
        <w:rPr>
          <w:rStyle w:val="22"/>
          <w:rFonts w:ascii="Arial" w:hAnsi="Arial" w:cs="Arial"/>
          <w:snapToGrid w:val="0"/>
        </w:rPr>
        <w:footnoteReference w:id="17"/>
      </w:r>
      <w:r>
        <w:rPr>
          <w:rFonts w:ascii="Arial" w:hAnsi="Arial" w:cs="Arial"/>
          <w:snapToGrid w:val="0"/>
        </w:rPr>
        <w:t>，第VIII章第801条规定，</w:t>
      </w:r>
      <w:r>
        <w:rPr>
          <w:rFonts w:ascii="宋体" w:hAnsi="宋体" w:cs="Arial"/>
          <w:snapToGrid w:val="0"/>
        </w:rPr>
        <w:t>“</w:t>
      </w:r>
      <w:r>
        <w:rPr>
          <w:rFonts w:ascii="Arial" w:hAnsi="Arial" w:cs="Arial"/>
          <w:snapToGrid w:val="0"/>
        </w:rPr>
        <w:t>责任方</w:t>
      </w:r>
      <w:r>
        <w:rPr>
          <w:rFonts w:ascii="宋体" w:hAnsi="宋体" w:cs="Arial"/>
          <w:snapToGrid w:val="0"/>
        </w:rPr>
        <w:t>”</w:t>
      </w:r>
      <w:r>
        <w:rPr>
          <w:rFonts w:ascii="Arial" w:hAnsi="Arial" w:cs="Arial"/>
          <w:snapToGrid w:val="0"/>
        </w:rPr>
        <w:t>（即申办方或指定主要研究者）应在注册数据库（Clinicaltrials.gov）</w:t>
      </w:r>
      <w:r>
        <w:rPr>
          <w:rStyle w:val="22"/>
          <w:rFonts w:ascii="Arial" w:hAnsi="Arial" w:cs="Arial"/>
          <w:snapToGrid w:val="0"/>
        </w:rPr>
        <w:footnoteReference w:id="18"/>
      </w:r>
      <w:r>
        <w:rPr>
          <w:rFonts w:ascii="Arial" w:hAnsi="Arial" w:cs="Arial"/>
          <w:snapToGrid w:val="0"/>
        </w:rPr>
        <w:t>中注册适用临床试验，此外，其定义了</w:t>
      </w:r>
      <w:r>
        <w:rPr>
          <w:rFonts w:ascii="宋体" w:hAnsi="宋体" w:cs="Arial"/>
          <w:snapToGrid w:val="0"/>
        </w:rPr>
        <w:t>“</w:t>
      </w:r>
      <w:r>
        <w:rPr>
          <w:rFonts w:ascii="Arial" w:hAnsi="Arial" w:cs="Arial"/>
          <w:snapToGrid w:val="0"/>
        </w:rPr>
        <w:t>适用临床试验</w:t>
      </w:r>
      <w:r>
        <w:rPr>
          <w:rFonts w:ascii="宋体" w:hAnsi="宋体" w:cs="Arial"/>
          <w:snapToGrid w:val="0"/>
        </w:rPr>
        <w:t>”</w:t>
      </w:r>
      <w:r>
        <w:rPr>
          <w:rFonts w:ascii="Arial" w:hAnsi="Arial" w:cs="Arial"/>
          <w:snapToGrid w:val="0"/>
        </w:rPr>
        <w:t>。</w:t>
      </w:r>
      <w:r>
        <w:rPr>
          <w:rStyle w:val="22"/>
          <w:rFonts w:ascii="Arial" w:hAnsi="Arial" w:cs="Arial"/>
          <w:snapToGrid w:val="0"/>
        </w:rPr>
        <w:footnoteReference w:id="19"/>
      </w:r>
      <w:r>
        <w:rPr>
          <w:rFonts w:ascii="Arial" w:hAnsi="Arial" w:cs="Arial"/>
          <w:snapToGrid w:val="0"/>
        </w:rPr>
        <w:t>此外，该法令还规定，责任方有义务报告某些</w:t>
      </w:r>
      <w:r>
        <w:rPr>
          <w:rFonts w:ascii="宋体" w:hAnsi="宋体" w:cs="Arial"/>
          <w:snapToGrid w:val="0"/>
        </w:rPr>
        <w:t>“</w:t>
      </w:r>
      <w:r>
        <w:rPr>
          <w:rFonts w:ascii="Arial" w:hAnsi="Arial" w:cs="Arial"/>
          <w:snapToGrid w:val="0"/>
        </w:rPr>
        <w:t>适用临床试验</w:t>
      </w:r>
      <w:r>
        <w:rPr>
          <w:rFonts w:ascii="宋体" w:hAnsi="宋体" w:cs="Arial"/>
          <w:snapToGrid w:val="0"/>
        </w:rPr>
        <w:t>”</w:t>
      </w:r>
      <w:r>
        <w:rPr>
          <w:rFonts w:ascii="Arial" w:hAnsi="Arial" w:cs="Arial"/>
          <w:snapToGrid w:val="0"/>
        </w:rPr>
        <w:t>的结果。</w:t>
      </w:r>
      <w:r>
        <w:rPr>
          <w:rStyle w:val="22"/>
          <w:rFonts w:ascii="Arial" w:hAnsi="Arial" w:cs="Arial"/>
          <w:snapToGrid w:val="0"/>
        </w:rPr>
        <w:footnoteReference w:id="20"/>
      </w:r>
      <w:r>
        <w:rPr>
          <w:rFonts w:ascii="Arial" w:hAnsi="Arial" w:cs="Arial"/>
          <w:snapToGrid w:val="0"/>
        </w:rPr>
        <w:t>如果根据21 CFR 50.24进行的试验符合ClinicalTrials.gov所述</w:t>
      </w:r>
      <w:r>
        <w:rPr>
          <w:rFonts w:ascii="宋体" w:hAnsi="宋体" w:cs="Arial"/>
          <w:snapToGrid w:val="0"/>
        </w:rPr>
        <w:t>“</w:t>
      </w:r>
      <w:r>
        <w:rPr>
          <w:rFonts w:ascii="Arial" w:hAnsi="Arial" w:cs="Arial"/>
          <w:snapToGrid w:val="0"/>
        </w:rPr>
        <w:t>适用临床试验</w:t>
      </w:r>
      <w:r>
        <w:rPr>
          <w:rFonts w:ascii="宋体" w:hAnsi="宋体" w:cs="Arial"/>
          <w:snapToGrid w:val="0"/>
        </w:rPr>
        <w:t>”</w:t>
      </w:r>
      <w:r>
        <w:rPr>
          <w:rFonts w:ascii="Arial" w:hAnsi="Arial" w:cs="Arial"/>
          <w:snapToGrid w:val="0"/>
        </w:rPr>
        <w:t>标准，则必须报告其结果。</w:t>
      </w:r>
    </w:p>
    <w:p w14:paraId="7C4C3A3A">
      <w:pPr>
        <w:pStyle w:val="3"/>
        <w:numPr>
          <w:ilvl w:val="0"/>
          <w:numId w:val="2"/>
        </w:numPr>
        <w:tabs>
          <w:tab w:val="left" w:pos="427"/>
        </w:tabs>
        <w:topLinePunct/>
        <w:adjustRightInd w:val="0"/>
        <w:snapToGrid w:val="0"/>
        <w:spacing w:after="224" w:afterLines="75" w:line="300" w:lineRule="auto"/>
        <w:ind w:left="0" w:firstLine="0"/>
        <w:jc w:val="both"/>
        <w:rPr>
          <w:rFonts w:ascii="Arial" w:hAnsi="Arial" w:cs="Arial"/>
          <w:b w:val="0"/>
          <w:bCs w:val="0"/>
          <w:snapToGrid w:val="0"/>
          <w:sz w:val="28"/>
        </w:rPr>
      </w:pPr>
      <w:bookmarkStart w:id="87" w:name="II._QUALIFICATIONS_FOR_A_STUDY_TO_BE_CON"/>
      <w:bookmarkEnd w:id="87"/>
      <w:bookmarkStart w:id="88" w:name="_bookmark39"/>
      <w:bookmarkEnd w:id="88"/>
      <w:bookmarkStart w:id="89" w:name="_Toc498446442"/>
      <w:bookmarkStart w:id="90" w:name="_Toc498200705"/>
      <w:r>
        <w:rPr>
          <w:rFonts w:ascii="Arial" w:hAnsi="Arial" w:cs="Arial"/>
          <w:snapToGrid w:val="0"/>
          <w:sz w:val="28"/>
        </w:rPr>
        <w:t>可根据21 CFR 50.24进行的研究资格</w:t>
      </w:r>
      <w:bookmarkEnd w:id="89"/>
      <w:bookmarkEnd w:id="90"/>
    </w:p>
    <w:p w14:paraId="502EF77D">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91" w:name="20.__What_conditions_must_be_present_for"/>
      <w:bookmarkEnd w:id="91"/>
      <w:bookmarkStart w:id="92" w:name="_Toc498446443"/>
      <w:bookmarkStart w:id="93" w:name="_Toc498200706"/>
      <w:r>
        <w:rPr>
          <w:rFonts w:ascii="Arial" w:hAnsi="Arial" w:cs="Arial"/>
          <w:snapToGrid w:val="0"/>
        </w:rPr>
        <w:t>如果需要根据21 CFR 50.24进行研究，需满足</w:t>
      </w:r>
      <w:r>
        <w:rPr>
          <w:rFonts w:hint="eastAsia" w:ascii="Arial" w:hAnsi="Arial" w:cs="Arial"/>
          <w:snapToGrid w:val="0"/>
        </w:rPr>
        <w:t>哪些</w:t>
      </w:r>
      <w:r>
        <w:rPr>
          <w:rFonts w:ascii="Arial" w:hAnsi="Arial" w:cs="Arial"/>
          <w:snapToGrid w:val="0"/>
        </w:rPr>
        <w:t>条件？</w:t>
      </w:r>
      <w:bookmarkEnd w:id="92"/>
      <w:bookmarkEnd w:id="93"/>
    </w:p>
    <w:p w14:paraId="0F0B22E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必须满足以下所有条件：</w:t>
      </w:r>
    </w:p>
    <w:p w14:paraId="48FD36FC">
      <w:pPr>
        <w:pStyle w:val="24"/>
        <w:numPr>
          <w:ilvl w:val="1"/>
          <w:numId w:val="3"/>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受试者处于危及生命的处境中，需要进行紧急干预；</w:t>
      </w:r>
    </w:p>
    <w:p w14:paraId="35333BB0">
      <w:pPr>
        <w:pStyle w:val="24"/>
        <w:numPr>
          <w:ilvl w:val="1"/>
          <w:numId w:val="3"/>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可用治疗未经证实或无法令人满意（另请参见问题23、24和25）；</w:t>
      </w:r>
    </w:p>
    <w:p w14:paraId="0985961F">
      <w:pPr>
        <w:pStyle w:val="24"/>
        <w:numPr>
          <w:ilvl w:val="1"/>
          <w:numId w:val="3"/>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需要收集有效科学证据，以便确定干预的安全性和有效性；</w:t>
      </w:r>
    </w:p>
    <w:p w14:paraId="4BE9AD3D">
      <w:pPr>
        <w:pStyle w:val="24"/>
        <w:numPr>
          <w:ilvl w:val="1"/>
          <w:numId w:val="3"/>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由于受试者因其医疗状况而无法授予知情同意，因此无法获取知情同意；</w:t>
      </w:r>
    </w:p>
    <w:p w14:paraId="19603430">
      <w:pPr>
        <w:rPr>
          <w:rFonts w:ascii="Arial" w:hAnsi="Arial" w:eastAsia="宋体" w:cs="Arial"/>
          <w:snapToGrid w:val="0"/>
          <w:sz w:val="24"/>
          <w:szCs w:val="24"/>
        </w:rPr>
      </w:pPr>
      <w:bookmarkStart w:id="94" w:name="_bookmark45"/>
      <w:bookmarkEnd w:id="94"/>
      <w:r>
        <w:rPr>
          <w:rFonts w:ascii="Arial" w:hAnsi="Arial" w:eastAsia="宋体" w:cs="Arial"/>
          <w:snapToGrid w:val="0"/>
          <w:sz w:val="24"/>
          <w:szCs w:val="24"/>
        </w:rPr>
        <w:br w:type="page"/>
      </w:r>
    </w:p>
    <w:p w14:paraId="66F24ACE">
      <w:pPr>
        <w:pStyle w:val="24"/>
        <w:numPr>
          <w:ilvl w:val="1"/>
          <w:numId w:val="3"/>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干预必须在获得受试者法定授权代表的同意之前进行；</w:t>
      </w:r>
    </w:p>
    <w:p w14:paraId="782CA29D">
      <w:pPr>
        <w:pStyle w:val="24"/>
        <w:numPr>
          <w:ilvl w:val="1"/>
          <w:numId w:val="3"/>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无法以合理方法确定可参与研究的潜在个体；</w:t>
      </w:r>
    </w:p>
    <w:p w14:paraId="636762CF">
      <w:pPr>
        <w:pStyle w:val="24"/>
        <w:numPr>
          <w:ilvl w:val="1"/>
          <w:numId w:val="3"/>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参与研究可能使受试者获得直接收益（另请参见问题21）；以及</w:t>
      </w:r>
    </w:p>
    <w:p w14:paraId="1242129B">
      <w:pPr>
        <w:pStyle w:val="24"/>
        <w:numPr>
          <w:ilvl w:val="1"/>
          <w:numId w:val="3"/>
        </w:numPr>
        <w:tabs>
          <w:tab w:val="left" w:pos="1199"/>
          <w:tab w:val="left" w:pos="1200"/>
        </w:tabs>
        <w:topLinePunct/>
        <w:adjustRightInd w:val="0"/>
        <w:snapToGrid w:val="0"/>
        <w:spacing w:after="224" w:afterLines="75"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如果未获得豁免，临床研究实际上无法实施（另请参见问题29）。</w:t>
      </w:r>
    </w:p>
    <w:p w14:paraId="58BB1E3E">
      <w:pPr>
        <w:tabs>
          <w:tab w:val="left" w:pos="1199"/>
          <w:tab w:val="left" w:pos="1200"/>
        </w:tabs>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t>（有关21 CFR 50.24的完整文本，请参见附录A.）</w:t>
      </w:r>
    </w:p>
    <w:p w14:paraId="6C802F9C">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95" w:name="21.__What_is_meant_by_“prospect_of_direc"/>
      <w:bookmarkEnd w:id="95"/>
      <w:bookmarkStart w:id="96" w:name="_Toc498446444"/>
      <w:bookmarkStart w:id="97" w:name="_Toc498200707"/>
      <w:r>
        <w:rPr>
          <w:rFonts w:ascii="Arial" w:hAnsi="Arial" w:cs="Arial"/>
          <w:snapToGrid w:val="0"/>
        </w:rPr>
        <w:t>什么是</w:t>
      </w:r>
      <w:r>
        <w:rPr>
          <w:rFonts w:ascii="宋体" w:hAnsi="宋体" w:cs="Arial"/>
          <w:snapToGrid w:val="0"/>
        </w:rPr>
        <w:t>“</w:t>
      </w:r>
      <w:r>
        <w:rPr>
          <w:rFonts w:ascii="Arial" w:hAnsi="Arial" w:cs="Arial"/>
          <w:snapToGrid w:val="0"/>
        </w:rPr>
        <w:t>可能直接收益</w:t>
      </w:r>
      <w:r>
        <w:rPr>
          <w:rFonts w:ascii="宋体" w:hAnsi="宋体" w:cs="Arial"/>
          <w:snapToGrid w:val="0"/>
        </w:rPr>
        <w:t>”</w:t>
      </w:r>
      <w:r>
        <w:rPr>
          <w:rFonts w:ascii="Arial" w:hAnsi="Arial" w:cs="Arial"/>
          <w:snapToGrid w:val="0"/>
        </w:rPr>
        <w:t>？</w:t>
      </w:r>
      <w:bookmarkEnd w:id="96"/>
      <w:bookmarkEnd w:id="97"/>
    </w:p>
    <w:p w14:paraId="427BA46E">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可以使用来自动物和临床前研究的信息、其他临床数据（例如，将该产品用于另一种情况或另一种诊断或不同研究人群）或其他证据证明，该研究性产品可能使个体受试者获得直接收益。</w:t>
      </w:r>
    </w:p>
    <w:p w14:paraId="3DB903B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根据</w:t>
      </w:r>
      <w:r>
        <w:rPr>
          <w:rFonts w:ascii="宋体" w:hAnsi="宋体" w:cs="Arial"/>
          <w:snapToGrid w:val="0"/>
        </w:rPr>
        <w:t>“</w:t>
      </w:r>
      <w:r>
        <w:rPr>
          <w:rFonts w:ascii="Arial" w:hAnsi="Arial" w:cs="Arial"/>
          <w:snapToGrid w:val="0"/>
        </w:rPr>
        <w:t>21 CFR 50.24 （a）（3）</w:t>
      </w:r>
      <w:r>
        <w:rPr>
          <w:rFonts w:ascii="宋体" w:hAnsi="宋体" w:cs="Arial"/>
          <w:snapToGrid w:val="0"/>
        </w:rPr>
        <w:t>”</w:t>
      </w:r>
      <w:r>
        <w:rPr>
          <w:rFonts w:ascii="Arial" w:hAnsi="Arial" w:cs="Arial"/>
          <w:snapToGrid w:val="0"/>
        </w:rPr>
        <w:t>，IRB必须确定和确认，参与紧急研究可能使受试者获得直接收益，因为：</w:t>
      </w:r>
    </w:p>
    <w:p w14:paraId="52E020B5">
      <w:pPr>
        <w:pStyle w:val="24"/>
        <w:numPr>
          <w:ilvl w:val="0"/>
          <w:numId w:val="4"/>
        </w:numPr>
        <w:tabs>
          <w:tab w:val="left" w:pos="1180"/>
        </w:tabs>
        <w:topLinePunct/>
        <w:adjustRightInd w:val="0"/>
        <w:snapToGrid w:val="0"/>
        <w:spacing w:line="300" w:lineRule="auto"/>
        <w:ind w:left="1202" w:leftChars="326" w:hanging="485"/>
        <w:jc w:val="both"/>
        <w:rPr>
          <w:rFonts w:ascii="Arial" w:hAnsi="Arial" w:eastAsia="宋体" w:cs="Arial"/>
          <w:snapToGrid w:val="0"/>
          <w:sz w:val="24"/>
          <w:szCs w:val="24"/>
        </w:rPr>
      </w:pPr>
      <w:r>
        <w:rPr>
          <w:rFonts w:ascii="Arial" w:hAnsi="Arial" w:eastAsia="宋体" w:cs="Arial"/>
          <w:snapToGrid w:val="0"/>
          <w:sz w:val="24"/>
          <w:szCs w:val="24"/>
        </w:rPr>
        <w:t>受试者处于危及生命的处境中，需要进行干预；</w:t>
      </w:r>
    </w:p>
    <w:p w14:paraId="7B539A0A">
      <w:pPr>
        <w:pStyle w:val="24"/>
        <w:numPr>
          <w:ilvl w:val="0"/>
          <w:numId w:val="4"/>
        </w:numPr>
        <w:tabs>
          <w:tab w:val="left" w:pos="1180"/>
        </w:tabs>
        <w:topLinePunct/>
        <w:adjustRightInd w:val="0"/>
        <w:snapToGrid w:val="0"/>
        <w:spacing w:line="300" w:lineRule="auto"/>
        <w:ind w:left="1202" w:leftChars="326" w:hanging="485"/>
        <w:jc w:val="both"/>
        <w:rPr>
          <w:rFonts w:ascii="Arial" w:hAnsi="Arial" w:eastAsia="宋体" w:cs="Arial"/>
          <w:snapToGrid w:val="0"/>
          <w:sz w:val="24"/>
          <w:szCs w:val="24"/>
        </w:rPr>
      </w:pPr>
      <w:r>
        <w:rPr>
          <w:rFonts w:ascii="Arial" w:hAnsi="Arial" w:eastAsia="宋体" w:cs="Arial"/>
          <w:snapToGrid w:val="0"/>
          <w:sz w:val="24"/>
          <w:szCs w:val="24"/>
        </w:rPr>
        <w:t>来自适当动物和其他临床前研究的信息证明，干预可能使个体受试者获得直接收益；以及</w:t>
      </w:r>
    </w:p>
    <w:p w14:paraId="2925B1CA">
      <w:pPr>
        <w:pStyle w:val="24"/>
        <w:numPr>
          <w:ilvl w:val="0"/>
          <w:numId w:val="4"/>
        </w:numPr>
        <w:tabs>
          <w:tab w:val="left" w:pos="1180"/>
        </w:tabs>
        <w:topLinePunct/>
        <w:adjustRightInd w:val="0"/>
        <w:snapToGrid w:val="0"/>
        <w:spacing w:after="224" w:afterLines="75" w:line="300" w:lineRule="auto"/>
        <w:ind w:left="1202" w:leftChars="326" w:hanging="485"/>
        <w:jc w:val="both"/>
        <w:rPr>
          <w:rFonts w:ascii="Arial" w:hAnsi="Arial" w:eastAsia="宋体" w:cs="Arial"/>
          <w:snapToGrid w:val="0"/>
          <w:sz w:val="24"/>
          <w:szCs w:val="24"/>
        </w:rPr>
      </w:pPr>
      <w:r>
        <w:rPr>
          <w:rFonts w:ascii="Arial" w:hAnsi="Arial" w:eastAsia="宋体" w:cs="Arial"/>
          <w:snapToGrid w:val="0"/>
          <w:sz w:val="24"/>
          <w:szCs w:val="24"/>
        </w:rPr>
        <w:t>相对于潜在受试者的已知医疗状况，标准治疗的风险和收益（如果有）以及拟定干预或活动的已知风险和收益，研究相关风险合理。</w:t>
      </w:r>
    </w:p>
    <w:p w14:paraId="0F5712A3">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98" w:name="22.__Are_trials_with_morbidity_endpoints"/>
      <w:bookmarkEnd w:id="98"/>
      <w:bookmarkStart w:id="99" w:name="_Toc498200708"/>
      <w:bookmarkStart w:id="100" w:name="_Toc498446445"/>
      <w:r>
        <w:rPr>
          <w:rFonts w:ascii="Arial" w:hAnsi="Arial" w:cs="Arial"/>
          <w:snapToGrid w:val="0"/>
        </w:rPr>
        <w:t>此法规是否允许进行</w:t>
      </w:r>
      <w:r>
        <w:rPr>
          <w:rFonts w:hint="eastAsia" w:ascii="Arial" w:hAnsi="Arial" w:cs="Arial"/>
          <w:snapToGrid w:val="0"/>
        </w:rPr>
        <w:t>无</w:t>
      </w:r>
      <w:r>
        <w:rPr>
          <w:rFonts w:ascii="Arial" w:hAnsi="Arial" w:cs="Arial"/>
          <w:snapToGrid w:val="0"/>
        </w:rPr>
        <w:t>发病端点的试验？</w:t>
      </w:r>
      <w:bookmarkEnd w:id="99"/>
      <w:bookmarkEnd w:id="100"/>
    </w:p>
    <w:p w14:paraId="3ADD478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如果研究旨在评估与死亡率密切相关的严重发病率且具有临床相关性，则具有发病率端点（例如，多器官衰竭）而不是死亡率端点的试验可以满足21 CFR 50.24 （a）（3）的要求。例如，具有卒中或头部损伤的患者均处于死亡和严重残疾风险下。对旨在改善卒中结局的干预进行研究时应始终考虑存活率，但也可以检查功能状态，并可以将此类状态作为试验的主要端点。</w:t>
      </w:r>
      <w:r>
        <w:rPr>
          <w:rStyle w:val="22"/>
          <w:rFonts w:ascii="Arial" w:hAnsi="Arial" w:cs="Arial"/>
          <w:snapToGrid w:val="0"/>
        </w:rPr>
        <w:footnoteReference w:id="21"/>
      </w:r>
      <w:r>
        <w:rPr>
          <w:rFonts w:ascii="Arial" w:hAnsi="Arial" w:cs="Arial"/>
          <w:snapToGrid w:val="0"/>
        </w:rPr>
        <w:t>同样，旨在改善治疗癫痫持续状态（一种致命性病症）的研究也可能侧重于减少癫痫发作的控制时间（此收益可以影响存活率），即使研究本身不足以证明存活率得到改善。</w:t>
      </w:r>
    </w:p>
    <w:p w14:paraId="115AF3C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识到，在进行有效性评价研究之前，可能必须获得关于剂量耐受性或对关键生物标志物的影响（例如，脑梗死面积的测量，酸中毒的程度和范围）的初步信息。从个体研究对象角度来看，研究干预应可提供直接收益，即使整体研究不足以证明干预是否可以提供直接收益。如果研究无法在能够同意的受试者中进行，但满足21 CFR 50.24的所有其他要求，则可以进行这种研究。在此类情况下，FDA希望，申办方应明确说明在非同意受试者中进行此类研究的理由。</w:t>
      </w:r>
    </w:p>
    <w:p w14:paraId="523A85B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FDA将根据具体情况考虑所有拟定发病端点。鼓励尽早与合适的FDA审查部门进行讨论。</w:t>
      </w:r>
    </w:p>
    <w:p w14:paraId="189C34F9">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01" w:name="23.__What_is_meant_by_“available_treatme"/>
      <w:bookmarkEnd w:id="101"/>
      <w:bookmarkStart w:id="102" w:name="_Toc498200709"/>
      <w:bookmarkStart w:id="103" w:name="_Toc498446446"/>
      <w:r>
        <w:rPr>
          <w:rFonts w:ascii="Arial" w:hAnsi="Arial" w:cs="Arial"/>
          <w:snapToGrid w:val="0"/>
        </w:rPr>
        <w:t>什么是</w:t>
      </w:r>
      <w:r>
        <w:rPr>
          <w:rFonts w:ascii="宋体" w:hAnsi="宋体" w:cs="Arial"/>
          <w:snapToGrid w:val="0"/>
        </w:rPr>
        <w:t>“</w:t>
      </w:r>
      <w:r>
        <w:rPr>
          <w:rFonts w:ascii="Arial" w:hAnsi="Arial" w:cs="Arial"/>
          <w:snapToGrid w:val="0"/>
        </w:rPr>
        <w:t>可用治疗未经证实或无法令人满意</w:t>
      </w:r>
      <w:r>
        <w:rPr>
          <w:rFonts w:ascii="宋体" w:hAnsi="宋体" w:cs="Arial"/>
          <w:snapToGrid w:val="0"/>
        </w:rPr>
        <w:t>”</w:t>
      </w:r>
      <w:r>
        <w:rPr>
          <w:rFonts w:ascii="Arial" w:hAnsi="Arial" w:cs="Arial"/>
          <w:snapToGrid w:val="0"/>
        </w:rPr>
        <w:t>？</w:t>
      </w:r>
      <w:bookmarkEnd w:id="102"/>
      <w:bookmarkEnd w:id="103"/>
    </w:p>
    <w:p w14:paraId="59B9CEC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21 CFR 50.24 （a）（1）要求IRB确认</w:t>
      </w:r>
      <w:r>
        <w:rPr>
          <w:rFonts w:ascii="宋体" w:hAnsi="宋体" w:cs="Arial"/>
          <w:snapToGrid w:val="0"/>
        </w:rPr>
        <w:t>“</w:t>
      </w:r>
      <w:r>
        <w:rPr>
          <w:rFonts w:ascii="Arial" w:hAnsi="Arial" w:cs="Arial"/>
          <w:snapToGrid w:val="0"/>
        </w:rPr>
        <w:t>可用治疗方法未经证实或无法令人满意...</w:t>
      </w:r>
      <w:r>
        <w:rPr>
          <w:rFonts w:ascii="宋体" w:hAnsi="宋体" w:cs="Arial"/>
          <w:snapToGrid w:val="0"/>
        </w:rPr>
        <w:t>”</w:t>
      </w:r>
      <w:r>
        <w:rPr>
          <w:rFonts w:ascii="Arial" w:hAnsi="Arial" w:cs="Arial"/>
          <w:snapToGrid w:val="0"/>
        </w:rPr>
        <w:t>对于涉及药品的研究，FDA认为，术语</w:t>
      </w:r>
      <w:r>
        <w:rPr>
          <w:rFonts w:ascii="宋体" w:hAnsi="宋体" w:cs="Arial"/>
          <w:snapToGrid w:val="0"/>
        </w:rPr>
        <w:t>“</w:t>
      </w:r>
      <w:r>
        <w:rPr>
          <w:rFonts w:ascii="Arial" w:hAnsi="Arial" w:cs="Arial"/>
          <w:snapToGrid w:val="0"/>
        </w:rPr>
        <w:t>可用治疗</w:t>
      </w:r>
      <w:r>
        <w:rPr>
          <w:rFonts w:ascii="宋体" w:hAnsi="宋体" w:cs="Arial"/>
          <w:snapToGrid w:val="0"/>
        </w:rPr>
        <w:t>”</w:t>
      </w:r>
      <w:r>
        <w:rPr>
          <w:rFonts w:ascii="Arial" w:hAnsi="Arial" w:cs="Arial"/>
          <w:snapToGrid w:val="0"/>
        </w:rPr>
        <w:t>是指在受监管产品的核准标签中规定的治疗，少数例外情况除外。例如，如果治疗不受FDA监管（例如手术）或药品未被标记用于特定用途，但得到医学文献中强有力的证据支持</w:t>
      </w:r>
      <w:r>
        <w:rPr>
          <w:rStyle w:val="22"/>
          <w:rFonts w:ascii="Arial" w:hAnsi="Arial" w:cs="Arial"/>
          <w:snapToGrid w:val="0"/>
        </w:rPr>
        <w:footnoteReference w:id="22"/>
      </w:r>
      <w:r>
        <w:rPr>
          <w:rFonts w:ascii="Arial" w:hAnsi="Arial" w:cs="Arial"/>
          <w:snapToGrid w:val="0"/>
        </w:rPr>
        <w:t>，则可将其视为</w:t>
      </w:r>
      <w:r>
        <w:rPr>
          <w:rFonts w:ascii="宋体" w:hAnsi="宋体" w:cs="Arial"/>
          <w:snapToGrid w:val="0"/>
        </w:rPr>
        <w:t>“</w:t>
      </w:r>
      <w:r>
        <w:rPr>
          <w:rFonts w:ascii="Arial" w:hAnsi="Arial" w:cs="Arial"/>
          <w:snapToGrid w:val="0"/>
        </w:rPr>
        <w:t>可用治疗</w:t>
      </w:r>
      <w:r>
        <w:rPr>
          <w:rFonts w:ascii="宋体" w:hAnsi="宋体" w:cs="Arial"/>
          <w:snapToGrid w:val="0"/>
        </w:rPr>
        <w:t>”</w:t>
      </w:r>
      <w:r>
        <w:rPr>
          <w:rFonts w:ascii="Arial" w:hAnsi="Arial" w:cs="Arial"/>
          <w:snapToGrid w:val="0"/>
        </w:rPr>
        <w:t>。</w:t>
      </w:r>
    </w:p>
    <w:p w14:paraId="11A6793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对于根据21 CFR 50.24进行的研究，申办方、研究者和IRB应考虑以下内容：</w:t>
      </w:r>
    </w:p>
    <w:p w14:paraId="4266414D">
      <w:pPr>
        <w:pStyle w:val="24"/>
        <w:numPr>
          <w:ilvl w:val="0"/>
          <w:numId w:val="5"/>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现行</w:t>
      </w:r>
      <w:r>
        <w:rPr>
          <w:rFonts w:ascii="宋体" w:hAnsi="宋体" w:eastAsia="宋体" w:cs="Arial"/>
          <w:snapToGrid w:val="0"/>
          <w:sz w:val="24"/>
          <w:szCs w:val="24"/>
        </w:rPr>
        <w:t>“</w:t>
      </w:r>
      <w:r>
        <w:rPr>
          <w:rFonts w:ascii="Arial" w:hAnsi="Arial" w:eastAsia="宋体" w:cs="Arial"/>
          <w:snapToGrid w:val="0"/>
          <w:sz w:val="24"/>
          <w:szCs w:val="24"/>
        </w:rPr>
        <w:t>护理标准</w:t>
      </w:r>
      <w:r>
        <w:rPr>
          <w:rFonts w:ascii="宋体" w:hAnsi="宋体" w:eastAsia="宋体" w:cs="Arial"/>
          <w:snapToGrid w:val="0"/>
          <w:sz w:val="24"/>
          <w:szCs w:val="24"/>
        </w:rPr>
        <w:t>”</w:t>
      </w:r>
      <w:r>
        <w:rPr>
          <w:rFonts w:ascii="Arial" w:hAnsi="Arial" w:eastAsia="宋体" w:cs="Arial"/>
          <w:snapToGrid w:val="0"/>
          <w:sz w:val="24"/>
          <w:szCs w:val="24"/>
        </w:rPr>
        <w:t>是什么？</w:t>
      </w:r>
    </w:p>
    <w:p w14:paraId="67E3F9D7">
      <w:pPr>
        <w:pStyle w:val="24"/>
        <w:numPr>
          <w:ilvl w:val="0"/>
          <w:numId w:val="5"/>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有什么治疗方法？</w:t>
      </w:r>
    </w:p>
    <w:p w14:paraId="2FF4A943">
      <w:pPr>
        <w:pStyle w:val="24"/>
        <w:numPr>
          <w:ilvl w:val="0"/>
          <w:numId w:val="5"/>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可用治疗（包括标准治疗）是否</w:t>
      </w:r>
      <w:r>
        <w:rPr>
          <w:rFonts w:ascii="宋体" w:hAnsi="宋体" w:eastAsia="宋体" w:cs="Arial"/>
          <w:snapToGrid w:val="0"/>
          <w:sz w:val="24"/>
          <w:szCs w:val="24"/>
        </w:rPr>
        <w:t>“</w:t>
      </w:r>
      <w:r>
        <w:rPr>
          <w:rFonts w:ascii="Arial" w:hAnsi="Arial" w:eastAsia="宋体" w:cs="Arial"/>
          <w:snapToGrid w:val="0"/>
          <w:sz w:val="24"/>
          <w:szCs w:val="24"/>
        </w:rPr>
        <w:t>未经证实</w:t>
      </w:r>
      <w:r>
        <w:rPr>
          <w:rFonts w:ascii="宋体" w:hAnsi="宋体" w:eastAsia="宋体" w:cs="Arial"/>
          <w:snapToGrid w:val="0"/>
          <w:sz w:val="24"/>
          <w:szCs w:val="24"/>
        </w:rPr>
        <w:t>”</w:t>
      </w:r>
      <w:r>
        <w:rPr>
          <w:rFonts w:ascii="Arial" w:hAnsi="Arial" w:eastAsia="宋体" w:cs="Arial"/>
          <w:snapToGrid w:val="0"/>
          <w:sz w:val="24"/>
          <w:szCs w:val="24"/>
        </w:rPr>
        <w:t>？（另请参见问题24）</w:t>
      </w:r>
    </w:p>
    <w:p w14:paraId="580E485A">
      <w:pPr>
        <w:pStyle w:val="24"/>
        <w:numPr>
          <w:ilvl w:val="0"/>
          <w:numId w:val="5"/>
        </w:numPr>
        <w:tabs>
          <w:tab w:val="left" w:pos="1199"/>
          <w:tab w:val="left" w:pos="1200"/>
        </w:tabs>
        <w:topLinePunct/>
        <w:adjustRightInd w:val="0"/>
        <w:snapToGrid w:val="0"/>
        <w:spacing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如果产品未经批准但被广泛使用，可否进行研究以支持批准？</w:t>
      </w:r>
    </w:p>
    <w:p w14:paraId="32AE593E">
      <w:pPr>
        <w:pStyle w:val="24"/>
        <w:numPr>
          <w:ilvl w:val="0"/>
          <w:numId w:val="5"/>
        </w:numPr>
        <w:tabs>
          <w:tab w:val="left" w:pos="1199"/>
          <w:tab w:val="left" w:pos="1200"/>
        </w:tabs>
        <w:topLinePunct/>
        <w:adjustRightInd w:val="0"/>
        <w:snapToGrid w:val="0"/>
        <w:spacing w:after="224" w:afterLines="75" w:line="300" w:lineRule="auto"/>
        <w:ind w:left="719" w:leftChars="327" w:firstLine="0"/>
        <w:jc w:val="both"/>
        <w:rPr>
          <w:rFonts w:ascii="Arial" w:hAnsi="Arial" w:eastAsia="宋体" w:cs="Arial"/>
          <w:snapToGrid w:val="0"/>
          <w:sz w:val="24"/>
          <w:szCs w:val="24"/>
        </w:rPr>
      </w:pPr>
      <w:r>
        <w:rPr>
          <w:rFonts w:ascii="Arial" w:hAnsi="Arial" w:eastAsia="宋体" w:cs="Arial"/>
          <w:snapToGrid w:val="0"/>
          <w:sz w:val="24"/>
          <w:szCs w:val="24"/>
        </w:rPr>
        <w:t>可用治疗是否无法令人满意，如果是，为什么？（另请参见问题25）</w:t>
      </w:r>
    </w:p>
    <w:p w14:paraId="22819434">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104" w:name="24.__What_is_meant_by_“unproven”?"/>
      <w:bookmarkEnd w:id="104"/>
      <w:bookmarkStart w:id="105" w:name="_Toc498200710"/>
      <w:bookmarkStart w:id="106" w:name="_Toc498446447"/>
      <w:r>
        <w:rPr>
          <w:rFonts w:ascii="Arial" w:hAnsi="Arial" w:cs="Arial"/>
          <w:snapToGrid w:val="0"/>
        </w:rPr>
        <w:t>什么是</w:t>
      </w:r>
      <w:r>
        <w:rPr>
          <w:rFonts w:ascii="宋体" w:hAnsi="宋体" w:cs="Arial"/>
          <w:snapToGrid w:val="0"/>
        </w:rPr>
        <w:t>“</w:t>
      </w:r>
      <w:r>
        <w:rPr>
          <w:rFonts w:ascii="Arial" w:hAnsi="Arial" w:cs="Arial"/>
          <w:snapToGrid w:val="0"/>
        </w:rPr>
        <w:t>未经证实</w:t>
      </w:r>
      <w:r>
        <w:rPr>
          <w:rFonts w:ascii="宋体" w:hAnsi="宋体" w:cs="Arial"/>
          <w:snapToGrid w:val="0"/>
        </w:rPr>
        <w:t>”</w:t>
      </w:r>
      <w:r>
        <w:rPr>
          <w:rFonts w:ascii="Arial" w:hAnsi="Arial" w:cs="Arial"/>
          <w:snapToGrid w:val="0"/>
        </w:rPr>
        <w:t>？</w:t>
      </w:r>
      <w:bookmarkEnd w:id="105"/>
      <w:bookmarkEnd w:id="106"/>
    </w:p>
    <w:p w14:paraId="2E4133C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一般来说，</w:t>
      </w:r>
      <w:r>
        <w:rPr>
          <w:rFonts w:ascii="宋体" w:hAnsi="宋体" w:cs="Arial"/>
          <w:snapToGrid w:val="0"/>
        </w:rPr>
        <w:t>“</w:t>
      </w:r>
      <w:r>
        <w:rPr>
          <w:rFonts w:ascii="Arial" w:hAnsi="Arial" w:cs="Arial"/>
          <w:snapToGrid w:val="0"/>
        </w:rPr>
        <w:t>未经证实</w:t>
      </w:r>
      <w:r>
        <w:rPr>
          <w:rFonts w:ascii="宋体" w:hAnsi="宋体" w:cs="Arial"/>
          <w:snapToGrid w:val="0"/>
        </w:rPr>
        <w:t>”</w:t>
      </w:r>
      <w:r>
        <w:rPr>
          <w:rFonts w:ascii="Arial" w:hAnsi="Arial" w:cs="Arial"/>
          <w:snapToGrid w:val="0"/>
        </w:rPr>
        <w:t>是指没有实质证据表明治疗对相关病症有效。这可能反映出缺少数据或缺少质量良好的研究。术语</w:t>
      </w:r>
      <w:r>
        <w:rPr>
          <w:rFonts w:ascii="宋体" w:hAnsi="宋体" w:cs="Arial"/>
          <w:snapToGrid w:val="0"/>
        </w:rPr>
        <w:t>“</w:t>
      </w:r>
      <w:r>
        <w:rPr>
          <w:rFonts w:ascii="Arial" w:hAnsi="Arial" w:cs="Arial"/>
          <w:snapToGrid w:val="0"/>
        </w:rPr>
        <w:t>未证实疗法</w:t>
      </w:r>
      <w:r>
        <w:rPr>
          <w:rFonts w:ascii="宋体" w:hAnsi="宋体" w:cs="Arial"/>
          <w:snapToGrid w:val="0"/>
        </w:rPr>
        <w:t>”</w:t>
      </w:r>
      <w:r>
        <w:rPr>
          <w:rFonts w:ascii="Arial" w:hAnsi="Arial" w:cs="Arial"/>
          <w:snapToGrid w:val="0"/>
        </w:rPr>
        <w:t>包括：</w:t>
      </w:r>
    </w:p>
    <w:p w14:paraId="54A70075">
      <w:pPr>
        <w:pStyle w:val="24"/>
        <w:numPr>
          <w:ilvl w:val="0"/>
          <w:numId w:val="6"/>
        </w:numPr>
        <w:tabs>
          <w:tab w:val="left" w:pos="1190"/>
        </w:tabs>
        <w:topLinePunct/>
        <w:adjustRightInd w:val="0"/>
        <w:snapToGrid w:val="0"/>
        <w:spacing w:line="300" w:lineRule="auto"/>
        <w:ind w:left="1202" w:leftChars="326" w:hanging="485"/>
        <w:jc w:val="both"/>
        <w:rPr>
          <w:rFonts w:ascii="Arial" w:hAnsi="Arial" w:eastAsia="宋体" w:cs="Arial"/>
          <w:snapToGrid w:val="0"/>
          <w:sz w:val="24"/>
          <w:szCs w:val="24"/>
        </w:rPr>
      </w:pPr>
      <w:r>
        <w:rPr>
          <w:rFonts w:ascii="Arial" w:hAnsi="Arial" w:eastAsia="宋体" w:cs="Arial"/>
          <w:snapToGrid w:val="0"/>
          <w:sz w:val="24"/>
          <w:szCs w:val="24"/>
        </w:rPr>
        <w:t>被视为</w:t>
      </w:r>
      <w:r>
        <w:rPr>
          <w:rFonts w:ascii="宋体" w:hAnsi="宋体" w:eastAsia="宋体" w:cs="Arial"/>
          <w:snapToGrid w:val="0"/>
          <w:sz w:val="24"/>
          <w:szCs w:val="24"/>
        </w:rPr>
        <w:t>“</w:t>
      </w:r>
      <w:r>
        <w:rPr>
          <w:rFonts w:ascii="Arial" w:hAnsi="Arial" w:eastAsia="宋体" w:cs="Arial"/>
          <w:snapToGrid w:val="0"/>
          <w:sz w:val="24"/>
          <w:szCs w:val="24"/>
        </w:rPr>
        <w:t>护理标准</w:t>
      </w:r>
      <w:r>
        <w:rPr>
          <w:rFonts w:ascii="宋体" w:hAnsi="宋体" w:eastAsia="宋体" w:cs="Arial"/>
          <w:snapToGrid w:val="0"/>
          <w:sz w:val="24"/>
          <w:szCs w:val="24"/>
        </w:rPr>
        <w:t>”</w:t>
      </w:r>
      <w:r>
        <w:rPr>
          <w:rFonts w:ascii="Arial" w:hAnsi="Arial" w:eastAsia="宋体" w:cs="Arial"/>
          <w:snapToGrid w:val="0"/>
          <w:sz w:val="24"/>
          <w:szCs w:val="24"/>
        </w:rPr>
        <w:t>但未经过严格科学试验或提交给FDA批准的治疗；</w:t>
      </w:r>
    </w:p>
    <w:p w14:paraId="25C9735B">
      <w:pPr>
        <w:pStyle w:val="24"/>
        <w:numPr>
          <w:ilvl w:val="0"/>
          <w:numId w:val="6"/>
        </w:numPr>
        <w:tabs>
          <w:tab w:val="left" w:pos="1190"/>
        </w:tabs>
        <w:topLinePunct/>
        <w:adjustRightInd w:val="0"/>
        <w:snapToGrid w:val="0"/>
        <w:spacing w:line="300" w:lineRule="auto"/>
        <w:ind w:left="1202" w:leftChars="326" w:hanging="485"/>
        <w:jc w:val="both"/>
        <w:rPr>
          <w:rFonts w:ascii="Arial" w:hAnsi="Arial" w:eastAsia="宋体" w:cs="Arial"/>
          <w:snapToGrid w:val="0"/>
          <w:sz w:val="24"/>
          <w:szCs w:val="24"/>
        </w:rPr>
      </w:pPr>
      <w:r>
        <w:rPr>
          <w:rFonts w:ascii="Arial" w:hAnsi="Arial" w:eastAsia="宋体" w:cs="Arial"/>
          <w:snapToGrid w:val="0"/>
          <w:sz w:val="24"/>
          <w:szCs w:val="24"/>
        </w:rPr>
        <w:t>没有临床或临床前数据或临床或临床前数据不足以支持产品安全性或有效性的治疗；</w:t>
      </w:r>
    </w:p>
    <w:p w14:paraId="3C5B1E49">
      <w:pPr>
        <w:pStyle w:val="24"/>
        <w:numPr>
          <w:ilvl w:val="0"/>
          <w:numId w:val="6"/>
        </w:numPr>
        <w:tabs>
          <w:tab w:val="left" w:pos="1190"/>
        </w:tabs>
        <w:topLinePunct/>
        <w:adjustRightInd w:val="0"/>
        <w:snapToGrid w:val="0"/>
        <w:spacing w:line="300" w:lineRule="auto"/>
        <w:ind w:left="1202" w:leftChars="326" w:hanging="485"/>
        <w:jc w:val="both"/>
        <w:rPr>
          <w:rFonts w:ascii="Arial" w:hAnsi="Arial" w:eastAsia="宋体" w:cs="Arial"/>
          <w:snapToGrid w:val="0"/>
          <w:sz w:val="24"/>
          <w:szCs w:val="24"/>
        </w:rPr>
      </w:pPr>
      <w:r>
        <w:rPr>
          <w:rFonts w:ascii="Arial" w:hAnsi="Arial" w:eastAsia="宋体" w:cs="Arial"/>
          <w:snapToGrid w:val="0"/>
          <w:sz w:val="24"/>
          <w:szCs w:val="24"/>
        </w:rPr>
        <w:t>现有研究和数据不足以作为批准依据（即使已向FDA提交数据）的治疗；</w:t>
      </w:r>
    </w:p>
    <w:p w14:paraId="0EA5A127">
      <w:pPr>
        <w:pStyle w:val="24"/>
        <w:numPr>
          <w:ilvl w:val="0"/>
          <w:numId w:val="6"/>
        </w:numPr>
        <w:tabs>
          <w:tab w:val="left" w:pos="1190"/>
        </w:tabs>
        <w:topLinePunct/>
        <w:adjustRightInd w:val="0"/>
        <w:snapToGrid w:val="0"/>
        <w:spacing w:line="300" w:lineRule="auto"/>
        <w:ind w:left="1202" w:leftChars="326" w:hanging="485"/>
        <w:jc w:val="both"/>
        <w:rPr>
          <w:rFonts w:ascii="Arial" w:hAnsi="Arial" w:eastAsia="宋体" w:cs="Arial"/>
          <w:snapToGrid w:val="0"/>
          <w:sz w:val="24"/>
          <w:szCs w:val="24"/>
        </w:rPr>
      </w:pPr>
      <w:r>
        <w:rPr>
          <w:rFonts w:ascii="Arial" w:hAnsi="Arial" w:eastAsia="宋体" w:cs="Arial"/>
          <w:snapToGrid w:val="0"/>
          <w:sz w:val="24"/>
          <w:szCs w:val="24"/>
        </w:rPr>
        <w:t>未批准用于特定适应症且产品标签未包含所研究的特定适应症的产品；和</w:t>
      </w:r>
    </w:p>
    <w:p w14:paraId="543C7F9F">
      <w:pPr>
        <w:pStyle w:val="24"/>
        <w:numPr>
          <w:ilvl w:val="0"/>
          <w:numId w:val="6"/>
        </w:numPr>
        <w:tabs>
          <w:tab w:val="left" w:pos="1190"/>
        </w:tabs>
        <w:topLinePunct/>
        <w:adjustRightInd w:val="0"/>
        <w:snapToGrid w:val="0"/>
        <w:spacing w:after="224" w:afterLines="75" w:line="300" w:lineRule="auto"/>
        <w:ind w:left="1202" w:leftChars="326" w:hanging="485"/>
        <w:jc w:val="both"/>
        <w:rPr>
          <w:rFonts w:ascii="Arial" w:hAnsi="Arial" w:eastAsia="宋体" w:cs="Arial"/>
          <w:snapToGrid w:val="0"/>
          <w:sz w:val="24"/>
          <w:szCs w:val="24"/>
        </w:rPr>
      </w:pPr>
      <w:r>
        <w:rPr>
          <w:rFonts w:ascii="Arial" w:hAnsi="Arial" w:eastAsia="宋体" w:cs="Arial"/>
          <w:snapToGrid w:val="0"/>
          <w:sz w:val="24"/>
          <w:szCs w:val="24"/>
        </w:rPr>
        <w:t>未注明可用于特定患者人群的可用产品或疗法（例如儿科用途）。</w:t>
      </w:r>
    </w:p>
    <w:p w14:paraId="772278B8">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107" w:name="25.__What_is_meant_by_“unsatisfactory”?"/>
      <w:bookmarkEnd w:id="107"/>
      <w:bookmarkStart w:id="108" w:name="_Toc498200711"/>
      <w:bookmarkStart w:id="109" w:name="_Toc498446448"/>
      <w:r>
        <w:rPr>
          <w:rFonts w:ascii="Arial" w:hAnsi="Arial" w:cs="Arial"/>
          <w:snapToGrid w:val="0"/>
        </w:rPr>
        <w:t>什么是</w:t>
      </w:r>
      <w:r>
        <w:rPr>
          <w:rFonts w:ascii="宋体" w:hAnsi="宋体" w:cs="Arial"/>
          <w:snapToGrid w:val="0"/>
        </w:rPr>
        <w:t>“</w:t>
      </w:r>
      <w:r>
        <w:rPr>
          <w:rFonts w:ascii="Arial" w:hAnsi="Arial" w:cs="Arial"/>
          <w:snapToGrid w:val="0"/>
        </w:rPr>
        <w:t>无法令人满意</w:t>
      </w:r>
      <w:r>
        <w:rPr>
          <w:rFonts w:ascii="宋体" w:hAnsi="宋体" w:cs="Arial"/>
          <w:snapToGrid w:val="0"/>
        </w:rPr>
        <w:t>”</w:t>
      </w:r>
      <w:r>
        <w:rPr>
          <w:rFonts w:ascii="Arial" w:hAnsi="Arial" w:cs="Arial"/>
          <w:snapToGrid w:val="0"/>
        </w:rPr>
        <w:t>？</w:t>
      </w:r>
      <w:bookmarkEnd w:id="108"/>
      <w:bookmarkEnd w:id="109"/>
    </w:p>
    <w:p w14:paraId="17934171">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17B1F8EE">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虽然治疗可</w:t>
      </w:r>
      <w:r>
        <w:rPr>
          <w:rFonts w:ascii="宋体" w:hAnsi="宋体" w:cs="Arial"/>
          <w:snapToGrid w:val="0"/>
        </w:rPr>
        <w:t>“</w:t>
      </w:r>
      <w:r>
        <w:rPr>
          <w:rFonts w:ascii="Arial" w:hAnsi="Arial" w:cs="Arial"/>
          <w:snapToGrid w:val="0"/>
        </w:rPr>
        <w:t>批准</w:t>
      </w:r>
      <w:r>
        <w:rPr>
          <w:rFonts w:ascii="宋体" w:hAnsi="宋体" w:cs="Arial"/>
          <w:snapToGrid w:val="0"/>
        </w:rPr>
        <w:t>”</w:t>
      </w:r>
      <w:r>
        <w:rPr>
          <w:rFonts w:hint="eastAsia" w:ascii="Arial" w:hAnsi="Arial" w:cs="Arial"/>
          <w:snapToGrid w:val="0"/>
        </w:rPr>
        <w:t>和</w:t>
      </w:r>
      <w:r>
        <w:rPr>
          <w:rFonts w:ascii="宋体" w:hAnsi="宋体" w:cs="Arial"/>
          <w:snapToGrid w:val="0"/>
        </w:rPr>
        <w:t>“</w:t>
      </w:r>
      <w:r>
        <w:rPr>
          <w:rFonts w:ascii="Arial" w:hAnsi="Arial" w:cs="Arial"/>
          <w:snapToGrid w:val="0"/>
        </w:rPr>
        <w:t>可用</w:t>
      </w:r>
      <w:r>
        <w:rPr>
          <w:rFonts w:ascii="宋体" w:hAnsi="宋体" w:cs="Arial"/>
          <w:snapToGrid w:val="0"/>
        </w:rPr>
        <w:t>”</w:t>
      </w:r>
      <w:r>
        <w:rPr>
          <w:rFonts w:ascii="Arial" w:hAnsi="Arial" w:cs="Arial"/>
          <w:snapToGrid w:val="0"/>
        </w:rPr>
        <w:t>，但其可能无法令人满意。</w:t>
      </w:r>
      <w:r>
        <w:rPr>
          <w:rFonts w:ascii="宋体" w:hAnsi="宋体" w:cs="Arial"/>
          <w:snapToGrid w:val="0"/>
        </w:rPr>
        <w:t>“</w:t>
      </w:r>
      <w:r>
        <w:rPr>
          <w:rFonts w:ascii="Arial" w:hAnsi="Arial" w:cs="Arial"/>
          <w:snapToGrid w:val="0"/>
        </w:rPr>
        <w:t>无法令人满意</w:t>
      </w:r>
      <w:r>
        <w:rPr>
          <w:rFonts w:ascii="宋体" w:hAnsi="宋体" w:cs="Arial"/>
          <w:snapToGrid w:val="0"/>
        </w:rPr>
        <w:t>”</w:t>
      </w:r>
      <w:r>
        <w:rPr>
          <w:rFonts w:ascii="Arial" w:hAnsi="Arial" w:cs="Arial"/>
          <w:snapToGrid w:val="0"/>
        </w:rPr>
        <w:t>包括可用产品或治疗有效，但其使用有其他缺点的情况，例如：</w:t>
      </w:r>
    </w:p>
    <w:p w14:paraId="62449D54">
      <w:pPr>
        <w:pStyle w:val="24"/>
        <w:numPr>
          <w:ilvl w:val="0"/>
          <w:numId w:val="7"/>
        </w:numPr>
        <w:tabs>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安全性问题（例如，不良影响发生率高；加剧相关受试者人群的不良影响）；</w:t>
      </w:r>
    </w:p>
    <w:p w14:paraId="7D548B69">
      <w:pPr>
        <w:pStyle w:val="24"/>
        <w:numPr>
          <w:ilvl w:val="0"/>
          <w:numId w:val="7"/>
        </w:numPr>
        <w:tabs>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有效性问题，包括：</w:t>
      </w:r>
    </w:p>
    <w:p w14:paraId="3B014A1A">
      <w:pPr>
        <w:pStyle w:val="24"/>
        <w:numPr>
          <w:ilvl w:val="1"/>
          <w:numId w:val="7"/>
        </w:numPr>
        <w:tabs>
          <w:tab w:val="left" w:pos="1920"/>
        </w:tabs>
        <w:topLinePunct/>
        <w:adjustRightInd w:val="0"/>
        <w:snapToGrid w:val="0"/>
        <w:spacing w:line="300" w:lineRule="auto"/>
        <w:ind w:left="1441" w:leftChars="655" w:firstLine="0"/>
        <w:jc w:val="both"/>
        <w:rPr>
          <w:rFonts w:ascii="Arial" w:hAnsi="Arial" w:eastAsia="宋体" w:cs="Arial"/>
          <w:snapToGrid w:val="0"/>
          <w:sz w:val="24"/>
          <w:szCs w:val="24"/>
        </w:rPr>
      </w:pPr>
      <w:r>
        <w:rPr>
          <w:rFonts w:ascii="Arial" w:hAnsi="Arial" w:eastAsia="宋体" w:cs="Arial"/>
          <w:snapToGrid w:val="0"/>
          <w:sz w:val="24"/>
          <w:szCs w:val="24"/>
        </w:rPr>
        <w:t>存活率差</w:t>
      </w:r>
    </w:p>
    <w:p w14:paraId="3B84A136">
      <w:pPr>
        <w:pStyle w:val="24"/>
        <w:numPr>
          <w:ilvl w:val="1"/>
          <w:numId w:val="7"/>
        </w:numPr>
        <w:tabs>
          <w:tab w:val="left" w:pos="1920"/>
        </w:tabs>
        <w:topLinePunct/>
        <w:adjustRightInd w:val="0"/>
        <w:snapToGrid w:val="0"/>
        <w:spacing w:line="300" w:lineRule="auto"/>
        <w:ind w:left="1441" w:leftChars="655" w:firstLine="0"/>
        <w:jc w:val="both"/>
        <w:rPr>
          <w:rFonts w:ascii="Arial" w:hAnsi="Arial" w:eastAsia="宋体" w:cs="Arial"/>
          <w:snapToGrid w:val="0"/>
          <w:sz w:val="24"/>
          <w:szCs w:val="24"/>
        </w:rPr>
      </w:pPr>
      <w:r>
        <w:rPr>
          <w:rFonts w:ascii="Arial" w:hAnsi="Arial" w:eastAsia="宋体" w:cs="Arial"/>
          <w:snapToGrid w:val="0"/>
          <w:sz w:val="24"/>
          <w:szCs w:val="24"/>
        </w:rPr>
        <w:t>治疗仅部分有效；</w:t>
      </w:r>
    </w:p>
    <w:p w14:paraId="6A295F52">
      <w:pPr>
        <w:pStyle w:val="24"/>
        <w:numPr>
          <w:ilvl w:val="1"/>
          <w:numId w:val="7"/>
        </w:numPr>
        <w:tabs>
          <w:tab w:val="left" w:pos="1920"/>
        </w:tabs>
        <w:topLinePunct/>
        <w:adjustRightInd w:val="0"/>
        <w:snapToGrid w:val="0"/>
        <w:spacing w:line="300" w:lineRule="auto"/>
        <w:ind w:left="1441" w:leftChars="655" w:firstLine="0"/>
        <w:jc w:val="both"/>
        <w:rPr>
          <w:rFonts w:ascii="Arial" w:hAnsi="Arial" w:eastAsia="宋体" w:cs="Arial"/>
          <w:snapToGrid w:val="0"/>
          <w:sz w:val="24"/>
          <w:szCs w:val="24"/>
        </w:rPr>
      </w:pPr>
      <w:r>
        <w:rPr>
          <w:rFonts w:ascii="Arial" w:hAnsi="Arial" w:eastAsia="宋体" w:cs="Arial"/>
          <w:snapToGrid w:val="0"/>
          <w:sz w:val="24"/>
          <w:szCs w:val="24"/>
        </w:rPr>
        <w:t>治疗未能预防重大永久性残疾；</w:t>
      </w:r>
    </w:p>
    <w:p w14:paraId="7BB028CE">
      <w:pPr>
        <w:pStyle w:val="24"/>
        <w:numPr>
          <w:ilvl w:val="1"/>
          <w:numId w:val="7"/>
        </w:numPr>
        <w:tabs>
          <w:tab w:val="left" w:pos="1920"/>
        </w:tabs>
        <w:topLinePunct/>
        <w:adjustRightInd w:val="0"/>
        <w:snapToGrid w:val="0"/>
        <w:spacing w:line="300" w:lineRule="auto"/>
        <w:ind w:left="1441" w:leftChars="655" w:firstLine="0"/>
        <w:jc w:val="both"/>
        <w:rPr>
          <w:rFonts w:ascii="Arial" w:hAnsi="Arial" w:eastAsia="宋体" w:cs="Arial"/>
          <w:snapToGrid w:val="0"/>
          <w:sz w:val="24"/>
          <w:szCs w:val="24"/>
        </w:rPr>
      </w:pPr>
      <w:r>
        <w:rPr>
          <w:rFonts w:ascii="Arial" w:hAnsi="Arial" w:eastAsia="宋体" w:cs="Arial"/>
          <w:snapToGrid w:val="0"/>
          <w:sz w:val="24"/>
          <w:szCs w:val="24"/>
        </w:rPr>
        <w:t>既定有效性低；</w:t>
      </w:r>
    </w:p>
    <w:p w14:paraId="301A6EE8">
      <w:pPr>
        <w:pStyle w:val="24"/>
        <w:numPr>
          <w:ilvl w:val="0"/>
          <w:numId w:val="7"/>
        </w:numPr>
        <w:tabs>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治疗生效时间太长（例如停止癫痫发作的时间）；</w:t>
      </w:r>
    </w:p>
    <w:p w14:paraId="3093B7BA">
      <w:pPr>
        <w:pStyle w:val="24"/>
        <w:numPr>
          <w:ilvl w:val="0"/>
          <w:numId w:val="7"/>
        </w:numPr>
        <w:tabs>
          <w:tab w:val="left" w:pos="1200"/>
        </w:tabs>
        <w:topLinePunct/>
        <w:adjustRightInd w:val="0"/>
        <w:snapToGrid w:val="0"/>
        <w:spacing w:after="224" w:afterLines="75"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该治疗具有背景相关限制（例如，应该在现场施用，但需要制冷；不便携；可能难以使用（必须静脉内施用，需要外科手术））。</w:t>
      </w:r>
    </w:p>
    <w:p w14:paraId="3DD134A2">
      <w:pPr>
        <w:pStyle w:val="3"/>
        <w:numPr>
          <w:ilvl w:val="0"/>
          <w:numId w:val="2"/>
        </w:numPr>
        <w:tabs>
          <w:tab w:val="left" w:pos="580"/>
        </w:tabs>
        <w:topLinePunct/>
        <w:adjustRightInd w:val="0"/>
        <w:snapToGrid w:val="0"/>
        <w:spacing w:after="224" w:afterLines="75" w:line="300" w:lineRule="auto"/>
        <w:ind w:left="0" w:firstLine="0"/>
        <w:jc w:val="both"/>
        <w:rPr>
          <w:rFonts w:ascii="Arial" w:hAnsi="Arial" w:cs="Arial"/>
          <w:b w:val="0"/>
          <w:bCs w:val="0"/>
          <w:snapToGrid w:val="0"/>
          <w:sz w:val="28"/>
        </w:rPr>
      </w:pPr>
      <w:bookmarkStart w:id="110" w:name="III.__STUDY_DESIGN"/>
      <w:bookmarkEnd w:id="110"/>
      <w:bookmarkStart w:id="111" w:name="_Toc498446449"/>
      <w:bookmarkStart w:id="112" w:name="_Toc498200712"/>
      <w:r>
        <w:rPr>
          <w:rFonts w:ascii="Arial" w:hAnsi="Arial" w:cs="Arial"/>
          <w:snapToGrid w:val="0"/>
          <w:sz w:val="28"/>
        </w:rPr>
        <w:t>研究设计</w:t>
      </w:r>
      <w:bookmarkEnd w:id="111"/>
      <w:bookmarkEnd w:id="112"/>
    </w:p>
    <w:p w14:paraId="43B7B43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紧急研究法规（21 CFR 50.24）并未规定紧急研究的研究设计。研究设计应足以评价研究性药品或器械是否具有假设效果。FDA建议，如果对具体研究设计存有疑问或不确定是否可以根据21 CFR 50.24进行研究，研究申办方应咨询合适的FDA审查部门。</w:t>
      </w:r>
    </w:p>
    <w:p w14:paraId="7FB7C444">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snapToGrid w:val="0"/>
        </w:rPr>
      </w:pPr>
      <w:bookmarkStart w:id="113" w:name="26.__What_information_should_sponsors_in"/>
      <w:bookmarkEnd w:id="113"/>
      <w:bookmarkStart w:id="114" w:name="_Toc498446450"/>
      <w:bookmarkStart w:id="115" w:name="_Toc498200713"/>
      <w:r>
        <w:rPr>
          <w:rFonts w:ascii="Arial" w:hAnsi="Arial" w:cs="Arial"/>
          <w:snapToGrid w:val="0"/>
        </w:rPr>
        <w:t>申办方应在紧急研究的拟定研究计划（方案）中提供</w:t>
      </w:r>
      <w:r>
        <w:rPr>
          <w:rFonts w:hint="eastAsia" w:ascii="Arial" w:hAnsi="Arial" w:cs="Arial"/>
          <w:snapToGrid w:val="0"/>
        </w:rPr>
        <w:t>哪些</w:t>
      </w:r>
      <w:r>
        <w:rPr>
          <w:rFonts w:ascii="Arial" w:hAnsi="Arial" w:cs="Arial"/>
          <w:snapToGrid w:val="0"/>
        </w:rPr>
        <w:t>信息？</w:t>
      </w:r>
      <w:bookmarkEnd w:id="114"/>
      <w:bookmarkEnd w:id="115"/>
    </w:p>
    <w:p w14:paraId="13376457">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除申办方通常提供的信息外，申办方还应说明在无法同意的受试者中进行研究的理由，说明研究性干预优于现有可用治疗的理由，以及说明现有可用治疗未经证实或无法令人满意的理由。此外，申办方必须提供选择特定治疗窗来应用研究性产品的理由，并说明研究者已承诺在该时间窗内联系每例受试者的合法授权代表（21 CFR 50.24（a）（5））或联系家庭成员，确定其是否允许受试者参与研究（21 CFR 50.24（a）（6））。</w:t>
      </w:r>
    </w:p>
    <w:p w14:paraId="5F55A6F1">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16" w:name="27.__May_placebo-controlled_trials_be_co"/>
      <w:bookmarkEnd w:id="116"/>
      <w:bookmarkStart w:id="117" w:name="_Toc498446451"/>
      <w:bookmarkStart w:id="118" w:name="_Toc498200714"/>
      <w:r>
        <w:rPr>
          <w:rFonts w:ascii="Arial" w:hAnsi="Arial" w:cs="Arial"/>
          <w:snapToGrid w:val="0"/>
        </w:rPr>
        <w:t>是否可以根据21 CFR 50.24进行安慰剂对照试验？</w:t>
      </w:r>
      <w:bookmarkEnd w:id="117"/>
      <w:bookmarkEnd w:id="118"/>
    </w:p>
    <w:p w14:paraId="73F25C8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适当时，可以进行安慰剂对照试验。在几乎所有情况下，当使用安慰剂时，将对所有受试者施用标准护理（如果有），并使受试者随机接受试验治疗或安慰剂。但如果研究旨在确定标准治疗的某些方面是否实际有用，则无需遵守前述要求。在这种情况下，将有一组受试者不会接受标准治疗的该方面。如果试验设计将使某些受试者既不接受标准治疗的某些方面，也不接受供试品，申办方应为这种类型的研究设计提供合理的理由。为此类研究选择适当的设计可能特别具有挑战性。FDA建议，申办方应就拟定研究设计咨询合适的FDA办公室或部门。</w:t>
      </w:r>
      <w:r>
        <w:rPr>
          <w:rFonts w:ascii="Arial" w:hAnsi="Arial" w:cs="Arial"/>
          <w:snapToGrid w:val="0"/>
        </w:rPr>
        <w:br w:type="page"/>
      </w:r>
    </w:p>
    <w:p w14:paraId="10E1ACAF">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snapToGrid w:val="0"/>
        </w:rPr>
      </w:pPr>
      <w:bookmarkStart w:id="119" w:name="28.__What_is_a_non-inferiority_trial?__U"/>
      <w:bookmarkEnd w:id="119"/>
      <w:bookmarkStart w:id="120" w:name="_Toc498200715"/>
      <w:bookmarkStart w:id="121" w:name="_Toc498446452"/>
      <w:r>
        <w:rPr>
          <w:rFonts w:ascii="Arial" w:hAnsi="Arial" w:cs="Arial"/>
          <w:snapToGrid w:val="0"/>
        </w:rPr>
        <w:t>什么是非劣效性试验？在什么情况下可以根据21 CFR 50.24进行非劣效性试验？</w:t>
      </w:r>
      <w:bookmarkEnd w:id="120"/>
      <w:bookmarkEnd w:id="121"/>
    </w:p>
    <w:p w14:paraId="6FF4903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非劣效性试验将比较试验治疗与已确定其有效的对照治疗，并试图表明试验治疗未显著低于或次于对照治疗。非劣效性试验试图表明两中治疗之间的差异极小，因此可以认为，试验治疗至少有一些效果，或在许多情况下，有一种效果高于主动对照。非劣效性试验可以根据21 CFR 50.24进行，但其必须符合法规要求。</w:t>
      </w:r>
    </w:p>
    <w:p w14:paraId="2A7DD61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要成功进行非劣效性试验，需要获得关于对照治疗有效性（使非劣性研究可解释）以及控制治疗的已知安全性或其他问题的明确数据。非劣效性试验通常在安慰剂对照试验不符合伦理规范，以及没有数据表明新治疗比标准治疗更有效时使用。</w:t>
      </w:r>
    </w:p>
    <w:p w14:paraId="62EEE7F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例如，如果可用治疗有效，但可能对其他器官系统有潜在危害，则可以使用非劣效性设计试验。非劣效性设计可用于确定新疗法的有效性，同时确定与可用治疗相比，新疗法是否有明显优势（例如，副作用较少）。除需严格设计以证明非劣性外，研究设计还应可以证明任何安全优势。</w:t>
      </w:r>
    </w:p>
    <w:p w14:paraId="7B97018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（有关临床试验设计的更多信息，请参见ICH E10，临床试验中的对照组选择和相关问题。</w:t>
      </w:r>
      <w:r>
        <w:fldChar w:fldCharType="begin"/>
      </w:r>
      <w:r>
        <w:instrText xml:space="preserve"> HYPERLINK \l "_bookmark58" </w:instrText>
      </w:r>
      <w:r>
        <w:fldChar w:fldCharType="separate"/>
      </w:r>
      <w:r>
        <w:rPr>
          <w:rStyle w:val="22"/>
          <w:rFonts w:ascii="Arial" w:hAnsi="Arial" w:cs="Arial"/>
        </w:rPr>
        <w:footnoteReference w:id="23"/>
      </w:r>
      <w:r>
        <w:rPr>
          <w:rStyle w:val="22"/>
          <w:rFonts w:ascii="Arial" w:hAnsi="Arial" w:cs="Arial"/>
        </w:rPr>
        <w:fldChar w:fldCharType="end"/>
      </w:r>
      <w:r>
        <w:rPr>
          <w:rFonts w:ascii="Arial" w:hAnsi="Arial" w:cs="Arial"/>
          <w:snapToGrid w:val="0"/>
        </w:rPr>
        <w:t>）</w:t>
      </w:r>
    </w:p>
    <w:p w14:paraId="418119C1">
      <w:pPr>
        <w:pStyle w:val="4"/>
        <w:numPr>
          <w:ilvl w:val="0"/>
          <w:numId w:val="3"/>
        </w:numPr>
        <w:tabs>
          <w:tab w:val="left" w:pos="541"/>
        </w:tabs>
        <w:topLinePunct/>
        <w:adjustRightInd w:val="0"/>
        <w:snapToGrid w:val="0"/>
        <w:spacing w:after="224" w:afterLines="75" w:line="300" w:lineRule="auto"/>
        <w:ind w:left="541" w:hanging="541"/>
        <w:jc w:val="both"/>
        <w:rPr>
          <w:rFonts w:ascii="Arial" w:hAnsi="Arial" w:cs="Arial"/>
          <w:snapToGrid w:val="0"/>
        </w:rPr>
      </w:pPr>
      <w:bookmarkStart w:id="122" w:name="29.__One_of_the_requirements_of_21_CFR_5"/>
      <w:bookmarkEnd w:id="122"/>
      <w:bookmarkStart w:id="123" w:name="_Toc498200716"/>
      <w:bookmarkStart w:id="124" w:name="_Toc498446453"/>
      <w:r>
        <w:rPr>
          <w:rFonts w:ascii="Arial" w:hAnsi="Arial" w:cs="Arial"/>
          <w:snapToGrid w:val="0"/>
        </w:rPr>
        <w:t>21 CFR 50.24的要求之一是，</w:t>
      </w:r>
      <w:r>
        <w:rPr>
          <w:rFonts w:ascii="宋体" w:hAnsi="宋体" w:cs="Arial"/>
          <w:snapToGrid w:val="0"/>
        </w:rPr>
        <w:t>“</w:t>
      </w:r>
      <w:r>
        <w:rPr>
          <w:rFonts w:ascii="Arial" w:hAnsi="Arial" w:cs="Arial"/>
          <w:snapToGrid w:val="0"/>
        </w:rPr>
        <w:t>如果未获得知情同意（21 CFR 50.24（a）（4）），研究无法实际进行</w:t>
      </w:r>
      <w:r>
        <w:rPr>
          <w:rFonts w:ascii="宋体" w:hAnsi="宋体" w:cs="Arial"/>
          <w:snapToGrid w:val="0"/>
        </w:rPr>
        <w:t>”</w:t>
      </w:r>
      <w:r>
        <w:rPr>
          <w:rFonts w:ascii="Arial" w:hAnsi="Arial" w:cs="Arial"/>
          <w:snapToGrid w:val="0"/>
        </w:rPr>
        <w:t>，这是什么意思？</w:t>
      </w:r>
      <w:bookmarkEnd w:id="123"/>
      <w:bookmarkEnd w:id="124"/>
    </w:p>
    <w:p w14:paraId="12AF85D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如果（1）在同意受试者中获得的结果可以推广到无法提供同意的受试者，或（2）研究不会因为要求其进行在同意受试者中进行而过度延迟，则FDA将希望研究在受试者中进行。</w:t>
      </w:r>
    </w:p>
    <w:p w14:paraId="1598391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在第一种情况下，如果研究可以在能够给予同意的受试者（例如，患有卒中，但未昏迷的人）中进行，并且可以将结果推广到无法给予同意的受试者（例如昏迷患者），则这项研究将不符合</w:t>
      </w:r>
      <w:r>
        <w:rPr>
          <w:rFonts w:ascii="宋体" w:hAnsi="宋体" w:cs="Arial"/>
          <w:snapToGrid w:val="0"/>
        </w:rPr>
        <w:t>“</w:t>
      </w:r>
      <w:r>
        <w:rPr>
          <w:rFonts w:ascii="Arial" w:hAnsi="Arial" w:cs="Arial"/>
          <w:snapToGrid w:val="0"/>
        </w:rPr>
        <w:t>21 CFR 50.24</w:t>
      </w:r>
      <w:r>
        <w:rPr>
          <w:rFonts w:ascii="宋体" w:hAnsi="宋体" w:cs="Arial"/>
          <w:snapToGrid w:val="0"/>
        </w:rPr>
        <w:t>”</w:t>
      </w:r>
      <w:r>
        <w:rPr>
          <w:rFonts w:ascii="Arial" w:hAnsi="Arial" w:cs="Arial"/>
          <w:snapToGrid w:val="0"/>
        </w:rPr>
        <w:t>的要求。但是，可能无法推广从疾病较轻的人群中获得的结果。与无法同意的受试者相比，能够提供同意的受试者更可能全面康复或者可能不太容易遭受治疗风险。</w:t>
      </w:r>
    </w:p>
    <w:p w14:paraId="23E81E6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第二种情况下，可能无法事先得到未患有待治疗病症，但患有特定疾病或病症，使其极可能遭受治疗事件的患者的同意（例如，术中卒中高危手术患者，心脏骤停高危心脏病患者，已住院和急病患者）。但是，即使可以确定高危人群（例如，住院的心脏病患者），由于事件（例如，特定的致命性心律失常）可能仅在小部分患者中发生，所以无法获得所有患者的同意。因此，受试者招募可能需耗费过多时间，使得研究无法在合理时间内进行。</w:t>
      </w:r>
    </w:p>
    <w:p w14:paraId="2D9816C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申办方可以向FDA咨询研究是否符合此标准。</w:t>
      </w:r>
    </w:p>
    <w:p w14:paraId="1FF6A59B">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25" w:name="30.__Is_it_possible_for_researchers_or_f"/>
      <w:bookmarkEnd w:id="125"/>
      <w:bookmarkStart w:id="126" w:name="_Toc498200717"/>
      <w:bookmarkStart w:id="127" w:name="_Toc498446454"/>
      <w:r>
        <w:rPr>
          <w:rFonts w:ascii="Arial" w:hAnsi="Arial" w:cs="Arial"/>
          <w:snapToGrid w:val="0"/>
        </w:rPr>
        <w:t>研究者或第一反应人员是否可以确定不想参与研究的个体？</w:t>
      </w:r>
      <w:bookmarkEnd w:id="126"/>
      <w:bookmarkEnd w:id="127"/>
    </w:p>
    <w:p w14:paraId="1948C66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研究方案可能描述了紧急护理人员可以合理推断某些无行为能力的个体不会同意参与研究的情况（即使个体符合入选标准）。例如，一些宗教团体的成员反对输血等医疗干预。该计划应鼓励第一反应人员随时查阅易于获取的信息来源（如医用识别腕带），以便获得个体愿意或不愿意参与研究的证据。研究计划也应请求第一反应人员确定是否存在LAR，如果存在LAR，且治疗窗内有足够的时间，应在该治疗窗内征得合法授权代表的同意。如果不存在LAR，则第一反应人员应该询问可能存在的家庭成员，确定其是否同意受试者参与研究（另请参见问题37、68和69）</w:t>
      </w:r>
    </w:p>
    <w:p w14:paraId="6CA01712">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snapToGrid w:val="0"/>
        </w:rPr>
      </w:pPr>
      <w:bookmarkStart w:id="128" w:name="31.__May_studies_in_pediatric_subjects_b"/>
      <w:bookmarkEnd w:id="128"/>
      <w:bookmarkStart w:id="129" w:name="_Toc498200718"/>
      <w:bookmarkStart w:id="130" w:name="_Toc498446455"/>
      <w:r>
        <w:rPr>
          <w:rFonts w:ascii="Arial" w:hAnsi="Arial" w:cs="Arial"/>
          <w:snapToGrid w:val="0"/>
        </w:rPr>
        <w:t>是否可以根据21 CFR 50.24在儿科受试者中进行研究？</w:t>
      </w:r>
      <w:bookmarkEnd w:id="129"/>
      <w:bookmarkEnd w:id="130"/>
    </w:p>
    <w:p w14:paraId="6857BF5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是。可以根据21 CFR 50.24进行儿科研究。除21 CFR 50.24规定的要求外，IRB必须确定和确认，该研究符合21 CFR 50，第D节的要求。</w:t>
      </w:r>
      <w:r>
        <w:rPr>
          <w:rStyle w:val="22"/>
          <w:rFonts w:ascii="Arial" w:hAnsi="Arial" w:cs="Arial"/>
          <w:snapToGrid w:val="0"/>
        </w:rPr>
        <w:footnoteReference w:id="24"/>
      </w:r>
      <w:r>
        <w:rPr>
          <w:rFonts w:ascii="Arial" w:hAnsi="Arial" w:cs="Arial"/>
          <w:snapToGrid w:val="0"/>
        </w:rPr>
        <w:t>21 CFR 50.52适用于涉及中等风险，但可能对受试者产生直接收益的儿科研究。符合21 CFR 50.24标准的研究将可能符合21 CFR 50.52中的标准。但是，在监督涉及儿科受试者的紧急研究时，IRB可能会遇到复杂问题。21</w:t>
      </w:r>
      <w:r>
        <w:rPr>
          <w:rFonts w:ascii="宋体" w:hAnsi="宋体" w:cs="Arial"/>
          <w:snapToGrid w:val="0"/>
        </w:rPr>
        <w:t>“</w:t>
      </w:r>
      <w:r>
        <w:rPr>
          <w:rFonts w:ascii="Arial" w:hAnsi="Arial" w:cs="Arial"/>
          <w:snapToGrid w:val="0"/>
        </w:rPr>
        <w:t>CFR 50.54</w:t>
      </w:r>
      <w:r>
        <w:rPr>
          <w:rFonts w:ascii="宋体" w:hAnsi="宋体" w:cs="Arial"/>
          <w:snapToGrid w:val="0"/>
        </w:rPr>
        <w:t>”</w:t>
      </w:r>
      <w:r>
        <w:rPr>
          <w:rFonts w:ascii="Arial" w:hAnsi="Arial" w:cs="Arial"/>
          <w:snapToGrid w:val="0"/>
        </w:rPr>
        <w:t>适用于不可批准，但可帮助了解、预防或减轻影响儿童健康或福利的严重问题的儿童研究。第50.54条提供IRB可要求食品药品监督管理局（在咨询相关专家小组之后）确定研究是否可批准的机制。</w:t>
      </w:r>
      <w:r>
        <w:rPr>
          <w:rStyle w:val="22"/>
          <w:rFonts w:ascii="Arial" w:hAnsi="Arial" w:cs="Arial"/>
          <w:snapToGrid w:val="0"/>
        </w:rPr>
        <w:footnoteReference w:id="25"/>
      </w:r>
    </w:p>
    <w:p w14:paraId="3217011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FDA建议，涉及儿科受试者的紧急研究的社区咨询和公开披露活动应包括患有研究病症的儿童的父母，以及该儿童（如果适用）。</w:t>
      </w:r>
    </w:p>
    <w:p w14:paraId="79A3C288">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72D3F017">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131" w:name="32.__What_is_a_Special_Protocol_Assessme"/>
      <w:bookmarkEnd w:id="131"/>
      <w:bookmarkStart w:id="132" w:name="_Toc498200719"/>
      <w:bookmarkStart w:id="133" w:name="_Toc498446456"/>
      <w:r>
        <w:rPr>
          <w:rFonts w:ascii="Arial" w:hAnsi="Arial" w:cs="Arial"/>
          <w:snapToGrid w:val="0"/>
        </w:rPr>
        <w:t>什么是特殊试验方案评估（SPA）</w:t>
      </w:r>
      <w:r>
        <w:rPr>
          <w:rStyle w:val="22"/>
          <w:rFonts w:ascii="Arial" w:hAnsi="Arial" w:cs="Arial"/>
          <w:snapToGrid w:val="0"/>
        </w:rPr>
        <w:footnoteReference w:id="26"/>
      </w:r>
      <w:r>
        <w:rPr>
          <w:rFonts w:ascii="Arial" w:hAnsi="Arial" w:cs="Arial"/>
          <w:snapToGrid w:val="0"/>
        </w:rPr>
        <w:t>？</w:t>
      </w:r>
      <w:bookmarkEnd w:id="132"/>
      <w:bookmarkEnd w:id="133"/>
    </w:p>
    <w:p w14:paraId="0DA2A78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一般来说，当临床试验的结果可能构成研究性药品上市申请中有效性声明的主要依据时，申办方可以在开始研究之前进行SPA，以处理和解决与临床试验相关的重大科学问题。SPA允许FDA和申办方就一项或多项此类临床试验的设计、规模、行为和分析或其他方面达成一致。</w:t>
      </w:r>
    </w:p>
    <w:p w14:paraId="489FE86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如果有必要在更改方案前进行社区咨询活动，申办方可能需要咨询FDA，以便确定在SPA过程商定的原则和预期是否与修订研究相关。</w:t>
      </w:r>
    </w:p>
    <w:p w14:paraId="5FCCAF9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如果申办方希望对符合21 CFR 50.24和SPA规定的研究方案进行非科学更改，则其可以进行上述操作。如果方案已更改，则申办方、IRB和临床研究者随后可能需要进行附加社区咨询或公开披露活动，确保将研究和受试者所在社区知晓此类更改。</w:t>
      </w:r>
    </w:p>
    <w:p w14:paraId="3730D86F">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34" w:name="33.__Do_Special_Protocol_Assessments_(SP"/>
      <w:bookmarkEnd w:id="134"/>
      <w:bookmarkStart w:id="135" w:name="_Toc498200720"/>
      <w:bookmarkStart w:id="136" w:name="_Toc498446457"/>
      <w:r>
        <w:rPr>
          <w:rFonts w:ascii="Arial" w:hAnsi="Arial" w:cs="Arial"/>
          <w:snapToGrid w:val="0"/>
        </w:rPr>
        <w:t>特殊试验方案评估（SPA）是否适用于器械研究？</w:t>
      </w:r>
      <w:bookmarkEnd w:id="135"/>
      <w:bookmarkEnd w:id="136"/>
    </w:p>
    <w:p w14:paraId="63810FB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否。但是，器械和放射卫生中心（CDRH）确实提供了器械申办方咨询程序</w:t>
      </w:r>
      <w:r>
        <w:rPr>
          <w:rFonts w:ascii="宋体" w:hAnsi="宋体" w:cs="Arial"/>
          <w:snapToGrid w:val="0"/>
        </w:rPr>
        <w:t>“</w:t>
      </w:r>
      <w:r>
        <w:rPr>
          <w:rFonts w:ascii="Arial" w:hAnsi="Arial" w:cs="Arial"/>
          <w:snapToGrid w:val="0"/>
        </w:rPr>
        <w:t>早期合作会议</w:t>
      </w:r>
      <w:r>
        <w:rPr>
          <w:rFonts w:ascii="宋体" w:hAnsi="宋体" w:cs="Arial"/>
          <w:snapToGrid w:val="0"/>
        </w:rPr>
        <w:t>“</w:t>
      </w:r>
      <w:r>
        <w:rPr>
          <w:rFonts w:ascii="Arial" w:hAnsi="Arial" w:cs="Arial"/>
          <w:snapToGrid w:val="0"/>
        </w:rPr>
        <w:t>。（有关更多信息，请参见</w:t>
      </w:r>
      <w:r>
        <w:rPr>
          <w:rFonts w:ascii="宋体" w:hAnsi="宋体" w:cs="Arial"/>
          <w:snapToGrid w:val="0"/>
        </w:rPr>
        <w:t>“</w:t>
      </w:r>
      <w:r>
        <w:rPr>
          <w:rFonts w:ascii="Arial" w:hAnsi="Arial" w:cs="Arial"/>
          <w:snapToGrid w:val="0"/>
        </w:rPr>
        <w:t>FDA现代化法案（FDAMA）早期合作会议；行业和CDRH工作人员最终指南。</w:t>
      </w:r>
      <w:r>
        <w:rPr>
          <w:rFonts w:ascii="宋体" w:hAnsi="宋体" w:cs="Arial"/>
          <w:snapToGrid w:val="0"/>
        </w:rPr>
        <w:t>”</w:t>
      </w:r>
      <w:r>
        <w:rPr>
          <w:rStyle w:val="22"/>
          <w:rFonts w:ascii="宋体" w:hAnsi="宋体" w:cs="Arial"/>
          <w:snapToGrid w:val="0"/>
        </w:rPr>
        <w:footnoteReference w:id="27"/>
      </w:r>
      <w:r>
        <w:rPr>
          <w:rFonts w:ascii="Arial" w:hAnsi="Arial" w:cs="Arial"/>
          <w:snapToGrid w:val="0"/>
        </w:rPr>
        <w:t>）</w:t>
      </w:r>
    </w:p>
    <w:p w14:paraId="21CD7B64">
      <w:pPr>
        <w:pStyle w:val="3"/>
        <w:numPr>
          <w:ilvl w:val="0"/>
          <w:numId w:val="2"/>
        </w:numPr>
        <w:tabs>
          <w:tab w:val="left" w:pos="568"/>
        </w:tabs>
        <w:topLinePunct/>
        <w:adjustRightInd w:val="0"/>
        <w:snapToGrid w:val="0"/>
        <w:spacing w:after="224" w:afterLines="75" w:line="300" w:lineRule="auto"/>
        <w:ind w:left="0" w:firstLine="0"/>
        <w:jc w:val="both"/>
        <w:rPr>
          <w:rFonts w:ascii="Arial" w:hAnsi="Arial" w:cs="Arial"/>
          <w:b w:val="0"/>
          <w:bCs w:val="0"/>
          <w:snapToGrid w:val="0"/>
          <w:sz w:val="28"/>
        </w:rPr>
      </w:pPr>
      <w:bookmarkStart w:id="137" w:name="IV.__THERAPEUTIC_WINDOW"/>
      <w:bookmarkEnd w:id="137"/>
      <w:bookmarkStart w:id="138" w:name="_Toc498446458"/>
      <w:bookmarkStart w:id="139" w:name="_Toc498200721"/>
      <w:r>
        <w:rPr>
          <w:rFonts w:ascii="Arial" w:hAnsi="Arial" w:cs="Arial"/>
          <w:snapToGrid w:val="0"/>
          <w:sz w:val="28"/>
        </w:rPr>
        <w:t>治疗窗</w:t>
      </w:r>
      <w:bookmarkEnd w:id="138"/>
      <w:bookmarkEnd w:id="139"/>
    </w:p>
    <w:p w14:paraId="15C89A72">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snapToGrid w:val="0"/>
        </w:rPr>
      </w:pPr>
      <w:bookmarkStart w:id="140" w:name="34.__What_is_meant_by_the_term,_“therape"/>
      <w:bookmarkEnd w:id="140"/>
      <w:bookmarkStart w:id="141" w:name="_Toc498200722"/>
      <w:bookmarkStart w:id="142" w:name="_Toc498446459"/>
      <w:r>
        <w:rPr>
          <w:rFonts w:ascii="Arial" w:hAnsi="Arial" w:cs="Arial"/>
          <w:snapToGrid w:val="0"/>
        </w:rPr>
        <w:t>术语</w:t>
      </w:r>
      <w:r>
        <w:rPr>
          <w:rFonts w:ascii="宋体" w:hAnsi="宋体" w:cs="Arial"/>
          <w:snapToGrid w:val="0"/>
        </w:rPr>
        <w:t>“</w:t>
      </w:r>
      <w:r>
        <w:rPr>
          <w:rFonts w:ascii="Arial" w:hAnsi="Arial" w:cs="Arial"/>
          <w:snapToGrid w:val="0"/>
        </w:rPr>
        <w:t>治疗窗</w:t>
      </w:r>
      <w:r>
        <w:rPr>
          <w:rFonts w:ascii="宋体" w:hAnsi="宋体" w:cs="Arial"/>
          <w:snapToGrid w:val="0"/>
        </w:rPr>
        <w:t>”</w:t>
      </w:r>
      <w:r>
        <w:rPr>
          <w:rFonts w:ascii="Arial" w:hAnsi="Arial" w:cs="Arial"/>
          <w:snapToGrid w:val="0"/>
        </w:rPr>
        <w:t>是什么意思？</w:t>
      </w:r>
      <w:bookmarkEnd w:id="141"/>
      <w:bookmarkEnd w:id="142"/>
    </w:p>
    <w:p w14:paraId="7EC9019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研究性产品的治疗窗是事件开始后，根据现有科学证据确定的时间段，必须在此期间内使用或施用研究产品，以获得产品的潜在临床效果（诊断或治疗）。</w:t>
      </w:r>
    </w:p>
    <w:p w14:paraId="1DCCB86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FDA认识到，一些紧急研究的治疗窗可能非常简短，或者在某些情况下，几乎不存在（例如，涉及必须立即使用的抢救器械的研究）。</w:t>
      </w:r>
    </w:p>
    <w:p w14:paraId="08C22902">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43" w:name="_Toc498200723"/>
      <w:bookmarkStart w:id="144" w:name="_Toc498446460"/>
      <w:r>
        <w:rPr>
          <w:rFonts w:ascii="Arial" w:hAnsi="Arial" w:cs="Arial"/>
          <w:snapToGrid w:val="0"/>
        </w:rPr>
        <w:t>申办方如何确定合适的治疗窗？</w:t>
      </w:r>
      <w:bookmarkEnd w:id="143"/>
      <w:bookmarkEnd w:id="144"/>
    </w:p>
    <w:p w14:paraId="2C87AD6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虽然在正式研究治疗时间和治疗结果的关系之前，无法完全确定治疗窗，但申办方必须使用可用数据（例如病理生理数据，动物数据）来尽可能地确定治疗窗（21 CFR 50.24（a）（5））。治疗窗应在研究方案中规定，并说明专门用于获取知情同意的时间量（请参见问题43。）</w:t>
      </w:r>
    </w:p>
    <w:p w14:paraId="7D9278EB">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45" w:name="36.__How_does_the_term,_“therapeutic_win"/>
      <w:bookmarkEnd w:id="145"/>
      <w:bookmarkStart w:id="146" w:name="_Toc498200724"/>
      <w:bookmarkStart w:id="147" w:name="_Toc498446461"/>
      <w:r>
        <w:rPr>
          <w:rFonts w:ascii="Arial" w:hAnsi="Arial" w:cs="Arial"/>
          <w:snapToGrid w:val="0"/>
        </w:rPr>
        <w:t>术语</w:t>
      </w:r>
      <w:r>
        <w:rPr>
          <w:rFonts w:ascii="宋体" w:hAnsi="宋体" w:cs="Arial"/>
          <w:snapToGrid w:val="0"/>
        </w:rPr>
        <w:t>“</w:t>
      </w:r>
      <w:r>
        <w:rPr>
          <w:rFonts w:ascii="Arial" w:hAnsi="Arial" w:cs="Arial"/>
          <w:snapToGrid w:val="0"/>
        </w:rPr>
        <w:t>治疗窗</w:t>
      </w:r>
      <w:r>
        <w:rPr>
          <w:rFonts w:ascii="宋体" w:hAnsi="宋体" w:cs="Arial"/>
          <w:snapToGrid w:val="0"/>
        </w:rPr>
        <w:t>”</w:t>
      </w:r>
      <w:r>
        <w:rPr>
          <w:rFonts w:ascii="Arial" w:hAnsi="Arial" w:cs="Arial"/>
          <w:snapToGrid w:val="0"/>
        </w:rPr>
        <w:t>如何适用于体外诊断器械（IVD）研究？</w:t>
      </w:r>
      <w:bookmarkEnd w:id="146"/>
      <w:bookmarkEnd w:id="147"/>
    </w:p>
    <w:p w14:paraId="672103D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对于满足紧急研究标准的IVD研究，治疗窗是基于现有科学证据确定的时间段，其中，必须在此期间进行诊断，以便及时施用适当治疗。</w:t>
      </w:r>
    </w:p>
    <w:p w14:paraId="6FEB783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实际上，治疗窗可以通过研究性IVD的特征或潜在治疗干预的性质来确定。例如，如果可用科学证据表明，仅在规定时间间隔内施用时，IVD才可能合理产生准确的诊断结果，从而允许施用适当治疗，则治疗窗可能为该规定间隔时间。另一方面，如果适合于特定诊断结局的治疗必须在特定的间隔内施用，则治疗窗将是该间隔时间减去施用和获得IVD结果所需的时间。如果研究性IVD和适当治疗的有效性取决于是否在特定时间间隔内进行施用，则治疗窗是IVD结果确认必须进行诊断和治疗的最短间隔时间。</w:t>
      </w:r>
    </w:p>
    <w:p w14:paraId="4B04F5C1">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48" w:name="37.__Is_it_possible_for_an_individual_to"/>
      <w:bookmarkEnd w:id="148"/>
      <w:bookmarkStart w:id="149" w:name="_Toc498200725"/>
      <w:bookmarkStart w:id="150" w:name="_Toc498446462"/>
      <w:r>
        <w:rPr>
          <w:rFonts w:ascii="Arial" w:hAnsi="Arial" w:cs="Arial"/>
          <w:snapToGrid w:val="0"/>
        </w:rPr>
        <w:t>个体是否可以表示其不想参与紧急研究？</w:t>
      </w:r>
      <w:bookmarkEnd w:id="149"/>
      <w:bookmarkEnd w:id="150"/>
    </w:p>
    <w:p w14:paraId="0695398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w:t>
      </w:r>
      <w:r>
        <w:rPr>
          <w:rFonts w:hint="eastAsia" w:ascii="Arial" w:hAnsi="Arial" w:cs="Arial"/>
          <w:snapToGrid w:val="0"/>
        </w:rPr>
        <w:t>。</w:t>
      </w:r>
      <w:r>
        <w:rPr>
          <w:rFonts w:ascii="Arial" w:hAnsi="Arial" w:cs="Arial"/>
          <w:snapToGrid w:val="0"/>
        </w:rPr>
        <w:t>21 CFR 50.24适用的紧急处境涉及通常无意识或无法交流的个体。但是，在有些情况下，个体可能有意识并能够交流。在此类情况下，虽然难以或无法获得完全同意，在施用供试品之前，个体可以表示其不想参与紧急研究。如果个体拒绝参与研究，必须尊重其决定（21 CFR 50.20）。还可能有其他证据表明个体不想参与研究（例如医疗珠宝，钱包卡），在场LAR拒绝提供知情同意，或者在场家庭成员可能能够传达受试者不愿意参与研究（另请参见问题30、68和69）。</w:t>
      </w:r>
    </w:p>
    <w:p w14:paraId="0C357FF9">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snapToGrid w:val="0"/>
        </w:rPr>
      </w:pPr>
      <w:bookmarkStart w:id="151" w:name="38.__What_is_a_legally_authorized_repres"/>
      <w:bookmarkEnd w:id="151"/>
      <w:bookmarkStart w:id="152" w:name="_Toc498446463"/>
      <w:bookmarkStart w:id="153" w:name="_Toc498200726"/>
      <w:r>
        <w:rPr>
          <w:rFonts w:ascii="Arial" w:hAnsi="Arial" w:cs="Arial"/>
          <w:snapToGrid w:val="0"/>
        </w:rPr>
        <w:t>什么是合法授权代表？</w:t>
      </w:r>
      <w:bookmarkEnd w:id="152"/>
      <w:bookmarkEnd w:id="153"/>
    </w:p>
    <w:p w14:paraId="3F6EC68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法定授权代表是指根据适用法律授权，代表潜在受试者决定是否参与研究程序的个体或司法或其他机构（21 CFR 50.3（1））。</w:t>
      </w:r>
    </w:p>
    <w:p w14:paraId="3EF3B5C1">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54" w:name="39.__Who_may_serve_as_a_legally_authoriz"/>
      <w:bookmarkEnd w:id="154"/>
      <w:bookmarkStart w:id="155" w:name="_Toc498446464"/>
      <w:bookmarkStart w:id="156" w:name="_Toc498200727"/>
      <w:r>
        <w:rPr>
          <w:rFonts w:ascii="Arial" w:hAnsi="Arial" w:cs="Arial"/>
          <w:snapToGrid w:val="0"/>
        </w:rPr>
        <w:t>谁可以担任合法授权代表（LAR）？</w:t>
      </w:r>
      <w:bookmarkEnd w:id="155"/>
      <w:bookmarkEnd w:id="156"/>
    </w:p>
    <w:p w14:paraId="72493F1E">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t>一些州已经颁布了法律、法规或普通法，专门涉及由受试者以外的人员（即LAR）同意参与研究的情况。但是，如果州法律没有界定有权代表他人同意参与研究的人员，则管理临床手术和／或治疗同意的州法律可能适用。机构和IRB可能能够协助临床研究者确定，家庭成员是否已根据适用的州法律认定为LAR。</w:t>
      </w:r>
    </w:p>
    <w:p w14:paraId="26907220">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0485A8DA">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57" w:name="40.__If_an_emergency_research_study_invo"/>
      <w:bookmarkEnd w:id="157"/>
      <w:bookmarkStart w:id="158" w:name="_Toc498200728"/>
      <w:bookmarkStart w:id="159" w:name="_Toc498446465"/>
      <w:r>
        <w:rPr>
          <w:rFonts w:ascii="Arial" w:hAnsi="Arial" w:cs="Arial"/>
          <w:snapToGrid w:val="0"/>
        </w:rPr>
        <w:t>如果紧急研究涉及儿科受试者，谁可以担任儿童的法定授权代表（LAR）？</w:t>
      </w:r>
      <w:bookmarkEnd w:id="158"/>
      <w:bookmarkEnd w:id="159"/>
    </w:p>
    <w:p w14:paraId="4874C75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上所述，一般来说，由研究所在司法管辖区的法律（例如州法律，法院命令）管辖可以担任LAR的人员。在许多州的法律中，一般由父母担任其子女的LAR，并在此类情况下决定是否允许其子女参与临床研究，包括紧急研究（21 CFR 50，第D章）。如果由儿童父母以外的人员对儿童负责，临床研究者可能需要核实授权声明（例如，要求查看法院命令或其他证明文件的副本）。</w:t>
      </w:r>
    </w:p>
    <w:p w14:paraId="41D1CB23">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60" w:name="41.__What_is_the_purpose_of_contacting_a"/>
      <w:bookmarkEnd w:id="160"/>
      <w:bookmarkStart w:id="161" w:name="_Toc498200729"/>
      <w:bookmarkStart w:id="162" w:name="_Toc498446466"/>
      <w:r>
        <w:rPr>
          <w:rFonts w:ascii="Arial" w:hAnsi="Arial" w:cs="Arial"/>
          <w:snapToGrid w:val="0"/>
        </w:rPr>
        <w:t>联系受试者法定授权代表（LAR）的目的是什么？</w:t>
      </w:r>
      <w:bookmarkEnd w:id="161"/>
      <w:bookmarkEnd w:id="162"/>
    </w:p>
    <w:p w14:paraId="22BFF81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临床研究者必须承诺尝试在治疗窗内联系受试者的LAR。联系LAR的目的是询问LAR（如果可行）是否同意受试者参与研究，而不是在未获得同意的情况下继续进行（请参见21 CFR 50.24 （a）（5））。</w:t>
      </w:r>
    </w:p>
    <w:p w14:paraId="59219935">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snapToGrid w:val="0"/>
        </w:rPr>
      </w:pPr>
      <w:bookmarkStart w:id="163" w:name="42.__What_is_the_purpose_of_contacting_a"/>
      <w:bookmarkEnd w:id="163"/>
      <w:bookmarkStart w:id="164" w:name="_Toc498446467"/>
      <w:bookmarkStart w:id="165" w:name="_Toc498200730"/>
      <w:r>
        <w:rPr>
          <w:rFonts w:ascii="Arial" w:hAnsi="Arial" w:cs="Arial"/>
          <w:snapToGrid w:val="0"/>
        </w:rPr>
        <w:t>联系受试者家庭成员的目的是什么？</w:t>
      </w:r>
      <w:bookmarkEnd w:id="164"/>
      <w:bookmarkEnd w:id="165"/>
    </w:p>
    <w:p w14:paraId="786F666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如果无法联系受试者的法定授权代表，临床研究者必须尝试联系受试者的家庭成员（21 CFR 50.24（a）（7）（v）），确认家庭成员是否反对受试者参与研究。如果家庭成员在场或陪同受试者至急症室，紧急反应人员或研究者必须立即询问家庭成员其是否反对受试者参与研究。如果家庭成员反对，不得将该受试者招入研究中。并没有相关要求规定，家庭成员必须担任受试者的合法授权代表。</w:t>
      </w:r>
    </w:p>
    <w:p w14:paraId="7045724C">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snapToGrid w:val="0"/>
        </w:rPr>
      </w:pPr>
      <w:bookmarkStart w:id="166" w:name="43.__Must_attempts_to_contact_a_subject’"/>
      <w:bookmarkEnd w:id="166"/>
      <w:bookmarkStart w:id="167" w:name="_Toc498200731"/>
      <w:bookmarkStart w:id="168" w:name="_Toc498446468"/>
      <w:r>
        <w:rPr>
          <w:rFonts w:ascii="Arial" w:hAnsi="Arial" w:cs="Arial"/>
          <w:snapToGrid w:val="0"/>
        </w:rPr>
        <w:t>在可以将供试品施用于受试者之前，是否必须在整个治疗窗内持续尝试联系受试者的合法授权代表或家庭成员？</w:t>
      </w:r>
      <w:bookmarkEnd w:id="167"/>
      <w:bookmarkEnd w:id="168"/>
    </w:p>
    <w:p w14:paraId="0A9E5F6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FDA不要求在可以施用供试品前，于整个治疗窗内持续尝试联系合法授权代表（LAR）或家庭成员。一般来说，如果施用供试品的延迟时间增加，供试品的潜在收益将会降低。因此，在确定治疗窗中专门用于寻求获得LAR的知情同意，或确认家庭成员是否反对受试者参与研究的时间比例时，应考虑延迟施用供试品的影响。</w:t>
      </w:r>
    </w:p>
    <w:p w14:paraId="74823A3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在确定研究符合21 CFR 50.24的要求之前，IRB必须审查尝试联系LAR或家庭成员的拟定计划和程序，并确定在可以施用供试品前，用于进行此类尝试的规定时间段是否适用（21 CFR 50.24（a）（5）和（6））（有关更多信息，请参见第X节</w:t>
      </w:r>
      <w:r>
        <w:rPr>
          <w:rFonts w:ascii="宋体" w:hAnsi="宋体" w:cs="Arial"/>
          <w:snapToGrid w:val="0"/>
        </w:rPr>
        <w:t>“</w:t>
      </w:r>
      <w:r>
        <w:rPr>
          <w:rFonts w:ascii="Arial" w:hAnsi="Arial" w:cs="Arial"/>
          <w:snapToGrid w:val="0"/>
        </w:rPr>
        <w:t>联系法律授权代表或家庭成员</w:t>
      </w:r>
      <w:r>
        <w:rPr>
          <w:rFonts w:ascii="宋体" w:hAnsi="宋体" w:cs="Arial"/>
          <w:snapToGrid w:val="0"/>
        </w:rPr>
        <w:t>”</w:t>
      </w:r>
      <w:r>
        <w:rPr>
          <w:rFonts w:ascii="Arial" w:hAnsi="Arial" w:cs="Arial"/>
          <w:snapToGrid w:val="0"/>
        </w:rPr>
        <w:t>）。</w:t>
      </w:r>
    </w:p>
    <w:p w14:paraId="78BF56F2">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06CD4A64">
      <w:pPr>
        <w:pStyle w:val="3"/>
        <w:numPr>
          <w:ilvl w:val="0"/>
          <w:numId w:val="2"/>
        </w:numPr>
        <w:tabs>
          <w:tab w:val="left" w:pos="473"/>
        </w:tabs>
        <w:topLinePunct/>
        <w:adjustRightInd w:val="0"/>
        <w:snapToGrid w:val="0"/>
        <w:spacing w:after="224" w:afterLines="75" w:line="300" w:lineRule="auto"/>
        <w:ind w:left="0" w:firstLine="0"/>
        <w:jc w:val="both"/>
        <w:rPr>
          <w:rFonts w:ascii="Arial" w:hAnsi="Arial" w:cs="Arial"/>
          <w:b w:val="0"/>
          <w:bCs w:val="0"/>
          <w:snapToGrid w:val="0"/>
          <w:sz w:val="28"/>
        </w:rPr>
      </w:pPr>
      <w:bookmarkStart w:id="169" w:name="V.__IRB_RESPONSIBILITIES"/>
      <w:bookmarkEnd w:id="169"/>
      <w:bookmarkStart w:id="170" w:name="_Toc498200732"/>
      <w:bookmarkStart w:id="171" w:name="_Toc498446469"/>
      <w:r>
        <w:rPr>
          <w:rFonts w:ascii="Arial" w:hAnsi="Arial" w:cs="Arial"/>
          <w:snapToGrid w:val="0"/>
          <w:sz w:val="28"/>
        </w:rPr>
        <w:t>IRB责任</w:t>
      </w:r>
      <w:bookmarkEnd w:id="170"/>
      <w:bookmarkEnd w:id="171"/>
    </w:p>
    <w:p w14:paraId="2CC3407C">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172" w:name="44.__What_is_the_IRB’s_role_in_reviewing"/>
      <w:bookmarkEnd w:id="172"/>
      <w:bookmarkStart w:id="173" w:name="_Toc498200733"/>
      <w:bookmarkStart w:id="174" w:name="_Toc498446470"/>
      <w:r>
        <w:rPr>
          <w:rFonts w:ascii="Arial" w:hAnsi="Arial" w:cs="Arial"/>
          <w:snapToGrid w:val="0"/>
        </w:rPr>
        <w:t>IRB在审查紧急研究中的作用是什么？</w:t>
      </w:r>
      <w:bookmarkEnd w:id="173"/>
      <w:bookmarkEnd w:id="174"/>
    </w:p>
    <w:p w14:paraId="285ECFF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根据21 CFR 56.109，IRB必须审查并有权批准，要求修改或驳回拟定临床研究。对于根据21 CFR 50.24进行的紧急研究，征得执业医师同意后（其是IRB成员或IRB的顾问，但未参与临床研究）（另请参见问题51），IRB必须确定和确认研究是否符合21 CFR 50.24 （a）（1）至（7）中的标准</w:t>
      </w:r>
      <w:r>
        <w:rPr>
          <w:rStyle w:val="22"/>
          <w:rFonts w:ascii="Arial" w:hAnsi="Arial" w:cs="Arial"/>
          <w:snapToGrid w:val="0"/>
        </w:rPr>
        <w:footnoteReference w:id="28"/>
      </w:r>
      <w:r>
        <w:rPr>
          <w:rFonts w:ascii="Arial" w:hAnsi="Arial" w:cs="Arial"/>
          <w:snapToGrid w:val="0"/>
        </w:rPr>
        <w:t>，以及研究是否可能根据本节批准。</w:t>
      </w:r>
    </w:p>
    <w:p w14:paraId="7E1935D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例如，IRB必须审查社区咨询和公开披露计划（21 CFR 50.24（a）（7）（i），（ii），（iii））。社区咨询活动应旨在帮助确保，紧急研究和受试者所在社区已充分了解研究的风险和预期收益，并有机会提出相关问题，并在IRB作出研究相关决定前发表意见。</w:t>
      </w:r>
      <w:r>
        <w:rPr>
          <w:rStyle w:val="22"/>
          <w:rFonts w:ascii="Arial" w:hAnsi="Arial" w:cs="Arial"/>
          <w:snapToGrid w:val="0"/>
        </w:rPr>
        <w:footnoteReference w:id="29"/>
      </w:r>
      <w:r>
        <w:rPr>
          <w:rFonts w:ascii="Arial" w:hAnsi="Arial" w:cs="Arial"/>
          <w:snapToGrid w:val="0"/>
        </w:rPr>
        <w:t>在审查社区咨询活动时，IRB需要判断此类活动的设计是否充分，以涵盖研究计划中确定的广泛社区。</w:t>
      </w:r>
    </w:p>
    <w:p w14:paraId="7C992C1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各IRB需要</w:t>
      </w:r>
      <w:r>
        <w:rPr>
          <w:rFonts w:ascii="宋体" w:hAnsi="宋体" w:cs="Arial"/>
          <w:snapToGrid w:val="0"/>
        </w:rPr>
        <w:t>“</w:t>
      </w:r>
      <w:r>
        <w:rPr>
          <w:rFonts w:ascii="Arial" w:hAnsi="Arial" w:cs="Arial"/>
          <w:snapToGrid w:val="0"/>
        </w:rPr>
        <w:t>具有足够资格（具体体现在其成员的经验和专业知识以及成员的多样性，包括种族、性别、文化背景以及对社区态度等问题的敏感性），以提高其在维护受试者的权利和福利时拟定建议和提议的公信力...</w:t>
      </w:r>
      <w:r>
        <w:rPr>
          <w:rFonts w:hint="eastAsia" w:ascii="宋体" w:hAnsi="宋体" w:cs="Arial"/>
          <w:snapToGrid w:val="0"/>
        </w:rPr>
        <w:t>”</w:t>
      </w:r>
      <w:r>
        <w:rPr>
          <w:rFonts w:ascii="Arial" w:hAnsi="Arial" w:cs="Arial"/>
          <w:snapToGrid w:val="0"/>
        </w:rPr>
        <w:t>（21 CFR 56.107（a））。因此，FDA建议IRB成员参加社区咨询活动，听取此类社区的意见。</w:t>
      </w:r>
    </w:p>
    <w:p w14:paraId="0011775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此外，根据</w:t>
      </w:r>
      <w:r>
        <w:rPr>
          <w:rFonts w:ascii="宋体" w:hAnsi="宋体" w:cs="Arial"/>
          <w:snapToGrid w:val="0"/>
        </w:rPr>
        <w:t>“</w:t>
      </w:r>
      <w:r>
        <w:rPr>
          <w:rFonts w:ascii="Arial" w:hAnsi="Arial" w:cs="Arial"/>
          <w:snapToGrid w:val="0"/>
        </w:rPr>
        <w:t>21 CFR 50.24（b）</w:t>
      </w:r>
      <w:r>
        <w:rPr>
          <w:rFonts w:ascii="宋体" w:hAnsi="宋体" w:cs="Arial"/>
          <w:snapToGrid w:val="0"/>
        </w:rPr>
        <w:t>”</w:t>
      </w:r>
      <w:r>
        <w:rPr>
          <w:rFonts w:ascii="Arial" w:hAnsi="Arial" w:cs="Arial"/>
          <w:snapToGrid w:val="0"/>
        </w:rPr>
        <w:t>，IRB必须确保已制定适当程序，以便尽可</w:t>
      </w:r>
      <w:r>
        <w:rPr>
          <w:rFonts w:hint="eastAsia" w:ascii="Arial" w:hAnsi="Arial" w:cs="Arial"/>
          <w:snapToGrid w:val="0"/>
        </w:rPr>
        <w:t>能</w:t>
      </w:r>
      <w:r>
        <w:rPr>
          <w:rFonts w:ascii="Arial" w:hAnsi="Arial" w:cs="Arial"/>
          <w:snapToGrid w:val="0"/>
        </w:rPr>
        <w:t>通知受试者或其合法授权代表或家庭成员将受试者纳入研究的决定、研究详细信息、每例受试者停止参与研究的权利以及知情同意书中包含的其他信息。</w:t>
      </w:r>
    </w:p>
    <w:p w14:paraId="745041D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由于本规则下的活动为紧急研究所特有，所以下文将简要介绍IRB在</w:t>
      </w:r>
      <w:r>
        <w:rPr>
          <w:rFonts w:ascii="宋体" w:hAnsi="宋体" w:cs="Arial"/>
          <w:snapToGrid w:val="0"/>
        </w:rPr>
        <w:t>“</w:t>
      </w:r>
      <w:r>
        <w:rPr>
          <w:rFonts w:ascii="Arial" w:hAnsi="Arial" w:cs="Arial"/>
          <w:snapToGrid w:val="0"/>
        </w:rPr>
        <w:t>21 CFR 50.24</w:t>
      </w:r>
      <w:r>
        <w:rPr>
          <w:rFonts w:ascii="宋体" w:hAnsi="宋体" w:cs="Arial"/>
          <w:snapToGrid w:val="0"/>
        </w:rPr>
        <w:t>”</w:t>
      </w:r>
      <w:r>
        <w:rPr>
          <w:rFonts w:ascii="Arial" w:hAnsi="Arial" w:cs="Arial"/>
          <w:snapToGrid w:val="0"/>
        </w:rPr>
        <w:t>下的责任以及可能的责任发生顺序。（附录C提供示例流程图）</w:t>
      </w:r>
    </w:p>
    <w:p w14:paraId="2C24AEBD">
      <w:pPr>
        <w:pStyle w:val="4"/>
        <w:numPr>
          <w:ilvl w:val="0"/>
          <w:numId w:val="3"/>
        </w:numPr>
        <w:tabs>
          <w:tab w:val="left" w:pos="541"/>
        </w:tabs>
        <w:topLinePunct/>
        <w:adjustRightInd w:val="0"/>
        <w:snapToGrid w:val="0"/>
        <w:spacing w:after="224" w:afterLines="75" w:line="300" w:lineRule="auto"/>
        <w:ind w:left="541" w:hanging="541"/>
        <w:jc w:val="both"/>
        <w:rPr>
          <w:rFonts w:ascii="Arial" w:hAnsi="Arial" w:cs="Arial"/>
          <w:b w:val="0"/>
          <w:bCs w:val="0"/>
          <w:i w:val="0"/>
          <w:snapToGrid w:val="0"/>
        </w:rPr>
      </w:pPr>
      <w:bookmarkStart w:id="175" w:name="45.__What_information_should_the_clinica"/>
      <w:bookmarkEnd w:id="175"/>
      <w:bookmarkStart w:id="176" w:name="_Toc498200734"/>
      <w:bookmarkStart w:id="177" w:name="_Toc498446471"/>
      <w:r>
        <w:rPr>
          <w:rFonts w:ascii="Arial" w:hAnsi="Arial" w:cs="Arial"/>
          <w:snapToGrid w:val="0"/>
        </w:rPr>
        <w:t>如果研究方案已根据21 CFR 50.24豁免知情同意，临床研究者或申办方向IRB提供哪些相关信息？</w:t>
      </w:r>
      <w:bookmarkEnd w:id="176"/>
      <w:bookmarkEnd w:id="177"/>
    </w:p>
    <w:p w14:paraId="3250E5C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临床研究者或申办方应提供以下内容：</w:t>
      </w:r>
    </w:p>
    <w:p w14:paraId="2560F45B">
      <w:pPr>
        <w:pStyle w:val="24"/>
        <w:numPr>
          <w:ilvl w:val="1"/>
          <w:numId w:val="3"/>
        </w:numPr>
        <w:tabs>
          <w:tab w:val="left" w:pos="1134"/>
        </w:tabs>
        <w:topLinePunct/>
        <w:adjustRightInd w:val="0"/>
        <w:snapToGrid w:val="0"/>
        <w:spacing w:after="224" w:afterLines="75" w:line="300" w:lineRule="auto"/>
        <w:ind w:left="1132" w:leftChars="326" w:hanging="415"/>
        <w:jc w:val="both"/>
        <w:rPr>
          <w:rFonts w:ascii="Arial" w:hAnsi="Arial" w:eastAsia="宋体" w:cs="Arial"/>
          <w:snapToGrid w:val="0"/>
          <w:sz w:val="24"/>
          <w:szCs w:val="24"/>
        </w:rPr>
      </w:pPr>
      <w:r>
        <w:rPr>
          <w:rFonts w:ascii="Arial" w:hAnsi="Arial" w:eastAsia="宋体" w:cs="Arial"/>
          <w:snapToGrid w:val="0"/>
          <w:sz w:val="24"/>
          <w:szCs w:val="24"/>
        </w:rPr>
        <w:t>证明21 CFR 50.24 （a）（1）至（4）中紧急研究豁免知情同意要求的标准已得到满足的材料；</w:t>
      </w:r>
    </w:p>
    <w:p w14:paraId="69DC14CD">
      <w:pPr>
        <w:topLinePunct/>
        <w:adjustRightInd w:val="0"/>
        <w:snapToGrid w:val="0"/>
        <w:spacing w:after="224" w:afterLines="75" w:line="300" w:lineRule="auto"/>
        <w:jc w:val="both"/>
        <w:rPr>
          <w:rFonts w:ascii="Arial" w:hAnsi="Arial" w:eastAsia="宋体" w:cs="Arial"/>
          <w:snapToGrid w:val="0"/>
          <w:sz w:val="24"/>
          <w:szCs w:val="24"/>
        </w:rPr>
      </w:pPr>
      <w:bookmarkStart w:id="178" w:name="_bookmark82"/>
      <w:bookmarkEnd w:id="178"/>
      <w:r>
        <w:rPr>
          <w:rFonts w:ascii="Arial" w:hAnsi="Arial" w:eastAsia="宋体" w:cs="Arial"/>
          <w:snapToGrid w:val="0"/>
          <w:sz w:val="24"/>
          <w:szCs w:val="24"/>
        </w:rPr>
        <w:br w:type="page"/>
      </w:r>
    </w:p>
    <w:p w14:paraId="7525EE7C">
      <w:pPr>
        <w:pStyle w:val="24"/>
        <w:numPr>
          <w:ilvl w:val="1"/>
          <w:numId w:val="3"/>
        </w:numPr>
        <w:tabs>
          <w:tab w:val="left" w:pos="1134"/>
        </w:tabs>
        <w:topLinePunct/>
        <w:adjustRightInd w:val="0"/>
        <w:snapToGrid w:val="0"/>
        <w:spacing w:line="300" w:lineRule="auto"/>
        <w:ind w:left="1132" w:leftChars="326" w:hanging="415"/>
        <w:jc w:val="both"/>
        <w:rPr>
          <w:rFonts w:ascii="Arial" w:hAnsi="Arial" w:eastAsia="宋体" w:cs="Arial"/>
          <w:snapToGrid w:val="0"/>
          <w:sz w:val="24"/>
          <w:szCs w:val="24"/>
        </w:rPr>
      </w:pPr>
      <w:r>
        <w:rPr>
          <w:rFonts w:ascii="Arial" w:hAnsi="Arial" w:eastAsia="宋体" w:cs="Arial"/>
          <w:snapToGrid w:val="0"/>
          <w:sz w:val="24"/>
          <w:szCs w:val="24"/>
        </w:rPr>
        <w:t>在施用供试品前，临床研究者将在治疗窗中联系专用时间段内持续尝试联系受试者的合法授权代表（LAR），或询问受试者家庭成员（如果可行）是否反对，以征得其同意的承诺（21 CFR 50.24（a）（5）和（7）（v））；</w:t>
      </w:r>
    </w:p>
    <w:p w14:paraId="057CEE8F">
      <w:pPr>
        <w:pStyle w:val="24"/>
        <w:numPr>
          <w:ilvl w:val="1"/>
          <w:numId w:val="3"/>
        </w:numPr>
        <w:tabs>
          <w:tab w:val="left" w:pos="1134"/>
        </w:tabs>
        <w:topLinePunct/>
        <w:adjustRightInd w:val="0"/>
        <w:snapToGrid w:val="0"/>
        <w:spacing w:line="300" w:lineRule="auto"/>
        <w:ind w:left="1132" w:leftChars="326" w:hanging="415"/>
        <w:jc w:val="both"/>
        <w:rPr>
          <w:rFonts w:ascii="Arial" w:hAnsi="Arial" w:eastAsia="宋体" w:cs="Arial"/>
          <w:snapToGrid w:val="0"/>
          <w:sz w:val="24"/>
          <w:szCs w:val="24"/>
        </w:rPr>
      </w:pPr>
      <w:r>
        <w:rPr>
          <w:rFonts w:ascii="Arial" w:hAnsi="Arial" w:eastAsia="宋体" w:cs="Arial"/>
          <w:snapToGrid w:val="0"/>
          <w:sz w:val="24"/>
          <w:szCs w:val="24"/>
        </w:rPr>
        <w:t>拟定研究计划，包括知情同意程序和知情同意书，在确定受试者、LAR或家庭成员是否反对受试者参与和／或继续参与研究时使用的程序和信息（21 CFR 50.24（a）（6）和（7）（v））；</w:t>
      </w:r>
    </w:p>
    <w:p w14:paraId="3F1A9558">
      <w:pPr>
        <w:pStyle w:val="24"/>
        <w:numPr>
          <w:ilvl w:val="1"/>
          <w:numId w:val="3"/>
        </w:numPr>
        <w:tabs>
          <w:tab w:val="left" w:pos="1134"/>
        </w:tabs>
        <w:topLinePunct/>
        <w:adjustRightInd w:val="0"/>
        <w:snapToGrid w:val="0"/>
        <w:spacing w:line="300" w:lineRule="auto"/>
        <w:ind w:left="1132" w:leftChars="326" w:hanging="415"/>
        <w:jc w:val="both"/>
        <w:rPr>
          <w:rFonts w:ascii="Arial" w:hAnsi="Arial" w:eastAsia="宋体" w:cs="Arial"/>
          <w:snapToGrid w:val="0"/>
          <w:sz w:val="24"/>
          <w:szCs w:val="24"/>
        </w:rPr>
      </w:pPr>
      <w:r>
        <w:rPr>
          <w:rFonts w:ascii="Arial" w:hAnsi="Arial" w:eastAsia="宋体" w:cs="Arial"/>
          <w:snapToGrid w:val="0"/>
          <w:sz w:val="24"/>
          <w:szCs w:val="24"/>
        </w:rPr>
        <w:t>用于在受试者死亡时通知受试者的LAR或家庭成员关于受试者参与研究的程序和信息（21 CFR 50.24（b））；和</w:t>
      </w:r>
    </w:p>
    <w:p w14:paraId="78DA6DB1">
      <w:pPr>
        <w:pStyle w:val="24"/>
        <w:numPr>
          <w:ilvl w:val="1"/>
          <w:numId w:val="3"/>
        </w:numPr>
        <w:tabs>
          <w:tab w:val="left" w:pos="1134"/>
        </w:tabs>
        <w:topLinePunct/>
        <w:adjustRightInd w:val="0"/>
        <w:snapToGrid w:val="0"/>
        <w:spacing w:after="224" w:afterLines="75" w:line="300" w:lineRule="auto"/>
        <w:ind w:left="1132" w:leftChars="326" w:hanging="415"/>
        <w:jc w:val="both"/>
        <w:rPr>
          <w:rFonts w:ascii="Arial" w:hAnsi="Arial" w:eastAsia="宋体" w:cs="Arial"/>
          <w:snapToGrid w:val="0"/>
          <w:sz w:val="24"/>
          <w:szCs w:val="24"/>
        </w:rPr>
      </w:pPr>
      <w:r>
        <w:rPr>
          <w:rFonts w:ascii="Arial" w:hAnsi="Arial" w:eastAsia="宋体" w:cs="Arial"/>
          <w:snapToGrid w:val="0"/>
          <w:sz w:val="24"/>
          <w:szCs w:val="24"/>
        </w:rPr>
        <w:t>进一步保护受试者权利和福利的计划，其中至少包括在开始研究之前进行的社区咨询和公开披露计划（21 CFR 50.24（a）（7））。</w:t>
      </w:r>
    </w:p>
    <w:p w14:paraId="50891BE7">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179" w:name="46.__What_does_the_IRB_do_with_the_submi"/>
      <w:bookmarkEnd w:id="179"/>
      <w:bookmarkStart w:id="180" w:name="_Toc498200735"/>
      <w:bookmarkStart w:id="181" w:name="_Toc498446472"/>
      <w:r>
        <w:rPr>
          <w:rFonts w:ascii="Arial" w:hAnsi="Arial" w:cs="Arial"/>
          <w:snapToGrid w:val="0"/>
        </w:rPr>
        <w:t>IRB将如何使用所提交的信息？</w:t>
      </w:r>
      <w:bookmarkEnd w:id="180"/>
      <w:bookmarkEnd w:id="181"/>
    </w:p>
    <w:p w14:paraId="58A9C695">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t>IRB将审查所提交的信息，确定是否满足21 CFR 50.24和56.111（和第50部分，第D节，儿科研究）的标准，并在考虑从社区咨询活动收到的意见后，确定是否可以批准研究。由于此I</w:t>
      </w:r>
      <w:r>
        <w:rPr>
          <w:rFonts w:hint="eastAsia" w:ascii="Arial" w:hAnsi="Arial" w:eastAsia="宋体" w:cs="Arial"/>
          <w:snapToGrid w:val="0"/>
          <w:sz w:val="24"/>
          <w:szCs w:val="24"/>
        </w:rPr>
        <w:t>类</w:t>
      </w:r>
      <w:r>
        <w:rPr>
          <w:rFonts w:ascii="Arial" w:hAnsi="Arial" w:eastAsia="宋体" w:cs="Arial"/>
          <w:snapToGrid w:val="0"/>
          <w:sz w:val="24"/>
          <w:szCs w:val="24"/>
        </w:rPr>
        <w:t>研究的复杂性和50.24过程，IRB可能需要举行多次会议才能完成审查。根据所提交的信息，社区咨询及其在21 CFR 50.24中的义务，IRB将会考虑作出各种决定以及采取各种行动。下面列出了IRB如何审查和回应紧急研究相关材料的示例。</w:t>
      </w:r>
      <w:r>
        <w:rPr>
          <w:rStyle w:val="22"/>
          <w:rFonts w:ascii="Arial" w:hAnsi="Arial" w:eastAsia="宋体" w:cs="Arial"/>
          <w:snapToGrid w:val="0"/>
          <w:sz w:val="24"/>
          <w:szCs w:val="24"/>
        </w:rPr>
        <w:footnoteReference w:id="30"/>
      </w:r>
    </w:p>
    <w:p w14:paraId="3D1A1D36">
      <w:pPr>
        <w:pStyle w:val="24"/>
        <w:numPr>
          <w:ilvl w:val="1"/>
          <w:numId w:val="3"/>
        </w:numPr>
        <w:tabs>
          <w:tab w:val="left" w:pos="1134"/>
        </w:tabs>
        <w:topLinePunct/>
        <w:adjustRightInd w:val="0"/>
        <w:snapToGrid w:val="0"/>
        <w:spacing w:line="300" w:lineRule="auto"/>
        <w:ind w:left="1132" w:leftChars="326" w:hanging="415"/>
        <w:jc w:val="both"/>
        <w:rPr>
          <w:rFonts w:ascii="Arial" w:hAnsi="Arial" w:eastAsia="宋体" w:cs="Arial"/>
          <w:snapToGrid w:val="0"/>
          <w:sz w:val="24"/>
          <w:szCs w:val="24"/>
        </w:rPr>
      </w:pPr>
      <w:r>
        <w:rPr>
          <w:rFonts w:ascii="Arial" w:hAnsi="Arial" w:eastAsia="宋体" w:cs="Arial"/>
          <w:snapToGrid w:val="0"/>
          <w:sz w:val="24"/>
          <w:szCs w:val="24"/>
        </w:rPr>
        <w:t>如果满足21 CFR 50.24和56.111（和第50部分，第D节，儿科研究）的标准，IRB将审查社区咨询计划，确保其涵盖研究计划中确定的社区，将使社区充分了解研究风险和预期收益相关信息，并将为社区成员提供机会，供其就拟定研究提出意见和问题。IRB可能要求更改社区咨询计划（21 CFR 56.109（a））。</w:t>
      </w:r>
    </w:p>
    <w:p w14:paraId="6C71A2C8">
      <w:pPr>
        <w:pStyle w:val="24"/>
        <w:numPr>
          <w:ilvl w:val="1"/>
          <w:numId w:val="3"/>
        </w:numPr>
        <w:tabs>
          <w:tab w:val="left" w:pos="1134"/>
        </w:tabs>
        <w:topLinePunct/>
        <w:adjustRightInd w:val="0"/>
        <w:snapToGrid w:val="0"/>
        <w:spacing w:line="300" w:lineRule="auto"/>
        <w:ind w:left="1132" w:leftChars="326" w:hanging="415"/>
        <w:jc w:val="both"/>
        <w:rPr>
          <w:rFonts w:ascii="Arial" w:hAnsi="Arial" w:eastAsia="宋体" w:cs="Arial"/>
          <w:snapToGrid w:val="0"/>
          <w:sz w:val="24"/>
          <w:szCs w:val="24"/>
        </w:rPr>
      </w:pPr>
      <w:r>
        <w:rPr>
          <w:rFonts w:ascii="Arial" w:hAnsi="Arial" w:eastAsia="宋体" w:cs="Arial"/>
          <w:snapToGrid w:val="0"/>
          <w:sz w:val="24"/>
          <w:szCs w:val="24"/>
        </w:rPr>
        <w:t>研究者和申办方（或IRB（如果适用），即如果IRB酌情决定自行开展社区咨询活动）应进行社区咨询活动。FDA鼓励IRB成员参加社区咨询活动，以便听取社区的观点和担忧。</w:t>
      </w:r>
    </w:p>
    <w:p w14:paraId="635346FB">
      <w:pPr>
        <w:pStyle w:val="24"/>
        <w:numPr>
          <w:ilvl w:val="1"/>
          <w:numId w:val="3"/>
        </w:numPr>
        <w:tabs>
          <w:tab w:val="left" w:pos="1134"/>
        </w:tabs>
        <w:topLinePunct/>
        <w:adjustRightInd w:val="0"/>
        <w:snapToGrid w:val="0"/>
        <w:spacing w:line="300" w:lineRule="auto"/>
        <w:ind w:left="1132" w:leftChars="326" w:hanging="415"/>
        <w:jc w:val="both"/>
        <w:rPr>
          <w:rFonts w:ascii="Arial" w:hAnsi="Arial" w:eastAsia="宋体" w:cs="Arial"/>
          <w:snapToGrid w:val="0"/>
          <w:sz w:val="24"/>
          <w:szCs w:val="24"/>
        </w:rPr>
      </w:pPr>
      <w:r>
        <w:rPr>
          <w:rFonts w:ascii="Arial" w:hAnsi="Arial" w:eastAsia="宋体" w:cs="Arial"/>
          <w:snapToGrid w:val="0"/>
          <w:sz w:val="24"/>
          <w:szCs w:val="24"/>
        </w:rPr>
        <w:t>IRB将考虑社区咨询活动期间拟定研究相关担忧和异议。</w:t>
      </w:r>
    </w:p>
    <w:p w14:paraId="1F6B2060">
      <w:pPr>
        <w:pStyle w:val="24"/>
        <w:numPr>
          <w:ilvl w:val="2"/>
          <w:numId w:val="8"/>
        </w:numPr>
        <w:tabs>
          <w:tab w:val="left" w:pos="1134"/>
        </w:tabs>
        <w:topLinePunct/>
        <w:adjustRightInd w:val="0"/>
        <w:snapToGrid w:val="0"/>
        <w:spacing w:after="224" w:afterLines="75"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在研究开始之前，IRB将确认申办方已建立独立数据监测委员会</w:t>
      </w:r>
      <w:r>
        <w:rPr>
          <w:rStyle w:val="22"/>
          <w:rFonts w:ascii="Arial" w:hAnsi="Arial" w:eastAsia="宋体" w:cs="Arial"/>
          <w:snapToGrid w:val="0"/>
          <w:sz w:val="24"/>
          <w:szCs w:val="24"/>
        </w:rPr>
        <w:footnoteReference w:id="31"/>
      </w:r>
      <w:r>
        <w:rPr>
          <w:rFonts w:ascii="Arial" w:hAnsi="Arial" w:eastAsia="宋体" w:cs="Arial"/>
          <w:snapToGrid w:val="0"/>
          <w:sz w:val="24"/>
          <w:szCs w:val="24"/>
        </w:rPr>
        <w:t>来临床研究进行监督（21 CFR 50.24（a）（7）（iv））（请参见问题116）</w:t>
      </w:r>
    </w:p>
    <w:p w14:paraId="2E2113BF">
      <w:pPr>
        <w:rPr>
          <w:rFonts w:ascii="Arial" w:hAnsi="Arial" w:eastAsia="宋体" w:cs="Arial"/>
          <w:snapToGrid w:val="0"/>
          <w:sz w:val="24"/>
          <w:szCs w:val="24"/>
        </w:rPr>
      </w:pPr>
      <w:bookmarkStart w:id="182" w:name="_bookmark85"/>
      <w:bookmarkEnd w:id="182"/>
      <w:bookmarkStart w:id="183" w:name="_bookmark84"/>
      <w:bookmarkEnd w:id="183"/>
      <w:r>
        <w:rPr>
          <w:rFonts w:ascii="Arial" w:hAnsi="Arial" w:eastAsia="宋体" w:cs="Arial"/>
          <w:snapToGrid w:val="0"/>
          <w:sz w:val="24"/>
          <w:szCs w:val="24"/>
        </w:rPr>
        <w:br w:type="page"/>
      </w:r>
    </w:p>
    <w:p w14:paraId="75AA40EA">
      <w:pPr>
        <w:pStyle w:val="24"/>
        <w:numPr>
          <w:ilvl w:val="2"/>
          <w:numId w:val="8"/>
        </w:numPr>
        <w:tabs>
          <w:tab w:val="left" w:pos="1134"/>
        </w:tabs>
        <w:topLinePunct/>
        <w:adjustRightInd w:val="0"/>
        <w:snapToGrid w:val="0"/>
        <w:spacing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IRB将确定拟定临床研究是否可以批准并允许进行，并以书面形式通知研究者和机构其决定。</w:t>
      </w:r>
    </w:p>
    <w:p w14:paraId="0CC8BB74">
      <w:pPr>
        <w:pStyle w:val="24"/>
        <w:numPr>
          <w:ilvl w:val="2"/>
          <w:numId w:val="8"/>
        </w:numPr>
        <w:tabs>
          <w:tab w:val="left" w:pos="1134"/>
        </w:tabs>
        <w:topLinePunct/>
        <w:adjustRightInd w:val="0"/>
        <w:snapToGrid w:val="0"/>
        <w:spacing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如果IRB决定，由于研究不符合21 CFR 50.24和56.111（和第50部分儿科研究的第D部分）的所有标准，或者由于其他相关伦理问题，其无法批准该研究，IRB会立即以书面形式通知研究者和申办方，包括关于IRB决定的原因声明（21 CFR 50.24（e）和56.109（e））。</w:t>
      </w:r>
    </w:p>
    <w:p w14:paraId="4E787330">
      <w:pPr>
        <w:pStyle w:val="24"/>
        <w:numPr>
          <w:ilvl w:val="2"/>
          <w:numId w:val="8"/>
        </w:numPr>
        <w:tabs>
          <w:tab w:val="left" w:pos="1134"/>
        </w:tabs>
        <w:topLinePunct/>
        <w:adjustRightInd w:val="0"/>
        <w:snapToGrid w:val="0"/>
        <w:spacing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在开始研究之前，IRB将对公开披露的信息进行审查，确保信息能够覆盖相关的广泛社区，并使受影响社区充分了解进行研究的计划及其风险和预期收益。</w:t>
      </w:r>
    </w:p>
    <w:p w14:paraId="1ED35471">
      <w:pPr>
        <w:pStyle w:val="24"/>
        <w:numPr>
          <w:ilvl w:val="2"/>
          <w:numId w:val="8"/>
        </w:numPr>
        <w:tabs>
          <w:tab w:val="left" w:pos="1134"/>
        </w:tabs>
        <w:topLinePunct/>
        <w:adjustRightInd w:val="0"/>
        <w:snapToGrid w:val="0"/>
        <w:spacing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IRB必须确定和确认，公开披露将在开始研究之前</w:t>
      </w:r>
      <w:bookmarkStart w:id="184" w:name="OLE_LINK1"/>
      <w:bookmarkStart w:id="185" w:name="OLE_LINK2"/>
      <w:r>
        <w:rPr>
          <w:rFonts w:ascii="Arial" w:hAnsi="Arial" w:eastAsia="宋体" w:cs="Arial"/>
          <w:snapToGrid w:val="0"/>
          <w:sz w:val="24"/>
          <w:szCs w:val="24"/>
        </w:rPr>
        <w:t>进行</w:t>
      </w:r>
      <w:bookmarkEnd w:id="184"/>
      <w:bookmarkEnd w:id="185"/>
      <w:r>
        <w:rPr>
          <w:rFonts w:ascii="Arial" w:hAnsi="Arial" w:eastAsia="宋体" w:cs="Arial"/>
          <w:snapToGrid w:val="0"/>
          <w:sz w:val="24"/>
          <w:szCs w:val="24"/>
        </w:rPr>
        <w:t>或已经进行（21 CFR 50.24（a）（7）（ii））。</w:t>
      </w:r>
    </w:p>
    <w:p w14:paraId="7F8998B8">
      <w:pPr>
        <w:pStyle w:val="24"/>
        <w:numPr>
          <w:ilvl w:val="2"/>
          <w:numId w:val="8"/>
        </w:numPr>
        <w:tabs>
          <w:tab w:val="left" w:pos="1134"/>
        </w:tabs>
        <w:topLinePunct/>
        <w:adjustRightInd w:val="0"/>
        <w:snapToGrid w:val="0"/>
        <w:spacing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IRB将根据21 CFR 50.24（a）（7）（ii），及时向申办方提供已经公开披露的，关于开始研究的信息副本：请参见21 CFR 56.109（g）。</w:t>
      </w:r>
    </w:p>
    <w:p w14:paraId="3ACB5CC5">
      <w:pPr>
        <w:pStyle w:val="24"/>
        <w:numPr>
          <w:ilvl w:val="2"/>
          <w:numId w:val="8"/>
        </w:numPr>
        <w:tabs>
          <w:tab w:val="left" w:pos="1134"/>
        </w:tabs>
        <w:topLinePunct/>
        <w:adjustRightInd w:val="0"/>
        <w:snapToGrid w:val="0"/>
        <w:spacing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研究完成后，IRB将审查披露足够信息以便社区和研究者充分了解研究的计划，包括研究人群的人口特征及其结果。</w:t>
      </w:r>
    </w:p>
    <w:p w14:paraId="31E00FB4">
      <w:pPr>
        <w:pStyle w:val="24"/>
        <w:numPr>
          <w:ilvl w:val="2"/>
          <w:numId w:val="8"/>
        </w:numPr>
        <w:tabs>
          <w:tab w:val="left" w:pos="1134"/>
        </w:tabs>
        <w:topLinePunct/>
        <w:adjustRightInd w:val="0"/>
        <w:snapToGrid w:val="0"/>
        <w:spacing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在研究完成后，IRB将及时向申办方提供公开披露的信息副本（21 CFR 50.24（a）（7）（iii））；21 CFR 56.109（g），312.54（a）和812.47（a））。</w:t>
      </w:r>
    </w:p>
    <w:p w14:paraId="3A7F2EE6">
      <w:pPr>
        <w:pStyle w:val="24"/>
        <w:numPr>
          <w:ilvl w:val="2"/>
          <w:numId w:val="8"/>
        </w:numPr>
        <w:tabs>
          <w:tab w:val="left" w:pos="1134"/>
        </w:tabs>
        <w:topLinePunct/>
        <w:adjustRightInd w:val="0"/>
        <w:snapToGrid w:val="0"/>
        <w:spacing w:after="224" w:afterLines="75"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在完成临床研究后至少3年内，IRB应保留与此类研究相关的记录，并在FDA要求检查和复制时进行提供（21 CFR 50.24（c））。</w:t>
      </w:r>
    </w:p>
    <w:p w14:paraId="250F8BC8">
      <w:pPr>
        <w:pStyle w:val="4"/>
        <w:numPr>
          <w:ilvl w:val="0"/>
          <w:numId w:val="3"/>
        </w:numPr>
        <w:tabs>
          <w:tab w:val="left" w:pos="540"/>
        </w:tabs>
        <w:topLinePunct/>
        <w:adjustRightInd w:val="0"/>
        <w:snapToGrid w:val="0"/>
        <w:spacing w:after="224" w:afterLines="75" w:line="300" w:lineRule="auto"/>
        <w:ind w:left="540" w:hanging="540"/>
        <w:jc w:val="both"/>
        <w:rPr>
          <w:rFonts w:ascii="Arial" w:hAnsi="Arial" w:cs="Arial"/>
          <w:snapToGrid w:val="0"/>
        </w:rPr>
      </w:pPr>
      <w:bookmarkStart w:id="186" w:name="47.__Is_the_IRB_responsible_only_for_fin"/>
      <w:bookmarkEnd w:id="186"/>
      <w:bookmarkStart w:id="187" w:name="_Toc498446473"/>
      <w:bookmarkStart w:id="188" w:name="_Toc498200736"/>
      <w:r>
        <w:rPr>
          <w:rFonts w:ascii="Arial" w:hAnsi="Arial" w:cs="Arial"/>
          <w:snapToGrid w:val="0"/>
        </w:rPr>
        <w:t>IRB是否仅负责确定和确认社区咨询和公开披露计划是否存在，或IRB是否应承担其他责任来确保此类活动得到执行？</w:t>
      </w:r>
      <w:bookmarkEnd w:id="187"/>
      <w:bookmarkEnd w:id="188"/>
    </w:p>
    <w:p w14:paraId="18A8351C">
      <w:pPr>
        <w:pStyle w:val="24"/>
        <w:numPr>
          <w:ilvl w:val="2"/>
          <w:numId w:val="8"/>
        </w:numPr>
        <w:tabs>
          <w:tab w:val="left" w:pos="1134"/>
        </w:tabs>
        <w:topLinePunct/>
        <w:adjustRightInd w:val="0"/>
        <w:snapToGrid w:val="0"/>
        <w:spacing w:after="224" w:afterLines="75" w:line="300" w:lineRule="auto"/>
        <w:ind w:left="1132" w:leftChars="325" w:hanging="417"/>
        <w:jc w:val="both"/>
        <w:rPr>
          <w:rFonts w:ascii="Arial" w:hAnsi="Arial" w:eastAsia="宋体" w:cs="Arial"/>
          <w:snapToGrid w:val="0"/>
          <w:sz w:val="24"/>
          <w:szCs w:val="24"/>
        </w:rPr>
      </w:pPr>
      <w:r>
        <w:rPr>
          <w:rFonts w:ascii="Arial" w:hAnsi="Arial" w:eastAsia="宋体" w:cs="Arial"/>
          <w:snapToGrid w:val="0"/>
          <w:sz w:val="24"/>
          <w:szCs w:val="24"/>
        </w:rPr>
        <w:t>IRB必须在执行计划之前审查社区咨询和公开披露计划（21 CFR 50.24（a）（7）（i），（ii），（iii））。FDA还希望，在决定是否批准、要求更改（以便获得批准）或驳回研究活动时，IRB可以考虑在社区咨询活动期间拟定此类问题。在确定计划没有得到充分执行后，IRB可以酌情决定其是否可以自行进行社区咨询活动。此外，IRB必须确定和确认，公开披露将在开始研究之前进行或已经进行（21 CFR 50.24（a）（7）（II））。</w:t>
      </w:r>
    </w:p>
    <w:p w14:paraId="0B08E27E">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89" w:name="48.__If_an_IRB_determines_that_it_needs_"/>
      <w:bookmarkEnd w:id="189"/>
      <w:bookmarkStart w:id="190" w:name="_Toc498200737"/>
      <w:bookmarkStart w:id="191" w:name="_Toc498446474"/>
      <w:r>
        <w:rPr>
          <w:rFonts w:ascii="Arial" w:hAnsi="Arial" w:cs="Arial"/>
          <w:snapToGrid w:val="0"/>
        </w:rPr>
        <w:t>如果IRB确定需要社区提供研究相关意见，IRB应该怎么做？</w:t>
      </w:r>
      <w:bookmarkEnd w:id="190"/>
      <w:bookmarkEnd w:id="191"/>
    </w:p>
    <w:p w14:paraId="7F5B1B1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IRB可以：</w:t>
      </w:r>
    </w:p>
    <w:p w14:paraId="4B18E0C6">
      <w:pPr>
        <w:rPr>
          <w:rFonts w:ascii="Arial" w:hAnsi="Arial" w:eastAsia="宋体" w:cs="Arial"/>
          <w:snapToGrid w:val="0"/>
          <w:sz w:val="24"/>
          <w:szCs w:val="24"/>
        </w:rPr>
      </w:pPr>
      <w:r>
        <w:rPr>
          <w:rFonts w:ascii="Arial" w:hAnsi="Arial" w:eastAsia="宋体" w:cs="Arial"/>
          <w:snapToGrid w:val="0"/>
          <w:sz w:val="24"/>
          <w:szCs w:val="24"/>
        </w:rPr>
        <w:br w:type="page"/>
      </w:r>
    </w:p>
    <w:p w14:paraId="290B3B6E">
      <w:pPr>
        <w:pStyle w:val="24"/>
        <w:numPr>
          <w:ilvl w:val="0"/>
          <w:numId w:val="9"/>
        </w:numPr>
        <w:tabs>
          <w:tab w:val="left" w:pos="840"/>
        </w:tabs>
        <w:topLinePunct/>
        <w:adjustRightInd w:val="0"/>
        <w:snapToGrid w:val="0"/>
        <w:spacing w:after="224" w:afterLines="75" w:line="300" w:lineRule="auto"/>
        <w:ind w:left="420" w:leftChars="191"/>
        <w:jc w:val="both"/>
        <w:rPr>
          <w:rFonts w:ascii="Arial" w:hAnsi="Arial" w:eastAsia="宋体" w:cs="Arial"/>
          <w:snapToGrid w:val="0"/>
          <w:sz w:val="24"/>
          <w:szCs w:val="24"/>
        </w:rPr>
      </w:pPr>
      <w:r>
        <w:rPr>
          <w:rFonts w:ascii="Arial" w:hAnsi="Arial" w:eastAsia="宋体" w:cs="Arial"/>
          <w:snapToGrid w:val="0"/>
          <w:sz w:val="24"/>
          <w:szCs w:val="24"/>
        </w:rPr>
        <w:t>邀请受试者所在社区成员参加IRB会议，讨论研究；</w:t>
      </w:r>
    </w:p>
    <w:p w14:paraId="55EEFF61">
      <w:pPr>
        <w:pStyle w:val="24"/>
        <w:numPr>
          <w:ilvl w:val="0"/>
          <w:numId w:val="9"/>
        </w:numPr>
        <w:tabs>
          <w:tab w:val="left" w:pos="840"/>
        </w:tabs>
        <w:topLinePunct/>
        <w:adjustRightInd w:val="0"/>
        <w:snapToGrid w:val="0"/>
        <w:spacing w:after="224" w:afterLines="75" w:line="300" w:lineRule="auto"/>
        <w:ind w:left="420" w:leftChars="191"/>
        <w:jc w:val="both"/>
        <w:rPr>
          <w:rFonts w:ascii="Arial" w:hAnsi="Arial" w:eastAsia="宋体" w:cs="Arial"/>
          <w:snapToGrid w:val="0"/>
          <w:sz w:val="24"/>
          <w:szCs w:val="24"/>
        </w:rPr>
      </w:pPr>
      <w:r>
        <w:rPr>
          <w:rFonts w:ascii="Arial" w:hAnsi="Arial" w:eastAsia="宋体" w:cs="Arial"/>
          <w:snapToGrid w:val="0"/>
          <w:sz w:val="24"/>
          <w:szCs w:val="24"/>
        </w:rPr>
        <w:t>根据IRB成员资格要求（见21 CFR 56.107），添加不隶属于该机构并且是社区代表的成员，以便加强IRB的成员资格；</w:t>
      </w:r>
    </w:p>
    <w:p w14:paraId="340AB77E">
      <w:pPr>
        <w:pStyle w:val="24"/>
        <w:numPr>
          <w:ilvl w:val="0"/>
          <w:numId w:val="9"/>
        </w:numPr>
        <w:tabs>
          <w:tab w:val="left" w:pos="840"/>
        </w:tabs>
        <w:topLinePunct/>
        <w:adjustRightInd w:val="0"/>
        <w:snapToGrid w:val="0"/>
        <w:spacing w:after="224" w:afterLines="75" w:line="300" w:lineRule="auto"/>
        <w:ind w:left="420" w:leftChars="191"/>
        <w:jc w:val="both"/>
        <w:rPr>
          <w:rFonts w:ascii="Arial" w:hAnsi="Arial" w:eastAsia="宋体" w:cs="Arial"/>
          <w:snapToGrid w:val="0"/>
          <w:sz w:val="24"/>
          <w:szCs w:val="24"/>
        </w:rPr>
      </w:pPr>
      <w:r>
        <w:rPr>
          <w:rFonts w:ascii="Arial" w:hAnsi="Arial" w:eastAsia="宋体" w:cs="Arial"/>
          <w:snapToGrid w:val="0"/>
          <w:sz w:val="24"/>
          <w:szCs w:val="24"/>
        </w:rPr>
        <w:t>根据21 CFR 56.107（f），使用社区成员作为IRB的顾问。使用顾问本身不能充分代替21 CFR 50.24（a）（7）（i）中所要求的社区咨询；</w:t>
      </w:r>
    </w:p>
    <w:p w14:paraId="7B3C87D5">
      <w:pPr>
        <w:pStyle w:val="24"/>
        <w:numPr>
          <w:ilvl w:val="0"/>
          <w:numId w:val="9"/>
        </w:numPr>
        <w:tabs>
          <w:tab w:val="left" w:pos="840"/>
        </w:tabs>
        <w:topLinePunct/>
        <w:adjustRightInd w:val="0"/>
        <w:snapToGrid w:val="0"/>
        <w:spacing w:after="224" w:afterLines="75" w:line="300" w:lineRule="auto"/>
        <w:ind w:left="420" w:leftChars="191"/>
        <w:jc w:val="both"/>
        <w:rPr>
          <w:rFonts w:ascii="Arial" w:hAnsi="Arial" w:eastAsia="宋体" w:cs="Arial"/>
          <w:snapToGrid w:val="0"/>
          <w:sz w:val="24"/>
          <w:szCs w:val="24"/>
        </w:rPr>
      </w:pPr>
      <w:r>
        <w:rPr>
          <w:rFonts w:ascii="Arial" w:hAnsi="Arial" w:eastAsia="宋体" w:cs="Arial"/>
          <w:snapToGrid w:val="0"/>
          <w:sz w:val="24"/>
          <w:szCs w:val="24"/>
        </w:rPr>
        <w:t>要求申办方和研究者进行额外的或其他社区咨询活动；和</w:t>
      </w:r>
    </w:p>
    <w:p w14:paraId="4E6DFBFC">
      <w:pPr>
        <w:pStyle w:val="24"/>
        <w:numPr>
          <w:ilvl w:val="0"/>
          <w:numId w:val="9"/>
        </w:numPr>
        <w:tabs>
          <w:tab w:val="left" w:pos="840"/>
        </w:tabs>
        <w:topLinePunct/>
        <w:adjustRightInd w:val="0"/>
        <w:snapToGrid w:val="0"/>
        <w:spacing w:after="224" w:afterLines="75" w:line="300" w:lineRule="auto"/>
        <w:ind w:left="420" w:leftChars="191"/>
        <w:jc w:val="both"/>
        <w:rPr>
          <w:rFonts w:ascii="Arial" w:hAnsi="Arial" w:eastAsia="宋体" w:cs="Arial"/>
          <w:snapToGrid w:val="0"/>
          <w:sz w:val="24"/>
          <w:szCs w:val="24"/>
        </w:rPr>
      </w:pPr>
      <w:r>
        <w:rPr>
          <w:rFonts w:ascii="Arial" w:hAnsi="Arial" w:eastAsia="宋体" w:cs="Arial"/>
          <w:snapToGrid w:val="0"/>
          <w:sz w:val="24"/>
          <w:szCs w:val="24"/>
        </w:rPr>
        <w:t>适用时，决定自行进行社区咨询活动（21 CFR 50.24（a）（7）（i））。IRB可以进行问题76中列出的一项或多项活动（例如举行公开社区会议来讨论方案）。</w:t>
      </w:r>
    </w:p>
    <w:p w14:paraId="0BE5DE99">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192" w:name="49.__Must_an_emergency_research_study_be"/>
      <w:bookmarkEnd w:id="192"/>
      <w:bookmarkStart w:id="193" w:name="_Toc498446475"/>
      <w:bookmarkStart w:id="194" w:name="_Toc498200738"/>
      <w:r>
        <w:rPr>
          <w:rFonts w:ascii="Arial" w:hAnsi="Arial" w:cs="Arial"/>
          <w:snapToGrid w:val="0"/>
        </w:rPr>
        <w:t>是否只有机构附属IRB才能审查紧急研究？</w:t>
      </w:r>
      <w:bookmarkEnd w:id="193"/>
      <w:bookmarkEnd w:id="194"/>
    </w:p>
    <w:p w14:paraId="6E22A94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否。所有可用于IRB审查非紧急研究的选项也可用于审查紧急研究。示例包括但不限于以下内容：</w:t>
      </w:r>
    </w:p>
    <w:p w14:paraId="45693226">
      <w:pPr>
        <w:pStyle w:val="24"/>
        <w:numPr>
          <w:ilvl w:val="1"/>
          <w:numId w:val="3"/>
        </w:numPr>
        <w:tabs>
          <w:tab w:val="left" w:pos="840"/>
          <w:tab w:val="left" w:pos="8736"/>
        </w:tabs>
        <w:topLinePunct/>
        <w:adjustRightInd w:val="0"/>
        <w:snapToGrid w:val="0"/>
        <w:spacing w:line="300" w:lineRule="auto"/>
        <w:ind w:left="851" w:leftChars="198" w:hanging="415"/>
        <w:jc w:val="both"/>
        <w:rPr>
          <w:rFonts w:ascii="Arial" w:hAnsi="Arial" w:eastAsia="宋体" w:cs="Arial"/>
          <w:snapToGrid w:val="0"/>
          <w:sz w:val="24"/>
          <w:szCs w:val="24"/>
        </w:rPr>
      </w:pPr>
      <w:r>
        <w:rPr>
          <w:rFonts w:ascii="Arial" w:hAnsi="Arial" w:eastAsia="宋体" w:cs="Arial"/>
          <w:snapToGrid w:val="0"/>
          <w:sz w:val="24"/>
          <w:szCs w:val="24"/>
        </w:rPr>
        <w:t>紧急研究可由负责审查特定机构的所有研究的IRB进行审查。</w:t>
      </w:r>
    </w:p>
    <w:p w14:paraId="6FB5A8C1">
      <w:pPr>
        <w:pStyle w:val="24"/>
        <w:numPr>
          <w:ilvl w:val="1"/>
          <w:numId w:val="3"/>
        </w:numPr>
        <w:tabs>
          <w:tab w:val="left" w:pos="840"/>
          <w:tab w:val="left" w:pos="8736"/>
        </w:tabs>
        <w:topLinePunct/>
        <w:adjustRightInd w:val="0"/>
        <w:snapToGrid w:val="0"/>
        <w:spacing w:line="300" w:lineRule="auto"/>
        <w:ind w:left="851" w:leftChars="198" w:hanging="415"/>
        <w:jc w:val="both"/>
        <w:rPr>
          <w:rFonts w:ascii="Arial" w:hAnsi="Arial" w:eastAsia="宋体" w:cs="Arial"/>
          <w:snapToGrid w:val="0"/>
          <w:sz w:val="24"/>
          <w:szCs w:val="24"/>
        </w:rPr>
      </w:pPr>
      <w:r>
        <w:rPr>
          <w:rFonts w:ascii="Arial" w:hAnsi="Arial" w:eastAsia="宋体" w:cs="Arial"/>
          <w:snapToGrid w:val="0"/>
          <w:sz w:val="24"/>
          <w:szCs w:val="24"/>
        </w:rPr>
        <w:t>紧急研究可由独立（商业）IRB审查。</w:t>
      </w:r>
    </w:p>
    <w:p w14:paraId="54D68192">
      <w:pPr>
        <w:pStyle w:val="24"/>
        <w:numPr>
          <w:ilvl w:val="1"/>
          <w:numId w:val="3"/>
        </w:numPr>
        <w:tabs>
          <w:tab w:val="left" w:pos="840"/>
          <w:tab w:val="left" w:pos="8736"/>
        </w:tabs>
        <w:topLinePunct/>
        <w:adjustRightInd w:val="0"/>
        <w:snapToGrid w:val="0"/>
        <w:spacing w:line="300" w:lineRule="auto"/>
        <w:ind w:left="851" w:leftChars="198" w:hanging="415"/>
        <w:jc w:val="both"/>
        <w:rPr>
          <w:rFonts w:ascii="Arial" w:hAnsi="Arial" w:eastAsia="宋体" w:cs="Arial"/>
          <w:snapToGrid w:val="0"/>
          <w:sz w:val="24"/>
          <w:szCs w:val="24"/>
        </w:rPr>
      </w:pPr>
      <w:r>
        <w:rPr>
          <w:rFonts w:ascii="Arial" w:hAnsi="Arial" w:eastAsia="宋体" w:cs="Arial"/>
          <w:snapToGrid w:val="0"/>
          <w:sz w:val="24"/>
          <w:szCs w:val="24"/>
        </w:rPr>
        <w:t>可以使用集中式IRB过程来审查紧急研究。</w:t>
      </w:r>
      <w:r>
        <w:rPr>
          <w:rStyle w:val="22"/>
          <w:rFonts w:ascii="Arial" w:hAnsi="Arial" w:eastAsia="宋体" w:cs="Arial"/>
          <w:snapToGrid w:val="0"/>
          <w:sz w:val="24"/>
          <w:szCs w:val="24"/>
        </w:rPr>
        <w:footnoteReference w:id="32"/>
      </w:r>
      <w:r>
        <w:rPr>
          <w:rFonts w:ascii="Arial" w:hAnsi="Arial" w:eastAsia="宋体" w:cs="Arial"/>
          <w:snapToGrid w:val="0"/>
          <w:sz w:val="24"/>
          <w:szCs w:val="24"/>
          <w:vertAlign w:val="superscript"/>
        </w:rPr>
        <w:t>,</w:t>
      </w:r>
      <w:r>
        <w:rPr>
          <w:rStyle w:val="22"/>
          <w:rFonts w:ascii="Arial" w:hAnsi="Arial" w:eastAsia="宋体" w:cs="Arial"/>
          <w:snapToGrid w:val="0"/>
          <w:sz w:val="24"/>
          <w:szCs w:val="24"/>
        </w:rPr>
        <w:footnoteReference w:id="33"/>
      </w:r>
      <w:r>
        <w:rPr>
          <w:rFonts w:ascii="Arial" w:hAnsi="Arial" w:eastAsia="宋体" w:cs="Arial"/>
          <w:snapToGrid w:val="0"/>
          <w:sz w:val="24"/>
          <w:szCs w:val="24"/>
          <w:vertAlign w:val="superscript"/>
        </w:rPr>
        <w:t>,</w:t>
      </w:r>
      <w:r>
        <w:rPr>
          <w:rStyle w:val="22"/>
          <w:rFonts w:ascii="Arial" w:hAnsi="Arial" w:eastAsia="宋体" w:cs="Arial"/>
          <w:snapToGrid w:val="0"/>
          <w:sz w:val="24"/>
          <w:szCs w:val="24"/>
        </w:rPr>
        <w:footnoteReference w:id="34"/>
      </w:r>
      <w:r>
        <w:rPr>
          <w:rFonts w:ascii="Arial" w:hAnsi="Arial" w:eastAsia="宋体" w:cs="Arial"/>
          <w:snapToGrid w:val="0"/>
          <w:sz w:val="24"/>
          <w:szCs w:val="24"/>
        </w:rPr>
        <w:t>）使用集中式IRB过程时：</w:t>
      </w:r>
    </w:p>
    <w:p w14:paraId="7E17CC9D">
      <w:pPr>
        <w:pStyle w:val="24"/>
        <w:numPr>
          <w:ilvl w:val="2"/>
          <w:numId w:val="3"/>
        </w:numPr>
        <w:tabs>
          <w:tab w:val="left" w:pos="1418"/>
        </w:tabs>
        <w:topLinePunct/>
        <w:adjustRightInd w:val="0"/>
        <w:snapToGrid w:val="0"/>
        <w:spacing w:line="300" w:lineRule="auto"/>
        <w:ind w:left="1418" w:hanging="567"/>
        <w:jc w:val="both"/>
        <w:rPr>
          <w:rFonts w:ascii="Arial" w:hAnsi="Arial" w:eastAsia="宋体" w:cs="Arial"/>
          <w:snapToGrid w:val="0"/>
          <w:sz w:val="24"/>
          <w:szCs w:val="24"/>
        </w:rPr>
      </w:pPr>
      <w:r>
        <w:rPr>
          <w:rFonts w:ascii="Arial" w:hAnsi="Arial" w:eastAsia="宋体" w:cs="Arial"/>
          <w:snapToGrid w:val="0"/>
          <w:sz w:val="24"/>
          <w:szCs w:val="24"/>
        </w:rPr>
        <w:t>中央IRB可能负责审查研究的所有方面，包括地方问题。</w:t>
      </w:r>
    </w:p>
    <w:p w14:paraId="49A46249">
      <w:pPr>
        <w:pStyle w:val="24"/>
        <w:numPr>
          <w:ilvl w:val="2"/>
          <w:numId w:val="3"/>
        </w:numPr>
        <w:tabs>
          <w:tab w:val="left" w:pos="1418"/>
        </w:tabs>
        <w:topLinePunct/>
        <w:adjustRightInd w:val="0"/>
        <w:snapToGrid w:val="0"/>
        <w:spacing w:after="224" w:afterLines="75" w:line="300" w:lineRule="auto"/>
        <w:ind w:left="1418" w:hanging="567"/>
        <w:jc w:val="both"/>
        <w:rPr>
          <w:rFonts w:ascii="Arial" w:hAnsi="Arial" w:eastAsia="宋体" w:cs="Arial"/>
          <w:snapToGrid w:val="0"/>
          <w:sz w:val="24"/>
          <w:szCs w:val="24"/>
        </w:rPr>
      </w:pPr>
      <w:r>
        <w:rPr>
          <w:rFonts w:ascii="Arial" w:hAnsi="Arial" w:eastAsia="宋体" w:cs="Arial"/>
          <w:snapToGrid w:val="0"/>
          <w:sz w:val="24"/>
          <w:szCs w:val="24"/>
        </w:rPr>
        <w:t>审查可由地方IRB和中央IRB共同进行，其可合作审查紧急研究（21 CFR 56.114）例如，中央IRB可能同意负责对研究和知情同意书进行科学审查；地方IRB可能同意负责评价社区咨询和公开披露计划。</w:t>
      </w:r>
    </w:p>
    <w:p w14:paraId="3E90EC8D">
      <w:pPr>
        <w:rPr>
          <w:rFonts w:ascii="Arial" w:hAnsi="Arial" w:eastAsia="宋体" w:cs="Arial"/>
          <w:snapToGrid w:val="0"/>
          <w:sz w:val="24"/>
          <w:szCs w:val="24"/>
        </w:rPr>
      </w:pPr>
      <w:bookmarkStart w:id="195" w:name="_bookmark89"/>
      <w:bookmarkEnd w:id="195"/>
      <w:bookmarkStart w:id="196" w:name="_bookmark91"/>
      <w:bookmarkEnd w:id="196"/>
      <w:r>
        <w:rPr>
          <w:rFonts w:ascii="Arial" w:hAnsi="Arial" w:cs="Arial"/>
          <w:snapToGrid w:val="0"/>
        </w:rPr>
        <w:br w:type="page"/>
      </w:r>
    </w:p>
    <w:p w14:paraId="3C5293D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审查紧急研究的任何IRB必须能够根据机构承诺和法规、适用法律和职业道德和实践标准确定拟定研究的可接受性；因此，IRB需要包括擅长此类领域的人员（21 CFR 56.107）。</w:t>
      </w:r>
    </w:p>
    <w:p w14:paraId="388D36A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负责确定和确认将进行社区咨询和公开披露的IRB（根据21 CFR 50.24 （a）（7）的要求）应该了解地方条件，以便评估社区咨询和公开披露计划。中央IRB可能希望获得研究所在机构IRB的意见，以便解决地方问题。该机构的IRB可能对有关紧急研究的地方或州法律或法规，研究所在地区的人口统计数据，将翻译知情同意书、社区咨询或公开信息材料翻译成其他语言的需求，该地区紧急医疗服务的规范等有着深入见解或了解。</w:t>
      </w:r>
    </w:p>
    <w:p w14:paraId="17FA44F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除非机构同意转让，否则不得将材料研究的责任委托给另一IRB。应以书面形式记录允许使用集中式IRB过程或机构IRB以外的IRB进行审查的任何此类协议。</w:t>
      </w:r>
      <w:r>
        <w:rPr>
          <w:rStyle w:val="22"/>
          <w:rFonts w:ascii="Arial" w:hAnsi="Arial" w:cs="Arial"/>
          <w:snapToGrid w:val="0"/>
        </w:rPr>
        <w:footnoteReference w:id="35"/>
      </w:r>
      <w:r>
        <w:rPr>
          <w:rFonts w:ascii="Arial" w:hAnsi="Arial" w:cs="Arial"/>
          <w:snapToGrid w:val="0"/>
        </w:rPr>
        <w:t>应将所有协议副本提供给参与研究的所有各方（例如机构、机构IRB、中央IRB、临床研究者）。</w:t>
      </w:r>
    </w:p>
    <w:p w14:paraId="286AA4DD">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197" w:name="50.__How_should_an_IRB_document_its_revi"/>
      <w:bookmarkEnd w:id="197"/>
      <w:bookmarkStart w:id="198" w:name="_Toc498446476"/>
      <w:bookmarkStart w:id="199" w:name="_Toc498200739"/>
      <w:r>
        <w:rPr>
          <w:rFonts w:ascii="Arial" w:hAnsi="Arial" w:cs="Arial"/>
          <w:snapToGrid w:val="0"/>
        </w:rPr>
        <w:t>IRB应如何记录其对紧急研究的审查？</w:t>
      </w:r>
      <w:bookmarkEnd w:id="198"/>
      <w:bookmarkEnd w:id="199"/>
    </w:p>
    <w:p w14:paraId="1B9AF06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IRB会议记录必须详细列出会议的出席情况、IRB采取的行动、对此类行动的投票、要求更改或驳回研究的依据以及有关争议问题及其解决方案的讨论的书面总结（21 CFR 56.115（a）（2））。FDA预计，未获得所有受试者的知情同意的研究将存有争议。因此，IRB必须在IRB的书面会议记录中总结其对此类研究所需要素的讨论和决定（21 CFR 50.24（a））。例如，IRB将记录其对社区咨询活动中拟定问题的讨论，特别是关于社区反对或担忧紧急研究的讨论。如果社区有部分人员反对研究，但IRB还是批准了该研究，IRB也应该记录这一点，并提供批准原因。</w:t>
      </w:r>
    </w:p>
    <w:p w14:paraId="345A81D9">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00" w:name="51.__What_is_meant_by_“licensed_physicia"/>
      <w:bookmarkEnd w:id="200"/>
      <w:bookmarkStart w:id="201" w:name="_Toc498446477"/>
      <w:bookmarkStart w:id="202" w:name="_Toc498200740"/>
      <w:r>
        <w:rPr>
          <w:rFonts w:ascii="宋体" w:hAnsi="宋体" w:cs="Arial"/>
          <w:snapToGrid w:val="0"/>
        </w:rPr>
        <w:t>“</w:t>
      </w:r>
      <w:r>
        <w:rPr>
          <w:rFonts w:ascii="Arial" w:hAnsi="Arial" w:cs="Arial"/>
          <w:snapToGrid w:val="0"/>
        </w:rPr>
        <w:t>执业医师同意</w:t>
      </w:r>
      <w:r>
        <w:rPr>
          <w:rFonts w:ascii="宋体" w:hAnsi="宋体" w:cs="Arial"/>
          <w:snapToGrid w:val="0"/>
        </w:rPr>
        <w:t>”</w:t>
      </w:r>
      <w:r>
        <w:rPr>
          <w:rFonts w:ascii="Arial" w:hAnsi="Arial" w:cs="Arial"/>
          <w:snapToGrid w:val="0"/>
        </w:rPr>
        <w:t>是什么意思？</w:t>
      </w:r>
      <w:bookmarkEnd w:id="201"/>
      <w:bookmarkEnd w:id="202"/>
    </w:p>
    <w:p w14:paraId="6060D87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IRB必须首先和在持续审查时取得执业医师同意，即同意21 CFR 50.24的标准已得到满足（21 CFR 50.24（a））。执业医师必须是</w:t>
      </w:r>
      <w:r>
        <w:rPr>
          <w:rFonts w:ascii="宋体" w:hAnsi="宋体" w:cs="Arial"/>
          <w:snapToGrid w:val="0"/>
        </w:rPr>
        <w:t>“</w:t>
      </w:r>
      <w:r>
        <w:rPr>
          <w:rFonts w:ascii="Arial" w:hAnsi="Arial" w:cs="Arial"/>
          <w:snapToGrid w:val="0"/>
        </w:rPr>
        <w:t>IRB的成员或顾问，但未参与该临床研究</w:t>
      </w:r>
      <w:r>
        <w:rPr>
          <w:rFonts w:ascii="宋体" w:hAnsi="宋体" w:cs="Arial"/>
          <w:snapToGrid w:val="0"/>
        </w:rPr>
        <w:t>”</w:t>
      </w:r>
      <w:r>
        <w:rPr>
          <w:rFonts w:ascii="Arial" w:hAnsi="Arial" w:cs="Arial"/>
          <w:snapToGrid w:val="0"/>
        </w:rPr>
        <w:t>（21 CFR 50.24（a）），如果执业医师成员因任何原因不能参与审议和表决，则必须由执业医师顾问参与召集会议。由于IRB必须在取得执业医师或执业医师顾问的同意，才能允许进行此类研究，IRB应确保会议记录记录了执业医师成员的赞成票或执业医师顾问的同意（21 CFR 50.24（a）和56.115 （a）（2））。</w:t>
      </w:r>
    </w:p>
    <w:p w14:paraId="014A7EAE">
      <w:pPr>
        <w:pStyle w:val="3"/>
        <w:numPr>
          <w:ilvl w:val="0"/>
          <w:numId w:val="2"/>
        </w:numPr>
        <w:tabs>
          <w:tab w:val="left" w:pos="841"/>
        </w:tabs>
        <w:topLinePunct/>
        <w:adjustRightInd w:val="0"/>
        <w:snapToGrid w:val="0"/>
        <w:spacing w:after="224" w:afterLines="75" w:line="300" w:lineRule="auto"/>
        <w:ind w:left="0" w:firstLine="0"/>
        <w:jc w:val="both"/>
        <w:rPr>
          <w:rFonts w:ascii="Arial" w:hAnsi="Arial" w:cs="Arial"/>
          <w:b w:val="0"/>
          <w:bCs w:val="0"/>
          <w:snapToGrid w:val="0"/>
          <w:sz w:val="28"/>
        </w:rPr>
      </w:pPr>
      <w:bookmarkStart w:id="203" w:name="VI._SPONSOR’S_RESPONSIBILITIES"/>
      <w:bookmarkEnd w:id="203"/>
      <w:bookmarkStart w:id="204" w:name="_bookmark94"/>
      <w:bookmarkEnd w:id="204"/>
      <w:bookmarkStart w:id="205" w:name="_Toc498446478"/>
      <w:bookmarkStart w:id="206" w:name="_Toc498200741"/>
      <w:r>
        <w:rPr>
          <w:rFonts w:ascii="Arial" w:hAnsi="Arial" w:cs="Arial"/>
          <w:snapToGrid w:val="0"/>
          <w:sz w:val="28"/>
        </w:rPr>
        <w:t>申办方责任</w:t>
      </w:r>
      <w:bookmarkEnd w:id="205"/>
      <w:bookmarkEnd w:id="206"/>
    </w:p>
    <w:p w14:paraId="3BEAE738">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07" w:name="52.__What_are_the_sponsor’s_responsibili"/>
      <w:bookmarkEnd w:id="207"/>
      <w:bookmarkStart w:id="208" w:name="_Toc498200742"/>
      <w:bookmarkStart w:id="209" w:name="_Toc498446479"/>
      <w:r>
        <w:rPr>
          <w:rFonts w:hint="eastAsia" w:ascii="Arial" w:hAnsi="Arial" w:cs="Arial"/>
          <w:snapToGrid w:val="0"/>
        </w:rPr>
        <w:t>根据</w:t>
      </w:r>
      <w:r>
        <w:rPr>
          <w:rFonts w:ascii="Arial" w:hAnsi="Arial" w:cs="Arial"/>
          <w:snapToGrid w:val="0"/>
        </w:rPr>
        <w:t>21 CFR 50.24</w:t>
      </w:r>
      <w:r>
        <w:rPr>
          <w:rFonts w:hint="eastAsia" w:ascii="Arial" w:hAnsi="Arial" w:cs="Arial"/>
          <w:snapToGrid w:val="0"/>
        </w:rPr>
        <w:t>，</w:t>
      </w:r>
      <w:r>
        <w:rPr>
          <w:rFonts w:ascii="Arial" w:hAnsi="Arial" w:cs="Arial"/>
          <w:snapToGrid w:val="0"/>
        </w:rPr>
        <w:t>申办方的责任是什么？</w:t>
      </w:r>
      <w:bookmarkEnd w:id="208"/>
      <w:bookmarkEnd w:id="209"/>
    </w:p>
    <w:p w14:paraId="676EAF1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除符合21 CFR第312和812条规定由申办方负责进行所有临床试验外，21 CFR 50.24还规定了根据知情同意要求豁免进行紧急研究时的附加责任。下面是申办方在21 CFR 50.24下的责任及其可能的发生顺序。</w:t>
      </w:r>
      <w:r>
        <w:rPr>
          <w:rStyle w:val="22"/>
          <w:rFonts w:ascii="Arial" w:hAnsi="Arial" w:cs="Arial"/>
          <w:snapToGrid w:val="0"/>
        </w:rPr>
        <w:footnoteReference w:id="36"/>
      </w:r>
      <w:r>
        <w:rPr>
          <w:rFonts w:ascii="Arial" w:hAnsi="Arial" w:cs="Arial"/>
          <w:snapToGrid w:val="0"/>
        </w:rPr>
        <w:t>（附录C提供示例流程图）</w:t>
      </w:r>
    </w:p>
    <w:p w14:paraId="44BF0089">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作为研究计划的一部分，申办方负责根据科学证据确定潜在治疗窗的长度，</w:t>
      </w:r>
      <w:r>
        <w:rPr>
          <w:rStyle w:val="22"/>
          <w:rFonts w:ascii="Arial" w:hAnsi="Arial" w:eastAsia="宋体" w:cs="Arial"/>
          <w:snapToGrid w:val="0"/>
          <w:sz w:val="24"/>
          <w:szCs w:val="24"/>
        </w:rPr>
        <w:footnoteReference w:id="37"/>
      </w:r>
      <w:r>
        <w:rPr>
          <w:rFonts w:ascii="Arial" w:hAnsi="Arial" w:eastAsia="宋体" w:cs="Arial"/>
          <w:snapToGrid w:val="0"/>
          <w:sz w:val="24"/>
          <w:szCs w:val="24"/>
        </w:rPr>
        <w:t>其中，应在此期间内将研究产品施用于受试者（21 CFR 50.24（a）（5））。</w:t>
      </w:r>
    </w:p>
    <w:p w14:paraId="6A19D2E4">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申办方负责建立独立数据监测委员会来监督临床研究（21 CFR 50.24（a）（7）（iv））。</w:t>
      </w:r>
      <w:r>
        <w:rPr>
          <w:rStyle w:val="22"/>
          <w:rFonts w:ascii="Arial" w:hAnsi="Arial" w:eastAsia="宋体" w:cs="Arial"/>
          <w:snapToGrid w:val="0"/>
          <w:sz w:val="24"/>
          <w:szCs w:val="24"/>
        </w:rPr>
        <w:footnoteReference w:id="38"/>
      </w:r>
    </w:p>
    <w:p w14:paraId="042DF042">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申办方应在单独IND或IDE中向FDA提交方案，其封面应明确表明该研究已根据21 CFR 50.24豁免知情同意（21 CFR 50.24（d），21 CFR 312.23（f），21 CFR 812.20 （a）（4），21 CFR 812.35（a））。</w:t>
      </w:r>
    </w:p>
    <w:p w14:paraId="118261D9">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申请人必须在研究开始之前获得FDA的书面授权（21 CFR 312.20（c）；21 CFR 812.20（a）（4）（i））。</w:t>
      </w:r>
    </w:p>
    <w:p w14:paraId="48CA2561">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申办方协助临床研究者开发并将以下信息提供给IRB：</w:t>
      </w:r>
    </w:p>
    <w:p w14:paraId="764E6324">
      <w:pPr>
        <w:pStyle w:val="24"/>
        <w:numPr>
          <w:ilvl w:val="2"/>
          <w:numId w:val="3"/>
        </w:numPr>
        <w:tabs>
          <w:tab w:val="left" w:pos="1560"/>
        </w:tabs>
        <w:topLinePunct/>
        <w:adjustRightInd w:val="0"/>
        <w:snapToGrid w:val="0"/>
        <w:spacing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证明21 CFR 50.24 （a）（1）至（4）规定的知情同意豁免标准已得到满足的信息；</w:t>
      </w:r>
    </w:p>
    <w:p w14:paraId="383E5C6E">
      <w:pPr>
        <w:pStyle w:val="24"/>
        <w:numPr>
          <w:ilvl w:val="2"/>
          <w:numId w:val="3"/>
        </w:numPr>
        <w:tabs>
          <w:tab w:val="left" w:pos="1560"/>
        </w:tabs>
        <w:topLinePunct/>
        <w:adjustRightInd w:val="0"/>
        <w:snapToGrid w:val="0"/>
        <w:spacing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拟定研究计划，包括知情同意程序和知情同意书，确认家庭成员是否反对受试者参与和／或继续参与研究时使用的程序和信息（21 CFR 50.24（a）（6）和（7）（v）和50.24（b））；</w:t>
      </w:r>
    </w:p>
    <w:p w14:paraId="1063EE4A">
      <w:pPr>
        <w:pStyle w:val="24"/>
        <w:numPr>
          <w:ilvl w:val="2"/>
          <w:numId w:val="3"/>
        </w:numPr>
        <w:tabs>
          <w:tab w:val="left" w:pos="1560"/>
        </w:tabs>
        <w:topLinePunct/>
        <w:adjustRightInd w:val="0"/>
        <w:snapToGrid w:val="0"/>
        <w:spacing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在施用供试品前，临床研究者将在治疗窗中联系专用时间段内，持续尝试联系受试者的合法授权代表（LAR），以征得其同意或询问受试者家庭成员是否反对的承诺（21 CFR 50.24（a）（5）和（7）（v））；</w:t>
      </w:r>
    </w:p>
    <w:p w14:paraId="363ECF60">
      <w:pPr>
        <w:pStyle w:val="24"/>
        <w:numPr>
          <w:ilvl w:val="0"/>
          <w:numId w:val="10"/>
        </w:numPr>
        <w:tabs>
          <w:tab w:val="left" w:pos="1560"/>
        </w:tabs>
        <w:topLinePunct/>
        <w:adjustRightInd w:val="0"/>
        <w:snapToGrid w:val="0"/>
        <w:spacing w:after="224" w:afterLines="75" w:line="300" w:lineRule="auto"/>
        <w:ind w:left="1560" w:leftChars="478" w:hanging="508" w:hangingChars="212"/>
        <w:jc w:val="both"/>
        <w:rPr>
          <w:rFonts w:ascii="Arial" w:hAnsi="Arial" w:eastAsia="宋体" w:cs="Arial"/>
          <w:snapToGrid w:val="0"/>
          <w:sz w:val="24"/>
          <w:szCs w:val="24"/>
        </w:rPr>
      </w:pPr>
      <w:bookmarkStart w:id="210" w:name="_bookmark97"/>
      <w:bookmarkEnd w:id="210"/>
      <w:bookmarkStart w:id="211" w:name="_bookmark98"/>
      <w:bookmarkEnd w:id="211"/>
      <w:bookmarkStart w:id="212" w:name="_bookmark99"/>
      <w:bookmarkEnd w:id="212"/>
      <w:r>
        <w:rPr>
          <w:rFonts w:ascii="Arial" w:hAnsi="Arial" w:eastAsia="宋体" w:cs="Arial"/>
          <w:snapToGrid w:val="0"/>
          <w:sz w:val="24"/>
          <w:szCs w:val="24"/>
        </w:rPr>
        <w:t>用于在受试者死亡时通知受试者的LAR或家庭成员关于受试者参与研究的程序和信息（21 CFR 50.24（b））；</w:t>
      </w:r>
    </w:p>
    <w:p w14:paraId="22A661EE">
      <w:pPr>
        <w:pStyle w:val="24"/>
        <w:numPr>
          <w:ilvl w:val="0"/>
          <w:numId w:val="10"/>
        </w:numPr>
        <w:tabs>
          <w:tab w:val="left" w:pos="1560"/>
        </w:tabs>
        <w:topLinePunct/>
        <w:adjustRightInd w:val="0"/>
        <w:snapToGrid w:val="0"/>
        <w:spacing w:after="224" w:afterLines="75"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研究开始之前的社区咨询和公开披露计划；以及</w:t>
      </w:r>
    </w:p>
    <w:p w14:paraId="185E8F17">
      <w:pPr>
        <w:pStyle w:val="24"/>
        <w:numPr>
          <w:ilvl w:val="0"/>
          <w:numId w:val="10"/>
        </w:numPr>
        <w:tabs>
          <w:tab w:val="left" w:pos="1560"/>
        </w:tabs>
        <w:topLinePunct/>
        <w:adjustRightInd w:val="0"/>
        <w:snapToGrid w:val="0"/>
        <w:spacing w:after="224" w:afterLines="75"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关于选择退出机制的信息，如果申办方提供此类机制（另请参见问题68）</w:t>
      </w:r>
    </w:p>
    <w:p w14:paraId="7A6A5D40">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办方和临床研究者（或如果适用，IRB（当IRB酌情决定自行进行社区咨询活动时））进行社区咨询活动。FDA建议一个或多个IRB成员参与社区咨询活动（另请参见问题44），但如果IRB成员无法参加，则应向IRB提供社区咨询活动收集的信息。IRB应确定向其提供社区咨询活动信息的方式（例如在IRB会议口头报告，研究者的书面报告）。</w:t>
      </w:r>
    </w:p>
    <w:p w14:paraId="5530C525">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申办方必须监督已根据21 CFR 50.24（21 CFR 312.54（a），21 CFR 812.47）豁免知情同意的所有研究进展情况。</w:t>
      </w:r>
    </w:p>
    <w:p w14:paraId="0B0FDEE0">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申办方必须在研究开始之前，及时将先前公开披露的信息副本（如研究计划及其风险和预期收益）提交至IND或IDE文件（以及案卷管理科（HFA-305）的案卷编号95S-0158，注明IND或IDE编号）；请参见</w:t>
      </w:r>
      <w:r>
        <w:rPr>
          <w:rFonts w:ascii="宋体" w:hAnsi="宋体" w:eastAsia="宋体" w:cs="Arial"/>
          <w:snapToGrid w:val="0"/>
          <w:sz w:val="24"/>
          <w:szCs w:val="24"/>
        </w:rPr>
        <w:t>“</w:t>
      </w:r>
      <w:r>
        <w:rPr>
          <w:rFonts w:ascii="Arial" w:hAnsi="Arial" w:eastAsia="宋体" w:cs="Arial"/>
          <w:snapToGrid w:val="0"/>
          <w:sz w:val="24"/>
          <w:szCs w:val="24"/>
        </w:rPr>
        <w:t>21 CFR 50.24（a）（7）（ii），312.54（a），812.47（a））（另请参见问题84）</w:t>
      </w:r>
    </w:p>
    <w:p w14:paraId="62751319">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申办方必须及时以书面形式向FDA提供有关IRB根据21 CFR 50.24决定驳回研究的信息。申办方还必须向已参与或要求参与相同或实质等同研究的研究者提供此信息，此外，还需将此信息提供给已经审查或需要审查此研究或实质等同研究的其他IRB（21 CFR 50.24（e），21 CFR 312.54（b），21 CFR 812.47（b））。</w:t>
      </w:r>
    </w:p>
    <w:p w14:paraId="51F6842E">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如果IRB需要修改社区咨询计划，申办方和临床研究者应负责修改社区咨询计划，并重新提交IRB审查（21 CFR 56.109（a））。</w:t>
      </w:r>
    </w:p>
    <w:p w14:paraId="36809184">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如果IRB需要修改公开披露计划，则申办方和临床研究者应负责修改公开披露计划，并重新提交IRB审查（21 CFR 56.109（a））。</w:t>
      </w:r>
    </w:p>
    <w:p w14:paraId="303E7233">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研究完成后，申办方应准备信息，以使研究者和社区了解研究相关信息，包括研究人群的人口学特征和研究结果（21 CFR 50.24（a）（7）（iii））。</w:t>
      </w:r>
    </w:p>
    <w:p w14:paraId="603D9C89">
      <w:pPr>
        <w:rPr>
          <w:rFonts w:ascii="Arial" w:hAnsi="Arial" w:eastAsia="宋体" w:cs="Arial"/>
          <w:snapToGrid w:val="0"/>
          <w:sz w:val="24"/>
          <w:szCs w:val="24"/>
        </w:rPr>
      </w:pPr>
      <w:r>
        <w:rPr>
          <w:rFonts w:ascii="Arial" w:hAnsi="Arial" w:eastAsia="宋体" w:cs="Arial"/>
          <w:snapToGrid w:val="0"/>
          <w:sz w:val="24"/>
          <w:szCs w:val="24"/>
        </w:rPr>
        <w:br w:type="page"/>
      </w:r>
    </w:p>
    <w:p w14:paraId="02E2CD50">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申办方必须及时提交IND或IDE文件，其中应附带公开披露信息的副本。申办方还必须将信息提交至案卷管理科（HFA-305）的案卷编号95S-0158，并注明IND或IDE编号（21 CFR 312.54（a）和21 CFR 812.47（a））（另请参见问题84和94）</w:t>
      </w:r>
    </w:p>
    <w:p w14:paraId="42A8C735">
      <w:pPr>
        <w:pStyle w:val="3"/>
        <w:numPr>
          <w:ilvl w:val="0"/>
          <w:numId w:val="2"/>
        </w:numPr>
        <w:tabs>
          <w:tab w:val="left" w:pos="820"/>
        </w:tabs>
        <w:topLinePunct/>
        <w:adjustRightInd w:val="0"/>
        <w:snapToGrid w:val="0"/>
        <w:spacing w:after="224" w:afterLines="75" w:line="300" w:lineRule="auto"/>
        <w:ind w:left="0" w:firstLine="0"/>
        <w:jc w:val="both"/>
        <w:rPr>
          <w:rFonts w:ascii="Arial" w:hAnsi="Arial" w:cs="Arial"/>
          <w:b w:val="0"/>
          <w:bCs w:val="0"/>
          <w:snapToGrid w:val="0"/>
          <w:sz w:val="28"/>
        </w:rPr>
      </w:pPr>
      <w:bookmarkStart w:id="213" w:name="VII._CLINICAL_INVESTIGATOR’S_RESPONSIBIL"/>
      <w:bookmarkEnd w:id="213"/>
      <w:bookmarkStart w:id="214" w:name="_Toc498200743"/>
      <w:bookmarkStart w:id="215" w:name="_Toc498446480"/>
      <w:r>
        <w:rPr>
          <w:rFonts w:ascii="Arial" w:hAnsi="Arial" w:cs="Arial"/>
          <w:snapToGrid w:val="0"/>
          <w:sz w:val="28"/>
        </w:rPr>
        <w:t>临床研究者责任</w:t>
      </w:r>
      <w:bookmarkEnd w:id="214"/>
      <w:bookmarkEnd w:id="215"/>
    </w:p>
    <w:p w14:paraId="731DFDA7">
      <w:pPr>
        <w:pStyle w:val="4"/>
        <w:numPr>
          <w:ilvl w:val="0"/>
          <w:numId w:val="3"/>
        </w:numPr>
        <w:tabs>
          <w:tab w:val="left" w:pos="520"/>
        </w:tabs>
        <w:topLinePunct/>
        <w:adjustRightInd w:val="0"/>
        <w:snapToGrid w:val="0"/>
        <w:spacing w:after="224" w:afterLines="75" w:line="300" w:lineRule="auto"/>
        <w:ind w:left="0" w:firstLine="0"/>
        <w:jc w:val="both"/>
        <w:rPr>
          <w:rFonts w:ascii="Arial" w:hAnsi="Arial" w:cs="Arial"/>
          <w:b w:val="0"/>
          <w:bCs w:val="0"/>
          <w:i w:val="0"/>
          <w:snapToGrid w:val="0"/>
        </w:rPr>
      </w:pPr>
      <w:bookmarkStart w:id="216" w:name="53.__What_are_the_clinical_investigator’"/>
      <w:bookmarkEnd w:id="216"/>
      <w:bookmarkStart w:id="217" w:name="_Toc498200744"/>
      <w:bookmarkStart w:id="218" w:name="_Toc498446481"/>
      <w:r>
        <w:rPr>
          <w:rFonts w:hint="eastAsia" w:ascii="Arial" w:hAnsi="Arial" w:cs="Arial"/>
          <w:snapToGrid w:val="0"/>
        </w:rPr>
        <w:t>根据</w:t>
      </w:r>
      <w:r>
        <w:rPr>
          <w:rFonts w:ascii="Arial" w:hAnsi="Arial" w:cs="Arial"/>
          <w:snapToGrid w:val="0"/>
        </w:rPr>
        <w:t>21 CFR 50.24</w:t>
      </w:r>
      <w:r>
        <w:rPr>
          <w:rFonts w:hint="eastAsia" w:ascii="Arial" w:hAnsi="Arial" w:cs="Arial"/>
          <w:snapToGrid w:val="0"/>
        </w:rPr>
        <w:t>，</w:t>
      </w:r>
      <w:r>
        <w:rPr>
          <w:rFonts w:ascii="Arial" w:hAnsi="Arial" w:cs="Arial"/>
          <w:snapToGrid w:val="0"/>
        </w:rPr>
        <w:t>临床研究者的责任是什么？</w:t>
      </w:r>
      <w:bookmarkEnd w:id="217"/>
      <w:bookmarkEnd w:id="218"/>
    </w:p>
    <w:p w14:paraId="66A16AE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除21 CFR 312和812中规定的临床研究者责任外，21 CFR 50.24还规定了根据知情同意要求豁免进行紧急研究时的附加责任。下面是临床研究者在21 CFR 50.24下的责任及其可能的发生顺序。（附录C提供示例流程图）</w:t>
      </w:r>
    </w:p>
    <w:p w14:paraId="3032E752">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在申办方的协助下，临床研究者应向IRB提供：</w:t>
      </w:r>
    </w:p>
    <w:p w14:paraId="56DE0731">
      <w:pPr>
        <w:pStyle w:val="24"/>
        <w:numPr>
          <w:ilvl w:val="0"/>
          <w:numId w:val="10"/>
        </w:numPr>
        <w:tabs>
          <w:tab w:val="left" w:pos="1560"/>
        </w:tabs>
        <w:topLinePunct/>
        <w:adjustRightInd w:val="0"/>
        <w:snapToGrid w:val="0"/>
        <w:spacing w:after="224" w:afterLines="75"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证明21 CFR 50.24 （a）（1）至（4）规定的知情同意豁免标准已得到满足的材料；</w:t>
      </w:r>
    </w:p>
    <w:p w14:paraId="5815BBF2">
      <w:pPr>
        <w:pStyle w:val="24"/>
        <w:numPr>
          <w:ilvl w:val="0"/>
          <w:numId w:val="10"/>
        </w:numPr>
        <w:tabs>
          <w:tab w:val="left" w:pos="1560"/>
        </w:tabs>
        <w:topLinePunct/>
        <w:adjustRightInd w:val="0"/>
        <w:snapToGrid w:val="0"/>
        <w:spacing w:after="224" w:afterLines="75"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拟定研究计划，包括知情同意程序和知情同意书，确认家庭成员是否反对受试者参与和／或继续参与研究时使用的程序和信息（21 CFR 50.24（a）（6）和（7）（v）和50.24（b））；</w:t>
      </w:r>
    </w:p>
    <w:p w14:paraId="622F09BB">
      <w:pPr>
        <w:pStyle w:val="24"/>
        <w:numPr>
          <w:ilvl w:val="0"/>
          <w:numId w:val="10"/>
        </w:numPr>
        <w:tabs>
          <w:tab w:val="left" w:pos="1540"/>
        </w:tabs>
        <w:topLinePunct/>
        <w:adjustRightInd w:val="0"/>
        <w:snapToGrid w:val="0"/>
        <w:spacing w:after="224" w:afterLines="75"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在施用供试品前，临床研究者将在治疗窗中联系专用时间段内，持续尝试联系受试者的合法授权代表（LAR），以征得其同意或询问受试者家庭成员是否反对的承诺（21 CFR 50.24（a）（5）和（7）（v））；</w:t>
      </w:r>
    </w:p>
    <w:p w14:paraId="419547FD">
      <w:pPr>
        <w:pStyle w:val="24"/>
        <w:numPr>
          <w:ilvl w:val="0"/>
          <w:numId w:val="10"/>
        </w:numPr>
        <w:tabs>
          <w:tab w:val="left" w:pos="1540"/>
        </w:tabs>
        <w:topLinePunct/>
        <w:adjustRightInd w:val="0"/>
        <w:snapToGrid w:val="0"/>
        <w:spacing w:after="224" w:afterLines="75"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用于在受试者死亡时通知受试者的合法授权代表或家庭成员关于受试者参与研究的程序和信息（21 CFR 50.24（b））；以及</w:t>
      </w:r>
    </w:p>
    <w:p w14:paraId="5764BA75">
      <w:pPr>
        <w:pStyle w:val="24"/>
        <w:numPr>
          <w:ilvl w:val="0"/>
          <w:numId w:val="10"/>
        </w:numPr>
        <w:tabs>
          <w:tab w:val="left" w:pos="1540"/>
        </w:tabs>
        <w:topLinePunct/>
        <w:adjustRightInd w:val="0"/>
        <w:snapToGrid w:val="0"/>
        <w:spacing w:after="224" w:afterLines="75" w:line="300" w:lineRule="auto"/>
        <w:ind w:left="1560" w:leftChars="478" w:hanging="508" w:hangingChars="212"/>
        <w:jc w:val="both"/>
        <w:rPr>
          <w:rFonts w:ascii="Arial" w:hAnsi="Arial" w:eastAsia="宋体" w:cs="Arial"/>
          <w:snapToGrid w:val="0"/>
          <w:sz w:val="24"/>
          <w:szCs w:val="24"/>
        </w:rPr>
      </w:pPr>
      <w:r>
        <w:rPr>
          <w:rFonts w:ascii="Arial" w:hAnsi="Arial" w:eastAsia="宋体" w:cs="Arial"/>
          <w:snapToGrid w:val="0"/>
          <w:sz w:val="24"/>
          <w:szCs w:val="24"/>
        </w:rPr>
        <w:t>进一步保护受试者权利和福利的计划，其中至少包括在开始研究之前进行的社区咨询和公开披露计划。</w:t>
      </w:r>
    </w:p>
    <w:p w14:paraId="3A7375FE">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研究者和申办方（或IRB（当IRB酌情决定自行进行社区咨询活动时））进行社区咨询活动。IRB成员应亲自参与社区咨询活动（另请参见问题44），但如果无法参加，则应向IRB提供社区咨询活动收集的信息。</w:t>
      </w:r>
    </w:p>
    <w:p w14:paraId="7845A9DA">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如果IRB需要修改社区咨询计划，临床研究者和申办方应负责修改社区咨询计划，并重新提交IRB进行审查和批准（21 CFR 56.109（a））。</w:t>
      </w:r>
    </w:p>
    <w:p w14:paraId="32D44A19">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如果IRB需要修改公开披露计划，临床研究者和申办方应负责修改公开披露计划，并重新提交IRB进行审查和批准（21 CFR 56.109（a））。</w:t>
      </w:r>
    </w:p>
    <w:p w14:paraId="410BD66A">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在开始研究之前，临床研究者应确保所有个体（包括执行研究相关任务的第一反应人员）已了解其进行此类研究的义务和相关法规要求。这可能需要对第一反应人员和现场工作人员进行具体培训（例如，使用研究产品，与法定授权代表（LAR）或家庭成员交流的时间安排和技巧）。</w:t>
      </w:r>
    </w:p>
    <w:p w14:paraId="30E9A372">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在研究期间，如果时间允许，临床研究者可以查阅易于获取的信息来源（如医用识别腕带），以便获得个体愿意或不愿意参与研究的证据，并在施用供试品之前，尝试在治疗窗中联系专用时间段内，联系受试者的LAR，并在该时间段内征得其同意（如果可行），而不是在未获得同意的情况下继续进行（21 CFR 50.24（a）（5））。如果无法联系LAR，研究者应尝试在治疗窗中联系专用时间段内，联系受试者的家庭成员，询问其是否反对该受试者参与研究（21 CFR 50.24（a）（7）（v））。</w:t>
      </w:r>
    </w:p>
    <w:p w14:paraId="67412868">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在研究期间，临床研究者应尽早通知</w:t>
      </w:r>
      <w:bookmarkStart w:id="219" w:name="OLE_LINK3"/>
      <w:bookmarkStart w:id="220" w:name="OLE_LINK4"/>
      <w:r>
        <w:rPr>
          <w:rFonts w:ascii="Arial" w:hAnsi="Arial" w:eastAsia="宋体" w:cs="Arial"/>
          <w:snapToGrid w:val="0"/>
          <w:sz w:val="24"/>
          <w:szCs w:val="24"/>
        </w:rPr>
        <w:t>受试者</w:t>
      </w:r>
      <w:bookmarkEnd w:id="219"/>
      <w:bookmarkEnd w:id="220"/>
      <w:r>
        <w:rPr>
          <w:rFonts w:ascii="Arial" w:hAnsi="Arial" w:eastAsia="宋体" w:cs="Arial"/>
          <w:snapToGrid w:val="0"/>
          <w:sz w:val="24"/>
          <w:szCs w:val="24"/>
        </w:rPr>
        <w:t>、受试者LAR或家庭成员以下信息：（1）将受试者纳入研究的决定，研究细节和知情同意书所载的其他信息，和（2）其可以随时停止受试者继续参与研究，且不会受到任何惩罚或使受试者丧失其有权获得的收益（21 CFR 50.24（b））。</w:t>
      </w:r>
    </w:p>
    <w:p w14:paraId="32F0D16F">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如果受试者状况得到改善，也可尽快通知该受试者（21 CFR 50.24（b））。</w:t>
      </w:r>
    </w:p>
    <w:p w14:paraId="0ADAA13B">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如果受试者在可以联系到LAR或家庭成员之前已死亡，将向受试者的LAR或家庭成员提供关于临床研究的信息（如果可行）（21 CFR 50.24（b））。</w:t>
      </w:r>
    </w:p>
    <w:p w14:paraId="31ED485A">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临床研究者应总结其在治疗窗内，为联系每个LAR或确定每例受试者的家庭成员是否反对受试者参与研究而作出的工作。临床研究者必须在继续审查时向IRB提供此总结（21 CFR 50.24（a）（6））。</w:t>
      </w:r>
      <w:r>
        <w:rPr>
          <w:rStyle w:val="22"/>
          <w:rFonts w:ascii="Arial" w:hAnsi="Arial" w:eastAsia="宋体" w:cs="Arial"/>
          <w:snapToGrid w:val="0"/>
          <w:sz w:val="24"/>
          <w:szCs w:val="24"/>
        </w:rPr>
        <w:footnoteReference w:id="39"/>
      </w:r>
    </w:p>
    <w:p w14:paraId="750BF7E9">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研究完成后，研究者可协助申办方或协助编写信息，以便社区和其他研究者了解研究相关信息，包括研究人群的人口特征和研究结果（21 CFR 50.24（a）（7）（III））。</w:t>
      </w:r>
    </w:p>
    <w:p w14:paraId="1E75B78B">
      <w:pPr>
        <w:pStyle w:val="3"/>
        <w:numPr>
          <w:ilvl w:val="0"/>
          <w:numId w:val="2"/>
        </w:numPr>
        <w:tabs>
          <w:tab w:val="left" w:pos="840"/>
        </w:tabs>
        <w:topLinePunct/>
        <w:adjustRightInd w:val="0"/>
        <w:snapToGrid w:val="0"/>
        <w:spacing w:after="224" w:afterLines="75" w:line="300" w:lineRule="auto"/>
        <w:ind w:left="0" w:firstLine="0"/>
        <w:jc w:val="both"/>
        <w:rPr>
          <w:rFonts w:ascii="Arial" w:hAnsi="Arial" w:cs="Arial"/>
          <w:b w:val="0"/>
          <w:bCs w:val="0"/>
          <w:snapToGrid w:val="0"/>
          <w:sz w:val="28"/>
        </w:rPr>
      </w:pPr>
      <w:bookmarkStart w:id="221" w:name="VIII._COMMUNITY_CONSULTATION_"/>
      <w:bookmarkEnd w:id="221"/>
      <w:bookmarkStart w:id="222" w:name="_Toc498200745"/>
      <w:bookmarkStart w:id="223" w:name="_Toc498446482"/>
      <w:r>
        <w:rPr>
          <w:rFonts w:ascii="Arial" w:hAnsi="Arial" w:cs="Arial"/>
          <w:snapToGrid w:val="0"/>
          <w:sz w:val="28"/>
        </w:rPr>
        <w:t>社区咨询</w:t>
      </w:r>
      <w:bookmarkEnd w:id="222"/>
      <w:bookmarkEnd w:id="223"/>
    </w:p>
    <w:p w14:paraId="50D443D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根据21 CFR 50.24，IRB必须确定和确认，此类受试者的权利和福利已得到进一步保护，其中至少包括</w:t>
      </w:r>
      <w:r>
        <w:rPr>
          <w:rFonts w:ascii="宋体" w:hAnsi="宋体" w:cs="Arial"/>
          <w:snapToGrid w:val="0"/>
        </w:rPr>
        <w:t>“</w:t>
      </w:r>
      <w:r>
        <w:rPr>
          <w:rFonts w:ascii="Arial" w:hAnsi="Arial" w:cs="Arial"/>
          <w:snapToGrid w:val="0"/>
        </w:rPr>
        <w:t>咨询研究和受试者所在社区（包括IRB进行的咨询（如果适用））（社区咨询；21 CFR 50.24（a）（7）（i）和21 CFR 56.115（a））；公开披露要求豁免知情同意的每份紧急研究方案（21 CFR 50.24（a）（7）（i-iii））。对于多地点试验，FDA希望申办方和研究者针对所有地点的社区举办社区咨询活动。</w:t>
      </w:r>
    </w:p>
    <w:p w14:paraId="62B5E092">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24" w:name="54.__What_is_meant_by_“community_consult"/>
      <w:bookmarkEnd w:id="224"/>
      <w:bookmarkStart w:id="225" w:name="_bookmark103"/>
      <w:bookmarkEnd w:id="225"/>
      <w:bookmarkStart w:id="226" w:name="_Toc498200746"/>
      <w:bookmarkStart w:id="227" w:name="_Toc498446483"/>
      <w:r>
        <w:rPr>
          <w:rFonts w:ascii="宋体" w:hAnsi="宋体" w:cs="Arial"/>
          <w:snapToGrid w:val="0"/>
        </w:rPr>
        <w:t>“</w:t>
      </w:r>
      <w:r>
        <w:rPr>
          <w:rFonts w:ascii="Arial" w:hAnsi="Arial" w:cs="Arial"/>
          <w:snapToGrid w:val="0"/>
        </w:rPr>
        <w:t>社区咨询</w:t>
      </w:r>
      <w:r>
        <w:rPr>
          <w:rFonts w:ascii="宋体" w:hAnsi="宋体" w:cs="Arial"/>
          <w:snapToGrid w:val="0"/>
        </w:rPr>
        <w:t>”</w:t>
      </w:r>
      <w:r>
        <w:rPr>
          <w:rFonts w:ascii="Arial" w:hAnsi="Arial" w:cs="Arial"/>
          <w:snapToGrid w:val="0"/>
        </w:rPr>
        <w:t>是什么意思，其目标是什么？</w:t>
      </w:r>
      <w:bookmarkEnd w:id="226"/>
      <w:bookmarkEnd w:id="227"/>
    </w:p>
    <w:p w14:paraId="069A8FA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社区咨询是指与研究所在社区和受试者所在社区进行讨论并征求其意见。此类社区可能并不总是相同；如果社区不相同，应该咨询两个社区。</w:t>
      </w:r>
    </w:p>
    <w:p w14:paraId="554F092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社区咨询的目标是：</w:t>
      </w:r>
    </w:p>
    <w:p w14:paraId="4927194B">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通过事先通知社区研究相关信息来</w:t>
      </w:r>
      <w:bookmarkStart w:id="228" w:name="OLE_LINK5"/>
      <w:r>
        <w:rPr>
          <w:rFonts w:ascii="Arial" w:hAnsi="Arial" w:eastAsia="宋体" w:cs="Arial"/>
          <w:snapToGrid w:val="0"/>
          <w:sz w:val="24"/>
          <w:szCs w:val="24"/>
        </w:rPr>
        <w:t>表明对</w:t>
      </w:r>
      <w:bookmarkEnd w:id="228"/>
      <w:r>
        <w:rPr>
          <w:rFonts w:ascii="Arial" w:hAnsi="Arial" w:eastAsia="宋体" w:cs="Arial"/>
          <w:snapToGrid w:val="0"/>
          <w:sz w:val="24"/>
          <w:szCs w:val="24"/>
        </w:rPr>
        <w:t>人员的尊重；</w:t>
      </w:r>
    </w:p>
    <w:p w14:paraId="7C021F92">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事先通知社区成员试验相关信息，并允许受影响社区在决定批准、要求修改或驳回研究之前，向IRB提供有意义的意见；</w:t>
      </w:r>
    </w:p>
    <w:p w14:paraId="78820F42">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通过允许社区代表确定潜在的社区级担忧和研究影响来表明对社区的尊重；以及</w:t>
      </w:r>
    </w:p>
    <w:p w14:paraId="030CEC52">
      <w:pPr>
        <w:pStyle w:val="24"/>
        <w:numPr>
          <w:ilvl w:val="1"/>
          <w:numId w:val="3"/>
        </w:numPr>
        <w:tabs>
          <w:tab w:val="left" w:pos="1036"/>
        </w:tabs>
        <w:topLinePunct/>
        <w:adjustRightInd w:val="0"/>
        <w:snapToGrid w:val="0"/>
        <w:spacing w:after="224" w:afterLines="75" w:line="300" w:lineRule="auto"/>
        <w:ind w:left="1036" w:hanging="476"/>
        <w:jc w:val="both"/>
        <w:rPr>
          <w:rFonts w:ascii="Arial" w:hAnsi="Arial" w:eastAsia="宋体" w:cs="Arial"/>
          <w:snapToGrid w:val="0"/>
          <w:sz w:val="24"/>
          <w:szCs w:val="24"/>
        </w:rPr>
      </w:pPr>
      <w:r>
        <w:rPr>
          <w:rFonts w:ascii="Arial" w:hAnsi="Arial" w:eastAsia="宋体" w:cs="Arial"/>
          <w:snapToGrid w:val="0"/>
          <w:sz w:val="24"/>
          <w:szCs w:val="24"/>
        </w:rPr>
        <w:t>表明对受试者自主权的尊重。可以通过使已患有或已患有研究病症的个体参与社区咨询活动来表明尊重（从而获得预期与最终研究对象类似的群体意见）</w:t>
      </w:r>
    </w:p>
    <w:p w14:paraId="2D172C00">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29" w:name="55.__What_is_meant_by_“the_community_in_"/>
      <w:bookmarkEnd w:id="229"/>
      <w:bookmarkStart w:id="230" w:name="_Toc498200747"/>
      <w:bookmarkStart w:id="231" w:name="_Toc498446484"/>
      <w:r>
        <w:rPr>
          <w:rFonts w:ascii="宋体" w:hAnsi="宋体" w:cs="Arial"/>
          <w:snapToGrid w:val="0"/>
        </w:rPr>
        <w:t>“</w:t>
      </w:r>
      <w:r>
        <w:rPr>
          <w:rFonts w:ascii="Arial" w:hAnsi="Arial" w:cs="Arial"/>
          <w:snapToGrid w:val="0"/>
        </w:rPr>
        <w:t>研究所在社区</w:t>
      </w:r>
      <w:r>
        <w:rPr>
          <w:rFonts w:ascii="宋体" w:hAnsi="宋体" w:cs="Arial"/>
          <w:snapToGrid w:val="0"/>
        </w:rPr>
        <w:t>”</w:t>
      </w:r>
      <w:r>
        <w:rPr>
          <w:rFonts w:ascii="Arial" w:hAnsi="Arial" w:cs="Arial"/>
          <w:snapToGrid w:val="0"/>
        </w:rPr>
        <w:t>是什么意思？</w:t>
      </w:r>
      <w:bookmarkEnd w:id="230"/>
      <w:bookmarkEnd w:id="231"/>
    </w:p>
    <w:p w14:paraId="28C2041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FDA认为，短语</w:t>
      </w:r>
      <w:r>
        <w:rPr>
          <w:rFonts w:ascii="宋体" w:hAnsi="宋体" w:cs="Arial"/>
          <w:snapToGrid w:val="0"/>
        </w:rPr>
        <w:t>“</w:t>
      </w:r>
      <w:r>
        <w:rPr>
          <w:rFonts w:ascii="Arial" w:hAnsi="Arial" w:cs="Arial"/>
          <w:snapToGrid w:val="0"/>
        </w:rPr>
        <w:t>研究所在社区</w:t>
      </w:r>
      <w:r>
        <w:rPr>
          <w:rFonts w:ascii="宋体" w:hAnsi="宋体" w:cs="Arial"/>
          <w:snapToGrid w:val="0"/>
        </w:rPr>
        <w:t>”</w:t>
      </w:r>
      <w:r>
        <w:rPr>
          <w:rFonts w:ascii="Arial" w:hAnsi="Arial" w:cs="Arial"/>
          <w:snapToGrid w:val="0"/>
        </w:rPr>
        <w:t>是指医院或其他设施，医院或临床研究地点所在城市或地区等地理区域。来自多个州，但由某个区域创伤中心、急诊室工作人员或隶属于医院或创伤中心的其他医疗保健提供者、区域紧急医疗技术人员、医护人员和第一反应人员服务的人员也可视为</w:t>
      </w:r>
      <w:r>
        <w:rPr>
          <w:rFonts w:ascii="宋体" w:hAnsi="宋体" w:cs="Arial"/>
          <w:snapToGrid w:val="0"/>
        </w:rPr>
        <w:t>“</w:t>
      </w:r>
      <w:r>
        <w:rPr>
          <w:rFonts w:ascii="Arial" w:hAnsi="Arial" w:cs="Arial"/>
          <w:snapToGrid w:val="0"/>
        </w:rPr>
        <w:t>研究所在社区</w:t>
      </w:r>
      <w:r>
        <w:rPr>
          <w:rFonts w:ascii="宋体" w:hAnsi="宋体" w:cs="Arial"/>
          <w:snapToGrid w:val="0"/>
        </w:rPr>
        <w:t>”</w:t>
      </w:r>
      <w:r>
        <w:rPr>
          <w:rFonts w:ascii="Arial" w:hAnsi="Arial" w:cs="Arial"/>
          <w:snapToGrid w:val="0"/>
        </w:rPr>
        <w:t>的一部分。（另请参见问题56、65和73）</w:t>
      </w:r>
    </w:p>
    <w:p w14:paraId="756576D7">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32" w:name="56.__What_is_meant_by_“the_community_fro"/>
      <w:bookmarkEnd w:id="232"/>
      <w:bookmarkStart w:id="233" w:name="_Toc498446485"/>
      <w:bookmarkStart w:id="234" w:name="_Toc498200748"/>
      <w:r>
        <w:rPr>
          <w:rFonts w:ascii="宋体" w:hAnsi="宋体" w:cs="Arial"/>
          <w:snapToGrid w:val="0"/>
        </w:rPr>
        <w:t>“</w:t>
      </w:r>
      <w:r>
        <w:rPr>
          <w:rFonts w:ascii="Arial" w:hAnsi="Arial" w:cs="Arial"/>
          <w:snapToGrid w:val="0"/>
        </w:rPr>
        <w:t>受试者所在社区</w:t>
      </w:r>
      <w:r>
        <w:rPr>
          <w:rFonts w:ascii="宋体" w:hAnsi="宋体" w:cs="Arial"/>
          <w:snapToGrid w:val="0"/>
        </w:rPr>
        <w:t>”</w:t>
      </w:r>
      <w:r>
        <w:rPr>
          <w:rFonts w:ascii="Arial" w:hAnsi="Arial" w:cs="Arial"/>
          <w:snapToGrid w:val="0"/>
        </w:rPr>
        <w:t>是什么意思？</w:t>
      </w:r>
      <w:bookmarkEnd w:id="233"/>
      <w:bookmarkEnd w:id="234"/>
    </w:p>
    <w:p w14:paraId="50B759C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FDA认为，短语</w:t>
      </w:r>
      <w:r>
        <w:rPr>
          <w:rFonts w:ascii="宋体" w:hAnsi="宋体" w:cs="Arial"/>
          <w:snapToGrid w:val="0"/>
        </w:rPr>
        <w:t>“</w:t>
      </w:r>
      <w:r>
        <w:rPr>
          <w:rFonts w:ascii="Arial" w:hAnsi="Arial" w:cs="Arial"/>
          <w:snapToGrid w:val="0"/>
        </w:rPr>
        <w:t>受试者所在社区</w:t>
      </w:r>
      <w:r>
        <w:rPr>
          <w:rFonts w:ascii="宋体" w:hAnsi="宋体" w:cs="Arial"/>
          <w:snapToGrid w:val="0"/>
        </w:rPr>
        <w:t>”</w:t>
      </w:r>
      <w:r>
        <w:rPr>
          <w:rFonts w:ascii="Arial" w:hAnsi="Arial" w:cs="Arial"/>
          <w:snapToGrid w:val="0"/>
        </w:rPr>
        <w:t>（即处于危险中的社区）是指具有特定医疗或其他特征，使得将其（或家庭成员）招入研究的可能性增加的患者群体（另请参见问题55、65和73）。</w:t>
      </w:r>
    </w:p>
    <w:p w14:paraId="6AF680E7">
      <w:pPr>
        <w:pStyle w:val="4"/>
        <w:numPr>
          <w:ilvl w:val="0"/>
          <w:numId w:val="3"/>
        </w:numPr>
        <w:tabs>
          <w:tab w:val="left" w:pos="541"/>
        </w:tabs>
        <w:topLinePunct/>
        <w:adjustRightInd w:val="0"/>
        <w:snapToGrid w:val="0"/>
        <w:spacing w:after="224" w:afterLines="75" w:line="300" w:lineRule="auto"/>
        <w:ind w:left="541" w:hanging="541"/>
        <w:jc w:val="both"/>
        <w:rPr>
          <w:rFonts w:ascii="Arial" w:hAnsi="Arial" w:cs="Arial"/>
          <w:snapToGrid w:val="0"/>
        </w:rPr>
      </w:pPr>
      <w:bookmarkStart w:id="235" w:name="57.__Is_community_consultation_the_same_"/>
      <w:bookmarkEnd w:id="235"/>
      <w:bookmarkStart w:id="236" w:name="_Toc498200749"/>
      <w:bookmarkStart w:id="237" w:name="_Toc498446486"/>
      <w:r>
        <w:rPr>
          <w:rFonts w:ascii="Arial" w:hAnsi="Arial" w:cs="Arial"/>
          <w:snapToGrid w:val="0"/>
        </w:rPr>
        <w:t>对于该研究来说，社区咨询是否与</w:t>
      </w:r>
      <w:r>
        <w:rPr>
          <w:rFonts w:ascii="宋体" w:hAnsi="宋体" w:cs="Arial"/>
          <w:snapToGrid w:val="0"/>
        </w:rPr>
        <w:t>“</w:t>
      </w:r>
      <w:r>
        <w:rPr>
          <w:rFonts w:ascii="Arial" w:hAnsi="Arial" w:cs="Arial"/>
          <w:snapToGrid w:val="0"/>
        </w:rPr>
        <w:t>社区同意</w:t>
      </w:r>
      <w:r>
        <w:rPr>
          <w:rFonts w:ascii="宋体" w:hAnsi="宋体" w:cs="Arial"/>
          <w:snapToGrid w:val="0"/>
        </w:rPr>
        <w:t>”</w:t>
      </w:r>
      <w:r>
        <w:rPr>
          <w:rFonts w:ascii="Arial" w:hAnsi="Arial" w:cs="Arial"/>
          <w:snapToGrid w:val="0"/>
        </w:rPr>
        <w:t>相同？</w:t>
      </w:r>
      <w:r>
        <w:rPr>
          <w:rFonts w:ascii="宋体" w:hAnsi="宋体" w:cs="Arial"/>
          <w:snapToGrid w:val="0"/>
        </w:rPr>
        <w:t>“</w:t>
      </w:r>
      <w:r>
        <w:rPr>
          <w:rFonts w:ascii="Arial" w:hAnsi="Arial" w:cs="Arial"/>
          <w:snapToGrid w:val="0"/>
        </w:rPr>
        <w:t>社区同意</w:t>
      </w:r>
      <w:r>
        <w:rPr>
          <w:rFonts w:ascii="宋体" w:hAnsi="宋体" w:cs="Arial"/>
          <w:snapToGrid w:val="0"/>
        </w:rPr>
        <w:t>”</w:t>
      </w:r>
      <w:r>
        <w:rPr>
          <w:rFonts w:ascii="Arial" w:hAnsi="Arial" w:cs="Arial"/>
          <w:snapToGrid w:val="0"/>
        </w:rPr>
        <w:t>是否可代替个体知情同意？</w:t>
      </w:r>
      <w:bookmarkEnd w:id="236"/>
      <w:bookmarkEnd w:id="237"/>
    </w:p>
    <w:p w14:paraId="4370374A">
      <w:pPr>
        <w:rPr>
          <w:rFonts w:ascii="Arial" w:hAnsi="Arial" w:eastAsia="宋体" w:cs="Arial"/>
          <w:snapToGrid w:val="0"/>
          <w:sz w:val="24"/>
          <w:szCs w:val="24"/>
        </w:rPr>
      </w:pPr>
      <w:r>
        <w:rPr>
          <w:rFonts w:ascii="Arial" w:hAnsi="Arial" w:cs="Arial"/>
          <w:snapToGrid w:val="0"/>
        </w:rPr>
        <w:br w:type="page"/>
      </w:r>
    </w:p>
    <w:p w14:paraId="02D4145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否。社区咨询不同于社区同意。社区同意是社区领导人可以同意社区参与研究，从而研究者无需从个体受试者获得知情同意的理念。社区同意不能替代IND / IDE发给要求的个体知情同意，也不得代表个体成员同意参与研究。在紧急研究中，可能无法通过直接获得个体同意来表明尊重个体自主权。同样，社区咨询不能替代个体同意，即使社区咨询确实可以方便与潜在研究受试者处境相似的人员了解研究相关信息并发表意见。</w:t>
      </w:r>
    </w:p>
    <w:p w14:paraId="04FA5583">
      <w:pPr>
        <w:pStyle w:val="4"/>
        <w:numPr>
          <w:ilvl w:val="0"/>
          <w:numId w:val="3"/>
        </w:numPr>
        <w:tabs>
          <w:tab w:val="left" w:pos="521"/>
        </w:tabs>
        <w:topLinePunct/>
        <w:adjustRightInd w:val="0"/>
        <w:snapToGrid w:val="0"/>
        <w:spacing w:after="224" w:afterLines="75" w:line="300" w:lineRule="auto"/>
        <w:ind w:left="0" w:firstLine="0"/>
        <w:jc w:val="both"/>
        <w:rPr>
          <w:rFonts w:ascii="Arial" w:hAnsi="Arial" w:cs="Arial"/>
          <w:b w:val="0"/>
          <w:bCs w:val="0"/>
          <w:i w:val="0"/>
          <w:snapToGrid w:val="0"/>
        </w:rPr>
      </w:pPr>
      <w:bookmarkStart w:id="238" w:name="58.__What_should_happen_during_community"/>
      <w:bookmarkEnd w:id="238"/>
      <w:bookmarkStart w:id="239" w:name="_Toc498446487"/>
      <w:bookmarkStart w:id="240" w:name="_Toc498200750"/>
      <w:r>
        <w:rPr>
          <w:rFonts w:ascii="Arial" w:hAnsi="Arial" w:cs="Arial"/>
          <w:snapToGrid w:val="0"/>
        </w:rPr>
        <w:t>社区咨询期间应该做什么？</w:t>
      </w:r>
      <w:bookmarkEnd w:id="239"/>
      <w:bookmarkEnd w:id="240"/>
    </w:p>
    <w:p w14:paraId="65D9C5EF">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t>在社区咨询期间，申办方和临床研究者应该</w:t>
      </w:r>
    </w:p>
    <w:p w14:paraId="65A30729">
      <w:pPr>
        <w:pStyle w:val="24"/>
        <w:numPr>
          <w:ilvl w:val="0"/>
          <w:numId w:val="11"/>
        </w:numPr>
        <w:tabs>
          <w:tab w:val="left" w:pos="1372"/>
        </w:tabs>
        <w:topLinePunct/>
        <w:adjustRightInd w:val="0"/>
        <w:snapToGrid w:val="0"/>
        <w:spacing w:after="224" w:afterLines="75" w:line="300" w:lineRule="auto"/>
        <w:ind w:left="1384" w:leftChars="326" w:hanging="667"/>
        <w:jc w:val="both"/>
        <w:rPr>
          <w:rFonts w:ascii="Arial" w:hAnsi="Arial" w:eastAsia="宋体" w:cs="Arial"/>
          <w:snapToGrid w:val="0"/>
          <w:sz w:val="24"/>
          <w:szCs w:val="24"/>
        </w:rPr>
      </w:pPr>
      <w:r>
        <w:rPr>
          <w:rFonts w:ascii="Arial" w:hAnsi="Arial" w:eastAsia="宋体" w:cs="Arial"/>
          <w:snapToGrid w:val="0"/>
          <w:sz w:val="24"/>
          <w:szCs w:val="24"/>
        </w:rPr>
        <w:t>通知社区预期无法获得大多数（或全部）研究对象的知情同意，包括无法获得同意的原因说明（即为什么使用21 CFR 50.24下的豁免规定进行研究））；</w:t>
      </w:r>
    </w:p>
    <w:p w14:paraId="3A569EF0">
      <w:pPr>
        <w:pStyle w:val="24"/>
        <w:numPr>
          <w:ilvl w:val="0"/>
          <w:numId w:val="11"/>
        </w:numPr>
        <w:tabs>
          <w:tab w:val="left" w:pos="1372"/>
        </w:tabs>
        <w:topLinePunct/>
        <w:adjustRightInd w:val="0"/>
        <w:snapToGrid w:val="0"/>
        <w:spacing w:after="224" w:afterLines="75" w:line="300" w:lineRule="auto"/>
        <w:ind w:left="1384" w:leftChars="326" w:hanging="667"/>
        <w:jc w:val="both"/>
        <w:rPr>
          <w:rFonts w:ascii="Arial" w:hAnsi="Arial" w:eastAsia="宋体" w:cs="Arial"/>
          <w:snapToGrid w:val="0"/>
          <w:sz w:val="24"/>
          <w:szCs w:val="24"/>
        </w:rPr>
      </w:pPr>
      <w:r>
        <w:rPr>
          <w:rFonts w:ascii="Arial" w:hAnsi="Arial" w:eastAsia="宋体" w:cs="Arial"/>
          <w:snapToGrid w:val="0"/>
          <w:sz w:val="24"/>
          <w:szCs w:val="24"/>
        </w:rPr>
        <w:t>通知社区拟定研究的所有相关方面，包括其风险和预期收益；</w:t>
      </w:r>
    </w:p>
    <w:p w14:paraId="281C3E5F">
      <w:pPr>
        <w:pStyle w:val="24"/>
        <w:numPr>
          <w:ilvl w:val="0"/>
          <w:numId w:val="11"/>
        </w:numPr>
        <w:tabs>
          <w:tab w:val="left" w:pos="1372"/>
        </w:tabs>
        <w:topLinePunct/>
        <w:adjustRightInd w:val="0"/>
        <w:snapToGrid w:val="0"/>
        <w:spacing w:after="224" w:afterLines="75" w:line="300" w:lineRule="auto"/>
        <w:ind w:left="1384" w:leftChars="326" w:hanging="667"/>
        <w:jc w:val="both"/>
        <w:rPr>
          <w:rFonts w:ascii="Arial" w:hAnsi="Arial" w:eastAsia="宋体" w:cs="Arial"/>
          <w:snapToGrid w:val="0"/>
          <w:sz w:val="24"/>
          <w:szCs w:val="24"/>
        </w:rPr>
      </w:pPr>
      <w:r>
        <w:rPr>
          <w:rFonts w:ascii="Arial" w:hAnsi="Arial" w:eastAsia="宋体" w:cs="Arial"/>
          <w:snapToGrid w:val="0"/>
          <w:sz w:val="24"/>
          <w:szCs w:val="24"/>
        </w:rPr>
        <w:t>听取并回应社区对拟定研究的看法；以及</w:t>
      </w:r>
    </w:p>
    <w:p w14:paraId="7099221D">
      <w:pPr>
        <w:pStyle w:val="24"/>
        <w:numPr>
          <w:ilvl w:val="0"/>
          <w:numId w:val="11"/>
        </w:numPr>
        <w:tabs>
          <w:tab w:val="left" w:pos="1372"/>
        </w:tabs>
        <w:topLinePunct/>
        <w:adjustRightInd w:val="0"/>
        <w:snapToGrid w:val="0"/>
        <w:spacing w:after="224" w:afterLines="75" w:line="300" w:lineRule="auto"/>
        <w:ind w:left="1384" w:leftChars="326" w:hanging="667"/>
        <w:jc w:val="both"/>
        <w:rPr>
          <w:rFonts w:ascii="Arial" w:hAnsi="Arial" w:eastAsia="宋体" w:cs="Arial"/>
          <w:snapToGrid w:val="0"/>
          <w:sz w:val="24"/>
          <w:szCs w:val="24"/>
        </w:rPr>
      </w:pPr>
      <w:r>
        <w:rPr>
          <w:rFonts w:ascii="Arial" w:hAnsi="Arial" w:eastAsia="宋体" w:cs="Arial"/>
          <w:snapToGrid w:val="0"/>
          <w:sz w:val="24"/>
          <w:szCs w:val="24"/>
        </w:rPr>
        <w:t>提供有关个体可表达其不愿参与研究的的方法（如果有）。</w:t>
      </w:r>
    </w:p>
    <w:p w14:paraId="56AB1C1D">
      <w:pPr>
        <w:pStyle w:val="4"/>
        <w:numPr>
          <w:ilvl w:val="0"/>
          <w:numId w:val="3"/>
        </w:numPr>
        <w:tabs>
          <w:tab w:val="left" w:pos="521"/>
        </w:tabs>
        <w:topLinePunct/>
        <w:adjustRightInd w:val="0"/>
        <w:snapToGrid w:val="0"/>
        <w:spacing w:after="224" w:afterLines="75" w:line="300" w:lineRule="auto"/>
        <w:ind w:left="0" w:firstLine="0"/>
        <w:jc w:val="both"/>
        <w:rPr>
          <w:rFonts w:ascii="Arial" w:hAnsi="Arial" w:cs="Arial"/>
          <w:b w:val="0"/>
          <w:bCs w:val="0"/>
          <w:i w:val="0"/>
          <w:snapToGrid w:val="0"/>
        </w:rPr>
      </w:pPr>
      <w:bookmarkStart w:id="241" w:name="59.__What_information_should_be_included"/>
      <w:bookmarkEnd w:id="241"/>
      <w:bookmarkStart w:id="242" w:name="_Toc498446488"/>
      <w:bookmarkStart w:id="243" w:name="_Toc498200751"/>
      <w:r>
        <w:rPr>
          <w:rFonts w:ascii="Arial" w:hAnsi="Arial" w:cs="Arial"/>
          <w:snapToGrid w:val="0"/>
        </w:rPr>
        <w:t>社区咨询期间应提供哪些信息？</w:t>
      </w:r>
      <w:bookmarkEnd w:id="242"/>
      <w:bookmarkEnd w:id="243"/>
    </w:p>
    <w:p w14:paraId="11586AB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社区咨询活动的内容和范围可能会有所不同，具体取决于产品的已知信息和研究的已知风险。制定社区咨询计划时，应考虑以下因素：</w:t>
      </w:r>
    </w:p>
    <w:p w14:paraId="54B62B7D">
      <w:pPr>
        <w:pStyle w:val="24"/>
        <w:numPr>
          <w:ilvl w:val="0"/>
          <w:numId w:val="12"/>
        </w:numPr>
        <w:tabs>
          <w:tab w:val="left" w:pos="1540"/>
        </w:tabs>
        <w:topLinePunct/>
        <w:adjustRightInd w:val="0"/>
        <w:snapToGrid w:val="0"/>
        <w:spacing w:line="300" w:lineRule="auto"/>
        <w:ind w:left="1140" w:leftChars="518"/>
        <w:jc w:val="both"/>
        <w:rPr>
          <w:rFonts w:ascii="Arial" w:hAnsi="Arial" w:eastAsia="宋体" w:cs="Arial"/>
          <w:snapToGrid w:val="0"/>
          <w:sz w:val="24"/>
          <w:szCs w:val="24"/>
        </w:rPr>
      </w:pPr>
      <w:r>
        <w:rPr>
          <w:rFonts w:ascii="Arial" w:hAnsi="Arial" w:eastAsia="宋体" w:cs="Arial"/>
          <w:snapToGrid w:val="0"/>
          <w:sz w:val="24"/>
          <w:szCs w:val="24"/>
        </w:rPr>
        <w:t>方案设计（例如，研究产品是否用于替代或添加到护理标准中）；</w:t>
      </w:r>
    </w:p>
    <w:p w14:paraId="6BAF2AE1">
      <w:pPr>
        <w:pStyle w:val="24"/>
        <w:numPr>
          <w:ilvl w:val="0"/>
          <w:numId w:val="12"/>
        </w:numPr>
        <w:tabs>
          <w:tab w:val="left" w:pos="1540"/>
        </w:tabs>
        <w:topLinePunct/>
        <w:adjustRightInd w:val="0"/>
        <w:snapToGrid w:val="0"/>
        <w:spacing w:line="300" w:lineRule="auto"/>
        <w:ind w:left="1140" w:leftChars="518"/>
        <w:jc w:val="both"/>
        <w:rPr>
          <w:rFonts w:ascii="Arial" w:hAnsi="Arial" w:eastAsia="宋体" w:cs="Arial"/>
          <w:snapToGrid w:val="0"/>
          <w:sz w:val="24"/>
          <w:szCs w:val="24"/>
        </w:rPr>
      </w:pPr>
      <w:r>
        <w:rPr>
          <w:rFonts w:ascii="Arial" w:hAnsi="Arial" w:eastAsia="宋体" w:cs="Arial"/>
          <w:snapToGrid w:val="0"/>
          <w:sz w:val="24"/>
          <w:szCs w:val="24"/>
        </w:rPr>
        <w:t>供试品的已知信息（例如，FDA批准的可用安全性或毒性信息，产品历史（包括使用范围），另一群体或另一适应症的批准情况，其他国家的科学证据）；</w:t>
      </w:r>
    </w:p>
    <w:p w14:paraId="4C13902D">
      <w:pPr>
        <w:pStyle w:val="24"/>
        <w:numPr>
          <w:ilvl w:val="0"/>
          <w:numId w:val="12"/>
        </w:numPr>
        <w:tabs>
          <w:tab w:val="left" w:pos="1540"/>
        </w:tabs>
        <w:topLinePunct/>
        <w:adjustRightInd w:val="0"/>
        <w:snapToGrid w:val="0"/>
        <w:spacing w:line="300" w:lineRule="auto"/>
        <w:ind w:left="1140" w:leftChars="518"/>
        <w:jc w:val="both"/>
        <w:rPr>
          <w:rFonts w:ascii="Arial" w:hAnsi="Arial" w:eastAsia="宋体" w:cs="Arial"/>
          <w:snapToGrid w:val="0"/>
          <w:sz w:val="24"/>
          <w:szCs w:val="24"/>
        </w:rPr>
      </w:pPr>
      <w:r>
        <w:rPr>
          <w:rFonts w:ascii="Arial" w:hAnsi="Arial" w:eastAsia="宋体" w:cs="Arial"/>
          <w:snapToGrid w:val="0"/>
          <w:sz w:val="24"/>
          <w:szCs w:val="24"/>
        </w:rPr>
        <w:t>医疗状况的已知信息；</w:t>
      </w:r>
    </w:p>
    <w:p w14:paraId="505EBE70">
      <w:pPr>
        <w:pStyle w:val="24"/>
        <w:numPr>
          <w:ilvl w:val="0"/>
          <w:numId w:val="12"/>
        </w:numPr>
        <w:tabs>
          <w:tab w:val="left" w:pos="1540"/>
        </w:tabs>
        <w:topLinePunct/>
        <w:adjustRightInd w:val="0"/>
        <w:snapToGrid w:val="0"/>
        <w:spacing w:line="300" w:lineRule="auto"/>
        <w:ind w:left="1140" w:leftChars="518"/>
        <w:jc w:val="both"/>
        <w:rPr>
          <w:rFonts w:ascii="Arial" w:hAnsi="Arial" w:eastAsia="宋体" w:cs="Arial"/>
          <w:snapToGrid w:val="0"/>
          <w:sz w:val="24"/>
          <w:szCs w:val="24"/>
        </w:rPr>
      </w:pPr>
      <w:r>
        <w:rPr>
          <w:rFonts w:ascii="宋体" w:hAnsi="宋体" w:eastAsia="宋体" w:cs="Arial"/>
          <w:snapToGrid w:val="0"/>
          <w:sz w:val="24"/>
          <w:szCs w:val="24"/>
        </w:rPr>
        <w:t>“</w:t>
      </w:r>
      <w:r>
        <w:rPr>
          <w:rFonts w:ascii="Arial" w:hAnsi="Arial" w:eastAsia="宋体" w:cs="Arial"/>
          <w:snapToGrid w:val="0"/>
          <w:sz w:val="24"/>
          <w:szCs w:val="24"/>
        </w:rPr>
        <w:t>护理标准</w:t>
      </w:r>
      <w:r>
        <w:rPr>
          <w:rFonts w:ascii="宋体" w:hAnsi="宋体" w:eastAsia="宋体" w:cs="Arial"/>
          <w:snapToGrid w:val="0"/>
          <w:sz w:val="24"/>
          <w:szCs w:val="24"/>
        </w:rPr>
        <w:t>”</w:t>
      </w:r>
      <w:r>
        <w:rPr>
          <w:rFonts w:ascii="Arial" w:hAnsi="Arial" w:eastAsia="宋体" w:cs="Arial"/>
          <w:snapToGrid w:val="0"/>
          <w:sz w:val="24"/>
          <w:szCs w:val="24"/>
        </w:rPr>
        <w:t>安全性和有效性的已知信息（即为什么现有可用治疗未经验证或无法令人满意）；</w:t>
      </w:r>
    </w:p>
    <w:p w14:paraId="5DBCBE08">
      <w:pPr>
        <w:pStyle w:val="24"/>
        <w:numPr>
          <w:ilvl w:val="0"/>
          <w:numId w:val="12"/>
        </w:numPr>
        <w:tabs>
          <w:tab w:val="left" w:pos="1540"/>
        </w:tabs>
        <w:topLinePunct/>
        <w:adjustRightInd w:val="0"/>
        <w:snapToGrid w:val="0"/>
        <w:spacing w:line="300" w:lineRule="auto"/>
        <w:ind w:left="1140" w:leftChars="518"/>
        <w:jc w:val="both"/>
        <w:rPr>
          <w:rFonts w:ascii="Arial" w:hAnsi="Arial" w:eastAsia="宋体" w:cs="Arial"/>
          <w:snapToGrid w:val="0"/>
          <w:sz w:val="24"/>
          <w:szCs w:val="24"/>
        </w:rPr>
      </w:pPr>
      <w:r>
        <w:rPr>
          <w:rFonts w:ascii="Arial" w:hAnsi="Arial" w:eastAsia="宋体" w:cs="Arial"/>
          <w:snapToGrid w:val="0"/>
          <w:sz w:val="24"/>
          <w:szCs w:val="24"/>
        </w:rPr>
        <w:t>研究人群（例如，成人与儿科人群）；</w:t>
      </w:r>
    </w:p>
    <w:p w14:paraId="2CD30F9A">
      <w:pPr>
        <w:pStyle w:val="24"/>
        <w:numPr>
          <w:ilvl w:val="0"/>
          <w:numId w:val="12"/>
        </w:numPr>
        <w:tabs>
          <w:tab w:val="left" w:pos="1540"/>
        </w:tabs>
        <w:topLinePunct/>
        <w:adjustRightInd w:val="0"/>
        <w:snapToGrid w:val="0"/>
        <w:spacing w:line="300" w:lineRule="auto"/>
        <w:ind w:left="1140" w:leftChars="518"/>
        <w:jc w:val="both"/>
        <w:rPr>
          <w:rFonts w:ascii="Arial" w:hAnsi="Arial" w:eastAsia="宋体" w:cs="Arial"/>
          <w:snapToGrid w:val="0"/>
          <w:sz w:val="24"/>
          <w:szCs w:val="24"/>
        </w:rPr>
      </w:pPr>
      <w:r>
        <w:rPr>
          <w:rFonts w:ascii="Arial" w:hAnsi="Arial" w:eastAsia="宋体" w:cs="Arial"/>
          <w:snapToGrid w:val="0"/>
          <w:sz w:val="24"/>
          <w:szCs w:val="24"/>
        </w:rPr>
        <w:t>施用供试品的背景特性（例如，产品是否首先由EMT在救护车中或在ER中施用，产品是否会在ER中继续施用，资源是否可用，将向参与研究的人员提供哪些培训）</w:t>
      </w:r>
    </w:p>
    <w:p w14:paraId="380A407E">
      <w:pPr>
        <w:pStyle w:val="24"/>
        <w:numPr>
          <w:ilvl w:val="0"/>
          <w:numId w:val="12"/>
        </w:numPr>
        <w:tabs>
          <w:tab w:val="left" w:pos="1540"/>
        </w:tabs>
        <w:topLinePunct/>
        <w:adjustRightInd w:val="0"/>
        <w:snapToGrid w:val="0"/>
        <w:spacing w:line="300" w:lineRule="auto"/>
        <w:ind w:left="1140" w:leftChars="518"/>
        <w:jc w:val="both"/>
        <w:rPr>
          <w:rFonts w:ascii="Arial" w:hAnsi="Arial" w:eastAsia="宋体" w:cs="Arial"/>
          <w:snapToGrid w:val="0"/>
          <w:sz w:val="24"/>
          <w:szCs w:val="24"/>
        </w:rPr>
      </w:pPr>
      <w:r>
        <w:rPr>
          <w:rFonts w:ascii="Arial" w:hAnsi="Arial" w:eastAsia="宋体" w:cs="Arial"/>
          <w:snapToGrid w:val="0"/>
          <w:sz w:val="24"/>
          <w:szCs w:val="24"/>
        </w:rPr>
        <w:t>施用供试品的时间安排；</w:t>
      </w:r>
    </w:p>
    <w:p w14:paraId="7C58E86D">
      <w:pPr>
        <w:pStyle w:val="24"/>
        <w:numPr>
          <w:ilvl w:val="0"/>
          <w:numId w:val="12"/>
        </w:numPr>
        <w:tabs>
          <w:tab w:val="left" w:pos="1540"/>
        </w:tabs>
        <w:topLinePunct/>
        <w:adjustRightInd w:val="0"/>
        <w:snapToGrid w:val="0"/>
        <w:spacing w:line="300" w:lineRule="auto"/>
        <w:ind w:left="1140" w:leftChars="518"/>
        <w:jc w:val="both"/>
        <w:rPr>
          <w:rFonts w:ascii="Arial" w:hAnsi="Arial" w:eastAsia="宋体" w:cs="Arial"/>
          <w:snapToGrid w:val="0"/>
          <w:sz w:val="24"/>
          <w:szCs w:val="24"/>
        </w:rPr>
      </w:pPr>
      <w:r>
        <w:rPr>
          <w:rFonts w:ascii="Arial" w:hAnsi="Arial" w:eastAsia="宋体" w:cs="Arial"/>
          <w:snapToGrid w:val="0"/>
          <w:sz w:val="24"/>
          <w:szCs w:val="24"/>
        </w:rPr>
        <w:t>施用产品所需手术的创伤性；</w:t>
      </w:r>
    </w:p>
    <w:p w14:paraId="44FE95B0">
      <w:pPr>
        <w:pStyle w:val="24"/>
        <w:numPr>
          <w:ilvl w:val="0"/>
          <w:numId w:val="12"/>
        </w:numPr>
        <w:tabs>
          <w:tab w:val="left" w:pos="1540"/>
        </w:tabs>
        <w:topLinePunct/>
        <w:adjustRightInd w:val="0"/>
        <w:snapToGrid w:val="0"/>
        <w:spacing w:after="224" w:afterLines="75" w:line="300" w:lineRule="auto"/>
        <w:ind w:left="1140" w:leftChars="518"/>
        <w:jc w:val="both"/>
        <w:rPr>
          <w:rFonts w:ascii="Arial" w:hAnsi="Arial" w:eastAsia="宋体" w:cs="Arial"/>
          <w:snapToGrid w:val="0"/>
          <w:sz w:val="24"/>
          <w:szCs w:val="24"/>
        </w:rPr>
      </w:pPr>
      <w:r>
        <w:rPr>
          <w:rFonts w:ascii="Arial" w:hAnsi="Arial" w:eastAsia="宋体" w:cs="Arial"/>
          <w:snapToGrid w:val="0"/>
          <w:sz w:val="24"/>
          <w:szCs w:val="24"/>
        </w:rPr>
        <w:t>替代治疗的感知可用性或可接受性。</w:t>
      </w:r>
    </w:p>
    <w:p w14:paraId="6D8E1B1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社区咨询的内容至少应包括：</w:t>
      </w:r>
    </w:p>
    <w:p w14:paraId="04996807">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bookmarkStart w:id="244" w:name="OLE_LINK11"/>
      <w:r>
        <w:rPr>
          <w:rFonts w:ascii="Arial" w:hAnsi="Arial" w:eastAsia="宋体" w:cs="Arial"/>
          <w:snapToGrid w:val="0"/>
          <w:sz w:val="24"/>
          <w:szCs w:val="24"/>
        </w:rPr>
        <w:t>研究方案总结、研究设计以及要遵循的程序的描述，包括实验程序标识；</w:t>
      </w:r>
    </w:p>
    <w:p w14:paraId="0C3895C6">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其他可用治疗方案的总结以及其风险和收益的已知信息；</w:t>
      </w:r>
    </w:p>
    <w:p w14:paraId="4D23007B">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研究的估计期限，</w:t>
      </w:r>
      <w:r>
        <w:rPr>
          <w:rFonts w:hint="eastAsia" w:ascii="Arial" w:hAnsi="Arial" w:eastAsia="宋体" w:cs="Arial"/>
          <w:snapToGrid w:val="0"/>
          <w:sz w:val="24"/>
          <w:szCs w:val="24"/>
        </w:rPr>
        <w:t>和</w:t>
      </w:r>
      <w:r>
        <w:rPr>
          <w:rFonts w:ascii="Arial" w:hAnsi="Arial" w:eastAsia="宋体" w:cs="Arial"/>
          <w:snapToGrid w:val="0"/>
          <w:sz w:val="24"/>
          <w:szCs w:val="24"/>
        </w:rPr>
        <w:t>受试者参与研究的预期持续时间；</w:t>
      </w:r>
    </w:p>
    <w:p w14:paraId="4FCABB1D">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确定潜在研究对象的方式；</w:t>
      </w:r>
    </w:p>
    <w:p w14:paraId="2F791D54">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供试品的使用信息，包括对风险和预期收益的均衡描述以及有关不良事件的相关信息；</w:t>
      </w:r>
    </w:p>
    <w:p w14:paraId="5466F888">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无法获得大部分研究对象的知情同意的明确声明；</w:t>
      </w:r>
    </w:p>
    <w:p w14:paraId="6FC3BB62">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必须使用知情同意豁免规定进行研究的理由；</w:t>
      </w:r>
    </w:p>
    <w:p w14:paraId="7CDA90AB">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知情同意书副本；</w:t>
      </w:r>
    </w:p>
    <w:p w14:paraId="67ECF9EA">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知情同意过程中的相关信息（21 CFR 50.25（a）和（b），如果适用），例如研究病症的可用治疗；参与研究的风险／潜在收益；FDA检查受试者记录的可能性；</w:t>
      </w:r>
    </w:p>
    <w:p w14:paraId="189BF0CC">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治疗窗描述，其中，必须在此治疗窗内施用供试品，以及用于联系受试者的LAR的治疗窗比例；</w:t>
      </w:r>
    </w:p>
    <w:p w14:paraId="174F0DB9">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在施用供试品之前和之后，旨在联系LAR，或如果无法联系LAR，则联系可能反对受试者参与研究的家庭成员，以征得其同意而进行的工作描述。（另请参见问题38-43）；</w:t>
      </w:r>
    </w:p>
    <w:p w14:paraId="46DA452D">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个体表达其不愿参与研究或不愿成为研究对象的方式描述（例如选择退出机制），如果提供此类方式（请参见问题37和68）；</w:t>
      </w:r>
    </w:p>
    <w:p w14:paraId="69D36C22">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必须获取社区意见的原因；</w:t>
      </w:r>
    </w:p>
    <w:p w14:paraId="6EE845DE">
      <w:pPr>
        <w:pStyle w:val="24"/>
        <w:numPr>
          <w:ilvl w:val="0"/>
          <w:numId w:val="13"/>
        </w:numPr>
        <w:tabs>
          <w:tab w:val="left" w:pos="1180"/>
        </w:tabs>
        <w:topLinePunct/>
        <w:adjustRightInd w:val="0"/>
        <w:snapToGrid w:val="0"/>
        <w:spacing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已知社区对研究、产品和／或护理标准的相关看法／担忧；以及</w:t>
      </w:r>
    </w:p>
    <w:p w14:paraId="4F5178BE">
      <w:pPr>
        <w:pStyle w:val="24"/>
        <w:numPr>
          <w:ilvl w:val="0"/>
          <w:numId w:val="13"/>
        </w:numPr>
        <w:tabs>
          <w:tab w:val="left" w:pos="1180"/>
        </w:tabs>
        <w:topLinePunct/>
        <w:adjustRightInd w:val="0"/>
        <w:snapToGrid w:val="0"/>
        <w:spacing w:after="149" w:afterLines="50" w:line="300" w:lineRule="auto"/>
        <w:ind w:left="719" w:leftChars="327"/>
        <w:jc w:val="both"/>
        <w:rPr>
          <w:rFonts w:ascii="Arial" w:hAnsi="Arial" w:eastAsia="宋体" w:cs="Arial"/>
          <w:snapToGrid w:val="0"/>
          <w:sz w:val="24"/>
          <w:szCs w:val="24"/>
        </w:rPr>
      </w:pPr>
      <w:r>
        <w:rPr>
          <w:rFonts w:ascii="Arial" w:hAnsi="Arial" w:eastAsia="宋体" w:cs="Arial"/>
          <w:snapToGrid w:val="0"/>
          <w:sz w:val="24"/>
          <w:szCs w:val="24"/>
        </w:rPr>
        <w:t>可从其处获得更多研究相关信息的人员联系方式。</w:t>
      </w:r>
    </w:p>
    <w:p w14:paraId="686F8031">
      <w:pPr>
        <w:tabs>
          <w:tab w:val="left" w:pos="1180"/>
        </w:tabs>
        <w:topLinePunct/>
        <w:adjustRightInd w:val="0"/>
        <w:snapToGrid w:val="0"/>
        <w:spacing w:after="299" w:afterLines="100" w:line="300" w:lineRule="auto"/>
        <w:jc w:val="both"/>
        <w:rPr>
          <w:rFonts w:ascii="Arial" w:hAnsi="Arial" w:eastAsia="宋体" w:cs="Arial"/>
          <w:snapToGrid w:val="0"/>
          <w:sz w:val="24"/>
          <w:szCs w:val="24"/>
        </w:rPr>
      </w:pPr>
      <w:r>
        <w:rPr>
          <w:rFonts w:ascii="Arial" w:hAnsi="Arial" w:eastAsia="宋体" w:cs="Arial"/>
          <w:snapToGrid w:val="0"/>
          <w:sz w:val="24"/>
          <w:szCs w:val="24"/>
        </w:rPr>
        <w:t>（有关适当社区协商内容，另请参见问题81）</w:t>
      </w:r>
    </w:p>
    <w:bookmarkEnd w:id="244"/>
    <w:p w14:paraId="17EC3D23">
      <w:pPr>
        <w:pStyle w:val="4"/>
        <w:numPr>
          <w:ilvl w:val="0"/>
          <w:numId w:val="3"/>
        </w:numPr>
        <w:tabs>
          <w:tab w:val="left" w:pos="520"/>
        </w:tabs>
        <w:topLinePunct/>
        <w:adjustRightInd w:val="0"/>
        <w:snapToGrid w:val="0"/>
        <w:spacing w:after="224" w:afterLines="75" w:line="300" w:lineRule="auto"/>
        <w:ind w:left="0" w:firstLine="0"/>
        <w:jc w:val="both"/>
        <w:rPr>
          <w:rFonts w:ascii="Arial" w:hAnsi="Arial" w:cs="Arial"/>
          <w:b w:val="0"/>
          <w:bCs w:val="0"/>
          <w:i w:val="0"/>
          <w:snapToGrid w:val="0"/>
        </w:rPr>
      </w:pPr>
      <w:bookmarkStart w:id="245" w:name="60.__Why_is_community_consultation_impor"/>
      <w:bookmarkEnd w:id="245"/>
      <w:bookmarkStart w:id="246" w:name="_Toc498200752"/>
      <w:bookmarkStart w:id="247" w:name="_Toc498446489"/>
      <w:r>
        <w:rPr>
          <w:rFonts w:ascii="Arial" w:hAnsi="Arial" w:cs="Arial"/>
          <w:snapToGrid w:val="0"/>
        </w:rPr>
        <w:t>社区咨询为什么如此重要？</w:t>
      </w:r>
      <w:bookmarkEnd w:id="246"/>
      <w:bookmarkEnd w:id="247"/>
    </w:p>
    <w:p w14:paraId="5120A06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社区咨询有助于确保受研究影响最大的社区有机会就IRB的决策过程提出意见。社区咨询允许社区解拟定临床研究及其风险和预期收益，并讨论研究。</w:t>
      </w:r>
    </w:p>
    <w:p w14:paraId="66FB514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还有助于确保IRB，独立和商业IRB以及机构附属IRB有机会（1）了解社区对已豁免知情同意的拟定研究的态度以及（2）了解研究所在地区的周边条件。此类咨询还可以加强社区对IRB的作用及其决策能力的信心，特别是IRB考虑在审查研究计划时进行社区讨论后。</w:t>
      </w:r>
    </w:p>
    <w:p w14:paraId="5EBDE6FE">
      <w:pPr>
        <w:rPr>
          <w:rFonts w:ascii="Arial" w:hAnsi="Arial" w:eastAsia="宋体" w:cs="Arial"/>
          <w:b/>
          <w:bCs/>
          <w:i/>
          <w:snapToGrid w:val="0"/>
          <w:sz w:val="24"/>
          <w:szCs w:val="24"/>
        </w:rPr>
      </w:pPr>
      <w:bookmarkStart w:id="248" w:name="61.__What_is_meant_by_the_phrase,_“repre"/>
      <w:bookmarkEnd w:id="248"/>
      <w:bookmarkStart w:id="249" w:name="_Toc498200753"/>
      <w:r>
        <w:rPr>
          <w:rFonts w:ascii="Arial" w:hAnsi="Arial" w:cs="Arial"/>
          <w:snapToGrid w:val="0"/>
        </w:rPr>
        <w:br w:type="page"/>
      </w:r>
    </w:p>
    <w:p w14:paraId="3C11B9F7">
      <w:pPr>
        <w:pStyle w:val="4"/>
        <w:numPr>
          <w:ilvl w:val="0"/>
          <w:numId w:val="3"/>
        </w:numPr>
        <w:tabs>
          <w:tab w:val="left" w:pos="540"/>
        </w:tabs>
        <w:topLinePunct/>
        <w:adjustRightInd w:val="0"/>
        <w:snapToGrid w:val="0"/>
        <w:spacing w:after="224" w:afterLines="75" w:line="300" w:lineRule="auto"/>
        <w:ind w:left="540" w:hanging="540"/>
        <w:jc w:val="both"/>
        <w:rPr>
          <w:rFonts w:ascii="Arial" w:hAnsi="Arial" w:cs="Arial"/>
          <w:b w:val="0"/>
          <w:bCs w:val="0"/>
          <w:i w:val="0"/>
          <w:snapToGrid w:val="0"/>
        </w:rPr>
      </w:pPr>
      <w:bookmarkStart w:id="250" w:name="_Toc498446490"/>
      <w:r>
        <w:rPr>
          <w:rFonts w:ascii="Arial" w:hAnsi="Arial" w:cs="Arial"/>
          <w:snapToGrid w:val="0"/>
        </w:rPr>
        <w:t>短语</w:t>
      </w:r>
      <w:r>
        <w:rPr>
          <w:rFonts w:ascii="宋体" w:hAnsi="宋体" w:cs="Arial"/>
          <w:snapToGrid w:val="0"/>
        </w:rPr>
        <w:t>“</w:t>
      </w:r>
      <w:r>
        <w:rPr>
          <w:rFonts w:ascii="Arial" w:hAnsi="Arial" w:cs="Arial"/>
          <w:snapToGrid w:val="0"/>
        </w:rPr>
        <w:t>社区代表</w:t>
      </w:r>
      <w:r>
        <w:rPr>
          <w:rFonts w:ascii="宋体" w:hAnsi="宋体" w:cs="Arial"/>
          <w:snapToGrid w:val="0"/>
        </w:rPr>
        <w:t>”</w:t>
      </w:r>
      <w:r>
        <w:rPr>
          <w:rFonts w:ascii="Arial" w:hAnsi="Arial" w:cs="Arial"/>
          <w:snapToGrid w:val="0"/>
        </w:rPr>
        <w:t>是什么意思（21 CFR 50.24（a）（7）（i）？社区代表是否必须是当选官员？</w:t>
      </w:r>
      <w:bookmarkEnd w:id="249"/>
      <w:bookmarkEnd w:id="250"/>
    </w:p>
    <w:p w14:paraId="2B142B2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FDA认为，术语</w:t>
      </w:r>
      <w:r>
        <w:rPr>
          <w:rFonts w:ascii="宋体" w:hAnsi="宋体" w:cs="Arial"/>
          <w:snapToGrid w:val="0"/>
        </w:rPr>
        <w:t>“</w:t>
      </w:r>
      <w:r>
        <w:rPr>
          <w:rFonts w:ascii="Arial" w:hAnsi="Arial" w:cs="Arial"/>
          <w:snapToGrid w:val="0"/>
        </w:rPr>
        <w:t>社区代表</w:t>
      </w:r>
      <w:r>
        <w:rPr>
          <w:rFonts w:ascii="宋体" w:hAnsi="宋体" w:cs="Arial"/>
          <w:snapToGrid w:val="0"/>
        </w:rPr>
        <w:t>”</w:t>
      </w:r>
      <w:r>
        <w:rPr>
          <w:rFonts w:ascii="Arial" w:hAnsi="Arial" w:cs="Arial"/>
          <w:snapToGrid w:val="0"/>
        </w:rPr>
        <w:t>不仅包括当选官员、也包括神职人员、地方社区活动家、倡导组织领导人、部落领导人、学校官员和其他相关个体。虽然地点可能希望通知当选官员研究计划，但仅通知当选官员不足以满足法规的社区咨询要求。参与社区咨询活动的代表类型和数量可能因研究或甚至因相同研究中的各个地点而异。</w:t>
      </w:r>
    </w:p>
    <w:p w14:paraId="57084407">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社区咨询必须包括更有可能受研究影响的人员，且在社区咨询期间，应充分咨询其意见，以便其了解研究的性质。在广泛咨询受影响社区后获得的信息可能有助于IRB审查和审议相关研究。</w:t>
      </w:r>
    </w:p>
    <w:p w14:paraId="2BD7E972">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51" w:name="62.__How_does_“community_consultation”_d"/>
      <w:bookmarkEnd w:id="251"/>
      <w:bookmarkStart w:id="252" w:name="_Toc498200754"/>
      <w:bookmarkStart w:id="253" w:name="_Toc498446491"/>
      <w:r>
        <w:rPr>
          <w:rFonts w:ascii="宋体" w:hAnsi="宋体" w:cs="Arial"/>
          <w:snapToGrid w:val="0"/>
        </w:rPr>
        <w:t>“</w:t>
      </w:r>
      <w:r>
        <w:rPr>
          <w:rFonts w:ascii="Arial" w:hAnsi="Arial" w:cs="Arial"/>
          <w:snapToGrid w:val="0"/>
        </w:rPr>
        <w:t>社区咨询</w:t>
      </w:r>
      <w:r>
        <w:rPr>
          <w:rFonts w:ascii="宋体" w:hAnsi="宋体" w:cs="Arial"/>
          <w:snapToGrid w:val="0"/>
        </w:rPr>
        <w:t>”</w:t>
      </w:r>
      <w:r>
        <w:rPr>
          <w:rFonts w:ascii="Arial" w:hAnsi="Arial" w:cs="Arial"/>
          <w:snapToGrid w:val="0"/>
        </w:rPr>
        <w:t>与</w:t>
      </w:r>
      <w:r>
        <w:rPr>
          <w:rFonts w:ascii="宋体" w:hAnsi="宋体" w:cs="Arial"/>
          <w:snapToGrid w:val="0"/>
        </w:rPr>
        <w:t>“</w:t>
      </w:r>
      <w:r>
        <w:rPr>
          <w:rFonts w:ascii="Arial" w:hAnsi="Arial" w:cs="Arial"/>
          <w:snapToGrid w:val="0"/>
        </w:rPr>
        <w:t>公开披露</w:t>
      </w:r>
      <w:r>
        <w:rPr>
          <w:rFonts w:ascii="宋体" w:hAnsi="宋体" w:cs="Arial"/>
          <w:snapToGrid w:val="0"/>
        </w:rPr>
        <w:t>”</w:t>
      </w:r>
      <w:r>
        <w:rPr>
          <w:rFonts w:ascii="Arial" w:hAnsi="Arial" w:cs="Arial"/>
          <w:snapToGrid w:val="0"/>
        </w:rPr>
        <w:t>有何不同？</w:t>
      </w:r>
      <w:bookmarkEnd w:id="252"/>
      <w:bookmarkEnd w:id="253"/>
    </w:p>
    <w:p w14:paraId="0FF89EE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FDA认为，术语</w:t>
      </w:r>
      <w:r>
        <w:rPr>
          <w:rFonts w:ascii="宋体" w:hAnsi="宋体" w:cs="Arial"/>
          <w:snapToGrid w:val="0"/>
        </w:rPr>
        <w:t>“</w:t>
      </w:r>
      <w:r>
        <w:rPr>
          <w:rFonts w:ascii="Arial" w:hAnsi="Arial" w:cs="Arial"/>
          <w:snapToGrid w:val="0"/>
        </w:rPr>
        <w:t>社区咨询</w:t>
      </w:r>
      <w:r>
        <w:rPr>
          <w:rFonts w:ascii="宋体" w:hAnsi="宋体" w:cs="Arial"/>
          <w:snapToGrid w:val="0"/>
        </w:rPr>
        <w:t>”</w:t>
      </w:r>
      <w:r>
        <w:rPr>
          <w:rFonts w:ascii="Arial" w:hAnsi="Arial" w:cs="Arial"/>
          <w:snapToGrid w:val="0"/>
        </w:rPr>
        <w:t>包括与广泛社区成员和代表的讨论，并且包括IRB在决定研究是否可以进行前对此类讨论的考虑（即双向沟通）。另一方面，FDA认为，术语</w:t>
      </w:r>
      <w:r>
        <w:rPr>
          <w:rFonts w:ascii="宋体" w:hAnsi="宋体" w:cs="Arial"/>
          <w:snapToGrid w:val="0"/>
        </w:rPr>
        <w:t>“</w:t>
      </w:r>
      <w:r>
        <w:rPr>
          <w:rFonts w:ascii="Arial" w:hAnsi="Arial" w:cs="Arial"/>
          <w:snapToGrid w:val="0"/>
        </w:rPr>
        <w:t>公开披露</w:t>
      </w:r>
      <w:r>
        <w:rPr>
          <w:rFonts w:ascii="宋体" w:hAnsi="宋体" w:cs="Arial"/>
          <w:snapToGrid w:val="0"/>
        </w:rPr>
        <w:t>”</w:t>
      </w:r>
      <w:r>
        <w:rPr>
          <w:rFonts w:ascii="Arial" w:hAnsi="Arial" w:cs="Arial"/>
          <w:snapToGrid w:val="0"/>
        </w:rPr>
        <w:t>是指向社会提供信息的过程，即信息的单向转移（有关</w:t>
      </w:r>
      <w:r>
        <w:rPr>
          <w:rFonts w:ascii="宋体" w:hAnsi="宋体" w:cs="Arial"/>
          <w:snapToGrid w:val="0"/>
        </w:rPr>
        <w:t>“</w:t>
      </w:r>
      <w:r>
        <w:rPr>
          <w:rFonts w:ascii="Arial" w:hAnsi="Arial" w:cs="Arial"/>
          <w:snapToGrid w:val="0"/>
        </w:rPr>
        <w:t>公开披露</w:t>
      </w:r>
      <w:r>
        <w:rPr>
          <w:rFonts w:ascii="宋体" w:hAnsi="宋体" w:cs="Arial"/>
          <w:snapToGrid w:val="0"/>
        </w:rPr>
        <w:t>”</w:t>
      </w:r>
      <w:r>
        <w:rPr>
          <w:rFonts w:ascii="Arial" w:hAnsi="Arial" w:cs="Arial"/>
          <w:snapToGrid w:val="0"/>
        </w:rPr>
        <w:t>的更多信息，请参见第IX节</w:t>
      </w:r>
      <w:r>
        <w:rPr>
          <w:rFonts w:ascii="宋体" w:hAnsi="宋体" w:cs="Arial"/>
          <w:snapToGrid w:val="0"/>
        </w:rPr>
        <w:t>“</w:t>
      </w:r>
      <w:r>
        <w:rPr>
          <w:rFonts w:ascii="Arial" w:hAnsi="Arial" w:cs="Arial"/>
          <w:snapToGrid w:val="0"/>
        </w:rPr>
        <w:t>公开披露</w:t>
      </w:r>
      <w:r>
        <w:rPr>
          <w:rFonts w:ascii="宋体" w:hAnsi="宋体" w:cs="Arial"/>
          <w:snapToGrid w:val="0"/>
        </w:rPr>
        <w:t>”</w:t>
      </w:r>
      <w:r>
        <w:rPr>
          <w:rFonts w:ascii="Arial" w:hAnsi="Arial" w:cs="Arial"/>
          <w:snapToGrid w:val="0"/>
        </w:rPr>
        <w:t>，问题78。）</w:t>
      </w:r>
    </w:p>
    <w:p w14:paraId="2070B69F">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54" w:name="63.__Who_should_bear_the_costs_associate"/>
      <w:bookmarkEnd w:id="254"/>
      <w:bookmarkStart w:id="255" w:name="_Toc498200755"/>
      <w:bookmarkStart w:id="256" w:name="_Toc498446492"/>
      <w:r>
        <w:rPr>
          <w:rFonts w:ascii="Arial" w:hAnsi="Arial" w:cs="Arial"/>
          <w:snapToGrid w:val="0"/>
        </w:rPr>
        <w:t>谁应承担与社区咨询和公开披露活动相关的成本？</w:t>
      </w:r>
      <w:bookmarkEnd w:id="255"/>
      <w:bookmarkEnd w:id="256"/>
    </w:p>
    <w:p w14:paraId="61666B9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虽然FDA法规并未规定谁应承担与社区咨询和公开披露相关的成本，但本机构预计，由于进行研究前需要进行社区咨询和公开披露，申办方通常会承担此类成本。</w:t>
      </w:r>
      <w:r>
        <w:rPr>
          <w:rStyle w:val="22"/>
          <w:rFonts w:ascii="Arial" w:hAnsi="Arial" w:cs="Arial"/>
          <w:snapToGrid w:val="0"/>
        </w:rPr>
        <w:footnoteReference w:id="40"/>
      </w:r>
    </w:p>
    <w:p w14:paraId="36989AA9">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57" w:name="64.__May_IRBs_review_the_study_protocol_"/>
      <w:bookmarkEnd w:id="257"/>
      <w:bookmarkStart w:id="258" w:name="_Toc498200756"/>
      <w:bookmarkStart w:id="259" w:name="_Toc498446493"/>
      <w:r>
        <w:rPr>
          <w:rFonts w:ascii="Arial" w:hAnsi="Arial" w:cs="Arial"/>
          <w:snapToGrid w:val="0"/>
        </w:rPr>
        <w:t>IRB可否分开审查社区咨询和公开披露计划以及研究方案？</w:t>
      </w:r>
      <w:bookmarkEnd w:id="258"/>
      <w:bookmarkEnd w:id="259"/>
    </w:p>
    <w:p w14:paraId="0DC96DA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不建议分开审查方案与其他计划。由于方案和社区咨询和公开披露计划可能相互影响，IRB应一起上床研究方案和社区咨询和公开披露计划。IRB可以审查所有材料，确定和确认将实施附加保护措施（社区咨询和公开披露）。完成社区咨询后，IRB可以重新审查方案，并进行投票，确定是否批准、要求修改或驳回研究（当然，IRB个别对个别项目存有疑问）。由于此类研究的复杂性，IRB可能需要举行多次会议来审查和批准此类研究。）</w:t>
      </w:r>
    </w:p>
    <w:p w14:paraId="037F81F3">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64A0473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在开展临床研究之前，IRB必须确定和确认，已咨询研究和受试者所在社区的代表（21 CFR 50.24（a）（7）（i）和21 CFR 56.115（a））。</w:t>
      </w:r>
    </w:p>
    <w:p w14:paraId="427F34AB">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60" w:name="65.__How_can_clinical_investigators_iden"/>
      <w:bookmarkEnd w:id="260"/>
      <w:bookmarkStart w:id="261" w:name="_Toc498200757"/>
      <w:bookmarkStart w:id="262" w:name="_Toc498446494"/>
      <w:r>
        <w:rPr>
          <w:rFonts w:ascii="Arial" w:hAnsi="Arial" w:cs="Arial"/>
          <w:snapToGrid w:val="0"/>
        </w:rPr>
        <w:t>临床研究者如何确定属于受试者所在社区的人员？</w:t>
      </w:r>
      <w:bookmarkEnd w:id="261"/>
      <w:bookmarkEnd w:id="262"/>
    </w:p>
    <w:p w14:paraId="1AD5677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通过分析先前住院患者的人口统计特征，临床研究者可以确定或表征可能患有所研究的医疗状况的社区。例如，临床研究者可能会审查最近50-100</w:t>
      </w:r>
      <w:r>
        <w:rPr>
          <w:rFonts w:hint="eastAsia" w:ascii="Arial" w:hAnsi="Arial" w:cs="Arial"/>
          <w:snapToGrid w:val="0"/>
        </w:rPr>
        <w:t>例</w:t>
      </w:r>
      <w:r>
        <w:rPr>
          <w:rFonts w:ascii="Arial" w:hAnsi="Arial" w:cs="Arial"/>
          <w:snapToGrid w:val="0"/>
        </w:rPr>
        <w:t>因患者所研究的医疗状况而送往急诊室的患者住院记录并将其特征制成表格（性别、年龄、种族等）。这也有助于研究者确定应纳入社区咨询活动的目标人群（另请参见问题55、 56和73）</w:t>
      </w:r>
    </w:p>
    <w:p w14:paraId="18E55B5D">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63" w:name="_Toc498200758"/>
      <w:bookmarkStart w:id="264" w:name="_Toc498446495"/>
      <w:r>
        <w:rPr>
          <w:rFonts w:ascii="Arial" w:hAnsi="Arial" w:cs="Arial"/>
          <w:snapToGrid w:val="0"/>
        </w:rPr>
        <w:t>IRB在社区咨询过程中的作用是什么？</w:t>
      </w:r>
      <w:bookmarkEnd w:id="263"/>
      <w:bookmarkEnd w:id="264"/>
    </w:p>
    <w:p w14:paraId="2C8D0DC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为了批准研究，IRB必须确定和确认将进行社区咨询（包括IRB进行的咨询（如果适用）；21 CFR 50.24（a）（7）（i））。申办方可以向IRB提供与社区咨询时使用的示范计划和信息，但IRB应负责确保社区咨询的充分性（21 CFR 50.24（a）（7）（i））。申办方可以与临床研究者合作，并咨询IRB，以便制定社区咨询策略和计划。申办方还希望让社区代表（包括任何相关的社区领导和团体）参与制定研究所在地理区域的社区咨询计划，确保研究符合州或地方法律和法规。</w:t>
      </w:r>
    </w:p>
    <w:p w14:paraId="167142B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IRB有权决定应由IRB进行社区咨询的情况。如果社区咨询由申办方或临床研究者进行，FDA鼓励IRB成员参与社区咨询活动，以听取社区观点和担忧，并允许IRB在审议研究期间考虑此类担忧和反对意见。</w:t>
      </w:r>
    </w:p>
    <w:p w14:paraId="16D282A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（另请参见问题74）</w:t>
      </w:r>
    </w:p>
    <w:p w14:paraId="605AF284">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65" w:name="67.__Where_should_the_sponsor_and_clinic"/>
      <w:bookmarkEnd w:id="265"/>
      <w:bookmarkStart w:id="266" w:name="_Toc498446496"/>
      <w:bookmarkStart w:id="267" w:name="_Toc498200759"/>
      <w:r>
        <w:rPr>
          <w:rFonts w:ascii="Arial" w:hAnsi="Arial" w:cs="Arial"/>
          <w:snapToGrid w:val="0"/>
        </w:rPr>
        <w:t>在社区咨询期间，申办方和临床研究者应该从哪里获得应考虑的研究相关信息？</w:t>
      </w:r>
      <w:bookmarkEnd w:id="266"/>
      <w:bookmarkEnd w:id="267"/>
    </w:p>
    <w:p w14:paraId="28203ADE">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相关信息见研究方案、研究者手册和知情同意书。</w:t>
      </w:r>
    </w:p>
    <w:p w14:paraId="064AFD1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请注意，社区咨询中应提供的，有关根据21 CFR 50.24进行的研究的信息也应符合研究性药品和器械宣传规定。申办方或研究者不得在宣传材料中声明，研究性新药或器械可安全和有效用于所研究的目的，或以其他方式宣传药品或器械（21 CFR 312.7（a）和812.7（a））。</w:t>
      </w:r>
    </w:p>
    <w:p w14:paraId="777F24F2">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576534DB">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68" w:name="68.__Must_“opt-out”_mechanisms_be_provid"/>
      <w:bookmarkEnd w:id="268"/>
      <w:bookmarkStart w:id="269" w:name="_Toc498200760"/>
      <w:bookmarkStart w:id="270" w:name="_Toc498446497"/>
      <w:r>
        <w:rPr>
          <w:rFonts w:ascii="Arial" w:hAnsi="Arial" w:cs="Arial"/>
          <w:snapToGrid w:val="0"/>
        </w:rPr>
        <w:t>是否必须提供</w:t>
      </w:r>
      <w:r>
        <w:rPr>
          <w:rFonts w:ascii="宋体" w:hAnsi="宋体" w:cs="Arial"/>
          <w:snapToGrid w:val="0"/>
        </w:rPr>
        <w:t>“</w:t>
      </w:r>
      <w:r>
        <w:rPr>
          <w:rFonts w:ascii="Arial" w:hAnsi="Arial" w:cs="Arial"/>
          <w:snapToGrid w:val="0"/>
        </w:rPr>
        <w:t>选择退出</w:t>
      </w:r>
      <w:r>
        <w:rPr>
          <w:rFonts w:ascii="宋体" w:hAnsi="宋体" w:cs="Arial"/>
          <w:snapToGrid w:val="0"/>
        </w:rPr>
        <w:t>”</w:t>
      </w:r>
      <w:r>
        <w:rPr>
          <w:rFonts w:ascii="Arial" w:hAnsi="Arial" w:cs="Arial"/>
          <w:snapToGrid w:val="0"/>
        </w:rPr>
        <w:t>机制？</w:t>
      </w:r>
      <w:bookmarkEnd w:id="269"/>
      <w:bookmarkEnd w:id="270"/>
    </w:p>
    <w:p w14:paraId="650BA0EC">
      <w:pPr>
        <w:pStyle w:val="6"/>
        <w:tabs>
          <w:tab w:val="left" w:pos="8738"/>
        </w:tabs>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否。21 CFR 50.24.42不要求提供</w:t>
      </w:r>
      <w:r>
        <w:rPr>
          <w:rFonts w:ascii="宋体" w:hAnsi="宋体" w:cs="Arial"/>
          <w:snapToGrid w:val="0"/>
        </w:rPr>
        <w:t>“</w:t>
      </w:r>
      <w:r>
        <w:rPr>
          <w:rFonts w:ascii="Arial" w:hAnsi="Arial" w:cs="Arial"/>
          <w:snapToGrid w:val="0"/>
        </w:rPr>
        <w:t>选择退出</w:t>
      </w:r>
      <w:r>
        <w:rPr>
          <w:rFonts w:ascii="宋体" w:hAnsi="宋体" w:cs="Arial"/>
          <w:snapToGrid w:val="0"/>
        </w:rPr>
        <w:t>”</w:t>
      </w:r>
      <w:r>
        <w:rPr>
          <w:rFonts w:ascii="Arial" w:hAnsi="Arial" w:cs="Arial"/>
          <w:snapToGrid w:val="0"/>
        </w:rPr>
        <w:t>机制（即个体表示不愿参与已豁免知情同意的研究的方式）。</w:t>
      </w:r>
      <w:r>
        <w:rPr>
          <w:rStyle w:val="22"/>
          <w:rFonts w:ascii="Arial" w:hAnsi="Arial" w:cs="Arial"/>
          <w:snapToGrid w:val="0"/>
        </w:rPr>
        <w:footnoteReference w:id="41"/>
      </w:r>
      <w:r>
        <w:rPr>
          <w:rFonts w:ascii="Arial" w:hAnsi="Arial" w:cs="Arial"/>
          <w:snapToGrid w:val="0"/>
        </w:rPr>
        <w:t>但是，社区中的个体可能会询问相关信息。选择退出机制可以包括向个体提供钱包卡或医疗腕带，并在其中应声明个体不想参与研究。</w:t>
      </w:r>
    </w:p>
    <w:p w14:paraId="7119BCAA">
      <w:pPr>
        <w:pStyle w:val="6"/>
        <w:tabs>
          <w:tab w:val="left" w:pos="8738"/>
        </w:tabs>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由于FDA法规不要求</w:t>
      </w:r>
      <w:bookmarkStart w:id="271" w:name="OLE_LINK7"/>
      <w:bookmarkStart w:id="272" w:name="OLE_LINK6"/>
      <w:r>
        <w:rPr>
          <w:rFonts w:ascii="Arial" w:hAnsi="Arial" w:cs="Arial"/>
          <w:snapToGrid w:val="0"/>
        </w:rPr>
        <w:t>提供选择退出</w:t>
      </w:r>
      <w:bookmarkEnd w:id="271"/>
      <w:bookmarkEnd w:id="272"/>
      <w:r>
        <w:rPr>
          <w:rFonts w:ascii="Arial" w:hAnsi="Arial" w:cs="Arial"/>
          <w:snapToGrid w:val="0"/>
        </w:rPr>
        <w:t>机制，由IRB决定是否使用选择退出机制。IRB应确定是否可以向社区中的个体提供选择退出机制。IRB可以提前讨论选择退出研究的方式，或者可以根据社区咨询活动来添加此类信息。FDA认识到，在多地点试验中，不同的IRB可能会对使用选择退出机制的可行性具有不同看法。但是，FDA鼓励IRB、研究者和申办方进行合作，提高个体表明不愿参与其所反对的研究的能力。</w:t>
      </w:r>
    </w:p>
    <w:p w14:paraId="3C847E2C">
      <w:pPr>
        <w:pStyle w:val="6"/>
        <w:tabs>
          <w:tab w:val="left" w:pos="8738"/>
        </w:tabs>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社区咨询活动应可使社区了解要使用的任何选择退出机制，并确保社区理解，为使社区了解相关信息而进行的工作可能不会覆盖所有社区成员。应公开披露有关选择退出机制的信息。</w:t>
      </w:r>
    </w:p>
    <w:p w14:paraId="2B294A29">
      <w:pPr>
        <w:pStyle w:val="6"/>
        <w:tabs>
          <w:tab w:val="left" w:pos="8738"/>
        </w:tabs>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对于通过集中式IRB过程审查的多地点试验或研究，FDA建议，如果打算在任何地点提供有关选择退出机制的信息，应考虑在所有地点提供此类信息。如果IRB确定可以使用选择退出机制，则应对急诊室（ER）工作人员、第一反应人员和紧急医疗技术人员（EMT）进行培训，使其了解研究中使用的选择退出机制。如果研究方案要求使用选择退出机制，则在研究期间，在施用供试品之前，应使ER或其他工作人员确定适用于此类机制的潜在受试者。此类工作人员还应接受培训，以便在时间允许时查阅易于获取的信息来源（例如医疗识别腕带），获得可证明个体愿意或不愿意参与研究的证据。请参见问题37和69。</w:t>
      </w:r>
    </w:p>
    <w:p w14:paraId="57EFFC8C">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73" w:name="69.__What_is_the_difference_between_“opt"/>
      <w:bookmarkEnd w:id="273"/>
      <w:bookmarkStart w:id="274" w:name="_Toc498200761"/>
      <w:bookmarkStart w:id="275" w:name="_Toc498446498"/>
      <w:r>
        <w:rPr>
          <w:rFonts w:ascii="宋体" w:hAnsi="宋体" w:cs="Arial"/>
          <w:snapToGrid w:val="0"/>
        </w:rPr>
        <w:t>“</w:t>
      </w:r>
      <w:r>
        <w:rPr>
          <w:rFonts w:ascii="Arial" w:hAnsi="Arial" w:cs="Arial"/>
          <w:snapToGrid w:val="0"/>
        </w:rPr>
        <w:t>选择退出</w:t>
      </w:r>
      <w:r>
        <w:rPr>
          <w:rFonts w:ascii="宋体" w:hAnsi="宋体" w:cs="Arial"/>
          <w:snapToGrid w:val="0"/>
        </w:rPr>
        <w:t>”</w:t>
      </w:r>
      <w:r>
        <w:rPr>
          <w:rFonts w:ascii="Arial" w:hAnsi="Arial" w:cs="Arial"/>
          <w:snapToGrid w:val="0"/>
        </w:rPr>
        <w:t>与确认家庭成员是否反对受试者参与研究之间有什么区别？</w:t>
      </w:r>
      <w:bookmarkEnd w:id="274"/>
      <w:bookmarkEnd w:id="275"/>
    </w:p>
    <w:p w14:paraId="6615856B">
      <w:pPr>
        <w:pStyle w:val="6"/>
        <w:topLinePunct/>
        <w:adjustRightInd w:val="0"/>
        <w:snapToGrid w:val="0"/>
        <w:spacing w:after="224" w:afterLines="75" w:line="300" w:lineRule="auto"/>
        <w:ind w:left="0"/>
        <w:jc w:val="both"/>
        <w:rPr>
          <w:rFonts w:ascii="Arial" w:hAnsi="Arial" w:cs="Arial"/>
          <w:snapToGrid w:val="0"/>
        </w:rPr>
      </w:pPr>
      <w:r>
        <w:rPr>
          <w:rFonts w:ascii="宋体" w:hAnsi="宋体" w:cs="Arial"/>
          <w:snapToGrid w:val="0"/>
        </w:rPr>
        <w:t>“</w:t>
      </w:r>
      <w:r>
        <w:rPr>
          <w:rFonts w:ascii="Arial" w:hAnsi="Arial" w:cs="Arial"/>
          <w:snapToGrid w:val="0"/>
        </w:rPr>
        <w:t>选择退出</w:t>
      </w:r>
      <w:r>
        <w:rPr>
          <w:rFonts w:ascii="宋体" w:hAnsi="宋体" w:cs="Arial"/>
          <w:snapToGrid w:val="0"/>
        </w:rPr>
        <w:t>”</w:t>
      </w:r>
      <w:r>
        <w:rPr>
          <w:rFonts w:ascii="Arial" w:hAnsi="Arial" w:cs="Arial"/>
          <w:snapToGrid w:val="0"/>
        </w:rPr>
        <w:t>机制是个体可以表示其不愿参与已豁免知情同意的研究的方式（例如，</w:t>
      </w:r>
      <w:r>
        <w:rPr>
          <w:rFonts w:hint="eastAsia" w:ascii="Arial" w:hAnsi="Arial" w:cs="Arial"/>
          <w:snapToGrid w:val="0"/>
        </w:rPr>
        <w:t>医疗珠宝、钱包卡、驾驶执照注释</w:t>
      </w:r>
      <w:r>
        <w:rPr>
          <w:rFonts w:ascii="Arial" w:hAnsi="Arial" w:cs="Arial"/>
          <w:snapToGrid w:val="0"/>
        </w:rPr>
        <w:t>）（另请参见问题37和68）</w:t>
      </w:r>
    </w:p>
    <w:p w14:paraId="2CB85948">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114EAD3F">
      <w:pPr>
        <w:pStyle w:val="6"/>
        <w:topLinePunct/>
        <w:adjustRightInd w:val="0"/>
        <w:snapToGrid w:val="0"/>
        <w:spacing w:after="224" w:afterLines="75" w:line="300" w:lineRule="auto"/>
        <w:ind w:left="0"/>
        <w:jc w:val="both"/>
        <w:rPr>
          <w:rFonts w:ascii="Arial" w:hAnsi="Arial" w:cs="Arial"/>
          <w:snapToGrid w:val="0"/>
        </w:rPr>
      </w:pPr>
      <w:r>
        <w:rPr>
          <w:rFonts w:ascii="宋体" w:hAnsi="宋体" w:cs="Arial"/>
          <w:snapToGrid w:val="0"/>
        </w:rPr>
        <w:t>“</w:t>
      </w:r>
      <w:r>
        <w:rPr>
          <w:rFonts w:ascii="Arial" w:hAnsi="Arial" w:cs="Arial"/>
          <w:snapToGrid w:val="0"/>
        </w:rPr>
        <w:t>反对机会</w:t>
      </w:r>
      <w:r>
        <w:rPr>
          <w:rFonts w:ascii="宋体" w:hAnsi="宋体" w:cs="Arial"/>
          <w:snapToGrid w:val="0"/>
        </w:rPr>
        <w:t>”</w:t>
      </w:r>
      <w:r>
        <w:rPr>
          <w:rFonts w:ascii="Arial" w:hAnsi="Arial" w:cs="Arial"/>
          <w:snapToGrid w:val="0"/>
        </w:rPr>
        <w:t>由家庭成员代表受试者行使。在向受试者施用供试品前，如果没有可用的合法授权代表，研究者应尝试在治疗窗内找到受试者的家庭成员，询问其</w:t>
      </w:r>
      <w:r>
        <w:rPr>
          <w:rFonts w:ascii="宋体" w:hAnsi="宋体" w:cs="Arial"/>
          <w:snapToGrid w:val="0"/>
        </w:rPr>
        <w:t>“</w:t>
      </w:r>
      <w:r>
        <w:rPr>
          <w:rFonts w:ascii="Arial" w:hAnsi="Arial" w:cs="Arial"/>
          <w:snapToGrid w:val="0"/>
        </w:rPr>
        <w:t>是否反对</w:t>
      </w:r>
      <w:r>
        <w:rPr>
          <w:rFonts w:ascii="宋体" w:hAnsi="宋体" w:cs="Arial"/>
          <w:snapToGrid w:val="0"/>
        </w:rPr>
        <w:t>”</w:t>
      </w:r>
      <w:r>
        <w:rPr>
          <w:rFonts w:ascii="Arial" w:hAnsi="Arial" w:cs="Arial"/>
          <w:snapToGrid w:val="0"/>
        </w:rPr>
        <w:t>该受试者参与研究。</w:t>
      </w:r>
    </w:p>
    <w:p w14:paraId="796FFC4D">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76" w:name="70.__How_much_community_consultation_act"/>
      <w:bookmarkEnd w:id="276"/>
      <w:bookmarkStart w:id="277" w:name="_Toc498446499"/>
      <w:bookmarkStart w:id="278" w:name="_Toc498200762"/>
      <w:r>
        <w:rPr>
          <w:rFonts w:ascii="Arial" w:hAnsi="Arial" w:cs="Arial"/>
          <w:snapToGrid w:val="0"/>
        </w:rPr>
        <w:t>需要进行多少次社区咨询活动？</w:t>
      </w:r>
      <w:bookmarkEnd w:id="277"/>
      <w:bookmarkEnd w:id="278"/>
    </w:p>
    <w:p w14:paraId="205E9A8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可以使用多种方法来实现或履行社区咨询要求，且并不是所有研究均需要相同数量、类型或程度的社区咨询活动。由IRB负责审查社区咨询计划并评估其充分性，同时考虑到所存在的地方问题。不同IRB可能会对社区咨询活动数量有着不同看法，具体取决于特定研究和社区的特殊情况。例如，如果研究旨在比较新型治疗与安慰剂，则可能需要广泛咨询研究所在社区以及受试者所在社区。另一方面，如果研究制造比较无法有效用于特定患者人群或病症的可用治疗和另一种常用产品，则无需进行广泛的社区咨询（例如，未被批准用于紧急研究所涉具体适应症的核准产品）。</w:t>
      </w:r>
    </w:p>
    <w:p w14:paraId="6D2B28E7">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79" w:name="71.__Should_sites,_sponsors,_or_IRBs_eva"/>
      <w:bookmarkEnd w:id="279"/>
      <w:bookmarkStart w:id="280" w:name="_Toc498200763"/>
      <w:bookmarkStart w:id="281" w:name="_Toc498446500"/>
      <w:r>
        <w:rPr>
          <w:rFonts w:ascii="Arial" w:hAnsi="Arial" w:cs="Arial"/>
          <w:snapToGrid w:val="0"/>
        </w:rPr>
        <w:t>地点、申办方或IRB是否应该评价社区咨询和公开披露活动的有效性？</w:t>
      </w:r>
      <w:bookmarkEnd w:id="280"/>
      <w:bookmarkEnd w:id="281"/>
    </w:p>
    <w:p w14:paraId="751A490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本机构鼓励，但不强制要求地点、申办方和IRB探索方法和／或进行研究来评价社区咨询和公开披露过程的有效性。</w:t>
      </w:r>
    </w:p>
    <w:p w14:paraId="3E58C9A2">
      <w:pPr>
        <w:pStyle w:val="4"/>
        <w:numPr>
          <w:ilvl w:val="0"/>
          <w:numId w:val="3"/>
        </w:numPr>
        <w:tabs>
          <w:tab w:val="left" w:pos="540"/>
        </w:tabs>
        <w:topLinePunct/>
        <w:adjustRightInd w:val="0"/>
        <w:snapToGrid w:val="0"/>
        <w:spacing w:after="224" w:afterLines="75" w:line="300" w:lineRule="auto"/>
        <w:ind w:left="540" w:hanging="540"/>
        <w:jc w:val="both"/>
        <w:rPr>
          <w:rFonts w:ascii="Arial" w:hAnsi="Arial" w:cs="Arial"/>
          <w:b w:val="0"/>
          <w:bCs w:val="0"/>
          <w:i w:val="0"/>
          <w:snapToGrid w:val="0"/>
        </w:rPr>
      </w:pPr>
      <w:bookmarkStart w:id="282" w:name="72.__Who_is_responsible_for_conducting_c"/>
      <w:bookmarkEnd w:id="282"/>
      <w:bookmarkStart w:id="283" w:name="_Toc498200764"/>
      <w:bookmarkStart w:id="284" w:name="_Toc498446501"/>
      <w:r>
        <w:rPr>
          <w:rFonts w:ascii="Arial" w:hAnsi="Arial" w:cs="Arial"/>
          <w:snapToGrid w:val="0"/>
        </w:rPr>
        <w:t>谁负责社区咨询活动？进行社区咨询活动时，申办方、临床研究者和IRB的作用分别是什么？</w:t>
      </w:r>
      <w:bookmarkEnd w:id="283"/>
      <w:bookmarkEnd w:id="284"/>
    </w:p>
    <w:p w14:paraId="72E618CE">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主要由申办方和临床研究者负责规划和进行社区咨询过程，听取担忧，并对研究计划进行适当更改。审查研究的IRB应在进行审议和审查时考虑社区咨询期间提出的担忧。</w:t>
      </w:r>
    </w:p>
    <w:p w14:paraId="78F5495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进行紧急研究的申办方和临床研究者，以及审查此类研究的IRB先前可能从未进行过社区咨询。因此，申办方和临床研究者应彼此咨询或咨询IRB，确保社区咨询计划充分且已经执行，使得社区了解拟定临床研究（包括任何风险和潜在的好处），并有机会表达其担忧。</w:t>
      </w:r>
    </w:p>
    <w:p w14:paraId="5E8849A7">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85" w:name="73.__How_can_the_sponsor_and_clinical_in"/>
      <w:bookmarkEnd w:id="285"/>
      <w:bookmarkStart w:id="286" w:name="_Toc498446502"/>
      <w:bookmarkStart w:id="287" w:name="_Toc498200765"/>
      <w:r>
        <w:rPr>
          <w:rFonts w:ascii="Arial" w:hAnsi="Arial" w:cs="Arial"/>
          <w:snapToGrid w:val="0"/>
        </w:rPr>
        <w:t>申办方和临床研究者如何确定应纳入社区咨询活动的社区？</w:t>
      </w:r>
      <w:bookmarkEnd w:id="286"/>
      <w:bookmarkEnd w:id="287"/>
    </w:p>
    <w:p w14:paraId="6581B877">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为了确定此类社区，申办方和临床研究者将需要考虑可能成为研究对象（即受试者所在社区）的个体特性（例如性别、种族、年龄、创伤性损伤的风险因素）。</w:t>
      </w:r>
      <w:r>
        <w:rPr>
          <w:rFonts w:hint="eastAsia" w:ascii="Arial" w:hAnsi="Arial" w:cs="Arial"/>
          <w:snapToGrid w:val="0"/>
        </w:rPr>
        <w:t>申办方</w:t>
      </w:r>
      <w:r>
        <w:rPr>
          <w:rFonts w:ascii="Arial" w:hAnsi="Arial" w:cs="Arial"/>
          <w:snapToGrid w:val="0"/>
        </w:rPr>
        <w:t>和临床研究者应采取措施，确保社区咨询计划包括（但不一定限于）联系受影响群体成员的措施（另请参见问题55、56和65）。</w:t>
      </w:r>
    </w:p>
    <w:p w14:paraId="2F2450A3">
      <w:pPr>
        <w:rPr>
          <w:rFonts w:ascii="Arial" w:hAnsi="Arial" w:eastAsia="宋体" w:cs="Arial"/>
          <w:snapToGrid w:val="0"/>
          <w:sz w:val="24"/>
          <w:szCs w:val="24"/>
        </w:rPr>
      </w:pPr>
      <w:r>
        <w:rPr>
          <w:rFonts w:ascii="Arial" w:hAnsi="Arial" w:cs="Arial"/>
          <w:snapToGrid w:val="0"/>
        </w:rPr>
        <w:br w:type="page"/>
      </w:r>
    </w:p>
    <w:p w14:paraId="459DEFA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示例1：具有神经功能缺损的儿童可能有更大的癫痫发作风险。儿童癫痫研究的社区咨询计划应包括联系受试者所在社区的方法，特别是此类儿童的父母（和如果IRB确定适合，儿童本身），神经功能缺损儿童的</w:t>
      </w:r>
      <w:bookmarkStart w:id="288" w:name="OLE_LINK8"/>
      <w:r>
        <w:rPr>
          <w:rFonts w:ascii="Arial" w:hAnsi="Arial" w:cs="Arial"/>
          <w:snapToGrid w:val="0"/>
        </w:rPr>
        <w:t>利益</w:t>
      </w:r>
      <w:bookmarkEnd w:id="288"/>
      <w:r>
        <w:rPr>
          <w:rFonts w:ascii="Arial" w:hAnsi="Arial" w:cs="Arial"/>
          <w:snapToGrid w:val="0"/>
        </w:rPr>
        <w:t>团体等</w:t>
      </w:r>
    </w:p>
    <w:p w14:paraId="2F0E606E">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示例2：年轻男性青少年更有可能遭受车祸，进而导致创伤性，致命性伤害。创伤性伤害研究的社区咨询计划应包括联系面临风险的社区的方法，例如年轻男性青少年及其父母，青少年利益团体、青少年社会团体和高中。</w:t>
      </w:r>
    </w:p>
    <w:p w14:paraId="7A33FDD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示例3：重症监护室（ICU）中的心脏病患者出现心脏骤停的风险较高。心脏骤停治疗的社区咨询计划可能包括联系ICU患者、前ICU患者、ICU患者家庭成员、ICU医师、护士或其他工作人员的方法。</w:t>
      </w:r>
    </w:p>
    <w:p w14:paraId="4340A13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示例4：如果将外部除颤器放置在特定位置，请考虑受试者所在社区是否居住在或常去此类地区，例如老年人的辅助生活设施、机场等。</w:t>
      </w:r>
    </w:p>
    <w:p w14:paraId="18F4465C">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289" w:name="74.__What_should_the_IRB_do_with_informa"/>
      <w:bookmarkEnd w:id="289"/>
      <w:bookmarkStart w:id="290" w:name="_Toc498446503"/>
      <w:bookmarkStart w:id="291" w:name="_Toc498200766"/>
      <w:r>
        <w:rPr>
          <w:rFonts w:ascii="Arial" w:hAnsi="Arial" w:cs="Arial"/>
          <w:snapToGrid w:val="0"/>
        </w:rPr>
        <w:t>IRB应该如何处理在社区咨询活动中收到的信息？</w:t>
      </w:r>
      <w:bookmarkEnd w:id="290"/>
      <w:bookmarkEnd w:id="291"/>
    </w:p>
    <w:p w14:paraId="0BFCE7B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应考虑社区的意见和担忧，评估咨询过程的充分性，并在作出决策是考虑社区咨询和讨论的结果。因此，IRB可能希望直接听取社区讨论和在此类讨论中表达的担忧，而不仅仅依靠临床研究者的总结文件或其他人报告的反馈（另请参见问题66）</w:t>
      </w:r>
    </w:p>
    <w:p w14:paraId="097DD771">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92" w:name="75.__How_can_the_IRB_accomplish_its_revi"/>
      <w:bookmarkEnd w:id="292"/>
      <w:bookmarkStart w:id="293" w:name="_Toc498200767"/>
      <w:bookmarkStart w:id="294" w:name="_Toc498446504"/>
      <w:r>
        <w:rPr>
          <w:rFonts w:ascii="Arial" w:hAnsi="Arial" w:cs="Arial"/>
          <w:snapToGrid w:val="0"/>
        </w:rPr>
        <w:t>IRB如何完成对社区咨询计划的审查？</w:t>
      </w:r>
      <w:bookmarkEnd w:id="293"/>
      <w:bookmarkEnd w:id="294"/>
    </w:p>
    <w:p w14:paraId="7A67CF1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社区咨询可</w:t>
      </w:r>
      <w:r>
        <w:rPr>
          <w:rFonts w:ascii="宋体" w:hAnsi="宋体" w:cs="Arial"/>
          <w:snapToGrid w:val="0"/>
        </w:rPr>
        <w:t>“</w:t>
      </w:r>
      <w:r>
        <w:rPr>
          <w:rFonts w:ascii="Arial" w:hAnsi="Arial" w:cs="Arial"/>
          <w:snapToGrid w:val="0"/>
        </w:rPr>
        <w:t>进一步保护</w:t>
      </w:r>
      <w:r>
        <w:rPr>
          <w:rFonts w:ascii="宋体" w:hAnsi="宋体" w:cs="Arial"/>
          <w:snapToGrid w:val="0"/>
        </w:rPr>
        <w:t>”</w:t>
      </w:r>
      <w:r>
        <w:rPr>
          <w:rFonts w:ascii="Arial" w:hAnsi="Arial" w:cs="Arial"/>
          <w:snapToGrid w:val="0"/>
        </w:rPr>
        <w:t>受试者的权利和福利。IRB必须确定和确认将提供此类</w:t>
      </w:r>
      <w:r>
        <w:rPr>
          <w:rFonts w:ascii="宋体" w:hAnsi="宋体" w:cs="Arial"/>
          <w:snapToGrid w:val="0"/>
        </w:rPr>
        <w:t>“</w:t>
      </w:r>
      <w:r>
        <w:rPr>
          <w:rFonts w:ascii="Arial" w:hAnsi="Arial" w:cs="Arial"/>
          <w:snapToGrid w:val="0"/>
        </w:rPr>
        <w:t>附加保护</w:t>
      </w:r>
      <w:r>
        <w:rPr>
          <w:rFonts w:ascii="宋体" w:hAnsi="宋体" w:cs="Arial"/>
          <w:snapToGrid w:val="0"/>
        </w:rPr>
        <w:t>”</w:t>
      </w:r>
      <w:r>
        <w:rPr>
          <w:rFonts w:ascii="Arial" w:hAnsi="Arial" w:cs="Arial"/>
          <w:snapToGrid w:val="0"/>
        </w:rPr>
        <w:t>（21 CFR 50.24（a）（7）（i）），因此，IRB应该审查社区咨询计划。由于出来研究的复杂性，进行审查时IRB可能需要召开多次会议。</w:t>
      </w:r>
    </w:p>
    <w:p w14:paraId="1FBEC0F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IRB应该</w:t>
      </w:r>
    </w:p>
    <w:p w14:paraId="056A75ED">
      <w:pPr>
        <w:pStyle w:val="24"/>
        <w:numPr>
          <w:ilvl w:val="1"/>
          <w:numId w:val="3"/>
        </w:numPr>
        <w:tabs>
          <w:tab w:val="left" w:pos="1134"/>
        </w:tabs>
        <w:topLinePunct/>
        <w:adjustRightInd w:val="0"/>
        <w:snapToGrid w:val="0"/>
        <w:spacing w:after="224" w:afterLines="75" w:line="300" w:lineRule="auto"/>
        <w:ind w:left="1131" w:leftChars="327" w:hanging="412" w:hangingChars="172"/>
        <w:jc w:val="both"/>
        <w:rPr>
          <w:rFonts w:ascii="Arial" w:hAnsi="Arial" w:eastAsia="宋体" w:cs="Arial"/>
          <w:snapToGrid w:val="0"/>
          <w:sz w:val="24"/>
          <w:szCs w:val="24"/>
        </w:rPr>
      </w:pPr>
      <w:r>
        <w:rPr>
          <w:rFonts w:ascii="Arial" w:hAnsi="Arial" w:eastAsia="宋体" w:cs="Arial"/>
          <w:snapToGrid w:val="0"/>
          <w:sz w:val="24"/>
          <w:szCs w:val="24"/>
        </w:rPr>
        <w:t>审查、要求适当修改以及批准或驳回社区咨询计划。</w:t>
      </w:r>
    </w:p>
    <w:p w14:paraId="4909A297">
      <w:pPr>
        <w:pStyle w:val="6"/>
        <w:topLinePunct/>
        <w:adjustRightInd w:val="0"/>
        <w:snapToGrid w:val="0"/>
        <w:spacing w:after="224" w:afterLines="75" w:line="300" w:lineRule="auto"/>
        <w:ind w:left="1133" w:leftChars="515"/>
        <w:jc w:val="both"/>
        <w:rPr>
          <w:rFonts w:ascii="Arial" w:hAnsi="Arial" w:cs="Arial"/>
          <w:snapToGrid w:val="0"/>
        </w:rPr>
      </w:pPr>
      <w:r>
        <w:rPr>
          <w:rFonts w:ascii="Arial" w:hAnsi="Arial" w:cs="Arial"/>
          <w:snapToGrid w:val="0"/>
        </w:rPr>
        <w:t>IRB可能确定需要进行更广泛的社区咨询和讨论，以帮助IRB成员了解社区中特定群体对拟定研究的担忧。</w:t>
      </w:r>
      <w:bookmarkStart w:id="295" w:name="OLE_LINK10"/>
      <w:bookmarkStart w:id="296" w:name="OLE_LINK9"/>
      <w:r>
        <w:rPr>
          <w:rFonts w:ascii="Arial" w:hAnsi="Arial" w:cs="Arial"/>
          <w:snapToGrid w:val="0"/>
        </w:rPr>
        <w:t>IRB</w:t>
      </w:r>
      <w:bookmarkEnd w:id="295"/>
      <w:bookmarkEnd w:id="296"/>
      <w:r>
        <w:rPr>
          <w:rFonts w:ascii="Arial" w:hAnsi="Arial" w:cs="Arial"/>
          <w:snapToGrid w:val="0"/>
        </w:rPr>
        <w:t>可能会要求一个或多个IRB工作人员出席社区会议，以便听取担忧，IRB还可能要求说明要求豁免知情同意的原因（如有必要）。IRB还可以决定邀请社区代表参加IRB的定期或特别会议，讨论紧急研究。</w:t>
      </w:r>
    </w:p>
    <w:p w14:paraId="531C35EE">
      <w:pPr>
        <w:rPr>
          <w:rFonts w:ascii="Arial" w:hAnsi="Arial" w:eastAsia="宋体" w:cs="Arial"/>
          <w:snapToGrid w:val="0"/>
          <w:sz w:val="24"/>
          <w:szCs w:val="24"/>
        </w:rPr>
      </w:pPr>
      <w:r>
        <w:rPr>
          <w:rFonts w:ascii="Arial" w:hAnsi="Arial" w:eastAsia="宋体" w:cs="Arial"/>
          <w:snapToGrid w:val="0"/>
          <w:sz w:val="24"/>
          <w:szCs w:val="24"/>
        </w:rPr>
        <w:br w:type="page"/>
      </w:r>
    </w:p>
    <w:p w14:paraId="0E11C52F">
      <w:pPr>
        <w:pStyle w:val="24"/>
        <w:numPr>
          <w:ilvl w:val="1"/>
          <w:numId w:val="3"/>
        </w:numPr>
        <w:tabs>
          <w:tab w:val="left" w:pos="1134"/>
        </w:tabs>
        <w:topLinePunct/>
        <w:adjustRightInd w:val="0"/>
        <w:snapToGrid w:val="0"/>
        <w:spacing w:after="224" w:afterLines="75" w:line="300" w:lineRule="auto"/>
        <w:ind w:left="1131" w:leftChars="327" w:hanging="412" w:hangingChars="172"/>
        <w:jc w:val="both"/>
        <w:rPr>
          <w:rFonts w:ascii="Arial" w:hAnsi="Arial" w:eastAsia="宋体" w:cs="Arial"/>
          <w:snapToGrid w:val="0"/>
          <w:sz w:val="24"/>
          <w:szCs w:val="24"/>
        </w:rPr>
      </w:pPr>
      <w:r>
        <w:rPr>
          <w:rFonts w:ascii="Arial" w:hAnsi="Arial" w:eastAsia="宋体" w:cs="Arial"/>
          <w:snapToGrid w:val="0"/>
          <w:sz w:val="24"/>
          <w:szCs w:val="24"/>
        </w:rPr>
        <w:t>评估社区咨询的充分性。</w:t>
      </w:r>
    </w:p>
    <w:p w14:paraId="06EC0E9F">
      <w:pPr>
        <w:pStyle w:val="6"/>
        <w:topLinePunct/>
        <w:adjustRightInd w:val="0"/>
        <w:snapToGrid w:val="0"/>
        <w:spacing w:after="224" w:afterLines="75" w:line="300" w:lineRule="auto"/>
        <w:ind w:left="1133" w:leftChars="515"/>
        <w:jc w:val="both"/>
        <w:rPr>
          <w:rFonts w:ascii="Arial" w:hAnsi="Arial" w:cs="Arial"/>
          <w:snapToGrid w:val="0"/>
        </w:rPr>
      </w:pPr>
      <w:r>
        <w:rPr>
          <w:rFonts w:ascii="Arial" w:hAnsi="Arial" w:cs="Arial"/>
          <w:snapToGrid w:val="0"/>
        </w:rPr>
        <w:t>IRB应该评估社区咨询计划是否可适当联系到受试者所在社区。由于社区尤其关注特定病症的有效治疗方案，其可能提供最有意义的反馈。</w:t>
      </w:r>
    </w:p>
    <w:p w14:paraId="091255DB">
      <w:pPr>
        <w:pStyle w:val="6"/>
        <w:topLinePunct/>
        <w:adjustRightInd w:val="0"/>
        <w:snapToGrid w:val="0"/>
        <w:spacing w:after="224" w:afterLines="75" w:line="300" w:lineRule="auto"/>
        <w:ind w:left="1133" w:leftChars="515"/>
        <w:jc w:val="both"/>
        <w:rPr>
          <w:rFonts w:ascii="Arial" w:hAnsi="Arial" w:cs="Arial"/>
          <w:snapToGrid w:val="0"/>
        </w:rPr>
      </w:pPr>
      <w:r>
        <w:rPr>
          <w:rFonts w:ascii="Arial" w:hAnsi="Arial" w:cs="Arial"/>
          <w:snapToGrid w:val="0"/>
        </w:rPr>
        <w:t>为了确定和确认已经根据21 CFR 50.24（a）（7）（i）的要求进行社区咨询，IRB应确定是否从社区获得了有意义的反馈。极少参与会议并不代表社区对研究没有兴趣或不反对研究。相反，如果社区提供的意见有限或未提供建议，IRB可以确定，应进行更多工作，获取社区的更多意见。</w:t>
      </w:r>
    </w:p>
    <w:p w14:paraId="501C31B3">
      <w:pPr>
        <w:pStyle w:val="24"/>
        <w:numPr>
          <w:ilvl w:val="1"/>
          <w:numId w:val="3"/>
        </w:numPr>
        <w:tabs>
          <w:tab w:val="left" w:pos="1134"/>
        </w:tabs>
        <w:topLinePunct/>
        <w:adjustRightInd w:val="0"/>
        <w:snapToGrid w:val="0"/>
        <w:spacing w:after="224" w:afterLines="75" w:line="300" w:lineRule="auto"/>
        <w:ind w:left="1131" w:leftChars="327" w:hanging="412" w:hangingChars="172"/>
        <w:jc w:val="both"/>
        <w:rPr>
          <w:rFonts w:ascii="Arial" w:hAnsi="Arial" w:eastAsia="宋体" w:cs="Arial"/>
          <w:snapToGrid w:val="0"/>
          <w:sz w:val="24"/>
          <w:szCs w:val="24"/>
        </w:rPr>
      </w:pPr>
      <w:r>
        <w:rPr>
          <w:rFonts w:ascii="Arial" w:hAnsi="Arial" w:eastAsia="宋体" w:cs="Arial"/>
          <w:snapToGrid w:val="0"/>
          <w:sz w:val="24"/>
          <w:szCs w:val="24"/>
        </w:rPr>
        <w:t>考虑社区担忧，并在审查方案和知情同意书时酌情考虑反馈意见。</w:t>
      </w:r>
    </w:p>
    <w:p w14:paraId="2146CD22">
      <w:pPr>
        <w:pStyle w:val="6"/>
        <w:topLinePunct/>
        <w:adjustRightInd w:val="0"/>
        <w:snapToGrid w:val="0"/>
        <w:spacing w:after="224" w:afterLines="75" w:line="300" w:lineRule="auto"/>
        <w:ind w:left="1133" w:leftChars="515"/>
        <w:jc w:val="both"/>
        <w:rPr>
          <w:rFonts w:ascii="Arial" w:hAnsi="Arial" w:cs="Arial"/>
          <w:snapToGrid w:val="0"/>
        </w:rPr>
      </w:pPr>
      <w:r>
        <w:rPr>
          <w:rFonts w:ascii="Arial" w:hAnsi="Arial" w:cs="Arial"/>
          <w:snapToGrid w:val="0"/>
        </w:rPr>
        <w:t>在IRB进行审议时考虑社区咨询结果是一项复杂工作。必定会有人对社区代表的</w:t>
      </w:r>
      <w:r>
        <w:rPr>
          <w:rFonts w:ascii="宋体" w:hAnsi="宋体" w:cs="Arial"/>
          <w:snapToGrid w:val="0"/>
        </w:rPr>
        <w:t>“</w:t>
      </w:r>
      <w:r>
        <w:rPr>
          <w:rFonts w:ascii="Arial" w:hAnsi="Arial" w:cs="Arial"/>
          <w:snapToGrid w:val="0"/>
        </w:rPr>
        <w:t>代表性</w:t>
      </w:r>
      <w:r>
        <w:rPr>
          <w:rFonts w:ascii="宋体" w:hAnsi="宋体" w:cs="Arial"/>
          <w:snapToGrid w:val="0"/>
        </w:rPr>
        <w:t>”</w:t>
      </w:r>
      <w:r>
        <w:rPr>
          <w:rFonts w:ascii="Arial" w:hAnsi="Arial" w:cs="Arial"/>
          <w:snapToGrid w:val="0"/>
        </w:rPr>
        <w:t>程度，研究所涉各个社区的观点（特别是在观点不同时）解释方法以及适当回应的定义存有疑问。基于此类讨论，如果特定人群（例如社区内的宗教派别）表示反对参与研究，IRB可以建议限制可以从中选择受试者的人群范围。在错了情况下，必须确定此类群体成员的确定方法。在某些情况下，如果社区提出强烈反对和担忧，IRB可能会决定不应在该社区执行研究。</w:t>
      </w:r>
    </w:p>
    <w:p w14:paraId="7089AA18">
      <w:pPr>
        <w:pStyle w:val="24"/>
        <w:numPr>
          <w:ilvl w:val="1"/>
          <w:numId w:val="3"/>
        </w:numPr>
        <w:tabs>
          <w:tab w:val="left" w:pos="1134"/>
        </w:tabs>
        <w:topLinePunct/>
        <w:adjustRightInd w:val="0"/>
        <w:snapToGrid w:val="0"/>
        <w:spacing w:after="224" w:afterLines="75" w:line="300" w:lineRule="auto"/>
        <w:ind w:left="1131" w:leftChars="327" w:hanging="412" w:hangingChars="172"/>
        <w:jc w:val="both"/>
        <w:rPr>
          <w:rFonts w:ascii="Arial" w:hAnsi="Arial" w:eastAsia="宋体" w:cs="Arial"/>
          <w:snapToGrid w:val="0"/>
          <w:sz w:val="24"/>
          <w:szCs w:val="24"/>
        </w:rPr>
      </w:pPr>
      <w:r>
        <w:rPr>
          <w:rFonts w:ascii="Arial" w:hAnsi="Arial" w:eastAsia="宋体" w:cs="Arial"/>
          <w:snapToGrid w:val="0"/>
          <w:sz w:val="24"/>
          <w:szCs w:val="24"/>
        </w:rPr>
        <w:t>在IRB会议记录中记录社区咨询结果（21 CFR 56.115（a）（1）和（2））。</w:t>
      </w:r>
    </w:p>
    <w:p w14:paraId="3AE726EA">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297" w:name="76.__What_types_of_activities_can_sponso"/>
      <w:bookmarkEnd w:id="297"/>
      <w:bookmarkStart w:id="298" w:name="_Toc498200768"/>
      <w:bookmarkStart w:id="299" w:name="_Toc498446505"/>
      <w:r>
        <w:rPr>
          <w:rFonts w:ascii="Arial" w:hAnsi="Arial" w:cs="Arial"/>
          <w:snapToGrid w:val="0"/>
        </w:rPr>
        <w:t>申办方和临床研究者可以进行哪些类型的活动以便进行社区咨询？</w:t>
      </w:r>
      <w:bookmarkEnd w:id="298"/>
      <w:bookmarkEnd w:id="299"/>
    </w:p>
    <w:p w14:paraId="570A837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临床研究者和申办方（以及IRB，如果适用）共同负责联系此类社区（21 CFR 50.24（a）（7）（i））。申办方和临床研究者应适时进行广泛的社区讨论，以便可能对研究感兴趣或可能受到研究影响的社区代表可以讨论拟定临床研究，并提供具体的即时反馈，例如面对面会议或通过交互式网站。在进行社区咨询活动时，申办方和临床研究者应确保参与研究的社区代表有机会参与咨询过程。</w:t>
      </w:r>
    </w:p>
    <w:p w14:paraId="51DE46E1">
      <w:pPr>
        <w:rPr>
          <w:rFonts w:ascii="Arial" w:hAnsi="Arial" w:eastAsia="宋体" w:cs="Arial"/>
          <w:snapToGrid w:val="0"/>
          <w:sz w:val="24"/>
          <w:szCs w:val="24"/>
        </w:rPr>
      </w:pPr>
      <w:r>
        <w:rPr>
          <w:rFonts w:ascii="Arial" w:hAnsi="Arial" w:cs="Arial"/>
          <w:snapToGrid w:val="0"/>
        </w:rPr>
        <w:br w:type="page"/>
      </w:r>
    </w:p>
    <w:p w14:paraId="4B269EF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申办方和临床研究者（或IRB，当IRB决定自行进行咨询活动时）应使用最适当的方式，在特定社区中进行有效和广泛的社区咨询（如果适用）。使用各种社区咨询活动将扩大社区参与的机会。社区咨询活动包括（但不限于）以下内容：</w:t>
      </w:r>
    </w:p>
    <w:p w14:paraId="6E6A1B0E">
      <w:pPr>
        <w:pStyle w:val="24"/>
        <w:numPr>
          <w:ilvl w:val="0"/>
          <w:numId w:val="14"/>
        </w:numPr>
        <w:tabs>
          <w:tab w:val="left" w:pos="840"/>
        </w:tabs>
        <w:topLinePunct/>
        <w:adjustRightInd w:val="0"/>
        <w:snapToGrid w:val="0"/>
        <w:spacing w:after="224" w:afterLines="75" w:line="300" w:lineRule="auto"/>
        <w:ind w:left="420" w:leftChars="191"/>
        <w:jc w:val="both"/>
        <w:rPr>
          <w:rFonts w:ascii="Arial" w:hAnsi="Arial" w:eastAsia="宋体" w:cs="Arial"/>
          <w:snapToGrid w:val="0"/>
          <w:sz w:val="24"/>
          <w:szCs w:val="24"/>
        </w:rPr>
      </w:pPr>
      <w:r>
        <w:rPr>
          <w:rFonts w:ascii="Arial" w:hAnsi="Arial" w:eastAsia="宋体" w:cs="Arial"/>
          <w:b/>
          <w:snapToGrid w:val="0"/>
          <w:sz w:val="24"/>
          <w:szCs w:val="24"/>
        </w:rPr>
        <w:t>定期会议</w:t>
      </w:r>
      <w:r>
        <w:rPr>
          <w:rFonts w:ascii="Arial" w:hAnsi="Arial" w:eastAsia="宋体" w:cs="Arial"/>
          <w:snapToGrid w:val="0"/>
          <w:sz w:val="24"/>
          <w:szCs w:val="24"/>
        </w:rPr>
        <w:t>。地方公民公共论坛等定期会议可能更方便参与，因为此类会议已社区成员的议程当中。</w:t>
      </w:r>
    </w:p>
    <w:p w14:paraId="555AE0BD">
      <w:pPr>
        <w:pStyle w:val="24"/>
        <w:numPr>
          <w:ilvl w:val="0"/>
          <w:numId w:val="14"/>
        </w:numPr>
        <w:tabs>
          <w:tab w:val="left" w:pos="840"/>
        </w:tabs>
        <w:topLinePunct/>
        <w:adjustRightInd w:val="0"/>
        <w:snapToGrid w:val="0"/>
        <w:spacing w:after="224" w:afterLines="75" w:line="300" w:lineRule="auto"/>
        <w:ind w:left="420" w:leftChars="191"/>
        <w:jc w:val="both"/>
        <w:rPr>
          <w:rFonts w:ascii="Arial" w:hAnsi="Arial" w:eastAsia="宋体" w:cs="Arial"/>
          <w:snapToGrid w:val="0"/>
          <w:sz w:val="24"/>
          <w:szCs w:val="24"/>
        </w:rPr>
      </w:pPr>
      <w:r>
        <w:rPr>
          <w:rFonts w:ascii="Arial" w:hAnsi="Arial" w:eastAsia="宋体" w:cs="Arial"/>
          <w:b/>
          <w:snapToGrid w:val="0"/>
          <w:sz w:val="24"/>
          <w:szCs w:val="24"/>
        </w:rPr>
        <w:t>公开社区会议或专门讨论研究的其他特别会议</w:t>
      </w:r>
      <w:r>
        <w:rPr>
          <w:rFonts w:ascii="Arial" w:hAnsi="Arial" w:eastAsia="宋体" w:cs="Arial"/>
          <w:snapToGrid w:val="0"/>
          <w:sz w:val="24"/>
          <w:szCs w:val="24"/>
        </w:rPr>
        <w:t>。此类会议可能有助于吸引对研究有浓厚兴趣的个体参与研究。</w:t>
      </w:r>
    </w:p>
    <w:p w14:paraId="521A5360">
      <w:pPr>
        <w:pStyle w:val="24"/>
        <w:numPr>
          <w:ilvl w:val="0"/>
          <w:numId w:val="14"/>
        </w:numPr>
        <w:tabs>
          <w:tab w:val="left" w:pos="840"/>
        </w:tabs>
        <w:topLinePunct/>
        <w:adjustRightInd w:val="0"/>
        <w:snapToGrid w:val="0"/>
        <w:spacing w:after="224" w:afterLines="75" w:line="300" w:lineRule="auto"/>
        <w:ind w:left="420" w:leftChars="191"/>
        <w:jc w:val="both"/>
        <w:rPr>
          <w:rFonts w:ascii="Arial" w:hAnsi="Arial" w:cs="Arial"/>
          <w:b/>
          <w:bCs/>
          <w:snapToGrid w:val="0"/>
          <w:sz w:val="24"/>
          <w:szCs w:val="24"/>
        </w:rPr>
      </w:pPr>
      <w:bookmarkStart w:id="300" w:name="_Toc498200769"/>
      <w:r>
        <w:rPr>
          <w:rFonts w:ascii="Arial" w:hAnsi="Arial" w:cs="Arial"/>
          <w:b/>
          <w:snapToGrid w:val="0"/>
          <w:sz w:val="24"/>
          <w:szCs w:val="24"/>
        </w:rPr>
        <w:t>本地广播和／或电视谈话节目。</w:t>
      </w:r>
      <w:r>
        <w:rPr>
          <w:rFonts w:ascii="Arial" w:hAnsi="Arial" w:cs="Arial"/>
          <w:snapToGrid w:val="0"/>
          <w:sz w:val="24"/>
          <w:szCs w:val="24"/>
        </w:rPr>
        <w:t>此类节目允许观众</w:t>
      </w:r>
      <w:r>
        <w:rPr>
          <w:rFonts w:ascii="宋体" w:hAnsi="宋体" w:cs="Arial"/>
          <w:snapToGrid w:val="0"/>
          <w:sz w:val="24"/>
          <w:szCs w:val="24"/>
        </w:rPr>
        <w:t>“</w:t>
      </w:r>
      <w:r>
        <w:rPr>
          <w:rFonts w:ascii="Arial" w:hAnsi="Arial" w:cs="Arial"/>
          <w:snapToGrid w:val="0"/>
          <w:sz w:val="24"/>
          <w:szCs w:val="24"/>
        </w:rPr>
        <w:t>致电</w:t>
      </w:r>
      <w:r>
        <w:rPr>
          <w:rFonts w:ascii="宋体" w:hAnsi="宋体" w:cs="Arial"/>
          <w:snapToGrid w:val="0"/>
          <w:sz w:val="24"/>
          <w:szCs w:val="24"/>
        </w:rPr>
        <w:t>”</w:t>
      </w:r>
      <w:r>
        <w:rPr>
          <w:rFonts w:ascii="Arial" w:hAnsi="Arial" w:cs="Arial"/>
          <w:snapToGrid w:val="0"/>
          <w:sz w:val="24"/>
          <w:szCs w:val="24"/>
        </w:rPr>
        <w:t>表达自己的看法和担忧。</w:t>
      </w:r>
      <w:bookmarkEnd w:id="300"/>
    </w:p>
    <w:p w14:paraId="55D547E3">
      <w:pPr>
        <w:pStyle w:val="24"/>
        <w:numPr>
          <w:ilvl w:val="0"/>
          <w:numId w:val="14"/>
        </w:numPr>
        <w:tabs>
          <w:tab w:val="left" w:pos="840"/>
        </w:tabs>
        <w:topLinePunct/>
        <w:adjustRightInd w:val="0"/>
        <w:snapToGrid w:val="0"/>
        <w:spacing w:after="224" w:afterLines="75" w:line="300" w:lineRule="auto"/>
        <w:ind w:left="420" w:leftChars="191"/>
        <w:jc w:val="both"/>
        <w:rPr>
          <w:rFonts w:ascii="Arial" w:hAnsi="Arial" w:cs="Arial"/>
          <w:b/>
          <w:snapToGrid w:val="0"/>
          <w:sz w:val="24"/>
          <w:szCs w:val="24"/>
        </w:rPr>
      </w:pPr>
      <w:bookmarkStart w:id="301" w:name="_Toc498200770"/>
      <w:r>
        <w:rPr>
          <w:rFonts w:ascii="Arial" w:hAnsi="Arial" w:cs="Arial"/>
          <w:b/>
          <w:snapToGrid w:val="0"/>
          <w:sz w:val="24"/>
          <w:szCs w:val="24"/>
        </w:rPr>
        <w:t>交互式网站、焦点小组和调查。</w:t>
      </w:r>
      <w:bookmarkEnd w:id="301"/>
    </w:p>
    <w:p w14:paraId="4531CD2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可能需要多种方法来获得IRB需要在审查研究时使用的社区信息。应广泛宣传咨询活动，使社区内尽可能多的不同群体成员了解此类信息（另请参见问题47和48.）</w:t>
      </w:r>
    </w:p>
    <w:p w14:paraId="345D22AE">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02" w:name="77.__How_many_community_consultation_mee"/>
      <w:bookmarkEnd w:id="302"/>
      <w:bookmarkStart w:id="303" w:name="_Toc498200771"/>
      <w:bookmarkStart w:id="304" w:name="_Toc498446506"/>
      <w:r>
        <w:rPr>
          <w:rFonts w:ascii="Arial" w:hAnsi="Arial" w:cs="Arial"/>
          <w:snapToGrid w:val="0"/>
        </w:rPr>
        <w:t>应举行多少次社区咨询会议？</w:t>
      </w:r>
      <w:bookmarkEnd w:id="303"/>
      <w:bookmarkEnd w:id="304"/>
    </w:p>
    <w:p w14:paraId="786D3F80">
      <w:pPr>
        <w:pStyle w:val="6"/>
        <w:topLinePunct/>
        <w:adjustRightInd w:val="0"/>
        <w:snapToGrid w:val="0"/>
        <w:spacing w:after="224" w:afterLines="75" w:line="300" w:lineRule="auto"/>
        <w:ind w:left="0"/>
        <w:jc w:val="both"/>
        <w:rPr>
          <w:rFonts w:ascii="Arial" w:hAnsi="Arial" w:cs="Arial"/>
          <w:snapToGrid w:val="0"/>
        </w:rPr>
      </w:pPr>
      <w:r>
        <w:rPr>
          <w:rFonts w:hint="eastAsia" w:ascii="Arial" w:hAnsi="Arial" w:cs="Arial"/>
          <w:snapToGrid w:val="0"/>
        </w:rPr>
        <w:t>举行</w:t>
      </w:r>
      <w:r>
        <w:rPr>
          <w:rFonts w:ascii="Arial" w:hAnsi="Arial" w:cs="Arial"/>
          <w:snapToGrid w:val="0"/>
        </w:rPr>
        <w:t>的会议次数和咨询的社区成员数量应基于各种因素，例如社区规模，在此类社区内使用的语言，针对性研究人群和异质性。FDA认识到，所有社区咨询过程均不相同，具体取决于所涉及的社区和研究的具体性质。</w:t>
      </w:r>
    </w:p>
    <w:p w14:paraId="72AB3B7F">
      <w:pPr>
        <w:pStyle w:val="3"/>
        <w:numPr>
          <w:ilvl w:val="0"/>
          <w:numId w:val="2"/>
        </w:numPr>
        <w:tabs>
          <w:tab w:val="left" w:pos="567"/>
        </w:tabs>
        <w:topLinePunct/>
        <w:adjustRightInd w:val="0"/>
        <w:snapToGrid w:val="0"/>
        <w:spacing w:after="224" w:afterLines="75" w:line="300" w:lineRule="auto"/>
        <w:ind w:left="0" w:firstLine="0"/>
        <w:jc w:val="both"/>
        <w:rPr>
          <w:rFonts w:ascii="Arial" w:hAnsi="Arial" w:cs="Arial"/>
          <w:b w:val="0"/>
          <w:bCs w:val="0"/>
          <w:snapToGrid w:val="0"/>
        </w:rPr>
      </w:pPr>
      <w:bookmarkStart w:id="305" w:name="IX.__PUBLIC_DISCLOSURE"/>
      <w:bookmarkEnd w:id="305"/>
      <w:bookmarkStart w:id="306" w:name="_Toc498200772"/>
      <w:bookmarkStart w:id="307" w:name="_Toc498446507"/>
      <w:r>
        <w:rPr>
          <w:rFonts w:ascii="Arial" w:hAnsi="Arial" w:cs="Arial"/>
          <w:snapToGrid w:val="0"/>
        </w:rPr>
        <w:t>公开披露</w:t>
      </w:r>
      <w:bookmarkEnd w:id="306"/>
      <w:bookmarkEnd w:id="307"/>
    </w:p>
    <w:p w14:paraId="2EB678B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要求（1）在紧急研究开始前，（2）研究完成后进行公开披露。IRB必须确定和确认已进行公开披露（21 CFR 50.24（a）（7）（ii）和（iii）；21 CFR 56.115（a））。</w:t>
      </w:r>
    </w:p>
    <w:p w14:paraId="7BE49472">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308" w:name="78.__What_is_meant_by_“public_disclosure"/>
      <w:bookmarkEnd w:id="308"/>
      <w:bookmarkStart w:id="309" w:name="_Toc498200773"/>
      <w:bookmarkStart w:id="310" w:name="_Toc498446508"/>
      <w:r>
        <w:rPr>
          <w:rFonts w:ascii="宋体" w:hAnsi="宋体" w:cs="Arial"/>
          <w:snapToGrid w:val="0"/>
        </w:rPr>
        <w:t>“</w:t>
      </w:r>
      <w:r>
        <w:rPr>
          <w:rFonts w:ascii="Arial" w:hAnsi="Arial" w:cs="Arial"/>
          <w:snapToGrid w:val="0"/>
        </w:rPr>
        <w:t>公开披露</w:t>
      </w:r>
      <w:r>
        <w:rPr>
          <w:rFonts w:ascii="宋体" w:hAnsi="宋体" w:cs="Arial"/>
          <w:snapToGrid w:val="0"/>
        </w:rPr>
        <w:t>”</w:t>
      </w:r>
      <w:r>
        <w:rPr>
          <w:rFonts w:ascii="Arial" w:hAnsi="Arial" w:cs="Arial"/>
          <w:snapToGrid w:val="0"/>
        </w:rPr>
        <w:t>是什么意思，其目标是什么？</w:t>
      </w:r>
      <w:bookmarkEnd w:id="309"/>
      <w:bookmarkEnd w:id="310"/>
    </w:p>
    <w:p w14:paraId="5C575D5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FDA认为，术语</w:t>
      </w:r>
      <w:r>
        <w:rPr>
          <w:rFonts w:ascii="宋体" w:hAnsi="宋体" w:cs="Arial"/>
          <w:snapToGrid w:val="0"/>
        </w:rPr>
        <w:t>“</w:t>
      </w:r>
      <w:r>
        <w:rPr>
          <w:rFonts w:ascii="Arial" w:hAnsi="Arial" w:cs="Arial"/>
          <w:snapToGrid w:val="0"/>
        </w:rPr>
        <w:t>公开披露</w:t>
      </w:r>
      <w:r>
        <w:rPr>
          <w:rFonts w:ascii="宋体" w:hAnsi="宋体" w:cs="Arial"/>
          <w:snapToGrid w:val="0"/>
        </w:rPr>
        <w:t>”</w:t>
      </w:r>
      <w:r>
        <w:rPr>
          <w:rFonts w:ascii="Arial" w:hAnsi="Arial" w:cs="Arial"/>
          <w:snapToGrid w:val="0"/>
        </w:rPr>
        <w:t>是指将紧急研究相关信息（即单向沟通）传播给社区、公众和研究者。</w:t>
      </w:r>
    </w:p>
    <w:p w14:paraId="18F1FB0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在开始研究之前进行公开披露的目标是提供足够的信息，以便可以合理假设：更广泛的社区已了解研究计划，其风险和预期收益（请参见</w:t>
      </w:r>
      <w:r>
        <w:rPr>
          <w:rFonts w:ascii="宋体" w:hAnsi="宋体" w:cs="Arial"/>
          <w:snapToGrid w:val="0"/>
        </w:rPr>
        <w:t>“</w:t>
      </w:r>
      <w:r>
        <w:rPr>
          <w:rFonts w:ascii="Arial" w:hAnsi="Arial" w:cs="Arial"/>
          <w:snapToGrid w:val="0"/>
        </w:rPr>
        <w:t>21 CFR 50.24（a）（7）（ii）），以及研究将在未获得大部分研究对象的知情同意的情况下进行的事实。</w:t>
      </w:r>
    </w:p>
    <w:p w14:paraId="1AAA8491">
      <w:pPr>
        <w:rPr>
          <w:rFonts w:ascii="Arial" w:hAnsi="Arial" w:eastAsia="宋体" w:cs="Arial"/>
          <w:snapToGrid w:val="0"/>
          <w:sz w:val="24"/>
          <w:szCs w:val="24"/>
        </w:rPr>
      </w:pPr>
      <w:r>
        <w:rPr>
          <w:rFonts w:ascii="Arial" w:hAnsi="Arial" w:cs="Arial"/>
          <w:snapToGrid w:val="0"/>
        </w:rPr>
        <w:br w:type="page"/>
      </w:r>
    </w:p>
    <w:p w14:paraId="5D9F151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在研究完成后进行公开披露的目的是确保社区、公众和科学研究者了解研究结果。尤其重要时，应向研究者披露根据21 CFR 50.24进行的研究的正面和负面结果，帮助FDA和研究者了解涉及无法同意的弱势受试者的研究。</w:t>
      </w:r>
    </w:p>
    <w:p w14:paraId="2C2C4EE6">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311" w:name="_Toc498200774"/>
      <w:bookmarkStart w:id="312" w:name="_Toc498446509"/>
      <w:r>
        <w:rPr>
          <w:rFonts w:ascii="Arial" w:hAnsi="Arial" w:cs="Arial"/>
          <w:snapToGrid w:val="0"/>
        </w:rPr>
        <w:t>必须在什么时候进行公开披露？</w:t>
      </w:r>
      <w:bookmarkEnd w:id="311"/>
      <w:bookmarkEnd w:id="312"/>
    </w:p>
    <w:p w14:paraId="15479B2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公开披露必须在临床研究开始之前（请参见21 CFR 50.24（a）（7）（ii））和研究完成后进行（请参见21 CFR 50.24（a）（7）（iii））。如果在研究期间获得了新信息，IRB还可以确定需进行附加披露。FDA建议及时进行所有此类披露，且研究完成或终止后的公开披露应在完成或终止后1年内进行（有关研究</w:t>
      </w:r>
      <w:r>
        <w:rPr>
          <w:rFonts w:ascii="宋体" w:hAnsi="宋体" w:cs="Arial"/>
          <w:snapToGrid w:val="0"/>
        </w:rPr>
        <w:t>“</w:t>
      </w:r>
      <w:r>
        <w:rPr>
          <w:rFonts w:ascii="Arial" w:hAnsi="Arial" w:cs="Arial"/>
          <w:snapToGrid w:val="0"/>
        </w:rPr>
        <w:t>完成</w:t>
      </w:r>
      <w:r>
        <w:rPr>
          <w:rFonts w:ascii="宋体" w:hAnsi="宋体" w:cs="Arial"/>
          <w:snapToGrid w:val="0"/>
        </w:rPr>
        <w:t>”</w:t>
      </w:r>
      <w:r>
        <w:rPr>
          <w:rFonts w:ascii="Arial" w:hAnsi="Arial" w:cs="Arial"/>
          <w:snapToGrid w:val="0"/>
        </w:rPr>
        <w:t>和</w:t>
      </w:r>
      <w:r>
        <w:rPr>
          <w:rFonts w:ascii="宋体" w:hAnsi="宋体" w:cs="Arial"/>
          <w:snapToGrid w:val="0"/>
        </w:rPr>
        <w:t>“</w:t>
      </w:r>
      <w:r>
        <w:rPr>
          <w:rFonts w:ascii="Arial" w:hAnsi="Arial" w:cs="Arial"/>
          <w:snapToGrid w:val="0"/>
        </w:rPr>
        <w:t>终止</w:t>
      </w:r>
      <w:r>
        <w:rPr>
          <w:rFonts w:ascii="宋体" w:hAnsi="宋体" w:cs="Arial"/>
          <w:snapToGrid w:val="0"/>
        </w:rPr>
        <w:t>”</w:t>
      </w:r>
      <w:r>
        <w:rPr>
          <w:rFonts w:ascii="Arial" w:hAnsi="Arial" w:cs="Arial"/>
          <w:snapToGrid w:val="0"/>
        </w:rPr>
        <w:t>的讨论，请分别参见问题86和87）。</w:t>
      </w:r>
    </w:p>
    <w:p w14:paraId="06660CFB">
      <w:pPr>
        <w:pStyle w:val="3"/>
        <w:numPr>
          <w:ilvl w:val="0"/>
          <w:numId w:val="15"/>
        </w:numPr>
        <w:tabs>
          <w:tab w:val="left" w:pos="1193"/>
        </w:tabs>
        <w:topLinePunct/>
        <w:adjustRightInd w:val="0"/>
        <w:snapToGrid w:val="0"/>
        <w:spacing w:after="224" w:afterLines="75" w:line="300" w:lineRule="auto"/>
        <w:ind w:left="719" w:leftChars="327" w:firstLine="0"/>
        <w:jc w:val="both"/>
        <w:rPr>
          <w:rFonts w:ascii="Arial" w:hAnsi="Arial" w:cs="Arial"/>
          <w:b w:val="0"/>
          <w:bCs w:val="0"/>
          <w:snapToGrid w:val="0"/>
        </w:rPr>
      </w:pPr>
      <w:bookmarkStart w:id="313" w:name="A.__PUBLIC_DISCLOSURE_BEFORE_THE_STUDY_B"/>
      <w:bookmarkEnd w:id="313"/>
      <w:bookmarkStart w:id="314" w:name="_Toc498446510"/>
      <w:bookmarkStart w:id="315" w:name="_Toc498200775"/>
      <w:r>
        <w:rPr>
          <w:rFonts w:ascii="Arial" w:hAnsi="Arial" w:cs="Arial"/>
          <w:snapToGrid w:val="0"/>
        </w:rPr>
        <w:t>研究开始前的公开披露</w:t>
      </w:r>
      <w:bookmarkEnd w:id="314"/>
      <w:bookmarkEnd w:id="315"/>
    </w:p>
    <w:p w14:paraId="476AC87F">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snapToGrid w:val="0"/>
        </w:rPr>
      </w:pPr>
      <w:bookmarkStart w:id="316" w:name="_Toc498200776"/>
      <w:bookmarkStart w:id="317" w:name="_Toc498446511"/>
      <w:r>
        <w:rPr>
          <w:rFonts w:ascii="Arial" w:hAnsi="Arial" w:cs="Arial"/>
          <w:snapToGrid w:val="0"/>
        </w:rPr>
        <w:t>谁负责研究开始前的公开披露活动？</w:t>
      </w:r>
      <w:bookmarkEnd w:id="316"/>
      <w:bookmarkEnd w:id="317"/>
    </w:p>
    <w:p w14:paraId="4F3F296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IRB必须确定和确认需公开披露的紧急研究相关信息（21 CFR 50.24（a）（7）（ii）和（iii））。</w:t>
      </w:r>
    </w:p>
    <w:p w14:paraId="3BA791B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临床研究者和申办方负责公开披露研究计划、研究风险及预期收益。FDA鼓励申办方与临床研究者及IRB协同合作，尽早筹备公开披露的示范策略和信息。</w:t>
      </w:r>
    </w:p>
    <w:p w14:paraId="0364D5AA">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318" w:name="81.__What_information_must_be_publicly_d"/>
      <w:bookmarkEnd w:id="318"/>
      <w:bookmarkStart w:id="319" w:name="_Toc498200777"/>
      <w:bookmarkStart w:id="320" w:name="_Toc498446512"/>
      <w:r>
        <w:rPr>
          <w:rFonts w:ascii="Arial" w:hAnsi="Arial" w:cs="Arial"/>
          <w:snapToGrid w:val="0"/>
        </w:rPr>
        <w:t>必须公开披露哪些信息？</w:t>
      </w:r>
      <w:bookmarkEnd w:id="319"/>
      <w:bookmarkEnd w:id="320"/>
    </w:p>
    <w:p w14:paraId="26F7BD8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为使社区了解本研究的风险和预期收益，临床研究者和申办方必须向公众披露其研究计划（21 CFR 50.24（a）（7）（ii））。应披露的信息见知情同意书、研究者手册和／或研究方案。与社区协商类似，适当披露应包括：</w:t>
      </w:r>
    </w:p>
    <w:p w14:paraId="2A4F7EEB">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bookmarkStart w:id="321" w:name="OLE_LINK12"/>
      <w:r>
        <w:rPr>
          <w:rFonts w:ascii="Arial" w:hAnsi="Arial" w:eastAsia="宋体" w:cs="Arial"/>
          <w:snapToGrid w:val="0"/>
          <w:sz w:val="24"/>
          <w:szCs w:val="24"/>
        </w:rPr>
        <w:t>研究方案总结、研究设计以及要遵循的程序的描述，包括实验程序标识；</w:t>
      </w:r>
    </w:p>
    <w:p w14:paraId="46C4C454">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其他可用治疗方案的总结以及其风险和收益的已知信息；</w:t>
      </w:r>
    </w:p>
    <w:p w14:paraId="05ACA4E2">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研究的估计期限，并受试者参与研究的预期持续时间；</w:t>
      </w:r>
    </w:p>
    <w:p w14:paraId="19BB94D6">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确定潜在研究对象的方式；</w:t>
      </w:r>
    </w:p>
    <w:p w14:paraId="26F4944B">
      <w:pPr>
        <w:rPr>
          <w:rFonts w:ascii="Arial" w:hAnsi="Arial" w:eastAsia="宋体" w:cs="Arial"/>
          <w:snapToGrid w:val="0"/>
          <w:sz w:val="24"/>
          <w:szCs w:val="24"/>
        </w:rPr>
      </w:pPr>
      <w:r>
        <w:rPr>
          <w:rFonts w:ascii="Arial" w:hAnsi="Arial" w:eastAsia="宋体" w:cs="Arial"/>
          <w:snapToGrid w:val="0"/>
          <w:sz w:val="24"/>
          <w:szCs w:val="24"/>
        </w:rPr>
        <w:br w:type="page"/>
      </w:r>
    </w:p>
    <w:p w14:paraId="119F71AF">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供试品的使用信息，包括对风险和预期收益的均衡描述以及有关不良事件的相关信息；</w:t>
      </w:r>
    </w:p>
    <w:p w14:paraId="2CD907B0">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无法获得大部分研究对象的知情同意的明确声明；</w:t>
      </w:r>
    </w:p>
    <w:p w14:paraId="1D08BEDC">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无法获得大部分研究对象的知情同意的明确声明；</w:t>
      </w:r>
    </w:p>
    <w:p w14:paraId="738EC22E">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知情同意书副本；</w:t>
      </w:r>
    </w:p>
    <w:p w14:paraId="31A4C609">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在施用供试品之前和之后，旨在联系LAR，或如果无法联系LAR，则联系可能反对受试者参与研究的家庭成员，以征得其同意而进行的工作描述。（另请参见问题38-43）；</w:t>
      </w:r>
    </w:p>
    <w:p w14:paraId="71BC4932">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如果IRB确定选择退出机制适当且可行，则社区成员可用于告知其决定（即决定退出研究）的方式描述（例如，</w:t>
      </w:r>
      <w:r>
        <w:rPr>
          <w:rFonts w:hint="eastAsia" w:ascii="Arial" w:hAnsi="Arial" w:eastAsia="宋体" w:cs="Arial"/>
          <w:snapToGrid w:val="0"/>
          <w:sz w:val="24"/>
          <w:szCs w:val="24"/>
        </w:rPr>
        <w:t>使用医疗识别腕带或钱包卡，驾驶执照注释</w:t>
      </w:r>
      <w:r>
        <w:rPr>
          <w:rFonts w:ascii="Arial" w:hAnsi="Arial" w:eastAsia="宋体" w:cs="Arial"/>
          <w:snapToGrid w:val="0"/>
          <w:sz w:val="24"/>
          <w:szCs w:val="24"/>
        </w:rPr>
        <w:t>）（另请参见问题37和68）；</w:t>
      </w:r>
    </w:p>
    <w:p w14:paraId="5F50F2E1">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参与研究的</w:t>
      </w:r>
      <w:r>
        <w:rPr>
          <w:rFonts w:hint="eastAsia" w:ascii="Arial" w:hAnsi="Arial" w:eastAsia="宋体" w:cs="Arial"/>
          <w:snapToGrid w:val="0"/>
          <w:sz w:val="24"/>
          <w:szCs w:val="24"/>
        </w:rPr>
        <w:t>中心</w:t>
      </w:r>
      <w:r>
        <w:rPr>
          <w:rFonts w:ascii="Arial" w:hAnsi="Arial" w:eastAsia="宋体" w:cs="Arial"/>
          <w:snapToGrid w:val="0"/>
          <w:sz w:val="24"/>
          <w:szCs w:val="24"/>
        </w:rPr>
        <w:t>或机构；</w:t>
      </w:r>
    </w:p>
    <w:p w14:paraId="3F829B59">
      <w:pPr>
        <w:pStyle w:val="24"/>
        <w:numPr>
          <w:ilvl w:val="1"/>
          <w:numId w:val="3"/>
        </w:numPr>
        <w:tabs>
          <w:tab w:val="left" w:pos="1199"/>
          <w:tab w:val="left" w:pos="1200"/>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与社区协商期间，社区就研究、产品和／或护理标准提出的看法／担忧以及对研究进行的任何相关修改；和</w:t>
      </w:r>
    </w:p>
    <w:p w14:paraId="16C94C39">
      <w:pPr>
        <w:pStyle w:val="24"/>
        <w:numPr>
          <w:ilvl w:val="1"/>
          <w:numId w:val="3"/>
        </w:numPr>
        <w:tabs>
          <w:tab w:val="left" w:pos="1199"/>
          <w:tab w:val="left" w:pos="1200"/>
        </w:tabs>
        <w:topLinePunct/>
        <w:adjustRightInd w:val="0"/>
        <w:snapToGrid w:val="0"/>
        <w:spacing w:after="224" w:afterLines="75"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可从其处获得更多研究相关信息的人员联系方式。</w:t>
      </w:r>
    </w:p>
    <w:p w14:paraId="5B499D0E">
      <w:pPr>
        <w:tabs>
          <w:tab w:val="left" w:pos="1199"/>
          <w:tab w:val="left" w:pos="1200"/>
        </w:tabs>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t>（有关适当社区协商内容，另请参见问题59）</w:t>
      </w:r>
      <w:bookmarkEnd w:id="321"/>
    </w:p>
    <w:p w14:paraId="545015F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在公布和分发前，申办方和临床研究者应向IRB提交公开披露材料以供审查。此类审查有助于确保材料以进行研究和研究对象所在社区可理解的语言编写，且可能有助于IRB确定并确认将进行公开披露。</w:t>
      </w:r>
    </w:p>
    <w:p w14:paraId="4FC5B8A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请注意，根据21 CFR 50.24进行的研究相关披露信息也应符合研究性药品和器械宣传法规。申办方或研究者不得在宣传材料中声明，研究性新药或器械可安全和有效用于所研究的目的，或以其他方式宣传药品或器械（21 CFR 312.7（a）和812.7（a））。</w:t>
      </w:r>
    </w:p>
    <w:p w14:paraId="5A09D78C">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322" w:name="82.__How_should_public_disclosure_be_car"/>
      <w:bookmarkEnd w:id="322"/>
      <w:bookmarkStart w:id="323" w:name="_Toc498446513"/>
      <w:bookmarkStart w:id="324" w:name="_Toc498200778"/>
      <w:r>
        <w:rPr>
          <w:rFonts w:ascii="Arial" w:hAnsi="Arial" w:cs="Arial"/>
          <w:snapToGrid w:val="0"/>
        </w:rPr>
        <w:t>应如何进行公开披露？</w:t>
      </w:r>
      <w:bookmarkEnd w:id="323"/>
      <w:bookmarkEnd w:id="324"/>
    </w:p>
    <w:p w14:paraId="50CD33F6">
      <w:pPr>
        <w:pStyle w:val="6"/>
        <w:wordWrap w:val="0"/>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FDA建议利用多种论坛和媒体资源广泛传播研究相关信息和获取额外信息的途径。要求</w:t>
      </w:r>
      <w:r>
        <w:rPr>
          <w:rFonts w:ascii="宋体" w:hAnsi="宋体" w:cs="Arial"/>
          <w:snapToGrid w:val="0"/>
        </w:rPr>
        <w:t>“</w:t>
      </w:r>
      <w:r>
        <w:rPr>
          <w:rFonts w:ascii="Arial" w:hAnsi="Arial" w:cs="Arial"/>
          <w:snapToGrid w:val="0"/>
        </w:rPr>
        <w:t>适用临床试验</w:t>
      </w:r>
      <w:r>
        <w:rPr>
          <w:rFonts w:ascii="宋体" w:hAnsi="宋体" w:cs="Arial"/>
          <w:snapToGrid w:val="0"/>
        </w:rPr>
        <w:t>”</w:t>
      </w:r>
      <w:r>
        <w:rPr>
          <w:rFonts w:ascii="Arial" w:hAnsi="Arial" w:cs="Arial"/>
          <w:snapToGrid w:val="0"/>
        </w:rPr>
        <w:t>在国家医学图书馆的临床试验网络清单（</w:t>
      </w:r>
      <w:r>
        <w:fldChar w:fldCharType="begin"/>
      </w:r>
      <w:r>
        <w:instrText xml:space="preserve"> HYPERLINK "http://www.clinicaltrials.gov/" \h </w:instrText>
      </w:r>
      <w:r>
        <w:fldChar w:fldCharType="separate"/>
      </w:r>
      <w:r>
        <w:rPr>
          <w:rFonts w:ascii="Arial" w:hAnsi="Arial" w:cs="Arial"/>
          <w:snapToGrid w:val="0"/>
          <w:color w:val="0000FF"/>
          <w:u w:val="single" w:color="0000FF"/>
        </w:rPr>
        <w:t>http://www.clinicaltrials.gov</w:t>
      </w:r>
      <w:r>
        <w:rPr>
          <w:rFonts w:ascii="Arial" w:hAnsi="Arial" w:cs="Arial"/>
          <w:snapToGrid w:val="0"/>
          <w:color w:val="0000FF"/>
          <w:u w:val="single" w:color="0000FF"/>
        </w:rPr>
        <w:fldChar w:fldCharType="end"/>
      </w:r>
      <w:r>
        <w:rPr>
          <w:rFonts w:ascii="Arial" w:hAnsi="Arial" w:cs="Arial"/>
          <w:snapToGrid w:val="0"/>
        </w:rPr>
        <w:t>）注册研究。</w:t>
      </w:r>
      <w:r>
        <w:rPr>
          <w:rStyle w:val="22"/>
          <w:rFonts w:ascii="Arial" w:hAnsi="Arial" w:cs="Arial"/>
          <w:snapToGrid w:val="0"/>
        </w:rPr>
        <w:footnoteReference w:id="42"/>
      </w:r>
      <w:r>
        <w:rPr>
          <w:rFonts w:ascii="Arial" w:hAnsi="Arial" w:cs="Arial"/>
          <w:snapToGrid w:val="0"/>
        </w:rPr>
        <w:t>（请参见问题19）。申办方还可以考虑在注册信息中引用21 CFR 50.24，以便FDA确定研究已豁免知情同意。</w:t>
      </w:r>
      <w:bookmarkStart w:id="325" w:name="_bookmark137"/>
      <w:bookmarkEnd w:id="325"/>
    </w:p>
    <w:p w14:paraId="71551F49">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5E4D53C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可以进行的其他披露活动包括：</w:t>
      </w:r>
    </w:p>
    <w:p w14:paraId="17E06C3C">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针对社区家庭发送邮件，其中应提供如何获取更多细节的信息；</w:t>
      </w:r>
    </w:p>
    <w:p w14:paraId="17A4F119">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在英语和外语报纸上刊登广告和文章（如适用）（公共外联文件应翻译成机构服务的研究所在地区和受试者所在社区的常用语言。）；</w:t>
      </w:r>
    </w:p>
    <w:p w14:paraId="2DC20182">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在申办方和参与医院的互联网网站上清楚标明链接和信息；</w:t>
      </w:r>
    </w:p>
    <w:p w14:paraId="612121A7">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总结非英语或无家可归人群（居住在可能从中选取研究对象的社区）可能理解的材料；</w:t>
      </w:r>
    </w:p>
    <w:p w14:paraId="0DA7BF95">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在社区、地方政府、公民或患者宣传小组会议上展示或分发信息；</w:t>
      </w:r>
    </w:p>
    <w:p w14:paraId="776D7EE8">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向地方和地区社区领导和第一反映人员发送罕见（如警察、护理人员）；</w:t>
      </w:r>
    </w:p>
    <w:p w14:paraId="3EAA8AEF">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向地方／地区医院工作人员发布公告；</w:t>
      </w:r>
    </w:p>
    <w:p w14:paraId="2FA0C805">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在广播电台或电视节目发布公共服务公告、进行访谈或讨论；</w:t>
      </w:r>
    </w:p>
    <w:p w14:paraId="46262F73">
      <w:pPr>
        <w:pStyle w:val="24"/>
        <w:numPr>
          <w:ilvl w:val="1"/>
          <w:numId w:val="3"/>
        </w:numPr>
        <w:tabs>
          <w:tab w:val="left" w:pos="1218"/>
        </w:tabs>
        <w:topLinePunct/>
        <w:adjustRightInd w:val="0"/>
        <w:snapToGrid w:val="0"/>
        <w:spacing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召开新闻发布会和介绍会；以及</w:t>
      </w:r>
    </w:p>
    <w:p w14:paraId="752A7244">
      <w:pPr>
        <w:pStyle w:val="24"/>
        <w:numPr>
          <w:ilvl w:val="1"/>
          <w:numId w:val="3"/>
        </w:numPr>
        <w:tabs>
          <w:tab w:val="left" w:pos="1218"/>
        </w:tabs>
        <w:topLinePunct/>
        <w:adjustRightInd w:val="0"/>
        <w:snapToGrid w:val="0"/>
        <w:spacing w:after="224" w:afterLines="75" w:line="300" w:lineRule="auto"/>
        <w:ind w:left="1218" w:leftChars="327" w:hanging="499"/>
        <w:jc w:val="both"/>
        <w:rPr>
          <w:rFonts w:ascii="Arial" w:hAnsi="Arial" w:eastAsia="宋体" w:cs="Arial"/>
          <w:snapToGrid w:val="0"/>
          <w:sz w:val="24"/>
          <w:szCs w:val="24"/>
        </w:rPr>
      </w:pPr>
      <w:r>
        <w:rPr>
          <w:rFonts w:ascii="Arial" w:hAnsi="Arial" w:eastAsia="宋体" w:cs="Arial"/>
          <w:snapToGrid w:val="0"/>
          <w:sz w:val="24"/>
          <w:szCs w:val="24"/>
        </w:rPr>
        <w:t>通过医院和机构现有的社区外联项目举行会议或进行系列活动。</w:t>
      </w:r>
    </w:p>
    <w:p w14:paraId="4242D59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FDA认为，其自行或联合进行的以下披露活动不符合21 CFR 50.24：发布法律公告；就研究相关信息向医学专家发送罕见；通知研究所在医院的工作人员。此类活动虽然有用，但为确保符合公开披露要求，其应与其他方法结合开展。</w:t>
      </w:r>
    </w:p>
    <w:p w14:paraId="1A5BCA6E">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26" w:name="_Toc498446514"/>
      <w:bookmarkStart w:id="327" w:name="_Toc498200779"/>
      <w:r>
        <w:rPr>
          <w:rFonts w:ascii="Arial" w:hAnsi="Arial" w:cs="Arial"/>
          <w:snapToGrid w:val="0"/>
        </w:rPr>
        <w:t>IRB将如何处理已公开披露的信息？</w:t>
      </w:r>
      <w:bookmarkEnd w:id="326"/>
      <w:bookmarkEnd w:id="327"/>
    </w:p>
    <w:p w14:paraId="757DCC0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通常，临床研究者将向IRB提供已公开披露的信息（例如，报纸广告副本、广播和电视节目的录音带或台本，社区会议记录），以便IRB确认已进行披露。根据21 CFR 56.109（g）的要求，IRB必须及时向申办方提供所披露信息的副本。申办方反过来应向FDA提供此类副本（21 CFR 312.54（a）和812.47（a））。请参</w:t>
      </w:r>
      <w:r>
        <w:rPr>
          <w:rFonts w:hint="eastAsia" w:ascii="Arial" w:hAnsi="Arial" w:cs="Arial"/>
          <w:snapToGrid w:val="0"/>
        </w:rPr>
        <w:t>见</w:t>
      </w:r>
      <w:r>
        <w:rPr>
          <w:rFonts w:ascii="Arial" w:hAnsi="Arial" w:cs="Arial"/>
          <w:snapToGrid w:val="0"/>
        </w:rPr>
        <w:t>问题84。</w:t>
      </w:r>
    </w:p>
    <w:p w14:paraId="40994B9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也可能存在信息流动可能有所不同的情况，例如，如果申办方向IRB提供信息，同时申办方又将已经披露的信息提交至FDA案卷。</w:t>
      </w:r>
    </w:p>
    <w:p w14:paraId="6D55BAD2">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28" w:name="84.__What_does_the_sponsor_do,_upon_rece"/>
      <w:bookmarkEnd w:id="328"/>
      <w:bookmarkStart w:id="329" w:name="_Toc498446515"/>
      <w:bookmarkStart w:id="330" w:name="_Toc498200780"/>
      <w:r>
        <w:rPr>
          <w:rFonts w:ascii="Arial" w:hAnsi="Arial" w:cs="Arial"/>
          <w:snapToGrid w:val="0"/>
        </w:rPr>
        <w:t>在从IRB收到已公开披露的信息后，申办方应该做什么？</w:t>
      </w:r>
      <w:bookmarkEnd w:id="329"/>
      <w:bookmarkEnd w:id="330"/>
    </w:p>
    <w:p w14:paraId="7F59CC46">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t>在从IRB获得已经公开披露的信息副本后，申办方必须将该信息提交给FDA，即提交给IND / IDE和FDA的案卷管理科，地址如下：</w:t>
      </w:r>
    </w:p>
    <w:p w14:paraId="0CECF0B8">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37119308">
      <w:pPr>
        <w:pStyle w:val="6"/>
        <w:topLinePunct/>
        <w:adjustRightInd w:val="0"/>
        <w:snapToGrid w:val="0"/>
        <w:spacing w:line="300" w:lineRule="auto"/>
        <w:ind w:left="0"/>
        <w:jc w:val="both"/>
        <w:rPr>
          <w:rFonts w:ascii="Arial" w:hAnsi="Arial" w:cs="Arial"/>
          <w:snapToGrid w:val="0"/>
        </w:rPr>
      </w:pPr>
      <w:r>
        <w:rPr>
          <w:rFonts w:ascii="Arial" w:hAnsi="Arial" w:cs="Arial"/>
          <w:snapToGrid w:val="0"/>
        </w:rPr>
        <w:t xml:space="preserve">案卷编号95S-0158 （IND#/IDE#） </w:t>
      </w:r>
    </w:p>
    <w:p w14:paraId="6BE8C497">
      <w:pPr>
        <w:pStyle w:val="6"/>
        <w:topLinePunct/>
        <w:adjustRightInd w:val="0"/>
        <w:snapToGrid w:val="0"/>
        <w:spacing w:line="300" w:lineRule="auto"/>
        <w:ind w:left="0"/>
        <w:jc w:val="both"/>
        <w:rPr>
          <w:rFonts w:ascii="Arial" w:hAnsi="Arial" w:cs="Arial"/>
          <w:snapToGrid w:val="0"/>
        </w:rPr>
      </w:pPr>
      <w:r>
        <w:rPr>
          <w:rFonts w:ascii="Arial" w:hAnsi="Arial" w:cs="Arial"/>
          <w:snapToGrid w:val="0"/>
        </w:rPr>
        <w:t>案卷管理科（HFA-305）</w:t>
      </w:r>
    </w:p>
    <w:p w14:paraId="75088DA6">
      <w:pPr>
        <w:pStyle w:val="6"/>
        <w:topLinePunct/>
        <w:adjustRightInd w:val="0"/>
        <w:snapToGrid w:val="0"/>
        <w:spacing w:line="300" w:lineRule="auto"/>
        <w:ind w:left="0"/>
        <w:jc w:val="both"/>
        <w:rPr>
          <w:rFonts w:ascii="Arial" w:hAnsi="Arial" w:cs="Arial"/>
          <w:snapToGrid w:val="0"/>
        </w:rPr>
      </w:pPr>
      <w:r>
        <w:rPr>
          <w:rFonts w:ascii="Arial" w:hAnsi="Arial" w:cs="Arial"/>
          <w:snapToGrid w:val="0"/>
        </w:rPr>
        <w:t>食品药品监督管理局</w:t>
      </w:r>
    </w:p>
    <w:p w14:paraId="642F00B4">
      <w:pPr>
        <w:pStyle w:val="6"/>
        <w:topLinePunct/>
        <w:adjustRightInd w:val="0"/>
        <w:snapToGrid w:val="0"/>
        <w:spacing w:line="300" w:lineRule="auto"/>
        <w:ind w:left="0"/>
        <w:jc w:val="both"/>
        <w:rPr>
          <w:rFonts w:ascii="Arial" w:hAnsi="Arial" w:cs="Arial"/>
          <w:snapToGrid w:val="0"/>
        </w:rPr>
      </w:pPr>
      <w:r>
        <w:rPr>
          <w:rFonts w:ascii="Arial" w:hAnsi="Arial" w:cs="Arial"/>
          <w:snapToGrid w:val="0"/>
        </w:rPr>
        <w:t>Room 1061</w:t>
      </w:r>
    </w:p>
    <w:p w14:paraId="7A3AECB4">
      <w:pPr>
        <w:pStyle w:val="6"/>
        <w:topLinePunct/>
        <w:adjustRightInd w:val="0"/>
        <w:snapToGrid w:val="0"/>
        <w:spacing w:line="300" w:lineRule="auto"/>
        <w:ind w:left="0"/>
        <w:jc w:val="both"/>
        <w:rPr>
          <w:rFonts w:ascii="Arial" w:hAnsi="Arial" w:cs="Arial"/>
          <w:snapToGrid w:val="0"/>
        </w:rPr>
      </w:pPr>
      <w:r>
        <w:rPr>
          <w:rFonts w:ascii="Arial" w:hAnsi="Arial" w:cs="Arial"/>
          <w:snapToGrid w:val="0"/>
        </w:rPr>
        <w:t>5630 Fishers Lane</w:t>
      </w:r>
    </w:p>
    <w:p w14:paraId="1817654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Rockville，MD 20852</w:t>
      </w:r>
    </w:p>
    <w:p w14:paraId="6D5AB86F">
      <w:pPr>
        <w:pStyle w:val="6"/>
        <w:topLinePunct/>
        <w:adjustRightInd w:val="0"/>
        <w:snapToGrid w:val="0"/>
        <w:spacing w:line="300" w:lineRule="auto"/>
        <w:ind w:left="0"/>
        <w:jc w:val="both"/>
        <w:rPr>
          <w:rFonts w:ascii="Arial" w:hAnsi="Arial" w:cs="Arial"/>
          <w:snapToGrid w:val="0"/>
        </w:rPr>
      </w:pPr>
      <w:r>
        <w:rPr>
          <w:rFonts w:ascii="Arial" w:hAnsi="Arial" w:cs="Arial"/>
          <w:snapToGrid w:val="0"/>
        </w:rPr>
        <w:t>电话：（301）827-6860</w:t>
      </w:r>
    </w:p>
    <w:p w14:paraId="06FD7AD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传真：（301）827-6870</w:t>
      </w:r>
    </w:p>
    <w:p w14:paraId="47797C5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请参见21 CFR 56.109（g），21 CFR 312.54（a）和21 CFR 812.47（a）。</w:t>
      </w:r>
    </w:p>
    <w:p w14:paraId="06019024">
      <w:pPr>
        <w:pStyle w:val="6"/>
        <w:topLinePunct/>
        <w:adjustRightInd w:val="0"/>
        <w:snapToGrid w:val="0"/>
        <w:spacing w:after="224" w:afterLines="75" w:line="300" w:lineRule="auto"/>
        <w:ind w:left="0"/>
        <w:rPr>
          <w:rFonts w:ascii="Arial" w:hAnsi="Arial" w:cs="Arial"/>
          <w:snapToGrid w:val="0"/>
        </w:rPr>
      </w:pPr>
      <w:r>
        <w:rPr>
          <w:rFonts w:ascii="Arial" w:hAnsi="Arial" w:cs="Arial"/>
          <w:snapToGrid w:val="0"/>
        </w:rPr>
        <w:t>如果公众成员希望查询提交给案卷管理科的公开信息，可亲自访问FDA的案卷管理科，查阅线上数据</w:t>
      </w:r>
      <w:r>
        <w:fldChar w:fldCharType="begin"/>
      </w:r>
      <w:r>
        <w:instrText xml:space="preserve"> HYPERLINK "http://www.regulations.gov/search/Regs/home.html%23docketDetail?R=FDA-1995-S-0036)" \h </w:instrText>
      </w:r>
      <w:r>
        <w:fldChar w:fldCharType="separate"/>
      </w:r>
      <w:r>
        <w:rPr>
          <w:rFonts w:ascii="Arial" w:hAnsi="Arial" w:cs="Arial"/>
          <w:snapToGrid w:val="0"/>
        </w:rPr>
        <w:t>（http://www.regulations.gov/search/Regs/home.htm</w:t>
      </w:r>
      <w:r>
        <w:rPr>
          <w:rFonts w:ascii="Arial" w:hAnsi="Arial" w:cs="Arial"/>
          <w:snapToGrid w:val="0"/>
        </w:rPr>
        <w:fldChar w:fldCharType="end"/>
      </w:r>
      <w:r>
        <w:rPr>
          <w:rFonts w:ascii="Arial" w:hAnsi="Arial" w:cs="Arial"/>
          <w:snapToGrid w:val="0"/>
        </w:rPr>
        <w:t>l</w:t>
      </w:r>
      <w:r>
        <w:fldChar w:fldCharType="begin"/>
      </w:r>
      <w:r>
        <w:instrText xml:space="preserve"> HYPERLINK "http://www.regulations.gov/search/Regs/home.html%23docketDetail?R=FDA-1995-S-0036)" \h </w:instrText>
      </w:r>
      <w:r>
        <w:fldChar w:fldCharType="separate"/>
      </w:r>
      <w:r>
        <w:rPr>
          <w:rFonts w:ascii="Arial" w:hAnsi="Arial" w:cs="Arial"/>
          <w:snapToGrid w:val="0"/>
        </w:rPr>
        <w:t>#docketDetail?R=FDA-1995-S-0036）</w:t>
      </w:r>
      <w:r>
        <w:rPr>
          <w:rFonts w:ascii="Arial" w:hAnsi="Arial" w:cs="Arial"/>
          <w:snapToGrid w:val="0"/>
        </w:rPr>
        <w:fldChar w:fldCharType="end"/>
      </w:r>
      <w:r>
        <w:rPr>
          <w:rFonts w:ascii="Arial" w:hAnsi="Arial" w:cs="Arial"/>
          <w:snapToGrid w:val="0"/>
        </w:rPr>
        <w:t>，或向FDA发送信息自由法案请求，要求提供副本，地址如下（21 CFR 312.130（d）和812.38）：</w:t>
      </w:r>
    </w:p>
    <w:p w14:paraId="73615456">
      <w:pPr>
        <w:pStyle w:val="6"/>
        <w:topLinePunct/>
        <w:adjustRightInd w:val="0"/>
        <w:snapToGrid w:val="0"/>
        <w:spacing w:line="300" w:lineRule="auto"/>
        <w:ind w:left="0"/>
        <w:jc w:val="both"/>
        <w:rPr>
          <w:rFonts w:ascii="Arial" w:hAnsi="Arial" w:cs="Arial"/>
          <w:snapToGrid w:val="0"/>
        </w:rPr>
      </w:pPr>
      <w:r>
        <w:rPr>
          <w:rFonts w:ascii="Arial" w:hAnsi="Arial" w:cs="Arial"/>
          <w:snapToGrid w:val="0"/>
        </w:rPr>
        <w:t>食品药品监督管理局</w:t>
      </w:r>
    </w:p>
    <w:p w14:paraId="73079E51">
      <w:pPr>
        <w:pStyle w:val="6"/>
        <w:topLinePunct/>
        <w:adjustRightInd w:val="0"/>
        <w:snapToGrid w:val="0"/>
        <w:spacing w:line="300" w:lineRule="auto"/>
        <w:ind w:left="0"/>
        <w:jc w:val="both"/>
        <w:rPr>
          <w:rFonts w:ascii="Arial" w:hAnsi="Arial" w:cs="Arial"/>
          <w:snapToGrid w:val="0"/>
        </w:rPr>
      </w:pPr>
      <w:r>
        <w:rPr>
          <w:rFonts w:ascii="Arial" w:hAnsi="Arial" w:cs="Arial"/>
          <w:snapToGrid w:val="0"/>
        </w:rPr>
        <w:t>信息自由部（HFI-35）</w:t>
      </w:r>
    </w:p>
    <w:p w14:paraId="77ED6D70">
      <w:pPr>
        <w:pStyle w:val="6"/>
        <w:topLinePunct/>
        <w:adjustRightInd w:val="0"/>
        <w:snapToGrid w:val="0"/>
        <w:spacing w:line="300" w:lineRule="auto"/>
        <w:ind w:left="0"/>
        <w:jc w:val="both"/>
        <w:rPr>
          <w:rFonts w:ascii="Arial" w:hAnsi="Arial" w:cs="Arial"/>
          <w:snapToGrid w:val="0"/>
        </w:rPr>
      </w:pPr>
      <w:r>
        <w:rPr>
          <w:rFonts w:ascii="Arial" w:hAnsi="Arial" w:cs="Arial"/>
          <w:snapToGrid w:val="0"/>
        </w:rPr>
        <w:t>5600 Fishers Lane</w:t>
      </w:r>
    </w:p>
    <w:p w14:paraId="6A8C47D0">
      <w:pPr>
        <w:pStyle w:val="6"/>
        <w:topLinePunct/>
        <w:adjustRightInd w:val="0"/>
        <w:snapToGrid w:val="0"/>
        <w:spacing w:line="300" w:lineRule="auto"/>
        <w:ind w:left="0"/>
        <w:jc w:val="both"/>
        <w:rPr>
          <w:rFonts w:ascii="Arial" w:hAnsi="Arial" w:cs="Arial"/>
          <w:snapToGrid w:val="0"/>
        </w:rPr>
      </w:pPr>
      <w:r>
        <w:rPr>
          <w:rFonts w:ascii="Arial" w:hAnsi="Arial" w:cs="Arial"/>
          <w:snapToGrid w:val="0"/>
        </w:rPr>
        <w:t>Rockville，MD 20857</w:t>
      </w:r>
    </w:p>
    <w:p w14:paraId="6E7E64E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电话：（301）827-6500</w:t>
      </w:r>
    </w:p>
    <w:p w14:paraId="119E70C6">
      <w:pPr>
        <w:pStyle w:val="3"/>
        <w:numPr>
          <w:ilvl w:val="0"/>
          <w:numId w:val="15"/>
        </w:numPr>
        <w:tabs>
          <w:tab w:val="left" w:pos="1181"/>
        </w:tabs>
        <w:topLinePunct/>
        <w:adjustRightInd w:val="0"/>
        <w:snapToGrid w:val="0"/>
        <w:spacing w:after="224" w:afterLines="75" w:line="300" w:lineRule="auto"/>
        <w:ind w:left="719" w:leftChars="327" w:firstLine="0"/>
        <w:jc w:val="both"/>
        <w:rPr>
          <w:rFonts w:ascii="Arial" w:hAnsi="Arial" w:cs="Arial"/>
          <w:snapToGrid w:val="0"/>
        </w:rPr>
      </w:pPr>
      <w:bookmarkStart w:id="331" w:name="B.__PUBLIC_DISCLOSURE_AFTER_THE_STUDY_IS"/>
      <w:bookmarkEnd w:id="331"/>
      <w:bookmarkStart w:id="332" w:name="_Toc498200781"/>
      <w:bookmarkStart w:id="333" w:name="_Toc498446516"/>
      <w:r>
        <w:rPr>
          <w:rFonts w:ascii="Arial" w:hAnsi="Arial" w:cs="Arial"/>
          <w:snapToGrid w:val="0"/>
        </w:rPr>
        <w:t>研究完成或终止后的公开披露</w:t>
      </w:r>
      <w:bookmarkEnd w:id="332"/>
      <w:bookmarkEnd w:id="333"/>
    </w:p>
    <w:p w14:paraId="23E737FB">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34" w:name="85.__What_must_be_disclosed_following_co"/>
      <w:bookmarkEnd w:id="334"/>
      <w:bookmarkStart w:id="335" w:name="_Toc498446517"/>
      <w:bookmarkStart w:id="336" w:name="_Toc498200782"/>
      <w:r>
        <w:rPr>
          <w:rFonts w:ascii="Arial" w:hAnsi="Arial" w:cs="Arial"/>
          <w:snapToGrid w:val="0"/>
        </w:rPr>
        <w:t>完成临床研究后必须披露哪些信息？</w:t>
      </w:r>
      <w:bookmarkEnd w:id="335"/>
      <w:bookmarkEnd w:id="336"/>
    </w:p>
    <w:p w14:paraId="64D67D0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临床研究完成后，IRB必须确定和确认，将向社区和其他研究者披露足够的信息（包括研究人群的人口特征和研究结果）（21 CFR 50.24（a）（7）（iii））。</w:t>
      </w:r>
      <w:r>
        <w:rPr>
          <w:rStyle w:val="22"/>
          <w:rFonts w:ascii="Arial" w:hAnsi="Arial" w:cs="Arial"/>
          <w:snapToGrid w:val="0"/>
        </w:rPr>
        <w:footnoteReference w:id="43"/>
      </w:r>
      <w:r>
        <w:rPr>
          <w:rFonts w:ascii="Arial" w:hAnsi="Arial" w:cs="Arial"/>
          <w:snapToGrid w:val="0"/>
        </w:rPr>
        <w:t>FDA建议申办方在披露之前向IRB提供信息以供审查。</w:t>
      </w:r>
    </w:p>
    <w:p w14:paraId="2F635B23">
      <w:pPr>
        <w:pStyle w:val="6"/>
        <w:topLinePunct/>
        <w:adjustRightInd w:val="0"/>
        <w:snapToGrid w:val="0"/>
        <w:spacing w:line="300" w:lineRule="auto"/>
        <w:ind w:left="0"/>
        <w:jc w:val="both"/>
        <w:rPr>
          <w:rFonts w:ascii="Arial" w:hAnsi="Arial" w:cs="Arial"/>
          <w:snapToGrid w:val="0"/>
        </w:rPr>
      </w:pPr>
      <w:r>
        <w:rPr>
          <w:rFonts w:ascii="Arial" w:hAnsi="Arial" w:cs="Arial"/>
          <w:snapToGrid w:val="0"/>
        </w:rPr>
        <w:t>所披露的信息应提供足够的细节，以便能够清楚了解研究设计及其结果（正面结果和负面结果），包括：</w:t>
      </w:r>
    </w:p>
    <w:p w14:paraId="6900DEBE">
      <w:pPr>
        <w:pStyle w:val="24"/>
        <w:numPr>
          <w:ilvl w:val="0"/>
          <w:numId w:val="16"/>
        </w:numPr>
        <w:tabs>
          <w:tab w:val="left" w:pos="1624"/>
        </w:tabs>
        <w:topLinePunct/>
        <w:adjustRightInd w:val="0"/>
        <w:snapToGrid w:val="0"/>
        <w:spacing w:line="300" w:lineRule="auto"/>
        <w:ind w:left="1276" w:leftChars="580" w:firstLine="0"/>
        <w:jc w:val="both"/>
        <w:rPr>
          <w:rFonts w:ascii="Arial" w:hAnsi="Arial" w:eastAsia="宋体" w:cs="Arial"/>
          <w:snapToGrid w:val="0"/>
          <w:sz w:val="24"/>
          <w:szCs w:val="24"/>
        </w:rPr>
      </w:pPr>
      <w:r>
        <w:rPr>
          <w:rFonts w:ascii="Arial" w:hAnsi="Arial" w:eastAsia="宋体" w:cs="Arial"/>
          <w:snapToGrid w:val="0"/>
          <w:sz w:val="24"/>
          <w:szCs w:val="24"/>
        </w:rPr>
        <w:t>关于研究主要结果的信息；</w:t>
      </w:r>
    </w:p>
    <w:p w14:paraId="616E02D4">
      <w:pPr>
        <w:pStyle w:val="24"/>
        <w:numPr>
          <w:ilvl w:val="0"/>
          <w:numId w:val="16"/>
        </w:numPr>
        <w:tabs>
          <w:tab w:val="left" w:pos="1624"/>
        </w:tabs>
        <w:topLinePunct/>
        <w:adjustRightInd w:val="0"/>
        <w:snapToGrid w:val="0"/>
        <w:spacing w:line="300" w:lineRule="auto"/>
        <w:ind w:left="1276" w:leftChars="580" w:firstLine="0"/>
        <w:jc w:val="both"/>
        <w:rPr>
          <w:rFonts w:ascii="Arial" w:hAnsi="Arial" w:eastAsia="宋体" w:cs="Arial"/>
          <w:snapToGrid w:val="0"/>
          <w:sz w:val="24"/>
          <w:szCs w:val="24"/>
        </w:rPr>
      </w:pPr>
      <w:r>
        <w:rPr>
          <w:rFonts w:ascii="Arial" w:hAnsi="Arial" w:eastAsia="宋体" w:cs="Arial"/>
          <w:snapToGrid w:val="0"/>
          <w:sz w:val="24"/>
          <w:szCs w:val="24"/>
        </w:rPr>
        <w:t>与供试品有关的不良事件的数量和性质；</w:t>
      </w:r>
    </w:p>
    <w:p w14:paraId="13F20A36">
      <w:pPr>
        <w:pStyle w:val="24"/>
        <w:numPr>
          <w:ilvl w:val="0"/>
          <w:numId w:val="16"/>
        </w:numPr>
        <w:tabs>
          <w:tab w:val="left" w:pos="1624"/>
        </w:tabs>
        <w:topLinePunct/>
        <w:adjustRightInd w:val="0"/>
        <w:snapToGrid w:val="0"/>
        <w:spacing w:after="224" w:afterLines="75" w:line="300" w:lineRule="auto"/>
        <w:ind w:left="1276" w:leftChars="580" w:firstLine="0"/>
        <w:jc w:val="both"/>
        <w:rPr>
          <w:rFonts w:ascii="Arial" w:hAnsi="Arial" w:eastAsia="宋体" w:cs="Arial"/>
          <w:snapToGrid w:val="0"/>
          <w:sz w:val="24"/>
          <w:szCs w:val="24"/>
        </w:rPr>
      </w:pPr>
      <w:r>
        <w:rPr>
          <w:rFonts w:ascii="Arial" w:hAnsi="Arial" w:eastAsia="宋体" w:cs="Arial"/>
          <w:snapToGrid w:val="0"/>
          <w:sz w:val="24"/>
          <w:szCs w:val="24"/>
        </w:rPr>
        <w:t>研究是否终止，以及终止依据。</w:t>
      </w:r>
    </w:p>
    <w:p w14:paraId="57C4880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请注意，根据21 CFR 50.24进行的研究相关披露信息也应符合研究性药品和器械宣传法规。申办方或研究者不得在宣传材料中声明，研究性新药或器械可安全和有效用于所研究的目的，或以其他方式宣传药品或器械（21 CFR 312.7（a）和812.7（a））。</w:t>
      </w:r>
    </w:p>
    <w:p w14:paraId="5E5C2A07">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37" w:name="_bookmark142"/>
      <w:bookmarkEnd w:id="337"/>
      <w:bookmarkStart w:id="338" w:name="86.__What_is_meant_by_“completion”_of_th"/>
      <w:bookmarkEnd w:id="338"/>
      <w:bookmarkStart w:id="339" w:name="_Toc498446518"/>
      <w:bookmarkStart w:id="340" w:name="_Toc498200783"/>
      <w:r>
        <w:rPr>
          <w:rFonts w:ascii="Arial" w:hAnsi="Arial" w:cs="Arial"/>
          <w:snapToGrid w:val="0"/>
        </w:rPr>
        <w:t>临床研究</w:t>
      </w:r>
      <w:r>
        <w:rPr>
          <w:rFonts w:ascii="宋体" w:hAnsi="宋体" w:cs="Arial"/>
          <w:snapToGrid w:val="0"/>
        </w:rPr>
        <w:t>“</w:t>
      </w:r>
      <w:r>
        <w:rPr>
          <w:rFonts w:ascii="Arial" w:hAnsi="Arial" w:cs="Arial"/>
          <w:snapToGrid w:val="0"/>
        </w:rPr>
        <w:t>完成</w:t>
      </w:r>
      <w:r>
        <w:rPr>
          <w:rFonts w:ascii="宋体" w:hAnsi="宋体" w:cs="Arial"/>
          <w:snapToGrid w:val="0"/>
        </w:rPr>
        <w:t>”</w:t>
      </w:r>
      <w:r>
        <w:rPr>
          <w:rFonts w:ascii="Arial" w:hAnsi="Arial" w:cs="Arial"/>
          <w:snapToGrid w:val="0"/>
        </w:rPr>
        <w:t>是什么意思？</w:t>
      </w:r>
      <w:bookmarkEnd w:id="339"/>
      <w:bookmarkEnd w:id="340"/>
    </w:p>
    <w:p w14:paraId="78E42FA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完成是指成功招募所有研究对象和已根据临床方案成功对所有受试者进行主要端点数据随访的日期。对于涉及多个研究地点的研究，申办方可以认为，在所有研究地点的数据已提交给申办方时，研究已完成。</w:t>
      </w:r>
    </w:p>
    <w:p w14:paraId="1F5F9DBD">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41" w:name="87.__What_is_meant_by_“termination”_of_t"/>
      <w:bookmarkEnd w:id="341"/>
      <w:bookmarkStart w:id="342" w:name="_Toc498446519"/>
      <w:bookmarkStart w:id="343" w:name="_Toc498200784"/>
      <w:r>
        <w:rPr>
          <w:rFonts w:ascii="Arial" w:hAnsi="Arial" w:cs="Arial"/>
          <w:snapToGrid w:val="0"/>
        </w:rPr>
        <w:t>临床研究</w:t>
      </w:r>
      <w:r>
        <w:rPr>
          <w:rFonts w:ascii="宋体" w:hAnsi="宋体" w:cs="Arial"/>
          <w:snapToGrid w:val="0"/>
        </w:rPr>
        <w:t>“</w:t>
      </w:r>
      <w:r>
        <w:rPr>
          <w:rFonts w:ascii="Arial" w:hAnsi="Arial" w:cs="Arial"/>
          <w:snapToGrid w:val="0"/>
        </w:rPr>
        <w:t>终止</w:t>
      </w:r>
      <w:r>
        <w:rPr>
          <w:rFonts w:ascii="宋体" w:hAnsi="宋体" w:cs="Arial"/>
          <w:snapToGrid w:val="0"/>
        </w:rPr>
        <w:t>”</w:t>
      </w:r>
      <w:r>
        <w:rPr>
          <w:rFonts w:ascii="Arial" w:hAnsi="Arial" w:cs="Arial"/>
          <w:snapToGrid w:val="0"/>
        </w:rPr>
        <w:t>是什么意思？</w:t>
      </w:r>
      <w:bookmarkEnd w:id="342"/>
      <w:bookmarkEnd w:id="343"/>
    </w:p>
    <w:p w14:paraId="6F84791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临床研究终止是指研究在其计划完成日期之前结束或停止的情况（例如，如果数据监测委员会确定，在对研究数据进行中期分析之后，在伦理上需要终止研究）。</w:t>
      </w:r>
      <w:r>
        <w:rPr>
          <w:rStyle w:val="22"/>
          <w:rFonts w:ascii="Arial" w:hAnsi="Arial" w:cs="Arial"/>
          <w:snapToGrid w:val="0"/>
        </w:rPr>
        <w:footnoteReference w:id="44"/>
      </w:r>
    </w:p>
    <w:p w14:paraId="09535198">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44" w:name="88.__Does_FDA_expect_sponsors_to_publicl"/>
      <w:bookmarkEnd w:id="344"/>
      <w:bookmarkStart w:id="345" w:name="_Toc498446520"/>
      <w:bookmarkStart w:id="346" w:name="_Toc498200785"/>
      <w:r>
        <w:rPr>
          <w:rFonts w:ascii="Arial" w:hAnsi="Arial" w:cs="Arial"/>
          <w:snapToGrid w:val="0"/>
        </w:rPr>
        <w:t>FDA是否希望申办方公开披露有关已终止／中止研究的信息？</w:t>
      </w:r>
      <w:bookmarkEnd w:id="345"/>
      <w:bookmarkEnd w:id="346"/>
    </w:p>
    <w:p w14:paraId="7D2822C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是。FDA认为，除需披露有关已完成研究的信息外，申办方应以相同方式公开披露有关根据21 CFR 50.24进行，但已终止或中止的研究相关信息。请注意，申办方必须在研究终止或中止时向FDA报告（21 CFR 312.31（a）（2），812.150 （b）（7）），且FDA还希望向公众通报终止／中止。</w:t>
      </w:r>
    </w:p>
    <w:p w14:paraId="47521A2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本机构先前已声明，进行涉及无法同意的受试者的临床研究时，必须提供科学依据；如果先前研究已经提供了具体问题的科学答案，应与研究界广泛分享此信息。为了限制涉及无法提供知情同意的受试者的研究数量，FDA认为，</w:t>
      </w:r>
      <w:r>
        <w:rPr>
          <w:rFonts w:ascii="宋体" w:hAnsi="宋体" w:cs="Arial"/>
          <w:snapToGrid w:val="0"/>
        </w:rPr>
        <w:t>“</w:t>
      </w:r>
      <w:r>
        <w:rPr>
          <w:rFonts w:ascii="Arial" w:hAnsi="Arial" w:cs="Arial"/>
          <w:snapToGrid w:val="0"/>
        </w:rPr>
        <w:t>与科学界广泛分享证明和负面的研究成果可以减少或消除对他人已进行和验证的研究的不必要重复。</w:t>
      </w:r>
      <w:r>
        <w:rPr>
          <w:rFonts w:ascii="宋体" w:hAnsi="宋体" w:cs="Arial"/>
          <w:snapToGrid w:val="0"/>
        </w:rPr>
        <w:t>”</w:t>
      </w:r>
      <w:r>
        <w:rPr>
          <w:rStyle w:val="22"/>
          <w:rFonts w:ascii="宋体" w:hAnsi="宋体" w:cs="Arial"/>
          <w:snapToGrid w:val="0"/>
        </w:rPr>
        <w:footnoteReference w:id="45"/>
      </w:r>
      <w:r>
        <w:rPr>
          <w:rFonts w:ascii="Arial" w:hAnsi="Arial" w:cs="Arial"/>
          <w:snapToGrid w:val="0"/>
        </w:rPr>
        <w:t xml:space="preserve"> </w:t>
      </w:r>
    </w:p>
    <w:p w14:paraId="1B8CB03A">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347" w:name="_Toc498200786"/>
      <w:bookmarkStart w:id="348" w:name="_Toc498446521"/>
      <w:r>
        <w:rPr>
          <w:rFonts w:ascii="Arial" w:hAnsi="Arial" w:cs="Arial"/>
          <w:snapToGrid w:val="0"/>
        </w:rPr>
        <w:t>谁负责在研究完成或终止之后披露研究相关信息？</w:t>
      </w:r>
      <w:bookmarkEnd w:id="347"/>
      <w:bookmarkEnd w:id="348"/>
    </w:p>
    <w:p w14:paraId="71640B27">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申办方负责分析总体研究结果，包括研究人群的人口特征，以及确保公布和／或报告此类结果。</w:t>
      </w:r>
    </w:p>
    <w:p w14:paraId="555EACE1">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49" w:name="_Toc498446522"/>
      <w:bookmarkStart w:id="350" w:name="_Toc498200787"/>
      <w:r>
        <w:rPr>
          <w:rFonts w:ascii="Arial" w:hAnsi="Arial" w:cs="Arial"/>
          <w:snapToGrid w:val="0"/>
        </w:rPr>
        <w:t>申办方应该在什么时候披露研究结果？</w:t>
      </w:r>
      <w:bookmarkEnd w:id="349"/>
      <w:bookmarkEnd w:id="350"/>
    </w:p>
    <w:p w14:paraId="25EA4CA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应在研究完成或终止后的合理时间内向社区披露研究结果。对于多中心研究，披露可能需要在申办方分析完所有地点的数据后进行。FDA建议，此类披露应在研究完成或终止之日起1年内进行（有关研究</w:t>
      </w:r>
      <w:r>
        <w:rPr>
          <w:rFonts w:ascii="宋体" w:hAnsi="宋体" w:cs="Arial"/>
          <w:snapToGrid w:val="0"/>
        </w:rPr>
        <w:t>“</w:t>
      </w:r>
      <w:r>
        <w:rPr>
          <w:rFonts w:ascii="Arial" w:hAnsi="Arial" w:cs="Arial"/>
          <w:snapToGrid w:val="0"/>
        </w:rPr>
        <w:t>完成</w:t>
      </w:r>
      <w:r>
        <w:rPr>
          <w:rFonts w:ascii="宋体" w:hAnsi="宋体" w:cs="Arial"/>
          <w:snapToGrid w:val="0"/>
        </w:rPr>
        <w:t>”</w:t>
      </w:r>
      <w:r>
        <w:rPr>
          <w:rFonts w:ascii="Arial" w:hAnsi="Arial" w:cs="Arial"/>
          <w:snapToGrid w:val="0"/>
        </w:rPr>
        <w:t>和</w:t>
      </w:r>
      <w:r>
        <w:rPr>
          <w:rFonts w:ascii="宋体" w:hAnsi="宋体" w:cs="Arial"/>
          <w:snapToGrid w:val="0"/>
        </w:rPr>
        <w:t>“</w:t>
      </w:r>
      <w:r>
        <w:rPr>
          <w:rFonts w:ascii="Arial" w:hAnsi="Arial" w:cs="Arial"/>
          <w:snapToGrid w:val="0"/>
        </w:rPr>
        <w:t>终止</w:t>
      </w:r>
      <w:r>
        <w:rPr>
          <w:rFonts w:ascii="宋体" w:hAnsi="宋体" w:cs="Arial"/>
          <w:snapToGrid w:val="0"/>
        </w:rPr>
        <w:t>”</w:t>
      </w:r>
      <w:r>
        <w:rPr>
          <w:rFonts w:ascii="Arial" w:hAnsi="Arial" w:cs="Arial"/>
          <w:snapToGrid w:val="0"/>
        </w:rPr>
        <w:t>的讨论，另请分别参见问题86和87）。</w:t>
      </w:r>
    </w:p>
    <w:p w14:paraId="33C3E9C1">
      <w:pPr>
        <w:pStyle w:val="4"/>
        <w:numPr>
          <w:ilvl w:val="0"/>
          <w:numId w:val="3"/>
        </w:numPr>
        <w:tabs>
          <w:tab w:val="left" w:pos="540"/>
        </w:tabs>
        <w:topLinePunct/>
        <w:adjustRightInd w:val="0"/>
        <w:snapToGrid w:val="0"/>
        <w:spacing w:after="224" w:afterLines="75" w:line="300" w:lineRule="auto"/>
        <w:ind w:left="540" w:hanging="540"/>
        <w:jc w:val="both"/>
        <w:rPr>
          <w:rFonts w:ascii="Arial" w:hAnsi="Arial" w:cs="Arial"/>
          <w:b w:val="0"/>
          <w:bCs w:val="0"/>
          <w:i w:val="0"/>
          <w:snapToGrid w:val="0"/>
        </w:rPr>
      </w:pPr>
      <w:bookmarkStart w:id="351" w:name="91.__Would_reporting_results_of_the_inve"/>
      <w:bookmarkEnd w:id="351"/>
      <w:bookmarkStart w:id="352" w:name="_Toc498200788"/>
      <w:bookmarkStart w:id="353" w:name="_Toc498446523"/>
      <w:r>
        <w:rPr>
          <w:rFonts w:ascii="Arial" w:hAnsi="Arial" w:cs="Arial"/>
          <w:snapToGrid w:val="0"/>
        </w:rPr>
        <w:t>研究完成后，在ClinicalTrials.gov数据库中报告研究结果是否足以满足21 CFR 50.24规定的公开披露要求？</w:t>
      </w:r>
      <w:bookmarkEnd w:id="352"/>
      <w:bookmarkEnd w:id="353"/>
    </w:p>
    <w:p w14:paraId="4BFCDE1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否。与科学或医学杂志上公布结果一样，此类报告可能会满足</w:t>
      </w:r>
      <w:r>
        <w:rPr>
          <w:rFonts w:ascii="宋体" w:hAnsi="宋体" w:cs="Arial"/>
          <w:snapToGrid w:val="0"/>
        </w:rPr>
        <w:t>“</w:t>
      </w:r>
      <w:r>
        <w:rPr>
          <w:rFonts w:ascii="Arial" w:hAnsi="Arial" w:cs="Arial"/>
          <w:snapToGrid w:val="0"/>
        </w:rPr>
        <w:t>使…研究者了解相关信息（包括研究人群的人口特征及其结果）</w:t>
      </w:r>
      <w:r>
        <w:rPr>
          <w:rFonts w:ascii="宋体" w:hAnsi="宋体" w:cs="Arial"/>
          <w:snapToGrid w:val="0"/>
        </w:rPr>
        <w:t>”</w:t>
      </w:r>
      <w:r>
        <w:rPr>
          <w:rFonts w:ascii="Arial" w:hAnsi="Arial" w:cs="Arial"/>
          <w:snapToGrid w:val="0"/>
        </w:rPr>
        <w:t>的要求。但是，信息也必须向受试者所在社区和研究所在社区披露（即非专业人士，公众成员）。IRB应审查在临床研究完成后披露信息的计划</w:t>
      </w:r>
      <w:r>
        <w:rPr>
          <w:rFonts w:ascii="宋体" w:hAnsi="宋体" w:cs="Arial"/>
          <w:snapToGrid w:val="0"/>
        </w:rPr>
        <w:t>“</w:t>
      </w:r>
      <w:r>
        <w:rPr>
          <w:rFonts w:ascii="Arial" w:hAnsi="Arial" w:cs="Arial"/>
          <w:snapToGrid w:val="0"/>
        </w:rPr>
        <w:t>，确保此类计划提供了向公众和研究机构披露结果的适当方式（21 CFR 50.24（a）（7）（iii））。</w:t>
      </w:r>
    </w:p>
    <w:p w14:paraId="6CBFFC19">
      <w:pPr>
        <w:pStyle w:val="4"/>
        <w:numPr>
          <w:ilvl w:val="0"/>
          <w:numId w:val="3"/>
        </w:numPr>
        <w:tabs>
          <w:tab w:val="left" w:pos="540"/>
        </w:tabs>
        <w:topLinePunct/>
        <w:adjustRightInd w:val="0"/>
        <w:snapToGrid w:val="0"/>
        <w:spacing w:after="224" w:afterLines="75" w:line="300" w:lineRule="auto"/>
        <w:ind w:left="540" w:hanging="540"/>
        <w:jc w:val="both"/>
        <w:rPr>
          <w:rFonts w:ascii="Arial" w:hAnsi="Arial" w:cs="Arial"/>
          <w:b w:val="0"/>
          <w:bCs w:val="0"/>
          <w:i w:val="0"/>
          <w:snapToGrid w:val="0"/>
        </w:rPr>
      </w:pPr>
      <w:bookmarkStart w:id="354" w:name="92.__How_should_the_information_be_discl"/>
      <w:bookmarkEnd w:id="354"/>
      <w:bookmarkStart w:id="355" w:name="_Toc498200789"/>
      <w:bookmarkStart w:id="356" w:name="_Toc498446524"/>
      <w:r>
        <w:rPr>
          <w:rFonts w:ascii="Arial" w:hAnsi="Arial" w:cs="Arial"/>
          <w:snapToGrid w:val="0"/>
        </w:rPr>
        <w:t>如何将数据披露给临床研究所在社区和受试者所在社区（21 CFR 50.24（a）（7）（iii））？</w:t>
      </w:r>
      <w:bookmarkEnd w:id="355"/>
      <w:bookmarkEnd w:id="356"/>
    </w:p>
    <w:p w14:paraId="0BDDB47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申办方和临床研究者应使用适当的机制（例如新闻文章、电视或广播节目、社区会议）向研究和研究对象所在社区提供关于研究结果的信息。由IRB负责确定公开披露计划中描述的方法是否适合目标目标受众。</w:t>
      </w:r>
    </w:p>
    <w:p w14:paraId="6378159F">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357" w:name="93.__How_can_information_about_the_resul"/>
      <w:bookmarkEnd w:id="357"/>
      <w:bookmarkStart w:id="358" w:name="_Toc498446525"/>
      <w:bookmarkStart w:id="359" w:name="_Toc498200790"/>
      <w:r>
        <w:rPr>
          <w:rFonts w:ascii="Arial" w:hAnsi="Arial" w:cs="Arial"/>
          <w:snapToGrid w:val="0"/>
        </w:rPr>
        <w:t>如何向其他研究者披露有关研究结果的信息？</w:t>
      </w:r>
      <w:bookmarkEnd w:id="358"/>
      <w:bookmarkEnd w:id="359"/>
    </w:p>
    <w:p w14:paraId="54E59C0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可在完成或终止研究结果的科学出版物中或在ClinicalTrials.gov上提交的材料中提供足够信息；但也可以通过其他方式传达（例如，座谈会、摘要、在网站上发布）。</w:t>
      </w:r>
    </w:p>
    <w:p w14:paraId="6F0A23FF">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60" w:name="94.__Must_information_that_is_disclosed_"/>
      <w:bookmarkEnd w:id="360"/>
      <w:bookmarkStart w:id="361" w:name="_Toc498446526"/>
      <w:bookmarkStart w:id="362" w:name="_Toc498200791"/>
      <w:r>
        <w:rPr>
          <w:rFonts w:ascii="Arial" w:hAnsi="Arial" w:cs="Arial"/>
          <w:snapToGrid w:val="0"/>
        </w:rPr>
        <w:t>研究完成或终止后披露的信息是否必须提交给FDA的公共案卷科？</w:t>
      </w:r>
      <w:bookmarkEnd w:id="361"/>
      <w:bookmarkEnd w:id="362"/>
    </w:p>
    <w:p w14:paraId="5E1108D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是。请参见21 CFR 56.109（g）、312.54和812.47（a）（有关提交已披露信息的更多信息，另请参见问题84）。</w:t>
      </w:r>
    </w:p>
    <w:p w14:paraId="2895FF24">
      <w:pPr>
        <w:pStyle w:val="3"/>
        <w:numPr>
          <w:ilvl w:val="0"/>
          <w:numId w:val="2"/>
        </w:numPr>
        <w:tabs>
          <w:tab w:val="left" w:pos="474"/>
        </w:tabs>
        <w:topLinePunct/>
        <w:adjustRightInd w:val="0"/>
        <w:snapToGrid w:val="0"/>
        <w:spacing w:after="224" w:afterLines="75" w:line="300" w:lineRule="auto"/>
        <w:ind w:left="0" w:firstLine="0"/>
        <w:jc w:val="both"/>
        <w:rPr>
          <w:rFonts w:ascii="Arial" w:hAnsi="Arial" w:cs="Arial"/>
          <w:b w:val="0"/>
          <w:bCs w:val="0"/>
          <w:snapToGrid w:val="0"/>
          <w:sz w:val="28"/>
        </w:rPr>
      </w:pPr>
      <w:bookmarkStart w:id="363" w:name="X.__CONTACT_OF_LEGALLY_AUTHORIZED_REPRES"/>
      <w:bookmarkEnd w:id="363"/>
      <w:bookmarkStart w:id="364" w:name="_Toc498200792"/>
      <w:bookmarkStart w:id="365" w:name="_Toc498446527"/>
      <w:r>
        <w:rPr>
          <w:rFonts w:ascii="Arial" w:hAnsi="Arial" w:cs="Arial"/>
          <w:snapToGrid w:val="0"/>
          <w:sz w:val="28"/>
        </w:rPr>
        <w:t>联系法定授权代表或家庭成员</w:t>
      </w:r>
      <w:bookmarkEnd w:id="364"/>
      <w:bookmarkEnd w:id="365"/>
    </w:p>
    <w:p w14:paraId="012110A7">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可在研究期间的各个时间点联系受试者的合法授权代表或家庭成员（例如在施用供试品之前，施用供试品之后，受试者死亡之后）。本节将讨论必须制定，以便在此类时间点联系受试者的合法授权代表或家庭成员的程序。</w:t>
      </w:r>
    </w:p>
    <w:p w14:paraId="4BFD8C90">
      <w:pPr>
        <w:pStyle w:val="3"/>
        <w:numPr>
          <w:ilvl w:val="0"/>
          <w:numId w:val="17"/>
        </w:numPr>
        <w:tabs>
          <w:tab w:val="left" w:pos="1194"/>
        </w:tabs>
        <w:topLinePunct/>
        <w:adjustRightInd w:val="0"/>
        <w:snapToGrid w:val="0"/>
        <w:spacing w:after="224" w:afterLines="75" w:line="300" w:lineRule="auto"/>
        <w:ind w:left="719" w:leftChars="327" w:firstLine="0"/>
        <w:jc w:val="both"/>
        <w:rPr>
          <w:rFonts w:ascii="Arial" w:hAnsi="Arial" w:cs="Arial"/>
          <w:b w:val="0"/>
          <w:bCs w:val="0"/>
          <w:snapToGrid w:val="0"/>
        </w:rPr>
      </w:pPr>
      <w:bookmarkStart w:id="366" w:name="A.__PRIOR_TO_ADMINISTRATION_OF_THE_TEST_"/>
      <w:bookmarkEnd w:id="366"/>
      <w:bookmarkStart w:id="367" w:name="_Toc498446528"/>
      <w:bookmarkStart w:id="368" w:name="_Toc498200793"/>
      <w:r>
        <w:rPr>
          <w:rFonts w:ascii="Arial" w:hAnsi="Arial" w:cs="Arial"/>
          <w:snapToGrid w:val="0"/>
        </w:rPr>
        <w:t>在施用供试品之前</w:t>
      </w:r>
      <w:bookmarkEnd w:id="367"/>
      <w:bookmarkEnd w:id="368"/>
    </w:p>
    <w:p w14:paraId="4529AA97">
      <w:pPr>
        <w:rPr>
          <w:rFonts w:ascii="Arial" w:hAnsi="Arial" w:eastAsia="宋体" w:cs="Arial"/>
          <w:snapToGrid w:val="0"/>
          <w:sz w:val="24"/>
          <w:szCs w:val="24"/>
        </w:rPr>
      </w:pPr>
      <w:r>
        <w:rPr>
          <w:rFonts w:ascii="Arial" w:hAnsi="Arial" w:cs="Arial"/>
          <w:snapToGrid w:val="0"/>
        </w:rPr>
        <w:br w:type="page"/>
      </w:r>
    </w:p>
    <w:p w14:paraId="63FDED5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对于无法提供知情同意的每例受试者，参与紧急研究的临床研究者必须承诺在治疗窗内，获得受试者法定授权代表的书面知情同意（如果可行）（LAR；21 CFR 50.24 （a）（5））。如果没有LAR可用，临床研究者必须承诺，在未获得知情同意的情况下施用供试品之前，其将尝试联系家庭成员，询问其是否反对个体参与研究（21 CFR 50.24（a）（7）（v））。</w:t>
      </w:r>
    </w:p>
    <w:p w14:paraId="79BA1636">
      <w:pPr>
        <w:pStyle w:val="4"/>
        <w:numPr>
          <w:ilvl w:val="0"/>
          <w:numId w:val="3"/>
        </w:numPr>
        <w:tabs>
          <w:tab w:val="left" w:pos="520"/>
        </w:tabs>
        <w:topLinePunct/>
        <w:adjustRightInd w:val="0"/>
        <w:snapToGrid w:val="0"/>
        <w:spacing w:after="224" w:afterLines="75" w:line="300" w:lineRule="auto"/>
        <w:ind w:left="520" w:hanging="520"/>
        <w:jc w:val="both"/>
        <w:rPr>
          <w:rFonts w:ascii="Arial" w:hAnsi="Arial" w:cs="Arial"/>
          <w:b w:val="0"/>
          <w:bCs w:val="0"/>
          <w:i w:val="0"/>
          <w:snapToGrid w:val="0"/>
        </w:rPr>
      </w:pPr>
      <w:bookmarkStart w:id="369" w:name="_Toc498200794"/>
      <w:bookmarkStart w:id="370" w:name="_Toc498446529"/>
      <w:r>
        <w:rPr>
          <w:rFonts w:ascii="Arial" w:hAnsi="Arial" w:cs="Arial"/>
          <w:snapToGrid w:val="0"/>
        </w:rPr>
        <w:t>根据21 CFR 50.24，在施用供试品之前，应使用什么程序联系受试者的合法授权代表（LAR）或家庭成员？</w:t>
      </w:r>
      <w:bookmarkEnd w:id="369"/>
      <w:bookmarkEnd w:id="370"/>
    </w:p>
    <w:p w14:paraId="726AED1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IRB必须确定和确认，已制定程序，以便在治疗窗口内或尽早联系并向受试者的LAR或家庭成员提供信息（21 CFR 50.24（a）（6）和（a）（7）（21）v））。</w:t>
      </w:r>
    </w:p>
    <w:p w14:paraId="0B92FF4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预计，此类程序和信息可能与IRB批准用于获取受试者或其LAR的知情同意的程序和信息相同。IRB必须审查、批准和确认，已制定此类程序，以便在将受试者招入研究并开始施用供试品前，（1）尝试获得LAR的知情同意书，以及（2）如果没有LAR可用，尝试联系家庭成员并确定其是否反对（21 CFR 50.24（a）（6））；另请参见第IV节，</w:t>
      </w:r>
      <w:r>
        <w:rPr>
          <w:rFonts w:ascii="宋体" w:hAnsi="宋体" w:cs="Arial"/>
          <w:snapToGrid w:val="0"/>
        </w:rPr>
        <w:t>“</w:t>
      </w:r>
      <w:r>
        <w:rPr>
          <w:rFonts w:ascii="Arial" w:hAnsi="Arial" w:cs="Arial"/>
          <w:snapToGrid w:val="0"/>
        </w:rPr>
        <w:t>治疗窗</w:t>
      </w:r>
      <w:r>
        <w:rPr>
          <w:rFonts w:ascii="宋体" w:hAnsi="宋体" w:cs="Arial"/>
          <w:snapToGrid w:val="0"/>
        </w:rPr>
        <w:t>”</w:t>
      </w:r>
      <w:r>
        <w:rPr>
          <w:rFonts w:ascii="Arial" w:hAnsi="Arial" w:cs="Arial"/>
          <w:snapToGrid w:val="0"/>
        </w:rPr>
        <w:t>）。</w:t>
      </w:r>
    </w:p>
    <w:p w14:paraId="64F8C360">
      <w:pPr>
        <w:pStyle w:val="4"/>
        <w:numPr>
          <w:ilvl w:val="0"/>
          <w:numId w:val="3"/>
        </w:numPr>
        <w:tabs>
          <w:tab w:val="left" w:pos="521"/>
        </w:tabs>
        <w:topLinePunct/>
        <w:adjustRightInd w:val="0"/>
        <w:snapToGrid w:val="0"/>
        <w:spacing w:after="224" w:afterLines="75" w:line="300" w:lineRule="auto"/>
        <w:ind w:left="521" w:hanging="521"/>
        <w:jc w:val="both"/>
        <w:rPr>
          <w:rFonts w:ascii="Arial" w:hAnsi="Arial" w:cs="Arial"/>
          <w:b w:val="0"/>
          <w:bCs w:val="0"/>
          <w:i w:val="0"/>
          <w:snapToGrid w:val="0"/>
        </w:rPr>
      </w:pPr>
      <w:bookmarkStart w:id="371" w:name="96.__How_can_IRBs_ensure_that_investigat"/>
      <w:bookmarkEnd w:id="371"/>
      <w:bookmarkStart w:id="372" w:name="_Toc498200795"/>
      <w:bookmarkStart w:id="373" w:name="_Toc498446530"/>
      <w:r>
        <w:rPr>
          <w:rFonts w:ascii="Arial" w:hAnsi="Arial" w:cs="Arial"/>
          <w:snapToGrid w:val="0"/>
        </w:rPr>
        <w:t>IRB如何确保在治疗窗内，研究者已尽量联系受试者的合法授权代表（LAR）或家庭成员？</w:t>
      </w:r>
      <w:bookmarkEnd w:id="372"/>
      <w:bookmarkEnd w:id="373"/>
    </w:p>
    <w:p w14:paraId="6FBDD14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如果可行，IRB必须审查在治疗窗内尝试联系受试者的LAR或家庭成员的程序（21 CFR 50.24（a）（6））。此外，研究者需要总结为联系LAR和家庭成员所作的工作，并在继续审查时向IRB提供此信息（21 CFR 50.24（a）（5）和（7）（v））。</w:t>
      </w:r>
    </w:p>
    <w:p w14:paraId="540F377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为了总结旨在联系LAR和家庭成员的工作，研究者可以制定自己的程序或方法来记录如何执行此要求。可能方法的示例包括（但不限于）：</w:t>
      </w:r>
    </w:p>
    <w:p w14:paraId="637566E7">
      <w:pPr>
        <w:pStyle w:val="24"/>
        <w:numPr>
          <w:ilvl w:val="0"/>
          <w:numId w:val="18"/>
        </w:numPr>
        <w:tabs>
          <w:tab w:val="left" w:pos="1288"/>
        </w:tabs>
        <w:topLinePunct/>
        <w:adjustRightInd w:val="0"/>
        <w:snapToGrid w:val="0"/>
        <w:spacing w:after="224" w:afterLines="75" w:line="300" w:lineRule="auto"/>
        <w:ind w:left="1274" w:leftChars="326" w:hanging="557"/>
        <w:jc w:val="both"/>
        <w:rPr>
          <w:rFonts w:ascii="Arial" w:hAnsi="Arial" w:eastAsia="宋体" w:cs="Arial"/>
          <w:snapToGrid w:val="0"/>
          <w:sz w:val="24"/>
          <w:szCs w:val="24"/>
        </w:rPr>
      </w:pPr>
      <w:r>
        <w:rPr>
          <w:rFonts w:ascii="Arial" w:hAnsi="Arial" w:eastAsia="宋体" w:cs="Arial"/>
          <w:snapToGrid w:val="0"/>
          <w:sz w:val="24"/>
          <w:szCs w:val="24"/>
        </w:rPr>
        <w:t>研究者／现场工作人员可以在每</w:t>
      </w:r>
      <w:r>
        <w:rPr>
          <w:rFonts w:hint="eastAsia" w:ascii="Arial" w:hAnsi="Arial" w:eastAsia="宋体" w:cs="Arial"/>
          <w:snapToGrid w:val="0"/>
          <w:sz w:val="24"/>
          <w:szCs w:val="24"/>
        </w:rPr>
        <w:t>例</w:t>
      </w:r>
      <w:r>
        <w:rPr>
          <w:rFonts w:ascii="Arial" w:hAnsi="Arial" w:eastAsia="宋体" w:cs="Arial"/>
          <w:snapToGrid w:val="0"/>
          <w:sz w:val="24"/>
          <w:szCs w:val="24"/>
        </w:rPr>
        <w:t>受试者的案例历史中记录，旨在联系受试者的LAR或家庭成员的工作相关信息（例如，日期、时间、联系个体姓名、联系方式【电话、亲自拜访】，联系LAR／家庭成员的工作成功或失败，尝试联系的工作人员）。</w:t>
      </w:r>
    </w:p>
    <w:p w14:paraId="68F12294">
      <w:pPr>
        <w:pStyle w:val="24"/>
        <w:numPr>
          <w:ilvl w:val="0"/>
          <w:numId w:val="18"/>
        </w:numPr>
        <w:tabs>
          <w:tab w:val="left" w:pos="1288"/>
        </w:tabs>
        <w:topLinePunct/>
        <w:adjustRightInd w:val="0"/>
        <w:snapToGrid w:val="0"/>
        <w:spacing w:after="224" w:afterLines="75" w:line="300" w:lineRule="auto"/>
        <w:ind w:left="1274" w:leftChars="326" w:hanging="557"/>
        <w:jc w:val="both"/>
        <w:rPr>
          <w:rFonts w:ascii="Arial" w:hAnsi="Arial" w:eastAsia="宋体" w:cs="Arial"/>
          <w:snapToGrid w:val="0"/>
          <w:sz w:val="24"/>
          <w:szCs w:val="24"/>
        </w:rPr>
      </w:pPr>
      <w:r>
        <w:rPr>
          <w:rFonts w:ascii="Arial" w:hAnsi="Arial" w:eastAsia="宋体" w:cs="Arial"/>
          <w:snapToGrid w:val="0"/>
          <w:sz w:val="24"/>
          <w:szCs w:val="24"/>
        </w:rPr>
        <w:t>研究者可以编制清单，用于反映联系LAR或家庭成员所需的步骤。可以针对参加研究的每例受试者完成此清单，并将其纳入受试者的案例历史中或保留在研究记录的其他地方。</w:t>
      </w:r>
    </w:p>
    <w:p w14:paraId="7900E7AB">
      <w:pPr>
        <w:pStyle w:val="24"/>
        <w:numPr>
          <w:ilvl w:val="0"/>
          <w:numId w:val="18"/>
        </w:numPr>
        <w:tabs>
          <w:tab w:val="left" w:pos="1288"/>
        </w:tabs>
        <w:topLinePunct/>
        <w:adjustRightInd w:val="0"/>
        <w:snapToGrid w:val="0"/>
        <w:spacing w:after="224" w:afterLines="75" w:line="300" w:lineRule="auto"/>
        <w:ind w:left="1274" w:leftChars="326" w:hanging="557"/>
        <w:jc w:val="both"/>
        <w:rPr>
          <w:rFonts w:ascii="Arial" w:hAnsi="Arial" w:eastAsia="宋体" w:cs="Arial"/>
          <w:snapToGrid w:val="0"/>
          <w:sz w:val="24"/>
          <w:szCs w:val="24"/>
        </w:rPr>
      </w:pPr>
      <w:r>
        <w:rPr>
          <w:rFonts w:ascii="Arial" w:hAnsi="Arial" w:eastAsia="宋体" w:cs="Arial"/>
          <w:snapToGrid w:val="0"/>
          <w:sz w:val="24"/>
          <w:szCs w:val="24"/>
        </w:rPr>
        <w:t>研究者可以任命个体担任所有研究项目中研究对象LAR和家庭研究的联络人。任命联络人的目标是确保与受试者、其LAR和家庭成员保持沟通，从而更好地保护受试者的权利。联络人可以记录为联系受试者的LAR或家庭成员所作的工作，例如保持联系日志。</w:t>
      </w:r>
    </w:p>
    <w:p w14:paraId="37A3720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应确定向其提供汇总旨在联系LAR和家庭成员的工作的信息（例如，IRB会议的口头陈述，研究者的书面报告）。IRB应在持续审查时审查研究者提供的总结，如果必要，可以要求修改程序作为继续批准意见的条件（21 CFR 56.109（a））。IRB还有权监督或指定第三方监督同意工程和研究（21 CFR 56.109（f）），并且可以要求直接监督研究者在临床研究期间，为联系LAR或家庭成员所作的工作。</w:t>
      </w:r>
    </w:p>
    <w:p w14:paraId="63A02140">
      <w:pPr>
        <w:pStyle w:val="4"/>
        <w:numPr>
          <w:ilvl w:val="0"/>
          <w:numId w:val="3"/>
        </w:numPr>
        <w:tabs>
          <w:tab w:val="left" w:pos="541"/>
        </w:tabs>
        <w:topLinePunct/>
        <w:adjustRightInd w:val="0"/>
        <w:snapToGrid w:val="0"/>
        <w:spacing w:after="224" w:afterLines="75" w:line="300" w:lineRule="auto"/>
        <w:ind w:left="0" w:firstLine="0"/>
        <w:jc w:val="both"/>
        <w:rPr>
          <w:rFonts w:ascii="Arial" w:hAnsi="Arial" w:cs="Arial"/>
          <w:b w:val="0"/>
          <w:bCs w:val="0"/>
          <w:i w:val="0"/>
          <w:snapToGrid w:val="0"/>
        </w:rPr>
      </w:pPr>
      <w:bookmarkStart w:id="374" w:name="_Toc498446531"/>
      <w:bookmarkStart w:id="375" w:name="_Toc498200796"/>
      <w:r>
        <w:rPr>
          <w:rFonts w:ascii="Arial" w:hAnsi="Arial" w:cs="Arial"/>
          <w:snapToGrid w:val="0"/>
        </w:rPr>
        <w:t>此类研究已豁免知情同意要求。为什么必须准备知情同意书？</w:t>
      </w:r>
      <w:bookmarkEnd w:id="374"/>
      <w:bookmarkEnd w:id="375"/>
    </w:p>
    <w:p w14:paraId="5BEB224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虽然大部分或所有受试者均无法给予同意，但必须根据21 CFR 50.25的规定准备IRB批准的知情同意书（21 CFR 50.24（a）（6））。如果可行，应获得受试者或其法定授权代表的知情同意。知情同意书所载信息也可在确认家庭成员是否反对受试者参与临床研究时使用。</w:t>
      </w:r>
    </w:p>
    <w:p w14:paraId="20696172">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376" w:name="_Toc498200797"/>
      <w:bookmarkStart w:id="377" w:name="_Toc498446532"/>
      <w:r>
        <w:rPr>
          <w:rFonts w:ascii="Arial" w:hAnsi="Arial" w:cs="Arial"/>
          <w:snapToGrid w:val="0"/>
        </w:rPr>
        <w:t>联系受试者家庭成员的目的是什么？</w:t>
      </w:r>
      <w:bookmarkEnd w:id="376"/>
      <w:bookmarkEnd w:id="377"/>
    </w:p>
    <w:p w14:paraId="7F6F68F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联系受试者家庭成员的目的是确认家庭成员是否反对受试者参与研究（21 CFR 50.24（a）（6））。知情同意书可用作向家庭成员解释的信息来源；FDA建议向联系到的家庭成员提供知情同意书副本。</w:t>
      </w:r>
    </w:p>
    <w:p w14:paraId="561E7026">
      <w:pPr>
        <w:pStyle w:val="4"/>
        <w:numPr>
          <w:ilvl w:val="0"/>
          <w:numId w:val="3"/>
        </w:numPr>
        <w:tabs>
          <w:tab w:val="left" w:pos="540"/>
        </w:tabs>
        <w:topLinePunct/>
        <w:adjustRightInd w:val="0"/>
        <w:snapToGrid w:val="0"/>
        <w:spacing w:after="224" w:afterLines="75" w:line="300" w:lineRule="auto"/>
        <w:ind w:left="0" w:firstLine="0"/>
        <w:jc w:val="both"/>
        <w:rPr>
          <w:rFonts w:ascii="Arial" w:hAnsi="Arial" w:cs="Arial"/>
          <w:b w:val="0"/>
          <w:bCs w:val="0"/>
          <w:i w:val="0"/>
          <w:snapToGrid w:val="0"/>
        </w:rPr>
      </w:pPr>
      <w:bookmarkStart w:id="378" w:name="99.__If_a_legally_authorized_representat"/>
      <w:bookmarkEnd w:id="378"/>
      <w:bookmarkStart w:id="379" w:name="_Toc498200798"/>
      <w:bookmarkStart w:id="380" w:name="_Toc498446533"/>
      <w:r>
        <w:rPr>
          <w:rFonts w:ascii="Arial" w:hAnsi="Arial" w:cs="Arial"/>
          <w:snapToGrid w:val="0"/>
        </w:rPr>
        <w:t>如果有法定授权代表（LAR）可用，研究者应该做些什么？</w:t>
      </w:r>
      <w:bookmarkEnd w:id="379"/>
      <w:bookmarkEnd w:id="380"/>
    </w:p>
    <w:p w14:paraId="5A86DEA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如果LAR可用，研究者必须在治疗窗内从LAR获得知情同意（如果可行），以便将受试者招入研究（21 CFR 50.24（a）（5））。如果LAR拒绝签署同意书，则不得将受试者招入研究（21 CFR 50.20）。</w:t>
      </w:r>
    </w:p>
    <w:p w14:paraId="05EEF9A0">
      <w:pPr>
        <w:pStyle w:val="4"/>
        <w:numPr>
          <w:ilvl w:val="0"/>
          <w:numId w:val="3"/>
        </w:numPr>
        <w:tabs>
          <w:tab w:val="left" w:pos="660"/>
        </w:tabs>
        <w:topLinePunct/>
        <w:adjustRightInd w:val="0"/>
        <w:snapToGrid w:val="0"/>
        <w:spacing w:after="224" w:afterLines="75" w:line="300" w:lineRule="auto"/>
        <w:ind w:left="0" w:firstLine="0"/>
        <w:jc w:val="both"/>
        <w:rPr>
          <w:rFonts w:ascii="Arial" w:hAnsi="Arial" w:cs="Arial"/>
          <w:b w:val="0"/>
          <w:bCs w:val="0"/>
          <w:i w:val="0"/>
          <w:snapToGrid w:val="0"/>
        </w:rPr>
      </w:pPr>
      <w:bookmarkStart w:id="381" w:name="100.__If_the_LAR_is_not_available,_but_a"/>
      <w:bookmarkEnd w:id="381"/>
      <w:bookmarkStart w:id="382" w:name="_Toc498200799"/>
      <w:bookmarkStart w:id="383" w:name="_Toc498446534"/>
      <w:r>
        <w:rPr>
          <w:rFonts w:ascii="Arial" w:hAnsi="Arial" w:cs="Arial"/>
          <w:snapToGrid w:val="0"/>
        </w:rPr>
        <w:t>如果LAR不可用，但家庭成员可用，研究者或第一反应人员应该做什么？</w:t>
      </w:r>
      <w:bookmarkEnd w:id="382"/>
      <w:bookmarkEnd w:id="383"/>
    </w:p>
    <w:p w14:paraId="457BE38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在将受试者招入研究前，研究者或第一反应人员必须询问家庭成员其是否反对受试者参与研究（21 CFR 50.24（a）（7）（v））。如果家庭成员反对或表示受试者不愿参与研究，不得将该受试者招入研究（21 CFR 50.24（a）（6）和（7）（v））。</w:t>
      </w:r>
    </w:p>
    <w:p w14:paraId="5F77F02B">
      <w:pPr>
        <w:pStyle w:val="4"/>
        <w:numPr>
          <w:ilvl w:val="0"/>
          <w:numId w:val="3"/>
        </w:numPr>
        <w:tabs>
          <w:tab w:val="left" w:pos="660"/>
        </w:tabs>
        <w:topLinePunct/>
        <w:adjustRightInd w:val="0"/>
        <w:snapToGrid w:val="0"/>
        <w:spacing w:after="224" w:afterLines="75" w:line="300" w:lineRule="auto"/>
        <w:ind w:left="660" w:hanging="660"/>
        <w:jc w:val="both"/>
        <w:rPr>
          <w:rFonts w:ascii="Arial" w:hAnsi="Arial" w:cs="Arial"/>
          <w:snapToGrid w:val="0"/>
        </w:rPr>
      </w:pPr>
      <w:bookmarkStart w:id="384" w:name="101.__If_the_subject’s_legally_authorize"/>
      <w:bookmarkEnd w:id="384"/>
      <w:bookmarkStart w:id="385" w:name="_Toc498446535"/>
      <w:bookmarkStart w:id="386" w:name="_Toc498200800"/>
      <w:r>
        <w:rPr>
          <w:rFonts w:ascii="Arial" w:hAnsi="Arial" w:cs="Arial"/>
          <w:snapToGrid w:val="0"/>
        </w:rPr>
        <w:t>如果受试者的法定授权代表（LAR）可用，并且LAR同意受试者参与研究，临床研究者是否必须联系受试者的家庭成员？</w:t>
      </w:r>
      <w:bookmarkEnd w:id="385"/>
      <w:bookmarkEnd w:id="386"/>
    </w:p>
    <w:p w14:paraId="6136DC7A">
      <w:pPr>
        <w:rPr>
          <w:rFonts w:ascii="Arial" w:hAnsi="Arial" w:eastAsia="宋体" w:cs="Arial"/>
          <w:snapToGrid w:val="0"/>
          <w:sz w:val="24"/>
          <w:szCs w:val="24"/>
        </w:rPr>
      </w:pPr>
      <w:r>
        <w:rPr>
          <w:rFonts w:ascii="Arial" w:hAnsi="Arial" w:cs="Arial"/>
          <w:snapToGrid w:val="0"/>
        </w:rPr>
        <w:br w:type="page"/>
      </w:r>
    </w:p>
    <w:p w14:paraId="6407DCB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否。当LAR可用时，LAR可以代表受试者提供法律上有效的同意。</w:t>
      </w:r>
    </w:p>
    <w:p w14:paraId="6D65F497">
      <w:pPr>
        <w:pStyle w:val="4"/>
        <w:numPr>
          <w:ilvl w:val="0"/>
          <w:numId w:val="3"/>
        </w:numPr>
        <w:tabs>
          <w:tab w:val="left" w:pos="661"/>
        </w:tabs>
        <w:topLinePunct/>
        <w:adjustRightInd w:val="0"/>
        <w:snapToGrid w:val="0"/>
        <w:spacing w:after="224" w:afterLines="75" w:line="300" w:lineRule="auto"/>
        <w:ind w:left="0" w:firstLine="0"/>
        <w:jc w:val="both"/>
        <w:rPr>
          <w:rFonts w:ascii="Arial" w:hAnsi="Arial" w:cs="Arial"/>
          <w:b w:val="0"/>
          <w:bCs w:val="0"/>
          <w:i w:val="0"/>
          <w:snapToGrid w:val="0"/>
        </w:rPr>
      </w:pPr>
      <w:bookmarkStart w:id="387" w:name="102.__Must_a_family_member’s_objection_t"/>
      <w:bookmarkEnd w:id="387"/>
      <w:bookmarkStart w:id="388" w:name="_Toc498200801"/>
      <w:bookmarkStart w:id="389" w:name="_Toc498446536"/>
      <w:r>
        <w:rPr>
          <w:rFonts w:ascii="Arial" w:hAnsi="Arial" w:cs="Arial"/>
          <w:snapToGrid w:val="0"/>
        </w:rPr>
        <w:t>家庭成员是否必须以书面形式表明其反对受试者参与研究？</w:t>
      </w:r>
      <w:bookmarkEnd w:id="388"/>
      <w:bookmarkEnd w:id="389"/>
    </w:p>
    <w:p w14:paraId="748A9F7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家庭成员可以口头反对个体参与研究。应在个体案例历史或病历中增加适当条目，以便记录此类反对意见。如果受试者拥有多个家庭成员并询问其是否反对该受试者参与研究，但其表示不同意，则研究者和家庭成员将需要解决争议，以便将该受试者招募研究。</w:t>
      </w:r>
      <w:r>
        <w:rPr>
          <w:rStyle w:val="22"/>
          <w:rFonts w:ascii="Arial" w:hAnsi="Arial" w:cs="Arial"/>
          <w:snapToGrid w:val="0"/>
        </w:rPr>
        <w:footnoteReference w:id="46"/>
      </w:r>
    </w:p>
    <w:p w14:paraId="0FD00ED0">
      <w:pPr>
        <w:pStyle w:val="3"/>
        <w:numPr>
          <w:ilvl w:val="0"/>
          <w:numId w:val="17"/>
        </w:numPr>
        <w:tabs>
          <w:tab w:val="left" w:pos="1180"/>
        </w:tabs>
        <w:topLinePunct/>
        <w:adjustRightInd w:val="0"/>
        <w:snapToGrid w:val="0"/>
        <w:spacing w:after="224" w:afterLines="75" w:line="300" w:lineRule="auto"/>
        <w:ind w:left="719" w:leftChars="327" w:firstLine="0"/>
        <w:jc w:val="both"/>
        <w:rPr>
          <w:rFonts w:ascii="Arial" w:hAnsi="Arial" w:cs="Arial"/>
          <w:b w:val="0"/>
          <w:bCs w:val="0"/>
          <w:snapToGrid w:val="0"/>
        </w:rPr>
      </w:pPr>
      <w:bookmarkStart w:id="390" w:name="B.__AFTER_ADMINISTRATION_OF_THE_TEST_ART"/>
      <w:bookmarkEnd w:id="390"/>
      <w:bookmarkStart w:id="391" w:name="_Toc498446537"/>
      <w:bookmarkStart w:id="392" w:name="_Toc498200802"/>
      <w:r>
        <w:rPr>
          <w:rFonts w:ascii="Arial" w:hAnsi="Arial" w:cs="Arial"/>
          <w:snapToGrid w:val="0"/>
        </w:rPr>
        <w:t>施用供试品之后</w:t>
      </w:r>
      <w:bookmarkEnd w:id="391"/>
      <w:bookmarkEnd w:id="392"/>
    </w:p>
    <w:p w14:paraId="76EB4E38">
      <w:pPr>
        <w:pStyle w:val="4"/>
        <w:numPr>
          <w:ilvl w:val="0"/>
          <w:numId w:val="3"/>
        </w:numPr>
        <w:tabs>
          <w:tab w:val="left" w:pos="660"/>
        </w:tabs>
        <w:topLinePunct/>
        <w:adjustRightInd w:val="0"/>
        <w:snapToGrid w:val="0"/>
        <w:spacing w:after="224" w:afterLines="75" w:line="300" w:lineRule="auto"/>
        <w:ind w:left="0" w:firstLine="0"/>
        <w:jc w:val="both"/>
        <w:rPr>
          <w:rFonts w:ascii="Arial" w:hAnsi="Arial" w:cs="Arial"/>
          <w:b w:val="0"/>
          <w:bCs w:val="0"/>
          <w:i w:val="0"/>
          <w:snapToGrid w:val="0"/>
        </w:rPr>
      </w:pPr>
      <w:bookmarkStart w:id="393" w:name="103.__How_should_a_subject’s_family_be_t"/>
      <w:bookmarkEnd w:id="393"/>
      <w:bookmarkStart w:id="394" w:name="_Toc498200803"/>
      <w:bookmarkStart w:id="395" w:name="_Toc498446538"/>
      <w:r>
        <w:rPr>
          <w:rFonts w:ascii="Arial" w:hAnsi="Arial" w:cs="Arial"/>
          <w:snapToGrid w:val="0"/>
        </w:rPr>
        <w:t>如何告知受试者的家庭成员该受试者已参与研究？</w:t>
      </w:r>
      <w:bookmarkEnd w:id="394"/>
      <w:bookmarkEnd w:id="395"/>
    </w:p>
    <w:p w14:paraId="682F3D5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临床研究者可以使用各种方法来确保，每</w:t>
      </w:r>
      <w:r>
        <w:rPr>
          <w:rFonts w:hint="eastAsia" w:ascii="Arial" w:hAnsi="Arial" w:cs="Arial"/>
          <w:snapToGrid w:val="0"/>
        </w:rPr>
        <w:t>例</w:t>
      </w:r>
      <w:r>
        <w:rPr>
          <w:rFonts w:ascii="Arial" w:hAnsi="Arial" w:cs="Arial"/>
          <w:snapToGrid w:val="0"/>
        </w:rPr>
        <w:t>受试者的家人及时了解受试者已参与研究。FDA建议，如果可能以及可行，在招募前，应亲自联系受试者的LAR或家人，以便传达相关信息。但是，FDA认识到，并不总是可以亲自进行联系。为了确保及时提供信息，研究相关信息应在与每例受试者家庭成员沟通时提供。当无法进行面对面联系，为了确保受试者的家人收到此类信息，应通过允许接收验证或确认的方式通知家庭成员（例如，挂号信，具有</w:t>
      </w:r>
      <w:r>
        <w:rPr>
          <w:rFonts w:ascii="宋体" w:hAnsi="宋体" w:cs="Arial"/>
          <w:snapToGrid w:val="0"/>
        </w:rPr>
        <w:t>“</w:t>
      </w:r>
      <w:r>
        <w:rPr>
          <w:rFonts w:ascii="Arial" w:hAnsi="Arial" w:cs="Arial"/>
          <w:snapToGrid w:val="0"/>
        </w:rPr>
        <w:t>读信回条</w:t>
      </w:r>
      <w:r>
        <w:rPr>
          <w:rFonts w:ascii="宋体" w:hAnsi="宋体" w:cs="Arial"/>
          <w:snapToGrid w:val="0"/>
        </w:rPr>
        <w:t>”</w:t>
      </w:r>
      <w:r>
        <w:rPr>
          <w:rFonts w:ascii="Arial" w:hAnsi="Arial" w:cs="Arial"/>
          <w:snapToGrid w:val="0"/>
        </w:rPr>
        <w:t>的电子邮件），研究者还可以任命联络人，使其负责联系受试者的LAR和／或家庭成员。研究地点可以考虑制定和使用清单，表明用于通知受试者家庭成员受试者已参与研究的步骤。</w:t>
      </w:r>
    </w:p>
    <w:p w14:paraId="23B5122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FDA建议，研究地点不能仅使受试者和家庭成员访问网站，因为此类网站可能未提供充分的研究描述，且在家庭成员存于疑问时，此类网址无法迅速，直接进行回答。</w:t>
      </w:r>
    </w:p>
    <w:p w14:paraId="671EB2A4">
      <w:pPr>
        <w:pStyle w:val="4"/>
        <w:numPr>
          <w:ilvl w:val="0"/>
          <w:numId w:val="3"/>
        </w:numPr>
        <w:tabs>
          <w:tab w:val="left" w:pos="660"/>
        </w:tabs>
        <w:topLinePunct/>
        <w:adjustRightInd w:val="0"/>
        <w:snapToGrid w:val="0"/>
        <w:spacing w:after="224" w:afterLines="75" w:line="300" w:lineRule="auto"/>
        <w:ind w:left="660" w:hanging="660"/>
        <w:jc w:val="both"/>
        <w:rPr>
          <w:rFonts w:ascii="Arial" w:hAnsi="Arial" w:cs="Arial"/>
          <w:b w:val="0"/>
          <w:bCs w:val="0"/>
          <w:i w:val="0"/>
          <w:snapToGrid w:val="0"/>
        </w:rPr>
      </w:pPr>
      <w:bookmarkStart w:id="396" w:name="104.__If_a_subject_is_enrolled_in_a_stud"/>
      <w:bookmarkEnd w:id="396"/>
      <w:bookmarkStart w:id="397" w:name="_Toc498200804"/>
      <w:bookmarkStart w:id="398" w:name="_Toc498446539"/>
      <w:r>
        <w:rPr>
          <w:rFonts w:ascii="Arial" w:hAnsi="Arial" w:cs="Arial"/>
          <w:snapToGrid w:val="0"/>
        </w:rPr>
        <w:t>如果根据21 CFR 50.24将受试者招入研究，则必须向该受试者、受试者的法定授权代表（LAR）或家庭成员提供哪些信息？</w:t>
      </w:r>
      <w:bookmarkEnd w:id="397"/>
      <w:bookmarkEnd w:id="398"/>
    </w:p>
    <w:p w14:paraId="775E136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IRB必须确保，已制定程序，用于尽早向受试者（如果受试者状况允许），（2）受试者的LAR（如果受试者已残疾），或（3）受试者的家庭成员（如果没有LAR可用）提供有关其被纳入临床研究的信息，研究细节和知情同意文件所载其他信息（21 CFR 50.24（b））。此类信息必须包括受试者，受试者的LAR（如果受试者已残疾）或家庭成员（如果没有LAR可用）可以随时中止该受试者参与研究，且不会受到处罚或使受试者丧失其有权获得的收益的通知（21 CFR 50.24（b））。</w:t>
      </w:r>
    </w:p>
    <w:p w14:paraId="7EF4FE4B">
      <w:pPr>
        <w:pStyle w:val="4"/>
        <w:numPr>
          <w:ilvl w:val="0"/>
          <w:numId w:val="3"/>
        </w:numPr>
        <w:tabs>
          <w:tab w:val="left" w:pos="660"/>
        </w:tabs>
        <w:topLinePunct/>
        <w:adjustRightInd w:val="0"/>
        <w:snapToGrid w:val="0"/>
        <w:spacing w:after="224" w:afterLines="75" w:line="300" w:lineRule="auto"/>
        <w:ind w:left="0" w:firstLine="0"/>
        <w:jc w:val="both"/>
        <w:rPr>
          <w:rFonts w:ascii="Arial" w:hAnsi="Arial" w:cs="Arial"/>
          <w:b w:val="0"/>
          <w:bCs w:val="0"/>
          <w:i w:val="0"/>
          <w:snapToGrid w:val="0"/>
        </w:rPr>
      </w:pPr>
      <w:bookmarkStart w:id="399" w:name="105.__What_is_meant_by_“feasible”?"/>
      <w:bookmarkEnd w:id="399"/>
      <w:bookmarkStart w:id="400" w:name="_Toc498446540"/>
      <w:bookmarkStart w:id="401" w:name="_Toc498200805"/>
      <w:r>
        <w:rPr>
          <w:rFonts w:ascii="宋体" w:hAnsi="宋体" w:cs="Arial"/>
          <w:snapToGrid w:val="0"/>
        </w:rPr>
        <w:t>“</w:t>
      </w:r>
      <w:r>
        <w:rPr>
          <w:rFonts w:ascii="Arial" w:hAnsi="Arial" w:cs="Arial"/>
          <w:snapToGrid w:val="0"/>
        </w:rPr>
        <w:t>可行</w:t>
      </w:r>
      <w:r>
        <w:rPr>
          <w:rFonts w:ascii="宋体" w:hAnsi="宋体" w:cs="Arial"/>
          <w:snapToGrid w:val="0"/>
        </w:rPr>
        <w:t>”</w:t>
      </w:r>
      <w:r>
        <w:rPr>
          <w:rFonts w:ascii="Arial" w:hAnsi="Arial" w:cs="Arial"/>
          <w:snapToGrid w:val="0"/>
        </w:rPr>
        <w:t>是什么意思？</w:t>
      </w:r>
      <w:bookmarkEnd w:id="400"/>
      <w:bookmarkEnd w:id="401"/>
    </w:p>
    <w:p w14:paraId="20451037">
      <w:pPr>
        <w:topLinePunct/>
        <w:adjustRightInd w:val="0"/>
        <w:snapToGrid w:val="0"/>
        <w:spacing w:after="224" w:afterLines="75" w:line="300" w:lineRule="auto"/>
        <w:jc w:val="both"/>
        <w:rPr>
          <w:rFonts w:ascii="Arial" w:hAnsi="Arial" w:eastAsia="宋体" w:cs="Arial"/>
          <w:snapToGrid w:val="0"/>
          <w:sz w:val="24"/>
          <w:szCs w:val="24"/>
        </w:rPr>
      </w:pPr>
      <w:bookmarkStart w:id="402" w:name="_bookmark168"/>
      <w:bookmarkEnd w:id="402"/>
      <w:r>
        <w:rPr>
          <w:rFonts w:ascii="Arial" w:hAnsi="Arial" w:eastAsia="宋体" w:cs="Arial"/>
          <w:snapToGrid w:val="0"/>
          <w:sz w:val="24"/>
          <w:szCs w:val="24"/>
        </w:rPr>
        <w:br w:type="page"/>
      </w:r>
    </w:p>
    <w:p w14:paraId="1974803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FDA认为，术语</w:t>
      </w:r>
      <w:r>
        <w:rPr>
          <w:rFonts w:ascii="宋体" w:hAnsi="宋体" w:cs="Arial"/>
          <w:snapToGrid w:val="0"/>
        </w:rPr>
        <w:t>“</w:t>
      </w:r>
      <w:r>
        <w:rPr>
          <w:rFonts w:ascii="Arial" w:hAnsi="Arial" w:cs="Arial"/>
          <w:snapToGrid w:val="0"/>
        </w:rPr>
        <w:t>可行</w:t>
      </w:r>
      <w:r>
        <w:rPr>
          <w:rFonts w:ascii="宋体" w:hAnsi="宋体" w:cs="Arial"/>
          <w:snapToGrid w:val="0"/>
        </w:rPr>
        <w:t>”</w:t>
      </w:r>
      <w:r>
        <w:rPr>
          <w:rFonts w:ascii="Arial" w:hAnsi="Arial" w:cs="Arial"/>
          <w:snapToGrid w:val="0"/>
        </w:rPr>
        <w:t>包含概念——</w:t>
      </w:r>
      <w:r>
        <w:rPr>
          <w:rFonts w:ascii="宋体" w:hAnsi="宋体" w:cs="Arial"/>
          <w:snapToGrid w:val="0"/>
        </w:rPr>
        <w:t>“</w:t>
      </w:r>
      <w:r>
        <w:rPr>
          <w:rFonts w:ascii="Arial" w:hAnsi="Arial" w:cs="Arial"/>
          <w:snapToGrid w:val="0"/>
        </w:rPr>
        <w:t>实用性</w:t>
      </w:r>
      <w:r>
        <w:rPr>
          <w:rFonts w:ascii="宋体" w:hAnsi="宋体" w:cs="Arial"/>
          <w:snapToGrid w:val="0"/>
        </w:rPr>
        <w:t>”</w:t>
      </w:r>
      <w:r>
        <w:rPr>
          <w:rFonts w:ascii="Arial" w:hAnsi="Arial" w:cs="Arial"/>
          <w:snapToGrid w:val="0"/>
        </w:rPr>
        <w:t>，并</w:t>
      </w:r>
      <w:r>
        <w:rPr>
          <w:rFonts w:hint="eastAsia" w:ascii="Arial" w:hAnsi="Arial" w:cs="Arial"/>
          <w:snapToGrid w:val="0"/>
        </w:rPr>
        <w:t>认为</w:t>
      </w:r>
      <w:r>
        <w:rPr>
          <w:rFonts w:ascii="Arial" w:hAnsi="Arial" w:cs="Arial"/>
          <w:snapToGrid w:val="0"/>
        </w:rPr>
        <w:t>在某些情况下，可能无法向受试者（例如，如果个体未存活或智力不健全），或该受试者的法定授权代表或家庭成员（例如，如果受试者的身份未被确定）提供信息。</w:t>
      </w:r>
      <w:r>
        <w:rPr>
          <w:rStyle w:val="22"/>
          <w:rFonts w:ascii="Arial" w:hAnsi="Arial" w:cs="Arial"/>
          <w:snapToGrid w:val="0"/>
        </w:rPr>
        <w:footnoteReference w:id="47"/>
      </w:r>
    </w:p>
    <w:p w14:paraId="7C220357">
      <w:pPr>
        <w:pStyle w:val="4"/>
        <w:numPr>
          <w:ilvl w:val="0"/>
          <w:numId w:val="3"/>
        </w:numPr>
        <w:tabs>
          <w:tab w:val="left" w:pos="660"/>
        </w:tabs>
        <w:topLinePunct/>
        <w:adjustRightInd w:val="0"/>
        <w:snapToGrid w:val="0"/>
        <w:spacing w:after="224" w:afterLines="75" w:line="300" w:lineRule="auto"/>
        <w:ind w:left="660" w:hanging="660"/>
        <w:jc w:val="both"/>
        <w:rPr>
          <w:rFonts w:ascii="Arial" w:hAnsi="Arial" w:cs="Arial"/>
          <w:b w:val="0"/>
          <w:bCs w:val="0"/>
          <w:i w:val="0"/>
          <w:snapToGrid w:val="0"/>
        </w:rPr>
      </w:pPr>
      <w:bookmarkStart w:id="403" w:name="106.__If_a_subject_regains_consciousness"/>
      <w:bookmarkEnd w:id="403"/>
      <w:bookmarkStart w:id="404" w:name="_Toc498200806"/>
      <w:bookmarkStart w:id="405" w:name="_Toc498446541"/>
      <w:r>
        <w:rPr>
          <w:rFonts w:ascii="Arial" w:hAnsi="Arial" w:cs="Arial"/>
          <w:snapToGrid w:val="0"/>
        </w:rPr>
        <w:t>如果受试者恢复意识，或者找到其法定授权代表（LAR），是否必须征得受试者或受试者的LAR的同意，以继续参与研究？</w:t>
      </w:r>
      <w:bookmarkEnd w:id="404"/>
      <w:bookmarkEnd w:id="405"/>
    </w:p>
    <w:p w14:paraId="228903D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否。继续参与研究不需要获得同意。21 CFR 50.24（b）要求IRB确保，已制定程序，用于尽早向受试者、受试者的LAR或家庭成员提供关于紧急研究的信息。但是，该受试者、该受试者的LAR或家庭成员可能随时中止该受试者参与研究。</w:t>
      </w:r>
    </w:p>
    <w:p w14:paraId="4AC1A57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法规规定，受试者入选后，要使该受试者继续参与研究，无需从该受试者或该受试者的LAR获得书面知情同意。但是，IRB可能会确定，可以制定知情同意书，以便在选择继续参与研究时使用。但是，FDA指出，可能并不总是可以制定有意义的知情同意书，以便在选择继续参与研究时使用，因为相关信息可能因受试者而异，这具体取决于何时可以向受试者或其LAR提供信息。如FDA在最终规则序言中所述：</w:t>
      </w:r>
    </w:p>
    <w:p w14:paraId="30DAA3C3">
      <w:pPr>
        <w:pStyle w:val="6"/>
        <w:topLinePunct/>
        <w:adjustRightInd w:val="0"/>
        <w:snapToGrid w:val="0"/>
        <w:spacing w:after="224" w:afterLines="75" w:line="300" w:lineRule="auto"/>
        <w:ind w:left="719" w:leftChars="327"/>
        <w:jc w:val="both"/>
        <w:rPr>
          <w:rFonts w:ascii="Arial" w:hAnsi="Arial" w:cs="Arial"/>
          <w:snapToGrid w:val="0"/>
        </w:rPr>
      </w:pPr>
      <w:r>
        <w:rPr>
          <w:rFonts w:ascii="Arial" w:hAnsi="Arial" w:cs="Arial"/>
          <w:snapToGrid w:val="0"/>
        </w:rPr>
        <w:t>IRB应负责根据临床研究的性质确定，是否可能或需要编制可以签署的实际文档，以便在选择继续参与研究时使用。本机构指出，这种文档一般在参与研究后签署，但其不构成同意已经发生的事情；但是，其可以证明受试者同意继续参与研究。</w:t>
      </w:r>
      <w:r>
        <w:rPr>
          <w:rStyle w:val="22"/>
          <w:rFonts w:ascii="Arial" w:hAnsi="Arial" w:cs="Arial"/>
          <w:snapToGrid w:val="0"/>
        </w:rPr>
        <w:footnoteReference w:id="48"/>
      </w:r>
    </w:p>
    <w:p w14:paraId="16D2724B">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t>（另请参见问题105，</w:t>
      </w:r>
      <w:r>
        <w:rPr>
          <w:rFonts w:ascii="宋体" w:hAnsi="宋体" w:eastAsia="宋体" w:cs="Arial"/>
          <w:snapToGrid w:val="0"/>
          <w:sz w:val="24"/>
          <w:szCs w:val="24"/>
        </w:rPr>
        <w:t>“</w:t>
      </w:r>
      <w:r>
        <w:rPr>
          <w:rFonts w:ascii="Arial" w:hAnsi="Arial" w:eastAsia="宋体" w:cs="Arial"/>
          <w:snapToGrid w:val="0"/>
          <w:sz w:val="24"/>
          <w:szCs w:val="24"/>
        </w:rPr>
        <w:t>可行</w:t>
      </w:r>
      <w:r>
        <w:rPr>
          <w:rFonts w:ascii="宋体" w:hAnsi="宋体" w:eastAsia="宋体" w:cs="Arial"/>
          <w:snapToGrid w:val="0"/>
          <w:sz w:val="24"/>
          <w:szCs w:val="24"/>
        </w:rPr>
        <w:t>”</w:t>
      </w:r>
      <w:r>
        <w:rPr>
          <w:rFonts w:ascii="Arial" w:hAnsi="Arial" w:eastAsia="宋体" w:cs="Arial"/>
          <w:snapToGrid w:val="0"/>
          <w:sz w:val="24"/>
          <w:szCs w:val="24"/>
        </w:rPr>
        <w:t>是什么意思？）</w:t>
      </w:r>
    </w:p>
    <w:p w14:paraId="56A6EAF9">
      <w:pPr>
        <w:pStyle w:val="4"/>
        <w:numPr>
          <w:ilvl w:val="0"/>
          <w:numId w:val="3"/>
        </w:numPr>
        <w:tabs>
          <w:tab w:val="left" w:pos="601"/>
        </w:tabs>
        <w:topLinePunct/>
        <w:adjustRightInd w:val="0"/>
        <w:snapToGrid w:val="0"/>
        <w:spacing w:after="224" w:afterLines="75" w:line="300" w:lineRule="auto"/>
        <w:ind w:left="601" w:hanging="601"/>
        <w:jc w:val="both"/>
        <w:rPr>
          <w:rFonts w:ascii="Arial" w:hAnsi="Arial" w:cs="Arial"/>
          <w:b w:val="0"/>
          <w:bCs w:val="0"/>
          <w:i w:val="0"/>
          <w:snapToGrid w:val="0"/>
        </w:rPr>
      </w:pPr>
      <w:bookmarkStart w:id="406" w:name="107._In_the_event_of_a_subject’s_death,_"/>
      <w:bookmarkEnd w:id="406"/>
      <w:bookmarkStart w:id="407" w:name="_Toc498200807"/>
      <w:bookmarkStart w:id="408" w:name="_Toc498446542"/>
      <w:r>
        <w:rPr>
          <w:rFonts w:ascii="Arial" w:hAnsi="Arial" w:cs="Arial"/>
          <w:snapToGrid w:val="0"/>
        </w:rPr>
        <w:t>如果受试者死亡，是否必须向受试者的法定授权代表（LAR）或家庭成员提供关于该受试者入选研究的信息？</w:t>
      </w:r>
      <w:bookmarkEnd w:id="407"/>
      <w:bookmarkEnd w:id="408"/>
    </w:p>
    <w:p w14:paraId="4C5F631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是。IRB必须确保，已制定程序，以便在受试者死亡时，向LAR或家庭成员提供研究相关信息（如果可行）（21 CFR 50.24（b））。尽管此类法规没有具体规定应提供信息的时间，FDA建议，应尽早告知LAR或家庭成员该受试者已入选研究。通知LAR或家庭成员有助于平衡及时通知和考虑LAR或家庭成员情绪状态。因此，应咨询医院牧师或社会工作者，以尽快确定提供此信息的适当地点和时间。</w:t>
      </w:r>
    </w:p>
    <w:p w14:paraId="026A1B84">
      <w:pPr>
        <w:topLinePunct/>
        <w:adjustRightInd w:val="0"/>
        <w:snapToGrid w:val="0"/>
        <w:spacing w:after="224" w:afterLines="75" w:line="300" w:lineRule="auto"/>
        <w:jc w:val="both"/>
        <w:rPr>
          <w:rFonts w:ascii="Arial" w:hAnsi="Arial" w:eastAsia="宋体" w:cs="Arial"/>
          <w:snapToGrid w:val="0"/>
          <w:sz w:val="24"/>
          <w:szCs w:val="24"/>
        </w:rPr>
      </w:pPr>
      <w:bookmarkStart w:id="409" w:name="_bookmark171"/>
      <w:bookmarkEnd w:id="409"/>
      <w:bookmarkStart w:id="410" w:name="_bookmark172"/>
      <w:bookmarkEnd w:id="410"/>
      <w:r>
        <w:rPr>
          <w:rFonts w:ascii="Arial" w:hAnsi="Arial" w:eastAsia="宋体" w:cs="Arial"/>
          <w:snapToGrid w:val="0"/>
          <w:sz w:val="24"/>
          <w:szCs w:val="24"/>
        </w:rPr>
        <w:br w:type="page"/>
      </w:r>
    </w:p>
    <w:p w14:paraId="2978637B">
      <w:pPr>
        <w:pStyle w:val="4"/>
        <w:numPr>
          <w:ilvl w:val="0"/>
          <w:numId w:val="3"/>
        </w:numPr>
        <w:tabs>
          <w:tab w:val="left" w:pos="661"/>
        </w:tabs>
        <w:topLinePunct/>
        <w:adjustRightInd w:val="0"/>
        <w:snapToGrid w:val="0"/>
        <w:spacing w:after="224" w:afterLines="75" w:line="300" w:lineRule="auto"/>
        <w:ind w:left="661" w:hanging="661"/>
        <w:jc w:val="both"/>
        <w:rPr>
          <w:rFonts w:ascii="Arial" w:hAnsi="Arial" w:cs="Arial"/>
          <w:b w:val="0"/>
          <w:bCs w:val="0"/>
          <w:i w:val="0"/>
          <w:snapToGrid w:val="0"/>
        </w:rPr>
      </w:pPr>
      <w:bookmarkStart w:id="411" w:name="108.__When_must_information_about_the_su"/>
      <w:bookmarkEnd w:id="411"/>
      <w:bookmarkStart w:id="412" w:name="_Toc498446543"/>
      <w:bookmarkStart w:id="413" w:name="_Toc498200808"/>
      <w:r>
        <w:rPr>
          <w:rFonts w:ascii="Arial" w:hAnsi="Arial" w:cs="Arial"/>
          <w:snapToGrid w:val="0"/>
        </w:rPr>
        <w:t>必须在什么时候向受试者的法定授权代表（LAR）或家庭成员提供有关该研究已入选研究的信息？</w:t>
      </w:r>
      <w:bookmarkEnd w:id="412"/>
      <w:bookmarkEnd w:id="413"/>
    </w:p>
    <w:p w14:paraId="64DC8B1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此类法规要求尽早提供此类信息；请参见21 CFR 50.24（b）。为了确保受试者的LAR或家庭成员了解该受试者已入选研究，FDA建议研究者亲自通知LAR和家人（如果可能），或者如果无法亲自通知，研究者可以书面形式进行，并使用方法确认关于受试者参与研究的信息已送达。</w:t>
      </w:r>
    </w:p>
    <w:p w14:paraId="2B34644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（另请参见问题105，</w:t>
      </w:r>
      <w:r>
        <w:rPr>
          <w:rFonts w:ascii="宋体" w:hAnsi="宋体" w:cs="Arial"/>
          <w:snapToGrid w:val="0"/>
        </w:rPr>
        <w:t>“</w:t>
      </w:r>
      <w:r>
        <w:rPr>
          <w:rFonts w:ascii="Arial" w:hAnsi="Arial" w:cs="Arial"/>
          <w:snapToGrid w:val="0"/>
        </w:rPr>
        <w:t>可行</w:t>
      </w:r>
      <w:r>
        <w:rPr>
          <w:rFonts w:ascii="宋体" w:hAnsi="宋体" w:cs="Arial"/>
          <w:snapToGrid w:val="0"/>
        </w:rPr>
        <w:t>”</w:t>
      </w:r>
      <w:r>
        <w:rPr>
          <w:rFonts w:ascii="Arial" w:hAnsi="Arial" w:cs="Arial"/>
          <w:snapToGrid w:val="0"/>
        </w:rPr>
        <w:t>是什么意思？）</w:t>
      </w:r>
    </w:p>
    <w:p w14:paraId="3F9AD559">
      <w:pPr>
        <w:pStyle w:val="4"/>
        <w:numPr>
          <w:ilvl w:val="0"/>
          <w:numId w:val="3"/>
        </w:numPr>
        <w:tabs>
          <w:tab w:val="left" w:pos="660"/>
        </w:tabs>
        <w:topLinePunct/>
        <w:adjustRightInd w:val="0"/>
        <w:snapToGrid w:val="0"/>
        <w:spacing w:after="224" w:afterLines="75" w:line="300" w:lineRule="auto"/>
        <w:ind w:left="660" w:hanging="660"/>
        <w:jc w:val="both"/>
        <w:rPr>
          <w:rFonts w:ascii="Arial" w:hAnsi="Arial" w:cs="Arial"/>
          <w:b w:val="0"/>
          <w:bCs w:val="0"/>
          <w:i w:val="0"/>
          <w:snapToGrid w:val="0"/>
        </w:rPr>
      </w:pPr>
      <w:bookmarkStart w:id="414" w:name="109.__What_records_must_the_clinical_inv"/>
      <w:bookmarkEnd w:id="414"/>
      <w:bookmarkStart w:id="415" w:name="_Toc498446544"/>
      <w:bookmarkStart w:id="416" w:name="_Toc498200809"/>
      <w:r>
        <w:rPr>
          <w:rFonts w:ascii="Arial" w:hAnsi="Arial" w:cs="Arial"/>
          <w:snapToGrid w:val="0"/>
        </w:rPr>
        <w:t>如果临床研究者进行了旨在联系法定授权代表（LAR）或受试者家庭成员的工作，其需要维护哪些记录？</w:t>
      </w:r>
      <w:bookmarkEnd w:id="415"/>
      <w:bookmarkEnd w:id="416"/>
    </w:p>
    <w:p w14:paraId="0371C0A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临床研究者必须总结，在治疗窗内，旨在联系每例受试者的LAR以获得同意的工作，或者如果LAR不可用，联系受试者的家庭成员，确定其是否反对该受试者参与研究的工作。临床研究者必须在继续审查时向IRB提供信息（21 CFR 50.24（a）（5）和（a）（7）（v））。FDA建议临床研究者将此信息记录在受试者案例历史中（例如研究记录、受试者的病历或其他文件），以便可以轻松地检索、分析和报告给IRB，以及在FDA进行检查时可以访问。</w:t>
      </w:r>
    </w:p>
    <w:p w14:paraId="215EB3EF">
      <w:pPr>
        <w:pStyle w:val="4"/>
        <w:numPr>
          <w:ilvl w:val="0"/>
          <w:numId w:val="3"/>
        </w:numPr>
        <w:tabs>
          <w:tab w:val="left" w:pos="660"/>
        </w:tabs>
        <w:topLinePunct/>
        <w:adjustRightInd w:val="0"/>
        <w:snapToGrid w:val="0"/>
        <w:spacing w:after="224" w:afterLines="75" w:line="300" w:lineRule="auto"/>
        <w:ind w:left="0" w:firstLine="0"/>
        <w:jc w:val="both"/>
        <w:rPr>
          <w:rFonts w:ascii="Arial" w:hAnsi="Arial" w:cs="Arial"/>
          <w:b w:val="0"/>
          <w:bCs w:val="0"/>
          <w:i w:val="0"/>
          <w:snapToGrid w:val="0"/>
        </w:rPr>
      </w:pPr>
      <w:bookmarkStart w:id="417" w:name="110.__What_access_do_clinical_investigat"/>
      <w:bookmarkEnd w:id="417"/>
      <w:bookmarkStart w:id="418" w:name="_Toc498446545"/>
      <w:bookmarkStart w:id="419" w:name="_Toc498200810"/>
      <w:r>
        <w:rPr>
          <w:rFonts w:ascii="Arial" w:hAnsi="Arial" w:cs="Arial"/>
          <w:snapToGrid w:val="0"/>
        </w:rPr>
        <w:t>临床研究者可以通过哪些途径获得研究对象的医疗记录？</w:t>
      </w:r>
      <w:bookmarkEnd w:id="418"/>
      <w:bookmarkEnd w:id="419"/>
    </w:p>
    <w:p w14:paraId="59FA18D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许多紧急研究包括死亡率和发病率端点。拥有有关两种类型端点的信息对供试品评价至关重要。获得有关发病率端点的信息通常需要检查受试者或审查受试者的病历。</w:t>
      </w:r>
    </w:p>
    <w:p w14:paraId="53747EF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FDA法规要求临床研究者准备并维护足够准确的案例历史（21 CFR 312.62（b）和812.140（a））。一般来说，研究者应可以使用从招募到出院或死亡期间生成和维护的所有记录，除非受试者或受试者的法定授权代表（LAR）或家庭成员中止该受试者参与研究（如果已经中止受试者参与研究，另请参见问题111）</w:t>
      </w:r>
    </w:p>
    <w:p w14:paraId="4C0C1FF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如果研究者也担任受试者的私人医生，则研究者可继续使用受试者的病历，除非受试者或受试者的LAR中止该受试者参与研究（另请参见问题111）</w:t>
      </w:r>
    </w:p>
    <w:p w14:paraId="42B0D2A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如果受试者已经出院或转移到另一医疗机构（例如康复中心，疗养院），而且研究者不再参与受试者的日常护理，则研究者就必须联系受试者或其LAR，请求从受试者的治疗医师和／或医疗机构获得病例。</w:t>
      </w:r>
    </w:p>
    <w:p w14:paraId="488D9272">
      <w:pPr>
        <w:rPr>
          <w:rFonts w:ascii="Arial" w:hAnsi="Arial" w:eastAsia="宋体" w:cs="Arial"/>
          <w:b/>
          <w:bCs/>
          <w:i/>
          <w:snapToGrid w:val="0"/>
          <w:sz w:val="24"/>
          <w:szCs w:val="24"/>
        </w:rPr>
      </w:pPr>
      <w:bookmarkStart w:id="420" w:name="111.__If_a_subject,_legally_authorized_r"/>
      <w:bookmarkEnd w:id="420"/>
      <w:bookmarkStart w:id="421" w:name="_bookmark181"/>
      <w:bookmarkEnd w:id="421"/>
      <w:bookmarkStart w:id="422" w:name="_Toc498200811"/>
      <w:r>
        <w:rPr>
          <w:rFonts w:ascii="Arial" w:hAnsi="Arial" w:cs="Arial"/>
          <w:snapToGrid w:val="0"/>
        </w:rPr>
        <w:br w:type="page"/>
      </w:r>
    </w:p>
    <w:p w14:paraId="23313FEE">
      <w:pPr>
        <w:pStyle w:val="4"/>
        <w:numPr>
          <w:ilvl w:val="0"/>
          <w:numId w:val="3"/>
        </w:numPr>
        <w:tabs>
          <w:tab w:val="left" w:pos="661"/>
        </w:tabs>
        <w:topLinePunct/>
        <w:adjustRightInd w:val="0"/>
        <w:snapToGrid w:val="0"/>
        <w:spacing w:after="224" w:afterLines="75" w:line="300" w:lineRule="auto"/>
        <w:ind w:left="661" w:hanging="661"/>
        <w:jc w:val="both"/>
        <w:rPr>
          <w:rFonts w:ascii="Arial" w:hAnsi="Arial" w:cs="Arial"/>
          <w:b w:val="0"/>
          <w:bCs w:val="0"/>
          <w:i w:val="0"/>
          <w:snapToGrid w:val="0"/>
        </w:rPr>
      </w:pPr>
      <w:bookmarkStart w:id="423" w:name="_Toc498446546"/>
      <w:r>
        <w:rPr>
          <w:rFonts w:ascii="Arial" w:hAnsi="Arial" w:cs="Arial"/>
          <w:snapToGrid w:val="0"/>
        </w:rPr>
        <w:t>如果受试者、法定授权代表（LAR）或家庭成员中止受试者参与研究，研究者仍可以使用哪些记录？</w:t>
      </w:r>
      <w:bookmarkEnd w:id="422"/>
      <w:bookmarkEnd w:id="423"/>
    </w:p>
    <w:p w14:paraId="2CC5CEE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如果受试者或受试者的LAR中止该受试者参与研究，研究者可继续使用已经收集的数据。</w:t>
      </w:r>
    </w:p>
    <w:p w14:paraId="056C5B22">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但是，在中止之后（即使受试者未出院），研究者不得再次使用受试者的医疗记录，除非受试者或受试者的LAR特别同意使用。</w:t>
      </w:r>
    </w:p>
    <w:p w14:paraId="38336947">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如果受试者或受试者的LAR已中止受试者参与研究，并且该受试者随后死亡，则如果要使用中止到受试者死亡期间的个体病例，必须从该个体的LAR获得使用授权。</w:t>
      </w:r>
      <w:bookmarkStart w:id="424" w:name="translation_sen_id-3"/>
      <w:r>
        <w:rPr>
          <w:rFonts w:ascii="Arial" w:hAnsi="Arial" w:cs="Arial"/>
          <w:snapToGrid w:val="0"/>
        </w:rPr>
        <w:fldChar w:fldCharType="begin"/>
      </w:r>
      <w:r>
        <w:rPr>
          <w:rFonts w:ascii="Arial" w:hAnsi="Arial" w:cs="Arial"/>
          <w:snapToGrid w:val="0"/>
        </w:rPr>
        <w:instrText xml:space="preserve"> HYPERLINK "http://cn.bing.com/dict/search?q=%E5%81%A5%E5%BA%B7&amp;FORM=BDVSP6&amp;mkt=zh-cn" </w:instrText>
      </w:r>
      <w:r>
        <w:rPr>
          <w:rFonts w:ascii="Arial" w:hAnsi="Arial" w:cs="Arial"/>
          <w:snapToGrid w:val="0"/>
        </w:rPr>
        <w:fldChar w:fldCharType="separate"/>
      </w:r>
      <w:r>
        <w:rPr>
          <w:rFonts w:ascii="Arial" w:hAnsi="Arial" w:cs="Arial"/>
          <w:snapToGrid w:val="0"/>
        </w:rPr>
        <w:t>健康</w:t>
      </w:r>
      <w:r>
        <w:rPr>
          <w:rFonts w:ascii="Arial" w:hAnsi="Arial" w:cs="Arial"/>
          <w:snapToGrid w:val="0"/>
        </w:rPr>
        <w:fldChar w:fldCharType="end"/>
      </w:r>
      <w:bookmarkEnd w:id="424"/>
      <w:bookmarkStart w:id="425" w:name="translation_sen_id-2"/>
      <w:r>
        <w:rPr>
          <w:rFonts w:ascii="Arial" w:hAnsi="Arial" w:cs="Arial"/>
          <w:snapToGrid w:val="0"/>
        </w:rPr>
        <w:fldChar w:fldCharType="begin"/>
      </w:r>
      <w:r>
        <w:rPr>
          <w:rFonts w:ascii="Arial" w:hAnsi="Arial" w:cs="Arial"/>
          <w:snapToGrid w:val="0"/>
        </w:rPr>
        <w:instrText xml:space="preserve"> HYPERLINK "http://cn.bing.com/dict/search?q=%E4%BF%A1%E6%81%AF&amp;FORM=BDVSP6&amp;mkt=zh-cn" </w:instrText>
      </w:r>
      <w:r>
        <w:rPr>
          <w:rFonts w:ascii="Arial" w:hAnsi="Arial" w:cs="Arial"/>
          <w:snapToGrid w:val="0"/>
        </w:rPr>
        <w:fldChar w:fldCharType="separate"/>
      </w:r>
      <w:r>
        <w:rPr>
          <w:rFonts w:ascii="Arial" w:hAnsi="Arial" w:cs="Arial"/>
          <w:snapToGrid w:val="0"/>
        </w:rPr>
        <w:t>信息</w:t>
      </w:r>
      <w:r>
        <w:rPr>
          <w:rFonts w:ascii="Arial" w:hAnsi="Arial" w:cs="Arial"/>
          <w:snapToGrid w:val="0"/>
        </w:rPr>
        <w:fldChar w:fldCharType="end"/>
      </w:r>
      <w:bookmarkEnd w:id="425"/>
      <w:bookmarkStart w:id="426" w:name="translation_sen_id-4"/>
      <w:r>
        <w:rPr>
          <w:rFonts w:ascii="Arial" w:hAnsi="Arial" w:cs="Arial"/>
          <w:snapToGrid w:val="0"/>
        </w:rPr>
        <w:fldChar w:fldCharType="begin"/>
      </w:r>
      <w:r>
        <w:rPr>
          <w:rFonts w:ascii="Arial" w:hAnsi="Arial" w:cs="Arial"/>
          <w:snapToGrid w:val="0"/>
        </w:rPr>
        <w:instrText xml:space="preserve"> HYPERLINK "http://cn.bing.com/dict/search?q=%E6%B5%81%E9%80%9A&amp;FORM=BDVSP6&amp;mkt=zh-cn" </w:instrText>
      </w:r>
      <w:r>
        <w:rPr>
          <w:rFonts w:ascii="Arial" w:hAnsi="Arial" w:cs="Arial"/>
          <w:snapToGrid w:val="0"/>
        </w:rPr>
        <w:fldChar w:fldCharType="separate"/>
      </w:r>
      <w:r>
        <w:rPr>
          <w:rFonts w:ascii="Arial" w:hAnsi="Arial" w:cs="Arial"/>
          <w:snapToGrid w:val="0"/>
        </w:rPr>
        <w:t>流通</w:t>
      </w:r>
      <w:r>
        <w:rPr>
          <w:rFonts w:ascii="Arial" w:hAnsi="Arial" w:cs="Arial"/>
          <w:snapToGrid w:val="0"/>
        </w:rPr>
        <w:fldChar w:fldCharType="end"/>
      </w:r>
      <w:bookmarkEnd w:id="426"/>
      <w:bookmarkStart w:id="427" w:name="translation_sen_id-5"/>
      <w:r>
        <w:rPr>
          <w:rFonts w:ascii="Arial" w:hAnsi="Arial" w:cs="Arial"/>
          <w:snapToGrid w:val="0"/>
        </w:rPr>
        <w:fldChar w:fldCharType="begin"/>
      </w:r>
      <w:r>
        <w:rPr>
          <w:rFonts w:ascii="Arial" w:hAnsi="Arial" w:cs="Arial"/>
          <w:snapToGrid w:val="0"/>
        </w:rPr>
        <w:instrText xml:space="preserve"> HYPERLINK "http://cn.bing.com/dict/search?q=%E4%B8%8E&amp;FORM=BDVSP6&amp;mkt=zh-cn" </w:instrText>
      </w:r>
      <w:r>
        <w:rPr>
          <w:rFonts w:ascii="Arial" w:hAnsi="Arial" w:cs="Arial"/>
          <w:snapToGrid w:val="0"/>
        </w:rPr>
        <w:fldChar w:fldCharType="separate"/>
      </w:r>
      <w:r>
        <w:rPr>
          <w:rFonts w:ascii="Arial" w:hAnsi="Arial" w:cs="Arial"/>
          <w:snapToGrid w:val="0"/>
        </w:rPr>
        <w:t>与</w:t>
      </w:r>
      <w:r>
        <w:rPr>
          <w:rFonts w:ascii="Arial" w:hAnsi="Arial" w:cs="Arial"/>
          <w:snapToGrid w:val="0"/>
        </w:rPr>
        <w:fldChar w:fldCharType="end"/>
      </w:r>
      <w:bookmarkEnd w:id="427"/>
      <w:bookmarkStart w:id="428" w:name="translation_sen_id-6"/>
      <w:r>
        <w:rPr>
          <w:rFonts w:ascii="Arial" w:hAnsi="Arial" w:cs="Arial"/>
          <w:snapToGrid w:val="0"/>
        </w:rPr>
        <w:fldChar w:fldCharType="begin"/>
      </w:r>
      <w:r>
        <w:rPr>
          <w:rFonts w:ascii="Arial" w:hAnsi="Arial" w:cs="Arial"/>
          <w:snapToGrid w:val="0"/>
        </w:rPr>
        <w:instrText xml:space="preserve"> HYPERLINK "http://cn.bing.com/dict/search?q=%E8%B4%A3%E4%BB%BB&amp;FORM=BDVSP6&amp;mkt=zh-cn" </w:instrText>
      </w:r>
      <w:r>
        <w:rPr>
          <w:rFonts w:ascii="Arial" w:hAnsi="Arial" w:cs="Arial"/>
          <w:snapToGrid w:val="0"/>
        </w:rPr>
        <w:fldChar w:fldCharType="separate"/>
      </w:r>
      <w:r>
        <w:rPr>
          <w:rFonts w:ascii="Arial" w:hAnsi="Arial" w:cs="Arial"/>
          <w:snapToGrid w:val="0"/>
        </w:rPr>
        <w:t>责任</w:t>
      </w:r>
      <w:r>
        <w:rPr>
          <w:rFonts w:ascii="Arial" w:hAnsi="Arial" w:cs="Arial"/>
          <w:snapToGrid w:val="0"/>
        </w:rPr>
        <w:fldChar w:fldCharType="end"/>
      </w:r>
      <w:bookmarkEnd w:id="428"/>
      <w:bookmarkStart w:id="429" w:name="translation_sen_id-7"/>
      <w:r>
        <w:rPr>
          <w:rFonts w:ascii="Arial" w:hAnsi="Arial" w:cs="Arial"/>
          <w:snapToGrid w:val="0"/>
        </w:rPr>
        <w:fldChar w:fldCharType="begin"/>
      </w:r>
      <w:r>
        <w:rPr>
          <w:rFonts w:ascii="Arial" w:hAnsi="Arial" w:cs="Arial"/>
          <w:snapToGrid w:val="0"/>
        </w:rPr>
        <w:instrText xml:space="preserve"> HYPERLINK "http://cn.bing.com/dict/search?q=%E6%B3%95%E6%A1%88&amp;FORM=BDVSP6&amp;mkt=zh-cn" </w:instrText>
      </w:r>
      <w:r>
        <w:rPr>
          <w:rFonts w:ascii="Arial" w:hAnsi="Arial" w:cs="Arial"/>
          <w:snapToGrid w:val="0"/>
        </w:rPr>
        <w:fldChar w:fldCharType="separate"/>
      </w:r>
      <w:r>
        <w:rPr>
          <w:rFonts w:ascii="Arial" w:hAnsi="Arial" w:cs="Arial"/>
          <w:snapToGrid w:val="0"/>
        </w:rPr>
        <w:t>法案</w:t>
      </w:r>
      <w:r>
        <w:rPr>
          <w:rFonts w:ascii="Arial" w:hAnsi="Arial" w:cs="Arial"/>
          <w:snapToGrid w:val="0"/>
        </w:rPr>
        <w:fldChar w:fldCharType="end"/>
      </w:r>
      <w:bookmarkEnd w:id="429"/>
      <w:r>
        <w:rPr>
          <w:rFonts w:ascii="Arial" w:hAnsi="Arial" w:cs="Arial"/>
          <w:snapToGrid w:val="0"/>
        </w:rPr>
        <w:t>（HIPAA）</w:t>
      </w:r>
      <w:bookmarkStart w:id="430" w:name="translation_sen_id-1"/>
      <w:r>
        <w:rPr>
          <w:rFonts w:ascii="Arial" w:hAnsi="Arial" w:cs="Arial"/>
          <w:snapToGrid w:val="0"/>
        </w:rPr>
        <w:t>的</w:t>
      </w:r>
      <w:r>
        <w:fldChar w:fldCharType="begin"/>
      </w:r>
      <w:r>
        <w:instrText xml:space="preserve"> HYPERLINK "http://cn.bing.com/dict/search?q=%E8%A7%84%E5%AE%9A&amp;FORM=BDVSP6&amp;mkt=zh-cn" </w:instrText>
      </w:r>
      <w:r>
        <w:fldChar w:fldCharType="separate"/>
      </w:r>
      <w:r>
        <w:rPr>
          <w:rFonts w:ascii="Arial" w:hAnsi="Arial" w:cs="Arial"/>
          <w:snapToGrid w:val="0"/>
        </w:rPr>
        <w:t>规定</w:t>
      </w:r>
      <w:r>
        <w:rPr>
          <w:rFonts w:ascii="Arial" w:hAnsi="Arial" w:cs="Arial"/>
          <w:snapToGrid w:val="0"/>
        </w:rPr>
        <w:fldChar w:fldCharType="end"/>
      </w:r>
      <w:bookmarkEnd w:id="430"/>
      <w:r>
        <w:rPr>
          <w:rStyle w:val="22"/>
          <w:rFonts w:ascii="Arial" w:hAnsi="Arial" w:cs="Arial"/>
          <w:snapToGrid w:val="0"/>
        </w:rPr>
        <w:footnoteReference w:id="49"/>
      </w:r>
      <w:r>
        <w:rPr>
          <w:rFonts w:ascii="Arial" w:hAnsi="Arial" w:cs="Arial"/>
          <w:snapToGrid w:val="0"/>
        </w:rPr>
        <w:t>可适用于发放死亡个体的病历；也可能有适用的州或地方法律。请参见问题113。</w:t>
      </w:r>
    </w:p>
    <w:p w14:paraId="5B742EA4">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（另请参见FDA指南</w:t>
      </w:r>
      <w:r>
        <w:rPr>
          <w:rFonts w:ascii="宋体" w:hAnsi="宋体" w:cs="Arial"/>
          <w:snapToGrid w:val="0"/>
        </w:rPr>
        <w:t>“</w:t>
      </w:r>
      <w:r>
        <w:rPr>
          <w:rFonts w:ascii="Arial" w:hAnsi="Arial" w:cs="Arial"/>
          <w:snapToGrid w:val="0"/>
        </w:rPr>
        <w:t>当受试者退出FDA监管临床试验时的数据保留</w:t>
      </w:r>
      <w:r>
        <w:rPr>
          <w:rFonts w:ascii="宋体" w:hAnsi="宋体" w:cs="Arial"/>
          <w:snapToGrid w:val="0"/>
        </w:rPr>
        <w:t>”</w:t>
      </w:r>
      <w:r>
        <w:rPr>
          <w:rStyle w:val="22"/>
          <w:rFonts w:ascii="宋体" w:hAnsi="宋体" w:cs="Arial"/>
          <w:snapToGrid w:val="0"/>
        </w:rPr>
        <w:footnoteReference w:id="50"/>
      </w:r>
      <w:r>
        <w:rPr>
          <w:rFonts w:ascii="Arial" w:hAnsi="Arial" w:cs="Arial"/>
          <w:snapToGrid w:val="0"/>
        </w:rPr>
        <w:t>）</w:t>
      </w:r>
    </w:p>
    <w:p w14:paraId="70785ED8">
      <w:pPr>
        <w:pStyle w:val="4"/>
        <w:numPr>
          <w:ilvl w:val="0"/>
          <w:numId w:val="3"/>
        </w:numPr>
        <w:tabs>
          <w:tab w:val="left" w:pos="660"/>
        </w:tabs>
        <w:topLinePunct/>
        <w:adjustRightInd w:val="0"/>
        <w:snapToGrid w:val="0"/>
        <w:spacing w:after="224" w:afterLines="75" w:line="300" w:lineRule="auto"/>
        <w:ind w:left="660" w:hanging="660"/>
        <w:jc w:val="both"/>
        <w:rPr>
          <w:rFonts w:ascii="Arial" w:hAnsi="Arial" w:cs="Arial"/>
          <w:b w:val="0"/>
          <w:bCs w:val="0"/>
          <w:i w:val="0"/>
          <w:snapToGrid w:val="0"/>
        </w:rPr>
      </w:pPr>
      <w:bookmarkStart w:id="431" w:name="112.__Why_is_access_to_subjects’_data_(e"/>
      <w:bookmarkEnd w:id="431"/>
      <w:bookmarkStart w:id="432" w:name="_Toc498200812"/>
      <w:bookmarkStart w:id="433" w:name="_Toc498446547"/>
      <w:r>
        <w:rPr>
          <w:rFonts w:ascii="Arial" w:hAnsi="Arial" w:cs="Arial"/>
          <w:snapToGrid w:val="0"/>
        </w:rPr>
        <w:t>为什么获取受试者的数据（例如医学和研究记录）如此重要？受试者是否可以收回已经收集的数据或者研究数据库中的结果？</w:t>
      </w:r>
      <w:r>
        <w:fldChar w:fldCharType="begin"/>
      </w:r>
      <w:r>
        <w:instrText xml:space="preserve"> HYPERLINK \l "_bookmark181" </w:instrText>
      </w:r>
      <w:r>
        <w:fldChar w:fldCharType="separate"/>
      </w:r>
      <w:r>
        <w:rPr>
          <w:rFonts w:ascii="Arial" w:hAnsi="Arial" w:cs="Arial"/>
          <w:snapToGrid w:val="0"/>
          <w:vertAlign w:val="superscript"/>
        </w:rPr>
        <w:t>51</w:t>
      </w:r>
      <w:bookmarkEnd w:id="432"/>
      <w:bookmarkEnd w:id="433"/>
      <w:r>
        <w:rPr>
          <w:rFonts w:ascii="Arial" w:hAnsi="Arial" w:cs="Arial"/>
          <w:snapToGrid w:val="0"/>
          <w:vertAlign w:val="superscript"/>
        </w:rPr>
        <w:fldChar w:fldCharType="end"/>
      </w:r>
    </w:p>
    <w:p w14:paraId="03CB544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受试者不得撤回已经收集的数据使用授权。FDA法规要求研究者准备和维护足够的案例历史，记录研究中与使用研究产品治疗的每个个体相关的所有观察结果和其他数据。如果受试者能够决定是否应纳入或排除已收集的数据，则可能会产生巨大偏移，特别是在临床研究未设盲时。</w:t>
      </w:r>
    </w:p>
    <w:p w14:paraId="09AC304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FDA需要了解研究产品的所有重要影响，以便机构（1）确保研究结果无偏倚，（2）确定产品的安全性和有效性。</w:t>
      </w:r>
    </w:p>
    <w:p w14:paraId="78C8BB68">
      <w:pPr>
        <w:pStyle w:val="4"/>
        <w:numPr>
          <w:ilvl w:val="0"/>
          <w:numId w:val="3"/>
        </w:numPr>
        <w:tabs>
          <w:tab w:val="left" w:pos="660"/>
        </w:tabs>
        <w:topLinePunct/>
        <w:adjustRightInd w:val="0"/>
        <w:snapToGrid w:val="0"/>
        <w:spacing w:after="224" w:afterLines="75" w:line="300" w:lineRule="auto"/>
        <w:ind w:left="0" w:firstLine="0"/>
        <w:jc w:val="both"/>
        <w:rPr>
          <w:rFonts w:ascii="Arial" w:hAnsi="Arial" w:cs="Arial"/>
          <w:b w:val="0"/>
          <w:bCs w:val="0"/>
          <w:i w:val="0"/>
          <w:snapToGrid w:val="0"/>
        </w:rPr>
      </w:pPr>
      <w:bookmarkStart w:id="434" w:name="113.__Can_information_about_a_subject’s_"/>
      <w:bookmarkEnd w:id="434"/>
      <w:bookmarkStart w:id="435" w:name="_Toc498446548"/>
      <w:bookmarkStart w:id="436" w:name="_Toc498200813"/>
      <w:r>
        <w:rPr>
          <w:rFonts w:ascii="Arial" w:hAnsi="Arial" w:cs="Arial"/>
          <w:snapToGrid w:val="0"/>
        </w:rPr>
        <w:t>受试者中止参与研究后，是否还可以收集有关受试者死亡的信息？</w:t>
      </w:r>
      <w:bookmarkEnd w:id="435"/>
      <w:bookmarkEnd w:id="436"/>
    </w:p>
    <w:p w14:paraId="3D2C027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是。虽然受试者可能已经中止参与研究，但有关受试者死亡的数据将记录在公共生命统计记录中。使用公共记录不受21 CFR 50.24或其他FDA法规的约束。</w:t>
      </w:r>
    </w:p>
    <w:p w14:paraId="6928377A">
      <w:pPr>
        <w:topLinePunct/>
        <w:adjustRightInd w:val="0"/>
        <w:snapToGrid w:val="0"/>
        <w:spacing w:after="224" w:afterLines="75" w:line="300" w:lineRule="auto"/>
        <w:jc w:val="both"/>
        <w:rPr>
          <w:rFonts w:ascii="Arial" w:hAnsi="Arial" w:eastAsia="宋体" w:cs="Arial"/>
          <w:snapToGrid w:val="0"/>
          <w:sz w:val="24"/>
          <w:szCs w:val="24"/>
        </w:rPr>
      </w:pPr>
      <w:bookmarkStart w:id="437" w:name="_bookmark180"/>
      <w:bookmarkEnd w:id="437"/>
      <w:bookmarkStart w:id="438" w:name="_bookmark179"/>
      <w:bookmarkEnd w:id="438"/>
      <w:r>
        <w:rPr>
          <w:rFonts w:ascii="Arial" w:hAnsi="Arial" w:eastAsia="宋体" w:cs="Arial"/>
          <w:snapToGrid w:val="0"/>
          <w:sz w:val="24"/>
          <w:szCs w:val="24"/>
        </w:rPr>
        <w:br w:type="page"/>
      </w:r>
    </w:p>
    <w:p w14:paraId="60C466BC">
      <w:pPr>
        <w:pStyle w:val="4"/>
        <w:numPr>
          <w:ilvl w:val="0"/>
          <w:numId w:val="3"/>
        </w:numPr>
        <w:tabs>
          <w:tab w:val="left" w:pos="660"/>
        </w:tabs>
        <w:topLinePunct/>
        <w:adjustRightInd w:val="0"/>
        <w:snapToGrid w:val="0"/>
        <w:spacing w:after="224" w:afterLines="75" w:line="300" w:lineRule="auto"/>
        <w:ind w:left="660" w:hanging="660"/>
        <w:jc w:val="both"/>
        <w:rPr>
          <w:rFonts w:ascii="Arial" w:hAnsi="Arial" w:cs="Arial"/>
          <w:b w:val="0"/>
          <w:bCs w:val="0"/>
          <w:i w:val="0"/>
          <w:snapToGrid w:val="0"/>
        </w:rPr>
      </w:pPr>
      <w:bookmarkStart w:id="439" w:name="114.__Do_FDA’s_regulations_require_that_"/>
      <w:bookmarkEnd w:id="439"/>
      <w:bookmarkStart w:id="440" w:name="_Toc498446549"/>
      <w:bookmarkStart w:id="441" w:name="_Toc498200814"/>
      <w:r>
        <w:rPr>
          <w:rFonts w:ascii="Arial" w:hAnsi="Arial" w:cs="Arial"/>
          <w:snapToGrid w:val="0"/>
        </w:rPr>
        <w:t>FDA法规要求是否在获得公开记录之前，从已故受试者的家庭成员获得知情同意？</w:t>
      </w:r>
      <w:bookmarkEnd w:id="440"/>
      <w:bookmarkEnd w:id="441"/>
    </w:p>
    <w:p w14:paraId="2575FC5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否。使用公共记录不受21 CFR 50.24或其他FDA法规的约束。可以使用和收集死亡记录所载信息，而无需</w:t>
      </w:r>
      <w:r>
        <w:rPr>
          <w:rFonts w:hint="eastAsia" w:ascii="Arial" w:hAnsi="Arial" w:cs="Arial"/>
          <w:snapToGrid w:val="0"/>
        </w:rPr>
        <w:t>遵循</w:t>
      </w:r>
      <w:r>
        <w:rPr>
          <w:rFonts w:ascii="Arial" w:hAnsi="Arial" w:cs="Arial"/>
          <w:snapToGrid w:val="0"/>
        </w:rPr>
        <w:t>FDA的知情同意要求。</w:t>
      </w:r>
    </w:p>
    <w:p w14:paraId="48723E0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根据FDA法规，</w:t>
      </w:r>
      <w:r>
        <w:rPr>
          <w:rFonts w:ascii="宋体" w:hAnsi="宋体" w:cs="Arial"/>
          <w:snapToGrid w:val="0"/>
        </w:rPr>
        <w:t>“</w:t>
      </w:r>
      <w:r>
        <w:rPr>
          <w:rFonts w:ascii="Arial" w:hAnsi="Arial" w:cs="Arial"/>
          <w:snapToGrid w:val="0"/>
        </w:rPr>
        <w:t>受试者</w:t>
      </w:r>
      <w:r>
        <w:rPr>
          <w:rFonts w:ascii="宋体" w:hAnsi="宋体" w:cs="Arial"/>
          <w:snapToGrid w:val="0"/>
        </w:rPr>
        <w:t>”</w:t>
      </w:r>
      <w:r>
        <w:rPr>
          <w:rFonts w:ascii="Arial" w:hAnsi="Arial" w:cs="Arial"/>
          <w:snapToGrid w:val="0"/>
        </w:rPr>
        <w:t>是指充当或作为供试品受体或作为对照参与研究的个体。受试者可能是健康人或患者。</w:t>
      </w:r>
      <w:r>
        <w:rPr>
          <w:rFonts w:ascii="宋体" w:hAnsi="宋体" w:cs="Arial"/>
          <w:snapToGrid w:val="0"/>
        </w:rPr>
        <w:t>“</w:t>
      </w:r>
      <w:r>
        <w:rPr>
          <w:rFonts w:ascii="Arial" w:hAnsi="Arial" w:cs="Arial"/>
          <w:snapToGrid w:val="0"/>
        </w:rPr>
        <w:t>（请参见21 CFR 50.3（g）；类似表述见21 CFR 312.3和812.3（p）。）FDA认为，其法规仅适用于涉及活的受试者的研究。由于所参考的个体已死亡，此类审查不符合FDA的定义，即研究涉及受试者。FDA还认为，在任何情况下，对公共死亡记录进行有限访问符合紧急研究的知情同意豁免规定。</w:t>
      </w:r>
      <w:r>
        <w:rPr>
          <w:rStyle w:val="22"/>
          <w:rFonts w:ascii="Arial" w:hAnsi="Arial" w:cs="Arial"/>
          <w:snapToGrid w:val="0"/>
        </w:rPr>
        <w:footnoteReference w:id="51"/>
      </w:r>
    </w:p>
    <w:p w14:paraId="4FFCEA0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尸检记录的公共访问将由适用的州或地方法律和法规确定。</w:t>
      </w:r>
    </w:p>
    <w:p w14:paraId="7AAA44F9">
      <w:pPr>
        <w:pStyle w:val="4"/>
        <w:numPr>
          <w:ilvl w:val="0"/>
          <w:numId w:val="3"/>
        </w:numPr>
        <w:tabs>
          <w:tab w:val="left" w:pos="601"/>
        </w:tabs>
        <w:topLinePunct/>
        <w:adjustRightInd w:val="0"/>
        <w:snapToGrid w:val="0"/>
        <w:spacing w:after="224" w:afterLines="75" w:line="300" w:lineRule="auto"/>
        <w:ind w:left="601" w:hanging="601"/>
        <w:jc w:val="both"/>
        <w:rPr>
          <w:rFonts w:ascii="Arial" w:hAnsi="Arial" w:cs="Arial"/>
          <w:b w:val="0"/>
          <w:bCs w:val="0"/>
          <w:i w:val="0"/>
          <w:snapToGrid w:val="0"/>
        </w:rPr>
      </w:pPr>
      <w:bookmarkStart w:id="442" w:name="115._For_emergency_research_under_21_CFR"/>
      <w:bookmarkEnd w:id="442"/>
      <w:bookmarkStart w:id="443" w:name="_Toc498446550"/>
      <w:bookmarkStart w:id="444" w:name="_Toc498200815"/>
      <w:r>
        <w:rPr>
          <w:rFonts w:ascii="Arial" w:hAnsi="Arial" w:cs="Arial"/>
          <w:snapToGrid w:val="0"/>
        </w:rPr>
        <w:t>如果紧急研究已根据21 CFR 50.24豁免知情同意，IRB或隐私委员会可否豁免HIPAA隐私规则第45 CFR 164.508条要求的授权要求？</w:t>
      </w:r>
      <w:bookmarkEnd w:id="443"/>
      <w:bookmarkEnd w:id="444"/>
    </w:p>
    <w:p w14:paraId="309E824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是。根据1996年</w:t>
      </w:r>
      <w:r>
        <w:fldChar w:fldCharType="begin"/>
      </w:r>
      <w:r>
        <w:instrText xml:space="preserve"> HYPERLINK "http://cn.bing.com/dict/search?q=%E5%81%A5%E5%BA%B7&amp;FORM=BDVSP6&amp;mkt=zh-cn" </w:instrText>
      </w:r>
      <w:r>
        <w:fldChar w:fldCharType="separate"/>
      </w:r>
      <w:r>
        <w:rPr>
          <w:rFonts w:ascii="Arial" w:hAnsi="Arial" w:cs="Arial"/>
          <w:snapToGrid w:val="0"/>
        </w:rPr>
        <w:t>健康</w:t>
      </w:r>
      <w:r>
        <w:rPr>
          <w:rFonts w:ascii="Arial" w:hAnsi="Arial" w:cs="Arial"/>
          <w:snapToGrid w:val="0"/>
        </w:rPr>
        <w:fldChar w:fldCharType="end"/>
      </w:r>
      <w:r>
        <w:fldChar w:fldCharType="begin"/>
      </w:r>
      <w:r>
        <w:instrText xml:space="preserve"> HYPERLINK "http://cn.bing.com/dict/search?q=%E4%BF%A1%E6%81%AF&amp;FORM=BDVSP6&amp;mkt=zh-cn" </w:instrText>
      </w:r>
      <w:r>
        <w:fldChar w:fldCharType="separate"/>
      </w:r>
      <w:r>
        <w:rPr>
          <w:rFonts w:ascii="Arial" w:hAnsi="Arial" w:cs="Arial"/>
          <w:snapToGrid w:val="0"/>
        </w:rPr>
        <w:t>信息</w:t>
      </w:r>
      <w:r>
        <w:rPr>
          <w:rFonts w:ascii="Arial" w:hAnsi="Arial" w:cs="Arial"/>
          <w:snapToGrid w:val="0"/>
        </w:rPr>
        <w:fldChar w:fldCharType="end"/>
      </w:r>
      <w:r>
        <w:fldChar w:fldCharType="begin"/>
      </w:r>
      <w:r>
        <w:instrText xml:space="preserve"> HYPERLINK "http://cn.bing.com/dict/search?q=%E6%B5%81%E9%80%9A&amp;FORM=BDVSP6&amp;mkt=zh-cn" </w:instrText>
      </w:r>
      <w:r>
        <w:fldChar w:fldCharType="separate"/>
      </w:r>
      <w:r>
        <w:rPr>
          <w:rFonts w:ascii="Arial" w:hAnsi="Arial" w:cs="Arial"/>
          <w:snapToGrid w:val="0"/>
        </w:rPr>
        <w:t>流通</w:t>
      </w:r>
      <w:r>
        <w:rPr>
          <w:rFonts w:ascii="Arial" w:hAnsi="Arial" w:cs="Arial"/>
          <w:snapToGrid w:val="0"/>
        </w:rPr>
        <w:fldChar w:fldCharType="end"/>
      </w:r>
      <w:r>
        <w:fldChar w:fldCharType="begin"/>
      </w:r>
      <w:r>
        <w:instrText xml:space="preserve"> HYPERLINK "http://cn.bing.com/dict/search?q=%E4%B8%8E&amp;FORM=BDVSP6&amp;mkt=zh-cn" </w:instrText>
      </w:r>
      <w:r>
        <w:fldChar w:fldCharType="separate"/>
      </w:r>
      <w:r>
        <w:rPr>
          <w:rFonts w:ascii="Arial" w:hAnsi="Arial" w:cs="Arial"/>
          <w:snapToGrid w:val="0"/>
        </w:rPr>
        <w:t>与</w:t>
      </w:r>
      <w:r>
        <w:rPr>
          <w:rFonts w:ascii="Arial" w:hAnsi="Arial" w:cs="Arial"/>
          <w:snapToGrid w:val="0"/>
        </w:rPr>
        <w:fldChar w:fldCharType="end"/>
      </w:r>
      <w:r>
        <w:fldChar w:fldCharType="begin"/>
      </w:r>
      <w:r>
        <w:instrText xml:space="preserve"> HYPERLINK "http://cn.bing.com/dict/search?q=%E8%B4%A3%E4%BB%BB&amp;FORM=BDVSP6&amp;mkt=zh-cn" </w:instrText>
      </w:r>
      <w:r>
        <w:fldChar w:fldCharType="separate"/>
      </w:r>
      <w:r>
        <w:rPr>
          <w:rFonts w:ascii="Arial" w:hAnsi="Arial" w:cs="Arial"/>
          <w:snapToGrid w:val="0"/>
        </w:rPr>
        <w:t>责任</w:t>
      </w:r>
      <w:r>
        <w:rPr>
          <w:rFonts w:ascii="Arial" w:hAnsi="Arial" w:cs="Arial"/>
          <w:snapToGrid w:val="0"/>
        </w:rPr>
        <w:fldChar w:fldCharType="end"/>
      </w:r>
      <w:r>
        <w:fldChar w:fldCharType="begin"/>
      </w:r>
      <w:r>
        <w:instrText xml:space="preserve"> HYPERLINK "http://cn.bing.com/dict/search?q=%E6%B3%95%E6%A1%88&amp;FORM=BDVSP6&amp;mkt=zh-cn" </w:instrText>
      </w:r>
      <w:r>
        <w:fldChar w:fldCharType="separate"/>
      </w:r>
      <w:r>
        <w:rPr>
          <w:rFonts w:ascii="Arial" w:hAnsi="Arial" w:cs="Arial"/>
          <w:snapToGrid w:val="0"/>
        </w:rPr>
        <w:t>法案</w:t>
      </w:r>
      <w:r>
        <w:rPr>
          <w:rFonts w:ascii="Arial" w:hAnsi="Arial" w:cs="Arial"/>
          <w:snapToGrid w:val="0"/>
        </w:rPr>
        <w:fldChar w:fldCharType="end"/>
      </w:r>
      <w:r>
        <w:rPr>
          <w:rFonts w:ascii="Arial" w:hAnsi="Arial" w:cs="Arial"/>
          <w:snapToGrid w:val="0"/>
        </w:rPr>
        <w:t>（HIPAA）下的隐私规则，在相关实体可以使用或披露个体的受保护健康信息（PHI）来进行研究之前，个体必须签署许可（即授权），除非相关实体拥有证明文件，证明IRB和隐私委员会已豁免或更改授权要求。</w:t>
      </w:r>
      <w:r>
        <w:rPr>
          <w:rFonts w:ascii="Arial" w:hAnsi="Arial" w:cs="Arial"/>
          <w:snapToGrid w:val="0"/>
          <w:vertAlign w:val="superscript"/>
        </w:rPr>
        <w:t>45</w:t>
      </w:r>
      <w:r>
        <w:rPr>
          <w:rFonts w:ascii="Arial" w:hAnsi="Arial" w:cs="Arial"/>
          <w:snapToGrid w:val="0"/>
        </w:rPr>
        <w:t>CFR 164.512（i）。如果紧急研究已根据21 CFR 50.24豁免知情同意，可能存在若干考虑因素（例如受试者由于其医疗状况而无法提供授权），此类因素可以支持IRB或隐私委员会豁免HIPAA隐私规则的授权要求。</w:t>
      </w:r>
    </w:p>
    <w:p w14:paraId="1053043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45 CFR 164.512（i）中的隐私规则包含IRB或隐私委员会豁免或更改授权要求的标准。特别是，相关实体获得的豁免批准文件必须包括一项声明，即声明IRB或隐私委员会已经确定，全部或部分授权的更改或豁免满足以下标准：</w:t>
      </w:r>
    </w:p>
    <w:p w14:paraId="7AD16CC8">
      <w:pPr>
        <w:pStyle w:val="24"/>
        <w:numPr>
          <w:ilvl w:val="0"/>
          <w:numId w:val="19"/>
        </w:numPr>
        <w:topLinePunct/>
        <w:adjustRightInd w:val="0"/>
        <w:snapToGrid w:val="0"/>
        <w:spacing w:after="224" w:afterLines="75" w:line="300" w:lineRule="auto"/>
        <w:ind w:left="1216" w:leftChars="326" w:hanging="499"/>
        <w:jc w:val="both"/>
        <w:rPr>
          <w:rFonts w:ascii="Arial" w:hAnsi="Arial" w:eastAsia="宋体" w:cs="Arial"/>
          <w:snapToGrid w:val="0"/>
          <w:sz w:val="24"/>
          <w:szCs w:val="24"/>
        </w:rPr>
      </w:pPr>
      <w:r>
        <w:rPr>
          <w:rFonts w:ascii="Arial" w:hAnsi="Arial" w:eastAsia="宋体" w:cs="Arial"/>
          <w:snapToGrid w:val="0"/>
          <w:sz w:val="24"/>
          <w:szCs w:val="24"/>
        </w:rPr>
        <w:t>由于（1）已实施适当计划，以便保护PHI标识符免受不正当使用和披露；（2）已实施适当计划，以便在研究早期销毁此类标识符，因为缺乏保留标识符的健康或研究理由，或法律以其他方式要求保留；（3）已提供充分的书面保证，即不会重复使用PHI或将其披露给任何其他人或实体，除非（a）法律要求，（b）用于研究的授权监督，或（c）用于其他隐私规则允许使用或披露PHI的研究，PHI使用或披露仅会对个体隐私构成轻微风险。</w:t>
      </w:r>
    </w:p>
    <w:p w14:paraId="551724F6">
      <w:pPr>
        <w:rPr>
          <w:rFonts w:ascii="Arial" w:hAnsi="Arial" w:eastAsia="宋体" w:cs="Arial"/>
          <w:snapToGrid w:val="0"/>
          <w:sz w:val="24"/>
          <w:szCs w:val="24"/>
        </w:rPr>
      </w:pPr>
      <w:bookmarkStart w:id="445" w:name="_bookmark184"/>
      <w:bookmarkEnd w:id="445"/>
      <w:r>
        <w:rPr>
          <w:rFonts w:ascii="Arial" w:hAnsi="Arial" w:eastAsia="宋体" w:cs="Arial"/>
          <w:snapToGrid w:val="0"/>
          <w:sz w:val="24"/>
          <w:szCs w:val="24"/>
        </w:rPr>
        <w:br w:type="page"/>
      </w:r>
    </w:p>
    <w:p w14:paraId="01A3F0A1">
      <w:pPr>
        <w:pStyle w:val="24"/>
        <w:numPr>
          <w:ilvl w:val="0"/>
          <w:numId w:val="19"/>
        </w:numPr>
        <w:topLinePunct/>
        <w:adjustRightInd w:val="0"/>
        <w:snapToGrid w:val="0"/>
        <w:spacing w:after="224" w:afterLines="75" w:line="300" w:lineRule="auto"/>
        <w:ind w:left="1216" w:leftChars="326" w:hanging="499"/>
        <w:jc w:val="both"/>
        <w:rPr>
          <w:rFonts w:ascii="Arial" w:hAnsi="Arial" w:eastAsia="宋体" w:cs="Arial"/>
          <w:snapToGrid w:val="0"/>
          <w:sz w:val="24"/>
          <w:szCs w:val="24"/>
        </w:rPr>
      </w:pPr>
      <w:r>
        <w:rPr>
          <w:rFonts w:ascii="Arial" w:hAnsi="Arial" w:eastAsia="宋体" w:cs="Arial"/>
          <w:snapToGrid w:val="0"/>
          <w:sz w:val="24"/>
          <w:szCs w:val="24"/>
        </w:rPr>
        <w:t>如果未获得所要求的豁免或更改，研究无法实际进行。</w:t>
      </w:r>
    </w:p>
    <w:p w14:paraId="52DCD49B">
      <w:pPr>
        <w:pStyle w:val="24"/>
        <w:numPr>
          <w:ilvl w:val="0"/>
          <w:numId w:val="19"/>
        </w:numPr>
        <w:topLinePunct/>
        <w:adjustRightInd w:val="0"/>
        <w:snapToGrid w:val="0"/>
        <w:spacing w:after="224" w:afterLines="75" w:line="300" w:lineRule="auto"/>
        <w:ind w:left="1216" w:leftChars="326" w:hanging="499"/>
        <w:jc w:val="both"/>
        <w:rPr>
          <w:rFonts w:ascii="Arial" w:hAnsi="Arial" w:eastAsia="宋体" w:cs="Arial"/>
          <w:snapToGrid w:val="0"/>
          <w:sz w:val="24"/>
          <w:szCs w:val="24"/>
        </w:rPr>
      </w:pPr>
      <w:r>
        <w:rPr>
          <w:rFonts w:ascii="Arial" w:hAnsi="Arial" w:eastAsia="宋体" w:cs="Arial"/>
          <w:snapToGrid w:val="0"/>
          <w:sz w:val="24"/>
          <w:szCs w:val="24"/>
        </w:rPr>
        <w:t>如果无法获得和使用PHI，研究无法实际进行。</w:t>
      </w:r>
    </w:p>
    <w:p w14:paraId="190D28E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因此，如果IRB或隐私委员会确定，根据21 CFR 50.24豁免知情同意的紧急研究符合HIPAA隐私规则的豁免标准，并确认根据45 CFR 164.512 （i）（2）签发豁免批准，相关实体可以根据此类文件使用或披露PHI，以便进行研究。</w:t>
      </w:r>
    </w:p>
    <w:p w14:paraId="59E76787">
      <w:pPr>
        <w:pStyle w:val="3"/>
        <w:numPr>
          <w:ilvl w:val="0"/>
          <w:numId w:val="2"/>
        </w:numPr>
        <w:tabs>
          <w:tab w:val="left" w:pos="568"/>
        </w:tabs>
        <w:topLinePunct/>
        <w:adjustRightInd w:val="0"/>
        <w:snapToGrid w:val="0"/>
        <w:spacing w:after="224" w:afterLines="75" w:line="300" w:lineRule="auto"/>
        <w:ind w:left="0" w:firstLine="0"/>
        <w:jc w:val="both"/>
        <w:rPr>
          <w:rFonts w:ascii="Arial" w:hAnsi="Arial" w:cs="Arial"/>
          <w:b w:val="0"/>
          <w:bCs w:val="0"/>
          <w:snapToGrid w:val="0"/>
          <w:sz w:val="28"/>
        </w:rPr>
      </w:pPr>
      <w:bookmarkStart w:id="446" w:name="XI.__DATA_MONITORING_COMMITTEE_(DMC)"/>
      <w:bookmarkEnd w:id="446"/>
      <w:bookmarkStart w:id="447" w:name="_Toc498200816"/>
      <w:bookmarkStart w:id="448" w:name="_Toc498446551"/>
      <w:r>
        <w:rPr>
          <w:rFonts w:ascii="Arial" w:hAnsi="Arial" w:cs="Arial"/>
          <w:snapToGrid w:val="0"/>
          <w:sz w:val="28"/>
        </w:rPr>
        <w:t>数据监测委员会（DMC）</w:t>
      </w:r>
      <w:bookmarkEnd w:id="447"/>
      <w:bookmarkEnd w:id="448"/>
    </w:p>
    <w:p w14:paraId="265E8D5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在开展研究之前，IRB必须确定和确认，已建立独立DMC来监督临床研究（21 CFR 50.24（a）（7）（iv）））。</w:t>
      </w:r>
    </w:p>
    <w:p w14:paraId="6F4A7387">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FDA认为，此法规规定允许申办方建立独立DMC，或使用已建立的DMC来监督临床研究。FDA已再次说明此规定，方便申办方满足法规要求。</w:t>
      </w:r>
    </w:p>
    <w:p w14:paraId="08FE4B6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有关数据监控委员会的角色、责任和操作程序的更多信息，请参见FDA的临床试验申办方指南：临床试验数据监测委员会的建立和运作，2006年3月。</w:t>
      </w:r>
      <w:r>
        <w:rPr>
          <w:rStyle w:val="22"/>
          <w:rFonts w:ascii="Arial" w:hAnsi="Arial" w:cs="Arial"/>
          <w:snapToGrid w:val="0"/>
        </w:rPr>
        <w:footnoteReference w:id="52"/>
      </w:r>
      <w:r>
        <w:rPr>
          <w:rFonts w:ascii="Arial" w:hAnsi="Arial" w:cs="Arial"/>
          <w:snapToGrid w:val="0"/>
        </w:rPr>
        <w:t>DMC指南代表FDA目前对DMC及其运作的思考。</w:t>
      </w:r>
    </w:p>
    <w:p w14:paraId="4361319B">
      <w:pPr>
        <w:pStyle w:val="3"/>
        <w:numPr>
          <w:ilvl w:val="0"/>
          <w:numId w:val="2"/>
        </w:numPr>
        <w:tabs>
          <w:tab w:val="left" w:pos="660"/>
        </w:tabs>
        <w:topLinePunct/>
        <w:adjustRightInd w:val="0"/>
        <w:snapToGrid w:val="0"/>
        <w:spacing w:after="224" w:afterLines="75" w:line="300" w:lineRule="auto"/>
        <w:ind w:left="0" w:firstLine="0"/>
        <w:jc w:val="both"/>
        <w:rPr>
          <w:rFonts w:ascii="Arial" w:hAnsi="Arial" w:cs="Arial"/>
          <w:b w:val="0"/>
          <w:bCs w:val="0"/>
          <w:snapToGrid w:val="0"/>
          <w:sz w:val="28"/>
        </w:rPr>
      </w:pPr>
      <w:bookmarkStart w:id="449" w:name="XII.__FOR_FURTHER_INFORMATION"/>
      <w:bookmarkEnd w:id="449"/>
      <w:bookmarkStart w:id="450" w:name="_Toc498446552"/>
      <w:bookmarkStart w:id="451" w:name="_Toc498200817"/>
      <w:r>
        <w:rPr>
          <w:rFonts w:ascii="Arial" w:hAnsi="Arial" w:cs="Arial"/>
          <w:snapToGrid w:val="0"/>
          <w:sz w:val="28"/>
        </w:rPr>
        <w:t>更多信息</w:t>
      </w:r>
      <w:bookmarkEnd w:id="450"/>
      <w:bookmarkEnd w:id="451"/>
    </w:p>
    <w:p w14:paraId="0A40595E">
      <w:pPr>
        <w:pStyle w:val="3"/>
        <w:numPr>
          <w:ilvl w:val="0"/>
          <w:numId w:val="20"/>
        </w:numPr>
        <w:tabs>
          <w:tab w:val="left" w:pos="1193"/>
        </w:tabs>
        <w:topLinePunct/>
        <w:adjustRightInd w:val="0"/>
        <w:snapToGrid w:val="0"/>
        <w:spacing w:after="224" w:afterLines="75" w:line="300" w:lineRule="auto"/>
        <w:ind w:left="719" w:leftChars="327" w:firstLine="0"/>
        <w:jc w:val="both"/>
        <w:rPr>
          <w:rFonts w:ascii="Arial" w:hAnsi="Arial" w:cs="Arial"/>
          <w:b w:val="0"/>
          <w:bCs w:val="0"/>
          <w:snapToGrid w:val="0"/>
        </w:rPr>
      </w:pPr>
      <w:bookmarkStart w:id="452" w:name="A.__CONTACTS"/>
      <w:bookmarkEnd w:id="452"/>
      <w:bookmarkStart w:id="453" w:name="_Toc498446553"/>
      <w:bookmarkStart w:id="454" w:name="_Toc498200818"/>
      <w:r>
        <w:rPr>
          <w:rFonts w:ascii="Arial" w:hAnsi="Arial" w:cs="Arial"/>
          <w:snapToGrid w:val="0"/>
        </w:rPr>
        <w:t>联系方式</w:t>
      </w:r>
      <w:bookmarkEnd w:id="453"/>
      <w:bookmarkEnd w:id="454"/>
    </w:p>
    <w:p w14:paraId="6366A37C">
      <w:pPr>
        <w:pStyle w:val="6"/>
        <w:topLinePunct/>
        <w:adjustRightInd w:val="0"/>
        <w:snapToGrid w:val="0"/>
        <w:spacing w:after="224" w:afterLines="75" w:line="300" w:lineRule="auto"/>
        <w:ind w:left="0"/>
        <w:rPr>
          <w:rFonts w:ascii="Arial" w:hAnsi="Arial" w:cs="Arial"/>
          <w:snapToGrid w:val="0"/>
        </w:rPr>
      </w:pPr>
      <w:r>
        <w:rPr>
          <w:rFonts w:ascii="Arial" w:hAnsi="Arial" w:cs="Arial"/>
          <w:snapToGrid w:val="0"/>
        </w:rPr>
        <w:t>如果对有关紧急研究豁免知情同意要求的政策或应用存有疑问，申办方、临床研究者和IRB可以联系FDA网站上标明的相应办公室：</w:t>
      </w:r>
      <w:r>
        <w:rPr>
          <w:rFonts w:hint="eastAsia" w:ascii="Arial" w:hAnsi="Arial" w:cs="Arial"/>
          <w:snapToGrid w:val="0"/>
        </w:rPr>
        <w:br w:type="textWrapping"/>
      </w:r>
      <w:r>
        <w:fldChar w:fldCharType="begin"/>
      </w:r>
      <w:r>
        <w:instrText xml:space="preserve"> HYPERLINK "http://www.fda.gov/ScienceResearch/SpecialTopics/RunningClinicalTrials/default.htm" \h </w:instrText>
      </w:r>
      <w:r>
        <w:fldChar w:fldCharType="separate"/>
      </w:r>
      <w:r>
        <w:rPr>
          <w:rFonts w:ascii="Arial" w:hAnsi="Arial" w:cs="Arial"/>
          <w:snapToGrid w:val="0"/>
          <w:color w:val="0000FF"/>
          <w:u w:val="single" w:color="0000FF"/>
        </w:rPr>
        <w:t>http://www.fda.gov/ScienceResearch/SpecialTopics/RunningClinicalTrials/default.htm</w:t>
      </w:r>
      <w:r>
        <w:rPr>
          <w:rFonts w:ascii="Arial" w:hAnsi="Arial" w:cs="Arial"/>
          <w:snapToGrid w:val="0"/>
          <w:color w:val="0000FF"/>
          <w:u w:val="single" w:color="0000FF"/>
        </w:rPr>
        <w:fldChar w:fldCharType="end"/>
      </w:r>
      <w:r>
        <w:rPr>
          <w:rFonts w:ascii="Arial" w:hAnsi="Arial" w:cs="Arial"/>
          <w:snapToGrid w:val="0"/>
        </w:rPr>
        <w:t>.</w:t>
      </w:r>
    </w:p>
    <w:p w14:paraId="144FC84A">
      <w:pPr>
        <w:pStyle w:val="3"/>
        <w:numPr>
          <w:ilvl w:val="0"/>
          <w:numId w:val="20"/>
        </w:numPr>
        <w:tabs>
          <w:tab w:val="left" w:pos="1181"/>
        </w:tabs>
        <w:topLinePunct/>
        <w:adjustRightInd w:val="0"/>
        <w:snapToGrid w:val="0"/>
        <w:spacing w:after="224" w:afterLines="75" w:line="300" w:lineRule="auto"/>
        <w:ind w:left="719" w:leftChars="327" w:firstLine="0"/>
        <w:jc w:val="both"/>
        <w:rPr>
          <w:rFonts w:ascii="Arial" w:hAnsi="Arial" w:cs="Arial"/>
          <w:b w:val="0"/>
          <w:bCs w:val="0"/>
          <w:snapToGrid w:val="0"/>
        </w:rPr>
      </w:pPr>
      <w:bookmarkStart w:id="455" w:name="B.__FDA’s_WEBSITES"/>
      <w:bookmarkEnd w:id="455"/>
      <w:bookmarkStart w:id="456" w:name="_Toc498200819"/>
      <w:bookmarkStart w:id="457" w:name="_Toc498446554"/>
      <w:r>
        <w:rPr>
          <w:rFonts w:ascii="Arial" w:hAnsi="Arial" w:cs="Arial"/>
          <w:snapToGrid w:val="0"/>
        </w:rPr>
        <w:t>FDA的网站</w:t>
      </w:r>
      <w:bookmarkEnd w:id="456"/>
      <w:bookmarkEnd w:id="457"/>
    </w:p>
    <w:p w14:paraId="043B2F0E">
      <w:pPr>
        <w:pStyle w:val="6"/>
        <w:topLinePunct/>
        <w:adjustRightInd w:val="0"/>
        <w:snapToGrid w:val="0"/>
        <w:spacing w:line="300" w:lineRule="auto"/>
        <w:ind w:left="708" w:hanging="708" w:hangingChars="295"/>
        <w:rPr>
          <w:rFonts w:ascii="Arial" w:hAnsi="Arial" w:cs="Arial"/>
          <w:snapToGrid w:val="0"/>
        </w:rPr>
      </w:pPr>
      <w:r>
        <w:rPr>
          <w:rFonts w:ascii="Arial" w:hAnsi="Arial" w:cs="Arial"/>
          <w:snapToGrid w:val="0"/>
        </w:rPr>
        <w:t>良好临床试验规范：</w:t>
      </w:r>
      <w:r>
        <w:fldChar w:fldCharType="begin"/>
      </w:r>
      <w:r>
        <w:instrText xml:space="preserve"> HYPERLINK "http://www.fda.gov/ScienceResearch/SpecialTopics/RunningClinicalTrials/default.htm" \h </w:instrText>
      </w:r>
      <w:r>
        <w:fldChar w:fldCharType="separate"/>
      </w:r>
      <w:r>
        <w:rPr>
          <w:rFonts w:ascii="Arial" w:hAnsi="Arial" w:cs="Arial"/>
          <w:snapToGrid w:val="0"/>
          <w:color w:val="0000FF"/>
        </w:rPr>
        <w:t>http://www.fda.gov/ScienceResearch/SpecialTopics/RunningClinicalTrials/default.htm</w:t>
      </w:r>
      <w:r>
        <w:rPr>
          <w:rFonts w:ascii="Arial" w:hAnsi="Arial" w:cs="Arial"/>
          <w:snapToGrid w:val="0"/>
          <w:color w:val="0000FF"/>
        </w:rPr>
        <w:fldChar w:fldCharType="end"/>
      </w:r>
    </w:p>
    <w:p w14:paraId="6D88E93A">
      <w:pPr>
        <w:pStyle w:val="6"/>
        <w:topLinePunct/>
        <w:adjustRightInd w:val="0"/>
        <w:snapToGrid w:val="0"/>
        <w:spacing w:line="300" w:lineRule="auto"/>
        <w:ind w:left="708" w:hanging="708" w:hangingChars="295"/>
        <w:rPr>
          <w:rFonts w:ascii="Arial" w:hAnsi="Arial" w:cs="Arial"/>
          <w:snapToGrid w:val="0"/>
        </w:rPr>
      </w:pPr>
      <w:r>
        <w:rPr>
          <w:rFonts w:ascii="Arial" w:hAnsi="Arial" w:cs="Arial"/>
          <w:snapToGrid w:val="0"/>
        </w:rPr>
        <w:t>生物评价和研究中心（CBER）：</w:t>
      </w:r>
      <w:r>
        <w:fldChar w:fldCharType="begin"/>
      </w:r>
      <w:r>
        <w:instrText xml:space="preserve"> HYPERLINK "http://www.fda.gov/BiologicsBloodVaccines/default.htm" \h </w:instrText>
      </w:r>
      <w:r>
        <w:fldChar w:fldCharType="separate"/>
      </w:r>
      <w:r>
        <w:rPr>
          <w:rFonts w:ascii="Arial" w:hAnsi="Arial" w:cs="Arial"/>
          <w:snapToGrid w:val="0"/>
          <w:color w:val="0000FF"/>
        </w:rPr>
        <w:t>http://www.fda.gov/BiologicsBloodVaccines/default.htm</w:t>
      </w:r>
      <w:r>
        <w:rPr>
          <w:rFonts w:ascii="Arial" w:hAnsi="Arial" w:cs="Arial"/>
          <w:snapToGrid w:val="0"/>
          <w:color w:val="0000FF"/>
        </w:rPr>
        <w:fldChar w:fldCharType="end"/>
      </w:r>
    </w:p>
    <w:p w14:paraId="3868384D">
      <w:pPr>
        <w:pStyle w:val="6"/>
        <w:topLinePunct/>
        <w:adjustRightInd w:val="0"/>
        <w:snapToGrid w:val="0"/>
        <w:spacing w:line="300" w:lineRule="auto"/>
        <w:ind w:left="708" w:hanging="708" w:hangingChars="295"/>
        <w:jc w:val="both"/>
        <w:rPr>
          <w:rFonts w:ascii="Arial" w:hAnsi="Arial" w:cs="Arial"/>
          <w:snapToGrid w:val="0"/>
        </w:rPr>
      </w:pPr>
      <w:r>
        <w:rPr>
          <w:rFonts w:ascii="Arial" w:hAnsi="Arial" w:cs="Arial"/>
          <w:snapToGrid w:val="0"/>
        </w:rPr>
        <w:t>药品评价和研究中心（CDER）：</w:t>
      </w:r>
      <w:r>
        <w:fldChar w:fldCharType="begin"/>
      </w:r>
      <w:r>
        <w:instrText xml:space="preserve"> HYPERLINK "http://www.fda.gov/Drugs/default.htm" \h </w:instrText>
      </w:r>
      <w:r>
        <w:fldChar w:fldCharType="separate"/>
      </w:r>
      <w:r>
        <w:rPr>
          <w:rFonts w:ascii="Arial" w:hAnsi="Arial" w:cs="Arial"/>
          <w:snapToGrid w:val="0"/>
          <w:color w:val="0000FF"/>
        </w:rPr>
        <w:t>http://www.fda.gov/Drugs/default.htm</w:t>
      </w:r>
      <w:r>
        <w:rPr>
          <w:rFonts w:ascii="Arial" w:hAnsi="Arial" w:cs="Arial"/>
          <w:snapToGrid w:val="0"/>
          <w:color w:val="0000FF"/>
        </w:rPr>
        <w:fldChar w:fldCharType="end"/>
      </w:r>
    </w:p>
    <w:p w14:paraId="0AC51395">
      <w:pPr>
        <w:pStyle w:val="6"/>
        <w:topLinePunct/>
        <w:adjustRightInd w:val="0"/>
        <w:snapToGrid w:val="0"/>
        <w:spacing w:line="300" w:lineRule="auto"/>
        <w:ind w:left="708" w:hanging="708" w:hangingChars="295"/>
        <w:jc w:val="both"/>
        <w:rPr>
          <w:rFonts w:ascii="Arial" w:hAnsi="Arial" w:cs="Arial"/>
          <w:snapToGrid w:val="0"/>
          <w:color w:val="0000FF"/>
          <w:u w:val="single" w:color="0000FF"/>
        </w:rPr>
      </w:pPr>
      <w:r>
        <w:rPr>
          <w:rFonts w:ascii="Arial" w:hAnsi="Arial" w:cs="Arial"/>
          <w:snapToGrid w:val="0"/>
        </w:rPr>
        <w:t>器械和放射卫生中心（CDRH）：</w:t>
      </w:r>
      <w:r>
        <w:fldChar w:fldCharType="begin"/>
      </w:r>
      <w:r>
        <w:instrText xml:space="preserve"> HYPERLINK "http://www.fda.gov/MedicalDevices/default.htm" \h </w:instrText>
      </w:r>
      <w:r>
        <w:fldChar w:fldCharType="separate"/>
      </w:r>
      <w:r>
        <w:rPr>
          <w:rFonts w:ascii="Arial" w:hAnsi="Arial" w:cs="Arial"/>
          <w:snapToGrid w:val="0"/>
          <w:color w:val="0000FF"/>
          <w:u w:val="single" w:color="0000FF"/>
        </w:rPr>
        <w:t>http://www.fda.gov/MedicalDevices/default.htm</w:t>
      </w:r>
      <w:r>
        <w:rPr>
          <w:rFonts w:ascii="Arial" w:hAnsi="Arial" w:cs="Arial"/>
          <w:snapToGrid w:val="0"/>
          <w:color w:val="0000FF"/>
          <w:u w:val="single" w:color="0000FF"/>
        </w:rPr>
        <w:fldChar w:fldCharType="end"/>
      </w:r>
    </w:p>
    <w:p w14:paraId="1F93405C">
      <w:pPr>
        <w:rPr>
          <w:rFonts w:ascii="Arial" w:hAnsi="Arial" w:eastAsia="宋体" w:cs="Arial"/>
          <w:b/>
          <w:bCs/>
          <w:snapToGrid w:val="0"/>
          <w:sz w:val="24"/>
          <w:szCs w:val="24"/>
        </w:rPr>
      </w:pPr>
      <w:bookmarkStart w:id="458" w:name="_bookmark189"/>
      <w:bookmarkEnd w:id="458"/>
      <w:bookmarkStart w:id="459" w:name="_Toc498200820"/>
      <w:r>
        <w:rPr>
          <w:rFonts w:ascii="Arial" w:hAnsi="Arial" w:cs="Arial"/>
          <w:snapToGrid w:val="0"/>
        </w:rPr>
        <w:br w:type="page"/>
      </w:r>
    </w:p>
    <w:p w14:paraId="5B131EA7">
      <w:pPr>
        <w:pStyle w:val="3"/>
        <w:tabs>
          <w:tab w:val="right" w:pos="9026"/>
        </w:tabs>
        <w:topLinePunct/>
        <w:adjustRightInd w:val="0"/>
        <w:snapToGrid w:val="0"/>
        <w:spacing w:after="224" w:afterLines="75" w:line="300" w:lineRule="auto"/>
        <w:ind w:left="0"/>
        <w:jc w:val="both"/>
        <w:rPr>
          <w:rFonts w:ascii="Arial" w:hAnsi="Arial" w:cs="Arial"/>
          <w:b w:val="0"/>
          <w:bCs w:val="0"/>
          <w:snapToGrid w:val="0"/>
        </w:rPr>
      </w:pPr>
      <w:bookmarkStart w:id="460" w:name="_Toc498446555"/>
      <w:r>
        <w:rPr>
          <w:rFonts w:ascii="Arial" w:hAnsi="Arial" w:cs="Arial"/>
          <w:snapToGrid w:val="0"/>
        </w:rPr>
        <w:t>21 CFR 50.24</w:t>
      </w:r>
      <w:r>
        <w:rPr>
          <w:rFonts w:ascii="Arial" w:hAnsi="Arial" w:cs="Arial"/>
          <w:snapToGrid w:val="0"/>
        </w:rPr>
        <w:tab/>
      </w:r>
      <w:bookmarkEnd w:id="459"/>
      <w:r>
        <w:rPr>
          <w:rFonts w:ascii="Arial" w:hAnsi="Arial" w:cs="Arial"/>
          <w:snapToGrid w:val="0"/>
        </w:rPr>
        <w:t>附录A</w:t>
      </w:r>
      <w:bookmarkEnd w:id="460"/>
    </w:p>
    <w:p w14:paraId="1C674B9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21 CFR 50.24的文本如下：</w:t>
      </w:r>
    </w:p>
    <w:p w14:paraId="1B3E565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第B节——受试者的知情同意，第50.24条，紧急研究豁免知情同意要求。</w:t>
      </w:r>
    </w:p>
    <w:p w14:paraId="7019DB1C">
      <w:pPr>
        <w:pStyle w:val="24"/>
        <w:numPr>
          <w:ilvl w:val="0"/>
          <w:numId w:val="21"/>
        </w:numPr>
        <w:tabs>
          <w:tab w:val="left" w:pos="427"/>
        </w:tabs>
        <w:topLinePunct/>
        <w:adjustRightInd w:val="0"/>
        <w:snapToGrid w:val="0"/>
        <w:spacing w:after="224" w:afterLines="75" w:line="300" w:lineRule="auto"/>
        <w:ind w:left="427" w:hanging="427"/>
        <w:jc w:val="both"/>
        <w:rPr>
          <w:rFonts w:ascii="Arial" w:hAnsi="Arial" w:eastAsia="宋体" w:cs="Arial"/>
          <w:snapToGrid w:val="0"/>
          <w:sz w:val="24"/>
          <w:szCs w:val="24"/>
        </w:rPr>
      </w:pPr>
      <w:r>
        <w:rPr>
          <w:rFonts w:ascii="Arial" w:hAnsi="Arial" w:eastAsia="宋体" w:cs="Arial"/>
          <w:snapToGrid w:val="0"/>
          <w:sz w:val="24"/>
          <w:szCs w:val="24"/>
        </w:rPr>
        <w:t>负责审查、批准和继续审查本条所述临床研究的IRB可以批准该研究，而不需要获得所有研究对象的知情同意，如果IRB（经执业医师同意，此医师应是IRB的成员或顾问且不参与临床研究）确定和确认以下每一项：</w:t>
      </w:r>
    </w:p>
    <w:p w14:paraId="7E12CDFF">
      <w:pPr>
        <w:pStyle w:val="24"/>
        <w:numPr>
          <w:ilvl w:val="1"/>
          <w:numId w:val="21"/>
        </w:numPr>
        <w:tabs>
          <w:tab w:val="left" w:pos="1161"/>
        </w:tabs>
        <w:topLinePunct/>
        <w:adjustRightInd w:val="0"/>
        <w:snapToGrid w:val="0"/>
        <w:spacing w:after="224" w:afterLines="75" w:line="300" w:lineRule="auto"/>
        <w:ind w:left="1136" w:leftChars="195" w:hanging="707"/>
        <w:jc w:val="both"/>
        <w:rPr>
          <w:rFonts w:ascii="Arial" w:hAnsi="Arial" w:eastAsia="宋体" w:cs="Arial"/>
          <w:snapToGrid w:val="0"/>
          <w:sz w:val="24"/>
          <w:szCs w:val="24"/>
        </w:rPr>
      </w:pPr>
      <w:r>
        <w:rPr>
          <w:rFonts w:ascii="Arial" w:hAnsi="Arial" w:eastAsia="宋体" w:cs="Arial"/>
          <w:snapToGrid w:val="0"/>
          <w:sz w:val="24"/>
          <w:szCs w:val="24"/>
        </w:rPr>
        <w:t>受试者处于危及生命的处境中，可用治疗未经证实或无法令人满意，收集有效科学证据时可能需要通过随机安慰剂对照研究获得证据，以便确定特定干预的安全性和有效性。</w:t>
      </w:r>
    </w:p>
    <w:p w14:paraId="68D6320B">
      <w:pPr>
        <w:pStyle w:val="24"/>
        <w:numPr>
          <w:ilvl w:val="1"/>
          <w:numId w:val="21"/>
        </w:numPr>
        <w:tabs>
          <w:tab w:val="left" w:pos="1161"/>
        </w:tabs>
        <w:topLinePunct/>
        <w:adjustRightInd w:val="0"/>
        <w:snapToGrid w:val="0"/>
        <w:spacing w:after="224" w:afterLines="75" w:line="300" w:lineRule="auto"/>
        <w:ind w:left="1136" w:leftChars="195" w:hanging="707"/>
        <w:jc w:val="both"/>
        <w:rPr>
          <w:rFonts w:ascii="Arial" w:hAnsi="Arial" w:eastAsia="宋体" w:cs="Arial"/>
          <w:snapToGrid w:val="0"/>
          <w:sz w:val="24"/>
          <w:szCs w:val="24"/>
        </w:rPr>
      </w:pPr>
      <w:r>
        <w:rPr>
          <w:rFonts w:ascii="Arial" w:hAnsi="Arial" w:eastAsia="宋体" w:cs="Arial"/>
          <w:snapToGrid w:val="0"/>
          <w:sz w:val="24"/>
          <w:szCs w:val="24"/>
        </w:rPr>
        <w:t>由于以下情况，无法取得知情同意：</w:t>
      </w:r>
    </w:p>
    <w:p w14:paraId="57CCA3A1">
      <w:pPr>
        <w:pStyle w:val="24"/>
        <w:numPr>
          <w:ilvl w:val="2"/>
          <w:numId w:val="21"/>
        </w:numPr>
        <w:tabs>
          <w:tab w:val="left" w:pos="1694"/>
        </w:tabs>
        <w:topLinePunct/>
        <w:adjustRightInd w:val="0"/>
        <w:snapToGrid w:val="0"/>
        <w:spacing w:after="224" w:afterLines="75" w:line="300" w:lineRule="auto"/>
        <w:ind w:left="1133" w:leftChars="515" w:firstLine="0"/>
        <w:jc w:val="both"/>
        <w:rPr>
          <w:rFonts w:ascii="Arial" w:hAnsi="Arial" w:eastAsia="宋体" w:cs="Arial"/>
          <w:snapToGrid w:val="0"/>
          <w:sz w:val="24"/>
          <w:szCs w:val="24"/>
        </w:rPr>
      </w:pPr>
      <w:r>
        <w:rPr>
          <w:rFonts w:ascii="Arial" w:hAnsi="Arial" w:eastAsia="宋体" w:cs="Arial"/>
          <w:snapToGrid w:val="0"/>
          <w:sz w:val="24"/>
          <w:szCs w:val="24"/>
        </w:rPr>
        <w:t>受试者由于医疗状况而无法给予知情同意；</w:t>
      </w:r>
    </w:p>
    <w:p w14:paraId="15BE3428">
      <w:pPr>
        <w:pStyle w:val="24"/>
        <w:numPr>
          <w:ilvl w:val="2"/>
          <w:numId w:val="21"/>
        </w:numPr>
        <w:tabs>
          <w:tab w:val="left" w:pos="1694"/>
        </w:tabs>
        <w:topLinePunct/>
        <w:adjustRightInd w:val="0"/>
        <w:snapToGrid w:val="0"/>
        <w:spacing w:after="224" w:afterLines="75" w:line="300" w:lineRule="auto"/>
        <w:ind w:left="1133" w:leftChars="515" w:firstLine="0"/>
        <w:jc w:val="both"/>
        <w:rPr>
          <w:rFonts w:ascii="Arial" w:hAnsi="Arial" w:eastAsia="宋体" w:cs="Arial"/>
          <w:snapToGrid w:val="0"/>
          <w:sz w:val="24"/>
          <w:szCs w:val="24"/>
        </w:rPr>
      </w:pPr>
      <w:r>
        <w:rPr>
          <w:rFonts w:ascii="Arial" w:hAnsi="Arial" w:eastAsia="宋体" w:cs="Arial"/>
          <w:snapToGrid w:val="0"/>
          <w:sz w:val="24"/>
          <w:szCs w:val="24"/>
        </w:rPr>
        <w:t>研究干预必须在受试者的法定授权代表同意之前进行；以及</w:t>
      </w:r>
    </w:p>
    <w:p w14:paraId="02BC53DE">
      <w:pPr>
        <w:pStyle w:val="24"/>
        <w:numPr>
          <w:ilvl w:val="2"/>
          <w:numId w:val="21"/>
        </w:numPr>
        <w:tabs>
          <w:tab w:val="left" w:pos="1694"/>
        </w:tabs>
        <w:topLinePunct/>
        <w:adjustRightInd w:val="0"/>
        <w:snapToGrid w:val="0"/>
        <w:spacing w:after="224" w:afterLines="75" w:line="300" w:lineRule="auto"/>
        <w:ind w:left="1133" w:leftChars="515" w:firstLine="0"/>
        <w:jc w:val="both"/>
        <w:rPr>
          <w:rFonts w:ascii="Arial" w:hAnsi="Arial" w:eastAsia="宋体" w:cs="Arial"/>
          <w:snapToGrid w:val="0"/>
          <w:sz w:val="24"/>
          <w:szCs w:val="24"/>
        </w:rPr>
      </w:pPr>
      <w:r>
        <w:rPr>
          <w:rFonts w:ascii="Arial" w:hAnsi="Arial" w:eastAsia="宋体" w:cs="Arial"/>
          <w:snapToGrid w:val="0"/>
          <w:sz w:val="24"/>
          <w:szCs w:val="24"/>
        </w:rPr>
        <w:t>无法以合理方式来确定可能有资格参与临床研究的潜在个体。</w:t>
      </w:r>
    </w:p>
    <w:p w14:paraId="69236706">
      <w:pPr>
        <w:pStyle w:val="24"/>
        <w:numPr>
          <w:ilvl w:val="1"/>
          <w:numId w:val="21"/>
        </w:numPr>
        <w:tabs>
          <w:tab w:val="left" w:pos="1160"/>
        </w:tabs>
        <w:topLinePunct/>
        <w:adjustRightInd w:val="0"/>
        <w:snapToGrid w:val="0"/>
        <w:spacing w:after="224" w:afterLines="75" w:line="300" w:lineRule="auto"/>
        <w:ind w:left="1136" w:leftChars="195" w:hanging="707"/>
        <w:jc w:val="both"/>
        <w:rPr>
          <w:rFonts w:ascii="Arial" w:hAnsi="Arial" w:eastAsia="宋体" w:cs="Arial"/>
          <w:snapToGrid w:val="0"/>
          <w:sz w:val="24"/>
          <w:szCs w:val="24"/>
        </w:rPr>
      </w:pPr>
      <w:r>
        <w:rPr>
          <w:rFonts w:ascii="Arial" w:hAnsi="Arial" w:eastAsia="宋体" w:cs="Arial"/>
          <w:snapToGrid w:val="0"/>
          <w:sz w:val="24"/>
          <w:szCs w:val="24"/>
        </w:rPr>
        <w:t>参与研究可对此类受试者产生直接收益，因为：</w:t>
      </w:r>
    </w:p>
    <w:p w14:paraId="036304FB">
      <w:pPr>
        <w:pStyle w:val="24"/>
        <w:numPr>
          <w:ilvl w:val="2"/>
          <w:numId w:val="21"/>
        </w:numPr>
        <w:topLinePunct/>
        <w:adjustRightInd w:val="0"/>
        <w:snapToGrid w:val="0"/>
        <w:spacing w:after="224" w:afterLines="75" w:line="300" w:lineRule="auto"/>
        <w:ind w:left="1699" w:leftChars="515" w:hanging="566" w:hangingChars="236"/>
        <w:jc w:val="both"/>
        <w:rPr>
          <w:rFonts w:ascii="Arial" w:hAnsi="Arial" w:eastAsia="宋体" w:cs="Arial"/>
          <w:snapToGrid w:val="0"/>
          <w:sz w:val="24"/>
          <w:szCs w:val="24"/>
        </w:rPr>
      </w:pPr>
      <w:r>
        <w:rPr>
          <w:rFonts w:ascii="Arial" w:hAnsi="Arial" w:eastAsia="宋体" w:cs="Arial"/>
          <w:snapToGrid w:val="0"/>
          <w:sz w:val="24"/>
          <w:szCs w:val="24"/>
        </w:rPr>
        <w:t>受试者面临着危及生命的处境，需要进行干预；</w:t>
      </w:r>
    </w:p>
    <w:p w14:paraId="3574DCBF">
      <w:pPr>
        <w:pStyle w:val="24"/>
        <w:numPr>
          <w:ilvl w:val="2"/>
          <w:numId w:val="21"/>
        </w:numPr>
        <w:topLinePunct/>
        <w:adjustRightInd w:val="0"/>
        <w:snapToGrid w:val="0"/>
        <w:spacing w:after="224" w:afterLines="75" w:line="300" w:lineRule="auto"/>
        <w:ind w:left="1699" w:leftChars="515" w:hanging="566" w:hangingChars="236"/>
        <w:jc w:val="both"/>
        <w:rPr>
          <w:rFonts w:ascii="Arial" w:hAnsi="Arial" w:eastAsia="宋体" w:cs="Arial"/>
          <w:snapToGrid w:val="0"/>
          <w:sz w:val="24"/>
          <w:szCs w:val="24"/>
        </w:rPr>
      </w:pPr>
      <w:r>
        <w:rPr>
          <w:rFonts w:ascii="Arial" w:hAnsi="Arial" w:eastAsia="宋体" w:cs="Arial"/>
          <w:snapToGrid w:val="0"/>
          <w:sz w:val="24"/>
          <w:szCs w:val="24"/>
        </w:rPr>
        <w:t>进行了适当的动物和其他临床前研究，此类研究产生的信息和相关证据证明，干预可能使个体受试者获得直接收益；以及</w:t>
      </w:r>
    </w:p>
    <w:p w14:paraId="0132B750">
      <w:pPr>
        <w:pStyle w:val="24"/>
        <w:numPr>
          <w:ilvl w:val="2"/>
          <w:numId w:val="21"/>
        </w:numPr>
        <w:topLinePunct/>
        <w:adjustRightInd w:val="0"/>
        <w:snapToGrid w:val="0"/>
        <w:spacing w:after="224" w:afterLines="75" w:line="300" w:lineRule="auto"/>
        <w:ind w:left="1699" w:leftChars="515" w:hanging="566" w:hangingChars="236"/>
        <w:jc w:val="both"/>
        <w:rPr>
          <w:rFonts w:ascii="Arial" w:hAnsi="Arial" w:eastAsia="宋体" w:cs="Arial"/>
          <w:snapToGrid w:val="0"/>
          <w:sz w:val="24"/>
          <w:szCs w:val="24"/>
        </w:rPr>
      </w:pPr>
      <w:r>
        <w:rPr>
          <w:rFonts w:ascii="Arial" w:hAnsi="Arial" w:eastAsia="宋体" w:cs="Arial"/>
          <w:snapToGrid w:val="0"/>
          <w:sz w:val="24"/>
          <w:szCs w:val="24"/>
        </w:rPr>
        <w:t>相对于潜在受试者的已知医疗状况，标准治疗的风险和收益（如果有）以及拟定干预或活动的已知风险和收益，研究相关风险合理。</w:t>
      </w:r>
    </w:p>
    <w:p w14:paraId="05715DFA">
      <w:pPr>
        <w:pStyle w:val="24"/>
        <w:numPr>
          <w:ilvl w:val="1"/>
          <w:numId w:val="21"/>
        </w:numPr>
        <w:tabs>
          <w:tab w:val="left" w:pos="1161"/>
        </w:tabs>
        <w:topLinePunct/>
        <w:adjustRightInd w:val="0"/>
        <w:snapToGrid w:val="0"/>
        <w:spacing w:after="224" w:afterLines="75" w:line="300" w:lineRule="auto"/>
        <w:ind w:left="1136" w:leftChars="195" w:hanging="707"/>
        <w:jc w:val="both"/>
        <w:rPr>
          <w:rFonts w:ascii="Arial" w:hAnsi="Arial" w:eastAsia="宋体" w:cs="Arial"/>
          <w:snapToGrid w:val="0"/>
          <w:sz w:val="24"/>
          <w:szCs w:val="24"/>
        </w:rPr>
      </w:pPr>
      <w:r>
        <w:rPr>
          <w:rFonts w:ascii="Arial" w:hAnsi="Arial" w:eastAsia="宋体" w:cs="Arial"/>
          <w:snapToGrid w:val="0"/>
          <w:sz w:val="24"/>
          <w:szCs w:val="24"/>
        </w:rPr>
        <w:t>如果未获得豁免，临床研究无法实际执行。</w:t>
      </w:r>
    </w:p>
    <w:p w14:paraId="692EFA13">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12E91EB1">
      <w:pPr>
        <w:pStyle w:val="24"/>
        <w:numPr>
          <w:ilvl w:val="1"/>
          <w:numId w:val="21"/>
        </w:numPr>
        <w:tabs>
          <w:tab w:val="left" w:pos="1161"/>
        </w:tabs>
        <w:topLinePunct/>
        <w:adjustRightInd w:val="0"/>
        <w:snapToGrid w:val="0"/>
        <w:spacing w:after="224" w:afterLines="75" w:line="300" w:lineRule="auto"/>
        <w:ind w:left="1136" w:leftChars="195" w:hanging="707"/>
        <w:jc w:val="both"/>
        <w:rPr>
          <w:rFonts w:ascii="Arial" w:hAnsi="Arial" w:eastAsia="宋体" w:cs="Arial"/>
          <w:snapToGrid w:val="0"/>
          <w:sz w:val="24"/>
          <w:szCs w:val="24"/>
        </w:rPr>
      </w:pPr>
      <w:r>
        <w:rPr>
          <w:rFonts w:ascii="Arial" w:hAnsi="Arial" w:eastAsia="宋体" w:cs="Arial"/>
          <w:snapToGrid w:val="0"/>
          <w:sz w:val="24"/>
          <w:szCs w:val="24"/>
        </w:rPr>
        <w:t>拟定研究计划已根据科学证据确定潜在治疗窗的长度，研究者已承诺在该时间窗内尝试联系每例受试者的合法授权代表（如果可行），以便在该时间窗内征得合法授权代表的同意，而不是在未获得同意的情况下进行。研究者将总结旨在联系法定授权代表的工作，并在继续审查时向IRB提供此信息。</w:t>
      </w:r>
    </w:p>
    <w:p w14:paraId="220BDB96">
      <w:pPr>
        <w:pStyle w:val="24"/>
        <w:numPr>
          <w:ilvl w:val="1"/>
          <w:numId w:val="21"/>
        </w:numPr>
        <w:tabs>
          <w:tab w:val="left" w:pos="1160"/>
        </w:tabs>
        <w:topLinePunct/>
        <w:adjustRightInd w:val="0"/>
        <w:snapToGrid w:val="0"/>
        <w:spacing w:after="224" w:afterLines="75" w:line="300" w:lineRule="auto"/>
        <w:ind w:left="1136" w:leftChars="195" w:hanging="707"/>
        <w:jc w:val="both"/>
        <w:rPr>
          <w:rFonts w:ascii="Arial" w:hAnsi="Arial" w:eastAsia="宋体" w:cs="Arial"/>
          <w:snapToGrid w:val="0"/>
          <w:sz w:val="24"/>
          <w:szCs w:val="24"/>
        </w:rPr>
      </w:pPr>
      <w:r>
        <w:rPr>
          <w:rFonts w:ascii="Arial" w:hAnsi="Arial" w:eastAsia="宋体" w:cs="Arial"/>
          <w:snapToGrid w:val="0"/>
          <w:sz w:val="24"/>
          <w:szCs w:val="24"/>
        </w:rPr>
        <w:t>IRB已经根据50.25审查并批准了知情同意程序和知情同意书。出来程序和知情同意书将在可以使用此类程序和文档时用于受试者或其法定授权代表。IRB已根据本条第（a）（7）（v）段，审查并批准了在确定家庭成员是否反对受试者参与临床研究时使用的程序和信息。</w:t>
      </w:r>
    </w:p>
    <w:p w14:paraId="13B8E455">
      <w:pPr>
        <w:pStyle w:val="24"/>
        <w:numPr>
          <w:ilvl w:val="1"/>
          <w:numId w:val="21"/>
        </w:numPr>
        <w:tabs>
          <w:tab w:val="left" w:pos="1160"/>
        </w:tabs>
        <w:topLinePunct/>
        <w:adjustRightInd w:val="0"/>
        <w:snapToGrid w:val="0"/>
        <w:spacing w:after="224" w:afterLines="75" w:line="300" w:lineRule="auto"/>
        <w:ind w:left="1136" w:leftChars="195" w:hanging="707"/>
        <w:jc w:val="both"/>
        <w:rPr>
          <w:rFonts w:ascii="Arial" w:hAnsi="Arial" w:eastAsia="宋体" w:cs="Arial"/>
          <w:snapToGrid w:val="0"/>
          <w:sz w:val="24"/>
          <w:szCs w:val="24"/>
        </w:rPr>
      </w:pPr>
      <w:r>
        <w:rPr>
          <w:rFonts w:ascii="Arial" w:hAnsi="Arial" w:eastAsia="宋体" w:cs="Arial"/>
          <w:snapToGrid w:val="0"/>
          <w:sz w:val="24"/>
          <w:szCs w:val="24"/>
        </w:rPr>
        <w:t>将进一步保护此类受试者的权利和福利，其中至少包括：</w:t>
      </w:r>
    </w:p>
    <w:p w14:paraId="55A78400">
      <w:pPr>
        <w:pStyle w:val="24"/>
        <w:numPr>
          <w:ilvl w:val="2"/>
          <w:numId w:val="21"/>
        </w:numPr>
        <w:topLinePunct/>
        <w:adjustRightInd w:val="0"/>
        <w:snapToGrid w:val="0"/>
        <w:spacing w:after="224" w:afterLines="75" w:line="300" w:lineRule="auto"/>
        <w:ind w:left="1701" w:leftChars="516" w:hanging="566" w:hangingChars="236"/>
        <w:jc w:val="both"/>
        <w:rPr>
          <w:rFonts w:ascii="Arial" w:hAnsi="Arial" w:eastAsia="宋体" w:cs="Arial"/>
          <w:snapToGrid w:val="0"/>
          <w:sz w:val="24"/>
          <w:szCs w:val="24"/>
        </w:rPr>
      </w:pPr>
      <w:r>
        <w:rPr>
          <w:rFonts w:ascii="Arial" w:hAnsi="Arial" w:eastAsia="宋体" w:cs="Arial"/>
          <w:snapToGrid w:val="0"/>
          <w:sz w:val="24"/>
          <w:szCs w:val="24"/>
        </w:rPr>
        <w:t>咨询（包括IRB进行的咨询（如果适用））临床研究和受试者所在社区。</w:t>
      </w:r>
    </w:p>
    <w:p w14:paraId="42CBA2F7">
      <w:pPr>
        <w:pStyle w:val="24"/>
        <w:numPr>
          <w:ilvl w:val="2"/>
          <w:numId w:val="21"/>
        </w:numPr>
        <w:topLinePunct/>
        <w:adjustRightInd w:val="0"/>
        <w:snapToGrid w:val="0"/>
        <w:spacing w:after="224" w:afterLines="75" w:line="300" w:lineRule="auto"/>
        <w:ind w:left="1701" w:leftChars="516" w:hanging="566" w:hangingChars="236"/>
        <w:jc w:val="both"/>
        <w:rPr>
          <w:rFonts w:ascii="Arial" w:hAnsi="Arial" w:eastAsia="宋体" w:cs="Arial"/>
          <w:snapToGrid w:val="0"/>
          <w:sz w:val="24"/>
          <w:szCs w:val="24"/>
        </w:rPr>
      </w:pPr>
      <w:r>
        <w:rPr>
          <w:rFonts w:ascii="Arial" w:hAnsi="Arial" w:eastAsia="宋体" w:cs="Arial"/>
          <w:snapToGrid w:val="0"/>
          <w:sz w:val="24"/>
          <w:szCs w:val="24"/>
        </w:rPr>
        <w:t>在临床研究开始之前，向临床研究和受试者所在社区公开披露研究计划及其风险和预期收益；</w:t>
      </w:r>
    </w:p>
    <w:p w14:paraId="07064AAF">
      <w:pPr>
        <w:pStyle w:val="24"/>
        <w:numPr>
          <w:ilvl w:val="2"/>
          <w:numId w:val="21"/>
        </w:numPr>
        <w:topLinePunct/>
        <w:adjustRightInd w:val="0"/>
        <w:snapToGrid w:val="0"/>
        <w:spacing w:after="224" w:afterLines="75" w:line="300" w:lineRule="auto"/>
        <w:ind w:left="1701" w:leftChars="516" w:hanging="566" w:hangingChars="236"/>
        <w:jc w:val="both"/>
        <w:rPr>
          <w:rFonts w:ascii="Arial" w:hAnsi="Arial" w:eastAsia="宋体" w:cs="Arial"/>
          <w:snapToGrid w:val="0"/>
          <w:sz w:val="24"/>
          <w:szCs w:val="24"/>
        </w:rPr>
      </w:pPr>
      <w:r>
        <w:rPr>
          <w:rFonts w:ascii="Arial" w:hAnsi="Arial" w:eastAsia="宋体" w:cs="Arial"/>
          <w:snapToGrid w:val="0"/>
          <w:sz w:val="24"/>
          <w:szCs w:val="24"/>
        </w:rPr>
        <w:t>临床研究完成后，公开披露足够的数据，以便社区和研究者了解研究相关信息，包括研究人群的人口特征及其结果；</w:t>
      </w:r>
    </w:p>
    <w:p w14:paraId="1E3DB409">
      <w:pPr>
        <w:pStyle w:val="24"/>
        <w:numPr>
          <w:ilvl w:val="2"/>
          <w:numId w:val="21"/>
        </w:numPr>
        <w:tabs>
          <w:tab w:val="left" w:pos="1880"/>
        </w:tabs>
        <w:topLinePunct/>
        <w:adjustRightInd w:val="0"/>
        <w:snapToGrid w:val="0"/>
        <w:spacing w:after="224" w:afterLines="75" w:line="300" w:lineRule="auto"/>
        <w:ind w:left="1701" w:leftChars="516" w:hanging="566" w:hangingChars="236"/>
        <w:jc w:val="both"/>
        <w:rPr>
          <w:rFonts w:ascii="Arial" w:hAnsi="Arial" w:eastAsia="宋体" w:cs="Arial"/>
          <w:snapToGrid w:val="0"/>
          <w:sz w:val="24"/>
          <w:szCs w:val="24"/>
        </w:rPr>
      </w:pPr>
      <w:r>
        <w:rPr>
          <w:rFonts w:ascii="Arial" w:hAnsi="Arial" w:eastAsia="宋体" w:cs="Arial"/>
          <w:snapToGrid w:val="0"/>
          <w:sz w:val="24"/>
          <w:szCs w:val="24"/>
        </w:rPr>
        <w:t>建立独立数据监测委员会，对临床研究进行监督；以及</w:t>
      </w:r>
    </w:p>
    <w:p w14:paraId="1E819421">
      <w:pPr>
        <w:pStyle w:val="24"/>
        <w:numPr>
          <w:ilvl w:val="2"/>
          <w:numId w:val="21"/>
        </w:numPr>
        <w:tabs>
          <w:tab w:val="left" w:pos="1880"/>
        </w:tabs>
        <w:topLinePunct/>
        <w:adjustRightInd w:val="0"/>
        <w:snapToGrid w:val="0"/>
        <w:spacing w:after="224" w:afterLines="75" w:line="300" w:lineRule="auto"/>
        <w:ind w:left="1701" w:leftChars="516" w:hanging="566" w:hangingChars="236"/>
        <w:jc w:val="both"/>
        <w:rPr>
          <w:rFonts w:ascii="Arial" w:hAnsi="Arial" w:eastAsia="宋体" w:cs="Arial"/>
          <w:snapToGrid w:val="0"/>
          <w:sz w:val="24"/>
          <w:szCs w:val="24"/>
        </w:rPr>
      </w:pPr>
      <w:r>
        <w:rPr>
          <w:rFonts w:ascii="Arial" w:hAnsi="Arial" w:eastAsia="宋体" w:cs="Arial"/>
          <w:snapToGrid w:val="0"/>
          <w:sz w:val="24"/>
          <w:szCs w:val="24"/>
        </w:rPr>
        <w:t>如果无法获得知情同意，且合法授权代表不可用，则研究者应承诺，如果可行，其将尝试在治疗窗内联系不是法定授权代表的受试者家庭成员，询问其是否反对受试者参与临床研究。研究者将总结旨在联系家庭成员的工作，并在继续审查时向IRB提供此信息。</w:t>
      </w:r>
    </w:p>
    <w:p w14:paraId="1A70FB9C">
      <w:pPr>
        <w:pStyle w:val="24"/>
        <w:numPr>
          <w:ilvl w:val="0"/>
          <w:numId w:val="21"/>
        </w:numPr>
        <w:tabs>
          <w:tab w:val="left" w:pos="441"/>
        </w:tabs>
        <w:topLinePunct/>
        <w:adjustRightInd w:val="0"/>
        <w:snapToGrid w:val="0"/>
        <w:spacing w:after="224" w:afterLines="75" w:line="300" w:lineRule="auto"/>
        <w:ind w:left="427" w:hanging="427"/>
        <w:jc w:val="both"/>
        <w:rPr>
          <w:rFonts w:ascii="Arial" w:hAnsi="Arial" w:eastAsia="宋体" w:cs="Arial"/>
          <w:snapToGrid w:val="0"/>
          <w:sz w:val="24"/>
          <w:szCs w:val="24"/>
        </w:rPr>
      </w:pPr>
      <w:r>
        <w:rPr>
          <w:rFonts w:ascii="Arial" w:hAnsi="Arial" w:eastAsia="宋体" w:cs="Arial"/>
          <w:snapToGrid w:val="0"/>
          <w:sz w:val="24"/>
          <w:szCs w:val="24"/>
        </w:rPr>
        <w:t>IRB负责确保，已制定程序，以便尽早通知每例受试者（或者如果该受试者仍然无行为能力，该受试者的合法授权代表，或该代表不可用，家庭成员），受试者入选临床研究的决定、研究细节和知情同意书所载其他信息。IRB还应确保，已制定程序，以便通知每例受试者（或者如果该受试者仍然无行为能力，该受试者的合法授权代表，或该代表不可用，家庭成员），其可以随时中止受试者参与以及，而不会受到任何处罚以及使受试者丧失其有权获得的收益。如果告知法定授权代表或家庭成员临床研究和受试者状况已改善，也应尽快通知受试者。如果受试者参与已豁免同意要求的临床研究，但受试者在可以联系法定授权代表或家庭成员之前死亡，则将向受试者授权代表或家庭成员提供有关临床研究的信息（如果可行）。</w:t>
      </w:r>
    </w:p>
    <w:p w14:paraId="45C4BC79">
      <w:pPr>
        <w:pStyle w:val="24"/>
        <w:numPr>
          <w:ilvl w:val="0"/>
          <w:numId w:val="21"/>
        </w:numPr>
        <w:tabs>
          <w:tab w:val="left" w:pos="427"/>
        </w:tabs>
        <w:topLinePunct/>
        <w:adjustRightInd w:val="0"/>
        <w:snapToGrid w:val="0"/>
        <w:spacing w:after="224" w:afterLines="75" w:line="300" w:lineRule="auto"/>
        <w:ind w:left="427" w:hanging="427"/>
        <w:jc w:val="both"/>
        <w:rPr>
          <w:rFonts w:ascii="Arial" w:hAnsi="Arial" w:eastAsia="宋体" w:cs="Arial"/>
          <w:snapToGrid w:val="0"/>
          <w:sz w:val="24"/>
          <w:szCs w:val="24"/>
        </w:rPr>
      </w:pPr>
      <w:r>
        <w:rPr>
          <w:rFonts w:ascii="Arial" w:hAnsi="Arial" w:eastAsia="宋体" w:cs="Arial"/>
          <w:snapToGrid w:val="0"/>
          <w:sz w:val="24"/>
          <w:szCs w:val="24"/>
        </w:rPr>
        <w:t>在临床研究完成后至少3年内，IRB应保留其根据本条第（a）段作出的决定和本条第（e）段所要求的文件，记录应可以按照本章56.115（b）的规定，由FDA检查和复制。</w:t>
      </w:r>
    </w:p>
    <w:p w14:paraId="5953EA62">
      <w:pPr>
        <w:pStyle w:val="24"/>
        <w:numPr>
          <w:ilvl w:val="0"/>
          <w:numId w:val="21"/>
        </w:numPr>
        <w:tabs>
          <w:tab w:val="left" w:pos="427"/>
        </w:tabs>
        <w:topLinePunct/>
        <w:adjustRightInd w:val="0"/>
        <w:snapToGrid w:val="0"/>
        <w:spacing w:after="224" w:afterLines="75" w:line="300" w:lineRule="auto"/>
        <w:ind w:left="427" w:hanging="427"/>
        <w:jc w:val="both"/>
        <w:rPr>
          <w:rFonts w:ascii="Arial" w:hAnsi="Arial" w:eastAsia="宋体" w:cs="Arial"/>
          <w:snapToGrid w:val="0"/>
          <w:sz w:val="24"/>
          <w:szCs w:val="24"/>
        </w:rPr>
      </w:pPr>
      <w:r>
        <w:rPr>
          <w:rFonts w:ascii="Arial" w:hAnsi="Arial" w:eastAsia="宋体" w:cs="Arial"/>
          <w:snapToGrid w:val="0"/>
          <w:sz w:val="24"/>
          <w:szCs w:val="24"/>
        </w:rPr>
        <w:t>根据本条豁免知情同意要求的方案必须在单独提交研究性新药申请（IND）或研究性器械豁免（IDE）后执行，其中应明确表明方案可能会入选无法同意的受试者。即使相同药品已提交IND或相同器械已提交IDE，也需要在单独IND / IDE中提交此类方案。根据本条的研究申请不得作为本章312.30或812.35要求的修正材料提交。</w:t>
      </w:r>
    </w:p>
    <w:p w14:paraId="7F15AEAA">
      <w:pPr>
        <w:pStyle w:val="24"/>
        <w:numPr>
          <w:ilvl w:val="0"/>
          <w:numId w:val="21"/>
        </w:numPr>
        <w:tabs>
          <w:tab w:val="left" w:pos="447"/>
        </w:tabs>
        <w:topLinePunct/>
        <w:adjustRightInd w:val="0"/>
        <w:snapToGrid w:val="0"/>
        <w:spacing w:after="224" w:afterLines="75" w:line="300" w:lineRule="auto"/>
        <w:ind w:left="427" w:hanging="427"/>
        <w:jc w:val="both"/>
        <w:rPr>
          <w:rFonts w:ascii="Arial" w:hAnsi="Arial" w:eastAsia="宋体" w:cs="Arial"/>
          <w:snapToGrid w:val="0"/>
          <w:sz w:val="24"/>
          <w:szCs w:val="24"/>
        </w:rPr>
      </w:pPr>
      <w:r>
        <w:rPr>
          <w:rFonts w:ascii="Arial" w:hAnsi="Arial" w:eastAsia="宋体" w:cs="Arial"/>
          <w:snapToGrid w:val="0"/>
          <w:sz w:val="24"/>
          <w:szCs w:val="24"/>
        </w:rPr>
        <w:t>如果IRB确定，由于研究不符合本条（a）项规定的豁免标准或者由于其他相关的伦理问题，其不能批准临床研究，则IRB必须记录其发现并及时以书面形式向临床研究者和临床研究的申办方提供此类发现。临床研究的申办方必须及时向FDA，已参与或要求参与此研究或申办方的另一实质等同临床研究的申办方临床研究者，以及已审查或要求审查此研究或申办方的另一实质等同临床研究的其他IRB披露此类信息。</w:t>
      </w:r>
    </w:p>
    <w:p w14:paraId="03539855">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75FD9ACA">
      <w:pPr>
        <w:pStyle w:val="3"/>
        <w:tabs>
          <w:tab w:val="right" w:pos="9026"/>
        </w:tabs>
        <w:topLinePunct/>
        <w:adjustRightInd w:val="0"/>
        <w:snapToGrid w:val="0"/>
        <w:spacing w:after="224" w:afterLines="75" w:line="300" w:lineRule="auto"/>
        <w:ind w:left="0"/>
        <w:jc w:val="both"/>
        <w:rPr>
          <w:rFonts w:ascii="Arial" w:hAnsi="Arial" w:cs="Arial"/>
          <w:b w:val="0"/>
          <w:bCs w:val="0"/>
          <w:snapToGrid w:val="0"/>
        </w:rPr>
      </w:pPr>
      <w:bookmarkStart w:id="461" w:name="_Toc498200821"/>
      <w:bookmarkStart w:id="462" w:name="_Toc498446556"/>
      <w:r>
        <w:rPr>
          <w:rFonts w:ascii="Arial" w:hAnsi="Arial" w:cs="Arial"/>
          <w:snapToGrid w:val="0"/>
        </w:rPr>
        <w:t>定义</w:t>
      </w:r>
      <w:r>
        <w:rPr>
          <w:rFonts w:ascii="Arial" w:hAnsi="Arial" w:cs="Arial"/>
          <w:snapToGrid w:val="0"/>
        </w:rPr>
        <w:tab/>
      </w:r>
      <w:bookmarkEnd w:id="461"/>
      <w:r>
        <w:rPr>
          <w:rFonts w:ascii="Arial" w:hAnsi="Arial" w:cs="Arial"/>
          <w:snapToGrid w:val="0"/>
        </w:rPr>
        <w:t>附录B</w:t>
      </w:r>
      <w:bookmarkEnd w:id="462"/>
    </w:p>
    <w:p w14:paraId="2AC6C8C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临床研究</w:t>
      </w:r>
      <w:r>
        <w:rPr>
          <w:rFonts w:ascii="Arial" w:hAnsi="Arial" w:cs="Arial"/>
          <w:snapToGrid w:val="0"/>
        </w:rPr>
        <w:t>（备注：就本指南而言，术语研究、</w:t>
      </w:r>
      <w:r>
        <w:rPr>
          <w:rFonts w:hint="eastAsia" w:ascii="Arial" w:hAnsi="Arial" w:cs="Arial"/>
          <w:snapToGrid w:val="0"/>
        </w:rPr>
        <w:t>临床研究</w:t>
      </w:r>
      <w:r>
        <w:rPr>
          <w:rFonts w:ascii="Arial" w:hAnsi="Arial" w:cs="Arial"/>
          <w:snapToGrid w:val="0"/>
        </w:rPr>
        <w:t>、生物医学研究、研究、临床试验、试验均视为同义词。）术语表示：</w:t>
      </w:r>
    </w:p>
    <w:p w14:paraId="72B828FC">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对于药品（包括生物制药）：将任何药品／生物制剂施用于或配发给或应用于一个或多个受试者的任何实验（21 CFR 312.3（b））。</w:t>
      </w:r>
    </w:p>
    <w:p w14:paraId="6433475D">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对于器械：涉及一个或多例受试者以确定器械安全性或有效性的任何研究（21 CFR 812.3（h））。</w:t>
      </w:r>
    </w:p>
    <w:p w14:paraId="6EBCABC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临床研究者</w:t>
      </w:r>
      <w:r>
        <w:rPr>
          <w:rFonts w:ascii="Arial" w:hAnsi="Arial" w:cs="Arial"/>
          <w:snapToGrid w:val="0"/>
        </w:rPr>
        <w:t>。实际进行临床研究的个体（即在其直接指导下将供试品施用于或配发给受试者）。如果由个体团队进行研究，研究者是该团队的责任领导（21 CFR 312.3（b），812.3（i））。</w:t>
      </w:r>
    </w:p>
    <w:p w14:paraId="2FC3D903">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社区</w:t>
      </w:r>
      <w:r>
        <w:rPr>
          <w:rFonts w:ascii="Arial" w:hAnsi="Arial" w:cs="Arial"/>
          <w:snapToGrid w:val="0"/>
        </w:rPr>
        <w:t>。社区是指在特定地区生活和工作，可能因共同利益相关联的社会群体；构成社会或团体，具有不同类型个体的互动人群；或者在给定位置的相互关联个体的聚集（韦氏第三版新国际英语词典，c.1971）。社区也可以包括共享共同经验或病症的人员。</w:t>
      </w:r>
    </w:p>
    <w:p w14:paraId="660E273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社区咨询</w:t>
      </w:r>
      <w:r>
        <w:rPr>
          <w:rFonts w:ascii="Arial" w:hAnsi="Arial" w:cs="Arial"/>
          <w:snapToGrid w:val="0"/>
        </w:rPr>
        <w:t>。社区咨询是指与研究和受试者所在社区进行讨论并征求其意见。</w:t>
      </w:r>
    </w:p>
    <w:p w14:paraId="5568AF25">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数据监测委员会（DMC）</w:t>
      </w:r>
      <w:r>
        <w:rPr>
          <w:rFonts w:ascii="Arial" w:hAnsi="Arial" w:cs="Arial"/>
          <w:snapToGrid w:val="0"/>
        </w:rPr>
        <w:t>。临床试验DMC是一组具有相关专业知识的人员，其将定期审查一个或多个进行中临床试验中的累积数据。DMC将就当前试验参与者和尚未入选试验的参与者的持续安全性以及试验的持续有效性和科学价值向申办方提供意见。有关DMC及其运作的更多信息，请参见FDA的临床试验申办方指南：临床试验数据监测委员会的建立和运作，2006年3月。</w:t>
      </w:r>
      <w:r>
        <w:rPr>
          <w:rStyle w:val="22"/>
          <w:rFonts w:ascii="Arial" w:hAnsi="Arial" w:cs="Arial"/>
          <w:snapToGrid w:val="0"/>
        </w:rPr>
        <w:footnoteReference w:id="53"/>
      </w:r>
    </w:p>
    <w:p w14:paraId="18D4A98B">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紧急研究</w:t>
      </w:r>
      <w:r>
        <w:rPr>
          <w:rFonts w:ascii="Arial" w:hAnsi="Arial" w:cs="Arial"/>
          <w:snapToGrid w:val="0"/>
        </w:rPr>
        <w:t>。计划临床研究，其需要事先获得FDA书面授权才能进行，并涉及处于危及生命处境，且可用治疗或体外诊断试验未经证实或无法令人满意的受试者。</w:t>
      </w:r>
    </w:p>
    <w:p w14:paraId="065BC751">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家庭成员</w:t>
      </w:r>
      <w:r>
        <w:rPr>
          <w:rFonts w:ascii="Arial" w:hAnsi="Arial" w:cs="Arial"/>
          <w:snapToGrid w:val="0"/>
        </w:rPr>
        <w:t>。以下合法人员中的任意一个：配偶、父母、子女（包括领养子女）、兄弟姐妹和兄弟姐妹的配偶，以及任何与受试者在血缘和姻亲方面的关联等同于家庭成员的个体（21 CFR 50.3（m））。</w:t>
      </w:r>
      <w:r>
        <w:rPr>
          <w:rFonts w:ascii="宋体" w:hAnsi="宋体" w:cs="Arial"/>
          <w:snapToGrid w:val="0"/>
        </w:rPr>
        <w:t>“</w:t>
      </w:r>
      <w:r>
        <w:rPr>
          <w:rFonts w:ascii="Arial" w:hAnsi="Arial" w:cs="Arial"/>
          <w:snapToGrid w:val="0"/>
        </w:rPr>
        <w:t>合法</w:t>
      </w:r>
      <w:r>
        <w:rPr>
          <w:rFonts w:ascii="宋体" w:hAnsi="宋体" w:cs="Arial"/>
          <w:snapToGrid w:val="0"/>
        </w:rPr>
        <w:t>”</w:t>
      </w:r>
      <w:r>
        <w:rPr>
          <w:rFonts w:ascii="Arial" w:hAnsi="Arial" w:cs="Arial"/>
          <w:snapToGrid w:val="0"/>
        </w:rPr>
        <w:t>定义可能因州而异，但一般包括法定成年人年龄和心理能力评估。</w:t>
      </w:r>
    </w:p>
    <w:p w14:paraId="59BD2611">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b/>
          <w:snapToGrid w:val="0"/>
          <w:sz w:val="24"/>
          <w:szCs w:val="24"/>
        </w:rPr>
        <w:t>机构审查委员会（IRB）。</w:t>
      </w:r>
      <w:r>
        <w:rPr>
          <w:rFonts w:ascii="Arial" w:hAnsi="Arial" w:eastAsia="宋体" w:cs="Arial"/>
          <w:snapToGrid w:val="0"/>
          <w:sz w:val="24"/>
          <w:szCs w:val="24"/>
        </w:rPr>
        <w:t>由机构正式指定的任何董事会、委员会或其他组织，其负责审查、批准启动和定期审查涉及受试者的生物医学研究。这种审查的主要目的是确保受试者的权利和福利得到保护（21 CFR 56.102（g））。</w:t>
      </w:r>
    </w:p>
    <w:p w14:paraId="486A39C9">
      <w:pPr>
        <w:topLinePunct/>
        <w:adjustRightInd w:val="0"/>
        <w:snapToGrid w:val="0"/>
        <w:spacing w:after="224" w:afterLines="75" w:line="300" w:lineRule="auto"/>
        <w:jc w:val="both"/>
        <w:rPr>
          <w:rFonts w:ascii="Arial" w:hAnsi="Arial" w:eastAsia="宋体" w:cs="Arial"/>
          <w:snapToGrid w:val="0"/>
          <w:sz w:val="24"/>
          <w:szCs w:val="24"/>
        </w:rPr>
      </w:pPr>
      <w:bookmarkStart w:id="463" w:name="_bookmark190"/>
      <w:bookmarkEnd w:id="463"/>
      <w:r>
        <w:rPr>
          <w:rFonts w:ascii="Arial" w:hAnsi="Arial" w:eastAsia="宋体" w:cs="Arial"/>
          <w:snapToGrid w:val="0"/>
          <w:sz w:val="24"/>
          <w:szCs w:val="24"/>
        </w:rPr>
        <w:br w:type="page"/>
      </w:r>
    </w:p>
    <w:p w14:paraId="27C83199">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法定授权代表（LAR）</w:t>
      </w:r>
      <w:r>
        <w:rPr>
          <w:rFonts w:ascii="Arial" w:hAnsi="Arial" w:cs="Arial"/>
          <w:snapToGrid w:val="0"/>
        </w:rPr>
        <w:t>。根据适用的州或地方法律授权，代表潜在受试者同意参与研究研究的个体或司法或其他机构（21 CFR 50.3（m））。IRB和临床研究者应熟悉适用的地方法规和法规中有关法定授权代表定义的条款。</w:t>
      </w:r>
    </w:p>
    <w:p w14:paraId="5AD7296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危及生命。</w:t>
      </w:r>
      <w:r>
        <w:rPr>
          <w:rFonts w:ascii="Arial" w:hAnsi="Arial" w:cs="Arial"/>
          <w:snapToGrid w:val="0"/>
        </w:rPr>
        <w:t>如果其病程未中断，很有可能造成死亡的疾病或病症。21 CFR 50.24仅适用于危及生命的紧急处境。</w:t>
      </w:r>
    </w:p>
    <w:p w14:paraId="43C72888">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公开披露。</w:t>
      </w:r>
      <w:r>
        <w:rPr>
          <w:rFonts w:ascii="Arial" w:hAnsi="Arial" w:cs="Arial"/>
          <w:snapToGrid w:val="0"/>
        </w:rPr>
        <w:t>就本指南而言，公开披露是指传播关于紧急研究的信息，其中，此类信息足以允许社区了解研究计划，风险和预期收益，以及研究将在未获得大部分研究对象的知情同意的情况下进行的事实。公开披露还包括在研究完成后传播信息，以便社区和科学研究者了解研究结果。</w:t>
      </w:r>
    </w:p>
    <w:p w14:paraId="7A0DF95F">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申办方。</w:t>
      </w:r>
      <w:r>
        <w:rPr>
          <w:rFonts w:ascii="Arial" w:hAnsi="Arial" w:cs="Arial"/>
          <w:snapToGrid w:val="0"/>
        </w:rPr>
        <w:t>负责和发起临床研究的人员（21 CFR 312.3（b），812.3（n））。申办方可以是个体、公司、政府机构、学术机构、私人组织等。</w:t>
      </w:r>
    </w:p>
    <w:p w14:paraId="68643206">
      <w:pPr>
        <w:pStyle w:val="6"/>
        <w:topLinePunct/>
        <w:adjustRightInd w:val="0"/>
        <w:snapToGrid w:val="0"/>
        <w:spacing w:after="224" w:afterLines="75" w:line="300" w:lineRule="auto"/>
        <w:ind w:left="0"/>
        <w:jc w:val="both"/>
        <w:rPr>
          <w:rFonts w:ascii="Arial" w:hAnsi="Arial" w:cs="Arial"/>
          <w:snapToGrid w:val="0"/>
        </w:rPr>
      </w:pPr>
      <w:r>
        <w:rPr>
          <w:rFonts w:ascii="Arial" w:hAnsi="Arial" w:cs="Arial"/>
          <w:b/>
          <w:snapToGrid w:val="0"/>
        </w:rPr>
        <w:t>申办方研究者</w:t>
      </w:r>
      <w:r>
        <w:rPr>
          <w:rFonts w:ascii="Arial" w:hAnsi="Arial" w:cs="Arial"/>
          <w:snapToGrid w:val="0"/>
        </w:rPr>
        <w:t>。发起和进行研究，并在其直接指示下施用或配发研究性供试品的固溶体（21 CFR 312.3（b），812.3（o））。申办方研究者承担有关申办方和临床研究者的责任。</w:t>
      </w:r>
    </w:p>
    <w:p w14:paraId="6A14A339">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b/>
          <w:snapToGrid w:val="0"/>
          <w:sz w:val="24"/>
          <w:szCs w:val="24"/>
        </w:rPr>
        <w:t>治疗窗。</w:t>
      </w:r>
      <w:r>
        <w:rPr>
          <w:rFonts w:ascii="Arial" w:hAnsi="Arial" w:eastAsia="宋体" w:cs="Arial"/>
          <w:snapToGrid w:val="0"/>
          <w:sz w:val="24"/>
          <w:szCs w:val="24"/>
        </w:rPr>
        <w:t>（1）治疗窗是基于现有科学证据确定的时间段，在此期间施用供试品后，可能产生明显的临床效果。（2）对于满足紧急研究标准的体外诊断器械（IVD）研究，治疗窗是基于现有科学证据确定的时间段，在此期间必须进行诊断以允许进行适当治疗。</w:t>
      </w:r>
    </w:p>
    <w:p w14:paraId="66DFF93A">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45CBE21E">
      <w:pPr>
        <w:pStyle w:val="3"/>
        <w:tabs>
          <w:tab w:val="left" w:pos="1134"/>
        </w:tabs>
        <w:topLinePunct/>
        <w:adjustRightInd w:val="0"/>
        <w:snapToGrid w:val="0"/>
        <w:spacing w:after="224" w:afterLines="75" w:line="300" w:lineRule="auto"/>
        <w:ind w:left="0"/>
        <w:jc w:val="center"/>
        <w:rPr>
          <w:rFonts w:ascii="Arial" w:hAnsi="Arial" w:cs="Arial"/>
          <w:snapToGrid w:val="0"/>
        </w:rPr>
      </w:pPr>
      <w:bookmarkStart w:id="464" w:name="_Toc498446557"/>
      <w:bookmarkStart w:id="465" w:name="_Toc498200822"/>
      <w:r>
        <w:rPr>
          <w:rFonts w:ascii="Arial" w:hAnsi="Arial" w:cs="Arial"/>
          <w:snapToGrid w:val="0"/>
        </w:rPr>
        <w:t>附录C</w:t>
      </w:r>
      <w:bookmarkEnd w:id="464"/>
    </w:p>
    <w:p w14:paraId="0FF9F39C">
      <w:pPr>
        <w:pStyle w:val="3"/>
        <w:tabs>
          <w:tab w:val="left" w:pos="1134"/>
        </w:tabs>
        <w:topLinePunct/>
        <w:adjustRightInd w:val="0"/>
        <w:snapToGrid w:val="0"/>
        <w:spacing w:after="224" w:afterLines="75" w:line="300" w:lineRule="auto"/>
        <w:ind w:left="0"/>
        <w:jc w:val="center"/>
        <w:rPr>
          <w:rFonts w:ascii="Arial" w:hAnsi="Arial" w:cs="Arial"/>
          <w:snapToGrid w:val="0"/>
        </w:rPr>
      </w:pPr>
      <w:bookmarkStart w:id="466" w:name="_Toc498446558"/>
      <w:r>
        <w:rPr>
          <w:rFonts w:ascii="Arial" w:hAnsi="Arial" w:cs="Arial"/>
          <w:snapToGrid w:val="0"/>
        </w:rPr>
        <w:t>50.24研究的建议流程图</w:t>
      </w:r>
      <w:bookmarkEnd w:id="465"/>
      <w:bookmarkEnd w:id="466"/>
    </w:p>
    <w:p w14:paraId="30F527B0">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（以下是满足根据21 CFR 50.24进行的研究要求的方式图示。也可以使用替代方法。）</w:t>
      </w:r>
    </w:p>
    <w:p w14:paraId="4FE26917">
      <w:pPr>
        <w:topLinePunct/>
        <w:adjustRightInd w:val="0"/>
        <w:snapToGrid w:val="0"/>
        <w:spacing w:after="224" w:afterLines="75" w:line="300" w:lineRule="auto"/>
        <w:jc w:val="both"/>
        <w:rPr>
          <w:rFonts w:ascii="Arial" w:hAnsi="Arial" w:eastAsia="宋体" w:cs="Arial"/>
          <w:snapToGrid w:val="0"/>
          <w:sz w:val="24"/>
          <w:szCs w:val="24"/>
        </w:rPr>
      </w:pPr>
    </w:p>
    <w:p w14:paraId="15295EF7">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mc:AlternateContent>
          <mc:Choice Requires="wpg">
            <w:drawing>
              <wp:anchor distT="0" distB="0" distL="114300" distR="114300" simplePos="0" relativeHeight="251662336" behindDoc="1" locked="0" layoutInCell="0" allowOverlap="1">
                <wp:simplePos x="0" y="0"/>
                <wp:positionH relativeFrom="column">
                  <wp:posOffset>1737360</wp:posOffset>
                </wp:positionH>
                <wp:positionV relativeFrom="paragraph">
                  <wp:posOffset>2119630</wp:posOffset>
                </wp:positionV>
                <wp:extent cx="75565" cy="348615"/>
                <wp:effectExtent l="0" t="3175" r="0" b="0"/>
                <wp:wrapNone/>
                <wp:docPr id="3" name="组合 3"/>
                <wp:cNvGraphicFramePr/>
                <a:graphic xmlns:a="http://schemas.openxmlformats.org/drawingml/2006/main">
                  <a:graphicData uri="http://schemas.microsoft.com/office/word/2010/wordprocessingGroup">
                    <wpg:wgp>
                      <wpg:cNvGrpSpPr/>
                      <wpg:grpSpPr>
                        <a:xfrm rot="5400000">
                          <a:off x="0" y="0"/>
                          <a:ext cx="75565" cy="348615"/>
                          <a:chOff x="0" y="0"/>
                          <a:chExt cx="120" cy="549"/>
                        </a:xfrm>
                      </wpg:grpSpPr>
                      <wpg:grpSp>
                        <wpg:cNvPr id="4" name="Group 414"/>
                        <wpg:cNvGrpSpPr/>
                        <wpg:grpSpPr>
                          <a:xfrm>
                            <a:off x="0" y="0"/>
                            <a:ext cx="120" cy="549"/>
                            <a:chOff x="0" y="0"/>
                            <a:chExt cx="120" cy="549"/>
                          </a:xfrm>
                        </wpg:grpSpPr>
                        <wps:wsp>
                          <wps:cNvPr id="5" name="Freeform 415"/>
                          <wps:cNvSpPr/>
                          <wps:spPr bwMode="auto">
                            <a:xfrm>
                              <a:off x="0" y="0"/>
                              <a:ext cx="120" cy="549"/>
                            </a:xfrm>
                            <a:custGeom>
                              <a:avLst/>
                              <a:gdLst>
                                <a:gd name="T0" fmla="*/ 53 w 120"/>
                                <a:gd name="T1" fmla="*/ 428 h 549"/>
                                <a:gd name="T2" fmla="*/ 0 w 120"/>
                                <a:gd name="T3" fmla="*/ 428 h 549"/>
                                <a:gd name="T4" fmla="*/ 60 w 120"/>
                                <a:gd name="T5" fmla="*/ 548 h 549"/>
                                <a:gd name="T6" fmla="*/ 106 w 120"/>
                                <a:gd name="T7" fmla="*/ 456 h 549"/>
                                <a:gd name="T8" fmla="*/ 60 w 120"/>
                                <a:gd name="T9" fmla="*/ 456 h 549"/>
                                <a:gd name="T10" fmla="*/ 55 w 120"/>
                                <a:gd name="T11" fmla="*/ 454 h 549"/>
                                <a:gd name="T12" fmla="*/ 53 w 120"/>
                                <a:gd name="T13" fmla="*/ 448 h 549"/>
                                <a:gd name="T14" fmla="*/ 53 w 120"/>
                                <a:gd name="T15" fmla="*/ 428 h 5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549">
                                  <a:moveTo>
                                    <a:pt x="53" y="428"/>
                                  </a:moveTo>
                                  <a:lnTo>
                                    <a:pt x="0" y="428"/>
                                  </a:lnTo>
                                  <a:lnTo>
                                    <a:pt x="60" y="548"/>
                                  </a:lnTo>
                                  <a:lnTo>
                                    <a:pt x="106" y="456"/>
                                  </a:lnTo>
                                  <a:lnTo>
                                    <a:pt x="60" y="456"/>
                                  </a:lnTo>
                                  <a:lnTo>
                                    <a:pt x="55" y="454"/>
                                  </a:lnTo>
                                  <a:lnTo>
                                    <a:pt x="53" y="448"/>
                                  </a:lnTo>
                                  <a:lnTo>
                                    <a:pt x="53" y="428"/>
                                  </a:lnTo>
                                  <a:close/>
                                </a:path>
                              </a:pathLst>
                            </a:custGeom>
                            <a:solidFill>
                              <a:srgbClr val="000000"/>
                            </a:solidFill>
                            <a:ln>
                              <a:noFill/>
                            </a:ln>
                          </wps:spPr>
                          <wps:bodyPr rot="0" vert="horz" wrap="square" lIns="91440" tIns="45720" rIns="91440" bIns="45720" anchor="t" anchorCtr="0" upright="1">
                            <a:noAutofit/>
                          </wps:bodyPr>
                        </wps:wsp>
                        <wps:wsp>
                          <wps:cNvPr id="6" name="Freeform 416"/>
                          <wps:cNvSpPr/>
                          <wps:spPr bwMode="auto">
                            <a:xfrm>
                              <a:off x="0" y="0"/>
                              <a:ext cx="120" cy="549"/>
                            </a:xfrm>
                            <a:custGeom>
                              <a:avLst/>
                              <a:gdLst>
                                <a:gd name="T0" fmla="*/ 60 w 120"/>
                                <a:gd name="T1" fmla="*/ 0 h 549"/>
                                <a:gd name="T2" fmla="*/ 55 w 120"/>
                                <a:gd name="T3" fmla="*/ 2 h 549"/>
                                <a:gd name="T4" fmla="*/ 53 w 120"/>
                                <a:gd name="T5" fmla="*/ 8 h 549"/>
                                <a:gd name="T6" fmla="*/ 53 w 120"/>
                                <a:gd name="T7" fmla="*/ 448 h 549"/>
                                <a:gd name="T8" fmla="*/ 55 w 120"/>
                                <a:gd name="T9" fmla="*/ 454 h 549"/>
                                <a:gd name="T10" fmla="*/ 60 w 120"/>
                                <a:gd name="T11" fmla="*/ 456 h 549"/>
                                <a:gd name="T12" fmla="*/ 65 w 120"/>
                                <a:gd name="T13" fmla="*/ 454 h 549"/>
                                <a:gd name="T14" fmla="*/ 67 w 120"/>
                                <a:gd name="T15" fmla="*/ 448 h 549"/>
                                <a:gd name="T16" fmla="*/ 67 w 120"/>
                                <a:gd name="T17" fmla="*/ 8 h 549"/>
                                <a:gd name="T18" fmla="*/ 65 w 120"/>
                                <a:gd name="T19" fmla="*/ 2 h 549"/>
                                <a:gd name="T20" fmla="*/ 60 w 120"/>
                                <a:gd name="T21" fmla="*/ 0 h 5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549">
                                  <a:moveTo>
                                    <a:pt x="60" y="0"/>
                                  </a:moveTo>
                                  <a:lnTo>
                                    <a:pt x="55" y="2"/>
                                  </a:lnTo>
                                  <a:lnTo>
                                    <a:pt x="53" y="8"/>
                                  </a:lnTo>
                                  <a:lnTo>
                                    <a:pt x="53" y="448"/>
                                  </a:lnTo>
                                  <a:lnTo>
                                    <a:pt x="55" y="454"/>
                                  </a:lnTo>
                                  <a:lnTo>
                                    <a:pt x="60" y="456"/>
                                  </a:lnTo>
                                  <a:lnTo>
                                    <a:pt x="65" y="454"/>
                                  </a:lnTo>
                                  <a:lnTo>
                                    <a:pt x="67" y="448"/>
                                  </a:lnTo>
                                  <a:lnTo>
                                    <a:pt x="67" y="8"/>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7" name="Freeform 417"/>
                          <wps:cNvSpPr/>
                          <wps:spPr bwMode="auto">
                            <a:xfrm>
                              <a:off x="0" y="0"/>
                              <a:ext cx="120" cy="549"/>
                            </a:xfrm>
                            <a:custGeom>
                              <a:avLst/>
                              <a:gdLst>
                                <a:gd name="T0" fmla="*/ 120 w 120"/>
                                <a:gd name="T1" fmla="*/ 428 h 549"/>
                                <a:gd name="T2" fmla="*/ 67 w 120"/>
                                <a:gd name="T3" fmla="*/ 428 h 549"/>
                                <a:gd name="T4" fmla="*/ 67 w 120"/>
                                <a:gd name="T5" fmla="*/ 448 h 549"/>
                                <a:gd name="T6" fmla="*/ 65 w 120"/>
                                <a:gd name="T7" fmla="*/ 454 h 549"/>
                                <a:gd name="T8" fmla="*/ 60 w 120"/>
                                <a:gd name="T9" fmla="*/ 456 h 549"/>
                                <a:gd name="T10" fmla="*/ 106 w 120"/>
                                <a:gd name="T11" fmla="*/ 456 h 549"/>
                                <a:gd name="T12" fmla="*/ 120 w 120"/>
                                <a:gd name="T13" fmla="*/ 428 h 549"/>
                              </a:gdLst>
                              <a:ahLst/>
                              <a:cxnLst>
                                <a:cxn ang="0">
                                  <a:pos x="T0" y="T1"/>
                                </a:cxn>
                                <a:cxn ang="0">
                                  <a:pos x="T2" y="T3"/>
                                </a:cxn>
                                <a:cxn ang="0">
                                  <a:pos x="T4" y="T5"/>
                                </a:cxn>
                                <a:cxn ang="0">
                                  <a:pos x="T6" y="T7"/>
                                </a:cxn>
                                <a:cxn ang="0">
                                  <a:pos x="T8" y="T9"/>
                                </a:cxn>
                                <a:cxn ang="0">
                                  <a:pos x="T10" y="T11"/>
                                </a:cxn>
                                <a:cxn ang="0">
                                  <a:pos x="T12" y="T13"/>
                                </a:cxn>
                              </a:cxnLst>
                              <a:rect l="0" t="0" r="r" b="b"/>
                              <a:pathLst>
                                <a:path w="120" h="549">
                                  <a:moveTo>
                                    <a:pt x="120" y="428"/>
                                  </a:moveTo>
                                  <a:lnTo>
                                    <a:pt x="67" y="428"/>
                                  </a:lnTo>
                                  <a:lnTo>
                                    <a:pt x="67" y="448"/>
                                  </a:lnTo>
                                  <a:lnTo>
                                    <a:pt x="65" y="454"/>
                                  </a:lnTo>
                                  <a:lnTo>
                                    <a:pt x="60" y="456"/>
                                  </a:lnTo>
                                  <a:lnTo>
                                    <a:pt x="106" y="456"/>
                                  </a:lnTo>
                                  <a:lnTo>
                                    <a:pt x="120" y="428"/>
                                  </a:lnTo>
                                  <a:close/>
                                </a:path>
                              </a:pathLst>
                            </a:custGeom>
                            <a:solidFill>
                              <a:srgbClr val="000000"/>
                            </a:solidFill>
                            <a:ln>
                              <a:noFill/>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136.8pt;margin-top:166.9pt;height:27.45pt;width:5.95pt;rotation:5898240f;z-index:-251654144;mso-width-relative:page;mso-height-relative:page;" coordsize="120,549" o:allowincell="f" o:gfxdata="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5CVZ3NkAAAALAQAADwAAAAAAAAABACAAAAAiAAAAZHJzL2Rvd25yZXYu&#10;eG1sUEsBAhQAFAAAAAgAh07iQDcQUdlRBQAAKhwAAA4AAAAAAAAAAQAgAAAAKAEAAGRycy9lMm9E&#10;b2MueG1sUEsFBgAAAAAGAAYAWQEAAOsIAAAAAA==&#10;">
                <o:lock v:ext="edit" aspectratio="f"/>
                <v:group id="Group 414" o:spid="_x0000_s1026" o:spt="203" style="position:absolute;left:0;top:0;height:549;width:120;" coordsize="120,54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415" o:spid="_x0000_s1026" o:spt="100" style="position:absolute;left:0;top:0;height:549;width:120;" fillcolor="#000000" filled="t" stroked="f" coordsize="120,549" o:gfxdata="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Gif1ugAAANoA&#10;AAAPAAAAAAAAAAEAIAAAACIAAABkcnMvZG93bnJldi54bWxQSwECFAAUAAAACACHTuJAMy8FnjsA&#10;AAA5AAAAEAAAAAAAAAABACAAAAAJAQAAZHJzL3NoYXBleG1sLnhtbFBLBQYAAAAABgAGAFsBAACz&#10;AwAAAAA=&#10;" path="m53,428l0,428,60,548,106,456,60,456,55,454,53,448,53,428xe">
                    <v:path o:connectlocs="53,428;0,428;60,548;106,456;60,456;55,454;53,448;53,428" o:connectangles="0,0,0,0,0,0,0,0"/>
                    <v:fill on="t" focussize="0,0"/>
                    <v:stroke on="f"/>
                    <v:imagedata o:title=""/>
                    <o:lock v:ext="edit" aspectratio="f"/>
                  </v:shape>
                  <v:shape id="Freeform 416" o:spid="_x0000_s1026" o:spt="100" style="position:absolute;left:0;top:0;height:549;width:120;" fillcolor="#000000" filled="t" stroked="f" coordsize="120,549" o:gfxdata="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yLmCugAAANoA&#10;AAAPAAAAAAAAAAEAIAAAACIAAABkcnMvZG93bnJldi54bWxQSwECFAAUAAAACACHTuJAMy8FnjsA&#10;AAA5AAAAEAAAAAAAAAABACAAAAAJAQAAZHJzL3NoYXBleG1sLnhtbFBLBQYAAAAABgAGAFsBAACz&#10;AwAAAAA=&#10;" path="m60,0l55,2,53,8,53,448,55,454,60,456,65,454,67,448,67,8,65,2,60,0xe">
                    <v:path o:connectlocs="60,0;55,2;53,8;53,448;55,454;60,456;65,454;67,448;67,8;65,2;60,0" o:connectangles="0,0,0,0,0,0,0,0,0,0,0"/>
                    <v:fill on="t" focussize="0,0"/>
                    <v:stroke on="f"/>
                    <v:imagedata o:title=""/>
                    <o:lock v:ext="edit" aspectratio="f"/>
                  </v:shape>
                  <v:shape id="Freeform 417" o:spid="_x0000_s1026" o:spt="100" style="position:absolute;left:0;top:0;height:549;width:120;" fillcolor="#000000" filled="t" stroked="f" coordsize="120,549" o:gfxdata="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hBwZugAAANoA&#10;AAAPAAAAAAAAAAEAIAAAACIAAABkcnMvZG93bnJldi54bWxQSwECFAAUAAAACACHTuJAMy8FnjsA&#10;AAA5AAAAEAAAAAAAAAABACAAAAAJAQAAZHJzL3NoYXBleG1sLnhtbFBLBQYAAAAABgAGAFsBAACz&#10;AwAAAAA=&#10;" path="m120,428l67,428,67,448,65,454,60,456,106,456,120,428xe">
                    <v:path o:connectlocs="120,428;67,428;67,448;65,454;60,456;106,456;120,428" o:connectangles="0,0,0,0,0,0,0"/>
                    <v:fill on="t" focussize="0,0"/>
                    <v:stroke on="f"/>
                    <v:imagedata o:title=""/>
                    <o:lock v:ext="edit" aspectratio="f"/>
                  </v:shape>
                </v:group>
              </v:group>
            </w:pict>
          </mc:Fallback>
        </mc:AlternateContent>
      </w:r>
      <w:r>
        <w:rPr>
          <w:rFonts w:ascii="Arial" w:hAnsi="Arial" w:eastAsia="宋体" w:cs="Arial"/>
          <w:snapToGrid w:val="0"/>
          <w:sz w:val="24"/>
          <w:szCs w:val="24"/>
        </w:rPr>
        <mc:AlternateContent>
          <mc:Choice Requires="wpg">
            <w:drawing>
              <wp:anchor distT="0" distB="0" distL="114300" distR="114300" simplePos="0" relativeHeight="251660288" behindDoc="1" locked="0" layoutInCell="0" allowOverlap="1">
                <wp:simplePos x="0" y="0"/>
                <wp:positionH relativeFrom="column">
                  <wp:posOffset>3185795</wp:posOffset>
                </wp:positionH>
                <wp:positionV relativeFrom="paragraph">
                  <wp:posOffset>4037330</wp:posOffset>
                </wp:positionV>
                <wp:extent cx="75565" cy="348615"/>
                <wp:effectExtent l="0" t="0" r="635" b="0"/>
                <wp:wrapNone/>
                <wp:docPr id="460" name="组合 460"/>
                <wp:cNvGraphicFramePr/>
                <a:graphic xmlns:a="http://schemas.openxmlformats.org/drawingml/2006/main">
                  <a:graphicData uri="http://schemas.microsoft.com/office/word/2010/wordprocessingGroup">
                    <wpg:wgp>
                      <wpg:cNvGrpSpPr/>
                      <wpg:grpSpPr>
                        <a:xfrm>
                          <a:off x="0" y="0"/>
                          <a:ext cx="75565" cy="348615"/>
                          <a:chOff x="0" y="0"/>
                          <a:chExt cx="120" cy="549"/>
                        </a:xfrm>
                      </wpg:grpSpPr>
                      <wpg:grpSp>
                        <wpg:cNvPr id="461" name="Group 414"/>
                        <wpg:cNvGrpSpPr/>
                        <wpg:grpSpPr>
                          <a:xfrm>
                            <a:off x="0" y="0"/>
                            <a:ext cx="120" cy="549"/>
                            <a:chOff x="0" y="0"/>
                            <a:chExt cx="120" cy="549"/>
                          </a:xfrm>
                        </wpg:grpSpPr>
                        <wps:wsp>
                          <wps:cNvPr id="462" name="Freeform 415"/>
                          <wps:cNvSpPr/>
                          <wps:spPr bwMode="auto">
                            <a:xfrm>
                              <a:off x="0" y="0"/>
                              <a:ext cx="120" cy="549"/>
                            </a:xfrm>
                            <a:custGeom>
                              <a:avLst/>
                              <a:gdLst>
                                <a:gd name="T0" fmla="*/ 53 w 120"/>
                                <a:gd name="T1" fmla="*/ 428 h 549"/>
                                <a:gd name="T2" fmla="*/ 0 w 120"/>
                                <a:gd name="T3" fmla="*/ 428 h 549"/>
                                <a:gd name="T4" fmla="*/ 60 w 120"/>
                                <a:gd name="T5" fmla="*/ 548 h 549"/>
                                <a:gd name="T6" fmla="*/ 106 w 120"/>
                                <a:gd name="T7" fmla="*/ 456 h 549"/>
                                <a:gd name="T8" fmla="*/ 60 w 120"/>
                                <a:gd name="T9" fmla="*/ 456 h 549"/>
                                <a:gd name="T10" fmla="*/ 55 w 120"/>
                                <a:gd name="T11" fmla="*/ 454 h 549"/>
                                <a:gd name="T12" fmla="*/ 53 w 120"/>
                                <a:gd name="T13" fmla="*/ 448 h 549"/>
                                <a:gd name="T14" fmla="*/ 53 w 120"/>
                                <a:gd name="T15" fmla="*/ 428 h 5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549">
                                  <a:moveTo>
                                    <a:pt x="53" y="428"/>
                                  </a:moveTo>
                                  <a:lnTo>
                                    <a:pt x="0" y="428"/>
                                  </a:lnTo>
                                  <a:lnTo>
                                    <a:pt x="60" y="548"/>
                                  </a:lnTo>
                                  <a:lnTo>
                                    <a:pt x="106" y="456"/>
                                  </a:lnTo>
                                  <a:lnTo>
                                    <a:pt x="60" y="456"/>
                                  </a:lnTo>
                                  <a:lnTo>
                                    <a:pt x="55" y="454"/>
                                  </a:lnTo>
                                  <a:lnTo>
                                    <a:pt x="53" y="448"/>
                                  </a:lnTo>
                                  <a:lnTo>
                                    <a:pt x="53" y="428"/>
                                  </a:lnTo>
                                  <a:close/>
                                </a:path>
                              </a:pathLst>
                            </a:custGeom>
                            <a:solidFill>
                              <a:srgbClr val="000000"/>
                            </a:solidFill>
                            <a:ln>
                              <a:noFill/>
                            </a:ln>
                          </wps:spPr>
                          <wps:bodyPr rot="0" vert="horz" wrap="square" lIns="91440" tIns="45720" rIns="91440" bIns="45720" anchor="t" anchorCtr="0" upright="1">
                            <a:noAutofit/>
                          </wps:bodyPr>
                        </wps:wsp>
                        <wps:wsp>
                          <wps:cNvPr id="463" name="Freeform 416"/>
                          <wps:cNvSpPr/>
                          <wps:spPr bwMode="auto">
                            <a:xfrm>
                              <a:off x="0" y="0"/>
                              <a:ext cx="120" cy="549"/>
                            </a:xfrm>
                            <a:custGeom>
                              <a:avLst/>
                              <a:gdLst>
                                <a:gd name="T0" fmla="*/ 60 w 120"/>
                                <a:gd name="T1" fmla="*/ 0 h 549"/>
                                <a:gd name="T2" fmla="*/ 55 w 120"/>
                                <a:gd name="T3" fmla="*/ 2 h 549"/>
                                <a:gd name="T4" fmla="*/ 53 w 120"/>
                                <a:gd name="T5" fmla="*/ 8 h 549"/>
                                <a:gd name="T6" fmla="*/ 53 w 120"/>
                                <a:gd name="T7" fmla="*/ 448 h 549"/>
                                <a:gd name="T8" fmla="*/ 55 w 120"/>
                                <a:gd name="T9" fmla="*/ 454 h 549"/>
                                <a:gd name="T10" fmla="*/ 60 w 120"/>
                                <a:gd name="T11" fmla="*/ 456 h 549"/>
                                <a:gd name="T12" fmla="*/ 65 w 120"/>
                                <a:gd name="T13" fmla="*/ 454 h 549"/>
                                <a:gd name="T14" fmla="*/ 67 w 120"/>
                                <a:gd name="T15" fmla="*/ 448 h 549"/>
                                <a:gd name="T16" fmla="*/ 67 w 120"/>
                                <a:gd name="T17" fmla="*/ 8 h 549"/>
                                <a:gd name="T18" fmla="*/ 65 w 120"/>
                                <a:gd name="T19" fmla="*/ 2 h 549"/>
                                <a:gd name="T20" fmla="*/ 60 w 120"/>
                                <a:gd name="T21" fmla="*/ 0 h 5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549">
                                  <a:moveTo>
                                    <a:pt x="60" y="0"/>
                                  </a:moveTo>
                                  <a:lnTo>
                                    <a:pt x="55" y="2"/>
                                  </a:lnTo>
                                  <a:lnTo>
                                    <a:pt x="53" y="8"/>
                                  </a:lnTo>
                                  <a:lnTo>
                                    <a:pt x="53" y="448"/>
                                  </a:lnTo>
                                  <a:lnTo>
                                    <a:pt x="55" y="454"/>
                                  </a:lnTo>
                                  <a:lnTo>
                                    <a:pt x="60" y="456"/>
                                  </a:lnTo>
                                  <a:lnTo>
                                    <a:pt x="65" y="454"/>
                                  </a:lnTo>
                                  <a:lnTo>
                                    <a:pt x="67" y="448"/>
                                  </a:lnTo>
                                  <a:lnTo>
                                    <a:pt x="67" y="8"/>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464" name="Freeform 417"/>
                          <wps:cNvSpPr/>
                          <wps:spPr bwMode="auto">
                            <a:xfrm>
                              <a:off x="0" y="0"/>
                              <a:ext cx="120" cy="549"/>
                            </a:xfrm>
                            <a:custGeom>
                              <a:avLst/>
                              <a:gdLst>
                                <a:gd name="T0" fmla="*/ 120 w 120"/>
                                <a:gd name="T1" fmla="*/ 428 h 549"/>
                                <a:gd name="T2" fmla="*/ 67 w 120"/>
                                <a:gd name="T3" fmla="*/ 428 h 549"/>
                                <a:gd name="T4" fmla="*/ 67 w 120"/>
                                <a:gd name="T5" fmla="*/ 448 h 549"/>
                                <a:gd name="T6" fmla="*/ 65 w 120"/>
                                <a:gd name="T7" fmla="*/ 454 h 549"/>
                                <a:gd name="T8" fmla="*/ 60 w 120"/>
                                <a:gd name="T9" fmla="*/ 456 h 549"/>
                                <a:gd name="T10" fmla="*/ 106 w 120"/>
                                <a:gd name="T11" fmla="*/ 456 h 549"/>
                                <a:gd name="T12" fmla="*/ 120 w 120"/>
                                <a:gd name="T13" fmla="*/ 428 h 549"/>
                              </a:gdLst>
                              <a:ahLst/>
                              <a:cxnLst>
                                <a:cxn ang="0">
                                  <a:pos x="T0" y="T1"/>
                                </a:cxn>
                                <a:cxn ang="0">
                                  <a:pos x="T2" y="T3"/>
                                </a:cxn>
                                <a:cxn ang="0">
                                  <a:pos x="T4" y="T5"/>
                                </a:cxn>
                                <a:cxn ang="0">
                                  <a:pos x="T6" y="T7"/>
                                </a:cxn>
                                <a:cxn ang="0">
                                  <a:pos x="T8" y="T9"/>
                                </a:cxn>
                                <a:cxn ang="0">
                                  <a:pos x="T10" y="T11"/>
                                </a:cxn>
                                <a:cxn ang="0">
                                  <a:pos x="T12" y="T13"/>
                                </a:cxn>
                              </a:cxnLst>
                              <a:rect l="0" t="0" r="r" b="b"/>
                              <a:pathLst>
                                <a:path w="120" h="549">
                                  <a:moveTo>
                                    <a:pt x="120" y="428"/>
                                  </a:moveTo>
                                  <a:lnTo>
                                    <a:pt x="67" y="428"/>
                                  </a:lnTo>
                                  <a:lnTo>
                                    <a:pt x="67" y="448"/>
                                  </a:lnTo>
                                  <a:lnTo>
                                    <a:pt x="65" y="454"/>
                                  </a:lnTo>
                                  <a:lnTo>
                                    <a:pt x="60" y="456"/>
                                  </a:lnTo>
                                  <a:lnTo>
                                    <a:pt x="106" y="456"/>
                                  </a:lnTo>
                                  <a:lnTo>
                                    <a:pt x="120" y="428"/>
                                  </a:lnTo>
                                  <a:close/>
                                </a:path>
                              </a:pathLst>
                            </a:custGeom>
                            <a:solidFill>
                              <a:srgbClr val="000000"/>
                            </a:solidFill>
                            <a:ln>
                              <a:noFill/>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250.85pt;margin-top:317.9pt;height:27.45pt;width:5.95pt;z-index:-251656192;mso-width-relative:page;mso-height-relative:page;" coordsize="120,549" o:allowincell="f" o:gfxdata="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Bfai8A2gAAAAsBAAAPAAAAAAAAAAEAIAAAACIAAABkcnMvZG93bnJldi54bWxQSwECFAAU&#10;AAAACACHTuJAddVCgEYFAAAoHAAADgAAAAAAAAABACAAAAApAQAAZHJzL2Uyb0RvYy54bWxQSwUG&#10;AAAAAAYABgBZAQAA4QgAAAAA&#10;">
                <o:lock v:ext="edit" aspectratio="f"/>
                <v:group id="Group 414" o:spid="_x0000_s1026" o:spt="203" style="position:absolute;left:0;top:0;height:549;width:120;" coordsize="120,549" o:gfxdata="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Z35uvwAAANwAAAAPAAAAAAAAAAEAIAAAACIAAABkcnMvZG93bnJldi54&#10;bWxQSwECFAAUAAAACACHTuJAMy8FnjsAAAA5AAAAFQAAAAAAAAABACAAAAAOAQAAZHJzL2dyb3Vw&#10;c2hhcGV4bWwueG1sUEsFBgAAAAAGAAYAYAEAAMsDAAAAAA==&#10;">
                  <o:lock v:ext="edit" aspectratio="f"/>
                  <v:shape id="Freeform 415" o:spid="_x0000_s1026" o:spt="100" style="position:absolute;left:0;top:0;height:549;width:120;" fillcolor="#000000" filled="t" stroked="f" coordsize="120,549" o:gfxdata="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DP6G8AAAA&#10;3AAAAA8AAAAAAAAAAQAgAAAAIgAAAGRycy9kb3ducmV2LnhtbFBLAQIUABQAAAAIAIdO4kAzLwWe&#10;OwAAADkAAAAQAAAAAAAAAAEAIAAAAAsBAABkcnMvc2hhcGV4bWwueG1sUEsFBgAAAAAGAAYAWwEA&#10;ALUDAAAAAA==&#10;" path="m53,428l0,428,60,548,106,456,60,456,55,454,53,448,53,428xe">
                    <v:path o:connectlocs="53,428;0,428;60,548;106,456;60,456;55,454;53,448;53,428" o:connectangles="0,0,0,0,0,0,0,0"/>
                    <v:fill on="t" focussize="0,0"/>
                    <v:stroke on="f"/>
                    <v:imagedata o:title=""/>
                    <o:lock v:ext="edit" aspectratio="f"/>
                  </v:shape>
                  <v:shape id="Freeform 416" o:spid="_x0000_s1026" o:spt="100" style="position:absolute;left:0;top:0;height:549;width:120;" fillcolor="#000000" filled="t" stroked="f" coordsize="120,549" o:gfxdata="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D5o6vQAA&#10;ANwAAAAPAAAAAAAAAAEAIAAAACIAAABkcnMvZG93bnJldi54bWxQSwECFAAUAAAACACHTuJAMy8F&#10;njsAAAA5AAAAEAAAAAAAAAABACAAAAAMAQAAZHJzL3NoYXBleG1sLnhtbFBLBQYAAAAABgAGAFsB&#10;AAC2AwAAAAA=&#10;" path="m60,0l55,2,53,8,53,448,55,454,60,456,65,454,67,448,67,8,65,2,60,0xe">
                    <v:path o:connectlocs="60,0;55,2;53,8;53,448;55,454;60,456;65,454;67,448;67,8;65,2;60,0" o:connectangles="0,0,0,0,0,0,0,0,0,0,0"/>
                    <v:fill on="t" focussize="0,0"/>
                    <v:stroke on="f"/>
                    <v:imagedata o:title=""/>
                    <o:lock v:ext="edit" aspectratio="f"/>
                  </v:shape>
                  <v:shape id="Freeform 417" o:spid="_x0000_s1026" o:spt="100" style="position:absolute;left:0;top:0;height:549;width:120;" fillcolor="#000000" filled="t" stroked="f" coordsize="120,549" o:gfxdata="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mAk68AAAA&#10;3AAAAA8AAAAAAAAAAQAgAAAAIgAAAGRycy9kb3ducmV2LnhtbFBLAQIUABQAAAAIAIdO4kAzLwWe&#10;OwAAADkAAAAQAAAAAAAAAAEAIAAAAAsBAABkcnMvc2hhcGV4bWwueG1sUEsFBgAAAAAGAAYAWwEA&#10;ALUDAAAAAA==&#10;" path="m120,428l67,428,67,448,65,454,60,456,106,456,120,428xe">
                    <v:path o:connectlocs="120,428;67,428;67,448;65,454;60,456;106,456;120,428" o:connectangles="0,0,0,0,0,0,0"/>
                    <v:fill on="t" focussize="0,0"/>
                    <v:stroke on="f"/>
                    <v:imagedata o:title=""/>
                    <o:lock v:ext="edit" aspectratio="f"/>
                  </v:shape>
                </v:group>
              </v:group>
            </w:pict>
          </mc:Fallback>
        </mc:AlternateContent>
      </w:r>
      <w:r>
        <w:rPr>
          <w:rFonts w:ascii="Arial" w:hAnsi="Arial" w:eastAsia="宋体" w:cs="Arial"/>
          <w:snapToGrid w:val="0"/>
          <w:sz w:val="24"/>
          <w:szCs w:val="24"/>
        </w:rPr>
        <mc:AlternateContent>
          <mc:Choice Requires="wpg">
            <w:drawing>
              <wp:inline distT="0" distB="0" distL="0" distR="0">
                <wp:extent cx="5960110" cy="4019550"/>
                <wp:effectExtent l="0" t="0" r="21590" b="19050"/>
                <wp:docPr id="465" name="组合 465"/>
                <wp:cNvGraphicFramePr/>
                <a:graphic xmlns:a="http://schemas.openxmlformats.org/drawingml/2006/main">
                  <a:graphicData uri="http://schemas.microsoft.com/office/word/2010/wordprocessingGroup">
                    <wpg:wgp>
                      <wpg:cNvGrpSpPr/>
                      <wpg:grpSpPr>
                        <a:xfrm>
                          <a:off x="0" y="0"/>
                          <a:ext cx="5960522" cy="4019550"/>
                          <a:chOff x="8" y="0"/>
                          <a:chExt cx="11340" cy="6288"/>
                        </a:xfrm>
                      </wpg:grpSpPr>
                      <wpg:grpSp>
                        <wpg:cNvPr id="466" name="Group 419"/>
                        <wpg:cNvGrpSpPr/>
                        <wpg:grpSpPr>
                          <a:xfrm>
                            <a:off x="7748" y="1800"/>
                            <a:ext cx="798" cy="360"/>
                            <a:chOff x="7748" y="1800"/>
                            <a:chExt cx="798" cy="360"/>
                          </a:xfrm>
                        </wpg:grpSpPr>
                        <wps:wsp>
                          <wps:cNvPr id="467" name="Freeform 420"/>
                          <wps:cNvSpPr/>
                          <wps:spPr bwMode="auto">
                            <a:xfrm>
                              <a:off x="7748" y="1800"/>
                              <a:ext cx="798" cy="360"/>
                            </a:xfrm>
                            <a:custGeom>
                              <a:avLst/>
                              <a:gdLst>
                                <a:gd name="T0" fmla="+- 0 8546 7748"/>
                                <a:gd name="T1" fmla="*/ T0 w 798"/>
                                <a:gd name="T2" fmla="+- 0 1800 1800"/>
                                <a:gd name="T3" fmla="*/ 1800 h 360"/>
                                <a:gd name="T4" fmla="+- 0 7748 7748"/>
                                <a:gd name="T5" fmla="*/ T4 w 798"/>
                                <a:gd name="T6" fmla="+- 0 1800 1800"/>
                                <a:gd name="T7" fmla="*/ 1800 h 360"/>
                                <a:gd name="T8" fmla="+- 0 7748 7748"/>
                                <a:gd name="T9" fmla="*/ T8 w 798"/>
                                <a:gd name="T10" fmla="+- 0 2160 1800"/>
                                <a:gd name="T11" fmla="*/ 2160 h 360"/>
                                <a:gd name="T12" fmla="+- 0 8546 7748"/>
                                <a:gd name="T13" fmla="*/ T12 w 798"/>
                                <a:gd name="T14" fmla="+- 0 2160 1800"/>
                                <a:gd name="T15" fmla="*/ 2160 h 360"/>
                                <a:gd name="T16" fmla="+- 0 8546 7748"/>
                                <a:gd name="T17" fmla="*/ T16 w 798"/>
                                <a:gd name="T18" fmla="+- 0 1800 1800"/>
                                <a:gd name="T19" fmla="*/ 1800 h 360"/>
                              </a:gdLst>
                              <a:ahLst/>
                              <a:cxnLst>
                                <a:cxn ang="0">
                                  <a:pos x="T1" y="T3"/>
                                </a:cxn>
                                <a:cxn ang="0">
                                  <a:pos x="T5" y="T7"/>
                                </a:cxn>
                                <a:cxn ang="0">
                                  <a:pos x="T9" y="T11"/>
                                </a:cxn>
                                <a:cxn ang="0">
                                  <a:pos x="T13" y="T15"/>
                                </a:cxn>
                                <a:cxn ang="0">
                                  <a:pos x="T17" y="T19"/>
                                </a:cxn>
                              </a:cxnLst>
                              <a:rect l="0" t="0" r="r" b="b"/>
                              <a:pathLst>
                                <a:path w="798" h="360">
                                  <a:moveTo>
                                    <a:pt x="798" y="0"/>
                                  </a:moveTo>
                                  <a:lnTo>
                                    <a:pt x="0" y="0"/>
                                  </a:lnTo>
                                  <a:lnTo>
                                    <a:pt x="0" y="360"/>
                                  </a:lnTo>
                                  <a:lnTo>
                                    <a:pt x="798" y="360"/>
                                  </a:lnTo>
                                  <a:lnTo>
                                    <a:pt x="798" y="0"/>
                                  </a:lnTo>
                                  <a:close/>
                                </a:path>
                              </a:pathLst>
                            </a:custGeom>
                            <a:noFill/>
                            <a:ln w="9525">
                              <a:solidFill>
                                <a:srgbClr val="000000"/>
                              </a:solidFill>
                              <a:round/>
                            </a:ln>
                          </wps:spPr>
                          <wps:bodyPr rot="0" vert="horz" wrap="square" lIns="91440" tIns="45720" rIns="91440" bIns="45720" anchor="t" anchorCtr="0" upright="1">
                            <a:noAutofit/>
                          </wps:bodyPr>
                        </wps:wsp>
                      </wpg:grpSp>
                      <wpg:grpSp>
                        <wpg:cNvPr id="468" name="Group 421"/>
                        <wpg:cNvGrpSpPr/>
                        <wpg:grpSpPr>
                          <a:xfrm>
                            <a:off x="8591" y="1840"/>
                            <a:ext cx="605" cy="120"/>
                            <a:chOff x="8591" y="1840"/>
                            <a:chExt cx="605" cy="120"/>
                          </a:xfrm>
                        </wpg:grpSpPr>
                        <wps:wsp>
                          <wps:cNvPr id="469" name="Freeform 422"/>
                          <wps:cNvSpPr/>
                          <wps:spPr bwMode="auto">
                            <a:xfrm>
                              <a:off x="8591" y="1840"/>
                              <a:ext cx="605" cy="120"/>
                            </a:xfrm>
                            <a:custGeom>
                              <a:avLst/>
                              <a:gdLst>
                                <a:gd name="T0" fmla="+- 0 8711 8591"/>
                                <a:gd name="T1" fmla="*/ T0 w 605"/>
                                <a:gd name="T2" fmla="+- 0 1840 1840"/>
                                <a:gd name="T3" fmla="*/ 1840 h 120"/>
                                <a:gd name="T4" fmla="+- 0 8591 8591"/>
                                <a:gd name="T5" fmla="*/ T4 w 605"/>
                                <a:gd name="T6" fmla="+- 0 1900 1840"/>
                                <a:gd name="T7" fmla="*/ 1900 h 120"/>
                                <a:gd name="T8" fmla="+- 0 8711 8591"/>
                                <a:gd name="T9" fmla="*/ T8 w 605"/>
                                <a:gd name="T10" fmla="+- 0 1960 1840"/>
                                <a:gd name="T11" fmla="*/ 1960 h 120"/>
                                <a:gd name="T12" fmla="+- 0 8711 8591"/>
                                <a:gd name="T13" fmla="*/ T12 w 605"/>
                                <a:gd name="T14" fmla="+- 0 1907 1840"/>
                                <a:gd name="T15" fmla="*/ 1907 h 120"/>
                                <a:gd name="T16" fmla="+- 0 8691 8591"/>
                                <a:gd name="T17" fmla="*/ T16 w 605"/>
                                <a:gd name="T18" fmla="+- 0 1907 1840"/>
                                <a:gd name="T19" fmla="*/ 1907 h 120"/>
                                <a:gd name="T20" fmla="+- 0 8686 8591"/>
                                <a:gd name="T21" fmla="*/ T20 w 605"/>
                                <a:gd name="T22" fmla="+- 0 1904 1840"/>
                                <a:gd name="T23" fmla="*/ 1904 h 120"/>
                                <a:gd name="T24" fmla="+- 0 8683 8591"/>
                                <a:gd name="T25" fmla="*/ T24 w 605"/>
                                <a:gd name="T26" fmla="+- 0 1900 1840"/>
                                <a:gd name="T27" fmla="*/ 1900 h 120"/>
                                <a:gd name="T28" fmla="+- 0 8686 8591"/>
                                <a:gd name="T29" fmla="*/ T28 w 605"/>
                                <a:gd name="T30" fmla="+- 0 1895 1840"/>
                                <a:gd name="T31" fmla="*/ 1895 h 120"/>
                                <a:gd name="T32" fmla="+- 0 8691 8591"/>
                                <a:gd name="T33" fmla="*/ T32 w 605"/>
                                <a:gd name="T34" fmla="+- 0 1892 1840"/>
                                <a:gd name="T35" fmla="*/ 1892 h 120"/>
                                <a:gd name="T36" fmla="+- 0 8711 8591"/>
                                <a:gd name="T37" fmla="*/ T36 w 605"/>
                                <a:gd name="T38" fmla="+- 0 1892 1840"/>
                                <a:gd name="T39" fmla="*/ 1892 h 120"/>
                                <a:gd name="T40" fmla="+- 0 8711 8591"/>
                                <a:gd name="T41" fmla="*/ T40 w 605"/>
                                <a:gd name="T42" fmla="+- 0 1840 1840"/>
                                <a:gd name="T43" fmla="*/ 18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05" h="120">
                                  <a:moveTo>
                                    <a:pt x="120" y="0"/>
                                  </a:moveTo>
                                  <a:lnTo>
                                    <a:pt x="0" y="60"/>
                                  </a:lnTo>
                                  <a:lnTo>
                                    <a:pt x="120" y="120"/>
                                  </a:lnTo>
                                  <a:lnTo>
                                    <a:pt x="120" y="67"/>
                                  </a:lnTo>
                                  <a:lnTo>
                                    <a:pt x="100" y="67"/>
                                  </a:lnTo>
                                  <a:lnTo>
                                    <a:pt x="95" y="64"/>
                                  </a:lnTo>
                                  <a:lnTo>
                                    <a:pt x="92" y="60"/>
                                  </a:lnTo>
                                  <a:lnTo>
                                    <a:pt x="95" y="55"/>
                                  </a:lnTo>
                                  <a:lnTo>
                                    <a:pt x="100" y="52"/>
                                  </a:lnTo>
                                  <a:lnTo>
                                    <a:pt x="120" y="52"/>
                                  </a:lnTo>
                                  <a:lnTo>
                                    <a:pt x="120" y="0"/>
                                  </a:lnTo>
                                  <a:close/>
                                </a:path>
                              </a:pathLst>
                            </a:custGeom>
                            <a:solidFill>
                              <a:srgbClr val="000000"/>
                            </a:solidFill>
                            <a:ln>
                              <a:noFill/>
                            </a:ln>
                          </wps:spPr>
                          <wps:bodyPr rot="0" vert="horz" wrap="square" lIns="91440" tIns="45720" rIns="91440" bIns="45720" anchor="t" anchorCtr="0" upright="1">
                            <a:noAutofit/>
                          </wps:bodyPr>
                        </wps:wsp>
                        <wps:wsp>
                          <wps:cNvPr id="470" name="Freeform 423"/>
                          <wps:cNvSpPr/>
                          <wps:spPr bwMode="auto">
                            <a:xfrm>
                              <a:off x="8591" y="1840"/>
                              <a:ext cx="605" cy="120"/>
                            </a:xfrm>
                            <a:custGeom>
                              <a:avLst/>
                              <a:gdLst>
                                <a:gd name="T0" fmla="+- 0 8711 8591"/>
                                <a:gd name="T1" fmla="*/ T0 w 605"/>
                                <a:gd name="T2" fmla="+- 0 1892 1840"/>
                                <a:gd name="T3" fmla="*/ 1892 h 120"/>
                                <a:gd name="T4" fmla="+- 0 8691 8591"/>
                                <a:gd name="T5" fmla="*/ T4 w 605"/>
                                <a:gd name="T6" fmla="+- 0 1892 1840"/>
                                <a:gd name="T7" fmla="*/ 1892 h 120"/>
                                <a:gd name="T8" fmla="+- 0 8686 8591"/>
                                <a:gd name="T9" fmla="*/ T8 w 605"/>
                                <a:gd name="T10" fmla="+- 0 1895 1840"/>
                                <a:gd name="T11" fmla="*/ 1895 h 120"/>
                                <a:gd name="T12" fmla="+- 0 8683 8591"/>
                                <a:gd name="T13" fmla="*/ T12 w 605"/>
                                <a:gd name="T14" fmla="+- 0 1900 1840"/>
                                <a:gd name="T15" fmla="*/ 1900 h 120"/>
                                <a:gd name="T16" fmla="+- 0 8686 8591"/>
                                <a:gd name="T17" fmla="*/ T16 w 605"/>
                                <a:gd name="T18" fmla="+- 0 1904 1840"/>
                                <a:gd name="T19" fmla="*/ 1904 h 120"/>
                                <a:gd name="T20" fmla="+- 0 8691 8591"/>
                                <a:gd name="T21" fmla="*/ T20 w 605"/>
                                <a:gd name="T22" fmla="+- 0 1907 1840"/>
                                <a:gd name="T23" fmla="*/ 1907 h 120"/>
                                <a:gd name="T24" fmla="+- 0 8711 8591"/>
                                <a:gd name="T25" fmla="*/ T24 w 605"/>
                                <a:gd name="T26" fmla="+- 0 1907 1840"/>
                                <a:gd name="T27" fmla="*/ 1907 h 120"/>
                                <a:gd name="T28" fmla="+- 0 8711 8591"/>
                                <a:gd name="T29" fmla="*/ T28 w 605"/>
                                <a:gd name="T30" fmla="+- 0 1892 1840"/>
                                <a:gd name="T31" fmla="*/ 18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5" h="120">
                                  <a:moveTo>
                                    <a:pt x="120" y="52"/>
                                  </a:moveTo>
                                  <a:lnTo>
                                    <a:pt x="100" y="52"/>
                                  </a:lnTo>
                                  <a:lnTo>
                                    <a:pt x="95" y="55"/>
                                  </a:lnTo>
                                  <a:lnTo>
                                    <a:pt x="92" y="60"/>
                                  </a:lnTo>
                                  <a:lnTo>
                                    <a:pt x="95" y="64"/>
                                  </a:lnTo>
                                  <a:lnTo>
                                    <a:pt x="100" y="67"/>
                                  </a:lnTo>
                                  <a:lnTo>
                                    <a:pt x="120" y="67"/>
                                  </a:lnTo>
                                  <a:lnTo>
                                    <a:pt x="120" y="52"/>
                                  </a:lnTo>
                                  <a:close/>
                                </a:path>
                              </a:pathLst>
                            </a:custGeom>
                            <a:solidFill>
                              <a:srgbClr val="000000"/>
                            </a:solidFill>
                            <a:ln>
                              <a:noFill/>
                            </a:ln>
                          </wps:spPr>
                          <wps:bodyPr rot="0" vert="horz" wrap="square" lIns="91440" tIns="45720" rIns="91440" bIns="45720" anchor="t" anchorCtr="0" upright="1">
                            <a:noAutofit/>
                          </wps:bodyPr>
                        </wps:wsp>
                        <wps:wsp>
                          <wps:cNvPr id="471" name="Freeform 424"/>
                          <wps:cNvSpPr/>
                          <wps:spPr bwMode="auto">
                            <a:xfrm>
                              <a:off x="8591" y="1840"/>
                              <a:ext cx="605" cy="120"/>
                            </a:xfrm>
                            <a:custGeom>
                              <a:avLst/>
                              <a:gdLst>
                                <a:gd name="T0" fmla="+- 0 9187 8591"/>
                                <a:gd name="T1" fmla="*/ T0 w 605"/>
                                <a:gd name="T2" fmla="+- 0 1892 1840"/>
                                <a:gd name="T3" fmla="*/ 1892 h 120"/>
                                <a:gd name="T4" fmla="+- 0 8711 8591"/>
                                <a:gd name="T5" fmla="*/ T4 w 605"/>
                                <a:gd name="T6" fmla="+- 0 1892 1840"/>
                                <a:gd name="T7" fmla="*/ 1892 h 120"/>
                                <a:gd name="T8" fmla="+- 0 8711 8591"/>
                                <a:gd name="T9" fmla="*/ T8 w 605"/>
                                <a:gd name="T10" fmla="+- 0 1907 1840"/>
                                <a:gd name="T11" fmla="*/ 1907 h 120"/>
                                <a:gd name="T12" fmla="+- 0 9187 8591"/>
                                <a:gd name="T13" fmla="*/ T12 w 605"/>
                                <a:gd name="T14" fmla="+- 0 1907 1840"/>
                                <a:gd name="T15" fmla="*/ 1907 h 120"/>
                                <a:gd name="T16" fmla="+- 0 9193 8591"/>
                                <a:gd name="T17" fmla="*/ T16 w 605"/>
                                <a:gd name="T18" fmla="+- 0 1904 1840"/>
                                <a:gd name="T19" fmla="*/ 1904 h 120"/>
                                <a:gd name="T20" fmla="+- 0 9196 8591"/>
                                <a:gd name="T21" fmla="*/ T20 w 605"/>
                                <a:gd name="T22" fmla="+- 0 1900 1840"/>
                                <a:gd name="T23" fmla="*/ 1900 h 120"/>
                                <a:gd name="T24" fmla="+- 0 9193 8591"/>
                                <a:gd name="T25" fmla="*/ T24 w 605"/>
                                <a:gd name="T26" fmla="+- 0 1895 1840"/>
                                <a:gd name="T27" fmla="*/ 1895 h 120"/>
                                <a:gd name="T28" fmla="+- 0 9187 8591"/>
                                <a:gd name="T29" fmla="*/ T28 w 605"/>
                                <a:gd name="T30" fmla="+- 0 1892 1840"/>
                                <a:gd name="T31" fmla="*/ 18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5" h="120">
                                  <a:moveTo>
                                    <a:pt x="596" y="52"/>
                                  </a:moveTo>
                                  <a:lnTo>
                                    <a:pt x="120" y="52"/>
                                  </a:lnTo>
                                  <a:lnTo>
                                    <a:pt x="120" y="67"/>
                                  </a:lnTo>
                                  <a:lnTo>
                                    <a:pt x="596" y="67"/>
                                  </a:lnTo>
                                  <a:lnTo>
                                    <a:pt x="602" y="64"/>
                                  </a:lnTo>
                                  <a:lnTo>
                                    <a:pt x="605" y="60"/>
                                  </a:lnTo>
                                  <a:lnTo>
                                    <a:pt x="602" y="55"/>
                                  </a:lnTo>
                                  <a:lnTo>
                                    <a:pt x="596" y="52"/>
                                  </a:lnTo>
                                  <a:close/>
                                </a:path>
                              </a:pathLst>
                            </a:custGeom>
                            <a:solidFill>
                              <a:srgbClr val="000000"/>
                            </a:solidFill>
                            <a:ln>
                              <a:noFill/>
                            </a:ln>
                          </wps:spPr>
                          <wps:bodyPr rot="0" vert="horz" wrap="square" lIns="91440" tIns="45720" rIns="91440" bIns="45720" anchor="t" anchorCtr="0" upright="1">
                            <a:noAutofit/>
                          </wps:bodyPr>
                        </wps:wsp>
                      </wpg:grpSp>
                      <wpg:grpSp>
                        <wpg:cNvPr id="472" name="Group 425"/>
                        <wpg:cNvGrpSpPr/>
                        <wpg:grpSpPr>
                          <a:xfrm>
                            <a:off x="3788" y="1080"/>
                            <a:ext cx="6166" cy="540"/>
                            <a:chOff x="3788" y="1080"/>
                            <a:chExt cx="6166" cy="540"/>
                          </a:xfrm>
                        </wpg:grpSpPr>
                        <wps:wsp>
                          <wps:cNvPr id="473" name="Freeform 426"/>
                          <wps:cNvSpPr/>
                          <wps:spPr bwMode="auto">
                            <a:xfrm>
                              <a:off x="3788" y="1080"/>
                              <a:ext cx="6166" cy="540"/>
                            </a:xfrm>
                            <a:custGeom>
                              <a:avLst/>
                              <a:gdLst>
                                <a:gd name="T0" fmla="+- 0 9953 3788"/>
                                <a:gd name="T1" fmla="*/ T0 w 6166"/>
                                <a:gd name="T2" fmla="+- 0 1080 1080"/>
                                <a:gd name="T3" fmla="*/ 1080 h 540"/>
                                <a:gd name="T4" fmla="+- 0 3788 3788"/>
                                <a:gd name="T5" fmla="*/ T4 w 6166"/>
                                <a:gd name="T6" fmla="+- 0 1080 1080"/>
                                <a:gd name="T7" fmla="*/ 1080 h 540"/>
                                <a:gd name="T8" fmla="+- 0 3788 3788"/>
                                <a:gd name="T9" fmla="*/ T8 w 6166"/>
                                <a:gd name="T10" fmla="+- 0 1620 1080"/>
                                <a:gd name="T11" fmla="*/ 1620 h 540"/>
                                <a:gd name="T12" fmla="+- 0 9953 3788"/>
                                <a:gd name="T13" fmla="*/ T12 w 6166"/>
                                <a:gd name="T14" fmla="+- 0 1620 1080"/>
                                <a:gd name="T15" fmla="*/ 1620 h 540"/>
                                <a:gd name="T16" fmla="+- 0 9953 3788"/>
                                <a:gd name="T17" fmla="*/ T16 w 6166"/>
                                <a:gd name="T18" fmla="+- 0 1080 1080"/>
                                <a:gd name="T19" fmla="*/ 1080 h 540"/>
                              </a:gdLst>
                              <a:ahLst/>
                              <a:cxnLst>
                                <a:cxn ang="0">
                                  <a:pos x="T1" y="T3"/>
                                </a:cxn>
                                <a:cxn ang="0">
                                  <a:pos x="T5" y="T7"/>
                                </a:cxn>
                                <a:cxn ang="0">
                                  <a:pos x="T9" y="T11"/>
                                </a:cxn>
                                <a:cxn ang="0">
                                  <a:pos x="T13" y="T15"/>
                                </a:cxn>
                                <a:cxn ang="0">
                                  <a:pos x="T17" y="T19"/>
                                </a:cxn>
                              </a:cxnLst>
                              <a:rect l="0" t="0" r="r" b="b"/>
                              <a:pathLst>
                                <a:path w="6166" h="540">
                                  <a:moveTo>
                                    <a:pt x="6165" y="0"/>
                                  </a:moveTo>
                                  <a:lnTo>
                                    <a:pt x="0" y="0"/>
                                  </a:lnTo>
                                  <a:lnTo>
                                    <a:pt x="0" y="540"/>
                                  </a:lnTo>
                                  <a:lnTo>
                                    <a:pt x="6165" y="540"/>
                                  </a:lnTo>
                                  <a:lnTo>
                                    <a:pt x="6165" y="0"/>
                                  </a:lnTo>
                                  <a:close/>
                                </a:path>
                              </a:pathLst>
                            </a:custGeom>
                            <a:noFill/>
                            <a:ln w="9525">
                              <a:solidFill>
                                <a:srgbClr val="000000"/>
                              </a:solidFill>
                              <a:round/>
                            </a:ln>
                          </wps:spPr>
                          <wps:bodyPr rot="0" vert="horz" wrap="square" lIns="91440" tIns="45720" rIns="91440" bIns="45720" anchor="t" anchorCtr="0" upright="1">
                            <a:noAutofit/>
                          </wps:bodyPr>
                        </wps:wsp>
                      </wpg:grpSp>
                      <wpg:grpSp>
                        <wpg:cNvPr id="474" name="Group 427"/>
                        <wpg:cNvGrpSpPr/>
                        <wpg:grpSpPr>
                          <a:xfrm>
                            <a:off x="9188" y="1620"/>
                            <a:ext cx="2" cy="360"/>
                            <a:chOff x="9188" y="1620"/>
                            <a:chExt cx="2" cy="360"/>
                          </a:xfrm>
                        </wpg:grpSpPr>
                        <wps:wsp>
                          <wps:cNvPr id="475" name="Freeform 428"/>
                          <wps:cNvSpPr/>
                          <wps:spPr bwMode="auto">
                            <a:xfrm>
                              <a:off x="9188" y="1620"/>
                              <a:ext cx="2" cy="360"/>
                            </a:xfrm>
                            <a:custGeom>
                              <a:avLst/>
                              <a:gdLst>
                                <a:gd name="T0" fmla="+- 0 1620 1620"/>
                                <a:gd name="T1" fmla="*/ 1620 h 360"/>
                                <a:gd name="T2" fmla="+- 0 1980 1620"/>
                                <a:gd name="T3" fmla="*/ 1980 h 360"/>
                              </a:gdLst>
                              <a:ahLst/>
                              <a:cxnLst>
                                <a:cxn ang="0">
                                  <a:pos x="0" y="T1"/>
                                </a:cxn>
                                <a:cxn ang="0">
                                  <a:pos x="0" y="T3"/>
                                </a:cxn>
                              </a:cxnLst>
                              <a:rect l="0" t="0" r="r" b="b"/>
                              <a:pathLst>
                                <a:path h="360">
                                  <a:moveTo>
                                    <a:pt x="0" y="0"/>
                                  </a:moveTo>
                                  <a:lnTo>
                                    <a:pt x="0" y="360"/>
                                  </a:lnTo>
                                </a:path>
                              </a:pathLst>
                            </a:custGeom>
                            <a:noFill/>
                            <a:ln w="9525">
                              <a:solidFill>
                                <a:srgbClr val="000000"/>
                              </a:solidFill>
                              <a:round/>
                            </a:ln>
                          </wps:spPr>
                          <wps:bodyPr rot="0" vert="horz" wrap="square" lIns="91440" tIns="45720" rIns="91440" bIns="45720" anchor="t" anchorCtr="0" upright="1">
                            <a:noAutofit/>
                          </wps:bodyPr>
                        </wps:wsp>
                      </wpg:grpSp>
                      <wpg:grpSp>
                        <wpg:cNvPr id="476" name="Group 429"/>
                        <wpg:cNvGrpSpPr/>
                        <wpg:grpSpPr>
                          <a:xfrm>
                            <a:off x="6488" y="1980"/>
                            <a:ext cx="1260" cy="2"/>
                            <a:chOff x="6488" y="1980"/>
                            <a:chExt cx="1260" cy="2"/>
                          </a:xfrm>
                        </wpg:grpSpPr>
                        <wps:wsp>
                          <wps:cNvPr id="477" name="Freeform 430"/>
                          <wps:cNvSpPr/>
                          <wps:spPr bwMode="auto">
                            <a:xfrm>
                              <a:off x="6488" y="1980"/>
                              <a:ext cx="1260" cy="2"/>
                            </a:xfrm>
                            <a:custGeom>
                              <a:avLst/>
                              <a:gdLst>
                                <a:gd name="T0" fmla="+- 0 7748 6488"/>
                                <a:gd name="T1" fmla="*/ T0 w 1260"/>
                                <a:gd name="T2" fmla="+- 0 6488 6488"/>
                                <a:gd name="T3" fmla="*/ T2 w 1260"/>
                              </a:gdLst>
                              <a:ahLst/>
                              <a:cxnLst>
                                <a:cxn ang="0">
                                  <a:pos x="T1" y="0"/>
                                </a:cxn>
                                <a:cxn ang="0">
                                  <a:pos x="T3" y="0"/>
                                </a:cxn>
                              </a:cxnLst>
                              <a:rect l="0" t="0" r="r" b="b"/>
                              <a:pathLst>
                                <a:path w="1260">
                                  <a:moveTo>
                                    <a:pt x="1260" y="0"/>
                                  </a:moveTo>
                                  <a:lnTo>
                                    <a:pt x="0" y="0"/>
                                  </a:lnTo>
                                </a:path>
                              </a:pathLst>
                            </a:custGeom>
                            <a:noFill/>
                            <a:ln w="9525">
                              <a:solidFill>
                                <a:srgbClr val="000000"/>
                              </a:solidFill>
                              <a:round/>
                            </a:ln>
                          </wps:spPr>
                          <wps:bodyPr rot="0" vert="horz" wrap="square" lIns="91440" tIns="45720" rIns="91440" bIns="45720" anchor="t" anchorCtr="0" upright="1">
                            <a:noAutofit/>
                          </wps:bodyPr>
                        </wps:wsp>
                      </wpg:grpSp>
                      <wpg:grpSp>
                        <wpg:cNvPr id="478" name="Group 431"/>
                        <wpg:cNvGrpSpPr/>
                        <wpg:grpSpPr>
                          <a:xfrm>
                            <a:off x="2888" y="1708"/>
                            <a:ext cx="599" cy="360"/>
                            <a:chOff x="2888" y="1708"/>
                            <a:chExt cx="599" cy="360"/>
                          </a:xfrm>
                        </wpg:grpSpPr>
                        <wps:wsp>
                          <wps:cNvPr id="479" name="Freeform 432"/>
                          <wps:cNvSpPr/>
                          <wps:spPr bwMode="auto">
                            <a:xfrm>
                              <a:off x="2888" y="1708"/>
                              <a:ext cx="599" cy="360"/>
                            </a:xfrm>
                            <a:custGeom>
                              <a:avLst/>
                              <a:gdLst>
                                <a:gd name="T0" fmla="+- 0 3486 2888"/>
                                <a:gd name="T1" fmla="*/ T0 w 599"/>
                                <a:gd name="T2" fmla="+- 0 1708 1708"/>
                                <a:gd name="T3" fmla="*/ 1708 h 360"/>
                                <a:gd name="T4" fmla="+- 0 2888 2888"/>
                                <a:gd name="T5" fmla="*/ T4 w 599"/>
                                <a:gd name="T6" fmla="+- 0 1708 1708"/>
                                <a:gd name="T7" fmla="*/ 1708 h 360"/>
                                <a:gd name="T8" fmla="+- 0 2888 2888"/>
                                <a:gd name="T9" fmla="*/ T8 w 599"/>
                                <a:gd name="T10" fmla="+- 0 2068 1708"/>
                                <a:gd name="T11" fmla="*/ 2068 h 360"/>
                                <a:gd name="T12" fmla="+- 0 3486 2888"/>
                                <a:gd name="T13" fmla="*/ T12 w 599"/>
                                <a:gd name="T14" fmla="+- 0 2068 1708"/>
                                <a:gd name="T15" fmla="*/ 2068 h 360"/>
                                <a:gd name="T16" fmla="+- 0 3486 2888"/>
                                <a:gd name="T17" fmla="*/ T16 w 599"/>
                                <a:gd name="T18" fmla="+- 0 1708 1708"/>
                                <a:gd name="T19" fmla="*/ 1708 h 360"/>
                              </a:gdLst>
                              <a:ahLst/>
                              <a:cxnLst>
                                <a:cxn ang="0">
                                  <a:pos x="T1" y="T3"/>
                                </a:cxn>
                                <a:cxn ang="0">
                                  <a:pos x="T5" y="T7"/>
                                </a:cxn>
                                <a:cxn ang="0">
                                  <a:pos x="T9" y="T11"/>
                                </a:cxn>
                                <a:cxn ang="0">
                                  <a:pos x="T13" y="T15"/>
                                </a:cxn>
                                <a:cxn ang="0">
                                  <a:pos x="T17" y="T19"/>
                                </a:cxn>
                              </a:cxnLst>
                              <a:rect l="0" t="0" r="r" b="b"/>
                              <a:pathLst>
                                <a:path w="599" h="360">
                                  <a:moveTo>
                                    <a:pt x="598" y="0"/>
                                  </a:moveTo>
                                  <a:lnTo>
                                    <a:pt x="0" y="0"/>
                                  </a:lnTo>
                                  <a:lnTo>
                                    <a:pt x="0" y="360"/>
                                  </a:lnTo>
                                  <a:lnTo>
                                    <a:pt x="598" y="360"/>
                                  </a:lnTo>
                                  <a:lnTo>
                                    <a:pt x="598" y="0"/>
                                  </a:lnTo>
                                  <a:close/>
                                </a:path>
                              </a:pathLst>
                            </a:custGeom>
                            <a:noFill/>
                            <a:ln w="9525">
                              <a:solidFill>
                                <a:srgbClr val="000000"/>
                              </a:solidFill>
                              <a:round/>
                            </a:ln>
                          </wps:spPr>
                          <wps:bodyPr rot="0" vert="horz" wrap="square" lIns="91440" tIns="45720" rIns="91440" bIns="45720" anchor="t" anchorCtr="0" upright="1">
                            <a:noAutofit/>
                          </wps:bodyPr>
                        </wps:wsp>
                      </wpg:grpSp>
                      <wpg:grpSp>
                        <wpg:cNvPr id="480" name="Group 433"/>
                        <wpg:cNvGrpSpPr/>
                        <wpg:grpSpPr>
                          <a:xfrm>
                            <a:off x="1448" y="1888"/>
                            <a:ext cx="1395" cy="2"/>
                            <a:chOff x="1448" y="1888"/>
                            <a:chExt cx="1395" cy="2"/>
                          </a:xfrm>
                        </wpg:grpSpPr>
                        <wps:wsp>
                          <wps:cNvPr id="481" name="Freeform 434"/>
                          <wps:cNvSpPr/>
                          <wps:spPr bwMode="auto">
                            <a:xfrm>
                              <a:off x="1448" y="1888"/>
                              <a:ext cx="1395" cy="2"/>
                            </a:xfrm>
                            <a:custGeom>
                              <a:avLst/>
                              <a:gdLst>
                                <a:gd name="T0" fmla="+- 0 2842 1448"/>
                                <a:gd name="T1" fmla="*/ T0 w 1395"/>
                                <a:gd name="T2" fmla="+- 0 1448 1448"/>
                                <a:gd name="T3" fmla="*/ T2 w 1395"/>
                              </a:gdLst>
                              <a:ahLst/>
                              <a:cxnLst>
                                <a:cxn ang="0">
                                  <a:pos x="T1" y="0"/>
                                </a:cxn>
                                <a:cxn ang="0">
                                  <a:pos x="T3" y="0"/>
                                </a:cxn>
                              </a:cxnLst>
                              <a:rect l="0" t="0" r="r" b="b"/>
                              <a:pathLst>
                                <a:path w="1395">
                                  <a:moveTo>
                                    <a:pt x="1394" y="0"/>
                                  </a:moveTo>
                                  <a:lnTo>
                                    <a:pt x="0" y="0"/>
                                  </a:lnTo>
                                </a:path>
                              </a:pathLst>
                            </a:custGeom>
                            <a:noFill/>
                            <a:ln w="9525">
                              <a:solidFill>
                                <a:srgbClr val="000000"/>
                              </a:solidFill>
                              <a:round/>
                            </a:ln>
                          </wps:spPr>
                          <wps:bodyPr rot="0" vert="horz" wrap="square" lIns="91440" tIns="45720" rIns="91440" bIns="45720" anchor="t" anchorCtr="0" upright="1">
                            <a:noAutofit/>
                          </wps:bodyPr>
                        </wps:wsp>
                      </wpg:grpSp>
                      <wpg:grpSp>
                        <wpg:cNvPr id="482" name="Group 435"/>
                        <wpg:cNvGrpSpPr/>
                        <wpg:grpSpPr>
                          <a:xfrm>
                            <a:off x="1388" y="1348"/>
                            <a:ext cx="120" cy="548"/>
                            <a:chOff x="1388" y="1348"/>
                            <a:chExt cx="120" cy="548"/>
                          </a:xfrm>
                        </wpg:grpSpPr>
                        <wps:wsp>
                          <wps:cNvPr id="483" name="Freeform 436"/>
                          <wps:cNvSpPr/>
                          <wps:spPr bwMode="auto">
                            <a:xfrm>
                              <a:off x="1388" y="1348"/>
                              <a:ext cx="120" cy="548"/>
                            </a:xfrm>
                            <a:custGeom>
                              <a:avLst/>
                              <a:gdLst>
                                <a:gd name="T0" fmla="+- 0 1448 1388"/>
                                <a:gd name="T1" fmla="*/ T0 w 120"/>
                                <a:gd name="T2" fmla="+- 0 1440 1348"/>
                                <a:gd name="T3" fmla="*/ 1440 h 548"/>
                                <a:gd name="T4" fmla="+- 0 1443 1388"/>
                                <a:gd name="T5" fmla="*/ T4 w 120"/>
                                <a:gd name="T6" fmla="+- 0 1442 1348"/>
                                <a:gd name="T7" fmla="*/ 1442 h 548"/>
                                <a:gd name="T8" fmla="+- 0 1440 1388"/>
                                <a:gd name="T9" fmla="*/ T8 w 120"/>
                                <a:gd name="T10" fmla="+- 0 1447 1348"/>
                                <a:gd name="T11" fmla="*/ 1447 h 548"/>
                                <a:gd name="T12" fmla="+- 0 1440 1388"/>
                                <a:gd name="T13" fmla="*/ T12 w 120"/>
                                <a:gd name="T14" fmla="+- 0 1888 1348"/>
                                <a:gd name="T15" fmla="*/ 1888 h 548"/>
                                <a:gd name="T16" fmla="+- 0 1443 1388"/>
                                <a:gd name="T17" fmla="*/ T16 w 120"/>
                                <a:gd name="T18" fmla="+- 0 1892 1348"/>
                                <a:gd name="T19" fmla="*/ 1892 h 548"/>
                                <a:gd name="T20" fmla="+- 0 1448 1388"/>
                                <a:gd name="T21" fmla="*/ T20 w 120"/>
                                <a:gd name="T22" fmla="+- 0 1895 1348"/>
                                <a:gd name="T23" fmla="*/ 1895 h 548"/>
                                <a:gd name="T24" fmla="+- 0 1454 1388"/>
                                <a:gd name="T25" fmla="*/ T24 w 120"/>
                                <a:gd name="T26" fmla="+- 0 1892 1348"/>
                                <a:gd name="T27" fmla="*/ 1892 h 548"/>
                                <a:gd name="T28" fmla="+- 0 1456 1388"/>
                                <a:gd name="T29" fmla="*/ T28 w 120"/>
                                <a:gd name="T30" fmla="+- 0 1888 1348"/>
                                <a:gd name="T31" fmla="*/ 1888 h 548"/>
                                <a:gd name="T32" fmla="+- 0 1456 1388"/>
                                <a:gd name="T33" fmla="*/ T32 w 120"/>
                                <a:gd name="T34" fmla="+- 0 1447 1348"/>
                                <a:gd name="T35" fmla="*/ 1447 h 548"/>
                                <a:gd name="T36" fmla="+- 0 1454 1388"/>
                                <a:gd name="T37" fmla="*/ T36 w 120"/>
                                <a:gd name="T38" fmla="+- 0 1442 1348"/>
                                <a:gd name="T39" fmla="*/ 1442 h 548"/>
                                <a:gd name="T40" fmla="+- 0 1448 1388"/>
                                <a:gd name="T41" fmla="*/ T40 w 120"/>
                                <a:gd name="T42" fmla="+- 0 1440 1348"/>
                                <a:gd name="T43" fmla="*/ 1440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8">
                                  <a:moveTo>
                                    <a:pt x="60" y="92"/>
                                  </a:moveTo>
                                  <a:lnTo>
                                    <a:pt x="55" y="94"/>
                                  </a:lnTo>
                                  <a:lnTo>
                                    <a:pt x="52" y="99"/>
                                  </a:lnTo>
                                  <a:lnTo>
                                    <a:pt x="52" y="540"/>
                                  </a:lnTo>
                                  <a:lnTo>
                                    <a:pt x="55" y="544"/>
                                  </a:lnTo>
                                  <a:lnTo>
                                    <a:pt x="60" y="547"/>
                                  </a:lnTo>
                                  <a:lnTo>
                                    <a:pt x="66" y="544"/>
                                  </a:lnTo>
                                  <a:lnTo>
                                    <a:pt x="68" y="540"/>
                                  </a:lnTo>
                                  <a:lnTo>
                                    <a:pt x="68" y="99"/>
                                  </a:lnTo>
                                  <a:lnTo>
                                    <a:pt x="66" y="94"/>
                                  </a:lnTo>
                                  <a:lnTo>
                                    <a:pt x="60" y="92"/>
                                  </a:lnTo>
                                  <a:close/>
                                </a:path>
                              </a:pathLst>
                            </a:custGeom>
                            <a:solidFill>
                              <a:srgbClr val="000000"/>
                            </a:solidFill>
                            <a:ln>
                              <a:noFill/>
                            </a:ln>
                          </wps:spPr>
                          <wps:bodyPr rot="0" vert="horz" wrap="square" lIns="91440" tIns="45720" rIns="91440" bIns="45720" anchor="t" anchorCtr="0" upright="1">
                            <a:noAutofit/>
                          </wps:bodyPr>
                        </wps:wsp>
                        <wps:wsp>
                          <wps:cNvPr id="484" name="Freeform 437"/>
                          <wps:cNvSpPr/>
                          <wps:spPr bwMode="auto">
                            <a:xfrm>
                              <a:off x="1388" y="1348"/>
                              <a:ext cx="120" cy="548"/>
                            </a:xfrm>
                            <a:custGeom>
                              <a:avLst/>
                              <a:gdLst>
                                <a:gd name="T0" fmla="+- 0 1448 1388"/>
                                <a:gd name="T1" fmla="*/ T0 w 120"/>
                                <a:gd name="T2" fmla="+- 0 1348 1348"/>
                                <a:gd name="T3" fmla="*/ 1348 h 548"/>
                                <a:gd name="T4" fmla="+- 0 1388 1388"/>
                                <a:gd name="T5" fmla="*/ T4 w 120"/>
                                <a:gd name="T6" fmla="+- 0 1468 1348"/>
                                <a:gd name="T7" fmla="*/ 1468 h 548"/>
                                <a:gd name="T8" fmla="+- 0 1440 1388"/>
                                <a:gd name="T9" fmla="*/ T8 w 120"/>
                                <a:gd name="T10" fmla="+- 0 1468 1348"/>
                                <a:gd name="T11" fmla="*/ 1468 h 548"/>
                                <a:gd name="T12" fmla="+- 0 1440 1388"/>
                                <a:gd name="T13" fmla="*/ T12 w 120"/>
                                <a:gd name="T14" fmla="+- 0 1447 1348"/>
                                <a:gd name="T15" fmla="*/ 1447 h 548"/>
                                <a:gd name="T16" fmla="+- 0 1443 1388"/>
                                <a:gd name="T17" fmla="*/ T16 w 120"/>
                                <a:gd name="T18" fmla="+- 0 1442 1348"/>
                                <a:gd name="T19" fmla="*/ 1442 h 548"/>
                                <a:gd name="T20" fmla="+- 0 1448 1388"/>
                                <a:gd name="T21" fmla="*/ T20 w 120"/>
                                <a:gd name="T22" fmla="+- 0 1440 1348"/>
                                <a:gd name="T23" fmla="*/ 1440 h 548"/>
                                <a:gd name="T24" fmla="+- 0 1494 1388"/>
                                <a:gd name="T25" fmla="*/ T24 w 120"/>
                                <a:gd name="T26" fmla="+- 0 1440 1348"/>
                                <a:gd name="T27" fmla="*/ 1440 h 548"/>
                                <a:gd name="T28" fmla="+- 0 1448 1388"/>
                                <a:gd name="T29" fmla="*/ T28 w 120"/>
                                <a:gd name="T30" fmla="+- 0 1348 1348"/>
                                <a:gd name="T31" fmla="*/ 1348 h 5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8">
                                  <a:moveTo>
                                    <a:pt x="60" y="0"/>
                                  </a:moveTo>
                                  <a:lnTo>
                                    <a:pt x="0" y="120"/>
                                  </a:lnTo>
                                  <a:lnTo>
                                    <a:pt x="52" y="120"/>
                                  </a:lnTo>
                                  <a:lnTo>
                                    <a:pt x="52" y="99"/>
                                  </a:lnTo>
                                  <a:lnTo>
                                    <a:pt x="55" y="94"/>
                                  </a:lnTo>
                                  <a:lnTo>
                                    <a:pt x="60" y="92"/>
                                  </a:lnTo>
                                  <a:lnTo>
                                    <a:pt x="106" y="92"/>
                                  </a:lnTo>
                                  <a:lnTo>
                                    <a:pt x="60" y="0"/>
                                  </a:lnTo>
                                  <a:close/>
                                </a:path>
                              </a:pathLst>
                            </a:custGeom>
                            <a:solidFill>
                              <a:srgbClr val="000000"/>
                            </a:solidFill>
                            <a:ln>
                              <a:noFill/>
                            </a:ln>
                          </wps:spPr>
                          <wps:bodyPr rot="0" vert="horz" wrap="square" lIns="91440" tIns="45720" rIns="91440" bIns="45720" anchor="t" anchorCtr="0" upright="1">
                            <a:noAutofit/>
                          </wps:bodyPr>
                        </wps:wsp>
                        <wps:wsp>
                          <wps:cNvPr id="485" name="Freeform 438"/>
                          <wps:cNvSpPr/>
                          <wps:spPr bwMode="auto">
                            <a:xfrm>
                              <a:off x="1388" y="1348"/>
                              <a:ext cx="120" cy="548"/>
                            </a:xfrm>
                            <a:custGeom>
                              <a:avLst/>
                              <a:gdLst>
                                <a:gd name="T0" fmla="+- 0 1494 1388"/>
                                <a:gd name="T1" fmla="*/ T0 w 120"/>
                                <a:gd name="T2" fmla="+- 0 1440 1348"/>
                                <a:gd name="T3" fmla="*/ 1440 h 548"/>
                                <a:gd name="T4" fmla="+- 0 1448 1388"/>
                                <a:gd name="T5" fmla="*/ T4 w 120"/>
                                <a:gd name="T6" fmla="+- 0 1440 1348"/>
                                <a:gd name="T7" fmla="*/ 1440 h 548"/>
                                <a:gd name="T8" fmla="+- 0 1454 1388"/>
                                <a:gd name="T9" fmla="*/ T8 w 120"/>
                                <a:gd name="T10" fmla="+- 0 1442 1348"/>
                                <a:gd name="T11" fmla="*/ 1442 h 548"/>
                                <a:gd name="T12" fmla="+- 0 1456 1388"/>
                                <a:gd name="T13" fmla="*/ T12 w 120"/>
                                <a:gd name="T14" fmla="+- 0 1447 1348"/>
                                <a:gd name="T15" fmla="*/ 1447 h 548"/>
                                <a:gd name="T16" fmla="+- 0 1456 1388"/>
                                <a:gd name="T17" fmla="*/ T16 w 120"/>
                                <a:gd name="T18" fmla="+- 0 1468 1348"/>
                                <a:gd name="T19" fmla="*/ 1468 h 548"/>
                                <a:gd name="T20" fmla="+- 0 1508 1388"/>
                                <a:gd name="T21" fmla="*/ T20 w 120"/>
                                <a:gd name="T22" fmla="+- 0 1468 1348"/>
                                <a:gd name="T23" fmla="*/ 1468 h 548"/>
                                <a:gd name="T24" fmla="+- 0 1494 1388"/>
                                <a:gd name="T25" fmla="*/ T24 w 120"/>
                                <a:gd name="T26" fmla="+- 0 1440 1348"/>
                                <a:gd name="T27" fmla="*/ 1440 h 548"/>
                              </a:gdLst>
                              <a:ahLst/>
                              <a:cxnLst>
                                <a:cxn ang="0">
                                  <a:pos x="T1" y="T3"/>
                                </a:cxn>
                                <a:cxn ang="0">
                                  <a:pos x="T5" y="T7"/>
                                </a:cxn>
                                <a:cxn ang="0">
                                  <a:pos x="T9" y="T11"/>
                                </a:cxn>
                                <a:cxn ang="0">
                                  <a:pos x="T13" y="T15"/>
                                </a:cxn>
                                <a:cxn ang="0">
                                  <a:pos x="T17" y="T19"/>
                                </a:cxn>
                                <a:cxn ang="0">
                                  <a:pos x="T21" y="T23"/>
                                </a:cxn>
                                <a:cxn ang="0">
                                  <a:pos x="T25" y="T27"/>
                                </a:cxn>
                              </a:cxnLst>
                              <a:rect l="0" t="0" r="r" b="b"/>
                              <a:pathLst>
                                <a:path w="120" h="548">
                                  <a:moveTo>
                                    <a:pt x="106" y="92"/>
                                  </a:moveTo>
                                  <a:lnTo>
                                    <a:pt x="60" y="92"/>
                                  </a:lnTo>
                                  <a:lnTo>
                                    <a:pt x="66" y="94"/>
                                  </a:lnTo>
                                  <a:lnTo>
                                    <a:pt x="68" y="99"/>
                                  </a:lnTo>
                                  <a:lnTo>
                                    <a:pt x="68" y="120"/>
                                  </a:lnTo>
                                  <a:lnTo>
                                    <a:pt x="120" y="120"/>
                                  </a:lnTo>
                                  <a:lnTo>
                                    <a:pt x="106" y="92"/>
                                  </a:lnTo>
                                  <a:close/>
                                </a:path>
                              </a:pathLst>
                            </a:custGeom>
                            <a:solidFill>
                              <a:srgbClr val="000000"/>
                            </a:solidFill>
                            <a:ln>
                              <a:noFill/>
                            </a:ln>
                          </wps:spPr>
                          <wps:bodyPr rot="0" vert="horz" wrap="square" lIns="91440" tIns="45720" rIns="91440" bIns="45720" anchor="t" anchorCtr="0" upright="1">
                            <a:noAutofit/>
                          </wps:bodyPr>
                        </wps:wsp>
                      </wpg:grpSp>
                      <wpg:grpSp>
                        <wpg:cNvPr id="486" name="Group 439"/>
                        <wpg:cNvGrpSpPr/>
                        <wpg:grpSpPr>
                          <a:xfrm>
                            <a:off x="3428" y="1828"/>
                            <a:ext cx="909" cy="120"/>
                            <a:chOff x="3428" y="1828"/>
                            <a:chExt cx="909" cy="120"/>
                          </a:xfrm>
                        </wpg:grpSpPr>
                        <wps:wsp>
                          <wps:cNvPr id="487" name="Freeform 440"/>
                          <wps:cNvSpPr/>
                          <wps:spPr bwMode="auto">
                            <a:xfrm>
                              <a:off x="3428" y="1828"/>
                              <a:ext cx="909" cy="120"/>
                            </a:xfrm>
                            <a:custGeom>
                              <a:avLst/>
                              <a:gdLst>
                                <a:gd name="T0" fmla="+- 0 3548 3428"/>
                                <a:gd name="T1" fmla="*/ T0 w 909"/>
                                <a:gd name="T2" fmla="+- 0 1828 1828"/>
                                <a:gd name="T3" fmla="*/ 1828 h 120"/>
                                <a:gd name="T4" fmla="+- 0 3428 3428"/>
                                <a:gd name="T5" fmla="*/ T4 w 909"/>
                                <a:gd name="T6" fmla="+- 0 1888 1828"/>
                                <a:gd name="T7" fmla="*/ 1888 h 120"/>
                                <a:gd name="T8" fmla="+- 0 3548 3428"/>
                                <a:gd name="T9" fmla="*/ T8 w 909"/>
                                <a:gd name="T10" fmla="+- 0 1948 1828"/>
                                <a:gd name="T11" fmla="*/ 1948 h 120"/>
                                <a:gd name="T12" fmla="+- 0 3548 3428"/>
                                <a:gd name="T13" fmla="*/ T12 w 909"/>
                                <a:gd name="T14" fmla="+- 0 1895 1828"/>
                                <a:gd name="T15" fmla="*/ 1895 h 120"/>
                                <a:gd name="T16" fmla="+- 0 3528 3428"/>
                                <a:gd name="T17" fmla="*/ T16 w 909"/>
                                <a:gd name="T18" fmla="+- 0 1895 1828"/>
                                <a:gd name="T19" fmla="*/ 1895 h 120"/>
                                <a:gd name="T20" fmla="+- 0 3522 3428"/>
                                <a:gd name="T21" fmla="*/ T20 w 909"/>
                                <a:gd name="T22" fmla="+- 0 1892 1828"/>
                                <a:gd name="T23" fmla="*/ 1892 h 120"/>
                                <a:gd name="T24" fmla="+- 0 3521 3428"/>
                                <a:gd name="T25" fmla="*/ T24 w 909"/>
                                <a:gd name="T26" fmla="+- 0 1888 1828"/>
                                <a:gd name="T27" fmla="*/ 1888 h 120"/>
                                <a:gd name="T28" fmla="+- 0 3522 3428"/>
                                <a:gd name="T29" fmla="*/ T28 w 909"/>
                                <a:gd name="T30" fmla="+- 0 1883 1828"/>
                                <a:gd name="T31" fmla="*/ 1883 h 120"/>
                                <a:gd name="T32" fmla="+- 0 3528 3428"/>
                                <a:gd name="T33" fmla="*/ T32 w 909"/>
                                <a:gd name="T34" fmla="+- 0 1880 1828"/>
                                <a:gd name="T35" fmla="*/ 1880 h 120"/>
                                <a:gd name="T36" fmla="+- 0 3548 3428"/>
                                <a:gd name="T37" fmla="*/ T36 w 909"/>
                                <a:gd name="T38" fmla="+- 0 1880 1828"/>
                                <a:gd name="T39" fmla="*/ 1880 h 120"/>
                                <a:gd name="T40" fmla="+- 0 3548 3428"/>
                                <a:gd name="T41" fmla="*/ T40 w 909"/>
                                <a:gd name="T42" fmla="+- 0 1828 1828"/>
                                <a:gd name="T43" fmla="*/ 182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9" h="120">
                                  <a:moveTo>
                                    <a:pt x="120" y="0"/>
                                  </a:moveTo>
                                  <a:lnTo>
                                    <a:pt x="0" y="60"/>
                                  </a:lnTo>
                                  <a:lnTo>
                                    <a:pt x="120" y="120"/>
                                  </a:lnTo>
                                  <a:lnTo>
                                    <a:pt x="120" y="67"/>
                                  </a:lnTo>
                                  <a:lnTo>
                                    <a:pt x="100" y="67"/>
                                  </a:lnTo>
                                  <a:lnTo>
                                    <a:pt x="94" y="64"/>
                                  </a:lnTo>
                                  <a:lnTo>
                                    <a:pt x="93" y="60"/>
                                  </a:lnTo>
                                  <a:lnTo>
                                    <a:pt x="94" y="55"/>
                                  </a:lnTo>
                                  <a:lnTo>
                                    <a:pt x="100" y="52"/>
                                  </a:lnTo>
                                  <a:lnTo>
                                    <a:pt x="120" y="52"/>
                                  </a:lnTo>
                                  <a:lnTo>
                                    <a:pt x="120" y="0"/>
                                  </a:lnTo>
                                  <a:close/>
                                </a:path>
                              </a:pathLst>
                            </a:custGeom>
                            <a:solidFill>
                              <a:srgbClr val="000000"/>
                            </a:solidFill>
                            <a:ln>
                              <a:noFill/>
                            </a:ln>
                          </wps:spPr>
                          <wps:bodyPr rot="0" vert="horz" wrap="square" lIns="91440" tIns="45720" rIns="91440" bIns="45720" anchor="t" anchorCtr="0" upright="1">
                            <a:noAutofit/>
                          </wps:bodyPr>
                        </wps:wsp>
                        <wps:wsp>
                          <wps:cNvPr id="488" name="Freeform 441"/>
                          <wps:cNvSpPr/>
                          <wps:spPr bwMode="auto">
                            <a:xfrm>
                              <a:off x="3428" y="1828"/>
                              <a:ext cx="909" cy="120"/>
                            </a:xfrm>
                            <a:custGeom>
                              <a:avLst/>
                              <a:gdLst>
                                <a:gd name="T0" fmla="+- 0 3548 3428"/>
                                <a:gd name="T1" fmla="*/ T0 w 909"/>
                                <a:gd name="T2" fmla="+- 0 1880 1828"/>
                                <a:gd name="T3" fmla="*/ 1880 h 120"/>
                                <a:gd name="T4" fmla="+- 0 3528 3428"/>
                                <a:gd name="T5" fmla="*/ T4 w 909"/>
                                <a:gd name="T6" fmla="+- 0 1880 1828"/>
                                <a:gd name="T7" fmla="*/ 1880 h 120"/>
                                <a:gd name="T8" fmla="+- 0 3522 3428"/>
                                <a:gd name="T9" fmla="*/ T8 w 909"/>
                                <a:gd name="T10" fmla="+- 0 1883 1828"/>
                                <a:gd name="T11" fmla="*/ 1883 h 120"/>
                                <a:gd name="T12" fmla="+- 0 3521 3428"/>
                                <a:gd name="T13" fmla="*/ T12 w 909"/>
                                <a:gd name="T14" fmla="+- 0 1888 1828"/>
                                <a:gd name="T15" fmla="*/ 1888 h 120"/>
                                <a:gd name="T16" fmla="+- 0 3522 3428"/>
                                <a:gd name="T17" fmla="*/ T16 w 909"/>
                                <a:gd name="T18" fmla="+- 0 1892 1828"/>
                                <a:gd name="T19" fmla="*/ 1892 h 120"/>
                                <a:gd name="T20" fmla="+- 0 3528 3428"/>
                                <a:gd name="T21" fmla="*/ T20 w 909"/>
                                <a:gd name="T22" fmla="+- 0 1895 1828"/>
                                <a:gd name="T23" fmla="*/ 1895 h 120"/>
                                <a:gd name="T24" fmla="+- 0 3548 3428"/>
                                <a:gd name="T25" fmla="*/ T24 w 909"/>
                                <a:gd name="T26" fmla="+- 0 1895 1828"/>
                                <a:gd name="T27" fmla="*/ 1895 h 120"/>
                                <a:gd name="T28" fmla="+- 0 3548 3428"/>
                                <a:gd name="T29" fmla="*/ T28 w 909"/>
                                <a:gd name="T30" fmla="+- 0 1880 1828"/>
                                <a:gd name="T31" fmla="*/ 1880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9" h="120">
                                  <a:moveTo>
                                    <a:pt x="120" y="52"/>
                                  </a:moveTo>
                                  <a:lnTo>
                                    <a:pt x="100" y="52"/>
                                  </a:lnTo>
                                  <a:lnTo>
                                    <a:pt x="94" y="55"/>
                                  </a:lnTo>
                                  <a:lnTo>
                                    <a:pt x="93" y="60"/>
                                  </a:lnTo>
                                  <a:lnTo>
                                    <a:pt x="94" y="64"/>
                                  </a:lnTo>
                                  <a:lnTo>
                                    <a:pt x="100" y="67"/>
                                  </a:lnTo>
                                  <a:lnTo>
                                    <a:pt x="120" y="67"/>
                                  </a:lnTo>
                                  <a:lnTo>
                                    <a:pt x="120" y="52"/>
                                  </a:lnTo>
                                  <a:close/>
                                </a:path>
                              </a:pathLst>
                            </a:custGeom>
                            <a:solidFill>
                              <a:srgbClr val="000000"/>
                            </a:solidFill>
                            <a:ln>
                              <a:noFill/>
                            </a:ln>
                          </wps:spPr>
                          <wps:bodyPr rot="0" vert="horz" wrap="square" lIns="91440" tIns="45720" rIns="91440" bIns="45720" anchor="t" anchorCtr="0" upright="1">
                            <a:noAutofit/>
                          </wps:bodyPr>
                        </wps:wsp>
                        <wps:wsp>
                          <wps:cNvPr id="489" name="Freeform 442"/>
                          <wps:cNvSpPr/>
                          <wps:spPr bwMode="auto">
                            <a:xfrm>
                              <a:off x="3428" y="1828"/>
                              <a:ext cx="909" cy="120"/>
                            </a:xfrm>
                            <a:custGeom>
                              <a:avLst/>
                              <a:gdLst>
                                <a:gd name="T0" fmla="+- 0 4328 3428"/>
                                <a:gd name="T1" fmla="*/ T0 w 909"/>
                                <a:gd name="T2" fmla="+- 0 1880 1828"/>
                                <a:gd name="T3" fmla="*/ 1880 h 120"/>
                                <a:gd name="T4" fmla="+- 0 3548 3428"/>
                                <a:gd name="T5" fmla="*/ T4 w 909"/>
                                <a:gd name="T6" fmla="+- 0 1880 1828"/>
                                <a:gd name="T7" fmla="*/ 1880 h 120"/>
                                <a:gd name="T8" fmla="+- 0 3548 3428"/>
                                <a:gd name="T9" fmla="*/ T8 w 909"/>
                                <a:gd name="T10" fmla="+- 0 1895 1828"/>
                                <a:gd name="T11" fmla="*/ 1895 h 120"/>
                                <a:gd name="T12" fmla="+- 0 4328 3428"/>
                                <a:gd name="T13" fmla="*/ T12 w 909"/>
                                <a:gd name="T14" fmla="+- 0 1895 1828"/>
                                <a:gd name="T15" fmla="*/ 1895 h 120"/>
                                <a:gd name="T16" fmla="+- 0 4334 3428"/>
                                <a:gd name="T17" fmla="*/ T16 w 909"/>
                                <a:gd name="T18" fmla="+- 0 1892 1828"/>
                                <a:gd name="T19" fmla="*/ 1892 h 120"/>
                                <a:gd name="T20" fmla="+- 0 4336 3428"/>
                                <a:gd name="T21" fmla="*/ T20 w 909"/>
                                <a:gd name="T22" fmla="+- 0 1888 1828"/>
                                <a:gd name="T23" fmla="*/ 1888 h 120"/>
                                <a:gd name="T24" fmla="+- 0 4334 3428"/>
                                <a:gd name="T25" fmla="*/ T24 w 909"/>
                                <a:gd name="T26" fmla="+- 0 1883 1828"/>
                                <a:gd name="T27" fmla="*/ 1883 h 120"/>
                                <a:gd name="T28" fmla="+- 0 4328 3428"/>
                                <a:gd name="T29" fmla="*/ T28 w 909"/>
                                <a:gd name="T30" fmla="+- 0 1880 1828"/>
                                <a:gd name="T31" fmla="*/ 1880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9" h="120">
                                  <a:moveTo>
                                    <a:pt x="900" y="52"/>
                                  </a:moveTo>
                                  <a:lnTo>
                                    <a:pt x="120" y="52"/>
                                  </a:lnTo>
                                  <a:lnTo>
                                    <a:pt x="120" y="67"/>
                                  </a:lnTo>
                                  <a:lnTo>
                                    <a:pt x="900" y="67"/>
                                  </a:lnTo>
                                  <a:lnTo>
                                    <a:pt x="906" y="64"/>
                                  </a:lnTo>
                                  <a:lnTo>
                                    <a:pt x="908" y="60"/>
                                  </a:lnTo>
                                  <a:lnTo>
                                    <a:pt x="906" y="55"/>
                                  </a:lnTo>
                                  <a:lnTo>
                                    <a:pt x="900" y="52"/>
                                  </a:lnTo>
                                  <a:close/>
                                </a:path>
                              </a:pathLst>
                            </a:custGeom>
                            <a:solidFill>
                              <a:srgbClr val="000000"/>
                            </a:solidFill>
                            <a:ln>
                              <a:noFill/>
                            </a:ln>
                          </wps:spPr>
                          <wps:bodyPr rot="0" vert="horz" wrap="square" lIns="91440" tIns="45720" rIns="91440" bIns="45720" anchor="t" anchorCtr="0" upright="1">
                            <a:noAutofit/>
                          </wps:bodyPr>
                        </wps:wsp>
                      </wpg:grpSp>
                      <wpg:grpSp>
                        <wpg:cNvPr id="490" name="Group 443"/>
                        <wpg:cNvGrpSpPr/>
                        <wpg:grpSpPr>
                          <a:xfrm>
                            <a:off x="4328" y="1620"/>
                            <a:ext cx="2" cy="268"/>
                            <a:chOff x="4328" y="1620"/>
                            <a:chExt cx="2" cy="268"/>
                          </a:xfrm>
                        </wpg:grpSpPr>
                        <wps:wsp>
                          <wps:cNvPr id="491" name="Freeform 444"/>
                          <wps:cNvSpPr/>
                          <wps:spPr bwMode="auto">
                            <a:xfrm>
                              <a:off x="4328" y="1620"/>
                              <a:ext cx="2" cy="268"/>
                            </a:xfrm>
                            <a:custGeom>
                              <a:avLst/>
                              <a:gdLst>
                                <a:gd name="T0" fmla="+- 0 1620 1620"/>
                                <a:gd name="T1" fmla="*/ 1620 h 268"/>
                                <a:gd name="T2" fmla="+- 0 1888 1620"/>
                                <a:gd name="T3" fmla="*/ 1888 h 268"/>
                              </a:gdLst>
                              <a:ahLst/>
                              <a:cxnLst>
                                <a:cxn ang="0">
                                  <a:pos x="0" y="T1"/>
                                </a:cxn>
                                <a:cxn ang="0">
                                  <a:pos x="0" y="T3"/>
                                </a:cxn>
                              </a:cxnLst>
                              <a:rect l="0" t="0" r="r" b="b"/>
                              <a:pathLst>
                                <a:path h="268">
                                  <a:moveTo>
                                    <a:pt x="0" y="0"/>
                                  </a:moveTo>
                                  <a:lnTo>
                                    <a:pt x="0" y="268"/>
                                  </a:lnTo>
                                </a:path>
                              </a:pathLst>
                            </a:custGeom>
                            <a:noFill/>
                            <a:ln w="9525">
                              <a:solidFill>
                                <a:srgbClr val="000000"/>
                              </a:solidFill>
                              <a:round/>
                            </a:ln>
                          </wps:spPr>
                          <wps:bodyPr rot="0" vert="horz" wrap="square" lIns="91440" tIns="45720" rIns="91440" bIns="45720" anchor="t" anchorCtr="0" upright="1">
                            <a:noAutofit/>
                          </wps:bodyPr>
                        </wps:wsp>
                      </wpg:grpSp>
                      <wpg:grpSp>
                        <wpg:cNvPr id="492" name="Group 445"/>
                        <wpg:cNvGrpSpPr/>
                        <wpg:grpSpPr>
                          <a:xfrm>
                            <a:off x="8" y="988"/>
                            <a:ext cx="2990" cy="360"/>
                            <a:chOff x="8" y="988"/>
                            <a:chExt cx="2990" cy="360"/>
                          </a:xfrm>
                        </wpg:grpSpPr>
                        <wps:wsp>
                          <wps:cNvPr id="493" name="Freeform 446"/>
                          <wps:cNvSpPr/>
                          <wps:spPr bwMode="auto">
                            <a:xfrm>
                              <a:off x="8" y="988"/>
                              <a:ext cx="2990" cy="360"/>
                            </a:xfrm>
                            <a:custGeom>
                              <a:avLst/>
                              <a:gdLst>
                                <a:gd name="T0" fmla="+- 0 2997 8"/>
                                <a:gd name="T1" fmla="*/ T0 w 2990"/>
                                <a:gd name="T2" fmla="+- 0 1348 988"/>
                                <a:gd name="T3" fmla="*/ 1348 h 360"/>
                                <a:gd name="T4" fmla="+- 0 8 8"/>
                                <a:gd name="T5" fmla="*/ T4 w 2990"/>
                                <a:gd name="T6" fmla="+- 0 1348 988"/>
                                <a:gd name="T7" fmla="*/ 1348 h 360"/>
                                <a:gd name="T8" fmla="+- 0 8 8"/>
                                <a:gd name="T9" fmla="*/ T8 w 2990"/>
                                <a:gd name="T10" fmla="+- 0 988 988"/>
                                <a:gd name="T11" fmla="*/ 988 h 360"/>
                                <a:gd name="T12" fmla="+- 0 2997 8"/>
                                <a:gd name="T13" fmla="*/ T12 w 2990"/>
                                <a:gd name="T14" fmla="+- 0 988 988"/>
                                <a:gd name="T15" fmla="*/ 988 h 360"/>
                                <a:gd name="T16" fmla="+- 0 2997 8"/>
                                <a:gd name="T17" fmla="*/ T16 w 2990"/>
                                <a:gd name="T18" fmla="+- 0 1348 988"/>
                                <a:gd name="T19" fmla="*/ 1348 h 360"/>
                              </a:gdLst>
                              <a:ahLst/>
                              <a:cxnLst>
                                <a:cxn ang="0">
                                  <a:pos x="T1" y="T3"/>
                                </a:cxn>
                                <a:cxn ang="0">
                                  <a:pos x="T5" y="T7"/>
                                </a:cxn>
                                <a:cxn ang="0">
                                  <a:pos x="T9" y="T11"/>
                                </a:cxn>
                                <a:cxn ang="0">
                                  <a:pos x="T13" y="T15"/>
                                </a:cxn>
                                <a:cxn ang="0">
                                  <a:pos x="T17" y="T19"/>
                                </a:cxn>
                              </a:cxnLst>
                              <a:rect l="0" t="0" r="r" b="b"/>
                              <a:pathLst>
                                <a:path w="2990" h="360">
                                  <a:moveTo>
                                    <a:pt x="2989" y="360"/>
                                  </a:moveTo>
                                  <a:lnTo>
                                    <a:pt x="0" y="360"/>
                                  </a:lnTo>
                                  <a:lnTo>
                                    <a:pt x="0" y="0"/>
                                  </a:lnTo>
                                  <a:lnTo>
                                    <a:pt x="2989" y="0"/>
                                  </a:lnTo>
                                  <a:lnTo>
                                    <a:pt x="2989" y="360"/>
                                  </a:lnTo>
                                  <a:close/>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494" name="Picture 4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6662" y="812"/>
                              <a:ext cx="366" cy="179"/>
                            </a:xfrm>
                            <a:prstGeom prst="rect">
                              <a:avLst/>
                            </a:prstGeom>
                            <a:noFill/>
                            <a:ln>
                              <a:noFill/>
                            </a:ln>
                          </pic:spPr>
                        </pic:pic>
                      </wpg:grpSp>
                      <wpg:grpSp>
                        <wpg:cNvPr id="495" name="Group 448"/>
                        <wpg:cNvGrpSpPr/>
                        <wpg:grpSpPr>
                          <a:xfrm>
                            <a:off x="360" y="40"/>
                            <a:ext cx="1679" cy="120"/>
                            <a:chOff x="360" y="40"/>
                            <a:chExt cx="1679" cy="120"/>
                          </a:xfrm>
                        </wpg:grpSpPr>
                        <wps:wsp>
                          <wps:cNvPr id="496" name="Freeform 449"/>
                          <wps:cNvSpPr/>
                          <wps:spPr bwMode="auto">
                            <a:xfrm>
                              <a:off x="360" y="40"/>
                              <a:ext cx="1679" cy="120"/>
                            </a:xfrm>
                            <a:custGeom>
                              <a:avLst/>
                              <a:gdLst>
                                <a:gd name="T0" fmla="+- 0 1919 360"/>
                                <a:gd name="T1" fmla="*/ T0 w 1679"/>
                                <a:gd name="T2" fmla="+- 0 40 40"/>
                                <a:gd name="T3" fmla="*/ 40 h 120"/>
                                <a:gd name="T4" fmla="+- 0 1919 360"/>
                                <a:gd name="T5" fmla="*/ T4 w 1679"/>
                                <a:gd name="T6" fmla="+- 0 160 40"/>
                                <a:gd name="T7" fmla="*/ 160 h 120"/>
                                <a:gd name="T8" fmla="+- 0 2025 360"/>
                                <a:gd name="T9" fmla="*/ T8 w 1679"/>
                                <a:gd name="T10" fmla="+- 0 107 40"/>
                                <a:gd name="T11" fmla="*/ 107 h 120"/>
                                <a:gd name="T12" fmla="+- 0 1939 360"/>
                                <a:gd name="T13" fmla="*/ T12 w 1679"/>
                                <a:gd name="T14" fmla="+- 0 107 40"/>
                                <a:gd name="T15" fmla="*/ 107 h 120"/>
                                <a:gd name="T16" fmla="+- 0 1944 360"/>
                                <a:gd name="T17" fmla="*/ T16 w 1679"/>
                                <a:gd name="T18" fmla="+- 0 104 40"/>
                                <a:gd name="T19" fmla="*/ 104 h 120"/>
                                <a:gd name="T20" fmla="+- 0 1947 360"/>
                                <a:gd name="T21" fmla="*/ T20 w 1679"/>
                                <a:gd name="T22" fmla="+- 0 100 40"/>
                                <a:gd name="T23" fmla="*/ 100 h 120"/>
                                <a:gd name="T24" fmla="+- 0 1944 360"/>
                                <a:gd name="T25" fmla="*/ T24 w 1679"/>
                                <a:gd name="T26" fmla="+- 0 95 40"/>
                                <a:gd name="T27" fmla="*/ 95 h 120"/>
                                <a:gd name="T28" fmla="+- 0 1939 360"/>
                                <a:gd name="T29" fmla="*/ T28 w 1679"/>
                                <a:gd name="T30" fmla="+- 0 92 40"/>
                                <a:gd name="T31" fmla="*/ 92 h 120"/>
                                <a:gd name="T32" fmla="+- 0 2025 360"/>
                                <a:gd name="T33" fmla="*/ T32 w 1679"/>
                                <a:gd name="T34" fmla="+- 0 92 40"/>
                                <a:gd name="T35" fmla="*/ 92 h 120"/>
                                <a:gd name="T36" fmla="+- 0 1919 360"/>
                                <a:gd name="T37" fmla="*/ T36 w 1679"/>
                                <a:gd name="T38" fmla="+- 0 40 40"/>
                                <a:gd name="T39" fmla="*/ 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9" h="120">
                                  <a:moveTo>
                                    <a:pt x="1559" y="0"/>
                                  </a:moveTo>
                                  <a:lnTo>
                                    <a:pt x="1559" y="120"/>
                                  </a:lnTo>
                                  <a:lnTo>
                                    <a:pt x="1665" y="67"/>
                                  </a:lnTo>
                                  <a:lnTo>
                                    <a:pt x="1579" y="67"/>
                                  </a:lnTo>
                                  <a:lnTo>
                                    <a:pt x="1584" y="64"/>
                                  </a:lnTo>
                                  <a:lnTo>
                                    <a:pt x="1587" y="60"/>
                                  </a:lnTo>
                                  <a:lnTo>
                                    <a:pt x="1584" y="55"/>
                                  </a:lnTo>
                                  <a:lnTo>
                                    <a:pt x="1579" y="52"/>
                                  </a:lnTo>
                                  <a:lnTo>
                                    <a:pt x="1665" y="52"/>
                                  </a:lnTo>
                                  <a:lnTo>
                                    <a:pt x="1559" y="0"/>
                                  </a:lnTo>
                                  <a:close/>
                                </a:path>
                              </a:pathLst>
                            </a:custGeom>
                            <a:solidFill>
                              <a:srgbClr val="000000"/>
                            </a:solidFill>
                            <a:ln>
                              <a:noFill/>
                            </a:ln>
                          </wps:spPr>
                          <wps:bodyPr rot="0" vert="horz" wrap="square" lIns="91440" tIns="45720" rIns="91440" bIns="45720" anchor="t" anchorCtr="0" upright="1">
                            <a:noAutofit/>
                          </wps:bodyPr>
                        </wps:wsp>
                        <wps:wsp>
                          <wps:cNvPr id="497" name="Freeform 450"/>
                          <wps:cNvSpPr/>
                          <wps:spPr bwMode="auto">
                            <a:xfrm>
                              <a:off x="360" y="40"/>
                              <a:ext cx="1679" cy="120"/>
                            </a:xfrm>
                            <a:custGeom>
                              <a:avLst/>
                              <a:gdLst>
                                <a:gd name="T0" fmla="+- 0 1919 360"/>
                                <a:gd name="T1" fmla="*/ T0 w 1679"/>
                                <a:gd name="T2" fmla="+- 0 92 40"/>
                                <a:gd name="T3" fmla="*/ 92 h 120"/>
                                <a:gd name="T4" fmla="+- 0 367 360"/>
                                <a:gd name="T5" fmla="*/ T4 w 1679"/>
                                <a:gd name="T6" fmla="+- 0 92 40"/>
                                <a:gd name="T7" fmla="*/ 92 h 120"/>
                                <a:gd name="T8" fmla="+- 0 363 360"/>
                                <a:gd name="T9" fmla="*/ T8 w 1679"/>
                                <a:gd name="T10" fmla="+- 0 95 40"/>
                                <a:gd name="T11" fmla="*/ 95 h 120"/>
                                <a:gd name="T12" fmla="+- 0 360 360"/>
                                <a:gd name="T13" fmla="*/ T12 w 1679"/>
                                <a:gd name="T14" fmla="+- 0 100 40"/>
                                <a:gd name="T15" fmla="*/ 100 h 120"/>
                                <a:gd name="T16" fmla="+- 0 363 360"/>
                                <a:gd name="T17" fmla="*/ T16 w 1679"/>
                                <a:gd name="T18" fmla="+- 0 104 40"/>
                                <a:gd name="T19" fmla="*/ 104 h 120"/>
                                <a:gd name="T20" fmla="+- 0 367 360"/>
                                <a:gd name="T21" fmla="*/ T20 w 1679"/>
                                <a:gd name="T22" fmla="+- 0 107 40"/>
                                <a:gd name="T23" fmla="*/ 107 h 120"/>
                                <a:gd name="T24" fmla="+- 0 1919 360"/>
                                <a:gd name="T25" fmla="*/ T24 w 1679"/>
                                <a:gd name="T26" fmla="+- 0 107 40"/>
                                <a:gd name="T27" fmla="*/ 107 h 120"/>
                                <a:gd name="T28" fmla="+- 0 1919 360"/>
                                <a:gd name="T29" fmla="*/ T28 w 1679"/>
                                <a:gd name="T30" fmla="+- 0 92 40"/>
                                <a:gd name="T31" fmla="*/ 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79" h="120">
                                  <a:moveTo>
                                    <a:pt x="1559" y="52"/>
                                  </a:moveTo>
                                  <a:lnTo>
                                    <a:pt x="7" y="52"/>
                                  </a:lnTo>
                                  <a:lnTo>
                                    <a:pt x="3" y="55"/>
                                  </a:lnTo>
                                  <a:lnTo>
                                    <a:pt x="0" y="60"/>
                                  </a:lnTo>
                                  <a:lnTo>
                                    <a:pt x="3" y="64"/>
                                  </a:lnTo>
                                  <a:lnTo>
                                    <a:pt x="7" y="67"/>
                                  </a:lnTo>
                                  <a:lnTo>
                                    <a:pt x="1559" y="67"/>
                                  </a:lnTo>
                                  <a:lnTo>
                                    <a:pt x="1559" y="52"/>
                                  </a:lnTo>
                                  <a:close/>
                                </a:path>
                              </a:pathLst>
                            </a:custGeom>
                            <a:solidFill>
                              <a:srgbClr val="000000"/>
                            </a:solidFill>
                            <a:ln>
                              <a:noFill/>
                            </a:ln>
                          </wps:spPr>
                          <wps:bodyPr rot="0" vert="horz" wrap="square" lIns="91440" tIns="45720" rIns="91440" bIns="45720" anchor="t" anchorCtr="0" upright="1">
                            <a:noAutofit/>
                          </wps:bodyPr>
                        </wps:wsp>
                        <wps:wsp>
                          <wps:cNvPr id="498" name="Freeform 451"/>
                          <wps:cNvSpPr/>
                          <wps:spPr bwMode="auto">
                            <a:xfrm>
                              <a:off x="360" y="40"/>
                              <a:ext cx="1679" cy="120"/>
                            </a:xfrm>
                            <a:custGeom>
                              <a:avLst/>
                              <a:gdLst>
                                <a:gd name="T0" fmla="+- 0 2025 360"/>
                                <a:gd name="T1" fmla="*/ T0 w 1679"/>
                                <a:gd name="T2" fmla="+- 0 92 40"/>
                                <a:gd name="T3" fmla="*/ 92 h 120"/>
                                <a:gd name="T4" fmla="+- 0 1939 360"/>
                                <a:gd name="T5" fmla="*/ T4 w 1679"/>
                                <a:gd name="T6" fmla="+- 0 92 40"/>
                                <a:gd name="T7" fmla="*/ 92 h 120"/>
                                <a:gd name="T8" fmla="+- 0 1944 360"/>
                                <a:gd name="T9" fmla="*/ T8 w 1679"/>
                                <a:gd name="T10" fmla="+- 0 95 40"/>
                                <a:gd name="T11" fmla="*/ 95 h 120"/>
                                <a:gd name="T12" fmla="+- 0 1947 360"/>
                                <a:gd name="T13" fmla="*/ T12 w 1679"/>
                                <a:gd name="T14" fmla="+- 0 100 40"/>
                                <a:gd name="T15" fmla="*/ 100 h 120"/>
                                <a:gd name="T16" fmla="+- 0 1944 360"/>
                                <a:gd name="T17" fmla="*/ T16 w 1679"/>
                                <a:gd name="T18" fmla="+- 0 104 40"/>
                                <a:gd name="T19" fmla="*/ 104 h 120"/>
                                <a:gd name="T20" fmla="+- 0 1939 360"/>
                                <a:gd name="T21" fmla="*/ T20 w 1679"/>
                                <a:gd name="T22" fmla="+- 0 107 40"/>
                                <a:gd name="T23" fmla="*/ 107 h 120"/>
                                <a:gd name="T24" fmla="+- 0 2025 360"/>
                                <a:gd name="T25" fmla="*/ T24 w 1679"/>
                                <a:gd name="T26" fmla="+- 0 107 40"/>
                                <a:gd name="T27" fmla="*/ 107 h 120"/>
                                <a:gd name="T28" fmla="+- 0 2039 360"/>
                                <a:gd name="T29" fmla="*/ T28 w 1679"/>
                                <a:gd name="T30" fmla="+- 0 100 40"/>
                                <a:gd name="T31" fmla="*/ 100 h 120"/>
                                <a:gd name="T32" fmla="+- 0 2025 360"/>
                                <a:gd name="T33" fmla="*/ T32 w 1679"/>
                                <a:gd name="T34" fmla="+- 0 92 40"/>
                                <a:gd name="T35" fmla="*/ 9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79" h="120">
                                  <a:moveTo>
                                    <a:pt x="1665" y="52"/>
                                  </a:moveTo>
                                  <a:lnTo>
                                    <a:pt x="1579" y="52"/>
                                  </a:lnTo>
                                  <a:lnTo>
                                    <a:pt x="1584" y="55"/>
                                  </a:lnTo>
                                  <a:lnTo>
                                    <a:pt x="1587" y="60"/>
                                  </a:lnTo>
                                  <a:lnTo>
                                    <a:pt x="1584" y="64"/>
                                  </a:lnTo>
                                  <a:lnTo>
                                    <a:pt x="1579" y="67"/>
                                  </a:lnTo>
                                  <a:lnTo>
                                    <a:pt x="1665" y="67"/>
                                  </a:lnTo>
                                  <a:lnTo>
                                    <a:pt x="1679" y="60"/>
                                  </a:lnTo>
                                  <a:lnTo>
                                    <a:pt x="1665" y="52"/>
                                  </a:lnTo>
                                  <a:close/>
                                </a:path>
                              </a:pathLst>
                            </a:custGeom>
                            <a:solidFill>
                              <a:srgbClr val="000000"/>
                            </a:solidFill>
                            <a:ln>
                              <a:noFill/>
                            </a:ln>
                          </wps:spPr>
                          <wps:bodyPr rot="0" vert="horz" wrap="square" lIns="91440" tIns="45720" rIns="91440" bIns="45720" anchor="t" anchorCtr="0" upright="1">
                            <a:noAutofit/>
                          </wps:bodyPr>
                        </wps:wsp>
                      </wpg:grpSp>
                      <wpg:grpSp>
                        <wpg:cNvPr id="499" name="Group 452"/>
                        <wpg:cNvGrpSpPr/>
                        <wpg:grpSpPr>
                          <a:xfrm>
                            <a:off x="368" y="88"/>
                            <a:ext cx="2" cy="900"/>
                            <a:chOff x="368" y="88"/>
                            <a:chExt cx="2" cy="900"/>
                          </a:xfrm>
                        </wpg:grpSpPr>
                        <wps:wsp>
                          <wps:cNvPr id="500" name="Freeform 453"/>
                          <wps:cNvSpPr/>
                          <wps:spPr bwMode="auto">
                            <a:xfrm>
                              <a:off x="368" y="88"/>
                              <a:ext cx="2" cy="900"/>
                            </a:xfrm>
                            <a:custGeom>
                              <a:avLst/>
                              <a:gdLst>
                                <a:gd name="T0" fmla="+- 0 88 88"/>
                                <a:gd name="T1" fmla="*/ 88 h 900"/>
                                <a:gd name="T2" fmla="+- 0 988 88"/>
                                <a:gd name="T3" fmla="*/ 988 h 900"/>
                              </a:gdLst>
                              <a:ahLst/>
                              <a:cxnLst>
                                <a:cxn ang="0">
                                  <a:pos x="0" y="T1"/>
                                </a:cxn>
                                <a:cxn ang="0">
                                  <a:pos x="0" y="T3"/>
                                </a:cxn>
                              </a:cxnLst>
                              <a:rect l="0" t="0" r="r" b="b"/>
                              <a:pathLst>
                                <a:path h="900">
                                  <a:moveTo>
                                    <a:pt x="0" y="0"/>
                                  </a:moveTo>
                                  <a:lnTo>
                                    <a:pt x="0" y="900"/>
                                  </a:lnTo>
                                </a:path>
                              </a:pathLst>
                            </a:custGeom>
                            <a:noFill/>
                            <a:ln w="9525">
                              <a:solidFill>
                                <a:srgbClr val="000000"/>
                              </a:solidFill>
                              <a:round/>
                            </a:ln>
                          </wps:spPr>
                          <wps:bodyPr rot="0" vert="horz" wrap="square" lIns="91440" tIns="45720" rIns="91440" bIns="45720" anchor="t" anchorCtr="0" upright="1">
                            <a:noAutofit/>
                          </wps:bodyPr>
                        </wps:wsp>
                      </wpg:grpSp>
                      <wpg:grpSp>
                        <wpg:cNvPr id="501" name="Group 454"/>
                        <wpg:cNvGrpSpPr/>
                        <wpg:grpSpPr>
                          <a:xfrm>
                            <a:off x="6428" y="1972"/>
                            <a:ext cx="120" cy="549"/>
                            <a:chOff x="6428" y="1972"/>
                            <a:chExt cx="120" cy="549"/>
                          </a:xfrm>
                        </wpg:grpSpPr>
                        <wps:wsp>
                          <wps:cNvPr id="502" name="Freeform 455"/>
                          <wps:cNvSpPr/>
                          <wps:spPr bwMode="auto">
                            <a:xfrm>
                              <a:off x="6428" y="1972"/>
                              <a:ext cx="120" cy="549"/>
                            </a:xfrm>
                            <a:custGeom>
                              <a:avLst/>
                              <a:gdLst>
                                <a:gd name="T0" fmla="+- 0 6480 6428"/>
                                <a:gd name="T1" fmla="*/ T0 w 120"/>
                                <a:gd name="T2" fmla="+- 0 2400 1972"/>
                                <a:gd name="T3" fmla="*/ 2400 h 549"/>
                                <a:gd name="T4" fmla="+- 0 6428 6428"/>
                                <a:gd name="T5" fmla="*/ T4 w 120"/>
                                <a:gd name="T6" fmla="+- 0 2400 1972"/>
                                <a:gd name="T7" fmla="*/ 2400 h 549"/>
                                <a:gd name="T8" fmla="+- 0 6488 6428"/>
                                <a:gd name="T9" fmla="*/ T8 w 120"/>
                                <a:gd name="T10" fmla="+- 0 2520 1972"/>
                                <a:gd name="T11" fmla="*/ 2520 h 549"/>
                                <a:gd name="T12" fmla="+- 0 6534 6428"/>
                                <a:gd name="T13" fmla="*/ T12 w 120"/>
                                <a:gd name="T14" fmla="+- 0 2428 1972"/>
                                <a:gd name="T15" fmla="*/ 2428 h 549"/>
                                <a:gd name="T16" fmla="+- 0 6488 6428"/>
                                <a:gd name="T17" fmla="*/ T16 w 120"/>
                                <a:gd name="T18" fmla="+- 0 2428 1972"/>
                                <a:gd name="T19" fmla="*/ 2428 h 549"/>
                                <a:gd name="T20" fmla="+- 0 6483 6428"/>
                                <a:gd name="T21" fmla="*/ T20 w 120"/>
                                <a:gd name="T22" fmla="+- 0 2425 1972"/>
                                <a:gd name="T23" fmla="*/ 2425 h 549"/>
                                <a:gd name="T24" fmla="+- 0 6480 6428"/>
                                <a:gd name="T25" fmla="*/ T24 w 120"/>
                                <a:gd name="T26" fmla="+- 0 2419 1972"/>
                                <a:gd name="T27" fmla="*/ 2419 h 549"/>
                                <a:gd name="T28" fmla="+- 0 6480 6428"/>
                                <a:gd name="T29" fmla="*/ T28 w 120"/>
                                <a:gd name="T30" fmla="+- 0 2400 1972"/>
                                <a:gd name="T31" fmla="*/ 2400 h 5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9">
                                  <a:moveTo>
                                    <a:pt x="52" y="428"/>
                                  </a:moveTo>
                                  <a:lnTo>
                                    <a:pt x="0" y="428"/>
                                  </a:lnTo>
                                  <a:lnTo>
                                    <a:pt x="60" y="548"/>
                                  </a:lnTo>
                                  <a:lnTo>
                                    <a:pt x="106" y="456"/>
                                  </a:lnTo>
                                  <a:lnTo>
                                    <a:pt x="60" y="456"/>
                                  </a:lnTo>
                                  <a:lnTo>
                                    <a:pt x="55" y="453"/>
                                  </a:lnTo>
                                  <a:lnTo>
                                    <a:pt x="52" y="447"/>
                                  </a:lnTo>
                                  <a:lnTo>
                                    <a:pt x="52" y="428"/>
                                  </a:lnTo>
                                  <a:close/>
                                </a:path>
                              </a:pathLst>
                            </a:custGeom>
                            <a:solidFill>
                              <a:srgbClr val="000000"/>
                            </a:solidFill>
                            <a:ln>
                              <a:noFill/>
                            </a:ln>
                          </wps:spPr>
                          <wps:bodyPr rot="0" vert="horz" wrap="square" lIns="91440" tIns="45720" rIns="91440" bIns="45720" anchor="t" anchorCtr="0" upright="1">
                            <a:noAutofit/>
                          </wps:bodyPr>
                        </wps:wsp>
                        <wps:wsp>
                          <wps:cNvPr id="503" name="Freeform 456"/>
                          <wps:cNvSpPr/>
                          <wps:spPr bwMode="auto">
                            <a:xfrm>
                              <a:off x="6428" y="1972"/>
                              <a:ext cx="120" cy="549"/>
                            </a:xfrm>
                            <a:custGeom>
                              <a:avLst/>
                              <a:gdLst>
                                <a:gd name="T0" fmla="+- 0 6488 6428"/>
                                <a:gd name="T1" fmla="*/ T0 w 120"/>
                                <a:gd name="T2" fmla="+- 0 1972 1972"/>
                                <a:gd name="T3" fmla="*/ 1972 h 549"/>
                                <a:gd name="T4" fmla="+- 0 6483 6428"/>
                                <a:gd name="T5" fmla="*/ T4 w 120"/>
                                <a:gd name="T6" fmla="+- 0 1974 1972"/>
                                <a:gd name="T7" fmla="*/ 1974 h 549"/>
                                <a:gd name="T8" fmla="+- 0 6480 6428"/>
                                <a:gd name="T9" fmla="*/ T8 w 120"/>
                                <a:gd name="T10" fmla="+- 0 1980 1972"/>
                                <a:gd name="T11" fmla="*/ 1980 h 549"/>
                                <a:gd name="T12" fmla="+- 0 6480 6428"/>
                                <a:gd name="T13" fmla="*/ T12 w 120"/>
                                <a:gd name="T14" fmla="+- 0 2419 1972"/>
                                <a:gd name="T15" fmla="*/ 2419 h 549"/>
                                <a:gd name="T16" fmla="+- 0 6483 6428"/>
                                <a:gd name="T17" fmla="*/ T16 w 120"/>
                                <a:gd name="T18" fmla="+- 0 2425 1972"/>
                                <a:gd name="T19" fmla="*/ 2425 h 549"/>
                                <a:gd name="T20" fmla="+- 0 6488 6428"/>
                                <a:gd name="T21" fmla="*/ T20 w 120"/>
                                <a:gd name="T22" fmla="+- 0 2428 1972"/>
                                <a:gd name="T23" fmla="*/ 2428 h 549"/>
                                <a:gd name="T24" fmla="+- 0 6494 6428"/>
                                <a:gd name="T25" fmla="*/ T24 w 120"/>
                                <a:gd name="T26" fmla="+- 0 2425 1972"/>
                                <a:gd name="T27" fmla="*/ 2425 h 549"/>
                                <a:gd name="T28" fmla="+- 0 6496 6428"/>
                                <a:gd name="T29" fmla="*/ T28 w 120"/>
                                <a:gd name="T30" fmla="+- 0 2419 1972"/>
                                <a:gd name="T31" fmla="*/ 2419 h 549"/>
                                <a:gd name="T32" fmla="+- 0 6496 6428"/>
                                <a:gd name="T33" fmla="*/ T32 w 120"/>
                                <a:gd name="T34" fmla="+- 0 1980 1972"/>
                                <a:gd name="T35" fmla="*/ 1980 h 549"/>
                                <a:gd name="T36" fmla="+- 0 6494 6428"/>
                                <a:gd name="T37" fmla="*/ T36 w 120"/>
                                <a:gd name="T38" fmla="+- 0 1974 1972"/>
                                <a:gd name="T39" fmla="*/ 1974 h 549"/>
                                <a:gd name="T40" fmla="+- 0 6488 6428"/>
                                <a:gd name="T41" fmla="*/ T40 w 120"/>
                                <a:gd name="T42" fmla="+- 0 1972 1972"/>
                                <a:gd name="T43" fmla="*/ 197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9">
                                  <a:moveTo>
                                    <a:pt x="60" y="0"/>
                                  </a:moveTo>
                                  <a:lnTo>
                                    <a:pt x="55" y="2"/>
                                  </a:lnTo>
                                  <a:lnTo>
                                    <a:pt x="52" y="8"/>
                                  </a:lnTo>
                                  <a:lnTo>
                                    <a:pt x="52" y="447"/>
                                  </a:lnTo>
                                  <a:lnTo>
                                    <a:pt x="55" y="453"/>
                                  </a:lnTo>
                                  <a:lnTo>
                                    <a:pt x="60" y="456"/>
                                  </a:lnTo>
                                  <a:lnTo>
                                    <a:pt x="66" y="453"/>
                                  </a:lnTo>
                                  <a:lnTo>
                                    <a:pt x="68" y="447"/>
                                  </a:lnTo>
                                  <a:lnTo>
                                    <a:pt x="68" y="8"/>
                                  </a:lnTo>
                                  <a:lnTo>
                                    <a:pt x="66" y="2"/>
                                  </a:lnTo>
                                  <a:lnTo>
                                    <a:pt x="60" y="0"/>
                                  </a:lnTo>
                                  <a:close/>
                                </a:path>
                              </a:pathLst>
                            </a:custGeom>
                            <a:solidFill>
                              <a:srgbClr val="000000"/>
                            </a:solidFill>
                            <a:ln>
                              <a:noFill/>
                            </a:ln>
                          </wps:spPr>
                          <wps:bodyPr rot="0" vert="horz" wrap="square" lIns="91440" tIns="45720" rIns="91440" bIns="45720" anchor="t" anchorCtr="0" upright="1">
                            <a:noAutofit/>
                          </wps:bodyPr>
                        </wps:wsp>
                        <wps:wsp>
                          <wps:cNvPr id="504" name="Freeform 457"/>
                          <wps:cNvSpPr/>
                          <wps:spPr bwMode="auto">
                            <a:xfrm>
                              <a:off x="6428" y="1972"/>
                              <a:ext cx="120" cy="549"/>
                            </a:xfrm>
                            <a:custGeom>
                              <a:avLst/>
                              <a:gdLst>
                                <a:gd name="T0" fmla="+- 0 6548 6428"/>
                                <a:gd name="T1" fmla="*/ T0 w 120"/>
                                <a:gd name="T2" fmla="+- 0 2400 1972"/>
                                <a:gd name="T3" fmla="*/ 2400 h 549"/>
                                <a:gd name="T4" fmla="+- 0 6496 6428"/>
                                <a:gd name="T5" fmla="*/ T4 w 120"/>
                                <a:gd name="T6" fmla="+- 0 2400 1972"/>
                                <a:gd name="T7" fmla="*/ 2400 h 549"/>
                                <a:gd name="T8" fmla="+- 0 6496 6428"/>
                                <a:gd name="T9" fmla="*/ T8 w 120"/>
                                <a:gd name="T10" fmla="+- 0 2419 1972"/>
                                <a:gd name="T11" fmla="*/ 2419 h 549"/>
                                <a:gd name="T12" fmla="+- 0 6494 6428"/>
                                <a:gd name="T13" fmla="*/ T12 w 120"/>
                                <a:gd name="T14" fmla="+- 0 2425 1972"/>
                                <a:gd name="T15" fmla="*/ 2425 h 549"/>
                                <a:gd name="T16" fmla="+- 0 6488 6428"/>
                                <a:gd name="T17" fmla="*/ T16 w 120"/>
                                <a:gd name="T18" fmla="+- 0 2428 1972"/>
                                <a:gd name="T19" fmla="*/ 2428 h 549"/>
                                <a:gd name="T20" fmla="+- 0 6534 6428"/>
                                <a:gd name="T21" fmla="*/ T20 w 120"/>
                                <a:gd name="T22" fmla="+- 0 2428 1972"/>
                                <a:gd name="T23" fmla="*/ 2428 h 549"/>
                                <a:gd name="T24" fmla="+- 0 6548 6428"/>
                                <a:gd name="T25" fmla="*/ T24 w 120"/>
                                <a:gd name="T26" fmla="+- 0 2400 1972"/>
                                <a:gd name="T27" fmla="*/ 2400 h 549"/>
                              </a:gdLst>
                              <a:ahLst/>
                              <a:cxnLst>
                                <a:cxn ang="0">
                                  <a:pos x="T1" y="T3"/>
                                </a:cxn>
                                <a:cxn ang="0">
                                  <a:pos x="T5" y="T7"/>
                                </a:cxn>
                                <a:cxn ang="0">
                                  <a:pos x="T9" y="T11"/>
                                </a:cxn>
                                <a:cxn ang="0">
                                  <a:pos x="T13" y="T15"/>
                                </a:cxn>
                                <a:cxn ang="0">
                                  <a:pos x="T17" y="T19"/>
                                </a:cxn>
                                <a:cxn ang="0">
                                  <a:pos x="T21" y="T23"/>
                                </a:cxn>
                                <a:cxn ang="0">
                                  <a:pos x="T25" y="T27"/>
                                </a:cxn>
                              </a:cxnLst>
                              <a:rect l="0" t="0" r="r" b="b"/>
                              <a:pathLst>
                                <a:path w="120" h="549">
                                  <a:moveTo>
                                    <a:pt x="120" y="428"/>
                                  </a:moveTo>
                                  <a:lnTo>
                                    <a:pt x="68" y="428"/>
                                  </a:lnTo>
                                  <a:lnTo>
                                    <a:pt x="68" y="447"/>
                                  </a:lnTo>
                                  <a:lnTo>
                                    <a:pt x="66" y="453"/>
                                  </a:lnTo>
                                  <a:lnTo>
                                    <a:pt x="60" y="456"/>
                                  </a:lnTo>
                                  <a:lnTo>
                                    <a:pt x="106" y="456"/>
                                  </a:lnTo>
                                  <a:lnTo>
                                    <a:pt x="120" y="428"/>
                                  </a:lnTo>
                                  <a:close/>
                                </a:path>
                              </a:pathLst>
                            </a:custGeom>
                            <a:solidFill>
                              <a:srgbClr val="000000"/>
                            </a:solidFill>
                            <a:ln>
                              <a:noFill/>
                            </a:ln>
                          </wps:spPr>
                          <wps:bodyPr rot="0" vert="horz" wrap="square" lIns="91440" tIns="45720" rIns="91440" bIns="45720" anchor="t" anchorCtr="0" upright="1">
                            <a:noAutofit/>
                          </wps:bodyPr>
                        </wps:wsp>
                      </wpg:grpSp>
                      <wpg:grpSp>
                        <wpg:cNvPr id="505" name="Group 458"/>
                        <wpg:cNvGrpSpPr/>
                        <wpg:grpSpPr>
                          <a:xfrm>
                            <a:off x="2708" y="2520"/>
                            <a:ext cx="6300" cy="540"/>
                            <a:chOff x="2708" y="2520"/>
                            <a:chExt cx="6300" cy="540"/>
                          </a:xfrm>
                        </wpg:grpSpPr>
                        <wps:wsp>
                          <wps:cNvPr id="506" name="Freeform 459"/>
                          <wps:cNvSpPr/>
                          <wps:spPr bwMode="auto">
                            <a:xfrm>
                              <a:off x="2708" y="2520"/>
                              <a:ext cx="6300" cy="540"/>
                            </a:xfrm>
                            <a:custGeom>
                              <a:avLst/>
                              <a:gdLst>
                                <a:gd name="T0" fmla="+- 0 9008 2708"/>
                                <a:gd name="T1" fmla="*/ T0 w 6300"/>
                                <a:gd name="T2" fmla="+- 0 2520 2520"/>
                                <a:gd name="T3" fmla="*/ 2520 h 540"/>
                                <a:gd name="T4" fmla="+- 0 2708 2708"/>
                                <a:gd name="T5" fmla="*/ T4 w 6300"/>
                                <a:gd name="T6" fmla="+- 0 2520 2520"/>
                                <a:gd name="T7" fmla="*/ 2520 h 540"/>
                                <a:gd name="T8" fmla="+- 0 2708 2708"/>
                                <a:gd name="T9" fmla="*/ T8 w 6300"/>
                                <a:gd name="T10" fmla="+- 0 3060 2520"/>
                                <a:gd name="T11" fmla="*/ 3060 h 540"/>
                                <a:gd name="T12" fmla="+- 0 9008 2708"/>
                                <a:gd name="T13" fmla="*/ T12 w 6300"/>
                                <a:gd name="T14" fmla="+- 0 3060 2520"/>
                                <a:gd name="T15" fmla="*/ 3060 h 540"/>
                                <a:gd name="T16" fmla="+- 0 9008 2708"/>
                                <a:gd name="T17" fmla="*/ T16 w 6300"/>
                                <a:gd name="T18" fmla="+- 0 2520 2520"/>
                                <a:gd name="T19" fmla="*/ 2520 h 540"/>
                              </a:gdLst>
                              <a:ahLst/>
                              <a:cxnLst>
                                <a:cxn ang="0">
                                  <a:pos x="T1" y="T3"/>
                                </a:cxn>
                                <a:cxn ang="0">
                                  <a:pos x="T5" y="T7"/>
                                </a:cxn>
                                <a:cxn ang="0">
                                  <a:pos x="T9" y="T11"/>
                                </a:cxn>
                                <a:cxn ang="0">
                                  <a:pos x="T13" y="T15"/>
                                </a:cxn>
                                <a:cxn ang="0">
                                  <a:pos x="T17" y="T19"/>
                                </a:cxn>
                              </a:cxnLst>
                              <a:rect l="0" t="0" r="r" b="b"/>
                              <a:pathLst>
                                <a:path w="6300" h="540">
                                  <a:moveTo>
                                    <a:pt x="6300" y="0"/>
                                  </a:moveTo>
                                  <a:lnTo>
                                    <a:pt x="0" y="0"/>
                                  </a:lnTo>
                                  <a:lnTo>
                                    <a:pt x="0" y="540"/>
                                  </a:lnTo>
                                  <a:lnTo>
                                    <a:pt x="6300" y="540"/>
                                  </a:lnTo>
                                  <a:lnTo>
                                    <a:pt x="6300" y="0"/>
                                  </a:lnTo>
                                  <a:close/>
                                </a:path>
                              </a:pathLst>
                            </a:custGeom>
                            <a:noFill/>
                            <a:ln w="9525">
                              <a:solidFill>
                                <a:srgbClr val="000000"/>
                              </a:solidFill>
                              <a:round/>
                            </a:ln>
                          </wps:spPr>
                          <wps:bodyPr rot="0" vert="horz" wrap="square" lIns="91440" tIns="45720" rIns="91440" bIns="45720" anchor="t" anchorCtr="0" upright="1">
                            <a:noAutofit/>
                          </wps:bodyPr>
                        </wps:wsp>
                      </wpg:grpSp>
                      <wpg:grpSp>
                        <wpg:cNvPr id="507" name="Group 460"/>
                        <wpg:cNvGrpSpPr/>
                        <wpg:grpSpPr>
                          <a:xfrm>
                            <a:off x="1088" y="2798"/>
                            <a:ext cx="2" cy="360"/>
                            <a:chOff x="1088" y="2798"/>
                            <a:chExt cx="2" cy="360"/>
                          </a:xfrm>
                        </wpg:grpSpPr>
                        <wps:wsp>
                          <wps:cNvPr id="508" name="Freeform 461"/>
                          <wps:cNvSpPr/>
                          <wps:spPr bwMode="auto">
                            <a:xfrm>
                              <a:off x="1088" y="2798"/>
                              <a:ext cx="2" cy="360"/>
                            </a:xfrm>
                            <a:custGeom>
                              <a:avLst/>
                              <a:gdLst>
                                <a:gd name="T0" fmla="+- 0 3158 2798"/>
                                <a:gd name="T1" fmla="*/ 3158 h 360"/>
                                <a:gd name="T2" fmla="+- 0 2798 2798"/>
                                <a:gd name="T3" fmla="*/ 2798 h 360"/>
                              </a:gdLst>
                              <a:ahLst/>
                              <a:cxnLst>
                                <a:cxn ang="0">
                                  <a:pos x="0" y="T1"/>
                                </a:cxn>
                                <a:cxn ang="0">
                                  <a:pos x="0" y="T3"/>
                                </a:cxn>
                              </a:cxnLst>
                              <a:rect l="0" t="0" r="r" b="b"/>
                              <a:pathLst>
                                <a:path h="360">
                                  <a:moveTo>
                                    <a:pt x="0" y="360"/>
                                  </a:moveTo>
                                  <a:lnTo>
                                    <a:pt x="0" y="0"/>
                                  </a:lnTo>
                                </a:path>
                              </a:pathLst>
                            </a:custGeom>
                            <a:noFill/>
                            <a:ln w="9525">
                              <a:solidFill>
                                <a:srgbClr val="000000"/>
                              </a:solidFill>
                              <a:round/>
                            </a:ln>
                          </wps:spPr>
                          <wps:bodyPr rot="0" vert="horz" wrap="square" lIns="91440" tIns="45720" rIns="91440" bIns="45720" anchor="t" anchorCtr="0" upright="1">
                            <a:noAutofit/>
                          </wps:bodyPr>
                        </wps:wsp>
                      </wpg:grpSp>
                      <wpg:grpSp>
                        <wpg:cNvPr id="509" name="Group 462"/>
                        <wpg:cNvGrpSpPr/>
                        <wpg:grpSpPr>
                          <a:xfrm>
                            <a:off x="1080" y="2738"/>
                            <a:ext cx="1679" cy="120"/>
                            <a:chOff x="1080" y="2738"/>
                            <a:chExt cx="1679" cy="120"/>
                          </a:xfrm>
                        </wpg:grpSpPr>
                        <wps:wsp>
                          <wps:cNvPr id="510" name="Freeform 463"/>
                          <wps:cNvSpPr/>
                          <wps:spPr bwMode="auto">
                            <a:xfrm>
                              <a:off x="1080" y="2738"/>
                              <a:ext cx="1679" cy="120"/>
                            </a:xfrm>
                            <a:custGeom>
                              <a:avLst/>
                              <a:gdLst>
                                <a:gd name="T0" fmla="+- 0 2639 1080"/>
                                <a:gd name="T1" fmla="*/ T0 w 1679"/>
                                <a:gd name="T2" fmla="+- 0 2738 2738"/>
                                <a:gd name="T3" fmla="*/ 2738 h 120"/>
                                <a:gd name="T4" fmla="+- 0 2639 1080"/>
                                <a:gd name="T5" fmla="*/ T4 w 1679"/>
                                <a:gd name="T6" fmla="+- 0 2858 2738"/>
                                <a:gd name="T7" fmla="*/ 2858 h 120"/>
                                <a:gd name="T8" fmla="+- 0 2745 1080"/>
                                <a:gd name="T9" fmla="*/ T8 w 1679"/>
                                <a:gd name="T10" fmla="+- 0 2806 2738"/>
                                <a:gd name="T11" fmla="*/ 2806 h 120"/>
                                <a:gd name="T12" fmla="+- 0 2659 1080"/>
                                <a:gd name="T13" fmla="*/ T12 w 1679"/>
                                <a:gd name="T14" fmla="+- 0 2806 2738"/>
                                <a:gd name="T15" fmla="*/ 2806 h 120"/>
                                <a:gd name="T16" fmla="+- 0 2664 1080"/>
                                <a:gd name="T17" fmla="*/ T16 w 1679"/>
                                <a:gd name="T18" fmla="+- 0 2804 2738"/>
                                <a:gd name="T19" fmla="*/ 2804 h 120"/>
                                <a:gd name="T20" fmla="+- 0 2667 1080"/>
                                <a:gd name="T21" fmla="*/ T20 w 1679"/>
                                <a:gd name="T22" fmla="+- 0 2798 2738"/>
                                <a:gd name="T23" fmla="*/ 2798 h 120"/>
                                <a:gd name="T24" fmla="+- 0 2664 1080"/>
                                <a:gd name="T25" fmla="*/ T24 w 1679"/>
                                <a:gd name="T26" fmla="+- 0 2794 2738"/>
                                <a:gd name="T27" fmla="*/ 2794 h 120"/>
                                <a:gd name="T28" fmla="+- 0 2659 1080"/>
                                <a:gd name="T29" fmla="*/ T28 w 1679"/>
                                <a:gd name="T30" fmla="+- 0 2791 2738"/>
                                <a:gd name="T31" fmla="*/ 2791 h 120"/>
                                <a:gd name="T32" fmla="+- 0 2745 1080"/>
                                <a:gd name="T33" fmla="*/ T32 w 1679"/>
                                <a:gd name="T34" fmla="+- 0 2791 2738"/>
                                <a:gd name="T35" fmla="*/ 2791 h 120"/>
                                <a:gd name="T36" fmla="+- 0 2639 1080"/>
                                <a:gd name="T37" fmla="*/ T36 w 1679"/>
                                <a:gd name="T38" fmla="+- 0 2738 2738"/>
                                <a:gd name="T39" fmla="*/ 273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9" h="120">
                                  <a:moveTo>
                                    <a:pt x="1559" y="0"/>
                                  </a:moveTo>
                                  <a:lnTo>
                                    <a:pt x="1559" y="120"/>
                                  </a:lnTo>
                                  <a:lnTo>
                                    <a:pt x="1665" y="68"/>
                                  </a:lnTo>
                                  <a:lnTo>
                                    <a:pt x="1579" y="68"/>
                                  </a:lnTo>
                                  <a:lnTo>
                                    <a:pt x="1584" y="66"/>
                                  </a:lnTo>
                                  <a:lnTo>
                                    <a:pt x="1587" y="60"/>
                                  </a:lnTo>
                                  <a:lnTo>
                                    <a:pt x="1584" y="56"/>
                                  </a:lnTo>
                                  <a:lnTo>
                                    <a:pt x="1579" y="53"/>
                                  </a:lnTo>
                                  <a:lnTo>
                                    <a:pt x="1665" y="53"/>
                                  </a:lnTo>
                                  <a:lnTo>
                                    <a:pt x="1559" y="0"/>
                                  </a:lnTo>
                                  <a:close/>
                                </a:path>
                              </a:pathLst>
                            </a:custGeom>
                            <a:solidFill>
                              <a:srgbClr val="000000"/>
                            </a:solidFill>
                            <a:ln>
                              <a:noFill/>
                            </a:ln>
                          </wps:spPr>
                          <wps:bodyPr rot="0" vert="horz" wrap="square" lIns="91440" tIns="45720" rIns="91440" bIns="45720" anchor="t" anchorCtr="0" upright="1">
                            <a:noAutofit/>
                          </wps:bodyPr>
                        </wps:wsp>
                        <wps:wsp>
                          <wps:cNvPr id="511" name="Freeform 464"/>
                          <wps:cNvSpPr/>
                          <wps:spPr bwMode="auto">
                            <a:xfrm>
                              <a:off x="1080" y="2738"/>
                              <a:ext cx="1679" cy="120"/>
                            </a:xfrm>
                            <a:custGeom>
                              <a:avLst/>
                              <a:gdLst>
                                <a:gd name="T0" fmla="+- 0 2639 1080"/>
                                <a:gd name="T1" fmla="*/ T0 w 1679"/>
                                <a:gd name="T2" fmla="+- 0 2791 2738"/>
                                <a:gd name="T3" fmla="*/ 2791 h 120"/>
                                <a:gd name="T4" fmla="+- 0 1087 1080"/>
                                <a:gd name="T5" fmla="*/ T4 w 1679"/>
                                <a:gd name="T6" fmla="+- 0 2791 2738"/>
                                <a:gd name="T7" fmla="*/ 2791 h 120"/>
                                <a:gd name="T8" fmla="+- 0 1083 1080"/>
                                <a:gd name="T9" fmla="*/ T8 w 1679"/>
                                <a:gd name="T10" fmla="+- 0 2794 2738"/>
                                <a:gd name="T11" fmla="*/ 2794 h 120"/>
                                <a:gd name="T12" fmla="+- 0 1080 1080"/>
                                <a:gd name="T13" fmla="*/ T12 w 1679"/>
                                <a:gd name="T14" fmla="+- 0 2798 2738"/>
                                <a:gd name="T15" fmla="*/ 2798 h 120"/>
                                <a:gd name="T16" fmla="+- 0 1083 1080"/>
                                <a:gd name="T17" fmla="*/ T16 w 1679"/>
                                <a:gd name="T18" fmla="+- 0 2804 2738"/>
                                <a:gd name="T19" fmla="*/ 2804 h 120"/>
                                <a:gd name="T20" fmla="+- 0 1087 1080"/>
                                <a:gd name="T21" fmla="*/ T20 w 1679"/>
                                <a:gd name="T22" fmla="+- 0 2806 2738"/>
                                <a:gd name="T23" fmla="*/ 2806 h 120"/>
                                <a:gd name="T24" fmla="+- 0 2639 1080"/>
                                <a:gd name="T25" fmla="*/ T24 w 1679"/>
                                <a:gd name="T26" fmla="+- 0 2806 2738"/>
                                <a:gd name="T27" fmla="*/ 2806 h 120"/>
                                <a:gd name="T28" fmla="+- 0 2639 1080"/>
                                <a:gd name="T29" fmla="*/ T28 w 1679"/>
                                <a:gd name="T30" fmla="+- 0 2791 2738"/>
                                <a:gd name="T31" fmla="*/ 2791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79" h="120">
                                  <a:moveTo>
                                    <a:pt x="1559" y="53"/>
                                  </a:moveTo>
                                  <a:lnTo>
                                    <a:pt x="7" y="53"/>
                                  </a:lnTo>
                                  <a:lnTo>
                                    <a:pt x="3" y="56"/>
                                  </a:lnTo>
                                  <a:lnTo>
                                    <a:pt x="0" y="60"/>
                                  </a:lnTo>
                                  <a:lnTo>
                                    <a:pt x="3" y="66"/>
                                  </a:lnTo>
                                  <a:lnTo>
                                    <a:pt x="7" y="68"/>
                                  </a:lnTo>
                                  <a:lnTo>
                                    <a:pt x="1559" y="68"/>
                                  </a:lnTo>
                                  <a:lnTo>
                                    <a:pt x="1559" y="53"/>
                                  </a:lnTo>
                                  <a:close/>
                                </a:path>
                              </a:pathLst>
                            </a:custGeom>
                            <a:solidFill>
                              <a:srgbClr val="000000"/>
                            </a:solidFill>
                            <a:ln>
                              <a:noFill/>
                            </a:ln>
                          </wps:spPr>
                          <wps:bodyPr rot="0" vert="horz" wrap="square" lIns="91440" tIns="45720" rIns="91440" bIns="45720" anchor="t" anchorCtr="0" upright="1">
                            <a:noAutofit/>
                          </wps:bodyPr>
                        </wps:wsp>
                        <wps:wsp>
                          <wps:cNvPr id="512" name="Freeform 465"/>
                          <wps:cNvSpPr/>
                          <wps:spPr bwMode="auto">
                            <a:xfrm>
                              <a:off x="1080" y="2738"/>
                              <a:ext cx="1679" cy="120"/>
                            </a:xfrm>
                            <a:custGeom>
                              <a:avLst/>
                              <a:gdLst>
                                <a:gd name="T0" fmla="+- 0 2745 1080"/>
                                <a:gd name="T1" fmla="*/ T0 w 1679"/>
                                <a:gd name="T2" fmla="+- 0 2791 2738"/>
                                <a:gd name="T3" fmla="*/ 2791 h 120"/>
                                <a:gd name="T4" fmla="+- 0 2659 1080"/>
                                <a:gd name="T5" fmla="*/ T4 w 1679"/>
                                <a:gd name="T6" fmla="+- 0 2791 2738"/>
                                <a:gd name="T7" fmla="*/ 2791 h 120"/>
                                <a:gd name="T8" fmla="+- 0 2664 1080"/>
                                <a:gd name="T9" fmla="*/ T8 w 1679"/>
                                <a:gd name="T10" fmla="+- 0 2794 2738"/>
                                <a:gd name="T11" fmla="*/ 2794 h 120"/>
                                <a:gd name="T12" fmla="+- 0 2667 1080"/>
                                <a:gd name="T13" fmla="*/ T12 w 1679"/>
                                <a:gd name="T14" fmla="+- 0 2798 2738"/>
                                <a:gd name="T15" fmla="*/ 2798 h 120"/>
                                <a:gd name="T16" fmla="+- 0 2664 1080"/>
                                <a:gd name="T17" fmla="*/ T16 w 1679"/>
                                <a:gd name="T18" fmla="+- 0 2804 2738"/>
                                <a:gd name="T19" fmla="*/ 2804 h 120"/>
                                <a:gd name="T20" fmla="+- 0 2659 1080"/>
                                <a:gd name="T21" fmla="*/ T20 w 1679"/>
                                <a:gd name="T22" fmla="+- 0 2806 2738"/>
                                <a:gd name="T23" fmla="*/ 2806 h 120"/>
                                <a:gd name="T24" fmla="+- 0 2745 1080"/>
                                <a:gd name="T25" fmla="*/ T24 w 1679"/>
                                <a:gd name="T26" fmla="+- 0 2806 2738"/>
                                <a:gd name="T27" fmla="*/ 2806 h 120"/>
                                <a:gd name="T28" fmla="+- 0 2759 1080"/>
                                <a:gd name="T29" fmla="*/ T28 w 1679"/>
                                <a:gd name="T30" fmla="+- 0 2798 2738"/>
                                <a:gd name="T31" fmla="*/ 2798 h 120"/>
                                <a:gd name="T32" fmla="+- 0 2745 1080"/>
                                <a:gd name="T33" fmla="*/ T32 w 1679"/>
                                <a:gd name="T34" fmla="+- 0 2791 2738"/>
                                <a:gd name="T35" fmla="*/ 279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79" h="120">
                                  <a:moveTo>
                                    <a:pt x="1665" y="53"/>
                                  </a:moveTo>
                                  <a:lnTo>
                                    <a:pt x="1579" y="53"/>
                                  </a:lnTo>
                                  <a:lnTo>
                                    <a:pt x="1584" y="56"/>
                                  </a:lnTo>
                                  <a:lnTo>
                                    <a:pt x="1587" y="60"/>
                                  </a:lnTo>
                                  <a:lnTo>
                                    <a:pt x="1584" y="66"/>
                                  </a:lnTo>
                                  <a:lnTo>
                                    <a:pt x="1579" y="68"/>
                                  </a:lnTo>
                                  <a:lnTo>
                                    <a:pt x="1665" y="68"/>
                                  </a:lnTo>
                                  <a:lnTo>
                                    <a:pt x="1679" y="60"/>
                                  </a:lnTo>
                                  <a:lnTo>
                                    <a:pt x="1665" y="53"/>
                                  </a:lnTo>
                                  <a:close/>
                                </a:path>
                              </a:pathLst>
                            </a:custGeom>
                            <a:solidFill>
                              <a:srgbClr val="000000"/>
                            </a:solidFill>
                            <a:ln>
                              <a:noFill/>
                            </a:ln>
                          </wps:spPr>
                          <wps:bodyPr rot="0" vert="horz" wrap="square" lIns="91440" tIns="45720" rIns="91440" bIns="45720" anchor="t" anchorCtr="0" upright="1">
                            <a:noAutofit/>
                          </wps:bodyPr>
                        </wps:wsp>
                      </wpg:grpSp>
                      <wpg:grpSp>
                        <wpg:cNvPr id="513" name="Group 466"/>
                        <wpg:cNvGrpSpPr/>
                        <wpg:grpSpPr>
                          <a:xfrm>
                            <a:off x="4591" y="3539"/>
                            <a:ext cx="1005" cy="120"/>
                            <a:chOff x="4591" y="3539"/>
                            <a:chExt cx="1005" cy="120"/>
                          </a:xfrm>
                        </wpg:grpSpPr>
                        <wps:wsp>
                          <wps:cNvPr id="514" name="Freeform 467"/>
                          <wps:cNvSpPr/>
                          <wps:spPr bwMode="auto">
                            <a:xfrm>
                              <a:off x="4591" y="3539"/>
                              <a:ext cx="1005" cy="120"/>
                            </a:xfrm>
                            <a:custGeom>
                              <a:avLst/>
                              <a:gdLst>
                                <a:gd name="T0" fmla="+- 0 4711 4591"/>
                                <a:gd name="T1" fmla="*/ T0 w 1005"/>
                                <a:gd name="T2" fmla="+- 0 3539 3539"/>
                                <a:gd name="T3" fmla="*/ 3539 h 120"/>
                                <a:gd name="T4" fmla="+- 0 4591 4591"/>
                                <a:gd name="T5" fmla="*/ T4 w 1005"/>
                                <a:gd name="T6" fmla="+- 0 3599 3539"/>
                                <a:gd name="T7" fmla="*/ 3599 h 120"/>
                                <a:gd name="T8" fmla="+- 0 4711 4591"/>
                                <a:gd name="T9" fmla="*/ T8 w 1005"/>
                                <a:gd name="T10" fmla="+- 0 3659 3539"/>
                                <a:gd name="T11" fmla="*/ 3659 h 120"/>
                                <a:gd name="T12" fmla="+- 0 4711 4591"/>
                                <a:gd name="T13" fmla="*/ T12 w 1005"/>
                                <a:gd name="T14" fmla="+- 0 3606 3539"/>
                                <a:gd name="T15" fmla="*/ 3606 h 120"/>
                                <a:gd name="T16" fmla="+- 0 4691 4591"/>
                                <a:gd name="T17" fmla="*/ T16 w 1005"/>
                                <a:gd name="T18" fmla="+- 0 3606 3539"/>
                                <a:gd name="T19" fmla="*/ 3606 h 120"/>
                                <a:gd name="T20" fmla="+- 0 4686 4591"/>
                                <a:gd name="T21" fmla="*/ T20 w 1005"/>
                                <a:gd name="T22" fmla="+- 0 3604 3539"/>
                                <a:gd name="T23" fmla="*/ 3604 h 120"/>
                                <a:gd name="T24" fmla="+- 0 4684 4591"/>
                                <a:gd name="T25" fmla="*/ T24 w 1005"/>
                                <a:gd name="T26" fmla="+- 0 3599 3539"/>
                                <a:gd name="T27" fmla="*/ 3599 h 120"/>
                                <a:gd name="T28" fmla="+- 0 4686 4591"/>
                                <a:gd name="T29" fmla="*/ T28 w 1005"/>
                                <a:gd name="T30" fmla="+- 0 3593 3539"/>
                                <a:gd name="T31" fmla="*/ 3593 h 120"/>
                                <a:gd name="T32" fmla="+- 0 4691 4591"/>
                                <a:gd name="T33" fmla="*/ T32 w 1005"/>
                                <a:gd name="T34" fmla="+- 0 3592 3539"/>
                                <a:gd name="T35" fmla="*/ 3592 h 120"/>
                                <a:gd name="T36" fmla="+- 0 4711 4591"/>
                                <a:gd name="T37" fmla="*/ T36 w 1005"/>
                                <a:gd name="T38" fmla="+- 0 3592 3539"/>
                                <a:gd name="T39" fmla="*/ 3592 h 120"/>
                                <a:gd name="T40" fmla="+- 0 4711 4591"/>
                                <a:gd name="T41" fmla="*/ T40 w 1005"/>
                                <a:gd name="T42" fmla="+- 0 3539 3539"/>
                                <a:gd name="T43" fmla="*/ 353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05" h="120">
                                  <a:moveTo>
                                    <a:pt x="120" y="0"/>
                                  </a:moveTo>
                                  <a:lnTo>
                                    <a:pt x="0" y="60"/>
                                  </a:lnTo>
                                  <a:lnTo>
                                    <a:pt x="120" y="120"/>
                                  </a:lnTo>
                                  <a:lnTo>
                                    <a:pt x="120" y="67"/>
                                  </a:lnTo>
                                  <a:lnTo>
                                    <a:pt x="100" y="67"/>
                                  </a:lnTo>
                                  <a:lnTo>
                                    <a:pt x="95" y="65"/>
                                  </a:lnTo>
                                  <a:lnTo>
                                    <a:pt x="93" y="60"/>
                                  </a:lnTo>
                                  <a:lnTo>
                                    <a:pt x="95" y="54"/>
                                  </a:lnTo>
                                  <a:lnTo>
                                    <a:pt x="100" y="53"/>
                                  </a:lnTo>
                                  <a:lnTo>
                                    <a:pt x="120" y="53"/>
                                  </a:lnTo>
                                  <a:lnTo>
                                    <a:pt x="120" y="0"/>
                                  </a:lnTo>
                                  <a:close/>
                                </a:path>
                              </a:pathLst>
                            </a:custGeom>
                            <a:solidFill>
                              <a:srgbClr val="000000"/>
                            </a:solidFill>
                            <a:ln>
                              <a:noFill/>
                            </a:ln>
                          </wps:spPr>
                          <wps:bodyPr rot="0" vert="horz" wrap="square" lIns="91440" tIns="45720" rIns="91440" bIns="45720" anchor="t" anchorCtr="0" upright="1">
                            <a:noAutofit/>
                          </wps:bodyPr>
                        </wps:wsp>
                        <wps:wsp>
                          <wps:cNvPr id="515" name="Freeform 468"/>
                          <wps:cNvSpPr/>
                          <wps:spPr bwMode="auto">
                            <a:xfrm>
                              <a:off x="4591" y="3539"/>
                              <a:ext cx="1005" cy="120"/>
                            </a:xfrm>
                            <a:custGeom>
                              <a:avLst/>
                              <a:gdLst>
                                <a:gd name="T0" fmla="+- 0 4711 4591"/>
                                <a:gd name="T1" fmla="*/ T0 w 1005"/>
                                <a:gd name="T2" fmla="+- 0 3592 3539"/>
                                <a:gd name="T3" fmla="*/ 3592 h 120"/>
                                <a:gd name="T4" fmla="+- 0 4691 4591"/>
                                <a:gd name="T5" fmla="*/ T4 w 1005"/>
                                <a:gd name="T6" fmla="+- 0 3592 3539"/>
                                <a:gd name="T7" fmla="*/ 3592 h 120"/>
                                <a:gd name="T8" fmla="+- 0 4686 4591"/>
                                <a:gd name="T9" fmla="*/ T8 w 1005"/>
                                <a:gd name="T10" fmla="+- 0 3593 3539"/>
                                <a:gd name="T11" fmla="*/ 3593 h 120"/>
                                <a:gd name="T12" fmla="+- 0 4684 4591"/>
                                <a:gd name="T13" fmla="*/ T12 w 1005"/>
                                <a:gd name="T14" fmla="+- 0 3599 3539"/>
                                <a:gd name="T15" fmla="*/ 3599 h 120"/>
                                <a:gd name="T16" fmla="+- 0 4686 4591"/>
                                <a:gd name="T17" fmla="*/ T16 w 1005"/>
                                <a:gd name="T18" fmla="+- 0 3604 3539"/>
                                <a:gd name="T19" fmla="*/ 3604 h 120"/>
                                <a:gd name="T20" fmla="+- 0 4691 4591"/>
                                <a:gd name="T21" fmla="*/ T20 w 1005"/>
                                <a:gd name="T22" fmla="+- 0 3606 3539"/>
                                <a:gd name="T23" fmla="*/ 3606 h 120"/>
                                <a:gd name="T24" fmla="+- 0 4711 4591"/>
                                <a:gd name="T25" fmla="*/ T24 w 1005"/>
                                <a:gd name="T26" fmla="+- 0 3606 3539"/>
                                <a:gd name="T27" fmla="*/ 3606 h 120"/>
                                <a:gd name="T28" fmla="+- 0 4711 4591"/>
                                <a:gd name="T29" fmla="*/ T28 w 1005"/>
                                <a:gd name="T30" fmla="+- 0 3592 3539"/>
                                <a:gd name="T31" fmla="*/ 35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5" h="120">
                                  <a:moveTo>
                                    <a:pt x="120" y="53"/>
                                  </a:moveTo>
                                  <a:lnTo>
                                    <a:pt x="100" y="53"/>
                                  </a:lnTo>
                                  <a:lnTo>
                                    <a:pt x="95" y="54"/>
                                  </a:lnTo>
                                  <a:lnTo>
                                    <a:pt x="93" y="60"/>
                                  </a:lnTo>
                                  <a:lnTo>
                                    <a:pt x="95" y="65"/>
                                  </a:lnTo>
                                  <a:lnTo>
                                    <a:pt x="100" y="67"/>
                                  </a:lnTo>
                                  <a:lnTo>
                                    <a:pt x="120" y="67"/>
                                  </a:lnTo>
                                  <a:lnTo>
                                    <a:pt x="120" y="53"/>
                                  </a:lnTo>
                                  <a:close/>
                                </a:path>
                              </a:pathLst>
                            </a:custGeom>
                            <a:solidFill>
                              <a:srgbClr val="000000"/>
                            </a:solidFill>
                            <a:ln>
                              <a:noFill/>
                            </a:ln>
                          </wps:spPr>
                          <wps:bodyPr rot="0" vert="horz" wrap="square" lIns="91440" tIns="45720" rIns="91440" bIns="45720" anchor="t" anchorCtr="0" upright="1">
                            <a:noAutofit/>
                          </wps:bodyPr>
                        </wps:wsp>
                        <wps:wsp>
                          <wps:cNvPr id="516" name="Freeform 469"/>
                          <wps:cNvSpPr/>
                          <wps:spPr bwMode="auto">
                            <a:xfrm>
                              <a:off x="4591" y="3539"/>
                              <a:ext cx="1005" cy="120"/>
                            </a:xfrm>
                            <a:custGeom>
                              <a:avLst/>
                              <a:gdLst>
                                <a:gd name="T0" fmla="+- 0 5587 4591"/>
                                <a:gd name="T1" fmla="*/ T0 w 1005"/>
                                <a:gd name="T2" fmla="+- 0 3592 3539"/>
                                <a:gd name="T3" fmla="*/ 3592 h 120"/>
                                <a:gd name="T4" fmla="+- 0 4711 4591"/>
                                <a:gd name="T5" fmla="*/ T4 w 1005"/>
                                <a:gd name="T6" fmla="+- 0 3592 3539"/>
                                <a:gd name="T7" fmla="*/ 3592 h 120"/>
                                <a:gd name="T8" fmla="+- 0 4711 4591"/>
                                <a:gd name="T9" fmla="*/ T8 w 1005"/>
                                <a:gd name="T10" fmla="+- 0 3606 3539"/>
                                <a:gd name="T11" fmla="*/ 3606 h 120"/>
                                <a:gd name="T12" fmla="+- 0 5587 4591"/>
                                <a:gd name="T13" fmla="*/ T12 w 1005"/>
                                <a:gd name="T14" fmla="+- 0 3606 3539"/>
                                <a:gd name="T15" fmla="*/ 3606 h 120"/>
                                <a:gd name="T16" fmla="+- 0 5593 4591"/>
                                <a:gd name="T17" fmla="*/ T16 w 1005"/>
                                <a:gd name="T18" fmla="+- 0 3604 3539"/>
                                <a:gd name="T19" fmla="*/ 3604 h 120"/>
                                <a:gd name="T20" fmla="+- 0 5596 4591"/>
                                <a:gd name="T21" fmla="*/ T20 w 1005"/>
                                <a:gd name="T22" fmla="+- 0 3599 3539"/>
                                <a:gd name="T23" fmla="*/ 3599 h 120"/>
                                <a:gd name="T24" fmla="+- 0 5593 4591"/>
                                <a:gd name="T25" fmla="*/ T24 w 1005"/>
                                <a:gd name="T26" fmla="+- 0 3593 3539"/>
                                <a:gd name="T27" fmla="*/ 3593 h 120"/>
                                <a:gd name="T28" fmla="+- 0 5587 4591"/>
                                <a:gd name="T29" fmla="*/ T28 w 1005"/>
                                <a:gd name="T30" fmla="+- 0 3592 3539"/>
                                <a:gd name="T31" fmla="*/ 35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5" h="120">
                                  <a:moveTo>
                                    <a:pt x="996" y="53"/>
                                  </a:moveTo>
                                  <a:lnTo>
                                    <a:pt x="120" y="53"/>
                                  </a:lnTo>
                                  <a:lnTo>
                                    <a:pt x="120" y="67"/>
                                  </a:lnTo>
                                  <a:lnTo>
                                    <a:pt x="996" y="67"/>
                                  </a:lnTo>
                                  <a:lnTo>
                                    <a:pt x="1002" y="65"/>
                                  </a:lnTo>
                                  <a:lnTo>
                                    <a:pt x="1005" y="60"/>
                                  </a:lnTo>
                                  <a:lnTo>
                                    <a:pt x="1002" y="54"/>
                                  </a:lnTo>
                                  <a:lnTo>
                                    <a:pt x="996" y="53"/>
                                  </a:lnTo>
                                  <a:close/>
                                </a:path>
                              </a:pathLst>
                            </a:custGeom>
                            <a:solidFill>
                              <a:srgbClr val="000000"/>
                            </a:solidFill>
                            <a:ln>
                              <a:noFill/>
                            </a:ln>
                          </wps:spPr>
                          <wps:bodyPr rot="0" vert="horz" wrap="square" lIns="91440" tIns="45720" rIns="91440" bIns="45720" anchor="t" anchorCtr="0" upright="1">
                            <a:noAutofit/>
                          </wps:bodyPr>
                        </wps:wsp>
                      </wpg:grpSp>
                      <wpg:grpSp>
                        <wpg:cNvPr id="517" name="Group 470"/>
                        <wpg:cNvGrpSpPr/>
                        <wpg:grpSpPr>
                          <a:xfrm>
                            <a:off x="5588" y="3059"/>
                            <a:ext cx="2" cy="540"/>
                            <a:chOff x="5588" y="3059"/>
                            <a:chExt cx="2" cy="540"/>
                          </a:xfrm>
                        </wpg:grpSpPr>
                        <wps:wsp>
                          <wps:cNvPr id="518" name="Freeform 471"/>
                          <wps:cNvSpPr/>
                          <wps:spPr bwMode="auto">
                            <a:xfrm>
                              <a:off x="5588" y="3059"/>
                              <a:ext cx="2" cy="540"/>
                            </a:xfrm>
                            <a:custGeom>
                              <a:avLst/>
                              <a:gdLst>
                                <a:gd name="T0" fmla="+- 0 3059 3059"/>
                                <a:gd name="T1" fmla="*/ 3059 h 540"/>
                                <a:gd name="T2" fmla="+- 0 3599 3059"/>
                                <a:gd name="T3" fmla="*/ 3599 h 540"/>
                              </a:gdLst>
                              <a:ahLst/>
                              <a:cxnLst>
                                <a:cxn ang="0">
                                  <a:pos x="0" y="T1"/>
                                </a:cxn>
                                <a:cxn ang="0">
                                  <a:pos x="0" y="T3"/>
                                </a:cxn>
                              </a:cxnLst>
                              <a:rect l="0" t="0" r="r" b="b"/>
                              <a:pathLst>
                                <a:path h="540">
                                  <a:moveTo>
                                    <a:pt x="0" y="0"/>
                                  </a:moveTo>
                                  <a:lnTo>
                                    <a:pt x="0" y="540"/>
                                  </a:lnTo>
                                </a:path>
                              </a:pathLst>
                            </a:custGeom>
                            <a:noFill/>
                            <a:ln w="9525">
                              <a:solidFill>
                                <a:srgbClr val="000000"/>
                              </a:solidFill>
                              <a:round/>
                            </a:ln>
                          </wps:spPr>
                          <wps:bodyPr rot="0" vert="horz" wrap="square" lIns="91440" tIns="45720" rIns="91440" bIns="45720" anchor="t" anchorCtr="0" upright="1">
                            <a:noAutofit/>
                          </wps:bodyPr>
                        </wps:wsp>
                      </wpg:grpSp>
                      <wpg:grpSp>
                        <wpg:cNvPr id="519" name="Group 472"/>
                        <wpg:cNvGrpSpPr/>
                        <wpg:grpSpPr>
                          <a:xfrm>
                            <a:off x="7928" y="3419"/>
                            <a:ext cx="3389" cy="628"/>
                            <a:chOff x="7928" y="3419"/>
                            <a:chExt cx="3389" cy="628"/>
                          </a:xfrm>
                        </wpg:grpSpPr>
                        <wps:wsp>
                          <wps:cNvPr id="520" name="Freeform 473"/>
                          <wps:cNvSpPr/>
                          <wps:spPr bwMode="auto">
                            <a:xfrm>
                              <a:off x="7928" y="3419"/>
                              <a:ext cx="3389" cy="628"/>
                            </a:xfrm>
                            <a:custGeom>
                              <a:avLst/>
                              <a:gdLst>
                                <a:gd name="T0" fmla="+- 0 11316 7928"/>
                                <a:gd name="T1" fmla="*/ T0 w 3389"/>
                                <a:gd name="T2" fmla="+- 0 3419 3419"/>
                                <a:gd name="T3" fmla="*/ 3419 h 628"/>
                                <a:gd name="T4" fmla="+- 0 7928 7928"/>
                                <a:gd name="T5" fmla="*/ T4 w 3389"/>
                                <a:gd name="T6" fmla="+- 0 3419 3419"/>
                                <a:gd name="T7" fmla="*/ 3419 h 628"/>
                                <a:gd name="T8" fmla="+- 0 7928 7928"/>
                                <a:gd name="T9" fmla="*/ T8 w 3389"/>
                                <a:gd name="T10" fmla="+- 0 4046 3419"/>
                                <a:gd name="T11" fmla="*/ 4046 h 628"/>
                                <a:gd name="T12" fmla="+- 0 11316 7928"/>
                                <a:gd name="T13" fmla="*/ T12 w 3389"/>
                                <a:gd name="T14" fmla="+- 0 4046 3419"/>
                                <a:gd name="T15" fmla="*/ 4046 h 628"/>
                                <a:gd name="T16" fmla="+- 0 11316 7928"/>
                                <a:gd name="T17" fmla="*/ T16 w 3389"/>
                                <a:gd name="T18" fmla="+- 0 3419 3419"/>
                                <a:gd name="T19" fmla="*/ 3419 h 628"/>
                              </a:gdLst>
                              <a:ahLst/>
                              <a:cxnLst>
                                <a:cxn ang="0">
                                  <a:pos x="T1" y="T3"/>
                                </a:cxn>
                                <a:cxn ang="0">
                                  <a:pos x="T5" y="T7"/>
                                </a:cxn>
                                <a:cxn ang="0">
                                  <a:pos x="T9" y="T11"/>
                                </a:cxn>
                                <a:cxn ang="0">
                                  <a:pos x="T13" y="T15"/>
                                </a:cxn>
                                <a:cxn ang="0">
                                  <a:pos x="T17" y="T19"/>
                                </a:cxn>
                              </a:cxnLst>
                              <a:rect l="0" t="0" r="r" b="b"/>
                              <a:pathLst>
                                <a:path w="3389" h="628">
                                  <a:moveTo>
                                    <a:pt x="3388" y="0"/>
                                  </a:moveTo>
                                  <a:lnTo>
                                    <a:pt x="0" y="0"/>
                                  </a:lnTo>
                                  <a:lnTo>
                                    <a:pt x="0" y="627"/>
                                  </a:lnTo>
                                  <a:lnTo>
                                    <a:pt x="3388" y="627"/>
                                  </a:lnTo>
                                  <a:lnTo>
                                    <a:pt x="3388" y="0"/>
                                  </a:lnTo>
                                  <a:close/>
                                </a:path>
                              </a:pathLst>
                            </a:custGeom>
                            <a:noFill/>
                            <a:ln w="9525">
                              <a:solidFill>
                                <a:srgbClr val="000000"/>
                              </a:solidFill>
                              <a:round/>
                            </a:ln>
                          </wps:spPr>
                          <wps:bodyPr rot="0" vert="horz" wrap="square" lIns="91440" tIns="45720" rIns="91440" bIns="45720" anchor="t" anchorCtr="0" upright="1">
                            <a:noAutofit/>
                          </wps:bodyPr>
                        </wps:wsp>
                      </wpg:grpSp>
                      <wpg:grpSp>
                        <wpg:cNvPr id="521" name="Group 474"/>
                        <wpg:cNvGrpSpPr/>
                        <wpg:grpSpPr>
                          <a:xfrm>
                            <a:off x="6848" y="3599"/>
                            <a:ext cx="1086" cy="2"/>
                            <a:chOff x="6848" y="3599"/>
                            <a:chExt cx="1086" cy="2"/>
                          </a:xfrm>
                        </wpg:grpSpPr>
                        <wps:wsp>
                          <wps:cNvPr id="522" name="Freeform 475"/>
                          <wps:cNvSpPr/>
                          <wps:spPr bwMode="auto">
                            <a:xfrm>
                              <a:off x="6848" y="3599"/>
                              <a:ext cx="1086" cy="2"/>
                            </a:xfrm>
                            <a:custGeom>
                              <a:avLst/>
                              <a:gdLst>
                                <a:gd name="T0" fmla="+- 0 7934 6848"/>
                                <a:gd name="T1" fmla="*/ T0 w 1086"/>
                                <a:gd name="T2" fmla="+- 0 6848 6848"/>
                                <a:gd name="T3" fmla="*/ T2 w 1086"/>
                              </a:gdLst>
                              <a:ahLst/>
                              <a:cxnLst>
                                <a:cxn ang="0">
                                  <a:pos x="T1" y="0"/>
                                </a:cxn>
                                <a:cxn ang="0">
                                  <a:pos x="T3" y="0"/>
                                </a:cxn>
                              </a:cxnLst>
                              <a:rect l="0" t="0" r="r" b="b"/>
                              <a:pathLst>
                                <a:path w="1086">
                                  <a:moveTo>
                                    <a:pt x="1086" y="0"/>
                                  </a:moveTo>
                                  <a:lnTo>
                                    <a:pt x="0" y="0"/>
                                  </a:lnTo>
                                </a:path>
                              </a:pathLst>
                            </a:custGeom>
                            <a:noFill/>
                            <a:ln w="9525">
                              <a:solidFill>
                                <a:srgbClr val="000000"/>
                              </a:solidFill>
                              <a:round/>
                            </a:ln>
                          </wps:spPr>
                          <wps:bodyPr rot="0" vert="horz" wrap="square" lIns="91440" tIns="45720" rIns="91440" bIns="45720" anchor="t" anchorCtr="0" upright="1">
                            <a:noAutofit/>
                          </wps:bodyPr>
                        </wps:wsp>
                      </wpg:grpSp>
                      <wpg:grpSp>
                        <wpg:cNvPr id="523" name="Group 476"/>
                        <wpg:cNvGrpSpPr/>
                        <wpg:grpSpPr>
                          <a:xfrm>
                            <a:off x="6788" y="3592"/>
                            <a:ext cx="120" cy="548"/>
                            <a:chOff x="6788" y="3592"/>
                            <a:chExt cx="120" cy="548"/>
                          </a:xfrm>
                        </wpg:grpSpPr>
                        <wps:wsp>
                          <wps:cNvPr id="524" name="Freeform 477"/>
                          <wps:cNvSpPr/>
                          <wps:spPr bwMode="auto">
                            <a:xfrm>
                              <a:off x="6788" y="3592"/>
                              <a:ext cx="120" cy="548"/>
                            </a:xfrm>
                            <a:custGeom>
                              <a:avLst/>
                              <a:gdLst>
                                <a:gd name="T0" fmla="+- 0 6840 6788"/>
                                <a:gd name="T1" fmla="*/ T0 w 120"/>
                                <a:gd name="T2" fmla="+- 0 4019 3592"/>
                                <a:gd name="T3" fmla="*/ 4019 h 548"/>
                                <a:gd name="T4" fmla="+- 0 6788 6788"/>
                                <a:gd name="T5" fmla="*/ T4 w 120"/>
                                <a:gd name="T6" fmla="+- 0 4019 3592"/>
                                <a:gd name="T7" fmla="*/ 4019 h 548"/>
                                <a:gd name="T8" fmla="+- 0 6848 6788"/>
                                <a:gd name="T9" fmla="*/ T8 w 120"/>
                                <a:gd name="T10" fmla="+- 0 4139 3592"/>
                                <a:gd name="T11" fmla="*/ 4139 h 548"/>
                                <a:gd name="T12" fmla="+- 0 6894 6788"/>
                                <a:gd name="T13" fmla="*/ T12 w 120"/>
                                <a:gd name="T14" fmla="+- 0 4046 3592"/>
                                <a:gd name="T15" fmla="*/ 4046 h 548"/>
                                <a:gd name="T16" fmla="+- 0 6848 6788"/>
                                <a:gd name="T17" fmla="*/ T16 w 120"/>
                                <a:gd name="T18" fmla="+- 0 4046 3592"/>
                                <a:gd name="T19" fmla="*/ 4046 h 548"/>
                                <a:gd name="T20" fmla="+- 0 6843 6788"/>
                                <a:gd name="T21" fmla="*/ T20 w 120"/>
                                <a:gd name="T22" fmla="+- 0 4044 3592"/>
                                <a:gd name="T23" fmla="*/ 4044 h 548"/>
                                <a:gd name="T24" fmla="+- 0 6840 6788"/>
                                <a:gd name="T25" fmla="*/ T24 w 120"/>
                                <a:gd name="T26" fmla="+- 0 4038 3592"/>
                                <a:gd name="T27" fmla="*/ 4038 h 548"/>
                                <a:gd name="T28" fmla="+- 0 6840 6788"/>
                                <a:gd name="T29" fmla="*/ T28 w 120"/>
                                <a:gd name="T30" fmla="+- 0 4019 3592"/>
                                <a:gd name="T31" fmla="*/ 4019 h 5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8">
                                  <a:moveTo>
                                    <a:pt x="52" y="427"/>
                                  </a:moveTo>
                                  <a:lnTo>
                                    <a:pt x="0" y="427"/>
                                  </a:lnTo>
                                  <a:lnTo>
                                    <a:pt x="60" y="547"/>
                                  </a:lnTo>
                                  <a:lnTo>
                                    <a:pt x="106" y="454"/>
                                  </a:lnTo>
                                  <a:lnTo>
                                    <a:pt x="60" y="454"/>
                                  </a:lnTo>
                                  <a:lnTo>
                                    <a:pt x="55" y="452"/>
                                  </a:lnTo>
                                  <a:lnTo>
                                    <a:pt x="52" y="446"/>
                                  </a:lnTo>
                                  <a:lnTo>
                                    <a:pt x="52" y="427"/>
                                  </a:lnTo>
                                  <a:close/>
                                </a:path>
                              </a:pathLst>
                            </a:custGeom>
                            <a:solidFill>
                              <a:srgbClr val="000000"/>
                            </a:solidFill>
                            <a:ln>
                              <a:noFill/>
                            </a:ln>
                          </wps:spPr>
                          <wps:bodyPr rot="0" vert="horz" wrap="square" lIns="91440" tIns="45720" rIns="91440" bIns="45720" anchor="t" anchorCtr="0" upright="1">
                            <a:noAutofit/>
                          </wps:bodyPr>
                        </wps:wsp>
                        <wps:wsp>
                          <wps:cNvPr id="525" name="Freeform 478"/>
                          <wps:cNvSpPr/>
                          <wps:spPr bwMode="auto">
                            <a:xfrm>
                              <a:off x="6788" y="3592"/>
                              <a:ext cx="120" cy="548"/>
                            </a:xfrm>
                            <a:custGeom>
                              <a:avLst/>
                              <a:gdLst>
                                <a:gd name="T0" fmla="+- 0 6848 6788"/>
                                <a:gd name="T1" fmla="*/ T0 w 120"/>
                                <a:gd name="T2" fmla="+- 0 3592 3592"/>
                                <a:gd name="T3" fmla="*/ 3592 h 548"/>
                                <a:gd name="T4" fmla="+- 0 6843 6788"/>
                                <a:gd name="T5" fmla="*/ T4 w 120"/>
                                <a:gd name="T6" fmla="+- 0 3593 3592"/>
                                <a:gd name="T7" fmla="*/ 3593 h 548"/>
                                <a:gd name="T8" fmla="+- 0 6840 6788"/>
                                <a:gd name="T9" fmla="*/ T8 w 120"/>
                                <a:gd name="T10" fmla="+- 0 3599 3592"/>
                                <a:gd name="T11" fmla="*/ 3599 h 548"/>
                                <a:gd name="T12" fmla="+- 0 6840 6788"/>
                                <a:gd name="T13" fmla="*/ T12 w 120"/>
                                <a:gd name="T14" fmla="+- 0 4038 3592"/>
                                <a:gd name="T15" fmla="*/ 4038 h 548"/>
                                <a:gd name="T16" fmla="+- 0 6843 6788"/>
                                <a:gd name="T17" fmla="*/ T16 w 120"/>
                                <a:gd name="T18" fmla="+- 0 4044 3592"/>
                                <a:gd name="T19" fmla="*/ 4044 h 548"/>
                                <a:gd name="T20" fmla="+- 0 6848 6788"/>
                                <a:gd name="T21" fmla="*/ T20 w 120"/>
                                <a:gd name="T22" fmla="+- 0 4046 3592"/>
                                <a:gd name="T23" fmla="*/ 4046 h 548"/>
                                <a:gd name="T24" fmla="+- 0 6854 6788"/>
                                <a:gd name="T25" fmla="*/ T24 w 120"/>
                                <a:gd name="T26" fmla="+- 0 4044 3592"/>
                                <a:gd name="T27" fmla="*/ 4044 h 548"/>
                                <a:gd name="T28" fmla="+- 0 6856 6788"/>
                                <a:gd name="T29" fmla="*/ T28 w 120"/>
                                <a:gd name="T30" fmla="+- 0 4038 3592"/>
                                <a:gd name="T31" fmla="*/ 4038 h 548"/>
                                <a:gd name="T32" fmla="+- 0 6856 6788"/>
                                <a:gd name="T33" fmla="*/ T32 w 120"/>
                                <a:gd name="T34" fmla="+- 0 3599 3592"/>
                                <a:gd name="T35" fmla="*/ 3599 h 548"/>
                                <a:gd name="T36" fmla="+- 0 6854 6788"/>
                                <a:gd name="T37" fmla="*/ T36 w 120"/>
                                <a:gd name="T38" fmla="+- 0 3593 3592"/>
                                <a:gd name="T39" fmla="*/ 3593 h 548"/>
                                <a:gd name="T40" fmla="+- 0 6848 6788"/>
                                <a:gd name="T41" fmla="*/ T40 w 120"/>
                                <a:gd name="T42" fmla="+- 0 3592 3592"/>
                                <a:gd name="T43" fmla="*/ 3592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8">
                                  <a:moveTo>
                                    <a:pt x="60" y="0"/>
                                  </a:moveTo>
                                  <a:lnTo>
                                    <a:pt x="55" y="1"/>
                                  </a:lnTo>
                                  <a:lnTo>
                                    <a:pt x="52" y="7"/>
                                  </a:lnTo>
                                  <a:lnTo>
                                    <a:pt x="52" y="446"/>
                                  </a:lnTo>
                                  <a:lnTo>
                                    <a:pt x="55" y="452"/>
                                  </a:lnTo>
                                  <a:lnTo>
                                    <a:pt x="60" y="454"/>
                                  </a:lnTo>
                                  <a:lnTo>
                                    <a:pt x="66" y="452"/>
                                  </a:lnTo>
                                  <a:lnTo>
                                    <a:pt x="68" y="446"/>
                                  </a:lnTo>
                                  <a:lnTo>
                                    <a:pt x="68" y="7"/>
                                  </a:lnTo>
                                  <a:lnTo>
                                    <a:pt x="66" y="1"/>
                                  </a:lnTo>
                                  <a:lnTo>
                                    <a:pt x="60" y="0"/>
                                  </a:lnTo>
                                  <a:close/>
                                </a:path>
                              </a:pathLst>
                            </a:custGeom>
                            <a:solidFill>
                              <a:srgbClr val="000000"/>
                            </a:solidFill>
                            <a:ln>
                              <a:noFill/>
                            </a:ln>
                          </wps:spPr>
                          <wps:bodyPr rot="0" vert="horz" wrap="square" lIns="91440" tIns="45720" rIns="91440" bIns="45720" anchor="t" anchorCtr="0" upright="1">
                            <a:noAutofit/>
                          </wps:bodyPr>
                        </wps:wsp>
                        <wps:wsp>
                          <wps:cNvPr id="526" name="Freeform 479"/>
                          <wps:cNvSpPr/>
                          <wps:spPr bwMode="auto">
                            <a:xfrm>
                              <a:off x="6788" y="3592"/>
                              <a:ext cx="120" cy="548"/>
                            </a:xfrm>
                            <a:custGeom>
                              <a:avLst/>
                              <a:gdLst>
                                <a:gd name="T0" fmla="+- 0 6908 6788"/>
                                <a:gd name="T1" fmla="*/ T0 w 120"/>
                                <a:gd name="T2" fmla="+- 0 4019 3592"/>
                                <a:gd name="T3" fmla="*/ 4019 h 548"/>
                                <a:gd name="T4" fmla="+- 0 6856 6788"/>
                                <a:gd name="T5" fmla="*/ T4 w 120"/>
                                <a:gd name="T6" fmla="+- 0 4019 3592"/>
                                <a:gd name="T7" fmla="*/ 4019 h 548"/>
                                <a:gd name="T8" fmla="+- 0 6856 6788"/>
                                <a:gd name="T9" fmla="*/ T8 w 120"/>
                                <a:gd name="T10" fmla="+- 0 4038 3592"/>
                                <a:gd name="T11" fmla="*/ 4038 h 548"/>
                                <a:gd name="T12" fmla="+- 0 6854 6788"/>
                                <a:gd name="T13" fmla="*/ T12 w 120"/>
                                <a:gd name="T14" fmla="+- 0 4044 3592"/>
                                <a:gd name="T15" fmla="*/ 4044 h 548"/>
                                <a:gd name="T16" fmla="+- 0 6848 6788"/>
                                <a:gd name="T17" fmla="*/ T16 w 120"/>
                                <a:gd name="T18" fmla="+- 0 4046 3592"/>
                                <a:gd name="T19" fmla="*/ 4046 h 548"/>
                                <a:gd name="T20" fmla="+- 0 6894 6788"/>
                                <a:gd name="T21" fmla="*/ T20 w 120"/>
                                <a:gd name="T22" fmla="+- 0 4046 3592"/>
                                <a:gd name="T23" fmla="*/ 4046 h 548"/>
                                <a:gd name="T24" fmla="+- 0 6908 6788"/>
                                <a:gd name="T25" fmla="*/ T24 w 120"/>
                                <a:gd name="T26" fmla="+- 0 4019 3592"/>
                                <a:gd name="T27" fmla="*/ 4019 h 548"/>
                              </a:gdLst>
                              <a:ahLst/>
                              <a:cxnLst>
                                <a:cxn ang="0">
                                  <a:pos x="T1" y="T3"/>
                                </a:cxn>
                                <a:cxn ang="0">
                                  <a:pos x="T5" y="T7"/>
                                </a:cxn>
                                <a:cxn ang="0">
                                  <a:pos x="T9" y="T11"/>
                                </a:cxn>
                                <a:cxn ang="0">
                                  <a:pos x="T13" y="T15"/>
                                </a:cxn>
                                <a:cxn ang="0">
                                  <a:pos x="T17" y="T19"/>
                                </a:cxn>
                                <a:cxn ang="0">
                                  <a:pos x="T21" y="T23"/>
                                </a:cxn>
                                <a:cxn ang="0">
                                  <a:pos x="T25" y="T27"/>
                                </a:cxn>
                              </a:cxnLst>
                              <a:rect l="0" t="0" r="r" b="b"/>
                              <a:pathLst>
                                <a:path w="120" h="548">
                                  <a:moveTo>
                                    <a:pt x="120" y="427"/>
                                  </a:moveTo>
                                  <a:lnTo>
                                    <a:pt x="68" y="427"/>
                                  </a:lnTo>
                                  <a:lnTo>
                                    <a:pt x="68" y="446"/>
                                  </a:lnTo>
                                  <a:lnTo>
                                    <a:pt x="66" y="452"/>
                                  </a:lnTo>
                                  <a:lnTo>
                                    <a:pt x="60" y="454"/>
                                  </a:lnTo>
                                  <a:lnTo>
                                    <a:pt x="106" y="454"/>
                                  </a:lnTo>
                                  <a:lnTo>
                                    <a:pt x="120" y="427"/>
                                  </a:lnTo>
                                  <a:close/>
                                </a:path>
                              </a:pathLst>
                            </a:custGeom>
                            <a:solidFill>
                              <a:srgbClr val="000000"/>
                            </a:solidFill>
                            <a:ln>
                              <a:noFill/>
                            </a:ln>
                          </wps:spPr>
                          <wps:bodyPr rot="0" vert="horz" wrap="square" lIns="91440" tIns="45720" rIns="91440" bIns="45720" anchor="t" anchorCtr="0" upright="1">
                            <a:noAutofit/>
                          </wps:bodyPr>
                        </wps:wsp>
                      </wpg:grpSp>
                      <wpg:grpSp>
                        <wpg:cNvPr id="527" name="Group 480"/>
                        <wpg:cNvGrpSpPr/>
                        <wpg:grpSpPr>
                          <a:xfrm>
                            <a:off x="9000" y="2640"/>
                            <a:ext cx="1204" cy="120"/>
                            <a:chOff x="9000" y="2640"/>
                            <a:chExt cx="1204" cy="120"/>
                          </a:xfrm>
                        </wpg:grpSpPr>
                        <wps:wsp>
                          <wps:cNvPr id="528" name="Freeform 481"/>
                          <wps:cNvSpPr/>
                          <wps:spPr bwMode="auto">
                            <a:xfrm>
                              <a:off x="9000" y="2640"/>
                              <a:ext cx="1204" cy="120"/>
                            </a:xfrm>
                            <a:custGeom>
                              <a:avLst/>
                              <a:gdLst>
                                <a:gd name="T0" fmla="+- 0 10084 9000"/>
                                <a:gd name="T1" fmla="*/ T0 w 1204"/>
                                <a:gd name="T2" fmla="+- 0 2640 2640"/>
                                <a:gd name="T3" fmla="*/ 2640 h 120"/>
                                <a:gd name="T4" fmla="+- 0 10084 9000"/>
                                <a:gd name="T5" fmla="*/ T4 w 1204"/>
                                <a:gd name="T6" fmla="+- 0 2760 2640"/>
                                <a:gd name="T7" fmla="*/ 2760 h 120"/>
                                <a:gd name="T8" fmla="+- 0 10190 9000"/>
                                <a:gd name="T9" fmla="*/ T8 w 1204"/>
                                <a:gd name="T10" fmla="+- 0 2707 2640"/>
                                <a:gd name="T11" fmla="*/ 2707 h 120"/>
                                <a:gd name="T12" fmla="+- 0 10104 9000"/>
                                <a:gd name="T13" fmla="*/ T12 w 1204"/>
                                <a:gd name="T14" fmla="+- 0 2707 2640"/>
                                <a:gd name="T15" fmla="*/ 2707 h 120"/>
                                <a:gd name="T16" fmla="+- 0 10109 9000"/>
                                <a:gd name="T17" fmla="*/ T16 w 1204"/>
                                <a:gd name="T18" fmla="+- 0 2705 2640"/>
                                <a:gd name="T19" fmla="*/ 2705 h 120"/>
                                <a:gd name="T20" fmla="+- 0 10112 9000"/>
                                <a:gd name="T21" fmla="*/ T20 w 1204"/>
                                <a:gd name="T22" fmla="+- 0 2700 2640"/>
                                <a:gd name="T23" fmla="*/ 2700 h 120"/>
                                <a:gd name="T24" fmla="+- 0 10109 9000"/>
                                <a:gd name="T25" fmla="*/ T24 w 1204"/>
                                <a:gd name="T26" fmla="+- 0 2694 2640"/>
                                <a:gd name="T27" fmla="*/ 2694 h 120"/>
                                <a:gd name="T28" fmla="+- 0 10104 9000"/>
                                <a:gd name="T29" fmla="*/ T28 w 1204"/>
                                <a:gd name="T30" fmla="+- 0 2692 2640"/>
                                <a:gd name="T31" fmla="*/ 2692 h 120"/>
                                <a:gd name="T32" fmla="+- 0 10187 9000"/>
                                <a:gd name="T33" fmla="*/ T32 w 1204"/>
                                <a:gd name="T34" fmla="+- 0 2692 2640"/>
                                <a:gd name="T35" fmla="*/ 2692 h 120"/>
                                <a:gd name="T36" fmla="+- 0 10084 9000"/>
                                <a:gd name="T37" fmla="*/ T36 w 1204"/>
                                <a:gd name="T38" fmla="+- 0 2640 2640"/>
                                <a:gd name="T39" fmla="*/ 26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04" h="120">
                                  <a:moveTo>
                                    <a:pt x="1084" y="0"/>
                                  </a:moveTo>
                                  <a:lnTo>
                                    <a:pt x="1084" y="120"/>
                                  </a:lnTo>
                                  <a:lnTo>
                                    <a:pt x="1190" y="67"/>
                                  </a:lnTo>
                                  <a:lnTo>
                                    <a:pt x="1104" y="67"/>
                                  </a:lnTo>
                                  <a:lnTo>
                                    <a:pt x="1109" y="65"/>
                                  </a:lnTo>
                                  <a:lnTo>
                                    <a:pt x="1112" y="60"/>
                                  </a:lnTo>
                                  <a:lnTo>
                                    <a:pt x="1109" y="54"/>
                                  </a:lnTo>
                                  <a:lnTo>
                                    <a:pt x="1104" y="52"/>
                                  </a:lnTo>
                                  <a:lnTo>
                                    <a:pt x="1187" y="52"/>
                                  </a:lnTo>
                                  <a:lnTo>
                                    <a:pt x="1084" y="0"/>
                                  </a:lnTo>
                                  <a:close/>
                                </a:path>
                              </a:pathLst>
                            </a:custGeom>
                            <a:solidFill>
                              <a:srgbClr val="000000"/>
                            </a:solidFill>
                            <a:ln>
                              <a:noFill/>
                            </a:ln>
                          </wps:spPr>
                          <wps:bodyPr rot="0" vert="horz" wrap="square" lIns="91440" tIns="45720" rIns="91440" bIns="45720" anchor="t" anchorCtr="0" upright="1">
                            <a:noAutofit/>
                          </wps:bodyPr>
                        </wps:wsp>
                        <wps:wsp>
                          <wps:cNvPr id="529" name="Freeform 482"/>
                          <wps:cNvSpPr/>
                          <wps:spPr bwMode="auto">
                            <a:xfrm>
                              <a:off x="9000" y="2640"/>
                              <a:ext cx="1204" cy="120"/>
                            </a:xfrm>
                            <a:custGeom>
                              <a:avLst/>
                              <a:gdLst>
                                <a:gd name="T0" fmla="+- 0 10084 9000"/>
                                <a:gd name="T1" fmla="*/ T0 w 1204"/>
                                <a:gd name="T2" fmla="+- 0 2692 2640"/>
                                <a:gd name="T3" fmla="*/ 2692 h 120"/>
                                <a:gd name="T4" fmla="+- 0 9008 9000"/>
                                <a:gd name="T5" fmla="*/ T4 w 1204"/>
                                <a:gd name="T6" fmla="+- 0 2692 2640"/>
                                <a:gd name="T7" fmla="*/ 2692 h 120"/>
                                <a:gd name="T8" fmla="+- 0 9003 9000"/>
                                <a:gd name="T9" fmla="*/ T8 w 1204"/>
                                <a:gd name="T10" fmla="+- 0 2694 2640"/>
                                <a:gd name="T11" fmla="*/ 2694 h 120"/>
                                <a:gd name="T12" fmla="+- 0 9000 9000"/>
                                <a:gd name="T13" fmla="*/ T12 w 1204"/>
                                <a:gd name="T14" fmla="+- 0 2700 2640"/>
                                <a:gd name="T15" fmla="*/ 2700 h 120"/>
                                <a:gd name="T16" fmla="+- 0 9003 9000"/>
                                <a:gd name="T17" fmla="*/ T16 w 1204"/>
                                <a:gd name="T18" fmla="+- 0 2705 2640"/>
                                <a:gd name="T19" fmla="*/ 2705 h 120"/>
                                <a:gd name="T20" fmla="+- 0 9008 9000"/>
                                <a:gd name="T21" fmla="*/ T20 w 1204"/>
                                <a:gd name="T22" fmla="+- 0 2707 2640"/>
                                <a:gd name="T23" fmla="*/ 2707 h 120"/>
                                <a:gd name="T24" fmla="+- 0 10084 9000"/>
                                <a:gd name="T25" fmla="*/ T24 w 1204"/>
                                <a:gd name="T26" fmla="+- 0 2707 2640"/>
                                <a:gd name="T27" fmla="*/ 2707 h 120"/>
                                <a:gd name="T28" fmla="+- 0 10084 9000"/>
                                <a:gd name="T29" fmla="*/ T28 w 1204"/>
                                <a:gd name="T30" fmla="+- 0 2692 2640"/>
                                <a:gd name="T31" fmla="*/ 26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4" h="120">
                                  <a:moveTo>
                                    <a:pt x="1084" y="52"/>
                                  </a:moveTo>
                                  <a:lnTo>
                                    <a:pt x="8" y="52"/>
                                  </a:lnTo>
                                  <a:lnTo>
                                    <a:pt x="3" y="54"/>
                                  </a:lnTo>
                                  <a:lnTo>
                                    <a:pt x="0" y="60"/>
                                  </a:lnTo>
                                  <a:lnTo>
                                    <a:pt x="3" y="65"/>
                                  </a:lnTo>
                                  <a:lnTo>
                                    <a:pt x="8" y="67"/>
                                  </a:lnTo>
                                  <a:lnTo>
                                    <a:pt x="1084" y="67"/>
                                  </a:lnTo>
                                  <a:lnTo>
                                    <a:pt x="1084" y="52"/>
                                  </a:lnTo>
                                  <a:close/>
                                </a:path>
                              </a:pathLst>
                            </a:custGeom>
                            <a:solidFill>
                              <a:srgbClr val="000000"/>
                            </a:solidFill>
                            <a:ln>
                              <a:noFill/>
                            </a:ln>
                          </wps:spPr>
                          <wps:bodyPr rot="0" vert="horz" wrap="square" lIns="91440" tIns="45720" rIns="91440" bIns="45720" anchor="t" anchorCtr="0" upright="1">
                            <a:noAutofit/>
                          </wps:bodyPr>
                        </wps:wsp>
                        <wps:wsp>
                          <wps:cNvPr id="530" name="Freeform 483"/>
                          <wps:cNvSpPr/>
                          <wps:spPr bwMode="auto">
                            <a:xfrm>
                              <a:off x="9000" y="2640"/>
                              <a:ext cx="1204" cy="120"/>
                            </a:xfrm>
                            <a:custGeom>
                              <a:avLst/>
                              <a:gdLst>
                                <a:gd name="T0" fmla="+- 0 10187 9000"/>
                                <a:gd name="T1" fmla="*/ T0 w 1204"/>
                                <a:gd name="T2" fmla="+- 0 2692 2640"/>
                                <a:gd name="T3" fmla="*/ 2692 h 120"/>
                                <a:gd name="T4" fmla="+- 0 10104 9000"/>
                                <a:gd name="T5" fmla="*/ T4 w 1204"/>
                                <a:gd name="T6" fmla="+- 0 2692 2640"/>
                                <a:gd name="T7" fmla="*/ 2692 h 120"/>
                                <a:gd name="T8" fmla="+- 0 10109 9000"/>
                                <a:gd name="T9" fmla="*/ T8 w 1204"/>
                                <a:gd name="T10" fmla="+- 0 2694 2640"/>
                                <a:gd name="T11" fmla="*/ 2694 h 120"/>
                                <a:gd name="T12" fmla="+- 0 10112 9000"/>
                                <a:gd name="T13" fmla="*/ T12 w 1204"/>
                                <a:gd name="T14" fmla="+- 0 2700 2640"/>
                                <a:gd name="T15" fmla="*/ 2700 h 120"/>
                                <a:gd name="T16" fmla="+- 0 10109 9000"/>
                                <a:gd name="T17" fmla="*/ T16 w 1204"/>
                                <a:gd name="T18" fmla="+- 0 2705 2640"/>
                                <a:gd name="T19" fmla="*/ 2705 h 120"/>
                                <a:gd name="T20" fmla="+- 0 10104 9000"/>
                                <a:gd name="T21" fmla="*/ T20 w 1204"/>
                                <a:gd name="T22" fmla="+- 0 2707 2640"/>
                                <a:gd name="T23" fmla="*/ 2707 h 120"/>
                                <a:gd name="T24" fmla="+- 0 10190 9000"/>
                                <a:gd name="T25" fmla="*/ T24 w 1204"/>
                                <a:gd name="T26" fmla="+- 0 2707 2640"/>
                                <a:gd name="T27" fmla="*/ 2707 h 120"/>
                                <a:gd name="T28" fmla="+- 0 10204 9000"/>
                                <a:gd name="T29" fmla="*/ T28 w 1204"/>
                                <a:gd name="T30" fmla="+- 0 2700 2640"/>
                                <a:gd name="T31" fmla="*/ 2700 h 120"/>
                                <a:gd name="T32" fmla="+- 0 10187 9000"/>
                                <a:gd name="T33" fmla="*/ T32 w 1204"/>
                                <a:gd name="T34" fmla="+- 0 2692 2640"/>
                                <a:gd name="T35" fmla="*/ 269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4" h="120">
                                  <a:moveTo>
                                    <a:pt x="1187" y="52"/>
                                  </a:moveTo>
                                  <a:lnTo>
                                    <a:pt x="1104" y="52"/>
                                  </a:lnTo>
                                  <a:lnTo>
                                    <a:pt x="1109" y="54"/>
                                  </a:lnTo>
                                  <a:lnTo>
                                    <a:pt x="1112" y="60"/>
                                  </a:lnTo>
                                  <a:lnTo>
                                    <a:pt x="1109" y="65"/>
                                  </a:lnTo>
                                  <a:lnTo>
                                    <a:pt x="1104" y="67"/>
                                  </a:lnTo>
                                  <a:lnTo>
                                    <a:pt x="1190" y="67"/>
                                  </a:lnTo>
                                  <a:lnTo>
                                    <a:pt x="1204" y="60"/>
                                  </a:lnTo>
                                  <a:lnTo>
                                    <a:pt x="1187" y="52"/>
                                  </a:lnTo>
                                  <a:close/>
                                </a:path>
                              </a:pathLst>
                            </a:custGeom>
                            <a:solidFill>
                              <a:srgbClr val="000000"/>
                            </a:solidFill>
                            <a:ln>
                              <a:noFill/>
                            </a:ln>
                          </wps:spPr>
                          <wps:bodyPr rot="0" vert="horz" wrap="square" lIns="91440" tIns="45720" rIns="91440" bIns="45720" anchor="t" anchorCtr="0" upright="1">
                            <a:noAutofit/>
                          </wps:bodyPr>
                        </wps:wsp>
                      </wpg:grpSp>
                      <wpg:grpSp>
                        <wpg:cNvPr id="531" name="Group 484"/>
                        <wpg:cNvGrpSpPr/>
                        <wpg:grpSpPr>
                          <a:xfrm>
                            <a:off x="10576" y="2872"/>
                            <a:ext cx="120" cy="513"/>
                            <a:chOff x="10576" y="2872"/>
                            <a:chExt cx="120" cy="513"/>
                          </a:xfrm>
                        </wpg:grpSpPr>
                        <wps:wsp>
                          <wps:cNvPr id="532" name="Freeform 485"/>
                          <wps:cNvSpPr/>
                          <wps:spPr bwMode="auto">
                            <a:xfrm>
                              <a:off x="10576" y="2872"/>
                              <a:ext cx="120" cy="513"/>
                            </a:xfrm>
                            <a:custGeom>
                              <a:avLst/>
                              <a:gdLst>
                                <a:gd name="T0" fmla="+- 0 10629 10576"/>
                                <a:gd name="T1" fmla="*/ T0 w 120"/>
                                <a:gd name="T2" fmla="+- 0 3265 2872"/>
                                <a:gd name="T3" fmla="*/ 3265 h 513"/>
                                <a:gd name="T4" fmla="+- 0 10576 10576"/>
                                <a:gd name="T5" fmla="*/ T4 w 120"/>
                                <a:gd name="T6" fmla="+- 0 3266 2872"/>
                                <a:gd name="T7" fmla="*/ 3266 h 513"/>
                                <a:gd name="T8" fmla="+- 0 10639 10576"/>
                                <a:gd name="T9" fmla="*/ T8 w 120"/>
                                <a:gd name="T10" fmla="+- 0 3384 2872"/>
                                <a:gd name="T11" fmla="*/ 3384 h 513"/>
                                <a:gd name="T12" fmla="+- 0 10682 10576"/>
                                <a:gd name="T13" fmla="*/ T12 w 120"/>
                                <a:gd name="T14" fmla="+- 0 3292 2872"/>
                                <a:gd name="T15" fmla="*/ 3292 h 513"/>
                                <a:gd name="T16" fmla="+- 0 10637 10576"/>
                                <a:gd name="T17" fmla="*/ T16 w 120"/>
                                <a:gd name="T18" fmla="+- 0 3292 2872"/>
                                <a:gd name="T19" fmla="*/ 3292 h 513"/>
                                <a:gd name="T20" fmla="+- 0 10632 10576"/>
                                <a:gd name="T21" fmla="*/ T20 w 120"/>
                                <a:gd name="T22" fmla="+- 0 3290 2872"/>
                                <a:gd name="T23" fmla="*/ 3290 h 513"/>
                                <a:gd name="T24" fmla="+- 0 10630 10576"/>
                                <a:gd name="T25" fmla="*/ T24 w 120"/>
                                <a:gd name="T26" fmla="+- 0 3284 2872"/>
                                <a:gd name="T27" fmla="*/ 3284 h 513"/>
                                <a:gd name="T28" fmla="+- 0 10629 10576"/>
                                <a:gd name="T29" fmla="*/ T28 w 120"/>
                                <a:gd name="T30" fmla="+- 0 3265 2872"/>
                                <a:gd name="T31" fmla="*/ 3265 h 5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13">
                                  <a:moveTo>
                                    <a:pt x="53" y="393"/>
                                  </a:moveTo>
                                  <a:lnTo>
                                    <a:pt x="0" y="394"/>
                                  </a:lnTo>
                                  <a:lnTo>
                                    <a:pt x="63" y="512"/>
                                  </a:lnTo>
                                  <a:lnTo>
                                    <a:pt x="106" y="420"/>
                                  </a:lnTo>
                                  <a:lnTo>
                                    <a:pt x="61" y="420"/>
                                  </a:lnTo>
                                  <a:lnTo>
                                    <a:pt x="56" y="418"/>
                                  </a:lnTo>
                                  <a:lnTo>
                                    <a:pt x="54" y="412"/>
                                  </a:lnTo>
                                  <a:lnTo>
                                    <a:pt x="53" y="393"/>
                                  </a:lnTo>
                                  <a:close/>
                                </a:path>
                              </a:pathLst>
                            </a:custGeom>
                            <a:solidFill>
                              <a:srgbClr val="000000"/>
                            </a:solidFill>
                            <a:ln>
                              <a:noFill/>
                            </a:ln>
                          </wps:spPr>
                          <wps:bodyPr rot="0" vert="horz" wrap="square" lIns="91440" tIns="45720" rIns="91440" bIns="45720" anchor="t" anchorCtr="0" upright="1">
                            <a:noAutofit/>
                          </wps:bodyPr>
                        </wps:wsp>
                        <wps:wsp>
                          <wps:cNvPr id="533" name="Freeform 486"/>
                          <wps:cNvSpPr/>
                          <wps:spPr bwMode="auto">
                            <a:xfrm>
                              <a:off x="10576" y="2872"/>
                              <a:ext cx="120" cy="513"/>
                            </a:xfrm>
                            <a:custGeom>
                              <a:avLst/>
                              <a:gdLst>
                                <a:gd name="T0" fmla="+- 0 10644 10576"/>
                                <a:gd name="T1" fmla="*/ T0 w 120"/>
                                <a:gd name="T2" fmla="+- 0 3264 2872"/>
                                <a:gd name="T3" fmla="*/ 3264 h 513"/>
                                <a:gd name="T4" fmla="+- 0 10629 10576"/>
                                <a:gd name="T5" fmla="*/ T4 w 120"/>
                                <a:gd name="T6" fmla="+- 0 3265 2872"/>
                                <a:gd name="T7" fmla="*/ 3265 h 513"/>
                                <a:gd name="T8" fmla="+- 0 10630 10576"/>
                                <a:gd name="T9" fmla="*/ T8 w 120"/>
                                <a:gd name="T10" fmla="+- 0 3284 2872"/>
                                <a:gd name="T11" fmla="*/ 3284 h 513"/>
                                <a:gd name="T12" fmla="+- 0 10632 10576"/>
                                <a:gd name="T13" fmla="*/ T12 w 120"/>
                                <a:gd name="T14" fmla="+- 0 3290 2872"/>
                                <a:gd name="T15" fmla="*/ 3290 h 513"/>
                                <a:gd name="T16" fmla="+- 0 10637 10576"/>
                                <a:gd name="T17" fmla="*/ T16 w 120"/>
                                <a:gd name="T18" fmla="+- 0 3292 2872"/>
                                <a:gd name="T19" fmla="*/ 3292 h 513"/>
                                <a:gd name="T20" fmla="+- 0 10642 10576"/>
                                <a:gd name="T21" fmla="*/ T20 w 120"/>
                                <a:gd name="T22" fmla="+- 0 3289 2872"/>
                                <a:gd name="T23" fmla="*/ 3289 h 513"/>
                                <a:gd name="T24" fmla="+- 0 10644 10576"/>
                                <a:gd name="T25" fmla="*/ T24 w 120"/>
                                <a:gd name="T26" fmla="+- 0 3284 2872"/>
                                <a:gd name="T27" fmla="*/ 3284 h 513"/>
                                <a:gd name="T28" fmla="+- 0 10644 10576"/>
                                <a:gd name="T29" fmla="*/ T28 w 120"/>
                                <a:gd name="T30" fmla="+- 0 3264 2872"/>
                                <a:gd name="T31" fmla="*/ 3264 h 5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13">
                                  <a:moveTo>
                                    <a:pt x="68" y="392"/>
                                  </a:moveTo>
                                  <a:lnTo>
                                    <a:pt x="53" y="393"/>
                                  </a:lnTo>
                                  <a:lnTo>
                                    <a:pt x="54" y="412"/>
                                  </a:lnTo>
                                  <a:lnTo>
                                    <a:pt x="56" y="418"/>
                                  </a:lnTo>
                                  <a:lnTo>
                                    <a:pt x="61" y="420"/>
                                  </a:lnTo>
                                  <a:lnTo>
                                    <a:pt x="66" y="417"/>
                                  </a:lnTo>
                                  <a:lnTo>
                                    <a:pt x="68" y="412"/>
                                  </a:lnTo>
                                  <a:lnTo>
                                    <a:pt x="68" y="392"/>
                                  </a:lnTo>
                                  <a:close/>
                                </a:path>
                              </a:pathLst>
                            </a:custGeom>
                            <a:solidFill>
                              <a:srgbClr val="000000"/>
                            </a:solidFill>
                            <a:ln>
                              <a:noFill/>
                            </a:ln>
                          </wps:spPr>
                          <wps:bodyPr rot="0" vert="horz" wrap="square" lIns="91440" tIns="45720" rIns="91440" bIns="45720" anchor="t" anchorCtr="0" upright="1">
                            <a:noAutofit/>
                          </wps:bodyPr>
                        </wps:wsp>
                        <wps:wsp>
                          <wps:cNvPr id="534" name="Freeform 487"/>
                          <wps:cNvSpPr/>
                          <wps:spPr bwMode="auto">
                            <a:xfrm>
                              <a:off x="10576" y="2872"/>
                              <a:ext cx="120" cy="513"/>
                            </a:xfrm>
                            <a:custGeom>
                              <a:avLst/>
                              <a:gdLst>
                                <a:gd name="T0" fmla="+- 0 10696 10576"/>
                                <a:gd name="T1" fmla="*/ T0 w 120"/>
                                <a:gd name="T2" fmla="+- 0 3263 2872"/>
                                <a:gd name="T3" fmla="*/ 3263 h 513"/>
                                <a:gd name="T4" fmla="+- 0 10644 10576"/>
                                <a:gd name="T5" fmla="*/ T4 w 120"/>
                                <a:gd name="T6" fmla="+- 0 3264 2872"/>
                                <a:gd name="T7" fmla="*/ 3264 h 513"/>
                                <a:gd name="T8" fmla="+- 0 10644 10576"/>
                                <a:gd name="T9" fmla="*/ T8 w 120"/>
                                <a:gd name="T10" fmla="+- 0 3284 2872"/>
                                <a:gd name="T11" fmla="*/ 3284 h 513"/>
                                <a:gd name="T12" fmla="+- 0 10642 10576"/>
                                <a:gd name="T13" fmla="*/ T12 w 120"/>
                                <a:gd name="T14" fmla="+- 0 3289 2872"/>
                                <a:gd name="T15" fmla="*/ 3289 h 513"/>
                                <a:gd name="T16" fmla="+- 0 10637 10576"/>
                                <a:gd name="T17" fmla="*/ T16 w 120"/>
                                <a:gd name="T18" fmla="+- 0 3292 2872"/>
                                <a:gd name="T19" fmla="*/ 3292 h 513"/>
                                <a:gd name="T20" fmla="+- 0 10682 10576"/>
                                <a:gd name="T21" fmla="*/ T20 w 120"/>
                                <a:gd name="T22" fmla="+- 0 3292 2872"/>
                                <a:gd name="T23" fmla="*/ 3292 h 513"/>
                                <a:gd name="T24" fmla="+- 0 10696 10576"/>
                                <a:gd name="T25" fmla="*/ T24 w 120"/>
                                <a:gd name="T26" fmla="+- 0 3263 2872"/>
                                <a:gd name="T27" fmla="*/ 3263 h 513"/>
                              </a:gdLst>
                              <a:ahLst/>
                              <a:cxnLst>
                                <a:cxn ang="0">
                                  <a:pos x="T1" y="T3"/>
                                </a:cxn>
                                <a:cxn ang="0">
                                  <a:pos x="T5" y="T7"/>
                                </a:cxn>
                                <a:cxn ang="0">
                                  <a:pos x="T9" y="T11"/>
                                </a:cxn>
                                <a:cxn ang="0">
                                  <a:pos x="T13" y="T15"/>
                                </a:cxn>
                                <a:cxn ang="0">
                                  <a:pos x="T17" y="T19"/>
                                </a:cxn>
                                <a:cxn ang="0">
                                  <a:pos x="T21" y="T23"/>
                                </a:cxn>
                                <a:cxn ang="0">
                                  <a:pos x="T25" y="T27"/>
                                </a:cxn>
                              </a:cxnLst>
                              <a:rect l="0" t="0" r="r" b="b"/>
                              <a:pathLst>
                                <a:path w="120" h="513">
                                  <a:moveTo>
                                    <a:pt x="120" y="391"/>
                                  </a:moveTo>
                                  <a:lnTo>
                                    <a:pt x="68" y="392"/>
                                  </a:lnTo>
                                  <a:lnTo>
                                    <a:pt x="68" y="412"/>
                                  </a:lnTo>
                                  <a:lnTo>
                                    <a:pt x="66" y="417"/>
                                  </a:lnTo>
                                  <a:lnTo>
                                    <a:pt x="61" y="420"/>
                                  </a:lnTo>
                                  <a:lnTo>
                                    <a:pt x="106" y="420"/>
                                  </a:lnTo>
                                  <a:lnTo>
                                    <a:pt x="120" y="391"/>
                                  </a:lnTo>
                                  <a:close/>
                                </a:path>
                              </a:pathLst>
                            </a:custGeom>
                            <a:solidFill>
                              <a:srgbClr val="000000"/>
                            </a:solidFill>
                            <a:ln>
                              <a:noFill/>
                            </a:ln>
                          </wps:spPr>
                          <wps:bodyPr rot="0" vert="horz" wrap="square" lIns="91440" tIns="45720" rIns="91440" bIns="45720" anchor="t" anchorCtr="0" upright="1">
                            <a:noAutofit/>
                          </wps:bodyPr>
                        </wps:wsp>
                        <wps:wsp>
                          <wps:cNvPr id="535" name="Freeform 488"/>
                          <wps:cNvSpPr/>
                          <wps:spPr bwMode="auto">
                            <a:xfrm>
                              <a:off x="10576" y="2872"/>
                              <a:ext cx="120" cy="513"/>
                            </a:xfrm>
                            <a:custGeom>
                              <a:avLst/>
                              <a:gdLst>
                                <a:gd name="T0" fmla="+- 0 10627 10576"/>
                                <a:gd name="T1" fmla="*/ T0 w 120"/>
                                <a:gd name="T2" fmla="+- 0 2872 2872"/>
                                <a:gd name="T3" fmla="*/ 2872 h 513"/>
                                <a:gd name="T4" fmla="+- 0 10623 10576"/>
                                <a:gd name="T5" fmla="*/ T4 w 120"/>
                                <a:gd name="T6" fmla="+- 0 2874 2872"/>
                                <a:gd name="T7" fmla="*/ 2874 h 513"/>
                                <a:gd name="T8" fmla="+- 0 10620 10576"/>
                                <a:gd name="T9" fmla="*/ T8 w 120"/>
                                <a:gd name="T10" fmla="+- 0 2879 2872"/>
                                <a:gd name="T11" fmla="*/ 2879 h 513"/>
                                <a:gd name="T12" fmla="+- 0 10629 10576"/>
                                <a:gd name="T13" fmla="*/ T12 w 120"/>
                                <a:gd name="T14" fmla="+- 0 3265 2872"/>
                                <a:gd name="T15" fmla="*/ 3265 h 513"/>
                                <a:gd name="T16" fmla="+- 0 10644 10576"/>
                                <a:gd name="T17" fmla="*/ T16 w 120"/>
                                <a:gd name="T18" fmla="+- 0 3264 2872"/>
                                <a:gd name="T19" fmla="*/ 3264 h 513"/>
                                <a:gd name="T20" fmla="+- 0 10636 10576"/>
                                <a:gd name="T21" fmla="*/ T20 w 120"/>
                                <a:gd name="T22" fmla="+- 0 2879 2872"/>
                                <a:gd name="T23" fmla="*/ 2879 h 513"/>
                                <a:gd name="T24" fmla="+- 0 10633 10576"/>
                                <a:gd name="T25" fmla="*/ T24 w 120"/>
                                <a:gd name="T26" fmla="+- 0 2873 2872"/>
                                <a:gd name="T27" fmla="*/ 2873 h 513"/>
                                <a:gd name="T28" fmla="+- 0 10627 10576"/>
                                <a:gd name="T29" fmla="*/ T28 w 120"/>
                                <a:gd name="T30" fmla="+- 0 2872 2872"/>
                                <a:gd name="T31" fmla="*/ 2872 h 5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13">
                                  <a:moveTo>
                                    <a:pt x="51" y="0"/>
                                  </a:moveTo>
                                  <a:lnTo>
                                    <a:pt x="47" y="2"/>
                                  </a:lnTo>
                                  <a:lnTo>
                                    <a:pt x="44" y="7"/>
                                  </a:lnTo>
                                  <a:lnTo>
                                    <a:pt x="53" y="393"/>
                                  </a:lnTo>
                                  <a:lnTo>
                                    <a:pt x="68" y="392"/>
                                  </a:lnTo>
                                  <a:lnTo>
                                    <a:pt x="60" y="7"/>
                                  </a:lnTo>
                                  <a:lnTo>
                                    <a:pt x="57" y="1"/>
                                  </a:lnTo>
                                  <a:lnTo>
                                    <a:pt x="51" y="0"/>
                                  </a:lnTo>
                                  <a:close/>
                                </a:path>
                              </a:pathLst>
                            </a:custGeom>
                            <a:solidFill>
                              <a:srgbClr val="000000"/>
                            </a:solidFill>
                            <a:ln>
                              <a:noFill/>
                            </a:ln>
                          </wps:spPr>
                          <wps:bodyPr rot="0" vert="horz" wrap="square" lIns="91440" tIns="45720" rIns="91440" bIns="45720" anchor="t" anchorCtr="0" upright="1">
                            <a:noAutofit/>
                          </wps:bodyPr>
                        </wps:wsp>
                      </wpg:grpSp>
                      <wpg:grpSp>
                        <wpg:cNvPr id="536" name="Group 489"/>
                        <wpg:cNvGrpSpPr/>
                        <wpg:grpSpPr>
                          <a:xfrm>
                            <a:off x="4148" y="4139"/>
                            <a:ext cx="3588" cy="720"/>
                            <a:chOff x="4148" y="4139"/>
                            <a:chExt cx="3588" cy="720"/>
                          </a:xfrm>
                        </wpg:grpSpPr>
                        <wps:wsp>
                          <wps:cNvPr id="537" name="Freeform 490"/>
                          <wps:cNvSpPr/>
                          <wps:spPr bwMode="auto">
                            <a:xfrm>
                              <a:off x="4148" y="4139"/>
                              <a:ext cx="3588" cy="720"/>
                            </a:xfrm>
                            <a:custGeom>
                              <a:avLst/>
                              <a:gdLst>
                                <a:gd name="T0" fmla="+- 0 7736 4148"/>
                                <a:gd name="T1" fmla="*/ T0 w 3588"/>
                                <a:gd name="T2" fmla="+- 0 4139 4139"/>
                                <a:gd name="T3" fmla="*/ 4139 h 720"/>
                                <a:gd name="T4" fmla="+- 0 4148 4148"/>
                                <a:gd name="T5" fmla="*/ T4 w 3588"/>
                                <a:gd name="T6" fmla="+- 0 4139 4139"/>
                                <a:gd name="T7" fmla="*/ 4139 h 720"/>
                                <a:gd name="T8" fmla="+- 0 4148 4148"/>
                                <a:gd name="T9" fmla="*/ T8 w 3588"/>
                                <a:gd name="T10" fmla="+- 0 4859 4139"/>
                                <a:gd name="T11" fmla="*/ 4859 h 720"/>
                                <a:gd name="T12" fmla="+- 0 7736 4148"/>
                                <a:gd name="T13" fmla="*/ T12 w 3588"/>
                                <a:gd name="T14" fmla="+- 0 4859 4139"/>
                                <a:gd name="T15" fmla="*/ 4859 h 720"/>
                                <a:gd name="T16" fmla="+- 0 7736 4148"/>
                                <a:gd name="T17" fmla="*/ T16 w 3588"/>
                                <a:gd name="T18" fmla="+- 0 4139 4139"/>
                                <a:gd name="T19" fmla="*/ 4139 h 720"/>
                              </a:gdLst>
                              <a:ahLst/>
                              <a:cxnLst>
                                <a:cxn ang="0">
                                  <a:pos x="T1" y="T3"/>
                                </a:cxn>
                                <a:cxn ang="0">
                                  <a:pos x="T5" y="T7"/>
                                </a:cxn>
                                <a:cxn ang="0">
                                  <a:pos x="T9" y="T11"/>
                                </a:cxn>
                                <a:cxn ang="0">
                                  <a:pos x="T13" y="T15"/>
                                </a:cxn>
                                <a:cxn ang="0">
                                  <a:pos x="T17" y="T19"/>
                                </a:cxn>
                              </a:cxnLst>
                              <a:rect l="0" t="0" r="r" b="b"/>
                              <a:pathLst>
                                <a:path w="3588" h="720">
                                  <a:moveTo>
                                    <a:pt x="3588" y="0"/>
                                  </a:moveTo>
                                  <a:lnTo>
                                    <a:pt x="0" y="0"/>
                                  </a:lnTo>
                                  <a:lnTo>
                                    <a:pt x="0" y="720"/>
                                  </a:lnTo>
                                  <a:lnTo>
                                    <a:pt x="3588" y="720"/>
                                  </a:lnTo>
                                  <a:lnTo>
                                    <a:pt x="3588" y="0"/>
                                  </a:lnTo>
                                  <a:close/>
                                </a:path>
                              </a:pathLst>
                            </a:custGeom>
                            <a:noFill/>
                            <a:ln w="9525">
                              <a:solidFill>
                                <a:srgbClr val="000000"/>
                              </a:solidFill>
                              <a:round/>
                            </a:ln>
                          </wps:spPr>
                          <wps:bodyPr rot="0" vert="horz" wrap="square" lIns="91440" tIns="45720" rIns="91440" bIns="45720" anchor="t" anchorCtr="0" upright="1">
                            <a:noAutofit/>
                          </wps:bodyPr>
                        </wps:wsp>
                      </wpg:grpSp>
                      <wpg:grpSp>
                        <wpg:cNvPr id="538" name="Group 491"/>
                        <wpg:cNvGrpSpPr/>
                        <wpg:grpSpPr>
                          <a:xfrm>
                            <a:off x="3551" y="4499"/>
                            <a:ext cx="597" cy="2"/>
                            <a:chOff x="3551" y="4499"/>
                            <a:chExt cx="597" cy="2"/>
                          </a:xfrm>
                        </wpg:grpSpPr>
                        <wps:wsp>
                          <wps:cNvPr id="539" name="Freeform 492"/>
                          <wps:cNvSpPr/>
                          <wps:spPr bwMode="auto">
                            <a:xfrm>
                              <a:off x="3551" y="4499"/>
                              <a:ext cx="597" cy="2"/>
                            </a:xfrm>
                            <a:custGeom>
                              <a:avLst/>
                              <a:gdLst>
                                <a:gd name="T0" fmla="+- 0 4147 3551"/>
                                <a:gd name="T1" fmla="*/ T0 w 597"/>
                                <a:gd name="T2" fmla="+- 0 3551 3551"/>
                                <a:gd name="T3" fmla="*/ T2 w 597"/>
                              </a:gdLst>
                              <a:ahLst/>
                              <a:cxnLst>
                                <a:cxn ang="0">
                                  <a:pos x="T1" y="0"/>
                                </a:cxn>
                                <a:cxn ang="0">
                                  <a:pos x="T3" y="0"/>
                                </a:cxn>
                              </a:cxnLst>
                              <a:rect l="0" t="0" r="r" b="b"/>
                              <a:pathLst>
                                <a:path w="597">
                                  <a:moveTo>
                                    <a:pt x="596" y="0"/>
                                  </a:moveTo>
                                  <a:lnTo>
                                    <a:pt x="0" y="0"/>
                                  </a:lnTo>
                                </a:path>
                              </a:pathLst>
                            </a:custGeom>
                            <a:noFill/>
                            <a:ln w="9525">
                              <a:solidFill>
                                <a:srgbClr val="000000"/>
                              </a:solidFill>
                              <a:round/>
                            </a:ln>
                          </wps:spPr>
                          <wps:bodyPr rot="0" vert="horz" wrap="square" lIns="91440" tIns="45720" rIns="91440" bIns="45720" anchor="t" anchorCtr="0" upright="1">
                            <a:noAutofit/>
                          </wps:bodyPr>
                        </wps:wsp>
                      </wpg:grpSp>
                      <wpg:grpSp>
                        <wpg:cNvPr id="540" name="Group 493"/>
                        <wpg:cNvGrpSpPr/>
                        <wpg:grpSpPr>
                          <a:xfrm>
                            <a:off x="7740" y="4439"/>
                            <a:ext cx="1203" cy="120"/>
                            <a:chOff x="7740" y="4439"/>
                            <a:chExt cx="1203" cy="120"/>
                          </a:xfrm>
                        </wpg:grpSpPr>
                        <wps:wsp>
                          <wps:cNvPr id="541" name="Freeform 494"/>
                          <wps:cNvSpPr/>
                          <wps:spPr bwMode="auto">
                            <a:xfrm>
                              <a:off x="7740" y="4439"/>
                              <a:ext cx="1203" cy="120"/>
                            </a:xfrm>
                            <a:custGeom>
                              <a:avLst/>
                              <a:gdLst>
                                <a:gd name="T0" fmla="+- 0 8823 7740"/>
                                <a:gd name="T1" fmla="*/ T0 w 1203"/>
                                <a:gd name="T2" fmla="+- 0 4439 4439"/>
                                <a:gd name="T3" fmla="*/ 4439 h 120"/>
                                <a:gd name="T4" fmla="+- 0 8823 7740"/>
                                <a:gd name="T5" fmla="*/ T4 w 1203"/>
                                <a:gd name="T6" fmla="+- 0 4559 4439"/>
                                <a:gd name="T7" fmla="*/ 4559 h 120"/>
                                <a:gd name="T8" fmla="+- 0 8928 7740"/>
                                <a:gd name="T9" fmla="*/ T8 w 1203"/>
                                <a:gd name="T10" fmla="+- 0 4506 4439"/>
                                <a:gd name="T11" fmla="*/ 4506 h 120"/>
                                <a:gd name="T12" fmla="+- 0 8843 7740"/>
                                <a:gd name="T13" fmla="*/ T12 w 1203"/>
                                <a:gd name="T14" fmla="+- 0 4506 4439"/>
                                <a:gd name="T15" fmla="*/ 4506 h 120"/>
                                <a:gd name="T16" fmla="+- 0 8848 7740"/>
                                <a:gd name="T17" fmla="*/ T16 w 1203"/>
                                <a:gd name="T18" fmla="+- 0 4504 4439"/>
                                <a:gd name="T19" fmla="*/ 4504 h 120"/>
                                <a:gd name="T20" fmla="+- 0 8850 7740"/>
                                <a:gd name="T21" fmla="*/ T20 w 1203"/>
                                <a:gd name="T22" fmla="+- 0 4499 4439"/>
                                <a:gd name="T23" fmla="*/ 4499 h 120"/>
                                <a:gd name="T24" fmla="+- 0 8848 7740"/>
                                <a:gd name="T25" fmla="*/ T24 w 1203"/>
                                <a:gd name="T26" fmla="+- 0 4493 4439"/>
                                <a:gd name="T27" fmla="*/ 4493 h 120"/>
                                <a:gd name="T28" fmla="+- 0 8843 7740"/>
                                <a:gd name="T29" fmla="*/ T28 w 1203"/>
                                <a:gd name="T30" fmla="+- 0 4492 4439"/>
                                <a:gd name="T31" fmla="*/ 4492 h 120"/>
                                <a:gd name="T32" fmla="+- 0 8928 7740"/>
                                <a:gd name="T33" fmla="*/ T32 w 1203"/>
                                <a:gd name="T34" fmla="+- 0 4492 4439"/>
                                <a:gd name="T35" fmla="*/ 4492 h 120"/>
                                <a:gd name="T36" fmla="+- 0 8823 7740"/>
                                <a:gd name="T37" fmla="*/ T36 w 1203"/>
                                <a:gd name="T38" fmla="+- 0 4439 4439"/>
                                <a:gd name="T39" fmla="*/ 443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03" h="120">
                                  <a:moveTo>
                                    <a:pt x="1083" y="0"/>
                                  </a:moveTo>
                                  <a:lnTo>
                                    <a:pt x="1083" y="120"/>
                                  </a:lnTo>
                                  <a:lnTo>
                                    <a:pt x="1188" y="67"/>
                                  </a:lnTo>
                                  <a:lnTo>
                                    <a:pt x="1103" y="67"/>
                                  </a:lnTo>
                                  <a:lnTo>
                                    <a:pt x="1108" y="65"/>
                                  </a:lnTo>
                                  <a:lnTo>
                                    <a:pt x="1110" y="60"/>
                                  </a:lnTo>
                                  <a:lnTo>
                                    <a:pt x="1108" y="54"/>
                                  </a:lnTo>
                                  <a:lnTo>
                                    <a:pt x="1103" y="53"/>
                                  </a:lnTo>
                                  <a:lnTo>
                                    <a:pt x="1188" y="53"/>
                                  </a:lnTo>
                                  <a:lnTo>
                                    <a:pt x="1083" y="0"/>
                                  </a:lnTo>
                                  <a:close/>
                                </a:path>
                              </a:pathLst>
                            </a:custGeom>
                            <a:solidFill>
                              <a:srgbClr val="000000"/>
                            </a:solidFill>
                            <a:ln>
                              <a:noFill/>
                            </a:ln>
                          </wps:spPr>
                          <wps:bodyPr rot="0" vert="horz" wrap="square" lIns="91440" tIns="45720" rIns="91440" bIns="45720" anchor="t" anchorCtr="0" upright="1">
                            <a:noAutofit/>
                          </wps:bodyPr>
                        </wps:wsp>
                        <wps:wsp>
                          <wps:cNvPr id="542" name="Freeform 495"/>
                          <wps:cNvSpPr/>
                          <wps:spPr bwMode="auto">
                            <a:xfrm>
                              <a:off x="7740" y="4439"/>
                              <a:ext cx="1203" cy="120"/>
                            </a:xfrm>
                            <a:custGeom>
                              <a:avLst/>
                              <a:gdLst>
                                <a:gd name="T0" fmla="+- 0 8823 7740"/>
                                <a:gd name="T1" fmla="*/ T0 w 1203"/>
                                <a:gd name="T2" fmla="+- 0 4492 4439"/>
                                <a:gd name="T3" fmla="*/ 4492 h 120"/>
                                <a:gd name="T4" fmla="+- 0 7748 7740"/>
                                <a:gd name="T5" fmla="*/ T4 w 1203"/>
                                <a:gd name="T6" fmla="+- 0 4492 4439"/>
                                <a:gd name="T7" fmla="*/ 4492 h 120"/>
                                <a:gd name="T8" fmla="+- 0 7743 7740"/>
                                <a:gd name="T9" fmla="*/ T8 w 1203"/>
                                <a:gd name="T10" fmla="+- 0 4493 4439"/>
                                <a:gd name="T11" fmla="*/ 4493 h 120"/>
                                <a:gd name="T12" fmla="+- 0 7740 7740"/>
                                <a:gd name="T13" fmla="*/ T12 w 1203"/>
                                <a:gd name="T14" fmla="+- 0 4499 4439"/>
                                <a:gd name="T15" fmla="*/ 4499 h 120"/>
                                <a:gd name="T16" fmla="+- 0 7743 7740"/>
                                <a:gd name="T17" fmla="*/ T16 w 1203"/>
                                <a:gd name="T18" fmla="+- 0 4504 4439"/>
                                <a:gd name="T19" fmla="*/ 4504 h 120"/>
                                <a:gd name="T20" fmla="+- 0 7748 7740"/>
                                <a:gd name="T21" fmla="*/ T20 w 1203"/>
                                <a:gd name="T22" fmla="+- 0 4506 4439"/>
                                <a:gd name="T23" fmla="*/ 4506 h 120"/>
                                <a:gd name="T24" fmla="+- 0 8823 7740"/>
                                <a:gd name="T25" fmla="*/ T24 w 1203"/>
                                <a:gd name="T26" fmla="+- 0 4506 4439"/>
                                <a:gd name="T27" fmla="*/ 4506 h 120"/>
                                <a:gd name="T28" fmla="+- 0 8823 7740"/>
                                <a:gd name="T29" fmla="*/ T28 w 1203"/>
                                <a:gd name="T30" fmla="+- 0 4492 4439"/>
                                <a:gd name="T31" fmla="*/ 44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3" h="120">
                                  <a:moveTo>
                                    <a:pt x="1083" y="53"/>
                                  </a:moveTo>
                                  <a:lnTo>
                                    <a:pt x="8" y="53"/>
                                  </a:lnTo>
                                  <a:lnTo>
                                    <a:pt x="3" y="54"/>
                                  </a:lnTo>
                                  <a:lnTo>
                                    <a:pt x="0" y="60"/>
                                  </a:lnTo>
                                  <a:lnTo>
                                    <a:pt x="3" y="65"/>
                                  </a:lnTo>
                                  <a:lnTo>
                                    <a:pt x="8" y="67"/>
                                  </a:lnTo>
                                  <a:lnTo>
                                    <a:pt x="1083" y="67"/>
                                  </a:lnTo>
                                  <a:lnTo>
                                    <a:pt x="1083" y="53"/>
                                  </a:lnTo>
                                  <a:close/>
                                </a:path>
                              </a:pathLst>
                            </a:custGeom>
                            <a:solidFill>
                              <a:srgbClr val="000000"/>
                            </a:solidFill>
                            <a:ln>
                              <a:noFill/>
                            </a:ln>
                          </wps:spPr>
                          <wps:bodyPr rot="0" vert="horz" wrap="square" lIns="91440" tIns="45720" rIns="91440" bIns="45720" anchor="t" anchorCtr="0" upright="1">
                            <a:noAutofit/>
                          </wps:bodyPr>
                        </wps:wsp>
                        <wps:wsp>
                          <wps:cNvPr id="543" name="Freeform 496"/>
                          <wps:cNvSpPr/>
                          <wps:spPr bwMode="auto">
                            <a:xfrm>
                              <a:off x="7740" y="4439"/>
                              <a:ext cx="1203" cy="120"/>
                            </a:xfrm>
                            <a:custGeom>
                              <a:avLst/>
                              <a:gdLst>
                                <a:gd name="T0" fmla="+- 0 8928 7740"/>
                                <a:gd name="T1" fmla="*/ T0 w 1203"/>
                                <a:gd name="T2" fmla="+- 0 4492 4439"/>
                                <a:gd name="T3" fmla="*/ 4492 h 120"/>
                                <a:gd name="T4" fmla="+- 0 8843 7740"/>
                                <a:gd name="T5" fmla="*/ T4 w 1203"/>
                                <a:gd name="T6" fmla="+- 0 4492 4439"/>
                                <a:gd name="T7" fmla="*/ 4492 h 120"/>
                                <a:gd name="T8" fmla="+- 0 8848 7740"/>
                                <a:gd name="T9" fmla="*/ T8 w 1203"/>
                                <a:gd name="T10" fmla="+- 0 4493 4439"/>
                                <a:gd name="T11" fmla="*/ 4493 h 120"/>
                                <a:gd name="T12" fmla="+- 0 8850 7740"/>
                                <a:gd name="T13" fmla="*/ T12 w 1203"/>
                                <a:gd name="T14" fmla="+- 0 4499 4439"/>
                                <a:gd name="T15" fmla="*/ 4499 h 120"/>
                                <a:gd name="T16" fmla="+- 0 8848 7740"/>
                                <a:gd name="T17" fmla="*/ T16 w 1203"/>
                                <a:gd name="T18" fmla="+- 0 4504 4439"/>
                                <a:gd name="T19" fmla="*/ 4504 h 120"/>
                                <a:gd name="T20" fmla="+- 0 8843 7740"/>
                                <a:gd name="T21" fmla="*/ T20 w 1203"/>
                                <a:gd name="T22" fmla="+- 0 4506 4439"/>
                                <a:gd name="T23" fmla="*/ 4506 h 120"/>
                                <a:gd name="T24" fmla="+- 0 8928 7740"/>
                                <a:gd name="T25" fmla="*/ T24 w 1203"/>
                                <a:gd name="T26" fmla="+- 0 4506 4439"/>
                                <a:gd name="T27" fmla="*/ 4506 h 120"/>
                                <a:gd name="T28" fmla="+- 0 8943 7740"/>
                                <a:gd name="T29" fmla="*/ T28 w 1203"/>
                                <a:gd name="T30" fmla="+- 0 4499 4439"/>
                                <a:gd name="T31" fmla="*/ 4499 h 120"/>
                                <a:gd name="T32" fmla="+- 0 8928 7740"/>
                                <a:gd name="T33" fmla="*/ T32 w 1203"/>
                                <a:gd name="T34" fmla="+- 0 4492 4439"/>
                                <a:gd name="T35" fmla="*/ 449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3" h="120">
                                  <a:moveTo>
                                    <a:pt x="1188" y="53"/>
                                  </a:moveTo>
                                  <a:lnTo>
                                    <a:pt x="1103" y="53"/>
                                  </a:lnTo>
                                  <a:lnTo>
                                    <a:pt x="1108" y="54"/>
                                  </a:lnTo>
                                  <a:lnTo>
                                    <a:pt x="1110" y="60"/>
                                  </a:lnTo>
                                  <a:lnTo>
                                    <a:pt x="1108" y="65"/>
                                  </a:lnTo>
                                  <a:lnTo>
                                    <a:pt x="1103" y="67"/>
                                  </a:lnTo>
                                  <a:lnTo>
                                    <a:pt x="1188" y="67"/>
                                  </a:lnTo>
                                  <a:lnTo>
                                    <a:pt x="1203" y="60"/>
                                  </a:lnTo>
                                  <a:lnTo>
                                    <a:pt x="1188" y="53"/>
                                  </a:lnTo>
                                  <a:close/>
                                </a:path>
                              </a:pathLst>
                            </a:custGeom>
                            <a:solidFill>
                              <a:srgbClr val="000000"/>
                            </a:solidFill>
                            <a:ln>
                              <a:noFill/>
                            </a:ln>
                          </wps:spPr>
                          <wps:bodyPr rot="0" vert="horz" wrap="square" lIns="91440" tIns="45720" rIns="91440" bIns="45720" anchor="t" anchorCtr="0" upright="1">
                            <a:noAutofit/>
                          </wps:bodyPr>
                        </wps:wsp>
                      </wpg:grpSp>
                      <wpg:grpSp>
                        <wpg:cNvPr id="544" name="Group 497"/>
                        <wpg:cNvGrpSpPr/>
                        <wpg:grpSpPr>
                          <a:xfrm>
                            <a:off x="3239" y="5164"/>
                            <a:ext cx="900" cy="360"/>
                            <a:chOff x="3239" y="5164"/>
                            <a:chExt cx="900" cy="360"/>
                          </a:xfrm>
                        </wpg:grpSpPr>
                        <wps:wsp>
                          <wps:cNvPr id="545" name="Freeform 498"/>
                          <wps:cNvSpPr/>
                          <wps:spPr bwMode="auto">
                            <a:xfrm>
                              <a:off x="3239" y="5164"/>
                              <a:ext cx="900" cy="360"/>
                            </a:xfrm>
                            <a:custGeom>
                              <a:avLst/>
                              <a:gdLst>
                                <a:gd name="T0" fmla="+- 0 4139 3239"/>
                                <a:gd name="T1" fmla="*/ T0 w 900"/>
                                <a:gd name="T2" fmla="+- 0 5164 5164"/>
                                <a:gd name="T3" fmla="*/ 5164 h 360"/>
                                <a:gd name="T4" fmla="+- 0 3239 3239"/>
                                <a:gd name="T5" fmla="*/ T4 w 900"/>
                                <a:gd name="T6" fmla="+- 0 5164 5164"/>
                                <a:gd name="T7" fmla="*/ 5164 h 360"/>
                                <a:gd name="T8" fmla="+- 0 3239 3239"/>
                                <a:gd name="T9" fmla="*/ T8 w 900"/>
                                <a:gd name="T10" fmla="+- 0 5524 5164"/>
                                <a:gd name="T11" fmla="*/ 5524 h 360"/>
                                <a:gd name="T12" fmla="+- 0 4139 3239"/>
                                <a:gd name="T13" fmla="*/ T12 w 900"/>
                                <a:gd name="T14" fmla="+- 0 5524 5164"/>
                                <a:gd name="T15" fmla="*/ 5524 h 360"/>
                                <a:gd name="T16" fmla="+- 0 4139 3239"/>
                                <a:gd name="T17" fmla="*/ T16 w 900"/>
                                <a:gd name="T18" fmla="+- 0 5164 5164"/>
                                <a:gd name="T19" fmla="*/ 5164 h 360"/>
                              </a:gdLst>
                              <a:ahLst/>
                              <a:cxnLst>
                                <a:cxn ang="0">
                                  <a:pos x="T1" y="T3"/>
                                </a:cxn>
                                <a:cxn ang="0">
                                  <a:pos x="T5" y="T7"/>
                                </a:cxn>
                                <a:cxn ang="0">
                                  <a:pos x="T9" y="T11"/>
                                </a:cxn>
                                <a:cxn ang="0">
                                  <a:pos x="T13" y="T15"/>
                                </a:cxn>
                                <a:cxn ang="0">
                                  <a:pos x="T17" y="T19"/>
                                </a:cxn>
                              </a:cxnLst>
                              <a:rect l="0" t="0" r="r" b="b"/>
                              <a:pathLst>
                                <a:path w="900" h="360">
                                  <a:moveTo>
                                    <a:pt x="900" y="0"/>
                                  </a:moveTo>
                                  <a:lnTo>
                                    <a:pt x="0" y="0"/>
                                  </a:lnTo>
                                  <a:lnTo>
                                    <a:pt x="0" y="360"/>
                                  </a:lnTo>
                                  <a:lnTo>
                                    <a:pt x="900" y="360"/>
                                  </a:lnTo>
                                  <a:lnTo>
                                    <a:pt x="900" y="0"/>
                                  </a:lnTo>
                                  <a:close/>
                                </a:path>
                              </a:pathLst>
                            </a:custGeom>
                            <a:noFill/>
                            <a:ln w="9525">
                              <a:solidFill>
                                <a:srgbClr val="000000"/>
                              </a:solidFill>
                              <a:round/>
                            </a:ln>
                          </wps:spPr>
                          <wps:bodyPr rot="0" vert="horz" wrap="square" lIns="91440" tIns="45720" rIns="91440" bIns="45720" anchor="t" anchorCtr="0" upright="1">
                            <a:noAutofit/>
                          </wps:bodyPr>
                        </wps:wsp>
                      </wpg:grpSp>
                      <wpg:grpSp>
                        <wpg:cNvPr id="546" name="Group 499"/>
                        <wpg:cNvGrpSpPr/>
                        <wpg:grpSpPr>
                          <a:xfrm>
                            <a:off x="3548" y="4492"/>
                            <a:ext cx="120" cy="728"/>
                            <a:chOff x="3548" y="4492"/>
                            <a:chExt cx="120" cy="728"/>
                          </a:xfrm>
                        </wpg:grpSpPr>
                        <wps:wsp>
                          <wps:cNvPr id="547" name="Freeform 500"/>
                          <wps:cNvSpPr/>
                          <wps:spPr bwMode="auto">
                            <a:xfrm>
                              <a:off x="3548" y="4492"/>
                              <a:ext cx="120" cy="728"/>
                            </a:xfrm>
                            <a:custGeom>
                              <a:avLst/>
                              <a:gdLst>
                                <a:gd name="T0" fmla="+- 0 3600 3548"/>
                                <a:gd name="T1" fmla="*/ T0 w 120"/>
                                <a:gd name="T2" fmla="+- 0 5099 4492"/>
                                <a:gd name="T3" fmla="*/ 5099 h 728"/>
                                <a:gd name="T4" fmla="+- 0 3548 3548"/>
                                <a:gd name="T5" fmla="*/ T4 w 120"/>
                                <a:gd name="T6" fmla="+- 0 5099 4492"/>
                                <a:gd name="T7" fmla="*/ 5099 h 728"/>
                                <a:gd name="T8" fmla="+- 0 3608 3548"/>
                                <a:gd name="T9" fmla="*/ T8 w 120"/>
                                <a:gd name="T10" fmla="+- 0 5219 4492"/>
                                <a:gd name="T11" fmla="*/ 5219 h 728"/>
                                <a:gd name="T12" fmla="+- 0 3654 3548"/>
                                <a:gd name="T13" fmla="*/ T12 w 120"/>
                                <a:gd name="T14" fmla="+- 0 5126 4492"/>
                                <a:gd name="T15" fmla="*/ 5126 h 728"/>
                                <a:gd name="T16" fmla="+- 0 3608 3548"/>
                                <a:gd name="T17" fmla="*/ T16 w 120"/>
                                <a:gd name="T18" fmla="+- 0 5126 4492"/>
                                <a:gd name="T19" fmla="*/ 5126 h 728"/>
                                <a:gd name="T20" fmla="+- 0 3603 3548"/>
                                <a:gd name="T21" fmla="*/ T20 w 120"/>
                                <a:gd name="T22" fmla="+- 0 5124 4492"/>
                                <a:gd name="T23" fmla="*/ 5124 h 728"/>
                                <a:gd name="T24" fmla="+- 0 3600 3548"/>
                                <a:gd name="T25" fmla="*/ T24 w 120"/>
                                <a:gd name="T26" fmla="+- 0 5118 4492"/>
                                <a:gd name="T27" fmla="*/ 5118 h 728"/>
                                <a:gd name="T28" fmla="+- 0 3600 3548"/>
                                <a:gd name="T29" fmla="*/ T28 w 120"/>
                                <a:gd name="T30" fmla="+- 0 5099 4492"/>
                                <a:gd name="T31" fmla="*/ 5099 h 7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728">
                                  <a:moveTo>
                                    <a:pt x="52" y="607"/>
                                  </a:moveTo>
                                  <a:lnTo>
                                    <a:pt x="0" y="607"/>
                                  </a:lnTo>
                                  <a:lnTo>
                                    <a:pt x="60" y="727"/>
                                  </a:lnTo>
                                  <a:lnTo>
                                    <a:pt x="106" y="634"/>
                                  </a:lnTo>
                                  <a:lnTo>
                                    <a:pt x="60" y="634"/>
                                  </a:lnTo>
                                  <a:lnTo>
                                    <a:pt x="55" y="632"/>
                                  </a:lnTo>
                                  <a:lnTo>
                                    <a:pt x="52" y="626"/>
                                  </a:lnTo>
                                  <a:lnTo>
                                    <a:pt x="52" y="607"/>
                                  </a:lnTo>
                                  <a:close/>
                                </a:path>
                              </a:pathLst>
                            </a:custGeom>
                            <a:solidFill>
                              <a:srgbClr val="000000"/>
                            </a:solidFill>
                            <a:ln>
                              <a:noFill/>
                            </a:ln>
                          </wps:spPr>
                          <wps:bodyPr rot="0" vert="horz" wrap="square" lIns="91440" tIns="45720" rIns="91440" bIns="45720" anchor="t" anchorCtr="0" upright="1">
                            <a:noAutofit/>
                          </wps:bodyPr>
                        </wps:wsp>
                        <wps:wsp>
                          <wps:cNvPr id="548" name="Freeform 501"/>
                          <wps:cNvSpPr/>
                          <wps:spPr bwMode="auto">
                            <a:xfrm>
                              <a:off x="3548" y="4492"/>
                              <a:ext cx="120" cy="728"/>
                            </a:xfrm>
                            <a:custGeom>
                              <a:avLst/>
                              <a:gdLst>
                                <a:gd name="T0" fmla="+- 0 3608 3548"/>
                                <a:gd name="T1" fmla="*/ T0 w 120"/>
                                <a:gd name="T2" fmla="+- 0 4492 4492"/>
                                <a:gd name="T3" fmla="*/ 4492 h 728"/>
                                <a:gd name="T4" fmla="+- 0 3603 3548"/>
                                <a:gd name="T5" fmla="*/ T4 w 120"/>
                                <a:gd name="T6" fmla="+- 0 4493 4492"/>
                                <a:gd name="T7" fmla="*/ 4493 h 728"/>
                                <a:gd name="T8" fmla="+- 0 3600 3548"/>
                                <a:gd name="T9" fmla="*/ T8 w 120"/>
                                <a:gd name="T10" fmla="+- 0 4499 4492"/>
                                <a:gd name="T11" fmla="*/ 4499 h 728"/>
                                <a:gd name="T12" fmla="+- 0 3600 3548"/>
                                <a:gd name="T13" fmla="*/ T12 w 120"/>
                                <a:gd name="T14" fmla="+- 0 5118 4492"/>
                                <a:gd name="T15" fmla="*/ 5118 h 728"/>
                                <a:gd name="T16" fmla="+- 0 3603 3548"/>
                                <a:gd name="T17" fmla="*/ T16 w 120"/>
                                <a:gd name="T18" fmla="+- 0 5124 4492"/>
                                <a:gd name="T19" fmla="*/ 5124 h 728"/>
                                <a:gd name="T20" fmla="+- 0 3608 3548"/>
                                <a:gd name="T21" fmla="*/ T20 w 120"/>
                                <a:gd name="T22" fmla="+- 0 5126 4492"/>
                                <a:gd name="T23" fmla="*/ 5126 h 728"/>
                                <a:gd name="T24" fmla="+- 0 3613 3548"/>
                                <a:gd name="T25" fmla="*/ T24 w 120"/>
                                <a:gd name="T26" fmla="+- 0 5124 4492"/>
                                <a:gd name="T27" fmla="*/ 5124 h 728"/>
                                <a:gd name="T28" fmla="+- 0 3616 3548"/>
                                <a:gd name="T29" fmla="*/ T28 w 120"/>
                                <a:gd name="T30" fmla="+- 0 5118 4492"/>
                                <a:gd name="T31" fmla="*/ 5118 h 728"/>
                                <a:gd name="T32" fmla="+- 0 3616 3548"/>
                                <a:gd name="T33" fmla="*/ T32 w 120"/>
                                <a:gd name="T34" fmla="+- 0 4499 4492"/>
                                <a:gd name="T35" fmla="*/ 4499 h 728"/>
                                <a:gd name="T36" fmla="+- 0 3613 3548"/>
                                <a:gd name="T37" fmla="*/ T36 w 120"/>
                                <a:gd name="T38" fmla="+- 0 4493 4492"/>
                                <a:gd name="T39" fmla="*/ 4493 h 728"/>
                                <a:gd name="T40" fmla="+- 0 3608 3548"/>
                                <a:gd name="T41" fmla="*/ T40 w 120"/>
                                <a:gd name="T42" fmla="+- 0 4492 4492"/>
                                <a:gd name="T43" fmla="*/ 4492 h 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728">
                                  <a:moveTo>
                                    <a:pt x="60" y="0"/>
                                  </a:moveTo>
                                  <a:lnTo>
                                    <a:pt x="55" y="1"/>
                                  </a:lnTo>
                                  <a:lnTo>
                                    <a:pt x="52" y="7"/>
                                  </a:lnTo>
                                  <a:lnTo>
                                    <a:pt x="52" y="626"/>
                                  </a:lnTo>
                                  <a:lnTo>
                                    <a:pt x="55" y="632"/>
                                  </a:lnTo>
                                  <a:lnTo>
                                    <a:pt x="60" y="634"/>
                                  </a:lnTo>
                                  <a:lnTo>
                                    <a:pt x="65" y="632"/>
                                  </a:lnTo>
                                  <a:lnTo>
                                    <a:pt x="68" y="626"/>
                                  </a:lnTo>
                                  <a:lnTo>
                                    <a:pt x="68" y="7"/>
                                  </a:lnTo>
                                  <a:lnTo>
                                    <a:pt x="65" y="1"/>
                                  </a:lnTo>
                                  <a:lnTo>
                                    <a:pt x="60" y="0"/>
                                  </a:lnTo>
                                  <a:close/>
                                </a:path>
                              </a:pathLst>
                            </a:custGeom>
                            <a:solidFill>
                              <a:srgbClr val="000000"/>
                            </a:solidFill>
                            <a:ln>
                              <a:noFill/>
                            </a:ln>
                          </wps:spPr>
                          <wps:bodyPr rot="0" vert="horz" wrap="square" lIns="91440" tIns="45720" rIns="91440" bIns="45720" anchor="t" anchorCtr="0" upright="1">
                            <a:noAutofit/>
                          </wps:bodyPr>
                        </wps:wsp>
                        <wps:wsp>
                          <wps:cNvPr id="549" name="Freeform 502"/>
                          <wps:cNvSpPr/>
                          <wps:spPr bwMode="auto">
                            <a:xfrm>
                              <a:off x="3548" y="4492"/>
                              <a:ext cx="120" cy="728"/>
                            </a:xfrm>
                            <a:custGeom>
                              <a:avLst/>
                              <a:gdLst>
                                <a:gd name="T0" fmla="+- 0 3668 3548"/>
                                <a:gd name="T1" fmla="*/ T0 w 120"/>
                                <a:gd name="T2" fmla="+- 0 5099 4492"/>
                                <a:gd name="T3" fmla="*/ 5099 h 728"/>
                                <a:gd name="T4" fmla="+- 0 3616 3548"/>
                                <a:gd name="T5" fmla="*/ T4 w 120"/>
                                <a:gd name="T6" fmla="+- 0 5099 4492"/>
                                <a:gd name="T7" fmla="*/ 5099 h 728"/>
                                <a:gd name="T8" fmla="+- 0 3616 3548"/>
                                <a:gd name="T9" fmla="*/ T8 w 120"/>
                                <a:gd name="T10" fmla="+- 0 5118 4492"/>
                                <a:gd name="T11" fmla="*/ 5118 h 728"/>
                                <a:gd name="T12" fmla="+- 0 3613 3548"/>
                                <a:gd name="T13" fmla="*/ T12 w 120"/>
                                <a:gd name="T14" fmla="+- 0 5124 4492"/>
                                <a:gd name="T15" fmla="*/ 5124 h 728"/>
                                <a:gd name="T16" fmla="+- 0 3608 3548"/>
                                <a:gd name="T17" fmla="*/ T16 w 120"/>
                                <a:gd name="T18" fmla="+- 0 5126 4492"/>
                                <a:gd name="T19" fmla="*/ 5126 h 728"/>
                                <a:gd name="T20" fmla="+- 0 3654 3548"/>
                                <a:gd name="T21" fmla="*/ T20 w 120"/>
                                <a:gd name="T22" fmla="+- 0 5126 4492"/>
                                <a:gd name="T23" fmla="*/ 5126 h 728"/>
                                <a:gd name="T24" fmla="+- 0 3668 3548"/>
                                <a:gd name="T25" fmla="*/ T24 w 120"/>
                                <a:gd name="T26" fmla="+- 0 5099 4492"/>
                                <a:gd name="T27" fmla="*/ 5099 h 728"/>
                              </a:gdLst>
                              <a:ahLst/>
                              <a:cxnLst>
                                <a:cxn ang="0">
                                  <a:pos x="T1" y="T3"/>
                                </a:cxn>
                                <a:cxn ang="0">
                                  <a:pos x="T5" y="T7"/>
                                </a:cxn>
                                <a:cxn ang="0">
                                  <a:pos x="T9" y="T11"/>
                                </a:cxn>
                                <a:cxn ang="0">
                                  <a:pos x="T13" y="T15"/>
                                </a:cxn>
                                <a:cxn ang="0">
                                  <a:pos x="T17" y="T19"/>
                                </a:cxn>
                                <a:cxn ang="0">
                                  <a:pos x="T21" y="T23"/>
                                </a:cxn>
                                <a:cxn ang="0">
                                  <a:pos x="T25" y="T27"/>
                                </a:cxn>
                              </a:cxnLst>
                              <a:rect l="0" t="0" r="r" b="b"/>
                              <a:pathLst>
                                <a:path w="120" h="728">
                                  <a:moveTo>
                                    <a:pt x="120" y="607"/>
                                  </a:moveTo>
                                  <a:lnTo>
                                    <a:pt x="68" y="607"/>
                                  </a:lnTo>
                                  <a:lnTo>
                                    <a:pt x="68" y="626"/>
                                  </a:lnTo>
                                  <a:lnTo>
                                    <a:pt x="65" y="632"/>
                                  </a:lnTo>
                                  <a:lnTo>
                                    <a:pt x="60" y="634"/>
                                  </a:lnTo>
                                  <a:lnTo>
                                    <a:pt x="106" y="634"/>
                                  </a:lnTo>
                                  <a:lnTo>
                                    <a:pt x="120" y="607"/>
                                  </a:lnTo>
                                  <a:close/>
                                </a:path>
                              </a:pathLst>
                            </a:custGeom>
                            <a:solidFill>
                              <a:srgbClr val="000000"/>
                            </a:solidFill>
                            <a:ln>
                              <a:noFill/>
                            </a:ln>
                          </wps:spPr>
                          <wps:bodyPr rot="0" vert="horz" wrap="square" lIns="91440" tIns="45720" rIns="91440" bIns="45720" anchor="t" anchorCtr="0" upright="1">
                            <a:noAutofit/>
                          </wps:bodyPr>
                        </wps:wsp>
                      </wpg:grpSp>
                      <wpg:grpSp>
                        <wpg:cNvPr id="550" name="Group 503"/>
                        <wpg:cNvGrpSpPr/>
                        <wpg:grpSpPr>
                          <a:xfrm>
                            <a:off x="6248" y="4852"/>
                            <a:ext cx="120" cy="944"/>
                            <a:chOff x="6248" y="4852"/>
                            <a:chExt cx="120" cy="944"/>
                          </a:xfrm>
                        </wpg:grpSpPr>
                        <wps:wsp>
                          <wps:cNvPr id="551" name="Freeform 504"/>
                          <wps:cNvSpPr/>
                          <wps:spPr bwMode="auto">
                            <a:xfrm>
                              <a:off x="6248" y="4852"/>
                              <a:ext cx="120" cy="944"/>
                            </a:xfrm>
                            <a:custGeom>
                              <a:avLst/>
                              <a:gdLst>
                                <a:gd name="T0" fmla="+- 0 6300 6248"/>
                                <a:gd name="T1" fmla="*/ T0 w 120"/>
                                <a:gd name="T2" fmla="+- 0 5675 4852"/>
                                <a:gd name="T3" fmla="*/ 5675 h 944"/>
                                <a:gd name="T4" fmla="+- 0 6248 6248"/>
                                <a:gd name="T5" fmla="*/ T4 w 120"/>
                                <a:gd name="T6" fmla="+- 0 5675 4852"/>
                                <a:gd name="T7" fmla="*/ 5675 h 944"/>
                                <a:gd name="T8" fmla="+- 0 6308 6248"/>
                                <a:gd name="T9" fmla="*/ T8 w 120"/>
                                <a:gd name="T10" fmla="+- 0 5795 4852"/>
                                <a:gd name="T11" fmla="*/ 5795 h 944"/>
                                <a:gd name="T12" fmla="+- 0 6354 6248"/>
                                <a:gd name="T13" fmla="*/ T12 w 120"/>
                                <a:gd name="T14" fmla="+- 0 5702 4852"/>
                                <a:gd name="T15" fmla="*/ 5702 h 944"/>
                                <a:gd name="T16" fmla="+- 0 6308 6248"/>
                                <a:gd name="T17" fmla="*/ T16 w 120"/>
                                <a:gd name="T18" fmla="+- 0 5702 4852"/>
                                <a:gd name="T19" fmla="*/ 5702 h 944"/>
                                <a:gd name="T20" fmla="+- 0 6303 6248"/>
                                <a:gd name="T21" fmla="*/ T20 w 120"/>
                                <a:gd name="T22" fmla="+- 0 5700 4852"/>
                                <a:gd name="T23" fmla="*/ 5700 h 944"/>
                                <a:gd name="T24" fmla="+- 0 6300 6248"/>
                                <a:gd name="T25" fmla="*/ T24 w 120"/>
                                <a:gd name="T26" fmla="+- 0 5694 4852"/>
                                <a:gd name="T27" fmla="*/ 5694 h 944"/>
                                <a:gd name="T28" fmla="+- 0 6300 6248"/>
                                <a:gd name="T29" fmla="*/ T28 w 120"/>
                                <a:gd name="T30" fmla="+- 0 5675 4852"/>
                                <a:gd name="T31" fmla="*/ 5675 h 9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944">
                                  <a:moveTo>
                                    <a:pt x="52" y="823"/>
                                  </a:moveTo>
                                  <a:lnTo>
                                    <a:pt x="0" y="823"/>
                                  </a:lnTo>
                                  <a:lnTo>
                                    <a:pt x="60" y="943"/>
                                  </a:lnTo>
                                  <a:lnTo>
                                    <a:pt x="106" y="850"/>
                                  </a:lnTo>
                                  <a:lnTo>
                                    <a:pt x="60" y="850"/>
                                  </a:lnTo>
                                  <a:lnTo>
                                    <a:pt x="55" y="848"/>
                                  </a:lnTo>
                                  <a:lnTo>
                                    <a:pt x="52" y="842"/>
                                  </a:lnTo>
                                  <a:lnTo>
                                    <a:pt x="52" y="823"/>
                                  </a:lnTo>
                                  <a:close/>
                                </a:path>
                              </a:pathLst>
                            </a:custGeom>
                            <a:solidFill>
                              <a:srgbClr val="000000"/>
                            </a:solidFill>
                            <a:ln>
                              <a:noFill/>
                            </a:ln>
                          </wps:spPr>
                          <wps:bodyPr rot="0" vert="horz" wrap="square" lIns="91440" tIns="45720" rIns="91440" bIns="45720" anchor="t" anchorCtr="0" upright="1">
                            <a:noAutofit/>
                          </wps:bodyPr>
                        </wps:wsp>
                        <wps:wsp>
                          <wps:cNvPr id="552" name="Freeform 505"/>
                          <wps:cNvSpPr/>
                          <wps:spPr bwMode="auto">
                            <a:xfrm>
                              <a:off x="6248" y="4852"/>
                              <a:ext cx="120" cy="944"/>
                            </a:xfrm>
                            <a:custGeom>
                              <a:avLst/>
                              <a:gdLst>
                                <a:gd name="T0" fmla="+- 0 6308 6248"/>
                                <a:gd name="T1" fmla="*/ T0 w 120"/>
                                <a:gd name="T2" fmla="+- 0 4852 4852"/>
                                <a:gd name="T3" fmla="*/ 4852 h 944"/>
                                <a:gd name="T4" fmla="+- 0 6303 6248"/>
                                <a:gd name="T5" fmla="*/ T4 w 120"/>
                                <a:gd name="T6" fmla="+- 0 4853 4852"/>
                                <a:gd name="T7" fmla="*/ 4853 h 944"/>
                                <a:gd name="T8" fmla="+- 0 6300 6248"/>
                                <a:gd name="T9" fmla="*/ T8 w 120"/>
                                <a:gd name="T10" fmla="+- 0 4859 4852"/>
                                <a:gd name="T11" fmla="*/ 4859 h 944"/>
                                <a:gd name="T12" fmla="+- 0 6300 6248"/>
                                <a:gd name="T13" fmla="*/ T12 w 120"/>
                                <a:gd name="T14" fmla="+- 0 5694 4852"/>
                                <a:gd name="T15" fmla="*/ 5694 h 944"/>
                                <a:gd name="T16" fmla="+- 0 6303 6248"/>
                                <a:gd name="T17" fmla="*/ T16 w 120"/>
                                <a:gd name="T18" fmla="+- 0 5700 4852"/>
                                <a:gd name="T19" fmla="*/ 5700 h 944"/>
                                <a:gd name="T20" fmla="+- 0 6308 6248"/>
                                <a:gd name="T21" fmla="*/ T20 w 120"/>
                                <a:gd name="T22" fmla="+- 0 5702 4852"/>
                                <a:gd name="T23" fmla="*/ 5702 h 944"/>
                                <a:gd name="T24" fmla="+- 0 6314 6248"/>
                                <a:gd name="T25" fmla="*/ T24 w 120"/>
                                <a:gd name="T26" fmla="+- 0 5700 4852"/>
                                <a:gd name="T27" fmla="*/ 5700 h 944"/>
                                <a:gd name="T28" fmla="+- 0 6316 6248"/>
                                <a:gd name="T29" fmla="*/ T28 w 120"/>
                                <a:gd name="T30" fmla="+- 0 5694 4852"/>
                                <a:gd name="T31" fmla="*/ 5694 h 944"/>
                                <a:gd name="T32" fmla="+- 0 6316 6248"/>
                                <a:gd name="T33" fmla="*/ T32 w 120"/>
                                <a:gd name="T34" fmla="+- 0 4859 4852"/>
                                <a:gd name="T35" fmla="*/ 4859 h 944"/>
                                <a:gd name="T36" fmla="+- 0 6314 6248"/>
                                <a:gd name="T37" fmla="*/ T36 w 120"/>
                                <a:gd name="T38" fmla="+- 0 4853 4852"/>
                                <a:gd name="T39" fmla="*/ 4853 h 944"/>
                                <a:gd name="T40" fmla="+- 0 6308 6248"/>
                                <a:gd name="T41" fmla="*/ T40 w 120"/>
                                <a:gd name="T42" fmla="+- 0 4852 4852"/>
                                <a:gd name="T43" fmla="*/ 4852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944">
                                  <a:moveTo>
                                    <a:pt x="60" y="0"/>
                                  </a:moveTo>
                                  <a:lnTo>
                                    <a:pt x="55" y="1"/>
                                  </a:lnTo>
                                  <a:lnTo>
                                    <a:pt x="52" y="7"/>
                                  </a:lnTo>
                                  <a:lnTo>
                                    <a:pt x="52" y="842"/>
                                  </a:lnTo>
                                  <a:lnTo>
                                    <a:pt x="55" y="848"/>
                                  </a:lnTo>
                                  <a:lnTo>
                                    <a:pt x="60" y="850"/>
                                  </a:lnTo>
                                  <a:lnTo>
                                    <a:pt x="66" y="848"/>
                                  </a:lnTo>
                                  <a:lnTo>
                                    <a:pt x="68" y="842"/>
                                  </a:lnTo>
                                  <a:lnTo>
                                    <a:pt x="68" y="7"/>
                                  </a:lnTo>
                                  <a:lnTo>
                                    <a:pt x="66" y="1"/>
                                  </a:lnTo>
                                  <a:lnTo>
                                    <a:pt x="60" y="0"/>
                                  </a:lnTo>
                                  <a:close/>
                                </a:path>
                              </a:pathLst>
                            </a:custGeom>
                            <a:solidFill>
                              <a:srgbClr val="000000"/>
                            </a:solidFill>
                            <a:ln>
                              <a:noFill/>
                            </a:ln>
                          </wps:spPr>
                          <wps:bodyPr rot="0" vert="horz" wrap="square" lIns="91440" tIns="45720" rIns="91440" bIns="45720" anchor="t" anchorCtr="0" upright="1">
                            <a:noAutofit/>
                          </wps:bodyPr>
                        </wps:wsp>
                        <wps:wsp>
                          <wps:cNvPr id="553" name="Freeform 506"/>
                          <wps:cNvSpPr/>
                          <wps:spPr bwMode="auto">
                            <a:xfrm>
                              <a:off x="6248" y="4852"/>
                              <a:ext cx="120" cy="944"/>
                            </a:xfrm>
                            <a:custGeom>
                              <a:avLst/>
                              <a:gdLst>
                                <a:gd name="T0" fmla="+- 0 6368 6248"/>
                                <a:gd name="T1" fmla="*/ T0 w 120"/>
                                <a:gd name="T2" fmla="+- 0 5675 4852"/>
                                <a:gd name="T3" fmla="*/ 5675 h 944"/>
                                <a:gd name="T4" fmla="+- 0 6316 6248"/>
                                <a:gd name="T5" fmla="*/ T4 w 120"/>
                                <a:gd name="T6" fmla="+- 0 5675 4852"/>
                                <a:gd name="T7" fmla="*/ 5675 h 944"/>
                                <a:gd name="T8" fmla="+- 0 6316 6248"/>
                                <a:gd name="T9" fmla="*/ T8 w 120"/>
                                <a:gd name="T10" fmla="+- 0 5694 4852"/>
                                <a:gd name="T11" fmla="*/ 5694 h 944"/>
                                <a:gd name="T12" fmla="+- 0 6314 6248"/>
                                <a:gd name="T13" fmla="*/ T12 w 120"/>
                                <a:gd name="T14" fmla="+- 0 5700 4852"/>
                                <a:gd name="T15" fmla="*/ 5700 h 944"/>
                                <a:gd name="T16" fmla="+- 0 6308 6248"/>
                                <a:gd name="T17" fmla="*/ T16 w 120"/>
                                <a:gd name="T18" fmla="+- 0 5702 4852"/>
                                <a:gd name="T19" fmla="*/ 5702 h 944"/>
                                <a:gd name="T20" fmla="+- 0 6354 6248"/>
                                <a:gd name="T21" fmla="*/ T20 w 120"/>
                                <a:gd name="T22" fmla="+- 0 5702 4852"/>
                                <a:gd name="T23" fmla="*/ 5702 h 944"/>
                                <a:gd name="T24" fmla="+- 0 6368 6248"/>
                                <a:gd name="T25" fmla="*/ T24 w 120"/>
                                <a:gd name="T26" fmla="+- 0 5675 4852"/>
                                <a:gd name="T27" fmla="*/ 5675 h 944"/>
                              </a:gdLst>
                              <a:ahLst/>
                              <a:cxnLst>
                                <a:cxn ang="0">
                                  <a:pos x="T1" y="T3"/>
                                </a:cxn>
                                <a:cxn ang="0">
                                  <a:pos x="T5" y="T7"/>
                                </a:cxn>
                                <a:cxn ang="0">
                                  <a:pos x="T9" y="T11"/>
                                </a:cxn>
                                <a:cxn ang="0">
                                  <a:pos x="T13" y="T15"/>
                                </a:cxn>
                                <a:cxn ang="0">
                                  <a:pos x="T17" y="T19"/>
                                </a:cxn>
                                <a:cxn ang="0">
                                  <a:pos x="T21" y="T23"/>
                                </a:cxn>
                                <a:cxn ang="0">
                                  <a:pos x="T25" y="T27"/>
                                </a:cxn>
                              </a:cxnLst>
                              <a:rect l="0" t="0" r="r" b="b"/>
                              <a:pathLst>
                                <a:path w="120" h="944">
                                  <a:moveTo>
                                    <a:pt x="120" y="823"/>
                                  </a:moveTo>
                                  <a:lnTo>
                                    <a:pt x="68" y="823"/>
                                  </a:lnTo>
                                  <a:lnTo>
                                    <a:pt x="68" y="842"/>
                                  </a:lnTo>
                                  <a:lnTo>
                                    <a:pt x="66" y="848"/>
                                  </a:lnTo>
                                  <a:lnTo>
                                    <a:pt x="60" y="850"/>
                                  </a:lnTo>
                                  <a:lnTo>
                                    <a:pt x="106" y="850"/>
                                  </a:lnTo>
                                  <a:lnTo>
                                    <a:pt x="120" y="823"/>
                                  </a:lnTo>
                                  <a:close/>
                                </a:path>
                              </a:pathLst>
                            </a:custGeom>
                            <a:solidFill>
                              <a:srgbClr val="000000"/>
                            </a:solidFill>
                            <a:ln>
                              <a:noFill/>
                            </a:ln>
                          </wps:spPr>
                          <wps:bodyPr rot="0" vert="horz" wrap="square" lIns="91440" tIns="45720" rIns="91440" bIns="45720" anchor="t" anchorCtr="0" upright="1">
                            <a:noAutofit/>
                          </wps:bodyPr>
                        </wps:wsp>
                      </wpg:grpSp>
                      <wpg:grpSp>
                        <wpg:cNvPr id="554" name="Group 507"/>
                        <wpg:cNvGrpSpPr/>
                        <wpg:grpSpPr>
                          <a:xfrm>
                            <a:off x="10208" y="4852"/>
                            <a:ext cx="120" cy="548"/>
                            <a:chOff x="10208" y="4852"/>
                            <a:chExt cx="120" cy="548"/>
                          </a:xfrm>
                        </wpg:grpSpPr>
                        <wps:wsp>
                          <wps:cNvPr id="555" name="Freeform 508"/>
                          <wps:cNvSpPr/>
                          <wps:spPr bwMode="auto">
                            <a:xfrm>
                              <a:off x="10208" y="4852"/>
                              <a:ext cx="120" cy="548"/>
                            </a:xfrm>
                            <a:custGeom>
                              <a:avLst/>
                              <a:gdLst>
                                <a:gd name="T0" fmla="+- 0 10260 10208"/>
                                <a:gd name="T1" fmla="*/ T0 w 120"/>
                                <a:gd name="T2" fmla="+- 0 5279 4852"/>
                                <a:gd name="T3" fmla="*/ 5279 h 548"/>
                                <a:gd name="T4" fmla="+- 0 10207 10208"/>
                                <a:gd name="T5" fmla="*/ T4 w 120"/>
                                <a:gd name="T6" fmla="+- 0 5279 4852"/>
                                <a:gd name="T7" fmla="*/ 5279 h 548"/>
                                <a:gd name="T8" fmla="+- 0 10268 10208"/>
                                <a:gd name="T9" fmla="*/ T8 w 120"/>
                                <a:gd name="T10" fmla="+- 0 5399 4852"/>
                                <a:gd name="T11" fmla="*/ 5399 h 548"/>
                                <a:gd name="T12" fmla="+- 0 10314 10208"/>
                                <a:gd name="T13" fmla="*/ T12 w 120"/>
                                <a:gd name="T14" fmla="+- 0 5306 4852"/>
                                <a:gd name="T15" fmla="*/ 5306 h 548"/>
                                <a:gd name="T16" fmla="+- 0 10268 10208"/>
                                <a:gd name="T17" fmla="*/ T16 w 120"/>
                                <a:gd name="T18" fmla="+- 0 5306 4852"/>
                                <a:gd name="T19" fmla="*/ 5306 h 548"/>
                                <a:gd name="T20" fmla="+- 0 10263 10208"/>
                                <a:gd name="T21" fmla="*/ T20 w 120"/>
                                <a:gd name="T22" fmla="+- 0 5304 4852"/>
                                <a:gd name="T23" fmla="*/ 5304 h 548"/>
                                <a:gd name="T24" fmla="+- 0 10260 10208"/>
                                <a:gd name="T25" fmla="*/ T24 w 120"/>
                                <a:gd name="T26" fmla="+- 0 5298 4852"/>
                                <a:gd name="T27" fmla="*/ 5298 h 548"/>
                                <a:gd name="T28" fmla="+- 0 10260 10208"/>
                                <a:gd name="T29" fmla="*/ T28 w 120"/>
                                <a:gd name="T30" fmla="+- 0 5279 4852"/>
                                <a:gd name="T31" fmla="*/ 5279 h 5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8">
                                  <a:moveTo>
                                    <a:pt x="52" y="427"/>
                                  </a:moveTo>
                                  <a:lnTo>
                                    <a:pt x="-1" y="427"/>
                                  </a:lnTo>
                                  <a:lnTo>
                                    <a:pt x="60" y="547"/>
                                  </a:lnTo>
                                  <a:lnTo>
                                    <a:pt x="106" y="454"/>
                                  </a:lnTo>
                                  <a:lnTo>
                                    <a:pt x="60" y="454"/>
                                  </a:lnTo>
                                  <a:lnTo>
                                    <a:pt x="55" y="452"/>
                                  </a:lnTo>
                                  <a:lnTo>
                                    <a:pt x="52" y="446"/>
                                  </a:lnTo>
                                  <a:lnTo>
                                    <a:pt x="52" y="427"/>
                                  </a:lnTo>
                                  <a:close/>
                                </a:path>
                              </a:pathLst>
                            </a:custGeom>
                            <a:solidFill>
                              <a:srgbClr val="000000"/>
                            </a:solidFill>
                            <a:ln>
                              <a:noFill/>
                            </a:ln>
                          </wps:spPr>
                          <wps:bodyPr rot="0" vert="horz" wrap="square" lIns="91440" tIns="45720" rIns="91440" bIns="45720" anchor="t" anchorCtr="0" upright="1">
                            <a:noAutofit/>
                          </wps:bodyPr>
                        </wps:wsp>
                        <wps:wsp>
                          <wps:cNvPr id="556" name="Freeform 509"/>
                          <wps:cNvSpPr/>
                          <wps:spPr bwMode="auto">
                            <a:xfrm>
                              <a:off x="10208" y="4852"/>
                              <a:ext cx="120" cy="548"/>
                            </a:xfrm>
                            <a:custGeom>
                              <a:avLst/>
                              <a:gdLst>
                                <a:gd name="T0" fmla="+- 0 10268 10208"/>
                                <a:gd name="T1" fmla="*/ T0 w 120"/>
                                <a:gd name="T2" fmla="+- 0 4852 4852"/>
                                <a:gd name="T3" fmla="*/ 4852 h 548"/>
                                <a:gd name="T4" fmla="+- 0 10263 10208"/>
                                <a:gd name="T5" fmla="*/ T4 w 120"/>
                                <a:gd name="T6" fmla="+- 0 4853 4852"/>
                                <a:gd name="T7" fmla="*/ 4853 h 548"/>
                                <a:gd name="T8" fmla="+- 0 10260 10208"/>
                                <a:gd name="T9" fmla="*/ T8 w 120"/>
                                <a:gd name="T10" fmla="+- 0 4859 4852"/>
                                <a:gd name="T11" fmla="*/ 4859 h 548"/>
                                <a:gd name="T12" fmla="+- 0 10260 10208"/>
                                <a:gd name="T13" fmla="*/ T12 w 120"/>
                                <a:gd name="T14" fmla="+- 0 5298 4852"/>
                                <a:gd name="T15" fmla="*/ 5298 h 548"/>
                                <a:gd name="T16" fmla="+- 0 10263 10208"/>
                                <a:gd name="T17" fmla="*/ T16 w 120"/>
                                <a:gd name="T18" fmla="+- 0 5304 4852"/>
                                <a:gd name="T19" fmla="*/ 5304 h 548"/>
                                <a:gd name="T20" fmla="+- 0 10268 10208"/>
                                <a:gd name="T21" fmla="*/ T20 w 120"/>
                                <a:gd name="T22" fmla="+- 0 5306 4852"/>
                                <a:gd name="T23" fmla="*/ 5306 h 548"/>
                                <a:gd name="T24" fmla="+- 0 10274 10208"/>
                                <a:gd name="T25" fmla="*/ T24 w 120"/>
                                <a:gd name="T26" fmla="+- 0 5304 4852"/>
                                <a:gd name="T27" fmla="*/ 5304 h 548"/>
                                <a:gd name="T28" fmla="+- 0 10276 10208"/>
                                <a:gd name="T29" fmla="*/ T28 w 120"/>
                                <a:gd name="T30" fmla="+- 0 5298 4852"/>
                                <a:gd name="T31" fmla="*/ 5298 h 548"/>
                                <a:gd name="T32" fmla="+- 0 10276 10208"/>
                                <a:gd name="T33" fmla="*/ T32 w 120"/>
                                <a:gd name="T34" fmla="+- 0 4859 4852"/>
                                <a:gd name="T35" fmla="*/ 4859 h 548"/>
                                <a:gd name="T36" fmla="+- 0 10274 10208"/>
                                <a:gd name="T37" fmla="*/ T36 w 120"/>
                                <a:gd name="T38" fmla="+- 0 4853 4852"/>
                                <a:gd name="T39" fmla="*/ 4853 h 548"/>
                                <a:gd name="T40" fmla="+- 0 10268 10208"/>
                                <a:gd name="T41" fmla="*/ T40 w 120"/>
                                <a:gd name="T42" fmla="+- 0 4852 4852"/>
                                <a:gd name="T43" fmla="*/ 4852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8">
                                  <a:moveTo>
                                    <a:pt x="60" y="0"/>
                                  </a:moveTo>
                                  <a:lnTo>
                                    <a:pt x="55" y="1"/>
                                  </a:lnTo>
                                  <a:lnTo>
                                    <a:pt x="52" y="7"/>
                                  </a:lnTo>
                                  <a:lnTo>
                                    <a:pt x="52" y="446"/>
                                  </a:lnTo>
                                  <a:lnTo>
                                    <a:pt x="55" y="452"/>
                                  </a:lnTo>
                                  <a:lnTo>
                                    <a:pt x="60" y="454"/>
                                  </a:lnTo>
                                  <a:lnTo>
                                    <a:pt x="66" y="452"/>
                                  </a:lnTo>
                                  <a:lnTo>
                                    <a:pt x="68" y="446"/>
                                  </a:lnTo>
                                  <a:lnTo>
                                    <a:pt x="68" y="7"/>
                                  </a:lnTo>
                                  <a:lnTo>
                                    <a:pt x="66" y="1"/>
                                  </a:lnTo>
                                  <a:lnTo>
                                    <a:pt x="60" y="0"/>
                                  </a:lnTo>
                                  <a:close/>
                                </a:path>
                              </a:pathLst>
                            </a:custGeom>
                            <a:solidFill>
                              <a:srgbClr val="000000"/>
                            </a:solidFill>
                            <a:ln>
                              <a:noFill/>
                            </a:ln>
                          </wps:spPr>
                          <wps:bodyPr rot="0" vert="horz" wrap="square" lIns="91440" tIns="45720" rIns="91440" bIns="45720" anchor="t" anchorCtr="0" upright="1">
                            <a:noAutofit/>
                          </wps:bodyPr>
                        </wps:wsp>
                        <wps:wsp>
                          <wps:cNvPr id="557" name="Freeform 510"/>
                          <wps:cNvSpPr/>
                          <wps:spPr bwMode="auto">
                            <a:xfrm>
                              <a:off x="10208" y="4852"/>
                              <a:ext cx="120" cy="548"/>
                            </a:xfrm>
                            <a:custGeom>
                              <a:avLst/>
                              <a:gdLst>
                                <a:gd name="T0" fmla="+- 0 10328 10208"/>
                                <a:gd name="T1" fmla="*/ T0 w 120"/>
                                <a:gd name="T2" fmla="+- 0 5279 4852"/>
                                <a:gd name="T3" fmla="*/ 5279 h 548"/>
                                <a:gd name="T4" fmla="+- 0 10276 10208"/>
                                <a:gd name="T5" fmla="*/ T4 w 120"/>
                                <a:gd name="T6" fmla="+- 0 5279 4852"/>
                                <a:gd name="T7" fmla="*/ 5279 h 548"/>
                                <a:gd name="T8" fmla="+- 0 10276 10208"/>
                                <a:gd name="T9" fmla="*/ T8 w 120"/>
                                <a:gd name="T10" fmla="+- 0 5298 4852"/>
                                <a:gd name="T11" fmla="*/ 5298 h 548"/>
                                <a:gd name="T12" fmla="+- 0 10274 10208"/>
                                <a:gd name="T13" fmla="*/ T12 w 120"/>
                                <a:gd name="T14" fmla="+- 0 5304 4852"/>
                                <a:gd name="T15" fmla="*/ 5304 h 548"/>
                                <a:gd name="T16" fmla="+- 0 10268 10208"/>
                                <a:gd name="T17" fmla="*/ T16 w 120"/>
                                <a:gd name="T18" fmla="+- 0 5306 4852"/>
                                <a:gd name="T19" fmla="*/ 5306 h 548"/>
                                <a:gd name="T20" fmla="+- 0 10314 10208"/>
                                <a:gd name="T21" fmla="*/ T20 w 120"/>
                                <a:gd name="T22" fmla="+- 0 5306 4852"/>
                                <a:gd name="T23" fmla="*/ 5306 h 548"/>
                                <a:gd name="T24" fmla="+- 0 10328 10208"/>
                                <a:gd name="T25" fmla="*/ T24 w 120"/>
                                <a:gd name="T26" fmla="+- 0 5279 4852"/>
                                <a:gd name="T27" fmla="*/ 5279 h 548"/>
                              </a:gdLst>
                              <a:ahLst/>
                              <a:cxnLst>
                                <a:cxn ang="0">
                                  <a:pos x="T1" y="T3"/>
                                </a:cxn>
                                <a:cxn ang="0">
                                  <a:pos x="T5" y="T7"/>
                                </a:cxn>
                                <a:cxn ang="0">
                                  <a:pos x="T9" y="T11"/>
                                </a:cxn>
                                <a:cxn ang="0">
                                  <a:pos x="T13" y="T15"/>
                                </a:cxn>
                                <a:cxn ang="0">
                                  <a:pos x="T17" y="T19"/>
                                </a:cxn>
                                <a:cxn ang="0">
                                  <a:pos x="T21" y="T23"/>
                                </a:cxn>
                                <a:cxn ang="0">
                                  <a:pos x="T25" y="T27"/>
                                </a:cxn>
                              </a:cxnLst>
                              <a:rect l="0" t="0" r="r" b="b"/>
                              <a:pathLst>
                                <a:path w="120" h="548">
                                  <a:moveTo>
                                    <a:pt x="120" y="427"/>
                                  </a:moveTo>
                                  <a:lnTo>
                                    <a:pt x="68" y="427"/>
                                  </a:lnTo>
                                  <a:lnTo>
                                    <a:pt x="68" y="446"/>
                                  </a:lnTo>
                                  <a:lnTo>
                                    <a:pt x="66" y="452"/>
                                  </a:lnTo>
                                  <a:lnTo>
                                    <a:pt x="60" y="454"/>
                                  </a:lnTo>
                                  <a:lnTo>
                                    <a:pt x="106" y="454"/>
                                  </a:lnTo>
                                  <a:lnTo>
                                    <a:pt x="120" y="427"/>
                                  </a:lnTo>
                                  <a:close/>
                                </a:path>
                              </a:pathLst>
                            </a:custGeom>
                            <a:solidFill>
                              <a:srgbClr val="000000"/>
                            </a:solidFill>
                            <a:ln>
                              <a:noFill/>
                            </a:ln>
                          </wps:spPr>
                          <wps:bodyPr rot="0" vert="horz" wrap="square" lIns="91440" tIns="45720" rIns="91440" bIns="45720" anchor="t" anchorCtr="0" upright="1">
                            <a:noAutofit/>
                          </wps:bodyPr>
                        </wps:wsp>
                      </wpg:grpSp>
                      <wpg:grpSp>
                        <wpg:cNvPr id="558" name="Group 511"/>
                        <wpg:cNvGrpSpPr/>
                        <wpg:grpSpPr>
                          <a:xfrm>
                            <a:off x="7328" y="4859"/>
                            <a:ext cx="120" cy="908"/>
                            <a:chOff x="7328" y="4859"/>
                            <a:chExt cx="120" cy="908"/>
                          </a:xfrm>
                        </wpg:grpSpPr>
                        <wps:wsp>
                          <wps:cNvPr id="559" name="Freeform 512"/>
                          <wps:cNvSpPr/>
                          <wps:spPr bwMode="auto">
                            <a:xfrm>
                              <a:off x="7328" y="4859"/>
                              <a:ext cx="120" cy="908"/>
                            </a:xfrm>
                            <a:custGeom>
                              <a:avLst/>
                              <a:gdLst>
                                <a:gd name="T0" fmla="+- 0 7388 7328"/>
                                <a:gd name="T1" fmla="*/ T0 w 120"/>
                                <a:gd name="T2" fmla="+- 0 4951 4859"/>
                                <a:gd name="T3" fmla="*/ 4951 h 908"/>
                                <a:gd name="T4" fmla="+- 0 7383 7328"/>
                                <a:gd name="T5" fmla="*/ T4 w 120"/>
                                <a:gd name="T6" fmla="+- 0 4954 4859"/>
                                <a:gd name="T7" fmla="*/ 4954 h 908"/>
                                <a:gd name="T8" fmla="+- 0 7380 7328"/>
                                <a:gd name="T9" fmla="*/ T8 w 120"/>
                                <a:gd name="T10" fmla="+- 0 4958 4859"/>
                                <a:gd name="T11" fmla="*/ 4958 h 908"/>
                                <a:gd name="T12" fmla="+- 0 7380 7328"/>
                                <a:gd name="T13" fmla="*/ T12 w 120"/>
                                <a:gd name="T14" fmla="+- 0 5759 4859"/>
                                <a:gd name="T15" fmla="*/ 5759 h 908"/>
                                <a:gd name="T16" fmla="+- 0 7383 7328"/>
                                <a:gd name="T17" fmla="*/ T16 w 120"/>
                                <a:gd name="T18" fmla="+- 0 5764 4859"/>
                                <a:gd name="T19" fmla="*/ 5764 h 908"/>
                                <a:gd name="T20" fmla="+- 0 7388 7328"/>
                                <a:gd name="T21" fmla="*/ T20 w 120"/>
                                <a:gd name="T22" fmla="+- 0 5766 4859"/>
                                <a:gd name="T23" fmla="*/ 5766 h 908"/>
                                <a:gd name="T24" fmla="+- 0 7394 7328"/>
                                <a:gd name="T25" fmla="*/ T24 w 120"/>
                                <a:gd name="T26" fmla="+- 0 5764 4859"/>
                                <a:gd name="T27" fmla="*/ 5764 h 908"/>
                                <a:gd name="T28" fmla="+- 0 7396 7328"/>
                                <a:gd name="T29" fmla="*/ T28 w 120"/>
                                <a:gd name="T30" fmla="+- 0 5759 4859"/>
                                <a:gd name="T31" fmla="*/ 5759 h 908"/>
                                <a:gd name="T32" fmla="+- 0 7396 7328"/>
                                <a:gd name="T33" fmla="*/ T32 w 120"/>
                                <a:gd name="T34" fmla="+- 0 4958 4859"/>
                                <a:gd name="T35" fmla="*/ 4958 h 908"/>
                                <a:gd name="T36" fmla="+- 0 7394 7328"/>
                                <a:gd name="T37" fmla="*/ T36 w 120"/>
                                <a:gd name="T38" fmla="+- 0 4954 4859"/>
                                <a:gd name="T39" fmla="*/ 4954 h 908"/>
                                <a:gd name="T40" fmla="+- 0 7388 7328"/>
                                <a:gd name="T41" fmla="*/ T40 w 120"/>
                                <a:gd name="T42" fmla="+- 0 4951 4859"/>
                                <a:gd name="T43" fmla="*/ 4951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908">
                                  <a:moveTo>
                                    <a:pt x="60" y="92"/>
                                  </a:moveTo>
                                  <a:lnTo>
                                    <a:pt x="55" y="95"/>
                                  </a:lnTo>
                                  <a:lnTo>
                                    <a:pt x="52" y="99"/>
                                  </a:lnTo>
                                  <a:lnTo>
                                    <a:pt x="52" y="900"/>
                                  </a:lnTo>
                                  <a:lnTo>
                                    <a:pt x="55" y="905"/>
                                  </a:lnTo>
                                  <a:lnTo>
                                    <a:pt x="60" y="907"/>
                                  </a:lnTo>
                                  <a:lnTo>
                                    <a:pt x="66" y="905"/>
                                  </a:lnTo>
                                  <a:lnTo>
                                    <a:pt x="68" y="900"/>
                                  </a:lnTo>
                                  <a:lnTo>
                                    <a:pt x="68" y="99"/>
                                  </a:lnTo>
                                  <a:lnTo>
                                    <a:pt x="66" y="95"/>
                                  </a:lnTo>
                                  <a:lnTo>
                                    <a:pt x="60" y="92"/>
                                  </a:lnTo>
                                  <a:close/>
                                </a:path>
                              </a:pathLst>
                            </a:custGeom>
                            <a:solidFill>
                              <a:srgbClr val="000000"/>
                            </a:solidFill>
                            <a:ln>
                              <a:noFill/>
                            </a:ln>
                          </wps:spPr>
                          <wps:bodyPr rot="0" vert="horz" wrap="square" lIns="91440" tIns="45720" rIns="91440" bIns="45720" anchor="t" anchorCtr="0" upright="1">
                            <a:noAutofit/>
                          </wps:bodyPr>
                        </wps:wsp>
                        <wps:wsp>
                          <wps:cNvPr id="560" name="Freeform 513"/>
                          <wps:cNvSpPr/>
                          <wps:spPr bwMode="auto">
                            <a:xfrm>
                              <a:off x="7328" y="4859"/>
                              <a:ext cx="120" cy="908"/>
                            </a:xfrm>
                            <a:custGeom>
                              <a:avLst/>
                              <a:gdLst>
                                <a:gd name="T0" fmla="+- 0 7388 7328"/>
                                <a:gd name="T1" fmla="*/ T0 w 120"/>
                                <a:gd name="T2" fmla="+- 0 4859 4859"/>
                                <a:gd name="T3" fmla="*/ 4859 h 908"/>
                                <a:gd name="T4" fmla="+- 0 7328 7328"/>
                                <a:gd name="T5" fmla="*/ T4 w 120"/>
                                <a:gd name="T6" fmla="+- 0 4979 4859"/>
                                <a:gd name="T7" fmla="*/ 4979 h 908"/>
                                <a:gd name="T8" fmla="+- 0 7380 7328"/>
                                <a:gd name="T9" fmla="*/ T8 w 120"/>
                                <a:gd name="T10" fmla="+- 0 4979 4859"/>
                                <a:gd name="T11" fmla="*/ 4979 h 908"/>
                                <a:gd name="T12" fmla="+- 0 7380 7328"/>
                                <a:gd name="T13" fmla="*/ T12 w 120"/>
                                <a:gd name="T14" fmla="+- 0 4958 4859"/>
                                <a:gd name="T15" fmla="*/ 4958 h 908"/>
                                <a:gd name="T16" fmla="+- 0 7383 7328"/>
                                <a:gd name="T17" fmla="*/ T16 w 120"/>
                                <a:gd name="T18" fmla="+- 0 4954 4859"/>
                                <a:gd name="T19" fmla="*/ 4954 h 908"/>
                                <a:gd name="T20" fmla="+- 0 7388 7328"/>
                                <a:gd name="T21" fmla="*/ T20 w 120"/>
                                <a:gd name="T22" fmla="+- 0 4951 4859"/>
                                <a:gd name="T23" fmla="*/ 4951 h 908"/>
                                <a:gd name="T24" fmla="+- 0 7434 7328"/>
                                <a:gd name="T25" fmla="*/ T24 w 120"/>
                                <a:gd name="T26" fmla="+- 0 4951 4859"/>
                                <a:gd name="T27" fmla="*/ 4951 h 908"/>
                                <a:gd name="T28" fmla="+- 0 7388 7328"/>
                                <a:gd name="T29" fmla="*/ T28 w 120"/>
                                <a:gd name="T30" fmla="+- 0 4859 4859"/>
                                <a:gd name="T31" fmla="*/ 4859 h 90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908">
                                  <a:moveTo>
                                    <a:pt x="60" y="0"/>
                                  </a:moveTo>
                                  <a:lnTo>
                                    <a:pt x="0" y="120"/>
                                  </a:lnTo>
                                  <a:lnTo>
                                    <a:pt x="52" y="120"/>
                                  </a:lnTo>
                                  <a:lnTo>
                                    <a:pt x="52" y="99"/>
                                  </a:lnTo>
                                  <a:lnTo>
                                    <a:pt x="55" y="95"/>
                                  </a:lnTo>
                                  <a:lnTo>
                                    <a:pt x="60" y="92"/>
                                  </a:lnTo>
                                  <a:lnTo>
                                    <a:pt x="106" y="92"/>
                                  </a:lnTo>
                                  <a:lnTo>
                                    <a:pt x="60" y="0"/>
                                  </a:lnTo>
                                  <a:close/>
                                </a:path>
                              </a:pathLst>
                            </a:custGeom>
                            <a:solidFill>
                              <a:srgbClr val="000000"/>
                            </a:solidFill>
                            <a:ln>
                              <a:noFill/>
                            </a:ln>
                          </wps:spPr>
                          <wps:bodyPr rot="0" vert="horz" wrap="square" lIns="91440" tIns="45720" rIns="91440" bIns="45720" anchor="t" anchorCtr="0" upright="1">
                            <a:noAutofit/>
                          </wps:bodyPr>
                        </wps:wsp>
                        <wps:wsp>
                          <wps:cNvPr id="561" name="Freeform 514"/>
                          <wps:cNvSpPr/>
                          <wps:spPr bwMode="auto">
                            <a:xfrm>
                              <a:off x="7328" y="4859"/>
                              <a:ext cx="120" cy="908"/>
                            </a:xfrm>
                            <a:custGeom>
                              <a:avLst/>
                              <a:gdLst>
                                <a:gd name="T0" fmla="+- 0 7434 7328"/>
                                <a:gd name="T1" fmla="*/ T0 w 120"/>
                                <a:gd name="T2" fmla="+- 0 4951 4859"/>
                                <a:gd name="T3" fmla="*/ 4951 h 908"/>
                                <a:gd name="T4" fmla="+- 0 7388 7328"/>
                                <a:gd name="T5" fmla="*/ T4 w 120"/>
                                <a:gd name="T6" fmla="+- 0 4951 4859"/>
                                <a:gd name="T7" fmla="*/ 4951 h 908"/>
                                <a:gd name="T8" fmla="+- 0 7394 7328"/>
                                <a:gd name="T9" fmla="*/ T8 w 120"/>
                                <a:gd name="T10" fmla="+- 0 4954 4859"/>
                                <a:gd name="T11" fmla="*/ 4954 h 908"/>
                                <a:gd name="T12" fmla="+- 0 7396 7328"/>
                                <a:gd name="T13" fmla="*/ T12 w 120"/>
                                <a:gd name="T14" fmla="+- 0 4958 4859"/>
                                <a:gd name="T15" fmla="*/ 4958 h 908"/>
                                <a:gd name="T16" fmla="+- 0 7396 7328"/>
                                <a:gd name="T17" fmla="*/ T16 w 120"/>
                                <a:gd name="T18" fmla="+- 0 4979 4859"/>
                                <a:gd name="T19" fmla="*/ 4979 h 908"/>
                                <a:gd name="T20" fmla="+- 0 7448 7328"/>
                                <a:gd name="T21" fmla="*/ T20 w 120"/>
                                <a:gd name="T22" fmla="+- 0 4979 4859"/>
                                <a:gd name="T23" fmla="*/ 4979 h 908"/>
                                <a:gd name="T24" fmla="+- 0 7434 7328"/>
                                <a:gd name="T25" fmla="*/ T24 w 120"/>
                                <a:gd name="T26" fmla="+- 0 4951 4859"/>
                                <a:gd name="T27" fmla="*/ 4951 h 908"/>
                              </a:gdLst>
                              <a:ahLst/>
                              <a:cxnLst>
                                <a:cxn ang="0">
                                  <a:pos x="T1" y="T3"/>
                                </a:cxn>
                                <a:cxn ang="0">
                                  <a:pos x="T5" y="T7"/>
                                </a:cxn>
                                <a:cxn ang="0">
                                  <a:pos x="T9" y="T11"/>
                                </a:cxn>
                                <a:cxn ang="0">
                                  <a:pos x="T13" y="T15"/>
                                </a:cxn>
                                <a:cxn ang="0">
                                  <a:pos x="T17" y="T19"/>
                                </a:cxn>
                                <a:cxn ang="0">
                                  <a:pos x="T21" y="T23"/>
                                </a:cxn>
                                <a:cxn ang="0">
                                  <a:pos x="T25" y="T27"/>
                                </a:cxn>
                              </a:cxnLst>
                              <a:rect l="0" t="0" r="r" b="b"/>
                              <a:pathLst>
                                <a:path w="120" h="908">
                                  <a:moveTo>
                                    <a:pt x="106" y="92"/>
                                  </a:moveTo>
                                  <a:lnTo>
                                    <a:pt x="60" y="92"/>
                                  </a:lnTo>
                                  <a:lnTo>
                                    <a:pt x="66" y="95"/>
                                  </a:lnTo>
                                  <a:lnTo>
                                    <a:pt x="68" y="99"/>
                                  </a:lnTo>
                                  <a:lnTo>
                                    <a:pt x="68" y="120"/>
                                  </a:lnTo>
                                  <a:lnTo>
                                    <a:pt x="120" y="120"/>
                                  </a:lnTo>
                                  <a:lnTo>
                                    <a:pt x="106" y="92"/>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562" name="Picture 5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2879" y="5284"/>
                              <a:ext cx="282" cy="120"/>
                            </a:xfrm>
                            <a:prstGeom prst="rect">
                              <a:avLst/>
                            </a:prstGeom>
                            <a:noFill/>
                            <a:ln>
                              <a:noFill/>
                            </a:ln>
                          </pic:spPr>
                        </pic:pic>
                      </wpg:grpSp>
                      <wpg:grpSp>
                        <wpg:cNvPr id="563" name="Group 516"/>
                        <wpg:cNvGrpSpPr/>
                        <wpg:grpSpPr>
                          <a:xfrm>
                            <a:off x="8" y="0"/>
                            <a:ext cx="11340" cy="6288"/>
                            <a:chOff x="8" y="0"/>
                            <a:chExt cx="11340" cy="6288"/>
                          </a:xfrm>
                        </wpg:grpSpPr>
                        <wps:wsp>
                          <wps:cNvPr id="564" name="Freeform 517"/>
                          <wps:cNvSpPr/>
                          <wps:spPr bwMode="auto">
                            <a:xfrm>
                              <a:off x="7388" y="5760"/>
                              <a:ext cx="998" cy="2"/>
                            </a:xfrm>
                            <a:custGeom>
                              <a:avLst/>
                              <a:gdLst>
                                <a:gd name="T0" fmla="+- 0 8385 7388"/>
                                <a:gd name="T1" fmla="*/ T0 w 998"/>
                                <a:gd name="T2" fmla="+- 0 7388 7388"/>
                                <a:gd name="T3" fmla="*/ T2 w 998"/>
                              </a:gdLst>
                              <a:ahLst/>
                              <a:cxnLst>
                                <a:cxn ang="0">
                                  <a:pos x="T1" y="0"/>
                                </a:cxn>
                                <a:cxn ang="0">
                                  <a:pos x="T3" y="0"/>
                                </a:cxn>
                              </a:cxnLst>
                              <a:rect l="0" t="0" r="r" b="b"/>
                              <a:pathLst>
                                <a:path w="998">
                                  <a:moveTo>
                                    <a:pt x="997" y="0"/>
                                  </a:moveTo>
                                  <a:lnTo>
                                    <a:pt x="0" y="0"/>
                                  </a:lnTo>
                                </a:path>
                              </a:pathLst>
                            </a:custGeom>
                            <a:noFill/>
                            <a:ln w="9525">
                              <a:solidFill>
                                <a:srgbClr val="000000"/>
                              </a:solidFill>
                              <a:round/>
                            </a:ln>
                          </wps:spPr>
                          <wps:bodyPr rot="0" vert="horz" wrap="square" lIns="91440" tIns="45720" rIns="91440" bIns="45720" anchor="t" anchorCtr="0" upright="1">
                            <a:noAutofit/>
                          </wps:bodyPr>
                        </wps:wsp>
                        <wps:wsp>
                          <wps:cNvPr id="565" name="Text Box 518"/>
                          <wps:cNvSpPr txBox="1">
                            <a:spLocks noChangeArrowheads="1"/>
                          </wps:cNvSpPr>
                          <wps:spPr bwMode="auto">
                            <a:xfrm>
                              <a:off x="8" y="988"/>
                              <a:ext cx="2990" cy="360"/>
                            </a:xfrm>
                            <a:prstGeom prst="rect">
                              <a:avLst/>
                            </a:prstGeom>
                            <a:noFill/>
                            <a:ln>
                              <a:noFill/>
                            </a:ln>
                          </wps:spPr>
                          <wps:txbx>
                            <w:txbxContent>
                              <w:p w14:paraId="1F20B9A0">
                                <w:pPr>
                                  <w:snapToGrid w:val="0"/>
                                  <w:spacing w:before="44" w:beforeLines="15" w:line="264" w:lineRule="auto"/>
                                  <w:ind w:left="152"/>
                                  <w:rPr>
                                    <w:rFonts w:ascii="Arial" w:hAnsi="Arial" w:eastAsia="宋体" w:cs="Arial"/>
                                    <w:sz w:val="15"/>
                                    <w:szCs w:val="15"/>
                                  </w:rPr>
                                </w:pPr>
                                <w:r>
                                  <w:rPr>
                                    <w:rFonts w:ascii="Arial" w:hAnsi="Arial" w:eastAsia="宋体" w:cs="Arial"/>
                                    <w:sz w:val="15"/>
                                    <w:szCs w:val="15"/>
                                  </w:rPr>
                                  <w:t>CI /申办方修改提交材料。</w:t>
                                </w:r>
                              </w:p>
                            </w:txbxContent>
                          </wps:txbx>
                          <wps:bodyPr rot="0" vert="horz" wrap="square" lIns="0" tIns="0" rIns="0" bIns="0" anchor="t" anchorCtr="0" upright="1">
                            <a:noAutofit/>
                          </wps:bodyPr>
                        </wps:wsp>
                        <wps:wsp>
                          <wps:cNvPr id="566" name="Text Box 519"/>
                          <wps:cNvSpPr txBox="1">
                            <a:spLocks noChangeArrowheads="1"/>
                          </wps:cNvSpPr>
                          <wps:spPr bwMode="auto">
                            <a:xfrm>
                              <a:off x="3788" y="1080"/>
                              <a:ext cx="6166" cy="540"/>
                            </a:xfrm>
                            <a:prstGeom prst="rect">
                              <a:avLst/>
                            </a:prstGeom>
                            <a:noFill/>
                            <a:ln>
                              <a:noFill/>
                            </a:ln>
                          </wps:spPr>
                          <wps:txbx>
                            <w:txbxContent>
                              <w:p w14:paraId="457DF243">
                                <w:pPr>
                                  <w:snapToGrid w:val="0"/>
                                  <w:spacing w:before="44" w:beforeLines="15" w:line="264" w:lineRule="auto"/>
                                  <w:ind w:left="152" w:right="138"/>
                                  <w:rPr>
                                    <w:rFonts w:ascii="Arial" w:hAnsi="Arial" w:eastAsia="宋体" w:cs="Arial"/>
                                    <w:sz w:val="15"/>
                                    <w:szCs w:val="15"/>
                                  </w:rPr>
                                </w:pPr>
                                <w:r>
                                  <w:rPr>
                                    <w:rFonts w:ascii="Arial" w:hAnsi="Arial" w:eastAsia="宋体" w:cs="Arial"/>
                                    <w:sz w:val="15"/>
                                    <w:szCs w:val="15"/>
                                  </w:rPr>
                                  <w:t>IRB根据其SOP审查提交材料，确定材料是否含有21 CFR 50.24（a）和（b）要求的要素。是否已提供所有要素？</w:t>
                                </w:r>
                              </w:p>
                            </w:txbxContent>
                          </wps:txbx>
                          <wps:bodyPr rot="0" vert="horz" wrap="square" lIns="0" tIns="0" rIns="0" bIns="0" anchor="t" anchorCtr="0" upright="1">
                            <a:noAutofit/>
                          </wps:bodyPr>
                        </wps:wsp>
                        <wps:wsp>
                          <wps:cNvPr id="567" name="Text Box 520"/>
                          <wps:cNvSpPr txBox="1">
                            <a:spLocks noChangeArrowheads="1"/>
                          </wps:cNvSpPr>
                          <wps:spPr bwMode="auto">
                            <a:xfrm>
                              <a:off x="2888" y="1708"/>
                              <a:ext cx="599" cy="360"/>
                            </a:xfrm>
                            <a:prstGeom prst="rect">
                              <a:avLst/>
                            </a:prstGeom>
                            <a:noFill/>
                            <a:ln>
                              <a:noFill/>
                            </a:ln>
                          </wps:spPr>
                          <wps:txbx>
                            <w:txbxContent>
                              <w:p w14:paraId="0BC3C497">
                                <w:pPr>
                                  <w:snapToGrid w:val="0"/>
                                  <w:spacing w:before="44" w:beforeLines="15" w:line="264" w:lineRule="auto"/>
                                  <w:ind w:left="152"/>
                                  <w:rPr>
                                    <w:rFonts w:ascii="Arial" w:hAnsi="Arial" w:eastAsia="宋体" w:cs="Arial"/>
                                    <w:sz w:val="15"/>
                                    <w:szCs w:val="15"/>
                                  </w:rPr>
                                </w:pPr>
                                <w:r>
                                  <w:rPr>
                                    <w:rFonts w:ascii="Arial" w:hAnsi="Arial" w:eastAsia="宋体" w:cs="Arial"/>
                                    <w:sz w:val="15"/>
                                    <w:szCs w:val="15"/>
                                  </w:rPr>
                                  <w:t>否</w:t>
                                </w:r>
                              </w:p>
                            </w:txbxContent>
                          </wps:txbx>
                          <wps:bodyPr rot="0" vert="horz" wrap="square" lIns="0" tIns="0" rIns="0" bIns="0" anchor="t" anchorCtr="0" upright="1">
                            <a:noAutofit/>
                          </wps:bodyPr>
                        </wps:wsp>
                        <wps:wsp>
                          <wps:cNvPr id="568" name="Text Box 521"/>
                          <wps:cNvSpPr txBox="1">
                            <a:spLocks noChangeArrowheads="1"/>
                          </wps:cNvSpPr>
                          <wps:spPr bwMode="auto">
                            <a:xfrm>
                              <a:off x="7748" y="1800"/>
                              <a:ext cx="798" cy="360"/>
                            </a:xfrm>
                            <a:prstGeom prst="rect">
                              <a:avLst/>
                            </a:prstGeom>
                            <a:noFill/>
                            <a:ln>
                              <a:noFill/>
                            </a:ln>
                          </wps:spPr>
                          <wps:txbx>
                            <w:txbxContent>
                              <w:p w14:paraId="70599CEF">
                                <w:pPr>
                                  <w:snapToGrid w:val="0"/>
                                  <w:spacing w:before="44" w:beforeLines="15" w:line="264" w:lineRule="auto"/>
                                  <w:ind w:left="152"/>
                                  <w:rPr>
                                    <w:rFonts w:ascii="Arial" w:hAnsi="Arial" w:eastAsia="宋体" w:cs="Arial"/>
                                    <w:sz w:val="15"/>
                                    <w:szCs w:val="15"/>
                                  </w:rPr>
                                </w:pPr>
                                <w:r>
                                  <w:rPr>
                                    <w:rFonts w:hint="eastAsia" w:ascii="Arial" w:hAnsi="Arial" w:eastAsia="宋体" w:cs="Arial"/>
                                    <w:sz w:val="15"/>
                                    <w:szCs w:val="15"/>
                                  </w:rPr>
                                  <w:t>是</w:t>
                                </w:r>
                              </w:p>
                            </w:txbxContent>
                          </wps:txbx>
                          <wps:bodyPr rot="0" vert="horz" wrap="square" lIns="0" tIns="0" rIns="0" bIns="0" anchor="t" anchorCtr="0" upright="1">
                            <a:noAutofit/>
                          </wps:bodyPr>
                        </wps:wsp>
                        <wps:wsp>
                          <wps:cNvPr id="569" name="Text Box 522"/>
                          <wps:cNvSpPr txBox="1">
                            <a:spLocks noChangeArrowheads="1"/>
                          </wps:cNvSpPr>
                          <wps:spPr bwMode="auto">
                            <a:xfrm>
                              <a:off x="2708" y="2520"/>
                              <a:ext cx="6300" cy="540"/>
                            </a:xfrm>
                            <a:prstGeom prst="rect">
                              <a:avLst/>
                            </a:prstGeom>
                            <a:noFill/>
                            <a:ln>
                              <a:noFill/>
                            </a:ln>
                          </wps:spPr>
                          <wps:txbx>
                            <w:txbxContent>
                              <w:p w14:paraId="38E672FD">
                                <w:pPr>
                                  <w:snapToGrid w:val="0"/>
                                  <w:spacing w:before="44" w:beforeLines="15" w:line="264" w:lineRule="auto"/>
                                  <w:ind w:left="152"/>
                                  <w:rPr>
                                    <w:rFonts w:ascii="Arial" w:hAnsi="Arial" w:eastAsia="宋体" w:cs="Arial"/>
                                    <w:sz w:val="15"/>
                                    <w:szCs w:val="15"/>
                                  </w:rPr>
                                </w:pPr>
                                <w:r>
                                  <w:rPr>
                                    <w:rFonts w:ascii="Arial" w:hAnsi="Arial" w:eastAsia="宋体" w:cs="Arial"/>
                                    <w:sz w:val="15"/>
                                    <w:szCs w:val="15"/>
                                  </w:rPr>
                                  <w:t>IRB审查社区咨询计划**（21 CFR 50.24（a）（7）（i））。 计划是否充分？</w:t>
                                </w:r>
                              </w:p>
                            </w:txbxContent>
                          </wps:txbx>
                          <wps:bodyPr rot="0" vert="horz" wrap="square" lIns="0" tIns="0" rIns="0" bIns="0" anchor="t" anchorCtr="0" upright="1">
                            <a:noAutofit/>
                          </wps:bodyPr>
                        </wps:wsp>
                        <wps:wsp>
                          <wps:cNvPr id="570" name="Text Box 523"/>
                          <wps:cNvSpPr txBox="1">
                            <a:spLocks noChangeArrowheads="1"/>
                          </wps:cNvSpPr>
                          <wps:spPr bwMode="auto">
                            <a:xfrm>
                              <a:off x="7928" y="3419"/>
                              <a:ext cx="3389" cy="628"/>
                            </a:xfrm>
                            <a:prstGeom prst="rect">
                              <a:avLst/>
                            </a:prstGeom>
                            <a:noFill/>
                            <a:ln>
                              <a:noFill/>
                            </a:ln>
                          </wps:spPr>
                          <wps:txbx>
                            <w:txbxContent>
                              <w:p w14:paraId="7BD6189E">
                                <w:pPr>
                                  <w:snapToGrid w:val="0"/>
                                  <w:spacing w:before="44" w:beforeLines="15" w:line="264" w:lineRule="auto"/>
                                  <w:ind w:left="152" w:right="131"/>
                                  <w:rPr>
                                    <w:rFonts w:ascii="Arial" w:hAnsi="Arial" w:eastAsia="宋体" w:cs="Arial"/>
                                    <w:sz w:val="15"/>
                                    <w:szCs w:val="15"/>
                                  </w:rPr>
                                </w:pPr>
                                <w:r>
                                  <w:rPr>
                                    <w:rFonts w:ascii="Arial" w:hAnsi="Arial" w:eastAsia="宋体" w:cs="Arial"/>
                                    <w:sz w:val="15"/>
                                    <w:szCs w:val="15"/>
                                  </w:rPr>
                                  <w:t>进行社区咨询活动，CI向IRB提供社区反馈。</w:t>
                                </w:r>
                              </w:p>
                            </w:txbxContent>
                          </wps:txbx>
                          <wps:bodyPr rot="0" vert="horz" wrap="square" lIns="0" tIns="0" rIns="0" bIns="0" anchor="t" anchorCtr="0" upright="1">
                            <a:noAutofit/>
                          </wps:bodyPr>
                        </wps:wsp>
                        <wps:wsp>
                          <wps:cNvPr id="571" name="Text Box 524"/>
                          <wps:cNvSpPr txBox="1">
                            <a:spLocks noChangeArrowheads="1"/>
                          </wps:cNvSpPr>
                          <wps:spPr bwMode="auto">
                            <a:xfrm>
                              <a:off x="4148" y="4139"/>
                              <a:ext cx="3588" cy="720"/>
                            </a:xfrm>
                            <a:prstGeom prst="rect">
                              <a:avLst/>
                            </a:prstGeom>
                            <a:noFill/>
                            <a:ln>
                              <a:noFill/>
                            </a:ln>
                          </wps:spPr>
                          <wps:txbx>
                            <w:txbxContent>
                              <w:p w14:paraId="5F7B54E4">
                                <w:pPr>
                                  <w:snapToGrid w:val="0"/>
                                  <w:spacing w:before="44" w:beforeLines="15" w:line="264" w:lineRule="auto"/>
                                  <w:ind w:left="152" w:right="656"/>
                                  <w:rPr>
                                    <w:rFonts w:ascii="Arial" w:hAnsi="Arial" w:eastAsia="宋体" w:cs="Arial"/>
                                    <w:sz w:val="15"/>
                                    <w:szCs w:val="15"/>
                                  </w:rPr>
                                </w:pPr>
                                <w:r>
                                  <w:rPr>
                                    <w:rFonts w:ascii="Arial" w:hAnsi="Arial" w:eastAsia="宋体" w:cs="Arial"/>
                                    <w:sz w:val="15"/>
                                    <w:szCs w:val="15"/>
                                  </w:rPr>
                                  <w:t>IRB决定研究是否适合社区，并在IRB会议记录中记录决定。</w:t>
                                </w:r>
                              </w:p>
                            </w:txbxContent>
                          </wps:txbx>
                          <wps:bodyPr rot="0" vert="horz" wrap="square" lIns="0" tIns="0" rIns="0" bIns="0" anchor="t" anchorCtr="0" upright="1">
                            <a:noAutofit/>
                          </wps:bodyPr>
                        </wps:wsp>
                        <wps:wsp>
                          <wps:cNvPr id="572" name="Text Box 525"/>
                          <wps:cNvSpPr txBox="1">
                            <a:spLocks noChangeArrowheads="1"/>
                          </wps:cNvSpPr>
                          <wps:spPr bwMode="auto">
                            <a:xfrm>
                              <a:off x="3341" y="5220"/>
                              <a:ext cx="277" cy="262"/>
                            </a:xfrm>
                            <a:prstGeom prst="rect">
                              <a:avLst/>
                            </a:prstGeom>
                            <a:noFill/>
                            <a:ln>
                              <a:noFill/>
                            </a:ln>
                          </wps:spPr>
                          <wps:txbx>
                            <w:txbxContent>
                              <w:p w14:paraId="19749376">
                                <w:pPr>
                                  <w:snapToGrid w:val="0"/>
                                  <w:spacing w:before="44" w:beforeLines="15" w:line="264" w:lineRule="auto"/>
                                  <w:rPr>
                                    <w:rFonts w:ascii="Arial" w:hAnsi="Arial" w:eastAsia="宋体" w:cs="Arial"/>
                                    <w:sz w:val="15"/>
                                    <w:szCs w:val="15"/>
                                  </w:rPr>
                                </w:pPr>
                                <w:r>
                                  <w:rPr>
                                    <w:rFonts w:ascii="Arial" w:hAnsi="Arial" w:eastAsia="宋体" w:cs="Arial"/>
                                    <w:spacing w:val="-1"/>
                                    <w:sz w:val="15"/>
                                    <w:szCs w:val="15"/>
                                  </w:rPr>
                                  <w:t>否</w:t>
                                </w:r>
                              </w:p>
                            </w:txbxContent>
                          </wps:txbx>
                          <wps:bodyPr rot="0" vert="horz" wrap="square" lIns="0" tIns="0" rIns="0" bIns="0" anchor="t" anchorCtr="0" upright="1">
                            <a:noAutofit/>
                          </wps:bodyPr>
                        </wps:wsp>
                        <wps:wsp>
                          <wps:cNvPr id="573" name="Text Box 526"/>
                          <wps:cNvSpPr txBox="1">
                            <a:spLocks noChangeArrowheads="1"/>
                          </wps:cNvSpPr>
                          <wps:spPr bwMode="auto">
                            <a:xfrm>
                              <a:off x="1988" y="0"/>
                              <a:ext cx="8820" cy="720"/>
                            </a:xfrm>
                            <a:prstGeom prst="rect">
                              <a:avLst/>
                            </a:prstGeom>
                            <a:noFill/>
                            <a:ln w="9525">
                              <a:solidFill>
                                <a:srgbClr val="000000"/>
                              </a:solidFill>
                              <a:miter lim="800000"/>
                            </a:ln>
                          </wps:spPr>
                          <wps:txbx>
                            <w:txbxContent>
                              <w:p w14:paraId="2849C72C">
                                <w:pPr>
                                  <w:snapToGrid w:val="0"/>
                                  <w:spacing w:before="44" w:beforeLines="15" w:line="264" w:lineRule="auto"/>
                                  <w:ind w:left="144" w:right="193"/>
                                  <w:rPr>
                                    <w:rFonts w:ascii="Arial" w:hAnsi="Arial" w:eastAsia="宋体" w:cs="Arial"/>
                                    <w:sz w:val="15"/>
                                    <w:szCs w:val="15"/>
                                  </w:rPr>
                                </w:pPr>
                                <w:r>
                                  <w:rPr>
                                    <w:rFonts w:ascii="Arial" w:hAnsi="Arial" w:eastAsia="宋体" w:cs="Arial"/>
                                    <w:sz w:val="15"/>
                                    <w:szCs w:val="15"/>
                                  </w:rPr>
                                  <w:t>临床研究者（CI）向IRB提交已豁免知情同意的研究。（提交材料包括研究方案，知情同意书，LAR或家庭成员联系程序，社区咨询和公开披露计划。*）</w:t>
                                </w:r>
                              </w:p>
                            </w:txbxContent>
                          </wps:txbx>
                          <wps:bodyPr rot="0" vert="horz" wrap="square" lIns="0" tIns="0" rIns="0" bIns="0" anchor="t" anchorCtr="0" upright="1">
                            <a:noAutofit/>
                          </wps:bodyPr>
                        </wps:wsp>
                        <wps:wsp>
                          <wps:cNvPr id="574" name="Text Box 527"/>
                          <wps:cNvSpPr txBox="1">
                            <a:spLocks noChangeArrowheads="1"/>
                          </wps:cNvSpPr>
                          <wps:spPr bwMode="auto">
                            <a:xfrm>
                              <a:off x="10268" y="2520"/>
                              <a:ext cx="798" cy="360"/>
                            </a:xfrm>
                            <a:prstGeom prst="rect">
                              <a:avLst/>
                            </a:prstGeom>
                            <a:noFill/>
                            <a:ln w="9525">
                              <a:solidFill>
                                <a:srgbClr val="000000"/>
                              </a:solidFill>
                              <a:miter lim="800000"/>
                            </a:ln>
                          </wps:spPr>
                          <wps:txbx>
                            <w:txbxContent>
                              <w:p w14:paraId="316AAA64">
                                <w:pPr>
                                  <w:snapToGrid w:val="0"/>
                                  <w:spacing w:before="44" w:beforeLines="15" w:line="264" w:lineRule="auto"/>
                                  <w:ind w:left="144"/>
                                  <w:rPr>
                                    <w:rFonts w:ascii="Arial" w:hAnsi="Arial" w:eastAsia="宋体" w:cs="Arial"/>
                                    <w:sz w:val="15"/>
                                    <w:szCs w:val="15"/>
                                  </w:rPr>
                                </w:pPr>
                                <w:r>
                                  <w:rPr>
                                    <w:rFonts w:hint="eastAsia" w:ascii="Arial" w:hAnsi="Arial" w:eastAsia="宋体" w:cs="Arial"/>
                                    <w:sz w:val="15"/>
                                    <w:szCs w:val="15"/>
                                  </w:rPr>
                                  <w:t>是</w:t>
                                </w:r>
                              </w:p>
                            </w:txbxContent>
                          </wps:txbx>
                          <wps:bodyPr rot="0" vert="horz" wrap="square" lIns="0" tIns="0" rIns="0" bIns="0" anchor="t" anchorCtr="0" upright="1">
                            <a:noAutofit/>
                          </wps:bodyPr>
                        </wps:wsp>
                        <wps:wsp>
                          <wps:cNvPr id="575" name="Text Box 528"/>
                          <wps:cNvSpPr txBox="1">
                            <a:spLocks noChangeArrowheads="1"/>
                          </wps:cNvSpPr>
                          <wps:spPr bwMode="auto">
                            <a:xfrm>
                              <a:off x="188" y="3239"/>
                              <a:ext cx="2790" cy="540"/>
                            </a:xfrm>
                            <a:prstGeom prst="rect">
                              <a:avLst/>
                            </a:prstGeom>
                            <a:noFill/>
                            <a:ln w="9525">
                              <a:solidFill>
                                <a:srgbClr val="000000"/>
                              </a:solidFill>
                              <a:miter lim="800000"/>
                            </a:ln>
                          </wps:spPr>
                          <wps:txbx>
                            <w:txbxContent>
                              <w:p w14:paraId="64179C23">
                                <w:pPr>
                                  <w:snapToGrid w:val="0"/>
                                  <w:spacing w:before="44" w:beforeLines="15" w:line="264" w:lineRule="auto"/>
                                  <w:ind w:left="144" w:right="735"/>
                                  <w:rPr>
                                    <w:rFonts w:ascii="Arial" w:hAnsi="Arial" w:eastAsia="宋体" w:cs="Arial"/>
                                    <w:sz w:val="15"/>
                                    <w:szCs w:val="15"/>
                                  </w:rPr>
                                </w:pPr>
                                <w:r>
                                  <w:rPr>
                                    <w:rFonts w:ascii="Arial" w:hAnsi="Arial" w:eastAsia="宋体" w:cs="Arial"/>
                                    <w:sz w:val="15"/>
                                    <w:szCs w:val="15"/>
                                  </w:rPr>
                                  <w:t>CI /申办方修改社区咨询计划。</w:t>
                                </w:r>
                              </w:p>
                            </w:txbxContent>
                          </wps:txbx>
                          <wps:bodyPr rot="0" vert="horz" wrap="square" lIns="0" tIns="0" rIns="0" bIns="0" anchor="t" anchorCtr="0" upright="1">
                            <a:noAutofit/>
                          </wps:bodyPr>
                        </wps:wsp>
                        <wps:wsp>
                          <wps:cNvPr id="576" name="Text Box 529"/>
                          <wps:cNvSpPr txBox="1">
                            <a:spLocks noChangeArrowheads="1"/>
                          </wps:cNvSpPr>
                          <wps:spPr bwMode="auto">
                            <a:xfrm>
                              <a:off x="3968" y="3419"/>
                              <a:ext cx="599" cy="360"/>
                            </a:xfrm>
                            <a:prstGeom prst="rect">
                              <a:avLst/>
                            </a:prstGeom>
                            <a:noFill/>
                            <a:ln w="9525">
                              <a:solidFill>
                                <a:srgbClr val="000000"/>
                              </a:solidFill>
                              <a:miter lim="800000"/>
                            </a:ln>
                          </wps:spPr>
                          <wps:txbx>
                            <w:txbxContent>
                              <w:p w14:paraId="78CDD46F">
                                <w:pPr>
                                  <w:snapToGrid w:val="0"/>
                                  <w:spacing w:before="44" w:beforeLines="15" w:line="264" w:lineRule="auto"/>
                                  <w:ind w:left="144"/>
                                  <w:rPr>
                                    <w:rFonts w:ascii="Arial" w:hAnsi="Arial" w:eastAsia="宋体" w:cs="Arial"/>
                                    <w:sz w:val="15"/>
                                    <w:szCs w:val="15"/>
                                  </w:rPr>
                                </w:pPr>
                                <w:r>
                                  <w:rPr>
                                    <w:rFonts w:ascii="Arial" w:hAnsi="Arial" w:eastAsia="宋体" w:cs="Arial"/>
                                    <w:sz w:val="15"/>
                                    <w:szCs w:val="15"/>
                                  </w:rPr>
                                  <w:t>否</w:t>
                                </w:r>
                              </w:p>
                            </w:txbxContent>
                          </wps:txbx>
                          <wps:bodyPr rot="0" vert="horz" wrap="square" lIns="0" tIns="0" rIns="0" bIns="0" anchor="t" anchorCtr="0" upright="1">
                            <a:noAutofit/>
                          </wps:bodyPr>
                        </wps:wsp>
                        <wps:wsp>
                          <wps:cNvPr id="577" name="Text Box 530"/>
                          <wps:cNvSpPr txBox="1">
                            <a:spLocks noChangeArrowheads="1"/>
                          </wps:cNvSpPr>
                          <wps:spPr bwMode="auto">
                            <a:xfrm>
                              <a:off x="8918" y="4238"/>
                              <a:ext cx="2430" cy="540"/>
                            </a:xfrm>
                            <a:prstGeom prst="rect">
                              <a:avLst/>
                            </a:prstGeom>
                            <a:noFill/>
                            <a:ln w="9525">
                              <a:solidFill>
                                <a:srgbClr val="000000"/>
                              </a:solidFill>
                              <a:miter lim="800000"/>
                            </a:ln>
                          </wps:spPr>
                          <wps:txbx>
                            <w:txbxContent>
                              <w:p w14:paraId="0B5BB1D8">
                                <w:pPr>
                                  <w:snapToGrid w:val="0"/>
                                  <w:spacing w:before="44" w:beforeLines="15" w:line="264" w:lineRule="auto"/>
                                  <w:ind w:left="144" w:right="131"/>
                                  <w:rPr>
                                    <w:rFonts w:ascii="Arial" w:hAnsi="Arial" w:eastAsia="宋体" w:cs="Arial"/>
                                    <w:sz w:val="15"/>
                                    <w:szCs w:val="15"/>
                                  </w:rPr>
                                </w:pPr>
                                <w:r>
                                  <w:rPr>
                                    <w:rFonts w:ascii="Arial" w:hAnsi="Arial" w:eastAsia="宋体" w:cs="Arial"/>
                                    <w:sz w:val="15"/>
                                    <w:szCs w:val="15"/>
                                  </w:rPr>
                                  <w:t>否，但研究和/或IC需要进行修改。</w:t>
                                </w:r>
                              </w:p>
                            </w:txbxContent>
                          </wps:txbx>
                          <wps:bodyPr rot="0" vert="horz" wrap="square" lIns="0" tIns="0" rIns="0" bIns="0" anchor="t" anchorCtr="0" upright="1">
                            <a:noAutofit/>
                          </wps:bodyPr>
                        </wps:wsp>
                        <wps:wsp>
                          <wps:cNvPr id="578" name="Text Box 531"/>
                          <wps:cNvSpPr txBox="1">
                            <a:spLocks noChangeArrowheads="1"/>
                          </wps:cNvSpPr>
                          <wps:spPr bwMode="auto">
                            <a:xfrm>
                              <a:off x="179" y="5164"/>
                              <a:ext cx="2650" cy="720"/>
                            </a:xfrm>
                            <a:prstGeom prst="rect">
                              <a:avLst/>
                            </a:prstGeom>
                            <a:noFill/>
                            <a:ln w="9525">
                              <a:solidFill>
                                <a:srgbClr val="000000"/>
                              </a:solidFill>
                              <a:miter lim="800000"/>
                            </a:ln>
                          </wps:spPr>
                          <wps:txbx>
                            <w:txbxContent>
                              <w:p w14:paraId="57C26756">
                                <w:pPr>
                                  <w:snapToGrid w:val="0"/>
                                  <w:spacing w:before="44" w:beforeLines="15" w:line="264" w:lineRule="auto"/>
                                  <w:ind w:left="144" w:right="190"/>
                                  <w:jc w:val="both"/>
                                  <w:rPr>
                                    <w:rFonts w:ascii="Arial" w:hAnsi="Arial" w:eastAsia="宋体" w:cs="Arial"/>
                                    <w:sz w:val="15"/>
                                    <w:szCs w:val="15"/>
                                  </w:rPr>
                                </w:pPr>
                                <w:r>
                                  <w:rPr>
                                    <w:rFonts w:ascii="Arial" w:hAnsi="Arial" w:eastAsia="宋体" w:cs="Arial"/>
                                    <w:sz w:val="15"/>
                                    <w:szCs w:val="15"/>
                                  </w:rPr>
                                  <w:t>申办方通知FDA和其他参与此研究者或类似研究的IRB和CI。</w:t>
                                </w:r>
                              </w:p>
                            </w:txbxContent>
                          </wps:txbx>
                          <wps:bodyPr rot="0" vert="horz" wrap="square" lIns="0" tIns="0" rIns="0" bIns="0" anchor="t" anchorCtr="0" upright="1">
                            <a:noAutofit/>
                          </wps:bodyPr>
                        </wps:wsp>
                        <wps:wsp>
                          <wps:cNvPr id="579" name="Text Box 532"/>
                          <wps:cNvSpPr txBox="1">
                            <a:spLocks noChangeArrowheads="1"/>
                          </wps:cNvSpPr>
                          <wps:spPr bwMode="auto">
                            <a:xfrm>
                              <a:off x="8468" y="5400"/>
                              <a:ext cx="2591" cy="540"/>
                            </a:xfrm>
                            <a:prstGeom prst="rect">
                              <a:avLst/>
                            </a:prstGeom>
                            <a:noFill/>
                            <a:ln w="9525">
                              <a:solidFill>
                                <a:srgbClr val="000000"/>
                              </a:solidFill>
                              <a:miter lim="800000"/>
                            </a:ln>
                          </wps:spPr>
                          <wps:txbx>
                            <w:txbxContent>
                              <w:p w14:paraId="58032D1A">
                                <w:pPr>
                                  <w:snapToGrid w:val="0"/>
                                  <w:spacing w:before="44" w:beforeLines="15" w:line="264" w:lineRule="auto"/>
                                  <w:ind w:left="144" w:right="243"/>
                                  <w:rPr>
                                    <w:rFonts w:ascii="Arial" w:hAnsi="Arial" w:eastAsia="宋体" w:cs="Arial"/>
                                    <w:sz w:val="15"/>
                                    <w:szCs w:val="15"/>
                                  </w:rPr>
                                </w:pPr>
                                <w:r>
                                  <w:rPr>
                                    <w:rFonts w:ascii="Arial" w:hAnsi="Arial" w:eastAsia="宋体" w:cs="Arial"/>
                                    <w:sz w:val="15"/>
                                    <w:szCs w:val="15"/>
                                  </w:rPr>
                                  <w:t>CI /申办方相应地修改研究和/或IC。</w:t>
                                </w:r>
                              </w:p>
                            </w:txbxContent>
                          </wps:txbx>
                          <wps:bodyPr rot="0" vert="horz" wrap="square" lIns="0" tIns="0" rIns="0" bIns="0" anchor="t" anchorCtr="0" upright="1">
                            <a:noAutofit/>
                          </wps:bodyPr>
                        </wps:wsp>
                        <wps:wsp>
                          <wps:cNvPr id="580" name="Text Box 533"/>
                          <wps:cNvSpPr txBox="1">
                            <a:spLocks noChangeArrowheads="1"/>
                          </wps:cNvSpPr>
                          <wps:spPr bwMode="auto">
                            <a:xfrm>
                              <a:off x="5759" y="5784"/>
                              <a:ext cx="797" cy="504"/>
                            </a:xfrm>
                            <a:prstGeom prst="rect">
                              <a:avLst/>
                            </a:prstGeom>
                            <a:noFill/>
                            <a:ln w="9525">
                              <a:solidFill>
                                <a:srgbClr val="000000"/>
                              </a:solidFill>
                              <a:miter lim="800000"/>
                            </a:ln>
                          </wps:spPr>
                          <wps:txbx>
                            <w:txbxContent>
                              <w:p w14:paraId="0CE616A4">
                                <w:pPr>
                                  <w:snapToGrid w:val="0"/>
                                  <w:spacing w:before="44" w:beforeLines="15" w:line="264" w:lineRule="auto"/>
                                  <w:ind w:left="144"/>
                                  <w:rPr>
                                    <w:rFonts w:ascii="Arial" w:hAnsi="Arial" w:eastAsia="宋体" w:cs="Arial"/>
                                    <w:sz w:val="15"/>
                                    <w:szCs w:val="15"/>
                                  </w:rPr>
                                </w:pPr>
                                <w:r>
                                  <w:rPr>
                                    <w:rFonts w:hint="eastAsia" w:ascii="Arial" w:hAnsi="Arial" w:eastAsia="宋体" w:cs="Arial"/>
                                    <w:sz w:val="15"/>
                                    <w:szCs w:val="15"/>
                                  </w:rPr>
                                  <w:t>是</w:t>
                                </w:r>
                              </w:p>
                            </w:txbxContent>
                          </wps:txbx>
                          <wps:bodyPr rot="0" vert="horz" wrap="square" lIns="0" tIns="0" rIns="0" bIns="0" anchor="t" anchorCtr="0" upright="1">
                            <a:noAutofit/>
                          </wps:bodyPr>
                        </wps:wsp>
                      </wpg:grpSp>
                    </wpg:wgp>
                  </a:graphicData>
                </a:graphic>
              </wp:inline>
            </w:drawing>
          </mc:Choice>
          <mc:Fallback>
            <w:pict>
              <v:group id="_x0000_s1026" o:spid="_x0000_s1026" o:spt="203" style="height:316.5pt;width:469.3pt;" coordorigin="8,0" coordsize="11340,6288" o:gfxdata="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C5s8AC/AAAApQEAABkAAABkcnMvX3JlbHMvZTJv&#10;RG9jLnhtbC5yZWxzvZDBisIwEIbvC/sOYe7btD0sspj2IoJXcR9gSKZpsJmEJIq+vYFlQUHw5nFm&#10;+L//Y9bjxS/iTCm7wAq6pgVBrINxbBX8HrZfKxC5IBtcApOCK2UYh8+P9Z4WLDWUZxezqBTOCuZS&#10;4o+UWc/kMTchEtfLFJLHUsdkZUR9REuyb9tvme4ZMDwwxc4oSDvTgzhcY21+zQ7T5DRtgj554vKk&#10;QjpfuysQk6WiwJNx+Lfsm8gW5HOH7j0O3b+DfHjucAN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">
                <o:lock v:ext="edit" aspectratio="f"/>
                <v:group id="Group 419" o:spid="_x0000_s1026" o:spt="203" style="position:absolute;left:7748;top:1800;height:360;width:798;" coordorigin="7748,1800" coordsize="798,360" o:gfxdata="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2O5hq+AAAA3AAAAA8AAAAAAAAAAQAgAAAAIgAAAGRycy9kb3ducmV2Lnht&#10;bFBLAQIUABQAAAAIAIdO4kAzLwWeOwAAADkAAAAVAAAAAAAAAAEAIAAAAA0BAABkcnMvZ3JvdXBz&#10;aGFwZXhtbC54bWxQSwUGAAAAAAYABgBgAQAAygMAAAAA&#10;">
                  <o:lock v:ext="edit" aspectratio="f"/>
                  <v:shape id="Freeform 420" o:spid="_x0000_s1026" o:spt="100" style="position:absolute;left:7748;top:1800;height:360;width:798;" filled="f" stroked="t" coordsize="798,360" o:gfxdata="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nnuZvQAA&#10;ANwAAAAPAAAAAAAAAAEAIAAAACIAAABkcnMvZG93bnJldi54bWxQSwECFAAUAAAACACHTuJAMy8F&#10;njsAAAA5AAAAEAAAAAAAAAABACAAAAAMAQAAZHJzL3NoYXBleG1sLnhtbFBLBQYAAAAABgAGAFsB&#10;AAC2AwAAAAA=&#10;" path="m798,0l0,0,0,360,798,360,798,0xe">
                    <v:path o:connectlocs="798,1800;0,1800;0,2160;798,2160;798,1800" o:connectangles="0,0,0,0,0"/>
                    <v:fill on="f" focussize="0,0"/>
                    <v:stroke color="#000000" joinstyle="round"/>
                    <v:imagedata o:title=""/>
                    <o:lock v:ext="edit" aspectratio="f"/>
                  </v:shape>
                </v:group>
                <v:group id="Group 421" o:spid="_x0000_s1026" o:spt="203" style="position:absolute;left:8591;top:1840;height:120;width:605;" coordorigin="8591,1840" coordsize="605,120"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shape id="Freeform 422" o:spid="_x0000_s1026" o:spt="100" style="position:absolute;left:8591;top:1840;height:120;width:605;" fillcolor="#000000" filled="t" stroked="f" coordsize="605,120" o:gfxdata="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QhpxvQAA&#10;ANwAAAAPAAAAAAAAAAEAIAAAACIAAABkcnMvZG93bnJldi54bWxQSwECFAAUAAAACACHTuJAMy8F&#10;njsAAAA5AAAAEAAAAAAAAAABACAAAAAMAQAAZHJzL3NoYXBleG1sLnhtbFBLBQYAAAAABgAGAFsB&#10;AAC2AwAAAAA=&#10;" path="m120,0l0,60,120,120,120,67,100,67,95,64,92,60,95,55,100,52,120,52,120,0xe">
                    <v:path o:connectlocs="120,1840;0,1900;120,1960;120,1907;100,1907;95,1904;92,1900;95,1895;100,1892;120,1892;120,1840" o:connectangles="0,0,0,0,0,0,0,0,0,0,0"/>
                    <v:fill on="t" focussize="0,0"/>
                    <v:stroke on="f"/>
                    <v:imagedata o:title=""/>
                    <o:lock v:ext="edit" aspectratio="f"/>
                  </v:shape>
                  <v:shape id="Freeform 423" o:spid="_x0000_s1026" o:spt="100" style="position:absolute;left:8591;top:1840;height:120;width:605;" fillcolor="#000000" filled="t" stroked="f" coordsize="605,120" o:gfxdata="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oSUxugAAANwA&#10;AAAPAAAAAAAAAAEAIAAAACIAAABkcnMvZG93bnJldi54bWxQSwECFAAUAAAACACHTuJAMy8FnjsA&#10;AAA5AAAAEAAAAAAAAAABACAAAAAJAQAAZHJzL3NoYXBleG1sLnhtbFBLBQYAAAAABgAGAFsBAACz&#10;AwAAAAA=&#10;" path="m120,52l100,52,95,55,92,60,95,64,100,67,120,67,120,52xe">
                    <v:path o:connectlocs="120,1892;100,1892;95,1895;92,1900;95,1904;100,1907;120,1907;120,1892" o:connectangles="0,0,0,0,0,0,0,0"/>
                    <v:fill on="t" focussize="0,0"/>
                    <v:stroke on="f"/>
                    <v:imagedata o:title=""/>
                    <o:lock v:ext="edit" aspectratio="f"/>
                  </v:shape>
                  <v:shape id="Freeform 424" o:spid="_x0000_s1026" o:spt="100" style="position:absolute;left:8591;top:1840;height:120;width:605;" fillcolor="#000000" filled="t" stroked="f" coordsize="605,120" o:gfxdata="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2Aqr4A&#10;AADcAAAADwAAAAAAAAABACAAAAAiAAAAZHJzL2Rvd25yZXYueG1sUEsBAhQAFAAAAAgAh07iQDMv&#10;BZ47AAAAOQAAABAAAAAAAAAAAQAgAAAADQEAAGRycy9zaGFwZXhtbC54bWxQSwUGAAAAAAYABgBb&#10;AQAAtwMAAAAA&#10;" path="m596,52l120,52,120,67,596,67,602,64,605,60,602,55,596,52xe">
                    <v:path o:connectlocs="596,1892;120,1892;120,1907;596,1907;602,1904;605,1900;602,1895;596,1892" o:connectangles="0,0,0,0,0,0,0,0"/>
                    <v:fill on="t" focussize="0,0"/>
                    <v:stroke on="f"/>
                    <v:imagedata o:title=""/>
                    <o:lock v:ext="edit" aspectratio="f"/>
                  </v:shape>
                </v:group>
                <v:group id="Group 425" o:spid="_x0000_s1026" o:spt="203" style="position:absolute;left:3788;top:1080;height:540;width:6166;" coordorigin="3788,1080" coordsize="6166,540" o:gfxdata="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nbHbEvwAAANwAAAAPAAAAAAAAAAEAIAAAACIAAABkcnMvZG93bnJldi54&#10;bWxQSwECFAAUAAAACACHTuJAMy8FnjsAAAA5AAAAFQAAAAAAAAABACAAAAAOAQAAZHJzL2dyb3Vw&#10;c2hhcGV4bWwueG1sUEsFBgAAAAAGAAYAYAEAAMsDAAAAAA==&#10;">
                  <o:lock v:ext="edit" aspectratio="f"/>
                  <v:shape id="Freeform 426" o:spid="_x0000_s1026" o:spt="100" style="position:absolute;left:3788;top:1080;height:540;width:6166;" filled="f" stroked="t" coordsize="6166,540" o:gfxdata="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a20yvQAA&#10;ANwAAAAPAAAAAAAAAAEAIAAAACIAAABkcnMvZG93bnJldi54bWxQSwECFAAUAAAACACHTuJAMy8F&#10;njsAAAA5AAAAEAAAAAAAAAABACAAAAAMAQAAZHJzL3NoYXBleG1sLnhtbFBLBQYAAAAABgAGAFsB&#10;AAC2AwAAAAA=&#10;" path="m6165,0l0,0,0,540,6165,540,6165,0xe">
                    <v:path o:connectlocs="6165,1080;0,1080;0,1620;6165,1620;6165,1080" o:connectangles="0,0,0,0,0"/>
                    <v:fill on="f" focussize="0,0"/>
                    <v:stroke color="#000000" joinstyle="round"/>
                    <v:imagedata o:title=""/>
                    <o:lock v:ext="edit" aspectratio="f"/>
                  </v:shape>
                </v:group>
                <v:group id="Group 427" o:spid="_x0000_s1026" o:spt="203" style="position:absolute;left:9188;top:1620;height:360;width:2;" coordorigin="9188,1620" coordsize="2,360" o:gfxdata="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yUsrvwAAANwAAAAPAAAAAAAAAAEAIAAAACIAAABkcnMvZG93bnJldi54&#10;bWxQSwECFAAUAAAACACHTuJAMy8FnjsAAAA5AAAAFQAAAAAAAAABACAAAAAOAQAAZHJzL2dyb3Vw&#10;c2hhcGV4bWwueG1sUEsFBgAAAAAGAAYAYAEAAMsDAAAAAA==&#10;">
                  <o:lock v:ext="edit" aspectratio="f"/>
                  <v:shape id="Freeform 428" o:spid="_x0000_s1026" o:spt="100" style="position:absolute;left:9188;top:1620;height:360;width:2;" filled="f" stroked="t" coordsize="1,360" o:gfxdata="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wPMh&#10;wAAAANwAAAAPAAAAAAAAAAEAIAAAACIAAABkcnMvZG93bnJldi54bWxQSwECFAAUAAAACACHTuJA&#10;My8FnjsAAAA5AAAAEAAAAAAAAAABACAAAAAPAQAAZHJzL3NoYXBleG1sLnhtbFBLBQYAAAAABgAG&#10;AFsBAAC5AwAAAAA=&#10;" path="m0,0l0,360e">
                    <v:path o:connectlocs="0,1620;0,1980" o:connectangles="0,0"/>
                    <v:fill on="f" focussize="0,0"/>
                    <v:stroke color="#000000" joinstyle="round"/>
                    <v:imagedata o:title=""/>
                    <o:lock v:ext="edit" aspectratio="f"/>
                  </v:shape>
                </v:group>
                <v:group id="Group 429" o:spid="_x0000_s1026" o:spt="203" style="position:absolute;left:6488;top:1980;height:2;width:1260;" coordorigin="6488,1980" coordsize="1260,2"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shape id="Freeform 430" o:spid="_x0000_s1026" o:spt="100" style="position:absolute;left:6488;top:1980;height:2;width:1260;" filled="f" stroked="t" coordsize="1260,1" o:gfxdata="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LDm&#10;w8EAAADcAAAADwAAAAAAAAABACAAAAAiAAAAZHJzL2Rvd25yZXYueG1sUEsBAhQAFAAAAAgAh07i&#10;QDMvBZ47AAAAOQAAABAAAAAAAAAAAQAgAAAAEAEAAGRycy9zaGFwZXhtbC54bWxQSwUGAAAAAAYA&#10;BgBbAQAAugMAAAAA&#10;" path="m1260,0l0,0e">
                    <v:path o:connectlocs="1260,0;0,0" o:connectangles="0,0"/>
                    <v:fill on="f" focussize="0,0"/>
                    <v:stroke color="#000000" joinstyle="round"/>
                    <v:imagedata o:title=""/>
                    <o:lock v:ext="edit" aspectratio="f"/>
                  </v:shape>
                </v:group>
                <v:group id="Group 431" o:spid="_x0000_s1026" o:spt="203" style="position:absolute;left:2888;top:1708;height:360;width:599;" coordorigin="2888,1708" coordsize="599,360" o:gfxdata="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RoRBLr0AAADcAAAADwAAAAAAAAABACAAAAAiAAAAZHJzL2Rvd25yZXYueG1s&#10;UEsBAhQAFAAAAAgAh07iQDMvBZ47AAAAOQAAABUAAAAAAAAAAQAgAAAADAEAAGRycy9ncm91cHNo&#10;YXBleG1sLnhtbFBLBQYAAAAABgAGAGABAADJAwAAAAA=&#10;">
                  <o:lock v:ext="edit" aspectratio="f"/>
                  <v:shape id="Freeform 432" o:spid="_x0000_s1026" o:spt="100" style="position:absolute;left:2888;top:1708;height:360;width:599;" filled="f" stroked="t" coordsize="599,360" o:gfxdata="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ZXYB&#10;wAAAANwAAAAPAAAAAAAAAAEAIAAAACIAAABkcnMvZG93bnJldi54bWxQSwECFAAUAAAACACHTuJA&#10;My8FnjsAAAA5AAAAEAAAAAAAAAABACAAAAAPAQAAZHJzL3NoYXBleG1sLnhtbFBLBQYAAAAABgAG&#10;AFsBAAC5AwAAAAA=&#10;" path="m598,0l0,0,0,360,598,360,598,0xe">
                    <v:path o:connectlocs="598,1708;0,1708;0,2068;598,2068;598,1708" o:connectangles="0,0,0,0,0"/>
                    <v:fill on="f" focussize="0,0"/>
                    <v:stroke color="#000000" joinstyle="round"/>
                    <v:imagedata o:title=""/>
                    <o:lock v:ext="edit" aspectratio="f"/>
                  </v:shape>
                </v:group>
                <v:group id="Group 433" o:spid="_x0000_s1026" o:spt="203" style="position:absolute;left:1448;top:1888;height:2;width:1395;" coordorigin="1448,1888" coordsize="1395,2" o:gfxdata="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0nPQ+7AAAA3AAAAA8AAAAAAAAAAQAgAAAAIgAAAGRycy9kb3ducmV2LnhtbFBL&#10;AQIUABQAAAAIAIdO4kAzLwWeOwAAADkAAAAVAAAAAAAAAAEAIAAAAAoBAABkcnMvZ3JvdXBzaGFw&#10;ZXhtbC54bWxQSwUGAAAAAAYABgBgAQAAxwMAAAAA&#10;">
                  <o:lock v:ext="edit" aspectratio="f"/>
                  <v:shape id="Freeform 434" o:spid="_x0000_s1026" o:spt="100" style="position:absolute;left:1448;top:1888;height:2;width:1395;" filled="f" stroked="t" coordsize="1395,1" o:gfxdata="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Gps+L4A&#10;AADcAAAADwAAAAAAAAABACAAAAAiAAAAZHJzL2Rvd25yZXYueG1sUEsBAhQAFAAAAAgAh07iQDMv&#10;BZ47AAAAOQAAABAAAAAAAAAAAQAgAAAADQEAAGRycy9zaGFwZXhtbC54bWxQSwUGAAAAAAYABgBb&#10;AQAAtwMAAAAA&#10;" path="m1394,0l0,0e">
                    <v:path o:connectlocs="1394,0;0,0" o:connectangles="0,0"/>
                    <v:fill on="f" focussize="0,0"/>
                    <v:stroke color="#000000" joinstyle="round"/>
                    <v:imagedata o:title=""/>
                    <o:lock v:ext="edit" aspectratio="f"/>
                  </v:shape>
                </v:group>
                <v:group id="Group 435" o:spid="_x0000_s1026" o:spt="203" style="position:absolute;left:1388;top:1348;height:548;width:120;" coordorigin="1388,1348" coordsize="120,548" o:gfxdata="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SuQbjvwAAANwAAAAPAAAAAAAAAAEAIAAAACIAAABkcnMvZG93bnJldi54&#10;bWxQSwECFAAUAAAACACHTuJAMy8FnjsAAAA5AAAAFQAAAAAAAAABACAAAAAOAQAAZHJzL2dyb3Vw&#10;c2hhcGV4bWwueG1sUEsFBgAAAAAGAAYAYAEAAMsDAAAAAA==&#10;">
                  <o:lock v:ext="edit" aspectratio="f"/>
                  <v:shape id="Freeform 436" o:spid="_x0000_s1026" o:spt="100" style="position:absolute;left:1388;top:1348;height:548;width:120;" fillcolor="#000000" filled="t" stroked="f" coordsize="120,548" o:gfxdata="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3m9C+/&#10;AAAA3AAAAA8AAAAAAAAAAQAgAAAAIgAAAGRycy9kb3ducmV2LnhtbFBLAQIUABQAAAAIAIdO4kAz&#10;LwWeOwAAADkAAAAQAAAAAAAAAAEAIAAAAA4BAABkcnMvc2hhcGV4bWwueG1sUEsFBgAAAAAGAAYA&#10;WwEAALgDAAAAAA==&#10;" path="m60,92l55,94,52,99,52,540,55,544,60,547,66,544,68,540,68,99,66,94,60,92xe">
                    <v:path o:connectlocs="60,1440;55,1442;52,1447;52,1888;55,1892;60,1895;66,1892;68,1888;68,1447;66,1442;60,1440" o:connectangles="0,0,0,0,0,0,0,0,0,0,0"/>
                    <v:fill on="t" focussize="0,0"/>
                    <v:stroke on="f"/>
                    <v:imagedata o:title=""/>
                    <o:lock v:ext="edit" aspectratio="f"/>
                  </v:shape>
                  <v:shape id="Freeform 437" o:spid="_x0000_s1026" o:spt="100" style="position:absolute;left:1388;top:1348;height:548;width:120;" fillcolor="#000000" filled="t" stroked="f" coordsize="120,548" o:gfxdata="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PbFu/&#10;AAAA3AAAAA8AAAAAAAAAAQAgAAAAIgAAAGRycy9kb3ducmV2LnhtbFBLAQIUABQAAAAIAIdO4kAz&#10;LwWeOwAAADkAAAAQAAAAAAAAAAEAIAAAAA4BAABkcnMvc2hhcGV4bWwueG1sUEsFBgAAAAAGAAYA&#10;WwEAALgDAAAAAA==&#10;" path="m60,0l0,120,52,120,52,99,55,94,60,92,106,92,60,0xe">
                    <v:path o:connectlocs="60,1348;0,1468;52,1468;52,1447;55,1442;60,1440;106,1440;60,1348" o:connectangles="0,0,0,0,0,0,0,0"/>
                    <v:fill on="t" focussize="0,0"/>
                    <v:stroke on="f"/>
                    <v:imagedata o:title=""/>
                    <o:lock v:ext="edit" aspectratio="f"/>
                  </v:shape>
                  <v:shape id="Freeform 438" o:spid="_x0000_s1026" o:spt="100" style="position:absolute;left:1388;top:1348;height:548;width:120;" fillcolor="#000000" filled="t" stroked="f" coordsize="120,548" o:gfxdata="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DycC/&#10;AAAA3AAAAA8AAAAAAAAAAQAgAAAAIgAAAGRycy9kb3ducmV2LnhtbFBLAQIUABQAAAAIAIdO4kAz&#10;LwWeOwAAADkAAAAQAAAAAAAAAAEAIAAAAA4BAABkcnMvc2hhcGV4bWwueG1sUEsFBgAAAAAGAAYA&#10;WwEAALgDAAAAAA==&#10;" path="m106,92l60,92,66,94,68,99,68,120,120,120,106,92xe">
                    <v:path o:connectlocs="106,1440;60,1440;66,1442;68,1447;68,1468;120,1468;106,1440" o:connectangles="0,0,0,0,0,0,0"/>
                    <v:fill on="t" focussize="0,0"/>
                    <v:stroke on="f"/>
                    <v:imagedata o:title=""/>
                    <o:lock v:ext="edit" aspectratio="f"/>
                  </v:shape>
                </v:group>
                <v:group id="Group 439" o:spid="_x0000_s1026" o:spt="203" style="position:absolute;left:3428;top:1828;height:120;width:909;" coordorigin="3428,1828" coordsize="909,120" o:gfxdata="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2CAOC+AAAA3AAAAA8AAAAAAAAAAQAgAAAAIgAAAGRycy9kb3ducmV2Lnht&#10;bFBLAQIUABQAAAAIAIdO4kAzLwWeOwAAADkAAAAVAAAAAAAAAAEAIAAAAA0BAABkcnMvZ3JvdXBz&#10;aGFwZXhtbC54bWxQSwUGAAAAAAYABgBgAQAAygMAAAAA&#10;">
                  <o:lock v:ext="edit" aspectratio="f"/>
                  <v:shape id="Freeform 440" o:spid="_x0000_s1026" o:spt="100" style="position:absolute;left:3428;top:1828;height:120;width:909;" fillcolor="#000000" filled="t" stroked="f" coordsize="909,120" o:gfxdata="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FqRb4A&#10;AADcAAAADwAAAAAAAAABACAAAAAiAAAAZHJzL2Rvd25yZXYueG1sUEsBAhQAFAAAAAgAh07iQDMv&#10;BZ47AAAAOQAAABAAAAAAAAAAAQAgAAAADQEAAGRycy9zaGFwZXhtbC54bWxQSwUGAAAAAAYABgBb&#10;AQAAtwMAAAAA&#10;" path="m120,0l0,60,120,120,120,67,100,67,94,64,93,60,94,55,100,52,120,52,120,0xe">
                    <v:path o:connectlocs="120,1828;0,1888;120,1948;120,1895;100,1895;94,1892;93,1888;94,1883;100,1880;120,1880;120,1828" o:connectangles="0,0,0,0,0,0,0,0,0,0,0"/>
                    <v:fill on="t" focussize="0,0"/>
                    <v:stroke on="f"/>
                    <v:imagedata o:title=""/>
                    <o:lock v:ext="edit" aspectratio="f"/>
                  </v:shape>
                  <v:shape id="Freeform 441" o:spid="_x0000_s1026" o:spt="100" style="position:absolute;left:3428;top:1828;height:120;width:909;" fillcolor="#000000" filled="t" stroked="f" coordsize="909,120" o:gfxdata="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97+N7sAAADc&#10;AAAADwAAAAAAAAABACAAAAAiAAAAZHJzL2Rvd25yZXYueG1sUEsBAhQAFAAAAAgAh07iQDMvBZ47&#10;AAAAOQAAABAAAAAAAAAAAQAgAAAACgEAAGRycy9zaGFwZXhtbC54bWxQSwUGAAAAAAYABgBbAQAA&#10;tAMAAAAA&#10;" path="m120,52l100,52,94,55,93,60,94,64,100,67,120,67,120,52xe">
                    <v:path o:connectlocs="120,1880;100,1880;94,1883;93,1888;94,1892;100,1895;120,1895;120,1880" o:connectangles="0,0,0,0,0,0,0,0"/>
                    <v:fill on="t" focussize="0,0"/>
                    <v:stroke on="f"/>
                    <v:imagedata o:title=""/>
                    <o:lock v:ext="edit" aspectratio="f"/>
                  </v:shape>
                  <v:shape id="Freeform 442" o:spid="_x0000_s1026" o:spt="100" style="position:absolute;left:3428;top:1828;height:120;width:909;" fillcolor="#000000" filled="t" stroked="f" coordsize="909,120" o:gfxdata="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SW6y/&#10;AAAA3AAAAA8AAAAAAAAAAQAgAAAAIgAAAGRycy9kb3ducmV2LnhtbFBLAQIUABQAAAAIAIdO4kAz&#10;LwWeOwAAADkAAAAQAAAAAAAAAAEAIAAAAA4BAABkcnMvc2hhcGV4bWwueG1sUEsFBgAAAAAGAAYA&#10;WwEAALgDAAAAAA==&#10;" path="m900,52l120,52,120,67,900,67,906,64,908,60,906,55,900,52xe">
                    <v:path o:connectlocs="900,1880;120,1880;120,1895;900,1895;906,1892;908,1888;906,1883;900,1880" o:connectangles="0,0,0,0,0,0,0,0"/>
                    <v:fill on="t" focussize="0,0"/>
                    <v:stroke on="f"/>
                    <v:imagedata o:title=""/>
                    <o:lock v:ext="edit" aspectratio="f"/>
                  </v:shape>
                </v:group>
                <v:group id="Group 443" o:spid="_x0000_s1026" o:spt="203" style="position:absolute;left:4328;top:1620;height:268;width:2;" coordorigin="4328,1620" coordsize="2,268" o:gfxdata="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P6r0r0AAADcAAAADwAAAAAAAAABACAAAAAiAAAAZHJzL2Rvd25yZXYueG1s&#10;UEsBAhQAFAAAAAgAh07iQDMvBZ47AAAAOQAAABUAAAAAAAAAAQAgAAAADAEAAGRycy9ncm91cHNo&#10;YXBleG1sLnhtbFBLBQYAAAAABgAGAGABAADJAwAAAAA=&#10;">
                  <o:lock v:ext="edit" aspectratio="f"/>
                  <v:shape id="Freeform 444" o:spid="_x0000_s1026" o:spt="100" style="position:absolute;left:4328;top:1620;height:268;width:2;" filled="f" stroked="t" coordsize="1,268" o:gfxdata="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Lngr4A&#10;AADcAAAADwAAAAAAAAABACAAAAAiAAAAZHJzL2Rvd25yZXYueG1sUEsBAhQAFAAAAAgAh07iQDMv&#10;BZ47AAAAOQAAABAAAAAAAAAAAQAgAAAADQEAAGRycy9zaGFwZXhtbC54bWxQSwUGAAAAAAYABgBb&#10;AQAAtwMAAAAA&#10;" path="m0,0l0,268e">
                    <v:path o:connectlocs="0,1620;0,1888" o:connectangles="0,0"/>
                    <v:fill on="f" focussize="0,0"/>
                    <v:stroke color="#000000" joinstyle="round"/>
                    <v:imagedata o:title=""/>
                    <o:lock v:ext="edit" aspectratio="f"/>
                  </v:shape>
                </v:group>
                <v:group id="Group 445" o:spid="_x0000_s1026" o:spt="203" style="position:absolute;left:8;top:988;height:360;width:2990;" coordorigin="8,988" coordsize="2990,360" o:gfxdata="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YJA+vwAAANwAAAAPAAAAAAAAAAEAIAAAACIAAABkcnMvZG93bnJldi54&#10;bWxQSwECFAAUAAAACACHTuJAMy8FnjsAAAA5AAAAFQAAAAAAAAABACAAAAAOAQAAZHJzL2dyb3Vw&#10;c2hhcGV4bWwueG1sUEsFBgAAAAAGAAYAYAEAAMsDAAAAAA==&#10;">
                  <o:lock v:ext="edit" aspectratio="f"/>
                  <v:shape id="Freeform 446" o:spid="_x0000_s1026" o:spt="100" style="position:absolute;left:8;top:988;height:360;width:2990;" filled="f" stroked="t" coordsize="2990,360" o:gfxdata="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e4gG/&#10;AAAA3AAAAA8AAAAAAAAAAQAgAAAAIgAAAGRycy9kb3ducmV2LnhtbFBLAQIUABQAAAAIAIdO4kAz&#10;LwWeOwAAADkAAAAQAAAAAAAAAAEAIAAAAA4BAABkcnMvc2hhcGV4bWwueG1sUEsFBgAAAAAGAAYA&#10;WwEAALgDAAAAAA==&#10;" path="m2989,360l0,360,0,0,2989,0,2989,360xe">
                    <v:path o:connectlocs="2989,1348;0,1348;0,988;2989,988;2989,1348" o:connectangles="0,0,0,0,0"/>
                    <v:fill on="f" focussize="0,0"/>
                    <v:stroke color="#000000" joinstyle="round"/>
                    <v:imagedata o:title=""/>
                    <o:lock v:ext="edit" aspectratio="f"/>
                  </v:shape>
                  <v:shape id="Picture 447" o:spid="_x0000_s1026" o:spt="75" type="#_x0000_t75" style="position:absolute;left:6662;top:812;height:179;width:366;" filled="f" o:preferrelative="t" stroked="f" coordsize="21600,21600" o:gfxdata="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y9&#10;LYzCAAAA3AAAAA8AAAAAAAAAAQAgAAAAIgAAAGRycy9kb3ducmV2LnhtbFBLAQIUABQAAAAIAIdO&#10;4kAzLwWeOwAAADkAAAAQAAAAAAAAAAEAIAAAABEBAABkcnMvc2hhcGV4bWwueG1sUEsFBgAAAAAG&#10;AAYAWwEAALsDAAAAAA==&#10;">
                    <v:fill on="f" focussize="0,0"/>
                    <v:stroke on="f"/>
                    <v:imagedata r:id="rId9" o:title=""/>
                    <o:lock v:ext="edit" aspectratio="t"/>
                  </v:shape>
                </v:group>
                <v:group id="Group 448" o:spid="_x0000_s1026" o:spt="203" style="position:absolute;left:360;top:40;height:120;width:1679;" coordorigin="360,40" coordsize="1679,120" o:gfxdata="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IkISsAAAADcAAAADwAAAAAAAAABACAAAAAiAAAAZHJzL2Rvd25yZXYu&#10;eG1sUEsBAhQAFAAAAAgAh07iQDMvBZ47AAAAOQAAABUAAAAAAAAAAQAgAAAADwEAAGRycy9ncm91&#10;cHNoYXBleG1sLnhtbFBLBQYAAAAABgAGAGABAADMAwAAAAA=&#10;">
                  <o:lock v:ext="edit" aspectratio="f"/>
                  <v:shape id="Freeform 449" o:spid="_x0000_s1026" o:spt="100" style="position:absolute;left:360;top:40;height:120;width:1679;" fillcolor="#000000" filled="t" stroked="f" coordsize="1679,120" o:gfxdata="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7ik&#10;bsEAAADcAAAADwAAAAAAAAABACAAAAAiAAAAZHJzL2Rvd25yZXYueG1sUEsBAhQAFAAAAAgAh07i&#10;QDMvBZ47AAAAOQAAABAAAAAAAAAAAQAgAAAAEAEAAGRycy9zaGFwZXhtbC54bWxQSwUGAAAAAAYA&#10;BgBbAQAAugMAAAAA&#10;" path="m1559,0l1559,120,1665,67,1579,67,1584,64,1587,60,1584,55,1579,52,1665,52,1559,0xe">
                    <v:path o:connectlocs="1559,40;1559,160;1665,107;1579,107;1584,104;1587,100;1584,95;1579,92;1665,92;1559,40" o:connectangles="0,0,0,0,0,0,0,0,0,0"/>
                    <v:fill on="t" focussize="0,0"/>
                    <v:stroke on="f"/>
                    <v:imagedata o:title=""/>
                    <o:lock v:ext="edit" aspectratio="f"/>
                  </v:shape>
                  <v:shape id="Freeform 450" o:spid="_x0000_s1026" o:spt="100" style="position:absolute;left:360;top:40;height:120;width:1679;" fillcolor="#000000" filled="t" stroked="f" coordsize="1679,120" o:gfxdata="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PQB&#10;9cEAAADcAAAADwAAAAAAAAABACAAAAAiAAAAZHJzL2Rvd25yZXYueG1sUEsBAhQAFAAAAAgAh07i&#10;QDMvBZ47AAAAOQAAABAAAAAAAAAAAQAgAAAAEAEAAGRycy9zaGFwZXhtbC54bWxQSwUGAAAAAAYA&#10;BgBbAQAAugMAAAAA&#10;" path="m1559,52l7,52,3,55,0,60,3,64,7,67,1559,67,1559,52xe">
                    <v:path o:connectlocs="1559,92;7,92;3,95;0,100;3,104;7,107;1559,107;1559,92" o:connectangles="0,0,0,0,0,0,0,0"/>
                    <v:fill on="t" focussize="0,0"/>
                    <v:stroke on="f"/>
                    <v:imagedata o:title=""/>
                    <o:lock v:ext="edit" aspectratio="f"/>
                  </v:shape>
                  <v:shape id="Freeform 451" o:spid="_x0000_s1026" o:spt="100" style="position:absolute;left:360;top:40;height:120;width:1679;" fillcolor="#000000" filled="t" stroked="f" coordsize="1679,120" o:gfxdata="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a5WHvQAA&#10;ANwAAAAPAAAAAAAAAAEAIAAAACIAAABkcnMvZG93bnJldi54bWxQSwECFAAUAAAACACHTuJAMy8F&#10;njsAAAA5AAAAEAAAAAAAAAABACAAAAAMAQAAZHJzL3NoYXBleG1sLnhtbFBLBQYAAAAABgAGAFsB&#10;AAC2AwAAAAA=&#10;" path="m1665,52l1579,52,1584,55,1587,60,1584,64,1579,67,1665,67,1679,60,1665,52xe">
                    <v:path o:connectlocs="1665,92;1579,92;1584,95;1587,100;1584,104;1579,107;1665,107;1679,100;1665,92" o:connectangles="0,0,0,0,0,0,0,0,0"/>
                    <v:fill on="t" focussize="0,0"/>
                    <v:stroke on="f"/>
                    <v:imagedata o:title=""/>
                    <o:lock v:ext="edit" aspectratio="f"/>
                  </v:shape>
                </v:group>
                <v:group id="Group 452" o:spid="_x0000_s1026" o:spt="203" style="position:absolute;left:368;top:88;height:900;width:2;" coordorigin="368,88" coordsize="2,900"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shape id="Freeform 453" o:spid="_x0000_s1026" o:spt="100" style="position:absolute;left:368;top:88;height:900;width:2;" filled="f" stroked="t" coordsize="1,900" o:gfxdata="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69r+8AAAA&#10;3AAAAA8AAAAAAAAAAQAgAAAAIgAAAGRycy9kb3ducmV2LnhtbFBLAQIUABQAAAAIAIdO4kAzLwWe&#10;OwAAADkAAAAQAAAAAAAAAAEAIAAAAAsBAABkcnMvc2hhcGV4bWwueG1sUEsFBgAAAAAGAAYAWwEA&#10;ALUDAAAAAA==&#10;" path="m0,0l0,900e">
                    <v:path o:connectlocs="0,88;0,988" o:connectangles="0,0"/>
                    <v:fill on="f" focussize="0,0"/>
                    <v:stroke color="#000000" joinstyle="round"/>
                    <v:imagedata o:title=""/>
                    <o:lock v:ext="edit" aspectratio="f"/>
                  </v:shape>
                </v:group>
                <v:group id="Group 454" o:spid="_x0000_s1026" o:spt="203" style="position:absolute;left:6428;top:1972;height:549;width:120;" coordorigin="6428,1972" coordsize="120,549" o:gfxdata="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ZlFO+AAAA3AAAAA8AAAAAAAAAAQAgAAAAIgAAAGRycy9kb3ducmV2Lnht&#10;bFBLAQIUABQAAAAIAIdO4kAzLwWeOwAAADkAAAAVAAAAAAAAAAEAIAAAAA0BAABkcnMvZ3JvdXBz&#10;aGFwZXhtbC54bWxQSwUGAAAAAAYABgBgAQAAygMAAAAA&#10;">
                  <o:lock v:ext="edit" aspectratio="f"/>
                  <v:shape id="Freeform 455" o:spid="_x0000_s1026" o:spt="100" style="position:absolute;left:6428;top:1972;height:549;width:120;" fillcolor="#000000" filled="t" stroked="f" coordsize="120,549" o:gfxdata="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91Zy8AAAA&#10;3AAAAA8AAAAAAAAAAQAgAAAAIgAAAGRycy9kb3ducmV2LnhtbFBLAQIUABQAAAAIAIdO4kAzLwWe&#10;OwAAADkAAAAQAAAAAAAAAAEAIAAAAAsBAABkcnMvc2hhcGV4bWwueG1sUEsFBgAAAAAGAAYAWwEA&#10;ALUDAAAAAA==&#10;" path="m52,428l0,428,60,548,106,456,60,456,55,453,52,447,52,428xe">
                    <v:path o:connectlocs="52,2400;0,2400;60,2520;106,2428;60,2428;55,2425;52,2419;52,2400" o:connectangles="0,0,0,0,0,0,0,0"/>
                    <v:fill on="t" focussize="0,0"/>
                    <v:stroke on="f"/>
                    <v:imagedata o:title=""/>
                    <o:lock v:ext="edit" aspectratio="f"/>
                  </v:shape>
                  <v:shape id="Freeform 456" o:spid="_x0000_s1026" o:spt="100" style="position:absolute;left:6428;top:1972;height:549;width:120;" fillcolor="#000000" filled="t" stroked="f" coordsize="120,549" o:gfxdata="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XAHvQAA&#10;ANwAAAAPAAAAAAAAAAEAIAAAACIAAABkcnMvZG93bnJldi54bWxQSwECFAAUAAAACACHTuJAMy8F&#10;njsAAAA5AAAAEAAAAAAAAAABACAAAAAMAQAAZHJzL3NoYXBleG1sLnhtbFBLBQYAAAAABgAGAFsB&#10;AAC2AwAAAAA=&#10;" path="m60,0l55,2,52,8,52,447,55,453,60,456,66,453,68,447,68,8,66,2,60,0xe">
                    <v:path o:connectlocs="60,1972;55,1974;52,1980;52,2419;55,2425;60,2428;66,2425;68,2419;68,1980;66,1974;60,1972" o:connectangles="0,0,0,0,0,0,0,0,0,0,0"/>
                    <v:fill on="t" focussize="0,0"/>
                    <v:stroke on="f"/>
                    <v:imagedata o:title=""/>
                    <o:lock v:ext="edit" aspectratio="f"/>
                  </v:shape>
                  <v:shape id="Freeform 457" o:spid="_x0000_s1026" o:spt="100" style="position:absolute;left:6428;top:1972;height:549;width:120;" fillcolor="#000000" filled="t" stroked="f" coordsize="120,549" o:gfxdata="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2OhzvQAA&#10;ANwAAAAPAAAAAAAAAAEAIAAAACIAAABkcnMvZG93bnJldi54bWxQSwECFAAUAAAACACHTuJAMy8F&#10;njsAAAA5AAAAEAAAAAAAAAABACAAAAAMAQAAZHJzL3NoYXBleG1sLnhtbFBLBQYAAAAABgAGAFsB&#10;AAC2AwAAAAA=&#10;" path="m120,428l68,428,68,447,66,453,60,456,106,456,120,428xe">
                    <v:path o:connectlocs="120,2400;68,2400;68,2419;66,2425;60,2428;106,2428;120,2400" o:connectangles="0,0,0,0,0,0,0"/>
                    <v:fill on="t" focussize="0,0"/>
                    <v:stroke on="f"/>
                    <v:imagedata o:title=""/>
                    <o:lock v:ext="edit" aspectratio="f"/>
                  </v:shape>
                </v:group>
                <v:group id="Group 458" o:spid="_x0000_s1026" o:spt="203" style="position:absolute;left:2708;top:2520;height:540;width:6300;" coordorigin="2708,2520" coordsize="6300,540" o:gfxdata="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GYpJQvwAAANwAAAAPAAAAAAAAAAEAIAAAACIAAABkcnMvZG93bnJldi54&#10;bWxQSwECFAAUAAAACACHTuJAMy8FnjsAAAA5AAAAFQAAAAAAAAABACAAAAAOAQAAZHJzL2dyb3Vw&#10;c2hhcGV4bWwueG1sUEsFBgAAAAAGAAYAYAEAAMsDAAAAAA==&#10;">
                  <o:lock v:ext="edit" aspectratio="f"/>
                  <v:shape id="Freeform 459" o:spid="_x0000_s1026" o:spt="100" style="position:absolute;left:2708;top:2520;height:540;width:6300;" filled="f" stroked="t" coordsize="6300,540" o:gfxdata="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RXJCugAAANwA&#10;AAAPAAAAAAAAAAEAIAAAACIAAABkcnMvZG93bnJldi54bWxQSwECFAAUAAAACACHTuJAMy8FnjsA&#10;AAA5AAAAEAAAAAAAAAABACAAAAAJAQAAZHJzL3NoYXBleG1sLnhtbFBLBQYAAAAABgAGAFsBAACz&#10;AwAAAAA=&#10;" path="m6300,0l0,0,0,540,6300,540,6300,0xe">
                    <v:path o:connectlocs="6300,2520;0,2520;0,3060;6300,3060;6300,2520" o:connectangles="0,0,0,0,0"/>
                    <v:fill on="f" focussize="0,0"/>
                    <v:stroke color="#000000" joinstyle="round"/>
                    <v:imagedata o:title=""/>
                    <o:lock v:ext="edit" aspectratio="f"/>
                  </v:shape>
                </v:group>
                <v:group id="Group 460" o:spid="_x0000_s1026" o:spt="203" style="position:absolute;left:1088;top:2798;height:360;width:2;" coordorigin="1088,2798" coordsize="2,360" o:gfxdata="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Z/Km8vwAAANwAAAAPAAAAAAAAAAEAIAAAACIAAABkcnMvZG93bnJldi54&#10;bWxQSwECFAAUAAAACACHTuJAMy8FnjsAAAA5AAAAFQAAAAAAAAABACAAAAAOAQAAZHJzL2dyb3Vw&#10;c2hhcGV4bWwueG1sUEsFBgAAAAAGAAYAYAEAAMsDAAAAAA==&#10;">
                  <o:lock v:ext="edit" aspectratio="f"/>
                  <v:shape id="Freeform 461" o:spid="_x0000_s1026" o:spt="100" style="position:absolute;left:1088;top:2798;height:360;width:2;" filled="f" stroked="t" coordsize="1,360" o:gfxdata="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mIF+8AAAA&#10;3AAAAA8AAAAAAAAAAQAgAAAAIgAAAGRycy9kb3ducmV2LnhtbFBLAQIUABQAAAAIAIdO4kAzLwWe&#10;OwAAADkAAAAQAAAAAAAAAAEAIAAAAAsBAABkcnMvc2hhcGV4bWwueG1sUEsFBgAAAAAGAAYAWwEA&#10;ALUDAAAAAA==&#10;" path="m0,360l0,0e">
                    <v:path o:connectlocs="0,3158;0,2798" o:connectangles="0,0"/>
                    <v:fill on="f" focussize="0,0"/>
                    <v:stroke color="#000000" joinstyle="round"/>
                    <v:imagedata o:title=""/>
                    <o:lock v:ext="edit" aspectratio="f"/>
                  </v:shape>
                </v:group>
                <v:group id="Group 462" o:spid="_x0000_s1026" o:spt="203" style="position:absolute;left:1080;top:2738;height:120;width:1679;" coordorigin="1080,2738" coordsize="1679,120" o:gfxdata="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5hVvwAAANwAAAAPAAAAAAAAAAEAIAAAACIAAABkcnMvZG93bnJldi54&#10;bWxQSwECFAAUAAAACACHTuJAMy8FnjsAAAA5AAAAFQAAAAAAAAABACAAAAAOAQAAZHJzL2dyb3Vw&#10;c2hhcGV4bWwueG1sUEsFBgAAAAAGAAYAYAEAAMsDAAAAAA==&#10;">
                  <o:lock v:ext="edit" aspectratio="f"/>
                  <v:shape id="Freeform 463" o:spid="_x0000_s1026" o:spt="100" style="position:absolute;left:1080;top:2738;height:120;width:1679;" fillcolor="#000000" filled="t" stroked="f" coordsize="1679,120" o:gfxdata="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C+VRrsAAADc&#10;AAAADwAAAAAAAAABACAAAAAiAAAAZHJzL2Rvd25yZXYueG1sUEsBAhQAFAAAAAgAh07iQDMvBZ47&#10;AAAAOQAAABAAAAAAAAAAAQAgAAAACgEAAGRycy9zaGFwZXhtbC54bWxQSwUGAAAAAAYABgBbAQAA&#10;tAMAAAAA&#10;" path="m1559,0l1559,120,1665,68,1579,68,1584,66,1587,60,1584,56,1579,53,1665,53,1559,0xe">
                    <v:path o:connectlocs="1559,2738;1559,2858;1665,2806;1579,2806;1584,2804;1587,2798;1584,2794;1579,2791;1665,2791;1559,2738" o:connectangles="0,0,0,0,0,0,0,0,0,0"/>
                    <v:fill on="t" focussize="0,0"/>
                    <v:stroke on="f"/>
                    <v:imagedata o:title=""/>
                    <o:lock v:ext="edit" aspectratio="f"/>
                  </v:shape>
                  <v:shape id="Freeform 464" o:spid="_x0000_s1026" o:spt="100" style="position:absolute;left:1080;top:2738;height:120;width:1679;" fillcolor="#000000" filled="t" stroked="f" coordsize="1679,120" o:gfxdata="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jMN2/&#10;AAAA3AAAAA8AAAAAAAAAAQAgAAAAIgAAAGRycy9kb3ducmV2LnhtbFBLAQIUABQAAAAIAIdO4kAz&#10;LwWeOwAAADkAAAAQAAAAAAAAAAEAIAAAAA4BAABkcnMvc2hhcGV4bWwueG1sUEsFBgAAAAAGAAYA&#10;WwEAALgDAAAAAA==&#10;" path="m1559,53l7,53,3,56,0,60,3,66,7,68,1559,68,1559,53xe">
                    <v:path o:connectlocs="1559,2791;7,2791;3,2794;0,2798;3,2804;7,2806;1559,2806;1559,2791" o:connectangles="0,0,0,0,0,0,0,0"/>
                    <v:fill on="t" focussize="0,0"/>
                    <v:stroke on="f"/>
                    <v:imagedata o:title=""/>
                    <o:lock v:ext="edit" aspectratio="f"/>
                  </v:shape>
                  <v:shape id="Freeform 465" o:spid="_x0000_s1026" o:spt="100" style="position:absolute;left:1080;top:2738;height:120;width:1679;" fillcolor="#000000" filled="t" stroked="f" coordsize="1679,120" o:gfxdata="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sa6q&#10;wAAAANwAAAAPAAAAAAAAAAEAIAAAACIAAABkcnMvZG93bnJldi54bWxQSwECFAAUAAAACACHTuJA&#10;My8FnjsAAAA5AAAAEAAAAAAAAAABACAAAAAPAQAAZHJzL3NoYXBleG1sLnhtbFBLBQYAAAAABgAG&#10;AFsBAAC5AwAAAAA=&#10;" path="m1665,53l1579,53,1584,56,1587,60,1584,66,1579,68,1665,68,1679,60,1665,53xe">
                    <v:path o:connectlocs="1665,2791;1579,2791;1584,2794;1587,2798;1584,2804;1579,2806;1665,2806;1679,2798;1665,2791" o:connectangles="0,0,0,0,0,0,0,0,0"/>
                    <v:fill on="t" focussize="0,0"/>
                    <v:stroke on="f"/>
                    <v:imagedata o:title=""/>
                    <o:lock v:ext="edit" aspectratio="f"/>
                  </v:shape>
                </v:group>
                <v:group id="Group 466" o:spid="_x0000_s1026" o:spt="203" style="position:absolute;left:4591;top:3539;height:120;width:1005;" coordorigin="4591,3539" coordsize="1005,120" o:gfxdata="UEsDBAoAAAAAAIdO4kAAAAAAAAAAAAAAAAAEAAAAZHJzL1BLAwQUAAAACACHTuJA4x45Y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Q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jHjlivwAAANwAAAAPAAAAAAAAAAEAIAAAACIAAABkcnMvZG93bnJldi54&#10;bWxQSwECFAAUAAAACACHTuJAMy8FnjsAAAA5AAAAFQAAAAAAAAABACAAAAAOAQAAZHJzL2dyb3Vw&#10;c2hhcGV4bWwueG1sUEsFBgAAAAAGAAYAYAEAAMsDAAAAAA==&#10;">
                  <o:lock v:ext="edit" aspectratio="f"/>
                  <v:shape id="Freeform 467" o:spid="_x0000_s1026" o:spt="100" style="position:absolute;left:4591;top:3539;height:120;width:1005;" fillcolor="#000000" filled="t" stroked="f" coordsize="1005,120" o:gfxdata="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UKBAvQAA&#10;ANwAAAAPAAAAAAAAAAEAIAAAACIAAABkcnMvZG93bnJldi54bWxQSwECFAAUAAAACACHTuJAMy8F&#10;njsAAAA5AAAAEAAAAAAAAAABACAAAAAMAQAAZHJzL3NoYXBleG1sLnhtbFBLBQYAAAAABgAGAFsB&#10;AAC2AwAAAAA=&#10;" path="m120,0l0,60,120,120,120,67,100,67,95,65,93,60,95,54,100,53,120,53,120,0xe">
                    <v:path o:connectlocs="120,3539;0,3599;120,3659;120,3606;100,3606;95,3604;93,3599;95,3593;100,3592;120,3592;120,3539" o:connectangles="0,0,0,0,0,0,0,0,0,0,0"/>
                    <v:fill on="t" focussize="0,0"/>
                    <v:stroke on="f"/>
                    <v:imagedata o:title=""/>
                    <o:lock v:ext="edit" aspectratio="f"/>
                  </v:shape>
                  <v:shape id="Freeform 468" o:spid="_x0000_s1026" o:spt="100" style="position:absolute;left:4591;top:3539;height:120;width:1005;" fillcolor="#000000" filled="t" stroked="f" coordsize="1005,120" o:gfxdata="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HAXbugAAANwA&#10;AAAPAAAAAAAAAAEAIAAAACIAAABkcnMvZG93bnJldi54bWxQSwECFAAUAAAACACHTuJAMy8FnjsA&#10;AAA5AAAAEAAAAAAAAAABACAAAAAJAQAAZHJzL3NoYXBleG1sLnhtbFBLBQYAAAAABgAGAFsBAACz&#10;AwAAAAA=&#10;" path="m120,53l100,53,95,54,93,60,95,65,100,67,120,67,120,53xe">
                    <v:path o:connectlocs="120,3592;100,3592;95,3593;93,3599;95,3604;100,3606;120,3606;120,3592" o:connectangles="0,0,0,0,0,0,0,0"/>
                    <v:fill on="t" focussize="0,0"/>
                    <v:stroke on="f"/>
                    <v:imagedata o:title=""/>
                    <o:lock v:ext="edit" aspectratio="f"/>
                  </v:shape>
                  <v:shape id="Freeform 469" o:spid="_x0000_s1026" o:spt="100" style="position:absolute;left:4591;top:3539;height:120;width:1005;" fillcolor="#000000" filled="t" stroked="f" coordsize="1005,120" o:gfxdata="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Om6y8AAAA&#10;3AAAAA8AAAAAAAAAAQAgAAAAIgAAAGRycy9kb3ducmV2LnhtbFBLAQIUABQAAAAIAIdO4kAzLwWe&#10;OwAAADkAAAAQAAAAAAAAAAEAIAAAAAsBAABkcnMvc2hhcGV4bWwueG1sUEsFBgAAAAAGAAYAWwEA&#10;ALUDAAAAAA==&#10;" path="m996,53l120,53,120,67,996,67,1002,65,1005,60,1002,54,996,53xe">
                    <v:path o:connectlocs="996,3592;120,3592;120,3606;996,3606;1002,3604;1005,3599;1002,3593;996,3592" o:connectangles="0,0,0,0,0,0,0,0"/>
                    <v:fill on="t" focussize="0,0"/>
                    <v:stroke on="f"/>
                    <v:imagedata o:title=""/>
                    <o:lock v:ext="edit" aspectratio="f"/>
                  </v:shape>
                </v:group>
                <v:group id="Group 470" o:spid="_x0000_s1026" o:spt="203" style="position:absolute;left:5588;top:3059;height:540;width:2;" coordorigin="5588,3059" coordsize="2,540"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shape id="Freeform 471" o:spid="_x0000_s1026" o:spt="100" style="position:absolute;left:5588;top:3059;height:540;width:2;" filled="f" stroked="t" coordsize="1,540" o:gfxdata="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HGriugAAANwA&#10;AAAPAAAAAAAAAAEAIAAAACIAAABkcnMvZG93bnJldi54bWxQSwECFAAUAAAACACHTuJAMy8FnjsA&#10;AAA5AAAAEAAAAAAAAAABACAAAAAJAQAAZHJzL3NoYXBleG1sLnhtbFBLBQYAAAAABgAGAFsBAACz&#10;AwAAAAA=&#10;" path="m0,0l0,540e">
                    <v:path o:connectlocs="0,3059;0,3599" o:connectangles="0,0"/>
                    <v:fill on="f" focussize="0,0"/>
                    <v:stroke color="#000000" joinstyle="round"/>
                    <v:imagedata o:title=""/>
                    <o:lock v:ext="edit" aspectratio="f"/>
                  </v:shape>
                </v:group>
                <v:group id="Group 472" o:spid="_x0000_s1026" o:spt="203" style="position:absolute;left:7928;top:3419;height:628;width:3389;" coordorigin="7928,3419" coordsize="3389,628" o:gfxdata="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9g6IvwAAANwAAAAPAAAAAAAAAAEAIAAAACIAAABkcnMvZG93bnJldi54&#10;bWxQSwECFAAUAAAACACHTuJAMy8FnjsAAAA5AAAAFQAAAAAAAAABACAAAAAOAQAAZHJzL2dyb3Vw&#10;c2hhcGV4bWwueG1sUEsFBgAAAAAGAAYAYAEAAMsDAAAAAA==&#10;">
                  <o:lock v:ext="edit" aspectratio="f"/>
                  <v:shape id="Freeform 473" o:spid="_x0000_s1026" o:spt="100" style="position:absolute;left:7928;top:3419;height:628;width:3389;" filled="f" stroked="t" coordsize="3389,628" o:gfxdata="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PM/fugAAANwA&#10;AAAPAAAAAAAAAAEAIAAAACIAAABkcnMvZG93bnJldi54bWxQSwECFAAUAAAACACHTuJAMy8FnjsA&#10;AAA5AAAAEAAAAAAAAAABACAAAAAJAQAAZHJzL3NoYXBleG1sLnhtbFBLBQYAAAAABgAGAFsBAACz&#10;AwAAAAA=&#10;" path="m3388,0l0,0,0,627,3388,627,3388,0xe">
                    <v:path o:connectlocs="3388,3419;0,3419;0,4046;3388,4046;3388,3419" o:connectangles="0,0,0,0,0"/>
                    <v:fill on="f" focussize="0,0"/>
                    <v:stroke color="#000000" joinstyle="round"/>
                    <v:imagedata o:title=""/>
                    <o:lock v:ext="edit" aspectratio="f"/>
                  </v:shape>
                </v:group>
                <v:group id="Group 474" o:spid="_x0000_s1026" o:spt="203" style="position:absolute;left:6848;top:3599;height:2;width:1086;" coordorigin="6848,3599" coordsize="1086,2" o:gfxdata="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y7MgzvwAAANwAAAAPAAAAAAAAAAEAIAAAACIAAABkcnMvZG93bnJldi54&#10;bWxQSwECFAAUAAAACACHTuJAMy8FnjsAAAA5AAAAFQAAAAAAAAABACAAAAAOAQAAZHJzL2dyb3Vw&#10;c2hhcGV4bWwueG1sUEsFBgAAAAAGAAYAYAEAAMsDAAAAAA==&#10;">
                  <o:lock v:ext="edit" aspectratio="f"/>
                  <v:shape id="Freeform 475" o:spid="_x0000_s1026" o:spt="100" style="position:absolute;left:6848;top:3599;height:2;width:1086;" filled="f" stroked="t" coordsize="1086,1" o:gfxdata="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pwRivQAA&#10;ANwAAAAPAAAAAAAAAAEAIAAAACIAAABkcnMvZG93bnJldi54bWxQSwECFAAUAAAACACHTuJAMy8F&#10;njsAAAA5AAAAEAAAAAAAAAABACAAAAAMAQAAZHJzL3NoYXBleG1sLnhtbFBLBQYAAAAABgAGAFsB&#10;AAC2AwAAAAA=&#10;" path="m1086,0l0,0e">
                    <v:path o:connectlocs="1086,0;0,0" o:connectangles="0,0"/>
                    <v:fill on="f" focussize="0,0"/>
                    <v:stroke color="#000000" joinstyle="round"/>
                    <v:imagedata o:title=""/>
                    <o:lock v:ext="edit" aspectratio="f"/>
                  </v:shape>
                </v:group>
                <v:group id="Group 476" o:spid="_x0000_s1026" o:spt="203" style="position:absolute;left:6788;top:3592;height:548;width:120;" coordorigin="6788,3592" coordsize="120,548" o:gfxdata="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tcvPfvwAAANwAAAAPAAAAAAAAAAEAIAAAACIAAABkcnMvZG93bnJldi54&#10;bWxQSwECFAAUAAAACACHTuJAMy8FnjsAAAA5AAAAFQAAAAAAAAABACAAAAAOAQAAZHJzL2dyb3Vw&#10;c2hhcGV4bWwueG1sUEsFBgAAAAAGAAYAYAEAAMsDAAAAAA==&#10;">
                  <o:lock v:ext="edit" aspectratio="f"/>
                  <v:shape id="Freeform 477" o:spid="_x0000_s1026" o:spt="100" style="position:absolute;left:6788;top:3592;height:548;width:120;" fillcolor="#000000" filled="t" stroked="f" coordsize="120,548" o:gfxdata="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iDz8&#10;wAAAANwAAAAPAAAAAAAAAAEAIAAAACIAAABkcnMvZG93bnJldi54bWxQSwECFAAUAAAACACHTuJA&#10;My8FnjsAAAA5AAAAEAAAAAAAAAABACAAAAAPAQAAZHJzL3NoYXBleG1sLnhtbFBLBQYAAAAABgAG&#10;AFsBAAC5AwAAAAA=&#10;" path="m52,427l0,427,60,547,106,454,60,454,55,452,52,446,52,427xe">
                    <v:path o:connectlocs="52,4019;0,4019;60,4139;106,4046;60,4046;55,4044;52,4038;52,4019" o:connectangles="0,0,0,0,0,0,0,0"/>
                    <v:fill on="t" focussize="0,0"/>
                    <v:stroke on="f"/>
                    <v:imagedata o:title=""/>
                    <o:lock v:ext="edit" aspectratio="f"/>
                  </v:shape>
                  <v:shape id="Freeform 478" o:spid="_x0000_s1026" o:spt="100" style="position:absolute;left:6788;top:3592;height:548;width:120;" fillcolor="#000000" filled="t" stroked="f" coordsize="120,548" o:gfxdata="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3EmWe/&#10;AAAA3AAAAA8AAAAAAAAAAQAgAAAAIgAAAGRycy9kb3ducmV2LnhtbFBLAQIUABQAAAAIAIdO4kAz&#10;LwWeOwAAADkAAAAQAAAAAAAAAAEAIAAAAA4BAABkcnMvc2hhcGV4bWwueG1sUEsFBgAAAAAGAAYA&#10;WwEAALgDAAAAAA==&#10;" path="m60,0l55,1,52,7,52,446,55,452,60,454,66,452,68,446,68,7,66,1,60,0xe">
                    <v:path o:connectlocs="60,3592;55,3593;52,3599;52,4038;55,4044;60,4046;66,4044;68,4038;68,3599;66,3593;60,3592" o:connectangles="0,0,0,0,0,0,0,0,0,0,0"/>
                    <v:fill on="t" focussize="0,0"/>
                    <v:stroke on="f"/>
                    <v:imagedata o:title=""/>
                    <o:lock v:ext="edit" aspectratio="f"/>
                  </v:shape>
                  <v:shape id="Freeform 479" o:spid="_x0000_s1026" o:spt="100" style="position:absolute;left:6788;top:3592;height:548;width:120;" fillcolor="#000000" filled="t" stroked="f" coordsize="120,548" o:gfxdata="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0WBxC/&#10;AAAA3AAAAA8AAAAAAAAAAQAgAAAAIgAAAGRycy9kb3ducmV2LnhtbFBLAQIUABQAAAAIAIdO4kAz&#10;LwWeOwAAADkAAAAQAAAAAAAAAAEAIAAAAA4BAABkcnMvc2hhcGV4bWwueG1sUEsFBgAAAAAGAAYA&#10;WwEAALgDAAAAAA==&#10;" path="m120,427l68,427,68,446,66,452,60,454,106,454,120,427xe">
                    <v:path o:connectlocs="120,4019;68,4019;68,4038;66,4044;60,4046;106,4046;120,4019" o:connectangles="0,0,0,0,0,0,0"/>
                    <v:fill on="t" focussize="0,0"/>
                    <v:stroke on="f"/>
                    <v:imagedata o:title=""/>
                    <o:lock v:ext="edit" aspectratio="f"/>
                  </v:shape>
                </v:group>
                <v:group id="Group 480" o:spid="_x0000_s1026" o:spt="203" style="position:absolute;left:9000;top:2640;height:120;width:1204;" coordorigin="9000,2640" coordsize="1204,120" o:gfxdata="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JJ9dy+AAAA3AAAAA8AAAAAAAAAAQAgAAAAIgAAAGRycy9kb3ducmV2Lnht&#10;bFBLAQIUABQAAAAIAIdO4kAzLwWeOwAAADkAAAAVAAAAAAAAAAEAIAAAAA0BAABkcnMvZ3JvdXBz&#10;aGFwZXhtbC54bWxQSwUGAAAAAAYABgBgAQAAygMAAAAA&#10;">
                  <o:lock v:ext="edit" aspectratio="f"/>
                  <v:shape id="Freeform 481" o:spid="_x0000_s1026" o:spt="100" style="position:absolute;left:9000;top:2640;height:120;width:1204;" fillcolor="#000000" filled="t" stroked="f" coordsize="1204,120" o:gfxdata="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KaK/&#10;AAAA3AAAAA8AAAAAAAAAAQAgAAAAIgAAAGRycy9kb3ducmV2LnhtbFBLAQIUABQAAAAIAIdO4kAz&#10;LwWeOwAAADkAAAAQAAAAAAAAAAEAIAAAAA4BAABkcnMvc2hhcGV4bWwueG1sUEsFBgAAAAAGAAYA&#10;WwEAALgDAAAAAA==&#10;" path="m1084,0l1084,120,1190,67,1104,67,1109,65,1112,60,1109,54,1104,52,1187,52,1084,0xe">
                    <v:path o:connectlocs="1084,2640;1084,2760;1190,2707;1104,2707;1109,2705;1112,2700;1109,2694;1104,2692;1187,2692;1084,2640" o:connectangles="0,0,0,0,0,0,0,0,0,0"/>
                    <v:fill on="t" focussize="0,0"/>
                    <v:stroke on="f"/>
                    <v:imagedata o:title=""/>
                    <o:lock v:ext="edit" aspectratio="f"/>
                  </v:shape>
                  <v:shape id="Freeform 482" o:spid="_x0000_s1026" o:spt="100" style="position:absolute;left:9000;top:2640;height:120;width:1204;" fillcolor="#000000" filled="t" stroked="f" coordsize="1204,120" o:gfxdata="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I2M&#10;OcEAAADcAAAADwAAAAAAAAABACAAAAAiAAAAZHJzL2Rvd25yZXYueG1sUEsBAhQAFAAAAAgAh07i&#10;QDMvBZ47AAAAOQAAABAAAAAAAAAAAQAgAAAAEAEAAGRycy9zaGFwZXhtbC54bWxQSwUGAAAAAAYA&#10;BgBbAQAAugMAAAAA&#10;" path="m1084,52l8,52,3,54,0,60,3,65,8,67,1084,67,1084,52xe">
                    <v:path o:connectlocs="1084,2692;8,2692;3,2694;0,2700;3,2705;8,2707;1084,2707;1084,2692" o:connectangles="0,0,0,0,0,0,0,0"/>
                    <v:fill on="t" focussize="0,0"/>
                    <v:stroke on="f"/>
                    <v:imagedata o:title=""/>
                    <o:lock v:ext="edit" aspectratio="f"/>
                  </v:shape>
                  <v:shape id="Freeform 483" o:spid="_x0000_s1026" o:spt="100" style="position:absolute;left:9000;top:2640;height:120;width:1204;" fillcolor="#000000" filled="t" stroked="f" coordsize="1204,120" o:gfxdata="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6zeb4A&#10;AADcAAAADwAAAAAAAAABACAAAAAiAAAAZHJzL2Rvd25yZXYueG1sUEsBAhQAFAAAAAgAh07iQDMv&#10;BZ47AAAAOQAAABAAAAAAAAAAAQAgAAAADQEAAGRycy9zaGFwZXhtbC54bWxQSwUGAAAAAAYABgBb&#10;AQAAtwMAAAAA&#10;" path="m1187,52l1104,52,1109,54,1112,60,1109,65,1104,67,1190,67,1204,60,1187,52xe">
                    <v:path o:connectlocs="1187,2692;1104,2692;1109,2694;1112,2700;1109,2705;1104,2707;1190,2707;1204,2700;1187,2692" o:connectangles="0,0,0,0,0,0,0,0,0"/>
                    <v:fill on="t" focussize="0,0"/>
                    <v:stroke on="f"/>
                    <v:imagedata o:title=""/>
                    <o:lock v:ext="edit" aspectratio="f"/>
                  </v:shape>
                </v:group>
                <v:group id="Group 484" o:spid="_x0000_s1026" o:spt="203" style="position:absolute;left:10576;top:2872;height:513;width:120;" coordorigin="10576,2872" coordsize="120,513" o:gfxdata="UEsDBAoAAAAAAIdO4kAAAAAAAAAAAAAAAAAEAAAAZHJzL1BLAwQUAAAACACHTuJANzVe7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Fw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3NV7uvwAAANwAAAAPAAAAAAAAAAEAIAAAACIAAABkcnMvZG93bnJldi54&#10;bWxQSwECFAAUAAAACACHTuJAMy8FnjsAAAA5AAAAFQAAAAAAAAABACAAAAAOAQAAZHJzL2dyb3Vw&#10;c2hhcGV4bWwueG1sUEsFBgAAAAAGAAYAYAEAAMsDAAAAAA==&#10;">
                  <o:lock v:ext="edit" aspectratio="f"/>
                  <v:shape id="Freeform 485" o:spid="_x0000_s1026" o:spt="100" style="position:absolute;left:10576;top:2872;height:513;width:120;" fillcolor="#000000" filled="t" stroked="f" coordsize="120,513" o:gfxdata="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Mz1b4A&#10;AADcAAAADwAAAAAAAAABACAAAAAiAAAAZHJzL2Rvd25yZXYueG1sUEsBAhQAFAAAAAgAh07iQDMv&#10;BZ47AAAAOQAAABAAAAAAAAAAAQAgAAAADQEAAGRycy9zaGFwZXhtbC54bWxQSwUGAAAAAAYABgBb&#10;AQAAtwMAAAAA&#10;" path="m53,393l0,394,63,512,106,420,61,420,56,418,54,412,53,393xe">
                    <v:path o:connectlocs="53,3265;0,3266;63,3384;106,3292;61,3292;56,3290;54,3284;53,3265" o:connectangles="0,0,0,0,0,0,0,0"/>
                    <v:fill on="t" focussize="0,0"/>
                    <v:stroke on="f"/>
                    <v:imagedata o:title=""/>
                    <o:lock v:ext="edit" aspectratio="f"/>
                  </v:shape>
                  <v:shape id="Freeform 486" o:spid="_x0000_s1026" o:spt="100" style="position:absolute;left:10576;top:2872;height:513;width:120;" fillcolor="#000000" filled="t" stroked="f" coordsize="120,513" o:gfxdata="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WTr4A&#10;AADcAAAADwAAAAAAAAABACAAAAAiAAAAZHJzL2Rvd25yZXYueG1sUEsBAhQAFAAAAAgAh07iQDMv&#10;BZ47AAAAOQAAABAAAAAAAAAAAQAgAAAADQEAAGRycy9zaGFwZXhtbC54bWxQSwUGAAAAAAYABgBb&#10;AQAAtwMAAAAA&#10;" path="m68,392l53,393,54,412,56,418,61,420,66,417,68,412,68,392xe">
                    <v:path o:connectlocs="68,3264;53,3265;54,3284;56,3290;61,3292;66,3289;68,3284;68,3264" o:connectangles="0,0,0,0,0,0,0,0"/>
                    <v:fill on="t" focussize="0,0"/>
                    <v:stroke on="f"/>
                    <v:imagedata o:title=""/>
                    <o:lock v:ext="edit" aspectratio="f"/>
                  </v:shape>
                  <v:shape id="Freeform 487" o:spid="_x0000_s1026" o:spt="100" style="position:absolute;left:10576;top:2872;height:513;width:120;" fillcolor="#000000" filled="t" stroked="f" coordsize="120,513" o:gfxdata="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MYOOr4A&#10;AADcAAAADwAAAAAAAAABACAAAAAiAAAAZHJzL2Rvd25yZXYueG1sUEsBAhQAFAAAAAgAh07iQDMv&#10;BZ47AAAAOQAAABAAAAAAAAAAAQAgAAAADQEAAGRycy9zaGFwZXhtbC54bWxQSwUGAAAAAAYABgBb&#10;AQAAtwMAAAAA&#10;" path="m120,391l68,392,68,412,66,417,61,420,106,420,120,391xe">
                    <v:path o:connectlocs="120,3263;68,3264;68,3284;66,3289;61,3292;106,3292;120,3263" o:connectangles="0,0,0,0,0,0,0"/>
                    <v:fill on="t" focussize="0,0"/>
                    <v:stroke on="f"/>
                    <v:imagedata o:title=""/>
                    <o:lock v:ext="edit" aspectratio="f"/>
                  </v:shape>
                  <v:shape id="Freeform 488" o:spid="_x0000_s1026" o:spt="100" style="position:absolute;left:10576;top:2872;height:513;width:120;" fillcolor="#000000" filled="t" stroked="f" coordsize="120,513" o:gfxdata="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Kq6G/&#10;AAAA3AAAAA8AAAAAAAAAAQAgAAAAIgAAAGRycy9kb3ducmV2LnhtbFBLAQIUABQAAAAIAIdO4kAz&#10;LwWeOwAAADkAAAAQAAAAAAAAAAEAIAAAAA4BAABkcnMvc2hhcGV4bWwueG1sUEsFBgAAAAAGAAYA&#10;WwEAALgDAAAAAA==&#10;" path="m51,0l47,2,44,7,53,393,68,392,60,7,57,1,51,0xe">
                    <v:path o:connectlocs="51,2872;47,2874;44,2879;53,3265;68,3264;60,2879;57,2873;51,2872" o:connectangles="0,0,0,0,0,0,0,0"/>
                    <v:fill on="t" focussize="0,0"/>
                    <v:stroke on="f"/>
                    <v:imagedata o:title=""/>
                    <o:lock v:ext="edit" aspectratio="f"/>
                  </v:shape>
                </v:group>
                <v:group id="Group 489" o:spid="_x0000_s1026" o:spt="203" style="position:absolute;left:4148;top:4139;height:720;width:3588;" coordorigin="4148,4139" coordsize="3588,720" o:gfxdata="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uNzGmsAAAADcAAAADwAAAAAAAAABACAAAAAiAAAAZHJzL2Rvd25yZXYu&#10;eG1sUEsBAhQAFAAAAAgAh07iQDMvBZ47AAAAOQAAABUAAAAAAAAAAQAgAAAADwEAAGRycy9ncm91&#10;cHNoYXBleG1sLnhtbFBLBQYAAAAABgAGAGABAADMAwAAAAA=&#10;">
                  <o:lock v:ext="edit" aspectratio="f"/>
                  <v:shape id="Freeform 490" o:spid="_x0000_s1026" o:spt="100" style="position:absolute;left:4148;top:4139;height:720;width:3588;" filled="f" stroked="t" coordsize="3588,720" o:gfxdata="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HEQLvQAA&#10;ANwAAAAPAAAAAAAAAAEAIAAAACIAAABkcnMvZG93bnJldi54bWxQSwECFAAUAAAACACHTuJAMy8F&#10;njsAAAA5AAAAEAAAAAAAAAABACAAAAAMAQAAZHJzL3NoYXBleG1sLnhtbFBLBQYAAAAABgAGAFsB&#10;AAC2AwAAAAA=&#10;" path="m3588,0l0,0,0,720,3588,720,3588,0xe">
                    <v:path o:connectlocs="3588,4139;0,4139;0,4859;3588,4859;3588,4139" o:connectangles="0,0,0,0,0"/>
                    <v:fill on="f" focussize="0,0"/>
                    <v:stroke color="#000000" joinstyle="round"/>
                    <v:imagedata o:title=""/>
                    <o:lock v:ext="edit" aspectratio="f"/>
                  </v:shape>
                </v:group>
                <v:group id="Group 491" o:spid="_x0000_s1026" o:spt="203" style="position:absolute;left:3551;top:4499;height:2;width:597;" coordorigin="3551,4499" coordsize="597,2" o:gfxdata="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mD/dzvAAAANwAAAAPAAAAAAAAAAEAIAAAACIAAABkcnMvZG93bnJldi54bWxQ&#10;SwECFAAUAAAACACHTuJAMy8FnjsAAAA5AAAAFQAAAAAAAAABACAAAAALAQAAZHJzL2dyb3Vwc2hh&#10;cGV4bWwueG1sUEsFBgAAAAAGAAYAYAEAAMgDAAAAAA==&#10;">
                  <o:lock v:ext="edit" aspectratio="f"/>
                  <v:shape id="Freeform 492" o:spid="_x0000_s1026" o:spt="100" style="position:absolute;left:3551;top:4499;height:2;width:597;" filled="f" stroked="t" coordsize="597,1" o:gfxdata="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USDdL4A&#10;AADcAAAADwAAAAAAAAABACAAAAAiAAAAZHJzL2Rvd25yZXYueG1sUEsBAhQAFAAAAAgAh07iQDMv&#10;BZ47AAAAOQAAABAAAAAAAAAAAQAgAAAADQEAAGRycy9zaGFwZXhtbC54bWxQSwUGAAAAAAYABgBb&#10;AQAAtwMAAAAA&#10;" path="m596,0l0,0e">
                    <v:path o:connectlocs="596,0;0,0" o:connectangles="0,0"/>
                    <v:fill on="f" focussize="0,0"/>
                    <v:stroke color="#000000" joinstyle="round"/>
                    <v:imagedata o:title=""/>
                    <o:lock v:ext="edit" aspectratio="f"/>
                  </v:shape>
                </v:group>
                <v:group id="Group 493" o:spid="_x0000_s1026" o:spt="203" style="position:absolute;left:7740;top:4439;height:120;width:1203;" coordorigin="7740,4439" coordsize="1203,120" o:gfxdata="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f4gIvAAAANwAAAAPAAAAAAAAAAEAIAAAACIAAABkcnMvZG93bnJldi54bWxQ&#10;SwECFAAUAAAACACHTuJAMy8FnjsAAAA5AAAAFQAAAAAAAAABACAAAAALAQAAZHJzL2dyb3Vwc2hh&#10;cGV4bWwueG1sUEsFBgAAAAAGAAYAYAEAAMgDAAAAAA==&#10;">
                  <o:lock v:ext="edit" aspectratio="f"/>
                  <v:shape id="Freeform 494" o:spid="_x0000_s1026" o:spt="100" style="position:absolute;left:7740;top:4439;height:120;width:1203;" fillcolor="#000000" filled="t" stroked="f" coordsize="1203,120" o:gfxdata="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BXOL4A&#10;AADcAAAADwAAAAAAAAABACAAAAAiAAAAZHJzL2Rvd25yZXYueG1sUEsBAhQAFAAAAAgAh07iQDMv&#10;BZ47AAAAOQAAABAAAAAAAAAAAQAgAAAADQEAAGRycy9zaGFwZXhtbC54bWxQSwUGAAAAAAYABgBb&#10;AQAAtwMAAAAA&#10;" path="m1083,0l1083,120,1188,67,1103,67,1108,65,1110,60,1108,54,1103,53,1188,53,1083,0xe">
                    <v:path o:connectlocs="1083,4439;1083,4559;1188,4506;1103,4506;1108,4504;1110,4499;1108,4493;1103,4492;1188,4492;1083,4439" o:connectangles="0,0,0,0,0,0,0,0,0,0"/>
                    <v:fill on="t" focussize="0,0"/>
                    <v:stroke on="f"/>
                    <v:imagedata o:title=""/>
                    <o:lock v:ext="edit" aspectratio="f"/>
                  </v:shape>
                  <v:shape id="Freeform 495" o:spid="_x0000_s1026" o:spt="100" style="position:absolute;left:7740;top:4439;height:120;width:1203;" fillcolor="#000000" filled="t" stroked="f" coordsize="1203,120" o:gfxdata="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LJT74A&#10;AADcAAAADwAAAAAAAAABACAAAAAiAAAAZHJzL2Rvd25yZXYueG1sUEsBAhQAFAAAAAgAh07iQDMv&#10;BZ47AAAAOQAAABAAAAAAAAAAAQAgAAAADQEAAGRycy9zaGFwZXhtbC54bWxQSwUGAAAAAAYABgBb&#10;AQAAtwMAAAAA&#10;" path="m1083,53l8,53,3,54,0,60,3,65,8,67,1083,67,1083,53xe">
                    <v:path o:connectlocs="1083,4492;8,4492;3,4493;0,4499;3,4504;8,4506;1083,4506;1083,4492" o:connectangles="0,0,0,0,0,0,0,0"/>
                    <v:fill on="t" focussize="0,0"/>
                    <v:stroke on="f"/>
                    <v:imagedata o:title=""/>
                    <o:lock v:ext="edit" aspectratio="f"/>
                  </v:shape>
                  <v:shape id="Freeform 496" o:spid="_x0000_s1026" o:spt="100" style="position:absolute;left:7740;top:4439;height:120;width:1203;" fillcolor="#000000" filled="t" stroked="f" coordsize="1203,120" o:gfxdata="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5s1L4A&#10;AADcAAAADwAAAAAAAAABACAAAAAiAAAAZHJzL2Rvd25yZXYueG1sUEsBAhQAFAAAAAgAh07iQDMv&#10;BZ47AAAAOQAAABAAAAAAAAAAAQAgAAAADQEAAGRycy9zaGFwZXhtbC54bWxQSwUGAAAAAAYABgBb&#10;AQAAtwMAAAAA&#10;" path="m1188,53l1103,53,1108,54,1110,60,1108,65,1103,67,1188,67,1203,60,1188,53xe">
                    <v:path o:connectlocs="1188,4492;1103,4492;1108,4493;1110,4499;1108,4504;1103,4506;1188,4506;1203,4499;1188,4492" o:connectangles="0,0,0,0,0,0,0,0,0"/>
                    <v:fill on="t" focussize="0,0"/>
                    <v:stroke on="f"/>
                    <v:imagedata o:title=""/>
                    <o:lock v:ext="edit" aspectratio="f"/>
                  </v:shape>
                </v:group>
                <v:group id="Group 497" o:spid="_x0000_s1026" o:spt="203" style="position:absolute;left:3239;top:5164;height:360;width:900;" coordorigin="3239,5164" coordsize="900,360" o:gfxdata="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9Ejgu+AAAA3AAAAA8AAAAAAAAAAQAgAAAAIgAAAGRycy9kb3ducmV2Lnht&#10;bFBLAQIUABQAAAAIAIdO4kAzLwWeOwAAADkAAAAVAAAAAAAAAAEAIAAAAA0BAABkcnMvZ3JvdXBz&#10;aGFwZXhtbC54bWxQSwUGAAAAAAYABgBgAQAAygMAAAAA&#10;">
                  <o:lock v:ext="edit" aspectratio="f"/>
                  <v:shape id="Freeform 498" o:spid="_x0000_s1026" o:spt="100" style="position:absolute;left:3239;top:5164;height:360;width:900;" filled="f" stroked="t" coordsize="900,360" o:gfxdata="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xGjb4A&#10;AADcAAAADwAAAAAAAAABACAAAAAiAAAAZHJzL2Rvd25yZXYueG1sUEsBAhQAFAAAAAgAh07iQDMv&#10;BZ47AAAAOQAAABAAAAAAAAAAAQAgAAAADQEAAGRycy9zaGFwZXhtbC54bWxQSwUGAAAAAAYABgBb&#10;AQAAtwMAAAAA&#10;" path="m900,0l0,0,0,360,900,360,900,0xe">
                    <v:path o:connectlocs="900,5164;0,5164;0,5524;900,5524;900,5164" o:connectangles="0,0,0,0,0"/>
                    <v:fill on="f" focussize="0,0"/>
                    <v:stroke color="#000000" joinstyle="round"/>
                    <v:imagedata o:title=""/>
                    <o:lock v:ext="edit" aspectratio="f"/>
                  </v:shape>
                </v:group>
                <v:group id="Group 499" o:spid="_x0000_s1026" o:spt="203" style="position:absolute;left:3548;top:4492;height:728;width:120;" coordorigin="3548,4492" coordsize="120,728" o:gfxdata="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Datee+AAAA3AAAAA8AAAAAAAAAAQAgAAAAIgAAAGRycy9kb3ducmV2Lnht&#10;bFBLAQIUABQAAAAIAIdO4kAzLwWeOwAAADkAAAAVAAAAAAAAAAEAIAAAAA0BAABkcnMvZ3JvdXBz&#10;aGFwZXhtbC54bWxQSwUGAAAAAAYABgBgAQAAygMAAAAA&#10;">
                  <o:lock v:ext="edit" aspectratio="f"/>
                  <v:shape id="Freeform 500" o:spid="_x0000_s1026" o:spt="100" style="position:absolute;left:3548;top:4492;height:728;width:120;" fillcolor="#000000" filled="t" stroked="f" coordsize="120,728" o:gfxdata="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C1RvQAA&#10;ANwAAAAPAAAAAAAAAAEAIAAAACIAAABkcnMvZG93bnJldi54bWxQSwECFAAUAAAACACHTuJAMy8F&#10;njsAAAA5AAAAEAAAAAAAAAABACAAAAAMAQAAZHJzL3NoYXBleG1sLnhtbFBLBQYAAAAABgAGAFsB&#10;AAC2AwAAAAA=&#10;" path="m52,607l0,607,60,727,106,634,60,634,55,632,52,626,52,607xe">
                    <v:path o:connectlocs="52,5099;0,5099;60,5219;106,5126;60,5126;55,5124;52,5118;52,5099" o:connectangles="0,0,0,0,0,0,0,0"/>
                    <v:fill on="t" focussize="0,0"/>
                    <v:stroke on="f"/>
                    <v:imagedata o:title=""/>
                    <o:lock v:ext="edit" aspectratio="f"/>
                  </v:shape>
                  <v:shape id="Freeform 501" o:spid="_x0000_s1026" o:spt="100" style="position:absolute;left:3548;top:4492;height:728;width:120;" fillcolor="#000000" filled="t" stroked="f" coordsize="120,728" o:gfxdata="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Ae5I7UAAADcAAAADwAA&#10;AAAAAAABACAAAAAiAAAAZHJzL2Rvd25yZXYueG1sUEsBAhQAFAAAAAgAh07iQDMvBZ47AAAAOQAA&#10;ABAAAAAAAAAAAQAgAAAABAEAAGRycy9zaGFwZXhtbC54bWxQSwUGAAAAAAYABgBbAQAArgMAAAAA&#10;" path="m60,0l55,1,52,7,52,626,55,632,60,634,65,632,68,626,68,7,65,1,60,0xe">
                    <v:path o:connectlocs="60,4492;55,4493;52,4499;52,5118;55,5124;60,5126;65,5124;68,5118;68,4499;65,4493;60,4492" o:connectangles="0,0,0,0,0,0,0,0,0,0,0"/>
                    <v:fill on="t" focussize="0,0"/>
                    <v:stroke on="f"/>
                    <v:imagedata o:title=""/>
                    <o:lock v:ext="edit" aspectratio="f"/>
                  </v:shape>
                  <v:shape id="Freeform 502" o:spid="_x0000_s1026" o:spt="100" style="position:absolute;left:3548;top:4492;height:728;width:120;" fillcolor="#000000" filled="t" stroked="f" coordsize="120,728" o:gfxdata="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xy4vQAA&#10;ANwAAAAPAAAAAAAAAAEAIAAAACIAAABkcnMvZG93bnJldi54bWxQSwECFAAUAAAACACHTuJAMy8F&#10;njsAAAA5AAAAEAAAAAAAAAABACAAAAAMAQAAZHJzL3NoYXBleG1sLnhtbFBLBQYAAAAABgAGAFsB&#10;AAC2AwAAAAA=&#10;" path="m120,607l68,607,68,626,65,632,60,634,106,634,120,607xe">
                    <v:path o:connectlocs="120,5099;68,5099;68,5118;65,5124;60,5126;106,5126;120,5099" o:connectangles="0,0,0,0,0,0,0"/>
                    <v:fill on="t" focussize="0,0"/>
                    <v:stroke on="f"/>
                    <v:imagedata o:title=""/>
                    <o:lock v:ext="edit" aspectratio="f"/>
                  </v:shape>
                </v:group>
                <v:group id="Group 503" o:spid="_x0000_s1026" o:spt="203" style="position:absolute;left:6248;top:4852;height:944;width:120;" coordorigin="6248,4852" coordsize="120,944"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shape id="Freeform 504" o:spid="_x0000_s1026" o:spt="100" style="position:absolute;left:6248;top:4852;height:944;width:120;" fillcolor="#000000" filled="t" stroked="f" coordsize="120,944" o:gfxdata="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9NOW8AAAA&#10;3AAAAA8AAAAAAAAAAQAgAAAAIgAAAGRycy9kb3ducmV2LnhtbFBLAQIUABQAAAAIAIdO4kAzLwWe&#10;OwAAADkAAAAQAAAAAAAAAAEAIAAAAAsBAABkcnMvc2hhcGV4bWwueG1sUEsFBgAAAAAGAAYAWwEA&#10;ALUDAAAAAA==&#10;" path="m52,823l0,823,60,943,106,850,60,850,55,848,52,842,52,823xe">
                    <v:path o:connectlocs="52,5675;0,5675;60,5795;106,5702;60,5702;55,5700;52,5694;52,5675" o:connectangles="0,0,0,0,0,0,0,0"/>
                    <v:fill on="t" focussize="0,0"/>
                    <v:stroke on="f"/>
                    <v:imagedata o:title=""/>
                    <o:lock v:ext="edit" aspectratio="f"/>
                  </v:shape>
                  <v:shape id="Freeform 505" o:spid="_x0000_s1026" o:spt="100" style="position:absolute;left:6248;top:4852;height:944;width:120;" fillcolor="#000000" filled="t" stroked="f" coordsize="120,944" o:gfxdata="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vqpK8AAAA&#10;3AAAAA8AAAAAAAAAAQAgAAAAIgAAAGRycy9kb3ducmV2LnhtbFBLAQIUABQAAAAIAIdO4kAzLwWe&#10;OwAAADkAAAAQAAAAAAAAAAEAIAAAAAsBAABkcnMvc2hhcGV4bWwueG1sUEsFBgAAAAAGAAYAWwEA&#10;ALUDAAAAAA==&#10;" path="m60,0l55,1,52,7,52,842,55,848,60,850,66,848,68,842,68,7,66,1,60,0xe">
                    <v:path o:connectlocs="60,4852;55,4853;52,4859;52,5694;55,5700;60,5702;66,5700;68,5694;68,4859;66,4853;60,4852" o:connectangles="0,0,0,0,0,0,0,0,0,0,0"/>
                    <v:fill on="t" focussize="0,0"/>
                    <v:stroke on="f"/>
                    <v:imagedata o:title=""/>
                    <o:lock v:ext="edit" aspectratio="f"/>
                  </v:shape>
                  <v:shape id="Freeform 506" o:spid="_x0000_s1026" o:spt="100" style="position:absolute;left:6248;top:4852;height:944;width:120;" fillcolor="#000000" filled="t" stroked="f" coordsize="120,944" o:gfxdata="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4w8JvQAA&#10;ANwAAAAPAAAAAAAAAAEAIAAAACIAAABkcnMvZG93bnJldi54bWxQSwECFAAUAAAACACHTuJAMy8F&#10;njsAAAA5AAAAEAAAAAAAAAABACAAAAAMAQAAZHJzL3NoYXBleG1sLnhtbFBLBQYAAAAABgAGAFsB&#10;AAC2AwAAAAA=&#10;" path="m120,823l68,823,68,842,66,848,60,850,106,850,120,823xe">
                    <v:path o:connectlocs="120,5675;68,5675;68,5694;66,5700;60,5702;106,5702;120,5675" o:connectangles="0,0,0,0,0,0,0"/>
                    <v:fill on="t" focussize="0,0"/>
                    <v:stroke on="f"/>
                    <v:imagedata o:title=""/>
                    <o:lock v:ext="edit" aspectratio="f"/>
                  </v:shape>
                </v:group>
                <v:group id="Group 507" o:spid="_x0000_s1026" o:spt="203" style="position:absolute;left:10208;top:4852;height:548;width:120;" coordorigin="10208,4852" coordsize="120,548" o:gfxdata="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0Y1sAAAADcAAAADwAAAAAAAAABACAAAAAiAAAAZHJzL2Rvd25yZXYu&#10;eG1sUEsBAhQAFAAAAAgAh07iQDMvBZ47AAAAOQAAABUAAAAAAAAAAQAgAAAADwEAAGRycy9ncm91&#10;cHNoYXBleG1sLnhtbFBLBQYAAAAABgAGAGABAADMAwAAAAA=&#10;">
                  <o:lock v:ext="edit" aspectratio="f"/>
                  <v:shape id="Freeform 508" o:spid="_x0000_s1026" o:spt="100" style="position:absolute;left:10208;top:4852;height:548;width:120;" fillcolor="#000000" filled="t" stroked="f" coordsize="120,548" o:gfxdata="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C6hq/&#10;AAAA3AAAAA8AAAAAAAAAAQAgAAAAIgAAAGRycy9kb3ducmV2LnhtbFBLAQIUABQAAAAIAIdO4kAz&#10;LwWeOwAAADkAAAAQAAAAAAAAAAEAIAAAAA4BAABkcnMvc2hhcGV4bWwueG1sUEsFBgAAAAAGAAYA&#10;WwEAALgDAAAAAA==&#10;" path="m52,427l-1,427,60,547,106,454,60,454,55,452,52,446,52,427xe">
                    <v:path o:connectlocs="52,5279;-1,5279;60,5399;106,5306;60,5306;55,5304;52,5298;52,5279" o:connectangles="0,0,0,0,0,0,0,0"/>
                    <v:fill on="t" focussize="0,0"/>
                    <v:stroke on="f"/>
                    <v:imagedata o:title=""/>
                    <o:lock v:ext="edit" aspectratio="f"/>
                  </v:shape>
                  <v:shape id="Freeform 509" o:spid="_x0000_s1026" o:spt="100" style="position:absolute;left:10208;top:4852;height:548;width:120;" fillcolor="#000000" filled="t" stroked="f" coordsize="120,548" o:gfxdata="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QdG2/&#10;AAAA3AAAAA8AAAAAAAAAAQAgAAAAIgAAAGRycy9kb3ducmV2LnhtbFBLAQIUABQAAAAIAIdO4kAz&#10;LwWeOwAAADkAAAAQAAAAAAAAAAEAIAAAAA4BAABkcnMvc2hhcGV4bWwueG1sUEsFBgAAAAAGAAYA&#10;WwEAALgDAAAAAA==&#10;" path="m60,0l55,1,52,7,52,446,55,452,60,454,66,452,68,446,68,7,66,1,60,0xe">
                    <v:path o:connectlocs="60,4852;55,4853;52,4859;52,5298;55,5304;60,5306;66,5304;68,5298;68,4859;66,4853;60,4852" o:connectangles="0,0,0,0,0,0,0,0,0,0,0"/>
                    <v:fill on="t" focussize="0,0"/>
                    <v:stroke on="f"/>
                    <v:imagedata o:title=""/>
                    <o:lock v:ext="edit" aspectratio="f"/>
                  </v:shape>
                  <v:shape id="Freeform 510" o:spid="_x0000_s1026" o:spt="100" style="position:absolute;left:10208;top:4852;height:548;width:120;" fillcolor="#000000" filled="t" stroked="f" coordsize="120,548" o:gfxdata="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c0fa/&#10;AAAA3AAAAA8AAAAAAAAAAQAgAAAAIgAAAGRycy9kb3ducmV2LnhtbFBLAQIUABQAAAAIAIdO4kAz&#10;LwWeOwAAADkAAAAQAAAAAAAAAAEAIAAAAA4BAABkcnMvc2hhcGV4bWwueG1sUEsFBgAAAAAGAAYA&#10;WwEAALgDAAAAAA==&#10;" path="m120,427l68,427,68,446,66,452,60,454,106,454,120,427xe">
                    <v:path o:connectlocs="120,5279;68,5279;68,5298;66,5304;60,5306;106,5306;120,5279" o:connectangles="0,0,0,0,0,0,0"/>
                    <v:fill on="t" focussize="0,0"/>
                    <v:stroke on="f"/>
                    <v:imagedata o:title=""/>
                    <o:lock v:ext="edit" aspectratio="f"/>
                  </v:shape>
                </v:group>
                <v:group id="Group 511" o:spid="_x0000_s1026" o:spt="203" style="position:absolute;left:7328;top:4859;height:908;width:120;" coordorigin="7328,4859" coordsize="120,90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shape id="Freeform 512" o:spid="_x0000_s1026" o:spt="100" style="position:absolute;left:7328;top:4859;height:908;width:120;" fillcolor="#000000" filled="t" stroked="f" coordsize="120,908" o:gfxdata="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i6Gb4A&#10;AADcAAAADwAAAAAAAAABACAAAAAiAAAAZHJzL2Rvd25yZXYueG1sUEsBAhQAFAAAAAgAh07iQDMv&#10;BZ47AAAAOQAAABAAAAAAAAAAAQAgAAAADQEAAGRycy9zaGFwZXhtbC54bWxQSwUGAAAAAAYABgBb&#10;AQAAtwMAAAAA&#10;" path="m60,92l55,95,52,99,52,900,55,905,60,907,66,905,68,900,68,99,66,95,60,92xe">
                    <v:path o:connectlocs="60,4951;55,4954;52,4958;52,5759;55,5764;60,5766;66,5764;68,5759;68,4958;66,4954;60,4951" o:connectangles="0,0,0,0,0,0,0,0,0,0,0"/>
                    <v:fill on="t" focussize="0,0"/>
                    <v:stroke on="f"/>
                    <v:imagedata o:title=""/>
                    <o:lock v:ext="edit" aspectratio="f"/>
                  </v:shape>
                  <v:shape id="Freeform 513" o:spid="_x0000_s1026" o:spt="100" style="position:absolute;left:7328;top:4859;height:908;width:120;" fillcolor="#000000" filled="t" stroked="f" coordsize="120,908" o:gfxdata="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57ZObsAAADc&#10;AAAADwAAAAAAAAABACAAAAAiAAAAZHJzL2Rvd25yZXYueG1sUEsBAhQAFAAAAAgAh07iQDMvBZ47&#10;AAAAOQAAABAAAAAAAAAAAQAgAAAACgEAAGRycy9zaGFwZXhtbC54bWxQSwUGAAAAAAYABgBbAQAA&#10;tAMAAAAA&#10;" path="m60,0l0,120,52,120,52,99,55,95,60,92,106,92,60,0xe">
                    <v:path o:connectlocs="60,4859;0,4979;52,4979;52,4958;55,4954;60,4951;106,4951;60,4859" o:connectangles="0,0,0,0,0,0,0,0"/>
                    <v:fill on="t" focussize="0,0"/>
                    <v:stroke on="f"/>
                    <v:imagedata o:title=""/>
                    <o:lock v:ext="edit" aspectratio="f"/>
                  </v:shape>
                  <v:shape id="Freeform 514" o:spid="_x0000_s1026" o:spt="100" style="position:absolute;left:7328;top:4859;height:908;width:120;" fillcolor="#000000" filled="t" stroked="f" coordsize="120,908" o:gfxdata="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8or4A&#10;AADcAAAADwAAAAAAAAABACAAAAAiAAAAZHJzL2Rvd25yZXYueG1sUEsBAhQAFAAAAAgAh07iQDMv&#10;BZ47AAAAOQAAABAAAAAAAAAAAQAgAAAADQEAAGRycy9zaGFwZXhtbC54bWxQSwUGAAAAAAYABgBb&#10;AQAAtwMAAAAA&#10;" path="m106,92l60,92,66,95,68,99,68,120,120,120,106,92xe">
                    <v:path o:connectlocs="106,4951;60,4951;66,4954;68,4958;68,4979;120,4979;106,4951" o:connectangles="0,0,0,0,0,0,0"/>
                    <v:fill on="t" focussize="0,0"/>
                    <v:stroke on="f"/>
                    <v:imagedata o:title=""/>
                    <o:lock v:ext="edit" aspectratio="f"/>
                  </v:shape>
                  <v:shape id="Picture 515" o:spid="_x0000_s1026" o:spt="75" type="#_x0000_t75" style="position:absolute;left:2879;top:5284;height:120;width:282;" filled="f" o:preferrelative="t" stroked="f" coordsize="21600,21600" o:gfxdata="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yhb4A&#10;AADcAAAADwAAAAAAAAABACAAAAAiAAAAZHJzL2Rvd25yZXYueG1sUEsBAhQAFAAAAAgAh07iQDMv&#10;BZ47AAAAOQAAABAAAAAAAAAAAQAgAAAADQEAAGRycy9zaGFwZXhtbC54bWxQSwUGAAAAAAYABgBb&#10;AQAAtwMAAAAA&#10;">
                    <v:fill on="f" focussize="0,0"/>
                    <v:stroke on="f"/>
                    <v:imagedata r:id="rId10" o:title=""/>
                    <o:lock v:ext="edit" aspectratio="t"/>
                  </v:shape>
                </v:group>
                <v:group id="Group 516" o:spid="_x0000_s1026" o:spt="203" style="position:absolute;left:8;top:0;height:6288;width:11340;" coordorigin="8,0" coordsize="11340,6288" o:gfxdata="UEsDBAoAAAAAAIdO4kAAAAAAAAAAAAAAAAAEAAAAZHJzL1BLAwQUAAAACACHTuJAuxhKH8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h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uxhKH8AAAADcAAAADwAAAAAAAAABACAAAAAiAAAAZHJzL2Rvd25yZXYu&#10;eG1sUEsBAhQAFAAAAAgAh07iQDMvBZ47AAAAOQAAABUAAAAAAAAAAQAgAAAADwEAAGRycy9ncm91&#10;cHNoYXBleG1sLnhtbFBLBQYAAAAABgAGAGABAADMAwAAAAA=&#10;">
                  <o:lock v:ext="edit" aspectratio="f"/>
                  <v:shape id="Freeform 517" o:spid="_x0000_s1026" o:spt="100" style="position:absolute;left:7388;top:5760;height:2;width:998;" filled="f" stroked="t" coordsize="998,1" o:gfxdata="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EA1a/&#10;AAAA3AAAAA8AAAAAAAAAAQAgAAAAIgAAAGRycy9kb3ducmV2LnhtbFBLAQIUABQAAAAIAIdO4kAz&#10;LwWeOwAAADkAAAAQAAAAAAAAAAEAIAAAAA4BAABkcnMvc2hhcGV4bWwueG1sUEsFBgAAAAAGAAYA&#10;WwEAALgDAAAAAA==&#10;" path="m997,0l0,0e">
                    <v:path o:connectlocs="997,0;0,0" o:connectangles="0,0"/>
                    <v:fill on="f" focussize="0,0"/>
                    <v:stroke color="#000000" joinstyle="round"/>
                    <v:imagedata o:title=""/>
                    <o:lock v:ext="edit" aspectratio="f"/>
                  </v:shape>
                  <v:shape id="Text Box 518" o:spid="_x0000_s1026" o:spt="202" type="#_x0000_t202" style="position:absolute;left:8;top:988;height:360;width:2990;" filled="f" stroked="f" coordsize="21600,21600" o:gfxdata="UEsDBAoAAAAAAIdO4kAAAAAAAAAAAAAAAAAEAAAAZHJzL1BLAwQUAAAACACHTuJAcae8Q74AAADc&#10;AAAADwAAAGRycy9kb3ducmV2LnhtbEWPT2sCMRTE70K/Q3iF3jRRcL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e8Q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20B9A0">
                          <w:pPr>
                            <w:snapToGrid w:val="0"/>
                            <w:spacing w:before="44" w:beforeLines="15" w:line="264" w:lineRule="auto"/>
                            <w:ind w:left="152"/>
                            <w:rPr>
                              <w:rFonts w:ascii="Arial" w:hAnsi="Arial" w:eastAsia="宋体" w:cs="Arial"/>
                              <w:sz w:val="15"/>
                              <w:szCs w:val="15"/>
                            </w:rPr>
                          </w:pPr>
                          <w:r>
                            <w:rPr>
                              <w:rFonts w:ascii="Arial" w:hAnsi="Arial" w:eastAsia="宋体" w:cs="Arial"/>
                              <w:sz w:val="15"/>
                              <w:szCs w:val="15"/>
                            </w:rPr>
                            <w:t>CI /申办方修改提交材料。</w:t>
                          </w:r>
                        </w:p>
                      </w:txbxContent>
                    </v:textbox>
                  </v:shape>
                  <v:shape id="Text Box 519" o:spid="_x0000_s1026" o:spt="202" type="#_x0000_t202" style="position:absolute;left:3788;top:1080;height:540;width:6166;" filled="f" stroked="f" coordsize="21600,21600" o:gfxdata="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F1Ij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57DF243">
                          <w:pPr>
                            <w:snapToGrid w:val="0"/>
                            <w:spacing w:before="44" w:beforeLines="15" w:line="264" w:lineRule="auto"/>
                            <w:ind w:left="152" w:right="138"/>
                            <w:rPr>
                              <w:rFonts w:ascii="Arial" w:hAnsi="Arial" w:eastAsia="宋体" w:cs="Arial"/>
                              <w:sz w:val="15"/>
                              <w:szCs w:val="15"/>
                            </w:rPr>
                          </w:pPr>
                          <w:r>
                            <w:rPr>
                              <w:rFonts w:ascii="Arial" w:hAnsi="Arial" w:eastAsia="宋体" w:cs="Arial"/>
                              <w:sz w:val="15"/>
                              <w:szCs w:val="15"/>
                            </w:rPr>
                            <w:t>IRB根据其SOP审查提交材料，确定材料是否含有21 CFR 50.24（a）和（b）要求的要素。是否已提供所有要素？</w:t>
                          </w:r>
                        </w:p>
                      </w:txbxContent>
                    </v:textbox>
                  </v:shape>
                  <v:shape id="Text Box 520" o:spid="_x0000_s1026" o:spt="202" type="#_x0000_t202" style="position:absolute;left:2888;top:1708;height:360;width:599;" filled="f" stroked="f" coordsize="21600,21600" o:gfxdata="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5h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BC3C497">
                          <w:pPr>
                            <w:snapToGrid w:val="0"/>
                            <w:spacing w:before="44" w:beforeLines="15" w:line="264" w:lineRule="auto"/>
                            <w:ind w:left="152"/>
                            <w:rPr>
                              <w:rFonts w:ascii="Arial" w:hAnsi="Arial" w:eastAsia="宋体" w:cs="Arial"/>
                              <w:sz w:val="15"/>
                              <w:szCs w:val="15"/>
                            </w:rPr>
                          </w:pPr>
                          <w:r>
                            <w:rPr>
                              <w:rFonts w:ascii="Arial" w:hAnsi="Arial" w:eastAsia="宋体" w:cs="Arial"/>
                              <w:sz w:val="15"/>
                              <w:szCs w:val="15"/>
                            </w:rPr>
                            <w:t>否</w:t>
                          </w:r>
                        </w:p>
                      </w:txbxContent>
                    </v:textbox>
                  </v:shape>
                  <v:shape id="Text Box 521" o:spid="_x0000_s1026" o:spt="202" type="#_x0000_t202" style="position:absolute;left:7748;top:1800;height:360;width:798;" filled="f" stroked="f" coordsize="21600,21600" o:gfxdata="UEsDBAoAAAAAAIdO4kAAAAAAAAAAAAAAAAAEAAAAZHJzL1BLAwQUAAAACACHTuJAn6YT3bsAAADc&#10;AAAADwAAAGRycy9kb3ducmV2LnhtbEVPy2oCMRTdF/yHcIXuamKh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YT3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0599CEF">
                          <w:pPr>
                            <w:snapToGrid w:val="0"/>
                            <w:spacing w:before="44" w:beforeLines="15" w:line="264" w:lineRule="auto"/>
                            <w:ind w:left="152"/>
                            <w:rPr>
                              <w:rFonts w:ascii="Arial" w:hAnsi="Arial" w:eastAsia="宋体" w:cs="Arial"/>
                              <w:sz w:val="15"/>
                              <w:szCs w:val="15"/>
                            </w:rPr>
                          </w:pPr>
                          <w:r>
                            <w:rPr>
                              <w:rFonts w:hint="eastAsia" w:ascii="Arial" w:hAnsi="Arial" w:eastAsia="宋体" w:cs="Arial"/>
                              <w:sz w:val="15"/>
                              <w:szCs w:val="15"/>
                            </w:rPr>
                            <w:t>是</w:t>
                          </w:r>
                        </w:p>
                      </w:txbxContent>
                    </v:textbox>
                  </v:shape>
                  <v:shape id="Text Box 522" o:spid="_x0000_s1026" o:spt="202" type="#_x0000_t202" style="position:absolute;left:2708;top:2520;height:540;width:6300;" filled="f" stroked="f" coordsize="21600,21600" o:gfxdata="UEsDBAoAAAAAAIdO4kAAAAAAAAAAAAAAAAAEAAAAZHJzL1BLAwQUAAAACACHTuJA8Oq2Rr8AAADc&#10;AAAADwAAAGRycy9kb3ducmV2LnhtbEWPT2sCMRTE7wW/Q3gFbzWx4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qtk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8E672FD">
                          <w:pPr>
                            <w:snapToGrid w:val="0"/>
                            <w:spacing w:before="44" w:beforeLines="15" w:line="264" w:lineRule="auto"/>
                            <w:ind w:left="152"/>
                            <w:rPr>
                              <w:rFonts w:ascii="Arial" w:hAnsi="Arial" w:eastAsia="宋体" w:cs="Arial"/>
                              <w:sz w:val="15"/>
                              <w:szCs w:val="15"/>
                            </w:rPr>
                          </w:pPr>
                          <w:r>
                            <w:rPr>
                              <w:rFonts w:ascii="Arial" w:hAnsi="Arial" w:eastAsia="宋体" w:cs="Arial"/>
                              <w:sz w:val="15"/>
                              <w:szCs w:val="15"/>
                            </w:rPr>
                            <w:t>IRB审查社区咨询计划**（21 CFR 50.24（a）（7）（i））。 计划是否充分？</w:t>
                          </w:r>
                        </w:p>
                      </w:txbxContent>
                    </v:textbox>
                  </v:shape>
                  <v:shape id="Text Box 523" o:spid="_x0000_s1026" o:spt="202" type="#_x0000_t202" style="position:absolute;left:7928;top:3419;height:628;width:3389;" filled="f" stroked="f" coordsize="21600,21600" o:gfxdata="UEsDBAoAAAAAAIdO4kAAAAAAAAAAAAAAAAAEAAAAZHJzL1BLAwQUAAAACACHTuJA5AmJBrwAAADc&#10;AAAADwAAAGRycy9kb3ducmV2LnhtbEVPW2vCMBR+H/gfwhF8m4kD3V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JiQ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BD6189E">
                          <w:pPr>
                            <w:snapToGrid w:val="0"/>
                            <w:spacing w:before="44" w:beforeLines="15" w:line="264" w:lineRule="auto"/>
                            <w:ind w:left="152" w:right="131"/>
                            <w:rPr>
                              <w:rFonts w:ascii="Arial" w:hAnsi="Arial" w:eastAsia="宋体" w:cs="Arial"/>
                              <w:sz w:val="15"/>
                              <w:szCs w:val="15"/>
                            </w:rPr>
                          </w:pPr>
                          <w:r>
                            <w:rPr>
                              <w:rFonts w:ascii="Arial" w:hAnsi="Arial" w:eastAsia="宋体" w:cs="Arial"/>
                              <w:sz w:val="15"/>
                              <w:szCs w:val="15"/>
                            </w:rPr>
                            <w:t>进行社区咨询活动，CI向IRB提供社区反馈。</w:t>
                          </w:r>
                        </w:p>
                      </w:txbxContent>
                    </v:textbox>
                  </v:shape>
                  <v:shape id="Text Box 524" o:spid="_x0000_s1026" o:spt="202" type="#_x0000_t202" style="position:absolute;left:4148;top:4139;height:720;width:3588;" filled="f" stroked="f" coordsize="21600,21600" o:gfxdata="UEsDBAoAAAAAAIdO4kAAAAAAAAAAAAAAAAAEAAAAZHJzL1BLAwQUAAAACACHTuJAi0Usnb8AAADc&#10;AAAADwAAAGRycy9kb3ducmV2LnhtbEWPQWsCMRSE7wX/Q3iCt5qso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FLJ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F7B54E4">
                          <w:pPr>
                            <w:snapToGrid w:val="0"/>
                            <w:spacing w:before="44" w:beforeLines="15" w:line="264" w:lineRule="auto"/>
                            <w:ind w:left="152" w:right="656"/>
                            <w:rPr>
                              <w:rFonts w:ascii="Arial" w:hAnsi="Arial" w:eastAsia="宋体" w:cs="Arial"/>
                              <w:sz w:val="15"/>
                              <w:szCs w:val="15"/>
                            </w:rPr>
                          </w:pPr>
                          <w:r>
                            <w:rPr>
                              <w:rFonts w:ascii="Arial" w:hAnsi="Arial" w:eastAsia="宋体" w:cs="Arial"/>
                              <w:sz w:val="15"/>
                              <w:szCs w:val="15"/>
                            </w:rPr>
                            <w:t>IRB决定研究是否适合社区，并在IRB会议记录中记录决定。</w:t>
                          </w:r>
                        </w:p>
                      </w:txbxContent>
                    </v:textbox>
                  </v:shape>
                  <v:shape id="Text Box 525" o:spid="_x0000_s1026" o:spt="202" type="#_x0000_t202" style="position:absolute;left:3341;top:5220;height:262;width:277;" filled="f" stroked="f" coordsize="21600,21600" o:gfxdata="UEsDBAoAAAAAAIdO4kAAAAAAAAAAAAAAAAAEAAAAZHJzL1BLAwQUAAAACACHTuJAe5ey6r8AAADc&#10;AAAADwAAAGRycy9kb3ducmV2LnhtbEWPT2sCMRTE7wW/Q3iCt5ooa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Xs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9749376">
                          <w:pPr>
                            <w:snapToGrid w:val="0"/>
                            <w:spacing w:before="44" w:beforeLines="15" w:line="264" w:lineRule="auto"/>
                            <w:rPr>
                              <w:rFonts w:ascii="Arial" w:hAnsi="Arial" w:eastAsia="宋体" w:cs="Arial"/>
                              <w:sz w:val="15"/>
                              <w:szCs w:val="15"/>
                            </w:rPr>
                          </w:pPr>
                          <w:r>
                            <w:rPr>
                              <w:rFonts w:ascii="Arial" w:hAnsi="Arial" w:eastAsia="宋体" w:cs="Arial"/>
                              <w:spacing w:val="-1"/>
                              <w:sz w:val="15"/>
                              <w:szCs w:val="15"/>
                            </w:rPr>
                            <w:t>否</w:t>
                          </w:r>
                        </w:p>
                      </w:txbxContent>
                    </v:textbox>
                  </v:shape>
                  <v:shape id="Text Box 526" o:spid="_x0000_s1026" o:spt="202" type="#_x0000_t202" style="position:absolute;left:1988;top:0;height:720;width:8820;" filled="f" stroked="t" coordsize="21600,21600" o:gfxdata="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0Xve/&#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2849C72C">
                          <w:pPr>
                            <w:snapToGrid w:val="0"/>
                            <w:spacing w:before="44" w:beforeLines="15" w:line="264" w:lineRule="auto"/>
                            <w:ind w:left="144" w:right="193"/>
                            <w:rPr>
                              <w:rFonts w:ascii="Arial" w:hAnsi="Arial" w:eastAsia="宋体" w:cs="Arial"/>
                              <w:sz w:val="15"/>
                              <w:szCs w:val="15"/>
                            </w:rPr>
                          </w:pPr>
                          <w:r>
                            <w:rPr>
                              <w:rFonts w:ascii="Arial" w:hAnsi="Arial" w:eastAsia="宋体" w:cs="Arial"/>
                              <w:sz w:val="15"/>
                              <w:szCs w:val="15"/>
                            </w:rPr>
                            <w:t>临床研究者（CI）向IRB提交已豁免知情同意的研究。（提交材料包括研究方案，知情同意书，LAR或家庭成员联系程序，社区咨询和公开披露计划。*）</w:t>
                          </w:r>
                        </w:p>
                      </w:txbxContent>
                    </v:textbox>
                  </v:shape>
                  <v:shape id="Text Box 527" o:spid="_x0000_s1026" o:spt="202" type="#_x0000_t202" style="position:absolute;left:10268;top:2520;height:360;width:798;" filled="f" stroked="t" coordsize="21600,21600" o:gfxdata="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dxoO/&#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316AAA64">
                          <w:pPr>
                            <w:snapToGrid w:val="0"/>
                            <w:spacing w:before="44" w:beforeLines="15" w:line="264" w:lineRule="auto"/>
                            <w:ind w:left="144"/>
                            <w:rPr>
                              <w:rFonts w:ascii="Arial" w:hAnsi="Arial" w:eastAsia="宋体" w:cs="Arial"/>
                              <w:sz w:val="15"/>
                              <w:szCs w:val="15"/>
                            </w:rPr>
                          </w:pPr>
                          <w:r>
                            <w:rPr>
                              <w:rFonts w:hint="eastAsia" w:ascii="Arial" w:hAnsi="Arial" w:eastAsia="宋体" w:cs="Arial"/>
                              <w:sz w:val="15"/>
                              <w:szCs w:val="15"/>
                            </w:rPr>
                            <w:t>是</w:t>
                          </w:r>
                        </w:p>
                      </w:txbxContent>
                    </v:textbox>
                  </v:shape>
                  <v:shape id="Text Box 528" o:spid="_x0000_s1026" o:spt="202" type="#_x0000_t202" style="position:absolute;left:188;top:3239;height:540;width:2790;" filled="f" stroked="t" coordsize="21600,21600" o:gfxdata="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RYxi/&#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64179C23">
                          <w:pPr>
                            <w:snapToGrid w:val="0"/>
                            <w:spacing w:before="44" w:beforeLines="15" w:line="264" w:lineRule="auto"/>
                            <w:ind w:left="144" w:right="735"/>
                            <w:rPr>
                              <w:rFonts w:ascii="Arial" w:hAnsi="Arial" w:eastAsia="宋体" w:cs="Arial"/>
                              <w:sz w:val="15"/>
                              <w:szCs w:val="15"/>
                            </w:rPr>
                          </w:pPr>
                          <w:r>
                            <w:rPr>
                              <w:rFonts w:ascii="Arial" w:hAnsi="Arial" w:eastAsia="宋体" w:cs="Arial"/>
                              <w:sz w:val="15"/>
                              <w:szCs w:val="15"/>
                            </w:rPr>
                            <w:t>CI /申办方修改社区咨询计划。</w:t>
                          </w:r>
                        </w:p>
                      </w:txbxContent>
                    </v:textbox>
                  </v:shape>
                  <v:shape id="Text Box 529" o:spid="_x0000_s1026" o:spt="202" type="#_x0000_t202" style="position:absolute;left:3968;top:3419;height:360;width:599;" filled="f" stroked="t" coordsize="21600,21600" o:gfxdata="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D/W+/&#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78CDD46F">
                          <w:pPr>
                            <w:snapToGrid w:val="0"/>
                            <w:spacing w:before="44" w:beforeLines="15" w:line="264" w:lineRule="auto"/>
                            <w:ind w:left="144"/>
                            <w:rPr>
                              <w:rFonts w:ascii="Arial" w:hAnsi="Arial" w:eastAsia="宋体" w:cs="Arial"/>
                              <w:sz w:val="15"/>
                              <w:szCs w:val="15"/>
                            </w:rPr>
                          </w:pPr>
                          <w:r>
                            <w:rPr>
                              <w:rFonts w:ascii="Arial" w:hAnsi="Arial" w:eastAsia="宋体" w:cs="Arial"/>
                              <w:sz w:val="15"/>
                              <w:szCs w:val="15"/>
                            </w:rPr>
                            <w:t>否</w:t>
                          </w:r>
                        </w:p>
                      </w:txbxContent>
                    </v:textbox>
                  </v:shape>
                  <v:shape id="Text Box 530" o:spid="_x0000_s1026" o:spt="202" type="#_x0000_t202" style="position:absolute;left:8918;top:4238;height:540;width:2430;" filled="f" stroked="t" coordsize="21600,21600" o:gfxdata="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PWPS/&#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0B5BB1D8">
                          <w:pPr>
                            <w:snapToGrid w:val="0"/>
                            <w:spacing w:before="44" w:beforeLines="15" w:line="264" w:lineRule="auto"/>
                            <w:ind w:left="144" w:right="131"/>
                            <w:rPr>
                              <w:rFonts w:ascii="Arial" w:hAnsi="Arial" w:eastAsia="宋体" w:cs="Arial"/>
                              <w:sz w:val="15"/>
                              <w:szCs w:val="15"/>
                            </w:rPr>
                          </w:pPr>
                          <w:r>
                            <w:rPr>
                              <w:rFonts w:ascii="Arial" w:hAnsi="Arial" w:eastAsia="宋体" w:cs="Arial"/>
                              <w:sz w:val="15"/>
                              <w:szCs w:val="15"/>
                            </w:rPr>
                            <w:t>否，但研究和/或IC需要进行修改。</w:t>
                          </w:r>
                        </w:p>
                      </w:txbxContent>
                    </v:textbox>
                  </v:shape>
                  <v:shape id="Text Box 531" o:spid="_x0000_s1026" o:spt="202" type="#_x0000_t202" style="position:absolute;left:179;top:5164;height:720;width:2650;" filled="f" stroked="t" coordsize="21600,21600" o:gfxdata="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QzIa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mm,0mm,0mm,0mm">
                      <w:txbxContent>
                        <w:p w14:paraId="57C26756">
                          <w:pPr>
                            <w:snapToGrid w:val="0"/>
                            <w:spacing w:before="44" w:beforeLines="15" w:line="264" w:lineRule="auto"/>
                            <w:ind w:left="144" w:right="190"/>
                            <w:jc w:val="both"/>
                            <w:rPr>
                              <w:rFonts w:ascii="Arial" w:hAnsi="Arial" w:eastAsia="宋体" w:cs="Arial"/>
                              <w:sz w:val="15"/>
                              <w:szCs w:val="15"/>
                            </w:rPr>
                          </w:pPr>
                          <w:r>
                            <w:rPr>
                              <w:rFonts w:ascii="Arial" w:hAnsi="Arial" w:eastAsia="宋体" w:cs="Arial"/>
                              <w:sz w:val="15"/>
                              <w:szCs w:val="15"/>
                            </w:rPr>
                            <w:t>申办方通知FDA和其他参与此研究者或类似研究的IRB和CI。</w:t>
                          </w:r>
                        </w:p>
                      </w:txbxContent>
                    </v:textbox>
                  </v:shape>
                  <v:shape id="Text Box 532" o:spid="_x0000_s1026" o:spt="202" type="#_x0000_t202" style="position:absolute;left:8468;top:5400;height:540;width:2591;" filled="f" stroked="t" coordsize="21600,21600" o:gfxdata="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caR2/&#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14:paraId="58032D1A">
                          <w:pPr>
                            <w:snapToGrid w:val="0"/>
                            <w:spacing w:before="44" w:beforeLines="15" w:line="264" w:lineRule="auto"/>
                            <w:ind w:left="144" w:right="243"/>
                            <w:rPr>
                              <w:rFonts w:ascii="Arial" w:hAnsi="Arial" w:eastAsia="宋体" w:cs="Arial"/>
                              <w:sz w:val="15"/>
                              <w:szCs w:val="15"/>
                            </w:rPr>
                          </w:pPr>
                          <w:r>
                            <w:rPr>
                              <w:rFonts w:ascii="Arial" w:hAnsi="Arial" w:eastAsia="宋体" w:cs="Arial"/>
                              <w:sz w:val="15"/>
                              <w:szCs w:val="15"/>
                            </w:rPr>
                            <w:t>CI /申办方相应地修改研究和/或IC。</w:t>
                          </w:r>
                        </w:p>
                      </w:txbxContent>
                    </v:textbox>
                  </v:shape>
                  <v:shape id="Text Box 533" o:spid="_x0000_s1026" o:spt="202" type="#_x0000_t202" style="position:absolute;left:5759;top:5784;height:504;width:797;" filled="f" stroked="t" coordsize="21600,21600" o:gfxdata="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LOwp7sAAADc&#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0CE616A4">
                          <w:pPr>
                            <w:snapToGrid w:val="0"/>
                            <w:spacing w:before="44" w:beforeLines="15" w:line="264" w:lineRule="auto"/>
                            <w:ind w:left="144"/>
                            <w:rPr>
                              <w:rFonts w:ascii="Arial" w:hAnsi="Arial" w:eastAsia="宋体" w:cs="Arial"/>
                              <w:sz w:val="15"/>
                              <w:szCs w:val="15"/>
                            </w:rPr>
                          </w:pPr>
                          <w:r>
                            <w:rPr>
                              <w:rFonts w:hint="eastAsia" w:ascii="Arial" w:hAnsi="Arial" w:eastAsia="宋体" w:cs="Arial"/>
                              <w:sz w:val="15"/>
                              <w:szCs w:val="15"/>
                            </w:rPr>
                            <w:t>是</w:t>
                          </w:r>
                        </w:p>
                      </w:txbxContent>
                    </v:textbox>
                  </v:shape>
                </v:group>
                <w10:wrap type="none"/>
                <w10:anchorlock/>
              </v:group>
            </w:pict>
          </mc:Fallback>
        </mc:AlternateContent>
      </w:r>
    </w:p>
    <w:p w14:paraId="282EE06B">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mc:AlternateContent>
          <mc:Choice Requires="wps">
            <w:drawing>
              <wp:anchor distT="0" distB="0" distL="114300" distR="114300" simplePos="0" relativeHeight="251661312" behindDoc="0" locked="0" layoutInCell="0" allowOverlap="1">
                <wp:simplePos x="0" y="0"/>
                <wp:positionH relativeFrom="column">
                  <wp:posOffset>2080895</wp:posOffset>
                </wp:positionH>
                <wp:positionV relativeFrom="paragraph">
                  <wp:posOffset>180340</wp:posOffset>
                </wp:positionV>
                <wp:extent cx="2279015" cy="431800"/>
                <wp:effectExtent l="0" t="0" r="26670" b="25400"/>
                <wp:wrapNone/>
                <wp:docPr id="459" name="文本框 459"/>
                <wp:cNvGraphicFramePr/>
                <a:graphic xmlns:a="http://schemas.openxmlformats.org/drawingml/2006/main">
                  <a:graphicData uri="http://schemas.microsoft.com/office/word/2010/wordprocessingShape">
                    <wps:wsp>
                      <wps:cNvSpPr txBox="1">
                        <a:spLocks noChangeArrowheads="1"/>
                      </wps:cNvSpPr>
                      <wps:spPr bwMode="auto">
                        <a:xfrm>
                          <a:off x="0" y="0"/>
                          <a:ext cx="2278800" cy="432000"/>
                        </a:xfrm>
                        <a:prstGeom prst="rect">
                          <a:avLst/>
                        </a:prstGeom>
                        <a:noFill/>
                        <a:ln w="9525">
                          <a:solidFill>
                            <a:srgbClr val="000000"/>
                          </a:solidFill>
                          <a:miter lim="800000"/>
                        </a:ln>
                      </wps:spPr>
                      <wps:txbx>
                        <w:txbxContent>
                          <w:p w14:paraId="3DF67253">
                            <w:pPr>
                              <w:snapToGrid w:val="0"/>
                              <w:spacing w:before="239" w:beforeLines="80" w:line="300" w:lineRule="auto"/>
                              <w:jc w:val="center"/>
                              <w:rPr>
                                <w:rFonts w:ascii="Times New Roman" w:hAnsi="Times New Roman" w:eastAsia="Times New Roman" w:cs="Times New Roman"/>
                                <w:sz w:val="21"/>
                                <w:szCs w:val="18"/>
                              </w:rPr>
                            </w:pPr>
                            <w:r>
                              <w:rPr>
                                <w:rFonts w:hint="eastAsia" w:ascii="Times New Roman"/>
                                <w:b/>
                                <w:sz w:val="21"/>
                              </w:rPr>
                              <w:t>接下页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63.85pt;margin-top:14.2pt;height:34pt;width:179.45pt;z-index:251661312;mso-width-relative:page;mso-height-relative:page;" filled="f" stroked="t" coordsize="21600,21600" o:allowincell="f" o:gfxdata="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VvPN9oAAAAJAQAADwAAAAAAAAABACAAAAAiAAAAZHJzL2Rv&#10;d25yZXYueG1sUEsBAhQAFAAAAAgAh07iQD2gZHw4AgAAUgQAAA4AAAAAAAAAAQAgAAAAKQEAAGRy&#10;cy9lMm9Eb2MueG1sUEsFBgAAAAAGAAYAWQEAANMFAAAAAA==&#10;">
                <v:fill on="f" focussize="0,0"/>
                <v:stroke color="#000000" miterlimit="8" joinstyle="miter"/>
                <v:imagedata o:title=""/>
                <o:lock v:ext="edit" aspectratio="f"/>
                <v:textbox inset="0mm,0mm,0mm,0mm">
                  <w:txbxContent>
                    <w:p w14:paraId="3DF67253">
                      <w:pPr>
                        <w:snapToGrid w:val="0"/>
                        <w:spacing w:before="239" w:beforeLines="80" w:line="300" w:lineRule="auto"/>
                        <w:jc w:val="center"/>
                        <w:rPr>
                          <w:rFonts w:ascii="Times New Roman" w:hAnsi="Times New Roman" w:eastAsia="Times New Roman" w:cs="Times New Roman"/>
                          <w:sz w:val="21"/>
                          <w:szCs w:val="18"/>
                        </w:rPr>
                      </w:pPr>
                      <w:r>
                        <w:rPr>
                          <w:rFonts w:hint="eastAsia" w:ascii="Times New Roman"/>
                          <w:b/>
                          <w:sz w:val="21"/>
                        </w:rPr>
                        <w:t>接下页</w:t>
                      </w:r>
                    </w:p>
                  </w:txbxContent>
                </v:textbox>
              </v:shape>
            </w:pict>
          </mc:Fallback>
        </mc:AlternateContent>
      </w:r>
    </w:p>
    <w:p w14:paraId="0318B78E">
      <w:pPr>
        <w:topLinePunct/>
        <w:adjustRightInd w:val="0"/>
        <w:snapToGrid w:val="0"/>
        <w:spacing w:after="224" w:afterLines="75" w:line="300" w:lineRule="auto"/>
        <w:jc w:val="both"/>
        <w:rPr>
          <w:rFonts w:ascii="Arial" w:hAnsi="Arial" w:eastAsia="宋体" w:cs="Arial"/>
          <w:snapToGrid w:val="0"/>
          <w:sz w:val="24"/>
          <w:szCs w:val="24"/>
        </w:rPr>
      </w:pPr>
    </w:p>
    <w:p w14:paraId="249B144E">
      <w:pPr>
        <w:topLinePunct/>
        <w:adjustRightInd w:val="0"/>
        <w:snapToGrid w:val="0"/>
        <w:spacing w:after="224" w:afterLines="75" w:line="300" w:lineRule="auto"/>
        <w:ind w:right="3071" w:rightChars="1396"/>
        <w:jc w:val="both"/>
        <w:rPr>
          <w:rFonts w:ascii="Arial" w:hAnsi="Arial" w:eastAsia="宋体" w:cs="Arial"/>
          <w:snapToGrid w:val="0"/>
          <w:sz w:val="20"/>
          <w:szCs w:val="24"/>
        </w:rPr>
      </w:pPr>
    </w:p>
    <w:p w14:paraId="43BEED68">
      <w:pPr>
        <w:topLinePunct/>
        <w:adjustRightInd w:val="0"/>
        <w:snapToGrid w:val="0"/>
        <w:spacing w:line="300" w:lineRule="auto"/>
        <w:ind w:right="3071" w:rightChars="1396"/>
        <w:jc w:val="both"/>
        <w:rPr>
          <w:rFonts w:ascii="Arial" w:hAnsi="Arial" w:eastAsia="宋体" w:cs="Arial"/>
          <w:snapToGrid w:val="0"/>
          <w:sz w:val="20"/>
          <w:szCs w:val="24"/>
        </w:rPr>
      </w:pPr>
      <w:r>
        <w:rPr>
          <w:rFonts w:ascii="Arial" w:hAnsi="Arial" w:eastAsia="宋体" w:cs="Arial"/>
          <w:snapToGrid w:val="0"/>
          <w:sz w:val="20"/>
          <w:szCs w:val="24"/>
        </w:rPr>
        <w:t>*</w:t>
      </w:r>
      <w:r>
        <w:rPr>
          <w:rFonts w:hint="eastAsia" w:ascii="Arial" w:hAnsi="Arial" w:eastAsia="宋体" w:cs="Arial"/>
          <w:snapToGrid w:val="0"/>
          <w:sz w:val="20"/>
          <w:szCs w:val="24"/>
        </w:rPr>
        <w:t>研究、社区咨询和公开披露计划可根据</w:t>
      </w:r>
      <w:r>
        <w:rPr>
          <w:rFonts w:ascii="Arial" w:hAnsi="Arial" w:eastAsia="宋体" w:cs="Arial"/>
          <w:snapToGrid w:val="0"/>
          <w:sz w:val="20"/>
          <w:szCs w:val="24"/>
        </w:rPr>
        <w:t>IRB</w:t>
      </w:r>
      <w:r>
        <w:rPr>
          <w:rFonts w:hint="eastAsia" w:ascii="Arial" w:hAnsi="Arial" w:eastAsia="宋体" w:cs="Arial"/>
          <w:snapToGrid w:val="0"/>
          <w:sz w:val="20"/>
          <w:szCs w:val="24"/>
        </w:rPr>
        <w:t>审查和社区咨询／公开披露过程中收到的反馈修改一次或多次</w:t>
      </w:r>
    </w:p>
    <w:p w14:paraId="3A373DF3">
      <w:pPr>
        <w:topLinePunct/>
        <w:adjustRightInd w:val="0"/>
        <w:snapToGrid w:val="0"/>
        <w:spacing w:after="224" w:afterLines="75" w:line="300" w:lineRule="auto"/>
        <w:jc w:val="both"/>
        <w:rPr>
          <w:rFonts w:ascii="Arial" w:hAnsi="Arial" w:eastAsia="宋体" w:cs="Arial"/>
          <w:snapToGrid w:val="0"/>
          <w:sz w:val="24"/>
          <w:szCs w:val="24"/>
        </w:rPr>
      </w:pPr>
      <w:r>
        <w:rPr>
          <w:rFonts w:ascii="Arial" w:hAnsi="Arial" w:eastAsia="宋体" w:cs="Arial"/>
          <w:snapToGrid w:val="0"/>
          <w:sz w:val="24"/>
          <w:szCs w:val="24"/>
        </w:rPr>
        <w:br w:type="page"/>
      </w:r>
    </w:p>
    <w:p w14:paraId="691D09CB">
      <w:pPr>
        <w:pStyle w:val="6"/>
        <w:topLinePunct/>
        <w:adjustRightInd w:val="0"/>
        <w:snapToGrid w:val="0"/>
        <w:spacing w:after="224" w:afterLines="75" w:line="300" w:lineRule="auto"/>
        <w:ind w:left="0"/>
        <w:jc w:val="center"/>
        <w:rPr>
          <w:rFonts w:ascii="Arial" w:hAnsi="Arial" w:cs="Arial"/>
          <w:b/>
          <w:snapToGrid w:val="0"/>
        </w:rPr>
      </w:pPr>
      <w:bookmarkStart w:id="467" w:name="_Toc498200823"/>
    </w:p>
    <w:p w14:paraId="4CAD871D">
      <w:pPr>
        <w:pStyle w:val="6"/>
        <w:topLinePunct/>
        <w:adjustRightInd w:val="0"/>
        <w:snapToGrid w:val="0"/>
        <w:spacing w:after="224" w:afterLines="75" w:line="300" w:lineRule="auto"/>
        <w:ind w:left="0"/>
        <w:jc w:val="center"/>
        <w:rPr>
          <w:rFonts w:ascii="Arial" w:hAnsi="Arial" w:cs="Arial"/>
          <w:b/>
          <w:bCs/>
          <w:snapToGrid w:val="0"/>
        </w:rPr>
      </w:pPr>
      <w:r>
        <w:rPr>
          <w:rFonts w:ascii="Arial" w:hAnsi="Arial" w:cs="Arial"/>
          <w:b/>
          <w:snapToGrid w:val="0"/>
        </w:rPr>
        <w:t>50.24研究的建议流程图</w:t>
      </w:r>
      <w:r>
        <w:rPr>
          <w:rFonts w:hint="eastAsia" w:ascii="Arial" w:hAnsi="Arial" w:cs="Arial"/>
          <w:b/>
          <w:snapToGrid w:val="0"/>
        </w:rPr>
        <w:br w:type="textWrapping"/>
      </w:r>
      <w:r>
        <w:rPr>
          <w:rFonts w:ascii="Arial" w:hAnsi="Arial" w:cs="Arial"/>
          <w:b/>
          <w:snapToGrid w:val="0"/>
        </w:rPr>
        <w:t>（接上页）</w:t>
      </w:r>
      <w:bookmarkEnd w:id="467"/>
    </w:p>
    <w:p w14:paraId="0765A0EA">
      <w:pPr>
        <w:pStyle w:val="6"/>
        <w:topLinePunct/>
        <w:adjustRightInd w:val="0"/>
        <w:snapToGrid w:val="0"/>
        <w:spacing w:after="224" w:afterLines="75" w:line="300" w:lineRule="auto"/>
        <w:ind w:left="0"/>
        <w:jc w:val="both"/>
        <w:rPr>
          <w:rFonts w:ascii="Arial" w:hAnsi="Arial" w:cs="Arial"/>
          <w:snapToGrid w:val="0"/>
        </w:rPr>
      </w:pPr>
      <w:r>
        <w:rPr>
          <w:rFonts w:ascii="Arial" w:hAnsi="Arial" w:cs="Arial"/>
          <w:snapToGrid w:val="0"/>
        </w:rPr>
        <w:t>（以下是满足根据21 CFR 50.24进行的研究要求的方式图示。也可以使用替代方法。）</w:t>
      </w:r>
    </w:p>
    <w:p w14:paraId="289E8F17">
      <w:pPr>
        <w:topLinePunct/>
        <w:adjustRightInd w:val="0"/>
        <w:snapToGrid w:val="0"/>
        <w:spacing w:after="224" w:afterLines="75" w:line="300" w:lineRule="auto"/>
        <w:jc w:val="both"/>
        <w:rPr>
          <w:rFonts w:ascii="宋体" w:hAnsi="宋体" w:eastAsia="宋体" w:cs="Arial"/>
          <w:snapToGrid w:val="0"/>
          <w:sz w:val="24"/>
          <w:szCs w:val="24"/>
        </w:rPr>
      </w:pPr>
      <w:r>
        <w:rPr>
          <w:rFonts w:ascii="宋体" w:hAnsi="宋体" w:eastAsia="宋体" w:cs="Arial"/>
          <w:snapToGrid w:val="0"/>
          <w:sz w:val="24"/>
          <w:szCs w:val="24"/>
        </w:rPr>
        <mc:AlternateContent>
          <mc:Choice Requires="wps">
            <w:drawing>
              <wp:anchor distT="0" distB="0" distL="114300" distR="114300" simplePos="0" relativeHeight="251663360" behindDoc="0" locked="0" layoutInCell="1" allowOverlap="1">
                <wp:simplePos x="0" y="0"/>
                <wp:positionH relativeFrom="column">
                  <wp:posOffset>2219325</wp:posOffset>
                </wp:positionH>
                <wp:positionV relativeFrom="paragraph">
                  <wp:posOffset>436245</wp:posOffset>
                </wp:positionV>
                <wp:extent cx="1819275" cy="1403985"/>
                <wp:effectExtent l="0" t="0" r="9525" b="508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19275" cy="1403985"/>
                        </a:xfrm>
                        <a:prstGeom prst="rect">
                          <a:avLst/>
                        </a:prstGeom>
                        <a:noFill/>
                        <a:ln w="9525">
                          <a:noFill/>
                          <a:miter lim="800000"/>
                        </a:ln>
                      </wps:spPr>
                      <wps:txbx>
                        <w:txbxContent>
                          <w:p w14:paraId="726481EE">
                            <w:pPr>
                              <w:snapToGrid w:val="0"/>
                              <w:spacing w:line="264" w:lineRule="auto"/>
                              <w:rPr>
                                <w:rFonts w:ascii="Arial" w:hAnsi="Arial" w:eastAsia="宋体" w:cs="Arial"/>
                                <w:sz w:val="15"/>
                              </w:rPr>
                            </w:pPr>
                            <w:r>
                              <w:rPr>
                                <w:rFonts w:ascii="Arial" w:hAnsi="Arial" w:eastAsia="宋体" w:cs="Arial"/>
                                <w:sz w:val="15"/>
                              </w:rPr>
                              <w:t>IRB审查公开披露计划**（21 CFR 50.24（a）（7）（ii））。 计划是否充分？</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74.75pt;margin-top:34.35pt;height:110.55pt;width:143.25pt;z-index:251663360;mso-width-relative:page;mso-height-relative:margin;mso-height-percent:200;" filled="f" stroked="f" coordsize="21600,21600" o:gfxdata="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dS+NXXAAAA&#10;CgEAAA8AAAAAAAAAAQAgAAAAIgAAAGRycy9kb3ducmV2LnhtbFBLAQIUABQAAAAIAIdO4kBC0XFQ&#10;HgIAABwEAAAOAAAAAAAAAAEAIAAAACYBAABkcnMvZTJvRG9jLnhtbFBLBQYAAAAABgAGAFkBAAC2&#10;BQAAAAA=&#10;">
                <v:fill on="f" focussize="0,0"/>
                <v:stroke on="f" miterlimit="8" joinstyle="miter"/>
                <v:imagedata o:title=""/>
                <o:lock v:ext="edit" aspectratio="f"/>
                <v:textbox inset="0mm,0mm,0mm,0mm" style="mso-fit-shape-to-text:t;">
                  <w:txbxContent>
                    <w:p w14:paraId="726481EE">
                      <w:pPr>
                        <w:snapToGrid w:val="0"/>
                        <w:spacing w:line="264" w:lineRule="auto"/>
                        <w:rPr>
                          <w:rFonts w:ascii="Arial" w:hAnsi="Arial" w:eastAsia="宋体" w:cs="Arial"/>
                          <w:sz w:val="15"/>
                        </w:rPr>
                      </w:pPr>
                      <w:r>
                        <w:rPr>
                          <w:rFonts w:ascii="Arial" w:hAnsi="Arial" w:eastAsia="宋体" w:cs="Arial"/>
                          <w:sz w:val="15"/>
                        </w:rPr>
                        <w:t>IRB审查公开披露计划**（21 CFR 50.24（a）（7）（ii））。 计划是否充分？</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1464945</wp:posOffset>
                </wp:positionV>
                <wp:extent cx="1371600" cy="542925"/>
                <wp:effectExtent l="0" t="0" r="0" b="9525"/>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71600" cy="542925"/>
                        </a:xfrm>
                        <a:prstGeom prst="rect">
                          <a:avLst/>
                        </a:prstGeom>
                        <a:noFill/>
                        <a:ln w="9525">
                          <a:noFill/>
                          <a:miter lim="800000"/>
                        </a:ln>
                      </wps:spPr>
                      <wps:txbx>
                        <w:txbxContent>
                          <w:p w14:paraId="4301243A">
                            <w:pPr>
                              <w:snapToGrid w:val="0"/>
                              <w:spacing w:line="264" w:lineRule="auto"/>
                              <w:rPr>
                                <w:rFonts w:ascii="Arial" w:hAnsi="Arial" w:eastAsia="宋体" w:cs="Arial"/>
                                <w:sz w:val="15"/>
                                <w:szCs w:val="15"/>
                              </w:rPr>
                            </w:pPr>
                            <w:r>
                              <w:rPr>
                                <w:rFonts w:ascii="Arial" w:hAnsi="Arial" w:eastAsia="宋体" w:cs="Arial"/>
                                <w:sz w:val="15"/>
                                <w:szCs w:val="15"/>
                              </w:rPr>
                              <w:t>IRB确定和确认，申办方已建立DMC来对这项研究进行监督；</w:t>
                            </w:r>
                          </w:p>
                          <w:p w14:paraId="0CB21AE5">
                            <w:pPr>
                              <w:snapToGrid w:val="0"/>
                              <w:spacing w:line="264" w:lineRule="auto"/>
                              <w:rPr>
                                <w:rFonts w:ascii="Arial" w:hAnsi="Arial" w:eastAsia="宋体" w:cs="Arial"/>
                                <w:sz w:val="15"/>
                                <w:szCs w:val="15"/>
                              </w:rPr>
                            </w:pPr>
                            <w:r>
                              <w:rPr>
                                <w:rFonts w:ascii="Arial" w:hAnsi="Arial" w:eastAsia="宋体" w:cs="Arial"/>
                                <w:sz w:val="15"/>
                                <w:szCs w:val="15"/>
                              </w:rPr>
                              <w:t>CI开始招募受试者。 研究完成。</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0.5pt;margin-top:115.35pt;height:42.75pt;width:108pt;z-index:251665408;mso-width-relative:page;mso-height-relative:page;" filled="f" stroked="f" coordsize="21600,21600" o:gfxdata="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56YW2QAAAAoBAAAP&#10;AAAAAAAAAAEAIAAAACIAAABkcnMvZG93bnJldi54bWxQSwECFAAUAAAACACHTuJAvITL3RcCAAAa&#10;BAAADgAAAAAAAAABACAAAAAoAQAAZHJzL2Uyb0RvYy54bWxQSwUGAAAAAAYABgBZAQAAsQUAAAAA&#10;">
                <v:fill on="f" focussize="0,0"/>
                <v:stroke on="f" miterlimit="8" joinstyle="miter"/>
                <v:imagedata o:title=""/>
                <o:lock v:ext="edit" aspectratio="f"/>
                <v:textbox inset="0mm,0mm,0mm,0mm">
                  <w:txbxContent>
                    <w:p w14:paraId="4301243A">
                      <w:pPr>
                        <w:snapToGrid w:val="0"/>
                        <w:spacing w:line="264" w:lineRule="auto"/>
                        <w:rPr>
                          <w:rFonts w:ascii="Arial" w:hAnsi="Arial" w:eastAsia="宋体" w:cs="Arial"/>
                          <w:sz w:val="15"/>
                          <w:szCs w:val="15"/>
                        </w:rPr>
                      </w:pPr>
                      <w:r>
                        <w:rPr>
                          <w:rFonts w:ascii="Arial" w:hAnsi="Arial" w:eastAsia="宋体" w:cs="Arial"/>
                          <w:sz w:val="15"/>
                          <w:szCs w:val="15"/>
                        </w:rPr>
                        <w:t>IRB确定和确认，申办方已建立DMC来对这项研究进行监督；</w:t>
                      </w:r>
                    </w:p>
                    <w:p w14:paraId="0CB21AE5">
                      <w:pPr>
                        <w:snapToGrid w:val="0"/>
                        <w:spacing w:line="264" w:lineRule="auto"/>
                        <w:rPr>
                          <w:rFonts w:ascii="Arial" w:hAnsi="Arial" w:eastAsia="宋体" w:cs="Arial"/>
                          <w:sz w:val="15"/>
                          <w:szCs w:val="15"/>
                        </w:rPr>
                      </w:pPr>
                      <w:r>
                        <w:rPr>
                          <w:rFonts w:ascii="Arial" w:hAnsi="Arial" w:eastAsia="宋体" w:cs="Arial"/>
                          <w:sz w:val="15"/>
                          <w:szCs w:val="15"/>
                        </w:rPr>
                        <w:t>CI开始招募受试者。 研究完成。</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67456" behindDoc="0" locked="0" layoutInCell="1" allowOverlap="1">
                <wp:simplePos x="0" y="0"/>
                <wp:positionH relativeFrom="column">
                  <wp:posOffset>3609975</wp:posOffset>
                </wp:positionH>
                <wp:positionV relativeFrom="paragraph">
                  <wp:posOffset>950595</wp:posOffset>
                </wp:positionV>
                <wp:extent cx="1590675" cy="295275"/>
                <wp:effectExtent l="0" t="0" r="9525" b="9525"/>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90675" cy="295275"/>
                        </a:xfrm>
                        <a:prstGeom prst="rect">
                          <a:avLst/>
                        </a:prstGeom>
                        <a:noFill/>
                        <a:ln w="9525">
                          <a:noFill/>
                          <a:miter lim="800000"/>
                        </a:ln>
                      </wps:spPr>
                      <wps:txbx>
                        <w:txbxContent>
                          <w:p w14:paraId="41A604FD">
                            <w:pPr>
                              <w:snapToGrid w:val="0"/>
                              <w:spacing w:line="264" w:lineRule="auto"/>
                              <w:rPr>
                                <w:rFonts w:ascii="Arial" w:hAnsi="Arial" w:eastAsia="宋体" w:cs="Arial"/>
                                <w:sz w:val="15"/>
                                <w:szCs w:val="15"/>
                              </w:rPr>
                            </w:pPr>
                            <w:r>
                              <w:rPr>
                                <w:rFonts w:ascii="Arial" w:hAnsi="Arial" w:eastAsia="宋体" w:cs="Arial"/>
                                <w:sz w:val="15"/>
                                <w:szCs w:val="15"/>
                              </w:rPr>
                              <w:t>进行公开披露。CI提供披露给IRB的信息。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84.25pt;margin-top:74.85pt;height:23.25pt;width:125.25pt;z-index:251667456;mso-width-relative:page;mso-height-relative:page;" filled="f" stroked="f" coordsize="21600,21600" o:gfxdata="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7fFR62QAAAAsBAAAP&#10;AAAAAAAAAAEAIAAAACIAAABkcnMvZG93bnJldi54bWxQSwECFAAUAAAACACHTuJAjx7VvRcCAAAa&#10;BAAADgAAAAAAAAABACAAAAAoAQAAZHJzL2Uyb0RvYy54bWxQSwUGAAAAAAYABgBZAQAAsQUAAAAA&#10;">
                <v:fill on="f" focussize="0,0"/>
                <v:stroke on="f" miterlimit="8" joinstyle="miter"/>
                <v:imagedata o:title=""/>
                <o:lock v:ext="edit" aspectratio="f"/>
                <v:textbox inset="0mm,0mm,0mm,0mm">
                  <w:txbxContent>
                    <w:p w14:paraId="41A604FD">
                      <w:pPr>
                        <w:snapToGrid w:val="0"/>
                        <w:spacing w:line="264" w:lineRule="auto"/>
                        <w:rPr>
                          <w:rFonts w:ascii="Arial" w:hAnsi="Arial" w:eastAsia="宋体" w:cs="Arial"/>
                          <w:sz w:val="15"/>
                          <w:szCs w:val="15"/>
                        </w:rPr>
                      </w:pPr>
                      <w:r>
                        <w:rPr>
                          <w:rFonts w:ascii="Arial" w:hAnsi="Arial" w:eastAsia="宋体" w:cs="Arial"/>
                          <w:sz w:val="15"/>
                          <w:szCs w:val="15"/>
                        </w:rPr>
                        <w:t>进行公开披露。CI提供披露给IRB的信息。</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4624" behindDoc="0" locked="0" layoutInCell="1" allowOverlap="1">
                <wp:simplePos x="0" y="0"/>
                <wp:positionH relativeFrom="column">
                  <wp:posOffset>2143125</wp:posOffset>
                </wp:positionH>
                <wp:positionV relativeFrom="paragraph">
                  <wp:posOffset>3160395</wp:posOffset>
                </wp:positionV>
                <wp:extent cx="1781175" cy="171450"/>
                <wp:effectExtent l="0" t="0" r="9525"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1175" cy="171450"/>
                        </a:xfrm>
                        <a:prstGeom prst="rect">
                          <a:avLst/>
                        </a:prstGeom>
                        <a:noFill/>
                        <a:ln w="9525">
                          <a:noFill/>
                          <a:miter lim="800000"/>
                        </a:ln>
                      </wps:spPr>
                      <wps:txbx>
                        <w:txbxContent>
                          <w:p w14:paraId="3FB93823">
                            <w:pPr>
                              <w:snapToGrid w:val="0"/>
                              <w:spacing w:line="264" w:lineRule="auto"/>
                              <w:rPr>
                                <w:rFonts w:ascii="Arial" w:hAnsi="Arial" w:eastAsia="宋体" w:cs="Arial"/>
                                <w:sz w:val="15"/>
                                <w:szCs w:val="15"/>
                              </w:rPr>
                            </w:pPr>
                            <w:r>
                              <w:rPr>
                                <w:rFonts w:ascii="Arial" w:hAnsi="Arial" w:eastAsia="宋体" w:cs="Arial"/>
                                <w:sz w:val="15"/>
                                <w:szCs w:val="15"/>
                              </w:rPr>
                              <w:t>IRB发送披露给研究申办方的信息/文档。</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8.75pt;margin-top:248.85pt;height:13.5pt;width:140.25pt;z-index:251674624;mso-width-relative:page;mso-height-relative:page;" filled="f" stroked="f" coordsize="21600,21600" o:gfxdata="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H9Nj3bAAAA&#10;CwEAAA8AAAAAAAAAAQAgAAAAIgAAAGRycy9kb3ducmV2LnhtbFBLAQIUABQAAAAIAIdO4kBOsYb+&#10;GgIAABoEAAAOAAAAAAAAAAEAIAAAACoBAABkcnMvZTJvRG9jLnhtbFBLBQYAAAAABgAGAFkBAAC2&#10;BQAAAAA=&#10;">
                <v:fill on="f" focussize="0,0"/>
                <v:stroke on="f" miterlimit="8" joinstyle="miter"/>
                <v:imagedata o:title=""/>
                <o:lock v:ext="edit" aspectratio="f"/>
                <v:textbox inset="0mm,0mm,0mm,0mm">
                  <w:txbxContent>
                    <w:p w14:paraId="3FB93823">
                      <w:pPr>
                        <w:snapToGrid w:val="0"/>
                        <w:spacing w:line="264" w:lineRule="auto"/>
                        <w:rPr>
                          <w:rFonts w:ascii="Arial" w:hAnsi="Arial" w:eastAsia="宋体" w:cs="Arial"/>
                          <w:sz w:val="15"/>
                          <w:szCs w:val="15"/>
                        </w:rPr>
                      </w:pPr>
                      <w:r>
                        <w:rPr>
                          <w:rFonts w:ascii="Arial" w:hAnsi="Arial" w:eastAsia="宋体" w:cs="Arial"/>
                          <w:sz w:val="15"/>
                          <w:szCs w:val="15"/>
                        </w:rPr>
                        <w:t>IRB发送披露给研究申办方的信息/文档。</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8720" behindDoc="0" locked="0" layoutInCell="1" allowOverlap="1">
                <wp:simplePos x="0" y="0"/>
                <wp:positionH relativeFrom="column">
                  <wp:posOffset>2514600</wp:posOffset>
                </wp:positionH>
                <wp:positionV relativeFrom="paragraph">
                  <wp:posOffset>3798570</wp:posOffset>
                </wp:positionV>
                <wp:extent cx="1076325" cy="504825"/>
                <wp:effectExtent l="0" t="0" r="9525" b="9525"/>
                <wp:wrapNone/>
                <wp:docPr id="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6325" cy="504825"/>
                        </a:xfrm>
                        <a:prstGeom prst="rect">
                          <a:avLst/>
                        </a:prstGeom>
                        <a:noFill/>
                        <a:ln w="9525">
                          <a:noFill/>
                          <a:miter lim="800000"/>
                        </a:ln>
                      </wps:spPr>
                      <wps:txbx>
                        <w:txbxContent>
                          <w:p w14:paraId="78B94929">
                            <w:pPr>
                              <w:snapToGrid w:val="0"/>
                              <w:spacing w:line="264" w:lineRule="auto"/>
                              <w:rPr>
                                <w:rFonts w:ascii="Arial" w:hAnsi="Arial" w:eastAsia="宋体" w:cs="Arial"/>
                                <w:sz w:val="15"/>
                                <w:szCs w:val="15"/>
                              </w:rPr>
                            </w:pPr>
                            <w:r>
                              <w:rPr>
                                <w:rFonts w:ascii="Arial" w:hAnsi="Arial" w:eastAsia="宋体" w:cs="Arial"/>
                                <w:sz w:val="15"/>
                                <w:szCs w:val="15"/>
                              </w:rPr>
                              <w:t>申办方向FDA发送信息和文档，纳入公共案卷95S-0158。</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98pt;margin-top:299.1pt;height:39.75pt;width:84.75pt;z-index:251678720;mso-width-relative:page;mso-height-relative:page;" filled="f" stroked="f" coordsize="21600,21600" o:gfxdata="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Oi9gtsAAAALAQAA&#10;DwAAAAAAAAABACAAAAAiAAAAZHJzL2Rvd25yZXYueG1sUEsBAhQAFAAAAAgAh07iQI+MPS4WAgAA&#10;GgQAAA4AAAAAAAAAAQAgAAAAKgEAAGRycy9lMm9Eb2MueG1sUEsFBgAAAAAGAAYAWQEAALIFAAAA&#10;AA==&#10;">
                <v:fill on="f" focussize="0,0"/>
                <v:stroke on="f" miterlimit="8" joinstyle="miter"/>
                <v:imagedata o:title=""/>
                <o:lock v:ext="edit" aspectratio="f"/>
                <v:textbox inset="0mm,0mm,0mm,0mm">
                  <w:txbxContent>
                    <w:p w14:paraId="78B94929">
                      <w:pPr>
                        <w:snapToGrid w:val="0"/>
                        <w:spacing w:line="264" w:lineRule="auto"/>
                        <w:rPr>
                          <w:rFonts w:ascii="Arial" w:hAnsi="Arial" w:eastAsia="宋体" w:cs="Arial"/>
                          <w:sz w:val="15"/>
                          <w:szCs w:val="15"/>
                        </w:rPr>
                      </w:pPr>
                      <w:r>
                        <w:rPr>
                          <w:rFonts w:ascii="Arial" w:hAnsi="Arial" w:eastAsia="宋体" w:cs="Arial"/>
                          <w:sz w:val="15"/>
                          <w:szCs w:val="15"/>
                        </w:rPr>
                        <w:t>申办方向FDA发送信息和文档，纳入公共案卷95S-0158。</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5648" behindDoc="0" locked="0" layoutInCell="1" allowOverlap="1">
                <wp:simplePos x="0" y="0"/>
                <wp:positionH relativeFrom="column">
                  <wp:posOffset>3771900</wp:posOffset>
                </wp:positionH>
                <wp:positionV relativeFrom="paragraph">
                  <wp:posOffset>2674620</wp:posOffset>
                </wp:positionV>
                <wp:extent cx="1781175" cy="304800"/>
                <wp:effectExtent l="0" t="0" r="9525" b="0"/>
                <wp:wrapNone/>
                <wp:docPr id="2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1175" cy="304800"/>
                        </a:xfrm>
                        <a:prstGeom prst="rect">
                          <a:avLst/>
                        </a:prstGeom>
                        <a:noFill/>
                        <a:ln w="9525">
                          <a:noFill/>
                          <a:miter lim="800000"/>
                        </a:ln>
                      </wps:spPr>
                      <wps:txbx>
                        <w:txbxContent>
                          <w:p w14:paraId="3A727D76">
                            <w:pPr>
                              <w:snapToGrid w:val="0"/>
                              <w:spacing w:line="264" w:lineRule="auto"/>
                              <w:rPr>
                                <w:rFonts w:ascii="Arial" w:hAnsi="Arial" w:eastAsia="宋体" w:cs="Arial"/>
                                <w:sz w:val="15"/>
                                <w:szCs w:val="15"/>
                              </w:rPr>
                            </w:pPr>
                            <w:r>
                              <w:rPr>
                                <w:rFonts w:ascii="Arial" w:hAnsi="Arial" w:eastAsia="宋体" w:cs="Arial"/>
                                <w:sz w:val="15"/>
                                <w:szCs w:val="15"/>
                              </w:rPr>
                              <w:t>进行公开披露。CI提供披露给IRB的信息和文档。</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97pt;margin-top:210.6pt;height:24pt;width:140.25pt;z-index:251675648;mso-width-relative:page;mso-height-relative:page;" filled="f" stroked="f" coordsize="21600,21600" o:gfxdata="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d1SBHaAAAA&#10;CwEAAA8AAAAAAAAAAQAgAAAAIgAAAGRycy9kb3ducmV2LnhtbFBLAQIUABQAAAAIAIdO4kDakNWV&#10;GwIAABoEAAAOAAAAAAAAAAEAIAAAACkBAABkcnMvZTJvRG9jLnhtbFBLBQYAAAAABgAGAFkBAAC2&#10;BQAAAAA=&#10;">
                <v:fill on="f" focussize="0,0"/>
                <v:stroke on="f" miterlimit="8" joinstyle="miter"/>
                <v:imagedata o:title=""/>
                <o:lock v:ext="edit" aspectratio="f"/>
                <v:textbox inset="0mm,0mm,0mm,0mm">
                  <w:txbxContent>
                    <w:p w14:paraId="3A727D76">
                      <w:pPr>
                        <w:snapToGrid w:val="0"/>
                        <w:spacing w:line="264" w:lineRule="auto"/>
                        <w:rPr>
                          <w:rFonts w:ascii="Arial" w:hAnsi="Arial" w:eastAsia="宋体" w:cs="Arial"/>
                          <w:sz w:val="15"/>
                          <w:szCs w:val="15"/>
                        </w:rPr>
                      </w:pPr>
                      <w:r>
                        <w:rPr>
                          <w:rFonts w:ascii="Arial" w:hAnsi="Arial" w:eastAsia="宋体" w:cs="Arial"/>
                          <w:sz w:val="15"/>
                          <w:szCs w:val="15"/>
                        </w:rPr>
                        <w:t>进行公开披露。CI提供披露给IRB的信息和文档。</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3600" behindDoc="0" locked="0" layoutInCell="1" allowOverlap="1">
                <wp:simplePos x="0" y="0"/>
                <wp:positionH relativeFrom="column">
                  <wp:posOffset>3143250</wp:posOffset>
                </wp:positionH>
                <wp:positionV relativeFrom="paragraph">
                  <wp:posOffset>2160270</wp:posOffset>
                </wp:positionV>
                <wp:extent cx="1885950" cy="352425"/>
                <wp:effectExtent l="0" t="0" r="0" b="9525"/>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85950" cy="352425"/>
                        </a:xfrm>
                        <a:prstGeom prst="rect">
                          <a:avLst/>
                        </a:prstGeom>
                        <a:noFill/>
                        <a:ln w="9525">
                          <a:noFill/>
                          <a:miter lim="800000"/>
                        </a:ln>
                      </wps:spPr>
                      <wps:txbx>
                        <w:txbxContent>
                          <w:p w14:paraId="4678241C">
                            <w:pPr>
                              <w:snapToGrid w:val="0"/>
                              <w:spacing w:line="264" w:lineRule="auto"/>
                              <w:rPr>
                                <w:rFonts w:ascii="Arial" w:hAnsi="Arial" w:eastAsia="宋体" w:cs="Arial"/>
                                <w:sz w:val="15"/>
                                <w:szCs w:val="15"/>
                              </w:rPr>
                            </w:pPr>
                            <w:r>
                              <w:rPr>
                                <w:rFonts w:ascii="Arial" w:hAnsi="Arial" w:eastAsia="宋体" w:cs="Arial"/>
                                <w:sz w:val="15"/>
                                <w:szCs w:val="15"/>
                              </w:rPr>
                              <w:t>IRB审查研究后公开披露计划（21 CFR 50.24（a）（7）（iii）。计划是否吃充分？</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47.5pt;margin-top:170.1pt;height:27.75pt;width:148.5pt;z-index:251673600;mso-width-relative:page;mso-height-relative:page;" filled="f" stroked="f" coordsize="21600,21600" o:gfxdata="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jBUQNoAAAALAQAA&#10;DwAAAAAAAAABACAAAAAiAAAAZHJzL2Rvd25yZXYueG1sUEsBAhQAFAAAAAgAh07iQE0waXMXAgAA&#10;GgQAAA4AAAAAAAAAAQAgAAAAKQEAAGRycy9lMm9Eb2MueG1sUEsFBgAAAAAGAAYAWQEAALIFAAAA&#10;AA==&#10;">
                <v:fill on="f" focussize="0,0"/>
                <v:stroke on="f" miterlimit="8" joinstyle="miter"/>
                <v:imagedata o:title=""/>
                <o:lock v:ext="edit" aspectratio="f"/>
                <v:textbox inset="0mm,0mm,0mm,0mm">
                  <w:txbxContent>
                    <w:p w14:paraId="4678241C">
                      <w:pPr>
                        <w:snapToGrid w:val="0"/>
                        <w:spacing w:line="264" w:lineRule="auto"/>
                        <w:rPr>
                          <w:rFonts w:ascii="Arial" w:hAnsi="Arial" w:eastAsia="宋体" w:cs="Arial"/>
                          <w:sz w:val="15"/>
                          <w:szCs w:val="15"/>
                        </w:rPr>
                      </w:pPr>
                      <w:r>
                        <w:rPr>
                          <w:rFonts w:ascii="Arial" w:hAnsi="Arial" w:eastAsia="宋体" w:cs="Arial"/>
                          <w:sz w:val="15"/>
                          <w:szCs w:val="15"/>
                        </w:rPr>
                        <w:t>IRB审查研究后公开披露计划（21 CFR 50.24（a）（7）（iii）。计划是否吃充分？</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2576" behindDoc="0" locked="0" layoutInCell="1" allowOverlap="1">
                <wp:simplePos x="0" y="0"/>
                <wp:positionH relativeFrom="column">
                  <wp:posOffset>4314825</wp:posOffset>
                </wp:positionH>
                <wp:positionV relativeFrom="paragraph">
                  <wp:posOffset>1760220</wp:posOffset>
                </wp:positionV>
                <wp:extent cx="1009650" cy="200025"/>
                <wp:effectExtent l="0" t="0" r="0" b="9525"/>
                <wp:wrapNone/>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09650" cy="200025"/>
                        </a:xfrm>
                        <a:prstGeom prst="rect">
                          <a:avLst/>
                        </a:prstGeom>
                        <a:noFill/>
                        <a:ln w="9525">
                          <a:noFill/>
                          <a:miter lim="800000"/>
                        </a:ln>
                      </wps:spPr>
                      <wps:txbx>
                        <w:txbxContent>
                          <w:p w14:paraId="1A67F5A6">
                            <w:pPr>
                              <w:snapToGrid w:val="0"/>
                              <w:spacing w:line="264" w:lineRule="auto"/>
                              <w:rPr>
                                <w:rFonts w:ascii="宋体" w:hAnsi="宋体" w:eastAsia="宋体"/>
                                <w:sz w:val="16"/>
                              </w:rPr>
                            </w:pPr>
                            <w:r>
                              <w:rPr>
                                <w:rFonts w:hint="eastAsia" w:ascii="宋体" w:hAnsi="宋体" w:eastAsia="宋体"/>
                                <w:sz w:val="16"/>
                              </w:rPr>
                              <w:t>研究不得进行</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39.75pt;margin-top:138.6pt;height:15.75pt;width:79.5pt;z-index:251672576;mso-width-relative:page;mso-height-relative:page;" filled="f" stroked="f" coordsize="21600,21600" o:gfxdata="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aJ7w2gAAAAsBAAAP&#10;AAAAAAAAAAEAIAAAACIAAABkcnMvZG93bnJldi54bWxQSwECFAAUAAAACACHTuJAeKPmgRYCAAAa&#10;BAAADgAAAAAAAAABACAAAAApAQAAZHJzL2Uyb0RvYy54bWxQSwUGAAAAAAYABgBZAQAAsQUAAAAA&#10;">
                <v:fill on="f" focussize="0,0"/>
                <v:stroke on="f" miterlimit="8" joinstyle="miter"/>
                <v:imagedata o:title=""/>
                <o:lock v:ext="edit" aspectratio="f"/>
                <v:textbox inset="0mm,0mm,0mm,0mm">
                  <w:txbxContent>
                    <w:p w14:paraId="1A67F5A6">
                      <w:pPr>
                        <w:snapToGrid w:val="0"/>
                        <w:spacing w:line="264" w:lineRule="auto"/>
                        <w:rPr>
                          <w:rFonts w:ascii="宋体" w:hAnsi="宋体" w:eastAsia="宋体"/>
                          <w:sz w:val="16"/>
                        </w:rPr>
                      </w:pPr>
                      <w:r>
                        <w:rPr>
                          <w:rFonts w:hint="eastAsia" w:ascii="宋体" w:hAnsi="宋体" w:eastAsia="宋体"/>
                          <w:sz w:val="16"/>
                        </w:rPr>
                        <w:t>研究不得进行</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68480" behindDoc="0" locked="0" layoutInCell="1" allowOverlap="1">
                <wp:simplePos x="0" y="0"/>
                <wp:positionH relativeFrom="column">
                  <wp:posOffset>4038600</wp:posOffset>
                </wp:positionH>
                <wp:positionV relativeFrom="paragraph">
                  <wp:posOffset>1331595</wp:posOffset>
                </wp:positionV>
                <wp:extent cx="1600200" cy="295275"/>
                <wp:effectExtent l="0" t="0" r="0" b="9525"/>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00200" cy="295275"/>
                        </a:xfrm>
                        <a:prstGeom prst="rect">
                          <a:avLst/>
                        </a:prstGeom>
                        <a:noFill/>
                        <a:ln w="9525">
                          <a:noFill/>
                          <a:miter lim="800000"/>
                        </a:ln>
                      </wps:spPr>
                      <wps:txbx>
                        <w:txbxContent>
                          <w:p w14:paraId="56FF725F">
                            <w:pPr>
                              <w:snapToGrid w:val="0"/>
                              <w:spacing w:line="264" w:lineRule="auto"/>
                              <w:rPr>
                                <w:rFonts w:ascii="Arial" w:hAnsi="Arial" w:eastAsia="宋体" w:cs="Arial"/>
                                <w:sz w:val="15"/>
                                <w:szCs w:val="15"/>
                              </w:rPr>
                            </w:pPr>
                            <w:r>
                              <w:rPr>
                                <w:rFonts w:ascii="Arial" w:hAnsi="Arial" w:eastAsia="宋体" w:cs="Arial"/>
                                <w:sz w:val="15"/>
                                <w:szCs w:val="15"/>
                              </w:rPr>
                              <w:t>申办方发送向FDA披露的信息，纳入公共案卷 95S-0158。</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18pt;margin-top:104.85pt;height:23.25pt;width:126pt;z-index:251668480;mso-width-relative:page;mso-height-relative:page;" filled="f" stroked="f" coordsize="21600,21600" o:gfxdata="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0eNT2QAAAAsBAAAP&#10;AAAAAAAAAAEAIAAAACIAAABkcnMvZG93bnJldi54bWxQSwECFAAUAAAACACHTuJArxkRpxcCAAAa&#10;BAAADgAAAAAAAAABACAAAAAoAQAAZHJzL2Uyb0RvYy54bWxQSwUGAAAAAAYABgBZAQAAsQUAAAAA&#10;">
                <v:fill on="f" focussize="0,0"/>
                <v:stroke on="f" miterlimit="8" joinstyle="miter"/>
                <v:imagedata o:title=""/>
                <o:lock v:ext="edit" aspectratio="f"/>
                <v:textbox inset="0mm,0mm,0mm,0mm">
                  <w:txbxContent>
                    <w:p w14:paraId="56FF725F">
                      <w:pPr>
                        <w:snapToGrid w:val="0"/>
                        <w:spacing w:line="264" w:lineRule="auto"/>
                        <w:rPr>
                          <w:rFonts w:ascii="Arial" w:hAnsi="Arial" w:eastAsia="宋体" w:cs="Arial"/>
                          <w:sz w:val="15"/>
                          <w:szCs w:val="15"/>
                        </w:rPr>
                      </w:pPr>
                      <w:r>
                        <w:rPr>
                          <w:rFonts w:ascii="Arial" w:hAnsi="Arial" w:eastAsia="宋体" w:cs="Arial"/>
                          <w:sz w:val="15"/>
                          <w:szCs w:val="15"/>
                        </w:rPr>
                        <w:t>申办方发送向FDA披露的信息，纳入公共案卷 95S-0158。</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1552" behindDoc="0" locked="0" layoutInCell="1" allowOverlap="1">
                <wp:simplePos x="0" y="0"/>
                <wp:positionH relativeFrom="column">
                  <wp:posOffset>2419350</wp:posOffset>
                </wp:positionH>
                <wp:positionV relativeFrom="paragraph">
                  <wp:posOffset>1750695</wp:posOffset>
                </wp:positionV>
                <wp:extent cx="1009650" cy="200025"/>
                <wp:effectExtent l="0" t="0" r="0" b="9525"/>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09650" cy="200025"/>
                        </a:xfrm>
                        <a:prstGeom prst="rect">
                          <a:avLst/>
                        </a:prstGeom>
                        <a:noFill/>
                        <a:ln w="9525">
                          <a:noFill/>
                          <a:miter lim="800000"/>
                        </a:ln>
                      </wps:spPr>
                      <wps:txbx>
                        <w:txbxContent>
                          <w:p w14:paraId="563A0D1B">
                            <w:pPr>
                              <w:snapToGrid w:val="0"/>
                              <w:spacing w:line="264" w:lineRule="auto"/>
                              <w:rPr>
                                <w:rFonts w:ascii="Arial" w:hAnsi="Arial" w:eastAsia="宋体" w:cs="Arial"/>
                                <w:sz w:val="15"/>
                                <w:szCs w:val="15"/>
                              </w:rPr>
                            </w:pPr>
                            <w:r>
                              <w:rPr>
                                <w:rFonts w:ascii="Arial" w:hAnsi="Arial" w:eastAsia="宋体" w:cs="Arial"/>
                                <w:sz w:val="15"/>
                                <w:szCs w:val="15"/>
                              </w:rPr>
                              <w:t>IRB审查研究</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90.5pt;margin-top:137.85pt;height:15.75pt;width:79.5pt;z-index:251671552;mso-width-relative:page;mso-height-relative:page;" filled="f" stroked="f" coordsize="21600,21600" o:gfxdata="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iaZz3ZAAAACwEAAA8A&#10;AAAAAAAAAQAgAAAAIgAAAGRycy9kb3ducmV2LnhtbFBLAQIUABQAAAAIAIdO4kBQeJSRFgIAABoE&#10;AAAOAAAAAAAAAAEAIAAAACgBAABkcnMvZTJvRG9jLnhtbFBLBQYAAAAABgAGAFkBAACwBQAAAAA=&#10;">
                <v:fill on="f" focussize="0,0"/>
                <v:stroke on="f" miterlimit="8" joinstyle="miter"/>
                <v:imagedata o:title=""/>
                <o:lock v:ext="edit" aspectratio="f"/>
                <v:textbox inset="0mm,0mm,0mm,0mm">
                  <w:txbxContent>
                    <w:p w14:paraId="563A0D1B">
                      <w:pPr>
                        <w:snapToGrid w:val="0"/>
                        <w:spacing w:line="264" w:lineRule="auto"/>
                        <w:rPr>
                          <w:rFonts w:ascii="Arial" w:hAnsi="Arial" w:eastAsia="宋体" w:cs="Arial"/>
                          <w:sz w:val="15"/>
                          <w:szCs w:val="15"/>
                        </w:rPr>
                      </w:pPr>
                      <w:r>
                        <w:rPr>
                          <w:rFonts w:ascii="Arial" w:hAnsi="Arial" w:eastAsia="宋体" w:cs="Arial"/>
                          <w:sz w:val="15"/>
                          <w:szCs w:val="15"/>
                        </w:rPr>
                        <w:t>IRB审查研究</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82816" behindDoc="0" locked="0" layoutInCell="1" allowOverlap="1">
                <wp:simplePos x="0" y="0"/>
                <wp:positionH relativeFrom="column">
                  <wp:posOffset>3448050</wp:posOffset>
                </wp:positionH>
                <wp:positionV relativeFrom="paragraph">
                  <wp:posOffset>1684020</wp:posOffset>
                </wp:positionV>
                <wp:extent cx="657225" cy="200025"/>
                <wp:effectExtent l="0" t="0" r="9525" b="9525"/>
                <wp:wrapNone/>
                <wp:docPr id="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7225" cy="200025"/>
                        </a:xfrm>
                        <a:prstGeom prst="rect">
                          <a:avLst/>
                        </a:prstGeom>
                        <a:noFill/>
                        <a:ln w="9525">
                          <a:noFill/>
                          <a:miter lim="800000"/>
                        </a:ln>
                      </wps:spPr>
                      <wps:txbx>
                        <w:txbxContent>
                          <w:p w14:paraId="14B6E7E6">
                            <w:pPr>
                              <w:snapToGrid w:val="0"/>
                              <w:spacing w:line="264" w:lineRule="auto"/>
                              <w:jc w:val="center"/>
                              <w:rPr>
                                <w:rFonts w:ascii="宋体" w:hAnsi="宋体" w:eastAsia="宋体"/>
                                <w:sz w:val="16"/>
                              </w:rPr>
                            </w:pPr>
                            <w:r>
                              <w:rPr>
                                <w:rFonts w:hint="eastAsia" w:ascii="宋体" w:hAnsi="宋体" w:eastAsia="宋体"/>
                                <w:sz w:val="16"/>
                              </w:rPr>
                              <w:t>驳回研究</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71.5pt;margin-top:132.6pt;height:15.75pt;width:51.75pt;z-index:251682816;mso-width-relative:page;mso-height-relative:page;" filled="f" stroked="f" coordsize="21600,21600" o:gfxdata="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UNyadoAAAALAQAA&#10;DwAAAAAAAAABACAAAAAiAAAAZHJzL2Rvd25yZXYueG1sUEsBAhQAFAAAAAgAh07iQPdePXoXAgAA&#10;GQQAAA4AAAAAAAAAAQAgAAAAKQEAAGRycy9lMm9Eb2MueG1sUEsFBgAAAAAGAAYAWQEAALIFAAAA&#10;AA==&#10;">
                <v:fill on="f" focussize="0,0"/>
                <v:stroke on="f" miterlimit="8" joinstyle="miter"/>
                <v:imagedata o:title=""/>
                <o:lock v:ext="edit" aspectratio="f"/>
                <v:textbox inset="0mm,0mm,0mm,0mm">
                  <w:txbxContent>
                    <w:p w14:paraId="14B6E7E6">
                      <w:pPr>
                        <w:snapToGrid w:val="0"/>
                        <w:spacing w:line="264" w:lineRule="auto"/>
                        <w:jc w:val="center"/>
                        <w:rPr>
                          <w:rFonts w:ascii="宋体" w:hAnsi="宋体" w:eastAsia="宋体"/>
                          <w:sz w:val="16"/>
                        </w:rPr>
                      </w:pPr>
                      <w:r>
                        <w:rPr>
                          <w:rFonts w:hint="eastAsia" w:ascii="宋体" w:hAnsi="宋体" w:eastAsia="宋体"/>
                          <w:sz w:val="16"/>
                        </w:rPr>
                        <w:t>驳回研究</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81792" behindDoc="0" locked="0" layoutInCell="1" allowOverlap="1">
                <wp:simplePos x="0" y="0"/>
                <wp:positionH relativeFrom="column">
                  <wp:posOffset>1570990</wp:posOffset>
                </wp:positionH>
                <wp:positionV relativeFrom="paragraph">
                  <wp:posOffset>1684020</wp:posOffset>
                </wp:positionV>
                <wp:extent cx="733425" cy="200025"/>
                <wp:effectExtent l="0" t="0" r="9525" b="9525"/>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33425" cy="200025"/>
                        </a:xfrm>
                        <a:prstGeom prst="rect">
                          <a:avLst/>
                        </a:prstGeom>
                        <a:noFill/>
                        <a:ln w="9525">
                          <a:noFill/>
                          <a:miter lim="800000"/>
                        </a:ln>
                      </wps:spPr>
                      <wps:txbx>
                        <w:txbxContent>
                          <w:p w14:paraId="5A3805DC">
                            <w:pPr>
                              <w:snapToGrid w:val="0"/>
                              <w:spacing w:line="264" w:lineRule="auto"/>
                              <w:jc w:val="center"/>
                              <w:rPr>
                                <w:rFonts w:ascii="宋体" w:hAnsi="宋体" w:eastAsia="宋体"/>
                                <w:sz w:val="16"/>
                              </w:rPr>
                            </w:pPr>
                            <w:r>
                              <w:rPr>
                                <w:rFonts w:hint="eastAsia" w:ascii="宋体" w:hAnsi="宋体" w:eastAsia="宋体"/>
                                <w:sz w:val="16"/>
                              </w:rPr>
                              <w:t>批准研究</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23.7pt;margin-top:132.6pt;height:15.75pt;width:57.75pt;z-index:251681792;mso-width-relative:page;mso-height-relative:page;" filled="f" stroked="f" coordsize="21600,21600" o:gfxdata="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eMnU42QAAAAsBAAAP&#10;AAAAAAAAAAEAIAAAACIAAABkcnMvZG93bnJldi54bWxQSwECFAAUAAAACACHTuJAEQt1PBcCAAAZ&#10;BAAADgAAAAAAAAABACAAAAAoAQAAZHJzL2Uyb0RvYy54bWxQSwUGAAAAAAYABgBZAQAAsQUAAAAA&#10;">
                <v:fill on="f" focussize="0,0"/>
                <v:stroke on="f" miterlimit="8" joinstyle="miter"/>
                <v:imagedata o:title=""/>
                <o:lock v:ext="edit" aspectratio="f"/>
                <v:textbox inset="0mm,0mm,0mm,0mm">
                  <w:txbxContent>
                    <w:p w14:paraId="5A3805DC">
                      <w:pPr>
                        <w:snapToGrid w:val="0"/>
                        <w:spacing w:line="264" w:lineRule="auto"/>
                        <w:jc w:val="center"/>
                        <w:rPr>
                          <w:rFonts w:ascii="宋体" w:hAnsi="宋体" w:eastAsia="宋体"/>
                          <w:sz w:val="16"/>
                        </w:rPr>
                      </w:pPr>
                      <w:r>
                        <w:rPr>
                          <w:rFonts w:hint="eastAsia" w:ascii="宋体" w:hAnsi="宋体" w:eastAsia="宋体"/>
                          <w:sz w:val="16"/>
                        </w:rPr>
                        <w:t>批准研究</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2598420</wp:posOffset>
                </wp:positionV>
                <wp:extent cx="2247900" cy="200025"/>
                <wp:effectExtent l="0" t="0" r="0" b="9525"/>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7900" cy="200025"/>
                        </a:xfrm>
                        <a:prstGeom prst="rect">
                          <a:avLst/>
                        </a:prstGeom>
                        <a:noFill/>
                        <a:ln w="9525">
                          <a:noFill/>
                          <a:miter lim="800000"/>
                        </a:ln>
                      </wps:spPr>
                      <wps:txbx>
                        <w:txbxContent>
                          <w:p w14:paraId="7C062EEE">
                            <w:pPr>
                              <w:snapToGrid w:val="0"/>
                              <w:spacing w:line="264" w:lineRule="auto"/>
                              <w:rPr>
                                <w:rFonts w:ascii="Arial" w:hAnsi="Arial" w:eastAsia="宋体" w:cs="Arial"/>
                                <w:sz w:val="16"/>
                              </w:rPr>
                            </w:pPr>
                            <w:r>
                              <w:rPr>
                                <w:rFonts w:ascii="Arial" w:hAnsi="Arial" w:eastAsia="宋体" w:cs="Arial"/>
                                <w:sz w:val="16"/>
                              </w:rPr>
                              <w:t>CI /申办方修改公开披露研究结果的计划。</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9pt;margin-top:204.6pt;height:15.75pt;width:177pt;z-index:251670528;mso-width-relative:page;mso-height-relative:page;" filled="f" stroked="f" coordsize="21600,21600" o:gfxdata="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cPRD9gAAAAKAQAADwAA&#10;AAAAAAABACAAAAAiAAAAZHJzL2Rvd25yZXYueG1sUEsBAhQAFAAAAAgAh07iQK4brH0WAgAAGgQA&#10;AA4AAAAAAAAAAQAgAAAAJwEAAGRycy9lMm9Eb2MueG1sUEsFBgAAAAAGAAYAWQEAAK8FAAAAAA==&#10;">
                <v:fill on="f" focussize="0,0"/>
                <v:stroke on="f" miterlimit="8" joinstyle="miter"/>
                <v:imagedata o:title=""/>
                <o:lock v:ext="edit" aspectratio="f"/>
                <v:textbox inset="0mm,0mm,0mm,0mm">
                  <w:txbxContent>
                    <w:p w14:paraId="7C062EEE">
                      <w:pPr>
                        <w:snapToGrid w:val="0"/>
                        <w:spacing w:line="264" w:lineRule="auto"/>
                        <w:rPr>
                          <w:rFonts w:ascii="Arial" w:hAnsi="Arial" w:eastAsia="宋体" w:cs="Arial"/>
                          <w:sz w:val="16"/>
                        </w:rPr>
                      </w:pPr>
                      <w:r>
                        <w:rPr>
                          <w:rFonts w:ascii="Arial" w:hAnsi="Arial" w:eastAsia="宋体" w:cs="Arial"/>
                          <w:sz w:val="16"/>
                        </w:rPr>
                        <w:t>CI /申办方修改公开披露研究结果的计划。</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2236470</wp:posOffset>
                </wp:positionV>
                <wp:extent cx="2571750" cy="200025"/>
                <wp:effectExtent l="0" t="0" r="0" b="9525"/>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71750" cy="200025"/>
                        </a:xfrm>
                        <a:prstGeom prst="rect">
                          <a:avLst/>
                        </a:prstGeom>
                        <a:noFill/>
                        <a:ln w="9525">
                          <a:noFill/>
                          <a:miter lim="800000"/>
                        </a:ln>
                      </wps:spPr>
                      <wps:txbx>
                        <w:txbxContent>
                          <w:p w14:paraId="285C7529">
                            <w:pPr>
                              <w:snapToGrid w:val="0"/>
                              <w:spacing w:line="264" w:lineRule="auto"/>
                              <w:rPr>
                                <w:rFonts w:ascii="Arial" w:hAnsi="Arial" w:eastAsia="宋体" w:cs="Arial"/>
                                <w:sz w:val="16"/>
                              </w:rPr>
                            </w:pPr>
                            <w:r>
                              <w:rPr>
                                <w:rFonts w:ascii="Arial" w:hAnsi="Arial" w:eastAsia="宋体" w:cs="Arial"/>
                                <w:sz w:val="16"/>
                              </w:rPr>
                              <w:t>CI /申办方向IRB提供公开披露研究结果的计划。</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25pt;margin-top:176.1pt;height:15.75pt;width:202.5pt;z-index:251669504;mso-width-relative:page;mso-height-relative:page;" filled="f" stroked="f" coordsize="21600,21600" o:gfxdata="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1Ydx2AAAAAkBAAAP&#10;AAAAAAAAAAEAIAAAACIAAABkcnMvZG93bnJldi54bWxQSwECFAAUAAAACACHTuJAZ1MEyxgCAAAa&#10;BAAADgAAAAAAAAABACAAAAAnAQAAZHJzL2Uyb0RvYy54bWxQSwUGAAAAAAYABgBZAQAAsQUAAAAA&#10;">
                <v:fill on="f" focussize="0,0"/>
                <v:stroke on="f" miterlimit="8" joinstyle="miter"/>
                <v:imagedata o:title=""/>
                <o:lock v:ext="edit" aspectratio="f"/>
                <v:textbox inset="0mm,0mm,0mm,0mm">
                  <w:txbxContent>
                    <w:p w14:paraId="285C7529">
                      <w:pPr>
                        <w:snapToGrid w:val="0"/>
                        <w:spacing w:line="264" w:lineRule="auto"/>
                        <w:rPr>
                          <w:rFonts w:ascii="Arial" w:hAnsi="Arial" w:eastAsia="宋体" w:cs="Arial"/>
                          <w:sz w:val="16"/>
                        </w:rPr>
                      </w:pPr>
                      <w:r>
                        <w:rPr>
                          <w:rFonts w:ascii="Arial" w:hAnsi="Arial" w:eastAsia="宋体" w:cs="Arial"/>
                          <w:sz w:val="16"/>
                        </w:rPr>
                        <w:t>CI /申办方向IRB提供公开披露研究结果的计划。</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960120</wp:posOffset>
                </wp:positionV>
                <wp:extent cx="1362075" cy="1403985"/>
                <wp:effectExtent l="0" t="0" r="9525" b="508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2075" cy="1403985"/>
                        </a:xfrm>
                        <a:prstGeom prst="rect">
                          <a:avLst/>
                        </a:prstGeom>
                        <a:noFill/>
                        <a:ln w="9525">
                          <a:noFill/>
                          <a:miter lim="800000"/>
                        </a:ln>
                      </wps:spPr>
                      <wps:txbx>
                        <w:txbxContent>
                          <w:p w14:paraId="149A0117">
                            <w:pPr>
                              <w:snapToGrid w:val="0"/>
                              <w:spacing w:line="264" w:lineRule="auto"/>
                              <w:rPr>
                                <w:rFonts w:ascii="Arial" w:hAnsi="Arial" w:eastAsia="宋体" w:cs="Arial"/>
                                <w:sz w:val="15"/>
                                <w:szCs w:val="15"/>
                              </w:rPr>
                            </w:pPr>
                            <w:r>
                              <w:rPr>
                                <w:rFonts w:ascii="Arial" w:hAnsi="Arial" w:eastAsia="宋体" w:cs="Arial"/>
                                <w:sz w:val="15"/>
                                <w:szCs w:val="15"/>
                              </w:rPr>
                              <w:t>CI /申办方修改公开披露计划并重新提交。</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75pt;margin-top:75.6pt;height:110.55pt;width:107.25pt;z-index:251664384;mso-width-relative:page;mso-height-relative:margin;mso-height-percent:200;" filled="f" stroked="f" coordsize="21600,21600" o:gfxdata="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DpkNUAAAAJAQAA&#10;DwAAAAAAAAABACAAAAAiAAAAZHJzL2Rvd25yZXYueG1sUEsBAhQAFAAAAAgAh07iQBo3OM4cAgAA&#10;GwQAAA4AAAAAAAAAAQAgAAAAJAEAAGRycy9lMm9Eb2MueG1sUEsFBgAAAAAGAAYAWQEAALIFAAAA&#10;AA==&#10;">
                <v:fill on="f" focussize="0,0"/>
                <v:stroke on="f" miterlimit="8" joinstyle="miter"/>
                <v:imagedata o:title=""/>
                <o:lock v:ext="edit" aspectratio="f"/>
                <v:textbox inset="0mm,0mm,0mm,0mm" style="mso-fit-shape-to-text:t;">
                  <w:txbxContent>
                    <w:p w14:paraId="149A0117">
                      <w:pPr>
                        <w:snapToGrid w:val="0"/>
                        <w:spacing w:line="264" w:lineRule="auto"/>
                        <w:rPr>
                          <w:rFonts w:ascii="Arial" w:hAnsi="Arial" w:eastAsia="宋体" w:cs="Arial"/>
                          <w:sz w:val="15"/>
                          <w:szCs w:val="15"/>
                        </w:rPr>
                      </w:pPr>
                      <w:r>
                        <w:rPr>
                          <w:rFonts w:ascii="Arial" w:hAnsi="Arial" w:eastAsia="宋体" w:cs="Arial"/>
                          <w:sz w:val="15"/>
                          <w:szCs w:val="15"/>
                        </w:rPr>
                        <w:t>CI /申办方修改公开披露计划并重新提交。</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66432" behindDoc="0" locked="0" layoutInCell="1" allowOverlap="1">
                <wp:simplePos x="0" y="0"/>
                <wp:positionH relativeFrom="column">
                  <wp:posOffset>1857375</wp:posOffset>
                </wp:positionH>
                <wp:positionV relativeFrom="paragraph">
                  <wp:posOffset>1235710</wp:posOffset>
                </wp:positionV>
                <wp:extent cx="1628775" cy="276225"/>
                <wp:effectExtent l="0" t="0" r="9525" b="9525"/>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28775" cy="276225"/>
                        </a:xfrm>
                        <a:prstGeom prst="rect">
                          <a:avLst/>
                        </a:prstGeom>
                        <a:noFill/>
                        <a:ln w="9525">
                          <a:noFill/>
                          <a:miter lim="800000"/>
                        </a:ln>
                      </wps:spPr>
                      <wps:txbx>
                        <w:txbxContent>
                          <w:p w14:paraId="6AD2917D">
                            <w:pPr>
                              <w:snapToGrid w:val="0"/>
                              <w:spacing w:line="264" w:lineRule="auto"/>
                              <w:rPr>
                                <w:rFonts w:ascii="Arial" w:hAnsi="Arial" w:eastAsia="宋体" w:cs="Arial"/>
                                <w:sz w:val="15"/>
                                <w:szCs w:val="15"/>
                              </w:rPr>
                            </w:pPr>
                            <w:r>
                              <w:rPr>
                                <w:rFonts w:ascii="Arial" w:hAnsi="Arial" w:eastAsia="宋体" w:cs="Arial"/>
                                <w:sz w:val="15"/>
                                <w:szCs w:val="15"/>
                              </w:rPr>
                              <w:t>IRB发送披露给研究申办方的信息/文档。</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46.25pt;margin-top:97.3pt;height:21.75pt;width:128.25pt;z-index:251666432;mso-width-relative:page;mso-height-relative:page;" filled="f" stroked="f" coordsize="21600,21600" o:gfxdata="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CiedT2QAAAAsBAAAP&#10;AAAAAAAAAAEAIAAAACIAAABkcnMvZG93bnJldi54bWxQSwECFAAUAAAACACHTuJAwZGE4RcCAAAa&#10;BAAADgAAAAAAAAABACAAAAAoAQAAZHJzL2Uyb0RvYy54bWxQSwUGAAAAAAYABgBZAQAAsQUAAAAA&#10;">
                <v:fill on="f" focussize="0,0"/>
                <v:stroke on="f" miterlimit="8" joinstyle="miter"/>
                <v:imagedata o:title=""/>
                <o:lock v:ext="edit" aspectratio="f"/>
                <v:textbox inset="0mm,0mm,0mm,0mm">
                  <w:txbxContent>
                    <w:p w14:paraId="6AD2917D">
                      <w:pPr>
                        <w:snapToGrid w:val="0"/>
                        <w:spacing w:line="264" w:lineRule="auto"/>
                        <w:rPr>
                          <w:rFonts w:ascii="Arial" w:hAnsi="Arial" w:eastAsia="宋体" w:cs="Arial"/>
                          <w:sz w:val="15"/>
                          <w:szCs w:val="15"/>
                        </w:rPr>
                      </w:pPr>
                      <w:r>
                        <w:rPr>
                          <w:rFonts w:ascii="Arial" w:hAnsi="Arial" w:eastAsia="宋体" w:cs="Arial"/>
                          <w:sz w:val="15"/>
                          <w:szCs w:val="15"/>
                        </w:rPr>
                        <w:t>IRB发送披露给研究申办方的信息/文档。</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7696" behindDoc="0" locked="0" layoutInCell="1" allowOverlap="1">
                <wp:simplePos x="0" y="0"/>
                <wp:positionH relativeFrom="column">
                  <wp:posOffset>5266690</wp:posOffset>
                </wp:positionH>
                <wp:positionV relativeFrom="paragraph">
                  <wp:posOffset>2245995</wp:posOffset>
                </wp:positionV>
                <wp:extent cx="409575" cy="200025"/>
                <wp:effectExtent l="0" t="0" r="9525" b="9525"/>
                <wp:wrapNone/>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575" cy="200025"/>
                        </a:xfrm>
                        <a:prstGeom prst="rect">
                          <a:avLst/>
                        </a:prstGeom>
                        <a:noFill/>
                        <a:ln w="9525">
                          <a:noFill/>
                          <a:miter lim="800000"/>
                        </a:ln>
                      </wps:spPr>
                      <wps:txbx>
                        <w:txbxContent>
                          <w:p w14:paraId="2F1B02BC">
                            <w:pPr>
                              <w:snapToGrid w:val="0"/>
                              <w:spacing w:line="264" w:lineRule="auto"/>
                              <w:jc w:val="center"/>
                              <w:rPr>
                                <w:rFonts w:ascii="宋体" w:hAnsi="宋体" w:eastAsia="宋体"/>
                                <w:sz w:val="15"/>
                                <w:szCs w:val="15"/>
                              </w:rPr>
                            </w:pPr>
                            <w:r>
                              <w:rPr>
                                <w:rFonts w:hint="eastAsia" w:ascii="宋体" w:hAnsi="宋体" w:eastAsia="宋体"/>
                                <w:sz w:val="15"/>
                                <w:szCs w:val="15"/>
                              </w:rPr>
                              <w:t>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414.7pt;margin-top:176.85pt;height:15.75pt;width:32.25pt;z-index:251677696;mso-width-relative:page;mso-height-relative:page;" filled="f" stroked="f" coordsize="21600,21600" o:gfxdata="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oMa2wAAAAsB&#10;AAAPAAAAAAAAAAEAIAAAACIAAABkcnMvZG93bnJldi54bWxQSwECFAAUAAAACACHTuJAgJJV3xgC&#10;AAAZBAAADgAAAAAAAAABACAAAAAqAQAAZHJzL2Uyb0RvYy54bWxQSwUGAAAAAAYABgBZAQAAtAUA&#10;AAAA&#10;">
                <v:fill on="f" focussize="0,0"/>
                <v:stroke on="f" miterlimit="8" joinstyle="miter"/>
                <v:imagedata o:title=""/>
                <o:lock v:ext="edit" aspectratio="f"/>
                <v:textbox inset="0mm,0mm,0mm,0mm">
                  <w:txbxContent>
                    <w:p w14:paraId="2F1B02BC">
                      <w:pPr>
                        <w:snapToGrid w:val="0"/>
                        <w:spacing w:line="264" w:lineRule="auto"/>
                        <w:jc w:val="center"/>
                        <w:rPr>
                          <w:rFonts w:ascii="宋体" w:hAnsi="宋体" w:eastAsia="宋体"/>
                          <w:sz w:val="15"/>
                          <w:szCs w:val="15"/>
                        </w:rPr>
                      </w:pPr>
                      <w:r>
                        <w:rPr>
                          <w:rFonts w:hint="eastAsia" w:ascii="宋体" w:hAnsi="宋体" w:eastAsia="宋体"/>
                          <w:sz w:val="15"/>
                          <w:szCs w:val="15"/>
                        </w:rPr>
                        <w:t>是</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9744" behindDoc="0" locked="0" layoutInCell="1" allowOverlap="1">
                <wp:simplePos x="0" y="0"/>
                <wp:positionH relativeFrom="column">
                  <wp:posOffset>4552950</wp:posOffset>
                </wp:positionH>
                <wp:positionV relativeFrom="paragraph">
                  <wp:posOffset>464820</wp:posOffset>
                </wp:positionV>
                <wp:extent cx="400050" cy="200025"/>
                <wp:effectExtent l="0" t="0" r="0" b="9525"/>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0050" cy="200025"/>
                        </a:xfrm>
                        <a:prstGeom prst="rect">
                          <a:avLst/>
                        </a:prstGeom>
                        <a:noFill/>
                        <a:ln w="9525">
                          <a:noFill/>
                          <a:miter lim="800000"/>
                        </a:ln>
                      </wps:spPr>
                      <wps:txbx>
                        <w:txbxContent>
                          <w:p w14:paraId="5F18FC66">
                            <w:pPr>
                              <w:snapToGrid w:val="0"/>
                              <w:spacing w:line="264" w:lineRule="auto"/>
                              <w:jc w:val="center"/>
                              <w:rPr>
                                <w:rFonts w:ascii="宋体" w:hAnsi="宋体" w:eastAsia="宋体"/>
                                <w:sz w:val="15"/>
                                <w:szCs w:val="15"/>
                              </w:rPr>
                            </w:pPr>
                            <w:r>
                              <w:rPr>
                                <w:rFonts w:hint="eastAsia" w:ascii="Times New Roman"/>
                                <w:sz w:val="15"/>
                                <w:szCs w:val="15"/>
                              </w:rPr>
                              <w:t>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58.5pt;margin-top:36.6pt;height:15.75pt;width:31.5pt;z-index:251679744;mso-width-relative:page;mso-height-relative:page;" filled="f" stroked="f" coordsize="21600,21600" o:gfxdata="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xWNA7YAAAACgEAAA8A&#10;AAAAAAAAAQAgAAAAIgAAAGRycy9kb3ducmV2LnhtbFBLAQIUABQAAAAIAIdO4kCDMhzAFwIAABkE&#10;AAAOAAAAAAAAAAEAIAAAACcBAABkcnMvZTJvRG9jLnhtbFBLBQYAAAAABgAGAFkBAACwBQAAAAA=&#10;">
                <v:fill on="f" focussize="0,0"/>
                <v:stroke on="f" miterlimit="8" joinstyle="miter"/>
                <v:imagedata o:title=""/>
                <o:lock v:ext="edit" aspectratio="f"/>
                <v:textbox inset="0mm,0mm,0mm,0mm">
                  <w:txbxContent>
                    <w:p w14:paraId="5F18FC66">
                      <w:pPr>
                        <w:snapToGrid w:val="0"/>
                        <w:spacing w:line="264" w:lineRule="auto"/>
                        <w:jc w:val="center"/>
                        <w:rPr>
                          <w:rFonts w:ascii="宋体" w:hAnsi="宋体" w:eastAsia="宋体"/>
                          <w:sz w:val="15"/>
                          <w:szCs w:val="15"/>
                        </w:rPr>
                      </w:pPr>
                      <w:r>
                        <w:rPr>
                          <w:rFonts w:hint="eastAsia" w:ascii="Times New Roman"/>
                          <w:sz w:val="15"/>
                          <w:szCs w:val="15"/>
                        </w:rPr>
                        <w:t>是</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80768" behindDoc="0" locked="0" layoutInCell="1" allowOverlap="1">
                <wp:simplePos x="0" y="0"/>
                <wp:positionH relativeFrom="column">
                  <wp:posOffset>1724025</wp:posOffset>
                </wp:positionH>
                <wp:positionV relativeFrom="paragraph">
                  <wp:posOffset>988695</wp:posOffset>
                </wp:positionV>
                <wp:extent cx="323850" cy="200025"/>
                <wp:effectExtent l="0" t="0" r="0" b="9525"/>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noFill/>
                        <a:ln w="9525">
                          <a:noFill/>
                          <a:miter lim="800000"/>
                        </a:ln>
                      </wps:spPr>
                      <wps:txbx>
                        <w:txbxContent>
                          <w:p w14:paraId="3698D5C6">
                            <w:pPr>
                              <w:snapToGrid w:val="0"/>
                              <w:spacing w:line="264" w:lineRule="auto"/>
                              <w:jc w:val="center"/>
                              <w:rPr>
                                <w:rFonts w:ascii="宋体" w:hAnsi="宋体" w:eastAsia="宋体"/>
                                <w:sz w:val="16"/>
                              </w:rPr>
                            </w:pPr>
                            <w:r>
                              <w:rPr>
                                <w:rFonts w:hint="eastAsia" w:ascii="宋体" w:hAnsi="宋体" w:eastAsia="宋体"/>
                                <w:sz w:val="16"/>
                              </w:rPr>
                              <w:t>否</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35.75pt;margin-top:77.85pt;height:15.75pt;width:25.5pt;z-index:251680768;mso-width-relative:page;mso-height-relative:page;" filled="f" stroked="f" coordsize="21600,21600" o:gfxdata="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0Q5vdkAAAALAQAA&#10;DwAAAAAAAAABACAAAAAiAAAAZHJzL2Rvd25yZXYueG1sUEsBAhQAFAAAAAgAh07iQCrht9UYAgAA&#10;GQQAAA4AAAAAAAAAAQAgAAAAKAEAAGRycy9lMm9Eb2MueG1sUEsFBgAAAAAGAAYAWQEAALIFAAAA&#10;AA==&#10;">
                <v:fill on="f" focussize="0,0"/>
                <v:stroke on="f" miterlimit="8" joinstyle="miter"/>
                <v:imagedata o:title=""/>
                <o:lock v:ext="edit" aspectratio="f"/>
                <v:textbox inset="0mm,0mm,0mm,0mm">
                  <w:txbxContent>
                    <w:p w14:paraId="3698D5C6">
                      <w:pPr>
                        <w:snapToGrid w:val="0"/>
                        <w:spacing w:line="264" w:lineRule="auto"/>
                        <w:jc w:val="center"/>
                        <w:rPr>
                          <w:rFonts w:ascii="宋体" w:hAnsi="宋体" w:eastAsia="宋体"/>
                          <w:sz w:val="16"/>
                        </w:rPr>
                      </w:pPr>
                      <w:r>
                        <w:rPr>
                          <w:rFonts w:hint="eastAsia" w:ascii="宋体" w:hAnsi="宋体" w:eastAsia="宋体"/>
                          <w:sz w:val="16"/>
                        </w:rPr>
                        <w:t>否</w:t>
                      </w:r>
                    </w:p>
                  </w:txbxContent>
                </v:textbox>
              </v:shape>
            </w:pict>
          </mc:Fallback>
        </mc:AlternateContent>
      </w:r>
      <w:r>
        <w:rPr>
          <w:rFonts w:ascii="宋体" w:hAnsi="宋体" w:eastAsia="宋体" w:cs="Arial"/>
          <w:snapToGrid w:val="0"/>
          <w:sz w:val="24"/>
          <w:szCs w:val="24"/>
        </w:rPr>
        <mc:AlternateContent>
          <mc:Choice Requires="wps">
            <w:drawing>
              <wp:anchor distT="0" distB="0" distL="114300" distR="114300" simplePos="0" relativeHeight="251676672" behindDoc="0" locked="0" layoutInCell="1" allowOverlap="1">
                <wp:simplePos x="0" y="0"/>
                <wp:positionH relativeFrom="column">
                  <wp:posOffset>2733675</wp:posOffset>
                </wp:positionH>
                <wp:positionV relativeFrom="paragraph">
                  <wp:posOffset>2598420</wp:posOffset>
                </wp:positionV>
                <wp:extent cx="323850" cy="200025"/>
                <wp:effectExtent l="0" t="0" r="0" b="9525"/>
                <wp:wrapNone/>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noFill/>
                        <a:ln w="9525">
                          <a:noFill/>
                          <a:miter lim="800000"/>
                        </a:ln>
                      </wps:spPr>
                      <wps:txbx>
                        <w:txbxContent>
                          <w:p w14:paraId="7D913169">
                            <w:pPr>
                              <w:snapToGrid w:val="0"/>
                              <w:spacing w:line="264" w:lineRule="auto"/>
                              <w:jc w:val="center"/>
                              <w:rPr>
                                <w:rFonts w:ascii="宋体" w:hAnsi="宋体" w:eastAsia="宋体"/>
                                <w:sz w:val="15"/>
                                <w:szCs w:val="15"/>
                              </w:rPr>
                            </w:pPr>
                            <w:r>
                              <w:rPr>
                                <w:rFonts w:hint="eastAsia" w:ascii="宋体" w:hAnsi="宋体" w:eastAsia="宋体"/>
                                <w:sz w:val="15"/>
                                <w:szCs w:val="15"/>
                              </w:rPr>
                              <w:t>否</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15.25pt;margin-top:204.6pt;height:15.75pt;width:25.5pt;z-index:251676672;mso-width-relative:page;mso-height-relative:page;" filled="f" stroked="f" coordsize="21600,21600" o:gfxdata="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XpoL2QAAAAsBAAAP&#10;AAAAAAAAAAEAIAAAACIAAABkcnMvZG93bnJldi54bWxQSwECFAAUAAAACACHTuJAgSGhGhcCAAAZ&#10;BAAADgAAAAAAAAABACAAAAAoAQAAZHJzL2Uyb0RvYy54bWxQSwUGAAAAAAYABgBZAQAAsQUAAAAA&#10;">
                <v:fill on="f" focussize="0,0"/>
                <v:stroke on="f" miterlimit="8" joinstyle="miter"/>
                <v:imagedata o:title=""/>
                <o:lock v:ext="edit" aspectratio="f"/>
                <v:textbox inset="0mm,0mm,0mm,0mm">
                  <w:txbxContent>
                    <w:p w14:paraId="7D913169">
                      <w:pPr>
                        <w:snapToGrid w:val="0"/>
                        <w:spacing w:line="264" w:lineRule="auto"/>
                        <w:jc w:val="center"/>
                        <w:rPr>
                          <w:rFonts w:ascii="宋体" w:hAnsi="宋体" w:eastAsia="宋体"/>
                          <w:sz w:val="15"/>
                          <w:szCs w:val="15"/>
                        </w:rPr>
                      </w:pPr>
                      <w:r>
                        <w:rPr>
                          <w:rFonts w:hint="eastAsia" w:ascii="宋体" w:hAnsi="宋体" w:eastAsia="宋体"/>
                          <w:sz w:val="15"/>
                          <w:szCs w:val="15"/>
                        </w:rPr>
                        <w:t>否</w:t>
                      </w:r>
                    </w:p>
                  </w:txbxContent>
                </v:textbox>
              </v:shape>
            </w:pict>
          </mc:Fallback>
        </mc:AlternateContent>
      </w:r>
      <w:r>
        <w:rPr>
          <w:rFonts w:ascii="Arial" w:hAnsi="Arial" w:eastAsia="宋体" w:cs="Arial"/>
          <w:sz w:val="15"/>
          <w:szCs w:val="15"/>
        </w:rPr>
        <w:drawing>
          <wp:inline distT="0" distB="0" distL="0" distR="0">
            <wp:extent cx="5734050" cy="43719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4050" cy="4371975"/>
                    </a:xfrm>
                    <a:prstGeom prst="rect">
                      <a:avLst/>
                    </a:prstGeom>
                    <a:noFill/>
                    <a:ln>
                      <a:noFill/>
                    </a:ln>
                  </pic:spPr>
                </pic:pic>
              </a:graphicData>
            </a:graphic>
          </wp:inline>
        </w:drawing>
      </w:r>
    </w:p>
    <w:p w14:paraId="3921B83C">
      <w:pPr>
        <w:topLinePunct/>
        <w:adjustRightInd w:val="0"/>
        <w:snapToGrid w:val="0"/>
        <w:spacing w:after="224" w:afterLines="75" w:line="300" w:lineRule="auto"/>
        <w:jc w:val="center"/>
        <w:rPr>
          <w:rFonts w:hint="eastAsia" w:eastAsia="宋体"/>
          <w:lang w:eastAsia="zh-CN"/>
        </w:rPr>
      </w:pPr>
    </w:p>
    <w:p w14:paraId="2E91A55E">
      <w:pPr>
        <w:topLinePunct/>
        <w:adjustRightInd w:val="0"/>
        <w:snapToGrid w:val="0"/>
        <w:spacing w:after="224" w:afterLines="75" w:line="300" w:lineRule="auto"/>
        <w:jc w:val="center"/>
        <w:rPr>
          <w:rFonts w:hint="eastAsia" w:eastAsia="宋体"/>
          <w:lang w:eastAsia="zh-CN"/>
        </w:rPr>
      </w:pPr>
    </w:p>
    <w:p w14:paraId="0332662F">
      <w:pPr>
        <w:topLinePunct/>
        <w:adjustRightInd w:val="0"/>
        <w:snapToGrid w:val="0"/>
        <w:spacing w:after="224" w:afterLines="75"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6" w:type="default"/>
      <w:footerReference r:id="rId7" w:type="default"/>
      <w:pgSz w:w="11906" w:h="16838"/>
      <w:pgMar w:top="1134" w:right="1440" w:bottom="1134" w:left="1440" w:header="720" w:footer="567" w:gutter="0"/>
      <w:pgNumType w:start="1"/>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C4C7">
    <w:pPr>
      <w:spacing w:line="14" w:lineRule="auto"/>
      <w:rPr>
        <w:rFonts w:ascii="Arial" w:hAnsi="Arial" w:eastAsia="宋体"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4D76">
    <w:pPr>
      <w:snapToGrid w:val="0"/>
      <w:spacing w:line="300" w:lineRule="auto"/>
      <w:jc w:val="center"/>
      <w:rPr>
        <w:rFonts w:ascii="Arial" w:hAnsi="Arial" w:eastAsia="宋体" w:cs="Arial"/>
        <w:sz w:val="21"/>
        <w:szCs w:val="20"/>
      </w:rPr>
    </w:pPr>
  </w:p>
  <w:p w14:paraId="6F2D6F97">
    <w:pPr>
      <w:snapToGrid w:val="0"/>
      <w:spacing w:line="300" w:lineRule="auto"/>
      <w:jc w:val="center"/>
      <w:rPr>
        <w:rFonts w:ascii="Arial" w:hAnsi="Arial" w:eastAsia="宋体" w:cs="Arial"/>
        <w:sz w:val="21"/>
        <w:szCs w:val="20"/>
      </w:rPr>
    </w:pPr>
    <w:r>
      <w:rPr>
        <w:rFonts w:ascii="Arial" w:hAnsi="Arial" w:eastAsia="宋体" w:cs="Arial"/>
        <w:sz w:val="21"/>
        <w:szCs w:val="20"/>
      </w:rPr>
      <w:fldChar w:fldCharType="begin"/>
    </w:r>
    <w:r>
      <w:rPr>
        <w:rFonts w:ascii="Arial" w:hAnsi="Arial" w:eastAsia="宋体" w:cs="Arial"/>
        <w:sz w:val="21"/>
        <w:szCs w:val="20"/>
      </w:rPr>
      <w:instrText xml:space="preserve">PAGE   \* MERGEFORMAT</w:instrText>
    </w:r>
    <w:r>
      <w:rPr>
        <w:rFonts w:ascii="Arial" w:hAnsi="Arial" w:eastAsia="宋体" w:cs="Arial"/>
        <w:sz w:val="21"/>
        <w:szCs w:val="20"/>
      </w:rPr>
      <w:fldChar w:fldCharType="separate"/>
    </w:r>
    <w:r>
      <w:rPr>
        <w:rFonts w:ascii="Arial" w:hAnsi="Arial" w:eastAsia="宋体" w:cs="Arial"/>
        <w:sz w:val="21"/>
        <w:szCs w:val="20"/>
        <w:lang w:val="zh-CN"/>
      </w:rPr>
      <w:t>53</w:t>
    </w:r>
    <w:r>
      <w:rPr>
        <w:rFonts w:ascii="Arial" w:hAnsi="Arial" w:eastAsia="宋体"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8">
    <w:p>
      <w:r>
        <w:separator/>
      </w:r>
    </w:p>
  </w:footnote>
  <w:footnote w:type="continuationSeparator" w:id="109">
    <w:p>
      <w:r>
        <w:continuationSeparator/>
      </w:r>
    </w:p>
  </w:footnote>
  <w:footnote w:id="0">
    <w:p w14:paraId="7D0E2830">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本指南由食品药品监督管理局（FDA），专员办公室（OGCP），良好临床试验规范办公室（OGCP）与FDA生物制剂评价和研究中心（CBER）、器械和放射卫生中心（CDRH）和药品评价和研究中心（CDER）联合编制。</w:t>
      </w:r>
    </w:p>
  </w:footnote>
  <w:footnote w:id="1">
    <w:p w14:paraId="5A5FE107">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本指南使用的术语“药品”应包括所有药品，包括生物制药产品。</w:t>
      </w:r>
    </w:p>
  </w:footnote>
  <w:footnote w:id="2">
    <w:p w14:paraId="18DE4703">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71 Fed.Reg. 51143（2006年8月29日）</w:t>
      </w:r>
    </w:p>
  </w:footnote>
  <w:footnote w:id="3">
    <w:p w14:paraId="5F264E4D">
      <w:pPr>
        <w:pStyle w:val="15"/>
        <w:spacing w:line="300" w:lineRule="auto"/>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保护受试者；知情同意和豁免某些应急研究的知情同意要求；最终规则，61 Fed.Reg.51498（1996年10月2日）。</w:t>
      </w:r>
      <w:r>
        <w:fldChar w:fldCharType="begin"/>
      </w:r>
      <w:r>
        <w:instrText xml:space="preserve"> HYPERLINK "http://www.fda.gov/ScienceResearch/SpecialTopics/RunningClinicalTrials/ucm118960.htm" \h </w:instrText>
      </w:r>
      <w:r>
        <w:fldChar w:fldCharType="separate"/>
      </w:r>
      <w:r>
        <w:rPr>
          <w:rFonts w:ascii="Arial" w:hAnsi="Arial" w:eastAsia="宋体" w:cs="Arial"/>
          <w:snapToGrid w:val="0"/>
          <w:color w:val="0000FF"/>
          <w:sz w:val="21"/>
          <w:szCs w:val="21"/>
        </w:rPr>
        <w:t>http://www.fda.gov/ScienceResearch/SpecialTopics/RunningClinicalTrials/ucm118960.htm</w:t>
      </w:r>
      <w:r>
        <w:rPr>
          <w:rFonts w:ascii="Arial" w:hAnsi="Arial" w:eastAsia="宋体" w:cs="Arial"/>
          <w:snapToGrid w:val="0"/>
          <w:color w:val="0000FF"/>
          <w:sz w:val="21"/>
          <w:szCs w:val="21"/>
        </w:rPr>
        <w:fldChar w:fldCharType="end"/>
      </w:r>
    </w:p>
  </w:footnote>
  <w:footnote w:id="4">
    <w:p w14:paraId="136CB155">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在草拟本指南时，FDA考虑了针对先前公布的两份指导性文件草案提交的评论，机构工作人员收到的与法规实施相关的问题以及于2006年10月11日紧急研究公开会议上呈交的信息（案卷编号：2006D-0331；</w:t>
      </w:r>
      <w:r>
        <w:fldChar w:fldCharType="begin"/>
      </w:r>
      <w:r>
        <w:instrText xml:space="preserve"> HYPERLINK "http://www.regulations.gov/search/Regs/home.html" \l "home" </w:instrText>
      </w:r>
      <w:r>
        <w:fldChar w:fldCharType="separate"/>
      </w:r>
      <w:r>
        <w:rPr>
          <w:rStyle w:val="21"/>
          <w:rFonts w:ascii="Arial" w:hAnsi="Arial" w:eastAsia="宋体" w:cs="Arial"/>
          <w:snapToGrid w:val="0"/>
          <w:sz w:val="21"/>
          <w:szCs w:val="21"/>
        </w:rPr>
        <w:t>http://www.regulations.gov/search/Regs/home.html#home</w:t>
      </w:r>
      <w:r>
        <w:rPr>
          <w:rStyle w:val="21"/>
          <w:rFonts w:ascii="Arial" w:hAnsi="Arial" w:eastAsia="宋体" w:cs="Arial"/>
          <w:snapToGrid w:val="0"/>
          <w:sz w:val="21"/>
          <w:szCs w:val="21"/>
        </w:rPr>
        <w:fldChar w:fldCharType="end"/>
      </w:r>
      <w:r>
        <w:rPr>
          <w:rFonts w:ascii="Arial" w:hAnsi="Arial" w:eastAsia="宋体" w:cs="Arial"/>
          <w:snapToGrid w:val="0"/>
          <w:sz w:val="21"/>
          <w:szCs w:val="21"/>
        </w:rPr>
        <w:t>。）</w:t>
      </w:r>
    </w:p>
  </w:footnote>
  <w:footnote w:id="5">
    <w:p w14:paraId="566DD362">
      <w:pPr>
        <w:pStyle w:val="15"/>
        <w:wordWrap w:val="0"/>
        <w:spacing w:line="300" w:lineRule="auto"/>
        <w:jc w:val="both"/>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卫生与人类服务署署长宣布，如果（a）负责审查、批准以及持续审查研究活动的IRB已经批准了该活动和知情同意豁免，并确定和确认（1）研究活动符合FDA编入21 CFR第50部分的法规，并将根据FDA研究性新药申请（IND）或FDA研究性器械豁免（IDE）进行，且其申请已经明确声明，研究方案将入选无法同意的受试者，</w:t>
      </w:r>
      <w:r>
        <w:rPr>
          <w:rFonts w:ascii="Arial" w:hAnsi="Arial" w:eastAsia="宋体" w:cs="Arial"/>
          <w:snapToGrid w:val="0"/>
          <w:sz w:val="24"/>
          <w:szCs w:val="24"/>
        </w:rPr>
        <w:t>以及（2）已满足21 CFR 50.24中详细描述的，有关紧急研究豁免知情同意的要求；或（b）负责审查、批准以及持续审查研究的IRB</w:t>
      </w:r>
      <w:r>
        <w:rPr>
          <w:rFonts w:ascii="Arial" w:hAnsi="Arial" w:eastAsia="宋体" w:cs="Arial"/>
          <w:snapToGrid w:val="0"/>
          <w:sz w:val="21"/>
          <w:szCs w:val="21"/>
        </w:rPr>
        <w:t>已经批准了研究和知情同意豁免，并已确定和</w:t>
      </w:r>
      <w:r>
        <w:rPr>
          <w:rFonts w:hint="eastAsia" w:ascii="Arial" w:hAnsi="Arial" w:eastAsia="宋体" w:cs="Arial"/>
          <w:snapToGrid w:val="0"/>
          <w:sz w:val="21"/>
          <w:szCs w:val="21"/>
        </w:rPr>
        <w:t>确认，</w:t>
      </w:r>
      <w:r>
        <w:rPr>
          <w:rFonts w:ascii="Arial" w:hAnsi="Arial" w:eastAsia="宋体" w:cs="Arial"/>
          <w:snapToGrid w:val="0"/>
          <w:sz w:val="21"/>
          <w:szCs w:val="21"/>
        </w:rPr>
        <w:t>该研究不符合FDA编入21 CFR第50部分的法规，以及确定和</w:t>
      </w:r>
      <w:r>
        <w:rPr>
          <w:rFonts w:hint="eastAsia" w:ascii="Arial" w:hAnsi="Arial" w:eastAsia="宋体" w:cs="Arial"/>
          <w:snapToGrid w:val="0"/>
          <w:sz w:val="21"/>
          <w:szCs w:val="21"/>
        </w:rPr>
        <w:t>确认</w:t>
      </w:r>
      <w:r>
        <w:rPr>
          <w:rFonts w:ascii="Arial" w:hAnsi="Arial" w:eastAsia="宋体" w:cs="Arial"/>
          <w:snapToGrid w:val="0"/>
          <w:sz w:val="21"/>
          <w:szCs w:val="21"/>
        </w:rPr>
        <w:t xml:space="preserve">并报告，署长豁免文档所载紧急研究条件已经得到满足，紧急研究可以豁免45 CFR 46.116（a）和（b）中知情同意的一般要求。 [61 Fed.Reg. </w:t>
      </w:r>
      <w:r>
        <w:fldChar w:fldCharType="begin"/>
      </w:r>
      <w:r>
        <w:instrText xml:space="preserve"> HYPERLINK "http://www.hhs.gov/ohrp/documents/100296.pdf" \h </w:instrText>
      </w:r>
      <w:r>
        <w:fldChar w:fldCharType="separate"/>
      </w:r>
      <w:r>
        <w:rPr>
          <w:rFonts w:ascii="Arial" w:hAnsi="Arial" w:eastAsia="宋体" w:cs="Arial"/>
          <w:snapToGrid w:val="0"/>
          <w:sz w:val="21"/>
          <w:szCs w:val="21"/>
        </w:rPr>
        <w:t>www.hhs.gov/ohrp/documents/100296.pdf</w:t>
      </w:r>
      <w:r>
        <w:rPr>
          <w:rFonts w:ascii="Arial" w:hAnsi="Arial" w:eastAsia="宋体" w:cs="Arial"/>
          <w:snapToGrid w:val="0"/>
          <w:sz w:val="21"/>
          <w:szCs w:val="21"/>
        </w:rPr>
        <w:fldChar w:fldCharType="end"/>
      </w:r>
      <w:r>
        <w:rPr>
          <w:rFonts w:ascii="Arial" w:hAnsi="Arial" w:eastAsia="宋体" w:cs="Arial"/>
          <w:snapToGrid w:val="0"/>
          <w:sz w:val="21"/>
          <w:szCs w:val="21"/>
        </w:rPr>
        <w:t>]</w:t>
      </w:r>
    </w:p>
  </w:footnote>
  <w:footnote w:id="6">
    <w:p w14:paraId="73DD2A62">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61 Fed.Reg. 51531</w:t>
      </w:r>
    </w:p>
  </w:footnote>
  <w:footnote w:id="7">
    <w:p w14:paraId="7E46A45C">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61 Fed.Reg. 51502（1996年10月2日，评论编号：10）</w:t>
      </w:r>
    </w:p>
  </w:footnote>
  <w:footnote w:id="8">
    <w:p w14:paraId="683F678F">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312.2 (b）（6）和312.20（c）；21 CFR 812.20 (a）（1）。如果有关于是否需要提交IND或IDE的问题，申办方应联系FDA。联系方式见第XII节“更多信息”。</w:t>
      </w:r>
    </w:p>
  </w:footnote>
  <w:footnote w:id="9">
    <w:p w14:paraId="09E41800">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312.20（c）；21 CFR 812.20（a）（4）（i）</w:t>
      </w:r>
    </w:p>
  </w:footnote>
  <w:footnote w:id="10">
    <w:p w14:paraId="50A1B8C1">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56.103 （a）；21 CFR 50.24</w:t>
      </w:r>
    </w:p>
  </w:footnote>
  <w:footnote w:id="11">
    <w:p w14:paraId="418F45D5">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312.20（c）</w:t>
      </w:r>
    </w:p>
  </w:footnote>
  <w:footnote w:id="12">
    <w:p w14:paraId="161EAE05">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312.20（c）</w:t>
      </w:r>
    </w:p>
  </w:footnote>
  <w:footnote w:id="13">
    <w:p w14:paraId="31E00E46">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56.103 （a）；21 CFR 50.24</w:t>
      </w:r>
    </w:p>
  </w:footnote>
  <w:footnote w:id="14">
    <w:p w14:paraId="69ECCF5D">
      <w:pPr>
        <w:pStyle w:val="15"/>
        <w:wordWrap w:val="0"/>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"http://www.fda.gov/MedicalDevices/DeviceRegulationandGuidance/GuidanceDocuments/ucm081405.htm" \h </w:instrText>
      </w:r>
      <w:r>
        <w:fldChar w:fldCharType="separate"/>
      </w:r>
      <w:r>
        <w:rPr>
          <w:rFonts w:ascii="Arial" w:hAnsi="Arial" w:eastAsia="宋体" w:cs="Arial"/>
          <w:snapToGrid w:val="0"/>
          <w:color w:val="0000FF"/>
          <w:sz w:val="21"/>
          <w:szCs w:val="21"/>
          <w:u w:val="single" w:color="0000FF"/>
        </w:rPr>
        <w:t>http://www.fda.gov/MedicalDevices/DeviceRegulationandGuidance/GuidanceDocuments/ucm081405.htm</w:t>
      </w:r>
      <w:r>
        <w:rPr>
          <w:rFonts w:ascii="Arial" w:hAnsi="Arial" w:eastAsia="宋体" w:cs="Arial"/>
          <w:snapToGrid w:val="0"/>
          <w:color w:val="0000FF"/>
          <w:sz w:val="21"/>
          <w:szCs w:val="21"/>
          <w:u w:val="single" w:color="0000FF"/>
        </w:rPr>
        <w:fldChar w:fldCharType="end"/>
      </w:r>
    </w:p>
  </w:footnote>
  <w:footnote w:id="15">
    <w:p w14:paraId="446DC5DD">
      <w:pPr>
        <w:pStyle w:val="15"/>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812.20（a）（4）（i）；21 CFR 56.103（a）；21 CFR 50.24</w:t>
      </w:r>
    </w:p>
  </w:footnote>
  <w:footnote w:id="16">
    <w:p w14:paraId="4805A281">
      <w:pPr>
        <w:topLinePunct/>
        <w:adjustRightInd w:val="0"/>
        <w:snapToGrid w:val="0"/>
        <w:spacing w:line="300" w:lineRule="auto"/>
        <w:jc w:val="both"/>
        <w:rPr>
          <w:rFonts w:ascii="Arial" w:hAnsi="Arial" w:eastAsia="宋体" w:cs="Arial"/>
          <w:snapToGrid w:val="0"/>
          <w:sz w:val="21"/>
          <w:szCs w:val="21"/>
        </w:rPr>
      </w:pPr>
      <w:r>
        <w:rPr>
          <w:rStyle w:val="22"/>
          <w:rFonts w:ascii="Arial" w:hAnsi="Arial" w:cs="Arial"/>
          <w:sz w:val="21"/>
          <w:szCs w:val="21"/>
        </w:rPr>
        <w:footnoteRef/>
      </w:r>
      <w:r>
        <w:rPr>
          <w:rFonts w:ascii="Arial" w:hAnsi="Arial" w:eastAsia="宋体" w:cs="Arial"/>
          <w:snapToGrid w:val="0"/>
          <w:sz w:val="21"/>
          <w:szCs w:val="21"/>
        </w:rPr>
        <w:t>根据FDA的法规，术语</w:t>
      </w:r>
      <w:r>
        <w:rPr>
          <w:rFonts w:ascii="宋体" w:hAnsi="宋体" w:eastAsia="宋体" w:cs="Arial"/>
          <w:snapToGrid w:val="0"/>
          <w:sz w:val="21"/>
          <w:szCs w:val="21"/>
        </w:rPr>
        <w:t>“合</w:t>
      </w:r>
      <w:r>
        <w:rPr>
          <w:rFonts w:ascii="Arial" w:hAnsi="Arial" w:eastAsia="宋体" w:cs="Arial"/>
          <w:snapToGrid w:val="0"/>
          <w:sz w:val="21"/>
          <w:szCs w:val="21"/>
        </w:rPr>
        <w:t>法授权</w:t>
      </w:r>
      <w:r>
        <w:rPr>
          <w:rFonts w:ascii="宋体" w:hAnsi="宋体" w:eastAsia="宋体" w:cs="Arial"/>
          <w:snapToGrid w:val="0"/>
          <w:sz w:val="21"/>
          <w:szCs w:val="21"/>
        </w:rPr>
        <w:t>代表”是指“根</w:t>
      </w:r>
      <w:r>
        <w:rPr>
          <w:rFonts w:ascii="Arial" w:hAnsi="Arial" w:eastAsia="宋体" w:cs="Arial"/>
          <w:snapToGrid w:val="0"/>
          <w:sz w:val="21"/>
          <w:szCs w:val="21"/>
        </w:rPr>
        <w:t>据适用法律授权，代表潜在受试者同意参与研究程序的个体或司法或其他机</w:t>
      </w:r>
      <w:r>
        <w:rPr>
          <w:rFonts w:ascii="宋体" w:hAnsi="宋体" w:eastAsia="宋体" w:cs="Arial"/>
          <w:snapToGrid w:val="0"/>
          <w:sz w:val="21"/>
          <w:szCs w:val="21"/>
        </w:rPr>
        <w:t>构。”</w:t>
      </w:r>
      <w:r>
        <w:rPr>
          <w:rFonts w:ascii="Arial" w:hAnsi="Arial" w:eastAsia="宋体" w:cs="Arial"/>
          <w:snapToGrid w:val="0"/>
          <w:sz w:val="21"/>
          <w:szCs w:val="21"/>
        </w:rPr>
        <w:t>ICH E6对术语“法定代表”的定义与上述基本相同。请参见ICH E6，1.37</w:t>
      </w:r>
    </w:p>
    <w:p w14:paraId="1E401A49">
      <w:pPr>
        <w:pStyle w:val="15"/>
        <w:spacing w:line="300" w:lineRule="auto"/>
        <w:jc w:val="both"/>
        <w:rPr>
          <w:rFonts w:ascii="Arial" w:hAnsi="Arial" w:cs="Arial"/>
          <w:sz w:val="21"/>
          <w:szCs w:val="21"/>
        </w:rPr>
      </w:pPr>
      <w:r>
        <w:fldChar w:fldCharType="begin"/>
      </w:r>
      <w:r>
        <w:instrText xml:space="preserve"> HYPERLINK "http://www.fda.gov/downloads/Drugs/GuidanceComplianceRegulatoryInformation/Guidances/ucm073122.pdf)" \h </w:instrText>
      </w:r>
      <w:r>
        <w:fldChar w:fldCharType="separate"/>
      </w:r>
      <w:r>
        <w:rPr>
          <w:rFonts w:ascii="Arial" w:hAnsi="Arial" w:eastAsia="宋体" w:cs="Arial"/>
          <w:snapToGrid w:val="0"/>
          <w:sz w:val="21"/>
          <w:szCs w:val="21"/>
        </w:rPr>
        <w:t>http://www.fda.gov/downloads/Drugs/GuidanceComplianceRegulatoryInformation/Guidances/ucm073122.pdf）.</w:t>
      </w:r>
      <w:r>
        <w:rPr>
          <w:rFonts w:ascii="Arial" w:hAnsi="Arial" w:eastAsia="宋体" w:cs="Arial"/>
          <w:snapToGrid w:val="0"/>
          <w:sz w:val="21"/>
          <w:szCs w:val="21"/>
        </w:rPr>
        <w:fldChar w:fldCharType="end"/>
      </w:r>
    </w:p>
  </w:footnote>
  <w:footnote w:id="17">
    <w:p w14:paraId="5F885D6B">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"http://frwebgate.access.gpo.gov/cgi-bin/getdoc.cgi?dbname=110_cong_public_laws&amp;amp;docid=f:publ085.110.pdf" \h </w:instrText>
      </w:r>
      <w:r>
        <w:fldChar w:fldCharType="separate"/>
      </w:r>
      <w:r>
        <w:rPr>
          <w:rFonts w:ascii="Arial" w:hAnsi="Arial" w:eastAsia="宋体" w:cs="Arial"/>
          <w:snapToGrid w:val="0"/>
          <w:sz w:val="21"/>
          <w:szCs w:val="21"/>
          <w:u w:val="single" w:color="000000"/>
        </w:rPr>
        <w:t>美国公法110-85</w:t>
      </w:r>
      <w:r>
        <w:rPr>
          <w:rFonts w:ascii="Arial" w:hAnsi="Arial" w:eastAsia="宋体" w:cs="Arial"/>
          <w:snapToGrid w:val="0"/>
          <w:sz w:val="21"/>
          <w:szCs w:val="21"/>
          <w:u w:val="single" w:color="000000"/>
        </w:rPr>
        <w:fldChar w:fldCharType="end"/>
      </w:r>
    </w:p>
  </w:footnote>
  <w:footnote w:id="18">
    <w:p w14:paraId="4B40CB4B">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"http://clinicaltrials.gov/" \h </w:instrText>
      </w:r>
      <w:r>
        <w:fldChar w:fldCharType="separate"/>
      </w:r>
      <w:r>
        <w:rPr>
          <w:rFonts w:ascii="Arial" w:hAnsi="Arial" w:eastAsia="宋体" w:cs="Arial"/>
          <w:snapToGrid w:val="0"/>
          <w:sz w:val="21"/>
          <w:szCs w:val="21"/>
        </w:rPr>
        <w:t>http://clinicaltrials.gov／</w:t>
      </w:r>
      <w:r>
        <w:rPr>
          <w:rFonts w:ascii="Arial" w:hAnsi="Arial" w:eastAsia="宋体" w:cs="Arial"/>
          <w:snapToGrid w:val="0"/>
          <w:sz w:val="21"/>
          <w:szCs w:val="21"/>
        </w:rPr>
        <w:fldChar w:fldCharType="end"/>
      </w:r>
    </w:p>
  </w:footnote>
  <w:footnote w:id="19">
    <w:p w14:paraId="2833347B">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"http://grants.nih.gov/ClinicalTrials_fdaaa/definitions.htm" \h </w:instrText>
      </w:r>
      <w:r>
        <w:fldChar w:fldCharType="separate"/>
      </w:r>
      <w:r>
        <w:rPr>
          <w:rFonts w:ascii="Arial" w:hAnsi="Arial" w:eastAsia="宋体" w:cs="Arial"/>
          <w:snapToGrid w:val="0"/>
          <w:color w:val="0000FF"/>
          <w:sz w:val="21"/>
          <w:szCs w:val="21"/>
          <w:u w:val="single" w:color="0000FF"/>
        </w:rPr>
        <w:t>http://grants.nih.gov/ClinicalTrials_fdaaa/definitions.htm</w:t>
      </w:r>
      <w:r>
        <w:rPr>
          <w:rFonts w:ascii="Arial" w:hAnsi="Arial" w:eastAsia="宋体" w:cs="Arial"/>
          <w:snapToGrid w:val="0"/>
          <w:color w:val="0000FF"/>
          <w:sz w:val="21"/>
          <w:szCs w:val="21"/>
          <w:u w:val="single" w:color="0000FF"/>
        </w:rPr>
        <w:fldChar w:fldCharType="end"/>
      </w:r>
    </w:p>
  </w:footnote>
  <w:footnote w:id="20">
    <w:p w14:paraId="3CC558A8">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"http://prsinfo.clinicaltrials.gov/fdaaa.html" \h </w:instrText>
      </w:r>
      <w:r>
        <w:fldChar w:fldCharType="separate"/>
      </w:r>
      <w:r>
        <w:rPr>
          <w:rFonts w:ascii="Arial" w:hAnsi="Arial" w:eastAsia="宋体" w:cs="Arial"/>
          <w:snapToGrid w:val="0"/>
          <w:color w:val="0000FF"/>
          <w:sz w:val="21"/>
          <w:szCs w:val="21"/>
          <w:u w:val="single" w:color="0000FF"/>
        </w:rPr>
        <w:t>http://prsinfo.clinicaltrials.gov/fdaaa.html</w:t>
      </w:r>
      <w:r>
        <w:rPr>
          <w:rFonts w:ascii="Arial" w:hAnsi="Arial" w:eastAsia="宋体" w:cs="Arial"/>
          <w:snapToGrid w:val="0"/>
          <w:color w:val="0000FF"/>
          <w:sz w:val="21"/>
          <w:szCs w:val="21"/>
          <w:u w:val="single" w:color="0000FF"/>
        </w:rPr>
        <w:fldChar w:fldCharType="end"/>
      </w:r>
    </w:p>
  </w:footnote>
  <w:footnote w:id="21">
    <w:p w14:paraId="36D47819">
      <w:pPr>
        <w:pStyle w:val="15"/>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61 Fed.Reg. 51508（评论编号：38）</w:t>
      </w:r>
    </w:p>
  </w:footnote>
  <w:footnote w:id="22">
    <w:p w14:paraId="06DD087E">
      <w:pPr>
        <w:pStyle w:val="15"/>
        <w:rPr>
          <w:sz w:val="21"/>
          <w:szCs w:val="21"/>
        </w:rPr>
      </w:pPr>
      <w:r>
        <w:rPr>
          <w:rStyle w:val="22"/>
          <w:rFonts w:ascii="Arial" w:hAnsi="Arial" w:cs="Arial"/>
          <w:sz w:val="21"/>
          <w:szCs w:val="21"/>
        </w:rPr>
        <w:footnoteRef/>
      </w:r>
      <w:r>
        <w:rPr>
          <w:rFonts w:ascii="Arial" w:hAnsi="Arial" w:eastAsia="宋体" w:cs="Arial"/>
          <w:snapToGrid w:val="0"/>
          <w:sz w:val="21"/>
          <w:szCs w:val="21"/>
        </w:rPr>
        <w:t>请参见CBER和CDER于2004年7月发布的</w:t>
      </w:r>
      <w:r>
        <w:rPr>
          <w:rFonts w:ascii="宋体" w:hAnsi="宋体" w:eastAsia="宋体" w:cs="Arial"/>
          <w:snapToGrid w:val="0"/>
          <w:sz w:val="21"/>
          <w:szCs w:val="21"/>
        </w:rPr>
        <w:t>“</w:t>
      </w:r>
      <w:r>
        <w:rPr>
          <w:rFonts w:ascii="Arial" w:hAnsi="Arial" w:eastAsia="宋体" w:cs="Arial"/>
          <w:snapToGrid w:val="0"/>
          <w:sz w:val="21"/>
          <w:szCs w:val="21"/>
        </w:rPr>
        <w:t>行业指南</w:t>
      </w:r>
      <w:r>
        <w:rPr>
          <w:rFonts w:ascii="宋体" w:hAnsi="宋体" w:eastAsia="宋体" w:cs="Arial"/>
          <w:snapToGrid w:val="0"/>
          <w:sz w:val="21"/>
          <w:szCs w:val="21"/>
        </w:rPr>
        <w:t>”</w:t>
      </w:r>
      <w:r>
        <w:rPr>
          <w:rFonts w:ascii="Arial" w:hAnsi="Arial" w:eastAsia="宋体" w:cs="Arial"/>
          <w:snapToGrid w:val="0"/>
          <w:sz w:val="21"/>
          <w:szCs w:val="21"/>
        </w:rPr>
        <w:t>，</w:t>
      </w:r>
      <w:r>
        <w:rPr>
          <w:rFonts w:ascii="宋体" w:hAnsi="宋体" w:eastAsia="宋体" w:cs="Arial"/>
          <w:snapToGrid w:val="0"/>
          <w:sz w:val="21"/>
          <w:szCs w:val="21"/>
        </w:rPr>
        <w:t>“</w:t>
      </w:r>
      <w:r>
        <w:rPr>
          <w:rFonts w:ascii="Arial" w:hAnsi="Arial" w:eastAsia="宋体" w:cs="Arial"/>
          <w:snapToGrid w:val="0"/>
          <w:sz w:val="21"/>
          <w:szCs w:val="21"/>
        </w:rPr>
        <w:t>可用疗法</w:t>
      </w:r>
      <w:r>
        <w:rPr>
          <w:rFonts w:ascii="宋体" w:hAnsi="宋体" w:eastAsia="宋体" w:cs="Arial"/>
          <w:snapToGrid w:val="0"/>
          <w:sz w:val="21"/>
          <w:szCs w:val="21"/>
        </w:rPr>
        <w:t>”</w:t>
      </w:r>
      <w:r>
        <w:rPr>
          <w:rFonts w:ascii="Arial" w:hAnsi="Arial" w:eastAsia="宋体" w:cs="Arial"/>
          <w:snapToGrid w:val="0"/>
          <w:sz w:val="21"/>
          <w:szCs w:val="21"/>
        </w:rPr>
        <w:t>（</w:t>
      </w:r>
      <w:r>
        <w:fldChar w:fldCharType="begin"/>
      </w:r>
      <w:r>
        <w:instrText xml:space="preserve"> HYPERLINK "http://www.fda.gov/downloads/RegulatoryInformation/Guidances/ucm126637.pdf" \h </w:instrText>
      </w:r>
      <w:r>
        <w:fldChar w:fldCharType="separate"/>
      </w:r>
      <w:r>
        <w:rPr>
          <w:rFonts w:ascii="Arial" w:hAnsi="Arial" w:eastAsia="宋体" w:cs="Arial"/>
          <w:snapToGrid w:val="0"/>
          <w:color w:val="0000FF"/>
          <w:sz w:val="21"/>
          <w:szCs w:val="21"/>
          <w:u w:val="single" w:color="0000FF"/>
        </w:rPr>
        <w:t xml:space="preserve">http://www.fda.gov/downloads/RegulatoryInformation/Guidances/ucm126637.pdf </w:t>
      </w:r>
      <w:r>
        <w:rPr>
          <w:rFonts w:ascii="Arial" w:hAnsi="Arial" w:eastAsia="宋体" w:cs="Arial"/>
          <w:snapToGrid w:val="0"/>
          <w:color w:val="0000FF"/>
          <w:sz w:val="21"/>
          <w:szCs w:val="21"/>
          <w:u w:val="single" w:color="0000FF"/>
        </w:rPr>
        <w:fldChar w:fldCharType="end"/>
      </w:r>
      <w:r>
        <w:rPr>
          <w:rFonts w:ascii="Arial" w:hAnsi="Arial" w:eastAsia="宋体" w:cs="Arial"/>
          <w:snapToGrid w:val="0"/>
          <w:sz w:val="21"/>
          <w:szCs w:val="21"/>
        </w:rPr>
        <w:t>）</w:t>
      </w:r>
    </w:p>
  </w:footnote>
  <w:footnote w:id="23">
    <w:p w14:paraId="1F3CF89A">
      <w:pPr>
        <w:pStyle w:val="15"/>
        <w:rPr>
          <w:sz w:val="21"/>
          <w:szCs w:val="21"/>
        </w:rPr>
      </w:pPr>
      <w:r>
        <w:rPr>
          <w:rStyle w:val="22"/>
          <w:rFonts w:ascii="Arial" w:hAnsi="Arial" w:cs="Arial"/>
          <w:sz w:val="21"/>
          <w:szCs w:val="21"/>
        </w:rPr>
        <w:footnoteRef/>
      </w:r>
      <w:r>
        <w:rPr>
          <w:sz w:val="21"/>
          <w:szCs w:val="21"/>
        </w:rPr>
        <w:t xml:space="preserve"> </w:t>
      </w:r>
      <w:r>
        <w:fldChar w:fldCharType="begin"/>
      </w:r>
      <w:r>
        <w:instrText xml:space="preserve"> HYPERLINK "http://www.fda.gov/downloads/RegulatoryInformation/Guidances/ucm125912.pdf" \h </w:instrText>
      </w:r>
      <w:r>
        <w:fldChar w:fldCharType="separate"/>
      </w:r>
      <w:r>
        <w:rPr>
          <w:rFonts w:ascii="Arial" w:hAnsi="Arial" w:eastAsia="宋体" w:cs="Arial"/>
          <w:snapToGrid w:val="0"/>
          <w:sz w:val="21"/>
          <w:szCs w:val="21"/>
        </w:rPr>
        <w:t>www.fda.gov/downloads/RegulatoryInformation/Guidances/ucm125912.pdf</w:t>
      </w:r>
      <w:r>
        <w:rPr>
          <w:rFonts w:ascii="Arial" w:hAnsi="Arial" w:eastAsia="宋体" w:cs="Arial"/>
          <w:snapToGrid w:val="0"/>
          <w:sz w:val="21"/>
          <w:szCs w:val="21"/>
        </w:rPr>
        <w:fldChar w:fldCharType="end"/>
      </w:r>
    </w:p>
  </w:footnote>
  <w:footnote w:id="24">
    <w:p w14:paraId="3E00FF83">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50.52适用于涉及中等风险的儿科研究。由于根据21 CFR 50.24进行的紧急研究涉及中等风险，21 CFR 50.51将不适用于此类研究。21 CFR 50.53适用于涉及中等风险，但可能无法提供直接收益的儿科研究；由于21 CFR 50.24要求研究应可提供直接收益，因此根据21 CFR 50.53进行的研究将不符合21 CFR 50.24的要求。</w:t>
      </w:r>
    </w:p>
  </w:footnote>
  <w:footnote w:id="25">
    <w:p w14:paraId="1223EDB1">
      <w:pPr>
        <w:pStyle w:val="15"/>
        <w:spacing w:line="300" w:lineRule="auto"/>
        <w:jc w:val="both"/>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请参见临床研究者、机构审查委员会和申办方指南：根据21 CFR 50.54处理给FDA的转介的程序（</w:t>
      </w:r>
      <w:r>
        <w:fldChar w:fldCharType="begin"/>
      </w:r>
      <w:r>
        <w:instrText xml:space="preserve"> HYPERLINK "http://www.fda.gov/downloads/RegulatoryInformation/Guidances/UCM126577.pdf" \h </w:instrText>
      </w:r>
      <w:r>
        <w:fldChar w:fldCharType="separate"/>
      </w:r>
      <w:r>
        <w:rPr>
          <w:rFonts w:ascii="Arial" w:hAnsi="Arial" w:eastAsia="宋体" w:cs="Arial"/>
          <w:snapToGrid w:val="0"/>
          <w:sz w:val="21"/>
          <w:szCs w:val="21"/>
        </w:rPr>
        <w:t>http://www.fda.gov/downloads/RegulatoryInformation/Guidances/UCM126577.pdf</w:t>
      </w:r>
      <w:r>
        <w:rPr>
          <w:rFonts w:ascii="Arial" w:hAnsi="Arial" w:eastAsia="宋体" w:cs="Arial"/>
          <w:snapToGrid w:val="0"/>
          <w:sz w:val="21"/>
          <w:szCs w:val="21"/>
        </w:rPr>
        <w:fldChar w:fldCharType="end"/>
      </w:r>
      <w:r>
        <w:rPr>
          <w:rFonts w:ascii="Arial" w:hAnsi="Arial" w:eastAsia="宋体" w:cs="Arial"/>
          <w:snapToGrid w:val="0"/>
          <w:sz w:val="21"/>
          <w:szCs w:val="21"/>
        </w:rPr>
        <w:t>）.</w:t>
      </w:r>
    </w:p>
  </w:footnote>
  <w:footnote w:id="26">
    <w:p w14:paraId="03F40BAB">
      <w:pPr>
        <w:pStyle w:val="15"/>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请参见联邦食品、药品和化妆品法，第505（b）（5）（B）和（C）条；行业指南：特殊试验方案评估（</w:t>
      </w:r>
      <w:r>
        <w:fldChar w:fldCharType="begin"/>
      </w:r>
      <w:r>
        <w:instrText xml:space="preserve"> HYPERLINK "http://www.fda.gov/downloads/Drugs/GuidanceComplianceRegulatoryInformation/Guidances/UCM080571.pdf" \h </w:instrText>
      </w:r>
      <w:r>
        <w:fldChar w:fldCharType="separate"/>
      </w:r>
      <w:r>
        <w:rPr>
          <w:rFonts w:ascii="Arial" w:hAnsi="Arial" w:eastAsia="宋体" w:cs="Arial"/>
          <w:snapToGrid w:val="0"/>
          <w:color w:val="0000FF"/>
          <w:sz w:val="21"/>
          <w:szCs w:val="21"/>
          <w:u w:val="single" w:color="0000FF"/>
        </w:rPr>
        <w:t>http://www.fda.gov/downloads/Drugs/GuidanceComplianceRegulatoryInformation/Guidances/UCM080571.pdf</w:t>
      </w:r>
      <w:r>
        <w:rPr>
          <w:rFonts w:ascii="Arial" w:hAnsi="Arial" w:eastAsia="宋体" w:cs="Arial"/>
          <w:snapToGrid w:val="0"/>
          <w:color w:val="0000FF"/>
          <w:sz w:val="21"/>
          <w:szCs w:val="21"/>
          <w:u w:val="single" w:color="0000FF"/>
        </w:rPr>
        <w:fldChar w:fldCharType="end"/>
      </w:r>
      <w:r>
        <w:rPr>
          <w:rFonts w:ascii="Arial" w:hAnsi="Arial" w:eastAsia="宋体" w:cs="Arial"/>
          <w:snapToGrid w:val="0"/>
          <w:sz w:val="21"/>
          <w:szCs w:val="21"/>
        </w:rPr>
        <w:t>）.</w:t>
      </w:r>
    </w:p>
  </w:footnote>
  <w:footnote w:id="27">
    <w:p w14:paraId="3035A2A6">
      <w:pPr>
        <w:pStyle w:val="15"/>
        <w:wordWrap w:val="0"/>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"http://www.fda.gov/MedicalDevices/DeviceRegulationandGuidance/GuidanceDocuments/ucm073604.htm" \h </w:instrText>
      </w:r>
      <w:r>
        <w:fldChar w:fldCharType="separate"/>
      </w:r>
      <w:r>
        <w:rPr>
          <w:rFonts w:ascii="Arial" w:hAnsi="Arial" w:eastAsia="宋体" w:cs="Arial"/>
          <w:snapToGrid w:val="0"/>
          <w:sz w:val="21"/>
          <w:szCs w:val="21"/>
        </w:rPr>
        <w:t>http://www.fda.gov/MedicalDevices/DeviceRegulationandGuidance/GuidanceDocuments/ucm073604.htm</w:t>
      </w:r>
      <w:r>
        <w:rPr>
          <w:rFonts w:ascii="Arial" w:hAnsi="Arial" w:eastAsia="宋体" w:cs="Arial"/>
          <w:snapToGrid w:val="0"/>
          <w:sz w:val="21"/>
          <w:szCs w:val="21"/>
        </w:rPr>
        <w:fldChar w:fldCharType="end"/>
      </w:r>
    </w:p>
  </w:footnote>
  <w:footnote w:id="28">
    <w:p w14:paraId="39D43EE9">
      <w:pPr>
        <w:pStyle w:val="15"/>
        <w:spacing w:line="300" w:lineRule="auto"/>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召集IRB的决定必须记录在IRB的书面会议记录（21 CFR 56.115（a）（2））中。</w:t>
      </w:r>
    </w:p>
  </w:footnote>
  <w:footnote w:id="29">
    <w:p w14:paraId="4784D686">
      <w:pPr>
        <w:pStyle w:val="15"/>
        <w:spacing w:line="300" w:lineRule="auto"/>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Fed.Reg. 61 51514,（评论编号：60）</w:t>
      </w:r>
    </w:p>
  </w:footnote>
  <w:footnote w:id="30">
    <w:p w14:paraId="24436C1B">
      <w:pPr>
        <w:pStyle w:val="15"/>
        <w:spacing w:line="300" w:lineRule="auto"/>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本规定的一些活动是紧急研究所特有</w:t>
      </w:r>
      <w:r>
        <w:rPr>
          <w:rFonts w:hint="eastAsia" w:ascii="Arial" w:hAnsi="Arial" w:eastAsia="宋体" w:cs="Arial"/>
          <w:snapToGrid w:val="0"/>
          <w:sz w:val="21"/>
          <w:szCs w:val="21"/>
        </w:rPr>
        <w:t>的</w:t>
      </w:r>
      <w:r>
        <w:rPr>
          <w:rFonts w:ascii="Arial" w:hAnsi="Arial" w:eastAsia="宋体" w:cs="Arial"/>
          <w:snapToGrid w:val="0"/>
          <w:sz w:val="21"/>
          <w:szCs w:val="21"/>
        </w:rPr>
        <w:t>；此类活动的发生顺序未在法规中规定，可能会有所不同。</w:t>
      </w:r>
    </w:p>
  </w:footnote>
  <w:footnote w:id="31">
    <w:p w14:paraId="64E59777">
      <w:pPr>
        <w:pStyle w:val="15"/>
        <w:spacing w:line="300" w:lineRule="auto"/>
      </w:pPr>
      <w:r>
        <w:rPr>
          <w:rStyle w:val="22"/>
          <w:rFonts w:ascii="Arial" w:hAnsi="Arial" w:cs="Arial"/>
          <w:sz w:val="21"/>
          <w:szCs w:val="21"/>
        </w:rPr>
        <w:footnoteRef/>
      </w:r>
      <w:r>
        <w:rPr>
          <w:rFonts w:ascii="Arial" w:hAnsi="Arial" w:eastAsia="宋体" w:cs="Arial"/>
          <w:snapToGrid w:val="0"/>
          <w:sz w:val="21"/>
          <w:szCs w:val="21"/>
        </w:rPr>
        <w:t>请参</w:t>
      </w:r>
      <w:r>
        <w:rPr>
          <w:rFonts w:ascii="宋体" w:hAnsi="宋体" w:eastAsia="宋体" w:cs="Arial"/>
          <w:snapToGrid w:val="0"/>
          <w:sz w:val="21"/>
          <w:szCs w:val="21"/>
        </w:rPr>
        <w:t>见“临床</w:t>
      </w:r>
      <w:r>
        <w:rPr>
          <w:rFonts w:ascii="Arial" w:hAnsi="Arial" w:eastAsia="宋体" w:cs="Arial"/>
          <w:snapToGrid w:val="0"/>
          <w:sz w:val="21"/>
          <w:szCs w:val="21"/>
        </w:rPr>
        <w:t>试验申办方指南：临床试验数据监测委员会的建立和运</w:t>
      </w:r>
      <w:r>
        <w:rPr>
          <w:rFonts w:ascii="宋体" w:hAnsi="宋体" w:eastAsia="宋体" w:cs="Arial"/>
          <w:snapToGrid w:val="0"/>
          <w:sz w:val="21"/>
          <w:szCs w:val="21"/>
        </w:rPr>
        <w:t>作”</w:t>
      </w:r>
      <w:r>
        <w:fldChar w:fldCharType="begin"/>
      </w:r>
      <w:r>
        <w:instrText xml:space="preserve"> HYPERLINK "http://www.fda.gov/downloads/RegulatoryInformation/Guidances/UCM126578.pdf)" \h </w:instrText>
      </w:r>
      <w:r>
        <w:fldChar w:fldCharType="separate"/>
      </w:r>
      <w:r>
        <w:rPr>
          <w:rFonts w:ascii="Arial" w:hAnsi="Arial" w:eastAsia="宋体" w:cs="Arial"/>
          <w:snapToGrid w:val="0"/>
          <w:sz w:val="21"/>
          <w:szCs w:val="21"/>
        </w:rPr>
        <w:t>（http://www.fda.go</w:t>
      </w:r>
      <w:r>
        <w:rPr>
          <w:rFonts w:ascii="Arial" w:hAnsi="Arial" w:eastAsia="宋体" w:cs="Arial"/>
          <w:snapToGrid w:val="0"/>
          <w:sz w:val="21"/>
          <w:szCs w:val="21"/>
        </w:rPr>
        <w:fldChar w:fldCharType="end"/>
      </w:r>
      <w:r>
        <w:rPr>
          <w:rFonts w:ascii="Arial" w:hAnsi="Arial" w:eastAsia="宋体" w:cs="Arial"/>
          <w:snapToGrid w:val="0"/>
          <w:sz w:val="21"/>
          <w:szCs w:val="21"/>
        </w:rPr>
        <w:t>v</w:t>
      </w:r>
      <w:r>
        <w:fldChar w:fldCharType="begin"/>
      </w:r>
      <w:r>
        <w:instrText xml:space="preserve"> HYPERLINK "http://www.fda.gov/downloads/RegulatoryInformation/Guidances/UCM126578.pdf)" \h </w:instrText>
      </w:r>
      <w:r>
        <w:fldChar w:fldCharType="separate"/>
      </w:r>
      <w:r>
        <w:rPr>
          <w:rFonts w:ascii="Arial" w:hAnsi="Arial" w:eastAsia="宋体" w:cs="Arial"/>
          <w:snapToGrid w:val="0"/>
          <w:sz w:val="21"/>
          <w:szCs w:val="21"/>
        </w:rPr>
        <w:t>／downloads/RegulatoryInformation/Guidances/UCM126578.pdf）.</w:t>
      </w:r>
      <w:r>
        <w:rPr>
          <w:rFonts w:ascii="Arial" w:hAnsi="Arial" w:eastAsia="宋体" w:cs="Arial"/>
          <w:snapToGrid w:val="0"/>
          <w:sz w:val="21"/>
          <w:szCs w:val="21"/>
        </w:rPr>
        <w:fldChar w:fldCharType="end"/>
      </w:r>
    </w:p>
  </w:footnote>
  <w:footnote w:id="32">
    <w:p w14:paraId="300EDFC9">
      <w:pPr>
        <w:pStyle w:val="15"/>
        <w:spacing w:line="300" w:lineRule="auto"/>
        <w:jc w:val="both"/>
        <w:rPr>
          <w:sz w:val="21"/>
          <w:szCs w:val="21"/>
        </w:rPr>
      </w:pPr>
      <w:r>
        <w:rPr>
          <w:rStyle w:val="22"/>
          <w:sz w:val="21"/>
          <w:szCs w:val="21"/>
        </w:rPr>
        <w:footnoteRef/>
      </w:r>
      <w:r>
        <w:rPr>
          <w:rFonts w:ascii="Arial" w:hAnsi="Arial" w:eastAsia="宋体" w:cs="Arial"/>
          <w:snapToGrid w:val="0"/>
          <w:sz w:val="21"/>
          <w:szCs w:val="21"/>
        </w:rPr>
        <w:t>集中式IRB审查过程可以用于多地点试验，帮助提高科学审查的效率和／或一致性，并消除重复工作。</w:t>
      </w:r>
    </w:p>
  </w:footnote>
  <w:footnote w:id="33">
    <w:p w14:paraId="797C2775">
      <w:pPr>
        <w:pStyle w:val="15"/>
        <w:spacing w:line="300" w:lineRule="auto"/>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OHRP要求在机构和IRB组织之间的书面协议中记录合作协议（即根据另一机构的IRB或独立IRB的保证进行任何指定），其中应概述其关系。此要求来自45 CFR 46.103（a）的规定，其中规定</w:t>
      </w:r>
      <w:r>
        <w:rPr>
          <w:rFonts w:ascii="宋体" w:hAnsi="宋体" w:eastAsia="宋体" w:cs="Arial"/>
          <w:snapToGrid w:val="0"/>
          <w:sz w:val="21"/>
          <w:szCs w:val="21"/>
        </w:rPr>
        <w:t>“</w:t>
      </w:r>
      <w:r>
        <w:rPr>
          <w:rFonts w:ascii="Arial" w:hAnsi="Arial" w:eastAsia="宋体" w:cs="Arial"/>
          <w:snapToGrid w:val="0"/>
          <w:sz w:val="21"/>
          <w:szCs w:val="21"/>
        </w:rPr>
        <w:t>从事本政策涵盖的研究机构...应提供部门或机构负责人满意的书面保证。</w:t>
      </w:r>
      <w:r>
        <w:rPr>
          <w:rFonts w:ascii="宋体" w:hAnsi="宋体" w:eastAsia="宋体" w:cs="Arial"/>
          <w:snapToGrid w:val="0"/>
          <w:sz w:val="21"/>
          <w:szCs w:val="21"/>
        </w:rPr>
        <w:t>”</w:t>
      </w:r>
      <w:r>
        <w:rPr>
          <w:rFonts w:ascii="Arial" w:hAnsi="Arial" w:eastAsia="宋体" w:cs="Arial"/>
          <w:snapToGrid w:val="0"/>
          <w:sz w:val="21"/>
          <w:szCs w:val="21"/>
        </w:rPr>
        <w:t>关于45 CFR 46涵盖的研究合作审查的更多信息，请参见</w:t>
      </w:r>
      <w:r>
        <w:fldChar w:fldCharType="begin"/>
      </w:r>
      <w:r>
        <w:instrText xml:space="preserve"> HYPERLINK "http://www.hhs.gov/ohrp/assurances/assurances_index.html" \h </w:instrText>
      </w:r>
      <w:r>
        <w:fldChar w:fldCharType="separate"/>
      </w:r>
      <w:r>
        <w:rPr>
          <w:rFonts w:ascii="Arial" w:hAnsi="Arial" w:eastAsia="宋体" w:cs="Arial"/>
          <w:snapToGrid w:val="0"/>
          <w:color w:val="0000FF"/>
          <w:sz w:val="21"/>
          <w:szCs w:val="21"/>
          <w:u w:val="single" w:color="0000FF"/>
        </w:rPr>
        <w:t>http://www.hhs.gov/ohrp/assurances/assurances_index.html</w:t>
      </w:r>
      <w:r>
        <w:rPr>
          <w:rFonts w:ascii="Arial" w:hAnsi="Arial" w:eastAsia="宋体" w:cs="Arial"/>
          <w:snapToGrid w:val="0"/>
          <w:color w:val="0000FF"/>
          <w:sz w:val="21"/>
          <w:szCs w:val="21"/>
          <w:u w:val="single" w:color="0000FF"/>
        </w:rPr>
        <w:fldChar w:fldCharType="end"/>
      </w:r>
      <w:r>
        <w:rPr>
          <w:rFonts w:ascii="Arial" w:hAnsi="Arial" w:eastAsia="宋体" w:cs="Arial"/>
          <w:snapToGrid w:val="0"/>
          <w:sz w:val="21"/>
          <w:szCs w:val="21"/>
        </w:rPr>
        <w:t>.</w:t>
      </w:r>
    </w:p>
  </w:footnote>
  <w:footnote w:id="34">
    <w:p w14:paraId="37FF8E61">
      <w:pPr>
        <w:pStyle w:val="15"/>
        <w:spacing w:line="300" w:lineRule="auto"/>
        <w:rPr>
          <w:sz w:val="21"/>
          <w:szCs w:val="21"/>
        </w:rPr>
      </w:pPr>
      <w:r>
        <w:rPr>
          <w:rStyle w:val="22"/>
          <w:sz w:val="21"/>
          <w:szCs w:val="21"/>
        </w:rPr>
        <w:footnoteRef/>
      </w:r>
      <w:r>
        <w:rPr>
          <w:rFonts w:ascii="Arial" w:hAnsi="Arial" w:eastAsia="宋体" w:cs="Arial"/>
          <w:snapToGrid w:val="0"/>
          <w:sz w:val="21"/>
          <w:szCs w:val="21"/>
        </w:rPr>
        <w:t>请参阅行业指南：在多中心临床试验中使用集中式IRB审查过程；</w:t>
      </w:r>
      <w:r>
        <w:fldChar w:fldCharType="begin"/>
      </w:r>
      <w:r>
        <w:instrText xml:space="preserve"> HYPERLINK "http://www.fda.gov/RegulatoryInformation/Guidances/ucm127004.htm." </w:instrText>
      </w:r>
      <w:r>
        <w:fldChar w:fldCharType="separate"/>
      </w:r>
      <w:r>
        <w:rPr>
          <w:rStyle w:val="21"/>
          <w:rFonts w:ascii="Arial" w:hAnsi="Arial" w:eastAsia="宋体" w:cs="Arial"/>
          <w:snapToGrid w:val="0"/>
          <w:sz w:val="21"/>
          <w:szCs w:val="21"/>
        </w:rPr>
        <w:t>http://www.fda.gov/RegulatoryInformation/Guidances/ucm127004.htm.</w:t>
      </w:r>
      <w:r>
        <w:rPr>
          <w:rStyle w:val="21"/>
          <w:rFonts w:ascii="Arial" w:hAnsi="Arial" w:eastAsia="宋体" w:cs="Arial"/>
          <w:snapToGrid w:val="0"/>
          <w:sz w:val="21"/>
          <w:szCs w:val="21"/>
        </w:rPr>
        <w:fldChar w:fldCharType="end"/>
      </w:r>
    </w:p>
  </w:footnote>
  <w:footnote w:id="35">
    <w:p w14:paraId="7D841329">
      <w:pPr>
        <w:pStyle w:val="15"/>
        <w:spacing w:line="300" w:lineRule="auto"/>
        <w:jc w:val="both"/>
        <w:rPr>
          <w:sz w:val="21"/>
          <w:szCs w:val="21"/>
        </w:rPr>
      </w:pPr>
      <w:r>
        <w:rPr>
          <w:rStyle w:val="22"/>
          <w:sz w:val="21"/>
          <w:szCs w:val="21"/>
        </w:rPr>
        <w:footnoteRef/>
      </w:r>
      <w:r>
        <w:rPr>
          <w:rFonts w:ascii="Arial" w:hAnsi="Arial" w:eastAsia="宋体" w:cs="Arial"/>
          <w:snapToGrid w:val="0"/>
          <w:sz w:val="21"/>
          <w:szCs w:val="21"/>
        </w:rPr>
        <w:t>在拟定规则的序言中，FDA表示，机构预计，已豁免知情同意的研究通常将在具有IRB的机构进行。但是，任何正式组建的IRB都可以确保，第56部分（21 CFR第56部分）和第50.24条的要求已得到满足（包括§50.24 (a）（7）的要求，即要求公开披露和与征求受试者所在社区咨询），进而确保研究对象的权利和福利已得到保护。FDA认识到，独立IRB也可以审查此类研究，或者机构可以签署协议来使用集中式IRB审查过程。应以书面形式记录将审查责任委托给独立IRB或使用集中式IRB审查过程的任何协议。请参见61 Fed.Reg. 51504（评论编号：18）。</w:t>
      </w:r>
    </w:p>
  </w:footnote>
  <w:footnote w:id="36">
    <w:p w14:paraId="2E46EDC7">
      <w:pPr>
        <w:pStyle w:val="15"/>
      </w:pPr>
      <w:r>
        <w:rPr>
          <w:rStyle w:val="22"/>
        </w:rPr>
        <w:footnoteRef/>
      </w:r>
      <w:r>
        <w:rPr>
          <w:rFonts w:ascii="Arial" w:hAnsi="Arial" w:eastAsia="宋体" w:cs="Arial"/>
          <w:snapToGrid w:val="0"/>
          <w:sz w:val="24"/>
          <w:szCs w:val="24"/>
        </w:rPr>
        <w:t>本规定的一些活动是紧急研究所特有；此类活动的发生顺序未在法规中规定，可能会有所不同。</w:t>
      </w:r>
    </w:p>
  </w:footnote>
  <w:footnote w:id="37">
    <w:p w14:paraId="4F665C7C">
      <w:pPr>
        <w:pStyle w:val="15"/>
      </w:pPr>
      <w:r>
        <w:rPr>
          <w:rStyle w:val="22"/>
        </w:rPr>
        <w:footnoteRef/>
      </w:r>
      <w:r>
        <w:rPr>
          <w:rFonts w:ascii="Arial" w:hAnsi="Arial" w:eastAsia="宋体" w:cs="Arial"/>
          <w:snapToGrid w:val="0"/>
          <w:sz w:val="24"/>
          <w:szCs w:val="24"/>
        </w:rPr>
        <w:t>有关详细信息，请参见第IV节，治疗窗。</w:t>
      </w:r>
    </w:p>
  </w:footnote>
  <w:footnote w:id="38">
    <w:p w14:paraId="7C40260E">
      <w:pPr>
        <w:pStyle w:val="15"/>
      </w:pPr>
      <w:r>
        <w:rPr>
          <w:rStyle w:val="22"/>
        </w:rPr>
        <w:footnoteRef/>
      </w:r>
      <w:r>
        <w:rPr>
          <w:rFonts w:ascii="Arial" w:hAnsi="Arial" w:eastAsia="宋体" w:cs="Arial"/>
          <w:snapToGrid w:val="0"/>
          <w:sz w:val="24"/>
          <w:szCs w:val="24"/>
        </w:rPr>
        <w:t>有关数据监测委员会的更多信息，请参见FDA的临床试验数据监测委员会的建立和运作指南；</w:t>
      </w:r>
      <w:r>
        <w:fldChar w:fldCharType="begin"/>
      </w:r>
      <w:r>
        <w:instrText xml:space="preserve"> HYPERLINK "http://www.fda.gov/downloads/RegulatoryInformation/Guidances/UCM126578.pdf" \h </w:instrText>
      </w:r>
      <w:r>
        <w:fldChar w:fldCharType="separate"/>
      </w:r>
      <w:r>
        <w:rPr>
          <w:rFonts w:ascii="Arial" w:hAnsi="Arial" w:eastAsia="宋体" w:cs="Arial"/>
          <w:snapToGrid w:val="0"/>
          <w:sz w:val="24"/>
          <w:szCs w:val="24"/>
        </w:rPr>
        <w:t>www.fda.gov/downloads/RegulatoryInformation/Guidances/UCM126578.pdf.</w:t>
      </w:r>
      <w:r>
        <w:rPr>
          <w:rFonts w:ascii="Arial" w:hAnsi="Arial" w:eastAsia="宋体" w:cs="Arial"/>
          <w:snapToGrid w:val="0"/>
          <w:sz w:val="24"/>
          <w:szCs w:val="24"/>
        </w:rPr>
        <w:fldChar w:fldCharType="end"/>
      </w:r>
    </w:p>
  </w:footnote>
  <w:footnote w:id="39">
    <w:p w14:paraId="54E3A4CC">
      <w:pPr>
        <w:pStyle w:val="15"/>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61 Fed.Reg. 51510</w:t>
      </w:r>
    </w:p>
  </w:footnote>
  <w:footnote w:id="40">
    <w:p w14:paraId="77053905">
      <w:pPr>
        <w:pStyle w:val="15"/>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61 Fed.Reg. 51515（评论编号：66）</w:t>
      </w:r>
    </w:p>
  </w:footnote>
  <w:footnote w:id="41">
    <w:p w14:paraId="1724B16A">
      <w:pPr>
        <w:pStyle w:val="15"/>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61 Fed.Reg. 51500（评论编号：2）</w:t>
      </w:r>
    </w:p>
  </w:footnote>
  <w:footnote w:id="42">
    <w:p w14:paraId="604AEEB0">
      <w:pPr>
        <w:pStyle w:val="15"/>
        <w:spacing w:line="300" w:lineRule="auto"/>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PL110-85，</w:t>
      </w:r>
      <w:r>
        <w:rPr>
          <w:rFonts w:ascii="宋体" w:hAnsi="宋体" w:eastAsia="宋体" w:cs="Arial"/>
          <w:snapToGrid w:val="0"/>
          <w:sz w:val="21"/>
          <w:szCs w:val="21"/>
        </w:rPr>
        <w:t>“</w:t>
      </w:r>
      <w:r>
        <w:rPr>
          <w:rFonts w:ascii="Arial" w:hAnsi="Arial" w:eastAsia="宋体" w:cs="Arial"/>
          <w:snapToGrid w:val="0"/>
          <w:sz w:val="21"/>
          <w:szCs w:val="21"/>
        </w:rPr>
        <w:t>2007年食品药品监督管理局修正案</w:t>
      </w:r>
      <w:r>
        <w:rPr>
          <w:rFonts w:ascii="宋体" w:hAnsi="宋体" w:eastAsia="宋体" w:cs="Arial"/>
          <w:snapToGrid w:val="0"/>
          <w:sz w:val="21"/>
          <w:szCs w:val="21"/>
        </w:rPr>
        <w:t>”</w:t>
      </w:r>
      <w:r>
        <w:rPr>
          <w:rFonts w:ascii="Arial" w:hAnsi="Arial" w:eastAsia="宋体" w:cs="Arial"/>
          <w:snapToGrid w:val="0"/>
          <w:sz w:val="21"/>
          <w:szCs w:val="21"/>
        </w:rPr>
        <w:t>，第八卷，临床试验数据库</w:t>
      </w:r>
      <w:r>
        <w:fldChar w:fldCharType="begin"/>
      </w:r>
      <w:r>
        <w:instrText xml:space="preserve"> HYPERLINK "http://frwebgate.access.gpo.gov/cgi-bin/getdoc.cgi?dbname=110_cong_public_laws&amp;amp;docid=f:publ085.110)" \h </w:instrText>
      </w:r>
      <w:r>
        <w:fldChar w:fldCharType="separate"/>
      </w:r>
      <w:r>
        <w:rPr>
          <w:rFonts w:ascii="Arial" w:hAnsi="Arial" w:eastAsia="宋体" w:cs="Arial"/>
          <w:snapToGrid w:val="0"/>
          <w:sz w:val="21"/>
          <w:szCs w:val="21"/>
        </w:rPr>
        <w:t>（http://frwebgate.access.gpo.gov/cgi-bin/get</w:t>
      </w:r>
      <w:r>
        <w:rPr>
          <w:rFonts w:ascii="Arial" w:hAnsi="Arial" w:eastAsia="宋体" w:cs="Arial"/>
          <w:snapToGrid w:val="0"/>
          <w:sz w:val="21"/>
          <w:szCs w:val="21"/>
        </w:rPr>
        <w:fldChar w:fldCharType="end"/>
      </w:r>
      <w:r>
        <w:rPr>
          <w:rFonts w:ascii="Arial" w:hAnsi="Arial" w:eastAsia="宋体" w:cs="Arial"/>
          <w:snapToGrid w:val="0"/>
          <w:sz w:val="21"/>
          <w:szCs w:val="21"/>
        </w:rPr>
        <w:t>d</w:t>
      </w:r>
      <w:r>
        <w:fldChar w:fldCharType="begin"/>
      </w:r>
      <w:r>
        <w:instrText xml:space="preserve"> HYPERLINK "http://frwebgate.access.gpo.gov/cgi-bin/getdoc.cgi?dbname=110_cong_public_laws&amp;amp;docid=f:publ085.110)" \h </w:instrText>
      </w:r>
      <w:r>
        <w:fldChar w:fldCharType="separate"/>
      </w:r>
      <w:r>
        <w:rPr>
          <w:rFonts w:ascii="Arial" w:hAnsi="Arial" w:eastAsia="宋体" w:cs="Arial"/>
          <w:snapToGrid w:val="0"/>
          <w:sz w:val="21"/>
          <w:szCs w:val="21"/>
        </w:rPr>
        <w:t>oc.cgi?dbname=110_cong_public_laws&amp;docid=f：publ085.110）.</w:t>
      </w:r>
      <w:r>
        <w:rPr>
          <w:rFonts w:ascii="Arial" w:hAnsi="Arial" w:eastAsia="宋体" w:cs="Arial"/>
          <w:snapToGrid w:val="0"/>
          <w:sz w:val="21"/>
          <w:szCs w:val="21"/>
        </w:rPr>
        <w:fldChar w:fldCharType="end"/>
      </w:r>
    </w:p>
  </w:footnote>
  <w:footnote w:id="43">
    <w:p w14:paraId="457B12D0">
      <w:pPr>
        <w:pStyle w:val="15"/>
        <w:spacing w:line="300" w:lineRule="auto"/>
      </w:pPr>
      <w:r>
        <w:rPr>
          <w:rStyle w:val="22"/>
          <w:sz w:val="21"/>
          <w:szCs w:val="21"/>
        </w:rPr>
        <w:footnoteRef/>
      </w:r>
      <w:r>
        <w:rPr>
          <w:rFonts w:ascii="Arial" w:hAnsi="Arial" w:eastAsia="宋体" w:cs="Arial"/>
          <w:snapToGrid w:val="0"/>
          <w:sz w:val="21"/>
          <w:szCs w:val="21"/>
        </w:rPr>
        <w:t>有关clinicaltrials.gov上报告结果的更多信息，请参见</w:t>
      </w:r>
      <w:r>
        <w:fldChar w:fldCharType="begin"/>
      </w:r>
      <w:r>
        <w:instrText xml:space="preserve"> HYPERLINK "http://chestjournal.chestpubs.org/content/136/1/295.full?sid=5bf6541b-d31a-4bc2-9460-35a4a3172186" \h </w:instrText>
      </w:r>
      <w:r>
        <w:fldChar w:fldCharType="separate"/>
      </w:r>
      <w:r>
        <w:rPr>
          <w:rFonts w:ascii="Arial" w:hAnsi="Arial" w:eastAsia="宋体" w:cs="Arial"/>
          <w:snapToGrid w:val="0"/>
          <w:color w:val="0000FF"/>
          <w:sz w:val="21"/>
          <w:szCs w:val="21"/>
          <w:u w:val="single" w:color="0000FF"/>
        </w:rPr>
        <w:t>http://chestjournal.chestpubs.org/content/136/1/295.full?sid=5bf6541b-d31a-4bc2-9460-35a4a3172186</w:t>
      </w:r>
      <w:r>
        <w:rPr>
          <w:rFonts w:ascii="Arial" w:hAnsi="Arial" w:eastAsia="宋体" w:cs="Arial"/>
          <w:snapToGrid w:val="0"/>
          <w:color w:val="0000FF"/>
          <w:sz w:val="21"/>
          <w:szCs w:val="21"/>
          <w:u w:val="single" w:color="0000FF"/>
        </w:rPr>
        <w:fldChar w:fldCharType="end"/>
      </w:r>
      <w:r>
        <w:rPr>
          <w:rFonts w:ascii="Arial" w:hAnsi="Arial" w:eastAsia="宋体" w:cs="Arial"/>
          <w:snapToGrid w:val="0"/>
          <w:sz w:val="24"/>
          <w:szCs w:val="24"/>
        </w:rPr>
        <w:t>.</w:t>
      </w:r>
    </w:p>
  </w:footnote>
  <w:footnote w:id="44">
    <w:p w14:paraId="060C1F70">
      <w:pPr>
        <w:pStyle w:val="15"/>
        <w:spacing w:line="300" w:lineRule="auto"/>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21 CFR 812.3（q）：</w:t>
      </w:r>
      <w:r>
        <w:rPr>
          <w:rFonts w:ascii="宋体" w:hAnsi="宋体" w:eastAsia="宋体" w:cs="Arial"/>
          <w:snapToGrid w:val="0"/>
          <w:sz w:val="21"/>
          <w:szCs w:val="21"/>
        </w:rPr>
        <w:t>“</w:t>
      </w:r>
      <w:r>
        <w:rPr>
          <w:rFonts w:ascii="Arial" w:hAnsi="Arial" w:eastAsia="宋体" w:cs="Arial"/>
          <w:snapToGrid w:val="0"/>
          <w:sz w:val="21"/>
          <w:szCs w:val="21"/>
        </w:rPr>
        <w:t>终止是指在完成之前申办方或因撤销IRB或FDA批准而中止研究。</w:t>
      </w:r>
      <w:r>
        <w:rPr>
          <w:rFonts w:ascii="宋体" w:hAnsi="宋体" w:eastAsia="宋体" w:cs="Arial"/>
          <w:snapToGrid w:val="0"/>
          <w:sz w:val="21"/>
          <w:szCs w:val="21"/>
        </w:rPr>
        <w:t>”</w:t>
      </w:r>
    </w:p>
  </w:footnote>
  <w:footnote w:id="45">
    <w:p w14:paraId="357BB60D">
      <w:pPr>
        <w:pStyle w:val="15"/>
        <w:spacing w:line="300" w:lineRule="auto"/>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61 Fed.Reg. 51516-51517（评论编号：75-77）</w:t>
      </w:r>
    </w:p>
  </w:footnote>
  <w:footnote w:id="46">
    <w:p w14:paraId="2A9CCFCD">
      <w:pPr>
        <w:pStyle w:val="15"/>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61 Fed.Reg. 51506（评论编号：25）</w:t>
      </w:r>
    </w:p>
  </w:footnote>
  <w:footnote w:id="47">
    <w:p w14:paraId="3FBE3E64">
      <w:pPr>
        <w:pStyle w:val="15"/>
        <w:spacing w:line="300" w:lineRule="auto"/>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61 Fed.Reg. 51519（评论编号：91）</w:t>
      </w:r>
    </w:p>
  </w:footnote>
  <w:footnote w:id="48">
    <w:p w14:paraId="7EB88A61">
      <w:pPr>
        <w:pStyle w:val="15"/>
        <w:spacing w:line="300" w:lineRule="auto"/>
        <w:rPr>
          <w:sz w:val="21"/>
          <w:szCs w:val="21"/>
        </w:rPr>
      </w:pPr>
      <w:r>
        <w:rPr>
          <w:rStyle w:val="22"/>
          <w:sz w:val="21"/>
          <w:szCs w:val="21"/>
        </w:rPr>
        <w:footnoteRef/>
      </w:r>
      <w:r>
        <w:rPr>
          <w:sz w:val="21"/>
          <w:szCs w:val="21"/>
        </w:rPr>
        <w:t xml:space="preserve"> </w:t>
      </w:r>
      <w:r>
        <w:rPr>
          <w:rFonts w:ascii="Arial" w:hAnsi="Arial" w:eastAsia="宋体" w:cs="Arial"/>
          <w:snapToGrid w:val="0"/>
          <w:sz w:val="21"/>
          <w:szCs w:val="21"/>
        </w:rPr>
        <w:t>61 Fed.Reg. 51519（评论编号：94）</w:t>
      </w:r>
    </w:p>
  </w:footnote>
  <w:footnote w:id="49">
    <w:p w14:paraId="6C574ED6">
      <w:pPr>
        <w:pStyle w:val="15"/>
        <w:spacing w:line="300" w:lineRule="auto"/>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有关HIPAA的更多信息可以从民权办公室获得：</w:t>
      </w:r>
      <w:r>
        <w:fldChar w:fldCharType="begin"/>
      </w:r>
      <w:r>
        <w:instrText xml:space="preserve"> HYPERLINK "http://www.hhs.gov/ocr/privacy/" \h </w:instrText>
      </w:r>
      <w:r>
        <w:fldChar w:fldCharType="separate"/>
      </w:r>
      <w:r>
        <w:rPr>
          <w:rFonts w:ascii="Arial" w:hAnsi="Arial" w:eastAsia="宋体" w:cs="Arial"/>
          <w:snapToGrid w:val="0"/>
          <w:color w:val="0000FF"/>
          <w:sz w:val="21"/>
          <w:szCs w:val="21"/>
          <w:u w:val="single" w:color="0000FF"/>
        </w:rPr>
        <w:t>http://www.hhs.gov/ocr/privacy／</w:t>
      </w:r>
      <w:r>
        <w:rPr>
          <w:rFonts w:ascii="Arial" w:hAnsi="Arial" w:eastAsia="宋体" w:cs="Arial"/>
          <w:snapToGrid w:val="0"/>
          <w:color w:val="0000FF"/>
          <w:sz w:val="21"/>
          <w:szCs w:val="21"/>
          <w:u w:val="single" w:color="0000FF"/>
        </w:rPr>
        <w:fldChar w:fldCharType="end"/>
      </w:r>
      <w:r>
        <w:rPr>
          <w:rFonts w:ascii="Arial" w:hAnsi="Arial" w:eastAsia="宋体" w:cs="Arial"/>
          <w:snapToGrid w:val="0"/>
          <w:sz w:val="21"/>
          <w:szCs w:val="21"/>
        </w:rPr>
        <w:t>.</w:t>
      </w:r>
    </w:p>
  </w:footnote>
  <w:footnote w:id="50">
    <w:p w14:paraId="7984A3F6">
      <w:pPr>
        <w:pStyle w:val="15"/>
        <w:spacing w:line="300" w:lineRule="auto"/>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"http://www.fda.gov/downloads/RegulatoryInformation/Guidances/UCM126489.pdf" \h </w:instrText>
      </w:r>
      <w:r>
        <w:fldChar w:fldCharType="separate"/>
      </w:r>
      <w:r>
        <w:rPr>
          <w:rFonts w:ascii="Arial" w:hAnsi="Arial" w:eastAsia="宋体" w:cs="Arial"/>
          <w:snapToGrid w:val="0"/>
          <w:sz w:val="21"/>
          <w:szCs w:val="21"/>
        </w:rPr>
        <w:t>www.fda.gov/downloads/RegulatoryInformation/Guidances/UCM126489.pdf</w:t>
      </w:r>
      <w:r>
        <w:rPr>
          <w:rFonts w:ascii="Arial" w:hAnsi="Arial" w:eastAsia="宋体" w:cs="Arial"/>
          <w:snapToGrid w:val="0"/>
          <w:sz w:val="21"/>
          <w:szCs w:val="21"/>
        </w:rPr>
        <w:fldChar w:fldCharType="end"/>
      </w:r>
    </w:p>
  </w:footnote>
  <w:footnote w:id="51">
    <w:p w14:paraId="0469C064">
      <w:pPr>
        <w:pStyle w:val="15"/>
        <w:rPr>
          <w:rFonts w:ascii="Arial" w:hAnsi="Arial" w:cs="Arial"/>
          <w:sz w:val="21"/>
          <w:szCs w:val="21"/>
        </w:rPr>
      </w:pPr>
      <w:r>
        <w:rPr>
          <w:rStyle w:val="22"/>
          <w:rFonts w:ascii="Arial" w:hAnsi="Arial" w:cs="Arial"/>
          <w:sz w:val="21"/>
          <w:szCs w:val="21"/>
        </w:rPr>
        <w:footnoteRef/>
      </w:r>
      <w:r>
        <w:rPr>
          <w:rFonts w:ascii="Arial" w:hAnsi="Arial" w:eastAsia="宋体" w:cs="Arial"/>
          <w:snapToGrid w:val="0"/>
          <w:sz w:val="21"/>
          <w:szCs w:val="21"/>
        </w:rPr>
        <w:t>请参见1996年10月2日最终规则序言，评论编号：94, 61 Fed.Reg. 51519。</w:t>
      </w:r>
    </w:p>
  </w:footnote>
  <w:footnote w:id="52">
    <w:p w14:paraId="294F263F">
      <w:pPr>
        <w:pStyle w:val="15"/>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"http://www.fda.gov/downloads/RegulatoryInformation/Guidances/UCM126578.pdf" \h </w:instrText>
      </w:r>
      <w:r>
        <w:fldChar w:fldCharType="separate"/>
      </w:r>
      <w:r>
        <w:rPr>
          <w:rFonts w:ascii="Arial" w:hAnsi="Arial" w:eastAsia="宋体" w:cs="Arial"/>
          <w:snapToGrid w:val="0"/>
          <w:sz w:val="21"/>
          <w:szCs w:val="21"/>
        </w:rPr>
        <w:t>http://www.fda.gov/downloads/RegulatoryInformation/Guidances/UCM126578.pdf</w:t>
      </w:r>
      <w:r>
        <w:rPr>
          <w:rFonts w:ascii="Arial" w:hAnsi="Arial" w:eastAsia="宋体" w:cs="Arial"/>
          <w:snapToGrid w:val="0"/>
          <w:sz w:val="21"/>
          <w:szCs w:val="21"/>
        </w:rPr>
        <w:fldChar w:fldCharType="end"/>
      </w:r>
    </w:p>
  </w:footnote>
  <w:footnote w:id="53">
    <w:p w14:paraId="11E1608F">
      <w:pPr>
        <w:pStyle w:val="15"/>
        <w:rPr>
          <w:rFonts w:ascii="Arial" w:hAnsi="Arial" w:cs="Arial"/>
          <w:sz w:val="21"/>
          <w:szCs w:val="21"/>
        </w:rPr>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"http://www.fda.gov/downloads/RegulatoryInformation/Guidances/UCM126578.pdf" \h </w:instrText>
      </w:r>
      <w:r>
        <w:fldChar w:fldCharType="separate"/>
      </w:r>
      <w:r>
        <w:rPr>
          <w:rFonts w:ascii="Arial" w:hAnsi="Arial" w:eastAsia="宋体" w:cs="Arial"/>
          <w:snapToGrid w:val="0"/>
          <w:sz w:val="21"/>
          <w:szCs w:val="21"/>
        </w:rPr>
        <w:t>http://www.fda.gov/downloads/RegulatoryInformation/Guidances/UCM126578.pdf</w:t>
      </w:r>
      <w:r>
        <w:rPr>
          <w:rFonts w:ascii="Arial" w:hAnsi="Arial" w:eastAsia="宋体" w:cs="Arial"/>
          <w:snapToGrid w:val="0"/>
          <w:sz w:val="21"/>
          <w:szCs w:val="21"/>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70B2">
    <w:pPr>
      <w:topLinePunct/>
      <w:adjustRightInd w:val="0"/>
      <w:snapToGrid w:val="0"/>
      <w:spacing w:after="180" w:afterLines="75" w:line="300" w:lineRule="auto"/>
      <w:jc w:val="center"/>
      <w:rPr>
        <w:rFonts w:ascii="Arial" w:hAnsi="Arial" w:eastAsia="宋体" w:cs="Arial"/>
        <w:b/>
        <w:i/>
        <w:snapToGrid w:val="0"/>
        <w:sz w:val="24"/>
        <w:szCs w:val="24"/>
      </w:rPr>
    </w:pPr>
    <w:r>
      <w:rPr>
        <w:rFonts w:hint="eastAsia" w:ascii="Arial" w:hAnsi="Arial" w:eastAsia="宋体" w:cs="Arial"/>
        <w:b/>
        <w:i/>
        <w:snapToGrid w:val="0"/>
        <w:sz w:val="24"/>
        <w:szCs w:val="24"/>
      </w:rPr>
      <w:t>所含建议不具约束力</w:t>
    </w:r>
  </w:p>
  <w:p w14:paraId="7F428BB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C3DD">
    <w:pPr>
      <w:topLinePunct/>
      <w:adjustRightInd w:val="0"/>
      <w:snapToGrid w:val="0"/>
      <w:spacing w:after="180" w:afterLines="75" w:line="300" w:lineRule="auto"/>
      <w:jc w:val="center"/>
      <w:rPr>
        <w:rFonts w:ascii="Arial" w:hAnsi="Arial" w:eastAsia="宋体" w:cs="Arial"/>
        <w:b/>
        <w:i/>
        <w:snapToGrid w:val="0"/>
        <w:sz w:val="24"/>
        <w:szCs w:val="24"/>
      </w:rPr>
    </w:pPr>
    <w:r>
      <w:rPr>
        <w:rFonts w:hint="eastAsia" w:ascii="Arial" w:hAnsi="Arial" w:eastAsia="宋体" w:cs="Arial"/>
        <w:b/>
        <w:i/>
        <w:snapToGrid w:val="0"/>
        <w:sz w:val="24"/>
        <w:szCs w:val="24"/>
      </w:rPr>
      <w:t>所含建议不具约束力</w:t>
    </w:r>
  </w:p>
  <w:p w14:paraId="7EBCA2E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A506E"/>
    <w:multiLevelType w:val="multilevel"/>
    <w:tmpl w:val="065A506E"/>
    <w:lvl w:ilvl="0" w:tentative="0">
      <w:start w:val="0"/>
      <w:numFmt w:val="bullet"/>
      <w:lvlText w:val="○"/>
      <w:lvlJc w:val="left"/>
      <w:pPr>
        <w:ind w:left="420" w:hanging="420"/>
      </w:pPr>
      <w:rPr>
        <w:rFonts w:hint="default" w:ascii="Arial" w:hAnsi="Arial"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A66A6E"/>
    <w:multiLevelType w:val="multilevel"/>
    <w:tmpl w:val="08A66A6E"/>
    <w:lvl w:ilvl="0" w:tentative="0">
      <w:start w:val="56"/>
      <w:numFmt w:val="decimal"/>
      <w:lvlText w:val="%1"/>
      <w:lvlJc w:val="left"/>
      <w:pPr>
        <w:ind w:left="120" w:hanging="721"/>
      </w:pPr>
      <w:rPr>
        <w:rFonts w:hint="default"/>
      </w:rPr>
    </w:lvl>
    <w:lvl w:ilvl="1" w:tentative="0">
      <w:start w:val="111"/>
      <w:numFmt w:val="decimal"/>
      <w:lvlText w:val="%1.%2"/>
      <w:lvlJc w:val="left"/>
      <w:pPr>
        <w:ind w:left="120" w:hanging="721"/>
      </w:pPr>
      <w:rPr>
        <w:rFonts w:hint="default" w:ascii="Times New Roman" w:hAnsi="Times New Roman" w:eastAsia="Times New Roman"/>
        <w:w w:val="100"/>
        <w:sz w:val="24"/>
        <w:szCs w:val="24"/>
      </w:rPr>
    </w:lvl>
    <w:lvl w:ilvl="2" w:tentative="0">
      <w:start w:val="1"/>
      <w:numFmt w:val="bullet"/>
      <w:lvlText w:val=""/>
      <w:lvlJc w:val="left"/>
      <w:pPr>
        <w:ind w:left="840" w:hanging="360"/>
      </w:pPr>
      <w:rPr>
        <w:rFonts w:hint="default" w:ascii="Symbol" w:hAnsi="Symbol" w:eastAsia="Symbol"/>
        <w:w w:val="100"/>
        <w:sz w:val="24"/>
        <w:szCs w:val="24"/>
      </w:rPr>
    </w:lvl>
    <w:lvl w:ilvl="3" w:tentative="0">
      <w:start w:val="1"/>
      <w:numFmt w:val="bullet"/>
      <w:lvlText w:val="•"/>
      <w:lvlJc w:val="left"/>
      <w:pPr>
        <w:ind w:left="2937" w:hanging="360"/>
      </w:pPr>
      <w:rPr>
        <w:rFonts w:hint="default"/>
      </w:rPr>
    </w:lvl>
    <w:lvl w:ilvl="4" w:tentative="0">
      <w:start w:val="1"/>
      <w:numFmt w:val="bullet"/>
      <w:lvlText w:val="•"/>
      <w:lvlJc w:val="left"/>
      <w:pPr>
        <w:ind w:left="3986" w:hanging="360"/>
      </w:pPr>
      <w:rPr>
        <w:rFonts w:hint="default"/>
      </w:rPr>
    </w:lvl>
    <w:lvl w:ilvl="5" w:tentative="0">
      <w:start w:val="1"/>
      <w:numFmt w:val="bullet"/>
      <w:lvlText w:val="•"/>
      <w:lvlJc w:val="left"/>
      <w:pPr>
        <w:ind w:left="5035"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7133" w:hanging="360"/>
      </w:pPr>
      <w:rPr>
        <w:rFonts w:hint="default"/>
      </w:rPr>
    </w:lvl>
    <w:lvl w:ilvl="8" w:tentative="0">
      <w:start w:val="1"/>
      <w:numFmt w:val="bullet"/>
      <w:lvlText w:val="•"/>
      <w:lvlJc w:val="left"/>
      <w:pPr>
        <w:ind w:left="8182" w:hanging="360"/>
      </w:pPr>
      <w:rPr>
        <w:rFonts w:hint="default"/>
      </w:rPr>
    </w:lvl>
  </w:abstractNum>
  <w:abstractNum w:abstractNumId="2">
    <w:nsid w:val="0C0B3250"/>
    <w:multiLevelType w:val="multilevel"/>
    <w:tmpl w:val="0C0B3250"/>
    <w:lvl w:ilvl="0" w:tentative="0">
      <w:start w:val="0"/>
      <w:numFmt w:val="bullet"/>
      <w:lvlText w:val=""/>
      <w:lvlJc w:val="left"/>
      <w:pPr>
        <w:ind w:left="1880" w:hanging="481"/>
      </w:pPr>
      <w:rPr>
        <w:rFonts w:hint="default" w:ascii="Wingdings 2" w:hAnsi="Wingdings 2" w:eastAsia="宋体" w:cs="Arial"/>
        <w:w w:val="100"/>
        <w:sz w:val="24"/>
        <w:szCs w:val="24"/>
      </w:rPr>
    </w:lvl>
    <w:lvl w:ilvl="1" w:tentative="0">
      <w:start w:val="1"/>
      <w:numFmt w:val="bullet"/>
      <w:lvlText w:val="•"/>
      <w:lvlJc w:val="left"/>
      <w:pPr>
        <w:ind w:left="2610" w:hanging="481"/>
      </w:pPr>
      <w:rPr>
        <w:rFonts w:hint="default"/>
      </w:rPr>
    </w:lvl>
    <w:lvl w:ilvl="2" w:tentative="0">
      <w:start w:val="1"/>
      <w:numFmt w:val="bullet"/>
      <w:lvlText w:val="•"/>
      <w:lvlJc w:val="left"/>
      <w:pPr>
        <w:ind w:left="3340" w:hanging="481"/>
      </w:pPr>
      <w:rPr>
        <w:rFonts w:hint="default"/>
      </w:rPr>
    </w:lvl>
    <w:lvl w:ilvl="3" w:tentative="0">
      <w:start w:val="1"/>
      <w:numFmt w:val="bullet"/>
      <w:lvlText w:val="•"/>
      <w:lvlJc w:val="left"/>
      <w:pPr>
        <w:ind w:left="4070" w:hanging="481"/>
      </w:pPr>
      <w:rPr>
        <w:rFonts w:hint="default"/>
      </w:rPr>
    </w:lvl>
    <w:lvl w:ilvl="4" w:tentative="0">
      <w:start w:val="1"/>
      <w:numFmt w:val="bullet"/>
      <w:lvlText w:val="•"/>
      <w:lvlJc w:val="left"/>
      <w:pPr>
        <w:ind w:left="4800" w:hanging="481"/>
      </w:pPr>
      <w:rPr>
        <w:rFonts w:hint="default"/>
      </w:rPr>
    </w:lvl>
    <w:lvl w:ilvl="5" w:tentative="0">
      <w:start w:val="1"/>
      <w:numFmt w:val="bullet"/>
      <w:lvlText w:val="•"/>
      <w:lvlJc w:val="left"/>
      <w:pPr>
        <w:ind w:left="5530" w:hanging="481"/>
      </w:pPr>
      <w:rPr>
        <w:rFonts w:hint="default"/>
      </w:rPr>
    </w:lvl>
    <w:lvl w:ilvl="6" w:tentative="0">
      <w:start w:val="1"/>
      <w:numFmt w:val="bullet"/>
      <w:lvlText w:val="•"/>
      <w:lvlJc w:val="left"/>
      <w:pPr>
        <w:ind w:left="6260" w:hanging="481"/>
      </w:pPr>
      <w:rPr>
        <w:rFonts w:hint="default"/>
      </w:rPr>
    </w:lvl>
    <w:lvl w:ilvl="7" w:tentative="0">
      <w:start w:val="1"/>
      <w:numFmt w:val="bullet"/>
      <w:lvlText w:val="•"/>
      <w:lvlJc w:val="left"/>
      <w:pPr>
        <w:ind w:left="6990" w:hanging="481"/>
      </w:pPr>
      <w:rPr>
        <w:rFonts w:hint="default"/>
      </w:rPr>
    </w:lvl>
    <w:lvl w:ilvl="8" w:tentative="0">
      <w:start w:val="1"/>
      <w:numFmt w:val="bullet"/>
      <w:lvlText w:val="•"/>
      <w:lvlJc w:val="left"/>
      <w:pPr>
        <w:ind w:left="7720" w:hanging="481"/>
      </w:pPr>
      <w:rPr>
        <w:rFonts w:hint="default"/>
      </w:rPr>
    </w:lvl>
  </w:abstractNum>
  <w:abstractNum w:abstractNumId="3">
    <w:nsid w:val="166253A1"/>
    <w:multiLevelType w:val="multilevel"/>
    <w:tmpl w:val="166253A1"/>
    <w:lvl w:ilvl="0" w:tentative="0">
      <w:start w:val="20"/>
      <w:numFmt w:val="decimal"/>
      <w:lvlText w:val="%1."/>
      <w:lvlJc w:val="left"/>
      <w:pPr>
        <w:ind w:left="480" w:hanging="421"/>
      </w:pPr>
      <w:rPr>
        <w:rFonts w:hint="default" w:ascii="Arial" w:hAnsi="Arial" w:eastAsia="Times New Roman" w:cs="Arial"/>
        <w:b/>
        <w:bCs/>
        <w:i/>
        <w:spacing w:val="0"/>
        <w:w w:val="100"/>
        <w:sz w:val="24"/>
        <w:szCs w:val="24"/>
      </w:rPr>
    </w:lvl>
    <w:lvl w:ilvl="1" w:tentative="0">
      <w:start w:val="1"/>
      <w:numFmt w:val="bullet"/>
      <w:lvlText w:val=""/>
      <w:lvlJc w:val="left"/>
      <w:pPr>
        <w:ind w:left="1200" w:hanging="360"/>
      </w:pPr>
      <w:rPr>
        <w:rFonts w:hint="default" w:ascii="Symbol" w:hAnsi="Symbol" w:eastAsia="Symbol"/>
        <w:w w:val="100"/>
        <w:sz w:val="24"/>
        <w:szCs w:val="24"/>
      </w:rPr>
    </w:lvl>
    <w:lvl w:ilvl="2" w:tentative="0">
      <w:start w:val="1"/>
      <w:numFmt w:val="bullet"/>
      <w:lvlText w:val="o"/>
      <w:lvlJc w:val="left"/>
      <w:pPr>
        <w:ind w:left="1560" w:hanging="360"/>
      </w:pPr>
      <w:rPr>
        <w:rFonts w:hint="default" w:ascii="Courier New" w:hAnsi="Courier New" w:eastAsia="Courier New"/>
        <w:w w:val="99"/>
        <w:sz w:val="24"/>
        <w:szCs w:val="24"/>
      </w:rPr>
    </w:lvl>
    <w:lvl w:ilvl="3" w:tentative="0">
      <w:start w:val="1"/>
      <w:numFmt w:val="bullet"/>
      <w:lvlText w:val="•"/>
      <w:lvlJc w:val="left"/>
      <w:pPr>
        <w:ind w:left="900" w:hanging="360"/>
      </w:pPr>
      <w:rPr>
        <w:rFonts w:hint="default"/>
      </w:rPr>
    </w:lvl>
    <w:lvl w:ilvl="4" w:tentative="0">
      <w:start w:val="1"/>
      <w:numFmt w:val="bullet"/>
      <w:lvlText w:val="•"/>
      <w:lvlJc w:val="left"/>
      <w:pPr>
        <w:ind w:left="1180" w:hanging="360"/>
      </w:pPr>
      <w:rPr>
        <w:rFonts w:hint="default"/>
      </w:rPr>
    </w:lvl>
    <w:lvl w:ilvl="5" w:tentative="0">
      <w:start w:val="1"/>
      <w:numFmt w:val="bullet"/>
      <w:lvlText w:val="•"/>
      <w:lvlJc w:val="left"/>
      <w:pPr>
        <w:ind w:left="1200" w:hanging="360"/>
      </w:pPr>
      <w:rPr>
        <w:rFonts w:hint="default"/>
      </w:rPr>
    </w:lvl>
    <w:lvl w:ilvl="6" w:tentative="0">
      <w:start w:val="1"/>
      <w:numFmt w:val="bullet"/>
      <w:lvlText w:val="•"/>
      <w:lvlJc w:val="left"/>
      <w:pPr>
        <w:ind w:left="1540" w:hanging="360"/>
      </w:pPr>
      <w:rPr>
        <w:rFonts w:hint="default"/>
      </w:rPr>
    </w:lvl>
    <w:lvl w:ilvl="7" w:tentative="0">
      <w:start w:val="1"/>
      <w:numFmt w:val="bullet"/>
      <w:lvlText w:val="•"/>
      <w:lvlJc w:val="left"/>
      <w:pPr>
        <w:ind w:left="1560" w:hanging="360"/>
      </w:pPr>
      <w:rPr>
        <w:rFonts w:hint="default"/>
      </w:rPr>
    </w:lvl>
    <w:lvl w:ilvl="8" w:tentative="0">
      <w:start w:val="1"/>
      <w:numFmt w:val="bullet"/>
      <w:lvlText w:val="•"/>
      <w:lvlJc w:val="left"/>
      <w:pPr>
        <w:ind w:left="4440" w:hanging="360"/>
      </w:pPr>
      <w:rPr>
        <w:rFonts w:hint="default"/>
      </w:rPr>
    </w:lvl>
  </w:abstractNum>
  <w:abstractNum w:abstractNumId="4">
    <w:nsid w:val="23EC5B05"/>
    <w:multiLevelType w:val="multilevel"/>
    <w:tmpl w:val="23EC5B05"/>
    <w:lvl w:ilvl="0" w:tentative="0">
      <w:start w:val="1"/>
      <w:numFmt w:val="upperLetter"/>
      <w:lvlText w:val="%1."/>
      <w:lvlJc w:val="left"/>
      <w:pPr>
        <w:ind w:left="1193" w:hanging="354"/>
      </w:pPr>
      <w:rPr>
        <w:rFonts w:hint="default" w:ascii="Arial" w:hAnsi="Arial" w:eastAsia="Times New Roman" w:cs="Arial"/>
        <w:b/>
        <w:bCs/>
        <w:spacing w:val="-1"/>
        <w:w w:val="99"/>
        <w:sz w:val="24"/>
        <w:szCs w:val="24"/>
      </w:rPr>
    </w:lvl>
    <w:lvl w:ilvl="1" w:tentative="0">
      <w:start w:val="1"/>
      <w:numFmt w:val="bullet"/>
      <w:lvlText w:val="•"/>
      <w:lvlJc w:val="left"/>
      <w:pPr>
        <w:ind w:left="2108" w:hanging="354"/>
      </w:pPr>
      <w:rPr>
        <w:rFonts w:hint="default"/>
      </w:rPr>
    </w:lvl>
    <w:lvl w:ilvl="2" w:tentative="0">
      <w:start w:val="1"/>
      <w:numFmt w:val="bullet"/>
      <w:lvlText w:val="•"/>
      <w:lvlJc w:val="left"/>
      <w:pPr>
        <w:ind w:left="3016" w:hanging="354"/>
      </w:pPr>
      <w:rPr>
        <w:rFonts w:hint="default"/>
      </w:rPr>
    </w:lvl>
    <w:lvl w:ilvl="3" w:tentative="0">
      <w:start w:val="1"/>
      <w:numFmt w:val="bullet"/>
      <w:lvlText w:val="•"/>
      <w:lvlJc w:val="left"/>
      <w:pPr>
        <w:ind w:left="3924" w:hanging="354"/>
      </w:pPr>
      <w:rPr>
        <w:rFonts w:hint="default"/>
      </w:rPr>
    </w:lvl>
    <w:lvl w:ilvl="4" w:tentative="0">
      <w:start w:val="1"/>
      <w:numFmt w:val="bullet"/>
      <w:lvlText w:val="•"/>
      <w:lvlJc w:val="left"/>
      <w:pPr>
        <w:ind w:left="4832" w:hanging="354"/>
      </w:pPr>
      <w:rPr>
        <w:rFonts w:hint="default"/>
      </w:rPr>
    </w:lvl>
    <w:lvl w:ilvl="5" w:tentative="0">
      <w:start w:val="1"/>
      <w:numFmt w:val="bullet"/>
      <w:lvlText w:val="•"/>
      <w:lvlJc w:val="left"/>
      <w:pPr>
        <w:ind w:left="5740" w:hanging="354"/>
      </w:pPr>
      <w:rPr>
        <w:rFonts w:hint="default"/>
      </w:rPr>
    </w:lvl>
    <w:lvl w:ilvl="6" w:tentative="0">
      <w:start w:val="1"/>
      <w:numFmt w:val="bullet"/>
      <w:lvlText w:val="•"/>
      <w:lvlJc w:val="left"/>
      <w:pPr>
        <w:ind w:left="6648" w:hanging="354"/>
      </w:pPr>
      <w:rPr>
        <w:rFonts w:hint="default"/>
      </w:rPr>
    </w:lvl>
    <w:lvl w:ilvl="7" w:tentative="0">
      <w:start w:val="1"/>
      <w:numFmt w:val="bullet"/>
      <w:lvlText w:val="•"/>
      <w:lvlJc w:val="left"/>
      <w:pPr>
        <w:ind w:left="7556" w:hanging="354"/>
      </w:pPr>
      <w:rPr>
        <w:rFonts w:hint="default"/>
      </w:rPr>
    </w:lvl>
    <w:lvl w:ilvl="8" w:tentative="0">
      <w:start w:val="1"/>
      <w:numFmt w:val="bullet"/>
      <w:lvlText w:val="•"/>
      <w:lvlJc w:val="left"/>
      <w:pPr>
        <w:ind w:left="8464" w:hanging="354"/>
      </w:pPr>
      <w:rPr>
        <w:rFonts w:hint="default"/>
      </w:rPr>
    </w:lvl>
  </w:abstractNum>
  <w:abstractNum w:abstractNumId="5">
    <w:nsid w:val="2B326176"/>
    <w:multiLevelType w:val="multilevel"/>
    <w:tmpl w:val="2B326176"/>
    <w:lvl w:ilvl="0" w:tentative="0">
      <w:start w:val="1"/>
      <w:numFmt w:val="bullet"/>
      <w:lvlText w:val=""/>
      <w:lvlJc w:val="left"/>
      <w:pPr>
        <w:ind w:left="1623" w:hanging="360"/>
      </w:pPr>
      <w:rPr>
        <w:rFonts w:hint="default" w:ascii="Symbol" w:hAnsi="Symbol" w:eastAsia="Symbol"/>
        <w:w w:val="100"/>
        <w:sz w:val="24"/>
        <w:szCs w:val="24"/>
      </w:rPr>
    </w:lvl>
    <w:lvl w:ilvl="1" w:tentative="0">
      <w:start w:val="1"/>
      <w:numFmt w:val="bullet"/>
      <w:lvlText w:val="•"/>
      <w:lvlJc w:val="left"/>
      <w:pPr>
        <w:ind w:left="2474" w:hanging="360"/>
      </w:pPr>
      <w:rPr>
        <w:rFonts w:hint="default"/>
      </w:rPr>
    </w:lvl>
    <w:lvl w:ilvl="2" w:tentative="0">
      <w:start w:val="1"/>
      <w:numFmt w:val="bullet"/>
      <w:lvlText w:val="•"/>
      <w:lvlJc w:val="left"/>
      <w:pPr>
        <w:ind w:left="3328" w:hanging="360"/>
      </w:pPr>
      <w:rPr>
        <w:rFonts w:hint="default"/>
      </w:rPr>
    </w:lvl>
    <w:lvl w:ilvl="3" w:tentative="0">
      <w:start w:val="1"/>
      <w:numFmt w:val="bullet"/>
      <w:lvlText w:val="•"/>
      <w:lvlJc w:val="left"/>
      <w:pPr>
        <w:ind w:left="4182" w:hanging="360"/>
      </w:pPr>
      <w:rPr>
        <w:rFonts w:hint="default"/>
      </w:rPr>
    </w:lvl>
    <w:lvl w:ilvl="4" w:tentative="0">
      <w:start w:val="1"/>
      <w:numFmt w:val="bullet"/>
      <w:lvlText w:val="•"/>
      <w:lvlJc w:val="left"/>
      <w:pPr>
        <w:ind w:left="5036" w:hanging="360"/>
      </w:pPr>
      <w:rPr>
        <w:rFonts w:hint="default"/>
      </w:rPr>
    </w:lvl>
    <w:lvl w:ilvl="5" w:tentative="0">
      <w:start w:val="1"/>
      <w:numFmt w:val="bullet"/>
      <w:lvlText w:val="•"/>
      <w:lvlJc w:val="left"/>
      <w:pPr>
        <w:ind w:left="5890" w:hanging="360"/>
      </w:pPr>
      <w:rPr>
        <w:rFonts w:hint="default"/>
      </w:rPr>
    </w:lvl>
    <w:lvl w:ilvl="6" w:tentative="0">
      <w:start w:val="1"/>
      <w:numFmt w:val="bullet"/>
      <w:lvlText w:val="•"/>
      <w:lvlJc w:val="left"/>
      <w:pPr>
        <w:ind w:left="6744" w:hanging="360"/>
      </w:pPr>
      <w:rPr>
        <w:rFonts w:hint="default"/>
      </w:rPr>
    </w:lvl>
    <w:lvl w:ilvl="7" w:tentative="0">
      <w:start w:val="1"/>
      <w:numFmt w:val="bullet"/>
      <w:lvlText w:val="•"/>
      <w:lvlJc w:val="left"/>
      <w:pPr>
        <w:ind w:left="7598" w:hanging="360"/>
      </w:pPr>
      <w:rPr>
        <w:rFonts w:hint="default"/>
      </w:rPr>
    </w:lvl>
    <w:lvl w:ilvl="8" w:tentative="0">
      <w:start w:val="1"/>
      <w:numFmt w:val="bullet"/>
      <w:lvlText w:val="•"/>
      <w:lvlJc w:val="left"/>
      <w:pPr>
        <w:ind w:left="8452" w:hanging="360"/>
      </w:pPr>
      <w:rPr>
        <w:rFonts w:hint="default"/>
      </w:rPr>
    </w:lvl>
  </w:abstractNum>
  <w:abstractNum w:abstractNumId="6">
    <w:nsid w:val="2BAC31FB"/>
    <w:multiLevelType w:val="multilevel"/>
    <w:tmpl w:val="2BAC31FB"/>
    <w:lvl w:ilvl="0" w:tentative="0">
      <w:start w:val="1"/>
      <w:numFmt w:val="bullet"/>
      <w:lvlText w:val=""/>
      <w:lvlJc w:val="left"/>
      <w:pPr>
        <w:ind w:left="840" w:hanging="141"/>
      </w:pPr>
      <w:rPr>
        <w:rFonts w:hint="default" w:ascii="Symbol" w:hAnsi="Symbol" w:eastAsia="Symbol"/>
        <w:spacing w:val="-2"/>
        <w:w w:val="100"/>
        <w:sz w:val="24"/>
        <w:szCs w:val="24"/>
      </w:rPr>
    </w:lvl>
    <w:lvl w:ilvl="1" w:tentative="0">
      <w:start w:val="1"/>
      <w:numFmt w:val="bullet"/>
      <w:lvlText w:val="•"/>
      <w:lvlJc w:val="left"/>
      <w:pPr>
        <w:ind w:left="1782" w:hanging="141"/>
      </w:pPr>
      <w:rPr>
        <w:rFonts w:hint="default"/>
      </w:rPr>
    </w:lvl>
    <w:lvl w:ilvl="2" w:tentative="0">
      <w:start w:val="1"/>
      <w:numFmt w:val="bullet"/>
      <w:lvlText w:val="•"/>
      <w:lvlJc w:val="left"/>
      <w:pPr>
        <w:ind w:left="2724" w:hanging="141"/>
      </w:pPr>
      <w:rPr>
        <w:rFonts w:hint="default"/>
      </w:rPr>
    </w:lvl>
    <w:lvl w:ilvl="3" w:tentative="0">
      <w:start w:val="1"/>
      <w:numFmt w:val="bullet"/>
      <w:lvlText w:val="•"/>
      <w:lvlJc w:val="left"/>
      <w:pPr>
        <w:ind w:left="3666" w:hanging="141"/>
      </w:pPr>
      <w:rPr>
        <w:rFonts w:hint="default"/>
      </w:rPr>
    </w:lvl>
    <w:lvl w:ilvl="4" w:tentative="0">
      <w:start w:val="1"/>
      <w:numFmt w:val="bullet"/>
      <w:lvlText w:val="•"/>
      <w:lvlJc w:val="left"/>
      <w:pPr>
        <w:ind w:left="4608" w:hanging="141"/>
      </w:pPr>
      <w:rPr>
        <w:rFonts w:hint="default"/>
      </w:rPr>
    </w:lvl>
    <w:lvl w:ilvl="5" w:tentative="0">
      <w:start w:val="1"/>
      <w:numFmt w:val="bullet"/>
      <w:lvlText w:val="•"/>
      <w:lvlJc w:val="left"/>
      <w:pPr>
        <w:ind w:left="5550" w:hanging="141"/>
      </w:pPr>
      <w:rPr>
        <w:rFonts w:hint="default"/>
      </w:rPr>
    </w:lvl>
    <w:lvl w:ilvl="6" w:tentative="0">
      <w:start w:val="1"/>
      <w:numFmt w:val="bullet"/>
      <w:lvlText w:val="•"/>
      <w:lvlJc w:val="left"/>
      <w:pPr>
        <w:ind w:left="6492" w:hanging="141"/>
      </w:pPr>
      <w:rPr>
        <w:rFonts w:hint="default"/>
      </w:rPr>
    </w:lvl>
    <w:lvl w:ilvl="7" w:tentative="0">
      <w:start w:val="1"/>
      <w:numFmt w:val="bullet"/>
      <w:lvlText w:val="•"/>
      <w:lvlJc w:val="left"/>
      <w:pPr>
        <w:ind w:left="7434" w:hanging="141"/>
      </w:pPr>
      <w:rPr>
        <w:rFonts w:hint="default"/>
      </w:rPr>
    </w:lvl>
    <w:lvl w:ilvl="8" w:tentative="0">
      <w:start w:val="1"/>
      <w:numFmt w:val="bullet"/>
      <w:lvlText w:val="•"/>
      <w:lvlJc w:val="left"/>
      <w:pPr>
        <w:ind w:left="8376" w:hanging="141"/>
      </w:pPr>
      <w:rPr>
        <w:rFonts w:hint="default"/>
      </w:rPr>
    </w:lvl>
  </w:abstractNum>
  <w:abstractNum w:abstractNumId="7">
    <w:nsid w:val="340136A1"/>
    <w:multiLevelType w:val="multilevel"/>
    <w:tmpl w:val="340136A1"/>
    <w:lvl w:ilvl="0" w:tentative="0">
      <w:start w:val="1"/>
      <w:numFmt w:val="bullet"/>
      <w:lvlText w:val=""/>
      <w:lvlJc w:val="left"/>
      <w:pPr>
        <w:ind w:left="1180" w:hanging="360"/>
      </w:pPr>
      <w:rPr>
        <w:rFonts w:hint="default" w:ascii="Symbol" w:hAnsi="Symbol" w:eastAsia="Symbol"/>
        <w:w w:val="100"/>
        <w:sz w:val="24"/>
        <w:szCs w:val="24"/>
      </w:rPr>
    </w:lvl>
    <w:lvl w:ilvl="1" w:tentative="0">
      <w:start w:val="1"/>
      <w:numFmt w:val="bullet"/>
      <w:lvlText w:val="•"/>
      <w:lvlJc w:val="left"/>
      <w:pPr>
        <w:ind w:left="2088" w:hanging="360"/>
      </w:pPr>
      <w:rPr>
        <w:rFonts w:hint="default"/>
      </w:rPr>
    </w:lvl>
    <w:lvl w:ilvl="2" w:tentative="0">
      <w:start w:val="1"/>
      <w:numFmt w:val="bullet"/>
      <w:lvlText w:val="•"/>
      <w:lvlJc w:val="left"/>
      <w:pPr>
        <w:ind w:left="2996" w:hanging="360"/>
      </w:pPr>
      <w:rPr>
        <w:rFonts w:hint="default"/>
      </w:rPr>
    </w:lvl>
    <w:lvl w:ilvl="3" w:tentative="0">
      <w:start w:val="1"/>
      <w:numFmt w:val="bullet"/>
      <w:lvlText w:val="•"/>
      <w:lvlJc w:val="left"/>
      <w:pPr>
        <w:ind w:left="3904" w:hanging="360"/>
      </w:pPr>
      <w:rPr>
        <w:rFonts w:hint="default"/>
      </w:rPr>
    </w:lvl>
    <w:lvl w:ilvl="4" w:tentative="0">
      <w:start w:val="1"/>
      <w:numFmt w:val="bullet"/>
      <w:lvlText w:val="•"/>
      <w:lvlJc w:val="left"/>
      <w:pPr>
        <w:ind w:left="4812" w:hanging="360"/>
      </w:pPr>
      <w:rPr>
        <w:rFonts w:hint="default"/>
      </w:rPr>
    </w:lvl>
    <w:lvl w:ilvl="5" w:tentative="0">
      <w:start w:val="1"/>
      <w:numFmt w:val="bullet"/>
      <w:lvlText w:val="•"/>
      <w:lvlJc w:val="left"/>
      <w:pPr>
        <w:ind w:left="5720" w:hanging="360"/>
      </w:pPr>
      <w:rPr>
        <w:rFonts w:hint="default"/>
      </w:rPr>
    </w:lvl>
    <w:lvl w:ilvl="6" w:tentative="0">
      <w:start w:val="1"/>
      <w:numFmt w:val="bullet"/>
      <w:lvlText w:val="•"/>
      <w:lvlJc w:val="left"/>
      <w:pPr>
        <w:ind w:left="6628" w:hanging="360"/>
      </w:pPr>
      <w:rPr>
        <w:rFonts w:hint="default"/>
      </w:rPr>
    </w:lvl>
    <w:lvl w:ilvl="7" w:tentative="0">
      <w:start w:val="1"/>
      <w:numFmt w:val="bullet"/>
      <w:lvlText w:val="•"/>
      <w:lvlJc w:val="left"/>
      <w:pPr>
        <w:ind w:left="7536" w:hanging="360"/>
      </w:pPr>
      <w:rPr>
        <w:rFonts w:hint="default"/>
      </w:rPr>
    </w:lvl>
    <w:lvl w:ilvl="8" w:tentative="0">
      <w:start w:val="1"/>
      <w:numFmt w:val="bullet"/>
      <w:lvlText w:val="•"/>
      <w:lvlJc w:val="left"/>
      <w:pPr>
        <w:ind w:left="8444" w:hanging="360"/>
      </w:pPr>
      <w:rPr>
        <w:rFonts w:hint="default"/>
      </w:rPr>
    </w:lvl>
  </w:abstractNum>
  <w:abstractNum w:abstractNumId="8">
    <w:nsid w:val="48FE7533"/>
    <w:multiLevelType w:val="multilevel"/>
    <w:tmpl w:val="48FE7533"/>
    <w:lvl w:ilvl="0" w:tentative="0">
      <w:start w:val="0"/>
      <w:numFmt w:val="bullet"/>
      <w:lvlText w:val="○"/>
      <w:lvlJc w:val="left"/>
      <w:pPr>
        <w:ind w:left="420" w:hanging="420"/>
      </w:pPr>
      <w:rPr>
        <w:rFonts w:hint="default" w:ascii="Arial" w:hAnsi="Arial"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D405429"/>
    <w:multiLevelType w:val="multilevel"/>
    <w:tmpl w:val="4D405429"/>
    <w:lvl w:ilvl="0" w:tentative="0">
      <w:start w:val="1"/>
      <w:numFmt w:val="bullet"/>
      <w:lvlText w:val="o"/>
      <w:lvlJc w:val="left"/>
      <w:pPr>
        <w:ind w:left="1200" w:hanging="360"/>
      </w:pPr>
      <w:rPr>
        <w:rFonts w:hint="default" w:ascii="Courier New" w:hAnsi="Courier New" w:eastAsia="Courier New"/>
        <w:w w:val="99"/>
        <w:sz w:val="24"/>
        <w:szCs w:val="24"/>
      </w:rPr>
    </w:lvl>
    <w:lvl w:ilvl="1" w:tentative="0">
      <w:start w:val="1"/>
      <w:numFmt w:val="bullet"/>
      <w:lvlText w:val="•"/>
      <w:lvlJc w:val="left"/>
      <w:pPr>
        <w:ind w:left="2072" w:hanging="360"/>
      </w:pPr>
      <w:rPr>
        <w:rFonts w:hint="default"/>
      </w:rPr>
    </w:lvl>
    <w:lvl w:ilvl="2" w:tentative="0">
      <w:start w:val="1"/>
      <w:numFmt w:val="bullet"/>
      <w:lvlText w:val="•"/>
      <w:lvlJc w:val="left"/>
      <w:pPr>
        <w:ind w:left="2944" w:hanging="360"/>
      </w:pPr>
      <w:rPr>
        <w:rFonts w:hint="default"/>
      </w:rPr>
    </w:lvl>
    <w:lvl w:ilvl="3" w:tentative="0">
      <w:start w:val="1"/>
      <w:numFmt w:val="bullet"/>
      <w:lvlText w:val="•"/>
      <w:lvlJc w:val="left"/>
      <w:pPr>
        <w:ind w:left="3816" w:hanging="360"/>
      </w:pPr>
      <w:rPr>
        <w:rFonts w:hint="default"/>
      </w:rPr>
    </w:lvl>
    <w:lvl w:ilvl="4" w:tentative="0">
      <w:start w:val="1"/>
      <w:numFmt w:val="bullet"/>
      <w:lvlText w:val="•"/>
      <w:lvlJc w:val="left"/>
      <w:pPr>
        <w:ind w:left="4688" w:hanging="360"/>
      </w:pPr>
      <w:rPr>
        <w:rFonts w:hint="default"/>
      </w:rPr>
    </w:lvl>
    <w:lvl w:ilvl="5" w:tentative="0">
      <w:start w:val="1"/>
      <w:numFmt w:val="bullet"/>
      <w:lvlText w:val="•"/>
      <w:lvlJc w:val="left"/>
      <w:pPr>
        <w:ind w:left="5560" w:hanging="360"/>
      </w:pPr>
      <w:rPr>
        <w:rFonts w:hint="default"/>
      </w:rPr>
    </w:lvl>
    <w:lvl w:ilvl="6" w:tentative="0">
      <w:start w:val="1"/>
      <w:numFmt w:val="bullet"/>
      <w:lvlText w:val="•"/>
      <w:lvlJc w:val="left"/>
      <w:pPr>
        <w:ind w:left="6432" w:hanging="360"/>
      </w:pPr>
      <w:rPr>
        <w:rFonts w:hint="default"/>
      </w:rPr>
    </w:lvl>
    <w:lvl w:ilvl="7" w:tentative="0">
      <w:start w:val="1"/>
      <w:numFmt w:val="bullet"/>
      <w:lvlText w:val="•"/>
      <w:lvlJc w:val="left"/>
      <w:pPr>
        <w:ind w:left="7304" w:hanging="360"/>
      </w:pPr>
      <w:rPr>
        <w:rFonts w:hint="default"/>
      </w:rPr>
    </w:lvl>
    <w:lvl w:ilvl="8" w:tentative="0">
      <w:start w:val="1"/>
      <w:numFmt w:val="bullet"/>
      <w:lvlText w:val="•"/>
      <w:lvlJc w:val="left"/>
      <w:pPr>
        <w:ind w:left="8176" w:hanging="360"/>
      </w:pPr>
      <w:rPr>
        <w:rFonts w:hint="default"/>
      </w:rPr>
    </w:lvl>
  </w:abstractNum>
  <w:abstractNum w:abstractNumId="10">
    <w:nsid w:val="573E1EC0"/>
    <w:multiLevelType w:val="multilevel"/>
    <w:tmpl w:val="573E1EC0"/>
    <w:lvl w:ilvl="0" w:tentative="0">
      <w:start w:val="1"/>
      <w:numFmt w:val="upperRoman"/>
      <w:lvlText w:val="%1."/>
      <w:lvlJc w:val="left"/>
      <w:pPr>
        <w:ind w:left="373" w:hanging="274"/>
      </w:pPr>
      <w:rPr>
        <w:rFonts w:hint="default" w:ascii="Arial" w:hAnsi="Arial" w:eastAsia="Times New Roman" w:cs="Arial"/>
        <w:b/>
        <w:bCs/>
        <w:spacing w:val="-1"/>
        <w:w w:val="99"/>
        <w:sz w:val="28"/>
        <w:szCs w:val="24"/>
      </w:rPr>
    </w:lvl>
    <w:lvl w:ilvl="1" w:tentative="0">
      <w:start w:val="1"/>
      <w:numFmt w:val="decimal"/>
      <w:lvlText w:val="%2."/>
      <w:lvlJc w:val="left"/>
      <w:pPr>
        <w:ind w:left="460" w:hanging="301"/>
      </w:pPr>
      <w:rPr>
        <w:rFonts w:hint="default" w:ascii="Arial" w:hAnsi="Arial" w:eastAsia="Times New Roman"/>
        <w:b/>
        <w:bCs/>
        <w:i/>
        <w:spacing w:val="0"/>
        <w:w w:val="100"/>
        <w:sz w:val="24"/>
        <w:szCs w:val="24"/>
      </w:rPr>
    </w:lvl>
    <w:lvl w:ilvl="2" w:tentative="0">
      <w:start w:val="1"/>
      <w:numFmt w:val="bullet"/>
      <w:lvlText w:val="•"/>
      <w:lvlJc w:val="left"/>
      <w:pPr>
        <w:ind w:left="1548" w:hanging="301"/>
      </w:pPr>
      <w:rPr>
        <w:rFonts w:hint="default"/>
      </w:rPr>
    </w:lvl>
    <w:lvl w:ilvl="3" w:tentative="0">
      <w:start w:val="1"/>
      <w:numFmt w:val="bullet"/>
      <w:lvlText w:val="•"/>
      <w:lvlJc w:val="left"/>
      <w:pPr>
        <w:ind w:left="2637" w:hanging="301"/>
      </w:pPr>
      <w:rPr>
        <w:rFonts w:hint="default"/>
      </w:rPr>
    </w:lvl>
    <w:lvl w:ilvl="4" w:tentative="0">
      <w:start w:val="1"/>
      <w:numFmt w:val="bullet"/>
      <w:lvlText w:val="•"/>
      <w:lvlJc w:val="left"/>
      <w:pPr>
        <w:ind w:left="3726" w:hanging="301"/>
      </w:pPr>
      <w:rPr>
        <w:rFonts w:hint="default"/>
      </w:rPr>
    </w:lvl>
    <w:lvl w:ilvl="5" w:tentative="0">
      <w:start w:val="1"/>
      <w:numFmt w:val="bullet"/>
      <w:lvlText w:val="•"/>
      <w:lvlJc w:val="left"/>
      <w:pPr>
        <w:ind w:left="4815" w:hanging="301"/>
      </w:pPr>
      <w:rPr>
        <w:rFonts w:hint="default"/>
      </w:rPr>
    </w:lvl>
    <w:lvl w:ilvl="6" w:tentative="0">
      <w:start w:val="1"/>
      <w:numFmt w:val="bullet"/>
      <w:lvlText w:val="•"/>
      <w:lvlJc w:val="left"/>
      <w:pPr>
        <w:ind w:left="5904" w:hanging="301"/>
      </w:pPr>
      <w:rPr>
        <w:rFonts w:hint="default"/>
      </w:rPr>
    </w:lvl>
    <w:lvl w:ilvl="7" w:tentative="0">
      <w:start w:val="1"/>
      <w:numFmt w:val="bullet"/>
      <w:lvlText w:val="•"/>
      <w:lvlJc w:val="left"/>
      <w:pPr>
        <w:ind w:left="6993" w:hanging="301"/>
      </w:pPr>
      <w:rPr>
        <w:rFonts w:hint="default"/>
      </w:rPr>
    </w:lvl>
    <w:lvl w:ilvl="8" w:tentative="0">
      <w:start w:val="1"/>
      <w:numFmt w:val="bullet"/>
      <w:lvlText w:val="•"/>
      <w:lvlJc w:val="left"/>
      <w:pPr>
        <w:ind w:left="8082" w:hanging="301"/>
      </w:pPr>
      <w:rPr>
        <w:rFonts w:hint="default"/>
      </w:rPr>
    </w:lvl>
  </w:abstractNum>
  <w:abstractNum w:abstractNumId="11">
    <w:nsid w:val="61C51CFC"/>
    <w:multiLevelType w:val="multilevel"/>
    <w:tmpl w:val="61C51CFC"/>
    <w:lvl w:ilvl="0" w:tentative="0">
      <w:start w:val="1"/>
      <w:numFmt w:val="lowerLetter"/>
      <w:lvlText w:val="%1."/>
      <w:lvlJc w:val="left"/>
      <w:pPr>
        <w:ind w:left="1200" w:hanging="360"/>
      </w:pPr>
      <w:rPr>
        <w:rFonts w:hint="default" w:ascii="Arial" w:hAnsi="Arial" w:eastAsia="Times New Roman" w:cs="Arial"/>
        <w:spacing w:val="-1"/>
        <w:w w:val="100"/>
        <w:sz w:val="24"/>
        <w:szCs w:val="24"/>
      </w:rPr>
    </w:lvl>
    <w:lvl w:ilvl="1" w:tentative="0">
      <w:start w:val="1"/>
      <w:numFmt w:val="bullet"/>
      <w:lvlText w:val=""/>
      <w:lvlJc w:val="left"/>
      <w:pPr>
        <w:ind w:left="1920" w:hanging="360"/>
      </w:pPr>
      <w:rPr>
        <w:rFonts w:hint="default" w:ascii="Wingdings" w:hAnsi="Wingdings" w:eastAsia="Wingdings"/>
        <w:w w:val="100"/>
        <w:sz w:val="24"/>
        <w:szCs w:val="24"/>
      </w:rPr>
    </w:lvl>
    <w:lvl w:ilvl="2" w:tentative="0">
      <w:start w:val="1"/>
      <w:numFmt w:val="bullet"/>
      <w:lvlText w:val="•"/>
      <w:lvlJc w:val="left"/>
      <w:pPr>
        <w:ind w:left="2928" w:hanging="360"/>
      </w:pPr>
      <w:rPr>
        <w:rFonts w:hint="default"/>
      </w:rPr>
    </w:lvl>
    <w:lvl w:ilvl="3" w:tentative="0">
      <w:start w:val="1"/>
      <w:numFmt w:val="bullet"/>
      <w:lvlText w:val="•"/>
      <w:lvlJc w:val="left"/>
      <w:pPr>
        <w:ind w:left="3937" w:hanging="360"/>
      </w:pPr>
      <w:rPr>
        <w:rFonts w:hint="default"/>
      </w:rPr>
    </w:lvl>
    <w:lvl w:ilvl="4" w:tentative="0">
      <w:start w:val="1"/>
      <w:numFmt w:val="bullet"/>
      <w:lvlText w:val="•"/>
      <w:lvlJc w:val="left"/>
      <w:pPr>
        <w:ind w:left="4946" w:hanging="360"/>
      </w:pPr>
      <w:rPr>
        <w:rFonts w:hint="default"/>
      </w:rPr>
    </w:lvl>
    <w:lvl w:ilvl="5" w:tentative="0">
      <w:start w:val="1"/>
      <w:numFmt w:val="bullet"/>
      <w:lvlText w:val="•"/>
      <w:lvlJc w:val="left"/>
      <w:pPr>
        <w:ind w:left="5955" w:hanging="360"/>
      </w:pPr>
      <w:rPr>
        <w:rFonts w:hint="default"/>
      </w:rPr>
    </w:lvl>
    <w:lvl w:ilvl="6" w:tentative="0">
      <w:start w:val="1"/>
      <w:numFmt w:val="bullet"/>
      <w:lvlText w:val="•"/>
      <w:lvlJc w:val="left"/>
      <w:pPr>
        <w:ind w:left="6964" w:hanging="360"/>
      </w:pPr>
      <w:rPr>
        <w:rFonts w:hint="default"/>
      </w:rPr>
    </w:lvl>
    <w:lvl w:ilvl="7" w:tentative="0">
      <w:start w:val="1"/>
      <w:numFmt w:val="bullet"/>
      <w:lvlText w:val="•"/>
      <w:lvlJc w:val="left"/>
      <w:pPr>
        <w:ind w:left="7973" w:hanging="360"/>
      </w:pPr>
      <w:rPr>
        <w:rFonts w:hint="default"/>
      </w:rPr>
    </w:lvl>
    <w:lvl w:ilvl="8" w:tentative="0">
      <w:start w:val="1"/>
      <w:numFmt w:val="bullet"/>
      <w:lvlText w:val="•"/>
      <w:lvlJc w:val="left"/>
      <w:pPr>
        <w:ind w:left="8982" w:hanging="360"/>
      </w:pPr>
      <w:rPr>
        <w:rFonts w:hint="default"/>
      </w:rPr>
    </w:lvl>
  </w:abstractNum>
  <w:abstractNum w:abstractNumId="12">
    <w:nsid w:val="6C9F4C91"/>
    <w:multiLevelType w:val="multilevel"/>
    <w:tmpl w:val="6C9F4C91"/>
    <w:lvl w:ilvl="0" w:tentative="0">
      <w:start w:val="0"/>
      <w:numFmt w:val="bullet"/>
      <w:lvlText w:val=""/>
      <w:lvlJc w:val="left"/>
      <w:pPr>
        <w:ind w:left="420" w:hanging="420"/>
      </w:pPr>
      <w:rPr>
        <w:rFonts w:hint="default" w:ascii="Wingdings 2" w:hAnsi="Wingdings 2"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10B0A61"/>
    <w:multiLevelType w:val="multilevel"/>
    <w:tmpl w:val="710B0A61"/>
    <w:lvl w:ilvl="0" w:tentative="0">
      <w:start w:val="1"/>
      <w:numFmt w:val="decimal"/>
      <w:lvlText w:val="(%1)"/>
      <w:lvlJc w:val="left"/>
      <w:pPr>
        <w:ind w:left="840" w:hanging="341"/>
      </w:pPr>
      <w:rPr>
        <w:rFonts w:hint="default" w:ascii="Arial" w:hAnsi="Arial" w:eastAsia="Times New Roman" w:cs="Arial"/>
        <w:w w:val="100"/>
        <w:sz w:val="24"/>
        <w:szCs w:val="24"/>
      </w:rPr>
    </w:lvl>
    <w:lvl w:ilvl="1" w:tentative="0">
      <w:start w:val="1"/>
      <w:numFmt w:val="bullet"/>
      <w:lvlText w:val="•"/>
      <w:lvlJc w:val="left"/>
      <w:pPr>
        <w:ind w:left="1786" w:hanging="341"/>
      </w:pPr>
      <w:rPr>
        <w:rFonts w:hint="default"/>
      </w:rPr>
    </w:lvl>
    <w:lvl w:ilvl="2" w:tentative="0">
      <w:start w:val="1"/>
      <w:numFmt w:val="bullet"/>
      <w:lvlText w:val="•"/>
      <w:lvlJc w:val="left"/>
      <w:pPr>
        <w:ind w:left="2732" w:hanging="341"/>
      </w:pPr>
      <w:rPr>
        <w:rFonts w:hint="default"/>
      </w:rPr>
    </w:lvl>
    <w:lvl w:ilvl="3" w:tentative="0">
      <w:start w:val="1"/>
      <w:numFmt w:val="bullet"/>
      <w:lvlText w:val="•"/>
      <w:lvlJc w:val="left"/>
      <w:pPr>
        <w:ind w:left="3678" w:hanging="341"/>
      </w:pPr>
      <w:rPr>
        <w:rFonts w:hint="default"/>
      </w:rPr>
    </w:lvl>
    <w:lvl w:ilvl="4" w:tentative="0">
      <w:start w:val="1"/>
      <w:numFmt w:val="bullet"/>
      <w:lvlText w:val="•"/>
      <w:lvlJc w:val="left"/>
      <w:pPr>
        <w:ind w:left="4624" w:hanging="341"/>
      </w:pPr>
      <w:rPr>
        <w:rFonts w:hint="default"/>
      </w:rPr>
    </w:lvl>
    <w:lvl w:ilvl="5" w:tentative="0">
      <w:start w:val="1"/>
      <w:numFmt w:val="bullet"/>
      <w:lvlText w:val="•"/>
      <w:lvlJc w:val="left"/>
      <w:pPr>
        <w:ind w:left="5570" w:hanging="341"/>
      </w:pPr>
      <w:rPr>
        <w:rFonts w:hint="default"/>
      </w:rPr>
    </w:lvl>
    <w:lvl w:ilvl="6" w:tentative="0">
      <w:start w:val="1"/>
      <w:numFmt w:val="bullet"/>
      <w:lvlText w:val="•"/>
      <w:lvlJc w:val="left"/>
      <w:pPr>
        <w:ind w:left="6516" w:hanging="341"/>
      </w:pPr>
      <w:rPr>
        <w:rFonts w:hint="default"/>
      </w:rPr>
    </w:lvl>
    <w:lvl w:ilvl="7" w:tentative="0">
      <w:start w:val="1"/>
      <w:numFmt w:val="bullet"/>
      <w:lvlText w:val="•"/>
      <w:lvlJc w:val="left"/>
      <w:pPr>
        <w:ind w:left="7462" w:hanging="341"/>
      </w:pPr>
      <w:rPr>
        <w:rFonts w:hint="default"/>
      </w:rPr>
    </w:lvl>
    <w:lvl w:ilvl="8" w:tentative="0">
      <w:start w:val="1"/>
      <w:numFmt w:val="bullet"/>
      <w:lvlText w:val="•"/>
      <w:lvlJc w:val="left"/>
      <w:pPr>
        <w:ind w:left="8408" w:hanging="341"/>
      </w:pPr>
      <w:rPr>
        <w:rFonts w:hint="default"/>
      </w:rPr>
    </w:lvl>
  </w:abstractNum>
  <w:abstractNum w:abstractNumId="14">
    <w:nsid w:val="71DC5A72"/>
    <w:multiLevelType w:val="multilevel"/>
    <w:tmpl w:val="71DC5A72"/>
    <w:lvl w:ilvl="0" w:tentative="0">
      <w:start w:val="1"/>
      <w:numFmt w:val="decimal"/>
      <w:lvlText w:val="(%1)"/>
      <w:lvlJc w:val="left"/>
      <w:pPr>
        <w:ind w:left="820" w:hanging="341"/>
      </w:pPr>
      <w:rPr>
        <w:rFonts w:hint="default" w:ascii="Arial" w:hAnsi="Arial" w:eastAsia="Times New Roman" w:cs="Arial"/>
        <w:spacing w:val="-2"/>
        <w:w w:val="100"/>
        <w:sz w:val="24"/>
        <w:szCs w:val="24"/>
      </w:rPr>
    </w:lvl>
    <w:lvl w:ilvl="1" w:tentative="0">
      <w:start w:val="1"/>
      <w:numFmt w:val="bullet"/>
      <w:lvlText w:val="•"/>
      <w:lvlJc w:val="left"/>
      <w:pPr>
        <w:ind w:left="1766" w:hanging="341"/>
      </w:pPr>
      <w:rPr>
        <w:rFonts w:hint="default"/>
      </w:rPr>
    </w:lvl>
    <w:lvl w:ilvl="2" w:tentative="0">
      <w:start w:val="1"/>
      <w:numFmt w:val="bullet"/>
      <w:lvlText w:val="•"/>
      <w:lvlJc w:val="left"/>
      <w:pPr>
        <w:ind w:left="2712" w:hanging="341"/>
      </w:pPr>
      <w:rPr>
        <w:rFonts w:hint="default"/>
      </w:rPr>
    </w:lvl>
    <w:lvl w:ilvl="3" w:tentative="0">
      <w:start w:val="1"/>
      <w:numFmt w:val="bullet"/>
      <w:lvlText w:val="•"/>
      <w:lvlJc w:val="left"/>
      <w:pPr>
        <w:ind w:left="3658" w:hanging="341"/>
      </w:pPr>
      <w:rPr>
        <w:rFonts w:hint="default"/>
      </w:rPr>
    </w:lvl>
    <w:lvl w:ilvl="4" w:tentative="0">
      <w:start w:val="1"/>
      <w:numFmt w:val="bullet"/>
      <w:lvlText w:val="•"/>
      <w:lvlJc w:val="left"/>
      <w:pPr>
        <w:ind w:left="4604" w:hanging="341"/>
      </w:pPr>
      <w:rPr>
        <w:rFonts w:hint="default"/>
      </w:rPr>
    </w:lvl>
    <w:lvl w:ilvl="5" w:tentative="0">
      <w:start w:val="1"/>
      <w:numFmt w:val="bullet"/>
      <w:lvlText w:val="•"/>
      <w:lvlJc w:val="left"/>
      <w:pPr>
        <w:ind w:left="5550" w:hanging="341"/>
      </w:pPr>
      <w:rPr>
        <w:rFonts w:hint="default"/>
      </w:rPr>
    </w:lvl>
    <w:lvl w:ilvl="6" w:tentative="0">
      <w:start w:val="1"/>
      <w:numFmt w:val="bullet"/>
      <w:lvlText w:val="•"/>
      <w:lvlJc w:val="left"/>
      <w:pPr>
        <w:ind w:left="6496" w:hanging="341"/>
      </w:pPr>
      <w:rPr>
        <w:rFonts w:hint="default"/>
      </w:rPr>
    </w:lvl>
    <w:lvl w:ilvl="7" w:tentative="0">
      <w:start w:val="1"/>
      <w:numFmt w:val="bullet"/>
      <w:lvlText w:val="•"/>
      <w:lvlJc w:val="left"/>
      <w:pPr>
        <w:ind w:left="7442" w:hanging="341"/>
      </w:pPr>
      <w:rPr>
        <w:rFonts w:hint="default"/>
      </w:rPr>
    </w:lvl>
    <w:lvl w:ilvl="8" w:tentative="0">
      <w:start w:val="1"/>
      <w:numFmt w:val="bullet"/>
      <w:lvlText w:val="•"/>
      <w:lvlJc w:val="left"/>
      <w:pPr>
        <w:ind w:left="8388" w:hanging="341"/>
      </w:pPr>
      <w:rPr>
        <w:rFonts w:hint="default"/>
      </w:rPr>
    </w:lvl>
  </w:abstractNum>
  <w:abstractNum w:abstractNumId="15">
    <w:nsid w:val="7AF316FB"/>
    <w:multiLevelType w:val="multilevel"/>
    <w:tmpl w:val="7AF316FB"/>
    <w:lvl w:ilvl="0" w:tentative="0">
      <w:start w:val="1"/>
      <w:numFmt w:val="lowerLetter"/>
      <w:lvlText w:val="%1."/>
      <w:lvlJc w:val="left"/>
      <w:pPr>
        <w:ind w:left="840" w:hanging="360"/>
      </w:pPr>
      <w:rPr>
        <w:rFonts w:hint="default" w:ascii="Arial" w:hAnsi="Arial" w:eastAsia="Times New Roman" w:cs="Arial"/>
        <w:spacing w:val="-3"/>
        <w:w w:val="100"/>
        <w:sz w:val="24"/>
        <w:szCs w:val="24"/>
      </w:rPr>
    </w:lvl>
    <w:lvl w:ilvl="1" w:tentative="0">
      <w:start w:val="1"/>
      <w:numFmt w:val="bullet"/>
      <w:lvlText w:val="•"/>
      <w:lvlJc w:val="left"/>
      <w:pPr>
        <w:ind w:left="1854" w:hanging="360"/>
      </w:pPr>
      <w:rPr>
        <w:rFonts w:hint="default"/>
      </w:rPr>
    </w:lvl>
    <w:lvl w:ilvl="2" w:tentative="0">
      <w:start w:val="1"/>
      <w:numFmt w:val="bullet"/>
      <w:lvlText w:val="•"/>
      <w:lvlJc w:val="left"/>
      <w:pPr>
        <w:ind w:left="2868" w:hanging="360"/>
      </w:pPr>
      <w:rPr>
        <w:rFonts w:hint="default"/>
      </w:rPr>
    </w:lvl>
    <w:lvl w:ilvl="3" w:tentative="0">
      <w:start w:val="1"/>
      <w:numFmt w:val="bullet"/>
      <w:lvlText w:val="•"/>
      <w:lvlJc w:val="left"/>
      <w:pPr>
        <w:ind w:left="3882" w:hanging="360"/>
      </w:pPr>
      <w:rPr>
        <w:rFonts w:hint="default"/>
      </w:rPr>
    </w:lvl>
    <w:lvl w:ilvl="4" w:tentative="0">
      <w:start w:val="1"/>
      <w:numFmt w:val="bullet"/>
      <w:lvlText w:val="•"/>
      <w:lvlJc w:val="left"/>
      <w:pPr>
        <w:ind w:left="4896" w:hanging="360"/>
      </w:pPr>
      <w:rPr>
        <w:rFonts w:hint="default"/>
      </w:rPr>
    </w:lvl>
    <w:lvl w:ilvl="5" w:tentative="0">
      <w:start w:val="1"/>
      <w:numFmt w:val="bullet"/>
      <w:lvlText w:val="•"/>
      <w:lvlJc w:val="left"/>
      <w:pPr>
        <w:ind w:left="5910" w:hanging="360"/>
      </w:pPr>
      <w:rPr>
        <w:rFonts w:hint="default"/>
      </w:rPr>
    </w:lvl>
    <w:lvl w:ilvl="6" w:tentative="0">
      <w:start w:val="1"/>
      <w:numFmt w:val="bullet"/>
      <w:lvlText w:val="•"/>
      <w:lvlJc w:val="left"/>
      <w:pPr>
        <w:ind w:left="6924" w:hanging="360"/>
      </w:pPr>
      <w:rPr>
        <w:rFonts w:hint="default"/>
      </w:rPr>
    </w:lvl>
    <w:lvl w:ilvl="7" w:tentative="0">
      <w:start w:val="1"/>
      <w:numFmt w:val="bullet"/>
      <w:lvlText w:val="•"/>
      <w:lvlJc w:val="left"/>
      <w:pPr>
        <w:ind w:left="7938" w:hanging="360"/>
      </w:pPr>
      <w:rPr>
        <w:rFonts w:hint="default"/>
      </w:rPr>
    </w:lvl>
    <w:lvl w:ilvl="8" w:tentative="0">
      <w:start w:val="1"/>
      <w:numFmt w:val="bullet"/>
      <w:lvlText w:val="•"/>
      <w:lvlJc w:val="left"/>
      <w:pPr>
        <w:ind w:left="8952" w:hanging="360"/>
      </w:pPr>
      <w:rPr>
        <w:rFonts w:hint="default"/>
      </w:rPr>
    </w:lvl>
  </w:abstractNum>
  <w:abstractNum w:abstractNumId="16">
    <w:nsid w:val="7B4B47EB"/>
    <w:multiLevelType w:val="multilevel"/>
    <w:tmpl w:val="7B4B47EB"/>
    <w:lvl w:ilvl="0" w:tentative="0">
      <w:start w:val="1"/>
      <w:numFmt w:val="upperLetter"/>
      <w:lvlText w:val="%1."/>
      <w:lvlJc w:val="left"/>
      <w:pPr>
        <w:ind w:left="1192" w:hanging="353"/>
      </w:pPr>
      <w:rPr>
        <w:rFonts w:hint="default" w:ascii="Arial" w:hAnsi="Arial" w:eastAsia="Times New Roman" w:cs="Arial"/>
        <w:b/>
        <w:bCs/>
        <w:spacing w:val="-1"/>
        <w:w w:val="100"/>
        <w:sz w:val="24"/>
        <w:szCs w:val="24"/>
      </w:rPr>
    </w:lvl>
    <w:lvl w:ilvl="1" w:tentative="0">
      <w:start w:val="1"/>
      <w:numFmt w:val="bullet"/>
      <w:lvlText w:val="•"/>
      <w:lvlJc w:val="left"/>
      <w:pPr>
        <w:ind w:left="2110" w:hanging="353"/>
      </w:pPr>
      <w:rPr>
        <w:rFonts w:hint="default"/>
      </w:rPr>
    </w:lvl>
    <w:lvl w:ilvl="2" w:tentative="0">
      <w:start w:val="1"/>
      <w:numFmt w:val="bullet"/>
      <w:lvlText w:val="•"/>
      <w:lvlJc w:val="left"/>
      <w:pPr>
        <w:ind w:left="3020" w:hanging="353"/>
      </w:pPr>
      <w:rPr>
        <w:rFonts w:hint="default"/>
      </w:rPr>
    </w:lvl>
    <w:lvl w:ilvl="3" w:tentative="0">
      <w:start w:val="1"/>
      <w:numFmt w:val="bullet"/>
      <w:lvlText w:val="•"/>
      <w:lvlJc w:val="left"/>
      <w:pPr>
        <w:ind w:left="3930" w:hanging="353"/>
      </w:pPr>
      <w:rPr>
        <w:rFonts w:hint="default"/>
      </w:rPr>
    </w:lvl>
    <w:lvl w:ilvl="4" w:tentative="0">
      <w:start w:val="1"/>
      <w:numFmt w:val="bullet"/>
      <w:lvlText w:val="•"/>
      <w:lvlJc w:val="left"/>
      <w:pPr>
        <w:ind w:left="4840" w:hanging="353"/>
      </w:pPr>
      <w:rPr>
        <w:rFonts w:hint="default"/>
      </w:rPr>
    </w:lvl>
    <w:lvl w:ilvl="5" w:tentative="0">
      <w:start w:val="1"/>
      <w:numFmt w:val="bullet"/>
      <w:lvlText w:val="•"/>
      <w:lvlJc w:val="left"/>
      <w:pPr>
        <w:ind w:left="5750" w:hanging="353"/>
      </w:pPr>
      <w:rPr>
        <w:rFonts w:hint="default"/>
      </w:rPr>
    </w:lvl>
    <w:lvl w:ilvl="6" w:tentative="0">
      <w:start w:val="1"/>
      <w:numFmt w:val="bullet"/>
      <w:lvlText w:val="•"/>
      <w:lvlJc w:val="left"/>
      <w:pPr>
        <w:ind w:left="6660" w:hanging="353"/>
      </w:pPr>
      <w:rPr>
        <w:rFonts w:hint="default"/>
      </w:rPr>
    </w:lvl>
    <w:lvl w:ilvl="7" w:tentative="0">
      <w:start w:val="1"/>
      <w:numFmt w:val="bullet"/>
      <w:lvlText w:val="•"/>
      <w:lvlJc w:val="left"/>
      <w:pPr>
        <w:ind w:left="7570" w:hanging="353"/>
      </w:pPr>
      <w:rPr>
        <w:rFonts w:hint="default"/>
      </w:rPr>
    </w:lvl>
    <w:lvl w:ilvl="8" w:tentative="0">
      <w:start w:val="1"/>
      <w:numFmt w:val="bullet"/>
      <w:lvlText w:val="•"/>
      <w:lvlJc w:val="left"/>
      <w:pPr>
        <w:ind w:left="8480" w:hanging="353"/>
      </w:pPr>
      <w:rPr>
        <w:rFonts w:hint="default"/>
      </w:rPr>
    </w:lvl>
  </w:abstractNum>
  <w:abstractNum w:abstractNumId="17">
    <w:nsid w:val="7C9658AB"/>
    <w:multiLevelType w:val="multilevel"/>
    <w:tmpl w:val="7C9658AB"/>
    <w:lvl w:ilvl="0" w:tentative="0">
      <w:start w:val="1"/>
      <w:numFmt w:val="bullet"/>
      <w:lvlText w:val=""/>
      <w:lvlJc w:val="left"/>
      <w:pPr>
        <w:ind w:left="1200" w:hanging="360"/>
      </w:pPr>
      <w:rPr>
        <w:rFonts w:hint="default" w:ascii="Symbol" w:hAnsi="Symbol" w:eastAsia="Symbol"/>
        <w:w w:val="100"/>
        <w:sz w:val="24"/>
        <w:szCs w:val="24"/>
      </w:rPr>
    </w:lvl>
    <w:lvl w:ilvl="1" w:tentative="0">
      <w:start w:val="1"/>
      <w:numFmt w:val="bullet"/>
      <w:lvlText w:val="•"/>
      <w:lvlJc w:val="left"/>
      <w:pPr>
        <w:ind w:left="2178" w:hanging="360"/>
      </w:pPr>
      <w:rPr>
        <w:rFonts w:hint="default"/>
      </w:rPr>
    </w:lvl>
    <w:lvl w:ilvl="2" w:tentative="0">
      <w:start w:val="1"/>
      <w:numFmt w:val="bullet"/>
      <w:lvlText w:val="•"/>
      <w:lvlJc w:val="left"/>
      <w:pPr>
        <w:ind w:left="3156" w:hanging="360"/>
      </w:pPr>
      <w:rPr>
        <w:rFonts w:hint="default"/>
      </w:rPr>
    </w:lvl>
    <w:lvl w:ilvl="3" w:tentative="0">
      <w:start w:val="1"/>
      <w:numFmt w:val="bullet"/>
      <w:lvlText w:val="•"/>
      <w:lvlJc w:val="left"/>
      <w:pPr>
        <w:ind w:left="4134" w:hanging="360"/>
      </w:pPr>
      <w:rPr>
        <w:rFonts w:hint="default"/>
      </w:rPr>
    </w:lvl>
    <w:lvl w:ilvl="4" w:tentative="0">
      <w:start w:val="1"/>
      <w:numFmt w:val="bullet"/>
      <w:lvlText w:val="•"/>
      <w:lvlJc w:val="left"/>
      <w:pPr>
        <w:ind w:left="5112" w:hanging="360"/>
      </w:pPr>
      <w:rPr>
        <w:rFonts w:hint="default"/>
      </w:rPr>
    </w:lvl>
    <w:lvl w:ilvl="5" w:tentative="0">
      <w:start w:val="1"/>
      <w:numFmt w:val="bullet"/>
      <w:lvlText w:val="•"/>
      <w:lvlJc w:val="left"/>
      <w:pPr>
        <w:ind w:left="6090" w:hanging="360"/>
      </w:pPr>
      <w:rPr>
        <w:rFonts w:hint="default"/>
      </w:rPr>
    </w:lvl>
    <w:lvl w:ilvl="6" w:tentative="0">
      <w:start w:val="1"/>
      <w:numFmt w:val="bullet"/>
      <w:lvlText w:val="•"/>
      <w:lvlJc w:val="left"/>
      <w:pPr>
        <w:ind w:left="7068" w:hanging="360"/>
      </w:pPr>
      <w:rPr>
        <w:rFonts w:hint="default"/>
      </w:rPr>
    </w:lvl>
    <w:lvl w:ilvl="7" w:tentative="0">
      <w:start w:val="1"/>
      <w:numFmt w:val="bullet"/>
      <w:lvlText w:val="•"/>
      <w:lvlJc w:val="left"/>
      <w:pPr>
        <w:ind w:left="8046" w:hanging="360"/>
      </w:pPr>
      <w:rPr>
        <w:rFonts w:hint="default"/>
      </w:rPr>
    </w:lvl>
    <w:lvl w:ilvl="8" w:tentative="0">
      <w:start w:val="1"/>
      <w:numFmt w:val="bullet"/>
      <w:lvlText w:val="•"/>
      <w:lvlJc w:val="left"/>
      <w:pPr>
        <w:ind w:left="9024" w:hanging="360"/>
      </w:pPr>
      <w:rPr>
        <w:rFonts w:hint="default"/>
      </w:rPr>
    </w:lvl>
  </w:abstractNum>
  <w:abstractNum w:abstractNumId="18">
    <w:nsid w:val="7D4513B2"/>
    <w:multiLevelType w:val="multilevel"/>
    <w:tmpl w:val="7D4513B2"/>
    <w:lvl w:ilvl="0" w:tentative="0">
      <w:start w:val="1"/>
      <w:numFmt w:val="upperLetter"/>
      <w:lvlText w:val="%1."/>
      <w:lvlJc w:val="left"/>
      <w:pPr>
        <w:ind w:left="1192" w:hanging="353"/>
      </w:pPr>
      <w:rPr>
        <w:rFonts w:hint="default" w:ascii="Arial" w:hAnsi="Arial" w:eastAsia="Times New Roman"/>
        <w:b/>
        <w:bCs/>
        <w:i/>
        <w:spacing w:val="0"/>
        <w:w w:val="100"/>
        <w:sz w:val="24"/>
        <w:szCs w:val="24"/>
      </w:rPr>
    </w:lvl>
    <w:lvl w:ilvl="1" w:tentative="0">
      <w:start w:val="1"/>
      <w:numFmt w:val="bullet"/>
      <w:lvlText w:val="•"/>
      <w:lvlJc w:val="left"/>
      <w:pPr>
        <w:ind w:left="2110" w:hanging="353"/>
      </w:pPr>
      <w:rPr>
        <w:rFonts w:hint="default"/>
      </w:rPr>
    </w:lvl>
    <w:lvl w:ilvl="2" w:tentative="0">
      <w:start w:val="1"/>
      <w:numFmt w:val="bullet"/>
      <w:lvlText w:val="•"/>
      <w:lvlJc w:val="left"/>
      <w:pPr>
        <w:ind w:left="3020" w:hanging="353"/>
      </w:pPr>
      <w:rPr>
        <w:rFonts w:hint="default"/>
      </w:rPr>
    </w:lvl>
    <w:lvl w:ilvl="3" w:tentative="0">
      <w:start w:val="1"/>
      <w:numFmt w:val="bullet"/>
      <w:lvlText w:val="•"/>
      <w:lvlJc w:val="left"/>
      <w:pPr>
        <w:ind w:left="3930" w:hanging="353"/>
      </w:pPr>
      <w:rPr>
        <w:rFonts w:hint="default"/>
      </w:rPr>
    </w:lvl>
    <w:lvl w:ilvl="4" w:tentative="0">
      <w:start w:val="1"/>
      <w:numFmt w:val="bullet"/>
      <w:lvlText w:val="•"/>
      <w:lvlJc w:val="left"/>
      <w:pPr>
        <w:ind w:left="4840" w:hanging="353"/>
      </w:pPr>
      <w:rPr>
        <w:rFonts w:hint="default"/>
      </w:rPr>
    </w:lvl>
    <w:lvl w:ilvl="5" w:tentative="0">
      <w:start w:val="1"/>
      <w:numFmt w:val="bullet"/>
      <w:lvlText w:val="•"/>
      <w:lvlJc w:val="left"/>
      <w:pPr>
        <w:ind w:left="5750" w:hanging="353"/>
      </w:pPr>
      <w:rPr>
        <w:rFonts w:hint="default"/>
      </w:rPr>
    </w:lvl>
    <w:lvl w:ilvl="6" w:tentative="0">
      <w:start w:val="1"/>
      <w:numFmt w:val="bullet"/>
      <w:lvlText w:val="•"/>
      <w:lvlJc w:val="left"/>
      <w:pPr>
        <w:ind w:left="6660" w:hanging="353"/>
      </w:pPr>
      <w:rPr>
        <w:rFonts w:hint="default"/>
      </w:rPr>
    </w:lvl>
    <w:lvl w:ilvl="7" w:tentative="0">
      <w:start w:val="1"/>
      <w:numFmt w:val="bullet"/>
      <w:lvlText w:val="•"/>
      <w:lvlJc w:val="left"/>
      <w:pPr>
        <w:ind w:left="7570" w:hanging="353"/>
      </w:pPr>
      <w:rPr>
        <w:rFonts w:hint="default"/>
      </w:rPr>
    </w:lvl>
    <w:lvl w:ilvl="8" w:tentative="0">
      <w:start w:val="1"/>
      <w:numFmt w:val="bullet"/>
      <w:lvlText w:val="•"/>
      <w:lvlJc w:val="left"/>
      <w:pPr>
        <w:ind w:left="8480" w:hanging="353"/>
      </w:pPr>
      <w:rPr>
        <w:rFonts w:hint="default"/>
      </w:rPr>
    </w:lvl>
  </w:abstractNum>
  <w:abstractNum w:abstractNumId="19">
    <w:nsid w:val="7DE92DE5"/>
    <w:multiLevelType w:val="multilevel"/>
    <w:tmpl w:val="7DE92DE5"/>
    <w:lvl w:ilvl="0" w:tentative="0">
      <w:start w:val="0"/>
      <w:numFmt w:val="bullet"/>
      <w:lvlText w:val="○"/>
      <w:lvlJc w:val="left"/>
      <w:pPr>
        <w:ind w:left="420" w:hanging="420"/>
      </w:pPr>
      <w:rPr>
        <w:rFonts w:hint="default" w:ascii="Arial" w:hAnsi="Arial"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E1B231E"/>
    <w:multiLevelType w:val="multilevel"/>
    <w:tmpl w:val="7E1B231E"/>
    <w:lvl w:ilvl="0" w:tentative="0">
      <w:start w:val="1"/>
      <w:numFmt w:val="lowerLetter"/>
      <w:lvlText w:val="(%1)"/>
      <w:lvlJc w:val="left"/>
      <w:pPr>
        <w:ind w:left="100" w:hanging="327"/>
      </w:pPr>
      <w:rPr>
        <w:rFonts w:hint="default" w:ascii="Arial" w:hAnsi="Arial" w:eastAsia="Times New Roman" w:cs="Arial"/>
        <w:w w:val="100"/>
        <w:sz w:val="24"/>
        <w:szCs w:val="24"/>
      </w:rPr>
    </w:lvl>
    <w:lvl w:ilvl="1" w:tentative="0">
      <w:start w:val="1"/>
      <w:numFmt w:val="decimal"/>
      <w:lvlText w:val="(%2)"/>
      <w:lvlJc w:val="left"/>
      <w:pPr>
        <w:ind w:left="820" w:hanging="341"/>
      </w:pPr>
      <w:rPr>
        <w:rFonts w:hint="default" w:ascii="Arial" w:hAnsi="Arial" w:eastAsia="Times New Roman"/>
        <w:spacing w:val="0"/>
        <w:w w:val="100"/>
        <w:sz w:val="24"/>
        <w:szCs w:val="24"/>
      </w:rPr>
    </w:lvl>
    <w:lvl w:ilvl="2" w:tentative="0">
      <w:start w:val="1"/>
      <w:numFmt w:val="lowerRoman"/>
      <w:lvlText w:val="(%3)"/>
      <w:lvlJc w:val="left"/>
      <w:pPr>
        <w:ind w:left="1540" w:hanging="287"/>
      </w:pPr>
      <w:rPr>
        <w:rFonts w:hint="default" w:ascii="Arial" w:hAnsi="Arial" w:eastAsia="Times New Roman" w:cs="Arial"/>
        <w:w w:val="100"/>
        <w:sz w:val="24"/>
        <w:szCs w:val="24"/>
      </w:rPr>
    </w:lvl>
    <w:lvl w:ilvl="3" w:tentative="0">
      <w:start w:val="1"/>
      <w:numFmt w:val="bullet"/>
      <w:lvlText w:val="•"/>
      <w:lvlJc w:val="left"/>
      <w:pPr>
        <w:ind w:left="2627" w:hanging="287"/>
      </w:pPr>
      <w:rPr>
        <w:rFonts w:hint="default"/>
      </w:rPr>
    </w:lvl>
    <w:lvl w:ilvl="4" w:tentative="0">
      <w:start w:val="1"/>
      <w:numFmt w:val="bullet"/>
      <w:lvlText w:val="•"/>
      <w:lvlJc w:val="left"/>
      <w:pPr>
        <w:ind w:left="3715" w:hanging="287"/>
      </w:pPr>
      <w:rPr>
        <w:rFonts w:hint="default"/>
      </w:rPr>
    </w:lvl>
    <w:lvl w:ilvl="5" w:tentative="0">
      <w:start w:val="1"/>
      <w:numFmt w:val="bullet"/>
      <w:lvlText w:val="•"/>
      <w:lvlJc w:val="left"/>
      <w:pPr>
        <w:ind w:left="4802" w:hanging="287"/>
      </w:pPr>
      <w:rPr>
        <w:rFonts w:hint="default"/>
      </w:rPr>
    </w:lvl>
    <w:lvl w:ilvl="6" w:tentative="0">
      <w:start w:val="1"/>
      <w:numFmt w:val="bullet"/>
      <w:lvlText w:val="•"/>
      <w:lvlJc w:val="left"/>
      <w:pPr>
        <w:ind w:left="5890" w:hanging="287"/>
      </w:pPr>
      <w:rPr>
        <w:rFonts w:hint="default"/>
      </w:rPr>
    </w:lvl>
    <w:lvl w:ilvl="7" w:tentative="0">
      <w:start w:val="1"/>
      <w:numFmt w:val="bullet"/>
      <w:lvlText w:val="•"/>
      <w:lvlJc w:val="left"/>
      <w:pPr>
        <w:ind w:left="6977" w:hanging="287"/>
      </w:pPr>
      <w:rPr>
        <w:rFonts w:hint="default"/>
      </w:rPr>
    </w:lvl>
    <w:lvl w:ilvl="8" w:tentative="0">
      <w:start w:val="1"/>
      <w:numFmt w:val="bullet"/>
      <w:lvlText w:val="•"/>
      <w:lvlJc w:val="left"/>
      <w:pPr>
        <w:ind w:left="8065" w:hanging="287"/>
      </w:pPr>
      <w:rPr>
        <w:rFonts w:hint="default"/>
      </w:rPr>
    </w:lvl>
  </w:abstractNum>
  <w:num w:numId="1">
    <w:abstractNumId w:val="2"/>
  </w:num>
  <w:num w:numId="2">
    <w:abstractNumId w:val="10"/>
  </w:num>
  <w:num w:numId="3">
    <w:abstractNumId w:val="3"/>
  </w:num>
  <w:num w:numId="4">
    <w:abstractNumId w:val="13"/>
  </w:num>
  <w:num w:numId="5">
    <w:abstractNumId w:val="17"/>
  </w:num>
  <w:num w:numId="6">
    <w:abstractNumId w:val="15"/>
  </w:num>
  <w:num w:numId="7">
    <w:abstractNumId w:val="11"/>
  </w:num>
  <w:num w:numId="8">
    <w:abstractNumId w:val="1"/>
  </w:num>
  <w:num w:numId="9">
    <w:abstractNumId w:val="19"/>
  </w:num>
  <w:num w:numId="10">
    <w:abstractNumId w:val="9"/>
  </w:num>
  <w:num w:numId="11">
    <w:abstractNumId w:val="14"/>
  </w:num>
  <w:num w:numId="12">
    <w:abstractNumId w:val="8"/>
  </w:num>
  <w:num w:numId="13">
    <w:abstractNumId w:val="12"/>
  </w:num>
  <w:num w:numId="14">
    <w:abstractNumId w:val="0"/>
  </w:num>
  <w:num w:numId="15">
    <w:abstractNumId w:val="18"/>
  </w:num>
  <w:num w:numId="16">
    <w:abstractNumId w:val="5"/>
  </w:num>
  <w:num w:numId="17">
    <w:abstractNumId w:val="4"/>
  </w:num>
  <w:num w:numId="18">
    <w:abstractNumId w:val="7"/>
  </w:num>
  <w:num w:numId="19">
    <w:abstractNumId w:val="6"/>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720"/>
  <w:drawingGridHorizontalSpacing w:val="110"/>
  <w:drawingGridVerticalSpacing w:val="299"/>
  <w:displayHorizontalDrawingGridEvery w:val="2"/>
  <w:characterSpacingControl w:val="doNotCompress"/>
  <w:footnotePr>
    <w:footnote w:id="108"/>
    <w:footnote w:id="109"/>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9B"/>
    <w:rsid w:val="000011A9"/>
    <w:rsid w:val="00003158"/>
    <w:rsid w:val="000035CA"/>
    <w:rsid w:val="00005B6C"/>
    <w:rsid w:val="000128FC"/>
    <w:rsid w:val="00023700"/>
    <w:rsid w:val="00035B73"/>
    <w:rsid w:val="000361A5"/>
    <w:rsid w:val="00036858"/>
    <w:rsid w:val="000453E7"/>
    <w:rsid w:val="00050C85"/>
    <w:rsid w:val="000606A0"/>
    <w:rsid w:val="00061BB1"/>
    <w:rsid w:val="00064BB9"/>
    <w:rsid w:val="00075392"/>
    <w:rsid w:val="00076226"/>
    <w:rsid w:val="000822D7"/>
    <w:rsid w:val="00091AE9"/>
    <w:rsid w:val="000A5A25"/>
    <w:rsid w:val="000A73B7"/>
    <w:rsid w:val="000C2D76"/>
    <w:rsid w:val="000F126E"/>
    <w:rsid w:val="0010479B"/>
    <w:rsid w:val="001076BC"/>
    <w:rsid w:val="00121D5F"/>
    <w:rsid w:val="00122910"/>
    <w:rsid w:val="00127E81"/>
    <w:rsid w:val="001302ED"/>
    <w:rsid w:val="0015233E"/>
    <w:rsid w:val="00163AC4"/>
    <w:rsid w:val="0017031E"/>
    <w:rsid w:val="00173CEA"/>
    <w:rsid w:val="0019005B"/>
    <w:rsid w:val="001962F1"/>
    <w:rsid w:val="001B2DBD"/>
    <w:rsid w:val="001B5BD8"/>
    <w:rsid w:val="001C053D"/>
    <w:rsid w:val="001C1163"/>
    <w:rsid w:val="001C7364"/>
    <w:rsid w:val="001D4119"/>
    <w:rsid w:val="001D760C"/>
    <w:rsid w:val="001E02A2"/>
    <w:rsid w:val="001E2BF3"/>
    <w:rsid w:val="001E3FF1"/>
    <w:rsid w:val="001E6F55"/>
    <w:rsid w:val="001F7329"/>
    <w:rsid w:val="00211B5E"/>
    <w:rsid w:val="00233DF9"/>
    <w:rsid w:val="002358EA"/>
    <w:rsid w:val="00251203"/>
    <w:rsid w:val="0026221D"/>
    <w:rsid w:val="00263098"/>
    <w:rsid w:val="00266382"/>
    <w:rsid w:val="00285030"/>
    <w:rsid w:val="00291089"/>
    <w:rsid w:val="00294605"/>
    <w:rsid w:val="002A29D4"/>
    <w:rsid w:val="002C6AD8"/>
    <w:rsid w:val="002E0B48"/>
    <w:rsid w:val="002F3609"/>
    <w:rsid w:val="002F57A0"/>
    <w:rsid w:val="00315DF9"/>
    <w:rsid w:val="00324207"/>
    <w:rsid w:val="00326EC9"/>
    <w:rsid w:val="00331BC3"/>
    <w:rsid w:val="00335A61"/>
    <w:rsid w:val="00352C31"/>
    <w:rsid w:val="0036092F"/>
    <w:rsid w:val="0036562A"/>
    <w:rsid w:val="0036660D"/>
    <w:rsid w:val="00386777"/>
    <w:rsid w:val="00387017"/>
    <w:rsid w:val="003A78E5"/>
    <w:rsid w:val="003B0A90"/>
    <w:rsid w:val="003C20D1"/>
    <w:rsid w:val="003C7669"/>
    <w:rsid w:val="004005A5"/>
    <w:rsid w:val="00400D58"/>
    <w:rsid w:val="00422D09"/>
    <w:rsid w:val="00423675"/>
    <w:rsid w:val="00424D26"/>
    <w:rsid w:val="00427624"/>
    <w:rsid w:val="00433D29"/>
    <w:rsid w:val="00434A26"/>
    <w:rsid w:val="00452122"/>
    <w:rsid w:val="004668FA"/>
    <w:rsid w:val="00467A22"/>
    <w:rsid w:val="004733E7"/>
    <w:rsid w:val="00486976"/>
    <w:rsid w:val="00491145"/>
    <w:rsid w:val="00492F2D"/>
    <w:rsid w:val="00495358"/>
    <w:rsid w:val="00496A2E"/>
    <w:rsid w:val="004C2FA1"/>
    <w:rsid w:val="004C36AD"/>
    <w:rsid w:val="004C430E"/>
    <w:rsid w:val="004D13CD"/>
    <w:rsid w:val="004E0239"/>
    <w:rsid w:val="004E3B48"/>
    <w:rsid w:val="004E43D4"/>
    <w:rsid w:val="005115D2"/>
    <w:rsid w:val="00517A20"/>
    <w:rsid w:val="00523555"/>
    <w:rsid w:val="0052454A"/>
    <w:rsid w:val="005501AD"/>
    <w:rsid w:val="00560616"/>
    <w:rsid w:val="005638CB"/>
    <w:rsid w:val="00564FA2"/>
    <w:rsid w:val="0058175D"/>
    <w:rsid w:val="00591777"/>
    <w:rsid w:val="005A0230"/>
    <w:rsid w:val="005A1F52"/>
    <w:rsid w:val="005A43CA"/>
    <w:rsid w:val="005B687D"/>
    <w:rsid w:val="005B71B3"/>
    <w:rsid w:val="005C3A49"/>
    <w:rsid w:val="005E7447"/>
    <w:rsid w:val="005F4003"/>
    <w:rsid w:val="006045C6"/>
    <w:rsid w:val="006061E9"/>
    <w:rsid w:val="00610165"/>
    <w:rsid w:val="006354F6"/>
    <w:rsid w:val="006501DE"/>
    <w:rsid w:val="006606D3"/>
    <w:rsid w:val="00670EEB"/>
    <w:rsid w:val="00695BE7"/>
    <w:rsid w:val="006C2EFA"/>
    <w:rsid w:val="006D0C56"/>
    <w:rsid w:val="006E1966"/>
    <w:rsid w:val="006E2A80"/>
    <w:rsid w:val="006E65C4"/>
    <w:rsid w:val="006E7731"/>
    <w:rsid w:val="006E77EA"/>
    <w:rsid w:val="007122CA"/>
    <w:rsid w:val="00720DBA"/>
    <w:rsid w:val="00722320"/>
    <w:rsid w:val="00735963"/>
    <w:rsid w:val="00742A94"/>
    <w:rsid w:val="00745DBE"/>
    <w:rsid w:val="00753EDB"/>
    <w:rsid w:val="0075715F"/>
    <w:rsid w:val="00771CF1"/>
    <w:rsid w:val="007835D2"/>
    <w:rsid w:val="0078529A"/>
    <w:rsid w:val="00793C82"/>
    <w:rsid w:val="007A3960"/>
    <w:rsid w:val="007A583D"/>
    <w:rsid w:val="007B0A20"/>
    <w:rsid w:val="007B1535"/>
    <w:rsid w:val="007C7A72"/>
    <w:rsid w:val="007D2B94"/>
    <w:rsid w:val="007E09A2"/>
    <w:rsid w:val="007E7D6A"/>
    <w:rsid w:val="007F6EAC"/>
    <w:rsid w:val="00807A2E"/>
    <w:rsid w:val="008241CD"/>
    <w:rsid w:val="00844398"/>
    <w:rsid w:val="00846601"/>
    <w:rsid w:val="008511B9"/>
    <w:rsid w:val="00852D82"/>
    <w:rsid w:val="00863242"/>
    <w:rsid w:val="00872D2B"/>
    <w:rsid w:val="0087678B"/>
    <w:rsid w:val="008800EE"/>
    <w:rsid w:val="008978C4"/>
    <w:rsid w:val="008A317C"/>
    <w:rsid w:val="008A5DAB"/>
    <w:rsid w:val="008A6BA4"/>
    <w:rsid w:val="008B588D"/>
    <w:rsid w:val="008C2AE0"/>
    <w:rsid w:val="008C39DF"/>
    <w:rsid w:val="008C488B"/>
    <w:rsid w:val="008C55DC"/>
    <w:rsid w:val="008C67F6"/>
    <w:rsid w:val="008D171D"/>
    <w:rsid w:val="008D6594"/>
    <w:rsid w:val="008D660A"/>
    <w:rsid w:val="008F3D58"/>
    <w:rsid w:val="00900ADA"/>
    <w:rsid w:val="00902C83"/>
    <w:rsid w:val="009041A6"/>
    <w:rsid w:val="00906A1C"/>
    <w:rsid w:val="009135EF"/>
    <w:rsid w:val="0091409E"/>
    <w:rsid w:val="00923A96"/>
    <w:rsid w:val="00927088"/>
    <w:rsid w:val="00935D5D"/>
    <w:rsid w:val="00971475"/>
    <w:rsid w:val="00972321"/>
    <w:rsid w:val="009877EF"/>
    <w:rsid w:val="00995A81"/>
    <w:rsid w:val="009B22FB"/>
    <w:rsid w:val="009B4E6A"/>
    <w:rsid w:val="009C3888"/>
    <w:rsid w:val="009C65E1"/>
    <w:rsid w:val="009E4E99"/>
    <w:rsid w:val="009E73FC"/>
    <w:rsid w:val="009F1EA2"/>
    <w:rsid w:val="00A20261"/>
    <w:rsid w:val="00A20775"/>
    <w:rsid w:val="00A21346"/>
    <w:rsid w:val="00A2163B"/>
    <w:rsid w:val="00A623EE"/>
    <w:rsid w:val="00A80082"/>
    <w:rsid w:val="00A8281A"/>
    <w:rsid w:val="00A93124"/>
    <w:rsid w:val="00A94058"/>
    <w:rsid w:val="00A94EDF"/>
    <w:rsid w:val="00AA40AA"/>
    <w:rsid w:val="00AB78ED"/>
    <w:rsid w:val="00AB78FE"/>
    <w:rsid w:val="00AC554B"/>
    <w:rsid w:val="00AD6DBF"/>
    <w:rsid w:val="00AF6635"/>
    <w:rsid w:val="00B16D88"/>
    <w:rsid w:val="00B20E7D"/>
    <w:rsid w:val="00B24ECD"/>
    <w:rsid w:val="00B32A44"/>
    <w:rsid w:val="00B34F70"/>
    <w:rsid w:val="00B4498C"/>
    <w:rsid w:val="00B51302"/>
    <w:rsid w:val="00B526FC"/>
    <w:rsid w:val="00B67732"/>
    <w:rsid w:val="00B75C7F"/>
    <w:rsid w:val="00B83C81"/>
    <w:rsid w:val="00B90751"/>
    <w:rsid w:val="00B921D2"/>
    <w:rsid w:val="00B931A8"/>
    <w:rsid w:val="00B9414C"/>
    <w:rsid w:val="00B95CEC"/>
    <w:rsid w:val="00B962BA"/>
    <w:rsid w:val="00BA4853"/>
    <w:rsid w:val="00BB4456"/>
    <w:rsid w:val="00BC16E2"/>
    <w:rsid w:val="00BC2C50"/>
    <w:rsid w:val="00BD290A"/>
    <w:rsid w:val="00BF3D73"/>
    <w:rsid w:val="00C041B4"/>
    <w:rsid w:val="00C150C1"/>
    <w:rsid w:val="00C2515F"/>
    <w:rsid w:val="00C32F21"/>
    <w:rsid w:val="00C33A23"/>
    <w:rsid w:val="00C36754"/>
    <w:rsid w:val="00C43CB6"/>
    <w:rsid w:val="00C43D5A"/>
    <w:rsid w:val="00C65636"/>
    <w:rsid w:val="00C65930"/>
    <w:rsid w:val="00C72E51"/>
    <w:rsid w:val="00C80A40"/>
    <w:rsid w:val="00C8281D"/>
    <w:rsid w:val="00C97F00"/>
    <w:rsid w:val="00CC68A2"/>
    <w:rsid w:val="00CD0D33"/>
    <w:rsid w:val="00CE19BA"/>
    <w:rsid w:val="00CF1FD0"/>
    <w:rsid w:val="00D14BAD"/>
    <w:rsid w:val="00D22352"/>
    <w:rsid w:val="00D26634"/>
    <w:rsid w:val="00D27641"/>
    <w:rsid w:val="00D3589B"/>
    <w:rsid w:val="00D53880"/>
    <w:rsid w:val="00D57A06"/>
    <w:rsid w:val="00D6055F"/>
    <w:rsid w:val="00D62CC2"/>
    <w:rsid w:val="00D72450"/>
    <w:rsid w:val="00D770F6"/>
    <w:rsid w:val="00D85C60"/>
    <w:rsid w:val="00D91D3D"/>
    <w:rsid w:val="00D92F86"/>
    <w:rsid w:val="00DA5799"/>
    <w:rsid w:val="00DA7E91"/>
    <w:rsid w:val="00DB23A4"/>
    <w:rsid w:val="00DB3E75"/>
    <w:rsid w:val="00DD331C"/>
    <w:rsid w:val="00DF3B42"/>
    <w:rsid w:val="00DF7E35"/>
    <w:rsid w:val="00E00465"/>
    <w:rsid w:val="00E0377C"/>
    <w:rsid w:val="00E15911"/>
    <w:rsid w:val="00E22231"/>
    <w:rsid w:val="00E243C6"/>
    <w:rsid w:val="00E43CA0"/>
    <w:rsid w:val="00E51A15"/>
    <w:rsid w:val="00E533E6"/>
    <w:rsid w:val="00E66923"/>
    <w:rsid w:val="00E66A9C"/>
    <w:rsid w:val="00E71DA0"/>
    <w:rsid w:val="00E76B8A"/>
    <w:rsid w:val="00E83DBD"/>
    <w:rsid w:val="00E85B66"/>
    <w:rsid w:val="00E8609E"/>
    <w:rsid w:val="00E9008B"/>
    <w:rsid w:val="00EA339B"/>
    <w:rsid w:val="00EB3D55"/>
    <w:rsid w:val="00EC3E3A"/>
    <w:rsid w:val="00ED545D"/>
    <w:rsid w:val="00ED5FD0"/>
    <w:rsid w:val="00ED67AC"/>
    <w:rsid w:val="00EE06E4"/>
    <w:rsid w:val="00EE1A89"/>
    <w:rsid w:val="00EE44E1"/>
    <w:rsid w:val="00EE5D11"/>
    <w:rsid w:val="00F23796"/>
    <w:rsid w:val="00F32822"/>
    <w:rsid w:val="00F33A99"/>
    <w:rsid w:val="00F46B83"/>
    <w:rsid w:val="00F52B5F"/>
    <w:rsid w:val="00F71455"/>
    <w:rsid w:val="00F72FC6"/>
    <w:rsid w:val="00F77335"/>
    <w:rsid w:val="00F82BA9"/>
    <w:rsid w:val="00F83BC8"/>
    <w:rsid w:val="00FA46A1"/>
    <w:rsid w:val="00FA7A84"/>
    <w:rsid w:val="00FB04B9"/>
    <w:rsid w:val="00FB0EBC"/>
    <w:rsid w:val="00FC19EE"/>
    <w:rsid w:val="00FD6858"/>
    <w:rsid w:val="00FE23D8"/>
    <w:rsid w:val="196B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625"/>
      <w:outlineLvl w:val="0"/>
    </w:pPr>
    <w:rPr>
      <w:rFonts w:ascii="Times New Roman" w:hAnsi="Times New Roman" w:eastAsia="宋体"/>
      <w:b/>
      <w:bCs/>
      <w:sz w:val="32"/>
      <w:szCs w:val="32"/>
    </w:rPr>
  </w:style>
  <w:style w:type="paragraph" w:styleId="3">
    <w:name w:val="heading 2"/>
    <w:basedOn w:val="1"/>
    <w:qFormat/>
    <w:uiPriority w:val="1"/>
    <w:pPr>
      <w:ind w:left="439"/>
      <w:outlineLvl w:val="1"/>
    </w:pPr>
    <w:rPr>
      <w:rFonts w:ascii="Times New Roman" w:hAnsi="Times New Roman" w:eastAsia="宋体"/>
      <w:b/>
      <w:bCs/>
      <w:sz w:val="24"/>
      <w:szCs w:val="24"/>
    </w:rPr>
  </w:style>
  <w:style w:type="paragraph" w:styleId="4">
    <w:name w:val="heading 3"/>
    <w:basedOn w:val="1"/>
    <w:qFormat/>
    <w:uiPriority w:val="1"/>
    <w:pPr>
      <w:ind w:left="480" w:hanging="360"/>
      <w:outlineLvl w:val="2"/>
    </w:pPr>
    <w:rPr>
      <w:rFonts w:ascii="Times New Roman" w:hAnsi="Times New Roman" w:eastAsia="宋体"/>
      <w:b/>
      <w:bCs/>
      <w:i/>
      <w:sz w:val="24"/>
      <w:szCs w:val="24"/>
    </w:rPr>
  </w:style>
  <w:style w:type="character" w:default="1" w:styleId="20">
    <w:name w:val="Default Paragraph Font"/>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uiPriority w:val="39"/>
    <w:pPr>
      <w:ind w:left="2520" w:leftChars="1200"/>
      <w:jc w:val="both"/>
    </w:pPr>
    <w:rPr>
      <w:kern w:val="2"/>
      <w:sz w:val="21"/>
    </w:rPr>
  </w:style>
  <w:style w:type="paragraph" w:styleId="6">
    <w:name w:val="Body Text"/>
    <w:basedOn w:val="1"/>
    <w:qFormat/>
    <w:uiPriority w:val="1"/>
    <w:pPr>
      <w:ind w:left="120"/>
    </w:pPr>
    <w:rPr>
      <w:rFonts w:ascii="Times New Roman" w:hAnsi="Times New Roman" w:eastAsia="宋体"/>
      <w:sz w:val="24"/>
      <w:szCs w:val="24"/>
    </w:rPr>
  </w:style>
  <w:style w:type="paragraph" w:styleId="7">
    <w:name w:val="toc 5"/>
    <w:basedOn w:val="1"/>
    <w:next w:val="1"/>
    <w:autoRedefine/>
    <w:unhideWhenUsed/>
    <w:uiPriority w:val="39"/>
    <w:pPr>
      <w:ind w:left="1680" w:leftChars="800"/>
      <w:jc w:val="both"/>
    </w:pPr>
    <w:rPr>
      <w:kern w:val="2"/>
      <w:sz w:val="21"/>
    </w:rPr>
  </w:style>
  <w:style w:type="paragraph" w:styleId="8">
    <w:name w:val="toc 3"/>
    <w:basedOn w:val="1"/>
    <w:qFormat/>
    <w:uiPriority w:val="39"/>
    <w:pPr>
      <w:snapToGrid w:val="0"/>
      <w:spacing w:line="300" w:lineRule="auto"/>
      <w:ind w:left="890" w:right="200" w:rightChars="200" w:hanging="323"/>
    </w:pPr>
    <w:rPr>
      <w:rFonts w:ascii="Arial" w:hAnsi="Arial" w:eastAsia="宋体"/>
      <w:b/>
      <w:bCs/>
      <w:sz w:val="24"/>
    </w:rPr>
  </w:style>
  <w:style w:type="paragraph" w:styleId="9">
    <w:name w:val="toc 8"/>
    <w:basedOn w:val="1"/>
    <w:next w:val="1"/>
    <w:autoRedefine/>
    <w:unhideWhenUsed/>
    <w:uiPriority w:val="39"/>
    <w:pPr>
      <w:ind w:left="2940" w:leftChars="1400"/>
      <w:jc w:val="both"/>
    </w:pPr>
    <w:rPr>
      <w:kern w:val="2"/>
      <w:sz w:val="21"/>
    </w:rPr>
  </w:style>
  <w:style w:type="paragraph" w:styleId="10">
    <w:name w:val="Balloon Text"/>
    <w:basedOn w:val="1"/>
    <w:link w:val="30"/>
    <w:semiHidden/>
    <w:unhideWhenUsed/>
    <w:uiPriority w:val="99"/>
    <w:rPr>
      <w:sz w:val="18"/>
      <w:szCs w:val="18"/>
    </w:rPr>
  </w:style>
  <w:style w:type="paragraph" w:styleId="11">
    <w:name w:val="footer"/>
    <w:basedOn w:val="1"/>
    <w:link w:val="29"/>
    <w:unhideWhenUsed/>
    <w:qFormat/>
    <w:uiPriority w:val="99"/>
    <w:pPr>
      <w:tabs>
        <w:tab w:val="center" w:pos="4153"/>
        <w:tab w:val="right" w:pos="8306"/>
      </w:tabs>
      <w:snapToGrid w:val="0"/>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qFormat/>
    <w:uiPriority w:val="39"/>
    <w:pPr>
      <w:spacing w:line="300" w:lineRule="auto"/>
      <w:ind w:right="200" w:rightChars="200"/>
    </w:pPr>
    <w:rPr>
      <w:rFonts w:ascii="Arial" w:hAnsi="Arial" w:eastAsia="宋体"/>
      <w:b/>
      <w:bCs/>
      <w:sz w:val="24"/>
      <w:szCs w:val="24"/>
    </w:rPr>
  </w:style>
  <w:style w:type="paragraph" w:styleId="14">
    <w:name w:val="toc 4"/>
    <w:basedOn w:val="1"/>
    <w:qFormat/>
    <w:uiPriority w:val="39"/>
    <w:pPr>
      <w:spacing w:before="4"/>
      <w:ind w:left="820"/>
    </w:pPr>
    <w:rPr>
      <w:rFonts w:ascii="Times New Roman" w:hAnsi="Times New Roman" w:eastAsia="宋体"/>
      <w:b/>
      <w:bCs/>
      <w:i/>
    </w:rPr>
  </w:style>
  <w:style w:type="paragraph" w:styleId="15">
    <w:name w:val="footnote text"/>
    <w:basedOn w:val="1"/>
    <w:link w:val="31"/>
    <w:semiHidden/>
    <w:unhideWhenUsed/>
    <w:uiPriority w:val="99"/>
    <w:pPr>
      <w:snapToGrid w:val="0"/>
    </w:pPr>
    <w:rPr>
      <w:sz w:val="18"/>
      <w:szCs w:val="18"/>
    </w:rPr>
  </w:style>
  <w:style w:type="paragraph" w:styleId="16">
    <w:name w:val="toc 6"/>
    <w:basedOn w:val="1"/>
    <w:next w:val="1"/>
    <w:autoRedefine/>
    <w:unhideWhenUsed/>
    <w:qFormat/>
    <w:uiPriority w:val="39"/>
    <w:pPr>
      <w:ind w:left="2100" w:leftChars="1000"/>
      <w:jc w:val="both"/>
    </w:pPr>
    <w:rPr>
      <w:kern w:val="2"/>
      <w:sz w:val="21"/>
    </w:rPr>
  </w:style>
  <w:style w:type="paragraph" w:styleId="17">
    <w:name w:val="toc 2"/>
    <w:basedOn w:val="1"/>
    <w:qFormat/>
    <w:uiPriority w:val="39"/>
    <w:pPr>
      <w:snapToGrid w:val="0"/>
      <w:spacing w:line="300" w:lineRule="auto"/>
      <w:ind w:right="200" w:rightChars="200" w:hanging="386" w:hangingChars="175"/>
    </w:pPr>
    <w:rPr>
      <w:rFonts w:ascii="Arial" w:hAnsi="Arial" w:eastAsia="宋体"/>
      <w:b/>
      <w:bCs/>
      <w:i/>
      <w:sz w:val="24"/>
    </w:rPr>
  </w:style>
  <w:style w:type="paragraph" w:styleId="18">
    <w:name w:val="toc 9"/>
    <w:basedOn w:val="1"/>
    <w:next w:val="1"/>
    <w:autoRedefine/>
    <w:unhideWhenUsed/>
    <w:uiPriority w:val="39"/>
    <w:pPr>
      <w:ind w:left="3360" w:leftChars="1600"/>
      <w:jc w:val="both"/>
    </w:pPr>
    <w:rPr>
      <w:kern w:val="2"/>
      <w:sz w:val="21"/>
    </w:rPr>
  </w:style>
  <w:style w:type="character" w:styleId="21">
    <w:name w:val="Hyperlink"/>
    <w:basedOn w:val="20"/>
    <w:unhideWhenUsed/>
    <w:uiPriority w:val="99"/>
    <w:rPr>
      <w:color w:val="0000FF" w:themeColor="hyperlink"/>
      <w:u w:val="single"/>
      <w14:textFill>
        <w14:solidFill>
          <w14:schemeClr w14:val="hlink"/>
        </w14:solidFill>
      </w14:textFill>
    </w:rPr>
  </w:style>
  <w:style w:type="character" w:styleId="22">
    <w:name w:val="footnote reference"/>
    <w:basedOn w:val="20"/>
    <w:semiHidden/>
    <w:unhideWhenUsed/>
    <w:uiPriority w:val="99"/>
    <w:rPr>
      <w:vertAlign w:val="superscript"/>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style>
  <w:style w:type="paragraph" w:customStyle="1" w:styleId="25">
    <w:name w:val="Table Paragraph"/>
    <w:basedOn w:val="1"/>
    <w:qFormat/>
    <w:uiPriority w:val="1"/>
  </w:style>
  <w:style w:type="character" w:customStyle="1" w:styleId="26">
    <w:name w:val="Unresolved Mention"/>
    <w:basedOn w:val="20"/>
    <w:qFormat/>
    <w:uiPriority w:val="99"/>
    <w:rPr>
      <w:color w:val="808080"/>
      <w:shd w:val="clear" w:color="auto" w:fill="E6E6E6"/>
    </w:rPr>
  </w:style>
  <w:style w:type="paragraph" w:customStyle="1" w:styleId="27">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rPr>
  </w:style>
  <w:style w:type="character" w:customStyle="1" w:styleId="28">
    <w:name w:val="页眉 Char"/>
    <w:basedOn w:val="20"/>
    <w:link w:val="12"/>
    <w:uiPriority w:val="99"/>
    <w:rPr>
      <w:sz w:val="18"/>
      <w:szCs w:val="18"/>
    </w:rPr>
  </w:style>
  <w:style w:type="character" w:customStyle="1" w:styleId="29">
    <w:name w:val="页脚 Char"/>
    <w:basedOn w:val="20"/>
    <w:link w:val="11"/>
    <w:uiPriority w:val="99"/>
    <w:rPr>
      <w:sz w:val="18"/>
      <w:szCs w:val="18"/>
    </w:rPr>
  </w:style>
  <w:style w:type="character" w:customStyle="1" w:styleId="30">
    <w:name w:val="批注框文本 Char"/>
    <w:basedOn w:val="20"/>
    <w:link w:val="10"/>
    <w:semiHidden/>
    <w:uiPriority w:val="99"/>
    <w:rPr>
      <w:sz w:val="18"/>
      <w:szCs w:val="18"/>
    </w:rPr>
  </w:style>
  <w:style w:type="character" w:customStyle="1" w:styleId="31">
    <w:name w:val="脚注文本 Char"/>
    <w:basedOn w:val="20"/>
    <w:link w:val="1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1D0AE-C03C-4AB2-8C2A-2B5E6617AE4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17016</Words>
  <Characters>19814</Characters>
  <Lines>418</Lines>
  <Paragraphs>117</Paragraphs>
  <TotalTime>0</TotalTime>
  <ScaleCrop>false</ScaleCrop>
  <LinksUpToDate>false</LinksUpToDate>
  <CharactersWithSpaces>20411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2017-11-17T08:40:00Z</dcterms:created>
  <dc:creator>Food and Drug Administration</dc:creator>
  <cp:keywords>guidance, informed consent, emergency, research</cp:keywords>
  <cp:lastModifiedBy>太极箫客</cp:lastModifiedBy>
  <dcterms:modified xsi:type="dcterms:W3CDTF">2025-08-14T06:58:30Z</dcterms:modified>
  <dc:subject>Guidance for Institutional Review Boards, Clinical Investigators, and Sposors: Exception From Informed Consent Requirements for Emergency Research</dc:subject>
  <dc:title>Exception From Informed Consent Requirements for Emergency Research</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2013-04-25T00:00:00Z</vt:filetime>
  </property>
  <property fmtid="{D5CDD505-2E9C-101B-9397-08002B2CF9AE}" pid="3" name="Creator">
    <vt:lpwstr>Acrobat PDFMaker 10.1 for Word</vt:lpwstr>
  </property>
  <property fmtid="{D5CDD505-2E9C-101B-9397-08002B2CF9AE}" pid="4" name="LastSaved">
    <vt:filetime>2017-10-29T00:00:00Z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382E58C3A2294F40AF34A05285F2D9F6_12</vt:lpwstr>
  </property>
</Properties>
</file>