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BB33D">
      <w:pPr>
        <w:pBdr>
          <w:top w:val="single" w:color="auto" w:sz="18" w:space="1"/>
        </w:pBdr>
        <w:overflowPunct w:val="0"/>
        <w:snapToGrid w:val="0"/>
        <w:spacing w:before="3" w:line="300" w:lineRule="auto"/>
        <w:rPr>
          <w:rFonts w:ascii="Arial" w:hAnsi="Arial" w:eastAsia="宋体" w:cs="Arial"/>
          <w:sz w:val="27"/>
          <w:szCs w:val="27"/>
        </w:rPr>
      </w:pPr>
      <w:bookmarkStart w:id="35" w:name="_GoBack"/>
      <w:bookmarkEnd w:id="35"/>
    </w:p>
    <w:p w14:paraId="75E9E829">
      <w:pPr>
        <w:tabs>
          <w:tab w:val="left" w:pos="3599"/>
          <w:tab w:val="left" w:pos="4731"/>
        </w:tabs>
        <w:overflowPunct w:val="0"/>
        <w:snapToGrid w:val="0"/>
        <w:spacing w:line="300" w:lineRule="auto"/>
        <w:jc w:val="center"/>
        <w:rPr>
          <w:rFonts w:ascii="Arial" w:hAnsi="Arial" w:eastAsia="宋体" w:cs="Arial"/>
          <w:sz w:val="80"/>
          <w:szCs w:val="80"/>
        </w:rPr>
      </w:pPr>
      <w:r>
        <w:rPr>
          <w:rFonts w:ascii="Arial" w:hAnsi="Arial" w:eastAsia="宋体" w:cs="Arial"/>
          <w:sz w:val="80"/>
        </w:rPr>
        <w:t>机构审查委员会、临床研究者及申办者指南</w:t>
      </w:r>
    </w:p>
    <w:p w14:paraId="414484D4">
      <w:pPr>
        <w:overflowPunct w:val="0"/>
        <w:snapToGrid w:val="0"/>
        <w:spacing w:before="643" w:line="300" w:lineRule="auto"/>
        <w:jc w:val="center"/>
        <w:rPr>
          <w:rFonts w:ascii="Arial" w:hAnsi="Arial" w:eastAsia="宋体" w:cs="Arial"/>
          <w:sz w:val="56"/>
          <w:szCs w:val="56"/>
        </w:rPr>
      </w:pPr>
      <w:r>
        <w:rPr>
          <w:rFonts w:ascii="Arial" w:hAnsi="Arial" w:eastAsia="宋体" w:cs="Arial"/>
          <w:sz w:val="56"/>
        </w:rPr>
        <w:t>临床研究监督责任转移至另一机构审查委员会的考虑因素</w:t>
      </w:r>
    </w:p>
    <w:p w14:paraId="52B0AF32">
      <w:pPr>
        <w:overflowPunct w:val="0"/>
        <w:snapToGrid w:val="0"/>
        <w:spacing w:line="300" w:lineRule="auto"/>
        <w:rPr>
          <w:rFonts w:ascii="Arial" w:hAnsi="Arial" w:eastAsia="宋体" w:cs="Arial"/>
          <w:sz w:val="56"/>
          <w:szCs w:val="56"/>
        </w:rPr>
      </w:pPr>
    </w:p>
    <w:p w14:paraId="2A3C303A">
      <w:pPr>
        <w:overflowPunct w:val="0"/>
        <w:snapToGrid w:val="0"/>
        <w:spacing w:line="300" w:lineRule="auto"/>
        <w:rPr>
          <w:rFonts w:ascii="Arial" w:hAnsi="Arial" w:eastAsia="宋体" w:cs="Arial"/>
          <w:sz w:val="56"/>
          <w:szCs w:val="56"/>
        </w:rPr>
      </w:pPr>
    </w:p>
    <w:p w14:paraId="3C254EC4">
      <w:pPr>
        <w:overflowPunct w:val="0"/>
        <w:snapToGrid w:val="0"/>
        <w:spacing w:line="300" w:lineRule="auto"/>
        <w:rPr>
          <w:rFonts w:ascii="Arial" w:hAnsi="Arial" w:eastAsia="宋体" w:cs="Arial"/>
          <w:sz w:val="56"/>
          <w:szCs w:val="56"/>
        </w:rPr>
      </w:pPr>
    </w:p>
    <w:p w14:paraId="052991C5">
      <w:pPr>
        <w:overflowPunct w:val="0"/>
        <w:snapToGrid w:val="0"/>
        <w:spacing w:line="300" w:lineRule="auto"/>
        <w:rPr>
          <w:rFonts w:ascii="Arial" w:hAnsi="Arial" w:eastAsia="宋体" w:cs="Arial"/>
          <w:sz w:val="56"/>
          <w:szCs w:val="56"/>
        </w:rPr>
      </w:pPr>
    </w:p>
    <w:p w14:paraId="01BD12AF">
      <w:pPr>
        <w:overflowPunct w:val="0"/>
        <w:snapToGrid w:val="0"/>
        <w:spacing w:line="300" w:lineRule="auto"/>
        <w:rPr>
          <w:rFonts w:ascii="Arial" w:hAnsi="Arial" w:eastAsia="宋体" w:cs="Arial"/>
          <w:sz w:val="56"/>
          <w:szCs w:val="56"/>
        </w:rPr>
      </w:pPr>
    </w:p>
    <w:p w14:paraId="6E5688B8">
      <w:pPr>
        <w:overflowPunct w:val="0"/>
        <w:snapToGrid w:val="0"/>
        <w:spacing w:line="300" w:lineRule="auto"/>
        <w:jc w:val="center"/>
        <w:rPr>
          <w:rFonts w:ascii="Arial" w:hAnsi="Arial" w:eastAsia="宋体" w:cs="Arial"/>
          <w:b/>
          <w:sz w:val="24"/>
        </w:rPr>
      </w:pPr>
      <w:r>
        <w:rPr>
          <w:rFonts w:ascii="Arial" w:hAnsi="Arial" w:eastAsia="宋体" w:cs="Arial"/>
          <w:b/>
          <w:sz w:val="24"/>
        </w:rPr>
        <w:t>美国卫生与公众服务部</w:t>
      </w:r>
    </w:p>
    <w:p w14:paraId="72E5F461">
      <w:pPr>
        <w:overflowPunct w:val="0"/>
        <w:snapToGrid w:val="0"/>
        <w:spacing w:line="300" w:lineRule="auto"/>
        <w:jc w:val="center"/>
        <w:rPr>
          <w:rFonts w:ascii="Arial" w:hAnsi="Arial" w:eastAsia="宋体" w:cs="Arial"/>
          <w:b/>
          <w:sz w:val="24"/>
        </w:rPr>
      </w:pPr>
      <w:r>
        <w:rPr>
          <w:rFonts w:ascii="Arial" w:hAnsi="Arial" w:eastAsia="宋体" w:cs="Arial"/>
          <w:b/>
          <w:sz w:val="24"/>
        </w:rPr>
        <w:t>食品药品监督管理局</w:t>
      </w:r>
    </w:p>
    <w:p w14:paraId="5A5C7999">
      <w:pPr>
        <w:overflowPunct w:val="0"/>
        <w:snapToGrid w:val="0"/>
        <w:spacing w:line="300" w:lineRule="auto"/>
        <w:jc w:val="center"/>
        <w:rPr>
          <w:rFonts w:ascii="Arial" w:hAnsi="Arial" w:eastAsia="宋体" w:cs="Arial"/>
          <w:b/>
          <w:sz w:val="24"/>
        </w:rPr>
      </w:pPr>
      <w:r>
        <w:rPr>
          <w:rFonts w:ascii="Arial" w:hAnsi="Arial" w:eastAsia="宋体" w:cs="Arial"/>
          <w:b/>
          <w:sz w:val="24"/>
        </w:rPr>
        <w:t>药品评价与研究中心</w:t>
      </w:r>
    </w:p>
    <w:p w14:paraId="4E41CCE8">
      <w:pPr>
        <w:overflowPunct w:val="0"/>
        <w:snapToGrid w:val="0"/>
        <w:spacing w:line="300" w:lineRule="auto"/>
        <w:jc w:val="center"/>
        <w:rPr>
          <w:rFonts w:ascii="Arial" w:hAnsi="Arial" w:eastAsia="宋体" w:cs="Arial"/>
          <w:b/>
          <w:sz w:val="24"/>
        </w:rPr>
      </w:pPr>
      <w:r>
        <w:rPr>
          <w:rFonts w:ascii="Arial" w:hAnsi="Arial" w:eastAsia="宋体" w:cs="Arial"/>
          <w:b/>
          <w:sz w:val="24"/>
        </w:rPr>
        <w:t>生物制剂评价研究中心</w:t>
      </w:r>
    </w:p>
    <w:p w14:paraId="29D7A094">
      <w:pPr>
        <w:overflowPunct w:val="0"/>
        <w:snapToGrid w:val="0"/>
        <w:spacing w:line="300" w:lineRule="auto"/>
        <w:jc w:val="center"/>
        <w:rPr>
          <w:rFonts w:ascii="Arial" w:hAnsi="Arial" w:eastAsia="宋体" w:cs="Arial"/>
          <w:b/>
          <w:sz w:val="24"/>
        </w:rPr>
      </w:pPr>
      <w:r>
        <w:rPr>
          <w:rFonts w:ascii="Arial" w:hAnsi="Arial" w:eastAsia="宋体" w:cs="Arial"/>
          <w:b/>
          <w:sz w:val="24"/>
        </w:rPr>
        <w:t>器械和放射卫生中心</w:t>
      </w:r>
    </w:p>
    <w:p w14:paraId="07BD97DD">
      <w:pPr>
        <w:overflowPunct w:val="0"/>
        <w:snapToGrid w:val="0"/>
        <w:spacing w:line="300" w:lineRule="auto"/>
        <w:jc w:val="center"/>
        <w:rPr>
          <w:rFonts w:ascii="Arial" w:hAnsi="Arial" w:eastAsia="宋体" w:cs="Arial"/>
          <w:sz w:val="24"/>
          <w:szCs w:val="24"/>
        </w:rPr>
      </w:pPr>
      <w:r>
        <w:rPr>
          <w:rFonts w:ascii="Arial" w:hAnsi="Arial" w:eastAsia="宋体" w:cs="Arial"/>
          <w:b/>
          <w:sz w:val="24"/>
        </w:rPr>
        <w:t>临床试验管理规范办公室</w:t>
      </w:r>
    </w:p>
    <w:p w14:paraId="245217EA">
      <w:pPr>
        <w:overflowPunct w:val="0"/>
        <w:snapToGrid w:val="0"/>
        <w:spacing w:line="300" w:lineRule="auto"/>
        <w:jc w:val="center"/>
        <w:rPr>
          <w:rFonts w:ascii="Arial" w:hAnsi="Arial" w:eastAsia="宋体" w:cs="Arial"/>
          <w:sz w:val="24"/>
          <w:szCs w:val="24"/>
        </w:rPr>
      </w:pPr>
      <w:r>
        <w:rPr>
          <w:rFonts w:ascii="Arial" w:hAnsi="Arial" w:eastAsia="宋体" w:cs="Arial"/>
          <w:b/>
          <w:sz w:val="24"/>
        </w:rPr>
        <w:t>2014年5月</w:t>
      </w:r>
    </w:p>
    <w:p w14:paraId="72075ED5">
      <w:pPr>
        <w:overflowPunct w:val="0"/>
        <w:snapToGrid w:val="0"/>
        <w:spacing w:line="300" w:lineRule="auto"/>
        <w:jc w:val="center"/>
        <w:rPr>
          <w:rFonts w:ascii="Arial" w:hAnsi="Arial" w:eastAsia="宋体" w:cs="Arial"/>
          <w:sz w:val="24"/>
          <w:szCs w:val="24"/>
        </w:rPr>
        <w:sectPr>
          <w:type w:val="continuous"/>
          <w:pgSz w:w="12240" w:h="15840"/>
          <w:pgMar w:top="1440" w:right="1800" w:bottom="1440" w:left="1800" w:header="720" w:footer="720" w:gutter="0"/>
          <w:cols w:space="720" w:num="1"/>
          <w:docGrid w:linePitch="299" w:charSpace="0"/>
        </w:sectPr>
      </w:pPr>
    </w:p>
    <w:p w14:paraId="58C49623">
      <w:pPr>
        <w:overflowPunct w:val="0"/>
        <w:snapToGrid w:val="0"/>
        <w:spacing w:line="300" w:lineRule="auto"/>
        <w:jc w:val="center"/>
        <w:rPr>
          <w:rFonts w:ascii="Arial" w:hAnsi="Arial" w:eastAsia="宋体" w:cs="Arial"/>
          <w:sz w:val="44"/>
          <w:szCs w:val="44"/>
        </w:rPr>
      </w:pPr>
      <w:r>
        <w:rPr>
          <w:rFonts w:ascii="Arial" w:hAnsi="Arial" w:eastAsia="宋体" w:cs="Arial"/>
          <w:sz w:val="44"/>
          <w:szCs w:val="44"/>
        </w:rPr>
        <w:t>机构审查委员会、临床研究者及申办者指南</w:t>
      </w:r>
    </w:p>
    <w:p w14:paraId="17D0DCF2">
      <w:pPr>
        <w:overflowPunct w:val="0"/>
        <w:snapToGrid w:val="0"/>
        <w:spacing w:line="300" w:lineRule="auto"/>
        <w:jc w:val="center"/>
        <w:rPr>
          <w:rFonts w:ascii="Arial" w:hAnsi="Arial" w:eastAsia="宋体" w:cs="Arial"/>
          <w:sz w:val="44"/>
          <w:szCs w:val="44"/>
        </w:rPr>
      </w:pPr>
      <w:bookmarkStart w:id="0" w:name="Considerations_When_Transferring_Clinica"/>
      <w:bookmarkEnd w:id="0"/>
      <w:r>
        <w:rPr>
          <w:rFonts w:ascii="Arial" w:hAnsi="Arial" w:eastAsia="宋体" w:cs="Arial"/>
          <w:sz w:val="44"/>
          <w:szCs w:val="44"/>
        </w:rPr>
        <w:t>临床研究监督责任转移至另一机构审查委员会的考虑因素</w:t>
      </w:r>
    </w:p>
    <w:p w14:paraId="711A5A0F">
      <w:pPr>
        <w:overflowPunct w:val="0"/>
        <w:snapToGrid w:val="0"/>
        <w:spacing w:line="300" w:lineRule="auto"/>
        <w:jc w:val="center"/>
        <w:rPr>
          <w:rFonts w:ascii="Arial" w:hAnsi="Arial" w:eastAsia="宋体" w:cs="Arial"/>
          <w:i/>
          <w:sz w:val="18"/>
          <w:szCs w:val="18"/>
        </w:rPr>
      </w:pPr>
      <w:bookmarkStart w:id="1" w:name="Additional_copies_are_available_from:"/>
      <w:bookmarkEnd w:id="1"/>
      <w:r>
        <w:rPr>
          <w:rFonts w:ascii="Arial" w:hAnsi="Arial" w:eastAsia="宋体" w:cs="Arial"/>
          <w:i/>
          <w:sz w:val="18"/>
          <w:szCs w:val="18"/>
        </w:rPr>
        <w:t>附加副本可从以下地址获得：</w:t>
      </w:r>
    </w:p>
    <w:p w14:paraId="5B6419FE">
      <w:pPr>
        <w:overflowPunct w:val="0"/>
        <w:snapToGrid w:val="0"/>
        <w:spacing w:line="300" w:lineRule="auto"/>
        <w:jc w:val="center"/>
        <w:rPr>
          <w:rFonts w:ascii="Arial" w:hAnsi="Arial" w:eastAsia="宋体" w:cs="Arial"/>
          <w:i/>
          <w:sz w:val="18"/>
          <w:szCs w:val="18"/>
        </w:rPr>
      </w:pPr>
      <w:r>
        <w:rPr>
          <w:rFonts w:ascii="Arial" w:hAnsi="Arial" w:eastAsia="宋体" w:cs="Arial"/>
          <w:i/>
          <w:sz w:val="18"/>
          <w:szCs w:val="18"/>
        </w:rPr>
        <w:t>药物信息司，WO51-2201</w:t>
      </w:r>
    </w:p>
    <w:p w14:paraId="2B3DF682">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通讯办公室</w:t>
      </w:r>
    </w:p>
    <w:p w14:paraId="5ECE3689">
      <w:pPr>
        <w:overflowPunct w:val="0"/>
        <w:snapToGrid w:val="0"/>
        <w:spacing w:line="300" w:lineRule="auto"/>
        <w:jc w:val="center"/>
        <w:rPr>
          <w:rFonts w:ascii="Arial" w:hAnsi="Arial" w:eastAsia="宋体" w:cs="Arial"/>
          <w:i/>
          <w:sz w:val="18"/>
          <w:szCs w:val="18"/>
        </w:rPr>
      </w:pPr>
      <w:r>
        <w:rPr>
          <w:rFonts w:ascii="Arial" w:hAnsi="Arial" w:eastAsia="宋体" w:cs="Arial"/>
          <w:i/>
          <w:sz w:val="18"/>
          <w:szCs w:val="18"/>
        </w:rPr>
        <w:t>药品评价与研究中心食品药品监督管理局</w:t>
      </w:r>
    </w:p>
    <w:p w14:paraId="52DDEBAF">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10903 New Hampshire Ave。</w:t>
      </w:r>
    </w:p>
    <w:p w14:paraId="5C220337">
      <w:pPr>
        <w:overflowPunct w:val="0"/>
        <w:snapToGrid w:val="0"/>
        <w:spacing w:line="300" w:lineRule="auto"/>
        <w:jc w:val="center"/>
        <w:rPr>
          <w:rFonts w:ascii="Arial" w:hAnsi="Arial" w:eastAsia="宋体" w:cs="Arial"/>
          <w:i/>
          <w:sz w:val="18"/>
          <w:szCs w:val="18"/>
        </w:rPr>
      </w:pPr>
      <w:r>
        <w:rPr>
          <w:rFonts w:ascii="Arial" w:hAnsi="Arial" w:eastAsia="宋体" w:cs="Arial"/>
          <w:i/>
          <w:sz w:val="18"/>
          <w:szCs w:val="18"/>
        </w:rPr>
        <w:t>Silver Spring，MD 20993-002</w:t>
      </w:r>
    </w:p>
    <w:p w14:paraId="525C2781">
      <w:pPr>
        <w:overflowPunct w:val="0"/>
        <w:snapToGrid w:val="0"/>
        <w:spacing w:line="300" w:lineRule="auto"/>
        <w:jc w:val="center"/>
        <w:rPr>
          <w:rFonts w:ascii="Arial" w:hAnsi="Arial" w:eastAsia="宋体" w:cs="Arial"/>
          <w:i/>
          <w:color w:val="0000FF"/>
          <w:sz w:val="18"/>
          <w:szCs w:val="18"/>
        </w:rPr>
      </w:pPr>
      <w:r>
        <w:fldChar w:fldCharType="begin"/>
      </w:r>
      <w:r>
        <w:instrText xml:space="preserve"> HYPERLINK "http://www.fda.gov/Drugs/GuidanceComplianceRegulatoryInformation/Guidances/default.htm" \h </w:instrText>
      </w:r>
      <w:r>
        <w:fldChar w:fldCharType="separate"/>
      </w:r>
      <w:r>
        <w:rPr>
          <w:rFonts w:ascii="Arial" w:hAnsi="Arial" w:eastAsia="宋体" w:cs="Arial"/>
          <w:i/>
          <w:color w:val="0000FF"/>
          <w:sz w:val="18"/>
          <w:szCs w:val="18"/>
          <w:u w:val="single" w:color="0000FF"/>
        </w:rPr>
        <w:t>http：//www.fda.gov/Drugs/GuidanceComplianceRegulatoryInformation/Guidances/default.htm</w:t>
      </w:r>
      <w:r>
        <w:rPr>
          <w:rFonts w:ascii="Arial" w:hAnsi="Arial" w:eastAsia="宋体" w:cs="Arial"/>
          <w:i/>
          <w:color w:val="0000FF"/>
          <w:sz w:val="18"/>
          <w:szCs w:val="18"/>
          <w:u w:val="single" w:color="0000FF"/>
        </w:rPr>
        <w:fldChar w:fldCharType="end"/>
      </w:r>
    </w:p>
    <w:p w14:paraId="70D25F43">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电子邮箱：</w:t>
      </w:r>
      <w:r>
        <w:fldChar w:fldCharType="begin"/>
      </w:r>
      <w:r>
        <w:instrText xml:space="preserve"> HYPERLINK "mailto:DRUGINFO@fda.hhs.gov" \h </w:instrText>
      </w:r>
      <w:r>
        <w:fldChar w:fldCharType="separate"/>
      </w:r>
      <w:r>
        <w:rPr>
          <w:rFonts w:ascii="Arial" w:hAnsi="Arial" w:eastAsia="宋体" w:cs="Arial"/>
          <w:i/>
          <w:color w:val="0000FF"/>
          <w:sz w:val="18"/>
          <w:szCs w:val="18"/>
          <w:u w:val="single" w:color="0000FF"/>
        </w:rPr>
        <w:t>DRUGINFO@fda.hhs.gov</w:t>
      </w:r>
      <w:r>
        <w:rPr>
          <w:rFonts w:ascii="Arial" w:hAnsi="Arial" w:eastAsia="宋体" w:cs="Arial"/>
          <w:i/>
          <w:color w:val="0000FF"/>
          <w:sz w:val="18"/>
          <w:szCs w:val="18"/>
          <w:u w:val="single" w:color="0000FF"/>
        </w:rPr>
        <w:fldChar w:fldCharType="end"/>
      </w:r>
    </w:p>
    <w:p w14:paraId="23A60E23">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(电话) 301-796-3400；(传真)： 301-847-8714</w:t>
      </w:r>
    </w:p>
    <w:p w14:paraId="64F829EC">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和/或</w:t>
      </w:r>
    </w:p>
    <w:p w14:paraId="7E20FB56">
      <w:pPr>
        <w:overflowPunct w:val="0"/>
        <w:snapToGrid w:val="0"/>
        <w:spacing w:line="300" w:lineRule="auto"/>
        <w:jc w:val="center"/>
        <w:rPr>
          <w:rFonts w:ascii="Arial" w:hAnsi="Arial" w:eastAsia="宋体" w:cs="Arial"/>
          <w:sz w:val="18"/>
          <w:szCs w:val="18"/>
        </w:rPr>
      </w:pPr>
      <w:bookmarkStart w:id="2" w:name="Office_of_Communication,_Outreach_and"/>
      <w:bookmarkEnd w:id="2"/>
      <w:r>
        <w:rPr>
          <w:rFonts w:ascii="Arial" w:hAnsi="Arial" w:eastAsia="宋体" w:cs="Arial"/>
          <w:i/>
          <w:sz w:val="18"/>
          <w:szCs w:val="18"/>
        </w:rPr>
        <w:t>通讯、外联与开发办公室，HFM-40</w:t>
      </w:r>
    </w:p>
    <w:p w14:paraId="45C851D7">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生物制剂评价研究中心食品药品监督管理局</w:t>
      </w:r>
    </w:p>
    <w:p w14:paraId="28204163">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1401 Rockville Pike</w:t>
      </w:r>
    </w:p>
    <w:p w14:paraId="3FC61E3C">
      <w:pPr>
        <w:overflowPunct w:val="0"/>
        <w:snapToGrid w:val="0"/>
        <w:spacing w:line="300" w:lineRule="auto"/>
        <w:jc w:val="center"/>
        <w:rPr>
          <w:rFonts w:ascii="Arial" w:hAnsi="Arial" w:eastAsia="宋体" w:cs="Arial"/>
          <w:i/>
          <w:sz w:val="18"/>
          <w:szCs w:val="18"/>
        </w:rPr>
      </w:pPr>
      <w:r>
        <w:rPr>
          <w:rFonts w:ascii="Arial" w:hAnsi="Arial" w:eastAsia="宋体" w:cs="Arial"/>
          <w:i/>
          <w:sz w:val="18"/>
          <w:szCs w:val="18"/>
        </w:rPr>
        <w:t>Rockville，MD 20852-1448</w:t>
      </w:r>
    </w:p>
    <w:p w14:paraId="184D9312">
      <w:pPr>
        <w:overflowPunct w:val="0"/>
        <w:snapToGrid w:val="0"/>
        <w:spacing w:line="300" w:lineRule="auto"/>
        <w:jc w:val="center"/>
        <w:rPr>
          <w:rFonts w:ascii="Arial" w:hAnsi="Arial" w:eastAsia="宋体" w:cs="Arial"/>
          <w:i/>
          <w:color w:val="0000FF"/>
          <w:sz w:val="18"/>
          <w:szCs w:val="18"/>
        </w:rPr>
      </w:pPr>
      <w:r>
        <w:fldChar w:fldCharType="begin"/>
      </w:r>
      <w:r>
        <w:instrText xml:space="preserve"> HYPERLINK "http://www.fda.gov/BiologicsBloodVaccines/GuidanceComplianceRegulatoryInformation/default.htm" \h </w:instrText>
      </w:r>
      <w:r>
        <w:fldChar w:fldCharType="separate"/>
      </w:r>
      <w:r>
        <w:rPr>
          <w:rFonts w:ascii="Arial" w:hAnsi="Arial" w:eastAsia="宋体" w:cs="Arial"/>
          <w:i/>
          <w:color w:val="0000FF"/>
          <w:sz w:val="18"/>
          <w:szCs w:val="18"/>
          <w:u w:val="single" w:color="0000FF"/>
        </w:rPr>
        <w:t>http：//www.fda.gov/BiologicsBloodVaccines/GuidanceComplianceRegulatoryInformation/default.htm</w:t>
      </w:r>
      <w:r>
        <w:rPr>
          <w:rFonts w:ascii="Arial" w:hAnsi="Arial" w:eastAsia="宋体" w:cs="Arial"/>
          <w:i/>
          <w:color w:val="0000FF"/>
          <w:sz w:val="18"/>
          <w:szCs w:val="18"/>
          <w:u w:val="single" w:color="0000FF"/>
        </w:rPr>
        <w:fldChar w:fldCharType="end"/>
      </w:r>
    </w:p>
    <w:p w14:paraId="466F076D">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电子邮箱：</w:t>
      </w:r>
      <w:r>
        <w:fldChar w:fldCharType="begin"/>
      </w:r>
      <w:r>
        <w:instrText xml:space="preserve"> HYPERLINK "mailto:ocod@fda.hhs.gov" \h </w:instrText>
      </w:r>
      <w:r>
        <w:fldChar w:fldCharType="separate"/>
      </w:r>
      <w:r>
        <w:rPr>
          <w:rFonts w:ascii="Arial" w:hAnsi="Arial" w:eastAsia="宋体" w:cs="Arial"/>
          <w:i/>
          <w:color w:val="0000FF"/>
          <w:sz w:val="18"/>
          <w:szCs w:val="18"/>
          <w:u w:val="single" w:color="0000FF"/>
        </w:rPr>
        <w:t>ocod@fda.hhs.gov</w:t>
      </w:r>
      <w:r>
        <w:rPr>
          <w:rFonts w:ascii="Arial" w:hAnsi="Arial" w:eastAsia="宋体" w:cs="Arial"/>
          <w:i/>
          <w:color w:val="0000FF"/>
          <w:sz w:val="18"/>
          <w:szCs w:val="18"/>
          <w:u w:val="single" w:color="0000FF"/>
        </w:rPr>
        <w:fldChar w:fldCharType="end"/>
      </w:r>
    </w:p>
    <w:p w14:paraId="6E78B999">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(电话) 800-835-4709 或 301-827-1800</w:t>
      </w:r>
    </w:p>
    <w:p w14:paraId="037FF541">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和/或</w:t>
      </w:r>
    </w:p>
    <w:p w14:paraId="0B8CBD2B">
      <w:pPr>
        <w:overflowPunct w:val="0"/>
        <w:snapToGrid w:val="0"/>
        <w:spacing w:line="300" w:lineRule="auto"/>
        <w:jc w:val="center"/>
        <w:rPr>
          <w:rFonts w:ascii="Arial" w:hAnsi="Arial" w:eastAsia="宋体" w:cs="Arial"/>
          <w:i/>
          <w:sz w:val="18"/>
          <w:szCs w:val="18"/>
        </w:rPr>
      </w:pPr>
      <w:r>
        <w:rPr>
          <w:rFonts w:ascii="Arial" w:hAnsi="Arial" w:eastAsia="宋体" w:cs="Arial"/>
          <w:i/>
          <w:sz w:val="18"/>
          <w:szCs w:val="18"/>
        </w:rPr>
        <w:t>行业和消费者教育司，WO66-5429</w:t>
      </w:r>
    </w:p>
    <w:p w14:paraId="2FF924D8">
      <w:pPr>
        <w:overflowPunct w:val="0"/>
        <w:snapToGrid w:val="0"/>
        <w:spacing w:line="300" w:lineRule="auto"/>
        <w:jc w:val="center"/>
        <w:rPr>
          <w:rFonts w:ascii="Arial" w:hAnsi="Arial" w:eastAsia="宋体" w:cs="Arial"/>
          <w:i/>
          <w:sz w:val="18"/>
          <w:szCs w:val="18"/>
        </w:rPr>
      </w:pPr>
      <w:r>
        <w:rPr>
          <w:rFonts w:ascii="Arial" w:hAnsi="Arial" w:eastAsia="宋体" w:cs="Arial"/>
          <w:i/>
          <w:sz w:val="18"/>
          <w:szCs w:val="18"/>
        </w:rPr>
        <w:t>通讯，教育及放射性项目办公室</w:t>
      </w:r>
    </w:p>
    <w:p w14:paraId="3B8A7426">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器械与放射卫生中心</w:t>
      </w:r>
    </w:p>
    <w:p w14:paraId="1A043EB9">
      <w:pPr>
        <w:overflowPunct w:val="0"/>
        <w:snapToGrid w:val="0"/>
        <w:spacing w:line="300" w:lineRule="auto"/>
        <w:jc w:val="center"/>
        <w:rPr>
          <w:rFonts w:ascii="Arial" w:hAnsi="Arial" w:eastAsia="宋体" w:cs="Arial"/>
          <w:i/>
          <w:sz w:val="18"/>
          <w:szCs w:val="18"/>
        </w:rPr>
      </w:pPr>
      <w:r>
        <w:rPr>
          <w:rFonts w:ascii="Arial" w:hAnsi="Arial" w:eastAsia="宋体" w:cs="Arial"/>
          <w:i/>
          <w:sz w:val="18"/>
          <w:szCs w:val="18"/>
        </w:rPr>
        <w:t>食品药品监督管理局</w:t>
      </w:r>
    </w:p>
    <w:p w14:paraId="54398B25">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10903 New Hampshire Ave。</w:t>
      </w:r>
    </w:p>
    <w:p w14:paraId="13A7AFC4">
      <w:pPr>
        <w:overflowPunct w:val="0"/>
        <w:snapToGrid w:val="0"/>
        <w:spacing w:line="300" w:lineRule="auto"/>
        <w:jc w:val="center"/>
        <w:rPr>
          <w:rFonts w:ascii="Arial" w:hAnsi="Arial" w:eastAsia="宋体" w:cs="Arial"/>
          <w:i/>
          <w:sz w:val="18"/>
          <w:szCs w:val="18"/>
        </w:rPr>
      </w:pPr>
      <w:r>
        <w:rPr>
          <w:rFonts w:ascii="Arial" w:hAnsi="Arial" w:eastAsia="宋体" w:cs="Arial"/>
          <w:i/>
          <w:sz w:val="18"/>
          <w:szCs w:val="18"/>
        </w:rPr>
        <w:t>Silver Spring，MD 20993-002</w:t>
      </w:r>
    </w:p>
    <w:p w14:paraId="0763D431">
      <w:pPr>
        <w:overflowPunct w:val="0"/>
        <w:snapToGrid w:val="0"/>
        <w:spacing w:line="300" w:lineRule="auto"/>
        <w:jc w:val="center"/>
        <w:rPr>
          <w:rFonts w:ascii="Arial" w:hAnsi="Arial" w:eastAsia="宋体" w:cs="Arial"/>
          <w:i/>
          <w:color w:val="0000FF"/>
          <w:sz w:val="18"/>
          <w:szCs w:val="18"/>
        </w:rPr>
      </w:pPr>
      <w:r>
        <w:fldChar w:fldCharType="begin"/>
      </w:r>
      <w:r>
        <w:instrText xml:space="preserve"> HYPERLINK "http://www.fda.gov/MedicalDevices/DeviceRegulationandGuidance/GuidanceDocuments/default.htm" \h </w:instrText>
      </w:r>
      <w:r>
        <w:fldChar w:fldCharType="separate"/>
      </w:r>
      <w:r>
        <w:rPr>
          <w:rFonts w:ascii="Arial" w:hAnsi="Arial" w:eastAsia="宋体" w:cs="Arial"/>
          <w:i/>
          <w:color w:val="0000FF"/>
          <w:sz w:val="18"/>
          <w:szCs w:val="18"/>
          <w:u w:val="single" w:color="0000FF"/>
        </w:rPr>
        <w:t>http：//www.fda.gov/MedicalDevices/DeviceRegulationandGuidance/GuidanceDocuments/default.htm</w:t>
      </w:r>
      <w:r>
        <w:rPr>
          <w:rFonts w:ascii="Arial" w:hAnsi="Arial" w:eastAsia="宋体" w:cs="Arial"/>
          <w:i/>
          <w:color w:val="0000FF"/>
          <w:sz w:val="18"/>
          <w:szCs w:val="18"/>
          <w:u w:val="single" w:color="0000FF"/>
        </w:rPr>
        <w:fldChar w:fldCharType="end"/>
      </w:r>
    </w:p>
    <w:p w14:paraId="20550EE0">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电子邮箱：</w:t>
      </w:r>
      <w:r>
        <w:fldChar w:fldCharType="begin"/>
      </w:r>
      <w:r>
        <w:instrText xml:space="preserve"> HYPERLINK "mailto:DICE@cdrh.fda.gov" \h </w:instrText>
      </w:r>
      <w:r>
        <w:fldChar w:fldCharType="separate"/>
      </w:r>
      <w:r>
        <w:rPr>
          <w:rFonts w:ascii="Arial" w:hAnsi="Arial" w:eastAsia="宋体" w:cs="Arial"/>
          <w:i/>
          <w:color w:val="0000FF"/>
          <w:sz w:val="18"/>
          <w:szCs w:val="18"/>
          <w:u w:val="single" w:color="0000FF"/>
        </w:rPr>
        <w:t>DICE@cdrh.fda.gov</w:t>
      </w:r>
      <w:r>
        <w:rPr>
          <w:rFonts w:ascii="Arial" w:hAnsi="Arial" w:eastAsia="宋体" w:cs="Arial"/>
          <w:i/>
          <w:color w:val="0000FF"/>
          <w:sz w:val="18"/>
          <w:szCs w:val="18"/>
          <w:u w:val="single" w:color="0000FF"/>
        </w:rPr>
        <w:fldChar w:fldCharType="end"/>
      </w:r>
    </w:p>
    <w:p w14:paraId="625E82CD">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(电话) 800.638.2041 或 301- 796-7100</w:t>
      </w:r>
    </w:p>
    <w:p w14:paraId="79055A18">
      <w:pPr>
        <w:overflowPunct w:val="0"/>
        <w:snapToGrid w:val="0"/>
        <w:spacing w:before="2" w:line="300" w:lineRule="auto"/>
        <w:rPr>
          <w:rFonts w:ascii="Arial" w:hAnsi="Arial" w:eastAsia="宋体" w:cs="Arial"/>
          <w:i/>
          <w:sz w:val="20"/>
          <w:szCs w:val="20"/>
        </w:rPr>
      </w:pPr>
    </w:p>
    <w:p w14:paraId="43D8A00B">
      <w:pPr>
        <w:overflowPunct w:val="0"/>
        <w:snapToGrid w:val="0"/>
        <w:spacing w:line="300" w:lineRule="auto"/>
        <w:jc w:val="center"/>
        <w:rPr>
          <w:rFonts w:ascii="Arial" w:hAnsi="Arial" w:eastAsia="宋体" w:cs="Arial"/>
          <w:b/>
          <w:sz w:val="18"/>
          <w:szCs w:val="18"/>
        </w:rPr>
      </w:pPr>
      <w:bookmarkStart w:id="3" w:name="U.S._Department_of_Health_and_Human_Serv"/>
      <w:bookmarkEnd w:id="3"/>
      <w:r>
        <w:rPr>
          <w:rFonts w:ascii="Arial" w:hAnsi="Arial" w:eastAsia="宋体" w:cs="Arial"/>
          <w:b/>
          <w:sz w:val="18"/>
          <w:szCs w:val="18"/>
        </w:rPr>
        <w:t>美国卫生和公众服务部</w:t>
      </w:r>
    </w:p>
    <w:p w14:paraId="72DBB05F">
      <w:pPr>
        <w:overflowPunct w:val="0"/>
        <w:snapToGrid w:val="0"/>
        <w:spacing w:line="300" w:lineRule="auto"/>
        <w:jc w:val="center"/>
        <w:rPr>
          <w:rFonts w:ascii="Arial" w:hAnsi="Arial" w:eastAsia="宋体" w:cs="Arial"/>
          <w:b/>
          <w:sz w:val="18"/>
          <w:szCs w:val="18"/>
        </w:rPr>
      </w:pPr>
      <w:r>
        <w:rPr>
          <w:rFonts w:ascii="Arial" w:hAnsi="Arial" w:eastAsia="宋体" w:cs="Arial"/>
          <w:b/>
          <w:sz w:val="18"/>
          <w:szCs w:val="18"/>
        </w:rPr>
        <w:t>食品药品监督管理局</w:t>
      </w:r>
    </w:p>
    <w:p w14:paraId="4BB94B44">
      <w:pPr>
        <w:overflowPunct w:val="0"/>
        <w:snapToGrid w:val="0"/>
        <w:spacing w:line="300" w:lineRule="auto"/>
        <w:jc w:val="center"/>
        <w:rPr>
          <w:rFonts w:ascii="Arial" w:hAnsi="Arial" w:eastAsia="宋体" w:cs="Arial"/>
          <w:b/>
          <w:sz w:val="18"/>
          <w:szCs w:val="18"/>
        </w:rPr>
      </w:pPr>
      <w:r>
        <w:rPr>
          <w:rFonts w:ascii="Arial" w:hAnsi="Arial" w:eastAsia="宋体" w:cs="Arial"/>
          <w:b/>
          <w:sz w:val="18"/>
          <w:szCs w:val="18"/>
        </w:rPr>
        <w:t>药品评价与研究中心</w:t>
      </w:r>
    </w:p>
    <w:p w14:paraId="2A97163A">
      <w:pPr>
        <w:overflowPunct w:val="0"/>
        <w:snapToGrid w:val="0"/>
        <w:spacing w:line="300" w:lineRule="auto"/>
        <w:jc w:val="center"/>
        <w:rPr>
          <w:rFonts w:ascii="Arial" w:hAnsi="Arial" w:eastAsia="宋体" w:cs="Arial"/>
          <w:b/>
          <w:sz w:val="18"/>
          <w:szCs w:val="18"/>
        </w:rPr>
      </w:pPr>
      <w:r>
        <w:rPr>
          <w:rFonts w:ascii="Arial" w:hAnsi="Arial" w:eastAsia="宋体" w:cs="Arial"/>
          <w:b/>
          <w:sz w:val="18"/>
          <w:szCs w:val="18"/>
        </w:rPr>
        <w:t>生物制剂评价研究中心</w:t>
      </w:r>
    </w:p>
    <w:p w14:paraId="11F8AEF0">
      <w:pPr>
        <w:overflowPunct w:val="0"/>
        <w:snapToGrid w:val="0"/>
        <w:spacing w:line="300" w:lineRule="auto"/>
        <w:jc w:val="center"/>
        <w:rPr>
          <w:rFonts w:ascii="Arial" w:hAnsi="Arial" w:eastAsia="宋体" w:cs="Arial"/>
          <w:b/>
          <w:sz w:val="18"/>
          <w:szCs w:val="18"/>
        </w:rPr>
      </w:pPr>
      <w:r>
        <w:rPr>
          <w:rFonts w:ascii="Arial" w:hAnsi="Arial" w:eastAsia="宋体" w:cs="Arial"/>
          <w:b/>
          <w:sz w:val="18"/>
          <w:szCs w:val="18"/>
        </w:rPr>
        <w:t>器械和放射卫生中心</w:t>
      </w:r>
    </w:p>
    <w:p w14:paraId="3F6AF78F">
      <w:pPr>
        <w:overflowPunct w:val="0"/>
        <w:snapToGrid w:val="0"/>
        <w:spacing w:line="300" w:lineRule="auto"/>
        <w:jc w:val="center"/>
        <w:rPr>
          <w:rFonts w:ascii="Arial" w:hAnsi="Arial" w:eastAsia="宋体" w:cs="Arial"/>
          <w:sz w:val="18"/>
          <w:szCs w:val="18"/>
        </w:rPr>
      </w:pPr>
      <w:r>
        <w:rPr>
          <w:rFonts w:ascii="Arial" w:hAnsi="Arial" w:eastAsia="宋体" w:cs="Arial"/>
          <w:b/>
          <w:sz w:val="18"/>
          <w:szCs w:val="18"/>
        </w:rPr>
        <w:t>临床试验管理规范办公室</w:t>
      </w:r>
    </w:p>
    <w:p w14:paraId="7630D78D">
      <w:pPr>
        <w:overflowPunct w:val="0"/>
        <w:snapToGrid w:val="0"/>
        <w:spacing w:line="300" w:lineRule="auto"/>
        <w:jc w:val="center"/>
        <w:rPr>
          <w:rFonts w:ascii="Arial" w:hAnsi="Arial" w:eastAsia="宋体" w:cs="Arial"/>
          <w:sz w:val="18"/>
          <w:szCs w:val="18"/>
        </w:rPr>
      </w:pPr>
      <w:r>
        <w:rPr>
          <w:rFonts w:ascii="Arial" w:hAnsi="Arial" w:eastAsia="宋体" w:cs="Arial"/>
          <w:b/>
          <w:sz w:val="18"/>
          <w:szCs w:val="18"/>
        </w:rPr>
        <w:t>2014年5月</w:t>
      </w:r>
    </w:p>
    <w:p w14:paraId="5D7AD6B4">
      <w:pPr>
        <w:overflowPunct w:val="0"/>
        <w:rPr>
          <w:rFonts w:ascii="Arial" w:hAnsi="Arial" w:eastAsia="宋体" w:cs="Arial"/>
          <w:sz w:val="24"/>
          <w:szCs w:val="24"/>
        </w:rPr>
      </w:pPr>
      <w:r>
        <w:rPr>
          <w:rFonts w:ascii="Arial" w:hAnsi="Arial" w:eastAsia="宋体" w:cs="Arial"/>
          <w:sz w:val="24"/>
          <w:szCs w:val="24"/>
        </w:rPr>
        <w:br w:type="page"/>
      </w:r>
    </w:p>
    <w:sdt>
      <w:sdtPr>
        <w:rPr>
          <w:rFonts w:asciiTheme="minorHAnsi" w:hAnsiTheme="minorHAnsi" w:eastAsiaTheme="minorEastAsia" w:cstheme="minorBidi"/>
          <w:b w:val="0"/>
          <w:bCs w:val="0"/>
          <w:color w:val="auto"/>
          <w:sz w:val="22"/>
          <w:szCs w:val="22"/>
          <w:lang w:val="zh-CN"/>
        </w:rPr>
        <w:id w:val="593597940"/>
        <w:docPartObj>
          <w:docPartGallery w:val="Table of Contents"/>
          <w:docPartUnique/>
        </w:docPartObj>
      </w:sdtPr>
      <w:sdtEndPr>
        <w:rPr>
          <w:rFonts w:ascii="Arial" w:hAnsi="Arial" w:eastAsia="宋体" w:cs="Arial"/>
          <w:b w:val="0"/>
          <w:bCs w:val="0"/>
          <w:color w:val="auto"/>
          <w:sz w:val="22"/>
          <w:szCs w:val="22"/>
          <w:lang w:val="zh-CN"/>
        </w:rPr>
      </w:sdtEndPr>
      <w:sdtContent>
        <w:p w14:paraId="0FD2CBF1">
          <w:pPr>
            <w:pStyle w:val="23"/>
            <w:jc w:val="center"/>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lang w:val="zh-CN"/>
              <w14:textFill>
                <w14:solidFill>
                  <w14:schemeClr w14:val="tx1"/>
                </w14:solidFill>
              </w14:textFill>
            </w:rPr>
            <w:t>目录</w:t>
          </w:r>
        </w:p>
        <w:p w14:paraId="3DD59F0F">
          <w:pPr>
            <w:pStyle w:val="8"/>
            <w:tabs>
              <w:tab w:val="left" w:pos="512"/>
              <w:tab w:val="right" w:leader="dot" w:pos="8630"/>
            </w:tabs>
            <w:rPr>
              <w:rFonts w:ascii="Arial" w:hAnsi="Arial" w:cs="Arial" w:eastAsiaTheme="minorEastAsia"/>
              <w:b w:val="0"/>
              <w:bCs w:val="0"/>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"_Toc495680545" </w:instrText>
          </w:r>
          <w:r>
            <w:fldChar w:fldCharType="separate"/>
          </w:r>
          <w:r>
            <w:rPr>
              <w:rStyle w:val="14"/>
              <w:rFonts w:ascii="Arial" w:hAnsi="Arial" w:cs="Arial"/>
            </w:rPr>
            <w:t>I.</w:t>
          </w:r>
          <w:r>
            <w:rPr>
              <w:rFonts w:ascii="Arial" w:hAnsi="Arial" w:cs="Arial" w:eastAsiaTheme="minorEastAsia"/>
              <w:b w:val="0"/>
              <w:bCs w:val="0"/>
              <w:kern w:val="2"/>
              <w:sz w:val="21"/>
              <w:szCs w:val="22"/>
            </w:rPr>
            <w:tab/>
          </w:r>
          <w:r>
            <w:rPr>
              <w:rStyle w:val="14"/>
              <w:rFonts w:ascii="Arial" w:hAnsi="Arial" w:cs="Arial"/>
            </w:rPr>
            <w:t>引言</w:t>
          </w:r>
          <w:r>
            <w:rPr>
              <w:rFonts w:ascii="Arial" w:hAnsi="Arial" w:cs="Arial"/>
            </w:rPr>
            <w:tab/>
          </w:r>
          <w:r>
            <w:rPr>
              <w:rFonts w:ascii="Arial" w:hAnsi="Arial" w:cs="Arial"/>
            </w:rPr>
            <w:fldChar w:fldCharType="begin"/>
          </w:r>
          <w:r>
            <w:rPr>
              <w:rFonts w:ascii="Arial" w:hAnsi="Arial" w:cs="Arial"/>
            </w:rPr>
            <w:instrText xml:space="preserve"> PAGEREF _Toc495680545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5202C5AB">
          <w:pPr>
            <w:pStyle w:val="8"/>
            <w:tabs>
              <w:tab w:val="left" w:pos="512"/>
              <w:tab w:val="right" w:leader="dot" w:pos="8630"/>
            </w:tabs>
            <w:rPr>
              <w:rFonts w:ascii="Arial" w:hAnsi="Arial" w:cs="Arial" w:eastAsiaTheme="minorEastAsia"/>
              <w:b w:val="0"/>
              <w:bCs w:val="0"/>
              <w:kern w:val="2"/>
              <w:sz w:val="21"/>
              <w:szCs w:val="22"/>
            </w:rPr>
          </w:pPr>
          <w:r>
            <w:fldChar w:fldCharType="begin"/>
          </w:r>
          <w:r>
            <w:instrText xml:space="preserve"> HYPERLINK \l "_Toc495680546" </w:instrText>
          </w:r>
          <w:r>
            <w:fldChar w:fldCharType="separate"/>
          </w:r>
          <w:r>
            <w:rPr>
              <w:rStyle w:val="14"/>
              <w:rFonts w:ascii="Arial" w:hAnsi="Arial" w:cs="Arial"/>
            </w:rPr>
            <w:t>II.</w:t>
          </w:r>
          <w:r>
            <w:rPr>
              <w:rFonts w:ascii="Arial" w:hAnsi="Arial" w:cs="Arial" w:eastAsiaTheme="minorEastAsia"/>
              <w:b w:val="0"/>
              <w:bCs w:val="0"/>
              <w:kern w:val="2"/>
              <w:sz w:val="21"/>
              <w:szCs w:val="22"/>
            </w:rPr>
            <w:tab/>
          </w:r>
          <w:r>
            <w:rPr>
              <w:rStyle w:val="14"/>
              <w:rFonts w:ascii="Arial" w:hAnsi="Arial" w:cs="Arial"/>
            </w:rPr>
            <w:t>背景</w:t>
          </w:r>
          <w:r>
            <w:rPr>
              <w:rFonts w:ascii="Arial" w:hAnsi="Arial" w:cs="Arial"/>
            </w:rPr>
            <w:tab/>
          </w:r>
          <w:r>
            <w:rPr>
              <w:rFonts w:ascii="Arial" w:hAnsi="Arial" w:cs="Arial"/>
            </w:rPr>
            <w:fldChar w:fldCharType="begin"/>
          </w:r>
          <w:r>
            <w:rPr>
              <w:rFonts w:ascii="Arial" w:hAnsi="Arial" w:cs="Arial"/>
            </w:rPr>
            <w:instrText xml:space="preserve"> PAGEREF _Toc495680546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707FC3EB">
          <w:pPr>
            <w:pStyle w:val="8"/>
            <w:tabs>
              <w:tab w:val="left" w:pos="630"/>
              <w:tab w:val="right" w:leader="dot" w:pos="8630"/>
            </w:tabs>
            <w:rPr>
              <w:rFonts w:ascii="Arial" w:hAnsi="Arial" w:cs="Arial" w:eastAsiaTheme="minorEastAsia"/>
              <w:b w:val="0"/>
              <w:bCs w:val="0"/>
              <w:kern w:val="2"/>
              <w:sz w:val="21"/>
              <w:szCs w:val="22"/>
            </w:rPr>
          </w:pPr>
          <w:r>
            <w:fldChar w:fldCharType="begin"/>
          </w:r>
          <w:r>
            <w:instrText xml:space="preserve"> HYPERLINK \l "_Toc495680547" </w:instrText>
          </w:r>
          <w:r>
            <w:fldChar w:fldCharType="separate"/>
          </w:r>
          <w:r>
            <w:rPr>
              <w:rStyle w:val="14"/>
              <w:rFonts w:ascii="Arial" w:hAnsi="Arial" w:cs="Arial"/>
            </w:rPr>
            <w:t>III.</w:t>
          </w:r>
          <w:r>
            <w:rPr>
              <w:rFonts w:ascii="Arial" w:hAnsi="Arial" w:cs="Arial" w:eastAsiaTheme="minorEastAsia"/>
              <w:b w:val="0"/>
              <w:bCs w:val="0"/>
              <w:kern w:val="2"/>
              <w:sz w:val="21"/>
              <w:szCs w:val="22"/>
            </w:rPr>
            <w:tab/>
          </w:r>
          <w:r>
            <w:rPr>
              <w:rStyle w:val="14"/>
              <w:rFonts w:ascii="Arial" w:hAnsi="Arial" w:cs="Arial"/>
            </w:rPr>
            <w:t>将先前批准的临床研究的监督责任从原IRB转移至其他不属于</w:t>
          </w:r>
          <w:r>
            <w:rPr>
              <w:rStyle w:val="14"/>
              <w:rFonts w:hint="eastAsia" w:ascii="Arial" w:hAnsi="Arial" w:cs="Arial"/>
            </w:rPr>
            <w:br w:type="textWrapping"/>
          </w:r>
          <w:r>
            <w:rPr>
              <w:rStyle w:val="14"/>
              <w:rFonts w:ascii="Arial" w:hAnsi="Arial" w:cs="Arial"/>
            </w:rPr>
            <w:t>同一机构的另一IRB时</w:t>
          </w:r>
          <w:r>
            <w:rPr>
              <w:rFonts w:ascii="Arial" w:hAnsi="Arial" w:cs="Arial"/>
            </w:rPr>
            <w:tab/>
          </w:r>
          <w:r>
            <w:rPr>
              <w:rFonts w:ascii="Arial" w:hAnsi="Arial" w:cs="Arial"/>
            </w:rPr>
            <w:fldChar w:fldCharType="begin"/>
          </w:r>
          <w:r>
            <w:rPr>
              <w:rFonts w:ascii="Arial" w:hAnsi="Arial" w:cs="Arial"/>
            </w:rPr>
            <w:instrText xml:space="preserve"> PAGEREF _Toc495680547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1585114D">
          <w:pPr>
            <w:pStyle w:val="8"/>
            <w:tabs>
              <w:tab w:val="left" w:pos="630"/>
              <w:tab w:val="right" w:leader="dot" w:pos="8630"/>
            </w:tabs>
            <w:rPr>
              <w:rFonts w:ascii="Arial" w:hAnsi="Arial" w:cs="Arial" w:eastAsiaTheme="minorEastAsia"/>
              <w:b w:val="0"/>
              <w:bCs w:val="0"/>
              <w:kern w:val="2"/>
              <w:sz w:val="21"/>
              <w:szCs w:val="22"/>
            </w:rPr>
          </w:pPr>
          <w:r>
            <w:fldChar w:fldCharType="begin"/>
          </w:r>
          <w:r>
            <w:instrText xml:space="preserve"> HYPERLINK \l "_Toc495680548" </w:instrText>
          </w:r>
          <w:r>
            <w:fldChar w:fldCharType="separate"/>
          </w:r>
          <w:r>
            <w:rPr>
              <w:rStyle w:val="14"/>
              <w:rFonts w:ascii="Arial" w:hAnsi="Arial" w:cs="Arial"/>
            </w:rPr>
            <w:t>IV.</w:t>
          </w:r>
          <w:r>
            <w:rPr>
              <w:rFonts w:ascii="Arial" w:hAnsi="Arial" w:cs="Arial" w:eastAsiaTheme="minorEastAsia"/>
              <w:b w:val="0"/>
              <w:bCs w:val="0"/>
              <w:kern w:val="2"/>
              <w:sz w:val="21"/>
              <w:szCs w:val="22"/>
            </w:rPr>
            <w:tab/>
          </w:r>
          <w:r>
            <w:rPr>
              <w:rStyle w:val="14"/>
              <w:rFonts w:ascii="Arial" w:hAnsi="Arial" w:cs="Arial"/>
            </w:rPr>
            <w:t>特殊情况</w:t>
          </w:r>
          <w:r>
            <w:rPr>
              <w:rFonts w:ascii="Arial" w:hAnsi="Arial" w:cs="Arial"/>
            </w:rPr>
            <w:tab/>
          </w:r>
          <w:r>
            <w:rPr>
              <w:rFonts w:ascii="Arial" w:hAnsi="Arial" w:cs="Arial"/>
            </w:rPr>
            <w:fldChar w:fldCharType="begin"/>
          </w:r>
          <w:r>
            <w:rPr>
              <w:rFonts w:ascii="Arial" w:hAnsi="Arial" w:cs="Arial"/>
            </w:rPr>
            <w:instrText xml:space="preserve"> PAGEREF _Toc495680548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7364ACEA">
          <w:pPr>
            <w:pStyle w:val="10"/>
            <w:tabs>
              <w:tab w:val="left" w:pos="1050"/>
              <w:tab w:val="right" w:leader="dot" w:pos="8630"/>
            </w:tabs>
            <w:ind w:left="752"/>
            <w:rPr>
              <w:rFonts w:ascii="Arial" w:hAnsi="Arial" w:cs="Arial" w:eastAsiaTheme="minorEastAsia"/>
              <w:b w:val="0"/>
              <w:bCs w:val="0"/>
              <w:kern w:val="2"/>
            </w:rPr>
          </w:pPr>
          <w:r>
            <w:fldChar w:fldCharType="begin"/>
          </w:r>
          <w:r>
            <w:instrText xml:space="preserve"> HYPERLINK \l "_Toc495680549" </w:instrText>
          </w:r>
          <w:r>
            <w:fldChar w:fldCharType="separate"/>
          </w:r>
          <w:r>
            <w:rPr>
              <w:rStyle w:val="14"/>
              <w:rFonts w:ascii="Arial" w:hAnsi="Arial" w:eastAsia="Times New Roman" w:cs="Arial"/>
            </w:rPr>
            <w:t>A.</w:t>
          </w:r>
          <w:r>
            <w:rPr>
              <w:rFonts w:ascii="Arial" w:hAnsi="Arial" w:cs="Arial" w:eastAsiaTheme="minorEastAsia"/>
              <w:b w:val="0"/>
              <w:bCs w:val="0"/>
              <w:kern w:val="2"/>
            </w:rPr>
            <w:tab/>
          </w:r>
          <w:r>
            <w:rPr>
              <w:rStyle w:val="14"/>
              <w:rFonts w:ascii="Arial" w:hAnsi="Arial" w:cs="Arial"/>
            </w:rPr>
            <w:t>将IRB监督责任从一个IRB转移至同一机构的另一IRB以及</w:t>
          </w:r>
          <w:r>
            <w:rPr>
              <w:rStyle w:val="14"/>
              <w:rFonts w:hint="eastAsia" w:ascii="Arial" w:hAnsi="Arial" w:cs="Arial"/>
            </w:rPr>
            <w:br w:type="textWrapping"/>
          </w:r>
          <w:r>
            <w:rPr>
              <w:rStyle w:val="14"/>
              <w:rFonts w:ascii="Arial" w:hAnsi="Arial" w:cs="Arial"/>
            </w:rPr>
            <w:t>暂时转移IRB审查责任</w:t>
          </w:r>
          <w:r>
            <w:rPr>
              <w:rFonts w:ascii="Arial" w:hAnsi="Arial" w:cs="Arial"/>
            </w:rPr>
            <w:tab/>
          </w:r>
          <w:r>
            <w:rPr>
              <w:rFonts w:ascii="Arial" w:hAnsi="Arial" w:cs="Arial"/>
            </w:rPr>
            <w:fldChar w:fldCharType="begin"/>
          </w:r>
          <w:r>
            <w:rPr>
              <w:rFonts w:ascii="Arial" w:hAnsi="Arial" w:cs="Arial"/>
            </w:rPr>
            <w:instrText xml:space="preserve"> PAGEREF _Toc495680549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79A2BED8">
          <w:pPr>
            <w:pStyle w:val="10"/>
            <w:tabs>
              <w:tab w:val="left" w:pos="1050"/>
              <w:tab w:val="right" w:leader="dot" w:pos="8630"/>
            </w:tabs>
            <w:ind w:left="752"/>
            <w:rPr>
              <w:rFonts w:ascii="Arial" w:hAnsi="Arial" w:cs="Arial" w:eastAsiaTheme="minorEastAsia"/>
              <w:b w:val="0"/>
              <w:bCs w:val="0"/>
              <w:kern w:val="2"/>
            </w:rPr>
          </w:pPr>
          <w:r>
            <w:fldChar w:fldCharType="begin"/>
          </w:r>
          <w:r>
            <w:instrText xml:space="preserve"> HYPERLINK \l "_Toc495680550" </w:instrText>
          </w:r>
          <w:r>
            <w:fldChar w:fldCharType="separate"/>
          </w:r>
          <w:r>
            <w:rPr>
              <w:rStyle w:val="14"/>
              <w:rFonts w:ascii="Arial" w:hAnsi="Arial" w:eastAsia="Times New Roman" w:cs="Arial"/>
            </w:rPr>
            <w:t>B.</w:t>
          </w:r>
          <w:r>
            <w:rPr>
              <w:rFonts w:ascii="Arial" w:hAnsi="Arial" w:cs="Arial" w:eastAsiaTheme="minorEastAsia"/>
              <w:b w:val="0"/>
              <w:bCs w:val="0"/>
              <w:kern w:val="2"/>
            </w:rPr>
            <w:tab/>
          </w:r>
          <w:r>
            <w:rPr>
              <w:rStyle w:val="14"/>
              <w:rFonts w:ascii="Arial" w:hAnsi="Arial" w:cs="Arial"/>
            </w:rPr>
            <w:t>将临床研究转移到需要IRB进行审查的新研究中心</w:t>
          </w:r>
          <w:r>
            <w:rPr>
              <w:rFonts w:ascii="Arial" w:hAnsi="Arial" w:cs="Arial"/>
            </w:rPr>
            <w:tab/>
          </w:r>
          <w:r>
            <w:rPr>
              <w:rFonts w:ascii="Arial" w:hAnsi="Arial" w:cs="Arial"/>
            </w:rPr>
            <w:fldChar w:fldCharType="begin"/>
          </w:r>
          <w:r>
            <w:rPr>
              <w:rFonts w:ascii="Arial" w:hAnsi="Arial" w:cs="Arial"/>
            </w:rPr>
            <w:instrText xml:space="preserve"> PAGEREF _Toc495680550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6632E10B">
          <w:pPr>
            <w:pStyle w:val="8"/>
            <w:tabs>
              <w:tab w:val="left" w:pos="630"/>
              <w:tab w:val="right" w:leader="dot" w:pos="8630"/>
            </w:tabs>
            <w:rPr>
              <w:rFonts w:ascii="Arial" w:hAnsi="Arial" w:cs="Arial" w:eastAsiaTheme="minorEastAsia"/>
              <w:b w:val="0"/>
              <w:bCs w:val="0"/>
              <w:kern w:val="2"/>
              <w:sz w:val="21"/>
              <w:szCs w:val="22"/>
            </w:rPr>
          </w:pPr>
          <w:r>
            <w:fldChar w:fldCharType="begin"/>
          </w:r>
          <w:r>
            <w:instrText xml:space="preserve"> HYPERLINK \l "_Toc495680551" </w:instrText>
          </w:r>
          <w:r>
            <w:fldChar w:fldCharType="separate"/>
          </w:r>
          <w:r>
            <w:rPr>
              <w:rStyle w:val="14"/>
              <w:rFonts w:ascii="Arial" w:hAnsi="Arial" w:cs="Arial"/>
            </w:rPr>
            <w:t>V.</w:t>
          </w:r>
          <w:r>
            <w:rPr>
              <w:rFonts w:ascii="Arial" w:hAnsi="Arial" w:cs="Arial" w:eastAsiaTheme="minorEastAsia"/>
              <w:b w:val="0"/>
              <w:bCs w:val="0"/>
              <w:kern w:val="2"/>
              <w:sz w:val="21"/>
              <w:szCs w:val="22"/>
            </w:rPr>
            <w:tab/>
          </w:r>
          <w:r>
            <w:rPr>
              <w:rStyle w:val="14"/>
              <w:rFonts w:ascii="Arial" w:hAnsi="Arial" w:cs="Arial"/>
            </w:rPr>
            <w:t>关于转移临床研究监督责任的其他问题</w:t>
          </w:r>
          <w:r>
            <w:rPr>
              <w:rFonts w:ascii="Arial" w:hAnsi="Arial" w:cs="Arial"/>
            </w:rPr>
            <w:tab/>
          </w:r>
          <w:r>
            <w:rPr>
              <w:rFonts w:ascii="Arial" w:hAnsi="Arial" w:cs="Arial"/>
            </w:rPr>
            <w:fldChar w:fldCharType="begin"/>
          </w:r>
          <w:r>
            <w:rPr>
              <w:rFonts w:ascii="Arial" w:hAnsi="Arial" w:cs="Arial"/>
            </w:rPr>
            <w:instrText xml:space="preserve"> PAGEREF _Toc495680551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20551561">
          <w:pPr>
            <w:rPr>
              <w:rFonts w:ascii="Arial" w:hAnsi="Arial" w:eastAsia="宋体" w:cs="Arial"/>
              <w:sz w:val="24"/>
              <w:szCs w:val="24"/>
            </w:rPr>
          </w:pPr>
          <w:r>
            <w:rPr>
              <w:rFonts w:ascii="Arial" w:hAnsi="Arial" w:eastAsia="宋体" w:cs="Arial"/>
              <w:sz w:val="24"/>
              <w:szCs w:val="24"/>
            </w:rPr>
            <w:fldChar w:fldCharType="end"/>
          </w:r>
        </w:p>
        <w:p w14:paraId="3E22C0C5">
          <w:pPr>
            <w:rPr>
              <w:rFonts w:ascii="Arial" w:hAnsi="Arial" w:eastAsia="宋体" w:cs="Arial"/>
            </w:rPr>
          </w:pPr>
        </w:p>
      </w:sdtContent>
    </w:sdt>
    <w:p w14:paraId="40EE60C6">
      <w:pPr>
        <w:overflowPunct w:val="0"/>
        <w:snapToGrid w:val="0"/>
        <w:spacing w:line="300" w:lineRule="auto"/>
        <w:rPr>
          <w:rFonts w:ascii="Arial" w:hAnsi="Arial" w:eastAsia="宋体" w:cs="Arial"/>
          <w:b/>
          <w:bCs/>
          <w:sz w:val="20"/>
          <w:szCs w:val="20"/>
        </w:rPr>
      </w:pPr>
    </w:p>
    <w:p w14:paraId="107C1D2D">
      <w:pPr>
        <w:overflowPunct w:val="0"/>
        <w:snapToGrid w:val="0"/>
        <w:spacing w:line="300" w:lineRule="auto"/>
        <w:rPr>
          <w:rFonts w:ascii="Arial" w:hAnsi="Arial" w:eastAsia="宋体" w:cs="Arial"/>
        </w:rPr>
        <w:sectPr>
          <w:headerReference r:id="rId4" w:type="default"/>
          <w:pgSz w:w="12240" w:h="15840"/>
          <w:pgMar w:top="1440" w:right="1800" w:bottom="1440" w:left="1800" w:header="750" w:footer="0" w:gutter="0"/>
          <w:cols w:space="720" w:num="1"/>
          <w:docGrid w:linePitch="299" w:charSpace="0"/>
        </w:sectPr>
      </w:pPr>
      <w:bookmarkStart w:id="4" w:name="TABLE_OF_CONTENTS"/>
      <w:bookmarkEnd w:id="4"/>
    </w:p>
    <w:p w14:paraId="354AE790">
      <w:pPr>
        <w:overflowPunct w:val="0"/>
        <w:snapToGrid w:val="0"/>
        <w:spacing w:line="300" w:lineRule="auto"/>
        <w:ind w:left="312"/>
        <w:jc w:val="center"/>
        <w:rPr>
          <w:rFonts w:ascii="Arial" w:hAnsi="Arial" w:eastAsia="宋体" w:cs="Arial"/>
          <w:b/>
          <w:sz w:val="32"/>
          <w:szCs w:val="32"/>
          <w:vertAlign w:val="superscript"/>
        </w:rPr>
      </w:pPr>
      <w:bookmarkStart w:id="5" w:name="Guidance_for_IRBs,_Clinical_Investigator"/>
      <w:bookmarkEnd w:id="5"/>
      <w:r>
        <w:rPr>
          <w:rFonts w:ascii="Arial" w:hAnsi="Arial" w:eastAsia="宋体" w:cs="Arial"/>
          <w:b/>
          <w:sz w:val="32"/>
          <w:szCs w:val="32"/>
        </w:rPr>
        <w:t>机构审查委员会、临床研究者及申办者指南</w:t>
      </w:r>
      <w:r>
        <w:rPr>
          <w:rStyle w:val="15"/>
          <w:rFonts w:ascii="Arial" w:hAnsi="Arial" w:eastAsia="宋体" w:cs="Arial"/>
          <w:b/>
          <w:sz w:val="32"/>
          <w:szCs w:val="32"/>
        </w:rPr>
        <w:footnoteReference w:id="0"/>
      </w:r>
    </w:p>
    <w:p w14:paraId="11AEC14E">
      <w:pPr>
        <w:overflowPunct w:val="0"/>
        <w:snapToGrid w:val="0"/>
        <w:spacing w:line="300" w:lineRule="auto"/>
        <w:ind w:left="312"/>
        <w:jc w:val="center"/>
        <w:rPr>
          <w:rFonts w:ascii="Arial" w:hAnsi="Arial" w:eastAsia="宋体" w:cs="Arial"/>
          <w:sz w:val="32"/>
          <w:szCs w:val="32"/>
        </w:rPr>
      </w:pPr>
      <w:r>
        <w:rPr>
          <w:rFonts w:ascii="Arial" w:hAnsi="Arial" w:eastAsia="宋体" w:cs="Arial"/>
          <w:b/>
          <w:sz w:val="32"/>
        </w:rPr>
        <w:t>将临床研究监督责任转移至另一机构审查委员会时的考虑因素</w:t>
      </w:r>
    </w:p>
    <w:p w14:paraId="5A9CE987">
      <w:pPr>
        <w:overflowPunct w:val="0"/>
        <w:snapToGrid w:val="0"/>
        <w:spacing w:line="300" w:lineRule="auto"/>
        <w:rPr>
          <w:rFonts w:ascii="Arial" w:hAnsi="Arial" w:eastAsia="宋体" w:cs="Arial"/>
          <w:b/>
          <w:bCs/>
          <w:sz w:val="20"/>
          <w:szCs w:val="20"/>
        </w:rPr>
      </w:pPr>
    </w:p>
    <w:p w14:paraId="330A792A">
      <w:pPr>
        <w:overflowPunct w:val="0"/>
        <w:snapToGrid w:val="0"/>
        <w:spacing w:before="10" w:line="300" w:lineRule="auto"/>
        <w:rPr>
          <w:rFonts w:ascii="Arial" w:hAnsi="Arial" w:eastAsia="宋体" w:cs="Arial"/>
          <w:b/>
          <w:bCs/>
          <w:sz w:val="10"/>
          <w:szCs w:val="10"/>
        </w:rPr>
      </w:pPr>
    </w:p>
    <w:tbl>
      <w:tblPr>
        <w:tblStyle w:val="12"/>
        <w:tblW w:w="0" w:type="auto"/>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8856"/>
      </w:tblGrid>
      <w:tr w14:paraId="3A98B1C3">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c>
          <w:tcPr>
            <w:tcW w:w="8856" w:type="dxa"/>
          </w:tcPr>
          <w:p w14:paraId="3E5E95BF">
            <w:pPr>
              <w:overflowPunct w:val="0"/>
              <w:snapToGrid w:val="0"/>
              <w:spacing w:before="120" w:beforeLines="50" w:after="120" w:afterLines="50"/>
              <w:ind w:left="119" w:right="312"/>
              <w:rPr>
                <w:rFonts w:ascii="Arial" w:hAnsi="Arial" w:eastAsia="宋体" w:cs="Arial"/>
              </w:rPr>
            </w:pPr>
            <w:r>
              <w:rPr>
                <w:rFonts w:ascii="Arial" w:hAnsi="Arial" w:eastAsia="宋体" w:cs="Arial"/>
              </w:rPr>
              <w:t>本指南代表食品药品监督管理局（FDA）对此主题的最新见解。其不会为任何人创造或赋予任何权利，也不对FDA或公众具有约束力。如果替代方法满足适用的法律、法规或的要求，可以使用替代方法。如果贵公司希望讨论一种替代方法，请联系负责实施本指南的FDA工作人员。如果贵公司无法确定适当的FDA工作人员，请拨打本指南标题页上列出的合适的电话号码。</w:t>
            </w:r>
          </w:p>
        </w:tc>
      </w:tr>
    </w:tbl>
    <w:p w14:paraId="18E2EB68">
      <w:pPr>
        <w:overflowPunct w:val="0"/>
        <w:snapToGrid w:val="0"/>
        <w:spacing w:line="300" w:lineRule="auto"/>
        <w:rPr>
          <w:rFonts w:ascii="Arial" w:hAnsi="Arial" w:eastAsia="宋体" w:cs="Arial"/>
          <w:b/>
          <w:bCs/>
          <w:sz w:val="24"/>
          <w:szCs w:val="24"/>
        </w:rPr>
      </w:pPr>
    </w:p>
    <w:p w14:paraId="2E2A8474">
      <w:pPr>
        <w:pStyle w:val="17"/>
        <w:numPr>
          <w:ilvl w:val="0"/>
          <w:numId w:val="1"/>
        </w:numPr>
        <w:snapToGrid w:val="0"/>
        <w:spacing w:line="300" w:lineRule="auto"/>
        <w:outlineLvl w:val="0"/>
        <w:rPr>
          <w:rFonts w:ascii="Arial" w:hAnsi="Arial" w:eastAsia="宋体" w:cs="Arial"/>
          <w:b/>
          <w:bCs/>
          <w:sz w:val="24"/>
          <w:szCs w:val="24"/>
        </w:rPr>
      </w:pPr>
      <w:bookmarkStart w:id="6" w:name="I._INTRODUCTION"/>
      <w:bookmarkEnd w:id="6"/>
      <w:bookmarkStart w:id="7" w:name="_bookmark0"/>
      <w:bookmarkEnd w:id="7"/>
      <w:bookmarkStart w:id="8" w:name="_Toc495680545"/>
      <w:r>
        <w:rPr>
          <w:rFonts w:ascii="Arial" w:hAnsi="Arial" w:eastAsia="宋体" w:cs="Arial"/>
          <w:b/>
          <w:sz w:val="24"/>
          <w:szCs w:val="24"/>
        </w:rPr>
        <w:t>引言</w:t>
      </w:r>
      <w:bookmarkEnd w:id="8"/>
    </w:p>
    <w:p w14:paraId="6196BA76">
      <w:pPr>
        <w:overflowPunct w:val="0"/>
        <w:snapToGrid w:val="0"/>
        <w:spacing w:before="9" w:line="300" w:lineRule="auto"/>
        <w:jc w:val="both"/>
        <w:rPr>
          <w:rFonts w:ascii="Arial" w:hAnsi="Arial" w:eastAsia="宋体" w:cs="Arial"/>
          <w:b/>
          <w:bCs/>
          <w:sz w:val="23"/>
          <w:szCs w:val="23"/>
        </w:rPr>
      </w:pPr>
    </w:p>
    <w:p w14:paraId="747CB7BF">
      <w:pPr>
        <w:pStyle w:val="4"/>
        <w:overflowPunct w:val="0"/>
        <w:snapToGrid w:val="0"/>
        <w:spacing w:line="300" w:lineRule="auto"/>
        <w:ind w:left="0"/>
        <w:jc w:val="both"/>
        <w:rPr>
          <w:rFonts w:ascii="Arial" w:hAnsi="Arial" w:cs="Arial"/>
        </w:rPr>
      </w:pPr>
      <w:r>
        <w:rPr>
          <w:rFonts w:ascii="Arial" w:hAnsi="Arial" w:cs="Arial"/>
        </w:rPr>
        <w:t>本指南讨论在FDA管辖下已批准的且仍在进行中的临床研究监督责任从一个IRB转移至另一IRB时，机构审查委员会（IRB）、临床研究者和申办者的监管责任。本指南还将解决先前提出的、有关转移此类监督责任时FDA要求和/或推荐进行的程序和流程问题。FDA鼓励个人直接与本机构联系，讨论任何特殊情况。</w:t>
      </w:r>
    </w:p>
    <w:p w14:paraId="0951DE8E">
      <w:pPr>
        <w:overflowPunct w:val="0"/>
        <w:snapToGrid w:val="0"/>
        <w:spacing w:before="2" w:line="300" w:lineRule="auto"/>
        <w:jc w:val="both"/>
        <w:rPr>
          <w:rFonts w:ascii="Arial" w:hAnsi="Arial" w:eastAsia="宋体" w:cs="Arial"/>
          <w:sz w:val="24"/>
          <w:szCs w:val="24"/>
        </w:rPr>
      </w:pPr>
    </w:p>
    <w:p w14:paraId="78B7C897">
      <w:pPr>
        <w:pStyle w:val="4"/>
        <w:overflowPunct w:val="0"/>
        <w:snapToGrid w:val="0"/>
        <w:spacing w:line="300" w:lineRule="auto"/>
        <w:ind w:left="0"/>
        <w:jc w:val="both"/>
        <w:rPr>
          <w:rFonts w:ascii="Arial" w:hAnsi="Arial" w:cs="Arial"/>
          <w:sz w:val="16"/>
          <w:szCs w:val="16"/>
        </w:rPr>
      </w:pPr>
      <w:r>
        <w:rPr>
          <w:rFonts w:ascii="Arial" w:hAnsi="Arial" w:cs="Arial"/>
        </w:rPr>
        <w:t>为加强受试者的保护并减轻监管负担，FDA和人类研究保护办公室（OHRP）一直在积极努力地协调机构对受试者研究的监管要求和指南。本指导性文件正是此类工作的成果之一。对于符合45 CFR第46部分（即由卫生和公众服务部资助、进行或支持的研究）的研究，OHRP发布了一份指南草案，题为“将先前核准研究项目转交给新IRB或研究机构时的考虑因素。”</w:t>
      </w:r>
      <w:r>
        <w:rPr>
          <w:rStyle w:val="15"/>
          <w:rFonts w:ascii="Arial" w:hAnsi="Arial" w:cs="Arial"/>
        </w:rPr>
        <w:footnoteReference w:id="1"/>
      </w:r>
    </w:p>
    <w:p w14:paraId="63FD84C8">
      <w:pPr>
        <w:overflowPunct w:val="0"/>
        <w:snapToGrid w:val="0"/>
        <w:spacing w:before="8" w:line="300" w:lineRule="auto"/>
        <w:jc w:val="both"/>
        <w:rPr>
          <w:rFonts w:ascii="Arial" w:hAnsi="Arial" w:eastAsia="宋体" w:cs="Arial"/>
          <w:sz w:val="23"/>
          <w:szCs w:val="23"/>
        </w:rPr>
      </w:pPr>
    </w:p>
    <w:p w14:paraId="4D1E563F">
      <w:pPr>
        <w:pStyle w:val="4"/>
        <w:overflowPunct w:val="0"/>
        <w:snapToGrid w:val="0"/>
        <w:spacing w:line="300" w:lineRule="auto"/>
        <w:ind w:left="0"/>
        <w:jc w:val="both"/>
        <w:rPr>
          <w:rFonts w:ascii="Arial" w:hAnsi="Arial" w:cs="Arial"/>
        </w:rPr>
      </w:pPr>
      <w:r>
        <w:rPr>
          <w:rFonts w:ascii="Arial" w:hAnsi="Arial" w:cs="Arial"/>
        </w:rPr>
        <w:t>FDA的指导性文件，包括本指南，不构成具有法律强制力的责任。相反，指南表明了本审查机构对某一主题的最新见解，除非引用具体的法规或法律要求，否则只应视为建议。在本审查机构指南中使用术语“应”是指建议或推荐进行某一事项，并非强制要求。</w:t>
      </w:r>
    </w:p>
    <w:p w14:paraId="19ED6BE0">
      <w:pPr>
        <w:overflowPunct w:val="0"/>
        <w:snapToGrid w:val="0"/>
        <w:spacing w:line="300" w:lineRule="auto"/>
        <w:jc w:val="both"/>
        <w:rPr>
          <w:rFonts w:ascii="Arial" w:hAnsi="Arial" w:eastAsia="宋体" w:cs="Arial"/>
          <w:sz w:val="24"/>
          <w:szCs w:val="24"/>
        </w:rPr>
      </w:pPr>
    </w:p>
    <w:p w14:paraId="65964FC7">
      <w:pPr>
        <w:pStyle w:val="17"/>
        <w:numPr>
          <w:ilvl w:val="0"/>
          <w:numId w:val="1"/>
        </w:numPr>
        <w:snapToGrid w:val="0"/>
        <w:spacing w:line="300" w:lineRule="auto"/>
        <w:outlineLvl w:val="0"/>
        <w:rPr>
          <w:rFonts w:ascii="Arial" w:hAnsi="Arial" w:eastAsia="宋体" w:cs="Arial"/>
          <w:b/>
          <w:sz w:val="24"/>
          <w:szCs w:val="24"/>
        </w:rPr>
      </w:pPr>
      <w:bookmarkStart w:id="9" w:name="II.___BACKGROUND"/>
      <w:bookmarkEnd w:id="9"/>
      <w:bookmarkStart w:id="10" w:name="_bookmark1"/>
      <w:bookmarkEnd w:id="10"/>
      <w:bookmarkStart w:id="11" w:name="_Toc495680546"/>
      <w:r>
        <w:rPr>
          <w:rFonts w:ascii="Arial" w:hAnsi="Arial" w:eastAsia="宋体" w:cs="Arial"/>
          <w:b/>
          <w:sz w:val="24"/>
          <w:szCs w:val="24"/>
        </w:rPr>
        <w:t>背景</w:t>
      </w:r>
      <w:bookmarkEnd w:id="11"/>
    </w:p>
    <w:p w14:paraId="20C715FA">
      <w:pPr>
        <w:overflowPunct w:val="0"/>
        <w:rPr>
          <w:rFonts w:ascii="Arial" w:hAnsi="Arial" w:eastAsia="宋体" w:cs="Arial"/>
          <w:sz w:val="20"/>
          <w:szCs w:val="20"/>
        </w:rPr>
      </w:pPr>
      <w:r>
        <w:rPr>
          <w:rFonts w:ascii="Arial" w:hAnsi="Arial" w:eastAsia="宋体" w:cs="Arial"/>
          <w:sz w:val="20"/>
          <w:szCs w:val="20"/>
        </w:rPr>
        <w:br w:type="page"/>
      </w:r>
    </w:p>
    <w:p w14:paraId="3EFF9A5B">
      <w:pPr>
        <w:pStyle w:val="4"/>
        <w:overflowPunct w:val="0"/>
        <w:snapToGrid w:val="0"/>
        <w:spacing w:before="72" w:line="300" w:lineRule="auto"/>
        <w:ind w:left="0"/>
        <w:jc w:val="both"/>
        <w:rPr>
          <w:rFonts w:ascii="Arial" w:hAnsi="Arial" w:cs="Arial"/>
        </w:rPr>
      </w:pPr>
      <w:r>
        <w:rPr>
          <w:rFonts w:ascii="Arial" w:hAnsi="Arial" w:cs="Arial"/>
        </w:rPr>
        <w:t>IRB指由机构正式指定的任何董事会、委员会或其他小组，用于审查、批准启动和定期审查涉及受试者的生物医学研究。此类审查的主要目的是确保受试者的权利和福利得到保护。</w:t>
      </w:r>
      <w:r>
        <w:rPr>
          <w:rStyle w:val="15"/>
          <w:rFonts w:ascii="Arial" w:hAnsi="Arial" w:cs="Arial"/>
        </w:rPr>
        <w:footnoteReference w:id="2"/>
      </w:r>
      <w:r>
        <w:rPr>
          <w:rFonts w:ascii="Arial" w:hAnsi="Arial" w:cs="Arial"/>
        </w:rPr>
        <w:t>为防止受试者的保护出现差错，一般情况下，应由同一IRB在整个试验期间履行监督责任（如果可能）。但是，FDA认识到，有时会将最初由一个IRB批准的临床研究转移至另一IRB，以进行后续审查和监督。此类转移可能会对有关各方产生一些法律、法规、行政和后勤问题。</w:t>
      </w:r>
    </w:p>
    <w:p w14:paraId="35BA8DD5">
      <w:pPr>
        <w:overflowPunct w:val="0"/>
        <w:snapToGrid w:val="0"/>
        <w:spacing w:before="8" w:line="300" w:lineRule="auto"/>
        <w:jc w:val="both"/>
        <w:rPr>
          <w:rFonts w:ascii="Arial" w:hAnsi="Arial" w:eastAsia="宋体" w:cs="Arial"/>
          <w:sz w:val="23"/>
          <w:szCs w:val="23"/>
        </w:rPr>
      </w:pPr>
    </w:p>
    <w:p w14:paraId="3890AA11">
      <w:pPr>
        <w:pStyle w:val="4"/>
        <w:overflowPunct w:val="0"/>
        <w:snapToGrid w:val="0"/>
        <w:spacing w:line="300" w:lineRule="auto"/>
        <w:ind w:left="0"/>
        <w:jc w:val="both"/>
        <w:rPr>
          <w:rFonts w:ascii="Arial" w:hAnsi="Arial" w:cs="Arial"/>
        </w:rPr>
      </w:pPr>
      <w:r>
        <w:rPr>
          <w:rFonts w:ascii="Arial" w:hAnsi="Arial" w:cs="Arial"/>
        </w:rPr>
        <w:t>涉及IRB临床研究审查责任转移的研究机构包括：</w:t>
      </w:r>
    </w:p>
    <w:p w14:paraId="158F1881">
      <w:pPr>
        <w:overflowPunct w:val="0"/>
        <w:snapToGrid w:val="0"/>
        <w:spacing w:before="1" w:line="300" w:lineRule="auto"/>
        <w:jc w:val="both"/>
        <w:rPr>
          <w:rFonts w:ascii="Arial" w:hAnsi="Arial" w:eastAsia="宋体" w:cs="Arial"/>
          <w:sz w:val="24"/>
          <w:szCs w:val="24"/>
        </w:rPr>
      </w:pPr>
    </w:p>
    <w:p w14:paraId="5CE93FD0">
      <w:pPr>
        <w:pStyle w:val="17"/>
        <w:numPr>
          <w:ilvl w:val="1"/>
          <w:numId w:val="2"/>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i/>
          <w:sz w:val="24"/>
        </w:rPr>
        <w:t>原始</w:t>
      </w:r>
      <w:r>
        <w:rPr>
          <w:rFonts w:ascii="Arial" w:hAnsi="Arial" w:eastAsia="宋体" w:cs="Arial"/>
          <w:sz w:val="24"/>
        </w:rPr>
        <w:t>IRB，就本指南而言，指最初指定审查临床研究并将监督责任转移给另一IRB的IRB；</w:t>
      </w:r>
    </w:p>
    <w:p w14:paraId="0F430D65">
      <w:pPr>
        <w:pStyle w:val="17"/>
        <w:numPr>
          <w:ilvl w:val="1"/>
          <w:numId w:val="2"/>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i/>
          <w:sz w:val="24"/>
        </w:rPr>
        <w:t>接收</w:t>
      </w:r>
      <w:r>
        <w:rPr>
          <w:rFonts w:ascii="Arial" w:hAnsi="Arial" w:eastAsia="宋体" w:cs="Arial"/>
          <w:sz w:val="24"/>
        </w:rPr>
        <w:t>IRB，就本指南而言，指接受临床研究监督责任的IRB；</w:t>
      </w:r>
    </w:p>
    <w:p w14:paraId="7CF3FDC6">
      <w:pPr>
        <w:pStyle w:val="17"/>
        <w:numPr>
          <w:ilvl w:val="1"/>
          <w:numId w:val="2"/>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发起临床研究的申办者；以及</w:t>
      </w:r>
    </w:p>
    <w:p w14:paraId="62C1B760">
      <w:pPr>
        <w:pStyle w:val="17"/>
        <w:numPr>
          <w:ilvl w:val="1"/>
          <w:numId w:val="2"/>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进行研究的临床研究者。</w:t>
      </w:r>
    </w:p>
    <w:p w14:paraId="6C8739C2">
      <w:pPr>
        <w:overflowPunct w:val="0"/>
        <w:snapToGrid w:val="0"/>
        <w:spacing w:before="10" w:line="300" w:lineRule="auto"/>
        <w:jc w:val="both"/>
        <w:rPr>
          <w:rFonts w:ascii="Arial" w:hAnsi="Arial" w:eastAsia="宋体" w:cs="Arial"/>
          <w:sz w:val="23"/>
          <w:szCs w:val="23"/>
        </w:rPr>
      </w:pPr>
    </w:p>
    <w:p w14:paraId="3917D36B">
      <w:pPr>
        <w:pStyle w:val="4"/>
        <w:overflowPunct w:val="0"/>
        <w:snapToGrid w:val="0"/>
        <w:spacing w:line="300" w:lineRule="auto"/>
        <w:ind w:left="0"/>
        <w:jc w:val="both"/>
        <w:rPr>
          <w:rFonts w:ascii="Arial" w:hAnsi="Arial" w:cs="Arial"/>
        </w:rPr>
      </w:pPr>
      <w:r>
        <w:rPr>
          <w:rFonts w:ascii="Arial" w:hAnsi="Arial" w:cs="Arial"/>
        </w:rPr>
        <w:t>在将临床研究审查责任从一个IRB转移至另一IRB时，应确保IRB监督持续进行，且IRB批准或受试者的保护不会出现差错，尽可能地减少对研究活动的干扰。本指南将介绍原始和接收IRB的申办者、临床研究者和IRB员工在任何此类转移之前、期间和之后应考虑进行的可能行动。</w:t>
      </w:r>
    </w:p>
    <w:p w14:paraId="73F108D9">
      <w:pPr>
        <w:pStyle w:val="4"/>
        <w:overflowPunct w:val="0"/>
        <w:snapToGrid w:val="0"/>
        <w:spacing w:line="300" w:lineRule="auto"/>
        <w:ind w:left="0"/>
        <w:jc w:val="both"/>
        <w:rPr>
          <w:rFonts w:ascii="Arial" w:hAnsi="Arial" w:cs="Arial"/>
        </w:rPr>
      </w:pPr>
      <w:r>
        <w:rPr>
          <w:rFonts w:ascii="Arial" w:hAnsi="Arial" w:cs="Arial"/>
        </w:rPr>
        <w:t>理想情况下，IRB应有自己的程序和/或机构政策，在必须将临床研究监督责任转移至另一来IRB时提供一般指导。</w:t>
      </w:r>
    </w:p>
    <w:p w14:paraId="0BEDC42B">
      <w:pPr>
        <w:overflowPunct w:val="0"/>
        <w:snapToGrid w:val="0"/>
        <w:spacing w:line="300" w:lineRule="auto"/>
        <w:jc w:val="both"/>
        <w:rPr>
          <w:rFonts w:ascii="Arial" w:hAnsi="Arial" w:eastAsia="宋体" w:cs="Arial"/>
          <w:sz w:val="24"/>
          <w:szCs w:val="24"/>
        </w:rPr>
      </w:pPr>
    </w:p>
    <w:p w14:paraId="3041569D">
      <w:pPr>
        <w:pStyle w:val="4"/>
        <w:overflowPunct w:val="0"/>
        <w:snapToGrid w:val="0"/>
        <w:spacing w:line="300" w:lineRule="auto"/>
        <w:ind w:left="0"/>
        <w:jc w:val="both"/>
        <w:rPr>
          <w:rFonts w:ascii="Arial" w:hAnsi="Arial" w:cs="Arial"/>
        </w:rPr>
      </w:pPr>
      <w:r>
        <w:rPr>
          <w:rFonts w:ascii="Arial" w:hAnsi="Arial" w:cs="Arial"/>
        </w:rPr>
        <w:t>FDA建议原始IRB在整个转移过程中与临床研究者、申办者和接收IRB密切合作，以确保有序过渡且受试者得到持续保护。IRB、申办者、临床研究者、FDA和其他机构（例如机构成员、数据安全监控委员会、合同研究组织（CRO））之间的有效沟通对于确保顺利过渡到另一IRB至关重要。FDA建议，任何即将进行的监督变更均应在转移过程早期进行沟通。在某些情况下，由于转移过程中出现意外困难或研究相关问题，转移可能会干扰研究招募或临床研究的其他方面。</w:t>
      </w:r>
    </w:p>
    <w:p w14:paraId="1BFA17B3">
      <w:pPr>
        <w:pStyle w:val="4"/>
        <w:overflowPunct w:val="0"/>
        <w:snapToGrid w:val="0"/>
        <w:spacing w:line="300" w:lineRule="auto"/>
        <w:ind w:left="0"/>
        <w:jc w:val="both"/>
        <w:rPr>
          <w:rFonts w:ascii="Arial" w:hAnsi="Arial" w:cs="Arial"/>
        </w:rPr>
      </w:pPr>
      <w:r>
        <w:rPr>
          <w:rFonts w:ascii="Arial" w:hAnsi="Arial" w:cs="Arial"/>
        </w:rPr>
        <w:t>FDA认为，提供本指南将有助于降低严重干扰的发生率。</w:t>
      </w:r>
    </w:p>
    <w:p w14:paraId="0C949030">
      <w:pPr>
        <w:overflowPunct w:val="0"/>
        <w:snapToGrid w:val="0"/>
        <w:spacing w:before="3" w:line="300" w:lineRule="auto"/>
        <w:jc w:val="both"/>
        <w:rPr>
          <w:rFonts w:ascii="Arial" w:hAnsi="Arial" w:eastAsia="宋体" w:cs="Arial"/>
          <w:sz w:val="24"/>
          <w:szCs w:val="24"/>
        </w:rPr>
      </w:pPr>
    </w:p>
    <w:p w14:paraId="588C7C89">
      <w:pPr>
        <w:pStyle w:val="4"/>
        <w:overflowPunct w:val="0"/>
        <w:snapToGrid w:val="0"/>
        <w:spacing w:line="300" w:lineRule="auto"/>
        <w:ind w:left="0"/>
        <w:jc w:val="both"/>
        <w:rPr>
          <w:rFonts w:ascii="Arial" w:hAnsi="Arial" w:cs="Arial"/>
          <w:sz w:val="16"/>
          <w:szCs w:val="16"/>
          <w:vertAlign w:val="superscript"/>
        </w:rPr>
      </w:pPr>
      <w:r>
        <w:rPr>
          <w:rFonts w:ascii="Arial" w:hAnsi="Arial" w:cs="Arial"/>
        </w:rPr>
        <w:t>FDA要求由新药品和生物制剂临床研究的临床研究者</w:t>
      </w:r>
      <w:r>
        <w:rPr>
          <w:rStyle w:val="15"/>
          <w:rFonts w:ascii="Arial" w:hAnsi="Arial" w:cs="Arial"/>
        </w:rPr>
        <w:footnoteReference w:id="3"/>
      </w:r>
      <w:r>
        <w:rPr>
          <w:rFonts w:ascii="Arial" w:hAnsi="Arial" w:cs="Arial"/>
        </w:rPr>
        <w:t>以及医疗器械临床研究的申办者</w:t>
      </w:r>
      <w:r>
        <w:rPr>
          <w:rStyle w:val="15"/>
          <w:rFonts w:ascii="Arial" w:hAnsi="Arial" w:cs="Arial"/>
        </w:rPr>
        <w:footnoteReference w:id="4"/>
      </w:r>
      <w:r>
        <w:rPr>
          <w:rFonts w:ascii="Arial" w:hAnsi="Arial" w:cs="Arial"/>
        </w:rPr>
        <w:t>履行确保IRB审查和批准的责任。但实际上，实际发起转移过程的一方因需要转移的情况和有关各方而有所不同。例如，机构的IRB可以决定将其儿科临床研究的监督责任转移到同一机构内具有此类专业知识的IRB。无论发起监督责任转移的人员，临床研究者和申办者仍需对其相应的监管义务负责（例如，对接收IRB要求的知情同意书进行任何修改）。</w:t>
      </w:r>
      <w:r>
        <w:rPr>
          <w:rStyle w:val="15"/>
          <w:rFonts w:ascii="Arial" w:hAnsi="Arial" w:cs="Arial"/>
        </w:rPr>
        <w:footnoteReference w:id="5"/>
      </w:r>
    </w:p>
    <w:p w14:paraId="5377A8EA">
      <w:pPr>
        <w:overflowPunct w:val="0"/>
        <w:snapToGrid w:val="0"/>
        <w:spacing w:before="8" w:line="300" w:lineRule="auto"/>
        <w:jc w:val="both"/>
        <w:rPr>
          <w:rFonts w:ascii="Arial" w:hAnsi="Arial" w:eastAsia="宋体" w:cs="Arial"/>
          <w:sz w:val="23"/>
          <w:szCs w:val="23"/>
        </w:rPr>
      </w:pPr>
    </w:p>
    <w:p w14:paraId="71963296">
      <w:pPr>
        <w:pStyle w:val="4"/>
        <w:overflowPunct w:val="0"/>
        <w:snapToGrid w:val="0"/>
        <w:spacing w:line="300" w:lineRule="auto"/>
        <w:ind w:left="0"/>
        <w:jc w:val="both"/>
        <w:rPr>
          <w:rFonts w:ascii="Arial" w:hAnsi="Arial" w:cs="Arial"/>
        </w:rPr>
      </w:pPr>
      <w:r>
        <w:rPr>
          <w:rFonts w:ascii="Arial" w:hAnsi="Arial" w:cs="Arial"/>
        </w:rPr>
        <w:t>虽然21 CFR第50、56、312和812部分的FDA法规并未具体解决监督责任从一个IRB转移至另一IRB的问题，但是关于临床研究审查、监督和执行调查的要求仍然适用。虽然本指南提供方便此类转移的建议，但并不构成或隐含IRB、申办者或临床研究的新要求和/或责任。</w:t>
      </w:r>
    </w:p>
    <w:p w14:paraId="71945AF9">
      <w:pPr>
        <w:overflowPunct w:val="0"/>
        <w:snapToGrid w:val="0"/>
        <w:spacing w:line="300" w:lineRule="auto"/>
        <w:jc w:val="both"/>
        <w:rPr>
          <w:rFonts w:ascii="Arial" w:hAnsi="Arial" w:eastAsia="宋体" w:cs="Arial"/>
          <w:sz w:val="24"/>
          <w:szCs w:val="24"/>
        </w:rPr>
      </w:pPr>
    </w:p>
    <w:p w14:paraId="538DDA43">
      <w:pPr>
        <w:pStyle w:val="4"/>
        <w:overflowPunct w:val="0"/>
        <w:snapToGrid w:val="0"/>
        <w:spacing w:line="300" w:lineRule="auto"/>
        <w:ind w:left="0"/>
        <w:jc w:val="both"/>
        <w:rPr>
          <w:rFonts w:ascii="Arial" w:hAnsi="Arial" w:cs="Arial"/>
        </w:rPr>
      </w:pPr>
      <w:r>
        <w:rPr>
          <w:rFonts w:ascii="Arial" w:hAnsi="Arial" w:cs="Arial"/>
        </w:rPr>
        <w:t>可能因一些不同原因转移IRB临床研究监督责任，包括停止IRB运行、将多个IRB并入单个IRB中、IRB暂时无法履行其义务或由于IRB不合规。</w:t>
      </w:r>
    </w:p>
    <w:p w14:paraId="4CDBE781">
      <w:pPr>
        <w:pStyle w:val="4"/>
        <w:overflowPunct w:val="0"/>
        <w:snapToGrid w:val="0"/>
        <w:spacing w:line="300" w:lineRule="auto"/>
        <w:ind w:left="0"/>
        <w:jc w:val="both"/>
        <w:rPr>
          <w:rFonts w:ascii="Arial" w:hAnsi="Arial" w:cs="Arial"/>
        </w:rPr>
      </w:pPr>
      <w:r>
        <w:rPr>
          <w:rFonts w:ascii="Arial" w:hAnsi="Arial" w:cs="Arial"/>
        </w:rPr>
        <w:t>具体示例包括：</w:t>
      </w:r>
    </w:p>
    <w:p w14:paraId="3B513A1C">
      <w:pPr>
        <w:overflowPunct w:val="0"/>
        <w:snapToGrid w:val="0"/>
        <w:spacing w:before="1" w:line="300" w:lineRule="auto"/>
        <w:jc w:val="both"/>
        <w:rPr>
          <w:rFonts w:ascii="Arial" w:hAnsi="Arial" w:eastAsia="宋体" w:cs="Arial"/>
          <w:sz w:val="24"/>
          <w:szCs w:val="24"/>
        </w:rPr>
      </w:pPr>
    </w:p>
    <w:p w14:paraId="49A6C826">
      <w:pPr>
        <w:pStyle w:val="17"/>
        <w:numPr>
          <w:ilvl w:val="1"/>
          <w:numId w:val="2"/>
        </w:numPr>
        <w:tabs>
          <w:tab w:val="left" w:pos="84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rPr>
        <w:t>医学院决定将其一类临床研究（例如药品研究、器械研究）的监督责任转移至另一IRB。</w:t>
      </w:r>
    </w:p>
    <w:p w14:paraId="4AC8F0AA">
      <w:pPr>
        <w:pStyle w:val="17"/>
        <w:numPr>
          <w:ilvl w:val="1"/>
          <w:numId w:val="2"/>
        </w:numPr>
        <w:tabs>
          <w:tab w:val="left" w:pos="84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szCs w:val="24"/>
        </w:rPr>
        <w:t>医院的IRB发现工作</w:t>
      </w:r>
      <w:r>
        <w:rPr>
          <w:rFonts w:ascii="Arial" w:hAnsi="Arial" w:eastAsia="宋体" w:cs="Arial"/>
          <w:sz w:val="24"/>
        </w:rPr>
        <w:t>负担过重</w:t>
      </w:r>
      <w:r>
        <w:rPr>
          <w:rFonts w:ascii="Arial" w:hAnsi="Arial" w:eastAsia="宋体" w:cs="Arial"/>
          <w:sz w:val="24"/>
          <w:szCs w:val="24"/>
        </w:rPr>
        <w:t>，但该机构不想建立其他IRB，因此将一些临床研究的监督责任转移至另一IRB。</w:t>
      </w:r>
    </w:p>
    <w:p w14:paraId="0FD308F6">
      <w:pPr>
        <w:pStyle w:val="17"/>
        <w:numPr>
          <w:ilvl w:val="1"/>
          <w:numId w:val="2"/>
        </w:numPr>
        <w:tabs>
          <w:tab w:val="left" w:pos="84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rPr>
        <w:t>大型多校区大学决定关闭其现有的一个或多个IRB，以巩固其受试者保护系统并将监督责任转移至独立IRB。</w:t>
      </w:r>
    </w:p>
    <w:p w14:paraId="5BB8F887">
      <w:pPr>
        <w:pStyle w:val="17"/>
        <w:numPr>
          <w:ilvl w:val="1"/>
          <w:numId w:val="2"/>
        </w:numPr>
        <w:tabs>
          <w:tab w:val="left" w:pos="84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rPr>
        <w:t>小型机构所进行的临床研究数量不足，无法证明维持自己的IRB的合理性，因此决定停止其IRB的运作，并将其临床研究监督责任转移至另一IRB。</w:t>
      </w:r>
    </w:p>
    <w:p w14:paraId="6D9F935E">
      <w:pPr>
        <w:pStyle w:val="17"/>
        <w:numPr>
          <w:ilvl w:val="1"/>
          <w:numId w:val="2"/>
        </w:numPr>
        <w:tabs>
          <w:tab w:val="left" w:pos="84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rPr>
        <w:t>申办者决定将IRB监督责任从一个IRB转移到另一IRB。</w:t>
      </w:r>
    </w:p>
    <w:p w14:paraId="2A5CC1B3">
      <w:pPr>
        <w:pStyle w:val="17"/>
        <w:numPr>
          <w:ilvl w:val="1"/>
          <w:numId w:val="2"/>
        </w:numPr>
        <w:tabs>
          <w:tab w:val="left" w:pos="84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rPr>
        <w:t>财务或其他考虑因素导致IRB停止运行。</w:t>
      </w:r>
    </w:p>
    <w:p w14:paraId="0C66EA9D">
      <w:pPr>
        <w:pStyle w:val="17"/>
        <w:numPr>
          <w:ilvl w:val="1"/>
          <w:numId w:val="2"/>
        </w:numPr>
        <w:tabs>
          <w:tab w:val="left" w:pos="84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rPr>
        <w:t>机构意识到，其现有的IRB负担过重，因此建立了另一IRB来分担工作量。</w:t>
      </w:r>
    </w:p>
    <w:p w14:paraId="399D237F">
      <w:pPr>
        <w:pStyle w:val="17"/>
        <w:numPr>
          <w:ilvl w:val="1"/>
          <w:numId w:val="2"/>
        </w:numPr>
        <w:tabs>
          <w:tab w:val="left" w:pos="84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rPr>
        <w:t>火灾、洪水或其他灾难使IRB暂时无法履行其审查/监督责任。</w:t>
      </w:r>
    </w:p>
    <w:p w14:paraId="4707BCFE">
      <w:pPr>
        <w:pStyle w:val="17"/>
        <w:numPr>
          <w:ilvl w:val="1"/>
          <w:numId w:val="2"/>
        </w:numPr>
        <w:tabs>
          <w:tab w:val="left" w:pos="840"/>
        </w:tabs>
        <w:overflowPunct w:val="0"/>
        <w:snapToGrid w:val="0"/>
        <w:spacing w:before="23" w:line="300" w:lineRule="auto"/>
        <w:ind w:left="357" w:hanging="357"/>
        <w:jc w:val="both"/>
        <w:rPr>
          <w:rFonts w:ascii="Arial" w:hAnsi="Arial" w:eastAsia="宋体" w:cs="Arial"/>
          <w:sz w:val="24"/>
        </w:rPr>
      </w:pPr>
      <w:r>
        <w:rPr>
          <w:rFonts w:ascii="Arial" w:hAnsi="Arial" w:eastAsia="宋体" w:cs="Arial"/>
          <w:sz w:val="24"/>
        </w:rPr>
        <w:t>IRB</w:t>
      </w:r>
      <w:r>
        <w:rPr>
          <w:rFonts w:hint="eastAsia" w:ascii="Arial" w:hAnsi="Arial" w:eastAsia="宋体" w:cs="Arial"/>
          <w:sz w:val="24"/>
        </w:rPr>
        <w:t>遭受根据</w:t>
      </w:r>
      <w:r>
        <w:rPr>
          <w:rFonts w:ascii="Arial" w:hAnsi="Arial" w:eastAsia="宋体" w:cs="Arial"/>
          <w:sz w:val="24"/>
        </w:rPr>
        <w:t>21 CFR 56.120</w:t>
      </w:r>
      <w:r>
        <w:rPr>
          <w:rFonts w:hint="eastAsia" w:ascii="Arial" w:hAnsi="Arial" w:eastAsia="宋体" w:cs="Arial"/>
          <w:sz w:val="24"/>
        </w:rPr>
        <w:t>提出的行政诉讼或根据</w:t>
      </w:r>
      <w:r>
        <w:rPr>
          <w:rFonts w:ascii="Arial" w:hAnsi="Arial" w:eastAsia="宋体" w:cs="Arial"/>
          <w:sz w:val="24"/>
        </w:rPr>
        <w:t>21 CFR 56.121</w:t>
      </w:r>
      <w:r>
        <w:rPr>
          <w:rFonts w:hint="eastAsia" w:ascii="Arial" w:hAnsi="Arial" w:eastAsia="宋体" w:cs="Arial"/>
          <w:sz w:val="24"/>
        </w:rPr>
        <w:t>取消资格。</w:t>
      </w:r>
      <w:r>
        <w:rPr>
          <w:rStyle w:val="15"/>
          <w:rFonts w:ascii="Arial" w:hAnsi="Arial" w:eastAsia="宋体" w:cs="Arial"/>
          <w:sz w:val="24"/>
        </w:rPr>
        <w:footnoteReference w:id="6"/>
      </w:r>
    </w:p>
    <w:p w14:paraId="639850C2">
      <w:pPr>
        <w:pStyle w:val="17"/>
        <w:numPr>
          <w:ilvl w:val="1"/>
          <w:numId w:val="2"/>
        </w:numPr>
        <w:tabs>
          <w:tab w:val="left" w:pos="840"/>
        </w:tabs>
        <w:overflowPunct w:val="0"/>
        <w:snapToGrid w:val="0"/>
        <w:spacing w:before="18" w:line="300" w:lineRule="auto"/>
        <w:ind w:left="357" w:hanging="357"/>
        <w:jc w:val="both"/>
        <w:rPr>
          <w:rFonts w:ascii="Arial" w:hAnsi="Arial" w:eastAsia="宋体" w:cs="Arial"/>
          <w:sz w:val="20"/>
          <w:szCs w:val="20"/>
        </w:rPr>
      </w:pPr>
      <w:r>
        <w:rPr>
          <w:rFonts w:ascii="Arial" w:hAnsi="Arial" w:eastAsia="宋体" w:cs="Arial"/>
          <w:sz w:val="24"/>
        </w:rPr>
        <w:t>当研究者搬至新研究中心时，申办者决定转移临床研究。</w:t>
      </w:r>
      <w:r>
        <w:rPr>
          <w:rFonts w:ascii="Arial" w:hAnsi="Arial" w:eastAsia="宋体" w:cs="Arial"/>
          <w:sz w:val="20"/>
          <w:szCs w:val="20"/>
        </w:rPr>
        <w:br w:type="page"/>
      </w:r>
    </w:p>
    <w:p w14:paraId="35431432">
      <w:pPr>
        <w:pStyle w:val="4"/>
        <w:overflowPunct w:val="0"/>
        <w:snapToGrid w:val="0"/>
        <w:spacing w:before="72" w:line="300" w:lineRule="auto"/>
        <w:ind w:left="0"/>
        <w:jc w:val="both"/>
        <w:rPr>
          <w:rFonts w:ascii="Arial" w:hAnsi="Arial" w:cs="Arial"/>
          <w:sz w:val="16"/>
          <w:szCs w:val="16"/>
        </w:rPr>
      </w:pPr>
      <w:r>
        <w:rPr>
          <w:rFonts w:ascii="Arial" w:hAnsi="Arial" w:cs="Arial"/>
        </w:rPr>
        <w:t>IRB转移过程本身的复杂性和持续时间预期会有所不同，具体取决于转移原因、有关各方以及转移中研究的数量和风险。例如，纯粹由于行政原因（如整合IRB工作量）而进行的IRB监管责任转移可能相对较快而直接，而由于原始IRB的不合规而进行的监管责任转移可能会更长，且涉及更为复杂的法律、法规、行政和后勤问题。一般来说，所涉及的IRB类型（例如学院、医院、个体）不会影响转移监督责任时应考虑的步骤。</w:t>
      </w:r>
      <w:r>
        <w:rPr>
          <w:rStyle w:val="15"/>
          <w:rFonts w:ascii="Arial" w:hAnsi="Arial" w:cs="Arial"/>
        </w:rPr>
        <w:footnoteReference w:id="7"/>
      </w:r>
    </w:p>
    <w:p w14:paraId="181CB9EB">
      <w:pPr>
        <w:overflowPunct w:val="0"/>
        <w:snapToGrid w:val="0"/>
        <w:spacing w:before="8" w:line="300" w:lineRule="auto"/>
        <w:jc w:val="both"/>
        <w:rPr>
          <w:rFonts w:ascii="Arial" w:hAnsi="Arial" w:eastAsia="宋体" w:cs="Arial"/>
          <w:sz w:val="23"/>
          <w:szCs w:val="23"/>
        </w:rPr>
      </w:pPr>
    </w:p>
    <w:p w14:paraId="71DD8DFB">
      <w:pPr>
        <w:pStyle w:val="4"/>
        <w:overflowPunct w:val="0"/>
        <w:snapToGrid w:val="0"/>
        <w:spacing w:line="300" w:lineRule="auto"/>
        <w:ind w:left="0"/>
        <w:jc w:val="both"/>
        <w:rPr>
          <w:rFonts w:ascii="Arial" w:hAnsi="Arial" w:cs="Arial"/>
        </w:rPr>
      </w:pPr>
      <w:r>
        <w:rPr>
          <w:rFonts w:ascii="Arial" w:hAnsi="Arial" w:cs="Arial"/>
        </w:rPr>
        <w:t>本指导性文件第III节提供了关于将IRB监督责任从一个IRB转移到不属于同一机构的另一IRB（包括独立IRB）的建议。本文档第IV节将解决若干特殊情况：将监督责任从一个IRB转移到同一机构内运行的另一IRB、由于自然灾害或其他原因而需将临时研究监督责任暂时转移至另一IRB以及将临床研究转移至需要IRB进行审查的新研究中心。</w:t>
      </w:r>
    </w:p>
    <w:p w14:paraId="3D4CC2CD">
      <w:pPr>
        <w:overflowPunct w:val="0"/>
        <w:snapToGrid w:val="0"/>
        <w:spacing w:before="2" w:line="300" w:lineRule="auto"/>
        <w:jc w:val="both"/>
        <w:rPr>
          <w:rFonts w:ascii="Arial" w:hAnsi="Arial" w:eastAsia="宋体" w:cs="Arial"/>
          <w:sz w:val="24"/>
          <w:szCs w:val="24"/>
        </w:rPr>
      </w:pPr>
    </w:p>
    <w:p w14:paraId="1265D2CF">
      <w:pPr>
        <w:pStyle w:val="17"/>
        <w:numPr>
          <w:ilvl w:val="0"/>
          <w:numId w:val="1"/>
        </w:numPr>
        <w:snapToGrid w:val="0"/>
        <w:spacing w:line="300" w:lineRule="auto"/>
        <w:outlineLvl w:val="0"/>
        <w:rPr>
          <w:rFonts w:ascii="Arial" w:hAnsi="Arial" w:eastAsia="宋体" w:cs="Arial"/>
          <w:b/>
          <w:sz w:val="24"/>
          <w:szCs w:val="24"/>
        </w:rPr>
      </w:pPr>
      <w:bookmarkStart w:id="12" w:name="_bookmark9"/>
      <w:bookmarkEnd w:id="12"/>
      <w:bookmarkStart w:id="13" w:name="III.__WHEN_OVersight_of_a_Previously_App"/>
      <w:bookmarkEnd w:id="13"/>
      <w:bookmarkStart w:id="14" w:name="_Toc495680547"/>
      <w:r>
        <w:rPr>
          <w:rFonts w:ascii="Arial" w:hAnsi="Arial" w:eastAsia="宋体" w:cs="Arial"/>
          <w:b/>
          <w:sz w:val="24"/>
          <w:szCs w:val="24"/>
        </w:rPr>
        <w:t>将</w:t>
      </w:r>
      <w:bookmarkStart w:id="15" w:name="OLE_LINK2"/>
      <w:bookmarkStart w:id="16" w:name="OLE_LINK1"/>
      <w:r>
        <w:rPr>
          <w:rFonts w:ascii="Arial" w:hAnsi="Arial" w:eastAsia="宋体" w:cs="Arial"/>
          <w:b/>
          <w:sz w:val="24"/>
          <w:szCs w:val="24"/>
        </w:rPr>
        <w:t>先前批准的</w:t>
      </w:r>
      <w:bookmarkEnd w:id="15"/>
      <w:bookmarkEnd w:id="16"/>
      <w:r>
        <w:rPr>
          <w:rFonts w:ascii="Arial" w:hAnsi="Arial" w:eastAsia="宋体" w:cs="Arial"/>
          <w:b/>
          <w:sz w:val="24"/>
          <w:szCs w:val="24"/>
        </w:rPr>
        <w:t>临床研究的监督责任从原IRB转移至其他不属于同一机构的另一IRB时</w:t>
      </w:r>
      <w:bookmarkEnd w:id="14"/>
    </w:p>
    <w:p w14:paraId="2AC04911">
      <w:pPr>
        <w:overflowPunct w:val="0"/>
        <w:snapToGrid w:val="0"/>
        <w:spacing w:before="4" w:line="300" w:lineRule="auto"/>
        <w:jc w:val="both"/>
        <w:rPr>
          <w:rFonts w:ascii="Arial" w:hAnsi="Arial" w:eastAsia="宋体" w:cs="Arial"/>
          <w:b/>
          <w:bCs/>
          <w:sz w:val="24"/>
          <w:szCs w:val="24"/>
        </w:rPr>
      </w:pPr>
    </w:p>
    <w:p w14:paraId="574921A2">
      <w:pPr>
        <w:pStyle w:val="4"/>
        <w:overflowPunct w:val="0"/>
        <w:snapToGrid w:val="0"/>
        <w:spacing w:line="300" w:lineRule="auto"/>
        <w:ind w:left="0"/>
        <w:jc w:val="both"/>
        <w:rPr>
          <w:rFonts w:ascii="Arial" w:hAnsi="Arial" w:cs="Arial"/>
        </w:rPr>
      </w:pPr>
      <w:r>
        <w:rPr>
          <w:rFonts w:ascii="Arial" w:hAnsi="Arial" w:cs="Arial"/>
        </w:rPr>
        <w:t>将临床研究的IRB审查和监督责任从一个IRB转移至另一IRB时，FDA建议，应在原始和接收IRB之间的书面协议中记录转移过程计划（如果适用）。</w:t>
      </w:r>
      <w:r>
        <w:rPr>
          <w:rStyle w:val="15"/>
          <w:rFonts w:ascii="Arial" w:hAnsi="Arial" w:cs="Arial"/>
          <w:szCs w:val="22"/>
        </w:rPr>
        <w:footnoteReference w:id="8"/>
      </w:r>
      <w:r>
        <w:rPr>
          <w:rFonts w:ascii="Arial" w:hAnsi="Arial" w:cs="Arial"/>
          <w:szCs w:val="22"/>
          <w:vertAlign w:val="superscript"/>
        </w:rPr>
        <w:t>，</w:t>
      </w:r>
      <w:r>
        <w:rPr>
          <w:rStyle w:val="15"/>
          <w:rFonts w:ascii="Arial" w:hAnsi="Arial" w:cs="Arial"/>
          <w:szCs w:val="22"/>
        </w:rPr>
        <w:footnoteReference w:id="9"/>
      </w:r>
      <w:r>
        <w:rPr>
          <w:rFonts w:ascii="Arial" w:hAnsi="Arial" w:cs="Arial"/>
        </w:rPr>
        <w:t>协议应该解决IRB处理并酌情记录以下八个步骤的方式。我们将在下文详细描述此类步骤。请注意，此列表并不详尽。</w:t>
      </w:r>
    </w:p>
    <w:p w14:paraId="2ABAF045">
      <w:pPr>
        <w:pStyle w:val="4"/>
        <w:overflowPunct w:val="0"/>
        <w:snapToGrid w:val="0"/>
        <w:spacing w:before="1" w:line="300" w:lineRule="auto"/>
        <w:ind w:left="0"/>
        <w:jc w:val="both"/>
        <w:rPr>
          <w:rFonts w:ascii="Arial" w:hAnsi="Arial" w:cs="Arial"/>
        </w:rPr>
      </w:pPr>
      <w:r>
        <w:rPr>
          <w:rFonts w:ascii="Arial" w:hAnsi="Arial" w:cs="Arial"/>
        </w:rPr>
        <w:t>可能需要和/或适当采取其他措施</w:t>
      </w:r>
    </w:p>
    <w:p w14:paraId="10D47165">
      <w:pPr>
        <w:overflowPunct w:val="0"/>
        <w:snapToGrid w:val="0"/>
        <w:spacing w:line="300" w:lineRule="auto"/>
        <w:jc w:val="both"/>
        <w:rPr>
          <w:rFonts w:ascii="Arial" w:hAnsi="Arial" w:eastAsia="宋体" w:cs="Arial"/>
          <w:sz w:val="24"/>
          <w:szCs w:val="24"/>
        </w:rPr>
      </w:pPr>
    </w:p>
    <w:p w14:paraId="7FAD4718">
      <w:pPr>
        <w:pStyle w:val="17"/>
        <w:numPr>
          <w:ilvl w:val="0"/>
          <w:numId w:val="3"/>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确定正在转移IRB监督责任的研究；</w:t>
      </w:r>
    </w:p>
    <w:p w14:paraId="2A11B35C">
      <w:pPr>
        <w:pStyle w:val="17"/>
        <w:numPr>
          <w:ilvl w:val="0"/>
          <w:numId w:val="3"/>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确保有关记录的可用性且已保存；</w:t>
      </w:r>
    </w:p>
    <w:p w14:paraId="0E6F9174">
      <w:pPr>
        <w:pStyle w:val="17"/>
        <w:numPr>
          <w:ilvl w:val="0"/>
          <w:numId w:val="3"/>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确定临床研究监督责任转移的生效日期，包括记录；</w:t>
      </w:r>
    </w:p>
    <w:p w14:paraId="378A98A9">
      <w:pPr>
        <w:pStyle w:val="17"/>
        <w:numPr>
          <w:ilvl w:val="0"/>
          <w:numId w:val="3"/>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在接收IRB接受研究责任前，应对研究进行审查（如果适用）；</w:t>
      </w:r>
    </w:p>
    <w:p w14:paraId="4D81A1A1">
      <w:pPr>
        <w:pStyle w:val="17"/>
        <w:numPr>
          <w:ilvl w:val="0"/>
          <w:numId w:val="3"/>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确认或确定下一次持续审查的日期；</w:t>
      </w:r>
    </w:p>
    <w:p w14:paraId="5A91B6A9">
      <w:pPr>
        <w:pStyle w:val="17"/>
        <w:numPr>
          <w:ilvl w:val="0"/>
          <w:numId w:val="3"/>
        </w:numPr>
        <w:tabs>
          <w:tab w:val="left" w:pos="840"/>
        </w:tabs>
        <w:overflowPunct w:val="0"/>
        <w:snapToGrid w:val="0"/>
        <w:spacing w:line="300" w:lineRule="auto"/>
        <w:ind w:left="797" w:leftChars="200" w:hanging="357"/>
        <w:jc w:val="both"/>
        <w:rPr>
          <w:rFonts w:ascii="Arial" w:hAnsi="Arial" w:eastAsia="宋体" w:cs="Arial"/>
          <w:sz w:val="20"/>
          <w:szCs w:val="20"/>
        </w:rPr>
      </w:pPr>
      <w:r>
        <w:rPr>
          <w:rFonts w:ascii="Arial" w:hAnsi="Arial" w:eastAsia="宋体" w:cs="Arial"/>
          <w:sz w:val="24"/>
        </w:rPr>
        <w:t>确定是否需要修订知情同意书；</w:t>
      </w:r>
      <w:r>
        <w:rPr>
          <w:rFonts w:ascii="Arial" w:hAnsi="Arial" w:eastAsia="宋体" w:cs="Arial"/>
          <w:sz w:val="20"/>
          <w:szCs w:val="20"/>
        </w:rPr>
        <w:br w:type="page"/>
      </w:r>
    </w:p>
    <w:p w14:paraId="6097ABBE">
      <w:pPr>
        <w:pStyle w:val="17"/>
        <w:numPr>
          <w:ilvl w:val="0"/>
          <w:numId w:val="3"/>
        </w:numPr>
        <w:tabs>
          <w:tab w:val="left" w:pos="840"/>
        </w:tabs>
        <w:overflowPunct w:val="0"/>
        <w:snapToGrid w:val="0"/>
        <w:spacing w:line="300" w:lineRule="auto"/>
        <w:ind w:left="797" w:leftChars="200" w:hanging="357"/>
        <w:jc w:val="both"/>
        <w:rPr>
          <w:rFonts w:ascii="Arial" w:hAnsi="Arial" w:eastAsia="宋体" w:cs="Arial"/>
          <w:sz w:val="24"/>
        </w:rPr>
      </w:pPr>
      <w:r>
        <w:rPr>
          <w:rFonts w:ascii="Arial" w:hAnsi="Arial" w:eastAsia="宋体" w:cs="Arial"/>
          <w:sz w:val="24"/>
        </w:rPr>
        <w:t>通知关键方；以及</w:t>
      </w:r>
    </w:p>
    <w:p w14:paraId="6BC512B2">
      <w:pPr>
        <w:pStyle w:val="17"/>
        <w:numPr>
          <w:ilvl w:val="0"/>
          <w:numId w:val="3"/>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更新IRB注册信息。</w:t>
      </w:r>
    </w:p>
    <w:p w14:paraId="094AB336">
      <w:pPr>
        <w:overflowPunct w:val="0"/>
        <w:snapToGrid w:val="0"/>
        <w:spacing w:before="2" w:line="300" w:lineRule="auto"/>
        <w:jc w:val="both"/>
        <w:rPr>
          <w:rFonts w:ascii="Arial" w:hAnsi="Arial" w:eastAsia="宋体" w:cs="Arial"/>
          <w:sz w:val="24"/>
          <w:szCs w:val="24"/>
        </w:rPr>
      </w:pPr>
    </w:p>
    <w:p w14:paraId="1F60731D">
      <w:pPr>
        <w:pStyle w:val="17"/>
        <w:numPr>
          <w:ilvl w:val="0"/>
          <w:numId w:val="4"/>
        </w:numPr>
        <w:snapToGrid w:val="0"/>
        <w:spacing w:line="300" w:lineRule="auto"/>
        <w:rPr>
          <w:rFonts w:ascii="Arial" w:hAnsi="Arial" w:eastAsia="宋体" w:cs="Arial"/>
          <w:b/>
          <w:bCs/>
          <w:sz w:val="24"/>
          <w:szCs w:val="24"/>
        </w:rPr>
      </w:pPr>
      <w:r>
        <w:rPr>
          <w:rFonts w:ascii="Arial" w:hAnsi="Arial" w:eastAsia="宋体" w:cs="Arial"/>
          <w:b/>
          <w:sz w:val="24"/>
          <w:szCs w:val="24"/>
        </w:rPr>
        <w:t>确定正在转移IRB监督责任的研究。</w:t>
      </w:r>
    </w:p>
    <w:p w14:paraId="13AF8541">
      <w:pPr>
        <w:overflowPunct w:val="0"/>
        <w:snapToGrid w:val="0"/>
        <w:spacing w:before="9" w:line="300" w:lineRule="auto"/>
        <w:jc w:val="both"/>
        <w:rPr>
          <w:rFonts w:ascii="Arial" w:hAnsi="Arial" w:eastAsia="宋体" w:cs="Arial"/>
          <w:b/>
          <w:bCs/>
          <w:sz w:val="23"/>
          <w:szCs w:val="23"/>
        </w:rPr>
      </w:pPr>
    </w:p>
    <w:p w14:paraId="15382AF0">
      <w:pPr>
        <w:pStyle w:val="4"/>
        <w:overflowPunct w:val="0"/>
        <w:snapToGrid w:val="0"/>
        <w:spacing w:line="300" w:lineRule="auto"/>
        <w:ind w:left="0"/>
        <w:jc w:val="both"/>
        <w:rPr>
          <w:rFonts w:ascii="Arial" w:hAnsi="Arial" w:cs="Arial"/>
        </w:rPr>
      </w:pPr>
      <w:r>
        <w:rPr>
          <w:rFonts w:ascii="Arial" w:hAnsi="Arial" w:cs="Arial"/>
        </w:rPr>
        <w:t>转移过程的第一步是确定正在转移IRB监督责任的研究。FDA建议，原始和接收IRB应清楚了解这一步骤，因为其将有助于加强过程的确定性和连续性，并允许进行有效规划，特别是在转移大量研究时。如下所述，研究数量、其风险和导致转移的情况将影响转移过程中的后续步骤（例如，是否已从原始IRB或临床研究者/申办者获得记录、如何确定转移日期、接收IRB是否决定在接受研究责任之前进行审查）。</w:t>
      </w:r>
    </w:p>
    <w:p w14:paraId="34CD0C02">
      <w:pPr>
        <w:overflowPunct w:val="0"/>
        <w:snapToGrid w:val="0"/>
        <w:spacing w:before="2" w:line="300" w:lineRule="auto"/>
        <w:jc w:val="both"/>
        <w:rPr>
          <w:rFonts w:ascii="Arial" w:hAnsi="Arial" w:eastAsia="宋体" w:cs="Arial"/>
          <w:sz w:val="24"/>
          <w:szCs w:val="24"/>
        </w:rPr>
      </w:pPr>
    </w:p>
    <w:p w14:paraId="7F9024F5">
      <w:pPr>
        <w:pStyle w:val="17"/>
        <w:numPr>
          <w:ilvl w:val="0"/>
          <w:numId w:val="4"/>
        </w:numPr>
        <w:snapToGrid w:val="0"/>
        <w:spacing w:line="300" w:lineRule="auto"/>
        <w:rPr>
          <w:rFonts w:ascii="Arial" w:hAnsi="Arial" w:eastAsia="宋体" w:cs="Arial"/>
          <w:b/>
          <w:sz w:val="24"/>
          <w:szCs w:val="24"/>
        </w:rPr>
      </w:pPr>
      <w:r>
        <w:rPr>
          <w:rFonts w:ascii="Arial" w:hAnsi="Arial" w:eastAsia="宋体" w:cs="Arial"/>
          <w:b/>
          <w:sz w:val="24"/>
          <w:szCs w:val="24"/>
        </w:rPr>
        <w:t>确保有关记录可用且已保存。</w:t>
      </w:r>
    </w:p>
    <w:p w14:paraId="3338BC02">
      <w:pPr>
        <w:overflowPunct w:val="0"/>
        <w:snapToGrid w:val="0"/>
        <w:spacing w:before="1" w:line="300" w:lineRule="auto"/>
        <w:jc w:val="both"/>
        <w:rPr>
          <w:rFonts w:ascii="Arial" w:hAnsi="Arial" w:eastAsia="宋体" w:cs="Arial"/>
          <w:b/>
          <w:bCs/>
          <w:sz w:val="24"/>
          <w:szCs w:val="24"/>
        </w:rPr>
      </w:pPr>
    </w:p>
    <w:p w14:paraId="403E29B6">
      <w:pPr>
        <w:pStyle w:val="4"/>
        <w:overflowPunct w:val="0"/>
        <w:snapToGrid w:val="0"/>
        <w:spacing w:line="300" w:lineRule="auto"/>
        <w:ind w:left="0"/>
        <w:jc w:val="both"/>
        <w:rPr>
          <w:rFonts w:ascii="Arial" w:hAnsi="Arial" w:cs="Arial"/>
        </w:rPr>
      </w:pPr>
      <w:r>
        <w:rPr>
          <w:rFonts w:ascii="Arial" w:hAnsi="Arial" w:cs="Arial"/>
        </w:rPr>
        <w:t>在接收IRB接受转移临时研究的监督责任之前，应获得有关记录的副本，以便其能履行其在转移后的审查和持续监督责任。</w:t>
      </w:r>
      <w:r>
        <w:rPr>
          <w:rStyle w:val="15"/>
          <w:rFonts w:ascii="Arial" w:hAnsi="Arial" w:cs="Arial"/>
        </w:rPr>
        <w:footnoteReference w:id="10"/>
      </w:r>
      <w:r>
        <w:rPr>
          <w:rFonts w:ascii="Arial" w:hAnsi="Arial" w:cs="Arial"/>
        </w:rPr>
        <w:t>有关记录包括以下文档：研究方案和重大修正；批准同意书；研究者手册；审查研究的IRB会议记录；有关受试者和其他人相关风险的意外问题报告；IRB进行的审核报告（如果有）以及与研究者、申办者和/或FDA的通信。</w:t>
      </w:r>
    </w:p>
    <w:p w14:paraId="48B0DAD6">
      <w:pPr>
        <w:overflowPunct w:val="0"/>
        <w:snapToGrid w:val="0"/>
        <w:spacing w:before="9" w:line="300" w:lineRule="auto"/>
        <w:jc w:val="both"/>
        <w:rPr>
          <w:rFonts w:ascii="Arial" w:hAnsi="Arial" w:eastAsia="宋体" w:cs="Arial"/>
          <w:sz w:val="23"/>
          <w:szCs w:val="23"/>
        </w:rPr>
      </w:pPr>
    </w:p>
    <w:p w14:paraId="2683E2A1">
      <w:pPr>
        <w:pStyle w:val="17"/>
        <w:numPr>
          <w:ilvl w:val="0"/>
          <w:numId w:val="5"/>
        </w:numPr>
        <w:snapToGrid w:val="0"/>
        <w:spacing w:line="300" w:lineRule="auto"/>
        <w:ind w:left="882" w:hanging="448"/>
        <w:rPr>
          <w:rFonts w:ascii="Arial" w:hAnsi="Arial" w:eastAsia="宋体" w:cs="Arial"/>
          <w:b/>
          <w:bCs/>
          <w:sz w:val="24"/>
          <w:szCs w:val="24"/>
        </w:rPr>
      </w:pPr>
      <w:r>
        <w:rPr>
          <w:rFonts w:ascii="Arial" w:hAnsi="Arial" w:eastAsia="宋体" w:cs="Arial"/>
          <w:b/>
          <w:sz w:val="24"/>
          <w:szCs w:val="24"/>
        </w:rPr>
        <w:t>有关记录的可用性</w:t>
      </w:r>
    </w:p>
    <w:p w14:paraId="5E634931">
      <w:pPr>
        <w:overflowPunct w:val="0"/>
        <w:snapToGrid w:val="0"/>
        <w:spacing w:before="1" w:line="300" w:lineRule="auto"/>
        <w:jc w:val="both"/>
        <w:rPr>
          <w:rFonts w:ascii="Arial" w:hAnsi="Arial" w:eastAsia="宋体" w:cs="Arial"/>
          <w:b/>
          <w:bCs/>
          <w:sz w:val="24"/>
          <w:szCs w:val="24"/>
        </w:rPr>
      </w:pPr>
    </w:p>
    <w:p w14:paraId="44DFCE6C">
      <w:pPr>
        <w:pStyle w:val="4"/>
        <w:overflowPunct w:val="0"/>
        <w:snapToGrid w:val="0"/>
        <w:spacing w:line="300" w:lineRule="auto"/>
        <w:ind w:left="838" w:leftChars="381"/>
        <w:jc w:val="both"/>
        <w:rPr>
          <w:rFonts w:ascii="Arial" w:hAnsi="Arial" w:cs="Arial"/>
        </w:rPr>
      </w:pPr>
      <w:r>
        <w:rPr>
          <w:rFonts w:ascii="Arial" w:hAnsi="Arial" w:cs="Arial"/>
        </w:rPr>
        <w:t>获得申办者的同意后，原始IRB应向接收IRB提供有关记录。</w:t>
      </w:r>
      <w:r>
        <w:rPr>
          <w:rStyle w:val="15"/>
          <w:rFonts w:ascii="Arial" w:hAnsi="Arial" w:cs="Arial"/>
        </w:rPr>
        <w:footnoteReference w:id="11"/>
      </w:r>
      <w:r>
        <w:rPr>
          <w:rFonts w:ascii="Arial" w:hAnsi="Arial" w:cs="Arial"/>
        </w:rPr>
        <w:t>可选择向接收IRB提供有关记录的纸质或电子副本。</w:t>
      </w:r>
      <w:r>
        <w:rPr>
          <w:rStyle w:val="15"/>
          <w:rFonts w:ascii="Arial" w:hAnsi="Arial" w:cs="Arial"/>
        </w:rPr>
        <w:footnoteReference w:id="12"/>
      </w:r>
      <w:r>
        <w:rPr>
          <w:rFonts w:ascii="Arial" w:hAnsi="Arial" w:cs="Arial"/>
        </w:rPr>
        <w:t>值得注意是，由于记录可能包含商业机密信息，因此必须获得申办者同意。此外，接收IRB可以决定直接从临床研究者和/或申办者获得此类记录。如果选择直接从临床研究者和/或申办者获得记录，接收IRB还应从原始IRB获得会议记录，因为此类信息对接收IRB评估先前审查的充分性至关重要（例如，争议问题讨论、法定人数等）。例如，由于原始IRB不合规而需进行转移时，接收IRB可以选择从临床研究者和/或申办者获得此类记录。</w:t>
      </w:r>
    </w:p>
    <w:p w14:paraId="421AA4EC">
      <w:pPr>
        <w:pStyle w:val="4"/>
        <w:overflowPunct w:val="0"/>
        <w:snapToGrid w:val="0"/>
        <w:spacing w:before="69" w:line="300" w:lineRule="auto"/>
        <w:ind w:left="0"/>
        <w:jc w:val="both"/>
        <w:rPr>
          <w:rFonts w:ascii="Arial" w:hAnsi="Arial" w:cs="Arial"/>
        </w:rPr>
      </w:pPr>
    </w:p>
    <w:p w14:paraId="670D816F">
      <w:pPr>
        <w:pStyle w:val="4"/>
        <w:overflowPunct w:val="0"/>
        <w:snapToGrid w:val="0"/>
        <w:spacing w:line="300" w:lineRule="auto"/>
        <w:ind w:left="838" w:leftChars="381"/>
        <w:jc w:val="both"/>
        <w:rPr>
          <w:rFonts w:ascii="Arial" w:hAnsi="Arial" w:cs="Arial"/>
          <w:sz w:val="16"/>
          <w:szCs w:val="16"/>
        </w:rPr>
      </w:pPr>
      <w:r>
        <w:rPr>
          <w:rFonts w:ascii="Arial" w:hAnsi="Arial" w:cs="Arial"/>
        </w:rPr>
        <w:t>原始IRB和接收IRB都应适当保持关于受转移影响的临床研究的记录。</w:t>
      </w:r>
      <w:r>
        <w:rPr>
          <w:rStyle w:val="15"/>
          <w:rFonts w:ascii="Arial" w:hAnsi="Arial" w:cs="Arial"/>
        </w:rPr>
        <w:footnoteReference w:id="13"/>
      </w:r>
      <w:r>
        <w:rPr>
          <w:rFonts w:ascii="Arial" w:hAnsi="Arial" w:cs="Arial"/>
        </w:rPr>
        <w:t>此类记录应包括：原始和接收IRB之间的书面协议；转移中的方案标题；IRB批准的失效日期；受影响的研究中心；相关申办者、临床研究者和CRO的名称；原始IRB和接收IRB的身份；以及接收IRB接受临床研究监督责任的日期。此外，原始和接收IRB应适当保存与所有受影响申办者、临床研究者和FDA的所有通信记录，并遵守所有其他记录保存要求。</w:t>
      </w:r>
      <w:r>
        <w:rPr>
          <w:rStyle w:val="15"/>
          <w:rFonts w:ascii="Arial" w:hAnsi="Arial" w:cs="Arial"/>
        </w:rPr>
        <w:footnoteReference w:id="14"/>
      </w:r>
    </w:p>
    <w:p w14:paraId="1C3285FE">
      <w:pPr>
        <w:overflowPunct w:val="0"/>
        <w:snapToGrid w:val="0"/>
        <w:spacing w:before="11" w:line="300" w:lineRule="auto"/>
        <w:jc w:val="both"/>
        <w:rPr>
          <w:rFonts w:ascii="Arial" w:hAnsi="Arial" w:eastAsia="宋体" w:cs="Arial"/>
          <w:sz w:val="23"/>
          <w:szCs w:val="23"/>
        </w:rPr>
      </w:pPr>
    </w:p>
    <w:p w14:paraId="4726B7C8">
      <w:pPr>
        <w:pStyle w:val="17"/>
        <w:numPr>
          <w:ilvl w:val="0"/>
          <w:numId w:val="5"/>
        </w:numPr>
        <w:snapToGrid w:val="0"/>
        <w:spacing w:line="300" w:lineRule="auto"/>
        <w:ind w:left="882" w:hanging="448"/>
        <w:rPr>
          <w:rFonts w:ascii="Arial" w:hAnsi="Arial" w:eastAsia="宋体" w:cs="Arial"/>
          <w:b/>
          <w:sz w:val="24"/>
          <w:szCs w:val="24"/>
        </w:rPr>
      </w:pPr>
      <w:r>
        <w:rPr>
          <w:rFonts w:ascii="Arial" w:hAnsi="Arial" w:eastAsia="宋体" w:cs="Arial"/>
          <w:b/>
          <w:sz w:val="24"/>
          <w:szCs w:val="24"/>
        </w:rPr>
        <w:t>IRB记录保存</w:t>
      </w:r>
    </w:p>
    <w:p w14:paraId="1F9A9EF3">
      <w:pPr>
        <w:overflowPunct w:val="0"/>
        <w:snapToGrid w:val="0"/>
        <w:spacing w:before="1" w:line="300" w:lineRule="auto"/>
        <w:jc w:val="both"/>
        <w:rPr>
          <w:rFonts w:ascii="Arial" w:hAnsi="Arial" w:eastAsia="宋体" w:cs="Arial"/>
          <w:b/>
          <w:bCs/>
          <w:sz w:val="24"/>
          <w:szCs w:val="24"/>
        </w:rPr>
      </w:pPr>
    </w:p>
    <w:p w14:paraId="4BC95178">
      <w:pPr>
        <w:pStyle w:val="4"/>
        <w:overflowPunct w:val="0"/>
        <w:snapToGrid w:val="0"/>
        <w:spacing w:line="300" w:lineRule="auto"/>
        <w:ind w:left="838" w:leftChars="381"/>
        <w:jc w:val="both"/>
        <w:rPr>
          <w:rFonts w:ascii="Arial" w:hAnsi="Arial" w:cs="Arial"/>
        </w:rPr>
      </w:pPr>
      <w:r>
        <w:rPr>
          <w:rFonts w:ascii="Arial" w:hAnsi="Arial" w:cs="Arial"/>
        </w:rPr>
        <w:t>根据FDA法规，研究完成后，与临床研究审查相关的IRB记录必须至少保存三（3）年，且记录必须可由FDA在合理时间以合理方式进行检验和复印。</w:t>
      </w:r>
      <w:r>
        <w:rPr>
          <w:rStyle w:val="15"/>
          <w:rFonts w:ascii="Arial" w:hAnsi="Arial" w:cs="Arial"/>
        </w:rPr>
        <w:footnoteReference w:id="15"/>
      </w:r>
      <w:r>
        <w:rPr>
          <w:rFonts w:ascii="Arial" w:hAnsi="Arial" w:cs="Arial"/>
        </w:rPr>
        <w:t>由于FDA可能需要在任何合理时间访问记录，本机构必须知晓原始IRB、接收IRB、原始IRB所在机构、CRO或其他责任第三方是否会在临床研究监督责任成功转移后保持记录。负责记录的一方应负责确保根据21 CFR 56.115（b）保存记录。</w:t>
      </w:r>
    </w:p>
    <w:p w14:paraId="7B1713ED">
      <w:pPr>
        <w:overflowPunct w:val="0"/>
        <w:snapToGrid w:val="0"/>
        <w:spacing w:line="300" w:lineRule="auto"/>
        <w:jc w:val="both"/>
        <w:rPr>
          <w:rFonts w:ascii="Arial" w:hAnsi="Arial" w:eastAsia="宋体" w:cs="Arial"/>
          <w:sz w:val="24"/>
          <w:szCs w:val="24"/>
        </w:rPr>
      </w:pPr>
    </w:p>
    <w:p w14:paraId="1900389F">
      <w:pPr>
        <w:pStyle w:val="4"/>
        <w:overflowPunct w:val="0"/>
        <w:snapToGrid w:val="0"/>
        <w:spacing w:line="300" w:lineRule="auto"/>
        <w:ind w:left="838" w:leftChars="381"/>
        <w:jc w:val="both"/>
        <w:rPr>
          <w:rFonts w:ascii="Arial" w:hAnsi="Arial" w:cs="Arial"/>
        </w:rPr>
      </w:pPr>
      <w:r>
        <w:rPr>
          <w:rFonts w:ascii="Arial" w:hAnsi="Arial" w:cs="Arial"/>
        </w:rPr>
        <w:t>一般情况下，只要记录可供FDA授权代表在合理时间内以合理方式进行检验和复印，原始和接收IRB可以灵活制定用于处理记录转移和保存的措施。例如，原始IRB可能会决定将有关进行中临床研究的记录转移给接受IRB并保存有关已结束临床研究的记录，或接收IRB可以选择接收所有记录。</w:t>
      </w:r>
      <w:r>
        <w:rPr>
          <w:rStyle w:val="15"/>
          <w:rFonts w:ascii="Arial" w:hAnsi="Arial" w:cs="Arial"/>
        </w:rPr>
        <w:footnoteReference w:id="16"/>
      </w:r>
    </w:p>
    <w:p w14:paraId="368EAB33">
      <w:pPr>
        <w:overflowPunct w:val="0"/>
        <w:rPr>
          <w:rFonts w:ascii="Arial" w:hAnsi="Arial" w:eastAsia="宋体" w:cs="Arial"/>
          <w:sz w:val="20"/>
          <w:szCs w:val="20"/>
        </w:rPr>
      </w:pPr>
      <w:r>
        <w:rPr>
          <w:rFonts w:ascii="Arial" w:hAnsi="Arial" w:eastAsia="宋体" w:cs="Arial"/>
          <w:sz w:val="20"/>
          <w:szCs w:val="20"/>
        </w:rPr>
        <w:br w:type="page"/>
      </w:r>
    </w:p>
    <w:p w14:paraId="168590EF">
      <w:pPr>
        <w:pStyle w:val="4"/>
        <w:overflowPunct w:val="0"/>
        <w:snapToGrid w:val="0"/>
        <w:spacing w:line="300" w:lineRule="auto"/>
        <w:ind w:left="838" w:leftChars="381"/>
        <w:jc w:val="both"/>
        <w:rPr>
          <w:rFonts w:ascii="Arial" w:hAnsi="Arial" w:cs="Arial"/>
        </w:rPr>
      </w:pPr>
      <w:r>
        <w:rPr>
          <w:rFonts w:ascii="Arial" w:hAnsi="Arial" w:cs="Arial"/>
        </w:rPr>
        <w:t>当原始和接收IRB同意分担记录保存责任时，FDA建议其应清楚了解其相应作用，避免混淆，并确保对文档的适当责任和使用权。</w:t>
      </w:r>
    </w:p>
    <w:p w14:paraId="6CD6D015">
      <w:pPr>
        <w:overflowPunct w:val="0"/>
        <w:snapToGrid w:val="0"/>
        <w:spacing w:before="3" w:line="300" w:lineRule="auto"/>
        <w:jc w:val="both"/>
        <w:rPr>
          <w:rFonts w:ascii="Arial" w:hAnsi="Arial" w:eastAsia="宋体" w:cs="Arial"/>
          <w:sz w:val="24"/>
          <w:szCs w:val="24"/>
        </w:rPr>
      </w:pPr>
    </w:p>
    <w:p w14:paraId="5DD6E885">
      <w:pPr>
        <w:pStyle w:val="4"/>
        <w:overflowPunct w:val="0"/>
        <w:snapToGrid w:val="0"/>
        <w:spacing w:line="300" w:lineRule="auto"/>
        <w:ind w:left="838" w:leftChars="381"/>
        <w:jc w:val="both"/>
        <w:rPr>
          <w:rFonts w:ascii="Arial" w:hAnsi="Arial" w:cs="Arial"/>
        </w:rPr>
      </w:pPr>
      <w:r>
        <w:rPr>
          <w:rFonts w:ascii="Arial" w:hAnsi="Arial" w:cs="Arial"/>
        </w:rPr>
        <w:t>在某些情况下，原始IRB与接收IRB就保存转移试验的一些说明文件达成协议，但无法承诺会在研究完成后至少保存此类文档3年。例如，如果IRB停止运行，但仍负责保存进行中试验的一些记录，无论是通过实际保存此类记录或通过与责任第三方达成存储安排。在这种情况下，本机构建议原始IRB联系FDA，讨论可能的保存安排。</w:t>
      </w:r>
      <w:r>
        <w:rPr>
          <w:rStyle w:val="15"/>
          <w:rFonts w:ascii="Arial" w:hAnsi="Arial" w:cs="Arial"/>
        </w:rPr>
        <w:footnoteReference w:id="17"/>
      </w:r>
      <w:r>
        <w:rPr>
          <w:rFonts w:ascii="Arial" w:hAnsi="Arial" w:cs="Arial"/>
        </w:rPr>
        <w:t>在这种情况下，原始IRB应作出安排，将此类文档转移给接收IRB或其他责任方。</w:t>
      </w:r>
    </w:p>
    <w:p w14:paraId="5BCD6A3E">
      <w:pPr>
        <w:overflowPunct w:val="0"/>
        <w:snapToGrid w:val="0"/>
        <w:spacing w:before="11" w:line="300" w:lineRule="auto"/>
        <w:jc w:val="both"/>
        <w:rPr>
          <w:rFonts w:ascii="Arial" w:hAnsi="Arial" w:eastAsia="宋体" w:cs="Arial"/>
          <w:sz w:val="23"/>
          <w:szCs w:val="23"/>
        </w:rPr>
      </w:pPr>
    </w:p>
    <w:p w14:paraId="7F435393">
      <w:pPr>
        <w:pStyle w:val="17"/>
        <w:numPr>
          <w:ilvl w:val="0"/>
          <w:numId w:val="4"/>
        </w:numPr>
        <w:snapToGrid w:val="0"/>
        <w:spacing w:line="300" w:lineRule="auto"/>
        <w:rPr>
          <w:rFonts w:ascii="Arial" w:hAnsi="Arial" w:eastAsia="宋体" w:cs="Arial"/>
          <w:b/>
          <w:sz w:val="24"/>
          <w:szCs w:val="24"/>
        </w:rPr>
      </w:pPr>
      <w:r>
        <w:rPr>
          <w:rFonts w:ascii="Arial" w:hAnsi="Arial" w:eastAsia="宋体" w:cs="Arial"/>
          <w:b/>
          <w:sz w:val="24"/>
          <w:szCs w:val="24"/>
        </w:rPr>
        <w:t>确定临床研究监督责任转移的生效日期，包括记录。</w:t>
      </w:r>
    </w:p>
    <w:p w14:paraId="299056B5">
      <w:pPr>
        <w:overflowPunct w:val="0"/>
        <w:snapToGrid w:val="0"/>
        <w:spacing w:before="9" w:line="300" w:lineRule="auto"/>
        <w:jc w:val="both"/>
        <w:rPr>
          <w:rFonts w:ascii="Arial" w:hAnsi="Arial" w:eastAsia="宋体" w:cs="Arial"/>
          <w:b/>
          <w:bCs/>
          <w:sz w:val="23"/>
          <w:szCs w:val="23"/>
        </w:rPr>
      </w:pPr>
    </w:p>
    <w:p w14:paraId="640558C8">
      <w:pPr>
        <w:pStyle w:val="4"/>
        <w:overflowPunct w:val="0"/>
        <w:snapToGrid w:val="0"/>
        <w:spacing w:line="300" w:lineRule="auto"/>
        <w:ind w:left="0"/>
        <w:jc w:val="both"/>
        <w:rPr>
          <w:rFonts w:ascii="Arial" w:hAnsi="Arial" w:cs="Arial"/>
        </w:rPr>
      </w:pPr>
      <w:r>
        <w:rPr>
          <w:rFonts w:ascii="Arial" w:hAnsi="Arial" w:cs="Arial"/>
        </w:rPr>
        <w:t>FDA建议确定正在转移监督责任的每项临床研究的转移日期（包括记录）。虽然无有关确定转移日期的监管要求，但这种行动可以加强连续性，有助于防止IRB覆盖面出现差错，并减少IRB负责审查和在出现意外问题或者临床研究需要快速暂停或终止时采取行动的研究混淆。选择转移日期时，受影响IRB应留出足够时间，进行所有适当行动、沟通和商议。</w:t>
      </w:r>
    </w:p>
    <w:p w14:paraId="3BB589EB">
      <w:pPr>
        <w:overflowPunct w:val="0"/>
        <w:snapToGrid w:val="0"/>
        <w:spacing w:before="10" w:line="300" w:lineRule="auto"/>
        <w:jc w:val="both"/>
        <w:rPr>
          <w:rFonts w:ascii="Arial" w:hAnsi="Arial" w:eastAsia="宋体" w:cs="Arial"/>
          <w:sz w:val="23"/>
          <w:szCs w:val="23"/>
        </w:rPr>
      </w:pPr>
    </w:p>
    <w:p w14:paraId="599F3EBB">
      <w:pPr>
        <w:pStyle w:val="4"/>
        <w:overflowPunct w:val="0"/>
        <w:snapToGrid w:val="0"/>
        <w:spacing w:line="300" w:lineRule="auto"/>
        <w:ind w:left="0"/>
        <w:jc w:val="both"/>
        <w:rPr>
          <w:rFonts w:ascii="Arial" w:hAnsi="Arial" w:cs="Arial"/>
        </w:rPr>
      </w:pPr>
      <w:r>
        <w:rPr>
          <w:rFonts w:ascii="Arial" w:hAnsi="Arial" w:cs="Arial"/>
        </w:rPr>
        <w:t>根据转移情况差异，转移日期可以使用下述方法确定：</w:t>
      </w:r>
    </w:p>
    <w:p w14:paraId="027DCEF8">
      <w:pPr>
        <w:overflowPunct w:val="0"/>
        <w:snapToGrid w:val="0"/>
        <w:spacing w:before="1" w:line="300" w:lineRule="auto"/>
        <w:jc w:val="both"/>
        <w:rPr>
          <w:rFonts w:ascii="Arial" w:hAnsi="Arial" w:eastAsia="宋体" w:cs="Arial"/>
          <w:sz w:val="24"/>
          <w:szCs w:val="24"/>
        </w:rPr>
      </w:pPr>
    </w:p>
    <w:p w14:paraId="583C66DF">
      <w:pPr>
        <w:pStyle w:val="17"/>
        <w:numPr>
          <w:ilvl w:val="0"/>
          <w:numId w:val="6"/>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在书面协议中，原始IRB和接收IRB应提前规定确切日期；或</w:t>
      </w:r>
    </w:p>
    <w:p w14:paraId="63096B6F">
      <w:pPr>
        <w:pStyle w:val="17"/>
        <w:numPr>
          <w:ilvl w:val="0"/>
          <w:numId w:val="6"/>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在书面协议中，该日期应根据接收IRB审查和接受临床研究的日期确定。例如，如果接收IRB决定对临床研究进行初步审查，则转移可能在接收IRB决定批准、要求修改（以获得批准）或否定临床研究时生效。在这种情况下，接收IRB应通知原始IRB和其他有关各方其批准并接受监督责任的日期。</w:t>
      </w:r>
    </w:p>
    <w:p w14:paraId="3BB98B2D">
      <w:pPr>
        <w:overflowPunct w:val="0"/>
        <w:snapToGrid w:val="0"/>
        <w:spacing w:line="300" w:lineRule="auto"/>
        <w:jc w:val="both"/>
        <w:rPr>
          <w:rFonts w:ascii="Arial" w:hAnsi="Arial" w:eastAsia="宋体" w:cs="Arial"/>
          <w:sz w:val="24"/>
          <w:szCs w:val="24"/>
        </w:rPr>
      </w:pPr>
    </w:p>
    <w:p w14:paraId="5D1DF080">
      <w:pPr>
        <w:pStyle w:val="4"/>
        <w:overflowPunct w:val="0"/>
        <w:snapToGrid w:val="0"/>
        <w:spacing w:line="300" w:lineRule="auto"/>
        <w:ind w:left="0"/>
        <w:jc w:val="both"/>
        <w:rPr>
          <w:rFonts w:ascii="Arial" w:hAnsi="Arial" w:cs="Arial"/>
        </w:rPr>
      </w:pPr>
      <w:r>
        <w:rPr>
          <w:rFonts w:ascii="Arial" w:hAnsi="Arial" w:cs="Arial"/>
        </w:rPr>
        <w:t>请注意，如果原始和接收IRB属于同一机构，则转移日期可以根据该机构的规定程序确定。</w:t>
      </w:r>
    </w:p>
    <w:p w14:paraId="64F7577E">
      <w:pPr>
        <w:overflowPunct w:val="0"/>
        <w:rPr>
          <w:rFonts w:ascii="Arial" w:hAnsi="Arial" w:eastAsia="宋体" w:cs="Arial"/>
          <w:sz w:val="20"/>
          <w:szCs w:val="20"/>
        </w:rPr>
      </w:pPr>
      <w:r>
        <w:rPr>
          <w:rFonts w:ascii="Arial" w:hAnsi="Arial" w:eastAsia="宋体" w:cs="Arial"/>
          <w:sz w:val="20"/>
          <w:szCs w:val="20"/>
        </w:rPr>
        <w:br w:type="page"/>
      </w:r>
    </w:p>
    <w:p w14:paraId="116617BE">
      <w:pPr>
        <w:pStyle w:val="4"/>
        <w:overflowPunct w:val="0"/>
        <w:snapToGrid w:val="0"/>
        <w:spacing w:before="69" w:line="300" w:lineRule="auto"/>
        <w:ind w:left="0"/>
        <w:jc w:val="both"/>
        <w:rPr>
          <w:rFonts w:ascii="Arial" w:hAnsi="Arial" w:cs="Arial"/>
        </w:rPr>
      </w:pPr>
      <w:r>
        <w:rPr>
          <w:rFonts w:ascii="Arial" w:hAnsi="Arial" w:cs="Arial"/>
        </w:rPr>
        <w:t>转移大量临床研究时，为保证转移顺利进行应在几周或几个月内分阶段进行。</w:t>
      </w:r>
    </w:p>
    <w:p w14:paraId="3F8B2539">
      <w:pPr>
        <w:overflowPunct w:val="0"/>
        <w:snapToGrid w:val="0"/>
        <w:spacing w:before="3" w:line="300" w:lineRule="auto"/>
        <w:jc w:val="both"/>
        <w:rPr>
          <w:rFonts w:ascii="Arial" w:hAnsi="Arial" w:eastAsia="宋体" w:cs="Arial"/>
          <w:sz w:val="24"/>
          <w:szCs w:val="24"/>
        </w:rPr>
      </w:pPr>
    </w:p>
    <w:p w14:paraId="0ECBC33E">
      <w:pPr>
        <w:pStyle w:val="4"/>
        <w:overflowPunct w:val="0"/>
        <w:snapToGrid w:val="0"/>
        <w:spacing w:line="300" w:lineRule="auto"/>
        <w:ind w:left="0"/>
        <w:jc w:val="both"/>
        <w:rPr>
          <w:rFonts w:ascii="Arial" w:hAnsi="Arial" w:cs="Arial"/>
        </w:rPr>
      </w:pPr>
      <w:r>
        <w:rPr>
          <w:rFonts w:ascii="Arial" w:hAnsi="Arial" w:cs="Arial"/>
        </w:rPr>
        <w:t>如果因IRB终止而需转移监督责任，原始IRB应适当通知所有临床研究者和/或申办者待定终止日期。如果终止时未有新的IRB接受监督责任，则将暂停或终止研究批准，不得再进行研究招募。</w:t>
      </w:r>
      <w:r>
        <w:rPr>
          <w:rStyle w:val="15"/>
          <w:rFonts w:ascii="Arial" w:hAnsi="Arial" w:cs="Arial"/>
        </w:rPr>
        <w:footnoteReference w:id="18"/>
      </w:r>
      <w:r>
        <w:rPr>
          <w:rFonts w:hint="eastAsia" w:ascii="Arial" w:hAnsi="Arial" w:cs="Arial"/>
        </w:rPr>
        <w:t xml:space="preserve"> </w:t>
      </w:r>
      <w:r>
        <w:rPr>
          <w:rStyle w:val="15"/>
          <w:rFonts w:ascii="Arial" w:hAnsi="Arial" w:cs="Arial"/>
        </w:rPr>
        <w:footnoteReference w:id="19"/>
      </w:r>
      <w:r>
        <w:rPr>
          <w:rFonts w:hint="eastAsia" w:ascii="Arial" w:hAnsi="Arial" w:cs="Arial"/>
        </w:rPr>
        <w:t xml:space="preserve"> </w:t>
      </w:r>
      <w:r>
        <w:rPr>
          <w:rStyle w:val="15"/>
          <w:rFonts w:ascii="Arial" w:hAnsi="Arial" w:cs="Arial"/>
        </w:rPr>
        <w:footnoteReference w:id="20"/>
      </w:r>
      <w:r>
        <w:rPr>
          <w:rFonts w:ascii="Arial" w:hAnsi="Arial" w:cs="Arial"/>
        </w:rPr>
        <w:t>根据21 CFR 56.108（b）（3）的要求，原始IRB必须遵循书面程序，以确保及时向其机构官员和FDA报告研究已暂停或终止。</w:t>
      </w:r>
      <w:r>
        <w:rPr>
          <w:rStyle w:val="15"/>
          <w:rFonts w:ascii="Arial" w:hAnsi="Arial" w:cs="Arial"/>
        </w:rPr>
        <w:footnoteReference w:id="21"/>
      </w:r>
      <w:r>
        <w:rPr>
          <w:rFonts w:ascii="Arial" w:hAnsi="Arial" w:cs="Arial"/>
        </w:rPr>
        <w:t>此外，器械研究申办者必须在收到撤销批准通知后5个工作日内向FDA、所有审查IRB及参与研究者报告研究或部分研究的批准已被撤回。</w:t>
      </w:r>
      <w:r>
        <w:rPr>
          <w:rStyle w:val="15"/>
          <w:rFonts w:ascii="Arial" w:hAnsi="Arial" w:cs="Arial"/>
        </w:rPr>
        <w:footnoteReference w:id="22"/>
      </w:r>
      <w:r>
        <w:rPr>
          <w:rFonts w:ascii="Arial" w:hAnsi="Arial" w:cs="Arial"/>
        </w:rPr>
        <w:t>药品/生物制剂研究申办者必须向FDA报告临床研究的中止情况。</w:t>
      </w:r>
      <w:r>
        <w:rPr>
          <w:rStyle w:val="15"/>
          <w:rFonts w:ascii="Arial" w:hAnsi="Arial" w:cs="Arial"/>
        </w:rPr>
        <w:footnoteReference w:id="23"/>
      </w:r>
    </w:p>
    <w:p w14:paraId="6F2C5CEE">
      <w:pPr>
        <w:overflowPunct w:val="0"/>
        <w:snapToGrid w:val="0"/>
        <w:spacing w:before="11" w:line="300" w:lineRule="auto"/>
        <w:jc w:val="both"/>
        <w:rPr>
          <w:rFonts w:ascii="Arial" w:hAnsi="Arial" w:eastAsia="宋体" w:cs="Arial"/>
          <w:sz w:val="24"/>
          <w:szCs w:val="24"/>
        </w:rPr>
      </w:pPr>
    </w:p>
    <w:p w14:paraId="4E9E308E">
      <w:pPr>
        <w:pStyle w:val="17"/>
        <w:numPr>
          <w:ilvl w:val="0"/>
          <w:numId w:val="4"/>
        </w:numPr>
        <w:snapToGrid w:val="0"/>
        <w:spacing w:line="300" w:lineRule="auto"/>
        <w:rPr>
          <w:rFonts w:ascii="Arial" w:hAnsi="Arial" w:eastAsia="宋体" w:cs="Arial"/>
          <w:b/>
          <w:sz w:val="24"/>
          <w:szCs w:val="24"/>
        </w:rPr>
      </w:pPr>
      <w:r>
        <w:rPr>
          <w:rFonts w:ascii="Arial" w:hAnsi="Arial" w:eastAsia="宋体" w:cs="Arial"/>
          <w:b/>
          <w:sz w:val="24"/>
          <w:szCs w:val="24"/>
        </w:rPr>
        <w:t>在接收IRB接受此类研究中的责任之前，应进行审查（如果适用）。</w:t>
      </w:r>
    </w:p>
    <w:p w14:paraId="39218BC8">
      <w:pPr>
        <w:overflowPunct w:val="0"/>
        <w:snapToGrid w:val="0"/>
        <w:spacing w:before="1" w:line="300" w:lineRule="auto"/>
        <w:jc w:val="both"/>
        <w:rPr>
          <w:rFonts w:ascii="Arial" w:hAnsi="Arial" w:eastAsia="宋体" w:cs="Arial"/>
          <w:b/>
          <w:bCs/>
          <w:sz w:val="24"/>
          <w:szCs w:val="24"/>
        </w:rPr>
      </w:pPr>
    </w:p>
    <w:p w14:paraId="38559966">
      <w:pPr>
        <w:pStyle w:val="4"/>
        <w:overflowPunct w:val="0"/>
        <w:snapToGrid w:val="0"/>
        <w:spacing w:line="300" w:lineRule="auto"/>
        <w:ind w:left="0"/>
        <w:jc w:val="both"/>
        <w:rPr>
          <w:rFonts w:ascii="Arial" w:hAnsi="Arial" w:cs="Arial"/>
        </w:rPr>
      </w:pPr>
      <w:r>
        <w:rPr>
          <w:rFonts w:ascii="Arial" w:hAnsi="Arial" w:cs="Arial"/>
        </w:rPr>
        <w:t>由于此类法规并不涉及IRB监管责任转移，将由接收IRB负责决定是否在原始IRB确定的下一连续审查日期之前审查临床研究。</w:t>
      </w:r>
      <w:r>
        <w:rPr>
          <w:rStyle w:val="15"/>
          <w:rFonts w:ascii="Arial" w:hAnsi="Arial" w:cs="Arial"/>
        </w:rPr>
        <w:footnoteReference w:id="24"/>
      </w:r>
      <w:r>
        <w:rPr>
          <w:rFonts w:ascii="Arial" w:hAnsi="Arial" w:cs="Arial"/>
        </w:rPr>
        <w:t>但实际上，IRB往往选择在接受研究责任之前进行某种类型的审查，以作为其尽职调查工作的一部分。</w:t>
      </w:r>
    </w:p>
    <w:p w14:paraId="6BFFF914">
      <w:pPr>
        <w:overflowPunct w:val="0"/>
        <w:snapToGrid w:val="0"/>
        <w:spacing w:before="8" w:line="300" w:lineRule="auto"/>
        <w:jc w:val="both"/>
        <w:rPr>
          <w:rFonts w:ascii="Arial" w:hAnsi="Arial" w:eastAsia="宋体" w:cs="Arial"/>
          <w:sz w:val="24"/>
          <w:szCs w:val="24"/>
        </w:rPr>
      </w:pPr>
    </w:p>
    <w:p w14:paraId="3DE703D0">
      <w:pPr>
        <w:pStyle w:val="4"/>
        <w:overflowPunct w:val="0"/>
        <w:snapToGrid w:val="0"/>
        <w:spacing w:line="300" w:lineRule="auto"/>
        <w:ind w:left="0"/>
        <w:jc w:val="both"/>
        <w:rPr>
          <w:rFonts w:ascii="Arial" w:hAnsi="Arial" w:cs="Arial"/>
        </w:rPr>
      </w:pPr>
      <w:r>
        <w:rPr>
          <w:rFonts w:ascii="Arial" w:hAnsi="Arial" w:cs="Arial"/>
        </w:rPr>
        <w:t>根据具体情况，IRB可作出不同选择。接收IRB可决定：</w:t>
      </w:r>
    </w:p>
    <w:p w14:paraId="7112BBA1">
      <w:pPr>
        <w:overflowPunct w:val="0"/>
        <w:snapToGrid w:val="0"/>
        <w:spacing w:before="10" w:line="300" w:lineRule="auto"/>
        <w:jc w:val="both"/>
        <w:rPr>
          <w:rFonts w:ascii="Arial" w:hAnsi="Arial" w:eastAsia="宋体" w:cs="Arial"/>
          <w:sz w:val="24"/>
          <w:szCs w:val="24"/>
        </w:rPr>
      </w:pPr>
    </w:p>
    <w:p w14:paraId="6F1A242D">
      <w:pPr>
        <w:pStyle w:val="17"/>
        <w:numPr>
          <w:ilvl w:val="0"/>
          <w:numId w:val="7"/>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szCs w:val="24"/>
        </w:rPr>
        <w:t>通过召集IRB或根据快速审查程序</w:t>
      </w:r>
      <w:r>
        <w:rPr>
          <w:rFonts w:hint="eastAsia" w:ascii="Arial" w:hAnsi="Arial" w:eastAsia="宋体" w:cs="Arial"/>
          <w:sz w:val="24"/>
          <w:szCs w:val="24"/>
        </w:rPr>
        <w:t>进行初步审查</w:t>
      </w:r>
      <w:r>
        <w:rPr>
          <w:rStyle w:val="15"/>
          <w:rFonts w:ascii="Arial" w:hAnsi="Arial" w:eastAsia="宋体" w:cs="Arial"/>
          <w:sz w:val="24"/>
          <w:szCs w:val="24"/>
        </w:rPr>
        <w:footnoteReference w:id="25"/>
      </w:r>
      <w:r>
        <w:rPr>
          <w:rFonts w:ascii="Arial" w:hAnsi="Arial" w:eastAsia="宋体" w:cs="Arial"/>
          <w:sz w:val="24"/>
          <w:szCs w:val="24"/>
        </w:rPr>
        <w:t>（如适用）。如果原始IRB的审查质量存在问题，例如，由于原始IRB违规而进行转移（如FDA给该IRB的警告函所述），强烈建议接收IRB进行审查。此外，接收IRB还应考虑对高风险研究进行初步审查，</w:t>
      </w:r>
    </w:p>
    <w:p w14:paraId="3A0710A4">
      <w:pPr>
        <w:overflowPunct w:val="0"/>
        <w:rPr>
          <w:rFonts w:ascii="Arial" w:hAnsi="Arial" w:eastAsia="宋体" w:cs="Arial"/>
          <w:sz w:val="20"/>
          <w:szCs w:val="20"/>
        </w:rPr>
      </w:pPr>
      <w:bookmarkStart w:id="17" w:name="_bookmark27"/>
      <w:bookmarkEnd w:id="17"/>
      <w:bookmarkStart w:id="18" w:name="_bookmark24"/>
      <w:bookmarkEnd w:id="18"/>
      <w:r>
        <w:rPr>
          <w:rFonts w:ascii="Arial" w:hAnsi="Arial" w:eastAsia="宋体" w:cs="Arial"/>
          <w:sz w:val="20"/>
          <w:szCs w:val="20"/>
        </w:rPr>
        <w:br w:type="page"/>
      </w:r>
    </w:p>
    <w:p w14:paraId="2A964FA2">
      <w:pPr>
        <w:pStyle w:val="4"/>
        <w:overflowPunct w:val="0"/>
        <w:snapToGrid w:val="0"/>
        <w:spacing w:before="72" w:line="300" w:lineRule="auto"/>
        <w:ind w:left="812" w:leftChars="369"/>
        <w:jc w:val="both"/>
        <w:rPr>
          <w:rFonts w:ascii="Arial" w:hAnsi="Arial" w:cs="Arial"/>
          <w:sz w:val="16"/>
          <w:szCs w:val="16"/>
        </w:rPr>
      </w:pPr>
      <w:r>
        <w:rPr>
          <w:rFonts w:ascii="Arial" w:hAnsi="Arial" w:cs="Arial"/>
        </w:rPr>
        <w:t>例如免于21 CFR 50.24的知情同意书要求的研究，涉及高发病率和/或死亡率风险的未核准疗法及细胞或基因治疗等新型疗法的研究，以及原始IRB标记的、应频繁审查的研究。如果接收IRB认为可能存在需要审查的局部问题，则其也可以决定进行初步审查。如果接收IRB不了解原始IRB，也应考虑进行初步审查，因为可能无法完全依赖原始IRB的审查和批准。IRB应考虑是否对器械研究进行初步审查，以独立确定重大或非重大器械风险，特别是因原始IRB违规而需进行转移时。</w:t>
      </w:r>
      <w:r>
        <w:rPr>
          <w:rStyle w:val="15"/>
          <w:rFonts w:ascii="Arial" w:hAnsi="Arial" w:cs="Arial"/>
        </w:rPr>
        <w:footnoteReference w:id="26"/>
      </w:r>
    </w:p>
    <w:p w14:paraId="38E7C14E">
      <w:pPr>
        <w:pStyle w:val="17"/>
        <w:numPr>
          <w:ilvl w:val="0"/>
          <w:numId w:val="7"/>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在转移时通过召集IRB或加快审查程序进行持续审查（如果适用）。当接收IRB已对多地点研究中的一个地点负责（即，由于接收IRB已审查并批准了研究方案，其已了解该研究）时，应当进行持续审查。</w:t>
      </w:r>
    </w:p>
    <w:p w14:paraId="2991ECB8">
      <w:pPr>
        <w:pStyle w:val="17"/>
        <w:numPr>
          <w:ilvl w:val="0"/>
          <w:numId w:val="7"/>
        </w:numPr>
        <w:tabs>
          <w:tab w:val="left" w:pos="840"/>
        </w:tabs>
        <w:overflowPunct w:val="0"/>
        <w:snapToGrid w:val="0"/>
        <w:spacing w:line="300" w:lineRule="auto"/>
        <w:ind w:left="797" w:leftChars="200" w:hanging="357"/>
        <w:jc w:val="both"/>
        <w:rPr>
          <w:rFonts w:ascii="Arial" w:hAnsi="Arial" w:cs="Arial"/>
          <w:sz w:val="16"/>
          <w:szCs w:val="16"/>
        </w:rPr>
      </w:pPr>
      <w:r>
        <w:rPr>
          <w:rFonts w:hint="eastAsia" w:ascii="Arial" w:hAnsi="Arial" w:eastAsia="宋体" w:cs="Arial"/>
          <w:b/>
          <w:sz w:val="24"/>
        </w:rPr>
        <w:t>在下一次持续审查日期进行审查。</w:t>
      </w:r>
      <w:r>
        <w:rPr>
          <w:rFonts w:ascii="Arial" w:hAnsi="Arial" w:eastAsia="宋体" w:cs="Arial"/>
          <w:sz w:val="24"/>
        </w:rPr>
        <w:t>此选项可能最适用于由于后勤、行政或经济原因而进行的转移。但实际上，IRB往往选择进行某种非正式评估，以确保记录大致符合程序，并在到期时协助准备进行持续审查。由于在持续审查日期之前可能会要求更改IRB对方案的批准或知情同意书，因此值得注意是，接收IRB必须在批准对研究或知情同意书进行大量更改之前进行初始或持续审查，</w:t>
      </w:r>
      <w:r>
        <w:rPr>
          <w:rFonts w:ascii="Arial" w:hAnsi="Arial" w:eastAsia="宋体" w:cs="Arial"/>
        </w:rPr>
        <w:t>确保其</w:t>
      </w:r>
      <w:r>
        <w:rPr>
          <w:rFonts w:ascii="Arial" w:hAnsi="Arial" w:eastAsia="宋体" w:cs="Arial"/>
          <w:sz w:val="24"/>
        </w:rPr>
        <w:t>充分了解</w:t>
      </w:r>
      <w:r>
        <w:rPr>
          <w:rFonts w:ascii="Arial" w:hAnsi="Arial" w:eastAsia="宋体" w:cs="Arial"/>
        </w:rPr>
        <w:t>研究。</w:t>
      </w:r>
      <w:r>
        <w:rPr>
          <w:rStyle w:val="15"/>
          <w:rFonts w:ascii="Arial" w:hAnsi="Arial" w:eastAsia="宋体" w:cs="Arial"/>
          <w:sz w:val="24"/>
          <w:szCs w:val="24"/>
        </w:rPr>
        <w:footnoteReference w:id="27"/>
      </w:r>
    </w:p>
    <w:p w14:paraId="1B6B5F3E">
      <w:pPr>
        <w:overflowPunct w:val="0"/>
        <w:snapToGrid w:val="0"/>
        <w:spacing w:before="3" w:line="300" w:lineRule="auto"/>
        <w:jc w:val="both"/>
        <w:rPr>
          <w:rFonts w:ascii="Arial" w:hAnsi="Arial" w:eastAsia="宋体" w:cs="Arial"/>
          <w:sz w:val="24"/>
          <w:szCs w:val="24"/>
        </w:rPr>
      </w:pPr>
    </w:p>
    <w:p w14:paraId="12E1E7FA">
      <w:pPr>
        <w:pStyle w:val="4"/>
        <w:overflowPunct w:val="0"/>
        <w:snapToGrid w:val="0"/>
        <w:spacing w:line="300" w:lineRule="auto"/>
        <w:ind w:left="0"/>
        <w:jc w:val="both"/>
        <w:rPr>
          <w:rFonts w:ascii="Arial" w:hAnsi="Arial" w:cs="Arial"/>
        </w:rPr>
      </w:pPr>
      <w:r>
        <w:rPr>
          <w:rFonts w:ascii="Arial" w:hAnsi="Arial" w:cs="Arial"/>
        </w:rPr>
        <w:t>21 CFR第56部分的FDA法规未规定允许在IRB批准到期后进行研究的宽限期。如果接收IRB未在原始IRB规定的批准期结束之前对转移研究进行审查，IRB批准将自动过期，涉及受试者的所有研究活动必须停止。在IRB批准到期后，不得招募新受试者。</w:t>
      </w:r>
      <w:r>
        <w:rPr>
          <w:rStyle w:val="15"/>
          <w:rFonts w:ascii="Arial" w:hAnsi="Arial" w:cs="Arial"/>
        </w:rPr>
        <w:footnoteReference w:id="28"/>
      </w:r>
      <w:r>
        <w:rPr>
          <w:rFonts w:hint="eastAsia" w:ascii="Arial" w:hAnsi="Arial" w:cs="Arial"/>
        </w:rPr>
        <w:t xml:space="preserve"> </w:t>
      </w:r>
      <w:r>
        <w:rPr>
          <w:rStyle w:val="15"/>
          <w:rFonts w:ascii="Arial" w:hAnsi="Arial" w:cs="Arial"/>
        </w:rPr>
        <w:footnoteReference w:id="29"/>
      </w:r>
      <w:r>
        <w:rPr>
          <w:rFonts w:ascii="Arial" w:hAnsi="Arial" w:cs="Arial"/>
        </w:rPr>
        <w:t>总的来说，FDA预计IRB未批准的可能性较低。</w:t>
      </w:r>
    </w:p>
    <w:p w14:paraId="2A43625F">
      <w:pPr>
        <w:overflowPunct w:val="0"/>
        <w:snapToGrid w:val="0"/>
        <w:spacing w:line="300" w:lineRule="auto"/>
        <w:jc w:val="both"/>
        <w:rPr>
          <w:rFonts w:ascii="Arial" w:hAnsi="Arial" w:eastAsia="宋体" w:cs="Arial"/>
          <w:sz w:val="24"/>
          <w:szCs w:val="24"/>
        </w:rPr>
      </w:pPr>
    </w:p>
    <w:p w14:paraId="1572FC01">
      <w:pPr>
        <w:pStyle w:val="4"/>
        <w:overflowPunct w:val="0"/>
        <w:snapToGrid w:val="0"/>
        <w:spacing w:line="300" w:lineRule="auto"/>
        <w:ind w:left="0"/>
        <w:jc w:val="both"/>
        <w:rPr>
          <w:rFonts w:ascii="Arial" w:hAnsi="Arial" w:cs="Arial"/>
        </w:rPr>
      </w:pPr>
      <w:r>
        <w:rPr>
          <w:rFonts w:ascii="Arial" w:hAnsi="Arial" w:cs="Arial"/>
        </w:rPr>
        <w:t>FDA提醒接收IRB，如果临床研究未按照接收IRB要求进行或与受试者的意外严重伤害有关，其也有权暂停或终止研究批准。</w:t>
      </w:r>
      <w:r>
        <w:rPr>
          <w:rStyle w:val="15"/>
          <w:rFonts w:ascii="Arial" w:hAnsi="Arial" w:cs="Arial"/>
        </w:rPr>
        <w:footnoteReference w:id="30"/>
      </w:r>
      <w:r>
        <w:rPr>
          <w:rFonts w:ascii="Arial" w:hAnsi="Arial" w:cs="Arial"/>
        </w:rPr>
        <w:t>接收IRB必须及时向临床研究者、适当机构官员和FDA报告IRB批准的暂停或终止情况，包括采取该行动的原因。</w:t>
      </w:r>
    </w:p>
    <w:p w14:paraId="05C31135">
      <w:pPr>
        <w:overflowPunct w:val="0"/>
        <w:rPr>
          <w:rFonts w:ascii="Arial" w:hAnsi="Arial" w:eastAsia="宋体" w:cs="Arial"/>
          <w:sz w:val="24"/>
          <w:szCs w:val="24"/>
        </w:rPr>
      </w:pPr>
      <w:r>
        <w:rPr>
          <w:rFonts w:ascii="Arial" w:hAnsi="Arial" w:cs="Arial"/>
        </w:rPr>
        <w:br w:type="page"/>
      </w:r>
    </w:p>
    <w:p w14:paraId="3C5A4CD6">
      <w:pPr>
        <w:pStyle w:val="4"/>
        <w:overflowPunct w:val="0"/>
        <w:snapToGrid w:val="0"/>
        <w:spacing w:line="300" w:lineRule="auto"/>
        <w:ind w:left="0"/>
        <w:jc w:val="both"/>
        <w:rPr>
          <w:rFonts w:ascii="Arial" w:hAnsi="Arial" w:cs="Arial"/>
        </w:rPr>
      </w:pPr>
      <w:bookmarkStart w:id="19" w:name="_bookmark30"/>
      <w:bookmarkEnd w:id="19"/>
      <w:bookmarkStart w:id="20" w:name="_bookmark33"/>
      <w:bookmarkEnd w:id="20"/>
      <w:r>
        <w:rPr>
          <w:rStyle w:val="15"/>
          <w:rFonts w:ascii="Arial" w:hAnsi="Arial" w:cs="Arial"/>
        </w:rPr>
        <w:footnoteReference w:id="31"/>
      </w:r>
      <w:r>
        <w:rPr>
          <w:rFonts w:hint="eastAsia" w:ascii="Arial" w:hAnsi="Arial" w:cs="Arial"/>
        </w:rPr>
        <w:t xml:space="preserve"> </w:t>
      </w:r>
      <w:r>
        <w:rPr>
          <w:rStyle w:val="15"/>
          <w:rFonts w:ascii="Arial" w:hAnsi="Arial" w:cs="Arial"/>
        </w:rPr>
        <w:footnoteReference w:id="32"/>
      </w:r>
      <w:r>
        <w:rPr>
          <w:rFonts w:hint="eastAsia" w:ascii="Arial" w:hAnsi="Arial" w:cs="Arial"/>
        </w:rPr>
        <w:t xml:space="preserve"> </w:t>
      </w:r>
      <w:r>
        <w:rPr>
          <w:rFonts w:ascii="Arial" w:hAnsi="Arial" w:cs="Arial"/>
        </w:rPr>
        <w:t>FDA建议通知申办者暂停或终止情况以及采取此类行动的原因。</w:t>
      </w:r>
      <w:r>
        <w:rPr>
          <w:rStyle w:val="15"/>
          <w:rFonts w:ascii="Arial" w:hAnsi="Arial" w:cs="Arial"/>
        </w:rPr>
        <w:footnoteReference w:id="33"/>
      </w:r>
      <w:r>
        <w:rPr>
          <w:rFonts w:ascii="Arial" w:hAnsi="Arial" w:cs="Arial"/>
        </w:rPr>
        <w:t>通知申办者IRB已暂停或终止研究可给予申办者解决IRB问题的机会，以减小研究干扰并解决受试者的保护问题。</w:t>
      </w:r>
    </w:p>
    <w:p w14:paraId="534ADA3B">
      <w:pPr>
        <w:overflowPunct w:val="0"/>
        <w:snapToGrid w:val="0"/>
        <w:spacing w:before="8" w:line="300" w:lineRule="auto"/>
        <w:jc w:val="both"/>
        <w:rPr>
          <w:rFonts w:ascii="Arial" w:hAnsi="Arial" w:eastAsia="宋体" w:cs="Arial"/>
          <w:sz w:val="23"/>
          <w:szCs w:val="23"/>
        </w:rPr>
      </w:pPr>
    </w:p>
    <w:p w14:paraId="2DE3F292">
      <w:pPr>
        <w:pStyle w:val="4"/>
        <w:overflowPunct w:val="0"/>
        <w:snapToGrid w:val="0"/>
        <w:spacing w:line="300" w:lineRule="auto"/>
        <w:ind w:left="0"/>
        <w:jc w:val="both"/>
        <w:rPr>
          <w:rFonts w:ascii="Arial" w:hAnsi="Arial" w:cs="Arial"/>
        </w:rPr>
      </w:pPr>
      <w:r>
        <w:rPr>
          <w:rFonts w:ascii="Arial" w:hAnsi="Arial" w:cs="Arial"/>
        </w:rPr>
        <w:t>申办者还必须向FDA报告此类信息。根据21 CFR 312.31（a）（2）的要求，药品/生物制剂研究申办者应在试验用新药（IND）申请的信息修正中向FDA报告有关临床研究中止的任何信息。根据21 CFR 812.150（b）（2）的要求，器械研究申办者需在收到撤销通知后5个工作日内通知FDA和所有审查IRB和参与研究者研究或部分研究的IRB批准已被撤销。</w:t>
      </w:r>
    </w:p>
    <w:p w14:paraId="46F4F1FD">
      <w:pPr>
        <w:overflowPunct w:val="0"/>
        <w:snapToGrid w:val="0"/>
        <w:spacing w:before="2" w:line="300" w:lineRule="auto"/>
        <w:jc w:val="both"/>
        <w:rPr>
          <w:rFonts w:ascii="Arial" w:hAnsi="Arial" w:eastAsia="宋体" w:cs="Arial"/>
          <w:sz w:val="24"/>
          <w:szCs w:val="24"/>
        </w:rPr>
      </w:pPr>
    </w:p>
    <w:p w14:paraId="0FF061CB">
      <w:pPr>
        <w:pStyle w:val="17"/>
        <w:numPr>
          <w:ilvl w:val="0"/>
          <w:numId w:val="4"/>
        </w:numPr>
        <w:snapToGrid w:val="0"/>
        <w:spacing w:line="300" w:lineRule="auto"/>
        <w:rPr>
          <w:rFonts w:ascii="Arial" w:hAnsi="Arial" w:eastAsia="宋体" w:cs="Arial"/>
          <w:b/>
          <w:sz w:val="24"/>
          <w:szCs w:val="24"/>
        </w:rPr>
      </w:pPr>
      <w:r>
        <w:rPr>
          <w:rFonts w:ascii="Arial" w:hAnsi="Arial" w:eastAsia="宋体" w:cs="Arial"/>
          <w:b/>
          <w:sz w:val="24"/>
          <w:szCs w:val="24"/>
        </w:rPr>
        <w:t>确认或确定下次持续审查的日期。</w:t>
      </w:r>
    </w:p>
    <w:p w14:paraId="6894CF75">
      <w:pPr>
        <w:overflowPunct w:val="0"/>
        <w:snapToGrid w:val="0"/>
        <w:spacing w:before="9" w:line="300" w:lineRule="auto"/>
        <w:jc w:val="both"/>
        <w:rPr>
          <w:rFonts w:ascii="Arial" w:hAnsi="Arial" w:eastAsia="宋体" w:cs="Arial"/>
          <w:b/>
          <w:bCs/>
          <w:sz w:val="23"/>
          <w:szCs w:val="23"/>
        </w:rPr>
      </w:pPr>
    </w:p>
    <w:p w14:paraId="218C92C6">
      <w:pPr>
        <w:pStyle w:val="4"/>
        <w:overflowPunct w:val="0"/>
        <w:snapToGrid w:val="0"/>
        <w:spacing w:line="300" w:lineRule="auto"/>
        <w:ind w:left="0"/>
        <w:jc w:val="both"/>
        <w:rPr>
          <w:rFonts w:ascii="Arial" w:hAnsi="Arial" w:cs="Arial"/>
        </w:rPr>
      </w:pPr>
      <w:r>
        <w:rPr>
          <w:rFonts w:ascii="Arial" w:hAnsi="Arial" w:cs="Arial"/>
        </w:rPr>
        <w:t>如果接收IRB在临床研究转移时进行了审查（无论是初次审查还是继续审查），其可以选择保持原始IRB确定的批准周年日，或决定建立新的周年日。如果接收IRB决定建立一个新的周年日，新日期必须在接收IRB审查后一年内。</w:t>
      </w:r>
    </w:p>
    <w:p w14:paraId="2647097D">
      <w:pPr>
        <w:overflowPunct w:val="0"/>
        <w:snapToGrid w:val="0"/>
        <w:spacing w:line="300" w:lineRule="auto"/>
        <w:jc w:val="both"/>
        <w:rPr>
          <w:rFonts w:ascii="Arial" w:hAnsi="Arial" w:eastAsia="宋体" w:cs="Arial"/>
          <w:sz w:val="24"/>
          <w:szCs w:val="24"/>
        </w:rPr>
      </w:pPr>
    </w:p>
    <w:p w14:paraId="0AEF0F54">
      <w:pPr>
        <w:pStyle w:val="4"/>
        <w:overflowPunct w:val="0"/>
        <w:snapToGrid w:val="0"/>
        <w:spacing w:line="300" w:lineRule="auto"/>
        <w:ind w:left="0"/>
        <w:jc w:val="both"/>
        <w:rPr>
          <w:rFonts w:ascii="Arial" w:hAnsi="Arial" w:cs="Arial"/>
        </w:rPr>
      </w:pPr>
      <w:r>
        <w:rPr>
          <w:rFonts w:ascii="Arial" w:hAnsi="Arial" w:cs="Arial"/>
        </w:rPr>
        <w:t>如果接收IRB在转移时未对临床研究进行审查，则原始IRB的临床研究批准日期在原始IRB最新审查中确定的完整批准期间仍然有效。</w:t>
      </w:r>
    </w:p>
    <w:p w14:paraId="302E8575">
      <w:pPr>
        <w:pStyle w:val="4"/>
        <w:overflowPunct w:val="0"/>
        <w:snapToGrid w:val="0"/>
        <w:spacing w:line="300" w:lineRule="auto"/>
        <w:ind w:left="0"/>
        <w:jc w:val="both"/>
        <w:rPr>
          <w:rFonts w:ascii="Arial" w:hAnsi="Arial" w:cs="Arial"/>
        </w:rPr>
      </w:pPr>
      <w:r>
        <w:rPr>
          <w:rFonts w:ascii="Arial" w:hAnsi="Arial" w:cs="Arial"/>
        </w:rPr>
        <w:t>例如，如果原始IRB最初于2011年7月1日批准临床研究（期限为一年），但于2011年10月1日将临床研究转移到新IRB，则IRB批准的失效日期仍然为2012年7月1日，除非或直到接收IRB确定新的失效日期。请注意，根据新确定的失效日期进行的审查仍需在2012年7月1日失效日期之前进行。</w:t>
      </w:r>
    </w:p>
    <w:p w14:paraId="787B4761">
      <w:pPr>
        <w:overflowPunct w:val="0"/>
        <w:snapToGrid w:val="0"/>
        <w:spacing w:before="2" w:line="300" w:lineRule="auto"/>
        <w:jc w:val="both"/>
        <w:rPr>
          <w:rFonts w:ascii="Arial" w:hAnsi="Arial" w:eastAsia="宋体" w:cs="Arial"/>
          <w:sz w:val="24"/>
          <w:szCs w:val="24"/>
        </w:rPr>
      </w:pPr>
    </w:p>
    <w:p w14:paraId="1848AA40">
      <w:pPr>
        <w:pStyle w:val="17"/>
        <w:numPr>
          <w:ilvl w:val="0"/>
          <w:numId w:val="4"/>
        </w:numPr>
        <w:snapToGrid w:val="0"/>
        <w:spacing w:line="300" w:lineRule="auto"/>
        <w:rPr>
          <w:rFonts w:ascii="Arial" w:hAnsi="Arial" w:eastAsia="宋体" w:cs="Arial"/>
          <w:b/>
          <w:sz w:val="24"/>
          <w:szCs w:val="24"/>
        </w:rPr>
      </w:pPr>
      <w:r>
        <w:rPr>
          <w:rFonts w:ascii="Arial" w:hAnsi="Arial" w:eastAsia="宋体" w:cs="Arial"/>
          <w:b/>
          <w:sz w:val="24"/>
          <w:szCs w:val="24"/>
        </w:rPr>
        <w:t>确定是否需要修订知情同意书；</w:t>
      </w:r>
    </w:p>
    <w:p w14:paraId="4D5920B9">
      <w:pPr>
        <w:overflowPunct w:val="0"/>
        <w:snapToGrid w:val="0"/>
        <w:spacing w:before="1" w:line="300" w:lineRule="auto"/>
        <w:jc w:val="both"/>
        <w:rPr>
          <w:rFonts w:ascii="Arial" w:hAnsi="Arial" w:eastAsia="宋体" w:cs="Arial"/>
          <w:b/>
          <w:bCs/>
          <w:sz w:val="24"/>
          <w:szCs w:val="24"/>
        </w:rPr>
      </w:pPr>
    </w:p>
    <w:p w14:paraId="6B7F1D51">
      <w:pPr>
        <w:pStyle w:val="4"/>
        <w:overflowPunct w:val="0"/>
        <w:snapToGrid w:val="0"/>
        <w:spacing w:line="300" w:lineRule="auto"/>
        <w:ind w:left="0"/>
        <w:jc w:val="both"/>
        <w:rPr>
          <w:rFonts w:ascii="Arial" w:hAnsi="Arial" w:cs="Arial"/>
        </w:rPr>
      </w:pPr>
      <w:r>
        <w:rPr>
          <w:rFonts w:ascii="Arial" w:hAnsi="Arial" w:cs="Arial"/>
        </w:rPr>
        <w:t>知情同意书应包含“与研究和研究受试者权利相关问题的解惑以及在受试者出现研究相关损伤时需联系人员的说明”。</w:t>
      </w:r>
      <w:r>
        <w:rPr>
          <w:rStyle w:val="15"/>
          <w:rFonts w:ascii="Arial" w:hAnsi="Arial" w:cs="Arial"/>
        </w:rPr>
        <w:footnoteReference w:id="34"/>
      </w:r>
      <w:r>
        <w:rPr>
          <w:rFonts w:hint="eastAsia" w:ascii="Arial" w:hAnsi="Arial" w:cs="Arial"/>
        </w:rPr>
        <w:t xml:space="preserve"> </w:t>
      </w:r>
      <w:r>
        <w:rPr>
          <w:rFonts w:ascii="Arial" w:hAnsi="Arial" w:cs="Arial"/>
        </w:rPr>
        <w:t>因此，当IRB监督责任变更导致有关受试者权利的联系信息和/或出现研究相关损伤时应联系的人员出现变化，必须向受试者提供新的联系信息。</w:t>
      </w:r>
      <w:r>
        <w:rPr>
          <w:rFonts w:ascii="Arial" w:hAnsi="Arial" w:cs="Arial"/>
          <w:sz w:val="20"/>
          <w:szCs w:val="20"/>
        </w:rPr>
        <w:br w:type="page"/>
      </w:r>
    </w:p>
    <w:p w14:paraId="299D2319">
      <w:pPr>
        <w:pStyle w:val="4"/>
        <w:overflowPunct w:val="0"/>
        <w:snapToGrid w:val="0"/>
        <w:spacing w:before="72" w:line="288" w:lineRule="auto"/>
        <w:ind w:left="0"/>
        <w:jc w:val="both"/>
        <w:rPr>
          <w:rFonts w:ascii="Arial" w:hAnsi="Arial" w:cs="Arial"/>
        </w:rPr>
      </w:pPr>
      <w:r>
        <w:rPr>
          <w:rFonts w:ascii="Arial" w:hAnsi="Arial" w:cs="Arial"/>
        </w:rPr>
        <w:t>对于已入选研究的受试者（无论其是否主动参与），可通过多种方式提供此类信息，其中包括：发送提供相关联系信息的信函。</w:t>
      </w:r>
      <w:r>
        <w:rPr>
          <w:rStyle w:val="15"/>
          <w:rFonts w:ascii="Arial" w:hAnsi="Arial" w:cs="Arial"/>
        </w:rPr>
        <w:footnoteReference w:id="35"/>
      </w:r>
      <w:r>
        <w:rPr>
          <w:rFonts w:hint="eastAsia" w:ascii="Arial" w:hAnsi="Arial" w:cs="Arial"/>
          <w:vertAlign w:val="superscript"/>
        </w:rPr>
        <w:t xml:space="preserve"> </w:t>
      </w:r>
      <w:r>
        <w:rPr>
          <w:rFonts w:ascii="Arial" w:hAnsi="Arial" w:cs="Arial"/>
        </w:rPr>
        <w:t>对于新受试者，必须修订知情同意书、允许书和/或父母同意书以表明新的联系信息。</w:t>
      </w:r>
      <w:r>
        <w:rPr>
          <w:rStyle w:val="15"/>
          <w:rFonts w:ascii="Arial" w:hAnsi="Arial" w:cs="Arial"/>
        </w:rPr>
        <w:footnoteReference w:id="36"/>
      </w:r>
      <w:r>
        <w:rPr>
          <w:rFonts w:hint="eastAsia" w:ascii="Arial" w:hAnsi="Arial" w:cs="Arial"/>
        </w:rPr>
        <w:t xml:space="preserve"> </w:t>
      </w:r>
      <w:r>
        <w:rPr>
          <w:rFonts w:ascii="Arial" w:hAnsi="Arial" w:cs="Arial"/>
        </w:rPr>
        <w:t>临床研究者应及时通知IRB对知情同意书进行的任何此类管理变更。</w:t>
      </w:r>
    </w:p>
    <w:p w14:paraId="5795A642">
      <w:pPr>
        <w:overflowPunct w:val="0"/>
        <w:snapToGrid w:val="0"/>
        <w:spacing w:line="288" w:lineRule="auto"/>
        <w:jc w:val="both"/>
        <w:rPr>
          <w:rFonts w:ascii="Arial" w:hAnsi="Arial" w:eastAsia="宋体" w:cs="Arial"/>
          <w:sz w:val="24"/>
          <w:szCs w:val="24"/>
        </w:rPr>
      </w:pPr>
    </w:p>
    <w:p w14:paraId="459C6C17">
      <w:pPr>
        <w:pStyle w:val="4"/>
        <w:overflowPunct w:val="0"/>
        <w:snapToGrid w:val="0"/>
        <w:spacing w:line="288" w:lineRule="auto"/>
        <w:ind w:left="0"/>
        <w:jc w:val="both"/>
        <w:rPr>
          <w:rFonts w:ascii="Arial" w:hAnsi="Arial" w:cs="Arial"/>
        </w:rPr>
      </w:pPr>
      <w:r>
        <w:rPr>
          <w:rFonts w:ascii="Arial" w:hAnsi="Arial" w:cs="Arial"/>
        </w:rPr>
        <w:t>也可能需要对知情同意书进行其他更改，例如，如果接收IRB要求在其管辖的地点修改知情同意书以授予批准（例如，更改模板语言，更改风险等级等）。</w:t>
      </w:r>
      <w:r>
        <w:rPr>
          <w:rStyle w:val="15"/>
          <w:rFonts w:ascii="Arial" w:hAnsi="Arial" w:cs="Arial"/>
        </w:rPr>
        <w:footnoteReference w:id="37"/>
      </w:r>
      <w:r>
        <w:rPr>
          <w:rFonts w:hint="eastAsia" w:ascii="Arial" w:hAnsi="Arial" w:cs="Arial"/>
        </w:rPr>
        <w:t xml:space="preserve"> </w:t>
      </w:r>
      <w:r>
        <w:rPr>
          <w:rFonts w:ascii="Arial" w:hAnsi="Arial" w:cs="Arial"/>
        </w:rPr>
        <w:t>根据需要进行的更改类型，可将需在该地点或此类得到进行以使IRB批准临床研究的修改传达给临床研究者和申办者，且可能需要向FDA报告。</w:t>
      </w:r>
      <w:r>
        <w:rPr>
          <w:rStyle w:val="15"/>
          <w:rFonts w:ascii="Arial" w:hAnsi="Arial" w:cs="Arial"/>
        </w:rPr>
        <w:footnoteReference w:id="38"/>
      </w:r>
    </w:p>
    <w:p w14:paraId="18137557">
      <w:pPr>
        <w:overflowPunct w:val="0"/>
        <w:snapToGrid w:val="0"/>
        <w:spacing w:before="11" w:line="288" w:lineRule="auto"/>
        <w:jc w:val="both"/>
        <w:rPr>
          <w:rFonts w:ascii="Arial" w:hAnsi="Arial" w:eastAsia="宋体" w:cs="Arial"/>
          <w:sz w:val="24"/>
          <w:szCs w:val="24"/>
        </w:rPr>
      </w:pPr>
    </w:p>
    <w:p w14:paraId="2B40B9C6">
      <w:pPr>
        <w:pStyle w:val="17"/>
        <w:numPr>
          <w:ilvl w:val="0"/>
          <w:numId w:val="4"/>
        </w:numPr>
        <w:snapToGrid w:val="0"/>
        <w:spacing w:line="300" w:lineRule="auto"/>
        <w:rPr>
          <w:rFonts w:ascii="Arial" w:hAnsi="Arial" w:eastAsia="宋体" w:cs="Arial"/>
          <w:b/>
          <w:sz w:val="24"/>
          <w:szCs w:val="24"/>
        </w:rPr>
      </w:pPr>
      <w:r>
        <w:rPr>
          <w:rFonts w:ascii="Arial" w:hAnsi="Arial" w:eastAsia="宋体" w:cs="Arial"/>
          <w:b/>
          <w:sz w:val="24"/>
          <w:szCs w:val="24"/>
        </w:rPr>
        <w:t>通知关键方。</w:t>
      </w:r>
    </w:p>
    <w:p w14:paraId="626C084F">
      <w:pPr>
        <w:overflowPunct w:val="0"/>
        <w:snapToGrid w:val="0"/>
        <w:spacing w:before="1" w:line="288" w:lineRule="auto"/>
        <w:jc w:val="both"/>
        <w:rPr>
          <w:rFonts w:ascii="Arial" w:hAnsi="Arial" w:eastAsia="宋体" w:cs="Arial"/>
          <w:b/>
          <w:bCs/>
          <w:sz w:val="24"/>
          <w:szCs w:val="24"/>
        </w:rPr>
      </w:pPr>
    </w:p>
    <w:p w14:paraId="12D3D9E1">
      <w:pPr>
        <w:pStyle w:val="4"/>
        <w:overflowPunct w:val="0"/>
        <w:snapToGrid w:val="0"/>
        <w:spacing w:line="288" w:lineRule="auto"/>
        <w:ind w:left="0"/>
        <w:jc w:val="both"/>
        <w:rPr>
          <w:rFonts w:ascii="Arial" w:hAnsi="Arial" w:cs="Arial"/>
        </w:rPr>
      </w:pPr>
      <w:r>
        <w:rPr>
          <w:rFonts w:ascii="Arial" w:hAnsi="Arial" w:cs="Arial"/>
        </w:rPr>
        <w:t>如上所述，参与监督责任转移的所有关键方（如临床研究者，申办者，原始和接收IRB）应在实施转让之前商议其各自的责任。此外，申办者应当及时酌情通知参与临床研究的有关实体（例如机构成员、数据安全监控委员会、CRO）。IRB成功转移临床研究监督责任后，申办者必须使用接收IRB的名称和联系信息更新相关IND</w:t>
      </w:r>
      <w:r>
        <w:rPr>
          <w:rStyle w:val="15"/>
          <w:rFonts w:ascii="Arial" w:hAnsi="Arial" w:cs="Arial"/>
        </w:rPr>
        <w:footnoteReference w:id="39"/>
      </w:r>
      <w:r>
        <w:rPr>
          <w:rFonts w:ascii="Arial" w:hAnsi="Arial" w:cs="Arial"/>
        </w:rPr>
        <w:t>或IDE</w:t>
      </w:r>
      <w:r>
        <w:rPr>
          <w:rStyle w:val="15"/>
          <w:rFonts w:ascii="Arial" w:hAnsi="Arial" w:cs="Arial"/>
        </w:rPr>
        <w:footnoteReference w:id="40"/>
      </w:r>
      <w:r>
        <w:rPr>
          <w:rFonts w:ascii="Arial" w:hAnsi="Arial" w:cs="Arial"/>
        </w:rPr>
        <w:t>，并应提供转移生效日期。</w:t>
      </w:r>
    </w:p>
    <w:p w14:paraId="48007BD2">
      <w:pPr>
        <w:overflowPunct w:val="0"/>
        <w:snapToGrid w:val="0"/>
        <w:spacing w:before="8" w:line="288" w:lineRule="auto"/>
        <w:jc w:val="both"/>
        <w:rPr>
          <w:rFonts w:ascii="Arial" w:hAnsi="Arial" w:eastAsia="宋体" w:cs="Arial"/>
          <w:sz w:val="24"/>
          <w:szCs w:val="24"/>
        </w:rPr>
      </w:pPr>
    </w:p>
    <w:p w14:paraId="641B43A6">
      <w:pPr>
        <w:pStyle w:val="4"/>
        <w:overflowPunct w:val="0"/>
        <w:snapToGrid w:val="0"/>
        <w:spacing w:line="288" w:lineRule="auto"/>
        <w:ind w:left="0"/>
        <w:jc w:val="both"/>
        <w:rPr>
          <w:rFonts w:ascii="Arial" w:hAnsi="Arial" w:cs="Arial"/>
        </w:rPr>
      </w:pPr>
      <w:r>
        <w:rPr>
          <w:rFonts w:ascii="Arial" w:hAnsi="Arial" w:cs="Arial"/>
        </w:rPr>
        <w:t>对于原始IRB担任中央IRB的研究，应当通知与原始IRB签订书面协议（将审查责任转移给原始IRB）的地方机构/ IRB，即该研究的责任将转移给新的中央IRB（接收IRB）。本机构建议，地方机构/ IRB可以选择与接收IRB签订新的书面协议，或如果其认为接收IRB的中央审查不适用于地方机构，则可选择退出中央审查安排（例如，担忧接收IRB充分解决当地问题的能力）。</w:t>
      </w:r>
      <w:r>
        <w:rPr>
          <w:rStyle w:val="15"/>
          <w:rFonts w:ascii="Arial" w:hAnsi="Arial" w:cs="Arial"/>
        </w:rPr>
        <w:footnoteReference w:id="41"/>
      </w:r>
    </w:p>
    <w:p w14:paraId="79F2E3D5">
      <w:pPr>
        <w:overflowPunct w:val="0"/>
        <w:snapToGrid w:val="0"/>
        <w:spacing w:line="288" w:lineRule="auto"/>
        <w:jc w:val="both"/>
        <w:rPr>
          <w:rFonts w:ascii="Arial" w:hAnsi="Arial" w:eastAsia="宋体" w:cs="Arial"/>
          <w:sz w:val="24"/>
          <w:szCs w:val="24"/>
        </w:rPr>
      </w:pPr>
    </w:p>
    <w:p w14:paraId="7B195EC1">
      <w:pPr>
        <w:pStyle w:val="4"/>
        <w:overflowPunct w:val="0"/>
        <w:snapToGrid w:val="0"/>
        <w:spacing w:line="288" w:lineRule="auto"/>
        <w:ind w:left="0"/>
        <w:jc w:val="both"/>
        <w:rPr>
          <w:rFonts w:ascii="Arial" w:hAnsi="Arial" w:cs="Arial"/>
        </w:rPr>
      </w:pPr>
      <w:r>
        <w:rPr>
          <w:rFonts w:ascii="Arial" w:hAnsi="Arial" w:cs="Arial"/>
        </w:rPr>
        <w:t>此外，当IRB拒绝接受临床研究监督责任时，FDA建议，该IRB应通知发起转移过程的适当方（更多信息请参阅第3页；负责发起转移的当事方可能并不是负责获得IRB审查的当事方），使临床研究者和/或申办者能够作出有关IRB审查的替代安排。</w:t>
      </w:r>
    </w:p>
    <w:p w14:paraId="482DCBC4">
      <w:pPr>
        <w:overflowPunct w:val="0"/>
        <w:snapToGrid w:val="0"/>
        <w:spacing w:before="4" w:line="300" w:lineRule="auto"/>
        <w:jc w:val="both"/>
        <w:rPr>
          <w:rFonts w:ascii="Arial" w:hAnsi="Arial" w:eastAsia="宋体" w:cs="Arial"/>
          <w:sz w:val="24"/>
          <w:szCs w:val="24"/>
        </w:rPr>
      </w:pPr>
    </w:p>
    <w:p w14:paraId="09CACBBF">
      <w:pPr>
        <w:pStyle w:val="17"/>
        <w:numPr>
          <w:ilvl w:val="0"/>
          <w:numId w:val="4"/>
        </w:numPr>
        <w:snapToGrid w:val="0"/>
        <w:spacing w:line="300" w:lineRule="auto"/>
        <w:rPr>
          <w:rFonts w:ascii="Arial" w:hAnsi="Arial" w:eastAsia="宋体" w:cs="Arial"/>
          <w:b/>
          <w:sz w:val="24"/>
          <w:szCs w:val="24"/>
        </w:rPr>
      </w:pPr>
      <w:r>
        <w:rPr>
          <w:rFonts w:ascii="Arial" w:hAnsi="Arial" w:eastAsia="宋体" w:cs="Arial"/>
          <w:b/>
          <w:sz w:val="24"/>
          <w:szCs w:val="24"/>
        </w:rPr>
        <w:t>更新IRB注册信息。</w:t>
      </w:r>
    </w:p>
    <w:p w14:paraId="66295D95">
      <w:pPr>
        <w:overflowPunct w:val="0"/>
        <w:snapToGrid w:val="0"/>
        <w:spacing w:before="1" w:line="300" w:lineRule="auto"/>
        <w:jc w:val="both"/>
        <w:rPr>
          <w:rFonts w:ascii="Arial" w:hAnsi="Arial" w:eastAsia="宋体" w:cs="Arial"/>
          <w:b/>
          <w:bCs/>
          <w:sz w:val="24"/>
          <w:szCs w:val="24"/>
        </w:rPr>
      </w:pPr>
    </w:p>
    <w:p w14:paraId="2A29ECE8">
      <w:pPr>
        <w:pStyle w:val="4"/>
        <w:overflowPunct w:val="0"/>
        <w:snapToGrid w:val="0"/>
        <w:spacing w:line="300" w:lineRule="auto"/>
        <w:ind w:left="0"/>
        <w:jc w:val="both"/>
        <w:rPr>
          <w:rFonts w:ascii="Arial" w:hAnsi="Arial" w:cs="Arial"/>
        </w:rPr>
      </w:pPr>
      <w:r>
        <w:rPr>
          <w:rFonts w:ascii="Arial" w:hAnsi="Arial" w:cs="Arial"/>
        </w:rPr>
        <w:t>21CFR 56.106（e）中的IRB注册规则要求任何决定审查涉及新型FDA监管产品的FDA监管研究或决定停止审查FDA监管研究的IRB必须在变更产品类型审查或永久停止IRB研究审查后30天内修订其注册信息。因此，如果接收IRB先前未审查过FDA监管产品的临床研究，或在接受原始IRB的临床研究后对新型FDA监管产品进行审查，则其可能需要修订其注册信息（例如，接收IRB现在将审查医疗器械临床研究，而IRB先前仅审查过药品临床研究）。同样，如果原始IRB不再审查某些类型的FDA监管产品、不再审查FDA监管研究或计划解散，则其可能需要更新其注册信息。IRB必须在进行任何此类更改后30天内对其注册信息进行修订，并可通过</w:t>
      </w:r>
      <w:r>
        <w:fldChar w:fldCharType="begin"/>
      </w:r>
      <w:r>
        <w:instrText xml:space="preserve"> HYPERLINK "http://ohrp.cit.nih.gov/efile" \h </w:instrText>
      </w:r>
      <w:r>
        <w:fldChar w:fldCharType="separate"/>
      </w:r>
      <w:r>
        <w:rPr>
          <w:rFonts w:ascii="Arial" w:hAnsi="Arial" w:cs="Arial"/>
          <w:i/>
          <w:color w:val="0000FF"/>
          <w:u w:val="single" w:color="0000FF"/>
        </w:rPr>
        <w:t>http：//ohrp.cit.nih.gov/efile</w:t>
      </w:r>
      <w:r>
        <w:rPr>
          <w:rFonts w:ascii="Arial" w:hAnsi="Arial" w:cs="Arial"/>
          <w:i/>
          <w:color w:val="0000FF"/>
          <w:u w:val="single" w:color="0000FF"/>
        </w:rPr>
        <w:fldChar w:fldCharType="end"/>
      </w:r>
      <w:r>
        <w:rPr>
          <w:rFonts w:ascii="Arial" w:hAnsi="Arial" w:cs="Arial"/>
        </w:rPr>
        <w:t>以电子方式进行修订。</w:t>
      </w:r>
      <w:r>
        <w:rPr>
          <w:rStyle w:val="15"/>
          <w:rFonts w:ascii="Arial" w:hAnsi="Arial" w:cs="Arial"/>
        </w:rPr>
        <w:footnoteReference w:id="42"/>
      </w:r>
    </w:p>
    <w:p w14:paraId="2AEAFEF5">
      <w:pPr>
        <w:overflowPunct w:val="0"/>
        <w:snapToGrid w:val="0"/>
        <w:spacing w:before="11" w:line="300" w:lineRule="auto"/>
        <w:jc w:val="both"/>
        <w:rPr>
          <w:rFonts w:ascii="Arial" w:hAnsi="Arial" w:eastAsia="宋体" w:cs="Arial"/>
          <w:sz w:val="24"/>
          <w:szCs w:val="24"/>
        </w:rPr>
      </w:pPr>
    </w:p>
    <w:p w14:paraId="68A4B711">
      <w:pPr>
        <w:pStyle w:val="17"/>
        <w:numPr>
          <w:ilvl w:val="0"/>
          <w:numId w:val="1"/>
        </w:numPr>
        <w:snapToGrid w:val="0"/>
        <w:spacing w:line="300" w:lineRule="auto"/>
        <w:outlineLvl w:val="0"/>
        <w:rPr>
          <w:rFonts w:ascii="Arial" w:hAnsi="Arial" w:eastAsia="宋体" w:cs="Arial"/>
          <w:b/>
          <w:sz w:val="24"/>
          <w:szCs w:val="24"/>
        </w:rPr>
      </w:pPr>
      <w:bookmarkStart w:id="21" w:name="_bookmark45"/>
      <w:bookmarkEnd w:id="21"/>
      <w:bookmarkStart w:id="22" w:name="IV._Special_Situations"/>
      <w:bookmarkEnd w:id="22"/>
      <w:bookmarkStart w:id="23" w:name="_Toc495680548"/>
      <w:r>
        <w:rPr>
          <w:rFonts w:ascii="Arial" w:hAnsi="Arial" w:eastAsia="宋体" w:cs="Arial"/>
          <w:b/>
          <w:sz w:val="24"/>
          <w:szCs w:val="24"/>
        </w:rPr>
        <w:t>特殊情况</w:t>
      </w:r>
      <w:bookmarkEnd w:id="23"/>
    </w:p>
    <w:p w14:paraId="49ADC235">
      <w:pPr>
        <w:overflowPunct w:val="0"/>
        <w:snapToGrid w:val="0"/>
        <w:spacing w:line="300" w:lineRule="auto"/>
        <w:jc w:val="both"/>
        <w:rPr>
          <w:rFonts w:ascii="Arial" w:hAnsi="Arial" w:eastAsia="宋体" w:cs="Arial"/>
          <w:b/>
          <w:bCs/>
          <w:sz w:val="24"/>
          <w:szCs w:val="24"/>
        </w:rPr>
      </w:pPr>
    </w:p>
    <w:p w14:paraId="6B6B79F5">
      <w:pPr>
        <w:pStyle w:val="17"/>
        <w:numPr>
          <w:ilvl w:val="0"/>
          <w:numId w:val="8"/>
        </w:numPr>
        <w:tabs>
          <w:tab w:val="left" w:pos="1274"/>
        </w:tabs>
        <w:overflowPunct w:val="0"/>
        <w:snapToGrid w:val="0"/>
        <w:spacing w:line="300" w:lineRule="auto"/>
        <w:ind w:left="1226" w:leftChars="335" w:hanging="489" w:hangingChars="203"/>
        <w:jc w:val="both"/>
        <w:outlineLvl w:val="1"/>
        <w:rPr>
          <w:rFonts w:ascii="Arial" w:hAnsi="Arial" w:eastAsia="宋体" w:cs="Arial"/>
          <w:sz w:val="24"/>
          <w:szCs w:val="24"/>
        </w:rPr>
      </w:pPr>
      <w:bookmarkStart w:id="24" w:name="_bookmark46"/>
      <w:bookmarkEnd w:id="24"/>
      <w:bookmarkStart w:id="25" w:name="A.__Transfer_of_IRB_Oversight_from_one_I"/>
      <w:bookmarkEnd w:id="25"/>
      <w:bookmarkStart w:id="26" w:name="_Toc495680549"/>
      <w:r>
        <w:rPr>
          <w:rFonts w:ascii="Arial" w:hAnsi="Arial" w:eastAsia="宋体" w:cs="Arial"/>
          <w:b/>
          <w:sz w:val="24"/>
          <w:szCs w:val="24"/>
        </w:rPr>
        <w:t>将IRB监督责任从一个IRB转移至同一机构的另一IRB以及暂时转移IRB审查责任</w:t>
      </w:r>
      <w:bookmarkEnd w:id="26"/>
    </w:p>
    <w:p w14:paraId="718B1E5C">
      <w:pPr>
        <w:overflowPunct w:val="0"/>
        <w:snapToGrid w:val="0"/>
        <w:spacing w:before="9" w:line="300" w:lineRule="auto"/>
        <w:jc w:val="both"/>
        <w:rPr>
          <w:rFonts w:ascii="Arial" w:hAnsi="Arial" w:eastAsia="宋体" w:cs="Arial"/>
          <w:b/>
          <w:bCs/>
          <w:sz w:val="24"/>
          <w:szCs w:val="24"/>
        </w:rPr>
      </w:pPr>
    </w:p>
    <w:p w14:paraId="74C438A6">
      <w:pPr>
        <w:pStyle w:val="4"/>
        <w:overflowPunct w:val="0"/>
        <w:snapToGrid w:val="0"/>
        <w:spacing w:line="300" w:lineRule="auto"/>
        <w:ind w:left="755" w:leftChars="343"/>
        <w:jc w:val="both"/>
        <w:rPr>
          <w:rFonts w:ascii="Arial" w:hAnsi="Arial" w:cs="Arial"/>
        </w:rPr>
      </w:pPr>
      <w:r>
        <w:rPr>
          <w:rFonts w:ascii="Arial" w:hAnsi="Arial" w:cs="Arial"/>
        </w:rPr>
        <w:t>监督责任可能会因后勤、行政和/或预算原因而从一个IRB转移至同一机构内运行的另一IRB（例如整合IRB工作量）。当自然灾害或其他破坏性事件暂时中止原始IRB运作时，也可能需暂时转移监督责任；在这种情况下，仅进行暂时转移，因为IRB审查责任最终将归还给原始IRB。</w:t>
      </w:r>
    </w:p>
    <w:p w14:paraId="6299B45F">
      <w:pPr>
        <w:overflowPunct w:val="0"/>
        <w:snapToGrid w:val="0"/>
        <w:spacing w:line="300" w:lineRule="auto"/>
        <w:ind w:left="755" w:leftChars="343"/>
        <w:jc w:val="both"/>
        <w:rPr>
          <w:rFonts w:ascii="Arial" w:hAnsi="Arial" w:eastAsia="宋体" w:cs="Arial"/>
          <w:sz w:val="24"/>
          <w:szCs w:val="24"/>
        </w:rPr>
      </w:pPr>
    </w:p>
    <w:p w14:paraId="5D01BA18">
      <w:pPr>
        <w:pStyle w:val="4"/>
        <w:overflowPunct w:val="0"/>
        <w:snapToGrid w:val="0"/>
        <w:spacing w:line="300" w:lineRule="auto"/>
        <w:ind w:left="755" w:leftChars="343"/>
        <w:jc w:val="both"/>
        <w:rPr>
          <w:rFonts w:ascii="Arial" w:hAnsi="Arial" w:cs="Arial"/>
        </w:rPr>
      </w:pPr>
      <w:r>
        <w:rPr>
          <w:rFonts w:ascii="Arial" w:hAnsi="Arial" w:cs="Arial"/>
        </w:rPr>
        <w:t>当在同一机构内进行转移（例如，由于后勤、预算或行政原因）时，通常预期转移过程比上文第III节所述的转移过程更加便捷，因为并非八个步骤均适用。例如，当将监督责任转移至同一机构的另一IRB时，接收IRB可以决定在原始IRB确定的下次连续审查日期时才进行初始或持续审查，因为此类审查可能不会实质性地加强受试者的保护。第III节提供的机构间转移指南可帮助机构间转移。</w:t>
      </w:r>
    </w:p>
    <w:p w14:paraId="2033B2C1">
      <w:pPr>
        <w:overflowPunct w:val="0"/>
        <w:snapToGrid w:val="0"/>
        <w:spacing w:line="300" w:lineRule="auto"/>
        <w:ind w:left="755" w:leftChars="343"/>
        <w:jc w:val="both"/>
        <w:rPr>
          <w:rFonts w:ascii="Arial" w:hAnsi="Arial" w:eastAsia="宋体" w:cs="Arial"/>
          <w:sz w:val="24"/>
          <w:szCs w:val="24"/>
        </w:rPr>
      </w:pPr>
    </w:p>
    <w:p w14:paraId="301024BA">
      <w:pPr>
        <w:pStyle w:val="4"/>
        <w:overflowPunct w:val="0"/>
        <w:snapToGrid w:val="0"/>
        <w:spacing w:line="300" w:lineRule="auto"/>
        <w:ind w:left="755" w:leftChars="343"/>
        <w:jc w:val="both"/>
        <w:rPr>
          <w:rFonts w:ascii="Arial" w:hAnsi="Arial" w:cs="Arial"/>
        </w:rPr>
      </w:pPr>
      <w:r>
        <w:rPr>
          <w:rFonts w:ascii="Arial" w:hAnsi="Arial" w:cs="Arial"/>
        </w:rPr>
        <w:t>不论是在同一机构或不同机构内暂时转移IRB监督责任（例如，由于自然灾害），第III节提供的指导应可提供帮助，但并不是所有八个步骤均适用。实施监督责任转移的适当步骤取决于具体情况，包括转移原因和研究所产生的风险。</w:t>
      </w:r>
    </w:p>
    <w:p w14:paraId="699B4C2B">
      <w:pPr>
        <w:pStyle w:val="4"/>
        <w:overflowPunct w:val="0"/>
        <w:snapToGrid w:val="0"/>
        <w:spacing w:line="300" w:lineRule="auto"/>
        <w:ind w:left="755" w:leftChars="343"/>
        <w:jc w:val="both"/>
        <w:rPr>
          <w:rFonts w:ascii="Arial" w:hAnsi="Arial" w:cs="Arial"/>
        </w:rPr>
      </w:pPr>
      <w:r>
        <w:rPr>
          <w:rFonts w:ascii="Arial" w:hAnsi="Arial" w:cs="Arial"/>
        </w:rPr>
        <w:t>如果发生自然灾害，尽管最初仅需进行短暂转移，但在原始IRB能够履行其监督责任之前，最终可能需要附加时间。原始和接收IRB需要确保研究监督不会失效；在此过渡期间，应将不良事件报告给适当IRB等。</w:t>
      </w:r>
    </w:p>
    <w:p w14:paraId="2A192095">
      <w:pPr>
        <w:overflowPunct w:val="0"/>
        <w:snapToGrid w:val="0"/>
        <w:spacing w:before="2" w:line="300" w:lineRule="auto"/>
        <w:jc w:val="both"/>
        <w:rPr>
          <w:rFonts w:ascii="Arial" w:hAnsi="Arial" w:eastAsia="宋体" w:cs="Arial"/>
          <w:sz w:val="24"/>
          <w:szCs w:val="24"/>
        </w:rPr>
      </w:pPr>
    </w:p>
    <w:p w14:paraId="484E66E4">
      <w:pPr>
        <w:pStyle w:val="3"/>
        <w:numPr>
          <w:ilvl w:val="0"/>
          <w:numId w:val="8"/>
        </w:numPr>
        <w:tabs>
          <w:tab w:val="left" w:pos="1180"/>
        </w:tabs>
        <w:overflowPunct w:val="0"/>
        <w:snapToGrid w:val="0"/>
        <w:spacing w:line="300" w:lineRule="auto"/>
        <w:ind w:left="0" w:firstLine="783" w:firstLineChars="325"/>
        <w:jc w:val="both"/>
        <w:rPr>
          <w:rFonts w:ascii="Arial" w:hAnsi="Arial" w:cs="Arial"/>
          <w:b w:val="0"/>
          <w:bCs w:val="0"/>
        </w:rPr>
      </w:pPr>
      <w:bookmarkStart w:id="27" w:name="B.__Transfer_of_a_Clinical_Investigation"/>
      <w:bookmarkEnd w:id="27"/>
      <w:bookmarkStart w:id="28" w:name="_bookmark48"/>
      <w:bookmarkEnd w:id="28"/>
      <w:bookmarkStart w:id="29" w:name="_Toc495680550"/>
      <w:r>
        <w:rPr>
          <w:rFonts w:ascii="Arial" w:hAnsi="Arial" w:cs="Arial"/>
        </w:rPr>
        <w:t>将临床研究转移到需要IRB进行审查的新研究中心</w:t>
      </w:r>
      <w:bookmarkEnd w:id="29"/>
    </w:p>
    <w:p w14:paraId="50D18F5A">
      <w:pPr>
        <w:overflowPunct w:val="0"/>
        <w:snapToGrid w:val="0"/>
        <w:spacing w:before="1" w:line="300" w:lineRule="auto"/>
        <w:jc w:val="both"/>
        <w:rPr>
          <w:rFonts w:ascii="Arial" w:hAnsi="Arial" w:eastAsia="宋体" w:cs="Arial"/>
          <w:b/>
          <w:bCs/>
          <w:sz w:val="24"/>
          <w:szCs w:val="24"/>
        </w:rPr>
      </w:pPr>
    </w:p>
    <w:p w14:paraId="6BFD0101">
      <w:pPr>
        <w:pStyle w:val="4"/>
        <w:overflowPunct w:val="0"/>
        <w:snapToGrid w:val="0"/>
        <w:spacing w:line="300" w:lineRule="auto"/>
        <w:ind w:left="755" w:leftChars="343"/>
        <w:jc w:val="both"/>
        <w:rPr>
          <w:rFonts w:ascii="Arial" w:hAnsi="Arial" w:cs="Arial"/>
        </w:rPr>
      </w:pPr>
      <w:r>
        <w:rPr>
          <w:rFonts w:ascii="Arial" w:hAnsi="Arial" w:cs="Arial"/>
        </w:rPr>
        <w:t>当临床研究者搬迁到新地点时，申办者可以决定将临床研究转移至不同研究中心。由于转让需要变更研究（即在新位置进行研究，知情同意书修订，关键员工的可能变动等），申办者或研究者必须在实施此类变更前将此类变更提交给接收IRB，以供其审查和批准。</w:t>
      </w:r>
      <w:r>
        <w:rPr>
          <w:rStyle w:val="15"/>
          <w:rFonts w:ascii="Arial" w:hAnsi="Arial" w:cs="Arial"/>
        </w:rPr>
        <w:footnoteReference w:id="43"/>
      </w:r>
      <w:r>
        <w:rPr>
          <w:rFonts w:ascii="Arial" w:hAnsi="Arial" w:cs="Arial"/>
        </w:rPr>
        <w:t>在多数情况下，此类变更仅为研究的“微小变化”，IRB可以根据快速审查程序进行审查。</w:t>
      </w:r>
      <w:r>
        <w:rPr>
          <w:rStyle w:val="15"/>
          <w:rFonts w:ascii="Arial" w:hAnsi="Arial" w:cs="Arial"/>
        </w:rPr>
        <w:footnoteReference w:id="44"/>
      </w:r>
    </w:p>
    <w:p w14:paraId="00593061">
      <w:pPr>
        <w:overflowPunct w:val="0"/>
        <w:snapToGrid w:val="0"/>
        <w:spacing w:line="300" w:lineRule="auto"/>
        <w:jc w:val="both"/>
        <w:rPr>
          <w:rFonts w:ascii="Arial" w:hAnsi="Arial" w:eastAsia="宋体" w:cs="Arial"/>
          <w:sz w:val="24"/>
          <w:szCs w:val="24"/>
        </w:rPr>
      </w:pPr>
    </w:p>
    <w:p w14:paraId="00BAF019">
      <w:pPr>
        <w:pStyle w:val="4"/>
        <w:overflowPunct w:val="0"/>
        <w:snapToGrid w:val="0"/>
        <w:spacing w:line="300" w:lineRule="auto"/>
        <w:ind w:left="755" w:leftChars="343"/>
        <w:jc w:val="both"/>
        <w:rPr>
          <w:rFonts w:ascii="Arial" w:hAnsi="Arial" w:cs="Arial"/>
        </w:rPr>
      </w:pPr>
      <w:r>
        <w:rPr>
          <w:rFonts w:ascii="Arial" w:hAnsi="Arial" w:cs="Arial"/>
        </w:rPr>
        <w:t>搬至新研究中心可能会或可能不会变更IRB。如果对IRB变更进行审查，则第III节所述考虑因素应适用，除非必须进行初始或持续IRB审查（如果未进行初始或持续审查，IRB可能不会批准研究变更）。</w:t>
      </w:r>
      <w:r>
        <w:rPr>
          <w:rStyle w:val="15"/>
          <w:rFonts w:ascii="Arial" w:hAnsi="Arial" w:cs="Arial"/>
        </w:rPr>
        <w:footnoteReference w:id="45"/>
      </w:r>
    </w:p>
    <w:p w14:paraId="56C0392D">
      <w:pPr>
        <w:overflowPunct w:val="0"/>
        <w:snapToGrid w:val="0"/>
        <w:spacing w:before="3" w:line="300" w:lineRule="auto"/>
        <w:jc w:val="both"/>
        <w:rPr>
          <w:rFonts w:ascii="Arial" w:hAnsi="Arial" w:eastAsia="宋体" w:cs="Arial"/>
          <w:sz w:val="24"/>
          <w:szCs w:val="24"/>
        </w:rPr>
      </w:pPr>
    </w:p>
    <w:p w14:paraId="46480F88">
      <w:pPr>
        <w:pStyle w:val="4"/>
        <w:overflowPunct w:val="0"/>
        <w:snapToGrid w:val="0"/>
        <w:spacing w:line="300" w:lineRule="auto"/>
        <w:ind w:left="755" w:leftChars="343"/>
        <w:jc w:val="both"/>
        <w:rPr>
          <w:rFonts w:ascii="Arial" w:hAnsi="Arial" w:cs="Arial"/>
        </w:rPr>
      </w:pPr>
      <w:r>
        <w:rPr>
          <w:rFonts w:ascii="Arial" w:hAnsi="Arial" w:cs="Arial"/>
        </w:rPr>
        <w:t>FDA指出，即使IRB在将研究转移至新研究中心时保持不变，IRB仍需对新研究中心进行审查/批准，因为此类搬迁可使先前批准的研究出现变化。</w:t>
      </w:r>
      <w:r>
        <w:rPr>
          <w:rStyle w:val="15"/>
          <w:rFonts w:ascii="Arial" w:hAnsi="Arial" w:cs="Arial"/>
        </w:rPr>
        <w:footnoteReference w:id="46"/>
      </w:r>
      <w:r>
        <w:rPr>
          <w:rFonts w:ascii="Arial" w:hAnsi="Arial" w:cs="Arial"/>
        </w:rPr>
        <w:t>此外，申办者必须通知FDA研究中心、临床研究者和/或IRB的任何变更。对于药品或生物制剂研究，通常可以通过IND方案或信息修正进行通知，而对于器械研究，通常在IDE年度报告中进行通知。</w:t>
      </w:r>
      <w:r>
        <w:rPr>
          <w:rStyle w:val="15"/>
          <w:rFonts w:ascii="Arial" w:hAnsi="Arial" w:cs="Arial"/>
        </w:rPr>
        <w:footnoteReference w:id="47"/>
      </w:r>
    </w:p>
    <w:p w14:paraId="72CDD97A">
      <w:pPr>
        <w:overflowPunct w:val="0"/>
        <w:snapToGrid w:val="0"/>
        <w:spacing w:before="2" w:line="300" w:lineRule="auto"/>
        <w:jc w:val="both"/>
        <w:rPr>
          <w:rFonts w:ascii="Arial" w:hAnsi="Arial" w:eastAsia="宋体" w:cs="Arial"/>
          <w:sz w:val="24"/>
          <w:szCs w:val="24"/>
        </w:rPr>
      </w:pPr>
    </w:p>
    <w:p w14:paraId="1BE108FA">
      <w:pPr>
        <w:pStyle w:val="17"/>
        <w:numPr>
          <w:ilvl w:val="0"/>
          <w:numId w:val="1"/>
        </w:numPr>
        <w:snapToGrid w:val="0"/>
        <w:spacing w:line="300" w:lineRule="auto"/>
        <w:outlineLvl w:val="0"/>
        <w:rPr>
          <w:rFonts w:ascii="Arial" w:hAnsi="Arial" w:eastAsia="宋体" w:cs="Arial"/>
          <w:b/>
          <w:sz w:val="24"/>
          <w:szCs w:val="24"/>
        </w:rPr>
      </w:pPr>
      <w:bookmarkStart w:id="30" w:name="V.___ADDITIONAL_QUESTIONS_about_transfer"/>
      <w:bookmarkEnd w:id="30"/>
      <w:bookmarkStart w:id="31" w:name="_bookmark49"/>
      <w:bookmarkEnd w:id="31"/>
      <w:bookmarkStart w:id="32" w:name="_Toc495680551"/>
      <w:r>
        <w:rPr>
          <w:rFonts w:ascii="Arial" w:hAnsi="Arial" w:eastAsia="宋体" w:cs="Arial"/>
          <w:b/>
          <w:sz w:val="24"/>
          <w:szCs w:val="24"/>
        </w:rPr>
        <w:t>关于转移临床研究监督责任的其他问题</w:t>
      </w:r>
      <w:bookmarkEnd w:id="32"/>
    </w:p>
    <w:p w14:paraId="1E55DC86">
      <w:pPr>
        <w:overflowPunct w:val="0"/>
        <w:snapToGrid w:val="0"/>
        <w:spacing w:before="9" w:line="300" w:lineRule="auto"/>
        <w:jc w:val="both"/>
        <w:rPr>
          <w:rFonts w:ascii="Arial" w:hAnsi="Arial" w:eastAsia="宋体" w:cs="Arial"/>
          <w:b/>
          <w:bCs/>
          <w:sz w:val="24"/>
          <w:szCs w:val="24"/>
        </w:rPr>
      </w:pPr>
    </w:p>
    <w:p w14:paraId="69DE3B00">
      <w:pPr>
        <w:rPr>
          <w:rFonts w:ascii="Arial" w:hAnsi="Arial" w:eastAsia="宋体" w:cs="Arial"/>
          <w:sz w:val="24"/>
          <w:szCs w:val="24"/>
        </w:rPr>
      </w:pPr>
      <w:r>
        <w:rPr>
          <w:rFonts w:ascii="Arial" w:hAnsi="Arial" w:cs="Arial"/>
        </w:rPr>
        <w:br w:type="page"/>
      </w:r>
    </w:p>
    <w:p w14:paraId="28CE3481">
      <w:pPr>
        <w:pStyle w:val="4"/>
        <w:overflowPunct w:val="0"/>
        <w:snapToGrid w:val="0"/>
        <w:spacing w:line="300" w:lineRule="auto"/>
        <w:ind w:left="0"/>
        <w:jc w:val="both"/>
        <w:rPr>
          <w:rFonts w:ascii="Arial" w:hAnsi="Arial" w:cs="Arial"/>
        </w:rPr>
      </w:pPr>
      <w:r>
        <w:rPr>
          <w:rFonts w:ascii="Arial" w:hAnsi="Arial" w:cs="Arial"/>
        </w:rPr>
        <w:t>有时，在初始或持续审查转移临床研究期间或在监督责任转移的其他时间，原始或接收IRB可能存在无法通过与申办者或临床研究者进行沟通来解决的问题。</w:t>
      </w:r>
      <w:bookmarkStart w:id="33" w:name="_bookmark50"/>
      <w:bookmarkEnd w:id="33"/>
      <w:r>
        <w:rPr>
          <w:rFonts w:ascii="Arial" w:hAnsi="Arial" w:cs="Arial"/>
        </w:rPr>
        <w:t>在此类情况下，IRB可联系FDA以获得更多指南，受影响申办者和临床研究者也可联系FDA。请使用以下信息作为初始联系方式：</w:t>
      </w:r>
    </w:p>
    <w:p w14:paraId="394AF86E">
      <w:pPr>
        <w:pStyle w:val="17"/>
        <w:numPr>
          <w:ilvl w:val="0"/>
          <w:numId w:val="9"/>
        </w:numPr>
        <w:tabs>
          <w:tab w:val="left" w:pos="1560"/>
        </w:tabs>
        <w:overflowPunct w:val="0"/>
        <w:snapToGrid w:val="0"/>
        <w:spacing w:before="103" w:line="300" w:lineRule="auto"/>
        <w:ind w:left="1017" w:leftChars="300" w:hanging="357"/>
        <w:jc w:val="both"/>
        <w:rPr>
          <w:rFonts w:ascii="Arial" w:hAnsi="Arial" w:eastAsia="宋体" w:cs="Arial"/>
          <w:sz w:val="24"/>
          <w:szCs w:val="24"/>
        </w:rPr>
      </w:pPr>
      <w:r>
        <w:rPr>
          <w:rFonts w:ascii="Arial" w:hAnsi="Arial" w:eastAsia="宋体" w:cs="Arial"/>
          <w:sz w:val="24"/>
          <w:szCs w:val="24"/>
        </w:rPr>
        <w:t>生物制剂评价和研究中心（CBER） - 生物研究监控处，检验和监测司，符合性与生物制剂质量办公室</w:t>
      </w:r>
    </w:p>
    <w:p w14:paraId="5BEB11A8">
      <w:pPr>
        <w:pStyle w:val="4"/>
        <w:numPr>
          <w:ilvl w:val="0"/>
          <w:numId w:val="10"/>
        </w:numPr>
        <w:tabs>
          <w:tab w:val="left" w:pos="1932"/>
        </w:tabs>
        <w:overflowPunct w:val="0"/>
        <w:snapToGrid w:val="0"/>
        <w:spacing w:before="199" w:line="300" w:lineRule="auto"/>
        <w:ind w:firstLine="938"/>
        <w:jc w:val="both"/>
        <w:rPr>
          <w:rFonts w:ascii="Arial" w:hAnsi="Arial" w:cs="Arial"/>
        </w:rPr>
      </w:pPr>
      <w:r>
        <w:rPr>
          <w:rFonts w:ascii="Arial" w:hAnsi="Arial" w:cs="Arial"/>
        </w:rPr>
        <w:t>电话：(301) 827-6221</w:t>
      </w:r>
    </w:p>
    <w:p w14:paraId="63CE7207">
      <w:pPr>
        <w:pStyle w:val="4"/>
        <w:numPr>
          <w:ilvl w:val="0"/>
          <w:numId w:val="10"/>
        </w:numPr>
        <w:tabs>
          <w:tab w:val="left" w:pos="1932"/>
        </w:tabs>
        <w:overflowPunct w:val="0"/>
        <w:snapToGrid w:val="0"/>
        <w:spacing w:before="199" w:line="300" w:lineRule="auto"/>
        <w:ind w:firstLine="938"/>
        <w:jc w:val="both"/>
        <w:rPr>
          <w:rFonts w:ascii="Arial" w:hAnsi="Arial" w:cs="Arial"/>
        </w:rPr>
      </w:pPr>
      <w:r>
        <w:rPr>
          <w:rFonts w:ascii="Arial" w:hAnsi="Arial" w:cs="Arial"/>
        </w:rPr>
        <w:t>电子邮箱：</w:t>
      </w:r>
      <w:r>
        <w:fldChar w:fldCharType="begin"/>
      </w:r>
      <w:r>
        <w:instrText xml:space="preserve"> HYPERLINK "mailto:industry.biologics@fda.gov" \h </w:instrText>
      </w:r>
      <w:r>
        <w:fldChar w:fldCharType="separate"/>
      </w:r>
      <w:r>
        <w:rPr>
          <w:rFonts w:ascii="Arial" w:hAnsi="Arial" w:cs="Arial"/>
          <w:color w:val="0000FF"/>
          <w:u w:val="single" w:color="0000FF"/>
        </w:rPr>
        <w:t>industry.biologics@fda.gov</w:t>
      </w:r>
      <w:r>
        <w:rPr>
          <w:rFonts w:ascii="Arial" w:hAnsi="Arial" w:cs="Arial"/>
          <w:color w:val="0000FF"/>
          <w:u w:val="single" w:color="0000FF"/>
        </w:rPr>
        <w:fldChar w:fldCharType="end"/>
      </w:r>
    </w:p>
    <w:p w14:paraId="3E8B1D93">
      <w:pPr>
        <w:pStyle w:val="17"/>
        <w:numPr>
          <w:ilvl w:val="0"/>
          <w:numId w:val="9"/>
        </w:numPr>
        <w:tabs>
          <w:tab w:val="left" w:pos="1560"/>
        </w:tabs>
        <w:overflowPunct w:val="0"/>
        <w:snapToGrid w:val="0"/>
        <w:spacing w:before="103" w:line="300" w:lineRule="auto"/>
        <w:ind w:left="1017" w:leftChars="300" w:hanging="357"/>
        <w:jc w:val="both"/>
        <w:rPr>
          <w:rFonts w:ascii="Arial" w:hAnsi="Arial" w:eastAsia="宋体" w:cs="Arial"/>
          <w:sz w:val="24"/>
          <w:szCs w:val="24"/>
        </w:rPr>
      </w:pPr>
      <w:r>
        <w:rPr>
          <w:rFonts w:ascii="Arial" w:hAnsi="Arial" w:eastAsia="宋体" w:cs="Arial"/>
          <w:sz w:val="24"/>
          <w:szCs w:val="24"/>
        </w:rPr>
        <w:t>药品评价和研究中心（CDER） - 科学研究办公室，合规办公室</w:t>
      </w:r>
    </w:p>
    <w:p w14:paraId="4E2CA7BE">
      <w:pPr>
        <w:pStyle w:val="4"/>
        <w:numPr>
          <w:ilvl w:val="0"/>
          <w:numId w:val="10"/>
        </w:numPr>
        <w:tabs>
          <w:tab w:val="left" w:pos="1932"/>
        </w:tabs>
        <w:overflowPunct w:val="0"/>
        <w:snapToGrid w:val="0"/>
        <w:spacing w:before="199" w:line="300" w:lineRule="auto"/>
        <w:ind w:firstLine="938"/>
        <w:jc w:val="both"/>
        <w:rPr>
          <w:rFonts w:ascii="Arial" w:hAnsi="Arial" w:cs="Arial"/>
        </w:rPr>
      </w:pPr>
      <w:r>
        <w:rPr>
          <w:rFonts w:ascii="Arial" w:hAnsi="Arial" w:cs="Arial"/>
        </w:rPr>
        <w:t>电话：(301) 796-3150</w:t>
      </w:r>
    </w:p>
    <w:p w14:paraId="3B240DDE">
      <w:pPr>
        <w:pStyle w:val="4"/>
        <w:numPr>
          <w:ilvl w:val="0"/>
          <w:numId w:val="10"/>
        </w:numPr>
        <w:tabs>
          <w:tab w:val="left" w:pos="1932"/>
        </w:tabs>
        <w:overflowPunct w:val="0"/>
        <w:snapToGrid w:val="0"/>
        <w:spacing w:before="199" w:line="300" w:lineRule="auto"/>
        <w:ind w:firstLine="938"/>
        <w:jc w:val="both"/>
        <w:rPr>
          <w:rFonts w:ascii="Arial" w:hAnsi="Arial" w:cs="Arial"/>
        </w:rPr>
      </w:pPr>
      <w:r>
        <w:rPr>
          <w:rFonts w:ascii="Arial" w:hAnsi="Arial" w:cs="Arial"/>
        </w:rPr>
        <w:t>电子邮箱：</w:t>
      </w:r>
      <w:r>
        <w:fldChar w:fldCharType="begin"/>
      </w:r>
      <w:r>
        <w:instrText xml:space="preserve"> HYPERLINK "mailto:cder-osi@fda.hhs.gov" \h </w:instrText>
      </w:r>
      <w:r>
        <w:fldChar w:fldCharType="separate"/>
      </w:r>
      <w:r>
        <w:rPr>
          <w:rFonts w:ascii="Arial" w:hAnsi="Arial" w:cs="Arial"/>
          <w:color w:val="0000FF"/>
          <w:u w:val="single" w:color="0000FF"/>
        </w:rPr>
        <w:t>cder-osi@fda.hhs.gov</w:t>
      </w:r>
      <w:r>
        <w:rPr>
          <w:rFonts w:ascii="Arial" w:hAnsi="Arial" w:cs="Arial"/>
          <w:color w:val="0000FF"/>
          <w:u w:val="single" w:color="0000FF"/>
        </w:rPr>
        <w:fldChar w:fldCharType="end"/>
      </w:r>
    </w:p>
    <w:p w14:paraId="712B4A83">
      <w:pPr>
        <w:pStyle w:val="17"/>
        <w:numPr>
          <w:ilvl w:val="0"/>
          <w:numId w:val="9"/>
        </w:numPr>
        <w:tabs>
          <w:tab w:val="left" w:pos="1560"/>
        </w:tabs>
        <w:overflowPunct w:val="0"/>
        <w:snapToGrid w:val="0"/>
        <w:spacing w:before="103" w:line="300" w:lineRule="auto"/>
        <w:ind w:left="1017" w:leftChars="300" w:hanging="357"/>
        <w:jc w:val="both"/>
        <w:rPr>
          <w:rFonts w:ascii="Arial" w:hAnsi="Arial" w:eastAsia="宋体" w:cs="Arial"/>
          <w:sz w:val="24"/>
          <w:szCs w:val="24"/>
        </w:rPr>
      </w:pPr>
      <w:r>
        <w:rPr>
          <w:rFonts w:ascii="Arial" w:hAnsi="Arial" w:eastAsia="宋体" w:cs="Arial"/>
          <w:sz w:val="24"/>
          <w:szCs w:val="24"/>
        </w:rPr>
        <w:t>器械和放射卫生中心（CDRH） - 生物研究监控司，合规办公室</w:t>
      </w:r>
    </w:p>
    <w:p w14:paraId="41B6FE02">
      <w:pPr>
        <w:pStyle w:val="4"/>
        <w:numPr>
          <w:ilvl w:val="0"/>
          <w:numId w:val="10"/>
        </w:numPr>
        <w:tabs>
          <w:tab w:val="left" w:pos="1932"/>
        </w:tabs>
        <w:overflowPunct w:val="0"/>
        <w:snapToGrid w:val="0"/>
        <w:spacing w:before="199" w:line="300" w:lineRule="auto"/>
        <w:ind w:firstLine="938"/>
        <w:jc w:val="both"/>
        <w:rPr>
          <w:rFonts w:ascii="Arial" w:hAnsi="Arial" w:cs="Arial"/>
        </w:rPr>
      </w:pPr>
      <w:r>
        <w:rPr>
          <w:rFonts w:ascii="Arial" w:hAnsi="Arial" w:cs="Arial"/>
        </w:rPr>
        <w:t>电话：(301) 796-5490</w:t>
      </w:r>
    </w:p>
    <w:p w14:paraId="5E52FF2D">
      <w:pPr>
        <w:pStyle w:val="4"/>
        <w:numPr>
          <w:ilvl w:val="0"/>
          <w:numId w:val="10"/>
        </w:numPr>
        <w:tabs>
          <w:tab w:val="left" w:pos="1932"/>
        </w:tabs>
        <w:overflowPunct w:val="0"/>
        <w:snapToGrid w:val="0"/>
        <w:spacing w:before="199" w:line="300" w:lineRule="auto"/>
        <w:ind w:firstLine="938"/>
        <w:jc w:val="both"/>
        <w:rPr>
          <w:rFonts w:ascii="Arial" w:hAnsi="Arial" w:cs="Arial"/>
        </w:rPr>
      </w:pPr>
      <w:r>
        <w:rPr>
          <w:rFonts w:ascii="Arial" w:hAnsi="Arial" w:cs="Arial"/>
        </w:rPr>
        <w:t>电子邮箱：</w:t>
      </w:r>
      <w:r>
        <w:fldChar w:fldCharType="begin"/>
      </w:r>
      <w:r>
        <w:instrText xml:space="preserve"> HYPERLINK "mailto:bimo@cdrh.fda.gov" \h </w:instrText>
      </w:r>
      <w:r>
        <w:fldChar w:fldCharType="separate"/>
      </w:r>
      <w:r>
        <w:rPr>
          <w:rFonts w:ascii="Arial" w:hAnsi="Arial" w:cs="Arial"/>
          <w:color w:val="0000FF"/>
          <w:u w:val="single" w:color="0000FF"/>
        </w:rPr>
        <w:t>bimo@cdrh.fda.gov</w:t>
      </w:r>
      <w:r>
        <w:rPr>
          <w:rFonts w:ascii="Arial" w:hAnsi="Arial" w:cs="Arial"/>
          <w:color w:val="0000FF"/>
          <w:u w:val="single" w:color="0000FF"/>
        </w:rPr>
        <w:fldChar w:fldCharType="end"/>
      </w:r>
    </w:p>
    <w:p w14:paraId="616930B0">
      <w:pPr>
        <w:overflowPunct w:val="0"/>
        <w:snapToGrid w:val="0"/>
        <w:spacing w:before="8" w:line="300" w:lineRule="auto"/>
        <w:jc w:val="both"/>
        <w:rPr>
          <w:rFonts w:ascii="Arial" w:hAnsi="Arial" w:eastAsia="宋体" w:cs="Arial"/>
          <w:sz w:val="24"/>
          <w:szCs w:val="24"/>
        </w:rPr>
      </w:pPr>
    </w:p>
    <w:p w14:paraId="58F871A5">
      <w:pPr>
        <w:pStyle w:val="4"/>
        <w:overflowPunct w:val="0"/>
        <w:snapToGrid w:val="0"/>
        <w:spacing w:before="69" w:line="300" w:lineRule="auto"/>
        <w:ind w:left="0"/>
        <w:jc w:val="both"/>
        <w:rPr>
          <w:rFonts w:ascii="Arial" w:hAnsi="Arial" w:cs="Arial"/>
        </w:rPr>
      </w:pPr>
      <w:r>
        <w:rPr>
          <w:rFonts w:ascii="Arial" w:hAnsi="Arial" w:cs="Arial"/>
        </w:rPr>
        <w:t>有关如何理解该指南的具体问题，请通过电话（301）796-8340或电子邮件</w:t>
      </w:r>
      <w:r>
        <w:fldChar w:fldCharType="begin"/>
      </w:r>
      <w:r>
        <w:instrText xml:space="preserve"> HYPERLINK "mailto:gcp.questions@fda.hhs.gov" \h </w:instrText>
      </w:r>
      <w:r>
        <w:fldChar w:fldCharType="separate"/>
      </w:r>
      <w:r>
        <w:rPr>
          <w:rFonts w:ascii="Arial" w:hAnsi="Arial" w:cs="Arial"/>
          <w:color w:val="0000FF"/>
          <w:u w:val="single" w:color="0000FF"/>
        </w:rPr>
        <w:t>gcp.questions@fda.hhs.gov</w:t>
      </w:r>
      <w:r>
        <w:rPr>
          <w:rFonts w:ascii="Arial" w:hAnsi="Arial" w:cs="Arial"/>
          <w:color w:val="0000FF"/>
          <w:u w:val="single" w:color="0000FF"/>
        </w:rPr>
        <w:fldChar w:fldCharType="end"/>
      </w:r>
      <w:r>
        <w:rPr>
          <w:rFonts w:ascii="Arial" w:hAnsi="Arial" w:cs="Arial"/>
        </w:rPr>
        <w:t>与FDA联系。</w:t>
      </w:r>
    </w:p>
    <w:p w14:paraId="489C9DE8">
      <w:pPr>
        <w:pBdr>
          <w:top w:val="single" w:color="auto" w:sz="18" w:space="1"/>
        </w:pBdr>
        <w:overflowPunct w:val="0"/>
        <w:snapToGrid w:val="0"/>
        <w:spacing w:before="3" w:line="300" w:lineRule="auto"/>
        <w:rPr>
          <w:rFonts w:hint="eastAsia" w:eastAsia="宋体"/>
          <w:lang w:eastAsia="zh-CN"/>
        </w:rPr>
      </w:pPr>
    </w:p>
    <w:p w14:paraId="44DD1F20">
      <w:pPr>
        <w:pBdr>
          <w:top w:val="single" w:color="auto" w:sz="18" w:space="1"/>
        </w:pBdr>
        <w:overflowPunct w:val="0"/>
        <w:snapToGrid w:val="0"/>
        <w:spacing w:before="3" w:line="300" w:lineRule="auto"/>
        <w:jc w:val="center"/>
        <w:rPr>
          <w:rFonts w:hint="eastAsia" w:eastAsia="宋体"/>
          <w:lang w:eastAsia="zh-CN"/>
        </w:rPr>
      </w:pPr>
    </w:p>
    <w:p w14:paraId="19616725">
      <w:pPr>
        <w:pBdr>
          <w:top w:val="single" w:color="auto" w:sz="18" w:space="1"/>
        </w:pBdr>
        <w:overflowPunct w:val="0"/>
        <w:snapToGrid w:val="0"/>
        <w:spacing w:before="3"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2240" w:h="15840"/>
      <w:pgMar w:top="1440" w:right="1800" w:bottom="1440" w:left="1800" w:header="750" w:footer="772"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831708438"/>
      <w:docPartObj>
        <w:docPartGallery w:val="AutoText"/>
      </w:docPartObj>
    </w:sdtPr>
    <w:sdtEndPr>
      <w:rPr>
        <w:rFonts w:ascii="Arial" w:hAnsi="Arial" w:cs="Arial"/>
      </w:rPr>
    </w:sdtEndPr>
    <w:sdtContent>
      <w:p w14:paraId="7BDBCB73">
        <w:pPr>
          <w:pStyle w:val="6"/>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3</w:t>
        </w:r>
        <w:r>
          <w:rPr>
            <w:rFonts w:ascii="Arial" w:hAnsi="Arial" w:cs="Arial"/>
          </w:rPr>
          <w:fldChar w:fldCharType="end"/>
        </w:r>
      </w:p>
    </w:sdtContent>
  </w:sdt>
  <w:p w14:paraId="7FD1B069">
    <w:pPr>
      <w:pStyle w:val="6"/>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6">
    <w:p>
      <w:r>
        <w:separator/>
      </w:r>
    </w:p>
  </w:footnote>
  <w:footnote w:type="continuationSeparator" w:id="97">
    <w:p>
      <w:r>
        <w:continuationSeparator/>
      </w:r>
    </w:p>
  </w:footnote>
  <w:footnote w:id="0">
    <w:p w14:paraId="05172EF3">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本指南由临床试验管理规范办公室、医疗产品和烟草办公室协同食品药品监督管理局的药品评价和研究中心（CDER）、生物制剂评价和研究中心（CBER）和器械和放射健康中心（CDRH）编制。</w:t>
      </w:r>
    </w:p>
  </w:footnote>
  <w:footnote w:id="1">
    <w:p w14:paraId="0A210E9F">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OHRP指南可在以下网址获得：</w:t>
      </w:r>
      <w:r>
        <w:fldChar w:fldCharType="begin"/>
      </w:r>
      <w:r>
        <w:instrText xml:space="preserve"> HYPERLINK "http://www.hhs.gov/ohrp/newsroom/rfc/transferdraftdoc.html" \h </w:instrText>
      </w:r>
      <w:r>
        <w:fldChar w:fldCharType="separate"/>
      </w:r>
      <w:r>
        <w:rPr>
          <w:rFonts w:ascii="Arial" w:hAnsi="Arial" w:eastAsia="宋体" w:cs="Arial"/>
          <w:color w:val="0000FF"/>
          <w:u w:val="single" w:color="0000FF"/>
        </w:rPr>
        <w:t>http：//www.hhs.gov/ohrp/newsroom/rfc/transferdraftdoc.html</w:t>
      </w:r>
      <w:r>
        <w:rPr>
          <w:rFonts w:ascii="Arial" w:hAnsi="Arial" w:eastAsia="宋体" w:cs="Arial"/>
          <w:color w:val="0000FF"/>
          <w:u w:val="single" w:color="0000FF"/>
        </w:rPr>
        <w:fldChar w:fldCharType="end"/>
      </w:r>
    </w:p>
  </w:footnote>
  <w:footnote w:id="2">
    <w:p w14:paraId="5F121366">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21 CFR 56.102(g)。</w:t>
      </w:r>
    </w:p>
  </w:footnote>
  <w:footnote w:id="3">
    <w:p w14:paraId="2540C383">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21 CFR 312.66。</w:t>
      </w:r>
    </w:p>
  </w:footnote>
  <w:footnote w:id="4">
    <w:p w14:paraId="4564253A">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21 CFR 812.40。</w:t>
      </w:r>
    </w:p>
  </w:footnote>
  <w:footnote w:id="5">
    <w:p w14:paraId="657AECDB">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w:t>
      </w:r>
      <w:r>
        <w:rPr>
          <w:rFonts w:hint="eastAsia" w:ascii="Arial" w:hAnsi="Arial" w:eastAsia="宋体" w:cs="Arial"/>
        </w:rPr>
        <w:t>参见例如</w:t>
      </w:r>
      <w:r>
        <w:rPr>
          <w:rFonts w:ascii="Arial" w:hAnsi="Arial" w:eastAsia="宋体" w:cs="Arial"/>
        </w:rPr>
        <w:t>21 CFR 56.109、21 CFR 312.66</w:t>
      </w:r>
      <w:r>
        <w:rPr>
          <w:rFonts w:hint="eastAsia" w:ascii="Arial" w:hAnsi="Arial" w:eastAsia="宋体" w:cs="Arial"/>
        </w:rPr>
        <w:t>和</w:t>
      </w:r>
      <w:r>
        <w:rPr>
          <w:rFonts w:ascii="Arial" w:hAnsi="Arial" w:eastAsia="宋体" w:cs="Arial"/>
        </w:rPr>
        <w:t>21 CFR 812.40</w:t>
      </w:r>
      <w:r>
        <w:rPr>
          <w:rFonts w:hint="eastAsia" w:ascii="Arial" w:hAnsi="Arial" w:eastAsia="宋体" w:cs="Arial"/>
        </w:rPr>
        <w:t>。</w:t>
      </w:r>
    </w:p>
  </w:footnote>
  <w:footnote w:id="6">
    <w:p w14:paraId="0B1D9AFA">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21 CFR 56.121</w:t>
      </w:r>
      <w:r>
        <w:rPr>
          <w:rFonts w:hint="eastAsia" w:ascii="Arial" w:hAnsi="Arial" w:eastAsia="宋体" w:cs="Arial"/>
        </w:rPr>
        <w:t>（</w:t>
      </w:r>
      <w:r>
        <w:rPr>
          <w:rFonts w:ascii="Arial" w:hAnsi="Arial" w:eastAsia="宋体" w:cs="Arial"/>
        </w:rPr>
        <w:t>b</w:t>
      </w:r>
      <w:r>
        <w:rPr>
          <w:rFonts w:hint="eastAsia" w:ascii="Arial" w:hAnsi="Arial" w:eastAsia="宋体" w:cs="Arial"/>
        </w:rPr>
        <w:t>）规定，如果</w:t>
      </w:r>
      <w:r>
        <w:rPr>
          <w:rFonts w:ascii="Arial" w:hAnsi="Arial" w:eastAsia="宋体" w:cs="Arial"/>
        </w:rPr>
        <w:t>FDA</w:t>
      </w:r>
      <w:r>
        <w:rPr>
          <w:rFonts w:hint="eastAsia" w:ascii="Arial" w:hAnsi="Arial" w:eastAsia="宋体" w:cs="Arial"/>
        </w:rPr>
        <w:t>确定</w:t>
      </w:r>
      <w:r>
        <w:rPr>
          <w:rFonts w:ascii="Arial" w:hAnsi="Arial" w:eastAsia="宋体" w:cs="Arial"/>
        </w:rPr>
        <w:t>IRB</w:t>
      </w:r>
      <w:r>
        <w:rPr>
          <w:rFonts w:hint="eastAsia" w:ascii="Arial" w:hAnsi="Arial" w:eastAsia="宋体" w:cs="Arial"/>
        </w:rPr>
        <w:t>拒绝或屡次未能遵守适用法规要求，</w:t>
      </w:r>
      <w:r>
        <w:rPr>
          <w:rFonts w:ascii="Arial" w:hAnsi="Arial" w:eastAsia="宋体" w:cs="Arial"/>
        </w:rPr>
        <w:t>且不合规会对临床研究中受试者的权利或福利产生不利影响，IRB可能会被取消资格。</w:t>
      </w:r>
    </w:p>
  </w:footnote>
  <w:footnote w:id="7">
    <w:p w14:paraId="7CC923E7">
      <w:pPr>
        <w:pStyle w:val="9"/>
        <w:rPr>
          <w:rFonts w:ascii="Arial" w:hAnsi="Arial" w:eastAsia="宋体" w:cs="Arial"/>
        </w:rPr>
      </w:pPr>
      <w:r>
        <w:rPr>
          <w:rStyle w:val="15"/>
          <w:rFonts w:ascii="Arial" w:hAnsi="Arial" w:eastAsia="宋体" w:cs="Arial"/>
        </w:rPr>
        <w:footnoteRef/>
      </w:r>
      <w:r>
        <w:rPr>
          <w:rFonts w:ascii="Arial" w:hAnsi="Arial" w:eastAsia="宋体" w:cs="Arial"/>
        </w:rPr>
        <w:t xml:space="preserve"> FDA</w:t>
      </w:r>
      <w:r>
        <w:rPr>
          <w:rFonts w:hint="eastAsia" w:ascii="Arial" w:hAnsi="Arial" w:eastAsia="宋体" w:cs="Arial"/>
        </w:rPr>
        <w:t>鼓励在适当情况下使用中央</w:t>
      </w:r>
      <w:r>
        <w:rPr>
          <w:rFonts w:ascii="Arial" w:hAnsi="Arial" w:eastAsia="宋体" w:cs="Arial"/>
        </w:rPr>
        <w:t>IRB</w:t>
      </w:r>
      <w:r>
        <w:rPr>
          <w:rFonts w:hint="eastAsia" w:ascii="Arial" w:hAnsi="Arial" w:eastAsia="宋体" w:cs="Arial"/>
        </w:rPr>
        <w:t>作为减少多中心临床试验期间负担和延迟的机制。集中</w:t>
      </w:r>
      <w:r>
        <w:rPr>
          <w:rFonts w:ascii="Arial" w:hAnsi="Arial" w:eastAsia="宋体" w:cs="Arial"/>
        </w:rPr>
        <w:t>式程序</w:t>
      </w:r>
      <w:r>
        <w:rPr>
          <w:rFonts w:hint="eastAsia" w:ascii="Arial" w:hAnsi="Arial" w:eastAsia="宋体" w:cs="Arial"/>
        </w:rPr>
        <w:t>旨在提高效率，减少无法帮助有效保护</w:t>
      </w:r>
      <w:r>
        <w:rPr>
          <w:rFonts w:ascii="Arial" w:hAnsi="Arial" w:eastAsia="宋体" w:cs="Arial"/>
        </w:rPr>
        <w:t>受试者</w:t>
      </w:r>
      <w:r>
        <w:rPr>
          <w:rFonts w:hint="eastAsia" w:ascii="Arial" w:hAnsi="Arial" w:eastAsia="宋体" w:cs="Arial"/>
        </w:rPr>
        <w:t>的重复工作。有关使用中央</w:t>
      </w:r>
      <w:r>
        <w:rPr>
          <w:rFonts w:ascii="Arial" w:hAnsi="Arial" w:eastAsia="宋体" w:cs="Arial"/>
        </w:rPr>
        <w:t>IRB</w:t>
      </w:r>
      <w:r>
        <w:rPr>
          <w:rFonts w:hint="eastAsia" w:ascii="Arial" w:hAnsi="Arial" w:eastAsia="宋体" w:cs="Arial"/>
        </w:rPr>
        <w:t>的更多信息，请参阅</w:t>
      </w:r>
      <w:r>
        <w:rPr>
          <w:rFonts w:ascii="Arial" w:hAnsi="Arial" w:eastAsia="宋体" w:cs="Arial"/>
        </w:rPr>
        <w:t>FDA</w:t>
      </w:r>
      <w:r>
        <w:rPr>
          <w:rFonts w:hint="eastAsia" w:ascii="Arial" w:hAnsi="Arial" w:eastAsia="宋体" w:cs="Arial"/>
        </w:rPr>
        <w:t>指南“在多中心临床试验中使用集中式</w:t>
      </w:r>
      <w:r>
        <w:rPr>
          <w:rFonts w:ascii="Arial" w:hAnsi="Arial" w:eastAsia="宋体" w:cs="Arial"/>
        </w:rPr>
        <w:t>IRB</w:t>
      </w:r>
      <w:r>
        <w:rPr>
          <w:rFonts w:hint="eastAsia" w:ascii="Arial" w:hAnsi="Arial" w:eastAsia="宋体" w:cs="Arial"/>
        </w:rPr>
        <w:t>审查过程”，网址：</w:t>
      </w:r>
      <w:r>
        <w:fldChar w:fldCharType="begin"/>
      </w:r>
      <w:r>
        <w:instrText xml:space="preserve"> HYPERLINK "http://www.fda.gov/RegulatoryInformation/Guidances/ucm127004.htm" </w:instrText>
      </w:r>
      <w:r>
        <w:fldChar w:fldCharType="separate"/>
      </w:r>
      <w:r>
        <w:rPr>
          <w:rStyle w:val="14"/>
          <w:rFonts w:ascii="Arial" w:hAnsi="Arial" w:cs="Arial"/>
        </w:rPr>
        <w:t>http</w:t>
      </w:r>
      <w:r>
        <w:rPr>
          <w:rStyle w:val="14"/>
          <w:rFonts w:ascii="Arial" w:hAnsi="Arial" w:eastAsia="宋体" w:cs="Arial"/>
        </w:rPr>
        <w:t>:</w:t>
      </w:r>
      <w:r>
        <w:rPr>
          <w:rStyle w:val="14"/>
          <w:rFonts w:ascii="Arial" w:hAnsi="Arial" w:cs="Arial"/>
        </w:rPr>
        <w:t>//www.fda.gov/RegulatoryInformation/Guidances/ucm127004.htm</w:t>
      </w:r>
      <w:r>
        <w:rPr>
          <w:rStyle w:val="14"/>
          <w:rFonts w:ascii="Arial" w:hAnsi="Arial" w:cs="Arial"/>
        </w:rPr>
        <w:fldChar w:fldCharType="end"/>
      </w:r>
    </w:p>
  </w:footnote>
  <w:footnote w:id="8">
    <w:p w14:paraId="7663D65F">
      <w:pPr>
        <w:snapToGrid w:val="0"/>
        <w:spacing w:line="300" w:lineRule="auto"/>
        <w:ind w:hanging="1"/>
        <w:jc w:val="both"/>
        <w:rPr>
          <w:rFonts w:ascii="Arial" w:hAnsi="Arial" w:eastAsia="宋体" w:cs="Arial"/>
          <w:sz w:val="18"/>
          <w:szCs w:val="18"/>
        </w:rPr>
      </w:pPr>
      <w:r>
        <w:rPr>
          <w:rStyle w:val="15"/>
          <w:rFonts w:ascii="Arial" w:hAnsi="Arial" w:eastAsia="宋体" w:cs="Arial"/>
          <w:sz w:val="18"/>
          <w:szCs w:val="18"/>
        </w:rPr>
        <w:footnoteRef/>
      </w:r>
      <w:r>
        <w:rPr>
          <w:rFonts w:ascii="Arial" w:hAnsi="Arial" w:eastAsia="宋体" w:cs="Arial"/>
          <w:sz w:val="18"/>
          <w:szCs w:val="18"/>
        </w:rPr>
        <w:t xml:space="preserve"> FDA</w:t>
      </w:r>
      <w:r>
        <w:rPr>
          <w:rFonts w:hint="eastAsia" w:ascii="Arial" w:hAnsi="Arial" w:eastAsia="宋体" w:cs="Arial"/>
          <w:sz w:val="18"/>
          <w:szCs w:val="18"/>
        </w:rPr>
        <w:t>认识到，将监督责任转移至同一机构的</w:t>
      </w:r>
      <w:r>
        <w:rPr>
          <w:rFonts w:ascii="Arial" w:hAnsi="Arial" w:eastAsia="宋体" w:cs="Arial"/>
          <w:sz w:val="18"/>
          <w:szCs w:val="18"/>
        </w:rPr>
        <w:t>IRB</w:t>
      </w:r>
      <w:r>
        <w:rPr>
          <w:rFonts w:hint="eastAsia" w:ascii="Arial" w:hAnsi="Arial" w:eastAsia="宋体" w:cs="Arial"/>
          <w:sz w:val="18"/>
          <w:szCs w:val="18"/>
        </w:rPr>
        <w:t>时，可能无需订立书面协议，因为转移过程可以通过机构的规定程序来处理</w:t>
      </w:r>
    </w:p>
    <w:p w14:paraId="37390C03">
      <w:pPr>
        <w:pStyle w:val="9"/>
        <w:jc w:val="both"/>
        <w:rPr>
          <w:rFonts w:ascii="Arial" w:hAnsi="Arial" w:eastAsia="宋体" w:cs="Arial"/>
        </w:rPr>
      </w:pPr>
      <w:r>
        <w:rPr>
          <w:rFonts w:ascii="Arial" w:hAnsi="Arial" w:eastAsia="宋体" w:cs="Arial"/>
        </w:rPr>
        <w:t>（假设此类程序涵盖第III节所述的所有适当步骤）。</w:t>
      </w:r>
    </w:p>
  </w:footnote>
  <w:footnote w:id="9">
    <w:p w14:paraId="257A3FD4">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w:t>
      </w:r>
      <w:r>
        <w:rPr>
          <w:rFonts w:hint="eastAsia" w:ascii="Arial" w:hAnsi="Arial" w:eastAsia="宋体" w:cs="Arial"/>
        </w:rPr>
        <w:t>一般来说，一些</w:t>
      </w:r>
      <w:r>
        <w:rPr>
          <w:rFonts w:ascii="Arial" w:hAnsi="Arial" w:eastAsia="宋体" w:cs="Arial"/>
        </w:rPr>
        <w:t>IRB</w:t>
      </w:r>
      <w:r>
        <w:rPr>
          <w:rFonts w:hint="eastAsia" w:ascii="Arial" w:hAnsi="Arial" w:eastAsia="宋体" w:cs="Arial"/>
        </w:rPr>
        <w:t>可能规定，在原始和接收</w:t>
      </w:r>
      <w:r>
        <w:rPr>
          <w:rFonts w:ascii="Arial" w:hAnsi="Arial" w:eastAsia="宋体" w:cs="Arial"/>
        </w:rPr>
        <w:t>IRB</w:t>
      </w:r>
      <w:r>
        <w:rPr>
          <w:rFonts w:hint="eastAsia" w:ascii="Arial" w:hAnsi="Arial" w:eastAsia="宋体" w:cs="Arial"/>
        </w:rPr>
        <w:t>签署最终转移合同或类似协议前，不得转移或接受研究。</w:t>
      </w:r>
    </w:p>
  </w:footnote>
  <w:footnote w:id="10">
    <w:p w14:paraId="080380B9">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w:t>
      </w:r>
      <w:r>
        <w:rPr>
          <w:rFonts w:hint="eastAsia" w:ascii="Arial" w:hAnsi="Arial" w:eastAsia="宋体" w:cs="Arial"/>
        </w:rPr>
        <w:t>在监督责任转移之前获得关于研究的有关记录应有助于接收</w:t>
      </w:r>
      <w:r>
        <w:rPr>
          <w:rFonts w:ascii="Arial" w:hAnsi="Arial" w:eastAsia="宋体" w:cs="Arial"/>
        </w:rPr>
        <w:t>IRB</w:t>
      </w:r>
      <w:r>
        <w:rPr>
          <w:rFonts w:hint="eastAsia" w:ascii="Arial" w:hAnsi="Arial" w:eastAsia="宋体" w:cs="Arial"/>
        </w:rPr>
        <w:t>在转移完成后履行其在此类研究中的程序和审查义务。</w:t>
      </w:r>
      <w:r>
        <w:rPr>
          <w:rFonts w:ascii="Arial" w:hAnsi="Arial" w:eastAsia="宋体" w:cs="Arial"/>
        </w:rPr>
        <w:t>例如，根据21 CFR 56.108（a）和（b），IRB必须遵循某些审查活动的书面程序；此类书面程序可能是确定应转移的记录的重要资源。</w:t>
      </w:r>
    </w:p>
  </w:footnote>
  <w:footnote w:id="11">
    <w:p w14:paraId="2A5B9A9F">
      <w:pPr>
        <w:pStyle w:val="9"/>
        <w:jc w:val="both"/>
        <w:rPr>
          <w:rFonts w:ascii="Arial" w:hAnsi="Arial" w:eastAsia="宋体" w:cs="Arial"/>
        </w:rPr>
      </w:pPr>
      <w:r>
        <w:rPr>
          <w:rStyle w:val="15"/>
          <w:rFonts w:ascii="Arial" w:hAnsi="Arial" w:eastAsia="宋体" w:cs="Arial"/>
        </w:rPr>
        <w:footnoteRef/>
      </w:r>
      <w:r>
        <w:rPr>
          <w:rFonts w:ascii="Arial" w:hAnsi="Arial" w:eastAsia="宋体" w:cs="Arial"/>
        </w:rPr>
        <w:t xml:space="preserve"> </w:t>
      </w:r>
      <w:r>
        <w:rPr>
          <w:rFonts w:hint="eastAsia" w:ascii="Arial" w:hAnsi="Arial" w:eastAsia="宋体" w:cs="Arial"/>
        </w:rPr>
        <w:t>在某些情况下，申办者可能不同意将此类记录转移给拟定</w:t>
      </w:r>
      <w:r>
        <w:rPr>
          <w:rFonts w:ascii="Arial" w:hAnsi="Arial" w:eastAsia="宋体" w:cs="Arial"/>
        </w:rPr>
        <w:t>IRB</w:t>
      </w:r>
      <w:r>
        <w:rPr>
          <w:rFonts w:hint="eastAsia" w:ascii="Arial" w:hAnsi="Arial" w:eastAsia="宋体" w:cs="Arial"/>
        </w:rPr>
        <w:t>。</w:t>
      </w:r>
      <w:r>
        <w:rPr>
          <w:rFonts w:ascii="Arial" w:hAnsi="Arial" w:eastAsia="宋体" w:cs="Arial"/>
        </w:rPr>
        <w:t>在此类情况下，申办者和/或研究者应尽快安排另一IRB进行监督。</w:t>
      </w:r>
    </w:p>
  </w:footnote>
  <w:footnote w:id="12">
    <w:p w14:paraId="0AAAE5A7">
      <w:pPr>
        <w:snapToGrid w:val="0"/>
        <w:spacing w:line="300" w:lineRule="auto"/>
        <w:rPr>
          <w:rFonts w:ascii="Arial" w:hAnsi="Arial" w:eastAsia="宋体" w:cs="Arial"/>
          <w:sz w:val="18"/>
          <w:szCs w:val="18"/>
        </w:rPr>
      </w:pPr>
      <w:r>
        <w:rPr>
          <w:rStyle w:val="15"/>
          <w:rFonts w:ascii="Arial" w:hAnsi="Arial" w:eastAsia="宋体" w:cs="Arial"/>
          <w:sz w:val="18"/>
          <w:szCs w:val="18"/>
        </w:rPr>
        <w:footnoteRef/>
      </w:r>
      <w:r>
        <w:rPr>
          <w:rFonts w:ascii="Arial" w:hAnsi="Arial" w:eastAsia="宋体" w:cs="Arial"/>
          <w:sz w:val="18"/>
          <w:szCs w:val="18"/>
        </w:rPr>
        <w:t xml:space="preserve"> </w:t>
      </w:r>
      <w:r>
        <w:rPr>
          <w:rFonts w:hint="eastAsia" w:ascii="Arial" w:hAnsi="Arial" w:eastAsia="宋体" w:cs="Arial"/>
          <w:sz w:val="18"/>
          <w:szCs w:val="18"/>
        </w:rPr>
        <w:t>有关创建、维护和存档电子记录以方便监管的更多信息，请参见</w:t>
      </w:r>
      <w:r>
        <w:rPr>
          <w:rFonts w:ascii="Arial" w:hAnsi="Arial" w:eastAsia="宋体" w:cs="Arial"/>
          <w:sz w:val="18"/>
          <w:szCs w:val="18"/>
        </w:rPr>
        <w:t>FDA</w:t>
      </w:r>
      <w:r>
        <w:rPr>
          <w:rFonts w:hint="eastAsia" w:ascii="Arial" w:hAnsi="Arial" w:eastAsia="宋体" w:cs="Arial"/>
          <w:sz w:val="18"/>
          <w:szCs w:val="18"/>
        </w:rPr>
        <w:t>指南“临床研究中使用的计算机化系统”，网址</w:t>
      </w:r>
      <w:r>
        <w:rPr>
          <w:rFonts w:ascii="Arial" w:hAnsi="Arial" w:eastAsia="宋体" w:cs="Arial"/>
          <w:sz w:val="18"/>
          <w:szCs w:val="18"/>
        </w:rPr>
        <w:t>：</w:t>
      </w:r>
      <w:r>
        <w:rPr>
          <w:rFonts w:ascii="Arial" w:hAnsi="Arial" w:eastAsia="宋体" w:cs="Arial"/>
          <w:color w:val="0000FF"/>
          <w:sz w:val="18"/>
          <w:szCs w:val="18"/>
          <w:u w:val="single"/>
        </w:rPr>
        <w:t>http://www.fda.gov/downloads/Drugs/GuidanceComplianceRegulatoryInformation/Guidances/UCM070266.pdf</w:t>
      </w:r>
      <w:r>
        <w:rPr>
          <w:rFonts w:ascii="Arial" w:hAnsi="Arial" w:eastAsia="宋体" w:cs="Arial"/>
          <w:sz w:val="18"/>
          <w:szCs w:val="18"/>
        </w:rPr>
        <w:t>.</w:t>
      </w:r>
    </w:p>
  </w:footnote>
  <w:footnote w:id="13">
    <w:p w14:paraId="7C194B78">
      <w:pPr>
        <w:pStyle w:val="9"/>
        <w:jc w:val="both"/>
        <w:rPr>
          <w:rFonts w:ascii="Arial" w:hAnsi="Arial" w:cs="Arial"/>
        </w:rPr>
      </w:pPr>
      <w:r>
        <w:rPr>
          <w:rStyle w:val="15"/>
          <w:rFonts w:ascii="Arial" w:hAnsi="Arial" w:cs="Arial"/>
        </w:rPr>
        <w:footnoteRef/>
      </w:r>
      <w:r>
        <w:rPr>
          <w:rFonts w:ascii="Arial" w:hAnsi="Arial" w:cs="Arial"/>
        </w:rPr>
        <w:t xml:space="preserve"> </w:t>
      </w:r>
      <w:r>
        <w:rPr>
          <w:rFonts w:hint="eastAsia" w:ascii="Arial" w:hAnsi="Arial" w:eastAsia="宋体" w:cs="Arial"/>
        </w:rPr>
        <w:t>在某些情况下（例如，如果原始和转移</w:t>
      </w:r>
      <w:r>
        <w:rPr>
          <w:rFonts w:ascii="Arial" w:hAnsi="Arial" w:eastAsia="宋体" w:cs="Arial"/>
        </w:rPr>
        <w:t>IRB</w:t>
      </w:r>
      <w:r>
        <w:rPr>
          <w:rFonts w:hint="eastAsia" w:ascii="Arial" w:hAnsi="Arial" w:eastAsia="宋体" w:cs="Arial"/>
        </w:rPr>
        <w:t>属于同一机构），</w:t>
      </w:r>
      <w:r>
        <w:rPr>
          <w:rFonts w:ascii="Arial" w:hAnsi="Arial" w:eastAsia="宋体" w:cs="Arial"/>
        </w:rPr>
        <w:t>FDA确认</w:t>
      </w:r>
      <w:r>
        <w:rPr>
          <w:rFonts w:hint="eastAsia" w:ascii="Arial" w:hAnsi="Arial" w:eastAsia="宋体" w:cs="Arial"/>
        </w:rPr>
        <w:t>记录可以存储在可相互访问的位置中。</w:t>
      </w:r>
      <w:r>
        <w:rPr>
          <w:rFonts w:ascii="Arial" w:hAnsi="Arial" w:eastAsia="宋体" w:cs="Arial"/>
        </w:rPr>
        <w:t>无需复制研究记录。如果此类文件可相互访问，IRB应妥善安排查看和使用此类文件。</w:t>
      </w:r>
    </w:p>
  </w:footnote>
  <w:footnote w:id="14">
    <w:p w14:paraId="3E63D44A">
      <w:pPr>
        <w:pStyle w:val="9"/>
        <w:jc w:val="both"/>
        <w:rPr>
          <w:rFonts w:ascii="Arial" w:hAnsi="Arial" w:cs="Arial"/>
        </w:rPr>
      </w:pPr>
      <w:r>
        <w:rPr>
          <w:rStyle w:val="15"/>
          <w:rFonts w:ascii="Arial" w:hAnsi="Arial" w:cs="Arial"/>
        </w:rPr>
        <w:footnoteRef/>
      </w:r>
      <w:r>
        <w:rPr>
          <w:rFonts w:ascii="Arial" w:hAnsi="Arial" w:cs="Arial"/>
        </w:rPr>
        <w:t xml:space="preserve"> </w:t>
      </w:r>
      <w:r>
        <w:rPr>
          <w:rFonts w:hint="eastAsia" w:ascii="Arial" w:hAnsi="Arial" w:eastAsia="宋体" w:cs="Arial"/>
        </w:rPr>
        <w:t>根据</w:t>
      </w:r>
      <w:r>
        <w:rPr>
          <w:rFonts w:ascii="Arial" w:hAnsi="Arial" w:eastAsia="宋体" w:cs="Arial"/>
        </w:rPr>
        <w:t>21 CFR 56.115</w:t>
      </w:r>
      <w:r>
        <w:rPr>
          <w:rFonts w:hint="eastAsia" w:ascii="Arial" w:hAnsi="Arial" w:eastAsia="宋体" w:cs="Arial"/>
        </w:rPr>
        <w:t>（</w:t>
      </w:r>
      <w:r>
        <w:rPr>
          <w:rFonts w:ascii="Arial" w:hAnsi="Arial" w:eastAsia="宋体" w:cs="Arial"/>
        </w:rPr>
        <w:t>a</w:t>
      </w:r>
      <w:r>
        <w:rPr>
          <w:rFonts w:hint="eastAsia" w:ascii="Arial" w:hAnsi="Arial" w:eastAsia="宋体" w:cs="Arial"/>
        </w:rPr>
        <w:t>）（</w:t>
      </w:r>
      <w:r>
        <w:rPr>
          <w:rFonts w:ascii="Arial" w:hAnsi="Arial" w:eastAsia="宋体" w:cs="Arial"/>
        </w:rPr>
        <w:t>4</w:t>
      </w:r>
      <w:r>
        <w:rPr>
          <w:rFonts w:hint="eastAsia" w:ascii="Arial" w:hAnsi="Arial" w:eastAsia="宋体" w:cs="Arial"/>
        </w:rPr>
        <w:t>），</w:t>
      </w:r>
      <w:r>
        <w:rPr>
          <w:rFonts w:ascii="Arial" w:hAnsi="Arial" w:eastAsia="宋体" w:cs="Arial"/>
        </w:rPr>
        <w:t>IRB</w:t>
      </w:r>
      <w:r>
        <w:rPr>
          <w:rFonts w:hint="eastAsia" w:ascii="Arial" w:hAnsi="Arial" w:eastAsia="宋体" w:cs="Arial"/>
        </w:rPr>
        <w:t>需要保存</w:t>
      </w:r>
      <w:r>
        <w:rPr>
          <w:rFonts w:ascii="Arial" w:hAnsi="Arial" w:eastAsia="宋体" w:cs="Arial"/>
        </w:rPr>
        <w:t>IRB</w:t>
      </w:r>
      <w:r>
        <w:rPr>
          <w:rFonts w:hint="eastAsia" w:ascii="Arial" w:hAnsi="Arial" w:eastAsia="宋体" w:cs="Arial"/>
        </w:rPr>
        <w:t>和研究者之间的所有通信副本。</w:t>
      </w:r>
    </w:p>
  </w:footnote>
  <w:footnote w:id="15">
    <w:p w14:paraId="59816798">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56.115</w:t>
      </w:r>
      <w:r>
        <w:rPr>
          <w:rFonts w:hint="eastAsia" w:ascii="Arial" w:hAnsi="Arial" w:eastAsia="宋体" w:cs="Arial"/>
        </w:rPr>
        <w:t>（</w:t>
      </w:r>
      <w:r>
        <w:rPr>
          <w:rFonts w:ascii="Arial" w:hAnsi="Arial" w:eastAsia="宋体" w:cs="Arial"/>
        </w:rPr>
        <w:t>b</w:t>
      </w:r>
      <w:r>
        <w:rPr>
          <w:rFonts w:hint="eastAsia" w:ascii="Arial" w:hAnsi="Arial" w:eastAsia="宋体" w:cs="Arial"/>
        </w:rPr>
        <w:t>）。</w:t>
      </w:r>
      <w:r>
        <w:rPr>
          <w:rFonts w:ascii="Arial" w:hAnsi="Arial" w:eastAsia="宋体" w:cs="Arial"/>
        </w:rPr>
        <w:t>IRB</w:t>
      </w:r>
      <w:r>
        <w:rPr>
          <w:rFonts w:hint="eastAsia" w:ascii="Arial" w:hAnsi="Arial" w:eastAsia="宋体" w:cs="Arial"/>
        </w:rPr>
        <w:t>本身可能有可补充</w:t>
      </w:r>
      <w:r>
        <w:rPr>
          <w:rFonts w:ascii="Arial" w:hAnsi="Arial" w:eastAsia="宋体" w:cs="Arial"/>
        </w:rPr>
        <w:t>FDA</w:t>
      </w:r>
      <w:r>
        <w:rPr>
          <w:rFonts w:hint="eastAsia" w:ascii="Arial" w:hAnsi="Arial" w:eastAsia="宋体" w:cs="Arial"/>
        </w:rPr>
        <w:t>要求的记录保存要求</w:t>
      </w:r>
      <w:r>
        <w:rPr>
          <w:rFonts w:ascii="Arial" w:hAnsi="Arial" w:eastAsia="宋体" w:cs="Arial"/>
        </w:rPr>
        <w:t>。</w:t>
      </w:r>
    </w:p>
  </w:footnote>
  <w:footnote w:id="16">
    <w:p w14:paraId="5DDAF2F8">
      <w:pPr>
        <w:pStyle w:val="9"/>
        <w:jc w:val="both"/>
        <w:rPr>
          <w:rFonts w:ascii="Arial" w:hAnsi="Arial" w:cs="Arial"/>
        </w:rPr>
      </w:pPr>
      <w:r>
        <w:rPr>
          <w:rStyle w:val="15"/>
          <w:rFonts w:ascii="Arial" w:hAnsi="Arial" w:cs="Arial"/>
        </w:rPr>
        <w:footnoteRef/>
      </w:r>
      <w:r>
        <w:rPr>
          <w:rFonts w:ascii="Arial" w:hAnsi="Arial" w:cs="Arial"/>
        </w:rPr>
        <w:t xml:space="preserve"> </w:t>
      </w:r>
      <w:r>
        <w:rPr>
          <w:rFonts w:hint="eastAsia" w:ascii="Arial" w:hAnsi="Arial" w:eastAsia="宋体" w:cs="Arial"/>
        </w:rPr>
        <w:t>如果存储空间存在问题，接收</w:t>
      </w:r>
      <w:r>
        <w:rPr>
          <w:rFonts w:ascii="Arial" w:hAnsi="Arial" w:eastAsia="宋体" w:cs="Arial"/>
        </w:rPr>
        <w:t>IRB</w:t>
      </w:r>
      <w:r>
        <w:rPr>
          <w:rFonts w:hint="eastAsia" w:ascii="Arial" w:hAnsi="Arial" w:eastAsia="宋体" w:cs="Arial"/>
        </w:rPr>
        <w:t>可以扫描记录以作为原件的认证副本，以便以电子方式存储，只要此类记录可以由</w:t>
      </w:r>
      <w:r>
        <w:rPr>
          <w:rFonts w:ascii="Arial" w:hAnsi="Arial" w:eastAsia="宋体" w:cs="Arial"/>
        </w:rPr>
        <w:t>FDA</w:t>
      </w:r>
      <w:r>
        <w:rPr>
          <w:rFonts w:hint="eastAsia" w:ascii="Arial" w:hAnsi="Arial" w:eastAsia="宋体" w:cs="Arial"/>
        </w:rPr>
        <w:t>进行检验和复印。有关其他信息，请参见</w:t>
      </w:r>
      <w:r>
        <w:rPr>
          <w:rFonts w:ascii="Arial" w:hAnsi="Arial" w:eastAsia="宋体" w:cs="Arial"/>
        </w:rPr>
        <w:t>FDA</w:t>
      </w:r>
      <w:r>
        <w:rPr>
          <w:rFonts w:hint="eastAsia" w:ascii="Arial" w:hAnsi="Arial" w:eastAsia="宋体" w:cs="Arial"/>
        </w:rPr>
        <w:t>指南“临床研究中使用的计算机化系统”，网址：</w:t>
      </w:r>
      <w:r>
        <w:fldChar w:fldCharType="begin"/>
      </w:r>
      <w:r>
        <w:instrText xml:space="preserve"> HYPERLINK "http://www.fda.gov/downloads/Drugs/GuidanceComplianceRegulatoryInformation/Guidances/UCM070266.pdf" \h </w:instrText>
      </w:r>
      <w:r>
        <w:fldChar w:fldCharType="separate"/>
      </w:r>
      <w:r>
        <w:rPr>
          <w:rFonts w:ascii="Arial" w:hAnsi="Arial" w:eastAsia="宋体" w:cs="Arial"/>
          <w:color w:val="0000FF"/>
          <w:u w:val="single" w:color="0000FF"/>
        </w:rPr>
        <w:t>http：//www.fda.gov/downloads/Drugs/GuidanceComplianceRegulatoryInformation/Guidances/UCM070266.pdf</w:t>
      </w:r>
      <w:r>
        <w:rPr>
          <w:rFonts w:ascii="Arial" w:hAnsi="Arial" w:eastAsia="宋体" w:cs="Arial"/>
          <w:color w:val="0000FF"/>
          <w:u w:val="single" w:color="0000FF"/>
        </w:rPr>
        <w:fldChar w:fldCharType="end"/>
      </w:r>
    </w:p>
  </w:footnote>
  <w:footnote w:id="17">
    <w:p w14:paraId="495FB13B">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选择适当记录保存安排时要考虑的因素可能包括转移原因以及临床研究性质和记录。一般来说（但需视具体情况而定），FDA希望接受记录保存责任的IRB根据21 CFR 56.115（b）的规定在IRB终止后至少保存说明文件3年，或将记录转移给接收IRB。</w:t>
      </w:r>
    </w:p>
  </w:footnote>
  <w:footnote w:id="18">
    <w:p w14:paraId="75AB04B2">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请参见21 CFR 56.103。</w:t>
      </w:r>
    </w:p>
  </w:footnote>
  <w:footnote w:id="19">
    <w:p w14:paraId="5BA57ABE">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请参见21 CFR 312.60，21 CFR 312.66，21 CFR 812.40，21 CFR 812.42和21 CFR 812.64。</w:t>
      </w:r>
    </w:p>
  </w:footnote>
  <w:footnote w:id="20">
    <w:p w14:paraId="011A7C7E">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在暂停或终止IRB对临床研究的批准时，IRB应制定程序，以确保当前招募的受试者权利和收益得到保护，且不会对受试者产生任何风险，在IRB和临床研究者试图解决剩余问题期间，对受试者进行适当保护。有关暂停或终止IRB批准的更多信息，贵公司可参考FDA指南，“临床研究审查后的IRB持续审查”，网址：</w:t>
      </w:r>
      <w:r>
        <w:fldChar w:fldCharType="begin"/>
      </w:r>
      <w:r>
        <w:instrText xml:space="preserve"> HYPERLINK "http://www.fda.gov/downloads/RegulatoryInformation/Guidances/UCM294558.pdf" \h </w:instrText>
      </w:r>
      <w:r>
        <w:fldChar w:fldCharType="separate"/>
      </w:r>
      <w:r>
        <w:rPr>
          <w:rFonts w:ascii="Arial" w:hAnsi="Arial" w:eastAsia="宋体" w:cs="Arial"/>
          <w:color w:val="0000FF"/>
          <w:u w:val="single" w:color="0000FF"/>
        </w:rPr>
        <w:t>http：//www.fda.gov/downloads/RegulatoryInformation/Guidances/UCM294558.pdf</w:t>
      </w:r>
      <w:r>
        <w:rPr>
          <w:rFonts w:ascii="Arial" w:hAnsi="Arial" w:eastAsia="宋体" w:cs="Arial"/>
          <w:color w:val="0000FF"/>
          <w:u w:val="single" w:color="0000FF"/>
        </w:rPr>
        <w:fldChar w:fldCharType="end"/>
      </w:r>
    </w:p>
  </w:footnote>
  <w:footnote w:id="21">
    <w:p w14:paraId="1E6AB8D6">
      <w:pPr>
        <w:pStyle w:val="9"/>
        <w:rPr>
          <w:rFonts w:ascii="Arial" w:hAnsi="Arial" w:eastAsia="宋体" w:cs="Arial"/>
        </w:rPr>
      </w:pPr>
      <w:r>
        <w:rPr>
          <w:rStyle w:val="15"/>
          <w:rFonts w:ascii="Arial" w:hAnsi="Arial" w:cs="Arial"/>
        </w:rPr>
        <w:footnoteRef/>
      </w:r>
      <w:r>
        <w:rPr>
          <w:rFonts w:ascii="Arial" w:hAnsi="Arial" w:cs="Arial"/>
        </w:rPr>
        <w:t xml:space="preserve"> </w:t>
      </w:r>
      <w:r>
        <w:rPr>
          <w:rFonts w:ascii="Arial" w:hAnsi="Arial" w:eastAsia="宋体" w:cs="Arial"/>
        </w:rPr>
        <w:t>请参见“临床研究审查后的IRB持续审查”，网址：</w:t>
      </w:r>
    </w:p>
    <w:p w14:paraId="1E169EB8">
      <w:pPr>
        <w:pStyle w:val="9"/>
        <w:rPr>
          <w:rFonts w:ascii="Arial" w:hAnsi="Arial" w:cs="Arial"/>
        </w:rPr>
      </w:pPr>
      <w:r>
        <w:fldChar w:fldCharType="begin"/>
      </w:r>
      <w:r>
        <w:instrText xml:space="preserve"> HYPERLINK "http://www.fda.gov/downloads/RegulatoryInformation/Guidances/UCM294558.pdf" \h </w:instrText>
      </w:r>
      <w:r>
        <w:fldChar w:fldCharType="separate"/>
      </w:r>
      <w:r>
        <w:rPr>
          <w:rFonts w:ascii="Arial" w:hAnsi="Arial" w:eastAsia="宋体" w:cs="Arial"/>
          <w:color w:val="0000FF"/>
          <w:u w:val="single" w:color="0000FF"/>
        </w:rPr>
        <w:t>http：//www.fda.gov/downloads/RegulatoryInformation/Guidances/UCM294558.pdf</w:t>
      </w:r>
      <w:r>
        <w:rPr>
          <w:rFonts w:ascii="Arial" w:hAnsi="Arial" w:eastAsia="宋体" w:cs="Arial"/>
          <w:color w:val="0000FF"/>
          <w:u w:val="single" w:color="0000FF"/>
        </w:rPr>
        <w:fldChar w:fldCharType="end"/>
      </w:r>
    </w:p>
  </w:footnote>
  <w:footnote w:id="22">
    <w:p w14:paraId="3CC576BA">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812.150（b）（2）。</w:t>
      </w:r>
    </w:p>
  </w:footnote>
  <w:footnote w:id="23">
    <w:p w14:paraId="22F13E20">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312.31（a）（2）。</w:t>
      </w:r>
    </w:p>
  </w:footnote>
  <w:footnote w:id="24">
    <w:p w14:paraId="10FE743A">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在其他情况下，FDA承认，一个IRB可能依赖于另一合格IRB的审查结果，避免重复工作。请参见21 CFR 56.114（合作研究）。</w:t>
      </w:r>
    </w:p>
  </w:footnote>
  <w:footnote w:id="25">
    <w:p w14:paraId="7564A1A6">
      <w:pPr>
        <w:snapToGrid w:val="0"/>
        <w:spacing w:line="300" w:lineRule="auto"/>
        <w:ind w:hanging="1"/>
        <w:jc w:val="both"/>
        <w:rPr>
          <w:rFonts w:ascii="Arial" w:hAnsi="Arial" w:eastAsia="宋体" w:cs="Arial"/>
          <w:sz w:val="18"/>
          <w:szCs w:val="18"/>
        </w:rPr>
      </w:pPr>
      <w:r>
        <w:rPr>
          <w:rStyle w:val="15"/>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有关适用于通过快速审查程序进行审查的研究类别，请参见：</w:t>
      </w:r>
    </w:p>
    <w:p w14:paraId="422C39F6">
      <w:pPr>
        <w:pStyle w:val="9"/>
        <w:jc w:val="both"/>
        <w:rPr>
          <w:rFonts w:ascii="Arial" w:hAnsi="Arial" w:cs="Arial"/>
        </w:rPr>
      </w:pPr>
      <w:r>
        <w:fldChar w:fldCharType="begin"/>
      </w:r>
      <w:r>
        <w:instrText xml:space="preserve"> HYPERLINK "http://www.fda.gov/ScienceResearch/SpecialTopics/RunningClinicalTrials/ucm119074.htm" \h </w:instrText>
      </w:r>
      <w:r>
        <w:fldChar w:fldCharType="separate"/>
      </w:r>
      <w:r>
        <w:rPr>
          <w:rFonts w:ascii="Arial" w:hAnsi="Arial" w:eastAsia="宋体" w:cs="Arial"/>
          <w:color w:val="0000FF"/>
          <w:u w:val="single" w:color="0000FF"/>
        </w:rPr>
        <w:t>http：//www.fda.gov/ScienceResearch/SpecialTopics/RunningClinicalTrials/ucm119074.htm</w:t>
      </w:r>
      <w:r>
        <w:rPr>
          <w:rFonts w:ascii="Arial" w:hAnsi="Arial" w:eastAsia="宋体" w:cs="Arial"/>
          <w:color w:val="0000FF"/>
          <w:u w:val="single" w:color="0000FF"/>
        </w:rPr>
        <w:fldChar w:fldCharType="end"/>
      </w:r>
    </w:p>
  </w:footnote>
  <w:footnote w:id="26">
    <w:p w14:paraId="158AF9C7">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812.66。</w:t>
      </w:r>
    </w:p>
  </w:footnote>
  <w:footnote w:id="27">
    <w:p w14:paraId="0060E05B">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请参见21 CFR 56.103（a），21 CFR 56.108（a）（4）和21 CFR 56.110（b）（2）。以下情况无需遵守一般要求：消除对受试者的明显直接危害所需的更改可在无需IRB审查和批准的情况下进行，如“21 CFR 56.108（a）（4）”所述。</w:t>
      </w:r>
    </w:p>
  </w:footnote>
  <w:footnote w:id="28">
    <w:p w14:paraId="0AF6FD30">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请参见，例如，21 CFR 56.103（a）。</w:t>
      </w:r>
    </w:p>
  </w:footnote>
  <w:footnote w:id="29">
    <w:p w14:paraId="3271EBBF">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有关IRB未批准和暂时允许已招募受试者继续参与研究的信息，请参见FDA指南，“临床研究批准后的IRB持续审查”，网址：</w:t>
      </w:r>
      <w:r>
        <w:fldChar w:fldCharType="begin"/>
      </w:r>
      <w:r>
        <w:instrText xml:space="preserve"> HYPERLINK "http://www.fda.gov/downloads/RegulatoryInformation/Guidances/UCM294558.pdf" \h </w:instrText>
      </w:r>
      <w:r>
        <w:fldChar w:fldCharType="separate"/>
      </w:r>
      <w:r>
        <w:rPr>
          <w:rFonts w:ascii="Arial" w:hAnsi="Arial" w:eastAsia="宋体" w:cs="Arial"/>
          <w:color w:val="0000FF"/>
        </w:rPr>
        <w:t>.</w:t>
      </w:r>
      <w:r>
        <w:rPr>
          <w:rFonts w:ascii="Arial" w:hAnsi="Arial" w:eastAsia="宋体" w:cs="Arial"/>
          <w:color w:val="0000FF"/>
          <w:u w:val="single" w:color="0000FF"/>
        </w:rPr>
        <w:t>http：//www.fda.gov/downloads/RegulatoryInformation/Guidances/UCM294558.pdf</w:t>
      </w:r>
      <w:r>
        <w:rPr>
          <w:rFonts w:ascii="Arial" w:hAnsi="Arial" w:eastAsia="宋体" w:cs="Arial"/>
          <w:color w:val="0000FF"/>
          <w:u w:val="single" w:color="0000FF"/>
        </w:rPr>
        <w:fldChar w:fldCharType="end"/>
      </w:r>
    </w:p>
  </w:footnote>
  <w:footnote w:id="30">
    <w:p w14:paraId="57E777B0">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56.113。</w:t>
      </w:r>
    </w:p>
  </w:footnote>
  <w:footnote w:id="31">
    <w:p w14:paraId="7FA29380">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Ibid。</w:t>
      </w:r>
    </w:p>
  </w:footnote>
  <w:footnote w:id="32">
    <w:p w14:paraId="560969DC">
      <w:pPr>
        <w:snapToGrid w:val="0"/>
        <w:spacing w:line="300" w:lineRule="auto"/>
        <w:jc w:val="both"/>
        <w:rPr>
          <w:rFonts w:ascii="Arial" w:hAnsi="Arial" w:eastAsia="宋体" w:cs="Arial"/>
          <w:sz w:val="18"/>
          <w:szCs w:val="18"/>
        </w:rPr>
      </w:pPr>
      <w:r>
        <w:rPr>
          <w:rStyle w:val="15"/>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有关报告IRB批准暂停或终止的更多信息，请参见FDA指南“临床研究批准后的IRB持续审查”，网址：</w:t>
      </w:r>
      <w:r>
        <w:fldChar w:fldCharType="begin"/>
      </w:r>
      <w:r>
        <w:instrText xml:space="preserve"> HYPERLINK "http://www.fda.gov/downloads/RegulatoryInformation/Guidances/UCM294558.pdf" \h </w:instrText>
      </w:r>
      <w:r>
        <w:fldChar w:fldCharType="separate"/>
      </w:r>
      <w:r>
        <w:rPr>
          <w:rFonts w:ascii="Arial" w:hAnsi="Arial" w:eastAsia="宋体" w:cs="Arial"/>
          <w:color w:val="0000FF"/>
          <w:sz w:val="18"/>
          <w:szCs w:val="18"/>
        </w:rPr>
        <w:t>.</w:t>
      </w:r>
      <w:r>
        <w:rPr>
          <w:rFonts w:ascii="Arial" w:hAnsi="Arial" w:eastAsia="宋体" w:cs="Arial"/>
          <w:color w:val="0000FF"/>
          <w:sz w:val="18"/>
          <w:szCs w:val="18"/>
          <w:u w:val="single" w:color="0000FF"/>
        </w:rPr>
        <w:t>http：//www.fda.gov/downloads/RegulatoryInformation/Guidances/UCM294558.pdf</w:t>
      </w:r>
      <w:r>
        <w:rPr>
          <w:rFonts w:ascii="Arial" w:hAnsi="Arial" w:eastAsia="宋体" w:cs="Arial"/>
          <w:color w:val="0000FF"/>
          <w:sz w:val="18"/>
          <w:szCs w:val="18"/>
          <w:u w:val="single" w:color="0000FF"/>
        </w:rPr>
        <w:fldChar w:fldCharType="end"/>
      </w:r>
      <w:bookmarkStart w:id="34" w:name="_bookmark36"/>
      <w:bookmarkEnd w:id="34"/>
    </w:p>
  </w:footnote>
  <w:footnote w:id="33">
    <w:p w14:paraId="5C4A7366">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本机构发现，器械法规由研究者负责。但是，IRB可能还会选择通知申办者终止或暂停情况以及相关原因。21 CFR 812.150(a)(2).</w:t>
      </w:r>
    </w:p>
  </w:footnote>
  <w:footnote w:id="34">
    <w:p w14:paraId="1E03A705">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50.25（a）（7）。</w:t>
      </w:r>
    </w:p>
  </w:footnote>
  <w:footnote w:id="35">
    <w:p w14:paraId="144C0F46">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FDA并不要求就此列更改重新获得已入选研究的受试者的同意（无论其是否主动参与）；但IRB可选择进行此操作。</w:t>
      </w:r>
    </w:p>
  </w:footnote>
  <w:footnote w:id="36">
    <w:p w14:paraId="6DC3C62E">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50.25（a）（7）。</w:t>
      </w:r>
    </w:p>
  </w:footnote>
  <w:footnote w:id="37">
    <w:p w14:paraId="76E9A88E">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56.109（a）和（b）。</w:t>
      </w:r>
    </w:p>
  </w:footnote>
  <w:footnote w:id="38">
    <w:p w14:paraId="5E8E214C">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参见例如21 CFR 56.109（a），21 CFR 312.31和21 CFR 812.35。</w:t>
      </w:r>
    </w:p>
  </w:footnote>
  <w:footnote w:id="39">
    <w:p w14:paraId="54BD0294">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312.31（a）。</w:t>
      </w:r>
    </w:p>
  </w:footnote>
  <w:footnote w:id="40">
    <w:p w14:paraId="5EE5B04B">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812.35（a）（4）。</w:t>
      </w:r>
    </w:p>
  </w:footnote>
  <w:footnote w:id="41">
    <w:p w14:paraId="751ADF29">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有关中央IRB和地方机构/ IRB在中央IRB审查方面的责任的更多信息，请参见“在多中心临床试验中使用集中式IRB审查过程”网址：</w:t>
      </w:r>
      <w:r>
        <w:fldChar w:fldCharType="begin"/>
      </w:r>
      <w:r>
        <w:instrText xml:space="preserve"> HYPERLINK "http://www.fda.gov/RegulatoryInformation/Guidances/ucm127004.htm" \h </w:instrText>
      </w:r>
      <w:r>
        <w:fldChar w:fldCharType="separate"/>
      </w:r>
      <w:r>
        <w:rPr>
          <w:rFonts w:ascii="Arial" w:hAnsi="Arial" w:eastAsia="宋体" w:cs="Arial"/>
          <w:color w:val="0000FF"/>
        </w:rPr>
        <w:t>.</w:t>
      </w:r>
      <w:r>
        <w:rPr>
          <w:rFonts w:ascii="Arial" w:hAnsi="Arial" w:eastAsia="宋体" w:cs="Arial"/>
          <w:color w:val="0000FF"/>
          <w:u w:val="single" w:color="0000FF"/>
        </w:rPr>
        <w:t>http：//www.fda.gov/RegulatoryInformation/Guidances/ucm127004.htm</w:t>
      </w:r>
      <w:r>
        <w:rPr>
          <w:rFonts w:ascii="Arial" w:hAnsi="Arial" w:eastAsia="宋体" w:cs="Arial"/>
          <w:color w:val="0000FF"/>
          <w:u w:val="single" w:color="0000FF"/>
        </w:rPr>
        <w:fldChar w:fldCharType="end"/>
      </w:r>
    </w:p>
  </w:footnote>
  <w:footnote w:id="42">
    <w:p w14:paraId="6A702269">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无法访问电子注册系统的IRB可以书面形式向食品药品监督管理局，特殊医疗项目办公室，临床试验管理规范办公室（地址：10903 New Hampshire Avenue，WO32-5103，Silver Spring，MD，20993-002）发送修订版本。</w:t>
      </w:r>
    </w:p>
  </w:footnote>
  <w:footnote w:id="43">
    <w:p w14:paraId="2AB8EC14">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56.108（a）（4）。对于药品/生物制剂研究，临床研究者负责根据21 CFR 312.66获得IRB批准；对于器械研究，申办者负责21 CFR 812.35（a）（1）和（3）获得IRB批准。</w:t>
      </w:r>
    </w:p>
  </w:footnote>
  <w:footnote w:id="44">
    <w:p w14:paraId="2755AB3E">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21 CFR 56.110（b）（2）。</w:t>
      </w:r>
    </w:p>
  </w:footnote>
  <w:footnote w:id="45">
    <w:p w14:paraId="224AD5F8">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请参见21 CFR 56.103（a），21 CFR 56.108（a）（4）和21 CFR 56.110（b）（2）。以下情况无需遵守一般要求：消除对受试者的明显直接危害所需的更改可在无需IRB审查和批准的情况下进行，如“21 CFR 56.108（a）（4）”所述。</w:t>
      </w:r>
    </w:p>
  </w:footnote>
  <w:footnote w:id="46">
    <w:p w14:paraId="00BA0982">
      <w:pPr>
        <w:pStyle w:val="9"/>
        <w:jc w:val="both"/>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Ibid。</w:t>
      </w:r>
    </w:p>
  </w:footnote>
  <w:footnote w:id="47">
    <w:p w14:paraId="58F9441F">
      <w:pPr>
        <w:overflowPunct w:val="0"/>
        <w:snapToGrid w:val="0"/>
        <w:spacing w:line="300" w:lineRule="auto"/>
        <w:jc w:val="both"/>
        <w:rPr>
          <w:rFonts w:ascii="Arial" w:hAnsi="Arial" w:cs="Arial"/>
          <w:sz w:val="18"/>
          <w:szCs w:val="18"/>
        </w:rPr>
      </w:pPr>
      <w:r>
        <w:rPr>
          <w:rStyle w:val="15"/>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请参见21 CFR 312.30，21 CFR 312.31，21 CFR 812.35和21 CFR 812.150（b）（5）。有关需要提交新的1572表格的IND研究变更类型讨论，请参阅FDA指南“常见问题 - 研究者声明（FDA 1572表格）”的问题7，网址：</w:t>
      </w:r>
      <w:r>
        <w:fldChar w:fldCharType="begin"/>
      </w:r>
      <w:r>
        <w:instrText xml:space="preserve"> HYPERLINK "http://www.fda.gov/downloads/regulatoryinformation/guidances/ucm214282.pdf" \h </w:instrText>
      </w:r>
      <w:r>
        <w:fldChar w:fldCharType="separate"/>
      </w:r>
      <w:r>
        <w:rPr>
          <w:rFonts w:ascii="Arial" w:hAnsi="Arial" w:eastAsia="宋体" w:cs="Arial"/>
          <w:color w:val="0000FF"/>
          <w:sz w:val="18"/>
          <w:szCs w:val="18"/>
          <w:u w:val="single" w:color="0000FF"/>
        </w:rPr>
        <w:t>http：//www.fda.gov/downloads/regulatoryinformation/guidances/ucm214282.pdf</w:t>
      </w:r>
      <w:r>
        <w:rPr>
          <w:rFonts w:ascii="Arial" w:hAnsi="Arial" w:eastAsia="宋体" w:cs="Arial"/>
          <w:color w:val="0000FF"/>
          <w:sz w:val="18"/>
          <w:szCs w:val="18"/>
          <w:u w:val="single" w:color="0000FF"/>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710F">
    <w:pPr>
      <w:spacing w:line="265" w:lineRule="exact"/>
      <w:ind w:left="20"/>
      <w:jc w:val="center"/>
      <w:rPr>
        <w:rFonts w:ascii="Times New Roman" w:hAnsi="Times New Roman" w:eastAsia="宋体" w:cs="Times New Roman"/>
        <w:sz w:val="24"/>
        <w:szCs w:val="24"/>
      </w:rPr>
    </w:pPr>
    <w:r>
      <w:rPr>
        <w:rFonts w:hint="eastAsia" w:ascii="Times New Roman" w:eastAsia="宋体"/>
        <w:b/>
        <w:i/>
        <w:sz w:val="24"/>
      </w:rPr>
      <w:t>所含建议不具约束力</w:t>
    </w:r>
  </w:p>
  <w:p w14:paraId="545E2535">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955D3"/>
    <w:multiLevelType w:val="multilevel"/>
    <w:tmpl w:val="153955D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660BA0"/>
    <w:multiLevelType w:val="multilevel"/>
    <w:tmpl w:val="19660BA0"/>
    <w:lvl w:ilvl="0" w:tentative="0">
      <w:start w:val="1"/>
      <w:numFmt w:val="upperLetter"/>
      <w:lvlText w:val="%1."/>
      <w:lvlJc w:val="left"/>
      <w:pPr>
        <w:ind w:left="840" w:hanging="353"/>
      </w:pPr>
      <w:rPr>
        <w:rFonts w:hint="default" w:ascii="Arial" w:hAnsi="Arial" w:eastAsia="Times New Roman" w:cs="Arial"/>
        <w:b/>
        <w:bCs/>
        <w:sz w:val="24"/>
        <w:szCs w:val="24"/>
      </w:rPr>
    </w:lvl>
    <w:lvl w:ilvl="1" w:tentative="0">
      <w:start w:val="1"/>
      <w:numFmt w:val="bullet"/>
      <w:lvlText w:val="•"/>
      <w:lvlJc w:val="left"/>
      <w:pPr>
        <w:ind w:left="1714" w:hanging="353"/>
      </w:pPr>
      <w:rPr>
        <w:rFonts w:hint="default"/>
      </w:rPr>
    </w:lvl>
    <w:lvl w:ilvl="2" w:tentative="0">
      <w:start w:val="1"/>
      <w:numFmt w:val="bullet"/>
      <w:lvlText w:val="•"/>
      <w:lvlJc w:val="left"/>
      <w:pPr>
        <w:ind w:left="2588" w:hanging="353"/>
      </w:pPr>
      <w:rPr>
        <w:rFonts w:hint="default"/>
      </w:rPr>
    </w:lvl>
    <w:lvl w:ilvl="3" w:tentative="0">
      <w:start w:val="1"/>
      <w:numFmt w:val="bullet"/>
      <w:lvlText w:val="•"/>
      <w:lvlJc w:val="left"/>
      <w:pPr>
        <w:ind w:left="3462" w:hanging="353"/>
      </w:pPr>
      <w:rPr>
        <w:rFonts w:hint="default"/>
      </w:rPr>
    </w:lvl>
    <w:lvl w:ilvl="4" w:tentative="0">
      <w:start w:val="1"/>
      <w:numFmt w:val="bullet"/>
      <w:lvlText w:val="•"/>
      <w:lvlJc w:val="left"/>
      <w:pPr>
        <w:ind w:left="4336" w:hanging="353"/>
      </w:pPr>
      <w:rPr>
        <w:rFonts w:hint="default"/>
      </w:rPr>
    </w:lvl>
    <w:lvl w:ilvl="5" w:tentative="0">
      <w:start w:val="1"/>
      <w:numFmt w:val="bullet"/>
      <w:lvlText w:val="•"/>
      <w:lvlJc w:val="left"/>
      <w:pPr>
        <w:ind w:left="5210" w:hanging="353"/>
      </w:pPr>
      <w:rPr>
        <w:rFonts w:hint="default"/>
      </w:rPr>
    </w:lvl>
    <w:lvl w:ilvl="6" w:tentative="0">
      <w:start w:val="1"/>
      <w:numFmt w:val="bullet"/>
      <w:lvlText w:val="•"/>
      <w:lvlJc w:val="left"/>
      <w:pPr>
        <w:ind w:left="6084" w:hanging="353"/>
      </w:pPr>
      <w:rPr>
        <w:rFonts w:hint="default"/>
      </w:rPr>
    </w:lvl>
    <w:lvl w:ilvl="7" w:tentative="0">
      <w:start w:val="1"/>
      <w:numFmt w:val="bullet"/>
      <w:lvlText w:val="•"/>
      <w:lvlJc w:val="left"/>
      <w:pPr>
        <w:ind w:left="6958" w:hanging="353"/>
      </w:pPr>
      <w:rPr>
        <w:rFonts w:hint="default"/>
      </w:rPr>
    </w:lvl>
    <w:lvl w:ilvl="8" w:tentative="0">
      <w:start w:val="1"/>
      <w:numFmt w:val="bullet"/>
      <w:lvlText w:val="•"/>
      <w:lvlJc w:val="left"/>
      <w:pPr>
        <w:ind w:left="7832" w:hanging="353"/>
      </w:pPr>
      <w:rPr>
        <w:rFonts w:hint="default"/>
      </w:rPr>
    </w:lvl>
  </w:abstractNum>
  <w:abstractNum w:abstractNumId="2">
    <w:nsid w:val="288B1C86"/>
    <w:multiLevelType w:val="multilevel"/>
    <w:tmpl w:val="288B1C86"/>
    <w:lvl w:ilvl="0" w:tentative="0">
      <w:start w:val="1"/>
      <w:numFmt w:val="bullet"/>
      <w:lvlText w:val=""/>
      <w:lvlJc w:val="left"/>
      <w:pPr>
        <w:ind w:left="420" w:hanging="420"/>
      </w:pPr>
      <w:rPr>
        <w:rFonts w:hint="default" w:ascii="Wingdings" w:hAnsi="Wingdings" w:eastAsia="Wingdings"/>
        <w:w w:val="100"/>
        <w:sz w:val="20"/>
        <w:szCs w:val="2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0A31F86"/>
    <w:multiLevelType w:val="multilevel"/>
    <w:tmpl w:val="30A31F86"/>
    <w:lvl w:ilvl="0" w:tentative="0">
      <w:start w:val="1"/>
      <w:numFmt w:val="upperRoman"/>
      <w:lvlText w:val="%1."/>
      <w:lvlJc w:val="left"/>
      <w:pPr>
        <w:ind w:left="720" w:hanging="720"/>
        <w:jc w:val="right"/>
      </w:pPr>
      <w:rPr>
        <w:rFonts w:hint="default" w:ascii="Arial" w:hAnsi="Arial" w:eastAsia="Times New Roman" w:cs="Arial"/>
        <w:b/>
        <w:bCs/>
        <w:sz w:val="24"/>
        <w:szCs w:val="24"/>
      </w:rPr>
    </w:lvl>
    <w:lvl w:ilvl="1" w:tentative="0">
      <w:start w:val="1"/>
      <w:numFmt w:val="bullet"/>
      <w:lvlText w:val=""/>
      <w:lvlJc w:val="left"/>
      <w:pPr>
        <w:ind w:left="720" w:hanging="360"/>
      </w:pPr>
      <w:rPr>
        <w:rFonts w:hint="default" w:ascii="Symbol" w:hAnsi="Symbol" w:eastAsia="Symbol"/>
        <w:sz w:val="24"/>
        <w:szCs w:val="24"/>
      </w:rPr>
    </w:lvl>
    <w:lvl w:ilvl="2" w:tentative="0">
      <w:start w:val="1"/>
      <w:numFmt w:val="bullet"/>
      <w:lvlText w:val="•"/>
      <w:lvlJc w:val="left"/>
      <w:pPr>
        <w:ind w:left="2468" w:hanging="360"/>
      </w:pPr>
      <w:rPr>
        <w:rFonts w:hint="default"/>
      </w:rPr>
    </w:lvl>
    <w:lvl w:ilvl="3" w:tentative="0">
      <w:start w:val="1"/>
      <w:numFmt w:val="bullet"/>
      <w:lvlText w:val="•"/>
      <w:lvlJc w:val="left"/>
      <w:pPr>
        <w:ind w:left="3342" w:hanging="360"/>
      </w:pPr>
      <w:rPr>
        <w:rFonts w:hint="default"/>
      </w:rPr>
    </w:lvl>
    <w:lvl w:ilvl="4" w:tentative="0">
      <w:start w:val="1"/>
      <w:numFmt w:val="bullet"/>
      <w:lvlText w:val="•"/>
      <w:lvlJc w:val="left"/>
      <w:pPr>
        <w:ind w:left="4216" w:hanging="360"/>
      </w:pPr>
      <w:rPr>
        <w:rFonts w:hint="default"/>
      </w:rPr>
    </w:lvl>
    <w:lvl w:ilvl="5" w:tentative="0">
      <w:start w:val="1"/>
      <w:numFmt w:val="bullet"/>
      <w:lvlText w:val="•"/>
      <w:lvlJc w:val="left"/>
      <w:pPr>
        <w:ind w:left="5090" w:hanging="360"/>
      </w:pPr>
      <w:rPr>
        <w:rFonts w:hint="default"/>
      </w:rPr>
    </w:lvl>
    <w:lvl w:ilvl="6" w:tentative="0">
      <w:start w:val="1"/>
      <w:numFmt w:val="bullet"/>
      <w:lvlText w:val="•"/>
      <w:lvlJc w:val="left"/>
      <w:pPr>
        <w:ind w:left="5964" w:hanging="360"/>
      </w:pPr>
      <w:rPr>
        <w:rFonts w:hint="default"/>
      </w:rPr>
    </w:lvl>
    <w:lvl w:ilvl="7" w:tentative="0">
      <w:start w:val="1"/>
      <w:numFmt w:val="bullet"/>
      <w:lvlText w:val="•"/>
      <w:lvlJc w:val="left"/>
      <w:pPr>
        <w:ind w:left="6838" w:hanging="360"/>
      </w:pPr>
      <w:rPr>
        <w:rFonts w:hint="default"/>
      </w:rPr>
    </w:lvl>
    <w:lvl w:ilvl="8" w:tentative="0">
      <w:start w:val="1"/>
      <w:numFmt w:val="bullet"/>
      <w:lvlText w:val="•"/>
      <w:lvlJc w:val="left"/>
      <w:pPr>
        <w:ind w:left="7712" w:hanging="360"/>
      </w:pPr>
      <w:rPr>
        <w:rFonts w:hint="default"/>
      </w:rPr>
    </w:lvl>
  </w:abstractNum>
  <w:abstractNum w:abstractNumId="4">
    <w:nsid w:val="317801D3"/>
    <w:multiLevelType w:val="multilevel"/>
    <w:tmpl w:val="317801D3"/>
    <w:lvl w:ilvl="0" w:tentative="0">
      <w:start w:val="1"/>
      <w:numFmt w:val="bullet"/>
      <w:lvlText w:val="o"/>
      <w:lvlJc w:val="left"/>
      <w:pPr>
        <w:ind w:left="1560" w:hanging="360"/>
      </w:pPr>
      <w:rPr>
        <w:rFonts w:hint="default" w:ascii="Courier New" w:hAnsi="Courier New" w:eastAsia="Courier New"/>
        <w:w w:val="100"/>
        <w:sz w:val="20"/>
        <w:szCs w:val="20"/>
      </w:rPr>
    </w:lvl>
    <w:lvl w:ilvl="1" w:tentative="0">
      <w:start w:val="1"/>
      <w:numFmt w:val="bullet"/>
      <w:lvlText w:val=""/>
      <w:lvlJc w:val="left"/>
      <w:pPr>
        <w:ind w:left="2280" w:hanging="360"/>
      </w:pPr>
      <w:rPr>
        <w:rFonts w:hint="default" w:ascii="Wingdings" w:hAnsi="Wingdings" w:eastAsia="Wingdings"/>
        <w:w w:val="100"/>
        <w:sz w:val="20"/>
        <w:szCs w:val="20"/>
      </w:rPr>
    </w:lvl>
    <w:lvl w:ilvl="2" w:tentative="0">
      <w:start w:val="1"/>
      <w:numFmt w:val="bullet"/>
      <w:lvlText w:val="•"/>
      <w:lvlJc w:val="left"/>
      <w:pPr>
        <w:ind w:left="3091" w:hanging="360"/>
      </w:pPr>
      <w:rPr>
        <w:rFonts w:hint="default"/>
      </w:rPr>
    </w:lvl>
    <w:lvl w:ilvl="3" w:tentative="0">
      <w:start w:val="1"/>
      <w:numFmt w:val="bullet"/>
      <w:lvlText w:val="•"/>
      <w:lvlJc w:val="left"/>
      <w:pPr>
        <w:ind w:left="3902" w:hanging="360"/>
      </w:pPr>
      <w:rPr>
        <w:rFonts w:hint="default"/>
      </w:rPr>
    </w:lvl>
    <w:lvl w:ilvl="4" w:tentative="0">
      <w:start w:val="1"/>
      <w:numFmt w:val="bullet"/>
      <w:lvlText w:val="•"/>
      <w:lvlJc w:val="left"/>
      <w:pPr>
        <w:ind w:left="4713" w:hanging="360"/>
      </w:pPr>
      <w:rPr>
        <w:rFonts w:hint="default"/>
      </w:rPr>
    </w:lvl>
    <w:lvl w:ilvl="5" w:tentative="0">
      <w:start w:val="1"/>
      <w:numFmt w:val="bullet"/>
      <w:lvlText w:val="•"/>
      <w:lvlJc w:val="left"/>
      <w:pPr>
        <w:ind w:left="5524" w:hanging="360"/>
      </w:pPr>
      <w:rPr>
        <w:rFonts w:hint="default"/>
      </w:rPr>
    </w:lvl>
    <w:lvl w:ilvl="6" w:tentative="0">
      <w:start w:val="1"/>
      <w:numFmt w:val="bullet"/>
      <w:lvlText w:val="•"/>
      <w:lvlJc w:val="left"/>
      <w:pPr>
        <w:ind w:left="6335" w:hanging="360"/>
      </w:pPr>
      <w:rPr>
        <w:rFonts w:hint="default"/>
      </w:rPr>
    </w:lvl>
    <w:lvl w:ilvl="7" w:tentative="0">
      <w:start w:val="1"/>
      <w:numFmt w:val="bullet"/>
      <w:lvlText w:val="•"/>
      <w:lvlJc w:val="left"/>
      <w:pPr>
        <w:ind w:left="7146" w:hanging="360"/>
      </w:pPr>
      <w:rPr>
        <w:rFonts w:hint="default"/>
      </w:rPr>
    </w:lvl>
    <w:lvl w:ilvl="8" w:tentative="0">
      <w:start w:val="1"/>
      <w:numFmt w:val="bullet"/>
      <w:lvlText w:val="•"/>
      <w:lvlJc w:val="left"/>
      <w:pPr>
        <w:ind w:left="7957" w:hanging="360"/>
      </w:pPr>
      <w:rPr>
        <w:rFonts w:hint="default"/>
      </w:rPr>
    </w:lvl>
  </w:abstractNum>
  <w:abstractNum w:abstractNumId="5">
    <w:nsid w:val="44A537F6"/>
    <w:multiLevelType w:val="multilevel"/>
    <w:tmpl w:val="44A537F6"/>
    <w:lvl w:ilvl="0" w:tentative="0">
      <w:start w:val="1"/>
      <w:numFmt w:val="bullet"/>
      <w:lvlText w:val=""/>
      <w:lvlJc w:val="left"/>
      <w:pPr>
        <w:ind w:left="885" w:hanging="315"/>
      </w:pPr>
      <w:rPr>
        <w:rFonts w:hint="default" w:ascii="Symbol" w:hAnsi="Symbol" w:eastAsia="Symbol"/>
        <w:sz w:val="24"/>
        <w:szCs w:val="24"/>
      </w:rPr>
    </w:lvl>
    <w:lvl w:ilvl="1" w:tentative="0">
      <w:start w:val="1"/>
      <w:numFmt w:val="bullet"/>
      <w:lvlText w:val="•"/>
      <w:lvlJc w:val="left"/>
      <w:pPr>
        <w:ind w:left="1748" w:hanging="315"/>
      </w:pPr>
      <w:rPr>
        <w:rFonts w:hint="default"/>
      </w:rPr>
    </w:lvl>
    <w:lvl w:ilvl="2" w:tentative="0">
      <w:start w:val="1"/>
      <w:numFmt w:val="bullet"/>
      <w:lvlText w:val="•"/>
      <w:lvlJc w:val="left"/>
      <w:pPr>
        <w:ind w:left="2616" w:hanging="315"/>
      </w:pPr>
      <w:rPr>
        <w:rFonts w:hint="default"/>
      </w:rPr>
    </w:lvl>
    <w:lvl w:ilvl="3" w:tentative="0">
      <w:start w:val="1"/>
      <w:numFmt w:val="bullet"/>
      <w:lvlText w:val="•"/>
      <w:lvlJc w:val="left"/>
      <w:pPr>
        <w:ind w:left="3484" w:hanging="315"/>
      </w:pPr>
      <w:rPr>
        <w:rFonts w:hint="default"/>
      </w:rPr>
    </w:lvl>
    <w:lvl w:ilvl="4" w:tentative="0">
      <w:start w:val="1"/>
      <w:numFmt w:val="bullet"/>
      <w:lvlText w:val="•"/>
      <w:lvlJc w:val="left"/>
      <w:pPr>
        <w:ind w:left="4352" w:hanging="315"/>
      </w:pPr>
      <w:rPr>
        <w:rFonts w:hint="default"/>
      </w:rPr>
    </w:lvl>
    <w:lvl w:ilvl="5" w:tentative="0">
      <w:start w:val="1"/>
      <w:numFmt w:val="bullet"/>
      <w:lvlText w:val="•"/>
      <w:lvlJc w:val="left"/>
      <w:pPr>
        <w:ind w:left="5220" w:hanging="315"/>
      </w:pPr>
      <w:rPr>
        <w:rFonts w:hint="default"/>
      </w:rPr>
    </w:lvl>
    <w:lvl w:ilvl="6" w:tentative="0">
      <w:start w:val="1"/>
      <w:numFmt w:val="bullet"/>
      <w:lvlText w:val="•"/>
      <w:lvlJc w:val="left"/>
      <w:pPr>
        <w:ind w:left="6088" w:hanging="315"/>
      </w:pPr>
      <w:rPr>
        <w:rFonts w:hint="default"/>
      </w:rPr>
    </w:lvl>
    <w:lvl w:ilvl="7" w:tentative="0">
      <w:start w:val="1"/>
      <w:numFmt w:val="bullet"/>
      <w:lvlText w:val="•"/>
      <w:lvlJc w:val="left"/>
      <w:pPr>
        <w:ind w:left="6956" w:hanging="315"/>
      </w:pPr>
      <w:rPr>
        <w:rFonts w:hint="default"/>
      </w:rPr>
    </w:lvl>
    <w:lvl w:ilvl="8" w:tentative="0">
      <w:start w:val="1"/>
      <w:numFmt w:val="bullet"/>
      <w:lvlText w:val="•"/>
      <w:lvlJc w:val="left"/>
      <w:pPr>
        <w:ind w:left="7824" w:hanging="315"/>
      </w:pPr>
      <w:rPr>
        <w:rFonts w:hint="default"/>
      </w:rPr>
    </w:lvl>
  </w:abstractNum>
  <w:abstractNum w:abstractNumId="6">
    <w:nsid w:val="5C7A0220"/>
    <w:multiLevelType w:val="multilevel"/>
    <w:tmpl w:val="5C7A0220"/>
    <w:lvl w:ilvl="0" w:tentative="0">
      <w:start w:val="1"/>
      <w:numFmt w:val="decimal"/>
      <w:lvlText w:val="(%1)"/>
      <w:lvlJc w:val="left"/>
      <w:pPr>
        <w:ind w:left="840" w:hanging="360"/>
      </w:pPr>
      <w:rPr>
        <w:rFonts w:hint="default" w:ascii="Arial" w:hAnsi="Arial" w:eastAsia="Times New Roman" w:cs="Arial"/>
        <w:sz w:val="24"/>
        <w:szCs w:val="24"/>
      </w:rPr>
    </w:lvl>
    <w:lvl w:ilvl="1" w:tentative="0">
      <w:start w:val="1"/>
      <w:numFmt w:val="bullet"/>
      <w:lvlText w:val="•"/>
      <w:lvlJc w:val="left"/>
      <w:pPr>
        <w:ind w:left="1714" w:hanging="360"/>
      </w:pPr>
      <w:rPr>
        <w:rFonts w:hint="default"/>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7">
    <w:nsid w:val="63045DF3"/>
    <w:multiLevelType w:val="multilevel"/>
    <w:tmpl w:val="63045DF3"/>
    <w:lvl w:ilvl="0" w:tentative="0">
      <w:start w:val="1"/>
      <w:numFmt w:val="bullet"/>
      <w:lvlText w:val=""/>
      <w:lvlJc w:val="left"/>
      <w:pPr>
        <w:ind w:left="840" w:hanging="340"/>
      </w:pPr>
      <w:rPr>
        <w:rFonts w:hint="default" w:ascii="Symbol" w:hAnsi="Symbol" w:eastAsia="Symbol"/>
        <w:sz w:val="24"/>
        <w:szCs w:val="24"/>
      </w:rPr>
    </w:lvl>
    <w:lvl w:ilvl="1" w:tentative="0">
      <w:start w:val="1"/>
      <w:numFmt w:val="bullet"/>
      <w:lvlText w:val="•"/>
      <w:lvlJc w:val="left"/>
      <w:pPr>
        <w:ind w:left="1714" w:hanging="340"/>
      </w:pPr>
      <w:rPr>
        <w:rFonts w:hint="default"/>
      </w:rPr>
    </w:lvl>
    <w:lvl w:ilvl="2" w:tentative="0">
      <w:start w:val="1"/>
      <w:numFmt w:val="bullet"/>
      <w:lvlText w:val="•"/>
      <w:lvlJc w:val="left"/>
      <w:pPr>
        <w:ind w:left="2588" w:hanging="340"/>
      </w:pPr>
      <w:rPr>
        <w:rFonts w:hint="default"/>
      </w:rPr>
    </w:lvl>
    <w:lvl w:ilvl="3" w:tentative="0">
      <w:start w:val="1"/>
      <w:numFmt w:val="bullet"/>
      <w:lvlText w:val="•"/>
      <w:lvlJc w:val="left"/>
      <w:pPr>
        <w:ind w:left="3462" w:hanging="340"/>
      </w:pPr>
      <w:rPr>
        <w:rFonts w:hint="default"/>
      </w:rPr>
    </w:lvl>
    <w:lvl w:ilvl="4" w:tentative="0">
      <w:start w:val="1"/>
      <w:numFmt w:val="bullet"/>
      <w:lvlText w:val="•"/>
      <w:lvlJc w:val="left"/>
      <w:pPr>
        <w:ind w:left="4336" w:hanging="340"/>
      </w:pPr>
      <w:rPr>
        <w:rFonts w:hint="default"/>
      </w:rPr>
    </w:lvl>
    <w:lvl w:ilvl="5" w:tentative="0">
      <w:start w:val="1"/>
      <w:numFmt w:val="bullet"/>
      <w:lvlText w:val="•"/>
      <w:lvlJc w:val="left"/>
      <w:pPr>
        <w:ind w:left="5210" w:hanging="340"/>
      </w:pPr>
      <w:rPr>
        <w:rFonts w:hint="default"/>
      </w:rPr>
    </w:lvl>
    <w:lvl w:ilvl="6" w:tentative="0">
      <w:start w:val="1"/>
      <w:numFmt w:val="bullet"/>
      <w:lvlText w:val="•"/>
      <w:lvlJc w:val="left"/>
      <w:pPr>
        <w:ind w:left="6084" w:hanging="340"/>
      </w:pPr>
      <w:rPr>
        <w:rFonts w:hint="default"/>
      </w:rPr>
    </w:lvl>
    <w:lvl w:ilvl="7" w:tentative="0">
      <w:start w:val="1"/>
      <w:numFmt w:val="bullet"/>
      <w:lvlText w:val="•"/>
      <w:lvlJc w:val="left"/>
      <w:pPr>
        <w:ind w:left="6958" w:hanging="340"/>
      </w:pPr>
      <w:rPr>
        <w:rFonts w:hint="default"/>
      </w:rPr>
    </w:lvl>
    <w:lvl w:ilvl="8" w:tentative="0">
      <w:start w:val="1"/>
      <w:numFmt w:val="bullet"/>
      <w:lvlText w:val="•"/>
      <w:lvlJc w:val="left"/>
      <w:pPr>
        <w:ind w:left="7832" w:hanging="340"/>
      </w:pPr>
      <w:rPr>
        <w:rFonts w:hint="default"/>
      </w:rPr>
    </w:lvl>
  </w:abstractNum>
  <w:abstractNum w:abstractNumId="8">
    <w:nsid w:val="66A21CD5"/>
    <w:multiLevelType w:val="multilevel"/>
    <w:tmpl w:val="66A21CD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97416D4"/>
    <w:multiLevelType w:val="multilevel"/>
    <w:tmpl w:val="797416D4"/>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3"/>
  </w:num>
  <w:num w:numId="3">
    <w:abstractNumId w:val="6"/>
  </w:num>
  <w:num w:numId="4">
    <w:abstractNumId w:val="0"/>
  </w:num>
  <w:num w:numId="5">
    <w:abstractNumId w:val="8"/>
  </w:num>
  <w:num w:numId="6">
    <w:abstractNumId w:val="7"/>
  </w:num>
  <w:num w:numId="7">
    <w:abstractNumId w:val="5"/>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96"/>
    <w:footnote w:id="97"/>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27"/>
    <w:rsid w:val="00004008"/>
    <w:rsid w:val="0001061E"/>
    <w:rsid w:val="000179C1"/>
    <w:rsid w:val="00050808"/>
    <w:rsid w:val="00092F77"/>
    <w:rsid w:val="000D2546"/>
    <w:rsid w:val="000E468D"/>
    <w:rsid w:val="000F3C2B"/>
    <w:rsid w:val="00103904"/>
    <w:rsid w:val="00114B70"/>
    <w:rsid w:val="00115DED"/>
    <w:rsid w:val="001303DF"/>
    <w:rsid w:val="001520A3"/>
    <w:rsid w:val="001C4C2C"/>
    <w:rsid w:val="001F5E30"/>
    <w:rsid w:val="00220747"/>
    <w:rsid w:val="00236998"/>
    <w:rsid w:val="002661F9"/>
    <w:rsid w:val="002673E2"/>
    <w:rsid w:val="00281370"/>
    <w:rsid w:val="002837EB"/>
    <w:rsid w:val="00307DBF"/>
    <w:rsid w:val="00357B7E"/>
    <w:rsid w:val="003622FE"/>
    <w:rsid w:val="00377664"/>
    <w:rsid w:val="003943D2"/>
    <w:rsid w:val="00396269"/>
    <w:rsid w:val="003B44D2"/>
    <w:rsid w:val="003C53E1"/>
    <w:rsid w:val="003E0797"/>
    <w:rsid w:val="003E3FDB"/>
    <w:rsid w:val="003E769C"/>
    <w:rsid w:val="0041662F"/>
    <w:rsid w:val="00421E73"/>
    <w:rsid w:val="004470C6"/>
    <w:rsid w:val="00460BA2"/>
    <w:rsid w:val="00473F12"/>
    <w:rsid w:val="004A059F"/>
    <w:rsid w:val="004F0217"/>
    <w:rsid w:val="005053D1"/>
    <w:rsid w:val="0051292B"/>
    <w:rsid w:val="00523B54"/>
    <w:rsid w:val="0054367E"/>
    <w:rsid w:val="005440D9"/>
    <w:rsid w:val="0054727E"/>
    <w:rsid w:val="005841BF"/>
    <w:rsid w:val="00627846"/>
    <w:rsid w:val="006C4B85"/>
    <w:rsid w:val="006C4BC5"/>
    <w:rsid w:val="006E5C3E"/>
    <w:rsid w:val="007260CE"/>
    <w:rsid w:val="00792321"/>
    <w:rsid w:val="007A0E80"/>
    <w:rsid w:val="007A5560"/>
    <w:rsid w:val="007A6328"/>
    <w:rsid w:val="007C056E"/>
    <w:rsid w:val="00806260"/>
    <w:rsid w:val="00810A22"/>
    <w:rsid w:val="00842EBD"/>
    <w:rsid w:val="008521E9"/>
    <w:rsid w:val="0089193C"/>
    <w:rsid w:val="008A1186"/>
    <w:rsid w:val="008C44E9"/>
    <w:rsid w:val="00923F06"/>
    <w:rsid w:val="00932CAC"/>
    <w:rsid w:val="00941027"/>
    <w:rsid w:val="00943396"/>
    <w:rsid w:val="00956818"/>
    <w:rsid w:val="00961D19"/>
    <w:rsid w:val="0096643F"/>
    <w:rsid w:val="009B28CC"/>
    <w:rsid w:val="009B5891"/>
    <w:rsid w:val="009F382C"/>
    <w:rsid w:val="00A01059"/>
    <w:rsid w:val="00A067A2"/>
    <w:rsid w:val="00A06FED"/>
    <w:rsid w:val="00A139F9"/>
    <w:rsid w:val="00A14699"/>
    <w:rsid w:val="00A30FBD"/>
    <w:rsid w:val="00A33BD7"/>
    <w:rsid w:val="00A528FB"/>
    <w:rsid w:val="00A66937"/>
    <w:rsid w:val="00A748F7"/>
    <w:rsid w:val="00A8176F"/>
    <w:rsid w:val="00B06F80"/>
    <w:rsid w:val="00B46C4A"/>
    <w:rsid w:val="00BA21D5"/>
    <w:rsid w:val="00BB6E99"/>
    <w:rsid w:val="00BC556B"/>
    <w:rsid w:val="00BD4886"/>
    <w:rsid w:val="00BD6923"/>
    <w:rsid w:val="00BF102B"/>
    <w:rsid w:val="00C103BF"/>
    <w:rsid w:val="00C10B91"/>
    <w:rsid w:val="00C225FA"/>
    <w:rsid w:val="00C84302"/>
    <w:rsid w:val="00CA59D4"/>
    <w:rsid w:val="00CB435E"/>
    <w:rsid w:val="00D1660E"/>
    <w:rsid w:val="00D3232C"/>
    <w:rsid w:val="00D353DA"/>
    <w:rsid w:val="00D37559"/>
    <w:rsid w:val="00DB3A0D"/>
    <w:rsid w:val="00E01250"/>
    <w:rsid w:val="00E03F68"/>
    <w:rsid w:val="00E41419"/>
    <w:rsid w:val="00E4363B"/>
    <w:rsid w:val="00E502AE"/>
    <w:rsid w:val="00E6054F"/>
    <w:rsid w:val="00E61E45"/>
    <w:rsid w:val="00E80D97"/>
    <w:rsid w:val="00E82854"/>
    <w:rsid w:val="00E8481B"/>
    <w:rsid w:val="00EF1E19"/>
    <w:rsid w:val="00EF7134"/>
    <w:rsid w:val="00F0638C"/>
    <w:rsid w:val="00F10083"/>
    <w:rsid w:val="00F21FCA"/>
    <w:rsid w:val="00F22BC4"/>
    <w:rsid w:val="00F24B33"/>
    <w:rsid w:val="00F36A3E"/>
    <w:rsid w:val="00F50B70"/>
    <w:rsid w:val="00F61549"/>
    <w:rsid w:val="00F756FB"/>
    <w:rsid w:val="00F83597"/>
    <w:rsid w:val="00FC4490"/>
    <w:rsid w:val="3ABB7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1"/>
      <w:outlineLvl w:val="0"/>
    </w:pPr>
    <w:rPr>
      <w:rFonts w:ascii="Times New Roman" w:hAnsi="Times New Roman" w:eastAsia="宋体"/>
      <w:sz w:val="52"/>
      <w:szCs w:val="52"/>
    </w:rPr>
  </w:style>
  <w:style w:type="paragraph" w:styleId="3">
    <w:name w:val="heading 2"/>
    <w:basedOn w:val="1"/>
    <w:qFormat/>
    <w:uiPriority w:val="1"/>
    <w:pPr>
      <w:ind w:left="840"/>
      <w:outlineLvl w:val="1"/>
    </w:pPr>
    <w:rPr>
      <w:rFonts w:ascii="Times New Roman" w:hAnsi="Times New Roman" w:eastAsia="宋体"/>
      <w:b/>
      <w:bCs/>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840"/>
    </w:pPr>
    <w:rPr>
      <w:rFonts w:ascii="Times New Roman" w:hAnsi="Times New Roman" w:eastAsia="宋体"/>
      <w:sz w:val="24"/>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39"/>
    <w:pPr>
      <w:spacing w:before="120"/>
      <w:ind w:left="100"/>
    </w:pPr>
    <w:rPr>
      <w:rFonts w:ascii="Times New Roman" w:hAnsi="Times New Roman" w:eastAsia="宋体"/>
      <w:b/>
      <w:bCs/>
      <w:sz w:val="24"/>
      <w:szCs w:val="24"/>
    </w:rPr>
  </w:style>
  <w:style w:type="paragraph" w:styleId="9">
    <w:name w:val="footnote text"/>
    <w:basedOn w:val="1"/>
    <w:link w:val="22"/>
    <w:semiHidden/>
    <w:unhideWhenUsed/>
    <w:qFormat/>
    <w:uiPriority w:val="99"/>
    <w:pPr>
      <w:snapToGrid w:val="0"/>
    </w:pPr>
    <w:rPr>
      <w:sz w:val="18"/>
      <w:szCs w:val="18"/>
    </w:rPr>
  </w:style>
  <w:style w:type="paragraph" w:styleId="10">
    <w:name w:val="toc 2"/>
    <w:basedOn w:val="1"/>
    <w:qFormat/>
    <w:uiPriority w:val="39"/>
    <w:pPr>
      <w:snapToGrid w:val="0"/>
      <w:spacing w:before="4" w:line="300" w:lineRule="auto"/>
      <w:ind w:left="512" w:leftChars="200" w:hanging="312"/>
    </w:pPr>
    <w:rPr>
      <w:rFonts w:ascii="Times New Roman" w:hAnsi="Times New Roman" w:eastAsia="宋体"/>
      <w:b/>
      <w:bCs/>
      <w:sz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footnote reference"/>
    <w:basedOn w:val="13"/>
    <w:semiHidden/>
    <w:unhideWhenUsed/>
    <w:qFormat/>
    <w:uiPriority w:val="99"/>
    <w:rPr>
      <w:vertAlign w:val="superscript"/>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3"/>
    <w:link w:val="5"/>
    <w:semiHidden/>
    <w:qFormat/>
    <w:uiPriority w:val="99"/>
    <w:rPr>
      <w:sz w:val="18"/>
      <w:szCs w:val="18"/>
    </w:rPr>
  </w:style>
  <w:style w:type="character" w:customStyle="1" w:styleId="20">
    <w:name w:val="页眉 Char"/>
    <w:basedOn w:val="13"/>
    <w:link w:val="7"/>
    <w:qFormat/>
    <w:uiPriority w:val="99"/>
    <w:rPr>
      <w:sz w:val="18"/>
      <w:szCs w:val="18"/>
    </w:rPr>
  </w:style>
  <w:style w:type="character" w:customStyle="1" w:styleId="21">
    <w:name w:val="页脚 Char"/>
    <w:basedOn w:val="13"/>
    <w:link w:val="6"/>
    <w:qFormat/>
    <w:uiPriority w:val="99"/>
    <w:rPr>
      <w:sz w:val="18"/>
      <w:szCs w:val="18"/>
    </w:rPr>
  </w:style>
  <w:style w:type="character" w:customStyle="1" w:styleId="22">
    <w:name w:val="脚注文本 Char"/>
    <w:basedOn w:val="13"/>
    <w:link w:val="9"/>
    <w:semiHidden/>
    <w:qFormat/>
    <w:uiPriority w:val="99"/>
    <w:rPr>
      <w:sz w:val="18"/>
      <w:szCs w:val="18"/>
    </w:rPr>
  </w:style>
  <w:style w:type="paragraph" w:customStyle="1" w:styleId="23">
    <w:name w:val="TOC Heading"/>
    <w:basedOn w:val="2"/>
    <w:next w:val="1"/>
    <w:semiHidden/>
    <w:unhideWhenUsed/>
    <w:qFormat/>
    <w:uiPriority w:val="39"/>
    <w:pPr>
      <w:keepNext/>
      <w:keepLines/>
      <w:widowControl/>
      <w:spacing w:before="480" w:line="276" w:lineRule="auto"/>
      <w:ind w:left="0"/>
      <w:outlineLvl w:val="9"/>
    </w:pPr>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B75C-8684-4655-8509-C9485DC769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8877</Words>
  <Characters>10406</Characters>
  <Lines>84</Lines>
  <Paragraphs>23</Paragraphs>
  <TotalTime>1</TotalTime>
  <ScaleCrop>false</ScaleCrop>
  <LinksUpToDate>false</LinksUpToDate>
  <CharactersWithSpaces>10508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2017-10-16T11:02:00Z</dcterms:created>
  <dc:creator>Food and Drug Administration</dc:creator>
  <cp:keywords>guidance, IRB, transfer, clinical, investigation</cp:keywords>
  <cp:lastModifiedBy>太极箫客</cp:lastModifiedBy>
  <dcterms:modified xsi:type="dcterms:W3CDTF">2025-08-14T06:58:28Z</dcterms:modified>
  <dc:subject>Guidance for IRBs Clinical Investigators, and Sponsors: Considerations When Transfering Clinical Investigation Oversight to Another IRB</dc:subject>
  <dc:title>Considerations When Transfering Clinical Investigation Oversight to Another IRB</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2014-05-22T00:00:00Z</vt:filetime>
  </property>
  <property fmtid="{D5CDD505-2E9C-101B-9397-08002B2CF9AE}" pid="3" name="Creator">
    <vt:lpwstr>Acrobat PDFMaker 10.1 for Word</vt:lpwstr>
  </property>
  <property fmtid="{D5CDD505-2E9C-101B-9397-08002B2CF9AE}" pid="4" name="LastSaved">
    <vt:filetime>2017-10-06T00:00:00Z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31589930385F4356A2084DF11220909C_12</vt:lpwstr>
  </property>
</Properties>
</file>