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E0131">
      <w:pPr>
        <w:pBdr>
          <w:bottom w:val="single" w:color="auto" w:sz="4" w:space="1"/>
        </w:pBdr>
        <w:adjustRightInd w:val="0"/>
        <w:snapToGrid w:val="0"/>
        <w:spacing w:before="120" w:beforeLines="50" w:line="300" w:lineRule="auto"/>
        <w:jc w:val="center"/>
        <w:rPr>
          <w:b/>
          <w:sz w:val="52"/>
          <w:szCs w:val="21"/>
          <w:lang w:eastAsia="zh-CN"/>
        </w:rPr>
      </w:pPr>
      <w:bookmarkStart w:id="50" w:name="_GoBack"/>
      <w:bookmarkEnd w:id="50"/>
      <w:r>
        <w:rPr>
          <w:rFonts w:eastAsia="宋体" w:cs="宋体"/>
          <w:b/>
          <w:sz w:val="52"/>
          <w:lang w:eastAsia="zh-CN"/>
        </w:rPr>
        <w:t>最小负担规范：概念和原则</w:t>
      </w:r>
    </w:p>
    <w:p w14:paraId="7EC0AE8E">
      <w:pPr>
        <w:adjustRightInd w:val="0"/>
        <w:snapToGrid w:val="0"/>
        <w:spacing w:before="120" w:beforeLines="50" w:line="300" w:lineRule="auto"/>
        <w:ind w:right="282" w:rightChars="128"/>
        <w:jc w:val="center"/>
        <w:rPr>
          <w:b/>
          <w:sz w:val="52"/>
          <w:szCs w:val="21"/>
          <w:lang w:eastAsia="zh-CN"/>
        </w:rPr>
      </w:pPr>
      <w:r>
        <w:rPr>
          <w:rFonts w:eastAsia="宋体" w:cs="宋体"/>
          <w:b/>
          <w:sz w:val="52"/>
          <w:lang w:eastAsia="zh-CN"/>
        </w:rPr>
        <w:t>行业和美国食品药品监督管理局工作人员指南</w:t>
      </w:r>
    </w:p>
    <w:p w14:paraId="40F5843B">
      <w:pPr>
        <w:adjustRightInd w:val="0"/>
        <w:snapToGrid w:val="0"/>
        <w:spacing w:before="480" w:beforeLines="200" w:after="240" w:afterLines="100" w:line="300" w:lineRule="auto"/>
        <w:jc w:val="center"/>
        <w:rPr>
          <w:b/>
          <w:sz w:val="24"/>
          <w:szCs w:val="24"/>
          <w:lang w:eastAsia="zh-CN"/>
        </w:rPr>
      </w:pPr>
      <w:r>
        <w:rPr>
          <w:rFonts w:eastAsia="宋体" w:cs="宋体"/>
          <w:b/>
          <w:sz w:val="24"/>
          <w:lang w:eastAsia="zh-CN"/>
        </w:rPr>
        <w:t>文件发布日期：2019年2月5日</w:t>
      </w:r>
    </w:p>
    <w:p w14:paraId="25DEB502">
      <w:pPr>
        <w:adjustRightInd w:val="0"/>
        <w:snapToGrid w:val="0"/>
        <w:spacing w:before="120" w:beforeLines="50" w:line="300" w:lineRule="auto"/>
        <w:jc w:val="center"/>
        <w:rPr>
          <w:b/>
          <w:sz w:val="24"/>
          <w:szCs w:val="24"/>
          <w:lang w:eastAsia="zh-CN"/>
        </w:rPr>
      </w:pPr>
      <w:r>
        <w:rPr>
          <w:rFonts w:eastAsia="宋体" w:cs="宋体"/>
          <w:b/>
          <w:sz w:val="24"/>
          <w:lang w:eastAsia="zh-CN"/>
        </w:rPr>
        <w:t>文件草案发布日期：2017年12月15日</w:t>
      </w:r>
    </w:p>
    <w:p w14:paraId="6BD2E4F1">
      <w:pPr>
        <w:adjustRightInd w:val="0"/>
        <w:snapToGrid w:val="0"/>
        <w:spacing w:before="120" w:beforeLines="50" w:after="240" w:afterLines="100" w:line="300" w:lineRule="auto"/>
        <w:jc w:val="center"/>
        <w:rPr>
          <w:b/>
          <w:sz w:val="24"/>
          <w:szCs w:val="24"/>
          <w:lang w:eastAsia="zh-CN"/>
        </w:rPr>
      </w:pPr>
      <w:r>
        <w:rPr>
          <w:rFonts w:eastAsia="宋体" w:cs="宋体"/>
          <w:b/>
          <w:sz w:val="24"/>
          <w:lang w:eastAsia="zh-CN"/>
        </w:rPr>
        <w:t>本文件取代2002年10月4日发布的《1997年FDA现代化法案的最小负担规范：概念和原则》。</w:t>
      </w:r>
    </w:p>
    <w:p w14:paraId="14A5DBE1">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如对本文件有关CDRH监管器械的内容有任何疑问，请致电（301）796-6900联系中心主任办公室。对于有关本文件与CBER监管器械相关的问题，请致电1-800-835-4709或240-402-8010或发送电子邮件至</w:t>
      </w:r>
      <w:r>
        <w:rPr>
          <w:rFonts w:eastAsia="宋体" w:cs="宋体"/>
          <w:color w:val="0000FF"/>
          <w:sz w:val="21"/>
          <w:u w:val="single"/>
          <w:lang w:eastAsia="zh-CN"/>
        </w:rPr>
        <w:t>ocod@fda.hhs.gov</w:t>
      </w:r>
      <w:r>
        <w:rPr>
          <w:rFonts w:eastAsia="宋体" w:cs="宋体"/>
          <w:sz w:val="21"/>
          <w:lang w:eastAsia="zh-CN"/>
        </w:rPr>
        <w:t>联系CBER的交流、外联和发展办公室。</w:t>
      </w:r>
    </w:p>
    <w:p w14:paraId="39F0F0A0">
      <w:pPr>
        <w:pStyle w:val="6"/>
        <w:adjustRightInd w:val="0"/>
        <w:snapToGrid w:val="0"/>
        <w:spacing w:before="1200" w:beforeLines="500" w:line="300" w:lineRule="auto"/>
        <w:jc w:val="both"/>
        <w:rPr>
          <w:rFonts w:eastAsia="宋体"/>
          <w:sz w:val="21"/>
          <w:szCs w:val="21"/>
          <w:lang w:eastAsia="zh-CN"/>
        </w:rPr>
      </w:pPr>
    </w:p>
    <w:tbl>
      <w:tblPr>
        <w:tblStyle w:val="16"/>
        <w:tblW w:w="5000" w:type="pct"/>
        <w:tblInd w:w="0" w:type="dxa"/>
        <w:tblLayout w:type="autofit"/>
        <w:tblCellMar>
          <w:top w:w="0" w:type="dxa"/>
          <w:left w:w="113" w:type="dxa"/>
          <w:bottom w:w="0" w:type="dxa"/>
          <w:right w:w="113" w:type="dxa"/>
        </w:tblCellMar>
      </w:tblPr>
      <w:tblGrid>
        <w:gridCol w:w="4648"/>
        <w:gridCol w:w="4649"/>
      </w:tblGrid>
      <w:tr w14:paraId="6B27640C">
        <w:tblPrEx>
          <w:tblCellMar>
            <w:top w:w="0" w:type="dxa"/>
            <w:left w:w="113" w:type="dxa"/>
            <w:bottom w:w="0" w:type="dxa"/>
            <w:right w:w="113" w:type="dxa"/>
          </w:tblCellMar>
        </w:tblPrEx>
        <w:trPr>
          <w:trHeight w:val="293" w:hRule="atLeast"/>
        </w:trPr>
        <w:tc>
          <w:tcPr>
            <w:tcW w:w="2500" w:type="pct"/>
          </w:tcPr>
          <w:p w14:paraId="6B4BF234">
            <w:pPr>
              <w:pStyle w:val="18"/>
              <w:adjustRightInd w:val="0"/>
              <w:snapToGrid w:val="0"/>
              <w:spacing w:before="36" w:beforeLines="15" w:line="276" w:lineRule="auto"/>
              <w:jc w:val="both"/>
              <w:rPr>
                <w:sz w:val="21"/>
                <w:szCs w:val="21"/>
              </w:rPr>
            </w:pPr>
            <w:r>
              <w:rPr>
                <w:rFonts w:eastAsia="宋体" w:cs="宋体"/>
                <w:sz w:val="21"/>
                <w:lang w:eastAsia="zh-CN" w:bidi="ar-SA"/>
              </w:rPr>
              <w:drawing>
                <wp:inline distT="0" distB="0" distL="0" distR="0">
                  <wp:extent cx="2476500" cy="509905"/>
                  <wp:effectExtent l="0" t="0" r="0" b="4445"/>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ood and Drug Administration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6500" cy="509905"/>
                          </a:xfrm>
                          <a:prstGeom prst="rect">
                            <a:avLst/>
                          </a:prstGeom>
                        </pic:spPr>
                      </pic:pic>
                    </a:graphicData>
                  </a:graphic>
                </wp:inline>
              </w:drawing>
            </w:r>
          </w:p>
        </w:tc>
        <w:tc>
          <w:tcPr>
            <w:tcW w:w="2500" w:type="pct"/>
          </w:tcPr>
          <w:p w14:paraId="5B97AB0D">
            <w:pPr>
              <w:adjustRightInd w:val="0"/>
              <w:snapToGrid w:val="0"/>
              <w:spacing w:before="36" w:beforeLines="15" w:line="276" w:lineRule="auto"/>
              <w:jc w:val="right"/>
              <w:rPr>
                <w:b/>
                <w:sz w:val="21"/>
                <w:szCs w:val="21"/>
                <w:lang w:eastAsia="zh-CN"/>
              </w:rPr>
            </w:pPr>
            <w:r>
              <w:rPr>
                <w:rFonts w:eastAsia="宋体" w:cs="宋体"/>
                <w:b/>
                <w:sz w:val="21"/>
                <w:lang w:eastAsia="zh-CN"/>
              </w:rPr>
              <w:t>美国卫生与公共服务部</w:t>
            </w:r>
          </w:p>
          <w:p w14:paraId="6489FCCB">
            <w:pPr>
              <w:adjustRightInd w:val="0"/>
              <w:snapToGrid w:val="0"/>
              <w:spacing w:before="36" w:beforeLines="15" w:line="276" w:lineRule="auto"/>
              <w:jc w:val="right"/>
              <w:rPr>
                <w:b/>
                <w:sz w:val="21"/>
                <w:szCs w:val="21"/>
                <w:lang w:eastAsia="zh-CN"/>
              </w:rPr>
            </w:pPr>
            <w:r>
              <w:rPr>
                <w:rFonts w:eastAsia="宋体" w:cs="宋体"/>
                <w:b/>
                <w:sz w:val="21"/>
                <w:lang w:eastAsia="zh-CN"/>
              </w:rPr>
              <w:t>美国食品药品监督管理局</w:t>
            </w:r>
          </w:p>
          <w:p w14:paraId="1CB3E73E">
            <w:pPr>
              <w:adjustRightInd w:val="0"/>
              <w:snapToGrid w:val="0"/>
              <w:spacing w:before="36" w:beforeLines="15" w:line="276" w:lineRule="auto"/>
              <w:jc w:val="right"/>
              <w:rPr>
                <w:b/>
                <w:sz w:val="21"/>
                <w:szCs w:val="21"/>
                <w:lang w:eastAsia="zh-CN"/>
              </w:rPr>
            </w:pPr>
            <w:r>
              <w:rPr>
                <w:rFonts w:eastAsia="宋体" w:cs="宋体"/>
                <w:b/>
                <w:sz w:val="21"/>
                <w:lang w:eastAsia="zh-CN"/>
              </w:rPr>
              <w:t>医疗器械和辐射健康中心</w:t>
            </w:r>
          </w:p>
          <w:p w14:paraId="3CBAF3CA">
            <w:pPr>
              <w:adjustRightInd w:val="0"/>
              <w:snapToGrid w:val="0"/>
              <w:spacing w:before="36" w:beforeLines="15" w:line="276" w:lineRule="auto"/>
              <w:jc w:val="right"/>
              <w:rPr>
                <w:sz w:val="21"/>
                <w:szCs w:val="21"/>
                <w:lang w:eastAsia="zh-CN"/>
              </w:rPr>
            </w:pPr>
            <w:r>
              <w:rPr>
                <w:rFonts w:eastAsia="宋体" w:cs="宋体"/>
                <w:b/>
                <w:sz w:val="21"/>
                <w:lang w:eastAsia="zh-CN"/>
              </w:rPr>
              <w:t>生物制品评价</w:t>
            </w:r>
            <w:r>
              <w:rPr>
                <w:rFonts w:hint="eastAsia" w:eastAsia="宋体" w:cs="宋体"/>
                <w:b/>
                <w:sz w:val="21"/>
                <w:lang w:eastAsia="zh-CN"/>
              </w:rPr>
              <w:t>与</w:t>
            </w:r>
            <w:r>
              <w:rPr>
                <w:rFonts w:eastAsia="宋体" w:cs="宋体"/>
                <w:b/>
                <w:sz w:val="21"/>
                <w:lang w:eastAsia="zh-CN"/>
              </w:rPr>
              <w:t>研究中心</w:t>
            </w:r>
          </w:p>
        </w:tc>
      </w:tr>
    </w:tbl>
    <w:p w14:paraId="61360E21">
      <w:pPr>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br w:type="page"/>
      </w:r>
    </w:p>
    <w:p w14:paraId="71C8E5DF">
      <w:pPr>
        <w:adjustRightInd w:val="0"/>
        <w:snapToGrid w:val="0"/>
        <w:spacing w:before="120" w:beforeLines="50" w:line="300" w:lineRule="auto"/>
        <w:jc w:val="center"/>
        <w:rPr>
          <w:b/>
          <w:sz w:val="44"/>
          <w:szCs w:val="44"/>
        </w:rPr>
      </w:pPr>
      <w:r>
        <w:rPr>
          <w:rFonts w:eastAsia="宋体" w:cs="宋体"/>
          <w:b/>
          <w:sz w:val="44"/>
        </w:rPr>
        <w:t>前言</w:t>
      </w:r>
    </w:p>
    <w:p w14:paraId="43278CB4">
      <w:pPr>
        <w:adjustRightInd w:val="0"/>
        <w:snapToGrid w:val="0"/>
        <w:spacing w:before="120" w:beforeLines="50" w:line="300" w:lineRule="auto"/>
        <w:jc w:val="both"/>
        <w:rPr>
          <w:b/>
          <w:sz w:val="28"/>
          <w:szCs w:val="28"/>
        </w:rPr>
      </w:pPr>
      <w:r>
        <w:rPr>
          <w:rFonts w:eastAsia="宋体" w:cs="宋体"/>
          <w:b/>
          <w:sz w:val="28"/>
        </w:rPr>
        <w:t>公众意见</w:t>
      </w:r>
    </w:p>
    <w:p w14:paraId="5F4DB66C">
      <w:pPr>
        <w:pStyle w:val="6"/>
        <w:adjustRightInd w:val="0"/>
        <w:snapToGrid w:val="0"/>
        <w:spacing w:before="120" w:beforeLines="50" w:line="300" w:lineRule="auto"/>
        <w:jc w:val="both"/>
        <w:rPr>
          <w:rFonts w:eastAsia="宋体"/>
          <w:sz w:val="21"/>
          <w:szCs w:val="21"/>
          <w:lang w:eastAsia="zh-CN"/>
        </w:rPr>
      </w:pPr>
      <w:r>
        <w:rPr>
          <w:rFonts w:hint="eastAsia" w:eastAsia="宋体" w:cs="宋体"/>
          <w:sz w:val="21"/>
        </w:rPr>
        <w:t>电子版意见和建议</w:t>
      </w:r>
      <w:r>
        <w:rPr>
          <w:rFonts w:eastAsia="宋体" w:cs="宋体"/>
          <w:sz w:val="21"/>
        </w:rPr>
        <w:t>可随时提交至</w:t>
      </w:r>
      <w:r>
        <w:rPr>
          <w:rFonts w:eastAsia="宋体" w:cs="宋体"/>
          <w:color w:val="0000FF"/>
          <w:sz w:val="21"/>
          <w:u w:val="single"/>
        </w:rPr>
        <w:t>http://www.regulations.gov</w:t>
      </w:r>
      <w:r>
        <w:rPr>
          <w:rFonts w:eastAsia="宋体" w:cs="宋体"/>
          <w:sz w:val="21"/>
        </w:rPr>
        <w:t>，供</w:t>
      </w:r>
      <w:r>
        <w:rPr>
          <w:rFonts w:hint="eastAsia" w:eastAsia="宋体" w:cs="宋体"/>
          <w:sz w:val="21"/>
          <w:lang w:eastAsia="zh-CN"/>
        </w:rPr>
        <w:t>FDA审议</w:t>
      </w:r>
      <w:r>
        <w:rPr>
          <w:rFonts w:eastAsia="宋体" w:cs="宋体"/>
          <w:sz w:val="21"/>
        </w:rPr>
        <w:t>。</w:t>
      </w:r>
      <w:r>
        <w:rPr>
          <w:rFonts w:eastAsia="宋体" w:cs="宋体"/>
          <w:sz w:val="21"/>
          <w:lang w:eastAsia="zh-CN"/>
        </w:rPr>
        <w:t>亦可将书面意见提交至：美国食品药品监督管理局备案文件管理部，</w:t>
      </w:r>
      <w:r>
        <w:rPr>
          <w:rFonts w:hint="eastAsia" w:eastAsia="宋体" w:cs="宋体"/>
          <w:sz w:val="21"/>
          <w:lang w:eastAsia="zh-CN"/>
        </w:rPr>
        <w:t>地址为</w:t>
      </w:r>
      <w:r>
        <w:rPr>
          <w:rFonts w:eastAsia="宋体" w:cs="宋体"/>
          <w:sz w:val="21"/>
          <w:lang w:eastAsia="zh-CN"/>
        </w:rPr>
        <w:t>5630 Fishers Lane, Room 1061, (HFA-305), Rockville, MD 20852</w:t>
      </w:r>
      <w:r>
        <w:rPr>
          <w:rFonts w:hint="eastAsia" w:eastAsia="宋体" w:cs="宋体"/>
          <w:sz w:val="21"/>
          <w:lang w:eastAsia="zh-CN"/>
        </w:rPr>
        <w:t>。</w:t>
      </w:r>
      <w:r>
        <w:rPr>
          <w:rFonts w:eastAsia="宋体" w:cs="宋体"/>
          <w:sz w:val="21"/>
          <w:lang w:eastAsia="zh-CN"/>
        </w:rPr>
        <w:t>所有意见或建议均应注明备案文件编号FDA-2017-D-6702。在下次修订或更新本文件时，FDA将考虑实施该意见。</w:t>
      </w:r>
    </w:p>
    <w:p w14:paraId="435C2FB1">
      <w:pPr>
        <w:adjustRightInd w:val="0"/>
        <w:snapToGrid w:val="0"/>
        <w:spacing w:before="120" w:beforeLines="50" w:line="300" w:lineRule="auto"/>
        <w:jc w:val="both"/>
        <w:rPr>
          <w:b/>
          <w:sz w:val="28"/>
          <w:szCs w:val="28"/>
          <w:lang w:eastAsia="zh-CN"/>
        </w:rPr>
      </w:pPr>
      <w:r>
        <w:rPr>
          <w:rFonts w:eastAsia="宋体" w:cs="宋体"/>
          <w:b/>
          <w:sz w:val="28"/>
          <w:lang w:eastAsia="zh-CN"/>
        </w:rPr>
        <w:t>更多副本</w:t>
      </w:r>
    </w:p>
    <w:p w14:paraId="429E66B4">
      <w:pPr>
        <w:adjustRightInd w:val="0"/>
        <w:snapToGrid w:val="0"/>
        <w:spacing w:before="120" w:beforeLines="50" w:line="300" w:lineRule="auto"/>
        <w:jc w:val="both"/>
        <w:rPr>
          <w:b/>
          <w:sz w:val="24"/>
          <w:szCs w:val="28"/>
          <w:lang w:eastAsia="zh-CN"/>
        </w:rPr>
      </w:pPr>
      <w:r>
        <w:rPr>
          <w:b/>
          <w:sz w:val="24"/>
          <w:szCs w:val="28"/>
          <w:lang w:eastAsia="zh-CN"/>
        </w:rPr>
        <w:t>CDRH</w:t>
      </w:r>
    </w:p>
    <w:p w14:paraId="51D6D338">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更多副本可通过互联网获得。也可以通过电子邮件发送请求至</w:t>
      </w:r>
      <w:r>
        <w:rPr>
          <w:rFonts w:eastAsia="宋体" w:cs="宋体"/>
          <w:color w:val="0000FF"/>
          <w:sz w:val="21"/>
          <w:u w:val="single"/>
          <w:lang w:eastAsia="zh-CN"/>
        </w:rPr>
        <w:t>CDRH-Guidance@fda.hhs.gov</w:t>
      </w:r>
      <w:r>
        <w:rPr>
          <w:rFonts w:eastAsia="宋体" w:cs="宋体"/>
          <w:sz w:val="21"/>
          <w:lang w:eastAsia="zh-CN"/>
        </w:rPr>
        <w:t>获取本指南的副本。请使用文件编号1332，注明所要求获取的指南。</w:t>
      </w:r>
    </w:p>
    <w:p w14:paraId="3971DE4A">
      <w:pPr>
        <w:adjustRightInd w:val="0"/>
        <w:snapToGrid w:val="0"/>
        <w:spacing w:before="120" w:beforeLines="50" w:line="300" w:lineRule="auto"/>
        <w:jc w:val="both"/>
        <w:rPr>
          <w:b/>
          <w:sz w:val="24"/>
          <w:szCs w:val="28"/>
        </w:rPr>
      </w:pPr>
      <w:r>
        <w:rPr>
          <w:b/>
          <w:sz w:val="24"/>
          <w:szCs w:val="28"/>
        </w:rPr>
        <w:t>CBER</w:t>
      </w:r>
    </w:p>
    <w:p w14:paraId="606999A4">
      <w:pPr>
        <w:pStyle w:val="6"/>
        <w:adjustRightInd w:val="0"/>
        <w:snapToGrid w:val="0"/>
        <w:spacing w:before="120" w:beforeLines="50" w:line="300" w:lineRule="auto"/>
        <w:jc w:val="both"/>
        <w:rPr>
          <w:rFonts w:eastAsia="宋体"/>
          <w:sz w:val="21"/>
          <w:szCs w:val="21"/>
        </w:rPr>
      </w:pPr>
      <w:r>
        <w:rPr>
          <w:rFonts w:eastAsia="宋体" w:cs="宋体"/>
          <w:sz w:val="21"/>
        </w:rPr>
        <w:t>可提交书面申请至如下地址</w:t>
      </w:r>
      <w:r>
        <w:rPr>
          <w:rFonts w:hint="eastAsia" w:eastAsia="宋体" w:cs="宋体"/>
          <w:sz w:val="21"/>
          <w:lang w:eastAsia="zh-CN"/>
        </w:rPr>
        <w:t>以</w:t>
      </w:r>
      <w:r>
        <w:rPr>
          <w:rFonts w:eastAsia="宋体" w:cs="宋体"/>
          <w:sz w:val="21"/>
        </w:rPr>
        <w:t>获</w:t>
      </w:r>
      <w:r>
        <w:rPr>
          <w:rFonts w:hint="eastAsia" w:eastAsia="宋体" w:cs="宋体"/>
          <w:sz w:val="21"/>
          <w:lang w:eastAsia="zh-CN"/>
        </w:rPr>
        <w:t>取</w:t>
      </w:r>
      <w:r>
        <w:rPr>
          <w:rFonts w:eastAsia="宋体" w:cs="宋体"/>
          <w:sz w:val="21"/>
        </w:rPr>
        <w:t>本指南的副本：生物制品评价</w:t>
      </w:r>
      <w:r>
        <w:rPr>
          <w:rFonts w:hint="eastAsia" w:eastAsia="宋体" w:cs="宋体"/>
          <w:sz w:val="21"/>
          <w:lang w:eastAsia="zh-CN"/>
        </w:rPr>
        <w:t>与</w:t>
      </w:r>
      <w:r>
        <w:rPr>
          <w:rFonts w:eastAsia="宋体" w:cs="宋体"/>
          <w:sz w:val="21"/>
        </w:rPr>
        <w:t>研究中心（CBER），交流、外联和发展办公室（OCOD），10903 New Hampshire Ave., WO71, Room 3128, Silver Spring, MD 20903，或致电1-800-835-4709或240-402-8010，或发送电子邮件至</w:t>
      </w:r>
      <w:r>
        <w:rPr>
          <w:rFonts w:eastAsia="宋体" w:cs="宋体"/>
          <w:color w:val="0000FF"/>
          <w:sz w:val="21"/>
          <w:u w:val="single"/>
        </w:rPr>
        <w:t>ocod@fda.hhs.gov</w:t>
      </w:r>
      <w:r>
        <w:rPr>
          <w:rFonts w:eastAsia="宋体" w:cs="宋体"/>
          <w:sz w:val="21"/>
        </w:rPr>
        <w:t>，或登录网址：</w:t>
      </w:r>
      <w:r>
        <w:rPr>
          <w:rFonts w:eastAsia="宋体" w:cs="宋体"/>
          <w:color w:val="0000FF"/>
          <w:sz w:val="21"/>
          <w:u w:val="single"/>
        </w:rPr>
        <w:t>https://www.fda.gov/BiologicsBloodVaccines/GuidanceComplianceRegulatoryInformation/Guidances/default.htm</w:t>
      </w:r>
      <w:r>
        <w:rPr>
          <w:rFonts w:eastAsia="宋体" w:cs="宋体"/>
          <w:sz w:val="21"/>
        </w:rPr>
        <w:t>。</w:t>
      </w:r>
    </w:p>
    <w:p w14:paraId="4E3823D6">
      <w:pPr>
        <w:adjustRightInd w:val="0"/>
        <w:snapToGrid w:val="0"/>
        <w:spacing w:before="120" w:beforeLines="50" w:line="300" w:lineRule="auto"/>
        <w:jc w:val="both"/>
        <w:rPr>
          <w:rFonts w:eastAsia="宋体"/>
          <w:b/>
          <w:sz w:val="21"/>
          <w:szCs w:val="21"/>
        </w:rPr>
      </w:pPr>
      <w:r>
        <w:rPr>
          <w:rFonts w:eastAsia="宋体" w:cs="宋体"/>
          <w:b/>
          <w:sz w:val="21"/>
        </w:rPr>
        <w:br w:type="page"/>
      </w:r>
    </w:p>
    <w:p w14:paraId="5AC39ADD">
      <w:pPr>
        <w:adjustRightInd w:val="0"/>
        <w:snapToGrid w:val="0"/>
        <w:spacing w:before="120" w:beforeLines="50" w:line="300" w:lineRule="auto"/>
        <w:jc w:val="center"/>
        <w:rPr>
          <w:b/>
          <w:sz w:val="28"/>
          <w:szCs w:val="28"/>
        </w:rPr>
      </w:pPr>
      <w:r>
        <w:rPr>
          <w:rFonts w:eastAsia="宋体" w:cs="宋体"/>
          <w:b/>
          <w:sz w:val="28"/>
        </w:rPr>
        <w:t>目录</w:t>
      </w:r>
    </w:p>
    <w:p w14:paraId="1D18ED20">
      <w:pPr>
        <w:pStyle w:val="11"/>
        <w:tabs>
          <w:tab w:val="right" w:leader="dot" w:pos="9061"/>
        </w:tabs>
        <w:ind w:left="527" w:hanging="527" w:hangingChars="250"/>
        <w:rPr>
          <w:rFonts w:eastAsiaTheme="minorEastAsia"/>
          <w:kern w:val="2"/>
          <w:sz w:val="22"/>
          <w:szCs w:val="22"/>
          <w:lang w:eastAsia="zh-CN" w:bidi="ar-SA"/>
        </w:rPr>
      </w:pPr>
      <w:r>
        <w:rPr>
          <w:rFonts w:eastAsia="宋体" w:cs="宋体"/>
          <w:b/>
          <w:sz w:val="21"/>
        </w:rPr>
        <w:fldChar w:fldCharType="begin"/>
      </w:r>
      <w:r>
        <w:rPr>
          <w:rFonts w:eastAsia="宋体" w:cs="宋体"/>
          <w:b/>
          <w:sz w:val="21"/>
        </w:rPr>
        <w:instrText xml:space="preserve"> TOC \o "1-4" \h \z \u </w:instrText>
      </w:r>
      <w:r>
        <w:rPr>
          <w:rFonts w:eastAsia="宋体" w:cs="宋体"/>
          <w:b/>
          <w:sz w:val="21"/>
        </w:rPr>
        <w:fldChar w:fldCharType="separate"/>
      </w:r>
      <w:r>
        <w:fldChar w:fldCharType="begin"/>
      </w:r>
      <w:r>
        <w:instrText xml:space="preserve"> HYPERLINK \l "_Toc91867526" </w:instrText>
      </w:r>
      <w:r>
        <w:fldChar w:fldCharType="separate"/>
      </w:r>
      <w:r>
        <w:rPr>
          <w:rStyle w:val="15"/>
          <w:rFonts w:eastAsia="宋体"/>
          <w:sz w:val="21"/>
          <w:lang w:eastAsia="zh-CN"/>
        </w:rPr>
        <w:t>I.</w:t>
      </w:r>
      <w:r>
        <w:rPr>
          <w:rFonts w:eastAsiaTheme="minorEastAsia"/>
          <w:kern w:val="2"/>
          <w:sz w:val="22"/>
          <w:szCs w:val="22"/>
          <w:lang w:eastAsia="zh-CN" w:bidi="ar-SA"/>
        </w:rPr>
        <w:tab/>
      </w:r>
      <w:r>
        <w:rPr>
          <w:rStyle w:val="15"/>
          <w:rFonts w:eastAsia="宋体"/>
          <w:sz w:val="21"/>
          <w:lang w:eastAsia="zh-CN"/>
        </w:rPr>
        <w:t>引言</w:t>
      </w:r>
      <w:r>
        <w:rPr>
          <w:sz w:val="21"/>
        </w:rPr>
        <w:tab/>
      </w:r>
      <w:r>
        <w:rPr>
          <w:sz w:val="21"/>
        </w:rPr>
        <w:fldChar w:fldCharType="begin"/>
      </w:r>
      <w:r>
        <w:rPr>
          <w:sz w:val="21"/>
        </w:rPr>
        <w:instrText xml:space="preserve"> PAGEREF _Toc91867526 \h </w:instrText>
      </w:r>
      <w:r>
        <w:rPr>
          <w:sz w:val="21"/>
        </w:rPr>
        <w:fldChar w:fldCharType="separate"/>
      </w:r>
      <w:r>
        <w:rPr>
          <w:sz w:val="21"/>
        </w:rPr>
        <w:t>4</w:t>
      </w:r>
      <w:r>
        <w:rPr>
          <w:sz w:val="21"/>
        </w:rPr>
        <w:fldChar w:fldCharType="end"/>
      </w:r>
      <w:r>
        <w:rPr>
          <w:sz w:val="21"/>
        </w:rPr>
        <w:fldChar w:fldCharType="end"/>
      </w:r>
    </w:p>
    <w:p w14:paraId="604D9A1F">
      <w:pPr>
        <w:pStyle w:val="11"/>
        <w:tabs>
          <w:tab w:val="left" w:pos="680"/>
          <w:tab w:val="right" w:leader="dot" w:pos="9061"/>
        </w:tabs>
        <w:ind w:left="500" w:hanging="500" w:hangingChars="250"/>
        <w:rPr>
          <w:rFonts w:eastAsiaTheme="minorEastAsia"/>
          <w:kern w:val="2"/>
          <w:sz w:val="22"/>
          <w:szCs w:val="22"/>
          <w:lang w:eastAsia="zh-CN" w:bidi="ar-SA"/>
        </w:rPr>
      </w:pPr>
      <w:r>
        <w:fldChar w:fldCharType="begin"/>
      </w:r>
      <w:r>
        <w:instrText xml:space="preserve"> HYPERLINK \l "_Toc91867527" </w:instrText>
      </w:r>
      <w:r>
        <w:fldChar w:fldCharType="separate"/>
      </w:r>
      <w:r>
        <w:rPr>
          <w:rStyle w:val="15"/>
          <w:rFonts w:eastAsia="宋体"/>
          <w:sz w:val="21"/>
          <w:lang w:eastAsia="zh-CN"/>
        </w:rPr>
        <w:t>II.</w:t>
      </w:r>
      <w:r>
        <w:rPr>
          <w:rFonts w:eastAsiaTheme="minorEastAsia"/>
          <w:kern w:val="2"/>
          <w:sz w:val="22"/>
          <w:szCs w:val="22"/>
          <w:lang w:eastAsia="zh-CN" w:bidi="ar-SA"/>
        </w:rPr>
        <w:tab/>
      </w:r>
      <w:r>
        <w:rPr>
          <w:rStyle w:val="15"/>
          <w:rFonts w:eastAsia="宋体"/>
          <w:sz w:val="21"/>
          <w:lang w:eastAsia="zh-CN"/>
        </w:rPr>
        <w:t>背景</w:t>
      </w:r>
      <w:r>
        <w:rPr>
          <w:sz w:val="21"/>
        </w:rPr>
        <w:tab/>
      </w:r>
      <w:r>
        <w:rPr>
          <w:sz w:val="21"/>
        </w:rPr>
        <w:fldChar w:fldCharType="begin"/>
      </w:r>
      <w:r>
        <w:rPr>
          <w:sz w:val="21"/>
        </w:rPr>
        <w:instrText xml:space="preserve"> PAGEREF _Toc91867527 \h </w:instrText>
      </w:r>
      <w:r>
        <w:rPr>
          <w:sz w:val="21"/>
        </w:rPr>
        <w:fldChar w:fldCharType="separate"/>
      </w:r>
      <w:r>
        <w:rPr>
          <w:sz w:val="21"/>
        </w:rPr>
        <w:t>5</w:t>
      </w:r>
      <w:r>
        <w:rPr>
          <w:sz w:val="21"/>
        </w:rPr>
        <w:fldChar w:fldCharType="end"/>
      </w:r>
      <w:r>
        <w:rPr>
          <w:sz w:val="21"/>
        </w:rPr>
        <w:fldChar w:fldCharType="end"/>
      </w:r>
    </w:p>
    <w:p w14:paraId="1C1E8BA1">
      <w:pPr>
        <w:pStyle w:val="11"/>
        <w:tabs>
          <w:tab w:val="right" w:leader="dot" w:pos="9061"/>
        </w:tabs>
        <w:ind w:left="500" w:hanging="500" w:hangingChars="250"/>
        <w:rPr>
          <w:rFonts w:eastAsiaTheme="minorEastAsia"/>
          <w:kern w:val="2"/>
          <w:sz w:val="22"/>
          <w:szCs w:val="22"/>
          <w:lang w:eastAsia="zh-CN" w:bidi="ar-SA"/>
        </w:rPr>
      </w:pPr>
      <w:r>
        <w:fldChar w:fldCharType="begin"/>
      </w:r>
      <w:r>
        <w:instrText xml:space="preserve"> HYPERLINK \l "_Toc91867528" </w:instrText>
      </w:r>
      <w:r>
        <w:fldChar w:fldCharType="separate"/>
      </w:r>
      <w:r>
        <w:rPr>
          <w:rStyle w:val="15"/>
          <w:rFonts w:eastAsia="宋体"/>
          <w:sz w:val="21"/>
          <w:lang w:eastAsia="zh-CN"/>
        </w:rPr>
        <w:t>III.</w:t>
      </w:r>
      <w:r>
        <w:rPr>
          <w:rFonts w:eastAsiaTheme="minorEastAsia"/>
          <w:kern w:val="2"/>
          <w:sz w:val="22"/>
          <w:szCs w:val="22"/>
          <w:lang w:eastAsia="zh-CN" w:bidi="ar-SA"/>
        </w:rPr>
        <w:tab/>
      </w:r>
      <w:r>
        <w:rPr>
          <w:rStyle w:val="15"/>
          <w:rFonts w:eastAsia="宋体"/>
          <w:sz w:val="21"/>
          <w:lang w:eastAsia="zh-CN"/>
        </w:rPr>
        <w:t>范围</w:t>
      </w:r>
      <w:r>
        <w:rPr>
          <w:sz w:val="21"/>
        </w:rPr>
        <w:tab/>
      </w:r>
      <w:r>
        <w:rPr>
          <w:sz w:val="21"/>
        </w:rPr>
        <w:fldChar w:fldCharType="begin"/>
      </w:r>
      <w:r>
        <w:rPr>
          <w:sz w:val="21"/>
        </w:rPr>
        <w:instrText xml:space="preserve"> PAGEREF _Toc91867528 \h </w:instrText>
      </w:r>
      <w:r>
        <w:rPr>
          <w:sz w:val="21"/>
        </w:rPr>
        <w:fldChar w:fldCharType="separate"/>
      </w:r>
      <w:r>
        <w:rPr>
          <w:sz w:val="21"/>
        </w:rPr>
        <w:t>7</w:t>
      </w:r>
      <w:r>
        <w:rPr>
          <w:sz w:val="21"/>
        </w:rPr>
        <w:fldChar w:fldCharType="end"/>
      </w:r>
      <w:r>
        <w:rPr>
          <w:sz w:val="21"/>
        </w:rPr>
        <w:fldChar w:fldCharType="end"/>
      </w:r>
    </w:p>
    <w:p w14:paraId="5ADF5656">
      <w:pPr>
        <w:pStyle w:val="11"/>
        <w:tabs>
          <w:tab w:val="right" w:leader="dot" w:pos="9061"/>
        </w:tabs>
        <w:ind w:left="500" w:hanging="500" w:hangingChars="250"/>
        <w:rPr>
          <w:rFonts w:eastAsiaTheme="minorEastAsia"/>
          <w:kern w:val="2"/>
          <w:sz w:val="22"/>
          <w:szCs w:val="22"/>
          <w:lang w:eastAsia="zh-CN" w:bidi="ar-SA"/>
        </w:rPr>
      </w:pPr>
      <w:r>
        <w:fldChar w:fldCharType="begin"/>
      </w:r>
      <w:r>
        <w:instrText xml:space="preserve"> HYPERLINK \l "_Toc91867529" </w:instrText>
      </w:r>
      <w:r>
        <w:fldChar w:fldCharType="separate"/>
      </w:r>
      <w:r>
        <w:rPr>
          <w:rStyle w:val="15"/>
          <w:rFonts w:eastAsia="宋体"/>
          <w:sz w:val="21"/>
        </w:rPr>
        <w:t>IV.</w:t>
      </w:r>
      <w:r>
        <w:rPr>
          <w:rFonts w:eastAsiaTheme="minorEastAsia"/>
          <w:kern w:val="2"/>
          <w:sz w:val="22"/>
          <w:szCs w:val="22"/>
          <w:lang w:eastAsia="zh-CN" w:bidi="ar-SA"/>
        </w:rPr>
        <w:tab/>
      </w:r>
      <w:r>
        <w:rPr>
          <w:rStyle w:val="15"/>
          <w:rFonts w:eastAsia="宋体"/>
          <w:sz w:val="21"/>
        </w:rPr>
        <w:t>指导原则</w:t>
      </w:r>
      <w:r>
        <w:rPr>
          <w:sz w:val="21"/>
        </w:rPr>
        <w:tab/>
      </w:r>
      <w:r>
        <w:rPr>
          <w:sz w:val="21"/>
        </w:rPr>
        <w:fldChar w:fldCharType="begin"/>
      </w:r>
      <w:r>
        <w:rPr>
          <w:sz w:val="21"/>
        </w:rPr>
        <w:instrText xml:space="preserve"> PAGEREF _Toc91867529 \h </w:instrText>
      </w:r>
      <w:r>
        <w:rPr>
          <w:sz w:val="21"/>
        </w:rPr>
        <w:fldChar w:fldCharType="separate"/>
      </w:r>
      <w:r>
        <w:rPr>
          <w:sz w:val="21"/>
        </w:rPr>
        <w:t>8</w:t>
      </w:r>
      <w:r>
        <w:rPr>
          <w:sz w:val="21"/>
        </w:rPr>
        <w:fldChar w:fldCharType="end"/>
      </w:r>
      <w:r>
        <w:rPr>
          <w:sz w:val="21"/>
        </w:rPr>
        <w:fldChar w:fldCharType="end"/>
      </w:r>
    </w:p>
    <w:p w14:paraId="44FFF995">
      <w:pPr>
        <w:pStyle w:val="11"/>
        <w:tabs>
          <w:tab w:val="right" w:leader="dot" w:pos="9061"/>
        </w:tabs>
        <w:ind w:left="500" w:hanging="500" w:hangingChars="250"/>
        <w:rPr>
          <w:rFonts w:eastAsiaTheme="minorEastAsia"/>
          <w:kern w:val="2"/>
          <w:sz w:val="22"/>
          <w:szCs w:val="22"/>
          <w:lang w:eastAsia="zh-CN" w:bidi="ar-SA"/>
        </w:rPr>
      </w:pPr>
      <w:r>
        <w:fldChar w:fldCharType="begin"/>
      </w:r>
      <w:r>
        <w:instrText xml:space="preserve"> HYPERLINK \l "_Toc91867530" </w:instrText>
      </w:r>
      <w:r>
        <w:fldChar w:fldCharType="separate"/>
      </w:r>
      <w:r>
        <w:rPr>
          <w:rStyle w:val="15"/>
          <w:rFonts w:eastAsia="宋体"/>
          <w:sz w:val="21"/>
          <w:lang w:eastAsia="zh-CN"/>
        </w:rPr>
        <w:t>V.</w:t>
      </w:r>
      <w:r>
        <w:rPr>
          <w:rFonts w:eastAsiaTheme="minorEastAsia"/>
          <w:kern w:val="2"/>
          <w:sz w:val="22"/>
          <w:szCs w:val="22"/>
          <w:lang w:eastAsia="zh-CN" w:bidi="ar-SA"/>
        </w:rPr>
        <w:tab/>
      </w:r>
      <w:r>
        <w:rPr>
          <w:rStyle w:val="15"/>
          <w:rFonts w:eastAsia="宋体"/>
          <w:sz w:val="21"/>
          <w:lang w:eastAsia="zh-CN"/>
        </w:rPr>
        <w:t>最小负担原则的应用</w:t>
      </w:r>
      <w:r>
        <w:rPr>
          <w:sz w:val="21"/>
        </w:rPr>
        <w:tab/>
      </w:r>
      <w:r>
        <w:rPr>
          <w:sz w:val="21"/>
        </w:rPr>
        <w:fldChar w:fldCharType="begin"/>
      </w:r>
      <w:r>
        <w:rPr>
          <w:sz w:val="21"/>
        </w:rPr>
        <w:instrText xml:space="preserve"> PAGEREF _Toc91867530 \h </w:instrText>
      </w:r>
      <w:r>
        <w:rPr>
          <w:sz w:val="21"/>
        </w:rPr>
        <w:fldChar w:fldCharType="separate"/>
      </w:r>
      <w:r>
        <w:rPr>
          <w:sz w:val="21"/>
        </w:rPr>
        <w:t>9</w:t>
      </w:r>
      <w:r>
        <w:rPr>
          <w:sz w:val="21"/>
        </w:rPr>
        <w:fldChar w:fldCharType="end"/>
      </w:r>
      <w:r>
        <w:rPr>
          <w:sz w:val="21"/>
        </w:rPr>
        <w:fldChar w:fldCharType="end"/>
      </w:r>
    </w:p>
    <w:p w14:paraId="2B16A8E4">
      <w:pPr>
        <w:pStyle w:val="11"/>
        <w:tabs>
          <w:tab w:val="right" w:leader="dot" w:pos="9061"/>
        </w:tabs>
        <w:ind w:left="500" w:hanging="500" w:hangingChars="250"/>
        <w:rPr>
          <w:rFonts w:eastAsiaTheme="minorEastAsia"/>
          <w:kern w:val="2"/>
          <w:sz w:val="22"/>
          <w:szCs w:val="22"/>
          <w:lang w:eastAsia="zh-CN" w:bidi="ar-SA"/>
        </w:rPr>
      </w:pPr>
      <w:r>
        <w:fldChar w:fldCharType="begin"/>
      </w:r>
      <w:r>
        <w:instrText xml:space="preserve"> HYPERLINK \l "_Toc91867531" </w:instrText>
      </w:r>
      <w:r>
        <w:fldChar w:fldCharType="separate"/>
      </w:r>
      <w:r>
        <w:rPr>
          <w:rStyle w:val="15"/>
          <w:rFonts w:eastAsia="宋体"/>
          <w:sz w:val="21"/>
          <w:lang w:eastAsia="zh-CN"/>
        </w:rPr>
        <w:t>A.</w:t>
      </w:r>
      <w:r>
        <w:rPr>
          <w:rFonts w:eastAsiaTheme="minorEastAsia"/>
          <w:kern w:val="2"/>
          <w:sz w:val="22"/>
          <w:szCs w:val="22"/>
          <w:lang w:eastAsia="zh-CN" w:bidi="ar-SA"/>
        </w:rPr>
        <w:tab/>
      </w:r>
      <w:r>
        <w:rPr>
          <w:rStyle w:val="15"/>
          <w:rFonts w:eastAsia="宋体"/>
          <w:sz w:val="21"/>
          <w:lang w:eastAsia="zh-CN"/>
        </w:rPr>
        <w:t>最少必要信息</w:t>
      </w:r>
      <w:r>
        <w:rPr>
          <w:sz w:val="21"/>
        </w:rPr>
        <w:tab/>
      </w:r>
      <w:r>
        <w:rPr>
          <w:sz w:val="21"/>
        </w:rPr>
        <w:fldChar w:fldCharType="begin"/>
      </w:r>
      <w:r>
        <w:rPr>
          <w:sz w:val="21"/>
        </w:rPr>
        <w:instrText xml:space="preserve"> PAGEREF _Toc91867531 \h </w:instrText>
      </w:r>
      <w:r>
        <w:rPr>
          <w:sz w:val="21"/>
        </w:rPr>
        <w:fldChar w:fldCharType="separate"/>
      </w:r>
      <w:r>
        <w:rPr>
          <w:sz w:val="21"/>
        </w:rPr>
        <w:t>9</w:t>
      </w:r>
      <w:r>
        <w:rPr>
          <w:sz w:val="21"/>
        </w:rPr>
        <w:fldChar w:fldCharType="end"/>
      </w:r>
      <w:r>
        <w:rPr>
          <w:sz w:val="21"/>
        </w:rPr>
        <w:fldChar w:fldCharType="end"/>
      </w:r>
    </w:p>
    <w:p w14:paraId="1F59EB8D">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"_Toc91867532" </w:instrText>
      </w:r>
      <w:r>
        <w:fldChar w:fldCharType="separate"/>
      </w:r>
      <w:r>
        <w:rPr>
          <w:rStyle w:val="15"/>
          <w:rFonts w:eastAsia="宋体"/>
          <w:sz w:val="21"/>
          <w:lang w:eastAsia="zh-CN"/>
        </w:rPr>
        <w:t>（1）</w:t>
      </w:r>
      <w:r>
        <w:rPr>
          <w:rFonts w:eastAsiaTheme="minorEastAsia"/>
          <w:kern w:val="2"/>
          <w:sz w:val="22"/>
          <w:szCs w:val="22"/>
          <w:lang w:eastAsia="zh-CN" w:bidi="ar-SA"/>
        </w:rPr>
        <w:tab/>
      </w:r>
      <w:r>
        <w:rPr>
          <w:rStyle w:val="15"/>
          <w:rFonts w:eastAsia="宋体"/>
          <w:sz w:val="21"/>
          <w:lang w:eastAsia="zh-CN"/>
        </w:rPr>
        <w:t>负担较小的临床数据来源</w:t>
      </w:r>
      <w:r>
        <w:rPr>
          <w:sz w:val="21"/>
        </w:rPr>
        <w:tab/>
      </w:r>
      <w:r>
        <w:rPr>
          <w:sz w:val="21"/>
        </w:rPr>
        <w:fldChar w:fldCharType="begin"/>
      </w:r>
      <w:r>
        <w:rPr>
          <w:sz w:val="21"/>
        </w:rPr>
        <w:instrText xml:space="preserve"> PAGEREF _Toc91867532 \h </w:instrText>
      </w:r>
      <w:r>
        <w:rPr>
          <w:sz w:val="21"/>
        </w:rPr>
        <w:fldChar w:fldCharType="separate"/>
      </w:r>
      <w:r>
        <w:rPr>
          <w:sz w:val="21"/>
        </w:rPr>
        <w:t>10</w:t>
      </w:r>
      <w:r>
        <w:rPr>
          <w:sz w:val="21"/>
        </w:rPr>
        <w:fldChar w:fldCharType="end"/>
      </w:r>
      <w:r>
        <w:rPr>
          <w:sz w:val="21"/>
        </w:rPr>
        <w:fldChar w:fldCharType="end"/>
      </w:r>
    </w:p>
    <w:p w14:paraId="57AE46F4">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"_Toc91867533" </w:instrText>
      </w:r>
      <w:r>
        <w:fldChar w:fldCharType="separate"/>
      </w:r>
      <w:r>
        <w:rPr>
          <w:rStyle w:val="15"/>
          <w:rFonts w:eastAsia="宋体"/>
          <w:sz w:val="21"/>
          <w:lang w:eastAsia="zh-CN"/>
        </w:rPr>
        <w:t>（2）</w:t>
      </w:r>
      <w:r>
        <w:rPr>
          <w:rFonts w:eastAsiaTheme="minorEastAsia"/>
          <w:kern w:val="2"/>
          <w:sz w:val="22"/>
          <w:szCs w:val="22"/>
          <w:lang w:eastAsia="zh-CN" w:bidi="ar-SA"/>
        </w:rPr>
        <w:tab/>
      </w:r>
      <w:r>
        <w:rPr>
          <w:rStyle w:val="15"/>
          <w:rFonts w:eastAsia="宋体"/>
          <w:sz w:val="21"/>
          <w:lang w:eastAsia="zh-CN"/>
        </w:rPr>
        <w:t>使用非临床数据</w:t>
      </w:r>
      <w:r>
        <w:rPr>
          <w:sz w:val="21"/>
        </w:rPr>
        <w:tab/>
      </w:r>
      <w:r>
        <w:rPr>
          <w:sz w:val="21"/>
        </w:rPr>
        <w:fldChar w:fldCharType="begin"/>
      </w:r>
      <w:r>
        <w:rPr>
          <w:sz w:val="21"/>
        </w:rPr>
        <w:instrText xml:space="preserve"> PAGEREF _Toc91867533 \h </w:instrText>
      </w:r>
      <w:r>
        <w:rPr>
          <w:sz w:val="21"/>
        </w:rPr>
        <w:fldChar w:fldCharType="separate"/>
      </w:r>
      <w:r>
        <w:rPr>
          <w:sz w:val="21"/>
        </w:rPr>
        <w:t>12</w:t>
      </w:r>
      <w:r>
        <w:rPr>
          <w:sz w:val="21"/>
        </w:rPr>
        <w:fldChar w:fldCharType="end"/>
      </w:r>
      <w:r>
        <w:rPr>
          <w:sz w:val="21"/>
        </w:rPr>
        <w:fldChar w:fldCharType="end"/>
      </w:r>
    </w:p>
    <w:p w14:paraId="53E4EA76">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"_Toc91867534" </w:instrText>
      </w:r>
      <w:r>
        <w:fldChar w:fldCharType="separate"/>
      </w:r>
      <w:r>
        <w:rPr>
          <w:rStyle w:val="15"/>
          <w:rFonts w:eastAsia="宋体"/>
          <w:sz w:val="21"/>
          <w:lang w:eastAsia="zh-CN"/>
        </w:rPr>
        <w:t>（3）</w:t>
      </w:r>
      <w:r>
        <w:rPr>
          <w:rFonts w:eastAsiaTheme="minorEastAsia"/>
          <w:kern w:val="2"/>
          <w:sz w:val="22"/>
          <w:szCs w:val="22"/>
          <w:lang w:eastAsia="zh-CN" w:bidi="ar-SA"/>
        </w:rPr>
        <w:tab/>
      </w:r>
      <w:r>
        <w:rPr>
          <w:rStyle w:val="15"/>
          <w:rFonts w:eastAsia="宋体"/>
          <w:sz w:val="21"/>
          <w:lang w:eastAsia="zh-CN"/>
        </w:rPr>
        <w:t>接受替代方法</w:t>
      </w:r>
      <w:r>
        <w:rPr>
          <w:sz w:val="21"/>
        </w:rPr>
        <w:tab/>
      </w:r>
      <w:r>
        <w:rPr>
          <w:sz w:val="21"/>
        </w:rPr>
        <w:fldChar w:fldCharType="begin"/>
      </w:r>
      <w:r>
        <w:rPr>
          <w:sz w:val="21"/>
        </w:rPr>
        <w:instrText xml:space="preserve"> PAGEREF _Toc91867534 \h </w:instrText>
      </w:r>
      <w:r>
        <w:rPr>
          <w:sz w:val="21"/>
        </w:rPr>
        <w:fldChar w:fldCharType="separate"/>
      </w:r>
      <w:r>
        <w:rPr>
          <w:sz w:val="21"/>
        </w:rPr>
        <w:t>13</w:t>
      </w:r>
      <w:r>
        <w:rPr>
          <w:sz w:val="21"/>
        </w:rPr>
        <w:fldChar w:fldCharType="end"/>
      </w:r>
      <w:r>
        <w:rPr>
          <w:sz w:val="21"/>
        </w:rPr>
        <w:fldChar w:fldCharType="end"/>
      </w:r>
    </w:p>
    <w:p w14:paraId="10039952">
      <w:pPr>
        <w:pStyle w:val="11"/>
        <w:tabs>
          <w:tab w:val="right" w:leader="dot" w:pos="9061"/>
        </w:tabs>
        <w:ind w:left="500" w:hanging="500" w:hangingChars="250"/>
        <w:rPr>
          <w:rFonts w:eastAsiaTheme="minorEastAsia"/>
          <w:kern w:val="2"/>
          <w:sz w:val="22"/>
          <w:szCs w:val="22"/>
          <w:lang w:eastAsia="zh-CN" w:bidi="ar-SA"/>
        </w:rPr>
      </w:pPr>
      <w:r>
        <w:fldChar w:fldCharType="begin"/>
      </w:r>
      <w:r>
        <w:instrText xml:space="preserve"> HYPERLINK \l "_Toc91867535" </w:instrText>
      </w:r>
      <w:r>
        <w:fldChar w:fldCharType="separate"/>
      </w:r>
      <w:r>
        <w:rPr>
          <w:rStyle w:val="15"/>
          <w:rFonts w:eastAsia="宋体"/>
          <w:sz w:val="21"/>
          <w:lang w:eastAsia="zh-CN"/>
        </w:rPr>
        <w:t>B.</w:t>
      </w:r>
      <w:r>
        <w:rPr>
          <w:rFonts w:eastAsiaTheme="minorEastAsia"/>
          <w:kern w:val="2"/>
          <w:sz w:val="22"/>
          <w:szCs w:val="22"/>
          <w:lang w:eastAsia="zh-CN" w:bidi="ar-SA"/>
        </w:rPr>
        <w:tab/>
      </w:r>
      <w:r>
        <w:rPr>
          <w:rStyle w:val="15"/>
          <w:rFonts w:eastAsia="宋体"/>
          <w:sz w:val="21"/>
          <w:lang w:eastAsia="zh-CN"/>
        </w:rPr>
        <w:t>最有效率的方式</w:t>
      </w:r>
      <w:r>
        <w:rPr>
          <w:sz w:val="21"/>
        </w:rPr>
        <w:tab/>
      </w:r>
      <w:r>
        <w:rPr>
          <w:sz w:val="21"/>
        </w:rPr>
        <w:fldChar w:fldCharType="begin"/>
      </w:r>
      <w:r>
        <w:rPr>
          <w:sz w:val="21"/>
        </w:rPr>
        <w:instrText xml:space="preserve"> PAGEREF _Toc91867535 \h </w:instrText>
      </w:r>
      <w:r>
        <w:rPr>
          <w:sz w:val="21"/>
        </w:rPr>
        <w:fldChar w:fldCharType="separate"/>
      </w:r>
      <w:r>
        <w:rPr>
          <w:sz w:val="21"/>
        </w:rPr>
        <w:t>14</w:t>
      </w:r>
      <w:r>
        <w:rPr>
          <w:sz w:val="21"/>
        </w:rPr>
        <w:fldChar w:fldCharType="end"/>
      </w:r>
      <w:r>
        <w:rPr>
          <w:sz w:val="21"/>
        </w:rPr>
        <w:fldChar w:fldCharType="end"/>
      </w:r>
    </w:p>
    <w:p w14:paraId="751D9A34">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"_Toc91867536" </w:instrText>
      </w:r>
      <w:r>
        <w:fldChar w:fldCharType="separate"/>
      </w:r>
      <w:r>
        <w:rPr>
          <w:rStyle w:val="15"/>
          <w:rFonts w:eastAsia="宋体"/>
          <w:sz w:val="21"/>
          <w:lang w:eastAsia="zh-CN"/>
        </w:rPr>
        <w:t>（1）</w:t>
      </w:r>
      <w:r>
        <w:rPr>
          <w:rFonts w:eastAsiaTheme="minorEastAsia"/>
          <w:kern w:val="2"/>
          <w:sz w:val="22"/>
          <w:szCs w:val="22"/>
          <w:lang w:eastAsia="zh-CN" w:bidi="ar-SA"/>
        </w:rPr>
        <w:tab/>
      </w:r>
      <w:r>
        <w:rPr>
          <w:rStyle w:val="15"/>
          <w:rFonts w:eastAsia="宋体"/>
          <w:sz w:val="21"/>
          <w:lang w:eastAsia="zh-CN"/>
        </w:rPr>
        <w:t>减轻传统临床研究的负担</w:t>
      </w:r>
      <w:r>
        <w:rPr>
          <w:sz w:val="21"/>
        </w:rPr>
        <w:tab/>
      </w:r>
      <w:r>
        <w:rPr>
          <w:sz w:val="21"/>
        </w:rPr>
        <w:fldChar w:fldCharType="begin"/>
      </w:r>
      <w:r>
        <w:rPr>
          <w:sz w:val="21"/>
        </w:rPr>
        <w:instrText xml:space="preserve"> PAGEREF _Toc91867536 \h </w:instrText>
      </w:r>
      <w:r>
        <w:rPr>
          <w:sz w:val="21"/>
        </w:rPr>
        <w:fldChar w:fldCharType="separate"/>
      </w:r>
      <w:r>
        <w:rPr>
          <w:sz w:val="21"/>
        </w:rPr>
        <w:t>14</w:t>
      </w:r>
      <w:r>
        <w:rPr>
          <w:sz w:val="21"/>
        </w:rPr>
        <w:fldChar w:fldCharType="end"/>
      </w:r>
      <w:r>
        <w:rPr>
          <w:sz w:val="21"/>
        </w:rPr>
        <w:fldChar w:fldCharType="end"/>
      </w:r>
    </w:p>
    <w:p w14:paraId="0BB1BEAC">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"_Toc91867537" </w:instrText>
      </w:r>
      <w:r>
        <w:fldChar w:fldCharType="separate"/>
      </w:r>
      <w:r>
        <w:rPr>
          <w:rStyle w:val="15"/>
          <w:rFonts w:eastAsia="宋体"/>
          <w:sz w:val="21"/>
          <w:lang w:eastAsia="zh-CN"/>
        </w:rPr>
        <w:t>（2）</w:t>
      </w:r>
      <w:r>
        <w:rPr>
          <w:rFonts w:eastAsiaTheme="minorEastAsia"/>
          <w:kern w:val="2"/>
          <w:sz w:val="22"/>
          <w:szCs w:val="22"/>
          <w:lang w:eastAsia="zh-CN" w:bidi="ar-SA"/>
        </w:rPr>
        <w:tab/>
      </w:r>
      <w:r>
        <w:rPr>
          <w:rStyle w:val="15"/>
          <w:rFonts w:eastAsia="宋体"/>
          <w:sz w:val="21"/>
          <w:lang w:eastAsia="zh-CN"/>
        </w:rPr>
        <w:t>使用受益-风险评估</w:t>
      </w:r>
      <w:r>
        <w:rPr>
          <w:sz w:val="21"/>
        </w:rPr>
        <w:tab/>
      </w:r>
      <w:r>
        <w:rPr>
          <w:sz w:val="21"/>
        </w:rPr>
        <w:fldChar w:fldCharType="begin"/>
      </w:r>
      <w:r>
        <w:rPr>
          <w:sz w:val="21"/>
        </w:rPr>
        <w:instrText xml:space="preserve"> PAGEREF _Toc91867537 \h </w:instrText>
      </w:r>
      <w:r>
        <w:rPr>
          <w:sz w:val="21"/>
        </w:rPr>
        <w:fldChar w:fldCharType="separate"/>
      </w:r>
      <w:r>
        <w:rPr>
          <w:sz w:val="21"/>
        </w:rPr>
        <w:t>16</w:t>
      </w:r>
      <w:r>
        <w:rPr>
          <w:sz w:val="21"/>
        </w:rPr>
        <w:fldChar w:fldCharType="end"/>
      </w:r>
      <w:r>
        <w:rPr>
          <w:sz w:val="21"/>
        </w:rPr>
        <w:fldChar w:fldCharType="end"/>
      </w:r>
    </w:p>
    <w:p w14:paraId="3CEC70AD">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"_Toc91867538" </w:instrText>
      </w:r>
      <w:r>
        <w:fldChar w:fldCharType="separate"/>
      </w:r>
      <w:r>
        <w:rPr>
          <w:rStyle w:val="15"/>
          <w:rFonts w:eastAsia="宋体"/>
          <w:sz w:val="21"/>
          <w:lang w:eastAsia="zh-CN"/>
        </w:rPr>
        <w:t>（3）</w:t>
      </w:r>
      <w:r>
        <w:rPr>
          <w:rFonts w:eastAsiaTheme="minorEastAsia"/>
          <w:kern w:val="2"/>
          <w:sz w:val="22"/>
          <w:szCs w:val="22"/>
          <w:lang w:eastAsia="zh-CN" w:bidi="ar-SA"/>
        </w:rPr>
        <w:tab/>
      </w:r>
      <w:r>
        <w:rPr>
          <w:rStyle w:val="15"/>
          <w:rFonts w:eastAsia="宋体"/>
          <w:sz w:val="21"/>
          <w:lang w:eastAsia="zh-CN"/>
        </w:rPr>
        <w:t>简化流程与减轻行政管理负担</w:t>
      </w:r>
      <w:r>
        <w:rPr>
          <w:sz w:val="21"/>
        </w:rPr>
        <w:tab/>
      </w:r>
      <w:r>
        <w:rPr>
          <w:sz w:val="21"/>
        </w:rPr>
        <w:fldChar w:fldCharType="begin"/>
      </w:r>
      <w:r>
        <w:rPr>
          <w:sz w:val="21"/>
        </w:rPr>
        <w:instrText xml:space="preserve"> PAGEREF _Toc91867538 \h </w:instrText>
      </w:r>
      <w:r>
        <w:rPr>
          <w:sz w:val="21"/>
        </w:rPr>
        <w:fldChar w:fldCharType="separate"/>
      </w:r>
      <w:r>
        <w:rPr>
          <w:sz w:val="21"/>
        </w:rPr>
        <w:t>17</w:t>
      </w:r>
      <w:r>
        <w:rPr>
          <w:sz w:val="21"/>
        </w:rPr>
        <w:fldChar w:fldCharType="end"/>
      </w:r>
      <w:r>
        <w:rPr>
          <w:sz w:val="21"/>
        </w:rPr>
        <w:fldChar w:fldCharType="end"/>
      </w:r>
    </w:p>
    <w:p w14:paraId="55AB6C6C">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"_Toc91867539" </w:instrText>
      </w:r>
      <w:r>
        <w:fldChar w:fldCharType="separate"/>
      </w:r>
      <w:r>
        <w:rPr>
          <w:rStyle w:val="15"/>
          <w:rFonts w:eastAsia="宋体"/>
          <w:sz w:val="21"/>
          <w:lang w:eastAsia="zh-CN"/>
        </w:rPr>
        <w:t>（4）</w:t>
      </w:r>
      <w:r>
        <w:rPr>
          <w:rFonts w:eastAsiaTheme="minorEastAsia"/>
          <w:kern w:val="2"/>
          <w:sz w:val="22"/>
          <w:szCs w:val="22"/>
          <w:lang w:eastAsia="zh-CN" w:bidi="ar-SA"/>
        </w:rPr>
        <w:tab/>
      </w:r>
      <w:r>
        <w:rPr>
          <w:rStyle w:val="15"/>
          <w:rFonts w:eastAsia="宋体"/>
          <w:sz w:val="21"/>
          <w:lang w:eastAsia="zh-CN"/>
        </w:rPr>
        <w:t>智能监管</w:t>
      </w:r>
      <w:r>
        <w:rPr>
          <w:sz w:val="21"/>
        </w:rPr>
        <w:tab/>
      </w:r>
      <w:r>
        <w:rPr>
          <w:sz w:val="21"/>
        </w:rPr>
        <w:fldChar w:fldCharType="begin"/>
      </w:r>
      <w:r>
        <w:rPr>
          <w:sz w:val="21"/>
        </w:rPr>
        <w:instrText xml:space="preserve"> PAGEREF _Toc91867539 \h </w:instrText>
      </w:r>
      <w:r>
        <w:rPr>
          <w:sz w:val="21"/>
        </w:rPr>
        <w:fldChar w:fldCharType="separate"/>
      </w:r>
      <w:r>
        <w:rPr>
          <w:sz w:val="21"/>
        </w:rPr>
        <w:t>19</w:t>
      </w:r>
      <w:r>
        <w:rPr>
          <w:sz w:val="21"/>
        </w:rPr>
        <w:fldChar w:fldCharType="end"/>
      </w:r>
      <w:r>
        <w:rPr>
          <w:sz w:val="21"/>
        </w:rPr>
        <w:fldChar w:fldCharType="end"/>
      </w:r>
    </w:p>
    <w:p w14:paraId="2C6B4154">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"_Toc91867540" </w:instrText>
      </w:r>
      <w:r>
        <w:fldChar w:fldCharType="separate"/>
      </w:r>
      <w:r>
        <w:rPr>
          <w:rStyle w:val="15"/>
          <w:rFonts w:eastAsia="宋体"/>
          <w:sz w:val="21"/>
          <w:lang w:eastAsia="zh-CN"/>
        </w:rPr>
        <w:t>（5）</w:t>
      </w:r>
      <w:r>
        <w:rPr>
          <w:rFonts w:eastAsiaTheme="minorEastAsia"/>
          <w:kern w:val="2"/>
          <w:sz w:val="22"/>
          <w:szCs w:val="22"/>
          <w:lang w:eastAsia="zh-CN" w:bidi="ar-SA"/>
        </w:rPr>
        <w:tab/>
      </w:r>
      <w:r>
        <w:rPr>
          <w:rStyle w:val="15"/>
          <w:rFonts w:eastAsia="宋体"/>
          <w:sz w:val="21"/>
          <w:lang w:eastAsia="zh-CN"/>
        </w:rPr>
        <w:t>全球协调</w:t>
      </w:r>
      <w:r>
        <w:rPr>
          <w:sz w:val="21"/>
        </w:rPr>
        <w:tab/>
      </w:r>
      <w:r>
        <w:rPr>
          <w:sz w:val="21"/>
        </w:rPr>
        <w:fldChar w:fldCharType="begin"/>
      </w:r>
      <w:r>
        <w:rPr>
          <w:sz w:val="21"/>
        </w:rPr>
        <w:instrText xml:space="preserve"> PAGEREF _Toc91867540 \h </w:instrText>
      </w:r>
      <w:r>
        <w:rPr>
          <w:sz w:val="21"/>
        </w:rPr>
        <w:fldChar w:fldCharType="separate"/>
      </w:r>
      <w:r>
        <w:rPr>
          <w:sz w:val="21"/>
        </w:rPr>
        <w:t>20</w:t>
      </w:r>
      <w:r>
        <w:rPr>
          <w:sz w:val="21"/>
        </w:rPr>
        <w:fldChar w:fldCharType="end"/>
      </w:r>
      <w:r>
        <w:rPr>
          <w:sz w:val="21"/>
        </w:rPr>
        <w:fldChar w:fldCharType="end"/>
      </w:r>
    </w:p>
    <w:p w14:paraId="29B6020B">
      <w:pPr>
        <w:pStyle w:val="11"/>
        <w:tabs>
          <w:tab w:val="right" w:leader="dot" w:pos="9061"/>
        </w:tabs>
        <w:ind w:left="500" w:hanging="500" w:hangingChars="250"/>
        <w:rPr>
          <w:rFonts w:eastAsiaTheme="minorEastAsia"/>
          <w:kern w:val="2"/>
          <w:sz w:val="22"/>
          <w:szCs w:val="22"/>
          <w:lang w:eastAsia="zh-CN" w:bidi="ar-SA"/>
        </w:rPr>
      </w:pPr>
      <w:r>
        <w:fldChar w:fldCharType="begin"/>
      </w:r>
      <w:r>
        <w:instrText xml:space="preserve"> HYPERLINK \l "_Toc91867541" </w:instrText>
      </w:r>
      <w:r>
        <w:fldChar w:fldCharType="separate"/>
      </w:r>
      <w:r>
        <w:rPr>
          <w:rStyle w:val="15"/>
          <w:rFonts w:eastAsia="宋体"/>
          <w:sz w:val="21"/>
          <w:lang w:eastAsia="zh-CN"/>
        </w:rPr>
        <w:t>C.</w:t>
      </w:r>
      <w:r>
        <w:rPr>
          <w:rFonts w:eastAsiaTheme="minorEastAsia"/>
          <w:kern w:val="2"/>
          <w:sz w:val="22"/>
          <w:szCs w:val="22"/>
          <w:lang w:eastAsia="zh-CN" w:bidi="ar-SA"/>
        </w:rPr>
        <w:tab/>
      </w:r>
      <w:r>
        <w:rPr>
          <w:rStyle w:val="15"/>
          <w:rFonts w:eastAsia="宋体"/>
          <w:sz w:val="21"/>
          <w:lang w:eastAsia="zh-CN"/>
        </w:rPr>
        <w:t>适当时间</w:t>
      </w:r>
      <w:r>
        <w:rPr>
          <w:sz w:val="21"/>
        </w:rPr>
        <w:tab/>
      </w:r>
      <w:r>
        <w:rPr>
          <w:sz w:val="21"/>
        </w:rPr>
        <w:fldChar w:fldCharType="begin"/>
      </w:r>
      <w:r>
        <w:rPr>
          <w:sz w:val="21"/>
        </w:rPr>
        <w:instrText xml:space="preserve"> PAGEREF _Toc91867541 \h </w:instrText>
      </w:r>
      <w:r>
        <w:rPr>
          <w:sz w:val="21"/>
        </w:rPr>
        <w:fldChar w:fldCharType="separate"/>
      </w:r>
      <w:r>
        <w:rPr>
          <w:sz w:val="21"/>
        </w:rPr>
        <w:t>21</w:t>
      </w:r>
      <w:r>
        <w:rPr>
          <w:sz w:val="21"/>
        </w:rPr>
        <w:fldChar w:fldCharType="end"/>
      </w:r>
      <w:r>
        <w:rPr>
          <w:sz w:val="21"/>
        </w:rPr>
        <w:fldChar w:fldCharType="end"/>
      </w:r>
    </w:p>
    <w:p w14:paraId="46792142">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"_Toc91867542" </w:instrText>
      </w:r>
      <w:r>
        <w:fldChar w:fldCharType="separate"/>
      </w:r>
      <w:r>
        <w:rPr>
          <w:rStyle w:val="15"/>
          <w:rFonts w:eastAsia="宋体"/>
          <w:sz w:val="21"/>
          <w:lang w:eastAsia="zh-CN"/>
        </w:rPr>
        <w:t>（1）</w:t>
      </w:r>
      <w:r>
        <w:rPr>
          <w:rFonts w:eastAsiaTheme="minorEastAsia"/>
          <w:kern w:val="2"/>
          <w:sz w:val="22"/>
          <w:szCs w:val="22"/>
          <w:lang w:eastAsia="zh-CN" w:bidi="ar-SA"/>
        </w:rPr>
        <w:tab/>
      </w:r>
      <w:r>
        <w:rPr>
          <w:rStyle w:val="15"/>
          <w:rFonts w:eastAsia="宋体"/>
          <w:sz w:val="21"/>
          <w:lang w:eastAsia="zh-CN"/>
        </w:rPr>
        <w:t>平衡上市前与上市后信息需求</w:t>
      </w:r>
      <w:r>
        <w:rPr>
          <w:sz w:val="21"/>
        </w:rPr>
        <w:tab/>
      </w:r>
      <w:r>
        <w:rPr>
          <w:sz w:val="21"/>
        </w:rPr>
        <w:fldChar w:fldCharType="begin"/>
      </w:r>
      <w:r>
        <w:rPr>
          <w:sz w:val="21"/>
        </w:rPr>
        <w:instrText xml:space="preserve"> PAGEREF _Toc91867542 \h </w:instrText>
      </w:r>
      <w:r>
        <w:rPr>
          <w:sz w:val="21"/>
        </w:rPr>
        <w:fldChar w:fldCharType="separate"/>
      </w:r>
      <w:r>
        <w:rPr>
          <w:sz w:val="21"/>
        </w:rPr>
        <w:t>21</w:t>
      </w:r>
      <w:r>
        <w:rPr>
          <w:sz w:val="21"/>
        </w:rPr>
        <w:fldChar w:fldCharType="end"/>
      </w:r>
      <w:r>
        <w:rPr>
          <w:sz w:val="21"/>
        </w:rPr>
        <w:fldChar w:fldCharType="end"/>
      </w:r>
    </w:p>
    <w:p w14:paraId="2FFDC2D6">
      <w:pPr>
        <w:pStyle w:val="12"/>
        <w:tabs>
          <w:tab w:val="right" w:leader="dot" w:pos="9061"/>
        </w:tabs>
        <w:ind w:left="1040" w:leftChars="200" w:hanging="600" w:hangingChars="300"/>
        <w:rPr>
          <w:rFonts w:eastAsiaTheme="minorEastAsia"/>
          <w:kern w:val="2"/>
          <w:sz w:val="22"/>
          <w:szCs w:val="22"/>
          <w:lang w:eastAsia="zh-CN" w:bidi="ar-SA"/>
        </w:rPr>
      </w:pPr>
      <w:r>
        <w:fldChar w:fldCharType="begin"/>
      </w:r>
      <w:r>
        <w:instrText xml:space="preserve"> HYPERLINK \l "_Toc91867543" </w:instrText>
      </w:r>
      <w:r>
        <w:fldChar w:fldCharType="separate"/>
      </w:r>
      <w:r>
        <w:rPr>
          <w:rStyle w:val="15"/>
          <w:rFonts w:eastAsia="宋体"/>
          <w:sz w:val="21"/>
          <w:lang w:eastAsia="zh-CN"/>
        </w:rPr>
        <w:t>（2）</w:t>
      </w:r>
      <w:r>
        <w:rPr>
          <w:rFonts w:eastAsiaTheme="minorEastAsia"/>
          <w:kern w:val="2"/>
          <w:sz w:val="22"/>
          <w:szCs w:val="22"/>
          <w:lang w:eastAsia="zh-CN" w:bidi="ar-SA"/>
        </w:rPr>
        <w:tab/>
      </w:r>
      <w:r>
        <w:rPr>
          <w:rStyle w:val="15"/>
          <w:rFonts w:eastAsia="宋体"/>
          <w:sz w:val="21"/>
          <w:lang w:eastAsia="zh-CN"/>
        </w:rPr>
        <w:t>适时试验</w:t>
      </w:r>
      <w:r>
        <w:rPr>
          <w:sz w:val="21"/>
        </w:rPr>
        <w:tab/>
      </w:r>
      <w:r>
        <w:rPr>
          <w:sz w:val="21"/>
        </w:rPr>
        <w:fldChar w:fldCharType="begin"/>
      </w:r>
      <w:r>
        <w:rPr>
          <w:sz w:val="21"/>
        </w:rPr>
        <w:instrText xml:space="preserve"> PAGEREF _Toc91867543 \h </w:instrText>
      </w:r>
      <w:r>
        <w:rPr>
          <w:sz w:val="21"/>
        </w:rPr>
        <w:fldChar w:fldCharType="separate"/>
      </w:r>
      <w:r>
        <w:rPr>
          <w:sz w:val="21"/>
        </w:rPr>
        <w:t>22</w:t>
      </w:r>
      <w:r>
        <w:rPr>
          <w:sz w:val="21"/>
        </w:rPr>
        <w:fldChar w:fldCharType="end"/>
      </w:r>
      <w:r>
        <w:rPr>
          <w:sz w:val="21"/>
        </w:rPr>
        <w:fldChar w:fldCharType="end"/>
      </w:r>
    </w:p>
    <w:p w14:paraId="352847C3">
      <w:pPr>
        <w:pStyle w:val="11"/>
        <w:tabs>
          <w:tab w:val="right" w:leader="dot" w:pos="9061"/>
        </w:tabs>
        <w:ind w:left="500" w:hanging="500" w:hangingChars="250"/>
        <w:rPr>
          <w:rFonts w:eastAsiaTheme="minorEastAsia"/>
          <w:kern w:val="2"/>
          <w:sz w:val="22"/>
          <w:szCs w:val="22"/>
          <w:lang w:eastAsia="zh-CN" w:bidi="ar-SA"/>
        </w:rPr>
      </w:pPr>
      <w:r>
        <w:fldChar w:fldCharType="begin"/>
      </w:r>
      <w:r>
        <w:instrText xml:space="preserve"> HYPERLINK \l "_Toc91867544" </w:instrText>
      </w:r>
      <w:r>
        <w:fldChar w:fldCharType="separate"/>
      </w:r>
      <w:r>
        <w:rPr>
          <w:rStyle w:val="15"/>
          <w:rFonts w:eastAsia="宋体"/>
          <w:sz w:val="21"/>
          <w:lang w:eastAsia="zh-CN"/>
        </w:rPr>
        <w:t>VI.</w:t>
      </w:r>
      <w:r>
        <w:rPr>
          <w:rFonts w:eastAsiaTheme="minorEastAsia"/>
          <w:kern w:val="2"/>
          <w:sz w:val="22"/>
          <w:szCs w:val="22"/>
          <w:lang w:eastAsia="zh-CN" w:bidi="ar-SA"/>
        </w:rPr>
        <w:tab/>
      </w:r>
      <w:r>
        <w:rPr>
          <w:rStyle w:val="15"/>
          <w:rFonts w:eastAsia="宋体"/>
          <w:sz w:val="21"/>
          <w:lang w:eastAsia="zh-CN"/>
        </w:rPr>
        <w:t>支持最小负担概念目标的合规政策</w:t>
      </w:r>
      <w:r>
        <w:rPr>
          <w:sz w:val="21"/>
        </w:rPr>
        <w:tab/>
      </w:r>
      <w:r>
        <w:rPr>
          <w:sz w:val="21"/>
        </w:rPr>
        <w:fldChar w:fldCharType="begin"/>
      </w:r>
      <w:r>
        <w:rPr>
          <w:sz w:val="21"/>
        </w:rPr>
        <w:instrText xml:space="preserve"> PAGEREF _Toc91867544 \h </w:instrText>
      </w:r>
      <w:r>
        <w:rPr>
          <w:sz w:val="21"/>
        </w:rPr>
        <w:fldChar w:fldCharType="separate"/>
      </w:r>
      <w:r>
        <w:rPr>
          <w:sz w:val="21"/>
        </w:rPr>
        <w:t>23</w:t>
      </w:r>
      <w:r>
        <w:rPr>
          <w:sz w:val="21"/>
        </w:rPr>
        <w:fldChar w:fldCharType="end"/>
      </w:r>
      <w:r>
        <w:rPr>
          <w:sz w:val="21"/>
        </w:rPr>
        <w:fldChar w:fldCharType="end"/>
      </w:r>
    </w:p>
    <w:p w14:paraId="6555CA45">
      <w:pPr>
        <w:pStyle w:val="11"/>
        <w:tabs>
          <w:tab w:val="right" w:leader="dot" w:pos="9061"/>
        </w:tabs>
        <w:ind w:left="500" w:hanging="500" w:hangingChars="250"/>
        <w:rPr>
          <w:rFonts w:eastAsiaTheme="minorEastAsia"/>
          <w:kern w:val="2"/>
          <w:sz w:val="22"/>
          <w:szCs w:val="22"/>
          <w:lang w:eastAsia="zh-CN" w:bidi="ar-SA"/>
        </w:rPr>
      </w:pPr>
      <w:r>
        <w:fldChar w:fldCharType="begin"/>
      </w:r>
      <w:r>
        <w:instrText xml:space="preserve"> HYPERLINK \l "_Toc91867545" </w:instrText>
      </w:r>
      <w:r>
        <w:fldChar w:fldCharType="separate"/>
      </w:r>
      <w:r>
        <w:rPr>
          <w:rStyle w:val="15"/>
          <w:rFonts w:eastAsia="宋体"/>
          <w:sz w:val="21"/>
          <w:lang w:eastAsia="zh-CN"/>
        </w:rPr>
        <w:t>VII.</w:t>
      </w:r>
      <w:r>
        <w:rPr>
          <w:rFonts w:eastAsiaTheme="minorEastAsia"/>
          <w:kern w:val="2"/>
          <w:sz w:val="22"/>
          <w:szCs w:val="22"/>
          <w:lang w:eastAsia="zh-CN" w:bidi="ar-SA"/>
        </w:rPr>
        <w:tab/>
      </w:r>
      <w:r>
        <w:rPr>
          <w:rStyle w:val="15"/>
          <w:rFonts w:eastAsia="宋体"/>
          <w:sz w:val="21"/>
          <w:lang w:eastAsia="zh-CN"/>
        </w:rPr>
        <w:t>结论</w:t>
      </w:r>
      <w:r>
        <w:rPr>
          <w:sz w:val="21"/>
        </w:rPr>
        <w:tab/>
      </w:r>
      <w:r>
        <w:rPr>
          <w:sz w:val="21"/>
        </w:rPr>
        <w:fldChar w:fldCharType="begin"/>
      </w:r>
      <w:r>
        <w:rPr>
          <w:sz w:val="21"/>
        </w:rPr>
        <w:instrText xml:space="preserve"> PAGEREF _Toc91867545 \h </w:instrText>
      </w:r>
      <w:r>
        <w:rPr>
          <w:sz w:val="21"/>
        </w:rPr>
        <w:fldChar w:fldCharType="separate"/>
      </w:r>
      <w:r>
        <w:rPr>
          <w:sz w:val="21"/>
        </w:rPr>
        <w:t>24</w:t>
      </w:r>
      <w:r>
        <w:rPr>
          <w:sz w:val="21"/>
        </w:rPr>
        <w:fldChar w:fldCharType="end"/>
      </w:r>
      <w:r>
        <w:rPr>
          <w:sz w:val="21"/>
        </w:rPr>
        <w:fldChar w:fldCharType="end"/>
      </w:r>
    </w:p>
    <w:p w14:paraId="273DAF61">
      <w:pPr>
        <w:adjustRightInd w:val="0"/>
        <w:snapToGrid w:val="0"/>
        <w:spacing w:before="120" w:beforeLines="50" w:line="300" w:lineRule="auto"/>
        <w:jc w:val="both"/>
        <w:rPr>
          <w:rFonts w:eastAsia="宋体"/>
          <w:b/>
          <w:sz w:val="21"/>
          <w:szCs w:val="21"/>
        </w:rPr>
      </w:pPr>
      <w:r>
        <w:rPr>
          <w:rFonts w:eastAsia="宋体" w:cs="宋体"/>
          <w:b/>
          <w:sz w:val="21"/>
        </w:rPr>
        <w:fldChar w:fldCharType="end"/>
      </w:r>
      <w:r>
        <w:rPr>
          <w:rFonts w:eastAsia="宋体" w:cs="宋体"/>
          <w:b/>
          <w:sz w:val="21"/>
        </w:rPr>
        <w:br w:type="page"/>
      </w:r>
    </w:p>
    <w:p w14:paraId="047DEED0">
      <w:pPr>
        <w:pBdr>
          <w:bottom w:val="single" w:color="auto" w:sz="4" w:space="1"/>
        </w:pBdr>
        <w:adjustRightInd w:val="0"/>
        <w:snapToGrid w:val="0"/>
        <w:spacing w:before="120" w:beforeLines="50" w:line="300" w:lineRule="auto"/>
        <w:jc w:val="center"/>
        <w:rPr>
          <w:b/>
          <w:sz w:val="52"/>
          <w:szCs w:val="21"/>
          <w:lang w:eastAsia="zh-CN"/>
        </w:rPr>
      </w:pPr>
      <w:r>
        <w:rPr>
          <w:rFonts w:eastAsia="宋体" w:cs="宋体"/>
          <w:b/>
          <w:sz w:val="52"/>
          <w:lang w:eastAsia="zh-CN"/>
        </w:rPr>
        <w:t>最小负担规范：概念和原则</w:t>
      </w:r>
    </w:p>
    <w:p w14:paraId="6E3F5B7B">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w:t>
      </w:r>
    </w:p>
    <w:tbl>
      <w:tblPr>
        <w:tblStyle w:val="16"/>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57744652">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0FA56730">
            <w:pPr>
              <w:pStyle w:val="6"/>
              <w:adjustRightInd w:val="0"/>
              <w:snapToGrid w:val="0"/>
              <w:spacing w:before="120" w:beforeLines="50" w:line="300" w:lineRule="auto"/>
              <w:jc w:val="both"/>
              <w:rPr>
                <w:b/>
                <w:i/>
                <w:sz w:val="21"/>
                <w:szCs w:val="21"/>
                <w:lang w:eastAsia="zh-CN"/>
              </w:rPr>
            </w:pPr>
            <w:r>
              <w:rPr>
                <w:rFonts w:hint="eastAsia" w:eastAsia="宋体" w:cs="宋体"/>
                <w:b/>
                <w:i/>
                <w:sz w:val="21"/>
                <w:lang w:eastAsia="zh-CN"/>
              </w:rPr>
              <w:t>本指南代表食品药品监督管理局（</w:t>
            </w:r>
            <w:r>
              <w:rPr>
                <w:rFonts w:eastAsia="宋体" w:cs="宋体"/>
                <w:b/>
                <w:i/>
                <w:sz w:val="21"/>
                <w:lang w:eastAsia="zh-CN"/>
              </w:rPr>
              <w:t>FDA或本机构</w:t>
            </w:r>
            <w:r>
              <w:rPr>
                <w:rFonts w:hint="eastAsia" w:eastAsia="宋体" w:cs="宋体"/>
                <w:b/>
                <w:i/>
                <w:sz w:val="21"/>
                <w:lang w:eastAsia="zh-CN"/>
              </w:rPr>
              <w:t>）目前关于该主题的思考。其不会为任何人创造或赋予任何权利，也不会对</w:t>
            </w:r>
            <w:r>
              <w:rPr>
                <w:rFonts w:eastAsia="宋体" w:cs="宋体"/>
                <w:b/>
                <w:i/>
                <w:sz w:val="21"/>
                <w:lang w:eastAsia="zh-CN"/>
              </w:rPr>
              <w:t>FDA</w:t>
            </w:r>
            <w:r>
              <w:rPr>
                <w:rFonts w:hint="eastAsia" w:eastAsia="宋体" w:cs="宋体"/>
                <w:b/>
                <w:i/>
                <w:sz w:val="21"/>
                <w:lang w:eastAsia="zh-CN"/>
              </w:rPr>
              <w:t>或公众产生约束。如果替代方法满足适用的法律法规的要求，则可以使用该方法。如需讨论替代方法，请联系标题页负责实施本指南文件的</w:t>
            </w:r>
            <w:r>
              <w:rPr>
                <w:rFonts w:eastAsia="宋体" w:cs="宋体"/>
                <w:b/>
                <w:i/>
                <w:sz w:val="21"/>
                <w:lang w:eastAsia="zh-CN"/>
              </w:rPr>
              <w:t>FDA</w:t>
            </w:r>
            <w:r>
              <w:rPr>
                <w:rFonts w:hint="eastAsia" w:eastAsia="宋体" w:cs="宋体"/>
                <w:b/>
                <w:i/>
                <w:sz w:val="21"/>
                <w:lang w:eastAsia="zh-CN"/>
              </w:rPr>
              <w:t>工作人员或办公室。</w:t>
            </w:r>
          </w:p>
        </w:tc>
      </w:tr>
    </w:tbl>
    <w:p w14:paraId="22BAA63C">
      <w:pPr>
        <w:pStyle w:val="6"/>
        <w:adjustRightInd w:val="0"/>
        <w:snapToGrid w:val="0"/>
        <w:spacing w:before="120" w:beforeLines="50" w:line="300" w:lineRule="auto"/>
        <w:ind w:left="843" w:hanging="843" w:hangingChars="300"/>
        <w:jc w:val="both"/>
        <w:outlineLvl w:val="0"/>
        <w:rPr>
          <w:b/>
          <w:sz w:val="28"/>
          <w:szCs w:val="21"/>
          <w:lang w:eastAsia="zh-CN"/>
        </w:rPr>
      </w:pPr>
      <w:bookmarkStart w:id="0" w:name="_Toc91867526"/>
      <w:r>
        <w:rPr>
          <w:rFonts w:eastAsia="宋体" w:cs="宋体"/>
          <w:b/>
          <w:sz w:val="28"/>
          <w:lang w:eastAsia="zh-CN"/>
        </w:rPr>
        <w:t>I.</w:t>
      </w:r>
      <w:r>
        <w:rPr>
          <w:rFonts w:eastAsia="宋体" w:cs="宋体"/>
          <w:b/>
          <w:lang w:eastAsia="zh-CN"/>
        </w:rPr>
        <w:tab/>
      </w:r>
      <w:r>
        <w:rPr>
          <w:rFonts w:eastAsia="宋体" w:cs="宋体"/>
          <w:b/>
          <w:sz w:val="28"/>
          <w:lang w:eastAsia="zh-CN"/>
        </w:rPr>
        <w:t>引言</w:t>
      </w:r>
      <w:bookmarkEnd w:id="0"/>
    </w:p>
    <w:p w14:paraId="6D881B98">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为了履行美国食品药品监督管理局（FDA）保护并提高公共卫生水平的法定使命，FDA致力于加快医疗器械的开发、评估、审评和监督，帮助患者及时获得高质量、安全、有效的新医疗器械并保持对现有医疗器械的可及性。</w:t>
      </w:r>
      <w:r>
        <w:rPr>
          <w:rFonts w:eastAsia="宋体" w:cs="宋体"/>
          <w:sz w:val="21"/>
          <w:vertAlign w:val="superscript"/>
          <w:lang w:eastAsia="zh-CN"/>
        </w:rPr>
        <w:t>1</w:t>
      </w:r>
      <w:r>
        <w:rPr>
          <w:rFonts w:eastAsia="宋体" w:cs="宋体"/>
          <w:sz w:val="21"/>
          <w:lang w:eastAsia="zh-CN"/>
        </w:rPr>
        <w:t>通过简化监管程序、消除或减轻与FDA监管活动相关的不必要负担，可使患者尽早、持续获得有益的产品。</w:t>
      </w:r>
    </w:p>
    <w:p w14:paraId="19978138">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自《1997年FDA现代化法案》（FDAMA）颁布以来，国会已指示FDA采取最小负担方法进行医疗器械上市前评价，以便在保持遵守关于许可和批准的法定要求的同时，消除可能会导致有益新产品上市延迟的不必要负担。本指南旨在准确反映国会的意图，说明了FDA工作人员和行业一致协助应用最小负担原则的指导原则和建议方法。</w:t>
      </w:r>
    </w:p>
    <w:p w14:paraId="64450381">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本机构将“最小负担”定义为：</w:t>
      </w:r>
      <w:r>
        <w:rPr>
          <w:rFonts w:eastAsia="宋体" w:cs="宋体"/>
          <w:b/>
          <w:sz w:val="21"/>
          <w:lang w:eastAsia="zh-CN"/>
        </w:rPr>
        <w:t>在适当的时间以最有效的方式充分解决相关监管问题或事项所需的最少量信息</w:t>
      </w:r>
      <w:r>
        <w:rPr>
          <w:rFonts w:eastAsia="宋体" w:cs="宋体"/>
          <w:sz w:val="21"/>
          <w:lang w:eastAsia="zh-CN"/>
        </w:rPr>
        <w:t>。“最小负担”定义考虑了信息类型、生成或提供信息的不同方法，以及在整个产品生命周期内应生成或向FDA提供信息的时间。这一概念适用于符合医疗器械定义的所有产品和整个产品生命周期（上市前和上市后）。</w:t>
      </w:r>
      <w:r>
        <w:rPr>
          <w:rFonts w:eastAsia="宋体" w:cs="宋体"/>
          <w:sz w:val="21"/>
          <w:vertAlign w:val="superscript"/>
          <w:lang w:eastAsia="zh-CN"/>
        </w:rPr>
        <w:t>2</w:t>
      </w:r>
    </w:p>
    <w:p w14:paraId="46A4549D">
      <w:pPr>
        <w:pStyle w:val="6"/>
        <w:adjustRightInd w:val="0"/>
        <w:snapToGrid w:val="0"/>
        <w:spacing w:before="3840" w:beforeLines="1600" w:line="300" w:lineRule="auto"/>
        <w:jc w:val="both"/>
        <w:rPr>
          <w:rFonts w:eastAsiaTheme="minorEastAsia"/>
          <w:sz w:val="21"/>
          <w:szCs w:val="21"/>
          <w:lang w:eastAsia="zh-CN"/>
        </w:rPr>
      </w:pPr>
      <w:r>
        <w:rPr>
          <w:rFonts w:eastAsia="宋体" w:cs="宋体"/>
          <w:sz w:val="21"/>
          <w:lang w:eastAsia="zh-CN"/>
        </w:rPr>
        <w:t>____________________</w:t>
      </w:r>
    </w:p>
    <w:p w14:paraId="294EE254">
      <w:pPr>
        <w:adjustRightInd w:val="0"/>
        <w:snapToGrid w:val="0"/>
        <w:spacing w:before="36" w:beforeLines="15" w:line="276" w:lineRule="auto"/>
        <w:jc w:val="both"/>
        <w:rPr>
          <w:rFonts w:eastAsia="宋体"/>
          <w:b/>
          <w:sz w:val="21"/>
          <w:szCs w:val="21"/>
          <w:lang w:eastAsia="zh-CN"/>
        </w:rPr>
      </w:pPr>
      <w:r>
        <w:rPr>
          <w:rFonts w:eastAsia="宋体" w:cs="宋体"/>
          <w:sz w:val="18"/>
          <w:vertAlign w:val="superscript"/>
          <w:lang w:eastAsia="zh-CN"/>
        </w:rPr>
        <w:t>1</w:t>
      </w:r>
      <w:r>
        <w:rPr>
          <w:rFonts w:eastAsia="宋体" w:cs="宋体"/>
          <w:sz w:val="18"/>
          <w:lang w:eastAsia="zh-CN"/>
        </w:rPr>
        <w:t>《联邦食品、药品和化妆品法案》（《FD&amp;C法案》）第1003节。</w:t>
      </w:r>
      <w:r>
        <w:rPr>
          <w:rFonts w:eastAsia="宋体" w:cs="宋体"/>
          <w:b/>
          <w:sz w:val="21"/>
          <w:lang w:eastAsia="zh-CN"/>
        </w:rPr>
        <w:br w:type="page"/>
      </w:r>
    </w:p>
    <w:p w14:paraId="524D7B71">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本机构目前关于该主题的思考，除非引用具体的法规或法律要求，否则只应视为建议。在本机构指南中使用词语“应”是指建议或推荐进行某一事项，并非强制要求。</w:t>
      </w:r>
      <w:r>
        <w:rPr>
          <w:rFonts w:eastAsia="宋体" w:cs="宋体"/>
          <w:sz w:val="21"/>
          <w:lang w:eastAsia="zh-CN"/>
        </w:rPr>
        <w:t>在本指南文件中，“</w:t>
      </w:r>
      <w:r>
        <w:rPr>
          <w:rFonts w:eastAsia="宋体" w:cs="宋体"/>
          <w:i/>
          <w:sz w:val="21"/>
          <w:lang w:eastAsia="zh-CN"/>
        </w:rPr>
        <w:t>我们</w:t>
      </w:r>
      <w:r>
        <w:rPr>
          <w:rFonts w:eastAsia="宋体" w:cs="宋体"/>
          <w:sz w:val="21"/>
          <w:lang w:eastAsia="zh-CN"/>
        </w:rPr>
        <w:t>”和“</w:t>
      </w:r>
      <w:r>
        <w:rPr>
          <w:rFonts w:eastAsia="宋体" w:cs="宋体"/>
          <w:i/>
          <w:sz w:val="21"/>
          <w:lang w:eastAsia="zh-CN"/>
        </w:rPr>
        <w:t>我们的</w:t>
      </w:r>
      <w:r>
        <w:rPr>
          <w:rFonts w:eastAsia="宋体" w:cs="宋体"/>
          <w:sz w:val="21"/>
          <w:lang w:eastAsia="zh-CN"/>
        </w:rPr>
        <w:t>”都是指FDA的医疗器械和辐射健康中心（CDRH）和生物制品评价与研究中心（CBER）参与器械监管的工作人员。</w:t>
      </w:r>
      <w:r>
        <w:rPr>
          <w:rFonts w:eastAsia="宋体" w:cs="宋体"/>
          <w:sz w:val="21"/>
          <w:vertAlign w:val="superscript"/>
          <w:lang w:eastAsia="zh-CN"/>
        </w:rPr>
        <w:t>3</w:t>
      </w:r>
    </w:p>
    <w:p w14:paraId="01859078">
      <w:pPr>
        <w:pStyle w:val="6"/>
        <w:adjustRightInd w:val="0"/>
        <w:snapToGrid w:val="0"/>
        <w:spacing w:before="120" w:beforeLines="50" w:line="300" w:lineRule="auto"/>
        <w:ind w:left="843" w:hanging="843" w:hangingChars="300"/>
        <w:jc w:val="both"/>
        <w:outlineLvl w:val="0"/>
        <w:rPr>
          <w:b/>
          <w:sz w:val="28"/>
          <w:szCs w:val="21"/>
          <w:lang w:eastAsia="zh-CN"/>
        </w:rPr>
      </w:pPr>
      <w:bookmarkStart w:id="1" w:name="_Toc91867527"/>
      <w:r>
        <w:rPr>
          <w:rFonts w:eastAsia="宋体" w:cs="宋体"/>
          <w:b/>
          <w:sz w:val="28"/>
          <w:lang w:eastAsia="zh-CN"/>
        </w:rPr>
        <w:t>II.</w:t>
      </w:r>
      <w:r>
        <w:rPr>
          <w:rFonts w:eastAsia="宋体" w:cs="宋体"/>
          <w:b/>
          <w:lang w:eastAsia="zh-CN"/>
        </w:rPr>
        <w:tab/>
      </w:r>
      <w:r>
        <w:rPr>
          <w:rFonts w:eastAsia="宋体" w:cs="宋体"/>
          <w:b/>
          <w:sz w:val="28"/>
          <w:lang w:eastAsia="zh-CN"/>
        </w:rPr>
        <w:t>背景</w:t>
      </w:r>
      <w:bookmarkEnd w:id="1"/>
    </w:p>
    <w:p w14:paraId="7C040D14">
      <w:pPr>
        <w:pStyle w:val="6"/>
        <w:adjustRightInd w:val="0"/>
        <w:snapToGrid w:val="0"/>
        <w:spacing w:before="120" w:beforeLines="50" w:line="300" w:lineRule="auto"/>
        <w:jc w:val="both"/>
        <w:rPr>
          <w:rFonts w:eastAsia="宋体"/>
          <w:sz w:val="21"/>
          <w:szCs w:val="21"/>
        </w:rPr>
      </w:pPr>
      <w:r>
        <w:rPr>
          <w:rFonts w:eastAsia="宋体" w:cs="宋体"/>
          <w:sz w:val="21"/>
          <w:lang w:eastAsia="zh-CN"/>
        </w:rPr>
        <w:t>国会首次将《最小负担规范》编入FDAMA（公法105-115）《联邦食品、药品和化妆品法案》（《FD&amp;C法案》）。国会通过《FDA安全与创新法案》（公法112-144）（FDASIA）和《21世纪治愈法案》（公法114-255）（《治愈法案》），在《FD&amp;C法案》中编入了《最小负担规范》。</w:t>
      </w:r>
      <w:r>
        <w:rPr>
          <w:rFonts w:eastAsia="宋体" w:cs="宋体"/>
          <w:sz w:val="21"/>
        </w:rPr>
        <w:t>现行《最小负担规范》指出：</w:t>
      </w:r>
    </w:p>
    <w:p w14:paraId="4276AF07">
      <w:pPr>
        <w:pStyle w:val="17"/>
        <w:numPr>
          <w:ilvl w:val="0"/>
          <w:numId w:val="1"/>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lang w:eastAsia="zh-CN"/>
        </w:rPr>
        <w:t>“如果局长要求提供信息证明技术特征不同的器械之间具有实质等同性，应仅要求用于进行实质等同性判定的必要信息。在要求信息时，局长还应考虑到证明实质等同性的最小负担方法并提出相应的要求信息要求。</w:t>
      </w:r>
      <w:r>
        <w:rPr>
          <w:rFonts w:eastAsia="宋体" w:cs="宋体"/>
          <w:sz w:val="21"/>
        </w:rPr>
        <w:t>”</w:t>
      </w:r>
      <w:r>
        <w:rPr>
          <w:rFonts w:eastAsia="宋体" w:cs="宋体"/>
          <w:sz w:val="21"/>
          <w:vertAlign w:val="superscript"/>
        </w:rPr>
        <w:t>4</w:t>
      </w:r>
    </w:p>
    <w:p w14:paraId="5E25812C">
      <w:pPr>
        <w:pStyle w:val="17"/>
        <w:numPr>
          <w:ilvl w:val="0"/>
          <w:numId w:val="1"/>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lang w:eastAsia="zh-CN"/>
        </w:rPr>
        <w:t>“局长书面规定的用于证明合理保证器械有效性的任何临床数据（包括一项或多项对照研究）均应为局长判定必须通过此类数据确立器械的有效性。经与申请者协商，局长应考虑为保证获得申报批准的合理可能性，评价器械有效性的恰当最小负担方法。</w:t>
      </w:r>
      <w:r>
        <w:rPr>
          <w:rFonts w:eastAsia="宋体" w:cs="宋体"/>
          <w:sz w:val="21"/>
        </w:rPr>
        <w:t>”</w:t>
      </w:r>
      <w:r>
        <w:rPr>
          <w:rFonts w:eastAsia="宋体" w:cs="宋体"/>
          <w:sz w:val="21"/>
          <w:vertAlign w:val="superscript"/>
        </w:rPr>
        <w:t>5</w:t>
      </w:r>
    </w:p>
    <w:p w14:paraId="5FD968D2">
      <w:pPr>
        <w:pStyle w:val="17"/>
        <w:numPr>
          <w:ilvl w:val="0"/>
          <w:numId w:val="1"/>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lang w:eastAsia="zh-CN"/>
        </w:rPr>
        <w:t>针对上市前批准申请（PMA）要求额外信息时，“局长应考虑到证明合理保证器械安全性和有效性所需的最小负担方法。</w:t>
      </w:r>
      <w:r>
        <w:rPr>
          <w:rFonts w:eastAsia="宋体" w:cs="宋体"/>
          <w:sz w:val="21"/>
        </w:rPr>
        <w:t>”</w:t>
      </w:r>
      <w:r>
        <w:rPr>
          <w:rFonts w:eastAsia="宋体" w:cs="宋体"/>
          <w:sz w:val="21"/>
          <w:vertAlign w:val="superscript"/>
        </w:rPr>
        <w:t>6</w:t>
      </w:r>
    </w:p>
    <w:p w14:paraId="32973973">
      <w:pPr>
        <w:pStyle w:val="6"/>
        <w:numPr>
          <w:ilvl w:val="0"/>
          <w:numId w:val="1"/>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lang w:eastAsia="zh-CN"/>
        </w:rPr>
        <w:t>“局长应考虑到上市后信息在判定证明合理保证器械安全性和有效性的最小负担方法中的作用。</w:t>
      </w:r>
      <w:r>
        <w:rPr>
          <w:rFonts w:eastAsia="宋体" w:cs="宋体"/>
          <w:sz w:val="21"/>
        </w:rPr>
        <w:t>”</w:t>
      </w:r>
      <w:r>
        <w:rPr>
          <w:rFonts w:eastAsia="宋体" w:cs="宋体"/>
          <w:sz w:val="21"/>
          <w:vertAlign w:val="superscript"/>
        </w:rPr>
        <w:t>7</w:t>
      </w:r>
    </w:p>
    <w:p w14:paraId="6E83BF99">
      <w:pPr>
        <w:pStyle w:val="6"/>
        <w:adjustRightInd w:val="0"/>
        <w:snapToGrid w:val="0"/>
        <w:spacing w:before="4200" w:beforeLines="1750" w:line="300" w:lineRule="auto"/>
        <w:jc w:val="both"/>
        <w:rPr>
          <w:rFonts w:eastAsiaTheme="minorEastAsia"/>
          <w:sz w:val="21"/>
          <w:szCs w:val="21"/>
          <w:lang w:eastAsia="zh-CN"/>
        </w:rPr>
      </w:pPr>
      <w:r>
        <w:rPr>
          <w:rFonts w:eastAsia="宋体" w:cs="宋体"/>
          <w:sz w:val="21"/>
          <w:lang w:eastAsia="zh-CN"/>
        </w:rPr>
        <w:t>____________________</w:t>
      </w:r>
    </w:p>
    <w:p w14:paraId="4F5A5415">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2</w:t>
      </w:r>
      <w:r>
        <w:rPr>
          <w:rFonts w:eastAsia="宋体" w:cs="宋体"/>
          <w:sz w:val="18"/>
          <w:lang w:eastAsia="zh-CN"/>
        </w:rPr>
        <w:t xml:space="preserve"> 《FD&amp;C法案》第201(h)节。</w:t>
      </w:r>
    </w:p>
    <w:p w14:paraId="57587B13">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3</w:t>
      </w:r>
      <w:r>
        <w:rPr>
          <w:rFonts w:eastAsia="宋体" w:cs="宋体"/>
          <w:sz w:val="18"/>
          <w:lang w:eastAsia="zh-CN"/>
        </w:rPr>
        <w:t xml:space="preserve"> 本指南由医疗器械和辐射健康中心（CDRH）与生物制品评价与研究中心（CBER）、药品评价与研究中心（CDER）和组合产品办公室（OCP）合作编写。</w:t>
      </w:r>
    </w:p>
    <w:p w14:paraId="787672BF">
      <w:pPr>
        <w:adjustRightInd w:val="0"/>
        <w:snapToGrid w:val="0"/>
        <w:spacing w:before="36" w:beforeLines="15" w:line="276" w:lineRule="auto"/>
        <w:jc w:val="both"/>
        <w:rPr>
          <w:rFonts w:eastAsia="宋体"/>
          <w:sz w:val="18"/>
          <w:szCs w:val="21"/>
          <w:vertAlign w:val="superscript"/>
          <w:lang w:eastAsia="zh-CN"/>
        </w:rPr>
      </w:pPr>
      <w:r>
        <w:rPr>
          <w:rFonts w:eastAsia="宋体" w:cs="宋体"/>
          <w:sz w:val="18"/>
          <w:vertAlign w:val="superscript"/>
          <w:lang w:eastAsia="zh-CN"/>
        </w:rPr>
        <w:t>4</w:t>
      </w:r>
      <w:r>
        <w:rPr>
          <w:rFonts w:eastAsia="宋体" w:cs="宋体"/>
          <w:sz w:val="18"/>
          <w:lang w:eastAsia="zh-CN"/>
        </w:rPr>
        <w:t>《FD&amp;C法案》第513(i)(1)(D)(i)节。</w:t>
      </w:r>
    </w:p>
    <w:p w14:paraId="731D0A56">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5</w:t>
      </w:r>
      <w:r>
        <w:rPr>
          <w:rFonts w:eastAsia="宋体" w:cs="宋体"/>
          <w:sz w:val="18"/>
          <w:lang w:eastAsia="zh-CN"/>
        </w:rPr>
        <w:t xml:space="preserve"> 《FD&amp;C法案》第513(a)(3)(D)(ii)节。</w:t>
      </w:r>
    </w:p>
    <w:p w14:paraId="3C22764F">
      <w:pPr>
        <w:adjustRightInd w:val="0"/>
        <w:snapToGrid w:val="0"/>
        <w:spacing w:before="36" w:beforeLines="15" w:line="276" w:lineRule="auto"/>
        <w:jc w:val="both"/>
        <w:rPr>
          <w:rFonts w:eastAsia="宋体"/>
          <w:b/>
          <w:sz w:val="21"/>
          <w:szCs w:val="21"/>
          <w:lang w:eastAsia="zh-CN"/>
        </w:rPr>
      </w:pPr>
      <w:r>
        <w:rPr>
          <w:rFonts w:eastAsia="宋体" w:cs="宋体"/>
          <w:sz w:val="18"/>
          <w:vertAlign w:val="superscript"/>
          <w:lang w:eastAsia="zh-CN"/>
        </w:rPr>
        <w:t>6</w:t>
      </w:r>
      <w:r>
        <w:rPr>
          <w:rFonts w:eastAsia="宋体" w:cs="宋体"/>
          <w:sz w:val="18"/>
          <w:lang w:eastAsia="zh-CN"/>
        </w:rPr>
        <w:t xml:space="preserve"> 《FD&amp;C法案》第515(c)(5)(a)节。</w:t>
      </w:r>
      <w:r>
        <w:rPr>
          <w:rFonts w:eastAsia="宋体" w:cs="宋体"/>
          <w:b/>
          <w:sz w:val="21"/>
          <w:lang w:eastAsia="zh-CN"/>
        </w:rPr>
        <w:br w:type="page"/>
      </w:r>
    </w:p>
    <w:p w14:paraId="1121924A">
      <w:pPr>
        <w:pStyle w:val="17"/>
        <w:numPr>
          <w:ilvl w:val="0"/>
          <w:numId w:val="2"/>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lang w:eastAsia="zh-CN"/>
        </w:rPr>
        <w:t>在《最小负担规范》中，“必要”一词是指支持判定实质等同性或合理保证器械安全性和有效性的“最少基本信息”。</w:t>
      </w:r>
      <w:r>
        <w:rPr>
          <w:rFonts w:eastAsia="宋体" w:cs="宋体"/>
          <w:sz w:val="21"/>
          <w:vertAlign w:val="superscript"/>
        </w:rPr>
        <w:t>8</w:t>
      </w:r>
    </w:p>
    <w:p w14:paraId="4FF5CF56">
      <w:pPr>
        <w:pStyle w:val="17"/>
        <w:numPr>
          <w:ilvl w:val="0"/>
          <w:numId w:val="2"/>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lang w:eastAsia="zh-CN"/>
        </w:rPr>
        <w:t>《最小负担规范》未改变关于上市前批准或实质等同性的标准。</w:t>
      </w:r>
      <w:r>
        <w:rPr>
          <w:rFonts w:eastAsia="宋体" w:cs="宋体"/>
          <w:sz w:val="21"/>
          <w:vertAlign w:val="superscript"/>
        </w:rPr>
        <w:t>9</w:t>
      </w:r>
    </w:p>
    <w:p w14:paraId="242007C3">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在FDAMA颁布后，FDA发布了《最小负担指南》文件。“在2000年11月2日发布了《按照FDAMA最小负担规范编制文件并回应发补的建议格式》（《发补指南》）”。在该指南文件中，FDA建议其工作人员使用专用格式</w:t>
      </w:r>
      <w:r>
        <w:rPr>
          <w:rFonts w:hint="eastAsia" w:eastAsia="宋体" w:cs="宋体"/>
          <w:sz w:val="21"/>
          <w:lang w:eastAsia="zh-CN"/>
        </w:rPr>
        <w:t>要求</w:t>
      </w:r>
      <w:r>
        <w:rPr>
          <w:rFonts w:eastAsia="宋体" w:cs="宋体"/>
          <w:sz w:val="21"/>
          <w:lang w:eastAsia="zh-CN"/>
        </w:rPr>
        <w:t>医疗器械上市申请决定所需的额外信息（通常称为“发补”或“发补函”），以符合最小负担原则。这一格式旨在将FDA的要求与决定相关法律法规标准关联到一起，以优化利用行业和FDA的时间和精力。指南文件还包括行业回复FDA发补函的建议格式。</w:t>
      </w:r>
    </w:p>
    <w:p w14:paraId="7BD67E6E">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在2017年《医疗器械使用者费用修正案》（公法115-52，第201-210节）（MDUFA IV）颁布后，FDA承诺更新《发补指南》。2017年9月29日发布了《</w:t>
      </w:r>
      <w:r>
        <w:rPr>
          <w:rFonts w:eastAsia="宋体" w:cs="宋体"/>
          <w:color w:val="0000FF"/>
          <w:sz w:val="21"/>
          <w:u w:val="single"/>
          <w:lang w:eastAsia="zh-CN"/>
        </w:rPr>
        <w:t>根据最小负担规范确定和</w:t>
      </w:r>
      <w:r>
        <w:rPr>
          <w:rFonts w:hint="eastAsia" w:eastAsia="宋体" w:cs="宋体"/>
          <w:color w:val="0000FF"/>
          <w:sz w:val="21"/>
          <w:u w:val="single"/>
          <w:lang w:eastAsia="zh-CN"/>
        </w:rPr>
        <w:t>回复补单</w:t>
      </w:r>
      <w:r>
        <w:rPr>
          <w:rFonts w:eastAsia="宋体" w:cs="宋体"/>
          <w:sz w:val="21"/>
          <w:lang w:eastAsia="zh-CN"/>
        </w:rPr>
        <w:t>》。</w:t>
      </w:r>
      <w:r>
        <w:rPr>
          <w:rFonts w:eastAsia="宋体" w:cs="宋体"/>
          <w:sz w:val="21"/>
          <w:vertAlign w:val="superscript"/>
          <w:lang w:eastAsia="zh-CN"/>
        </w:rPr>
        <w:t>10</w:t>
      </w:r>
      <w:r>
        <w:rPr>
          <w:rFonts w:eastAsia="宋体" w:cs="宋体"/>
          <w:sz w:val="21"/>
          <w:lang w:eastAsia="zh-CN"/>
        </w:rPr>
        <w:t>更新的《发补指南》中建议指出：所有的发补函均应包含对每项缺陷的论述，并提供关于监管审评、严重/轻微缺陷、额外的考虑因素和缺陷优先顺序的详细信息。</w:t>
      </w:r>
    </w:p>
    <w:p w14:paraId="6EBD43CF">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2002年10月4日发布了《1997年FDA现代化法案的最小负担规范：概念和原则》”（《2002年最小负担指南》）。指南规定指出，虽然FDAMA的《最小负担规范》适用于PMA和510(k)申请，但FDA认为所有医疗器械的上市前监管活动均应遵守最小负担原则。文件中还定义了“最小负担”一词，并且提出了行业和FDA工作人员在PMA和510(k)审评中采用最小负担原则的建议方法，包括重点关注上市许可的法律法规标准。本指南还说明了将最小负担方法普遍应用于各种活动（如上市后控制）的情况，并提出了FDA应如何向行业索取更多信息的建议。</w:t>
      </w:r>
    </w:p>
    <w:p w14:paraId="6DDF5428">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本指南文件取代了《2002年最小负担指南》。FDASIA和《治愈法案》的更新中澄清说明了最初的《最小负担规范》，并基于与上市前决策的相关性进一步说明了上市后活动的作用。FDA认为，应始终将最小负担原则（作为一项政策）广泛应用于所有医疗器械的上市前和上市后监管活动，以消除或减轻不必要的负担，以便及早并持续地将高质量且安全有效的器械应用于患者。FDA提供了各种工具帮助本机构实施上述原则，例如针对最小负担原则定期开展内部培训。</w:t>
      </w:r>
    </w:p>
    <w:p w14:paraId="2BAC7B64">
      <w:pPr>
        <w:pStyle w:val="6"/>
        <w:adjustRightInd w:val="0"/>
        <w:snapToGrid w:val="0"/>
        <w:spacing w:before="4080" w:beforeLines="1700" w:line="300" w:lineRule="auto"/>
        <w:jc w:val="both"/>
        <w:rPr>
          <w:rFonts w:eastAsiaTheme="minorEastAsia"/>
          <w:sz w:val="21"/>
          <w:szCs w:val="21"/>
          <w:lang w:eastAsia="zh-CN"/>
        </w:rPr>
      </w:pPr>
      <w:r>
        <w:rPr>
          <w:rFonts w:eastAsia="宋体" w:cs="宋体"/>
          <w:sz w:val="21"/>
          <w:lang w:eastAsia="zh-CN"/>
        </w:rPr>
        <w:t>____________________</w:t>
      </w:r>
    </w:p>
    <w:p w14:paraId="130684B8">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7</w:t>
      </w:r>
      <w:r>
        <w:rPr>
          <w:rFonts w:eastAsia="宋体" w:cs="宋体"/>
          <w:sz w:val="18"/>
          <w:lang w:eastAsia="zh-CN"/>
        </w:rPr>
        <w:t xml:space="preserve"> 《FD&amp;C法案》第515(c)(5)(c)节。</w:t>
      </w:r>
    </w:p>
    <w:p w14:paraId="7C1E5511">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8</w:t>
      </w:r>
      <w:r>
        <w:rPr>
          <w:rFonts w:eastAsia="宋体" w:cs="宋体"/>
          <w:sz w:val="18"/>
          <w:lang w:eastAsia="zh-CN"/>
        </w:rPr>
        <w:t xml:space="preserve"> 《FD&amp;C法案》第513(a)(3)(D)（iii）、513(i)(1)(D)(ii)和515(c)(5)(b)节。</w:t>
      </w:r>
    </w:p>
    <w:p w14:paraId="32B25F4B">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9</w:t>
      </w:r>
      <w:r>
        <w:rPr>
          <w:rFonts w:eastAsia="宋体" w:cs="宋体"/>
          <w:sz w:val="18"/>
          <w:lang w:eastAsia="zh-CN"/>
        </w:rPr>
        <w:t xml:space="preserve"> 《FD&amp;C法案》第513(a)(3)(D)（iv）、513(i)(1)(D)（iii）和515(c)(5)(D)节。</w:t>
      </w:r>
    </w:p>
    <w:p w14:paraId="7FFE8C4B">
      <w:pPr>
        <w:adjustRightInd w:val="0"/>
        <w:snapToGrid w:val="0"/>
        <w:spacing w:before="36" w:beforeLines="15" w:line="276" w:lineRule="auto"/>
        <w:jc w:val="both"/>
        <w:rPr>
          <w:rFonts w:eastAsia="宋体"/>
          <w:b/>
          <w:sz w:val="21"/>
          <w:szCs w:val="21"/>
        </w:rPr>
      </w:pPr>
      <w:r>
        <w:rPr>
          <w:rFonts w:eastAsia="宋体"/>
          <w:sz w:val="18"/>
          <w:szCs w:val="21"/>
          <w:vertAlign w:val="superscript"/>
        </w:rPr>
        <w:t>10</w:t>
      </w:r>
      <w:bookmarkStart w:id="2" w:name="_bookmark11"/>
      <w:bookmarkEnd w:id="2"/>
      <w:r>
        <w:rPr>
          <w:rFonts w:eastAsia="宋体"/>
          <w:sz w:val="18"/>
          <w:szCs w:val="21"/>
        </w:rPr>
        <w:t xml:space="preserve"> </w:t>
      </w:r>
      <w:r>
        <w:rPr>
          <w:rFonts w:eastAsia="宋体"/>
          <w:color w:val="0000FF"/>
          <w:sz w:val="18"/>
          <w:szCs w:val="21"/>
          <w:u w:val="single" w:color="0000FF"/>
        </w:rPr>
        <w:t>https://www.fda.gov/MedicalDevices/DeviceRegulationandGuidance/GuidanceDocuments/UCM073680</w:t>
      </w:r>
      <w:r>
        <w:rPr>
          <w:rFonts w:eastAsia="宋体"/>
          <w:sz w:val="18"/>
          <w:szCs w:val="21"/>
        </w:rPr>
        <w:t>.</w:t>
      </w:r>
      <w:r>
        <w:rPr>
          <w:rFonts w:eastAsia="宋体" w:cs="宋体"/>
          <w:b/>
          <w:sz w:val="21"/>
        </w:rPr>
        <w:br w:type="page"/>
      </w:r>
    </w:p>
    <w:p w14:paraId="63592775">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因此，本指南反映出了FDA的观点：应将最小负担原则应用于医疗器械的整个产品生命周期。最小负担概念仍然相同：基于坚实可靠的科学以及法律意图，使用替代方法，高效利用资源来有效解决监管问题。本机构提供了关于上市前和上市后的最新示例，以展示说明FDA和行业可以采取的方法，确保将最小负担原则用于所有器械相关申请以及与FDA的互动。</w:t>
      </w:r>
    </w:p>
    <w:p w14:paraId="6E4BAA6A">
      <w:pPr>
        <w:pStyle w:val="6"/>
        <w:adjustRightInd w:val="0"/>
        <w:snapToGrid w:val="0"/>
        <w:spacing w:before="120" w:beforeLines="50" w:line="300" w:lineRule="auto"/>
        <w:ind w:left="843" w:hanging="843" w:hangingChars="300"/>
        <w:jc w:val="both"/>
        <w:outlineLvl w:val="0"/>
        <w:rPr>
          <w:b/>
          <w:sz w:val="28"/>
          <w:szCs w:val="21"/>
          <w:lang w:eastAsia="zh-CN"/>
        </w:rPr>
      </w:pPr>
      <w:bookmarkStart w:id="3" w:name="_Toc91867528"/>
      <w:r>
        <w:rPr>
          <w:rFonts w:eastAsia="宋体" w:cs="宋体"/>
          <w:b/>
          <w:sz w:val="28"/>
          <w:lang w:eastAsia="zh-CN"/>
        </w:rPr>
        <w:t>III.</w:t>
      </w:r>
      <w:r>
        <w:rPr>
          <w:rFonts w:eastAsia="宋体" w:cs="宋体"/>
          <w:b/>
          <w:lang w:eastAsia="zh-CN"/>
        </w:rPr>
        <w:tab/>
      </w:r>
      <w:r>
        <w:rPr>
          <w:rFonts w:eastAsia="宋体" w:cs="宋体"/>
          <w:b/>
          <w:sz w:val="28"/>
          <w:lang w:eastAsia="zh-CN"/>
        </w:rPr>
        <w:t>范围</w:t>
      </w:r>
      <w:bookmarkEnd w:id="3"/>
    </w:p>
    <w:p w14:paraId="67D58876">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最小负担概念和本指南适用于所有符合器械法定定义的产品，</w:t>
      </w:r>
      <w:r>
        <w:rPr>
          <w:rFonts w:eastAsia="宋体" w:cs="宋体"/>
          <w:sz w:val="21"/>
          <w:vertAlign w:val="superscript"/>
          <w:lang w:eastAsia="zh-CN"/>
        </w:rPr>
        <w:t>11</w:t>
      </w:r>
      <w:r>
        <w:rPr>
          <w:rFonts w:eastAsia="宋体" w:cs="宋体"/>
          <w:sz w:val="21"/>
          <w:lang w:eastAsia="zh-CN"/>
        </w:rPr>
        <w:t>包括组合产品的器械组成部分。本指南中的政策适用于与医疗器械监管相关的所有活动（包括上市前和上市后行动）。本指南中的政策适用于（但不限于）以下条件：</w:t>
      </w:r>
    </w:p>
    <w:p w14:paraId="05E0FCB3">
      <w:pPr>
        <w:pStyle w:val="17"/>
        <w:numPr>
          <w:ilvl w:val="0"/>
          <w:numId w:val="3"/>
        </w:numPr>
        <w:adjustRightInd w:val="0"/>
        <w:snapToGrid w:val="0"/>
        <w:spacing w:before="120" w:beforeLines="50" w:line="300" w:lineRule="auto"/>
        <w:ind w:left="860" w:leftChars="200" w:hangingChars="200"/>
        <w:jc w:val="both"/>
        <w:rPr>
          <w:rFonts w:eastAsia="宋体"/>
          <w:sz w:val="21"/>
          <w:szCs w:val="21"/>
          <w:lang w:eastAsia="zh-CN"/>
        </w:rPr>
      </w:pPr>
      <w:r>
        <w:rPr>
          <w:rFonts w:eastAsia="宋体" w:cs="宋体"/>
          <w:sz w:val="21"/>
          <w:lang w:eastAsia="zh-CN"/>
        </w:rPr>
        <w:t>上市前申请，包括上市前批准（PMA）申请、上市前通知（510(k)申请）、重新分类</w:t>
      </w:r>
      <w:r>
        <w:rPr>
          <w:rFonts w:hint="eastAsia" w:eastAsia="宋体" w:cs="宋体"/>
          <w:sz w:val="21"/>
          <w:lang w:eastAsia="zh-CN"/>
        </w:rPr>
        <w:t>(</w:t>
      </w:r>
      <w:r>
        <w:rPr>
          <w:rFonts w:eastAsia="宋体" w:cs="宋体"/>
          <w:sz w:val="21"/>
          <w:lang w:eastAsia="zh-CN"/>
        </w:rPr>
        <w:t>De Novo)申请、人道主义器械豁免（HDE）申请和试验用器械豁免（IDE）申请</w:t>
      </w:r>
    </w:p>
    <w:p w14:paraId="234B0CBC">
      <w:pPr>
        <w:pStyle w:val="17"/>
        <w:numPr>
          <w:ilvl w:val="0"/>
          <w:numId w:val="3"/>
        </w:numPr>
        <w:adjustRightInd w:val="0"/>
        <w:snapToGrid w:val="0"/>
        <w:spacing w:before="120" w:beforeLines="50" w:line="300" w:lineRule="auto"/>
        <w:ind w:left="860" w:leftChars="200" w:hangingChars="200"/>
        <w:jc w:val="both"/>
        <w:rPr>
          <w:rFonts w:eastAsia="宋体"/>
          <w:sz w:val="21"/>
          <w:szCs w:val="21"/>
          <w:lang w:eastAsia="zh-CN"/>
        </w:rPr>
      </w:pPr>
      <w:r>
        <w:rPr>
          <w:rFonts w:eastAsia="宋体" w:cs="宋体"/>
          <w:sz w:val="21"/>
          <w:lang w:eastAsia="zh-CN"/>
        </w:rPr>
        <w:t>临床实验室改进修正案（CLIA）申请豁免</w:t>
      </w:r>
    </w:p>
    <w:p w14:paraId="11345A7F">
      <w:pPr>
        <w:pStyle w:val="17"/>
        <w:numPr>
          <w:ilvl w:val="0"/>
          <w:numId w:val="3"/>
        </w:numPr>
        <w:adjustRightInd w:val="0"/>
        <w:snapToGrid w:val="0"/>
        <w:spacing w:before="120" w:beforeLines="50" w:line="300" w:lineRule="auto"/>
        <w:ind w:left="860" w:leftChars="200" w:hangingChars="200"/>
        <w:jc w:val="both"/>
        <w:rPr>
          <w:rFonts w:eastAsia="宋体"/>
          <w:sz w:val="21"/>
          <w:szCs w:val="21"/>
          <w:lang w:eastAsia="zh-CN"/>
        </w:rPr>
      </w:pPr>
      <w:r>
        <w:rPr>
          <w:rFonts w:hint="eastAsia" w:eastAsia="宋体" w:cs="宋体"/>
          <w:sz w:val="21"/>
          <w:lang w:eastAsia="zh-CN"/>
        </w:rPr>
        <w:t>额外</w:t>
      </w:r>
      <w:r>
        <w:rPr>
          <w:rFonts w:eastAsia="宋体" w:cs="宋体"/>
          <w:sz w:val="21"/>
          <w:lang w:eastAsia="zh-CN"/>
        </w:rPr>
        <w:t>信息或重大发补函</w:t>
      </w:r>
    </w:p>
    <w:p w14:paraId="20807795">
      <w:pPr>
        <w:pStyle w:val="17"/>
        <w:numPr>
          <w:ilvl w:val="0"/>
          <w:numId w:val="3"/>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rPr>
        <w:t>Q-申请（包括预申请）</w:t>
      </w:r>
    </w:p>
    <w:p w14:paraId="7B784081">
      <w:pPr>
        <w:pStyle w:val="17"/>
        <w:numPr>
          <w:ilvl w:val="0"/>
          <w:numId w:val="3"/>
        </w:numPr>
        <w:adjustRightInd w:val="0"/>
        <w:snapToGrid w:val="0"/>
        <w:spacing w:before="120" w:beforeLines="50" w:line="300" w:lineRule="auto"/>
        <w:ind w:left="860" w:leftChars="200" w:hangingChars="200"/>
        <w:jc w:val="both"/>
        <w:rPr>
          <w:rFonts w:eastAsia="宋体"/>
          <w:sz w:val="21"/>
          <w:szCs w:val="21"/>
          <w:lang w:eastAsia="zh-CN"/>
        </w:rPr>
      </w:pPr>
      <w:r>
        <w:rPr>
          <w:rFonts w:eastAsia="宋体" w:cs="宋体"/>
          <w:sz w:val="21"/>
          <w:lang w:eastAsia="zh-CN"/>
        </w:rPr>
        <w:t>关于医疗器械开发的非正式或互动质询</w:t>
      </w:r>
    </w:p>
    <w:p w14:paraId="4F4F899A">
      <w:pPr>
        <w:pStyle w:val="17"/>
        <w:numPr>
          <w:ilvl w:val="0"/>
          <w:numId w:val="3"/>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rPr>
        <w:t>小组审评和建议</w:t>
      </w:r>
    </w:p>
    <w:p w14:paraId="395EB2C9">
      <w:pPr>
        <w:pStyle w:val="17"/>
        <w:numPr>
          <w:ilvl w:val="0"/>
          <w:numId w:val="3"/>
        </w:numPr>
        <w:adjustRightInd w:val="0"/>
        <w:snapToGrid w:val="0"/>
        <w:spacing w:before="120" w:beforeLines="50" w:line="300" w:lineRule="auto"/>
        <w:ind w:left="860" w:leftChars="200" w:hangingChars="200"/>
        <w:jc w:val="both"/>
        <w:rPr>
          <w:rFonts w:eastAsia="宋体"/>
          <w:sz w:val="21"/>
          <w:szCs w:val="21"/>
          <w:lang w:eastAsia="zh-CN"/>
        </w:rPr>
      </w:pPr>
      <w:r>
        <w:rPr>
          <w:rFonts w:eastAsia="宋体" w:cs="宋体"/>
          <w:sz w:val="21"/>
          <w:lang w:eastAsia="zh-CN"/>
        </w:rPr>
        <w:t>上市后监督（包括医疗器械报告（MDR）和批准后研究）</w:t>
      </w:r>
    </w:p>
    <w:p w14:paraId="00FD9AB2">
      <w:pPr>
        <w:pStyle w:val="17"/>
        <w:numPr>
          <w:ilvl w:val="0"/>
          <w:numId w:val="3"/>
        </w:numPr>
        <w:adjustRightInd w:val="0"/>
        <w:snapToGrid w:val="0"/>
        <w:spacing w:before="120" w:beforeLines="50" w:line="300" w:lineRule="auto"/>
        <w:ind w:left="860" w:leftChars="200" w:hangingChars="200"/>
        <w:jc w:val="both"/>
        <w:rPr>
          <w:rFonts w:eastAsia="宋体"/>
          <w:sz w:val="21"/>
          <w:szCs w:val="21"/>
          <w:lang w:eastAsia="zh-CN"/>
        </w:rPr>
      </w:pPr>
      <w:r>
        <w:rPr>
          <w:rFonts w:eastAsia="宋体" w:cs="宋体"/>
          <w:sz w:val="21"/>
          <w:lang w:eastAsia="zh-CN"/>
        </w:rPr>
        <w:t>重新分类和510(k)豁免</w:t>
      </w:r>
    </w:p>
    <w:p w14:paraId="1C2451B1">
      <w:pPr>
        <w:pStyle w:val="17"/>
        <w:numPr>
          <w:ilvl w:val="0"/>
          <w:numId w:val="3"/>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rPr>
        <w:t>指南文件及其应用</w:t>
      </w:r>
    </w:p>
    <w:p w14:paraId="385EC187">
      <w:pPr>
        <w:pStyle w:val="17"/>
        <w:numPr>
          <w:ilvl w:val="0"/>
          <w:numId w:val="3"/>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rPr>
        <w:t>合规相关的互动</w:t>
      </w:r>
    </w:p>
    <w:p w14:paraId="26332F4D">
      <w:pPr>
        <w:pStyle w:val="6"/>
        <w:adjustRightInd w:val="0"/>
        <w:snapToGrid w:val="0"/>
        <w:spacing w:before="5400" w:beforeLines="2250" w:line="300" w:lineRule="auto"/>
        <w:jc w:val="both"/>
        <w:rPr>
          <w:rFonts w:eastAsiaTheme="minorEastAsia"/>
          <w:sz w:val="21"/>
          <w:szCs w:val="21"/>
          <w:lang w:eastAsia="zh-CN"/>
        </w:rPr>
      </w:pPr>
      <w:r>
        <w:rPr>
          <w:rFonts w:eastAsia="宋体" w:cs="宋体"/>
          <w:sz w:val="21"/>
        </w:rPr>
        <w:t>____________________</w:t>
      </w:r>
    </w:p>
    <w:p w14:paraId="14AA5147">
      <w:pPr>
        <w:adjustRightInd w:val="0"/>
        <w:snapToGrid w:val="0"/>
        <w:spacing w:before="36" w:beforeLines="15" w:line="276" w:lineRule="auto"/>
        <w:jc w:val="both"/>
        <w:rPr>
          <w:rFonts w:eastAsia="宋体"/>
          <w:b/>
          <w:sz w:val="21"/>
          <w:szCs w:val="21"/>
          <w:lang w:eastAsia="zh-CN"/>
        </w:rPr>
      </w:pPr>
      <w:r>
        <w:rPr>
          <w:rFonts w:eastAsia="宋体" w:cs="宋体"/>
          <w:sz w:val="18"/>
          <w:vertAlign w:val="superscript"/>
          <w:lang w:eastAsia="zh-CN"/>
        </w:rPr>
        <w:t>11</w:t>
      </w:r>
      <w:r>
        <w:rPr>
          <w:rFonts w:eastAsia="宋体" w:cs="宋体"/>
          <w:sz w:val="18"/>
          <w:lang w:eastAsia="zh-CN"/>
        </w:rPr>
        <w:t>《FD&amp;C法案》第201(h)节。</w:t>
      </w:r>
      <w:r>
        <w:rPr>
          <w:rFonts w:eastAsia="宋体" w:cs="宋体"/>
          <w:b/>
          <w:sz w:val="21"/>
          <w:lang w:eastAsia="zh-CN"/>
        </w:rPr>
        <w:br w:type="page"/>
      </w:r>
    </w:p>
    <w:p w14:paraId="64FCBC06">
      <w:pPr>
        <w:pStyle w:val="17"/>
        <w:numPr>
          <w:ilvl w:val="0"/>
          <w:numId w:val="3"/>
        </w:numPr>
        <w:adjustRightInd w:val="0"/>
        <w:snapToGrid w:val="0"/>
        <w:spacing w:before="120" w:beforeLines="50" w:line="300" w:lineRule="auto"/>
        <w:ind w:left="860" w:leftChars="200" w:hangingChars="200"/>
        <w:jc w:val="both"/>
        <w:rPr>
          <w:rFonts w:eastAsia="宋体"/>
          <w:sz w:val="21"/>
          <w:szCs w:val="21"/>
        </w:rPr>
      </w:pPr>
      <w:r>
        <w:rPr>
          <w:rFonts w:eastAsia="宋体" w:cs="宋体"/>
          <w:sz w:val="21"/>
        </w:rPr>
        <w:t>监管开发</w:t>
      </w:r>
    </w:p>
    <w:p w14:paraId="4EC62AF7">
      <w:pPr>
        <w:pStyle w:val="6"/>
        <w:adjustRightInd w:val="0"/>
        <w:snapToGrid w:val="0"/>
        <w:spacing w:before="120" w:beforeLines="50" w:line="300" w:lineRule="auto"/>
        <w:ind w:left="843" w:hanging="843" w:hangingChars="300"/>
        <w:jc w:val="both"/>
        <w:outlineLvl w:val="0"/>
        <w:rPr>
          <w:b/>
          <w:sz w:val="28"/>
          <w:szCs w:val="21"/>
        </w:rPr>
      </w:pPr>
      <w:bookmarkStart w:id="4" w:name="_Toc91867529"/>
      <w:r>
        <w:rPr>
          <w:rFonts w:eastAsia="宋体" w:cs="宋体"/>
          <w:b/>
          <w:sz w:val="28"/>
        </w:rPr>
        <w:t>IV.</w:t>
      </w:r>
      <w:r>
        <w:rPr>
          <w:rFonts w:eastAsia="宋体" w:cs="宋体"/>
          <w:b/>
        </w:rPr>
        <w:tab/>
      </w:r>
      <w:r>
        <w:rPr>
          <w:rFonts w:eastAsia="宋体" w:cs="宋体"/>
          <w:b/>
          <w:sz w:val="28"/>
        </w:rPr>
        <w:t>指导原则</w:t>
      </w:r>
      <w:bookmarkEnd w:id="4"/>
    </w:p>
    <w:p w14:paraId="236B1814">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FDA将最小负担定义为：在适当的时间以最有效的方式充分解决相关监管问题或事项所需的最少量信息（例如必须知晓</w:t>
      </w:r>
      <w:r>
        <w:rPr>
          <w:rFonts w:hint="eastAsia" w:eastAsia="宋体" w:cs="宋体"/>
          <w:sz w:val="21"/>
          <w:lang w:eastAsia="zh-CN"/>
        </w:rPr>
        <w:t>相较于</w:t>
      </w:r>
      <w:r>
        <w:rPr>
          <w:rFonts w:eastAsia="宋体" w:cs="宋体"/>
          <w:sz w:val="21"/>
          <w:lang w:eastAsia="zh-CN"/>
        </w:rPr>
        <w:t>知道也可）。FDA的最小负担定义和原则未改变适用的法律和监管标准（例如器械批准或许可标准），也未改变适用的要求（包括上市前申请内容要求和有效科学证据要求）。</w:t>
      </w:r>
      <w:r>
        <w:rPr>
          <w:rFonts w:eastAsia="宋体" w:cs="宋体"/>
          <w:sz w:val="21"/>
          <w:vertAlign w:val="superscript"/>
          <w:lang w:eastAsia="zh-CN"/>
        </w:rPr>
        <w:t>12</w:t>
      </w:r>
    </w:p>
    <w:p w14:paraId="5E8782A4">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尽管提到了行业应开展的工作，但本机构的指导原则解释了FDA对最小负担器械审查的承诺。在整个产品生命周期中的任何时候对特定问题或事项采取最小负担方法时，FDA计划（并且行业应）采用下列指导原则：</w:t>
      </w:r>
    </w:p>
    <w:p w14:paraId="0FABC372">
      <w:pPr>
        <w:adjustRightInd w:val="0"/>
        <w:snapToGrid w:val="0"/>
        <w:spacing w:before="120" w:beforeLines="50" w:line="300" w:lineRule="auto"/>
        <w:ind w:left="860" w:leftChars="200" w:hanging="420" w:hangingChars="200"/>
        <w:jc w:val="both"/>
        <w:rPr>
          <w:rFonts w:eastAsia="宋体"/>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FDA计划仅</w:t>
      </w:r>
      <w:r>
        <w:rPr>
          <w:rFonts w:hint="eastAsia" w:eastAsia="宋体" w:cs="宋体"/>
          <w:sz w:val="21"/>
          <w:lang w:eastAsia="zh-CN"/>
        </w:rPr>
        <w:t>要求</w:t>
      </w:r>
      <w:r>
        <w:rPr>
          <w:rFonts w:eastAsia="宋体" w:cs="宋体"/>
          <w:sz w:val="21"/>
          <w:lang w:eastAsia="zh-CN"/>
        </w:rPr>
        <w:t>解决手头的监管问题或事项所需的最少必要信息。</w:t>
      </w:r>
    </w:p>
    <w:p w14:paraId="4B75952D">
      <w:pPr>
        <w:adjustRightInd w:val="0"/>
        <w:snapToGrid w:val="0"/>
        <w:spacing w:before="120" w:beforeLines="50" w:line="300" w:lineRule="auto"/>
        <w:ind w:left="860" w:leftChars="200" w:hanging="420" w:hangingChars="200"/>
        <w:jc w:val="both"/>
        <w:rPr>
          <w:rFonts w:eastAsia="宋体"/>
          <w:sz w:val="21"/>
          <w:szCs w:val="21"/>
          <w:lang w:eastAsia="zh-CN"/>
        </w:rPr>
      </w:pPr>
      <w:r>
        <w:rPr>
          <w:rFonts w:eastAsia="宋体" w:cs="宋体"/>
          <w:sz w:val="21"/>
          <w:lang w:eastAsia="zh-CN"/>
        </w:rPr>
        <w:t>2.</w:t>
      </w:r>
      <w:r>
        <w:rPr>
          <w:rFonts w:eastAsia="宋体" w:cs="宋体"/>
          <w:sz w:val="21"/>
          <w:lang w:eastAsia="zh-CN"/>
        </w:rPr>
        <w:tab/>
      </w:r>
      <w:r>
        <w:rPr>
          <w:rFonts w:eastAsia="宋体" w:cs="宋体"/>
          <w:sz w:val="21"/>
          <w:lang w:eastAsia="zh-CN"/>
        </w:rPr>
        <w:t>行业应按照FDA审评最小负担原则向FDA提交资料（包括上市前申请）。</w:t>
      </w:r>
    </w:p>
    <w:p w14:paraId="78E8B1FE">
      <w:pPr>
        <w:pStyle w:val="17"/>
        <w:numPr>
          <w:ilvl w:val="0"/>
          <w:numId w:val="4"/>
        </w:numPr>
        <w:adjustRightInd w:val="0"/>
        <w:snapToGrid w:val="0"/>
        <w:spacing w:before="120" w:beforeLines="50" w:line="300" w:lineRule="auto"/>
        <w:ind w:left="1300" w:leftChars="400" w:hangingChars="200"/>
        <w:jc w:val="both"/>
        <w:rPr>
          <w:rFonts w:eastAsia="宋体"/>
          <w:sz w:val="21"/>
          <w:szCs w:val="21"/>
          <w:lang w:eastAsia="zh-CN"/>
        </w:rPr>
      </w:pPr>
      <w:r>
        <w:rPr>
          <w:rFonts w:eastAsia="宋体" w:cs="宋体"/>
          <w:sz w:val="21"/>
          <w:lang w:eastAsia="zh-CN"/>
        </w:rPr>
        <w:t>行业应提交有条理、清晰、简洁的信息。</w:t>
      </w:r>
    </w:p>
    <w:p w14:paraId="12014487">
      <w:pPr>
        <w:pStyle w:val="17"/>
        <w:numPr>
          <w:ilvl w:val="0"/>
          <w:numId w:val="4"/>
        </w:numPr>
        <w:adjustRightInd w:val="0"/>
        <w:snapToGrid w:val="0"/>
        <w:spacing w:before="120" w:beforeLines="50" w:line="300" w:lineRule="auto"/>
        <w:ind w:left="1300" w:leftChars="400" w:hangingChars="200"/>
        <w:jc w:val="both"/>
        <w:rPr>
          <w:rFonts w:eastAsia="宋体"/>
          <w:sz w:val="21"/>
          <w:szCs w:val="21"/>
          <w:lang w:eastAsia="zh-CN"/>
        </w:rPr>
      </w:pPr>
      <w:r>
        <w:rPr>
          <w:rFonts w:eastAsia="宋体" w:cs="宋体"/>
          <w:sz w:val="21"/>
          <w:lang w:eastAsia="zh-CN"/>
        </w:rPr>
        <w:t>行业不应向FDA提交与监管决策无关的信息。</w:t>
      </w:r>
    </w:p>
    <w:p w14:paraId="55AEAE35">
      <w:pPr>
        <w:pStyle w:val="17"/>
        <w:numPr>
          <w:ilvl w:val="0"/>
          <w:numId w:val="4"/>
        </w:numPr>
        <w:adjustRightInd w:val="0"/>
        <w:snapToGrid w:val="0"/>
        <w:spacing w:before="120" w:beforeLines="50" w:line="300" w:lineRule="auto"/>
        <w:ind w:left="1300" w:leftChars="400" w:hangingChars="200"/>
        <w:jc w:val="both"/>
        <w:rPr>
          <w:rFonts w:eastAsia="宋体"/>
          <w:sz w:val="21"/>
          <w:szCs w:val="21"/>
          <w:lang w:eastAsia="zh-CN"/>
        </w:rPr>
      </w:pPr>
      <w:r>
        <w:rPr>
          <w:rFonts w:eastAsia="宋体" w:cs="宋体"/>
          <w:sz w:val="21"/>
          <w:lang w:eastAsia="zh-CN"/>
        </w:rPr>
        <w:t>考虑FDA建议时，行业应参考适用的FDA指南文件。</w:t>
      </w:r>
    </w:p>
    <w:p w14:paraId="295E05D1">
      <w:pPr>
        <w:adjustRightInd w:val="0"/>
        <w:snapToGrid w:val="0"/>
        <w:spacing w:before="120" w:beforeLines="50" w:line="300" w:lineRule="auto"/>
        <w:ind w:left="860" w:leftChars="200" w:hanging="420" w:hangingChars="200"/>
        <w:jc w:val="both"/>
        <w:rPr>
          <w:rFonts w:eastAsia="宋体"/>
          <w:sz w:val="21"/>
          <w:szCs w:val="21"/>
          <w:lang w:eastAsia="zh-CN"/>
        </w:rPr>
      </w:pPr>
      <w:r>
        <w:rPr>
          <w:rFonts w:eastAsia="宋体" w:cs="宋体"/>
          <w:sz w:val="21"/>
          <w:lang w:eastAsia="zh-CN"/>
        </w:rPr>
        <w:t>3.</w:t>
      </w:r>
      <w:r>
        <w:rPr>
          <w:rFonts w:eastAsia="宋体" w:cs="宋体"/>
          <w:sz w:val="21"/>
          <w:lang w:eastAsia="zh-CN"/>
        </w:rPr>
        <w:tab/>
      </w:r>
      <w:r>
        <w:rPr>
          <w:rFonts w:eastAsia="宋体" w:cs="宋体"/>
          <w:sz w:val="21"/>
          <w:lang w:eastAsia="zh-CN"/>
        </w:rPr>
        <w:t>FDA计划使用最高效的方式解决监管问题。</w:t>
      </w:r>
    </w:p>
    <w:p w14:paraId="1711DF3F">
      <w:pPr>
        <w:pStyle w:val="17"/>
        <w:numPr>
          <w:ilvl w:val="0"/>
          <w:numId w:val="5"/>
        </w:numPr>
        <w:adjustRightInd w:val="0"/>
        <w:snapToGrid w:val="0"/>
        <w:spacing w:before="120" w:beforeLines="50" w:line="300" w:lineRule="auto"/>
        <w:ind w:left="1300" w:leftChars="400" w:hangingChars="200"/>
        <w:jc w:val="both"/>
        <w:rPr>
          <w:rFonts w:eastAsia="宋体"/>
          <w:sz w:val="21"/>
          <w:szCs w:val="21"/>
          <w:lang w:eastAsia="zh-CN"/>
        </w:rPr>
      </w:pPr>
      <w:r>
        <w:rPr>
          <w:rFonts w:eastAsia="宋体" w:cs="宋体"/>
          <w:sz w:val="21"/>
          <w:lang w:eastAsia="zh-CN"/>
        </w:rPr>
        <w:t>FDA计划使用一切合理措施来简化流程和政策，并在适当时限内（如MDUFA绩效目标）做出监管决策。</w:t>
      </w:r>
    </w:p>
    <w:p w14:paraId="23AE2FD5">
      <w:pPr>
        <w:pStyle w:val="17"/>
        <w:numPr>
          <w:ilvl w:val="0"/>
          <w:numId w:val="5"/>
        </w:numPr>
        <w:adjustRightInd w:val="0"/>
        <w:snapToGrid w:val="0"/>
        <w:spacing w:before="120" w:beforeLines="50" w:line="300" w:lineRule="auto"/>
        <w:ind w:left="1300" w:leftChars="400" w:hangingChars="200"/>
        <w:jc w:val="both"/>
        <w:rPr>
          <w:rFonts w:eastAsia="宋体"/>
          <w:sz w:val="21"/>
          <w:szCs w:val="21"/>
          <w:lang w:eastAsia="zh-CN"/>
        </w:rPr>
      </w:pPr>
      <w:r>
        <w:rPr>
          <w:rFonts w:eastAsia="宋体" w:cs="宋体"/>
          <w:sz w:val="21"/>
          <w:lang w:eastAsia="zh-CN"/>
        </w:rPr>
        <w:t>FDA计划在可能的情况下常规使用正式和非正式的互动方法来解决问题和事项。</w:t>
      </w:r>
    </w:p>
    <w:p w14:paraId="6C6DBDD7">
      <w:pPr>
        <w:pStyle w:val="17"/>
        <w:numPr>
          <w:ilvl w:val="0"/>
          <w:numId w:val="5"/>
        </w:numPr>
        <w:adjustRightInd w:val="0"/>
        <w:snapToGrid w:val="0"/>
        <w:spacing w:before="120" w:beforeLines="50" w:line="300" w:lineRule="auto"/>
        <w:ind w:left="1300" w:leftChars="400" w:hangingChars="200"/>
        <w:jc w:val="both"/>
        <w:rPr>
          <w:rFonts w:eastAsia="宋体"/>
          <w:sz w:val="21"/>
          <w:szCs w:val="21"/>
          <w:lang w:eastAsia="zh-CN"/>
        </w:rPr>
      </w:pPr>
      <w:r>
        <w:rPr>
          <w:rFonts w:eastAsia="宋体" w:cs="宋体"/>
          <w:sz w:val="21"/>
          <w:lang w:eastAsia="zh-CN"/>
        </w:rPr>
        <w:t>FDA计划（并且行业应）使用适应于具体情况和需求的合理、定制方法来解决监管问题和事项。</w:t>
      </w:r>
    </w:p>
    <w:p w14:paraId="4918DB8A">
      <w:pPr>
        <w:pStyle w:val="17"/>
        <w:numPr>
          <w:ilvl w:val="0"/>
          <w:numId w:val="5"/>
        </w:numPr>
        <w:adjustRightInd w:val="0"/>
        <w:snapToGrid w:val="0"/>
        <w:spacing w:before="120" w:beforeLines="50" w:line="300" w:lineRule="auto"/>
        <w:ind w:left="1300" w:leftChars="400" w:hangingChars="200"/>
        <w:jc w:val="both"/>
        <w:rPr>
          <w:rFonts w:eastAsia="宋体"/>
          <w:sz w:val="21"/>
          <w:szCs w:val="21"/>
          <w:lang w:eastAsia="zh-CN"/>
        </w:rPr>
      </w:pPr>
      <w:r>
        <w:rPr>
          <w:rFonts w:eastAsia="宋体" w:cs="宋体"/>
          <w:sz w:val="21"/>
          <w:lang w:eastAsia="zh-CN"/>
        </w:rPr>
        <w:t>FDA计划适当考虑满足其</w:t>
      </w:r>
      <w:r>
        <w:rPr>
          <w:rFonts w:hint="eastAsia" w:eastAsia="宋体" w:cs="宋体"/>
          <w:sz w:val="21"/>
          <w:lang w:eastAsia="zh-CN"/>
        </w:rPr>
        <w:t>要求</w:t>
      </w:r>
      <w:r>
        <w:rPr>
          <w:rFonts w:eastAsia="宋体" w:cs="宋体"/>
          <w:sz w:val="21"/>
          <w:lang w:eastAsia="zh-CN"/>
        </w:rPr>
        <w:t>信息所需的时间和资源。</w:t>
      </w:r>
    </w:p>
    <w:p w14:paraId="59AB0F7A">
      <w:pPr>
        <w:adjustRightInd w:val="0"/>
        <w:snapToGrid w:val="0"/>
        <w:spacing w:before="120" w:beforeLines="50" w:line="300" w:lineRule="auto"/>
        <w:ind w:left="860" w:leftChars="200" w:hanging="420" w:hangingChars="200"/>
        <w:jc w:val="both"/>
        <w:rPr>
          <w:rFonts w:eastAsia="宋体"/>
          <w:sz w:val="21"/>
          <w:szCs w:val="21"/>
          <w:lang w:eastAsia="zh-CN"/>
        </w:rPr>
      </w:pPr>
      <w:r>
        <w:rPr>
          <w:rFonts w:eastAsia="宋体" w:cs="宋体"/>
          <w:sz w:val="21"/>
          <w:lang w:eastAsia="zh-CN"/>
        </w:rPr>
        <w:t>4.</w:t>
      </w:r>
      <w:r>
        <w:rPr>
          <w:rFonts w:eastAsia="宋体" w:cs="宋体"/>
          <w:sz w:val="21"/>
          <w:lang w:eastAsia="zh-CN"/>
        </w:rPr>
        <w:tab/>
      </w:r>
      <w:r>
        <w:rPr>
          <w:rFonts w:eastAsia="宋体" w:cs="宋体"/>
          <w:sz w:val="21"/>
          <w:lang w:eastAsia="zh-CN"/>
        </w:rPr>
        <w:t>应在正确的时间提供正确的信息（例如及时收集数据）来解决正确的问题。</w:t>
      </w:r>
    </w:p>
    <w:p w14:paraId="127DAD11">
      <w:pPr>
        <w:pStyle w:val="17"/>
        <w:numPr>
          <w:ilvl w:val="0"/>
          <w:numId w:val="6"/>
        </w:numPr>
        <w:adjustRightInd w:val="0"/>
        <w:snapToGrid w:val="0"/>
        <w:spacing w:before="120" w:beforeLines="50" w:line="300" w:lineRule="auto"/>
        <w:ind w:left="1300" w:leftChars="400" w:hangingChars="200"/>
        <w:jc w:val="both"/>
        <w:rPr>
          <w:rFonts w:eastAsia="宋体"/>
          <w:sz w:val="21"/>
          <w:szCs w:val="21"/>
          <w:lang w:eastAsia="zh-CN"/>
        </w:rPr>
      </w:pPr>
      <w:r>
        <w:rPr>
          <w:rFonts w:eastAsia="宋体" w:cs="宋体"/>
          <w:sz w:val="21"/>
          <w:lang w:eastAsia="zh-CN"/>
        </w:rPr>
        <w:t>FDA计划（并且行业应）在适当且可行的情况下，考虑使用上市后数据收集来减少上市前的数据收集。</w:t>
      </w:r>
    </w:p>
    <w:p w14:paraId="7A650E4F">
      <w:pPr>
        <w:pStyle w:val="6"/>
        <w:adjustRightInd w:val="0"/>
        <w:snapToGrid w:val="0"/>
        <w:spacing w:before="3000" w:beforeLines="1250" w:line="300" w:lineRule="auto"/>
        <w:jc w:val="both"/>
        <w:rPr>
          <w:rFonts w:eastAsiaTheme="minorEastAsia"/>
          <w:sz w:val="21"/>
          <w:szCs w:val="21"/>
          <w:lang w:eastAsia="zh-CN"/>
        </w:rPr>
      </w:pPr>
      <w:r>
        <w:rPr>
          <w:rFonts w:eastAsia="宋体" w:cs="宋体"/>
          <w:sz w:val="21"/>
          <w:lang w:eastAsia="zh-CN"/>
        </w:rPr>
        <w:t>____________________</w:t>
      </w:r>
    </w:p>
    <w:p w14:paraId="11E2E231">
      <w:pPr>
        <w:adjustRightInd w:val="0"/>
        <w:snapToGrid w:val="0"/>
        <w:spacing w:before="36" w:beforeLines="15" w:line="276" w:lineRule="auto"/>
        <w:jc w:val="both"/>
        <w:rPr>
          <w:rFonts w:eastAsia="宋体"/>
          <w:b/>
          <w:sz w:val="21"/>
          <w:szCs w:val="21"/>
          <w:lang w:eastAsia="zh-CN"/>
        </w:rPr>
      </w:pPr>
      <w:r>
        <w:rPr>
          <w:rFonts w:eastAsia="宋体" w:cs="宋体"/>
          <w:sz w:val="18"/>
          <w:vertAlign w:val="superscript"/>
          <w:lang w:eastAsia="zh-CN"/>
        </w:rPr>
        <w:t>12</w:t>
      </w:r>
      <w:r>
        <w:rPr>
          <w:rFonts w:eastAsia="宋体" w:cs="宋体"/>
          <w:sz w:val="18"/>
          <w:lang w:eastAsia="zh-CN"/>
        </w:rPr>
        <w:t xml:space="preserve"> 《FD&amp;C法案》第513(i)和515节；以及《美国联邦法规》第21篇第807部分第E子部分，第812和814部分，以及第860.7(c)节。</w:t>
      </w:r>
      <w:r>
        <w:rPr>
          <w:rFonts w:eastAsia="宋体" w:cs="宋体"/>
          <w:b/>
          <w:sz w:val="21"/>
          <w:lang w:eastAsia="zh-CN"/>
        </w:rPr>
        <w:br w:type="page"/>
      </w:r>
    </w:p>
    <w:p w14:paraId="480C1E15">
      <w:pPr>
        <w:adjustRightInd w:val="0"/>
        <w:snapToGrid w:val="0"/>
        <w:spacing w:before="120" w:beforeLines="50" w:line="300" w:lineRule="auto"/>
        <w:ind w:left="860" w:leftChars="200" w:hanging="420" w:hangingChars="200"/>
        <w:jc w:val="both"/>
        <w:rPr>
          <w:rFonts w:eastAsia="宋体"/>
          <w:sz w:val="21"/>
          <w:szCs w:val="21"/>
          <w:lang w:eastAsia="zh-CN"/>
        </w:rPr>
      </w:pPr>
      <w:r>
        <w:rPr>
          <w:rFonts w:eastAsia="宋体" w:cs="宋体"/>
          <w:sz w:val="21"/>
          <w:lang w:eastAsia="zh-CN"/>
        </w:rPr>
        <w:t>5.</w:t>
      </w:r>
      <w:r>
        <w:rPr>
          <w:rFonts w:eastAsia="宋体" w:cs="宋体"/>
          <w:sz w:val="21"/>
          <w:lang w:eastAsia="zh-CN"/>
        </w:rPr>
        <w:tab/>
      </w:r>
      <w:r>
        <w:rPr>
          <w:rFonts w:eastAsia="宋体" w:cs="宋体"/>
          <w:sz w:val="21"/>
          <w:lang w:eastAsia="zh-CN"/>
        </w:rPr>
        <w:t>监管方法应在技术上可行，考虑到独特的创新周期、证据生成需求和及时的患者可及性。</w:t>
      </w:r>
    </w:p>
    <w:p w14:paraId="13EAF2E2">
      <w:pPr>
        <w:adjustRightInd w:val="0"/>
        <w:snapToGrid w:val="0"/>
        <w:spacing w:before="120" w:beforeLines="50" w:line="300" w:lineRule="auto"/>
        <w:ind w:left="860" w:leftChars="200" w:hanging="420" w:hangingChars="200"/>
        <w:jc w:val="both"/>
        <w:rPr>
          <w:rFonts w:eastAsia="宋体"/>
          <w:sz w:val="21"/>
          <w:szCs w:val="21"/>
          <w:lang w:eastAsia="zh-CN"/>
        </w:rPr>
      </w:pPr>
      <w:r>
        <w:rPr>
          <w:rFonts w:eastAsia="宋体" w:cs="宋体"/>
          <w:sz w:val="21"/>
          <w:lang w:eastAsia="zh-CN"/>
        </w:rPr>
        <w:t>6.</w:t>
      </w:r>
      <w:r>
        <w:rPr>
          <w:rFonts w:eastAsia="宋体" w:cs="宋体"/>
          <w:sz w:val="21"/>
          <w:lang w:eastAsia="zh-CN"/>
        </w:rPr>
        <w:tab/>
      </w:r>
      <w:r>
        <w:rPr>
          <w:rFonts w:eastAsia="宋体" w:cs="宋体"/>
          <w:sz w:val="21"/>
          <w:lang w:eastAsia="zh-CN"/>
        </w:rPr>
        <w:t>FDA计划在适当且可行的情况下，利用来自其他国家的数据，以及其他国家的医疗器械监管机构（或其代表）做出的决策。</w:t>
      </w:r>
    </w:p>
    <w:p w14:paraId="3774871E">
      <w:pPr>
        <w:adjustRightInd w:val="0"/>
        <w:snapToGrid w:val="0"/>
        <w:spacing w:before="120" w:beforeLines="50" w:line="300" w:lineRule="auto"/>
        <w:ind w:left="860" w:leftChars="200" w:hanging="420" w:hangingChars="200"/>
        <w:jc w:val="both"/>
        <w:rPr>
          <w:rFonts w:eastAsia="宋体"/>
          <w:sz w:val="21"/>
          <w:szCs w:val="21"/>
          <w:lang w:eastAsia="zh-CN"/>
        </w:rPr>
      </w:pPr>
      <w:r>
        <w:rPr>
          <w:rFonts w:eastAsia="宋体" w:cs="宋体"/>
          <w:sz w:val="21"/>
          <w:lang w:eastAsia="zh-CN"/>
        </w:rPr>
        <w:t>7.</w:t>
      </w:r>
      <w:r>
        <w:rPr>
          <w:rFonts w:eastAsia="宋体" w:cs="宋体"/>
          <w:sz w:val="21"/>
          <w:lang w:eastAsia="zh-CN"/>
        </w:rPr>
        <w:tab/>
      </w:r>
      <w:r>
        <w:rPr>
          <w:rFonts w:eastAsia="宋体" w:cs="宋体"/>
          <w:sz w:val="21"/>
          <w:lang w:eastAsia="zh-CN"/>
        </w:rPr>
        <w:t>FDA计划在实现国际医疗器械监管趋同和协调统一的工作中应用最小负担原则。</w:t>
      </w:r>
    </w:p>
    <w:p w14:paraId="0C705A86">
      <w:pPr>
        <w:pStyle w:val="17"/>
        <w:numPr>
          <w:ilvl w:val="0"/>
          <w:numId w:val="5"/>
        </w:numPr>
        <w:adjustRightInd w:val="0"/>
        <w:snapToGrid w:val="0"/>
        <w:spacing w:before="120" w:beforeLines="50" w:line="300" w:lineRule="auto"/>
        <w:ind w:left="1300" w:leftChars="400" w:hangingChars="200"/>
        <w:jc w:val="both"/>
        <w:rPr>
          <w:rFonts w:eastAsia="宋体"/>
          <w:sz w:val="21"/>
          <w:szCs w:val="21"/>
          <w:lang w:eastAsia="zh-CN"/>
        </w:rPr>
      </w:pPr>
      <w:r>
        <w:rPr>
          <w:rFonts w:eastAsia="宋体" w:cs="宋体"/>
          <w:sz w:val="21"/>
          <w:lang w:eastAsia="zh-CN"/>
        </w:rPr>
        <w:t>FDA有意积极参与由国际和其他标准开发组织发布的自愿共识标准的开发、认可和使用。</w:t>
      </w:r>
    </w:p>
    <w:p w14:paraId="4D4D8B3D">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成功应用最小负担原则的关键在于提供优质的客户服务。FDA致力于清楚、简明地传达其要求、预期、流程、政策、决定及其理由。行业可以通过为FDA提供清晰、简洁的申请、上市前申请、回复及其理由，来协助本机构实施最小负担原则。卓越</w:t>
      </w:r>
      <w:r>
        <w:rPr>
          <w:rFonts w:hint="eastAsia" w:eastAsia="宋体" w:cs="宋体"/>
          <w:sz w:val="21"/>
          <w:lang w:eastAsia="zh-CN"/>
        </w:rPr>
        <w:t>的</w:t>
      </w:r>
      <w:r>
        <w:rPr>
          <w:rFonts w:eastAsia="宋体" w:cs="宋体"/>
          <w:sz w:val="21"/>
          <w:lang w:eastAsia="zh-CN"/>
        </w:rPr>
        <w:t>客户服务和FDA与客户之间的开放沟通渠道将有助于提供最有益于患者的监管结局。</w:t>
      </w:r>
    </w:p>
    <w:p w14:paraId="32E384B8">
      <w:pPr>
        <w:pStyle w:val="6"/>
        <w:adjustRightInd w:val="0"/>
        <w:snapToGrid w:val="0"/>
        <w:spacing w:before="120" w:beforeLines="50" w:line="300" w:lineRule="auto"/>
        <w:ind w:left="843" w:hanging="843" w:hangingChars="300"/>
        <w:jc w:val="both"/>
        <w:outlineLvl w:val="0"/>
        <w:rPr>
          <w:b/>
          <w:sz w:val="28"/>
          <w:szCs w:val="21"/>
          <w:lang w:eastAsia="zh-CN"/>
        </w:rPr>
      </w:pPr>
      <w:bookmarkStart w:id="5" w:name="_Toc91867530"/>
      <w:r>
        <w:rPr>
          <w:rFonts w:eastAsia="宋体" w:cs="宋体"/>
          <w:b/>
          <w:sz w:val="28"/>
          <w:lang w:eastAsia="zh-CN"/>
        </w:rPr>
        <w:t>V.</w:t>
      </w:r>
      <w:r>
        <w:rPr>
          <w:rFonts w:eastAsia="宋体" w:cs="宋体"/>
          <w:b/>
          <w:lang w:eastAsia="zh-CN"/>
        </w:rPr>
        <w:tab/>
      </w:r>
      <w:r>
        <w:rPr>
          <w:rFonts w:eastAsia="宋体" w:cs="宋体"/>
          <w:b/>
          <w:sz w:val="28"/>
          <w:lang w:eastAsia="zh-CN"/>
        </w:rPr>
        <w:t>最小负担原则的应用</w:t>
      </w:r>
      <w:bookmarkEnd w:id="5"/>
    </w:p>
    <w:p w14:paraId="5D674D5A">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本节提供了旨在代表适用于医疗器械监管的最小负担概念和最小负担指导原则实施的示例。</w:t>
      </w:r>
      <w:r>
        <w:rPr>
          <w:rFonts w:eastAsia="宋体" w:cs="宋体"/>
          <w:sz w:val="21"/>
          <w:vertAlign w:val="superscript"/>
          <w:lang w:eastAsia="zh-CN"/>
        </w:rPr>
        <w:t>13</w:t>
      </w:r>
      <w:r>
        <w:rPr>
          <w:rFonts w:eastAsia="宋体" w:cs="宋体"/>
          <w:sz w:val="21"/>
          <w:lang w:eastAsia="zh-CN"/>
        </w:rPr>
        <w:t>示例包括：使用负担较小的临床数据来源、使用非临床数据、接受替代方法、减轻传统临床研究的负担、使用受益-风险评估、简化流程并减轻行政管理负担、引入智能监管、参与全球协调统一、平衡上市前与上市后信息需求以及使用适时试验。</w:t>
      </w:r>
    </w:p>
    <w:p w14:paraId="5F0F4C9C">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一些示例可能仅适用于作为监管机构的FDA。即使在此类情况下，FDA仍将继续与行业就制定和实施最小负担原则进行接洽。FDA工作人员与行业应尽早就讨论可能适用于计划提交的最小负担原则和方法进行接洽。接洽范围包括应用本指南文件、其他FDA指南和其他相关资源中所述的最小负担原则和方法的策略。</w:t>
      </w:r>
    </w:p>
    <w:p w14:paraId="68FAF17C">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此类示例仅为说明性示例，并非详尽无遗。按最小负担定义要素对示例进行了分组，但有些示例可能属于多个分类。</w:t>
      </w:r>
    </w:p>
    <w:p w14:paraId="7E0F02B3">
      <w:pPr>
        <w:pStyle w:val="6"/>
        <w:adjustRightInd w:val="0"/>
        <w:snapToGrid w:val="0"/>
        <w:spacing w:before="120" w:beforeLines="50" w:line="300" w:lineRule="auto"/>
        <w:ind w:left="1283" w:leftChars="200" w:hanging="843" w:hangingChars="300"/>
        <w:jc w:val="both"/>
        <w:outlineLvl w:val="0"/>
        <w:rPr>
          <w:b/>
          <w:sz w:val="28"/>
          <w:szCs w:val="21"/>
          <w:lang w:eastAsia="zh-CN"/>
        </w:rPr>
      </w:pPr>
      <w:bookmarkStart w:id="6" w:name="_Toc91867531"/>
      <w:r>
        <w:rPr>
          <w:rFonts w:eastAsia="宋体" w:cs="宋体"/>
          <w:b/>
          <w:sz w:val="28"/>
          <w:lang w:eastAsia="zh-CN"/>
        </w:rPr>
        <w:t>A.</w:t>
      </w:r>
      <w:r>
        <w:rPr>
          <w:rFonts w:eastAsia="宋体" w:cs="宋体"/>
          <w:b/>
          <w:lang w:eastAsia="zh-CN"/>
        </w:rPr>
        <w:tab/>
      </w:r>
      <w:r>
        <w:rPr>
          <w:rFonts w:eastAsia="宋体" w:cs="宋体"/>
          <w:b/>
          <w:sz w:val="28"/>
          <w:lang w:eastAsia="zh-CN"/>
        </w:rPr>
        <w:t>最少必要信息</w:t>
      </w:r>
      <w:bookmarkEnd w:id="6"/>
    </w:p>
    <w:p w14:paraId="20E7995F">
      <w:pPr>
        <w:pStyle w:val="6"/>
        <w:adjustRightInd w:val="0"/>
        <w:snapToGrid w:val="0"/>
        <w:spacing w:before="4440" w:beforeLines="1850" w:line="300" w:lineRule="auto"/>
        <w:jc w:val="both"/>
        <w:rPr>
          <w:rFonts w:eastAsiaTheme="minorEastAsia"/>
          <w:sz w:val="21"/>
          <w:szCs w:val="21"/>
          <w:lang w:eastAsia="zh-CN"/>
        </w:rPr>
      </w:pPr>
      <w:r>
        <w:rPr>
          <w:rFonts w:eastAsia="宋体" w:cs="宋体"/>
          <w:sz w:val="21"/>
          <w:lang w:eastAsia="zh-CN"/>
        </w:rPr>
        <w:t>____________________</w:t>
      </w:r>
    </w:p>
    <w:p w14:paraId="6FF38D3A">
      <w:pPr>
        <w:adjustRightInd w:val="0"/>
        <w:snapToGrid w:val="0"/>
        <w:spacing w:before="36" w:beforeLines="15" w:line="276" w:lineRule="auto"/>
        <w:jc w:val="both"/>
        <w:rPr>
          <w:rFonts w:eastAsia="宋体"/>
          <w:b/>
          <w:sz w:val="21"/>
          <w:szCs w:val="21"/>
          <w:lang w:eastAsia="zh-CN"/>
        </w:rPr>
      </w:pPr>
      <w:r>
        <w:rPr>
          <w:rFonts w:eastAsia="宋体" w:cs="宋体"/>
          <w:sz w:val="18"/>
          <w:vertAlign w:val="superscript"/>
          <w:lang w:eastAsia="zh-CN"/>
        </w:rPr>
        <w:t>13</w:t>
      </w:r>
      <w:r>
        <w:rPr>
          <w:rFonts w:eastAsia="宋体" w:cs="宋体"/>
          <w:sz w:val="18"/>
          <w:lang w:eastAsia="zh-CN"/>
        </w:rPr>
        <w:t xml:space="preserve"> 上述示例仅用于说明目的，不表示FDA对任何特定产品的认可。</w:t>
      </w:r>
      <w:r>
        <w:rPr>
          <w:rFonts w:eastAsia="宋体" w:cs="宋体"/>
          <w:b/>
          <w:sz w:val="21"/>
          <w:lang w:eastAsia="zh-CN"/>
        </w:rPr>
        <w:br w:type="page"/>
      </w:r>
    </w:p>
    <w:p w14:paraId="6D7DE15B">
      <w:pPr>
        <w:pStyle w:val="6"/>
        <w:adjustRightInd w:val="0"/>
        <w:snapToGrid w:val="0"/>
        <w:spacing w:before="120" w:beforeLines="50" w:line="300" w:lineRule="auto"/>
        <w:ind w:left="1603" w:leftChars="400" w:hanging="723" w:hangingChars="300"/>
        <w:jc w:val="both"/>
        <w:outlineLvl w:val="1"/>
        <w:rPr>
          <w:b/>
          <w:szCs w:val="21"/>
          <w:lang w:eastAsia="zh-CN"/>
        </w:rPr>
      </w:pPr>
      <w:bookmarkStart w:id="7" w:name="_Toc91867532"/>
      <w:r>
        <w:rPr>
          <w:rFonts w:eastAsia="宋体" w:cs="宋体"/>
          <w:b/>
          <w:lang w:eastAsia="zh-CN"/>
        </w:rPr>
        <w:t>（1）</w:t>
      </w:r>
      <w:r>
        <w:rPr>
          <w:rFonts w:eastAsia="宋体" w:cs="宋体"/>
          <w:lang w:eastAsia="zh-CN"/>
        </w:rPr>
        <w:tab/>
      </w:r>
      <w:r>
        <w:rPr>
          <w:rFonts w:eastAsia="宋体" w:cs="宋体"/>
          <w:b/>
          <w:lang w:eastAsia="zh-CN"/>
        </w:rPr>
        <w:t>负担较小的临床数据来源</w:t>
      </w:r>
      <w:bookmarkEnd w:id="7"/>
    </w:p>
    <w:p w14:paraId="113B407F">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可基于有效的科学证据判断医疗器械的安全性和有效性的合理保证。</w:t>
      </w:r>
      <w:r>
        <w:rPr>
          <w:rFonts w:eastAsia="宋体" w:cs="宋体"/>
          <w:sz w:val="21"/>
          <w:vertAlign w:val="superscript"/>
          <w:lang w:eastAsia="zh-CN"/>
        </w:rPr>
        <w:t>14</w:t>
      </w:r>
      <w:r>
        <w:rPr>
          <w:rFonts w:eastAsia="宋体" w:cs="宋体"/>
          <w:sz w:val="21"/>
          <w:lang w:eastAsia="zh-CN"/>
        </w:rPr>
        <w:t>FDA基于多个因素判定安全性和有效性，其中包括预期用途、使用条件、可能获益与任何可能风险的权衡以及器械的可靠性。</w:t>
      </w:r>
      <w:r>
        <w:rPr>
          <w:rFonts w:eastAsia="宋体" w:cs="宋体"/>
          <w:sz w:val="21"/>
          <w:vertAlign w:val="superscript"/>
          <w:lang w:eastAsia="zh-CN"/>
        </w:rPr>
        <w:t>15</w:t>
      </w:r>
      <w:r>
        <w:rPr>
          <w:rFonts w:eastAsia="宋体" w:cs="宋体"/>
          <w:sz w:val="21"/>
          <w:lang w:eastAsia="zh-CN"/>
        </w:rPr>
        <w:t>根据器械特征、使用条件、使用经验程度和其他因素，所需的证据各不相同。</w:t>
      </w:r>
      <w:r>
        <w:rPr>
          <w:rFonts w:eastAsia="宋体" w:cs="宋体"/>
          <w:sz w:val="21"/>
          <w:vertAlign w:val="superscript"/>
          <w:lang w:eastAsia="zh-CN"/>
        </w:rPr>
        <w:t>16</w:t>
      </w:r>
      <w:r>
        <w:rPr>
          <w:rFonts w:eastAsia="宋体" w:cs="宋体"/>
          <w:sz w:val="21"/>
          <w:lang w:eastAsia="zh-CN"/>
        </w:rPr>
        <w:t>在适当情况下，应考虑其他的临床数据来源，并且在很多情况下，可作为评估器械安全性和有效性以及其他监管决策的最小负担方法。其他数据来源可能包括经过同行评审的文献、美国境外（OUS）数据、真实世界证据（RWE）和记录详尽的病历。此类来源可利用整合到常规医疗保健服务中的医疗器械唯一标识（UDI）系统进行数据收集和分析的方法。在确定关于监管要求或决策的最小负担方法时，FDA工作人员和行业应考虑此类其他替代数据来源。孤立的病例报告、随机经验、缺乏足够细节来实施科学评价的报告以及未经证实的观点不应被视为有效科学证据。</w:t>
      </w:r>
      <w:r>
        <w:rPr>
          <w:rFonts w:eastAsia="宋体" w:cs="宋体"/>
          <w:sz w:val="21"/>
          <w:vertAlign w:val="superscript"/>
          <w:lang w:eastAsia="zh-CN"/>
        </w:rPr>
        <w:t>17</w:t>
      </w:r>
      <w:r>
        <w:rPr>
          <w:rFonts w:eastAsia="宋体" w:cs="宋体"/>
          <w:sz w:val="21"/>
          <w:lang w:eastAsia="zh-CN"/>
        </w:rPr>
        <w:t>但是，如果相关，在识别对安全性和有效性存在疑问的器械时，可考虑提供此类信息，包括不构成有效科学证据的不良事件报告。</w:t>
      </w:r>
      <w:r>
        <w:rPr>
          <w:rFonts w:eastAsia="宋体" w:cs="宋体"/>
          <w:sz w:val="21"/>
          <w:vertAlign w:val="superscript"/>
          <w:lang w:eastAsia="zh-CN"/>
        </w:rPr>
        <w:t>18</w:t>
      </w:r>
    </w:p>
    <w:p w14:paraId="2925F2EC">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利用现有数据</w:t>
      </w:r>
    </w:p>
    <w:p w14:paraId="2FE516B6">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将现有数据用于做出监管决策也是科学有效应用最小负担原则的方法之一。在手头有此类数据可用、适用且与具体器械或监管问题相关的情况下，可以使用同行评审文献、登记数据和美国之外的数据来替代其他数据或作为补充材料。举例来讲，基于已发表的文献和详细记录的同情使用病例，FDA批准了用于治疗儿科食管闭锁的一项人道主义器械豁免（HDE）申请。</w:t>
      </w:r>
      <w:r>
        <w:rPr>
          <w:rFonts w:eastAsia="宋体" w:cs="宋体"/>
          <w:sz w:val="21"/>
          <w:vertAlign w:val="superscript"/>
          <w:lang w:eastAsia="zh-CN"/>
        </w:rPr>
        <w:t>19</w:t>
      </w:r>
      <w:r>
        <w:rPr>
          <w:rFonts w:eastAsia="宋体" w:cs="宋体"/>
          <w:sz w:val="21"/>
          <w:lang w:eastAsia="zh-CN"/>
        </w:rPr>
        <w:t>同样，FDA广泛依赖经过同行评审的文献批准了直接面向消费者基因组的重新分类申请，以对包括帕金森病和晚发型阿尔茨海默病在内的遗传疾病进行风险评定。</w:t>
      </w:r>
      <w:r>
        <w:rPr>
          <w:rFonts w:eastAsia="宋体" w:cs="宋体"/>
          <w:sz w:val="21"/>
          <w:vertAlign w:val="superscript"/>
          <w:lang w:eastAsia="zh-CN"/>
        </w:rPr>
        <w:t>20</w:t>
      </w:r>
      <w:r>
        <w:rPr>
          <w:rFonts w:eastAsia="宋体" w:cs="宋体"/>
          <w:sz w:val="21"/>
          <w:lang w:eastAsia="zh-CN"/>
        </w:rPr>
        <w:t>最后，经过同行评审的文献已用于支持许多器械类型的510(k)申请中的扩展</w:t>
      </w:r>
      <w:r>
        <w:rPr>
          <w:rFonts w:hint="eastAsia" w:eastAsia="宋体" w:cs="宋体"/>
          <w:sz w:val="21"/>
          <w:lang w:eastAsia="zh-CN"/>
        </w:rPr>
        <w:t>适用范围</w:t>
      </w:r>
      <w:r>
        <w:rPr>
          <w:rFonts w:eastAsia="宋体" w:cs="宋体"/>
          <w:sz w:val="21"/>
          <w:lang w:eastAsia="zh-CN"/>
        </w:rPr>
        <w:t>或其他标签变更。</w:t>
      </w:r>
      <w:r>
        <w:rPr>
          <w:rFonts w:eastAsia="宋体" w:cs="宋体"/>
          <w:sz w:val="21"/>
          <w:vertAlign w:val="superscript"/>
          <w:lang w:eastAsia="zh-CN"/>
        </w:rPr>
        <w:t>21</w:t>
      </w:r>
    </w:p>
    <w:p w14:paraId="02A508D5">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适当情况下，FDA和申请者也可以利用既往备案的PMA中包含的信息（包括来自临床或临床前试验或研究的信息），此类信息证明了可以合理保证器械的安全性和有效性，但不包括关于生产方法、产品组分和其他商业秘密的说明。按照“六年规则”</w:t>
      </w:r>
      <w:r>
        <w:rPr>
          <w:rFonts w:eastAsia="宋体" w:cs="宋体"/>
          <w:sz w:val="21"/>
          <w:vertAlign w:val="superscript"/>
          <w:lang w:eastAsia="zh-CN"/>
        </w:rPr>
        <w:t>22</w:t>
      </w:r>
      <w:r>
        <w:rPr>
          <w:rFonts w:eastAsia="宋体" w:cs="宋体"/>
          <w:sz w:val="21"/>
          <w:lang w:eastAsia="zh-CN"/>
        </w:rPr>
        <w:t>（不包括商业秘密），FDA可在PMA批准6年后使用来自临床或临床前试验或研究的安全性和有效性数据，以批准另一申请者的器械，</w:t>
      </w:r>
      <w:r>
        <w:rPr>
          <w:rFonts w:hint="eastAsia" w:eastAsia="宋体" w:cs="宋体"/>
          <w:sz w:val="21"/>
          <w:lang w:eastAsia="zh-CN"/>
        </w:rPr>
        <w:t>建立</w:t>
      </w:r>
      <w:r>
        <w:rPr>
          <w:rFonts w:eastAsia="宋体" w:cs="宋体"/>
          <w:sz w:val="21"/>
          <w:lang w:eastAsia="zh-CN"/>
        </w:rPr>
        <w:t>性能标准或特殊控制，或者依据《FD&amp;C法案》第513节对其他器械进行分类或重新分类。FDA决定此项“六年规则”仅适用于1990年11月28日《医疗器械安全法案》（公法101-629）（SMDA）颁布之后批准的PMA中的数据。举例来讲，FDA根据本机构的倡议使用了“六年规则”，以支持将爬楼轮椅和锐器针头销毁器械从III类器械重新分类为II类器械，并建立特殊控制。</w:t>
      </w:r>
      <w:r>
        <w:rPr>
          <w:rFonts w:eastAsia="宋体" w:cs="宋体"/>
          <w:sz w:val="21"/>
          <w:vertAlign w:val="superscript"/>
          <w:lang w:eastAsia="zh-CN"/>
        </w:rPr>
        <w:t>23</w:t>
      </w:r>
      <w:r>
        <w:rPr>
          <w:rFonts w:eastAsia="宋体" w:cs="宋体"/>
          <w:sz w:val="21"/>
          <w:lang w:eastAsia="zh-CN"/>
        </w:rPr>
        <w:t>有关“六年规则”的更多信息，请参见FDA指南文件《</w:t>
      </w:r>
      <w:r>
        <w:rPr>
          <w:rFonts w:eastAsia="宋体" w:cs="宋体"/>
          <w:color w:val="0000FF"/>
          <w:sz w:val="21"/>
          <w:u w:val="single"/>
          <w:lang w:eastAsia="zh-CN"/>
        </w:rPr>
        <w:t>关于1997年美国食品药品监督管理局现代化法案第216节的指南</w:t>
      </w:r>
      <w:r>
        <w:rPr>
          <w:rFonts w:eastAsia="宋体" w:cs="宋体"/>
          <w:sz w:val="21"/>
          <w:lang w:eastAsia="zh-CN"/>
        </w:rPr>
        <w:t>》。</w:t>
      </w:r>
      <w:r>
        <w:rPr>
          <w:rFonts w:eastAsia="宋体" w:cs="宋体"/>
          <w:sz w:val="21"/>
          <w:vertAlign w:val="superscript"/>
          <w:lang w:eastAsia="zh-CN"/>
        </w:rPr>
        <w:t>24</w:t>
      </w:r>
    </w:p>
    <w:p w14:paraId="10507626">
      <w:pPr>
        <w:pStyle w:val="6"/>
        <w:adjustRightInd w:val="0"/>
        <w:snapToGrid w:val="0"/>
        <w:spacing w:before="120" w:beforeLines="50" w:line="300" w:lineRule="auto"/>
        <w:jc w:val="both"/>
        <w:rPr>
          <w:rFonts w:eastAsiaTheme="minorEastAsia"/>
          <w:sz w:val="21"/>
          <w:szCs w:val="21"/>
          <w:lang w:eastAsia="zh-CN"/>
        </w:rPr>
      </w:pPr>
      <w:r>
        <w:rPr>
          <w:rFonts w:eastAsia="宋体" w:cs="宋体"/>
          <w:sz w:val="21"/>
          <w:lang w:eastAsia="zh-CN"/>
        </w:rPr>
        <w:t>____________________</w:t>
      </w:r>
    </w:p>
    <w:p w14:paraId="79D14E12">
      <w:pPr>
        <w:wordWrap w:val="0"/>
        <w:adjustRightInd w:val="0"/>
        <w:snapToGrid w:val="0"/>
        <w:spacing w:before="36" w:beforeLines="15" w:line="276" w:lineRule="auto"/>
        <w:jc w:val="both"/>
        <w:rPr>
          <w:rFonts w:eastAsia="宋体"/>
          <w:sz w:val="18"/>
          <w:szCs w:val="21"/>
          <w:lang w:eastAsia="zh-CN"/>
        </w:rPr>
      </w:pPr>
      <w:r>
        <w:rPr>
          <w:rFonts w:eastAsia="宋体"/>
          <w:sz w:val="18"/>
          <w:szCs w:val="21"/>
          <w:vertAlign w:val="superscript"/>
          <w:lang w:eastAsia="zh-CN"/>
        </w:rPr>
        <w:t>14</w:t>
      </w:r>
      <w:bookmarkStart w:id="8" w:name="_bookmark20"/>
      <w:bookmarkEnd w:id="8"/>
      <w:r>
        <w:rPr>
          <w:rFonts w:eastAsia="宋体"/>
          <w:sz w:val="18"/>
          <w:szCs w:val="21"/>
          <w:lang w:eastAsia="zh-CN"/>
        </w:rPr>
        <w:t xml:space="preserve"> </w:t>
      </w:r>
      <w:bookmarkStart w:id="9" w:name="_bookmark21"/>
      <w:bookmarkEnd w:id="9"/>
      <w:r>
        <w:rPr>
          <w:rFonts w:eastAsia="宋体"/>
          <w:sz w:val="18"/>
          <w:szCs w:val="21"/>
          <w:lang w:eastAsia="zh-CN"/>
        </w:rPr>
        <w:t>21 CFR 860.7(c)(1).</w:t>
      </w:r>
    </w:p>
    <w:p w14:paraId="6DACF735">
      <w:pPr>
        <w:wordWrap w:val="0"/>
        <w:adjustRightInd w:val="0"/>
        <w:snapToGrid w:val="0"/>
        <w:spacing w:before="36" w:beforeLines="15" w:line="276" w:lineRule="auto"/>
        <w:jc w:val="both"/>
        <w:rPr>
          <w:rFonts w:eastAsia="宋体"/>
          <w:sz w:val="18"/>
          <w:szCs w:val="21"/>
          <w:lang w:eastAsia="zh-CN"/>
        </w:rPr>
      </w:pPr>
      <w:r>
        <w:rPr>
          <w:rFonts w:eastAsia="宋体"/>
          <w:sz w:val="18"/>
          <w:szCs w:val="21"/>
          <w:vertAlign w:val="superscript"/>
          <w:lang w:eastAsia="zh-CN"/>
        </w:rPr>
        <w:t>15</w:t>
      </w:r>
      <w:r>
        <w:rPr>
          <w:rFonts w:eastAsia="宋体"/>
          <w:sz w:val="18"/>
          <w:szCs w:val="21"/>
          <w:lang w:eastAsia="zh-CN"/>
        </w:rPr>
        <w:t xml:space="preserve"> </w:t>
      </w:r>
      <w:bookmarkStart w:id="10" w:name="_bookmark22"/>
      <w:bookmarkEnd w:id="10"/>
      <w:r>
        <w:rPr>
          <w:rFonts w:eastAsia="宋体"/>
          <w:sz w:val="18"/>
          <w:szCs w:val="21"/>
          <w:lang w:eastAsia="zh-CN"/>
        </w:rPr>
        <w:t>21 CFR 860.7(b).</w:t>
      </w:r>
    </w:p>
    <w:p w14:paraId="1F949109">
      <w:pPr>
        <w:wordWrap w:val="0"/>
        <w:adjustRightInd w:val="0"/>
        <w:snapToGrid w:val="0"/>
        <w:spacing w:before="36" w:beforeLines="15" w:line="276" w:lineRule="auto"/>
        <w:jc w:val="both"/>
        <w:rPr>
          <w:rFonts w:eastAsia="宋体"/>
          <w:sz w:val="18"/>
          <w:szCs w:val="21"/>
          <w:lang w:eastAsia="zh-CN"/>
        </w:rPr>
      </w:pPr>
      <w:r>
        <w:rPr>
          <w:rFonts w:eastAsia="宋体"/>
          <w:sz w:val="18"/>
          <w:szCs w:val="21"/>
          <w:vertAlign w:val="superscript"/>
          <w:lang w:eastAsia="zh-CN"/>
        </w:rPr>
        <w:t>16</w:t>
      </w:r>
      <w:r>
        <w:rPr>
          <w:rFonts w:eastAsia="宋体"/>
          <w:sz w:val="18"/>
          <w:szCs w:val="21"/>
          <w:lang w:eastAsia="zh-CN"/>
        </w:rPr>
        <w:t xml:space="preserve"> 21 CFR 860.7(c)(2).</w:t>
      </w:r>
    </w:p>
    <w:p w14:paraId="218CC596">
      <w:pPr>
        <w:wordWrap w:val="0"/>
        <w:adjustRightInd w:val="0"/>
        <w:snapToGrid w:val="0"/>
        <w:spacing w:before="36" w:beforeLines="15" w:line="276" w:lineRule="auto"/>
        <w:jc w:val="both"/>
        <w:rPr>
          <w:rFonts w:eastAsia="宋体"/>
          <w:sz w:val="18"/>
          <w:szCs w:val="21"/>
        </w:rPr>
      </w:pPr>
      <w:r>
        <w:rPr>
          <w:rFonts w:eastAsia="宋体"/>
          <w:sz w:val="18"/>
          <w:szCs w:val="21"/>
          <w:vertAlign w:val="superscript"/>
        </w:rPr>
        <w:t>17</w:t>
      </w:r>
      <w:bookmarkStart w:id="11" w:name="_bookmark24"/>
      <w:bookmarkEnd w:id="11"/>
      <w:bookmarkStart w:id="12" w:name="_bookmark23"/>
      <w:bookmarkEnd w:id="12"/>
      <w:r>
        <w:rPr>
          <w:rFonts w:eastAsia="宋体"/>
          <w:sz w:val="18"/>
          <w:szCs w:val="21"/>
        </w:rPr>
        <w:t xml:space="preserve"> </w:t>
      </w:r>
      <w:r>
        <w:rPr>
          <w:rFonts w:eastAsia="宋体"/>
          <w:i/>
          <w:sz w:val="18"/>
          <w:szCs w:val="21"/>
        </w:rPr>
        <w:t>Id</w:t>
      </w:r>
      <w:r>
        <w:rPr>
          <w:rFonts w:eastAsia="宋体"/>
          <w:sz w:val="18"/>
          <w:szCs w:val="21"/>
        </w:rPr>
        <w:t>.</w:t>
      </w:r>
    </w:p>
    <w:p w14:paraId="3084D1A0">
      <w:pPr>
        <w:wordWrap w:val="0"/>
        <w:adjustRightInd w:val="0"/>
        <w:snapToGrid w:val="0"/>
        <w:spacing w:before="36" w:beforeLines="15" w:line="276" w:lineRule="auto"/>
        <w:jc w:val="both"/>
        <w:rPr>
          <w:rFonts w:eastAsia="宋体"/>
          <w:sz w:val="18"/>
          <w:szCs w:val="21"/>
        </w:rPr>
      </w:pPr>
      <w:r>
        <w:rPr>
          <w:rFonts w:eastAsia="宋体"/>
          <w:sz w:val="18"/>
          <w:szCs w:val="21"/>
          <w:vertAlign w:val="superscript"/>
        </w:rPr>
        <w:t>18</w:t>
      </w:r>
      <w:bookmarkStart w:id="13" w:name="_bookmark25"/>
      <w:bookmarkEnd w:id="13"/>
      <w:r>
        <w:rPr>
          <w:rFonts w:eastAsia="宋体"/>
          <w:sz w:val="18"/>
          <w:szCs w:val="21"/>
        </w:rPr>
        <w:t xml:space="preserve"> </w:t>
      </w:r>
      <w:r>
        <w:rPr>
          <w:rFonts w:eastAsia="宋体"/>
          <w:i/>
          <w:sz w:val="18"/>
          <w:szCs w:val="21"/>
        </w:rPr>
        <w:t>Id</w:t>
      </w:r>
      <w:r>
        <w:rPr>
          <w:rFonts w:eastAsia="宋体"/>
          <w:sz w:val="18"/>
          <w:szCs w:val="21"/>
        </w:rPr>
        <w:t>.</w:t>
      </w:r>
    </w:p>
    <w:p w14:paraId="726AC190">
      <w:pPr>
        <w:wordWrap w:val="0"/>
        <w:adjustRightInd w:val="0"/>
        <w:snapToGrid w:val="0"/>
        <w:spacing w:before="36" w:beforeLines="15" w:line="276" w:lineRule="auto"/>
        <w:jc w:val="both"/>
        <w:rPr>
          <w:rFonts w:eastAsia="宋体"/>
          <w:sz w:val="18"/>
          <w:szCs w:val="21"/>
        </w:rPr>
      </w:pPr>
      <w:r>
        <w:rPr>
          <w:rFonts w:eastAsia="宋体" w:cs="宋体"/>
          <w:sz w:val="18"/>
          <w:vertAlign w:val="superscript"/>
        </w:rPr>
        <w:t>19</w:t>
      </w:r>
      <w:r>
        <w:rPr>
          <w:rFonts w:eastAsia="宋体" w:cs="宋体"/>
          <w:sz w:val="18"/>
        </w:rPr>
        <w:t xml:space="preserve"> 有关安全性和可能获益的总结，可登录以下网址获取：</w:t>
      </w:r>
      <w:r>
        <w:rPr>
          <w:rFonts w:eastAsia="宋体" w:cs="宋体"/>
          <w:color w:val="0000FF"/>
          <w:sz w:val="18"/>
          <w:u w:val="single"/>
        </w:rPr>
        <w:t>https://www.accessdata.fda.gov/cdrh_docs/pdf15/H150003B.pdf</w:t>
      </w:r>
      <w:r>
        <w:rPr>
          <w:rFonts w:eastAsia="宋体" w:cs="宋体"/>
          <w:sz w:val="18"/>
        </w:rPr>
        <w:t>。</w:t>
      </w:r>
    </w:p>
    <w:p w14:paraId="0490945F">
      <w:pPr>
        <w:wordWrap w:val="0"/>
        <w:adjustRightInd w:val="0"/>
        <w:snapToGrid w:val="0"/>
        <w:spacing w:before="36" w:beforeLines="15" w:line="276" w:lineRule="auto"/>
        <w:jc w:val="both"/>
        <w:rPr>
          <w:rFonts w:eastAsia="宋体"/>
          <w:sz w:val="18"/>
          <w:szCs w:val="21"/>
          <w:lang w:eastAsia="zh-CN"/>
        </w:rPr>
      </w:pPr>
      <w:r>
        <w:rPr>
          <w:rFonts w:eastAsia="宋体" w:cs="宋体"/>
          <w:sz w:val="18"/>
          <w:vertAlign w:val="superscript"/>
        </w:rPr>
        <w:t>20</w:t>
      </w:r>
      <w:r>
        <w:rPr>
          <w:rFonts w:eastAsia="宋体" w:cs="宋体"/>
          <w:sz w:val="18"/>
        </w:rPr>
        <w:t>有关重新分类决策的总结，可登录以下网址获取：</w:t>
      </w:r>
      <w:r>
        <w:rPr>
          <w:rFonts w:eastAsia="宋体" w:cs="宋体"/>
          <w:color w:val="0000FF"/>
          <w:sz w:val="18"/>
          <w:u w:val="single"/>
        </w:rPr>
        <w:t>https://www.accessdata.fda.gov/cdrh_docs/reviews/DEN160026.pdf</w:t>
      </w:r>
      <w:r>
        <w:rPr>
          <w:rFonts w:eastAsia="宋体" w:cs="宋体"/>
          <w:sz w:val="18"/>
        </w:rPr>
        <w:t>。</w:t>
      </w:r>
    </w:p>
    <w:p w14:paraId="3998B915">
      <w:pPr>
        <w:wordWrap w:val="0"/>
        <w:adjustRightInd w:val="0"/>
        <w:snapToGrid w:val="0"/>
        <w:spacing w:before="36" w:beforeLines="15" w:line="276" w:lineRule="auto"/>
        <w:jc w:val="both"/>
        <w:rPr>
          <w:rFonts w:eastAsia="宋体"/>
          <w:b/>
          <w:sz w:val="21"/>
          <w:szCs w:val="21"/>
        </w:rPr>
      </w:pPr>
      <w:r>
        <w:rPr>
          <w:rFonts w:eastAsia="宋体" w:cs="宋体"/>
          <w:sz w:val="18"/>
          <w:vertAlign w:val="superscript"/>
        </w:rPr>
        <w:t>21</w:t>
      </w:r>
      <w:r>
        <w:rPr>
          <w:rFonts w:eastAsia="宋体" w:cs="宋体"/>
          <w:sz w:val="18"/>
        </w:rPr>
        <w:t xml:space="preserve"> 例如，510(k)总结可登录以下网址获取：</w:t>
      </w:r>
      <w:r>
        <w:rPr>
          <w:rFonts w:eastAsia="宋体" w:cs="宋体"/>
          <w:color w:val="0000FF"/>
          <w:sz w:val="18"/>
          <w:u w:val="single"/>
        </w:rPr>
        <w:t>https://www.accessdata.fda.gov/cdrh_docs/pdf16/K161949.pdf</w:t>
      </w:r>
      <w:r>
        <w:rPr>
          <w:rFonts w:eastAsia="宋体" w:cs="宋体"/>
          <w:sz w:val="18"/>
        </w:rPr>
        <w:t>、</w:t>
      </w:r>
      <w:r>
        <w:rPr>
          <w:rFonts w:eastAsia="宋体" w:cs="宋体"/>
          <w:color w:val="0000FF"/>
          <w:sz w:val="18"/>
          <w:u w:val="single"/>
        </w:rPr>
        <w:t>https://www.accessdata.fda.gov/cdrh_docs/pdf16/K163245.pdf</w:t>
      </w:r>
      <w:r>
        <w:rPr>
          <w:rFonts w:eastAsia="宋体" w:cs="宋体"/>
          <w:sz w:val="18"/>
        </w:rPr>
        <w:t>、</w:t>
      </w:r>
      <w:r>
        <w:rPr>
          <w:rFonts w:eastAsia="宋体" w:cs="宋体"/>
          <w:color w:val="0000FF"/>
          <w:sz w:val="18"/>
          <w:u w:val="single"/>
        </w:rPr>
        <w:t>https://www.accessdata.fda.gov/cdrh_docs/pdf14/K142973.pdf</w:t>
      </w:r>
      <w:r>
        <w:rPr>
          <w:rFonts w:eastAsia="宋体" w:cs="宋体"/>
          <w:sz w:val="18"/>
        </w:rPr>
        <w:t>和</w:t>
      </w:r>
      <w:r>
        <w:rPr>
          <w:rFonts w:eastAsia="宋体" w:cs="宋体"/>
          <w:color w:val="0000FF"/>
          <w:sz w:val="18"/>
          <w:u w:val="single"/>
        </w:rPr>
        <w:t>https://www.accessdata.fda.gov/cdrh_docs/pdf17/K172903.pdf</w:t>
      </w:r>
      <w:r>
        <w:rPr>
          <w:rFonts w:eastAsia="宋体" w:cs="宋体"/>
          <w:sz w:val="18"/>
        </w:rPr>
        <w:t>。</w:t>
      </w:r>
      <w:r>
        <w:rPr>
          <w:rFonts w:eastAsia="宋体" w:cs="宋体"/>
          <w:b/>
          <w:sz w:val="21"/>
        </w:rPr>
        <w:br w:type="page"/>
      </w:r>
    </w:p>
    <w:p w14:paraId="330139CA">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如果现有数据来源中的终点具有相关性；成人和儿科使用之间未见可影响到安全性和有效性的差异；并且数据质量高，则可以考虑将来自已研究的患者人群的现有临床数据外推至新的儿科患者人群。有关将成人数据外推至儿科人群</w:t>
      </w:r>
      <w:r>
        <w:rPr>
          <w:rFonts w:hint="eastAsia" w:eastAsia="宋体" w:cs="宋体"/>
          <w:sz w:val="21"/>
          <w:lang w:eastAsia="zh-CN"/>
        </w:rPr>
        <w:t>的时间和方式</w:t>
      </w:r>
      <w:r>
        <w:rPr>
          <w:rFonts w:eastAsia="宋体" w:cs="宋体"/>
          <w:sz w:val="21"/>
          <w:lang w:eastAsia="zh-CN"/>
        </w:rPr>
        <w:t>的更多信息，请参见FDA指南文件《</w:t>
      </w:r>
      <w:r>
        <w:rPr>
          <w:rFonts w:eastAsia="宋体" w:cs="宋体"/>
          <w:color w:val="0000FF"/>
          <w:sz w:val="21"/>
          <w:u w:val="single"/>
          <w:lang w:eastAsia="zh-CN"/>
        </w:rPr>
        <w:t>利用现有临床数据</w:t>
      </w:r>
      <w:r>
        <w:rPr>
          <w:rFonts w:hint="eastAsia" w:eastAsia="宋体" w:cs="宋体"/>
          <w:color w:val="0000FF"/>
          <w:sz w:val="21"/>
          <w:u w:val="single"/>
          <w:lang w:eastAsia="zh-CN"/>
        </w:rPr>
        <w:t>外推</w:t>
      </w:r>
      <w:r>
        <w:rPr>
          <w:rFonts w:eastAsia="宋体" w:cs="宋体"/>
          <w:color w:val="0000FF"/>
          <w:sz w:val="21"/>
          <w:u w:val="single"/>
          <w:lang w:eastAsia="zh-CN"/>
        </w:rPr>
        <w:t>医疗器械的儿科用途</w:t>
      </w:r>
      <w:r>
        <w:rPr>
          <w:rFonts w:eastAsia="宋体" w:cs="宋体"/>
          <w:sz w:val="21"/>
          <w:lang w:eastAsia="zh-CN"/>
        </w:rPr>
        <w:t>》。</w:t>
      </w:r>
      <w:r>
        <w:rPr>
          <w:rFonts w:eastAsia="宋体" w:cs="宋体"/>
          <w:sz w:val="21"/>
          <w:vertAlign w:val="superscript"/>
          <w:lang w:eastAsia="zh-CN"/>
        </w:rPr>
        <w:t>25</w:t>
      </w:r>
    </w:p>
    <w:p w14:paraId="5112C815">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真实世界证据（RWE）</w:t>
      </w:r>
    </w:p>
    <w:p w14:paraId="5892B554">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真实世界数据（RWD）是指从各种来源常规收集的与患者健康状况和/或医疗服务相关的数据。真实世界证据（RWE）是指通过分析RWD得出的关于药物产品的使用以及潜在获益或风险的临床证据。RWD可能来源于电子健康记录（EHR）、登记研究和医疗索赔数据。有关RWE的更多信息，请参见FDA指南文件《</w:t>
      </w:r>
      <w:r>
        <w:rPr>
          <w:rFonts w:eastAsia="宋体" w:cs="宋体"/>
          <w:color w:val="0000FF"/>
          <w:sz w:val="21"/>
          <w:u w:val="single"/>
          <w:lang w:eastAsia="zh-CN"/>
        </w:rPr>
        <w:t>使用真实世界证据支持医疗器械监管决策</w:t>
      </w:r>
      <w:r>
        <w:rPr>
          <w:rFonts w:eastAsia="宋体" w:cs="宋体"/>
          <w:sz w:val="21"/>
          <w:lang w:eastAsia="zh-CN"/>
        </w:rPr>
        <w:t>》。</w:t>
      </w:r>
      <w:r>
        <w:rPr>
          <w:rFonts w:eastAsia="宋体" w:cs="宋体"/>
          <w:sz w:val="21"/>
          <w:vertAlign w:val="superscript"/>
          <w:lang w:eastAsia="zh-CN"/>
        </w:rPr>
        <w:t>26</w:t>
      </w:r>
    </w:p>
    <w:p w14:paraId="2AA58EBA">
      <w:pPr>
        <w:pStyle w:val="6"/>
        <w:adjustRightInd w:val="0"/>
        <w:snapToGrid w:val="0"/>
        <w:spacing w:before="120" w:beforeLines="50" w:line="300" w:lineRule="auto"/>
        <w:jc w:val="both"/>
        <w:rPr>
          <w:rFonts w:eastAsia="宋体" w:cs="宋体"/>
          <w:sz w:val="21"/>
          <w:lang w:eastAsia="zh-CN"/>
        </w:rPr>
      </w:pPr>
      <w:r>
        <w:rPr>
          <w:rFonts w:eastAsia="宋体" w:cs="宋体"/>
          <w:sz w:val="21"/>
          <w:lang w:eastAsia="zh-CN"/>
        </w:rPr>
        <w:t>FDA和行业正在使用RWD来源来解决上市前和上市后问题。通过使用前瞻性登记研究中的远程监测系统收集到的临床数据，FDA批准了一项永久性心脏起搏器电极的PMA。</w:t>
      </w:r>
      <w:r>
        <w:rPr>
          <w:rFonts w:eastAsia="宋体" w:cs="宋体"/>
          <w:sz w:val="21"/>
          <w:vertAlign w:val="superscript"/>
          <w:lang w:eastAsia="zh-CN"/>
        </w:rPr>
        <w:t>27</w:t>
      </w:r>
      <w:r>
        <w:rPr>
          <w:rFonts w:eastAsia="宋体" w:cs="宋体"/>
          <w:sz w:val="21"/>
          <w:lang w:eastAsia="zh-CN"/>
        </w:rPr>
        <w:t>此外，包括囊性纤维化变体患者登记数据的公开数据库用于支持510(k)中报告的变体的临床有效性，经批准，该510(k)可用于囊性纤维化跨膜电导调节因子（CFTR）测定。</w:t>
      </w:r>
      <w:r>
        <w:rPr>
          <w:rFonts w:eastAsia="宋体" w:cs="宋体"/>
          <w:sz w:val="21"/>
          <w:vertAlign w:val="superscript"/>
          <w:lang w:eastAsia="zh-CN"/>
        </w:rPr>
        <w:t>28</w:t>
      </w:r>
      <w:r>
        <w:rPr>
          <w:rFonts w:eastAsia="宋体" w:cs="宋体"/>
          <w:sz w:val="21"/>
          <w:lang w:eastAsia="zh-CN"/>
        </w:rPr>
        <w:t>精心策划的精准肿瘤学知识库用于支持被批准用于下一代测序肿瘤分析测试的重新分类申请的突变报告。</w:t>
      </w:r>
      <w:r>
        <w:rPr>
          <w:rFonts w:eastAsia="宋体" w:cs="宋体"/>
          <w:sz w:val="21"/>
          <w:vertAlign w:val="superscript"/>
          <w:lang w:eastAsia="zh-CN"/>
        </w:rPr>
        <w:t>29</w:t>
      </w:r>
      <w:r>
        <w:rPr>
          <w:rFonts w:eastAsia="宋体" w:cs="宋体"/>
          <w:sz w:val="21"/>
          <w:lang w:eastAsia="zh-CN"/>
        </w:rPr>
        <w:t>最初设计用于上市后监测的几项登记研究已被用于支持多个器械（包括心室支持器械和经导管瓣膜）的适应症扩展。</w:t>
      </w:r>
      <w:r>
        <w:rPr>
          <w:rFonts w:eastAsia="宋体" w:cs="宋体"/>
          <w:sz w:val="21"/>
          <w:vertAlign w:val="superscript"/>
          <w:lang w:eastAsia="zh-CN"/>
        </w:rPr>
        <w:t>30</w:t>
      </w:r>
      <w:r>
        <w:rPr>
          <w:rFonts w:eastAsia="宋体" w:cs="宋体"/>
          <w:sz w:val="21"/>
          <w:lang w:eastAsia="zh-CN"/>
        </w:rPr>
        <w:t>最后，FDA和行业已利用来自登记研究的RWE来支持用于良性和恶性病灶消融的冷冻手术工具的</w:t>
      </w:r>
      <w:r>
        <w:rPr>
          <w:rFonts w:hint="eastAsia" w:eastAsia="宋体" w:cs="宋体"/>
          <w:sz w:val="21"/>
          <w:lang w:eastAsia="zh-CN"/>
        </w:rPr>
        <w:t>适用范围</w:t>
      </w:r>
      <w:r>
        <w:rPr>
          <w:rFonts w:eastAsia="宋体" w:cs="宋体"/>
          <w:sz w:val="21"/>
          <w:lang w:eastAsia="zh-CN"/>
        </w:rPr>
        <w:t>扩展。</w:t>
      </w:r>
      <w:r>
        <w:rPr>
          <w:rFonts w:eastAsia="宋体" w:cs="宋体"/>
          <w:sz w:val="21"/>
          <w:vertAlign w:val="superscript"/>
          <w:lang w:eastAsia="zh-CN"/>
        </w:rPr>
        <w:t>31</w:t>
      </w:r>
    </w:p>
    <w:p w14:paraId="2A0579C7">
      <w:pPr>
        <w:pStyle w:val="6"/>
        <w:adjustRightInd w:val="0"/>
        <w:snapToGrid w:val="0"/>
        <w:spacing w:before="120" w:beforeLines="50" w:line="300" w:lineRule="auto"/>
        <w:jc w:val="both"/>
        <w:rPr>
          <w:rFonts w:eastAsia="宋体" w:cs="宋体"/>
          <w:sz w:val="21"/>
          <w:lang w:eastAsia="zh-CN"/>
        </w:rPr>
      </w:pPr>
    </w:p>
    <w:p w14:paraId="2F1D966B">
      <w:pPr>
        <w:pStyle w:val="6"/>
        <w:adjustRightInd w:val="0"/>
        <w:snapToGrid w:val="0"/>
        <w:spacing w:before="120" w:beforeLines="50" w:line="300" w:lineRule="auto"/>
        <w:jc w:val="both"/>
        <w:rPr>
          <w:rFonts w:eastAsia="宋体" w:cs="宋体"/>
          <w:sz w:val="21"/>
          <w:lang w:eastAsia="zh-CN"/>
        </w:rPr>
      </w:pPr>
    </w:p>
    <w:p w14:paraId="1D205985">
      <w:pPr>
        <w:pStyle w:val="6"/>
        <w:adjustRightInd w:val="0"/>
        <w:snapToGrid w:val="0"/>
        <w:spacing w:before="120" w:beforeLines="50" w:line="300" w:lineRule="auto"/>
        <w:jc w:val="both"/>
        <w:rPr>
          <w:rFonts w:eastAsia="宋体" w:cs="宋体"/>
          <w:sz w:val="21"/>
          <w:lang w:eastAsia="zh-CN"/>
        </w:rPr>
      </w:pPr>
    </w:p>
    <w:p w14:paraId="7D170433">
      <w:pPr>
        <w:pStyle w:val="6"/>
        <w:adjustRightInd w:val="0"/>
        <w:snapToGrid w:val="0"/>
        <w:spacing w:before="120" w:beforeLines="50" w:line="300" w:lineRule="auto"/>
        <w:jc w:val="both"/>
        <w:rPr>
          <w:rFonts w:eastAsia="宋体" w:cs="宋体"/>
          <w:sz w:val="21"/>
          <w:lang w:eastAsia="zh-CN"/>
        </w:rPr>
      </w:pPr>
    </w:p>
    <w:p w14:paraId="77092444">
      <w:pPr>
        <w:pStyle w:val="6"/>
        <w:adjustRightInd w:val="0"/>
        <w:snapToGrid w:val="0"/>
        <w:spacing w:before="120" w:beforeLines="50" w:line="300" w:lineRule="auto"/>
        <w:jc w:val="both"/>
        <w:rPr>
          <w:rFonts w:eastAsia="宋体" w:cs="宋体"/>
          <w:sz w:val="21"/>
          <w:lang w:eastAsia="zh-CN"/>
        </w:rPr>
      </w:pPr>
    </w:p>
    <w:p w14:paraId="34C13BC4">
      <w:pPr>
        <w:pStyle w:val="6"/>
        <w:adjustRightInd w:val="0"/>
        <w:snapToGrid w:val="0"/>
        <w:spacing w:before="120" w:beforeLines="50" w:line="300" w:lineRule="auto"/>
        <w:jc w:val="both"/>
        <w:rPr>
          <w:rFonts w:eastAsia="宋体" w:cs="宋体"/>
          <w:sz w:val="21"/>
          <w:lang w:eastAsia="zh-CN"/>
        </w:rPr>
      </w:pPr>
    </w:p>
    <w:p w14:paraId="741E99CE">
      <w:pPr>
        <w:pStyle w:val="6"/>
        <w:adjustRightInd w:val="0"/>
        <w:snapToGrid w:val="0"/>
        <w:spacing w:before="120" w:beforeLines="50" w:line="300" w:lineRule="auto"/>
        <w:jc w:val="both"/>
        <w:rPr>
          <w:rFonts w:eastAsia="宋体" w:cs="宋体"/>
          <w:sz w:val="21"/>
          <w:lang w:eastAsia="zh-CN"/>
        </w:rPr>
      </w:pPr>
    </w:p>
    <w:p w14:paraId="54FF583D">
      <w:pPr>
        <w:pStyle w:val="6"/>
        <w:adjustRightInd w:val="0"/>
        <w:snapToGrid w:val="0"/>
        <w:spacing w:before="120" w:beforeLines="50" w:line="300" w:lineRule="auto"/>
        <w:jc w:val="both"/>
        <w:rPr>
          <w:rFonts w:eastAsia="宋体" w:cs="宋体"/>
          <w:sz w:val="21"/>
          <w:lang w:eastAsia="zh-CN"/>
        </w:rPr>
      </w:pPr>
    </w:p>
    <w:p w14:paraId="62E90548">
      <w:pPr>
        <w:pStyle w:val="6"/>
        <w:adjustRightInd w:val="0"/>
        <w:snapToGrid w:val="0"/>
        <w:spacing w:before="120" w:beforeLines="50" w:line="300" w:lineRule="auto"/>
        <w:jc w:val="both"/>
        <w:rPr>
          <w:rFonts w:eastAsia="宋体" w:cs="宋体"/>
          <w:sz w:val="21"/>
          <w:lang w:eastAsia="zh-CN"/>
        </w:rPr>
      </w:pPr>
    </w:p>
    <w:p w14:paraId="220827DE">
      <w:pPr>
        <w:pStyle w:val="6"/>
        <w:adjustRightInd w:val="0"/>
        <w:snapToGrid w:val="0"/>
        <w:spacing w:before="120" w:beforeLines="50" w:line="300" w:lineRule="auto"/>
        <w:jc w:val="both"/>
        <w:rPr>
          <w:rFonts w:eastAsiaTheme="minorEastAsia"/>
          <w:sz w:val="21"/>
          <w:szCs w:val="21"/>
          <w:lang w:eastAsia="zh-CN"/>
        </w:rPr>
      </w:pPr>
      <w:r>
        <w:rPr>
          <w:rFonts w:eastAsia="宋体" w:cs="宋体"/>
          <w:sz w:val="21"/>
          <w:lang w:eastAsia="zh-CN"/>
        </w:rPr>
        <w:t>___________________</w:t>
      </w:r>
    </w:p>
    <w:p w14:paraId="2DEE3675">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22</w:t>
      </w:r>
      <w:r>
        <w:rPr>
          <w:rFonts w:eastAsia="宋体" w:cs="宋体"/>
          <w:sz w:val="18"/>
          <w:lang w:eastAsia="zh-CN"/>
        </w:rPr>
        <w:t xml:space="preserve"> 《FD&amp;C法案》第520(h)(4)节。</w:t>
      </w:r>
    </w:p>
    <w:p w14:paraId="26ABF2EF">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23</w:t>
      </w:r>
      <w:r>
        <w:rPr>
          <w:rFonts w:eastAsia="宋体" w:cs="宋体"/>
          <w:sz w:val="18"/>
          <w:lang w:eastAsia="zh-CN"/>
        </w:rPr>
        <w:t xml:space="preserve"> 最终重新分类命令分别于2014年4月14日（79 FR 20779）和2018年5月4日（83 FR 19626）发布。</w:t>
      </w:r>
    </w:p>
    <w:p w14:paraId="2D9378CB">
      <w:pPr>
        <w:adjustRightInd w:val="0"/>
        <w:snapToGrid w:val="0"/>
        <w:spacing w:before="36" w:beforeLines="15" w:line="276" w:lineRule="auto"/>
        <w:jc w:val="both"/>
        <w:rPr>
          <w:rFonts w:eastAsia="宋体"/>
          <w:sz w:val="18"/>
          <w:szCs w:val="21"/>
        </w:rPr>
      </w:pPr>
      <w:r>
        <w:rPr>
          <w:rFonts w:eastAsia="宋体"/>
          <w:sz w:val="18"/>
          <w:szCs w:val="21"/>
          <w:vertAlign w:val="superscript"/>
        </w:rPr>
        <w:t>24</w:t>
      </w:r>
      <w:r>
        <w:rPr>
          <w:rFonts w:hint="eastAsia" w:eastAsia="宋体"/>
          <w:sz w:val="18"/>
          <w:szCs w:val="21"/>
          <w:lang w:eastAsia="zh-CN"/>
        </w:rPr>
        <w:t xml:space="preserve"> </w:t>
      </w:r>
      <w:bookmarkStart w:id="14" w:name="_bookmark30"/>
      <w:bookmarkEnd w:id="14"/>
      <w:r>
        <w:rPr>
          <w:rFonts w:eastAsia="宋体"/>
          <w:color w:val="0000FF"/>
          <w:sz w:val="18"/>
          <w:szCs w:val="21"/>
          <w:u w:val="single" w:color="0000FF"/>
        </w:rPr>
        <w:t>https://www.fda.gov/downloads/MedicalDevices/DeviceRegulationandGuidance/GuidanceDocuments/ucm073709.p</w:t>
      </w:r>
      <w:r>
        <w:rPr>
          <w:rFonts w:eastAsia="宋体"/>
          <w:color w:val="0000FF"/>
          <w:sz w:val="18"/>
          <w:szCs w:val="21"/>
          <w:u w:val="single"/>
        </w:rPr>
        <w:t>df</w:t>
      </w:r>
      <w:bookmarkStart w:id="15" w:name="_bookmark31"/>
      <w:bookmarkEnd w:id="15"/>
      <w:r>
        <w:rPr>
          <w:rFonts w:eastAsia="宋体"/>
          <w:sz w:val="18"/>
          <w:szCs w:val="21"/>
          <w:u w:val="single"/>
        </w:rPr>
        <w:t>.</w:t>
      </w:r>
    </w:p>
    <w:p w14:paraId="0D8DBF8B">
      <w:pPr>
        <w:adjustRightInd w:val="0"/>
        <w:snapToGrid w:val="0"/>
        <w:spacing w:before="36" w:beforeLines="15" w:line="276" w:lineRule="auto"/>
        <w:jc w:val="both"/>
        <w:rPr>
          <w:rFonts w:eastAsia="宋体"/>
          <w:sz w:val="18"/>
          <w:szCs w:val="21"/>
        </w:rPr>
      </w:pPr>
      <w:r>
        <w:rPr>
          <w:rFonts w:eastAsia="宋体"/>
          <w:sz w:val="18"/>
          <w:szCs w:val="21"/>
          <w:vertAlign w:val="superscript"/>
        </w:rPr>
        <w:t>25</w:t>
      </w:r>
      <w:r>
        <w:rPr>
          <w:rFonts w:eastAsia="宋体"/>
          <w:sz w:val="18"/>
          <w:szCs w:val="21"/>
        </w:rPr>
        <w:t xml:space="preserve"> </w:t>
      </w:r>
      <w:r>
        <w:rPr>
          <w:rFonts w:eastAsia="宋体"/>
          <w:color w:val="0000FF"/>
          <w:sz w:val="18"/>
          <w:szCs w:val="21"/>
        </w:rPr>
        <w:t>https://www.fda.gov/MedicalDevices/DeviceRegulationandGuidance/GuidanceDocuments/UCM444591</w:t>
      </w:r>
      <w:r>
        <w:rPr>
          <w:rFonts w:eastAsia="宋体"/>
          <w:sz w:val="18"/>
          <w:szCs w:val="21"/>
        </w:rPr>
        <w:t>.</w:t>
      </w:r>
    </w:p>
    <w:p w14:paraId="37696DBB">
      <w:pPr>
        <w:adjustRightInd w:val="0"/>
        <w:snapToGrid w:val="0"/>
        <w:spacing w:before="36" w:beforeLines="15" w:line="276" w:lineRule="auto"/>
        <w:jc w:val="both"/>
        <w:rPr>
          <w:rFonts w:eastAsia="宋体" w:cs="宋体"/>
          <w:sz w:val="18"/>
          <w:lang w:eastAsia="zh-CN"/>
        </w:rPr>
      </w:pPr>
      <w:r>
        <w:rPr>
          <w:rFonts w:eastAsia="宋体" w:cs="宋体"/>
          <w:sz w:val="18"/>
          <w:vertAlign w:val="superscript"/>
        </w:rPr>
        <w:t>26</w:t>
      </w:r>
      <w:r>
        <w:rPr>
          <w:rFonts w:eastAsia="宋体" w:cs="宋体"/>
          <w:sz w:val="18"/>
        </w:rPr>
        <w:t xml:space="preserve"> </w:t>
      </w:r>
      <w:r>
        <w:fldChar w:fldCharType="begin"/>
      </w:r>
      <w:r>
        <w:instrText xml:space="preserve"> HYPERLINK "https://www.fda.gov/MedicalDevices/DeviceRegulationandGuidance/GuidanceDocuments/UCM513027" </w:instrText>
      </w:r>
      <w:r>
        <w:fldChar w:fldCharType="separate"/>
      </w:r>
      <w:r>
        <w:rPr>
          <w:rStyle w:val="15"/>
          <w:rFonts w:eastAsia="宋体" w:cs="宋体"/>
          <w:sz w:val="18"/>
        </w:rPr>
        <w:t>https://www.fda.gov/MedicalDevices/DeviceRegulationandGuidance/GuidanceDocuments/UCM513027</w:t>
      </w:r>
      <w:r>
        <w:rPr>
          <w:rStyle w:val="15"/>
          <w:rFonts w:eastAsia="宋体" w:cs="宋体"/>
          <w:sz w:val="18"/>
        </w:rPr>
        <w:fldChar w:fldCharType="end"/>
      </w:r>
      <w:r>
        <w:rPr>
          <w:rFonts w:eastAsia="宋体" w:cs="宋体"/>
          <w:sz w:val="18"/>
        </w:rPr>
        <w:t>。</w:t>
      </w:r>
    </w:p>
    <w:p w14:paraId="11F9E907">
      <w:pPr>
        <w:adjustRightInd w:val="0"/>
        <w:snapToGrid w:val="0"/>
        <w:spacing w:before="36" w:beforeLines="15" w:line="276" w:lineRule="auto"/>
        <w:jc w:val="both"/>
        <w:rPr>
          <w:rFonts w:eastAsia="宋体"/>
          <w:sz w:val="18"/>
          <w:szCs w:val="21"/>
        </w:rPr>
      </w:pPr>
      <w:r>
        <w:rPr>
          <w:rFonts w:eastAsia="宋体" w:cs="宋体"/>
          <w:sz w:val="18"/>
          <w:vertAlign w:val="superscript"/>
        </w:rPr>
        <w:t>27</w:t>
      </w:r>
      <w:r>
        <w:rPr>
          <w:rFonts w:eastAsia="宋体" w:cs="宋体"/>
          <w:sz w:val="18"/>
        </w:rPr>
        <w:t>有关安全性和有效性数据的总结，可登录以下网址获取：</w:t>
      </w:r>
      <w:r>
        <w:rPr>
          <w:rFonts w:eastAsia="宋体" w:cs="宋体"/>
          <w:color w:val="0000FF"/>
          <w:sz w:val="18"/>
          <w:u w:val="single"/>
        </w:rPr>
        <w:t>https://www.accessdata.fda.gov/cdrh_docs/pdf12/P120017b.pdf</w:t>
      </w:r>
      <w:r>
        <w:rPr>
          <w:rFonts w:eastAsia="宋体" w:cs="宋体"/>
          <w:sz w:val="18"/>
        </w:rPr>
        <w:t>。</w:t>
      </w:r>
    </w:p>
    <w:p w14:paraId="3B6D677E">
      <w:pPr>
        <w:adjustRightInd w:val="0"/>
        <w:snapToGrid w:val="0"/>
        <w:spacing w:before="36" w:beforeLines="15" w:line="276" w:lineRule="auto"/>
        <w:jc w:val="both"/>
        <w:rPr>
          <w:rFonts w:eastAsia="宋体"/>
          <w:sz w:val="18"/>
          <w:szCs w:val="21"/>
        </w:rPr>
      </w:pPr>
      <w:r>
        <w:rPr>
          <w:rFonts w:eastAsia="宋体" w:cs="宋体"/>
          <w:sz w:val="18"/>
          <w:vertAlign w:val="superscript"/>
        </w:rPr>
        <w:t>28</w:t>
      </w:r>
      <w:r>
        <w:rPr>
          <w:rFonts w:eastAsia="宋体" w:cs="宋体"/>
          <w:sz w:val="18"/>
        </w:rPr>
        <w:t xml:space="preserve"> 510(k)和FDA决策摘要可登录以下网址获取：</w:t>
      </w:r>
      <w:r>
        <w:rPr>
          <w:rFonts w:eastAsia="宋体" w:cs="宋体"/>
          <w:color w:val="0000FF"/>
          <w:sz w:val="18"/>
          <w:u w:val="single"/>
        </w:rPr>
        <w:t>https://www.accessdata.fda.gov/cdrh_docs/pdf12/K124006.pdf</w:t>
      </w:r>
      <w:r>
        <w:rPr>
          <w:rFonts w:eastAsia="宋体" w:cs="宋体"/>
          <w:color w:val="0000FF"/>
          <w:sz w:val="18"/>
        </w:rPr>
        <w:t xml:space="preserve"> </w:t>
      </w:r>
      <w:r>
        <w:rPr>
          <w:rFonts w:eastAsia="宋体" w:cs="宋体"/>
          <w:color w:val="0000FF"/>
          <w:sz w:val="18"/>
          <w:u w:val="single"/>
        </w:rPr>
        <w:t>https://www.accessdata.fda.gov/scripts/cdrh/cfdocs/cfPMN/pmn.cfm?ID=K124006</w:t>
      </w:r>
      <w:r>
        <w:rPr>
          <w:rFonts w:eastAsia="宋体" w:cs="宋体"/>
          <w:sz w:val="18"/>
        </w:rPr>
        <w:t>。</w:t>
      </w:r>
    </w:p>
    <w:p w14:paraId="6F281E38">
      <w:pPr>
        <w:adjustRightInd w:val="0"/>
        <w:snapToGrid w:val="0"/>
        <w:spacing w:before="36" w:beforeLines="15" w:line="276" w:lineRule="auto"/>
        <w:jc w:val="both"/>
        <w:rPr>
          <w:rFonts w:eastAsia="宋体"/>
          <w:b/>
          <w:sz w:val="21"/>
          <w:szCs w:val="21"/>
        </w:rPr>
      </w:pPr>
      <w:r>
        <w:rPr>
          <w:rFonts w:eastAsia="宋体" w:cs="宋体"/>
          <w:sz w:val="18"/>
          <w:vertAlign w:val="superscript"/>
        </w:rPr>
        <w:t>29</w:t>
      </w:r>
      <w:r>
        <w:rPr>
          <w:rFonts w:eastAsia="宋体" w:cs="宋体"/>
          <w:sz w:val="18"/>
        </w:rPr>
        <w:t>重新分类决策摘要可登录以下网址获取：</w:t>
      </w:r>
      <w:r>
        <w:rPr>
          <w:rFonts w:eastAsia="宋体" w:cs="宋体"/>
          <w:color w:val="0000FF"/>
          <w:sz w:val="18"/>
          <w:u w:val="single"/>
        </w:rPr>
        <w:t>https://www.accessdata.fda.gov/cdrh_docs/reviews/DEN170058.pdf</w:t>
      </w:r>
      <w:r>
        <w:rPr>
          <w:rFonts w:eastAsia="宋体" w:cs="宋体"/>
          <w:sz w:val="18"/>
        </w:rPr>
        <w:t>。</w:t>
      </w:r>
      <w:r>
        <w:rPr>
          <w:rFonts w:eastAsia="宋体" w:cs="宋体"/>
          <w:b/>
          <w:sz w:val="21"/>
        </w:rPr>
        <w:br w:type="page"/>
      </w:r>
    </w:p>
    <w:p w14:paraId="711C3530">
      <w:pPr>
        <w:pStyle w:val="6"/>
        <w:adjustRightInd w:val="0"/>
        <w:snapToGrid w:val="0"/>
        <w:spacing w:before="120" w:beforeLines="50" w:line="300" w:lineRule="auto"/>
        <w:ind w:left="1603" w:leftChars="400" w:hanging="723" w:hangingChars="300"/>
        <w:jc w:val="both"/>
        <w:outlineLvl w:val="1"/>
        <w:rPr>
          <w:b/>
          <w:szCs w:val="21"/>
          <w:lang w:eastAsia="zh-CN"/>
        </w:rPr>
      </w:pPr>
      <w:bookmarkStart w:id="16" w:name="_Toc91867533"/>
      <w:r>
        <w:rPr>
          <w:rFonts w:eastAsia="宋体" w:cs="宋体"/>
          <w:b/>
          <w:lang w:eastAsia="zh-CN"/>
        </w:rPr>
        <w:t>（2）</w:t>
      </w:r>
      <w:r>
        <w:rPr>
          <w:rFonts w:eastAsia="宋体" w:cs="宋体"/>
          <w:lang w:eastAsia="zh-CN"/>
        </w:rPr>
        <w:tab/>
      </w:r>
      <w:r>
        <w:rPr>
          <w:rFonts w:eastAsia="宋体" w:cs="宋体"/>
          <w:b/>
          <w:lang w:eastAsia="zh-CN"/>
        </w:rPr>
        <w:t>使用非临床数据</w:t>
      </w:r>
      <w:bookmarkEnd w:id="16"/>
    </w:p>
    <w:p w14:paraId="6231738A">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通常作为产品开发过程的一部分定期收集非临床数据。在某些情况下，可能包括试验台模型、非临床文献、使用组织模型、或基于公认标准的计算建模和模拟。尤其是在检测方式可以证明或预测临床性能的情况下，FDA往往会依赖于非临床检测，用于代替或补充临床数据。举例来讲，在部分程度上基于已确认的计算建模，FDA已批准用于起搏器、心脏再同步治疗器械和植入式心脏转复除颤器的磁共振（MR）有条件安全标签。对于某些成像指标（肢体成像），FDA还接受使用尸体图像来代替活体受试者成像。</w:t>
      </w:r>
    </w:p>
    <w:p w14:paraId="1E2A4DC6">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虽然有时候可能必须提供临床数据来达到监管要求，但在适当情况下，应考虑将非临床数据用于替代临床数据。在索取临床数据之前，如可行，应考虑使用说明性信息、体外研究、计算建模和模拟和/或动物性能数据来解决监管问题。</w:t>
      </w:r>
      <w:r>
        <w:rPr>
          <w:rFonts w:eastAsia="宋体" w:cs="宋体"/>
          <w:sz w:val="21"/>
          <w:vertAlign w:val="superscript"/>
          <w:lang w:eastAsia="zh-CN"/>
        </w:rPr>
        <w:t>32</w:t>
      </w:r>
    </w:p>
    <w:p w14:paraId="57F67A32">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数据索取的自下而上方法</w:t>
      </w:r>
    </w:p>
    <w:p w14:paraId="25BAC521">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通常由FDA确定就上市申请作出决策是否需要提供附加信息。此类对附加信息的申请（通俗地称为“缺陷”）可包括对附加描述性信息、非临床或临床性能数据的申请。FDA的数据索取要求应遵循逐步分析流程，以确保每项索取要求反映出了最小负担方法。与缺陷指南一致，所有缺陷均应确认提交的信息，解释其不足以解决问题的原因，解释请求与上市申请决策的相关性，并明确请求信息。</w:t>
      </w:r>
    </w:p>
    <w:p w14:paraId="09294B39">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为确保应用最小负担原则，这一逻辑已被用于510(k)申请。FDA应首先考虑说明性信息是否能够满足要求。虽然仅有少量510(k)申请是完全依赖于说明性信息，但FDA和行业应考虑采用这一方法。例如，对采用相同或相似材料制造的器械的尺寸分析用于支持一些骨科接骨板和螺钉510(k)申请的实质等同性能的依据。</w:t>
      </w:r>
    </w:p>
    <w:p w14:paraId="10378115">
      <w:pPr>
        <w:pStyle w:val="6"/>
        <w:adjustRightInd w:val="0"/>
        <w:snapToGrid w:val="0"/>
        <w:spacing w:before="4680" w:beforeLines="1950" w:line="300" w:lineRule="auto"/>
        <w:jc w:val="both"/>
        <w:rPr>
          <w:rFonts w:eastAsiaTheme="minorEastAsia"/>
          <w:sz w:val="21"/>
          <w:szCs w:val="21"/>
          <w:lang w:eastAsia="zh-CN"/>
        </w:rPr>
      </w:pPr>
      <w:r>
        <w:rPr>
          <w:rFonts w:eastAsia="宋体" w:cs="宋体"/>
          <w:sz w:val="21"/>
        </w:rPr>
        <w:t>____________________</w:t>
      </w:r>
    </w:p>
    <w:p w14:paraId="3C5FBF06">
      <w:pPr>
        <w:wordWrap w:val="0"/>
        <w:adjustRightInd w:val="0"/>
        <w:snapToGrid w:val="0"/>
        <w:spacing w:before="36" w:beforeLines="15" w:line="276" w:lineRule="auto"/>
        <w:jc w:val="both"/>
        <w:rPr>
          <w:rFonts w:eastAsia="宋体"/>
          <w:sz w:val="18"/>
          <w:szCs w:val="21"/>
        </w:rPr>
      </w:pPr>
      <w:r>
        <w:rPr>
          <w:rFonts w:eastAsia="宋体" w:cs="宋体"/>
          <w:sz w:val="18"/>
          <w:vertAlign w:val="superscript"/>
        </w:rPr>
        <w:t>30</w:t>
      </w:r>
      <w:r>
        <w:rPr>
          <w:rFonts w:eastAsia="宋体" w:cs="宋体"/>
          <w:sz w:val="18"/>
        </w:rPr>
        <w:t xml:space="preserve"> 例如，安全性和有效性数据摘要可登录以下网址获取：</w:t>
      </w:r>
      <w:r>
        <w:rPr>
          <w:rFonts w:eastAsia="宋体" w:cs="宋体"/>
          <w:color w:val="0000FF"/>
          <w:sz w:val="18"/>
          <w:u w:val="single"/>
        </w:rPr>
        <w:t>https://www.accessdata.fda.gov/cdrh_docs/pdf14/P140003S018B.pdf</w:t>
      </w:r>
      <w:r>
        <w:rPr>
          <w:rFonts w:eastAsia="宋体" w:cs="宋体"/>
          <w:sz w:val="18"/>
        </w:rPr>
        <w:t>和</w:t>
      </w:r>
      <w:r>
        <w:rPr>
          <w:rFonts w:eastAsia="宋体" w:cs="宋体"/>
          <w:color w:val="0000FF"/>
          <w:sz w:val="18"/>
          <w:u w:val="single"/>
        </w:rPr>
        <w:t>https://www.accessdata.fda.gov/cdrh_docs/pdf13/p130009s034b.pdf</w:t>
      </w:r>
      <w:r>
        <w:rPr>
          <w:rFonts w:eastAsia="宋体" w:cs="宋体"/>
          <w:sz w:val="18"/>
        </w:rPr>
        <w:t>。</w:t>
      </w:r>
    </w:p>
    <w:p w14:paraId="40300C17">
      <w:pPr>
        <w:wordWrap w:val="0"/>
        <w:adjustRightInd w:val="0"/>
        <w:snapToGrid w:val="0"/>
        <w:spacing w:before="36" w:beforeLines="15" w:line="276" w:lineRule="auto"/>
        <w:jc w:val="both"/>
        <w:rPr>
          <w:rFonts w:eastAsia="宋体"/>
          <w:sz w:val="18"/>
          <w:szCs w:val="21"/>
        </w:rPr>
      </w:pPr>
      <w:r>
        <w:rPr>
          <w:rFonts w:eastAsia="宋体" w:cs="宋体"/>
          <w:sz w:val="18"/>
          <w:vertAlign w:val="superscript"/>
        </w:rPr>
        <w:t>31</w:t>
      </w:r>
      <w:r>
        <w:rPr>
          <w:rFonts w:eastAsia="宋体" w:cs="宋体"/>
          <w:sz w:val="18"/>
        </w:rPr>
        <w:t xml:space="preserve"> 510(k)摘要可登录以下网址获取：</w:t>
      </w:r>
      <w:r>
        <w:rPr>
          <w:rFonts w:eastAsia="宋体" w:cs="宋体"/>
          <w:color w:val="0000FF"/>
          <w:sz w:val="18"/>
          <w:u w:val="single"/>
        </w:rPr>
        <w:t>https://www.accessdata.fda.gov/cdrh_docs/pdf17/K171626.pdf</w:t>
      </w:r>
      <w:r>
        <w:rPr>
          <w:rFonts w:eastAsia="宋体" w:cs="宋体"/>
          <w:sz w:val="18"/>
        </w:rPr>
        <w:t>。</w:t>
      </w:r>
    </w:p>
    <w:p w14:paraId="0E4CB011">
      <w:pPr>
        <w:adjustRightInd w:val="0"/>
        <w:snapToGrid w:val="0"/>
        <w:spacing w:before="36" w:beforeLines="15" w:line="276" w:lineRule="auto"/>
        <w:jc w:val="both"/>
        <w:rPr>
          <w:rFonts w:eastAsia="宋体"/>
          <w:b/>
          <w:sz w:val="21"/>
          <w:szCs w:val="21"/>
          <w:lang w:eastAsia="zh-CN"/>
        </w:rPr>
      </w:pPr>
      <w:r>
        <w:rPr>
          <w:rFonts w:eastAsia="宋体" w:cs="宋体"/>
          <w:sz w:val="18"/>
          <w:vertAlign w:val="superscript"/>
          <w:lang w:eastAsia="zh-CN"/>
        </w:rPr>
        <w:t>32</w:t>
      </w:r>
      <w:r>
        <w:rPr>
          <w:rFonts w:eastAsia="宋体" w:cs="宋体"/>
          <w:sz w:val="18"/>
          <w:lang w:eastAsia="zh-CN"/>
        </w:rPr>
        <w:t>FDA支持“3R”原则，即在可行的情况下减少、优化和替代试验中的动物使用。如果申请方希望使用其认为合适、充分、经确认和可行的非动物试验方法，本机构鼓励申请方与</w:t>
      </w:r>
      <w:r>
        <w:rPr>
          <w:rFonts w:hint="eastAsia" w:eastAsia="宋体" w:cs="宋体"/>
          <w:sz w:val="18"/>
          <w:lang w:eastAsia="zh-CN"/>
        </w:rPr>
        <w:t>FDA</w:t>
      </w:r>
      <w:r>
        <w:rPr>
          <w:rFonts w:eastAsia="宋体" w:cs="宋体"/>
          <w:sz w:val="18"/>
          <w:lang w:eastAsia="zh-CN"/>
        </w:rPr>
        <w:t>协商。本机构将考虑这种备选方法是否可被评价为等同于动物试验方法。</w:t>
      </w:r>
      <w:r>
        <w:rPr>
          <w:rFonts w:eastAsia="宋体" w:cs="宋体"/>
          <w:b/>
          <w:sz w:val="21"/>
          <w:lang w:eastAsia="zh-CN"/>
        </w:rPr>
        <w:br w:type="page"/>
      </w:r>
    </w:p>
    <w:p w14:paraId="2F0B2A42">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如果说明性信息不够用，FDA和行业应考虑非临床性能检测或使用临床样本的分析研究能否解决这一问题。如果其他形式的非临床试验台性能测试不足以证明实质等同性，则通常会要求提供非临床动物研究和/或生物相容性研究。如果分析研究或非临床台架试验、非临床动物研究和/或生物相容性研究不足，则FDA可以</w:t>
      </w:r>
      <w:r>
        <w:rPr>
          <w:rFonts w:hint="eastAsia" w:eastAsia="宋体" w:cs="宋体"/>
          <w:sz w:val="21"/>
          <w:lang w:eastAsia="zh-CN"/>
        </w:rPr>
        <w:t>要求</w:t>
      </w:r>
      <w:r>
        <w:rPr>
          <w:rFonts w:eastAsia="宋体" w:cs="宋体"/>
          <w:sz w:val="21"/>
          <w:lang w:eastAsia="zh-CN"/>
        </w:rPr>
        <w:t>临床性能数据。如需了解更多关于FDA如何在510(k)申请中使用这一流程的信息，请参阅FDA指南文件《</w:t>
      </w:r>
      <w:r>
        <w:rPr>
          <w:rFonts w:eastAsia="宋体" w:cs="宋体"/>
          <w:color w:val="0000FF"/>
          <w:sz w:val="21"/>
          <w:u w:val="single"/>
          <w:lang w:eastAsia="zh-CN"/>
        </w:rPr>
        <w:t>510(k)项目：在上市前通知[510(k)]中评价实质等同性</w:t>
      </w:r>
      <w:r>
        <w:rPr>
          <w:rFonts w:eastAsia="宋体" w:cs="宋体"/>
          <w:sz w:val="21"/>
          <w:lang w:eastAsia="zh-CN"/>
        </w:rPr>
        <w:t>》。</w:t>
      </w:r>
      <w:r>
        <w:rPr>
          <w:rFonts w:eastAsia="宋体" w:cs="宋体"/>
          <w:sz w:val="21"/>
          <w:vertAlign w:val="superscript"/>
          <w:lang w:eastAsia="zh-CN"/>
        </w:rPr>
        <w:t>33</w:t>
      </w:r>
    </w:p>
    <w:p w14:paraId="5A60F4A6">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使用非临床试验台性能测试</w:t>
      </w:r>
    </w:p>
    <w:p w14:paraId="549679DE">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适当情况下，应考虑使用试验台性能测试来说明非临床或临床终点。其中可能包括用于解剖的试验台模型，例如诸多临床应用中使用的导管迂曲路径评价。还越来越多地使用组织模型来评价植入物的磁共振成像兼容性和高强度治疗超声产生的组织效应。如果方法不符合临床相关情境，则无法将试验台性能测试作为适当的替代方法。</w:t>
      </w:r>
    </w:p>
    <w:p w14:paraId="2BCE1344">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计算建模与模拟（CM&amp;S）</w:t>
      </w:r>
    </w:p>
    <w:p w14:paraId="1BC5D479">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适当情况下，应使用CM&amp;S来支持医疗器械的安全性和有效性，用于替代或补充传统的台架试验或动物性能试验。CM&amp;S的使用可缩短设计验证时间或降低成本，并可作为设计确认的工具。举例来讲，CM&amp;S已被用于在模拟负载条件下预测心血管和骨科器械的机械特性。此外，CM&amp;S已被用于估算接受磁共振成像（MRI）患者吸收的射频能量来评估医疗器械的安全性。FDA提出的有关在申请中使用CM&amp;S的建议包含在FDA指南文件《</w:t>
      </w:r>
      <w:r>
        <w:rPr>
          <w:rFonts w:eastAsia="宋体" w:cs="宋体"/>
          <w:color w:val="0000FF"/>
          <w:sz w:val="21"/>
          <w:u w:val="single"/>
          <w:lang w:eastAsia="zh-CN"/>
        </w:rPr>
        <w:t>医疗器械申请中的计算建模研究报告</w:t>
      </w:r>
      <w:r>
        <w:rPr>
          <w:rFonts w:eastAsia="宋体" w:cs="宋体"/>
          <w:sz w:val="21"/>
          <w:lang w:eastAsia="zh-CN"/>
        </w:rPr>
        <w:t>》中。</w:t>
      </w:r>
      <w:r>
        <w:rPr>
          <w:rFonts w:eastAsia="宋体" w:cs="宋体"/>
          <w:sz w:val="21"/>
          <w:vertAlign w:val="superscript"/>
          <w:lang w:eastAsia="zh-CN"/>
        </w:rPr>
        <w:t>34</w:t>
      </w:r>
    </w:p>
    <w:p w14:paraId="0F74E55A">
      <w:pPr>
        <w:pStyle w:val="6"/>
        <w:adjustRightInd w:val="0"/>
        <w:snapToGrid w:val="0"/>
        <w:spacing w:before="120" w:beforeLines="50" w:line="300" w:lineRule="auto"/>
        <w:ind w:left="1603" w:leftChars="400" w:hanging="723" w:hangingChars="300"/>
        <w:jc w:val="both"/>
        <w:outlineLvl w:val="1"/>
        <w:rPr>
          <w:b/>
          <w:szCs w:val="21"/>
          <w:lang w:eastAsia="zh-CN"/>
        </w:rPr>
      </w:pPr>
      <w:bookmarkStart w:id="17" w:name="_Toc91867534"/>
      <w:r>
        <w:rPr>
          <w:rFonts w:eastAsia="宋体" w:cs="宋体"/>
          <w:b/>
          <w:lang w:eastAsia="zh-CN"/>
        </w:rPr>
        <w:t>（3）</w:t>
      </w:r>
      <w:r>
        <w:rPr>
          <w:rFonts w:eastAsia="宋体" w:cs="宋体"/>
          <w:lang w:eastAsia="zh-CN"/>
        </w:rPr>
        <w:tab/>
      </w:r>
      <w:r>
        <w:rPr>
          <w:rFonts w:eastAsia="宋体" w:cs="宋体"/>
          <w:b/>
          <w:lang w:eastAsia="zh-CN"/>
        </w:rPr>
        <w:t>接受替代方法</w:t>
      </w:r>
      <w:bookmarkEnd w:id="17"/>
    </w:p>
    <w:p w14:paraId="128F5470">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为了优化利用FDA和行业的时间和资源，在适当情况下，应考虑采用替代方法。FDA和行业均应了解，通常有多种方法足以令人满意地解决某一特定监管问题。应针对以下方面进行讨论来解决监管问题：哪种方法是最小负担方法，同时仍然可以令人满意地解决监管问题。</w:t>
      </w:r>
    </w:p>
    <w:p w14:paraId="1FA6FCA5">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解决科学问题</w:t>
      </w:r>
    </w:p>
    <w:p w14:paraId="64370302">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创新医疗器械的上市前审评过程中采用替代方法评价科学问题是一种常见的最小负担原则的应用情况。FDA和行业应保持灵活和开放的态度，以确定解决某一特定问题所需的最有效机制和最少必要信息。在某些情况下，可以提供合理依据（替代额外的数据）来解决问题。讨论替代方法时，FDA有意适当考虑本机构额外信息请求的时间和资源影响。</w:t>
      </w:r>
    </w:p>
    <w:p w14:paraId="2D7B3EFE">
      <w:pPr>
        <w:pStyle w:val="6"/>
        <w:adjustRightInd w:val="0"/>
        <w:snapToGrid w:val="0"/>
        <w:spacing w:before="3120" w:beforeLines="1300" w:line="300" w:lineRule="auto"/>
        <w:jc w:val="both"/>
        <w:rPr>
          <w:rFonts w:eastAsiaTheme="minorEastAsia"/>
          <w:sz w:val="21"/>
          <w:szCs w:val="21"/>
          <w:lang w:eastAsia="zh-CN"/>
        </w:rPr>
      </w:pPr>
      <w:r>
        <w:rPr>
          <w:rFonts w:eastAsia="宋体" w:cs="宋体"/>
          <w:sz w:val="21"/>
        </w:rPr>
        <w:t>____________________</w:t>
      </w:r>
    </w:p>
    <w:p w14:paraId="6C2C52E3">
      <w:pPr>
        <w:adjustRightInd w:val="0"/>
        <w:snapToGrid w:val="0"/>
        <w:spacing w:before="36" w:beforeLines="15" w:line="276" w:lineRule="auto"/>
        <w:jc w:val="both"/>
        <w:rPr>
          <w:rFonts w:eastAsia="宋体"/>
          <w:sz w:val="18"/>
          <w:szCs w:val="21"/>
        </w:rPr>
      </w:pPr>
      <w:r>
        <w:rPr>
          <w:rFonts w:eastAsia="宋体"/>
          <w:sz w:val="18"/>
          <w:szCs w:val="21"/>
          <w:vertAlign w:val="superscript"/>
        </w:rPr>
        <w:t>33</w:t>
      </w:r>
      <w:bookmarkStart w:id="18" w:name="_bookmark41"/>
      <w:bookmarkEnd w:id="18"/>
      <w:r>
        <w:rPr>
          <w:rFonts w:eastAsia="宋体"/>
          <w:sz w:val="18"/>
          <w:szCs w:val="21"/>
        </w:rPr>
        <w:t xml:space="preserve"> </w:t>
      </w:r>
      <w:r>
        <w:rPr>
          <w:rFonts w:eastAsia="宋体"/>
          <w:color w:val="0000FF"/>
          <w:sz w:val="18"/>
          <w:szCs w:val="21"/>
          <w:u w:val="single" w:color="0000FF"/>
        </w:rPr>
        <w:t>https://www.fda.gov/MedicalDevices/DeviceRegulationandGuidance/GuidanceDocuments/UCM284443</w:t>
      </w:r>
      <w:r>
        <w:rPr>
          <w:rFonts w:eastAsia="宋体"/>
          <w:sz w:val="18"/>
          <w:szCs w:val="21"/>
        </w:rPr>
        <w:t>.</w:t>
      </w:r>
    </w:p>
    <w:p w14:paraId="7B74CCA4">
      <w:pPr>
        <w:adjustRightInd w:val="0"/>
        <w:snapToGrid w:val="0"/>
        <w:spacing w:before="36" w:beforeLines="15" w:line="276" w:lineRule="auto"/>
        <w:jc w:val="both"/>
        <w:rPr>
          <w:rFonts w:eastAsia="宋体"/>
          <w:b/>
          <w:sz w:val="21"/>
          <w:szCs w:val="21"/>
        </w:rPr>
      </w:pPr>
      <w:r>
        <w:rPr>
          <w:rFonts w:eastAsia="宋体"/>
          <w:sz w:val="18"/>
          <w:szCs w:val="21"/>
          <w:vertAlign w:val="superscript"/>
        </w:rPr>
        <w:t>34</w:t>
      </w:r>
      <w:bookmarkStart w:id="19" w:name="_bookmark42"/>
      <w:bookmarkEnd w:id="19"/>
      <w:r>
        <w:rPr>
          <w:rFonts w:eastAsia="宋体"/>
          <w:sz w:val="18"/>
          <w:szCs w:val="21"/>
        </w:rPr>
        <w:t xml:space="preserve"> </w:t>
      </w:r>
      <w:r>
        <w:rPr>
          <w:rFonts w:eastAsia="宋体"/>
          <w:color w:val="0000FF"/>
          <w:sz w:val="18"/>
          <w:szCs w:val="21"/>
          <w:u w:val="single" w:color="0000FF"/>
        </w:rPr>
        <w:t>https://www.fda.gov/MedicalDevices/DeviceRegulationandGuidance/GuidanceDocuments/UCM381813</w:t>
      </w:r>
      <w:r>
        <w:rPr>
          <w:rFonts w:eastAsia="宋体"/>
          <w:sz w:val="18"/>
          <w:szCs w:val="21"/>
        </w:rPr>
        <w:t>.</w:t>
      </w:r>
      <w:r>
        <w:rPr>
          <w:rFonts w:eastAsia="宋体" w:cs="宋体"/>
          <w:b/>
          <w:sz w:val="21"/>
        </w:rPr>
        <w:br w:type="page"/>
      </w:r>
    </w:p>
    <w:p w14:paraId="4ADBAB49">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FDA接受替代方法的一个常见示例是医疗器械的生物相容性。在适当情况下，FDA和行业利用美国之外的临床数据或大规模动物安全性研究来说明某些生物相容性终点。此外，还可以根据材料特性、化学和工艺，将原理用作重复检测的替代方法。举例来讲，制造商往往会改良其血管导管的尖端，在此情况下，无需重复检测，而可以利用对使用相同材料和加工方法的另一血管器械进行的既往检测。</w:t>
      </w:r>
    </w:p>
    <w:p w14:paraId="6846E529">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另一常见示例是监管申请中的非临床检测审评。通过索取更多信息，FDA可以确定用于解决某一科学问题的某种特定方法。在适当情况下，FDA应确定什么时候可以采用替代方法或合理依据来解决讨论中的问题。常见示例包括利用现有器械信息，例如机械检测、软件确认和灭菌确认。举例来讲，FDA往往会</w:t>
      </w:r>
      <w:r>
        <w:rPr>
          <w:rFonts w:hint="eastAsia" w:eastAsia="宋体" w:cs="宋体"/>
          <w:sz w:val="21"/>
          <w:lang w:eastAsia="zh-CN"/>
        </w:rPr>
        <w:t>要求</w:t>
      </w:r>
      <w:r>
        <w:rPr>
          <w:rFonts w:eastAsia="宋体" w:cs="宋体"/>
          <w:sz w:val="21"/>
          <w:lang w:eastAsia="zh-CN"/>
        </w:rPr>
        <w:t>额外的台架试验结果，以了解有多种尺寸或型号的器械的技术特性差异，从而支持实质等同性判定。经与申请者协商，FDA可接受替代测试和科学合理依据来替代先前要求的对某些器械类型的测试，可以根据尺寸来合理确定最坏测试情况。在其他情况下，FDA要求对某些接骨板或螺钉进行力学试验，但认可替代方法，包括详细的工程分析代替试验，以支持实质等同性。</w:t>
      </w:r>
    </w:p>
    <w:p w14:paraId="02D24757">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考虑采用替代标签</w:t>
      </w:r>
    </w:p>
    <w:p w14:paraId="5807883B">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申请者在监管申请中给出拟议的标签，包括使用适用范围（IFU）。如果提交的证据不支持标签声明或拟议的IFU，则可能会导致负面决策（如针对510(k)的</w:t>
      </w:r>
      <w:r>
        <w:rPr>
          <w:rFonts w:hint="eastAsia" w:eastAsia="宋体" w:cs="宋体"/>
          <w:sz w:val="21"/>
          <w:lang w:eastAsia="zh-CN"/>
        </w:rPr>
        <w:t>非</w:t>
      </w:r>
      <w:r>
        <w:rPr>
          <w:rFonts w:eastAsia="宋体" w:cs="宋体"/>
          <w:sz w:val="21"/>
          <w:lang w:eastAsia="zh-CN"/>
        </w:rPr>
        <w:t>实质等同性判定），FDA工作人员和行业应讨论：（1）已提交至FDA的信息是否可以支持标签声明或IFU（如有）；以及（2）可支持提出的标签声明或IFU的最少必要信息。然后，申请者可在法定期限内和MDUFA截止日期前选择他们希望采用的途径。例如，FDA和行业已采用该方法，将拟议标签中的特定声明限制为支持器械上市许可的声明。</w:t>
      </w:r>
    </w:p>
    <w:p w14:paraId="34021F0C">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其他情况下，在器械标签中增加特定警告或预防措施达到的风险缓解足以支持有利的决策。举例来讲，在体外诊断器械（IVD）申请的CLIA豁免审查期间，FDA接受了通过标签而不是器械设计中的故障安全和故障警报机制采取的某些风险缓解措施。</w:t>
      </w:r>
    </w:p>
    <w:p w14:paraId="506DD125">
      <w:pPr>
        <w:pStyle w:val="6"/>
        <w:adjustRightInd w:val="0"/>
        <w:snapToGrid w:val="0"/>
        <w:spacing w:before="120" w:beforeLines="50" w:line="300" w:lineRule="auto"/>
        <w:ind w:left="1283" w:leftChars="200" w:hanging="843" w:hangingChars="300"/>
        <w:jc w:val="both"/>
        <w:outlineLvl w:val="0"/>
        <w:rPr>
          <w:b/>
          <w:sz w:val="28"/>
          <w:szCs w:val="21"/>
          <w:lang w:eastAsia="zh-CN"/>
        </w:rPr>
      </w:pPr>
      <w:bookmarkStart w:id="20" w:name="_Toc91867535"/>
      <w:r>
        <w:rPr>
          <w:rFonts w:eastAsia="宋体" w:cs="宋体"/>
          <w:b/>
          <w:sz w:val="28"/>
          <w:lang w:eastAsia="zh-CN"/>
        </w:rPr>
        <w:t>B.</w:t>
      </w:r>
      <w:r>
        <w:rPr>
          <w:rFonts w:eastAsia="宋体" w:cs="宋体"/>
          <w:b/>
          <w:lang w:eastAsia="zh-CN"/>
        </w:rPr>
        <w:tab/>
      </w:r>
      <w:r>
        <w:rPr>
          <w:rFonts w:eastAsia="宋体" w:cs="宋体"/>
          <w:b/>
          <w:sz w:val="28"/>
          <w:lang w:eastAsia="zh-CN"/>
        </w:rPr>
        <w:t>最有效率的方式</w:t>
      </w:r>
      <w:bookmarkEnd w:id="20"/>
    </w:p>
    <w:p w14:paraId="1FFD64B7">
      <w:pPr>
        <w:pStyle w:val="6"/>
        <w:adjustRightInd w:val="0"/>
        <w:snapToGrid w:val="0"/>
        <w:spacing w:before="120" w:beforeLines="50" w:line="300" w:lineRule="auto"/>
        <w:ind w:left="1603" w:leftChars="400" w:hanging="723" w:hangingChars="300"/>
        <w:jc w:val="both"/>
        <w:outlineLvl w:val="1"/>
        <w:rPr>
          <w:b/>
          <w:szCs w:val="21"/>
          <w:lang w:eastAsia="zh-CN"/>
        </w:rPr>
      </w:pPr>
      <w:bookmarkStart w:id="21" w:name="_Toc91867536"/>
      <w:r>
        <w:rPr>
          <w:rFonts w:eastAsia="宋体" w:cs="宋体"/>
          <w:b/>
          <w:lang w:eastAsia="zh-CN"/>
        </w:rPr>
        <w:t>（1）</w:t>
      </w:r>
      <w:r>
        <w:rPr>
          <w:rFonts w:eastAsia="宋体" w:cs="宋体"/>
          <w:lang w:eastAsia="zh-CN"/>
        </w:rPr>
        <w:tab/>
      </w:r>
      <w:r>
        <w:rPr>
          <w:rFonts w:eastAsia="宋体" w:cs="宋体"/>
          <w:b/>
          <w:lang w:eastAsia="zh-CN"/>
        </w:rPr>
        <w:t>减轻传统临床研究的负担</w:t>
      </w:r>
      <w:bookmarkEnd w:id="21"/>
    </w:p>
    <w:p w14:paraId="570D8603">
      <w:pPr>
        <w:pStyle w:val="6"/>
        <w:adjustRightInd w:val="0"/>
        <w:snapToGrid w:val="0"/>
        <w:spacing w:before="120" w:beforeLines="50" w:line="300" w:lineRule="auto"/>
        <w:jc w:val="both"/>
        <w:rPr>
          <w:rFonts w:eastAsia="宋体"/>
          <w:b/>
          <w:sz w:val="21"/>
          <w:szCs w:val="21"/>
          <w:lang w:eastAsia="zh-CN"/>
        </w:rPr>
      </w:pPr>
      <w:r>
        <w:rPr>
          <w:rFonts w:eastAsia="宋体" w:cs="宋体"/>
          <w:sz w:val="21"/>
          <w:lang w:eastAsia="zh-CN"/>
        </w:rPr>
        <w:t>如果必须提供临床数据，FDA和行业应考虑采用最有效的方式获取满足监管需求或标准的必要证据。举例来讲，III类器械的PMA要求包括提供关于安全性和有效性的合理保证。</w:t>
      </w:r>
      <w:r>
        <w:rPr>
          <w:rFonts w:eastAsia="宋体" w:cs="宋体"/>
          <w:sz w:val="21"/>
          <w:vertAlign w:val="superscript"/>
          <w:lang w:eastAsia="zh-CN"/>
        </w:rPr>
        <w:t>35</w:t>
      </w:r>
      <w:r>
        <w:rPr>
          <w:rFonts w:eastAsia="宋体" w:cs="宋体"/>
          <w:sz w:val="21"/>
          <w:lang w:eastAsia="zh-CN"/>
        </w:rPr>
        <w:t>在许多情况下，采用随机对照研究的替代方案可能即已足够，并可构成有效的科学证据。在适当情况下，FDA可以接受历史对照、使用客观性能标准（OPC）、绩效目标（PG）和替代数据来源，其中包括来自登记研究的证据、保险理赔数据和已发表的文献。如需了解关于临床研究设计考量的更多信息，请参见FDA指南文件《</w:t>
      </w:r>
      <w:r>
        <w:rPr>
          <w:rFonts w:eastAsia="宋体" w:cs="宋体"/>
          <w:color w:val="0000FF"/>
          <w:sz w:val="21"/>
          <w:u w:val="single"/>
          <w:lang w:eastAsia="zh-CN"/>
        </w:rPr>
        <w:t>医疗器械关键性临床研究的设计考量</w:t>
      </w:r>
      <w:r>
        <w:rPr>
          <w:rFonts w:eastAsia="宋体" w:cs="宋体"/>
          <w:sz w:val="21"/>
          <w:lang w:eastAsia="zh-CN"/>
        </w:rPr>
        <w:t>》。</w:t>
      </w:r>
      <w:r>
        <w:rPr>
          <w:rFonts w:eastAsia="宋体" w:cs="宋体"/>
          <w:sz w:val="21"/>
          <w:vertAlign w:val="superscript"/>
          <w:lang w:eastAsia="zh-CN"/>
        </w:rPr>
        <w:t>36</w:t>
      </w:r>
      <w:r>
        <w:rPr>
          <w:rFonts w:eastAsia="宋体" w:cs="宋体"/>
          <w:b/>
          <w:lang w:eastAsia="zh-CN"/>
        </w:rPr>
        <w:br w:type="page"/>
      </w:r>
    </w:p>
    <w:p w14:paraId="3CDB1082">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历史对照组</w:t>
      </w:r>
    </w:p>
    <w:p w14:paraId="3B1528E3">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在使用历史对照组时，需要对器械使用结果与既往经验进行定量比较，此类既往经验来自在相似患者或人群中（未接受治疗或已接受既定有效方案（治疗、诊断、预防））的详细记录的疾病或病症的自然史。</w:t>
      </w:r>
      <w:r>
        <w:rPr>
          <w:rFonts w:eastAsia="宋体" w:cs="宋体"/>
          <w:sz w:val="21"/>
          <w:vertAlign w:val="superscript"/>
          <w:lang w:eastAsia="zh-CN"/>
        </w:rPr>
        <w:t>37</w:t>
      </w:r>
      <w:r>
        <w:rPr>
          <w:rFonts w:eastAsia="宋体" w:cs="宋体"/>
          <w:sz w:val="21"/>
          <w:lang w:eastAsia="zh-CN"/>
        </w:rPr>
        <w:t>使用历史对照组可以减少入组临床研究的患者数量，同时还可以保持作为对照临床研究的可靠性。FDA和行业已使用历史对照组来评价普通类型器械（包括但不限于经导管主动脉瓣膜、髋关节表面置换器械、全膝关节和踝关节置换术、神经刺激器和诊断器械），并且使用单组临床研究设计来评估安全性和有效性。</w:t>
      </w:r>
    </w:p>
    <w:p w14:paraId="35CE6841">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非比较性临床结局研究</w:t>
      </w:r>
    </w:p>
    <w:p w14:paraId="4A824CA5">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非比较性临床结局研究可能包括OPC、PG、观察性研究、登记研究、荟萃分析和文献综述。OPC是指从临床研究或登记研究中的历史数据得出的目标值，并且可以通过合格/不合格的方式用于评估安全性和有效性终点。PG是用于安全性和/或有效性终点比较的数值，可被专业协会、标准编制组织或FDA所接受或由其制定。与OPC或PG相比，使用单组研究可以减少支持上市许可所需的样本量。</w:t>
      </w:r>
    </w:p>
    <w:p w14:paraId="03C33747">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对于可以利用现有数据来建立OPC的器械类型（如心脏瓣膜）</w:t>
      </w:r>
      <w:r>
        <w:rPr>
          <w:rFonts w:eastAsia="宋体" w:cs="宋体"/>
          <w:sz w:val="21"/>
          <w:vertAlign w:val="superscript"/>
          <w:lang w:eastAsia="zh-CN"/>
        </w:rPr>
        <w:t>38</w:t>
      </w:r>
      <w:r>
        <w:rPr>
          <w:rFonts w:eastAsia="宋体" w:cs="宋体"/>
          <w:sz w:val="21"/>
          <w:lang w:eastAsia="zh-CN"/>
        </w:rPr>
        <w:t>，可以使用此类OPC来常规实施临床研究。在可用数据较少的另一示例中，经与行业和妇产科器械顾问小组协商，FDA利用具有类似对照数据的5项PMA批准来确立子宫内膜消融器械的OPC，从而使申请者可以选择实施单组研究。</w:t>
      </w:r>
      <w:r>
        <w:rPr>
          <w:rFonts w:eastAsia="宋体" w:cs="宋体"/>
          <w:sz w:val="21"/>
          <w:vertAlign w:val="superscript"/>
          <w:lang w:eastAsia="zh-CN"/>
        </w:rPr>
        <w:t>39</w:t>
      </w:r>
      <w:r>
        <w:rPr>
          <w:rFonts w:eastAsia="宋体" w:cs="宋体"/>
          <w:sz w:val="21"/>
          <w:lang w:eastAsia="zh-CN"/>
        </w:rPr>
        <w:t>OPC还用于支持远端栓塞保护装置的实质等同性。</w:t>
      </w:r>
      <w:r>
        <w:rPr>
          <w:rFonts w:eastAsia="宋体" w:cs="宋体"/>
          <w:sz w:val="21"/>
          <w:vertAlign w:val="superscript"/>
          <w:lang w:eastAsia="zh-CN"/>
        </w:rPr>
        <w:t>40</w:t>
      </w:r>
      <w:r>
        <w:rPr>
          <w:rFonts w:eastAsia="宋体" w:cs="宋体"/>
          <w:sz w:val="21"/>
          <w:lang w:eastAsia="zh-CN"/>
        </w:rPr>
        <w:t>尽管认为PG的稳健性不如OPC，但对于具有挑战性的患者人群或在任何控制组均无临床均势的情况下，可考虑采用PG。PG已在PMA中用于支持对外周血管支架安全性和有效性的判定提供合理保证。</w:t>
      </w:r>
      <w:r>
        <w:rPr>
          <w:rFonts w:eastAsia="宋体" w:cs="宋体"/>
          <w:sz w:val="21"/>
          <w:vertAlign w:val="superscript"/>
          <w:lang w:eastAsia="zh-CN"/>
        </w:rPr>
        <w:t>41</w:t>
      </w:r>
      <w:r>
        <w:rPr>
          <w:rFonts w:eastAsia="宋体" w:cs="宋体"/>
          <w:sz w:val="21"/>
          <w:lang w:eastAsia="zh-CN"/>
        </w:rPr>
        <w:t>性能目标的使用在一定程度上对用于分析生理信号并对睡眠研究结果进行评分的软件器械的实质等同性提供了支持。</w:t>
      </w:r>
      <w:r>
        <w:rPr>
          <w:rFonts w:eastAsia="宋体" w:cs="宋体"/>
          <w:sz w:val="21"/>
          <w:vertAlign w:val="superscript"/>
          <w:lang w:eastAsia="zh-CN"/>
        </w:rPr>
        <w:t>42</w:t>
      </w:r>
    </w:p>
    <w:p w14:paraId="732C5065">
      <w:pPr>
        <w:pStyle w:val="6"/>
        <w:adjustRightInd w:val="0"/>
        <w:snapToGrid w:val="0"/>
        <w:spacing w:before="3960" w:beforeLines="1650" w:line="300" w:lineRule="auto"/>
        <w:jc w:val="both"/>
        <w:rPr>
          <w:rFonts w:eastAsiaTheme="minorEastAsia"/>
          <w:sz w:val="21"/>
          <w:szCs w:val="21"/>
          <w:lang w:eastAsia="zh-CN"/>
        </w:rPr>
      </w:pPr>
      <w:r>
        <w:rPr>
          <w:rFonts w:eastAsia="宋体" w:cs="宋体"/>
          <w:sz w:val="21"/>
          <w:lang w:eastAsia="zh-CN"/>
        </w:rPr>
        <w:t>____________________</w:t>
      </w:r>
    </w:p>
    <w:p w14:paraId="061515FA">
      <w:pPr>
        <w:wordWrap w:val="0"/>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35</w:t>
      </w:r>
      <w:r>
        <w:rPr>
          <w:rFonts w:eastAsia="宋体" w:cs="宋体"/>
          <w:sz w:val="18"/>
          <w:lang w:eastAsia="zh-CN"/>
        </w:rPr>
        <w:t xml:space="preserve"> 《FD&amp;C法案》第515节。</w:t>
      </w:r>
    </w:p>
    <w:p w14:paraId="71F8BEDB">
      <w:pPr>
        <w:wordWrap w:val="0"/>
        <w:adjustRightInd w:val="0"/>
        <w:snapToGrid w:val="0"/>
        <w:spacing w:before="36" w:beforeLines="15" w:line="276" w:lineRule="auto"/>
        <w:jc w:val="both"/>
        <w:rPr>
          <w:rFonts w:eastAsia="宋体"/>
          <w:sz w:val="18"/>
          <w:szCs w:val="21"/>
          <w:lang w:eastAsia="zh-CN"/>
        </w:rPr>
      </w:pPr>
      <w:r>
        <w:rPr>
          <w:rFonts w:eastAsia="宋体"/>
          <w:sz w:val="18"/>
          <w:szCs w:val="21"/>
          <w:vertAlign w:val="superscript"/>
          <w:lang w:eastAsia="zh-CN"/>
        </w:rPr>
        <w:t>36</w:t>
      </w:r>
      <w:bookmarkStart w:id="22" w:name="_bookmark47"/>
      <w:bookmarkEnd w:id="22"/>
      <w:r>
        <w:rPr>
          <w:rFonts w:eastAsia="宋体"/>
          <w:sz w:val="18"/>
          <w:szCs w:val="21"/>
          <w:lang w:eastAsia="zh-CN"/>
        </w:rPr>
        <w:t xml:space="preserve"> </w:t>
      </w:r>
      <w:r>
        <w:rPr>
          <w:rFonts w:eastAsia="宋体"/>
          <w:color w:val="0000FF"/>
          <w:sz w:val="18"/>
          <w:szCs w:val="21"/>
          <w:u w:val="single" w:color="0000FF"/>
          <w:lang w:eastAsia="zh-CN"/>
        </w:rPr>
        <w:t>https://www.fda.gov/MedicalDevices/DeviceRegulationandGuidance/GuidanceDocuments/UCM373766</w:t>
      </w:r>
      <w:r>
        <w:rPr>
          <w:rFonts w:eastAsia="宋体"/>
          <w:sz w:val="18"/>
          <w:szCs w:val="21"/>
          <w:lang w:eastAsia="zh-CN"/>
        </w:rPr>
        <w:t>.</w:t>
      </w:r>
    </w:p>
    <w:p w14:paraId="6EBEC9BF">
      <w:pPr>
        <w:wordWrap w:val="0"/>
        <w:adjustRightInd w:val="0"/>
        <w:snapToGrid w:val="0"/>
        <w:spacing w:before="36" w:beforeLines="15" w:line="276" w:lineRule="auto"/>
        <w:jc w:val="both"/>
        <w:rPr>
          <w:rFonts w:eastAsia="宋体"/>
          <w:sz w:val="18"/>
          <w:szCs w:val="21"/>
        </w:rPr>
      </w:pPr>
      <w:r>
        <w:rPr>
          <w:rFonts w:eastAsia="宋体"/>
          <w:sz w:val="18"/>
          <w:szCs w:val="21"/>
          <w:vertAlign w:val="superscript"/>
        </w:rPr>
        <w:t>37</w:t>
      </w:r>
      <w:r>
        <w:rPr>
          <w:rFonts w:eastAsia="宋体"/>
          <w:sz w:val="18"/>
          <w:szCs w:val="21"/>
        </w:rPr>
        <w:t xml:space="preserve"> 21 CFR 860.7（f）（1）（iv）(D).</w:t>
      </w:r>
    </w:p>
    <w:p w14:paraId="284E9DB3">
      <w:pPr>
        <w:wordWrap w:val="0"/>
        <w:adjustRightInd w:val="0"/>
        <w:snapToGrid w:val="0"/>
        <w:spacing w:before="36" w:beforeLines="15" w:line="276" w:lineRule="auto"/>
        <w:jc w:val="both"/>
        <w:rPr>
          <w:rFonts w:eastAsia="宋体"/>
          <w:sz w:val="18"/>
          <w:szCs w:val="21"/>
        </w:rPr>
      </w:pPr>
      <w:r>
        <w:rPr>
          <w:rFonts w:eastAsia="宋体" w:cs="宋体"/>
          <w:sz w:val="18"/>
          <w:vertAlign w:val="superscript"/>
        </w:rPr>
        <w:t>38</w:t>
      </w:r>
      <w:r>
        <w:rPr>
          <w:rFonts w:eastAsia="宋体" w:cs="宋体"/>
          <w:sz w:val="18"/>
        </w:rPr>
        <w:t xml:space="preserve"> 例如，安全性和有效性数据摘要可登录以下网址获取：</w:t>
      </w:r>
      <w:r>
        <w:rPr>
          <w:rFonts w:eastAsia="宋体" w:cs="宋体"/>
          <w:color w:val="0000FF"/>
          <w:sz w:val="18"/>
          <w:u w:val="single"/>
        </w:rPr>
        <w:t>https://www.accessdata.fda.gov/cdrh_docs/pdf15/p150036b.pdf</w:t>
      </w:r>
      <w:r>
        <w:rPr>
          <w:rFonts w:eastAsia="宋体" w:cs="宋体"/>
          <w:sz w:val="18"/>
        </w:rPr>
        <w:t>和</w:t>
      </w:r>
      <w:r>
        <w:rPr>
          <w:rFonts w:eastAsia="宋体" w:cs="宋体"/>
          <w:color w:val="0000FF"/>
          <w:sz w:val="18"/>
          <w:u w:val="single"/>
        </w:rPr>
        <w:t>https://www.accessdata.fda.gov/cdrh_docs/pdf13/P130011b.pdf</w:t>
      </w:r>
      <w:r>
        <w:rPr>
          <w:rFonts w:eastAsia="宋体" w:cs="宋体"/>
          <w:sz w:val="18"/>
        </w:rPr>
        <w:t>。</w:t>
      </w:r>
    </w:p>
    <w:p w14:paraId="6B04927F">
      <w:pPr>
        <w:wordWrap w:val="0"/>
        <w:adjustRightInd w:val="0"/>
        <w:snapToGrid w:val="0"/>
        <w:spacing w:before="36" w:beforeLines="15" w:line="276" w:lineRule="auto"/>
        <w:jc w:val="both"/>
        <w:rPr>
          <w:rFonts w:eastAsia="宋体"/>
          <w:sz w:val="18"/>
          <w:szCs w:val="21"/>
          <w:lang w:eastAsia="zh-CN"/>
        </w:rPr>
      </w:pPr>
      <w:r>
        <w:rPr>
          <w:rFonts w:eastAsia="宋体" w:cs="宋体"/>
          <w:sz w:val="18"/>
          <w:vertAlign w:val="superscript"/>
        </w:rPr>
        <w:t>39</w:t>
      </w:r>
      <w:r>
        <w:rPr>
          <w:rFonts w:eastAsia="宋体" w:cs="宋体"/>
          <w:sz w:val="18"/>
        </w:rPr>
        <w:t xml:space="preserve"> FDA“致全球子宫内膜消融产品制造商的信函”可登录以下网址获取：</w:t>
      </w:r>
      <w:r>
        <w:rPr>
          <w:rFonts w:eastAsia="宋体" w:cs="宋体"/>
          <w:color w:val="0000FF"/>
          <w:sz w:val="18"/>
          <w:u w:val="single"/>
        </w:rPr>
        <w:t>https://www.fda.gov/downloads/MedicalDevices/ResourcesforYou/Industry/UCM470246.pdf</w:t>
      </w:r>
      <w:r>
        <w:rPr>
          <w:rFonts w:eastAsia="宋体" w:cs="宋体"/>
          <w:sz w:val="18"/>
        </w:rPr>
        <w:t>。</w:t>
      </w:r>
    </w:p>
    <w:p w14:paraId="2975145D">
      <w:pPr>
        <w:wordWrap w:val="0"/>
        <w:adjustRightInd w:val="0"/>
        <w:snapToGrid w:val="0"/>
        <w:spacing w:before="36" w:beforeLines="15" w:line="276" w:lineRule="auto"/>
        <w:jc w:val="both"/>
        <w:rPr>
          <w:rFonts w:eastAsia="宋体"/>
          <w:sz w:val="18"/>
          <w:szCs w:val="21"/>
        </w:rPr>
      </w:pPr>
      <w:r>
        <w:rPr>
          <w:rFonts w:eastAsia="宋体" w:cs="宋体"/>
          <w:sz w:val="18"/>
          <w:vertAlign w:val="superscript"/>
        </w:rPr>
        <w:t>40</w:t>
      </w:r>
      <w:r>
        <w:rPr>
          <w:rFonts w:eastAsia="宋体" w:cs="宋体"/>
          <w:sz w:val="18"/>
        </w:rPr>
        <w:t xml:space="preserve"> 510(k)摘要可登录以下网址获取：</w:t>
      </w:r>
      <w:r>
        <w:rPr>
          <w:rFonts w:eastAsia="宋体" w:cs="宋体"/>
          <w:color w:val="0000FF"/>
          <w:sz w:val="18"/>
          <w:u w:val="single"/>
        </w:rPr>
        <w:t>https://www.accessdata.fda.gov/cdrh_docs/pdf8/K083300.pdf</w:t>
      </w:r>
      <w:r>
        <w:rPr>
          <w:rFonts w:eastAsia="宋体" w:cs="宋体"/>
          <w:sz w:val="18"/>
        </w:rPr>
        <w:t>。</w:t>
      </w:r>
    </w:p>
    <w:p w14:paraId="0B9B01F0">
      <w:pPr>
        <w:rPr>
          <w:rFonts w:eastAsia="宋体"/>
          <w:sz w:val="2"/>
          <w:szCs w:val="2"/>
        </w:rPr>
      </w:pPr>
      <w:r>
        <w:rPr>
          <w:rFonts w:eastAsia="宋体"/>
          <w:sz w:val="2"/>
          <w:szCs w:val="2"/>
        </w:rPr>
        <w:br w:type="page"/>
      </w:r>
    </w:p>
    <w:p w14:paraId="54A618F9">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受试者自体对照</w:t>
      </w:r>
    </w:p>
    <w:p w14:paraId="0318D88F">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可能的情况下，FDA和行业应考虑什么情况下可将临床研究受试者作为自体对照，以尽量减少入组患者数量。在涉及多种不同器械（包括肥胖治疗器械、皮肤填充剂和神经刺激器）的临床研究中，已有采用交叉研究设计（每位受试者以随机顺序接受治疗和对照干预）。已将成对设计（将患者作为自身的同期对照）用于半边脸（split-face）研究设计来评估整形手术器械，并且用于单侧膝盖（split-knees）设计来评估骨科器械。举例来讲，IVD研究也会将患者作为自体对照，以评估结直肠癌筛查检测的长期性能。</w:t>
      </w:r>
    </w:p>
    <w:p w14:paraId="6B38A017">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自适应研究设计</w:t>
      </w:r>
    </w:p>
    <w:p w14:paraId="766290C2">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使用自适应研究设计可以降低资源需求、缩短研究完成时间和/或提高研究成功机率。更多信息，请参见FDA指南文件《</w:t>
      </w:r>
      <w:r>
        <w:rPr>
          <w:rFonts w:eastAsia="宋体" w:cs="宋体"/>
          <w:color w:val="0000FF"/>
          <w:sz w:val="21"/>
          <w:u w:val="single"/>
          <w:lang w:eastAsia="zh-CN"/>
        </w:rPr>
        <w:t>医疗器械临床研究的适应性设计</w:t>
      </w:r>
      <w:r>
        <w:rPr>
          <w:rFonts w:eastAsia="宋体" w:cs="宋体"/>
          <w:sz w:val="21"/>
          <w:lang w:eastAsia="zh-CN"/>
        </w:rPr>
        <w:t>》。</w:t>
      </w:r>
      <w:r>
        <w:rPr>
          <w:rFonts w:eastAsia="宋体" w:cs="宋体"/>
          <w:sz w:val="21"/>
          <w:vertAlign w:val="superscript"/>
          <w:lang w:eastAsia="zh-CN"/>
        </w:rPr>
        <w:t>43</w:t>
      </w:r>
      <w:r>
        <w:rPr>
          <w:rFonts w:eastAsia="宋体" w:cs="宋体"/>
          <w:sz w:val="21"/>
          <w:lang w:eastAsia="zh-CN"/>
        </w:rPr>
        <w:t>在神经和心血管器械类型的上市前和上市后研究中，已采用自适应研究设计来尽量减少研究受试者数量。</w:t>
      </w:r>
    </w:p>
    <w:p w14:paraId="3E5863BA">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使用替代方法进行前瞻性样本采集</w:t>
      </w:r>
    </w:p>
    <w:p w14:paraId="5FF6BD25">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某些情况下，可能无法获得IVD的前瞻性患者样本，例如某一病症的发病率较低或者临床中极少测量的某些浓度水平。在此类情况下，应考虑采用替代方法进行样本采集，例如使用库存样本和回顾性样本、人为样本以及替代样本或生物标志物。</w:t>
      </w:r>
    </w:p>
    <w:p w14:paraId="17C327D5">
      <w:pPr>
        <w:pStyle w:val="6"/>
        <w:adjustRightInd w:val="0"/>
        <w:snapToGrid w:val="0"/>
        <w:spacing w:before="120" w:beforeLines="50" w:line="300" w:lineRule="auto"/>
        <w:ind w:left="1603" w:leftChars="400" w:hanging="723" w:hangingChars="300"/>
        <w:jc w:val="both"/>
        <w:outlineLvl w:val="1"/>
        <w:rPr>
          <w:b/>
          <w:szCs w:val="21"/>
          <w:lang w:eastAsia="zh-CN"/>
        </w:rPr>
      </w:pPr>
      <w:bookmarkStart w:id="23" w:name="_Toc91867537"/>
      <w:r>
        <w:rPr>
          <w:rFonts w:eastAsia="宋体" w:cs="宋体"/>
          <w:b/>
          <w:lang w:eastAsia="zh-CN"/>
        </w:rPr>
        <w:t>（2）</w:t>
      </w:r>
      <w:r>
        <w:rPr>
          <w:rFonts w:eastAsia="宋体" w:cs="宋体"/>
          <w:lang w:eastAsia="zh-CN"/>
        </w:rPr>
        <w:tab/>
      </w:r>
      <w:r>
        <w:rPr>
          <w:rFonts w:eastAsia="宋体" w:cs="宋体"/>
          <w:b/>
          <w:lang w:eastAsia="zh-CN"/>
        </w:rPr>
        <w:t>使用受益-风险评估</w:t>
      </w:r>
      <w:bookmarkEnd w:id="23"/>
    </w:p>
    <w:p w14:paraId="34DBE5BB">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最小负担原则与FDA在医疗器械监管决策过程中用于权衡受益-风险的方法一致。所有监管流程均存在关于</w:t>
      </w:r>
      <w:r>
        <w:rPr>
          <w:rFonts w:hint="eastAsia" w:eastAsia="宋体" w:cs="宋体"/>
          <w:sz w:val="21"/>
          <w:lang w:eastAsia="zh-CN"/>
        </w:rPr>
        <w:t>医疗器械</w:t>
      </w:r>
      <w:r>
        <w:rPr>
          <w:rFonts w:eastAsia="宋体" w:cs="宋体"/>
          <w:sz w:val="21"/>
          <w:lang w:eastAsia="zh-CN"/>
        </w:rPr>
        <w:t>受益-风险的一些不确定性。在某些情况下，如可能的获益概率较高（如突破性器械）或可能的器械风险概率较低时，不确定性会更大。</w:t>
      </w:r>
    </w:p>
    <w:p w14:paraId="7308F81E">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在判定器械的安全性和有效性时，FDA还会考虑到使用器械的可能健康获益与此类使用可能造成的伤害或疾病风险的权衡。</w:t>
      </w:r>
      <w:r>
        <w:rPr>
          <w:rFonts w:eastAsia="宋体" w:cs="宋体"/>
          <w:sz w:val="21"/>
          <w:vertAlign w:val="superscript"/>
          <w:lang w:eastAsia="zh-CN"/>
        </w:rPr>
        <w:t>44</w:t>
      </w:r>
      <w:r>
        <w:rPr>
          <w:rFonts w:eastAsia="宋体" w:cs="宋体"/>
          <w:sz w:val="21"/>
          <w:lang w:eastAsia="zh-CN"/>
        </w:rPr>
        <w:t>在考虑受益-风险程度时（例如概率、大小/严重度和持续时间），还考虑到了不确定性、以患者为中心的指标和意见，以及疾病表征。当FDA确定健康获益权重大于任何可能的风险并且器械可提供具有临床意义的结果时，FDA可能会做出肯定决定。</w:t>
      </w:r>
      <w:r>
        <w:rPr>
          <w:rFonts w:eastAsia="宋体" w:cs="宋体"/>
          <w:sz w:val="21"/>
          <w:vertAlign w:val="superscript"/>
          <w:lang w:eastAsia="zh-CN"/>
        </w:rPr>
        <w:t>45</w:t>
      </w:r>
      <w:r>
        <w:rPr>
          <w:rFonts w:eastAsia="宋体" w:cs="宋体"/>
          <w:sz w:val="21"/>
          <w:lang w:eastAsia="zh-CN"/>
        </w:rPr>
        <w:t>举例来讲，虽然关于二尖瓣修复器械的临床研究和美国之外的登记研究中有严重不良事件和死亡，但是FDA判定认为，对于预期寿命较短且生活质量较低的狭窄患者人群，可能的获益权重大于可能的风险。</w:t>
      </w:r>
      <w:r>
        <w:rPr>
          <w:rFonts w:eastAsia="宋体" w:cs="宋体"/>
          <w:sz w:val="21"/>
          <w:vertAlign w:val="superscript"/>
          <w:lang w:eastAsia="zh-CN"/>
        </w:rPr>
        <w:t>46</w:t>
      </w:r>
      <w:r>
        <w:rPr>
          <w:rFonts w:eastAsia="宋体" w:cs="宋体"/>
          <w:sz w:val="21"/>
          <w:lang w:eastAsia="zh-CN"/>
        </w:rPr>
        <w:t>对于不适合接受二尖瓣手术的患者，该器械填补了尚未满足的临床需求空缺。考虑到受益-风险评估，FDA判定认为，该器械对这一狭窄患者人群具有合理的安全性和有效性保证。</w:t>
      </w:r>
    </w:p>
    <w:p w14:paraId="3A239827">
      <w:pPr>
        <w:pStyle w:val="6"/>
        <w:adjustRightInd w:val="0"/>
        <w:snapToGrid w:val="0"/>
        <w:spacing w:before="2040" w:beforeLines="850" w:line="300" w:lineRule="auto"/>
        <w:jc w:val="both"/>
        <w:rPr>
          <w:rFonts w:eastAsiaTheme="minorEastAsia"/>
          <w:sz w:val="21"/>
          <w:szCs w:val="21"/>
          <w:lang w:eastAsia="zh-CN"/>
        </w:rPr>
      </w:pPr>
      <w:r>
        <w:rPr>
          <w:rFonts w:eastAsia="宋体" w:cs="宋体"/>
          <w:sz w:val="21"/>
        </w:rPr>
        <w:t>____________________</w:t>
      </w:r>
    </w:p>
    <w:p w14:paraId="0290D063">
      <w:pPr>
        <w:adjustRightInd w:val="0"/>
        <w:snapToGrid w:val="0"/>
        <w:spacing w:before="36" w:beforeLines="15" w:line="276" w:lineRule="auto"/>
        <w:jc w:val="both"/>
        <w:rPr>
          <w:rFonts w:eastAsia="宋体"/>
          <w:sz w:val="18"/>
          <w:szCs w:val="21"/>
        </w:rPr>
      </w:pPr>
      <w:r>
        <w:rPr>
          <w:rFonts w:eastAsia="宋体" w:cs="宋体"/>
          <w:sz w:val="18"/>
          <w:vertAlign w:val="superscript"/>
        </w:rPr>
        <w:t>41</w:t>
      </w:r>
      <w:r>
        <w:rPr>
          <w:rFonts w:eastAsia="宋体" w:cs="宋体"/>
          <w:sz w:val="18"/>
        </w:rPr>
        <w:t xml:space="preserve"> 安全性和有效性数据摘要可登录以下网址获取：</w:t>
      </w:r>
      <w:r>
        <w:rPr>
          <w:rFonts w:eastAsia="宋体" w:cs="宋体"/>
          <w:color w:val="0000FF"/>
          <w:sz w:val="18"/>
          <w:u w:val="single"/>
        </w:rPr>
        <w:t>https://www.accessdata.fda.gov/cdrh_docs/pdf9/P090006b.pdf</w:t>
      </w:r>
      <w:r>
        <w:rPr>
          <w:rFonts w:eastAsia="宋体" w:cs="宋体"/>
          <w:sz w:val="18"/>
        </w:rPr>
        <w:t>和</w:t>
      </w:r>
      <w:r>
        <w:rPr>
          <w:rFonts w:eastAsia="宋体" w:cs="宋体"/>
          <w:color w:val="0000FF"/>
          <w:sz w:val="18"/>
          <w:u w:val="single"/>
        </w:rPr>
        <w:t>https://www.accessdata.fda.gov/cdrh_docs/pdf12/P120020b.pdf</w:t>
      </w:r>
      <w:r>
        <w:rPr>
          <w:rFonts w:eastAsia="宋体" w:cs="宋体"/>
          <w:sz w:val="18"/>
        </w:rPr>
        <w:t>。</w:t>
      </w:r>
    </w:p>
    <w:p w14:paraId="08970CA2">
      <w:pPr>
        <w:adjustRightInd w:val="0"/>
        <w:snapToGrid w:val="0"/>
        <w:spacing w:before="36" w:beforeLines="15" w:line="276" w:lineRule="auto"/>
        <w:jc w:val="both"/>
        <w:rPr>
          <w:rFonts w:eastAsia="宋体"/>
          <w:sz w:val="18"/>
          <w:szCs w:val="21"/>
        </w:rPr>
      </w:pPr>
      <w:r>
        <w:rPr>
          <w:rFonts w:eastAsia="宋体" w:cs="宋体"/>
          <w:sz w:val="18"/>
          <w:vertAlign w:val="superscript"/>
        </w:rPr>
        <w:t>42</w:t>
      </w:r>
      <w:r>
        <w:rPr>
          <w:rFonts w:eastAsia="宋体" w:cs="宋体"/>
          <w:sz w:val="18"/>
        </w:rPr>
        <w:t xml:space="preserve"> 510(k)摘要可登录以下网址获取：</w:t>
      </w:r>
      <w:r>
        <w:rPr>
          <w:rFonts w:eastAsia="宋体" w:cs="宋体"/>
          <w:color w:val="0000FF"/>
          <w:sz w:val="18"/>
          <w:u w:val="single"/>
        </w:rPr>
        <w:t>https://www.accessdata.fda.gov/cdrh_docs/pdf16/K162627.pdf</w:t>
      </w:r>
      <w:r>
        <w:rPr>
          <w:rFonts w:eastAsia="宋体" w:cs="宋体"/>
          <w:sz w:val="18"/>
        </w:rPr>
        <w:t>。</w:t>
      </w:r>
    </w:p>
    <w:p w14:paraId="25CC4BD7">
      <w:pPr>
        <w:adjustRightInd w:val="0"/>
        <w:snapToGrid w:val="0"/>
        <w:spacing w:before="36" w:beforeLines="15" w:line="276" w:lineRule="auto"/>
        <w:jc w:val="both"/>
        <w:rPr>
          <w:rFonts w:eastAsia="宋体"/>
          <w:sz w:val="18"/>
          <w:szCs w:val="21"/>
        </w:rPr>
      </w:pPr>
      <w:r>
        <w:rPr>
          <w:rFonts w:eastAsia="宋体"/>
          <w:sz w:val="18"/>
          <w:szCs w:val="21"/>
          <w:vertAlign w:val="superscript"/>
        </w:rPr>
        <w:t>43</w:t>
      </w:r>
      <w:bookmarkStart w:id="24" w:name="_bookmark55"/>
      <w:bookmarkEnd w:id="24"/>
      <w:r>
        <w:rPr>
          <w:rFonts w:eastAsia="宋体"/>
          <w:sz w:val="18"/>
          <w:szCs w:val="21"/>
        </w:rPr>
        <w:t xml:space="preserve"> </w:t>
      </w:r>
      <w:r>
        <w:rPr>
          <w:rFonts w:eastAsia="宋体"/>
          <w:color w:val="0000FF"/>
          <w:sz w:val="18"/>
          <w:szCs w:val="21"/>
          <w:u w:val="single" w:color="0000FF"/>
        </w:rPr>
        <w:t>https://www.fda.gov/MedicalDevices/DeviceRegulationandGuidance/GuidanceDocuments/UCM446729</w:t>
      </w:r>
      <w:r>
        <w:rPr>
          <w:rFonts w:eastAsia="宋体"/>
          <w:sz w:val="18"/>
          <w:szCs w:val="21"/>
        </w:rPr>
        <w:t>.</w:t>
      </w:r>
    </w:p>
    <w:p w14:paraId="29864F4A">
      <w:pPr>
        <w:adjustRightInd w:val="0"/>
        <w:snapToGrid w:val="0"/>
        <w:spacing w:before="36" w:beforeLines="15" w:line="276" w:lineRule="auto"/>
        <w:jc w:val="both"/>
        <w:rPr>
          <w:rFonts w:eastAsia="宋体"/>
          <w:b/>
          <w:sz w:val="21"/>
          <w:szCs w:val="21"/>
          <w:lang w:eastAsia="zh-CN"/>
        </w:rPr>
      </w:pPr>
      <w:r>
        <w:rPr>
          <w:rFonts w:eastAsia="宋体"/>
          <w:sz w:val="18"/>
          <w:szCs w:val="21"/>
          <w:vertAlign w:val="superscript"/>
          <w:lang w:eastAsia="zh-CN"/>
        </w:rPr>
        <w:t>44</w:t>
      </w:r>
      <w:r>
        <w:rPr>
          <w:rFonts w:eastAsia="宋体"/>
          <w:sz w:val="18"/>
          <w:szCs w:val="21"/>
          <w:lang w:eastAsia="zh-CN"/>
        </w:rPr>
        <w:t xml:space="preserve"> 21 CFR 860.7(b)(3).</w:t>
      </w:r>
      <w:r>
        <w:rPr>
          <w:rFonts w:eastAsia="宋体" w:cs="宋体"/>
          <w:b/>
          <w:sz w:val="21"/>
          <w:lang w:eastAsia="zh-CN"/>
        </w:rPr>
        <w:br w:type="page"/>
      </w:r>
    </w:p>
    <w:p w14:paraId="209C8C75">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有关在PMA和重新分类申请决策中使用受益-风险的更多信息，请参见FDA指南文件《</w:t>
      </w:r>
      <w:r>
        <w:rPr>
          <w:rFonts w:eastAsia="宋体" w:cs="宋体"/>
          <w:color w:val="0000FF"/>
          <w:sz w:val="21"/>
          <w:u w:val="single"/>
          <w:lang w:eastAsia="zh-CN"/>
        </w:rPr>
        <w:t>医疗器械上市前批准和重新分类中判定受益-风险时应考虑的因素</w:t>
      </w:r>
      <w:r>
        <w:rPr>
          <w:rFonts w:eastAsia="宋体" w:cs="宋体"/>
          <w:sz w:val="21"/>
          <w:lang w:eastAsia="zh-CN"/>
        </w:rPr>
        <w:t>》。</w:t>
      </w:r>
      <w:r>
        <w:rPr>
          <w:rFonts w:eastAsia="宋体" w:cs="宋体"/>
          <w:sz w:val="21"/>
          <w:vertAlign w:val="superscript"/>
          <w:lang w:eastAsia="zh-CN"/>
        </w:rPr>
        <w:t>47</w:t>
      </w:r>
    </w:p>
    <w:p w14:paraId="30C53A09">
      <w:pPr>
        <w:pStyle w:val="6"/>
        <w:adjustRightInd w:val="0"/>
        <w:snapToGrid w:val="0"/>
        <w:spacing w:before="120" w:beforeLines="50" w:line="300" w:lineRule="auto"/>
        <w:ind w:left="1603" w:leftChars="400" w:hanging="723" w:hangingChars="300"/>
        <w:jc w:val="both"/>
        <w:outlineLvl w:val="1"/>
        <w:rPr>
          <w:b/>
          <w:szCs w:val="21"/>
          <w:lang w:eastAsia="zh-CN"/>
        </w:rPr>
      </w:pPr>
      <w:bookmarkStart w:id="25" w:name="_Toc91867538"/>
      <w:r>
        <w:rPr>
          <w:rFonts w:eastAsia="宋体" w:cs="宋体"/>
          <w:b/>
          <w:lang w:eastAsia="zh-CN"/>
        </w:rPr>
        <w:t>（3）</w:t>
      </w:r>
      <w:r>
        <w:rPr>
          <w:rFonts w:eastAsia="宋体" w:cs="宋体"/>
          <w:lang w:eastAsia="zh-CN"/>
        </w:rPr>
        <w:tab/>
      </w:r>
      <w:r>
        <w:rPr>
          <w:rFonts w:eastAsia="宋体" w:cs="宋体"/>
          <w:b/>
          <w:lang w:eastAsia="zh-CN"/>
        </w:rPr>
        <w:t>简化流程与减轻行政管理负担</w:t>
      </w:r>
      <w:bookmarkEnd w:id="25"/>
    </w:p>
    <w:p w14:paraId="19503F14">
      <w:pPr>
        <w:adjustRightInd w:val="0"/>
        <w:snapToGrid w:val="0"/>
        <w:spacing w:before="120" w:beforeLines="50" w:line="300" w:lineRule="auto"/>
        <w:jc w:val="both"/>
        <w:rPr>
          <w:rFonts w:eastAsia="宋体"/>
          <w:sz w:val="21"/>
          <w:szCs w:val="21"/>
          <w:lang w:eastAsia="zh-CN"/>
        </w:rPr>
      </w:pPr>
      <w:r>
        <w:rPr>
          <w:rFonts w:eastAsia="宋体" w:cs="宋体"/>
          <w:sz w:val="21"/>
          <w:lang w:eastAsia="zh-CN"/>
        </w:rPr>
        <w:t>为了提高效率，最小负担原则也被用于简化监管流程。FDA已实施了多项政策和做法，以减轻行政管理负担、消除潜在冗余、节约FDA和行业的资源。</w:t>
      </w:r>
    </w:p>
    <w:p w14:paraId="3690AF41">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减少冗余</w:t>
      </w:r>
    </w:p>
    <w:p w14:paraId="67A02FA8">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捆绑上市申请中包含多个器械或适应症或者使用双重申请可以减少冗余申请以及FDA和行业审评的监管信息。捆绑申请适用于可通过一次审评来高效解决科学和监管问题的普通类型器械。有关捆绑申请的更多信息，请参见FDA指南文件《</w:t>
      </w:r>
      <w:r>
        <w:rPr>
          <w:rFonts w:eastAsia="宋体" w:cs="宋体"/>
          <w:color w:val="0000FF"/>
          <w:sz w:val="21"/>
          <w:u w:val="single"/>
          <w:lang w:eastAsia="zh-CN"/>
        </w:rPr>
        <w:t>在单次申请中捆绑提交多个器械或多种适应症</w:t>
      </w:r>
      <w:r>
        <w:rPr>
          <w:rFonts w:eastAsia="宋体" w:cs="宋体"/>
          <w:sz w:val="21"/>
          <w:lang w:eastAsia="zh-CN"/>
        </w:rPr>
        <w:t>》。</w:t>
      </w:r>
      <w:r>
        <w:rPr>
          <w:rFonts w:eastAsia="宋体" w:cs="宋体"/>
          <w:sz w:val="21"/>
          <w:vertAlign w:val="superscript"/>
          <w:lang w:eastAsia="zh-CN"/>
        </w:rPr>
        <w:t>48</w:t>
      </w:r>
    </w:p>
    <w:p w14:paraId="07513CDE">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510(k)/CLIA双重豁免允许同时审查510(k)申请和CLIA申请豁免。FDA和行业合作制定了比较性和可重复性研究设计来生成数据集，可降低研究相关成本并缩短审评时间。有关双重510(k)/CLIA豁免的更多信息，请参见FDA指南文件《</w:t>
      </w:r>
      <w:r>
        <w:rPr>
          <w:rFonts w:eastAsia="宋体" w:cs="宋体"/>
          <w:color w:val="0000FF"/>
          <w:sz w:val="21"/>
          <w:u w:val="single"/>
          <w:lang w:eastAsia="zh-CN"/>
        </w:rPr>
        <w:t>CLIA分类管理程序</w:t>
      </w:r>
      <w:r>
        <w:rPr>
          <w:rFonts w:eastAsia="宋体" w:cs="宋体"/>
          <w:sz w:val="21"/>
          <w:lang w:eastAsia="zh-CN"/>
        </w:rPr>
        <w:t>》。</w:t>
      </w:r>
      <w:r>
        <w:rPr>
          <w:rFonts w:eastAsia="宋体" w:cs="宋体"/>
          <w:sz w:val="21"/>
          <w:vertAlign w:val="superscript"/>
          <w:lang w:eastAsia="zh-CN"/>
        </w:rPr>
        <w:t>49</w:t>
      </w:r>
    </w:p>
    <w:p w14:paraId="5298B54A">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申请效率</w:t>
      </w:r>
    </w:p>
    <w:p w14:paraId="476FAAE7">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FDA未根据《FD&amp;C法案》第510(k)节的上市前通知要求接收所有器械的详细申请，而是采用两种可选方法建立了新510(k)范例，以证明实质等同性。特殊510(k)项目采用了质量体系（QS）法规和设计控制，而简化510(k)项目采用了指南文件、FDA认可的自愿共识标准和/或特殊控制。这两个项目的共同目标是在不影响实质等同性决策质量的前提下，通过缩短审查时间或减轻行政负担来简化510(k)审查。有关特殊510(k)项目和简化510(k)项目的更多信息，请参见FDA指南文件《</w:t>
      </w:r>
      <w:r>
        <w:rPr>
          <w:rFonts w:eastAsia="宋体" w:cs="宋体"/>
          <w:color w:val="0000FF"/>
          <w:sz w:val="21"/>
          <w:u w:val="single"/>
          <w:lang w:eastAsia="zh-CN"/>
        </w:rPr>
        <w:t>新510(k)范例 – 在上市前通知中</w:t>
      </w:r>
      <w:r>
        <w:rPr>
          <w:rFonts w:hint="eastAsia" w:eastAsia="宋体" w:cs="宋体"/>
          <w:color w:val="0000FF"/>
          <w:sz w:val="21"/>
          <w:u w:val="single"/>
          <w:lang w:eastAsia="zh-CN"/>
        </w:rPr>
        <w:t>论证</w:t>
      </w:r>
      <w:r>
        <w:rPr>
          <w:rFonts w:eastAsia="宋体" w:cs="宋体"/>
          <w:color w:val="0000FF"/>
          <w:sz w:val="21"/>
          <w:u w:val="single"/>
          <w:lang w:eastAsia="zh-CN"/>
        </w:rPr>
        <w:t>实质等同性的替代方法</w:t>
      </w:r>
      <w:r>
        <w:rPr>
          <w:rFonts w:eastAsia="宋体" w:cs="宋体"/>
          <w:sz w:val="21"/>
          <w:lang w:eastAsia="zh-CN"/>
        </w:rPr>
        <w:t>》。</w:t>
      </w:r>
      <w:r>
        <w:rPr>
          <w:rFonts w:eastAsia="宋体" w:cs="宋体"/>
          <w:sz w:val="21"/>
          <w:vertAlign w:val="superscript"/>
          <w:lang w:eastAsia="zh-CN"/>
        </w:rPr>
        <w:t>50</w:t>
      </w:r>
    </w:p>
    <w:p w14:paraId="21FC43A6">
      <w:pPr>
        <w:pStyle w:val="6"/>
        <w:adjustRightInd w:val="0"/>
        <w:snapToGrid w:val="0"/>
        <w:spacing w:before="4800" w:beforeLines="2000" w:line="300" w:lineRule="auto"/>
        <w:jc w:val="both"/>
        <w:rPr>
          <w:rFonts w:eastAsiaTheme="minorEastAsia"/>
          <w:sz w:val="21"/>
          <w:szCs w:val="21"/>
          <w:lang w:eastAsia="zh-CN"/>
        </w:rPr>
      </w:pPr>
      <w:r>
        <w:rPr>
          <w:rFonts w:eastAsia="宋体" w:cs="宋体"/>
          <w:sz w:val="21"/>
          <w:lang w:eastAsia="zh-CN"/>
        </w:rPr>
        <w:t>____________________</w:t>
      </w:r>
    </w:p>
    <w:p w14:paraId="65BC0813">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45</w:t>
      </w:r>
      <w:r>
        <w:rPr>
          <w:rFonts w:eastAsia="宋体" w:cs="宋体"/>
          <w:sz w:val="18"/>
          <w:lang w:eastAsia="zh-CN"/>
        </w:rPr>
        <w:t xml:space="preserve"> 21 CFR 860.7(D)-（e）。</w:t>
      </w:r>
    </w:p>
    <w:p w14:paraId="798EB9C2">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46</w:t>
      </w:r>
      <w:r>
        <w:rPr>
          <w:rFonts w:eastAsia="宋体" w:cs="宋体"/>
          <w:sz w:val="18"/>
          <w:lang w:eastAsia="zh-CN"/>
        </w:rPr>
        <w:t xml:space="preserve"> 安全性和有效性数据总结可登录以下网址获取：</w:t>
      </w:r>
      <w:r>
        <w:rPr>
          <w:rFonts w:eastAsia="宋体" w:cs="宋体"/>
          <w:color w:val="0000FF"/>
          <w:sz w:val="18"/>
          <w:u w:val="single"/>
          <w:lang w:eastAsia="zh-CN"/>
        </w:rPr>
        <w:t>https://www.accessdata.fda.gov/cdrh_docs/pdf10/P100009B.pdf</w:t>
      </w:r>
      <w:r>
        <w:rPr>
          <w:rFonts w:eastAsia="宋体" w:cs="宋体"/>
          <w:sz w:val="18"/>
          <w:lang w:eastAsia="zh-CN"/>
        </w:rPr>
        <w:t>。</w:t>
      </w:r>
    </w:p>
    <w:p w14:paraId="73794727">
      <w:pPr>
        <w:adjustRightInd w:val="0"/>
        <w:snapToGrid w:val="0"/>
        <w:spacing w:before="36" w:beforeLines="15" w:line="276" w:lineRule="auto"/>
        <w:jc w:val="both"/>
        <w:rPr>
          <w:rFonts w:eastAsia="宋体"/>
          <w:sz w:val="18"/>
          <w:szCs w:val="21"/>
        </w:rPr>
      </w:pPr>
      <w:r>
        <w:rPr>
          <w:rFonts w:eastAsia="宋体"/>
          <w:sz w:val="18"/>
          <w:szCs w:val="21"/>
          <w:vertAlign w:val="superscript"/>
        </w:rPr>
        <w:t>47</w:t>
      </w:r>
      <w:bookmarkStart w:id="26" w:name="_bookmark59"/>
      <w:bookmarkEnd w:id="26"/>
      <w:bookmarkStart w:id="27" w:name="_bookmark60"/>
      <w:bookmarkEnd w:id="27"/>
      <w:r>
        <w:rPr>
          <w:rFonts w:eastAsia="宋体"/>
          <w:sz w:val="18"/>
          <w:szCs w:val="21"/>
        </w:rPr>
        <w:t xml:space="preserve"> </w:t>
      </w:r>
      <w:r>
        <w:rPr>
          <w:rFonts w:eastAsia="宋体"/>
          <w:color w:val="0000FF"/>
          <w:sz w:val="18"/>
          <w:szCs w:val="21"/>
          <w:u w:val="single" w:color="0000FF"/>
        </w:rPr>
        <w:t>https://www.fda.gov/MedicalDevices/DeviceRegulationandGuidance/GuidanceDocuments/UCM517504</w:t>
      </w:r>
      <w:r>
        <w:rPr>
          <w:rFonts w:eastAsia="宋体"/>
          <w:sz w:val="18"/>
          <w:szCs w:val="21"/>
        </w:rPr>
        <w:t>.</w:t>
      </w:r>
    </w:p>
    <w:p w14:paraId="0EAB90CB">
      <w:pPr>
        <w:adjustRightInd w:val="0"/>
        <w:snapToGrid w:val="0"/>
        <w:spacing w:before="36" w:beforeLines="15" w:line="276" w:lineRule="auto"/>
        <w:jc w:val="both"/>
        <w:rPr>
          <w:rFonts w:eastAsia="宋体"/>
          <w:sz w:val="18"/>
          <w:szCs w:val="21"/>
        </w:rPr>
      </w:pPr>
      <w:r>
        <w:rPr>
          <w:rFonts w:eastAsia="宋体"/>
          <w:sz w:val="18"/>
          <w:szCs w:val="21"/>
          <w:vertAlign w:val="superscript"/>
        </w:rPr>
        <w:t>48</w:t>
      </w:r>
      <w:bookmarkStart w:id="28" w:name="_bookmark61"/>
      <w:bookmarkEnd w:id="28"/>
      <w:r>
        <w:rPr>
          <w:rFonts w:eastAsia="宋体"/>
          <w:sz w:val="18"/>
          <w:szCs w:val="21"/>
        </w:rPr>
        <w:t xml:space="preserve"> </w:t>
      </w:r>
      <w:r>
        <w:rPr>
          <w:rFonts w:eastAsia="宋体"/>
          <w:color w:val="0000FF"/>
          <w:sz w:val="18"/>
          <w:szCs w:val="21"/>
          <w:u w:val="single" w:color="0000FF"/>
        </w:rPr>
        <w:t>https://www.fda.gov/MedicalDevices/DeviceRegulationandGuidance/GuidanceDocuments/UCM089732</w:t>
      </w:r>
      <w:r>
        <w:rPr>
          <w:rFonts w:eastAsia="宋体"/>
          <w:sz w:val="18"/>
          <w:szCs w:val="21"/>
        </w:rPr>
        <w:t>.</w:t>
      </w:r>
    </w:p>
    <w:p w14:paraId="66DE6554">
      <w:pPr>
        <w:adjustRightInd w:val="0"/>
        <w:snapToGrid w:val="0"/>
        <w:spacing w:before="36" w:beforeLines="15" w:line="276" w:lineRule="auto"/>
        <w:jc w:val="both"/>
        <w:rPr>
          <w:rFonts w:eastAsia="宋体"/>
          <w:b/>
          <w:sz w:val="21"/>
          <w:szCs w:val="21"/>
        </w:rPr>
      </w:pPr>
      <w:r>
        <w:rPr>
          <w:rFonts w:eastAsia="宋体"/>
          <w:sz w:val="18"/>
          <w:szCs w:val="21"/>
          <w:vertAlign w:val="superscript"/>
        </w:rPr>
        <w:t>49</w:t>
      </w:r>
      <w:r>
        <w:rPr>
          <w:rFonts w:eastAsia="宋体"/>
          <w:sz w:val="18"/>
          <w:szCs w:val="21"/>
        </w:rPr>
        <w:t xml:space="preserve"> </w:t>
      </w:r>
      <w:r>
        <w:rPr>
          <w:rFonts w:eastAsia="宋体"/>
          <w:color w:val="0000FF"/>
          <w:sz w:val="18"/>
          <w:szCs w:val="21"/>
          <w:u w:val="single" w:color="0000FF"/>
        </w:rPr>
        <w:t>https://www.fda.gov/MedicalDevices/DeviceRegulationandGuidance/GuidanceDocuments/UCM070889</w:t>
      </w:r>
      <w:r>
        <w:rPr>
          <w:rFonts w:eastAsia="宋体"/>
          <w:sz w:val="18"/>
          <w:szCs w:val="21"/>
        </w:rPr>
        <w:t>.</w:t>
      </w:r>
      <w:r>
        <w:rPr>
          <w:rFonts w:eastAsia="宋体" w:cs="宋体"/>
          <w:b/>
          <w:sz w:val="21"/>
        </w:rPr>
        <w:br w:type="page"/>
      </w:r>
    </w:p>
    <w:p w14:paraId="7CE24072">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可使用PMA年度报告来总结不影响安全性和有效性的设计、标签和生产变更。指南文件《</w:t>
      </w:r>
      <w:r>
        <w:rPr>
          <w:rFonts w:eastAsia="宋体" w:cs="宋体"/>
          <w:color w:val="0000FF"/>
          <w:sz w:val="21"/>
          <w:u w:val="single"/>
          <w:lang w:eastAsia="zh-CN"/>
        </w:rPr>
        <w:t>获批上市前批准申请（PMA）的年度报告</w:t>
      </w:r>
      <w:r>
        <w:rPr>
          <w:rFonts w:eastAsia="宋体" w:cs="宋体"/>
          <w:sz w:val="21"/>
          <w:lang w:eastAsia="zh-CN"/>
        </w:rPr>
        <w:t>》</w:t>
      </w:r>
      <w:r>
        <w:rPr>
          <w:rFonts w:eastAsia="宋体" w:cs="宋体"/>
          <w:sz w:val="21"/>
          <w:vertAlign w:val="superscript"/>
          <w:lang w:eastAsia="zh-CN"/>
        </w:rPr>
        <w:t>51</w:t>
      </w:r>
      <w:r>
        <w:rPr>
          <w:rFonts w:eastAsia="宋体" w:cs="宋体"/>
          <w:sz w:val="21"/>
          <w:lang w:eastAsia="zh-CN"/>
        </w:rPr>
        <w:t>中概述的FDA推荐的设计、制造和标签变更格式是行业提交变更和FDA评估变更的有效方法，包括根据21 CFR 814.39确定须报告变更是否需要PMA补充材料。</w:t>
      </w:r>
    </w:p>
    <w:p w14:paraId="0ECF5C10">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向FDA提交电子版资料可减轻制造商的行政负担。例如，可通过eSubmitter工具和电子申请网关</w:t>
      </w:r>
      <w:r>
        <w:rPr>
          <w:rFonts w:eastAsia="宋体" w:cs="宋体"/>
          <w:sz w:val="21"/>
          <w:vertAlign w:val="superscript"/>
          <w:lang w:eastAsia="zh-CN"/>
        </w:rPr>
        <w:t>52</w:t>
      </w:r>
      <w:r>
        <w:rPr>
          <w:rFonts w:eastAsia="宋体" w:cs="宋体"/>
          <w:sz w:val="21"/>
          <w:lang w:eastAsia="zh-CN"/>
        </w:rPr>
        <w:t>将纠正和删除报告发送给FDA。</w:t>
      </w:r>
      <w:r>
        <w:rPr>
          <w:rFonts w:eastAsia="宋体" w:cs="宋体"/>
          <w:sz w:val="21"/>
          <w:vertAlign w:val="superscript"/>
          <w:lang w:eastAsia="zh-CN"/>
        </w:rPr>
        <w:t>52</w:t>
      </w:r>
      <w:r>
        <w:rPr>
          <w:rFonts w:eastAsia="宋体" w:cs="宋体"/>
          <w:sz w:val="21"/>
          <w:lang w:eastAsia="zh-CN"/>
        </w:rPr>
        <w:t>此外，可采用统一的基于网络的模板提交对监管不当行为的指控，该模板通过电子邮件而不是邮寄方式发送给FDA。</w:t>
      </w:r>
      <w:r>
        <w:rPr>
          <w:rFonts w:eastAsia="宋体" w:cs="宋体"/>
          <w:sz w:val="21"/>
          <w:vertAlign w:val="superscript"/>
          <w:lang w:eastAsia="zh-CN"/>
        </w:rPr>
        <w:t>53</w:t>
      </w:r>
    </w:p>
    <w:p w14:paraId="440B9506">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医疗器械开发工具（MDDT）</w:t>
      </w:r>
    </w:p>
    <w:p w14:paraId="0B60DE66">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MDDT是指用于评估医疗器械的有效性、安全性或性能的方法、材料或测量。MDDT是可用于简化器械开发和监管评价的工具。经鉴定，MDDT被视为支持FDA在规定的使用情境下对器械作出监管决策的有效工具。有效利用经过鉴定的MDDT可降低器械开发成本并缩短FDA审查时间，因为此类方法可在FDA无需每次审查其有效性的情况下使用。例如，FDA对患者报告的两份可用于支持器械监管申请的结局调查问卷进行了审查。</w:t>
      </w:r>
      <w:r>
        <w:rPr>
          <w:rFonts w:eastAsia="宋体" w:cs="宋体"/>
          <w:sz w:val="21"/>
          <w:vertAlign w:val="superscript"/>
          <w:lang w:eastAsia="zh-CN"/>
        </w:rPr>
        <w:t>54</w:t>
      </w:r>
      <w:r>
        <w:rPr>
          <w:rFonts w:eastAsia="宋体" w:cs="宋体"/>
          <w:sz w:val="21"/>
          <w:lang w:eastAsia="zh-CN"/>
        </w:rPr>
        <w:t>有关MDDT的更多信息，请参见FDA指南文件《</w:t>
      </w:r>
      <w:r>
        <w:rPr>
          <w:rFonts w:eastAsia="宋体" w:cs="宋体"/>
          <w:color w:val="0000FF"/>
          <w:sz w:val="21"/>
          <w:u w:val="single"/>
          <w:lang w:eastAsia="zh-CN"/>
        </w:rPr>
        <w:t>医疗器械研发工具的认证</w:t>
      </w:r>
      <w:r>
        <w:rPr>
          <w:rFonts w:eastAsia="宋体" w:cs="宋体"/>
          <w:sz w:val="21"/>
          <w:lang w:eastAsia="zh-CN"/>
        </w:rPr>
        <w:t>》。</w:t>
      </w:r>
      <w:r>
        <w:rPr>
          <w:rFonts w:eastAsia="宋体" w:cs="宋体"/>
          <w:sz w:val="21"/>
          <w:vertAlign w:val="superscript"/>
          <w:lang w:eastAsia="zh-CN"/>
        </w:rPr>
        <w:t>55</w:t>
      </w:r>
    </w:p>
    <w:p w14:paraId="1E40B304">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医疗器械报告（MDR）</w:t>
      </w:r>
    </w:p>
    <w:p w14:paraId="332070A1">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通过改进现有流程，已经减轻了一些MDR负担。已经实施电子MDR（eMDR）系统，可以快速跟踪MDR的生成、申请和审评。使用eMDR可以加快报告处理速度，减轻行业、FDA、医疗机构和进口商的数据输入负担。有关eMDR的更多信息，请参见FDA指南文件《</w:t>
      </w:r>
      <w:r>
        <w:rPr>
          <w:rFonts w:eastAsia="宋体" w:cs="宋体"/>
          <w:color w:val="0000FF"/>
          <w:sz w:val="21"/>
          <w:u w:val="single"/>
          <w:lang w:eastAsia="zh-CN"/>
        </w:rPr>
        <w:t>关于电子医疗器械报告（eMDR）的问答</w:t>
      </w:r>
      <w:r>
        <w:rPr>
          <w:rFonts w:eastAsia="宋体" w:cs="宋体"/>
          <w:sz w:val="21"/>
          <w:lang w:eastAsia="zh-CN"/>
        </w:rPr>
        <w:t>》。</w:t>
      </w:r>
      <w:r>
        <w:rPr>
          <w:rFonts w:eastAsia="宋体" w:cs="宋体"/>
          <w:sz w:val="21"/>
          <w:vertAlign w:val="superscript"/>
          <w:lang w:eastAsia="zh-CN"/>
        </w:rPr>
        <w:t>56</w:t>
      </w:r>
    </w:p>
    <w:p w14:paraId="7E8D9199">
      <w:pPr>
        <w:pStyle w:val="6"/>
        <w:adjustRightInd w:val="0"/>
        <w:snapToGrid w:val="0"/>
        <w:spacing w:before="3960" w:beforeLines="1650" w:line="300" w:lineRule="auto"/>
        <w:jc w:val="both"/>
        <w:rPr>
          <w:rFonts w:eastAsiaTheme="minorEastAsia"/>
          <w:sz w:val="21"/>
          <w:szCs w:val="21"/>
          <w:lang w:eastAsia="zh-CN"/>
        </w:rPr>
      </w:pPr>
      <w:r>
        <w:rPr>
          <w:rFonts w:eastAsia="宋体" w:cs="宋体"/>
          <w:sz w:val="21"/>
          <w:lang w:eastAsia="zh-CN"/>
        </w:rPr>
        <w:t>____________________</w:t>
      </w:r>
    </w:p>
    <w:p w14:paraId="181794DE">
      <w:pPr>
        <w:wordWrap w:val="0"/>
        <w:adjustRightInd w:val="0"/>
        <w:snapToGrid w:val="0"/>
        <w:spacing w:before="36" w:beforeLines="15" w:line="276" w:lineRule="auto"/>
        <w:jc w:val="both"/>
        <w:rPr>
          <w:rFonts w:eastAsia="宋体"/>
          <w:sz w:val="18"/>
          <w:szCs w:val="18"/>
          <w:lang w:eastAsia="zh-CN"/>
        </w:rPr>
      </w:pPr>
      <w:r>
        <w:rPr>
          <w:rFonts w:eastAsia="宋体"/>
          <w:sz w:val="18"/>
          <w:szCs w:val="18"/>
          <w:vertAlign w:val="superscript"/>
          <w:lang w:eastAsia="zh-CN"/>
        </w:rPr>
        <w:t>50</w:t>
      </w:r>
      <w:r>
        <w:rPr>
          <w:rFonts w:hint="eastAsia" w:eastAsia="宋体"/>
          <w:sz w:val="18"/>
          <w:szCs w:val="18"/>
          <w:lang w:eastAsia="zh-CN"/>
        </w:rPr>
        <w:t xml:space="preserve"> </w:t>
      </w:r>
      <w:bookmarkStart w:id="29" w:name="_bookmark62"/>
      <w:bookmarkEnd w:id="29"/>
      <w:r>
        <w:rPr>
          <w:rFonts w:eastAsia="宋体"/>
          <w:color w:val="0000FF"/>
          <w:sz w:val="18"/>
          <w:szCs w:val="18"/>
          <w:u w:val="single" w:color="0000FF"/>
          <w:lang w:eastAsia="zh-CN"/>
        </w:rPr>
        <w:t>https://www.fda.gov/downloads/MedicalDevices/DeviceRegulationandGuidance/GuidanceDocuments/ucm080189.p</w:t>
      </w:r>
      <w:r>
        <w:rPr>
          <w:rFonts w:eastAsia="宋体"/>
          <w:color w:val="0000FF"/>
          <w:sz w:val="18"/>
          <w:szCs w:val="18"/>
          <w:u w:val="single"/>
          <w:lang w:eastAsia="zh-CN"/>
        </w:rPr>
        <w:t xml:space="preserve"> df</w:t>
      </w:r>
      <w:r>
        <w:rPr>
          <w:rFonts w:eastAsia="宋体"/>
          <w:sz w:val="18"/>
          <w:szCs w:val="18"/>
          <w:u w:val="single"/>
          <w:lang w:eastAsia="zh-CN"/>
        </w:rPr>
        <w:t>.</w:t>
      </w:r>
    </w:p>
    <w:p w14:paraId="5BB6CCE8">
      <w:pPr>
        <w:wordWrap w:val="0"/>
        <w:adjustRightInd w:val="0"/>
        <w:snapToGrid w:val="0"/>
        <w:spacing w:before="36" w:beforeLines="15" w:line="276" w:lineRule="auto"/>
        <w:jc w:val="both"/>
        <w:rPr>
          <w:rFonts w:eastAsia="宋体"/>
          <w:sz w:val="18"/>
          <w:szCs w:val="18"/>
          <w:lang w:eastAsia="zh-CN"/>
        </w:rPr>
      </w:pPr>
      <w:r>
        <w:rPr>
          <w:rFonts w:eastAsia="宋体"/>
          <w:sz w:val="18"/>
          <w:szCs w:val="18"/>
          <w:vertAlign w:val="superscript"/>
          <w:lang w:eastAsia="zh-CN"/>
        </w:rPr>
        <w:t>51</w:t>
      </w:r>
      <w:bookmarkStart w:id="30" w:name="_bookmark63"/>
      <w:bookmarkEnd w:id="30"/>
      <w:bookmarkStart w:id="31" w:name="_bookmark64"/>
      <w:bookmarkEnd w:id="31"/>
      <w:r>
        <w:rPr>
          <w:rFonts w:eastAsia="宋体"/>
          <w:sz w:val="18"/>
          <w:szCs w:val="18"/>
          <w:lang w:eastAsia="zh-CN"/>
        </w:rPr>
        <w:t xml:space="preserve"> </w:t>
      </w:r>
      <w:r>
        <w:rPr>
          <w:rFonts w:eastAsia="宋体"/>
          <w:color w:val="0000FF"/>
          <w:sz w:val="18"/>
          <w:szCs w:val="18"/>
          <w:u w:val="single"/>
          <w:lang w:eastAsia="zh-CN"/>
        </w:rPr>
        <w:t>https://www.fda.gov/MedicalDevices/DeviceRegulationandGuidance/GuidanceDocuments/UCM089398</w:t>
      </w:r>
      <w:r>
        <w:rPr>
          <w:rFonts w:eastAsia="宋体"/>
          <w:sz w:val="18"/>
          <w:szCs w:val="18"/>
          <w:u w:val="single"/>
          <w:lang w:eastAsia="zh-CN"/>
        </w:rPr>
        <w:t>.</w:t>
      </w:r>
    </w:p>
    <w:p w14:paraId="0EDFCC55">
      <w:pPr>
        <w:wordWrap w:val="0"/>
        <w:adjustRightInd w:val="0"/>
        <w:snapToGrid w:val="0"/>
        <w:spacing w:before="36" w:beforeLines="15" w:line="276" w:lineRule="auto"/>
        <w:jc w:val="both"/>
        <w:rPr>
          <w:rFonts w:eastAsia="宋体"/>
          <w:sz w:val="18"/>
          <w:szCs w:val="18"/>
          <w:lang w:eastAsia="zh-CN"/>
        </w:rPr>
      </w:pPr>
      <w:r>
        <w:rPr>
          <w:rFonts w:eastAsia="宋体" w:cs="宋体"/>
          <w:sz w:val="18"/>
          <w:vertAlign w:val="superscript"/>
          <w:lang w:eastAsia="zh-CN"/>
        </w:rPr>
        <w:t>52</w:t>
      </w:r>
      <w:r>
        <w:rPr>
          <w:rFonts w:eastAsia="宋体" w:cs="宋体"/>
          <w:sz w:val="18"/>
          <w:lang w:eastAsia="zh-CN"/>
        </w:rPr>
        <w:t xml:space="preserve"> 更多信息，请登录以下网址获取：</w:t>
      </w:r>
      <w:r>
        <w:rPr>
          <w:rFonts w:eastAsia="宋体" w:cs="宋体"/>
          <w:color w:val="0000FF"/>
          <w:sz w:val="18"/>
          <w:u w:val="single"/>
          <w:lang w:eastAsia="zh-CN"/>
        </w:rPr>
        <w:t>https://www.fda.gov/downloads/MedicalDevices/DeviceRegulationandGuidance/PostmarketRequirements/RecallsC orrectionsAndRemovals/UCM573289.pdf</w:t>
      </w:r>
      <w:r>
        <w:rPr>
          <w:rFonts w:eastAsia="宋体" w:cs="宋体"/>
          <w:sz w:val="18"/>
          <w:lang w:eastAsia="zh-CN"/>
        </w:rPr>
        <w:t>。</w:t>
      </w:r>
    </w:p>
    <w:p w14:paraId="3AAE8982">
      <w:pPr>
        <w:wordWrap w:val="0"/>
        <w:adjustRightInd w:val="0"/>
        <w:snapToGrid w:val="0"/>
        <w:spacing w:before="36" w:beforeLines="15" w:line="276" w:lineRule="auto"/>
        <w:jc w:val="both"/>
        <w:rPr>
          <w:rFonts w:eastAsia="宋体"/>
          <w:color w:val="0000FF"/>
          <w:sz w:val="18"/>
          <w:szCs w:val="18"/>
          <w:lang w:eastAsia="zh-CN"/>
        </w:rPr>
      </w:pPr>
      <w:r>
        <w:rPr>
          <w:rFonts w:eastAsia="宋体" w:cs="宋体"/>
          <w:sz w:val="18"/>
          <w:vertAlign w:val="superscript"/>
        </w:rPr>
        <w:t>53</w:t>
      </w:r>
      <w:r>
        <w:rPr>
          <w:rFonts w:eastAsia="宋体" w:cs="宋体"/>
          <w:sz w:val="18"/>
        </w:rPr>
        <w:t>更多信息，请登录以下网址获取：</w:t>
      </w:r>
      <w:r>
        <w:rPr>
          <w:rFonts w:eastAsia="宋体" w:cs="宋体"/>
          <w:color w:val="0000FF"/>
          <w:sz w:val="18"/>
          <w:u w:val="single"/>
        </w:rPr>
        <w:t>https://www.fda.gov/medicaldevices/safety/reportingallegationsofregulatorymisconduct/default.htm</w:t>
      </w:r>
      <w:r>
        <w:rPr>
          <w:rFonts w:eastAsia="宋体" w:cs="宋体"/>
          <w:sz w:val="18"/>
        </w:rPr>
        <w:t>。</w:t>
      </w:r>
    </w:p>
    <w:p w14:paraId="54DE15A5">
      <w:pPr>
        <w:wordWrap w:val="0"/>
        <w:adjustRightInd w:val="0"/>
        <w:snapToGrid w:val="0"/>
        <w:spacing w:before="36" w:beforeLines="15" w:line="276" w:lineRule="auto"/>
        <w:jc w:val="both"/>
        <w:rPr>
          <w:rFonts w:eastAsia="宋体"/>
          <w:sz w:val="18"/>
          <w:szCs w:val="18"/>
          <w:lang w:val="de-DE"/>
        </w:rPr>
      </w:pPr>
      <w:r>
        <w:rPr>
          <w:rFonts w:eastAsia="宋体" w:cs="宋体"/>
          <w:sz w:val="18"/>
          <w:vertAlign w:val="superscript"/>
          <w:lang w:val="de-DE"/>
        </w:rPr>
        <w:t>54</w:t>
      </w:r>
      <w:r>
        <w:rPr>
          <w:rFonts w:eastAsia="宋体" w:cs="宋体"/>
          <w:sz w:val="18"/>
          <w:lang w:val="de-DE"/>
        </w:rPr>
        <w:t xml:space="preserve"> MDDT</w:t>
      </w:r>
      <w:r>
        <w:rPr>
          <w:rFonts w:eastAsia="宋体" w:cs="宋体"/>
          <w:sz w:val="18"/>
        </w:rPr>
        <w:t>鉴定决策摘要可登录以下网址获取</w:t>
      </w:r>
      <w:r>
        <w:rPr>
          <w:rFonts w:eastAsia="宋体" w:cs="宋体"/>
          <w:sz w:val="18"/>
          <w:lang w:val="de-DE"/>
        </w:rPr>
        <w:t>：</w:t>
      </w:r>
      <w:r>
        <w:rPr>
          <w:rFonts w:eastAsia="宋体" w:cs="宋体"/>
          <w:color w:val="0000FF"/>
          <w:sz w:val="18"/>
          <w:u w:val="single"/>
          <w:lang w:val="de-DE"/>
        </w:rPr>
        <w:t>https://www.fda.gov/downloads/MedicalDevices/ScienceandResearch/MedicalDeviceDevelopmentToolsMDDT/UC M604232.pdf</w:t>
      </w:r>
      <w:r>
        <w:rPr>
          <w:rFonts w:eastAsia="宋体" w:cs="宋体"/>
          <w:sz w:val="18"/>
          <w:u w:val="single"/>
        </w:rPr>
        <w:t>和</w:t>
      </w:r>
      <w:r>
        <w:rPr>
          <w:rFonts w:eastAsia="宋体" w:cs="宋体"/>
          <w:color w:val="0000FF"/>
          <w:sz w:val="18"/>
          <w:u w:val="single"/>
          <w:lang w:val="de-DE"/>
        </w:rPr>
        <w:t>https://www.fda.gov/downloads/MedicalDevices/ScienceandResearch/MedicalDeviceDevelopmentToolsMDDT/UC M581761.pdf</w:t>
      </w:r>
      <w:r>
        <w:rPr>
          <w:rFonts w:eastAsia="宋体" w:cs="宋体"/>
          <w:sz w:val="18"/>
        </w:rPr>
        <w:t>。</w:t>
      </w:r>
    </w:p>
    <w:p w14:paraId="66F1377A">
      <w:pPr>
        <w:wordWrap w:val="0"/>
        <w:adjustRightInd w:val="0"/>
        <w:snapToGrid w:val="0"/>
        <w:spacing w:before="36" w:beforeLines="15" w:line="276" w:lineRule="auto"/>
        <w:jc w:val="both"/>
        <w:rPr>
          <w:rFonts w:eastAsia="宋体"/>
          <w:sz w:val="18"/>
          <w:szCs w:val="18"/>
          <w:lang w:val="de-DE"/>
        </w:rPr>
      </w:pPr>
      <w:r>
        <w:rPr>
          <w:rFonts w:eastAsia="宋体"/>
          <w:sz w:val="18"/>
          <w:szCs w:val="18"/>
          <w:vertAlign w:val="superscript"/>
          <w:lang w:val="de-DE"/>
        </w:rPr>
        <w:t>55</w:t>
      </w:r>
      <w:r>
        <w:rPr>
          <w:rFonts w:eastAsia="宋体"/>
          <w:sz w:val="18"/>
          <w:szCs w:val="18"/>
          <w:lang w:val="de-DE"/>
        </w:rPr>
        <w:t xml:space="preserve"> </w:t>
      </w:r>
      <w:r>
        <w:rPr>
          <w:rFonts w:eastAsia="宋体"/>
          <w:color w:val="0000FF"/>
          <w:sz w:val="18"/>
          <w:szCs w:val="18"/>
          <w:u w:val="single" w:color="0000FF"/>
          <w:lang w:val="de-DE"/>
        </w:rPr>
        <w:t>https://www.fda.gov/MedicalDevices/DeviceRegulationandGuidance/GuidanceDocuments/UCM374432</w:t>
      </w:r>
      <w:r>
        <w:rPr>
          <w:rFonts w:eastAsia="宋体"/>
          <w:sz w:val="18"/>
          <w:szCs w:val="18"/>
          <w:lang w:val="de-DE"/>
        </w:rPr>
        <w:t>.</w:t>
      </w:r>
    </w:p>
    <w:p w14:paraId="4EEA29AC">
      <w:pPr>
        <w:rPr>
          <w:rFonts w:eastAsia="宋体"/>
          <w:sz w:val="2"/>
          <w:szCs w:val="2"/>
          <w:lang w:val="de-DE"/>
        </w:rPr>
      </w:pPr>
      <w:r>
        <w:rPr>
          <w:rFonts w:eastAsia="宋体"/>
          <w:sz w:val="2"/>
          <w:szCs w:val="2"/>
          <w:lang w:val="de-DE"/>
        </w:rPr>
        <w:br w:type="page"/>
      </w:r>
    </w:p>
    <w:p w14:paraId="084D89F9">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对于未豁免强制上报的个人和实体，可以申请采用汇总MDR报告的替代方法。FDA可能会批准采用替代方法，或者完全或部分豁免MDR法规要求。</w:t>
      </w:r>
      <w:r>
        <w:rPr>
          <w:rFonts w:eastAsia="宋体" w:cs="宋体"/>
          <w:sz w:val="21"/>
          <w:vertAlign w:val="superscript"/>
          <w:lang w:eastAsia="zh-CN"/>
        </w:rPr>
        <w:t>57</w:t>
      </w:r>
      <w:r>
        <w:rPr>
          <w:rFonts w:eastAsia="宋体" w:cs="宋体"/>
          <w:sz w:val="21"/>
          <w:lang w:eastAsia="zh-CN"/>
        </w:rPr>
        <w:t>举例来讲，制造商可能会申请每季度、每半年或每年提交一次报告，而不是在获知可报告事件后的30个日历日内提交报告。此外，制造商可以申请在报告中仅包含MDR法规要求的部分数据。通过将登记数据用于上市后监测，制造商可以申请采用汇总报告的替代方法，只须将某些特定不良事件上报至FDA。在某些情况下，FDA已允许制造商每个季度提交基于特定登记研究生成的MDR汇总报告。此类方法可简化行业医疗器械报告的起草和申请流程，也可简化FDA对医疗器械报告的审查流程，同时可通过更全面地了解须报告事件趋势来保持或提高医疗器械报告的质量、实用性和清晰度。有关替代总结和MDR总结报告的更多信息，请参见FDA指南文件《</w:t>
      </w:r>
      <w:r>
        <w:rPr>
          <w:rFonts w:eastAsia="宋体" w:cs="宋体"/>
          <w:color w:val="0000FF"/>
          <w:sz w:val="21"/>
          <w:u w:val="single"/>
          <w:lang w:eastAsia="zh-CN"/>
        </w:rPr>
        <w:t>医疗器械报告 – 替代总结报告（ASR）计划</w:t>
      </w:r>
      <w:r>
        <w:rPr>
          <w:rFonts w:eastAsia="宋体" w:cs="宋体"/>
          <w:sz w:val="21"/>
          <w:lang w:eastAsia="zh-CN"/>
        </w:rPr>
        <w:t>》</w:t>
      </w:r>
      <w:r>
        <w:rPr>
          <w:rFonts w:eastAsia="宋体" w:cs="宋体"/>
          <w:sz w:val="21"/>
          <w:vertAlign w:val="superscript"/>
          <w:lang w:eastAsia="zh-CN"/>
        </w:rPr>
        <w:t>58</w:t>
      </w:r>
      <w:r>
        <w:rPr>
          <w:rFonts w:eastAsia="宋体" w:cs="宋体"/>
          <w:sz w:val="21"/>
          <w:lang w:eastAsia="zh-CN"/>
        </w:rPr>
        <w:t>和《</w:t>
      </w:r>
      <w:r>
        <w:rPr>
          <w:rFonts w:eastAsia="宋体" w:cs="宋体"/>
          <w:color w:val="0000FF"/>
          <w:sz w:val="21"/>
          <w:u w:val="single"/>
          <w:lang w:eastAsia="zh-CN"/>
        </w:rPr>
        <w:t>制造商医疗器械报告</w:t>
      </w:r>
      <w:r>
        <w:rPr>
          <w:rFonts w:eastAsia="宋体" w:cs="宋体"/>
          <w:sz w:val="21"/>
          <w:lang w:eastAsia="zh-CN"/>
        </w:rPr>
        <w:t>》。</w:t>
      </w:r>
      <w:r>
        <w:rPr>
          <w:rFonts w:eastAsia="宋体" w:cs="宋体"/>
          <w:sz w:val="21"/>
          <w:vertAlign w:val="superscript"/>
          <w:lang w:eastAsia="zh-CN"/>
        </w:rPr>
        <w:t>59</w:t>
      </w:r>
    </w:p>
    <w:p w14:paraId="21B2CACF">
      <w:pPr>
        <w:pStyle w:val="6"/>
        <w:adjustRightInd w:val="0"/>
        <w:snapToGrid w:val="0"/>
        <w:spacing w:before="120" w:beforeLines="50" w:line="300" w:lineRule="auto"/>
        <w:ind w:left="1603" w:leftChars="400" w:hanging="723" w:hangingChars="300"/>
        <w:jc w:val="both"/>
        <w:outlineLvl w:val="1"/>
        <w:rPr>
          <w:b/>
          <w:szCs w:val="21"/>
          <w:lang w:eastAsia="zh-CN"/>
        </w:rPr>
      </w:pPr>
      <w:bookmarkStart w:id="32" w:name="_Toc91867539"/>
      <w:r>
        <w:rPr>
          <w:rFonts w:eastAsia="宋体" w:cs="宋体"/>
          <w:b/>
          <w:lang w:eastAsia="zh-CN"/>
        </w:rPr>
        <w:t>（4）</w:t>
      </w:r>
      <w:r>
        <w:rPr>
          <w:rFonts w:eastAsia="宋体" w:cs="宋体"/>
          <w:lang w:eastAsia="zh-CN"/>
        </w:rPr>
        <w:tab/>
      </w:r>
      <w:r>
        <w:rPr>
          <w:rFonts w:eastAsia="宋体" w:cs="宋体"/>
          <w:b/>
          <w:lang w:eastAsia="zh-CN"/>
        </w:rPr>
        <w:t>智能监管</w:t>
      </w:r>
      <w:bookmarkEnd w:id="32"/>
    </w:p>
    <w:p w14:paraId="631B2743">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应用最小负担原则时，应定期重新检查医疗器械监管范式，以确保现有监管流程仍然是最有效的，并且只需最少必要信息。根据FDA收到的新信息以及对技术的更好理解，FDA要求的最低信息量和类型可能会随时间推移发生变化。从科学和临床角度来看，随着对特定医疗技术更深入的了解，FDA应定期评估上市前申请中数据请求的适当性，评价上市前和上市后的平衡，确定器械是否是重新分类的待选器械，并视情况实施变更。此类评价可能有助于FDA关注首要的公共卫生问题。FDA可通过指南、书面命令或法规（视情况而定）传达此类变更。</w:t>
      </w:r>
    </w:p>
    <w:p w14:paraId="23BE1ACB">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510(k)豁免</w:t>
      </w:r>
    </w:p>
    <w:p w14:paraId="4F16B556">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重新检查监管流程的核心在于：考虑是否必须通过上市前申请来合理保证器械安全性和有效性。按照《FD&amp;C法案》（经《治愈法案》修正）的规定，FDA发布了关于大量II类和I类器械豁免510(k)要求的通知。</w:t>
      </w:r>
      <w:r>
        <w:rPr>
          <w:rFonts w:eastAsia="宋体" w:cs="宋体"/>
          <w:sz w:val="21"/>
          <w:vertAlign w:val="superscript"/>
          <w:lang w:eastAsia="zh-CN"/>
        </w:rPr>
        <w:t>60</w:t>
      </w:r>
      <w:r>
        <w:rPr>
          <w:rFonts w:eastAsia="宋体" w:cs="宋体"/>
          <w:sz w:val="21"/>
          <w:lang w:eastAsia="zh-CN"/>
        </w:rPr>
        <w:t>该法案还要求FDA定期公布无需提交510(k)申请来合理保证安全性和有效性的器械类型列表。</w:t>
      </w:r>
      <w:r>
        <w:rPr>
          <w:rFonts w:eastAsia="宋体" w:cs="宋体"/>
          <w:sz w:val="21"/>
          <w:vertAlign w:val="superscript"/>
          <w:lang w:eastAsia="zh-CN"/>
        </w:rPr>
        <w:t>61</w:t>
      </w:r>
    </w:p>
    <w:p w14:paraId="35378B0B">
      <w:pPr>
        <w:pStyle w:val="6"/>
        <w:adjustRightInd w:val="0"/>
        <w:snapToGrid w:val="0"/>
        <w:spacing w:before="4440" w:beforeLines="1850" w:line="300" w:lineRule="auto"/>
        <w:jc w:val="both"/>
        <w:rPr>
          <w:rFonts w:eastAsiaTheme="minorEastAsia"/>
          <w:sz w:val="21"/>
          <w:szCs w:val="21"/>
          <w:lang w:eastAsia="zh-CN"/>
        </w:rPr>
      </w:pPr>
      <w:r>
        <w:rPr>
          <w:rFonts w:eastAsia="宋体" w:cs="宋体"/>
          <w:sz w:val="21"/>
          <w:lang w:eastAsia="zh-CN"/>
        </w:rPr>
        <w:t>____________________</w:t>
      </w:r>
    </w:p>
    <w:p w14:paraId="2EDE06EE">
      <w:pPr>
        <w:adjustRightInd w:val="0"/>
        <w:snapToGrid w:val="0"/>
        <w:spacing w:before="36" w:beforeLines="15" w:line="276" w:lineRule="auto"/>
        <w:jc w:val="both"/>
        <w:rPr>
          <w:rFonts w:eastAsia="宋体"/>
          <w:sz w:val="18"/>
          <w:szCs w:val="18"/>
        </w:rPr>
      </w:pPr>
      <w:r>
        <w:rPr>
          <w:rFonts w:eastAsia="宋体"/>
          <w:sz w:val="18"/>
          <w:szCs w:val="18"/>
          <w:vertAlign w:val="superscript"/>
        </w:rPr>
        <w:t>56</w:t>
      </w:r>
      <w:bookmarkStart w:id="33" w:name="_bookmark69"/>
      <w:bookmarkEnd w:id="33"/>
      <w:r>
        <w:rPr>
          <w:rFonts w:hint="eastAsia" w:eastAsia="宋体"/>
          <w:sz w:val="18"/>
          <w:szCs w:val="18"/>
          <w:lang w:eastAsia="zh-CN"/>
        </w:rPr>
        <w:t xml:space="preserve"> </w:t>
      </w:r>
      <w:r>
        <w:rPr>
          <w:rFonts w:eastAsia="宋体"/>
          <w:color w:val="0000FF"/>
          <w:sz w:val="18"/>
          <w:szCs w:val="18"/>
          <w:u w:val="single" w:color="0000FF"/>
        </w:rPr>
        <w:t>https://www.fda.gov/downloads/MedicalDevices/DeviceRegulationandGuidance/GuidanceDocuments/ucm179471.p</w:t>
      </w:r>
      <w:r>
        <w:rPr>
          <w:rFonts w:eastAsia="宋体"/>
          <w:color w:val="0000FF"/>
          <w:sz w:val="18"/>
          <w:szCs w:val="18"/>
          <w:u w:val="single"/>
        </w:rPr>
        <w:t xml:space="preserve"> </w:t>
      </w:r>
      <w:r>
        <w:rPr>
          <w:rFonts w:eastAsia="宋体"/>
          <w:color w:val="0000FF"/>
          <w:sz w:val="18"/>
          <w:szCs w:val="18"/>
          <w:u w:val="single" w:color="0000FF"/>
        </w:rPr>
        <w:t>df</w:t>
      </w:r>
      <w:bookmarkStart w:id="34" w:name="_bookmark70"/>
      <w:bookmarkEnd w:id="34"/>
      <w:r>
        <w:rPr>
          <w:rFonts w:eastAsia="宋体"/>
          <w:sz w:val="18"/>
          <w:szCs w:val="18"/>
          <w:u w:val="single"/>
        </w:rPr>
        <w:t>.</w:t>
      </w:r>
    </w:p>
    <w:p w14:paraId="16BC9B73">
      <w:pPr>
        <w:adjustRightInd w:val="0"/>
        <w:snapToGrid w:val="0"/>
        <w:spacing w:before="36" w:beforeLines="15" w:line="276" w:lineRule="auto"/>
        <w:jc w:val="both"/>
        <w:rPr>
          <w:rFonts w:eastAsia="宋体"/>
          <w:sz w:val="18"/>
          <w:szCs w:val="18"/>
        </w:rPr>
      </w:pPr>
      <w:r>
        <w:rPr>
          <w:rFonts w:eastAsia="宋体"/>
          <w:sz w:val="18"/>
          <w:szCs w:val="18"/>
          <w:vertAlign w:val="superscript"/>
        </w:rPr>
        <w:t>57</w:t>
      </w:r>
      <w:r>
        <w:rPr>
          <w:rFonts w:eastAsia="宋体"/>
          <w:sz w:val="18"/>
          <w:szCs w:val="18"/>
        </w:rPr>
        <w:t xml:space="preserve"> 21 CFR 803.19.</w:t>
      </w:r>
    </w:p>
    <w:p w14:paraId="5CA44D16">
      <w:pPr>
        <w:adjustRightInd w:val="0"/>
        <w:snapToGrid w:val="0"/>
        <w:spacing w:before="36" w:beforeLines="15" w:line="276" w:lineRule="auto"/>
        <w:jc w:val="both"/>
        <w:rPr>
          <w:rFonts w:eastAsia="宋体"/>
          <w:sz w:val="18"/>
          <w:szCs w:val="18"/>
        </w:rPr>
      </w:pPr>
      <w:r>
        <w:rPr>
          <w:rFonts w:eastAsia="宋体"/>
          <w:sz w:val="18"/>
          <w:szCs w:val="18"/>
          <w:vertAlign w:val="superscript"/>
        </w:rPr>
        <w:t>58</w:t>
      </w:r>
      <w:r>
        <w:rPr>
          <w:rFonts w:hint="eastAsia" w:eastAsia="宋体"/>
          <w:sz w:val="18"/>
          <w:szCs w:val="18"/>
          <w:lang w:eastAsia="zh-CN"/>
        </w:rPr>
        <w:t xml:space="preserve"> </w:t>
      </w:r>
      <w:bookmarkStart w:id="35" w:name="_bookmark71"/>
      <w:bookmarkEnd w:id="35"/>
      <w:r>
        <w:rPr>
          <w:rFonts w:eastAsia="宋体"/>
          <w:color w:val="0000FF"/>
          <w:sz w:val="18"/>
          <w:szCs w:val="18"/>
          <w:u w:val="single" w:color="0000FF"/>
        </w:rPr>
        <w:t>https://www.fda.gov/downloads/MedicalDevices/DeviceRegulationandGuidance/GuidanceDocuments/ucm072102.p</w:t>
      </w:r>
      <w:r>
        <w:rPr>
          <w:rFonts w:eastAsia="宋体"/>
          <w:color w:val="0000FF"/>
          <w:sz w:val="18"/>
          <w:szCs w:val="18"/>
          <w:u w:val="single"/>
        </w:rPr>
        <w:t xml:space="preserve"> df</w:t>
      </w:r>
      <w:bookmarkStart w:id="36" w:name="_bookmark72"/>
      <w:bookmarkEnd w:id="36"/>
      <w:r>
        <w:rPr>
          <w:rFonts w:eastAsia="宋体"/>
          <w:sz w:val="18"/>
          <w:szCs w:val="18"/>
          <w:u w:val="single"/>
        </w:rPr>
        <w:t>.</w:t>
      </w:r>
    </w:p>
    <w:p w14:paraId="262E3BAE">
      <w:pPr>
        <w:adjustRightInd w:val="0"/>
        <w:snapToGrid w:val="0"/>
        <w:spacing w:before="36" w:beforeLines="15" w:line="276" w:lineRule="auto"/>
        <w:jc w:val="both"/>
        <w:rPr>
          <w:rFonts w:eastAsia="宋体"/>
          <w:b/>
          <w:sz w:val="21"/>
          <w:szCs w:val="21"/>
        </w:rPr>
      </w:pPr>
      <w:r>
        <w:rPr>
          <w:rFonts w:eastAsia="宋体"/>
          <w:sz w:val="18"/>
          <w:szCs w:val="18"/>
          <w:vertAlign w:val="superscript"/>
        </w:rPr>
        <w:t>59</w:t>
      </w:r>
      <w:r>
        <w:rPr>
          <w:rFonts w:eastAsia="宋体"/>
          <w:sz w:val="18"/>
          <w:szCs w:val="18"/>
        </w:rPr>
        <w:t xml:space="preserve"> </w:t>
      </w:r>
      <w:r>
        <w:rPr>
          <w:rFonts w:eastAsia="宋体"/>
          <w:color w:val="0000FF"/>
          <w:sz w:val="18"/>
          <w:szCs w:val="18"/>
          <w:u w:val="single"/>
        </w:rPr>
        <w:t>https://www.fda.gov/MedicalDevices/DeviceRegulationandGuidance/GuidanceDocuments/UCM359566</w:t>
      </w:r>
      <w:r>
        <w:rPr>
          <w:rFonts w:eastAsia="宋体"/>
          <w:sz w:val="18"/>
          <w:szCs w:val="18"/>
          <w:u w:val="single"/>
        </w:rPr>
        <w:t>.</w:t>
      </w:r>
      <w:bookmarkStart w:id="37" w:name="Global_harmonization"/>
      <w:bookmarkEnd w:id="37"/>
      <w:r>
        <w:rPr>
          <w:rFonts w:eastAsia="宋体"/>
          <w:b/>
          <w:sz w:val="21"/>
          <w:szCs w:val="21"/>
        </w:rPr>
        <w:br w:type="page"/>
      </w:r>
    </w:p>
    <w:p w14:paraId="56B45142">
      <w:pPr>
        <w:pStyle w:val="6"/>
        <w:adjustRightInd w:val="0"/>
        <w:snapToGrid w:val="0"/>
        <w:spacing w:before="120" w:beforeLines="50" w:line="300" w:lineRule="auto"/>
        <w:ind w:left="1603" w:leftChars="400" w:hanging="723" w:hangingChars="300"/>
        <w:jc w:val="both"/>
        <w:outlineLvl w:val="1"/>
        <w:rPr>
          <w:b/>
          <w:szCs w:val="21"/>
          <w:lang w:eastAsia="zh-CN"/>
        </w:rPr>
      </w:pPr>
      <w:bookmarkStart w:id="38" w:name="_Toc91867540"/>
      <w:r>
        <w:rPr>
          <w:rFonts w:eastAsia="宋体" w:cs="宋体"/>
          <w:b/>
          <w:lang w:eastAsia="zh-CN"/>
        </w:rPr>
        <w:t>（5）</w:t>
      </w:r>
      <w:r>
        <w:rPr>
          <w:rFonts w:eastAsia="宋体" w:cs="宋体"/>
          <w:lang w:eastAsia="zh-CN"/>
        </w:rPr>
        <w:tab/>
      </w:r>
      <w:r>
        <w:rPr>
          <w:rFonts w:eastAsia="宋体" w:cs="宋体"/>
          <w:b/>
          <w:lang w:eastAsia="zh-CN"/>
        </w:rPr>
        <w:t>全球协调</w:t>
      </w:r>
      <w:bookmarkEnd w:id="38"/>
    </w:p>
    <w:p w14:paraId="5E9E4304">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协调和监管融合是不同国家或地区的监管建议或要求通过国际指南文件、共识标准、政策和程序随时间推移趋于一致的过程。应将推动国际协调统一和法规趋同的工作视作通过使用最有效的方法达到监管目标的方式来实施最小负担概念。虽然美国的法律法规与其他国家的法规可能不尽相同，但在实际可行的情况下，FDA应与国际监管机构保持一致。</w:t>
      </w:r>
    </w:p>
    <w:p w14:paraId="787DDBD2">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依赖于自愿共识标准</w:t>
      </w:r>
    </w:p>
    <w:p w14:paraId="0F6712A9">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通过自愿共识标准的开发和FDA认可，FDA、行业和其他利益相关方可以就用于支持医疗器械安全有效使用的流程、方法和验收标准达成一致。FDA有意在参与自愿共识标准的开发和认可时考虑采用最小负担原则。标准的认可和适当使用可以简化FDA和行业之间的互动。如果标准获得了多家监管机构的认可和使用，则还可以通过创建一致的医疗器械开发、制造和评价方法来支持全球协调统一。</w:t>
      </w:r>
    </w:p>
    <w:p w14:paraId="00438B2E">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如果没有公认的共识标准，则需要提交并审评完整的检测方案和数据报告才能评价性能数据。通过提供FDA认可标准的符合性声明（明确有效可靠的试验方法），申请者和FDA可能不需要讨论试验方法是否具有科学有效性，并且可以将资源侧重于审查试验结果。如果共识标准包括明确的试验方法和性能限值和/或验收标准，则符合性声明可能会取代申请并审查上市前申请中的试验方法和完整数据。FDA批准了多项标准的符合性声明，不要求随附用以支持许多通用器械类型的监管申请的试验数据。更多信息，请参见《FD&amp;C法案》第514(c)节和FDA指南文件《</w:t>
      </w:r>
      <w:r>
        <w:rPr>
          <w:rFonts w:eastAsia="宋体" w:cs="宋体"/>
          <w:color w:val="0000FF"/>
          <w:sz w:val="21"/>
          <w:u w:val="single"/>
          <w:lang w:eastAsia="zh-CN"/>
        </w:rPr>
        <w:t>自愿共识标准在医疗器械上市前申请中的合理使用</w:t>
      </w:r>
      <w:r>
        <w:rPr>
          <w:rFonts w:eastAsia="宋体" w:cs="宋体"/>
          <w:sz w:val="21"/>
          <w:lang w:eastAsia="zh-CN"/>
        </w:rPr>
        <w:t>》。</w:t>
      </w:r>
      <w:r>
        <w:rPr>
          <w:rFonts w:eastAsia="宋体" w:cs="宋体"/>
          <w:sz w:val="21"/>
          <w:vertAlign w:val="superscript"/>
          <w:lang w:eastAsia="zh-CN"/>
        </w:rPr>
        <w:t>62</w:t>
      </w:r>
    </w:p>
    <w:p w14:paraId="3A3F1683">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国际医疗器械监管机构论坛（IMDRF）</w:t>
      </w:r>
    </w:p>
    <w:p w14:paraId="214F7F47">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FDA有意在促进开展协调工作（如参与IMDRF）时采用最小负担原则。IMDRF是一家由国际监管机构成立的自愿性质的组织，以全球协调工作组（GHTF）的既往成果为基础。协调符合最小负担原则，因为制造商无需重复开展工作即可满足多个国际监管机构的监管要求。FDA参与IMDRF是为了制定并推进器械监管的基本原则、国际公认的指南文件和审计实践，所有这些工作均支持跨多个监管辖区的融合。例如，包括试行监管申请的目录（ToC）格式。将上市申请所需内容的格式与国际监管机构的格式统一，可以简化申请者解决监管问题的工作。此外，FDA与各个IMDRF工作组的协调工作使上市前和上市后监管要求在临床评价和医疗器械独立软件（SaMD）质量管理体系以及不良事件报告术语等领域实现了国际协调。</w:t>
      </w:r>
    </w:p>
    <w:p w14:paraId="01D286F0">
      <w:pPr>
        <w:pStyle w:val="6"/>
        <w:adjustRightInd w:val="0"/>
        <w:snapToGrid w:val="0"/>
        <w:spacing w:before="2400" w:beforeLines="1000" w:line="300" w:lineRule="auto"/>
        <w:jc w:val="both"/>
        <w:rPr>
          <w:rFonts w:eastAsiaTheme="minorEastAsia"/>
          <w:sz w:val="21"/>
          <w:szCs w:val="21"/>
          <w:lang w:eastAsia="zh-CN"/>
        </w:rPr>
      </w:pPr>
      <w:r>
        <w:rPr>
          <w:rFonts w:eastAsia="宋体" w:cs="宋体"/>
          <w:sz w:val="21"/>
          <w:lang w:eastAsia="zh-CN"/>
        </w:rPr>
        <w:t>____________________</w:t>
      </w:r>
    </w:p>
    <w:p w14:paraId="048F44E3">
      <w:pPr>
        <w:adjustRightInd w:val="0"/>
        <w:snapToGrid w:val="0"/>
        <w:spacing w:before="36" w:beforeLines="15" w:line="276" w:lineRule="auto"/>
        <w:jc w:val="both"/>
        <w:rPr>
          <w:rFonts w:eastAsia="宋体" w:cs="宋体"/>
          <w:sz w:val="18"/>
          <w:lang w:eastAsia="zh-CN"/>
        </w:rPr>
      </w:pPr>
      <w:r>
        <w:rPr>
          <w:rFonts w:eastAsia="宋体" w:cs="宋体"/>
          <w:sz w:val="18"/>
          <w:vertAlign w:val="superscript"/>
          <w:lang w:eastAsia="zh-CN"/>
        </w:rPr>
        <w:t>60</w:t>
      </w:r>
      <w:r>
        <w:rPr>
          <w:rFonts w:eastAsia="宋体" w:cs="宋体"/>
          <w:sz w:val="18"/>
          <w:lang w:eastAsia="zh-CN"/>
        </w:rPr>
        <w:t xml:space="preserve"> 《FD&amp;C法案》第510(l</w:t>
      </w:r>
      <w:r>
        <w:rPr>
          <w:rFonts w:hint="eastAsia" w:eastAsia="宋体" w:cs="宋体"/>
          <w:sz w:val="18"/>
          <w:lang w:eastAsia="zh-CN"/>
        </w:rPr>
        <w:t>)</w:t>
      </w:r>
      <w:r>
        <w:rPr>
          <w:rFonts w:eastAsia="宋体" w:cs="宋体"/>
          <w:sz w:val="18"/>
          <w:lang w:eastAsia="zh-CN"/>
        </w:rPr>
        <w:t>(2)和</w:t>
      </w:r>
      <w:r>
        <w:rPr>
          <w:rFonts w:hint="eastAsia" w:eastAsia="宋体" w:cs="宋体"/>
          <w:sz w:val="18"/>
          <w:lang w:eastAsia="zh-CN"/>
        </w:rPr>
        <w:t>(</w:t>
      </w:r>
      <w:r>
        <w:rPr>
          <w:rFonts w:eastAsia="宋体" w:cs="宋体"/>
          <w:sz w:val="18"/>
          <w:lang w:eastAsia="zh-CN"/>
        </w:rPr>
        <w:t>m)(1)节。2017年4月13日（82 FR 17841）和2017年7月11日（82 FR 31976）的《联邦公报》分别发布了关于I类和II类器械的最终豁免通知。</w:t>
      </w:r>
    </w:p>
    <w:p w14:paraId="07526594">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61</w:t>
      </w:r>
      <w:r>
        <w:rPr>
          <w:rFonts w:eastAsia="宋体" w:cs="宋体"/>
          <w:sz w:val="18"/>
          <w:lang w:eastAsia="zh-CN"/>
        </w:rPr>
        <w:t>《FD&amp;C法案》第510(l</w:t>
      </w:r>
      <w:r>
        <w:rPr>
          <w:rFonts w:hint="eastAsia" w:eastAsia="宋体" w:cs="宋体"/>
          <w:sz w:val="18"/>
          <w:lang w:eastAsia="zh-CN"/>
        </w:rPr>
        <w:t>)</w:t>
      </w:r>
      <w:r>
        <w:rPr>
          <w:rFonts w:eastAsia="宋体" w:cs="宋体"/>
          <w:sz w:val="18"/>
          <w:lang w:eastAsia="zh-CN"/>
        </w:rPr>
        <w:t>(2)和</w:t>
      </w:r>
      <w:r>
        <w:rPr>
          <w:rFonts w:hint="eastAsia" w:eastAsia="宋体" w:cs="宋体"/>
          <w:sz w:val="18"/>
          <w:lang w:eastAsia="zh-CN"/>
        </w:rPr>
        <w:t>(</w:t>
      </w:r>
      <w:r>
        <w:rPr>
          <w:rFonts w:eastAsia="宋体" w:cs="宋体"/>
          <w:sz w:val="18"/>
          <w:lang w:eastAsia="zh-CN"/>
        </w:rPr>
        <w:t>m)(1)节。</w:t>
      </w:r>
    </w:p>
    <w:p w14:paraId="7F0F9035">
      <w:pPr>
        <w:adjustRightInd w:val="0"/>
        <w:snapToGrid w:val="0"/>
        <w:spacing w:before="36" w:beforeLines="15" w:line="276" w:lineRule="auto"/>
        <w:jc w:val="both"/>
        <w:rPr>
          <w:rFonts w:eastAsia="宋体"/>
          <w:b/>
          <w:sz w:val="21"/>
          <w:szCs w:val="21"/>
          <w:lang w:eastAsia="zh-CN"/>
        </w:rPr>
      </w:pPr>
      <w:r>
        <w:rPr>
          <w:rFonts w:eastAsia="宋体"/>
          <w:sz w:val="18"/>
          <w:szCs w:val="21"/>
          <w:vertAlign w:val="superscript"/>
          <w:lang w:eastAsia="zh-CN"/>
        </w:rPr>
        <w:t>62</w:t>
      </w:r>
      <w:bookmarkStart w:id="39" w:name="_bookmark76"/>
      <w:bookmarkEnd w:id="39"/>
      <w:r>
        <w:rPr>
          <w:rFonts w:eastAsia="宋体"/>
          <w:sz w:val="18"/>
          <w:szCs w:val="21"/>
          <w:lang w:eastAsia="zh-CN"/>
        </w:rPr>
        <w:t xml:space="preserve"> </w:t>
      </w:r>
      <w:r>
        <w:rPr>
          <w:rFonts w:eastAsia="宋体"/>
          <w:color w:val="0000FF"/>
          <w:sz w:val="18"/>
          <w:szCs w:val="21"/>
          <w:u w:val="single" w:color="0000FF"/>
          <w:lang w:eastAsia="zh-CN"/>
        </w:rPr>
        <w:t>https://www.fda.gov/MedicalDevices/DeviceRegulationandGuidance/GuidanceDocuments/UCM077295</w:t>
      </w:r>
      <w:r>
        <w:rPr>
          <w:rFonts w:eastAsia="宋体"/>
          <w:sz w:val="18"/>
          <w:szCs w:val="21"/>
          <w:lang w:eastAsia="zh-CN"/>
        </w:rPr>
        <w:t>.</w:t>
      </w:r>
      <w:r>
        <w:rPr>
          <w:rFonts w:eastAsia="宋体" w:cs="宋体"/>
          <w:b/>
          <w:sz w:val="21"/>
          <w:lang w:eastAsia="zh-CN"/>
        </w:rPr>
        <w:br w:type="page"/>
      </w:r>
    </w:p>
    <w:p w14:paraId="131C2DB5">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医疗器械单一稽查项目（MDSAP）</w:t>
      </w:r>
    </w:p>
    <w:p w14:paraId="3B122D47">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MDSAP是通过允许单次稽查来达到多个监管辖区要求而应用最小负担原则的项目。目的是在不同的国际监管机构分别启动稽查时，最大限度减少监管稽查的数量、潜在冗余请求或业务中断，从而减轻行业的监管负担。</w:t>
      </w:r>
    </w:p>
    <w:p w14:paraId="435FE34C">
      <w:pPr>
        <w:pStyle w:val="6"/>
        <w:adjustRightInd w:val="0"/>
        <w:snapToGrid w:val="0"/>
        <w:spacing w:before="120" w:beforeLines="50" w:line="300" w:lineRule="auto"/>
        <w:ind w:left="1283" w:leftChars="200" w:hanging="843" w:hangingChars="300"/>
        <w:jc w:val="both"/>
        <w:outlineLvl w:val="0"/>
        <w:rPr>
          <w:b/>
          <w:sz w:val="28"/>
          <w:szCs w:val="21"/>
          <w:lang w:eastAsia="zh-CN"/>
        </w:rPr>
      </w:pPr>
      <w:bookmarkStart w:id="40" w:name="_Toc91867541"/>
      <w:r>
        <w:rPr>
          <w:rFonts w:eastAsia="宋体" w:cs="宋体"/>
          <w:b/>
          <w:sz w:val="28"/>
          <w:lang w:eastAsia="zh-CN"/>
        </w:rPr>
        <w:t>C.</w:t>
      </w:r>
      <w:r>
        <w:rPr>
          <w:rFonts w:eastAsia="宋体" w:cs="宋体"/>
          <w:b/>
          <w:lang w:eastAsia="zh-CN"/>
        </w:rPr>
        <w:tab/>
      </w:r>
      <w:r>
        <w:rPr>
          <w:rFonts w:eastAsia="宋体" w:cs="宋体"/>
          <w:b/>
          <w:sz w:val="28"/>
          <w:lang w:eastAsia="zh-CN"/>
        </w:rPr>
        <w:t>适当时间</w:t>
      </w:r>
      <w:bookmarkEnd w:id="40"/>
    </w:p>
    <w:p w14:paraId="509FA0AB">
      <w:pPr>
        <w:pStyle w:val="6"/>
        <w:adjustRightInd w:val="0"/>
        <w:snapToGrid w:val="0"/>
        <w:spacing w:before="120" w:beforeLines="50" w:line="300" w:lineRule="auto"/>
        <w:ind w:left="1603" w:leftChars="400" w:hanging="723" w:hangingChars="300"/>
        <w:jc w:val="both"/>
        <w:outlineLvl w:val="1"/>
        <w:rPr>
          <w:b/>
          <w:szCs w:val="21"/>
          <w:lang w:eastAsia="zh-CN"/>
        </w:rPr>
      </w:pPr>
      <w:bookmarkStart w:id="41" w:name="_Toc91867542"/>
      <w:r>
        <w:rPr>
          <w:rFonts w:eastAsia="宋体" w:cs="宋体"/>
          <w:b/>
          <w:lang w:eastAsia="zh-CN"/>
        </w:rPr>
        <w:t>（1）</w:t>
      </w:r>
      <w:r>
        <w:rPr>
          <w:rFonts w:eastAsia="宋体" w:cs="宋体"/>
          <w:lang w:eastAsia="zh-CN"/>
        </w:rPr>
        <w:tab/>
      </w:r>
      <w:r>
        <w:rPr>
          <w:rFonts w:eastAsia="宋体" w:cs="宋体"/>
          <w:b/>
          <w:lang w:eastAsia="zh-CN"/>
        </w:rPr>
        <w:t>平衡上市前与上市后信息需求</w:t>
      </w:r>
      <w:bookmarkEnd w:id="41"/>
    </w:p>
    <w:p w14:paraId="16E39398">
      <w:pPr>
        <w:adjustRightInd w:val="0"/>
        <w:snapToGrid w:val="0"/>
        <w:spacing w:before="120" w:beforeLines="50" w:line="300" w:lineRule="auto"/>
        <w:jc w:val="both"/>
        <w:rPr>
          <w:rFonts w:eastAsia="宋体"/>
          <w:sz w:val="21"/>
          <w:szCs w:val="21"/>
          <w:lang w:eastAsia="zh-CN"/>
        </w:rPr>
      </w:pPr>
      <w:r>
        <w:rPr>
          <w:rFonts w:eastAsia="宋体" w:cs="宋体"/>
          <w:sz w:val="21"/>
          <w:lang w:eastAsia="zh-CN"/>
        </w:rPr>
        <w:t>在上市前与上市后信息需求之间努力寻求平衡是最小负担概念的一项指导原则。这一平衡的目的是在整个产品生命周期中的适当时间获取最少必要信息。正如背景（第II节）所讨论的情况，《FD&amp;C法案》要求FDA考虑到上市后信息在判定证明合理保证器械安全性和有效性的最小负担方法中的作用。</w:t>
      </w:r>
      <w:r>
        <w:rPr>
          <w:rFonts w:eastAsia="宋体" w:cs="宋体"/>
          <w:sz w:val="21"/>
          <w:vertAlign w:val="superscript"/>
          <w:lang w:eastAsia="zh-CN"/>
        </w:rPr>
        <w:t>63</w:t>
      </w:r>
      <w:r>
        <w:rPr>
          <w:rFonts w:eastAsia="宋体" w:cs="宋体"/>
          <w:sz w:val="21"/>
          <w:lang w:eastAsia="zh-CN"/>
        </w:rPr>
        <w:t>在适当情况下，针对所有医疗器械监管问题，FDA和行业应考虑到上市前与上市后信息需求之间的适当平衡。</w:t>
      </w:r>
    </w:p>
    <w:p w14:paraId="33A1EF08">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仅审评部分变更</w:t>
      </w:r>
    </w:p>
    <w:p w14:paraId="665BE450">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FDA和行业依赖于质量体系（QS）法规（《美国联邦法规》第21篇第820部分）是应用最小负担原则的另一示例。制造商可对已获许可的器械和标签进行某些设计变更，而无需根据《FD&amp;C法案》第510(k)节进行报告。这种方法平衡了510(k)监管器械的上市前和上市后信息，鼓励FDA和行业采用风险评估确定变更是否会显著影响安全性或有效性。更多信息，请参见FDA指南文件《</w:t>
      </w:r>
      <w:r>
        <w:rPr>
          <w:rFonts w:eastAsia="宋体" w:cs="宋体"/>
          <w:color w:val="0000FF"/>
          <w:sz w:val="21"/>
          <w:u w:val="single"/>
          <w:lang w:eastAsia="zh-CN"/>
        </w:rPr>
        <w:t>何时针对现有器械变更提交510(k)的决定</w:t>
      </w:r>
      <w:r>
        <w:rPr>
          <w:rFonts w:eastAsia="宋体" w:cs="宋体"/>
          <w:sz w:val="21"/>
          <w:lang w:eastAsia="zh-CN"/>
        </w:rPr>
        <w:t>》</w:t>
      </w:r>
      <w:r>
        <w:rPr>
          <w:rFonts w:eastAsia="宋体" w:cs="宋体"/>
          <w:sz w:val="21"/>
          <w:vertAlign w:val="superscript"/>
          <w:lang w:eastAsia="zh-CN"/>
        </w:rPr>
        <w:t>64</w:t>
      </w:r>
      <w:r>
        <w:rPr>
          <w:rFonts w:eastAsia="宋体" w:cs="宋体"/>
          <w:sz w:val="21"/>
          <w:lang w:eastAsia="zh-CN"/>
        </w:rPr>
        <w:t>和《</w:t>
      </w:r>
      <w:r>
        <w:rPr>
          <w:rFonts w:eastAsia="宋体" w:cs="宋体"/>
          <w:color w:val="0000FF"/>
          <w:sz w:val="21"/>
          <w:u w:val="single"/>
          <w:lang w:eastAsia="zh-CN"/>
        </w:rPr>
        <w:t>何时针对现有器械软件变更提交510(k)的决定</w:t>
      </w:r>
      <w:r>
        <w:rPr>
          <w:rFonts w:eastAsia="宋体" w:cs="宋体"/>
          <w:sz w:val="21"/>
          <w:lang w:eastAsia="zh-CN"/>
        </w:rPr>
        <w:t>》。</w:t>
      </w:r>
      <w:r>
        <w:rPr>
          <w:rFonts w:eastAsia="宋体" w:cs="宋体"/>
          <w:sz w:val="21"/>
          <w:vertAlign w:val="superscript"/>
          <w:lang w:eastAsia="zh-CN"/>
        </w:rPr>
        <w:t>65</w:t>
      </w:r>
    </w:p>
    <w:p w14:paraId="6E52CC2B">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整个产品生命周期的方法</w:t>
      </w:r>
    </w:p>
    <w:p w14:paraId="796F782A">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FDA应仅要求做出监管决策所必需的信息。在要求信息时，FDA应评估获取必要信息的恰当时间，并判断是否可以从上市前评价转换为上市后评价，同时仍然可以合理保证医疗器械的安全性和有效性。在判定器械上市销售的适用性时，可以考虑依赖于上市后控制措施，例如QS法规、批准后研究（PAS）、上市后监测和MDR。在一些情况下，FDA已经确定无需通过上市前审评来合理保证器械的安全性和有效性。举例来讲，豁免上市前审评的一些医疗器械可以依赖于QS法规和其他上市后控制措施来合理保证其安全性和有效性。</w:t>
      </w:r>
      <w:r>
        <w:rPr>
          <w:rFonts w:eastAsia="宋体" w:cs="宋体"/>
          <w:sz w:val="21"/>
          <w:vertAlign w:val="superscript"/>
          <w:lang w:eastAsia="zh-CN"/>
        </w:rPr>
        <w:t>66</w:t>
      </w:r>
    </w:p>
    <w:p w14:paraId="4461EED9">
      <w:pPr>
        <w:pStyle w:val="6"/>
        <w:adjustRightInd w:val="0"/>
        <w:snapToGrid w:val="0"/>
        <w:spacing w:before="3120" w:beforeLines="1300" w:line="300" w:lineRule="auto"/>
        <w:jc w:val="both"/>
        <w:rPr>
          <w:rFonts w:eastAsiaTheme="minorEastAsia"/>
          <w:sz w:val="21"/>
          <w:szCs w:val="21"/>
          <w:lang w:eastAsia="zh-CN"/>
        </w:rPr>
      </w:pPr>
      <w:r>
        <w:rPr>
          <w:rFonts w:eastAsia="宋体" w:cs="宋体"/>
          <w:sz w:val="21"/>
          <w:lang w:eastAsia="zh-CN"/>
        </w:rPr>
        <w:t>____________________</w:t>
      </w:r>
    </w:p>
    <w:p w14:paraId="7C14E3F4">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63</w:t>
      </w:r>
      <w:r>
        <w:rPr>
          <w:rFonts w:eastAsia="宋体" w:cs="宋体"/>
          <w:sz w:val="18"/>
          <w:lang w:eastAsia="zh-CN"/>
        </w:rPr>
        <w:t xml:space="preserve"> 《FD&amp;C法案》第515(c)(5)(c)节。</w:t>
      </w:r>
    </w:p>
    <w:p w14:paraId="487A01C6">
      <w:pPr>
        <w:adjustRightInd w:val="0"/>
        <w:snapToGrid w:val="0"/>
        <w:spacing w:before="36" w:beforeLines="15" w:line="276" w:lineRule="auto"/>
        <w:jc w:val="both"/>
        <w:rPr>
          <w:rFonts w:eastAsia="宋体"/>
          <w:sz w:val="18"/>
          <w:szCs w:val="21"/>
          <w:lang w:eastAsia="zh-CN"/>
        </w:rPr>
      </w:pPr>
      <w:r>
        <w:rPr>
          <w:rFonts w:eastAsia="宋体"/>
          <w:sz w:val="18"/>
          <w:szCs w:val="21"/>
          <w:vertAlign w:val="superscript"/>
          <w:lang w:eastAsia="zh-CN"/>
        </w:rPr>
        <w:t>64</w:t>
      </w:r>
      <w:r>
        <w:rPr>
          <w:rFonts w:eastAsia="宋体"/>
          <w:sz w:val="18"/>
          <w:szCs w:val="21"/>
          <w:lang w:eastAsia="zh-CN"/>
        </w:rPr>
        <w:t xml:space="preserve"> </w:t>
      </w:r>
      <w:r>
        <w:rPr>
          <w:rFonts w:eastAsia="宋体"/>
          <w:color w:val="0000FF"/>
          <w:sz w:val="18"/>
          <w:szCs w:val="21"/>
          <w:u w:val="single" w:color="0000FF"/>
          <w:lang w:eastAsia="zh-CN"/>
        </w:rPr>
        <w:t>https://www.fda.gov/MedicalDevices/DeviceRegulationandGuidance/GuidanceDocuments/UCM514771</w:t>
      </w:r>
      <w:r>
        <w:rPr>
          <w:rFonts w:eastAsia="宋体"/>
          <w:sz w:val="18"/>
          <w:szCs w:val="21"/>
          <w:lang w:eastAsia="zh-CN"/>
        </w:rPr>
        <w:t>.</w:t>
      </w:r>
    </w:p>
    <w:p w14:paraId="0BA2E5C5">
      <w:pPr>
        <w:adjustRightInd w:val="0"/>
        <w:snapToGrid w:val="0"/>
        <w:spacing w:before="36" w:beforeLines="15" w:line="276" w:lineRule="auto"/>
        <w:jc w:val="both"/>
        <w:rPr>
          <w:rFonts w:eastAsia="宋体"/>
          <w:b/>
          <w:sz w:val="21"/>
          <w:szCs w:val="21"/>
        </w:rPr>
      </w:pPr>
      <w:r>
        <w:rPr>
          <w:rFonts w:eastAsia="宋体"/>
          <w:sz w:val="18"/>
          <w:szCs w:val="21"/>
          <w:vertAlign w:val="superscript"/>
        </w:rPr>
        <w:t>65</w:t>
      </w:r>
      <w:bookmarkStart w:id="42" w:name="_bookmark81"/>
      <w:bookmarkEnd w:id="42"/>
      <w:r>
        <w:rPr>
          <w:rFonts w:eastAsia="宋体"/>
          <w:sz w:val="18"/>
          <w:szCs w:val="21"/>
        </w:rPr>
        <w:t xml:space="preserve"> </w:t>
      </w:r>
      <w:r>
        <w:rPr>
          <w:rFonts w:eastAsia="宋体"/>
          <w:color w:val="0000FF"/>
          <w:sz w:val="18"/>
          <w:szCs w:val="21"/>
          <w:u w:val="single" w:color="0000FF"/>
        </w:rPr>
        <w:t>https://www.fda.gov/MedicalDevices/DeviceRegulationandGuidance/GuidanceDocuments/UCM514737</w:t>
      </w:r>
      <w:r>
        <w:rPr>
          <w:rFonts w:eastAsia="宋体"/>
          <w:sz w:val="18"/>
          <w:szCs w:val="21"/>
        </w:rPr>
        <w:t>.</w:t>
      </w:r>
      <w:r>
        <w:rPr>
          <w:rFonts w:eastAsia="宋体" w:cs="宋体"/>
          <w:b/>
          <w:sz w:val="21"/>
        </w:rPr>
        <w:br w:type="page"/>
      </w:r>
    </w:p>
    <w:p w14:paraId="03556C12">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在其他情况下，可在上市后适当有效回答某些安全性和有效性问题。举例来讲，可以通过PAS解决无导线起搏器的长期安全性和有效性问题。在适当情况下，还可以在上市后完成关于伴随诊断（companion diagnostics）的长期结局的分析研究。</w:t>
      </w:r>
    </w:p>
    <w:p w14:paraId="7F1F962C">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作为FDA 2014-2015年战略重点《在上市前和上市后数据收集之间找到平衡点》的一部分，FDA对200个经过PMA审查的器械的产品代码进行了审查，旨在评估此类器械是否是上市前/上市后数据收集或重新分类转换的待选器械。初步审查已完成并发布在《联邦公报》上，旨在寻求利益相关方的意见。</w:t>
      </w:r>
      <w:r>
        <w:rPr>
          <w:rFonts w:eastAsia="宋体" w:cs="宋体"/>
          <w:sz w:val="21"/>
          <w:vertAlign w:val="superscript"/>
          <w:lang w:eastAsia="zh-CN"/>
        </w:rPr>
        <w:t>67</w:t>
      </w:r>
      <w:r>
        <w:rPr>
          <w:rFonts w:eastAsia="宋体" w:cs="宋体"/>
          <w:sz w:val="21"/>
          <w:lang w:eastAsia="zh-CN"/>
        </w:rPr>
        <w:t>根据此次审查的结果，在发布征求意见的拟议命令后，FDA根据《FD&amp;C法案》第510(k)节的上市前通知要求，发布了将唾液刺激器、锋利针头销毁器和一次性内置避孕套从III类器械（上市前批准）重新分类为II类器械（特殊控制）的最终命令。</w:t>
      </w:r>
      <w:r>
        <w:rPr>
          <w:rFonts w:eastAsia="宋体" w:cs="宋体"/>
          <w:sz w:val="21"/>
          <w:vertAlign w:val="superscript"/>
          <w:lang w:eastAsia="zh-CN"/>
        </w:rPr>
        <w:t>68</w:t>
      </w:r>
      <w:r>
        <w:rPr>
          <w:rFonts w:eastAsia="宋体" w:cs="宋体"/>
          <w:sz w:val="21"/>
          <w:lang w:eastAsia="zh-CN"/>
        </w:rPr>
        <w:t>根据FDASIA第608(c)节的规定，FDA维护了一个汇总有自2013年以来重新分类器械的网站。</w:t>
      </w:r>
      <w:r>
        <w:rPr>
          <w:rFonts w:eastAsia="宋体" w:cs="宋体"/>
          <w:sz w:val="21"/>
          <w:vertAlign w:val="superscript"/>
          <w:lang w:eastAsia="zh-CN"/>
        </w:rPr>
        <w:t>69</w:t>
      </w:r>
      <w:r>
        <w:rPr>
          <w:rFonts w:eastAsia="宋体" w:cs="宋体"/>
          <w:sz w:val="21"/>
          <w:lang w:eastAsia="zh-CN"/>
        </w:rPr>
        <w:t>有关FDA提出的上市前/上市后平衡方法以及实施该方法的器械具体示例的更多信息，请参见指南文件《</w:t>
      </w:r>
      <w:r>
        <w:rPr>
          <w:rFonts w:eastAsia="宋体" w:cs="宋体"/>
          <w:color w:val="0000FF"/>
          <w:sz w:val="21"/>
          <w:u w:val="single"/>
          <w:lang w:eastAsia="zh-CN"/>
        </w:rPr>
        <w:t>需要获得上市前批准的器械上市前和上市后数据收集的平衡</w:t>
      </w:r>
      <w:r>
        <w:rPr>
          <w:rFonts w:eastAsia="宋体" w:cs="宋体"/>
          <w:sz w:val="21"/>
          <w:lang w:eastAsia="zh-CN"/>
        </w:rPr>
        <w:t>》。</w:t>
      </w:r>
      <w:r>
        <w:rPr>
          <w:rFonts w:eastAsia="宋体" w:cs="宋体"/>
          <w:sz w:val="21"/>
          <w:vertAlign w:val="superscript"/>
          <w:lang w:eastAsia="zh-CN"/>
        </w:rPr>
        <w:t>70</w:t>
      </w:r>
    </w:p>
    <w:p w14:paraId="79D1198F">
      <w:pPr>
        <w:pStyle w:val="6"/>
        <w:adjustRightInd w:val="0"/>
        <w:snapToGrid w:val="0"/>
        <w:spacing w:before="120" w:beforeLines="50" w:line="300" w:lineRule="auto"/>
        <w:ind w:left="1603" w:leftChars="400" w:hanging="723" w:hangingChars="300"/>
        <w:jc w:val="both"/>
        <w:outlineLvl w:val="1"/>
        <w:rPr>
          <w:b/>
          <w:szCs w:val="21"/>
          <w:lang w:eastAsia="zh-CN"/>
        </w:rPr>
      </w:pPr>
      <w:bookmarkStart w:id="43" w:name="_Toc91867543"/>
      <w:r>
        <w:rPr>
          <w:rFonts w:eastAsia="宋体" w:cs="宋体"/>
          <w:b/>
          <w:lang w:eastAsia="zh-CN"/>
        </w:rPr>
        <w:t>（2）</w:t>
      </w:r>
      <w:r>
        <w:rPr>
          <w:rFonts w:eastAsia="宋体" w:cs="宋体"/>
          <w:lang w:eastAsia="zh-CN"/>
        </w:rPr>
        <w:tab/>
      </w:r>
      <w:r>
        <w:rPr>
          <w:rFonts w:eastAsia="宋体" w:cs="宋体"/>
          <w:b/>
          <w:lang w:eastAsia="zh-CN"/>
        </w:rPr>
        <w:t>适时试验</w:t>
      </w:r>
      <w:bookmarkEnd w:id="43"/>
    </w:p>
    <w:p w14:paraId="65CE725E">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早期可行性研究中的器械评价策略可用于促进适时原则在IDE申请中的应用。包括某些人类首次研究在内的早期可行性研究可能以比传统可行性研究或关键研究预期更少的非临床数据为依据。公司继续开展后续临床研究时，制造商可自行决定是否采用器械评价策略以公开透明的方式确立延期或额外非临床试验的时间表。FDA在早期可行性研究IDE方面的政策旨在促进在美国执行的器械开发过程中比以往更早地启动临床研究，同时确保研究针对其参与者采取可接受的人类受试者保护措施。更多信息，请参见指南文件《</w:t>
      </w:r>
      <w:r>
        <w:rPr>
          <w:rFonts w:eastAsia="宋体" w:cs="宋体"/>
          <w:color w:val="0000FF"/>
          <w:sz w:val="21"/>
          <w:u w:val="single"/>
          <w:lang w:eastAsia="zh-CN"/>
        </w:rPr>
        <w:t>早期可行性医疗器械临床研究（包括某些人类首次（FIH）研究）的试验用器械豁免（IDE）</w:t>
      </w:r>
      <w:r>
        <w:rPr>
          <w:rFonts w:eastAsia="宋体" w:cs="宋体"/>
          <w:sz w:val="21"/>
          <w:lang w:eastAsia="zh-CN"/>
        </w:rPr>
        <w:t>》。</w:t>
      </w:r>
      <w:r>
        <w:rPr>
          <w:rFonts w:eastAsia="宋体" w:cs="宋体"/>
          <w:sz w:val="21"/>
          <w:vertAlign w:val="superscript"/>
          <w:lang w:eastAsia="zh-CN"/>
        </w:rPr>
        <w:t>71</w:t>
      </w:r>
    </w:p>
    <w:p w14:paraId="3C065DE2">
      <w:pPr>
        <w:pStyle w:val="6"/>
        <w:adjustRightInd w:val="0"/>
        <w:snapToGrid w:val="0"/>
        <w:spacing w:before="4080" w:beforeLines="1700" w:line="300" w:lineRule="auto"/>
        <w:jc w:val="both"/>
        <w:rPr>
          <w:rFonts w:eastAsiaTheme="minorEastAsia"/>
          <w:sz w:val="21"/>
          <w:szCs w:val="21"/>
          <w:lang w:eastAsia="zh-CN"/>
        </w:rPr>
      </w:pPr>
      <w:r>
        <w:rPr>
          <w:rFonts w:eastAsia="宋体" w:cs="宋体"/>
          <w:sz w:val="21"/>
          <w:lang w:eastAsia="zh-CN"/>
        </w:rPr>
        <w:t>____________________</w:t>
      </w:r>
    </w:p>
    <w:p w14:paraId="5B4C89DB">
      <w:pPr>
        <w:wordWrap w:val="0"/>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66</w:t>
      </w:r>
      <w:r>
        <w:rPr>
          <w:rFonts w:eastAsia="宋体" w:cs="宋体"/>
          <w:sz w:val="18"/>
          <w:lang w:eastAsia="zh-CN"/>
        </w:rPr>
        <w:t>关于510(k)豁免器械的更多信息，可登录以下网址获取：</w:t>
      </w:r>
      <w:r>
        <w:rPr>
          <w:rFonts w:eastAsia="宋体" w:cs="宋体"/>
          <w:color w:val="0000FF"/>
          <w:sz w:val="18"/>
          <w:u w:val="single"/>
          <w:lang w:eastAsia="zh-CN"/>
        </w:rPr>
        <w:t>https://www.accessdata.fda.gov/scripts/cdrh/cfdocs/cfpcd/315.cfm</w:t>
      </w:r>
      <w:r>
        <w:rPr>
          <w:rFonts w:eastAsia="宋体" w:cs="宋体"/>
          <w:sz w:val="18"/>
          <w:lang w:eastAsia="zh-CN"/>
        </w:rPr>
        <w:t>。</w:t>
      </w:r>
    </w:p>
    <w:p w14:paraId="22517FD6">
      <w:pPr>
        <w:wordWrap w:val="0"/>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67</w:t>
      </w:r>
      <w:r>
        <w:rPr>
          <w:rFonts w:eastAsia="宋体" w:cs="宋体"/>
          <w:sz w:val="18"/>
          <w:lang w:eastAsia="zh-CN"/>
        </w:rPr>
        <w:t>通知分别于2015年4月29日（80 FR 23798）和2016年8月8日（81 FR 52445）发布。</w:t>
      </w:r>
    </w:p>
    <w:p w14:paraId="2BA1F016">
      <w:pPr>
        <w:wordWrap w:val="0"/>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68</w:t>
      </w:r>
      <w:r>
        <w:rPr>
          <w:rFonts w:eastAsia="宋体" w:cs="宋体"/>
          <w:sz w:val="18"/>
          <w:lang w:eastAsia="zh-CN"/>
        </w:rPr>
        <w:t xml:space="preserve"> 最终重新分类命令分别于2015年11月20日（80 FR 72585）、2018年5月4日（83 FR 19626）和2018年9月27日（83 FR 48711）发布。</w:t>
      </w:r>
    </w:p>
    <w:p w14:paraId="7E84506F">
      <w:pPr>
        <w:wordWrap w:val="0"/>
        <w:adjustRightInd w:val="0"/>
        <w:snapToGrid w:val="0"/>
        <w:spacing w:before="36" w:beforeLines="15" w:line="276" w:lineRule="auto"/>
        <w:jc w:val="both"/>
        <w:rPr>
          <w:rFonts w:eastAsia="宋体"/>
          <w:sz w:val="18"/>
          <w:szCs w:val="21"/>
        </w:rPr>
      </w:pPr>
      <w:r>
        <w:rPr>
          <w:rFonts w:eastAsia="宋体"/>
          <w:sz w:val="18"/>
          <w:szCs w:val="21"/>
          <w:vertAlign w:val="superscript"/>
        </w:rPr>
        <w:t>69</w:t>
      </w:r>
      <w:bookmarkStart w:id="44" w:name="_bookmark86"/>
      <w:bookmarkEnd w:id="44"/>
      <w:r>
        <w:rPr>
          <w:rFonts w:hint="eastAsia" w:eastAsia="宋体"/>
          <w:sz w:val="18"/>
          <w:szCs w:val="21"/>
          <w:lang w:eastAsia="zh-CN"/>
        </w:rPr>
        <w:t xml:space="preserve"> </w:t>
      </w:r>
      <w:r>
        <w:rPr>
          <w:rFonts w:eastAsia="宋体"/>
          <w:color w:val="0000FF"/>
          <w:sz w:val="18"/>
          <w:szCs w:val="21"/>
          <w:u w:val="single" w:color="0000FF"/>
        </w:rPr>
        <w:t>https://www.fda.gov/AboutFDA/CentersOffices/OfficeofMedicalProductsandTobacco/CDRH/CDRHTransparency/</w:t>
      </w:r>
      <w:r>
        <w:rPr>
          <w:rFonts w:eastAsia="宋体"/>
          <w:color w:val="0000FF"/>
          <w:sz w:val="18"/>
          <w:szCs w:val="21"/>
        </w:rPr>
        <w:t xml:space="preserve"> </w:t>
      </w:r>
      <w:r>
        <w:rPr>
          <w:rFonts w:eastAsia="宋体"/>
          <w:color w:val="0000FF"/>
          <w:sz w:val="18"/>
          <w:szCs w:val="21"/>
          <w:u w:val="single" w:color="0000FF"/>
        </w:rPr>
        <w:t>u</w:t>
      </w:r>
      <w:bookmarkStart w:id="45" w:name="_bookmark87"/>
      <w:bookmarkEnd w:id="45"/>
      <w:r>
        <w:rPr>
          <w:rFonts w:eastAsia="宋体"/>
          <w:color w:val="0000FF"/>
          <w:sz w:val="18"/>
          <w:szCs w:val="21"/>
          <w:u w:val="single" w:color="0000FF"/>
        </w:rPr>
        <w:t>cm378724.htm.</w:t>
      </w:r>
    </w:p>
    <w:p w14:paraId="350EA75D">
      <w:pPr>
        <w:wordWrap w:val="0"/>
        <w:adjustRightInd w:val="0"/>
        <w:snapToGrid w:val="0"/>
        <w:spacing w:before="36" w:beforeLines="15" w:line="276" w:lineRule="auto"/>
        <w:jc w:val="both"/>
        <w:rPr>
          <w:rFonts w:eastAsia="宋体"/>
          <w:sz w:val="18"/>
          <w:szCs w:val="21"/>
        </w:rPr>
      </w:pPr>
      <w:r>
        <w:rPr>
          <w:rFonts w:eastAsia="宋体"/>
          <w:sz w:val="18"/>
          <w:szCs w:val="21"/>
          <w:vertAlign w:val="superscript"/>
        </w:rPr>
        <w:t>70</w:t>
      </w:r>
      <w:r>
        <w:rPr>
          <w:rFonts w:eastAsia="宋体"/>
          <w:sz w:val="18"/>
          <w:szCs w:val="21"/>
        </w:rPr>
        <w:t xml:space="preserve"> </w:t>
      </w:r>
      <w:r>
        <w:rPr>
          <w:rFonts w:eastAsia="宋体"/>
          <w:color w:val="0000FF"/>
          <w:sz w:val="18"/>
          <w:szCs w:val="21"/>
          <w:u w:val="single" w:color="0000FF"/>
        </w:rPr>
        <w:t>https://www.fda.gov/MedicalDevices/DeviceRegulationandGuidance/GuidanceDocuments/UCM393994</w:t>
      </w:r>
      <w:r>
        <w:rPr>
          <w:rFonts w:eastAsia="宋体"/>
          <w:sz w:val="18"/>
          <w:szCs w:val="21"/>
        </w:rPr>
        <w:t>.</w:t>
      </w:r>
    </w:p>
    <w:p w14:paraId="0E376A23">
      <w:pPr>
        <w:rPr>
          <w:rFonts w:eastAsia="宋体"/>
          <w:sz w:val="2"/>
          <w:szCs w:val="2"/>
        </w:rPr>
      </w:pPr>
      <w:r>
        <w:rPr>
          <w:rFonts w:eastAsia="宋体"/>
          <w:sz w:val="2"/>
          <w:szCs w:val="2"/>
        </w:rPr>
        <w:br w:type="page"/>
      </w:r>
    </w:p>
    <w:p w14:paraId="7EEF81E6">
      <w:pPr>
        <w:pStyle w:val="6"/>
        <w:adjustRightInd w:val="0"/>
        <w:snapToGrid w:val="0"/>
        <w:spacing w:before="120" w:beforeLines="50" w:line="300" w:lineRule="auto"/>
        <w:ind w:left="843" w:hanging="843" w:hangingChars="300"/>
        <w:jc w:val="both"/>
        <w:outlineLvl w:val="0"/>
        <w:rPr>
          <w:b/>
          <w:sz w:val="28"/>
          <w:szCs w:val="21"/>
          <w:lang w:eastAsia="zh-CN"/>
        </w:rPr>
      </w:pPr>
      <w:bookmarkStart w:id="46" w:name="_Toc91867544"/>
      <w:r>
        <w:rPr>
          <w:rFonts w:eastAsia="宋体" w:cs="宋体"/>
          <w:b/>
          <w:sz w:val="28"/>
          <w:lang w:eastAsia="zh-CN"/>
        </w:rPr>
        <w:t>VI.</w:t>
      </w:r>
      <w:r>
        <w:rPr>
          <w:rFonts w:eastAsia="宋体" w:cs="宋体"/>
          <w:b/>
          <w:lang w:eastAsia="zh-CN"/>
        </w:rPr>
        <w:tab/>
      </w:r>
      <w:r>
        <w:rPr>
          <w:rFonts w:eastAsia="宋体" w:cs="宋体"/>
          <w:b/>
          <w:sz w:val="28"/>
          <w:lang w:eastAsia="zh-CN"/>
        </w:rPr>
        <w:t>支持最小负担概念目标的合规政策</w:t>
      </w:r>
      <w:bookmarkEnd w:id="46"/>
    </w:p>
    <w:p w14:paraId="455755CE">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通过使FDA和行业更高效、更有效利用资源，下列合规政策可有助于支持最小负担概念的目标。</w:t>
      </w:r>
    </w:p>
    <w:p w14:paraId="4283A66A">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执行自由裁量权政策</w:t>
      </w:r>
    </w:p>
    <w:p w14:paraId="4F93FD89">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针对某些情况，FDA已经发布了指南文件，指出FDA无意于检查某些产品是否符合《FD&amp;C法案》及其实施条例规定的器械上市前审评和上市后监管要求，其中包括但不限于：企业注册、产品列名和510(k)要求；标签要求；QS法规中的现行生产质量管理规范要求；以及MDR要求。</w:t>
      </w:r>
      <w:r>
        <w:rPr>
          <w:rFonts w:eastAsia="宋体" w:cs="宋体"/>
          <w:sz w:val="21"/>
          <w:vertAlign w:val="superscript"/>
          <w:lang w:eastAsia="zh-CN"/>
        </w:rPr>
        <w:t>72</w:t>
      </w:r>
      <w:r>
        <w:rPr>
          <w:rFonts w:eastAsia="宋体" w:cs="宋体"/>
          <w:sz w:val="21"/>
          <w:lang w:eastAsia="zh-CN"/>
        </w:rPr>
        <w:t>虽然此类指南不会改变或影响《FD&amp;C法案》或任何适用法规的任何要求，但FDA已将这一方法用于移动医疗应用程序和一般健康产品等产品，以便FDA可以重点监督功能可对患者造成高风险的医疗器械。更多信息，请参见FDA指南文件《</w:t>
      </w:r>
      <w:r>
        <w:rPr>
          <w:rFonts w:eastAsia="宋体" w:cs="宋体"/>
          <w:color w:val="0000FF"/>
          <w:sz w:val="21"/>
          <w:u w:val="single"/>
          <w:lang w:eastAsia="zh-CN"/>
        </w:rPr>
        <w:t>移动医疗应用程序</w:t>
      </w:r>
      <w:r>
        <w:rPr>
          <w:rFonts w:eastAsia="宋体" w:cs="宋体"/>
          <w:sz w:val="21"/>
          <w:lang w:eastAsia="zh-CN"/>
        </w:rPr>
        <w:t>》</w:t>
      </w:r>
      <w:r>
        <w:rPr>
          <w:rFonts w:eastAsia="宋体" w:cs="宋体"/>
          <w:sz w:val="21"/>
          <w:vertAlign w:val="superscript"/>
          <w:lang w:eastAsia="zh-CN"/>
        </w:rPr>
        <w:t>73</w:t>
      </w:r>
      <w:r>
        <w:rPr>
          <w:rFonts w:eastAsia="宋体" w:cs="宋体"/>
          <w:sz w:val="21"/>
          <w:lang w:eastAsia="zh-CN"/>
        </w:rPr>
        <w:t>和《</w:t>
      </w:r>
      <w:r>
        <w:rPr>
          <w:rFonts w:eastAsia="宋体" w:cs="宋体"/>
          <w:color w:val="0000FF"/>
          <w:sz w:val="21"/>
          <w:u w:val="single"/>
          <w:lang w:eastAsia="zh-CN"/>
        </w:rPr>
        <w:t>低风险器械的一般健康政策</w:t>
      </w:r>
      <w:r>
        <w:rPr>
          <w:rFonts w:eastAsia="宋体" w:cs="宋体"/>
          <w:sz w:val="21"/>
          <w:lang w:eastAsia="zh-CN"/>
        </w:rPr>
        <w:t>》。</w:t>
      </w:r>
      <w:r>
        <w:rPr>
          <w:rFonts w:eastAsia="宋体" w:cs="宋体"/>
          <w:sz w:val="21"/>
          <w:vertAlign w:val="superscript"/>
          <w:lang w:eastAsia="zh-CN"/>
        </w:rPr>
        <w:t>74</w:t>
      </w:r>
    </w:p>
    <w:p w14:paraId="7B72401E">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已上市器械的医疗必要性</w:t>
      </w:r>
    </w:p>
    <w:p w14:paraId="6912A672">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FDA已经认识到，即便器械无法达到某些监管要求，也可能会有益处。在对违规器械行使自由裁量权时，FDA会考虑到患者和临床医生的需求。在某些情况下，如果没有其他替代器械可用或更换为替代产品的风险大于违规器械相关风险，则FDA可以判定认为违规器械有医疗必要性。举例来讲，为了满足患者和临床医生的需要，FDA可以行使自由裁量权，而不对违规器械采取强制措施。FDA将基于受益-风险原则来做出这一判断，并在有新信息可用时进行重新分析。</w:t>
      </w:r>
    </w:p>
    <w:p w14:paraId="0B8864D2">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有关在合规性/执行决策中使用受益-风险的更多信息，请参见FDA指南文件《</w:t>
      </w:r>
      <w:r>
        <w:rPr>
          <w:rFonts w:eastAsia="宋体" w:cs="宋体"/>
          <w:color w:val="0000FF"/>
          <w:sz w:val="21"/>
          <w:u w:val="single"/>
          <w:lang w:eastAsia="zh-CN"/>
        </w:rPr>
        <w:t>在医疗器械产品可用性、合规性和执行决策中判定受益-风险时应考虑的因素</w:t>
      </w:r>
      <w:r>
        <w:rPr>
          <w:rFonts w:eastAsia="宋体" w:cs="宋体"/>
          <w:sz w:val="21"/>
          <w:lang w:eastAsia="zh-CN"/>
        </w:rPr>
        <w:t>》。</w:t>
      </w:r>
      <w:r>
        <w:rPr>
          <w:rFonts w:eastAsia="宋体" w:cs="宋体"/>
          <w:sz w:val="21"/>
          <w:vertAlign w:val="superscript"/>
          <w:lang w:eastAsia="zh-CN"/>
        </w:rPr>
        <w:t>75</w:t>
      </w:r>
    </w:p>
    <w:p w14:paraId="0A907401">
      <w:pPr>
        <w:pStyle w:val="6"/>
        <w:adjustRightInd w:val="0"/>
        <w:snapToGrid w:val="0"/>
        <w:spacing w:before="120" w:beforeLines="50" w:line="300" w:lineRule="auto"/>
        <w:jc w:val="both"/>
        <w:rPr>
          <w:rFonts w:eastAsia="宋体"/>
          <w:b/>
          <w:sz w:val="21"/>
          <w:szCs w:val="21"/>
          <w:lang w:eastAsia="zh-CN"/>
        </w:rPr>
      </w:pPr>
      <w:r>
        <w:rPr>
          <w:rFonts w:eastAsia="宋体" w:cs="宋体"/>
          <w:b/>
          <w:sz w:val="21"/>
          <w:lang w:eastAsia="zh-CN"/>
        </w:rPr>
        <w:t>关于现场观察报告的反馈</w:t>
      </w:r>
    </w:p>
    <w:p w14:paraId="62BF082D">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根据《2017年FDA再授权法案》（公法115-52）修订的《FD&amp;C法案》第704(h)(2)节的规定，器械企业可要求为响应检查期间记录的现场观察报告而采取的拟议措施进行反馈，根据《FD&amp;C法案》第704(b)节提供涉及公共卫生优先事项、牵连系统性或重大行动，或与新出现的安全问题有关的反馈。为响应此类请求，根据《FD&amp;C法案》第704(h)(2)节的规定，FDA会就针对现场观察报告而采取的拟议措施提供非约束性反馈。这可以让企业了解他们是否处于正确的轨道上，并能够解决不妥善处理可能升级为监管行动的问题。如果企业仅提供与现场观察报告相关的信息，并且整理此类信息是为了便于FDA进行审查，则此类相互作用可反映最小负担原则。</w:t>
      </w:r>
    </w:p>
    <w:p w14:paraId="55A9A0EE">
      <w:pPr>
        <w:pStyle w:val="6"/>
        <w:adjustRightInd w:val="0"/>
        <w:snapToGrid w:val="0"/>
        <w:spacing w:before="2640" w:beforeLines="1100" w:line="300" w:lineRule="auto"/>
        <w:jc w:val="both"/>
        <w:rPr>
          <w:rFonts w:eastAsiaTheme="minorEastAsia"/>
          <w:sz w:val="21"/>
          <w:szCs w:val="21"/>
          <w:lang w:eastAsia="zh-CN"/>
        </w:rPr>
      </w:pPr>
      <w:r>
        <w:rPr>
          <w:rFonts w:eastAsia="宋体" w:cs="宋体"/>
          <w:sz w:val="21"/>
        </w:rPr>
        <w:t>____________________</w:t>
      </w:r>
    </w:p>
    <w:p w14:paraId="678FAA98">
      <w:pPr>
        <w:adjustRightInd w:val="0"/>
        <w:snapToGrid w:val="0"/>
        <w:spacing w:before="36" w:beforeLines="15" w:line="276" w:lineRule="auto"/>
        <w:jc w:val="both"/>
        <w:rPr>
          <w:rFonts w:eastAsia="宋体"/>
          <w:sz w:val="18"/>
          <w:szCs w:val="21"/>
        </w:rPr>
      </w:pPr>
      <w:r>
        <w:rPr>
          <w:rFonts w:eastAsia="宋体"/>
          <w:sz w:val="18"/>
          <w:szCs w:val="21"/>
          <w:vertAlign w:val="superscript"/>
        </w:rPr>
        <w:t>71</w:t>
      </w:r>
      <w:bookmarkStart w:id="47" w:name="_bookmark89"/>
      <w:bookmarkEnd w:id="47"/>
      <w:r>
        <w:rPr>
          <w:rFonts w:eastAsia="宋体"/>
          <w:sz w:val="18"/>
          <w:szCs w:val="21"/>
        </w:rPr>
        <w:t xml:space="preserve"> </w:t>
      </w:r>
      <w:r>
        <w:rPr>
          <w:rFonts w:eastAsia="宋体"/>
          <w:color w:val="0000FF"/>
          <w:sz w:val="18"/>
          <w:szCs w:val="21"/>
          <w:u w:val="single" w:color="0000FF"/>
        </w:rPr>
        <w:t>https://www.fda.gov/MedicalDevices/DeviceRegulationandGuidance/GuidanceDocuments/UCM279103</w:t>
      </w:r>
      <w:r>
        <w:rPr>
          <w:rFonts w:eastAsia="宋体"/>
          <w:sz w:val="18"/>
          <w:szCs w:val="21"/>
        </w:rPr>
        <w:t>.</w:t>
      </w:r>
    </w:p>
    <w:p w14:paraId="0D9064C9">
      <w:pPr>
        <w:adjustRightInd w:val="0"/>
        <w:snapToGrid w:val="0"/>
        <w:spacing w:before="36" w:beforeLines="15" w:line="276" w:lineRule="auto"/>
        <w:jc w:val="both"/>
        <w:rPr>
          <w:rFonts w:eastAsia="宋体"/>
          <w:sz w:val="18"/>
          <w:szCs w:val="21"/>
          <w:lang w:eastAsia="zh-CN"/>
        </w:rPr>
      </w:pPr>
      <w:r>
        <w:rPr>
          <w:rFonts w:eastAsia="宋体" w:cs="宋体"/>
          <w:sz w:val="18"/>
          <w:vertAlign w:val="superscript"/>
          <w:lang w:eastAsia="zh-CN"/>
        </w:rPr>
        <w:t>72</w:t>
      </w:r>
      <w:r>
        <w:rPr>
          <w:rFonts w:eastAsia="宋体" w:cs="宋体"/>
          <w:sz w:val="18"/>
          <w:lang w:eastAsia="zh-CN"/>
        </w:rPr>
        <w:t xml:space="preserve"> 分别为《美国联邦法规》第21篇第807部分；第801和809.10部分；第820部分和第803部分。</w:t>
      </w:r>
    </w:p>
    <w:p w14:paraId="77772525">
      <w:pPr>
        <w:adjustRightInd w:val="0"/>
        <w:snapToGrid w:val="0"/>
        <w:spacing w:before="36" w:beforeLines="15" w:line="276" w:lineRule="auto"/>
        <w:jc w:val="both"/>
        <w:rPr>
          <w:rFonts w:eastAsia="宋体"/>
          <w:sz w:val="18"/>
          <w:szCs w:val="21"/>
        </w:rPr>
      </w:pPr>
      <w:r>
        <w:rPr>
          <w:rFonts w:eastAsia="宋体"/>
          <w:sz w:val="18"/>
          <w:szCs w:val="21"/>
          <w:vertAlign w:val="superscript"/>
        </w:rPr>
        <w:t>73</w:t>
      </w:r>
      <w:bookmarkStart w:id="48" w:name="_bookmark92"/>
      <w:bookmarkEnd w:id="48"/>
      <w:r>
        <w:rPr>
          <w:rFonts w:eastAsia="宋体"/>
          <w:sz w:val="18"/>
          <w:szCs w:val="21"/>
        </w:rPr>
        <w:t xml:space="preserve"> </w:t>
      </w:r>
      <w:r>
        <w:rPr>
          <w:rFonts w:eastAsia="宋体"/>
          <w:color w:val="0000FF"/>
          <w:sz w:val="18"/>
          <w:szCs w:val="21"/>
          <w:u w:val="single" w:color="0000FF"/>
        </w:rPr>
        <w:t>https://www.fda.gov/MedicalDevices/DeviceRegulationandGuidance/GuidanceDocuments/UCM263366</w:t>
      </w:r>
      <w:r>
        <w:rPr>
          <w:rFonts w:eastAsia="宋体"/>
          <w:sz w:val="18"/>
          <w:szCs w:val="21"/>
        </w:rPr>
        <w:t>.</w:t>
      </w:r>
    </w:p>
    <w:p w14:paraId="30D8EA23">
      <w:pPr>
        <w:adjustRightInd w:val="0"/>
        <w:snapToGrid w:val="0"/>
        <w:spacing w:before="36" w:beforeLines="15" w:line="276" w:lineRule="auto"/>
        <w:jc w:val="both"/>
        <w:rPr>
          <w:rFonts w:eastAsia="宋体"/>
          <w:sz w:val="18"/>
          <w:szCs w:val="21"/>
        </w:rPr>
      </w:pPr>
      <w:r>
        <w:rPr>
          <w:rFonts w:eastAsia="宋体"/>
          <w:sz w:val="18"/>
          <w:szCs w:val="21"/>
          <w:vertAlign w:val="superscript"/>
        </w:rPr>
        <w:t>74</w:t>
      </w:r>
      <w:r>
        <w:rPr>
          <w:rFonts w:eastAsia="宋体"/>
          <w:sz w:val="18"/>
          <w:szCs w:val="21"/>
        </w:rPr>
        <w:t xml:space="preserve"> </w:t>
      </w:r>
      <w:r>
        <w:rPr>
          <w:rFonts w:eastAsia="宋体"/>
          <w:color w:val="0000FF"/>
          <w:sz w:val="18"/>
          <w:szCs w:val="21"/>
          <w:u w:val="single" w:color="0000FF"/>
        </w:rPr>
        <w:t>https://www.fda.gov/MedicalDevices/DeviceRegulationandGuidance/GuidanceDocuments/UCM429674</w:t>
      </w:r>
      <w:r>
        <w:rPr>
          <w:rFonts w:eastAsia="宋体"/>
          <w:sz w:val="18"/>
          <w:szCs w:val="21"/>
        </w:rPr>
        <w:t>.</w:t>
      </w:r>
    </w:p>
    <w:p w14:paraId="0C9B178F">
      <w:pPr>
        <w:adjustRightInd w:val="0"/>
        <w:snapToGrid w:val="0"/>
        <w:spacing w:before="36" w:beforeLines="15" w:line="276" w:lineRule="auto"/>
        <w:jc w:val="both"/>
        <w:rPr>
          <w:rFonts w:eastAsia="宋体"/>
          <w:b/>
          <w:sz w:val="21"/>
          <w:szCs w:val="21"/>
        </w:rPr>
      </w:pPr>
      <w:r>
        <w:rPr>
          <w:rFonts w:eastAsia="宋体" w:cs="宋体"/>
          <w:sz w:val="18"/>
          <w:vertAlign w:val="superscript"/>
        </w:rPr>
        <w:t>75</w:t>
      </w:r>
      <w:r>
        <w:rPr>
          <w:rFonts w:eastAsia="宋体" w:cs="宋体"/>
          <w:sz w:val="18"/>
        </w:rPr>
        <w:t xml:space="preserve"> </w:t>
      </w:r>
      <w:r>
        <w:rPr>
          <w:rFonts w:eastAsia="宋体" w:cs="宋体"/>
          <w:color w:val="0000FF"/>
          <w:sz w:val="18"/>
          <w:u w:val="single"/>
        </w:rPr>
        <w:t>https://www.fda.gov/MedicalDevices/DeviceRegulationandGuidance/GuidanceDocuments/UCM506679</w:t>
      </w:r>
      <w:r>
        <w:rPr>
          <w:rFonts w:eastAsia="宋体" w:cs="宋体"/>
          <w:sz w:val="18"/>
        </w:rPr>
        <w:t>。</w:t>
      </w:r>
      <w:r>
        <w:rPr>
          <w:rFonts w:eastAsia="宋体" w:cs="宋体"/>
          <w:b/>
          <w:sz w:val="21"/>
        </w:rPr>
        <w:br w:type="page"/>
      </w:r>
    </w:p>
    <w:p w14:paraId="34E3906F">
      <w:pPr>
        <w:pStyle w:val="6"/>
        <w:adjustRightInd w:val="0"/>
        <w:snapToGrid w:val="0"/>
        <w:spacing w:before="120" w:beforeLines="50" w:line="300" w:lineRule="auto"/>
        <w:ind w:left="843" w:hanging="843" w:hangingChars="300"/>
        <w:jc w:val="both"/>
        <w:outlineLvl w:val="0"/>
        <w:rPr>
          <w:b/>
          <w:sz w:val="28"/>
          <w:szCs w:val="21"/>
          <w:lang w:eastAsia="zh-CN"/>
        </w:rPr>
      </w:pPr>
      <w:bookmarkStart w:id="49" w:name="_Toc91867545"/>
      <w:r>
        <w:rPr>
          <w:rFonts w:eastAsia="宋体" w:cs="宋体"/>
          <w:b/>
          <w:sz w:val="28"/>
          <w:lang w:eastAsia="zh-CN"/>
        </w:rPr>
        <w:t>VII.</w:t>
      </w:r>
      <w:r>
        <w:rPr>
          <w:rFonts w:eastAsia="宋体" w:cs="宋体"/>
          <w:b/>
          <w:lang w:eastAsia="zh-CN"/>
        </w:rPr>
        <w:tab/>
      </w:r>
      <w:r>
        <w:rPr>
          <w:rFonts w:eastAsia="宋体" w:cs="宋体"/>
          <w:b/>
          <w:sz w:val="28"/>
          <w:lang w:eastAsia="zh-CN"/>
        </w:rPr>
        <w:t>结论</w:t>
      </w:r>
      <w:bookmarkEnd w:id="49"/>
    </w:p>
    <w:p w14:paraId="1928B0BE">
      <w:pPr>
        <w:pStyle w:val="6"/>
        <w:adjustRightInd w:val="0"/>
        <w:snapToGrid w:val="0"/>
        <w:spacing w:before="120" w:beforeLines="50" w:line="300" w:lineRule="auto"/>
        <w:jc w:val="both"/>
        <w:rPr>
          <w:rFonts w:eastAsia="宋体"/>
          <w:sz w:val="21"/>
          <w:szCs w:val="21"/>
          <w:lang w:eastAsia="zh-CN"/>
        </w:rPr>
      </w:pPr>
      <w:r>
        <w:rPr>
          <w:rFonts w:eastAsia="宋体" w:cs="宋体"/>
          <w:sz w:val="21"/>
          <w:lang w:eastAsia="zh-CN"/>
        </w:rPr>
        <w:t>本指南反映了在整个产品生命周期中医疗器械监管均应遵循最小负担原则。FDA计划要求在适当的时间以最有效的方式充分解决相关监管问题或事项所需的最少量信息。行业应按照FDA审评最小负担原则向FDA提交信息。FDA与行业之间的开放沟通渠道将提供最有益于患者的监管</w:t>
      </w:r>
      <w:r>
        <w:rPr>
          <w:rFonts w:hint="eastAsia" w:eastAsia="宋体" w:cs="宋体"/>
          <w:sz w:val="21"/>
          <w:lang w:eastAsia="zh-CN"/>
        </w:rPr>
        <w:t>结果</w:t>
      </w:r>
      <w:r>
        <w:rPr>
          <w:rFonts w:eastAsia="宋体" w:cs="宋体"/>
          <w:sz w:val="21"/>
          <w:lang w:eastAsia="zh-CN"/>
        </w:rPr>
        <w:t>。成功实施最小负担原则将确保患者获得高质量、安全、有效的医疗器械。</w:t>
      </w:r>
    </w:p>
    <w:p w14:paraId="1D55416B">
      <w:pPr>
        <w:pBdr>
          <w:bottom w:val="single" w:color="auto" w:sz="4" w:space="1"/>
        </w:pBdr>
        <w:adjustRightInd w:val="0"/>
        <w:snapToGrid w:val="0"/>
        <w:spacing w:before="120" w:beforeLines="50" w:line="300" w:lineRule="auto"/>
        <w:jc w:val="center"/>
        <w:rPr>
          <w:rFonts w:hint="eastAsia" w:eastAsia="宋体"/>
          <w:lang w:eastAsia="zh-CN"/>
        </w:rPr>
      </w:pPr>
    </w:p>
    <w:p w14:paraId="275FCD5A">
      <w:pPr>
        <w:pBdr>
          <w:bottom w:val="single" w:color="auto" w:sz="4" w:space="1"/>
        </w:pBdr>
        <w:adjustRightInd w:val="0"/>
        <w:snapToGrid w:val="0"/>
        <w:spacing w:before="120" w:beforeLines="50" w:line="300" w:lineRule="auto"/>
        <w:jc w:val="center"/>
        <w:rPr>
          <w:rFonts w:hint="eastAsia" w:eastAsia="宋体"/>
          <w:lang w:eastAsia="zh-CN"/>
        </w:rPr>
      </w:pPr>
    </w:p>
    <w:p w14:paraId="3EBDDE2C">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6503">
    <w:pPr>
      <w:pStyle w:val="9"/>
      <w:jc w:val="right"/>
    </w:pPr>
    <w:r>
      <w:fldChar w:fldCharType="begin"/>
    </w:r>
    <w:r>
      <w:instrText xml:space="preserve">PAGE   \* MERGEFORMAT</w:instrText>
    </w:r>
    <w:r>
      <w:fldChar w:fldCharType="separate"/>
    </w:r>
    <w:r>
      <w:rPr>
        <w:lang w:val="zh-CN" w:eastAsia="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97B30">
    <w:pPr>
      <w:jc w:val="center"/>
      <w:rPr>
        <w:sz w:val="21"/>
        <w:szCs w:val="21"/>
        <w:lang w:eastAsia="zh-CN"/>
      </w:rPr>
    </w:pPr>
    <w:r>
      <w:rPr>
        <w:rFonts w:hint="eastAsia" w:eastAsia="宋体" w:cs="宋体"/>
        <w:b/>
        <w:i/>
        <w:sz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90870"/>
    <w:multiLevelType w:val="multilevel"/>
    <w:tmpl w:val="39890870"/>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A276E56"/>
    <w:multiLevelType w:val="multilevel"/>
    <w:tmpl w:val="4A276E56"/>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FA533AD"/>
    <w:multiLevelType w:val="multilevel"/>
    <w:tmpl w:val="4FA533AD"/>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C61754"/>
    <w:multiLevelType w:val="multilevel"/>
    <w:tmpl w:val="5EC61754"/>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1541EB6"/>
    <w:multiLevelType w:val="multilevel"/>
    <w:tmpl w:val="61541EB6"/>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9B17921"/>
    <w:multiLevelType w:val="multilevel"/>
    <w:tmpl w:val="69B17921"/>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64B"/>
    <w:rsid w:val="00090008"/>
    <w:rsid w:val="0009349D"/>
    <w:rsid w:val="00130FFA"/>
    <w:rsid w:val="0018423E"/>
    <w:rsid w:val="001B0260"/>
    <w:rsid w:val="001C71EA"/>
    <w:rsid w:val="00223BE0"/>
    <w:rsid w:val="00232A09"/>
    <w:rsid w:val="00252B90"/>
    <w:rsid w:val="00254D62"/>
    <w:rsid w:val="0026307E"/>
    <w:rsid w:val="00285B18"/>
    <w:rsid w:val="002C5706"/>
    <w:rsid w:val="003767C4"/>
    <w:rsid w:val="0039125A"/>
    <w:rsid w:val="00406B50"/>
    <w:rsid w:val="004D064B"/>
    <w:rsid w:val="004E0A08"/>
    <w:rsid w:val="00501BBF"/>
    <w:rsid w:val="0051277C"/>
    <w:rsid w:val="00541F51"/>
    <w:rsid w:val="00542A1A"/>
    <w:rsid w:val="005677DC"/>
    <w:rsid w:val="005B0A77"/>
    <w:rsid w:val="005E0C82"/>
    <w:rsid w:val="005E2D83"/>
    <w:rsid w:val="006004EE"/>
    <w:rsid w:val="00634269"/>
    <w:rsid w:val="00652D21"/>
    <w:rsid w:val="006C7931"/>
    <w:rsid w:val="006D77AA"/>
    <w:rsid w:val="006F55BA"/>
    <w:rsid w:val="00723463"/>
    <w:rsid w:val="0075510A"/>
    <w:rsid w:val="007A341C"/>
    <w:rsid w:val="007B7914"/>
    <w:rsid w:val="007C11B1"/>
    <w:rsid w:val="007C5F12"/>
    <w:rsid w:val="008A47F5"/>
    <w:rsid w:val="00905FC0"/>
    <w:rsid w:val="00914E2E"/>
    <w:rsid w:val="00937799"/>
    <w:rsid w:val="00963BC2"/>
    <w:rsid w:val="009B33EF"/>
    <w:rsid w:val="009E74CF"/>
    <w:rsid w:val="00A120C3"/>
    <w:rsid w:val="00A3068B"/>
    <w:rsid w:val="00B20932"/>
    <w:rsid w:val="00B2679C"/>
    <w:rsid w:val="00B32B5A"/>
    <w:rsid w:val="00B50D98"/>
    <w:rsid w:val="00B54517"/>
    <w:rsid w:val="00B76205"/>
    <w:rsid w:val="00B96B9B"/>
    <w:rsid w:val="00BC060A"/>
    <w:rsid w:val="00C278B0"/>
    <w:rsid w:val="00C329A2"/>
    <w:rsid w:val="00C4224C"/>
    <w:rsid w:val="00C57D82"/>
    <w:rsid w:val="00C635B0"/>
    <w:rsid w:val="00C64D44"/>
    <w:rsid w:val="00CC3431"/>
    <w:rsid w:val="00CE1A44"/>
    <w:rsid w:val="00CE2423"/>
    <w:rsid w:val="00CF25D5"/>
    <w:rsid w:val="00D22C61"/>
    <w:rsid w:val="00D91E0A"/>
    <w:rsid w:val="00D91EDA"/>
    <w:rsid w:val="00D95CA6"/>
    <w:rsid w:val="00DB718A"/>
    <w:rsid w:val="00DD0C5E"/>
    <w:rsid w:val="00DE35F4"/>
    <w:rsid w:val="00E46E1B"/>
    <w:rsid w:val="00E65E25"/>
    <w:rsid w:val="00EC5549"/>
    <w:rsid w:val="00EC6AC9"/>
    <w:rsid w:val="00ED15D0"/>
    <w:rsid w:val="00F10044"/>
    <w:rsid w:val="00F24B2F"/>
    <w:rsid w:val="00F35A19"/>
    <w:rsid w:val="00F36BE0"/>
    <w:rsid w:val="00F42415"/>
    <w:rsid w:val="00F86981"/>
    <w:rsid w:val="00FC3C89"/>
    <w:rsid w:val="299A51C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spacing w:before="98"/>
      <w:ind w:left="547" w:right="529" w:hanging="1392"/>
      <w:outlineLvl w:val="0"/>
    </w:pPr>
    <w:rPr>
      <w:b/>
      <w:bCs/>
      <w:sz w:val="56"/>
      <w:szCs w:val="56"/>
    </w:rPr>
  </w:style>
  <w:style w:type="paragraph" w:styleId="3">
    <w:name w:val="heading 2"/>
    <w:basedOn w:val="1"/>
    <w:qFormat/>
    <w:uiPriority w:val="1"/>
    <w:pPr>
      <w:ind w:left="960" w:hanging="720"/>
      <w:outlineLvl w:val="1"/>
    </w:pPr>
    <w:rPr>
      <w:b/>
      <w:bCs/>
      <w:sz w:val="36"/>
      <w:szCs w:val="36"/>
    </w:rPr>
  </w:style>
  <w:style w:type="paragraph" w:styleId="4">
    <w:name w:val="heading 3"/>
    <w:basedOn w:val="1"/>
    <w:qFormat/>
    <w:uiPriority w:val="1"/>
    <w:pPr>
      <w:spacing w:line="322" w:lineRule="exact"/>
      <w:ind w:left="2400" w:hanging="720"/>
      <w:outlineLvl w:val="2"/>
    </w:pPr>
    <w:rPr>
      <w:b/>
      <w:bCs/>
      <w:sz w:val="28"/>
      <w:szCs w:val="28"/>
    </w:rPr>
  </w:style>
  <w:style w:type="paragraph" w:styleId="5">
    <w:name w:val="heading 4"/>
    <w:basedOn w:val="1"/>
    <w:qFormat/>
    <w:uiPriority w:val="1"/>
    <w:pPr>
      <w:ind w:left="240"/>
      <w:outlineLvl w:val="3"/>
    </w:pPr>
    <w:rPr>
      <w:b/>
      <w:bCs/>
      <w:sz w:val="24"/>
      <w:szCs w:val="24"/>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4"/>
      <w:szCs w:val="24"/>
    </w:rPr>
  </w:style>
  <w:style w:type="paragraph" w:styleId="7">
    <w:name w:val="toc 3"/>
    <w:basedOn w:val="1"/>
    <w:qFormat/>
    <w:uiPriority w:val="1"/>
    <w:pPr>
      <w:spacing w:before="100"/>
      <w:ind w:left="1119" w:hanging="481"/>
    </w:pPr>
    <w:rPr>
      <w:sz w:val="20"/>
      <w:szCs w:val="20"/>
    </w:rPr>
  </w:style>
  <w:style w:type="paragraph" w:styleId="8">
    <w:name w:val="Balloon Text"/>
    <w:basedOn w:val="1"/>
    <w:link w:val="21"/>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spacing w:before="100"/>
      <w:ind w:left="680" w:hanging="441"/>
    </w:pPr>
    <w:rPr>
      <w:sz w:val="20"/>
      <w:szCs w:val="20"/>
    </w:rPr>
  </w:style>
  <w:style w:type="paragraph" w:styleId="12">
    <w:name w:val="toc 2"/>
    <w:basedOn w:val="1"/>
    <w:qFormat/>
    <w:uiPriority w:val="39"/>
    <w:pPr>
      <w:spacing w:before="100"/>
      <w:ind w:left="900" w:hanging="460"/>
    </w:pPr>
    <w:rPr>
      <w:sz w:val="20"/>
      <w:szCs w:val="20"/>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table" w:customStyle="1" w:styleId="16">
    <w:name w:val="Table Normal1"/>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960" w:hanging="360"/>
    </w:pPr>
  </w:style>
  <w:style w:type="paragraph" w:customStyle="1" w:styleId="18">
    <w:name w:val="Table Paragraph"/>
    <w:basedOn w:val="1"/>
    <w:qFormat/>
    <w:uiPriority w:val="1"/>
  </w:style>
  <w:style w:type="character" w:customStyle="1" w:styleId="19">
    <w:name w:val="页眉 Char"/>
    <w:basedOn w:val="14"/>
    <w:link w:val="10"/>
    <w:qFormat/>
    <w:uiPriority w:val="99"/>
    <w:rPr>
      <w:rFonts w:ascii="Times New Roman" w:hAnsi="Times New Roman" w:eastAsia="Times New Roman" w:cs="Times New Roman"/>
      <w:sz w:val="18"/>
      <w:szCs w:val="18"/>
      <w:lang w:bidi="en-US"/>
    </w:rPr>
  </w:style>
  <w:style w:type="character" w:customStyle="1" w:styleId="20">
    <w:name w:val="页脚 Char"/>
    <w:basedOn w:val="14"/>
    <w:link w:val="9"/>
    <w:qFormat/>
    <w:uiPriority w:val="99"/>
    <w:rPr>
      <w:rFonts w:ascii="Times New Roman" w:hAnsi="Times New Roman" w:eastAsia="Times New Roman" w:cs="Times New Roman"/>
      <w:sz w:val="18"/>
      <w:szCs w:val="18"/>
      <w:lang w:bidi="en-US"/>
    </w:rPr>
  </w:style>
  <w:style w:type="character" w:customStyle="1" w:styleId="21">
    <w:name w:val="批注框文本 Char"/>
    <w:basedOn w:val="14"/>
    <w:link w:val="8"/>
    <w:semiHidden/>
    <w:qFormat/>
    <w:uiPriority w:val="99"/>
    <w:rPr>
      <w:rFonts w:ascii="Times New Roman" w:hAnsi="Times New Roman" w:eastAsia="Times New Roman" w:cs="Times New Roman"/>
      <w:sz w:val="18"/>
      <w:szCs w:val="18"/>
      <w:lang w:bidi="en-US"/>
    </w:rPr>
  </w:style>
  <w:style w:type="paragraph" w:customStyle="1" w:styleId="22">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92D7-35FB-44B5-AF54-06EC1EE60D17}">
  <ds:schemaRefs/>
</ds:datastoreItem>
</file>

<file path=docProps/app.xml><?xml version="1.0" encoding="utf-8"?>
<Properties xmlns="http://schemas.openxmlformats.org/officeDocument/2006/extended-properties" xmlns:vt="http://schemas.openxmlformats.org/officeDocument/2006/docPropsVTypes">
  <Template>Normal</Template>
  <Pages>25</Pages>
  <Words>16793</Words>
  <Characters>23558</Characters>
  <Lines>180</Lines>
  <Paragraphs>50</Paragraphs>
  <TotalTime>28</TotalTime>
  <ScaleCrop>false</ScaleCrop>
  <LinksUpToDate>false</LinksUpToDate>
  <CharactersWithSpaces>23757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2021-11-11T09:48:00Z</dcterms:created>
  <dc:creator>CDRH CBER</dc:creator>
  <cp:lastModifiedBy>太极箫客</cp:lastModifiedBy>
  <dcterms:modified xsi:type="dcterms:W3CDTF">2025-08-14T06:58:01Z</dcterms:modified>
  <dc:title>The Least Burdensome Provisions: Concept and Principles - Draft Guidance for Industry and Food and Drug Administration Staff</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CommonLook Office GlobalAccess-2.0.0.20</vt:lpwstr>
  </property>
  <property fmtid="{D5CDD505-2E9C-101B-9397-08002B2CF9AE}" pid="4" name="LastSaved">
    <vt:filetime>2021-11-09T00:00:00Z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F80C6745496644159F3E9BFF3A35E3D0_12</vt:lpwstr>
  </property>
</Properties>
</file>