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96BDE">
      <w:pPr>
        <w:pBdr>
          <w:bottom w:val="single" w:color="auto" w:sz="4" w:space="1"/>
        </w:pBdr>
        <w:spacing w:before="163"/>
        <w:jc w:val="center"/>
        <w:rPr>
          <w:b/>
          <w:sz w:val="52"/>
          <w:szCs w:val="52"/>
        </w:rPr>
      </w:pPr>
      <w:bookmarkStart w:id="0" w:name="OLE_LINK19"/>
      <w:bookmarkStart w:id="1" w:name="OLE_LINK18"/>
      <w:bookmarkStart w:id="18" w:name="_GoBack"/>
      <w:bookmarkEnd w:id="18"/>
      <w:r>
        <w:rPr>
          <w:b/>
          <w:sz w:val="52"/>
          <w:szCs w:val="52"/>
        </w:rPr>
        <w:t>行业和FDA员工指南</w:t>
      </w:r>
    </w:p>
    <w:p w14:paraId="7A974592">
      <w:pPr>
        <w:spacing w:before="163"/>
      </w:pPr>
    </w:p>
    <w:p w14:paraId="14B2CC1D">
      <w:pPr>
        <w:spacing w:before="163"/>
        <w:jc w:val="center"/>
        <w:rPr>
          <w:b/>
          <w:sz w:val="48"/>
          <w:szCs w:val="48"/>
        </w:rPr>
      </w:pPr>
      <w:r>
        <w:rPr>
          <w:b/>
          <w:sz w:val="48"/>
          <w:szCs w:val="48"/>
        </w:rPr>
        <w:t>替换试剂</w:t>
      </w:r>
      <w:r>
        <w:rPr>
          <w:rFonts w:hint="eastAsia"/>
          <w:b/>
          <w:sz w:val="48"/>
          <w:szCs w:val="48"/>
        </w:rPr>
        <w:t>和</w:t>
      </w:r>
      <w:r>
        <w:rPr>
          <w:b/>
          <w:sz w:val="48"/>
          <w:szCs w:val="48"/>
        </w:rPr>
        <w:t>工具系列政策</w:t>
      </w:r>
      <w:bookmarkEnd w:id="0"/>
      <w:bookmarkEnd w:id="1"/>
    </w:p>
    <w:p w14:paraId="494E92AB">
      <w:pPr>
        <w:spacing w:before="163"/>
      </w:pPr>
    </w:p>
    <w:p w14:paraId="6F8EA5CE">
      <w:pPr>
        <w:spacing w:before="163"/>
      </w:pPr>
    </w:p>
    <w:p w14:paraId="17618DBF">
      <w:pPr>
        <w:spacing w:before="163"/>
        <w:jc w:val="center"/>
        <w:rPr>
          <w:b/>
        </w:rPr>
      </w:pPr>
      <w:r>
        <w:rPr>
          <w:b/>
        </w:rPr>
        <w:t>文件发布日期：2003年12月11日</w:t>
      </w:r>
    </w:p>
    <w:p w14:paraId="2FBE4013">
      <w:pPr>
        <w:spacing w:before="163"/>
      </w:pPr>
    </w:p>
    <w:p w14:paraId="0BA4852E">
      <w:pPr>
        <w:spacing w:before="163"/>
      </w:pPr>
    </w:p>
    <w:p w14:paraId="29FDB2A3">
      <w:pPr>
        <w:spacing w:before="163"/>
      </w:pPr>
    </w:p>
    <w:p w14:paraId="7FACBD45">
      <w:pPr>
        <w:spacing w:before="163"/>
        <w:jc w:val="center"/>
        <w:rPr>
          <w:b/>
        </w:rPr>
      </w:pPr>
      <w:r>
        <w:rPr>
          <w:b/>
        </w:rPr>
        <w:t>本文件替代于1996年6月10日发布的</w:t>
      </w:r>
      <w:bookmarkStart w:id="2" w:name="OLE_LINK21"/>
      <w:r>
        <w:rPr>
          <w:rFonts w:hint="eastAsia"/>
          <w:b/>
        </w:rPr>
        <w:t>“</w:t>
      </w:r>
      <w:r>
        <w:rPr>
          <w:b/>
        </w:rPr>
        <w:t>原始设备制造商（OEM）商业化数据，自动分析仪的二级试剂和通用试剂</w:t>
      </w:r>
      <w:bookmarkEnd w:id="2"/>
      <w:r>
        <w:rPr>
          <w:rFonts w:hint="eastAsia"/>
          <w:b/>
        </w:rPr>
        <w:t>”</w:t>
      </w:r>
      <w:r>
        <w:rPr>
          <w:b/>
        </w:rPr>
        <w:t>。</w:t>
      </w:r>
    </w:p>
    <w:p w14:paraId="62D9615F">
      <w:pPr>
        <w:spacing w:before="163"/>
      </w:pPr>
      <w:r>
        <w:t>针对本文件存在</w:t>
      </w:r>
      <w:r>
        <w:rPr>
          <w:rFonts w:hint="eastAsia"/>
        </w:rPr>
        <w:t>的</w:t>
      </w:r>
      <w:r>
        <w:t>任何问题，联系James V. Callaghan，电话：（301）594-1243或电子邮箱：</w:t>
      </w:r>
      <w:r>
        <w:fldChar w:fldCharType="begin"/>
      </w:r>
      <w:r>
        <w:instrText xml:space="preserve"> HYPERLINK "mailto:jvc@cdrh.fda.gov" </w:instrText>
      </w:r>
      <w:r>
        <w:fldChar w:fldCharType="separate"/>
      </w:r>
      <w:r>
        <w:rPr>
          <w:rStyle w:val="13"/>
        </w:rPr>
        <w:t>jvc@cdrh.fda.gov</w:t>
      </w:r>
      <w:r>
        <w:rPr>
          <w:rStyle w:val="13"/>
        </w:rPr>
        <w:fldChar w:fldCharType="end"/>
      </w:r>
      <w:r>
        <w:t>。</w:t>
      </w:r>
    </w:p>
    <w:p w14:paraId="2F29B2C9">
      <w:pPr>
        <w:spacing w:before="163"/>
      </w:pPr>
    </w:p>
    <w:p w14:paraId="211A06CA">
      <w:pPr>
        <w:spacing w:before="163"/>
      </w:pPr>
      <w:r>
        <w:drawing>
          <wp:inline distT="0" distB="0" distL="0" distR="0">
            <wp:extent cx="965835" cy="63563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66219" cy="636175"/>
                    </a:xfrm>
                    <a:prstGeom prst="rect">
                      <a:avLst/>
                    </a:prstGeom>
                  </pic:spPr>
                </pic:pic>
              </a:graphicData>
            </a:graphic>
          </wp:inline>
        </w:drawing>
      </w:r>
    </w:p>
    <w:p w14:paraId="2FF01ACF">
      <w:pPr>
        <w:spacing w:before="163"/>
      </w:pPr>
    </w:p>
    <w:p w14:paraId="21363701">
      <w:pPr>
        <w:spacing w:before="163"/>
        <w:jc w:val="right"/>
        <w:rPr>
          <w:b/>
        </w:rPr>
      </w:pPr>
      <w:r>
        <w:rPr>
          <w:rFonts w:hint="eastAsia"/>
          <w:b/>
        </w:rPr>
        <w:t>卫生与公众服务部</w:t>
      </w:r>
      <w:r>
        <w:rPr>
          <w:b/>
        </w:rPr>
        <w:br w:type="textWrapping"/>
      </w:r>
      <w:r>
        <w:rPr>
          <w:b/>
        </w:rPr>
        <w:t>食品药品监督管理局</w:t>
      </w:r>
      <w:r>
        <w:rPr>
          <w:rFonts w:hint="eastAsia"/>
          <w:b/>
        </w:rPr>
        <w:br w:type="textWrapping"/>
      </w:r>
      <w:r>
        <w:rPr>
          <w:rFonts w:hint="eastAsia"/>
          <w:b/>
        </w:rPr>
        <w:t>器械与放射健康中心</w:t>
      </w:r>
      <w:r>
        <w:rPr>
          <w:b/>
        </w:rPr>
        <w:br w:type="textWrapping"/>
      </w:r>
      <w:r>
        <w:rPr>
          <w:b/>
        </w:rPr>
        <w:t>体外诊断器械评估和安全办公室</w:t>
      </w:r>
    </w:p>
    <w:p w14:paraId="57E642A9">
      <w:pPr>
        <w:spacing w:before="163"/>
      </w:pPr>
    </w:p>
    <w:p w14:paraId="0591D282">
      <w:pPr>
        <w:spacing w:before="163"/>
      </w:pPr>
      <w:r>
        <w:br w:type="page"/>
      </w:r>
    </w:p>
    <w:p w14:paraId="65C852B8">
      <w:pPr>
        <w:spacing w:before="163"/>
        <w:jc w:val="center"/>
        <w:rPr>
          <w:b/>
          <w:sz w:val="44"/>
          <w:szCs w:val="44"/>
        </w:rPr>
      </w:pPr>
      <w:r>
        <w:rPr>
          <w:b/>
          <w:sz w:val="44"/>
          <w:szCs w:val="44"/>
        </w:rPr>
        <w:t>前言</w:t>
      </w:r>
    </w:p>
    <w:p w14:paraId="6CE28094">
      <w:pPr>
        <w:spacing w:before="163"/>
        <w:rPr>
          <w:b/>
          <w:sz w:val="30"/>
          <w:szCs w:val="30"/>
        </w:rPr>
      </w:pPr>
      <w:r>
        <w:rPr>
          <w:b/>
          <w:sz w:val="30"/>
          <w:szCs w:val="30"/>
        </w:rPr>
        <w:t>公众评论</w:t>
      </w:r>
    </w:p>
    <w:p w14:paraId="66C8BA59">
      <w:pPr>
        <w:spacing w:before="163"/>
      </w:pPr>
      <w:r>
        <w:t>可随时向食品药品监督管理局，人力资源和管理服务办公室，管理系统和</w:t>
      </w:r>
      <w:r>
        <w:rPr>
          <w:rFonts w:hint="eastAsia"/>
        </w:rPr>
        <w:t>政策</w:t>
      </w:r>
      <w:r>
        <w:t>分部，文档管理部，5630 Fishers Lane, Room 1061, （HFA-305）, Rockville, MD, 20852提交</w:t>
      </w:r>
      <w:r>
        <w:rPr>
          <w:rFonts w:hint="eastAsia"/>
        </w:rPr>
        <w:t>评论</w:t>
      </w:r>
      <w:r>
        <w:t>和建议</w:t>
      </w:r>
      <w:r>
        <w:rPr>
          <w:rFonts w:hint="eastAsia"/>
        </w:rPr>
        <w:t>，供部门审议</w:t>
      </w:r>
      <w:r>
        <w:t>。</w:t>
      </w:r>
    </w:p>
    <w:p w14:paraId="57B132D6">
      <w:pPr>
        <w:spacing w:before="163"/>
      </w:pPr>
      <w:r>
        <w:t>提交</w:t>
      </w:r>
      <w:r>
        <w:rPr>
          <w:rFonts w:hint="eastAsia"/>
        </w:rPr>
        <w:t>评论</w:t>
      </w:r>
      <w:r>
        <w:t>时，应参照本指南的确切标题。</w:t>
      </w:r>
      <w:r>
        <w:rPr>
          <w:rFonts w:hint="eastAsia"/>
        </w:rPr>
        <w:t>可能直到文件下次修订或更新时，评论才会被机构受理。</w:t>
      </w:r>
    </w:p>
    <w:p w14:paraId="2810CAFD">
      <w:pPr>
        <w:spacing w:before="163"/>
        <w:rPr>
          <w:b/>
          <w:sz w:val="30"/>
          <w:szCs w:val="30"/>
        </w:rPr>
      </w:pPr>
      <w:r>
        <w:rPr>
          <w:rFonts w:hint="eastAsia"/>
          <w:b/>
          <w:sz w:val="30"/>
          <w:szCs w:val="30"/>
        </w:rPr>
        <w:t>其他</w:t>
      </w:r>
      <w:r>
        <w:rPr>
          <w:b/>
          <w:sz w:val="30"/>
          <w:szCs w:val="30"/>
        </w:rPr>
        <w:t>副本</w:t>
      </w:r>
    </w:p>
    <w:p w14:paraId="16D15848">
      <w:pPr>
        <w:spacing w:before="163"/>
      </w:pPr>
      <w:r>
        <w:t>可通过网站：http://www.fda.gov/cdrh/oivd/guidance/950.html获得其他副本，或利用贵公司的传真机，拨打CDRH</w:t>
      </w:r>
      <w:r>
        <w:rPr>
          <w:rFonts w:hint="eastAsia"/>
        </w:rPr>
        <w:t>资源索取自动回传系统</w:t>
      </w:r>
      <w:r>
        <w:t>的按键电话，800-899-0381或301-827-0111，以获得本文件。按1，进入系统。听到第二声语音提示时，按下1以订购本文件。输入文件编号（950），随后，按下井号键（#）。按照后续提示音来完成贵公司的</w:t>
      </w:r>
      <w:r>
        <w:rPr>
          <w:rFonts w:hint="eastAsia"/>
        </w:rPr>
        <w:t>请求</w:t>
      </w:r>
      <w:r>
        <w:t>。</w:t>
      </w:r>
    </w:p>
    <w:p w14:paraId="66273897">
      <w:pPr>
        <w:spacing w:before="163"/>
      </w:pPr>
    </w:p>
    <w:p w14:paraId="2A245195">
      <w:pPr>
        <w:spacing w:before="163"/>
      </w:pPr>
      <w:r>
        <w:br w:type="page"/>
      </w:r>
    </w:p>
    <w:p w14:paraId="08A49481">
      <w:pPr>
        <w:spacing w:before="163"/>
        <w:jc w:val="center"/>
        <w:rPr>
          <w:b/>
          <w:sz w:val="32"/>
          <w:szCs w:val="32"/>
        </w:rPr>
      </w:pPr>
      <w:r>
        <w:rPr>
          <w:b/>
          <w:sz w:val="32"/>
          <w:szCs w:val="32"/>
        </w:rPr>
        <w:t>目录</w:t>
      </w:r>
    </w:p>
    <w:p w14:paraId="1C60409C">
      <w:pPr>
        <w:pStyle w:val="8"/>
        <w:tabs>
          <w:tab w:val="left" w:pos="420"/>
          <w:tab w:val="right" w:leader="dot" w:pos="9060"/>
        </w:tabs>
        <w:spacing w:before="163"/>
        <w:rPr>
          <w:rFonts w:asciiTheme="minorHAnsi" w:hAnsiTheme="minorHAnsi" w:eastAsiaTheme="minorEastAsia" w:cstheme="minorBidi"/>
          <w:sz w:val="21"/>
        </w:rPr>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"_Toc479366701" </w:instrText>
      </w:r>
      <w:r>
        <w:fldChar w:fldCharType="separate"/>
      </w:r>
      <w:r>
        <w:rPr>
          <w:rStyle w:val="13"/>
          <w:b/>
        </w:rPr>
        <w:t>1.</w:t>
      </w:r>
      <w:r>
        <w:rPr>
          <w:rFonts w:asciiTheme="minorHAnsi" w:hAnsiTheme="minorHAnsi" w:eastAsiaTheme="minorEastAsia" w:cstheme="minorBidi"/>
          <w:sz w:val="21"/>
        </w:rPr>
        <w:tab/>
      </w:r>
      <w:r>
        <w:rPr>
          <w:rStyle w:val="13"/>
          <w:rFonts w:hint="eastAsia"/>
          <w:b/>
        </w:rPr>
        <w:t>前言</w:t>
      </w:r>
      <w:r>
        <w:tab/>
      </w:r>
      <w:r>
        <w:fldChar w:fldCharType="begin"/>
      </w:r>
      <w:r>
        <w:instrText xml:space="preserve"> PAGEREF _Toc479366701 \h </w:instrText>
      </w:r>
      <w:r>
        <w:fldChar w:fldCharType="separate"/>
      </w:r>
      <w:r>
        <w:t>4</w:t>
      </w:r>
      <w:r>
        <w:fldChar w:fldCharType="end"/>
      </w:r>
      <w:r>
        <w:fldChar w:fldCharType="end"/>
      </w:r>
    </w:p>
    <w:p w14:paraId="629AB36F">
      <w:pPr>
        <w:pStyle w:val="8"/>
        <w:tabs>
          <w:tab w:val="left" w:pos="420"/>
          <w:tab w:val="right" w:leader="dot" w:pos="9060"/>
        </w:tabs>
        <w:spacing w:before="163"/>
        <w:rPr>
          <w:rFonts w:asciiTheme="minorHAnsi" w:hAnsiTheme="minorHAnsi" w:eastAsiaTheme="minorEastAsia" w:cstheme="minorBidi"/>
          <w:sz w:val="21"/>
        </w:rPr>
      </w:pPr>
      <w:r>
        <w:fldChar w:fldCharType="begin"/>
      </w:r>
      <w:r>
        <w:instrText xml:space="preserve"> HYPERLINK \l "_Toc479366702" </w:instrText>
      </w:r>
      <w:r>
        <w:fldChar w:fldCharType="separate"/>
      </w:r>
      <w:r>
        <w:rPr>
          <w:rStyle w:val="13"/>
          <w:b/>
        </w:rPr>
        <w:t>2.</w:t>
      </w:r>
      <w:r>
        <w:rPr>
          <w:rFonts w:asciiTheme="minorHAnsi" w:hAnsiTheme="minorHAnsi" w:eastAsiaTheme="minorEastAsia" w:cstheme="minorBidi"/>
          <w:sz w:val="21"/>
        </w:rPr>
        <w:tab/>
      </w:r>
      <w:r>
        <w:rPr>
          <w:rStyle w:val="13"/>
          <w:rFonts w:hint="eastAsia"/>
          <w:b/>
        </w:rPr>
        <w:t>背景</w:t>
      </w:r>
      <w:r>
        <w:tab/>
      </w:r>
      <w:r>
        <w:fldChar w:fldCharType="begin"/>
      </w:r>
      <w:r>
        <w:instrText xml:space="preserve"> PAGEREF _Toc479366702 \h </w:instrText>
      </w:r>
      <w:r>
        <w:fldChar w:fldCharType="separate"/>
      </w:r>
      <w:r>
        <w:t>5</w:t>
      </w:r>
      <w:r>
        <w:fldChar w:fldCharType="end"/>
      </w:r>
      <w:r>
        <w:fldChar w:fldCharType="end"/>
      </w:r>
    </w:p>
    <w:p w14:paraId="676A8800">
      <w:pPr>
        <w:pStyle w:val="8"/>
        <w:tabs>
          <w:tab w:val="left" w:pos="420"/>
          <w:tab w:val="right" w:leader="dot" w:pos="9060"/>
        </w:tabs>
        <w:spacing w:before="163"/>
        <w:rPr>
          <w:rFonts w:asciiTheme="minorHAnsi" w:hAnsiTheme="minorHAnsi" w:eastAsiaTheme="minorEastAsia" w:cstheme="minorBidi"/>
          <w:sz w:val="21"/>
        </w:rPr>
      </w:pPr>
      <w:r>
        <w:fldChar w:fldCharType="begin"/>
      </w:r>
      <w:r>
        <w:instrText xml:space="preserve"> HYPERLINK \l "_Toc479366703" </w:instrText>
      </w:r>
      <w:r>
        <w:fldChar w:fldCharType="separate"/>
      </w:r>
      <w:r>
        <w:rPr>
          <w:rStyle w:val="13"/>
          <w:b/>
        </w:rPr>
        <w:t>3.</w:t>
      </w:r>
      <w:r>
        <w:rPr>
          <w:rFonts w:asciiTheme="minorHAnsi" w:hAnsiTheme="minorHAnsi" w:eastAsiaTheme="minorEastAsia" w:cstheme="minorBidi"/>
          <w:sz w:val="21"/>
        </w:rPr>
        <w:tab/>
      </w:r>
      <w:r>
        <w:rPr>
          <w:rStyle w:val="13"/>
          <w:rFonts w:hint="eastAsia"/>
          <w:b/>
        </w:rPr>
        <w:t>定义</w:t>
      </w:r>
      <w:r>
        <w:tab/>
      </w:r>
      <w:r>
        <w:fldChar w:fldCharType="begin"/>
      </w:r>
      <w:r>
        <w:instrText xml:space="preserve"> PAGEREF _Toc479366703 \h </w:instrText>
      </w:r>
      <w:r>
        <w:fldChar w:fldCharType="separate"/>
      </w:r>
      <w:r>
        <w:t>6</w:t>
      </w:r>
      <w:r>
        <w:fldChar w:fldCharType="end"/>
      </w:r>
      <w:r>
        <w:fldChar w:fldCharType="end"/>
      </w:r>
    </w:p>
    <w:p w14:paraId="5D3137F0">
      <w:pPr>
        <w:pStyle w:val="8"/>
        <w:tabs>
          <w:tab w:val="left" w:pos="420"/>
          <w:tab w:val="right" w:leader="dot" w:pos="9060"/>
        </w:tabs>
        <w:spacing w:before="163"/>
        <w:rPr>
          <w:rFonts w:asciiTheme="minorHAnsi" w:hAnsiTheme="minorHAnsi" w:eastAsiaTheme="minorEastAsia" w:cstheme="minorBidi"/>
          <w:sz w:val="21"/>
        </w:rPr>
      </w:pPr>
      <w:r>
        <w:fldChar w:fldCharType="begin"/>
      </w:r>
      <w:r>
        <w:instrText xml:space="preserve"> HYPERLINK \l "_Toc479366704" </w:instrText>
      </w:r>
      <w:r>
        <w:fldChar w:fldCharType="separate"/>
      </w:r>
      <w:r>
        <w:rPr>
          <w:rStyle w:val="13"/>
          <w:b/>
        </w:rPr>
        <w:t>4.</w:t>
      </w:r>
      <w:r>
        <w:rPr>
          <w:rFonts w:asciiTheme="minorHAnsi" w:hAnsiTheme="minorHAnsi" w:eastAsiaTheme="minorEastAsia" w:cstheme="minorBidi"/>
          <w:sz w:val="21"/>
        </w:rPr>
        <w:tab/>
      </w:r>
      <w:r>
        <w:rPr>
          <w:rStyle w:val="13"/>
          <w:rFonts w:hint="eastAsia"/>
          <w:b/>
        </w:rPr>
        <w:t>确认方案的使用</w:t>
      </w:r>
      <w:r>
        <w:tab/>
      </w:r>
      <w:r>
        <w:fldChar w:fldCharType="begin"/>
      </w:r>
      <w:r>
        <w:instrText xml:space="preserve"> PAGEREF _Toc479366704 \h </w:instrText>
      </w:r>
      <w:r>
        <w:fldChar w:fldCharType="separate"/>
      </w:r>
      <w:r>
        <w:t>8</w:t>
      </w:r>
      <w:r>
        <w:fldChar w:fldCharType="end"/>
      </w:r>
      <w:r>
        <w:fldChar w:fldCharType="end"/>
      </w:r>
    </w:p>
    <w:p w14:paraId="5F9F99D0">
      <w:pPr>
        <w:spacing w:before="163"/>
      </w:pPr>
      <w:r>
        <w:fldChar w:fldCharType="end"/>
      </w:r>
    </w:p>
    <w:p w14:paraId="6CCA88D8">
      <w:pPr>
        <w:spacing w:before="163"/>
      </w:pPr>
      <w:r>
        <w:br w:type="page"/>
      </w:r>
    </w:p>
    <w:p w14:paraId="0D42A31E">
      <w:pPr>
        <w:pBdr>
          <w:bottom w:val="single" w:color="auto" w:sz="4" w:space="1"/>
        </w:pBdr>
        <w:spacing w:before="163"/>
        <w:jc w:val="center"/>
        <w:rPr>
          <w:b/>
          <w:sz w:val="52"/>
          <w:szCs w:val="52"/>
        </w:rPr>
      </w:pPr>
      <w:r>
        <w:rPr>
          <w:b/>
          <w:sz w:val="52"/>
          <w:szCs w:val="52"/>
        </w:rPr>
        <w:t>行业和FDA员工指南</w:t>
      </w:r>
    </w:p>
    <w:p w14:paraId="2485E871">
      <w:pPr>
        <w:spacing w:before="163"/>
      </w:pPr>
    </w:p>
    <w:p w14:paraId="78B2B95A">
      <w:pPr>
        <w:spacing w:before="163"/>
        <w:jc w:val="center"/>
        <w:rPr>
          <w:b/>
          <w:sz w:val="48"/>
          <w:szCs w:val="48"/>
        </w:rPr>
      </w:pPr>
      <w:r>
        <w:rPr>
          <w:b/>
          <w:sz w:val="48"/>
          <w:szCs w:val="48"/>
        </w:rPr>
        <w:t>替换试剂</w:t>
      </w:r>
      <w:r>
        <w:rPr>
          <w:rFonts w:hint="eastAsia"/>
          <w:b/>
          <w:sz w:val="48"/>
          <w:szCs w:val="48"/>
        </w:rPr>
        <w:t>和</w:t>
      </w:r>
      <w:r>
        <w:rPr>
          <w:b/>
          <w:sz w:val="48"/>
          <w:szCs w:val="48"/>
        </w:rPr>
        <w:t>工具系列政策</w:t>
      </w:r>
    </w:p>
    <w:p w14:paraId="7B3843BE">
      <w:pPr>
        <w:spacing w:before="163"/>
      </w:pP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6"/>
      </w:tblGrid>
      <w:tr w14:paraId="7CA99DD9">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286" w:type="dxa"/>
          </w:tcPr>
          <w:p w14:paraId="540583D9">
            <w:pPr>
              <w:spacing w:before="163"/>
              <w:rPr>
                <w:b/>
                <w:i/>
              </w:rPr>
            </w:pPr>
            <w:r>
              <w:rPr>
                <w:b/>
                <w:i/>
              </w:rPr>
              <w:t>该文件代表机构目前对本主题的想法。</w:t>
            </w:r>
            <w:r>
              <w:rPr>
                <w:rFonts w:hint="eastAsia"/>
                <w:b/>
                <w:i/>
              </w:rPr>
              <w:t>其不会为任何人创造或赋予任何权利，也不对FDA或公众具有约束力</w:t>
            </w:r>
            <w:r>
              <w:rPr>
                <w:b/>
                <w:i/>
              </w:rPr>
              <w:t>。</w:t>
            </w:r>
            <w:r>
              <w:rPr>
                <w:rFonts w:hint="eastAsia"/>
                <w:b/>
                <w:i/>
              </w:rPr>
              <w:t>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6D0741E1">
      <w:pPr>
        <w:spacing w:before="163"/>
      </w:pPr>
      <w:bookmarkStart w:id="3" w:name="_Toc478491012"/>
    </w:p>
    <w:p w14:paraId="469A3D15">
      <w:pPr>
        <w:pStyle w:val="15"/>
        <w:numPr>
          <w:ilvl w:val="0"/>
          <w:numId w:val="1"/>
        </w:numPr>
        <w:tabs>
          <w:tab w:val="left" w:pos="720"/>
        </w:tabs>
        <w:spacing w:before="326" w:beforeLines="100" w:after="163" w:afterLines="50"/>
        <w:ind w:left="0" w:firstLine="0" w:firstLineChars="0"/>
        <w:outlineLvl w:val="0"/>
        <w:rPr>
          <w:b/>
          <w:sz w:val="30"/>
          <w:szCs w:val="30"/>
        </w:rPr>
      </w:pPr>
      <w:bookmarkStart w:id="4" w:name="_Toc479366701"/>
      <w:r>
        <w:rPr>
          <w:rFonts w:hint="eastAsia"/>
          <w:b/>
          <w:sz w:val="30"/>
          <w:szCs w:val="30"/>
        </w:rPr>
        <w:t>前言</w:t>
      </w:r>
      <w:bookmarkEnd w:id="3"/>
      <w:bookmarkEnd w:id="4"/>
    </w:p>
    <w:p w14:paraId="0248A6F7">
      <w:pPr>
        <w:spacing w:before="163"/>
      </w:pPr>
      <w:r>
        <w:t>替换试剂</w:t>
      </w:r>
      <w:r>
        <w:rPr>
          <w:rFonts w:hint="eastAsia"/>
        </w:rPr>
        <w:t>和</w:t>
      </w:r>
      <w:r>
        <w:t>工具系列政策（RR-政策）旨在为贵公司（器械制造商）提供与</w:t>
      </w:r>
      <w:r>
        <w:rPr>
          <w:rFonts w:hint="eastAsia"/>
        </w:rPr>
        <w:t>确认</w:t>
      </w:r>
      <w:r>
        <w:t>和记录针对已</w:t>
      </w:r>
      <w:r>
        <w:rPr>
          <w:rFonts w:hint="eastAsia"/>
        </w:rPr>
        <w:t>许可</w:t>
      </w:r>
      <w:r>
        <w:t>检测系统的、未对器械安全性和有效性造成显著影响的变更的信息。</w:t>
      </w:r>
    </w:p>
    <w:p w14:paraId="16676873">
      <w:pPr>
        <w:spacing w:before="163"/>
      </w:pPr>
      <w:r>
        <w:t>本指导性文件仅解决之前获得</w:t>
      </w:r>
      <w:r>
        <w:rPr>
          <w:rFonts w:hint="eastAsia"/>
        </w:rPr>
        <w:t>许可</w:t>
      </w:r>
      <w:r>
        <w:t>的试剂</w:t>
      </w:r>
      <w:r>
        <w:rPr>
          <w:rFonts w:hint="eastAsia"/>
        </w:rPr>
        <w:t>和</w:t>
      </w:r>
      <w:r>
        <w:t>工具。其</w:t>
      </w:r>
      <w:r>
        <w:rPr>
          <w:rFonts w:hint="eastAsia"/>
        </w:rPr>
        <w:t>表述</w:t>
      </w:r>
      <w:r>
        <w:t>对向之前许可工具中增加已许可的试剂或将新工具</w:t>
      </w:r>
      <w:r>
        <w:rPr>
          <w:rFonts w:hint="eastAsia"/>
        </w:rPr>
        <w:t>系列</w:t>
      </w:r>
      <w:r>
        <w:t>成员增加到之前许可的工具系列中</w:t>
      </w:r>
      <w:r>
        <w:rPr>
          <w:rFonts w:hint="eastAsia"/>
        </w:rPr>
        <w:t>的机制</w:t>
      </w:r>
      <w:r>
        <w:t>。OIVD已开发出这种替代方法，辅助贵公司符合变更的510（k）要求，这些变更最初似乎存在显著影响，但是，经合理</w:t>
      </w:r>
      <w:r>
        <w:rPr>
          <w:rFonts w:hint="eastAsia"/>
        </w:rPr>
        <w:t>确认</w:t>
      </w:r>
      <w:r>
        <w:t>后，证明这些变更不会显著影响已</w:t>
      </w:r>
      <w:r>
        <w:rPr>
          <w:rFonts w:hint="eastAsia"/>
        </w:rPr>
        <w:t>许可</w:t>
      </w:r>
      <w:r>
        <w:t>器械的安全性和有效性。FDA相信，在上市前，如果贵公司利用合理的确认方案，根据预先确定的验收标准，对器械进行改良，贵公司应</w:t>
      </w:r>
      <w:r>
        <w:rPr>
          <w:rFonts w:hint="eastAsia"/>
        </w:rPr>
        <w:t>确定</w:t>
      </w:r>
      <w:r>
        <w:t>充分的管理，以确保进行最小程度器械改良的安全性和有效性。</w:t>
      </w:r>
    </w:p>
    <w:p w14:paraId="771B2965">
      <w:pPr>
        <w:spacing w:before="163"/>
      </w:pPr>
      <w:r>
        <w:t>本指导性文件替代标题为</w:t>
      </w:r>
      <w:r>
        <w:rPr>
          <w:rFonts w:hint="eastAsia"/>
        </w:rPr>
        <w:t>“</w:t>
      </w:r>
      <w:r>
        <w:t>原始设备制造商（OEM）商业化数据，自动分析仪的二级试剂和通用试剂</w:t>
      </w:r>
      <w:r>
        <w:rPr>
          <w:rFonts w:hint="eastAsia"/>
        </w:rPr>
        <w:t>”</w:t>
      </w:r>
      <w:r>
        <w:t>的指南，并反应现有CDRH惯例。本指导性文件根据整合到所</w:t>
      </w:r>
      <w:r>
        <w:rPr>
          <w:rFonts w:hint="eastAsia"/>
        </w:rPr>
        <w:t>得经验</w:t>
      </w:r>
      <w:r>
        <w:t>和最小负担原则中的现行FDA</w:t>
      </w:r>
      <w:r>
        <w:rPr>
          <w:rFonts w:hint="eastAsia"/>
        </w:rPr>
        <w:t>政策</w:t>
      </w:r>
      <w:r>
        <w:t>，对术语进行更新并提供指导。本指南依据</w:t>
      </w:r>
      <w:r>
        <w:rPr>
          <w:rFonts w:hint="eastAsia"/>
        </w:rPr>
        <w:t>“</w:t>
      </w:r>
      <w:r>
        <w:t>决定针对现有器械提交510（k）的时间</w:t>
      </w:r>
      <w:r>
        <w:rPr>
          <w:rFonts w:hint="eastAsia"/>
        </w:rPr>
        <w:t xml:space="preserve"> ”</w:t>
      </w:r>
      <w:r>
        <w:t>，并就应在贵公司</w:t>
      </w:r>
      <w:r>
        <w:rPr>
          <w:rFonts w:hint="eastAsia"/>
        </w:rPr>
        <w:t>机构</w:t>
      </w:r>
      <w:r>
        <w:t>中存档的文件类型提出建议，因此，无需针对符合本指导性文件范围的器械变更来增加存档。</w:t>
      </w:r>
      <w:r>
        <w:rPr>
          <w:rStyle w:val="14"/>
        </w:rPr>
        <w:footnoteReference w:id="0"/>
      </w:r>
    </w:p>
    <w:p w14:paraId="5931007B">
      <w:pPr>
        <w:spacing w:before="163"/>
      </w:pPr>
      <w:r>
        <w:br w:type="page"/>
      </w:r>
    </w:p>
    <w:p w14:paraId="0956DF19">
      <w:pPr>
        <w:spacing w:before="163"/>
      </w:pPr>
      <w:r>
        <w:t>FDA指导性文件，包括本指南，不</w:t>
      </w:r>
      <w:r>
        <w:rPr>
          <w:rFonts w:hint="eastAsia"/>
        </w:rPr>
        <w:t>构成</w:t>
      </w:r>
      <w:r>
        <w:t>法定强制责任。反之，指南</w:t>
      </w:r>
      <w:r>
        <w:rPr>
          <w:rFonts w:hint="eastAsia"/>
        </w:rPr>
        <w:t>表明</w:t>
      </w:r>
      <w:r>
        <w:t>机构目前针对主题的</w:t>
      </w:r>
      <w:r>
        <w:rPr>
          <w:rFonts w:hint="eastAsia"/>
        </w:rPr>
        <w:t>见解</w:t>
      </w:r>
      <w:r>
        <w:t>，并且，除非引用明确的法规或法定要求，仅应将指南视为建议。在机构指南中使用</w:t>
      </w:r>
      <w:r>
        <w:rPr>
          <w:rFonts w:hint="eastAsia"/>
        </w:rPr>
        <w:t>“</w:t>
      </w:r>
      <w:r>
        <w:t>应</w:t>
      </w:r>
      <w:r>
        <w:rPr>
          <w:rFonts w:hint="eastAsia"/>
        </w:rPr>
        <w:t>”</w:t>
      </w:r>
      <w:r>
        <w:t>一词表示建议或推荐进行某事，而不是要求。</w:t>
      </w:r>
    </w:p>
    <w:p w14:paraId="67554114">
      <w:pPr>
        <w:spacing w:before="163"/>
        <w:rPr>
          <w:b/>
          <w:sz w:val="30"/>
          <w:szCs w:val="30"/>
        </w:rPr>
      </w:pPr>
      <w:r>
        <w:rPr>
          <w:b/>
          <w:sz w:val="30"/>
          <w:szCs w:val="30"/>
        </w:rPr>
        <w:t>最小负担方法</w:t>
      </w:r>
    </w:p>
    <w:p w14:paraId="02724170">
      <w:pPr>
        <w:spacing w:before="163"/>
        <w:rPr>
          <w:kern w:val="0"/>
          <w:szCs w:val="21"/>
        </w:rPr>
      </w:pPr>
      <w:r>
        <w:rPr>
          <w:kern w:val="0"/>
          <w:szCs w:val="21"/>
        </w:rPr>
        <w:t>在本指导性文件中所识别出的问题代表我们相信需要在贵公司器械上市前需要解决的问题。在起草本指南的过程中，我们仔细思考适用于机构决策的相关法定标准。我们同样考虑到，在贵公司尝试以指南所建议的方式来遵循法定和法规标准时以及尝试解决我们所识别出的问题时可能存在困难。我们相信我们已在指导性文件中提出用于解决这些问题的最</w:t>
      </w:r>
      <w:bookmarkStart w:id="5" w:name="OLE_LINK88"/>
      <w:bookmarkStart w:id="6" w:name="OLE_LINK87"/>
      <w:r>
        <w:rPr>
          <w:kern w:val="0"/>
          <w:szCs w:val="21"/>
        </w:rPr>
        <w:t>小负担</w:t>
      </w:r>
      <w:bookmarkEnd w:id="5"/>
      <w:bookmarkEnd w:id="6"/>
      <w:r>
        <w:rPr>
          <w:kern w:val="0"/>
          <w:szCs w:val="21"/>
        </w:rPr>
        <w:t>的方法。但是，如果贵公司相信</w:t>
      </w:r>
      <w:r>
        <w:rPr>
          <w:rFonts w:hint="eastAsia"/>
          <w:kern w:val="0"/>
          <w:szCs w:val="21"/>
        </w:rPr>
        <w:t>有更</w:t>
      </w:r>
      <w:r>
        <w:rPr>
          <w:kern w:val="0"/>
          <w:szCs w:val="21"/>
        </w:rPr>
        <w:t>小负担的方法来解决这些问题，贵公司应遵循文件</w:t>
      </w:r>
      <w:r>
        <w:rPr>
          <w:rFonts w:hint="eastAsia"/>
          <w:kern w:val="0"/>
          <w:szCs w:val="21"/>
        </w:rPr>
        <w:t>“</w:t>
      </w:r>
      <w:r>
        <w:rPr>
          <w:kern w:val="0"/>
          <w:szCs w:val="21"/>
        </w:rPr>
        <w:t>用于解决最小负担问题的推荐方法</w:t>
      </w:r>
      <w:r>
        <w:rPr>
          <w:rFonts w:hint="eastAsia"/>
          <w:kern w:val="0"/>
          <w:szCs w:val="21"/>
        </w:rPr>
        <w:t>”</w:t>
      </w:r>
      <w:r>
        <w:rPr>
          <w:kern w:val="0"/>
          <w:szCs w:val="21"/>
        </w:rPr>
        <w:t>中所概述的程序。可在我们中心的网页：</w:t>
      </w:r>
      <w:r>
        <w:fldChar w:fldCharType="begin"/>
      </w:r>
      <w:r>
        <w:instrText xml:space="preserve"> HYPERLINK "http://www.fda.gov/cdrh/modact/leastburdensome.html" </w:instrText>
      </w:r>
      <w:r>
        <w:fldChar w:fldCharType="separate"/>
      </w:r>
      <w:r>
        <w:rPr>
          <w:rStyle w:val="13"/>
          <w:kern w:val="0"/>
          <w:szCs w:val="21"/>
        </w:rPr>
        <w:t>http://www.fda.gov/cdrh/modact/leastburdensome.html</w:t>
      </w:r>
      <w:r>
        <w:rPr>
          <w:rStyle w:val="13"/>
          <w:kern w:val="0"/>
          <w:szCs w:val="21"/>
        </w:rPr>
        <w:fldChar w:fldCharType="end"/>
      </w:r>
      <w:r>
        <w:rPr>
          <w:kern w:val="0"/>
          <w:szCs w:val="21"/>
        </w:rPr>
        <w:t>上获得该指南。</w:t>
      </w:r>
    </w:p>
    <w:p w14:paraId="5568778C">
      <w:pPr>
        <w:pStyle w:val="15"/>
        <w:numPr>
          <w:ilvl w:val="0"/>
          <w:numId w:val="1"/>
        </w:numPr>
        <w:tabs>
          <w:tab w:val="left" w:pos="720"/>
        </w:tabs>
        <w:spacing w:before="326" w:beforeLines="100" w:after="163" w:afterLines="50"/>
        <w:ind w:left="0" w:firstLine="0" w:firstLineChars="0"/>
        <w:outlineLvl w:val="0"/>
        <w:rPr>
          <w:b/>
          <w:sz w:val="30"/>
          <w:szCs w:val="30"/>
        </w:rPr>
      </w:pPr>
      <w:bookmarkStart w:id="7" w:name="_Toc478491013"/>
      <w:bookmarkStart w:id="8" w:name="_Toc479366702"/>
      <w:r>
        <w:rPr>
          <w:b/>
          <w:sz w:val="30"/>
          <w:szCs w:val="30"/>
        </w:rPr>
        <w:t>背景</w:t>
      </w:r>
      <w:bookmarkEnd w:id="7"/>
      <w:bookmarkEnd w:id="8"/>
    </w:p>
    <w:p w14:paraId="1152C8DF">
      <w:pPr>
        <w:spacing w:before="163"/>
        <w:rPr>
          <w:kern w:val="0"/>
          <w:szCs w:val="21"/>
        </w:rPr>
      </w:pPr>
      <w:r>
        <w:rPr>
          <w:kern w:val="0"/>
          <w:szCs w:val="21"/>
        </w:rPr>
        <w:t>本指南试图</w:t>
      </w:r>
      <w:r>
        <w:rPr>
          <w:rFonts w:hint="eastAsia"/>
          <w:kern w:val="0"/>
          <w:szCs w:val="21"/>
        </w:rPr>
        <w:t>阐明</w:t>
      </w:r>
      <w:r>
        <w:rPr>
          <w:kern w:val="0"/>
          <w:szCs w:val="21"/>
        </w:rPr>
        <w:t>贵公司</w:t>
      </w:r>
      <w:r>
        <w:rPr>
          <w:rFonts w:hint="eastAsia"/>
          <w:kern w:val="0"/>
          <w:szCs w:val="21"/>
        </w:rPr>
        <w:t>确认</w:t>
      </w:r>
      <w:r>
        <w:rPr>
          <w:kern w:val="0"/>
          <w:szCs w:val="21"/>
        </w:rPr>
        <w:t>器械性能以及在贵公司</w:t>
      </w:r>
      <w:r>
        <w:rPr>
          <w:rFonts w:hint="eastAsia"/>
          <w:kern w:val="0"/>
          <w:szCs w:val="21"/>
        </w:rPr>
        <w:t>机构</w:t>
      </w:r>
      <w:r>
        <w:rPr>
          <w:kern w:val="0"/>
          <w:szCs w:val="21"/>
        </w:rPr>
        <w:t>中保存正确的文件</w:t>
      </w:r>
      <w:r>
        <w:rPr>
          <w:rFonts w:hint="eastAsia"/>
          <w:kern w:val="0"/>
          <w:szCs w:val="21"/>
        </w:rPr>
        <w:t>的方法</w:t>
      </w:r>
      <w:r>
        <w:rPr>
          <w:kern w:val="0"/>
          <w:szCs w:val="21"/>
        </w:rPr>
        <w:t>。该政策适用于由临床实验室专家</w:t>
      </w:r>
      <w:r>
        <w:rPr>
          <w:rFonts w:hint="eastAsia"/>
          <w:kern w:val="0"/>
          <w:szCs w:val="21"/>
        </w:rPr>
        <w:t>进行</w:t>
      </w:r>
      <w:r>
        <w:rPr>
          <w:kern w:val="0"/>
          <w:szCs w:val="21"/>
        </w:rPr>
        <w:t>预期用途的临床实验室检测系统。RR-政策</w:t>
      </w:r>
      <w:r>
        <w:rPr>
          <w:rFonts w:hint="eastAsia"/>
          <w:kern w:val="0"/>
          <w:szCs w:val="21"/>
        </w:rPr>
        <w:t>不适用于豁免通用试剂或下述器械或认为存在显著影响的变更（</w:t>
      </w:r>
      <w:r>
        <w:rPr>
          <w:kern w:val="0"/>
          <w:szCs w:val="21"/>
        </w:rPr>
        <w:t>21 CFR 807.81</w:t>
      </w:r>
      <w:r>
        <w:rPr>
          <w:rFonts w:hint="eastAsia"/>
          <w:kern w:val="0"/>
          <w:szCs w:val="21"/>
        </w:rPr>
        <w:t>）；例如：</w:t>
      </w:r>
    </w:p>
    <w:p w14:paraId="1B8BBD2B">
      <w:pPr>
        <w:pStyle w:val="15"/>
        <w:numPr>
          <w:ilvl w:val="0"/>
          <w:numId w:val="2"/>
        </w:numPr>
        <w:spacing w:before="163"/>
        <w:ind w:left="900" w:leftChars="200" w:hangingChars="175"/>
        <w:rPr>
          <w:kern w:val="0"/>
          <w:szCs w:val="21"/>
        </w:rPr>
      </w:pPr>
      <w:r>
        <w:rPr>
          <w:rFonts w:hint="eastAsia"/>
          <w:kern w:val="0"/>
          <w:szCs w:val="21"/>
        </w:rPr>
        <w:t>旨在进行非处方（OTC）应用的系统，</w:t>
      </w:r>
    </w:p>
    <w:p w14:paraId="39591913">
      <w:pPr>
        <w:pStyle w:val="15"/>
        <w:numPr>
          <w:ilvl w:val="0"/>
          <w:numId w:val="2"/>
        </w:numPr>
        <w:spacing w:before="163"/>
        <w:ind w:left="900" w:leftChars="200" w:hangingChars="175"/>
        <w:rPr>
          <w:kern w:val="0"/>
          <w:szCs w:val="21"/>
        </w:rPr>
      </w:pPr>
      <w:r>
        <w:rPr>
          <w:rFonts w:hint="eastAsia"/>
          <w:kern w:val="0"/>
          <w:szCs w:val="21"/>
        </w:rPr>
        <w:t>旨在进行专业家用的系统，</w:t>
      </w:r>
    </w:p>
    <w:p w14:paraId="71FD11C5">
      <w:pPr>
        <w:pStyle w:val="15"/>
        <w:numPr>
          <w:ilvl w:val="0"/>
          <w:numId w:val="2"/>
        </w:numPr>
        <w:spacing w:before="163"/>
        <w:ind w:left="900" w:leftChars="200" w:hangingChars="175"/>
        <w:rPr>
          <w:kern w:val="0"/>
          <w:szCs w:val="21"/>
        </w:rPr>
      </w:pPr>
      <w:r>
        <w:rPr>
          <w:rFonts w:hint="eastAsia"/>
          <w:kern w:val="0"/>
          <w:szCs w:val="21"/>
        </w:rPr>
        <w:t>旨在进行床旁检测（POC）使用的器械，</w:t>
      </w:r>
    </w:p>
    <w:p w14:paraId="4F1D6C12">
      <w:pPr>
        <w:pStyle w:val="15"/>
        <w:numPr>
          <w:ilvl w:val="0"/>
          <w:numId w:val="2"/>
        </w:numPr>
        <w:spacing w:before="163"/>
        <w:ind w:left="900" w:leftChars="200" w:hangingChars="175"/>
        <w:rPr>
          <w:kern w:val="0"/>
          <w:szCs w:val="21"/>
        </w:rPr>
      </w:pPr>
      <w:r>
        <w:rPr>
          <w:rFonts w:hint="eastAsia"/>
          <w:kern w:val="0"/>
          <w:szCs w:val="21"/>
        </w:rPr>
        <w:t>III类器械，</w:t>
      </w:r>
    </w:p>
    <w:p w14:paraId="008A9770">
      <w:pPr>
        <w:pStyle w:val="15"/>
        <w:numPr>
          <w:ilvl w:val="0"/>
          <w:numId w:val="2"/>
        </w:numPr>
        <w:spacing w:before="163"/>
        <w:ind w:left="900" w:leftChars="200" w:hangingChars="175"/>
        <w:rPr>
          <w:kern w:val="0"/>
          <w:szCs w:val="21"/>
        </w:rPr>
      </w:pPr>
      <w:r>
        <w:rPr>
          <w:rFonts w:hint="eastAsia"/>
          <w:kern w:val="0"/>
          <w:szCs w:val="21"/>
        </w:rPr>
        <w:t>对已许可产品的预期用途进行变更，或</w:t>
      </w:r>
    </w:p>
    <w:p w14:paraId="4F486E66">
      <w:pPr>
        <w:pStyle w:val="15"/>
        <w:numPr>
          <w:ilvl w:val="0"/>
          <w:numId w:val="2"/>
        </w:numPr>
        <w:spacing w:before="163"/>
        <w:ind w:left="900" w:leftChars="200" w:hangingChars="175"/>
        <w:rPr>
          <w:kern w:val="0"/>
          <w:szCs w:val="21"/>
        </w:rPr>
      </w:pPr>
      <w:r>
        <w:rPr>
          <w:rFonts w:hint="eastAsia"/>
          <w:kern w:val="0"/>
          <w:szCs w:val="21"/>
        </w:rPr>
        <w:t>旨在用于支持血库的器械。</w:t>
      </w:r>
    </w:p>
    <w:p w14:paraId="27AC8BF8">
      <w:pPr>
        <w:spacing w:before="163"/>
        <w:rPr>
          <w:kern w:val="0"/>
          <w:szCs w:val="21"/>
        </w:rPr>
      </w:pPr>
      <w:r>
        <w:rPr>
          <w:rFonts w:hint="eastAsia"/>
          <w:kern w:val="0"/>
          <w:szCs w:val="21"/>
        </w:rPr>
        <w:t>下述表格和法规方法旨在辅助贵公司决定合理的监管途径。为辅助管理工作流程，参见“</w:t>
      </w:r>
      <w:r>
        <w:rPr>
          <w:rFonts w:hint="eastAsia"/>
          <w:b/>
          <w:kern w:val="0"/>
          <w:szCs w:val="21"/>
        </w:rPr>
        <w:t>工具系列中已许可试剂和新分析仪的决策图表</w:t>
      </w:r>
      <w:r>
        <w:rPr>
          <w:rFonts w:hint="eastAsia"/>
          <w:kern w:val="0"/>
          <w:szCs w:val="21"/>
        </w:rPr>
        <w:t>”。</w:t>
      </w:r>
    </w:p>
    <w:p w14:paraId="667E1F6A">
      <w:pPr>
        <w:spacing w:before="163"/>
      </w:pPr>
      <w:r>
        <w:br w:type="page"/>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4"/>
        <w:gridCol w:w="3096"/>
        <w:gridCol w:w="3096"/>
      </w:tblGrid>
      <w:tr w14:paraId="7EFF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gridSpan w:val="3"/>
          </w:tcPr>
          <w:p w14:paraId="06A06F6D">
            <w:pPr>
              <w:spacing w:before="65" w:beforeLines="20" w:after="65" w:afterLines="20" w:line="280" w:lineRule="exact"/>
              <w:jc w:val="center"/>
              <w:rPr>
                <w:b/>
              </w:rPr>
            </w:pPr>
            <w:r>
              <w:rPr>
                <w:rFonts w:hint="eastAsia"/>
                <w:b/>
              </w:rPr>
              <w:t>检测系统目前的法规状态</w:t>
            </w:r>
          </w:p>
        </w:tc>
      </w:tr>
      <w:tr w14:paraId="641E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4" w:type="dxa"/>
          </w:tcPr>
          <w:p w14:paraId="29D2A13D">
            <w:pPr>
              <w:spacing w:before="65" w:beforeLines="20" w:after="65" w:afterLines="20" w:line="280" w:lineRule="exact"/>
              <w:rPr>
                <w:b/>
              </w:rPr>
            </w:pPr>
          </w:p>
        </w:tc>
        <w:tc>
          <w:tcPr>
            <w:tcW w:w="3096" w:type="dxa"/>
          </w:tcPr>
          <w:p w14:paraId="15A6DD2E">
            <w:pPr>
              <w:spacing w:before="65" w:beforeLines="20" w:after="65" w:afterLines="20" w:line="280" w:lineRule="exact"/>
              <w:jc w:val="center"/>
              <w:rPr>
                <w:b/>
              </w:rPr>
            </w:pPr>
            <w:r>
              <w:rPr>
                <w:rFonts w:hint="eastAsia"/>
                <w:b/>
              </w:rPr>
              <w:t>获得许可</w:t>
            </w:r>
          </w:p>
        </w:tc>
        <w:tc>
          <w:tcPr>
            <w:tcW w:w="3096" w:type="dxa"/>
          </w:tcPr>
          <w:p w14:paraId="734A2039">
            <w:pPr>
              <w:spacing w:before="65" w:beforeLines="20" w:after="65" w:afterLines="20" w:line="280" w:lineRule="exact"/>
              <w:jc w:val="center"/>
              <w:rPr>
                <w:b/>
              </w:rPr>
            </w:pPr>
            <w:r>
              <w:rPr>
                <w:rFonts w:hint="eastAsia"/>
                <w:b/>
              </w:rPr>
              <w:t>新获得/未获得许可</w:t>
            </w:r>
          </w:p>
        </w:tc>
      </w:tr>
      <w:tr w14:paraId="6A6CF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4" w:type="dxa"/>
          </w:tcPr>
          <w:p w14:paraId="153B05AB">
            <w:pPr>
              <w:spacing w:before="65" w:beforeLines="20" w:after="65" w:afterLines="20" w:line="280" w:lineRule="exact"/>
              <w:rPr>
                <w:b/>
              </w:rPr>
            </w:pPr>
            <w:r>
              <w:rPr>
                <w:rFonts w:hint="eastAsia"/>
                <w:b/>
              </w:rPr>
              <w:t>试剂</w:t>
            </w:r>
          </w:p>
        </w:tc>
        <w:tc>
          <w:tcPr>
            <w:tcW w:w="3096" w:type="dxa"/>
          </w:tcPr>
          <w:p w14:paraId="1F7EE712">
            <w:pPr>
              <w:spacing w:before="65" w:beforeLines="20" w:after="65" w:afterLines="20" w:line="280" w:lineRule="exact"/>
              <w:jc w:val="center"/>
              <w:rPr>
                <w:b/>
              </w:rPr>
            </w:pPr>
            <w:r>
              <w:rPr>
                <w:rFonts w:hint="eastAsia"/>
                <w:b/>
              </w:rPr>
              <w:t>A</w:t>
            </w:r>
          </w:p>
        </w:tc>
        <w:tc>
          <w:tcPr>
            <w:tcW w:w="3096" w:type="dxa"/>
          </w:tcPr>
          <w:p w14:paraId="0DE78048">
            <w:pPr>
              <w:spacing w:before="65" w:beforeLines="20" w:after="65" w:afterLines="20" w:line="280" w:lineRule="exact"/>
              <w:jc w:val="center"/>
              <w:rPr>
                <w:b/>
              </w:rPr>
            </w:pPr>
            <w:r>
              <w:rPr>
                <w:rFonts w:hint="eastAsia"/>
                <w:b/>
              </w:rPr>
              <w:t>B</w:t>
            </w:r>
          </w:p>
        </w:tc>
      </w:tr>
      <w:tr w14:paraId="5931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4" w:type="dxa"/>
          </w:tcPr>
          <w:p w14:paraId="762E0F09">
            <w:pPr>
              <w:spacing w:before="65" w:beforeLines="20" w:after="65" w:afterLines="20" w:line="280" w:lineRule="exact"/>
              <w:rPr>
                <w:b/>
              </w:rPr>
            </w:pPr>
            <w:r>
              <w:rPr>
                <w:rFonts w:hint="eastAsia"/>
                <w:b/>
              </w:rPr>
              <w:t>工具</w:t>
            </w:r>
          </w:p>
        </w:tc>
        <w:tc>
          <w:tcPr>
            <w:tcW w:w="3096" w:type="dxa"/>
          </w:tcPr>
          <w:p w14:paraId="1A6B79B3">
            <w:pPr>
              <w:spacing w:before="65" w:beforeLines="20" w:after="65" w:afterLines="20" w:line="280" w:lineRule="exact"/>
              <w:jc w:val="center"/>
              <w:rPr>
                <w:b/>
              </w:rPr>
            </w:pPr>
            <w:r>
              <w:rPr>
                <w:rFonts w:hint="eastAsia"/>
                <w:b/>
              </w:rPr>
              <w:t>C</w:t>
            </w:r>
          </w:p>
        </w:tc>
        <w:tc>
          <w:tcPr>
            <w:tcW w:w="3096" w:type="dxa"/>
          </w:tcPr>
          <w:p w14:paraId="18D1CBA2">
            <w:pPr>
              <w:spacing w:before="65" w:beforeLines="20" w:after="65" w:afterLines="20" w:line="280" w:lineRule="exact"/>
              <w:jc w:val="center"/>
              <w:rPr>
                <w:b/>
              </w:rPr>
            </w:pPr>
            <w:r>
              <w:rPr>
                <w:rFonts w:hint="eastAsia"/>
                <w:b/>
              </w:rPr>
              <w:t>D</w:t>
            </w:r>
          </w:p>
        </w:tc>
      </w:tr>
    </w:tbl>
    <w:p w14:paraId="56C973E1">
      <w:pPr>
        <w:spacing w:before="163"/>
      </w:pPr>
    </w:p>
    <w:p w14:paraId="6078F1F1">
      <w:pPr>
        <w:spacing w:before="163"/>
        <w:ind w:left="480" w:leftChars="200"/>
        <w:rPr>
          <w:b/>
          <w:u w:val="single"/>
        </w:rPr>
      </w:pPr>
      <w:r>
        <w:rPr>
          <w:rFonts w:hint="eastAsia"/>
          <w:b/>
          <w:u w:val="single"/>
        </w:rPr>
        <w:t>法规状态：</w:t>
      </w:r>
    </w:p>
    <w:p w14:paraId="3EA7E542">
      <w:pPr>
        <w:spacing w:before="163"/>
        <w:ind w:left="480" w:leftChars="200"/>
      </w:pPr>
      <w:r>
        <w:rPr>
          <w:rFonts w:hint="eastAsia"/>
        </w:rPr>
        <w:t>A+C=替换试剂政策</w:t>
      </w:r>
    </w:p>
    <w:p w14:paraId="58F18843">
      <w:pPr>
        <w:spacing w:before="163"/>
        <w:ind w:left="480" w:leftChars="200"/>
      </w:pPr>
      <w:r>
        <w:rPr>
          <w:rFonts w:hint="eastAsia"/>
        </w:rPr>
        <w:t>B+C=新510（k）</w:t>
      </w:r>
    </w:p>
    <w:p w14:paraId="647618A4">
      <w:pPr>
        <w:spacing w:before="163"/>
        <w:ind w:left="480" w:leftChars="200"/>
      </w:pPr>
      <w:r>
        <w:rPr>
          <w:rFonts w:hint="eastAsia"/>
        </w:rPr>
        <w:t>B+D=新510（k）</w:t>
      </w:r>
    </w:p>
    <w:p w14:paraId="13F3C960">
      <w:pPr>
        <w:spacing w:before="163"/>
        <w:ind w:left="480" w:leftChars="200"/>
      </w:pPr>
      <w:r>
        <w:rPr>
          <w:rFonts w:hint="eastAsia"/>
        </w:rPr>
        <w:t>A+D=除属于已许可系列工具之外的新510（k），适用于替换试剂政策。</w:t>
      </w:r>
    </w:p>
    <w:p w14:paraId="64EA0329">
      <w:pPr>
        <w:pStyle w:val="15"/>
        <w:numPr>
          <w:ilvl w:val="0"/>
          <w:numId w:val="1"/>
        </w:numPr>
        <w:tabs>
          <w:tab w:val="left" w:pos="720"/>
        </w:tabs>
        <w:spacing w:before="326" w:beforeLines="100" w:after="163" w:afterLines="50"/>
        <w:ind w:left="0" w:firstLine="0" w:firstLineChars="0"/>
        <w:outlineLvl w:val="0"/>
        <w:rPr>
          <w:b/>
          <w:sz w:val="30"/>
          <w:szCs w:val="30"/>
        </w:rPr>
      </w:pPr>
      <w:bookmarkStart w:id="9" w:name="_Toc478491014"/>
      <w:bookmarkStart w:id="10" w:name="_Toc479366703"/>
      <w:r>
        <w:rPr>
          <w:rFonts w:hint="eastAsia"/>
          <w:b/>
          <w:sz w:val="30"/>
          <w:szCs w:val="30"/>
        </w:rPr>
        <w:t>定义</w:t>
      </w:r>
      <w:bookmarkEnd w:id="9"/>
      <w:bookmarkEnd w:id="10"/>
    </w:p>
    <w:p w14:paraId="70905483">
      <w:pPr>
        <w:spacing w:before="163"/>
      </w:pPr>
      <w:r>
        <w:rPr>
          <w:rFonts w:hint="eastAsia"/>
          <w:b/>
          <w:u w:val="single"/>
        </w:rPr>
        <w:t>试剂</w:t>
      </w:r>
      <w:r>
        <w:rPr>
          <w:rFonts w:hint="eastAsia"/>
        </w:rPr>
        <w:t>是产生或催化反应以便于对分析物进行测定或检测的任何必要物质。经FDA许可的校验仪和质量控制物质也被认为是适用于RR政策的试剂。对涉及增加新分析物的校验仪或质量控制物质进行变更是显著变更，需要进行510（k）并不在本政策范围内，需要提交新510（k）（</w:t>
      </w:r>
      <w:r>
        <w:t>21 CFR 807.81</w:t>
      </w:r>
      <w:r>
        <w:rPr>
          <w:rFonts w:hint="eastAsia"/>
        </w:rPr>
        <w:t>）。</w:t>
      </w:r>
    </w:p>
    <w:p w14:paraId="073DA111">
      <w:pPr>
        <w:spacing w:before="163"/>
        <w:ind w:left="480" w:leftChars="200"/>
      </w:pPr>
      <w:r>
        <w:rPr>
          <w:rFonts w:hint="eastAsia"/>
          <w:b/>
        </w:rPr>
        <w:t>通用试剂</w:t>
      </w:r>
      <w:r>
        <w:rPr>
          <w:rFonts w:hint="eastAsia"/>
        </w:rPr>
        <w:t>适用于手动操作或与任何开放式系统配套使用。这些试剂通常为负责进行性能确认的实验室使用者提供其它选择。</w:t>
      </w:r>
    </w:p>
    <w:p w14:paraId="5F55B935">
      <w:pPr>
        <w:spacing w:before="163"/>
        <w:ind w:left="480" w:leftChars="200"/>
      </w:pPr>
      <w:r>
        <w:rPr>
          <w:rFonts w:hint="eastAsia"/>
          <w:b/>
        </w:rPr>
        <w:t>原始设备制造商（</w:t>
      </w:r>
      <w:r>
        <w:rPr>
          <w:b/>
        </w:rPr>
        <w:t>OEM</w:t>
      </w:r>
      <w:r>
        <w:rPr>
          <w:rFonts w:hint="eastAsia"/>
          <w:b/>
        </w:rPr>
        <w:t>）试剂</w:t>
      </w:r>
      <w:r>
        <w:rPr>
          <w:rFonts w:hint="eastAsia"/>
        </w:rPr>
        <w:t>专门与准用分析仪（封闭或部分封闭系统）配套使用。这些试剂可由分析仪制造商（OEM）制造或由供应商提供。</w:t>
      </w:r>
    </w:p>
    <w:p w14:paraId="2E3349F0">
      <w:pPr>
        <w:spacing w:before="163"/>
        <w:ind w:left="480" w:leftChars="200"/>
      </w:pPr>
      <w:r>
        <w:rPr>
          <w:rFonts w:hint="eastAsia"/>
          <w:b/>
        </w:rPr>
        <w:t>替换试剂</w:t>
      </w:r>
      <w:r>
        <w:rPr>
          <w:rFonts w:hint="eastAsia"/>
        </w:rPr>
        <w:t>（也被称为二级试剂）是与由除</w:t>
      </w:r>
      <w:r>
        <w:t>OEM</w:t>
      </w:r>
      <w:r>
        <w:rPr>
          <w:rFonts w:hint="eastAsia"/>
        </w:rPr>
        <w:t>供应商之外的其它供应商提供的专用分析仪配套使用的通用试剂。替换试剂可针对专用分析仪进行销售和贴标，或可声明用于多个分析仪。</w:t>
      </w:r>
    </w:p>
    <w:p w14:paraId="03066860">
      <w:pPr>
        <w:spacing w:before="163"/>
      </w:pPr>
      <w:r>
        <w:rPr>
          <w:rFonts w:hint="eastAsia"/>
          <w:b/>
          <w:u w:val="single"/>
        </w:rPr>
        <w:t>分析仪</w:t>
      </w:r>
      <w:r>
        <w:rPr>
          <w:rFonts w:hint="eastAsia"/>
        </w:rPr>
        <w:t>是利用计算机控制的、以读取所产生的信号和修改信号或将其转换为结果的方式从供试样品中获得分析结果的器械。</w:t>
      </w:r>
    </w:p>
    <w:p w14:paraId="2440D92D">
      <w:pPr>
        <w:spacing w:before="163"/>
        <w:ind w:left="480" w:leftChars="200"/>
      </w:pPr>
      <w:r>
        <w:rPr>
          <w:rFonts w:hint="eastAsia"/>
          <w:b/>
        </w:rPr>
        <w:t>分析原理</w:t>
      </w:r>
      <w:r>
        <w:rPr>
          <w:rFonts w:hint="eastAsia"/>
        </w:rPr>
        <w:t>依据试验方法（例如，抗体-抗原反应机理）、试验校验（例如，单点-多点）、以及检测模式（例如，光测定或荧光测定）。</w:t>
      </w:r>
    </w:p>
    <w:p w14:paraId="71F08BA7">
      <w:pPr>
        <w:spacing w:before="163"/>
        <w:ind w:left="480" w:leftChars="200"/>
      </w:pPr>
      <w:r>
        <w:rPr>
          <w:rFonts w:hint="eastAsia"/>
          <w:b/>
        </w:rPr>
        <w:t>工具</w:t>
      </w:r>
      <w:r>
        <w:rPr>
          <w:rFonts w:hint="eastAsia"/>
        </w:rPr>
        <w:t>指分析前、分析和/或分析后组件，包括：取样机制、处理和测定人类样品、检测硬件和相关控制软件。</w:t>
      </w:r>
    </w:p>
    <w:p w14:paraId="4BEA8E5C">
      <w:pPr>
        <w:spacing w:before="163"/>
      </w:pPr>
      <w:r>
        <w:br w:type="page"/>
      </w:r>
    </w:p>
    <w:p w14:paraId="32E0D98C">
      <w:pPr>
        <w:spacing w:before="163"/>
        <w:ind w:left="480" w:leftChars="200"/>
      </w:pPr>
      <w:r>
        <w:rPr>
          <w:rFonts w:hint="eastAsia"/>
          <w:b/>
        </w:rPr>
        <w:t>封闭系统</w:t>
      </w:r>
      <w:r>
        <w:rPr>
          <w:rFonts w:hint="eastAsia"/>
        </w:rPr>
        <w:t>是由同一个制造商提供的、仅配套使用的分析仪和OEM试剂。</w:t>
      </w:r>
    </w:p>
    <w:p w14:paraId="4238F131">
      <w:pPr>
        <w:spacing w:before="163"/>
        <w:ind w:left="480" w:leftChars="200"/>
      </w:pPr>
      <w:r>
        <w:rPr>
          <w:rFonts w:hint="eastAsia"/>
          <w:b/>
        </w:rPr>
        <w:t>部分封闭系统</w:t>
      </w:r>
      <w:r>
        <w:rPr>
          <w:rFonts w:hint="eastAsia"/>
        </w:rPr>
        <w:t>是由同一个制造商提供的、配套使用的分析仪和OEM试剂。这些分析仪也可与用于对制造商未提供相应试剂的分析物进行分析的“二级”试剂配套使用。对于后者，将分析仪作为开放系统中的通用分析仪。</w:t>
      </w:r>
    </w:p>
    <w:p w14:paraId="13584426">
      <w:pPr>
        <w:spacing w:before="163"/>
        <w:ind w:left="480" w:leftChars="200"/>
      </w:pPr>
      <w:r>
        <w:rPr>
          <w:rFonts w:hint="eastAsia"/>
          <w:b/>
        </w:rPr>
        <w:t>开放系统</w:t>
      </w:r>
      <w:r>
        <w:rPr>
          <w:rFonts w:hint="eastAsia"/>
        </w:rPr>
        <w:t>是仅与“二级试剂”配套使用的、具备一般使用特征的分析仪。</w:t>
      </w:r>
    </w:p>
    <w:p w14:paraId="02D48ACC">
      <w:pPr>
        <w:spacing w:before="163"/>
        <w:ind w:left="480" w:leftChars="200"/>
      </w:pPr>
      <w:r>
        <w:rPr>
          <w:rFonts w:hint="eastAsia"/>
          <w:b/>
        </w:rPr>
        <w:t>工具系列</w:t>
      </w:r>
      <w:r>
        <w:rPr>
          <w:rFonts w:hint="eastAsia"/>
        </w:rPr>
        <w:t>是由一名制造商制造的、在规定公差范围内，利用源于相同样本的样品能够产生相同分析结果的详细分析仪。工具系列中的不同成员可能配有不同的分析前和分析后配件，如采样和加工器械或应符合器械系列概念的自动数据处理和报告器械。器械系列指一组由不少于2件器械组成的、且同一名制造商或为同一名制造商制造的器械，这些器械应具有：</w:t>
      </w:r>
    </w:p>
    <w:p w14:paraId="7FC59D2E">
      <w:pPr>
        <w:pStyle w:val="15"/>
        <w:numPr>
          <w:ilvl w:val="0"/>
          <w:numId w:val="3"/>
        </w:numPr>
        <w:spacing w:before="163"/>
        <w:ind w:left="960" w:leftChars="200" w:hanging="480" w:hangingChars="200"/>
      </w:pPr>
      <w:r>
        <w:rPr>
          <w:rFonts w:hint="eastAsia"/>
        </w:rPr>
        <w:t>共享一个通用设计历史文件（DHF）的、与器械安全性和有效性相关的基本设计和性能特征（参见21 CFR 820.30（j））。</w:t>
      </w:r>
    </w:p>
    <w:p w14:paraId="7F16E76C">
      <w:pPr>
        <w:pStyle w:val="15"/>
        <w:numPr>
          <w:ilvl w:val="0"/>
          <w:numId w:val="3"/>
        </w:numPr>
        <w:spacing w:before="163"/>
        <w:ind w:left="960" w:leftChars="200" w:hanging="480" w:hangingChars="200"/>
      </w:pPr>
      <w:r>
        <w:rPr>
          <w:rFonts w:hint="eastAsia"/>
        </w:rPr>
        <w:t>预期用途和功能，以及</w:t>
      </w:r>
    </w:p>
    <w:p w14:paraId="3F85B90F">
      <w:pPr>
        <w:pStyle w:val="15"/>
        <w:numPr>
          <w:ilvl w:val="0"/>
          <w:numId w:val="3"/>
        </w:numPr>
        <w:spacing w:before="163"/>
        <w:ind w:left="960" w:leftChars="200" w:hanging="480" w:hangingChars="200"/>
      </w:pPr>
      <w:r>
        <w:rPr>
          <w:rFonts w:hint="eastAsia"/>
        </w:rPr>
        <w:t>器械分类和产品代码。</w:t>
      </w:r>
    </w:p>
    <w:p w14:paraId="7324165A">
      <w:pPr>
        <w:spacing w:before="163"/>
        <w:ind w:left="480" w:leftChars="200"/>
      </w:pPr>
      <w:r>
        <w:rPr>
          <w:rFonts w:hint="eastAsia"/>
          <w:b/>
        </w:rPr>
        <w:t>新工具系列成员</w:t>
      </w:r>
      <w:r>
        <w:rPr>
          <w:rFonts w:hint="eastAsia"/>
        </w:rPr>
        <w:t>是一件对任何工具系列成员的硬件或软件进行改良、且改良范围超出其名称变更或外观变更，但是不包括对分析技术变更（如从光学检测技术变更为基于化学发光的技术）的工具。该工具应与上述工具系列的定义相符。</w:t>
      </w:r>
    </w:p>
    <w:p w14:paraId="0CBCD149">
      <w:pPr>
        <w:spacing w:before="163"/>
        <w:ind w:left="480" w:leftChars="200"/>
      </w:pPr>
      <w:r>
        <w:rPr>
          <w:rFonts w:hint="eastAsia"/>
          <w:b/>
        </w:rPr>
        <w:t>典型系列成员</w:t>
      </w:r>
      <w:r>
        <w:rPr>
          <w:rFonts w:hint="eastAsia"/>
        </w:rPr>
        <w:t>是最能够代表系列基本设计的工具系列成员，该成员不一定是系列中的新增成员。到目前为止，典型工具不应是从原始系列中删除后又重新增加到系列中的新成员（即，重大设计或软件变更）。</w:t>
      </w:r>
    </w:p>
    <w:p w14:paraId="7E211169">
      <w:pPr>
        <w:spacing w:before="163"/>
        <w:ind w:left="480" w:leftChars="200"/>
      </w:pPr>
      <w:r>
        <w:rPr>
          <w:rFonts w:hint="eastAsia"/>
          <w:b/>
        </w:rPr>
        <w:t>检测系统</w:t>
      </w:r>
      <w:r>
        <w:rPr>
          <w:rFonts w:hint="eastAsia"/>
        </w:rPr>
        <w:t>包括进行体外诊断所需的全部检测组件，即，临床试验分析仪、试剂校准仪和对照。</w:t>
      </w:r>
    </w:p>
    <w:p w14:paraId="1864D73A">
      <w:pPr>
        <w:spacing w:before="163"/>
        <w:rPr>
          <w:b/>
          <w:u w:val="single"/>
        </w:rPr>
      </w:pPr>
      <w:r>
        <w:rPr>
          <w:rFonts w:hint="eastAsia"/>
          <w:b/>
          <w:u w:val="single"/>
        </w:rPr>
        <w:t>标签</w:t>
      </w:r>
    </w:p>
    <w:p w14:paraId="23ED8847">
      <w:pPr>
        <w:spacing w:before="163"/>
        <w:ind w:left="480" w:leftChars="200"/>
      </w:pPr>
      <w:r>
        <w:rPr>
          <w:rFonts w:hint="eastAsia"/>
          <w:b/>
        </w:rPr>
        <w:t>操作员手册</w:t>
      </w:r>
      <w:r>
        <w:rPr>
          <w:rFonts w:hint="eastAsia"/>
        </w:rPr>
        <w:t>是工具随附标签，其包括如何对工具进行操作的说明。</w:t>
      </w:r>
    </w:p>
    <w:p w14:paraId="5A05E7AF">
      <w:pPr>
        <w:spacing w:before="163"/>
        <w:ind w:left="480" w:leftChars="200"/>
      </w:pPr>
      <w:r>
        <w:rPr>
          <w:rFonts w:hint="eastAsia"/>
          <w:b/>
        </w:rPr>
        <w:t>包装说明书</w:t>
      </w:r>
      <w:r>
        <w:rPr>
          <w:rFonts w:hint="eastAsia"/>
        </w:rPr>
        <w:t>是提供试验操作说明的试剂标签。</w:t>
      </w:r>
    </w:p>
    <w:p w14:paraId="70F24DE8">
      <w:pPr>
        <w:spacing w:before="163"/>
        <w:ind w:left="480" w:leftChars="200"/>
      </w:pPr>
      <w:r>
        <w:rPr>
          <w:rFonts w:hint="eastAsia"/>
          <w:b/>
        </w:rPr>
        <w:t>应用表</w:t>
      </w:r>
      <w:r>
        <w:rPr>
          <w:rFonts w:hint="eastAsia"/>
        </w:rPr>
        <w:t>应明确包含分析仪设置、容量和参数，以辅助实验室在开放分析仪系统中使用二级试剂。应用表表明分析仪中的试剂能够实现预期性能。</w:t>
      </w:r>
    </w:p>
    <w:p w14:paraId="25F28A52">
      <w:pPr>
        <w:spacing w:before="163"/>
      </w:pPr>
      <w:r>
        <w:br w:type="page"/>
      </w:r>
    </w:p>
    <w:p w14:paraId="4EBC18D2">
      <w:pPr>
        <w:spacing w:before="163"/>
        <w:rPr>
          <w:b/>
          <w:u w:val="single"/>
        </w:rPr>
      </w:pPr>
      <w:r>
        <w:rPr>
          <w:rFonts w:hint="eastAsia"/>
          <w:b/>
          <w:u w:val="single"/>
        </w:rPr>
        <w:t>高风险器械</w:t>
      </w:r>
    </w:p>
    <w:p w14:paraId="2B46E42D">
      <w:pPr>
        <w:spacing w:before="163"/>
      </w:pPr>
      <w:r>
        <w:rPr>
          <w:rFonts w:hint="eastAsia"/>
        </w:rPr>
        <w:t>IVDs具有较高的风险水平，若该器械出现误诊，可能引发重大发病率或死亡率。</w:t>
      </w:r>
    </w:p>
    <w:p w14:paraId="5A36B4FF">
      <w:pPr>
        <w:pStyle w:val="15"/>
        <w:numPr>
          <w:ilvl w:val="0"/>
          <w:numId w:val="1"/>
        </w:numPr>
        <w:tabs>
          <w:tab w:val="left" w:pos="720"/>
        </w:tabs>
        <w:spacing w:before="326" w:beforeLines="100" w:after="163" w:afterLines="50"/>
        <w:ind w:left="0" w:firstLine="0" w:firstLineChars="0"/>
        <w:outlineLvl w:val="0"/>
        <w:rPr>
          <w:b/>
          <w:sz w:val="30"/>
          <w:szCs w:val="30"/>
        </w:rPr>
      </w:pPr>
      <w:bookmarkStart w:id="11" w:name="_Toc478491015"/>
      <w:bookmarkStart w:id="12" w:name="_Toc479366704"/>
      <w:r>
        <w:rPr>
          <w:rFonts w:hint="eastAsia"/>
          <w:b/>
          <w:sz w:val="30"/>
          <w:szCs w:val="30"/>
        </w:rPr>
        <w:t>确认方案的使用</w:t>
      </w:r>
      <w:bookmarkEnd w:id="11"/>
      <w:bookmarkEnd w:id="12"/>
    </w:p>
    <w:p w14:paraId="50225372">
      <w:pPr>
        <w:spacing w:before="163"/>
      </w:pPr>
      <w:r>
        <w:rPr>
          <w:rFonts w:hint="eastAsia"/>
        </w:rPr>
        <w:t>在贵公司使用替换试剂政策前，FDA应针对与典型工具系列成员配套使用的新的、非豁免试剂来备案原始510（k）。工具或试剂制造商均可提交510（k）。为声明工具/分析仪所使用的更换试剂，分析仪应能够执行原始510（k）中所描述的试验方法（例如，免疫分析）。</w:t>
      </w:r>
    </w:p>
    <w:p w14:paraId="1647DA71">
      <w:pPr>
        <w:spacing w:before="163"/>
      </w:pPr>
      <w:r>
        <w:rPr>
          <w:rFonts w:hint="eastAsia"/>
        </w:rPr>
        <w:t>首先，我们建议贵公司根据原始器械许可文件中所使用的评估方案来起草方案并规定验收标准，以确认贵公司拟定的工具/试剂组合。那么，随后，可随时</w:t>
      </w:r>
      <w:bookmarkStart w:id="13" w:name="OLE_LINK1"/>
      <w:r>
        <w:rPr>
          <w:rFonts w:hint="eastAsia"/>
        </w:rPr>
        <w:t>利用贵公司的方案和预先确定的验收标准</w:t>
      </w:r>
      <w:bookmarkEnd w:id="13"/>
      <w:r>
        <w:rPr>
          <w:rFonts w:hint="eastAsia"/>
        </w:rPr>
        <w:t>来确认不同分析仪与已获许可的试剂之间的配套使用，或者，可利用贵公司的方案和预先确定的验收标准来引进新的系列成员工具。我们建议试剂标准具有试验专一性，并且，其设计旨在挑战试验的性能特征。针对引入新工具系列成员的标准应具有方法特异性，但是总体上足以对每种方法中的全部分析物进行评估，并且，其设计旨在挑战全部试验的性能特征。</w:t>
      </w:r>
    </w:p>
    <w:p w14:paraId="3A9CC3C6">
      <w:pPr>
        <w:spacing w:before="163"/>
      </w:pPr>
      <w:r>
        <w:rPr>
          <w:rFonts w:hint="eastAsia"/>
        </w:rPr>
        <w:t>其次，我们建议贵公司在方案中对贵公司相信应完成的研究进行描述，并规定针对每项性能参数的验收标准（例如，方法比较、精密度、参考范围；参见</w:t>
      </w:r>
      <w:r>
        <w:rPr>
          <w:rFonts w:hint="eastAsia"/>
          <w:b/>
        </w:rPr>
        <w:t>研究类型表</w:t>
      </w:r>
      <w:r>
        <w:rPr>
          <w:rFonts w:hint="eastAsia"/>
        </w:rPr>
        <w:t>）。贵公司应在尝试利用新工具平台来确认新工具之前或利用新工具系列成员来确认新工具之前，起草方案。我们建议贵公司通过文件证明特定研究不适用于贵公司器械的原因（如果适用）。应由合理指定的人员对方案进行签名并签署日期，随后，将方案存档早负责执行确认的中心。</w:t>
      </w:r>
    </w:p>
    <w:p w14:paraId="4A301709">
      <w:pPr>
        <w:spacing w:before="163"/>
      </w:pPr>
      <w:r>
        <w:rPr>
          <w:rFonts w:hint="eastAsia"/>
        </w:rPr>
        <w:t>最后，我们建议贵公司利用文件证明工具/试剂组合符合贵公司在贵公司确认文件中预先规定的验收标准。在销售新组合之前，贵公司应收集数据，并将合理的记录保存在执行确认的中心（同样，参见</w:t>
      </w:r>
      <w:r>
        <w:t>21 CFR</w:t>
      </w:r>
      <w:r>
        <w:rPr>
          <w:rFonts w:hint="eastAsia"/>
        </w:rPr>
        <w:t>第</w:t>
      </w:r>
      <w:r>
        <w:t>820.180部分</w:t>
      </w:r>
      <w:r>
        <w:rPr>
          <w:rFonts w:hint="eastAsia"/>
        </w:rPr>
        <w:t>（子部分M-记录））。</w:t>
      </w:r>
    </w:p>
    <w:p w14:paraId="1CFA7F6B">
      <w:pPr>
        <w:spacing w:before="163"/>
      </w:pPr>
      <w:r>
        <w:rPr>
          <w:rFonts w:hint="eastAsia"/>
        </w:rPr>
        <w:t>若备案方案的任何变更或检测系统不符合验收标准，需要提交新510（k）。对于这种情况，我们通常建议提交特殊510（k）。贵公司可联系OIVD，帮助决定贵公司是否需要申请510（k）。</w:t>
      </w:r>
    </w:p>
    <w:p w14:paraId="347B4D31">
      <w:pPr>
        <w:spacing w:before="163"/>
        <w:rPr>
          <w:b/>
        </w:rPr>
      </w:pPr>
      <w:r>
        <w:rPr>
          <w:rFonts w:hint="eastAsia"/>
          <w:b/>
        </w:rPr>
        <w:t>追加提交的撤销</w:t>
      </w:r>
    </w:p>
    <w:p w14:paraId="294022E3">
      <w:pPr>
        <w:spacing w:before="163"/>
      </w:pPr>
      <w:r>
        <w:rPr>
          <w:rFonts w:hint="eastAsia"/>
        </w:rPr>
        <w:t>过去，制造商在引进经改良的检测系统之前，需提交的追加提交，包括确认方案和验收标准。根据我们在RR-政策方面的经验，我们合理的确认方案足以控制器械改良，使其与政策目的保持一致（即，改良不影响器械的安全性和有效性）。因此，贵公司在销售之前均获得许可的不同试剂/工具组合（包括新系列成员）之前，不在需要提交追加提交。根据本文件中的讨论，贵公司应利用文件证明并存档备案贵公司的方案、数据分析和验收标准（参见</w:t>
      </w:r>
      <w:r>
        <w:t>21 CFR 820.180</w:t>
      </w:r>
      <w:r>
        <w:rPr>
          <w:rFonts w:hint="eastAsia"/>
        </w:rPr>
        <w:t>）。</w:t>
      </w:r>
    </w:p>
    <w:p w14:paraId="7D0FE45F">
      <w:pPr>
        <w:spacing w:before="163"/>
        <w:rPr>
          <w:b/>
        </w:rPr>
      </w:pPr>
      <w:r>
        <w:rPr>
          <w:rFonts w:hint="eastAsia"/>
          <w:b/>
        </w:rPr>
        <w:t>临床实验室改进修正案（</w:t>
      </w:r>
      <w:bookmarkStart w:id="14" w:name="OLE_LINK2"/>
      <w:r>
        <w:rPr>
          <w:rFonts w:hint="eastAsia"/>
          <w:b/>
        </w:rPr>
        <w:t>CLIA</w:t>
      </w:r>
      <w:bookmarkEnd w:id="14"/>
      <w:r>
        <w:rPr>
          <w:rFonts w:hint="eastAsia"/>
          <w:b/>
        </w:rPr>
        <w:t>）分类</w:t>
      </w:r>
    </w:p>
    <w:p w14:paraId="18D8804F">
      <w:pPr>
        <w:spacing w:before="163"/>
      </w:pPr>
      <w:r>
        <w:rPr>
          <w:rFonts w:hint="eastAsia"/>
        </w:rPr>
        <w:t>在CLIA中，根据试验的复杂程度，对试验进行归类（</w:t>
      </w:r>
      <w:r>
        <w:t>42 CFR 493.5</w:t>
      </w:r>
      <w:r>
        <w:rPr>
          <w:rFonts w:hint="eastAsia"/>
        </w:rPr>
        <w:t>）。在贵公司为不同试剂/工具组合或新增系列成员申请CLIA分类时，我们建议贵公司也提交所提供信息足够FDA来判定分类的标签。替换试剂应具有包装说明书和/或应用表，并且，一个工具系列成员需具备使用说明（例如，快速参考指南、设定部分或源于操作者手册的操作部分）。为符合本政策范围的检测系统申请CLIA分类时，贵公司应将申请明确指定为“仅针对CLIA分类”（参见行业和/或FDA审查员/员工/或符合性指南草案-CLIA分类的管理程序指南</w:t>
      </w:r>
      <w:r>
        <w:rPr>
          <w:rStyle w:val="14"/>
        </w:rPr>
        <w:footnoteReference w:id="1"/>
      </w:r>
      <w:r>
        <w:rPr>
          <w:rFonts w:hint="eastAsia"/>
        </w:rPr>
        <w:t>）。</w:t>
      </w:r>
    </w:p>
    <w:p w14:paraId="4FD4DF63">
      <w:pPr>
        <w:spacing w:before="163"/>
        <w:rPr>
          <w:b/>
        </w:rPr>
      </w:pPr>
      <w:r>
        <w:rPr>
          <w:rFonts w:hint="eastAsia"/>
          <w:b/>
        </w:rPr>
        <w:t>工具分类</w:t>
      </w:r>
    </w:p>
    <w:p w14:paraId="725C9EC4">
      <w:pPr>
        <w:spacing w:before="163"/>
      </w:pPr>
      <w:r>
        <w:rPr>
          <w:rFonts w:hint="eastAsia"/>
        </w:rPr>
        <w:t>经过大多数自动临床分析仪本身为I类，并且豁免提交</w:t>
      </w:r>
      <w:r>
        <w:t>510（k）</w:t>
      </w:r>
      <w:r>
        <w:rPr>
          <w:rFonts w:hint="eastAsia"/>
        </w:rPr>
        <w:t>，</w:t>
      </w:r>
      <w:r>
        <w:t>但是认为试剂</w:t>
      </w:r>
      <w:r>
        <w:rPr>
          <w:rFonts w:hint="eastAsia"/>
        </w:rPr>
        <w:t>/工具系统是“组合器械”</w:t>
      </w:r>
      <w:r>
        <w:rPr>
          <w:rStyle w:val="14"/>
        </w:rPr>
        <w:footnoteReference w:id="2"/>
      </w:r>
      <w:r>
        <w:rPr>
          <w:rFonts w:hint="eastAsia"/>
        </w:rPr>
        <w:t>。FDA的</w:t>
      </w:r>
      <w:bookmarkStart w:id="15" w:name="OLE_LINK3"/>
      <w:r>
        <w:rPr>
          <w:rFonts w:hint="eastAsia"/>
        </w:rPr>
        <w:t>CFRH上市前通告审查程序指南</w:t>
      </w:r>
      <w:bookmarkEnd w:id="15"/>
      <w:r>
        <w:rPr>
          <w:rFonts w:hint="eastAsia"/>
        </w:rPr>
        <w:t>提供下述：</w:t>
      </w:r>
    </w:p>
    <w:p w14:paraId="4512D2BB">
      <w:pPr>
        <w:spacing w:before="163"/>
        <w:ind w:left="480" w:leftChars="200"/>
      </w:pPr>
      <w:r>
        <w:rPr>
          <w:rFonts w:hint="eastAsia"/>
        </w:rPr>
        <w:t>在其</w:t>
      </w:r>
      <w:r>
        <w:t>510（k）审查过程中</w:t>
      </w:r>
      <w:r>
        <w:rPr>
          <w:rFonts w:hint="eastAsia"/>
        </w:rPr>
        <w:t>，</w:t>
      </w:r>
      <w:r>
        <w:t>中心认为</w:t>
      </w:r>
      <w:r>
        <w:rPr>
          <w:rFonts w:hint="eastAsia"/>
        </w:rPr>
        <w:t>“组合器械”的问题分类和文件要求与单一器械的问题分类和文件要求相同。发现这种器械为SE，除非组合器械按照单独组件进行管理（例如，组合器械可进行拆卸），否则，将这些由不同类别器械组成的器械归类为实质等同器械分类中的最高级别。这种情况下，应按各自的类别对单独管理的部件进行管理。</w:t>
      </w:r>
    </w:p>
    <w:p w14:paraId="50C41BEE">
      <w:pPr>
        <w:spacing w:before="163"/>
      </w:pPr>
      <w:r>
        <w:rPr>
          <w:rFonts w:hint="eastAsia"/>
        </w:rPr>
        <w:t>如果与系统中试剂相关的声明符合预留I类或II类器械的定义（</w:t>
      </w:r>
      <w:r>
        <w:t>21 CFR 860.3；也参见21 CFR 862.9, 864.9或866.9中关于豁免的限制条件</w:t>
      </w:r>
      <w:r>
        <w:rPr>
          <w:rFonts w:hint="eastAsia"/>
        </w:rPr>
        <w:t>），那么，可能必须提交510（k）。分析仪制造商可使用任何获得许可的、非豁免试剂或将新试剂和工具作为组合来提交许可。如果必须提交</w:t>
      </w:r>
      <w:r>
        <w:t>510（k）</w:t>
      </w:r>
      <w:r>
        <w:rPr>
          <w:rFonts w:hint="eastAsia"/>
        </w:rPr>
        <w:t>，</w:t>
      </w:r>
      <w:r>
        <w:t>我们建议贵公司参照FDA的</w:t>
      </w:r>
      <w:r>
        <w:rPr>
          <w:rFonts w:hint="eastAsia"/>
        </w:rPr>
        <w:t>“CFRH上市前通告审查程序指南</w:t>
      </w:r>
      <w:r>
        <w:t>6/30/86 （K86-3）</w:t>
      </w:r>
      <w:r>
        <w:rPr>
          <w:rFonts w:hint="eastAsia"/>
        </w:rPr>
        <w:t>”</w:t>
      </w:r>
      <w:r>
        <w:fldChar w:fldCharType="begin"/>
      </w:r>
      <w:r>
        <w:instrText xml:space="preserve"> HYPERLINK "http://www.fda.gov/cdrh/k863.html" </w:instrText>
      </w:r>
      <w:r>
        <w:fldChar w:fldCharType="separate"/>
      </w:r>
      <w:r>
        <w:rPr>
          <w:rStyle w:val="13"/>
        </w:rPr>
        <w:t>http://www.fda.gov/cdrh/k863.html</w:t>
      </w:r>
      <w:r>
        <w:rPr>
          <w:rStyle w:val="13"/>
        </w:rPr>
        <w:fldChar w:fldCharType="end"/>
      </w:r>
      <w:r>
        <w:rPr>
          <w:rFonts w:hint="eastAsia"/>
        </w:rPr>
        <w:t>。</w:t>
      </w:r>
    </w:p>
    <w:p w14:paraId="6BC6798B">
      <w:pPr>
        <w:spacing w:before="163"/>
        <w:rPr>
          <w:b/>
        </w:rPr>
      </w:pPr>
      <w:r>
        <w:rPr>
          <w:rFonts w:hint="eastAsia"/>
          <w:b/>
        </w:rPr>
        <w:t>特殊510（k）</w:t>
      </w:r>
    </w:p>
    <w:p w14:paraId="08B48343">
      <w:pPr>
        <w:spacing w:before="163"/>
      </w:pPr>
      <w:r>
        <w:rPr>
          <w:rFonts w:hint="eastAsia"/>
        </w:rPr>
        <w:t>相对于传统510（k）而言，特殊</w:t>
      </w:r>
      <w:bookmarkStart w:id="16" w:name="OLE_LINK4"/>
      <w:r>
        <w:rPr>
          <w:rFonts w:hint="eastAsia"/>
        </w:rPr>
        <w:t>510（k）</w:t>
      </w:r>
      <w:bookmarkEnd w:id="16"/>
      <w:r>
        <w:rPr>
          <w:rFonts w:hint="eastAsia"/>
        </w:rPr>
        <w:t>是另一种获得上市前通告的方法。特殊510（k）是用于报告对之前获批器械做出重大改良的最小负担机制（例如，重大设计变更；但是，预期用途的改良需要提交</w:t>
      </w:r>
      <w:r>
        <w:t>510（k）（21 CFR 807.81）</w:t>
      </w:r>
      <w:r>
        <w:rPr>
          <w:rFonts w:hint="eastAsia"/>
        </w:rPr>
        <w:t>）。改良的检测系统不符合确认方案的验收标准，但是符合全部RR-政策要求时，可提交特殊510（k）。参见决策流程。</w:t>
      </w:r>
      <w:r>
        <w:br w:type="page"/>
      </w:r>
    </w:p>
    <w:p w14:paraId="694B1D36">
      <w:pPr>
        <w:spacing w:before="163"/>
        <w:jc w:val="center"/>
        <w:rPr>
          <w:b/>
          <w:sz w:val="30"/>
          <w:szCs w:val="30"/>
        </w:rPr>
      </w:pPr>
      <w:r>
        <w:rPr>
          <w:rFonts w:hint="eastAsia"/>
          <w:b/>
          <w:sz w:val="30"/>
          <w:szCs w:val="30"/>
        </w:rPr>
        <w:t>工具系列中获批试剂和新分析仪的决策图表</w:t>
      </w:r>
    </w:p>
    <w:p w14:paraId="0FBA0233">
      <w:pPr>
        <w:spacing w:before="163"/>
      </w:pPr>
      <w:r>
        <mc:AlternateContent>
          <mc:Choice Requires="wps">
            <w:drawing>
              <wp:anchor distT="0" distB="0" distL="114300" distR="114300" simplePos="0" relativeHeight="251667456" behindDoc="0" locked="0" layoutInCell="1" allowOverlap="1">
                <wp:simplePos x="0" y="0"/>
                <wp:positionH relativeFrom="column">
                  <wp:posOffset>339090</wp:posOffset>
                </wp:positionH>
                <wp:positionV relativeFrom="paragraph">
                  <wp:posOffset>4610100</wp:posOffset>
                </wp:positionV>
                <wp:extent cx="1320165" cy="429260"/>
                <wp:effectExtent l="0" t="0" r="0" b="889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19917" cy="429370"/>
                        </a:xfrm>
                        <a:prstGeom prst="rect">
                          <a:avLst/>
                        </a:prstGeom>
                        <a:solidFill>
                          <a:srgbClr val="FFFFFF"/>
                        </a:solidFill>
                        <a:ln w="9525">
                          <a:noFill/>
                          <a:miter lim="800000"/>
                        </a:ln>
                      </wps:spPr>
                      <wps:txbx>
                        <w:txbxContent>
                          <w:p w14:paraId="6C33F320">
                            <w:pPr>
                              <w:spacing w:before="65" w:beforeLines="20" w:line="240" w:lineRule="auto"/>
                              <w:jc w:val="center"/>
                              <w:rPr>
                                <w:sz w:val="18"/>
                                <w:szCs w:val="18"/>
                              </w:rPr>
                            </w:pPr>
                            <w:r>
                              <w:rPr>
                                <w:rFonts w:hint="eastAsia"/>
                                <w:sz w:val="18"/>
                                <w:szCs w:val="18"/>
                              </w:rPr>
                              <w:t>进入新系列成员引进图表</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6.7pt;margin-top:363pt;height:33.8pt;width:103.95pt;z-index:251667456;mso-width-relative:page;mso-height-relative:page;" fillcolor="#FFFFFF" filled="t" stroked="f" coordsize="21600,21600" o:gfxdata="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jTdQ2QAAAAoBAAAPAAAAAAAAAAEAIAAAACIAAABkcnMvZG93bnJldi54bWxQ&#10;SwECFAAUAAAACACHTuJAEg/YtC8CAABDBAAADgAAAAAAAAABACAAAAAoAQAAZHJzL2Uyb0RvYy54&#10;bWxQSwUGAAAAAAYABgBZAQAAyQUAAAAA&#10;">
                <v:fill on="t" focussize="0,0"/>
                <v:stroke on="f" miterlimit="8" joinstyle="miter"/>
                <v:imagedata o:title=""/>
                <o:lock v:ext="edit" aspectratio="f"/>
                <v:textbox inset="0mm,0mm,0mm,0mm">
                  <w:txbxContent>
                    <w:p w14:paraId="6C33F320">
                      <w:pPr>
                        <w:spacing w:before="65" w:beforeLines="20" w:line="240" w:lineRule="auto"/>
                        <w:jc w:val="center"/>
                        <w:rPr>
                          <w:sz w:val="18"/>
                          <w:szCs w:val="18"/>
                        </w:rPr>
                      </w:pPr>
                      <w:r>
                        <w:rPr>
                          <w:rFonts w:hint="eastAsia"/>
                          <w:sz w:val="18"/>
                          <w:szCs w:val="18"/>
                        </w:rPr>
                        <w:t>进入新系列成员引进图表</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538480</wp:posOffset>
                </wp:positionH>
                <wp:positionV relativeFrom="paragraph">
                  <wp:posOffset>3934460</wp:posOffset>
                </wp:positionV>
                <wp:extent cx="996950" cy="207010"/>
                <wp:effectExtent l="0" t="0" r="0" b="3175"/>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96784" cy="206733"/>
                        </a:xfrm>
                        <a:prstGeom prst="rect">
                          <a:avLst/>
                        </a:prstGeom>
                        <a:solidFill>
                          <a:srgbClr val="FFFFFF"/>
                        </a:solidFill>
                        <a:ln w="9525">
                          <a:noFill/>
                          <a:miter lim="800000"/>
                        </a:ln>
                      </wps:spPr>
                      <wps:txbx>
                        <w:txbxContent>
                          <w:p w14:paraId="51C36D8F">
                            <w:pPr>
                              <w:spacing w:before="65" w:beforeLines="20" w:line="240" w:lineRule="auto"/>
                              <w:jc w:val="center"/>
                              <w:rPr>
                                <w:sz w:val="18"/>
                                <w:szCs w:val="18"/>
                              </w:rPr>
                            </w:pPr>
                            <w:r>
                              <w:rPr>
                                <w:rFonts w:hint="eastAsia"/>
                                <w:sz w:val="18"/>
                                <w:szCs w:val="18"/>
                              </w:rPr>
                              <w:t>新系列成员</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2.4pt;margin-top:309.8pt;height:16.3pt;width:78.5pt;z-index:251666432;mso-width-relative:page;mso-height-relative:page;" fillcolor="#FFFFFF" filled="t" stroked="f" coordsize="21600,21600" o:gfxdata="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73gttgAAAAKAQAADwAAAAAAAAABACAAAAAiAAAAZHJzL2Rvd25yZXYueG1sUEsB&#10;AhQAFAAAAAgAh07iQCrNDOkuAgAAQgQAAA4AAAAAAAAAAQAgAAAAJwEAAGRycy9lMm9Eb2MueG1s&#10;UEsFBgAAAAAGAAYAWQEAAMcFAAAAAA==&#10;">
                <v:fill on="t" focussize="0,0"/>
                <v:stroke on="f" miterlimit="8" joinstyle="miter"/>
                <v:imagedata o:title=""/>
                <o:lock v:ext="edit" aspectratio="f"/>
                <v:textbox inset="0mm,0mm,0mm,0mm">
                  <w:txbxContent>
                    <w:p w14:paraId="51C36D8F">
                      <w:pPr>
                        <w:spacing w:before="65" w:beforeLines="20" w:line="240" w:lineRule="auto"/>
                        <w:jc w:val="center"/>
                        <w:rPr>
                          <w:sz w:val="18"/>
                          <w:szCs w:val="18"/>
                        </w:rPr>
                      </w:pPr>
                      <w:r>
                        <w:rPr>
                          <w:rFonts w:hint="eastAsia"/>
                          <w:sz w:val="18"/>
                          <w:szCs w:val="18"/>
                        </w:rPr>
                        <w:t>新系列成员</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3568065</wp:posOffset>
                </wp:positionH>
                <wp:positionV relativeFrom="paragraph">
                  <wp:posOffset>2814320</wp:posOffset>
                </wp:positionV>
                <wp:extent cx="1693545" cy="214630"/>
                <wp:effectExtent l="0" t="0" r="1905"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93628" cy="214685"/>
                        </a:xfrm>
                        <a:prstGeom prst="rect">
                          <a:avLst/>
                        </a:prstGeom>
                        <a:solidFill>
                          <a:srgbClr val="FFFFFF"/>
                        </a:solidFill>
                        <a:ln w="9525">
                          <a:noFill/>
                          <a:miter lim="800000"/>
                        </a:ln>
                      </wps:spPr>
                      <wps:txbx>
                        <w:txbxContent>
                          <w:p w14:paraId="218B97EB">
                            <w:pPr>
                              <w:spacing w:before="65" w:beforeLines="20" w:line="240" w:lineRule="auto"/>
                              <w:jc w:val="center"/>
                              <w:rPr>
                                <w:sz w:val="18"/>
                                <w:szCs w:val="18"/>
                              </w:rPr>
                            </w:pPr>
                            <w:r>
                              <w:rPr>
                                <w:rFonts w:hint="eastAsia"/>
                                <w:sz w:val="18"/>
                                <w:szCs w:val="18"/>
                              </w:rPr>
                              <w:t>进入试剂替换图表</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80.95pt;margin-top:221.6pt;height:16.9pt;width:133.35pt;z-index:251665408;mso-width-relative:page;mso-height-relative:page;" fillcolor="#FFFFFF" filled="t" stroked="f" coordsize="21600,21600" o:gfxdata="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kNYU2wAAAAsBAAAPAAAAAAAAAAEAIAAAACIAAABkcnMvZG93bnJldi54bWxQ&#10;SwECFAAUAAAACACHTuJAqYh2Ui0CAABCBAAADgAAAAAAAAABACAAAAAqAQAAZHJzL2Uyb0RvYy54&#10;bWxQSwUGAAAAAAYABgBZAQAAyQUAAAAA&#10;">
                <v:fill on="t" focussize="0,0"/>
                <v:stroke on="f" miterlimit="8" joinstyle="miter"/>
                <v:imagedata o:title=""/>
                <o:lock v:ext="edit" aspectratio="f"/>
                <v:textbox inset="0mm,0mm,0mm,0mm">
                  <w:txbxContent>
                    <w:p w14:paraId="218B97EB">
                      <w:pPr>
                        <w:spacing w:before="65" w:beforeLines="20" w:line="240" w:lineRule="auto"/>
                        <w:jc w:val="center"/>
                        <w:rPr>
                          <w:sz w:val="18"/>
                          <w:szCs w:val="18"/>
                        </w:rPr>
                      </w:pPr>
                      <w:r>
                        <w:rPr>
                          <w:rFonts w:hint="eastAsia"/>
                          <w:sz w:val="18"/>
                          <w:szCs w:val="18"/>
                        </w:rPr>
                        <w:t>进入试剂替换图表</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2152650</wp:posOffset>
                </wp:positionH>
                <wp:positionV relativeFrom="paragraph">
                  <wp:posOffset>2726055</wp:posOffset>
                </wp:positionV>
                <wp:extent cx="691515" cy="540385"/>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91763" cy="540689"/>
                        </a:xfrm>
                        <a:prstGeom prst="rect">
                          <a:avLst/>
                        </a:prstGeom>
                        <a:solidFill>
                          <a:srgbClr val="FFFFFF"/>
                        </a:solidFill>
                        <a:ln w="9525">
                          <a:noFill/>
                          <a:miter lim="800000"/>
                        </a:ln>
                      </wps:spPr>
                      <wps:txbx>
                        <w:txbxContent>
                          <w:p w14:paraId="22A03686">
                            <w:pPr>
                              <w:spacing w:before="65" w:beforeLines="20" w:line="240" w:lineRule="auto"/>
                              <w:jc w:val="center"/>
                              <w:rPr>
                                <w:sz w:val="18"/>
                                <w:szCs w:val="18"/>
                              </w:rPr>
                            </w:pPr>
                            <w:r>
                              <w:rPr>
                                <w:rFonts w:hint="eastAsia"/>
                                <w:sz w:val="18"/>
                                <w:szCs w:val="18"/>
                              </w:rPr>
                              <w:t>新分析仪平台所使用的试剂</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9.5pt;margin-top:214.65pt;height:42.55pt;width:54.45pt;z-index:251664384;mso-width-relative:page;mso-height-relative:page;" fillcolor="#FFFFFF" filled="t" stroked="f" coordsize="21600,21600" o:gfxdata="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0tDPNsAAAALAQAADwAAAAAAAAABACAAAAAiAAAAZHJzL2Rvd25yZXYueG1s&#10;UEsBAhQAFAAAAAgAh07iQLWo8VUuAgAAQQQAAA4AAAAAAAAAAQAgAAAAKgEAAGRycy9lMm9Eb2Mu&#10;eG1sUEsFBgAAAAAGAAYAWQEAAMoFAAAAAA==&#10;">
                <v:fill on="t" focussize="0,0"/>
                <v:stroke on="f" miterlimit="8" joinstyle="miter"/>
                <v:imagedata o:title=""/>
                <o:lock v:ext="edit" aspectratio="f"/>
                <v:textbox inset="0mm,0mm,0mm,0mm">
                  <w:txbxContent>
                    <w:p w14:paraId="22A03686">
                      <w:pPr>
                        <w:spacing w:before="65" w:beforeLines="20" w:line="240" w:lineRule="auto"/>
                        <w:jc w:val="center"/>
                        <w:rPr>
                          <w:sz w:val="18"/>
                          <w:szCs w:val="18"/>
                        </w:rPr>
                      </w:pPr>
                      <w:r>
                        <w:rPr>
                          <w:rFonts w:hint="eastAsia"/>
                          <w:sz w:val="18"/>
                          <w:szCs w:val="18"/>
                        </w:rPr>
                        <w:t>新分析仪平台所使用的试剂</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3488690</wp:posOffset>
                </wp:positionH>
                <wp:positionV relativeFrom="paragraph">
                  <wp:posOffset>492125</wp:posOffset>
                </wp:positionV>
                <wp:extent cx="1398905" cy="373380"/>
                <wp:effectExtent l="0" t="0" r="0" b="762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98905" cy="373380"/>
                        </a:xfrm>
                        <a:prstGeom prst="rect">
                          <a:avLst/>
                        </a:prstGeom>
                        <a:solidFill>
                          <a:srgbClr val="FFFFFF"/>
                        </a:solidFill>
                        <a:ln w="9525">
                          <a:noFill/>
                          <a:miter lim="800000"/>
                        </a:ln>
                      </wps:spPr>
                      <wps:txbx>
                        <w:txbxContent>
                          <w:p w14:paraId="7B716CDF">
                            <w:pPr>
                              <w:spacing w:before="65" w:beforeLines="20" w:line="240" w:lineRule="auto"/>
                              <w:jc w:val="center"/>
                              <w:rPr>
                                <w:sz w:val="18"/>
                                <w:szCs w:val="18"/>
                              </w:rPr>
                            </w:pPr>
                            <w:r>
                              <w:rPr>
                                <w:rFonts w:hint="eastAsia"/>
                                <w:sz w:val="18"/>
                                <w:szCs w:val="18"/>
                              </w:rPr>
                              <w:t>自动化器械的设计控制</w:t>
                            </w:r>
                            <w:r>
                              <w:rPr>
                                <w:sz w:val="18"/>
                                <w:szCs w:val="18"/>
                              </w:rPr>
                              <w:t>[820.30（a）（2）（i）]</w:t>
                            </w:r>
                          </w:p>
                          <w:p w14:paraId="706DD760">
                            <w:pPr>
                              <w:spacing w:before="65" w:beforeLines="20" w:line="240" w:lineRule="auto"/>
                              <w:jc w:val="center"/>
                              <w:rPr>
                                <w:sz w:val="18"/>
                                <w:szCs w:val="18"/>
                              </w:rPr>
                            </w:pPr>
                            <w:r>
                              <w:rPr>
                                <w:rFonts w:hint="eastAsia"/>
                                <w:sz w:val="18"/>
                                <w:szCs w:val="18"/>
                              </w:rPr>
                              <w:t>无需</w:t>
                            </w:r>
                            <w:bookmarkStart w:id="17" w:name="OLE_LINK5"/>
                            <w:r>
                              <w:rPr>
                                <w:rFonts w:hint="eastAsia"/>
                                <w:sz w:val="18"/>
                                <w:szCs w:val="18"/>
                              </w:rPr>
                              <w:t>提交510k</w:t>
                            </w:r>
                            <w:bookmarkEnd w:id="17"/>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74.7pt;margin-top:38.75pt;height:29.4pt;width:110.15pt;z-index:251661312;mso-width-relative:page;mso-height-relative:page;" fillcolor="#FFFFFF" filled="t" stroked="f" coordsize="21600,21600" o:gfxdata="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g6Qm2gAAAAoBAAAPAAAAAAAAAAEAIAAAACIAAABkcnMvZG93bnJldi54bWxQ&#10;SwECFAAUAAAACACHTuJAvuuOBy4CAABCBAAADgAAAAAAAAABACAAAAApAQAAZHJzL2Uyb0RvYy54&#10;bWxQSwUGAAAAAAYABgBZAQAAyQUAAAAA&#10;">
                <v:fill on="t" focussize="0,0"/>
                <v:stroke on="f" miterlimit="8" joinstyle="miter"/>
                <v:imagedata o:title=""/>
                <o:lock v:ext="edit" aspectratio="f"/>
                <v:textbox inset="0mm,0mm,0mm,0mm">
                  <w:txbxContent>
                    <w:p w14:paraId="7B716CDF">
                      <w:pPr>
                        <w:spacing w:before="65" w:beforeLines="20" w:line="240" w:lineRule="auto"/>
                        <w:jc w:val="center"/>
                        <w:rPr>
                          <w:sz w:val="18"/>
                          <w:szCs w:val="18"/>
                        </w:rPr>
                      </w:pPr>
                      <w:r>
                        <w:rPr>
                          <w:rFonts w:hint="eastAsia"/>
                          <w:sz w:val="18"/>
                          <w:szCs w:val="18"/>
                        </w:rPr>
                        <w:t>自动化器械的设计控制</w:t>
                      </w:r>
                      <w:r>
                        <w:rPr>
                          <w:sz w:val="18"/>
                          <w:szCs w:val="18"/>
                        </w:rPr>
                        <w:t>[820.30（a）（2）（i）]</w:t>
                      </w:r>
                    </w:p>
                    <w:p w14:paraId="706DD760">
                      <w:pPr>
                        <w:spacing w:before="65" w:beforeLines="20" w:line="240" w:lineRule="auto"/>
                        <w:jc w:val="center"/>
                        <w:rPr>
                          <w:sz w:val="18"/>
                          <w:szCs w:val="18"/>
                        </w:rPr>
                      </w:pPr>
                      <w:r>
                        <w:rPr>
                          <w:rFonts w:hint="eastAsia"/>
                          <w:sz w:val="18"/>
                          <w:szCs w:val="18"/>
                        </w:rPr>
                        <w:t>无需</w:t>
                      </w:r>
                      <w:bookmarkStart w:id="17" w:name="OLE_LINK5"/>
                      <w:r>
                        <w:rPr>
                          <w:rFonts w:hint="eastAsia"/>
                          <w:sz w:val="18"/>
                          <w:szCs w:val="18"/>
                        </w:rPr>
                        <w:t>提交510k</w:t>
                      </w:r>
                      <w:bookmarkEnd w:id="17"/>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577215</wp:posOffset>
                </wp:positionH>
                <wp:positionV relativeFrom="paragraph">
                  <wp:posOffset>2551430</wp:posOffset>
                </wp:positionV>
                <wp:extent cx="874395" cy="882650"/>
                <wp:effectExtent l="0" t="0" r="1905"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74395" cy="882595"/>
                        </a:xfrm>
                        <a:prstGeom prst="rect">
                          <a:avLst/>
                        </a:prstGeom>
                        <a:solidFill>
                          <a:srgbClr val="FFFFFF"/>
                        </a:solidFill>
                        <a:ln w="9525">
                          <a:noFill/>
                          <a:miter lim="800000"/>
                        </a:ln>
                      </wps:spPr>
                      <wps:txbx>
                        <w:txbxContent>
                          <w:p w14:paraId="31CE61E7">
                            <w:pPr>
                              <w:spacing w:before="65" w:beforeLines="20" w:line="240" w:lineRule="auto"/>
                              <w:jc w:val="center"/>
                              <w:rPr>
                                <w:sz w:val="18"/>
                                <w:szCs w:val="18"/>
                              </w:rPr>
                            </w:pPr>
                            <w:r>
                              <w:rPr>
                                <w:rFonts w:hint="eastAsia"/>
                                <w:sz w:val="18"/>
                                <w:szCs w:val="18"/>
                              </w:rPr>
                              <w:t>新分析仪平台所使用的试剂</w:t>
                            </w:r>
                          </w:p>
                          <w:p w14:paraId="7F8A2792">
                            <w:pPr>
                              <w:spacing w:before="65" w:beforeLines="20" w:line="240" w:lineRule="auto"/>
                              <w:jc w:val="center"/>
                              <w:rPr>
                                <w:sz w:val="18"/>
                                <w:szCs w:val="18"/>
                              </w:rPr>
                            </w:pPr>
                            <w:r>
                              <w:rPr>
                                <w:rFonts w:hint="eastAsia"/>
                                <w:sz w:val="18"/>
                                <w:szCs w:val="18"/>
                              </w:rPr>
                              <w:t>或</w:t>
                            </w:r>
                          </w:p>
                          <w:p w14:paraId="3B509EE0">
                            <w:pPr>
                              <w:spacing w:before="65" w:beforeLines="20" w:line="240" w:lineRule="auto"/>
                              <w:jc w:val="center"/>
                              <w:rPr>
                                <w:sz w:val="18"/>
                                <w:szCs w:val="18"/>
                              </w:rPr>
                            </w:pPr>
                            <w:r>
                              <w:rPr>
                                <w:rFonts w:hint="eastAsia"/>
                                <w:sz w:val="18"/>
                                <w:szCs w:val="18"/>
                              </w:rPr>
                              <w:t>引入新系列成员</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5.45pt;margin-top:200.9pt;height:69.5pt;width:68.85pt;z-index:251663360;mso-width-relative:page;mso-height-relative:page;" fillcolor="#FFFFFF" filled="t" stroked="f" coordsize="21600,21600" o:gfxdata="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pEorD2QAAAAoBAAAPAAAAAAAAAAEAIAAAACIAAABkcnMvZG93bnJldi54bWxQSwEC&#10;FAAUAAAACACHTuJAqEZapiwCAABBBAAADgAAAAAAAAABACAAAAAoAQAAZHJzL2Uyb0RvYy54bWxQ&#10;SwUGAAAAAAYABgBZAQAAxgUAAAAA&#10;">
                <v:fill on="t" focussize="0,0"/>
                <v:stroke on="f" miterlimit="8" joinstyle="miter"/>
                <v:imagedata o:title=""/>
                <o:lock v:ext="edit" aspectratio="f"/>
                <v:textbox inset="0mm,0mm,0mm,0mm">
                  <w:txbxContent>
                    <w:p w14:paraId="31CE61E7">
                      <w:pPr>
                        <w:spacing w:before="65" w:beforeLines="20" w:line="240" w:lineRule="auto"/>
                        <w:jc w:val="center"/>
                        <w:rPr>
                          <w:sz w:val="18"/>
                          <w:szCs w:val="18"/>
                        </w:rPr>
                      </w:pPr>
                      <w:r>
                        <w:rPr>
                          <w:rFonts w:hint="eastAsia"/>
                          <w:sz w:val="18"/>
                          <w:szCs w:val="18"/>
                        </w:rPr>
                        <w:t>新分析仪平台所使用的试剂</w:t>
                      </w:r>
                    </w:p>
                    <w:p w14:paraId="7F8A2792">
                      <w:pPr>
                        <w:spacing w:before="65" w:beforeLines="20" w:line="240" w:lineRule="auto"/>
                        <w:jc w:val="center"/>
                        <w:rPr>
                          <w:sz w:val="18"/>
                          <w:szCs w:val="18"/>
                        </w:rPr>
                      </w:pPr>
                      <w:r>
                        <w:rPr>
                          <w:rFonts w:hint="eastAsia"/>
                          <w:sz w:val="18"/>
                          <w:szCs w:val="18"/>
                        </w:rPr>
                        <w:t>或</w:t>
                      </w:r>
                    </w:p>
                    <w:p w14:paraId="3B509EE0">
                      <w:pPr>
                        <w:spacing w:before="65" w:beforeLines="20" w:line="240" w:lineRule="auto"/>
                        <w:jc w:val="center"/>
                        <w:rPr>
                          <w:sz w:val="18"/>
                          <w:szCs w:val="18"/>
                        </w:rPr>
                      </w:pPr>
                      <w:r>
                        <w:rPr>
                          <w:rFonts w:hint="eastAsia"/>
                          <w:sz w:val="18"/>
                          <w:szCs w:val="18"/>
                        </w:rPr>
                        <w:t>引入新系列成员</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1454150</wp:posOffset>
                </wp:positionV>
                <wp:extent cx="874395" cy="207010"/>
                <wp:effectExtent l="0" t="0" r="1905" b="3175"/>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74643" cy="206734"/>
                        </a:xfrm>
                        <a:prstGeom prst="rect">
                          <a:avLst/>
                        </a:prstGeom>
                        <a:solidFill>
                          <a:srgbClr val="FFFFFF"/>
                        </a:solidFill>
                        <a:ln w="9525">
                          <a:noFill/>
                          <a:miter lim="800000"/>
                        </a:ln>
                      </wps:spPr>
                      <wps:txbx>
                        <w:txbxContent>
                          <w:p w14:paraId="333C2601">
                            <w:pPr>
                              <w:spacing w:before="65" w:beforeLines="20" w:line="240" w:lineRule="auto"/>
                              <w:jc w:val="center"/>
                              <w:rPr>
                                <w:sz w:val="18"/>
                                <w:szCs w:val="18"/>
                              </w:rPr>
                            </w:pPr>
                            <w:r>
                              <w:rPr>
                                <w:rFonts w:hint="eastAsia"/>
                                <w:sz w:val="18"/>
                                <w:szCs w:val="18"/>
                              </w:rPr>
                              <w:t>无510k豁免</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7.4pt;margin-top:114.5pt;height:16.3pt;width:68.85pt;z-index:251662336;mso-width-relative:page;mso-height-relative:page;" fillcolor="#FFFFFF" filled="t" stroked="f" coordsize="21600,21600" o:gfxdata="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AhBH2QAAAAoBAAAPAAAAAAAAAAEAIAAAACIAAABkcnMvZG93bnJldi54bWxQ&#10;SwECFAAUAAAACACHTuJAKydS3C8CAABBBAAADgAAAAAAAAABACAAAAAoAQAAZHJzL2Uyb0RvYy54&#10;bWxQSwUGAAAAAAYABgBZAQAAyQUAAAAA&#10;">
                <v:fill on="t" focussize="0,0"/>
                <v:stroke on="f" miterlimit="8" joinstyle="miter"/>
                <v:imagedata o:title=""/>
                <o:lock v:ext="edit" aspectratio="f"/>
                <v:textbox inset="0mm,0mm,0mm,0mm">
                  <w:txbxContent>
                    <w:p w14:paraId="333C2601">
                      <w:pPr>
                        <w:spacing w:before="65" w:beforeLines="20" w:line="240" w:lineRule="auto"/>
                        <w:jc w:val="center"/>
                        <w:rPr>
                          <w:sz w:val="18"/>
                          <w:szCs w:val="18"/>
                        </w:rPr>
                      </w:pPr>
                      <w:r>
                        <w:rPr>
                          <w:rFonts w:hint="eastAsia"/>
                          <w:sz w:val="18"/>
                          <w:szCs w:val="18"/>
                        </w:rPr>
                        <w:t>无510k豁免</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2390775</wp:posOffset>
                </wp:positionH>
                <wp:positionV relativeFrom="paragraph">
                  <wp:posOffset>436880</wp:posOffset>
                </wp:positionV>
                <wp:extent cx="635635" cy="373380"/>
                <wp:effectExtent l="0" t="0" r="0" b="762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5635" cy="373380"/>
                        </a:xfrm>
                        <a:prstGeom prst="rect">
                          <a:avLst/>
                        </a:prstGeom>
                        <a:solidFill>
                          <a:srgbClr val="FFFFFF"/>
                        </a:solidFill>
                        <a:ln w="9525">
                          <a:noFill/>
                          <a:miter lim="800000"/>
                        </a:ln>
                      </wps:spPr>
                      <wps:txbx>
                        <w:txbxContent>
                          <w:p w14:paraId="7AB942F9">
                            <w:pPr>
                              <w:spacing w:before="65" w:beforeLines="20" w:line="240" w:lineRule="auto"/>
                              <w:jc w:val="center"/>
                              <w:rPr>
                                <w:sz w:val="18"/>
                                <w:szCs w:val="18"/>
                              </w:rPr>
                            </w:pPr>
                            <w:r>
                              <w:rPr>
                                <w:rFonts w:hint="eastAsia"/>
                                <w:sz w:val="18"/>
                                <w:szCs w:val="18"/>
                              </w:rPr>
                              <w:t>I类</w:t>
                            </w:r>
                            <w:r>
                              <w:rPr>
                                <w:sz w:val="18"/>
                                <w:szCs w:val="18"/>
                              </w:rPr>
                              <w:br w:type="textWrapping"/>
                            </w:r>
                            <w:r>
                              <w:rPr>
                                <w:rFonts w:hint="eastAsia"/>
                                <w:sz w:val="18"/>
                                <w:szCs w:val="18"/>
                              </w:rPr>
                              <w:t>510k豁免</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88.25pt;margin-top:34.4pt;height:29.4pt;width:50.05pt;z-index:251660288;mso-width-relative:page;mso-height-relative:page;" fillcolor="#FFFFFF" filled="t" stroked="f" coordsize="21600,21600" o:gfxdata="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9ns02AAAAAoBAAAPAAAAAAAAAAEAIAAAACIAAABkcnMvZG93bnJldi54bWxQSwEC&#10;FAAUAAAACACHTuJADXc8dS0CAABBBAAADgAAAAAAAAABACAAAAAnAQAAZHJzL2Uyb0RvYy54bWxQ&#10;SwUGAAAAAAYABgBZAQAAxgUAAAAA&#10;">
                <v:fill on="t" focussize="0,0"/>
                <v:stroke on="f" miterlimit="8" joinstyle="miter"/>
                <v:imagedata o:title=""/>
                <o:lock v:ext="edit" aspectratio="f"/>
                <v:textbox inset="0mm,0mm,0mm,0mm">
                  <w:txbxContent>
                    <w:p w14:paraId="7AB942F9">
                      <w:pPr>
                        <w:spacing w:before="65" w:beforeLines="20" w:line="240" w:lineRule="auto"/>
                        <w:jc w:val="center"/>
                        <w:rPr>
                          <w:sz w:val="18"/>
                          <w:szCs w:val="18"/>
                        </w:rPr>
                      </w:pPr>
                      <w:r>
                        <w:rPr>
                          <w:rFonts w:hint="eastAsia"/>
                          <w:sz w:val="18"/>
                          <w:szCs w:val="18"/>
                        </w:rPr>
                        <w:t>I类</w:t>
                      </w:r>
                      <w:r>
                        <w:rPr>
                          <w:sz w:val="18"/>
                          <w:szCs w:val="18"/>
                        </w:rPr>
                        <w:br w:type="textWrapping"/>
                      </w:r>
                      <w:r>
                        <w:rPr>
                          <w:rFonts w:hint="eastAsia"/>
                          <w:sz w:val="18"/>
                          <w:szCs w:val="18"/>
                        </w:rPr>
                        <w:t>510k豁免</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440055</wp:posOffset>
                </wp:positionH>
                <wp:positionV relativeFrom="paragraph">
                  <wp:posOffset>441325</wp:posOffset>
                </wp:positionV>
                <wp:extent cx="1092200"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92200" cy="1403985"/>
                        </a:xfrm>
                        <a:prstGeom prst="rect">
                          <a:avLst/>
                        </a:prstGeom>
                        <a:solidFill>
                          <a:srgbClr val="FFFFFF"/>
                        </a:solidFill>
                        <a:ln w="9525">
                          <a:noFill/>
                          <a:miter lim="800000"/>
                        </a:ln>
                      </wps:spPr>
                      <wps:txbx>
                        <w:txbxContent>
                          <w:p w14:paraId="2C082575">
                            <w:pPr>
                              <w:spacing w:before="65" w:beforeLines="20" w:line="240" w:lineRule="auto"/>
                              <w:jc w:val="center"/>
                              <w:rPr>
                                <w:b/>
                                <w:sz w:val="18"/>
                                <w:szCs w:val="18"/>
                              </w:rPr>
                            </w:pPr>
                            <w:r>
                              <w:rPr>
                                <w:rFonts w:hint="eastAsia"/>
                                <w:b/>
                                <w:sz w:val="18"/>
                                <w:szCs w:val="18"/>
                              </w:rPr>
                              <w:t>新检测系统</w:t>
                            </w:r>
                          </w:p>
                          <w:p w14:paraId="0D2789FA">
                            <w:pPr>
                              <w:spacing w:before="65" w:beforeLines="20" w:line="240" w:lineRule="auto"/>
                              <w:jc w:val="center"/>
                              <w:rPr>
                                <w:sz w:val="18"/>
                                <w:szCs w:val="18"/>
                              </w:rPr>
                            </w:pPr>
                            <w:r>
                              <w:rPr>
                                <w:rFonts w:hint="eastAsia"/>
                                <w:sz w:val="18"/>
                                <w:szCs w:val="18"/>
                              </w:rPr>
                              <w:t>（试剂/分析仪组合）</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65pt;margin-top:34.75pt;height:110.55pt;width:86pt;z-index:251659264;mso-width-relative:page;mso-height-relative:margin;mso-height-percent:200;" fillcolor="#FFFFFF" filled="t" stroked="f" coordsize="21600,21600" o:gfxdata="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O2pR3XAAAACQEAAA8AAAAAAAAAAQAgAAAAIgAAAGRycy9kb3ducmV2LnhtbFBL&#10;AQIUABQAAAAIAIdO4kCsstluMAIAAEUEAAAOAAAAAAAAAAEAIAAAACYBAABkcnMvZTJvRG9jLnht&#10;bFBLBQYAAAAABgAGAFkBAADIBQAAAAA=&#10;">
                <v:fill on="t" focussize="0,0"/>
                <v:stroke on="f" miterlimit="8" joinstyle="miter"/>
                <v:imagedata o:title=""/>
                <o:lock v:ext="edit" aspectratio="f"/>
                <v:textbox inset="0mm,0mm,0mm,0mm" style="mso-fit-shape-to-text:t;">
                  <w:txbxContent>
                    <w:p w14:paraId="2C082575">
                      <w:pPr>
                        <w:spacing w:before="65" w:beforeLines="20" w:line="240" w:lineRule="auto"/>
                        <w:jc w:val="center"/>
                        <w:rPr>
                          <w:b/>
                          <w:sz w:val="18"/>
                          <w:szCs w:val="18"/>
                        </w:rPr>
                      </w:pPr>
                      <w:r>
                        <w:rPr>
                          <w:rFonts w:hint="eastAsia"/>
                          <w:b/>
                          <w:sz w:val="18"/>
                          <w:szCs w:val="18"/>
                        </w:rPr>
                        <w:t>新检测系统</w:t>
                      </w:r>
                    </w:p>
                    <w:p w14:paraId="0D2789FA">
                      <w:pPr>
                        <w:spacing w:before="65" w:beforeLines="20" w:line="240" w:lineRule="auto"/>
                        <w:jc w:val="center"/>
                        <w:rPr>
                          <w:sz w:val="18"/>
                          <w:szCs w:val="18"/>
                        </w:rPr>
                      </w:pPr>
                      <w:r>
                        <w:rPr>
                          <w:rFonts w:hint="eastAsia"/>
                          <w:sz w:val="18"/>
                          <w:szCs w:val="18"/>
                        </w:rPr>
                        <w:t>（试剂/分析仪组合）</w:t>
                      </w:r>
                    </w:p>
                  </w:txbxContent>
                </v:textbox>
              </v:shape>
            </w:pict>
          </mc:Fallback>
        </mc:AlternateContent>
      </w:r>
      <w:r>
        <w:drawing>
          <wp:inline distT="0" distB="0" distL="0" distR="0">
            <wp:extent cx="5759450" cy="5264785"/>
            <wp:effectExtent l="0" t="0" r="0" b="0"/>
            <wp:docPr id="3" name="图片 3" descr="C:\Users\Administrator\Desktop\9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95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59450" cy="5265112"/>
                    </a:xfrm>
                    <a:prstGeom prst="rect">
                      <a:avLst/>
                    </a:prstGeom>
                    <a:noFill/>
                    <a:ln>
                      <a:noFill/>
                    </a:ln>
                  </pic:spPr>
                </pic:pic>
              </a:graphicData>
            </a:graphic>
          </wp:inline>
        </w:drawing>
      </w:r>
    </w:p>
    <w:p w14:paraId="4815797F">
      <w:pPr>
        <w:spacing w:before="163"/>
      </w:pPr>
    </w:p>
    <w:p w14:paraId="3866B796">
      <w:pPr>
        <w:spacing w:before="163"/>
      </w:pPr>
      <w:r>
        <w:br w:type="page"/>
      </w:r>
    </w:p>
    <w:p w14:paraId="6BC01002">
      <w:pPr>
        <w:spacing w:before="163"/>
        <w:jc w:val="center"/>
        <w:rPr>
          <w:b/>
          <w:sz w:val="30"/>
          <w:szCs w:val="30"/>
        </w:rPr>
      </w:pPr>
      <w:r>
        <w:rPr>
          <w:rFonts w:hint="eastAsia"/>
          <w:b/>
          <w:sz w:val="30"/>
          <w:szCs w:val="30"/>
        </w:rPr>
        <w:t>进入新系列成员引进图表</w:t>
      </w:r>
    </w:p>
    <w:p w14:paraId="4F30FE47">
      <w:pPr>
        <w:spacing w:before="163"/>
      </w:pPr>
      <w:r>
        <mc:AlternateContent>
          <mc:Choice Requires="wps">
            <w:drawing>
              <wp:anchor distT="0" distB="0" distL="114300" distR="114300" simplePos="0" relativeHeight="251676672" behindDoc="0" locked="0" layoutInCell="1" allowOverlap="1">
                <wp:simplePos x="0" y="0"/>
                <wp:positionH relativeFrom="column">
                  <wp:posOffset>1467485</wp:posOffset>
                </wp:positionH>
                <wp:positionV relativeFrom="paragraph">
                  <wp:posOffset>5070475</wp:posOffset>
                </wp:positionV>
                <wp:extent cx="3124835" cy="882650"/>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24945" cy="882595"/>
                        </a:xfrm>
                        <a:prstGeom prst="rect">
                          <a:avLst/>
                        </a:prstGeom>
                        <a:solidFill>
                          <a:srgbClr val="FFFFFF"/>
                        </a:solidFill>
                        <a:ln w="9525">
                          <a:noFill/>
                          <a:miter lim="800000"/>
                        </a:ln>
                      </wps:spPr>
                      <wps:txbx>
                        <w:txbxContent>
                          <w:p w14:paraId="1DC24790">
                            <w:pPr>
                              <w:spacing w:before="65" w:beforeLines="20" w:line="240" w:lineRule="auto"/>
                              <w:rPr>
                                <w:sz w:val="18"/>
                                <w:szCs w:val="18"/>
                              </w:rPr>
                            </w:pPr>
                            <w:r>
                              <w:rPr>
                                <w:rFonts w:hint="eastAsia"/>
                                <w:sz w:val="18"/>
                                <w:szCs w:val="18"/>
                              </w:rPr>
                              <w:t>应利用内部文件记录全部支持对工具系列中新分析仪确认的数据；</w:t>
                            </w:r>
                          </w:p>
                          <w:p w14:paraId="1962FE73">
                            <w:pPr>
                              <w:spacing w:before="65" w:beforeLines="20" w:line="240" w:lineRule="auto"/>
                              <w:rPr>
                                <w:sz w:val="18"/>
                                <w:szCs w:val="18"/>
                              </w:rPr>
                            </w:pPr>
                            <w:r>
                              <w:rPr>
                                <w:rFonts w:hint="eastAsia"/>
                                <w:sz w:val="18"/>
                                <w:szCs w:val="18"/>
                              </w:rPr>
                              <w:t>无需上市后通告或向FDA进行追加提交</w:t>
                            </w:r>
                          </w:p>
                          <w:p w14:paraId="3CA5D1F1">
                            <w:pPr>
                              <w:spacing w:before="65" w:beforeLines="20" w:line="240" w:lineRule="auto"/>
                              <w:rPr>
                                <w:sz w:val="18"/>
                                <w:szCs w:val="18"/>
                              </w:rPr>
                            </w:pPr>
                            <w:r>
                              <w:rPr>
                                <w:rFonts w:hint="eastAsia"/>
                                <w:sz w:val="18"/>
                                <w:szCs w:val="18"/>
                              </w:rPr>
                              <w:t>应记录与新分析仪配套执行预期用途的全部试剂和及其相关510k编号</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15.55pt;margin-top:399.25pt;height:69.5pt;width:246.05pt;z-index:251676672;mso-width-relative:page;mso-height-relative:page;" fillcolor="#FFFFFF" filled="t" stroked="f" coordsize="21600,21600" o:gfxdata="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1XVlPbAAAACwEAAA8AAAAAAAAAAQAgAAAAIgAAAGRycy9kb3ducmV2Lnht&#10;bFBLAQIUABQAAAAIAIdO4kAQ4VCwLwIAAEMEAAAOAAAAAAAAAAEAIAAAACoBAABkcnMvZTJvRG9j&#10;LnhtbFBLBQYAAAAABgAGAFkBAADLBQAAAAA=&#10;">
                <v:fill on="t" focussize="0,0"/>
                <v:stroke on="f" miterlimit="8" joinstyle="miter"/>
                <v:imagedata o:title=""/>
                <o:lock v:ext="edit" aspectratio="f"/>
                <v:textbox inset="0mm,0mm,0mm,0mm">
                  <w:txbxContent>
                    <w:p w14:paraId="1DC24790">
                      <w:pPr>
                        <w:spacing w:before="65" w:beforeLines="20" w:line="240" w:lineRule="auto"/>
                        <w:rPr>
                          <w:sz w:val="18"/>
                          <w:szCs w:val="18"/>
                        </w:rPr>
                      </w:pPr>
                      <w:r>
                        <w:rPr>
                          <w:rFonts w:hint="eastAsia"/>
                          <w:sz w:val="18"/>
                          <w:szCs w:val="18"/>
                        </w:rPr>
                        <w:t>应利用内部文件记录全部支持对工具系列中新分析仪确认的数据；</w:t>
                      </w:r>
                    </w:p>
                    <w:p w14:paraId="1962FE73">
                      <w:pPr>
                        <w:spacing w:before="65" w:beforeLines="20" w:line="240" w:lineRule="auto"/>
                        <w:rPr>
                          <w:sz w:val="18"/>
                          <w:szCs w:val="18"/>
                        </w:rPr>
                      </w:pPr>
                      <w:r>
                        <w:rPr>
                          <w:rFonts w:hint="eastAsia"/>
                          <w:sz w:val="18"/>
                          <w:szCs w:val="18"/>
                        </w:rPr>
                        <w:t>无需上市后通告或向FDA进行追加提交</w:t>
                      </w:r>
                    </w:p>
                    <w:p w14:paraId="3CA5D1F1">
                      <w:pPr>
                        <w:spacing w:before="65" w:beforeLines="20" w:line="240" w:lineRule="auto"/>
                        <w:rPr>
                          <w:sz w:val="18"/>
                          <w:szCs w:val="18"/>
                        </w:rPr>
                      </w:pPr>
                      <w:r>
                        <w:rPr>
                          <w:rFonts w:hint="eastAsia"/>
                          <w:sz w:val="18"/>
                          <w:szCs w:val="18"/>
                        </w:rPr>
                        <w:t>应记录与新分析仪配套执行预期用途的全部试剂和及其相关510k编号</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3614420</wp:posOffset>
                </wp:positionH>
                <wp:positionV relativeFrom="paragraph">
                  <wp:posOffset>2917190</wp:posOffset>
                </wp:positionV>
                <wp:extent cx="1637665" cy="842645"/>
                <wp:effectExtent l="0" t="0" r="635"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37968" cy="842341"/>
                        </a:xfrm>
                        <a:prstGeom prst="rect">
                          <a:avLst/>
                        </a:prstGeom>
                        <a:solidFill>
                          <a:srgbClr val="FFFFFF"/>
                        </a:solidFill>
                        <a:ln w="9525">
                          <a:noFill/>
                          <a:miter lim="800000"/>
                        </a:ln>
                      </wps:spPr>
                      <wps:txbx>
                        <w:txbxContent>
                          <w:p w14:paraId="5302BAAA">
                            <w:pPr>
                              <w:spacing w:before="65" w:beforeLines="20" w:line="240" w:lineRule="auto"/>
                              <w:jc w:val="center"/>
                              <w:rPr>
                                <w:sz w:val="18"/>
                                <w:szCs w:val="18"/>
                              </w:rPr>
                            </w:pPr>
                            <w:r>
                              <w:rPr>
                                <w:rFonts w:hint="eastAsia"/>
                                <w:sz w:val="18"/>
                                <w:szCs w:val="18"/>
                              </w:rPr>
                              <w:t>应提交特殊510k，以覆盖全部经510k许可用于工具系列的试剂</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84.6pt;margin-top:229.7pt;height:66.35pt;width:128.95pt;z-index:251675648;mso-width-relative:page;mso-height-relative:page;" fillcolor="#FFFFFF" filled="t" stroked="f" coordsize="21600,21600" o:gfxdata="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xzn7M2gAAAAsBAAAPAAAAAAAAAAEAIAAAACIAAABkcnMvZG93bnJldi54bWxQ&#10;SwECFAAUAAAACACHTuJAjvs+Gi4CAABDBAAADgAAAAAAAAABACAAAAApAQAAZHJzL2Uyb0RvYy54&#10;bWxQSwUGAAAAAAYABgBZAQAAyQUAAAAA&#10;">
                <v:fill on="t" focussize="0,0"/>
                <v:stroke on="f" miterlimit="8" joinstyle="miter"/>
                <v:imagedata o:title=""/>
                <o:lock v:ext="edit" aspectratio="f"/>
                <v:textbox inset="0mm,0mm,0mm,0mm">
                  <w:txbxContent>
                    <w:p w14:paraId="5302BAAA">
                      <w:pPr>
                        <w:spacing w:before="65" w:beforeLines="20" w:line="240" w:lineRule="auto"/>
                        <w:jc w:val="center"/>
                        <w:rPr>
                          <w:sz w:val="18"/>
                          <w:szCs w:val="18"/>
                        </w:rPr>
                      </w:pPr>
                      <w:r>
                        <w:rPr>
                          <w:rFonts w:hint="eastAsia"/>
                          <w:sz w:val="18"/>
                          <w:szCs w:val="18"/>
                        </w:rPr>
                        <w:t>应提交特殊510k，以覆盖全部经510k许可用于工具系列的试剂</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601345</wp:posOffset>
                </wp:positionH>
                <wp:positionV relativeFrom="paragraph">
                  <wp:posOffset>2924810</wp:posOffset>
                </wp:positionV>
                <wp:extent cx="866140" cy="834390"/>
                <wp:effectExtent l="0" t="0" r="0" b="3810"/>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6113" cy="834390"/>
                        </a:xfrm>
                        <a:prstGeom prst="rect">
                          <a:avLst/>
                        </a:prstGeom>
                        <a:solidFill>
                          <a:srgbClr val="FFFFFF"/>
                        </a:solidFill>
                        <a:ln w="9525">
                          <a:noFill/>
                          <a:miter lim="800000"/>
                        </a:ln>
                      </wps:spPr>
                      <wps:txbx>
                        <w:txbxContent>
                          <w:p w14:paraId="3F982A0A">
                            <w:pPr>
                              <w:spacing w:before="65" w:beforeLines="20" w:line="240" w:lineRule="auto"/>
                              <w:jc w:val="center"/>
                              <w:rPr>
                                <w:sz w:val="18"/>
                                <w:szCs w:val="18"/>
                              </w:rPr>
                            </w:pPr>
                            <w:r>
                              <w:rPr>
                                <w:rFonts w:hint="eastAsia"/>
                                <w:sz w:val="18"/>
                                <w:szCs w:val="18"/>
                              </w:rPr>
                              <w:t>新型号是否符合贵公司确认中所定义的验收标准</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7.35pt;margin-top:230.3pt;height:65.7pt;width:68.2pt;z-index:251674624;mso-width-relative:page;mso-height-relative:page;" fillcolor="#FFFFFF" filled="t" stroked="f" coordsize="21600,21600" o:gfxdata="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FO0inaAAAACgEAAA8AAAAAAAAAAQAgAAAAIgAAAGRycy9kb3ducmV2LnhtbFBL&#10;AQIUABQAAAAIAIdO4kBFg8kaLQIAAEIEAAAOAAAAAAAAAAEAIAAAACkBAABkcnMvZTJvRG9jLnht&#10;bFBLBQYAAAAABgAGAFkBAADIBQAAAAA=&#10;">
                <v:fill on="t" focussize="0,0"/>
                <v:stroke on="f" miterlimit="8" joinstyle="miter"/>
                <v:imagedata o:title=""/>
                <o:lock v:ext="edit" aspectratio="f"/>
                <v:textbox inset="0mm,0mm,0mm,0mm">
                  <w:txbxContent>
                    <w:p w14:paraId="3F982A0A">
                      <w:pPr>
                        <w:spacing w:before="65" w:beforeLines="20" w:line="240" w:lineRule="auto"/>
                        <w:jc w:val="center"/>
                        <w:rPr>
                          <w:sz w:val="18"/>
                          <w:szCs w:val="18"/>
                        </w:rPr>
                      </w:pPr>
                      <w:r>
                        <w:rPr>
                          <w:rFonts w:hint="eastAsia"/>
                          <w:sz w:val="18"/>
                          <w:szCs w:val="18"/>
                        </w:rPr>
                        <w:t>新型号是否符合贵公司确认中所定义的验收标准</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3241040</wp:posOffset>
                </wp:positionV>
                <wp:extent cx="334010" cy="198755"/>
                <wp:effectExtent l="0" t="0" r="9525" b="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3954" cy="198782"/>
                        </a:xfrm>
                        <a:prstGeom prst="rect">
                          <a:avLst/>
                        </a:prstGeom>
                        <a:solidFill>
                          <a:srgbClr val="FFFFFF"/>
                        </a:solidFill>
                        <a:ln w="9525">
                          <a:noFill/>
                          <a:miter lim="800000"/>
                        </a:ln>
                      </wps:spPr>
                      <wps:txbx>
                        <w:txbxContent>
                          <w:p w14:paraId="33D805CA">
                            <w:pPr>
                              <w:spacing w:before="65" w:beforeLines="20" w:line="240" w:lineRule="auto"/>
                              <w:jc w:val="center"/>
                              <w:rPr>
                                <w:sz w:val="18"/>
                                <w:szCs w:val="18"/>
                              </w:rPr>
                            </w:pPr>
                            <w:r>
                              <w:rPr>
                                <w:rFonts w:hint="eastAsia"/>
                                <w:sz w:val="18"/>
                                <w:szCs w:val="18"/>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88.25pt;margin-top:255.2pt;height:15.65pt;width:26.3pt;z-index:251673600;mso-width-relative:page;mso-height-relative:page;" fillcolor="#FFFFFF" filled="t" stroked="f" coordsize="21600,21600" o:gfxdata="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7IVl2wAAAAsBAAAPAAAAAAAAAAEAIAAAACIAAABkcnMvZG93bnJldi54bWxQ&#10;SwECFAAUAAAACACHTuJABBC53S0CAABCBAAADgAAAAAAAAABACAAAAAqAQAAZHJzL2Uyb0RvYy54&#10;bWxQSwUGAAAAAAYABgBZAQAAyQUAAAAA&#10;">
                <v:fill on="t" focussize="0,0"/>
                <v:stroke on="f" miterlimit="8" joinstyle="miter"/>
                <v:imagedata o:title=""/>
                <o:lock v:ext="edit" aspectratio="f"/>
                <v:textbox inset="0mm,0mm,0mm,0mm">
                  <w:txbxContent>
                    <w:p w14:paraId="33D805CA">
                      <w:pPr>
                        <w:spacing w:before="65" w:beforeLines="20" w:line="240" w:lineRule="auto"/>
                        <w:jc w:val="center"/>
                        <w:rPr>
                          <w:sz w:val="18"/>
                          <w:szCs w:val="18"/>
                        </w:rPr>
                      </w:pPr>
                      <w:r>
                        <w:rPr>
                          <w:rFonts w:hint="eastAsia"/>
                          <w:sz w:val="18"/>
                          <w:szCs w:val="18"/>
                        </w:rPr>
                        <w:t>否</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2279650</wp:posOffset>
                </wp:positionH>
                <wp:positionV relativeFrom="paragraph">
                  <wp:posOffset>895985</wp:posOffset>
                </wp:positionV>
                <wp:extent cx="334010" cy="198755"/>
                <wp:effectExtent l="0" t="0" r="9525"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3954" cy="198782"/>
                        </a:xfrm>
                        <a:prstGeom prst="rect">
                          <a:avLst/>
                        </a:prstGeom>
                        <a:solidFill>
                          <a:srgbClr val="FFFFFF"/>
                        </a:solidFill>
                        <a:ln w="9525">
                          <a:noFill/>
                          <a:miter lim="800000"/>
                        </a:ln>
                      </wps:spPr>
                      <wps:txbx>
                        <w:txbxContent>
                          <w:p w14:paraId="45C939CD">
                            <w:pPr>
                              <w:spacing w:before="65" w:beforeLines="20" w:line="240" w:lineRule="auto"/>
                              <w:jc w:val="center"/>
                              <w:rPr>
                                <w:sz w:val="18"/>
                                <w:szCs w:val="18"/>
                              </w:rPr>
                            </w:pPr>
                            <w:r>
                              <w:rPr>
                                <w:rFonts w:hint="eastAsia"/>
                                <w:sz w:val="18"/>
                                <w:szCs w:val="18"/>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79.5pt;margin-top:70.55pt;height:15.65pt;width:26.3pt;z-index:251672576;mso-width-relative:page;mso-height-relative:page;" fillcolor="#FFFFFF" filled="t" stroked="f" coordsize="21600,21600" o:gfxdata="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Isg6k2QAAAAsBAAAPAAAAAAAAAAEAIAAAACIAAABkcnMvZG93bnJldi54bWxQ&#10;SwECFAAUAAAACACHTuJAabZu0i8CAABCBAAADgAAAAAAAAABACAAAAAoAQAAZHJzL2Uyb0RvYy54&#10;bWxQSwUGAAAAAAYABgBZAQAAyQUAAAAA&#10;">
                <v:fill on="t" focussize="0,0"/>
                <v:stroke on="f" miterlimit="8" joinstyle="miter"/>
                <v:imagedata o:title=""/>
                <o:lock v:ext="edit" aspectratio="f"/>
                <v:textbox inset="0mm,0mm,0mm,0mm">
                  <w:txbxContent>
                    <w:p w14:paraId="45C939CD">
                      <w:pPr>
                        <w:spacing w:before="65" w:beforeLines="20" w:line="240" w:lineRule="auto"/>
                        <w:jc w:val="center"/>
                        <w:rPr>
                          <w:sz w:val="18"/>
                          <w:szCs w:val="18"/>
                        </w:rPr>
                      </w:pPr>
                      <w:r>
                        <w:rPr>
                          <w:rFonts w:hint="eastAsia"/>
                          <w:sz w:val="18"/>
                          <w:szCs w:val="18"/>
                        </w:rPr>
                        <w:t>否</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1481455</wp:posOffset>
                </wp:positionH>
                <wp:positionV relativeFrom="paragraph">
                  <wp:posOffset>4332605</wp:posOffset>
                </wp:positionV>
                <wp:extent cx="501015" cy="19875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0932" cy="198782"/>
                        </a:xfrm>
                        <a:prstGeom prst="rect">
                          <a:avLst/>
                        </a:prstGeom>
                        <a:solidFill>
                          <a:srgbClr val="FFFFFF"/>
                        </a:solidFill>
                        <a:ln w="9525">
                          <a:noFill/>
                          <a:miter lim="800000"/>
                        </a:ln>
                      </wps:spPr>
                      <wps:txbx>
                        <w:txbxContent>
                          <w:p w14:paraId="4753C392">
                            <w:pPr>
                              <w:spacing w:before="65" w:beforeLines="20" w:line="240" w:lineRule="auto"/>
                              <w:jc w:val="center"/>
                              <w:rPr>
                                <w:sz w:val="18"/>
                                <w:szCs w:val="18"/>
                              </w:rPr>
                            </w:pPr>
                            <w:r>
                              <w:rPr>
                                <w:rFonts w:hint="eastAsia"/>
                                <w:sz w:val="18"/>
                                <w:szCs w:val="18"/>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16.65pt;margin-top:341.15pt;height:15.65pt;width:39.45pt;z-index:251671552;mso-width-relative:page;mso-height-relative:page;" fillcolor="#FFFFFF" filled="t" stroked="f" coordsize="21600,21600" o:gfxdata="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nZzYLZAAAACwEAAA8AAAAAAAAAAQAgAAAAIgAAAGRycy9kb3ducmV2LnhtbFBL&#10;AQIUABQAAAAIAIdO4kA6AjJQLgIAAEIEAAAOAAAAAAAAAAEAIAAAACgBAABkcnMvZTJvRG9jLnht&#10;bFBLBQYAAAAABgAGAFkBAADIBQAAAAA=&#10;">
                <v:fill on="t" focussize="0,0"/>
                <v:stroke on="f" miterlimit="8" joinstyle="miter"/>
                <v:imagedata o:title=""/>
                <o:lock v:ext="edit" aspectratio="f"/>
                <v:textbox inset="0mm,0mm,0mm,0mm">
                  <w:txbxContent>
                    <w:p w14:paraId="4753C392">
                      <w:pPr>
                        <w:spacing w:before="65" w:beforeLines="20" w:line="240" w:lineRule="auto"/>
                        <w:jc w:val="center"/>
                        <w:rPr>
                          <w:sz w:val="18"/>
                          <w:szCs w:val="18"/>
                        </w:rPr>
                      </w:pPr>
                      <w:r>
                        <w:rPr>
                          <w:rFonts w:hint="eastAsia"/>
                          <w:sz w:val="18"/>
                          <w:szCs w:val="18"/>
                        </w:rPr>
                        <w:t>是</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774700</wp:posOffset>
                </wp:positionH>
                <wp:positionV relativeFrom="paragraph">
                  <wp:posOffset>2130425</wp:posOffset>
                </wp:positionV>
                <wp:extent cx="501015" cy="19875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0932" cy="198782"/>
                        </a:xfrm>
                        <a:prstGeom prst="rect">
                          <a:avLst/>
                        </a:prstGeom>
                        <a:solidFill>
                          <a:srgbClr val="FFFFFF"/>
                        </a:solidFill>
                        <a:ln w="9525">
                          <a:noFill/>
                          <a:miter lim="800000"/>
                        </a:ln>
                      </wps:spPr>
                      <wps:txbx>
                        <w:txbxContent>
                          <w:p w14:paraId="43E27F46">
                            <w:pPr>
                              <w:spacing w:before="65" w:beforeLines="20" w:line="240" w:lineRule="auto"/>
                              <w:jc w:val="center"/>
                              <w:rPr>
                                <w:sz w:val="18"/>
                                <w:szCs w:val="18"/>
                              </w:rPr>
                            </w:pPr>
                            <w:r>
                              <w:rPr>
                                <w:rFonts w:hint="eastAsia"/>
                                <w:sz w:val="18"/>
                                <w:szCs w:val="18"/>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61pt;margin-top:167.75pt;height:15.65pt;width:39.45pt;z-index:251670528;mso-width-relative:page;mso-height-relative:page;" fillcolor="#FFFFFF" filled="t" stroked="f" coordsize="21600,21600" o:gfxdata="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nmRetkAAAALAQAADwAAAAAAAAABACAAAAAiAAAAZHJzL2Rvd25yZXYueG1sUEsB&#10;AhQAFAAAAAgAh07iQGZ3uT4tAgAAQgQAAA4AAAAAAAAAAQAgAAAAKAEAAGRycy9lMm9Eb2MueG1s&#10;UEsFBgAAAAAGAAYAWQEAAMcFAAAAAA==&#10;">
                <v:fill on="t" focussize="0,0"/>
                <v:stroke on="f" miterlimit="8" joinstyle="miter"/>
                <v:imagedata o:title=""/>
                <o:lock v:ext="edit" aspectratio="f"/>
                <v:textbox inset="0mm,0mm,0mm,0mm">
                  <w:txbxContent>
                    <w:p w14:paraId="43E27F46">
                      <w:pPr>
                        <w:spacing w:before="65" w:beforeLines="20" w:line="240" w:lineRule="auto"/>
                        <w:jc w:val="center"/>
                        <w:rPr>
                          <w:sz w:val="18"/>
                          <w:szCs w:val="18"/>
                        </w:rPr>
                      </w:pPr>
                      <w:r>
                        <w:rPr>
                          <w:rFonts w:hint="eastAsia"/>
                          <w:sz w:val="18"/>
                          <w:szCs w:val="18"/>
                        </w:rPr>
                        <w:t>是</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2851785</wp:posOffset>
                </wp:positionH>
                <wp:positionV relativeFrom="paragraph">
                  <wp:posOffset>641985</wp:posOffset>
                </wp:positionV>
                <wp:extent cx="2091055" cy="779145"/>
                <wp:effectExtent l="0" t="0" r="4445" b="1905"/>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91193" cy="779228"/>
                        </a:xfrm>
                        <a:prstGeom prst="rect">
                          <a:avLst/>
                        </a:prstGeom>
                        <a:solidFill>
                          <a:srgbClr val="FFFFFF"/>
                        </a:solidFill>
                        <a:ln w="9525">
                          <a:noFill/>
                          <a:miter lim="800000"/>
                        </a:ln>
                      </wps:spPr>
                      <wps:txbx>
                        <w:txbxContent>
                          <w:p w14:paraId="12E641F9">
                            <w:pPr>
                              <w:spacing w:before="65" w:beforeLines="20" w:line="240" w:lineRule="auto"/>
                              <w:jc w:val="center"/>
                              <w:rPr>
                                <w:sz w:val="18"/>
                                <w:szCs w:val="18"/>
                              </w:rPr>
                            </w:pPr>
                            <w:r>
                              <w:rPr>
                                <w:rFonts w:hint="eastAsia"/>
                                <w:sz w:val="18"/>
                                <w:szCs w:val="18"/>
                              </w:rPr>
                              <w:t>应提交传统510k</w:t>
                            </w:r>
                          </w:p>
                          <w:p w14:paraId="74D50A5B">
                            <w:pPr>
                              <w:spacing w:before="65" w:beforeLines="20" w:line="240" w:lineRule="auto"/>
                              <w:jc w:val="center"/>
                              <w:rPr>
                                <w:sz w:val="18"/>
                                <w:szCs w:val="18"/>
                              </w:rPr>
                            </w:pPr>
                            <w:r>
                              <w:rPr>
                                <w:rFonts w:hint="eastAsia"/>
                                <w:sz w:val="18"/>
                                <w:szCs w:val="18"/>
                              </w:rPr>
                              <w:t>仅对根据分析仪标准进行性能构建的每种方法进行分析</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24.55pt;margin-top:50.55pt;height:61.35pt;width:164.65pt;z-index:251669504;mso-width-relative:page;mso-height-relative:page;" fillcolor="#FFFFFF" filled="t" stroked="f" coordsize="21600,21600" o:gfxdata="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rhmeNoAAAALAQAADwAAAAAAAAABACAAAAAiAAAAZHJzL2Rvd25yZXYueG1s&#10;UEsBAhQAFAAAAAgAh07iQFS0PHwvAgAAQwQAAA4AAAAAAAAAAQAgAAAAKQEAAGRycy9lMm9Eb2Mu&#10;eG1sUEsFBgAAAAAGAAYAWQEAAMoFAAAAAA==&#10;">
                <v:fill on="t" focussize="0,0"/>
                <v:stroke on="f" miterlimit="8" joinstyle="miter"/>
                <v:imagedata o:title=""/>
                <o:lock v:ext="edit" aspectratio="f"/>
                <v:textbox inset="0mm,0mm,0mm,0mm">
                  <w:txbxContent>
                    <w:p w14:paraId="12E641F9">
                      <w:pPr>
                        <w:spacing w:before="65" w:beforeLines="20" w:line="240" w:lineRule="auto"/>
                        <w:jc w:val="center"/>
                        <w:rPr>
                          <w:sz w:val="18"/>
                          <w:szCs w:val="18"/>
                        </w:rPr>
                      </w:pPr>
                      <w:r>
                        <w:rPr>
                          <w:rFonts w:hint="eastAsia"/>
                          <w:sz w:val="18"/>
                          <w:szCs w:val="18"/>
                        </w:rPr>
                        <w:t>应提交传统510k</w:t>
                      </w:r>
                    </w:p>
                    <w:p w14:paraId="74D50A5B">
                      <w:pPr>
                        <w:spacing w:before="65" w:beforeLines="20" w:line="240" w:lineRule="auto"/>
                        <w:jc w:val="center"/>
                        <w:rPr>
                          <w:sz w:val="18"/>
                          <w:szCs w:val="18"/>
                        </w:rPr>
                      </w:pPr>
                      <w:r>
                        <w:rPr>
                          <w:rFonts w:hint="eastAsia"/>
                          <w:sz w:val="18"/>
                          <w:szCs w:val="18"/>
                        </w:rPr>
                        <w:t>仅对根据分析仪标准进行性能构建的每种方法进行分析</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601980</wp:posOffset>
                </wp:positionH>
                <wp:positionV relativeFrom="paragraph">
                  <wp:posOffset>563880</wp:posOffset>
                </wp:positionV>
                <wp:extent cx="882650" cy="930275"/>
                <wp:effectExtent l="0" t="0" r="0" b="3175"/>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82594" cy="930302"/>
                        </a:xfrm>
                        <a:prstGeom prst="rect">
                          <a:avLst/>
                        </a:prstGeom>
                        <a:solidFill>
                          <a:srgbClr val="FFFFFF"/>
                        </a:solidFill>
                        <a:ln w="9525">
                          <a:noFill/>
                          <a:miter lim="800000"/>
                        </a:ln>
                      </wps:spPr>
                      <wps:txbx>
                        <w:txbxContent>
                          <w:p w14:paraId="558ADA5C">
                            <w:pPr>
                              <w:spacing w:before="65" w:beforeLines="20" w:line="240" w:lineRule="auto"/>
                              <w:jc w:val="center"/>
                              <w:rPr>
                                <w:sz w:val="18"/>
                                <w:szCs w:val="18"/>
                              </w:rPr>
                            </w:pPr>
                          </w:p>
                          <w:p w14:paraId="7BED91E9">
                            <w:pPr>
                              <w:spacing w:before="65" w:beforeLines="20" w:line="240" w:lineRule="auto"/>
                              <w:jc w:val="center"/>
                              <w:rPr>
                                <w:sz w:val="18"/>
                                <w:szCs w:val="18"/>
                              </w:rPr>
                            </w:pPr>
                            <w:r>
                              <w:rPr>
                                <w:rFonts w:hint="eastAsia"/>
                                <w:sz w:val="18"/>
                                <w:szCs w:val="18"/>
                              </w:rPr>
                              <w:t>新分析仪符合“系列成员”的定义</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47.4pt;margin-top:44.4pt;height:73.25pt;width:69.5pt;z-index:251668480;mso-width-relative:page;mso-height-relative:page;" fillcolor="#FFFFFF" filled="t" stroked="f" coordsize="21600,21600" o:gfxdata="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29fqzXAAAACQEAAA8AAAAAAAAAAQAgAAAAIgAAAGRycy9kb3ducmV2LnhtbFBLAQIU&#10;ABQAAAAIAIdO4kCg6Gy0LQIAAEIEAAAOAAAAAAAAAAEAIAAAACYBAABkcnMvZTJvRG9jLnhtbFBL&#10;BQYAAAAABgAGAFkBAADFBQAAAAA=&#10;">
                <v:fill on="t" focussize="0,0"/>
                <v:stroke on="f" miterlimit="8" joinstyle="miter"/>
                <v:imagedata o:title=""/>
                <o:lock v:ext="edit" aspectratio="f"/>
                <v:textbox inset="0mm,0mm,0mm,0mm">
                  <w:txbxContent>
                    <w:p w14:paraId="558ADA5C">
                      <w:pPr>
                        <w:spacing w:before="65" w:beforeLines="20" w:line="240" w:lineRule="auto"/>
                        <w:jc w:val="center"/>
                        <w:rPr>
                          <w:sz w:val="18"/>
                          <w:szCs w:val="18"/>
                        </w:rPr>
                      </w:pPr>
                    </w:p>
                    <w:p w14:paraId="7BED91E9">
                      <w:pPr>
                        <w:spacing w:before="65" w:beforeLines="20" w:line="240" w:lineRule="auto"/>
                        <w:jc w:val="center"/>
                        <w:rPr>
                          <w:sz w:val="18"/>
                          <w:szCs w:val="18"/>
                        </w:rPr>
                      </w:pPr>
                      <w:r>
                        <w:rPr>
                          <w:rFonts w:hint="eastAsia"/>
                          <w:sz w:val="18"/>
                          <w:szCs w:val="18"/>
                        </w:rPr>
                        <w:t>新分析仪符合“系列成员”的定义</w:t>
                      </w:r>
                    </w:p>
                  </w:txbxContent>
                </v:textbox>
              </v:shape>
            </w:pict>
          </mc:Fallback>
        </mc:AlternateContent>
      </w:r>
      <w:r>
        <w:drawing>
          <wp:inline distT="0" distB="0" distL="0" distR="0">
            <wp:extent cx="5759450" cy="6109335"/>
            <wp:effectExtent l="0" t="0" r="0" b="5715"/>
            <wp:docPr id="12" name="图片 12" descr="C:\Users\Administrator\Desktop\9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950-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59450" cy="6109406"/>
                    </a:xfrm>
                    <a:prstGeom prst="rect">
                      <a:avLst/>
                    </a:prstGeom>
                    <a:noFill/>
                    <a:ln>
                      <a:noFill/>
                    </a:ln>
                  </pic:spPr>
                </pic:pic>
              </a:graphicData>
            </a:graphic>
          </wp:inline>
        </w:drawing>
      </w:r>
    </w:p>
    <w:p w14:paraId="13445EE1">
      <w:pPr>
        <w:spacing w:before="163"/>
      </w:pPr>
    </w:p>
    <w:p w14:paraId="6A278C69">
      <w:pPr>
        <w:spacing w:before="163"/>
      </w:pPr>
      <w:r>
        <w:br w:type="page"/>
      </w:r>
    </w:p>
    <w:p w14:paraId="7915AB91">
      <w:pPr>
        <w:spacing w:before="163"/>
        <w:jc w:val="center"/>
        <w:rPr>
          <w:b/>
          <w:sz w:val="30"/>
          <w:szCs w:val="30"/>
        </w:rPr>
      </w:pPr>
      <w:r>
        <w:rPr>
          <w:rFonts w:hint="eastAsia"/>
          <w:b/>
          <w:sz w:val="30"/>
          <w:szCs w:val="30"/>
        </w:rPr>
        <w:t>试剂替换图表</w:t>
      </w:r>
    </w:p>
    <w:p w14:paraId="2801B94C">
      <w:pPr>
        <w:spacing w:before="163"/>
      </w:pPr>
      <w:r>
        <mc:AlternateContent>
          <mc:Choice Requires="wps">
            <w:drawing>
              <wp:anchor distT="0" distB="0" distL="114300" distR="114300" simplePos="0" relativeHeight="251688960" behindDoc="0" locked="0" layoutInCell="1" allowOverlap="1">
                <wp:simplePos x="0" y="0"/>
                <wp:positionH relativeFrom="column">
                  <wp:posOffset>2508885</wp:posOffset>
                </wp:positionH>
                <wp:positionV relativeFrom="paragraph">
                  <wp:posOffset>784860</wp:posOffset>
                </wp:positionV>
                <wp:extent cx="341630" cy="238760"/>
                <wp:effectExtent l="0" t="0" r="1270" b="9525"/>
                <wp:wrapNone/>
                <wp:docPr id="29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1F051D98">
                            <w:pPr>
                              <w:spacing w:before="65" w:beforeLines="20" w:line="240" w:lineRule="auto"/>
                              <w:jc w:val="center"/>
                              <w:rPr>
                                <w:sz w:val="18"/>
                                <w:szCs w:val="18"/>
                              </w:rPr>
                            </w:pPr>
                            <w:r>
                              <w:rPr>
                                <w:rFonts w:hint="eastAsia"/>
                                <w:sz w:val="18"/>
                                <w:szCs w:val="18"/>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97.55pt;margin-top:61.8pt;height:18.8pt;width:26.9pt;z-index:251688960;mso-width-relative:page;mso-height-relative:page;" fillcolor="#FFFFFF" filled="t" stroked="f" coordsize="21600,21600" o:gfxdata="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qAZbTaAAAACwEAAA8AAAAAAAAAAQAgAAAAIgAAAGRycy9kb3ducmV2Lnht&#10;bFBLAQIUABQAAAAIAIdO4kCx8t2wMAIAAEMEAAAOAAAAAAAAAAEAIAAAACkBAABkcnMvZTJvRG9j&#10;LnhtbFBLBQYAAAAABgAGAFkBAADLBQAAAAA=&#10;">
                <v:fill on="t" focussize="0,0"/>
                <v:stroke on="f" miterlimit="8" joinstyle="miter"/>
                <v:imagedata o:title=""/>
                <o:lock v:ext="edit" aspectratio="f"/>
                <v:textbox inset="0mm,0mm,0mm,0mm">
                  <w:txbxContent>
                    <w:p w14:paraId="1F051D98">
                      <w:pPr>
                        <w:spacing w:before="65" w:beforeLines="20" w:line="240" w:lineRule="auto"/>
                        <w:jc w:val="center"/>
                        <w:rPr>
                          <w:sz w:val="18"/>
                          <w:szCs w:val="18"/>
                        </w:rPr>
                      </w:pPr>
                      <w:r>
                        <w:rPr>
                          <w:rFonts w:hint="eastAsia"/>
                          <w:sz w:val="18"/>
                          <w:szCs w:val="18"/>
                        </w:rPr>
                        <w:t>否</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1170940</wp:posOffset>
                </wp:positionH>
                <wp:positionV relativeFrom="paragraph">
                  <wp:posOffset>1720850</wp:posOffset>
                </wp:positionV>
                <wp:extent cx="341630" cy="238760"/>
                <wp:effectExtent l="0" t="0" r="1270" b="9525"/>
                <wp:wrapNone/>
                <wp:docPr id="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4E717A2F">
                            <w:pPr>
                              <w:spacing w:before="65" w:beforeLines="20" w:line="240" w:lineRule="auto"/>
                              <w:jc w:val="center"/>
                              <w:rPr>
                                <w:sz w:val="18"/>
                                <w:szCs w:val="18"/>
                              </w:rPr>
                            </w:pPr>
                            <w:r>
                              <w:rPr>
                                <w:rFonts w:hint="eastAsia"/>
                                <w:sz w:val="18"/>
                                <w:szCs w:val="18"/>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92.2pt;margin-top:135.5pt;height:18.8pt;width:26.9pt;z-index:251687936;mso-width-relative:page;mso-height-relative:page;" fillcolor="#FFFFFF" filled="t" stroked="f" coordsize="21600,21600" o:gfxdata="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sSK2tkAAAALAQAADwAAAAAAAAABACAAAAAiAAAAZHJzL2Rvd25yZXYueG1s&#10;UEsBAhQAFAAAAAgAh07iQALMjUMwAgAAQwQAAA4AAAAAAAAAAQAgAAAAKAEAAGRycy9lMm9Eb2Mu&#10;eG1sUEsFBgAAAAAGAAYAWQEAAMoFAAAAAA==&#10;">
                <v:fill on="t" focussize="0,0"/>
                <v:stroke on="f" miterlimit="8" joinstyle="miter"/>
                <v:imagedata o:title=""/>
                <o:lock v:ext="edit" aspectratio="f"/>
                <v:textbox inset="0mm,0mm,0mm,0mm">
                  <w:txbxContent>
                    <w:p w14:paraId="4E717A2F">
                      <w:pPr>
                        <w:spacing w:before="65" w:beforeLines="20" w:line="240" w:lineRule="auto"/>
                        <w:jc w:val="center"/>
                        <w:rPr>
                          <w:sz w:val="18"/>
                          <w:szCs w:val="18"/>
                        </w:rPr>
                      </w:pPr>
                      <w:r>
                        <w:rPr>
                          <w:rFonts w:hint="eastAsia"/>
                          <w:sz w:val="18"/>
                          <w:szCs w:val="18"/>
                        </w:rPr>
                        <w:t>是</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1158240</wp:posOffset>
                </wp:positionH>
                <wp:positionV relativeFrom="paragraph">
                  <wp:posOffset>4005580</wp:posOffset>
                </wp:positionV>
                <wp:extent cx="341630" cy="238760"/>
                <wp:effectExtent l="0" t="0" r="1270" b="9525"/>
                <wp:wrapNone/>
                <wp:docPr id="28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2A13EB64">
                            <w:pPr>
                              <w:spacing w:before="65" w:beforeLines="20" w:line="240" w:lineRule="auto"/>
                              <w:jc w:val="center"/>
                              <w:rPr>
                                <w:sz w:val="18"/>
                                <w:szCs w:val="18"/>
                              </w:rPr>
                            </w:pPr>
                            <w:r>
                              <w:rPr>
                                <w:rFonts w:hint="eastAsia"/>
                                <w:sz w:val="18"/>
                                <w:szCs w:val="18"/>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91.2pt;margin-top:315.4pt;height:18.8pt;width:26.9pt;z-index:251686912;mso-width-relative:page;mso-height-relative:page;" fillcolor="#FFFFFF" filled="t" stroked="f" coordsize="21600,21600" o:gfxdata="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yOq4NkAAAALAQAADwAAAAAAAAABACAAAAAiAAAAZHJzL2Rvd25yZXYueG1s&#10;UEsBAhQAFAAAAAgAh07iQDYfC2YwAgAAQwQAAA4AAAAAAAAAAQAgAAAAKAEAAGRycy9lMm9Eb2Mu&#10;eG1sUEsFBgAAAAAGAAYAWQEAAMoFAAAAAA==&#10;">
                <v:fill on="t" focussize="0,0"/>
                <v:stroke on="f" miterlimit="8" joinstyle="miter"/>
                <v:imagedata o:title=""/>
                <o:lock v:ext="edit" aspectratio="f"/>
                <v:textbox inset="0mm,0mm,0mm,0mm">
                  <w:txbxContent>
                    <w:p w14:paraId="2A13EB64">
                      <w:pPr>
                        <w:spacing w:before="65" w:beforeLines="20" w:line="240" w:lineRule="auto"/>
                        <w:jc w:val="center"/>
                        <w:rPr>
                          <w:sz w:val="18"/>
                          <w:szCs w:val="18"/>
                        </w:rPr>
                      </w:pPr>
                      <w:r>
                        <w:rPr>
                          <w:rFonts w:hint="eastAsia"/>
                          <w:sz w:val="18"/>
                          <w:szCs w:val="18"/>
                        </w:rPr>
                        <w:t>是</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3105785</wp:posOffset>
                </wp:positionH>
                <wp:positionV relativeFrom="paragraph">
                  <wp:posOffset>2844800</wp:posOffset>
                </wp:positionV>
                <wp:extent cx="341630" cy="238760"/>
                <wp:effectExtent l="0" t="0" r="1270" b="9525"/>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2DF836D0">
                            <w:pPr>
                              <w:spacing w:before="65" w:beforeLines="20" w:line="240" w:lineRule="auto"/>
                              <w:jc w:val="center"/>
                              <w:rPr>
                                <w:sz w:val="18"/>
                                <w:szCs w:val="18"/>
                              </w:rPr>
                            </w:pPr>
                            <w:r>
                              <w:rPr>
                                <w:rFonts w:hint="eastAsia"/>
                                <w:sz w:val="18"/>
                                <w:szCs w:val="18"/>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44.55pt;margin-top:224pt;height:18.8pt;width:26.9pt;z-index:251685888;mso-width-relative:page;mso-height-relative:page;" fillcolor="#FFFFFF" filled="t" stroked="f" coordsize="21600,21600" o:gfxdata="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OT8E2QAAAAsBAAAPAAAAAAAAAAEAIAAAACIAAABkcnMvZG93bnJldi54bWxQ&#10;SwECFAAUAAAACACHTuJAB2318y8CAABCBAAADgAAAAAAAAABACAAAAAoAQAAZHJzL2Uyb0RvYy54&#10;bWxQSwUGAAAAAAYABgBZAQAAyQUAAAAA&#10;">
                <v:fill on="t" focussize="0,0"/>
                <v:stroke on="f" miterlimit="8" joinstyle="miter"/>
                <v:imagedata o:title=""/>
                <o:lock v:ext="edit" aspectratio="f"/>
                <v:textbox inset="0mm,0mm,0mm,0mm">
                  <w:txbxContent>
                    <w:p w14:paraId="2DF836D0">
                      <w:pPr>
                        <w:spacing w:before="65" w:beforeLines="20" w:line="240" w:lineRule="auto"/>
                        <w:jc w:val="center"/>
                        <w:rPr>
                          <w:sz w:val="18"/>
                          <w:szCs w:val="18"/>
                        </w:rPr>
                      </w:pPr>
                      <w:r>
                        <w:rPr>
                          <w:rFonts w:hint="eastAsia"/>
                          <w:sz w:val="18"/>
                          <w:szCs w:val="18"/>
                        </w:rPr>
                        <w:t>否</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3917315</wp:posOffset>
                </wp:positionH>
                <wp:positionV relativeFrom="paragraph">
                  <wp:posOffset>5230495</wp:posOffset>
                </wp:positionV>
                <wp:extent cx="341630" cy="238760"/>
                <wp:effectExtent l="0" t="0" r="1270" b="9525"/>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7B0D474D">
                            <w:pPr>
                              <w:spacing w:before="65" w:beforeLines="20" w:line="240" w:lineRule="auto"/>
                              <w:jc w:val="center"/>
                              <w:rPr>
                                <w:sz w:val="18"/>
                                <w:szCs w:val="18"/>
                              </w:rPr>
                            </w:pPr>
                            <w:r>
                              <w:rPr>
                                <w:rFonts w:hint="eastAsia"/>
                                <w:sz w:val="18"/>
                                <w:szCs w:val="18"/>
                              </w:rPr>
                              <w:t>否</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08.45pt;margin-top:411.85pt;height:18.8pt;width:26.9pt;z-index:251684864;mso-width-relative:page;mso-height-relative:page;" fillcolor="#FFFFFF" filled="t" stroked="f" coordsize="21600,21600" o:gfxdata="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pfp92QAAAAsBAAAPAAAAAAAAAAEAIAAAACIAAABkcnMvZG93bnJldi54bWxQ&#10;SwECFAAUAAAACACHTuJAM75z1i8CAABCBAAADgAAAAAAAAABACAAAAAoAQAAZHJzL2Uyb0RvYy54&#10;bWxQSwUGAAAAAAYABgBZAQAAyQUAAAAA&#10;">
                <v:fill on="t" focussize="0,0"/>
                <v:stroke on="f" miterlimit="8" joinstyle="miter"/>
                <v:imagedata o:title=""/>
                <o:lock v:ext="edit" aspectratio="f"/>
                <v:textbox inset="0mm,0mm,0mm,0mm">
                  <w:txbxContent>
                    <w:p w14:paraId="7B0D474D">
                      <w:pPr>
                        <w:spacing w:before="65" w:beforeLines="20" w:line="240" w:lineRule="auto"/>
                        <w:jc w:val="center"/>
                        <w:rPr>
                          <w:sz w:val="18"/>
                          <w:szCs w:val="18"/>
                        </w:rPr>
                      </w:pPr>
                      <w:r>
                        <w:rPr>
                          <w:rFonts w:hint="eastAsia"/>
                          <w:sz w:val="18"/>
                          <w:szCs w:val="18"/>
                        </w:rPr>
                        <w:t>否</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1842135</wp:posOffset>
                </wp:positionH>
                <wp:positionV relativeFrom="paragraph">
                  <wp:posOffset>6431280</wp:posOffset>
                </wp:positionV>
                <wp:extent cx="341630" cy="238760"/>
                <wp:effectExtent l="0" t="0" r="1270" b="9525"/>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ln>
                      </wps:spPr>
                      <wps:txbx>
                        <w:txbxContent>
                          <w:p w14:paraId="5F20645D">
                            <w:pPr>
                              <w:spacing w:before="65" w:beforeLines="20" w:line="240" w:lineRule="auto"/>
                              <w:jc w:val="center"/>
                              <w:rPr>
                                <w:sz w:val="18"/>
                                <w:szCs w:val="18"/>
                              </w:rPr>
                            </w:pPr>
                            <w:r>
                              <w:rPr>
                                <w:rFonts w:hint="eastAsia"/>
                                <w:sz w:val="18"/>
                                <w:szCs w:val="18"/>
                              </w:rPr>
                              <w:t>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45.05pt;margin-top:506.4pt;height:18.8pt;width:26.9pt;z-index:251683840;mso-width-relative:page;mso-height-relative:page;" fillcolor="#FFFFFF" filled="t" stroked="f" coordsize="21600,21600" o:gfxdata="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H+MANoAAAANAQAADwAAAAAAAAABACAAAAAiAAAAZHJzL2Rvd25yZXYueG1s&#10;UEsBAhQAFAAAAAgAh07iQICAIyUvAgAAQgQAAA4AAAAAAAAAAQAgAAAAKQEAAGRycy9lMm9Eb2Mu&#10;eG1sUEsFBgAAAAAGAAYAWQEAAMoFAAAAAA==&#10;">
                <v:fill on="t" focussize="0,0"/>
                <v:stroke on="f" miterlimit="8" joinstyle="miter"/>
                <v:imagedata o:title=""/>
                <o:lock v:ext="edit" aspectratio="f"/>
                <v:textbox inset="0mm,0mm,0mm,0mm">
                  <w:txbxContent>
                    <w:p w14:paraId="5F20645D">
                      <w:pPr>
                        <w:spacing w:before="65" w:beforeLines="20" w:line="240" w:lineRule="auto"/>
                        <w:jc w:val="center"/>
                        <w:rPr>
                          <w:sz w:val="18"/>
                          <w:szCs w:val="18"/>
                        </w:rPr>
                      </w:pPr>
                      <w:r>
                        <w:rPr>
                          <w:rFonts w:hint="eastAsia"/>
                          <w:sz w:val="18"/>
                          <w:szCs w:val="18"/>
                        </w:rPr>
                        <w:t>是</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1635760</wp:posOffset>
                </wp:positionH>
                <wp:positionV relativeFrom="paragraph">
                  <wp:posOffset>6869430</wp:posOffset>
                </wp:positionV>
                <wp:extent cx="2528570" cy="413385"/>
                <wp:effectExtent l="0" t="0" r="5715" b="5715"/>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15" cy="413468"/>
                        </a:xfrm>
                        <a:prstGeom prst="rect">
                          <a:avLst/>
                        </a:prstGeom>
                        <a:solidFill>
                          <a:srgbClr val="FFFFFF"/>
                        </a:solidFill>
                        <a:ln w="9525">
                          <a:noFill/>
                          <a:miter lim="800000"/>
                        </a:ln>
                      </wps:spPr>
                      <wps:txbx>
                        <w:txbxContent>
                          <w:p w14:paraId="03F323B7">
                            <w:pPr>
                              <w:spacing w:before="65" w:beforeLines="20" w:line="240" w:lineRule="auto"/>
                              <w:jc w:val="center"/>
                              <w:rPr>
                                <w:sz w:val="18"/>
                                <w:szCs w:val="18"/>
                              </w:rPr>
                            </w:pPr>
                            <w:r>
                              <w:rPr>
                                <w:rFonts w:hint="eastAsia"/>
                                <w:sz w:val="18"/>
                                <w:szCs w:val="18"/>
                              </w:rPr>
                              <w:t>是否应使用内部文件记录获批用于获批分析仪上的试剂</w:t>
                            </w:r>
                          </w:p>
                          <w:p w14:paraId="44D491B9">
                            <w:pPr>
                              <w:spacing w:before="65" w:beforeLines="20" w:line="240" w:lineRule="auto"/>
                              <w:jc w:val="center"/>
                              <w:rPr>
                                <w:sz w:val="18"/>
                                <w:szCs w:val="18"/>
                              </w:rPr>
                            </w:pP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28.8pt;margin-top:540.9pt;height:32.55pt;width:199.1pt;z-index:251682816;mso-width-relative:page;mso-height-relative:page;" fillcolor="#FFFFFF" filled="t" stroked="f" coordsize="21600,21600" o:gfxdata="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A6udNoAAAANAQAADwAAAAAAAAABACAAAAAiAAAAZHJzL2Rvd25yZXYueG1s&#10;UEsBAhQAFAAAAAgAh07iQH3DEEcvAgAAQwQAAA4AAAAAAAAAAQAgAAAAKQEAAGRycy9lMm9Eb2Mu&#10;eG1sUEsFBgAAAAAGAAYAWQEAAMoFAAAAAA==&#10;">
                <v:fill on="t" focussize="0,0"/>
                <v:stroke on="f" miterlimit="8" joinstyle="miter"/>
                <v:imagedata o:title=""/>
                <o:lock v:ext="edit" aspectratio="f"/>
                <v:textbox inset="0mm,0mm,0mm,0mm">
                  <w:txbxContent>
                    <w:p w14:paraId="03F323B7">
                      <w:pPr>
                        <w:spacing w:before="65" w:beforeLines="20" w:line="240" w:lineRule="auto"/>
                        <w:jc w:val="center"/>
                        <w:rPr>
                          <w:sz w:val="18"/>
                          <w:szCs w:val="18"/>
                        </w:rPr>
                      </w:pPr>
                      <w:r>
                        <w:rPr>
                          <w:rFonts w:hint="eastAsia"/>
                          <w:sz w:val="18"/>
                          <w:szCs w:val="18"/>
                        </w:rPr>
                        <w:t>是否应使用内部文件记录获批用于获批分析仪上的试剂</w:t>
                      </w:r>
                    </w:p>
                    <w:p w14:paraId="44D491B9">
                      <w:pPr>
                        <w:spacing w:before="65" w:beforeLines="20" w:line="240" w:lineRule="auto"/>
                        <w:jc w:val="center"/>
                        <w:rPr>
                          <w:sz w:val="18"/>
                          <w:szCs w:val="18"/>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735965</wp:posOffset>
                </wp:positionH>
                <wp:positionV relativeFrom="paragraph">
                  <wp:posOffset>4925695</wp:posOffset>
                </wp:positionV>
                <wp:extent cx="1231900" cy="731520"/>
                <wp:effectExtent l="0" t="0" r="635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31900" cy="731520"/>
                        </a:xfrm>
                        <a:prstGeom prst="rect">
                          <a:avLst/>
                        </a:prstGeom>
                        <a:solidFill>
                          <a:srgbClr val="FFFFFF"/>
                        </a:solidFill>
                        <a:ln w="9525">
                          <a:noFill/>
                          <a:miter lim="800000"/>
                        </a:ln>
                      </wps:spPr>
                      <wps:txbx>
                        <w:txbxContent>
                          <w:p w14:paraId="6E25F5D0">
                            <w:pPr>
                              <w:spacing w:before="65" w:beforeLines="20" w:line="240" w:lineRule="auto"/>
                              <w:jc w:val="center"/>
                              <w:rPr>
                                <w:sz w:val="18"/>
                                <w:szCs w:val="18"/>
                              </w:rPr>
                            </w:pPr>
                            <w:r>
                              <w:rPr>
                                <w:rFonts w:hint="eastAsia"/>
                                <w:sz w:val="18"/>
                                <w:szCs w:val="18"/>
                              </w:rPr>
                              <w:t>新检测系统是否通过贵公司确认方案中规定的验收标准</w:t>
                            </w:r>
                          </w:p>
                          <w:p w14:paraId="77994CB1">
                            <w:pPr>
                              <w:spacing w:before="65" w:beforeLines="20" w:line="240" w:lineRule="auto"/>
                              <w:jc w:val="center"/>
                              <w:rPr>
                                <w:sz w:val="18"/>
                                <w:szCs w:val="18"/>
                              </w:rPr>
                            </w:pP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57.95pt;margin-top:387.85pt;height:57.6pt;width:97pt;z-index:251681792;mso-width-relative:page;mso-height-relative:page;" fillcolor="#FFFFFF" filled="t" stroked="f" coordsize="21600,21600" o:gfxdata="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yfrHnZAAAACwEAAA8AAAAAAAAAAQAgAAAAIgAAAGRycy9kb3ducmV2LnhtbFBL&#10;AQIUABQAAAAIAIdO4kClkIdrLgIAAEMEAAAOAAAAAAAAAAEAIAAAACgBAABkcnMvZTJvRG9jLnht&#10;bFBLBQYAAAAABgAGAFkBAADIBQAAAAA=&#10;">
                <v:fill on="t" focussize="0,0"/>
                <v:stroke on="f" miterlimit="8" joinstyle="miter"/>
                <v:imagedata o:title=""/>
                <o:lock v:ext="edit" aspectratio="f"/>
                <v:textbox inset="0mm,0mm,0mm,0mm">
                  <w:txbxContent>
                    <w:p w14:paraId="6E25F5D0">
                      <w:pPr>
                        <w:spacing w:before="65" w:beforeLines="20" w:line="240" w:lineRule="auto"/>
                        <w:jc w:val="center"/>
                        <w:rPr>
                          <w:sz w:val="18"/>
                          <w:szCs w:val="18"/>
                        </w:rPr>
                      </w:pPr>
                      <w:r>
                        <w:rPr>
                          <w:rFonts w:hint="eastAsia"/>
                          <w:sz w:val="18"/>
                          <w:szCs w:val="18"/>
                        </w:rPr>
                        <w:t>新检测系统是否通过贵公司确认方案中规定的验收标准</w:t>
                      </w:r>
                    </w:p>
                    <w:p w14:paraId="77994CB1">
                      <w:pPr>
                        <w:spacing w:before="65" w:beforeLines="20" w:line="240" w:lineRule="auto"/>
                        <w:jc w:val="center"/>
                        <w:rPr>
                          <w:sz w:val="18"/>
                          <w:szCs w:val="18"/>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3973195</wp:posOffset>
                </wp:positionH>
                <wp:positionV relativeFrom="paragraph">
                  <wp:posOffset>2817495</wp:posOffset>
                </wp:positionV>
                <wp:extent cx="1447165" cy="294005"/>
                <wp:effectExtent l="0" t="0" r="127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47137" cy="294199"/>
                        </a:xfrm>
                        <a:prstGeom prst="rect">
                          <a:avLst/>
                        </a:prstGeom>
                        <a:solidFill>
                          <a:srgbClr val="FFFFFF"/>
                        </a:solidFill>
                        <a:ln w="9525">
                          <a:noFill/>
                          <a:miter lim="800000"/>
                        </a:ln>
                      </wps:spPr>
                      <wps:txbx>
                        <w:txbxContent>
                          <w:p w14:paraId="7401A22D">
                            <w:pPr>
                              <w:spacing w:before="65" w:beforeLines="20" w:line="240" w:lineRule="auto"/>
                              <w:jc w:val="center"/>
                              <w:rPr>
                                <w:sz w:val="18"/>
                                <w:szCs w:val="18"/>
                              </w:rPr>
                            </w:pPr>
                            <w:r>
                              <w:rPr>
                                <w:rFonts w:hint="eastAsia"/>
                                <w:sz w:val="18"/>
                                <w:szCs w:val="18"/>
                              </w:rPr>
                              <w:t>应提交特殊510k</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312.85pt;margin-top:221.85pt;height:23.15pt;width:113.95pt;z-index:251680768;mso-width-relative:page;mso-height-relative:page;" fillcolor="#FFFFFF" filled="t" stroked="f" coordsize="21600,21600" o:gfxdata="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cqSfaAAAACwEAAA8AAAAAAAAAAQAgAAAAIgAAAGRycy9kb3ducmV2Lnht&#10;bFBLAQIUABQAAAAIAIdO4kCZZmFbMAIAAEMEAAAOAAAAAAAAAAEAIAAAACkBAABkcnMvZTJvRG9j&#10;LnhtbFBLBQYAAAAABgAGAFkBAADLBQAAAAA=&#10;">
                <v:fill on="t" focussize="0,0"/>
                <v:stroke on="f" miterlimit="8" joinstyle="miter"/>
                <v:imagedata o:title=""/>
                <o:lock v:ext="edit" aspectratio="f"/>
                <v:textbox inset="0mm,0mm,0mm,0mm">
                  <w:txbxContent>
                    <w:p w14:paraId="7401A22D">
                      <w:pPr>
                        <w:spacing w:before="65" w:beforeLines="20" w:line="240" w:lineRule="auto"/>
                        <w:jc w:val="center"/>
                        <w:rPr>
                          <w:sz w:val="18"/>
                          <w:szCs w:val="18"/>
                        </w:rPr>
                      </w:pPr>
                      <w:r>
                        <w:rPr>
                          <w:rFonts w:hint="eastAsia"/>
                          <w:sz w:val="18"/>
                          <w:szCs w:val="18"/>
                        </w:rPr>
                        <w:t>应提交特殊510k</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672465</wp:posOffset>
                </wp:positionH>
                <wp:positionV relativeFrom="paragraph">
                  <wp:posOffset>2590800</wp:posOffset>
                </wp:positionV>
                <wp:extent cx="1304290" cy="842645"/>
                <wp:effectExtent l="0" t="0" r="0" b="0"/>
                <wp:wrapNone/>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04014" cy="842838"/>
                        </a:xfrm>
                        <a:prstGeom prst="rect">
                          <a:avLst/>
                        </a:prstGeom>
                        <a:solidFill>
                          <a:srgbClr val="FFFFFF"/>
                        </a:solidFill>
                        <a:ln w="9525">
                          <a:noFill/>
                          <a:miter lim="800000"/>
                        </a:ln>
                      </wps:spPr>
                      <wps:txbx>
                        <w:txbxContent>
                          <w:p w14:paraId="1C118CC7">
                            <w:pPr>
                              <w:spacing w:before="65" w:beforeLines="20" w:line="240" w:lineRule="auto"/>
                              <w:jc w:val="center"/>
                              <w:rPr>
                                <w:sz w:val="18"/>
                                <w:szCs w:val="18"/>
                              </w:rPr>
                            </w:pPr>
                            <w:r>
                              <w:rPr>
                                <w:rFonts w:hint="eastAsia"/>
                                <w:sz w:val="18"/>
                                <w:szCs w:val="18"/>
                              </w:rPr>
                              <w:t>该分析仪与试剂获批使用的初始分析仪之间的标准是否具有等同性</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52.95pt;margin-top:204pt;height:66.35pt;width:102.7pt;z-index:251679744;mso-width-relative:page;mso-height-relative:page;" fillcolor="#FFFFFF" filled="t" stroked="f" coordsize="21600,21600" o:gfxdata="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xkaW9kAAAALAQAADwAAAAAAAAABACAAAAAiAAAAZHJzL2Rvd25yZXYueG1sUEsB&#10;AhQAFAAAAAgAh07iQNEkVrwtAgAAQwQAAA4AAAAAAAAAAQAgAAAAKAEAAGRycy9lMm9Eb2MueG1s&#10;UEsFBgAAAAAGAAYAWQEAAMcFAAAAAA==&#10;">
                <v:fill on="t" focussize="0,0"/>
                <v:stroke on="f" miterlimit="8" joinstyle="miter"/>
                <v:imagedata o:title=""/>
                <o:lock v:ext="edit" aspectratio="f"/>
                <v:textbox inset="0mm,0mm,0mm,0mm">
                  <w:txbxContent>
                    <w:p w14:paraId="1C118CC7">
                      <w:pPr>
                        <w:spacing w:before="65" w:beforeLines="20" w:line="240" w:lineRule="auto"/>
                        <w:jc w:val="center"/>
                        <w:rPr>
                          <w:sz w:val="18"/>
                          <w:szCs w:val="18"/>
                        </w:rPr>
                      </w:pPr>
                      <w:r>
                        <w:rPr>
                          <w:rFonts w:hint="eastAsia"/>
                          <w:sz w:val="18"/>
                          <w:szCs w:val="18"/>
                        </w:rPr>
                        <w:t>该分析仪与试剂获批使用的初始分析仪之间的标准是否具有等同性</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3369310</wp:posOffset>
                </wp:positionH>
                <wp:positionV relativeFrom="paragraph">
                  <wp:posOffset>643255</wp:posOffset>
                </wp:positionV>
                <wp:extent cx="2210435" cy="492760"/>
                <wp:effectExtent l="0" t="0" r="0" b="254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10463" cy="492981"/>
                        </a:xfrm>
                        <a:prstGeom prst="rect">
                          <a:avLst/>
                        </a:prstGeom>
                        <a:solidFill>
                          <a:srgbClr val="FFFFFF"/>
                        </a:solidFill>
                        <a:ln w="9525">
                          <a:noFill/>
                          <a:miter lim="800000"/>
                        </a:ln>
                      </wps:spPr>
                      <wps:txbx>
                        <w:txbxContent>
                          <w:p w14:paraId="269769ED">
                            <w:pPr>
                              <w:spacing w:before="65" w:beforeLines="20" w:line="240" w:lineRule="auto"/>
                              <w:jc w:val="center"/>
                              <w:rPr>
                                <w:sz w:val="18"/>
                                <w:szCs w:val="18"/>
                              </w:rPr>
                            </w:pPr>
                            <w:r>
                              <w:rPr>
                                <w:rFonts w:hint="eastAsia"/>
                                <w:sz w:val="18"/>
                                <w:szCs w:val="18"/>
                              </w:rPr>
                              <w:t>为分析仪和试剂提交传统510k（这应包含分析仪和试剂的全部文件）</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265.3pt;margin-top:50.65pt;height:38.8pt;width:174.05pt;z-index:251678720;mso-width-relative:page;mso-height-relative:page;" fillcolor="#FFFFFF" filled="t" stroked="f" coordsize="21600,21600" o:gfxdata="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Et5odoAAAALAQAADwAAAAAAAAABACAAAAAiAAAAZHJzL2Rvd25yZXYueG1s&#10;UEsBAhQAFAAAAAgAh07iQOpyQnEvAgAAQwQAAA4AAAAAAAAAAQAgAAAAKQEAAGRycy9lMm9Eb2Mu&#10;eG1sUEsFBgAAAAAGAAYAWQEAAMoFAAAAAA==&#10;">
                <v:fill on="t" focussize="0,0"/>
                <v:stroke on="f" miterlimit="8" joinstyle="miter"/>
                <v:imagedata o:title=""/>
                <o:lock v:ext="edit" aspectratio="f"/>
                <v:textbox inset="0mm,0mm,0mm,0mm">
                  <w:txbxContent>
                    <w:p w14:paraId="269769ED">
                      <w:pPr>
                        <w:spacing w:before="65" w:beforeLines="20" w:line="240" w:lineRule="auto"/>
                        <w:jc w:val="center"/>
                        <w:rPr>
                          <w:sz w:val="18"/>
                          <w:szCs w:val="18"/>
                        </w:rPr>
                      </w:pPr>
                      <w:r>
                        <w:rPr>
                          <w:rFonts w:hint="eastAsia"/>
                          <w:sz w:val="18"/>
                          <w:szCs w:val="18"/>
                        </w:rPr>
                        <w:t>为分析仪和试剂提交传统510k（这应包含分析仪和试剂的全部文件）</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840740</wp:posOffset>
                </wp:positionH>
                <wp:positionV relativeFrom="paragraph">
                  <wp:posOffset>547370</wp:posOffset>
                </wp:positionV>
                <wp:extent cx="930275" cy="659765"/>
                <wp:effectExtent l="0" t="0" r="3175" b="6985"/>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30302" cy="659958"/>
                        </a:xfrm>
                        <a:prstGeom prst="rect">
                          <a:avLst/>
                        </a:prstGeom>
                        <a:solidFill>
                          <a:srgbClr val="FFFFFF"/>
                        </a:solidFill>
                        <a:ln w="9525">
                          <a:noFill/>
                          <a:miter lim="800000"/>
                        </a:ln>
                      </wps:spPr>
                      <wps:txbx>
                        <w:txbxContent>
                          <w:p w14:paraId="7C7929F9">
                            <w:pPr>
                              <w:spacing w:before="65" w:beforeLines="20" w:line="240" w:lineRule="auto"/>
                              <w:jc w:val="center"/>
                              <w:rPr>
                                <w:sz w:val="18"/>
                                <w:szCs w:val="18"/>
                              </w:rPr>
                            </w:pPr>
                            <w:r>
                              <w:rPr>
                                <w:rFonts w:hint="eastAsia"/>
                                <w:sz w:val="18"/>
                                <w:szCs w:val="18"/>
                              </w:rPr>
                              <w:t>分析仪或系列是否曾经获得FDA许可</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66.2pt;margin-top:43.1pt;height:51.95pt;width:73.25pt;z-index:251677696;mso-width-relative:page;mso-height-relative:page;" fillcolor="#FFFFFF" filled="t" stroked="f" coordsize="21600,21600" o:gfxdata="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mLHNgAAAAKAQAADwAAAAAAAAABACAAAAAiAAAAZHJzL2Rvd25yZXYueG1sUEsB&#10;AhQAFAAAAAgAh07iQEZrvLkuAgAAQgQAAA4AAAAAAAAAAQAgAAAAJwEAAGRycy9lMm9Eb2MueG1s&#10;UEsFBgAAAAAGAAYAWQEAAMcFAAAAAA==&#10;">
                <v:fill on="t" focussize="0,0"/>
                <v:stroke on="f" miterlimit="8" joinstyle="miter"/>
                <v:imagedata o:title=""/>
                <o:lock v:ext="edit" aspectratio="f"/>
                <v:textbox inset="0mm,0mm,0mm,0mm">
                  <w:txbxContent>
                    <w:p w14:paraId="7C7929F9">
                      <w:pPr>
                        <w:spacing w:before="65" w:beforeLines="20" w:line="240" w:lineRule="auto"/>
                        <w:jc w:val="center"/>
                        <w:rPr>
                          <w:sz w:val="18"/>
                          <w:szCs w:val="18"/>
                        </w:rPr>
                      </w:pPr>
                      <w:r>
                        <w:rPr>
                          <w:rFonts w:hint="eastAsia"/>
                          <w:sz w:val="18"/>
                          <w:szCs w:val="18"/>
                        </w:rPr>
                        <w:t>分析仪或系列是否曾经获得FDA许可</w:t>
                      </w:r>
                    </w:p>
                  </w:txbxContent>
                </v:textbox>
              </v:shape>
            </w:pict>
          </mc:Fallback>
        </mc:AlternateContent>
      </w:r>
      <w:r>
        <w:drawing>
          <wp:inline distT="0" distB="0" distL="0" distR="0">
            <wp:extent cx="5759450" cy="73348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7335432"/>
                    </a:xfrm>
                    <a:prstGeom prst="rect">
                      <a:avLst/>
                    </a:prstGeom>
                    <a:noFill/>
                    <a:ln>
                      <a:noFill/>
                    </a:ln>
                  </pic:spPr>
                </pic:pic>
              </a:graphicData>
            </a:graphic>
          </wp:inline>
        </w:drawing>
      </w:r>
    </w:p>
    <w:p w14:paraId="2BD705D2">
      <w:pPr>
        <w:spacing w:before="163"/>
      </w:pPr>
    </w:p>
    <w:p w14:paraId="455B70E5">
      <w:pPr>
        <w:spacing w:before="163"/>
      </w:pPr>
      <w:r>
        <w:br w:type="page"/>
      </w:r>
    </w:p>
    <w:p w14:paraId="5A57C7F1">
      <w:pPr>
        <w:spacing w:before="163"/>
        <w:rPr>
          <w:b/>
        </w:rPr>
      </w:pPr>
      <w:r>
        <w:rPr>
          <w:rFonts w:hint="eastAsia"/>
          <w:b/>
        </w:rPr>
        <w:t>研究类型</w:t>
      </w:r>
    </w:p>
    <w:tbl>
      <w:tblPr>
        <w:tblStyle w:val="10"/>
        <w:tblW w:w="0" w:type="auto"/>
        <w:tblInd w:w="0" w:type="dxa"/>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Layout w:type="autofit"/>
        <w:tblCellMar>
          <w:top w:w="0" w:type="dxa"/>
          <w:left w:w="108" w:type="dxa"/>
          <w:bottom w:w="0" w:type="dxa"/>
          <w:right w:w="108" w:type="dxa"/>
        </w:tblCellMar>
      </w:tblPr>
      <w:tblGrid>
        <w:gridCol w:w="1668"/>
        <w:gridCol w:w="2927"/>
        <w:gridCol w:w="2297"/>
        <w:gridCol w:w="2394"/>
      </w:tblGrid>
      <w:tr w14:paraId="43385C82">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19836758">
            <w:pPr>
              <w:spacing w:before="97" w:beforeLines="30" w:after="97" w:afterLines="30" w:line="280" w:lineRule="exact"/>
              <w:rPr>
                <w:sz w:val="21"/>
                <w:szCs w:val="21"/>
              </w:rPr>
            </w:pPr>
            <w:r>
              <w:rPr>
                <w:rFonts w:hint="eastAsia"/>
                <w:sz w:val="21"/>
                <w:szCs w:val="21"/>
              </w:rPr>
              <w:t>参数</w:t>
            </w:r>
          </w:p>
        </w:tc>
        <w:tc>
          <w:tcPr>
            <w:tcW w:w="2927" w:type="dxa"/>
            <w:shd w:val="clear" w:color="auto" w:fill="auto"/>
          </w:tcPr>
          <w:p w14:paraId="5390FB48">
            <w:pPr>
              <w:spacing w:before="97" w:beforeLines="30" w:after="97" w:afterLines="30" w:line="280" w:lineRule="exact"/>
              <w:rPr>
                <w:sz w:val="21"/>
                <w:szCs w:val="21"/>
              </w:rPr>
            </w:pPr>
            <w:r>
              <w:rPr>
                <w:rFonts w:hint="eastAsia"/>
                <w:sz w:val="21"/>
                <w:szCs w:val="21"/>
              </w:rPr>
              <w:t>初始提交</w:t>
            </w:r>
          </w:p>
        </w:tc>
        <w:tc>
          <w:tcPr>
            <w:tcW w:w="2297" w:type="dxa"/>
            <w:shd w:val="clear" w:color="auto" w:fill="auto"/>
          </w:tcPr>
          <w:p w14:paraId="29E140BF">
            <w:pPr>
              <w:spacing w:before="97" w:beforeLines="30" w:after="97" w:afterLines="30" w:line="280" w:lineRule="exact"/>
              <w:rPr>
                <w:sz w:val="21"/>
                <w:szCs w:val="21"/>
              </w:rPr>
            </w:pPr>
            <w:r>
              <w:rPr>
                <w:rFonts w:hint="eastAsia"/>
                <w:sz w:val="21"/>
                <w:szCs w:val="21"/>
              </w:rPr>
              <w:t>新增试剂</w:t>
            </w:r>
          </w:p>
        </w:tc>
        <w:tc>
          <w:tcPr>
            <w:tcW w:w="2394" w:type="dxa"/>
            <w:shd w:val="clear" w:color="auto" w:fill="auto"/>
          </w:tcPr>
          <w:p w14:paraId="2C777211">
            <w:pPr>
              <w:spacing w:before="97" w:beforeLines="30" w:after="97" w:afterLines="30" w:line="280" w:lineRule="exact"/>
              <w:rPr>
                <w:sz w:val="21"/>
                <w:szCs w:val="21"/>
              </w:rPr>
            </w:pPr>
            <w:r>
              <w:rPr>
                <w:rFonts w:hint="eastAsia"/>
                <w:sz w:val="21"/>
                <w:szCs w:val="21"/>
              </w:rPr>
              <w:t>验收标准</w:t>
            </w:r>
          </w:p>
        </w:tc>
      </w:tr>
      <w:tr w14:paraId="727F7D17">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397EA4C3">
            <w:pPr>
              <w:spacing w:before="97" w:beforeLines="30" w:after="97" w:afterLines="30" w:line="280" w:lineRule="exact"/>
              <w:rPr>
                <w:sz w:val="21"/>
                <w:szCs w:val="21"/>
              </w:rPr>
            </w:pPr>
            <w:r>
              <w:rPr>
                <w:rFonts w:hint="eastAsia"/>
                <w:sz w:val="21"/>
                <w:szCs w:val="21"/>
              </w:rPr>
              <w:t>方法比较</w:t>
            </w:r>
          </w:p>
        </w:tc>
        <w:tc>
          <w:tcPr>
            <w:tcW w:w="2927" w:type="dxa"/>
            <w:shd w:val="clear" w:color="auto" w:fill="auto"/>
          </w:tcPr>
          <w:p w14:paraId="6A8CF967">
            <w:pPr>
              <w:spacing w:before="97" w:beforeLines="30" w:after="97" w:afterLines="30" w:line="280" w:lineRule="exact"/>
              <w:rPr>
                <w:sz w:val="21"/>
                <w:szCs w:val="21"/>
              </w:rPr>
            </w:pPr>
            <w:r>
              <w:rPr>
                <w:rFonts w:hint="eastAsia"/>
                <w:sz w:val="21"/>
                <w:szCs w:val="21"/>
              </w:rPr>
              <w:t>基于科学有效方案和具有显著统计学意义的数据评估，参见</w:t>
            </w:r>
            <w:r>
              <w:rPr>
                <w:sz w:val="21"/>
                <w:szCs w:val="21"/>
              </w:rPr>
              <w:t>NCCLS EP09-A</w:t>
            </w:r>
            <w:r>
              <w:rPr>
                <w:rFonts w:hint="eastAsia"/>
                <w:sz w:val="21"/>
                <w:szCs w:val="21"/>
              </w:rPr>
              <w:t>2利用患者样品进行的方法比较和偏倚估计</w:t>
            </w:r>
          </w:p>
        </w:tc>
        <w:tc>
          <w:tcPr>
            <w:tcW w:w="2297" w:type="dxa"/>
            <w:shd w:val="clear" w:color="auto" w:fill="auto"/>
          </w:tcPr>
          <w:p w14:paraId="366125F5">
            <w:pPr>
              <w:spacing w:before="97" w:beforeLines="30" w:after="97" w:afterLines="30" w:line="280" w:lineRule="exact"/>
              <w:rPr>
                <w:sz w:val="21"/>
                <w:szCs w:val="21"/>
              </w:rPr>
            </w:pPr>
            <w:r>
              <w:rPr>
                <w:rFonts w:hint="eastAsia"/>
                <w:sz w:val="21"/>
                <w:szCs w:val="21"/>
              </w:rPr>
              <w:t>N</w:t>
            </w:r>
            <w:r>
              <w:rPr>
                <w:sz w:val="21"/>
                <w:szCs w:val="21"/>
              </w:rPr>
              <w:t>≥初始</w:t>
            </w:r>
            <w:r>
              <w:rPr>
                <w:rFonts w:hint="eastAsia"/>
                <w:sz w:val="21"/>
                <w:szCs w:val="21"/>
              </w:rPr>
              <w:t>510（k）的相同研究</w:t>
            </w:r>
          </w:p>
        </w:tc>
        <w:tc>
          <w:tcPr>
            <w:tcW w:w="2394" w:type="dxa"/>
            <w:shd w:val="clear" w:color="auto" w:fill="auto"/>
          </w:tcPr>
          <w:p w14:paraId="3629988E">
            <w:pPr>
              <w:spacing w:before="97" w:beforeLines="30" w:after="97" w:afterLines="30" w:line="280" w:lineRule="exact"/>
              <w:rPr>
                <w:sz w:val="21"/>
                <w:szCs w:val="21"/>
              </w:rPr>
            </w:pPr>
            <w:r>
              <w:rPr>
                <w:rFonts w:hint="eastAsia"/>
                <w:sz w:val="21"/>
                <w:szCs w:val="21"/>
              </w:rPr>
              <w:t>为保持许可性能，与初始</w:t>
            </w:r>
            <w:r>
              <w:rPr>
                <w:sz w:val="21"/>
                <w:szCs w:val="21"/>
              </w:rPr>
              <w:t>510（k）中的验收标准等同，存在统计学意义</w:t>
            </w:r>
          </w:p>
        </w:tc>
      </w:tr>
      <w:tr w14:paraId="041B7101">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32C14E36">
            <w:pPr>
              <w:spacing w:before="97" w:beforeLines="30" w:after="97" w:afterLines="30" w:line="280" w:lineRule="exact"/>
              <w:rPr>
                <w:sz w:val="21"/>
                <w:szCs w:val="21"/>
              </w:rPr>
            </w:pPr>
            <w:r>
              <w:rPr>
                <w:rFonts w:hint="eastAsia"/>
                <w:sz w:val="21"/>
                <w:szCs w:val="21"/>
              </w:rPr>
              <w:t>精密度</w:t>
            </w:r>
          </w:p>
        </w:tc>
        <w:tc>
          <w:tcPr>
            <w:tcW w:w="2927" w:type="dxa"/>
            <w:shd w:val="clear" w:color="auto" w:fill="auto"/>
          </w:tcPr>
          <w:p w14:paraId="6947E999">
            <w:pPr>
              <w:spacing w:before="97" w:beforeLines="30" w:after="97" w:afterLines="30" w:line="280" w:lineRule="exact"/>
              <w:rPr>
                <w:sz w:val="21"/>
                <w:szCs w:val="21"/>
              </w:rPr>
            </w:pPr>
            <w:r>
              <w:rPr>
                <w:rFonts w:hint="eastAsia"/>
                <w:sz w:val="21"/>
                <w:szCs w:val="21"/>
              </w:rPr>
              <w:t>基于科学有效方案和良好数据评估的总体和批间不精确数据</w:t>
            </w:r>
          </w:p>
          <w:p w14:paraId="38E30D55">
            <w:pPr>
              <w:spacing w:before="97" w:beforeLines="30" w:after="97" w:afterLines="30" w:line="280" w:lineRule="exact"/>
              <w:rPr>
                <w:sz w:val="21"/>
                <w:szCs w:val="21"/>
              </w:rPr>
            </w:pPr>
            <w:r>
              <w:rPr>
                <w:rFonts w:hint="eastAsia"/>
                <w:sz w:val="21"/>
                <w:szCs w:val="21"/>
              </w:rPr>
              <w:t>参见</w:t>
            </w:r>
            <w:r>
              <w:rPr>
                <w:sz w:val="21"/>
                <w:szCs w:val="21"/>
              </w:rPr>
              <w:t>NCCLS EP05-A</w:t>
            </w:r>
            <w:r>
              <w:rPr>
                <w:rFonts w:hint="eastAsia"/>
                <w:sz w:val="21"/>
                <w:szCs w:val="21"/>
              </w:rPr>
              <w:t xml:space="preserve"> 临床化学器械精密度性能评估</w:t>
            </w:r>
          </w:p>
        </w:tc>
        <w:tc>
          <w:tcPr>
            <w:tcW w:w="2297" w:type="dxa"/>
            <w:shd w:val="clear" w:color="auto" w:fill="auto"/>
          </w:tcPr>
          <w:p w14:paraId="33F1725E">
            <w:pPr>
              <w:spacing w:before="97" w:beforeLines="30" w:after="97" w:afterLines="30" w:line="280" w:lineRule="exact"/>
              <w:rPr>
                <w:sz w:val="21"/>
                <w:szCs w:val="21"/>
              </w:rPr>
            </w:pPr>
            <w:r>
              <w:rPr>
                <w:rFonts w:hint="eastAsia"/>
                <w:sz w:val="21"/>
                <w:szCs w:val="21"/>
              </w:rPr>
              <w:t>相同</w:t>
            </w:r>
          </w:p>
        </w:tc>
        <w:tc>
          <w:tcPr>
            <w:tcW w:w="2394" w:type="dxa"/>
            <w:shd w:val="clear" w:color="auto" w:fill="auto"/>
          </w:tcPr>
          <w:p w14:paraId="5D3E9E81">
            <w:pPr>
              <w:spacing w:before="97" w:beforeLines="30" w:after="97" w:afterLines="30" w:line="280" w:lineRule="exact"/>
              <w:rPr>
                <w:sz w:val="21"/>
                <w:szCs w:val="21"/>
              </w:rPr>
            </w:pPr>
            <w:r>
              <w:rPr>
                <w:rFonts w:hint="eastAsia"/>
                <w:sz w:val="21"/>
                <w:szCs w:val="21"/>
              </w:rPr>
              <w:t>相同</w:t>
            </w:r>
          </w:p>
        </w:tc>
      </w:tr>
      <w:tr w14:paraId="21DAAD68">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7D0EB4DE">
            <w:pPr>
              <w:spacing w:before="97" w:beforeLines="30" w:after="97" w:afterLines="30" w:line="280" w:lineRule="exact"/>
              <w:rPr>
                <w:sz w:val="21"/>
                <w:szCs w:val="21"/>
              </w:rPr>
            </w:pPr>
            <w:r>
              <w:rPr>
                <w:rFonts w:hint="eastAsia"/>
                <w:sz w:val="21"/>
                <w:szCs w:val="21"/>
              </w:rPr>
              <w:t>灵敏度</w:t>
            </w:r>
          </w:p>
        </w:tc>
        <w:tc>
          <w:tcPr>
            <w:tcW w:w="2927" w:type="dxa"/>
            <w:shd w:val="clear" w:color="auto" w:fill="auto"/>
          </w:tcPr>
          <w:p w14:paraId="2B9DA0A1">
            <w:pPr>
              <w:spacing w:before="97" w:beforeLines="30" w:after="97" w:afterLines="30" w:line="280" w:lineRule="exact"/>
              <w:rPr>
                <w:sz w:val="21"/>
                <w:szCs w:val="21"/>
              </w:rPr>
            </w:pPr>
            <w:r>
              <w:rPr>
                <w:rFonts w:hint="eastAsia"/>
                <w:sz w:val="21"/>
                <w:szCs w:val="21"/>
              </w:rPr>
              <w:t>与分析、功能相关的灵敏度（如适用）</w:t>
            </w:r>
          </w:p>
        </w:tc>
        <w:tc>
          <w:tcPr>
            <w:tcW w:w="2297" w:type="dxa"/>
            <w:shd w:val="clear" w:color="auto" w:fill="auto"/>
          </w:tcPr>
          <w:p w14:paraId="041EEEA8">
            <w:pPr>
              <w:spacing w:before="97" w:beforeLines="30" w:after="97" w:afterLines="30" w:line="280" w:lineRule="exact"/>
              <w:rPr>
                <w:sz w:val="21"/>
                <w:szCs w:val="21"/>
              </w:rPr>
            </w:pPr>
            <w:r>
              <w:rPr>
                <w:rFonts w:hint="eastAsia"/>
                <w:sz w:val="21"/>
                <w:szCs w:val="21"/>
              </w:rPr>
              <w:t>相同</w:t>
            </w:r>
          </w:p>
        </w:tc>
        <w:tc>
          <w:tcPr>
            <w:tcW w:w="2394" w:type="dxa"/>
            <w:shd w:val="clear" w:color="auto" w:fill="auto"/>
          </w:tcPr>
          <w:p w14:paraId="14B093E7">
            <w:pPr>
              <w:spacing w:before="97" w:beforeLines="30" w:after="97" w:afterLines="30" w:line="280" w:lineRule="exact"/>
              <w:rPr>
                <w:sz w:val="21"/>
                <w:szCs w:val="21"/>
              </w:rPr>
            </w:pPr>
            <w:r>
              <w:rPr>
                <w:rFonts w:hint="eastAsia"/>
                <w:sz w:val="21"/>
                <w:szCs w:val="21"/>
              </w:rPr>
              <w:t>相同</w:t>
            </w:r>
          </w:p>
        </w:tc>
      </w:tr>
      <w:tr w14:paraId="221B6DA0">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3767F353">
            <w:pPr>
              <w:spacing w:before="97" w:beforeLines="30" w:after="97" w:afterLines="30" w:line="280" w:lineRule="exact"/>
              <w:rPr>
                <w:sz w:val="21"/>
                <w:szCs w:val="21"/>
              </w:rPr>
            </w:pPr>
            <w:r>
              <w:rPr>
                <w:rFonts w:hint="eastAsia"/>
                <w:sz w:val="21"/>
                <w:szCs w:val="21"/>
              </w:rPr>
              <w:t>可报告范围</w:t>
            </w:r>
          </w:p>
        </w:tc>
        <w:tc>
          <w:tcPr>
            <w:tcW w:w="2927" w:type="dxa"/>
            <w:shd w:val="clear" w:color="auto" w:fill="auto"/>
          </w:tcPr>
          <w:p w14:paraId="4A281258">
            <w:pPr>
              <w:spacing w:before="97" w:beforeLines="30" w:after="97" w:afterLines="30" w:line="280" w:lineRule="exact"/>
              <w:rPr>
                <w:sz w:val="21"/>
                <w:szCs w:val="21"/>
              </w:rPr>
            </w:pPr>
            <w:r>
              <w:rPr>
                <w:rFonts w:hint="eastAsia"/>
                <w:sz w:val="21"/>
                <w:szCs w:val="21"/>
              </w:rPr>
              <w:t>基于科学有效文件的、处于动态范围的数据</w:t>
            </w:r>
          </w:p>
          <w:p w14:paraId="60254CF9">
            <w:pPr>
              <w:spacing w:before="97" w:beforeLines="30" w:after="97" w:afterLines="30" w:line="280" w:lineRule="exact"/>
              <w:rPr>
                <w:sz w:val="21"/>
                <w:szCs w:val="21"/>
              </w:rPr>
            </w:pPr>
            <w:r>
              <w:rPr>
                <w:sz w:val="21"/>
                <w:szCs w:val="21"/>
              </w:rPr>
              <w:t>NCCLS EP06-A</w:t>
            </w:r>
            <w:r>
              <w:rPr>
                <w:rFonts w:hint="eastAsia"/>
                <w:sz w:val="21"/>
                <w:szCs w:val="21"/>
              </w:rPr>
              <w:t xml:space="preserve"> 定量分析方法的线性评估</w:t>
            </w:r>
          </w:p>
        </w:tc>
        <w:tc>
          <w:tcPr>
            <w:tcW w:w="2297" w:type="dxa"/>
            <w:shd w:val="clear" w:color="auto" w:fill="auto"/>
          </w:tcPr>
          <w:p w14:paraId="23018189">
            <w:pPr>
              <w:spacing w:before="97" w:beforeLines="30" w:after="97" w:afterLines="30" w:line="280" w:lineRule="exact"/>
              <w:rPr>
                <w:sz w:val="21"/>
                <w:szCs w:val="21"/>
              </w:rPr>
            </w:pPr>
            <w:r>
              <w:rPr>
                <w:rFonts w:hint="eastAsia"/>
                <w:sz w:val="21"/>
                <w:szCs w:val="21"/>
              </w:rPr>
              <w:t>相同</w:t>
            </w:r>
          </w:p>
        </w:tc>
        <w:tc>
          <w:tcPr>
            <w:tcW w:w="2394" w:type="dxa"/>
            <w:shd w:val="clear" w:color="auto" w:fill="auto"/>
          </w:tcPr>
          <w:p w14:paraId="5F38258A">
            <w:pPr>
              <w:spacing w:before="97" w:beforeLines="30" w:after="97" w:afterLines="30" w:line="280" w:lineRule="exact"/>
              <w:rPr>
                <w:sz w:val="21"/>
                <w:szCs w:val="21"/>
              </w:rPr>
            </w:pPr>
            <w:r>
              <w:rPr>
                <w:rFonts w:hint="eastAsia"/>
                <w:sz w:val="21"/>
                <w:szCs w:val="21"/>
              </w:rPr>
              <w:t>相同</w:t>
            </w:r>
          </w:p>
        </w:tc>
      </w:tr>
      <w:tr w14:paraId="073B55DB">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13824B22">
            <w:pPr>
              <w:spacing w:before="97" w:beforeLines="30" w:after="97" w:afterLines="30" w:line="280" w:lineRule="exact"/>
              <w:rPr>
                <w:sz w:val="21"/>
                <w:szCs w:val="21"/>
              </w:rPr>
            </w:pPr>
            <w:r>
              <w:rPr>
                <w:rFonts w:hint="eastAsia"/>
                <w:sz w:val="21"/>
                <w:szCs w:val="21"/>
              </w:rPr>
              <w:t>专一性</w:t>
            </w:r>
          </w:p>
        </w:tc>
        <w:tc>
          <w:tcPr>
            <w:tcW w:w="2927" w:type="dxa"/>
            <w:shd w:val="clear" w:color="auto" w:fill="auto"/>
          </w:tcPr>
          <w:p w14:paraId="6FF06A81">
            <w:pPr>
              <w:spacing w:before="97" w:beforeLines="30" w:after="97" w:afterLines="30" w:line="280" w:lineRule="exact"/>
              <w:rPr>
                <w:sz w:val="21"/>
                <w:szCs w:val="21"/>
              </w:rPr>
            </w:pPr>
            <w:r>
              <w:rPr>
                <w:rFonts w:hint="eastAsia"/>
                <w:sz w:val="21"/>
                <w:szCs w:val="21"/>
              </w:rPr>
              <w:t>适用临床和分析干扰-交叉反应性研究，参见</w:t>
            </w:r>
            <w:r>
              <w:rPr>
                <w:sz w:val="21"/>
                <w:szCs w:val="21"/>
              </w:rPr>
              <w:t>NCCLS EP07-A</w:t>
            </w:r>
            <w:r>
              <w:rPr>
                <w:rFonts w:hint="eastAsia"/>
                <w:sz w:val="21"/>
                <w:szCs w:val="21"/>
              </w:rPr>
              <w:t xml:space="preserve"> 临床化学干扰试验</w:t>
            </w:r>
          </w:p>
        </w:tc>
        <w:tc>
          <w:tcPr>
            <w:tcW w:w="2297" w:type="dxa"/>
            <w:shd w:val="clear" w:color="auto" w:fill="auto"/>
          </w:tcPr>
          <w:p w14:paraId="4539DF39">
            <w:pPr>
              <w:spacing w:before="97" w:beforeLines="30" w:after="97" w:afterLines="30" w:line="280" w:lineRule="exact"/>
              <w:rPr>
                <w:sz w:val="21"/>
                <w:szCs w:val="21"/>
              </w:rPr>
            </w:pPr>
            <w:r>
              <w:rPr>
                <w:rFonts w:hint="eastAsia"/>
                <w:sz w:val="21"/>
                <w:szCs w:val="21"/>
              </w:rPr>
              <w:t>相同</w:t>
            </w:r>
          </w:p>
        </w:tc>
        <w:tc>
          <w:tcPr>
            <w:tcW w:w="2394" w:type="dxa"/>
            <w:shd w:val="clear" w:color="auto" w:fill="auto"/>
          </w:tcPr>
          <w:p w14:paraId="1A0045A2">
            <w:pPr>
              <w:spacing w:before="97" w:beforeLines="30" w:after="97" w:afterLines="30" w:line="280" w:lineRule="exact"/>
              <w:rPr>
                <w:sz w:val="21"/>
                <w:szCs w:val="21"/>
              </w:rPr>
            </w:pPr>
            <w:r>
              <w:rPr>
                <w:rFonts w:hint="eastAsia"/>
                <w:sz w:val="21"/>
                <w:szCs w:val="21"/>
              </w:rPr>
              <w:t>相同</w:t>
            </w:r>
          </w:p>
        </w:tc>
      </w:tr>
      <w:tr w14:paraId="2C876905">
        <w:tblPrEx>
          <w:tblBorders>
            <w:top w:val="single" w:color="585858" w:themeColor="text1" w:themeTint="A6" w:sz="24" w:space="0"/>
            <w:left w:val="single" w:color="585858" w:themeColor="text1" w:themeTint="A6" w:sz="24" w:space="0"/>
            <w:bottom w:val="single" w:color="585858" w:themeColor="text1" w:themeTint="A6" w:sz="24" w:space="0"/>
            <w:right w:val="single" w:color="585858" w:themeColor="text1" w:themeTint="A6" w:sz="24" w:space="0"/>
            <w:insideH w:val="single" w:color="585858" w:themeColor="text1" w:themeTint="A6" w:sz="24" w:space="0"/>
            <w:insideV w:val="single" w:color="585858" w:themeColor="text1" w:themeTint="A6" w:sz="24" w:space="0"/>
          </w:tblBorders>
          <w:tblCellMar>
            <w:top w:w="0" w:type="dxa"/>
            <w:left w:w="108" w:type="dxa"/>
            <w:bottom w:w="0" w:type="dxa"/>
            <w:right w:w="108" w:type="dxa"/>
          </w:tblCellMar>
        </w:tblPrEx>
        <w:tc>
          <w:tcPr>
            <w:tcW w:w="1668" w:type="dxa"/>
            <w:shd w:val="clear" w:color="auto" w:fill="auto"/>
          </w:tcPr>
          <w:p w14:paraId="51F305DD">
            <w:pPr>
              <w:spacing w:before="97" w:beforeLines="30" w:after="97" w:afterLines="30" w:line="280" w:lineRule="exact"/>
              <w:rPr>
                <w:sz w:val="21"/>
                <w:szCs w:val="21"/>
              </w:rPr>
            </w:pPr>
            <w:r>
              <w:rPr>
                <w:rFonts w:hint="eastAsia"/>
                <w:sz w:val="21"/>
                <w:szCs w:val="21"/>
              </w:rPr>
              <w:t>参考范围</w:t>
            </w:r>
          </w:p>
        </w:tc>
        <w:tc>
          <w:tcPr>
            <w:tcW w:w="2927" w:type="dxa"/>
            <w:shd w:val="clear" w:color="auto" w:fill="auto"/>
          </w:tcPr>
          <w:p w14:paraId="1474DF90">
            <w:pPr>
              <w:spacing w:before="97" w:beforeLines="30" w:after="97" w:afterLines="30" w:line="280" w:lineRule="exact"/>
              <w:rPr>
                <w:sz w:val="21"/>
                <w:szCs w:val="21"/>
              </w:rPr>
            </w:pPr>
            <w:r>
              <w:rPr>
                <w:rFonts w:hint="eastAsia"/>
                <w:sz w:val="21"/>
                <w:szCs w:val="21"/>
              </w:rPr>
              <w:t>如果适用，参考范围数据依据科学有效的方案，参见</w:t>
            </w:r>
            <w:r>
              <w:rPr>
                <w:sz w:val="21"/>
                <w:szCs w:val="21"/>
              </w:rPr>
              <w:t>NCCLS C28-A2</w:t>
            </w:r>
            <w:r>
              <w:rPr>
                <w:rFonts w:hint="eastAsia"/>
                <w:sz w:val="21"/>
                <w:szCs w:val="21"/>
              </w:rPr>
              <w:t xml:space="preserve"> 定义和确定化学实验室的参考区间的方法</w:t>
            </w:r>
          </w:p>
        </w:tc>
        <w:tc>
          <w:tcPr>
            <w:tcW w:w="2297" w:type="dxa"/>
            <w:shd w:val="clear" w:color="auto" w:fill="auto"/>
          </w:tcPr>
          <w:p w14:paraId="56F236A6">
            <w:pPr>
              <w:spacing w:before="97" w:beforeLines="30" w:after="97" w:afterLines="30" w:line="280" w:lineRule="exact"/>
              <w:rPr>
                <w:sz w:val="21"/>
                <w:szCs w:val="21"/>
              </w:rPr>
            </w:pPr>
            <w:r>
              <w:rPr>
                <w:rFonts w:hint="eastAsia"/>
                <w:sz w:val="21"/>
                <w:szCs w:val="21"/>
              </w:rPr>
              <w:t>如果适用，参考范围数据包括基于科学有效方案的人口统计数据</w:t>
            </w:r>
          </w:p>
        </w:tc>
        <w:tc>
          <w:tcPr>
            <w:tcW w:w="2394" w:type="dxa"/>
            <w:shd w:val="clear" w:color="auto" w:fill="A5A5A5" w:themeFill="background1" w:themeFillShade="A6"/>
          </w:tcPr>
          <w:p w14:paraId="360B859F">
            <w:pPr>
              <w:spacing w:before="97" w:beforeLines="30" w:after="97" w:afterLines="30" w:line="280" w:lineRule="exact"/>
              <w:rPr>
                <w:sz w:val="21"/>
                <w:szCs w:val="21"/>
              </w:rPr>
            </w:pPr>
          </w:p>
        </w:tc>
      </w:tr>
    </w:tbl>
    <w:p w14:paraId="20A9917A">
      <w:pPr>
        <w:spacing w:before="163"/>
      </w:pPr>
    </w:p>
    <w:p w14:paraId="4A679C60">
      <w:pPr>
        <w:pBdr>
          <w:bottom w:val="single" w:color="auto" w:sz="4" w:space="1"/>
        </w:pBdr>
        <w:spacing w:before="163"/>
        <w:jc w:val="center"/>
        <w:rPr>
          <w:rFonts w:hint="eastAsia" w:eastAsia="宋体"/>
          <w:lang w:eastAsia="zh-CN"/>
        </w:rPr>
      </w:pPr>
    </w:p>
    <w:p w14:paraId="76F9783F">
      <w:pPr>
        <w:pBdr>
          <w:bottom w:val="single" w:color="auto" w:sz="4" w:space="1"/>
        </w:pBdr>
        <w:spacing w:before="163"/>
        <w:jc w:val="center"/>
        <w:rPr>
          <w:rFonts w:hint="eastAsia" w:eastAsia="宋体"/>
          <w:lang w:eastAsia="zh-CN"/>
        </w:rPr>
      </w:pPr>
    </w:p>
    <w:p w14:paraId="43E62733">
      <w:pPr>
        <w:pBdr>
          <w:bottom w:val="single" w:color="auto" w:sz="4" w:space="1"/>
        </w:pBdr>
        <w:spacing w:before="163"/>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591C">
    <w:pPr>
      <w:pStyle w:val="6"/>
      <w:spacing w:before="72" w:beforeLines="30" w:line="264" w:lineRule="auto"/>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D878">
    <w:pPr>
      <w:pStyle w:val="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9366">
    <w:pPr>
      <w:pStyle w:val="6"/>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300" w:lineRule="auto"/>
      </w:pPr>
      <w:r>
        <w:separator/>
      </w:r>
    </w:p>
  </w:footnote>
  <w:footnote w:type="continuationSeparator" w:id="7">
    <w:p>
      <w:pPr>
        <w:spacing w:before="0" w:after="0" w:line="300" w:lineRule="auto"/>
      </w:pPr>
      <w:r>
        <w:continuationSeparator/>
      </w:r>
    </w:p>
  </w:footnote>
  <w:footnote w:id="0">
    <w:p w14:paraId="0E316243">
      <w:pPr>
        <w:pStyle w:val="9"/>
        <w:spacing w:before="97" w:beforeLines="30" w:line="264" w:lineRule="auto"/>
      </w:pPr>
      <w:r>
        <w:rPr>
          <w:rStyle w:val="14"/>
        </w:rPr>
        <w:footnoteRef/>
      </w:r>
      <w:r>
        <w:t xml:space="preserve"> http://www.fda.gov/cdrh/ode/510kmod.html</w:t>
      </w:r>
    </w:p>
  </w:footnote>
  <w:footnote w:id="1">
    <w:p w14:paraId="1E460DC3">
      <w:pPr>
        <w:pStyle w:val="9"/>
        <w:spacing w:before="97" w:beforeLines="30" w:line="264" w:lineRule="auto"/>
      </w:pPr>
      <w:r>
        <w:rPr>
          <w:rStyle w:val="14"/>
        </w:rPr>
        <w:footnoteRef/>
      </w:r>
      <w:r>
        <w:fldChar w:fldCharType="begin"/>
      </w:r>
      <w:r>
        <w:instrText xml:space="preserve"> HYPERLINK "http://www.fda.gov/cdrh/ode/guidance/1143.html" </w:instrText>
      </w:r>
      <w:r>
        <w:fldChar w:fldCharType="separate"/>
      </w:r>
      <w:r>
        <w:rPr>
          <w:rStyle w:val="13"/>
        </w:rPr>
        <w:t>http://www.fda.gov/cdrh/ode/guidance/1143.html</w:t>
      </w:r>
      <w:r>
        <w:rPr>
          <w:rStyle w:val="13"/>
        </w:rPr>
        <w:fldChar w:fldCharType="end"/>
      </w:r>
    </w:p>
  </w:footnote>
  <w:footnote w:id="2">
    <w:p w14:paraId="484DBDF7">
      <w:pPr>
        <w:pStyle w:val="9"/>
        <w:spacing w:before="97" w:beforeLines="30" w:line="264" w:lineRule="auto"/>
      </w:pPr>
      <w:r>
        <w:rPr>
          <w:rStyle w:val="14"/>
        </w:rPr>
        <w:footnoteRef/>
      </w:r>
      <w:r>
        <w:rPr>
          <w:rFonts w:hint="eastAsia"/>
        </w:rPr>
        <w:t>将药品和器械的组合作为“组合产品”。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AF8C">
    <w:pPr>
      <w:pStyle w:val="7"/>
      <w:pBdr>
        <w:bottom w:val="none" w:color="auto" w:sz="0" w:space="0"/>
      </w:pBdr>
      <w:spacing w:before="72" w:beforeLines="30" w:line="264" w:lineRule="auto"/>
      <w:rPr>
        <w:b/>
        <w:i/>
        <w:sz w:val="21"/>
        <w:szCs w:val="21"/>
      </w:rPr>
    </w:pPr>
    <w:r>
      <w:rPr>
        <w:b/>
        <w:i/>
        <w:sz w:val="21"/>
        <w:szCs w:val="21"/>
      </w:rPr>
      <w:t>包含不具约束力的建议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0B0C">
    <w:pPr>
      <w:pStyle w:val="7"/>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BEF4">
    <w:pPr>
      <w:pStyle w:val="7"/>
      <w:pBdr>
        <w:bottom w:val="none" w:color="auto" w:sz="0" w:space="0"/>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30B44"/>
    <w:multiLevelType w:val="multilevel"/>
    <w:tmpl w:val="00B30B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0F0879"/>
    <w:multiLevelType w:val="multilevel"/>
    <w:tmpl w:val="120F08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D220AB3"/>
    <w:multiLevelType w:val="multilevel"/>
    <w:tmpl w:val="6D220A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20"/>
  <w:drawingGridVerticalSpacing w:val="163"/>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1457B"/>
    <w:rsid w:val="000724A4"/>
    <w:rsid w:val="000D7231"/>
    <w:rsid w:val="000F0DA1"/>
    <w:rsid w:val="00115CFE"/>
    <w:rsid w:val="0012316F"/>
    <w:rsid w:val="00160610"/>
    <w:rsid w:val="00172525"/>
    <w:rsid w:val="001A0714"/>
    <w:rsid w:val="001E3D4C"/>
    <w:rsid w:val="00215BAD"/>
    <w:rsid w:val="002361D9"/>
    <w:rsid w:val="00253678"/>
    <w:rsid w:val="00277F84"/>
    <w:rsid w:val="002B124F"/>
    <w:rsid w:val="002B15F8"/>
    <w:rsid w:val="002C47F9"/>
    <w:rsid w:val="002D515A"/>
    <w:rsid w:val="0031235C"/>
    <w:rsid w:val="003B2885"/>
    <w:rsid w:val="003C1EA7"/>
    <w:rsid w:val="00400E15"/>
    <w:rsid w:val="00412E5F"/>
    <w:rsid w:val="00423674"/>
    <w:rsid w:val="00446DF9"/>
    <w:rsid w:val="00471F4A"/>
    <w:rsid w:val="004746A5"/>
    <w:rsid w:val="004A1E4C"/>
    <w:rsid w:val="004C292F"/>
    <w:rsid w:val="0052429B"/>
    <w:rsid w:val="005559FE"/>
    <w:rsid w:val="00555B34"/>
    <w:rsid w:val="0058022C"/>
    <w:rsid w:val="005A130B"/>
    <w:rsid w:val="005B6A40"/>
    <w:rsid w:val="006322C1"/>
    <w:rsid w:val="00637C6D"/>
    <w:rsid w:val="006537CE"/>
    <w:rsid w:val="006B2A83"/>
    <w:rsid w:val="006B3B6E"/>
    <w:rsid w:val="006C588F"/>
    <w:rsid w:val="00716159"/>
    <w:rsid w:val="007D4F59"/>
    <w:rsid w:val="007F2980"/>
    <w:rsid w:val="007F4782"/>
    <w:rsid w:val="0082478F"/>
    <w:rsid w:val="008D0920"/>
    <w:rsid w:val="008E38D6"/>
    <w:rsid w:val="00910FBB"/>
    <w:rsid w:val="009517B7"/>
    <w:rsid w:val="00952152"/>
    <w:rsid w:val="009A77A2"/>
    <w:rsid w:val="009B3685"/>
    <w:rsid w:val="009E6EA0"/>
    <w:rsid w:val="009F3E59"/>
    <w:rsid w:val="00A41271"/>
    <w:rsid w:val="00A736CB"/>
    <w:rsid w:val="00AF1962"/>
    <w:rsid w:val="00B11822"/>
    <w:rsid w:val="00B42381"/>
    <w:rsid w:val="00B95E6B"/>
    <w:rsid w:val="00B96899"/>
    <w:rsid w:val="00BA4B24"/>
    <w:rsid w:val="00BD59AD"/>
    <w:rsid w:val="00BE482E"/>
    <w:rsid w:val="00C41984"/>
    <w:rsid w:val="00C53FAA"/>
    <w:rsid w:val="00C60442"/>
    <w:rsid w:val="00C865A0"/>
    <w:rsid w:val="00C93763"/>
    <w:rsid w:val="00CD2537"/>
    <w:rsid w:val="00CD3F95"/>
    <w:rsid w:val="00D001E8"/>
    <w:rsid w:val="00D128A5"/>
    <w:rsid w:val="00D952F6"/>
    <w:rsid w:val="00DA69CB"/>
    <w:rsid w:val="00DA7A71"/>
    <w:rsid w:val="00DA7AD6"/>
    <w:rsid w:val="00DD26A2"/>
    <w:rsid w:val="00DE374C"/>
    <w:rsid w:val="00DF681E"/>
    <w:rsid w:val="00E54E30"/>
    <w:rsid w:val="00E65444"/>
    <w:rsid w:val="00EA7C12"/>
    <w:rsid w:val="00ED05E1"/>
    <w:rsid w:val="00EF33F2"/>
    <w:rsid w:val="00F156B1"/>
    <w:rsid w:val="00F41701"/>
    <w:rsid w:val="00F5166B"/>
    <w:rsid w:val="00F60BC4"/>
    <w:rsid w:val="00F8632D"/>
    <w:rsid w:val="00FD765E"/>
    <w:rsid w:val="00FE615B"/>
    <w:rsid w:val="00FF17E8"/>
    <w:rsid w:val="4C504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Arial" w:hAnsi="Arial" w:eastAsia="宋体" w:cs="Times New Roman"/>
      <w:kern w:val="2"/>
      <w:sz w:val="24"/>
      <w:szCs w:val="22"/>
      <w:lang w:val="en-US" w:eastAsia="zh-CN" w:bidi="ar-SA"/>
    </w:rPr>
  </w:style>
  <w:style w:type="paragraph" w:styleId="2">
    <w:name w:val="heading 1"/>
    <w:basedOn w:val="1"/>
    <w:next w:val="1"/>
    <w:link w:val="18"/>
    <w:qFormat/>
    <w:uiPriority w:val="9"/>
    <w:pPr>
      <w:keepNext/>
      <w:keepLines/>
      <w:spacing w:after="50" w:afterLines="50" w:line="360" w:lineRule="exact"/>
      <w:outlineLvl w:val="0"/>
    </w:pPr>
    <w:rPr>
      <w:rFonts w:ascii="Times New Roman" w:hAnsi="Times New Roman"/>
      <w:bCs/>
      <w:kern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rPr>
      <w:sz w:val="18"/>
      <w:szCs w:val="18"/>
    </w:rPr>
  </w:style>
  <w:style w:type="paragraph" w:styleId="6">
    <w:name w:val="footer"/>
    <w:basedOn w:val="1"/>
    <w:link w:val="17"/>
    <w:unhideWhenUsed/>
    <w:uiPriority w:val="99"/>
    <w:pPr>
      <w:tabs>
        <w:tab w:val="center" w:pos="4153"/>
        <w:tab w:val="right" w:pos="8306"/>
      </w:tabs>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uiPriority w:val="39"/>
  </w:style>
  <w:style w:type="paragraph" w:styleId="9">
    <w:name w:val="footnote text"/>
    <w:basedOn w:val="1"/>
    <w:link w:val="20"/>
    <w:semiHidden/>
    <w:unhideWhenUsed/>
    <w:uiPriority w:val="99"/>
    <w:pPr>
      <w:jc w:val="left"/>
    </w:pPr>
    <w:rPr>
      <w:sz w:val="18"/>
      <w:szCs w:val="18"/>
    </w:rPr>
  </w:style>
  <w:style w:type="table" w:styleId="11">
    <w:name w:val="Table Grid"/>
    <w:basedOn w:val="1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unhideWhenUsed/>
    <w:uiPriority w:val="99"/>
    <w:rPr>
      <w:color w:val="0000FF"/>
      <w:u w:val="single"/>
    </w:rPr>
  </w:style>
  <w:style w:type="character" w:styleId="14">
    <w:name w:val="footnote reference"/>
    <w:basedOn w:val="12"/>
    <w:semiHidden/>
    <w:unhideWhenUsed/>
    <w:uiPriority w:val="99"/>
    <w:rPr>
      <w:vertAlign w:val="superscript"/>
    </w:rPr>
  </w:style>
  <w:style w:type="paragraph" w:styleId="15">
    <w:name w:val="List Paragraph"/>
    <w:basedOn w:val="1"/>
    <w:qFormat/>
    <w:uiPriority w:val="34"/>
    <w:pPr>
      <w:ind w:firstLine="420" w:firstLineChars="200"/>
    </w:pPr>
  </w:style>
  <w:style w:type="character" w:customStyle="1" w:styleId="16">
    <w:name w:val="页眉 Char"/>
    <w:link w:val="7"/>
    <w:uiPriority w:val="99"/>
    <w:rPr>
      <w:sz w:val="18"/>
      <w:szCs w:val="18"/>
    </w:rPr>
  </w:style>
  <w:style w:type="character" w:customStyle="1" w:styleId="17">
    <w:name w:val="页脚 Char"/>
    <w:link w:val="6"/>
    <w:uiPriority w:val="99"/>
    <w:rPr>
      <w:sz w:val="18"/>
      <w:szCs w:val="18"/>
    </w:rPr>
  </w:style>
  <w:style w:type="character" w:customStyle="1" w:styleId="18">
    <w:name w:val="标题 1 Char"/>
    <w:link w:val="2"/>
    <w:qFormat/>
    <w:uiPriority w:val="9"/>
    <w:rPr>
      <w:rFonts w:ascii="Times New Roman" w:hAnsi="Times New Roman"/>
      <w:bCs/>
      <w:kern w:val="44"/>
      <w:sz w:val="24"/>
      <w:szCs w:val="44"/>
    </w:rPr>
  </w:style>
  <w:style w:type="character" w:customStyle="1" w:styleId="19">
    <w:name w:val="批注框文本 Char"/>
    <w:basedOn w:val="12"/>
    <w:link w:val="5"/>
    <w:semiHidden/>
    <w:uiPriority w:val="99"/>
    <w:rPr>
      <w:kern w:val="2"/>
      <w:sz w:val="18"/>
      <w:szCs w:val="18"/>
    </w:rPr>
  </w:style>
  <w:style w:type="character" w:customStyle="1" w:styleId="20">
    <w:name w:val="脚注文本 Char"/>
    <w:basedOn w:val="12"/>
    <w:link w:val="9"/>
    <w:semiHidden/>
    <w:uiPriority w:val="99"/>
    <w:rPr>
      <w:rFonts w:ascii="Arial" w:hAnsi="Arial"/>
      <w:kern w:val="2"/>
      <w:sz w:val="18"/>
      <w:szCs w:val="18"/>
    </w:rPr>
  </w:style>
  <w:style w:type="character" w:customStyle="1" w:styleId="21">
    <w:name w:val="标题 2 Char"/>
    <w:basedOn w:val="12"/>
    <w:link w:val="3"/>
    <w:semiHidden/>
    <w:uiPriority w:val="9"/>
    <w:rPr>
      <w:rFonts w:asciiTheme="majorHAnsi" w:hAnsiTheme="majorHAnsi" w:eastAsiaTheme="majorEastAsia" w:cstheme="majorBidi"/>
      <w:b/>
      <w:bCs/>
      <w:kern w:val="2"/>
      <w:sz w:val="32"/>
      <w:szCs w:val="32"/>
    </w:rPr>
  </w:style>
  <w:style w:type="character" w:customStyle="1" w:styleId="22">
    <w:name w:val="标题 3 Char"/>
    <w:basedOn w:val="12"/>
    <w:link w:val="4"/>
    <w:semiHidden/>
    <w:uiPriority w:val="9"/>
    <w:rPr>
      <w:rFonts w:ascii="Arial" w:hAnsi="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E04CF-CEE3-42F7-93BD-6160AAE90F9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5109</Words>
  <Characters>5672</Characters>
  <Lines>45</Lines>
  <Paragraphs>12</Paragraphs>
  <TotalTime>0</TotalTime>
  <ScaleCrop>false</ScaleCrop>
  <LinksUpToDate>false</LinksUpToDate>
  <CharactersWithSpaces>5719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2017-04-10T09:56:00Z</dcterms:created>
  <dc:creator>User</dc:creator>
  <cp:lastModifiedBy>太极箫客</cp:lastModifiedBy>
  <dcterms:modified xsi:type="dcterms:W3CDTF">2025-08-14T06:57:59Z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F74351C9FDA24C7D9291912F059FACC9_12</vt:lpwstr>
  </property>
</Properties>
</file>