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4306E">
      <w:pPr>
        <w:pStyle w:val="22"/>
        <w:spacing w:before="0" w:after="0" w:line="520" w:lineRule="exact"/>
        <w:rPr>
          <w:rFonts w:ascii="方正小标宋简体" w:eastAsia="方正小标宋简体"/>
          <w:b w:val="0"/>
          <w:bCs w:val="0"/>
          <w:sz w:val="44"/>
          <w:szCs w:val="44"/>
        </w:rPr>
      </w:pPr>
      <w:bookmarkStart w:id="142" w:name="_GoBack"/>
      <w:bookmarkEnd w:id="142"/>
      <w:bookmarkStart w:id="0" w:name="_Toc112679996"/>
      <w:bookmarkStart w:id="1" w:name="OLE_LINK4"/>
      <w:bookmarkStart w:id="2" w:name="现成软件"/>
      <w:bookmarkStart w:id="3" w:name="_Toc344475834"/>
      <w:bookmarkStart w:id="4" w:name="参考文献"/>
      <w:r>
        <w:rPr>
          <w:rFonts w:hint="eastAsia" w:ascii="方正小标宋简体" w:eastAsia="方正小标宋简体"/>
          <w:b w:val="0"/>
          <w:bCs w:val="0"/>
          <w:sz w:val="44"/>
          <w:szCs w:val="44"/>
        </w:rPr>
        <w:t>无创血糖/葡萄糖监测产品注册审查指导原则</w:t>
      </w:r>
      <w:bookmarkEnd w:id="0"/>
    </w:p>
    <w:p w14:paraId="7CEBAAB9">
      <w:pPr>
        <w:spacing w:line="520" w:lineRule="exact"/>
        <w:jc w:val="center"/>
        <w:rPr>
          <w:rFonts w:ascii="仿宋_GB2312" w:eastAsia="仿宋_GB2312"/>
          <w:sz w:val="32"/>
          <w:szCs w:val="32"/>
        </w:rPr>
      </w:pPr>
    </w:p>
    <w:bookmarkEnd w:id="1"/>
    <w:p w14:paraId="78518800">
      <w:pPr>
        <w:spacing w:line="520" w:lineRule="exact"/>
        <w:ind w:firstLine="640" w:firstLineChars="200"/>
        <w:rPr>
          <w:rFonts w:ascii="仿宋_GB2312" w:eastAsia="仿宋_GB2312"/>
          <w:sz w:val="32"/>
          <w:szCs w:val="32"/>
        </w:rPr>
      </w:pPr>
      <w:bookmarkStart w:id="5" w:name="适用范围"/>
      <w:bookmarkStart w:id="6" w:name="_Toc344475832"/>
      <w:r>
        <w:rPr>
          <w:rFonts w:hint="eastAsia" w:ascii="仿宋_GB2312" w:eastAsia="仿宋_GB2312"/>
          <w:sz w:val="32"/>
          <w:szCs w:val="32"/>
        </w:rPr>
        <w:t>本指导原则旨在</w:t>
      </w:r>
      <w:r>
        <w:rPr>
          <w:rFonts w:hint="eastAsia" w:eastAsia="仿宋_GB2312"/>
          <w:kern w:val="0"/>
          <w:sz w:val="32"/>
          <w:szCs w:val="32"/>
        </w:rPr>
        <w:t>指导申请人对</w:t>
      </w:r>
      <w:r>
        <w:rPr>
          <w:rFonts w:hint="eastAsia" w:ascii="仿宋_GB2312" w:eastAsia="仿宋_GB2312"/>
          <w:sz w:val="32"/>
          <w:szCs w:val="32"/>
        </w:rPr>
        <w:t>无创血糖/葡萄糖监测产品（简称“产品”）</w:t>
      </w:r>
      <w:r>
        <w:rPr>
          <w:rFonts w:hint="eastAsia" w:eastAsia="仿宋_GB2312"/>
          <w:kern w:val="0"/>
          <w:sz w:val="32"/>
          <w:szCs w:val="32"/>
        </w:rPr>
        <w:t>注册申报资料的准备及撰写</w:t>
      </w:r>
      <w:r>
        <w:rPr>
          <w:rFonts w:hint="eastAsia" w:ascii="仿宋_GB2312" w:eastAsia="仿宋_GB2312"/>
          <w:sz w:val="32"/>
          <w:szCs w:val="32"/>
        </w:rPr>
        <w:t>，</w:t>
      </w:r>
      <w:r>
        <w:rPr>
          <w:rFonts w:hint="eastAsia" w:eastAsia="仿宋_GB2312"/>
          <w:kern w:val="0"/>
          <w:sz w:val="32"/>
          <w:szCs w:val="32"/>
        </w:rPr>
        <w:t>同时也为技术审评部门审评注册申报资料提供参考。</w:t>
      </w:r>
    </w:p>
    <w:p w14:paraId="6ADB4E5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本指导原则是对产品的一般性要求，申请人应依据其具体特性</w:t>
      </w:r>
      <w:r>
        <w:rPr>
          <w:rFonts w:hint="eastAsia" w:eastAsia="仿宋_GB2312"/>
          <w:kern w:val="0"/>
          <w:sz w:val="32"/>
          <w:szCs w:val="32"/>
        </w:rPr>
        <w:t>确定其中内容是否适用</w:t>
      </w:r>
      <w:r>
        <w:rPr>
          <w:rFonts w:hint="eastAsia" w:ascii="仿宋_GB2312" w:eastAsia="仿宋_GB2312"/>
          <w:sz w:val="32"/>
          <w:szCs w:val="32"/>
        </w:rPr>
        <w:t>，若不适用，需具体阐述理由及相应的科学依据</w:t>
      </w:r>
      <w:r>
        <w:rPr>
          <w:rFonts w:hint="eastAsia" w:eastAsia="仿宋_GB2312"/>
          <w:kern w:val="0"/>
          <w:sz w:val="32"/>
          <w:szCs w:val="32"/>
        </w:rPr>
        <w:t>，并依据其具体特性对注册申报资料的内容进行充实和细化。</w:t>
      </w:r>
    </w:p>
    <w:p w14:paraId="7A59B154">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pPr>
        <w:spacing w:line="520" w:lineRule="exact"/>
        <w:ind w:firstLine="640" w:firstLineChars="200"/>
        <w:rPr>
          <w:rFonts w:eastAsia="仿宋_GB2312"/>
          <w:kern w:val="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5117C1CB">
      <w:pPr>
        <w:spacing w:line="520" w:lineRule="exact"/>
        <w:ind w:firstLine="640" w:firstLineChars="200"/>
        <w:rPr>
          <w:rFonts w:eastAsia="仿宋_GB2312"/>
          <w:kern w:val="0"/>
          <w:sz w:val="32"/>
          <w:szCs w:val="32"/>
        </w:rPr>
      </w:pPr>
      <w:r>
        <w:rPr>
          <w:rFonts w:hint="eastAsia" w:eastAsia="仿宋_GB2312"/>
          <w:kern w:val="0"/>
          <w:sz w:val="32"/>
          <w:szCs w:val="32"/>
        </w:rPr>
        <w:t>参考《</w:t>
      </w:r>
      <w:r>
        <w:rPr>
          <w:rFonts w:eastAsia="仿宋_GB2312"/>
          <w:kern w:val="0"/>
          <w:sz w:val="32"/>
          <w:szCs w:val="32"/>
        </w:rPr>
        <w:t>医疗器械安全和性能的基本原则</w:t>
      </w:r>
      <w:r>
        <w:rPr>
          <w:rFonts w:hint="eastAsia" w:eastAsia="仿宋_GB2312"/>
          <w:kern w:val="0"/>
          <w:sz w:val="32"/>
          <w:szCs w:val="32"/>
        </w:rPr>
        <w:t>》，申请人应明确基本的</w:t>
      </w:r>
      <w:r>
        <w:rPr>
          <w:rFonts w:eastAsia="仿宋_GB2312"/>
          <w:kern w:val="0"/>
          <w:sz w:val="32"/>
          <w:szCs w:val="32"/>
        </w:rPr>
        <w:t>设计和生产要求，应能设计和生产在医疗器械全生命周期内均能达到预期安全和性能要求的产品。</w:t>
      </w:r>
    </w:p>
    <w:p w14:paraId="376ACBED">
      <w:pPr>
        <w:numPr>
          <w:ilvl w:val="0"/>
          <w:numId w:val="1"/>
        </w:numPr>
        <w:spacing w:line="520" w:lineRule="exact"/>
        <w:ind w:left="0" w:firstLine="640" w:firstLineChars="200"/>
        <w:outlineLvl w:val="0"/>
        <w:rPr>
          <w:rFonts w:ascii="黑体" w:hAnsi="黑体" w:eastAsia="黑体"/>
          <w:b/>
          <w:sz w:val="32"/>
          <w:szCs w:val="32"/>
        </w:rPr>
      </w:pPr>
      <w:bookmarkStart w:id="7" w:name="_Toc112680000"/>
      <w:r>
        <w:rPr>
          <w:rFonts w:hint="eastAsia" w:ascii="黑体" w:hAnsi="黑体" w:eastAsia="黑体"/>
          <w:sz w:val="32"/>
          <w:szCs w:val="32"/>
        </w:rPr>
        <w:t>范围</w:t>
      </w:r>
      <w:bookmarkEnd w:id="5"/>
      <w:bookmarkEnd w:id="6"/>
      <w:bookmarkEnd w:id="7"/>
    </w:p>
    <w:p w14:paraId="52BF3C2C">
      <w:pPr>
        <w:spacing w:line="520" w:lineRule="exact"/>
        <w:ind w:firstLine="640" w:firstLineChars="200"/>
        <w:rPr>
          <w:rFonts w:ascii="仿宋_GB2312" w:eastAsia="仿宋_GB2312"/>
          <w:sz w:val="32"/>
          <w:szCs w:val="32"/>
        </w:rPr>
      </w:pPr>
      <w:r>
        <w:rPr>
          <w:rFonts w:ascii="仿宋_GB2312" w:eastAsia="仿宋_GB2312"/>
          <w:sz w:val="32"/>
          <w:szCs w:val="32"/>
        </w:rPr>
        <w:t>本指导原则适用于</w:t>
      </w:r>
      <w:r>
        <w:rPr>
          <w:rFonts w:hint="eastAsia" w:ascii="仿宋_GB2312" w:eastAsia="仿宋_GB2312"/>
          <w:sz w:val="32"/>
          <w:szCs w:val="32"/>
        </w:rPr>
        <w:t>预期采用无创方式监测人体血糖/葡萄糖的</w:t>
      </w:r>
      <w:r>
        <w:rPr>
          <w:rFonts w:ascii="仿宋_GB2312" w:eastAsia="仿宋_GB2312"/>
          <w:sz w:val="32"/>
          <w:szCs w:val="32"/>
        </w:rPr>
        <w:t>医疗器械设备或系统，</w:t>
      </w:r>
      <w:r>
        <w:rPr>
          <w:rFonts w:hint="eastAsia" w:ascii="仿宋_GB2312" w:eastAsia="仿宋_GB2312"/>
          <w:sz w:val="32"/>
          <w:szCs w:val="32"/>
        </w:rPr>
        <w:t>对于</w:t>
      </w:r>
      <w:r>
        <w:rPr>
          <w:rFonts w:ascii="仿宋_GB2312" w:eastAsia="仿宋_GB2312"/>
          <w:sz w:val="32"/>
          <w:szCs w:val="32"/>
        </w:rPr>
        <w:t>连续无创血糖监测</w:t>
      </w:r>
      <w:r>
        <w:rPr>
          <w:rFonts w:hint="eastAsia" w:ascii="仿宋_GB2312" w:eastAsia="仿宋_GB2312"/>
          <w:sz w:val="32"/>
          <w:szCs w:val="32"/>
        </w:rPr>
        <w:t>医疗器械产品也具有一定的参考意义</w:t>
      </w:r>
      <w:r>
        <w:rPr>
          <w:rFonts w:ascii="仿宋_GB2312" w:eastAsia="仿宋_GB2312"/>
          <w:sz w:val="32"/>
          <w:szCs w:val="32"/>
        </w:rPr>
        <w:t>。</w:t>
      </w:r>
    </w:p>
    <w:p w14:paraId="448B86AC">
      <w:pPr>
        <w:spacing w:line="520" w:lineRule="exact"/>
        <w:ind w:firstLine="640" w:firstLineChars="200"/>
        <w:rPr>
          <w:rFonts w:ascii="仿宋_GB2312" w:eastAsia="仿宋_GB2312"/>
          <w:sz w:val="32"/>
          <w:szCs w:val="32"/>
        </w:rPr>
      </w:pPr>
      <w:r>
        <w:rPr>
          <w:rFonts w:eastAsia="仿宋_GB2312"/>
          <w:kern w:val="0"/>
          <w:sz w:val="32"/>
          <w:szCs w:val="32"/>
        </w:rPr>
        <w:t>本指导原则</w:t>
      </w:r>
      <w:r>
        <w:rPr>
          <w:rFonts w:hint="eastAsia" w:eastAsia="仿宋_GB2312"/>
          <w:kern w:val="0"/>
          <w:sz w:val="32"/>
          <w:szCs w:val="32"/>
        </w:rPr>
        <w:t>对</w:t>
      </w:r>
      <w:r>
        <w:rPr>
          <w:rFonts w:hint="eastAsia" w:ascii="仿宋_GB2312" w:eastAsia="仿宋_GB2312"/>
          <w:sz w:val="32"/>
          <w:szCs w:val="32"/>
        </w:rPr>
        <w:t>产品的结构及组成、检测参数、预期用途、预期使用环境等不做限制。产品既可以是独立设备，例如，</w:t>
      </w:r>
      <w:r>
        <w:rPr>
          <w:rFonts w:eastAsia="仿宋_GB2312"/>
          <w:sz w:val="32"/>
          <w:szCs w:val="32"/>
        </w:rPr>
        <w:t>无创血糖仪(Noninvasive Glucose Meter)</w:t>
      </w:r>
      <w:r>
        <w:rPr>
          <w:rFonts w:hint="eastAsia" w:eastAsia="仿宋_GB2312"/>
          <w:sz w:val="32"/>
          <w:szCs w:val="32"/>
        </w:rPr>
        <w:t>，</w:t>
      </w:r>
      <w:r>
        <w:rPr>
          <w:rFonts w:hint="eastAsia" w:ascii="仿宋_GB2312" w:eastAsia="仿宋_GB2312"/>
          <w:sz w:val="32"/>
          <w:szCs w:val="32"/>
        </w:rPr>
        <w:t>又可以作为多参数模块集成在设备或系统中，例如，</w:t>
      </w:r>
      <w:r>
        <w:rPr>
          <w:rFonts w:eastAsia="仿宋_GB2312"/>
          <w:sz w:val="32"/>
          <w:szCs w:val="32"/>
        </w:rPr>
        <w:t>组合血糖仪(Hybrid Glucose Meter)</w:t>
      </w:r>
      <w:r>
        <w:rPr>
          <w:rFonts w:hint="eastAsia" w:eastAsia="仿宋_GB2312"/>
          <w:sz w:val="32"/>
          <w:szCs w:val="32"/>
        </w:rPr>
        <w:t>中的无创模块部分，</w:t>
      </w:r>
      <w:r>
        <w:rPr>
          <w:rFonts w:hint="eastAsia" w:ascii="仿宋_GB2312" w:eastAsia="仿宋_GB2312"/>
          <w:sz w:val="32"/>
          <w:szCs w:val="32"/>
        </w:rPr>
        <w:t>也可以是穿戴式无</w:t>
      </w:r>
      <w:r>
        <w:rPr>
          <w:rFonts w:hint="eastAsia" w:eastAsia="仿宋_GB2312"/>
          <w:sz w:val="32"/>
          <w:szCs w:val="32"/>
        </w:rPr>
        <w:t>创血糖/葡萄糖监测的设备或系统，例如，柔性无创血糖传感器。</w:t>
      </w:r>
    </w:p>
    <w:p w14:paraId="44117E6B">
      <w:pPr>
        <w:spacing w:line="520" w:lineRule="exact"/>
        <w:ind w:firstLine="640" w:firstLineChars="200"/>
        <w:rPr>
          <w:rFonts w:ascii="仿宋_GB2312" w:eastAsia="仿宋_GB2312"/>
          <w:sz w:val="32"/>
          <w:szCs w:val="32"/>
        </w:rPr>
      </w:pPr>
      <w:r>
        <w:rPr>
          <w:rFonts w:ascii="仿宋_GB2312" w:eastAsia="仿宋_GB2312"/>
          <w:sz w:val="32"/>
          <w:szCs w:val="32"/>
        </w:rPr>
        <w:t>本指导原则</w:t>
      </w:r>
      <w:r>
        <w:rPr>
          <w:rFonts w:hint="eastAsia" w:ascii="仿宋_GB2312" w:eastAsia="仿宋_GB2312"/>
          <w:sz w:val="32"/>
          <w:szCs w:val="32"/>
        </w:rPr>
        <w:t>不适用于有创血糖/葡萄糖监测产品，例如，有创血糖仪、</w:t>
      </w:r>
      <w:r>
        <w:rPr>
          <w:rFonts w:eastAsia="仿宋_GB2312"/>
          <w:sz w:val="32"/>
          <w:szCs w:val="32"/>
        </w:rPr>
        <w:t>组合血糖仪</w:t>
      </w:r>
      <w:r>
        <w:rPr>
          <w:rFonts w:hint="eastAsia" w:eastAsia="仿宋_GB2312"/>
          <w:sz w:val="32"/>
          <w:szCs w:val="32"/>
        </w:rPr>
        <w:t>的有创血糖检测模块（含试纸）、</w:t>
      </w:r>
      <w:r>
        <w:rPr>
          <w:rFonts w:hint="eastAsia" w:ascii="仿宋_GB2312" w:eastAsia="仿宋_GB2312"/>
          <w:sz w:val="32"/>
          <w:szCs w:val="32"/>
        </w:rPr>
        <w:t>有创的持续葡萄糖监测系统(</w:t>
      </w:r>
      <w:r>
        <w:rPr>
          <w:rFonts w:eastAsia="仿宋_GB2312"/>
          <w:bCs/>
          <w:color w:val="000000"/>
          <w:sz w:val="32"/>
          <w:szCs w:val="32"/>
        </w:rPr>
        <w:t>Continuous Glucose Monitoring, CGM</w:t>
      </w:r>
      <w:r>
        <w:rPr>
          <w:rFonts w:ascii="仿宋_GB2312" w:eastAsia="仿宋_GB2312"/>
          <w:sz w:val="32"/>
          <w:szCs w:val="32"/>
        </w:rPr>
        <w:t>)</w:t>
      </w:r>
      <w:r>
        <w:rPr>
          <w:rFonts w:hint="eastAsia" w:ascii="仿宋_GB2312" w:eastAsia="仿宋_GB2312"/>
          <w:sz w:val="32"/>
          <w:szCs w:val="32"/>
        </w:rPr>
        <w:t>等。</w:t>
      </w:r>
    </w:p>
    <w:p w14:paraId="1E37307F">
      <w:pPr>
        <w:numPr>
          <w:ilvl w:val="0"/>
          <w:numId w:val="1"/>
        </w:numPr>
        <w:spacing w:line="520" w:lineRule="exact"/>
        <w:ind w:left="0" w:firstLine="640" w:firstLineChars="200"/>
        <w:outlineLvl w:val="0"/>
        <w:rPr>
          <w:rFonts w:ascii="黑体" w:hAnsi="黑体" w:eastAsia="黑体"/>
          <w:sz w:val="32"/>
          <w:szCs w:val="32"/>
        </w:rPr>
      </w:pPr>
      <w:bookmarkStart w:id="8" w:name="_Ref111494522"/>
      <w:bookmarkStart w:id="9" w:name="_Toc112680001"/>
      <w:r>
        <w:rPr>
          <w:rFonts w:hint="eastAsia" w:ascii="黑体" w:hAnsi="黑体" w:eastAsia="黑体"/>
          <w:sz w:val="32"/>
          <w:szCs w:val="32"/>
        </w:rPr>
        <w:t>技术审查要点</w:t>
      </w:r>
      <w:bookmarkEnd w:id="8"/>
      <w:bookmarkEnd w:id="9"/>
    </w:p>
    <w:p w14:paraId="17691E24">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0" w:name="_Toc112680002"/>
      <w:r>
        <w:rPr>
          <w:rFonts w:hint="eastAsia" w:ascii="楷体_GB2312" w:eastAsia="楷体_GB2312"/>
          <w:bCs/>
          <w:color w:val="000000"/>
          <w:sz w:val="32"/>
          <w:szCs w:val="32"/>
        </w:rPr>
        <w:t>监管信息</w:t>
      </w:r>
      <w:bookmarkEnd w:id="10"/>
    </w:p>
    <w:p w14:paraId="28873D46">
      <w:pPr>
        <w:numPr>
          <w:ilvl w:val="0"/>
          <w:numId w:val="3"/>
        </w:numPr>
        <w:spacing w:line="520" w:lineRule="exact"/>
        <w:ind w:left="0" w:firstLine="640" w:firstLineChars="200"/>
        <w:outlineLvl w:val="2"/>
        <w:rPr>
          <w:rFonts w:eastAsia="仿宋_GB2312"/>
          <w:color w:val="000000"/>
          <w:sz w:val="32"/>
          <w:szCs w:val="32"/>
        </w:rPr>
      </w:pPr>
      <w:bookmarkStart w:id="11" w:name="_Toc112680003"/>
      <w:r>
        <w:rPr>
          <w:rFonts w:eastAsia="仿宋_GB2312"/>
          <w:color w:val="000000"/>
          <w:sz w:val="32"/>
          <w:szCs w:val="32"/>
        </w:rPr>
        <w:t>申请表</w:t>
      </w:r>
      <w:bookmarkEnd w:id="11"/>
    </w:p>
    <w:p w14:paraId="6746604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eastAsia="仿宋_GB2312"/>
          <w:color w:val="000000"/>
          <w:sz w:val="32"/>
          <w:szCs w:val="32"/>
        </w:rPr>
        <w:t>按照填表要求填写</w:t>
      </w:r>
      <w:r>
        <w:rPr>
          <w:rFonts w:hint="eastAsia" w:eastAsia="仿宋_GB2312"/>
          <w:color w:val="000000"/>
          <w:sz w:val="32"/>
          <w:szCs w:val="32"/>
        </w:rPr>
        <w:t>，其中产品名称、结构及组成、产品适用范围应与综述资料、产品说明书的相关内容保持一致</w:t>
      </w:r>
      <w:r>
        <w:rPr>
          <w:rFonts w:eastAsia="仿宋_GB2312"/>
          <w:color w:val="000000"/>
          <w:sz w:val="32"/>
          <w:szCs w:val="32"/>
        </w:rPr>
        <w:t>。</w:t>
      </w:r>
    </w:p>
    <w:p w14:paraId="61F92021">
      <w:pPr>
        <w:numPr>
          <w:ilvl w:val="0"/>
          <w:numId w:val="3"/>
        </w:numPr>
        <w:spacing w:line="520" w:lineRule="exact"/>
        <w:ind w:left="0" w:firstLine="640" w:firstLineChars="200"/>
        <w:outlineLvl w:val="2"/>
        <w:rPr>
          <w:rFonts w:eastAsia="仿宋_GB2312"/>
          <w:color w:val="000000"/>
          <w:sz w:val="32"/>
          <w:szCs w:val="32"/>
        </w:rPr>
      </w:pPr>
      <w:bookmarkStart w:id="12" w:name="_Toc112680004"/>
      <w:r>
        <w:rPr>
          <w:rFonts w:eastAsia="仿宋_GB2312"/>
          <w:color w:val="000000"/>
          <w:sz w:val="32"/>
          <w:szCs w:val="32"/>
        </w:rPr>
        <w:t>术语、缩写词列表</w:t>
      </w:r>
      <w:bookmarkEnd w:id="12"/>
    </w:p>
    <w:p w14:paraId="2D528B9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应当根据注册申报资料的实际情况，对其中出现的需要明确含义的术语或缩写词进行定义。</w:t>
      </w:r>
    </w:p>
    <w:p w14:paraId="52C23EDA">
      <w:pPr>
        <w:numPr>
          <w:ilvl w:val="0"/>
          <w:numId w:val="3"/>
        </w:numPr>
        <w:spacing w:line="520" w:lineRule="exact"/>
        <w:ind w:left="0" w:firstLine="640" w:firstLineChars="200"/>
        <w:outlineLvl w:val="2"/>
        <w:rPr>
          <w:rFonts w:eastAsia="仿宋_GB2312"/>
          <w:color w:val="000000"/>
          <w:sz w:val="32"/>
          <w:szCs w:val="32"/>
        </w:rPr>
      </w:pPr>
      <w:bookmarkStart w:id="13" w:name="_Toc112680005"/>
      <w:r>
        <w:rPr>
          <w:rFonts w:eastAsia="仿宋_GB2312"/>
          <w:color w:val="000000"/>
          <w:sz w:val="32"/>
          <w:szCs w:val="32"/>
        </w:rPr>
        <w:t>产品列表</w:t>
      </w:r>
      <w:bookmarkEnd w:id="13"/>
    </w:p>
    <w:p w14:paraId="00F21BF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应以表格形式列出拟申报产品的型号、规格、结构及组成、附件，以及每个型号规格的标识（如型号或部件的编号，器械唯一标识等）和描述说明（如尺寸、材质等）。</w:t>
      </w:r>
    </w:p>
    <w:p w14:paraId="71D0F6FB">
      <w:pPr>
        <w:numPr>
          <w:ilvl w:val="0"/>
          <w:numId w:val="3"/>
        </w:numPr>
        <w:spacing w:line="520" w:lineRule="exact"/>
        <w:ind w:left="0" w:firstLine="640" w:firstLineChars="200"/>
        <w:outlineLvl w:val="2"/>
        <w:rPr>
          <w:rFonts w:eastAsia="仿宋_GB2312"/>
          <w:color w:val="000000"/>
          <w:sz w:val="32"/>
          <w:szCs w:val="32"/>
        </w:rPr>
      </w:pPr>
      <w:bookmarkStart w:id="14" w:name="_Toc432753652"/>
      <w:r>
        <w:rPr>
          <w:rFonts w:eastAsia="仿宋_GB2312"/>
          <w:color w:val="000000"/>
          <w:sz w:val="32"/>
          <w:szCs w:val="32"/>
        </w:rPr>
        <w:t>注册单元</w:t>
      </w:r>
      <w:bookmarkEnd w:id="14"/>
      <w:r>
        <w:rPr>
          <w:rFonts w:eastAsia="仿宋_GB2312"/>
          <w:color w:val="000000"/>
          <w:sz w:val="32"/>
          <w:szCs w:val="32"/>
        </w:rPr>
        <w:t>划分</w:t>
      </w:r>
    </w:p>
    <w:p w14:paraId="283A67A7">
      <w:pPr>
        <w:spacing w:line="520" w:lineRule="exact"/>
        <w:ind w:firstLine="640" w:firstLineChars="200"/>
        <w:rPr>
          <w:rFonts w:eastAsia="仿宋_GB2312"/>
          <w:color w:val="000000"/>
          <w:sz w:val="32"/>
          <w:szCs w:val="32"/>
        </w:rPr>
      </w:pPr>
      <w:r>
        <w:rPr>
          <w:rFonts w:hint="eastAsia" w:eastAsia="仿宋_GB2312"/>
          <w:color w:val="000000"/>
          <w:sz w:val="32"/>
          <w:szCs w:val="32"/>
        </w:rPr>
        <w:t>参考《</w:t>
      </w:r>
      <w:r>
        <w:rPr>
          <w:rFonts w:eastAsia="仿宋_GB2312"/>
          <w:color w:val="000000"/>
          <w:sz w:val="32"/>
          <w:szCs w:val="32"/>
        </w:rPr>
        <w:t>医疗器械注册单元划分指导原则</w:t>
      </w:r>
      <w:r>
        <w:rPr>
          <w:rFonts w:hint="eastAsia" w:eastAsia="仿宋_GB2312"/>
          <w:color w:val="000000"/>
          <w:sz w:val="32"/>
          <w:szCs w:val="32"/>
        </w:rPr>
        <w:t>》，</w:t>
      </w:r>
      <w:r>
        <w:rPr>
          <w:rFonts w:eastAsia="仿宋_GB2312"/>
          <w:color w:val="000000"/>
          <w:sz w:val="32"/>
          <w:szCs w:val="32"/>
        </w:rPr>
        <w:t>若申报产品存在多个型号规格或配置，</w:t>
      </w:r>
      <w:r>
        <w:rPr>
          <w:rFonts w:hint="eastAsia" w:eastAsia="仿宋_GB2312"/>
          <w:color w:val="000000"/>
          <w:sz w:val="32"/>
          <w:szCs w:val="32"/>
        </w:rPr>
        <w:t>应根据</w:t>
      </w:r>
      <w:r>
        <w:rPr>
          <w:rFonts w:eastAsia="仿宋_GB2312"/>
          <w:color w:val="000000"/>
          <w:sz w:val="32"/>
          <w:szCs w:val="32"/>
        </w:rPr>
        <w:t>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、结构</w:t>
      </w:r>
      <w:r>
        <w:rPr>
          <w:rFonts w:hint="eastAsia" w:eastAsia="仿宋_GB2312"/>
          <w:color w:val="000000"/>
          <w:sz w:val="32"/>
          <w:szCs w:val="32"/>
        </w:rPr>
        <w:t>及</w:t>
      </w:r>
      <w:r>
        <w:rPr>
          <w:rFonts w:eastAsia="仿宋_GB2312"/>
          <w:color w:val="000000"/>
          <w:sz w:val="32"/>
          <w:szCs w:val="32"/>
        </w:rPr>
        <w:t>组成、性能指标</w:t>
      </w:r>
      <w:r>
        <w:rPr>
          <w:rFonts w:hint="eastAsia" w:eastAsia="仿宋_GB2312"/>
          <w:color w:val="000000"/>
          <w:sz w:val="32"/>
          <w:szCs w:val="32"/>
        </w:rPr>
        <w:t>、适用范围</w:t>
      </w:r>
      <w:r>
        <w:rPr>
          <w:rFonts w:eastAsia="仿宋_GB2312"/>
          <w:color w:val="000000"/>
          <w:sz w:val="32"/>
          <w:szCs w:val="32"/>
        </w:rPr>
        <w:t>等关键要素进行注册单元划分。</w:t>
      </w:r>
    </w:p>
    <w:p w14:paraId="63B8BAD5">
      <w:pPr>
        <w:numPr>
          <w:ilvl w:val="0"/>
          <w:numId w:val="4"/>
        </w:numPr>
        <w:spacing w:line="520" w:lineRule="exact"/>
        <w:ind w:left="0" w:firstLine="640" w:firstLineChars="200"/>
        <w:rPr>
          <w:rFonts w:eastAsia="仿宋_GB2312"/>
          <w:color w:val="000000"/>
          <w:sz w:val="32"/>
          <w:szCs w:val="32"/>
        </w:rPr>
      </w:pPr>
      <w:r>
        <w:rPr>
          <w:rFonts w:eastAsia="仿宋_GB2312"/>
          <w:color w:val="000000"/>
          <w:sz w:val="32"/>
          <w:szCs w:val="32"/>
        </w:rPr>
        <w:t>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存在较大差异的情况，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REF _Ref113451223 \h </w:instrText>
      </w:r>
      <w:r>
        <w:rPr>
          <w:rFonts w:eastAsia="仿宋_GB2312"/>
          <w:color w:val="000000"/>
          <w:sz w:val="32"/>
          <w:szCs w:val="32"/>
        </w:rPr>
        <w:fldChar w:fldCharType="separate"/>
      </w:r>
      <w:r>
        <w:rPr>
          <w:rFonts w:eastAsia="仿宋_GB2312"/>
          <w:color w:val="000000"/>
          <w:sz w:val="32"/>
          <w:szCs w:val="32"/>
        </w:rPr>
        <w:t>器械及操作原理描述</w:t>
      </w:r>
      <w:r>
        <w:rPr>
          <w:rFonts w:eastAsia="仿宋_GB2312"/>
          <w:color w:val="000000"/>
          <w:sz w:val="32"/>
          <w:szCs w:val="32"/>
        </w:rPr>
        <w:fldChar w:fldCharType="end"/>
      </w:r>
      <w:r>
        <w:rPr>
          <w:rFonts w:hint="eastAsia" w:eastAsia="仿宋_GB2312"/>
          <w:color w:val="000000"/>
          <w:sz w:val="32"/>
          <w:szCs w:val="32"/>
        </w:rPr>
        <w:t>。</w:t>
      </w:r>
    </w:p>
    <w:p w14:paraId="65B3B621">
      <w:pPr>
        <w:numPr>
          <w:ilvl w:val="0"/>
          <w:numId w:val="4"/>
        </w:numPr>
        <w:spacing w:line="520" w:lineRule="exact"/>
        <w:ind w:left="0" w:firstLine="640" w:firstLineChars="200"/>
        <w:rPr>
          <w:rFonts w:eastAsia="仿宋_GB2312"/>
          <w:color w:val="000000"/>
          <w:sz w:val="32"/>
          <w:szCs w:val="32"/>
        </w:rPr>
      </w:pPr>
      <w:r>
        <w:rPr>
          <w:rFonts w:eastAsia="仿宋_GB2312"/>
          <w:color w:val="000000"/>
          <w:sz w:val="32"/>
          <w:szCs w:val="32"/>
        </w:rPr>
        <w:t>产品</w:t>
      </w:r>
      <w:r>
        <w:rPr>
          <w:rFonts w:hint="eastAsia" w:eastAsia="仿宋_GB2312"/>
          <w:color w:val="000000"/>
          <w:sz w:val="32"/>
          <w:szCs w:val="32"/>
        </w:rPr>
        <w:t>的结构及组成</w:t>
      </w:r>
      <w:r>
        <w:rPr>
          <w:rFonts w:eastAsia="仿宋_GB2312"/>
          <w:color w:val="000000"/>
          <w:sz w:val="32"/>
          <w:szCs w:val="32"/>
        </w:rPr>
        <w:t>的不同对安全</w:t>
      </w:r>
      <w:r>
        <w:rPr>
          <w:rFonts w:hint="eastAsia" w:eastAsia="仿宋_GB2312"/>
          <w:color w:val="000000"/>
          <w:sz w:val="32"/>
          <w:szCs w:val="32"/>
        </w:rPr>
        <w:t>性和</w:t>
      </w:r>
      <w:r>
        <w:rPr>
          <w:rFonts w:eastAsia="仿宋_GB2312"/>
          <w:color w:val="000000"/>
          <w:sz w:val="32"/>
          <w:szCs w:val="32"/>
        </w:rPr>
        <w:t>有效性有影响的情况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_Ref113450724 \h</w:instrText>
      </w:r>
      <w:r>
        <w:rPr>
          <w:rFonts w:eastAsia="仿宋_GB2312"/>
          <w:color w:val="000000"/>
          <w:sz w:val="32"/>
          <w:szCs w:val="32"/>
        </w:rPr>
        <w:instrText xml:space="preserve"> </w:instrText>
      </w:r>
      <w:r>
        <w:rPr>
          <w:rFonts w:eastAsia="仿宋_GB2312"/>
          <w:color w:val="000000"/>
          <w:sz w:val="32"/>
          <w:szCs w:val="32"/>
        </w:rPr>
        <w:fldChar w:fldCharType="separate"/>
      </w:r>
      <w:r>
        <w:rPr>
          <w:rFonts w:eastAsia="仿宋_GB2312"/>
          <w:color w:val="000000"/>
          <w:sz w:val="32"/>
          <w:szCs w:val="32"/>
        </w:rPr>
        <w:t>结构及组成</w:t>
      </w:r>
      <w:r>
        <w:rPr>
          <w:rFonts w:eastAsia="仿宋_GB2312"/>
          <w:color w:val="000000"/>
          <w:sz w:val="32"/>
          <w:szCs w:val="32"/>
        </w:rPr>
        <w:fldChar w:fldCharType="end"/>
      </w:r>
      <w:r>
        <w:rPr>
          <w:rFonts w:eastAsia="仿宋_GB2312"/>
          <w:color w:val="000000"/>
          <w:sz w:val="32"/>
          <w:szCs w:val="32"/>
        </w:rPr>
        <w:t>。</w:t>
      </w:r>
    </w:p>
    <w:p w14:paraId="77F50B9F">
      <w:pPr>
        <w:numPr>
          <w:ilvl w:val="0"/>
          <w:numId w:val="4"/>
        </w:numPr>
        <w:spacing w:line="520" w:lineRule="exact"/>
        <w:ind w:left="0" w:firstLine="640" w:firstLineChars="200"/>
        <w:rPr>
          <w:rFonts w:eastAsia="仿宋_GB2312"/>
          <w:color w:val="000000"/>
          <w:sz w:val="32"/>
          <w:szCs w:val="32"/>
        </w:rPr>
      </w:pPr>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性能指标存在较大差异，导致适用范围或作用机理不同时</w:t>
      </w:r>
      <w:r>
        <w:rPr>
          <w:rFonts w:hint="eastAsia" w:eastAsia="仿宋_GB2312"/>
          <w:color w:val="000000"/>
          <w:sz w:val="32"/>
          <w:szCs w:val="32"/>
        </w:rPr>
        <w:t>，或者</w:t>
      </w:r>
      <w:r>
        <w:rPr>
          <w:rFonts w:eastAsia="仿宋_GB2312"/>
          <w:color w:val="000000"/>
          <w:sz w:val="32"/>
          <w:szCs w:val="32"/>
        </w:rPr>
        <w:t>难以合理选择</w:t>
      </w:r>
      <w:r>
        <w:rPr>
          <w:rFonts w:hint="eastAsia" w:eastAsia="仿宋_GB2312"/>
          <w:color w:val="000000"/>
          <w:sz w:val="32"/>
          <w:szCs w:val="32"/>
        </w:rPr>
        <w:t>具有代表性和典型性的研究样品</w:t>
      </w:r>
      <w:r>
        <w:rPr>
          <w:rFonts w:eastAsia="仿宋_GB2312"/>
          <w:color w:val="000000"/>
          <w:sz w:val="32"/>
          <w:szCs w:val="32"/>
        </w:rPr>
        <w:t>，宜划分为不同的注册单元。</w:t>
      </w:r>
    </w:p>
    <w:p w14:paraId="1683BE0A">
      <w:pPr>
        <w:numPr>
          <w:ilvl w:val="0"/>
          <w:numId w:val="4"/>
        </w:numPr>
        <w:spacing w:line="520" w:lineRule="exact"/>
        <w:ind w:left="0" w:firstLine="640" w:firstLineChars="200"/>
        <w:rPr>
          <w:rFonts w:eastAsia="仿宋_GB2312"/>
          <w:color w:val="000000"/>
          <w:sz w:val="32"/>
          <w:szCs w:val="32"/>
        </w:rPr>
      </w:pPr>
      <w:r>
        <w:rPr>
          <w:rFonts w:hint="eastAsia" w:eastAsia="仿宋_GB2312"/>
          <w:color w:val="000000"/>
          <w:sz w:val="32"/>
          <w:szCs w:val="32"/>
        </w:rPr>
        <w:t>产品适用范围</w:t>
      </w:r>
      <w:r>
        <w:rPr>
          <w:rFonts w:eastAsia="仿宋_GB2312"/>
          <w:color w:val="000000"/>
          <w:sz w:val="32"/>
          <w:szCs w:val="32"/>
        </w:rPr>
        <w:t>有实质不同的</w:t>
      </w:r>
      <w:r>
        <w:rPr>
          <w:rFonts w:hint="eastAsia" w:eastAsia="仿宋_GB2312"/>
          <w:color w:val="000000"/>
          <w:sz w:val="32"/>
          <w:szCs w:val="32"/>
        </w:rPr>
        <w:t>情况，应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_Ref113451158 \h</w:instrText>
      </w:r>
      <w:r>
        <w:rPr>
          <w:rFonts w:eastAsia="仿宋_GB2312"/>
          <w:color w:val="000000"/>
          <w:sz w:val="32"/>
          <w:szCs w:val="32"/>
        </w:rPr>
        <w:instrText xml:space="preserve"> </w:instrText>
      </w:r>
      <w:r>
        <w:rPr>
          <w:rFonts w:eastAsia="仿宋_GB2312"/>
          <w:color w:val="000000"/>
          <w:sz w:val="32"/>
          <w:szCs w:val="32"/>
        </w:rPr>
        <w:fldChar w:fldCharType="separate"/>
      </w:r>
      <w:r>
        <w:rPr>
          <w:rFonts w:eastAsia="仿宋_GB2312"/>
          <w:color w:val="000000"/>
          <w:sz w:val="32"/>
          <w:szCs w:val="32"/>
        </w:rPr>
        <w:t>适用范围</w:t>
      </w:r>
      <w:r>
        <w:rPr>
          <w:rFonts w:eastAsia="仿宋_GB2312"/>
          <w:color w:val="000000"/>
          <w:sz w:val="32"/>
          <w:szCs w:val="32"/>
        </w:rPr>
        <w:fldChar w:fldCharType="end"/>
      </w:r>
      <w:r>
        <w:rPr>
          <w:rFonts w:hint="eastAsia" w:eastAsia="仿宋_GB2312"/>
          <w:color w:val="000000"/>
          <w:sz w:val="32"/>
          <w:szCs w:val="32"/>
        </w:rPr>
        <w:t>。</w:t>
      </w:r>
    </w:p>
    <w:p w14:paraId="1298309D">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5" w:name="_Toc112680006"/>
      <w:bookmarkStart w:id="16" w:name="_Ref111494493"/>
      <w:r>
        <w:rPr>
          <w:rFonts w:ascii="楷体_GB2312" w:eastAsia="楷体_GB2312"/>
          <w:bCs/>
          <w:color w:val="000000"/>
          <w:sz w:val="32"/>
          <w:szCs w:val="32"/>
        </w:rPr>
        <w:t>综述资料</w:t>
      </w:r>
      <w:bookmarkEnd w:id="15"/>
      <w:bookmarkEnd w:id="16"/>
    </w:p>
    <w:p w14:paraId="38A17F82">
      <w:pPr>
        <w:numPr>
          <w:ilvl w:val="0"/>
          <w:numId w:val="5"/>
        </w:numPr>
        <w:spacing w:line="520" w:lineRule="exact"/>
        <w:ind w:left="0" w:firstLine="640" w:firstLineChars="200"/>
        <w:outlineLvl w:val="2"/>
        <w:rPr>
          <w:rFonts w:eastAsia="仿宋_GB2312"/>
          <w:color w:val="000000"/>
          <w:sz w:val="32"/>
          <w:szCs w:val="32"/>
        </w:rPr>
      </w:pPr>
      <w:bookmarkStart w:id="17" w:name="_Toc112680007"/>
      <w:r>
        <w:rPr>
          <w:rFonts w:eastAsia="仿宋_GB2312"/>
          <w:color w:val="000000"/>
          <w:sz w:val="32"/>
          <w:szCs w:val="32"/>
        </w:rPr>
        <w:t>概述</w:t>
      </w:r>
      <w:bookmarkEnd w:id="17"/>
    </w:p>
    <w:p w14:paraId="2A200146">
      <w:pPr>
        <w:numPr>
          <w:ilvl w:val="1"/>
          <w:numId w:val="5"/>
        </w:numPr>
        <w:spacing w:line="520" w:lineRule="exact"/>
        <w:ind w:left="0" w:firstLine="640" w:firstLineChars="200"/>
        <w:outlineLvl w:val="3"/>
        <w:rPr>
          <w:rFonts w:eastAsia="仿宋_GB2312"/>
          <w:color w:val="000000"/>
          <w:sz w:val="32"/>
          <w:szCs w:val="32"/>
        </w:rPr>
      </w:pPr>
      <w:bookmarkStart w:id="18" w:name="_Toc112680008"/>
      <w:r>
        <w:rPr>
          <w:rFonts w:hint="eastAsia" w:eastAsia="仿宋_GB2312"/>
          <w:color w:val="000000"/>
          <w:sz w:val="32"/>
          <w:szCs w:val="32"/>
        </w:rPr>
        <w:t>产品名称</w:t>
      </w:r>
      <w:bookmarkEnd w:id="18"/>
    </w:p>
    <w:p w14:paraId="6A4613F3">
      <w:pPr>
        <w:spacing w:line="520" w:lineRule="exact"/>
        <w:ind w:firstLine="640" w:firstLineChars="200"/>
        <w:rPr>
          <w:rFonts w:ascii="仿宋_GB2312" w:eastAsia="仿宋_GB2312"/>
          <w:sz w:val="32"/>
          <w:szCs w:val="32"/>
        </w:rPr>
      </w:pPr>
      <w:r>
        <w:rPr>
          <w:rFonts w:hint="eastAsia" w:eastAsia="仿宋_GB2312"/>
          <w:bCs/>
          <w:color w:val="000000"/>
          <w:sz w:val="32"/>
          <w:szCs w:val="32"/>
        </w:rPr>
        <w:t>申请人应</w:t>
      </w:r>
      <w:r>
        <w:rPr>
          <w:rFonts w:eastAsia="仿宋_GB2312"/>
          <w:bCs/>
          <w:color w:val="000000"/>
          <w:sz w:val="32"/>
          <w:szCs w:val="32"/>
        </w:rPr>
        <w:t>描述申报产品的通用名称及其确定依据。</w:t>
      </w:r>
      <w:r>
        <w:rPr>
          <w:rFonts w:hint="eastAsia" w:ascii="仿宋_GB2312" w:eastAsia="仿宋_GB2312"/>
          <w:sz w:val="32"/>
          <w:szCs w:val="32"/>
        </w:rPr>
        <w:t>按照《</w:t>
      </w:r>
      <w:r>
        <w:rPr>
          <w:rFonts w:hint="eastAsia" w:eastAsia="仿宋_GB2312"/>
          <w:sz w:val="32"/>
          <w:szCs w:val="32"/>
        </w:rPr>
        <w:t>医疗器械通用名称命名规则</w:t>
      </w:r>
      <w:r>
        <w:rPr>
          <w:rFonts w:hint="eastAsia" w:ascii="仿宋_GB2312" w:eastAsia="仿宋_GB2312"/>
          <w:sz w:val="32"/>
          <w:szCs w:val="32"/>
        </w:rPr>
        <w:t>》并参考《</w:t>
      </w:r>
      <w:r>
        <w:rPr>
          <w:rFonts w:eastAsia="仿宋_GB2312"/>
          <w:sz w:val="32"/>
          <w:szCs w:val="32"/>
        </w:rPr>
        <w:t>医疗器械通用名称命名指导原则</w:t>
      </w:r>
      <w:r>
        <w:rPr>
          <w:rFonts w:hint="eastAsia" w:ascii="仿宋_GB2312" w:eastAsia="仿宋_GB2312"/>
          <w:sz w:val="32"/>
          <w:szCs w:val="32"/>
        </w:rPr>
        <w:t>》，产品通用名称由核心词和特征词组成。</w:t>
      </w:r>
    </w:p>
    <w:p w14:paraId="595AD659">
      <w:pPr>
        <w:spacing w:line="520" w:lineRule="exact"/>
        <w:ind w:firstLine="640" w:firstLineChars="200"/>
        <w:rPr>
          <w:rFonts w:eastAsia="仿宋_GB2312"/>
          <w:sz w:val="32"/>
          <w:szCs w:val="32"/>
        </w:rPr>
      </w:pPr>
      <w:r>
        <w:rPr>
          <w:rFonts w:hint="eastAsia" w:ascii="仿宋_GB2312" w:eastAsia="仿宋_GB2312"/>
          <w:sz w:val="32"/>
          <w:szCs w:val="32"/>
        </w:rPr>
        <w:t>申请人应按照</w:t>
      </w:r>
      <w:r>
        <w:rPr>
          <w:rFonts w:hint="eastAsia" w:eastAsia="仿宋_GB2312"/>
          <w:kern w:val="0"/>
          <w:sz w:val="32"/>
          <w:szCs w:val="32"/>
        </w:rPr>
        <w:t>产品</w:t>
      </w:r>
      <w:r>
        <w:rPr>
          <w:rFonts w:hint="eastAsia" w:ascii="仿宋_GB2312" w:eastAsia="仿宋_GB2312"/>
          <w:sz w:val="32"/>
          <w:szCs w:val="32"/>
        </w:rPr>
        <w:t>的检测参数来确定产品名称的核心词，按照</w:t>
      </w:r>
      <w:r>
        <w:rPr>
          <w:rFonts w:hint="eastAsia" w:eastAsia="仿宋_GB2312"/>
          <w:kern w:val="0"/>
          <w:sz w:val="32"/>
          <w:szCs w:val="32"/>
        </w:rPr>
        <w:t>产</w:t>
      </w:r>
      <w:r>
        <w:rPr>
          <w:rFonts w:eastAsia="仿宋_GB2312"/>
          <w:sz w:val="32"/>
          <w:szCs w:val="32"/>
        </w:rPr>
        <w:t>品的</w:t>
      </w:r>
      <w:r>
        <w:rPr>
          <w:rFonts w:hint="eastAsia" w:eastAsia="仿宋_GB2312"/>
          <w:sz w:val="32"/>
          <w:szCs w:val="32"/>
        </w:rPr>
        <w:t>结构组成和</w:t>
      </w:r>
      <w:r>
        <w:rPr>
          <w:rFonts w:eastAsia="仿宋_GB2312"/>
          <w:sz w:val="32"/>
          <w:szCs w:val="32"/>
        </w:rPr>
        <w:t>技术特点来确定产品名称的特征词</w:t>
      </w:r>
      <w:r>
        <w:rPr>
          <w:rFonts w:hint="eastAsia" w:eastAsia="仿宋_GB2312"/>
          <w:sz w:val="32"/>
          <w:szCs w:val="32"/>
        </w:rPr>
        <w:t>。仅采用无创方式进行血糖/葡萄糖监测的产品宜命名为</w:t>
      </w:r>
      <w:r>
        <w:rPr>
          <w:rFonts w:eastAsia="仿宋_GB2312"/>
          <w:sz w:val="32"/>
          <w:szCs w:val="32"/>
        </w:rPr>
        <w:t>无创血糖仪(Noninvasive Glucose Meter)</w:t>
      </w:r>
      <w:r>
        <w:rPr>
          <w:rFonts w:hint="eastAsia" w:eastAsia="仿宋_GB2312"/>
          <w:sz w:val="32"/>
          <w:szCs w:val="32"/>
        </w:rPr>
        <w:t>；正常使用中需要利用有创血糖/葡萄糖检测数据进行校准的、采用无创方式进行血糖/葡萄糖监测的产品应命名为血糖仪</w:t>
      </w:r>
      <w:r>
        <w:rPr>
          <w:rFonts w:eastAsia="仿宋_GB2312"/>
          <w:sz w:val="32"/>
          <w:szCs w:val="32"/>
        </w:rPr>
        <w:t>(Glucose Meter)</w:t>
      </w:r>
      <w:r>
        <w:rPr>
          <w:rFonts w:hint="eastAsia" w:eastAsia="仿宋_GB2312"/>
          <w:sz w:val="32"/>
          <w:szCs w:val="32"/>
        </w:rPr>
        <w:t>，其中，组合采用无创方式和有创方式进行血糖/葡萄糖监测的产品宜命名为</w:t>
      </w:r>
      <w:r>
        <w:rPr>
          <w:rFonts w:eastAsia="仿宋_GB2312"/>
          <w:sz w:val="32"/>
          <w:szCs w:val="32"/>
        </w:rPr>
        <w:t>组合血糖仪(Hybrid Glucose Meter)。</w:t>
      </w:r>
    </w:p>
    <w:p w14:paraId="5EDA9141">
      <w:pPr>
        <w:numPr>
          <w:ilvl w:val="1"/>
          <w:numId w:val="5"/>
        </w:numPr>
        <w:spacing w:line="520" w:lineRule="exact"/>
        <w:ind w:left="0" w:firstLine="640" w:firstLineChars="200"/>
        <w:outlineLvl w:val="3"/>
        <w:rPr>
          <w:rFonts w:eastAsia="仿宋_GB2312"/>
          <w:color w:val="000000"/>
          <w:sz w:val="32"/>
          <w:szCs w:val="32"/>
        </w:rPr>
      </w:pPr>
      <w:bookmarkStart w:id="19" w:name="_Toc112680009"/>
      <w:r>
        <w:rPr>
          <w:rFonts w:hint="eastAsia" w:eastAsia="仿宋_GB2312"/>
          <w:color w:val="000000"/>
          <w:sz w:val="32"/>
          <w:szCs w:val="32"/>
        </w:rPr>
        <w:t>产品的管理类别</w:t>
      </w:r>
      <w:bookmarkEnd w:id="19"/>
      <w:r>
        <w:rPr>
          <w:rFonts w:hint="eastAsia" w:eastAsia="仿宋_GB2312"/>
          <w:color w:val="000000"/>
          <w:sz w:val="32"/>
          <w:szCs w:val="32"/>
        </w:rPr>
        <w:t>和分类编码</w:t>
      </w:r>
    </w:p>
    <w:p w14:paraId="20E64EDD">
      <w:pPr>
        <w:spacing w:line="520" w:lineRule="exact"/>
        <w:ind w:firstLine="640"/>
        <w:rPr>
          <w:rFonts w:eastAsia="仿宋_GB2312"/>
          <w:bCs/>
          <w:color w:val="000000"/>
          <w:sz w:val="32"/>
          <w:szCs w:val="32"/>
        </w:rPr>
      </w:pPr>
      <w:r>
        <w:rPr>
          <w:rFonts w:hint="eastAsia" w:eastAsia="仿宋_GB2312"/>
          <w:sz w:val="32"/>
          <w:szCs w:val="32"/>
        </w:rPr>
        <w:t>采用无创方式进行血糖/葡萄糖监测的产品</w:t>
      </w:r>
      <w:r>
        <w:rPr>
          <w:rFonts w:eastAsia="仿宋_GB2312"/>
          <w:bCs/>
          <w:color w:val="000000"/>
          <w:sz w:val="32"/>
          <w:szCs w:val="32"/>
        </w:rPr>
        <w:t>作为</w:t>
      </w:r>
      <w:r>
        <w:rPr>
          <w:rFonts w:hint="eastAsia" w:eastAsia="仿宋_GB2312"/>
          <w:bCs/>
          <w:color w:val="000000"/>
          <w:sz w:val="32"/>
          <w:szCs w:val="32"/>
        </w:rPr>
        <w:t>Ⅲ</w:t>
      </w:r>
      <w:r>
        <w:rPr>
          <w:rFonts w:eastAsia="仿宋_GB2312"/>
          <w:bCs/>
          <w:color w:val="000000"/>
          <w:sz w:val="32"/>
          <w:szCs w:val="32"/>
        </w:rPr>
        <w:t>类医疗器械管理</w:t>
      </w:r>
      <w:r>
        <w:rPr>
          <w:rFonts w:hint="eastAsia" w:eastAsia="仿宋_GB2312"/>
          <w:bCs/>
          <w:color w:val="000000"/>
          <w:sz w:val="32"/>
          <w:szCs w:val="32"/>
        </w:rPr>
        <w:t>。</w:t>
      </w:r>
    </w:p>
    <w:p w14:paraId="62AE1688">
      <w:pPr>
        <w:spacing w:line="520" w:lineRule="exact"/>
        <w:ind w:firstLine="640"/>
        <w:rPr>
          <w:rFonts w:eastAsia="仿宋_GB2312"/>
          <w:bCs/>
          <w:color w:val="000000"/>
          <w:sz w:val="32"/>
          <w:szCs w:val="32"/>
        </w:rPr>
      </w:pPr>
      <w:r>
        <w:rPr>
          <w:rFonts w:eastAsia="仿宋_GB2312"/>
          <w:bCs/>
          <w:color w:val="000000"/>
          <w:sz w:val="32"/>
          <w:szCs w:val="32"/>
        </w:rPr>
        <w:t>按照《医疗器械分类目录》，</w:t>
      </w:r>
      <w:r>
        <w:rPr>
          <w:rFonts w:hint="eastAsia" w:eastAsia="仿宋_GB2312"/>
          <w:sz w:val="32"/>
          <w:szCs w:val="32"/>
        </w:rPr>
        <w:t>产品</w:t>
      </w:r>
      <w:r>
        <w:rPr>
          <w:rFonts w:eastAsia="仿宋_GB2312"/>
          <w:bCs/>
          <w:color w:val="000000"/>
          <w:sz w:val="32"/>
          <w:szCs w:val="32"/>
        </w:rPr>
        <w:t>所属分类子目录</w:t>
      </w:r>
      <w:r>
        <w:rPr>
          <w:rFonts w:hint="eastAsia" w:eastAsia="仿宋_GB2312"/>
          <w:bCs/>
          <w:color w:val="000000"/>
          <w:sz w:val="32"/>
          <w:szCs w:val="32"/>
        </w:rPr>
        <w:t>为</w:t>
      </w:r>
      <w:r>
        <w:rPr>
          <w:rFonts w:eastAsia="仿宋_GB2312"/>
          <w:bCs/>
          <w:color w:val="000000"/>
          <w:sz w:val="32"/>
          <w:szCs w:val="32"/>
        </w:rPr>
        <w:t>07</w:t>
      </w:r>
      <w:r>
        <w:rPr>
          <w:rFonts w:hint="eastAsia" w:eastAsia="仿宋_GB2312"/>
          <w:bCs/>
          <w:color w:val="000000"/>
          <w:sz w:val="32"/>
          <w:szCs w:val="32"/>
        </w:rPr>
        <w:t>医用诊察和监护器械，</w:t>
      </w:r>
      <w:r>
        <w:rPr>
          <w:rFonts w:eastAsia="仿宋_GB2312"/>
          <w:bCs/>
          <w:color w:val="000000"/>
          <w:sz w:val="32"/>
          <w:szCs w:val="32"/>
        </w:rPr>
        <w:t>一级产品类别为</w:t>
      </w:r>
      <w:r>
        <w:rPr>
          <w:rFonts w:hint="eastAsia" w:eastAsia="仿宋_GB2312"/>
          <w:bCs/>
          <w:color w:val="000000"/>
          <w:sz w:val="32"/>
          <w:szCs w:val="32"/>
        </w:rPr>
        <w:t>0</w:t>
      </w:r>
      <w:r>
        <w:rPr>
          <w:rFonts w:eastAsia="仿宋_GB2312"/>
          <w:bCs/>
          <w:color w:val="000000"/>
          <w:sz w:val="32"/>
          <w:szCs w:val="32"/>
        </w:rPr>
        <w:t>3</w:t>
      </w:r>
      <w:r>
        <w:rPr>
          <w:rFonts w:hint="eastAsia" w:eastAsia="仿宋_GB2312"/>
          <w:bCs/>
          <w:color w:val="000000"/>
          <w:sz w:val="32"/>
          <w:szCs w:val="32"/>
        </w:rPr>
        <w:t>生理参数分析测量设备</w:t>
      </w:r>
      <w:r>
        <w:rPr>
          <w:rFonts w:eastAsia="仿宋_GB2312"/>
          <w:bCs/>
          <w:color w:val="000000"/>
          <w:sz w:val="32"/>
          <w:szCs w:val="32"/>
        </w:rPr>
        <w:t>，二级产品类别为00，</w:t>
      </w:r>
      <w:r>
        <w:rPr>
          <w:rFonts w:hint="eastAsia" w:eastAsia="仿宋_GB2312"/>
          <w:bCs/>
          <w:color w:val="000000"/>
          <w:sz w:val="32"/>
          <w:szCs w:val="32"/>
        </w:rPr>
        <w:t>分类编码0</w:t>
      </w:r>
      <w:r>
        <w:rPr>
          <w:rFonts w:eastAsia="仿宋_GB2312"/>
          <w:bCs/>
          <w:color w:val="000000"/>
          <w:sz w:val="32"/>
          <w:szCs w:val="32"/>
        </w:rPr>
        <w:t>7-03-00。</w:t>
      </w:r>
    </w:p>
    <w:p w14:paraId="0000D016">
      <w:pPr>
        <w:numPr>
          <w:ilvl w:val="1"/>
          <w:numId w:val="5"/>
        </w:numPr>
        <w:spacing w:line="520" w:lineRule="exact"/>
        <w:ind w:left="0" w:firstLine="640" w:firstLineChars="200"/>
        <w:outlineLvl w:val="3"/>
        <w:rPr>
          <w:rFonts w:eastAsia="仿宋_GB2312"/>
          <w:color w:val="000000"/>
          <w:sz w:val="32"/>
          <w:szCs w:val="32"/>
        </w:rPr>
      </w:pPr>
      <w:bookmarkStart w:id="20" w:name="_Toc112680010"/>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适用范围</w:t>
      </w:r>
      <w:bookmarkEnd w:id="20"/>
    </w:p>
    <w:p w14:paraId="4220C5BB">
      <w:pPr>
        <w:spacing w:line="520" w:lineRule="exact"/>
        <w:ind w:firstLine="640"/>
        <w:rPr>
          <w:rFonts w:eastAsia="仿宋_GB2312"/>
          <w:bCs/>
          <w:color w:val="000000"/>
          <w:sz w:val="32"/>
          <w:szCs w:val="32"/>
        </w:rPr>
      </w:pPr>
      <w:r>
        <w:rPr>
          <w:rFonts w:hint="eastAsia" w:eastAsia="仿宋_GB2312"/>
          <w:bCs/>
          <w:color w:val="000000"/>
          <w:sz w:val="32"/>
          <w:szCs w:val="32"/>
        </w:rPr>
        <w:t>产品适用范围应与申请表、产品说明书的相关内容保持一致，详见</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_Ref111494533 \h</w:instrText>
      </w:r>
      <w:r>
        <w:rPr>
          <w:rFonts w:eastAsia="仿宋_GB2312"/>
          <w:bCs/>
          <w:color w:val="000000"/>
          <w:sz w:val="32"/>
          <w:szCs w:val="32"/>
        </w:rPr>
        <w:instrText xml:space="preserve"> </w:instrText>
      </w:r>
      <w:r>
        <w:rPr>
          <w:rFonts w:eastAsia="仿宋_GB2312"/>
          <w:bCs/>
          <w:color w:val="000000"/>
          <w:sz w:val="32"/>
          <w:szCs w:val="32"/>
        </w:rPr>
        <w:fldChar w:fldCharType="separate"/>
      </w:r>
      <w:r>
        <w:rPr>
          <w:rFonts w:eastAsia="仿宋_GB2312"/>
          <w:color w:val="000000"/>
          <w:sz w:val="32"/>
          <w:szCs w:val="32"/>
        </w:rPr>
        <w:t>适用范围和禁忌证</w:t>
      </w:r>
      <w:r>
        <w:rPr>
          <w:rFonts w:eastAsia="仿宋_GB2312"/>
          <w:bCs/>
          <w:color w:val="000000"/>
          <w:sz w:val="32"/>
          <w:szCs w:val="32"/>
        </w:rPr>
        <w:fldChar w:fldCharType="end"/>
      </w:r>
      <w:r>
        <w:rPr>
          <w:rFonts w:eastAsia="仿宋_GB2312"/>
          <w:bCs/>
          <w:color w:val="000000"/>
          <w:sz w:val="32"/>
          <w:szCs w:val="32"/>
        </w:rPr>
        <w:t>。</w:t>
      </w:r>
    </w:p>
    <w:p w14:paraId="6D7C4AA4">
      <w:pPr>
        <w:numPr>
          <w:ilvl w:val="1"/>
          <w:numId w:val="5"/>
        </w:numPr>
        <w:spacing w:line="520" w:lineRule="exact"/>
        <w:ind w:left="0" w:firstLine="640" w:firstLineChars="200"/>
        <w:outlineLvl w:val="3"/>
        <w:rPr>
          <w:rFonts w:eastAsia="仿宋_GB2312"/>
          <w:color w:val="000000"/>
          <w:sz w:val="32"/>
          <w:szCs w:val="32"/>
        </w:rPr>
      </w:pPr>
      <w:bookmarkStart w:id="21" w:name="_Toc112680011"/>
      <w:r>
        <w:rPr>
          <w:rFonts w:eastAsia="仿宋_GB2312"/>
          <w:color w:val="000000"/>
          <w:sz w:val="32"/>
          <w:szCs w:val="32"/>
        </w:rPr>
        <w:t>背景信息概述</w:t>
      </w:r>
      <w:bookmarkEnd w:id="21"/>
    </w:p>
    <w:p w14:paraId="3A3B9576">
      <w:pPr>
        <w:spacing w:line="520" w:lineRule="exact"/>
        <w:ind w:firstLine="640"/>
        <w:rPr>
          <w:rFonts w:eastAsia="仿宋_GB2312"/>
          <w:bCs/>
          <w:color w:val="000000"/>
          <w:sz w:val="32"/>
          <w:szCs w:val="32"/>
        </w:rPr>
      </w:pPr>
      <w:r>
        <w:rPr>
          <w:rFonts w:hint="eastAsia" w:eastAsia="仿宋_GB2312"/>
          <w:bCs/>
          <w:color w:val="000000"/>
          <w:sz w:val="32"/>
          <w:szCs w:val="32"/>
        </w:rPr>
        <w:t>如适用，申请人应</w:t>
      </w:r>
      <w:r>
        <w:rPr>
          <w:rFonts w:eastAsia="仿宋_GB2312"/>
          <w:bCs/>
          <w:color w:val="000000"/>
          <w:sz w:val="32"/>
          <w:szCs w:val="32"/>
        </w:rPr>
        <w:t>描述有关产品</w:t>
      </w:r>
      <w:r>
        <w:rPr>
          <w:rFonts w:hint="eastAsia" w:eastAsia="仿宋_GB2312"/>
          <w:bCs/>
          <w:color w:val="000000"/>
          <w:sz w:val="32"/>
          <w:szCs w:val="32"/>
        </w:rPr>
        <w:t>的</w:t>
      </w:r>
      <w:r>
        <w:rPr>
          <w:rFonts w:eastAsia="仿宋_GB2312"/>
          <w:bCs/>
          <w:color w:val="000000"/>
          <w:sz w:val="32"/>
          <w:szCs w:val="32"/>
        </w:rPr>
        <w:t>背景信息概述或特别细节，</w:t>
      </w:r>
      <w:r>
        <w:rPr>
          <w:rFonts w:hint="eastAsia" w:eastAsia="仿宋_GB2312"/>
          <w:bCs/>
          <w:color w:val="000000"/>
          <w:sz w:val="32"/>
          <w:szCs w:val="32"/>
        </w:rPr>
        <w:t>例如，</w:t>
      </w:r>
      <w:r>
        <w:rPr>
          <w:rFonts w:eastAsia="仿宋_GB2312"/>
          <w:bCs/>
          <w:color w:val="000000"/>
          <w:sz w:val="32"/>
          <w:szCs w:val="32"/>
        </w:rPr>
        <w:t>申报产品的历史概述、历次提交的信息，与其他经批准上市产品的关系等。</w:t>
      </w:r>
    </w:p>
    <w:p w14:paraId="1AE1B5EC">
      <w:pPr>
        <w:numPr>
          <w:ilvl w:val="0"/>
          <w:numId w:val="5"/>
        </w:numPr>
        <w:spacing w:line="520" w:lineRule="exact"/>
        <w:ind w:left="0" w:firstLine="640" w:firstLineChars="200"/>
        <w:outlineLvl w:val="2"/>
        <w:rPr>
          <w:rFonts w:eastAsia="仿宋_GB2312"/>
          <w:color w:val="000000"/>
          <w:sz w:val="32"/>
          <w:szCs w:val="32"/>
        </w:rPr>
      </w:pPr>
      <w:bookmarkStart w:id="22" w:name="_Toc112680012"/>
      <w:r>
        <w:rPr>
          <w:rFonts w:eastAsia="仿宋_GB2312"/>
          <w:color w:val="000000"/>
          <w:sz w:val="32"/>
          <w:szCs w:val="32"/>
        </w:rPr>
        <w:t>产品描述</w:t>
      </w:r>
      <w:bookmarkEnd w:id="22"/>
    </w:p>
    <w:p w14:paraId="600CEF21">
      <w:pPr>
        <w:numPr>
          <w:ilvl w:val="1"/>
          <w:numId w:val="5"/>
        </w:numPr>
        <w:spacing w:line="520" w:lineRule="exact"/>
        <w:ind w:left="0" w:firstLine="640" w:firstLineChars="200"/>
        <w:outlineLvl w:val="3"/>
        <w:rPr>
          <w:rFonts w:eastAsia="仿宋_GB2312"/>
          <w:color w:val="000000"/>
          <w:sz w:val="32"/>
          <w:szCs w:val="32"/>
        </w:rPr>
      </w:pPr>
      <w:bookmarkStart w:id="23" w:name="_Ref113451202"/>
      <w:bookmarkStart w:id="24" w:name="_Ref113451210"/>
      <w:bookmarkStart w:id="25" w:name="_Ref113450602"/>
      <w:bookmarkStart w:id="26" w:name="_Ref113451192"/>
      <w:bookmarkStart w:id="27" w:name="_Ref113451213"/>
      <w:bookmarkStart w:id="28" w:name="_Ref113451217"/>
      <w:bookmarkStart w:id="29" w:name="_Ref113451223"/>
      <w:bookmarkStart w:id="30" w:name="_Toc112680013"/>
      <w:r>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7E5B39C9">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w:t>
      </w:r>
      <w:r>
        <w:rPr>
          <w:rFonts w:hint="eastAsia" w:ascii="仿宋_GB2312" w:eastAsia="仿宋_GB2312"/>
          <w:sz w:val="32"/>
          <w:szCs w:val="32"/>
        </w:rPr>
        <w:t>无创血糖/葡萄糖监测的临床机理和</w:t>
      </w:r>
      <w:r>
        <w:rPr>
          <w:rFonts w:hint="eastAsia" w:eastAsia="仿宋_GB2312"/>
          <w:color w:val="000000"/>
          <w:sz w:val="32"/>
          <w:szCs w:val="32"/>
        </w:rPr>
        <w:t>技术</w:t>
      </w:r>
      <w:r>
        <w:rPr>
          <w:rFonts w:eastAsia="仿宋_GB2312"/>
          <w:color w:val="000000"/>
          <w:sz w:val="32"/>
          <w:szCs w:val="32"/>
        </w:rPr>
        <w:t>原理</w:t>
      </w:r>
      <w:r>
        <w:rPr>
          <w:rFonts w:hint="eastAsia" w:eastAsia="仿宋_GB2312"/>
          <w:color w:val="000000"/>
          <w:sz w:val="32"/>
          <w:szCs w:val="32"/>
        </w:rPr>
        <w:t>，</w:t>
      </w:r>
      <w:r>
        <w:rPr>
          <w:rFonts w:hint="eastAsia" w:ascii="仿宋_GB2312" w:eastAsia="仿宋_GB2312"/>
          <w:sz w:val="32"/>
          <w:szCs w:val="32"/>
        </w:rPr>
        <w:t>应详细描述</w:t>
      </w:r>
      <w:r>
        <w:rPr>
          <w:rFonts w:hint="eastAsia" w:eastAsia="仿宋_GB2312"/>
          <w:color w:val="000000"/>
          <w:sz w:val="32"/>
          <w:szCs w:val="32"/>
        </w:rPr>
        <w:t>产品基于某种生理现象的临床机理、技术原理和技术方法、工程实现过程，例如，</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_Ref112611085 \h</w:instrText>
      </w:r>
      <w:r>
        <w:rPr>
          <w:rFonts w:eastAsia="仿宋_GB2312"/>
          <w:color w:val="000000"/>
          <w:sz w:val="32"/>
          <w:szCs w:val="32"/>
        </w:rPr>
        <w:instrText xml:space="preserve"> </w:instrText>
      </w:r>
      <w:r>
        <w:rPr>
          <w:rFonts w:eastAsia="仿宋_GB2312"/>
          <w:color w:val="000000"/>
          <w:sz w:val="32"/>
          <w:szCs w:val="32"/>
        </w:rPr>
        <w:fldChar w:fldCharType="separate"/>
      </w:r>
      <w:r>
        <w:rPr>
          <w:sz w:val="28"/>
          <w:szCs w:val="28"/>
        </w:rPr>
        <w:t>表1</w:t>
      </w:r>
      <w:r>
        <w:rPr>
          <w:rFonts w:eastAsia="仿宋_GB2312"/>
          <w:color w:val="000000"/>
          <w:sz w:val="32"/>
          <w:szCs w:val="32"/>
        </w:rPr>
        <w:fldChar w:fldCharType="end"/>
      </w:r>
      <w:r>
        <w:rPr>
          <w:rFonts w:hint="eastAsia" w:eastAsia="仿宋_GB2312"/>
          <w:color w:val="000000"/>
          <w:sz w:val="32"/>
          <w:szCs w:val="32"/>
        </w:rPr>
        <w:t>。</w:t>
      </w:r>
    </w:p>
    <w:p w14:paraId="7CCB928F">
      <w:pPr>
        <w:pStyle w:val="7"/>
        <w:keepNext/>
        <w:spacing w:line="520" w:lineRule="exact"/>
        <w:jc w:val="center"/>
        <w:rPr>
          <w:rFonts w:ascii="Times New Roman" w:hAnsi="Times New Roman" w:cs="Times New Roman"/>
          <w:sz w:val="28"/>
          <w:szCs w:val="28"/>
        </w:rPr>
      </w:pPr>
      <w:bookmarkStart w:id="31" w:name="_Ref112611085"/>
      <w:r>
        <w:rPr>
          <w:rFonts w:ascii="Times New Roman" w:hAnsi="Times New Roman" w:cs="Times New Roman"/>
          <w:sz w:val="28"/>
          <w:szCs w:val="28"/>
        </w:rPr>
        <w:t>表</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表 \* ARABIC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bookmarkEnd w:id="31"/>
      <w:r>
        <w:rPr>
          <w:rFonts w:ascii="Times New Roman" w:hAnsi="Times New Roman" w:cs="Times New Roman"/>
          <w:sz w:val="28"/>
          <w:szCs w:val="28"/>
        </w:rPr>
        <w:t xml:space="preserve"> 无创血糖/葡萄糖监测的</w:t>
      </w:r>
      <w:r>
        <w:rPr>
          <w:rFonts w:ascii="Times New Roman" w:hAnsi="Times New Roman" w:cs="Times New Roman"/>
          <w:color w:val="000000"/>
          <w:sz w:val="28"/>
          <w:szCs w:val="28"/>
        </w:rPr>
        <w:t>技术原理举例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502"/>
      </w:tblGrid>
      <w:tr w14:paraId="0B38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Align w:val="center"/>
          </w:tcPr>
          <w:p w14:paraId="76E26168">
            <w:pPr>
              <w:adjustRightInd w:val="0"/>
              <w:snapToGrid w:val="0"/>
              <w:jc w:val="center"/>
              <w:rPr>
                <w:rFonts w:ascii="仿宋_GB2312" w:eastAsia="仿宋_GB2312"/>
                <w:sz w:val="32"/>
                <w:szCs w:val="32"/>
              </w:rPr>
            </w:pPr>
            <w:r>
              <w:rPr>
                <w:rFonts w:hint="eastAsia" w:ascii="仿宋_GB2312" w:eastAsia="仿宋_GB2312"/>
                <w:sz w:val="32"/>
                <w:szCs w:val="32"/>
              </w:rPr>
              <w:t>血液替代物法</w:t>
            </w:r>
          </w:p>
        </w:tc>
        <w:tc>
          <w:tcPr>
            <w:tcW w:w="4502" w:type="dxa"/>
            <w:vAlign w:val="center"/>
          </w:tcPr>
          <w:p w14:paraId="65BFD41B">
            <w:pPr>
              <w:adjustRightInd w:val="0"/>
              <w:snapToGrid w:val="0"/>
              <w:jc w:val="center"/>
              <w:rPr>
                <w:rFonts w:ascii="仿宋_GB2312" w:eastAsia="仿宋_GB2312"/>
                <w:sz w:val="32"/>
                <w:szCs w:val="32"/>
              </w:rPr>
            </w:pPr>
            <w:r>
              <w:rPr>
                <w:rFonts w:hint="eastAsia" w:ascii="仿宋_GB2312" w:eastAsia="仿宋_GB2312"/>
                <w:sz w:val="32"/>
                <w:szCs w:val="32"/>
              </w:rPr>
              <w:t>反离子渗透法</w:t>
            </w:r>
          </w:p>
        </w:tc>
      </w:tr>
      <w:tr w14:paraId="475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14:paraId="245F34D6">
            <w:pPr>
              <w:adjustRightInd w:val="0"/>
              <w:snapToGrid w:val="0"/>
              <w:jc w:val="center"/>
              <w:rPr>
                <w:rFonts w:ascii="仿宋_GB2312" w:eastAsia="仿宋_GB2312"/>
                <w:sz w:val="32"/>
                <w:szCs w:val="32"/>
              </w:rPr>
            </w:pPr>
            <w:r>
              <w:rPr>
                <w:rFonts w:hint="eastAsia" w:ascii="仿宋_GB2312" w:eastAsia="仿宋_GB2312"/>
                <w:sz w:val="32"/>
                <w:szCs w:val="32"/>
              </w:rPr>
              <w:t>光谱学法</w:t>
            </w:r>
          </w:p>
        </w:tc>
        <w:tc>
          <w:tcPr>
            <w:tcW w:w="4502" w:type="dxa"/>
            <w:vAlign w:val="center"/>
          </w:tcPr>
          <w:p w14:paraId="737AC158">
            <w:pPr>
              <w:adjustRightInd w:val="0"/>
              <w:snapToGrid w:val="0"/>
              <w:jc w:val="center"/>
              <w:rPr>
                <w:rFonts w:ascii="仿宋_GB2312" w:eastAsia="仿宋_GB2312"/>
                <w:sz w:val="32"/>
                <w:szCs w:val="32"/>
              </w:rPr>
            </w:pPr>
            <w:r>
              <w:rPr>
                <w:rFonts w:hint="eastAsia" w:ascii="仿宋_GB2312" w:eastAsia="仿宋_GB2312"/>
                <w:sz w:val="32"/>
                <w:szCs w:val="32"/>
              </w:rPr>
              <w:t>射频波法</w:t>
            </w:r>
          </w:p>
        </w:tc>
      </w:tr>
      <w:tr w14:paraId="1AD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1D6AF2A3">
            <w:pPr>
              <w:adjustRightInd w:val="0"/>
              <w:snapToGrid w:val="0"/>
              <w:jc w:val="center"/>
              <w:rPr>
                <w:rFonts w:ascii="仿宋_GB2312" w:eastAsia="仿宋_GB2312"/>
                <w:sz w:val="32"/>
                <w:szCs w:val="32"/>
              </w:rPr>
            </w:pPr>
          </w:p>
        </w:tc>
        <w:tc>
          <w:tcPr>
            <w:tcW w:w="4502" w:type="dxa"/>
            <w:vAlign w:val="center"/>
          </w:tcPr>
          <w:p w14:paraId="2AEB2AFC">
            <w:pPr>
              <w:adjustRightInd w:val="0"/>
              <w:snapToGrid w:val="0"/>
              <w:jc w:val="center"/>
              <w:rPr>
                <w:rFonts w:ascii="仿宋_GB2312" w:eastAsia="仿宋_GB2312"/>
                <w:sz w:val="32"/>
                <w:szCs w:val="32"/>
              </w:rPr>
            </w:pPr>
            <w:r>
              <w:rPr>
                <w:rFonts w:hint="eastAsia" w:ascii="仿宋_GB2312" w:eastAsia="仿宋_GB2312"/>
                <w:sz w:val="32"/>
                <w:szCs w:val="32"/>
              </w:rPr>
              <w:t>拉曼光谱法</w:t>
            </w:r>
          </w:p>
        </w:tc>
      </w:tr>
      <w:tr w14:paraId="2A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26DFE5B9">
            <w:pPr>
              <w:adjustRightInd w:val="0"/>
              <w:snapToGrid w:val="0"/>
              <w:jc w:val="center"/>
              <w:rPr>
                <w:rFonts w:ascii="仿宋_GB2312" w:eastAsia="仿宋_GB2312"/>
                <w:sz w:val="32"/>
                <w:szCs w:val="32"/>
              </w:rPr>
            </w:pPr>
          </w:p>
        </w:tc>
        <w:tc>
          <w:tcPr>
            <w:tcW w:w="4502" w:type="dxa"/>
            <w:vAlign w:val="center"/>
          </w:tcPr>
          <w:p w14:paraId="767CC072">
            <w:pPr>
              <w:adjustRightInd w:val="0"/>
              <w:snapToGrid w:val="0"/>
              <w:jc w:val="center"/>
              <w:rPr>
                <w:rFonts w:ascii="仿宋_GB2312" w:eastAsia="仿宋_GB2312"/>
                <w:sz w:val="32"/>
                <w:szCs w:val="32"/>
              </w:rPr>
            </w:pPr>
            <w:r>
              <w:rPr>
                <w:rFonts w:hint="eastAsia" w:ascii="仿宋_GB2312" w:eastAsia="仿宋_GB2312"/>
                <w:sz w:val="32"/>
                <w:szCs w:val="32"/>
              </w:rPr>
              <w:t>近红外光谱法</w:t>
            </w:r>
          </w:p>
        </w:tc>
      </w:tr>
      <w:tr w14:paraId="54F5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14:paraId="4E477BB1">
            <w:pPr>
              <w:adjustRightInd w:val="0"/>
              <w:snapToGrid w:val="0"/>
              <w:jc w:val="center"/>
              <w:rPr>
                <w:rFonts w:ascii="仿宋_GB2312" w:eastAsia="仿宋_GB2312"/>
                <w:sz w:val="32"/>
                <w:szCs w:val="32"/>
              </w:rPr>
            </w:pPr>
            <w:r>
              <w:rPr>
                <w:rFonts w:hint="eastAsia" w:ascii="仿宋_GB2312" w:eastAsia="仿宋_GB2312"/>
                <w:sz w:val="32"/>
                <w:szCs w:val="32"/>
              </w:rPr>
              <w:t>代谢守恒方法</w:t>
            </w:r>
          </w:p>
        </w:tc>
        <w:tc>
          <w:tcPr>
            <w:tcW w:w="4502" w:type="dxa"/>
            <w:vAlign w:val="center"/>
          </w:tcPr>
          <w:p w14:paraId="276125D8">
            <w:pPr>
              <w:adjustRightInd w:val="0"/>
              <w:snapToGrid w:val="0"/>
              <w:jc w:val="center"/>
              <w:rPr>
                <w:rFonts w:ascii="仿宋_GB2312" w:eastAsia="仿宋_GB2312"/>
                <w:sz w:val="32"/>
                <w:szCs w:val="32"/>
              </w:rPr>
            </w:pPr>
            <w:r>
              <w:rPr>
                <w:rFonts w:hint="eastAsia" w:ascii="仿宋_GB2312" w:eastAsia="仿宋_GB2312"/>
                <w:sz w:val="32"/>
                <w:szCs w:val="32"/>
              </w:rPr>
              <w:t>平衡态代谢热整合法</w:t>
            </w:r>
          </w:p>
        </w:tc>
      </w:tr>
      <w:tr w14:paraId="0288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6E6A5902">
            <w:pPr>
              <w:adjustRightInd w:val="0"/>
              <w:snapToGrid w:val="0"/>
              <w:jc w:val="center"/>
              <w:rPr>
                <w:rFonts w:ascii="仿宋_GB2312" w:eastAsia="仿宋_GB2312"/>
                <w:sz w:val="32"/>
                <w:szCs w:val="32"/>
              </w:rPr>
            </w:pPr>
          </w:p>
        </w:tc>
        <w:tc>
          <w:tcPr>
            <w:tcW w:w="4502" w:type="dxa"/>
            <w:vAlign w:val="center"/>
          </w:tcPr>
          <w:p w14:paraId="00E594BF">
            <w:pPr>
              <w:adjustRightInd w:val="0"/>
              <w:snapToGrid w:val="0"/>
              <w:jc w:val="center"/>
              <w:rPr>
                <w:rFonts w:ascii="仿宋_GB2312" w:eastAsia="仿宋_GB2312"/>
                <w:sz w:val="32"/>
                <w:szCs w:val="32"/>
              </w:rPr>
            </w:pPr>
            <w:r>
              <w:rPr>
                <w:rFonts w:hint="eastAsia" w:ascii="仿宋_GB2312" w:eastAsia="仿宋_GB2312"/>
                <w:sz w:val="32"/>
                <w:szCs w:val="32"/>
              </w:rPr>
              <w:t>非平衡态代谢热整合法</w:t>
            </w:r>
          </w:p>
        </w:tc>
      </w:tr>
    </w:tbl>
    <w:p w14:paraId="6C3EE60E">
      <w:pPr>
        <w:numPr>
          <w:ilvl w:val="1"/>
          <w:numId w:val="5"/>
        </w:numPr>
        <w:spacing w:line="520" w:lineRule="exact"/>
        <w:ind w:left="0" w:firstLine="640" w:firstLineChars="200"/>
        <w:outlineLvl w:val="3"/>
        <w:rPr>
          <w:rFonts w:eastAsia="仿宋_GB2312"/>
          <w:color w:val="000000"/>
          <w:sz w:val="32"/>
          <w:szCs w:val="32"/>
        </w:rPr>
      </w:pPr>
      <w:bookmarkStart w:id="32" w:name="_Toc112680014"/>
      <w:bookmarkStart w:id="33" w:name="_Ref113450724"/>
      <w:r>
        <w:rPr>
          <w:rFonts w:eastAsia="仿宋_GB2312"/>
          <w:color w:val="000000"/>
          <w:sz w:val="32"/>
          <w:szCs w:val="32"/>
        </w:rPr>
        <w:t>结构及组成</w:t>
      </w:r>
      <w:bookmarkEnd w:id="32"/>
      <w:bookmarkEnd w:id="33"/>
    </w:p>
    <w:p w14:paraId="357AEEE6">
      <w:pPr>
        <w:spacing w:line="520" w:lineRule="exact"/>
        <w:ind w:firstLine="640"/>
        <w:rPr>
          <w:rFonts w:eastAsia="仿宋_GB2312"/>
          <w:color w:val="000000"/>
          <w:sz w:val="32"/>
          <w:szCs w:val="32"/>
        </w:rPr>
      </w:pPr>
      <w:r>
        <w:rPr>
          <w:rFonts w:hint="eastAsia" w:eastAsia="仿宋_GB2312"/>
          <w:color w:val="000000"/>
          <w:sz w:val="32"/>
          <w:szCs w:val="32"/>
        </w:rPr>
        <w:t>申请人应提供</w:t>
      </w:r>
      <w:r>
        <w:rPr>
          <w:rFonts w:eastAsia="仿宋_GB2312"/>
          <w:color w:val="000000"/>
          <w:sz w:val="32"/>
          <w:szCs w:val="32"/>
        </w:rPr>
        <w:t>产品图示（含标识、接口、操控面板、应用部分等细节）</w:t>
      </w:r>
      <w:r>
        <w:rPr>
          <w:rFonts w:hint="eastAsia" w:eastAsia="仿宋_GB2312"/>
          <w:color w:val="000000"/>
          <w:sz w:val="32"/>
          <w:szCs w:val="32"/>
        </w:rPr>
        <w:t>，</w:t>
      </w:r>
      <w:r>
        <w:rPr>
          <w:rFonts w:eastAsia="仿宋_GB2312"/>
          <w:color w:val="000000"/>
          <w:sz w:val="32"/>
          <w:szCs w:val="32"/>
        </w:rPr>
        <w:t>含有多个组成部分的，应说明其连接或组装关系</w:t>
      </w:r>
      <w:r>
        <w:rPr>
          <w:rFonts w:hint="eastAsia" w:eastAsia="仿宋_GB2312"/>
          <w:color w:val="000000"/>
          <w:sz w:val="32"/>
          <w:szCs w:val="32"/>
        </w:rPr>
        <w:t>。申请人应提供</w:t>
      </w:r>
      <w:r>
        <w:rPr>
          <w:rFonts w:ascii="仿宋_GB2312" w:eastAsia="仿宋_GB2312"/>
          <w:sz w:val="32"/>
          <w:szCs w:val="32"/>
        </w:rPr>
        <w:t>产品工程图</w:t>
      </w:r>
      <w:r>
        <w:rPr>
          <w:rFonts w:hint="eastAsia" w:ascii="仿宋_GB2312" w:eastAsia="仿宋_GB2312"/>
          <w:sz w:val="32"/>
          <w:szCs w:val="32"/>
        </w:rPr>
        <w:t>、</w:t>
      </w:r>
      <w:r>
        <w:rPr>
          <w:rFonts w:ascii="仿宋_GB2312" w:eastAsia="仿宋_GB2312"/>
          <w:sz w:val="32"/>
          <w:szCs w:val="32"/>
        </w:rPr>
        <w:t>关键组件工程图</w:t>
      </w:r>
      <w:r>
        <w:rPr>
          <w:rFonts w:hint="eastAsia" w:ascii="仿宋_GB2312" w:eastAsia="仿宋_GB2312"/>
          <w:sz w:val="32"/>
          <w:szCs w:val="32"/>
        </w:rPr>
        <w:t>，重点描述力学、光学、电学、热学等关键组件（含传感器）的设计考量</w:t>
      </w:r>
      <w:r>
        <w:rPr>
          <w:rFonts w:ascii="仿宋_GB2312" w:eastAsia="仿宋_GB2312"/>
          <w:sz w:val="32"/>
          <w:szCs w:val="32"/>
        </w:rPr>
        <w:t>。工程图包含三维爆炸图、二维投影图</w:t>
      </w:r>
      <w:r>
        <w:rPr>
          <w:rFonts w:eastAsia="仿宋_GB2312"/>
          <w:color w:val="000000"/>
          <w:sz w:val="32"/>
          <w:szCs w:val="32"/>
        </w:rPr>
        <w:t>。</w:t>
      </w:r>
    </w:p>
    <w:p w14:paraId="482BC273">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申请人应描述产品的</w:t>
      </w:r>
      <w:r>
        <w:rPr>
          <w:rFonts w:eastAsia="仿宋_GB2312"/>
          <w:color w:val="000000"/>
          <w:sz w:val="32"/>
          <w:szCs w:val="32"/>
        </w:rPr>
        <w:t>主要功能及其组成部件（如关键组件和软件等</w:t>
      </w:r>
      <w:r>
        <w:rPr>
          <w:rFonts w:hint="eastAsia" w:eastAsia="仿宋_GB2312"/>
          <w:color w:val="000000"/>
          <w:sz w:val="32"/>
          <w:szCs w:val="32"/>
        </w:rPr>
        <w:t>）</w:t>
      </w:r>
      <w:r>
        <w:rPr>
          <w:rFonts w:eastAsia="仿宋_GB2312"/>
          <w:color w:val="000000"/>
          <w:sz w:val="32"/>
          <w:szCs w:val="32"/>
        </w:rPr>
        <w:t>的功能，以及区别于其他同类产品的特征</w:t>
      </w:r>
      <w:r>
        <w:rPr>
          <w:rFonts w:eastAsia="仿宋_GB2312"/>
          <w:bCs/>
          <w:color w:val="000000"/>
          <w:sz w:val="32"/>
          <w:szCs w:val="32"/>
        </w:rPr>
        <w:t>等内容</w:t>
      </w:r>
      <w:r>
        <w:rPr>
          <w:rFonts w:eastAsia="仿宋_GB2312"/>
          <w:color w:val="000000"/>
          <w:sz w:val="32"/>
          <w:szCs w:val="32"/>
        </w:rPr>
        <w:t>。</w:t>
      </w:r>
    </w:p>
    <w:p w14:paraId="51CF87E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ascii="仿宋_GB2312" w:eastAsia="仿宋_GB2312"/>
          <w:sz w:val="32"/>
          <w:szCs w:val="32"/>
        </w:rPr>
        <w:t>提供电池的类型、容量和电池短路和超温的保护原理，</w:t>
      </w:r>
      <w:r>
        <w:rPr>
          <w:rFonts w:hint="eastAsia" w:ascii="仿宋_GB2312" w:eastAsia="仿宋_GB2312"/>
          <w:sz w:val="32"/>
          <w:szCs w:val="32"/>
        </w:rPr>
        <w:t>应明确</w:t>
      </w:r>
      <w:r>
        <w:rPr>
          <w:rFonts w:ascii="仿宋_GB2312" w:eastAsia="仿宋_GB2312"/>
          <w:sz w:val="32"/>
          <w:szCs w:val="32"/>
        </w:rPr>
        <w:t>认证信息</w:t>
      </w:r>
      <w:r>
        <w:rPr>
          <w:rFonts w:eastAsia="仿宋_GB2312"/>
          <w:sz w:val="32"/>
          <w:szCs w:val="32"/>
        </w:rPr>
        <w:t>。</w:t>
      </w:r>
    </w:p>
    <w:p w14:paraId="236B15F9">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w:t>
      </w:r>
      <w:r>
        <w:rPr>
          <w:rFonts w:eastAsia="仿宋_GB2312"/>
          <w:color w:val="000000"/>
          <w:sz w:val="32"/>
          <w:szCs w:val="32"/>
        </w:rPr>
        <w:t>结构及组成</w:t>
      </w:r>
      <w:r>
        <w:rPr>
          <w:rFonts w:hint="eastAsia" w:eastAsia="仿宋_GB2312"/>
          <w:color w:val="000000"/>
          <w:sz w:val="32"/>
          <w:szCs w:val="32"/>
        </w:rPr>
        <w:t>，其内容应与检验报告的相关内容保持一致，例如：</w:t>
      </w:r>
    </w:p>
    <w:p w14:paraId="1D500AF4">
      <w:pPr>
        <w:numPr>
          <w:ilvl w:val="2"/>
          <w:numId w:val="5"/>
        </w:numPr>
        <w:spacing w:line="520" w:lineRule="exact"/>
        <w:ind w:left="0" w:firstLine="640" w:firstLineChars="200"/>
        <w:outlineLvl w:val="4"/>
        <w:rPr>
          <w:rFonts w:eastAsia="仿宋_GB2312"/>
          <w:color w:val="000000"/>
          <w:sz w:val="32"/>
          <w:szCs w:val="32"/>
        </w:rPr>
      </w:pPr>
      <w:bookmarkStart w:id="34" w:name="_Ref112620219"/>
      <w:bookmarkStart w:id="35" w:name="_Ref112619959"/>
      <w:r>
        <w:rPr>
          <w:rFonts w:hint="eastAsia" w:eastAsia="仿宋_GB2312"/>
          <w:color w:val="000000"/>
          <w:sz w:val="32"/>
          <w:szCs w:val="32"/>
        </w:rPr>
        <w:t>无创血糖仪</w:t>
      </w:r>
      <w:bookmarkEnd w:id="34"/>
    </w:p>
    <w:p w14:paraId="66EE6D42">
      <w:pPr>
        <w:spacing w:line="520" w:lineRule="exact"/>
        <w:ind w:firstLine="640" w:firstLineChars="200"/>
        <w:rPr>
          <w:rFonts w:eastAsia="仿宋_GB2312"/>
          <w:color w:val="000000"/>
          <w:sz w:val="32"/>
          <w:szCs w:val="32"/>
        </w:rPr>
      </w:pPr>
      <w:r>
        <w:rPr>
          <w:rFonts w:hint="eastAsia" w:eastAsia="仿宋_GB2312"/>
          <w:color w:val="000000"/>
          <w:sz w:val="32"/>
          <w:szCs w:val="32"/>
        </w:rPr>
        <w:t>该产品由探头、软件组成；该产品由主机、探头、电源适配器组成；该产品由传感器、记录仪组成。</w:t>
      </w:r>
      <w:bookmarkEnd w:id="35"/>
    </w:p>
    <w:p w14:paraId="3F29CDAA">
      <w:pPr>
        <w:numPr>
          <w:ilvl w:val="2"/>
          <w:numId w:val="5"/>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组合血糖仪</w:t>
      </w:r>
    </w:p>
    <w:p w14:paraId="7ED40C6B">
      <w:pPr>
        <w:spacing w:line="520" w:lineRule="exact"/>
        <w:ind w:firstLine="640" w:firstLineChars="200"/>
        <w:rPr>
          <w:rFonts w:eastAsia="仿宋_GB2312"/>
          <w:color w:val="000000"/>
          <w:sz w:val="32"/>
          <w:szCs w:val="32"/>
        </w:rPr>
      </w:pPr>
      <w:r>
        <w:rPr>
          <w:rFonts w:hint="eastAsia" w:eastAsia="仿宋_GB2312"/>
          <w:color w:val="000000"/>
          <w:sz w:val="32"/>
          <w:szCs w:val="32"/>
        </w:rPr>
        <w:t>该产品由无创模块、有创模块、电源适配器组成，其中，无创模块的结构及组成一般可参考上文中</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_Ref112620219 \h</w:instrText>
      </w:r>
      <w:r>
        <w:rPr>
          <w:rFonts w:eastAsia="仿宋_GB2312"/>
          <w:color w:val="000000"/>
          <w:sz w:val="32"/>
          <w:szCs w:val="32"/>
        </w:rPr>
        <w:instrText xml:space="preserve">  \* MERGEFORMAT </w:instrText>
      </w:r>
      <w:r>
        <w:rPr>
          <w:rFonts w:eastAsia="仿宋_GB2312"/>
          <w:color w:val="000000"/>
          <w:sz w:val="32"/>
          <w:szCs w:val="32"/>
        </w:rPr>
        <w:fldChar w:fldCharType="separate"/>
      </w:r>
      <w:r>
        <w:rPr>
          <w:rFonts w:hint="eastAsia" w:eastAsia="仿宋_GB2312"/>
          <w:color w:val="000000"/>
          <w:sz w:val="32"/>
          <w:szCs w:val="32"/>
        </w:rPr>
        <w:t>无创血糖仪</w:t>
      </w:r>
      <w:r>
        <w:rPr>
          <w:rFonts w:eastAsia="仿宋_GB2312"/>
          <w:color w:val="000000"/>
          <w:sz w:val="32"/>
          <w:szCs w:val="32"/>
        </w:rPr>
        <w:fldChar w:fldCharType="end"/>
      </w:r>
      <w:r>
        <w:rPr>
          <w:rFonts w:hint="eastAsia" w:eastAsia="仿宋_GB2312"/>
          <w:color w:val="000000"/>
          <w:sz w:val="32"/>
          <w:szCs w:val="32"/>
        </w:rPr>
        <w:t>的结构及组成；有创模块一般由主机、软件组成，与配套血糖试纸配合使用。</w:t>
      </w:r>
    </w:p>
    <w:p w14:paraId="7B156743">
      <w:pPr>
        <w:numPr>
          <w:ilvl w:val="1"/>
          <w:numId w:val="5"/>
        </w:numPr>
        <w:spacing w:line="520" w:lineRule="exact"/>
        <w:ind w:left="0" w:firstLine="640" w:firstLineChars="200"/>
        <w:outlineLvl w:val="3"/>
        <w:rPr>
          <w:rFonts w:eastAsia="仿宋_GB2312"/>
          <w:color w:val="000000"/>
          <w:sz w:val="32"/>
          <w:szCs w:val="32"/>
        </w:rPr>
      </w:pPr>
      <w:bookmarkStart w:id="36" w:name="_Toc112680015"/>
      <w:r>
        <w:rPr>
          <w:rFonts w:eastAsia="仿宋_GB2312"/>
          <w:color w:val="000000"/>
          <w:sz w:val="32"/>
          <w:szCs w:val="32"/>
        </w:rPr>
        <w:t>型号</w:t>
      </w:r>
      <w:r>
        <w:rPr>
          <w:rFonts w:hint="eastAsia" w:eastAsia="仿宋_GB2312"/>
          <w:color w:val="000000"/>
          <w:sz w:val="32"/>
          <w:szCs w:val="32"/>
        </w:rPr>
        <w:t>、</w:t>
      </w:r>
      <w:r>
        <w:rPr>
          <w:rFonts w:eastAsia="仿宋_GB2312"/>
          <w:color w:val="000000"/>
          <w:sz w:val="32"/>
          <w:szCs w:val="32"/>
        </w:rPr>
        <w:t>规格</w:t>
      </w:r>
      <w:bookmarkEnd w:id="36"/>
    </w:p>
    <w:p w14:paraId="6C44385A">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申请人应明确产品的型号，</w:t>
      </w:r>
      <w:r>
        <w:rPr>
          <w:rFonts w:eastAsia="仿宋_GB2312"/>
          <w:color w:val="000000"/>
          <w:sz w:val="32"/>
          <w:szCs w:val="32"/>
        </w:rPr>
        <w:t>描述产品的</w:t>
      </w:r>
      <w:r>
        <w:rPr>
          <w:rFonts w:hint="eastAsia" w:eastAsia="仿宋_GB2312"/>
          <w:color w:val="000000"/>
          <w:sz w:val="32"/>
          <w:szCs w:val="32"/>
        </w:rPr>
        <w:t>规格，例如，</w:t>
      </w:r>
      <w:r>
        <w:rPr>
          <w:rFonts w:eastAsia="仿宋_GB2312"/>
          <w:color w:val="000000"/>
          <w:sz w:val="32"/>
          <w:szCs w:val="32"/>
        </w:rPr>
        <w:t>外观、物理尺寸、重量等。</w:t>
      </w:r>
    </w:p>
    <w:p w14:paraId="7F276893">
      <w:pPr>
        <w:spacing w:line="520" w:lineRule="exact"/>
        <w:ind w:firstLine="640" w:firstLineChars="200"/>
        <w:rPr>
          <w:rFonts w:eastAsia="仿宋_GB2312"/>
          <w:color w:val="000000"/>
          <w:sz w:val="32"/>
          <w:szCs w:val="32"/>
        </w:rPr>
      </w:pPr>
      <w:r>
        <w:rPr>
          <w:rFonts w:eastAsia="仿宋_GB2312"/>
          <w:color w:val="000000"/>
          <w:sz w:val="32"/>
          <w:szCs w:val="32"/>
        </w:rPr>
        <w:t>对于存在多种型号</w:t>
      </w:r>
      <w:r>
        <w:rPr>
          <w:rFonts w:hint="eastAsia" w:eastAsia="仿宋_GB2312"/>
          <w:color w:val="000000"/>
          <w:sz w:val="32"/>
          <w:szCs w:val="32"/>
        </w:rPr>
        <w:t>、</w:t>
      </w:r>
      <w:r>
        <w:rPr>
          <w:rFonts w:eastAsia="仿宋_GB2312"/>
          <w:color w:val="000000"/>
          <w:sz w:val="32"/>
          <w:szCs w:val="32"/>
        </w:rPr>
        <w:t>规格的产品，</w:t>
      </w:r>
      <w:r>
        <w:rPr>
          <w:rFonts w:hint="eastAsia" w:eastAsia="仿宋_GB2312"/>
          <w:color w:val="000000"/>
          <w:sz w:val="32"/>
          <w:szCs w:val="32"/>
        </w:rPr>
        <w:t>申请人</w:t>
      </w:r>
      <w:r>
        <w:rPr>
          <w:rFonts w:eastAsia="仿宋_GB2312"/>
          <w:color w:val="000000"/>
          <w:sz w:val="32"/>
          <w:szCs w:val="32"/>
        </w:rPr>
        <w:t>应当明确各型号规格的区别</w:t>
      </w:r>
      <w:r>
        <w:rPr>
          <w:rFonts w:hint="eastAsia" w:eastAsia="仿宋_GB2312"/>
          <w:color w:val="000000"/>
          <w:sz w:val="32"/>
          <w:szCs w:val="32"/>
        </w:rPr>
        <w:t>，</w:t>
      </w:r>
      <w:r>
        <w:rPr>
          <w:rFonts w:eastAsia="仿宋_GB2312"/>
          <w:color w:val="000000"/>
          <w:sz w:val="32"/>
          <w:szCs w:val="32"/>
        </w:rPr>
        <w:t>应当采用对比表或带有说明性文字的图片、图表，描述各种型号规格的结构组成（或配置）、功能、产品特征和运行模式、技术参数等内容。</w:t>
      </w:r>
    </w:p>
    <w:p w14:paraId="4EC74318">
      <w:pPr>
        <w:numPr>
          <w:ilvl w:val="1"/>
          <w:numId w:val="5"/>
        </w:numPr>
        <w:spacing w:line="520" w:lineRule="exact"/>
        <w:ind w:left="0" w:firstLine="640" w:firstLineChars="200"/>
        <w:outlineLvl w:val="3"/>
        <w:rPr>
          <w:rFonts w:eastAsia="仿宋_GB2312"/>
          <w:color w:val="000000"/>
          <w:sz w:val="32"/>
          <w:szCs w:val="32"/>
        </w:rPr>
      </w:pPr>
      <w:bookmarkStart w:id="37" w:name="_Toc112680016"/>
      <w:r>
        <w:rPr>
          <w:rFonts w:eastAsia="仿宋_GB2312"/>
          <w:color w:val="000000"/>
          <w:sz w:val="32"/>
          <w:szCs w:val="32"/>
        </w:rPr>
        <w:t>研发历程</w:t>
      </w:r>
      <w:bookmarkEnd w:id="37"/>
    </w:p>
    <w:p w14:paraId="4D65D207">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阐述产品的研发背景和目的。如有参考的同类产品或前代产品，</w:t>
      </w:r>
      <w:r>
        <w:rPr>
          <w:rFonts w:hint="eastAsia" w:eastAsia="仿宋_GB2312"/>
          <w:bCs/>
          <w:color w:val="000000"/>
          <w:sz w:val="32"/>
          <w:szCs w:val="32"/>
        </w:rPr>
        <w:t>申请人</w:t>
      </w:r>
      <w:r>
        <w:rPr>
          <w:rFonts w:eastAsia="仿宋_GB2312"/>
          <w:bCs/>
          <w:color w:val="000000"/>
          <w:sz w:val="32"/>
          <w:szCs w:val="32"/>
        </w:rPr>
        <w:t>应当提供同类产品或前代产品的信息，并说明选择其作为研发参考的原因。</w:t>
      </w:r>
    </w:p>
    <w:p w14:paraId="56372D02">
      <w:pPr>
        <w:numPr>
          <w:ilvl w:val="1"/>
          <w:numId w:val="5"/>
        </w:numPr>
        <w:spacing w:line="520" w:lineRule="exact"/>
        <w:ind w:left="0" w:firstLine="640" w:firstLineChars="200"/>
        <w:outlineLvl w:val="3"/>
        <w:rPr>
          <w:rFonts w:eastAsia="仿宋_GB2312"/>
          <w:color w:val="000000"/>
          <w:sz w:val="32"/>
          <w:szCs w:val="32"/>
        </w:rPr>
      </w:pPr>
      <w:bookmarkStart w:id="38" w:name="_Toc112680017"/>
      <w:r>
        <w:rPr>
          <w:rFonts w:eastAsia="仿宋_GB2312"/>
          <w:color w:val="000000"/>
          <w:sz w:val="32"/>
          <w:szCs w:val="32"/>
        </w:rPr>
        <w:t>与同类和/或前代产品的参考和比较</w:t>
      </w:r>
      <w:bookmarkEnd w:id="38"/>
    </w:p>
    <w:p w14:paraId="1DC69718">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列表比较说明申报产品与同类产品和/或前代产品在工作原理、结构组成、制造材料、性能指标、作用</w:t>
      </w:r>
      <w:r>
        <w:rPr>
          <w:rFonts w:hint="eastAsia" w:eastAsia="仿宋_GB2312"/>
          <w:bCs/>
          <w:color w:val="000000"/>
          <w:sz w:val="32"/>
          <w:szCs w:val="32"/>
        </w:rPr>
        <w:t>在人体的</w:t>
      </w:r>
      <w:r>
        <w:rPr>
          <w:rFonts w:eastAsia="仿宋_GB2312"/>
          <w:bCs/>
          <w:color w:val="000000"/>
          <w:sz w:val="32"/>
          <w:szCs w:val="32"/>
        </w:rPr>
        <w:t>方式</w:t>
      </w:r>
      <w:r>
        <w:rPr>
          <w:rFonts w:hint="eastAsia" w:eastAsia="仿宋_GB2312"/>
          <w:bCs/>
          <w:color w:val="000000"/>
          <w:sz w:val="32"/>
          <w:szCs w:val="32"/>
        </w:rPr>
        <w:t>、</w:t>
      </w:r>
      <w:r>
        <w:rPr>
          <w:rFonts w:eastAsia="仿宋_GB2312"/>
          <w:bCs/>
          <w:color w:val="000000"/>
          <w:sz w:val="32"/>
          <w:szCs w:val="32"/>
        </w:rPr>
        <w:t>适用范围等方面的异同。</w:t>
      </w:r>
    </w:p>
    <w:p w14:paraId="669F46BD">
      <w:pPr>
        <w:numPr>
          <w:ilvl w:val="0"/>
          <w:numId w:val="5"/>
        </w:numPr>
        <w:spacing w:line="520" w:lineRule="exact"/>
        <w:ind w:left="0" w:firstLine="640" w:firstLineChars="200"/>
        <w:outlineLvl w:val="2"/>
        <w:rPr>
          <w:rFonts w:eastAsia="仿宋_GB2312"/>
          <w:color w:val="000000"/>
          <w:sz w:val="32"/>
          <w:szCs w:val="32"/>
        </w:rPr>
      </w:pPr>
      <w:bookmarkStart w:id="39" w:name="_Ref111494533"/>
      <w:bookmarkStart w:id="40" w:name="_Toc112680018"/>
      <w:r>
        <w:rPr>
          <w:rFonts w:eastAsia="仿宋_GB2312"/>
          <w:color w:val="000000"/>
          <w:sz w:val="32"/>
          <w:szCs w:val="32"/>
        </w:rPr>
        <w:t>适用范围和禁忌证</w:t>
      </w:r>
      <w:bookmarkEnd w:id="39"/>
      <w:bookmarkEnd w:id="40"/>
    </w:p>
    <w:p w14:paraId="0769A465">
      <w:pPr>
        <w:numPr>
          <w:ilvl w:val="1"/>
          <w:numId w:val="5"/>
        </w:numPr>
        <w:spacing w:line="520" w:lineRule="exact"/>
        <w:ind w:left="0" w:firstLine="640" w:firstLineChars="200"/>
        <w:outlineLvl w:val="3"/>
        <w:rPr>
          <w:rFonts w:eastAsia="仿宋_GB2312"/>
          <w:color w:val="000000"/>
          <w:sz w:val="32"/>
          <w:szCs w:val="32"/>
        </w:rPr>
      </w:pPr>
      <w:bookmarkStart w:id="41" w:name="_Toc112680019"/>
      <w:bookmarkStart w:id="42" w:name="_Ref113451158"/>
      <w:r>
        <w:rPr>
          <w:rFonts w:eastAsia="仿宋_GB2312"/>
          <w:color w:val="000000"/>
          <w:sz w:val="32"/>
          <w:szCs w:val="32"/>
        </w:rPr>
        <w:t>适用范围</w:t>
      </w:r>
      <w:bookmarkEnd w:id="41"/>
      <w:bookmarkEnd w:id="42"/>
    </w:p>
    <w:p w14:paraId="56641C2B">
      <w:pPr>
        <w:numPr>
          <w:ilvl w:val="2"/>
          <w:numId w:val="5"/>
        </w:numPr>
        <w:spacing w:line="520" w:lineRule="exact"/>
        <w:ind w:left="0" w:firstLine="640" w:firstLineChars="200"/>
        <w:outlineLvl w:val="4"/>
        <w:rPr>
          <w:rFonts w:eastAsia="仿宋_GB2312"/>
          <w:color w:val="000000"/>
          <w:sz w:val="32"/>
          <w:szCs w:val="32"/>
        </w:rPr>
      </w:pPr>
      <w:bookmarkStart w:id="43" w:name="_Ref112669671"/>
      <w:r>
        <w:rPr>
          <w:rFonts w:hint="eastAsia" w:eastAsia="仿宋_GB2312"/>
          <w:color w:val="000000"/>
          <w:sz w:val="32"/>
          <w:szCs w:val="32"/>
        </w:rPr>
        <w:t>检测参数</w:t>
      </w:r>
      <w:bookmarkEnd w:id="43"/>
    </w:p>
    <w:p w14:paraId="14CF7027">
      <w:pPr>
        <w:spacing w:line="520" w:lineRule="exact"/>
        <w:ind w:firstLine="640" w:firstLineChars="200"/>
        <w:rPr>
          <w:rFonts w:ascii="仿宋_GB2312" w:eastAsia="仿宋_GB2312"/>
          <w:sz w:val="32"/>
          <w:szCs w:val="32"/>
        </w:rPr>
      </w:pPr>
      <w:r>
        <w:rPr>
          <w:rFonts w:hint="eastAsia" w:eastAsia="仿宋_GB2312"/>
          <w:bCs/>
          <w:color w:val="000000"/>
          <w:sz w:val="32"/>
          <w:szCs w:val="32"/>
        </w:rPr>
        <w:t>申请人</w:t>
      </w:r>
      <w:r>
        <w:rPr>
          <w:rFonts w:eastAsia="仿宋_GB2312"/>
          <w:bCs/>
          <w:color w:val="000000"/>
          <w:sz w:val="32"/>
          <w:szCs w:val="32"/>
        </w:rPr>
        <w:t>应</w:t>
      </w:r>
      <w:r>
        <w:rPr>
          <w:rFonts w:hint="eastAsia" w:eastAsia="仿宋_GB2312"/>
          <w:bCs/>
          <w:color w:val="000000"/>
          <w:sz w:val="32"/>
          <w:szCs w:val="32"/>
        </w:rPr>
        <w:t>明确</w:t>
      </w:r>
      <w:r>
        <w:rPr>
          <w:rFonts w:hint="eastAsia" w:ascii="仿宋_GB2312" w:eastAsia="仿宋_GB2312"/>
          <w:sz w:val="32"/>
          <w:szCs w:val="32"/>
        </w:rPr>
        <w:t>产品的检测参数，例如，产品估算人体内葡萄糖浓度，给出的葡萄糖浓度可以是末梢全血葡萄糖浓度，也可以校准为血浆葡萄糖浓度。产品既可以提供</w:t>
      </w:r>
      <w:r>
        <w:rPr>
          <w:rFonts w:eastAsia="仿宋_GB2312"/>
          <w:sz w:val="32"/>
          <w:szCs w:val="32"/>
        </w:rPr>
        <w:t>毛细血管血糖</w:t>
      </w:r>
      <w:r>
        <w:rPr>
          <w:rFonts w:hint="eastAsia" w:eastAsia="仿宋_GB2312"/>
          <w:sz w:val="32"/>
          <w:szCs w:val="32"/>
        </w:rPr>
        <w:t>值，又</w:t>
      </w:r>
      <w:r>
        <w:rPr>
          <w:rFonts w:hint="eastAsia" w:ascii="仿宋_GB2312" w:eastAsia="仿宋_GB2312"/>
          <w:sz w:val="32"/>
          <w:szCs w:val="32"/>
        </w:rPr>
        <w:t>可以</w:t>
      </w:r>
      <w:r>
        <w:rPr>
          <w:rFonts w:hint="eastAsia" w:eastAsia="仿宋_GB2312"/>
          <w:sz w:val="32"/>
          <w:szCs w:val="32"/>
        </w:rPr>
        <w:t>提供</w:t>
      </w:r>
      <w:r>
        <w:rPr>
          <w:rFonts w:eastAsia="仿宋_GB2312"/>
          <w:sz w:val="32"/>
          <w:szCs w:val="32"/>
        </w:rPr>
        <w:t>糖化血红蛋白</w:t>
      </w:r>
      <w:r>
        <w:rPr>
          <w:rFonts w:hint="eastAsia" w:eastAsia="仿宋_GB2312"/>
          <w:sz w:val="32"/>
          <w:szCs w:val="32"/>
        </w:rPr>
        <w:t>(</w:t>
      </w:r>
      <w:r>
        <w:rPr>
          <w:rFonts w:eastAsia="仿宋_GB2312"/>
          <w:sz w:val="32"/>
          <w:szCs w:val="32"/>
        </w:rPr>
        <w:t>HbA</w:t>
      </w:r>
      <w:r>
        <w:rPr>
          <w:rFonts w:eastAsia="仿宋_GB2312"/>
          <w:sz w:val="32"/>
          <w:szCs w:val="32"/>
          <w:vertAlign w:val="subscript"/>
        </w:rPr>
        <w:t>1c</w:t>
      </w:r>
      <w:r>
        <w:rPr>
          <w:rFonts w:eastAsia="仿宋_GB2312"/>
          <w:sz w:val="32"/>
          <w:szCs w:val="32"/>
        </w:rPr>
        <w:t>)</w:t>
      </w:r>
      <w:r>
        <w:rPr>
          <w:rFonts w:hint="eastAsia" w:eastAsia="仿宋_GB2312"/>
          <w:sz w:val="32"/>
          <w:szCs w:val="32"/>
        </w:rPr>
        <w:t>等。</w:t>
      </w:r>
    </w:p>
    <w:p w14:paraId="731232CC">
      <w:pPr>
        <w:numPr>
          <w:ilvl w:val="2"/>
          <w:numId w:val="5"/>
        </w:numPr>
        <w:spacing w:line="520" w:lineRule="exact"/>
        <w:ind w:left="0" w:firstLine="640" w:firstLineChars="200"/>
        <w:outlineLvl w:val="4"/>
        <w:rPr>
          <w:rFonts w:eastAsia="仿宋_GB2312"/>
          <w:color w:val="000000"/>
          <w:sz w:val="32"/>
          <w:szCs w:val="32"/>
        </w:rPr>
      </w:pPr>
      <w:bookmarkStart w:id="44" w:name="_Ref112669887"/>
      <w:r>
        <w:rPr>
          <w:rFonts w:hint="eastAsia" w:eastAsia="仿宋_GB2312"/>
          <w:color w:val="000000"/>
          <w:sz w:val="32"/>
          <w:szCs w:val="32"/>
        </w:rPr>
        <w:t>预期用途</w:t>
      </w:r>
      <w:bookmarkEnd w:id="44"/>
    </w:p>
    <w:p w14:paraId="0574F4BE">
      <w:pPr>
        <w:spacing w:line="520" w:lineRule="exact"/>
        <w:ind w:firstLine="640" w:firstLineChars="200"/>
        <w:rPr>
          <w:rFonts w:eastAsia="仿宋_GB2312"/>
          <w:sz w:val="32"/>
          <w:szCs w:val="32"/>
        </w:rPr>
      </w:pPr>
      <w:r>
        <w:rPr>
          <w:rFonts w:hint="eastAsia" w:eastAsia="仿宋_GB2312"/>
          <w:sz w:val="32"/>
          <w:szCs w:val="32"/>
        </w:rPr>
        <w:t>申请人应明确产品的预期用途，例如，产品既可以预期用于毛细血管血糖监测，包括用于</w:t>
      </w:r>
      <w:r>
        <w:rPr>
          <w:rFonts w:eastAsia="仿宋_GB2312"/>
          <w:sz w:val="32"/>
          <w:szCs w:val="32"/>
        </w:rPr>
        <w:t>患者自我血糖监测</w:t>
      </w:r>
      <w:r>
        <w:rPr>
          <w:rFonts w:hint="eastAsia" w:eastAsia="仿宋_GB2312"/>
          <w:sz w:val="32"/>
          <w:szCs w:val="32"/>
        </w:rPr>
        <w:t>(</w:t>
      </w:r>
      <w:r>
        <w:rPr>
          <w:rFonts w:eastAsia="仿宋_GB2312"/>
          <w:sz w:val="32"/>
          <w:szCs w:val="32"/>
        </w:rPr>
        <w:t>Self‑Monitoring of Blood Glucose, SMBG</w:t>
      </w:r>
      <w:r>
        <w:rPr>
          <w:rFonts w:hint="eastAsia" w:eastAsia="仿宋_GB2312"/>
          <w:sz w:val="32"/>
          <w:szCs w:val="32"/>
        </w:rPr>
        <w:t>)、用于</w:t>
      </w:r>
      <w:r>
        <w:rPr>
          <w:rFonts w:eastAsia="仿宋_GB2312"/>
          <w:sz w:val="32"/>
          <w:szCs w:val="32"/>
        </w:rPr>
        <w:t>在医院内进行的</w:t>
      </w:r>
      <w:r>
        <w:rPr>
          <w:rFonts w:hint="eastAsia" w:eastAsia="仿宋_GB2312"/>
          <w:sz w:val="32"/>
          <w:szCs w:val="32"/>
        </w:rPr>
        <w:t>即时检测(</w:t>
      </w:r>
      <w:r>
        <w:rPr>
          <w:rFonts w:eastAsia="仿宋_GB2312"/>
          <w:sz w:val="32"/>
          <w:szCs w:val="32"/>
        </w:rPr>
        <w:t>Point‑Of‑Care Testing, POCT</w:t>
      </w:r>
      <w:r>
        <w:rPr>
          <w:rFonts w:hint="eastAsia" w:eastAsia="仿宋_GB2312"/>
          <w:sz w:val="32"/>
          <w:szCs w:val="32"/>
        </w:rPr>
        <w:t>)，又可以预期用于患者血糖水平异常的筛查。产品可以为临床提供血糖调整的参考，其血糖值可以作为临床治疗调整的辅助信息。</w:t>
      </w:r>
    </w:p>
    <w:p w14:paraId="7C57D3F4">
      <w:pPr>
        <w:numPr>
          <w:ilvl w:val="2"/>
          <w:numId w:val="5"/>
        </w:numPr>
        <w:spacing w:line="520" w:lineRule="exact"/>
        <w:ind w:left="0" w:firstLine="640" w:firstLineChars="200"/>
        <w:outlineLvl w:val="4"/>
        <w:rPr>
          <w:rFonts w:eastAsia="仿宋_GB2312"/>
          <w:color w:val="000000"/>
          <w:sz w:val="32"/>
          <w:szCs w:val="32"/>
        </w:rPr>
      </w:pPr>
      <w:bookmarkStart w:id="45" w:name="_Ref112669111"/>
      <w:r>
        <w:rPr>
          <w:rFonts w:eastAsia="仿宋_GB2312"/>
          <w:color w:val="000000"/>
          <w:sz w:val="32"/>
          <w:szCs w:val="32"/>
        </w:rPr>
        <w:t>适用人群</w:t>
      </w:r>
      <w:bookmarkEnd w:id="45"/>
      <w:r>
        <w:rPr>
          <w:rFonts w:hint="eastAsia" w:eastAsia="仿宋_GB2312"/>
          <w:color w:val="000000"/>
          <w:sz w:val="32"/>
          <w:szCs w:val="32"/>
        </w:rPr>
        <w:t>和适应症</w:t>
      </w:r>
    </w:p>
    <w:p w14:paraId="03B1E6DF">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目标患者人群</w:t>
      </w:r>
      <w:r>
        <w:rPr>
          <w:rFonts w:hint="eastAsia" w:eastAsia="仿宋_GB2312"/>
          <w:bCs/>
          <w:color w:val="000000"/>
          <w:sz w:val="32"/>
          <w:szCs w:val="32"/>
        </w:rPr>
        <w:t>、预期监测特定人群的</w:t>
      </w:r>
      <w:r>
        <w:rPr>
          <w:rFonts w:eastAsia="仿宋_GB2312"/>
          <w:bCs/>
          <w:color w:val="000000"/>
          <w:sz w:val="32"/>
          <w:szCs w:val="32"/>
        </w:rPr>
        <w:t>信息</w:t>
      </w:r>
      <w:r>
        <w:rPr>
          <w:rFonts w:hint="eastAsia" w:eastAsia="仿宋_GB2312"/>
          <w:bCs/>
          <w:color w:val="000000"/>
          <w:sz w:val="32"/>
          <w:szCs w:val="32"/>
        </w:rPr>
        <w:t>，或者提供</w:t>
      </w:r>
      <w:r>
        <w:rPr>
          <w:rFonts w:eastAsia="仿宋_GB2312"/>
          <w:bCs/>
          <w:color w:val="000000"/>
          <w:sz w:val="32"/>
          <w:szCs w:val="32"/>
        </w:rPr>
        <w:t>无预期</w:t>
      </w:r>
      <w:r>
        <w:rPr>
          <w:rFonts w:hint="eastAsia" w:eastAsia="仿宋_GB2312"/>
          <w:bCs/>
          <w:color w:val="000000"/>
          <w:sz w:val="32"/>
          <w:szCs w:val="32"/>
        </w:rPr>
        <w:t>监测</w:t>
      </w:r>
      <w:r>
        <w:rPr>
          <w:rFonts w:eastAsia="仿宋_GB2312"/>
          <w:bCs/>
          <w:color w:val="000000"/>
          <w:sz w:val="32"/>
          <w:szCs w:val="32"/>
        </w:rPr>
        <w:t>特定人群的声明</w:t>
      </w:r>
      <w:r>
        <w:rPr>
          <w:rFonts w:hint="eastAsia" w:eastAsia="仿宋_GB2312"/>
          <w:bCs/>
          <w:color w:val="000000"/>
          <w:sz w:val="32"/>
          <w:szCs w:val="32"/>
        </w:rPr>
        <w:t>，例如，</w:t>
      </w:r>
      <w:r>
        <w:rPr>
          <w:rFonts w:eastAsia="仿宋_GB2312"/>
          <w:bCs/>
          <w:color w:val="000000"/>
          <w:sz w:val="32"/>
          <w:szCs w:val="32"/>
        </w:rPr>
        <w:t>新生儿、</w:t>
      </w:r>
      <w:r>
        <w:rPr>
          <w:rFonts w:hint="eastAsia" w:eastAsia="仿宋_GB2312"/>
          <w:bCs/>
          <w:color w:val="000000"/>
          <w:sz w:val="32"/>
          <w:szCs w:val="32"/>
        </w:rPr>
        <w:t>小儿（含</w:t>
      </w:r>
      <w:r>
        <w:rPr>
          <w:rFonts w:eastAsia="仿宋_GB2312"/>
          <w:bCs/>
          <w:color w:val="000000"/>
          <w:sz w:val="32"/>
          <w:szCs w:val="32"/>
        </w:rPr>
        <w:t>婴儿</w:t>
      </w:r>
      <w:r>
        <w:rPr>
          <w:rFonts w:hint="eastAsia" w:eastAsia="仿宋_GB2312"/>
          <w:bCs/>
          <w:color w:val="000000"/>
          <w:sz w:val="32"/>
          <w:szCs w:val="32"/>
        </w:rPr>
        <w:t>）</w:t>
      </w:r>
      <w:r>
        <w:rPr>
          <w:rFonts w:eastAsia="仿宋_GB2312"/>
          <w:bCs/>
          <w:color w:val="000000"/>
          <w:sz w:val="32"/>
          <w:szCs w:val="32"/>
        </w:rPr>
        <w:t>、成人</w:t>
      </w:r>
      <w:r>
        <w:rPr>
          <w:rFonts w:hint="eastAsia" w:eastAsia="仿宋_GB2312"/>
          <w:bCs/>
          <w:color w:val="000000"/>
          <w:sz w:val="32"/>
          <w:szCs w:val="32"/>
        </w:rPr>
        <w:t>，孕妇，健康人群、糖调节受损（</w:t>
      </w:r>
      <w:r>
        <w:rPr>
          <w:rFonts w:eastAsia="仿宋_GB2312"/>
          <w:sz w:val="32"/>
          <w:szCs w:val="32"/>
        </w:rPr>
        <w:t>空腹血糖受损impaired fasting glucose, IFG</w:t>
      </w:r>
      <w:r>
        <w:rPr>
          <w:rFonts w:hint="eastAsia" w:eastAsia="仿宋_GB2312"/>
          <w:bCs/>
          <w:color w:val="000000"/>
          <w:sz w:val="32"/>
          <w:szCs w:val="32"/>
        </w:rPr>
        <w:t>和</w:t>
      </w:r>
      <w:r>
        <w:rPr>
          <w:rFonts w:eastAsia="仿宋_GB2312"/>
          <w:sz w:val="32"/>
          <w:szCs w:val="32"/>
        </w:rPr>
        <w:t>糖耐量减低impaired glucose tolerance</w:t>
      </w:r>
      <w:r>
        <w:rPr>
          <w:rFonts w:hint="eastAsia" w:eastAsia="仿宋_GB2312"/>
          <w:bCs/>
          <w:color w:val="000000"/>
          <w:sz w:val="32"/>
          <w:szCs w:val="32"/>
        </w:rPr>
        <w:t>,</w:t>
      </w:r>
      <w:r>
        <w:rPr>
          <w:rFonts w:eastAsia="仿宋_GB2312"/>
          <w:bCs/>
          <w:color w:val="000000"/>
          <w:sz w:val="32"/>
          <w:szCs w:val="32"/>
        </w:rPr>
        <w:t xml:space="preserve"> IGT</w:t>
      </w:r>
      <w:r>
        <w:rPr>
          <w:rFonts w:hint="eastAsia" w:eastAsia="仿宋_GB2312"/>
          <w:bCs/>
          <w:color w:val="000000"/>
          <w:sz w:val="32"/>
          <w:szCs w:val="32"/>
        </w:rPr>
        <w:t>）人群、2型糖尿病患者。</w:t>
      </w:r>
    </w:p>
    <w:p w14:paraId="01063EC8">
      <w:pPr>
        <w:numPr>
          <w:ilvl w:val="2"/>
          <w:numId w:val="5"/>
        </w:numPr>
        <w:spacing w:line="520" w:lineRule="exact"/>
        <w:ind w:left="0" w:firstLine="640" w:firstLineChars="200"/>
        <w:outlineLvl w:val="4"/>
        <w:rPr>
          <w:rFonts w:eastAsia="仿宋_GB2312"/>
          <w:color w:val="000000"/>
          <w:sz w:val="32"/>
          <w:szCs w:val="32"/>
        </w:rPr>
      </w:pPr>
      <w:bookmarkStart w:id="46" w:name="_Ref112669049"/>
      <w:r>
        <w:rPr>
          <w:rFonts w:eastAsia="仿宋_GB2312"/>
          <w:color w:val="000000"/>
          <w:sz w:val="32"/>
          <w:szCs w:val="32"/>
        </w:rPr>
        <w:t>预期使用环境</w:t>
      </w:r>
      <w:bookmarkEnd w:id="46"/>
    </w:p>
    <w:p w14:paraId="67A34071">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产品预期使用的地点，</w:t>
      </w:r>
      <w:r>
        <w:rPr>
          <w:rFonts w:hint="eastAsia" w:eastAsia="仿宋_GB2312"/>
          <w:bCs/>
          <w:color w:val="000000"/>
          <w:sz w:val="32"/>
          <w:szCs w:val="32"/>
        </w:rPr>
        <w:t>例如，</w:t>
      </w:r>
      <w:r>
        <w:rPr>
          <w:rFonts w:hint="eastAsia" w:ascii="仿宋_GB2312" w:eastAsia="仿宋_GB2312"/>
          <w:sz w:val="32"/>
          <w:szCs w:val="32"/>
        </w:rPr>
        <w:t>从事糖尿病诊疗活动的医院、卫生院、疗养院、门诊部、诊所、卫生所（室）、急救站等医疗机构，院前的</w:t>
      </w:r>
      <w:r>
        <w:rPr>
          <w:rFonts w:eastAsia="仿宋_GB2312"/>
          <w:bCs/>
          <w:color w:val="000000"/>
          <w:sz w:val="32"/>
          <w:szCs w:val="32"/>
        </w:rPr>
        <w:t>救护车</w:t>
      </w:r>
      <w:r>
        <w:rPr>
          <w:rFonts w:hint="eastAsia" w:ascii="仿宋_GB2312" w:eastAsia="仿宋_GB2312"/>
          <w:sz w:val="32"/>
          <w:szCs w:val="32"/>
        </w:rPr>
        <w:t>，办公场所、机场/火车站、学校等</w:t>
      </w:r>
      <w:r>
        <w:rPr>
          <w:rFonts w:hint="eastAsia" w:eastAsia="仿宋_GB2312"/>
          <w:sz w:val="32"/>
          <w:szCs w:val="32"/>
        </w:rPr>
        <w:t>公共场所，</w:t>
      </w:r>
      <w:r>
        <w:rPr>
          <w:rFonts w:hint="eastAsia" w:ascii="仿宋_GB2312" w:eastAsia="仿宋_GB2312"/>
          <w:sz w:val="32"/>
          <w:szCs w:val="32"/>
        </w:rPr>
        <w:t>生活社区、家庭。</w:t>
      </w:r>
    </w:p>
    <w:p w14:paraId="7CEC1B5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申请人应明确产品预期使用的环境条件，而且应重点关注</w:t>
      </w:r>
      <w:r>
        <w:rPr>
          <w:rFonts w:eastAsia="仿宋_GB2312"/>
          <w:bCs/>
          <w:color w:val="000000"/>
          <w:sz w:val="32"/>
          <w:szCs w:val="32"/>
        </w:rPr>
        <w:t>可能影响</w:t>
      </w:r>
      <w:r>
        <w:rPr>
          <w:rFonts w:hint="eastAsia" w:eastAsia="仿宋_GB2312"/>
          <w:bCs/>
          <w:color w:val="000000"/>
          <w:sz w:val="32"/>
          <w:szCs w:val="32"/>
        </w:rPr>
        <w:t>产品</w:t>
      </w:r>
      <w:r>
        <w:rPr>
          <w:rFonts w:eastAsia="仿宋_GB2312"/>
          <w:bCs/>
          <w:color w:val="000000"/>
          <w:sz w:val="32"/>
          <w:szCs w:val="32"/>
        </w:rPr>
        <w:t>安全性和有效性的环境条件，如温度、湿度、压力、移动、振动、海拔等。</w:t>
      </w:r>
    </w:p>
    <w:p w14:paraId="7801E94E">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对使用者/操作者要求</w:t>
      </w:r>
    </w:p>
    <w:p w14:paraId="0A6BCC4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明确目标用户及其操作或使用该产品应当具备的技能/知识/培训。</w:t>
      </w:r>
    </w:p>
    <w:p w14:paraId="373574A5">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其他内容</w:t>
      </w:r>
    </w:p>
    <w:p w14:paraId="45EAAD6B">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说明与其组合使用实现预期用途的其他产品</w:t>
      </w:r>
      <w:r>
        <w:rPr>
          <w:rFonts w:hint="eastAsia" w:eastAsia="仿宋_GB2312"/>
          <w:bCs/>
          <w:color w:val="000000"/>
          <w:sz w:val="32"/>
          <w:szCs w:val="32"/>
        </w:rPr>
        <w:t>，例如，</w:t>
      </w:r>
      <w:r>
        <w:rPr>
          <w:rFonts w:hint="eastAsia" w:eastAsia="仿宋_GB2312"/>
          <w:sz w:val="32"/>
          <w:szCs w:val="32"/>
        </w:rPr>
        <w:t>用于无创血糖/葡萄糖监测校准的有创血糖仪的医疗器械注册证编号等；</w:t>
      </w:r>
      <w:r>
        <w:rPr>
          <w:rFonts w:hint="eastAsia" w:eastAsia="仿宋_GB2312"/>
          <w:bCs/>
          <w:color w:val="000000"/>
          <w:sz w:val="32"/>
          <w:szCs w:val="32"/>
        </w:rPr>
        <w:t>组合血糖仪</w:t>
      </w:r>
      <w:r>
        <w:rPr>
          <w:rFonts w:hint="eastAsia" w:eastAsia="仿宋_GB2312"/>
          <w:color w:val="000000"/>
          <w:sz w:val="32"/>
          <w:szCs w:val="32"/>
        </w:rPr>
        <w:t>配合使用的配套血糖试纸、</w:t>
      </w:r>
      <w:r>
        <w:rPr>
          <w:rFonts w:hint="eastAsia" w:eastAsia="仿宋_GB2312"/>
          <w:bCs/>
          <w:color w:val="000000"/>
          <w:sz w:val="32"/>
          <w:szCs w:val="32"/>
        </w:rPr>
        <w:t>采血笔、笔帽等。</w:t>
      </w:r>
    </w:p>
    <w:p w14:paraId="771880E3">
      <w:pPr>
        <w:numPr>
          <w:ilvl w:val="1"/>
          <w:numId w:val="5"/>
        </w:numPr>
        <w:spacing w:line="520" w:lineRule="exact"/>
        <w:ind w:left="0" w:firstLine="640" w:firstLineChars="200"/>
        <w:outlineLvl w:val="3"/>
        <w:rPr>
          <w:rFonts w:eastAsia="仿宋_GB2312"/>
          <w:color w:val="000000"/>
          <w:sz w:val="32"/>
          <w:szCs w:val="32"/>
        </w:rPr>
      </w:pPr>
      <w:bookmarkStart w:id="47" w:name="_Toc112680020"/>
      <w:r>
        <w:rPr>
          <w:rFonts w:eastAsia="仿宋_GB2312"/>
          <w:color w:val="000000"/>
          <w:sz w:val="32"/>
          <w:szCs w:val="32"/>
        </w:rPr>
        <w:t>禁忌证</w:t>
      </w:r>
      <w:bookmarkEnd w:id="47"/>
    </w:p>
    <w:p w14:paraId="0215899E">
      <w:pPr>
        <w:spacing w:line="520" w:lineRule="exact"/>
        <w:ind w:firstLine="640" w:firstLineChars="200"/>
        <w:rPr>
          <w:rFonts w:eastAsia="仿宋_GB2312"/>
          <w:bCs/>
          <w:color w:val="000000"/>
          <w:sz w:val="32"/>
          <w:szCs w:val="32"/>
        </w:rPr>
      </w:pPr>
      <w:r>
        <w:rPr>
          <w:rFonts w:eastAsia="仿宋_GB2312"/>
          <w:bCs/>
          <w:color w:val="000000"/>
          <w:sz w:val="32"/>
          <w:szCs w:val="32"/>
        </w:rPr>
        <w:t>通过风险/受益评估后，针对某些疾病、情况或特定的人群（如儿童、老年人、孕妇及哺乳期妇女、肝肾功能不全者），认为不推荐使用该产品，</w:t>
      </w:r>
      <w:r>
        <w:rPr>
          <w:rFonts w:hint="eastAsia" w:eastAsia="仿宋_GB2312"/>
          <w:bCs/>
          <w:color w:val="000000"/>
          <w:sz w:val="32"/>
          <w:szCs w:val="32"/>
        </w:rPr>
        <w:t>申请人</w:t>
      </w:r>
      <w:r>
        <w:rPr>
          <w:rFonts w:eastAsia="仿宋_GB2312"/>
          <w:bCs/>
          <w:color w:val="000000"/>
          <w:sz w:val="32"/>
          <w:szCs w:val="32"/>
        </w:rPr>
        <w:t>应明确说明。</w:t>
      </w:r>
    </w:p>
    <w:p w14:paraId="1ED358E4">
      <w:pPr>
        <w:numPr>
          <w:ilvl w:val="1"/>
          <w:numId w:val="5"/>
        </w:numPr>
        <w:spacing w:line="520" w:lineRule="exact"/>
        <w:ind w:left="0" w:firstLine="640" w:firstLineChars="200"/>
        <w:outlineLvl w:val="3"/>
        <w:rPr>
          <w:rFonts w:eastAsia="仿宋_GB2312"/>
          <w:color w:val="000000"/>
          <w:sz w:val="32"/>
          <w:szCs w:val="32"/>
        </w:rPr>
      </w:pPr>
      <w:bookmarkStart w:id="48" w:name="_Toc112680021"/>
      <w:r>
        <w:rPr>
          <w:rFonts w:hint="eastAsia" w:eastAsia="仿宋_GB2312"/>
          <w:color w:val="000000"/>
          <w:sz w:val="32"/>
          <w:szCs w:val="32"/>
        </w:rPr>
        <w:t>适用范围和禁忌证的举例</w:t>
      </w:r>
      <w:bookmarkEnd w:id="48"/>
    </w:p>
    <w:p w14:paraId="62B7E0EC">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无创血糖仪</w:t>
      </w:r>
    </w:p>
    <w:p w14:paraId="34BADFAD">
      <w:pPr>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该产品可无创地估算成人体内葡萄糖浓度，供健康人群和非胰岛素治疗的2型糖尿病患者在家庭中使用，适用于日常的自我血糖管理。</w:t>
      </w:r>
    </w:p>
    <w:p w14:paraId="0023D17C">
      <w:pPr>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该产品不在医疗机构中使用，不用于18岁以下人群，不用于糖尿病的筛查和诊断，估算结果不作为治疗药物调整的依据。</w:t>
      </w:r>
    </w:p>
    <w:p w14:paraId="6D2EB890">
      <w:pPr>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禁用于患有影响手部测定准确性的疾病（例如，帕金森病、慢性动脉闭塞症、手部或手臂外伤手术后未愈、动静脉造瘘术后等）以及发生糖尿病急性并发症、合并发热/恶性肿瘤/手术等疾病状态的糖尿病患者。</w:t>
      </w:r>
    </w:p>
    <w:p w14:paraId="431D0DFD">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组合血糖仪</w:t>
      </w:r>
    </w:p>
    <w:p w14:paraId="4B933B1A">
      <w:pPr>
        <w:spacing w:line="520" w:lineRule="exact"/>
        <w:ind w:firstLine="641"/>
        <w:rPr>
          <w:rFonts w:eastAsia="仿宋_GB2312"/>
          <w:bCs/>
          <w:color w:val="000000"/>
          <w:sz w:val="32"/>
          <w:szCs w:val="32"/>
        </w:rPr>
      </w:pPr>
      <w:r>
        <w:rPr>
          <w:rFonts w:hint="eastAsia" w:eastAsia="仿宋_GB2312"/>
          <w:bCs/>
          <w:color w:val="000000"/>
          <w:sz w:val="32"/>
          <w:szCs w:val="32"/>
        </w:rPr>
        <w:t>该产品供成年健康人群和糖尿病患者在家中使用，适用于日常的自我血糖管理，由两部分组成：</w:t>
      </w:r>
    </w:p>
    <w:p w14:paraId="6F914646">
      <w:pPr>
        <w:numPr>
          <w:ilvl w:val="0"/>
          <w:numId w:val="6"/>
        </w:numPr>
        <w:spacing w:line="520" w:lineRule="exact"/>
        <w:ind w:left="0" w:firstLine="640" w:firstLineChars="200"/>
        <w:rPr>
          <w:rFonts w:eastAsia="仿宋_GB2312"/>
          <w:bCs/>
          <w:color w:val="000000"/>
          <w:sz w:val="32"/>
          <w:szCs w:val="32"/>
        </w:rPr>
      </w:pPr>
      <w:r>
        <w:rPr>
          <w:rFonts w:hint="eastAsia" w:eastAsia="仿宋_GB2312"/>
          <w:bCs/>
          <w:color w:val="000000"/>
          <w:sz w:val="32"/>
          <w:szCs w:val="32"/>
        </w:rPr>
        <w:t>有创模块：使用试纸条测量毛细管新鲜全血样本血糖，用于无创模块的校准，血糖测量结果不用于糖尿病筛查和诊断，也不作为治疗方案的决定和调整依据。</w:t>
      </w:r>
    </w:p>
    <w:p w14:paraId="20C74FC5">
      <w:pPr>
        <w:numPr>
          <w:ilvl w:val="0"/>
          <w:numId w:val="6"/>
        </w:numPr>
        <w:spacing w:line="520" w:lineRule="exact"/>
        <w:ind w:left="0" w:firstLine="640" w:firstLineChars="200"/>
        <w:rPr>
          <w:rFonts w:eastAsia="仿宋_GB2312"/>
          <w:bCs/>
          <w:color w:val="000000"/>
          <w:sz w:val="32"/>
          <w:szCs w:val="32"/>
        </w:rPr>
      </w:pPr>
      <w:r>
        <w:rPr>
          <w:rFonts w:hint="eastAsia" w:eastAsia="仿宋_GB2312"/>
          <w:bCs/>
          <w:color w:val="000000"/>
          <w:sz w:val="32"/>
          <w:szCs w:val="32"/>
        </w:rPr>
        <w:t>无创模块：经有创模块校准后，可在成人被测者的手指指尖无创估算葡萄糖浓度和糖化血红蛋白值。</w:t>
      </w:r>
    </w:p>
    <w:p w14:paraId="34F13546">
      <w:pPr>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不在医疗机构中使用，不用于18岁以下人群，不用于糖尿病的筛查和诊断，血糖测量和估算结果不作为决定和调整治疗方案的依据。被测手指不应有影响血糖测量和估算的情况（例如，受损、感染、不整洁、长指甲等）。</w:t>
      </w:r>
    </w:p>
    <w:p w14:paraId="0F4D1D56">
      <w:pPr>
        <w:numPr>
          <w:ilvl w:val="0"/>
          <w:numId w:val="5"/>
        </w:numPr>
        <w:spacing w:line="520" w:lineRule="exact"/>
        <w:ind w:left="0" w:firstLine="640" w:firstLineChars="200"/>
        <w:outlineLvl w:val="2"/>
        <w:rPr>
          <w:rFonts w:eastAsia="仿宋_GB2312"/>
          <w:color w:val="000000"/>
          <w:sz w:val="32"/>
          <w:szCs w:val="32"/>
        </w:rPr>
      </w:pPr>
      <w:bookmarkStart w:id="49" w:name="_Toc112680022"/>
      <w:r>
        <w:rPr>
          <w:rFonts w:eastAsia="仿宋_GB2312"/>
          <w:color w:val="000000"/>
          <w:sz w:val="32"/>
          <w:szCs w:val="32"/>
        </w:rPr>
        <w:t>申报产品上市历史</w:t>
      </w:r>
      <w:bookmarkEnd w:id="49"/>
    </w:p>
    <w:p w14:paraId="1C6B22CB">
      <w:pPr>
        <w:spacing w:line="520" w:lineRule="exact"/>
        <w:ind w:firstLine="640" w:firstLineChars="200"/>
        <w:rPr>
          <w:rFonts w:eastAsia="仿宋_GB2312"/>
          <w:bCs/>
          <w:sz w:val="32"/>
          <w:szCs w:val="32"/>
          <w:lang w:val="en-CA"/>
        </w:rPr>
      </w:pPr>
      <w:r>
        <w:rPr>
          <w:rFonts w:eastAsia="仿宋_GB2312"/>
          <w:bCs/>
          <w:sz w:val="32"/>
          <w:szCs w:val="32"/>
          <w:lang w:val="en-CA"/>
        </w:rPr>
        <w:t>如适用，</w:t>
      </w:r>
      <w:r>
        <w:rPr>
          <w:rFonts w:hint="eastAsia" w:eastAsia="仿宋_GB2312"/>
          <w:bCs/>
          <w:sz w:val="32"/>
          <w:szCs w:val="32"/>
          <w:lang w:val="en-CA"/>
        </w:rPr>
        <w:t>按照《关于公布医疗器械注册申报资料要求和批准证明文件格式的公告》附件5《医疗器械注册申报资料要求及说明》，申请人应提供</w:t>
      </w:r>
      <w:r>
        <w:rPr>
          <w:rFonts w:eastAsia="仿宋_GB2312"/>
          <w:bCs/>
          <w:sz w:val="32"/>
          <w:szCs w:val="32"/>
          <w:lang w:val="en-CA"/>
        </w:rPr>
        <w:t>产品</w:t>
      </w:r>
      <w:r>
        <w:rPr>
          <w:rFonts w:hint="eastAsia" w:eastAsia="仿宋_GB2312"/>
          <w:bCs/>
          <w:sz w:val="32"/>
          <w:szCs w:val="32"/>
          <w:lang w:val="en-CA"/>
        </w:rPr>
        <w:t>的</w:t>
      </w:r>
      <w:r>
        <w:rPr>
          <w:rFonts w:eastAsia="仿宋_GB2312"/>
          <w:bCs/>
          <w:sz w:val="32"/>
          <w:szCs w:val="32"/>
          <w:lang w:val="en-CA"/>
        </w:rPr>
        <w:t>上市历史资料</w:t>
      </w:r>
      <w:r>
        <w:rPr>
          <w:rFonts w:hint="eastAsia" w:eastAsia="仿宋_GB2312"/>
          <w:bCs/>
          <w:sz w:val="32"/>
          <w:szCs w:val="32"/>
          <w:lang w:val="en-CA"/>
        </w:rPr>
        <w:t>，包括</w:t>
      </w:r>
      <w:r>
        <w:rPr>
          <w:rFonts w:eastAsia="仿宋_GB2312"/>
          <w:bCs/>
          <w:sz w:val="32"/>
          <w:szCs w:val="32"/>
          <w:lang w:val="en-CA"/>
        </w:rPr>
        <w:t>上市情况</w:t>
      </w:r>
      <w:r>
        <w:rPr>
          <w:rFonts w:hint="eastAsia" w:eastAsia="仿宋_GB2312"/>
          <w:bCs/>
          <w:sz w:val="32"/>
          <w:szCs w:val="32"/>
          <w:lang w:val="en-CA"/>
        </w:rPr>
        <w:t>，</w:t>
      </w:r>
      <w:r>
        <w:rPr>
          <w:rFonts w:eastAsia="仿宋_GB2312"/>
          <w:bCs/>
          <w:sz w:val="32"/>
          <w:szCs w:val="32"/>
          <w:lang w:val="en-CA"/>
        </w:rPr>
        <w:t>不良事件和召回</w:t>
      </w:r>
      <w:r>
        <w:rPr>
          <w:rFonts w:hint="eastAsia" w:eastAsia="仿宋_GB2312"/>
          <w:bCs/>
          <w:sz w:val="32"/>
          <w:szCs w:val="32"/>
          <w:lang w:val="en-CA"/>
        </w:rPr>
        <w:t>（含</w:t>
      </w:r>
      <w:r>
        <w:rPr>
          <w:rFonts w:eastAsia="仿宋_GB2312"/>
          <w:bCs/>
          <w:sz w:val="32"/>
          <w:szCs w:val="32"/>
          <w:lang w:val="en-CA"/>
        </w:rPr>
        <w:t>分析评价</w:t>
      </w:r>
      <w:r>
        <w:rPr>
          <w:rFonts w:hint="eastAsia" w:eastAsia="仿宋_GB2312"/>
          <w:bCs/>
          <w:sz w:val="32"/>
          <w:szCs w:val="32"/>
          <w:lang w:val="en-CA"/>
        </w:rPr>
        <w:t>），</w:t>
      </w:r>
      <w:r>
        <w:rPr>
          <w:rFonts w:eastAsia="仿宋_GB2312"/>
          <w:bCs/>
          <w:sz w:val="32"/>
          <w:szCs w:val="32"/>
          <w:lang w:val="en-CA"/>
        </w:rPr>
        <w:t>销售、不良事件及召回率</w:t>
      </w:r>
      <w:r>
        <w:rPr>
          <w:rFonts w:hint="eastAsia" w:eastAsia="仿宋_GB2312"/>
          <w:bCs/>
          <w:sz w:val="32"/>
          <w:szCs w:val="32"/>
          <w:lang w:val="en-CA"/>
        </w:rPr>
        <w:t>。</w:t>
      </w:r>
    </w:p>
    <w:p w14:paraId="3DC564F2">
      <w:pPr>
        <w:numPr>
          <w:ilvl w:val="0"/>
          <w:numId w:val="5"/>
        </w:numPr>
        <w:spacing w:line="520" w:lineRule="exact"/>
        <w:ind w:left="0" w:firstLine="640" w:firstLineChars="200"/>
        <w:outlineLvl w:val="2"/>
        <w:rPr>
          <w:rFonts w:eastAsia="仿宋_GB2312"/>
          <w:color w:val="000000"/>
          <w:sz w:val="32"/>
          <w:szCs w:val="32"/>
        </w:rPr>
      </w:pPr>
      <w:bookmarkStart w:id="50" w:name="_Toc112680023"/>
      <w:r>
        <w:rPr>
          <w:rFonts w:eastAsia="仿宋_GB2312"/>
          <w:color w:val="000000"/>
          <w:sz w:val="32"/>
          <w:szCs w:val="32"/>
        </w:rPr>
        <w:t>其他需说明的内容</w:t>
      </w:r>
      <w:bookmarkEnd w:id="50"/>
    </w:p>
    <w:p w14:paraId="24525523">
      <w:pPr>
        <w:spacing w:line="520" w:lineRule="exact"/>
        <w:ind w:firstLine="640"/>
        <w:rPr>
          <w:rFonts w:eastAsia="仿宋_GB2312"/>
          <w:bCs/>
          <w:color w:val="000000"/>
          <w:sz w:val="32"/>
          <w:szCs w:val="32"/>
        </w:rPr>
      </w:pPr>
      <w:r>
        <w:rPr>
          <w:rFonts w:eastAsia="仿宋_GB2312"/>
          <w:bCs/>
          <w:color w:val="000000"/>
          <w:sz w:val="32"/>
          <w:szCs w:val="32"/>
        </w:rPr>
        <w:t>如适用，</w:t>
      </w:r>
      <w:r>
        <w:rPr>
          <w:rFonts w:hint="eastAsia" w:eastAsia="仿宋_GB2312"/>
          <w:bCs/>
          <w:color w:val="000000"/>
          <w:sz w:val="32"/>
          <w:szCs w:val="32"/>
        </w:rPr>
        <w:t>申请人应</w:t>
      </w:r>
      <w:r>
        <w:rPr>
          <w:rFonts w:eastAsia="仿宋_GB2312"/>
          <w:bCs/>
          <w:color w:val="000000"/>
          <w:sz w:val="32"/>
          <w:szCs w:val="32"/>
        </w:rPr>
        <w:t>明确与产品联合使用实现预期用途的其他产品的详细信息。</w:t>
      </w:r>
    </w:p>
    <w:p w14:paraId="1C5593D7">
      <w:pPr>
        <w:spacing w:line="520" w:lineRule="exact"/>
        <w:ind w:firstLine="640"/>
        <w:rPr>
          <w:rFonts w:eastAsia="仿宋_GB2312"/>
          <w:bCs/>
          <w:color w:val="000000"/>
          <w:sz w:val="32"/>
          <w:szCs w:val="32"/>
        </w:rPr>
      </w:pPr>
      <w:r>
        <w:rPr>
          <w:rFonts w:eastAsia="仿宋_GB2312"/>
          <w:bCs/>
          <w:color w:val="000000"/>
          <w:sz w:val="32"/>
          <w:szCs w:val="32"/>
        </w:rPr>
        <w:t>对于已获得批准的部件或配合使用的附件，</w:t>
      </w:r>
      <w:r>
        <w:rPr>
          <w:rFonts w:hint="eastAsia" w:eastAsia="仿宋_GB2312"/>
          <w:bCs/>
          <w:color w:val="000000"/>
          <w:sz w:val="32"/>
          <w:szCs w:val="32"/>
        </w:rPr>
        <w:t>申请人</w:t>
      </w:r>
      <w:r>
        <w:rPr>
          <w:rFonts w:eastAsia="仿宋_GB2312"/>
          <w:bCs/>
          <w:color w:val="000000"/>
          <w:sz w:val="32"/>
          <w:szCs w:val="32"/>
        </w:rPr>
        <w:t>应提供注册证编号和国家药监局官方网站公布的注册证信息</w:t>
      </w:r>
      <w:r>
        <w:rPr>
          <w:rFonts w:hint="eastAsia" w:eastAsia="仿宋_GB2312"/>
          <w:bCs/>
          <w:color w:val="000000"/>
          <w:sz w:val="32"/>
          <w:szCs w:val="32"/>
        </w:rPr>
        <w:t>，例如，</w:t>
      </w:r>
      <w:r>
        <w:rPr>
          <w:rFonts w:eastAsia="仿宋_GB2312"/>
          <w:sz w:val="32"/>
          <w:szCs w:val="32"/>
        </w:rPr>
        <w:t>组合血糖仪</w:t>
      </w:r>
      <w:r>
        <w:rPr>
          <w:rFonts w:hint="eastAsia" w:eastAsia="仿宋_GB2312"/>
          <w:sz w:val="32"/>
          <w:szCs w:val="32"/>
        </w:rPr>
        <w:t>的有创血糖检测模块（含试纸）</w:t>
      </w:r>
      <w:r>
        <w:rPr>
          <w:rFonts w:eastAsia="仿宋_GB2312"/>
          <w:bCs/>
          <w:color w:val="000000"/>
          <w:sz w:val="32"/>
          <w:szCs w:val="32"/>
        </w:rPr>
        <w:t>。</w:t>
      </w:r>
    </w:p>
    <w:p w14:paraId="1A156611">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51" w:name="_Toc112680024"/>
      <w:r>
        <w:rPr>
          <w:rFonts w:ascii="楷体_GB2312" w:eastAsia="楷体_GB2312"/>
          <w:bCs/>
          <w:color w:val="000000"/>
          <w:sz w:val="32"/>
          <w:szCs w:val="32"/>
        </w:rPr>
        <w:t>非临床资料</w:t>
      </w:r>
      <w:bookmarkEnd w:id="51"/>
    </w:p>
    <w:p w14:paraId="676CB53A">
      <w:pPr>
        <w:numPr>
          <w:ilvl w:val="0"/>
          <w:numId w:val="7"/>
        </w:numPr>
        <w:spacing w:line="520" w:lineRule="exact"/>
        <w:ind w:left="0" w:firstLine="640" w:firstLineChars="200"/>
        <w:outlineLvl w:val="2"/>
        <w:rPr>
          <w:rFonts w:eastAsia="仿宋_GB2312"/>
          <w:color w:val="000000"/>
          <w:sz w:val="32"/>
          <w:szCs w:val="32"/>
        </w:rPr>
      </w:pPr>
      <w:bookmarkStart w:id="52" w:name="_Toc112680025"/>
      <w:bookmarkStart w:id="53" w:name="_Ref113528485"/>
      <w:r>
        <w:rPr>
          <w:rFonts w:eastAsia="仿宋_GB2312"/>
          <w:color w:val="000000"/>
          <w:sz w:val="32"/>
          <w:szCs w:val="32"/>
        </w:rPr>
        <w:t>产品风险管理资料</w:t>
      </w:r>
      <w:bookmarkEnd w:id="52"/>
      <w:bookmarkEnd w:id="53"/>
    </w:p>
    <w:p w14:paraId="7174B1FD">
      <w:pPr>
        <w:spacing w:line="520" w:lineRule="exact"/>
        <w:ind w:firstLine="640" w:firstLineChars="200"/>
        <w:rPr>
          <w:rFonts w:eastAsia="仿宋_GB2312"/>
          <w:sz w:val="32"/>
          <w:szCs w:val="32"/>
        </w:rPr>
      </w:pPr>
      <w:r>
        <w:rPr>
          <w:rFonts w:eastAsia="仿宋_GB2312"/>
          <w:sz w:val="32"/>
          <w:szCs w:val="32"/>
        </w:rPr>
        <w:t>申请人应提供产品风险管理资料，见</w:t>
      </w:r>
      <w:r>
        <w:rPr>
          <w:rFonts w:eastAsia="仿宋_GB2312"/>
          <w:sz w:val="32"/>
          <w:szCs w:val="32"/>
        </w:rPr>
        <w:fldChar w:fldCharType="begin"/>
      </w:r>
      <w:r>
        <w:rPr>
          <w:rFonts w:eastAsia="仿宋_GB2312"/>
          <w:sz w:val="32"/>
          <w:szCs w:val="32"/>
        </w:rPr>
        <w:instrText xml:space="preserve"> REF _Ref443935308 \h  \* MERGEFORMAT </w:instrText>
      </w:r>
      <w:r>
        <w:rPr>
          <w:rFonts w:eastAsia="仿宋_GB2312"/>
          <w:sz w:val="32"/>
          <w:szCs w:val="32"/>
        </w:rPr>
        <w:fldChar w:fldCharType="separate"/>
      </w:r>
      <w:r>
        <w:rPr>
          <w:rFonts w:eastAsia="仿宋_GB2312"/>
          <w:sz w:val="32"/>
          <w:szCs w:val="32"/>
        </w:rPr>
        <w:t>附录</w:t>
      </w:r>
      <w:r>
        <w:rPr>
          <w:rFonts w:eastAsia="仿宋_GB2312"/>
          <w:sz w:val="32"/>
          <w:szCs w:val="32"/>
        </w:rPr>
        <w:fldChar w:fldCharType="begin"/>
      </w:r>
      <w:r>
        <w:rPr>
          <w:rFonts w:eastAsia="仿宋_GB2312"/>
          <w:sz w:val="32"/>
          <w:szCs w:val="32"/>
        </w:rPr>
        <w:instrText xml:space="preserve"> XE "1" </w:instrText>
      </w:r>
      <w:r>
        <w:rPr>
          <w:rFonts w:eastAsia="仿宋_GB2312"/>
          <w:sz w:val="32"/>
          <w:szCs w:val="32"/>
        </w:rPr>
        <w:fldChar w:fldCharType="end"/>
      </w:r>
      <w:r>
        <w:rPr>
          <w:rFonts w:eastAsia="仿宋_GB2312"/>
          <w:sz w:val="32"/>
          <w:szCs w:val="32"/>
        </w:rPr>
        <w:t>1</w:t>
      </w:r>
      <w:r>
        <w:rPr>
          <w:rFonts w:eastAsia="仿宋_GB2312"/>
          <w:sz w:val="32"/>
          <w:szCs w:val="32"/>
        </w:rPr>
        <w:fldChar w:fldCharType="end"/>
      </w:r>
      <w:r>
        <w:rPr>
          <w:rFonts w:eastAsia="仿宋_GB2312"/>
          <w:sz w:val="32"/>
          <w:szCs w:val="32"/>
        </w:rPr>
        <w:t>。</w:t>
      </w:r>
    </w:p>
    <w:p w14:paraId="3B944302">
      <w:pPr>
        <w:spacing w:line="520" w:lineRule="exact"/>
        <w:ind w:firstLine="640" w:firstLineChars="200"/>
        <w:rPr>
          <w:rFonts w:ascii="仿宋_GB2312" w:eastAsia="仿宋_GB2312"/>
          <w:sz w:val="32"/>
          <w:szCs w:val="32"/>
        </w:rPr>
      </w:pPr>
      <w:r>
        <w:rPr>
          <w:rFonts w:hint="eastAsia" w:ascii="仿宋_GB2312" w:eastAsia="仿宋_GB2312"/>
          <w:sz w:val="32"/>
          <w:szCs w:val="32"/>
        </w:rPr>
        <w:t>考虑到产品预期使用的地点（包括但不限于医疗机构、特种交通工具、户外/户内公共场所、家庭等）和环境条件的相关风险〔包括但不限于热能（温度）、绝对湿度和相对湿度、海拔、</w:t>
      </w:r>
      <w:r>
        <w:rPr>
          <w:rFonts w:eastAsia="仿宋_GB2312"/>
          <w:bCs/>
          <w:color w:val="000000"/>
          <w:sz w:val="32"/>
          <w:szCs w:val="32"/>
        </w:rPr>
        <w:t>压力、移动、振动、</w:t>
      </w:r>
      <w:r>
        <w:rPr>
          <w:rFonts w:hint="eastAsia" w:ascii="仿宋_GB2312" w:eastAsia="仿宋_GB2312"/>
          <w:sz w:val="32"/>
          <w:szCs w:val="32"/>
        </w:rPr>
        <w:t>电磁环境、辐射环境等〕，申请人应在风险分析和管理过程中估计、评价并控制环境因素可能引起的相关风险，同时制造商应说明提出风险控制措施的验证确认资料（含客观证据），验证和确认该产品在预期使用环境中的安全性、临床功能和性能。</w:t>
      </w:r>
    </w:p>
    <w:p w14:paraId="2866DE6B">
      <w:pPr>
        <w:numPr>
          <w:ilvl w:val="0"/>
          <w:numId w:val="7"/>
        </w:numPr>
        <w:spacing w:line="520" w:lineRule="exact"/>
        <w:ind w:left="0" w:firstLine="640" w:firstLineChars="200"/>
        <w:outlineLvl w:val="2"/>
        <w:rPr>
          <w:rFonts w:eastAsia="仿宋_GB2312"/>
          <w:color w:val="000000"/>
          <w:sz w:val="32"/>
          <w:szCs w:val="32"/>
        </w:rPr>
      </w:pPr>
      <w:bookmarkStart w:id="54" w:name="_Toc112680026"/>
      <w:r>
        <w:rPr>
          <w:rFonts w:eastAsia="仿宋_GB2312"/>
          <w:color w:val="000000"/>
          <w:sz w:val="32"/>
          <w:szCs w:val="32"/>
        </w:rPr>
        <w:t>医疗器械安全和性能基本原则清单</w:t>
      </w:r>
      <w:bookmarkEnd w:id="54"/>
    </w:p>
    <w:p w14:paraId="4EC52D00">
      <w:pPr>
        <w:spacing w:line="520" w:lineRule="exact"/>
        <w:ind w:firstLine="640" w:firstLineChars="200"/>
        <w:rPr>
          <w:rFonts w:ascii="仿宋_GB2312" w:eastAsia="仿宋_GB2312"/>
          <w:sz w:val="32"/>
          <w:szCs w:val="32"/>
        </w:rPr>
      </w:pPr>
      <w:r>
        <w:rPr>
          <w:rFonts w:hint="eastAsia" w:ascii="仿宋_GB2312" w:eastAsia="仿宋_GB2312"/>
          <w:sz w:val="32"/>
          <w:szCs w:val="32"/>
        </w:rPr>
        <w:t>按照《医疗器械注册申报资料要求和批准证明文件格式》</w:t>
      </w:r>
      <w:r>
        <w:rPr>
          <w:rFonts w:eastAsia="仿宋_GB2312"/>
          <w:sz w:val="32"/>
          <w:szCs w:val="32"/>
        </w:rPr>
        <w:t>附件9</w:t>
      </w:r>
      <w:r>
        <w:rPr>
          <w:rFonts w:hint="eastAsia" w:ascii="仿宋_GB2312" w:eastAsia="仿宋_GB2312"/>
          <w:sz w:val="32"/>
          <w:szCs w:val="32"/>
        </w:rPr>
        <w:t>并参考《医疗器械安全和性能基本原则符合性技术指南》，申请人应提供《医疗器械安全和性能基本原则清单》。申请人应判断该清单</w:t>
      </w:r>
      <w:r>
        <w:rPr>
          <w:rFonts w:ascii="仿宋_GB2312" w:eastAsia="仿宋_GB2312"/>
          <w:sz w:val="32"/>
          <w:szCs w:val="32"/>
        </w:rPr>
        <w:t>各项</w:t>
      </w:r>
      <w:r>
        <w:rPr>
          <w:rFonts w:hint="eastAsia" w:ascii="仿宋_GB2312" w:eastAsia="仿宋_GB2312"/>
          <w:sz w:val="32"/>
          <w:szCs w:val="32"/>
        </w:rPr>
        <w:t>的适用性，</w:t>
      </w:r>
      <w:r>
        <w:rPr>
          <w:rFonts w:ascii="仿宋_GB2312" w:eastAsia="仿宋_GB2312"/>
          <w:sz w:val="32"/>
          <w:szCs w:val="32"/>
        </w:rPr>
        <w:t>说明产品符合适用要求所采用的方法，</w:t>
      </w:r>
      <w:r>
        <w:rPr>
          <w:rFonts w:hint="eastAsia" w:ascii="仿宋_GB2312" w:eastAsia="仿宋_GB2312"/>
          <w:sz w:val="32"/>
          <w:szCs w:val="32"/>
        </w:rPr>
        <w:t>按照确定的方法形成相应的符合性证据，明确</w:t>
      </w:r>
      <w:r>
        <w:rPr>
          <w:rFonts w:ascii="仿宋_GB2312" w:eastAsia="仿宋_GB2312"/>
          <w:sz w:val="32"/>
          <w:szCs w:val="32"/>
        </w:rPr>
        <w:t>证明其符合性的文件。对于</w:t>
      </w:r>
      <w:r>
        <w:rPr>
          <w:rFonts w:hint="eastAsia" w:ascii="仿宋_GB2312" w:eastAsia="仿宋_GB2312"/>
          <w:sz w:val="32"/>
          <w:szCs w:val="32"/>
        </w:rPr>
        <w:t>该清单</w:t>
      </w:r>
      <w:r>
        <w:rPr>
          <w:rFonts w:ascii="仿宋_GB2312" w:eastAsia="仿宋_GB2312"/>
          <w:sz w:val="32"/>
          <w:szCs w:val="32"/>
        </w:rPr>
        <w:t>中不适用的各项要求，</w:t>
      </w:r>
      <w:r>
        <w:rPr>
          <w:rFonts w:hint="eastAsia" w:ascii="仿宋_GB2312" w:eastAsia="仿宋_GB2312"/>
          <w:sz w:val="32"/>
          <w:szCs w:val="32"/>
        </w:rPr>
        <w:t>申请人</w:t>
      </w:r>
      <w:r>
        <w:rPr>
          <w:rFonts w:ascii="仿宋_GB2312" w:eastAsia="仿宋_GB2312"/>
          <w:sz w:val="32"/>
          <w:szCs w:val="32"/>
        </w:rPr>
        <w:t>应当说明理由。</w:t>
      </w:r>
    </w:p>
    <w:p w14:paraId="025F0411">
      <w:pPr>
        <w:spacing w:line="520" w:lineRule="exact"/>
        <w:ind w:firstLine="640"/>
        <w:rPr>
          <w:rFonts w:ascii="仿宋_GB2312" w:eastAsia="仿宋_GB2312"/>
          <w:sz w:val="32"/>
          <w:szCs w:val="32"/>
        </w:rPr>
      </w:pPr>
      <w:r>
        <w:rPr>
          <w:rFonts w:hint="eastAsia" w:ascii="仿宋_GB2312" w:eastAsia="仿宋_GB2312"/>
          <w:sz w:val="32"/>
          <w:szCs w:val="32"/>
        </w:rPr>
        <w:t>申请人应着重明确下述项目的适用性，说明产品符合适用要求所采用的方法，提供证明其符合性的文件：</w:t>
      </w:r>
    </w:p>
    <w:p w14:paraId="122BA498">
      <w:pPr>
        <w:numPr>
          <w:ilvl w:val="0"/>
          <w:numId w:val="8"/>
        </w:numPr>
        <w:spacing w:line="520" w:lineRule="exact"/>
        <w:ind w:left="0" w:firstLine="640" w:firstLineChars="200"/>
        <w:rPr>
          <w:rFonts w:eastAsia="仿宋_GB2312"/>
          <w:sz w:val="32"/>
          <w:szCs w:val="32"/>
        </w:rPr>
      </w:pPr>
      <w:r>
        <w:rPr>
          <w:rFonts w:eastAsia="仿宋_GB2312"/>
          <w:sz w:val="32"/>
          <w:szCs w:val="32"/>
        </w:rPr>
        <w:t>A5环境和使用条件</w:t>
      </w:r>
      <w:r>
        <w:rPr>
          <w:rFonts w:hint="eastAsia" w:eastAsia="仿宋_GB2312"/>
          <w:sz w:val="32"/>
          <w:szCs w:val="32"/>
        </w:rPr>
        <w:t>，例如，</w:t>
      </w:r>
      <w:r>
        <w:rPr>
          <w:rFonts w:eastAsia="仿宋_GB2312"/>
          <w:sz w:val="32"/>
          <w:szCs w:val="32"/>
        </w:rPr>
        <w:t>A5.1</w:t>
      </w:r>
      <w:r>
        <w:rPr>
          <w:rFonts w:hint="eastAsia" w:eastAsia="仿宋_GB2312"/>
          <w:sz w:val="32"/>
          <w:szCs w:val="32"/>
        </w:rPr>
        <w:t>、</w:t>
      </w:r>
      <w:r>
        <w:rPr>
          <w:rFonts w:eastAsia="仿宋_GB2312"/>
          <w:sz w:val="32"/>
          <w:szCs w:val="32"/>
        </w:rPr>
        <w:t>A5.2</w:t>
      </w:r>
      <w:r>
        <w:rPr>
          <w:rFonts w:hint="eastAsia" w:eastAsia="仿宋_GB2312"/>
          <w:sz w:val="32"/>
          <w:szCs w:val="32"/>
        </w:rPr>
        <w:t>、</w:t>
      </w:r>
      <w:r>
        <w:rPr>
          <w:rFonts w:eastAsia="仿宋_GB2312"/>
          <w:sz w:val="32"/>
          <w:szCs w:val="32"/>
        </w:rPr>
        <w:t>A5.4</w:t>
      </w:r>
      <w:r>
        <w:rPr>
          <w:rFonts w:hint="eastAsia" w:eastAsia="仿宋_GB2312"/>
          <w:sz w:val="32"/>
          <w:szCs w:val="32"/>
        </w:rPr>
        <w:t>、</w:t>
      </w:r>
      <w:r>
        <w:rPr>
          <w:rFonts w:eastAsia="仿宋_GB2312"/>
          <w:sz w:val="32"/>
          <w:szCs w:val="32"/>
        </w:rPr>
        <w:t>A5.5</w:t>
      </w:r>
      <w:r>
        <w:rPr>
          <w:rFonts w:hint="eastAsia" w:eastAsia="仿宋_GB2312"/>
          <w:sz w:val="32"/>
          <w:szCs w:val="32"/>
        </w:rPr>
        <w:t>、</w:t>
      </w:r>
      <w:r>
        <w:rPr>
          <w:rFonts w:eastAsia="仿宋_GB2312"/>
          <w:sz w:val="32"/>
          <w:szCs w:val="32"/>
        </w:rPr>
        <w:t>A5.6</w:t>
      </w:r>
      <w:r>
        <w:rPr>
          <w:rFonts w:hint="eastAsia" w:eastAsia="仿宋_GB2312"/>
          <w:sz w:val="32"/>
          <w:szCs w:val="32"/>
        </w:rPr>
        <w:t>、</w:t>
      </w:r>
      <w:r>
        <w:rPr>
          <w:rFonts w:eastAsia="仿宋_GB2312"/>
          <w:sz w:val="32"/>
          <w:szCs w:val="32"/>
        </w:rPr>
        <w:t>A5.7</w:t>
      </w:r>
      <w:r>
        <w:rPr>
          <w:rFonts w:hint="eastAsia" w:eastAsia="仿宋_GB2312"/>
          <w:sz w:val="32"/>
          <w:szCs w:val="32"/>
        </w:rPr>
        <w:t>、</w:t>
      </w:r>
      <w:r>
        <w:rPr>
          <w:rFonts w:eastAsia="仿宋_GB2312"/>
          <w:sz w:val="32"/>
          <w:szCs w:val="32"/>
        </w:rPr>
        <w:t>A5.8</w:t>
      </w:r>
      <w:r>
        <w:rPr>
          <w:rFonts w:hint="eastAsia" w:eastAsia="仿宋_GB2312"/>
          <w:sz w:val="32"/>
          <w:szCs w:val="32"/>
        </w:rPr>
        <w:t>等</w:t>
      </w:r>
      <w:r>
        <w:rPr>
          <w:rFonts w:eastAsia="仿宋_GB2312"/>
          <w:sz w:val="32"/>
          <w:szCs w:val="32"/>
        </w:rPr>
        <w:t>项</w:t>
      </w:r>
      <w:r>
        <w:rPr>
          <w:rFonts w:hint="eastAsia" w:eastAsia="仿宋_GB2312"/>
          <w:sz w:val="32"/>
          <w:szCs w:val="32"/>
        </w:rPr>
        <w:t>；</w:t>
      </w:r>
    </w:p>
    <w:p w14:paraId="2F561957">
      <w:pPr>
        <w:numPr>
          <w:ilvl w:val="0"/>
          <w:numId w:val="8"/>
        </w:numPr>
        <w:spacing w:line="520" w:lineRule="exact"/>
        <w:ind w:left="0" w:firstLine="640" w:firstLineChars="200"/>
        <w:rPr>
          <w:rFonts w:eastAsia="仿宋_GB2312"/>
          <w:sz w:val="32"/>
          <w:szCs w:val="32"/>
        </w:rPr>
      </w:pPr>
      <w:r>
        <w:rPr>
          <w:rFonts w:eastAsia="仿宋_GB2312"/>
          <w:sz w:val="32"/>
          <w:szCs w:val="32"/>
        </w:rPr>
        <w:t>A6对电气、机械和热风险的防护</w:t>
      </w:r>
      <w:r>
        <w:rPr>
          <w:rFonts w:hint="eastAsia" w:eastAsia="仿宋_GB2312"/>
          <w:sz w:val="32"/>
          <w:szCs w:val="32"/>
        </w:rPr>
        <w:t>，例如，</w:t>
      </w:r>
      <w:r>
        <w:rPr>
          <w:rFonts w:eastAsia="仿宋_GB2312"/>
          <w:sz w:val="32"/>
          <w:szCs w:val="32"/>
        </w:rPr>
        <w:t>A6.1</w:t>
      </w:r>
      <w:r>
        <w:rPr>
          <w:rFonts w:hint="eastAsia" w:eastAsia="仿宋_GB2312"/>
          <w:sz w:val="32"/>
          <w:szCs w:val="32"/>
        </w:rPr>
        <w:t>、</w:t>
      </w:r>
      <w:r>
        <w:rPr>
          <w:rFonts w:eastAsia="仿宋_GB2312"/>
          <w:sz w:val="32"/>
          <w:szCs w:val="32"/>
        </w:rPr>
        <w:t>A6.4</w:t>
      </w:r>
      <w:r>
        <w:rPr>
          <w:rFonts w:hint="eastAsia" w:eastAsia="仿宋_GB2312"/>
          <w:sz w:val="32"/>
          <w:szCs w:val="32"/>
        </w:rPr>
        <w:t>、</w:t>
      </w:r>
      <w:r>
        <w:rPr>
          <w:rFonts w:eastAsia="仿宋_GB2312"/>
          <w:sz w:val="32"/>
          <w:szCs w:val="32"/>
        </w:rPr>
        <w:t>A6.5</w:t>
      </w:r>
      <w:r>
        <w:rPr>
          <w:rFonts w:hint="eastAsia" w:eastAsia="仿宋_GB2312"/>
          <w:sz w:val="32"/>
          <w:szCs w:val="32"/>
        </w:rPr>
        <w:t>等</w:t>
      </w:r>
      <w:r>
        <w:rPr>
          <w:rFonts w:eastAsia="仿宋_GB2312"/>
          <w:sz w:val="32"/>
          <w:szCs w:val="32"/>
        </w:rPr>
        <w:t>项；</w:t>
      </w:r>
    </w:p>
    <w:p w14:paraId="60BA38BD">
      <w:pPr>
        <w:numPr>
          <w:ilvl w:val="0"/>
          <w:numId w:val="8"/>
        </w:numPr>
        <w:spacing w:line="520" w:lineRule="exact"/>
        <w:ind w:left="0" w:firstLine="640" w:firstLineChars="200"/>
        <w:rPr>
          <w:rFonts w:eastAsia="仿宋_GB2312"/>
          <w:sz w:val="32"/>
          <w:szCs w:val="32"/>
        </w:rPr>
      </w:pPr>
      <w:r>
        <w:rPr>
          <w:rFonts w:eastAsia="仿宋_GB2312"/>
          <w:sz w:val="32"/>
          <w:szCs w:val="32"/>
        </w:rPr>
        <w:t>A7有源医疗器械及与其连接的医疗器械</w:t>
      </w:r>
      <w:r>
        <w:rPr>
          <w:rFonts w:hint="eastAsia" w:eastAsia="仿宋_GB2312"/>
          <w:sz w:val="32"/>
          <w:szCs w:val="32"/>
        </w:rPr>
        <w:t>，例如，</w:t>
      </w:r>
      <w:r>
        <w:rPr>
          <w:rFonts w:eastAsia="仿宋_GB2312"/>
          <w:sz w:val="32"/>
          <w:szCs w:val="32"/>
        </w:rPr>
        <w:t>A7.1</w:t>
      </w:r>
      <w:r>
        <w:rPr>
          <w:rFonts w:hint="eastAsia" w:eastAsia="仿宋_GB2312"/>
          <w:sz w:val="32"/>
          <w:szCs w:val="32"/>
        </w:rPr>
        <w:t>、</w:t>
      </w:r>
      <w:r>
        <w:rPr>
          <w:rFonts w:eastAsia="仿宋_GB2312"/>
          <w:sz w:val="32"/>
          <w:szCs w:val="32"/>
        </w:rPr>
        <w:t>A7.5</w:t>
      </w:r>
      <w:r>
        <w:rPr>
          <w:rFonts w:hint="eastAsia" w:eastAsia="仿宋_GB2312"/>
          <w:sz w:val="32"/>
          <w:szCs w:val="32"/>
        </w:rPr>
        <w:t>、</w:t>
      </w:r>
      <w:r>
        <w:rPr>
          <w:rFonts w:eastAsia="仿宋_GB2312"/>
          <w:sz w:val="32"/>
          <w:szCs w:val="32"/>
        </w:rPr>
        <w:t>A7.6</w:t>
      </w:r>
      <w:r>
        <w:rPr>
          <w:rFonts w:hint="eastAsia" w:eastAsia="仿宋_GB2312"/>
          <w:sz w:val="32"/>
          <w:szCs w:val="32"/>
        </w:rPr>
        <w:t>、</w:t>
      </w:r>
      <w:r>
        <w:rPr>
          <w:rFonts w:eastAsia="仿宋_GB2312"/>
          <w:sz w:val="32"/>
          <w:szCs w:val="32"/>
        </w:rPr>
        <w:t>A7.7</w:t>
      </w:r>
      <w:r>
        <w:rPr>
          <w:rFonts w:hint="eastAsia" w:eastAsia="仿宋_GB2312"/>
          <w:sz w:val="32"/>
          <w:szCs w:val="32"/>
        </w:rPr>
        <w:t>等项；</w:t>
      </w:r>
    </w:p>
    <w:p w14:paraId="1516D8FA">
      <w:pPr>
        <w:numPr>
          <w:ilvl w:val="0"/>
          <w:numId w:val="8"/>
        </w:numPr>
        <w:spacing w:line="520" w:lineRule="exact"/>
        <w:ind w:left="0" w:firstLine="640" w:firstLineChars="200"/>
        <w:rPr>
          <w:rFonts w:eastAsia="仿宋_GB2312"/>
          <w:sz w:val="32"/>
          <w:szCs w:val="32"/>
        </w:rPr>
      </w:pPr>
      <w:r>
        <w:rPr>
          <w:rFonts w:hint="eastAsia" w:eastAsia="仿宋_GB2312"/>
          <w:sz w:val="32"/>
          <w:szCs w:val="32"/>
        </w:rPr>
        <w:t>A</w:t>
      </w:r>
      <w:r>
        <w:rPr>
          <w:rFonts w:eastAsia="仿宋_GB2312"/>
          <w:sz w:val="32"/>
          <w:szCs w:val="32"/>
        </w:rPr>
        <w:t>8含有软件的医疗器械以及独立软件；</w:t>
      </w:r>
    </w:p>
    <w:p w14:paraId="288EB568">
      <w:pPr>
        <w:numPr>
          <w:ilvl w:val="0"/>
          <w:numId w:val="8"/>
        </w:numPr>
        <w:spacing w:line="520" w:lineRule="exact"/>
        <w:ind w:left="0" w:firstLine="640" w:firstLineChars="200"/>
        <w:rPr>
          <w:rFonts w:eastAsia="仿宋_GB2312"/>
          <w:sz w:val="32"/>
          <w:szCs w:val="32"/>
        </w:rPr>
      </w:pPr>
      <w:r>
        <w:rPr>
          <w:rFonts w:hint="eastAsia" w:eastAsia="仿宋_GB2312"/>
          <w:sz w:val="32"/>
          <w:szCs w:val="32"/>
        </w:rPr>
        <w:t>A</w:t>
      </w:r>
      <w:r>
        <w:rPr>
          <w:rFonts w:eastAsia="仿宋_GB2312"/>
          <w:sz w:val="32"/>
          <w:szCs w:val="32"/>
        </w:rPr>
        <w:t>9具有诊断或测量功能的医疗器械；</w:t>
      </w:r>
    </w:p>
    <w:p w14:paraId="667B90AA">
      <w:pPr>
        <w:numPr>
          <w:ilvl w:val="0"/>
          <w:numId w:val="8"/>
        </w:numPr>
        <w:spacing w:line="520" w:lineRule="exact"/>
        <w:ind w:left="0" w:firstLine="640" w:firstLineChars="200"/>
        <w:rPr>
          <w:rFonts w:eastAsia="仿宋_GB2312"/>
          <w:sz w:val="32"/>
          <w:szCs w:val="32"/>
        </w:rPr>
      </w:pPr>
      <w:r>
        <w:rPr>
          <w:rFonts w:hint="eastAsia" w:eastAsia="仿宋_GB2312"/>
          <w:sz w:val="32"/>
          <w:szCs w:val="32"/>
        </w:rPr>
        <w:t>A</w:t>
      </w:r>
      <w:r>
        <w:rPr>
          <w:rFonts w:eastAsia="仿宋_GB2312"/>
          <w:sz w:val="32"/>
          <w:szCs w:val="32"/>
        </w:rPr>
        <w:t>12对非专业用户使用风险的防护。</w:t>
      </w:r>
    </w:p>
    <w:p w14:paraId="2D69AACB">
      <w:pPr>
        <w:spacing w:line="520" w:lineRule="exact"/>
        <w:ind w:firstLine="640" w:firstLineChars="200"/>
        <w:rPr>
          <w:rFonts w:ascii="仿宋_GB2312" w:eastAsia="仿宋_GB2312"/>
          <w:sz w:val="32"/>
          <w:szCs w:val="32"/>
        </w:rPr>
      </w:pPr>
      <w:r>
        <w:rPr>
          <w:rFonts w:hint="eastAsia" w:ascii="仿宋_GB2312" w:eastAsia="仿宋_GB2312"/>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pPr>
        <w:numPr>
          <w:ilvl w:val="0"/>
          <w:numId w:val="7"/>
        </w:numPr>
        <w:spacing w:line="520" w:lineRule="exact"/>
        <w:ind w:left="0" w:firstLine="640" w:firstLineChars="200"/>
        <w:outlineLvl w:val="2"/>
        <w:rPr>
          <w:rFonts w:eastAsia="仿宋_GB2312"/>
          <w:color w:val="000000"/>
          <w:sz w:val="32"/>
          <w:szCs w:val="32"/>
        </w:rPr>
      </w:pPr>
      <w:bookmarkStart w:id="55" w:name="_Toc112680027"/>
      <w:r>
        <w:rPr>
          <w:rFonts w:eastAsia="仿宋_GB2312"/>
          <w:color w:val="000000"/>
          <w:sz w:val="32"/>
          <w:szCs w:val="32"/>
        </w:rPr>
        <w:t>产品技术要求及检验报告</w:t>
      </w:r>
      <w:bookmarkEnd w:id="55"/>
    </w:p>
    <w:p w14:paraId="568825B7">
      <w:pPr>
        <w:numPr>
          <w:ilvl w:val="1"/>
          <w:numId w:val="7"/>
        </w:numPr>
        <w:spacing w:line="520" w:lineRule="exact"/>
        <w:ind w:left="0" w:firstLine="640" w:firstLineChars="200"/>
        <w:outlineLvl w:val="3"/>
        <w:rPr>
          <w:rFonts w:eastAsia="仿宋_GB2312"/>
          <w:color w:val="000000"/>
          <w:sz w:val="32"/>
          <w:szCs w:val="32"/>
        </w:rPr>
      </w:pPr>
      <w:bookmarkStart w:id="56" w:name="_Toc112680028"/>
      <w:r>
        <w:rPr>
          <w:rFonts w:eastAsia="仿宋_GB2312"/>
          <w:color w:val="000000"/>
          <w:sz w:val="32"/>
          <w:szCs w:val="32"/>
        </w:rPr>
        <w:t>申报产品适用标准情况</w:t>
      </w:r>
      <w:bookmarkEnd w:id="56"/>
    </w:p>
    <w:p w14:paraId="7639021D">
      <w:pPr>
        <w:spacing w:line="520" w:lineRule="exact"/>
        <w:ind w:firstLine="640" w:firstLineChars="20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产品宜参考的现行有效标准见</w:t>
      </w:r>
      <w:r>
        <w:rPr>
          <w:rFonts w:eastAsia="仿宋_GB2312"/>
          <w:color w:val="000000"/>
          <w:sz w:val="32"/>
          <w:szCs w:val="32"/>
        </w:rPr>
        <w:fldChar w:fldCharType="begin"/>
      </w:r>
      <w:r>
        <w:rPr>
          <w:rFonts w:eastAsia="仿宋_GB2312"/>
          <w:color w:val="000000"/>
          <w:sz w:val="32"/>
          <w:szCs w:val="32"/>
        </w:rPr>
        <w:instrText xml:space="preserve"> REF _Ref114642423 \h  \* MERGEFORMAT </w:instrText>
      </w:r>
      <w:r>
        <w:rPr>
          <w:rFonts w:eastAsia="仿宋_GB2312"/>
          <w:color w:val="000000"/>
          <w:sz w:val="32"/>
          <w:szCs w:val="32"/>
        </w:rPr>
        <w:fldChar w:fldCharType="separate"/>
      </w:r>
      <w:r>
        <w:rPr>
          <w:rFonts w:eastAsia="仿宋_GB2312"/>
          <w:sz w:val="32"/>
          <w:szCs w:val="32"/>
        </w:rPr>
        <w:t>附录2</w:t>
      </w:r>
      <w:r>
        <w:rPr>
          <w:rFonts w:eastAsia="仿宋_GB2312"/>
          <w:color w:val="000000"/>
          <w:sz w:val="32"/>
          <w:szCs w:val="32"/>
        </w:rPr>
        <w:fldChar w:fldCharType="end"/>
      </w:r>
      <w:r>
        <w:rPr>
          <w:rFonts w:hint="eastAsia" w:eastAsia="仿宋_GB2312"/>
          <w:color w:val="000000"/>
          <w:sz w:val="32"/>
          <w:szCs w:val="32"/>
        </w:rPr>
        <w:t>。</w:t>
      </w:r>
    </w:p>
    <w:p w14:paraId="055CB38C">
      <w:pPr>
        <w:numPr>
          <w:ilvl w:val="1"/>
          <w:numId w:val="7"/>
        </w:numPr>
        <w:spacing w:line="520" w:lineRule="exact"/>
        <w:ind w:left="0" w:firstLine="640" w:firstLineChars="200"/>
        <w:outlineLvl w:val="3"/>
        <w:rPr>
          <w:rFonts w:eastAsia="仿宋_GB2312"/>
          <w:color w:val="000000"/>
          <w:sz w:val="32"/>
          <w:szCs w:val="32"/>
        </w:rPr>
      </w:pPr>
      <w:bookmarkStart w:id="57" w:name="_Toc112680029"/>
      <w:r>
        <w:rPr>
          <w:rFonts w:eastAsia="仿宋_GB2312"/>
          <w:color w:val="000000"/>
          <w:sz w:val="32"/>
          <w:szCs w:val="32"/>
        </w:rPr>
        <w:t>产品技术要求</w:t>
      </w:r>
      <w:bookmarkEnd w:id="57"/>
    </w:p>
    <w:p w14:paraId="774BE6EF">
      <w:pPr>
        <w:spacing w:line="520" w:lineRule="exact"/>
        <w:ind w:firstLine="640"/>
        <w:rPr>
          <w:rFonts w:eastAsia="仿宋_GB2312"/>
          <w:color w:val="000000"/>
          <w:sz w:val="32"/>
          <w:szCs w:val="32"/>
        </w:rPr>
      </w:pPr>
      <w:r>
        <w:rPr>
          <w:rFonts w:eastAsia="仿宋_GB2312"/>
          <w:color w:val="000000"/>
          <w:sz w:val="32"/>
          <w:szCs w:val="32"/>
        </w:rPr>
        <w:t>产品技术要求应参考《医疗器械产品技术要求编写指导原则》</w:t>
      </w:r>
      <w:r>
        <w:rPr>
          <w:rFonts w:hint="eastAsia" w:eastAsia="仿宋_GB2312"/>
          <w:color w:val="000000"/>
          <w:sz w:val="32"/>
          <w:szCs w:val="32"/>
        </w:rPr>
        <w:t>编制</w:t>
      </w:r>
      <w:r>
        <w:rPr>
          <w:rFonts w:eastAsia="仿宋_GB2312"/>
          <w:color w:val="000000"/>
          <w:sz w:val="32"/>
          <w:szCs w:val="32"/>
        </w:rPr>
        <w:t>，见</w:t>
      </w:r>
      <w:r>
        <w:rPr>
          <w:rFonts w:eastAsia="仿宋_GB2312"/>
          <w:color w:val="000000"/>
          <w:sz w:val="32"/>
          <w:szCs w:val="32"/>
        </w:rPr>
        <w:fldChar w:fldCharType="begin"/>
      </w:r>
      <w:r>
        <w:rPr>
          <w:rFonts w:eastAsia="仿宋_GB2312"/>
          <w:color w:val="000000"/>
          <w:sz w:val="32"/>
          <w:szCs w:val="32"/>
        </w:rPr>
        <w:instrText xml:space="preserve"> REF _Ref114642765 \h  \* MERGEFORMAT </w:instrText>
      </w:r>
      <w:r>
        <w:rPr>
          <w:rFonts w:eastAsia="仿宋_GB2312"/>
          <w:color w:val="000000"/>
          <w:sz w:val="32"/>
          <w:szCs w:val="32"/>
        </w:rPr>
        <w:fldChar w:fldCharType="separate"/>
      </w:r>
      <w:r>
        <w:rPr>
          <w:rFonts w:eastAsia="仿宋_GB2312"/>
          <w:color w:val="000000"/>
          <w:sz w:val="32"/>
          <w:szCs w:val="32"/>
        </w:rPr>
        <w:t>附录3</w:t>
      </w:r>
      <w:r>
        <w:rPr>
          <w:rFonts w:eastAsia="仿宋_GB2312"/>
          <w:color w:val="000000"/>
          <w:sz w:val="32"/>
          <w:szCs w:val="32"/>
        </w:rPr>
        <w:fldChar w:fldCharType="end"/>
      </w:r>
      <w:r>
        <w:rPr>
          <w:rFonts w:hint="eastAsia" w:eastAsia="仿宋_GB2312"/>
          <w:color w:val="000000"/>
          <w:sz w:val="32"/>
          <w:szCs w:val="32"/>
        </w:rPr>
        <w:t>。</w:t>
      </w:r>
    </w:p>
    <w:p w14:paraId="290276F3">
      <w:pPr>
        <w:numPr>
          <w:ilvl w:val="1"/>
          <w:numId w:val="7"/>
        </w:numPr>
        <w:spacing w:line="520" w:lineRule="exact"/>
        <w:ind w:left="0" w:firstLine="640" w:firstLineChars="200"/>
        <w:outlineLvl w:val="3"/>
        <w:rPr>
          <w:rFonts w:eastAsia="仿宋_GB2312"/>
          <w:color w:val="000000"/>
          <w:sz w:val="32"/>
          <w:szCs w:val="32"/>
        </w:rPr>
      </w:pPr>
      <w:bookmarkStart w:id="58" w:name="_Toc112680030"/>
      <w:r>
        <w:rPr>
          <w:rFonts w:eastAsia="仿宋_GB2312"/>
          <w:color w:val="000000"/>
          <w:sz w:val="32"/>
          <w:szCs w:val="32"/>
        </w:rPr>
        <w:t>产品检验报告</w:t>
      </w:r>
      <w:bookmarkEnd w:id="58"/>
    </w:p>
    <w:p w14:paraId="5E9A1C45">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可提交以下任一形式的检验报告：</w:t>
      </w:r>
    </w:p>
    <w:p w14:paraId="593B74A8">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申请人出具的自检报告。</w:t>
      </w:r>
    </w:p>
    <w:p w14:paraId="58F738F5">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委托有资质的医疗器械检验机构出具的检验报告。</w:t>
      </w:r>
    </w:p>
    <w:p w14:paraId="1F50E65F">
      <w:pPr>
        <w:numPr>
          <w:ilvl w:val="0"/>
          <w:numId w:val="7"/>
        </w:numPr>
        <w:spacing w:line="520" w:lineRule="exact"/>
        <w:ind w:left="0" w:firstLine="640" w:firstLineChars="200"/>
        <w:outlineLvl w:val="2"/>
        <w:rPr>
          <w:rFonts w:eastAsia="仿宋_GB2312"/>
          <w:color w:val="000000"/>
          <w:sz w:val="32"/>
          <w:szCs w:val="32"/>
        </w:rPr>
      </w:pPr>
      <w:bookmarkStart w:id="59" w:name="_Ref113528513"/>
      <w:bookmarkStart w:id="60" w:name="_Toc112680031"/>
      <w:r>
        <w:rPr>
          <w:rFonts w:eastAsia="仿宋_GB2312"/>
          <w:color w:val="000000"/>
          <w:sz w:val="32"/>
          <w:szCs w:val="32"/>
        </w:rPr>
        <w:t>研究资料</w:t>
      </w:r>
      <w:bookmarkEnd w:id="59"/>
      <w:bookmarkEnd w:id="60"/>
    </w:p>
    <w:p w14:paraId="1D963697">
      <w:pPr>
        <w:spacing w:line="520" w:lineRule="exact"/>
        <w:ind w:firstLine="640" w:firstLineChars="20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14:paraId="62573013">
      <w:pPr>
        <w:numPr>
          <w:ilvl w:val="1"/>
          <w:numId w:val="7"/>
        </w:numPr>
        <w:spacing w:line="520" w:lineRule="exact"/>
        <w:ind w:left="0" w:firstLine="640" w:firstLineChars="200"/>
        <w:outlineLvl w:val="3"/>
        <w:rPr>
          <w:rFonts w:eastAsia="仿宋_GB2312"/>
          <w:color w:val="000000"/>
          <w:sz w:val="32"/>
          <w:szCs w:val="32"/>
        </w:rPr>
      </w:pPr>
      <w:bookmarkStart w:id="61" w:name="_Toc112680032"/>
      <w:r>
        <w:rPr>
          <w:rFonts w:hint="eastAsia" w:eastAsia="仿宋_GB2312"/>
          <w:color w:val="000000"/>
          <w:sz w:val="32"/>
          <w:szCs w:val="32"/>
        </w:rPr>
        <w:t>产品</w:t>
      </w:r>
      <w:r>
        <w:rPr>
          <w:rFonts w:eastAsia="仿宋_GB2312"/>
          <w:color w:val="000000"/>
          <w:sz w:val="32"/>
          <w:szCs w:val="32"/>
        </w:rPr>
        <w:t>性能研究</w:t>
      </w:r>
      <w:bookmarkEnd w:id="61"/>
    </w:p>
    <w:p w14:paraId="45DC3121">
      <w:pPr>
        <w:spacing w:line="520" w:lineRule="exact"/>
        <w:ind w:firstLine="640"/>
        <w:rPr>
          <w:rFonts w:eastAsia="仿宋_GB2312"/>
          <w:color w:val="000000"/>
          <w:sz w:val="32"/>
          <w:szCs w:val="32"/>
        </w:rPr>
      </w:pPr>
      <w:r>
        <w:rPr>
          <w:rFonts w:hint="eastAsia" w:eastAsia="仿宋_GB2312"/>
          <w:color w:val="000000"/>
          <w:sz w:val="32"/>
          <w:szCs w:val="32"/>
        </w:rPr>
        <w:t>申请人应提供产品物理和/或机械性能指标的确定依据、设计输入来源以及临床意义，所采用的标准或方法、采用的原因及理论基础。</w:t>
      </w:r>
    </w:p>
    <w:p w14:paraId="5135F8B2">
      <w:pPr>
        <w:spacing w:line="520" w:lineRule="exact"/>
        <w:ind w:firstLine="640" w:firstLineChars="200"/>
        <w:rPr>
          <w:rFonts w:eastAsia="仿宋_GB2312"/>
          <w:sz w:val="32"/>
          <w:szCs w:val="32"/>
        </w:rPr>
      </w:pPr>
      <w:r>
        <w:rPr>
          <w:rFonts w:hint="eastAsia" w:eastAsia="仿宋_GB2312"/>
          <w:sz w:val="32"/>
          <w:szCs w:val="32"/>
        </w:rPr>
        <w:t>申请人应提供无创血糖/葡萄糖检测性能的研究资料。申请人应基于产品的</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_Ref111494533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适用范围和禁忌证</w:t>
      </w:r>
      <w:r>
        <w:rPr>
          <w:rFonts w:eastAsia="仿宋_GB2312"/>
          <w:sz w:val="32"/>
          <w:szCs w:val="32"/>
        </w:rPr>
        <w:fldChar w:fldCharType="end"/>
      </w:r>
      <w:r>
        <w:rPr>
          <w:rFonts w:hint="eastAsia" w:eastAsia="仿宋_GB2312"/>
          <w:sz w:val="32"/>
          <w:szCs w:val="32"/>
        </w:rPr>
        <w:t>，以实验检测系统为参考，针对既定的</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_Ref112669887 \h</w:instrText>
      </w:r>
      <w:r>
        <w:rPr>
          <w:rFonts w:eastAsia="仿宋_GB2312"/>
          <w:sz w:val="32"/>
          <w:szCs w:val="32"/>
        </w:rPr>
        <w:instrText xml:space="preserve">  \* MERGEFORMAT </w:instrText>
      </w:r>
      <w:r>
        <w:rPr>
          <w:rFonts w:eastAsia="仿宋_GB2312"/>
          <w:sz w:val="32"/>
          <w:szCs w:val="32"/>
        </w:rPr>
        <w:fldChar w:fldCharType="separate"/>
      </w:r>
      <w:r>
        <w:rPr>
          <w:rFonts w:hint="eastAsia" w:eastAsia="仿宋_GB2312"/>
          <w:sz w:val="32"/>
          <w:szCs w:val="32"/>
        </w:rPr>
        <w:t>预期用途</w:t>
      </w:r>
      <w:r>
        <w:rPr>
          <w:rFonts w:eastAsia="仿宋_GB2312"/>
          <w:sz w:val="32"/>
          <w:szCs w:val="32"/>
        </w:rPr>
        <w:fldChar w:fldCharType="end"/>
      </w:r>
      <w:r>
        <w:rPr>
          <w:rFonts w:hint="eastAsia" w:eastAsia="仿宋_GB2312"/>
          <w:sz w:val="32"/>
          <w:szCs w:val="32"/>
        </w:rPr>
        <w:t>，验证产品在</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_Ref112669049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预期使用环境</w:t>
      </w:r>
      <w:r>
        <w:rPr>
          <w:rFonts w:eastAsia="仿宋_GB2312"/>
          <w:sz w:val="32"/>
          <w:szCs w:val="32"/>
        </w:rPr>
        <w:fldChar w:fldCharType="end"/>
      </w:r>
      <w:r>
        <w:rPr>
          <w:rFonts w:hint="eastAsia" w:eastAsia="仿宋_GB2312"/>
          <w:sz w:val="32"/>
          <w:szCs w:val="32"/>
        </w:rPr>
        <w:t>中提供</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_Ref112669111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适用人群</w:t>
      </w:r>
      <w:r>
        <w:rPr>
          <w:rFonts w:eastAsia="仿宋_GB2312"/>
          <w:sz w:val="32"/>
          <w:szCs w:val="32"/>
        </w:rPr>
        <w:fldChar w:fldCharType="end"/>
      </w:r>
      <w:r>
        <w:rPr>
          <w:rFonts w:hint="eastAsia" w:eastAsia="仿宋_GB2312"/>
          <w:sz w:val="32"/>
          <w:szCs w:val="32"/>
        </w:rPr>
        <w:t>相关</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_Ref112669671 \h</w:instrText>
      </w:r>
      <w:r>
        <w:rPr>
          <w:rFonts w:eastAsia="仿宋_GB2312"/>
          <w:sz w:val="32"/>
          <w:szCs w:val="32"/>
        </w:rPr>
        <w:instrText xml:space="preserve">  \* MERGEFORMAT </w:instrText>
      </w:r>
      <w:r>
        <w:rPr>
          <w:rFonts w:eastAsia="仿宋_GB2312"/>
          <w:sz w:val="32"/>
          <w:szCs w:val="32"/>
        </w:rPr>
        <w:fldChar w:fldCharType="separate"/>
      </w:r>
      <w:r>
        <w:rPr>
          <w:rFonts w:hint="eastAsia" w:eastAsia="仿宋_GB2312"/>
          <w:sz w:val="32"/>
          <w:szCs w:val="32"/>
        </w:rPr>
        <w:t>检测参数</w:t>
      </w:r>
      <w:r>
        <w:rPr>
          <w:rFonts w:eastAsia="仿宋_GB2312"/>
          <w:sz w:val="32"/>
          <w:szCs w:val="32"/>
        </w:rPr>
        <w:fldChar w:fldCharType="end"/>
      </w:r>
      <w:r>
        <w:rPr>
          <w:rFonts w:hint="eastAsia" w:eastAsia="仿宋_GB2312"/>
          <w:sz w:val="32"/>
          <w:szCs w:val="32"/>
        </w:rPr>
        <w:t>的性能，并提供研究数据的</w:t>
      </w:r>
      <w:r>
        <w:rPr>
          <w:rFonts w:eastAsia="仿宋_GB2312"/>
          <w:sz w:val="32"/>
          <w:szCs w:val="32"/>
        </w:rPr>
        <w:t>平均绝对相对误差值</w:t>
      </w:r>
      <w:r>
        <w:rPr>
          <w:rFonts w:hint="eastAsia" w:eastAsia="仿宋_GB2312"/>
          <w:sz w:val="32"/>
          <w:szCs w:val="32"/>
        </w:rPr>
        <w:t>(</w:t>
      </w:r>
      <w:r>
        <w:rPr>
          <w:rFonts w:eastAsia="仿宋_GB2312"/>
          <w:sz w:val="32"/>
          <w:szCs w:val="32"/>
        </w:rPr>
        <w:t>MARD%)</w:t>
      </w:r>
      <w:r>
        <w:rPr>
          <w:rFonts w:hint="eastAsia" w:eastAsia="仿宋_GB2312"/>
          <w:sz w:val="32"/>
          <w:szCs w:val="32"/>
        </w:rPr>
        <w:t>、共识误差</w:t>
      </w:r>
      <w:r>
        <w:rPr>
          <w:rFonts w:eastAsia="仿宋_GB2312"/>
          <w:sz w:val="32"/>
          <w:szCs w:val="32"/>
        </w:rPr>
        <w:t>栅格分析</w:t>
      </w:r>
      <w:r>
        <w:rPr>
          <w:rFonts w:hint="eastAsia" w:eastAsia="仿宋_GB2312"/>
          <w:sz w:val="32"/>
          <w:szCs w:val="32"/>
        </w:rPr>
        <w:t>、</w:t>
      </w:r>
      <w:r>
        <w:rPr>
          <w:rFonts w:eastAsia="仿宋_GB2312"/>
          <w:sz w:val="32"/>
          <w:szCs w:val="32"/>
        </w:rPr>
        <w:t>Clarke误差栅格分析</w:t>
      </w:r>
      <w:r>
        <w:rPr>
          <w:rFonts w:hint="eastAsia" w:eastAsia="仿宋_GB2312"/>
          <w:sz w:val="32"/>
          <w:szCs w:val="32"/>
        </w:rPr>
        <w:t>、连续误差</w:t>
      </w:r>
      <w:r>
        <w:rPr>
          <w:rFonts w:eastAsia="仿宋_GB2312"/>
          <w:sz w:val="32"/>
          <w:szCs w:val="32"/>
        </w:rPr>
        <w:t>栅格分析</w:t>
      </w:r>
      <w:r>
        <w:rPr>
          <w:rFonts w:hint="eastAsia" w:eastAsia="仿宋_GB2312"/>
          <w:sz w:val="32"/>
          <w:szCs w:val="32"/>
        </w:rPr>
        <w:t>、±20%一致性评价、</w:t>
      </w:r>
      <w:r>
        <w:rPr>
          <w:rFonts w:eastAsia="仿宋_GB2312"/>
          <w:sz w:val="32"/>
          <w:szCs w:val="32"/>
        </w:rPr>
        <w:t>Bland-Altman</w:t>
      </w:r>
      <w:r>
        <w:rPr>
          <w:rFonts w:hint="eastAsia" w:eastAsia="仿宋_GB2312"/>
          <w:sz w:val="32"/>
          <w:szCs w:val="32"/>
        </w:rPr>
        <w:t>分析、回归分析结果等。</w:t>
      </w:r>
    </w:p>
    <w:p w14:paraId="1E9296A4">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预期用于患者自我血糖监测(SMBG)</w:t>
      </w:r>
    </w:p>
    <w:p w14:paraId="78A9C593">
      <w:pPr>
        <w:spacing w:line="520" w:lineRule="exact"/>
        <w:ind w:firstLine="640" w:firstLineChars="200"/>
        <w:rPr>
          <w:rFonts w:eastAsia="仿宋_GB2312"/>
          <w:sz w:val="32"/>
          <w:szCs w:val="32"/>
        </w:rPr>
      </w:pPr>
      <w:r>
        <w:rPr>
          <w:rFonts w:hint="eastAsia" w:eastAsia="仿宋_GB2312"/>
          <w:sz w:val="32"/>
          <w:szCs w:val="32"/>
        </w:rPr>
        <w:t>以毛细血管血糖值作为参考值进行比较，验证无创血糖</w:t>
      </w:r>
      <w:r>
        <w:rPr>
          <w:rFonts w:hint="eastAsia" w:eastAsia="仿宋_GB2312"/>
          <w:color w:val="000000"/>
          <w:sz w:val="32"/>
          <w:szCs w:val="32"/>
        </w:rPr>
        <w:t>/葡萄糖</w:t>
      </w:r>
      <w:r>
        <w:rPr>
          <w:rFonts w:hint="eastAsia" w:eastAsia="仿宋_GB2312"/>
          <w:sz w:val="32"/>
          <w:szCs w:val="32"/>
        </w:rPr>
        <w:t>检测的点准确度和精密度。</w:t>
      </w:r>
    </w:p>
    <w:p w14:paraId="240D9ADB">
      <w:pPr>
        <w:numPr>
          <w:ilvl w:val="2"/>
          <w:numId w:val="7"/>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预期用于</w:t>
      </w:r>
      <w:r>
        <w:rPr>
          <w:rFonts w:eastAsia="仿宋_GB2312"/>
          <w:color w:val="000000"/>
          <w:sz w:val="32"/>
          <w:szCs w:val="32"/>
        </w:rPr>
        <w:t>在医院内进行的床边快速血糖检测</w:t>
      </w:r>
      <w:r>
        <w:rPr>
          <w:rFonts w:hint="eastAsia" w:eastAsia="仿宋_GB2312"/>
          <w:color w:val="000000"/>
          <w:sz w:val="32"/>
          <w:szCs w:val="32"/>
        </w:rPr>
        <w:t>(</w:t>
      </w:r>
      <w:r>
        <w:rPr>
          <w:rFonts w:eastAsia="仿宋_GB2312"/>
          <w:color w:val="000000"/>
          <w:sz w:val="32"/>
          <w:szCs w:val="32"/>
        </w:rPr>
        <w:t>POCT</w:t>
      </w:r>
      <w:r>
        <w:rPr>
          <w:rFonts w:hint="eastAsia" w:eastAsia="仿宋_GB2312"/>
          <w:color w:val="000000"/>
          <w:sz w:val="32"/>
          <w:szCs w:val="32"/>
        </w:rPr>
        <w:t>)</w:t>
      </w:r>
    </w:p>
    <w:p w14:paraId="76370FA2">
      <w:pPr>
        <w:spacing w:line="520" w:lineRule="exact"/>
        <w:ind w:firstLine="640" w:firstLineChars="200"/>
        <w:rPr>
          <w:rFonts w:eastAsia="仿宋_GB2312"/>
          <w:sz w:val="32"/>
          <w:szCs w:val="32"/>
        </w:rPr>
      </w:pPr>
      <w:r>
        <w:rPr>
          <w:rFonts w:hint="eastAsia" w:eastAsia="仿宋_GB2312"/>
          <w:sz w:val="32"/>
          <w:szCs w:val="32"/>
        </w:rPr>
        <w:t>以静脉血浆血糖值或血清葡萄糖值、毛细血管血糖值作为参考值进行比较，评价无创血糖仪血糖检测结果的点准确度和精密度。</w:t>
      </w:r>
    </w:p>
    <w:p w14:paraId="069EE13B">
      <w:pPr>
        <w:numPr>
          <w:ilvl w:val="2"/>
          <w:numId w:val="7"/>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预期用于患者血糖水平异常的筛查</w:t>
      </w:r>
    </w:p>
    <w:p w14:paraId="400501C8">
      <w:pPr>
        <w:spacing w:line="520" w:lineRule="exact"/>
        <w:ind w:firstLine="640"/>
        <w:rPr>
          <w:rFonts w:eastAsia="仿宋_GB2312"/>
          <w:color w:val="000000"/>
          <w:sz w:val="32"/>
          <w:szCs w:val="32"/>
        </w:rPr>
      </w:pPr>
      <w:r>
        <w:rPr>
          <w:rFonts w:hint="eastAsia" w:eastAsia="仿宋_GB2312"/>
          <w:color w:val="000000"/>
          <w:sz w:val="32"/>
          <w:szCs w:val="32"/>
        </w:rPr>
        <w:t>鼓励申请人在产品的技术研究和应用实践中总结形成患者无创水平异常筛查性能的</w:t>
      </w:r>
      <w:r>
        <w:rPr>
          <w:rFonts w:hint="eastAsia" w:eastAsia="仿宋_GB2312"/>
          <w:sz w:val="32"/>
          <w:szCs w:val="32"/>
        </w:rPr>
        <w:t>研究资料</w:t>
      </w:r>
      <w:r>
        <w:rPr>
          <w:rFonts w:hint="eastAsia" w:eastAsia="仿宋_GB2312"/>
          <w:color w:val="000000"/>
          <w:sz w:val="32"/>
          <w:szCs w:val="32"/>
        </w:rPr>
        <w:t>。</w:t>
      </w:r>
    </w:p>
    <w:p w14:paraId="3274803E">
      <w:pPr>
        <w:numPr>
          <w:ilvl w:val="1"/>
          <w:numId w:val="7"/>
        </w:numPr>
        <w:spacing w:line="520" w:lineRule="exact"/>
        <w:ind w:left="0" w:firstLine="640" w:firstLineChars="200"/>
        <w:outlineLvl w:val="3"/>
        <w:rPr>
          <w:rFonts w:eastAsia="仿宋_GB2312"/>
          <w:color w:val="000000"/>
          <w:sz w:val="32"/>
          <w:szCs w:val="32"/>
        </w:rPr>
      </w:pPr>
      <w:bookmarkStart w:id="62" w:name="_Toc112680033"/>
      <w:r>
        <w:rPr>
          <w:rFonts w:hint="eastAsia" w:eastAsia="仿宋_GB2312"/>
          <w:color w:val="000000"/>
          <w:sz w:val="32"/>
          <w:szCs w:val="32"/>
        </w:rPr>
        <w:t>联合使用</w:t>
      </w:r>
      <w:bookmarkEnd w:id="62"/>
    </w:p>
    <w:p w14:paraId="3A68A4AA">
      <w:pPr>
        <w:spacing w:line="520" w:lineRule="exact"/>
        <w:ind w:firstLine="640" w:firstLineChars="200"/>
        <w:rPr>
          <w:rFonts w:eastAsia="仿宋_GB2312"/>
          <w:color w:val="000000"/>
          <w:sz w:val="32"/>
          <w:szCs w:val="32"/>
        </w:rPr>
      </w:pPr>
      <w:r>
        <w:rPr>
          <w:rFonts w:hint="eastAsia" w:eastAsia="仿宋_GB2312"/>
          <w:color w:val="000000"/>
          <w:sz w:val="32"/>
          <w:szCs w:val="32"/>
        </w:rPr>
        <w:t>如申报产品预期与其他医疗器械、药品、非医疗器械产品联合使用实现同一预期用途，申请人应提供证明联合使用安全有效的研究资料，包括互联基本信息（连接类型、接口、协议、最低性能）、联合使用风险及控制措施、联合使用上的限制，兼容性研究等。</w:t>
      </w:r>
    </w:p>
    <w:p w14:paraId="76874719">
      <w:pPr>
        <w:numPr>
          <w:ilvl w:val="1"/>
          <w:numId w:val="7"/>
        </w:numPr>
        <w:spacing w:line="520" w:lineRule="exact"/>
        <w:ind w:left="0" w:firstLine="640" w:firstLineChars="200"/>
        <w:outlineLvl w:val="3"/>
        <w:rPr>
          <w:rFonts w:eastAsia="仿宋_GB2312"/>
          <w:color w:val="000000"/>
          <w:sz w:val="32"/>
          <w:szCs w:val="32"/>
        </w:rPr>
      </w:pPr>
      <w:bookmarkStart w:id="63" w:name="_Toc112680034"/>
      <w:r>
        <w:rPr>
          <w:rFonts w:eastAsia="仿宋_GB2312"/>
          <w:color w:val="000000"/>
          <w:sz w:val="32"/>
          <w:szCs w:val="32"/>
        </w:rPr>
        <w:t>电气系统安全性研究</w:t>
      </w:r>
      <w:bookmarkEnd w:id="63"/>
    </w:p>
    <w:p w14:paraId="3EBF76BA">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应提供电气安全性、机械和环境保护以及电磁兼容性的研究资料，说明适用的标准以及开展的研究。</w:t>
      </w:r>
    </w:p>
    <w:p w14:paraId="057476F4">
      <w:pPr>
        <w:numPr>
          <w:ilvl w:val="1"/>
          <w:numId w:val="7"/>
        </w:numPr>
        <w:spacing w:line="520" w:lineRule="exact"/>
        <w:ind w:left="0" w:firstLine="640" w:firstLineChars="200"/>
        <w:outlineLvl w:val="3"/>
        <w:rPr>
          <w:rFonts w:eastAsia="仿宋_GB2312"/>
          <w:color w:val="000000"/>
          <w:sz w:val="32"/>
          <w:szCs w:val="32"/>
        </w:rPr>
      </w:pPr>
      <w:bookmarkStart w:id="64" w:name="_Toc112680035"/>
      <w:r>
        <w:rPr>
          <w:rFonts w:eastAsia="仿宋_GB2312"/>
          <w:color w:val="000000"/>
          <w:sz w:val="32"/>
          <w:szCs w:val="32"/>
        </w:rPr>
        <w:t>软件研究</w:t>
      </w:r>
      <w:bookmarkEnd w:id="64"/>
    </w:p>
    <w:p w14:paraId="60041FA4">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软件</w:t>
      </w:r>
      <w:r>
        <w:rPr>
          <w:rFonts w:hint="eastAsia" w:eastAsia="仿宋_GB2312"/>
          <w:color w:val="000000"/>
          <w:sz w:val="32"/>
          <w:szCs w:val="32"/>
        </w:rPr>
        <w:t>组件</w:t>
      </w:r>
    </w:p>
    <w:p w14:paraId="42BDC614">
      <w:pPr>
        <w:spacing w:line="520" w:lineRule="exact"/>
        <w:ind w:firstLine="640" w:firstLineChars="200"/>
        <w:jc w:val="left"/>
        <w:rPr>
          <w:rFonts w:eastAsia="仿宋_GB2312"/>
          <w:sz w:val="32"/>
          <w:szCs w:val="32"/>
        </w:rPr>
      </w:pPr>
      <w:r>
        <w:rPr>
          <w:rFonts w:eastAsia="仿宋_GB2312"/>
          <w:sz w:val="32"/>
          <w:szCs w:val="32"/>
        </w:rPr>
        <w:t>产品的软件一般属于软件组件，一般不宜单独注册。参考《医疗器械软件注册技术审查指导原则》</w:t>
      </w:r>
      <w:r>
        <w:rPr>
          <w:rFonts w:eastAsia="仿宋_GB2312"/>
          <w:color w:val="000000"/>
          <w:sz w:val="32"/>
          <w:szCs w:val="32"/>
        </w:rPr>
        <w:t>《移动医疗器械注册技术审查指导原则》</w:t>
      </w:r>
      <w:r>
        <w:rPr>
          <w:rFonts w:eastAsia="仿宋_GB2312"/>
          <w:sz w:val="32"/>
          <w:szCs w:val="32"/>
        </w:rPr>
        <w:t>，申请人应按照C级安全性级别提供软件描述文档，应关注：</w:t>
      </w:r>
    </w:p>
    <w:p w14:paraId="70864228">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核心算法</w:t>
      </w:r>
    </w:p>
    <w:p w14:paraId="152587BF">
      <w:pPr>
        <w:spacing w:line="520" w:lineRule="exact"/>
        <w:ind w:firstLine="640"/>
        <w:jc w:val="left"/>
        <w:rPr>
          <w:rFonts w:eastAsia="仿宋_GB2312"/>
          <w:sz w:val="32"/>
          <w:szCs w:val="32"/>
        </w:rPr>
      </w:pPr>
      <w:r>
        <w:rPr>
          <w:rFonts w:hint="eastAsia" w:ascii="仿宋_GB2312" w:hAnsi="仿宋_GB2312" w:eastAsia="仿宋_GB2312" w:cs="仿宋_GB2312"/>
          <w:sz w:val="32"/>
          <w:szCs w:val="32"/>
        </w:rPr>
        <w:t>申请人应提供</w:t>
      </w:r>
      <w:r>
        <w:rPr>
          <w:rFonts w:hint="eastAsia" w:ascii="仿宋_GB2312" w:eastAsia="仿宋_GB2312"/>
          <w:sz w:val="32"/>
          <w:szCs w:val="32"/>
        </w:rPr>
        <w:t>无创血糖/葡萄糖估算功能的</w:t>
      </w:r>
      <w:r>
        <w:rPr>
          <w:rFonts w:hint="eastAsia" w:ascii="仿宋_GB2312" w:hAnsi="仿宋_GB2312" w:eastAsia="仿宋_GB2312" w:cs="仿宋_GB2312"/>
          <w:sz w:val="32"/>
          <w:szCs w:val="32"/>
        </w:rPr>
        <w:t>算法名称、</w:t>
      </w:r>
      <w:r>
        <w:rPr>
          <w:rFonts w:eastAsia="仿宋_GB2312"/>
          <w:sz w:val="32"/>
          <w:szCs w:val="32"/>
        </w:rPr>
        <w:t>类型</w:t>
      </w:r>
      <w:r>
        <w:rPr>
          <w:rFonts w:hint="eastAsia" w:eastAsia="仿宋_GB2312"/>
          <w:sz w:val="32"/>
          <w:szCs w:val="32"/>
        </w:rPr>
        <w:t>、</w:t>
      </w:r>
      <w:r>
        <w:rPr>
          <w:rFonts w:eastAsia="仿宋_GB2312"/>
          <w:sz w:val="32"/>
          <w:szCs w:val="32"/>
        </w:rPr>
        <w:t>用途和临床功能</w:t>
      </w:r>
      <w:r>
        <w:rPr>
          <w:rFonts w:hint="eastAsia" w:eastAsia="仿宋_GB2312"/>
          <w:sz w:val="32"/>
          <w:szCs w:val="32"/>
        </w:rPr>
        <w:t>，如为</w:t>
      </w:r>
      <w:r>
        <w:rPr>
          <w:rFonts w:eastAsia="仿宋_GB2312"/>
          <w:sz w:val="32"/>
          <w:szCs w:val="32"/>
        </w:rPr>
        <w:t>全新算法</w:t>
      </w:r>
      <w:r>
        <w:rPr>
          <w:rFonts w:hint="eastAsia" w:eastAsia="仿宋_GB2312"/>
          <w:sz w:val="32"/>
          <w:szCs w:val="32"/>
        </w:rPr>
        <w:t>，还应</w:t>
      </w:r>
      <w:r>
        <w:rPr>
          <w:rFonts w:eastAsia="仿宋_GB2312"/>
          <w:sz w:val="32"/>
          <w:szCs w:val="32"/>
        </w:rPr>
        <w:t>提供安全性</w:t>
      </w:r>
      <w:r>
        <w:rPr>
          <w:rFonts w:hint="eastAsia" w:eastAsia="仿宋_GB2312"/>
          <w:sz w:val="32"/>
          <w:szCs w:val="32"/>
        </w:rPr>
        <w:t>和</w:t>
      </w:r>
      <w:r>
        <w:rPr>
          <w:rFonts w:eastAsia="仿宋_GB2312"/>
          <w:sz w:val="32"/>
          <w:szCs w:val="32"/>
        </w:rPr>
        <w:t>有效性的验证资料。</w:t>
      </w:r>
    </w:p>
    <w:p w14:paraId="298EB7F1">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无创血糖/葡萄糖估算功能的验证</w:t>
      </w:r>
    </w:p>
    <w:p w14:paraId="23B8DD85">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申请人宜提供无创血糖/葡萄糖估算功能的性能验证资料，包括多模生理参数数据库报告和性能验证报告。</w:t>
      </w:r>
    </w:p>
    <w:p w14:paraId="55E60878">
      <w:pPr>
        <w:spacing w:line="520" w:lineRule="exact"/>
        <w:ind w:firstLine="640"/>
        <w:rPr>
          <w:rFonts w:ascii="仿宋_GB2312" w:eastAsia="仿宋_GB2312"/>
          <w:sz w:val="32"/>
          <w:szCs w:val="32"/>
        </w:rPr>
      </w:pPr>
      <w:r>
        <w:rPr>
          <w:rFonts w:hint="eastAsia" w:ascii="仿宋_GB2312" w:eastAsia="仿宋_GB2312"/>
          <w:sz w:val="32"/>
          <w:szCs w:val="32"/>
        </w:rPr>
        <w:t>多模生理参数数据库报告：申请人宜报告用于无创血糖/葡萄糖估算性能验证的多模生理参数数据库，宜描述记录方法、多模生理参数来源、多模生理参数选择基准，并且宜提供评注方法和基准，例如，由具有多年心电图临床经验的专家组标注心电图数据等。</w:t>
      </w:r>
    </w:p>
    <w:p w14:paraId="1161B5DE">
      <w:pPr>
        <w:spacing w:line="520" w:lineRule="exact"/>
        <w:ind w:firstLine="640"/>
        <w:rPr>
          <w:rFonts w:ascii="仿宋_GB2312" w:eastAsia="仿宋_GB2312"/>
          <w:sz w:val="32"/>
          <w:szCs w:val="32"/>
        </w:rPr>
      </w:pPr>
      <w:r>
        <w:rPr>
          <w:rFonts w:hint="eastAsia" w:ascii="仿宋_GB2312" w:eastAsia="仿宋_GB2312"/>
          <w:sz w:val="32"/>
          <w:szCs w:val="32"/>
        </w:rPr>
        <w:t>性能验证报告：申请人宜利用上述多模生理参数数据库验证无创血糖/葡萄糖估算性能并提供性能验证报告，验证结果宜包括无创血糖/葡萄糖</w:t>
      </w:r>
      <w:r>
        <w:rPr>
          <w:rFonts w:hint="eastAsia" w:ascii="仿宋_GB2312" w:hAnsi="宋体" w:eastAsia="仿宋_GB2312" w:cs="宋体"/>
          <w:kern w:val="0"/>
          <w:sz w:val="32"/>
          <w:szCs w:val="32"/>
        </w:rPr>
        <w:t>检测范围、</w:t>
      </w:r>
      <w:r>
        <w:rPr>
          <w:rFonts w:hint="eastAsia" w:ascii="仿宋_GB2312" w:eastAsia="仿宋_GB2312"/>
          <w:sz w:val="32"/>
          <w:szCs w:val="32"/>
        </w:rPr>
        <w:t>准确度、</w:t>
      </w:r>
      <w:r>
        <w:rPr>
          <w:rFonts w:hint="eastAsia" w:ascii="仿宋_GB2312" w:hAnsi="宋体" w:eastAsia="仿宋_GB2312" w:cs="宋体"/>
          <w:kern w:val="0"/>
          <w:sz w:val="32"/>
          <w:szCs w:val="32"/>
        </w:rPr>
        <w:t>精确度、线性度等，鼓励申请人提供血糖检测的</w:t>
      </w:r>
      <w:r>
        <w:rPr>
          <w:rFonts w:hint="eastAsia" w:ascii="仿宋_GB2312" w:eastAsia="仿宋_GB2312"/>
          <w:sz w:val="32"/>
          <w:szCs w:val="32"/>
        </w:rPr>
        <w:t>敏感度、特异度、真实预报价值和假阳性率等。</w:t>
      </w:r>
    </w:p>
    <w:p w14:paraId="1991D60A">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网络安全</w:t>
      </w:r>
    </w:p>
    <w:p w14:paraId="0ACCFF80">
      <w:pPr>
        <w:spacing w:line="520" w:lineRule="exact"/>
        <w:ind w:firstLine="640" w:firstLineChars="200"/>
        <w:rPr>
          <w:rFonts w:eastAsia="仿宋_GB2312"/>
          <w:color w:val="000000"/>
          <w:sz w:val="32"/>
          <w:szCs w:val="32"/>
        </w:rPr>
      </w:pPr>
      <w:r>
        <w:rPr>
          <w:rFonts w:hint="eastAsia" w:eastAsia="仿宋_GB2312"/>
          <w:color w:val="000000"/>
          <w:sz w:val="32"/>
          <w:szCs w:val="32"/>
        </w:rPr>
        <w:t>参考《医疗器械网络安全注册审查指导原则》，申请人</w:t>
      </w:r>
      <w:r>
        <w:rPr>
          <w:rFonts w:eastAsia="仿宋_GB2312"/>
          <w:color w:val="000000"/>
          <w:sz w:val="32"/>
          <w:szCs w:val="32"/>
        </w:rPr>
        <w:t>应提供网络安全研究资料。</w:t>
      </w:r>
    </w:p>
    <w:p w14:paraId="2BDBF828">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人工智能</w:t>
      </w:r>
    </w:p>
    <w:p w14:paraId="30CBD147">
      <w:pPr>
        <w:spacing w:line="520" w:lineRule="exact"/>
        <w:ind w:firstLine="640" w:firstLineChars="200"/>
        <w:rPr>
          <w:rFonts w:eastAsia="仿宋_GB2312"/>
          <w:color w:val="000000"/>
          <w:sz w:val="32"/>
          <w:szCs w:val="32"/>
        </w:rPr>
      </w:pPr>
      <w:r>
        <w:rPr>
          <w:rFonts w:eastAsia="仿宋_GB2312"/>
          <w:color w:val="000000"/>
          <w:sz w:val="32"/>
          <w:szCs w:val="32"/>
        </w:rPr>
        <w:t>如果</w:t>
      </w:r>
      <w:r>
        <w:rPr>
          <w:rFonts w:hint="eastAsia" w:eastAsia="仿宋_GB2312"/>
          <w:color w:val="000000"/>
          <w:sz w:val="32"/>
          <w:szCs w:val="32"/>
        </w:rPr>
        <w:t>产品</w:t>
      </w:r>
      <w:r>
        <w:rPr>
          <w:rFonts w:eastAsia="仿宋_GB2312"/>
          <w:color w:val="000000"/>
          <w:sz w:val="32"/>
          <w:szCs w:val="32"/>
        </w:rPr>
        <w:t>采用人工智能技术实现</w:t>
      </w:r>
      <w:r>
        <w:rPr>
          <w:rFonts w:hint="eastAsia" w:ascii="仿宋_GB2312" w:eastAsia="仿宋_GB2312"/>
          <w:sz w:val="32"/>
          <w:szCs w:val="32"/>
        </w:rPr>
        <w:t>无创血糖/葡萄糖</w:t>
      </w:r>
      <w:r>
        <w:rPr>
          <w:rFonts w:ascii="仿宋_GB2312" w:eastAsia="仿宋_GB2312"/>
          <w:sz w:val="32"/>
          <w:szCs w:val="32"/>
        </w:rPr>
        <w:t>监测，参考</w:t>
      </w:r>
      <w:r>
        <w:rPr>
          <w:rFonts w:hint="eastAsia" w:eastAsia="仿宋_GB2312"/>
          <w:color w:val="000000"/>
          <w:sz w:val="32"/>
          <w:szCs w:val="32"/>
        </w:rPr>
        <w:t>《人工智能医疗器械注册审查指导原则》</w:t>
      </w:r>
      <w:r>
        <w:rPr>
          <w:rFonts w:eastAsia="仿宋_GB2312"/>
          <w:color w:val="000000"/>
          <w:sz w:val="32"/>
          <w:szCs w:val="32"/>
        </w:rPr>
        <w:t>，申请人应提供算法研究资料，包括算法基本信息、数据收集、算法训练、算法性能评估等内容。</w:t>
      </w:r>
    </w:p>
    <w:p w14:paraId="707ACAC7">
      <w:pPr>
        <w:numPr>
          <w:ilvl w:val="1"/>
          <w:numId w:val="7"/>
        </w:numPr>
        <w:spacing w:line="520" w:lineRule="exact"/>
        <w:ind w:left="0" w:firstLine="640" w:firstLineChars="200"/>
        <w:outlineLvl w:val="3"/>
        <w:rPr>
          <w:rFonts w:eastAsia="仿宋_GB2312"/>
          <w:color w:val="000000"/>
          <w:sz w:val="32"/>
          <w:szCs w:val="32"/>
        </w:rPr>
      </w:pPr>
      <w:bookmarkStart w:id="65" w:name="_Toc112680036"/>
      <w:r>
        <w:rPr>
          <w:rFonts w:eastAsia="仿宋_GB2312"/>
          <w:color w:val="000000"/>
          <w:sz w:val="32"/>
          <w:szCs w:val="32"/>
        </w:rPr>
        <w:t>生物学特性研究</w:t>
      </w:r>
      <w:bookmarkEnd w:id="65"/>
    </w:p>
    <w:p w14:paraId="7F2D8356">
      <w:pPr>
        <w:spacing w:line="520" w:lineRule="exact"/>
        <w:ind w:firstLine="640" w:firstLineChars="200"/>
        <w:rPr>
          <w:rFonts w:ascii="仿宋_GB2312" w:eastAsia="仿宋_GB2312"/>
          <w:sz w:val="32"/>
          <w:szCs w:val="32"/>
        </w:rPr>
      </w:pPr>
      <w:r>
        <w:rPr>
          <w:rFonts w:hint="eastAsia" w:eastAsia="仿宋_GB2312"/>
          <w:color w:val="000000"/>
          <w:sz w:val="32"/>
          <w:szCs w:val="32"/>
        </w:rPr>
        <w:t>申请人应</w:t>
      </w:r>
      <w:r>
        <w:rPr>
          <w:rFonts w:eastAsia="仿宋_GB2312"/>
          <w:color w:val="000000"/>
          <w:sz w:val="32"/>
          <w:szCs w:val="32"/>
        </w:rPr>
        <w:t>对</w:t>
      </w:r>
      <w:r>
        <w:rPr>
          <w:rFonts w:hint="eastAsia" w:ascii="仿宋_GB2312" w:eastAsia="仿宋_GB2312"/>
          <w:sz w:val="32"/>
          <w:szCs w:val="32"/>
        </w:rPr>
        <w:t>预期与</w:t>
      </w:r>
      <w:r>
        <w:rPr>
          <w:rFonts w:eastAsia="仿宋_GB2312"/>
          <w:color w:val="000000"/>
          <w:sz w:val="32"/>
          <w:szCs w:val="32"/>
        </w:rPr>
        <w:t>患者直接或间接接触的</w:t>
      </w:r>
      <w:r>
        <w:rPr>
          <w:rFonts w:hint="eastAsia" w:eastAsia="仿宋_GB2312"/>
          <w:color w:val="000000"/>
          <w:sz w:val="32"/>
          <w:szCs w:val="32"/>
        </w:rPr>
        <w:t>产品</w:t>
      </w:r>
      <w:r>
        <w:rPr>
          <w:rFonts w:eastAsia="仿宋_GB2312"/>
          <w:color w:val="000000"/>
          <w:sz w:val="32"/>
          <w:szCs w:val="32"/>
        </w:rPr>
        <w:t>进行生物学评价。</w:t>
      </w:r>
    </w:p>
    <w:p w14:paraId="06E602D2">
      <w:pPr>
        <w:spacing w:line="520" w:lineRule="exact"/>
        <w:ind w:firstLine="640" w:firstLineChars="200"/>
        <w:jc w:val="left"/>
        <w:rPr>
          <w:rFonts w:eastAsia="仿宋_GB2312"/>
          <w:sz w:val="32"/>
          <w:szCs w:val="32"/>
        </w:rPr>
      </w:pPr>
      <w:r>
        <w:rPr>
          <w:rFonts w:eastAsia="仿宋_GB2312"/>
          <w:sz w:val="32"/>
          <w:szCs w:val="32"/>
        </w:rPr>
        <w:t>申请人宜参考GB/T 16886.1评定程序的框架并且在风险分析和管理的基础上，根据产品与人体接触性质、接触时间和接触周期，考虑生物学评价项目，并按照</w:t>
      </w:r>
      <w:r>
        <w:rPr>
          <w:rFonts w:eastAsia="仿宋_GB2312"/>
          <w:sz w:val="32"/>
          <w:szCs w:val="32"/>
        </w:rPr>
        <w:fldChar w:fldCharType="begin"/>
      </w:r>
      <w:r>
        <w:rPr>
          <w:rFonts w:eastAsia="仿宋_GB2312"/>
          <w:sz w:val="32"/>
          <w:szCs w:val="32"/>
        </w:rPr>
        <w:instrText xml:space="preserve"> REF _Ref114643377 \h  \* MERGEFORMAT </w:instrText>
      </w:r>
      <w:r>
        <w:rPr>
          <w:rFonts w:eastAsia="仿宋_GB2312"/>
          <w:sz w:val="32"/>
          <w:szCs w:val="32"/>
        </w:rPr>
        <w:fldChar w:fldCharType="separate"/>
      </w:r>
      <w:r>
        <w:rPr>
          <w:rFonts w:eastAsia="仿宋_GB2312"/>
          <w:sz w:val="32"/>
          <w:szCs w:val="32"/>
        </w:rPr>
        <w:t>图1</w:t>
      </w:r>
      <w:r>
        <w:rPr>
          <w:rFonts w:eastAsia="仿宋_GB2312"/>
          <w:sz w:val="32"/>
          <w:szCs w:val="32"/>
        </w:rPr>
        <w:fldChar w:fldCharType="end"/>
      </w:r>
      <w:r>
        <w:rPr>
          <w:rFonts w:eastAsia="仿宋_GB2312"/>
          <w:sz w:val="32"/>
          <w:szCs w:val="32"/>
        </w:rPr>
        <w:t>进行生物学评价。</w:t>
      </w:r>
    </w:p>
    <w:p w14:paraId="67D9A973">
      <w:pPr>
        <w:keepNext/>
        <w:jc w:val="left"/>
      </w:pPr>
      <w:r>
        <w:rPr>
          <w:rFonts w:ascii="仿宋_GB2312" w:eastAsia="仿宋_GB2312"/>
          <w:sz w:val="32"/>
          <w:szCs w:val="32"/>
        </w:rPr>
        <w:drawing>
          <wp:inline distT="0" distB="0" distL="0" distR="0">
            <wp:extent cx="5544185" cy="4274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44185" cy="4274820"/>
                    </a:xfrm>
                    <a:prstGeom prst="rect">
                      <a:avLst/>
                    </a:prstGeom>
                  </pic:spPr>
                </pic:pic>
              </a:graphicData>
            </a:graphic>
          </wp:inline>
        </w:drawing>
      </w:r>
    </w:p>
    <w:p w14:paraId="24469093">
      <w:pPr>
        <w:pStyle w:val="7"/>
        <w:spacing w:line="520" w:lineRule="exact"/>
        <w:jc w:val="center"/>
        <w:rPr>
          <w:rFonts w:ascii="Times New Roman" w:hAnsi="Times New Roman" w:cs="Times New Roman"/>
          <w:sz w:val="28"/>
          <w:szCs w:val="28"/>
        </w:rPr>
      </w:pPr>
      <w:bookmarkStart w:id="66" w:name="_Ref114643377"/>
      <w:r>
        <w:rPr>
          <w:rFonts w:ascii="Times New Roman" w:hAnsi="Times New Roman" w:cs="Times New Roman"/>
          <w:sz w:val="28"/>
          <w:szCs w:val="28"/>
        </w:rPr>
        <w:t>图</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图 \* ARABIC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bookmarkEnd w:id="66"/>
      <w:r>
        <w:rPr>
          <w:rFonts w:ascii="Times New Roman" w:hAnsi="Times New Roman" w:cs="Times New Roman"/>
          <w:sz w:val="28"/>
          <w:szCs w:val="28"/>
        </w:rPr>
        <w:t xml:space="preserve"> 系统方法框图</w:t>
      </w:r>
    </w:p>
    <w:p w14:paraId="6636037D">
      <w:pPr>
        <w:spacing w:line="520" w:lineRule="exact"/>
        <w:ind w:firstLine="640" w:firstLineChars="200"/>
        <w:rPr>
          <w:rFonts w:eastAsia="仿宋_GB2312"/>
          <w:color w:val="000000"/>
          <w:sz w:val="32"/>
          <w:szCs w:val="32"/>
        </w:rPr>
      </w:pPr>
      <w:r>
        <w:rPr>
          <w:rFonts w:eastAsia="仿宋_GB2312"/>
          <w:color w:val="000000"/>
          <w:sz w:val="32"/>
          <w:szCs w:val="32"/>
        </w:rPr>
        <w:t>生物学评价资料应当包括：</w:t>
      </w:r>
    </w:p>
    <w:p w14:paraId="4130AD86">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037DC2BA">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描述申报产品的物理和/或化学信息并考虑材料表征（如适用），如器械的物理作用可能产生生物学风险，应当进行评价。</w:t>
      </w:r>
    </w:p>
    <w:p w14:paraId="0AA41345">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生物学评价的策略、依据和方法。</w:t>
      </w:r>
    </w:p>
    <w:p w14:paraId="5383EC4C">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已有数据和结果的评价。</w:t>
      </w:r>
    </w:p>
    <w:p w14:paraId="070CFC39">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选择或豁免生物学试验的理由和论证。</w:t>
      </w:r>
    </w:p>
    <w:p w14:paraId="4D055EF8">
      <w:pPr>
        <w:numPr>
          <w:ilvl w:val="0"/>
          <w:numId w:val="10"/>
        </w:numPr>
        <w:spacing w:line="520" w:lineRule="exact"/>
        <w:ind w:left="0" w:firstLine="640" w:firstLineChars="200"/>
        <w:rPr>
          <w:rFonts w:eastAsia="仿宋_GB2312"/>
          <w:color w:val="000000"/>
          <w:sz w:val="32"/>
          <w:szCs w:val="32"/>
        </w:rPr>
      </w:pPr>
      <w:r>
        <w:rPr>
          <w:rFonts w:eastAsia="仿宋_GB2312"/>
          <w:color w:val="000000"/>
          <w:sz w:val="32"/>
          <w:szCs w:val="32"/>
        </w:rPr>
        <w:t>完成生物学评价所需的其他数据。</w:t>
      </w:r>
    </w:p>
    <w:p w14:paraId="54BA767E">
      <w:pPr>
        <w:spacing w:line="520" w:lineRule="exact"/>
        <w:ind w:firstLine="640" w:firstLineChars="200"/>
        <w:rPr>
          <w:rFonts w:ascii="仿宋_GB2312" w:eastAsia="仿宋_GB2312"/>
          <w:sz w:val="32"/>
          <w:szCs w:val="32"/>
        </w:rPr>
      </w:pPr>
      <w:r>
        <w:rPr>
          <w:rFonts w:hint="eastAsia" w:ascii="仿宋_GB2312" w:eastAsia="仿宋_GB2312"/>
          <w:sz w:val="32"/>
          <w:szCs w:val="32"/>
        </w:rPr>
        <w:t>对于已获得注册批准上市的附件，在</w:t>
      </w:r>
      <w:r>
        <w:rPr>
          <w:rFonts w:eastAsia="仿宋_GB2312"/>
          <w:sz w:val="32"/>
          <w:szCs w:val="32"/>
        </w:rPr>
        <w:t>GB/T</w:t>
      </w:r>
      <w:r>
        <w:rPr>
          <w:rFonts w:hint="eastAsia" w:eastAsia="仿宋_GB2312"/>
          <w:sz w:val="32"/>
          <w:szCs w:val="32"/>
        </w:rPr>
        <w:t xml:space="preserve"> </w:t>
      </w:r>
      <w:r>
        <w:rPr>
          <w:rFonts w:eastAsia="仿宋_GB2312"/>
          <w:sz w:val="32"/>
          <w:szCs w:val="32"/>
        </w:rPr>
        <w:t>16886.1</w:t>
      </w:r>
      <w:r>
        <w:rPr>
          <w:rFonts w:hint="eastAsia" w:eastAsia="仿宋_GB2312"/>
          <w:sz w:val="32"/>
          <w:szCs w:val="32"/>
        </w:rPr>
        <w:t>的4.7项中任一</w:t>
      </w:r>
      <w:r>
        <w:rPr>
          <w:rFonts w:ascii="仿宋_GB2312" w:eastAsia="仿宋_GB2312"/>
          <w:sz w:val="32"/>
          <w:szCs w:val="32"/>
        </w:rPr>
        <w:t>情况</w:t>
      </w:r>
      <w:r>
        <w:rPr>
          <w:rFonts w:hint="eastAsia" w:ascii="仿宋_GB2312" w:eastAsia="仿宋_GB2312"/>
          <w:sz w:val="32"/>
          <w:szCs w:val="32"/>
        </w:rPr>
        <w:t>下</w:t>
      </w:r>
      <w:r>
        <w:rPr>
          <w:rFonts w:ascii="仿宋_GB2312" w:eastAsia="仿宋_GB2312"/>
          <w:sz w:val="32"/>
          <w:szCs w:val="32"/>
        </w:rPr>
        <w:t>，制造</w:t>
      </w:r>
      <w:r>
        <w:rPr>
          <w:rFonts w:hint="eastAsia" w:ascii="仿宋_GB2312" w:eastAsia="仿宋_GB2312"/>
          <w:sz w:val="32"/>
          <w:szCs w:val="32"/>
        </w:rPr>
        <w:t>商</w:t>
      </w:r>
      <w:r>
        <w:rPr>
          <w:rFonts w:ascii="仿宋_GB2312" w:eastAsia="仿宋_GB2312"/>
          <w:sz w:val="32"/>
          <w:szCs w:val="32"/>
        </w:rPr>
        <w:t>应重新评价</w:t>
      </w:r>
      <w:r>
        <w:rPr>
          <w:rFonts w:hint="eastAsia" w:ascii="仿宋_GB2312" w:eastAsia="仿宋_GB2312"/>
          <w:sz w:val="32"/>
          <w:szCs w:val="32"/>
        </w:rPr>
        <w:t>材料或最终产品的</w:t>
      </w:r>
      <w:r>
        <w:rPr>
          <w:rFonts w:ascii="仿宋_GB2312" w:eastAsia="仿宋_GB2312"/>
          <w:sz w:val="32"/>
          <w:szCs w:val="32"/>
        </w:rPr>
        <w:t>生物</w:t>
      </w:r>
      <w:r>
        <w:rPr>
          <w:rFonts w:hint="eastAsia" w:ascii="仿宋_GB2312" w:eastAsia="仿宋_GB2312"/>
          <w:sz w:val="32"/>
          <w:szCs w:val="32"/>
        </w:rPr>
        <w:t>相容性。</w:t>
      </w:r>
    </w:p>
    <w:p w14:paraId="47564C57">
      <w:pPr>
        <w:spacing w:line="520" w:lineRule="exact"/>
        <w:ind w:firstLine="640" w:firstLineChars="200"/>
        <w:rPr>
          <w:rFonts w:ascii="仿宋_GB2312" w:eastAsia="仿宋_GB2312"/>
          <w:sz w:val="32"/>
          <w:szCs w:val="32"/>
        </w:rPr>
      </w:pPr>
      <w:r>
        <w:rPr>
          <w:rFonts w:hint="eastAsia" w:ascii="仿宋_GB2312" w:eastAsia="仿宋_GB2312"/>
          <w:sz w:val="32"/>
          <w:szCs w:val="32"/>
        </w:rPr>
        <w:t>如果已获得注册批准上市的附件未发生</w:t>
      </w:r>
      <w:r>
        <w:rPr>
          <w:rFonts w:eastAsia="仿宋_GB2312"/>
          <w:sz w:val="32"/>
          <w:szCs w:val="32"/>
        </w:rPr>
        <w:t>GB/T</w:t>
      </w:r>
      <w:r>
        <w:rPr>
          <w:rFonts w:hint="eastAsia" w:eastAsia="仿宋_GB2312"/>
          <w:sz w:val="32"/>
          <w:szCs w:val="32"/>
        </w:rPr>
        <w:t xml:space="preserve"> </w:t>
      </w:r>
      <w:r>
        <w:rPr>
          <w:rFonts w:eastAsia="仿宋_GB2312"/>
          <w:sz w:val="32"/>
          <w:szCs w:val="32"/>
        </w:rPr>
        <w:t>16886.1</w:t>
      </w:r>
      <w:r>
        <w:rPr>
          <w:rFonts w:hint="eastAsia" w:eastAsia="仿宋_GB2312"/>
          <w:sz w:val="32"/>
          <w:szCs w:val="32"/>
        </w:rPr>
        <w:t>中4.7项的</w:t>
      </w:r>
      <w:r>
        <w:rPr>
          <w:rFonts w:ascii="仿宋_GB2312" w:eastAsia="仿宋_GB2312"/>
          <w:sz w:val="32"/>
          <w:szCs w:val="32"/>
        </w:rPr>
        <w:t>情况</w:t>
      </w:r>
      <w:r>
        <w:rPr>
          <w:rFonts w:hint="eastAsia" w:ascii="仿宋_GB2312" w:eastAsia="仿宋_GB2312"/>
          <w:sz w:val="32"/>
          <w:szCs w:val="32"/>
        </w:rPr>
        <w:t>，注册人应提供其法定制造商做出的未</w:t>
      </w:r>
      <w:r>
        <w:rPr>
          <w:rFonts w:ascii="仿宋_GB2312" w:eastAsia="仿宋_GB2312"/>
          <w:sz w:val="32"/>
          <w:szCs w:val="32"/>
        </w:rPr>
        <w:t>发生</w:t>
      </w:r>
      <w:r>
        <w:rPr>
          <w:rFonts w:eastAsia="仿宋_GB2312"/>
          <w:sz w:val="32"/>
          <w:szCs w:val="32"/>
        </w:rPr>
        <w:t>GB/T</w:t>
      </w:r>
      <w:r>
        <w:rPr>
          <w:rFonts w:hint="eastAsia" w:eastAsia="仿宋_GB2312"/>
          <w:sz w:val="32"/>
          <w:szCs w:val="32"/>
        </w:rPr>
        <w:t xml:space="preserve"> </w:t>
      </w:r>
      <w:r>
        <w:rPr>
          <w:rFonts w:eastAsia="仿宋_GB2312"/>
          <w:sz w:val="32"/>
          <w:szCs w:val="32"/>
        </w:rPr>
        <w:t>16886.1</w:t>
      </w:r>
      <w:r>
        <w:rPr>
          <w:rFonts w:hint="eastAsia" w:eastAsia="仿宋_GB2312"/>
          <w:sz w:val="32"/>
          <w:szCs w:val="32"/>
        </w:rPr>
        <w:t>的4.7项</w:t>
      </w:r>
      <w:r>
        <w:rPr>
          <w:rFonts w:ascii="仿宋_GB2312" w:eastAsia="仿宋_GB2312"/>
          <w:sz w:val="32"/>
          <w:szCs w:val="32"/>
        </w:rPr>
        <w:t>所规定的重新评价情况的声明</w:t>
      </w:r>
      <w:r>
        <w:rPr>
          <w:rFonts w:hint="eastAsia" w:ascii="仿宋_GB2312" w:eastAsia="仿宋_GB2312"/>
          <w:sz w:val="32"/>
          <w:szCs w:val="32"/>
        </w:rPr>
        <w:t>，并且注册人应提供该附件的医疗器械注册证复印件及其原生物学评价资料的复印件。</w:t>
      </w:r>
    </w:p>
    <w:p w14:paraId="4EAC1848">
      <w:pPr>
        <w:numPr>
          <w:ilvl w:val="1"/>
          <w:numId w:val="7"/>
        </w:numPr>
        <w:spacing w:line="520" w:lineRule="exact"/>
        <w:ind w:left="0" w:firstLine="640" w:firstLineChars="200"/>
        <w:outlineLvl w:val="3"/>
        <w:rPr>
          <w:rFonts w:eastAsia="仿宋_GB2312"/>
          <w:color w:val="000000"/>
          <w:sz w:val="32"/>
          <w:szCs w:val="32"/>
        </w:rPr>
      </w:pPr>
      <w:bookmarkStart w:id="67" w:name="_Toc112680037"/>
      <w:r>
        <w:rPr>
          <w:rFonts w:eastAsia="仿宋_GB2312"/>
          <w:color w:val="000000"/>
          <w:sz w:val="32"/>
          <w:szCs w:val="32"/>
        </w:rPr>
        <w:t>清洁、消毒研究</w:t>
      </w:r>
      <w:bookmarkEnd w:id="67"/>
    </w:p>
    <w:p w14:paraId="3B2C6A62">
      <w:pPr>
        <w:spacing w:line="520" w:lineRule="exact"/>
        <w:ind w:firstLine="640"/>
        <w:rPr>
          <w:rFonts w:eastAsia="仿宋_GB2312"/>
          <w:color w:val="000000"/>
          <w:sz w:val="32"/>
          <w:szCs w:val="32"/>
        </w:rPr>
      </w:pPr>
      <w:r>
        <w:rPr>
          <w:rFonts w:hint="eastAsia" w:eastAsia="仿宋_GB2312"/>
          <w:bCs/>
          <w:color w:val="000000"/>
          <w:sz w:val="32"/>
          <w:szCs w:val="32"/>
        </w:rPr>
        <w:t>申请人</w:t>
      </w:r>
      <w:r>
        <w:rPr>
          <w:rFonts w:eastAsia="仿宋_GB2312"/>
          <w:bCs/>
          <w:color w:val="000000"/>
          <w:sz w:val="32"/>
          <w:szCs w:val="32"/>
        </w:rPr>
        <w:t>应明确推荐的清洗和消毒工艺（方法和参数）、工艺的确定依据以及验证的相关研究资料。</w:t>
      </w:r>
    </w:p>
    <w:p w14:paraId="766A70D6">
      <w:pPr>
        <w:numPr>
          <w:ilvl w:val="1"/>
          <w:numId w:val="7"/>
        </w:numPr>
        <w:spacing w:line="520" w:lineRule="exact"/>
        <w:ind w:left="0" w:firstLine="640" w:firstLineChars="200"/>
        <w:outlineLvl w:val="3"/>
        <w:rPr>
          <w:rFonts w:eastAsia="仿宋_GB2312"/>
          <w:color w:val="000000"/>
          <w:sz w:val="32"/>
          <w:szCs w:val="32"/>
        </w:rPr>
      </w:pPr>
      <w:bookmarkStart w:id="68" w:name="_Toc112680038"/>
      <w:r>
        <w:rPr>
          <w:rFonts w:eastAsia="仿宋_GB2312"/>
          <w:color w:val="000000"/>
          <w:sz w:val="32"/>
          <w:szCs w:val="32"/>
        </w:rPr>
        <w:t>证明产品安全性、有效性的其他研究资料</w:t>
      </w:r>
      <w:bookmarkEnd w:id="68"/>
    </w:p>
    <w:p w14:paraId="6C77B3DB">
      <w:pPr>
        <w:numPr>
          <w:ilvl w:val="2"/>
          <w:numId w:val="7"/>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无创血糖检测</w:t>
      </w:r>
      <w:r>
        <w:rPr>
          <w:rFonts w:eastAsia="仿宋_GB2312"/>
          <w:color w:val="000000"/>
          <w:sz w:val="32"/>
          <w:szCs w:val="32"/>
        </w:rPr>
        <w:t>建模研究</w:t>
      </w:r>
    </w:p>
    <w:p w14:paraId="335F60DD">
      <w:pPr>
        <w:spacing w:line="520" w:lineRule="exact"/>
        <w:ind w:firstLine="640" w:firstLineChars="200"/>
        <w:rPr>
          <w:rFonts w:eastAsia="仿宋_GB2312"/>
          <w:color w:val="000000"/>
          <w:sz w:val="32"/>
          <w:szCs w:val="32"/>
        </w:rPr>
      </w:pPr>
      <w:r>
        <w:rPr>
          <w:rFonts w:hint="eastAsia" w:eastAsia="仿宋_GB2312"/>
          <w:color w:val="000000"/>
          <w:sz w:val="32"/>
          <w:szCs w:val="32"/>
        </w:rPr>
        <w:t>申请人如果建立了无创血糖检测模型</w:t>
      </w:r>
      <w:r>
        <w:rPr>
          <w:rFonts w:eastAsia="仿宋_GB2312"/>
          <w:color w:val="000000"/>
          <w:sz w:val="32"/>
          <w:szCs w:val="32"/>
        </w:rPr>
        <w:t>，应提供产品建模研究资料</w:t>
      </w:r>
      <w:r>
        <w:rPr>
          <w:rFonts w:hint="eastAsia" w:eastAsia="仿宋_GB2312"/>
          <w:color w:val="000000"/>
          <w:sz w:val="32"/>
          <w:szCs w:val="32"/>
        </w:rPr>
        <w:t>。鼓励申请人采用计算机建模研究方法，宜参考ASME</w:t>
      </w:r>
      <w:r>
        <w:rPr>
          <w:rFonts w:eastAsia="仿宋_GB2312"/>
          <w:color w:val="000000"/>
          <w:sz w:val="32"/>
          <w:szCs w:val="32"/>
        </w:rPr>
        <w:t xml:space="preserve"> (The American Society of Mechanical Engineers) V&amp;V 40</w:t>
      </w:r>
      <w:r>
        <w:rPr>
          <w:rFonts w:hint="eastAsia" w:eastAsia="仿宋_GB2312"/>
          <w:color w:val="000000"/>
          <w:sz w:val="32"/>
          <w:szCs w:val="32"/>
        </w:rPr>
        <w:t>及相关技术资料</w:t>
      </w:r>
      <w:r>
        <w:rPr>
          <w:rFonts w:eastAsia="仿宋_GB2312"/>
          <w:color w:val="000000"/>
          <w:sz w:val="32"/>
          <w:szCs w:val="32"/>
        </w:rPr>
        <w:t>。</w:t>
      </w:r>
    </w:p>
    <w:p w14:paraId="417895E6">
      <w:pPr>
        <w:numPr>
          <w:ilvl w:val="0"/>
          <w:numId w:val="7"/>
        </w:numPr>
        <w:spacing w:line="520" w:lineRule="exact"/>
        <w:ind w:left="0" w:firstLine="640" w:firstLineChars="200"/>
        <w:outlineLvl w:val="2"/>
        <w:rPr>
          <w:rFonts w:eastAsia="仿宋_GB2312"/>
          <w:color w:val="000000"/>
          <w:sz w:val="32"/>
          <w:szCs w:val="32"/>
        </w:rPr>
      </w:pPr>
      <w:bookmarkStart w:id="69" w:name="_Toc112680039"/>
      <w:r>
        <w:rPr>
          <w:rFonts w:eastAsia="仿宋_GB2312"/>
          <w:color w:val="000000"/>
          <w:sz w:val="32"/>
          <w:szCs w:val="32"/>
        </w:rPr>
        <w:t>非临床文献</w:t>
      </w:r>
      <w:bookmarkEnd w:id="69"/>
    </w:p>
    <w:p w14:paraId="4A1B6DF9">
      <w:pPr>
        <w:spacing w:line="520" w:lineRule="exact"/>
        <w:ind w:firstLine="640" w:firstLineChars="200"/>
        <w:rPr>
          <w:rFonts w:eastAsia="仿宋_GB2312"/>
          <w:bCs/>
          <w:color w:val="000000"/>
          <w:sz w:val="32"/>
          <w:szCs w:val="32"/>
        </w:rPr>
      </w:pPr>
      <w:r>
        <w:rPr>
          <w:rFonts w:hint="eastAsia" w:eastAsia="仿宋_GB2312"/>
          <w:bCs/>
          <w:color w:val="000000"/>
          <w:sz w:val="32"/>
          <w:szCs w:val="32"/>
        </w:rPr>
        <w:t>按照</w:t>
      </w:r>
      <w:r>
        <w:rPr>
          <w:rFonts w:hint="eastAsia" w:ascii="仿宋_GB2312" w:eastAsia="仿宋_GB2312"/>
          <w:sz w:val="32"/>
          <w:szCs w:val="32"/>
        </w:rPr>
        <w:t>无创血糖/葡萄糖监测的</w:t>
      </w:r>
      <w:r>
        <w:rPr>
          <w:rFonts w:eastAsia="仿宋_GB2312"/>
          <w:color w:val="000000"/>
          <w:sz w:val="32"/>
          <w:szCs w:val="32"/>
        </w:rPr>
        <w:t>工作原理</w:t>
      </w:r>
      <w:r>
        <w:rPr>
          <w:rFonts w:hint="eastAsia" w:eastAsia="仿宋_GB2312"/>
          <w:color w:val="000000"/>
          <w:sz w:val="32"/>
          <w:szCs w:val="32"/>
        </w:rPr>
        <w:t>和技术实现方法，</w:t>
      </w:r>
      <w:r>
        <w:rPr>
          <w:rFonts w:hint="eastAsia" w:eastAsia="仿宋_GB2312"/>
          <w:bCs/>
          <w:color w:val="000000"/>
          <w:sz w:val="32"/>
          <w:szCs w:val="32"/>
        </w:rPr>
        <w:t>申请人应</w:t>
      </w:r>
      <w:r>
        <w:rPr>
          <w:rFonts w:eastAsia="仿宋_GB2312"/>
          <w:bCs/>
          <w:color w:val="000000"/>
          <w:sz w:val="32"/>
          <w:szCs w:val="32"/>
        </w:rPr>
        <w:t>提供与产品相关的已发表的非临床研究文献/书目列表，并提供相关内容的复印件（外文应同时提供翻译件）。如未检索到与申报产品相关的非临床文献/书目，</w:t>
      </w:r>
      <w:r>
        <w:rPr>
          <w:rFonts w:hint="eastAsia" w:eastAsia="仿宋_GB2312"/>
          <w:bCs/>
          <w:color w:val="000000"/>
          <w:sz w:val="32"/>
          <w:szCs w:val="32"/>
        </w:rPr>
        <w:t>申请人</w:t>
      </w:r>
      <w:r>
        <w:rPr>
          <w:rFonts w:eastAsia="仿宋_GB2312"/>
          <w:bCs/>
          <w:color w:val="000000"/>
          <w:sz w:val="32"/>
          <w:szCs w:val="32"/>
        </w:rPr>
        <w:t>应提供相关的声明。</w:t>
      </w:r>
    </w:p>
    <w:p w14:paraId="1956C5FF">
      <w:pPr>
        <w:numPr>
          <w:ilvl w:val="0"/>
          <w:numId w:val="7"/>
        </w:numPr>
        <w:spacing w:line="520" w:lineRule="exact"/>
        <w:ind w:left="0" w:firstLine="640" w:firstLineChars="200"/>
        <w:outlineLvl w:val="2"/>
        <w:rPr>
          <w:rFonts w:eastAsia="仿宋_GB2312"/>
          <w:color w:val="000000"/>
          <w:sz w:val="32"/>
          <w:szCs w:val="32"/>
        </w:rPr>
      </w:pPr>
      <w:bookmarkStart w:id="70" w:name="_Toc112680040"/>
      <w:r>
        <w:rPr>
          <w:rFonts w:eastAsia="仿宋_GB2312"/>
          <w:color w:val="000000"/>
          <w:sz w:val="32"/>
          <w:szCs w:val="32"/>
        </w:rPr>
        <w:t>稳定性研究</w:t>
      </w:r>
      <w:bookmarkEnd w:id="70"/>
    </w:p>
    <w:p w14:paraId="4511E755">
      <w:pPr>
        <w:numPr>
          <w:ilvl w:val="0"/>
          <w:numId w:val="11"/>
        </w:numPr>
        <w:spacing w:line="520" w:lineRule="exact"/>
        <w:ind w:left="0" w:firstLine="640" w:firstLineChars="200"/>
        <w:rPr>
          <w:rFonts w:eastAsia="仿宋_GB2312"/>
          <w:color w:val="000000"/>
          <w:sz w:val="32"/>
          <w:szCs w:val="32"/>
        </w:rPr>
      </w:pPr>
      <w:r>
        <w:rPr>
          <w:rFonts w:eastAsia="仿宋_GB2312"/>
          <w:color w:val="000000"/>
          <w:sz w:val="32"/>
          <w:szCs w:val="32"/>
        </w:rPr>
        <w:t>申请人应明确产品的预期使用寿命，</w:t>
      </w:r>
      <w:r>
        <w:rPr>
          <w:rFonts w:hint="eastAsia" w:eastAsia="仿宋_GB2312"/>
          <w:color w:val="000000"/>
          <w:sz w:val="32"/>
          <w:szCs w:val="32"/>
        </w:rPr>
        <w:t>参考</w:t>
      </w:r>
      <w:r>
        <w:rPr>
          <w:rFonts w:eastAsia="仿宋_GB2312"/>
          <w:color w:val="000000"/>
          <w:sz w:val="32"/>
          <w:szCs w:val="32"/>
        </w:rPr>
        <w:t>《有源医疗器械使用期限注册技术审查指导原则》</w:t>
      </w:r>
      <w:r>
        <w:rPr>
          <w:rFonts w:hint="eastAsia" w:eastAsia="仿宋_GB2312"/>
          <w:color w:val="000000"/>
          <w:sz w:val="32"/>
          <w:szCs w:val="32"/>
        </w:rPr>
        <w:t>，</w:t>
      </w:r>
      <w:r>
        <w:rPr>
          <w:rFonts w:eastAsia="仿宋_GB2312"/>
          <w:color w:val="000000"/>
          <w:sz w:val="32"/>
          <w:szCs w:val="32"/>
        </w:rPr>
        <w:t>提供预期使用寿命的分析验证报告。</w:t>
      </w:r>
    </w:p>
    <w:p w14:paraId="54079CE5">
      <w:pPr>
        <w:numPr>
          <w:ilvl w:val="0"/>
          <w:numId w:val="11"/>
        </w:numPr>
        <w:spacing w:line="520" w:lineRule="exact"/>
        <w:ind w:left="0" w:firstLine="640" w:firstLineChars="200"/>
        <w:rPr>
          <w:rFonts w:eastAsia="仿宋_GB2312"/>
          <w:color w:val="000000"/>
          <w:sz w:val="32"/>
          <w:szCs w:val="32"/>
        </w:rPr>
      </w:pPr>
      <w:r>
        <w:rPr>
          <w:rFonts w:hint="eastAsia" w:eastAsia="仿宋_GB2312"/>
          <w:color w:val="000000"/>
          <w:sz w:val="32"/>
          <w:szCs w:val="32"/>
        </w:rPr>
        <w:t>如结构及组成中含有</w:t>
      </w:r>
      <w:r>
        <w:rPr>
          <w:rFonts w:eastAsia="仿宋_GB2312"/>
          <w:color w:val="000000"/>
          <w:sz w:val="32"/>
          <w:szCs w:val="32"/>
        </w:rPr>
        <w:t>非可充电电池</w:t>
      </w:r>
      <w:r>
        <w:rPr>
          <w:rFonts w:hint="eastAsia" w:eastAsia="仿宋_GB2312"/>
          <w:color w:val="000000"/>
          <w:sz w:val="32"/>
          <w:szCs w:val="32"/>
        </w:rPr>
        <w:t>，</w:t>
      </w:r>
      <w:r>
        <w:rPr>
          <w:rFonts w:eastAsia="仿宋_GB2312"/>
          <w:color w:val="000000"/>
          <w:sz w:val="32"/>
          <w:szCs w:val="32"/>
        </w:rPr>
        <w:t>申请人应明确</w:t>
      </w:r>
      <w:r>
        <w:rPr>
          <w:rFonts w:hint="eastAsia" w:eastAsia="仿宋_GB2312"/>
          <w:color w:val="000000"/>
          <w:sz w:val="32"/>
          <w:szCs w:val="32"/>
        </w:rPr>
        <w:t>其</w:t>
      </w:r>
      <w:r>
        <w:rPr>
          <w:rFonts w:eastAsia="仿宋_GB2312"/>
          <w:color w:val="000000"/>
          <w:sz w:val="32"/>
          <w:szCs w:val="32"/>
        </w:rPr>
        <w:t>有效期并提供有效期的验证报告。</w:t>
      </w:r>
    </w:p>
    <w:p w14:paraId="29721941">
      <w:pPr>
        <w:numPr>
          <w:ilvl w:val="0"/>
          <w:numId w:val="11"/>
        </w:numPr>
        <w:spacing w:line="520" w:lineRule="exact"/>
        <w:ind w:left="0" w:firstLine="640" w:firstLineChars="200"/>
        <w:rPr>
          <w:rFonts w:eastAsia="仿宋_GB2312"/>
          <w:color w:val="000000"/>
          <w:sz w:val="32"/>
          <w:szCs w:val="32"/>
        </w:rPr>
      </w:pPr>
      <w:r>
        <w:rPr>
          <w:rFonts w:eastAsia="仿宋_GB2312"/>
          <w:color w:val="000000"/>
          <w:sz w:val="32"/>
          <w:szCs w:val="32"/>
        </w:rPr>
        <w:t xml:space="preserve">在宣称的有效期内以及运输储存条件下，申请人应提供保持包装完整性的依据，可参考GB/T 4857系列标准、International Safe Transit Association </w:t>
      </w:r>
      <w:r>
        <w:rPr>
          <w:rFonts w:hint="eastAsia" w:eastAsia="仿宋_GB2312"/>
          <w:color w:val="000000"/>
          <w:sz w:val="32"/>
          <w:szCs w:val="32"/>
        </w:rPr>
        <w:t>(</w:t>
      </w:r>
      <w:r>
        <w:rPr>
          <w:rFonts w:eastAsia="仿宋_GB2312"/>
          <w:color w:val="000000"/>
          <w:sz w:val="32"/>
          <w:szCs w:val="32"/>
        </w:rPr>
        <w:t>ISTA) 1， 2， 3， 7 SERIES、ISO 4180 Packaging、ASTM D4169 D7386 F2825等。</w:t>
      </w:r>
    </w:p>
    <w:p w14:paraId="56D2255E">
      <w:pPr>
        <w:numPr>
          <w:ilvl w:val="0"/>
          <w:numId w:val="7"/>
        </w:numPr>
        <w:spacing w:line="520" w:lineRule="exact"/>
        <w:ind w:left="0" w:firstLine="640" w:firstLineChars="200"/>
        <w:outlineLvl w:val="2"/>
        <w:rPr>
          <w:rFonts w:eastAsia="仿宋_GB2312"/>
          <w:color w:val="000000"/>
          <w:sz w:val="32"/>
          <w:szCs w:val="32"/>
        </w:rPr>
      </w:pPr>
      <w:bookmarkStart w:id="71" w:name="_Toc112680041"/>
      <w:r>
        <w:rPr>
          <w:rFonts w:eastAsia="仿宋_GB2312"/>
          <w:color w:val="000000"/>
          <w:sz w:val="32"/>
          <w:szCs w:val="32"/>
        </w:rPr>
        <w:t>其他资料</w:t>
      </w:r>
      <w:bookmarkEnd w:id="71"/>
    </w:p>
    <w:p w14:paraId="1C7D14D4">
      <w:pPr>
        <w:numPr>
          <w:ilvl w:val="1"/>
          <w:numId w:val="7"/>
        </w:numPr>
        <w:spacing w:line="520" w:lineRule="exact"/>
        <w:ind w:left="0" w:firstLine="640" w:firstLineChars="200"/>
        <w:outlineLvl w:val="3"/>
        <w:rPr>
          <w:rFonts w:eastAsia="仿宋_GB2312"/>
          <w:color w:val="000000"/>
          <w:sz w:val="32"/>
          <w:szCs w:val="32"/>
        </w:rPr>
      </w:pPr>
      <w:bookmarkStart w:id="72" w:name="_Toc112680042"/>
      <w:r>
        <w:rPr>
          <w:rFonts w:hint="eastAsia" w:eastAsia="仿宋_GB2312"/>
          <w:color w:val="000000"/>
          <w:sz w:val="32"/>
          <w:szCs w:val="32"/>
        </w:rPr>
        <w:t>脉搏血氧饱和度检测的准确度研究</w:t>
      </w:r>
      <w:bookmarkEnd w:id="72"/>
    </w:p>
    <w:p w14:paraId="699988C8">
      <w:pPr>
        <w:spacing w:line="520" w:lineRule="exact"/>
        <w:ind w:firstLine="640" w:firstLineChars="200"/>
        <w:rPr>
          <w:rFonts w:eastAsia="仿宋_GB2312"/>
          <w:bCs/>
          <w:color w:val="000000"/>
          <w:sz w:val="32"/>
          <w:szCs w:val="32"/>
        </w:rPr>
      </w:pPr>
      <w:r>
        <w:rPr>
          <w:rFonts w:hint="eastAsia" w:eastAsia="仿宋_GB2312"/>
          <w:bCs/>
          <w:color w:val="000000"/>
          <w:sz w:val="32"/>
          <w:szCs w:val="32"/>
        </w:rPr>
        <w:t>如适用，按照YY 0784-2010《医用电气设备 医用脉搏血氧仪设备基本安全和主要性能专用要求》，申请人应提供产品检测脉搏血氧饱和度的准确度研究资料。</w:t>
      </w:r>
    </w:p>
    <w:p w14:paraId="2C1B3955">
      <w:pPr>
        <w:numPr>
          <w:ilvl w:val="1"/>
          <w:numId w:val="7"/>
        </w:numPr>
        <w:spacing w:line="520" w:lineRule="exact"/>
        <w:ind w:left="0" w:firstLine="640" w:firstLineChars="200"/>
        <w:outlineLvl w:val="3"/>
        <w:rPr>
          <w:rFonts w:eastAsia="仿宋_GB2312"/>
          <w:color w:val="000000"/>
          <w:sz w:val="32"/>
          <w:szCs w:val="32"/>
        </w:rPr>
      </w:pPr>
      <w:bookmarkStart w:id="73" w:name="_Toc112680044"/>
      <w:r>
        <w:rPr>
          <w:rFonts w:hint="eastAsia" w:eastAsia="仿宋_GB2312"/>
          <w:color w:val="000000"/>
          <w:sz w:val="32"/>
          <w:szCs w:val="32"/>
        </w:rPr>
        <w:t>产品受益-风险评估研究</w:t>
      </w:r>
      <w:bookmarkEnd w:id="73"/>
    </w:p>
    <w:p w14:paraId="7EE38FD3">
      <w:pPr>
        <w:spacing w:line="520" w:lineRule="exact"/>
        <w:ind w:firstLine="640" w:firstLineChars="200"/>
        <w:rPr>
          <w:rFonts w:eastAsia="仿宋_GB2312"/>
          <w:bCs/>
          <w:color w:val="000000"/>
          <w:sz w:val="32"/>
          <w:szCs w:val="32"/>
        </w:rPr>
      </w:pPr>
      <w:r>
        <w:rPr>
          <w:rFonts w:hint="eastAsia" w:eastAsia="仿宋_GB2312"/>
          <w:bCs/>
          <w:color w:val="000000"/>
          <w:sz w:val="32"/>
          <w:szCs w:val="32"/>
        </w:rPr>
        <w:t>参考《医疗器械产品受益-风险评估注册技术审查指导原则》，申请人宜提供</w:t>
      </w:r>
      <w:r>
        <w:rPr>
          <w:rFonts w:hint="eastAsia" w:ascii="仿宋_GB2312" w:eastAsia="仿宋_GB2312"/>
          <w:sz w:val="32"/>
          <w:szCs w:val="32"/>
        </w:rPr>
        <w:t>产品</w:t>
      </w:r>
      <w:r>
        <w:rPr>
          <w:rFonts w:hint="eastAsia" w:eastAsia="仿宋_GB2312"/>
          <w:bCs/>
          <w:color w:val="000000"/>
          <w:sz w:val="32"/>
          <w:szCs w:val="32"/>
        </w:rPr>
        <w:t>受益-风险评估资料。</w:t>
      </w:r>
    </w:p>
    <w:p w14:paraId="68F30D3A">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74" w:name="_Toc112680045"/>
      <w:r>
        <w:rPr>
          <w:rFonts w:ascii="楷体_GB2312" w:eastAsia="楷体_GB2312"/>
          <w:bCs/>
          <w:color w:val="000000"/>
          <w:sz w:val="32"/>
          <w:szCs w:val="32"/>
        </w:rPr>
        <w:t>临床评价资料</w:t>
      </w:r>
      <w:bookmarkEnd w:id="74"/>
    </w:p>
    <w:p w14:paraId="7BF58F0A">
      <w:pPr>
        <w:spacing w:line="520" w:lineRule="exact"/>
        <w:ind w:firstLine="640" w:firstLineChars="200"/>
        <w:jc w:val="left"/>
        <w:rPr>
          <w:rFonts w:eastAsia="仿宋_GB2312"/>
          <w:sz w:val="32"/>
          <w:szCs w:val="32"/>
        </w:rPr>
      </w:pPr>
      <w:r>
        <w:rPr>
          <w:rFonts w:hint="eastAsia" w:eastAsia="仿宋_GB2312"/>
          <w:sz w:val="32"/>
          <w:szCs w:val="32"/>
        </w:rPr>
        <w:t>按照《医疗器械临床评价技术指导原则》，</w:t>
      </w:r>
      <w:r>
        <w:rPr>
          <w:rFonts w:eastAsia="仿宋_GB2312"/>
          <w:sz w:val="32"/>
          <w:szCs w:val="32"/>
        </w:rPr>
        <w:t>申请人应提供</w:t>
      </w:r>
      <w:r>
        <w:rPr>
          <w:rFonts w:hint="eastAsia" w:eastAsia="仿宋_GB2312"/>
          <w:sz w:val="32"/>
          <w:szCs w:val="32"/>
        </w:rPr>
        <w:t>产品</w:t>
      </w:r>
      <w:r>
        <w:rPr>
          <w:rFonts w:eastAsia="仿宋_GB2312"/>
          <w:sz w:val="32"/>
          <w:szCs w:val="32"/>
        </w:rPr>
        <w:t>的临床评价资料</w:t>
      </w:r>
      <w:r>
        <w:rPr>
          <w:rFonts w:hint="eastAsia" w:eastAsia="仿宋_GB2312"/>
          <w:sz w:val="32"/>
          <w:szCs w:val="32"/>
        </w:rPr>
        <w:t>。除非产品属于《决策是否开展医疗器械临床试验技术指导原则》第三部分中可考虑免于开展临床试验的情形，否则原则上申请人应通过临床试验路径开展临床评价。</w:t>
      </w:r>
    </w:p>
    <w:p w14:paraId="167D61E7">
      <w:pPr>
        <w:numPr>
          <w:ilvl w:val="0"/>
          <w:numId w:val="12"/>
        </w:numPr>
        <w:spacing w:line="520" w:lineRule="exact"/>
        <w:ind w:left="0" w:firstLine="640" w:firstLineChars="200"/>
        <w:outlineLvl w:val="2"/>
        <w:rPr>
          <w:rFonts w:eastAsia="仿宋_GB2312"/>
          <w:color w:val="000000"/>
          <w:sz w:val="32"/>
          <w:szCs w:val="32"/>
        </w:rPr>
      </w:pPr>
      <w:r>
        <w:rPr>
          <w:rFonts w:hint="eastAsia" w:eastAsia="仿宋_GB2312"/>
          <w:color w:val="000000"/>
          <w:sz w:val="32"/>
          <w:szCs w:val="32"/>
        </w:rPr>
        <w:t>可考虑</w:t>
      </w:r>
      <w:r>
        <w:rPr>
          <w:rFonts w:hint="eastAsia" w:eastAsia="仿宋_GB2312"/>
          <w:sz w:val="32"/>
          <w:szCs w:val="32"/>
        </w:rPr>
        <w:t>免于开展临床试验的情形</w:t>
      </w:r>
    </w:p>
    <w:p w14:paraId="4CCF210F">
      <w:pPr>
        <w:spacing w:line="520" w:lineRule="exact"/>
        <w:ind w:firstLine="642"/>
        <w:jc w:val="left"/>
        <w:rPr>
          <w:rFonts w:eastAsia="仿宋_GB2312"/>
          <w:sz w:val="32"/>
          <w:szCs w:val="32"/>
        </w:rPr>
      </w:pPr>
      <w:r>
        <w:rPr>
          <w:rFonts w:eastAsia="仿宋_GB2312"/>
          <w:sz w:val="32"/>
          <w:szCs w:val="32"/>
        </w:rPr>
        <w:t>按照《</w:t>
      </w:r>
      <w:r>
        <w:rPr>
          <w:rFonts w:hint="eastAsia" w:eastAsia="仿宋_GB2312"/>
          <w:sz w:val="32"/>
          <w:szCs w:val="32"/>
        </w:rPr>
        <w:t>医疗器械临床评价等同性论证技术指导原则</w:t>
      </w:r>
      <w:r>
        <w:rPr>
          <w:rFonts w:eastAsia="仿宋_GB2312"/>
          <w:sz w:val="32"/>
          <w:szCs w:val="32"/>
        </w:rPr>
        <w:t>》，申请人应通过分析评价同品种医疗器械的临床数据来确认</w:t>
      </w:r>
      <w:r>
        <w:rPr>
          <w:rFonts w:hint="eastAsia" w:ascii="仿宋_GB2312" w:eastAsia="仿宋_GB2312"/>
          <w:sz w:val="32"/>
          <w:szCs w:val="32"/>
        </w:rPr>
        <w:t>无创血糖/葡萄糖监测</w:t>
      </w:r>
      <w:r>
        <w:rPr>
          <w:rFonts w:eastAsia="仿宋_GB2312"/>
          <w:sz w:val="32"/>
          <w:szCs w:val="32"/>
        </w:rPr>
        <w:t>的安全性和有效性。</w:t>
      </w:r>
    </w:p>
    <w:p w14:paraId="6BA77D59">
      <w:pPr>
        <w:spacing w:line="520" w:lineRule="exact"/>
        <w:ind w:firstLine="642"/>
        <w:jc w:val="left"/>
        <w:rPr>
          <w:rFonts w:eastAsia="仿宋_GB2312"/>
          <w:sz w:val="32"/>
          <w:szCs w:val="32"/>
        </w:rPr>
      </w:pPr>
      <w:r>
        <w:rPr>
          <w:rFonts w:eastAsia="仿宋_GB2312"/>
          <w:sz w:val="32"/>
          <w:szCs w:val="32"/>
        </w:rPr>
        <w:t>申请人可按照《接受医疗器械境外临床试验数据技术指导原则》的要求提供申报产品境外临床试验数据，结合其他</w:t>
      </w:r>
      <w:r>
        <w:rPr>
          <w:rFonts w:hint="eastAsia" w:eastAsia="仿宋_GB2312"/>
          <w:sz w:val="32"/>
          <w:szCs w:val="32"/>
        </w:rPr>
        <w:t>资料和</w:t>
      </w:r>
      <w:r>
        <w:rPr>
          <w:rFonts w:eastAsia="仿宋_GB2312"/>
          <w:sz w:val="32"/>
          <w:szCs w:val="32"/>
        </w:rPr>
        <w:t>生产信息进行综合评价，确认</w:t>
      </w:r>
      <w:r>
        <w:rPr>
          <w:rFonts w:hint="eastAsia" w:ascii="仿宋_GB2312" w:eastAsia="仿宋_GB2312"/>
          <w:sz w:val="32"/>
          <w:szCs w:val="32"/>
        </w:rPr>
        <w:t>无创血糖/葡萄糖监测</w:t>
      </w:r>
      <w:r>
        <w:rPr>
          <w:rFonts w:eastAsia="仿宋_GB2312"/>
          <w:sz w:val="32"/>
          <w:szCs w:val="32"/>
        </w:rPr>
        <w:t>的安全性和有效性。</w:t>
      </w:r>
    </w:p>
    <w:p w14:paraId="1D9F197B">
      <w:pPr>
        <w:numPr>
          <w:ilvl w:val="0"/>
          <w:numId w:val="12"/>
        </w:numPr>
        <w:spacing w:line="520" w:lineRule="exact"/>
        <w:ind w:left="0" w:firstLine="640" w:firstLineChars="200"/>
        <w:outlineLvl w:val="2"/>
        <w:rPr>
          <w:rFonts w:eastAsia="仿宋_GB2312"/>
          <w:color w:val="000000"/>
          <w:sz w:val="32"/>
          <w:szCs w:val="32"/>
        </w:rPr>
      </w:pPr>
      <w:bookmarkStart w:id="75" w:name="_Toc112680047"/>
      <w:r>
        <w:rPr>
          <w:rFonts w:eastAsia="仿宋_GB2312"/>
          <w:color w:val="000000"/>
          <w:sz w:val="32"/>
          <w:szCs w:val="32"/>
        </w:rPr>
        <w:t>通过临床试验数据进行分析、评价</w:t>
      </w:r>
      <w:bookmarkEnd w:id="75"/>
    </w:p>
    <w:p w14:paraId="7BA145D8">
      <w:pPr>
        <w:spacing w:line="520" w:lineRule="exact"/>
        <w:ind w:firstLine="640" w:firstLineChars="200"/>
        <w:jc w:val="left"/>
        <w:rPr>
          <w:rFonts w:eastAsia="仿宋_GB2312"/>
          <w:sz w:val="32"/>
          <w:szCs w:val="32"/>
        </w:rPr>
      </w:pPr>
      <w:r>
        <w:rPr>
          <w:rFonts w:eastAsia="仿宋_GB2312"/>
          <w:color w:val="000000"/>
          <w:sz w:val="32"/>
          <w:szCs w:val="32"/>
        </w:rPr>
        <w:t>申请人</w:t>
      </w:r>
      <w:r>
        <w:rPr>
          <w:rFonts w:eastAsia="仿宋_GB2312"/>
          <w:sz w:val="32"/>
          <w:szCs w:val="32"/>
        </w:rPr>
        <w:t>可参考《医疗器械临床试验设计指导原则》来确认</w:t>
      </w:r>
      <w:r>
        <w:rPr>
          <w:rFonts w:hint="eastAsia" w:ascii="仿宋_GB2312" w:eastAsia="仿宋_GB2312"/>
          <w:sz w:val="32"/>
          <w:szCs w:val="32"/>
        </w:rPr>
        <w:t>无创血糖/葡萄糖监测</w:t>
      </w:r>
      <w:r>
        <w:rPr>
          <w:rFonts w:eastAsia="仿宋_GB2312"/>
          <w:color w:val="000000"/>
          <w:sz w:val="32"/>
          <w:szCs w:val="32"/>
        </w:rPr>
        <w:t>的</w:t>
      </w:r>
      <w:r>
        <w:rPr>
          <w:rFonts w:eastAsia="仿宋_GB2312"/>
          <w:sz w:val="32"/>
          <w:szCs w:val="32"/>
        </w:rPr>
        <w:t>安全性和有效性。</w:t>
      </w:r>
    </w:p>
    <w:p w14:paraId="473946C6">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76" w:name="_Toc112680048"/>
      <w:r>
        <w:rPr>
          <w:rFonts w:ascii="楷体_GB2312" w:eastAsia="楷体_GB2312"/>
          <w:bCs/>
          <w:color w:val="000000"/>
          <w:sz w:val="32"/>
          <w:szCs w:val="32"/>
        </w:rPr>
        <w:t>产品说明书</w:t>
      </w:r>
      <w:bookmarkEnd w:id="76"/>
    </w:p>
    <w:p w14:paraId="5C95AA75">
      <w:pPr>
        <w:numPr>
          <w:ilvl w:val="0"/>
          <w:numId w:val="13"/>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注意事项、警示以及提示性内容</w:t>
      </w:r>
    </w:p>
    <w:p w14:paraId="74B9216B">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申请人应提供无创血糖/葡萄糖监测和操作相关的必要内容，一般以“危险”“警告”“注意”等形式体现，应关注下述内容：</w:t>
      </w:r>
    </w:p>
    <w:p w14:paraId="1EB4A396">
      <w:pPr>
        <w:numPr>
          <w:ilvl w:val="0"/>
          <w:numId w:val="14"/>
        </w:numPr>
        <w:spacing w:line="520" w:lineRule="exact"/>
        <w:ind w:left="0" w:firstLine="640" w:firstLineChars="200"/>
        <w:rPr>
          <w:rFonts w:eastAsia="仿宋_GB2312"/>
          <w:color w:val="000000"/>
          <w:sz w:val="32"/>
          <w:szCs w:val="32"/>
        </w:rPr>
      </w:pPr>
      <w:r>
        <w:rPr>
          <w:rFonts w:eastAsia="仿宋_GB2312"/>
          <w:color w:val="000000"/>
          <w:sz w:val="32"/>
          <w:szCs w:val="32"/>
        </w:rPr>
        <w:t>潜在的安全危害及使用限制</w:t>
      </w:r>
      <w:r>
        <w:rPr>
          <w:rFonts w:hint="eastAsia" w:eastAsia="仿宋_GB2312"/>
          <w:color w:val="000000"/>
          <w:sz w:val="32"/>
          <w:szCs w:val="32"/>
        </w:rPr>
        <w:t>；</w:t>
      </w:r>
    </w:p>
    <w:p w14:paraId="12F4712F">
      <w:pPr>
        <w:numPr>
          <w:ilvl w:val="0"/>
          <w:numId w:val="14"/>
        </w:numPr>
        <w:spacing w:line="520" w:lineRule="exact"/>
        <w:ind w:left="0" w:firstLine="640" w:firstLineChars="200"/>
        <w:rPr>
          <w:rFonts w:eastAsia="仿宋_GB2312"/>
          <w:color w:val="000000"/>
          <w:sz w:val="32"/>
          <w:szCs w:val="32"/>
        </w:rPr>
      </w:pPr>
      <w:r>
        <w:rPr>
          <w:rFonts w:eastAsia="仿宋_GB2312"/>
          <w:color w:val="000000"/>
          <w:sz w:val="32"/>
          <w:szCs w:val="32"/>
        </w:rPr>
        <w:t>产品在正确使用过程中出现意外时对操作者、使用者的保护措施以及应当采取的应急和纠正措施</w:t>
      </w:r>
      <w:r>
        <w:rPr>
          <w:rFonts w:hint="eastAsia" w:eastAsia="仿宋_GB2312"/>
          <w:color w:val="000000"/>
          <w:sz w:val="32"/>
          <w:szCs w:val="32"/>
        </w:rPr>
        <w:t>。</w:t>
      </w:r>
    </w:p>
    <w:p w14:paraId="0A2057C6">
      <w:pPr>
        <w:numPr>
          <w:ilvl w:val="0"/>
          <w:numId w:val="14"/>
        </w:numPr>
        <w:spacing w:line="520" w:lineRule="exact"/>
        <w:ind w:left="0" w:firstLine="640" w:firstLineChars="200"/>
        <w:rPr>
          <w:rFonts w:eastAsia="仿宋_GB2312"/>
          <w:color w:val="000000"/>
          <w:sz w:val="32"/>
          <w:szCs w:val="32"/>
        </w:rPr>
      </w:pPr>
      <w:r>
        <w:rPr>
          <w:rFonts w:eastAsia="仿宋_GB2312"/>
          <w:color w:val="000000"/>
          <w:sz w:val="32"/>
          <w:szCs w:val="32"/>
        </w:rPr>
        <w:t>产品需要同其他医疗器械一起安装或者联合使用时，应当注明联合使用器械的要求、使用方法、注意事项</w:t>
      </w:r>
      <w:r>
        <w:rPr>
          <w:rFonts w:hint="eastAsia" w:eastAsia="仿宋_GB2312"/>
          <w:color w:val="000000"/>
          <w:sz w:val="32"/>
          <w:szCs w:val="32"/>
        </w:rPr>
        <w:t>。</w:t>
      </w:r>
    </w:p>
    <w:p w14:paraId="15D4057F">
      <w:pPr>
        <w:numPr>
          <w:ilvl w:val="0"/>
          <w:numId w:val="14"/>
        </w:numPr>
        <w:spacing w:line="520" w:lineRule="exact"/>
        <w:ind w:left="0" w:firstLine="640" w:firstLineChars="200"/>
        <w:rPr>
          <w:rFonts w:eastAsia="仿宋_GB2312"/>
          <w:color w:val="000000"/>
          <w:sz w:val="32"/>
          <w:szCs w:val="32"/>
        </w:rPr>
      </w:pPr>
      <w:r>
        <w:rPr>
          <w:rFonts w:eastAsia="仿宋_GB2312"/>
          <w:color w:val="000000"/>
          <w:sz w:val="32"/>
          <w:szCs w:val="32"/>
        </w:rPr>
        <w:t>在使用过程中，与其他产品可能产生的相互干扰及其可能出现的危害</w:t>
      </w:r>
      <w:r>
        <w:rPr>
          <w:rFonts w:hint="eastAsia" w:eastAsia="仿宋_GB2312"/>
          <w:color w:val="000000"/>
          <w:sz w:val="32"/>
          <w:szCs w:val="32"/>
        </w:rPr>
        <w:t>。</w:t>
      </w:r>
    </w:p>
    <w:p w14:paraId="2BA00474">
      <w:pPr>
        <w:numPr>
          <w:ilvl w:val="0"/>
          <w:numId w:val="14"/>
        </w:numPr>
        <w:spacing w:line="520" w:lineRule="exact"/>
        <w:ind w:left="0" w:firstLine="640" w:firstLineChars="200"/>
        <w:rPr>
          <w:rFonts w:eastAsia="仿宋_GB2312"/>
          <w:color w:val="000000"/>
          <w:sz w:val="32"/>
          <w:szCs w:val="32"/>
        </w:rPr>
      </w:pPr>
      <w:r>
        <w:rPr>
          <w:rFonts w:eastAsia="仿宋_GB2312"/>
          <w:color w:val="000000"/>
          <w:sz w:val="32"/>
          <w:szCs w:val="32"/>
        </w:rPr>
        <w:t>产品使用中可能带来的不良事件或者产品成分中含有的可能引起副作用的成分或者辅料</w:t>
      </w:r>
      <w:r>
        <w:rPr>
          <w:rFonts w:hint="eastAsia" w:eastAsia="仿宋_GB2312"/>
          <w:color w:val="000000"/>
          <w:sz w:val="32"/>
          <w:szCs w:val="32"/>
        </w:rPr>
        <w:t>。</w:t>
      </w:r>
    </w:p>
    <w:p w14:paraId="647E52B5">
      <w:pPr>
        <w:numPr>
          <w:ilvl w:val="0"/>
          <w:numId w:val="13"/>
        </w:numPr>
        <w:spacing w:line="520" w:lineRule="exact"/>
        <w:ind w:left="0" w:firstLine="640" w:firstLineChars="200"/>
        <w:outlineLvl w:val="2"/>
        <w:rPr>
          <w:rFonts w:eastAsia="仿宋_GB2312"/>
          <w:color w:val="000000"/>
          <w:sz w:val="32"/>
          <w:szCs w:val="32"/>
        </w:rPr>
      </w:pPr>
      <w:r>
        <w:rPr>
          <w:rFonts w:hint="eastAsia" w:eastAsia="仿宋_GB2312"/>
          <w:color w:val="000000"/>
          <w:sz w:val="32"/>
          <w:szCs w:val="32"/>
        </w:rPr>
        <w:t>无创血糖/葡萄糖估算的校准</w:t>
      </w:r>
    </w:p>
    <w:p w14:paraId="3A7621EB">
      <w:pPr>
        <w:spacing w:line="520" w:lineRule="exact"/>
        <w:ind w:firstLine="640"/>
        <w:rPr>
          <w:rFonts w:eastAsia="仿宋_GB2312"/>
          <w:color w:val="000000"/>
          <w:sz w:val="32"/>
          <w:szCs w:val="32"/>
        </w:rPr>
      </w:pPr>
      <w:r>
        <w:rPr>
          <w:rFonts w:hint="eastAsia" w:eastAsia="仿宋_GB2312"/>
          <w:color w:val="000000"/>
          <w:sz w:val="32"/>
          <w:szCs w:val="32"/>
        </w:rPr>
        <w:t>申请人应明确产品使用中是否需要校准。如需要，申请人应明确推荐用于</w:t>
      </w:r>
      <w:r>
        <w:rPr>
          <w:rFonts w:hint="eastAsia" w:ascii="仿宋_GB2312" w:eastAsia="仿宋_GB2312"/>
          <w:sz w:val="32"/>
          <w:szCs w:val="32"/>
        </w:rPr>
        <w:t>无创血糖/葡萄糖检测结果</w:t>
      </w:r>
      <w:r>
        <w:rPr>
          <w:rFonts w:hint="eastAsia" w:eastAsia="仿宋_GB2312"/>
          <w:color w:val="000000"/>
          <w:sz w:val="32"/>
          <w:szCs w:val="32"/>
        </w:rPr>
        <w:t>校准的医疗器械基本信息，例如</w:t>
      </w:r>
      <w:r>
        <w:rPr>
          <w:rFonts w:hint="eastAsia" w:eastAsia="仿宋_GB2312"/>
          <w:sz w:val="32"/>
          <w:szCs w:val="32"/>
        </w:rPr>
        <w:t>医疗器械注册证编号、注册人名称、产品名称、型号规格等</w:t>
      </w:r>
      <w:r>
        <w:rPr>
          <w:rFonts w:hint="eastAsia" w:eastAsia="仿宋_GB2312"/>
          <w:color w:val="000000"/>
          <w:sz w:val="32"/>
          <w:szCs w:val="32"/>
        </w:rPr>
        <w:t>。</w:t>
      </w:r>
    </w:p>
    <w:p w14:paraId="0141423E">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明确无创血糖/葡萄糖估算的校准程序、校准方法、校准质量控制要求和注意事项。并明确校准的关键信息，例如，启动校准程序的条件、最低的和推荐的校准持续时间和校准次数、推荐的校准时间表等。</w:t>
      </w:r>
    </w:p>
    <w:p w14:paraId="04488088">
      <w:pPr>
        <w:numPr>
          <w:ilvl w:val="0"/>
          <w:numId w:val="13"/>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预期使用环境</w:t>
      </w:r>
      <w:r>
        <w:rPr>
          <w:rFonts w:hint="eastAsia" w:eastAsia="仿宋_GB2312"/>
          <w:color w:val="000000"/>
          <w:sz w:val="32"/>
          <w:szCs w:val="32"/>
        </w:rPr>
        <w:t>要求</w:t>
      </w:r>
    </w:p>
    <w:p w14:paraId="423B77E9">
      <w:pPr>
        <w:spacing w:line="52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_Ref112669049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预期使用环境</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，结合</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_Ref113528485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产品风险管理资料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_Ref113528513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研究资料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的内容，申请人应明确推荐的产品预期使用地点和环境条件</w:t>
      </w:r>
      <w:r>
        <w:rPr>
          <w:rFonts w:hint="eastAsia" w:ascii="仿宋_GB2312" w:eastAsia="仿宋_GB2312"/>
          <w:sz w:val="32"/>
          <w:szCs w:val="32"/>
        </w:rPr>
        <w:t>。对于</w:t>
      </w:r>
      <w:r>
        <w:rPr>
          <w:rFonts w:hint="eastAsia" w:ascii="仿宋_GB2312" w:eastAsia="仿宋_GB2312"/>
          <w:bCs/>
          <w:color w:val="000000"/>
          <w:sz w:val="32"/>
          <w:szCs w:val="32"/>
        </w:rPr>
        <w:t>可能影响产品安全性和有效性的环境条件，如温度、湿度、压力、移动、振动、海拔等，申请人应提供</w:t>
      </w:r>
      <w:r>
        <w:rPr>
          <w:rFonts w:hint="eastAsia" w:ascii="仿宋_GB2312" w:eastAsia="仿宋_GB2312"/>
          <w:color w:val="000000"/>
          <w:sz w:val="32"/>
          <w:szCs w:val="32"/>
        </w:rPr>
        <w:t>注意事项、警示以及提示性内容</w:t>
      </w:r>
      <w:r>
        <w:rPr>
          <w:rFonts w:hint="eastAsia" w:ascii="仿宋_GB2312" w:eastAsia="仿宋_GB2312"/>
          <w:bCs/>
          <w:color w:val="000000"/>
          <w:sz w:val="32"/>
          <w:szCs w:val="32"/>
        </w:rPr>
        <w:t>。</w:t>
      </w:r>
    </w:p>
    <w:p w14:paraId="58C967AD">
      <w:pPr>
        <w:numPr>
          <w:ilvl w:val="0"/>
          <w:numId w:val="1"/>
        </w:numPr>
        <w:spacing w:line="520" w:lineRule="exact"/>
        <w:ind w:left="0" w:firstLine="640" w:firstLineChars="200"/>
        <w:outlineLvl w:val="0"/>
        <w:rPr>
          <w:rFonts w:ascii="黑体" w:hAnsi="黑体" w:eastAsia="黑体"/>
          <w:sz w:val="32"/>
          <w:szCs w:val="32"/>
        </w:rPr>
      </w:pPr>
      <w:bookmarkStart w:id="77" w:name="_Toc112680052"/>
      <w:bookmarkStart w:id="78" w:name="_Toc28594"/>
      <w:bookmarkStart w:id="79" w:name="_Toc467833260"/>
      <w:bookmarkStart w:id="80" w:name="_Toc432753654"/>
      <w:bookmarkStart w:id="81" w:name="_Toc24966881"/>
      <w:r>
        <w:rPr>
          <w:rFonts w:hint="eastAsia" w:ascii="黑体" w:hAnsi="黑体" w:eastAsia="黑体"/>
          <w:sz w:val="32"/>
          <w:szCs w:val="32"/>
        </w:rPr>
        <w:t>参考文献</w:t>
      </w:r>
      <w:bookmarkEnd w:id="77"/>
    </w:p>
    <w:p w14:paraId="6E4265B9">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医疗机构管理条例（2016修订）</w:t>
      </w:r>
      <w:r>
        <w:rPr>
          <w:rFonts w:eastAsia="仿宋_GB2312"/>
          <w:sz w:val="32"/>
          <w:szCs w:val="32"/>
        </w:rPr>
        <w:t>[Z].</w:t>
      </w:r>
    </w:p>
    <w:p w14:paraId="481D782E">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医疗机构管理条例实施细则（委令第12号）</w:t>
      </w:r>
      <w:r>
        <w:rPr>
          <w:rFonts w:eastAsia="仿宋_GB2312"/>
          <w:sz w:val="32"/>
          <w:szCs w:val="32"/>
        </w:rPr>
        <w:t>[Z]</w:t>
      </w:r>
      <w:r>
        <w:rPr>
          <w:rFonts w:hint="eastAsia" w:eastAsia="仿宋_GB2312"/>
          <w:sz w:val="32"/>
          <w:szCs w:val="32"/>
        </w:rPr>
        <w:t>.</w:t>
      </w:r>
    </w:p>
    <w:p w14:paraId="1F20078D">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公共场所卫生管理条例（2016修订）</w:t>
      </w:r>
      <w:r>
        <w:rPr>
          <w:rFonts w:eastAsia="仿宋_GB2312"/>
          <w:sz w:val="32"/>
          <w:szCs w:val="32"/>
        </w:rPr>
        <w:t>[Z]</w:t>
      </w:r>
    </w:p>
    <w:p w14:paraId="3F02EB1F">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医疗器械注册与备案管理办法（总局令第47号）[Z]</w:t>
      </w:r>
      <w:r>
        <w:rPr>
          <w:rFonts w:hint="eastAsia" w:eastAsia="仿宋_GB2312"/>
          <w:sz w:val="32"/>
          <w:szCs w:val="32"/>
        </w:rPr>
        <w:t>.</w:t>
      </w:r>
    </w:p>
    <w:p w14:paraId="6E02CE37">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医疗器械生产质量管理规范（2014年第64号公告）[Z]</w:t>
      </w:r>
      <w:r>
        <w:rPr>
          <w:rFonts w:hint="eastAsia" w:eastAsia="仿宋_GB2312"/>
          <w:sz w:val="32"/>
          <w:szCs w:val="32"/>
        </w:rPr>
        <w:t>.</w:t>
      </w:r>
    </w:p>
    <w:p w14:paraId="4F4CC119">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医疗器械说明书和标签管理规定（总局令第6号）</w:t>
      </w:r>
      <w:r>
        <w:rPr>
          <w:rFonts w:eastAsia="仿宋_GB2312"/>
          <w:kern w:val="0"/>
          <w:sz w:val="32"/>
          <w:szCs w:val="32"/>
        </w:rPr>
        <w:t>[Z]</w:t>
      </w:r>
      <w:r>
        <w:rPr>
          <w:rFonts w:hint="eastAsia" w:eastAsia="仿宋_GB2312"/>
          <w:sz w:val="32"/>
          <w:szCs w:val="32"/>
        </w:rPr>
        <w:t>.</w:t>
      </w:r>
    </w:p>
    <w:p w14:paraId="76AB92BE">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医疗器械分类规则（总局令第15号）[Z]</w:t>
      </w:r>
      <w:r>
        <w:rPr>
          <w:rFonts w:hint="eastAsia" w:eastAsia="仿宋_GB2312"/>
          <w:sz w:val="32"/>
          <w:szCs w:val="32"/>
        </w:rPr>
        <w:t>.</w:t>
      </w:r>
    </w:p>
    <w:p w14:paraId="61B8FBAA">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关于乳腺摄影立体定位装置等153个产品分类界定的通知（食药监办械管</w:t>
      </w:r>
      <w:r>
        <w:rPr>
          <w:rFonts w:eastAsia="仿宋_GB2312"/>
          <w:sz w:val="32"/>
          <w:szCs w:val="32"/>
        </w:rPr>
        <w:t>〔2015〕49号</w:t>
      </w:r>
      <w:r>
        <w:rPr>
          <w:rFonts w:hint="eastAsia" w:eastAsia="仿宋_GB2312"/>
          <w:sz w:val="32"/>
          <w:szCs w:val="32"/>
        </w:rPr>
        <w:t>）</w:t>
      </w:r>
      <w:r>
        <w:rPr>
          <w:rFonts w:eastAsia="仿宋_GB2312"/>
          <w:sz w:val="32"/>
          <w:szCs w:val="32"/>
        </w:rPr>
        <w:t>[Z].</w:t>
      </w:r>
    </w:p>
    <w:p w14:paraId="3A829489">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医疗器械通用名称命名规则（总局令第19号）</w:t>
      </w:r>
      <w:r>
        <w:rPr>
          <w:rFonts w:eastAsia="仿宋_GB2312"/>
          <w:sz w:val="32"/>
          <w:szCs w:val="32"/>
        </w:rPr>
        <w:t>[Z].</w:t>
      </w:r>
    </w:p>
    <w:p w14:paraId="2F298C5E">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医疗器械召回管理办法（总局令第29号）[Z]</w:t>
      </w:r>
      <w:r>
        <w:rPr>
          <w:rFonts w:hint="eastAsia" w:eastAsia="仿宋_GB2312"/>
          <w:sz w:val="32"/>
          <w:szCs w:val="32"/>
        </w:rPr>
        <w:t>.</w:t>
      </w:r>
    </w:p>
    <w:p w14:paraId="67FACA0A">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医疗器械不良事件监测和再评价管理办法（总局令第1号）[Z].</w:t>
      </w:r>
    </w:p>
    <w:p w14:paraId="275C1F77">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医疗器械注册申报资料要求和批准证明文件格式（2021年第121号公告）[Z]</w:t>
      </w:r>
      <w:r>
        <w:rPr>
          <w:rFonts w:hint="eastAsia" w:eastAsia="仿宋_GB2312"/>
          <w:sz w:val="32"/>
          <w:szCs w:val="32"/>
        </w:rPr>
        <w:t>.</w:t>
      </w:r>
    </w:p>
    <w:p w14:paraId="56EBCEBC">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医疗器械注册自检管理规定（2021年第126号公告）[Z]</w:t>
      </w:r>
      <w:r>
        <w:rPr>
          <w:rFonts w:hint="eastAsia" w:eastAsia="仿宋_GB2312"/>
          <w:sz w:val="32"/>
          <w:szCs w:val="32"/>
        </w:rPr>
        <w:t>.</w:t>
      </w:r>
    </w:p>
    <w:p w14:paraId="1F76734C">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医疗器械安全和性能的基本原则（2020年第18号通告）[Z]</w:t>
      </w:r>
      <w:r>
        <w:rPr>
          <w:rFonts w:hint="eastAsia" w:eastAsia="仿宋_GB2312"/>
          <w:sz w:val="32"/>
          <w:szCs w:val="32"/>
        </w:rPr>
        <w:t>.</w:t>
      </w:r>
    </w:p>
    <w:p w14:paraId="399EF890">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医疗器械安全和性能基本原则符合性技术指南（2022年第29号通告）</w:t>
      </w:r>
      <w:r>
        <w:rPr>
          <w:rFonts w:eastAsia="仿宋_GB2312"/>
          <w:sz w:val="32"/>
          <w:szCs w:val="32"/>
        </w:rPr>
        <w:t>[Z]</w:t>
      </w:r>
      <w:r>
        <w:rPr>
          <w:rFonts w:hint="eastAsia" w:eastAsia="仿宋_GB2312"/>
          <w:sz w:val="32"/>
          <w:szCs w:val="32"/>
        </w:rPr>
        <w:t>.</w:t>
      </w:r>
    </w:p>
    <w:p w14:paraId="6661B978">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医疗器械注册单元划分指导原则（2017年第187号通告）[Z]</w:t>
      </w:r>
      <w:r>
        <w:rPr>
          <w:rFonts w:hint="eastAsia" w:eastAsia="仿宋_GB2312"/>
          <w:sz w:val="32"/>
          <w:szCs w:val="32"/>
        </w:rPr>
        <w:t>.</w:t>
      </w:r>
    </w:p>
    <w:p w14:paraId="2B77781C">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医疗器械产品技术要求编写指导原则（2022年第8号通告）[Z]</w:t>
      </w:r>
      <w:r>
        <w:rPr>
          <w:rFonts w:hint="eastAsia" w:eastAsia="仿宋_GB2312"/>
          <w:sz w:val="32"/>
          <w:szCs w:val="32"/>
        </w:rPr>
        <w:t>.</w:t>
      </w:r>
    </w:p>
    <w:p w14:paraId="36A93A35">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医疗器械临床评价技术指导原则（2021年第73号通告）[Z]</w:t>
      </w:r>
      <w:r>
        <w:rPr>
          <w:rFonts w:hint="eastAsia" w:eastAsia="仿宋_GB2312"/>
          <w:sz w:val="32"/>
          <w:szCs w:val="32"/>
        </w:rPr>
        <w:t>.</w:t>
      </w:r>
    </w:p>
    <w:p w14:paraId="2C8114F6">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脉搏血氧仪设备临床评价技术指导原则</w:t>
      </w:r>
      <w:r>
        <w:rPr>
          <w:rFonts w:eastAsia="仿宋_GB2312"/>
          <w:sz w:val="32"/>
          <w:szCs w:val="32"/>
        </w:rPr>
        <w:t>（2016年第21号通告）[Z]</w:t>
      </w:r>
      <w:r>
        <w:rPr>
          <w:rFonts w:hint="eastAsia" w:eastAsia="仿宋_GB2312"/>
          <w:sz w:val="32"/>
          <w:szCs w:val="32"/>
        </w:rPr>
        <w:t>.</w:t>
      </w:r>
    </w:p>
    <w:p w14:paraId="2F66DFE2">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医疗器械软件注册技术审查指导原则（2015年第50号通告）[Z]</w:t>
      </w:r>
      <w:r>
        <w:rPr>
          <w:rFonts w:hint="eastAsia" w:eastAsia="仿宋_GB2312"/>
          <w:sz w:val="32"/>
          <w:szCs w:val="32"/>
        </w:rPr>
        <w:t>.</w:t>
      </w:r>
    </w:p>
    <w:p w14:paraId="74FAE9E2">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医疗器械网络安全注册技术审查指导原则（2017年第13号通告）[Z]</w:t>
      </w:r>
      <w:r>
        <w:rPr>
          <w:rFonts w:hint="eastAsia" w:eastAsia="仿宋_GB2312"/>
          <w:sz w:val="32"/>
          <w:szCs w:val="32"/>
        </w:rPr>
        <w:t>.</w:t>
      </w:r>
    </w:p>
    <w:p w14:paraId="70084678">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移动医疗器械注册技术审查指导原则（2017年第222号通告）[Z]</w:t>
      </w:r>
      <w:r>
        <w:rPr>
          <w:rFonts w:hint="eastAsia" w:eastAsia="仿宋_GB2312"/>
          <w:sz w:val="32"/>
          <w:szCs w:val="32"/>
        </w:rPr>
        <w:t>.</w:t>
      </w:r>
    </w:p>
    <w:p w14:paraId="0884532C">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有源医疗器械使用期限注册技术审查指导原则（2019年第23号通告）[Z]</w:t>
      </w:r>
      <w:r>
        <w:rPr>
          <w:rFonts w:hint="eastAsia" w:eastAsia="仿宋_GB2312"/>
          <w:sz w:val="32"/>
          <w:szCs w:val="32"/>
        </w:rPr>
        <w:t>.</w:t>
      </w:r>
    </w:p>
    <w:p w14:paraId="1C0D2EF0">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医疗器械通用名称命名指导原则（2019年第99号通告）[Z]</w:t>
      </w:r>
      <w:r>
        <w:rPr>
          <w:rFonts w:hint="eastAsia" w:eastAsia="仿宋_GB2312"/>
          <w:sz w:val="32"/>
          <w:szCs w:val="32"/>
        </w:rPr>
        <w:t>.</w:t>
      </w:r>
    </w:p>
    <w:p w14:paraId="4BE2A310">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中国血糖监测临床应用指南（2021年版）</w:t>
      </w:r>
      <w:r>
        <w:rPr>
          <w:rFonts w:eastAsia="仿宋_GB2312"/>
          <w:sz w:val="32"/>
          <w:szCs w:val="32"/>
        </w:rPr>
        <w:t>[Z].</w:t>
      </w:r>
    </w:p>
    <w:p w14:paraId="4F3FF20D">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WS</w:t>
      </w:r>
      <w:r>
        <w:rPr>
          <w:rFonts w:eastAsia="仿宋_GB2312"/>
          <w:sz w:val="32"/>
          <w:szCs w:val="32"/>
        </w:rPr>
        <w:t>/</w:t>
      </w:r>
      <w:r>
        <w:rPr>
          <w:rFonts w:hint="eastAsia" w:eastAsia="仿宋_GB2312"/>
          <w:sz w:val="32"/>
          <w:szCs w:val="32"/>
        </w:rPr>
        <w:t>T 781，便携式血糖仪临床操作和质量管理指南[S].</w:t>
      </w:r>
    </w:p>
    <w:p w14:paraId="0466F4D3">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FDA</w:t>
      </w:r>
      <w:r>
        <w:rPr>
          <w:rFonts w:eastAsia="仿宋_GB2312"/>
          <w:sz w:val="32"/>
          <w:szCs w:val="32"/>
        </w:rPr>
        <w:t>, Self-Monitoring Blood Glucose Test Systems for Over-the-Counter Use</w:t>
      </w:r>
      <w:r>
        <w:rPr>
          <w:rFonts w:hint="eastAsia" w:eastAsia="仿宋_GB2312"/>
          <w:sz w:val="32"/>
          <w:szCs w:val="32"/>
        </w:rPr>
        <w:t>[Z]</w:t>
      </w:r>
      <w:r>
        <w:rPr>
          <w:rFonts w:eastAsia="仿宋_GB2312"/>
          <w:sz w:val="32"/>
          <w:szCs w:val="32"/>
        </w:rPr>
        <w:t>.</w:t>
      </w:r>
    </w:p>
    <w:p w14:paraId="471E7322">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ISO 15197</w:t>
      </w:r>
      <w:r>
        <w:rPr>
          <w:rFonts w:hint="eastAsia" w:eastAsia="仿宋_GB2312"/>
          <w:sz w:val="32"/>
          <w:szCs w:val="32"/>
        </w:rPr>
        <w:t>,</w:t>
      </w:r>
      <w:r>
        <w:rPr>
          <w:rFonts w:eastAsia="仿宋_GB2312"/>
          <w:sz w:val="32"/>
          <w:szCs w:val="32"/>
        </w:rPr>
        <w:t xml:space="preserve"> In vitro diagnostic test systems - Requirements for blood-glucose monitoring systems for self-testing in managing diabetes mellitus</w:t>
      </w:r>
      <w:r>
        <w:rPr>
          <w:rFonts w:hint="eastAsia" w:eastAsia="仿宋_GB2312"/>
          <w:sz w:val="32"/>
          <w:szCs w:val="32"/>
        </w:rPr>
        <w:t>[S]</w:t>
      </w:r>
      <w:r>
        <w:rPr>
          <w:rFonts w:eastAsia="仿宋_GB2312"/>
          <w:sz w:val="32"/>
          <w:szCs w:val="32"/>
        </w:rPr>
        <w:t>.</w:t>
      </w:r>
    </w:p>
    <w:p w14:paraId="447477D9">
      <w:pPr>
        <w:numPr>
          <w:ilvl w:val="0"/>
          <w:numId w:val="15"/>
        </w:numPr>
        <w:overflowPunct w:val="0"/>
        <w:spacing w:line="520" w:lineRule="exact"/>
        <w:ind w:left="0" w:firstLine="640" w:firstLineChars="200"/>
        <w:rPr>
          <w:rFonts w:eastAsia="仿宋_GB2312"/>
          <w:sz w:val="32"/>
          <w:szCs w:val="32"/>
        </w:rPr>
      </w:pPr>
      <w:r>
        <w:rPr>
          <w:rFonts w:eastAsia="仿宋_GB2312"/>
          <w:sz w:val="32"/>
          <w:szCs w:val="32"/>
        </w:rPr>
        <w:t>ASME V&amp;V 40, Assessing Credibility of Computational Modeling through Verification and Validation: Application to Medical Devices</w:t>
      </w:r>
      <w:r>
        <w:rPr>
          <w:rFonts w:hint="eastAsia" w:eastAsia="仿宋_GB2312"/>
          <w:sz w:val="32"/>
          <w:szCs w:val="32"/>
        </w:rPr>
        <w:t>[S]</w:t>
      </w:r>
      <w:r>
        <w:rPr>
          <w:rFonts w:eastAsia="仿宋_GB2312"/>
          <w:sz w:val="32"/>
          <w:szCs w:val="32"/>
        </w:rPr>
        <w:t>.</w:t>
      </w:r>
    </w:p>
    <w:p w14:paraId="55C54C80">
      <w:pPr>
        <w:numPr>
          <w:ilvl w:val="0"/>
          <w:numId w:val="15"/>
        </w:numPr>
        <w:overflowPunct w:val="0"/>
        <w:spacing w:line="520" w:lineRule="exact"/>
        <w:ind w:left="0" w:firstLine="640" w:firstLineChars="200"/>
        <w:rPr>
          <w:rFonts w:eastAsia="仿宋_GB2312"/>
          <w:sz w:val="32"/>
          <w:szCs w:val="32"/>
        </w:rPr>
      </w:pPr>
      <w:r>
        <w:rPr>
          <w:rFonts w:hint="eastAsia" w:eastAsia="仿宋_GB2312"/>
          <w:sz w:val="32"/>
          <w:szCs w:val="32"/>
        </w:rPr>
        <w:t>FDA</w:t>
      </w:r>
      <w:r>
        <w:rPr>
          <w:rFonts w:eastAsia="仿宋_GB2312"/>
          <w:sz w:val="32"/>
          <w:szCs w:val="32"/>
        </w:rPr>
        <w:t>, Reporting of Computational Modeling Studies in Medical Device Submissions</w:t>
      </w:r>
      <w:r>
        <w:rPr>
          <w:rFonts w:hint="eastAsia" w:eastAsia="仿宋_GB2312"/>
          <w:sz w:val="32"/>
          <w:szCs w:val="32"/>
        </w:rPr>
        <w:t>[Z]</w:t>
      </w:r>
      <w:r>
        <w:rPr>
          <w:rFonts w:eastAsia="仿宋_GB2312"/>
          <w:sz w:val="32"/>
          <w:szCs w:val="32"/>
        </w:rPr>
        <w:t>.</w:t>
      </w:r>
    </w:p>
    <w:p w14:paraId="7C09D8D0">
      <w:pPr>
        <w:numPr>
          <w:ilvl w:val="0"/>
          <w:numId w:val="1"/>
        </w:numPr>
        <w:spacing w:line="520" w:lineRule="exact"/>
        <w:ind w:left="0" w:firstLine="640" w:firstLineChars="200"/>
        <w:outlineLvl w:val="0"/>
        <w:rPr>
          <w:rFonts w:ascii="黑体" w:hAnsi="黑体" w:eastAsia="黑体"/>
          <w:sz w:val="32"/>
          <w:szCs w:val="32"/>
        </w:rPr>
      </w:pPr>
      <w:bookmarkStart w:id="82" w:name="_Toc112680053"/>
      <w:r>
        <w:rPr>
          <w:rFonts w:hint="eastAsia" w:ascii="黑体" w:hAnsi="黑体" w:eastAsia="黑体"/>
          <w:sz w:val="32"/>
          <w:szCs w:val="32"/>
        </w:rPr>
        <w:t>术语</w:t>
      </w:r>
      <w:bookmarkEnd w:id="82"/>
    </w:p>
    <w:p w14:paraId="20CF954E">
      <w:pPr>
        <w:overflowPunct w:val="0"/>
        <w:spacing w:line="520" w:lineRule="exact"/>
        <w:ind w:firstLine="640" w:firstLineChars="200"/>
        <w:rPr>
          <w:rFonts w:eastAsia="仿宋_GB2312"/>
          <w:color w:val="000000"/>
          <w:sz w:val="32"/>
          <w:szCs w:val="32"/>
          <w:highlight w:val="lightGray"/>
        </w:rPr>
      </w:pPr>
      <w:r>
        <w:rPr>
          <w:rFonts w:eastAsia="仿宋_GB2312"/>
          <w:kern w:val="0"/>
          <w:sz w:val="32"/>
          <w:szCs w:val="32"/>
        </w:rPr>
        <w:t>相关标准、原指南中术语和定义适用于本文件。</w:t>
      </w:r>
    </w:p>
    <w:p w14:paraId="73FE1C5E">
      <w:pPr>
        <w:numPr>
          <w:ilvl w:val="0"/>
          <w:numId w:val="16"/>
        </w:numPr>
        <w:tabs>
          <w:tab w:val="left" w:pos="0"/>
        </w:tabs>
        <w:overflowPunct w:val="0"/>
        <w:spacing w:line="520" w:lineRule="exact"/>
        <w:ind w:left="0" w:firstLine="640" w:firstLineChars="200"/>
        <w:rPr>
          <w:rFonts w:eastAsia="仿宋_GB2312"/>
          <w:color w:val="000000"/>
          <w:sz w:val="32"/>
          <w:szCs w:val="32"/>
        </w:rPr>
      </w:pPr>
      <w:r>
        <w:rPr>
          <w:rFonts w:eastAsia="仿宋_GB2312"/>
          <w:sz w:val="32"/>
          <w:szCs w:val="32"/>
        </w:rPr>
        <w:t>无创血糖仪(Noninvasive Glucose Meter)</w:t>
      </w:r>
      <w:r>
        <w:rPr>
          <w:rFonts w:hint="eastAsia" w:eastAsia="仿宋_GB2312"/>
          <w:sz w:val="32"/>
          <w:szCs w:val="32"/>
        </w:rPr>
        <w:t>：仅采用无创方式进行血糖/葡萄糖监测的医疗器械。</w:t>
      </w:r>
    </w:p>
    <w:p w14:paraId="2876C629">
      <w:pPr>
        <w:numPr>
          <w:ilvl w:val="0"/>
          <w:numId w:val="16"/>
        </w:numPr>
        <w:tabs>
          <w:tab w:val="left" w:pos="0"/>
        </w:tabs>
        <w:overflowPunct w:val="0"/>
        <w:spacing w:line="520" w:lineRule="exact"/>
        <w:ind w:left="0" w:firstLine="640" w:firstLineChars="200"/>
        <w:rPr>
          <w:rFonts w:eastAsia="仿宋_GB2312"/>
          <w:color w:val="000000"/>
          <w:sz w:val="32"/>
          <w:szCs w:val="32"/>
        </w:rPr>
      </w:pPr>
      <w:r>
        <w:rPr>
          <w:rFonts w:eastAsia="仿宋_GB2312"/>
          <w:sz w:val="32"/>
          <w:szCs w:val="32"/>
        </w:rPr>
        <w:t>组合血糖仪(Hybrid Glucose Meter)</w:t>
      </w:r>
      <w:r>
        <w:rPr>
          <w:rFonts w:hint="eastAsia" w:eastAsia="仿宋_GB2312"/>
          <w:sz w:val="32"/>
          <w:szCs w:val="32"/>
        </w:rPr>
        <w:t>：组合采用无创方式和有创方式进行血糖/葡萄糖监测的医疗器械。</w:t>
      </w:r>
    </w:p>
    <w:bookmarkEnd w:id="78"/>
    <w:bookmarkEnd w:id="79"/>
    <w:bookmarkEnd w:id="80"/>
    <w:bookmarkEnd w:id="81"/>
    <w:p w14:paraId="7F69A43E">
      <w:pPr>
        <w:numPr>
          <w:ilvl w:val="0"/>
          <w:numId w:val="1"/>
        </w:numPr>
        <w:spacing w:line="520" w:lineRule="exact"/>
        <w:ind w:left="0" w:firstLine="640" w:firstLineChars="200"/>
        <w:outlineLvl w:val="0"/>
        <w:rPr>
          <w:rFonts w:ascii="黑体" w:hAnsi="黑体" w:eastAsia="黑体"/>
          <w:sz w:val="32"/>
          <w:szCs w:val="32"/>
        </w:rPr>
      </w:pPr>
      <w:bookmarkStart w:id="83" w:name="_Toc432753655"/>
      <w:bookmarkStart w:id="84" w:name="_Toc112680054"/>
      <w:bookmarkStart w:id="85" w:name="_Toc467833261"/>
      <w:r>
        <w:rPr>
          <w:rFonts w:hint="eastAsia" w:ascii="黑体" w:hAnsi="黑体" w:eastAsia="黑体"/>
          <w:sz w:val="32"/>
          <w:szCs w:val="32"/>
        </w:rPr>
        <w:t>编写单位</w:t>
      </w:r>
      <w:bookmarkEnd w:id="83"/>
      <w:bookmarkEnd w:id="84"/>
      <w:bookmarkEnd w:id="85"/>
    </w:p>
    <w:p w14:paraId="12CEEBB1">
      <w:pPr>
        <w:overflowPunct w:val="0"/>
        <w:spacing w:line="520" w:lineRule="exact"/>
        <w:ind w:firstLine="616" w:firstLineChars="200"/>
        <w:jc w:val="left"/>
        <w:rPr>
          <w:rFonts w:eastAsia="仿宋_GB2312"/>
          <w:color w:val="000000"/>
          <w:spacing w:val="-6"/>
          <w:sz w:val="32"/>
          <w:szCs w:val="28"/>
        </w:rPr>
      </w:pPr>
      <w:r>
        <w:rPr>
          <w:rFonts w:eastAsia="仿宋_GB2312"/>
          <w:color w:val="000000"/>
          <w:spacing w:val="-6"/>
          <w:sz w:val="32"/>
          <w:szCs w:val="32"/>
        </w:rPr>
        <w:t>国家药品监督管理局医疗器械技术审评中</w:t>
      </w:r>
      <w:r>
        <w:rPr>
          <w:rFonts w:eastAsia="仿宋_GB2312"/>
          <w:color w:val="000000"/>
          <w:spacing w:val="-6"/>
          <w:sz w:val="32"/>
          <w:szCs w:val="28"/>
        </w:rPr>
        <w:t>心</w:t>
      </w:r>
    </w:p>
    <w:p w14:paraId="38B984D7">
      <w:pPr>
        <w:overflowPunct w:val="0"/>
        <w:spacing w:line="520" w:lineRule="exact"/>
        <w:ind w:firstLine="616" w:firstLineChars="200"/>
        <w:jc w:val="left"/>
        <w:rPr>
          <w:rFonts w:eastAsia="仿宋_GB2312"/>
          <w:color w:val="000000"/>
          <w:spacing w:val="-6"/>
          <w:sz w:val="32"/>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9"/>
        <w:gridCol w:w="6441"/>
      </w:tblGrid>
      <w:tr w14:paraId="59A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restart"/>
          </w:tcPr>
          <w:p w14:paraId="3769B6BA">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附录：</w:t>
            </w:r>
          </w:p>
        </w:tc>
        <w:tc>
          <w:tcPr>
            <w:tcW w:w="6441" w:type="dxa"/>
          </w:tcPr>
          <w:p w14:paraId="6D93C99F">
            <w:pPr>
              <w:numPr>
                <w:ilvl w:val="0"/>
                <w:numId w:val="17"/>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风险管理资料</w:t>
            </w:r>
          </w:p>
        </w:tc>
      </w:tr>
      <w:tr w14:paraId="6F55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1DEDCD04">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pPr>
              <w:numPr>
                <w:ilvl w:val="0"/>
                <w:numId w:val="17"/>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产品宜参考的现行有效标准</w:t>
            </w:r>
          </w:p>
        </w:tc>
      </w:tr>
      <w:tr w14:paraId="244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06AC1796">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pPr>
              <w:numPr>
                <w:ilvl w:val="0"/>
                <w:numId w:val="17"/>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产品技术要求模板</w:t>
            </w:r>
          </w:p>
        </w:tc>
      </w:tr>
      <w:bookmarkEnd w:id="2"/>
      <w:bookmarkEnd w:id="3"/>
      <w:bookmarkEnd w:id="4"/>
    </w:tbl>
    <w:p w14:paraId="0A6A9FF6">
      <w:pPr>
        <w:rPr>
          <w:rFonts w:ascii="仿宋_GB2312" w:eastAsia="仿宋_GB2312"/>
          <w:sz w:val="28"/>
          <w:szCs w:val="28"/>
        </w:rPr>
      </w:pPr>
      <w:r>
        <w:rPr>
          <w:rFonts w:ascii="仿宋_GB2312" w:eastAsia="仿宋_GB2312"/>
          <w:sz w:val="28"/>
          <w:szCs w:val="28"/>
        </w:rPr>
        <w:br w:type="page"/>
      </w:r>
    </w:p>
    <w:p w14:paraId="3F1AD17A">
      <w:pPr>
        <w:pStyle w:val="2"/>
        <w:spacing w:before="0" w:after="0" w:line="520" w:lineRule="exact"/>
        <w:rPr>
          <w:rFonts w:eastAsia="黑体"/>
          <w:b w:val="0"/>
          <w:bCs w:val="0"/>
          <w:sz w:val="30"/>
          <w:szCs w:val="30"/>
        </w:rPr>
      </w:pPr>
      <w:bookmarkStart w:id="86" w:name="_Ref434177719"/>
      <w:bookmarkStart w:id="87" w:name="_Ref443935308"/>
      <w:bookmarkStart w:id="88" w:name="_Toc112680055"/>
      <w:r>
        <w:rPr>
          <w:rFonts w:eastAsia="黑体"/>
          <w:b w:val="0"/>
          <w:bCs w:val="0"/>
          <w:sz w:val="30"/>
          <w:szCs w:val="30"/>
        </w:rPr>
        <w:t>附录</w:t>
      </w:r>
      <w:bookmarkEnd w:id="86"/>
      <w:r>
        <w:rPr>
          <w:rFonts w:eastAsia="黑体"/>
          <w:b w:val="0"/>
          <w:bCs w:val="0"/>
          <w:sz w:val="30"/>
          <w:szCs w:val="30"/>
        </w:rPr>
        <w:fldChar w:fldCharType="begin"/>
      </w:r>
      <w:r>
        <w:rPr>
          <w:rFonts w:eastAsia="黑体"/>
          <w:b w:val="0"/>
          <w:bCs w:val="0"/>
          <w:sz w:val="30"/>
          <w:szCs w:val="30"/>
        </w:rPr>
        <w:instrText xml:space="preserve"> XE "1" </w:instrText>
      </w:r>
      <w:r>
        <w:rPr>
          <w:rFonts w:eastAsia="黑体"/>
          <w:b w:val="0"/>
          <w:bCs w:val="0"/>
          <w:sz w:val="30"/>
          <w:szCs w:val="30"/>
        </w:rPr>
        <w:fldChar w:fldCharType="end"/>
      </w:r>
      <w:r>
        <w:rPr>
          <w:rFonts w:eastAsia="黑体"/>
          <w:b w:val="0"/>
          <w:bCs w:val="0"/>
          <w:sz w:val="30"/>
          <w:szCs w:val="30"/>
        </w:rPr>
        <w:t>1</w:t>
      </w:r>
      <w:bookmarkEnd w:id="87"/>
      <w:bookmarkEnd w:id="88"/>
    </w:p>
    <w:p w14:paraId="3F1103BA">
      <w:pPr>
        <w:spacing w:line="520" w:lineRule="exact"/>
        <w:rPr>
          <w:rFonts w:ascii="仿宋_GB2312" w:hAnsi="黑体" w:eastAsia="仿宋_GB2312"/>
          <w:sz w:val="30"/>
          <w:szCs w:val="30"/>
        </w:rPr>
      </w:pPr>
    </w:p>
    <w:p w14:paraId="58F68DD7">
      <w:pPr>
        <w:spacing w:line="520" w:lineRule="exact"/>
        <w:jc w:val="center"/>
        <w:outlineLvl w:val="0"/>
        <w:rPr>
          <w:rFonts w:ascii="方正小标宋简体" w:hAnsi="黑体" w:eastAsia="方正小标宋简体"/>
          <w:sz w:val="44"/>
          <w:szCs w:val="44"/>
        </w:rPr>
      </w:pPr>
      <w:bookmarkStart w:id="89" w:name="_Toc112680056"/>
      <w:r>
        <w:rPr>
          <w:rFonts w:hint="eastAsia" w:ascii="方正小标宋简体" w:hAnsi="黑体" w:eastAsia="方正小标宋简体"/>
          <w:sz w:val="44"/>
          <w:szCs w:val="44"/>
        </w:rPr>
        <w:t>产品</w:t>
      </w:r>
      <w:r>
        <w:rPr>
          <w:rFonts w:hint="eastAsia" w:ascii="方正小标宋简体" w:hAnsi="黑体" w:eastAsia="方正小标宋简体"/>
          <w:sz w:val="44"/>
          <w:szCs w:val="44"/>
        </w:rPr>
        <w:fldChar w:fldCharType="begin"/>
      </w:r>
      <w:r>
        <w:rPr>
          <w:rFonts w:hint="eastAsia" w:ascii="方正小标宋简体" w:hAnsi="黑体" w:eastAsia="方正小标宋简体"/>
          <w:sz w:val="44"/>
          <w:szCs w:val="44"/>
        </w:rPr>
        <w:instrText xml:space="preserve"> XE "1" </w:instrText>
      </w:r>
      <w:r>
        <w:rPr>
          <w:rFonts w:hint="eastAsia" w:ascii="方正小标宋简体" w:hAnsi="黑体" w:eastAsia="方正小标宋简体"/>
          <w:sz w:val="44"/>
          <w:szCs w:val="44"/>
        </w:rPr>
        <w:fldChar w:fldCharType="end"/>
      </w:r>
      <w:r>
        <w:rPr>
          <w:rFonts w:hint="eastAsia" w:ascii="方正小标宋简体" w:hAnsi="黑体" w:eastAsia="方正小标宋简体"/>
          <w:sz w:val="44"/>
          <w:szCs w:val="44"/>
        </w:rPr>
        <w:t>风险管理资料</w:t>
      </w:r>
      <w:bookmarkEnd w:id="89"/>
    </w:p>
    <w:p w14:paraId="171C65CD">
      <w:pPr>
        <w:spacing w:line="520" w:lineRule="exact"/>
        <w:rPr>
          <w:rFonts w:ascii="仿宋_GB2312" w:hAnsi="黑体" w:eastAsia="仿宋_GB2312"/>
          <w:sz w:val="30"/>
          <w:szCs w:val="30"/>
        </w:rPr>
      </w:pPr>
    </w:p>
    <w:p w14:paraId="412530A9">
      <w:pPr>
        <w:numPr>
          <w:ilvl w:val="0"/>
          <w:numId w:val="18"/>
        </w:numPr>
        <w:spacing w:line="520" w:lineRule="exact"/>
        <w:ind w:left="0" w:firstLine="640" w:firstLineChars="200"/>
        <w:outlineLvl w:val="0"/>
        <w:rPr>
          <w:rFonts w:ascii="黑体" w:hAnsi="黑体" w:eastAsia="黑体"/>
          <w:sz w:val="32"/>
          <w:szCs w:val="32"/>
        </w:rPr>
      </w:pPr>
      <w:bookmarkStart w:id="90" w:name="_Toc112680057"/>
      <w:bookmarkStart w:id="91" w:name="OLE_LINK33"/>
      <w:bookmarkStart w:id="92" w:name="OLE_LINK34"/>
      <w:r>
        <w:rPr>
          <w:rFonts w:ascii="黑体" w:hAnsi="黑体" w:eastAsia="黑体"/>
          <w:sz w:val="32"/>
          <w:szCs w:val="32"/>
        </w:rPr>
        <w:t>总体要求</w:t>
      </w:r>
      <w:bookmarkEnd w:id="90"/>
      <w:bookmarkEnd w:id="91"/>
      <w:bookmarkEnd w:id="92"/>
    </w:p>
    <w:p w14:paraId="4AC88FF9">
      <w:pPr>
        <w:spacing w:line="520" w:lineRule="exact"/>
        <w:ind w:firstLine="640" w:firstLineChars="200"/>
        <w:rPr>
          <w:rFonts w:eastAsia="仿宋_GB2312"/>
          <w:color w:val="000000"/>
          <w:sz w:val="32"/>
          <w:szCs w:val="32"/>
        </w:rPr>
      </w:pPr>
      <w:r>
        <w:rPr>
          <w:rFonts w:eastAsia="仿宋_GB2312"/>
          <w:bCs/>
          <w:color w:val="000000"/>
          <w:sz w:val="32"/>
          <w:szCs w:val="32"/>
        </w:rPr>
        <w:t>产品</w:t>
      </w:r>
      <w:r>
        <w:rPr>
          <w:rFonts w:eastAsia="仿宋_GB2312"/>
          <w:color w:val="000000"/>
          <w:sz w:val="32"/>
          <w:szCs w:val="32"/>
        </w:rPr>
        <w:t>风险管理资料是对</w:t>
      </w:r>
      <w:r>
        <w:rPr>
          <w:rFonts w:eastAsia="仿宋_GB2312"/>
          <w:bCs/>
          <w:color w:val="000000"/>
          <w:sz w:val="32"/>
          <w:szCs w:val="32"/>
        </w:rPr>
        <w:t>产品的</w:t>
      </w:r>
      <w:r>
        <w:rPr>
          <w:rFonts w:eastAsia="仿宋_GB2312"/>
          <w:color w:val="000000"/>
          <w:sz w:val="32"/>
          <w:szCs w:val="32"/>
        </w:rPr>
        <w:t>风险管理过程及其评审的结果予以记录所形成的资料。风险管理资料主要包含风险管理计划和风险管理报告，还包含风险管理活动相关的其</w:t>
      </w:r>
      <w:r>
        <w:rPr>
          <w:rFonts w:hint="eastAsia" w:eastAsia="仿宋_GB2312"/>
          <w:color w:val="000000"/>
          <w:sz w:val="32"/>
          <w:szCs w:val="32"/>
        </w:rPr>
        <w:t>他</w:t>
      </w:r>
      <w:r>
        <w:rPr>
          <w:rFonts w:eastAsia="仿宋_GB2312"/>
          <w:color w:val="000000"/>
          <w:sz w:val="32"/>
          <w:szCs w:val="32"/>
        </w:rPr>
        <w:t>文档资料及评审记录。</w:t>
      </w:r>
    </w:p>
    <w:p w14:paraId="7D330684">
      <w:pPr>
        <w:spacing w:line="520" w:lineRule="exact"/>
        <w:ind w:firstLine="640" w:firstLineChars="200"/>
        <w:rPr>
          <w:rFonts w:eastAsia="仿宋_GB2312"/>
          <w:bCs/>
          <w:color w:val="000000"/>
          <w:sz w:val="32"/>
          <w:szCs w:val="32"/>
        </w:rPr>
      </w:pPr>
      <w:r>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pPr>
        <w:numPr>
          <w:ilvl w:val="0"/>
          <w:numId w:val="18"/>
        </w:numPr>
        <w:spacing w:line="520" w:lineRule="exact"/>
        <w:ind w:left="0" w:firstLine="640" w:firstLineChars="200"/>
        <w:outlineLvl w:val="0"/>
        <w:rPr>
          <w:rFonts w:ascii="黑体" w:hAnsi="黑体" w:eastAsia="黑体"/>
          <w:sz w:val="32"/>
          <w:szCs w:val="32"/>
        </w:rPr>
      </w:pPr>
      <w:bookmarkStart w:id="93" w:name="_Toc433873360"/>
      <w:bookmarkStart w:id="94" w:name="_Toc112680058"/>
      <w:r>
        <w:rPr>
          <w:rFonts w:ascii="黑体" w:hAnsi="黑体" w:eastAsia="黑体"/>
          <w:sz w:val="32"/>
          <w:szCs w:val="32"/>
        </w:rPr>
        <w:t>风险管理计划的内容</w:t>
      </w:r>
      <w:bookmarkEnd w:id="93"/>
      <w:bookmarkEnd w:id="94"/>
    </w:p>
    <w:p w14:paraId="66821655">
      <w:pPr>
        <w:numPr>
          <w:ilvl w:val="0"/>
          <w:numId w:val="19"/>
        </w:numPr>
        <w:spacing w:line="520" w:lineRule="exact"/>
        <w:ind w:left="0" w:firstLine="640" w:firstLineChars="200"/>
        <w:outlineLvl w:val="1"/>
        <w:rPr>
          <w:rFonts w:ascii="楷体_GB2312" w:hAnsi="黑体" w:eastAsia="楷体_GB2312"/>
          <w:sz w:val="32"/>
          <w:szCs w:val="32"/>
        </w:rPr>
      </w:pPr>
      <w:bookmarkStart w:id="95" w:name="_Toc112680059"/>
      <w:r>
        <w:rPr>
          <w:rFonts w:hint="eastAsia" w:ascii="楷体_GB2312" w:hAnsi="黑体" w:eastAsia="楷体_GB2312"/>
          <w:sz w:val="32"/>
          <w:szCs w:val="32"/>
        </w:rPr>
        <w:t>风险管理活动范围</w:t>
      </w:r>
      <w:bookmarkEnd w:id="95"/>
    </w:p>
    <w:p w14:paraId="279FB9E2">
      <w:pPr>
        <w:spacing w:line="520" w:lineRule="exact"/>
        <w:ind w:firstLine="640" w:firstLineChars="200"/>
        <w:rPr>
          <w:rFonts w:eastAsia="仿宋_GB2312"/>
          <w:color w:val="000000"/>
          <w:sz w:val="32"/>
          <w:szCs w:val="32"/>
        </w:rPr>
      </w:pPr>
      <w:r>
        <w:rPr>
          <w:rFonts w:eastAsia="仿宋_GB2312"/>
          <w:color w:val="000000"/>
          <w:sz w:val="32"/>
          <w:szCs w:val="32"/>
        </w:rPr>
        <w:t>申请人应策划风险管理活动的范围，通过照片、示意图和文字等形式清晰</w:t>
      </w:r>
      <w:r>
        <w:rPr>
          <w:rFonts w:hint="eastAsia" w:eastAsia="仿宋_GB2312"/>
          <w:color w:val="000000"/>
          <w:sz w:val="32"/>
          <w:szCs w:val="32"/>
        </w:rPr>
        <w:t>地</w:t>
      </w:r>
      <w:r>
        <w:rPr>
          <w:rFonts w:eastAsia="仿宋_GB2312"/>
          <w:color w:val="000000"/>
          <w:sz w:val="32"/>
          <w:szCs w:val="32"/>
        </w:rPr>
        <w:t>说明</w:t>
      </w:r>
      <w:r>
        <w:rPr>
          <w:rFonts w:hint="eastAsia" w:eastAsia="仿宋_GB2312"/>
          <w:kern w:val="0"/>
          <w:sz w:val="32"/>
          <w:szCs w:val="32"/>
        </w:rPr>
        <w:t>产品</w:t>
      </w:r>
      <w:r>
        <w:rPr>
          <w:rFonts w:eastAsia="仿宋_GB2312"/>
          <w:color w:val="000000"/>
          <w:sz w:val="32"/>
          <w:szCs w:val="32"/>
        </w:rPr>
        <w:t>的</w:t>
      </w:r>
      <w:r>
        <w:rPr>
          <w:rFonts w:hint="eastAsia" w:eastAsia="仿宋_GB2312"/>
          <w:color w:val="000000"/>
          <w:sz w:val="32"/>
          <w:szCs w:val="32"/>
        </w:rPr>
        <w:t>结构及</w:t>
      </w:r>
      <w:r>
        <w:rPr>
          <w:rFonts w:eastAsia="仿宋_GB2312"/>
          <w:color w:val="000000"/>
          <w:sz w:val="32"/>
          <w:szCs w:val="32"/>
        </w:rPr>
        <w:t>组成，描述产品功能。</w:t>
      </w:r>
    </w:p>
    <w:p w14:paraId="35AAE85F">
      <w:pPr>
        <w:spacing w:line="520" w:lineRule="exact"/>
        <w:ind w:firstLine="640" w:firstLineChars="200"/>
        <w:rPr>
          <w:rFonts w:eastAsia="仿宋_GB2312"/>
          <w:color w:val="000000"/>
          <w:sz w:val="32"/>
          <w:szCs w:val="32"/>
        </w:rPr>
      </w:pPr>
      <w:r>
        <w:rPr>
          <w:rFonts w:hint="eastAsia" w:eastAsia="仿宋_GB2312"/>
          <w:color w:val="000000"/>
          <w:sz w:val="32"/>
          <w:szCs w:val="32"/>
        </w:rPr>
        <w:t>风险管理过程的所有要素应规划在产品生命周期之中。申请人应辨识产品的</w:t>
      </w:r>
      <w:r>
        <w:rPr>
          <w:rFonts w:eastAsia="仿宋_GB2312"/>
          <w:color w:val="000000"/>
          <w:sz w:val="32"/>
          <w:szCs w:val="32"/>
        </w:rPr>
        <w:t>生命周期阶段，以及每个阶段要开展</w:t>
      </w:r>
      <w:r>
        <w:rPr>
          <w:rFonts w:hint="eastAsia" w:eastAsia="仿宋_GB2312"/>
          <w:color w:val="000000"/>
          <w:sz w:val="32"/>
          <w:szCs w:val="32"/>
        </w:rPr>
        <w:t>的</w:t>
      </w:r>
      <w:r>
        <w:rPr>
          <w:rFonts w:eastAsia="仿宋_GB2312"/>
          <w:color w:val="000000"/>
          <w:sz w:val="32"/>
          <w:szCs w:val="32"/>
        </w:rPr>
        <w:t>风险管理活动。</w:t>
      </w:r>
    </w:p>
    <w:p w14:paraId="78A1531C">
      <w:pPr>
        <w:numPr>
          <w:ilvl w:val="0"/>
          <w:numId w:val="19"/>
        </w:numPr>
        <w:spacing w:line="520" w:lineRule="exact"/>
        <w:ind w:left="0" w:firstLine="640" w:firstLineChars="200"/>
        <w:outlineLvl w:val="1"/>
        <w:rPr>
          <w:rFonts w:ascii="楷体_GB2312" w:hAnsi="黑体" w:eastAsia="楷体_GB2312"/>
          <w:sz w:val="32"/>
          <w:szCs w:val="32"/>
        </w:rPr>
      </w:pPr>
      <w:bookmarkStart w:id="96" w:name="_Toc112680060"/>
      <w:r>
        <w:rPr>
          <w:rFonts w:ascii="楷体_GB2312" w:hAnsi="黑体" w:eastAsia="楷体_GB2312"/>
          <w:sz w:val="32"/>
          <w:szCs w:val="32"/>
        </w:rPr>
        <w:t>职责</w:t>
      </w:r>
      <w:r>
        <w:rPr>
          <w:rFonts w:hint="eastAsia" w:ascii="楷体_GB2312" w:hAnsi="黑体" w:eastAsia="楷体_GB2312"/>
          <w:sz w:val="32"/>
          <w:szCs w:val="32"/>
        </w:rPr>
        <w:t>和</w:t>
      </w:r>
      <w:r>
        <w:rPr>
          <w:rFonts w:ascii="楷体_GB2312" w:hAnsi="黑体" w:eastAsia="楷体_GB2312"/>
          <w:sz w:val="32"/>
          <w:szCs w:val="32"/>
        </w:rPr>
        <w:t>权限</w:t>
      </w:r>
      <w:bookmarkEnd w:id="96"/>
    </w:p>
    <w:p w14:paraId="5FFE47C4">
      <w:pPr>
        <w:spacing w:line="520" w:lineRule="exact"/>
        <w:ind w:firstLine="640" w:firstLineChars="200"/>
        <w:rPr>
          <w:rFonts w:eastAsia="仿宋_GB2312"/>
          <w:color w:val="000000"/>
          <w:sz w:val="32"/>
          <w:szCs w:val="32"/>
        </w:rPr>
      </w:pPr>
      <w:r>
        <w:rPr>
          <w:rFonts w:eastAsia="仿宋_GB2312"/>
          <w:color w:val="000000"/>
          <w:sz w:val="32"/>
          <w:szCs w:val="32"/>
        </w:rPr>
        <w:t>申请人应明确参与风险管理活动的成员，其成员应具有与风险管理任务相适应的知识和经验</w:t>
      </w:r>
      <w:r>
        <w:rPr>
          <w:rFonts w:hint="eastAsia" w:eastAsia="仿宋_GB2312"/>
          <w:color w:val="000000"/>
          <w:sz w:val="32"/>
          <w:szCs w:val="32"/>
        </w:rPr>
        <w:t>，</w:t>
      </w:r>
      <w:r>
        <w:rPr>
          <w:rFonts w:eastAsia="仿宋_GB2312"/>
          <w:color w:val="000000"/>
          <w:sz w:val="32"/>
          <w:szCs w:val="32"/>
        </w:rPr>
        <w:t>包括风险分析人员、风险评价人员（</w:t>
      </w:r>
      <w:r>
        <w:rPr>
          <w:rFonts w:hint="eastAsia" w:eastAsia="仿宋_GB2312"/>
          <w:color w:val="000000"/>
          <w:sz w:val="32"/>
          <w:szCs w:val="32"/>
        </w:rPr>
        <w:t>应</w:t>
      </w:r>
      <w:r>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及审批人员，应列出其姓名、职务及责任范围。</w:t>
      </w:r>
    </w:p>
    <w:p w14:paraId="391407F0">
      <w:pPr>
        <w:numPr>
          <w:ilvl w:val="0"/>
          <w:numId w:val="19"/>
        </w:numPr>
        <w:spacing w:line="520" w:lineRule="exact"/>
        <w:ind w:left="0" w:firstLine="640" w:firstLineChars="200"/>
        <w:outlineLvl w:val="1"/>
        <w:rPr>
          <w:rFonts w:ascii="楷体_GB2312" w:hAnsi="黑体" w:eastAsia="楷体_GB2312"/>
          <w:sz w:val="32"/>
          <w:szCs w:val="32"/>
        </w:rPr>
      </w:pPr>
      <w:bookmarkStart w:id="97" w:name="_Toc112680061"/>
      <w:r>
        <w:rPr>
          <w:rFonts w:ascii="楷体_GB2312" w:hAnsi="黑体" w:eastAsia="楷体_GB2312"/>
          <w:sz w:val="32"/>
          <w:szCs w:val="32"/>
        </w:rPr>
        <w:t>风险管理活动评审的要求</w:t>
      </w:r>
      <w:bookmarkEnd w:id="97"/>
    </w:p>
    <w:p w14:paraId="508164F1">
      <w:pPr>
        <w:spacing w:line="520" w:lineRule="exact"/>
        <w:ind w:firstLine="640" w:firstLineChars="200"/>
        <w:rPr>
          <w:rFonts w:eastAsia="仿宋_GB2312"/>
          <w:color w:val="000000"/>
          <w:sz w:val="32"/>
          <w:szCs w:val="32"/>
        </w:rPr>
      </w:pPr>
      <w:r>
        <w:rPr>
          <w:rFonts w:eastAsia="仿宋_GB2312"/>
          <w:color w:val="000000"/>
          <w:sz w:val="32"/>
          <w:szCs w:val="32"/>
        </w:rPr>
        <w:t>申请人应详细规定何时和如何进行风险管理评审，风险管理活动评审的要求可</w:t>
      </w:r>
      <w:r>
        <w:rPr>
          <w:rFonts w:hint="eastAsia" w:eastAsia="仿宋_GB2312"/>
          <w:color w:val="000000"/>
          <w:sz w:val="32"/>
          <w:szCs w:val="32"/>
        </w:rPr>
        <w:t>能</w:t>
      </w:r>
      <w:r>
        <w:rPr>
          <w:rFonts w:eastAsia="仿宋_GB2312"/>
          <w:color w:val="000000"/>
          <w:sz w:val="32"/>
          <w:szCs w:val="32"/>
        </w:rPr>
        <w:t>是质量管理体系的一部分。</w:t>
      </w:r>
    </w:p>
    <w:p w14:paraId="0F0A5AD4">
      <w:pPr>
        <w:numPr>
          <w:ilvl w:val="0"/>
          <w:numId w:val="19"/>
        </w:numPr>
        <w:spacing w:line="520" w:lineRule="exact"/>
        <w:ind w:left="0" w:firstLine="640" w:firstLineChars="200"/>
        <w:outlineLvl w:val="1"/>
        <w:rPr>
          <w:rFonts w:ascii="楷体_GB2312" w:hAnsi="黑体" w:eastAsia="楷体_GB2312"/>
          <w:sz w:val="32"/>
          <w:szCs w:val="32"/>
        </w:rPr>
      </w:pPr>
      <w:bookmarkStart w:id="98" w:name="_Toc112680062"/>
      <w:r>
        <w:rPr>
          <w:rFonts w:ascii="楷体_GB2312" w:hAnsi="黑体" w:eastAsia="楷体_GB2312"/>
          <w:sz w:val="32"/>
          <w:szCs w:val="32"/>
        </w:rPr>
        <w:t>风险可接受准则</w:t>
      </w:r>
      <w:bookmarkEnd w:id="98"/>
    </w:p>
    <w:p w14:paraId="1B4B325D">
      <w:pPr>
        <w:spacing w:line="520" w:lineRule="exact"/>
        <w:ind w:firstLine="640" w:firstLineChars="200"/>
        <w:rPr>
          <w:rFonts w:eastAsia="仿宋_GB2312"/>
          <w:color w:val="000000"/>
          <w:sz w:val="32"/>
          <w:szCs w:val="32"/>
        </w:rPr>
      </w:pPr>
      <w:r>
        <w:rPr>
          <w:rFonts w:eastAsia="仿宋_GB2312"/>
          <w:color w:val="000000"/>
          <w:sz w:val="32"/>
          <w:szCs w:val="32"/>
        </w:rPr>
        <w:t>申请人应根据风险可接受方针，制定产品的风险可接受准则。风险可接受准则对于风险管理过程的最终有效性是至关重要的，申请人应根据产品预期用途、特征制定适当的风险可接受准则。</w:t>
      </w:r>
    </w:p>
    <w:p w14:paraId="2ED7C7DE">
      <w:pPr>
        <w:spacing w:line="520" w:lineRule="exact"/>
        <w:ind w:firstLine="640" w:firstLineChars="200"/>
        <w:rPr>
          <w:rFonts w:eastAsia="仿宋_GB2312"/>
          <w:color w:val="000000"/>
          <w:sz w:val="32"/>
          <w:szCs w:val="32"/>
        </w:rPr>
      </w:pPr>
      <w:r>
        <w:rPr>
          <w:rFonts w:eastAsia="仿宋_GB2312"/>
          <w:color w:val="000000"/>
          <w:sz w:val="32"/>
          <w:szCs w:val="32"/>
        </w:rPr>
        <w:t>风险可接受准则可以是申请人建立的质量管理体系的一部分，在风险管理计划中可以采用引用的方式体现。</w:t>
      </w:r>
    </w:p>
    <w:p w14:paraId="271B5E53">
      <w:pPr>
        <w:numPr>
          <w:ilvl w:val="0"/>
          <w:numId w:val="19"/>
        </w:numPr>
        <w:spacing w:line="520" w:lineRule="exact"/>
        <w:ind w:left="0" w:firstLine="640" w:firstLineChars="200"/>
        <w:outlineLvl w:val="1"/>
        <w:rPr>
          <w:rFonts w:ascii="楷体_GB2312" w:hAnsi="黑体" w:eastAsia="楷体_GB2312"/>
          <w:sz w:val="32"/>
          <w:szCs w:val="32"/>
        </w:rPr>
      </w:pPr>
      <w:bookmarkStart w:id="99" w:name="_Toc112680063"/>
      <w:r>
        <w:rPr>
          <w:rFonts w:ascii="楷体_GB2312" w:hAnsi="黑体" w:eastAsia="楷体_GB2312"/>
          <w:sz w:val="32"/>
          <w:szCs w:val="32"/>
        </w:rPr>
        <w:t>验证活动</w:t>
      </w:r>
      <w:bookmarkEnd w:id="99"/>
    </w:p>
    <w:p w14:paraId="5FFE655A">
      <w:pPr>
        <w:spacing w:line="520" w:lineRule="exact"/>
        <w:ind w:firstLine="640" w:firstLineChars="200"/>
        <w:rPr>
          <w:rFonts w:eastAsia="仿宋_GB2312"/>
          <w:color w:val="000000"/>
          <w:sz w:val="32"/>
          <w:szCs w:val="32"/>
        </w:rPr>
      </w:pPr>
      <w:r>
        <w:rPr>
          <w:rFonts w:eastAsia="仿宋_GB2312"/>
          <w:color w:val="000000"/>
          <w:sz w:val="32"/>
          <w:szCs w:val="32"/>
        </w:rPr>
        <w:t>风险管理计划</w:t>
      </w:r>
      <w:r>
        <w:rPr>
          <w:rFonts w:hint="eastAsia" w:eastAsia="仿宋_GB2312"/>
          <w:color w:val="000000"/>
          <w:sz w:val="32"/>
          <w:szCs w:val="32"/>
        </w:rPr>
        <w:t>应</w:t>
      </w:r>
      <w:r>
        <w:rPr>
          <w:rFonts w:eastAsia="仿宋_GB2312"/>
          <w:color w:val="000000"/>
          <w:sz w:val="32"/>
          <w:szCs w:val="32"/>
        </w:rPr>
        <w:t>规定如何进行</w:t>
      </w:r>
      <w:r>
        <w:rPr>
          <w:rFonts w:hint="eastAsia" w:eastAsia="仿宋_GB2312"/>
          <w:color w:val="000000"/>
          <w:sz w:val="32"/>
          <w:szCs w:val="32"/>
        </w:rPr>
        <w:t>下述</w:t>
      </w:r>
      <w:r>
        <w:rPr>
          <w:rFonts w:eastAsia="仿宋_GB2312"/>
          <w:color w:val="000000"/>
          <w:sz w:val="32"/>
          <w:szCs w:val="32"/>
        </w:rPr>
        <w:t>验证</w:t>
      </w:r>
      <w:r>
        <w:rPr>
          <w:rFonts w:hint="eastAsia" w:eastAsia="仿宋_GB2312"/>
          <w:color w:val="000000"/>
          <w:sz w:val="32"/>
          <w:szCs w:val="32"/>
        </w:rPr>
        <w:t>工作</w:t>
      </w:r>
      <w:r>
        <w:rPr>
          <w:rFonts w:eastAsia="仿宋_GB2312"/>
          <w:color w:val="000000"/>
          <w:sz w:val="32"/>
          <w:szCs w:val="32"/>
        </w:rPr>
        <w:t>：</w:t>
      </w:r>
      <w:r>
        <w:rPr>
          <w:rFonts w:hint="eastAsia" w:eastAsia="仿宋_GB2312"/>
          <w:color w:val="000000"/>
          <w:sz w:val="32"/>
          <w:szCs w:val="32"/>
        </w:rPr>
        <w:t>确保</w:t>
      </w:r>
      <w:r>
        <w:rPr>
          <w:rFonts w:eastAsia="仿宋_GB2312"/>
          <w:color w:val="000000"/>
          <w:sz w:val="32"/>
          <w:szCs w:val="32"/>
        </w:rPr>
        <w:t>风险控制已在最终设计中实施；</w:t>
      </w:r>
      <w:r>
        <w:rPr>
          <w:rFonts w:hint="eastAsia" w:eastAsia="仿宋_GB2312"/>
          <w:color w:val="000000"/>
          <w:sz w:val="32"/>
          <w:szCs w:val="32"/>
        </w:rPr>
        <w:t>确保</w:t>
      </w:r>
      <w:r>
        <w:rPr>
          <w:rFonts w:eastAsia="仿宋_GB2312"/>
          <w:color w:val="000000"/>
          <w:sz w:val="32"/>
          <w:szCs w:val="32"/>
        </w:rPr>
        <w:t>实施的措施确实降低了风险。风险管理计划应详述风险控制措施相关的验证活动的计划。</w:t>
      </w:r>
    </w:p>
    <w:p w14:paraId="3D83074F">
      <w:pPr>
        <w:numPr>
          <w:ilvl w:val="0"/>
          <w:numId w:val="19"/>
        </w:numPr>
        <w:spacing w:line="520" w:lineRule="exact"/>
        <w:ind w:left="0" w:firstLine="640" w:firstLineChars="200"/>
        <w:outlineLvl w:val="1"/>
        <w:rPr>
          <w:rFonts w:ascii="楷体_GB2312" w:hAnsi="黑体" w:eastAsia="楷体_GB2312"/>
          <w:sz w:val="32"/>
          <w:szCs w:val="32"/>
        </w:rPr>
      </w:pPr>
      <w:bookmarkStart w:id="100" w:name="_Toc112680064"/>
      <w:r>
        <w:rPr>
          <w:rFonts w:hint="eastAsia" w:ascii="楷体_GB2312" w:hAnsi="黑体" w:eastAsia="楷体_GB2312"/>
          <w:sz w:val="32"/>
          <w:szCs w:val="32"/>
        </w:rPr>
        <w:t>生</w:t>
      </w:r>
      <w:r>
        <w:rPr>
          <w:rFonts w:ascii="楷体_GB2312" w:hAnsi="黑体" w:eastAsia="楷体_GB2312"/>
          <w:sz w:val="32"/>
          <w:szCs w:val="32"/>
        </w:rPr>
        <w:t>产和生产后信息的收集和评审活动</w:t>
      </w:r>
      <w:bookmarkEnd w:id="100"/>
    </w:p>
    <w:p w14:paraId="66BC44D4">
      <w:pPr>
        <w:spacing w:line="520" w:lineRule="exact"/>
        <w:ind w:firstLine="640" w:firstLineChars="200"/>
        <w:rPr>
          <w:rFonts w:eastAsia="仿宋_GB2312"/>
          <w:color w:val="000000"/>
          <w:sz w:val="32"/>
          <w:szCs w:val="32"/>
        </w:rPr>
      </w:pPr>
      <w:r>
        <w:rPr>
          <w:rFonts w:eastAsia="仿宋_GB2312"/>
          <w:color w:val="000000"/>
          <w:sz w:val="32"/>
          <w:szCs w:val="32"/>
        </w:rPr>
        <w:t>申请人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pPr>
        <w:numPr>
          <w:ilvl w:val="0"/>
          <w:numId w:val="18"/>
        </w:numPr>
        <w:spacing w:line="520" w:lineRule="exact"/>
        <w:ind w:left="0" w:firstLine="640" w:firstLineChars="200"/>
        <w:outlineLvl w:val="0"/>
        <w:rPr>
          <w:rFonts w:ascii="黑体" w:hAnsi="黑体" w:eastAsia="黑体"/>
          <w:sz w:val="32"/>
          <w:szCs w:val="32"/>
        </w:rPr>
      </w:pPr>
      <w:bookmarkStart w:id="101" w:name="_Toc433873361"/>
      <w:bookmarkStart w:id="102" w:name="_Toc112680065"/>
      <w:r>
        <w:rPr>
          <w:rFonts w:ascii="黑体" w:hAnsi="黑体" w:eastAsia="黑体"/>
          <w:sz w:val="32"/>
          <w:szCs w:val="32"/>
        </w:rPr>
        <w:t>风险管理报告的内容</w:t>
      </w:r>
      <w:bookmarkEnd w:id="101"/>
      <w:bookmarkEnd w:id="102"/>
    </w:p>
    <w:p w14:paraId="7FA578AA">
      <w:pPr>
        <w:numPr>
          <w:ilvl w:val="0"/>
          <w:numId w:val="20"/>
        </w:numPr>
        <w:spacing w:line="520" w:lineRule="exact"/>
        <w:ind w:left="0" w:firstLine="640" w:firstLineChars="200"/>
        <w:outlineLvl w:val="1"/>
        <w:rPr>
          <w:rFonts w:ascii="楷体_GB2312" w:hAnsi="黑体" w:eastAsia="楷体_GB2312"/>
          <w:sz w:val="32"/>
          <w:szCs w:val="32"/>
        </w:rPr>
      </w:pPr>
      <w:bookmarkStart w:id="103" w:name="_Toc112680066"/>
      <w:r>
        <w:rPr>
          <w:rFonts w:hint="eastAsia" w:ascii="楷体_GB2312" w:hAnsi="黑体" w:eastAsia="楷体_GB2312"/>
          <w:sz w:val="32"/>
          <w:szCs w:val="32"/>
        </w:rPr>
        <w:t>预期用途和与安全性有关特征的判定</w:t>
      </w:r>
      <w:bookmarkEnd w:id="103"/>
    </w:p>
    <w:p w14:paraId="0A130E71">
      <w:pPr>
        <w:spacing w:line="520" w:lineRule="exact"/>
        <w:ind w:firstLine="640" w:firstLineChars="200"/>
        <w:rPr>
          <w:rFonts w:eastAsia="仿宋_GB2312"/>
          <w:color w:val="000000"/>
          <w:sz w:val="32"/>
          <w:szCs w:val="32"/>
        </w:rPr>
      </w:pPr>
      <w:r>
        <w:rPr>
          <w:rFonts w:eastAsia="仿宋_GB2312"/>
          <w:color w:val="000000"/>
          <w:sz w:val="32"/>
          <w:szCs w:val="32"/>
        </w:rPr>
        <w:t>风险管理报告应包含</w:t>
      </w:r>
      <w:r>
        <w:rPr>
          <w:rFonts w:hint="eastAsia" w:eastAsia="仿宋_GB2312"/>
          <w:color w:val="000000"/>
          <w:sz w:val="32"/>
          <w:szCs w:val="32"/>
        </w:rPr>
        <w:t>产品</w:t>
      </w:r>
      <w:r>
        <w:rPr>
          <w:rFonts w:eastAsia="仿宋_GB2312"/>
          <w:color w:val="000000"/>
          <w:sz w:val="32"/>
          <w:szCs w:val="32"/>
        </w:rPr>
        <w:t>的预期用途以及合理可预见的误用。</w:t>
      </w:r>
    </w:p>
    <w:p w14:paraId="181DC21F">
      <w:pPr>
        <w:spacing w:line="520" w:lineRule="exact"/>
        <w:ind w:firstLine="640" w:firstLineChars="200"/>
        <w:jc w:val="left"/>
        <w:rPr>
          <w:rFonts w:eastAsia="仿宋_GB2312"/>
          <w:color w:val="000000"/>
          <w:sz w:val="32"/>
          <w:szCs w:val="32"/>
        </w:rPr>
      </w:pPr>
      <w:r>
        <w:rPr>
          <w:rFonts w:eastAsia="仿宋_GB2312"/>
          <w:color w:val="000000"/>
          <w:sz w:val="32"/>
          <w:szCs w:val="32"/>
        </w:rPr>
        <w:t>申请人应按照YY/T 0316</w:t>
      </w:r>
      <w:r>
        <w:rPr>
          <w:rFonts w:hint="eastAsia" w:eastAsia="仿宋_GB2312"/>
          <w:color w:val="000000"/>
          <w:sz w:val="32"/>
          <w:szCs w:val="32"/>
        </w:rPr>
        <w:t>-</w:t>
      </w:r>
      <w:r>
        <w:rPr>
          <w:rFonts w:eastAsia="仿宋_GB2312"/>
          <w:color w:val="000000"/>
          <w:sz w:val="32"/>
          <w:szCs w:val="32"/>
        </w:rPr>
        <w:t>2008《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14:paraId="48ACD429">
      <w:pPr>
        <w:numPr>
          <w:ilvl w:val="0"/>
          <w:numId w:val="20"/>
        </w:numPr>
        <w:spacing w:line="520" w:lineRule="exact"/>
        <w:ind w:left="0" w:firstLine="640" w:firstLineChars="200"/>
        <w:outlineLvl w:val="1"/>
        <w:rPr>
          <w:rFonts w:ascii="楷体_GB2312" w:hAnsi="黑体" w:eastAsia="楷体_GB2312"/>
          <w:sz w:val="32"/>
          <w:szCs w:val="32"/>
        </w:rPr>
      </w:pPr>
      <w:bookmarkStart w:id="104" w:name="_Toc112680067"/>
      <w:r>
        <w:rPr>
          <w:rFonts w:ascii="楷体_GB2312" w:hAnsi="黑体" w:eastAsia="楷体_GB2312"/>
          <w:sz w:val="32"/>
          <w:szCs w:val="32"/>
        </w:rPr>
        <w:t>危害的判定</w:t>
      </w:r>
      <w:bookmarkEnd w:id="104"/>
    </w:p>
    <w:p w14:paraId="29540BE0">
      <w:pPr>
        <w:spacing w:line="520" w:lineRule="exact"/>
        <w:ind w:firstLine="640" w:firstLineChars="200"/>
        <w:rPr>
          <w:rFonts w:eastAsia="仿宋_GB2312"/>
          <w:color w:val="000000"/>
          <w:sz w:val="32"/>
          <w:szCs w:val="32"/>
        </w:rPr>
      </w:pPr>
      <w:r>
        <w:rPr>
          <w:rFonts w:eastAsia="仿宋_GB2312"/>
          <w:color w:val="000000"/>
          <w:sz w:val="32"/>
          <w:szCs w:val="32"/>
        </w:rPr>
        <w:t>申请人应在已识别的影响安全性的特征的基础上，系统地判定产品在正常和故障两种条件下的可预见的危害</w:t>
      </w:r>
      <w:r>
        <w:rPr>
          <w:rFonts w:hint="eastAsia" w:eastAsia="仿宋_GB2312"/>
          <w:color w:val="000000"/>
          <w:sz w:val="32"/>
          <w:szCs w:val="32"/>
        </w:rPr>
        <w:t>，</w:t>
      </w:r>
      <w:r>
        <w:rPr>
          <w:rFonts w:eastAsia="仿宋_GB2312"/>
          <w:color w:val="000000"/>
          <w:sz w:val="32"/>
          <w:szCs w:val="32"/>
        </w:rPr>
        <w:t>并对危害的成因及后果进行分析，即说明危害、可预见事件序列、危害处境和可能发生的损害之间的关系</w:t>
      </w:r>
      <w:r>
        <w:rPr>
          <w:rFonts w:hint="eastAsia" w:eastAsia="仿宋_GB2312"/>
          <w:color w:val="000000"/>
          <w:sz w:val="32"/>
          <w:szCs w:val="32"/>
        </w:rPr>
        <w:t>，</w:t>
      </w:r>
      <w:r>
        <w:rPr>
          <w:rFonts w:eastAsia="仿宋_GB2312"/>
          <w:color w:val="000000"/>
          <w:sz w:val="32"/>
          <w:szCs w:val="32"/>
        </w:rPr>
        <w:t>形成一份产品可预见的危害及危害分析清单。</w:t>
      </w:r>
    </w:p>
    <w:p w14:paraId="18586832">
      <w:pPr>
        <w:spacing w:line="520" w:lineRule="exact"/>
        <w:ind w:firstLine="640" w:firstLineChars="200"/>
        <w:jc w:val="left"/>
      </w:pPr>
      <w:r>
        <w:rPr>
          <w:rFonts w:eastAsia="仿宋_GB2312"/>
          <w:color w:val="000000"/>
          <w:sz w:val="32"/>
          <w:szCs w:val="32"/>
        </w:rPr>
        <w:t>危害的判定至少应包含能量危害、生物和化学危害、操作危害、信息危害这四个方面的危害分析，并应按照</w:t>
      </w:r>
      <w:r>
        <w:rPr>
          <w:rFonts w:hint="eastAsia" w:ascii="仿宋_GB2312" w:eastAsia="仿宋_GB2312"/>
          <w:color w:val="000000"/>
          <w:sz w:val="32"/>
          <w:szCs w:val="32"/>
        </w:rPr>
        <w:t>本指导原则</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_Ref443935308 \h</w:instrText>
      </w:r>
      <w:r>
        <w:rPr>
          <w:rFonts w:eastAsia="仿宋_GB2312"/>
          <w:color w:val="000000"/>
          <w:sz w:val="32"/>
          <w:szCs w:val="32"/>
        </w:rPr>
        <w:instrText xml:space="preserve">  \* MERGEFORMAT </w:instrText>
      </w:r>
      <w:r>
        <w:rPr>
          <w:rFonts w:eastAsia="仿宋_GB2312"/>
          <w:color w:val="000000"/>
          <w:sz w:val="32"/>
          <w:szCs w:val="32"/>
        </w:rPr>
        <w:fldChar w:fldCharType="separate"/>
      </w:r>
      <w:r>
        <w:rPr>
          <w:rFonts w:eastAsia="仿宋_GB2312"/>
          <w:color w:val="000000"/>
          <w:sz w:val="32"/>
          <w:szCs w:val="32"/>
        </w:rPr>
        <w:t>附录</w:t>
      </w:r>
      <w:r>
        <w:rPr>
          <w:rFonts w:eastAsia="仿宋_GB2312"/>
          <w:color w:val="000000"/>
          <w:sz w:val="32"/>
          <w:szCs w:val="32"/>
        </w:rPr>
        <w:fldChar w:fldCharType="begin"/>
      </w:r>
      <w:r>
        <w:rPr>
          <w:rFonts w:eastAsia="仿宋_GB2312"/>
          <w:color w:val="000000"/>
          <w:sz w:val="32"/>
          <w:szCs w:val="32"/>
        </w:rPr>
        <w:instrText xml:space="preserve"> XE "1" </w:instrText>
      </w:r>
      <w:r>
        <w:rPr>
          <w:rFonts w:eastAsia="仿宋_GB2312"/>
          <w:color w:val="000000"/>
          <w:sz w:val="32"/>
          <w:szCs w:val="32"/>
        </w:rPr>
        <w:fldChar w:fldCharType="end"/>
      </w:r>
      <w:r>
        <w:rPr>
          <w:rFonts w:eastAsia="仿宋_GB2312"/>
          <w:color w:val="000000"/>
          <w:sz w:val="32"/>
          <w:szCs w:val="32"/>
        </w:rPr>
        <w:t>1</w:t>
      </w:r>
      <w:r>
        <w:rPr>
          <w:rFonts w:eastAsia="仿宋_GB2312"/>
          <w:color w:val="000000"/>
          <w:sz w:val="32"/>
          <w:szCs w:val="32"/>
        </w:rPr>
        <w:fldChar w:fldCharType="end"/>
      </w:r>
      <w:r>
        <w:rPr>
          <w:rFonts w:eastAsia="仿宋_GB2312"/>
          <w:color w:val="000000"/>
          <w:sz w:val="32"/>
          <w:szCs w:val="32"/>
        </w:rPr>
        <w:t>的危害二级分类来展开分析</w:t>
      </w:r>
      <w:r>
        <w:rPr>
          <w:rFonts w:hint="eastAsia" w:eastAsia="仿宋_GB2312"/>
          <w:color w:val="000000"/>
          <w:sz w:val="32"/>
          <w:szCs w:val="32"/>
        </w:rPr>
        <w:t>。</w:t>
      </w:r>
      <w:r>
        <w:rPr>
          <w:rFonts w:eastAsia="仿宋_GB2312"/>
          <w:color w:val="000000"/>
          <w:sz w:val="32"/>
          <w:szCs w:val="32"/>
        </w:rPr>
        <w:t>申请人应根据申报产品具体预期用途和与安全性有关特征编写风险管理报告。</w:t>
      </w:r>
    </w:p>
    <w:p w14:paraId="12A1F526">
      <w:pPr>
        <w:numPr>
          <w:ilvl w:val="0"/>
          <w:numId w:val="20"/>
        </w:numPr>
        <w:spacing w:line="520" w:lineRule="exact"/>
        <w:ind w:left="0" w:firstLine="640" w:firstLineChars="200"/>
        <w:outlineLvl w:val="1"/>
        <w:rPr>
          <w:rFonts w:ascii="楷体_GB2312" w:hAnsi="黑体" w:eastAsia="楷体_GB2312"/>
          <w:sz w:val="32"/>
          <w:szCs w:val="32"/>
        </w:rPr>
      </w:pPr>
      <w:bookmarkStart w:id="105" w:name="_Toc112680068"/>
      <w:r>
        <w:rPr>
          <w:rFonts w:ascii="楷体_GB2312" w:hAnsi="黑体" w:eastAsia="楷体_GB2312"/>
          <w:sz w:val="32"/>
          <w:szCs w:val="32"/>
        </w:rPr>
        <w:t>风险估计</w:t>
      </w:r>
      <w:bookmarkEnd w:id="105"/>
    </w:p>
    <w:p w14:paraId="6A466202">
      <w:pPr>
        <w:spacing w:line="520" w:lineRule="exact"/>
        <w:ind w:firstLine="640" w:firstLineChars="200"/>
        <w:rPr>
          <w:rFonts w:eastAsia="仿宋_GB2312"/>
          <w:color w:val="000000"/>
          <w:sz w:val="32"/>
          <w:szCs w:val="32"/>
        </w:rPr>
      </w:pPr>
      <w:r>
        <w:rPr>
          <w:rFonts w:eastAsia="仿宋_GB2312"/>
          <w:color w:val="000000"/>
          <w:sz w:val="32"/>
          <w:szCs w:val="32"/>
        </w:rPr>
        <w:t>应识别可能造成危害处境的合理可预见的事件序列或组合，并列明造成的危害处境。</w:t>
      </w:r>
    </w:p>
    <w:p w14:paraId="292AD134">
      <w:pPr>
        <w:spacing w:line="520" w:lineRule="exact"/>
        <w:ind w:firstLine="640" w:firstLineChars="200"/>
        <w:rPr>
          <w:rFonts w:eastAsia="仿宋_GB2312"/>
          <w:color w:val="000000"/>
          <w:sz w:val="32"/>
          <w:szCs w:val="32"/>
        </w:rPr>
      </w:pPr>
      <w:r>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pPr>
        <w:spacing w:line="520" w:lineRule="exact"/>
        <w:ind w:firstLine="640" w:firstLineChars="200"/>
        <w:rPr>
          <w:rFonts w:eastAsia="仿宋_GB2312"/>
          <w:color w:val="000000"/>
          <w:sz w:val="32"/>
          <w:szCs w:val="32"/>
        </w:rPr>
      </w:pPr>
      <w:r>
        <w:rPr>
          <w:rFonts w:eastAsia="仿宋_GB2312"/>
          <w:color w:val="000000"/>
          <w:sz w:val="32"/>
          <w:szCs w:val="32"/>
        </w:rPr>
        <w:t>对损害发生的概率和损害的严重度进行定性或定量的估计。用于风险估计的资料或数据，可以通过以下途径获得：</w:t>
      </w:r>
    </w:p>
    <w:p w14:paraId="5ACF9F73">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已发布的标准；</w:t>
      </w:r>
    </w:p>
    <w:p w14:paraId="6A24D372">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科学技术资料，例如各种期刊、专著；</w:t>
      </w:r>
    </w:p>
    <w:p w14:paraId="21D09FFF">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已在使用中的临床资料，例如已公布的不良事件报告、召回信息等，典型的如美国</w:t>
      </w:r>
      <w:r>
        <w:rPr>
          <w:rFonts w:hint="eastAsia" w:eastAsia="仿宋_GB2312"/>
          <w:color w:val="000000"/>
          <w:sz w:val="32"/>
          <w:szCs w:val="32"/>
        </w:rPr>
        <w:t>食品药品管理局</w:t>
      </w:r>
      <w:r>
        <w:rPr>
          <w:rFonts w:eastAsia="仿宋_GB2312"/>
          <w:color w:val="000000"/>
          <w:sz w:val="32"/>
          <w:szCs w:val="32"/>
        </w:rPr>
        <w:t>官方网站中的MAUDE数据库；</w:t>
      </w:r>
    </w:p>
    <w:p w14:paraId="5B96BC79">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临床数据；</w:t>
      </w:r>
    </w:p>
    <w:p w14:paraId="40C948B2">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调研结果；</w:t>
      </w:r>
    </w:p>
    <w:p w14:paraId="04F6AD3C">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专家意见；</w:t>
      </w:r>
    </w:p>
    <w:p w14:paraId="06607EBD">
      <w:pPr>
        <w:numPr>
          <w:ilvl w:val="0"/>
          <w:numId w:val="21"/>
        </w:numPr>
        <w:spacing w:line="520" w:lineRule="exact"/>
        <w:ind w:left="0" w:firstLine="640" w:firstLineChars="200"/>
        <w:rPr>
          <w:rFonts w:eastAsia="仿宋_GB2312"/>
          <w:color w:val="000000"/>
          <w:sz w:val="32"/>
          <w:szCs w:val="32"/>
        </w:rPr>
      </w:pPr>
      <w:r>
        <w:rPr>
          <w:rFonts w:eastAsia="仿宋_GB2312"/>
          <w:color w:val="000000"/>
          <w:sz w:val="32"/>
          <w:szCs w:val="32"/>
        </w:rPr>
        <w:t>外部质量评定情况。</w:t>
      </w:r>
    </w:p>
    <w:p w14:paraId="3EEAC505">
      <w:pPr>
        <w:numPr>
          <w:ilvl w:val="0"/>
          <w:numId w:val="20"/>
        </w:numPr>
        <w:spacing w:line="520" w:lineRule="exact"/>
        <w:ind w:left="0" w:firstLine="640" w:firstLineChars="200"/>
        <w:outlineLvl w:val="1"/>
        <w:rPr>
          <w:rFonts w:ascii="楷体_GB2312" w:hAnsi="黑体" w:eastAsia="楷体_GB2312"/>
          <w:sz w:val="32"/>
          <w:szCs w:val="32"/>
        </w:rPr>
      </w:pPr>
      <w:bookmarkStart w:id="106" w:name="_Toc112680069"/>
      <w:r>
        <w:rPr>
          <w:rFonts w:ascii="楷体_GB2312" w:hAnsi="黑体" w:eastAsia="楷体_GB2312"/>
          <w:sz w:val="32"/>
          <w:szCs w:val="32"/>
        </w:rPr>
        <w:t>风险评价</w:t>
      </w:r>
      <w:bookmarkEnd w:id="106"/>
    </w:p>
    <w:p w14:paraId="4F9518AC">
      <w:pPr>
        <w:spacing w:line="520" w:lineRule="exact"/>
        <w:ind w:firstLine="640" w:firstLineChars="200"/>
        <w:rPr>
          <w:rFonts w:eastAsia="仿宋_GB2312"/>
          <w:color w:val="000000"/>
          <w:sz w:val="32"/>
          <w:szCs w:val="32"/>
        </w:rPr>
      </w:pPr>
      <w:r>
        <w:rPr>
          <w:rFonts w:eastAsia="仿宋_GB2312"/>
          <w:color w:val="000000"/>
          <w:sz w:val="32"/>
          <w:szCs w:val="32"/>
        </w:rPr>
        <w:t>对每个已判定的危害处境，申请人应依据风险管理计划中制定的风险可接受准则进行风险评价，决定是否需要降低风险。若需要，申请人应描述如何进行相应风险控制。</w:t>
      </w:r>
    </w:p>
    <w:p w14:paraId="25E05FBE">
      <w:pPr>
        <w:spacing w:line="520" w:lineRule="exact"/>
        <w:ind w:firstLine="640" w:firstLineChars="200"/>
        <w:rPr>
          <w:rFonts w:eastAsia="仿宋_GB2312"/>
          <w:color w:val="000000"/>
          <w:sz w:val="32"/>
          <w:szCs w:val="32"/>
        </w:rPr>
      </w:pPr>
      <w:r>
        <w:rPr>
          <w:rFonts w:eastAsia="仿宋_GB2312"/>
          <w:color w:val="000000"/>
          <w:sz w:val="32"/>
          <w:szCs w:val="32"/>
        </w:rPr>
        <w:t>风险评价的结果</w:t>
      </w:r>
      <w:r>
        <w:rPr>
          <w:rFonts w:hint="eastAsia" w:eastAsia="仿宋_GB2312"/>
          <w:color w:val="000000"/>
          <w:sz w:val="32"/>
          <w:szCs w:val="32"/>
        </w:rPr>
        <w:t>应</w:t>
      </w:r>
      <w:r>
        <w:rPr>
          <w:rFonts w:eastAsia="仿宋_GB2312"/>
          <w:color w:val="000000"/>
          <w:sz w:val="32"/>
          <w:szCs w:val="32"/>
        </w:rPr>
        <w:t>记入风险管理文件中。</w:t>
      </w:r>
    </w:p>
    <w:p w14:paraId="2BC5CD06">
      <w:pPr>
        <w:numPr>
          <w:ilvl w:val="0"/>
          <w:numId w:val="20"/>
        </w:numPr>
        <w:spacing w:line="520" w:lineRule="exact"/>
        <w:ind w:left="0" w:firstLine="640" w:firstLineChars="200"/>
        <w:outlineLvl w:val="1"/>
        <w:rPr>
          <w:rFonts w:ascii="楷体_GB2312" w:hAnsi="黑体" w:eastAsia="楷体_GB2312"/>
          <w:sz w:val="32"/>
          <w:szCs w:val="32"/>
        </w:rPr>
      </w:pPr>
      <w:bookmarkStart w:id="107" w:name="_Toc112680070"/>
      <w:r>
        <w:rPr>
          <w:rFonts w:ascii="楷体_GB2312" w:hAnsi="黑体" w:eastAsia="楷体_GB2312"/>
          <w:sz w:val="32"/>
          <w:szCs w:val="32"/>
        </w:rPr>
        <w:t>风险控制</w:t>
      </w:r>
      <w:bookmarkEnd w:id="107"/>
    </w:p>
    <w:p w14:paraId="5E572037">
      <w:pPr>
        <w:spacing w:line="520" w:lineRule="exact"/>
        <w:ind w:firstLine="640" w:firstLineChars="200"/>
        <w:rPr>
          <w:rFonts w:eastAsia="仿宋_GB2312"/>
          <w:color w:val="000000"/>
          <w:sz w:val="32"/>
          <w:szCs w:val="32"/>
        </w:rPr>
      </w:pPr>
      <w:r>
        <w:rPr>
          <w:rFonts w:eastAsia="仿宋_GB2312"/>
          <w:color w:val="000000"/>
          <w:sz w:val="32"/>
          <w:szCs w:val="32"/>
        </w:rPr>
        <w:t>申请人应对经风险评价后不可接受的、或考虑可进一步采取措施降低的风险制定适当的风险控制措施（一个或多个），把风险降低到可接受的水平。</w:t>
      </w:r>
    </w:p>
    <w:p w14:paraId="4F7BD14B">
      <w:pPr>
        <w:spacing w:line="520" w:lineRule="exact"/>
        <w:ind w:firstLine="640" w:firstLineChars="200"/>
        <w:rPr>
          <w:rFonts w:eastAsia="仿宋_GB2312"/>
          <w:color w:val="000000"/>
          <w:sz w:val="32"/>
          <w:szCs w:val="32"/>
        </w:rPr>
      </w:pPr>
      <w:r>
        <w:rPr>
          <w:rFonts w:eastAsia="仿宋_GB2312"/>
          <w:color w:val="000000"/>
          <w:sz w:val="32"/>
          <w:szCs w:val="32"/>
        </w:rPr>
        <w:t>申请人</w:t>
      </w:r>
      <w:r>
        <w:rPr>
          <w:rFonts w:hint="eastAsia" w:eastAsia="仿宋_GB2312"/>
          <w:color w:val="000000"/>
          <w:sz w:val="32"/>
          <w:szCs w:val="32"/>
        </w:rPr>
        <w:t>宜</w:t>
      </w:r>
      <w:r>
        <w:rPr>
          <w:rFonts w:eastAsia="仿宋_GB2312"/>
          <w:color w:val="000000"/>
          <w:sz w:val="32"/>
          <w:szCs w:val="32"/>
        </w:rPr>
        <w:t>按照以下顺序，依次使用一种或多种方法：</w:t>
      </w:r>
    </w:p>
    <w:p w14:paraId="5C1918FD">
      <w:pPr>
        <w:numPr>
          <w:ilvl w:val="0"/>
          <w:numId w:val="22"/>
        </w:numPr>
        <w:spacing w:line="520" w:lineRule="exact"/>
        <w:ind w:left="0" w:firstLine="640" w:firstLineChars="200"/>
        <w:rPr>
          <w:rFonts w:eastAsia="仿宋_GB2312"/>
          <w:color w:val="000000"/>
          <w:sz w:val="32"/>
          <w:szCs w:val="32"/>
        </w:rPr>
      </w:pPr>
      <w:r>
        <w:rPr>
          <w:rFonts w:eastAsia="仿宋_GB2312"/>
          <w:color w:val="000000"/>
          <w:sz w:val="32"/>
          <w:szCs w:val="32"/>
        </w:rPr>
        <w:t>用设计方法取得固有安全性，例如消除危害、降低损害发生的概率、降低损害的严重度；</w:t>
      </w:r>
    </w:p>
    <w:p w14:paraId="49E08D95">
      <w:pPr>
        <w:numPr>
          <w:ilvl w:val="0"/>
          <w:numId w:val="22"/>
        </w:numPr>
        <w:spacing w:line="520" w:lineRule="exact"/>
        <w:ind w:left="0" w:firstLine="640" w:firstLineChars="200"/>
        <w:rPr>
          <w:rFonts w:eastAsia="仿宋_GB2312"/>
          <w:color w:val="000000"/>
          <w:sz w:val="32"/>
          <w:szCs w:val="32"/>
        </w:rPr>
      </w:pPr>
      <w:r>
        <w:rPr>
          <w:rFonts w:eastAsia="仿宋_GB2312"/>
          <w:color w:val="000000"/>
          <w:sz w:val="32"/>
          <w:szCs w:val="32"/>
        </w:rPr>
        <w:t>在医疗器械本身或在制造过程中提供防护措施，例如提供安全阀、提供视觉或听觉报警信号；</w:t>
      </w:r>
    </w:p>
    <w:p w14:paraId="46A467A4">
      <w:pPr>
        <w:numPr>
          <w:ilvl w:val="0"/>
          <w:numId w:val="22"/>
        </w:numPr>
        <w:spacing w:line="520" w:lineRule="exact"/>
        <w:ind w:left="0" w:firstLine="640" w:firstLineChars="200"/>
        <w:rPr>
          <w:rFonts w:eastAsia="仿宋_GB2312"/>
          <w:color w:val="000000"/>
          <w:sz w:val="32"/>
          <w:szCs w:val="32"/>
        </w:rPr>
      </w:pPr>
      <w:r>
        <w:rPr>
          <w:rFonts w:eastAsia="仿宋_GB2312"/>
          <w:color w:val="000000"/>
          <w:sz w:val="32"/>
          <w:szCs w:val="32"/>
        </w:rPr>
        <w:t>提供安全性信息，例如提供警告标识、限制</w:t>
      </w:r>
      <w:r>
        <w:rPr>
          <w:rFonts w:hint="eastAsia" w:eastAsia="仿宋_GB2312"/>
          <w:color w:val="000000"/>
          <w:sz w:val="32"/>
          <w:szCs w:val="32"/>
        </w:rPr>
        <w:t>产品</w:t>
      </w:r>
      <w:r>
        <w:rPr>
          <w:rFonts w:eastAsia="仿宋_GB2312"/>
          <w:color w:val="000000"/>
          <w:sz w:val="32"/>
          <w:szCs w:val="32"/>
        </w:rPr>
        <w:t>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14:paraId="2C28E89A">
      <w:pPr>
        <w:spacing w:line="520" w:lineRule="exact"/>
        <w:ind w:firstLine="640" w:firstLineChars="200"/>
        <w:rPr>
          <w:rFonts w:eastAsia="仿宋_GB2312"/>
          <w:color w:val="000000"/>
          <w:sz w:val="32"/>
          <w:szCs w:val="32"/>
        </w:rPr>
      </w:pPr>
      <w:r>
        <w:rPr>
          <w:rFonts w:eastAsia="仿宋_GB2312"/>
          <w:color w:val="000000"/>
          <w:sz w:val="32"/>
          <w:szCs w:val="32"/>
        </w:rPr>
        <w:t>在制定降低风险的控制措施方案时，申请人应充分考虑产品国家标准、行业标准中有关降低风险的措施。</w:t>
      </w:r>
    </w:p>
    <w:p w14:paraId="3870369C">
      <w:pPr>
        <w:spacing w:line="520" w:lineRule="exact"/>
        <w:ind w:firstLine="640" w:firstLineChars="200"/>
        <w:rPr>
          <w:rFonts w:eastAsia="仿宋_GB2312"/>
          <w:color w:val="000000"/>
          <w:sz w:val="32"/>
          <w:szCs w:val="32"/>
        </w:rPr>
      </w:pPr>
      <w:r>
        <w:rPr>
          <w:rFonts w:eastAsia="仿宋_GB2312"/>
          <w:color w:val="000000"/>
          <w:sz w:val="32"/>
          <w:szCs w:val="32"/>
        </w:rPr>
        <w:t>申请人应确保降低风险的控制措施在研制初期得到有效的输入，对每项风险控制措施实施予以验证，并应对措施的有效性实施验证。</w:t>
      </w:r>
    </w:p>
    <w:p w14:paraId="43EBD045">
      <w:pPr>
        <w:spacing w:line="520" w:lineRule="exact"/>
        <w:ind w:firstLine="640" w:firstLineChars="200"/>
        <w:rPr>
          <w:rFonts w:eastAsia="仿宋_GB2312"/>
          <w:color w:val="000000"/>
          <w:sz w:val="32"/>
          <w:szCs w:val="32"/>
        </w:rPr>
      </w:pPr>
      <w:r>
        <w:rPr>
          <w:rFonts w:eastAsia="仿宋_GB2312"/>
          <w:color w:val="000000"/>
          <w:sz w:val="32"/>
          <w:szCs w:val="32"/>
        </w:rPr>
        <w:t>申请人应对采取降低风险的控制措施后的剩余风险以及是否会引发新的风险进行评价。</w:t>
      </w:r>
    </w:p>
    <w:p w14:paraId="48A1B97D">
      <w:pPr>
        <w:spacing w:line="520" w:lineRule="exact"/>
        <w:ind w:firstLine="640" w:firstLineChars="200"/>
        <w:rPr>
          <w:rFonts w:eastAsia="仿宋_GB2312"/>
          <w:color w:val="000000"/>
          <w:sz w:val="32"/>
          <w:szCs w:val="32"/>
        </w:rPr>
      </w:pPr>
      <w:r>
        <w:rPr>
          <w:rFonts w:eastAsia="仿宋_GB2312"/>
          <w:color w:val="000000"/>
          <w:sz w:val="32"/>
          <w:szCs w:val="32"/>
        </w:rPr>
        <w:t>以上降低风险的控制措施、控制措施的验证、剩余风险评价等信息</w:t>
      </w:r>
      <w:r>
        <w:rPr>
          <w:rFonts w:hint="eastAsia" w:eastAsia="仿宋_GB2312"/>
          <w:color w:val="000000"/>
          <w:sz w:val="32"/>
          <w:szCs w:val="32"/>
        </w:rPr>
        <w:t>应</w:t>
      </w:r>
      <w:r>
        <w:rPr>
          <w:rFonts w:eastAsia="仿宋_GB2312"/>
          <w:color w:val="000000"/>
          <w:sz w:val="32"/>
          <w:szCs w:val="32"/>
        </w:rPr>
        <w:t>记入风险管理报告中。</w:t>
      </w:r>
    </w:p>
    <w:p w14:paraId="7F55C2C1">
      <w:pPr>
        <w:numPr>
          <w:ilvl w:val="0"/>
          <w:numId w:val="20"/>
        </w:numPr>
        <w:spacing w:line="520" w:lineRule="exact"/>
        <w:ind w:left="0" w:firstLine="640" w:firstLineChars="200"/>
        <w:outlineLvl w:val="1"/>
        <w:rPr>
          <w:rFonts w:ascii="楷体_GB2312" w:hAnsi="黑体" w:eastAsia="楷体_GB2312"/>
          <w:sz w:val="32"/>
          <w:szCs w:val="32"/>
        </w:rPr>
      </w:pPr>
      <w:bookmarkStart w:id="108" w:name="_Toc112680071"/>
      <w:r>
        <w:rPr>
          <w:rFonts w:ascii="楷体_GB2312" w:hAnsi="黑体" w:eastAsia="楷体_GB2312"/>
          <w:sz w:val="32"/>
          <w:szCs w:val="32"/>
        </w:rPr>
        <w:t>综合剩余风险的可接受性评价</w:t>
      </w:r>
      <w:bookmarkEnd w:id="108"/>
    </w:p>
    <w:p w14:paraId="181D57DB">
      <w:pPr>
        <w:spacing w:line="520" w:lineRule="exact"/>
        <w:ind w:firstLine="640" w:firstLineChars="200"/>
        <w:rPr>
          <w:rFonts w:eastAsia="仿宋_GB2312"/>
          <w:color w:val="000000"/>
          <w:sz w:val="32"/>
          <w:szCs w:val="32"/>
        </w:rPr>
      </w:pPr>
      <w:r>
        <w:rPr>
          <w:rFonts w:eastAsia="仿宋_GB2312"/>
          <w:color w:val="000000"/>
          <w:sz w:val="32"/>
          <w:szCs w:val="32"/>
        </w:rPr>
        <w:t>申请人应对综合剩余风险是否可接受给出结论性意见，并对已有恰当的方法获得与本产品相关的生产后信息与临床应用的信息进行阐述并做出承诺。</w:t>
      </w:r>
    </w:p>
    <w:p w14:paraId="1CB7A128">
      <w:pPr>
        <w:spacing w:line="520" w:lineRule="exact"/>
        <w:ind w:firstLine="640" w:firstLineChars="200"/>
        <w:rPr>
          <w:rFonts w:eastAsia="仿宋_GB2312"/>
          <w:color w:val="000000"/>
          <w:sz w:val="32"/>
          <w:szCs w:val="32"/>
        </w:rPr>
      </w:pPr>
      <w:r>
        <w:rPr>
          <w:rFonts w:eastAsia="仿宋_GB2312"/>
          <w:color w:val="000000"/>
          <w:sz w:val="32"/>
          <w:szCs w:val="32"/>
        </w:rPr>
        <w:t>风险管理报告应由申请人的最高管理者（法人代表）或其授权的代表签字批准。</w:t>
      </w:r>
    </w:p>
    <w:p w14:paraId="7D6B11A0">
      <w:pPr>
        <w:rPr>
          <w:rFonts w:eastAsia="仿宋_GB2312"/>
          <w:color w:val="000000"/>
          <w:sz w:val="32"/>
          <w:szCs w:val="32"/>
        </w:rPr>
      </w:pPr>
      <w:r>
        <w:rPr>
          <w:rFonts w:eastAsia="仿宋_GB2312"/>
          <w:color w:val="000000"/>
          <w:sz w:val="32"/>
          <w:szCs w:val="32"/>
        </w:rPr>
        <w:br w:type="page"/>
      </w:r>
    </w:p>
    <w:p w14:paraId="1182DA2D">
      <w:pPr>
        <w:pStyle w:val="2"/>
        <w:spacing w:before="0" w:after="0" w:line="520" w:lineRule="exact"/>
        <w:rPr>
          <w:rFonts w:eastAsia="黑体"/>
          <w:b w:val="0"/>
          <w:bCs w:val="0"/>
          <w:sz w:val="30"/>
          <w:szCs w:val="30"/>
        </w:rPr>
      </w:pPr>
      <w:bookmarkStart w:id="109" w:name="_Ref114642423"/>
      <w:bookmarkStart w:id="110" w:name="_Toc112680073"/>
      <w:bookmarkStart w:id="111" w:name="_Ref434177759"/>
      <w:r>
        <w:rPr>
          <w:rFonts w:eastAsia="黑体"/>
          <w:b w:val="0"/>
          <w:bCs w:val="0"/>
          <w:sz w:val="30"/>
          <w:szCs w:val="30"/>
        </w:rPr>
        <w:t>附录2</w:t>
      </w:r>
      <w:bookmarkEnd w:id="109"/>
    </w:p>
    <w:p w14:paraId="63F8B821">
      <w:pPr>
        <w:spacing w:line="520" w:lineRule="exact"/>
        <w:jc w:val="center"/>
        <w:rPr>
          <w:rFonts w:ascii="仿宋_GB2312" w:hAnsi="宋体" w:eastAsia="仿宋_GB2312"/>
          <w:sz w:val="32"/>
          <w:szCs w:val="32"/>
        </w:rPr>
      </w:pPr>
    </w:p>
    <w:p w14:paraId="57BCA447">
      <w:pPr>
        <w:spacing w:line="52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产品</w:t>
      </w:r>
      <w:r>
        <w:rPr>
          <w:rFonts w:ascii="方正小标宋简体" w:hAnsi="黑体" w:eastAsia="方正小标宋简体"/>
          <w:sz w:val="44"/>
          <w:szCs w:val="44"/>
        </w:rPr>
        <w:t>宜参考的现行有效标准</w:t>
      </w:r>
    </w:p>
    <w:p w14:paraId="7AF70CE9">
      <w:pPr>
        <w:spacing w:line="520" w:lineRule="exact"/>
        <w:jc w:val="center"/>
        <w:rPr>
          <w:rFonts w:ascii="仿宋_GB2312" w:hAnsi="宋体" w:eastAsia="仿宋_GB2312"/>
          <w:sz w:val="32"/>
          <w:szCs w:val="32"/>
        </w:rPr>
      </w:pPr>
    </w:p>
    <w:p w14:paraId="13E84D54">
      <w:pPr>
        <w:pStyle w:val="7"/>
        <w:keepNext/>
        <w:spacing w:line="520" w:lineRule="exact"/>
        <w:jc w:val="center"/>
        <w:rPr>
          <w:rFonts w:ascii="Times New Roman" w:hAnsi="Times New Roman" w:cs="Times New Roman"/>
          <w:sz w:val="32"/>
          <w:szCs w:val="32"/>
        </w:rPr>
      </w:pPr>
      <w:r>
        <w:rPr>
          <w:rFonts w:ascii="Times New Roman" w:hAnsi="Times New Roman" w:cs="Times New Roman"/>
          <w:sz w:val="32"/>
          <w:szCs w:val="32"/>
        </w:rPr>
        <w:t>表</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SEQ 表 \* ARABIC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r>
        <w:rPr>
          <w:rFonts w:ascii="Times New Roman" w:hAnsi="Times New Roman" w:cs="Times New Roman"/>
          <w:sz w:val="32"/>
          <w:szCs w:val="32"/>
        </w:rPr>
        <w:t xml:space="preserve"> 宜参考的现行有效标准</w:t>
      </w:r>
    </w:p>
    <w:tbl>
      <w:tblPr>
        <w:tblStyle w:val="2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871"/>
        <w:gridCol w:w="6638"/>
      </w:tblGrid>
      <w:tr w14:paraId="6E61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51EB5905">
            <w:pPr>
              <w:adjustRightInd w:val="0"/>
              <w:snapToGrid w:val="0"/>
              <w:jc w:val="center"/>
              <w:rPr>
                <w:rFonts w:eastAsia="黑体"/>
                <w:bCs/>
                <w:color w:val="000000" w:themeColor="text1"/>
                <w:sz w:val="30"/>
                <w:szCs w:val="30"/>
              </w:rPr>
            </w:pPr>
            <w:r>
              <w:rPr>
                <w:rFonts w:eastAsia="黑体"/>
                <w:bCs/>
                <w:color w:val="000000" w:themeColor="text1"/>
                <w:sz w:val="30"/>
                <w:szCs w:val="30"/>
              </w:rPr>
              <w:t>标准编号</w:t>
            </w:r>
          </w:p>
        </w:tc>
        <w:tc>
          <w:tcPr>
            <w:tcW w:w="6638" w:type="dxa"/>
            <w:tcBorders>
              <w:top w:val="single" w:color="auto" w:sz="4" w:space="0"/>
              <w:left w:val="single" w:color="auto" w:sz="4" w:space="0"/>
              <w:bottom w:val="single" w:color="auto" w:sz="4" w:space="0"/>
              <w:right w:val="single" w:color="auto" w:sz="4" w:space="0"/>
            </w:tcBorders>
            <w:vAlign w:val="center"/>
          </w:tcPr>
          <w:p w14:paraId="4CC2F5EC">
            <w:pPr>
              <w:adjustRightInd w:val="0"/>
              <w:snapToGrid w:val="0"/>
              <w:jc w:val="center"/>
              <w:rPr>
                <w:rFonts w:eastAsia="黑体"/>
                <w:bCs/>
                <w:color w:val="000000" w:themeColor="text1"/>
                <w:sz w:val="30"/>
                <w:szCs w:val="30"/>
              </w:rPr>
            </w:pPr>
            <w:r>
              <w:rPr>
                <w:rFonts w:eastAsia="黑体"/>
                <w:bCs/>
                <w:color w:val="000000" w:themeColor="text1"/>
                <w:sz w:val="30"/>
                <w:szCs w:val="30"/>
              </w:rPr>
              <w:t>标准名称</w:t>
            </w:r>
          </w:p>
        </w:tc>
      </w:tr>
      <w:tr w14:paraId="2576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251A162D">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GB 9706.1</w:t>
            </w:r>
          </w:p>
        </w:tc>
        <w:tc>
          <w:tcPr>
            <w:tcW w:w="6638" w:type="dxa"/>
            <w:tcBorders>
              <w:top w:val="single" w:color="auto" w:sz="4" w:space="0"/>
              <w:left w:val="single" w:color="auto" w:sz="4" w:space="0"/>
              <w:bottom w:val="single" w:color="auto" w:sz="4" w:space="0"/>
              <w:right w:val="single" w:color="auto" w:sz="4" w:space="0"/>
            </w:tcBorders>
            <w:vAlign w:val="center"/>
          </w:tcPr>
          <w:p w14:paraId="74D188B2">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第1部分：基本安全和基本性能的通用要求</w:t>
            </w:r>
          </w:p>
        </w:tc>
      </w:tr>
      <w:tr w14:paraId="6452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3E927464">
            <w:pPr>
              <w:widowControl/>
              <w:adjustRightInd w:val="0"/>
              <w:snapToGrid w:val="0"/>
              <w:jc w:val="left"/>
              <w:rPr>
                <w:rFonts w:eastAsia="仿宋_GB2312"/>
                <w:color w:val="000000" w:themeColor="text1"/>
                <w:sz w:val="30"/>
                <w:szCs w:val="30"/>
              </w:rPr>
            </w:pPr>
            <w:r>
              <w:rPr>
                <w:rFonts w:eastAsia="仿宋_GB2312"/>
                <w:color w:val="000000"/>
                <w:sz w:val="30"/>
                <w:szCs w:val="30"/>
              </w:rPr>
              <w:t>GB 9706.15-2008</w:t>
            </w:r>
          </w:p>
        </w:tc>
        <w:tc>
          <w:tcPr>
            <w:tcW w:w="6638" w:type="dxa"/>
            <w:tcBorders>
              <w:top w:val="single" w:color="auto" w:sz="4" w:space="0"/>
              <w:left w:val="single" w:color="auto" w:sz="4" w:space="0"/>
              <w:bottom w:val="single" w:color="auto" w:sz="4" w:space="0"/>
              <w:right w:val="single" w:color="auto" w:sz="4" w:space="0"/>
            </w:tcBorders>
            <w:vAlign w:val="center"/>
          </w:tcPr>
          <w:p w14:paraId="138805C9">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第1-1部分：安全通用要求　并列标准：医用电气系统安全要求</w:t>
            </w:r>
            <w:r>
              <w:rPr>
                <w:rFonts w:eastAsia="仿宋_GB2312"/>
                <w:color w:val="000000"/>
                <w:sz w:val="30"/>
                <w:szCs w:val="30"/>
              </w:rPr>
              <w:t>（如适用）</w:t>
            </w:r>
          </w:p>
        </w:tc>
      </w:tr>
      <w:tr w14:paraId="2E41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5100D4B0">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GB/T 14710</w:t>
            </w:r>
          </w:p>
        </w:tc>
        <w:tc>
          <w:tcPr>
            <w:tcW w:w="6638" w:type="dxa"/>
            <w:tcBorders>
              <w:top w:val="single" w:color="auto" w:sz="4" w:space="0"/>
              <w:left w:val="single" w:color="auto" w:sz="4" w:space="0"/>
              <w:bottom w:val="single" w:color="auto" w:sz="4" w:space="0"/>
              <w:right w:val="single" w:color="auto" w:sz="4" w:space="0"/>
            </w:tcBorders>
            <w:vAlign w:val="center"/>
          </w:tcPr>
          <w:p w14:paraId="27EC45DF">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医用电器环境要求及试验方法</w:t>
            </w:r>
          </w:p>
        </w:tc>
      </w:tr>
      <w:tr w14:paraId="7F6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0437BF79">
            <w:pPr>
              <w:widowControl/>
              <w:adjustRightInd w:val="0"/>
              <w:snapToGrid w:val="0"/>
              <w:rPr>
                <w:rFonts w:eastAsia="仿宋_GB2312"/>
                <w:color w:val="000000" w:themeColor="text1"/>
                <w:sz w:val="30"/>
                <w:szCs w:val="30"/>
              </w:rPr>
            </w:pPr>
            <w:r>
              <w:rPr>
                <w:rFonts w:eastAsia="仿宋_GB2312"/>
                <w:sz w:val="30"/>
                <w:szCs w:val="30"/>
              </w:rPr>
              <w:t>GB/T 16886.1-2011</w:t>
            </w:r>
          </w:p>
        </w:tc>
        <w:tc>
          <w:tcPr>
            <w:tcW w:w="6638" w:type="dxa"/>
            <w:vAlign w:val="center"/>
          </w:tcPr>
          <w:p w14:paraId="69B92912">
            <w:pPr>
              <w:widowControl/>
              <w:adjustRightInd w:val="0"/>
              <w:snapToGrid w:val="0"/>
              <w:rPr>
                <w:rFonts w:eastAsia="仿宋_GB2312"/>
                <w:color w:val="000000" w:themeColor="text1"/>
                <w:sz w:val="30"/>
                <w:szCs w:val="30"/>
              </w:rPr>
            </w:pPr>
            <w:r>
              <w:rPr>
                <w:rFonts w:eastAsia="仿宋_GB2312"/>
                <w:sz w:val="30"/>
                <w:szCs w:val="30"/>
              </w:rPr>
              <w:t>医疗器械生物学评价 第1部分：风险管理过程中的评价与试验</w:t>
            </w:r>
          </w:p>
        </w:tc>
      </w:tr>
      <w:tr w14:paraId="54D3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0E5A0372">
            <w:pPr>
              <w:widowControl/>
              <w:adjustRightInd w:val="0"/>
              <w:snapToGrid w:val="0"/>
              <w:rPr>
                <w:rFonts w:eastAsia="仿宋_GB2312"/>
                <w:color w:val="000000" w:themeColor="text1"/>
                <w:sz w:val="30"/>
                <w:szCs w:val="30"/>
              </w:rPr>
            </w:pPr>
            <w:r>
              <w:rPr>
                <w:rFonts w:eastAsia="仿宋_GB2312"/>
                <w:sz w:val="30"/>
                <w:szCs w:val="30"/>
              </w:rPr>
              <w:t>GB/T 16886.5-2003</w:t>
            </w:r>
          </w:p>
        </w:tc>
        <w:tc>
          <w:tcPr>
            <w:tcW w:w="6638" w:type="dxa"/>
            <w:vAlign w:val="center"/>
          </w:tcPr>
          <w:p w14:paraId="2E42D434">
            <w:pPr>
              <w:widowControl/>
              <w:adjustRightInd w:val="0"/>
              <w:snapToGrid w:val="0"/>
              <w:rPr>
                <w:rFonts w:eastAsia="仿宋_GB2312"/>
                <w:color w:val="000000" w:themeColor="text1"/>
                <w:sz w:val="30"/>
                <w:szCs w:val="30"/>
              </w:rPr>
            </w:pPr>
            <w:r>
              <w:rPr>
                <w:rFonts w:eastAsia="仿宋_GB2312"/>
                <w:sz w:val="30"/>
                <w:szCs w:val="30"/>
              </w:rPr>
              <w:t>医疗器械生物学评价 第5部分：体外细胞毒性试验</w:t>
            </w:r>
          </w:p>
        </w:tc>
      </w:tr>
      <w:tr w14:paraId="117E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53D523F2">
            <w:pPr>
              <w:widowControl/>
              <w:adjustRightInd w:val="0"/>
              <w:snapToGrid w:val="0"/>
              <w:rPr>
                <w:rFonts w:eastAsia="仿宋_GB2312"/>
                <w:color w:val="000000" w:themeColor="text1"/>
                <w:sz w:val="30"/>
                <w:szCs w:val="30"/>
              </w:rPr>
            </w:pPr>
            <w:r>
              <w:rPr>
                <w:rFonts w:eastAsia="仿宋_GB2312"/>
                <w:sz w:val="30"/>
                <w:szCs w:val="30"/>
              </w:rPr>
              <w:t>GB/T 16886.10-2005</w:t>
            </w:r>
          </w:p>
        </w:tc>
        <w:tc>
          <w:tcPr>
            <w:tcW w:w="6638" w:type="dxa"/>
            <w:vAlign w:val="center"/>
          </w:tcPr>
          <w:p w14:paraId="32D0DB6C">
            <w:pPr>
              <w:widowControl/>
              <w:adjustRightInd w:val="0"/>
              <w:snapToGrid w:val="0"/>
              <w:rPr>
                <w:rFonts w:eastAsia="仿宋_GB2312"/>
                <w:color w:val="000000" w:themeColor="text1"/>
                <w:sz w:val="30"/>
                <w:szCs w:val="30"/>
              </w:rPr>
            </w:pPr>
            <w:r>
              <w:rPr>
                <w:rFonts w:eastAsia="仿宋_GB2312"/>
                <w:sz w:val="30"/>
                <w:szCs w:val="30"/>
              </w:rPr>
              <w:t>医疗器械生物学评价 第10部分：刺激与迟发型超敏反应试验</w:t>
            </w:r>
          </w:p>
        </w:tc>
      </w:tr>
      <w:tr w14:paraId="00F6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4057E5AE">
            <w:pPr>
              <w:widowControl/>
              <w:adjustRightInd w:val="0"/>
              <w:snapToGrid w:val="0"/>
              <w:rPr>
                <w:rFonts w:eastAsia="仿宋_GB2312"/>
                <w:color w:val="000000" w:themeColor="text1"/>
                <w:sz w:val="30"/>
                <w:szCs w:val="30"/>
              </w:rPr>
            </w:pPr>
            <w:r>
              <w:rPr>
                <w:rFonts w:eastAsia="仿宋_GB2312"/>
                <w:sz w:val="30"/>
                <w:szCs w:val="30"/>
              </w:rPr>
              <w:t>GB/T 16886.12-2005</w:t>
            </w:r>
          </w:p>
        </w:tc>
        <w:tc>
          <w:tcPr>
            <w:tcW w:w="6638" w:type="dxa"/>
            <w:vAlign w:val="center"/>
          </w:tcPr>
          <w:p w14:paraId="07130D6B">
            <w:pPr>
              <w:widowControl/>
              <w:adjustRightInd w:val="0"/>
              <w:snapToGrid w:val="0"/>
              <w:rPr>
                <w:rFonts w:eastAsia="仿宋_GB2312"/>
                <w:color w:val="000000" w:themeColor="text1"/>
                <w:sz w:val="30"/>
                <w:szCs w:val="30"/>
              </w:rPr>
            </w:pPr>
            <w:r>
              <w:rPr>
                <w:rFonts w:eastAsia="仿宋_GB2312"/>
                <w:sz w:val="30"/>
                <w:szCs w:val="30"/>
              </w:rPr>
              <w:t>医疗器械生物学评价 第12部分：样品制备与参照样品</w:t>
            </w:r>
          </w:p>
        </w:tc>
      </w:tr>
      <w:tr w14:paraId="58A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0CA9EA5B">
            <w:pPr>
              <w:widowControl/>
              <w:adjustRightInd w:val="0"/>
              <w:snapToGrid w:val="0"/>
              <w:rPr>
                <w:rFonts w:eastAsia="仿宋_GB2312"/>
                <w:color w:val="000000" w:themeColor="text1"/>
                <w:sz w:val="30"/>
                <w:szCs w:val="30"/>
              </w:rPr>
            </w:pPr>
            <w:r>
              <w:rPr>
                <w:rFonts w:eastAsia="仿宋_GB2312"/>
                <w:sz w:val="30"/>
                <w:szCs w:val="30"/>
              </w:rPr>
              <w:t>GB/T 16886.18-2011</w:t>
            </w:r>
          </w:p>
        </w:tc>
        <w:tc>
          <w:tcPr>
            <w:tcW w:w="6638" w:type="dxa"/>
            <w:vAlign w:val="center"/>
          </w:tcPr>
          <w:p w14:paraId="6D906CD7">
            <w:pPr>
              <w:widowControl/>
              <w:adjustRightInd w:val="0"/>
              <w:snapToGrid w:val="0"/>
              <w:rPr>
                <w:rFonts w:eastAsia="仿宋_GB2312"/>
                <w:color w:val="000000" w:themeColor="text1"/>
                <w:sz w:val="30"/>
                <w:szCs w:val="30"/>
              </w:rPr>
            </w:pPr>
            <w:r>
              <w:rPr>
                <w:rFonts w:eastAsia="仿宋_GB2312"/>
                <w:sz w:val="30"/>
                <w:szCs w:val="30"/>
              </w:rPr>
              <w:t>医疗器械生物学评价 第18部分：材料化学表征</w:t>
            </w:r>
          </w:p>
        </w:tc>
      </w:tr>
      <w:tr w14:paraId="385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vAlign w:val="center"/>
          </w:tcPr>
          <w:p w14:paraId="67018A12">
            <w:pPr>
              <w:widowControl/>
              <w:adjustRightInd w:val="0"/>
              <w:snapToGrid w:val="0"/>
              <w:rPr>
                <w:rFonts w:eastAsia="仿宋_GB2312"/>
                <w:color w:val="000000" w:themeColor="text1"/>
                <w:sz w:val="30"/>
                <w:szCs w:val="30"/>
              </w:rPr>
            </w:pPr>
            <w:r>
              <w:rPr>
                <w:rFonts w:eastAsia="仿宋_GB2312"/>
                <w:sz w:val="30"/>
                <w:szCs w:val="30"/>
              </w:rPr>
              <w:t>GB/T 14233.2-2005</w:t>
            </w:r>
          </w:p>
        </w:tc>
        <w:tc>
          <w:tcPr>
            <w:tcW w:w="6638" w:type="dxa"/>
            <w:vAlign w:val="center"/>
          </w:tcPr>
          <w:p w14:paraId="411AB340">
            <w:pPr>
              <w:widowControl/>
              <w:adjustRightInd w:val="0"/>
              <w:snapToGrid w:val="0"/>
              <w:rPr>
                <w:rFonts w:eastAsia="仿宋_GB2312"/>
                <w:color w:val="000000" w:themeColor="text1"/>
                <w:sz w:val="30"/>
                <w:szCs w:val="30"/>
              </w:rPr>
            </w:pPr>
            <w:r>
              <w:rPr>
                <w:rFonts w:eastAsia="仿宋_GB2312"/>
                <w:sz w:val="30"/>
                <w:szCs w:val="30"/>
              </w:rPr>
              <w:t>医用输液、输血、注射器具检验方法 第2部分：生物学试验方法</w:t>
            </w:r>
          </w:p>
        </w:tc>
      </w:tr>
      <w:tr w14:paraId="554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181AA550">
            <w:pPr>
              <w:widowControl/>
              <w:adjustRightInd w:val="0"/>
              <w:snapToGrid w:val="0"/>
              <w:jc w:val="left"/>
              <w:rPr>
                <w:rFonts w:eastAsia="仿宋_GB2312"/>
                <w:color w:val="000000" w:themeColor="text1"/>
                <w:sz w:val="30"/>
                <w:szCs w:val="30"/>
              </w:rPr>
            </w:pPr>
            <w:r>
              <w:rPr>
                <w:rFonts w:eastAsia="仿宋_GB2312"/>
                <w:color w:val="000000"/>
                <w:sz w:val="30"/>
                <w:szCs w:val="30"/>
              </w:rPr>
              <w:t>GB/T 21416</w:t>
            </w:r>
          </w:p>
        </w:tc>
        <w:tc>
          <w:tcPr>
            <w:tcW w:w="6638" w:type="dxa"/>
            <w:tcBorders>
              <w:top w:val="single" w:color="auto" w:sz="4" w:space="0"/>
              <w:left w:val="single" w:color="auto" w:sz="4" w:space="0"/>
              <w:bottom w:val="single" w:color="auto" w:sz="4" w:space="0"/>
              <w:right w:val="single" w:color="auto" w:sz="4" w:space="0"/>
            </w:tcBorders>
            <w:vAlign w:val="center"/>
          </w:tcPr>
          <w:p w14:paraId="5144BE63">
            <w:pPr>
              <w:widowControl/>
              <w:adjustRightInd w:val="0"/>
              <w:snapToGrid w:val="0"/>
              <w:jc w:val="left"/>
              <w:rPr>
                <w:rFonts w:eastAsia="仿宋_GB2312"/>
                <w:color w:val="000000" w:themeColor="text1"/>
                <w:sz w:val="30"/>
                <w:szCs w:val="30"/>
              </w:rPr>
            </w:pPr>
            <w:r>
              <w:rPr>
                <w:rFonts w:eastAsia="仿宋_GB2312"/>
                <w:color w:val="000000"/>
                <w:sz w:val="30"/>
                <w:szCs w:val="30"/>
              </w:rPr>
              <w:t>医用体温计（如适用）</w:t>
            </w:r>
          </w:p>
        </w:tc>
      </w:tr>
      <w:tr w14:paraId="747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nil"/>
              <w:right w:val="single" w:color="auto" w:sz="4" w:space="0"/>
            </w:tcBorders>
            <w:vAlign w:val="center"/>
          </w:tcPr>
          <w:p w14:paraId="5FD58421">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9706.102</w:t>
            </w:r>
          </w:p>
        </w:tc>
        <w:tc>
          <w:tcPr>
            <w:tcW w:w="6638" w:type="dxa"/>
            <w:tcBorders>
              <w:top w:val="single" w:color="auto" w:sz="4" w:space="0"/>
              <w:left w:val="single" w:color="auto" w:sz="4" w:space="0"/>
              <w:bottom w:val="nil"/>
              <w:right w:val="single" w:color="auto" w:sz="4" w:space="0"/>
            </w:tcBorders>
            <w:vAlign w:val="center"/>
          </w:tcPr>
          <w:p w14:paraId="1D3AD15D">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第1-2部分：基本安全和基本性能的通用要求　并列标准：电磁兼容要求和试验</w:t>
            </w:r>
          </w:p>
        </w:tc>
      </w:tr>
      <w:tr w14:paraId="7400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nil"/>
              <w:left w:val="single" w:color="auto" w:sz="4" w:space="0"/>
              <w:bottom w:val="nil"/>
              <w:right w:val="single" w:color="auto" w:sz="4" w:space="0"/>
            </w:tcBorders>
            <w:vAlign w:val="center"/>
          </w:tcPr>
          <w:p w14:paraId="381D78BE">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c>
          <w:tcPr>
            <w:tcW w:w="6638" w:type="dxa"/>
            <w:tcBorders>
              <w:top w:val="nil"/>
              <w:left w:val="single" w:color="auto" w:sz="4" w:space="0"/>
              <w:bottom w:val="nil"/>
              <w:right w:val="single" w:color="auto" w:sz="4" w:space="0"/>
            </w:tcBorders>
            <w:vAlign w:val="center"/>
          </w:tcPr>
          <w:p w14:paraId="5DADEA43">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r>
      <w:tr w14:paraId="61EC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nil"/>
              <w:left w:val="single" w:color="auto" w:sz="4" w:space="0"/>
              <w:bottom w:val="single" w:color="auto" w:sz="4" w:space="0"/>
              <w:right w:val="single" w:color="auto" w:sz="4" w:space="0"/>
            </w:tcBorders>
            <w:vAlign w:val="center"/>
          </w:tcPr>
          <w:p w14:paraId="6376CE44">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0505</w:t>
            </w:r>
          </w:p>
        </w:tc>
        <w:tc>
          <w:tcPr>
            <w:tcW w:w="6638" w:type="dxa"/>
            <w:tcBorders>
              <w:top w:val="nil"/>
              <w:left w:val="single" w:color="auto" w:sz="4" w:space="0"/>
              <w:bottom w:val="single" w:color="auto" w:sz="4" w:space="0"/>
              <w:right w:val="single" w:color="auto" w:sz="4" w:space="0"/>
            </w:tcBorders>
            <w:vAlign w:val="center"/>
          </w:tcPr>
          <w:p w14:paraId="5FD3F85E">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第1-2部分：安全通用要求</w:t>
            </w:r>
            <w:r>
              <w:rPr>
                <w:rFonts w:hint="eastAsia" w:eastAsia="仿宋_GB2312"/>
                <w:color w:val="000000" w:themeColor="text1"/>
                <w:sz w:val="30"/>
                <w:szCs w:val="30"/>
              </w:rPr>
              <w:t xml:space="preserve"> </w:t>
            </w:r>
            <w:r>
              <w:rPr>
                <w:rFonts w:eastAsia="仿宋_GB2312"/>
                <w:color w:val="000000" w:themeColor="text1"/>
                <w:sz w:val="30"/>
                <w:szCs w:val="30"/>
              </w:rPr>
              <w:t>并列标准：电磁兼容</w:t>
            </w:r>
            <w:r>
              <w:rPr>
                <w:rFonts w:hint="eastAsia" w:eastAsia="仿宋_GB2312"/>
                <w:color w:val="000000" w:themeColor="text1"/>
                <w:sz w:val="30"/>
                <w:szCs w:val="30"/>
              </w:rPr>
              <w:t xml:space="preserve"> </w:t>
            </w:r>
            <w:r>
              <w:rPr>
                <w:rFonts w:eastAsia="仿宋_GB2312"/>
                <w:color w:val="000000" w:themeColor="text1"/>
                <w:sz w:val="30"/>
                <w:szCs w:val="30"/>
              </w:rPr>
              <w:t>要求和试验</w:t>
            </w:r>
          </w:p>
        </w:tc>
      </w:tr>
      <w:tr w14:paraId="3652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nil"/>
              <w:right w:val="single" w:color="auto" w:sz="4" w:space="0"/>
            </w:tcBorders>
            <w:vAlign w:val="center"/>
          </w:tcPr>
          <w:p w14:paraId="3A23023E">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9706.108</w:t>
            </w:r>
          </w:p>
        </w:tc>
        <w:tc>
          <w:tcPr>
            <w:tcW w:w="6638" w:type="dxa"/>
            <w:tcBorders>
              <w:top w:val="single" w:color="auto" w:sz="4" w:space="0"/>
              <w:left w:val="single" w:color="auto" w:sz="4" w:space="0"/>
              <w:bottom w:val="nil"/>
              <w:right w:val="single" w:color="auto" w:sz="4" w:space="0"/>
            </w:tcBorders>
            <w:vAlign w:val="center"/>
          </w:tcPr>
          <w:p w14:paraId="6C19D6CB">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第1-8部分：基本安全和基本性能的通用要求　并列标准：通用要求，医用电气设备和医用电气系统中报警系统的测试和指南</w:t>
            </w:r>
            <w:r>
              <w:rPr>
                <w:rFonts w:eastAsia="仿宋_GB2312"/>
                <w:color w:val="000000"/>
                <w:sz w:val="30"/>
                <w:szCs w:val="30"/>
              </w:rPr>
              <w:t>（如适用）</w:t>
            </w:r>
          </w:p>
        </w:tc>
      </w:tr>
      <w:tr w14:paraId="4CDB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nil"/>
              <w:left w:val="single" w:color="auto" w:sz="4" w:space="0"/>
              <w:bottom w:val="nil"/>
              <w:right w:val="single" w:color="auto" w:sz="4" w:space="0"/>
            </w:tcBorders>
            <w:vAlign w:val="center"/>
          </w:tcPr>
          <w:p w14:paraId="05EA0604">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c>
          <w:tcPr>
            <w:tcW w:w="6638" w:type="dxa"/>
            <w:tcBorders>
              <w:top w:val="nil"/>
              <w:left w:val="single" w:color="auto" w:sz="4" w:space="0"/>
              <w:bottom w:val="nil"/>
              <w:right w:val="single" w:color="auto" w:sz="4" w:space="0"/>
            </w:tcBorders>
            <w:vAlign w:val="center"/>
          </w:tcPr>
          <w:p w14:paraId="7DF576CE">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r>
      <w:tr w14:paraId="60AB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8" w:hRule="atLeast"/>
          <w:jc w:val="center"/>
        </w:trPr>
        <w:tc>
          <w:tcPr>
            <w:tcW w:w="2871" w:type="dxa"/>
            <w:tcBorders>
              <w:top w:val="nil"/>
              <w:left w:val="single" w:color="auto" w:sz="4" w:space="0"/>
              <w:bottom w:val="single" w:color="auto" w:sz="4" w:space="0"/>
              <w:right w:val="single" w:color="auto" w:sz="4" w:space="0"/>
            </w:tcBorders>
            <w:vAlign w:val="center"/>
          </w:tcPr>
          <w:p w14:paraId="23C507D5">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0709</w:t>
            </w:r>
          </w:p>
        </w:tc>
        <w:tc>
          <w:tcPr>
            <w:tcW w:w="6638" w:type="dxa"/>
            <w:tcBorders>
              <w:top w:val="nil"/>
              <w:left w:val="single" w:color="auto" w:sz="4" w:space="0"/>
              <w:bottom w:val="single" w:color="auto" w:sz="4" w:space="0"/>
              <w:right w:val="single" w:color="auto" w:sz="4" w:space="0"/>
            </w:tcBorders>
            <w:vAlign w:val="center"/>
          </w:tcPr>
          <w:p w14:paraId="58CA36F7">
            <w:pPr>
              <w:widowControl/>
              <w:adjustRightInd w:val="0"/>
              <w:snapToGrid w:val="0"/>
              <w:rPr>
                <w:rFonts w:eastAsia="仿宋_GB2312"/>
                <w:color w:val="000000" w:themeColor="text1"/>
                <w:sz w:val="30"/>
                <w:szCs w:val="30"/>
              </w:rPr>
            </w:pPr>
            <w:r>
              <w:rPr>
                <w:rFonts w:eastAsia="仿宋_GB2312"/>
                <w:color w:val="000000" w:themeColor="text1"/>
                <w:sz w:val="30"/>
                <w:szCs w:val="30"/>
              </w:rPr>
              <w:t>医用电气设备</w:t>
            </w:r>
            <w:r>
              <w:rPr>
                <w:rFonts w:hint="eastAsia" w:eastAsia="仿宋_GB2312"/>
                <w:color w:val="000000" w:themeColor="text1"/>
                <w:sz w:val="30"/>
                <w:szCs w:val="30"/>
              </w:rPr>
              <w:t xml:space="preserve"> </w:t>
            </w:r>
            <w:r>
              <w:rPr>
                <w:rFonts w:eastAsia="仿宋_GB2312"/>
                <w:color w:val="000000" w:themeColor="text1"/>
                <w:sz w:val="30"/>
                <w:szCs w:val="30"/>
              </w:rPr>
              <w:t>第1-8部分：安全通用要求　并列标准　医用电气设备和医用电气系统中报警系统的测试和指南</w:t>
            </w:r>
            <w:r>
              <w:rPr>
                <w:rFonts w:eastAsia="仿宋_GB2312"/>
                <w:color w:val="000000"/>
                <w:sz w:val="30"/>
                <w:szCs w:val="30"/>
              </w:rPr>
              <w:t>（如适用）</w:t>
            </w:r>
          </w:p>
        </w:tc>
      </w:tr>
      <w:tr w14:paraId="2D0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30FD7BB1">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9706.111</w:t>
            </w:r>
          </w:p>
        </w:tc>
        <w:tc>
          <w:tcPr>
            <w:tcW w:w="6638" w:type="dxa"/>
            <w:tcBorders>
              <w:top w:val="single" w:color="auto" w:sz="4" w:space="0"/>
              <w:left w:val="single" w:color="auto" w:sz="4" w:space="0"/>
              <w:bottom w:val="single" w:color="auto" w:sz="4" w:space="0"/>
              <w:right w:val="single" w:color="auto" w:sz="4" w:space="0"/>
            </w:tcBorders>
            <w:vAlign w:val="center"/>
          </w:tcPr>
          <w:p w14:paraId="077EF85E">
            <w:pPr>
              <w:widowControl/>
              <w:adjustRightInd w:val="0"/>
              <w:snapToGrid w:val="0"/>
              <w:rPr>
                <w:rFonts w:eastAsia="仿宋_GB2312"/>
                <w:color w:val="000000" w:themeColor="text1"/>
                <w:sz w:val="30"/>
                <w:szCs w:val="30"/>
              </w:rPr>
            </w:pPr>
            <w:r>
              <w:rPr>
                <w:rFonts w:hint="eastAsia" w:eastAsia="仿宋_GB2312"/>
                <w:color w:val="000000" w:themeColor="text1"/>
                <w:sz w:val="30"/>
                <w:szCs w:val="30"/>
              </w:rPr>
              <w:t>医用电气设备</w:t>
            </w:r>
            <w:r>
              <w:rPr>
                <w:rFonts w:eastAsia="仿宋_GB2312"/>
                <w:color w:val="000000" w:themeColor="text1"/>
                <w:sz w:val="30"/>
                <w:szCs w:val="30"/>
              </w:rPr>
              <w:t xml:space="preserve"> </w:t>
            </w:r>
            <w:r>
              <w:rPr>
                <w:rFonts w:hint="eastAsia" w:eastAsia="仿宋_GB2312"/>
                <w:color w:val="000000" w:themeColor="text1"/>
                <w:sz w:val="30"/>
                <w:szCs w:val="30"/>
              </w:rPr>
              <w:t>第1-11部分：基本安全和基本性能通用要求-并列标准：在家庭护理环境中使用的医用电气设备和医用电气系统的要求</w:t>
            </w:r>
          </w:p>
        </w:tc>
      </w:tr>
      <w:tr w14:paraId="55A7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13034562">
            <w:pPr>
              <w:widowControl/>
              <w:adjustRightInd w:val="0"/>
              <w:snapToGrid w:val="0"/>
              <w:jc w:val="left"/>
              <w:rPr>
                <w:rFonts w:eastAsia="仿宋_GB2312"/>
                <w:color w:val="000000" w:themeColor="text1"/>
                <w:sz w:val="30"/>
                <w:szCs w:val="30"/>
              </w:rPr>
            </w:pPr>
            <w:r>
              <w:rPr>
                <w:rFonts w:hint="eastAsia" w:eastAsia="仿宋_GB2312"/>
                <w:color w:val="000000" w:themeColor="text1"/>
                <w:sz w:val="30"/>
                <w:szCs w:val="30"/>
              </w:rPr>
              <w:t>YY 9706.256</w:t>
            </w:r>
          </w:p>
        </w:tc>
        <w:tc>
          <w:tcPr>
            <w:tcW w:w="6638" w:type="dxa"/>
            <w:tcBorders>
              <w:top w:val="single" w:color="auto" w:sz="4" w:space="0"/>
              <w:left w:val="single" w:color="auto" w:sz="4" w:space="0"/>
              <w:bottom w:val="single" w:color="auto" w:sz="4" w:space="0"/>
              <w:right w:val="single" w:color="auto" w:sz="4" w:space="0"/>
            </w:tcBorders>
            <w:vAlign w:val="center"/>
          </w:tcPr>
          <w:p w14:paraId="7F8969A9">
            <w:pPr>
              <w:widowControl/>
              <w:adjustRightInd w:val="0"/>
              <w:snapToGrid w:val="0"/>
              <w:rPr>
                <w:rFonts w:eastAsia="仿宋_GB2312"/>
                <w:color w:val="000000" w:themeColor="text1"/>
                <w:sz w:val="30"/>
                <w:szCs w:val="30"/>
              </w:rPr>
            </w:pPr>
            <w:r>
              <w:rPr>
                <w:rFonts w:hint="eastAsia" w:eastAsia="仿宋_GB2312"/>
                <w:color w:val="000000" w:themeColor="text1"/>
                <w:sz w:val="30"/>
                <w:szCs w:val="30"/>
              </w:rPr>
              <w:t>医用电气设备</w:t>
            </w:r>
            <w:r>
              <w:rPr>
                <w:rFonts w:eastAsia="仿宋_GB2312"/>
                <w:color w:val="000000" w:themeColor="text1"/>
                <w:sz w:val="30"/>
                <w:szCs w:val="30"/>
              </w:rPr>
              <w:t xml:space="preserve"> </w:t>
            </w:r>
            <w:r>
              <w:rPr>
                <w:rFonts w:hint="eastAsia" w:eastAsia="仿宋_GB2312"/>
                <w:color w:val="000000" w:themeColor="text1"/>
                <w:sz w:val="30"/>
                <w:szCs w:val="30"/>
              </w:rPr>
              <w:t>第2-56部分：用于体温测量的临床体温计的基本安全和基本性能专用要求</w:t>
            </w:r>
          </w:p>
        </w:tc>
      </w:tr>
      <w:tr w14:paraId="4EB1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nil"/>
              <w:right w:val="single" w:color="auto" w:sz="4" w:space="0"/>
            </w:tcBorders>
            <w:vAlign w:val="center"/>
          </w:tcPr>
          <w:p w14:paraId="1223F5DA">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 9706.261</w:t>
            </w:r>
          </w:p>
        </w:tc>
        <w:tc>
          <w:tcPr>
            <w:tcW w:w="6638" w:type="dxa"/>
            <w:tcBorders>
              <w:top w:val="single" w:color="auto" w:sz="4" w:space="0"/>
              <w:left w:val="single" w:color="auto" w:sz="4" w:space="0"/>
              <w:bottom w:val="nil"/>
              <w:right w:val="single" w:color="auto" w:sz="4" w:space="0"/>
            </w:tcBorders>
            <w:vAlign w:val="center"/>
          </w:tcPr>
          <w:p w14:paraId="089B73AE">
            <w:pPr>
              <w:widowControl/>
              <w:adjustRightInd w:val="0"/>
              <w:snapToGrid w:val="0"/>
              <w:rPr>
                <w:rFonts w:eastAsia="仿宋_GB2312"/>
                <w:color w:val="000000" w:themeColor="text1"/>
                <w:sz w:val="30"/>
                <w:szCs w:val="30"/>
              </w:rPr>
            </w:pPr>
            <w:r>
              <w:rPr>
                <w:rFonts w:hint="eastAsia" w:eastAsia="仿宋_GB2312"/>
                <w:color w:val="000000" w:themeColor="text1"/>
                <w:sz w:val="30"/>
                <w:szCs w:val="30"/>
              </w:rPr>
              <w:t>医用电气设备</w:t>
            </w:r>
            <w:r>
              <w:rPr>
                <w:rFonts w:eastAsia="仿宋_GB2312"/>
                <w:color w:val="000000" w:themeColor="text1"/>
                <w:sz w:val="30"/>
                <w:szCs w:val="30"/>
              </w:rPr>
              <w:t xml:space="preserve"> </w:t>
            </w:r>
            <w:r>
              <w:rPr>
                <w:rFonts w:hint="eastAsia" w:eastAsia="仿宋_GB2312"/>
                <w:color w:val="000000" w:themeColor="text1"/>
                <w:sz w:val="30"/>
                <w:szCs w:val="30"/>
              </w:rPr>
              <w:t>第2-61部分：脉搏血氧设备的基本安全和基本性能专用要求</w:t>
            </w:r>
            <w:r>
              <w:rPr>
                <w:rFonts w:eastAsia="仿宋_GB2312"/>
                <w:color w:val="000000"/>
                <w:sz w:val="30"/>
                <w:szCs w:val="30"/>
              </w:rPr>
              <w:t>（如适用）</w:t>
            </w:r>
          </w:p>
        </w:tc>
      </w:tr>
      <w:tr w14:paraId="7FEC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nil"/>
              <w:left w:val="single" w:color="auto" w:sz="4" w:space="0"/>
              <w:bottom w:val="nil"/>
              <w:right w:val="single" w:color="auto" w:sz="4" w:space="0"/>
            </w:tcBorders>
            <w:vAlign w:val="center"/>
          </w:tcPr>
          <w:p w14:paraId="0E3917BB">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c>
          <w:tcPr>
            <w:tcW w:w="6638" w:type="dxa"/>
            <w:tcBorders>
              <w:top w:val="nil"/>
              <w:left w:val="single" w:color="auto" w:sz="4" w:space="0"/>
              <w:bottom w:val="nil"/>
              <w:right w:val="single" w:color="auto" w:sz="4" w:space="0"/>
            </w:tcBorders>
            <w:vAlign w:val="center"/>
          </w:tcPr>
          <w:p w14:paraId="3F502019">
            <w:pPr>
              <w:widowControl/>
              <w:adjustRightInd w:val="0"/>
              <w:snapToGrid w:val="0"/>
              <w:jc w:val="center"/>
              <w:rPr>
                <w:rFonts w:eastAsia="仿宋_GB2312"/>
                <w:color w:val="000000" w:themeColor="text1"/>
                <w:sz w:val="30"/>
                <w:szCs w:val="30"/>
              </w:rPr>
            </w:pPr>
            <w:r>
              <w:rPr>
                <w:rFonts w:eastAsia="仿宋_GB2312"/>
                <w:color w:val="000000" w:themeColor="text1"/>
                <w:sz w:val="30"/>
                <w:szCs w:val="30"/>
              </w:rPr>
              <w:t>或</w:t>
            </w:r>
          </w:p>
        </w:tc>
      </w:tr>
      <w:tr w14:paraId="2C91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nil"/>
              <w:left w:val="single" w:color="auto" w:sz="4" w:space="0"/>
              <w:bottom w:val="nil"/>
              <w:right w:val="single" w:color="auto" w:sz="4" w:space="0"/>
            </w:tcBorders>
            <w:vAlign w:val="center"/>
          </w:tcPr>
          <w:p w14:paraId="25059F43">
            <w:pPr>
              <w:widowControl/>
              <w:adjustRightInd w:val="0"/>
              <w:snapToGrid w:val="0"/>
              <w:rPr>
                <w:rFonts w:eastAsia="仿宋_GB2312"/>
                <w:color w:val="000000" w:themeColor="text1"/>
                <w:sz w:val="30"/>
                <w:szCs w:val="30"/>
              </w:rPr>
            </w:pPr>
            <w:r>
              <w:rPr>
                <w:rFonts w:hint="eastAsia" w:eastAsia="仿宋_GB2312"/>
                <w:color w:val="000000"/>
                <w:sz w:val="30"/>
                <w:szCs w:val="30"/>
              </w:rPr>
              <w:t>YY 0784</w:t>
            </w:r>
          </w:p>
        </w:tc>
        <w:tc>
          <w:tcPr>
            <w:tcW w:w="6638" w:type="dxa"/>
            <w:tcBorders>
              <w:top w:val="nil"/>
              <w:left w:val="single" w:color="auto" w:sz="4" w:space="0"/>
              <w:bottom w:val="nil"/>
              <w:right w:val="single" w:color="auto" w:sz="4" w:space="0"/>
            </w:tcBorders>
            <w:vAlign w:val="center"/>
          </w:tcPr>
          <w:p w14:paraId="63BB895B">
            <w:pPr>
              <w:widowControl/>
              <w:adjustRightInd w:val="0"/>
              <w:snapToGrid w:val="0"/>
              <w:jc w:val="left"/>
              <w:rPr>
                <w:rFonts w:eastAsia="仿宋_GB2312"/>
                <w:color w:val="000000" w:themeColor="text1"/>
                <w:sz w:val="30"/>
                <w:szCs w:val="30"/>
              </w:rPr>
            </w:pPr>
            <w:r>
              <w:rPr>
                <w:rFonts w:hint="eastAsia" w:eastAsia="仿宋_GB2312"/>
                <w:color w:val="000000"/>
                <w:sz w:val="30"/>
                <w:szCs w:val="30"/>
              </w:rPr>
              <w:t>医用电气设备</w:t>
            </w:r>
            <w:r>
              <w:rPr>
                <w:rFonts w:eastAsia="仿宋_GB2312"/>
                <w:color w:val="000000"/>
                <w:sz w:val="30"/>
                <w:szCs w:val="30"/>
              </w:rPr>
              <w:t xml:space="preserve"> </w:t>
            </w:r>
            <w:r>
              <w:rPr>
                <w:rFonts w:hint="eastAsia" w:eastAsia="仿宋_GB2312"/>
                <w:color w:val="000000"/>
                <w:sz w:val="30"/>
                <w:szCs w:val="30"/>
              </w:rPr>
              <w:t>医用脉搏血氧仪设备基本安全和主要性能专用要求（如适用）</w:t>
            </w:r>
          </w:p>
        </w:tc>
      </w:tr>
      <w:tr w14:paraId="0B7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14:paraId="5E712581">
            <w:pPr>
              <w:widowControl/>
              <w:adjustRightInd w:val="0"/>
              <w:snapToGrid w:val="0"/>
              <w:jc w:val="left"/>
              <w:rPr>
                <w:rFonts w:eastAsia="仿宋_GB2312"/>
                <w:color w:val="000000" w:themeColor="text1"/>
                <w:sz w:val="30"/>
                <w:szCs w:val="30"/>
              </w:rPr>
            </w:pPr>
            <w:r>
              <w:rPr>
                <w:rFonts w:eastAsia="仿宋_GB2312"/>
                <w:color w:val="000000" w:themeColor="text1"/>
                <w:sz w:val="30"/>
                <w:szCs w:val="30"/>
              </w:rPr>
              <w:t>YY/T 0316</w:t>
            </w:r>
          </w:p>
        </w:tc>
        <w:tc>
          <w:tcPr>
            <w:tcW w:w="6638" w:type="dxa"/>
            <w:tcBorders>
              <w:top w:val="single" w:color="auto" w:sz="4" w:space="0"/>
              <w:left w:val="single" w:color="auto" w:sz="4" w:space="0"/>
              <w:bottom w:val="single" w:color="auto" w:sz="4" w:space="0"/>
              <w:right w:val="single" w:color="auto" w:sz="4" w:space="0"/>
            </w:tcBorders>
            <w:vAlign w:val="center"/>
          </w:tcPr>
          <w:p w14:paraId="35B8BECC">
            <w:pPr>
              <w:widowControl/>
              <w:adjustRightInd w:val="0"/>
              <w:snapToGrid w:val="0"/>
              <w:rPr>
                <w:rFonts w:eastAsia="仿宋_GB2312"/>
                <w:color w:val="000000" w:themeColor="text1"/>
                <w:sz w:val="30"/>
                <w:szCs w:val="30"/>
              </w:rPr>
            </w:pPr>
            <w:r>
              <w:rPr>
                <w:rFonts w:eastAsia="仿宋_GB2312"/>
                <w:color w:val="000000" w:themeColor="text1"/>
                <w:sz w:val="30"/>
                <w:szCs w:val="30"/>
              </w:rPr>
              <w:t>医疗器械</w:t>
            </w:r>
            <w:r>
              <w:rPr>
                <w:rFonts w:hint="eastAsia" w:eastAsia="仿宋_GB2312"/>
                <w:color w:val="000000" w:themeColor="text1"/>
                <w:sz w:val="30"/>
                <w:szCs w:val="30"/>
              </w:rPr>
              <w:t xml:space="preserve"> </w:t>
            </w:r>
            <w:r>
              <w:rPr>
                <w:rFonts w:eastAsia="仿宋_GB2312"/>
                <w:color w:val="000000" w:themeColor="text1"/>
                <w:sz w:val="30"/>
                <w:szCs w:val="30"/>
              </w:rPr>
              <w:t>风险管理对医疗器械的应用</w:t>
            </w:r>
          </w:p>
        </w:tc>
      </w:tr>
    </w:tbl>
    <w:p w14:paraId="089D6949">
      <w:pPr>
        <w:spacing w:line="520" w:lineRule="exact"/>
      </w:pPr>
      <w:r>
        <w:br w:type="page"/>
      </w:r>
    </w:p>
    <w:p w14:paraId="2CBF38A0">
      <w:pPr>
        <w:pStyle w:val="2"/>
        <w:spacing w:before="0" w:after="0" w:line="520" w:lineRule="exact"/>
        <w:rPr>
          <w:rFonts w:eastAsia="黑体"/>
          <w:b w:val="0"/>
          <w:bCs w:val="0"/>
          <w:sz w:val="30"/>
          <w:szCs w:val="30"/>
        </w:rPr>
      </w:pPr>
      <w:bookmarkStart w:id="112" w:name="_Ref114642765"/>
      <w:r>
        <w:rPr>
          <w:rFonts w:eastAsia="黑体"/>
          <w:b w:val="0"/>
          <w:bCs w:val="0"/>
          <w:sz w:val="30"/>
          <w:szCs w:val="30"/>
        </w:rPr>
        <w:t>附录</w:t>
      </w:r>
      <w:bookmarkEnd w:id="110"/>
      <w:bookmarkEnd w:id="111"/>
      <w:r>
        <w:rPr>
          <w:rFonts w:eastAsia="黑体"/>
          <w:b w:val="0"/>
          <w:bCs w:val="0"/>
          <w:sz w:val="30"/>
          <w:szCs w:val="30"/>
        </w:rPr>
        <w:t>3</w:t>
      </w:r>
      <w:bookmarkEnd w:id="112"/>
    </w:p>
    <w:p w14:paraId="3EEC3029">
      <w:pPr>
        <w:spacing w:line="520" w:lineRule="exact"/>
        <w:rPr>
          <w:rFonts w:ascii="宋体" w:hAnsi="宋体"/>
          <w:sz w:val="24"/>
        </w:rPr>
      </w:pPr>
    </w:p>
    <w:p w14:paraId="06006D2A">
      <w:pPr>
        <w:spacing w:line="520" w:lineRule="exact"/>
        <w:jc w:val="center"/>
        <w:outlineLvl w:val="0"/>
        <w:rPr>
          <w:rFonts w:ascii="方正小标宋简体" w:hAnsi="黑体" w:eastAsia="方正小标宋简体"/>
          <w:sz w:val="44"/>
          <w:szCs w:val="44"/>
        </w:rPr>
      </w:pPr>
      <w:bookmarkStart w:id="113" w:name="_Toc112680074"/>
      <w:r>
        <w:rPr>
          <w:rFonts w:hint="eastAsia" w:ascii="方正小标宋简体" w:hAnsi="黑体" w:eastAsia="方正小标宋简体"/>
          <w:sz w:val="44"/>
          <w:szCs w:val="44"/>
        </w:rPr>
        <w:t>产品技术要求模板</w:t>
      </w:r>
      <w:bookmarkEnd w:id="113"/>
    </w:p>
    <w:p w14:paraId="596896AF">
      <w:pPr>
        <w:spacing w:line="520" w:lineRule="exact"/>
      </w:pPr>
    </w:p>
    <w:p w14:paraId="1C699AC8">
      <w:pPr>
        <w:spacing w:line="560" w:lineRule="exact"/>
        <w:outlineLvl w:val="1"/>
        <w:rPr>
          <w:rFonts w:ascii="宋体" w:cs="宋体"/>
          <w:kern w:val="0"/>
          <w:sz w:val="24"/>
        </w:rPr>
      </w:pPr>
      <w:bookmarkStart w:id="114" w:name="_Toc112680075"/>
      <w:r>
        <w:rPr>
          <w:rFonts w:hint="eastAsia" w:ascii="宋体" w:hAnsi="宋体" w:cs="宋体"/>
          <w:b/>
          <w:bCs/>
          <w:kern w:val="0"/>
          <w:sz w:val="24"/>
        </w:rPr>
        <w:t>医疗器械产品技术要求编号</w:t>
      </w:r>
      <w:r>
        <w:rPr>
          <w:rFonts w:hint="eastAsia" w:ascii="宋体" w:hAnsi="宋体" w:cs="宋体"/>
          <w:kern w:val="0"/>
          <w:sz w:val="24"/>
        </w:rPr>
        <w:t>：</w:t>
      </w:r>
      <w:bookmarkEnd w:id="114"/>
      <w:r>
        <w:rPr>
          <w:b/>
          <w:bCs/>
          <w:color w:val="7F7F7F" w:themeColor="background1" w:themeShade="80"/>
          <w:sz w:val="24"/>
        </w:rPr>
        <w:t>（宋体小四号，加粗）</w:t>
      </w:r>
    </w:p>
    <w:p w14:paraId="1A63B104">
      <w:pPr>
        <w:spacing w:line="560" w:lineRule="exact"/>
        <w:jc w:val="center"/>
        <w:rPr>
          <w:rFonts w:ascii="宋体"/>
          <w:kern w:val="0"/>
          <w:sz w:val="24"/>
        </w:rPr>
      </w:pPr>
    </w:p>
    <w:p w14:paraId="7D8AAF6E">
      <w:pPr>
        <w:spacing w:line="560" w:lineRule="exact"/>
        <w:jc w:val="center"/>
        <w:outlineLvl w:val="1"/>
        <w:rPr>
          <w:rFonts w:ascii="宋体"/>
          <w:sz w:val="36"/>
          <w:szCs w:val="36"/>
        </w:rPr>
      </w:pPr>
      <w:bookmarkStart w:id="115" w:name="_Toc112680076"/>
      <w:r>
        <w:rPr>
          <w:rFonts w:hint="eastAsia" w:ascii="宋体" w:hAnsi="宋体" w:cs="宋体"/>
          <w:b/>
          <w:bCs/>
          <w:kern w:val="0"/>
          <w:sz w:val="36"/>
          <w:szCs w:val="36"/>
        </w:rPr>
        <w:t>无创血糖仪、血糖仪/组合血糖仪</w:t>
      </w:r>
      <w:bookmarkEnd w:id="115"/>
      <w:r>
        <w:rPr>
          <w:b/>
          <w:bCs/>
          <w:color w:val="7F7F7F" w:themeColor="background1" w:themeShade="80"/>
          <w:sz w:val="36"/>
          <w:szCs w:val="36"/>
        </w:rPr>
        <w:t>（宋体小二号，加粗）</w:t>
      </w:r>
    </w:p>
    <w:p w14:paraId="4C790C04">
      <w:pPr>
        <w:spacing w:line="560" w:lineRule="exact"/>
        <w:jc w:val="center"/>
        <w:rPr>
          <w:rFonts w:ascii="宋体"/>
          <w:kern w:val="0"/>
          <w:sz w:val="24"/>
        </w:rPr>
      </w:pPr>
    </w:p>
    <w:p w14:paraId="5ACED56F">
      <w:pPr>
        <w:numPr>
          <w:ilvl w:val="0"/>
          <w:numId w:val="23"/>
        </w:numPr>
        <w:spacing w:line="560" w:lineRule="exact"/>
        <w:ind w:left="0" w:firstLine="0"/>
        <w:outlineLvl w:val="1"/>
        <w:rPr>
          <w:rFonts w:ascii="宋体"/>
          <w:b/>
          <w:bCs/>
          <w:kern w:val="0"/>
          <w:sz w:val="24"/>
        </w:rPr>
      </w:pPr>
      <w:bookmarkStart w:id="116" w:name="_Toc112680077"/>
      <w:r>
        <w:rPr>
          <w:rFonts w:hint="eastAsia" w:ascii="宋体" w:hAnsi="宋体" w:cs="宋体"/>
          <w:b/>
          <w:bCs/>
          <w:kern w:val="0"/>
          <w:sz w:val="24"/>
        </w:rPr>
        <w:t>产品型号</w:t>
      </w:r>
      <w:r>
        <w:rPr>
          <w:rFonts w:ascii="宋体" w:hAnsi="宋体" w:cs="宋体"/>
          <w:b/>
          <w:bCs/>
          <w:kern w:val="0"/>
          <w:sz w:val="24"/>
        </w:rPr>
        <w:t>/</w:t>
      </w:r>
      <w:r>
        <w:rPr>
          <w:rFonts w:hint="eastAsia" w:ascii="宋体" w:hAnsi="宋体" w:cs="宋体"/>
          <w:b/>
          <w:bCs/>
          <w:kern w:val="0"/>
          <w:sz w:val="24"/>
        </w:rPr>
        <w:t>规格及其划分说明</w:t>
      </w:r>
      <w:bookmarkEnd w:id="116"/>
      <w:bookmarkStart w:id="117" w:name="_Hlk114645236"/>
      <w:r>
        <w:rPr>
          <w:b/>
          <w:bCs/>
          <w:color w:val="7F7F7F" w:themeColor="background1" w:themeShade="80"/>
          <w:sz w:val="24"/>
        </w:rPr>
        <w:t>（宋体小四号，加粗）</w:t>
      </w:r>
      <w:bookmarkEnd w:id="117"/>
    </w:p>
    <w:p w14:paraId="4BDEF750">
      <w:pPr>
        <w:numPr>
          <w:ilvl w:val="1"/>
          <w:numId w:val="23"/>
        </w:numPr>
        <w:spacing w:line="560" w:lineRule="exact"/>
        <w:ind w:left="0" w:firstLine="0"/>
        <w:rPr>
          <w:rFonts w:ascii="宋体"/>
          <w:sz w:val="24"/>
        </w:rPr>
      </w:pPr>
      <w:r>
        <w:rPr>
          <w:rFonts w:hint="eastAsia" w:ascii="宋体"/>
          <w:sz w:val="24"/>
        </w:rPr>
        <w:t>产品型号</w:t>
      </w:r>
      <w:r>
        <w:rPr>
          <w:color w:val="7F7F7F" w:themeColor="background1" w:themeShade="80"/>
          <w:sz w:val="24"/>
        </w:rPr>
        <w:t>（宋体小四号）</w:t>
      </w:r>
    </w:p>
    <w:p w14:paraId="43C298CC">
      <w:pPr>
        <w:spacing w:line="560" w:lineRule="exact"/>
        <w:ind w:left="567"/>
        <w:rPr>
          <w:rFonts w:ascii="宋体"/>
          <w:sz w:val="24"/>
        </w:rPr>
      </w:pPr>
    </w:p>
    <w:p w14:paraId="1B6C90B2">
      <w:pPr>
        <w:numPr>
          <w:ilvl w:val="1"/>
          <w:numId w:val="23"/>
        </w:numPr>
        <w:spacing w:line="560" w:lineRule="exact"/>
        <w:ind w:left="0" w:firstLine="0"/>
        <w:rPr>
          <w:rFonts w:ascii="宋体"/>
          <w:sz w:val="24"/>
        </w:rPr>
      </w:pPr>
      <w:r>
        <w:rPr>
          <w:rFonts w:hint="eastAsia" w:ascii="宋体"/>
          <w:sz w:val="24"/>
        </w:rPr>
        <w:t>产品规格</w:t>
      </w:r>
    </w:p>
    <w:p w14:paraId="2EF7B430">
      <w:pPr>
        <w:spacing w:line="560" w:lineRule="exact"/>
        <w:ind w:firstLine="480" w:firstLineChars="200"/>
        <w:rPr>
          <w:sz w:val="24"/>
        </w:rPr>
      </w:pPr>
      <w:r>
        <w:rPr>
          <w:rFonts w:hint="eastAsia" w:ascii="宋体"/>
          <w:sz w:val="24"/>
        </w:rPr>
        <w:t>按照随机文件和说明书，申请人应载明</w:t>
      </w:r>
      <w:r>
        <w:rPr>
          <w:rFonts w:hint="eastAsia"/>
          <w:sz w:val="24"/>
        </w:rPr>
        <w:t>电源/电池规格。</w:t>
      </w:r>
    </w:p>
    <w:p w14:paraId="6FC85FC4">
      <w:pPr>
        <w:spacing w:line="560" w:lineRule="exact"/>
        <w:ind w:firstLine="480" w:firstLineChars="200"/>
        <w:rPr>
          <w:sz w:val="24"/>
        </w:rPr>
      </w:pPr>
      <w:r>
        <w:rPr>
          <w:rFonts w:hint="eastAsia" w:ascii="宋体"/>
          <w:sz w:val="24"/>
        </w:rPr>
        <w:t>按照随机文件和说明书，申请人应载明患者应用附件的示意图/彩色图片、结构、规格等。</w:t>
      </w:r>
    </w:p>
    <w:p w14:paraId="750EC33B">
      <w:pPr>
        <w:numPr>
          <w:ilvl w:val="3"/>
          <w:numId w:val="23"/>
        </w:numPr>
        <w:spacing w:line="560" w:lineRule="exact"/>
        <w:ind w:left="0" w:firstLine="0"/>
        <w:rPr>
          <w:sz w:val="24"/>
        </w:rPr>
      </w:pPr>
      <w:r>
        <w:rPr>
          <w:rFonts w:hint="eastAsia"/>
          <w:sz w:val="24"/>
        </w:rPr>
        <w:t>电源/电池规格</w:t>
      </w:r>
    </w:p>
    <w:p w14:paraId="5264B754">
      <w:pPr>
        <w:spacing w:line="560" w:lineRule="exact"/>
        <w:ind w:firstLine="480" w:firstLineChars="200"/>
        <w:rPr>
          <w:sz w:val="24"/>
        </w:rPr>
      </w:pPr>
      <w:r>
        <w:rPr>
          <w:rFonts w:hint="eastAsia"/>
          <w:sz w:val="24"/>
        </w:rPr>
        <w:t>交流电源的规格，例如，额定电压、额定电流、额定功率等。</w:t>
      </w:r>
    </w:p>
    <w:p w14:paraId="7CD9E5F5">
      <w:pPr>
        <w:spacing w:line="560" w:lineRule="exact"/>
        <w:ind w:firstLine="480" w:firstLineChars="200"/>
        <w:rPr>
          <w:sz w:val="24"/>
        </w:rPr>
      </w:pPr>
      <w:r>
        <w:rPr>
          <w:rFonts w:hint="eastAsia"/>
          <w:sz w:val="24"/>
        </w:rPr>
        <w:t>内部电池的规格，例如，电池类型（镍氢电池、锂离子电池等），额定电流，最长供电时间等。</w:t>
      </w:r>
    </w:p>
    <w:p w14:paraId="4E57DD0B">
      <w:pPr>
        <w:numPr>
          <w:ilvl w:val="2"/>
          <w:numId w:val="23"/>
        </w:numPr>
        <w:spacing w:line="560" w:lineRule="exact"/>
        <w:ind w:left="0" w:firstLine="0"/>
        <w:rPr>
          <w:sz w:val="24"/>
        </w:rPr>
      </w:pPr>
      <w:r>
        <w:rPr>
          <w:rFonts w:hint="eastAsia"/>
          <w:sz w:val="24"/>
        </w:rPr>
        <w:t>附件的规格</w:t>
      </w:r>
    </w:p>
    <w:p w14:paraId="1BC7BE59">
      <w:pPr>
        <w:numPr>
          <w:ilvl w:val="3"/>
          <w:numId w:val="23"/>
        </w:numPr>
        <w:spacing w:line="560" w:lineRule="exact"/>
        <w:ind w:left="0" w:firstLine="0"/>
        <w:rPr>
          <w:sz w:val="24"/>
        </w:rPr>
      </w:pPr>
      <w:r>
        <w:rPr>
          <w:rFonts w:hint="eastAsia"/>
          <w:sz w:val="24"/>
        </w:rPr>
        <w:t>附件的结构示意图/彩色图片</w:t>
      </w:r>
    </w:p>
    <w:p w14:paraId="4866B635">
      <w:pPr>
        <w:spacing w:line="560" w:lineRule="exact"/>
        <w:ind w:firstLine="480"/>
        <w:rPr>
          <w:sz w:val="24"/>
        </w:rPr>
      </w:pPr>
      <w:r>
        <w:rPr>
          <w:rFonts w:hint="eastAsia"/>
          <w:sz w:val="24"/>
        </w:rPr>
        <w:t>……</w:t>
      </w:r>
    </w:p>
    <w:p w14:paraId="260797C0">
      <w:pPr>
        <w:numPr>
          <w:ilvl w:val="3"/>
          <w:numId w:val="23"/>
        </w:numPr>
        <w:spacing w:line="560" w:lineRule="exact"/>
        <w:ind w:left="0" w:firstLine="0"/>
        <w:rPr>
          <w:sz w:val="24"/>
        </w:rPr>
      </w:pPr>
      <w:r>
        <w:rPr>
          <w:rFonts w:hint="eastAsia"/>
          <w:sz w:val="24"/>
        </w:rPr>
        <w:t>附件的规格</w:t>
      </w:r>
    </w:p>
    <w:p w14:paraId="0C557439">
      <w:pPr>
        <w:spacing w:line="560" w:lineRule="exact"/>
        <w:ind w:firstLine="480"/>
        <w:rPr>
          <w:sz w:val="24"/>
        </w:rPr>
      </w:pPr>
      <w:r>
        <w:rPr>
          <w:rFonts w:hint="eastAsia"/>
          <w:sz w:val="24"/>
        </w:rPr>
        <w:t>附件的物理尺寸、导线的规格等。</w:t>
      </w:r>
    </w:p>
    <w:p w14:paraId="61BCF750">
      <w:pPr>
        <w:numPr>
          <w:ilvl w:val="1"/>
          <w:numId w:val="23"/>
        </w:numPr>
        <w:spacing w:line="560" w:lineRule="exact"/>
        <w:ind w:left="0" w:firstLine="0"/>
        <w:rPr>
          <w:rFonts w:ascii="宋体"/>
          <w:sz w:val="24"/>
        </w:rPr>
      </w:pPr>
      <w:r>
        <w:rPr>
          <w:rFonts w:hint="eastAsia" w:ascii="宋体"/>
          <w:sz w:val="24"/>
        </w:rPr>
        <w:t>产品型号的划分说明</w:t>
      </w:r>
    </w:p>
    <w:p w14:paraId="2968A2B0">
      <w:pPr>
        <w:spacing w:line="560" w:lineRule="exact"/>
        <w:ind w:left="567"/>
        <w:rPr>
          <w:rFonts w:ascii="宋体"/>
          <w:sz w:val="24"/>
        </w:rPr>
      </w:pPr>
      <w:r>
        <w:rPr>
          <w:rFonts w:hint="eastAsia" w:ascii="宋体" w:hAnsi="宋体" w:cs="宋体"/>
          <w:kern w:val="0"/>
          <w:sz w:val="24"/>
        </w:rPr>
        <w:t>……</w:t>
      </w:r>
    </w:p>
    <w:p w14:paraId="4F5FBA88">
      <w:pPr>
        <w:numPr>
          <w:ilvl w:val="1"/>
          <w:numId w:val="23"/>
        </w:numPr>
        <w:spacing w:line="560" w:lineRule="exact"/>
        <w:ind w:left="0" w:firstLine="0"/>
        <w:rPr>
          <w:rFonts w:ascii="宋体"/>
          <w:sz w:val="24"/>
        </w:rPr>
      </w:pPr>
      <w:r>
        <w:rPr>
          <w:rFonts w:hint="eastAsia" w:ascii="宋体"/>
          <w:sz w:val="24"/>
        </w:rPr>
        <w:t>软件组件</w:t>
      </w:r>
    </w:p>
    <w:p w14:paraId="2683CFF2">
      <w:pPr>
        <w:numPr>
          <w:ilvl w:val="2"/>
          <w:numId w:val="23"/>
        </w:numPr>
        <w:spacing w:line="560" w:lineRule="exact"/>
        <w:ind w:left="0" w:firstLine="0"/>
        <w:rPr>
          <w:rFonts w:ascii="宋体"/>
          <w:sz w:val="24"/>
        </w:rPr>
      </w:pPr>
      <w:r>
        <w:rPr>
          <w:rFonts w:hint="eastAsia" w:ascii="宋体"/>
          <w:sz w:val="24"/>
        </w:rPr>
        <w:t>名称</w:t>
      </w:r>
    </w:p>
    <w:p w14:paraId="29CD36E8">
      <w:pPr>
        <w:spacing w:line="560" w:lineRule="exact"/>
        <w:ind w:firstLine="480"/>
        <w:rPr>
          <w:rFonts w:ascii="宋体"/>
          <w:sz w:val="24"/>
        </w:rPr>
      </w:pPr>
      <w:r>
        <w:rPr>
          <w:rFonts w:hint="eastAsia" w:ascii="宋体" w:hAnsi="宋体" w:cs="宋体"/>
          <w:kern w:val="0"/>
          <w:sz w:val="24"/>
        </w:rPr>
        <w:t>申请人应按照软件描述文档载明软件组件的名称。</w:t>
      </w:r>
    </w:p>
    <w:p w14:paraId="40C01A67">
      <w:pPr>
        <w:numPr>
          <w:ilvl w:val="2"/>
          <w:numId w:val="23"/>
        </w:numPr>
        <w:spacing w:line="560" w:lineRule="exact"/>
        <w:ind w:left="0" w:firstLine="0"/>
        <w:rPr>
          <w:rFonts w:ascii="宋体"/>
          <w:sz w:val="24"/>
        </w:rPr>
      </w:pPr>
      <w:r>
        <w:rPr>
          <w:rFonts w:hint="eastAsia" w:ascii="宋体"/>
          <w:sz w:val="24"/>
        </w:rPr>
        <w:t>发布版本</w:t>
      </w:r>
    </w:p>
    <w:p w14:paraId="24C1BD22">
      <w:pPr>
        <w:spacing w:line="560" w:lineRule="exact"/>
        <w:ind w:firstLine="480"/>
        <w:rPr>
          <w:rFonts w:ascii="宋体"/>
          <w:sz w:val="24"/>
        </w:rPr>
      </w:pPr>
      <w:r>
        <w:rPr>
          <w:rFonts w:hint="eastAsia" w:ascii="宋体" w:hAnsi="宋体" w:cs="宋体"/>
          <w:kern w:val="0"/>
          <w:sz w:val="24"/>
        </w:rPr>
        <w:t>申请人应按照软件描述文档载明软件组件的发布版本。</w:t>
      </w:r>
    </w:p>
    <w:p w14:paraId="3781816B">
      <w:pPr>
        <w:numPr>
          <w:ilvl w:val="2"/>
          <w:numId w:val="23"/>
        </w:numPr>
        <w:spacing w:line="560" w:lineRule="exact"/>
        <w:ind w:left="0" w:firstLine="0"/>
        <w:rPr>
          <w:rFonts w:ascii="宋体"/>
          <w:sz w:val="24"/>
        </w:rPr>
      </w:pPr>
      <w:r>
        <w:rPr>
          <w:rFonts w:hint="eastAsia" w:ascii="宋体"/>
          <w:sz w:val="24"/>
        </w:rPr>
        <w:t>版本命名规则</w:t>
      </w:r>
    </w:p>
    <w:p w14:paraId="7E4EA4F5">
      <w:pPr>
        <w:spacing w:line="560" w:lineRule="exact"/>
        <w:ind w:firstLine="480" w:firstLineChars="200"/>
        <w:rPr>
          <w:rFonts w:ascii="宋体"/>
          <w:sz w:val="24"/>
        </w:rPr>
      </w:pPr>
      <w:r>
        <w:rPr>
          <w:rFonts w:hint="eastAsia" w:ascii="宋体"/>
          <w:sz w:val="24"/>
        </w:rPr>
        <w:t>申请人应</w:t>
      </w:r>
      <w:r>
        <w:rPr>
          <w:rFonts w:hint="eastAsia" w:ascii="宋体" w:hAnsi="宋体" w:cs="宋体"/>
          <w:kern w:val="0"/>
          <w:sz w:val="24"/>
        </w:rPr>
        <w:t>按照软件描述文档</w:t>
      </w:r>
      <w:r>
        <w:rPr>
          <w:rFonts w:hint="eastAsia" w:ascii="宋体"/>
          <w:sz w:val="24"/>
        </w:rPr>
        <w:t>载明软件完整版本的全部字段及字段含义。</w:t>
      </w:r>
    </w:p>
    <w:p w14:paraId="2A1B48F6">
      <w:pPr>
        <w:numPr>
          <w:ilvl w:val="0"/>
          <w:numId w:val="23"/>
        </w:numPr>
        <w:spacing w:line="560" w:lineRule="exact"/>
        <w:ind w:left="0" w:firstLine="0"/>
        <w:outlineLvl w:val="1"/>
        <w:rPr>
          <w:rFonts w:ascii="宋体" w:hAnsi="宋体" w:cs="宋体"/>
          <w:b/>
          <w:bCs/>
          <w:kern w:val="0"/>
          <w:sz w:val="24"/>
        </w:rPr>
      </w:pPr>
      <w:bookmarkStart w:id="118" w:name="_Toc112680078"/>
      <w:bookmarkStart w:id="119" w:name="_Ref114645299"/>
      <w:r>
        <w:rPr>
          <w:rFonts w:hint="eastAsia" w:ascii="宋体" w:hAnsi="宋体" w:cs="宋体"/>
          <w:b/>
          <w:bCs/>
          <w:kern w:val="0"/>
          <w:sz w:val="24"/>
        </w:rPr>
        <w:t>性能指标</w:t>
      </w:r>
      <w:bookmarkEnd w:id="118"/>
      <w:r>
        <w:rPr>
          <w:b/>
          <w:bCs/>
          <w:color w:val="7F7F7F" w:themeColor="background1" w:themeShade="80"/>
          <w:sz w:val="24"/>
        </w:rPr>
        <w:t>（宋体小四号，加粗）</w:t>
      </w:r>
      <w:bookmarkEnd w:id="119"/>
    </w:p>
    <w:p w14:paraId="73CAC5E1">
      <w:pPr>
        <w:numPr>
          <w:ilvl w:val="1"/>
          <w:numId w:val="23"/>
        </w:numPr>
        <w:spacing w:line="560" w:lineRule="exact"/>
        <w:ind w:left="0" w:firstLine="0"/>
        <w:outlineLvl w:val="2"/>
        <w:rPr>
          <w:rFonts w:ascii="宋体"/>
          <w:sz w:val="24"/>
        </w:rPr>
      </w:pPr>
      <w:bookmarkStart w:id="120" w:name="_Toc112680079"/>
      <w:r>
        <w:rPr>
          <w:rFonts w:hint="eastAsia" w:ascii="宋体" w:hAnsi="宋体" w:cs="宋体"/>
          <w:sz w:val="24"/>
        </w:rPr>
        <w:t>测量传感器的性能要求</w:t>
      </w:r>
      <w:bookmarkEnd w:id="120"/>
    </w:p>
    <w:p w14:paraId="451631A3">
      <w:pPr>
        <w:numPr>
          <w:ilvl w:val="2"/>
          <w:numId w:val="23"/>
        </w:numPr>
        <w:spacing w:line="560" w:lineRule="exact"/>
        <w:ind w:left="0" w:firstLine="0"/>
        <w:outlineLvl w:val="3"/>
        <w:rPr>
          <w:rFonts w:ascii="宋体"/>
          <w:sz w:val="24"/>
        </w:rPr>
      </w:pPr>
      <w:bookmarkStart w:id="121" w:name="_Toc112680080"/>
      <w:r>
        <w:rPr>
          <w:rFonts w:hint="eastAsia" w:ascii="宋体"/>
          <w:sz w:val="24"/>
        </w:rPr>
        <w:t>……</w:t>
      </w:r>
      <w:bookmarkEnd w:id="121"/>
    </w:p>
    <w:p w14:paraId="7F7B1F70">
      <w:pPr>
        <w:spacing w:line="560" w:lineRule="exact"/>
        <w:ind w:firstLine="480"/>
        <w:rPr>
          <w:rFonts w:ascii="宋体" w:hAnsi="宋体" w:cs="宋体"/>
          <w:kern w:val="0"/>
          <w:sz w:val="24"/>
        </w:rPr>
      </w:pPr>
      <w:r>
        <w:rPr>
          <w:rFonts w:hint="eastAsia" w:ascii="宋体" w:hAnsi="宋体" w:cs="宋体"/>
          <w:kern w:val="0"/>
          <w:sz w:val="24"/>
        </w:rPr>
        <w:t>……</w:t>
      </w:r>
    </w:p>
    <w:p w14:paraId="1F6C6211">
      <w:pPr>
        <w:numPr>
          <w:ilvl w:val="1"/>
          <w:numId w:val="23"/>
        </w:numPr>
        <w:spacing w:line="560" w:lineRule="exact"/>
        <w:ind w:left="0" w:firstLine="0"/>
        <w:outlineLvl w:val="2"/>
        <w:rPr>
          <w:rFonts w:ascii="宋体" w:hAnsi="宋体" w:cs="宋体"/>
          <w:sz w:val="24"/>
        </w:rPr>
      </w:pPr>
      <w:bookmarkStart w:id="122" w:name="_Toc112680081"/>
      <w:bookmarkStart w:id="123" w:name="_Ref449388567"/>
      <w:r>
        <w:rPr>
          <w:rFonts w:ascii="宋体" w:hAnsi="宋体" w:cs="宋体"/>
          <w:sz w:val="24"/>
        </w:rPr>
        <w:t>无创血糖</w:t>
      </w:r>
      <w:r>
        <w:rPr>
          <w:rFonts w:hint="eastAsia" w:ascii="宋体" w:hAnsi="宋体" w:cs="宋体"/>
          <w:sz w:val="24"/>
        </w:rPr>
        <w:t>检测的</w:t>
      </w:r>
      <w:r>
        <w:rPr>
          <w:rFonts w:ascii="宋体" w:hAnsi="宋体" w:cs="宋体"/>
          <w:sz w:val="24"/>
        </w:rPr>
        <w:t>性能要求</w:t>
      </w:r>
      <w:bookmarkEnd w:id="122"/>
    </w:p>
    <w:p w14:paraId="2AB7A420">
      <w:pPr>
        <w:numPr>
          <w:ilvl w:val="2"/>
          <w:numId w:val="23"/>
        </w:numPr>
        <w:spacing w:line="560" w:lineRule="exact"/>
        <w:ind w:left="0" w:firstLine="0"/>
        <w:outlineLvl w:val="3"/>
        <w:rPr>
          <w:sz w:val="24"/>
        </w:rPr>
      </w:pPr>
      <w:bookmarkStart w:id="124" w:name="_Toc112680082"/>
      <w:bookmarkStart w:id="125" w:name="_Ref112661957"/>
      <w:r>
        <w:rPr>
          <w:sz w:val="24"/>
        </w:rPr>
        <w:t>无创血糖</w:t>
      </w:r>
      <w:r>
        <w:rPr>
          <w:rFonts w:hint="eastAsia"/>
          <w:sz w:val="24"/>
        </w:rPr>
        <w:t>检测</w:t>
      </w:r>
      <w:r>
        <w:rPr>
          <w:sz w:val="24"/>
        </w:rPr>
        <w:t>范围</w:t>
      </w:r>
      <w:bookmarkEnd w:id="124"/>
      <w:bookmarkEnd w:id="125"/>
    </w:p>
    <w:p w14:paraId="27DA2331">
      <w:pPr>
        <w:spacing w:line="560" w:lineRule="exact"/>
        <w:ind w:firstLine="480"/>
        <w:rPr>
          <w:kern w:val="0"/>
          <w:sz w:val="24"/>
        </w:rPr>
      </w:pPr>
      <w:r>
        <w:rPr>
          <w:kern w:val="0"/>
          <w:sz w:val="24"/>
        </w:rPr>
        <w:t>申请人宜按照产品设计需求确定</w:t>
      </w:r>
      <w:r>
        <w:rPr>
          <w:sz w:val="24"/>
        </w:rPr>
        <w:t>，</w:t>
      </w:r>
      <w:r>
        <w:rPr>
          <w:kern w:val="0"/>
          <w:sz w:val="24"/>
        </w:rPr>
        <w:t>例如，1.1mmol/L</w:t>
      </w:r>
      <w:r>
        <w:rPr>
          <w:sz w:val="24"/>
        </w:rPr>
        <w:t>～</w:t>
      </w:r>
      <w:r>
        <w:rPr>
          <w:kern w:val="0"/>
          <w:sz w:val="24"/>
        </w:rPr>
        <w:t>27.7mmol/L</w:t>
      </w:r>
      <w:r>
        <w:rPr>
          <w:rFonts w:hint="eastAsia"/>
          <w:kern w:val="0"/>
          <w:sz w:val="24"/>
        </w:rPr>
        <w:t>。</w:t>
      </w:r>
    </w:p>
    <w:p w14:paraId="36EE4E69">
      <w:pPr>
        <w:numPr>
          <w:ilvl w:val="2"/>
          <w:numId w:val="23"/>
        </w:numPr>
        <w:spacing w:line="560" w:lineRule="exact"/>
        <w:ind w:left="0" w:firstLine="0"/>
        <w:outlineLvl w:val="3"/>
        <w:rPr>
          <w:sz w:val="24"/>
        </w:rPr>
      </w:pPr>
      <w:bookmarkStart w:id="126" w:name="_Toc112680083"/>
      <w:r>
        <w:rPr>
          <w:sz w:val="24"/>
        </w:rPr>
        <w:t>无创血糖</w:t>
      </w:r>
      <w:r>
        <w:rPr>
          <w:rFonts w:hint="eastAsia"/>
          <w:sz w:val="24"/>
        </w:rPr>
        <w:t>检测的</w:t>
      </w:r>
      <w:r>
        <w:rPr>
          <w:sz w:val="24"/>
        </w:rPr>
        <w:t>精确度</w:t>
      </w:r>
      <w:bookmarkEnd w:id="126"/>
    </w:p>
    <w:p w14:paraId="3C318CDE">
      <w:pPr>
        <w:numPr>
          <w:ilvl w:val="3"/>
          <w:numId w:val="23"/>
        </w:numPr>
        <w:spacing w:line="560" w:lineRule="exact"/>
        <w:ind w:left="0" w:firstLine="0"/>
        <w:outlineLvl w:val="4"/>
        <w:rPr>
          <w:sz w:val="24"/>
        </w:rPr>
      </w:pPr>
      <w:bookmarkStart w:id="127" w:name="_Ref112662350"/>
      <w:r>
        <w:rPr>
          <w:sz w:val="24"/>
        </w:rPr>
        <w:t>无创血糖</w:t>
      </w:r>
      <w:r>
        <w:rPr>
          <w:rFonts w:hint="eastAsia"/>
          <w:sz w:val="24"/>
        </w:rPr>
        <w:t>检测的</w:t>
      </w:r>
      <w:r>
        <w:rPr>
          <w:sz w:val="24"/>
        </w:rPr>
        <w:t>准确度</w:t>
      </w:r>
      <w:bookmarkEnd w:id="127"/>
    </w:p>
    <w:p w14:paraId="6B6A02F2">
      <w:pPr>
        <w:spacing w:line="560" w:lineRule="exact"/>
        <w:ind w:firstLine="482"/>
        <w:rPr>
          <w:kern w:val="0"/>
          <w:sz w:val="24"/>
        </w:rPr>
      </w:pPr>
      <w:r>
        <w:rPr>
          <w:kern w:val="0"/>
          <w:sz w:val="24"/>
        </w:rPr>
        <w:t>申请人宜按照产品设计需求确定</w:t>
      </w:r>
      <w:r>
        <w:rPr>
          <w:sz w:val="24"/>
        </w:rPr>
        <w:t>，</w:t>
      </w:r>
      <w:r>
        <w:rPr>
          <w:kern w:val="0"/>
          <w:sz w:val="24"/>
        </w:rPr>
        <w:t>例如，无创血糖测量结果偏差的95%应符合</w:t>
      </w:r>
      <w:r>
        <w:rPr>
          <w:kern w:val="0"/>
          <w:sz w:val="24"/>
        </w:rPr>
        <w:fldChar w:fldCharType="begin"/>
      </w:r>
      <w:r>
        <w:rPr>
          <w:kern w:val="0"/>
          <w:sz w:val="24"/>
        </w:rPr>
        <w:instrText xml:space="preserve"> REF _Ref112660667 \h  \* MERGEFORMAT </w:instrText>
      </w:r>
      <w:r>
        <w:rPr>
          <w:kern w:val="0"/>
          <w:sz w:val="24"/>
        </w:rPr>
        <w:fldChar w:fldCharType="separate"/>
      </w:r>
      <w:r>
        <w:rPr>
          <w:sz w:val="24"/>
        </w:rPr>
        <w:t>表3</w:t>
      </w:r>
      <w:r>
        <w:rPr>
          <w:kern w:val="0"/>
          <w:sz w:val="24"/>
        </w:rPr>
        <w:fldChar w:fldCharType="end"/>
      </w:r>
      <w:r>
        <w:rPr>
          <w:kern w:val="0"/>
          <w:sz w:val="24"/>
        </w:rPr>
        <w:t>的要求。</w:t>
      </w:r>
    </w:p>
    <w:p w14:paraId="1E25E0DE">
      <w:pPr>
        <w:pStyle w:val="7"/>
        <w:keepNext/>
        <w:spacing w:line="560" w:lineRule="exact"/>
        <w:jc w:val="center"/>
        <w:rPr>
          <w:rFonts w:ascii="Times New Roman" w:hAnsi="Times New Roman" w:eastAsia="宋体" w:cs="Times New Roman"/>
          <w:sz w:val="24"/>
          <w:szCs w:val="24"/>
        </w:rPr>
      </w:pPr>
      <w:bookmarkStart w:id="128" w:name="_Ref112660667"/>
      <w:r>
        <w:rPr>
          <w:rFonts w:ascii="Times New Roman" w:hAnsi="Times New Roman" w:eastAsia="宋体" w:cs="Times New Roman"/>
          <w:sz w:val="24"/>
          <w:szCs w:val="24"/>
        </w:rPr>
        <w:t>表</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SEQ 表 \* ARABIC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bookmarkEnd w:id="128"/>
      <w:r>
        <w:rPr>
          <w:rFonts w:ascii="Times New Roman" w:hAnsi="Times New Roman" w:eastAsia="宋体" w:cs="Times New Roman"/>
          <w:sz w:val="24"/>
          <w:szCs w:val="24"/>
        </w:rPr>
        <w:t xml:space="preserve"> 准确度要求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3"/>
      </w:tblGrid>
      <w:tr w14:paraId="5E04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2705DDE7">
            <w:pPr>
              <w:jc w:val="center"/>
              <w:rPr>
                <w:sz w:val="24"/>
              </w:rPr>
            </w:pPr>
            <w:r>
              <w:rPr>
                <w:rFonts w:hint="eastAsia"/>
                <w:sz w:val="24"/>
              </w:rPr>
              <w:t>检测</w:t>
            </w:r>
            <w:r>
              <w:rPr>
                <w:sz w:val="24"/>
              </w:rPr>
              <w:t>范围</w:t>
            </w:r>
          </w:p>
        </w:tc>
        <w:tc>
          <w:tcPr>
            <w:tcW w:w="5243" w:type="dxa"/>
          </w:tcPr>
          <w:p w14:paraId="271EA749">
            <w:pPr>
              <w:jc w:val="center"/>
              <w:rPr>
                <w:sz w:val="24"/>
              </w:rPr>
            </w:pPr>
            <w:r>
              <w:rPr>
                <w:sz w:val="24"/>
              </w:rPr>
              <w:t>偏差</w:t>
            </w:r>
          </w:p>
        </w:tc>
      </w:tr>
      <w:tr w14:paraId="3FA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6EA0A73">
            <w:pPr>
              <w:jc w:val="center"/>
              <w:rPr>
                <w:sz w:val="24"/>
              </w:rPr>
            </w:pPr>
            <w:r>
              <w:rPr>
                <w:color w:val="222222"/>
                <w:sz w:val="24"/>
              </w:rPr>
              <w:t>血糖浓度</w:t>
            </w:r>
            <w:r>
              <w:rPr>
                <w:rFonts w:hint="eastAsia"/>
                <w:color w:val="222222"/>
                <w:sz w:val="24"/>
              </w:rPr>
              <w:t xml:space="preserve"> &lt;</w:t>
            </w:r>
            <w:r>
              <w:rPr>
                <w:color w:val="222222"/>
                <w:sz w:val="24"/>
              </w:rPr>
              <w:t xml:space="preserve"> 5.5 </w:t>
            </w:r>
            <w:r>
              <w:rPr>
                <w:sz w:val="24"/>
              </w:rPr>
              <w:t>mmol/L</w:t>
            </w:r>
          </w:p>
        </w:tc>
        <w:tc>
          <w:tcPr>
            <w:tcW w:w="5243" w:type="dxa"/>
            <w:vAlign w:val="center"/>
          </w:tcPr>
          <w:p w14:paraId="486E046B">
            <w:pPr>
              <w:jc w:val="center"/>
              <w:rPr>
                <w:sz w:val="24"/>
              </w:rPr>
            </w:pPr>
            <w:r>
              <w:rPr>
                <w:sz w:val="24"/>
              </w:rPr>
              <w:t>在</w:t>
            </w:r>
            <w:r>
              <w:rPr>
                <w:rFonts w:hint="eastAsia"/>
                <w:sz w:val="24"/>
              </w:rPr>
              <w:t xml:space="preserve"> </w:t>
            </w:r>
            <w:r>
              <w:rPr>
                <w:sz w:val="24"/>
              </w:rPr>
              <w:t>± 0.83mmol/L (± 15mg/dL)的范围内</w:t>
            </w:r>
          </w:p>
        </w:tc>
      </w:tr>
      <w:tr w14:paraId="2A36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1167B2C">
            <w:pPr>
              <w:jc w:val="center"/>
              <w:rPr>
                <w:sz w:val="24"/>
              </w:rPr>
            </w:pPr>
            <w:r>
              <w:rPr>
                <w:color w:val="222222"/>
                <w:sz w:val="24"/>
              </w:rPr>
              <w:t>血糖浓度</w:t>
            </w:r>
            <w:r>
              <w:rPr>
                <w:rFonts w:hint="eastAsia"/>
                <w:color w:val="222222"/>
                <w:sz w:val="24"/>
              </w:rPr>
              <w:t xml:space="preserve"> </w:t>
            </w:r>
            <w:r>
              <w:rPr>
                <w:color w:val="222222"/>
                <w:sz w:val="24"/>
              </w:rPr>
              <w:t xml:space="preserve">≥ 5.5 </w:t>
            </w:r>
            <w:r>
              <w:rPr>
                <w:sz w:val="24"/>
              </w:rPr>
              <w:t>mmol/L</w:t>
            </w:r>
          </w:p>
        </w:tc>
        <w:tc>
          <w:tcPr>
            <w:tcW w:w="5243" w:type="dxa"/>
            <w:vAlign w:val="center"/>
          </w:tcPr>
          <w:p w14:paraId="768011C3">
            <w:pPr>
              <w:jc w:val="center"/>
              <w:rPr>
                <w:sz w:val="24"/>
              </w:rPr>
            </w:pPr>
            <w:r>
              <w:rPr>
                <w:sz w:val="24"/>
              </w:rPr>
              <w:t>在</w:t>
            </w:r>
            <w:r>
              <w:rPr>
                <w:rFonts w:hint="eastAsia"/>
                <w:sz w:val="24"/>
              </w:rPr>
              <w:t xml:space="preserve"> </w:t>
            </w:r>
            <w:r>
              <w:rPr>
                <w:sz w:val="24"/>
              </w:rPr>
              <w:t>± 15%的范围内</w:t>
            </w:r>
          </w:p>
        </w:tc>
      </w:tr>
    </w:tbl>
    <w:p w14:paraId="20306F2D">
      <w:pPr>
        <w:numPr>
          <w:ilvl w:val="3"/>
          <w:numId w:val="23"/>
        </w:numPr>
        <w:spacing w:line="560" w:lineRule="exact"/>
        <w:ind w:left="0" w:firstLine="0"/>
        <w:outlineLvl w:val="4"/>
        <w:rPr>
          <w:sz w:val="24"/>
        </w:rPr>
      </w:pPr>
      <w:bookmarkStart w:id="129" w:name="_Ref112662372"/>
      <w:r>
        <w:rPr>
          <w:sz w:val="24"/>
        </w:rPr>
        <w:t>无创血糖</w:t>
      </w:r>
      <w:r>
        <w:rPr>
          <w:rFonts w:hint="eastAsia"/>
          <w:sz w:val="24"/>
        </w:rPr>
        <w:t>检测的精密</w:t>
      </w:r>
      <w:r>
        <w:rPr>
          <w:sz w:val="24"/>
        </w:rPr>
        <w:t>度</w:t>
      </w:r>
      <w:bookmarkEnd w:id="129"/>
    </w:p>
    <w:p w14:paraId="0A0CCBE8">
      <w:pPr>
        <w:spacing w:line="560" w:lineRule="exact"/>
        <w:ind w:firstLine="482"/>
        <w:rPr>
          <w:kern w:val="0"/>
          <w:sz w:val="24"/>
        </w:rPr>
      </w:pPr>
      <w:r>
        <w:rPr>
          <w:kern w:val="0"/>
          <w:sz w:val="24"/>
        </w:rPr>
        <w:t>申请人宜按照产品设计需求确定</w:t>
      </w:r>
      <w:r>
        <w:rPr>
          <w:sz w:val="24"/>
        </w:rPr>
        <w:t>，</w:t>
      </w:r>
      <w:r>
        <w:rPr>
          <w:kern w:val="0"/>
          <w:sz w:val="24"/>
        </w:rPr>
        <w:t>例如，无创血糖</w:t>
      </w:r>
      <w:r>
        <w:rPr>
          <w:sz w:val="24"/>
        </w:rPr>
        <w:t>检测</w:t>
      </w:r>
      <w:r>
        <w:rPr>
          <w:kern w:val="0"/>
          <w:sz w:val="24"/>
        </w:rPr>
        <w:t>结果的精密度应符合</w:t>
      </w:r>
      <w:r>
        <w:rPr>
          <w:kern w:val="0"/>
          <w:sz w:val="24"/>
        </w:rPr>
        <w:fldChar w:fldCharType="begin"/>
      </w:r>
      <w:r>
        <w:rPr>
          <w:kern w:val="0"/>
          <w:sz w:val="24"/>
        </w:rPr>
        <w:instrText xml:space="preserve"> REF _Ref112661494 \h  \* MERGEFORMAT </w:instrText>
      </w:r>
      <w:r>
        <w:rPr>
          <w:kern w:val="0"/>
          <w:sz w:val="24"/>
        </w:rPr>
        <w:fldChar w:fldCharType="separate"/>
      </w:r>
      <w:r>
        <w:rPr>
          <w:sz w:val="24"/>
        </w:rPr>
        <w:t>表4</w:t>
      </w:r>
      <w:r>
        <w:rPr>
          <w:kern w:val="0"/>
          <w:sz w:val="24"/>
        </w:rPr>
        <w:fldChar w:fldCharType="end"/>
      </w:r>
      <w:r>
        <w:rPr>
          <w:kern w:val="0"/>
          <w:sz w:val="24"/>
        </w:rPr>
        <w:t>的要求。</w:t>
      </w:r>
    </w:p>
    <w:p w14:paraId="17A8CCC0">
      <w:pPr>
        <w:pStyle w:val="7"/>
        <w:keepNext/>
        <w:spacing w:line="560" w:lineRule="exact"/>
        <w:jc w:val="center"/>
        <w:rPr>
          <w:rFonts w:ascii="Times New Roman" w:hAnsi="Times New Roman" w:eastAsia="宋体" w:cs="Times New Roman"/>
          <w:sz w:val="24"/>
          <w:szCs w:val="24"/>
        </w:rPr>
      </w:pPr>
      <w:bookmarkStart w:id="130" w:name="_Ref112661494"/>
      <w:r>
        <w:rPr>
          <w:rFonts w:ascii="Times New Roman" w:hAnsi="Times New Roman" w:eastAsia="宋体" w:cs="Times New Roman"/>
          <w:sz w:val="24"/>
          <w:szCs w:val="24"/>
        </w:rPr>
        <w:t>表</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SEQ 表 \* ARABIC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bookmarkEnd w:id="130"/>
      <w:r>
        <w:rPr>
          <w:rFonts w:ascii="Times New Roman" w:hAnsi="Times New Roman" w:eastAsia="宋体" w:cs="Times New Roman"/>
          <w:sz w:val="24"/>
          <w:szCs w:val="24"/>
        </w:rPr>
        <w:t xml:space="preserve"> 精密度要求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5210"/>
      </w:tblGrid>
      <w:tr w14:paraId="6226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0A5CC5F3">
            <w:pPr>
              <w:jc w:val="center"/>
              <w:rPr>
                <w:sz w:val="24"/>
              </w:rPr>
            </w:pPr>
            <w:r>
              <w:rPr>
                <w:sz w:val="24"/>
              </w:rPr>
              <w:t>检测范围</w:t>
            </w:r>
          </w:p>
        </w:tc>
        <w:tc>
          <w:tcPr>
            <w:tcW w:w="5210" w:type="dxa"/>
            <w:vAlign w:val="center"/>
          </w:tcPr>
          <w:p w14:paraId="2422B280">
            <w:pPr>
              <w:jc w:val="center"/>
              <w:rPr>
                <w:sz w:val="24"/>
              </w:rPr>
            </w:pPr>
            <w:r>
              <w:rPr>
                <w:sz w:val="24"/>
              </w:rPr>
              <w:t>精密度</w:t>
            </w:r>
          </w:p>
        </w:tc>
      </w:tr>
      <w:tr w14:paraId="033D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5D5C1782">
            <w:pPr>
              <w:jc w:val="center"/>
              <w:rPr>
                <w:sz w:val="24"/>
              </w:rPr>
            </w:pPr>
            <w:r>
              <w:rPr>
                <w:color w:val="222222"/>
                <w:sz w:val="24"/>
              </w:rPr>
              <w:t xml:space="preserve">质控液葡萄糖浓度 &lt; </w:t>
            </w:r>
            <w:r>
              <w:rPr>
                <w:sz w:val="24"/>
              </w:rPr>
              <w:t>5.5 mmol/L</w:t>
            </w:r>
          </w:p>
        </w:tc>
        <w:tc>
          <w:tcPr>
            <w:tcW w:w="5210" w:type="dxa"/>
            <w:vAlign w:val="center"/>
          </w:tcPr>
          <w:p w14:paraId="35F49678">
            <w:pPr>
              <w:jc w:val="center"/>
              <w:rPr>
                <w:sz w:val="24"/>
              </w:rPr>
            </w:pPr>
            <w:r>
              <w:rPr>
                <w:sz w:val="24"/>
              </w:rPr>
              <w:t>标准差(Standard Deviation, SD) &lt; 0.42 mmol/L</w:t>
            </w:r>
          </w:p>
        </w:tc>
      </w:tr>
      <w:tr w14:paraId="44EE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462754B8">
            <w:pPr>
              <w:jc w:val="center"/>
              <w:rPr>
                <w:sz w:val="24"/>
              </w:rPr>
            </w:pPr>
            <w:r>
              <w:rPr>
                <w:color w:val="222222"/>
                <w:sz w:val="24"/>
              </w:rPr>
              <w:t xml:space="preserve">质控液葡萄糖浓度 ≥ </w:t>
            </w:r>
            <w:r>
              <w:rPr>
                <w:sz w:val="24"/>
              </w:rPr>
              <w:t>5.5 mmol/L</w:t>
            </w:r>
          </w:p>
        </w:tc>
        <w:tc>
          <w:tcPr>
            <w:tcW w:w="5210" w:type="dxa"/>
            <w:vAlign w:val="center"/>
          </w:tcPr>
          <w:p w14:paraId="6DE9FF24">
            <w:pPr>
              <w:jc w:val="center"/>
              <w:rPr>
                <w:sz w:val="24"/>
              </w:rPr>
            </w:pPr>
            <w:r>
              <w:rPr>
                <w:sz w:val="24"/>
              </w:rPr>
              <w:t>变异系数(Coefficient of Variation, CV) &lt; 7.5%</w:t>
            </w:r>
          </w:p>
        </w:tc>
      </w:tr>
    </w:tbl>
    <w:p w14:paraId="31721B1A">
      <w:pPr>
        <w:numPr>
          <w:ilvl w:val="1"/>
          <w:numId w:val="23"/>
        </w:numPr>
        <w:spacing w:line="560" w:lineRule="exact"/>
        <w:ind w:left="0" w:firstLine="0"/>
        <w:outlineLvl w:val="2"/>
        <w:rPr>
          <w:rFonts w:ascii="宋体" w:hAnsi="宋体" w:cs="宋体"/>
          <w:sz w:val="24"/>
        </w:rPr>
      </w:pPr>
      <w:bookmarkStart w:id="131" w:name="_Toc112680084"/>
      <w:r>
        <w:rPr>
          <w:rFonts w:hint="eastAsia" w:ascii="宋体" w:hAnsi="宋体" w:cs="宋体"/>
          <w:sz w:val="24"/>
        </w:rPr>
        <w:t>安全和性能标准</w:t>
      </w:r>
      <w:bookmarkEnd w:id="123"/>
      <w:r>
        <w:rPr>
          <w:rFonts w:hint="eastAsia" w:ascii="宋体" w:hAnsi="宋体" w:cs="宋体"/>
          <w:sz w:val="24"/>
        </w:rPr>
        <w:t>要求</w:t>
      </w:r>
      <w:bookmarkEnd w:id="131"/>
    </w:p>
    <w:p w14:paraId="01868167">
      <w:pPr>
        <w:spacing w:line="560" w:lineRule="exact"/>
        <w:ind w:firstLine="480"/>
        <w:rPr>
          <w:sz w:val="24"/>
        </w:rPr>
      </w:pPr>
      <w:r>
        <w:rPr>
          <w:rFonts w:hint="eastAsia"/>
          <w:sz w:val="24"/>
        </w:rPr>
        <w:t>该产品应符合</w:t>
      </w:r>
      <w:r>
        <w:rPr>
          <w:sz w:val="24"/>
        </w:rPr>
        <w:t>GB 9706.1-2007、GB 9706.15-2008（如适用）、YY 0505-2012、YY 0709-2009（如适用）</w:t>
      </w:r>
      <w:r>
        <w:rPr>
          <w:rFonts w:hint="eastAsia"/>
          <w:sz w:val="24"/>
        </w:rPr>
        <w:t>、YY 0784-2010</w:t>
      </w:r>
      <w:r>
        <w:rPr>
          <w:sz w:val="24"/>
        </w:rPr>
        <w:t>（如适用）</w:t>
      </w:r>
      <w:r>
        <w:rPr>
          <w:rFonts w:hint="eastAsia"/>
          <w:sz w:val="24"/>
        </w:rPr>
        <w:t>标准要求</w:t>
      </w:r>
      <w:r>
        <w:rPr>
          <w:sz w:val="24"/>
        </w:rPr>
        <w:t>，产品主要安全特征见附录A。</w:t>
      </w:r>
    </w:p>
    <w:p w14:paraId="201EEE70">
      <w:pPr>
        <w:numPr>
          <w:ilvl w:val="0"/>
          <w:numId w:val="23"/>
        </w:numPr>
        <w:spacing w:line="560" w:lineRule="exact"/>
        <w:ind w:left="0" w:firstLine="0"/>
        <w:outlineLvl w:val="1"/>
        <w:rPr>
          <w:rFonts w:ascii="宋体" w:hAnsi="宋体" w:cs="宋体"/>
          <w:b/>
          <w:bCs/>
          <w:kern w:val="0"/>
          <w:sz w:val="24"/>
        </w:rPr>
      </w:pPr>
      <w:bookmarkStart w:id="132" w:name="_Toc112680085"/>
      <w:r>
        <w:rPr>
          <w:rFonts w:hint="eastAsia" w:ascii="宋体" w:hAnsi="宋体" w:cs="宋体"/>
          <w:b/>
          <w:bCs/>
          <w:kern w:val="0"/>
          <w:sz w:val="24"/>
        </w:rPr>
        <w:t>检验方法</w:t>
      </w:r>
      <w:bookmarkEnd w:id="132"/>
      <w:r>
        <w:rPr>
          <w:b/>
          <w:bCs/>
          <w:color w:val="7F7F7F" w:themeColor="background1" w:themeShade="80"/>
          <w:sz w:val="24"/>
        </w:rPr>
        <w:t>（宋体小四号，加粗）</w:t>
      </w:r>
    </w:p>
    <w:p w14:paraId="6E02A237">
      <w:pPr>
        <w:spacing w:line="560" w:lineRule="exact"/>
        <w:ind w:firstLine="480"/>
        <w:rPr>
          <w:kern w:val="0"/>
          <w:sz w:val="24"/>
        </w:rPr>
      </w:pPr>
      <w:r>
        <w:rPr>
          <w:kern w:val="0"/>
          <w:sz w:val="24"/>
        </w:rPr>
        <w:t>申请人应</w:t>
      </w:r>
      <w:r>
        <w:rPr>
          <w:rFonts w:hint="eastAsia"/>
          <w:kern w:val="0"/>
          <w:sz w:val="24"/>
        </w:rPr>
        <w:t>按照</w:t>
      </w:r>
      <w:r>
        <w:rPr>
          <w:kern w:val="0"/>
          <w:sz w:val="24"/>
        </w:rPr>
        <w:fldChar w:fldCharType="begin"/>
      </w:r>
      <w:r>
        <w:rPr>
          <w:kern w:val="0"/>
          <w:sz w:val="24"/>
        </w:rPr>
        <w:instrText xml:space="preserve"> </w:instrText>
      </w:r>
      <w:r>
        <w:rPr>
          <w:rFonts w:hint="eastAsia"/>
          <w:kern w:val="0"/>
          <w:sz w:val="24"/>
        </w:rPr>
        <w:instrText xml:space="preserve">REF _Ref114645299 \r \h</w:instrText>
      </w:r>
      <w:r>
        <w:rPr>
          <w:kern w:val="0"/>
          <w:sz w:val="24"/>
        </w:rPr>
        <w:instrText xml:space="preserve">  \* MERGEFORMAT </w:instrText>
      </w:r>
      <w:r>
        <w:rPr>
          <w:kern w:val="0"/>
          <w:sz w:val="24"/>
        </w:rPr>
        <w:fldChar w:fldCharType="separate"/>
      </w:r>
      <w:r>
        <w:rPr>
          <w:kern w:val="0"/>
          <w:sz w:val="24"/>
        </w:rPr>
        <w:t>2</w:t>
      </w:r>
      <w:r>
        <w:rPr>
          <w:kern w:val="0"/>
          <w:sz w:val="24"/>
        </w:rPr>
        <w:fldChar w:fldCharType="end"/>
      </w:r>
      <w:r>
        <w:rPr>
          <w:kern w:val="0"/>
          <w:sz w:val="24"/>
        </w:rPr>
        <w:fldChar w:fldCharType="begin"/>
      </w:r>
      <w:r>
        <w:rPr>
          <w:kern w:val="0"/>
          <w:sz w:val="24"/>
        </w:rPr>
        <w:instrText xml:space="preserve"> REF _Ref114645299 \h  \* MERGEFORMAT </w:instrText>
      </w:r>
      <w:r>
        <w:rPr>
          <w:kern w:val="0"/>
          <w:sz w:val="24"/>
        </w:rPr>
        <w:fldChar w:fldCharType="separate"/>
      </w:r>
      <w:r>
        <w:rPr>
          <w:rFonts w:hint="eastAsia"/>
          <w:kern w:val="0"/>
          <w:sz w:val="24"/>
        </w:rPr>
        <w:t>性能指标</w:t>
      </w:r>
      <w:r>
        <w:rPr>
          <w:kern w:val="0"/>
          <w:sz w:val="24"/>
        </w:rPr>
        <w:t>（宋体小四号，加粗）</w:t>
      </w:r>
      <w:r>
        <w:rPr>
          <w:kern w:val="0"/>
          <w:sz w:val="24"/>
        </w:rPr>
        <w:fldChar w:fldCharType="end"/>
      </w:r>
      <w:r>
        <w:rPr>
          <w:kern w:val="0"/>
          <w:sz w:val="24"/>
        </w:rPr>
        <w:t>的具体条款，逐项制定检验方法</w:t>
      </w:r>
      <w:r>
        <w:rPr>
          <w:rFonts w:hint="eastAsia"/>
          <w:kern w:val="0"/>
          <w:sz w:val="24"/>
        </w:rPr>
        <w:t>。</w:t>
      </w:r>
    </w:p>
    <w:p w14:paraId="5DAE03FF">
      <w:pPr>
        <w:numPr>
          <w:ilvl w:val="1"/>
          <w:numId w:val="23"/>
        </w:numPr>
        <w:spacing w:line="560" w:lineRule="exact"/>
        <w:ind w:left="0" w:firstLine="0"/>
        <w:outlineLvl w:val="2"/>
        <w:rPr>
          <w:rFonts w:ascii="宋体"/>
          <w:sz w:val="24"/>
        </w:rPr>
      </w:pPr>
      <w:bookmarkStart w:id="133" w:name="_Toc112680086"/>
      <w:r>
        <w:rPr>
          <w:rFonts w:hint="eastAsia" w:ascii="宋体" w:hAnsi="宋体" w:cs="宋体"/>
          <w:sz w:val="24"/>
        </w:rPr>
        <w:t>测量传感器的性能要求</w:t>
      </w:r>
      <w:bookmarkEnd w:id="133"/>
    </w:p>
    <w:p w14:paraId="77DC33A6">
      <w:pPr>
        <w:numPr>
          <w:ilvl w:val="2"/>
          <w:numId w:val="23"/>
        </w:numPr>
        <w:spacing w:line="560" w:lineRule="exact"/>
        <w:ind w:left="0" w:firstLine="0"/>
        <w:rPr>
          <w:rFonts w:ascii="宋体"/>
          <w:sz w:val="24"/>
        </w:rPr>
      </w:pPr>
      <w:r>
        <w:rPr>
          <w:rFonts w:hint="eastAsia" w:ascii="宋体"/>
          <w:sz w:val="24"/>
        </w:rPr>
        <w:t>……</w:t>
      </w:r>
    </w:p>
    <w:p w14:paraId="55B65FF0">
      <w:pPr>
        <w:spacing w:line="560" w:lineRule="exact"/>
        <w:ind w:firstLine="480"/>
        <w:rPr>
          <w:rFonts w:ascii="宋体" w:hAnsi="宋体" w:cs="宋体"/>
          <w:kern w:val="0"/>
          <w:sz w:val="24"/>
        </w:rPr>
      </w:pPr>
      <w:r>
        <w:rPr>
          <w:rFonts w:hint="eastAsia" w:ascii="宋体" w:hAnsi="宋体" w:cs="宋体"/>
          <w:kern w:val="0"/>
          <w:sz w:val="24"/>
        </w:rPr>
        <w:t>……</w:t>
      </w:r>
    </w:p>
    <w:p w14:paraId="388E0DB8">
      <w:pPr>
        <w:numPr>
          <w:ilvl w:val="1"/>
          <w:numId w:val="23"/>
        </w:numPr>
        <w:spacing w:line="560" w:lineRule="exact"/>
        <w:ind w:left="0" w:firstLine="0"/>
        <w:outlineLvl w:val="2"/>
        <w:rPr>
          <w:rFonts w:ascii="宋体" w:hAnsi="宋体" w:cs="宋体"/>
          <w:sz w:val="24"/>
        </w:rPr>
      </w:pPr>
      <w:bookmarkStart w:id="134" w:name="_Toc112680087"/>
      <w:r>
        <w:rPr>
          <w:rFonts w:ascii="宋体" w:hAnsi="宋体" w:cs="宋体"/>
          <w:sz w:val="24"/>
        </w:rPr>
        <w:t>无创血糖</w:t>
      </w:r>
      <w:r>
        <w:rPr>
          <w:rFonts w:hint="eastAsia"/>
          <w:sz w:val="24"/>
        </w:rPr>
        <w:t>检测的</w:t>
      </w:r>
      <w:r>
        <w:rPr>
          <w:rFonts w:ascii="宋体" w:hAnsi="宋体" w:cs="宋体"/>
          <w:sz w:val="24"/>
        </w:rPr>
        <w:t>性能要求</w:t>
      </w:r>
      <w:bookmarkEnd w:id="134"/>
    </w:p>
    <w:p w14:paraId="0BD15781">
      <w:pPr>
        <w:numPr>
          <w:ilvl w:val="2"/>
          <w:numId w:val="23"/>
        </w:numPr>
        <w:spacing w:line="560" w:lineRule="exact"/>
        <w:outlineLvl w:val="3"/>
        <w:rPr>
          <w:rFonts w:ascii="宋体"/>
          <w:sz w:val="24"/>
        </w:rPr>
      </w:pPr>
      <w:bookmarkStart w:id="135" w:name="_Toc112680088"/>
      <w:r>
        <w:rPr>
          <w:rFonts w:ascii="宋体"/>
          <w:sz w:val="24"/>
        </w:rPr>
        <w:t>无创血糖</w:t>
      </w:r>
      <w:r>
        <w:rPr>
          <w:rFonts w:hint="eastAsia"/>
          <w:sz w:val="24"/>
        </w:rPr>
        <w:t>检测</w:t>
      </w:r>
      <w:r>
        <w:rPr>
          <w:rFonts w:ascii="宋体"/>
          <w:sz w:val="24"/>
        </w:rPr>
        <w:t>范围</w:t>
      </w:r>
      <w:bookmarkEnd w:id="135"/>
    </w:p>
    <w:p w14:paraId="158F2489">
      <w:pPr>
        <w:spacing w:line="560" w:lineRule="exact"/>
        <w:ind w:firstLine="480"/>
        <w:rPr>
          <w:kern w:val="0"/>
          <w:sz w:val="24"/>
        </w:rPr>
      </w:pPr>
      <w:r>
        <w:rPr>
          <w:kern w:val="0"/>
          <w:sz w:val="24"/>
        </w:rPr>
        <w:t>……，应符合</w:t>
      </w:r>
      <w:r>
        <w:rPr>
          <w:kern w:val="0"/>
          <w:sz w:val="24"/>
        </w:rPr>
        <w:fldChar w:fldCharType="begin"/>
      </w:r>
      <w:r>
        <w:rPr>
          <w:kern w:val="0"/>
          <w:sz w:val="24"/>
        </w:rPr>
        <w:instrText xml:space="preserve"> REF _Ref112661957 \r \h  \* MERGEFORMAT </w:instrText>
      </w:r>
      <w:r>
        <w:rPr>
          <w:kern w:val="0"/>
          <w:sz w:val="24"/>
        </w:rPr>
        <w:fldChar w:fldCharType="separate"/>
      </w:r>
      <w:r>
        <w:rPr>
          <w:kern w:val="0"/>
          <w:sz w:val="24"/>
        </w:rPr>
        <w:t>2.2.1</w:t>
      </w:r>
      <w:r>
        <w:rPr>
          <w:kern w:val="0"/>
          <w:sz w:val="24"/>
        </w:rPr>
        <w:fldChar w:fldCharType="end"/>
      </w:r>
      <w:r>
        <w:rPr>
          <w:kern w:val="0"/>
          <w:sz w:val="24"/>
        </w:rPr>
        <w:t>的要求。</w:t>
      </w:r>
    </w:p>
    <w:p w14:paraId="37E9C790">
      <w:pPr>
        <w:numPr>
          <w:ilvl w:val="2"/>
          <w:numId w:val="23"/>
        </w:numPr>
        <w:spacing w:line="560" w:lineRule="exact"/>
        <w:ind w:left="0" w:firstLine="0"/>
        <w:outlineLvl w:val="3"/>
        <w:rPr>
          <w:rFonts w:ascii="宋体"/>
          <w:sz w:val="24"/>
        </w:rPr>
      </w:pPr>
      <w:bookmarkStart w:id="136" w:name="_Toc112680089"/>
      <w:r>
        <w:rPr>
          <w:rFonts w:ascii="宋体"/>
          <w:sz w:val="24"/>
        </w:rPr>
        <w:t>无创血糖</w:t>
      </w:r>
      <w:r>
        <w:rPr>
          <w:rFonts w:hint="eastAsia"/>
          <w:sz w:val="24"/>
        </w:rPr>
        <w:t>检测</w:t>
      </w:r>
      <w:r>
        <w:rPr>
          <w:rFonts w:hint="eastAsia" w:ascii="宋体"/>
          <w:sz w:val="24"/>
        </w:rPr>
        <w:t>的</w:t>
      </w:r>
      <w:r>
        <w:rPr>
          <w:rFonts w:ascii="宋体"/>
          <w:sz w:val="24"/>
        </w:rPr>
        <w:t>精确度</w:t>
      </w:r>
      <w:bookmarkEnd w:id="136"/>
    </w:p>
    <w:p w14:paraId="35F225D3">
      <w:pPr>
        <w:numPr>
          <w:ilvl w:val="3"/>
          <w:numId w:val="23"/>
        </w:numPr>
        <w:spacing w:line="560" w:lineRule="exact"/>
        <w:ind w:left="0" w:firstLine="0"/>
        <w:outlineLvl w:val="4"/>
        <w:rPr>
          <w:rFonts w:ascii="宋体"/>
          <w:sz w:val="24"/>
        </w:rPr>
      </w:pPr>
      <w:r>
        <w:rPr>
          <w:rFonts w:ascii="宋体"/>
          <w:sz w:val="24"/>
        </w:rPr>
        <w:t>无创血糖</w:t>
      </w:r>
      <w:r>
        <w:rPr>
          <w:rFonts w:hint="eastAsia"/>
          <w:sz w:val="24"/>
        </w:rPr>
        <w:t>检测</w:t>
      </w:r>
      <w:r>
        <w:rPr>
          <w:rFonts w:hint="eastAsia" w:ascii="宋体"/>
          <w:sz w:val="24"/>
        </w:rPr>
        <w:t>的</w:t>
      </w:r>
      <w:r>
        <w:rPr>
          <w:rFonts w:ascii="宋体"/>
          <w:sz w:val="24"/>
        </w:rPr>
        <w:t>准确度</w:t>
      </w:r>
    </w:p>
    <w:p w14:paraId="7B22BA30">
      <w:pPr>
        <w:spacing w:line="560" w:lineRule="exact"/>
        <w:ind w:firstLine="480"/>
        <w:rPr>
          <w:sz w:val="24"/>
        </w:rPr>
      </w:pPr>
      <w:r>
        <w:rPr>
          <w:kern w:val="0"/>
          <w:sz w:val="24"/>
        </w:rPr>
        <w:t>……，应符合</w:t>
      </w:r>
      <w:r>
        <w:rPr>
          <w:kern w:val="0"/>
          <w:sz w:val="24"/>
        </w:rPr>
        <w:fldChar w:fldCharType="begin"/>
      </w:r>
      <w:r>
        <w:rPr>
          <w:kern w:val="0"/>
          <w:sz w:val="24"/>
        </w:rPr>
        <w:instrText xml:space="preserve"> REF _Ref112662350 \r \h </w:instrText>
      </w:r>
      <w:r>
        <w:rPr>
          <w:kern w:val="0"/>
          <w:sz w:val="24"/>
        </w:rPr>
        <w:fldChar w:fldCharType="separate"/>
      </w:r>
      <w:r>
        <w:rPr>
          <w:kern w:val="0"/>
          <w:sz w:val="24"/>
        </w:rPr>
        <w:t>2.2.2.1</w:t>
      </w:r>
      <w:r>
        <w:rPr>
          <w:kern w:val="0"/>
          <w:sz w:val="24"/>
        </w:rPr>
        <w:fldChar w:fldCharType="end"/>
      </w:r>
      <w:r>
        <w:rPr>
          <w:kern w:val="0"/>
          <w:sz w:val="24"/>
        </w:rPr>
        <w:t>的要求。</w:t>
      </w:r>
    </w:p>
    <w:p w14:paraId="62C6B3C5">
      <w:pPr>
        <w:numPr>
          <w:ilvl w:val="3"/>
          <w:numId w:val="23"/>
        </w:numPr>
        <w:spacing w:line="560" w:lineRule="exact"/>
        <w:ind w:left="0" w:firstLine="0"/>
        <w:outlineLvl w:val="4"/>
        <w:rPr>
          <w:rFonts w:ascii="宋体"/>
          <w:sz w:val="24"/>
        </w:rPr>
      </w:pPr>
      <w:bookmarkStart w:id="137" w:name="_Ref112662359"/>
      <w:r>
        <w:rPr>
          <w:rFonts w:ascii="宋体"/>
          <w:sz w:val="24"/>
        </w:rPr>
        <w:t>无创血糖</w:t>
      </w:r>
      <w:r>
        <w:rPr>
          <w:rFonts w:hint="eastAsia"/>
          <w:sz w:val="24"/>
        </w:rPr>
        <w:t>检测</w:t>
      </w:r>
      <w:r>
        <w:rPr>
          <w:rFonts w:hint="eastAsia" w:ascii="宋体"/>
          <w:sz w:val="24"/>
        </w:rPr>
        <w:t>的精密</w:t>
      </w:r>
      <w:r>
        <w:rPr>
          <w:rFonts w:ascii="宋体"/>
          <w:sz w:val="24"/>
        </w:rPr>
        <w:t>度</w:t>
      </w:r>
      <w:bookmarkEnd w:id="137"/>
    </w:p>
    <w:p w14:paraId="069C903F">
      <w:pPr>
        <w:spacing w:line="560" w:lineRule="exact"/>
        <w:ind w:firstLine="480"/>
        <w:rPr>
          <w:rFonts w:ascii="宋体" w:hAnsi="宋体" w:cs="宋体"/>
          <w:kern w:val="0"/>
          <w:sz w:val="24"/>
        </w:rPr>
      </w:pPr>
      <w:r>
        <w:rPr>
          <w:kern w:val="0"/>
          <w:sz w:val="24"/>
        </w:rPr>
        <w:t>……，应符合</w:t>
      </w:r>
      <w:r>
        <w:rPr>
          <w:kern w:val="0"/>
          <w:sz w:val="24"/>
        </w:rPr>
        <w:fldChar w:fldCharType="begin"/>
      </w:r>
      <w:r>
        <w:rPr>
          <w:kern w:val="0"/>
          <w:sz w:val="24"/>
        </w:rPr>
        <w:instrText xml:space="preserve"> REF _Ref112662372 \r \h </w:instrText>
      </w:r>
      <w:r>
        <w:rPr>
          <w:kern w:val="0"/>
          <w:sz w:val="24"/>
        </w:rPr>
        <w:fldChar w:fldCharType="separate"/>
      </w:r>
      <w:r>
        <w:rPr>
          <w:kern w:val="0"/>
          <w:sz w:val="24"/>
        </w:rPr>
        <w:t>2.2.2.2</w:t>
      </w:r>
      <w:r>
        <w:rPr>
          <w:kern w:val="0"/>
          <w:sz w:val="24"/>
        </w:rPr>
        <w:fldChar w:fldCharType="end"/>
      </w:r>
      <w:r>
        <w:rPr>
          <w:kern w:val="0"/>
          <w:sz w:val="24"/>
        </w:rPr>
        <w:t>的要求。</w:t>
      </w:r>
    </w:p>
    <w:p w14:paraId="508B651C">
      <w:pPr>
        <w:numPr>
          <w:ilvl w:val="1"/>
          <w:numId w:val="23"/>
        </w:numPr>
        <w:spacing w:line="560" w:lineRule="exact"/>
        <w:ind w:left="0" w:firstLine="0"/>
        <w:outlineLvl w:val="2"/>
        <w:rPr>
          <w:rFonts w:ascii="宋体" w:hAnsi="宋体" w:cs="宋体"/>
          <w:sz w:val="24"/>
        </w:rPr>
      </w:pPr>
      <w:bookmarkStart w:id="138" w:name="_Ref449388545"/>
      <w:bookmarkStart w:id="139" w:name="_Toc112680090"/>
      <w:r>
        <w:rPr>
          <w:rFonts w:hint="eastAsia" w:ascii="宋体" w:hAnsi="宋体" w:cs="宋体"/>
          <w:sz w:val="24"/>
        </w:rPr>
        <w:t>安全和性能标准</w:t>
      </w:r>
      <w:bookmarkEnd w:id="138"/>
      <w:bookmarkEnd w:id="139"/>
    </w:p>
    <w:p w14:paraId="0EB2C4BB">
      <w:pPr>
        <w:spacing w:line="560" w:lineRule="exact"/>
        <w:ind w:firstLine="480"/>
        <w:rPr>
          <w:sz w:val="24"/>
        </w:rPr>
      </w:pPr>
      <w:r>
        <w:rPr>
          <w:sz w:val="24"/>
        </w:rPr>
        <w:t>按照</w:t>
      </w:r>
      <w:r>
        <w:rPr>
          <w:sz w:val="24"/>
        </w:rPr>
        <w:fldChar w:fldCharType="begin"/>
      </w:r>
      <w:r>
        <w:rPr>
          <w:sz w:val="24"/>
        </w:rPr>
        <w:instrText xml:space="preserve"> REF _Ref449388567 \r \h  \* MERGEFORMAT </w:instrText>
      </w:r>
      <w:r>
        <w:rPr>
          <w:sz w:val="24"/>
        </w:rPr>
        <w:fldChar w:fldCharType="separate"/>
      </w:r>
      <w:r>
        <w:rPr>
          <w:sz w:val="24"/>
        </w:rPr>
        <w:t>2.2</w:t>
      </w:r>
      <w:r>
        <w:rPr>
          <w:sz w:val="24"/>
        </w:rPr>
        <w:fldChar w:fldCharType="end"/>
      </w:r>
      <w:r>
        <w:rPr>
          <w:sz w:val="24"/>
        </w:rPr>
        <w:t>项对应的方法，全面执行标准的检验方法，应符合</w:t>
      </w:r>
      <w:r>
        <w:rPr>
          <w:sz w:val="24"/>
        </w:rPr>
        <w:fldChar w:fldCharType="begin"/>
      </w:r>
      <w:r>
        <w:rPr>
          <w:sz w:val="24"/>
        </w:rPr>
        <w:instrText xml:space="preserve"> REF _Ref449388567 \r \h  \* MERGEFORMAT </w:instrText>
      </w:r>
      <w:r>
        <w:rPr>
          <w:sz w:val="24"/>
        </w:rPr>
        <w:fldChar w:fldCharType="separate"/>
      </w:r>
      <w:r>
        <w:rPr>
          <w:sz w:val="24"/>
        </w:rPr>
        <w:t>2.2</w:t>
      </w:r>
      <w:r>
        <w:rPr>
          <w:sz w:val="24"/>
        </w:rPr>
        <w:fldChar w:fldCharType="end"/>
      </w:r>
      <w:r>
        <w:rPr>
          <w:sz w:val="24"/>
        </w:rPr>
        <w:t>的要求。</w:t>
      </w:r>
    </w:p>
    <w:p w14:paraId="7B320070">
      <w:pPr>
        <w:numPr>
          <w:ilvl w:val="0"/>
          <w:numId w:val="23"/>
        </w:numPr>
        <w:spacing w:line="560" w:lineRule="exact"/>
        <w:ind w:left="0" w:firstLine="0"/>
        <w:outlineLvl w:val="1"/>
        <w:rPr>
          <w:rFonts w:ascii="宋体" w:hAnsi="宋体" w:cs="宋体"/>
          <w:b/>
          <w:bCs/>
          <w:kern w:val="0"/>
          <w:sz w:val="24"/>
        </w:rPr>
      </w:pPr>
      <w:bookmarkStart w:id="140" w:name="_Toc112680091"/>
      <w:r>
        <w:rPr>
          <w:rFonts w:hint="eastAsia" w:ascii="宋体" w:hAnsi="宋体" w:cs="宋体"/>
          <w:b/>
          <w:bCs/>
          <w:kern w:val="0"/>
          <w:sz w:val="24"/>
        </w:rPr>
        <w:t>术语（如适用）</w:t>
      </w:r>
      <w:bookmarkEnd w:id="140"/>
    </w:p>
    <w:p w14:paraId="4847C5F8">
      <w:pPr>
        <w:numPr>
          <w:ilvl w:val="1"/>
          <w:numId w:val="23"/>
        </w:numPr>
        <w:spacing w:line="560" w:lineRule="exact"/>
        <w:rPr>
          <w:rFonts w:ascii="宋体"/>
          <w:sz w:val="24"/>
        </w:rPr>
      </w:pPr>
      <w:r>
        <w:rPr>
          <w:rFonts w:hint="eastAsia" w:ascii="宋体"/>
          <w:sz w:val="24"/>
        </w:rPr>
        <w:t>……</w:t>
      </w:r>
    </w:p>
    <w:p w14:paraId="0482898C">
      <w:pPr>
        <w:numPr>
          <w:ilvl w:val="2"/>
          <w:numId w:val="23"/>
        </w:numPr>
        <w:spacing w:line="560" w:lineRule="exact"/>
        <w:rPr>
          <w:rFonts w:ascii="宋体"/>
          <w:sz w:val="24"/>
        </w:rPr>
      </w:pPr>
      <w:r>
        <w:rPr>
          <w:rFonts w:hint="eastAsia" w:ascii="宋体"/>
          <w:sz w:val="24"/>
        </w:rPr>
        <w:t>……</w:t>
      </w:r>
    </w:p>
    <w:p w14:paraId="1EE37A28">
      <w:pPr>
        <w:spacing w:line="560" w:lineRule="exact"/>
        <w:rPr>
          <w:rFonts w:ascii="宋体"/>
          <w:kern w:val="0"/>
          <w:sz w:val="24"/>
        </w:rPr>
      </w:pPr>
      <w:r>
        <w:rPr>
          <w:rFonts w:hint="eastAsia" w:ascii="宋体" w:hAnsi="宋体" w:cs="宋体"/>
          <w:kern w:val="0"/>
          <w:sz w:val="24"/>
        </w:rPr>
        <w:t>……</w:t>
      </w:r>
    </w:p>
    <w:p w14:paraId="17D21026">
      <w:pPr>
        <w:spacing w:line="560" w:lineRule="exact"/>
        <w:rPr>
          <w:rFonts w:ascii="宋体"/>
          <w:kern w:val="0"/>
          <w:sz w:val="24"/>
        </w:rPr>
      </w:pPr>
      <w:r>
        <w:rPr>
          <w:rFonts w:hint="eastAsia" w:ascii="宋体" w:hAnsi="宋体" w:cs="宋体"/>
          <w:kern w:val="0"/>
          <w:sz w:val="24"/>
        </w:rPr>
        <w:t>（分页）</w:t>
      </w:r>
    </w:p>
    <w:p w14:paraId="70C23D72">
      <w:pPr>
        <w:spacing w:line="560" w:lineRule="exact"/>
        <w:outlineLvl w:val="1"/>
        <w:rPr>
          <w:b/>
          <w:bCs/>
          <w:kern w:val="0"/>
          <w:sz w:val="24"/>
        </w:rPr>
      </w:pPr>
      <w:bookmarkStart w:id="141" w:name="_Toc112680092"/>
      <w:r>
        <w:rPr>
          <w:b/>
          <w:bCs/>
          <w:kern w:val="0"/>
          <w:sz w:val="24"/>
        </w:rPr>
        <w:t>附录A 产品主要安全特征</w:t>
      </w:r>
      <w:bookmarkEnd w:id="141"/>
    </w:p>
    <w:p w14:paraId="66BC2EBB">
      <w:pPr>
        <w:numPr>
          <w:ilvl w:val="0"/>
          <w:numId w:val="24"/>
        </w:numPr>
        <w:spacing w:line="560" w:lineRule="exact"/>
        <w:ind w:left="0" w:firstLine="480" w:firstLineChars="200"/>
        <w:rPr>
          <w:rFonts w:ascii="宋体"/>
          <w:sz w:val="24"/>
        </w:rPr>
      </w:pPr>
      <w:r>
        <w:rPr>
          <w:rFonts w:ascii="宋体"/>
          <w:sz w:val="24"/>
        </w:rPr>
        <w:t>按防电击类型分类</w:t>
      </w:r>
      <w:r>
        <w:rPr>
          <w:rFonts w:hint="eastAsia" w:ascii="宋体"/>
          <w:sz w:val="24"/>
        </w:rPr>
        <w:t>：</w:t>
      </w:r>
    </w:p>
    <w:p w14:paraId="5C59A090">
      <w:pPr>
        <w:numPr>
          <w:ilvl w:val="0"/>
          <w:numId w:val="24"/>
        </w:numPr>
        <w:spacing w:line="560" w:lineRule="exact"/>
        <w:ind w:left="0" w:firstLine="480" w:firstLineChars="200"/>
        <w:rPr>
          <w:rFonts w:ascii="宋体"/>
          <w:sz w:val="24"/>
        </w:rPr>
      </w:pPr>
      <w:r>
        <w:rPr>
          <w:rFonts w:ascii="宋体"/>
          <w:sz w:val="24"/>
        </w:rPr>
        <w:t>按防电击的程度分类</w:t>
      </w:r>
      <w:r>
        <w:rPr>
          <w:rFonts w:hint="eastAsia" w:ascii="宋体"/>
          <w:sz w:val="24"/>
        </w:rPr>
        <w:t>：</w:t>
      </w:r>
    </w:p>
    <w:p w14:paraId="75718BFA">
      <w:pPr>
        <w:numPr>
          <w:ilvl w:val="0"/>
          <w:numId w:val="24"/>
        </w:numPr>
        <w:spacing w:line="560" w:lineRule="exact"/>
        <w:ind w:left="0" w:firstLine="480" w:firstLineChars="200"/>
        <w:rPr>
          <w:rFonts w:ascii="宋体"/>
          <w:sz w:val="24"/>
        </w:rPr>
      </w:pPr>
      <w:r>
        <w:rPr>
          <w:rFonts w:ascii="宋体"/>
          <w:sz w:val="24"/>
        </w:rPr>
        <w:t>按对进液的防护程度分类</w:t>
      </w:r>
      <w:r>
        <w:rPr>
          <w:rFonts w:hint="eastAsia" w:ascii="宋体"/>
          <w:sz w:val="24"/>
        </w:rPr>
        <w:t>：</w:t>
      </w:r>
    </w:p>
    <w:p w14:paraId="2013E398">
      <w:pPr>
        <w:numPr>
          <w:ilvl w:val="0"/>
          <w:numId w:val="24"/>
        </w:numPr>
        <w:spacing w:line="560" w:lineRule="exact"/>
        <w:ind w:left="0" w:firstLine="480" w:firstLineChars="200"/>
        <w:rPr>
          <w:rFonts w:ascii="宋体"/>
          <w:sz w:val="24"/>
        </w:rPr>
      </w:pPr>
      <w:r>
        <w:rPr>
          <w:rFonts w:ascii="宋体"/>
          <w:sz w:val="24"/>
        </w:rPr>
        <w:t>按在与空气混合的易燃麻醉气或与氧或氧化亚氮混合的易燃麻醉气情况下使用时的安全程度分类</w:t>
      </w:r>
      <w:r>
        <w:rPr>
          <w:rFonts w:hint="eastAsia" w:ascii="宋体"/>
          <w:sz w:val="24"/>
        </w:rPr>
        <w:t>：</w:t>
      </w:r>
    </w:p>
    <w:p w14:paraId="360EF5BE">
      <w:pPr>
        <w:numPr>
          <w:ilvl w:val="0"/>
          <w:numId w:val="24"/>
        </w:numPr>
        <w:spacing w:line="560" w:lineRule="exact"/>
        <w:ind w:left="0" w:firstLine="480" w:firstLineChars="200"/>
        <w:rPr>
          <w:rFonts w:ascii="宋体"/>
          <w:sz w:val="24"/>
        </w:rPr>
      </w:pPr>
      <w:r>
        <w:rPr>
          <w:rFonts w:ascii="宋体"/>
          <w:sz w:val="24"/>
        </w:rPr>
        <w:t>按运行模式分类</w:t>
      </w:r>
      <w:r>
        <w:rPr>
          <w:rFonts w:hint="eastAsia" w:ascii="宋体"/>
          <w:sz w:val="24"/>
        </w:rPr>
        <w:t>：</w:t>
      </w:r>
    </w:p>
    <w:p w14:paraId="76F64459">
      <w:pPr>
        <w:numPr>
          <w:ilvl w:val="0"/>
          <w:numId w:val="24"/>
        </w:numPr>
        <w:spacing w:line="560" w:lineRule="exact"/>
        <w:ind w:left="0" w:firstLine="480" w:firstLineChars="200"/>
        <w:rPr>
          <w:rFonts w:ascii="宋体"/>
          <w:sz w:val="24"/>
        </w:rPr>
      </w:pPr>
      <w:r>
        <w:rPr>
          <w:rFonts w:ascii="宋体"/>
          <w:sz w:val="24"/>
        </w:rPr>
        <w:t>设备的额定电压和频率</w:t>
      </w:r>
      <w:r>
        <w:rPr>
          <w:rFonts w:hint="eastAsia" w:ascii="宋体"/>
          <w:sz w:val="24"/>
        </w:rPr>
        <w:t>：</w:t>
      </w:r>
    </w:p>
    <w:p w14:paraId="60A911BA">
      <w:pPr>
        <w:numPr>
          <w:ilvl w:val="0"/>
          <w:numId w:val="24"/>
        </w:numPr>
        <w:spacing w:line="560" w:lineRule="exact"/>
        <w:ind w:left="0" w:firstLine="480" w:firstLineChars="200"/>
        <w:rPr>
          <w:rFonts w:ascii="宋体"/>
          <w:sz w:val="24"/>
        </w:rPr>
      </w:pPr>
      <w:r>
        <w:rPr>
          <w:rFonts w:ascii="宋体"/>
          <w:sz w:val="24"/>
        </w:rPr>
        <w:t>设备的输入功率</w:t>
      </w:r>
      <w:r>
        <w:rPr>
          <w:rFonts w:hint="eastAsia" w:ascii="宋体"/>
          <w:sz w:val="24"/>
        </w:rPr>
        <w:t>：</w:t>
      </w:r>
    </w:p>
    <w:p w14:paraId="5119EF1A">
      <w:pPr>
        <w:numPr>
          <w:ilvl w:val="0"/>
          <w:numId w:val="24"/>
        </w:numPr>
        <w:spacing w:line="560" w:lineRule="exact"/>
        <w:ind w:left="0" w:firstLine="480" w:firstLineChars="200"/>
        <w:rPr>
          <w:rFonts w:ascii="宋体"/>
          <w:sz w:val="24"/>
        </w:rPr>
      </w:pPr>
      <w:r>
        <w:rPr>
          <w:rFonts w:ascii="宋体"/>
          <w:sz w:val="24"/>
        </w:rPr>
        <w:t>设备是否具有对除颤放电效应防护的应用部分</w:t>
      </w:r>
      <w:r>
        <w:rPr>
          <w:rFonts w:hint="eastAsia" w:ascii="宋体"/>
          <w:sz w:val="24"/>
        </w:rPr>
        <w:t>：</w:t>
      </w:r>
    </w:p>
    <w:p w14:paraId="6AF68CD0">
      <w:pPr>
        <w:numPr>
          <w:ilvl w:val="0"/>
          <w:numId w:val="24"/>
        </w:numPr>
        <w:spacing w:line="560" w:lineRule="exact"/>
        <w:ind w:left="0" w:firstLine="480" w:firstLineChars="200"/>
        <w:rPr>
          <w:rFonts w:ascii="宋体"/>
          <w:sz w:val="24"/>
        </w:rPr>
      </w:pPr>
      <w:r>
        <w:rPr>
          <w:rFonts w:ascii="宋体"/>
          <w:sz w:val="24"/>
        </w:rPr>
        <w:t>设备是否具有信号输出或输入部分</w:t>
      </w:r>
      <w:r>
        <w:rPr>
          <w:rFonts w:hint="eastAsia" w:ascii="宋体"/>
          <w:sz w:val="24"/>
        </w:rPr>
        <w:t>：</w:t>
      </w:r>
    </w:p>
    <w:p w14:paraId="0F84F5A3">
      <w:pPr>
        <w:numPr>
          <w:ilvl w:val="0"/>
          <w:numId w:val="24"/>
        </w:numPr>
        <w:spacing w:line="560" w:lineRule="exact"/>
        <w:ind w:left="0" w:firstLine="480" w:firstLineChars="200"/>
        <w:rPr>
          <w:rFonts w:ascii="宋体"/>
          <w:sz w:val="24"/>
        </w:rPr>
      </w:pPr>
      <w:r>
        <w:rPr>
          <w:rFonts w:ascii="宋体"/>
          <w:sz w:val="24"/>
        </w:rPr>
        <w:t>永久性安装设备或非永久性安装设备</w:t>
      </w:r>
      <w:r>
        <w:rPr>
          <w:rFonts w:hint="eastAsia" w:ascii="宋体"/>
          <w:sz w:val="24"/>
        </w:rPr>
        <w:t>：</w:t>
      </w:r>
    </w:p>
    <w:p w14:paraId="7AD01B3E">
      <w:pPr>
        <w:numPr>
          <w:ilvl w:val="0"/>
          <w:numId w:val="24"/>
        </w:numPr>
        <w:spacing w:line="560" w:lineRule="exact"/>
        <w:ind w:left="0" w:firstLine="480" w:firstLineChars="200"/>
        <w:rPr>
          <w:rFonts w:ascii="宋体"/>
          <w:sz w:val="24"/>
        </w:rPr>
      </w:pPr>
      <w:r>
        <w:rPr>
          <w:rFonts w:ascii="宋体"/>
          <w:sz w:val="24"/>
        </w:rPr>
        <w:t>电气绝缘图</w:t>
      </w:r>
      <w:r>
        <w:rPr>
          <w:rFonts w:hint="eastAsia" w:ascii="宋体"/>
          <w:sz w:val="24"/>
        </w:rPr>
        <w:t>：</w:t>
      </w:r>
    </w:p>
    <w:p w14:paraId="1CB22019">
      <w:pPr>
        <w:spacing w:line="560" w:lineRule="exact"/>
        <w:ind w:left="420" w:leftChars="200" w:firstLine="480" w:firstLineChars="200"/>
        <w:rPr>
          <w:rFonts w:ascii="宋体"/>
          <w:sz w:val="24"/>
        </w:rPr>
      </w:pPr>
      <w:r>
        <w:rPr>
          <w:rFonts w:hint="eastAsia" w:ascii="宋体"/>
          <w:sz w:val="24"/>
        </w:rPr>
        <w:t>申请人应在电气绝缘图中标明各绝缘路径。</w:t>
      </w:r>
    </w:p>
    <w:p w14:paraId="78861B3F">
      <w:pPr>
        <w:numPr>
          <w:ilvl w:val="0"/>
          <w:numId w:val="24"/>
        </w:numPr>
        <w:spacing w:line="560" w:lineRule="exact"/>
        <w:ind w:left="0" w:firstLine="480" w:firstLineChars="200"/>
        <w:rPr>
          <w:rFonts w:ascii="宋体"/>
          <w:sz w:val="24"/>
        </w:rPr>
      </w:pPr>
      <w:r>
        <w:rPr>
          <w:rFonts w:hint="eastAsia" w:ascii="宋体"/>
          <w:sz w:val="24"/>
        </w:rPr>
        <w:t>电气绝缘图表格：</w:t>
      </w:r>
    </w:p>
    <w:p w14:paraId="250D089C">
      <w:pPr>
        <w:spacing w:line="560" w:lineRule="exact"/>
        <w:ind w:left="420" w:leftChars="200" w:firstLine="480" w:firstLineChars="200"/>
        <w:rPr>
          <w:rFonts w:ascii="宋体"/>
          <w:sz w:val="24"/>
        </w:rPr>
      </w:pPr>
      <w:r>
        <w:rPr>
          <w:rFonts w:hint="eastAsia" w:ascii="宋体"/>
          <w:sz w:val="24"/>
        </w:rPr>
        <w:t>申请人应在绝缘图表格中明确各绝缘路径的名称、绝缘类型、基准电压、试验电压、电气间隙和爬电距离。</w:t>
      </w:r>
    </w:p>
    <w:p w14:paraId="41F9F382">
      <w:pPr>
        <w:pStyle w:val="22"/>
        <w:spacing w:before="0" w:after="0" w:line="520" w:lineRule="exact"/>
        <w:rPr>
          <w:rFonts w:hint="eastAsia" w:eastAsia="宋体"/>
          <w:lang w:eastAsia="zh-CN"/>
        </w:rPr>
      </w:pPr>
    </w:p>
    <w:p w14:paraId="2EE3508E">
      <w:pPr>
        <w:jc w:val="center"/>
        <w:rPr>
          <w:rFonts w:hint="eastAsia"/>
          <w:lang w:eastAsia="zh-CN"/>
        </w:rPr>
      </w:pPr>
    </w:p>
    <w:p w14:paraId="3D592C78">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850" w:h="16783"/>
      <w:pgMar w:top="1758" w:right="1531" w:bottom="1588" w:left="1531"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F587">
    <w:pPr>
      <w:pStyle w:val="13"/>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264">
    <w:pPr>
      <w:pStyle w:val="13"/>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 xml:space="preserve"> —</w:t>
    </w:r>
  </w:p>
  <w:p w14:paraId="1CF849E8">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88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E745B"/>
    <w:multiLevelType w:val="multilevel"/>
    <w:tmpl w:val="079E745B"/>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47A2EA5"/>
    <w:multiLevelType w:val="multilevel"/>
    <w:tmpl w:val="147A2EA5"/>
    <w:lvl w:ilvl="0" w:tentative="0">
      <w:start w:val="1"/>
      <w:numFmt w:val="decimal"/>
      <w:suff w:val="space"/>
      <w:lvlText w:val="(%1)"/>
      <w:lvlJc w:val="left"/>
      <w:pPr>
        <w:ind w:left="1060" w:hanging="420"/>
      </w:pPr>
      <w:rPr>
        <w:rFonts w:hint="eastAsia"/>
      </w:rPr>
    </w:lvl>
    <w:lvl w:ilvl="1" w:tentative="0">
      <w:start w:val="1"/>
      <w:numFmt w:val="decimal"/>
      <w:lvlText w:val="%2."/>
      <w:lvlJc w:val="left"/>
      <w:pPr>
        <w:ind w:left="1760" w:hanging="360"/>
      </w:pPr>
      <w:rPr>
        <w:rFonts w:hint="default"/>
      </w:r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2">
    <w:nsid w:val="15867511"/>
    <w:multiLevelType w:val="multilevel"/>
    <w:tmpl w:val="15867511"/>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5A76002"/>
    <w:multiLevelType w:val="multilevel"/>
    <w:tmpl w:val="15A7600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273BDC"/>
    <w:multiLevelType w:val="multilevel"/>
    <w:tmpl w:val="18273BD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1F63D0"/>
    <w:multiLevelType w:val="multilevel"/>
    <w:tmpl w:val="1D1F63D0"/>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6D60DF9"/>
    <w:multiLevelType w:val="multilevel"/>
    <w:tmpl w:val="26D60DF9"/>
    <w:lvl w:ilvl="0" w:tentative="0">
      <w:start w:val="1"/>
      <w:numFmt w:val="decimal"/>
      <w:suff w:val="nothing"/>
      <w:lvlText w:val="%1."/>
      <w:lvlJc w:val="left"/>
      <w:pPr>
        <w:ind w:left="975" w:hanging="975"/>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1D6FE8"/>
    <w:multiLevelType w:val="multilevel"/>
    <w:tmpl w:val="2D1D6FE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490C1C"/>
    <w:multiLevelType w:val="multilevel"/>
    <w:tmpl w:val="2D490C1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DAD0C8F"/>
    <w:multiLevelType w:val="multilevel"/>
    <w:tmpl w:val="2DAD0C8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3B1674"/>
    <w:multiLevelType w:val="multilevel"/>
    <w:tmpl w:val="303B1674"/>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BE0E6D"/>
    <w:multiLevelType w:val="multilevel"/>
    <w:tmpl w:val="31BE0E6D"/>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31D31AA2"/>
    <w:multiLevelType w:val="multilevel"/>
    <w:tmpl w:val="31D31AA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34DE5BF0"/>
    <w:multiLevelType w:val="multilevel"/>
    <w:tmpl w:val="34DE5BF0"/>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3C930565"/>
    <w:multiLevelType w:val="multilevel"/>
    <w:tmpl w:val="3C930565"/>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DA638BF"/>
    <w:multiLevelType w:val="multilevel"/>
    <w:tmpl w:val="3DA638BF"/>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3E753EB7"/>
    <w:multiLevelType w:val="multilevel"/>
    <w:tmpl w:val="3E753EB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7A414E7"/>
    <w:multiLevelType w:val="multilevel"/>
    <w:tmpl w:val="47A414E7"/>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15F74E6"/>
    <w:multiLevelType w:val="multilevel"/>
    <w:tmpl w:val="515F74E6"/>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530E0FDD"/>
    <w:multiLevelType w:val="multilevel"/>
    <w:tmpl w:val="530E0FDD"/>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3DC5A1B"/>
    <w:multiLevelType w:val="multilevel"/>
    <w:tmpl w:val="53DC5A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C39494C"/>
    <w:multiLevelType w:val="multilevel"/>
    <w:tmpl w:val="5C39494C"/>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75E35C66"/>
    <w:multiLevelType w:val="multilevel"/>
    <w:tmpl w:val="75E35C66"/>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3">
    <w:nsid w:val="7F22136A"/>
    <w:multiLevelType w:val="multilevel"/>
    <w:tmpl w:val="7F22136A"/>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0"/>
  </w:num>
  <w:num w:numId="2">
    <w:abstractNumId w:val="9"/>
  </w:num>
  <w:num w:numId="3">
    <w:abstractNumId w:val="22"/>
  </w:num>
  <w:num w:numId="4">
    <w:abstractNumId w:val="5"/>
  </w:num>
  <w:num w:numId="5">
    <w:abstractNumId w:val="18"/>
  </w:num>
  <w:num w:numId="6">
    <w:abstractNumId w:val="0"/>
  </w:num>
  <w:num w:numId="7">
    <w:abstractNumId w:val="11"/>
  </w:num>
  <w:num w:numId="8">
    <w:abstractNumId w:val="1"/>
  </w:num>
  <w:num w:numId="9">
    <w:abstractNumId w:val="23"/>
  </w:num>
  <w:num w:numId="10">
    <w:abstractNumId w:val="10"/>
  </w:num>
  <w:num w:numId="11">
    <w:abstractNumId w:val="7"/>
  </w:num>
  <w:num w:numId="12">
    <w:abstractNumId w:val="12"/>
  </w:num>
  <w:num w:numId="13">
    <w:abstractNumId w:val="13"/>
  </w:num>
  <w:num w:numId="14">
    <w:abstractNumId w:val="15"/>
  </w:num>
  <w:num w:numId="15">
    <w:abstractNumId w:val="14"/>
  </w:num>
  <w:num w:numId="16">
    <w:abstractNumId w:val="4"/>
  </w:num>
  <w:num w:numId="17">
    <w:abstractNumId w:val="16"/>
  </w:num>
  <w:num w:numId="18">
    <w:abstractNumId w:val="8"/>
  </w:num>
  <w:num w:numId="19">
    <w:abstractNumId w:val="17"/>
  </w:num>
  <w:num w:numId="20">
    <w:abstractNumId w:val="19"/>
  </w:num>
  <w:num w:numId="21">
    <w:abstractNumId w:val="6"/>
  </w:num>
  <w:num w:numId="22">
    <w:abstractNumId w:val="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C40FA"/>
    <w:rsid w:val="00000069"/>
    <w:rsid w:val="0000008C"/>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438"/>
    <w:rsid w:val="00003680"/>
    <w:rsid w:val="00003C46"/>
    <w:rsid w:val="00003D57"/>
    <w:rsid w:val="00004899"/>
    <w:rsid w:val="00004D83"/>
    <w:rsid w:val="00004D88"/>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97F"/>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7097"/>
    <w:rsid w:val="00037138"/>
    <w:rsid w:val="0003718B"/>
    <w:rsid w:val="00037725"/>
    <w:rsid w:val="00037C17"/>
    <w:rsid w:val="00037C98"/>
    <w:rsid w:val="00040416"/>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A26"/>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7FE7"/>
    <w:rsid w:val="0006076F"/>
    <w:rsid w:val="00060A3B"/>
    <w:rsid w:val="00060F12"/>
    <w:rsid w:val="000610F5"/>
    <w:rsid w:val="00061167"/>
    <w:rsid w:val="000611DC"/>
    <w:rsid w:val="0006188A"/>
    <w:rsid w:val="0006197B"/>
    <w:rsid w:val="000619DA"/>
    <w:rsid w:val="00061BE5"/>
    <w:rsid w:val="00061C59"/>
    <w:rsid w:val="00061F3C"/>
    <w:rsid w:val="000624B6"/>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22C"/>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21E7"/>
    <w:rsid w:val="00072BE2"/>
    <w:rsid w:val="00072E8F"/>
    <w:rsid w:val="00072ECE"/>
    <w:rsid w:val="00073808"/>
    <w:rsid w:val="00073EC4"/>
    <w:rsid w:val="0007402A"/>
    <w:rsid w:val="0007414D"/>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A20"/>
    <w:rsid w:val="00077B24"/>
    <w:rsid w:val="00077D85"/>
    <w:rsid w:val="00077F3A"/>
    <w:rsid w:val="0008063B"/>
    <w:rsid w:val="000812C4"/>
    <w:rsid w:val="000812CF"/>
    <w:rsid w:val="000813E4"/>
    <w:rsid w:val="000814A1"/>
    <w:rsid w:val="000815E5"/>
    <w:rsid w:val="000816A2"/>
    <w:rsid w:val="00081783"/>
    <w:rsid w:val="0008185B"/>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D01"/>
    <w:rsid w:val="00094F21"/>
    <w:rsid w:val="0009514B"/>
    <w:rsid w:val="00095282"/>
    <w:rsid w:val="000952AF"/>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952"/>
    <w:rsid w:val="000A0DBD"/>
    <w:rsid w:val="000A11B8"/>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D01"/>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118C"/>
    <w:rsid w:val="000D12D9"/>
    <w:rsid w:val="000D1B5B"/>
    <w:rsid w:val="000D1CB7"/>
    <w:rsid w:val="000D1E46"/>
    <w:rsid w:val="000D1F58"/>
    <w:rsid w:val="000D21CF"/>
    <w:rsid w:val="000D2228"/>
    <w:rsid w:val="000D28A2"/>
    <w:rsid w:val="000D2B9B"/>
    <w:rsid w:val="000D2F95"/>
    <w:rsid w:val="000D3134"/>
    <w:rsid w:val="000D323E"/>
    <w:rsid w:val="000D347F"/>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E0072"/>
    <w:rsid w:val="000E0213"/>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9AE"/>
    <w:rsid w:val="00115C04"/>
    <w:rsid w:val="00115CB2"/>
    <w:rsid w:val="00115CF2"/>
    <w:rsid w:val="001162CD"/>
    <w:rsid w:val="00116393"/>
    <w:rsid w:val="001168C1"/>
    <w:rsid w:val="001168DF"/>
    <w:rsid w:val="001172A7"/>
    <w:rsid w:val="001173A9"/>
    <w:rsid w:val="0011795D"/>
    <w:rsid w:val="001179ED"/>
    <w:rsid w:val="00117FA7"/>
    <w:rsid w:val="0012096D"/>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410"/>
    <w:rsid w:val="00143414"/>
    <w:rsid w:val="00143CE3"/>
    <w:rsid w:val="00143D52"/>
    <w:rsid w:val="00143F6E"/>
    <w:rsid w:val="0014431B"/>
    <w:rsid w:val="0014439B"/>
    <w:rsid w:val="001448EF"/>
    <w:rsid w:val="00144AEF"/>
    <w:rsid w:val="00144CDC"/>
    <w:rsid w:val="00144E4A"/>
    <w:rsid w:val="00144EA3"/>
    <w:rsid w:val="00145345"/>
    <w:rsid w:val="0014545D"/>
    <w:rsid w:val="00145477"/>
    <w:rsid w:val="0014561C"/>
    <w:rsid w:val="001457F2"/>
    <w:rsid w:val="00145867"/>
    <w:rsid w:val="001459ED"/>
    <w:rsid w:val="00146089"/>
    <w:rsid w:val="00146857"/>
    <w:rsid w:val="00146928"/>
    <w:rsid w:val="00146B65"/>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F63"/>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821"/>
    <w:rsid w:val="00184A8A"/>
    <w:rsid w:val="00184A92"/>
    <w:rsid w:val="00184C60"/>
    <w:rsid w:val="001851ED"/>
    <w:rsid w:val="001853EA"/>
    <w:rsid w:val="00185D81"/>
    <w:rsid w:val="00185FA9"/>
    <w:rsid w:val="00185FF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B0F"/>
    <w:rsid w:val="00192F7A"/>
    <w:rsid w:val="00192FA4"/>
    <w:rsid w:val="001934E9"/>
    <w:rsid w:val="00193626"/>
    <w:rsid w:val="00193FE8"/>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92F"/>
    <w:rsid w:val="001C1A5E"/>
    <w:rsid w:val="001C1C82"/>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B8"/>
    <w:rsid w:val="001C6682"/>
    <w:rsid w:val="001C7509"/>
    <w:rsid w:val="001C75B9"/>
    <w:rsid w:val="001C7A55"/>
    <w:rsid w:val="001C7FAA"/>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6AA"/>
    <w:rsid w:val="001F17C7"/>
    <w:rsid w:val="001F17E3"/>
    <w:rsid w:val="001F18C3"/>
    <w:rsid w:val="001F1B96"/>
    <w:rsid w:val="001F1C81"/>
    <w:rsid w:val="001F1D6A"/>
    <w:rsid w:val="001F1F4A"/>
    <w:rsid w:val="001F202B"/>
    <w:rsid w:val="001F234C"/>
    <w:rsid w:val="001F27D6"/>
    <w:rsid w:val="001F30A3"/>
    <w:rsid w:val="001F3258"/>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D04"/>
    <w:rsid w:val="00207D31"/>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86D"/>
    <w:rsid w:val="002378A3"/>
    <w:rsid w:val="002379D2"/>
    <w:rsid w:val="00237A6F"/>
    <w:rsid w:val="00237E91"/>
    <w:rsid w:val="00240490"/>
    <w:rsid w:val="00240A59"/>
    <w:rsid w:val="0024114D"/>
    <w:rsid w:val="0024132B"/>
    <w:rsid w:val="0024154D"/>
    <w:rsid w:val="00241717"/>
    <w:rsid w:val="00242759"/>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E48"/>
    <w:rsid w:val="002520F2"/>
    <w:rsid w:val="00252B13"/>
    <w:rsid w:val="00252BEC"/>
    <w:rsid w:val="00252E4B"/>
    <w:rsid w:val="00252E9A"/>
    <w:rsid w:val="00253305"/>
    <w:rsid w:val="002533F2"/>
    <w:rsid w:val="0025346F"/>
    <w:rsid w:val="00253D88"/>
    <w:rsid w:val="00253DDA"/>
    <w:rsid w:val="0025416F"/>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712A"/>
    <w:rsid w:val="0025759A"/>
    <w:rsid w:val="002577FB"/>
    <w:rsid w:val="002579FF"/>
    <w:rsid w:val="0026033C"/>
    <w:rsid w:val="00260596"/>
    <w:rsid w:val="00260824"/>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E6"/>
    <w:rsid w:val="00271700"/>
    <w:rsid w:val="00271926"/>
    <w:rsid w:val="00271AA9"/>
    <w:rsid w:val="00271B3D"/>
    <w:rsid w:val="00271D96"/>
    <w:rsid w:val="00271F74"/>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5346"/>
    <w:rsid w:val="00275492"/>
    <w:rsid w:val="002755B2"/>
    <w:rsid w:val="002756F6"/>
    <w:rsid w:val="0027599E"/>
    <w:rsid w:val="00275D7D"/>
    <w:rsid w:val="00275FF2"/>
    <w:rsid w:val="00276258"/>
    <w:rsid w:val="00276C2A"/>
    <w:rsid w:val="00276D8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279"/>
    <w:rsid w:val="002A144A"/>
    <w:rsid w:val="002A207E"/>
    <w:rsid w:val="002A2603"/>
    <w:rsid w:val="002A27AA"/>
    <w:rsid w:val="002A28C6"/>
    <w:rsid w:val="002A2988"/>
    <w:rsid w:val="002A29DB"/>
    <w:rsid w:val="002A2CE7"/>
    <w:rsid w:val="002A31B5"/>
    <w:rsid w:val="002A3447"/>
    <w:rsid w:val="002A3999"/>
    <w:rsid w:val="002A3A85"/>
    <w:rsid w:val="002A3B22"/>
    <w:rsid w:val="002A3CD9"/>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C8"/>
    <w:rsid w:val="002B3D62"/>
    <w:rsid w:val="002B3D86"/>
    <w:rsid w:val="002B3F13"/>
    <w:rsid w:val="002B4145"/>
    <w:rsid w:val="002B4529"/>
    <w:rsid w:val="002B46DF"/>
    <w:rsid w:val="002B48D2"/>
    <w:rsid w:val="002B564D"/>
    <w:rsid w:val="002B56CE"/>
    <w:rsid w:val="002B5817"/>
    <w:rsid w:val="002B5D66"/>
    <w:rsid w:val="002B5D6E"/>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5C5"/>
    <w:rsid w:val="002C0671"/>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359"/>
    <w:rsid w:val="002C7436"/>
    <w:rsid w:val="002C75D1"/>
    <w:rsid w:val="002C77FF"/>
    <w:rsid w:val="002C794A"/>
    <w:rsid w:val="002C7BCB"/>
    <w:rsid w:val="002D08C4"/>
    <w:rsid w:val="002D0F82"/>
    <w:rsid w:val="002D1045"/>
    <w:rsid w:val="002D1351"/>
    <w:rsid w:val="002D1873"/>
    <w:rsid w:val="002D19F9"/>
    <w:rsid w:val="002D1AE1"/>
    <w:rsid w:val="002D1E4B"/>
    <w:rsid w:val="002D2092"/>
    <w:rsid w:val="002D21A3"/>
    <w:rsid w:val="002D23C5"/>
    <w:rsid w:val="002D2C10"/>
    <w:rsid w:val="002D30A0"/>
    <w:rsid w:val="002D365A"/>
    <w:rsid w:val="002D3738"/>
    <w:rsid w:val="002D3AB7"/>
    <w:rsid w:val="002D3E93"/>
    <w:rsid w:val="002D3FA7"/>
    <w:rsid w:val="002D4574"/>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C67"/>
    <w:rsid w:val="002F7C91"/>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FF8"/>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1CB"/>
    <w:rsid w:val="00322435"/>
    <w:rsid w:val="00322772"/>
    <w:rsid w:val="003227A4"/>
    <w:rsid w:val="00322E77"/>
    <w:rsid w:val="00322EA4"/>
    <w:rsid w:val="003235BF"/>
    <w:rsid w:val="00323665"/>
    <w:rsid w:val="00323887"/>
    <w:rsid w:val="00323B4C"/>
    <w:rsid w:val="00323C93"/>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607"/>
    <w:rsid w:val="00341EA1"/>
    <w:rsid w:val="003424D6"/>
    <w:rsid w:val="00342535"/>
    <w:rsid w:val="00342582"/>
    <w:rsid w:val="0034259E"/>
    <w:rsid w:val="00342B6F"/>
    <w:rsid w:val="00342D08"/>
    <w:rsid w:val="00342DC9"/>
    <w:rsid w:val="00342F63"/>
    <w:rsid w:val="00343688"/>
    <w:rsid w:val="0034379A"/>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75F"/>
    <w:rsid w:val="003539DE"/>
    <w:rsid w:val="00353F93"/>
    <w:rsid w:val="003540FC"/>
    <w:rsid w:val="00354DD8"/>
    <w:rsid w:val="0035505D"/>
    <w:rsid w:val="0035545A"/>
    <w:rsid w:val="00355670"/>
    <w:rsid w:val="00355891"/>
    <w:rsid w:val="00355B20"/>
    <w:rsid w:val="00355F16"/>
    <w:rsid w:val="00355FDC"/>
    <w:rsid w:val="0035600E"/>
    <w:rsid w:val="003563E0"/>
    <w:rsid w:val="00356583"/>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37F"/>
    <w:rsid w:val="00364490"/>
    <w:rsid w:val="00364E3E"/>
    <w:rsid w:val="00364EDD"/>
    <w:rsid w:val="00364EEE"/>
    <w:rsid w:val="00364F43"/>
    <w:rsid w:val="0036506C"/>
    <w:rsid w:val="0036544B"/>
    <w:rsid w:val="00365494"/>
    <w:rsid w:val="003656E1"/>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90"/>
    <w:rsid w:val="00381F2A"/>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7A"/>
    <w:rsid w:val="003965FF"/>
    <w:rsid w:val="00396B2B"/>
    <w:rsid w:val="00396CA8"/>
    <w:rsid w:val="003970E1"/>
    <w:rsid w:val="003971AA"/>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E7D"/>
    <w:rsid w:val="003A513E"/>
    <w:rsid w:val="003A5267"/>
    <w:rsid w:val="003A5346"/>
    <w:rsid w:val="003A5BAF"/>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A42"/>
    <w:rsid w:val="003B2C5B"/>
    <w:rsid w:val="003B2DD8"/>
    <w:rsid w:val="003B2E55"/>
    <w:rsid w:val="003B2EEB"/>
    <w:rsid w:val="003B31F0"/>
    <w:rsid w:val="003B356D"/>
    <w:rsid w:val="003B3570"/>
    <w:rsid w:val="003B365F"/>
    <w:rsid w:val="003B398B"/>
    <w:rsid w:val="003B3A74"/>
    <w:rsid w:val="003B412E"/>
    <w:rsid w:val="003B41F5"/>
    <w:rsid w:val="003B44CF"/>
    <w:rsid w:val="003B4550"/>
    <w:rsid w:val="003B4E53"/>
    <w:rsid w:val="003B5428"/>
    <w:rsid w:val="003B5725"/>
    <w:rsid w:val="003B58BF"/>
    <w:rsid w:val="003B5917"/>
    <w:rsid w:val="003B59A1"/>
    <w:rsid w:val="003B5A0C"/>
    <w:rsid w:val="003B5A9B"/>
    <w:rsid w:val="003B5F20"/>
    <w:rsid w:val="003B638E"/>
    <w:rsid w:val="003B6550"/>
    <w:rsid w:val="003B6F52"/>
    <w:rsid w:val="003B7520"/>
    <w:rsid w:val="003B7887"/>
    <w:rsid w:val="003B7A11"/>
    <w:rsid w:val="003B7AA9"/>
    <w:rsid w:val="003B7C84"/>
    <w:rsid w:val="003B7DEB"/>
    <w:rsid w:val="003B7F01"/>
    <w:rsid w:val="003B7F5C"/>
    <w:rsid w:val="003B7FAE"/>
    <w:rsid w:val="003C064C"/>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86"/>
    <w:rsid w:val="003D6B71"/>
    <w:rsid w:val="003D6C05"/>
    <w:rsid w:val="003D6F5A"/>
    <w:rsid w:val="003D75B4"/>
    <w:rsid w:val="003D7641"/>
    <w:rsid w:val="003D7660"/>
    <w:rsid w:val="003D7B5A"/>
    <w:rsid w:val="003D7B9F"/>
    <w:rsid w:val="003D7CEE"/>
    <w:rsid w:val="003D7F28"/>
    <w:rsid w:val="003E0272"/>
    <w:rsid w:val="003E06CC"/>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1063"/>
    <w:rsid w:val="003F12A9"/>
    <w:rsid w:val="003F158C"/>
    <w:rsid w:val="003F17C0"/>
    <w:rsid w:val="003F1A02"/>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708D"/>
    <w:rsid w:val="004074D6"/>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50B"/>
    <w:rsid w:val="00483882"/>
    <w:rsid w:val="00483C47"/>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DAB"/>
    <w:rsid w:val="0049564F"/>
    <w:rsid w:val="00495BD7"/>
    <w:rsid w:val="00495C15"/>
    <w:rsid w:val="00495DC1"/>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6F1"/>
    <w:rsid w:val="00497739"/>
    <w:rsid w:val="0049783D"/>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C06"/>
    <w:rsid w:val="004C7C9A"/>
    <w:rsid w:val="004D0201"/>
    <w:rsid w:val="004D02C9"/>
    <w:rsid w:val="004D0D8B"/>
    <w:rsid w:val="004D106C"/>
    <w:rsid w:val="004D10BA"/>
    <w:rsid w:val="004D13BE"/>
    <w:rsid w:val="004D1405"/>
    <w:rsid w:val="004D14FD"/>
    <w:rsid w:val="004D188A"/>
    <w:rsid w:val="004D2402"/>
    <w:rsid w:val="004D24FA"/>
    <w:rsid w:val="004D26A6"/>
    <w:rsid w:val="004D2BE2"/>
    <w:rsid w:val="004D2CDD"/>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4A3"/>
    <w:rsid w:val="004E0E24"/>
    <w:rsid w:val="004E0EDF"/>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286"/>
    <w:rsid w:val="004E5327"/>
    <w:rsid w:val="004E544D"/>
    <w:rsid w:val="004E558C"/>
    <w:rsid w:val="004E5CD5"/>
    <w:rsid w:val="004E66A2"/>
    <w:rsid w:val="004E6A34"/>
    <w:rsid w:val="004E6E83"/>
    <w:rsid w:val="004E75A4"/>
    <w:rsid w:val="004E7669"/>
    <w:rsid w:val="004E7797"/>
    <w:rsid w:val="004E7850"/>
    <w:rsid w:val="004E7936"/>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FB"/>
    <w:rsid w:val="004F3B0B"/>
    <w:rsid w:val="004F3FFC"/>
    <w:rsid w:val="004F419F"/>
    <w:rsid w:val="004F4ED8"/>
    <w:rsid w:val="004F4F3F"/>
    <w:rsid w:val="004F51E5"/>
    <w:rsid w:val="004F5B11"/>
    <w:rsid w:val="004F5F95"/>
    <w:rsid w:val="004F6078"/>
    <w:rsid w:val="004F632A"/>
    <w:rsid w:val="004F6383"/>
    <w:rsid w:val="004F655A"/>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E0E"/>
    <w:rsid w:val="00505EAD"/>
    <w:rsid w:val="005065FC"/>
    <w:rsid w:val="00506CB8"/>
    <w:rsid w:val="00506F09"/>
    <w:rsid w:val="00506FD0"/>
    <w:rsid w:val="005070B3"/>
    <w:rsid w:val="005070BF"/>
    <w:rsid w:val="005071DF"/>
    <w:rsid w:val="00507274"/>
    <w:rsid w:val="00507493"/>
    <w:rsid w:val="0050771D"/>
    <w:rsid w:val="00507E5F"/>
    <w:rsid w:val="00507FA4"/>
    <w:rsid w:val="00510199"/>
    <w:rsid w:val="0051025F"/>
    <w:rsid w:val="00510678"/>
    <w:rsid w:val="00510729"/>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5212"/>
    <w:rsid w:val="005252B0"/>
    <w:rsid w:val="0052586B"/>
    <w:rsid w:val="00525C17"/>
    <w:rsid w:val="00525D27"/>
    <w:rsid w:val="005263DC"/>
    <w:rsid w:val="005266AB"/>
    <w:rsid w:val="0052689E"/>
    <w:rsid w:val="0052697D"/>
    <w:rsid w:val="00526AB4"/>
    <w:rsid w:val="00526ACE"/>
    <w:rsid w:val="00526C4B"/>
    <w:rsid w:val="005277D6"/>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24D"/>
    <w:rsid w:val="005471D5"/>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56"/>
    <w:rsid w:val="00563ACC"/>
    <w:rsid w:val="00563EFC"/>
    <w:rsid w:val="005644EF"/>
    <w:rsid w:val="0056483F"/>
    <w:rsid w:val="00564AB1"/>
    <w:rsid w:val="00564D38"/>
    <w:rsid w:val="00564D51"/>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A7"/>
    <w:rsid w:val="005934C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6B"/>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6148"/>
    <w:rsid w:val="005A6388"/>
    <w:rsid w:val="005A6680"/>
    <w:rsid w:val="005A67D2"/>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D54"/>
    <w:rsid w:val="005B2E86"/>
    <w:rsid w:val="005B2F9C"/>
    <w:rsid w:val="005B34A0"/>
    <w:rsid w:val="005B34A1"/>
    <w:rsid w:val="005B3899"/>
    <w:rsid w:val="005B3971"/>
    <w:rsid w:val="005B3EF5"/>
    <w:rsid w:val="005B3F52"/>
    <w:rsid w:val="005B42D3"/>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61E6"/>
    <w:rsid w:val="005B6724"/>
    <w:rsid w:val="005B6740"/>
    <w:rsid w:val="005B6963"/>
    <w:rsid w:val="005B6AD4"/>
    <w:rsid w:val="005B6D91"/>
    <w:rsid w:val="005B6EF2"/>
    <w:rsid w:val="005B6F84"/>
    <w:rsid w:val="005B7622"/>
    <w:rsid w:val="005B7A0F"/>
    <w:rsid w:val="005B7A8A"/>
    <w:rsid w:val="005C09B4"/>
    <w:rsid w:val="005C1155"/>
    <w:rsid w:val="005C1349"/>
    <w:rsid w:val="005C1428"/>
    <w:rsid w:val="005C16BE"/>
    <w:rsid w:val="005C1F7A"/>
    <w:rsid w:val="005C217D"/>
    <w:rsid w:val="005C22A9"/>
    <w:rsid w:val="005C25B8"/>
    <w:rsid w:val="005C2BB7"/>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DB2"/>
    <w:rsid w:val="005D100A"/>
    <w:rsid w:val="005D14FF"/>
    <w:rsid w:val="005D1AD5"/>
    <w:rsid w:val="005D1FB7"/>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E"/>
    <w:rsid w:val="005D7401"/>
    <w:rsid w:val="005D7622"/>
    <w:rsid w:val="005D788E"/>
    <w:rsid w:val="005E03D9"/>
    <w:rsid w:val="005E050B"/>
    <w:rsid w:val="005E06F1"/>
    <w:rsid w:val="005E0A2A"/>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A47"/>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F7"/>
    <w:rsid w:val="005F78FF"/>
    <w:rsid w:val="005F797B"/>
    <w:rsid w:val="005F7F09"/>
    <w:rsid w:val="006002D0"/>
    <w:rsid w:val="006004DD"/>
    <w:rsid w:val="006004FE"/>
    <w:rsid w:val="00600619"/>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8B"/>
    <w:rsid w:val="00603C44"/>
    <w:rsid w:val="00603D2C"/>
    <w:rsid w:val="00603DF7"/>
    <w:rsid w:val="0060404E"/>
    <w:rsid w:val="006041E6"/>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CE9"/>
    <w:rsid w:val="0061021D"/>
    <w:rsid w:val="00610603"/>
    <w:rsid w:val="0061085A"/>
    <w:rsid w:val="0061090D"/>
    <w:rsid w:val="00610970"/>
    <w:rsid w:val="00610A94"/>
    <w:rsid w:val="00610A98"/>
    <w:rsid w:val="00610E53"/>
    <w:rsid w:val="006111EF"/>
    <w:rsid w:val="006114E3"/>
    <w:rsid w:val="006117F6"/>
    <w:rsid w:val="00611AAA"/>
    <w:rsid w:val="00611C78"/>
    <w:rsid w:val="00612015"/>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F12"/>
    <w:rsid w:val="00617541"/>
    <w:rsid w:val="006179AF"/>
    <w:rsid w:val="00617A04"/>
    <w:rsid w:val="00617BBB"/>
    <w:rsid w:val="00617C28"/>
    <w:rsid w:val="00617DC0"/>
    <w:rsid w:val="00617DD9"/>
    <w:rsid w:val="00617E7B"/>
    <w:rsid w:val="00617EE7"/>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582"/>
    <w:rsid w:val="00622BB7"/>
    <w:rsid w:val="00622CFE"/>
    <w:rsid w:val="0062306C"/>
    <w:rsid w:val="0062319A"/>
    <w:rsid w:val="006231FE"/>
    <w:rsid w:val="006233DE"/>
    <w:rsid w:val="00623DDD"/>
    <w:rsid w:val="00623ED6"/>
    <w:rsid w:val="006242DE"/>
    <w:rsid w:val="006244C5"/>
    <w:rsid w:val="00624638"/>
    <w:rsid w:val="006246E3"/>
    <w:rsid w:val="00624A70"/>
    <w:rsid w:val="00624B38"/>
    <w:rsid w:val="00624D61"/>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FB1"/>
    <w:rsid w:val="00647FEC"/>
    <w:rsid w:val="006506BA"/>
    <w:rsid w:val="0065079A"/>
    <w:rsid w:val="006509FA"/>
    <w:rsid w:val="00650C63"/>
    <w:rsid w:val="0065107E"/>
    <w:rsid w:val="0065112E"/>
    <w:rsid w:val="00651324"/>
    <w:rsid w:val="006516C9"/>
    <w:rsid w:val="006516D7"/>
    <w:rsid w:val="006518D3"/>
    <w:rsid w:val="00651B59"/>
    <w:rsid w:val="00651D8A"/>
    <w:rsid w:val="00651E0F"/>
    <w:rsid w:val="006521B7"/>
    <w:rsid w:val="00652406"/>
    <w:rsid w:val="0065296E"/>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D74"/>
    <w:rsid w:val="00663E25"/>
    <w:rsid w:val="0066412F"/>
    <w:rsid w:val="00664166"/>
    <w:rsid w:val="0066429C"/>
    <w:rsid w:val="0066456A"/>
    <w:rsid w:val="006647FE"/>
    <w:rsid w:val="006648C0"/>
    <w:rsid w:val="006648C4"/>
    <w:rsid w:val="00664FF1"/>
    <w:rsid w:val="00665027"/>
    <w:rsid w:val="0066504F"/>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AF3"/>
    <w:rsid w:val="00676BE8"/>
    <w:rsid w:val="00676C39"/>
    <w:rsid w:val="00676E01"/>
    <w:rsid w:val="00676E66"/>
    <w:rsid w:val="006771BD"/>
    <w:rsid w:val="006774BB"/>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11B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506"/>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A92"/>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2A0"/>
    <w:rsid w:val="006D676C"/>
    <w:rsid w:val="006D6D1C"/>
    <w:rsid w:val="006D71BA"/>
    <w:rsid w:val="006D725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10F6"/>
    <w:rsid w:val="006F132D"/>
    <w:rsid w:val="006F18A5"/>
    <w:rsid w:val="006F1D2F"/>
    <w:rsid w:val="006F23B2"/>
    <w:rsid w:val="006F323E"/>
    <w:rsid w:val="006F35D6"/>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CA"/>
    <w:rsid w:val="007010A5"/>
    <w:rsid w:val="007011E9"/>
    <w:rsid w:val="00701583"/>
    <w:rsid w:val="00702378"/>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D4E"/>
    <w:rsid w:val="00710426"/>
    <w:rsid w:val="00710B12"/>
    <w:rsid w:val="00710BBC"/>
    <w:rsid w:val="00710E45"/>
    <w:rsid w:val="007112F4"/>
    <w:rsid w:val="00711B03"/>
    <w:rsid w:val="00712288"/>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490"/>
    <w:rsid w:val="0073276F"/>
    <w:rsid w:val="00732771"/>
    <w:rsid w:val="0073309B"/>
    <w:rsid w:val="00733152"/>
    <w:rsid w:val="007331DC"/>
    <w:rsid w:val="00733BD5"/>
    <w:rsid w:val="00733D47"/>
    <w:rsid w:val="00733EC7"/>
    <w:rsid w:val="00733F71"/>
    <w:rsid w:val="007341B4"/>
    <w:rsid w:val="0073440F"/>
    <w:rsid w:val="007344A0"/>
    <w:rsid w:val="007345A6"/>
    <w:rsid w:val="007346CC"/>
    <w:rsid w:val="00734953"/>
    <w:rsid w:val="0073499A"/>
    <w:rsid w:val="00734B37"/>
    <w:rsid w:val="007350F6"/>
    <w:rsid w:val="007351BA"/>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31A"/>
    <w:rsid w:val="0074542B"/>
    <w:rsid w:val="00745707"/>
    <w:rsid w:val="007457C7"/>
    <w:rsid w:val="0074595E"/>
    <w:rsid w:val="00745A3E"/>
    <w:rsid w:val="00745BD0"/>
    <w:rsid w:val="00745EAA"/>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F96"/>
    <w:rsid w:val="00772121"/>
    <w:rsid w:val="00772212"/>
    <w:rsid w:val="007723B7"/>
    <w:rsid w:val="00772596"/>
    <w:rsid w:val="0077298D"/>
    <w:rsid w:val="00772C05"/>
    <w:rsid w:val="00772C40"/>
    <w:rsid w:val="00773092"/>
    <w:rsid w:val="00773AD5"/>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1022"/>
    <w:rsid w:val="00791190"/>
    <w:rsid w:val="00791457"/>
    <w:rsid w:val="007914EA"/>
    <w:rsid w:val="0079220D"/>
    <w:rsid w:val="0079223A"/>
    <w:rsid w:val="0079283A"/>
    <w:rsid w:val="00792938"/>
    <w:rsid w:val="007929B6"/>
    <w:rsid w:val="00792EF8"/>
    <w:rsid w:val="00793109"/>
    <w:rsid w:val="0079345D"/>
    <w:rsid w:val="007935B5"/>
    <w:rsid w:val="00793A5E"/>
    <w:rsid w:val="00793B01"/>
    <w:rsid w:val="00793F96"/>
    <w:rsid w:val="007940F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53"/>
    <w:rsid w:val="00797E80"/>
    <w:rsid w:val="00797F7E"/>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4DB"/>
    <w:rsid w:val="007A28B5"/>
    <w:rsid w:val="007A28E5"/>
    <w:rsid w:val="007A3049"/>
    <w:rsid w:val="007A30A3"/>
    <w:rsid w:val="007A33BB"/>
    <w:rsid w:val="007A354B"/>
    <w:rsid w:val="007A3636"/>
    <w:rsid w:val="007A37F7"/>
    <w:rsid w:val="007A3839"/>
    <w:rsid w:val="007A3CDD"/>
    <w:rsid w:val="007A3F64"/>
    <w:rsid w:val="007A3FCC"/>
    <w:rsid w:val="007A40DC"/>
    <w:rsid w:val="007A4255"/>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C0032"/>
    <w:rsid w:val="007C0714"/>
    <w:rsid w:val="007C0A32"/>
    <w:rsid w:val="007C11D7"/>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D2B"/>
    <w:rsid w:val="00802E19"/>
    <w:rsid w:val="00802FF6"/>
    <w:rsid w:val="0080331D"/>
    <w:rsid w:val="00803D9C"/>
    <w:rsid w:val="00803EF4"/>
    <w:rsid w:val="00803FF7"/>
    <w:rsid w:val="008040BC"/>
    <w:rsid w:val="00804A0D"/>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A16"/>
    <w:rsid w:val="00820B13"/>
    <w:rsid w:val="008213E0"/>
    <w:rsid w:val="008218E0"/>
    <w:rsid w:val="00821C64"/>
    <w:rsid w:val="00821D94"/>
    <w:rsid w:val="00822384"/>
    <w:rsid w:val="008224D2"/>
    <w:rsid w:val="008224E8"/>
    <w:rsid w:val="008226A7"/>
    <w:rsid w:val="00822783"/>
    <w:rsid w:val="00822A9E"/>
    <w:rsid w:val="00822D16"/>
    <w:rsid w:val="008243A0"/>
    <w:rsid w:val="0082440E"/>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D6D"/>
    <w:rsid w:val="0083722E"/>
    <w:rsid w:val="0083756A"/>
    <w:rsid w:val="0083767C"/>
    <w:rsid w:val="00837686"/>
    <w:rsid w:val="00837915"/>
    <w:rsid w:val="00837934"/>
    <w:rsid w:val="00837CD6"/>
    <w:rsid w:val="00837DCC"/>
    <w:rsid w:val="008404A3"/>
    <w:rsid w:val="008404AF"/>
    <w:rsid w:val="008404EE"/>
    <w:rsid w:val="00840748"/>
    <w:rsid w:val="00840EA4"/>
    <w:rsid w:val="00840EDC"/>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ECD"/>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D53"/>
    <w:rsid w:val="008A2E6F"/>
    <w:rsid w:val="008A3070"/>
    <w:rsid w:val="008A394F"/>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4C8"/>
    <w:rsid w:val="008A7637"/>
    <w:rsid w:val="008A7918"/>
    <w:rsid w:val="008A7C62"/>
    <w:rsid w:val="008A7CBF"/>
    <w:rsid w:val="008B0032"/>
    <w:rsid w:val="008B0215"/>
    <w:rsid w:val="008B0370"/>
    <w:rsid w:val="008B04E4"/>
    <w:rsid w:val="008B06B0"/>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3391"/>
    <w:rsid w:val="008B36B4"/>
    <w:rsid w:val="008B3971"/>
    <w:rsid w:val="008B3B18"/>
    <w:rsid w:val="008B3C53"/>
    <w:rsid w:val="008B4057"/>
    <w:rsid w:val="008B42F6"/>
    <w:rsid w:val="008B44B2"/>
    <w:rsid w:val="008B4A3D"/>
    <w:rsid w:val="008B5380"/>
    <w:rsid w:val="008B5AA3"/>
    <w:rsid w:val="008B5B47"/>
    <w:rsid w:val="008B5C5E"/>
    <w:rsid w:val="008B5CDD"/>
    <w:rsid w:val="008B611B"/>
    <w:rsid w:val="008B68F6"/>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8B"/>
    <w:rsid w:val="008F0165"/>
    <w:rsid w:val="008F03EA"/>
    <w:rsid w:val="008F05D5"/>
    <w:rsid w:val="008F0ABD"/>
    <w:rsid w:val="008F0B8D"/>
    <w:rsid w:val="008F0BBC"/>
    <w:rsid w:val="008F1692"/>
    <w:rsid w:val="008F175E"/>
    <w:rsid w:val="008F18A8"/>
    <w:rsid w:val="008F194B"/>
    <w:rsid w:val="008F19E3"/>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397"/>
    <w:rsid w:val="008F66DC"/>
    <w:rsid w:val="008F6A83"/>
    <w:rsid w:val="008F70C6"/>
    <w:rsid w:val="008F7189"/>
    <w:rsid w:val="008F7516"/>
    <w:rsid w:val="008F788F"/>
    <w:rsid w:val="00900204"/>
    <w:rsid w:val="00900402"/>
    <w:rsid w:val="0090073C"/>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FA"/>
    <w:rsid w:val="009108AA"/>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3C9"/>
    <w:rsid w:val="009164E4"/>
    <w:rsid w:val="00916676"/>
    <w:rsid w:val="009169C5"/>
    <w:rsid w:val="009171F2"/>
    <w:rsid w:val="009172D5"/>
    <w:rsid w:val="009173BC"/>
    <w:rsid w:val="00917806"/>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C22"/>
    <w:rsid w:val="00926D0A"/>
    <w:rsid w:val="00926D44"/>
    <w:rsid w:val="00926E4E"/>
    <w:rsid w:val="00926F98"/>
    <w:rsid w:val="00927049"/>
    <w:rsid w:val="0092734E"/>
    <w:rsid w:val="0092757B"/>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FFA"/>
    <w:rsid w:val="009525A0"/>
    <w:rsid w:val="00952780"/>
    <w:rsid w:val="00952949"/>
    <w:rsid w:val="00952A30"/>
    <w:rsid w:val="00952DFE"/>
    <w:rsid w:val="009531ED"/>
    <w:rsid w:val="00953428"/>
    <w:rsid w:val="009536D3"/>
    <w:rsid w:val="00953822"/>
    <w:rsid w:val="009538B4"/>
    <w:rsid w:val="00953990"/>
    <w:rsid w:val="009544BA"/>
    <w:rsid w:val="00954651"/>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D6"/>
    <w:rsid w:val="009952EB"/>
    <w:rsid w:val="009959E1"/>
    <w:rsid w:val="00995A55"/>
    <w:rsid w:val="00995C7F"/>
    <w:rsid w:val="00995D9F"/>
    <w:rsid w:val="00996282"/>
    <w:rsid w:val="00996CDE"/>
    <w:rsid w:val="009972FC"/>
    <w:rsid w:val="00997414"/>
    <w:rsid w:val="009974F4"/>
    <w:rsid w:val="0099752A"/>
    <w:rsid w:val="009A05F0"/>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C1B"/>
    <w:rsid w:val="009A6D4B"/>
    <w:rsid w:val="009A6D77"/>
    <w:rsid w:val="009A6F45"/>
    <w:rsid w:val="009A7087"/>
    <w:rsid w:val="009A7147"/>
    <w:rsid w:val="009A7251"/>
    <w:rsid w:val="009A732A"/>
    <w:rsid w:val="009A734F"/>
    <w:rsid w:val="009B0004"/>
    <w:rsid w:val="009B012F"/>
    <w:rsid w:val="009B07F7"/>
    <w:rsid w:val="009B09FF"/>
    <w:rsid w:val="009B0DCB"/>
    <w:rsid w:val="009B0E01"/>
    <w:rsid w:val="009B0E36"/>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70E"/>
    <w:rsid w:val="009B5923"/>
    <w:rsid w:val="009B59FD"/>
    <w:rsid w:val="009B5AD0"/>
    <w:rsid w:val="009B5CC1"/>
    <w:rsid w:val="009B5CCB"/>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56C"/>
    <w:rsid w:val="009E25B6"/>
    <w:rsid w:val="009E28F3"/>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EC7"/>
    <w:rsid w:val="00A06117"/>
    <w:rsid w:val="00A062B0"/>
    <w:rsid w:val="00A066CD"/>
    <w:rsid w:val="00A06C34"/>
    <w:rsid w:val="00A06E58"/>
    <w:rsid w:val="00A07119"/>
    <w:rsid w:val="00A0717E"/>
    <w:rsid w:val="00A078E7"/>
    <w:rsid w:val="00A07943"/>
    <w:rsid w:val="00A07C34"/>
    <w:rsid w:val="00A1036A"/>
    <w:rsid w:val="00A104DB"/>
    <w:rsid w:val="00A10987"/>
    <w:rsid w:val="00A10BB4"/>
    <w:rsid w:val="00A10E56"/>
    <w:rsid w:val="00A11156"/>
    <w:rsid w:val="00A11695"/>
    <w:rsid w:val="00A116A4"/>
    <w:rsid w:val="00A11768"/>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6351"/>
    <w:rsid w:val="00A163C8"/>
    <w:rsid w:val="00A165AF"/>
    <w:rsid w:val="00A166B9"/>
    <w:rsid w:val="00A16FF0"/>
    <w:rsid w:val="00A17714"/>
    <w:rsid w:val="00A17735"/>
    <w:rsid w:val="00A17D29"/>
    <w:rsid w:val="00A17D92"/>
    <w:rsid w:val="00A17D9B"/>
    <w:rsid w:val="00A20095"/>
    <w:rsid w:val="00A204D4"/>
    <w:rsid w:val="00A20575"/>
    <w:rsid w:val="00A20B47"/>
    <w:rsid w:val="00A20BA9"/>
    <w:rsid w:val="00A21CCA"/>
    <w:rsid w:val="00A2202C"/>
    <w:rsid w:val="00A22403"/>
    <w:rsid w:val="00A224EE"/>
    <w:rsid w:val="00A22662"/>
    <w:rsid w:val="00A2274D"/>
    <w:rsid w:val="00A22A1B"/>
    <w:rsid w:val="00A22DF4"/>
    <w:rsid w:val="00A23258"/>
    <w:rsid w:val="00A23622"/>
    <w:rsid w:val="00A2388C"/>
    <w:rsid w:val="00A23C0F"/>
    <w:rsid w:val="00A23F31"/>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AEA"/>
    <w:rsid w:val="00A27FE1"/>
    <w:rsid w:val="00A30246"/>
    <w:rsid w:val="00A3129B"/>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132"/>
    <w:rsid w:val="00A471D5"/>
    <w:rsid w:val="00A473C1"/>
    <w:rsid w:val="00A4757C"/>
    <w:rsid w:val="00A47914"/>
    <w:rsid w:val="00A47A59"/>
    <w:rsid w:val="00A47CDC"/>
    <w:rsid w:val="00A47E10"/>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D51"/>
    <w:rsid w:val="00A63EE1"/>
    <w:rsid w:val="00A6403B"/>
    <w:rsid w:val="00A646D2"/>
    <w:rsid w:val="00A64A53"/>
    <w:rsid w:val="00A64ADE"/>
    <w:rsid w:val="00A65557"/>
    <w:rsid w:val="00A655E8"/>
    <w:rsid w:val="00A65836"/>
    <w:rsid w:val="00A65BA7"/>
    <w:rsid w:val="00A6644F"/>
    <w:rsid w:val="00A66742"/>
    <w:rsid w:val="00A66781"/>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39"/>
    <w:rsid w:val="00A80D8E"/>
    <w:rsid w:val="00A80E04"/>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B3"/>
    <w:rsid w:val="00A83A28"/>
    <w:rsid w:val="00A83AA9"/>
    <w:rsid w:val="00A83E89"/>
    <w:rsid w:val="00A83F46"/>
    <w:rsid w:val="00A83F91"/>
    <w:rsid w:val="00A84068"/>
    <w:rsid w:val="00A84115"/>
    <w:rsid w:val="00A84563"/>
    <w:rsid w:val="00A846E9"/>
    <w:rsid w:val="00A84CCF"/>
    <w:rsid w:val="00A84EC4"/>
    <w:rsid w:val="00A85121"/>
    <w:rsid w:val="00A8520F"/>
    <w:rsid w:val="00A85229"/>
    <w:rsid w:val="00A8524D"/>
    <w:rsid w:val="00A8546F"/>
    <w:rsid w:val="00A857DC"/>
    <w:rsid w:val="00A85910"/>
    <w:rsid w:val="00A86188"/>
    <w:rsid w:val="00A86D0C"/>
    <w:rsid w:val="00A87237"/>
    <w:rsid w:val="00A87339"/>
    <w:rsid w:val="00A87340"/>
    <w:rsid w:val="00A8772F"/>
    <w:rsid w:val="00A879C1"/>
    <w:rsid w:val="00A87BAA"/>
    <w:rsid w:val="00A87DF8"/>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C91"/>
    <w:rsid w:val="00A92DE6"/>
    <w:rsid w:val="00A92E12"/>
    <w:rsid w:val="00A93003"/>
    <w:rsid w:val="00A93039"/>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31A"/>
    <w:rsid w:val="00AA44D5"/>
    <w:rsid w:val="00AA49BB"/>
    <w:rsid w:val="00AA4D85"/>
    <w:rsid w:val="00AA55BA"/>
    <w:rsid w:val="00AA596F"/>
    <w:rsid w:val="00AA5BFE"/>
    <w:rsid w:val="00AA60B9"/>
    <w:rsid w:val="00AA68EA"/>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9"/>
    <w:rsid w:val="00AB3443"/>
    <w:rsid w:val="00AB3536"/>
    <w:rsid w:val="00AB38A7"/>
    <w:rsid w:val="00AB40CB"/>
    <w:rsid w:val="00AB425A"/>
    <w:rsid w:val="00AB4400"/>
    <w:rsid w:val="00AB462E"/>
    <w:rsid w:val="00AB481E"/>
    <w:rsid w:val="00AB4914"/>
    <w:rsid w:val="00AB4C17"/>
    <w:rsid w:val="00AB555B"/>
    <w:rsid w:val="00AB5EA5"/>
    <w:rsid w:val="00AB5F22"/>
    <w:rsid w:val="00AB5FDE"/>
    <w:rsid w:val="00AB64BF"/>
    <w:rsid w:val="00AB6B4A"/>
    <w:rsid w:val="00AB6E71"/>
    <w:rsid w:val="00AB6F3A"/>
    <w:rsid w:val="00AB6FDB"/>
    <w:rsid w:val="00AB6FDE"/>
    <w:rsid w:val="00AB7160"/>
    <w:rsid w:val="00AB752A"/>
    <w:rsid w:val="00AB76A3"/>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E06"/>
    <w:rsid w:val="00AC7043"/>
    <w:rsid w:val="00AC7113"/>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87A"/>
    <w:rsid w:val="00AD2917"/>
    <w:rsid w:val="00AD29DC"/>
    <w:rsid w:val="00AD2AB1"/>
    <w:rsid w:val="00AD3064"/>
    <w:rsid w:val="00AD319A"/>
    <w:rsid w:val="00AD35E9"/>
    <w:rsid w:val="00AD39AE"/>
    <w:rsid w:val="00AD3B78"/>
    <w:rsid w:val="00AD3C90"/>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960"/>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90"/>
    <w:rsid w:val="00B07EF9"/>
    <w:rsid w:val="00B10137"/>
    <w:rsid w:val="00B10390"/>
    <w:rsid w:val="00B1047C"/>
    <w:rsid w:val="00B10605"/>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E2A"/>
    <w:rsid w:val="00B20253"/>
    <w:rsid w:val="00B20706"/>
    <w:rsid w:val="00B208B9"/>
    <w:rsid w:val="00B2106C"/>
    <w:rsid w:val="00B21132"/>
    <w:rsid w:val="00B2144B"/>
    <w:rsid w:val="00B214D8"/>
    <w:rsid w:val="00B217A5"/>
    <w:rsid w:val="00B21A08"/>
    <w:rsid w:val="00B21A93"/>
    <w:rsid w:val="00B21EF3"/>
    <w:rsid w:val="00B22189"/>
    <w:rsid w:val="00B22604"/>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EEF"/>
    <w:rsid w:val="00B325F4"/>
    <w:rsid w:val="00B32AF5"/>
    <w:rsid w:val="00B32D07"/>
    <w:rsid w:val="00B33014"/>
    <w:rsid w:val="00B33100"/>
    <w:rsid w:val="00B331C0"/>
    <w:rsid w:val="00B33272"/>
    <w:rsid w:val="00B333AD"/>
    <w:rsid w:val="00B33484"/>
    <w:rsid w:val="00B33638"/>
    <w:rsid w:val="00B338A0"/>
    <w:rsid w:val="00B33AE1"/>
    <w:rsid w:val="00B33DD9"/>
    <w:rsid w:val="00B3401F"/>
    <w:rsid w:val="00B341F5"/>
    <w:rsid w:val="00B34278"/>
    <w:rsid w:val="00B3437E"/>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40231"/>
    <w:rsid w:val="00B40594"/>
    <w:rsid w:val="00B40F37"/>
    <w:rsid w:val="00B41407"/>
    <w:rsid w:val="00B414C1"/>
    <w:rsid w:val="00B41B00"/>
    <w:rsid w:val="00B41B76"/>
    <w:rsid w:val="00B41DEB"/>
    <w:rsid w:val="00B422BD"/>
    <w:rsid w:val="00B425C0"/>
    <w:rsid w:val="00B42826"/>
    <w:rsid w:val="00B42E03"/>
    <w:rsid w:val="00B42F99"/>
    <w:rsid w:val="00B432DE"/>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3C"/>
    <w:rsid w:val="00B46969"/>
    <w:rsid w:val="00B4698E"/>
    <w:rsid w:val="00B46A45"/>
    <w:rsid w:val="00B46CA1"/>
    <w:rsid w:val="00B474CC"/>
    <w:rsid w:val="00B47A58"/>
    <w:rsid w:val="00B47C3A"/>
    <w:rsid w:val="00B50163"/>
    <w:rsid w:val="00B5022D"/>
    <w:rsid w:val="00B503AC"/>
    <w:rsid w:val="00B511D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70380"/>
    <w:rsid w:val="00B705ED"/>
    <w:rsid w:val="00B70760"/>
    <w:rsid w:val="00B7089C"/>
    <w:rsid w:val="00B70A49"/>
    <w:rsid w:val="00B70D1D"/>
    <w:rsid w:val="00B70EC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523"/>
    <w:rsid w:val="00B747EA"/>
    <w:rsid w:val="00B74939"/>
    <w:rsid w:val="00B74D52"/>
    <w:rsid w:val="00B74F8D"/>
    <w:rsid w:val="00B74FB8"/>
    <w:rsid w:val="00B754EC"/>
    <w:rsid w:val="00B7570E"/>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DCB"/>
    <w:rsid w:val="00B8532B"/>
    <w:rsid w:val="00B8599B"/>
    <w:rsid w:val="00B85C29"/>
    <w:rsid w:val="00B85E8C"/>
    <w:rsid w:val="00B85F86"/>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C6F"/>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EDA"/>
    <w:rsid w:val="00BC1FED"/>
    <w:rsid w:val="00BC2374"/>
    <w:rsid w:val="00BC237E"/>
    <w:rsid w:val="00BC25AA"/>
    <w:rsid w:val="00BC2CEE"/>
    <w:rsid w:val="00BC2EE2"/>
    <w:rsid w:val="00BC307D"/>
    <w:rsid w:val="00BC3262"/>
    <w:rsid w:val="00BC3335"/>
    <w:rsid w:val="00BC3495"/>
    <w:rsid w:val="00BC38B2"/>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D42"/>
    <w:rsid w:val="00BE3D8A"/>
    <w:rsid w:val="00BE3E73"/>
    <w:rsid w:val="00BE418A"/>
    <w:rsid w:val="00BE42B5"/>
    <w:rsid w:val="00BE4355"/>
    <w:rsid w:val="00BE440D"/>
    <w:rsid w:val="00BE464C"/>
    <w:rsid w:val="00BE4751"/>
    <w:rsid w:val="00BE49CA"/>
    <w:rsid w:val="00BE4AD8"/>
    <w:rsid w:val="00BE4B25"/>
    <w:rsid w:val="00BE4CBB"/>
    <w:rsid w:val="00BE4DE8"/>
    <w:rsid w:val="00BE4EBD"/>
    <w:rsid w:val="00BE50CE"/>
    <w:rsid w:val="00BE525F"/>
    <w:rsid w:val="00BE55F9"/>
    <w:rsid w:val="00BE5625"/>
    <w:rsid w:val="00BE5653"/>
    <w:rsid w:val="00BE59D4"/>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FA5"/>
    <w:rsid w:val="00BF22B5"/>
    <w:rsid w:val="00BF24C6"/>
    <w:rsid w:val="00BF2649"/>
    <w:rsid w:val="00BF2CE7"/>
    <w:rsid w:val="00BF319D"/>
    <w:rsid w:val="00BF3561"/>
    <w:rsid w:val="00BF3600"/>
    <w:rsid w:val="00BF38E2"/>
    <w:rsid w:val="00BF3F12"/>
    <w:rsid w:val="00BF41AD"/>
    <w:rsid w:val="00BF43C3"/>
    <w:rsid w:val="00BF4570"/>
    <w:rsid w:val="00BF46D3"/>
    <w:rsid w:val="00BF471E"/>
    <w:rsid w:val="00BF4938"/>
    <w:rsid w:val="00BF4964"/>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207F"/>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481"/>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4C0"/>
    <w:rsid w:val="00C436B9"/>
    <w:rsid w:val="00C43742"/>
    <w:rsid w:val="00C43889"/>
    <w:rsid w:val="00C44127"/>
    <w:rsid w:val="00C44530"/>
    <w:rsid w:val="00C446C1"/>
    <w:rsid w:val="00C44781"/>
    <w:rsid w:val="00C44823"/>
    <w:rsid w:val="00C44D8F"/>
    <w:rsid w:val="00C44DAD"/>
    <w:rsid w:val="00C44E0F"/>
    <w:rsid w:val="00C44F63"/>
    <w:rsid w:val="00C450E2"/>
    <w:rsid w:val="00C454E7"/>
    <w:rsid w:val="00C45999"/>
    <w:rsid w:val="00C46643"/>
    <w:rsid w:val="00C46A45"/>
    <w:rsid w:val="00C46E30"/>
    <w:rsid w:val="00C47269"/>
    <w:rsid w:val="00C4736F"/>
    <w:rsid w:val="00C473C7"/>
    <w:rsid w:val="00C479F8"/>
    <w:rsid w:val="00C47F4B"/>
    <w:rsid w:val="00C503A7"/>
    <w:rsid w:val="00C5045E"/>
    <w:rsid w:val="00C50750"/>
    <w:rsid w:val="00C508B0"/>
    <w:rsid w:val="00C50B63"/>
    <w:rsid w:val="00C50B9C"/>
    <w:rsid w:val="00C51146"/>
    <w:rsid w:val="00C514C9"/>
    <w:rsid w:val="00C514E3"/>
    <w:rsid w:val="00C51B4C"/>
    <w:rsid w:val="00C51D4F"/>
    <w:rsid w:val="00C52254"/>
    <w:rsid w:val="00C5240E"/>
    <w:rsid w:val="00C53540"/>
    <w:rsid w:val="00C53545"/>
    <w:rsid w:val="00C53BDC"/>
    <w:rsid w:val="00C53DA9"/>
    <w:rsid w:val="00C54093"/>
    <w:rsid w:val="00C5427E"/>
    <w:rsid w:val="00C54795"/>
    <w:rsid w:val="00C5482E"/>
    <w:rsid w:val="00C55173"/>
    <w:rsid w:val="00C55403"/>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C1"/>
    <w:rsid w:val="00C6025A"/>
    <w:rsid w:val="00C6025D"/>
    <w:rsid w:val="00C6032D"/>
    <w:rsid w:val="00C60446"/>
    <w:rsid w:val="00C604A5"/>
    <w:rsid w:val="00C60692"/>
    <w:rsid w:val="00C609F9"/>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683"/>
    <w:rsid w:val="00C67924"/>
    <w:rsid w:val="00C67A09"/>
    <w:rsid w:val="00C67DBD"/>
    <w:rsid w:val="00C700AB"/>
    <w:rsid w:val="00C70469"/>
    <w:rsid w:val="00C704F8"/>
    <w:rsid w:val="00C70903"/>
    <w:rsid w:val="00C70970"/>
    <w:rsid w:val="00C70AA2"/>
    <w:rsid w:val="00C70ED3"/>
    <w:rsid w:val="00C70FF6"/>
    <w:rsid w:val="00C71033"/>
    <w:rsid w:val="00C71180"/>
    <w:rsid w:val="00C71529"/>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CC"/>
    <w:rsid w:val="00C931A4"/>
    <w:rsid w:val="00C9355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4FA"/>
    <w:rsid w:val="00CA37EB"/>
    <w:rsid w:val="00CA51B8"/>
    <w:rsid w:val="00CA5467"/>
    <w:rsid w:val="00CA5575"/>
    <w:rsid w:val="00CA55A6"/>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6B6"/>
    <w:rsid w:val="00CC788A"/>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6530"/>
    <w:rsid w:val="00CE67C1"/>
    <w:rsid w:val="00CE69E2"/>
    <w:rsid w:val="00CE6F97"/>
    <w:rsid w:val="00CE7444"/>
    <w:rsid w:val="00CE788F"/>
    <w:rsid w:val="00CE7991"/>
    <w:rsid w:val="00CE79F7"/>
    <w:rsid w:val="00CE7CD1"/>
    <w:rsid w:val="00CE7F66"/>
    <w:rsid w:val="00CF036F"/>
    <w:rsid w:val="00CF0582"/>
    <w:rsid w:val="00CF0927"/>
    <w:rsid w:val="00CF0CE9"/>
    <w:rsid w:val="00CF11EB"/>
    <w:rsid w:val="00CF17F7"/>
    <w:rsid w:val="00CF1BD3"/>
    <w:rsid w:val="00CF27A6"/>
    <w:rsid w:val="00CF2BD0"/>
    <w:rsid w:val="00CF305A"/>
    <w:rsid w:val="00CF318E"/>
    <w:rsid w:val="00CF31F9"/>
    <w:rsid w:val="00CF3730"/>
    <w:rsid w:val="00CF399A"/>
    <w:rsid w:val="00CF3E45"/>
    <w:rsid w:val="00CF3F93"/>
    <w:rsid w:val="00CF4947"/>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ED"/>
    <w:rsid w:val="00D263BC"/>
    <w:rsid w:val="00D263D4"/>
    <w:rsid w:val="00D266B7"/>
    <w:rsid w:val="00D26F75"/>
    <w:rsid w:val="00D27385"/>
    <w:rsid w:val="00D27FDB"/>
    <w:rsid w:val="00D301C7"/>
    <w:rsid w:val="00D30405"/>
    <w:rsid w:val="00D30418"/>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DBC"/>
    <w:rsid w:val="00D63DCD"/>
    <w:rsid w:val="00D64142"/>
    <w:rsid w:val="00D64531"/>
    <w:rsid w:val="00D647D4"/>
    <w:rsid w:val="00D64FBD"/>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DCC"/>
    <w:rsid w:val="00D75072"/>
    <w:rsid w:val="00D75265"/>
    <w:rsid w:val="00D7531A"/>
    <w:rsid w:val="00D75385"/>
    <w:rsid w:val="00D753C0"/>
    <w:rsid w:val="00D754CD"/>
    <w:rsid w:val="00D75795"/>
    <w:rsid w:val="00D75C22"/>
    <w:rsid w:val="00D75CC1"/>
    <w:rsid w:val="00D7615F"/>
    <w:rsid w:val="00D7623A"/>
    <w:rsid w:val="00D76373"/>
    <w:rsid w:val="00D76685"/>
    <w:rsid w:val="00D7670A"/>
    <w:rsid w:val="00D76EE6"/>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DA"/>
    <w:rsid w:val="00D82B47"/>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F97"/>
    <w:rsid w:val="00DC0790"/>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52DE"/>
    <w:rsid w:val="00DF53E6"/>
    <w:rsid w:val="00DF55E4"/>
    <w:rsid w:val="00DF58B2"/>
    <w:rsid w:val="00DF5B18"/>
    <w:rsid w:val="00DF5D3F"/>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917"/>
    <w:rsid w:val="00E17920"/>
    <w:rsid w:val="00E17A3F"/>
    <w:rsid w:val="00E17FBA"/>
    <w:rsid w:val="00E20083"/>
    <w:rsid w:val="00E20464"/>
    <w:rsid w:val="00E204B6"/>
    <w:rsid w:val="00E20AF3"/>
    <w:rsid w:val="00E20E66"/>
    <w:rsid w:val="00E20EB3"/>
    <w:rsid w:val="00E21023"/>
    <w:rsid w:val="00E216C8"/>
    <w:rsid w:val="00E21A7C"/>
    <w:rsid w:val="00E21BAB"/>
    <w:rsid w:val="00E21CE1"/>
    <w:rsid w:val="00E21F2D"/>
    <w:rsid w:val="00E22066"/>
    <w:rsid w:val="00E220E6"/>
    <w:rsid w:val="00E22C90"/>
    <w:rsid w:val="00E230F2"/>
    <w:rsid w:val="00E23373"/>
    <w:rsid w:val="00E236BE"/>
    <w:rsid w:val="00E2378E"/>
    <w:rsid w:val="00E23BC0"/>
    <w:rsid w:val="00E23E4E"/>
    <w:rsid w:val="00E23EAE"/>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F4"/>
    <w:rsid w:val="00E27446"/>
    <w:rsid w:val="00E300C0"/>
    <w:rsid w:val="00E30135"/>
    <w:rsid w:val="00E301F6"/>
    <w:rsid w:val="00E302FD"/>
    <w:rsid w:val="00E3036E"/>
    <w:rsid w:val="00E3085B"/>
    <w:rsid w:val="00E30E41"/>
    <w:rsid w:val="00E31031"/>
    <w:rsid w:val="00E31063"/>
    <w:rsid w:val="00E313C5"/>
    <w:rsid w:val="00E31430"/>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B44"/>
    <w:rsid w:val="00E56DE3"/>
    <w:rsid w:val="00E57068"/>
    <w:rsid w:val="00E570E2"/>
    <w:rsid w:val="00E5775C"/>
    <w:rsid w:val="00E60328"/>
    <w:rsid w:val="00E6038C"/>
    <w:rsid w:val="00E60BE6"/>
    <w:rsid w:val="00E60F72"/>
    <w:rsid w:val="00E61202"/>
    <w:rsid w:val="00E614D2"/>
    <w:rsid w:val="00E61C08"/>
    <w:rsid w:val="00E61FC9"/>
    <w:rsid w:val="00E620C6"/>
    <w:rsid w:val="00E62518"/>
    <w:rsid w:val="00E625DC"/>
    <w:rsid w:val="00E62CA1"/>
    <w:rsid w:val="00E62E7E"/>
    <w:rsid w:val="00E631B7"/>
    <w:rsid w:val="00E634E7"/>
    <w:rsid w:val="00E6359B"/>
    <w:rsid w:val="00E63F97"/>
    <w:rsid w:val="00E644AA"/>
    <w:rsid w:val="00E64762"/>
    <w:rsid w:val="00E64A73"/>
    <w:rsid w:val="00E64B6C"/>
    <w:rsid w:val="00E6511F"/>
    <w:rsid w:val="00E6555A"/>
    <w:rsid w:val="00E657FF"/>
    <w:rsid w:val="00E659A2"/>
    <w:rsid w:val="00E65FB8"/>
    <w:rsid w:val="00E66358"/>
    <w:rsid w:val="00E66401"/>
    <w:rsid w:val="00E665D1"/>
    <w:rsid w:val="00E66623"/>
    <w:rsid w:val="00E66705"/>
    <w:rsid w:val="00E6677A"/>
    <w:rsid w:val="00E66870"/>
    <w:rsid w:val="00E6689A"/>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26E"/>
    <w:rsid w:val="00E82433"/>
    <w:rsid w:val="00E82668"/>
    <w:rsid w:val="00E82862"/>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C9D"/>
    <w:rsid w:val="00EA4E01"/>
    <w:rsid w:val="00EA4FA3"/>
    <w:rsid w:val="00EA5801"/>
    <w:rsid w:val="00EA5B0C"/>
    <w:rsid w:val="00EA5E38"/>
    <w:rsid w:val="00EA5F95"/>
    <w:rsid w:val="00EA65F4"/>
    <w:rsid w:val="00EA6993"/>
    <w:rsid w:val="00EA69B6"/>
    <w:rsid w:val="00EA6AC5"/>
    <w:rsid w:val="00EA72E7"/>
    <w:rsid w:val="00EA731D"/>
    <w:rsid w:val="00EA7336"/>
    <w:rsid w:val="00EA766E"/>
    <w:rsid w:val="00EA76AC"/>
    <w:rsid w:val="00EA7FD9"/>
    <w:rsid w:val="00EB0068"/>
    <w:rsid w:val="00EB04DF"/>
    <w:rsid w:val="00EB05DE"/>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A27"/>
    <w:rsid w:val="00EC0E1D"/>
    <w:rsid w:val="00EC146A"/>
    <w:rsid w:val="00EC1A33"/>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5EB"/>
    <w:rsid w:val="00ED0876"/>
    <w:rsid w:val="00ED08D7"/>
    <w:rsid w:val="00ED0A80"/>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F4F"/>
    <w:rsid w:val="00ED50E3"/>
    <w:rsid w:val="00ED50FE"/>
    <w:rsid w:val="00ED55D8"/>
    <w:rsid w:val="00ED572C"/>
    <w:rsid w:val="00ED599D"/>
    <w:rsid w:val="00ED5BFD"/>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D6"/>
    <w:rsid w:val="00F25799"/>
    <w:rsid w:val="00F25BC1"/>
    <w:rsid w:val="00F25E78"/>
    <w:rsid w:val="00F25E81"/>
    <w:rsid w:val="00F26064"/>
    <w:rsid w:val="00F260DA"/>
    <w:rsid w:val="00F2619E"/>
    <w:rsid w:val="00F261B0"/>
    <w:rsid w:val="00F2632B"/>
    <w:rsid w:val="00F27183"/>
    <w:rsid w:val="00F27193"/>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60E1"/>
    <w:rsid w:val="00F4620E"/>
    <w:rsid w:val="00F462AE"/>
    <w:rsid w:val="00F4633A"/>
    <w:rsid w:val="00F4672C"/>
    <w:rsid w:val="00F468E7"/>
    <w:rsid w:val="00F46D3B"/>
    <w:rsid w:val="00F46E7F"/>
    <w:rsid w:val="00F4726A"/>
    <w:rsid w:val="00F4736D"/>
    <w:rsid w:val="00F47483"/>
    <w:rsid w:val="00F47AF5"/>
    <w:rsid w:val="00F47C98"/>
    <w:rsid w:val="00F500AF"/>
    <w:rsid w:val="00F50342"/>
    <w:rsid w:val="00F50455"/>
    <w:rsid w:val="00F509EC"/>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5D2"/>
    <w:rsid w:val="00F63796"/>
    <w:rsid w:val="00F63A62"/>
    <w:rsid w:val="00F63B8F"/>
    <w:rsid w:val="00F63E39"/>
    <w:rsid w:val="00F63E9C"/>
    <w:rsid w:val="00F63FC0"/>
    <w:rsid w:val="00F642EC"/>
    <w:rsid w:val="00F64939"/>
    <w:rsid w:val="00F6497B"/>
    <w:rsid w:val="00F64DF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3115"/>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E89"/>
    <w:rsid w:val="00FD0EF4"/>
    <w:rsid w:val="00FD10B9"/>
    <w:rsid w:val="00FD1510"/>
    <w:rsid w:val="00FD171D"/>
    <w:rsid w:val="00FD1CD1"/>
    <w:rsid w:val="00FD1DF2"/>
    <w:rsid w:val="00FD2524"/>
    <w:rsid w:val="00FD2C14"/>
    <w:rsid w:val="00FD30C7"/>
    <w:rsid w:val="00FD326A"/>
    <w:rsid w:val="00FD3355"/>
    <w:rsid w:val="00FD342F"/>
    <w:rsid w:val="00FD34AF"/>
    <w:rsid w:val="00FD3684"/>
    <w:rsid w:val="00FD36EB"/>
    <w:rsid w:val="00FD371B"/>
    <w:rsid w:val="00FD3B08"/>
    <w:rsid w:val="00FD4513"/>
    <w:rsid w:val="00FD47F6"/>
    <w:rsid w:val="00FD4910"/>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40BB"/>
    <w:rsid w:val="00FE41E5"/>
    <w:rsid w:val="00FE4474"/>
    <w:rsid w:val="00FE451A"/>
    <w:rsid w:val="00FE477A"/>
    <w:rsid w:val="00FE494B"/>
    <w:rsid w:val="00FE4AF9"/>
    <w:rsid w:val="00FE4EE7"/>
    <w:rsid w:val="00FE4FB6"/>
    <w:rsid w:val="00FE5111"/>
    <w:rsid w:val="00FE546D"/>
    <w:rsid w:val="00FE579B"/>
    <w:rsid w:val="00FE59AC"/>
    <w:rsid w:val="00FE5F33"/>
    <w:rsid w:val="00FE61C3"/>
    <w:rsid w:val="00FE6341"/>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9EE"/>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06DC55EB"/>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uiPriority="0" w:semiHidden="0" w:name="footnote text"/>
    <w:lsdException w:unhideWhenUsed="0" w:uiPriority="99" w:name="annotation text"/>
    <w:lsdException w:uiPriority="99" w:semiHidden="0" w:name="header"/>
    <w:lsdException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rPr>
      <w:rFonts w:asciiTheme="minorHAnsi" w:hAnsiTheme="minorHAnsi" w:eastAsiaTheme="minorEastAsia" w:cstheme="minorBidi"/>
      <w:szCs w:val="22"/>
    </w:rPr>
  </w:style>
  <w:style w:type="paragraph" w:styleId="6">
    <w:name w:val="Normal Indent"/>
    <w:basedOn w:val="1"/>
    <w:link w:val="53"/>
    <w:qFormat/>
    <w:uiPriority w:val="0"/>
    <w:pPr>
      <w:spacing w:before="6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41"/>
    <w:semiHidden/>
    <w:uiPriority w:val="99"/>
    <w:pPr>
      <w:jc w:val="left"/>
    </w:pPr>
    <w:rPr>
      <w:szCs w:val="21"/>
    </w:rPr>
  </w:style>
  <w:style w:type="paragraph" w:styleId="9">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0">
    <w:name w:val="toc 3"/>
    <w:basedOn w:val="1"/>
    <w:next w:val="1"/>
    <w:autoRedefine/>
    <w:unhideWhenUsed/>
    <w:uiPriority w:val="39"/>
    <w:pPr>
      <w:ind w:left="840" w:leftChars="400"/>
    </w:pPr>
  </w:style>
  <w:style w:type="paragraph" w:styleId="11">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2">
    <w:name w:val="Balloon Text"/>
    <w:basedOn w:val="1"/>
    <w:link w:val="40"/>
    <w:unhideWhenUsed/>
    <w:uiPriority w:val="99"/>
    <w:rPr>
      <w:sz w:val="18"/>
      <w:szCs w:val="18"/>
    </w:rPr>
  </w:style>
  <w:style w:type="paragraph" w:styleId="13">
    <w:name w:val="footer"/>
    <w:basedOn w:val="1"/>
    <w:link w:val="39"/>
    <w:unhideWhenUsed/>
    <w:uiPriority w:val="99"/>
    <w:pPr>
      <w:tabs>
        <w:tab w:val="center" w:pos="4153"/>
        <w:tab w:val="right" w:pos="8306"/>
      </w:tabs>
      <w:snapToGrid w:val="0"/>
      <w:jc w:val="left"/>
    </w:pPr>
    <w:rPr>
      <w:rFonts w:ascii="Calibri" w:hAnsi="Calibri" w:cs="黑体"/>
      <w:sz w:val="18"/>
      <w:szCs w:val="18"/>
    </w:rPr>
  </w:style>
  <w:style w:type="paragraph" w:styleId="14">
    <w:name w:val="header"/>
    <w:basedOn w:val="1"/>
    <w:link w:val="38"/>
    <w:unhideWhenUsed/>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5">
    <w:name w:val="toc 1"/>
    <w:basedOn w:val="1"/>
    <w:next w:val="1"/>
    <w:autoRedefine/>
    <w:unhideWhenUsed/>
    <w:uiPriority w:val="39"/>
    <w:pPr>
      <w:tabs>
        <w:tab w:val="right" w:leader="dot" w:pos="8778"/>
      </w:tabs>
    </w:pPr>
  </w:style>
  <w:style w:type="paragraph" w:styleId="16">
    <w:name w:val="toc 4"/>
    <w:basedOn w:val="1"/>
    <w:next w:val="1"/>
    <w:autoRedefine/>
    <w:unhideWhenUsed/>
    <w:qFormat/>
    <w:uiPriority w:val="39"/>
    <w:pPr>
      <w:ind w:left="1260" w:leftChars="600"/>
    </w:pPr>
  </w:style>
  <w:style w:type="paragraph" w:styleId="17">
    <w:name w:val="footnote text"/>
    <w:basedOn w:val="1"/>
    <w:link w:val="54"/>
    <w:unhideWhenUsed/>
    <w:uiPriority w:val="0"/>
    <w:pPr>
      <w:adjustRightInd w:val="0"/>
      <w:snapToGrid w:val="0"/>
      <w:spacing w:line="264" w:lineRule="auto"/>
      <w:jc w:val="left"/>
    </w:pPr>
    <w:rPr>
      <w:rFonts w:eastAsia="仿宋_GB2312"/>
      <w:snapToGrid w:val="0"/>
      <w:kern w:val="0"/>
      <w:sz w:val="18"/>
      <w:szCs w:val="18"/>
    </w:rPr>
  </w:style>
  <w:style w:type="paragraph" w:styleId="18">
    <w:name w:val="toc 6"/>
    <w:basedOn w:val="1"/>
    <w:next w:val="1"/>
    <w:autoRedefine/>
    <w:unhideWhenUsed/>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uiPriority w:val="39"/>
    <w:pPr>
      <w:ind w:left="420" w:leftChars="200"/>
    </w:pPr>
  </w:style>
  <w:style w:type="paragraph" w:styleId="2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1">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2"/>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semiHidden/>
    <w:unhideWhenUsed/>
    <w:uiPriority w:val="0"/>
    <w:rPr>
      <w:b/>
      <w:bCs/>
      <w:szCs w:val="24"/>
    </w:rPr>
  </w:style>
  <w:style w:type="table" w:styleId="25">
    <w:name w:val="Table Grid"/>
    <w:basedOn w:val="2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uiPriority w:val="0"/>
    <w:rPr>
      <w:color w:val="800080" w:themeColor="followedHyperlink"/>
      <w:u w:val="single"/>
    </w:rPr>
  </w:style>
  <w:style w:type="character" w:styleId="29">
    <w:name w:val="Emphasis"/>
    <w:qFormat/>
    <w:uiPriority w:val="20"/>
    <w:rPr>
      <w:color w:val="CC0000"/>
    </w:rPr>
  </w:style>
  <w:style w:type="character" w:styleId="30">
    <w:name w:val="line number"/>
    <w:basedOn w:val="26"/>
    <w:semiHidden/>
    <w:unhideWhenUsed/>
    <w:uiPriority w:val="0"/>
  </w:style>
  <w:style w:type="character" w:styleId="31">
    <w:name w:val="Hyperlink"/>
    <w:basedOn w:val="26"/>
    <w:unhideWhenUsed/>
    <w:uiPriority w:val="99"/>
    <w:rPr>
      <w:color w:val="0000FF"/>
      <w:u w:val="single"/>
    </w:rPr>
  </w:style>
  <w:style w:type="character" w:styleId="32">
    <w:name w:val="annotation reference"/>
    <w:semiHidden/>
    <w:unhideWhenUsed/>
    <w:qFormat/>
    <w:uiPriority w:val="0"/>
    <w:rPr>
      <w:sz w:val="21"/>
      <w:szCs w:val="21"/>
    </w:rPr>
  </w:style>
  <w:style w:type="character" w:styleId="33">
    <w:name w:val="footnote reference"/>
    <w:basedOn w:val="26"/>
    <w:semiHidden/>
    <w:unhideWhenUsed/>
    <w:uiPriority w:val="0"/>
    <w:rPr>
      <w:vertAlign w:val="superscript"/>
    </w:rPr>
  </w:style>
  <w:style w:type="paragraph" w:customStyle="1" w:styleId="34">
    <w:name w:val="字母编号列项（一级）"/>
    <w:uiPriority w:val="99"/>
    <w:pPr>
      <w:ind w:left="840" w:leftChars="200" w:hanging="420" w:hangingChars="200"/>
      <w:jc w:val="both"/>
    </w:pPr>
    <w:rPr>
      <w:rFonts w:ascii="宋体" w:hAnsi="Times New Roman" w:eastAsia="宋体" w:cs="宋体"/>
      <w:lang w:val="en-US" w:eastAsia="zh-CN" w:bidi="ar-SA"/>
    </w:rPr>
  </w:style>
  <w:style w:type="paragraph" w:customStyle="1" w:styleId="35">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列出段落1"/>
    <w:basedOn w:val="1"/>
    <w:qFormat/>
    <w:uiPriority w:val="34"/>
    <w:pPr>
      <w:ind w:firstLine="420" w:firstLineChars="200"/>
    </w:pPr>
  </w:style>
  <w:style w:type="character" w:customStyle="1" w:styleId="38">
    <w:name w:val="页眉 字符"/>
    <w:basedOn w:val="26"/>
    <w:link w:val="14"/>
    <w:qFormat/>
    <w:uiPriority w:val="99"/>
    <w:rPr>
      <w:sz w:val="18"/>
      <w:szCs w:val="18"/>
    </w:rPr>
  </w:style>
  <w:style w:type="character" w:customStyle="1" w:styleId="39">
    <w:name w:val="页脚 字符"/>
    <w:basedOn w:val="26"/>
    <w:link w:val="13"/>
    <w:uiPriority w:val="99"/>
    <w:rPr>
      <w:sz w:val="18"/>
      <w:szCs w:val="18"/>
    </w:rPr>
  </w:style>
  <w:style w:type="character" w:customStyle="1" w:styleId="40">
    <w:name w:val="批注框文本 字符"/>
    <w:basedOn w:val="26"/>
    <w:link w:val="12"/>
    <w:semiHidden/>
    <w:uiPriority w:val="99"/>
    <w:rPr>
      <w:rFonts w:ascii="Times New Roman" w:hAnsi="Times New Roman" w:eastAsia="宋体" w:cs="Times New Roman"/>
      <w:sz w:val="18"/>
      <w:szCs w:val="18"/>
    </w:rPr>
  </w:style>
  <w:style w:type="character" w:customStyle="1" w:styleId="41">
    <w:name w:val="批注文字 字符"/>
    <w:basedOn w:val="26"/>
    <w:link w:val="8"/>
    <w:uiPriority w:val="99"/>
    <w:rPr>
      <w:kern w:val="2"/>
      <w:sz w:val="21"/>
      <w:szCs w:val="21"/>
    </w:rPr>
  </w:style>
  <w:style w:type="character" w:customStyle="1" w:styleId="42">
    <w:name w:val="标题 字符"/>
    <w:basedOn w:val="26"/>
    <w:link w:val="22"/>
    <w:uiPriority w:val="10"/>
    <w:rPr>
      <w:rFonts w:asciiTheme="majorHAnsi" w:hAnsiTheme="majorHAnsi" w:cstheme="majorBidi"/>
      <w:b/>
      <w:bCs/>
      <w:kern w:val="2"/>
      <w:sz w:val="32"/>
      <w:szCs w:val="32"/>
    </w:rPr>
  </w:style>
  <w:style w:type="character" w:customStyle="1" w:styleId="43">
    <w:name w:val="标题 1 字符"/>
    <w:basedOn w:val="26"/>
    <w:link w:val="2"/>
    <w:uiPriority w:val="9"/>
    <w:rPr>
      <w:b/>
      <w:bCs/>
      <w:kern w:val="44"/>
      <w:sz w:val="44"/>
      <w:szCs w:val="44"/>
    </w:rPr>
  </w:style>
  <w:style w:type="character" w:customStyle="1" w:styleId="44">
    <w:name w:val="标题 2 字符"/>
    <w:basedOn w:val="26"/>
    <w:link w:val="3"/>
    <w:qFormat/>
    <w:uiPriority w:val="9"/>
    <w:rPr>
      <w:rFonts w:asciiTheme="majorHAnsi" w:hAnsiTheme="majorHAnsi" w:eastAsiaTheme="majorEastAsia" w:cstheme="majorBidi"/>
      <w:b/>
      <w:bCs/>
      <w:kern w:val="2"/>
      <w:sz w:val="32"/>
      <w:szCs w:val="32"/>
    </w:rPr>
  </w:style>
  <w:style w:type="character" w:styleId="45">
    <w:name w:val="Placeholder Text"/>
    <w:basedOn w:val="26"/>
    <w:unhideWhenUsed/>
    <w:uiPriority w:val="99"/>
    <w:rPr>
      <w:color w:val="808080"/>
    </w:rPr>
  </w:style>
  <w:style w:type="paragraph" w:customStyle="1" w:styleId="4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7">
    <w:name w:val="apple-converted-space"/>
    <w:uiPriority w:val="0"/>
  </w:style>
  <w:style w:type="paragraph" w:styleId="48">
    <w:name w:val="List Paragraph"/>
    <w:basedOn w:val="1"/>
    <w:unhideWhenUsed/>
    <w:qFormat/>
    <w:uiPriority w:val="0"/>
    <w:pPr>
      <w:ind w:firstLine="420" w:firstLineChars="200"/>
    </w:pPr>
  </w:style>
  <w:style w:type="paragraph" w:customStyle="1" w:styleId="49">
    <w:name w:val="正文 A A"/>
    <w:qFormat/>
    <w:uiPriority w:val="99"/>
    <w:pPr>
      <w:widowControl w:val="0"/>
      <w:jc w:val="both"/>
    </w:pPr>
    <w:rPr>
      <w:rFonts w:ascii="Times New Roman" w:hAnsi="Times New Roman" w:eastAsia="宋体" w:cs="Times New Roman"/>
      <w:color w:val="000000"/>
      <w:kern w:val="2"/>
      <w:sz w:val="21"/>
      <w:lang w:val="en-US" w:eastAsia="zh-CN" w:bidi="ar-SA"/>
    </w:rPr>
  </w:style>
  <w:style w:type="character" w:customStyle="1" w:styleId="50">
    <w:name w:val="批注主题 字符"/>
    <w:basedOn w:val="41"/>
    <w:link w:val="23"/>
    <w:semiHidden/>
    <w:uiPriority w:val="0"/>
    <w:rPr>
      <w:b/>
      <w:bCs/>
      <w:kern w:val="2"/>
      <w:sz w:val="21"/>
      <w:szCs w:val="24"/>
    </w:rPr>
  </w:style>
  <w:style w:type="character" w:customStyle="1" w:styleId="51">
    <w:name w:val="标题 3 字符"/>
    <w:basedOn w:val="26"/>
    <w:link w:val="4"/>
    <w:semiHidden/>
    <w:uiPriority w:val="9"/>
    <w:rPr>
      <w:b/>
      <w:bCs/>
      <w:kern w:val="2"/>
      <w:sz w:val="32"/>
      <w:szCs w:val="32"/>
    </w:rPr>
  </w:style>
  <w:style w:type="character" w:customStyle="1" w:styleId="52">
    <w:name w:val="Unresolved Mention"/>
    <w:basedOn w:val="26"/>
    <w:semiHidden/>
    <w:unhideWhenUsed/>
    <w:uiPriority w:val="99"/>
    <w:rPr>
      <w:color w:val="605E5C"/>
      <w:shd w:val="clear" w:color="auto" w:fill="E1DFDD"/>
    </w:rPr>
  </w:style>
  <w:style w:type="character" w:customStyle="1" w:styleId="53">
    <w:name w:val="正文缩进 字符"/>
    <w:link w:val="6"/>
    <w:qFormat/>
    <w:uiPriority w:val="0"/>
    <w:rPr>
      <w:kern w:val="2"/>
      <w:sz w:val="21"/>
      <w:szCs w:val="24"/>
    </w:rPr>
  </w:style>
  <w:style w:type="character" w:customStyle="1" w:styleId="54">
    <w:name w:val="脚注文本 字符"/>
    <w:basedOn w:val="26"/>
    <w:link w:val="17"/>
    <w:uiPriority w:val="0"/>
    <w:rPr>
      <w:rFonts w:eastAsia="仿宋_GB2312"/>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CE55E-F8DB-4253-8A7A-682BAB0FC315}">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32</Pages>
  <Words>13011</Words>
  <Characters>15129</Characters>
  <Lines>115</Lines>
  <Paragraphs>32</Paragraphs>
  <TotalTime>584</TotalTime>
  <ScaleCrop>false</ScaleCrop>
  <LinksUpToDate>false</LinksUpToDate>
  <CharactersWithSpaces>15332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2022-08-29T07:38:00Z</dcterms:created>
  <dc:creator>张嵩</dc:creator>
  <cp:lastModifiedBy>太极箫客</cp:lastModifiedBy>
  <cp:lastPrinted>2022-09-21T01:37:00Z</cp:lastPrinted>
  <dcterms:modified xsi:type="dcterms:W3CDTF">2025-08-14T06:57:05Z</dcterms:modified>
  <dc:title>附件</dc:title>
  <cp:revision>829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1B7C2445DA274DD2A6BD8EBAF33A9D52_12</vt:lpwstr>
  </property>
</Properties>
</file>