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75237">
      <w:pPr>
        <w:suppressLineNumbers/>
        <w:spacing w:line="600" w:lineRule="exact"/>
        <w:rPr>
          <w:rFonts w:ascii="方正小标宋简体" w:hAnsi="宋体" w:eastAsia="方正小标宋简体"/>
          <w:sz w:val="28"/>
          <w:szCs w:val="28"/>
        </w:rPr>
      </w:pPr>
      <w:bookmarkStart w:id="9" w:name="_GoBack"/>
      <w:bookmarkEnd w:id="9"/>
    </w:p>
    <w:p w14:paraId="52EB913F">
      <w:pPr>
        <w:suppressLineNumbers/>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新生儿蓝光治疗仪产品注册技术指导原则</w:t>
      </w:r>
    </w:p>
    <w:p w14:paraId="66A9EB69">
      <w:pPr>
        <w:suppressLineNumbers/>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（征求意见稿）</w:t>
      </w:r>
    </w:p>
    <w:p w14:paraId="1FB8F669">
      <w:pPr>
        <w:suppressLineNumbers/>
        <w:spacing w:line="600" w:lineRule="exact"/>
        <w:jc w:val="center"/>
        <w:rPr>
          <w:rFonts w:ascii="方正小标宋简体" w:hAnsi="宋体" w:eastAsia="方正小标宋简体"/>
          <w:sz w:val="28"/>
          <w:szCs w:val="28"/>
        </w:rPr>
      </w:pPr>
    </w:p>
    <w:p w14:paraId="15D1D6C4">
      <w:pPr>
        <w:spacing w:line="560" w:lineRule="exact"/>
        <w:ind w:firstLine="640" w:firstLineChars="200"/>
        <w:rPr>
          <w:rFonts w:eastAsia="仿宋_GB2312"/>
          <w:sz w:val="32"/>
          <w:szCs w:val="32"/>
        </w:rPr>
      </w:pPr>
      <w:bookmarkStart w:id="0" w:name="_Toc306265284"/>
      <w:r>
        <w:rPr>
          <w:rFonts w:hint="eastAsia" w:eastAsia="仿宋_GB2312"/>
          <w:sz w:val="32"/>
          <w:szCs w:val="32"/>
        </w:rPr>
        <w:t>本指导原则旨在指导和规范注册申请人对第二类新生儿蓝光治疗仪产品注册申报资料的准备及撰写，同时也为技术审评部门审评注册申报资料提供参考。</w:t>
      </w:r>
    </w:p>
    <w:p w14:paraId="2E28CEA8">
      <w:pPr>
        <w:spacing w:line="560" w:lineRule="exact"/>
        <w:ind w:firstLine="640" w:firstLineChars="200"/>
        <w:rPr>
          <w:rFonts w:eastAsia="仿宋_GB2312"/>
          <w:sz w:val="32"/>
          <w:szCs w:val="32"/>
        </w:rPr>
      </w:pPr>
      <w:r>
        <w:rPr>
          <w:rFonts w:hint="eastAsia" w:eastAsia="仿宋_GB2312"/>
          <w:sz w:val="32"/>
          <w:szCs w:val="32"/>
        </w:rPr>
        <w:t>本指导原则系对新生儿蓝光治疗仪产品的一般要求，注册申请人应依据具体产品的特性对注册申报材料的内容进行充实细化，还应依据具体产品的特性确定其中的具体内容是否适用，若不适用，需详细阐述其理由及相应的科学依据。</w:t>
      </w:r>
    </w:p>
    <w:p w14:paraId="6E8CD85F">
      <w:pPr>
        <w:spacing w:line="560" w:lineRule="exact"/>
        <w:ind w:firstLine="640" w:firstLineChars="200"/>
        <w:rPr>
          <w:rFonts w:eastAsia="仿宋_GB2312"/>
          <w:sz w:val="32"/>
          <w:szCs w:val="32"/>
        </w:rPr>
      </w:pPr>
      <w:r>
        <w:rPr>
          <w:rFonts w:hint="eastAsia" w:eastAsia="仿宋_GB2312"/>
          <w:sz w:val="32"/>
          <w:szCs w:val="32"/>
        </w:rPr>
        <w:t>本指导原则是供技术审评人员和注册申请人使用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2C55B072">
      <w:pPr>
        <w:spacing w:line="560" w:lineRule="exact"/>
        <w:ind w:firstLine="640" w:firstLineChars="200"/>
        <w:rPr>
          <w:rFonts w:eastAsia="仿宋_GB2312"/>
          <w:sz w:val="32"/>
          <w:szCs w:val="32"/>
        </w:rPr>
      </w:pPr>
      <w:r>
        <w:rPr>
          <w:rFonts w:hint="eastAsia" w:eastAsia="仿宋_GB2312"/>
          <w:sz w:val="32"/>
          <w:szCs w:val="32"/>
        </w:rPr>
        <w:t>本指导原则是在当前认知水平下制订的，随着相关法规和标准的不断完善和科学技术的不断发展，本指导原则相关内容也将进行适时的调整和更新。</w:t>
      </w:r>
    </w:p>
    <w:bookmarkEnd w:id="0"/>
    <w:p w14:paraId="6E5EC9AC">
      <w:pPr>
        <w:spacing w:line="520" w:lineRule="exact"/>
        <w:ind w:firstLine="640" w:firstLineChars="200"/>
        <w:outlineLvl w:val="0"/>
        <w:rPr>
          <w:rFonts w:ascii="黑体" w:hAnsi="黑体" w:eastAsia="黑体"/>
          <w:bCs/>
          <w:sz w:val="32"/>
          <w:szCs w:val="32"/>
        </w:rPr>
      </w:pPr>
      <w:r>
        <w:rPr>
          <w:rFonts w:hint="eastAsia" w:ascii="黑体" w:hAnsi="黑体" w:eastAsia="黑体"/>
          <w:bCs/>
          <w:sz w:val="32"/>
          <w:szCs w:val="32"/>
        </w:rPr>
        <w:t>一、适用范围</w:t>
      </w:r>
    </w:p>
    <w:p w14:paraId="506CB38C">
      <w:pPr>
        <w:spacing w:line="520" w:lineRule="exact"/>
        <w:ind w:firstLine="640" w:firstLineChars="200"/>
        <w:rPr>
          <w:rFonts w:eastAsia="仿宋_GB2312"/>
          <w:sz w:val="32"/>
          <w:szCs w:val="32"/>
        </w:rPr>
      </w:pPr>
      <w:r>
        <w:rPr>
          <w:rFonts w:hint="eastAsia" w:eastAsia="仿宋_GB2312"/>
          <w:sz w:val="32"/>
          <w:szCs w:val="32"/>
        </w:rPr>
        <w:t>本指导原则适用于针对新生儿高胆红素血症，利用蓝光波段（波长主峰在</w:t>
      </w:r>
      <w:r>
        <w:rPr>
          <w:rFonts w:eastAsia="仿宋_GB2312"/>
          <w:sz w:val="32"/>
          <w:szCs w:val="32"/>
        </w:rPr>
        <w:t>4</w:t>
      </w:r>
      <w:r>
        <w:rPr>
          <w:rFonts w:hint="eastAsia" w:eastAsia="仿宋_GB2312"/>
          <w:sz w:val="32"/>
          <w:szCs w:val="32"/>
        </w:rPr>
        <w:t>25</w:t>
      </w:r>
      <w:r>
        <w:rPr>
          <w:rFonts w:eastAsia="仿宋_GB2312"/>
          <w:sz w:val="32"/>
          <w:szCs w:val="32"/>
        </w:rPr>
        <w:t>nm</w:t>
      </w:r>
      <w:r>
        <w:rPr>
          <w:rFonts w:hint="eastAsia" w:eastAsia="仿宋_GB2312"/>
          <w:sz w:val="32"/>
          <w:szCs w:val="32"/>
        </w:rPr>
        <w:t>~475</w:t>
      </w:r>
      <w:r>
        <w:rPr>
          <w:rFonts w:eastAsia="仿宋_GB2312"/>
          <w:sz w:val="32"/>
          <w:szCs w:val="32"/>
        </w:rPr>
        <w:t>nm</w:t>
      </w:r>
      <w:r>
        <w:rPr>
          <w:rFonts w:hint="eastAsia" w:eastAsia="仿宋_GB2312"/>
          <w:sz w:val="32"/>
          <w:szCs w:val="32"/>
        </w:rPr>
        <w:t>）对新生儿体表进行照射的蓝光治疗设备。在《医疗器械分类目录》（</w:t>
      </w:r>
      <w:r>
        <w:rPr>
          <w:rFonts w:eastAsia="仿宋_GB2312"/>
          <w:sz w:val="32"/>
          <w:szCs w:val="32"/>
        </w:rPr>
        <w:t>2017</w:t>
      </w:r>
      <w:r>
        <w:rPr>
          <w:rFonts w:hint="eastAsia" w:eastAsia="仿宋_GB2312"/>
          <w:sz w:val="32"/>
          <w:szCs w:val="32"/>
        </w:rPr>
        <w:t>年第</w:t>
      </w:r>
      <w:r>
        <w:rPr>
          <w:rFonts w:eastAsia="仿宋_GB2312"/>
          <w:sz w:val="32"/>
          <w:szCs w:val="32"/>
        </w:rPr>
        <w:t>104</w:t>
      </w:r>
      <w:r>
        <w:rPr>
          <w:rFonts w:hint="eastAsia" w:eastAsia="仿宋_GB2312"/>
          <w:sz w:val="32"/>
          <w:szCs w:val="32"/>
        </w:rPr>
        <w:t>号）的管理代号为</w:t>
      </w:r>
      <w:r>
        <w:rPr>
          <w:rFonts w:eastAsia="仿宋_GB2312"/>
          <w:sz w:val="32"/>
          <w:szCs w:val="32"/>
        </w:rPr>
        <w:t>09</w:t>
      </w:r>
      <w:r>
        <w:rPr>
          <w:rFonts w:hint="eastAsia" w:eastAsia="仿宋_GB2312"/>
          <w:sz w:val="32"/>
          <w:szCs w:val="32"/>
        </w:rPr>
        <w:t>物理治疗器械-</w:t>
      </w:r>
      <w:r>
        <w:rPr>
          <w:rFonts w:eastAsia="仿宋_GB2312"/>
          <w:sz w:val="32"/>
          <w:szCs w:val="32"/>
        </w:rPr>
        <w:t>03</w:t>
      </w:r>
      <w:r>
        <w:rPr>
          <w:rFonts w:hint="eastAsia" w:eastAsia="仿宋_GB2312"/>
          <w:sz w:val="32"/>
          <w:szCs w:val="32"/>
        </w:rPr>
        <w:t>光治疗设备-</w:t>
      </w:r>
      <w:r>
        <w:rPr>
          <w:rFonts w:eastAsia="仿宋_GB2312"/>
          <w:sz w:val="32"/>
          <w:szCs w:val="32"/>
        </w:rPr>
        <w:t xml:space="preserve">06 </w:t>
      </w:r>
      <w:r>
        <w:rPr>
          <w:rFonts w:hint="eastAsia" w:eastAsia="仿宋_GB2312"/>
          <w:sz w:val="32"/>
          <w:szCs w:val="32"/>
        </w:rPr>
        <w:t>蓝光治疗设备。</w:t>
      </w:r>
    </w:p>
    <w:p w14:paraId="09DFBB9C">
      <w:pPr>
        <w:spacing w:line="520" w:lineRule="exact"/>
        <w:ind w:firstLine="640" w:firstLineChars="200"/>
        <w:rPr>
          <w:rFonts w:eastAsia="仿宋_GB2312"/>
          <w:sz w:val="32"/>
          <w:szCs w:val="32"/>
        </w:rPr>
      </w:pPr>
      <w:r>
        <w:rPr>
          <w:rFonts w:hint="eastAsia" w:eastAsia="仿宋_GB2312"/>
          <w:sz w:val="32"/>
          <w:szCs w:val="32"/>
        </w:rPr>
        <w:t>本指导原则不适用于治疗痤疮、毛囊炎等体表感染性病变的蓝光治疗仪。</w:t>
      </w:r>
    </w:p>
    <w:p w14:paraId="672D07CB">
      <w:pPr>
        <w:spacing w:line="520" w:lineRule="exact"/>
        <w:ind w:firstLine="640" w:firstLineChars="200"/>
        <w:outlineLvl w:val="0"/>
        <w:rPr>
          <w:rFonts w:ascii="黑体" w:hAnsi="黑体" w:eastAsia="黑体"/>
          <w:bCs/>
          <w:sz w:val="32"/>
          <w:szCs w:val="32"/>
        </w:rPr>
      </w:pPr>
      <w:r>
        <w:rPr>
          <w:rFonts w:hint="eastAsia" w:ascii="黑体" w:hAnsi="黑体" w:eastAsia="黑体"/>
          <w:bCs/>
          <w:sz w:val="32"/>
          <w:szCs w:val="32"/>
        </w:rPr>
        <w:t>二、技术审查要点</w:t>
      </w:r>
    </w:p>
    <w:p w14:paraId="4590D275">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（一）产品名称要求</w:t>
      </w:r>
    </w:p>
    <w:p w14:paraId="315167EA">
      <w:pPr>
        <w:spacing w:line="520" w:lineRule="exact"/>
        <w:ind w:firstLine="640" w:firstLineChars="200"/>
        <w:rPr>
          <w:rFonts w:eastAsia="仿宋_GB2312"/>
          <w:sz w:val="32"/>
          <w:szCs w:val="32"/>
        </w:rPr>
      </w:pPr>
      <w:r>
        <w:rPr>
          <w:rFonts w:hint="eastAsia" w:eastAsia="仿宋_GB2312"/>
          <w:sz w:val="32"/>
          <w:szCs w:val="32"/>
        </w:rPr>
        <w:t>依据《医疗器械通用名称命名规则》及产品特点进行</w:t>
      </w:r>
      <w:r>
        <w:rPr>
          <w:rFonts w:eastAsia="仿宋_GB2312"/>
          <w:sz w:val="32"/>
          <w:szCs w:val="32"/>
        </w:rPr>
        <w:t>命名</w:t>
      </w:r>
      <w:r>
        <w:rPr>
          <w:rFonts w:hint="eastAsia" w:eastAsia="仿宋_GB2312"/>
          <w:sz w:val="32"/>
          <w:szCs w:val="32"/>
        </w:rPr>
        <w:t>，例如：新生儿蓝光治疗仪、非接触式新生儿蓝光治疗仪、接触式新生儿蓝光治疗仪，新生儿黄疸治疗仪。</w:t>
      </w:r>
    </w:p>
    <w:p w14:paraId="1B0C539A">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 xml:space="preserve">（二）产品的结构和组成 </w:t>
      </w:r>
    </w:p>
    <w:p w14:paraId="17BEA912">
      <w:pPr>
        <w:spacing w:line="520" w:lineRule="exact"/>
        <w:ind w:firstLine="567"/>
        <w:rPr>
          <w:rFonts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产品的种类划分</w:t>
      </w:r>
    </w:p>
    <w:p w14:paraId="0868E804">
      <w:pPr>
        <w:spacing w:line="520" w:lineRule="exact"/>
        <w:ind w:firstLine="640" w:firstLineChars="200"/>
        <w:rPr>
          <w:rFonts w:eastAsia="仿宋_GB2312"/>
          <w:sz w:val="32"/>
          <w:szCs w:val="32"/>
        </w:rPr>
      </w:pPr>
      <w:r>
        <w:rPr>
          <w:rFonts w:hint="eastAsia" w:eastAsia="仿宋_GB2312"/>
          <w:sz w:val="32"/>
          <w:szCs w:val="32"/>
        </w:rPr>
        <w:t>按技术结构的不同，可划分为非接触式和接触式。非接触式：如立式、台式；接触式：如毯子包裹式。</w:t>
      </w:r>
    </w:p>
    <w:p w14:paraId="1435F4A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光源</w:t>
      </w:r>
      <w:r>
        <w:rPr>
          <w:rFonts w:hint="eastAsia" w:eastAsia="仿宋_GB2312"/>
          <w:sz w:val="32"/>
          <w:szCs w:val="32"/>
        </w:rPr>
        <w:t>类型划分</w:t>
      </w:r>
    </w:p>
    <w:p w14:paraId="62132B7E">
      <w:pPr>
        <w:spacing w:line="520" w:lineRule="exact"/>
        <w:ind w:firstLine="640" w:firstLineChars="200"/>
        <w:rPr>
          <w:rFonts w:eastAsia="仿宋_GB2312"/>
          <w:sz w:val="32"/>
          <w:szCs w:val="32"/>
        </w:rPr>
      </w:pPr>
      <w:r>
        <w:rPr>
          <w:rFonts w:hint="eastAsia" w:eastAsia="仿宋_GB2312"/>
          <w:sz w:val="32"/>
          <w:szCs w:val="32"/>
        </w:rPr>
        <w:t>按</w:t>
      </w:r>
      <w:r>
        <w:rPr>
          <w:rFonts w:eastAsia="仿宋_GB2312"/>
          <w:sz w:val="32"/>
          <w:szCs w:val="32"/>
        </w:rPr>
        <w:t>产品</w:t>
      </w:r>
      <w:r>
        <w:rPr>
          <w:rFonts w:hint="eastAsia" w:eastAsia="仿宋_GB2312"/>
          <w:sz w:val="32"/>
          <w:szCs w:val="32"/>
        </w:rPr>
        <w:t>光源</w:t>
      </w:r>
      <w:r>
        <w:rPr>
          <w:rFonts w:eastAsia="仿宋_GB2312"/>
          <w:sz w:val="32"/>
          <w:szCs w:val="32"/>
        </w:rPr>
        <w:t>类型的不同，</w:t>
      </w:r>
      <w:r>
        <w:rPr>
          <w:rFonts w:hint="eastAsia" w:eastAsia="仿宋_GB2312"/>
          <w:sz w:val="32"/>
          <w:szCs w:val="32"/>
        </w:rPr>
        <w:t>一般</w:t>
      </w:r>
      <w:r>
        <w:rPr>
          <w:rFonts w:eastAsia="仿宋_GB2312"/>
          <w:sz w:val="32"/>
          <w:szCs w:val="32"/>
        </w:rPr>
        <w:t>分为</w:t>
      </w:r>
      <w:r>
        <w:rPr>
          <w:rFonts w:hint="eastAsia" w:eastAsia="仿宋_GB2312"/>
          <w:sz w:val="32"/>
          <w:szCs w:val="32"/>
        </w:rPr>
        <w:t>LED灯</w:t>
      </w:r>
      <w:r>
        <w:rPr>
          <w:rFonts w:eastAsia="仿宋_GB2312"/>
          <w:sz w:val="32"/>
          <w:szCs w:val="32"/>
        </w:rPr>
        <w:t>、</w:t>
      </w:r>
      <w:r>
        <w:rPr>
          <w:rFonts w:hint="eastAsia" w:eastAsia="仿宋_GB2312"/>
          <w:sz w:val="32"/>
          <w:szCs w:val="32"/>
        </w:rPr>
        <w:t>荧光灯</w:t>
      </w:r>
      <w:r>
        <w:rPr>
          <w:rFonts w:eastAsia="仿宋_GB2312"/>
          <w:sz w:val="32"/>
          <w:szCs w:val="32"/>
        </w:rPr>
        <w:t>、卤素灯</w:t>
      </w:r>
      <w:r>
        <w:rPr>
          <w:rFonts w:hint="eastAsia" w:eastAsia="仿宋_GB2312"/>
          <w:sz w:val="32"/>
          <w:szCs w:val="32"/>
        </w:rPr>
        <w:t>。</w:t>
      </w:r>
    </w:p>
    <w:p w14:paraId="42EFFB62">
      <w:pPr>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产品的结构和组成</w:t>
      </w:r>
    </w:p>
    <w:p w14:paraId="289461AE">
      <w:pPr>
        <w:spacing w:line="520" w:lineRule="exact"/>
        <w:ind w:firstLine="640" w:firstLineChars="200"/>
        <w:rPr>
          <w:rFonts w:eastAsia="仿宋_GB2312"/>
          <w:sz w:val="32"/>
          <w:szCs w:val="32"/>
        </w:rPr>
      </w:pPr>
      <w:r>
        <w:rPr>
          <w:rFonts w:hint="eastAsia" w:eastAsia="仿宋_GB2312"/>
          <w:sz w:val="32"/>
          <w:szCs w:val="32"/>
        </w:rPr>
        <w:t>一般由主机、光源系统组成。其中主机通常含有电源装置、控制装置、检测装置、</w:t>
      </w:r>
      <w:r>
        <w:rPr>
          <w:rFonts w:eastAsia="仿宋_GB2312"/>
          <w:sz w:val="32"/>
          <w:szCs w:val="32"/>
        </w:rPr>
        <w:t>报警装置（</w:t>
      </w:r>
      <w:r>
        <w:rPr>
          <w:rFonts w:hint="eastAsia" w:eastAsia="仿宋_GB2312"/>
          <w:sz w:val="32"/>
          <w:szCs w:val="32"/>
        </w:rPr>
        <w:t>如有</w:t>
      </w:r>
      <w:r>
        <w:rPr>
          <w:rFonts w:eastAsia="仿宋_GB2312"/>
          <w:sz w:val="32"/>
          <w:szCs w:val="32"/>
        </w:rPr>
        <w:t>）</w:t>
      </w:r>
      <w:r>
        <w:rPr>
          <w:rFonts w:hint="eastAsia" w:eastAsia="仿宋_GB2312"/>
          <w:sz w:val="32"/>
          <w:szCs w:val="32"/>
        </w:rPr>
        <w:t>。</w:t>
      </w:r>
    </w:p>
    <w:p w14:paraId="64B776C9">
      <w:pPr>
        <w:spacing w:line="52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组成单元结构</w:t>
      </w:r>
      <w:r>
        <w:rPr>
          <w:rFonts w:eastAsia="仿宋_GB2312"/>
          <w:sz w:val="32"/>
          <w:szCs w:val="32"/>
        </w:rPr>
        <w:t>/</w:t>
      </w:r>
      <w:r>
        <w:rPr>
          <w:rFonts w:hint="eastAsia" w:eastAsia="仿宋_GB2312"/>
          <w:sz w:val="32"/>
          <w:szCs w:val="32"/>
        </w:rPr>
        <w:t>功能描述</w:t>
      </w:r>
    </w:p>
    <w:p w14:paraId="6D54F3B4">
      <w:pPr>
        <w:spacing w:line="520" w:lineRule="exact"/>
        <w:ind w:firstLine="640" w:firstLineChars="200"/>
        <w:rPr>
          <w:rFonts w:eastAsia="仿宋_GB2312"/>
          <w:sz w:val="32"/>
          <w:szCs w:val="32"/>
        </w:rPr>
      </w:pPr>
      <w:r>
        <w:rPr>
          <w:rFonts w:eastAsia="仿宋_GB2312"/>
          <w:sz w:val="32"/>
          <w:szCs w:val="32"/>
        </w:rPr>
        <w:t xml:space="preserve">4.1 </w:t>
      </w:r>
      <w:r>
        <w:rPr>
          <w:rFonts w:hint="eastAsia" w:eastAsia="仿宋_GB2312"/>
          <w:sz w:val="32"/>
          <w:szCs w:val="32"/>
        </w:rPr>
        <w:t>电源装置</w:t>
      </w:r>
    </w:p>
    <w:p w14:paraId="18DE20F6">
      <w:pPr>
        <w:spacing w:line="520" w:lineRule="exact"/>
        <w:ind w:firstLine="960" w:firstLineChars="300"/>
        <w:rPr>
          <w:rFonts w:eastAsia="仿宋_GB2312"/>
          <w:sz w:val="32"/>
          <w:szCs w:val="32"/>
        </w:rPr>
      </w:pPr>
      <w:r>
        <w:rPr>
          <w:rFonts w:hint="eastAsia" w:eastAsia="仿宋_GB2312"/>
          <w:sz w:val="32"/>
          <w:szCs w:val="32"/>
        </w:rPr>
        <w:t>用于为主机和光源系统提供设备运行所必需的电能。</w:t>
      </w:r>
    </w:p>
    <w:p w14:paraId="2DB46521">
      <w:pPr>
        <w:spacing w:line="520" w:lineRule="exact"/>
        <w:ind w:firstLine="640" w:firstLineChars="200"/>
        <w:rPr>
          <w:rFonts w:eastAsia="仿宋_GB2312"/>
          <w:sz w:val="32"/>
          <w:szCs w:val="32"/>
        </w:rPr>
      </w:pPr>
      <w:r>
        <w:rPr>
          <w:rFonts w:eastAsia="仿宋_GB2312"/>
          <w:sz w:val="32"/>
          <w:szCs w:val="32"/>
        </w:rPr>
        <w:t xml:space="preserve">4.2 </w:t>
      </w:r>
      <w:r>
        <w:rPr>
          <w:rFonts w:hint="eastAsia" w:eastAsia="仿宋_GB2312"/>
          <w:sz w:val="32"/>
          <w:szCs w:val="32"/>
        </w:rPr>
        <w:t>控制装置</w:t>
      </w:r>
    </w:p>
    <w:p w14:paraId="018A8536">
      <w:pPr>
        <w:spacing w:line="52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用于控制和调节光能量的输出强度、治疗时间等。</w:t>
      </w:r>
    </w:p>
    <w:p w14:paraId="54B76B22">
      <w:pPr>
        <w:spacing w:line="520" w:lineRule="exact"/>
        <w:ind w:firstLine="640" w:firstLineChars="200"/>
        <w:rPr>
          <w:rFonts w:eastAsia="仿宋_GB2312"/>
          <w:sz w:val="32"/>
          <w:szCs w:val="32"/>
        </w:rPr>
      </w:pPr>
      <w:r>
        <w:rPr>
          <w:rFonts w:eastAsia="仿宋_GB2312"/>
          <w:sz w:val="32"/>
          <w:szCs w:val="32"/>
        </w:rPr>
        <w:t xml:space="preserve">4.3 </w:t>
      </w:r>
      <w:r>
        <w:rPr>
          <w:rFonts w:hint="eastAsia" w:eastAsia="仿宋_GB2312"/>
          <w:sz w:val="32"/>
          <w:szCs w:val="32"/>
        </w:rPr>
        <w:t>检测装置</w:t>
      </w:r>
    </w:p>
    <w:p w14:paraId="1B95C7C1">
      <w:pPr>
        <w:spacing w:line="520" w:lineRule="exact"/>
        <w:ind w:firstLine="1132" w:firstLineChars="354"/>
        <w:rPr>
          <w:rFonts w:eastAsia="仿宋_GB2312"/>
          <w:sz w:val="32"/>
          <w:szCs w:val="32"/>
        </w:rPr>
      </w:pPr>
      <w:r>
        <w:rPr>
          <w:rFonts w:hint="eastAsia" w:eastAsia="仿宋_GB2312"/>
          <w:sz w:val="32"/>
          <w:szCs w:val="32"/>
        </w:rPr>
        <w:t>主要是各种传感器，如温度传感器（负责对光源温度的检测）、电流取样电阻（负责对光源工作电流的检测）。</w:t>
      </w:r>
    </w:p>
    <w:p w14:paraId="6F5F9575">
      <w:pPr>
        <w:spacing w:line="520" w:lineRule="exact"/>
        <w:ind w:firstLine="640" w:firstLineChars="200"/>
        <w:rPr>
          <w:rFonts w:eastAsia="仿宋_GB2312"/>
          <w:sz w:val="32"/>
          <w:szCs w:val="32"/>
        </w:rPr>
      </w:pPr>
      <w:r>
        <w:rPr>
          <w:rFonts w:eastAsia="仿宋_GB2312"/>
          <w:sz w:val="32"/>
          <w:szCs w:val="32"/>
        </w:rPr>
        <w:t xml:space="preserve">4.4 </w:t>
      </w:r>
      <w:r>
        <w:rPr>
          <w:rFonts w:hint="eastAsia" w:eastAsia="仿宋_GB2312"/>
          <w:sz w:val="32"/>
          <w:szCs w:val="32"/>
        </w:rPr>
        <w:t>光源系统</w:t>
      </w:r>
    </w:p>
    <w:p w14:paraId="453AACDE">
      <w:pPr>
        <w:spacing w:line="520" w:lineRule="exact"/>
        <w:ind w:firstLine="640" w:firstLineChars="200"/>
        <w:rPr>
          <w:rFonts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发光光源，光能的来源。申请人应说明光源类型，并提供输出光谱图。接触式新生儿蓝光治疗仪还包括导光装置，一般由光导纤维及包裹着光导纤维的垫子组成。</w:t>
      </w:r>
    </w:p>
    <w:p w14:paraId="269E2D2E">
      <w:pPr>
        <w:spacing w:line="520" w:lineRule="exact"/>
        <w:ind w:firstLine="640" w:firstLineChars="200"/>
        <w:rPr>
          <w:rFonts w:eastAsia="仿宋_GB2312"/>
          <w:sz w:val="32"/>
          <w:szCs w:val="32"/>
        </w:rPr>
      </w:pPr>
      <w:r>
        <w:rPr>
          <w:rFonts w:hint="eastAsia" w:eastAsia="仿宋_GB2312"/>
          <w:sz w:val="32"/>
          <w:szCs w:val="32"/>
        </w:rPr>
        <w:t>4.5报警装置（如有）</w:t>
      </w:r>
    </w:p>
    <w:p w14:paraId="6EDA680E">
      <w:pPr>
        <w:spacing w:line="520" w:lineRule="exact"/>
        <w:ind w:firstLine="640" w:firstLineChars="200"/>
        <w:rPr>
          <w:rFonts w:eastAsia="仿宋_GB2312"/>
          <w:sz w:val="32"/>
          <w:szCs w:val="32"/>
        </w:rPr>
      </w:pPr>
      <w:r>
        <w:rPr>
          <w:rFonts w:hint="eastAsia" w:eastAsia="仿宋_GB2312"/>
          <w:sz w:val="32"/>
          <w:szCs w:val="32"/>
        </w:rPr>
        <w:t>主要包括声音和信息报警，目的是引起用户的注意，提醒用户处理相关报警内容。</w:t>
      </w:r>
    </w:p>
    <w:p w14:paraId="4236E70C">
      <w:pPr>
        <w:spacing w:line="520" w:lineRule="exact"/>
        <w:ind w:left="567" w:firstLine="142"/>
        <w:rPr>
          <w:rFonts w:eastAsia="仿宋_GB2312"/>
          <w:sz w:val="32"/>
          <w:szCs w:val="32"/>
        </w:rPr>
      </w:pPr>
      <w:r>
        <w:rPr>
          <w:rFonts w:eastAsia="仿宋_GB2312"/>
          <w:sz w:val="32"/>
          <w:szCs w:val="32"/>
        </w:rPr>
        <w:t xml:space="preserve">5. </w:t>
      </w:r>
      <w:r>
        <w:rPr>
          <w:rFonts w:hint="eastAsia" w:eastAsia="仿宋_GB2312"/>
          <w:sz w:val="32"/>
          <w:szCs w:val="32"/>
        </w:rPr>
        <w:t>示例</w:t>
      </w:r>
    </w:p>
    <w:p w14:paraId="2A0FD70B">
      <w:pPr>
        <w:spacing w:line="1200" w:lineRule="auto"/>
        <w:ind w:left="567" w:firstLine="142"/>
        <w:rPr>
          <w:rFonts w:eastAsia="仿宋_GB2312"/>
          <w:b/>
          <w:sz w:val="28"/>
          <w:szCs w:val="28"/>
        </w:rPr>
      </w:pPr>
      <w:r>
        <w:rPr>
          <w:rFonts w:hint="eastAsia" w:eastAsia="仿宋_GB2312"/>
          <w:sz w:val="28"/>
          <w:szCs w:val="28"/>
        </w:rPr>
        <w:t xml:space="preserve">  </w:t>
      </w:r>
      <w:r>
        <w:drawing>
          <wp:inline distT="0" distB="0" distL="0" distR="0">
            <wp:extent cx="1226820" cy="179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26926" cy="1798476"/>
                    </a:xfrm>
                    <a:prstGeom prst="rect">
                      <a:avLst/>
                    </a:prstGeom>
                  </pic:spPr>
                </pic:pic>
              </a:graphicData>
            </a:graphic>
          </wp:inline>
        </w:drawing>
      </w:r>
      <w:r>
        <w:rPr>
          <w:rFonts w:hint="eastAsia" w:eastAsia="仿宋_GB2312"/>
          <w:sz w:val="28"/>
          <w:szCs w:val="28"/>
        </w:rPr>
        <w:t xml:space="preserve">        </w:t>
      </w:r>
      <w:r>
        <w:drawing>
          <wp:inline distT="0" distB="0" distL="0" distR="0">
            <wp:extent cx="1546860" cy="1562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546994" cy="1562235"/>
                    </a:xfrm>
                    <a:prstGeom prst="rect">
                      <a:avLst/>
                    </a:prstGeom>
                  </pic:spPr>
                </pic:pic>
              </a:graphicData>
            </a:graphic>
          </wp:inline>
        </w:drawing>
      </w:r>
    </w:p>
    <w:p w14:paraId="7CA14A6F">
      <w:pPr>
        <w:jc w:val="center"/>
        <w:rPr>
          <w:sz w:val="28"/>
          <w:szCs w:val="28"/>
        </w:rPr>
      </w:pPr>
    </w:p>
    <w:p w14:paraId="620348EE">
      <w:pPr>
        <w:ind w:left="420"/>
        <w:jc w:val="center"/>
        <w:rPr>
          <w:szCs w:val="28"/>
        </w:rPr>
      </w:pPr>
      <w:r>
        <w:rPr>
          <w:rFonts w:hint="eastAsia" w:ascii="楷体_GB2312" w:hAnsi="楷体" w:eastAsia="楷体_GB2312"/>
          <w:bCs/>
          <w:szCs w:val="28"/>
        </w:rPr>
        <w:t>图</w:t>
      </w:r>
      <w:r>
        <w:rPr>
          <w:rFonts w:ascii="楷体_GB2312" w:hAnsi="楷体" w:eastAsia="楷体_GB2312"/>
          <w:bCs/>
          <w:szCs w:val="28"/>
        </w:rPr>
        <w:t>1</w:t>
      </w:r>
      <w:r>
        <w:rPr>
          <w:rFonts w:hint="eastAsia" w:ascii="楷体_GB2312" w:hAnsi="楷体" w:eastAsia="楷体_GB2312"/>
          <w:bCs/>
          <w:szCs w:val="28"/>
        </w:rPr>
        <w:t>非接触式蓝光治疗仪示例</w:t>
      </w:r>
    </w:p>
    <w:p w14:paraId="4D27F809">
      <w:pPr>
        <w:jc w:val="center"/>
        <w:rPr>
          <w:rFonts w:ascii="Arial" w:hAnsi="Arial" w:cs="Arial"/>
          <w:sz w:val="28"/>
          <w:szCs w:val="28"/>
        </w:rPr>
      </w:pPr>
      <w:r>
        <w:rPr>
          <w:rFonts w:hint="eastAsia"/>
        </w:rPr>
        <w:drawing>
          <wp:inline distT="0" distB="0" distL="0" distR="0">
            <wp:extent cx="1701800" cy="2078990"/>
            <wp:effectExtent l="0" t="0" r="0" b="0"/>
            <wp:docPr id="3" name="图片 3" descr="图片包含 游戏机, 画, 体育&#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游戏机, 画, 体育&#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2543" cy="2104259"/>
                    </a:xfrm>
                    <a:prstGeom prst="rect">
                      <a:avLst/>
                    </a:prstGeom>
                  </pic:spPr>
                </pic:pic>
              </a:graphicData>
            </a:graphic>
          </wp:inline>
        </w:drawing>
      </w:r>
      <w:r>
        <w:drawing>
          <wp:inline distT="0" distB="0" distL="0" distR="0">
            <wp:extent cx="1968500" cy="2283460"/>
            <wp:effectExtent l="0" t="0" r="0" b="0"/>
            <wp:docPr id="2" name="图片 2"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卡通人物&#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336" cy="2303101"/>
                    </a:xfrm>
                    <a:prstGeom prst="rect">
                      <a:avLst/>
                    </a:prstGeom>
                  </pic:spPr>
                </pic:pic>
              </a:graphicData>
            </a:graphic>
          </wp:inline>
        </w:drawing>
      </w:r>
    </w:p>
    <w:p w14:paraId="557EB785">
      <w:pPr>
        <w:jc w:val="center"/>
        <w:rPr>
          <w:rFonts w:ascii="ˎ̥" w:hAnsi="ˎ̥"/>
          <w:sz w:val="28"/>
          <w:szCs w:val="28"/>
        </w:rPr>
      </w:pPr>
      <w:r>
        <w:rPr>
          <w:rFonts w:ascii="Arial" w:hAnsi="Arial" w:cs="Arial"/>
          <w:sz w:val="28"/>
          <w:szCs w:val="28"/>
        </w:rPr>
        <w:t xml:space="preserve">    </w:t>
      </w:r>
      <w:r>
        <w:rPr>
          <w:rFonts w:hint="eastAsia" w:ascii="楷体_GB2312" w:hAnsi="楷体" w:eastAsia="楷体_GB2312"/>
          <w:bCs/>
          <w:szCs w:val="28"/>
        </w:rPr>
        <w:t>图</w:t>
      </w:r>
      <w:r>
        <w:rPr>
          <w:rFonts w:ascii="楷体_GB2312" w:hAnsi="楷体" w:eastAsia="楷体_GB2312"/>
          <w:bCs/>
          <w:szCs w:val="28"/>
        </w:rPr>
        <w:t>2</w:t>
      </w:r>
      <w:r>
        <w:rPr>
          <w:rFonts w:hint="eastAsia" w:ascii="楷体_GB2312" w:hAnsi="楷体" w:eastAsia="楷体_GB2312"/>
          <w:bCs/>
          <w:szCs w:val="28"/>
        </w:rPr>
        <w:t>接触式蓝光治疗仪示例</w:t>
      </w:r>
    </w:p>
    <w:p w14:paraId="23D95737">
      <w:pPr>
        <w:spacing w:line="520" w:lineRule="exact"/>
        <w:ind w:firstLine="560" w:firstLineChars="200"/>
        <w:outlineLvl w:val="1"/>
        <w:rPr>
          <w:rFonts w:eastAsia="仿宋_GB2312"/>
          <w:sz w:val="28"/>
          <w:szCs w:val="28"/>
        </w:rPr>
      </w:pPr>
    </w:p>
    <w:p w14:paraId="795357C2">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（三）产品工作原理</w:t>
      </w:r>
      <w:r>
        <w:rPr>
          <w:rFonts w:eastAsia="楷体_GB2312"/>
          <w:bCs/>
          <w:iCs/>
          <w:kern w:val="2"/>
          <w:sz w:val="32"/>
          <w:szCs w:val="28"/>
        </w:rPr>
        <w:t>/</w:t>
      </w:r>
      <w:r>
        <w:rPr>
          <w:rFonts w:hint="eastAsia" w:eastAsia="楷体_GB2312"/>
          <w:bCs/>
          <w:iCs/>
          <w:kern w:val="2"/>
          <w:sz w:val="32"/>
          <w:szCs w:val="28"/>
        </w:rPr>
        <w:t>作用机理</w:t>
      </w:r>
    </w:p>
    <w:p w14:paraId="0D5AA3A4">
      <w:pPr>
        <w:spacing w:line="520" w:lineRule="exact"/>
        <w:ind w:firstLine="640" w:firstLineChars="200"/>
        <w:rPr>
          <w:rFonts w:eastAsia="仿宋_GB2312"/>
          <w:kern w:val="2"/>
          <w:sz w:val="32"/>
          <w:szCs w:val="32"/>
        </w:rPr>
      </w:pPr>
      <w:r>
        <w:rPr>
          <w:rFonts w:eastAsia="仿宋_GB2312"/>
          <w:kern w:val="2"/>
          <w:sz w:val="32"/>
          <w:szCs w:val="32"/>
        </w:rPr>
        <w:t>1.</w:t>
      </w:r>
      <w:r>
        <w:rPr>
          <w:rFonts w:hint="eastAsia" w:eastAsia="仿宋_GB2312"/>
          <w:kern w:val="2"/>
          <w:sz w:val="32"/>
          <w:szCs w:val="32"/>
        </w:rPr>
        <w:t>工作原理</w:t>
      </w:r>
    </w:p>
    <w:p w14:paraId="10F0ACB7">
      <w:pPr>
        <w:spacing w:line="520" w:lineRule="exact"/>
        <w:ind w:firstLine="640" w:firstLineChars="200"/>
        <w:rPr>
          <w:rFonts w:eastAsia="仿宋_GB2312"/>
          <w:kern w:val="2"/>
          <w:sz w:val="32"/>
          <w:szCs w:val="32"/>
        </w:rPr>
      </w:pPr>
      <w:r>
        <w:rPr>
          <w:rFonts w:hint="eastAsia" w:eastAsia="仿宋_GB2312"/>
          <w:kern w:val="2"/>
          <w:sz w:val="32"/>
          <w:szCs w:val="32"/>
        </w:rPr>
        <w:t>新生儿蓝光治疗仪通过发光装置将电能转化为用于治疗目的的特定波长的受控光能。</w:t>
      </w:r>
    </w:p>
    <w:p w14:paraId="6B18B082">
      <w:pPr>
        <w:spacing w:line="520" w:lineRule="exact"/>
        <w:ind w:firstLine="640" w:firstLineChars="200"/>
        <w:rPr>
          <w:rFonts w:eastAsia="仿宋_GB2312"/>
          <w:kern w:val="2"/>
          <w:sz w:val="32"/>
          <w:szCs w:val="32"/>
        </w:rPr>
      </w:pPr>
      <w:bookmarkStart w:id="1" w:name="_Toc306265289"/>
      <w:r>
        <w:rPr>
          <w:rFonts w:hint="eastAsia" w:eastAsia="仿宋_GB2312"/>
          <w:kern w:val="2"/>
          <w:sz w:val="32"/>
          <w:szCs w:val="32"/>
        </w:rPr>
        <w:t>2</w:t>
      </w:r>
      <w:r>
        <w:rPr>
          <w:rFonts w:eastAsia="仿宋_GB2312"/>
          <w:kern w:val="2"/>
          <w:sz w:val="32"/>
          <w:szCs w:val="32"/>
        </w:rPr>
        <w:t>.</w:t>
      </w:r>
      <w:r>
        <w:rPr>
          <w:rFonts w:hint="eastAsia" w:eastAsia="仿宋_GB2312"/>
          <w:kern w:val="2"/>
          <w:sz w:val="32"/>
          <w:szCs w:val="32"/>
        </w:rPr>
        <w:t>作用机理</w:t>
      </w:r>
    </w:p>
    <w:p w14:paraId="2D385926">
      <w:pPr>
        <w:spacing w:line="520" w:lineRule="exact"/>
        <w:ind w:firstLine="640" w:firstLineChars="200"/>
        <w:rPr>
          <w:rFonts w:eastAsia="仿宋_GB2312"/>
          <w:kern w:val="2"/>
          <w:sz w:val="32"/>
          <w:szCs w:val="32"/>
        </w:rPr>
      </w:pPr>
      <w:r>
        <w:rPr>
          <w:rFonts w:hint="eastAsia" w:eastAsia="仿宋_GB2312"/>
          <w:kern w:val="2"/>
          <w:sz w:val="32"/>
          <w:szCs w:val="32"/>
        </w:rPr>
        <w:t>胆红素能吸收光线，光照疗法通过转变胆红素产生异构体，使胆红素从脂溶性转变为水溶性，不经过肝的结合，经胆汁或尿排出体外。</w:t>
      </w:r>
    </w:p>
    <w:bookmarkEnd w:id="1"/>
    <w:p w14:paraId="65C0CC43">
      <w:pPr>
        <w:spacing w:line="520" w:lineRule="exact"/>
        <w:ind w:firstLine="640" w:firstLineChars="200"/>
        <w:outlineLvl w:val="1"/>
        <w:rPr>
          <w:rFonts w:eastAsia="楷体_GB2312"/>
          <w:bCs/>
          <w:iCs/>
          <w:kern w:val="2"/>
          <w:sz w:val="32"/>
          <w:szCs w:val="28"/>
        </w:rPr>
      </w:pPr>
      <w:bookmarkStart w:id="2" w:name="_Toc306265290"/>
      <w:r>
        <w:rPr>
          <w:rFonts w:hint="eastAsia" w:eastAsia="楷体_GB2312"/>
          <w:bCs/>
          <w:iCs/>
          <w:kern w:val="2"/>
          <w:sz w:val="32"/>
          <w:szCs w:val="28"/>
        </w:rPr>
        <w:t>（四）注册单元划分的原则和实例</w:t>
      </w:r>
    </w:p>
    <w:p w14:paraId="30690ECB">
      <w:pPr>
        <w:spacing w:line="520" w:lineRule="exact"/>
        <w:ind w:firstLine="640" w:firstLineChars="200"/>
        <w:rPr>
          <w:rFonts w:eastAsia="仿宋_GB2312"/>
          <w:kern w:val="2"/>
          <w:sz w:val="32"/>
          <w:szCs w:val="32"/>
        </w:rPr>
      </w:pPr>
      <w:r>
        <w:rPr>
          <w:rFonts w:hint="eastAsia" w:eastAsia="仿宋_GB2312"/>
          <w:kern w:val="2"/>
          <w:sz w:val="32"/>
          <w:szCs w:val="32"/>
        </w:rPr>
        <w:t>注册单元按照《医疗器械注册管理办法》第七十四条的要求“医疗器械注册或者备案单元原则上以产品的技术原理、结构组成、性能指标和适用范围为划分依据”进行划分，并建议结合以下方面进行考虑。</w:t>
      </w:r>
    </w:p>
    <w:p w14:paraId="49693D2A">
      <w:pPr>
        <w:widowControl w:val="0"/>
        <w:numPr>
          <w:ilvl w:val="0"/>
          <w:numId w:val="2"/>
        </w:numPr>
        <w:spacing w:line="520" w:lineRule="exact"/>
        <w:jc w:val="both"/>
        <w:rPr>
          <w:rFonts w:eastAsia="仿宋_GB2312"/>
          <w:kern w:val="2"/>
          <w:sz w:val="32"/>
          <w:szCs w:val="32"/>
        </w:rPr>
      </w:pPr>
      <w:r>
        <w:rPr>
          <w:rFonts w:eastAsia="仿宋_GB2312"/>
          <w:kern w:val="2"/>
          <w:sz w:val="32"/>
          <w:szCs w:val="32"/>
        </w:rPr>
        <w:t xml:space="preserve"> </w:t>
      </w:r>
      <w:r>
        <w:rPr>
          <w:rFonts w:hint="eastAsia" w:eastAsia="仿宋_GB2312"/>
          <w:kern w:val="2"/>
          <w:sz w:val="32"/>
          <w:szCs w:val="32"/>
        </w:rPr>
        <w:t>光源类型</w:t>
      </w:r>
    </w:p>
    <w:p w14:paraId="655C4FAB">
      <w:pPr>
        <w:spacing w:line="520" w:lineRule="exact"/>
        <w:ind w:firstLine="640" w:firstLineChars="200"/>
        <w:rPr>
          <w:rFonts w:eastAsia="仿宋_GB2312"/>
          <w:kern w:val="2"/>
          <w:sz w:val="32"/>
          <w:szCs w:val="32"/>
        </w:rPr>
      </w:pPr>
      <w:r>
        <w:rPr>
          <w:rFonts w:hint="eastAsia" w:eastAsia="仿宋_GB2312"/>
          <w:kern w:val="2"/>
          <w:sz w:val="32"/>
          <w:szCs w:val="32"/>
        </w:rPr>
        <w:t>光源类型不同，考虑划分为不同注册单元，例如：卤素灯和</w:t>
      </w:r>
      <w:r>
        <w:rPr>
          <w:rFonts w:eastAsia="仿宋_GB2312"/>
          <w:kern w:val="2"/>
          <w:sz w:val="32"/>
          <w:szCs w:val="32"/>
        </w:rPr>
        <w:t>LED</w:t>
      </w:r>
      <w:r>
        <w:rPr>
          <w:rFonts w:hint="eastAsia" w:eastAsia="仿宋_GB2312"/>
          <w:kern w:val="2"/>
          <w:sz w:val="32"/>
          <w:szCs w:val="32"/>
        </w:rPr>
        <w:t>。</w:t>
      </w:r>
    </w:p>
    <w:p w14:paraId="2169440A">
      <w:pPr>
        <w:widowControl w:val="0"/>
        <w:numPr>
          <w:ilvl w:val="0"/>
          <w:numId w:val="2"/>
        </w:numPr>
        <w:spacing w:line="520" w:lineRule="exact"/>
        <w:jc w:val="both"/>
        <w:rPr>
          <w:rFonts w:eastAsia="仿宋_GB2312"/>
          <w:kern w:val="2"/>
          <w:sz w:val="32"/>
          <w:szCs w:val="32"/>
        </w:rPr>
      </w:pPr>
      <w:r>
        <w:rPr>
          <w:rFonts w:eastAsia="仿宋_GB2312"/>
          <w:kern w:val="2"/>
          <w:sz w:val="32"/>
          <w:szCs w:val="32"/>
        </w:rPr>
        <w:t xml:space="preserve"> </w:t>
      </w:r>
      <w:r>
        <w:rPr>
          <w:rFonts w:hint="eastAsia" w:eastAsia="仿宋_GB2312"/>
          <w:kern w:val="2"/>
          <w:sz w:val="32"/>
          <w:szCs w:val="32"/>
        </w:rPr>
        <w:t>技术结构</w:t>
      </w:r>
    </w:p>
    <w:p w14:paraId="5E640335">
      <w:pPr>
        <w:spacing w:line="520" w:lineRule="exact"/>
        <w:ind w:firstLine="284"/>
        <w:rPr>
          <w:rFonts w:eastAsia="仿宋_GB2312"/>
          <w:kern w:val="2"/>
          <w:sz w:val="32"/>
          <w:szCs w:val="32"/>
        </w:rPr>
      </w:pPr>
      <w:r>
        <w:rPr>
          <w:rFonts w:eastAsia="仿宋_GB2312"/>
          <w:kern w:val="2"/>
          <w:sz w:val="32"/>
          <w:szCs w:val="32"/>
        </w:rPr>
        <w:t xml:space="preserve">  </w:t>
      </w:r>
      <w:r>
        <w:rPr>
          <w:rFonts w:hint="eastAsia" w:eastAsia="仿宋_GB2312"/>
          <w:kern w:val="2"/>
          <w:sz w:val="32"/>
          <w:szCs w:val="32"/>
        </w:rPr>
        <w:t>技术结构不同，考虑划分为不同注册单元，例如：非接触式和接触式。</w:t>
      </w:r>
    </w:p>
    <w:p w14:paraId="5B8C1B2F">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（五）产品适用的相关标准</w:t>
      </w:r>
    </w:p>
    <w:p w14:paraId="28FBBBEF">
      <w:pPr>
        <w:spacing w:line="520" w:lineRule="exact"/>
        <w:ind w:firstLine="567"/>
        <w:rPr>
          <w:rFonts w:eastAsia="仿宋_GB2312"/>
          <w:kern w:val="2"/>
          <w:sz w:val="32"/>
          <w:szCs w:val="32"/>
        </w:rPr>
      </w:pPr>
      <w:r>
        <w:rPr>
          <w:rFonts w:hint="eastAsia" w:eastAsia="仿宋_GB2312"/>
          <w:kern w:val="2"/>
          <w:sz w:val="32"/>
          <w:szCs w:val="32"/>
        </w:rPr>
        <w:t>下列标准可以应用于本文件。凡是注日期的标准，仅注日期的版本适用于本文件。凡是不注日期的标准，其最新版本（包括所有的修改单）适用于本文件。</w:t>
      </w:r>
    </w:p>
    <w:p w14:paraId="5C657BD7">
      <w:pPr>
        <w:spacing w:line="520" w:lineRule="exact"/>
        <w:jc w:val="center"/>
        <w:rPr>
          <w:rFonts w:eastAsia="仿宋_GB2312"/>
          <w:kern w:val="2"/>
          <w:sz w:val="32"/>
          <w:szCs w:val="32"/>
        </w:rPr>
      </w:pPr>
      <w:r>
        <w:rPr>
          <w:rFonts w:hint="eastAsia" w:eastAsia="仿宋_GB2312"/>
          <w:kern w:val="2"/>
          <w:sz w:val="32"/>
          <w:szCs w:val="32"/>
        </w:rPr>
        <w:t>表</w:t>
      </w:r>
      <w:r>
        <w:rPr>
          <w:rFonts w:eastAsia="仿宋_GB2312"/>
          <w:kern w:val="2"/>
          <w:sz w:val="32"/>
          <w:szCs w:val="32"/>
        </w:rPr>
        <w:t>1</w:t>
      </w:r>
      <w:r>
        <w:rPr>
          <w:rFonts w:hint="eastAsia" w:eastAsia="仿宋_GB2312"/>
          <w:kern w:val="2"/>
          <w:sz w:val="32"/>
          <w:szCs w:val="32"/>
        </w:rPr>
        <w:t>相关产品标准</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6382"/>
      </w:tblGrid>
      <w:tr w14:paraId="02AF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26" w:type="dxa"/>
            <w:vAlign w:val="center"/>
          </w:tcPr>
          <w:p w14:paraId="3C4CD3E7">
            <w:pPr>
              <w:spacing w:line="520" w:lineRule="exact"/>
              <w:rPr>
                <w:rFonts w:ascii="黑体" w:hAnsi="黑体" w:eastAsia="黑体" w:cs="黑体"/>
                <w:kern w:val="2"/>
                <w:sz w:val="28"/>
                <w:szCs w:val="28"/>
              </w:rPr>
            </w:pPr>
            <w:r>
              <w:rPr>
                <w:rFonts w:hint="eastAsia" w:ascii="黑体" w:hAnsi="黑体" w:eastAsia="黑体" w:cs="黑体"/>
                <w:kern w:val="2"/>
                <w:sz w:val="28"/>
                <w:szCs w:val="28"/>
              </w:rPr>
              <w:t>标准号</w:t>
            </w:r>
          </w:p>
        </w:tc>
        <w:tc>
          <w:tcPr>
            <w:tcW w:w="6382" w:type="dxa"/>
            <w:vAlign w:val="center"/>
          </w:tcPr>
          <w:p w14:paraId="6A6A14DD">
            <w:pPr>
              <w:spacing w:line="520" w:lineRule="exact"/>
              <w:rPr>
                <w:rFonts w:ascii="黑体" w:hAnsi="黑体" w:eastAsia="黑体" w:cs="黑体"/>
                <w:kern w:val="2"/>
                <w:sz w:val="28"/>
                <w:szCs w:val="28"/>
              </w:rPr>
            </w:pPr>
            <w:r>
              <w:rPr>
                <w:rFonts w:hint="eastAsia" w:ascii="黑体" w:hAnsi="黑体" w:eastAsia="黑体" w:cs="黑体"/>
                <w:kern w:val="2"/>
                <w:sz w:val="28"/>
                <w:szCs w:val="28"/>
              </w:rPr>
              <w:t>标准名称</w:t>
            </w:r>
          </w:p>
        </w:tc>
      </w:tr>
      <w:tr w14:paraId="0791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28C4DF41">
            <w:pPr>
              <w:spacing w:line="520" w:lineRule="exact"/>
              <w:rPr>
                <w:rFonts w:eastAsia="仿宋_GB2312"/>
                <w:kern w:val="2"/>
                <w:sz w:val="28"/>
                <w:szCs w:val="28"/>
              </w:rPr>
            </w:pPr>
            <w:r>
              <w:rPr>
                <w:rFonts w:eastAsia="仿宋_GB2312"/>
                <w:kern w:val="2"/>
                <w:sz w:val="28"/>
                <w:szCs w:val="28"/>
              </w:rPr>
              <w:t>GB 9706.1-2007</w:t>
            </w:r>
          </w:p>
        </w:tc>
        <w:tc>
          <w:tcPr>
            <w:tcW w:w="6382" w:type="dxa"/>
          </w:tcPr>
          <w:p w14:paraId="23B5913D">
            <w:pPr>
              <w:spacing w:line="520" w:lineRule="exact"/>
              <w:rPr>
                <w:rFonts w:eastAsia="仿宋_GB2312"/>
                <w:kern w:val="2"/>
                <w:sz w:val="28"/>
                <w:szCs w:val="28"/>
              </w:rPr>
            </w:pPr>
            <w:r>
              <w:rPr>
                <w:rFonts w:hint="eastAsia" w:eastAsia="仿宋_GB2312"/>
                <w:kern w:val="2"/>
                <w:sz w:val="28"/>
                <w:szCs w:val="28"/>
              </w:rPr>
              <w:t>医用电气设备</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1</w:t>
            </w:r>
            <w:r>
              <w:rPr>
                <w:rFonts w:hint="eastAsia" w:eastAsia="仿宋_GB2312"/>
                <w:kern w:val="2"/>
                <w:sz w:val="28"/>
                <w:szCs w:val="28"/>
              </w:rPr>
              <w:t>部分：安全通用要求</w:t>
            </w:r>
          </w:p>
        </w:tc>
      </w:tr>
      <w:tr w14:paraId="11F4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77299566">
            <w:pPr>
              <w:spacing w:line="520" w:lineRule="exact"/>
              <w:rPr>
                <w:rFonts w:eastAsia="仿宋_GB2312"/>
                <w:kern w:val="2"/>
                <w:sz w:val="28"/>
                <w:szCs w:val="28"/>
              </w:rPr>
            </w:pPr>
            <w:r>
              <w:rPr>
                <w:rFonts w:eastAsia="仿宋_GB2312"/>
                <w:kern w:val="2"/>
                <w:sz w:val="28"/>
                <w:szCs w:val="28"/>
              </w:rPr>
              <w:t>GB/T 14710-2009</w:t>
            </w:r>
          </w:p>
        </w:tc>
        <w:tc>
          <w:tcPr>
            <w:tcW w:w="6382" w:type="dxa"/>
          </w:tcPr>
          <w:p w14:paraId="115556EE">
            <w:pPr>
              <w:spacing w:line="520" w:lineRule="exact"/>
              <w:rPr>
                <w:rFonts w:eastAsia="仿宋_GB2312"/>
                <w:kern w:val="2"/>
                <w:sz w:val="28"/>
                <w:szCs w:val="28"/>
              </w:rPr>
            </w:pPr>
            <w:r>
              <w:rPr>
                <w:rFonts w:hint="eastAsia" w:eastAsia="仿宋_GB2312"/>
                <w:kern w:val="2"/>
                <w:sz w:val="28"/>
                <w:szCs w:val="28"/>
              </w:rPr>
              <w:t>医用电器环境要求及试验方法</w:t>
            </w:r>
          </w:p>
        </w:tc>
      </w:tr>
      <w:tr w14:paraId="1343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6FA1DCC5">
            <w:pPr>
              <w:spacing w:line="520" w:lineRule="exact"/>
              <w:rPr>
                <w:rFonts w:eastAsia="仿宋_GB2312"/>
                <w:kern w:val="2"/>
                <w:sz w:val="28"/>
                <w:szCs w:val="28"/>
              </w:rPr>
            </w:pPr>
            <w:r>
              <w:rPr>
                <w:rFonts w:eastAsia="仿宋_GB2312"/>
                <w:kern w:val="2"/>
                <w:sz w:val="28"/>
                <w:szCs w:val="28"/>
              </w:rPr>
              <w:t xml:space="preserve">GB/T </w:t>
            </w:r>
            <w:r>
              <w:rPr>
                <w:rFonts w:ascii="黑体" w:hAnsi="黑体" w:eastAsia="黑体" w:cs="黑体"/>
                <w:kern w:val="2"/>
                <w:sz w:val="28"/>
                <w:szCs w:val="28"/>
              </w:rPr>
              <w:t>16886</w:t>
            </w:r>
            <w:r>
              <w:rPr>
                <w:rFonts w:eastAsia="仿宋_GB2312"/>
                <w:kern w:val="2"/>
                <w:sz w:val="28"/>
                <w:szCs w:val="28"/>
              </w:rPr>
              <w:t>.1-2011</w:t>
            </w:r>
          </w:p>
        </w:tc>
        <w:tc>
          <w:tcPr>
            <w:tcW w:w="6382" w:type="dxa"/>
          </w:tcPr>
          <w:p w14:paraId="2F9F7478">
            <w:pPr>
              <w:spacing w:line="520" w:lineRule="exact"/>
              <w:rPr>
                <w:rFonts w:eastAsia="仿宋_GB2312"/>
                <w:kern w:val="2"/>
                <w:sz w:val="28"/>
                <w:szCs w:val="28"/>
              </w:rPr>
            </w:pPr>
            <w:r>
              <w:rPr>
                <w:rFonts w:hint="eastAsia" w:eastAsia="仿宋_GB2312"/>
                <w:kern w:val="2"/>
                <w:sz w:val="28"/>
                <w:szCs w:val="28"/>
              </w:rPr>
              <w:t>医疗器械生物学评价</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1</w:t>
            </w:r>
            <w:r>
              <w:rPr>
                <w:rFonts w:hint="eastAsia" w:eastAsia="仿宋_GB2312"/>
                <w:kern w:val="2"/>
                <w:sz w:val="28"/>
                <w:szCs w:val="28"/>
              </w:rPr>
              <w:t>部分：风险管理过程中的评价与试验</w:t>
            </w:r>
          </w:p>
        </w:tc>
      </w:tr>
      <w:tr w14:paraId="2D51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2DE8157C">
            <w:pPr>
              <w:spacing w:line="520" w:lineRule="exact"/>
              <w:rPr>
                <w:rFonts w:eastAsia="仿宋_GB2312"/>
                <w:kern w:val="2"/>
                <w:sz w:val="28"/>
                <w:szCs w:val="28"/>
              </w:rPr>
            </w:pPr>
            <w:r>
              <w:rPr>
                <w:rFonts w:eastAsia="仿宋_GB2312"/>
                <w:kern w:val="2"/>
                <w:sz w:val="28"/>
                <w:szCs w:val="28"/>
              </w:rPr>
              <w:t>GB/T 16886.5-2017</w:t>
            </w:r>
          </w:p>
        </w:tc>
        <w:tc>
          <w:tcPr>
            <w:tcW w:w="6382" w:type="dxa"/>
          </w:tcPr>
          <w:p w14:paraId="3B8D0DA3">
            <w:pPr>
              <w:spacing w:line="520" w:lineRule="exact"/>
              <w:rPr>
                <w:rFonts w:eastAsia="仿宋_GB2312"/>
                <w:kern w:val="2"/>
                <w:sz w:val="28"/>
                <w:szCs w:val="28"/>
              </w:rPr>
            </w:pPr>
            <w:r>
              <w:rPr>
                <w:rFonts w:hint="eastAsia" w:eastAsia="仿宋_GB2312"/>
                <w:kern w:val="2"/>
                <w:sz w:val="28"/>
                <w:szCs w:val="28"/>
              </w:rPr>
              <w:t>医疗器械生物学评价</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5</w:t>
            </w:r>
            <w:r>
              <w:rPr>
                <w:rFonts w:hint="eastAsia" w:eastAsia="仿宋_GB2312"/>
                <w:kern w:val="2"/>
                <w:sz w:val="28"/>
                <w:szCs w:val="28"/>
              </w:rPr>
              <w:t>部分：体外细胞毒性试验</w:t>
            </w:r>
          </w:p>
        </w:tc>
      </w:tr>
      <w:tr w14:paraId="6EE9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196D3463">
            <w:pPr>
              <w:spacing w:line="520" w:lineRule="exact"/>
              <w:rPr>
                <w:rFonts w:eastAsia="仿宋_GB2312"/>
                <w:kern w:val="2"/>
                <w:sz w:val="28"/>
                <w:szCs w:val="28"/>
              </w:rPr>
            </w:pPr>
            <w:r>
              <w:rPr>
                <w:rFonts w:eastAsia="仿宋_GB2312"/>
                <w:kern w:val="2"/>
                <w:sz w:val="28"/>
                <w:szCs w:val="28"/>
              </w:rPr>
              <w:t>GB/T 16886.10-2017</w:t>
            </w:r>
          </w:p>
        </w:tc>
        <w:tc>
          <w:tcPr>
            <w:tcW w:w="6382" w:type="dxa"/>
          </w:tcPr>
          <w:p w14:paraId="0D7F7CF4">
            <w:pPr>
              <w:spacing w:line="520" w:lineRule="exact"/>
              <w:rPr>
                <w:rFonts w:eastAsia="仿宋_GB2312"/>
                <w:kern w:val="2"/>
                <w:sz w:val="28"/>
                <w:szCs w:val="28"/>
              </w:rPr>
            </w:pPr>
            <w:r>
              <w:rPr>
                <w:rFonts w:hint="eastAsia" w:eastAsia="仿宋_GB2312"/>
                <w:kern w:val="2"/>
                <w:sz w:val="28"/>
                <w:szCs w:val="28"/>
              </w:rPr>
              <w:t>医疗器械生物学评价</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10</w:t>
            </w:r>
            <w:r>
              <w:rPr>
                <w:rFonts w:hint="eastAsia" w:eastAsia="仿宋_GB2312"/>
                <w:kern w:val="2"/>
                <w:sz w:val="28"/>
                <w:szCs w:val="28"/>
              </w:rPr>
              <w:t>部分：刺激与皮肤致敏反应试验</w:t>
            </w:r>
          </w:p>
        </w:tc>
      </w:tr>
      <w:tr w14:paraId="604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24A72C5A">
            <w:pPr>
              <w:spacing w:line="520" w:lineRule="exact"/>
              <w:rPr>
                <w:rFonts w:eastAsia="仿宋_GB2312"/>
                <w:kern w:val="2"/>
                <w:sz w:val="28"/>
                <w:szCs w:val="28"/>
              </w:rPr>
            </w:pPr>
            <w:r>
              <w:rPr>
                <w:rFonts w:eastAsia="仿宋_GB2312"/>
                <w:kern w:val="2"/>
                <w:sz w:val="28"/>
                <w:szCs w:val="28"/>
              </w:rPr>
              <w:t>YY/T 0316-2016</w:t>
            </w:r>
          </w:p>
        </w:tc>
        <w:tc>
          <w:tcPr>
            <w:tcW w:w="6382" w:type="dxa"/>
          </w:tcPr>
          <w:p w14:paraId="3C5D3F21">
            <w:pPr>
              <w:spacing w:line="520" w:lineRule="exact"/>
              <w:rPr>
                <w:rFonts w:eastAsia="仿宋_GB2312"/>
                <w:kern w:val="2"/>
                <w:sz w:val="28"/>
                <w:szCs w:val="28"/>
              </w:rPr>
            </w:pPr>
            <w:r>
              <w:rPr>
                <w:rFonts w:hint="eastAsia" w:eastAsia="仿宋_GB2312"/>
                <w:kern w:val="2"/>
                <w:sz w:val="28"/>
                <w:szCs w:val="28"/>
              </w:rPr>
              <w:t>医疗器械</w:t>
            </w:r>
            <w:r>
              <w:rPr>
                <w:rFonts w:eastAsia="仿宋_GB2312"/>
                <w:kern w:val="2"/>
                <w:sz w:val="28"/>
                <w:szCs w:val="28"/>
              </w:rPr>
              <w:t xml:space="preserve"> </w:t>
            </w:r>
            <w:r>
              <w:rPr>
                <w:rFonts w:hint="eastAsia" w:eastAsia="仿宋_GB2312"/>
                <w:kern w:val="2"/>
                <w:sz w:val="28"/>
                <w:szCs w:val="28"/>
              </w:rPr>
              <w:t>风险管理对医疗器械的应用</w:t>
            </w:r>
          </w:p>
        </w:tc>
      </w:tr>
      <w:tr w14:paraId="3FF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09E10B94">
            <w:pPr>
              <w:spacing w:line="520" w:lineRule="exact"/>
              <w:rPr>
                <w:rFonts w:eastAsia="仿宋_GB2312"/>
                <w:kern w:val="2"/>
                <w:sz w:val="28"/>
                <w:szCs w:val="28"/>
              </w:rPr>
            </w:pPr>
            <w:r>
              <w:rPr>
                <w:rFonts w:eastAsia="仿宋_GB2312"/>
                <w:kern w:val="2"/>
                <w:sz w:val="28"/>
                <w:szCs w:val="28"/>
              </w:rPr>
              <w:t>YY/T 0466.1-2009</w:t>
            </w:r>
          </w:p>
        </w:tc>
        <w:tc>
          <w:tcPr>
            <w:tcW w:w="6382" w:type="dxa"/>
            <w:vAlign w:val="center"/>
          </w:tcPr>
          <w:p w14:paraId="1985E03E">
            <w:pPr>
              <w:spacing w:line="520" w:lineRule="exact"/>
              <w:rPr>
                <w:rFonts w:eastAsia="仿宋_GB2312"/>
                <w:kern w:val="2"/>
                <w:sz w:val="28"/>
                <w:szCs w:val="28"/>
              </w:rPr>
            </w:pPr>
            <w:r>
              <w:rPr>
                <w:rFonts w:hint="eastAsia" w:eastAsia="仿宋_GB2312"/>
                <w:kern w:val="2"/>
                <w:sz w:val="28"/>
                <w:szCs w:val="28"/>
              </w:rPr>
              <w:t>医疗器械用于医疗器械标签、标记和提供信息的符号</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1</w:t>
            </w:r>
            <w:r>
              <w:rPr>
                <w:rFonts w:hint="eastAsia" w:eastAsia="仿宋_GB2312"/>
                <w:kern w:val="2"/>
                <w:sz w:val="28"/>
                <w:szCs w:val="28"/>
              </w:rPr>
              <w:t>部分：通用要求</w:t>
            </w:r>
          </w:p>
        </w:tc>
      </w:tr>
      <w:tr w14:paraId="3DA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5DECC0B7">
            <w:pPr>
              <w:spacing w:line="520" w:lineRule="exact"/>
              <w:rPr>
                <w:rFonts w:eastAsia="仿宋_GB2312"/>
                <w:kern w:val="2"/>
                <w:sz w:val="28"/>
                <w:szCs w:val="28"/>
              </w:rPr>
            </w:pPr>
            <w:r>
              <w:rPr>
                <w:rFonts w:eastAsia="仿宋_GB2312"/>
                <w:kern w:val="2"/>
                <w:sz w:val="28"/>
                <w:szCs w:val="28"/>
              </w:rPr>
              <w:t>YY/T 0466.2-2015</w:t>
            </w:r>
          </w:p>
        </w:tc>
        <w:tc>
          <w:tcPr>
            <w:tcW w:w="6382" w:type="dxa"/>
            <w:vAlign w:val="center"/>
          </w:tcPr>
          <w:p w14:paraId="5EAA1321">
            <w:pPr>
              <w:spacing w:line="520" w:lineRule="exact"/>
              <w:rPr>
                <w:rFonts w:eastAsia="仿宋_GB2312"/>
                <w:kern w:val="2"/>
                <w:sz w:val="28"/>
                <w:szCs w:val="28"/>
              </w:rPr>
            </w:pPr>
            <w:r>
              <w:rPr>
                <w:rFonts w:hint="eastAsia" w:eastAsia="仿宋_GB2312"/>
                <w:kern w:val="2"/>
                <w:sz w:val="28"/>
                <w:szCs w:val="28"/>
              </w:rPr>
              <w:t>医疗器械用于医疗器械标签、标记和提供信息的符号</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2</w:t>
            </w:r>
            <w:r>
              <w:rPr>
                <w:rFonts w:hint="eastAsia" w:eastAsia="仿宋_GB2312"/>
                <w:kern w:val="2"/>
                <w:sz w:val="28"/>
                <w:szCs w:val="28"/>
              </w:rPr>
              <w:t>部分：符号的制订、选择和确认</w:t>
            </w:r>
          </w:p>
        </w:tc>
      </w:tr>
      <w:tr w14:paraId="044E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5772B7EB">
            <w:pPr>
              <w:spacing w:line="520" w:lineRule="exact"/>
              <w:rPr>
                <w:rFonts w:eastAsia="仿宋_GB2312"/>
                <w:kern w:val="2"/>
                <w:sz w:val="28"/>
                <w:szCs w:val="28"/>
              </w:rPr>
            </w:pPr>
            <w:r>
              <w:rPr>
                <w:rFonts w:eastAsia="仿宋_GB2312"/>
                <w:kern w:val="2"/>
                <w:sz w:val="28"/>
                <w:szCs w:val="28"/>
              </w:rPr>
              <w:t>YY 0505-2012</w:t>
            </w:r>
          </w:p>
        </w:tc>
        <w:tc>
          <w:tcPr>
            <w:tcW w:w="6382" w:type="dxa"/>
            <w:vAlign w:val="center"/>
          </w:tcPr>
          <w:p w14:paraId="6706A0AA">
            <w:pPr>
              <w:spacing w:line="520" w:lineRule="exact"/>
              <w:rPr>
                <w:rFonts w:eastAsia="仿宋_GB2312"/>
                <w:kern w:val="2"/>
                <w:sz w:val="28"/>
                <w:szCs w:val="28"/>
              </w:rPr>
            </w:pPr>
            <w:r>
              <w:rPr>
                <w:rFonts w:hint="eastAsia" w:eastAsia="仿宋_GB2312"/>
                <w:kern w:val="2"/>
                <w:sz w:val="28"/>
                <w:szCs w:val="28"/>
              </w:rPr>
              <w:t>医用电气设备</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 xml:space="preserve">1-2 </w:t>
            </w:r>
            <w:r>
              <w:rPr>
                <w:rFonts w:hint="eastAsia" w:eastAsia="仿宋_GB2312"/>
                <w:kern w:val="2"/>
                <w:sz w:val="28"/>
                <w:szCs w:val="28"/>
              </w:rPr>
              <w:t>部分：安全通用要求并列标准：电池兼容</w:t>
            </w:r>
            <w:r>
              <w:rPr>
                <w:rFonts w:eastAsia="仿宋_GB2312"/>
                <w:kern w:val="2"/>
                <w:sz w:val="28"/>
                <w:szCs w:val="28"/>
              </w:rPr>
              <w:t xml:space="preserve"> </w:t>
            </w:r>
            <w:r>
              <w:rPr>
                <w:rFonts w:hint="eastAsia" w:eastAsia="仿宋_GB2312"/>
                <w:kern w:val="2"/>
                <w:sz w:val="28"/>
                <w:szCs w:val="28"/>
              </w:rPr>
              <w:t>要求和试验</w:t>
            </w:r>
          </w:p>
        </w:tc>
      </w:tr>
      <w:tr w14:paraId="225C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52DD6D6C">
            <w:pPr>
              <w:spacing w:line="520" w:lineRule="exact"/>
              <w:rPr>
                <w:rFonts w:eastAsia="仿宋_GB2312"/>
                <w:kern w:val="2"/>
                <w:sz w:val="28"/>
                <w:szCs w:val="28"/>
              </w:rPr>
            </w:pPr>
            <w:r>
              <w:rPr>
                <w:rFonts w:eastAsia="仿宋_GB2312"/>
                <w:kern w:val="2"/>
                <w:sz w:val="28"/>
                <w:szCs w:val="28"/>
              </w:rPr>
              <w:t>YY 0669-2008</w:t>
            </w:r>
          </w:p>
        </w:tc>
        <w:tc>
          <w:tcPr>
            <w:tcW w:w="6382" w:type="dxa"/>
            <w:vAlign w:val="center"/>
          </w:tcPr>
          <w:p w14:paraId="13BBB003">
            <w:pPr>
              <w:spacing w:line="520" w:lineRule="exact"/>
              <w:rPr>
                <w:rFonts w:eastAsia="仿宋_GB2312"/>
                <w:kern w:val="2"/>
                <w:sz w:val="28"/>
                <w:szCs w:val="28"/>
              </w:rPr>
            </w:pPr>
            <w:r>
              <w:rPr>
                <w:rFonts w:hint="eastAsia" w:eastAsia="仿宋_GB2312"/>
                <w:kern w:val="2"/>
                <w:sz w:val="28"/>
                <w:szCs w:val="28"/>
              </w:rPr>
              <w:t>医用电气设备</w:t>
            </w:r>
            <w:r>
              <w:rPr>
                <w:rFonts w:eastAsia="仿宋_GB2312"/>
                <w:kern w:val="2"/>
                <w:sz w:val="28"/>
                <w:szCs w:val="28"/>
              </w:rPr>
              <w:t xml:space="preserve"> </w:t>
            </w:r>
            <w:r>
              <w:rPr>
                <w:rFonts w:hint="eastAsia" w:eastAsia="仿宋_GB2312"/>
                <w:kern w:val="2"/>
                <w:sz w:val="28"/>
                <w:szCs w:val="28"/>
              </w:rPr>
              <w:t>第</w:t>
            </w:r>
            <w:r>
              <w:rPr>
                <w:rFonts w:eastAsia="仿宋_GB2312"/>
                <w:kern w:val="2"/>
                <w:sz w:val="28"/>
                <w:szCs w:val="28"/>
              </w:rPr>
              <w:t>2</w:t>
            </w:r>
            <w:r>
              <w:rPr>
                <w:rFonts w:hint="eastAsia" w:eastAsia="仿宋_GB2312"/>
                <w:kern w:val="2"/>
                <w:sz w:val="28"/>
                <w:szCs w:val="28"/>
              </w:rPr>
              <w:t>部分：婴儿光治疗设备安全专用要求</w:t>
            </w:r>
          </w:p>
        </w:tc>
      </w:tr>
      <w:tr w14:paraId="1F75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14:paraId="4524C475">
            <w:pPr>
              <w:spacing w:line="520" w:lineRule="exact"/>
              <w:rPr>
                <w:rFonts w:eastAsia="仿宋_GB2312"/>
                <w:kern w:val="2"/>
                <w:sz w:val="28"/>
                <w:szCs w:val="28"/>
              </w:rPr>
            </w:pPr>
            <w:r>
              <w:rPr>
                <w:rFonts w:hint="eastAsia" w:eastAsia="仿宋_GB2312"/>
                <w:kern w:val="2"/>
                <w:sz w:val="28"/>
                <w:szCs w:val="28"/>
              </w:rPr>
              <w:t>YY 0709-2009</w:t>
            </w:r>
          </w:p>
        </w:tc>
        <w:tc>
          <w:tcPr>
            <w:tcW w:w="6382" w:type="dxa"/>
          </w:tcPr>
          <w:p w14:paraId="2E9183B0">
            <w:pPr>
              <w:spacing w:line="520" w:lineRule="exact"/>
              <w:rPr>
                <w:rFonts w:eastAsia="仿宋_GB2312"/>
                <w:kern w:val="2"/>
                <w:sz w:val="28"/>
                <w:szCs w:val="28"/>
              </w:rPr>
            </w:pPr>
            <w:r>
              <w:rPr>
                <w:rFonts w:hint="eastAsia" w:eastAsia="仿宋_GB2312"/>
                <w:kern w:val="2"/>
                <w:sz w:val="28"/>
                <w:szCs w:val="28"/>
              </w:rPr>
              <w:t>安全通用要求并列标准：通用要求，医用电气设备和医用电气系统中报警系统的测试和指南</w:t>
            </w:r>
          </w:p>
        </w:tc>
      </w:tr>
      <w:tr w14:paraId="7D3B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034D9132">
            <w:pPr>
              <w:spacing w:line="520" w:lineRule="exact"/>
              <w:rPr>
                <w:rFonts w:eastAsia="仿宋_GB2312"/>
                <w:kern w:val="2"/>
                <w:sz w:val="28"/>
                <w:szCs w:val="28"/>
              </w:rPr>
            </w:pPr>
            <w:r>
              <w:rPr>
                <w:rFonts w:hint="eastAsia" w:eastAsia="仿宋_GB2312"/>
                <w:kern w:val="2"/>
                <w:sz w:val="28"/>
                <w:szCs w:val="28"/>
              </w:rPr>
              <w:t>国家食品药品监督管理总局令第</w:t>
            </w:r>
            <w:r>
              <w:rPr>
                <w:rFonts w:eastAsia="仿宋_GB2312"/>
                <w:kern w:val="2"/>
                <w:sz w:val="28"/>
                <w:szCs w:val="28"/>
              </w:rPr>
              <w:t>6</w:t>
            </w:r>
            <w:r>
              <w:rPr>
                <w:rFonts w:hint="eastAsia" w:eastAsia="仿宋_GB2312"/>
                <w:kern w:val="2"/>
                <w:sz w:val="28"/>
                <w:szCs w:val="28"/>
              </w:rPr>
              <w:t>号</w:t>
            </w:r>
          </w:p>
        </w:tc>
        <w:tc>
          <w:tcPr>
            <w:tcW w:w="6382" w:type="dxa"/>
            <w:vAlign w:val="center"/>
          </w:tcPr>
          <w:p w14:paraId="51C7E8D4">
            <w:pPr>
              <w:spacing w:line="520" w:lineRule="exact"/>
              <w:rPr>
                <w:rFonts w:eastAsia="仿宋_GB2312"/>
                <w:kern w:val="2"/>
                <w:sz w:val="28"/>
                <w:szCs w:val="28"/>
              </w:rPr>
            </w:pPr>
            <w:r>
              <w:rPr>
                <w:rFonts w:hint="eastAsia" w:eastAsia="仿宋_GB2312"/>
                <w:kern w:val="2"/>
                <w:sz w:val="28"/>
                <w:szCs w:val="28"/>
              </w:rPr>
              <w:t>医疗器械说明书和标签管理规定</w:t>
            </w:r>
          </w:p>
        </w:tc>
      </w:tr>
    </w:tbl>
    <w:p w14:paraId="0A2DC8AE">
      <w:pPr>
        <w:spacing w:line="520" w:lineRule="exact"/>
        <w:ind w:firstLine="640" w:firstLineChars="200"/>
        <w:rPr>
          <w:rStyle w:val="32"/>
          <w:rFonts w:ascii="仿宋_GB2312" w:hAnsi="仿宋" w:eastAsia="仿宋_GB2312"/>
          <w:sz w:val="32"/>
          <w:szCs w:val="32"/>
        </w:rPr>
      </w:pPr>
      <w:r>
        <w:rPr>
          <w:rStyle w:val="32"/>
          <w:rFonts w:hint="eastAsia" w:ascii="仿宋_GB2312" w:hAnsi="仿宋" w:eastAsia="仿宋_GB2312"/>
          <w:sz w:val="32"/>
          <w:szCs w:val="32"/>
        </w:rPr>
        <w:t>上述标准包括了产品技术要求中经常涉及到的通用标准和方法标准。有的注册申请人还会根据产品的特点引用一些行业外的标准和一些较为特殊的标准。</w:t>
      </w:r>
    </w:p>
    <w:p w14:paraId="19787536">
      <w:pPr>
        <w:spacing w:line="520" w:lineRule="exact"/>
        <w:ind w:firstLine="640" w:firstLineChars="200"/>
        <w:rPr>
          <w:rStyle w:val="32"/>
          <w:rFonts w:ascii="仿宋_GB2312" w:hAnsi="仿宋" w:eastAsia="仿宋_GB2312"/>
          <w:sz w:val="32"/>
          <w:szCs w:val="32"/>
        </w:rPr>
      </w:pPr>
      <w:r>
        <w:rPr>
          <w:rStyle w:val="32"/>
          <w:rFonts w:hint="eastAsia" w:ascii="仿宋_GB2312" w:hAnsi="仿宋" w:eastAsia="仿宋_GB2312"/>
          <w:sz w:val="32"/>
          <w:szCs w:val="32"/>
        </w:rPr>
        <w:t>产品引用标准的审查可以分两步来进行。首先对引用标准的齐全性、适宜性和准确性来进行审查。此时，应注意标准编号、标准名称是否完整规范，年代号是否有效。</w:t>
      </w:r>
    </w:p>
    <w:p w14:paraId="3D3547DC">
      <w:pPr>
        <w:spacing w:line="520" w:lineRule="exact"/>
        <w:ind w:firstLine="640" w:firstLineChars="200"/>
        <w:rPr>
          <w:rStyle w:val="32"/>
          <w:rFonts w:ascii="仿宋_GB2312" w:hAnsi="仿宋" w:eastAsia="仿宋_GB2312"/>
          <w:sz w:val="32"/>
          <w:szCs w:val="32"/>
        </w:rPr>
      </w:pPr>
      <w:r>
        <w:rPr>
          <w:rStyle w:val="32"/>
          <w:rFonts w:hint="eastAsia" w:ascii="仿宋_GB2312" w:hAnsi="仿宋" w:eastAsia="仿宋_GB2312"/>
          <w:sz w:val="32"/>
          <w:szCs w:val="32"/>
        </w:rPr>
        <w:t>其次是对引用标准的采纳情况进行审查。即所引用的标准中适用的条款要求是否在产品技术要求中进行了实质性的条款引用。这种引用通常采用两种方式，文字表述繁多内容复杂的可以直接引用标准及条文号，文字比较简单的可以直接引述具体要求。</w:t>
      </w:r>
    </w:p>
    <w:p w14:paraId="2538A4DC">
      <w:pPr>
        <w:spacing w:line="520" w:lineRule="exact"/>
        <w:ind w:firstLine="640" w:firstLineChars="200"/>
        <w:rPr>
          <w:rStyle w:val="32"/>
          <w:rFonts w:ascii="仿宋_GB2312" w:hAnsi="仿宋" w:eastAsia="仿宋_GB2312"/>
          <w:sz w:val="32"/>
          <w:szCs w:val="32"/>
        </w:rPr>
      </w:pPr>
      <w:r>
        <w:rPr>
          <w:rStyle w:val="32"/>
          <w:rFonts w:hint="eastAsia" w:ascii="仿宋_GB2312" w:hAnsi="仿宋" w:eastAsia="仿宋_GB2312"/>
          <w:sz w:val="32"/>
          <w:szCs w:val="32"/>
        </w:rPr>
        <w:t>若有新版的强制性国家标准和行业标准发布实施，产品的性能指标要求应执行最新版本国家标准、行业标准的要求。</w:t>
      </w:r>
    </w:p>
    <w:bookmarkEnd w:id="2"/>
    <w:p w14:paraId="091954AE">
      <w:pPr>
        <w:spacing w:line="520" w:lineRule="exact"/>
        <w:ind w:firstLine="640" w:firstLineChars="200"/>
        <w:rPr>
          <w:rFonts w:eastAsia="楷体_GB2312"/>
          <w:bCs/>
          <w:iCs/>
          <w:kern w:val="2"/>
          <w:sz w:val="32"/>
          <w:szCs w:val="28"/>
        </w:rPr>
      </w:pPr>
      <w:r>
        <w:rPr>
          <w:rFonts w:hint="eastAsia" w:eastAsia="楷体_GB2312"/>
          <w:bCs/>
          <w:iCs/>
          <w:kern w:val="2"/>
          <w:sz w:val="32"/>
          <w:szCs w:val="28"/>
        </w:rPr>
        <w:t>（六）产品的适用范围</w:t>
      </w:r>
      <w:r>
        <w:rPr>
          <w:rFonts w:eastAsia="楷体_GB2312"/>
          <w:bCs/>
          <w:iCs/>
          <w:kern w:val="2"/>
          <w:sz w:val="32"/>
          <w:szCs w:val="28"/>
        </w:rPr>
        <w:t>/</w:t>
      </w:r>
      <w:r>
        <w:rPr>
          <w:rFonts w:hint="eastAsia" w:eastAsia="楷体_GB2312"/>
          <w:bCs/>
          <w:iCs/>
          <w:kern w:val="2"/>
          <w:sz w:val="32"/>
          <w:szCs w:val="28"/>
        </w:rPr>
        <w:t>预期用途、禁忌症</w:t>
      </w:r>
    </w:p>
    <w:p w14:paraId="2BD25900">
      <w:pPr>
        <w:spacing w:line="520" w:lineRule="exact"/>
        <w:ind w:left="560"/>
        <w:rPr>
          <w:rFonts w:eastAsia="仿宋_GB2312"/>
          <w:sz w:val="32"/>
          <w:szCs w:val="32"/>
        </w:rPr>
      </w:pPr>
      <w:bookmarkStart w:id="3" w:name="_Toc306265292"/>
      <w:r>
        <w:rPr>
          <w:rFonts w:eastAsia="仿宋_GB2312"/>
          <w:sz w:val="32"/>
          <w:szCs w:val="32"/>
        </w:rPr>
        <w:t xml:space="preserve">1. </w:t>
      </w:r>
      <w:r>
        <w:rPr>
          <w:rFonts w:hint="eastAsia" w:eastAsia="仿宋_GB2312"/>
          <w:sz w:val="32"/>
          <w:szCs w:val="32"/>
        </w:rPr>
        <w:t>适用范围</w:t>
      </w:r>
    </w:p>
    <w:p w14:paraId="6EEE222D">
      <w:pPr>
        <w:spacing w:line="520" w:lineRule="exact"/>
        <w:ind w:firstLine="640" w:firstLineChars="200"/>
        <w:rPr>
          <w:rFonts w:eastAsia="仿宋_GB2312"/>
          <w:sz w:val="32"/>
          <w:szCs w:val="32"/>
        </w:rPr>
      </w:pPr>
      <w:r>
        <w:rPr>
          <w:rFonts w:hint="eastAsia" w:eastAsia="仿宋_GB2312"/>
          <w:sz w:val="32"/>
          <w:szCs w:val="32"/>
        </w:rPr>
        <w:t>用于新生儿高胆红素血症的治疗，并需由医生处方使用。</w:t>
      </w:r>
    </w:p>
    <w:p w14:paraId="40A207C4">
      <w:pPr>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禁忌症</w:t>
      </w:r>
    </w:p>
    <w:p w14:paraId="2310C7F1">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）正在服用光敏药物</w:t>
      </w:r>
    </w:p>
    <w:p w14:paraId="55D324F1">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）先天性红细胞生成性卟啉症或卟啉症家族史</w:t>
      </w:r>
    </w:p>
    <w:p w14:paraId="633AF25B">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）直接胆红素升高为主的高胆红素血症</w:t>
      </w:r>
    </w:p>
    <w:bookmarkEnd w:id="3"/>
    <w:p w14:paraId="677087DD">
      <w:pPr>
        <w:spacing w:line="520" w:lineRule="exact"/>
        <w:ind w:firstLine="640" w:firstLineChars="200"/>
        <w:outlineLvl w:val="1"/>
        <w:rPr>
          <w:rFonts w:eastAsia="仿宋_GB2312"/>
          <w:b/>
          <w:bCs/>
          <w:sz w:val="28"/>
          <w:szCs w:val="28"/>
        </w:rPr>
      </w:pPr>
      <w:r>
        <w:rPr>
          <w:rFonts w:hint="eastAsia" w:eastAsia="楷体_GB2312"/>
          <w:bCs/>
          <w:iCs/>
          <w:kern w:val="2"/>
          <w:sz w:val="32"/>
          <w:szCs w:val="28"/>
        </w:rPr>
        <w:t>（七）产品的主要风险</w:t>
      </w:r>
    </w:p>
    <w:p w14:paraId="63191E52">
      <w:pPr>
        <w:spacing w:line="480" w:lineRule="exact"/>
        <w:ind w:firstLine="640" w:firstLineChars="200"/>
        <w:rPr>
          <w:rFonts w:eastAsia="仿宋_GB2312"/>
          <w:sz w:val="32"/>
          <w:szCs w:val="32"/>
        </w:rPr>
      </w:pPr>
      <w:r>
        <w:rPr>
          <w:rFonts w:hint="eastAsia" w:eastAsia="仿宋_GB2312"/>
          <w:sz w:val="32"/>
          <w:szCs w:val="32"/>
        </w:rPr>
        <w:t>新生儿蓝光治疗仪的风险管理报告应符合</w:t>
      </w:r>
      <w:r>
        <w:rPr>
          <w:rFonts w:eastAsia="仿宋_GB2312"/>
          <w:sz w:val="32"/>
          <w:szCs w:val="32"/>
        </w:rPr>
        <w:t>YY/T 0316-2016</w:t>
      </w:r>
      <w:r>
        <w:rPr>
          <w:rFonts w:hint="eastAsia" w:eastAsia="仿宋_GB2312"/>
          <w:sz w:val="32"/>
          <w:szCs w:val="32"/>
        </w:rPr>
        <w:t>《医疗器械</w:t>
      </w:r>
      <w:r>
        <w:rPr>
          <w:rFonts w:eastAsia="仿宋_GB2312"/>
          <w:sz w:val="32"/>
          <w:szCs w:val="32"/>
        </w:rPr>
        <w:t xml:space="preserve"> </w:t>
      </w:r>
      <w:r>
        <w:rPr>
          <w:rFonts w:hint="eastAsia" w:eastAsia="仿宋_GB2312"/>
          <w:sz w:val="32"/>
          <w:szCs w:val="32"/>
        </w:rPr>
        <w:t>风险管理对医疗器械的应用》的有关要求，审查要点包括：</w:t>
      </w:r>
    </w:p>
    <w:p w14:paraId="55AD255A">
      <w:pPr>
        <w:widowControl w:val="0"/>
        <w:numPr>
          <w:ilvl w:val="0"/>
          <w:numId w:val="3"/>
        </w:numPr>
        <w:spacing w:line="480" w:lineRule="exact"/>
        <w:jc w:val="both"/>
        <w:rPr>
          <w:rFonts w:eastAsia="仿宋_GB2312"/>
          <w:sz w:val="32"/>
          <w:szCs w:val="32"/>
        </w:rPr>
      </w:pPr>
      <w:r>
        <w:rPr>
          <w:rFonts w:eastAsia="仿宋_GB2312"/>
          <w:sz w:val="32"/>
          <w:szCs w:val="32"/>
        </w:rPr>
        <w:t xml:space="preserve"> </w:t>
      </w:r>
      <w:r>
        <w:rPr>
          <w:rFonts w:hint="eastAsia" w:eastAsia="仿宋_GB2312"/>
          <w:sz w:val="32"/>
          <w:szCs w:val="32"/>
        </w:rPr>
        <w:t>与产品有关的安全性特征判定可参考</w:t>
      </w:r>
      <w:r>
        <w:rPr>
          <w:rFonts w:eastAsia="仿宋_GB2312"/>
          <w:sz w:val="32"/>
          <w:szCs w:val="32"/>
        </w:rPr>
        <w:t>YY/T 0316-2016</w:t>
      </w:r>
      <w:r>
        <w:rPr>
          <w:rFonts w:hint="eastAsia" w:eastAsia="仿宋_GB2312"/>
          <w:sz w:val="32"/>
          <w:szCs w:val="32"/>
        </w:rPr>
        <w:t>的附录</w:t>
      </w:r>
      <w:r>
        <w:rPr>
          <w:rFonts w:eastAsia="仿宋_GB2312"/>
          <w:sz w:val="32"/>
          <w:szCs w:val="32"/>
        </w:rPr>
        <w:t>C</w:t>
      </w:r>
      <w:r>
        <w:rPr>
          <w:rFonts w:hint="eastAsia" w:eastAsia="仿宋_GB2312"/>
          <w:sz w:val="32"/>
          <w:szCs w:val="32"/>
        </w:rPr>
        <w:t>。</w:t>
      </w:r>
    </w:p>
    <w:p w14:paraId="6E7EC74F">
      <w:pPr>
        <w:widowControl w:val="0"/>
        <w:numPr>
          <w:ilvl w:val="0"/>
          <w:numId w:val="3"/>
        </w:numPr>
        <w:spacing w:line="480" w:lineRule="exact"/>
        <w:ind w:left="0" w:firstLine="560"/>
        <w:jc w:val="both"/>
        <w:rPr>
          <w:rFonts w:eastAsia="仿宋_GB2312"/>
          <w:sz w:val="32"/>
          <w:szCs w:val="32"/>
        </w:rPr>
      </w:pPr>
      <w:r>
        <w:rPr>
          <w:rFonts w:eastAsia="仿宋_GB2312"/>
          <w:sz w:val="32"/>
          <w:szCs w:val="32"/>
        </w:rPr>
        <w:t xml:space="preserve"> </w:t>
      </w:r>
      <w:r>
        <w:rPr>
          <w:rFonts w:hint="eastAsia" w:eastAsia="仿宋_GB2312"/>
          <w:sz w:val="32"/>
          <w:szCs w:val="32"/>
        </w:rPr>
        <w:t>危害、可预见的事件序列和危害处境判断可参考</w:t>
      </w:r>
      <w:r>
        <w:rPr>
          <w:rFonts w:eastAsia="仿宋_GB2312"/>
          <w:sz w:val="32"/>
          <w:szCs w:val="32"/>
        </w:rPr>
        <w:t>YY/T 0316-2016</w:t>
      </w:r>
      <w:r>
        <w:rPr>
          <w:rFonts w:hint="eastAsia" w:eastAsia="仿宋_GB2312"/>
          <w:sz w:val="32"/>
          <w:szCs w:val="32"/>
        </w:rPr>
        <w:t>附录</w:t>
      </w:r>
      <w:r>
        <w:rPr>
          <w:rFonts w:eastAsia="仿宋_GB2312"/>
          <w:sz w:val="32"/>
          <w:szCs w:val="32"/>
        </w:rPr>
        <w:t>E</w:t>
      </w:r>
      <w:r>
        <w:rPr>
          <w:rFonts w:hint="eastAsia" w:eastAsia="仿宋_GB2312"/>
          <w:sz w:val="32"/>
          <w:szCs w:val="32"/>
        </w:rPr>
        <w:t>、</w:t>
      </w:r>
      <w:r>
        <w:rPr>
          <w:rFonts w:eastAsia="仿宋_GB2312"/>
          <w:sz w:val="32"/>
          <w:szCs w:val="32"/>
        </w:rPr>
        <w:t>I</w:t>
      </w:r>
      <w:r>
        <w:rPr>
          <w:rFonts w:hint="eastAsia" w:eastAsia="仿宋_GB2312"/>
          <w:sz w:val="32"/>
          <w:szCs w:val="32"/>
        </w:rPr>
        <w:t>。</w:t>
      </w:r>
    </w:p>
    <w:p w14:paraId="10B104D5">
      <w:pPr>
        <w:widowControl w:val="0"/>
        <w:numPr>
          <w:ilvl w:val="0"/>
          <w:numId w:val="3"/>
        </w:numPr>
        <w:spacing w:line="480" w:lineRule="exact"/>
        <w:ind w:left="0" w:firstLine="560"/>
        <w:jc w:val="both"/>
        <w:rPr>
          <w:rFonts w:eastAsia="仿宋_GB2312"/>
          <w:sz w:val="32"/>
          <w:szCs w:val="32"/>
        </w:rPr>
      </w:pPr>
      <w:r>
        <w:rPr>
          <w:rFonts w:eastAsia="仿宋_GB2312"/>
          <w:sz w:val="32"/>
          <w:szCs w:val="32"/>
        </w:rPr>
        <w:t xml:space="preserve"> </w:t>
      </w:r>
      <w:r>
        <w:rPr>
          <w:rFonts w:hint="eastAsia" w:eastAsia="仿宋_GB2312"/>
          <w:sz w:val="32"/>
          <w:szCs w:val="32"/>
        </w:rPr>
        <w:t>风险控制的方案与实施、综合剩余风险的可接受性评价及生产和生产后监视相关方法可参考</w:t>
      </w:r>
      <w:r>
        <w:rPr>
          <w:rFonts w:eastAsia="仿宋_GB2312"/>
          <w:sz w:val="32"/>
          <w:szCs w:val="32"/>
        </w:rPr>
        <w:t>YY/T 0316-2016</w:t>
      </w:r>
      <w:r>
        <w:rPr>
          <w:rFonts w:hint="eastAsia" w:eastAsia="仿宋_GB2312"/>
          <w:sz w:val="32"/>
          <w:szCs w:val="32"/>
        </w:rPr>
        <w:t>附录</w:t>
      </w:r>
      <w:r>
        <w:rPr>
          <w:rFonts w:eastAsia="仿宋_GB2312"/>
          <w:sz w:val="32"/>
          <w:szCs w:val="32"/>
        </w:rPr>
        <w:t>F</w:t>
      </w:r>
      <w:r>
        <w:rPr>
          <w:rFonts w:hint="eastAsia" w:eastAsia="仿宋_GB2312"/>
          <w:sz w:val="32"/>
          <w:szCs w:val="32"/>
        </w:rPr>
        <w:t>、</w:t>
      </w:r>
      <w:r>
        <w:rPr>
          <w:rFonts w:eastAsia="仿宋_GB2312"/>
          <w:sz w:val="32"/>
          <w:szCs w:val="32"/>
        </w:rPr>
        <w:t>G</w:t>
      </w:r>
      <w:r>
        <w:rPr>
          <w:rFonts w:hint="eastAsia" w:eastAsia="仿宋_GB2312"/>
          <w:sz w:val="32"/>
          <w:szCs w:val="32"/>
        </w:rPr>
        <w:t>、</w:t>
      </w:r>
      <w:r>
        <w:rPr>
          <w:rFonts w:eastAsia="仿宋_GB2312"/>
          <w:sz w:val="32"/>
          <w:szCs w:val="32"/>
        </w:rPr>
        <w:t>J</w:t>
      </w:r>
      <w:r>
        <w:rPr>
          <w:rFonts w:hint="eastAsia" w:eastAsia="仿宋_GB2312"/>
          <w:sz w:val="32"/>
          <w:szCs w:val="32"/>
        </w:rPr>
        <w:t>。</w:t>
      </w:r>
    </w:p>
    <w:p w14:paraId="72131ED7">
      <w:pPr>
        <w:adjustRightInd w:val="0"/>
        <w:snapToGrid w:val="0"/>
        <w:spacing w:line="480" w:lineRule="exact"/>
        <w:ind w:firstLine="640" w:firstLineChars="200"/>
        <w:rPr>
          <w:rFonts w:eastAsia="仿宋_GB2312"/>
          <w:sz w:val="32"/>
          <w:szCs w:val="32"/>
        </w:rPr>
      </w:pPr>
      <w:r>
        <w:rPr>
          <w:rFonts w:hint="eastAsia" w:eastAsia="仿宋_GB2312"/>
          <w:sz w:val="32"/>
          <w:szCs w:val="32"/>
        </w:rPr>
        <w:t>以下依据</w:t>
      </w:r>
      <w:r>
        <w:rPr>
          <w:rFonts w:eastAsia="仿宋_GB2312"/>
          <w:sz w:val="32"/>
          <w:szCs w:val="32"/>
        </w:rPr>
        <w:t>YY/T 0316-2016</w:t>
      </w:r>
      <w:r>
        <w:rPr>
          <w:rFonts w:hint="eastAsia" w:eastAsia="仿宋_GB2312"/>
          <w:sz w:val="32"/>
          <w:szCs w:val="32"/>
        </w:rPr>
        <w:t>的附录</w:t>
      </w:r>
      <w:r>
        <w:rPr>
          <w:rFonts w:eastAsia="仿宋_GB2312"/>
          <w:sz w:val="32"/>
          <w:szCs w:val="32"/>
        </w:rPr>
        <w:t>E</w:t>
      </w:r>
      <w:r>
        <w:rPr>
          <w:rFonts w:hint="eastAsia" w:eastAsia="仿宋_GB2312"/>
          <w:sz w:val="32"/>
          <w:szCs w:val="32"/>
        </w:rPr>
        <w:t>（表</w:t>
      </w:r>
      <w:r>
        <w:rPr>
          <w:rFonts w:eastAsia="仿宋_GB2312"/>
          <w:sz w:val="32"/>
          <w:szCs w:val="32"/>
        </w:rPr>
        <w:t>2</w:t>
      </w:r>
      <w:r>
        <w:rPr>
          <w:rFonts w:hint="eastAsia" w:eastAsia="仿宋_GB2312"/>
          <w:sz w:val="32"/>
          <w:szCs w:val="32"/>
        </w:rPr>
        <w:t>）从各方面提示性列举了新生儿蓝光治疗设备的可能存在的初始危害因素，提示审评人员可从以下方面考虑。</w:t>
      </w:r>
    </w:p>
    <w:p w14:paraId="62931889">
      <w:pPr>
        <w:spacing w:line="520" w:lineRule="exact"/>
        <w:jc w:val="center"/>
        <w:rPr>
          <w:rFonts w:eastAsia="仿宋_GB2312"/>
          <w:sz w:val="32"/>
          <w:szCs w:val="32"/>
        </w:rPr>
      </w:pPr>
      <w:r>
        <w:rPr>
          <w:rFonts w:hint="eastAsia" w:eastAsia="仿宋_GB2312"/>
          <w:sz w:val="32"/>
          <w:szCs w:val="32"/>
        </w:rPr>
        <w:t>表</w:t>
      </w:r>
      <w:r>
        <w:rPr>
          <w:rFonts w:eastAsia="仿宋_GB2312"/>
          <w:sz w:val="32"/>
          <w:szCs w:val="32"/>
        </w:rPr>
        <w:t>2</w:t>
      </w:r>
      <w:r>
        <w:rPr>
          <w:rFonts w:hint="eastAsia" w:eastAsia="仿宋_GB2312"/>
          <w:sz w:val="32"/>
          <w:szCs w:val="32"/>
        </w:rPr>
        <w:t xml:space="preserve"> 产品主要初始危害因素</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793"/>
        <w:gridCol w:w="5117"/>
      </w:tblGrid>
      <w:tr w14:paraId="2D3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71" w:type="dxa"/>
            <w:vAlign w:val="center"/>
          </w:tcPr>
          <w:p w14:paraId="4021387B">
            <w:pPr>
              <w:jc w:val="center"/>
              <w:rPr>
                <w:rFonts w:ascii="黑体" w:hAnsi="黑体" w:eastAsia="黑体" w:cs="黑体"/>
                <w:kern w:val="2"/>
                <w:sz w:val="28"/>
                <w:szCs w:val="28"/>
              </w:rPr>
            </w:pPr>
            <w:r>
              <w:rPr>
                <w:rFonts w:hint="eastAsia" w:ascii="黑体" w:hAnsi="黑体" w:eastAsia="黑体" w:cs="黑体"/>
                <w:kern w:val="2"/>
                <w:sz w:val="28"/>
                <w:szCs w:val="28"/>
              </w:rPr>
              <w:t>危害分类</w:t>
            </w:r>
          </w:p>
        </w:tc>
        <w:tc>
          <w:tcPr>
            <w:tcW w:w="1793" w:type="dxa"/>
            <w:vAlign w:val="center"/>
          </w:tcPr>
          <w:p w14:paraId="5580920F">
            <w:pPr>
              <w:jc w:val="center"/>
              <w:rPr>
                <w:rFonts w:ascii="黑体" w:hAnsi="黑体" w:eastAsia="黑体" w:cs="黑体"/>
                <w:kern w:val="2"/>
                <w:sz w:val="28"/>
                <w:szCs w:val="28"/>
              </w:rPr>
            </w:pPr>
            <w:r>
              <w:rPr>
                <w:rFonts w:hint="eastAsia" w:ascii="黑体" w:hAnsi="黑体" w:eastAsia="黑体" w:cs="黑体"/>
                <w:kern w:val="2"/>
                <w:sz w:val="28"/>
                <w:szCs w:val="28"/>
              </w:rPr>
              <w:t>危害</w:t>
            </w:r>
          </w:p>
        </w:tc>
        <w:tc>
          <w:tcPr>
            <w:tcW w:w="5117" w:type="dxa"/>
            <w:vAlign w:val="center"/>
          </w:tcPr>
          <w:p w14:paraId="40703F50">
            <w:pPr>
              <w:jc w:val="center"/>
              <w:rPr>
                <w:rFonts w:ascii="黑体" w:hAnsi="黑体" w:eastAsia="黑体" w:cs="黑体"/>
                <w:kern w:val="2"/>
                <w:sz w:val="28"/>
                <w:szCs w:val="28"/>
              </w:rPr>
            </w:pPr>
            <w:r>
              <w:rPr>
                <w:rFonts w:hint="eastAsia" w:ascii="黑体" w:hAnsi="黑体" w:eastAsia="黑体" w:cs="黑体"/>
                <w:kern w:val="2"/>
                <w:sz w:val="28"/>
                <w:szCs w:val="28"/>
              </w:rPr>
              <w:t>因素</w:t>
            </w:r>
          </w:p>
        </w:tc>
      </w:tr>
      <w:tr w14:paraId="6AC8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restart"/>
            <w:textDirection w:val="tbRlV"/>
            <w:vAlign w:val="center"/>
          </w:tcPr>
          <w:p w14:paraId="19029716">
            <w:pPr>
              <w:ind w:left="113" w:right="113"/>
              <w:jc w:val="center"/>
              <w:rPr>
                <w:rFonts w:eastAsia="仿宋_GB2312"/>
                <w:sz w:val="28"/>
                <w:szCs w:val="28"/>
              </w:rPr>
            </w:pPr>
            <w:r>
              <w:rPr>
                <w:rFonts w:hint="eastAsia" w:eastAsia="仿宋_GB2312"/>
                <w:sz w:val="28"/>
                <w:szCs w:val="28"/>
              </w:rPr>
              <w:t>能</w:t>
            </w:r>
            <w:r>
              <w:rPr>
                <w:rFonts w:eastAsia="仿宋_GB2312"/>
                <w:sz w:val="28"/>
                <w:szCs w:val="28"/>
              </w:rPr>
              <w:t xml:space="preserve"> </w:t>
            </w:r>
            <w:r>
              <w:rPr>
                <w:rFonts w:hint="eastAsia" w:eastAsia="仿宋_GB2312"/>
                <w:sz w:val="28"/>
                <w:szCs w:val="28"/>
              </w:rPr>
              <w:t>量</w:t>
            </w:r>
            <w:r>
              <w:rPr>
                <w:rFonts w:eastAsia="仿宋_GB2312"/>
                <w:sz w:val="28"/>
                <w:szCs w:val="28"/>
              </w:rPr>
              <w:t xml:space="preserve"> </w:t>
            </w:r>
            <w:r>
              <w:rPr>
                <w:rFonts w:hint="eastAsia" w:eastAsia="仿宋_GB2312"/>
                <w:sz w:val="28"/>
                <w:szCs w:val="28"/>
              </w:rPr>
              <w:t>危</w:t>
            </w:r>
            <w:r>
              <w:rPr>
                <w:rFonts w:eastAsia="仿宋_GB2312"/>
                <w:sz w:val="28"/>
                <w:szCs w:val="28"/>
              </w:rPr>
              <w:t xml:space="preserve"> </w:t>
            </w:r>
            <w:r>
              <w:rPr>
                <w:rFonts w:hint="eastAsia" w:eastAsia="仿宋_GB2312"/>
                <w:sz w:val="28"/>
                <w:szCs w:val="28"/>
              </w:rPr>
              <w:t>害</w:t>
            </w:r>
          </w:p>
        </w:tc>
        <w:tc>
          <w:tcPr>
            <w:tcW w:w="1793" w:type="dxa"/>
            <w:vMerge w:val="restart"/>
          </w:tcPr>
          <w:p w14:paraId="136AE7E2">
            <w:pPr>
              <w:rPr>
                <w:rFonts w:eastAsia="仿宋_GB2312"/>
                <w:sz w:val="28"/>
                <w:szCs w:val="28"/>
              </w:rPr>
            </w:pPr>
            <w:r>
              <w:rPr>
                <w:rFonts w:hint="eastAsia" w:eastAsia="仿宋_GB2312"/>
                <w:sz w:val="28"/>
                <w:szCs w:val="28"/>
              </w:rPr>
              <w:t>电能</w:t>
            </w:r>
          </w:p>
        </w:tc>
        <w:tc>
          <w:tcPr>
            <w:tcW w:w="5117" w:type="dxa"/>
          </w:tcPr>
          <w:p w14:paraId="074E881F">
            <w:pPr>
              <w:rPr>
                <w:rFonts w:eastAsia="仿宋_GB2312"/>
                <w:sz w:val="28"/>
                <w:szCs w:val="28"/>
              </w:rPr>
            </w:pPr>
            <w:r>
              <w:rPr>
                <w:rFonts w:hint="eastAsia" w:eastAsia="仿宋_GB2312"/>
                <w:sz w:val="28"/>
                <w:szCs w:val="28"/>
              </w:rPr>
              <w:t>可触及金属、外壳、应用部分等与带电部分隔离</w:t>
            </w:r>
            <w:r>
              <w:rPr>
                <w:rFonts w:eastAsia="仿宋_GB2312"/>
                <w:sz w:val="28"/>
                <w:szCs w:val="28"/>
              </w:rPr>
              <w:t>/</w:t>
            </w:r>
            <w:r>
              <w:rPr>
                <w:rFonts w:hint="eastAsia" w:eastAsia="仿宋_GB2312"/>
                <w:sz w:val="28"/>
                <w:szCs w:val="28"/>
              </w:rPr>
              <w:t>保护不够，电介质强度不够，可能对使用者或患者造成电击危害等</w:t>
            </w:r>
          </w:p>
        </w:tc>
      </w:tr>
      <w:tr w14:paraId="00E4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textDirection w:val="tbRlV"/>
            <w:vAlign w:val="center"/>
          </w:tcPr>
          <w:p w14:paraId="3135543E">
            <w:pPr>
              <w:ind w:left="113" w:right="113"/>
              <w:jc w:val="center"/>
              <w:rPr>
                <w:rFonts w:eastAsia="仿宋_GB2312"/>
                <w:sz w:val="28"/>
                <w:szCs w:val="28"/>
              </w:rPr>
            </w:pPr>
          </w:p>
        </w:tc>
        <w:tc>
          <w:tcPr>
            <w:tcW w:w="1793" w:type="dxa"/>
            <w:vMerge w:val="continue"/>
          </w:tcPr>
          <w:p w14:paraId="65ED89CA">
            <w:pPr>
              <w:rPr>
                <w:rFonts w:eastAsia="仿宋_GB2312"/>
                <w:sz w:val="28"/>
                <w:szCs w:val="28"/>
              </w:rPr>
            </w:pPr>
          </w:p>
        </w:tc>
        <w:tc>
          <w:tcPr>
            <w:tcW w:w="5117" w:type="dxa"/>
          </w:tcPr>
          <w:p w14:paraId="64CBFE38">
            <w:pPr>
              <w:rPr>
                <w:rFonts w:eastAsia="仿宋_GB2312"/>
                <w:sz w:val="28"/>
                <w:szCs w:val="28"/>
              </w:rPr>
            </w:pPr>
            <w:r>
              <w:rPr>
                <w:rFonts w:hint="eastAsia" w:eastAsia="仿宋_GB2312"/>
                <w:sz w:val="28"/>
                <w:szCs w:val="28"/>
              </w:rPr>
              <w:t>产品外壳、应用部分绝缘</w:t>
            </w:r>
            <w:r>
              <w:rPr>
                <w:rFonts w:eastAsia="仿宋_GB2312"/>
                <w:sz w:val="28"/>
                <w:szCs w:val="28"/>
              </w:rPr>
              <w:t>/</w:t>
            </w:r>
            <w:r>
              <w:rPr>
                <w:rFonts w:hint="eastAsia" w:eastAsia="仿宋_GB2312"/>
                <w:sz w:val="28"/>
                <w:szCs w:val="28"/>
              </w:rPr>
              <w:t>隔离不够，可能引起过量漏电流伤害使用者或患者等</w:t>
            </w:r>
          </w:p>
        </w:tc>
      </w:tr>
      <w:tr w14:paraId="25CA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textDirection w:val="tbRlV"/>
            <w:vAlign w:val="center"/>
          </w:tcPr>
          <w:p w14:paraId="5E615AB0">
            <w:pPr>
              <w:ind w:left="113" w:right="113"/>
              <w:jc w:val="center"/>
              <w:rPr>
                <w:rFonts w:eastAsia="仿宋_GB2312"/>
                <w:sz w:val="28"/>
                <w:szCs w:val="28"/>
              </w:rPr>
            </w:pPr>
          </w:p>
        </w:tc>
        <w:tc>
          <w:tcPr>
            <w:tcW w:w="1793" w:type="dxa"/>
          </w:tcPr>
          <w:p w14:paraId="57E0EF13">
            <w:pPr>
              <w:rPr>
                <w:rFonts w:eastAsia="仿宋_GB2312"/>
                <w:sz w:val="28"/>
                <w:szCs w:val="28"/>
              </w:rPr>
            </w:pPr>
            <w:r>
              <w:rPr>
                <w:rFonts w:hint="eastAsia" w:eastAsia="仿宋_GB2312"/>
                <w:sz w:val="28"/>
                <w:szCs w:val="28"/>
              </w:rPr>
              <w:t>电磁能</w:t>
            </w:r>
          </w:p>
        </w:tc>
        <w:tc>
          <w:tcPr>
            <w:tcW w:w="5117" w:type="dxa"/>
          </w:tcPr>
          <w:p w14:paraId="6B4088BC">
            <w:pPr>
              <w:rPr>
                <w:rFonts w:eastAsia="仿宋_GB2312"/>
                <w:sz w:val="28"/>
                <w:szCs w:val="28"/>
              </w:rPr>
            </w:pPr>
            <w:r>
              <w:rPr>
                <w:rFonts w:hint="eastAsia" w:eastAsia="仿宋_GB2312"/>
                <w:sz w:val="28"/>
                <w:szCs w:val="28"/>
              </w:rPr>
              <w:t>抗电磁干扰能力差、特定环境下工作不正常，或干扰其他设备正常工作等</w:t>
            </w:r>
          </w:p>
        </w:tc>
      </w:tr>
      <w:tr w14:paraId="0606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67FD60D4">
            <w:pPr>
              <w:rPr>
                <w:rFonts w:eastAsia="仿宋_GB2312"/>
                <w:sz w:val="28"/>
                <w:szCs w:val="28"/>
              </w:rPr>
            </w:pPr>
          </w:p>
        </w:tc>
        <w:tc>
          <w:tcPr>
            <w:tcW w:w="1793" w:type="dxa"/>
          </w:tcPr>
          <w:p w14:paraId="7E789029">
            <w:pPr>
              <w:rPr>
                <w:rFonts w:eastAsia="仿宋_GB2312"/>
                <w:sz w:val="28"/>
                <w:szCs w:val="28"/>
              </w:rPr>
            </w:pPr>
            <w:r>
              <w:rPr>
                <w:rFonts w:hint="eastAsia" w:eastAsia="仿宋_GB2312"/>
                <w:sz w:val="28"/>
                <w:szCs w:val="28"/>
              </w:rPr>
              <w:t>热能</w:t>
            </w:r>
          </w:p>
        </w:tc>
        <w:tc>
          <w:tcPr>
            <w:tcW w:w="5117" w:type="dxa"/>
          </w:tcPr>
          <w:p w14:paraId="723F6B5A">
            <w:pPr>
              <w:rPr>
                <w:rFonts w:eastAsia="仿宋_GB2312"/>
                <w:sz w:val="28"/>
                <w:szCs w:val="28"/>
              </w:rPr>
            </w:pPr>
            <w:r>
              <w:rPr>
                <w:rFonts w:hint="eastAsia" w:eastAsia="仿宋_GB2312"/>
                <w:sz w:val="28"/>
                <w:szCs w:val="28"/>
              </w:rPr>
              <w:t>可触及的外壳温度过高，可能引起使用者或患者烫伤；发光板表面温度过高，可能使接触部位的皮肤烫伤等</w:t>
            </w:r>
          </w:p>
        </w:tc>
      </w:tr>
      <w:tr w14:paraId="721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3E030CAA">
            <w:pPr>
              <w:rPr>
                <w:rFonts w:eastAsia="仿宋_GB2312"/>
                <w:sz w:val="28"/>
                <w:szCs w:val="28"/>
              </w:rPr>
            </w:pPr>
          </w:p>
        </w:tc>
        <w:tc>
          <w:tcPr>
            <w:tcW w:w="1793" w:type="dxa"/>
            <w:vMerge w:val="restart"/>
          </w:tcPr>
          <w:p w14:paraId="16099C7E">
            <w:pPr>
              <w:rPr>
                <w:rFonts w:eastAsia="仿宋_GB2312"/>
                <w:sz w:val="28"/>
                <w:szCs w:val="28"/>
              </w:rPr>
            </w:pPr>
            <w:r>
              <w:rPr>
                <w:rFonts w:hint="eastAsia" w:eastAsia="仿宋_GB2312"/>
                <w:sz w:val="28"/>
                <w:szCs w:val="28"/>
              </w:rPr>
              <w:t>机械力</w:t>
            </w:r>
          </w:p>
        </w:tc>
        <w:tc>
          <w:tcPr>
            <w:tcW w:w="5117" w:type="dxa"/>
          </w:tcPr>
          <w:p w14:paraId="09C5533C">
            <w:pPr>
              <w:rPr>
                <w:rFonts w:eastAsia="仿宋_GB2312"/>
                <w:sz w:val="28"/>
                <w:szCs w:val="28"/>
              </w:rPr>
            </w:pPr>
            <w:r>
              <w:rPr>
                <w:rFonts w:hint="eastAsia" w:eastAsia="仿宋_GB2312"/>
                <w:sz w:val="28"/>
                <w:szCs w:val="28"/>
              </w:rPr>
              <w:t>产品外壳机械强度和刚度不足，产品面、角、边粗糙等对使用者或患者造成危害</w:t>
            </w:r>
          </w:p>
        </w:tc>
      </w:tr>
      <w:tr w14:paraId="2C8C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73A44DE1">
            <w:pPr>
              <w:rPr>
                <w:rFonts w:eastAsia="仿宋_GB2312"/>
                <w:sz w:val="28"/>
                <w:szCs w:val="28"/>
              </w:rPr>
            </w:pPr>
          </w:p>
        </w:tc>
        <w:tc>
          <w:tcPr>
            <w:tcW w:w="1793" w:type="dxa"/>
            <w:vMerge w:val="continue"/>
          </w:tcPr>
          <w:p w14:paraId="014CB298">
            <w:pPr>
              <w:rPr>
                <w:rFonts w:eastAsia="仿宋_GB2312"/>
                <w:sz w:val="28"/>
                <w:szCs w:val="28"/>
              </w:rPr>
            </w:pPr>
          </w:p>
        </w:tc>
        <w:tc>
          <w:tcPr>
            <w:tcW w:w="5117" w:type="dxa"/>
          </w:tcPr>
          <w:p w14:paraId="766C1C73">
            <w:pPr>
              <w:rPr>
                <w:rFonts w:eastAsia="仿宋_GB2312"/>
                <w:sz w:val="28"/>
                <w:szCs w:val="28"/>
              </w:rPr>
            </w:pPr>
            <w:r>
              <w:rPr>
                <w:rFonts w:hint="eastAsia" w:eastAsia="仿宋_GB2312"/>
                <w:sz w:val="28"/>
                <w:szCs w:val="28"/>
              </w:rPr>
              <w:t>坠落</w:t>
            </w:r>
            <w:r>
              <w:rPr>
                <w:rFonts w:eastAsia="仿宋_GB2312"/>
                <w:sz w:val="28"/>
                <w:szCs w:val="28"/>
              </w:rPr>
              <w:t>/</w:t>
            </w:r>
            <w:r>
              <w:rPr>
                <w:rFonts w:hint="eastAsia" w:eastAsia="仿宋_GB2312"/>
                <w:sz w:val="28"/>
                <w:szCs w:val="28"/>
              </w:rPr>
              <w:t>悬挂导致机械部件松动导致元器件损坏等</w:t>
            </w:r>
          </w:p>
        </w:tc>
      </w:tr>
      <w:tr w14:paraId="6D60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20615233">
            <w:pPr>
              <w:rPr>
                <w:rFonts w:eastAsia="仿宋_GB2312"/>
                <w:sz w:val="28"/>
                <w:szCs w:val="28"/>
              </w:rPr>
            </w:pPr>
          </w:p>
        </w:tc>
        <w:tc>
          <w:tcPr>
            <w:tcW w:w="1793" w:type="dxa"/>
            <w:vMerge w:val="continue"/>
          </w:tcPr>
          <w:p w14:paraId="509B38DB">
            <w:pPr>
              <w:rPr>
                <w:rFonts w:eastAsia="仿宋_GB2312"/>
                <w:sz w:val="28"/>
                <w:szCs w:val="28"/>
              </w:rPr>
            </w:pPr>
          </w:p>
        </w:tc>
        <w:tc>
          <w:tcPr>
            <w:tcW w:w="5117" w:type="dxa"/>
          </w:tcPr>
          <w:p w14:paraId="6DE10A97">
            <w:pPr>
              <w:rPr>
                <w:rFonts w:eastAsia="仿宋_GB2312"/>
                <w:sz w:val="28"/>
                <w:szCs w:val="28"/>
              </w:rPr>
            </w:pPr>
            <w:r>
              <w:rPr>
                <w:rFonts w:hint="eastAsia" w:eastAsia="仿宋_GB2312"/>
                <w:sz w:val="28"/>
                <w:szCs w:val="28"/>
              </w:rPr>
              <w:t>正常的外部机械力造成设备故障或危害</w:t>
            </w:r>
          </w:p>
        </w:tc>
      </w:tr>
      <w:tr w14:paraId="25B7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1C843B9E">
            <w:pPr>
              <w:rPr>
                <w:rFonts w:eastAsia="仿宋_GB2312"/>
                <w:sz w:val="28"/>
                <w:szCs w:val="28"/>
              </w:rPr>
            </w:pPr>
          </w:p>
        </w:tc>
        <w:tc>
          <w:tcPr>
            <w:tcW w:w="1793" w:type="dxa"/>
          </w:tcPr>
          <w:p w14:paraId="17EFCFE0">
            <w:pPr>
              <w:rPr>
                <w:rFonts w:eastAsia="仿宋_GB2312"/>
                <w:sz w:val="28"/>
                <w:szCs w:val="28"/>
              </w:rPr>
            </w:pPr>
            <w:r>
              <w:rPr>
                <w:rFonts w:hint="eastAsia" w:eastAsia="仿宋_GB2312"/>
                <w:sz w:val="28"/>
                <w:szCs w:val="28"/>
              </w:rPr>
              <w:t>电离辐射</w:t>
            </w:r>
          </w:p>
        </w:tc>
        <w:tc>
          <w:tcPr>
            <w:tcW w:w="5117" w:type="dxa"/>
          </w:tcPr>
          <w:p w14:paraId="6606960B">
            <w:pPr>
              <w:rPr>
                <w:rFonts w:eastAsia="仿宋_GB2312"/>
                <w:sz w:val="28"/>
                <w:szCs w:val="28"/>
              </w:rPr>
            </w:pPr>
            <w:r>
              <w:rPr>
                <w:rFonts w:hint="eastAsia" w:eastAsia="仿宋_GB2312"/>
                <w:sz w:val="28"/>
                <w:szCs w:val="28"/>
              </w:rPr>
              <w:t>插拔电源插头等造成电弧而至的电离辐射</w:t>
            </w:r>
          </w:p>
        </w:tc>
      </w:tr>
      <w:tr w14:paraId="5A87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7DE34AF9">
            <w:pPr>
              <w:rPr>
                <w:rFonts w:eastAsia="仿宋_GB2312"/>
                <w:sz w:val="28"/>
                <w:szCs w:val="28"/>
              </w:rPr>
            </w:pPr>
          </w:p>
        </w:tc>
        <w:tc>
          <w:tcPr>
            <w:tcW w:w="1793" w:type="dxa"/>
          </w:tcPr>
          <w:p w14:paraId="13C02493">
            <w:pPr>
              <w:rPr>
                <w:rFonts w:eastAsia="仿宋_GB2312"/>
                <w:sz w:val="28"/>
                <w:szCs w:val="28"/>
              </w:rPr>
            </w:pPr>
            <w:r>
              <w:rPr>
                <w:rFonts w:hint="eastAsia" w:eastAsia="仿宋_GB2312"/>
                <w:sz w:val="28"/>
                <w:szCs w:val="28"/>
              </w:rPr>
              <w:t>非电离辐射</w:t>
            </w:r>
          </w:p>
        </w:tc>
        <w:tc>
          <w:tcPr>
            <w:tcW w:w="5117" w:type="dxa"/>
          </w:tcPr>
          <w:p w14:paraId="4D47E774">
            <w:pPr>
              <w:rPr>
                <w:rFonts w:eastAsia="仿宋_GB2312"/>
                <w:sz w:val="28"/>
                <w:szCs w:val="28"/>
              </w:rPr>
            </w:pPr>
            <w:r>
              <w:rPr>
                <w:rFonts w:hint="eastAsia" w:eastAsia="仿宋_GB2312"/>
                <w:sz w:val="28"/>
                <w:szCs w:val="28"/>
              </w:rPr>
              <w:t>交变电流造成的辐射对使用者或患者造成危害</w:t>
            </w:r>
          </w:p>
        </w:tc>
      </w:tr>
      <w:tr w14:paraId="25B7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1008C4AD">
            <w:pPr>
              <w:rPr>
                <w:rFonts w:eastAsia="仿宋_GB2312"/>
                <w:sz w:val="28"/>
                <w:szCs w:val="28"/>
              </w:rPr>
            </w:pPr>
          </w:p>
        </w:tc>
        <w:tc>
          <w:tcPr>
            <w:tcW w:w="1793" w:type="dxa"/>
          </w:tcPr>
          <w:p w14:paraId="3B6DD081">
            <w:pPr>
              <w:rPr>
                <w:rFonts w:eastAsia="仿宋_GB2312"/>
                <w:sz w:val="28"/>
                <w:szCs w:val="28"/>
              </w:rPr>
            </w:pPr>
            <w:r>
              <w:rPr>
                <w:rFonts w:hint="eastAsia" w:eastAsia="仿宋_GB2312"/>
                <w:sz w:val="28"/>
                <w:szCs w:val="28"/>
              </w:rPr>
              <w:t>运动部件</w:t>
            </w:r>
          </w:p>
        </w:tc>
        <w:tc>
          <w:tcPr>
            <w:tcW w:w="5117" w:type="dxa"/>
          </w:tcPr>
          <w:p w14:paraId="7EE4AC6B">
            <w:pPr>
              <w:rPr>
                <w:rFonts w:eastAsia="仿宋_GB2312"/>
                <w:sz w:val="28"/>
                <w:szCs w:val="28"/>
              </w:rPr>
            </w:pPr>
            <w:r>
              <w:rPr>
                <w:rFonts w:hint="eastAsia" w:eastAsia="仿宋_GB2312"/>
                <w:sz w:val="28"/>
                <w:szCs w:val="28"/>
              </w:rPr>
              <w:t>部件运动造成机械致伤</w:t>
            </w:r>
          </w:p>
        </w:tc>
      </w:tr>
      <w:tr w14:paraId="2AA5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09683F09">
            <w:pPr>
              <w:rPr>
                <w:rFonts w:eastAsia="仿宋_GB2312"/>
                <w:sz w:val="28"/>
                <w:szCs w:val="28"/>
              </w:rPr>
            </w:pPr>
          </w:p>
        </w:tc>
        <w:tc>
          <w:tcPr>
            <w:tcW w:w="1793" w:type="dxa"/>
          </w:tcPr>
          <w:p w14:paraId="7F46E361">
            <w:pPr>
              <w:rPr>
                <w:rFonts w:eastAsia="仿宋_GB2312"/>
                <w:sz w:val="28"/>
                <w:szCs w:val="28"/>
              </w:rPr>
            </w:pPr>
            <w:r>
              <w:rPr>
                <w:rFonts w:hint="eastAsia" w:eastAsia="仿宋_GB2312"/>
                <w:sz w:val="28"/>
                <w:szCs w:val="28"/>
              </w:rPr>
              <w:t>非预期的运动</w:t>
            </w:r>
          </w:p>
        </w:tc>
        <w:tc>
          <w:tcPr>
            <w:tcW w:w="5117" w:type="dxa"/>
          </w:tcPr>
          <w:p w14:paraId="5D8DF965">
            <w:pPr>
              <w:rPr>
                <w:rFonts w:eastAsia="仿宋_GB2312"/>
                <w:sz w:val="28"/>
                <w:szCs w:val="28"/>
              </w:rPr>
            </w:pPr>
            <w:r>
              <w:rPr>
                <w:rFonts w:hint="eastAsia" w:eastAsia="仿宋_GB2312"/>
                <w:sz w:val="28"/>
                <w:szCs w:val="28"/>
              </w:rPr>
              <w:t>受控的运动或机构在失控状态下造成的危害</w:t>
            </w:r>
          </w:p>
        </w:tc>
      </w:tr>
      <w:tr w14:paraId="3107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2C1D50BF">
            <w:pPr>
              <w:rPr>
                <w:rFonts w:eastAsia="仿宋_GB2312"/>
                <w:sz w:val="28"/>
                <w:szCs w:val="28"/>
              </w:rPr>
            </w:pPr>
          </w:p>
        </w:tc>
        <w:tc>
          <w:tcPr>
            <w:tcW w:w="1793" w:type="dxa"/>
          </w:tcPr>
          <w:p w14:paraId="7BAF7CA2">
            <w:pPr>
              <w:rPr>
                <w:rFonts w:eastAsia="仿宋_GB2312"/>
                <w:sz w:val="28"/>
                <w:szCs w:val="28"/>
              </w:rPr>
            </w:pPr>
            <w:r>
              <w:rPr>
                <w:rFonts w:hint="eastAsia" w:eastAsia="仿宋_GB2312"/>
                <w:sz w:val="28"/>
                <w:szCs w:val="28"/>
              </w:rPr>
              <w:t>悬挂质量</w:t>
            </w:r>
          </w:p>
        </w:tc>
        <w:tc>
          <w:tcPr>
            <w:tcW w:w="5117" w:type="dxa"/>
          </w:tcPr>
          <w:p w14:paraId="164D5D79">
            <w:pPr>
              <w:rPr>
                <w:rFonts w:eastAsia="仿宋_GB2312"/>
                <w:sz w:val="28"/>
                <w:szCs w:val="28"/>
              </w:rPr>
            </w:pPr>
            <w:r>
              <w:rPr>
                <w:rFonts w:hint="eastAsia" w:eastAsia="仿宋_GB2312"/>
                <w:sz w:val="28"/>
                <w:szCs w:val="28"/>
              </w:rPr>
              <w:t>悬挂或支撑装置造成的跌落或倾覆的风险</w:t>
            </w:r>
          </w:p>
        </w:tc>
      </w:tr>
      <w:tr w14:paraId="2A3C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571" w:type="dxa"/>
            <w:vMerge w:val="continue"/>
            <w:vAlign w:val="center"/>
          </w:tcPr>
          <w:p w14:paraId="0C8F576A">
            <w:pPr>
              <w:rPr>
                <w:rFonts w:eastAsia="仿宋_GB2312"/>
                <w:sz w:val="28"/>
                <w:szCs w:val="28"/>
              </w:rPr>
            </w:pPr>
          </w:p>
        </w:tc>
        <w:tc>
          <w:tcPr>
            <w:tcW w:w="1793" w:type="dxa"/>
          </w:tcPr>
          <w:p w14:paraId="72192AD6">
            <w:pPr>
              <w:rPr>
                <w:rFonts w:eastAsia="仿宋_GB2312"/>
                <w:sz w:val="28"/>
                <w:szCs w:val="28"/>
              </w:rPr>
            </w:pPr>
            <w:r>
              <w:rPr>
                <w:rFonts w:hint="eastAsia" w:eastAsia="仿宋_GB2312"/>
                <w:sz w:val="28"/>
                <w:szCs w:val="28"/>
              </w:rPr>
              <w:t>声压</w:t>
            </w:r>
          </w:p>
        </w:tc>
        <w:tc>
          <w:tcPr>
            <w:tcW w:w="5117" w:type="dxa"/>
          </w:tcPr>
          <w:p w14:paraId="4A8D4FD3">
            <w:pPr>
              <w:rPr>
                <w:rFonts w:eastAsia="仿宋_GB2312"/>
                <w:sz w:val="28"/>
                <w:szCs w:val="28"/>
              </w:rPr>
            </w:pPr>
            <w:r>
              <w:rPr>
                <w:rFonts w:hint="eastAsia" w:eastAsia="仿宋_GB2312"/>
                <w:sz w:val="28"/>
                <w:szCs w:val="28"/>
              </w:rPr>
              <w:t>过大的噪音造成的生理和情绪的干扰</w:t>
            </w:r>
          </w:p>
        </w:tc>
      </w:tr>
      <w:tr w14:paraId="1E5C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571" w:type="dxa"/>
            <w:vMerge w:val="continue"/>
            <w:vAlign w:val="center"/>
          </w:tcPr>
          <w:p w14:paraId="60325FE5">
            <w:pPr>
              <w:rPr>
                <w:rFonts w:eastAsia="仿宋_GB2312"/>
                <w:sz w:val="28"/>
                <w:szCs w:val="28"/>
              </w:rPr>
            </w:pPr>
          </w:p>
        </w:tc>
        <w:tc>
          <w:tcPr>
            <w:tcW w:w="1793" w:type="dxa"/>
          </w:tcPr>
          <w:p w14:paraId="0795B42E">
            <w:pPr>
              <w:rPr>
                <w:rFonts w:eastAsia="仿宋_GB2312"/>
                <w:sz w:val="28"/>
                <w:szCs w:val="28"/>
              </w:rPr>
            </w:pPr>
            <w:r>
              <w:rPr>
                <w:rFonts w:hint="eastAsia" w:eastAsia="仿宋_GB2312"/>
                <w:sz w:val="28"/>
                <w:szCs w:val="28"/>
              </w:rPr>
              <w:t>振动</w:t>
            </w:r>
          </w:p>
        </w:tc>
        <w:tc>
          <w:tcPr>
            <w:tcW w:w="5117" w:type="dxa"/>
          </w:tcPr>
          <w:p w14:paraId="152DEFFA">
            <w:pPr>
              <w:rPr>
                <w:rFonts w:eastAsia="仿宋_GB2312"/>
                <w:sz w:val="28"/>
                <w:szCs w:val="28"/>
              </w:rPr>
            </w:pPr>
            <w:r>
              <w:rPr>
                <w:rFonts w:hint="eastAsia" w:eastAsia="仿宋_GB2312"/>
                <w:sz w:val="28"/>
                <w:szCs w:val="28"/>
              </w:rPr>
              <w:t>过大的机械振动对环境和其他设备的干扰</w:t>
            </w:r>
          </w:p>
        </w:tc>
      </w:tr>
      <w:tr w14:paraId="3DA5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571" w:type="dxa"/>
            <w:vMerge w:val="continue"/>
            <w:vAlign w:val="center"/>
          </w:tcPr>
          <w:p w14:paraId="4B199262">
            <w:pPr>
              <w:rPr>
                <w:rFonts w:eastAsia="仿宋_GB2312"/>
                <w:sz w:val="28"/>
                <w:szCs w:val="28"/>
              </w:rPr>
            </w:pPr>
          </w:p>
        </w:tc>
        <w:tc>
          <w:tcPr>
            <w:tcW w:w="1793" w:type="dxa"/>
          </w:tcPr>
          <w:p w14:paraId="2F11977D">
            <w:pPr>
              <w:rPr>
                <w:rFonts w:eastAsia="仿宋_GB2312"/>
                <w:sz w:val="28"/>
                <w:szCs w:val="28"/>
              </w:rPr>
            </w:pPr>
            <w:r>
              <w:rPr>
                <w:rFonts w:hint="eastAsia" w:eastAsia="仿宋_GB2312"/>
                <w:sz w:val="28"/>
                <w:szCs w:val="28"/>
              </w:rPr>
              <w:t>蓝光</w:t>
            </w:r>
          </w:p>
        </w:tc>
        <w:tc>
          <w:tcPr>
            <w:tcW w:w="5117" w:type="dxa"/>
          </w:tcPr>
          <w:p w14:paraId="50ED60BD">
            <w:pPr>
              <w:rPr>
                <w:rFonts w:eastAsia="仿宋_GB2312"/>
                <w:sz w:val="28"/>
                <w:szCs w:val="28"/>
              </w:rPr>
            </w:pPr>
            <w:r>
              <w:rPr>
                <w:rFonts w:hint="eastAsia" w:eastAsia="仿宋_GB2312"/>
                <w:sz w:val="28"/>
                <w:szCs w:val="28"/>
              </w:rPr>
              <w:t>蓝光泄漏对使用者或患者造成的伤害</w:t>
            </w:r>
          </w:p>
        </w:tc>
      </w:tr>
      <w:tr w14:paraId="286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571" w:type="dxa"/>
            <w:vMerge w:val="continue"/>
            <w:vAlign w:val="center"/>
          </w:tcPr>
          <w:p w14:paraId="00F14FC3">
            <w:pPr>
              <w:rPr>
                <w:rFonts w:eastAsia="仿宋_GB2312"/>
                <w:sz w:val="28"/>
                <w:szCs w:val="28"/>
              </w:rPr>
            </w:pPr>
          </w:p>
        </w:tc>
        <w:tc>
          <w:tcPr>
            <w:tcW w:w="1793" w:type="dxa"/>
          </w:tcPr>
          <w:p w14:paraId="448D92E1">
            <w:pPr>
              <w:rPr>
                <w:rFonts w:eastAsia="仿宋_GB2312"/>
                <w:sz w:val="28"/>
                <w:szCs w:val="28"/>
              </w:rPr>
            </w:pPr>
            <w:r>
              <w:rPr>
                <w:rFonts w:hint="eastAsia" w:eastAsia="仿宋_GB2312"/>
                <w:sz w:val="28"/>
                <w:szCs w:val="28"/>
              </w:rPr>
              <w:t>磁场</w:t>
            </w:r>
          </w:p>
        </w:tc>
        <w:tc>
          <w:tcPr>
            <w:tcW w:w="5117" w:type="dxa"/>
          </w:tcPr>
          <w:p w14:paraId="06488D92">
            <w:pPr>
              <w:rPr>
                <w:rFonts w:eastAsia="仿宋_GB2312"/>
                <w:sz w:val="28"/>
                <w:szCs w:val="28"/>
              </w:rPr>
            </w:pPr>
            <w:r>
              <w:rPr>
                <w:rFonts w:hint="eastAsia" w:eastAsia="仿宋_GB2312"/>
                <w:sz w:val="28"/>
                <w:szCs w:val="28"/>
              </w:rPr>
              <w:t>较大的磁场对设备和人员造成的伤害</w:t>
            </w:r>
          </w:p>
        </w:tc>
      </w:tr>
      <w:tr w14:paraId="66DA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restart"/>
            <w:textDirection w:val="tbRlV"/>
            <w:vAlign w:val="center"/>
          </w:tcPr>
          <w:p w14:paraId="4B676ABC">
            <w:pPr>
              <w:ind w:left="113" w:right="113"/>
              <w:jc w:val="center"/>
              <w:rPr>
                <w:rFonts w:eastAsia="仿宋_GB2312"/>
                <w:sz w:val="28"/>
                <w:szCs w:val="28"/>
              </w:rPr>
            </w:pPr>
            <w:r>
              <w:rPr>
                <w:rFonts w:hint="eastAsia" w:eastAsia="仿宋_GB2312"/>
                <w:sz w:val="28"/>
                <w:szCs w:val="28"/>
              </w:rPr>
              <w:t>生物学危害</w:t>
            </w:r>
          </w:p>
        </w:tc>
        <w:tc>
          <w:tcPr>
            <w:tcW w:w="1793" w:type="dxa"/>
          </w:tcPr>
          <w:p w14:paraId="597698D8">
            <w:pPr>
              <w:rPr>
                <w:rFonts w:eastAsia="仿宋_GB2312"/>
                <w:sz w:val="28"/>
                <w:szCs w:val="28"/>
              </w:rPr>
            </w:pPr>
            <w:r>
              <w:rPr>
                <w:rFonts w:hint="eastAsia" w:eastAsia="仿宋_GB2312"/>
                <w:sz w:val="28"/>
                <w:szCs w:val="28"/>
              </w:rPr>
              <w:t>生物污染</w:t>
            </w:r>
          </w:p>
        </w:tc>
        <w:tc>
          <w:tcPr>
            <w:tcW w:w="5117" w:type="dxa"/>
          </w:tcPr>
          <w:p w14:paraId="35D27B8C">
            <w:pPr>
              <w:rPr>
                <w:rFonts w:eastAsia="仿宋_GB2312"/>
                <w:sz w:val="28"/>
                <w:szCs w:val="28"/>
              </w:rPr>
            </w:pPr>
            <w:r>
              <w:rPr>
                <w:rFonts w:hint="eastAsia" w:eastAsia="仿宋_GB2312"/>
                <w:sz w:val="28"/>
                <w:szCs w:val="28"/>
              </w:rPr>
              <w:t>患者的血液体液或排泄物污染使用组件引起的问题</w:t>
            </w:r>
          </w:p>
        </w:tc>
      </w:tr>
      <w:tr w14:paraId="0C45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682C1980">
            <w:pPr>
              <w:rPr>
                <w:rFonts w:eastAsia="仿宋_GB2312"/>
                <w:sz w:val="28"/>
                <w:szCs w:val="28"/>
              </w:rPr>
            </w:pPr>
          </w:p>
        </w:tc>
        <w:tc>
          <w:tcPr>
            <w:tcW w:w="1793" w:type="dxa"/>
          </w:tcPr>
          <w:p w14:paraId="7EDB238E">
            <w:pPr>
              <w:rPr>
                <w:rFonts w:eastAsia="仿宋_GB2312"/>
                <w:sz w:val="28"/>
                <w:szCs w:val="28"/>
              </w:rPr>
            </w:pPr>
            <w:r>
              <w:rPr>
                <w:rFonts w:hint="eastAsia" w:eastAsia="仿宋_GB2312"/>
                <w:sz w:val="28"/>
                <w:szCs w:val="28"/>
              </w:rPr>
              <w:t>生物不兼容性</w:t>
            </w:r>
          </w:p>
        </w:tc>
        <w:tc>
          <w:tcPr>
            <w:tcW w:w="5117" w:type="dxa"/>
          </w:tcPr>
          <w:p w14:paraId="37EFF98B">
            <w:pPr>
              <w:rPr>
                <w:rFonts w:eastAsia="仿宋_GB2312"/>
                <w:sz w:val="28"/>
                <w:szCs w:val="28"/>
              </w:rPr>
            </w:pPr>
            <w:r>
              <w:rPr>
                <w:rFonts w:hint="eastAsia" w:eastAsia="仿宋_GB2312"/>
                <w:sz w:val="28"/>
                <w:szCs w:val="28"/>
              </w:rPr>
              <w:t>产品材料的选择尚未经过生物学评估；</w:t>
            </w:r>
            <w:r>
              <w:rPr>
                <w:rFonts w:eastAsia="仿宋_GB2312"/>
                <w:sz w:val="28"/>
                <w:szCs w:val="28"/>
              </w:rPr>
              <w:t xml:space="preserve"> </w:t>
            </w:r>
            <w:r>
              <w:rPr>
                <w:rFonts w:hint="eastAsia" w:eastAsia="仿宋_GB2312"/>
                <w:sz w:val="28"/>
                <w:szCs w:val="28"/>
              </w:rPr>
              <w:t>与使用者接触的材料具有致敏性</w:t>
            </w:r>
          </w:p>
        </w:tc>
      </w:tr>
      <w:tr w14:paraId="179D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53D6A700">
            <w:pPr>
              <w:rPr>
                <w:rFonts w:eastAsia="仿宋_GB2312"/>
                <w:sz w:val="28"/>
                <w:szCs w:val="28"/>
              </w:rPr>
            </w:pPr>
          </w:p>
        </w:tc>
        <w:tc>
          <w:tcPr>
            <w:tcW w:w="1793" w:type="dxa"/>
          </w:tcPr>
          <w:p w14:paraId="6CD1813D">
            <w:pPr>
              <w:rPr>
                <w:rFonts w:eastAsia="仿宋_GB2312"/>
                <w:sz w:val="28"/>
                <w:szCs w:val="28"/>
              </w:rPr>
            </w:pPr>
            <w:r>
              <w:rPr>
                <w:rFonts w:hint="eastAsia" w:eastAsia="仿宋_GB2312"/>
                <w:sz w:val="28"/>
                <w:szCs w:val="28"/>
              </w:rPr>
              <w:t>不正确的质材</w:t>
            </w:r>
          </w:p>
        </w:tc>
        <w:tc>
          <w:tcPr>
            <w:tcW w:w="5117" w:type="dxa"/>
          </w:tcPr>
          <w:p w14:paraId="3C5803FC">
            <w:pPr>
              <w:rPr>
                <w:rFonts w:eastAsia="仿宋_GB2312"/>
                <w:sz w:val="28"/>
                <w:szCs w:val="28"/>
              </w:rPr>
            </w:pPr>
            <w:r>
              <w:rPr>
                <w:rFonts w:hint="eastAsia" w:eastAsia="仿宋_GB2312"/>
                <w:sz w:val="28"/>
                <w:szCs w:val="28"/>
              </w:rPr>
              <w:t>产品材料的选择尚未经过生物学评估；与用户接触的材料令人不快</w:t>
            </w:r>
          </w:p>
        </w:tc>
      </w:tr>
      <w:tr w14:paraId="5948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18F881D0">
            <w:pPr>
              <w:rPr>
                <w:rFonts w:eastAsia="仿宋_GB2312"/>
                <w:sz w:val="28"/>
                <w:szCs w:val="28"/>
              </w:rPr>
            </w:pPr>
          </w:p>
        </w:tc>
        <w:tc>
          <w:tcPr>
            <w:tcW w:w="1793" w:type="dxa"/>
          </w:tcPr>
          <w:p w14:paraId="1098B54C">
            <w:pPr>
              <w:rPr>
                <w:rFonts w:eastAsia="仿宋_GB2312"/>
                <w:sz w:val="28"/>
                <w:szCs w:val="28"/>
              </w:rPr>
            </w:pPr>
            <w:r>
              <w:rPr>
                <w:rFonts w:hint="eastAsia" w:eastAsia="仿宋_GB2312"/>
                <w:sz w:val="28"/>
                <w:szCs w:val="28"/>
              </w:rPr>
              <w:t>毒性</w:t>
            </w:r>
          </w:p>
        </w:tc>
        <w:tc>
          <w:tcPr>
            <w:tcW w:w="5117" w:type="dxa"/>
          </w:tcPr>
          <w:p w14:paraId="4D6FE8F2">
            <w:pPr>
              <w:rPr>
                <w:rFonts w:eastAsia="仿宋_GB2312"/>
                <w:sz w:val="28"/>
                <w:szCs w:val="28"/>
              </w:rPr>
            </w:pPr>
            <w:r>
              <w:rPr>
                <w:rFonts w:hint="eastAsia" w:eastAsia="仿宋_GB2312"/>
                <w:sz w:val="28"/>
                <w:szCs w:val="28"/>
              </w:rPr>
              <w:t>产品材料的选择尚未经过生物学评估；与使用者接触的材料具有细胞毒性</w:t>
            </w:r>
          </w:p>
        </w:tc>
      </w:tr>
      <w:tr w14:paraId="476B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477A858C">
            <w:pPr>
              <w:rPr>
                <w:rFonts w:eastAsia="仿宋_GB2312"/>
                <w:sz w:val="28"/>
                <w:szCs w:val="28"/>
              </w:rPr>
            </w:pPr>
          </w:p>
        </w:tc>
        <w:tc>
          <w:tcPr>
            <w:tcW w:w="1793" w:type="dxa"/>
          </w:tcPr>
          <w:p w14:paraId="426221A7">
            <w:pPr>
              <w:rPr>
                <w:rFonts w:eastAsia="仿宋_GB2312"/>
                <w:sz w:val="28"/>
                <w:szCs w:val="28"/>
              </w:rPr>
            </w:pPr>
            <w:r>
              <w:rPr>
                <w:rFonts w:hint="eastAsia" w:eastAsia="仿宋_GB2312"/>
                <w:sz w:val="28"/>
                <w:szCs w:val="28"/>
              </w:rPr>
              <w:t>变态性反应</w:t>
            </w:r>
          </w:p>
        </w:tc>
        <w:tc>
          <w:tcPr>
            <w:tcW w:w="5117" w:type="dxa"/>
          </w:tcPr>
          <w:p w14:paraId="49B1DCAF">
            <w:pPr>
              <w:rPr>
                <w:rFonts w:eastAsia="仿宋_GB2312"/>
                <w:sz w:val="28"/>
                <w:szCs w:val="28"/>
              </w:rPr>
            </w:pPr>
            <w:r>
              <w:rPr>
                <w:rFonts w:hint="eastAsia" w:eastAsia="仿宋_GB2312"/>
                <w:sz w:val="28"/>
                <w:szCs w:val="28"/>
              </w:rPr>
              <w:t>产品材料的选择尚未经过生物学评估；与使用者接触的材料具有变态性反应</w:t>
            </w:r>
          </w:p>
        </w:tc>
      </w:tr>
      <w:tr w14:paraId="29A8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13FBE526">
            <w:pPr>
              <w:rPr>
                <w:rFonts w:eastAsia="仿宋_GB2312"/>
                <w:sz w:val="28"/>
                <w:szCs w:val="28"/>
              </w:rPr>
            </w:pPr>
          </w:p>
        </w:tc>
        <w:tc>
          <w:tcPr>
            <w:tcW w:w="1793" w:type="dxa"/>
          </w:tcPr>
          <w:p w14:paraId="4192ACE9">
            <w:pPr>
              <w:rPr>
                <w:rFonts w:eastAsia="仿宋_GB2312"/>
                <w:sz w:val="28"/>
                <w:szCs w:val="28"/>
              </w:rPr>
            </w:pPr>
            <w:r>
              <w:rPr>
                <w:rFonts w:hint="eastAsia" w:eastAsia="仿宋_GB2312"/>
                <w:sz w:val="28"/>
                <w:szCs w:val="28"/>
              </w:rPr>
              <w:t>突变性</w:t>
            </w:r>
          </w:p>
        </w:tc>
        <w:tc>
          <w:tcPr>
            <w:tcW w:w="5117" w:type="dxa"/>
          </w:tcPr>
          <w:p w14:paraId="330032C6">
            <w:pPr>
              <w:rPr>
                <w:rFonts w:eastAsia="仿宋_GB2312"/>
                <w:sz w:val="28"/>
                <w:szCs w:val="28"/>
              </w:rPr>
            </w:pPr>
            <w:r>
              <w:rPr>
                <w:rFonts w:hint="eastAsia" w:eastAsia="仿宋_GB2312"/>
                <w:sz w:val="28"/>
                <w:szCs w:val="28"/>
              </w:rPr>
              <w:t>产品材料的选择尚未经过生物学评估；与使用者接触的材料具有突变性</w:t>
            </w:r>
          </w:p>
        </w:tc>
      </w:tr>
      <w:tr w14:paraId="5320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44D1083E">
            <w:pPr>
              <w:rPr>
                <w:rFonts w:eastAsia="仿宋_GB2312"/>
                <w:sz w:val="28"/>
                <w:szCs w:val="28"/>
              </w:rPr>
            </w:pPr>
          </w:p>
        </w:tc>
        <w:tc>
          <w:tcPr>
            <w:tcW w:w="1793" w:type="dxa"/>
          </w:tcPr>
          <w:p w14:paraId="223608EB">
            <w:pPr>
              <w:rPr>
                <w:rFonts w:eastAsia="仿宋_GB2312"/>
                <w:sz w:val="28"/>
                <w:szCs w:val="28"/>
              </w:rPr>
            </w:pPr>
            <w:r>
              <w:rPr>
                <w:rFonts w:hint="eastAsia" w:eastAsia="仿宋_GB2312"/>
                <w:sz w:val="28"/>
                <w:szCs w:val="28"/>
              </w:rPr>
              <w:t>致畸性</w:t>
            </w:r>
          </w:p>
        </w:tc>
        <w:tc>
          <w:tcPr>
            <w:tcW w:w="5117" w:type="dxa"/>
          </w:tcPr>
          <w:p w14:paraId="0E00E369">
            <w:pPr>
              <w:rPr>
                <w:rFonts w:eastAsia="仿宋_GB2312"/>
                <w:sz w:val="28"/>
                <w:szCs w:val="28"/>
              </w:rPr>
            </w:pPr>
            <w:r>
              <w:rPr>
                <w:rFonts w:hint="eastAsia" w:eastAsia="仿宋_GB2312"/>
                <w:sz w:val="28"/>
                <w:szCs w:val="28"/>
              </w:rPr>
              <w:t>产品材料的选择尚未经过生物学评估；与使用者接触的材料具有致畸性</w:t>
            </w:r>
          </w:p>
        </w:tc>
      </w:tr>
      <w:tr w14:paraId="57BC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2FD4B817">
            <w:pPr>
              <w:rPr>
                <w:rFonts w:eastAsia="仿宋_GB2312"/>
                <w:sz w:val="28"/>
                <w:szCs w:val="28"/>
              </w:rPr>
            </w:pPr>
          </w:p>
        </w:tc>
        <w:tc>
          <w:tcPr>
            <w:tcW w:w="1793" w:type="dxa"/>
          </w:tcPr>
          <w:p w14:paraId="0EA71EA7">
            <w:pPr>
              <w:rPr>
                <w:rFonts w:eastAsia="仿宋_GB2312"/>
                <w:sz w:val="28"/>
                <w:szCs w:val="28"/>
              </w:rPr>
            </w:pPr>
            <w:r>
              <w:rPr>
                <w:rFonts w:hint="eastAsia" w:eastAsia="仿宋_GB2312"/>
                <w:sz w:val="28"/>
                <w:szCs w:val="28"/>
              </w:rPr>
              <w:t>致癌性</w:t>
            </w:r>
          </w:p>
        </w:tc>
        <w:tc>
          <w:tcPr>
            <w:tcW w:w="5117" w:type="dxa"/>
          </w:tcPr>
          <w:p w14:paraId="3C4FAD68">
            <w:pPr>
              <w:rPr>
                <w:rFonts w:eastAsia="仿宋_GB2312"/>
                <w:sz w:val="28"/>
                <w:szCs w:val="28"/>
              </w:rPr>
            </w:pPr>
            <w:bookmarkStart w:id="4" w:name="OLE_LINK1"/>
            <w:bookmarkStart w:id="5" w:name="OLE_LINK2"/>
            <w:r>
              <w:rPr>
                <w:rFonts w:hint="eastAsia" w:eastAsia="仿宋_GB2312"/>
                <w:sz w:val="28"/>
                <w:szCs w:val="28"/>
              </w:rPr>
              <w:t>产品材料的选择尚未经过生物学评估；</w:t>
            </w:r>
            <w:bookmarkEnd w:id="4"/>
            <w:bookmarkEnd w:id="5"/>
            <w:r>
              <w:rPr>
                <w:rFonts w:hint="eastAsia" w:eastAsia="仿宋_GB2312"/>
                <w:sz w:val="28"/>
                <w:szCs w:val="28"/>
              </w:rPr>
              <w:t>与使用者接触的材料具有致癌性</w:t>
            </w:r>
          </w:p>
        </w:tc>
      </w:tr>
      <w:tr w14:paraId="7890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6CDED192">
            <w:pPr>
              <w:rPr>
                <w:rFonts w:eastAsia="仿宋_GB2312"/>
                <w:sz w:val="28"/>
                <w:szCs w:val="28"/>
              </w:rPr>
            </w:pPr>
          </w:p>
        </w:tc>
        <w:tc>
          <w:tcPr>
            <w:tcW w:w="1793" w:type="dxa"/>
          </w:tcPr>
          <w:p w14:paraId="3B1AB837">
            <w:pPr>
              <w:rPr>
                <w:rFonts w:eastAsia="仿宋_GB2312"/>
                <w:sz w:val="28"/>
                <w:szCs w:val="28"/>
              </w:rPr>
            </w:pPr>
            <w:r>
              <w:rPr>
                <w:rFonts w:hint="eastAsia" w:eastAsia="仿宋_GB2312"/>
                <w:sz w:val="28"/>
                <w:szCs w:val="28"/>
              </w:rPr>
              <w:t>再感染和（或）交叉感染</w:t>
            </w:r>
          </w:p>
        </w:tc>
        <w:tc>
          <w:tcPr>
            <w:tcW w:w="5117" w:type="dxa"/>
          </w:tcPr>
          <w:p w14:paraId="0B19D84C">
            <w:pPr>
              <w:rPr>
                <w:rFonts w:eastAsia="仿宋_GB2312"/>
                <w:sz w:val="28"/>
                <w:szCs w:val="28"/>
              </w:rPr>
            </w:pPr>
            <w:r>
              <w:rPr>
                <w:rFonts w:hint="eastAsia" w:eastAsia="仿宋_GB2312"/>
                <w:sz w:val="28"/>
                <w:szCs w:val="28"/>
              </w:rPr>
              <w:t>设备外壳、出光镜头所藏污染物造成的交叉感染（适用于非接触式蓝光治疗仪）</w:t>
            </w:r>
          </w:p>
          <w:p w14:paraId="798B8591">
            <w:pPr>
              <w:rPr>
                <w:rFonts w:eastAsia="仿宋_GB2312"/>
                <w:sz w:val="28"/>
                <w:szCs w:val="28"/>
              </w:rPr>
            </w:pPr>
            <w:r>
              <w:rPr>
                <w:rFonts w:hint="eastAsia" w:eastAsia="仿宋_GB2312"/>
                <w:sz w:val="28"/>
                <w:szCs w:val="28"/>
              </w:rPr>
              <w:t>设备外壳、发光板所藏污染物造成的交叉感染（适用于接触式蓝光治疗仪）</w:t>
            </w:r>
          </w:p>
        </w:tc>
      </w:tr>
      <w:tr w14:paraId="4FB6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06CB0541">
            <w:pPr>
              <w:rPr>
                <w:rFonts w:eastAsia="仿宋_GB2312"/>
                <w:sz w:val="28"/>
                <w:szCs w:val="28"/>
              </w:rPr>
            </w:pPr>
          </w:p>
        </w:tc>
        <w:tc>
          <w:tcPr>
            <w:tcW w:w="1793" w:type="dxa"/>
          </w:tcPr>
          <w:p w14:paraId="359553FF">
            <w:pPr>
              <w:rPr>
                <w:rFonts w:eastAsia="仿宋_GB2312"/>
                <w:sz w:val="28"/>
                <w:szCs w:val="28"/>
              </w:rPr>
            </w:pPr>
            <w:r>
              <w:rPr>
                <w:rFonts w:hint="eastAsia" w:eastAsia="仿宋_GB2312"/>
                <w:sz w:val="28"/>
                <w:szCs w:val="28"/>
              </w:rPr>
              <w:t>不能保持卫生安全性</w:t>
            </w:r>
          </w:p>
        </w:tc>
        <w:tc>
          <w:tcPr>
            <w:tcW w:w="5117" w:type="dxa"/>
          </w:tcPr>
          <w:p w14:paraId="3CC43F1E">
            <w:pPr>
              <w:rPr>
                <w:rFonts w:eastAsia="仿宋_GB2312"/>
                <w:sz w:val="28"/>
                <w:szCs w:val="28"/>
              </w:rPr>
            </w:pPr>
            <w:r>
              <w:rPr>
                <w:rFonts w:hint="eastAsia" w:eastAsia="仿宋_GB2312"/>
                <w:sz w:val="28"/>
                <w:szCs w:val="28"/>
              </w:rPr>
              <w:t>接触患者的组件非单一患者或单一次使用而引起的卫生问题</w:t>
            </w:r>
          </w:p>
        </w:tc>
      </w:tr>
      <w:tr w14:paraId="3F6B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1EED5E83">
            <w:pPr>
              <w:rPr>
                <w:rFonts w:eastAsia="仿宋_GB2312"/>
                <w:sz w:val="28"/>
                <w:szCs w:val="28"/>
              </w:rPr>
            </w:pPr>
          </w:p>
        </w:tc>
        <w:tc>
          <w:tcPr>
            <w:tcW w:w="1793" w:type="dxa"/>
          </w:tcPr>
          <w:p w14:paraId="134F95AB">
            <w:pPr>
              <w:rPr>
                <w:rFonts w:eastAsia="仿宋_GB2312"/>
                <w:sz w:val="28"/>
                <w:szCs w:val="28"/>
              </w:rPr>
            </w:pPr>
            <w:r>
              <w:rPr>
                <w:rFonts w:hint="eastAsia" w:eastAsia="仿宋_GB2312"/>
                <w:sz w:val="28"/>
                <w:szCs w:val="28"/>
              </w:rPr>
              <w:t>降解</w:t>
            </w:r>
          </w:p>
        </w:tc>
        <w:tc>
          <w:tcPr>
            <w:tcW w:w="5117" w:type="dxa"/>
          </w:tcPr>
          <w:p w14:paraId="6F2D7EEF">
            <w:pPr>
              <w:rPr>
                <w:rFonts w:eastAsia="仿宋_GB2312"/>
                <w:sz w:val="28"/>
                <w:szCs w:val="28"/>
              </w:rPr>
            </w:pPr>
            <w:r>
              <w:rPr>
                <w:rFonts w:hint="eastAsia" w:eastAsia="仿宋_GB2312"/>
                <w:sz w:val="28"/>
                <w:szCs w:val="28"/>
              </w:rPr>
              <w:t>不能自然降解的器件可能造成的环境污染</w:t>
            </w:r>
          </w:p>
        </w:tc>
      </w:tr>
      <w:tr w14:paraId="4C2F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restart"/>
            <w:textDirection w:val="tbRlV"/>
            <w:vAlign w:val="center"/>
          </w:tcPr>
          <w:p w14:paraId="1CB622EB">
            <w:pPr>
              <w:ind w:left="113" w:right="113"/>
              <w:jc w:val="center"/>
              <w:rPr>
                <w:rFonts w:eastAsia="仿宋_GB2312"/>
                <w:sz w:val="28"/>
                <w:szCs w:val="28"/>
              </w:rPr>
            </w:pPr>
            <w:r>
              <w:rPr>
                <w:rFonts w:hint="eastAsia" w:eastAsia="仿宋_GB2312"/>
                <w:sz w:val="28"/>
                <w:szCs w:val="28"/>
              </w:rPr>
              <w:t>环境危害</w:t>
            </w:r>
          </w:p>
        </w:tc>
        <w:tc>
          <w:tcPr>
            <w:tcW w:w="1793" w:type="dxa"/>
          </w:tcPr>
          <w:p w14:paraId="12664693">
            <w:pPr>
              <w:rPr>
                <w:rFonts w:eastAsia="仿宋_GB2312"/>
                <w:sz w:val="28"/>
                <w:szCs w:val="28"/>
              </w:rPr>
            </w:pPr>
            <w:r>
              <w:rPr>
                <w:rFonts w:hint="eastAsia" w:eastAsia="仿宋_GB2312"/>
                <w:sz w:val="28"/>
                <w:szCs w:val="28"/>
              </w:rPr>
              <w:t>电磁场</w:t>
            </w:r>
          </w:p>
        </w:tc>
        <w:tc>
          <w:tcPr>
            <w:tcW w:w="5117" w:type="dxa"/>
          </w:tcPr>
          <w:p w14:paraId="78AE2787">
            <w:pPr>
              <w:rPr>
                <w:rFonts w:eastAsia="仿宋_GB2312"/>
                <w:sz w:val="28"/>
                <w:szCs w:val="28"/>
              </w:rPr>
            </w:pPr>
            <w:r>
              <w:rPr>
                <w:rFonts w:hint="eastAsia" w:eastAsia="仿宋_GB2312"/>
                <w:sz w:val="28"/>
                <w:szCs w:val="28"/>
              </w:rPr>
              <w:t>内部的高频交变信号</w:t>
            </w:r>
          </w:p>
        </w:tc>
      </w:tr>
      <w:tr w14:paraId="4F5A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4EAC5080">
            <w:pPr>
              <w:rPr>
                <w:rFonts w:eastAsia="仿宋_GB2312"/>
                <w:sz w:val="28"/>
                <w:szCs w:val="28"/>
              </w:rPr>
            </w:pPr>
          </w:p>
        </w:tc>
        <w:tc>
          <w:tcPr>
            <w:tcW w:w="1793" w:type="dxa"/>
          </w:tcPr>
          <w:p w14:paraId="43992C58">
            <w:pPr>
              <w:rPr>
                <w:rFonts w:eastAsia="仿宋_GB2312"/>
                <w:sz w:val="28"/>
                <w:szCs w:val="28"/>
              </w:rPr>
            </w:pPr>
            <w:r>
              <w:rPr>
                <w:rFonts w:hint="eastAsia" w:eastAsia="仿宋_GB2312"/>
                <w:sz w:val="28"/>
                <w:szCs w:val="28"/>
              </w:rPr>
              <w:t>对电磁干扰的敏感性</w:t>
            </w:r>
          </w:p>
        </w:tc>
        <w:tc>
          <w:tcPr>
            <w:tcW w:w="5117" w:type="dxa"/>
          </w:tcPr>
          <w:p w14:paraId="664710BF">
            <w:pPr>
              <w:rPr>
                <w:rFonts w:eastAsia="仿宋_GB2312"/>
                <w:sz w:val="28"/>
                <w:szCs w:val="28"/>
              </w:rPr>
            </w:pPr>
            <w:r>
              <w:rPr>
                <w:rFonts w:hint="eastAsia" w:eastAsia="仿宋_GB2312"/>
                <w:sz w:val="28"/>
                <w:szCs w:val="28"/>
              </w:rPr>
              <w:t>外部电磁干扰造成敏感器件的失效</w:t>
            </w:r>
          </w:p>
        </w:tc>
      </w:tr>
      <w:tr w14:paraId="0164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71" w:type="dxa"/>
            <w:vMerge w:val="continue"/>
            <w:vAlign w:val="center"/>
          </w:tcPr>
          <w:p w14:paraId="577B5370">
            <w:pPr>
              <w:rPr>
                <w:rFonts w:eastAsia="仿宋_GB2312"/>
                <w:sz w:val="28"/>
                <w:szCs w:val="28"/>
              </w:rPr>
            </w:pPr>
          </w:p>
        </w:tc>
        <w:tc>
          <w:tcPr>
            <w:tcW w:w="1793" w:type="dxa"/>
          </w:tcPr>
          <w:p w14:paraId="313CCE40">
            <w:pPr>
              <w:rPr>
                <w:rFonts w:eastAsia="仿宋_GB2312"/>
                <w:sz w:val="28"/>
                <w:szCs w:val="28"/>
              </w:rPr>
            </w:pPr>
            <w:r>
              <w:rPr>
                <w:rFonts w:hint="eastAsia" w:eastAsia="仿宋_GB2312"/>
                <w:sz w:val="28"/>
                <w:szCs w:val="28"/>
              </w:rPr>
              <w:t>电磁干扰的发射</w:t>
            </w:r>
          </w:p>
        </w:tc>
        <w:tc>
          <w:tcPr>
            <w:tcW w:w="5117" w:type="dxa"/>
          </w:tcPr>
          <w:p w14:paraId="04C12992">
            <w:pPr>
              <w:rPr>
                <w:rFonts w:eastAsia="仿宋_GB2312"/>
                <w:sz w:val="28"/>
                <w:szCs w:val="28"/>
              </w:rPr>
            </w:pPr>
            <w:r>
              <w:rPr>
                <w:rFonts w:hint="eastAsia" w:eastAsia="仿宋_GB2312"/>
                <w:sz w:val="28"/>
                <w:szCs w:val="28"/>
              </w:rPr>
              <w:t>交变电磁场发射造成其他设备的故障</w:t>
            </w:r>
          </w:p>
        </w:tc>
      </w:tr>
      <w:tr w14:paraId="1F62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20B16ADB">
            <w:pPr>
              <w:rPr>
                <w:rFonts w:eastAsia="仿宋_GB2312"/>
                <w:sz w:val="28"/>
                <w:szCs w:val="28"/>
              </w:rPr>
            </w:pPr>
          </w:p>
        </w:tc>
        <w:tc>
          <w:tcPr>
            <w:tcW w:w="1793" w:type="dxa"/>
          </w:tcPr>
          <w:p w14:paraId="515D0ED3">
            <w:pPr>
              <w:rPr>
                <w:rFonts w:eastAsia="仿宋_GB2312"/>
                <w:sz w:val="28"/>
                <w:szCs w:val="28"/>
              </w:rPr>
            </w:pPr>
            <w:r>
              <w:rPr>
                <w:rFonts w:hint="eastAsia" w:eastAsia="仿宋_GB2312"/>
                <w:sz w:val="28"/>
                <w:szCs w:val="28"/>
              </w:rPr>
              <w:t>储存或运行偏离预定的环境条件</w:t>
            </w:r>
          </w:p>
        </w:tc>
        <w:tc>
          <w:tcPr>
            <w:tcW w:w="5117" w:type="dxa"/>
          </w:tcPr>
          <w:p w14:paraId="7A0EA87D">
            <w:pPr>
              <w:rPr>
                <w:rFonts w:eastAsia="仿宋_GB2312"/>
                <w:sz w:val="28"/>
                <w:szCs w:val="28"/>
              </w:rPr>
            </w:pPr>
            <w:r>
              <w:rPr>
                <w:rFonts w:hint="eastAsia" w:eastAsia="仿宋_GB2312"/>
                <w:sz w:val="28"/>
                <w:szCs w:val="28"/>
              </w:rPr>
              <w:t>温度、湿度超过预定范围后对机器的可靠性和稳定性、安全性的影响</w:t>
            </w:r>
          </w:p>
        </w:tc>
      </w:tr>
      <w:tr w14:paraId="0B07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29E8FBF1">
            <w:pPr>
              <w:rPr>
                <w:rFonts w:eastAsia="仿宋_GB2312"/>
                <w:sz w:val="28"/>
                <w:szCs w:val="28"/>
              </w:rPr>
            </w:pPr>
          </w:p>
        </w:tc>
        <w:tc>
          <w:tcPr>
            <w:tcW w:w="1793" w:type="dxa"/>
          </w:tcPr>
          <w:p w14:paraId="6A160A4A">
            <w:pPr>
              <w:rPr>
                <w:rFonts w:eastAsia="仿宋_GB2312"/>
                <w:sz w:val="28"/>
                <w:szCs w:val="28"/>
              </w:rPr>
            </w:pPr>
            <w:r>
              <w:rPr>
                <w:rFonts w:hint="eastAsia" w:eastAsia="仿宋_GB2312"/>
                <w:sz w:val="28"/>
                <w:szCs w:val="28"/>
              </w:rPr>
              <w:t>意外的机械破坏</w:t>
            </w:r>
          </w:p>
        </w:tc>
        <w:tc>
          <w:tcPr>
            <w:tcW w:w="5117" w:type="dxa"/>
          </w:tcPr>
          <w:p w14:paraId="6A95AC7F">
            <w:pPr>
              <w:rPr>
                <w:rFonts w:eastAsia="仿宋_GB2312"/>
                <w:sz w:val="28"/>
                <w:szCs w:val="28"/>
              </w:rPr>
            </w:pPr>
            <w:r>
              <w:rPr>
                <w:rFonts w:hint="eastAsia" w:eastAsia="仿宋_GB2312"/>
                <w:sz w:val="28"/>
                <w:szCs w:val="28"/>
              </w:rPr>
              <w:t>意外的机械破坏造成精度得不到保证</w:t>
            </w:r>
          </w:p>
        </w:tc>
      </w:tr>
      <w:tr w14:paraId="5DBC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1571" w:type="dxa"/>
            <w:vMerge w:val="continue"/>
            <w:vAlign w:val="center"/>
          </w:tcPr>
          <w:p w14:paraId="363C9F84">
            <w:pPr>
              <w:rPr>
                <w:rFonts w:eastAsia="仿宋_GB2312"/>
                <w:sz w:val="28"/>
                <w:szCs w:val="28"/>
              </w:rPr>
            </w:pPr>
          </w:p>
        </w:tc>
        <w:tc>
          <w:tcPr>
            <w:tcW w:w="1793" w:type="dxa"/>
          </w:tcPr>
          <w:p w14:paraId="4EC066F7">
            <w:pPr>
              <w:rPr>
                <w:rFonts w:eastAsia="仿宋_GB2312"/>
                <w:sz w:val="28"/>
                <w:szCs w:val="28"/>
              </w:rPr>
            </w:pPr>
            <w:r>
              <w:rPr>
                <w:rFonts w:hint="eastAsia" w:eastAsia="仿宋_GB2312"/>
                <w:sz w:val="28"/>
                <w:szCs w:val="28"/>
              </w:rPr>
              <w:t>由于废物和（或）医疗器械处置的污染</w:t>
            </w:r>
          </w:p>
        </w:tc>
        <w:tc>
          <w:tcPr>
            <w:tcW w:w="5117" w:type="dxa"/>
          </w:tcPr>
          <w:p w14:paraId="463AEDAB">
            <w:pPr>
              <w:rPr>
                <w:rFonts w:eastAsia="仿宋_GB2312"/>
                <w:sz w:val="28"/>
                <w:szCs w:val="28"/>
              </w:rPr>
            </w:pPr>
            <w:r>
              <w:rPr>
                <w:rFonts w:hint="eastAsia" w:eastAsia="仿宋_GB2312"/>
                <w:sz w:val="28"/>
                <w:szCs w:val="28"/>
              </w:rPr>
              <w:t>内置电池的废弃处理不当造成环境污染</w:t>
            </w:r>
          </w:p>
        </w:tc>
      </w:tr>
      <w:tr w14:paraId="4152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restart"/>
            <w:vAlign w:val="center"/>
          </w:tcPr>
          <w:p w14:paraId="25A3E172">
            <w:pPr>
              <w:rPr>
                <w:rFonts w:eastAsia="仿宋_GB2312"/>
                <w:sz w:val="28"/>
                <w:szCs w:val="28"/>
              </w:rPr>
            </w:pPr>
            <w:r>
              <w:rPr>
                <w:rFonts w:hint="eastAsia" w:eastAsia="仿宋_GB2312"/>
                <w:sz w:val="28"/>
                <w:szCs w:val="28"/>
              </w:rPr>
              <w:t>由于不正确的能量和物质输出所产生的危害</w:t>
            </w:r>
          </w:p>
        </w:tc>
        <w:tc>
          <w:tcPr>
            <w:tcW w:w="1793" w:type="dxa"/>
          </w:tcPr>
          <w:p w14:paraId="1B0CAB22">
            <w:pPr>
              <w:rPr>
                <w:rFonts w:eastAsia="仿宋_GB2312"/>
                <w:sz w:val="28"/>
                <w:szCs w:val="28"/>
              </w:rPr>
            </w:pPr>
            <w:r>
              <w:rPr>
                <w:rFonts w:hint="eastAsia" w:eastAsia="仿宋_GB2312"/>
                <w:sz w:val="28"/>
                <w:szCs w:val="28"/>
              </w:rPr>
              <w:t>电能</w:t>
            </w:r>
          </w:p>
        </w:tc>
        <w:tc>
          <w:tcPr>
            <w:tcW w:w="5117" w:type="dxa"/>
          </w:tcPr>
          <w:p w14:paraId="500DED39">
            <w:pPr>
              <w:rPr>
                <w:rFonts w:eastAsia="仿宋_GB2312"/>
                <w:sz w:val="28"/>
                <w:szCs w:val="28"/>
              </w:rPr>
            </w:pPr>
            <w:r>
              <w:rPr>
                <w:rFonts w:hint="eastAsia" w:eastAsia="仿宋_GB2312"/>
                <w:sz w:val="28"/>
                <w:szCs w:val="28"/>
              </w:rPr>
              <w:t>保护接地阻抗和隔离失效造成的电击</w:t>
            </w:r>
          </w:p>
        </w:tc>
      </w:tr>
      <w:tr w14:paraId="2F92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1819ADD5">
            <w:pPr>
              <w:rPr>
                <w:rFonts w:eastAsia="仿宋_GB2312"/>
                <w:sz w:val="28"/>
                <w:szCs w:val="28"/>
              </w:rPr>
            </w:pPr>
          </w:p>
        </w:tc>
        <w:tc>
          <w:tcPr>
            <w:tcW w:w="1793" w:type="dxa"/>
          </w:tcPr>
          <w:p w14:paraId="2C2E783B">
            <w:pPr>
              <w:rPr>
                <w:rFonts w:eastAsia="仿宋_GB2312"/>
                <w:sz w:val="28"/>
                <w:szCs w:val="28"/>
              </w:rPr>
            </w:pPr>
            <w:r>
              <w:rPr>
                <w:rFonts w:hint="eastAsia" w:eastAsia="仿宋_GB2312"/>
                <w:sz w:val="28"/>
                <w:szCs w:val="28"/>
              </w:rPr>
              <w:t>辐射</w:t>
            </w:r>
          </w:p>
        </w:tc>
        <w:tc>
          <w:tcPr>
            <w:tcW w:w="5117" w:type="dxa"/>
          </w:tcPr>
          <w:p w14:paraId="0DC73D96">
            <w:pPr>
              <w:rPr>
                <w:rFonts w:eastAsia="仿宋_GB2312"/>
                <w:sz w:val="28"/>
                <w:szCs w:val="28"/>
              </w:rPr>
            </w:pPr>
            <w:r>
              <w:rPr>
                <w:rFonts w:hint="eastAsia" w:eastAsia="仿宋_GB2312"/>
                <w:sz w:val="28"/>
                <w:szCs w:val="28"/>
              </w:rPr>
              <w:t>电磁辐射所造成的电磁污染</w:t>
            </w:r>
          </w:p>
        </w:tc>
      </w:tr>
      <w:tr w14:paraId="6DED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1EB73BE5">
            <w:pPr>
              <w:rPr>
                <w:rFonts w:eastAsia="仿宋_GB2312"/>
                <w:sz w:val="28"/>
                <w:szCs w:val="28"/>
              </w:rPr>
            </w:pPr>
          </w:p>
        </w:tc>
        <w:tc>
          <w:tcPr>
            <w:tcW w:w="1793" w:type="dxa"/>
          </w:tcPr>
          <w:p w14:paraId="76817A55">
            <w:pPr>
              <w:rPr>
                <w:rFonts w:eastAsia="仿宋_GB2312"/>
                <w:sz w:val="28"/>
                <w:szCs w:val="28"/>
              </w:rPr>
            </w:pPr>
            <w:r>
              <w:rPr>
                <w:rFonts w:hint="eastAsia" w:eastAsia="仿宋_GB2312"/>
                <w:sz w:val="28"/>
                <w:szCs w:val="28"/>
              </w:rPr>
              <w:t>音量</w:t>
            </w:r>
          </w:p>
        </w:tc>
        <w:tc>
          <w:tcPr>
            <w:tcW w:w="5117" w:type="dxa"/>
          </w:tcPr>
          <w:p w14:paraId="603F0D48">
            <w:pPr>
              <w:rPr>
                <w:rFonts w:eastAsia="仿宋_GB2312"/>
                <w:sz w:val="28"/>
                <w:szCs w:val="28"/>
              </w:rPr>
            </w:pPr>
            <w:r>
              <w:rPr>
                <w:rFonts w:hint="eastAsia" w:eastAsia="仿宋_GB2312"/>
                <w:sz w:val="28"/>
                <w:szCs w:val="28"/>
              </w:rPr>
              <w:t>运行或报警声音造成的噪音污染</w:t>
            </w:r>
          </w:p>
        </w:tc>
      </w:tr>
      <w:tr w14:paraId="75AD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restart"/>
            <w:vAlign w:val="center"/>
          </w:tcPr>
          <w:p w14:paraId="488DD7DB">
            <w:pPr>
              <w:rPr>
                <w:rFonts w:eastAsia="仿宋_GB2312"/>
                <w:sz w:val="28"/>
                <w:szCs w:val="28"/>
              </w:rPr>
            </w:pPr>
            <w:r>
              <w:rPr>
                <w:rFonts w:hint="eastAsia" w:eastAsia="仿宋_GB2312"/>
                <w:sz w:val="28"/>
                <w:szCs w:val="28"/>
              </w:rPr>
              <w:t>与医疗器械使用有关的危害</w:t>
            </w:r>
          </w:p>
        </w:tc>
        <w:tc>
          <w:tcPr>
            <w:tcW w:w="1793" w:type="dxa"/>
          </w:tcPr>
          <w:p w14:paraId="049ED430">
            <w:pPr>
              <w:rPr>
                <w:rFonts w:eastAsia="仿宋_GB2312"/>
                <w:sz w:val="28"/>
                <w:szCs w:val="28"/>
              </w:rPr>
            </w:pPr>
            <w:r>
              <w:rPr>
                <w:rFonts w:hint="eastAsia" w:eastAsia="仿宋_GB2312"/>
                <w:sz w:val="28"/>
                <w:szCs w:val="28"/>
              </w:rPr>
              <w:t>不适当的标记</w:t>
            </w:r>
          </w:p>
        </w:tc>
        <w:tc>
          <w:tcPr>
            <w:tcW w:w="5117" w:type="dxa"/>
          </w:tcPr>
          <w:p w14:paraId="5C3EF0EE">
            <w:pPr>
              <w:rPr>
                <w:rFonts w:eastAsia="仿宋_GB2312"/>
                <w:sz w:val="28"/>
                <w:szCs w:val="28"/>
              </w:rPr>
            </w:pPr>
            <w:r>
              <w:rPr>
                <w:rFonts w:hint="eastAsia" w:eastAsia="仿宋_GB2312"/>
                <w:sz w:val="28"/>
                <w:szCs w:val="28"/>
              </w:rPr>
              <w:t>标示、图案、缩略代码不当造成造成的误解</w:t>
            </w:r>
          </w:p>
        </w:tc>
      </w:tr>
      <w:tr w14:paraId="726F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253270E7">
            <w:pPr>
              <w:rPr>
                <w:rFonts w:eastAsia="仿宋_GB2312"/>
                <w:sz w:val="28"/>
                <w:szCs w:val="28"/>
              </w:rPr>
            </w:pPr>
          </w:p>
        </w:tc>
        <w:tc>
          <w:tcPr>
            <w:tcW w:w="1793" w:type="dxa"/>
          </w:tcPr>
          <w:p w14:paraId="1B221DDE">
            <w:pPr>
              <w:rPr>
                <w:rFonts w:eastAsia="仿宋_GB2312"/>
                <w:sz w:val="28"/>
                <w:szCs w:val="28"/>
              </w:rPr>
            </w:pPr>
            <w:r>
              <w:rPr>
                <w:rFonts w:hint="eastAsia" w:eastAsia="仿宋_GB2312"/>
                <w:sz w:val="28"/>
                <w:szCs w:val="28"/>
              </w:rPr>
              <w:t>不适当的操作说明</w:t>
            </w:r>
          </w:p>
        </w:tc>
        <w:tc>
          <w:tcPr>
            <w:tcW w:w="5117" w:type="dxa"/>
          </w:tcPr>
          <w:p w14:paraId="06E0A039">
            <w:pPr>
              <w:rPr>
                <w:rFonts w:eastAsia="仿宋_GB2312"/>
                <w:sz w:val="28"/>
                <w:szCs w:val="28"/>
              </w:rPr>
            </w:pPr>
            <w:r>
              <w:rPr>
                <w:rFonts w:hint="eastAsia" w:eastAsia="仿宋_GB2312"/>
                <w:sz w:val="28"/>
                <w:szCs w:val="28"/>
              </w:rPr>
              <w:t>耗材匹配定标等不适当的做法造成的风险</w:t>
            </w:r>
          </w:p>
        </w:tc>
      </w:tr>
      <w:tr w14:paraId="5B8D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367437A0">
            <w:pPr>
              <w:rPr>
                <w:rFonts w:eastAsia="仿宋_GB2312"/>
                <w:sz w:val="28"/>
                <w:szCs w:val="28"/>
              </w:rPr>
            </w:pPr>
          </w:p>
        </w:tc>
        <w:tc>
          <w:tcPr>
            <w:tcW w:w="1793" w:type="dxa"/>
          </w:tcPr>
          <w:p w14:paraId="2386C560">
            <w:pPr>
              <w:rPr>
                <w:rFonts w:eastAsia="仿宋_GB2312"/>
                <w:sz w:val="28"/>
                <w:szCs w:val="28"/>
              </w:rPr>
            </w:pPr>
            <w:r>
              <w:rPr>
                <w:rFonts w:hint="eastAsia" w:eastAsia="仿宋_GB2312"/>
                <w:sz w:val="28"/>
                <w:szCs w:val="28"/>
              </w:rPr>
              <w:t>由不熟练、未经培训的人员使用</w:t>
            </w:r>
          </w:p>
        </w:tc>
        <w:tc>
          <w:tcPr>
            <w:tcW w:w="5117" w:type="dxa"/>
          </w:tcPr>
          <w:p w14:paraId="044EBBF6">
            <w:pPr>
              <w:rPr>
                <w:rFonts w:eastAsia="仿宋_GB2312"/>
                <w:sz w:val="28"/>
                <w:szCs w:val="28"/>
              </w:rPr>
            </w:pPr>
            <w:r>
              <w:rPr>
                <w:rFonts w:hint="eastAsia" w:eastAsia="仿宋_GB2312"/>
                <w:sz w:val="28"/>
                <w:szCs w:val="28"/>
              </w:rPr>
              <w:t>耗材代码唯一性标示不清楚，不熟练或未经专业培训人员造成耗材匹配不当的风险</w:t>
            </w:r>
          </w:p>
        </w:tc>
      </w:tr>
      <w:tr w14:paraId="7C18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5CED2478">
            <w:pPr>
              <w:rPr>
                <w:rFonts w:eastAsia="仿宋_GB2312"/>
                <w:sz w:val="28"/>
                <w:szCs w:val="28"/>
              </w:rPr>
            </w:pPr>
          </w:p>
        </w:tc>
        <w:tc>
          <w:tcPr>
            <w:tcW w:w="1793" w:type="dxa"/>
          </w:tcPr>
          <w:p w14:paraId="109CF81F">
            <w:pPr>
              <w:rPr>
                <w:rFonts w:eastAsia="仿宋_GB2312"/>
                <w:sz w:val="28"/>
                <w:szCs w:val="28"/>
              </w:rPr>
            </w:pPr>
            <w:r>
              <w:rPr>
                <w:rFonts w:hint="eastAsia" w:eastAsia="仿宋_GB2312"/>
                <w:sz w:val="28"/>
                <w:szCs w:val="28"/>
              </w:rPr>
              <w:t>合理可预见的误用</w:t>
            </w:r>
          </w:p>
        </w:tc>
        <w:tc>
          <w:tcPr>
            <w:tcW w:w="5117" w:type="dxa"/>
          </w:tcPr>
          <w:p w14:paraId="70E77FA5">
            <w:pPr>
              <w:rPr>
                <w:rFonts w:eastAsia="仿宋_GB2312"/>
                <w:sz w:val="28"/>
                <w:szCs w:val="28"/>
              </w:rPr>
            </w:pPr>
            <w:r>
              <w:rPr>
                <w:rFonts w:hint="eastAsia" w:eastAsia="仿宋_GB2312"/>
                <w:sz w:val="28"/>
                <w:szCs w:val="28"/>
              </w:rPr>
              <w:t>接触式蓝光治疗仪的蓝光泄漏对患者及操作员所造成的伤害</w:t>
            </w:r>
          </w:p>
        </w:tc>
      </w:tr>
      <w:tr w14:paraId="30F0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restart"/>
            <w:vAlign w:val="center"/>
          </w:tcPr>
          <w:p w14:paraId="6086EA95">
            <w:pPr>
              <w:rPr>
                <w:rFonts w:eastAsia="仿宋_GB2312"/>
                <w:sz w:val="28"/>
                <w:szCs w:val="28"/>
              </w:rPr>
            </w:pPr>
            <w:r>
              <w:rPr>
                <w:rFonts w:hint="eastAsia" w:eastAsia="仿宋_GB2312"/>
                <w:sz w:val="28"/>
                <w:szCs w:val="28"/>
              </w:rPr>
              <w:t>与医疗器械使用有关的危害</w:t>
            </w:r>
          </w:p>
        </w:tc>
        <w:tc>
          <w:tcPr>
            <w:tcW w:w="1793" w:type="dxa"/>
          </w:tcPr>
          <w:p w14:paraId="32E24F97">
            <w:pPr>
              <w:rPr>
                <w:rFonts w:eastAsia="仿宋_GB2312"/>
                <w:sz w:val="28"/>
                <w:szCs w:val="28"/>
              </w:rPr>
            </w:pPr>
            <w:r>
              <w:rPr>
                <w:rFonts w:hint="eastAsia" w:eastAsia="仿宋_GB2312"/>
                <w:sz w:val="28"/>
                <w:szCs w:val="28"/>
              </w:rPr>
              <w:t>对一次性使用医疗器械很可能再次使用的危害警告不适当</w:t>
            </w:r>
          </w:p>
        </w:tc>
        <w:tc>
          <w:tcPr>
            <w:tcW w:w="5117" w:type="dxa"/>
          </w:tcPr>
          <w:p w14:paraId="2F141831">
            <w:pPr>
              <w:rPr>
                <w:rFonts w:eastAsia="仿宋_GB2312"/>
                <w:sz w:val="28"/>
                <w:szCs w:val="28"/>
              </w:rPr>
            </w:pPr>
            <w:r>
              <w:rPr>
                <w:rFonts w:hint="eastAsia" w:eastAsia="仿宋_GB2312"/>
                <w:sz w:val="28"/>
                <w:szCs w:val="28"/>
              </w:rPr>
              <w:t>产生卫生问题及交叉感染的风险</w:t>
            </w:r>
          </w:p>
        </w:tc>
      </w:tr>
      <w:tr w14:paraId="5AEF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23462103">
            <w:pPr>
              <w:rPr>
                <w:rFonts w:eastAsia="仿宋_GB2312"/>
                <w:sz w:val="28"/>
                <w:szCs w:val="28"/>
              </w:rPr>
            </w:pPr>
          </w:p>
        </w:tc>
        <w:tc>
          <w:tcPr>
            <w:tcW w:w="1793" w:type="dxa"/>
          </w:tcPr>
          <w:p w14:paraId="546D45E2">
            <w:pPr>
              <w:rPr>
                <w:rFonts w:eastAsia="仿宋_GB2312"/>
                <w:sz w:val="28"/>
                <w:szCs w:val="28"/>
              </w:rPr>
            </w:pPr>
            <w:r>
              <w:rPr>
                <w:rFonts w:hint="eastAsia" w:eastAsia="仿宋_GB2312"/>
                <w:sz w:val="28"/>
                <w:szCs w:val="28"/>
              </w:rPr>
              <w:t>对不正确的测量和其他计量方面的问题</w:t>
            </w:r>
          </w:p>
        </w:tc>
        <w:tc>
          <w:tcPr>
            <w:tcW w:w="5117" w:type="dxa"/>
          </w:tcPr>
          <w:p w14:paraId="7F1EC81D">
            <w:pPr>
              <w:rPr>
                <w:rFonts w:eastAsia="仿宋_GB2312"/>
                <w:sz w:val="28"/>
                <w:szCs w:val="28"/>
              </w:rPr>
            </w:pPr>
            <w:r>
              <w:rPr>
                <w:rFonts w:hint="eastAsia" w:eastAsia="仿宋_GB2312"/>
                <w:sz w:val="28"/>
                <w:szCs w:val="28"/>
              </w:rPr>
              <w:t>光功率不足所造成治疗不足或治疗失效</w:t>
            </w:r>
          </w:p>
        </w:tc>
      </w:tr>
      <w:tr w14:paraId="5422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4322B260">
            <w:pPr>
              <w:rPr>
                <w:rFonts w:eastAsia="仿宋_GB2312"/>
                <w:sz w:val="28"/>
                <w:szCs w:val="28"/>
              </w:rPr>
            </w:pPr>
          </w:p>
        </w:tc>
        <w:tc>
          <w:tcPr>
            <w:tcW w:w="1793" w:type="dxa"/>
          </w:tcPr>
          <w:p w14:paraId="2521DDF3">
            <w:pPr>
              <w:rPr>
                <w:rFonts w:eastAsia="仿宋_GB2312"/>
                <w:sz w:val="28"/>
                <w:szCs w:val="28"/>
              </w:rPr>
            </w:pPr>
            <w:r>
              <w:rPr>
                <w:rFonts w:hint="eastAsia" w:eastAsia="仿宋_GB2312"/>
                <w:sz w:val="28"/>
                <w:szCs w:val="28"/>
              </w:rPr>
              <w:t>与消耗品、附件、其他医疗器械的不兼容性</w:t>
            </w:r>
          </w:p>
        </w:tc>
        <w:tc>
          <w:tcPr>
            <w:tcW w:w="5117" w:type="dxa"/>
          </w:tcPr>
          <w:p w14:paraId="1F4C7B49">
            <w:pPr>
              <w:rPr>
                <w:rFonts w:eastAsia="仿宋_GB2312"/>
                <w:sz w:val="28"/>
                <w:szCs w:val="28"/>
              </w:rPr>
            </w:pPr>
            <w:r>
              <w:rPr>
                <w:rFonts w:hint="eastAsia" w:eastAsia="仿宋_GB2312"/>
                <w:sz w:val="28"/>
                <w:szCs w:val="28"/>
              </w:rPr>
              <w:t>与垫套配合使用时存在选取不当的情况（适用于接触式蓝光治疗仪）</w:t>
            </w:r>
          </w:p>
        </w:tc>
      </w:tr>
      <w:tr w14:paraId="482E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470A0D73">
            <w:pPr>
              <w:rPr>
                <w:rFonts w:eastAsia="仿宋_GB2312"/>
                <w:sz w:val="28"/>
                <w:szCs w:val="28"/>
              </w:rPr>
            </w:pPr>
          </w:p>
        </w:tc>
        <w:tc>
          <w:tcPr>
            <w:tcW w:w="1793" w:type="dxa"/>
          </w:tcPr>
          <w:p w14:paraId="67B2DCED">
            <w:pPr>
              <w:rPr>
                <w:rFonts w:eastAsia="仿宋_GB2312"/>
                <w:sz w:val="28"/>
                <w:szCs w:val="28"/>
              </w:rPr>
            </w:pPr>
            <w:r>
              <w:rPr>
                <w:rFonts w:hint="eastAsia" w:eastAsia="仿宋_GB2312"/>
                <w:sz w:val="28"/>
                <w:szCs w:val="28"/>
              </w:rPr>
              <w:t>锐边或锐角</w:t>
            </w:r>
          </w:p>
        </w:tc>
        <w:tc>
          <w:tcPr>
            <w:tcW w:w="5117" w:type="dxa"/>
          </w:tcPr>
          <w:p w14:paraId="53D25C5E">
            <w:pPr>
              <w:rPr>
                <w:rFonts w:eastAsia="仿宋_GB2312"/>
                <w:sz w:val="28"/>
                <w:szCs w:val="28"/>
              </w:rPr>
            </w:pPr>
            <w:r>
              <w:rPr>
                <w:rFonts w:hint="eastAsia" w:eastAsia="仿宋_GB2312"/>
                <w:sz w:val="28"/>
                <w:szCs w:val="28"/>
              </w:rPr>
              <w:t>产品机壳的设计和制造存在尖锐伤人的情况</w:t>
            </w:r>
          </w:p>
        </w:tc>
      </w:tr>
      <w:tr w14:paraId="28BA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restart"/>
            <w:vAlign w:val="center"/>
          </w:tcPr>
          <w:p w14:paraId="38408B6A">
            <w:pPr>
              <w:rPr>
                <w:rFonts w:eastAsia="仿宋_GB2312"/>
                <w:sz w:val="28"/>
                <w:szCs w:val="28"/>
              </w:rPr>
            </w:pPr>
            <w:r>
              <w:rPr>
                <w:rFonts w:hint="eastAsia" w:eastAsia="仿宋_GB2312"/>
                <w:sz w:val="28"/>
                <w:szCs w:val="28"/>
              </w:rPr>
              <w:t>不适当、不合适或过于复杂的使用者接口（人、机交流）</w:t>
            </w:r>
          </w:p>
        </w:tc>
        <w:tc>
          <w:tcPr>
            <w:tcW w:w="1793" w:type="dxa"/>
          </w:tcPr>
          <w:p w14:paraId="1F313F2C">
            <w:pPr>
              <w:rPr>
                <w:rFonts w:eastAsia="仿宋_GB2312"/>
                <w:sz w:val="28"/>
                <w:szCs w:val="28"/>
              </w:rPr>
            </w:pPr>
            <w:r>
              <w:rPr>
                <w:rFonts w:hint="eastAsia" w:eastAsia="仿宋_GB2312"/>
                <w:sz w:val="28"/>
                <w:szCs w:val="28"/>
              </w:rPr>
              <w:t>错误或判断错误</w:t>
            </w:r>
          </w:p>
        </w:tc>
        <w:tc>
          <w:tcPr>
            <w:tcW w:w="5117" w:type="dxa"/>
          </w:tcPr>
          <w:p w14:paraId="3F513069">
            <w:pPr>
              <w:rPr>
                <w:rFonts w:eastAsia="仿宋_GB2312"/>
                <w:sz w:val="28"/>
                <w:szCs w:val="28"/>
              </w:rPr>
            </w:pPr>
            <w:r>
              <w:rPr>
                <w:rFonts w:hint="eastAsia" w:eastAsia="仿宋_GB2312"/>
                <w:sz w:val="28"/>
                <w:szCs w:val="28"/>
              </w:rPr>
              <w:t>故障提示采用代码表示可能造成判断错误</w:t>
            </w:r>
          </w:p>
        </w:tc>
      </w:tr>
      <w:tr w14:paraId="7E39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270FE6AE">
            <w:pPr>
              <w:rPr>
                <w:rFonts w:eastAsia="仿宋_GB2312"/>
                <w:sz w:val="28"/>
                <w:szCs w:val="28"/>
              </w:rPr>
            </w:pPr>
          </w:p>
        </w:tc>
        <w:tc>
          <w:tcPr>
            <w:tcW w:w="1793" w:type="dxa"/>
          </w:tcPr>
          <w:p w14:paraId="2811792E">
            <w:pPr>
              <w:rPr>
                <w:rFonts w:eastAsia="仿宋_GB2312"/>
                <w:sz w:val="28"/>
                <w:szCs w:val="28"/>
              </w:rPr>
            </w:pPr>
            <w:r>
              <w:rPr>
                <w:rFonts w:hint="eastAsia" w:eastAsia="仿宋_GB2312"/>
                <w:sz w:val="28"/>
                <w:szCs w:val="28"/>
              </w:rPr>
              <w:t>失误和认知检索错误</w:t>
            </w:r>
          </w:p>
        </w:tc>
        <w:tc>
          <w:tcPr>
            <w:tcW w:w="5117" w:type="dxa"/>
          </w:tcPr>
          <w:p w14:paraId="416296A1">
            <w:pPr>
              <w:rPr>
                <w:rFonts w:eastAsia="仿宋_GB2312"/>
                <w:sz w:val="28"/>
                <w:szCs w:val="28"/>
              </w:rPr>
            </w:pPr>
            <w:r>
              <w:rPr>
                <w:rFonts w:hint="eastAsia" w:eastAsia="仿宋_GB2312"/>
                <w:sz w:val="28"/>
                <w:szCs w:val="28"/>
              </w:rPr>
              <w:t>用图形表达相应功能可能造成错误</w:t>
            </w:r>
          </w:p>
        </w:tc>
      </w:tr>
      <w:tr w14:paraId="7C86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7BE9F5C8">
            <w:pPr>
              <w:rPr>
                <w:rFonts w:eastAsia="仿宋_GB2312"/>
                <w:sz w:val="28"/>
                <w:szCs w:val="28"/>
              </w:rPr>
            </w:pPr>
          </w:p>
        </w:tc>
        <w:tc>
          <w:tcPr>
            <w:tcW w:w="1793" w:type="dxa"/>
          </w:tcPr>
          <w:p w14:paraId="5986F729">
            <w:pPr>
              <w:rPr>
                <w:rFonts w:eastAsia="仿宋_GB2312"/>
                <w:sz w:val="28"/>
                <w:szCs w:val="28"/>
              </w:rPr>
            </w:pPr>
            <w:r>
              <w:rPr>
                <w:rFonts w:hint="eastAsia" w:eastAsia="仿宋_GB2312"/>
                <w:sz w:val="28"/>
                <w:szCs w:val="28"/>
              </w:rPr>
              <w:t>疏忽和出错</w:t>
            </w:r>
          </w:p>
        </w:tc>
        <w:tc>
          <w:tcPr>
            <w:tcW w:w="5117" w:type="dxa"/>
          </w:tcPr>
          <w:p w14:paraId="29C4C353">
            <w:pPr>
              <w:rPr>
                <w:rFonts w:eastAsia="仿宋_GB2312"/>
                <w:sz w:val="28"/>
                <w:szCs w:val="28"/>
              </w:rPr>
            </w:pPr>
            <w:r>
              <w:rPr>
                <w:rFonts w:hint="eastAsia" w:eastAsia="仿宋_GB2312"/>
                <w:sz w:val="28"/>
                <w:szCs w:val="28"/>
              </w:rPr>
              <w:t>操作方式复杂和设置流程过多</w:t>
            </w:r>
          </w:p>
        </w:tc>
      </w:tr>
      <w:tr w14:paraId="1C11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40E31F7D">
            <w:pPr>
              <w:rPr>
                <w:rFonts w:eastAsia="仿宋_GB2312"/>
                <w:sz w:val="28"/>
                <w:szCs w:val="28"/>
              </w:rPr>
            </w:pPr>
          </w:p>
        </w:tc>
        <w:tc>
          <w:tcPr>
            <w:tcW w:w="1793" w:type="dxa"/>
          </w:tcPr>
          <w:p w14:paraId="643BD64D">
            <w:pPr>
              <w:rPr>
                <w:rFonts w:eastAsia="仿宋_GB2312"/>
                <w:sz w:val="28"/>
                <w:szCs w:val="28"/>
              </w:rPr>
            </w:pPr>
            <w:r>
              <w:rPr>
                <w:rFonts w:hint="eastAsia" w:eastAsia="仿宋_GB2312"/>
                <w:sz w:val="28"/>
                <w:szCs w:val="28"/>
              </w:rPr>
              <w:t>违反或缩减说明书、程序等</w:t>
            </w:r>
          </w:p>
        </w:tc>
        <w:tc>
          <w:tcPr>
            <w:tcW w:w="5117" w:type="dxa"/>
          </w:tcPr>
          <w:p w14:paraId="66992448">
            <w:pPr>
              <w:rPr>
                <w:rFonts w:eastAsia="仿宋_GB2312"/>
                <w:sz w:val="28"/>
                <w:szCs w:val="28"/>
              </w:rPr>
            </w:pPr>
            <w:r>
              <w:rPr>
                <w:rFonts w:hint="eastAsia" w:eastAsia="仿宋_GB2312"/>
                <w:sz w:val="28"/>
                <w:szCs w:val="28"/>
              </w:rPr>
              <w:t>说明书或程序流程不够通俗易懂</w:t>
            </w:r>
          </w:p>
        </w:tc>
      </w:tr>
      <w:tr w14:paraId="6E86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734A4F93">
            <w:pPr>
              <w:rPr>
                <w:rFonts w:eastAsia="仿宋_GB2312"/>
                <w:sz w:val="28"/>
                <w:szCs w:val="28"/>
              </w:rPr>
            </w:pPr>
          </w:p>
        </w:tc>
        <w:tc>
          <w:tcPr>
            <w:tcW w:w="1793" w:type="dxa"/>
          </w:tcPr>
          <w:p w14:paraId="04DBBB5C">
            <w:pPr>
              <w:rPr>
                <w:rFonts w:eastAsia="仿宋_GB2312"/>
                <w:sz w:val="28"/>
                <w:szCs w:val="28"/>
              </w:rPr>
            </w:pPr>
            <w:r>
              <w:rPr>
                <w:rFonts w:hint="eastAsia" w:eastAsia="仿宋_GB2312"/>
                <w:sz w:val="28"/>
                <w:szCs w:val="28"/>
              </w:rPr>
              <w:t>复杂或混淆的控制系统</w:t>
            </w:r>
          </w:p>
        </w:tc>
        <w:tc>
          <w:tcPr>
            <w:tcW w:w="5117" w:type="dxa"/>
          </w:tcPr>
          <w:p w14:paraId="7CAF5CC2">
            <w:pPr>
              <w:rPr>
                <w:rFonts w:eastAsia="仿宋_GB2312"/>
                <w:sz w:val="28"/>
                <w:szCs w:val="28"/>
              </w:rPr>
            </w:pPr>
            <w:r>
              <w:rPr>
                <w:rFonts w:hint="eastAsia" w:eastAsia="仿宋_GB2312"/>
                <w:sz w:val="28"/>
                <w:szCs w:val="28"/>
              </w:rPr>
              <w:t>不当的串口通讯控制可能造成的风险</w:t>
            </w:r>
          </w:p>
        </w:tc>
      </w:tr>
      <w:tr w14:paraId="28E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3943848C">
            <w:pPr>
              <w:rPr>
                <w:rFonts w:eastAsia="仿宋_GB2312"/>
                <w:sz w:val="28"/>
                <w:szCs w:val="28"/>
              </w:rPr>
            </w:pPr>
          </w:p>
        </w:tc>
        <w:tc>
          <w:tcPr>
            <w:tcW w:w="1793" w:type="dxa"/>
          </w:tcPr>
          <w:p w14:paraId="6E40BE35">
            <w:pPr>
              <w:rPr>
                <w:rFonts w:eastAsia="仿宋_GB2312"/>
                <w:sz w:val="28"/>
                <w:szCs w:val="28"/>
              </w:rPr>
            </w:pPr>
            <w:r>
              <w:rPr>
                <w:rFonts w:hint="eastAsia" w:eastAsia="仿宋_GB2312"/>
                <w:sz w:val="28"/>
                <w:szCs w:val="28"/>
              </w:rPr>
              <w:t>含糊的或不清晰的医疗器械状态</w:t>
            </w:r>
          </w:p>
        </w:tc>
        <w:tc>
          <w:tcPr>
            <w:tcW w:w="5117" w:type="dxa"/>
          </w:tcPr>
          <w:p w14:paraId="44CDDECE">
            <w:pPr>
              <w:rPr>
                <w:rFonts w:eastAsia="仿宋_GB2312"/>
                <w:sz w:val="28"/>
                <w:szCs w:val="28"/>
              </w:rPr>
            </w:pPr>
            <w:r>
              <w:rPr>
                <w:rFonts w:hint="eastAsia" w:eastAsia="仿宋_GB2312"/>
                <w:sz w:val="28"/>
                <w:szCs w:val="28"/>
              </w:rPr>
              <w:t>报警、运行和暂停状态没有清晰的标识</w:t>
            </w:r>
          </w:p>
        </w:tc>
      </w:tr>
      <w:tr w14:paraId="3A1F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1C0FE274">
            <w:pPr>
              <w:rPr>
                <w:rFonts w:eastAsia="仿宋_GB2312"/>
                <w:sz w:val="28"/>
                <w:szCs w:val="28"/>
              </w:rPr>
            </w:pPr>
          </w:p>
        </w:tc>
        <w:tc>
          <w:tcPr>
            <w:tcW w:w="1793" w:type="dxa"/>
          </w:tcPr>
          <w:p w14:paraId="286F39F5">
            <w:pPr>
              <w:rPr>
                <w:rFonts w:eastAsia="仿宋_GB2312"/>
                <w:sz w:val="28"/>
                <w:szCs w:val="28"/>
              </w:rPr>
            </w:pPr>
            <w:r>
              <w:rPr>
                <w:rFonts w:hint="eastAsia" w:eastAsia="仿宋_GB2312"/>
                <w:sz w:val="28"/>
                <w:szCs w:val="28"/>
              </w:rPr>
              <w:t>设置、测量或其他信息的含糊或不清晰的显示</w:t>
            </w:r>
          </w:p>
        </w:tc>
        <w:tc>
          <w:tcPr>
            <w:tcW w:w="5117" w:type="dxa"/>
          </w:tcPr>
          <w:p w14:paraId="4E0F4039">
            <w:pPr>
              <w:rPr>
                <w:rFonts w:eastAsia="仿宋_GB2312"/>
                <w:sz w:val="28"/>
                <w:szCs w:val="28"/>
              </w:rPr>
            </w:pPr>
            <w:r>
              <w:rPr>
                <w:rFonts w:hint="eastAsia" w:eastAsia="仿宋_GB2312"/>
                <w:sz w:val="28"/>
                <w:szCs w:val="28"/>
              </w:rPr>
              <w:t>同一界面、同时显示多项设置信息可能造成的含糊不清</w:t>
            </w:r>
          </w:p>
        </w:tc>
      </w:tr>
      <w:tr w14:paraId="73A7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1" w:type="dxa"/>
            <w:vMerge w:val="continue"/>
            <w:vAlign w:val="center"/>
          </w:tcPr>
          <w:p w14:paraId="6BE9D5AA">
            <w:pPr>
              <w:rPr>
                <w:rFonts w:eastAsia="仿宋_GB2312"/>
                <w:sz w:val="28"/>
                <w:szCs w:val="28"/>
              </w:rPr>
            </w:pPr>
          </w:p>
        </w:tc>
        <w:tc>
          <w:tcPr>
            <w:tcW w:w="1793" w:type="dxa"/>
          </w:tcPr>
          <w:p w14:paraId="04B6D99E">
            <w:pPr>
              <w:rPr>
                <w:rFonts w:eastAsia="仿宋_GB2312"/>
                <w:sz w:val="28"/>
                <w:szCs w:val="28"/>
              </w:rPr>
            </w:pPr>
            <w:r>
              <w:rPr>
                <w:rFonts w:hint="eastAsia" w:eastAsia="仿宋_GB2312"/>
                <w:sz w:val="28"/>
                <w:szCs w:val="28"/>
              </w:rPr>
              <w:t>视觉、听觉或触觉的不充分</w:t>
            </w:r>
          </w:p>
        </w:tc>
        <w:tc>
          <w:tcPr>
            <w:tcW w:w="5117" w:type="dxa"/>
          </w:tcPr>
          <w:p w14:paraId="75C72370">
            <w:pPr>
              <w:rPr>
                <w:rFonts w:eastAsia="仿宋_GB2312"/>
                <w:sz w:val="28"/>
                <w:szCs w:val="28"/>
              </w:rPr>
            </w:pPr>
            <w:r>
              <w:rPr>
                <w:rFonts w:hint="eastAsia" w:eastAsia="仿宋_GB2312"/>
                <w:sz w:val="28"/>
                <w:szCs w:val="28"/>
              </w:rPr>
              <w:t>显示信息亮度过低或对比度过低、报警音量过低</w:t>
            </w:r>
          </w:p>
        </w:tc>
      </w:tr>
      <w:tr w14:paraId="0C9E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restart"/>
            <w:vAlign w:val="center"/>
          </w:tcPr>
          <w:p w14:paraId="7C7A78A4">
            <w:pPr>
              <w:rPr>
                <w:rFonts w:eastAsia="仿宋_GB2312"/>
                <w:sz w:val="28"/>
                <w:szCs w:val="28"/>
              </w:rPr>
            </w:pPr>
            <w:r>
              <w:rPr>
                <w:rFonts w:hint="eastAsia" w:eastAsia="仿宋_GB2312"/>
                <w:sz w:val="28"/>
                <w:szCs w:val="28"/>
              </w:rPr>
              <w:t>功能性失效、维护和老化引起的危害</w:t>
            </w:r>
          </w:p>
        </w:tc>
        <w:tc>
          <w:tcPr>
            <w:tcW w:w="1793" w:type="dxa"/>
          </w:tcPr>
          <w:p w14:paraId="0173372C">
            <w:pPr>
              <w:rPr>
                <w:rFonts w:eastAsia="仿宋_GB2312"/>
                <w:sz w:val="28"/>
                <w:szCs w:val="28"/>
              </w:rPr>
            </w:pPr>
            <w:r>
              <w:rPr>
                <w:rFonts w:hint="eastAsia" w:eastAsia="仿宋_GB2312"/>
                <w:sz w:val="28"/>
                <w:szCs w:val="28"/>
              </w:rPr>
              <w:t>维护规范缺少或不适当</w:t>
            </w:r>
          </w:p>
        </w:tc>
        <w:tc>
          <w:tcPr>
            <w:tcW w:w="5117" w:type="dxa"/>
          </w:tcPr>
          <w:p w14:paraId="3C1855BF">
            <w:pPr>
              <w:rPr>
                <w:rFonts w:eastAsia="仿宋_GB2312"/>
                <w:sz w:val="28"/>
                <w:szCs w:val="28"/>
              </w:rPr>
            </w:pPr>
            <w:r>
              <w:rPr>
                <w:rFonts w:hint="eastAsia" w:eastAsia="仿宋_GB2312"/>
                <w:sz w:val="28"/>
                <w:szCs w:val="28"/>
              </w:rPr>
              <w:t>说明书对设备维护的操作过程描述不规范</w:t>
            </w:r>
          </w:p>
        </w:tc>
      </w:tr>
      <w:tr w14:paraId="57E1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310F6AAF">
            <w:pPr>
              <w:rPr>
                <w:rFonts w:eastAsia="仿宋_GB2312"/>
                <w:sz w:val="28"/>
                <w:szCs w:val="28"/>
              </w:rPr>
            </w:pPr>
          </w:p>
        </w:tc>
        <w:tc>
          <w:tcPr>
            <w:tcW w:w="1793" w:type="dxa"/>
          </w:tcPr>
          <w:p w14:paraId="377C817C">
            <w:pPr>
              <w:rPr>
                <w:rFonts w:eastAsia="仿宋_GB2312"/>
                <w:sz w:val="28"/>
                <w:szCs w:val="28"/>
              </w:rPr>
            </w:pPr>
            <w:r>
              <w:rPr>
                <w:rFonts w:hint="eastAsia" w:eastAsia="仿宋_GB2312"/>
                <w:sz w:val="28"/>
                <w:szCs w:val="28"/>
              </w:rPr>
              <w:t>对医疗器械寿命中止缺少适当的决定</w:t>
            </w:r>
          </w:p>
        </w:tc>
        <w:tc>
          <w:tcPr>
            <w:tcW w:w="5117" w:type="dxa"/>
          </w:tcPr>
          <w:p w14:paraId="3E803795">
            <w:pPr>
              <w:rPr>
                <w:rFonts w:eastAsia="仿宋_GB2312"/>
                <w:sz w:val="28"/>
                <w:szCs w:val="28"/>
              </w:rPr>
            </w:pPr>
            <w:r>
              <w:rPr>
                <w:rFonts w:hint="eastAsia" w:eastAsia="仿宋_GB2312"/>
                <w:sz w:val="28"/>
                <w:szCs w:val="28"/>
              </w:rPr>
              <w:t>对于本设备使用寿命终止未作适当的规定</w:t>
            </w:r>
          </w:p>
        </w:tc>
      </w:tr>
      <w:tr w14:paraId="7843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7169A0BB">
            <w:pPr>
              <w:rPr>
                <w:rFonts w:eastAsia="仿宋_GB2312"/>
                <w:sz w:val="28"/>
                <w:szCs w:val="28"/>
              </w:rPr>
            </w:pPr>
          </w:p>
        </w:tc>
        <w:tc>
          <w:tcPr>
            <w:tcW w:w="1793" w:type="dxa"/>
          </w:tcPr>
          <w:p w14:paraId="7C482815">
            <w:pPr>
              <w:rPr>
                <w:rFonts w:eastAsia="仿宋_GB2312"/>
                <w:sz w:val="28"/>
                <w:szCs w:val="28"/>
              </w:rPr>
            </w:pPr>
            <w:r>
              <w:rPr>
                <w:rFonts w:hint="eastAsia" w:eastAsia="仿宋_GB2312"/>
                <w:sz w:val="28"/>
                <w:szCs w:val="28"/>
              </w:rPr>
              <w:t>电气、机械整合的丧失</w:t>
            </w:r>
          </w:p>
        </w:tc>
        <w:tc>
          <w:tcPr>
            <w:tcW w:w="5117" w:type="dxa"/>
          </w:tcPr>
          <w:p w14:paraId="77369B19">
            <w:pPr>
              <w:rPr>
                <w:rFonts w:eastAsia="仿宋_GB2312"/>
                <w:sz w:val="28"/>
                <w:szCs w:val="28"/>
              </w:rPr>
            </w:pPr>
            <w:r>
              <w:rPr>
                <w:rFonts w:hint="eastAsia" w:eastAsia="仿宋_GB2312"/>
                <w:sz w:val="28"/>
                <w:szCs w:val="28"/>
              </w:rPr>
              <w:t>导光管装配不够牢固或受到暴力破坏（适用于非接触式蓝光治疗仪）</w:t>
            </w:r>
          </w:p>
          <w:p w14:paraId="04E8F676">
            <w:pPr>
              <w:rPr>
                <w:rFonts w:eastAsia="仿宋_GB2312"/>
                <w:sz w:val="28"/>
                <w:szCs w:val="28"/>
              </w:rPr>
            </w:pPr>
            <w:r>
              <w:rPr>
                <w:rFonts w:hint="eastAsia" w:eastAsia="仿宋_GB2312"/>
                <w:sz w:val="28"/>
                <w:szCs w:val="28"/>
              </w:rPr>
              <w:t>发光板保护套不够牢固或受到暴力破坏（适用于接触式蓝光治疗仪）</w:t>
            </w:r>
          </w:p>
        </w:tc>
      </w:tr>
      <w:tr w14:paraId="65D3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5A5EFFD4">
            <w:pPr>
              <w:rPr>
                <w:rFonts w:eastAsia="仿宋_GB2312"/>
                <w:sz w:val="28"/>
                <w:szCs w:val="28"/>
              </w:rPr>
            </w:pPr>
          </w:p>
        </w:tc>
        <w:tc>
          <w:tcPr>
            <w:tcW w:w="1793" w:type="dxa"/>
          </w:tcPr>
          <w:p w14:paraId="09895471">
            <w:pPr>
              <w:rPr>
                <w:rFonts w:eastAsia="仿宋_GB2312"/>
                <w:sz w:val="28"/>
                <w:szCs w:val="28"/>
              </w:rPr>
            </w:pPr>
            <w:r>
              <w:rPr>
                <w:rFonts w:hint="eastAsia" w:eastAsia="仿宋_GB2312"/>
                <w:sz w:val="28"/>
                <w:szCs w:val="28"/>
              </w:rPr>
              <w:t>不适当的包装</w:t>
            </w:r>
          </w:p>
        </w:tc>
        <w:tc>
          <w:tcPr>
            <w:tcW w:w="5117" w:type="dxa"/>
          </w:tcPr>
          <w:p w14:paraId="74792028">
            <w:pPr>
              <w:rPr>
                <w:rFonts w:eastAsia="仿宋_GB2312"/>
                <w:sz w:val="28"/>
                <w:szCs w:val="28"/>
              </w:rPr>
            </w:pPr>
            <w:r>
              <w:rPr>
                <w:rFonts w:hint="eastAsia" w:eastAsia="仿宋_GB2312"/>
                <w:sz w:val="28"/>
                <w:szCs w:val="28"/>
              </w:rPr>
              <w:t>包装方式不能满足运输、储存的要求</w:t>
            </w:r>
          </w:p>
        </w:tc>
      </w:tr>
      <w:tr w14:paraId="19E9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7EBD4F3C">
            <w:pPr>
              <w:rPr>
                <w:rFonts w:eastAsia="仿宋_GB2312"/>
                <w:sz w:val="28"/>
                <w:szCs w:val="28"/>
              </w:rPr>
            </w:pPr>
          </w:p>
        </w:tc>
        <w:tc>
          <w:tcPr>
            <w:tcW w:w="1793" w:type="dxa"/>
          </w:tcPr>
          <w:p w14:paraId="3F95B2DF">
            <w:pPr>
              <w:rPr>
                <w:rFonts w:eastAsia="仿宋_GB2312"/>
                <w:sz w:val="28"/>
                <w:szCs w:val="28"/>
              </w:rPr>
            </w:pPr>
            <w:r>
              <w:rPr>
                <w:rFonts w:hint="eastAsia" w:eastAsia="仿宋_GB2312"/>
                <w:sz w:val="28"/>
                <w:szCs w:val="28"/>
              </w:rPr>
              <w:t>再次使用和（或）不适当的再次使用</w:t>
            </w:r>
          </w:p>
        </w:tc>
        <w:tc>
          <w:tcPr>
            <w:tcW w:w="5117" w:type="dxa"/>
          </w:tcPr>
          <w:p w14:paraId="6CFBFB70">
            <w:pPr>
              <w:rPr>
                <w:rFonts w:eastAsia="仿宋_GB2312"/>
                <w:sz w:val="28"/>
                <w:szCs w:val="28"/>
              </w:rPr>
            </w:pPr>
            <w:r>
              <w:rPr>
                <w:rFonts w:hint="eastAsia" w:eastAsia="仿宋_GB2312"/>
                <w:sz w:val="28"/>
                <w:szCs w:val="28"/>
              </w:rPr>
              <w:t>说明书未描述再次使用前的检查程序</w:t>
            </w:r>
          </w:p>
        </w:tc>
      </w:tr>
      <w:tr w14:paraId="01E0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3BD585D2">
            <w:pPr>
              <w:rPr>
                <w:rFonts w:eastAsia="仿宋_GB2312"/>
                <w:sz w:val="28"/>
                <w:szCs w:val="28"/>
              </w:rPr>
            </w:pPr>
          </w:p>
        </w:tc>
        <w:tc>
          <w:tcPr>
            <w:tcW w:w="1793" w:type="dxa"/>
          </w:tcPr>
          <w:p w14:paraId="097B97AB">
            <w:pPr>
              <w:rPr>
                <w:rFonts w:eastAsia="仿宋_GB2312"/>
                <w:sz w:val="28"/>
                <w:szCs w:val="28"/>
              </w:rPr>
            </w:pPr>
            <w:r>
              <w:rPr>
                <w:rFonts w:hint="eastAsia" w:eastAsia="仿宋_GB2312"/>
                <w:sz w:val="28"/>
                <w:szCs w:val="28"/>
              </w:rPr>
              <w:t>由重复使用造成的功能恶化</w:t>
            </w:r>
          </w:p>
        </w:tc>
        <w:tc>
          <w:tcPr>
            <w:tcW w:w="5117" w:type="dxa"/>
          </w:tcPr>
          <w:p w14:paraId="65762E72">
            <w:pPr>
              <w:rPr>
                <w:rFonts w:eastAsia="仿宋_GB2312"/>
                <w:sz w:val="28"/>
                <w:szCs w:val="28"/>
              </w:rPr>
            </w:pPr>
            <w:r>
              <w:rPr>
                <w:rFonts w:hint="eastAsia" w:eastAsia="仿宋_GB2312"/>
                <w:sz w:val="28"/>
                <w:szCs w:val="28"/>
              </w:rPr>
              <w:t>长时间连续工作造成输出辐射功率下降，对治疗效果产生影响</w:t>
            </w:r>
          </w:p>
        </w:tc>
      </w:tr>
      <w:tr w14:paraId="0DA1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restart"/>
            <w:vAlign w:val="center"/>
          </w:tcPr>
          <w:p w14:paraId="24A04439">
            <w:pPr>
              <w:rPr>
                <w:rFonts w:eastAsia="仿宋_GB2312"/>
                <w:sz w:val="28"/>
                <w:szCs w:val="28"/>
              </w:rPr>
            </w:pPr>
          </w:p>
        </w:tc>
        <w:tc>
          <w:tcPr>
            <w:tcW w:w="1793" w:type="dxa"/>
          </w:tcPr>
          <w:p w14:paraId="33660C30">
            <w:pPr>
              <w:rPr>
                <w:rFonts w:eastAsia="仿宋_GB2312"/>
                <w:sz w:val="28"/>
                <w:szCs w:val="28"/>
              </w:rPr>
            </w:pPr>
            <w:r>
              <w:rPr>
                <w:rFonts w:hint="eastAsia" w:eastAsia="仿宋_GB2312"/>
                <w:sz w:val="28"/>
                <w:szCs w:val="28"/>
              </w:rPr>
              <w:t>制造过程的更改不充分</w:t>
            </w:r>
          </w:p>
        </w:tc>
        <w:tc>
          <w:tcPr>
            <w:tcW w:w="5117" w:type="dxa"/>
          </w:tcPr>
          <w:p w14:paraId="6CEE50DF">
            <w:pPr>
              <w:rPr>
                <w:rFonts w:eastAsia="仿宋_GB2312"/>
                <w:sz w:val="28"/>
                <w:szCs w:val="28"/>
              </w:rPr>
            </w:pPr>
            <w:r>
              <w:rPr>
                <w:rFonts w:hint="eastAsia" w:eastAsia="仿宋_GB2312"/>
                <w:sz w:val="28"/>
                <w:szCs w:val="28"/>
              </w:rPr>
              <w:t>不符合涉及要求的变化未执行必要的变更流程</w:t>
            </w:r>
          </w:p>
        </w:tc>
      </w:tr>
      <w:tr w14:paraId="7707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03FE6164">
            <w:pPr>
              <w:rPr>
                <w:rFonts w:eastAsia="仿宋_GB2312"/>
                <w:sz w:val="28"/>
                <w:szCs w:val="28"/>
              </w:rPr>
            </w:pPr>
          </w:p>
        </w:tc>
        <w:tc>
          <w:tcPr>
            <w:tcW w:w="1793" w:type="dxa"/>
          </w:tcPr>
          <w:p w14:paraId="50EAEB3B">
            <w:pPr>
              <w:rPr>
                <w:rFonts w:eastAsia="仿宋_GB2312"/>
                <w:sz w:val="28"/>
                <w:szCs w:val="28"/>
              </w:rPr>
            </w:pPr>
            <w:r>
              <w:rPr>
                <w:rFonts w:hint="eastAsia" w:eastAsia="仿宋_GB2312"/>
                <w:sz w:val="28"/>
                <w:szCs w:val="28"/>
              </w:rPr>
              <w:t>多种材料兼容性的控制不充分</w:t>
            </w:r>
          </w:p>
        </w:tc>
        <w:tc>
          <w:tcPr>
            <w:tcW w:w="5117" w:type="dxa"/>
          </w:tcPr>
          <w:p w14:paraId="5F4F0F39">
            <w:pPr>
              <w:rPr>
                <w:rFonts w:eastAsia="仿宋_GB2312"/>
                <w:sz w:val="28"/>
                <w:szCs w:val="28"/>
              </w:rPr>
            </w:pPr>
            <w:r>
              <w:rPr>
                <w:rFonts w:hint="eastAsia" w:eastAsia="仿宋_GB2312"/>
                <w:sz w:val="28"/>
                <w:szCs w:val="28"/>
              </w:rPr>
              <w:t>不同材质的元器件相互替代时未作必要的兼容性测试</w:t>
            </w:r>
          </w:p>
        </w:tc>
      </w:tr>
      <w:tr w14:paraId="77C4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044C375F">
            <w:pPr>
              <w:rPr>
                <w:rFonts w:eastAsia="仿宋_GB2312"/>
                <w:sz w:val="28"/>
                <w:szCs w:val="28"/>
              </w:rPr>
            </w:pPr>
          </w:p>
        </w:tc>
        <w:tc>
          <w:tcPr>
            <w:tcW w:w="1793" w:type="dxa"/>
          </w:tcPr>
          <w:p w14:paraId="7AF4DA33">
            <w:pPr>
              <w:rPr>
                <w:rFonts w:eastAsia="仿宋_GB2312"/>
                <w:sz w:val="28"/>
                <w:szCs w:val="28"/>
              </w:rPr>
            </w:pPr>
            <w:r>
              <w:rPr>
                <w:rFonts w:hint="eastAsia" w:eastAsia="仿宋_GB2312"/>
                <w:sz w:val="28"/>
                <w:szCs w:val="28"/>
              </w:rPr>
              <w:t>制造过程控制不充分</w:t>
            </w:r>
          </w:p>
        </w:tc>
        <w:tc>
          <w:tcPr>
            <w:tcW w:w="5117" w:type="dxa"/>
          </w:tcPr>
          <w:p w14:paraId="1E63DA8E">
            <w:pPr>
              <w:rPr>
                <w:rFonts w:eastAsia="仿宋_GB2312"/>
                <w:sz w:val="28"/>
                <w:szCs w:val="28"/>
              </w:rPr>
            </w:pPr>
            <w:r>
              <w:rPr>
                <w:rFonts w:hint="eastAsia" w:eastAsia="仿宋_GB2312"/>
                <w:sz w:val="28"/>
                <w:szCs w:val="28"/>
              </w:rPr>
              <w:t>作业指导书缺失或者未按照指导书执行</w:t>
            </w:r>
          </w:p>
        </w:tc>
      </w:tr>
      <w:tr w14:paraId="15C2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3C520CDD">
            <w:pPr>
              <w:rPr>
                <w:rFonts w:eastAsia="仿宋_GB2312"/>
                <w:sz w:val="28"/>
                <w:szCs w:val="28"/>
              </w:rPr>
            </w:pPr>
          </w:p>
        </w:tc>
        <w:tc>
          <w:tcPr>
            <w:tcW w:w="1793" w:type="dxa"/>
          </w:tcPr>
          <w:p w14:paraId="32C45387">
            <w:pPr>
              <w:rPr>
                <w:rFonts w:eastAsia="仿宋_GB2312"/>
                <w:sz w:val="28"/>
                <w:szCs w:val="28"/>
              </w:rPr>
            </w:pPr>
            <w:r>
              <w:rPr>
                <w:rFonts w:hint="eastAsia" w:eastAsia="仿宋_GB2312"/>
                <w:sz w:val="28"/>
                <w:szCs w:val="28"/>
              </w:rPr>
              <w:t>供方控制不充分</w:t>
            </w:r>
          </w:p>
        </w:tc>
        <w:tc>
          <w:tcPr>
            <w:tcW w:w="5117" w:type="dxa"/>
          </w:tcPr>
          <w:p w14:paraId="30C52255">
            <w:pPr>
              <w:rPr>
                <w:rFonts w:eastAsia="仿宋_GB2312"/>
                <w:sz w:val="28"/>
                <w:szCs w:val="28"/>
              </w:rPr>
            </w:pPr>
            <w:r>
              <w:rPr>
                <w:rFonts w:hint="eastAsia" w:eastAsia="仿宋_GB2312"/>
                <w:sz w:val="28"/>
                <w:szCs w:val="28"/>
              </w:rPr>
              <w:t>供方评审、进货检验等不充分</w:t>
            </w:r>
          </w:p>
        </w:tc>
      </w:tr>
      <w:tr w14:paraId="5FCC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restart"/>
            <w:vAlign w:val="center"/>
          </w:tcPr>
          <w:p w14:paraId="71B95E9A">
            <w:pPr>
              <w:rPr>
                <w:rFonts w:eastAsia="仿宋_GB2312"/>
                <w:sz w:val="28"/>
                <w:szCs w:val="28"/>
              </w:rPr>
            </w:pPr>
            <w:r>
              <w:rPr>
                <w:rFonts w:hint="eastAsia" w:eastAsia="仿宋_GB2312"/>
                <w:sz w:val="28"/>
                <w:szCs w:val="28"/>
              </w:rPr>
              <w:t>失效模式</w:t>
            </w:r>
          </w:p>
        </w:tc>
        <w:tc>
          <w:tcPr>
            <w:tcW w:w="1793" w:type="dxa"/>
          </w:tcPr>
          <w:p w14:paraId="6F6F21DE">
            <w:pPr>
              <w:rPr>
                <w:rFonts w:eastAsia="仿宋_GB2312"/>
                <w:sz w:val="28"/>
                <w:szCs w:val="28"/>
              </w:rPr>
            </w:pPr>
            <w:r>
              <w:rPr>
                <w:rFonts w:hint="eastAsia" w:eastAsia="仿宋_GB2312"/>
                <w:sz w:val="28"/>
                <w:szCs w:val="28"/>
              </w:rPr>
              <w:t>不希望的电能</w:t>
            </w:r>
            <w:r>
              <w:rPr>
                <w:rFonts w:eastAsia="仿宋_GB2312"/>
                <w:sz w:val="28"/>
                <w:szCs w:val="28"/>
              </w:rPr>
              <w:t>/</w:t>
            </w:r>
            <w:r>
              <w:rPr>
                <w:rFonts w:hint="eastAsia" w:eastAsia="仿宋_GB2312"/>
                <w:sz w:val="28"/>
                <w:szCs w:val="28"/>
              </w:rPr>
              <w:t>机械完整性的丧失</w:t>
            </w:r>
          </w:p>
        </w:tc>
        <w:tc>
          <w:tcPr>
            <w:tcW w:w="5117" w:type="dxa"/>
          </w:tcPr>
          <w:p w14:paraId="15733F75">
            <w:pPr>
              <w:rPr>
                <w:rFonts w:eastAsia="仿宋_GB2312"/>
                <w:sz w:val="28"/>
                <w:szCs w:val="28"/>
              </w:rPr>
            </w:pPr>
            <w:r>
              <w:rPr>
                <w:rFonts w:hint="eastAsia" w:eastAsia="仿宋_GB2312"/>
                <w:sz w:val="28"/>
                <w:szCs w:val="28"/>
              </w:rPr>
              <w:t>如传动连接件破坏后没有相应的保护或报警装置（适用于非接触式蓝光治疗仪）</w:t>
            </w:r>
          </w:p>
          <w:p w14:paraId="01561E16">
            <w:pPr>
              <w:rPr>
                <w:rFonts w:eastAsia="仿宋_GB2312"/>
                <w:sz w:val="28"/>
                <w:szCs w:val="28"/>
              </w:rPr>
            </w:pPr>
            <w:r>
              <w:rPr>
                <w:rFonts w:hint="eastAsia" w:eastAsia="仿宋_GB2312"/>
                <w:sz w:val="28"/>
                <w:szCs w:val="28"/>
              </w:rPr>
              <w:t>如显示屏破坏后没有相应的保护或报警装置（适用于接触式蓝光治疗仪）</w:t>
            </w:r>
          </w:p>
        </w:tc>
      </w:tr>
      <w:tr w14:paraId="25BB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504A3843">
            <w:pPr>
              <w:rPr>
                <w:rFonts w:eastAsia="仿宋_GB2312"/>
                <w:sz w:val="28"/>
                <w:szCs w:val="28"/>
              </w:rPr>
            </w:pPr>
          </w:p>
        </w:tc>
        <w:tc>
          <w:tcPr>
            <w:tcW w:w="1793" w:type="dxa"/>
          </w:tcPr>
          <w:p w14:paraId="4A5D3788">
            <w:pPr>
              <w:rPr>
                <w:rFonts w:eastAsia="仿宋_GB2312"/>
                <w:sz w:val="28"/>
                <w:szCs w:val="28"/>
              </w:rPr>
            </w:pPr>
            <w:r>
              <w:rPr>
                <w:rFonts w:hint="eastAsia" w:eastAsia="仿宋_GB2312"/>
                <w:sz w:val="28"/>
                <w:szCs w:val="28"/>
              </w:rPr>
              <w:t>由于老化、磨损和重复使用而导致功能退化</w:t>
            </w:r>
          </w:p>
        </w:tc>
        <w:tc>
          <w:tcPr>
            <w:tcW w:w="5117" w:type="dxa"/>
          </w:tcPr>
          <w:p w14:paraId="75284A66">
            <w:pPr>
              <w:rPr>
                <w:rFonts w:eastAsia="仿宋_GB2312"/>
                <w:sz w:val="28"/>
                <w:szCs w:val="28"/>
              </w:rPr>
            </w:pPr>
            <w:r>
              <w:rPr>
                <w:rFonts w:hint="eastAsia" w:eastAsia="仿宋_GB2312"/>
                <w:sz w:val="28"/>
                <w:szCs w:val="28"/>
              </w:rPr>
              <w:t>多次使用后，按键功能不灵敏</w:t>
            </w:r>
          </w:p>
        </w:tc>
      </w:tr>
      <w:tr w14:paraId="4FFF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Merge w:val="continue"/>
            <w:vAlign w:val="center"/>
          </w:tcPr>
          <w:p w14:paraId="1671EC01">
            <w:pPr>
              <w:rPr>
                <w:rFonts w:eastAsia="仿宋_GB2312"/>
                <w:sz w:val="28"/>
                <w:szCs w:val="28"/>
              </w:rPr>
            </w:pPr>
          </w:p>
        </w:tc>
        <w:tc>
          <w:tcPr>
            <w:tcW w:w="1793" w:type="dxa"/>
          </w:tcPr>
          <w:p w14:paraId="2B77A93F">
            <w:pPr>
              <w:rPr>
                <w:rFonts w:eastAsia="仿宋_GB2312"/>
                <w:sz w:val="28"/>
                <w:szCs w:val="28"/>
              </w:rPr>
            </w:pPr>
            <w:r>
              <w:rPr>
                <w:rFonts w:hint="eastAsia" w:eastAsia="仿宋_GB2312"/>
                <w:sz w:val="28"/>
                <w:szCs w:val="28"/>
              </w:rPr>
              <w:t>疲劳失效</w:t>
            </w:r>
          </w:p>
        </w:tc>
        <w:tc>
          <w:tcPr>
            <w:tcW w:w="5117" w:type="dxa"/>
          </w:tcPr>
          <w:p w14:paraId="28A4A949">
            <w:pPr>
              <w:rPr>
                <w:rFonts w:eastAsia="仿宋_GB2312"/>
                <w:sz w:val="28"/>
                <w:szCs w:val="28"/>
              </w:rPr>
            </w:pPr>
            <w:r>
              <w:rPr>
                <w:rFonts w:hint="eastAsia" w:eastAsia="仿宋_GB2312"/>
                <w:sz w:val="28"/>
                <w:szCs w:val="28"/>
              </w:rPr>
              <w:t>长时间使用后，输出功率降低</w:t>
            </w:r>
          </w:p>
        </w:tc>
      </w:tr>
    </w:tbl>
    <w:p w14:paraId="3D5908CC">
      <w:pPr>
        <w:spacing w:line="520" w:lineRule="exact"/>
        <w:outlineLvl w:val="1"/>
        <w:rPr>
          <w:rFonts w:eastAsia="楷体_GB2312"/>
          <w:bCs/>
          <w:iCs/>
          <w:kern w:val="2"/>
          <w:sz w:val="32"/>
          <w:szCs w:val="28"/>
        </w:rPr>
      </w:pPr>
      <w:r>
        <w:rPr>
          <w:rFonts w:hint="eastAsia" w:eastAsia="楷体_GB2312"/>
          <w:bCs/>
          <w:iCs/>
          <w:kern w:val="2"/>
          <w:sz w:val="32"/>
          <w:szCs w:val="28"/>
        </w:rPr>
        <w:t>（八）产品技术要求应包括的主要性能指标</w:t>
      </w:r>
    </w:p>
    <w:p w14:paraId="1BB341D1">
      <w:pPr>
        <w:spacing w:line="520" w:lineRule="exact"/>
        <w:ind w:firstLine="640" w:firstLineChars="200"/>
        <w:rPr>
          <w:rFonts w:eastAsia="仿宋_GB2312"/>
          <w:sz w:val="32"/>
          <w:szCs w:val="32"/>
        </w:rPr>
      </w:pPr>
      <w:r>
        <w:rPr>
          <w:rFonts w:hint="eastAsia" w:eastAsia="仿宋_GB2312"/>
          <w:sz w:val="32"/>
          <w:szCs w:val="32"/>
        </w:rPr>
        <w:t>产品性能指标的审查是产品技术要求审查中最重要的环节之一。</w:t>
      </w:r>
    </w:p>
    <w:p w14:paraId="46F0C23F">
      <w:pPr>
        <w:spacing w:line="520" w:lineRule="exact"/>
        <w:ind w:firstLine="640" w:firstLineChars="200"/>
        <w:rPr>
          <w:rFonts w:eastAsia="仿宋_GB2312"/>
          <w:sz w:val="32"/>
          <w:szCs w:val="32"/>
        </w:rPr>
      </w:pPr>
      <w:r>
        <w:rPr>
          <w:rFonts w:hint="eastAsia" w:eastAsia="仿宋_GB2312"/>
          <w:sz w:val="32"/>
          <w:szCs w:val="32"/>
        </w:rPr>
        <w:t>新生儿蓝光治疗仪在市场上，不同的产品其参数根据设计要求会有所区别。因此，本指导原则罗列了此类产品可能涉及的重要性能参数，注册申请人可根据自身产品的技术特点制定性能指标的具体要求。若产品具有其他部件或功能，应符合相应国家标准和行业标准要求。</w:t>
      </w:r>
    </w:p>
    <w:p w14:paraId="7168E646">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工作条件</w:t>
      </w:r>
    </w:p>
    <w:p w14:paraId="605705C9">
      <w:pPr>
        <w:spacing w:line="520" w:lineRule="exact"/>
        <w:ind w:firstLine="640" w:firstLineChars="200"/>
        <w:rPr>
          <w:rFonts w:eastAsia="仿宋_GB2312"/>
          <w:sz w:val="32"/>
          <w:szCs w:val="32"/>
        </w:rPr>
      </w:pPr>
      <w:r>
        <w:rPr>
          <w:rFonts w:eastAsia="仿宋_GB2312"/>
          <w:sz w:val="32"/>
          <w:szCs w:val="32"/>
        </w:rPr>
        <w:t xml:space="preserve">1.1 </w:t>
      </w:r>
      <w:r>
        <w:rPr>
          <w:rFonts w:hint="eastAsia" w:eastAsia="仿宋_GB2312"/>
          <w:sz w:val="32"/>
          <w:szCs w:val="32"/>
        </w:rPr>
        <w:t>正常工作环境条件（包括环境温度、相对湿度、大气压力）。</w:t>
      </w:r>
    </w:p>
    <w:p w14:paraId="0585E1B1">
      <w:pPr>
        <w:spacing w:line="520" w:lineRule="exact"/>
        <w:ind w:firstLine="640" w:firstLineChars="200"/>
        <w:rPr>
          <w:rFonts w:eastAsia="仿宋_GB2312"/>
          <w:sz w:val="32"/>
          <w:szCs w:val="32"/>
        </w:rPr>
      </w:pPr>
      <w:r>
        <w:rPr>
          <w:rFonts w:eastAsia="仿宋_GB2312"/>
          <w:sz w:val="32"/>
          <w:szCs w:val="32"/>
        </w:rPr>
        <w:t xml:space="preserve">1.2 </w:t>
      </w:r>
      <w:r>
        <w:rPr>
          <w:rFonts w:hint="eastAsia" w:eastAsia="仿宋_GB2312"/>
          <w:sz w:val="32"/>
          <w:szCs w:val="32"/>
        </w:rPr>
        <w:t>网电源供电设备的电源电压（或电源电压适用范围）、频率、电压波动。</w:t>
      </w:r>
    </w:p>
    <w:p w14:paraId="7C2FE577">
      <w:pPr>
        <w:spacing w:line="520" w:lineRule="exact"/>
        <w:ind w:firstLine="640" w:firstLineChars="200"/>
        <w:rPr>
          <w:rFonts w:eastAsia="仿宋_GB2312"/>
          <w:sz w:val="32"/>
          <w:szCs w:val="32"/>
        </w:rPr>
      </w:pPr>
      <w:r>
        <w:rPr>
          <w:rFonts w:eastAsia="仿宋_GB2312"/>
          <w:sz w:val="32"/>
          <w:szCs w:val="32"/>
        </w:rPr>
        <w:t xml:space="preserve">1.3 </w:t>
      </w:r>
      <w:r>
        <w:rPr>
          <w:rFonts w:hint="eastAsia" w:eastAsia="仿宋_GB2312"/>
          <w:sz w:val="32"/>
          <w:szCs w:val="32"/>
        </w:rPr>
        <w:t>室内使用条件要求，例如医院或家用。</w:t>
      </w:r>
    </w:p>
    <w:p w14:paraId="5482FFD7">
      <w:pPr>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质量控制指标</w:t>
      </w:r>
    </w:p>
    <w:p w14:paraId="7C140684">
      <w:pPr>
        <w:spacing w:line="520" w:lineRule="exact"/>
        <w:ind w:firstLine="640" w:firstLineChars="200"/>
        <w:rPr>
          <w:rFonts w:eastAsia="仿宋_GB2312"/>
          <w:sz w:val="32"/>
          <w:szCs w:val="32"/>
        </w:rPr>
      </w:pPr>
      <w:r>
        <w:rPr>
          <w:rFonts w:eastAsia="仿宋_GB2312"/>
          <w:sz w:val="32"/>
          <w:szCs w:val="32"/>
        </w:rPr>
        <w:t xml:space="preserve">2.1 </w:t>
      </w:r>
      <w:r>
        <w:rPr>
          <w:rFonts w:hint="eastAsia" w:eastAsia="仿宋_GB2312"/>
          <w:sz w:val="32"/>
          <w:szCs w:val="32"/>
        </w:rPr>
        <w:t>辐照强度</w:t>
      </w:r>
    </w:p>
    <w:p w14:paraId="2C7948DA">
      <w:pPr>
        <w:spacing w:line="520" w:lineRule="exact"/>
        <w:ind w:firstLine="640" w:firstLineChars="200"/>
        <w:rPr>
          <w:rFonts w:eastAsia="仿宋_GB2312"/>
          <w:sz w:val="32"/>
          <w:szCs w:val="32"/>
        </w:rPr>
      </w:pPr>
      <w:r>
        <w:rPr>
          <w:rFonts w:hint="eastAsia" w:eastAsia="仿宋_GB2312"/>
          <w:sz w:val="32"/>
          <w:szCs w:val="32"/>
        </w:rPr>
        <w:t>新生儿蓝光治疗仪产品技术要求中应给出辐照强度、辐照强度与设定值的误差要求。</w:t>
      </w:r>
    </w:p>
    <w:p w14:paraId="0551253E">
      <w:pPr>
        <w:spacing w:line="520" w:lineRule="exact"/>
        <w:ind w:firstLine="640" w:firstLineChars="200"/>
        <w:rPr>
          <w:rFonts w:eastAsia="仿宋_GB2312"/>
          <w:sz w:val="32"/>
          <w:szCs w:val="32"/>
        </w:rPr>
      </w:pPr>
      <w:r>
        <w:rPr>
          <w:rFonts w:hint="eastAsia" w:eastAsia="仿宋_GB2312"/>
          <w:sz w:val="32"/>
          <w:szCs w:val="32"/>
        </w:rPr>
        <w:t>根据《新生儿黄疸诊治原则的专家共识》，治疗新生儿高胆红素血症标准</w:t>
      </w:r>
      <w:r>
        <w:rPr>
          <w:rFonts w:eastAsia="仿宋_GB2312"/>
          <w:sz w:val="32"/>
          <w:szCs w:val="32"/>
        </w:rPr>
        <w:t>光疗为</w:t>
      </w:r>
      <w:r>
        <w:rPr>
          <w:rFonts w:hint="eastAsia" w:eastAsia="仿宋_GB2312"/>
          <w:sz w:val="32"/>
          <w:szCs w:val="32"/>
        </w:rPr>
        <w:t>8</w:t>
      </w:r>
      <w:r>
        <w:rPr>
          <w:rFonts w:eastAsia="仿宋_GB2312"/>
          <w:sz w:val="32"/>
          <w:szCs w:val="32"/>
        </w:rPr>
        <w:t>~10μW/</w:t>
      </w:r>
      <w:r>
        <w:rPr>
          <w:rFonts w:hint="eastAsia" w:eastAsia="仿宋_GB2312"/>
          <w:sz w:val="32"/>
          <w:szCs w:val="32"/>
        </w:rPr>
        <w:t>（</w:t>
      </w:r>
      <w:r>
        <w:rPr>
          <w:rFonts w:eastAsia="仿宋_GB2312"/>
          <w:sz w:val="32"/>
          <w:szCs w:val="32"/>
        </w:rPr>
        <w:t>cm</w:t>
      </w:r>
      <w:r>
        <w:rPr>
          <w:rFonts w:eastAsia="仿宋_GB2312"/>
          <w:sz w:val="32"/>
          <w:szCs w:val="32"/>
          <w:vertAlign w:val="superscript"/>
        </w:rPr>
        <w:t>2</w:t>
      </w:r>
      <w:r>
        <w:rPr>
          <w:rFonts w:eastAsia="仿宋_GB2312"/>
          <w:sz w:val="32"/>
          <w:szCs w:val="32"/>
        </w:rPr>
        <w:t>·nm</w:t>
      </w:r>
      <w:r>
        <w:rPr>
          <w:rFonts w:hint="eastAsia" w:eastAsia="仿宋_GB2312"/>
          <w:sz w:val="32"/>
          <w:szCs w:val="32"/>
        </w:rPr>
        <w:t>），</w:t>
      </w:r>
      <w:r>
        <w:rPr>
          <w:rFonts w:eastAsia="仿宋_GB2312"/>
          <w:sz w:val="32"/>
          <w:szCs w:val="32"/>
        </w:rPr>
        <w:t>强光疗＞</w:t>
      </w:r>
      <w:r>
        <w:rPr>
          <w:rFonts w:hint="eastAsia" w:eastAsia="仿宋_GB2312"/>
          <w:sz w:val="32"/>
          <w:szCs w:val="32"/>
        </w:rPr>
        <w:t>30</w:t>
      </w:r>
      <w:r>
        <w:rPr>
          <w:rFonts w:eastAsia="仿宋_GB2312"/>
          <w:sz w:val="32"/>
          <w:szCs w:val="32"/>
        </w:rPr>
        <w:t>μW/</w:t>
      </w:r>
      <w:r>
        <w:rPr>
          <w:rFonts w:hint="eastAsia" w:eastAsia="仿宋_GB2312"/>
          <w:sz w:val="32"/>
          <w:szCs w:val="32"/>
        </w:rPr>
        <w:t>（</w:t>
      </w:r>
      <w:r>
        <w:rPr>
          <w:rFonts w:eastAsia="仿宋_GB2312"/>
          <w:sz w:val="32"/>
          <w:szCs w:val="32"/>
        </w:rPr>
        <w:t>cm</w:t>
      </w:r>
      <w:r>
        <w:rPr>
          <w:rFonts w:eastAsia="仿宋_GB2312"/>
          <w:sz w:val="32"/>
          <w:szCs w:val="32"/>
          <w:vertAlign w:val="superscript"/>
        </w:rPr>
        <w:t>2</w:t>
      </w:r>
      <w:r>
        <w:rPr>
          <w:rFonts w:eastAsia="仿宋_GB2312"/>
          <w:sz w:val="32"/>
          <w:szCs w:val="32"/>
        </w:rPr>
        <w:t>·nm</w:t>
      </w:r>
      <w:r>
        <w:rPr>
          <w:rFonts w:hint="eastAsia" w:eastAsia="仿宋_GB2312"/>
          <w:sz w:val="32"/>
          <w:szCs w:val="32"/>
        </w:rPr>
        <w:t>）。在预期</w:t>
      </w:r>
      <w:r>
        <w:rPr>
          <w:rFonts w:eastAsia="仿宋_GB2312"/>
          <w:sz w:val="32"/>
          <w:szCs w:val="32"/>
        </w:rPr>
        <w:t>照射距离下，</w:t>
      </w:r>
      <w:r>
        <w:rPr>
          <w:rFonts w:hint="eastAsia" w:eastAsia="仿宋_GB2312"/>
          <w:sz w:val="32"/>
          <w:szCs w:val="32"/>
        </w:rPr>
        <w:t>辐照度</w:t>
      </w:r>
      <w:r>
        <w:rPr>
          <w:rFonts w:eastAsia="仿宋_GB2312"/>
          <w:sz w:val="32"/>
          <w:szCs w:val="32"/>
        </w:rPr>
        <w:t>至少应</w:t>
      </w:r>
      <w:r>
        <w:rPr>
          <w:rFonts w:hint="eastAsia" w:eastAsia="仿宋_GB2312"/>
          <w:sz w:val="32"/>
          <w:szCs w:val="32"/>
        </w:rPr>
        <w:t>达到</w:t>
      </w:r>
      <w:r>
        <w:rPr>
          <w:rFonts w:eastAsia="仿宋_GB2312"/>
          <w:sz w:val="32"/>
          <w:szCs w:val="32"/>
        </w:rPr>
        <w:t>标准光疗</w:t>
      </w:r>
      <w:r>
        <w:rPr>
          <w:rFonts w:hint="eastAsia" w:eastAsia="仿宋_GB2312"/>
          <w:sz w:val="32"/>
          <w:szCs w:val="32"/>
        </w:rPr>
        <w:t>的</w:t>
      </w:r>
      <w:r>
        <w:rPr>
          <w:rFonts w:eastAsia="仿宋_GB2312"/>
          <w:sz w:val="32"/>
          <w:szCs w:val="32"/>
        </w:rPr>
        <w:t>要求</w:t>
      </w:r>
      <w:r>
        <w:rPr>
          <w:rFonts w:hint="eastAsia" w:eastAsia="仿宋_GB2312"/>
          <w:sz w:val="32"/>
          <w:szCs w:val="32"/>
        </w:rPr>
        <w:t>。</w:t>
      </w:r>
    </w:p>
    <w:p w14:paraId="40D084E9">
      <w:pPr>
        <w:spacing w:line="520" w:lineRule="exact"/>
        <w:ind w:firstLine="640" w:firstLineChars="200"/>
        <w:rPr>
          <w:rFonts w:eastAsia="仿宋_GB2312"/>
          <w:sz w:val="32"/>
          <w:szCs w:val="32"/>
        </w:rPr>
      </w:pPr>
      <w:r>
        <w:rPr>
          <w:rFonts w:eastAsia="仿宋_GB2312"/>
          <w:sz w:val="32"/>
          <w:szCs w:val="32"/>
        </w:rPr>
        <w:t xml:space="preserve">2.2 </w:t>
      </w:r>
      <w:r>
        <w:rPr>
          <w:rFonts w:hint="eastAsia" w:eastAsia="仿宋_GB2312"/>
          <w:sz w:val="32"/>
          <w:szCs w:val="32"/>
        </w:rPr>
        <w:t>波长范围</w:t>
      </w:r>
    </w:p>
    <w:p w14:paraId="1A87BE7B">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应给出治疗仪中各光源的波长范围；</w:t>
      </w:r>
    </w:p>
    <w:p w14:paraId="4901C63E">
      <w:pPr>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应给出治疗仪中各光源的峰值波长及其误差。</w:t>
      </w:r>
    </w:p>
    <w:p w14:paraId="641F1D73">
      <w:pPr>
        <w:spacing w:line="520" w:lineRule="exact"/>
        <w:ind w:firstLine="640" w:firstLineChars="200"/>
        <w:rPr>
          <w:rFonts w:eastAsia="仿宋_GB2312"/>
          <w:sz w:val="32"/>
          <w:szCs w:val="32"/>
        </w:rPr>
      </w:pPr>
      <w:r>
        <w:rPr>
          <w:rFonts w:eastAsia="仿宋_GB2312"/>
          <w:sz w:val="32"/>
          <w:szCs w:val="32"/>
        </w:rPr>
        <w:t xml:space="preserve">2.3 </w:t>
      </w:r>
      <w:r>
        <w:rPr>
          <w:rFonts w:hint="eastAsia" w:eastAsia="仿宋_GB2312"/>
          <w:sz w:val="32"/>
          <w:szCs w:val="32"/>
        </w:rPr>
        <w:t>有效表面</w:t>
      </w:r>
    </w:p>
    <w:p w14:paraId="27E0D8B7">
      <w:pPr>
        <w:spacing w:line="520" w:lineRule="exact"/>
        <w:ind w:firstLine="567"/>
        <w:rPr>
          <w:rFonts w:eastAsia="仿宋_GB2312"/>
          <w:sz w:val="32"/>
          <w:szCs w:val="32"/>
        </w:rPr>
      </w:pPr>
      <w:r>
        <w:rPr>
          <w:rFonts w:hint="eastAsia" w:eastAsia="仿宋_GB2312"/>
          <w:sz w:val="32"/>
          <w:szCs w:val="32"/>
        </w:rPr>
        <w:t>应给出产品辐射的有效表面的尺寸及误差。</w:t>
      </w:r>
    </w:p>
    <w:p w14:paraId="77E69D6C">
      <w:pPr>
        <w:spacing w:line="520" w:lineRule="exact"/>
        <w:ind w:firstLine="640" w:firstLineChars="200"/>
        <w:rPr>
          <w:rFonts w:eastAsia="仿宋_GB2312"/>
          <w:sz w:val="32"/>
          <w:szCs w:val="32"/>
        </w:rPr>
      </w:pPr>
      <w:r>
        <w:rPr>
          <w:rFonts w:eastAsia="仿宋_GB2312"/>
          <w:sz w:val="32"/>
          <w:szCs w:val="32"/>
        </w:rPr>
        <w:t xml:space="preserve">2.4 </w:t>
      </w:r>
      <w:r>
        <w:rPr>
          <w:rFonts w:hint="eastAsia" w:eastAsia="仿宋_GB2312"/>
          <w:sz w:val="32"/>
          <w:szCs w:val="32"/>
        </w:rPr>
        <w:t>辐照度的均匀性</w:t>
      </w:r>
    </w:p>
    <w:p w14:paraId="65323A3C">
      <w:pPr>
        <w:ind w:firstLine="567"/>
        <w:rPr>
          <w:rFonts w:eastAsia="仿宋_GB2312"/>
          <w:sz w:val="32"/>
          <w:szCs w:val="32"/>
        </w:rPr>
      </w:pPr>
      <w:r>
        <w:rPr>
          <w:rFonts w:hint="eastAsia" w:eastAsia="仿宋_GB2312"/>
          <w:sz w:val="32"/>
          <w:szCs w:val="32"/>
        </w:rPr>
        <w:t>应给出辐照度的均匀性。</w:t>
      </w:r>
    </w:p>
    <w:p w14:paraId="52F0EF54">
      <w:pPr>
        <w:spacing w:line="520" w:lineRule="exact"/>
        <w:ind w:firstLine="640" w:firstLineChars="200"/>
        <w:rPr>
          <w:rFonts w:eastAsia="仿宋_GB2312"/>
          <w:sz w:val="32"/>
          <w:szCs w:val="32"/>
        </w:rPr>
      </w:pPr>
      <w:r>
        <w:rPr>
          <w:rFonts w:eastAsia="仿宋_GB2312"/>
          <w:sz w:val="32"/>
          <w:szCs w:val="32"/>
        </w:rPr>
        <w:t xml:space="preserve">2.5 </w:t>
      </w:r>
      <w:r>
        <w:rPr>
          <w:rFonts w:hint="eastAsia" w:eastAsia="仿宋_GB2312"/>
          <w:sz w:val="32"/>
          <w:szCs w:val="32"/>
        </w:rPr>
        <w:t>工作噪声</w:t>
      </w:r>
    </w:p>
    <w:p w14:paraId="001A5A10">
      <w:pPr>
        <w:spacing w:line="520" w:lineRule="exact"/>
        <w:ind w:firstLine="567"/>
        <w:rPr>
          <w:rFonts w:eastAsia="仿宋_GB2312"/>
          <w:sz w:val="32"/>
          <w:szCs w:val="32"/>
        </w:rPr>
      </w:pPr>
      <w:r>
        <w:rPr>
          <w:rFonts w:hint="eastAsia" w:eastAsia="仿宋_GB2312"/>
          <w:sz w:val="32"/>
          <w:szCs w:val="32"/>
        </w:rPr>
        <w:t>治疗仪正常工作噪声应不大于</w:t>
      </w:r>
      <w:r>
        <w:rPr>
          <w:rFonts w:eastAsia="仿宋_GB2312"/>
          <w:sz w:val="32"/>
          <w:szCs w:val="32"/>
        </w:rPr>
        <w:t>60 dB</w:t>
      </w:r>
      <w:r>
        <w:rPr>
          <w:rFonts w:hint="eastAsia" w:eastAsia="仿宋_GB2312"/>
          <w:sz w:val="32"/>
          <w:szCs w:val="32"/>
        </w:rPr>
        <w:t>（</w:t>
      </w:r>
      <w:r>
        <w:rPr>
          <w:rFonts w:eastAsia="仿宋_GB2312"/>
          <w:sz w:val="32"/>
          <w:szCs w:val="32"/>
        </w:rPr>
        <w:t>A</w:t>
      </w:r>
      <w:r>
        <w:rPr>
          <w:rFonts w:hint="eastAsia" w:eastAsia="仿宋_GB2312"/>
          <w:sz w:val="32"/>
          <w:szCs w:val="32"/>
        </w:rPr>
        <w:t>）。</w:t>
      </w:r>
    </w:p>
    <w:p w14:paraId="0DFDC48C">
      <w:pPr>
        <w:spacing w:line="520" w:lineRule="exact"/>
        <w:ind w:firstLine="640" w:firstLineChars="200"/>
        <w:rPr>
          <w:rFonts w:eastAsia="仿宋_GB2312"/>
          <w:sz w:val="32"/>
          <w:szCs w:val="32"/>
        </w:rPr>
      </w:pPr>
      <w:r>
        <w:rPr>
          <w:rFonts w:eastAsia="仿宋_GB2312"/>
          <w:sz w:val="32"/>
          <w:szCs w:val="32"/>
        </w:rPr>
        <w:t xml:space="preserve">2.6 </w:t>
      </w:r>
      <w:r>
        <w:rPr>
          <w:rFonts w:hint="eastAsia" w:eastAsia="仿宋_GB2312"/>
          <w:sz w:val="32"/>
          <w:szCs w:val="32"/>
        </w:rPr>
        <w:t>定时误差（若适用）</w:t>
      </w:r>
    </w:p>
    <w:p w14:paraId="5B69F332">
      <w:pPr>
        <w:spacing w:line="520" w:lineRule="exact"/>
        <w:ind w:firstLine="640" w:firstLineChars="200"/>
        <w:rPr>
          <w:rFonts w:eastAsia="仿宋_GB2312"/>
          <w:sz w:val="32"/>
          <w:szCs w:val="32"/>
        </w:rPr>
      </w:pPr>
      <w:r>
        <w:rPr>
          <w:rFonts w:hint="eastAsia" w:eastAsia="仿宋_GB2312"/>
          <w:sz w:val="32"/>
          <w:szCs w:val="32"/>
        </w:rPr>
        <w:t>治疗仪如配备可调定时器，当达到预定工作时间后，治疗仪应立即停止工作，定时器准确度误差应符合注册申请人的规定。</w:t>
      </w:r>
    </w:p>
    <w:p w14:paraId="0AA3A030">
      <w:pPr>
        <w:spacing w:line="520" w:lineRule="exact"/>
        <w:ind w:firstLine="640" w:firstLineChars="200"/>
        <w:rPr>
          <w:rFonts w:eastAsia="仿宋_GB2312"/>
          <w:sz w:val="32"/>
          <w:szCs w:val="32"/>
        </w:rPr>
      </w:pPr>
      <w:r>
        <w:rPr>
          <w:rFonts w:eastAsia="仿宋_GB2312"/>
          <w:sz w:val="32"/>
          <w:szCs w:val="32"/>
        </w:rPr>
        <w:t xml:space="preserve">2.7 </w:t>
      </w:r>
      <w:r>
        <w:rPr>
          <w:rFonts w:hint="eastAsia" w:eastAsia="仿宋_GB2312"/>
          <w:sz w:val="32"/>
          <w:szCs w:val="32"/>
        </w:rPr>
        <w:t>指示功能</w:t>
      </w:r>
    </w:p>
    <w:p w14:paraId="42450104">
      <w:pPr>
        <w:spacing w:line="520" w:lineRule="exact"/>
        <w:ind w:firstLine="640" w:firstLineChars="200"/>
        <w:rPr>
          <w:rFonts w:eastAsia="仿宋_GB2312"/>
          <w:sz w:val="32"/>
          <w:szCs w:val="32"/>
        </w:rPr>
      </w:pPr>
      <w:r>
        <w:rPr>
          <w:rFonts w:hint="eastAsia" w:eastAsia="仿宋_GB2312"/>
          <w:sz w:val="32"/>
          <w:szCs w:val="32"/>
        </w:rPr>
        <w:t>带指示功能的治疗仪，指示功能应符合注册申请人的规定。</w:t>
      </w:r>
    </w:p>
    <w:p w14:paraId="2285DBF1">
      <w:pPr>
        <w:spacing w:line="520" w:lineRule="exact"/>
        <w:ind w:firstLine="640" w:firstLineChars="200"/>
        <w:rPr>
          <w:rFonts w:eastAsia="仿宋_GB2312"/>
          <w:sz w:val="32"/>
          <w:szCs w:val="32"/>
        </w:rPr>
      </w:pPr>
      <w:r>
        <w:rPr>
          <w:rFonts w:eastAsia="仿宋_GB2312"/>
          <w:sz w:val="32"/>
          <w:szCs w:val="32"/>
        </w:rPr>
        <w:t xml:space="preserve">2.8 </w:t>
      </w:r>
      <w:r>
        <w:rPr>
          <w:rFonts w:hint="eastAsia" w:eastAsia="仿宋_GB2312"/>
          <w:sz w:val="32"/>
          <w:szCs w:val="32"/>
        </w:rPr>
        <w:t>对</w:t>
      </w:r>
      <w:r>
        <w:rPr>
          <w:rFonts w:eastAsia="仿宋_GB2312"/>
          <w:sz w:val="32"/>
          <w:szCs w:val="32"/>
        </w:rPr>
        <w:t>接触式新生儿蓝光治疗仪，位于患者</w:t>
      </w:r>
      <w:r>
        <w:rPr>
          <w:rFonts w:hint="eastAsia" w:eastAsia="仿宋_GB2312"/>
          <w:sz w:val="32"/>
          <w:szCs w:val="32"/>
        </w:rPr>
        <w:t>背部</w:t>
      </w:r>
      <w:r>
        <w:rPr>
          <w:rFonts w:eastAsia="仿宋_GB2312"/>
          <w:sz w:val="32"/>
          <w:szCs w:val="32"/>
        </w:rPr>
        <w:t>的</w:t>
      </w:r>
      <w:r>
        <w:rPr>
          <w:rFonts w:hint="eastAsia" w:eastAsia="仿宋_GB2312"/>
          <w:sz w:val="32"/>
          <w:szCs w:val="32"/>
        </w:rPr>
        <w:t>光</w:t>
      </w:r>
      <w:r>
        <w:rPr>
          <w:rFonts w:eastAsia="仿宋_GB2312"/>
          <w:sz w:val="32"/>
          <w:szCs w:val="32"/>
        </w:rPr>
        <w:t>垫，防水等级至少应符合</w:t>
      </w:r>
      <w:r>
        <w:rPr>
          <w:rFonts w:hint="eastAsia" w:eastAsia="仿宋_GB2312"/>
          <w:sz w:val="32"/>
          <w:szCs w:val="32"/>
        </w:rPr>
        <w:t>GB 4208中IPX4的</w:t>
      </w:r>
      <w:r>
        <w:rPr>
          <w:rFonts w:eastAsia="仿宋_GB2312"/>
          <w:sz w:val="32"/>
          <w:szCs w:val="32"/>
        </w:rPr>
        <w:t>要求。</w:t>
      </w:r>
    </w:p>
    <w:p w14:paraId="6C44DD67">
      <w:pPr>
        <w:spacing w:line="520" w:lineRule="exact"/>
        <w:ind w:firstLine="640" w:firstLineChars="200"/>
        <w:rPr>
          <w:rFonts w:eastAsia="仿宋_GB2312"/>
          <w:sz w:val="32"/>
          <w:szCs w:val="32"/>
        </w:rPr>
      </w:pPr>
      <w:r>
        <w:rPr>
          <w:rFonts w:eastAsia="仿宋_GB2312"/>
          <w:sz w:val="32"/>
          <w:szCs w:val="32"/>
        </w:rPr>
        <w:t>2.9</w:t>
      </w:r>
      <w:r>
        <w:rPr>
          <w:rFonts w:hint="eastAsia" w:eastAsia="仿宋_GB2312"/>
          <w:sz w:val="32"/>
          <w:szCs w:val="32"/>
        </w:rPr>
        <w:t>外观和结构</w:t>
      </w:r>
    </w:p>
    <w:p w14:paraId="28EEA84A">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治疗仪外观应整洁，色泽均匀，无伤痕、划痕、裂纹等缺陷，面板上的文字和标志应清晰可见。</w:t>
      </w:r>
    </w:p>
    <w:p w14:paraId="66BAD9B3">
      <w:pPr>
        <w:spacing w:line="520" w:lineRule="exact"/>
        <w:ind w:firstLine="567"/>
        <w:rPr>
          <w:rFonts w:eastAsia="仿宋_GB2312"/>
          <w:sz w:val="32"/>
          <w:szCs w:val="32"/>
        </w:rPr>
      </w:pPr>
      <w:r>
        <w:rPr>
          <w:rFonts w:eastAsia="仿宋_GB2312"/>
          <w:sz w:val="32"/>
          <w:szCs w:val="32"/>
        </w:rPr>
        <w:t xml:space="preserve">(2) </w:t>
      </w:r>
      <w:r>
        <w:rPr>
          <w:rFonts w:hint="eastAsia" w:eastAsia="仿宋_GB2312"/>
          <w:sz w:val="32"/>
          <w:szCs w:val="32"/>
        </w:rPr>
        <w:t>治疗仪紧固件应安装牢固，无松动；调节机构定位可靠。</w:t>
      </w:r>
    </w:p>
    <w:p w14:paraId="4135EB45">
      <w:pPr>
        <w:widowControl w:val="0"/>
        <w:spacing w:line="520" w:lineRule="exact"/>
        <w:ind w:left="640"/>
        <w:jc w:val="both"/>
        <w:rPr>
          <w:rFonts w:eastAsia="仿宋_GB2312"/>
          <w:sz w:val="32"/>
          <w:szCs w:val="32"/>
        </w:rPr>
      </w:pPr>
      <w:r>
        <w:rPr>
          <w:rFonts w:hint="eastAsia" w:eastAsia="仿宋_GB2312"/>
          <w:sz w:val="32"/>
          <w:szCs w:val="32"/>
        </w:rPr>
        <w:t>3.安全要求</w:t>
      </w:r>
    </w:p>
    <w:p w14:paraId="4C8F81F8">
      <w:pPr>
        <w:spacing w:line="520" w:lineRule="exact"/>
        <w:ind w:firstLine="640" w:firstLineChars="200"/>
        <w:rPr>
          <w:rFonts w:eastAsia="仿宋_GB2312"/>
          <w:sz w:val="32"/>
          <w:szCs w:val="32"/>
        </w:rPr>
      </w:pPr>
      <w:r>
        <w:rPr>
          <w:rFonts w:hint="eastAsia" w:eastAsia="仿宋_GB2312"/>
          <w:sz w:val="32"/>
          <w:szCs w:val="32"/>
        </w:rPr>
        <w:t>仪器的电气安全应符合：</w:t>
      </w:r>
    </w:p>
    <w:p w14:paraId="3879E102">
      <w:pPr>
        <w:widowControl w:val="0"/>
        <w:numPr>
          <w:ilvl w:val="0"/>
          <w:numId w:val="4"/>
        </w:numPr>
        <w:spacing w:line="520" w:lineRule="exact"/>
        <w:jc w:val="both"/>
        <w:rPr>
          <w:rFonts w:eastAsia="仿宋_GB2312"/>
          <w:sz w:val="32"/>
          <w:szCs w:val="32"/>
        </w:rPr>
      </w:pPr>
      <w:r>
        <w:rPr>
          <w:rFonts w:eastAsia="仿宋_GB2312"/>
          <w:sz w:val="32"/>
          <w:szCs w:val="32"/>
        </w:rPr>
        <w:t>GB 9706.1-2007</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1</w:t>
      </w:r>
      <w:r>
        <w:rPr>
          <w:rFonts w:hint="eastAsia" w:eastAsia="仿宋_GB2312"/>
          <w:sz w:val="32"/>
          <w:szCs w:val="32"/>
        </w:rPr>
        <w:t>部分：安全通用要求》</w:t>
      </w:r>
    </w:p>
    <w:p w14:paraId="36B9E25E">
      <w:pPr>
        <w:widowControl w:val="0"/>
        <w:numPr>
          <w:ilvl w:val="0"/>
          <w:numId w:val="4"/>
        </w:numPr>
        <w:tabs>
          <w:tab w:val="left" w:pos="1134"/>
        </w:tabs>
        <w:spacing w:line="520" w:lineRule="exact"/>
        <w:jc w:val="both"/>
        <w:rPr>
          <w:rFonts w:eastAsia="仿宋_GB2312"/>
          <w:sz w:val="32"/>
          <w:szCs w:val="32"/>
        </w:rPr>
      </w:pPr>
      <w:r>
        <w:rPr>
          <w:rFonts w:eastAsia="仿宋_GB2312"/>
          <w:sz w:val="32"/>
          <w:szCs w:val="32"/>
        </w:rPr>
        <w:t>YY 0669-2008</w:t>
      </w:r>
      <w:r>
        <w:rPr>
          <w:rFonts w:hint="eastAsia" w:eastAsia="仿宋_GB2312"/>
          <w:sz w:val="32"/>
          <w:szCs w:val="32"/>
        </w:rPr>
        <w:t>《医疗器械</w:t>
      </w:r>
      <w:r>
        <w:rPr>
          <w:rFonts w:eastAsia="仿宋_GB2312"/>
          <w:sz w:val="32"/>
          <w:szCs w:val="32"/>
        </w:rPr>
        <w:t xml:space="preserve"> </w:t>
      </w:r>
      <w:r>
        <w:rPr>
          <w:rFonts w:hint="eastAsia" w:eastAsia="仿宋_GB2312"/>
          <w:sz w:val="32"/>
          <w:szCs w:val="32"/>
        </w:rPr>
        <w:t>第</w:t>
      </w:r>
      <w:r>
        <w:rPr>
          <w:rFonts w:eastAsia="仿宋_GB2312"/>
          <w:sz w:val="32"/>
          <w:szCs w:val="32"/>
        </w:rPr>
        <w:t>2</w:t>
      </w:r>
      <w:r>
        <w:rPr>
          <w:rFonts w:hint="eastAsia" w:eastAsia="仿宋_GB2312"/>
          <w:sz w:val="32"/>
          <w:szCs w:val="32"/>
        </w:rPr>
        <w:t>部分：婴儿光治疗设备安全专用要求》</w:t>
      </w:r>
    </w:p>
    <w:p w14:paraId="4492A879">
      <w:pPr>
        <w:widowControl w:val="0"/>
        <w:numPr>
          <w:ilvl w:val="0"/>
          <w:numId w:val="4"/>
        </w:numPr>
        <w:spacing w:line="520" w:lineRule="exact"/>
        <w:jc w:val="both"/>
        <w:rPr>
          <w:rFonts w:eastAsia="仿宋_GB2312"/>
          <w:sz w:val="32"/>
          <w:szCs w:val="32"/>
        </w:rPr>
      </w:pPr>
      <w:r>
        <w:rPr>
          <w:rFonts w:eastAsia="仿宋_GB2312"/>
          <w:sz w:val="32"/>
          <w:szCs w:val="32"/>
        </w:rPr>
        <w:t xml:space="preserve">YY 0505-2012 </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1-2</w:t>
      </w:r>
      <w:r>
        <w:rPr>
          <w:rFonts w:hint="eastAsia" w:eastAsia="仿宋_GB2312"/>
          <w:sz w:val="32"/>
          <w:szCs w:val="32"/>
        </w:rPr>
        <w:t>部分：安全通用要求</w:t>
      </w:r>
      <w:r>
        <w:rPr>
          <w:rFonts w:eastAsia="仿宋_GB2312"/>
          <w:sz w:val="32"/>
          <w:szCs w:val="32"/>
        </w:rPr>
        <w:t xml:space="preserve"> </w:t>
      </w:r>
      <w:r>
        <w:rPr>
          <w:rFonts w:hint="eastAsia" w:eastAsia="仿宋_GB2312"/>
          <w:sz w:val="32"/>
          <w:szCs w:val="32"/>
        </w:rPr>
        <w:t>并列标准：电磁兼容要求和试验》</w:t>
      </w:r>
    </w:p>
    <w:p w14:paraId="690DEE9A">
      <w:pPr>
        <w:widowControl w:val="0"/>
        <w:spacing w:line="520" w:lineRule="exact"/>
        <w:ind w:left="640"/>
        <w:jc w:val="both"/>
        <w:rPr>
          <w:rFonts w:eastAsia="仿宋_GB2312"/>
          <w:sz w:val="32"/>
          <w:szCs w:val="32"/>
        </w:rPr>
      </w:pPr>
      <w:r>
        <w:rPr>
          <w:rFonts w:hint="eastAsia" w:eastAsia="仿宋_GB2312"/>
          <w:sz w:val="32"/>
          <w:szCs w:val="32"/>
        </w:rPr>
        <w:t>若具有报警装置，还应符合YY0709-2009《安全通用要求并列标准：通用要求，医用电气设备和医用电气系统中报警系统的测试和指南》的规定。</w:t>
      </w:r>
    </w:p>
    <w:p w14:paraId="4955F230">
      <w:pPr>
        <w:widowControl w:val="0"/>
        <w:spacing w:line="520" w:lineRule="exact"/>
        <w:ind w:left="567"/>
        <w:jc w:val="both"/>
        <w:rPr>
          <w:rFonts w:eastAsia="仿宋_GB2312"/>
          <w:sz w:val="32"/>
          <w:szCs w:val="32"/>
        </w:rPr>
      </w:pPr>
      <w:r>
        <w:rPr>
          <w:rFonts w:hint="eastAsia" w:eastAsia="仿宋_GB2312"/>
          <w:sz w:val="32"/>
          <w:szCs w:val="32"/>
        </w:rPr>
        <w:t>4.环境试验</w:t>
      </w:r>
    </w:p>
    <w:p w14:paraId="755068A7">
      <w:pPr>
        <w:spacing w:line="520" w:lineRule="exact"/>
        <w:ind w:firstLine="640" w:firstLineChars="200"/>
        <w:rPr>
          <w:rFonts w:eastAsia="仿宋_GB2312"/>
          <w:sz w:val="32"/>
          <w:szCs w:val="32"/>
        </w:rPr>
      </w:pPr>
      <w:r>
        <w:rPr>
          <w:rFonts w:hint="eastAsia" w:eastAsia="仿宋_GB2312"/>
          <w:sz w:val="32"/>
          <w:szCs w:val="32"/>
        </w:rPr>
        <w:t>应符合</w:t>
      </w:r>
      <w:r>
        <w:rPr>
          <w:rFonts w:eastAsia="仿宋_GB2312"/>
          <w:sz w:val="32"/>
          <w:szCs w:val="32"/>
        </w:rPr>
        <w:t>GB/T 14710-2009</w:t>
      </w:r>
      <w:r>
        <w:rPr>
          <w:rFonts w:hint="eastAsia" w:eastAsia="仿宋_GB2312"/>
          <w:sz w:val="32"/>
          <w:szCs w:val="32"/>
        </w:rPr>
        <w:t>《医用电器环境要求及试验方法》的规定。</w:t>
      </w:r>
    </w:p>
    <w:p w14:paraId="21E90EF0">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（九）同一注册单元内注册检验代表产品确定原则和实例</w:t>
      </w:r>
    </w:p>
    <w:p w14:paraId="04EED409">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典型产品应是同一注册单元内能够代表本单元内其他产品安全性和有效性的产品。</w:t>
      </w:r>
    </w:p>
    <w:p w14:paraId="594902FF">
      <w:pPr>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建议考虑功能最齐全、结构最复杂、风险最高的产品。</w:t>
      </w:r>
    </w:p>
    <w:p w14:paraId="6104C8CA">
      <w:pPr>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注册单元内各种产品的主要结构及组成、性能指标不能被某一产品全部涵盖时，则应选择涵盖结构及组成、性能指标最多的产品作为典型产品，同时还应考虑其他产品中未被典型产品所涵盖的性能指标，并应对差异部分及由差异部分引起的其他安全性和有效性变化的部分进行差异检验。</w:t>
      </w:r>
    </w:p>
    <w:p w14:paraId="4DEABA0F">
      <w:pPr>
        <w:spacing w:line="520" w:lineRule="exact"/>
        <w:ind w:firstLine="640" w:firstLineChars="200"/>
        <w:rPr>
          <w:rFonts w:eastAsia="仿宋_GB2312"/>
          <w:sz w:val="32"/>
          <w:szCs w:val="32"/>
        </w:rPr>
      </w:pPr>
      <w:r>
        <w:rPr>
          <w:rFonts w:hint="eastAsia" w:eastAsia="仿宋_GB2312"/>
          <w:sz w:val="32"/>
          <w:szCs w:val="32"/>
        </w:rPr>
        <w:t>如两种型号新生儿蓝光治疗仪的主机部分相同，分别配备两种辐照器，且两种型号产品的主要性能指标一致，可作为同一注册单元；建议选择输入功率较大者作为典型产品，对另一型号产品的差异性性能和</w:t>
      </w:r>
      <w:r>
        <w:rPr>
          <w:rFonts w:eastAsia="仿宋_GB2312"/>
          <w:sz w:val="32"/>
          <w:szCs w:val="32"/>
        </w:rPr>
        <w:t>/</w:t>
      </w:r>
      <w:r>
        <w:rPr>
          <w:rFonts w:hint="eastAsia" w:eastAsia="仿宋_GB2312"/>
          <w:sz w:val="32"/>
          <w:szCs w:val="32"/>
        </w:rPr>
        <w:t>或安全要求等，应进行差异检验。</w:t>
      </w:r>
    </w:p>
    <w:p w14:paraId="40F0A85E">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（十）产品生产制造相关要求</w:t>
      </w:r>
    </w:p>
    <w:p w14:paraId="6B77EC99">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应当明确产品生产工艺过程</w:t>
      </w:r>
    </w:p>
    <w:p w14:paraId="46102C4A">
      <w:pPr>
        <w:spacing w:line="520" w:lineRule="exact"/>
        <w:ind w:firstLine="640" w:firstLineChars="200"/>
        <w:rPr>
          <w:rFonts w:eastAsia="仿宋_GB2312"/>
          <w:sz w:val="32"/>
          <w:szCs w:val="32"/>
        </w:rPr>
      </w:pPr>
      <w:r>
        <w:rPr>
          <w:rFonts w:hint="eastAsia" w:eastAsia="仿宋_GB2312"/>
          <w:sz w:val="32"/>
          <w:szCs w:val="32"/>
        </w:rPr>
        <w:t>工艺过程可采用流程图的形式，并说明其每道工序的操作说明及接收和放行标准，同时对过程控制要点进行详细说明。</w:t>
      </w:r>
    </w:p>
    <w:p w14:paraId="757FDC89">
      <w:pPr>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生产场地</w:t>
      </w:r>
    </w:p>
    <w:p w14:paraId="38A7A6E5">
      <w:pPr>
        <w:spacing w:line="520" w:lineRule="exact"/>
        <w:ind w:firstLine="640" w:firstLineChars="200"/>
        <w:rPr>
          <w:rFonts w:eastAsia="仿宋_GB2312"/>
          <w:sz w:val="32"/>
          <w:szCs w:val="32"/>
        </w:rPr>
      </w:pPr>
      <w:r>
        <w:rPr>
          <w:rFonts w:hint="eastAsia" w:eastAsia="仿宋_GB2312"/>
          <w:sz w:val="32"/>
          <w:szCs w:val="32"/>
        </w:rPr>
        <w:t>应详细说明产品生产场地地址、生产工艺布局、生产环境要求及周边情况。有多个研制、生产场地，应当概述每个研制、生产场地的实际情况。</w:t>
      </w:r>
    </w:p>
    <w:p w14:paraId="12BA7729">
      <w:pPr>
        <w:spacing w:line="520" w:lineRule="exact"/>
        <w:ind w:firstLine="567"/>
        <w:outlineLvl w:val="1"/>
        <w:rPr>
          <w:rFonts w:eastAsia="仿宋_GB2312"/>
          <w:b/>
          <w:bCs/>
          <w:sz w:val="28"/>
          <w:szCs w:val="28"/>
        </w:rPr>
      </w:pPr>
      <w:bookmarkStart w:id="6" w:name="_Toc306265296"/>
      <w:r>
        <w:rPr>
          <w:rFonts w:hint="eastAsia" w:eastAsia="楷体_GB2312"/>
          <w:bCs/>
          <w:iCs/>
          <w:kern w:val="2"/>
          <w:sz w:val="32"/>
          <w:szCs w:val="28"/>
        </w:rPr>
        <w:t>（十一）产品的临床评价细化要求</w:t>
      </w:r>
    </w:p>
    <w:p w14:paraId="167A1CD0">
      <w:pPr>
        <w:spacing w:line="520" w:lineRule="exact"/>
        <w:ind w:firstLine="567"/>
        <w:rPr>
          <w:rFonts w:eastAsia="仿宋_GB2312"/>
          <w:sz w:val="32"/>
          <w:szCs w:val="32"/>
        </w:rPr>
      </w:pPr>
      <w:r>
        <w:rPr>
          <w:rFonts w:hint="eastAsia" w:eastAsia="仿宋_GB2312"/>
          <w:sz w:val="32"/>
          <w:szCs w:val="32"/>
        </w:rPr>
        <w:t>列入《免于进行临床试验医疗器械目录</w:t>
      </w:r>
      <w:r>
        <w:rPr>
          <w:rFonts w:eastAsia="仿宋_GB2312"/>
          <w:sz w:val="32"/>
          <w:szCs w:val="32"/>
        </w:rPr>
        <w:t>(</w:t>
      </w:r>
      <w:r>
        <w:rPr>
          <w:rFonts w:hint="eastAsia" w:eastAsia="仿宋_GB2312"/>
          <w:sz w:val="32"/>
          <w:szCs w:val="32"/>
        </w:rPr>
        <w:t>修订</w:t>
      </w:r>
      <w:r>
        <w:rPr>
          <w:rFonts w:eastAsia="仿宋_GB2312"/>
          <w:sz w:val="32"/>
          <w:szCs w:val="32"/>
        </w:rPr>
        <w:t>)</w:t>
      </w:r>
      <w:r>
        <w:rPr>
          <w:rFonts w:hint="eastAsia" w:eastAsia="仿宋_GB2312"/>
          <w:sz w:val="32"/>
          <w:szCs w:val="32"/>
        </w:rPr>
        <w:t>》（</w:t>
      </w:r>
      <w:r>
        <w:rPr>
          <w:rFonts w:eastAsia="仿宋_GB2312"/>
          <w:sz w:val="32"/>
          <w:szCs w:val="32"/>
        </w:rPr>
        <w:t>2018</w:t>
      </w:r>
      <w:r>
        <w:rPr>
          <w:rFonts w:hint="eastAsia" w:eastAsia="仿宋_GB2312"/>
          <w:sz w:val="32"/>
          <w:szCs w:val="32"/>
        </w:rPr>
        <w:t>年第</w:t>
      </w:r>
      <w:r>
        <w:rPr>
          <w:rFonts w:eastAsia="仿宋_GB2312"/>
          <w:sz w:val="32"/>
          <w:szCs w:val="32"/>
        </w:rPr>
        <w:t>94</w:t>
      </w:r>
      <w:r>
        <w:rPr>
          <w:rFonts w:hint="eastAsia" w:eastAsia="仿宋_GB2312"/>
          <w:sz w:val="32"/>
          <w:szCs w:val="32"/>
        </w:rPr>
        <w:t>号）的新生儿蓝光治疗仪，</w:t>
      </w:r>
      <w:r>
        <w:rPr>
          <w:rFonts w:eastAsia="仿宋_GB2312"/>
          <w:sz w:val="32"/>
          <w:szCs w:val="32"/>
        </w:rPr>
        <w:t>可申请免于进行临床试验</w:t>
      </w:r>
      <w:r>
        <w:rPr>
          <w:rFonts w:hint="eastAsia" w:eastAsia="仿宋_GB2312"/>
          <w:sz w:val="32"/>
          <w:szCs w:val="32"/>
        </w:rPr>
        <w:t>。注册</w:t>
      </w:r>
      <w:r>
        <w:rPr>
          <w:rFonts w:eastAsia="仿宋_GB2312"/>
          <w:sz w:val="32"/>
          <w:szCs w:val="32"/>
        </w:rPr>
        <w:t>申请人</w:t>
      </w:r>
      <w:r>
        <w:rPr>
          <w:rFonts w:hint="eastAsia" w:eastAsia="仿宋_GB2312"/>
          <w:sz w:val="32"/>
          <w:szCs w:val="32"/>
        </w:rPr>
        <w:t>参照《医疗器械临床评价技术指导原则》的要求，提交相应的临床评价资料。临床</w:t>
      </w:r>
      <w:r>
        <w:rPr>
          <w:rFonts w:eastAsia="仿宋_GB2312"/>
          <w:sz w:val="32"/>
          <w:szCs w:val="32"/>
        </w:rPr>
        <w:t>评价</w:t>
      </w:r>
      <w:r>
        <w:rPr>
          <w:rFonts w:hint="eastAsia" w:eastAsia="仿宋_GB2312"/>
          <w:sz w:val="32"/>
          <w:szCs w:val="32"/>
        </w:rPr>
        <w:t>应</w:t>
      </w:r>
      <w:r>
        <w:rPr>
          <w:rFonts w:eastAsia="仿宋_GB2312"/>
          <w:sz w:val="32"/>
          <w:szCs w:val="32"/>
        </w:rPr>
        <w:t>重点关注光源类型</w:t>
      </w:r>
      <w:r>
        <w:rPr>
          <w:rFonts w:hint="eastAsia" w:eastAsia="仿宋_GB2312"/>
          <w:sz w:val="32"/>
          <w:szCs w:val="32"/>
        </w:rPr>
        <w:t>、</w:t>
      </w:r>
      <w:r>
        <w:rPr>
          <w:rFonts w:eastAsia="仿宋_GB2312"/>
          <w:sz w:val="32"/>
          <w:szCs w:val="32"/>
        </w:rPr>
        <w:t>波段及</w:t>
      </w:r>
      <w:r>
        <w:rPr>
          <w:rFonts w:hint="eastAsia" w:eastAsia="仿宋_GB2312"/>
          <w:sz w:val="32"/>
          <w:szCs w:val="32"/>
        </w:rPr>
        <w:t>辐照</w:t>
      </w:r>
      <w:r>
        <w:rPr>
          <w:rFonts w:eastAsia="仿宋_GB2312"/>
          <w:sz w:val="32"/>
          <w:szCs w:val="32"/>
        </w:rPr>
        <w:t>度、单面光源或多面光源、光源</w:t>
      </w:r>
      <w:r>
        <w:rPr>
          <w:rFonts w:hint="eastAsia" w:eastAsia="仿宋_GB2312"/>
          <w:sz w:val="32"/>
          <w:szCs w:val="32"/>
        </w:rPr>
        <w:t>与</w:t>
      </w:r>
      <w:r>
        <w:rPr>
          <w:rFonts w:eastAsia="仿宋_GB2312"/>
          <w:sz w:val="32"/>
          <w:szCs w:val="32"/>
        </w:rPr>
        <w:t>光照对象距离、暴露</w:t>
      </w:r>
      <w:r>
        <w:rPr>
          <w:rFonts w:hint="eastAsia" w:eastAsia="仿宋_GB2312"/>
          <w:sz w:val="32"/>
          <w:szCs w:val="32"/>
        </w:rPr>
        <w:t>在</w:t>
      </w:r>
      <w:r>
        <w:rPr>
          <w:rFonts w:eastAsia="仿宋_GB2312"/>
          <w:sz w:val="32"/>
          <w:szCs w:val="32"/>
        </w:rPr>
        <w:t>光照下的体表面积及光照时间</w:t>
      </w:r>
      <w:r>
        <w:rPr>
          <w:rFonts w:hint="eastAsia" w:eastAsia="仿宋_GB2312"/>
          <w:sz w:val="32"/>
          <w:szCs w:val="32"/>
        </w:rPr>
        <w:t>等内容</w:t>
      </w:r>
      <w:r>
        <w:rPr>
          <w:rFonts w:eastAsia="仿宋_GB2312"/>
          <w:sz w:val="32"/>
          <w:szCs w:val="32"/>
        </w:rPr>
        <w:t>。</w:t>
      </w:r>
    </w:p>
    <w:p w14:paraId="4AA53C81">
      <w:pPr>
        <w:spacing w:line="540" w:lineRule="exact"/>
        <w:ind w:firstLine="640" w:firstLineChars="200"/>
        <w:rPr>
          <w:rFonts w:eastAsia="仿宋_GB2312"/>
          <w:sz w:val="32"/>
          <w:szCs w:val="32"/>
        </w:rPr>
      </w:pPr>
      <w:r>
        <w:rPr>
          <w:rFonts w:hint="eastAsia" w:eastAsia="仿宋_GB2312"/>
          <w:sz w:val="32"/>
          <w:szCs w:val="32"/>
        </w:rPr>
        <w:t>列入《目录》的产品，注册申请人需提交申报产品相关信息与《目录》所述内容的对比资料和申报产品与已获准境内注册的《目录》中医疗器械的对比说明，如相应对比说明能够证明产品与《目录》所述</w:t>
      </w:r>
      <w:r>
        <w:rPr>
          <w:rFonts w:eastAsia="仿宋_GB2312"/>
          <w:sz w:val="32"/>
          <w:szCs w:val="32"/>
        </w:rPr>
        <w:t>的</w:t>
      </w:r>
      <w:r>
        <w:rPr>
          <w:rFonts w:hint="eastAsia" w:eastAsia="仿宋_GB2312"/>
          <w:sz w:val="32"/>
          <w:szCs w:val="32"/>
        </w:rPr>
        <w:t>产品具有</w:t>
      </w:r>
      <w:r>
        <w:rPr>
          <w:rFonts w:eastAsia="仿宋_GB2312"/>
          <w:sz w:val="32"/>
          <w:szCs w:val="32"/>
        </w:rPr>
        <w:t>等同性</w:t>
      </w:r>
      <w:r>
        <w:rPr>
          <w:rFonts w:hint="eastAsia" w:eastAsia="仿宋_GB2312"/>
          <w:sz w:val="32"/>
          <w:szCs w:val="32"/>
        </w:rPr>
        <w:t>，则企业无需进行临床试验。若无法证明申报产品与《目录》产品具有等同性，则应按照《医疗器械临床评价技术审查指导原则》其他要求开展相应工作。</w:t>
      </w:r>
    </w:p>
    <w:bookmarkEnd w:id="6"/>
    <w:p w14:paraId="318403B0">
      <w:pPr>
        <w:spacing w:line="520" w:lineRule="exact"/>
        <w:ind w:firstLine="640" w:firstLineChars="200"/>
        <w:rPr>
          <w:rFonts w:eastAsia="楷体_GB2312"/>
          <w:bCs/>
          <w:iCs/>
          <w:kern w:val="2"/>
          <w:sz w:val="32"/>
          <w:szCs w:val="28"/>
        </w:rPr>
      </w:pPr>
      <w:r>
        <w:rPr>
          <w:rFonts w:hint="eastAsia" w:eastAsia="楷体_GB2312"/>
          <w:bCs/>
          <w:iCs/>
          <w:kern w:val="2"/>
          <w:sz w:val="32"/>
          <w:szCs w:val="28"/>
        </w:rPr>
        <w:t>（十二）产品的不良事件历史记录</w:t>
      </w:r>
    </w:p>
    <w:p w14:paraId="780D562D">
      <w:pPr>
        <w:spacing w:line="520" w:lineRule="exact"/>
        <w:ind w:firstLine="640" w:firstLineChars="200"/>
        <w:rPr>
          <w:rFonts w:eastAsia="仿宋_GB2312"/>
          <w:sz w:val="32"/>
          <w:szCs w:val="32"/>
        </w:rPr>
      </w:pPr>
      <w:bookmarkStart w:id="7" w:name="_Toc306265297"/>
      <w:r>
        <w:rPr>
          <w:rFonts w:hint="eastAsia" w:eastAsia="仿宋_GB2312"/>
          <w:sz w:val="32"/>
          <w:szCs w:val="32"/>
        </w:rPr>
        <w:t>有召回事件，召回的原因主要为：出厂检验参数缺项漏填参数，企业主动召回；辐照度最大值不符合标准规定，企业主动召回。</w:t>
      </w:r>
    </w:p>
    <w:bookmarkEnd w:id="7"/>
    <w:p w14:paraId="5E5358C0">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（十三）产品说明书和标签要求</w:t>
      </w:r>
    </w:p>
    <w:p w14:paraId="537CF270">
      <w:pPr>
        <w:ind w:firstLine="640" w:firstLineChars="200"/>
        <w:rPr>
          <w:rFonts w:eastAsia="仿宋_GB2312"/>
          <w:sz w:val="32"/>
          <w:szCs w:val="32"/>
        </w:rPr>
      </w:pPr>
      <w:r>
        <w:rPr>
          <w:rFonts w:hint="eastAsia" w:eastAsia="仿宋_GB2312"/>
          <w:sz w:val="32"/>
          <w:szCs w:val="32"/>
        </w:rPr>
        <w:t>产</w:t>
      </w:r>
      <w:r>
        <w:rPr>
          <w:rFonts w:eastAsia="仿宋_GB2312"/>
          <w:sz w:val="32"/>
          <w:szCs w:val="32"/>
        </w:rPr>
        <w:t>品说明书和标签应当符合《医疗器械说明书和标签管理规定》（国家食品药品监督管理总局令第6号）和GB 9706.1、YY 0505</w:t>
      </w:r>
      <w:r>
        <w:rPr>
          <w:rFonts w:hint="eastAsia" w:eastAsia="仿宋_GB2312"/>
          <w:sz w:val="32"/>
          <w:szCs w:val="32"/>
        </w:rPr>
        <w:t>、YY0669</w:t>
      </w:r>
      <w:r>
        <w:rPr>
          <w:rFonts w:eastAsia="仿宋_GB2312"/>
          <w:sz w:val="32"/>
          <w:szCs w:val="32"/>
        </w:rPr>
        <w:t>中关于说明书和标签的相关要求。</w:t>
      </w:r>
    </w:p>
    <w:p w14:paraId="7F259A5D">
      <w:pPr>
        <w:spacing w:line="520" w:lineRule="exact"/>
        <w:ind w:firstLine="640" w:firstLineChars="200"/>
        <w:outlineLvl w:val="1"/>
        <w:rPr>
          <w:rFonts w:eastAsia="楷体_GB2312"/>
          <w:bCs/>
          <w:iCs/>
          <w:kern w:val="2"/>
          <w:sz w:val="32"/>
          <w:szCs w:val="28"/>
        </w:rPr>
      </w:pPr>
      <w:r>
        <w:rPr>
          <w:rFonts w:hint="eastAsia" w:eastAsia="楷体_GB2312"/>
          <w:bCs/>
          <w:iCs/>
          <w:kern w:val="2"/>
          <w:sz w:val="32"/>
          <w:szCs w:val="28"/>
        </w:rPr>
        <w:t>（十四）产品的研究要求</w:t>
      </w:r>
    </w:p>
    <w:p w14:paraId="609FEA74">
      <w:pPr>
        <w:widowControl w:val="0"/>
        <w:numPr>
          <w:ilvl w:val="0"/>
          <w:numId w:val="5"/>
        </w:numPr>
        <w:spacing w:line="520" w:lineRule="exact"/>
        <w:jc w:val="both"/>
        <w:rPr>
          <w:rFonts w:eastAsia="仿宋_GB2312"/>
          <w:sz w:val="32"/>
          <w:szCs w:val="32"/>
        </w:rPr>
      </w:pPr>
      <w:r>
        <w:rPr>
          <w:rFonts w:eastAsia="等线"/>
          <w:sz w:val="32"/>
          <w:szCs w:val="32"/>
        </w:rPr>
        <w:t xml:space="preserve"> </w:t>
      </w:r>
      <w:r>
        <w:rPr>
          <w:rFonts w:hint="eastAsia" w:eastAsia="仿宋_GB2312"/>
          <w:sz w:val="32"/>
          <w:szCs w:val="32"/>
        </w:rPr>
        <w:t>产品性能研究</w:t>
      </w:r>
    </w:p>
    <w:p w14:paraId="71F249F7">
      <w:pPr>
        <w:spacing w:line="520" w:lineRule="exact"/>
        <w:ind w:firstLine="640" w:firstLineChars="200"/>
        <w:rPr>
          <w:rFonts w:eastAsia="仿宋_GB2312"/>
          <w:sz w:val="32"/>
          <w:szCs w:val="32"/>
        </w:rPr>
      </w:pPr>
      <w:r>
        <w:rPr>
          <w:rFonts w:hint="eastAsia" w:eastAsia="仿宋_GB2312"/>
          <w:sz w:val="32"/>
          <w:szCs w:val="32"/>
        </w:rPr>
        <w:t>应当提供产品性能研究资料以及产品技术要求的研究和编制说明，包括功能性、安全性指标以及与质量控制相关的其他指标的确定依据，所采用的标准或方法、采用的原因及理论基础。</w:t>
      </w:r>
    </w:p>
    <w:p w14:paraId="770C8329">
      <w:pPr>
        <w:widowControl w:val="0"/>
        <w:numPr>
          <w:ilvl w:val="0"/>
          <w:numId w:val="5"/>
        </w:numPr>
        <w:spacing w:line="520" w:lineRule="exact"/>
        <w:jc w:val="both"/>
        <w:rPr>
          <w:rFonts w:eastAsia="仿宋_GB2312"/>
          <w:sz w:val="32"/>
          <w:szCs w:val="32"/>
        </w:rPr>
      </w:pPr>
      <w:r>
        <w:rPr>
          <w:rFonts w:eastAsia="等线"/>
          <w:sz w:val="32"/>
          <w:szCs w:val="32"/>
        </w:rPr>
        <w:t xml:space="preserve"> </w:t>
      </w:r>
      <w:r>
        <w:rPr>
          <w:rFonts w:hint="eastAsia" w:eastAsia="仿宋_GB2312"/>
          <w:sz w:val="32"/>
          <w:szCs w:val="32"/>
        </w:rPr>
        <w:t>生物</w:t>
      </w:r>
      <w:r>
        <w:rPr>
          <w:rFonts w:eastAsia="仿宋_GB2312"/>
          <w:sz w:val="32"/>
          <w:szCs w:val="32"/>
        </w:rPr>
        <w:t>相</w:t>
      </w:r>
      <w:r>
        <w:rPr>
          <w:rFonts w:hint="eastAsia" w:eastAsia="仿宋_GB2312"/>
          <w:sz w:val="32"/>
          <w:szCs w:val="32"/>
        </w:rPr>
        <w:t>容性评价研究</w:t>
      </w:r>
    </w:p>
    <w:p w14:paraId="3610B49B">
      <w:pPr>
        <w:spacing w:line="520" w:lineRule="exact"/>
        <w:ind w:firstLine="640" w:firstLineChars="200"/>
        <w:rPr>
          <w:rFonts w:eastAsia="仿宋_GB2312"/>
          <w:sz w:val="32"/>
          <w:szCs w:val="32"/>
        </w:rPr>
      </w:pPr>
      <w:r>
        <w:rPr>
          <w:rFonts w:hint="eastAsia" w:eastAsia="仿宋_GB2312"/>
          <w:sz w:val="32"/>
          <w:szCs w:val="32"/>
        </w:rPr>
        <w:t>应对产品中与患者直接或间接接触的材料（例如接触式</w:t>
      </w:r>
      <w:r>
        <w:rPr>
          <w:rFonts w:eastAsia="仿宋_GB2312"/>
          <w:sz w:val="32"/>
          <w:szCs w:val="32"/>
        </w:rPr>
        <w:t>的光</w:t>
      </w:r>
      <w:r>
        <w:rPr>
          <w:rFonts w:hint="eastAsia" w:eastAsia="仿宋_GB2312"/>
          <w:sz w:val="32"/>
          <w:szCs w:val="32"/>
        </w:rPr>
        <w:t>垫）的生物兼容性进行评价。生物兼容性评价根据《医疗器械生物学评价</w:t>
      </w:r>
      <w:r>
        <w:rPr>
          <w:rFonts w:eastAsia="仿宋_GB2312"/>
          <w:sz w:val="32"/>
          <w:szCs w:val="32"/>
        </w:rPr>
        <w:t xml:space="preserve"> </w:t>
      </w:r>
      <w:r>
        <w:rPr>
          <w:rFonts w:hint="eastAsia" w:eastAsia="仿宋_GB2312"/>
          <w:sz w:val="32"/>
          <w:szCs w:val="32"/>
        </w:rPr>
        <w:t>第</w:t>
      </w:r>
      <w:r>
        <w:rPr>
          <w:rFonts w:eastAsia="仿宋_GB2312"/>
          <w:sz w:val="32"/>
          <w:szCs w:val="32"/>
        </w:rPr>
        <w:t>1</w:t>
      </w:r>
      <w:r>
        <w:rPr>
          <w:rFonts w:hint="eastAsia" w:eastAsia="仿宋_GB2312"/>
          <w:sz w:val="32"/>
          <w:szCs w:val="32"/>
        </w:rPr>
        <w:t>部分：评价与试验》（</w:t>
      </w:r>
      <w:r>
        <w:rPr>
          <w:rFonts w:eastAsia="仿宋_GB2312"/>
          <w:sz w:val="32"/>
          <w:szCs w:val="32"/>
        </w:rPr>
        <w:t>GB/T 16886.1-2011</w:t>
      </w:r>
      <w:r>
        <w:rPr>
          <w:rFonts w:hint="eastAsia" w:eastAsia="仿宋_GB2312"/>
          <w:sz w:val="32"/>
          <w:szCs w:val="32"/>
        </w:rPr>
        <w:t>）的标准进行。生物学评价过程中应当注重运用已有信息（包括材料、文献资料、体外和体内试验数据、临床经验）。当需要进行生物学试验时，应当由国家食品药品监督管理总局认可的、并具有相应生物学试验资质的医疗器械检测机构进行。</w:t>
      </w:r>
    </w:p>
    <w:p w14:paraId="39ED69C3">
      <w:pPr>
        <w:spacing w:line="520" w:lineRule="exact"/>
        <w:ind w:firstLine="640" w:firstLineChars="200"/>
        <w:rPr>
          <w:rFonts w:eastAsia="仿宋_GB2312"/>
          <w:sz w:val="32"/>
          <w:szCs w:val="32"/>
        </w:rPr>
      </w:pPr>
      <w:r>
        <w:rPr>
          <w:rFonts w:hint="eastAsia" w:eastAsia="仿宋_GB2312"/>
          <w:sz w:val="32"/>
          <w:szCs w:val="32"/>
        </w:rPr>
        <w:t>生物兼容性评价研究资料应当包括：</w:t>
      </w:r>
    </w:p>
    <w:p w14:paraId="63FF344E">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）生物兼容性评价的依据和方法。</w:t>
      </w:r>
    </w:p>
    <w:p w14:paraId="508685B4">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）产品所用材料的描述及与人体接触的性质。</w:t>
      </w:r>
    </w:p>
    <w:p w14:paraId="53C41D69">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）实施或豁免生物学试验的理由和论证。</w:t>
      </w:r>
    </w:p>
    <w:p w14:paraId="25A928E0">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）对于现有数据或试验结果的评价。</w:t>
      </w:r>
    </w:p>
    <w:p w14:paraId="6591EA25">
      <w:pPr>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灭菌</w:t>
      </w:r>
      <w:r>
        <w:rPr>
          <w:rFonts w:eastAsia="仿宋_GB2312"/>
          <w:sz w:val="32"/>
          <w:szCs w:val="32"/>
        </w:rPr>
        <w:t>/</w:t>
      </w:r>
      <w:r>
        <w:rPr>
          <w:rFonts w:hint="eastAsia" w:eastAsia="仿宋_GB2312"/>
          <w:sz w:val="32"/>
          <w:szCs w:val="32"/>
        </w:rPr>
        <w:t>消毒工艺研究</w:t>
      </w:r>
      <w:r>
        <w:rPr>
          <w:rFonts w:eastAsia="仿宋_GB2312"/>
          <w:sz w:val="32"/>
          <w:szCs w:val="32"/>
        </w:rPr>
        <w:t xml:space="preserve"> (</w:t>
      </w:r>
      <w:r>
        <w:rPr>
          <w:rFonts w:hint="eastAsia" w:eastAsia="仿宋_GB2312"/>
          <w:sz w:val="32"/>
          <w:szCs w:val="32"/>
        </w:rPr>
        <w:t>若适用</w:t>
      </w:r>
      <w:r>
        <w:rPr>
          <w:rFonts w:eastAsia="仿宋_GB2312"/>
          <w:sz w:val="32"/>
          <w:szCs w:val="32"/>
        </w:rPr>
        <w:t>)</w:t>
      </w:r>
    </w:p>
    <w:p w14:paraId="290E5E39">
      <w:pPr>
        <w:spacing w:line="520" w:lineRule="exact"/>
        <w:ind w:firstLine="640" w:firstLineChars="200"/>
        <w:rPr>
          <w:rFonts w:eastAsia="仿宋_GB2312"/>
          <w:sz w:val="32"/>
          <w:szCs w:val="32"/>
        </w:rPr>
      </w:pPr>
      <w:r>
        <w:rPr>
          <w:rFonts w:hint="eastAsia" w:eastAsia="仿宋_GB2312"/>
          <w:sz w:val="32"/>
          <w:szCs w:val="32"/>
        </w:rPr>
        <w:t>终端用户灭菌</w:t>
      </w:r>
      <w:r>
        <w:rPr>
          <w:rFonts w:eastAsia="仿宋_GB2312"/>
          <w:sz w:val="32"/>
          <w:szCs w:val="32"/>
        </w:rPr>
        <w:t>/</w:t>
      </w:r>
      <w:r>
        <w:rPr>
          <w:rFonts w:hint="eastAsia" w:eastAsia="仿宋_GB2312"/>
          <w:sz w:val="32"/>
          <w:szCs w:val="32"/>
        </w:rPr>
        <w:t>消毒：应当明确推荐的消毒工艺（方法和参数）以及所推荐消毒方法确定的依据。</w:t>
      </w:r>
    </w:p>
    <w:p w14:paraId="2741847B">
      <w:pPr>
        <w:spacing w:line="52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产品有效期和包装研究</w:t>
      </w:r>
    </w:p>
    <w:p w14:paraId="17841902">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）有效期的确定：应当提供产品有效期的验证报告。</w:t>
      </w:r>
    </w:p>
    <w:p w14:paraId="41C02FA7">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）应当提供光源等有限次使用部件（若适用）的使用次数验证资料。</w:t>
      </w:r>
    </w:p>
    <w:p w14:paraId="04F0EFEA">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）包装及包装完整性：在宣称的有效期内以及运输储存条件下，保持包装完整性的依据。</w:t>
      </w:r>
    </w:p>
    <w:p w14:paraId="2A309A1C">
      <w:pPr>
        <w:spacing w:line="520" w:lineRule="exact"/>
        <w:rPr>
          <w:rFonts w:eastAsia="仿宋_GB2312"/>
          <w:sz w:val="32"/>
          <w:szCs w:val="32"/>
        </w:rPr>
      </w:pPr>
      <w:r>
        <w:rPr>
          <w:rFonts w:eastAsia="仿宋_GB2312"/>
          <w:sz w:val="32"/>
          <w:szCs w:val="32"/>
        </w:rPr>
        <w:t xml:space="preserve">    5. </w:t>
      </w:r>
      <w:r>
        <w:rPr>
          <w:rFonts w:hint="eastAsia" w:eastAsia="仿宋_GB2312"/>
          <w:sz w:val="32"/>
          <w:szCs w:val="32"/>
        </w:rPr>
        <w:t>软件研究</w:t>
      </w:r>
    </w:p>
    <w:p w14:paraId="2594DD32">
      <w:pPr>
        <w:spacing w:line="520" w:lineRule="exact"/>
        <w:ind w:firstLine="640" w:firstLineChars="200"/>
        <w:rPr>
          <w:rFonts w:eastAsia="仿宋_GB2312"/>
          <w:sz w:val="32"/>
          <w:szCs w:val="32"/>
        </w:rPr>
      </w:pPr>
      <w:bookmarkStart w:id="8" w:name="_Toc306265300"/>
      <w:r>
        <w:rPr>
          <w:rFonts w:hint="eastAsia" w:eastAsia="仿宋_GB2312"/>
          <w:sz w:val="32"/>
          <w:szCs w:val="32"/>
        </w:rPr>
        <w:t>参见《医疗器械软件注册申报资料指导原则》的相关要求。</w:t>
      </w:r>
    </w:p>
    <w:p w14:paraId="66E035FD">
      <w:pPr>
        <w:spacing w:line="520" w:lineRule="exact"/>
        <w:ind w:firstLine="640" w:firstLineChars="200"/>
        <w:rPr>
          <w:rFonts w:eastAsia="仿宋_GB2312"/>
          <w:sz w:val="32"/>
          <w:szCs w:val="32"/>
        </w:rPr>
      </w:pPr>
      <w:r>
        <w:rPr>
          <w:rFonts w:eastAsia="仿宋_GB2312"/>
          <w:sz w:val="32"/>
          <w:szCs w:val="32"/>
        </w:rPr>
        <w:t xml:space="preserve">6. </w:t>
      </w:r>
      <w:r>
        <w:rPr>
          <w:rFonts w:hint="eastAsia" w:eastAsia="仿宋_GB2312"/>
          <w:sz w:val="32"/>
          <w:szCs w:val="32"/>
        </w:rPr>
        <w:t>其他</w:t>
      </w:r>
      <w:r>
        <w:rPr>
          <w:rFonts w:eastAsia="仿宋_GB2312"/>
          <w:sz w:val="32"/>
          <w:szCs w:val="32"/>
        </w:rPr>
        <w:t>研究</w:t>
      </w:r>
      <w:r>
        <w:rPr>
          <w:rFonts w:hint="eastAsia" w:eastAsia="仿宋_GB2312"/>
          <w:sz w:val="32"/>
          <w:szCs w:val="32"/>
        </w:rPr>
        <w:t>（若适用）</w:t>
      </w:r>
    </w:p>
    <w:p w14:paraId="4284281E">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蓝光泄漏的风险评价和方法。</w:t>
      </w:r>
    </w:p>
    <w:p w14:paraId="6303CE61">
      <w:pPr>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接触式设备表面温度的安全性评价和方法。</w:t>
      </w:r>
    </w:p>
    <w:p w14:paraId="24114405">
      <w:pPr>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接触式设备表面的防水测试和评价。</w:t>
      </w:r>
    </w:p>
    <w:p w14:paraId="5AF68368">
      <w:pPr>
        <w:spacing w:line="52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若该产品可于家中使用，针对使用者相关的培训和评价。</w:t>
      </w:r>
    </w:p>
    <w:bookmarkEnd w:id="8"/>
    <w:p w14:paraId="3E1C081F">
      <w:pPr>
        <w:spacing w:line="520" w:lineRule="exact"/>
        <w:ind w:firstLine="633" w:firstLineChars="198"/>
        <w:outlineLvl w:val="1"/>
        <w:rPr>
          <w:rFonts w:ascii="Arial" w:hAnsi="Arial" w:eastAsia="黑体" w:cs="Arial"/>
          <w:bCs/>
          <w:kern w:val="32"/>
          <w:sz w:val="32"/>
          <w:szCs w:val="32"/>
        </w:rPr>
      </w:pPr>
      <w:r>
        <w:rPr>
          <w:rFonts w:hint="eastAsia" w:ascii="Arial" w:hAnsi="Arial" w:eastAsia="黑体" w:cs="Arial"/>
          <w:bCs/>
          <w:kern w:val="32"/>
          <w:sz w:val="32"/>
          <w:szCs w:val="32"/>
        </w:rPr>
        <w:t>三、审查关注点</w:t>
      </w:r>
    </w:p>
    <w:p w14:paraId="547050D9">
      <w:pPr>
        <w:spacing w:line="52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 xml:space="preserve"> </w:t>
      </w:r>
      <w:r>
        <w:rPr>
          <w:rFonts w:hint="eastAsia" w:eastAsia="仿宋_GB2312"/>
          <w:sz w:val="32"/>
          <w:szCs w:val="32"/>
        </w:rPr>
        <w:t>审查产品名称时应注意产品名称中不应包含产品型号、规格，如：</w:t>
      </w:r>
      <w:r>
        <w:rPr>
          <w:rFonts w:eastAsia="仿宋_GB2312"/>
          <w:sz w:val="32"/>
          <w:szCs w:val="32"/>
        </w:rPr>
        <w:t>XXXX</w:t>
      </w:r>
      <w:r>
        <w:rPr>
          <w:rFonts w:hint="eastAsia" w:eastAsia="仿宋_GB2312"/>
          <w:sz w:val="32"/>
          <w:szCs w:val="32"/>
        </w:rPr>
        <w:t>型蓝光治疗仪。</w:t>
      </w:r>
    </w:p>
    <w:p w14:paraId="73DA6886">
      <w:pPr>
        <w:spacing w:line="52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 xml:space="preserve"> </w:t>
      </w:r>
      <w:r>
        <w:rPr>
          <w:rFonts w:hint="eastAsia" w:eastAsia="仿宋_GB2312"/>
          <w:sz w:val="32"/>
          <w:szCs w:val="32"/>
        </w:rPr>
        <w:t>审查产品技术要求时应注意性能指标和检验方法是否执行了</w:t>
      </w:r>
      <w:r>
        <w:rPr>
          <w:rFonts w:eastAsia="仿宋_GB2312"/>
          <w:sz w:val="32"/>
          <w:szCs w:val="32"/>
        </w:rPr>
        <w:t>GB 9706.1</w:t>
      </w:r>
      <w:r>
        <w:rPr>
          <w:rFonts w:hint="eastAsia" w:eastAsia="仿宋_GB2312"/>
          <w:sz w:val="32"/>
          <w:szCs w:val="32"/>
        </w:rPr>
        <w:t>、</w:t>
      </w:r>
      <w:r>
        <w:rPr>
          <w:rFonts w:eastAsia="仿宋_GB2312"/>
          <w:sz w:val="32"/>
          <w:szCs w:val="32"/>
        </w:rPr>
        <w:t>YY 0505-2012</w:t>
      </w:r>
      <w:r>
        <w:rPr>
          <w:rFonts w:hint="eastAsia" w:eastAsia="仿宋_GB2312"/>
          <w:sz w:val="32"/>
          <w:szCs w:val="32"/>
        </w:rPr>
        <w:t>、</w:t>
      </w:r>
      <w:r>
        <w:rPr>
          <w:rFonts w:eastAsia="仿宋_GB2312"/>
          <w:sz w:val="32"/>
          <w:szCs w:val="32"/>
        </w:rPr>
        <w:t>YY 0669-2008</w:t>
      </w:r>
      <w:r>
        <w:rPr>
          <w:rFonts w:hint="eastAsia" w:eastAsia="仿宋_GB2312"/>
          <w:sz w:val="32"/>
          <w:szCs w:val="32"/>
        </w:rPr>
        <w:t>的要求，是否引用了适用的强制性标准和推荐性标准。</w:t>
      </w:r>
    </w:p>
    <w:p w14:paraId="1CE8D8C3">
      <w:pPr>
        <w:spacing w:line="52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 xml:space="preserve"> </w:t>
      </w:r>
      <w:r>
        <w:rPr>
          <w:rFonts w:hint="eastAsia" w:eastAsia="仿宋_GB2312"/>
          <w:sz w:val="32"/>
          <w:szCs w:val="32"/>
        </w:rPr>
        <w:t>说明书中产品的适用范围是否明确，与临床评价结果是否相符；必须告知用户的信息和注意事项是否准确、完整，外部标识是否符合相关的要求。</w:t>
      </w:r>
    </w:p>
    <w:p w14:paraId="2BD082E3">
      <w:pPr>
        <w:spacing w:line="52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 xml:space="preserve"> </w:t>
      </w:r>
      <w:r>
        <w:rPr>
          <w:rFonts w:hint="eastAsia" w:eastAsia="仿宋_GB2312"/>
          <w:sz w:val="32"/>
          <w:szCs w:val="32"/>
        </w:rPr>
        <w:t>注册单元的划分应关注产品的结构组成和适用范围。</w:t>
      </w:r>
    </w:p>
    <w:p w14:paraId="372891B4">
      <w:pPr>
        <w:spacing w:line="5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xml:space="preserve"> </w:t>
      </w:r>
      <w:r>
        <w:rPr>
          <w:rFonts w:hint="eastAsia" w:eastAsia="仿宋_GB2312"/>
          <w:sz w:val="32"/>
          <w:szCs w:val="32"/>
        </w:rPr>
        <w:t>产品的主要风险是否列出，并通过风险控制措施使产品的剩余风险在合理可接受的程度之内。</w:t>
      </w:r>
    </w:p>
    <w:p w14:paraId="11F3CCCE">
      <w:pPr>
        <w:spacing w:line="560" w:lineRule="exact"/>
        <w:ind w:firstLine="640" w:firstLineChars="200"/>
        <w:rPr>
          <w:rFonts w:eastAsia="黑体"/>
          <w:color w:val="000000"/>
          <w:sz w:val="32"/>
          <w:szCs w:val="32"/>
        </w:rPr>
      </w:pPr>
      <w:r>
        <w:rPr>
          <w:rFonts w:hint="eastAsia" w:eastAsia="黑体"/>
          <w:color w:val="000000"/>
          <w:sz w:val="32"/>
          <w:szCs w:val="32"/>
        </w:rPr>
        <w:t>四</w:t>
      </w:r>
      <w:r>
        <w:rPr>
          <w:rFonts w:eastAsia="黑体"/>
          <w:color w:val="000000"/>
          <w:sz w:val="32"/>
          <w:szCs w:val="32"/>
        </w:rPr>
        <w:t>、编写单位</w:t>
      </w:r>
    </w:p>
    <w:p w14:paraId="5104A552">
      <w:pPr>
        <w:spacing w:line="560" w:lineRule="exact"/>
        <w:ind w:firstLine="640" w:firstLineChars="200"/>
        <w:rPr>
          <w:rFonts w:eastAsia="仿宋_GB2312"/>
          <w:color w:val="000000"/>
          <w:sz w:val="32"/>
          <w:szCs w:val="32"/>
        </w:rPr>
      </w:pPr>
      <w:r>
        <w:rPr>
          <w:rFonts w:hint="eastAsia" w:eastAsia="仿宋_GB2312"/>
          <w:color w:val="000000"/>
          <w:sz w:val="32"/>
          <w:szCs w:val="32"/>
        </w:rPr>
        <w:t>广东省药品监督管理局审评认证中心</w:t>
      </w:r>
      <w:r>
        <w:rPr>
          <w:rFonts w:eastAsia="仿宋_GB2312"/>
          <w:color w:val="000000"/>
          <w:sz w:val="32"/>
          <w:szCs w:val="32"/>
        </w:rPr>
        <w:t>。</w:t>
      </w:r>
    </w:p>
    <w:p w14:paraId="1256C257">
      <w:pPr>
        <w:spacing w:line="520" w:lineRule="exact"/>
        <w:ind w:firstLine="640" w:firstLineChars="200"/>
        <w:rPr>
          <w:rFonts w:eastAsia="仿宋_GB2312"/>
          <w:sz w:val="32"/>
          <w:szCs w:val="32"/>
        </w:rPr>
      </w:pPr>
    </w:p>
    <w:p w14:paraId="6449A70D">
      <w:pPr>
        <w:spacing w:line="520" w:lineRule="exact"/>
        <w:ind w:firstLine="640" w:firstLineChars="200"/>
        <w:rPr>
          <w:rFonts w:eastAsia="仿宋_GB2312"/>
          <w:sz w:val="32"/>
          <w:szCs w:val="32"/>
        </w:rPr>
      </w:pPr>
    </w:p>
    <w:p w14:paraId="673A87A6">
      <w:pPr>
        <w:spacing w:line="520" w:lineRule="exact"/>
        <w:ind w:firstLine="640" w:firstLineChars="200"/>
        <w:rPr>
          <w:rFonts w:eastAsia="仿宋_GB2312"/>
          <w:sz w:val="32"/>
          <w:szCs w:val="32"/>
        </w:rPr>
      </w:pPr>
    </w:p>
    <w:p w14:paraId="5726A48C">
      <w:pPr>
        <w:spacing w:line="520" w:lineRule="exact"/>
        <w:ind w:firstLine="640" w:firstLineChars="200"/>
        <w:rPr>
          <w:rFonts w:eastAsia="仿宋_GB2312"/>
          <w:sz w:val="32"/>
          <w:szCs w:val="32"/>
        </w:rPr>
      </w:pPr>
    </w:p>
    <w:p w14:paraId="4447ACBE">
      <w:pPr>
        <w:spacing w:line="520" w:lineRule="exact"/>
        <w:ind w:firstLine="640" w:firstLineChars="200"/>
        <w:rPr>
          <w:rFonts w:eastAsia="仿宋_GB2312"/>
          <w:sz w:val="32"/>
          <w:szCs w:val="32"/>
        </w:rPr>
      </w:pPr>
    </w:p>
    <w:p w14:paraId="56238D84">
      <w:pPr>
        <w:spacing w:line="520" w:lineRule="exact"/>
        <w:ind w:firstLine="640" w:firstLineChars="200"/>
        <w:rPr>
          <w:rFonts w:eastAsia="仿宋_GB2312"/>
          <w:sz w:val="32"/>
          <w:szCs w:val="32"/>
        </w:rPr>
      </w:pPr>
    </w:p>
    <w:p w14:paraId="0F228A51">
      <w:pPr>
        <w:spacing w:line="520" w:lineRule="exact"/>
        <w:ind w:firstLine="640" w:firstLineChars="200"/>
        <w:rPr>
          <w:rFonts w:eastAsia="仿宋_GB2312"/>
          <w:sz w:val="32"/>
          <w:szCs w:val="32"/>
        </w:rPr>
      </w:pPr>
    </w:p>
    <w:p w14:paraId="0F712DEB">
      <w:pPr>
        <w:spacing w:line="520" w:lineRule="exact"/>
        <w:ind w:firstLine="640" w:firstLineChars="200"/>
        <w:rPr>
          <w:rFonts w:eastAsia="仿宋_GB2312"/>
          <w:sz w:val="32"/>
          <w:szCs w:val="32"/>
        </w:rPr>
      </w:pPr>
    </w:p>
    <w:p w14:paraId="16D6B472">
      <w:pPr>
        <w:spacing w:line="520" w:lineRule="exact"/>
        <w:ind w:firstLine="640" w:firstLineChars="200"/>
        <w:rPr>
          <w:rFonts w:eastAsia="仿宋_GB2312"/>
          <w:sz w:val="32"/>
          <w:szCs w:val="32"/>
        </w:rPr>
      </w:pPr>
    </w:p>
    <w:p w14:paraId="7AF03A65">
      <w:pPr>
        <w:spacing w:line="520" w:lineRule="exact"/>
        <w:ind w:firstLine="640" w:firstLineChars="200"/>
        <w:rPr>
          <w:rFonts w:eastAsia="仿宋_GB2312"/>
          <w:sz w:val="32"/>
          <w:szCs w:val="32"/>
        </w:rPr>
      </w:pPr>
    </w:p>
    <w:p w14:paraId="143469CC">
      <w:pPr>
        <w:spacing w:line="520" w:lineRule="exact"/>
        <w:ind w:firstLine="640" w:firstLineChars="200"/>
        <w:rPr>
          <w:rFonts w:eastAsia="仿宋_GB2312"/>
          <w:sz w:val="32"/>
          <w:szCs w:val="32"/>
        </w:rPr>
      </w:pPr>
    </w:p>
    <w:p w14:paraId="4EA3F15B">
      <w:pPr>
        <w:spacing w:line="520" w:lineRule="exact"/>
        <w:ind w:firstLine="640" w:firstLineChars="200"/>
        <w:rPr>
          <w:rFonts w:eastAsia="仿宋_GB2312"/>
          <w:sz w:val="32"/>
          <w:szCs w:val="32"/>
        </w:rPr>
      </w:pPr>
    </w:p>
    <w:p w14:paraId="17262478">
      <w:pPr>
        <w:spacing w:line="520" w:lineRule="exact"/>
        <w:ind w:firstLine="640" w:firstLineChars="200"/>
        <w:rPr>
          <w:rFonts w:eastAsia="仿宋_GB2312"/>
          <w:sz w:val="32"/>
          <w:szCs w:val="32"/>
        </w:rPr>
      </w:pPr>
    </w:p>
    <w:p w14:paraId="7A604E77">
      <w:pPr>
        <w:spacing w:line="520" w:lineRule="exact"/>
        <w:ind w:firstLine="640" w:firstLineChars="200"/>
        <w:rPr>
          <w:rFonts w:eastAsia="仿宋_GB2312"/>
          <w:sz w:val="32"/>
          <w:szCs w:val="32"/>
        </w:rPr>
      </w:pPr>
    </w:p>
    <w:p w14:paraId="51408C30">
      <w:pPr>
        <w:spacing w:line="520" w:lineRule="exact"/>
        <w:ind w:firstLine="640" w:firstLineChars="200"/>
        <w:rPr>
          <w:rFonts w:eastAsia="仿宋_GB2312"/>
          <w:sz w:val="32"/>
          <w:szCs w:val="32"/>
        </w:rPr>
      </w:pPr>
    </w:p>
    <w:p w14:paraId="5B9C4944">
      <w:pPr>
        <w:spacing w:line="520" w:lineRule="exact"/>
        <w:ind w:firstLine="640" w:firstLineChars="200"/>
        <w:rPr>
          <w:rFonts w:eastAsia="仿宋_GB2312"/>
          <w:sz w:val="32"/>
          <w:szCs w:val="32"/>
        </w:rPr>
      </w:pPr>
    </w:p>
    <w:p w14:paraId="5E25820E">
      <w:pPr>
        <w:spacing w:line="520" w:lineRule="exact"/>
        <w:ind w:firstLine="640" w:firstLineChars="200"/>
        <w:rPr>
          <w:rFonts w:eastAsia="仿宋_GB2312"/>
          <w:sz w:val="32"/>
          <w:szCs w:val="32"/>
        </w:rPr>
      </w:pPr>
    </w:p>
    <w:p w14:paraId="7B019E00">
      <w:pPr>
        <w:spacing w:line="520" w:lineRule="exact"/>
        <w:ind w:firstLine="640" w:firstLineChars="200"/>
        <w:rPr>
          <w:rFonts w:eastAsia="仿宋_GB2312"/>
          <w:sz w:val="32"/>
          <w:szCs w:val="32"/>
        </w:rPr>
      </w:pPr>
    </w:p>
    <w:p w14:paraId="4EFC7D46">
      <w:pPr>
        <w:spacing w:line="520" w:lineRule="exact"/>
        <w:ind w:firstLine="640" w:firstLineChars="200"/>
        <w:rPr>
          <w:rFonts w:eastAsia="仿宋_GB2312"/>
          <w:sz w:val="32"/>
          <w:szCs w:val="32"/>
        </w:rPr>
      </w:pPr>
    </w:p>
    <w:p w14:paraId="3CE67F41">
      <w:pPr>
        <w:spacing w:line="520" w:lineRule="exact"/>
        <w:ind w:firstLine="640" w:firstLineChars="200"/>
        <w:rPr>
          <w:rFonts w:eastAsia="仿宋_GB2312"/>
          <w:sz w:val="32"/>
          <w:szCs w:val="32"/>
        </w:rPr>
      </w:pPr>
    </w:p>
    <w:p w14:paraId="10C9F865">
      <w:pPr>
        <w:spacing w:line="520" w:lineRule="exact"/>
        <w:ind w:firstLine="640" w:firstLineChars="200"/>
        <w:rPr>
          <w:rFonts w:eastAsia="仿宋_GB2312"/>
          <w:sz w:val="32"/>
          <w:szCs w:val="32"/>
        </w:rPr>
      </w:pPr>
    </w:p>
    <w:p w14:paraId="313544BE">
      <w:pPr>
        <w:spacing w:line="520" w:lineRule="exact"/>
        <w:rPr>
          <w:rFonts w:eastAsia="仿宋_GB2312"/>
          <w:sz w:val="32"/>
          <w:szCs w:val="32"/>
        </w:rPr>
      </w:pPr>
    </w:p>
    <w:p w14:paraId="6F12FCAD">
      <w:pPr>
        <w:spacing w:line="520" w:lineRule="exact"/>
        <w:jc w:val="center"/>
        <w:rPr>
          <w:rFonts w:eastAsia="仿宋_GB2312"/>
          <w:color w:val="000000"/>
          <w:kern w:val="2"/>
          <w:sz w:val="32"/>
          <w:szCs w:val="32"/>
        </w:rPr>
      </w:pPr>
      <w:r>
        <w:rPr>
          <w:rFonts w:hint="eastAsia" w:eastAsia="仿宋_GB2312"/>
          <w:color w:val="000000"/>
          <w:kern w:val="2"/>
          <w:sz w:val="32"/>
          <w:szCs w:val="32"/>
        </w:rPr>
        <w:t>新生儿蓝光治疗仪产品注册技术指导原则编写说明</w:t>
      </w:r>
    </w:p>
    <w:p w14:paraId="4674687E">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一、指导原则编写的原则</w:t>
      </w:r>
    </w:p>
    <w:p w14:paraId="7AD9761F">
      <w:pPr>
        <w:spacing w:line="520" w:lineRule="exact"/>
        <w:ind w:firstLine="640" w:firstLineChars="200"/>
        <w:rPr>
          <w:rFonts w:eastAsia="仿宋_GB2312"/>
          <w:color w:val="000000"/>
          <w:kern w:val="2"/>
          <w:sz w:val="32"/>
          <w:szCs w:val="32"/>
        </w:rPr>
      </w:pPr>
      <w:r>
        <w:rPr>
          <w:rFonts w:eastAsia="仿宋_GB2312"/>
          <w:color w:val="000000"/>
          <w:kern w:val="2"/>
          <w:sz w:val="32"/>
          <w:szCs w:val="32"/>
        </w:rPr>
        <w:t xml:space="preserve">1. </w:t>
      </w:r>
      <w:r>
        <w:rPr>
          <w:rFonts w:hint="eastAsia" w:eastAsia="仿宋_GB2312"/>
          <w:color w:val="000000"/>
          <w:kern w:val="2"/>
          <w:sz w:val="32"/>
          <w:szCs w:val="32"/>
        </w:rPr>
        <w:t>本指导原则编写的目的是用于指导和规范新生儿蓝光治疗仪注册申报过程中审评人员对注册材料的技术审评。</w:t>
      </w:r>
    </w:p>
    <w:p w14:paraId="039586FD">
      <w:pPr>
        <w:spacing w:line="520" w:lineRule="exact"/>
        <w:ind w:firstLine="640" w:firstLineChars="200"/>
        <w:rPr>
          <w:rFonts w:eastAsia="仿宋_GB2312"/>
          <w:color w:val="000000"/>
          <w:kern w:val="2"/>
          <w:sz w:val="32"/>
          <w:szCs w:val="32"/>
        </w:rPr>
      </w:pPr>
      <w:r>
        <w:rPr>
          <w:rFonts w:eastAsia="仿宋_GB2312"/>
          <w:color w:val="000000"/>
          <w:kern w:val="2"/>
          <w:sz w:val="32"/>
          <w:szCs w:val="32"/>
        </w:rPr>
        <w:t xml:space="preserve">2. </w:t>
      </w:r>
      <w:r>
        <w:rPr>
          <w:rFonts w:hint="eastAsia" w:eastAsia="仿宋_GB2312"/>
          <w:color w:val="000000"/>
          <w:kern w:val="2"/>
          <w:sz w:val="32"/>
          <w:szCs w:val="32"/>
        </w:rPr>
        <w:t>本指导原则旨在让初次接触该类产品的注册审评人员对产品原理、结构、主要性能、适用范围等各个方面有个基本了解，同时让技术审评人员在产品注册技术审评时把握基本要求和尺度，以确保产品的安全、有效。</w:t>
      </w:r>
    </w:p>
    <w:p w14:paraId="1A6857FA">
      <w:pPr>
        <w:spacing w:line="520" w:lineRule="exact"/>
        <w:ind w:firstLine="640" w:firstLineChars="200"/>
        <w:rPr>
          <w:rFonts w:eastAsia="仿宋_GB2312"/>
          <w:color w:val="000000"/>
          <w:kern w:val="2"/>
          <w:sz w:val="32"/>
          <w:szCs w:val="32"/>
        </w:rPr>
      </w:pPr>
      <w:r>
        <w:rPr>
          <w:rFonts w:eastAsia="仿宋_GB2312"/>
          <w:color w:val="000000"/>
          <w:kern w:val="2"/>
          <w:sz w:val="32"/>
          <w:szCs w:val="32"/>
        </w:rPr>
        <w:t>3.</w:t>
      </w:r>
      <w:r>
        <w:rPr>
          <w:rFonts w:hint="eastAsia" w:eastAsia="仿宋_GB2312"/>
          <w:color w:val="000000"/>
          <w:kern w:val="2"/>
          <w:sz w:val="32"/>
          <w:szCs w:val="32"/>
        </w:rPr>
        <w:t>由于编写时间和技术条件的限制，本技术指导原则规范的新生儿蓝光治疗仪的适用范围限制如下：</w:t>
      </w:r>
    </w:p>
    <w:p w14:paraId="3003D0E9">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适用范围：</w:t>
      </w:r>
    </w:p>
    <w:p w14:paraId="1D72523D">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用于新生儿高胆红素血症的治疗，并需由医生处方使用。</w:t>
      </w:r>
    </w:p>
    <w:p w14:paraId="45C9AE99">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禁忌症：</w:t>
      </w:r>
    </w:p>
    <w:p w14:paraId="653C0583">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w:t>
      </w:r>
      <w:r>
        <w:rPr>
          <w:rFonts w:eastAsia="仿宋_GB2312"/>
          <w:color w:val="000000"/>
          <w:kern w:val="2"/>
          <w:sz w:val="32"/>
          <w:szCs w:val="32"/>
        </w:rPr>
        <w:t>1</w:t>
      </w:r>
      <w:r>
        <w:rPr>
          <w:rFonts w:hint="eastAsia" w:eastAsia="仿宋_GB2312"/>
          <w:color w:val="000000"/>
          <w:kern w:val="2"/>
          <w:sz w:val="32"/>
          <w:szCs w:val="32"/>
        </w:rPr>
        <w:t>）正在服用光敏药物</w:t>
      </w:r>
    </w:p>
    <w:p w14:paraId="4AAC5BF0">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w:t>
      </w:r>
      <w:r>
        <w:rPr>
          <w:rFonts w:eastAsia="仿宋_GB2312"/>
          <w:color w:val="000000"/>
          <w:kern w:val="2"/>
          <w:sz w:val="32"/>
          <w:szCs w:val="32"/>
        </w:rPr>
        <w:t>2</w:t>
      </w:r>
      <w:r>
        <w:rPr>
          <w:rFonts w:hint="eastAsia" w:eastAsia="仿宋_GB2312"/>
          <w:color w:val="000000"/>
          <w:kern w:val="2"/>
          <w:sz w:val="32"/>
          <w:szCs w:val="32"/>
        </w:rPr>
        <w:t>）先天性红细胞生成性卟啉症或卟啉症家族史</w:t>
      </w:r>
    </w:p>
    <w:p w14:paraId="514FEEDD">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w:t>
      </w:r>
      <w:r>
        <w:rPr>
          <w:rFonts w:eastAsia="仿宋_GB2312"/>
          <w:color w:val="000000"/>
          <w:kern w:val="2"/>
          <w:sz w:val="32"/>
          <w:szCs w:val="32"/>
        </w:rPr>
        <w:t>3</w:t>
      </w:r>
      <w:r>
        <w:rPr>
          <w:rFonts w:hint="eastAsia" w:eastAsia="仿宋_GB2312"/>
          <w:color w:val="000000"/>
          <w:kern w:val="2"/>
          <w:sz w:val="32"/>
          <w:szCs w:val="32"/>
        </w:rPr>
        <w:t>）直接胆红素升高为主的高胆红素血症</w:t>
      </w:r>
    </w:p>
    <w:p w14:paraId="429EAA3F">
      <w:pPr>
        <w:spacing w:line="520" w:lineRule="exact"/>
        <w:rPr>
          <w:rFonts w:eastAsia="仿宋_GB2312"/>
          <w:color w:val="000000"/>
          <w:kern w:val="2"/>
          <w:sz w:val="32"/>
          <w:szCs w:val="32"/>
        </w:rPr>
      </w:pPr>
      <w:r>
        <w:rPr>
          <w:rFonts w:hint="eastAsia" w:eastAsia="仿宋_GB2312"/>
          <w:color w:val="000000"/>
          <w:kern w:val="2"/>
          <w:sz w:val="32"/>
          <w:szCs w:val="32"/>
        </w:rPr>
        <w:t xml:space="preserve">    二、指导原则编写过程中有关内容的考虑</w:t>
      </w:r>
    </w:p>
    <w:p w14:paraId="47172052">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1．本指导原则适用范围中，对新生儿黄疸治疗用蓝光的光波长界定参考了我国第五版《实用新生儿学》中对于光照疗法产品的划分原则。</w:t>
      </w:r>
    </w:p>
    <w:p w14:paraId="402B0DE9">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2．关于辐照强度参数，行业标准采用总辐照度表达，单位为</w:t>
      </w:r>
      <w:r>
        <w:rPr>
          <w:rFonts w:eastAsia="仿宋_GB2312"/>
          <w:color w:val="000000"/>
          <w:kern w:val="2"/>
          <w:sz w:val="32"/>
          <w:szCs w:val="32"/>
        </w:rPr>
        <w:t>μW</w:t>
      </w:r>
      <w:r>
        <w:rPr>
          <w:rFonts w:hint="eastAsia" w:eastAsia="仿宋_GB2312"/>
          <w:color w:val="000000"/>
          <w:kern w:val="2"/>
          <w:sz w:val="32"/>
          <w:szCs w:val="32"/>
        </w:rPr>
        <w:t>/</w:t>
      </w:r>
      <w:r>
        <w:rPr>
          <w:rFonts w:eastAsia="仿宋_GB2312"/>
          <w:color w:val="000000"/>
          <w:kern w:val="2"/>
          <w:sz w:val="32"/>
          <w:szCs w:val="32"/>
        </w:rPr>
        <w:t>cm2</w:t>
      </w:r>
      <w:r>
        <w:rPr>
          <w:rFonts w:hint="eastAsia" w:eastAsia="仿宋_GB2312"/>
          <w:color w:val="000000"/>
          <w:kern w:val="2"/>
          <w:sz w:val="32"/>
          <w:szCs w:val="32"/>
        </w:rPr>
        <w:t>或</w:t>
      </w:r>
      <w:r>
        <w:rPr>
          <w:rFonts w:eastAsia="仿宋_GB2312"/>
          <w:color w:val="000000"/>
          <w:kern w:val="2"/>
          <w:sz w:val="32"/>
          <w:szCs w:val="32"/>
        </w:rPr>
        <w:t>W</w:t>
      </w:r>
      <w:r>
        <w:rPr>
          <w:rFonts w:hint="eastAsia" w:eastAsia="仿宋_GB2312"/>
          <w:color w:val="000000"/>
          <w:kern w:val="2"/>
          <w:sz w:val="32"/>
          <w:szCs w:val="32"/>
        </w:rPr>
        <w:t>/</w:t>
      </w:r>
      <w:r>
        <w:rPr>
          <w:rFonts w:eastAsia="仿宋_GB2312"/>
          <w:color w:val="000000"/>
          <w:kern w:val="2"/>
          <w:sz w:val="32"/>
          <w:szCs w:val="32"/>
        </w:rPr>
        <w:t>m2</w:t>
      </w:r>
      <w:r>
        <w:rPr>
          <w:rFonts w:hint="eastAsia" w:eastAsia="仿宋_GB2312"/>
          <w:color w:val="000000"/>
          <w:kern w:val="2"/>
          <w:sz w:val="32"/>
          <w:szCs w:val="32"/>
        </w:rPr>
        <w:t>，而临床上通常</w:t>
      </w:r>
      <w:r>
        <w:rPr>
          <w:rFonts w:eastAsia="仿宋_GB2312"/>
          <w:color w:val="000000"/>
          <w:kern w:val="2"/>
          <w:sz w:val="32"/>
          <w:szCs w:val="32"/>
        </w:rPr>
        <w:t>采用</w:t>
      </w:r>
      <w:r>
        <w:rPr>
          <w:rFonts w:hint="eastAsia" w:eastAsia="仿宋_GB2312"/>
          <w:color w:val="000000"/>
          <w:kern w:val="2"/>
          <w:sz w:val="32"/>
          <w:szCs w:val="32"/>
        </w:rPr>
        <w:t>辐照度表达，单位为</w:t>
      </w:r>
      <w:r>
        <w:rPr>
          <w:rFonts w:eastAsia="仿宋_GB2312"/>
          <w:color w:val="000000"/>
          <w:kern w:val="2"/>
          <w:sz w:val="32"/>
          <w:szCs w:val="32"/>
        </w:rPr>
        <w:t>μW</w:t>
      </w:r>
      <w:r>
        <w:rPr>
          <w:rFonts w:hint="eastAsia" w:eastAsia="仿宋_GB2312"/>
          <w:color w:val="000000"/>
          <w:kern w:val="2"/>
          <w:sz w:val="32"/>
          <w:szCs w:val="32"/>
        </w:rPr>
        <w:t>/</w:t>
      </w:r>
      <w:r>
        <w:rPr>
          <w:rFonts w:eastAsia="仿宋_GB2312"/>
          <w:color w:val="000000"/>
          <w:kern w:val="2"/>
          <w:sz w:val="32"/>
          <w:szCs w:val="32"/>
        </w:rPr>
        <w:t>(cm2·nm)</w:t>
      </w:r>
      <w:r>
        <w:rPr>
          <w:rFonts w:hint="eastAsia" w:eastAsia="仿宋_GB2312"/>
          <w:color w:val="000000"/>
          <w:kern w:val="2"/>
          <w:sz w:val="32"/>
          <w:szCs w:val="32"/>
        </w:rPr>
        <w:t>，两者存在积分关系。考虑到两者都有合理性，本指导原则第（八）章2.1条款</w:t>
      </w:r>
      <w:r>
        <w:rPr>
          <w:rFonts w:eastAsia="仿宋_GB2312"/>
          <w:color w:val="000000"/>
          <w:kern w:val="2"/>
          <w:sz w:val="32"/>
          <w:szCs w:val="32"/>
        </w:rPr>
        <w:t>，</w:t>
      </w:r>
      <w:r>
        <w:rPr>
          <w:rFonts w:hint="eastAsia" w:eastAsia="仿宋_GB2312"/>
          <w:color w:val="000000"/>
          <w:kern w:val="2"/>
          <w:sz w:val="32"/>
          <w:szCs w:val="32"/>
        </w:rPr>
        <w:t>不限制表达</w:t>
      </w:r>
      <w:r>
        <w:rPr>
          <w:rFonts w:eastAsia="仿宋_GB2312"/>
          <w:color w:val="000000"/>
          <w:kern w:val="2"/>
          <w:sz w:val="32"/>
          <w:szCs w:val="32"/>
        </w:rPr>
        <w:t>形式，但仍需</w:t>
      </w:r>
      <w:r>
        <w:rPr>
          <w:rFonts w:hint="eastAsia" w:eastAsia="仿宋_GB2312"/>
          <w:color w:val="000000"/>
          <w:kern w:val="2"/>
          <w:sz w:val="32"/>
          <w:szCs w:val="32"/>
        </w:rPr>
        <w:t>评估是否</w:t>
      </w:r>
      <w:r>
        <w:rPr>
          <w:rFonts w:eastAsia="仿宋_GB2312"/>
          <w:color w:val="000000"/>
          <w:kern w:val="2"/>
          <w:sz w:val="32"/>
          <w:szCs w:val="32"/>
        </w:rPr>
        <w:t>至少</w:t>
      </w:r>
      <w:r>
        <w:rPr>
          <w:rFonts w:hint="eastAsia" w:eastAsia="仿宋_GB2312"/>
          <w:color w:val="000000"/>
          <w:kern w:val="2"/>
          <w:sz w:val="32"/>
          <w:szCs w:val="32"/>
        </w:rPr>
        <w:t>达到</w:t>
      </w:r>
      <w:r>
        <w:rPr>
          <w:rFonts w:eastAsia="仿宋_GB2312"/>
          <w:color w:val="000000"/>
          <w:kern w:val="2"/>
          <w:sz w:val="32"/>
          <w:szCs w:val="32"/>
        </w:rPr>
        <w:t>标准光疗要求。</w:t>
      </w:r>
    </w:p>
    <w:p w14:paraId="1DFD8FB5">
      <w:pPr>
        <w:spacing w:line="520" w:lineRule="exact"/>
        <w:ind w:firstLine="640" w:firstLineChars="200"/>
        <w:rPr>
          <w:rFonts w:eastAsia="仿宋_GB2312"/>
          <w:color w:val="000000"/>
          <w:kern w:val="2"/>
          <w:sz w:val="32"/>
          <w:szCs w:val="32"/>
        </w:rPr>
      </w:pPr>
      <w:r>
        <w:rPr>
          <w:rFonts w:hint="eastAsia" w:eastAsia="仿宋_GB2312"/>
          <w:color w:val="000000"/>
          <w:kern w:val="2"/>
          <w:sz w:val="32"/>
          <w:szCs w:val="32"/>
        </w:rPr>
        <w:t>3．目前市场上的新生儿蓝光治疗仪结构形式众多，本指导原则仅对部分常见的结构形式进行了举例，但不意味着限制其他结构形式的产品发展。同时，这些产品也应参考本指导原则的适用部分。</w:t>
      </w:r>
    </w:p>
    <w:p w14:paraId="2745552E">
      <w:pPr>
        <w:suppressLineNumbers/>
        <w:spacing w:line="600" w:lineRule="exact"/>
        <w:rPr>
          <w:rFonts w:hint="eastAsia" w:eastAsia="宋体"/>
          <w:lang w:eastAsia="zh-CN"/>
        </w:rPr>
      </w:pPr>
    </w:p>
    <w:p w14:paraId="1AE756FA">
      <w:pPr>
        <w:suppressLineNumbers/>
        <w:spacing w:line="600" w:lineRule="exact"/>
        <w:jc w:val="center"/>
        <w:rPr>
          <w:rFonts w:hint="eastAsia" w:eastAsia="宋体"/>
          <w:lang w:eastAsia="zh-CN"/>
        </w:rPr>
      </w:pPr>
    </w:p>
    <w:p w14:paraId="7BA175A0">
      <w:pPr>
        <w:suppressLineNumbers/>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077"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Normale">
    <w:altName w:val="Arial"/>
    <w:panose1 w:val="00000000000000000000"/>
    <w:charset w:val="00"/>
    <w:family w:val="swiss"/>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4081712"/>
      <w:docPartObj>
        <w:docPartGallery w:val="AutoText"/>
      </w:docPartObj>
    </w:sdtPr>
    <w:sdtContent>
      <w:sdt>
        <w:sdtPr>
          <w:id w:val="1728636285"/>
          <w:docPartObj>
            <w:docPartGallery w:val="AutoText"/>
          </w:docPartObj>
        </w:sdtPr>
        <w:sdtContent>
          <w:p w14:paraId="67490438">
            <w:pPr>
              <w:pStyle w:val="11"/>
              <w:spacing w:before="120" w:after="12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7EC78B9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004C4"/>
    <w:multiLevelType w:val="multilevel"/>
    <w:tmpl w:val="176004C4"/>
    <w:lvl w:ilvl="0" w:tentative="0">
      <w:start w:val="1"/>
      <w:numFmt w:val="decimal"/>
      <w:lvlText w:val="（%1）"/>
      <w:lvlJc w:val="left"/>
      <w:pPr>
        <w:ind w:left="1720" w:hanging="1080"/>
      </w:pPr>
      <w:rPr>
        <w:rFonts w:hint="default"/>
      </w:rPr>
    </w:lvl>
    <w:lvl w:ilvl="1" w:tentative="0">
      <w:start w:val="2"/>
      <w:numFmt w:val="japaneseCounting"/>
      <w:lvlText w:val="（%2）"/>
      <w:lvlJc w:val="left"/>
      <w:pPr>
        <w:ind w:left="2005" w:hanging="945"/>
      </w:pPr>
      <w:rPr>
        <w:rFonts w:hint="default"/>
        <w:sz w:val="32"/>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ED606FE"/>
    <w:multiLevelType w:val="multilevel"/>
    <w:tmpl w:val="2ED606FE"/>
    <w:lvl w:ilvl="0" w:tentative="0">
      <w:start w:val="1"/>
      <w:numFmt w:val="decimal"/>
      <w:lvlText w:val="%1."/>
      <w:lvlJc w:val="left"/>
      <w:pPr>
        <w:ind w:left="920" w:hanging="360"/>
      </w:pPr>
      <w:rPr>
        <w:rFonts w:hint="default"/>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2">
    <w:nsid w:val="31A8268C"/>
    <w:multiLevelType w:val="multilevel"/>
    <w:tmpl w:val="31A8268C"/>
    <w:lvl w:ilvl="0" w:tentative="0">
      <w:start w:val="1"/>
      <w:numFmt w:val="decimal"/>
      <w:lvlText w:val="%1."/>
      <w:lvlJc w:val="left"/>
      <w:pPr>
        <w:ind w:left="920" w:hanging="360"/>
      </w:pPr>
      <w:rPr>
        <w:rFonts w:hint="default"/>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3">
    <w:nsid w:val="58503D7C"/>
    <w:multiLevelType w:val="multilevel"/>
    <w:tmpl w:val="58503D7C"/>
    <w:lvl w:ilvl="0" w:tentative="0">
      <w:start w:val="1"/>
      <w:numFmt w:val="decimal"/>
      <w:pStyle w:val="50"/>
      <w:lvlText w:val="%1、"/>
      <w:lvlJc w:val="left"/>
      <w:pPr>
        <w:ind w:left="720" w:hanging="720"/>
      </w:pPr>
      <w:rPr>
        <w:rFonts w:cs="Times New Roman" w:asciiTheme="minorEastAsia" w:hAnsiTheme="minorEastAsia" w:eastAsiaTheme="minorEastAsia"/>
      </w:rPr>
    </w:lvl>
    <w:lvl w:ilvl="1" w:tentative="0">
      <w:start w:val="1"/>
      <w:numFmt w:val="lowerLetter"/>
      <w:pStyle w:val="45"/>
      <w:lvlText w:val="%2)"/>
      <w:lvlJc w:val="left"/>
      <w:pPr>
        <w:ind w:left="840" w:hanging="420"/>
      </w:pPr>
    </w:lvl>
    <w:lvl w:ilvl="2" w:tentative="0">
      <w:start w:val="1"/>
      <w:numFmt w:val="lowerRoman"/>
      <w:pStyle w:val="51"/>
      <w:lvlText w:val="%3."/>
      <w:lvlJc w:val="right"/>
      <w:pPr>
        <w:ind w:left="1260" w:hanging="420"/>
      </w:pPr>
    </w:lvl>
    <w:lvl w:ilvl="3" w:tentative="0">
      <w:start w:val="1"/>
      <w:numFmt w:val="decimal"/>
      <w:pStyle w:val="55"/>
      <w:lvlText w:val="%4."/>
      <w:lvlJc w:val="left"/>
      <w:pPr>
        <w:ind w:left="1680" w:hanging="420"/>
      </w:pPr>
    </w:lvl>
    <w:lvl w:ilvl="4" w:tentative="0">
      <w:start w:val="1"/>
      <w:numFmt w:val="lowerLetter"/>
      <w:pStyle w:val="54"/>
      <w:lvlText w:val="%5)"/>
      <w:lvlJc w:val="left"/>
      <w:pPr>
        <w:ind w:left="2100" w:hanging="420"/>
      </w:pPr>
    </w:lvl>
    <w:lvl w:ilvl="5" w:tentative="0">
      <w:start w:val="1"/>
      <w:numFmt w:val="lowerRoman"/>
      <w:pStyle w:val="61"/>
      <w:lvlText w:val="%6."/>
      <w:lvlJc w:val="right"/>
      <w:pPr>
        <w:ind w:left="2520" w:hanging="420"/>
      </w:pPr>
    </w:lvl>
    <w:lvl w:ilvl="6" w:tentative="0">
      <w:start w:val="1"/>
      <w:numFmt w:val="decimal"/>
      <w:pStyle w:val="52"/>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B90783"/>
    <w:multiLevelType w:val="multilevel"/>
    <w:tmpl w:val="58B90783"/>
    <w:lvl w:ilvl="0" w:tentative="0">
      <w:start w:val="1"/>
      <w:numFmt w:val="decimal"/>
      <w:lvlText w:val="%1."/>
      <w:lvlJc w:val="left"/>
      <w:pPr>
        <w:ind w:left="920" w:hanging="360"/>
      </w:pPr>
      <w:rPr>
        <w:rFonts w:hint="default"/>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3C9D"/>
    <w:rsid w:val="000068E9"/>
    <w:rsid w:val="00020B62"/>
    <w:rsid w:val="00027C97"/>
    <w:rsid w:val="00040587"/>
    <w:rsid w:val="00043CAC"/>
    <w:rsid w:val="000557C5"/>
    <w:rsid w:val="000755F6"/>
    <w:rsid w:val="0008115F"/>
    <w:rsid w:val="000860ED"/>
    <w:rsid w:val="000A7E1E"/>
    <w:rsid w:val="000B1450"/>
    <w:rsid w:val="000C547F"/>
    <w:rsid w:val="000D665C"/>
    <w:rsid w:val="000F5003"/>
    <w:rsid w:val="00104D0B"/>
    <w:rsid w:val="00110149"/>
    <w:rsid w:val="00114641"/>
    <w:rsid w:val="00127234"/>
    <w:rsid w:val="00134DF0"/>
    <w:rsid w:val="001352DA"/>
    <w:rsid w:val="001760C8"/>
    <w:rsid w:val="00192C86"/>
    <w:rsid w:val="001B192A"/>
    <w:rsid w:val="001C084D"/>
    <w:rsid w:val="001D198D"/>
    <w:rsid w:val="001D4B70"/>
    <w:rsid w:val="00203A01"/>
    <w:rsid w:val="0023752C"/>
    <w:rsid w:val="00243CE1"/>
    <w:rsid w:val="00250EE2"/>
    <w:rsid w:val="00257C0B"/>
    <w:rsid w:val="002826CA"/>
    <w:rsid w:val="002907BB"/>
    <w:rsid w:val="002B0D99"/>
    <w:rsid w:val="002B5AA9"/>
    <w:rsid w:val="002C50C6"/>
    <w:rsid w:val="002C7121"/>
    <w:rsid w:val="002D672C"/>
    <w:rsid w:val="002D684B"/>
    <w:rsid w:val="00303517"/>
    <w:rsid w:val="003069F1"/>
    <w:rsid w:val="00314D4F"/>
    <w:rsid w:val="00336B23"/>
    <w:rsid w:val="00346709"/>
    <w:rsid w:val="003505BE"/>
    <w:rsid w:val="00357002"/>
    <w:rsid w:val="00362583"/>
    <w:rsid w:val="00367138"/>
    <w:rsid w:val="00367422"/>
    <w:rsid w:val="0037276F"/>
    <w:rsid w:val="003807E0"/>
    <w:rsid w:val="00381E16"/>
    <w:rsid w:val="00387FA1"/>
    <w:rsid w:val="00393283"/>
    <w:rsid w:val="003B256D"/>
    <w:rsid w:val="003B29F8"/>
    <w:rsid w:val="003E1ADD"/>
    <w:rsid w:val="00405892"/>
    <w:rsid w:val="00422D70"/>
    <w:rsid w:val="00426A94"/>
    <w:rsid w:val="00437851"/>
    <w:rsid w:val="00445E8B"/>
    <w:rsid w:val="00453752"/>
    <w:rsid w:val="00454FE7"/>
    <w:rsid w:val="00457327"/>
    <w:rsid w:val="00467FF4"/>
    <w:rsid w:val="00474104"/>
    <w:rsid w:val="004874F0"/>
    <w:rsid w:val="004C2EAD"/>
    <w:rsid w:val="004D0225"/>
    <w:rsid w:val="004F1ABC"/>
    <w:rsid w:val="00503FDE"/>
    <w:rsid w:val="0050436B"/>
    <w:rsid w:val="0051267F"/>
    <w:rsid w:val="005335B1"/>
    <w:rsid w:val="00555D2A"/>
    <w:rsid w:val="00570334"/>
    <w:rsid w:val="00574039"/>
    <w:rsid w:val="0058356F"/>
    <w:rsid w:val="00585FFD"/>
    <w:rsid w:val="0058788F"/>
    <w:rsid w:val="005A15C7"/>
    <w:rsid w:val="005B7D19"/>
    <w:rsid w:val="005C5309"/>
    <w:rsid w:val="005C5643"/>
    <w:rsid w:val="005C7374"/>
    <w:rsid w:val="005D4E66"/>
    <w:rsid w:val="005F1EE8"/>
    <w:rsid w:val="00613C3F"/>
    <w:rsid w:val="00617F74"/>
    <w:rsid w:val="00630B57"/>
    <w:rsid w:val="00632887"/>
    <w:rsid w:val="00643422"/>
    <w:rsid w:val="00646FCF"/>
    <w:rsid w:val="006557B9"/>
    <w:rsid w:val="00665812"/>
    <w:rsid w:val="00665E5A"/>
    <w:rsid w:val="006A5418"/>
    <w:rsid w:val="006B1E00"/>
    <w:rsid w:val="006C4BA1"/>
    <w:rsid w:val="006E5C1B"/>
    <w:rsid w:val="006F025A"/>
    <w:rsid w:val="0072213C"/>
    <w:rsid w:val="00726070"/>
    <w:rsid w:val="00726F02"/>
    <w:rsid w:val="007379B2"/>
    <w:rsid w:val="007461EB"/>
    <w:rsid w:val="00761DE7"/>
    <w:rsid w:val="00766391"/>
    <w:rsid w:val="007675EA"/>
    <w:rsid w:val="00771927"/>
    <w:rsid w:val="00774259"/>
    <w:rsid w:val="00775EDF"/>
    <w:rsid w:val="0078373D"/>
    <w:rsid w:val="00794705"/>
    <w:rsid w:val="007B5F2D"/>
    <w:rsid w:val="007D5920"/>
    <w:rsid w:val="007E295B"/>
    <w:rsid w:val="007F0151"/>
    <w:rsid w:val="008321DB"/>
    <w:rsid w:val="00845160"/>
    <w:rsid w:val="00862008"/>
    <w:rsid w:val="00862D08"/>
    <w:rsid w:val="008652B0"/>
    <w:rsid w:val="00894249"/>
    <w:rsid w:val="008A2201"/>
    <w:rsid w:val="008B2CA2"/>
    <w:rsid w:val="008B4D70"/>
    <w:rsid w:val="008C06B0"/>
    <w:rsid w:val="008C31B0"/>
    <w:rsid w:val="008C4256"/>
    <w:rsid w:val="008D04C6"/>
    <w:rsid w:val="008D5C39"/>
    <w:rsid w:val="008E4D6B"/>
    <w:rsid w:val="008F03DD"/>
    <w:rsid w:val="00901B19"/>
    <w:rsid w:val="0090273F"/>
    <w:rsid w:val="00935C8D"/>
    <w:rsid w:val="00943B94"/>
    <w:rsid w:val="00944A04"/>
    <w:rsid w:val="00960E5D"/>
    <w:rsid w:val="009A274B"/>
    <w:rsid w:val="009B3F41"/>
    <w:rsid w:val="009B52BE"/>
    <w:rsid w:val="009C7242"/>
    <w:rsid w:val="009E2532"/>
    <w:rsid w:val="009E5258"/>
    <w:rsid w:val="009F776A"/>
    <w:rsid w:val="00A1052E"/>
    <w:rsid w:val="00A36BC1"/>
    <w:rsid w:val="00A37E4A"/>
    <w:rsid w:val="00A50A98"/>
    <w:rsid w:val="00A76AAC"/>
    <w:rsid w:val="00A81189"/>
    <w:rsid w:val="00A93C76"/>
    <w:rsid w:val="00AA5DAB"/>
    <w:rsid w:val="00AB05E4"/>
    <w:rsid w:val="00AB66DB"/>
    <w:rsid w:val="00AD771A"/>
    <w:rsid w:val="00AE39A5"/>
    <w:rsid w:val="00AE5C86"/>
    <w:rsid w:val="00AF7DDC"/>
    <w:rsid w:val="00B21A73"/>
    <w:rsid w:val="00B4533A"/>
    <w:rsid w:val="00B95743"/>
    <w:rsid w:val="00BB0990"/>
    <w:rsid w:val="00BD4F2D"/>
    <w:rsid w:val="00C1211B"/>
    <w:rsid w:val="00C32D2A"/>
    <w:rsid w:val="00C51E16"/>
    <w:rsid w:val="00C57217"/>
    <w:rsid w:val="00C605F6"/>
    <w:rsid w:val="00C70960"/>
    <w:rsid w:val="00C759E1"/>
    <w:rsid w:val="00C77118"/>
    <w:rsid w:val="00C90680"/>
    <w:rsid w:val="00C956A0"/>
    <w:rsid w:val="00CA5DC9"/>
    <w:rsid w:val="00CB6700"/>
    <w:rsid w:val="00CB78FB"/>
    <w:rsid w:val="00CD39BC"/>
    <w:rsid w:val="00CF4145"/>
    <w:rsid w:val="00CF504A"/>
    <w:rsid w:val="00CF75CC"/>
    <w:rsid w:val="00D124F2"/>
    <w:rsid w:val="00D152DA"/>
    <w:rsid w:val="00D472AE"/>
    <w:rsid w:val="00D50DC2"/>
    <w:rsid w:val="00D65F78"/>
    <w:rsid w:val="00D82E6C"/>
    <w:rsid w:val="00D93C9D"/>
    <w:rsid w:val="00D9650D"/>
    <w:rsid w:val="00DB42ED"/>
    <w:rsid w:val="00DC74F2"/>
    <w:rsid w:val="00DD120D"/>
    <w:rsid w:val="00E160D6"/>
    <w:rsid w:val="00E247B7"/>
    <w:rsid w:val="00E25A5D"/>
    <w:rsid w:val="00E5478D"/>
    <w:rsid w:val="00E6348E"/>
    <w:rsid w:val="00E66BAF"/>
    <w:rsid w:val="00E77DE7"/>
    <w:rsid w:val="00E81242"/>
    <w:rsid w:val="00E930EC"/>
    <w:rsid w:val="00EA3C92"/>
    <w:rsid w:val="00EA5CC9"/>
    <w:rsid w:val="00EC48D2"/>
    <w:rsid w:val="00ED08BC"/>
    <w:rsid w:val="00ED2AD4"/>
    <w:rsid w:val="00ED5F34"/>
    <w:rsid w:val="00EE5F75"/>
    <w:rsid w:val="00EF462A"/>
    <w:rsid w:val="00EF764B"/>
    <w:rsid w:val="00F05C6E"/>
    <w:rsid w:val="00F1207F"/>
    <w:rsid w:val="00F1532F"/>
    <w:rsid w:val="00F3490D"/>
    <w:rsid w:val="00F47F5E"/>
    <w:rsid w:val="00F5175A"/>
    <w:rsid w:val="00F65E86"/>
    <w:rsid w:val="00F74E84"/>
    <w:rsid w:val="00F87D7C"/>
    <w:rsid w:val="00F924C8"/>
    <w:rsid w:val="00F967D0"/>
    <w:rsid w:val="00FB0A47"/>
    <w:rsid w:val="00FD1AA3"/>
    <w:rsid w:val="00FD5D13"/>
    <w:rsid w:val="00FE27AA"/>
    <w:rsid w:val="2C9A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qFormat="1"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1"/>
    <w:basedOn w:val="1"/>
    <w:next w:val="1"/>
    <w:link w:val="30"/>
    <w:qFormat/>
    <w:uiPriority w:val="0"/>
    <w:pPr>
      <w:widowControl w:val="0"/>
      <w:spacing w:before="100" w:beforeAutospacing="1" w:after="100" w:afterAutospacing="1"/>
      <w:outlineLvl w:val="0"/>
    </w:pPr>
    <w:rPr>
      <w:rFonts w:hint="eastAsia" w:ascii="宋体" w:hAnsi="宋体"/>
      <w:b/>
      <w:kern w:val="44"/>
      <w:sz w:val="48"/>
      <w:szCs w:val="48"/>
    </w:rPr>
  </w:style>
  <w:style w:type="paragraph" w:styleId="3">
    <w:name w:val="heading 3"/>
    <w:basedOn w:val="1"/>
    <w:link w:val="31"/>
    <w:qFormat/>
    <w:uiPriority w:val="0"/>
    <w:pPr>
      <w:spacing w:before="100" w:beforeAutospacing="1" w:after="100" w:afterAutospacing="1"/>
      <w:outlineLvl w:val="2"/>
    </w:pPr>
    <w:rPr>
      <w:rFonts w:ascii="宋体" w:hAnsi="宋体" w:cs="宋体"/>
      <w:b/>
      <w:bCs/>
      <w:sz w:val="27"/>
      <w:szCs w:val="27"/>
    </w:rPr>
  </w:style>
  <w:style w:type="character" w:default="1" w:styleId="21">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Document Map"/>
    <w:basedOn w:val="1"/>
    <w:link w:val="48"/>
    <w:semiHidden/>
    <w:qFormat/>
    <w:uiPriority w:val="0"/>
    <w:pPr>
      <w:widowControl w:val="0"/>
      <w:shd w:val="clear" w:color="auto" w:fill="000080"/>
      <w:jc w:val="both"/>
    </w:pPr>
    <w:rPr>
      <w:kern w:val="2"/>
      <w:sz w:val="21"/>
      <w:szCs w:val="24"/>
    </w:rPr>
  </w:style>
  <w:style w:type="paragraph" w:styleId="5">
    <w:name w:val="annotation text"/>
    <w:basedOn w:val="1"/>
    <w:link w:val="57"/>
    <w:semiHidden/>
    <w:qFormat/>
    <w:uiPriority w:val="0"/>
    <w:pPr>
      <w:widowControl w:val="0"/>
    </w:pPr>
    <w:rPr>
      <w:kern w:val="2"/>
      <w:sz w:val="21"/>
      <w:szCs w:val="24"/>
    </w:rPr>
  </w:style>
  <w:style w:type="paragraph" w:styleId="6">
    <w:name w:val="Body Text"/>
    <w:basedOn w:val="1"/>
    <w:link w:val="43"/>
    <w:uiPriority w:val="0"/>
    <w:pPr>
      <w:widowControl w:val="0"/>
      <w:spacing w:after="120"/>
      <w:jc w:val="both"/>
    </w:pPr>
    <w:rPr>
      <w:kern w:val="2"/>
      <w:sz w:val="21"/>
      <w:szCs w:val="24"/>
    </w:rPr>
  </w:style>
  <w:style w:type="paragraph" w:styleId="7">
    <w:name w:val="Body Text Indent"/>
    <w:basedOn w:val="1"/>
    <w:link w:val="53"/>
    <w:qFormat/>
    <w:uiPriority w:val="0"/>
    <w:pPr>
      <w:widowControl w:val="0"/>
      <w:spacing w:after="120"/>
      <w:ind w:left="420" w:leftChars="200"/>
      <w:jc w:val="both"/>
    </w:pPr>
    <w:rPr>
      <w:kern w:val="2"/>
      <w:sz w:val="21"/>
      <w:szCs w:val="24"/>
    </w:rPr>
  </w:style>
  <w:style w:type="paragraph" w:styleId="8">
    <w:name w:val="Plain Text"/>
    <w:basedOn w:val="1"/>
    <w:link w:val="49"/>
    <w:uiPriority w:val="0"/>
    <w:pPr>
      <w:widowControl w:val="0"/>
      <w:jc w:val="both"/>
    </w:pPr>
    <w:rPr>
      <w:rFonts w:ascii="宋体" w:hAnsi="Courier New"/>
      <w:kern w:val="2"/>
      <w:sz w:val="21"/>
      <w:szCs w:val="24"/>
    </w:rPr>
  </w:style>
  <w:style w:type="paragraph" w:styleId="9">
    <w:name w:val="Date"/>
    <w:basedOn w:val="1"/>
    <w:next w:val="1"/>
    <w:link w:val="44"/>
    <w:uiPriority w:val="0"/>
    <w:pPr>
      <w:widowControl w:val="0"/>
      <w:ind w:left="100" w:leftChars="2500"/>
      <w:jc w:val="both"/>
    </w:pPr>
    <w:rPr>
      <w:kern w:val="2"/>
      <w:sz w:val="21"/>
      <w:szCs w:val="24"/>
    </w:rPr>
  </w:style>
  <w:style w:type="paragraph" w:styleId="10">
    <w:name w:val="Balloon Text"/>
    <w:basedOn w:val="1"/>
    <w:link w:val="56"/>
    <w:semiHidden/>
    <w:uiPriority w:val="0"/>
    <w:pPr>
      <w:widowControl w:val="0"/>
      <w:jc w:val="both"/>
    </w:pPr>
    <w:rPr>
      <w:kern w:val="2"/>
      <w:sz w:val="18"/>
      <w:szCs w:val="18"/>
    </w:rPr>
  </w:style>
  <w:style w:type="paragraph" w:styleId="11">
    <w:name w:val="footer"/>
    <w:basedOn w:val="1"/>
    <w:link w:val="28"/>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27"/>
    <w:unhideWhenUsed/>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Normal (Web)"/>
    <w:basedOn w:val="1"/>
    <w:uiPriority w:val="99"/>
    <w:pPr>
      <w:widowControl w:val="0"/>
      <w:jc w:val="both"/>
    </w:pPr>
    <w:rPr>
      <w:kern w:val="2"/>
      <w:sz w:val="24"/>
      <w:szCs w:val="24"/>
    </w:rPr>
  </w:style>
  <w:style w:type="paragraph" w:styleId="14">
    <w:name w:val="annotation subject"/>
    <w:basedOn w:val="5"/>
    <w:next w:val="5"/>
    <w:link w:val="59"/>
    <w:semiHidden/>
    <w:qFormat/>
    <w:uiPriority w:val="0"/>
    <w:rPr>
      <w:b/>
      <w:bCs/>
    </w:rPr>
  </w:style>
  <w:style w:type="table" w:styleId="16">
    <w:name w:val="Table Grid"/>
    <w:basedOn w:val="1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Theme"/>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Light Shading"/>
    <w:basedOn w:val="15"/>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9">
    <w:name w:val="Light Shading Accent 1"/>
    <w:basedOn w:val="15"/>
    <w:qFormat/>
    <w:uiPriority w:val="60"/>
    <w:rPr>
      <w:color w:val="366091"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15"/>
    <w:uiPriority w:val="60"/>
    <w:rPr>
      <w:color w:val="943734"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character" w:styleId="22">
    <w:name w:val="page number"/>
    <w:basedOn w:val="21"/>
    <w:uiPriority w:val="0"/>
  </w:style>
  <w:style w:type="character" w:styleId="23">
    <w:name w:val="FollowedHyperlink"/>
    <w:qFormat/>
    <w:uiPriority w:val="0"/>
    <w:rPr>
      <w:color w:val="800080"/>
      <w:u w:val="single"/>
    </w:rPr>
  </w:style>
  <w:style w:type="character" w:styleId="24">
    <w:name w:val="line number"/>
    <w:basedOn w:val="21"/>
    <w:semiHidden/>
    <w:unhideWhenUsed/>
    <w:qFormat/>
    <w:uiPriority w:val="99"/>
  </w:style>
  <w:style w:type="character" w:styleId="25">
    <w:name w:val="Hyperlink"/>
    <w:qFormat/>
    <w:uiPriority w:val="0"/>
    <w:rPr>
      <w:color w:val="0000FF"/>
      <w:u w:val="single"/>
    </w:rPr>
  </w:style>
  <w:style w:type="character" w:styleId="26">
    <w:name w:val="annotation reference"/>
    <w:semiHidden/>
    <w:uiPriority w:val="0"/>
    <w:rPr>
      <w:sz w:val="21"/>
      <w:szCs w:val="21"/>
    </w:rPr>
  </w:style>
  <w:style w:type="character" w:customStyle="1" w:styleId="27">
    <w:name w:val="页眉 字符"/>
    <w:basedOn w:val="21"/>
    <w:link w:val="12"/>
    <w:uiPriority w:val="0"/>
    <w:rPr>
      <w:sz w:val="18"/>
      <w:szCs w:val="18"/>
    </w:rPr>
  </w:style>
  <w:style w:type="character" w:customStyle="1" w:styleId="28">
    <w:name w:val="页脚 字符"/>
    <w:basedOn w:val="21"/>
    <w:link w:val="11"/>
    <w:uiPriority w:val="99"/>
    <w:rPr>
      <w:sz w:val="18"/>
      <w:szCs w:val="18"/>
    </w:rPr>
  </w:style>
  <w:style w:type="paragraph" w:styleId="29">
    <w:name w:val="List Paragraph"/>
    <w:basedOn w:val="1"/>
    <w:qFormat/>
    <w:uiPriority w:val="34"/>
    <w:pPr>
      <w:ind w:firstLine="420" w:firstLineChars="200"/>
    </w:pPr>
  </w:style>
  <w:style w:type="character" w:customStyle="1" w:styleId="30">
    <w:name w:val="标题 1 字符"/>
    <w:basedOn w:val="21"/>
    <w:link w:val="2"/>
    <w:uiPriority w:val="0"/>
    <w:rPr>
      <w:rFonts w:ascii="宋体" w:hAnsi="宋体" w:eastAsia="宋体" w:cs="Times New Roman"/>
      <w:b/>
      <w:kern w:val="44"/>
      <w:sz w:val="48"/>
      <w:szCs w:val="48"/>
    </w:rPr>
  </w:style>
  <w:style w:type="character" w:customStyle="1" w:styleId="31">
    <w:name w:val="标题 3 字符"/>
    <w:basedOn w:val="21"/>
    <w:link w:val="3"/>
    <w:uiPriority w:val="0"/>
    <w:rPr>
      <w:rFonts w:ascii="宋体" w:hAnsi="宋体" w:eastAsia="宋体" w:cs="宋体"/>
      <w:b/>
      <w:bCs/>
      <w:kern w:val="0"/>
      <w:sz w:val="27"/>
      <w:szCs w:val="27"/>
    </w:rPr>
  </w:style>
  <w:style w:type="character" w:customStyle="1" w:styleId="32">
    <w:name w:val="f101"/>
    <w:uiPriority w:val="0"/>
    <w:rPr>
      <w:sz w:val="24"/>
      <w:szCs w:val="24"/>
    </w:rPr>
  </w:style>
  <w:style w:type="character" w:customStyle="1" w:styleId="33">
    <w:name w:val="段 Char Char"/>
    <w:link w:val="34"/>
    <w:uiPriority w:val="0"/>
    <w:rPr>
      <w:rFonts w:ascii="宋体"/>
    </w:rPr>
  </w:style>
  <w:style w:type="paragraph" w:customStyle="1" w:styleId="34">
    <w:name w:val="段"/>
    <w:link w:val="33"/>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35">
    <w:name w:val="王奕，内文 Char"/>
    <w:link w:val="36"/>
    <w:uiPriority w:val="0"/>
    <w:rPr>
      <w:rFonts w:eastAsia="宋体" w:cs="MS Shell Dlg"/>
      <w:color w:val="000000"/>
      <w:sz w:val="24"/>
      <w:szCs w:val="24"/>
    </w:rPr>
  </w:style>
  <w:style w:type="paragraph" w:customStyle="1" w:styleId="36">
    <w:name w:val="王奕，内文"/>
    <w:basedOn w:val="13"/>
    <w:link w:val="35"/>
    <w:uiPriority w:val="0"/>
    <w:pPr>
      <w:widowControl/>
      <w:spacing w:line="360" w:lineRule="auto"/>
      <w:ind w:firstLine="200" w:firstLineChars="200"/>
    </w:pPr>
    <w:rPr>
      <w:rFonts w:cs="MS Shell Dlg" w:asciiTheme="minorHAnsi" w:hAnsiTheme="minorHAnsi"/>
      <w:color w:val="000000"/>
    </w:rPr>
  </w:style>
  <w:style w:type="character" w:customStyle="1" w:styleId="37">
    <w:name w:val="new"/>
    <w:basedOn w:val="21"/>
    <w:uiPriority w:val="0"/>
  </w:style>
  <w:style w:type="character" w:customStyle="1" w:styleId="38">
    <w:name w:val="王奕改内文 Char"/>
    <w:link w:val="39"/>
    <w:qFormat/>
    <w:uiPriority w:val="0"/>
    <w:rPr>
      <w:rFonts w:ascii="宋体" w:hAnsi="宋体" w:eastAsia="宋体" w:cs="MS Shell Dlg"/>
      <w:color w:val="000000"/>
      <w:spacing w:val="-4"/>
      <w:sz w:val="24"/>
      <w:szCs w:val="24"/>
    </w:rPr>
  </w:style>
  <w:style w:type="paragraph" w:customStyle="1" w:styleId="39">
    <w:name w:val="王奕改内文"/>
    <w:basedOn w:val="1"/>
    <w:link w:val="38"/>
    <w:uiPriority w:val="0"/>
    <w:pPr>
      <w:spacing w:line="360" w:lineRule="auto"/>
      <w:ind w:firstLine="200" w:firstLineChars="200"/>
      <w:jc w:val="both"/>
    </w:pPr>
    <w:rPr>
      <w:rFonts w:ascii="宋体" w:hAnsi="宋体" w:cs="MS Shell Dlg"/>
      <w:color w:val="000000"/>
      <w:spacing w:val="-4"/>
      <w:kern w:val="2"/>
      <w:sz w:val="24"/>
      <w:szCs w:val="24"/>
    </w:rPr>
  </w:style>
  <w:style w:type="character" w:customStyle="1" w:styleId="40">
    <w:name w:val="topic"/>
    <w:basedOn w:val="21"/>
    <w:uiPriority w:val="0"/>
  </w:style>
  <w:style w:type="character" w:customStyle="1" w:styleId="41">
    <w:name w:val="bluetxt1"/>
    <w:basedOn w:val="21"/>
    <w:uiPriority w:val="0"/>
  </w:style>
  <w:style w:type="character" w:customStyle="1" w:styleId="42">
    <w:name w:val="p11"/>
    <w:qFormat/>
    <w:uiPriority w:val="0"/>
    <w:rPr>
      <w:rFonts w:hint="eastAsia" w:ascii="宋体" w:hAnsi="宋体" w:eastAsia="宋体"/>
      <w:sz w:val="21"/>
      <w:szCs w:val="21"/>
      <w:u w:val="none"/>
    </w:rPr>
  </w:style>
  <w:style w:type="character" w:customStyle="1" w:styleId="43">
    <w:name w:val="正文文本 字符"/>
    <w:basedOn w:val="21"/>
    <w:link w:val="6"/>
    <w:uiPriority w:val="0"/>
    <w:rPr>
      <w:rFonts w:ascii="Times New Roman" w:hAnsi="Times New Roman" w:eastAsia="宋体" w:cs="Times New Roman"/>
      <w:szCs w:val="24"/>
    </w:rPr>
  </w:style>
  <w:style w:type="character" w:customStyle="1" w:styleId="44">
    <w:name w:val="日期 字符"/>
    <w:basedOn w:val="21"/>
    <w:link w:val="9"/>
    <w:uiPriority w:val="0"/>
    <w:rPr>
      <w:rFonts w:ascii="Times New Roman" w:hAnsi="Times New Roman" w:eastAsia="宋体" w:cs="Times New Roman"/>
      <w:szCs w:val="24"/>
    </w:rPr>
  </w:style>
  <w:style w:type="paragraph" w:customStyle="1" w:styleId="45">
    <w:name w:val="章标题"/>
    <w:next w:val="1"/>
    <w:uiPriority w:val="0"/>
    <w:pPr>
      <w:numPr>
        <w:ilvl w:val="1"/>
        <w:numId w:val="1"/>
      </w:numPr>
      <w:spacing w:before="50" w:beforeLines="50" w:after="50" w:afterLines="50"/>
      <w:jc w:val="both"/>
      <w:outlineLvl w:val="1"/>
    </w:pPr>
    <w:rPr>
      <w:rFonts w:ascii="黑体" w:hAnsi="Times New Roman" w:eastAsia="黑体" w:cs="Times New Roman"/>
      <w:kern w:val="0"/>
      <w:sz w:val="21"/>
      <w:szCs w:val="20"/>
      <w:lang w:val="en-US" w:eastAsia="zh-CN" w:bidi="ar-SA"/>
    </w:rPr>
  </w:style>
  <w:style w:type="paragraph" w:customStyle="1" w:styleId="46">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47">
    <w:name w:val="_Style 36"/>
    <w:basedOn w:val="1"/>
    <w:next w:val="29"/>
    <w:qFormat/>
    <w:uiPriority w:val="72"/>
    <w:pPr>
      <w:widowControl w:val="0"/>
      <w:ind w:firstLine="420" w:firstLineChars="200"/>
      <w:jc w:val="both"/>
    </w:pPr>
    <w:rPr>
      <w:rFonts w:ascii="Calibri" w:hAnsi="Calibri"/>
      <w:kern w:val="2"/>
      <w:sz w:val="21"/>
      <w:szCs w:val="22"/>
    </w:rPr>
  </w:style>
  <w:style w:type="character" w:customStyle="1" w:styleId="48">
    <w:name w:val="文档结构图 字符"/>
    <w:basedOn w:val="21"/>
    <w:link w:val="4"/>
    <w:semiHidden/>
    <w:uiPriority w:val="0"/>
    <w:rPr>
      <w:rFonts w:ascii="Times New Roman" w:hAnsi="Times New Roman" w:eastAsia="宋体" w:cs="Times New Roman"/>
      <w:szCs w:val="24"/>
      <w:shd w:val="clear" w:color="auto" w:fill="000080"/>
    </w:rPr>
  </w:style>
  <w:style w:type="character" w:customStyle="1" w:styleId="49">
    <w:name w:val="纯文本 字符"/>
    <w:basedOn w:val="21"/>
    <w:link w:val="8"/>
    <w:uiPriority w:val="0"/>
    <w:rPr>
      <w:rFonts w:ascii="宋体" w:hAnsi="Courier New" w:eastAsia="宋体" w:cs="Times New Roman"/>
      <w:szCs w:val="24"/>
    </w:rPr>
  </w:style>
  <w:style w:type="paragraph" w:customStyle="1" w:styleId="50">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1">
    <w:name w:val="一级条标题"/>
    <w:next w:val="1"/>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52">
    <w:name w:val="正文表标题"/>
    <w:next w:val="1"/>
    <w:qFormat/>
    <w:uiPriority w:val="0"/>
    <w:pPr>
      <w:numPr>
        <w:ilvl w:val="6"/>
        <w:numId w:val="1"/>
      </w:numPr>
      <w:jc w:val="center"/>
    </w:pPr>
    <w:rPr>
      <w:rFonts w:ascii="黑体" w:hAnsi="Times New Roman" w:eastAsia="黑体" w:cs="Times New Roman"/>
      <w:kern w:val="0"/>
      <w:sz w:val="21"/>
      <w:szCs w:val="20"/>
      <w:lang w:val="en-US" w:eastAsia="zh-CN" w:bidi="ar-SA"/>
    </w:rPr>
  </w:style>
  <w:style w:type="character" w:customStyle="1" w:styleId="53">
    <w:name w:val="正文文本缩进 字符"/>
    <w:basedOn w:val="21"/>
    <w:link w:val="7"/>
    <w:uiPriority w:val="0"/>
    <w:rPr>
      <w:rFonts w:ascii="Times New Roman" w:hAnsi="Times New Roman" w:eastAsia="宋体" w:cs="Times New Roman"/>
      <w:szCs w:val="24"/>
    </w:rPr>
  </w:style>
  <w:style w:type="paragraph" w:customStyle="1" w:styleId="54">
    <w:name w:val="三级条标题"/>
    <w:basedOn w:val="55"/>
    <w:next w:val="1"/>
    <w:qFormat/>
    <w:uiPriority w:val="0"/>
    <w:pPr>
      <w:numPr>
        <w:ilvl w:val="4"/>
      </w:numPr>
      <w:outlineLvl w:val="4"/>
    </w:pPr>
  </w:style>
  <w:style w:type="paragraph" w:customStyle="1" w:styleId="55">
    <w:name w:val="二级条标题"/>
    <w:basedOn w:val="51"/>
    <w:next w:val="1"/>
    <w:qFormat/>
    <w:uiPriority w:val="0"/>
    <w:pPr>
      <w:numPr>
        <w:ilvl w:val="3"/>
      </w:numPr>
      <w:ind w:left="105"/>
      <w:outlineLvl w:val="3"/>
    </w:pPr>
  </w:style>
  <w:style w:type="character" w:customStyle="1" w:styleId="56">
    <w:name w:val="批注框文本 字符"/>
    <w:basedOn w:val="21"/>
    <w:link w:val="10"/>
    <w:semiHidden/>
    <w:qFormat/>
    <w:uiPriority w:val="0"/>
    <w:rPr>
      <w:rFonts w:ascii="Times New Roman" w:hAnsi="Times New Roman" w:eastAsia="宋体" w:cs="Times New Roman"/>
      <w:sz w:val="18"/>
      <w:szCs w:val="18"/>
    </w:rPr>
  </w:style>
  <w:style w:type="character" w:customStyle="1" w:styleId="57">
    <w:name w:val="批注文字 字符"/>
    <w:basedOn w:val="21"/>
    <w:link w:val="5"/>
    <w:semiHidden/>
    <w:uiPriority w:val="0"/>
    <w:rPr>
      <w:rFonts w:ascii="Times New Roman" w:hAnsi="Times New Roman" w:eastAsia="宋体" w:cs="Times New Roman"/>
      <w:szCs w:val="24"/>
    </w:rPr>
  </w:style>
  <w:style w:type="paragraph" w:customStyle="1" w:styleId="58">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59">
    <w:name w:val="批注主题 字符"/>
    <w:basedOn w:val="57"/>
    <w:link w:val="14"/>
    <w:semiHidden/>
    <w:qFormat/>
    <w:uiPriority w:val="0"/>
    <w:rPr>
      <w:rFonts w:ascii="Times New Roman" w:hAnsi="Times New Roman" w:eastAsia="宋体" w:cs="Times New Roman"/>
      <w:b/>
      <w:bCs/>
      <w:szCs w:val="24"/>
    </w:rPr>
  </w:style>
  <w:style w:type="paragraph" w:customStyle="1" w:styleId="60">
    <w:name w:val="List Paragraph1"/>
    <w:basedOn w:val="1"/>
    <w:qFormat/>
    <w:uiPriority w:val="0"/>
    <w:pPr>
      <w:widowControl w:val="0"/>
      <w:ind w:firstLine="200" w:firstLineChars="200"/>
      <w:jc w:val="both"/>
    </w:pPr>
    <w:rPr>
      <w:rFonts w:ascii="Calibri" w:hAnsi="Calibri"/>
      <w:kern w:val="2"/>
      <w:sz w:val="21"/>
      <w:szCs w:val="22"/>
    </w:rPr>
  </w:style>
  <w:style w:type="paragraph" w:customStyle="1" w:styleId="61">
    <w:name w:val="图表脚注"/>
    <w:next w:val="1"/>
    <w:qFormat/>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62">
    <w:name w:val="Level 1"/>
    <w:qFormat/>
    <w:uiPriority w:val="0"/>
    <w:pPr>
      <w:widowControl w:val="0"/>
      <w:autoSpaceDE w:val="0"/>
      <w:autoSpaceDN w:val="0"/>
      <w:adjustRightInd w:val="0"/>
      <w:ind w:left="720"/>
    </w:pPr>
    <w:rPr>
      <w:rFonts w:ascii="Arial Normale" w:hAnsi="Arial Normale" w:eastAsia="宋体" w:cs="Times New Roman"/>
      <w:kern w:val="0"/>
      <w:sz w:val="24"/>
      <w:szCs w:val="24"/>
      <w:lang w:val="en-US" w:eastAsia="zh-CN" w:bidi="ar-SA"/>
    </w:rPr>
  </w:style>
  <w:style w:type="paragraph" w:customStyle="1" w:styleId="63">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752B-5D15-4182-9688-4DC19B6EC8A1}">
  <ds:schemaRefs/>
</ds:datastoreItem>
</file>

<file path=docProps/app.xml><?xml version="1.0" encoding="utf-8"?>
<Properties xmlns="http://schemas.openxmlformats.org/officeDocument/2006/extended-properties" xmlns:vt="http://schemas.openxmlformats.org/officeDocument/2006/docPropsVTypes">
  <Template>Normal</Template>
  <Pages>22</Pages>
  <Words>7866</Words>
  <Characters>8337</Characters>
  <Lines>63</Lines>
  <Paragraphs>17</Paragraphs>
  <TotalTime>728</TotalTime>
  <ScaleCrop>false</ScaleCrop>
  <LinksUpToDate>false</LinksUpToDate>
  <CharactersWithSpaces>8474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2020-08-12T07:11:00Z</dcterms:created>
  <dc:creator>7</dc:creator>
  <cp:lastModifiedBy>太极箫客</cp:lastModifiedBy>
  <cp:lastPrinted>2020-08-13T03:30:00Z</cp:lastPrinted>
  <dcterms:modified xsi:type="dcterms:W3CDTF">2025-08-14T06:56:58Z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666978E2CAE443529799BEF10919836D_12</vt:lpwstr>
  </property>
</Properties>
</file>