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3B641">
      <w:pPr>
        <w:pStyle w:val="13"/>
        <w:spacing w:before="120"/>
        <w:rPr>
          <w:lang w:eastAsia="zh-CN"/>
        </w:rPr>
      </w:pPr>
      <w:bookmarkStart w:id="42" w:name="_GoBack"/>
      <w:bookmarkEnd w:id="42"/>
      <w:r>
        <w:rPr>
          <w:lang w:eastAsia="zh-CN"/>
        </w:rPr>
        <w:t>新型冠状病毒肺炎（COVID-19）突发公共卫生事件期间有关远程数字病理器械的执行政策</w:t>
      </w:r>
    </w:p>
    <w:p w14:paraId="3A13A438">
      <w:pPr>
        <w:pStyle w:val="14"/>
        <w:spacing w:before="120"/>
        <w:rPr>
          <w:lang w:eastAsia="zh-CN"/>
        </w:rPr>
      </w:pPr>
      <w:r>
        <w:rPr>
          <w:lang w:eastAsia="zh-CN"/>
        </w:rPr>
        <w:t>行业、临床实验室、医疗机构、病理学家和美国食品药品监督管理局工作人员指南</w:t>
      </w:r>
    </w:p>
    <w:p w14:paraId="1E8FD28F">
      <w:pPr>
        <w:snapToGrid w:val="0"/>
        <w:spacing w:before="120" w:beforeLines="50"/>
        <w:jc w:val="center"/>
        <w:rPr>
          <w:b/>
          <w:bCs/>
          <w:sz w:val="28"/>
          <w:szCs w:val="28"/>
          <w:lang w:eastAsia="zh-CN"/>
        </w:rPr>
      </w:pPr>
    </w:p>
    <w:p w14:paraId="0E8D861A">
      <w:pPr>
        <w:snapToGrid w:val="0"/>
        <w:spacing w:before="120" w:beforeLines="50"/>
        <w:jc w:val="center"/>
        <w:rPr>
          <w:b/>
          <w:bCs/>
          <w:sz w:val="28"/>
          <w:szCs w:val="28"/>
          <w:lang w:eastAsia="zh-CN"/>
        </w:rPr>
      </w:pPr>
      <w:r>
        <w:rPr>
          <w:b/>
          <w:bCs/>
          <w:sz w:val="28"/>
          <w:szCs w:val="28"/>
          <w:lang w:eastAsia="zh-CN"/>
        </w:rPr>
        <w:t>2020年4月</w:t>
      </w:r>
    </w:p>
    <w:p w14:paraId="665E583A">
      <w:pPr>
        <w:snapToGrid w:val="0"/>
        <w:spacing w:before="120" w:beforeLines="50"/>
        <w:jc w:val="center"/>
        <w:rPr>
          <w:sz w:val="28"/>
          <w:szCs w:val="28"/>
          <w:lang w:eastAsia="zh-CN"/>
        </w:rPr>
      </w:pPr>
    </w:p>
    <w:p w14:paraId="4C6B9F88">
      <w:pPr>
        <w:snapToGrid w:val="0"/>
        <w:spacing w:before="120" w:beforeLines="50"/>
        <w:jc w:val="center"/>
        <w:rPr>
          <w:sz w:val="28"/>
          <w:szCs w:val="28"/>
          <w:lang w:eastAsia="zh-CN"/>
        </w:rPr>
      </w:pPr>
    </w:p>
    <w:p w14:paraId="57D404EA">
      <w:pPr>
        <w:snapToGrid w:val="0"/>
        <w:spacing w:before="120" w:beforeLines="50"/>
        <w:jc w:val="center"/>
        <w:rPr>
          <w:sz w:val="28"/>
          <w:szCs w:val="28"/>
          <w:lang w:eastAsia="zh-CN"/>
        </w:rPr>
      </w:pPr>
    </w:p>
    <w:p w14:paraId="7BCD5D0C">
      <w:pPr>
        <w:snapToGrid w:val="0"/>
        <w:spacing w:before="120" w:beforeLines="50"/>
        <w:jc w:val="center"/>
        <w:rPr>
          <w:sz w:val="28"/>
          <w:szCs w:val="28"/>
          <w:lang w:eastAsia="zh-CN"/>
        </w:rPr>
      </w:pPr>
    </w:p>
    <w:p w14:paraId="10777F9C">
      <w:pPr>
        <w:snapToGrid w:val="0"/>
        <w:spacing w:before="120" w:beforeLines="50"/>
        <w:jc w:val="center"/>
        <w:rPr>
          <w:sz w:val="28"/>
          <w:szCs w:val="28"/>
          <w:lang w:eastAsia="zh-CN"/>
        </w:rPr>
      </w:pPr>
    </w:p>
    <w:p w14:paraId="53674D07">
      <w:pPr>
        <w:snapToGrid w:val="0"/>
        <w:spacing w:before="120" w:beforeLines="50"/>
        <w:jc w:val="center"/>
        <w:rPr>
          <w:sz w:val="28"/>
          <w:szCs w:val="28"/>
          <w:lang w:eastAsia="zh-CN"/>
        </w:rPr>
      </w:pPr>
    </w:p>
    <w:p w14:paraId="3D02D8B7">
      <w:pPr>
        <w:snapToGrid w:val="0"/>
        <w:spacing w:before="120" w:beforeLines="50"/>
        <w:jc w:val="center"/>
        <w:rPr>
          <w:sz w:val="28"/>
          <w:szCs w:val="28"/>
          <w:lang w:eastAsia="zh-CN"/>
        </w:rPr>
      </w:pPr>
    </w:p>
    <w:p w14:paraId="3140AFC9">
      <w:pPr>
        <w:snapToGrid w:val="0"/>
        <w:spacing w:before="120" w:beforeLines="50"/>
        <w:jc w:val="center"/>
        <w:rPr>
          <w:sz w:val="28"/>
          <w:szCs w:val="28"/>
          <w:lang w:eastAsia="zh-CN"/>
        </w:rPr>
      </w:pPr>
    </w:p>
    <w:p w14:paraId="19A47A8E">
      <w:pPr>
        <w:snapToGrid w:val="0"/>
        <w:spacing w:before="120" w:beforeLines="50"/>
        <w:jc w:val="center"/>
        <w:rPr>
          <w:sz w:val="28"/>
          <w:szCs w:val="28"/>
          <w:lang w:eastAsia="zh-CN"/>
        </w:rPr>
      </w:pPr>
    </w:p>
    <w:p w14:paraId="55FE4678">
      <w:pPr>
        <w:snapToGrid w:val="0"/>
        <w:spacing w:before="120" w:beforeLines="50"/>
        <w:jc w:val="center"/>
        <w:rPr>
          <w:b/>
          <w:sz w:val="24"/>
          <w:lang w:eastAsia="zh-CN"/>
        </w:rPr>
      </w:pPr>
      <w:r>
        <w:rPr>
          <w:b/>
          <w:bCs/>
          <w:sz w:val="24"/>
          <w:lang w:eastAsia="zh-CN"/>
        </w:rPr>
        <w:t>美国卫生</w:t>
      </w:r>
      <w:r>
        <w:rPr>
          <w:rFonts w:hint="eastAsia"/>
          <w:b/>
          <w:bCs/>
          <w:sz w:val="24"/>
          <w:lang w:eastAsia="zh-CN"/>
        </w:rPr>
        <w:t>与</w:t>
      </w:r>
      <w:r>
        <w:rPr>
          <w:b/>
          <w:bCs/>
          <w:sz w:val="24"/>
          <w:lang w:eastAsia="zh-CN"/>
        </w:rPr>
        <w:t>公众服务部</w:t>
      </w:r>
    </w:p>
    <w:p w14:paraId="16E23BDE">
      <w:pPr>
        <w:snapToGrid w:val="0"/>
        <w:spacing w:before="120" w:beforeLines="50"/>
        <w:jc w:val="center"/>
        <w:rPr>
          <w:b/>
          <w:sz w:val="24"/>
          <w:lang w:eastAsia="zh-CN"/>
        </w:rPr>
      </w:pPr>
      <w:r>
        <w:rPr>
          <w:b/>
          <w:bCs/>
          <w:sz w:val="24"/>
          <w:lang w:eastAsia="zh-CN"/>
        </w:rPr>
        <w:t>美国食品药品监督管理局</w:t>
      </w:r>
    </w:p>
    <w:p w14:paraId="001F7810">
      <w:pPr>
        <w:snapToGrid w:val="0"/>
        <w:spacing w:before="120" w:beforeLines="50"/>
        <w:jc w:val="center"/>
        <w:rPr>
          <w:b/>
          <w:sz w:val="24"/>
          <w:lang w:eastAsia="zh-CN"/>
        </w:rPr>
      </w:pPr>
      <w:r>
        <w:rPr>
          <w:b/>
          <w:bCs/>
          <w:sz w:val="24"/>
          <w:lang w:eastAsia="zh-CN"/>
        </w:rPr>
        <w:t>医疗器械和放射健康中心（CDRH）</w:t>
      </w:r>
    </w:p>
    <w:p w14:paraId="524DAB12">
      <w:pPr>
        <w:snapToGrid w:val="0"/>
        <w:spacing w:before="120" w:beforeLines="50"/>
        <w:jc w:val="center"/>
        <w:rPr>
          <w:b/>
          <w:bCs/>
          <w:sz w:val="24"/>
          <w:lang w:eastAsia="zh-CN"/>
        </w:rPr>
      </w:pPr>
      <w:r>
        <w:rPr>
          <w:b/>
          <w:bCs/>
          <w:sz w:val="24"/>
          <w:lang w:eastAsia="zh-CN"/>
        </w:rPr>
        <w:t>产品评价与质量办公室（OPEQ）</w:t>
      </w:r>
    </w:p>
    <w:p w14:paraId="08A8A04B">
      <w:pPr>
        <w:snapToGrid w:val="0"/>
        <w:spacing w:before="120" w:beforeLines="50"/>
        <w:jc w:val="both"/>
        <w:rPr>
          <w:lang w:eastAsia="zh-CN"/>
        </w:rPr>
      </w:pPr>
      <w:r>
        <w:rPr>
          <w:lang w:eastAsia="zh-CN"/>
        </w:rPr>
        <w:br w:type="page"/>
      </w:r>
    </w:p>
    <w:p w14:paraId="481A1B70">
      <w:pPr>
        <w:snapToGrid w:val="0"/>
        <w:spacing w:before="120" w:beforeLines="50"/>
        <w:jc w:val="center"/>
        <w:rPr>
          <w:sz w:val="44"/>
          <w:szCs w:val="44"/>
          <w:lang w:eastAsia="zh-CN"/>
        </w:rPr>
      </w:pPr>
      <w:bookmarkStart w:id="0" w:name="bookmark0"/>
      <w:r>
        <w:rPr>
          <w:b/>
          <w:bCs/>
          <w:sz w:val="44"/>
          <w:szCs w:val="44"/>
          <w:lang w:eastAsia="zh-CN"/>
        </w:rPr>
        <w:t>前言</w:t>
      </w:r>
      <w:bookmarkEnd w:id="0"/>
    </w:p>
    <w:p w14:paraId="2C9B6863">
      <w:pPr>
        <w:snapToGrid w:val="0"/>
        <w:spacing w:before="120" w:beforeLines="50"/>
        <w:jc w:val="both"/>
        <w:rPr>
          <w:b/>
          <w:bCs/>
          <w:sz w:val="28"/>
          <w:szCs w:val="28"/>
          <w:lang w:eastAsia="zh-CN"/>
        </w:rPr>
      </w:pPr>
      <w:bookmarkStart w:id="1" w:name="bookmark1"/>
    </w:p>
    <w:p w14:paraId="6100697E">
      <w:pPr>
        <w:snapToGrid w:val="0"/>
        <w:spacing w:before="120" w:beforeLines="50"/>
        <w:jc w:val="both"/>
        <w:rPr>
          <w:sz w:val="28"/>
          <w:szCs w:val="28"/>
          <w:lang w:eastAsia="zh-CN"/>
        </w:rPr>
      </w:pPr>
      <w:r>
        <w:rPr>
          <w:b/>
          <w:bCs/>
          <w:sz w:val="28"/>
          <w:szCs w:val="28"/>
          <w:lang w:eastAsia="zh-CN"/>
        </w:rPr>
        <w:t>公众意见</w:t>
      </w:r>
      <w:bookmarkEnd w:id="1"/>
    </w:p>
    <w:p w14:paraId="67DBE435">
      <w:pPr>
        <w:snapToGrid w:val="0"/>
        <w:spacing w:before="120" w:beforeLines="50"/>
        <w:jc w:val="both"/>
        <w:rPr>
          <w:sz w:val="24"/>
          <w:lang w:eastAsia="zh-CN"/>
        </w:rPr>
      </w:pPr>
      <w:r>
        <w:rPr>
          <w:sz w:val="24"/>
          <w:lang w:eastAsia="zh-CN"/>
        </w:rPr>
        <w:t>本指南旨在解决新型冠状病毒肺炎（COVID-19）突发公共卫生事件。由于美国食品药品监督管理局（FDA）已经确定公众事先参与制定本指南不可行或不适当，因此本指南的实施事先未采纳公众意见（见《联邦食品、药品和化妆品法案》（《FD&amp;C法案》）第701(h)(1)(C)项（《美国法典》第21卷第371(h)(1)(C)项）和《美国联邦法规》第21卷第10.115(g)(2)项）</w:t>
      </w:r>
      <w:r>
        <w:rPr>
          <w:rFonts w:hint="eastAsia"/>
          <w:sz w:val="24"/>
          <w:lang w:eastAsia="zh-CN"/>
        </w:rPr>
        <w:t>）</w:t>
      </w:r>
      <w:r>
        <w:rPr>
          <w:sz w:val="24"/>
          <w:lang w:eastAsia="zh-CN"/>
        </w:rPr>
        <w:t>。本指南文件</w:t>
      </w:r>
      <w:r>
        <w:rPr>
          <w:rFonts w:hint="eastAsia"/>
          <w:sz w:val="24"/>
          <w:lang w:eastAsia="zh-CN"/>
        </w:rPr>
        <w:t>将立即</w:t>
      </w:r>
      <w:r>
        <w:rPr>
          <w:sz w:val="24"/>
          <w:lang w:eastAsia="zh-CN"/>
        </w:rPr>
        <w:t>实施，但仍根据FDA的</w:t>
      </w:r>
      <w:r>
        <w:rPr>
          <w:rFonts w:hint="eastAsia"/>
          <w:sz w:val="24"/>
          <w:lang w:eastAsia="zh-CN"/>
        </w:rPr>
        <w:t>标准</w:t>
      </w:r>
      <w:r>
        <w:rPr>
          <w:sz w:val="24"/>
          <w:lang w:eastAsia="zh-CN"/>
        </w:rPr>
        <w:t>指南规范</w:t>
      </w:r>
      <w:r>
        <w:rPr>
          <w:rFonts w:hint="eastAsia"/>
          <w:sz w:val="24"/>
          <w:lang w:eastAsia="zh-CN"/>
        </w:rPr>
        <w:t>接受</w:t>
      </w:r>
      <w:r>
        <w:rPr>
          <w:sz w:val="24"/>
          <w:lang w:eastAsia="zh-CN"/>
        </w:rPr>
        <w:t>意见。</w:t>
      </w:r>
    </w:p>
    <w:p w14:paraId="79CEB27F">
      <w:pPr>
        <w:snapToGrid w:val="0"/>
        <w:spacing w:before="120" w:beforeLines="50"/>
        <w:jc w:val="both"/>
        <w:rPr>
          <w:sz w:val="24"/>
          <w:lang w:eastAsia="zh-CN"/>
        </w:rPr>
      </w:pPr>
    </w:p>
    <w:p w14:paraId="09A2ABE6">
      <w:pPr>
        <w:snapToGrid w:val="0"/>
        <w:spacing w:before="120" w:beforeLines="50"/>
        <w:jc w:val="both"/>
        <w:rPr>
          <w:sz w:val="24"/>
          <w:lang w:eastAsia="zh-CN"/>
        </w:rPr>
      </w:pPr>
      <w:r>
        <w:rPr>
          <w:sz w:val="24"/>
          <w:lang w:eastAsia="zh-CN"/>
        </w:rPr>
        <w:t>可随时提交意见</w:t>
      </w:r>
      <w:r>
        <w:rPr>
          <w:rFonts w:hint="eastAsia"/>
          <w:sz w:val="24"/>
          <w:lang w:eastAsia="zh-CN"/>
        </w:rPr>
        <w:t>，</w:t>
      </w:r>
      <w:r>
        <w:rPr>
          <w:sz w:val="24"/>
          <w:lang w:eastAsia="zh-CN"/>
        </w:rPr>
        <w:t>供</w:t>
      </w:r>
      <w:r>
        <w:rPr>
          <w:rFonts w:hint="eastAsia"/>
          <w:sz w:val="24"/>
          <w:lang w:eastAsia="zh-CN"/>
        </w:rPr>
        <w:t>FDA审议</w:t>
      </w:r>
      <w:r>
        <w:rPr>
          <w:sz w:val="24"/>
          <w:lang w:eastAsia="zh-CN"/>
        </w:rPr>
        <w:t>。请将书面意见提交至</w:t>
      </w:r>
      <w:r>
        <w:rPr>
          <w:rFonts w:hint="eastAsia"/>
          <w:sz w:val="24"/>
          <w:lang w:eastAsia="zh-CN"/>
        </w:rPr>
        <w:t>美国食品药品监督管理局备案文件管理部（5630 Fishers Lane, Room 1061, (HFA-305), Rockville, MD 20852）。请</w:t>
      </w:r>
      <w:r>
        <w:rPr>
          <w:sz w:val="24"/>
          <w:lang w:eastAsia="zh-CN"/>
        </w:rPr>
        <w:t>将电子意见提交至</w:t>
      </w:r>
      <w:r>
        <w:fldChar w:fldCharType="begin"/>
      </w:r>
      <w:r>
        <w:instrText xml:space="preserve"> HYPERLINK "https://www.regulations.gov/" </w:instrText>
      </w:r>
      <w:r>
        <w:fldChar w:fldCharType="separate"/>
      </w:r>
      <w:r>
        <w:rPr>
          <w:rStyle w:val="11"/>
          <w:color w:val="0000FF"/>
          <w:sz w:val="24"/>
          <w:lang w:eastAsia="zh-CN"/>
        </w:rPr>
        <w:t>https://www.regulations.gov</w:t>
      </w:r>
      <w:r>
        <w:rPr>
          <w:rStyle w:val="11"/>
          <w:color w:val="0000FF"/>
          <w:sz w:val="24"/>
          <w:lang w:eastAsia="zh-CN"/>
        </w:rPr>
        <w:fldChar w:fldCharType="end"/>
      </w:r>
      <w:r>
        <w:rPr>
          <w:sz w:val="24"/>
          <w:lang w:eastAsia="zh-CN"/>
        </w:rPr>
        <w:t>。申请中的所有意见都应标记文档编号FDA-2020-D-1138和完整的指南标题。</w:t>
      </w:r>
    </w:p>
    <w:p w14:paraId="40A95079">
      <w:pPr>
        <w:snapToGrid w:val="0"/>
        <w:spacing w:before="120" w:beforeLines="50"/>
        <w:jc w:val="both"/>
        <w:rPr>
          <w:sz w:val="24"/>
          <w:lang w:eastAsia="zh-CN"/>
        </w:rPr>
      </w:pPr>
    </w:p>
    <w:p w14:paraId="3A811B75">
      <w:pPr>
        <w:snapToGrid w:val="0"/>
        <w:spacing w:before="120" w:beforeLines="50"/>
        <w:jc w:val="both"/>
        <w:rPr>
          <w:sz w:val="28"/>
          <w:szCs w:val="28"/>
        </w:rPr>
      </w:pPr>
      <w:bookmarkStart w:id="2" w:name="bookmark2"/>
      <w:r>
        <w:rPr>
          <w:rFonts w:hint="eastAsia"/>
          <w:b/>
          <w:bCs/>
          <w:sz w:val="28"/>
          <w:szCs w:val="28"/>
          <w:lang w:eastAsia="zh-CN"/>
        </w:rPr>
        <w:t>更多</w:t>
      </w:r>
      <w:r>
        <w:rPr>
          <w:b/>
          <w:bCs/>
          <w:sz w:val="28"/>
          <w:szCs w:val="28"/>
          <w:lang w:eastAsia="zh-CN"/>
        </w:rPr>
        <w:t>副本</w:t>
      </w:r>
      <w:bookmarkEnd w:id="2"/>
    </w:p>
    <w:p w14:paraId="060727C2">
      <w:pPr>
        <w:snapToGrid w:val="0"/>
        <w:spacing w:before="120" w:beforeLines="50"/>
        <w:rPr>
          <w:sz w:val="24"/>
          <w:lang w:eastAsia="zh-CN"/>
        </w:rPr>
      </w:pPr>
      <w:r>
        <w:rPr>
          <w:rFonts w:hint="eastAsia"/>
          <w:sz w:val="24"/>
          <w:lang w:eastAsia="zh-CN"/>
        </w:rPr>
        <w:t>更多</w:t>
      </w:r>
      <w:r>
        <w:rPr>
          <w:sz w:val="24"/>
          <w:lang w:eastAsia="zh-CN"/>
        </w:rPr>
        <w:t>副本</w:t>
      </w:r>
      <w:r>
        <w:rPr>
          <w:rFonts w:hint="eastAsia"/>
          <w:sz w:val="24"/>
          <w:lang w:eastAsia="zh-CN"/>
        </w:rPr>
        <w:t>请</w:t>
      </w:r>
      <w:r>
        <w:rPr>
          <w:sz w:val="24"/>
          <w:lang w:eastAsia="zh-CN"/>
        </w:rPr>
        <w:t>访问FDA网页“行业、美国食品药品监督管理局（FDA）工作人员和其他利益相关者的COVID-19相关指南文件”，请访问</w:t>
      </w:r>
      <w:r>
        <w:fldChar w:fldCharType="begin"/>
      </w:r>
      <w:r>
        <w:instrText xml:space="preserve"> HYPERLINK "https://www.fda.gov/emergency-preparedness-and-response/mcm-issues/covid-19-related-guidance-documents-industry-fda-staff-and-other-stakeholders" </w:instrText>
      </w:r>
      <w:r>
        <w:fldChar w:fldCharType="separate"/>
      </w:r>
      <w:r>
        <w:rPr>
          <w:rStyle w:val="11"/>
          <w:color w:val="0000FF"/>
          <w:sz w:val="24"/>
          <w:lang w:eastAsia="zh-CN"/>
        </w:rPr>
        <w:t>https://www.fda.gov/emergency-preparedness-and-response/mcm-issues/covid-19-related-</w:t>
      </w:r>
      <w:r>
        <w:rPr>
          <w:rStyle w:val="11"/>
          <w:color w:val="0000FF"/>
          <w:sz w:val="24"/>
          <w:lang w:eastAsia="zh-CN"/>
        </w:rPr>
        <w:fldChar w:fldCharType="end"/>
      </w:r>
      <w:r>
        <w:rPr>
          <w:color w:val="0000FF"/>
          <w:sz w:val="24"/>
          <w:u w:val="single"/>
          <w:lang w:eastAsia="zh-CN"/>
        </w:rPr>
        <w:t xml:space="preserve"> </w:t>
      </w:r>
      <w:r>
        <w:fldChar w:fldCharType="begin"/>
      </w:r>
      <w:r>
        <w:instrText xml:space="preserve"> HYPERLINK "https://www.fda.gov/emergency-preparedness-and-response/mcm-issues/covid-19-related-guidance-documents-industry-fda-staff-and-other-stakeholders" </w:instrText>
      </w:r>
      <w:r>
        <w:fldChar w:fldCharType="separate"/>
      </w:r>
      <w:r>
        <w:rPr>
          <w:rStyle w:val="11"/>
          <w:color w:val="0000FF"/>
          <w:sz w:val="24"/>
          <w:lang w:eastAsia="zh-CN"/>
        </w:rPr>
        <w:t>guidance-documents-industry-fda-staff-and-other-stakeholders</w:t>
      </w:r>
      <w:r>
        <w:rPr>
          <w:rStyle w:val="11"/>
          <w:color w:val="0000FF"/>
          <w:sz w:val="24"/>
          <w:lang w:eastAsia="zh-CN"/>
        </w:rPr>
        <w:fldChar w:fldCharType="end"/>
      </w:r>
      <w:r>
        <w:rPr>
          <w:sz w:val="24"/>
          <w:lang w:eastAsia="zh-CN"/>
        </w:rPr>
        <w:t>以及FDA网页“Search for FDA Guidance Documents”，请访问</w:t>
      </w:r>
      <w:r>
        <w:fldChar w:fldCharType="begin"/>
      </w:r>
      <w:r>
        <w:instrText xml:space="preserve"> HYPERLINK "https://www.fda.gov/regulatory-" </w:instrText>
      </w:r>
      <w:r>
        <w:fldChar w:fldCharType="separate"/>
      </w:r>
      <w:r>
        <w:rPr>
          <w:rStyle w:val="11"/>
          <w:sz w:val="24"/>
          <w:lang w:eastAsia="zh-CN"/>
        </w:rPr>
        <w:t>https://www.fda.gov/regulatory-</w:t>
      </w:r>
      <w:r>
        <w:rPr>
          <w:rStyle w:val="11"/>
          <w:sz w:val="24"/>
          <w:lang w:eastAsia="zh-CN"/>
        </w:rPr>
        <w:fldChar w:fldCharType="end"/>
      </w:r>
      <w:r>
        <w:rPr>
          <w:color w:val="0000FF"/>
          <w:sz w:val="24"/>
          <w:u w:val="single"/>
          <w:lang w:eastAsia="zh-CN"/>
        </w:rPr>
        <w:t xml:space="preserve"> </w:t>
      </w:r>
      <w:r>
        <w:fldChar w:fldCharType="begin"/>
      </w:r>
      <w:r>
        <w:instrText xml:space="preserve"> HYPERLINK "https://www.fda.gov/regulatory-information/search-fda-guidance-documents" </w:instrText>
      </w:r>
      <w:r>
        <w:fldChar w:fldCharType="separate"/>
      </w:r>
      <w:r>
        <w:rPr>
          <w:rStyle w:val="11"/>
          <w:color w:val="0000FF"/>
          <w:sz w:val="24"/>
          <w:lang w:eastAsia="zh-CN"/>
        </w:rPr>
        <w:t>information/search-fda-guidance-documents.</w:t>
      </w:r>
      <w:r>
        <w:rPr>
          <w:rStyle w:val="11"/>
          <w:color w:val="0000FF"/>
          <w:sz w:val="24"/>
          <w:lang w:eastAsia="zh-CN"/>
        </w:rPr>
        <w:fldChar w:fldCharType="end"/>
      </w:r>
      <w:r>
        <w:rPr>
          <w:sz w:val="24"/>
          <w:lang w:eastAsia="zh-CN"/>
        </w:rPr>
        <w:t>也可以向</w:t>
      </w:r>
      <w:r>
        <w:fldChar w:fldCharType="begin"/>
      </w:r>
      <w:r>
        <w:instrText xml:space="preserve"> HYPERLINK "mailto:CDRH-" </w:instrText>
      </w:r>
      <w:r>
        <w:fldChar w:fldCharType="separate"/>
      </w:r>
      <w:r>
        <w:rPr>
          <w:rStyle w:val="11"/>
          <w:sz w:val="24"/>
          <w:lang w:eastAsia="zh-CN"/>
        </w:rPr>
        <w:t>CDRH-</w:t>
      </w:r>
      <w:r>
        <w:rPr>
          <w:rStyle w:val="11"/>
          <w:sz w:val="24"/>
          <w:lang w:eastAsia="zh-CN"/>
        </w:rPr>
        <w:fldChar w:fldCharType="end"/>
      </w:r>
      <w:r>
        <w:fldChar w:fldCharType="begin"/>
      </w:r>
      <w:r>
        <w:instrText xml:space="preserve"> HYPERLINK "mailto:Guidance@fda.hhs.gov" </w:instrText>
      </w:r>
      <w:r>
        <w:fldChar w:fldCharType="separate"/>
      </w:r>
      <w:r>
        <w:rPr>
          <w:rStyle w:val="11"/>
          <w:sz w:val="24"/>
          <w:lang w:eastAsia="zh-CN"/>
        </w:rPr>
        <w:t>Guidance@fda.hhs.gov</w:t>
      </w:r>
      <w:r>
        <w:rPr>
          <w:rStyle w:val="11"/>
          <w:sz w:val="24"/>
          <w:lang w:eastAsia="zh-CN"/>
        </w:rPr>
        <w:fldChar w:fldCharType="end"/>
      </w:r>
      <w:r>
        <w:rPr>
          <w:sz w:val="24"/>
          <w:lang w:eastAsia="zh-CN"/>
        </w:rPr>
        <w:t>发送电子邮件申请，以获得本指南的</w:t>
      </w:r>
      <w:r>
        <w:rPr>
          <w:rFonts w:hint="eastAsia"/>
          <w:sz w:val="24"/>
          <w:lang w:eastAsia="zh-CN"/>
        </w:rPr>
        <w:t>更多</w:t>
      </w:r>
      <w:r>
        <w:rPr>
          <w:sz w:val="24"/>
          <w:lang w:eastAsia="zh-CN"/>
        </w:rPr>
        <w:t>副本。请在申请中提供文件编号20029和完整的指南标题。</w:t>
      </w:r>
    </w:p>
    <w:p w14:paraId="5B8CDF31">
      <w:pPr>
        <w:snapToGrid w:val="0"/>
        <w:spacing w:before="120" w:beforeLines="50"/>
        <w:rPr>
          <w:sz w:val="24"/>
          <w:lang w:eastAsia="zh-CN"/>
        </w:rPr>
      </w:pPr>
    </w:p>
    <w:p w14:paraId="465B50F6">
      <w:pPr>
        <w:snapToGrid w:val="0"/>
        <w:spacing w:before="120" w:beforeLines="50"/>
        <w:jc w:val="both"/>
        <w:rPr>
          <w:sz w:val="28"/>
          <w:szCs w:val="28"/>
          <w:lang w:eastAsia="zh-CN"/>
        </w:rPr>
      </w:pPr>
      <w:bookmarkStart w:id="3" w:name="bookmark3"/>
      <w:r>
        <w:rPr>
          <w:b/>
          <w:bCs/>
          <w:sz w:val="28"/>
          <w:szCs w:val="28"/>
          <w:lang w:eastAsia="zh-CN"/>
        </w:rPr>
        <w:t>问题</w:t>
      </w:r>
      <w:bookmarkEnd w:id="3"/>
    </w:p>
    <w:p w14:paraId="383DD85E">
      <w:pPr>
        <w:snapToGrid w:val="0"/>
        <w:spacing w:before="120" w:beforeLines="50"/>
        <w:rPr>
          <w:sz w:val="24"/>
          <w:lang w:eastAsia="zh-CN"/>
        </w:rPr>
      </w:pPr>
      <w:r>
        <w:rPr>
          <w:rFonts w:hint="eastAsia"/>
          <w:sz w:val="24"/>
          <w:lang w:eastAsia="zh-CN"/>
        </w:rPr>
        <w:t>如对本文件有任何疑问</w:t>
      </w:r>
      <w:r>
        <w:rPr>
          <w:sz w:val="24"/>
          <w:lang w:eastAsia="zh-CN"/>
        </w:rPr>
        <w:t>，请联系1-888-INFO-FDA或</w:t>
      </w:r>
      <w:r>
        <w:fldChar w:fldCharType="begin"/>
      </w:r>
      <w:r>
        <w:instrText xml:space="preserve"> HYPERLINK "邮箱：CDRH-COVID19-DigitalPathology@fda.hhs.gov" </w:instrText>
      </w:r>
      <w:r>
        <w:fldChar w:fldCharType="separate"/>
      </w:r>
      <w:r>
        <w:rPr>
          <w:rStyle w:val="11"/>
          <w:color w:val="0000FF"/>
          <w:sz w:val="24"/>
          <w:u w:val="none"/>
          <w:lang w:eastAsia="zh-CN"/>
        </w:rPr>
        <w:t xml:space="preserve"> </w:t>
      </w:r>
      <w:r>
        <w:rPr>
          <w:rStyle w:val="11"/>
          <w:color w:val="0000FF"/>
          <w:sz w:val="24"/>
          <w:lang w:eastAsia="zh-CN"/>
        </w:rPr>
        <w:t>CDRH-COVID19-</w:t>
      </w:r>
      <w:r>
        <w:rPr>
          <w:rStyle w:val="11"/>
          <w:color w:val="0000FF"/>
          <w:sz w:val="24"/>
          <w:lang w:eastAsia="zh-CN"/>
        </w:rPr>
        <w:fldChar w:fldCharType="end"/>
      </w:r>
      <w:r>
        <w:fldChar w:fldCharType="begin"/>
      </w:r>
      <w:r>
        <w:instrText xml:space="preserve"> HYPERLINK "邮箱：DigitalPathology@fda.hhs.gov" </w:instrText>
      </w:r>
      <w:r>
        <w:fldChar w:fldCharType="separate"/>
      </w:r>
      <w:r>
        <w:rPr>
          <w:rStyle w:val="11"/>
          <w:color w:val="0000FF"/>
          <w:sz w:val="24"/>
          <w:lang w:eastAsia="zh-CN"/>
        </w:rPr>
        <w:t xml:space="preserve"> DigitalPathology@fda.hhs.gov</w:t>
      </w:r>
      <w:r>
        <w:rPr>
          <w:rStyle w:val="11"/>
          <w:color w:val="0000FF"/>
          <w:sz w:val="24"/>
          <w:lang w:eastAsia="zh-CN"/>
        </w:rPr>
        <w:fldChar w:fldCharType="end"/>
      </w:r>
      <w:r>
        <w:fldChar w:fldCharType="begin"/>
      </w:r>
      <w:r>
        <w:instrText xml:space="preserve"> HYPERLINK "邮箱：CDRH-COVID19-DigitalPathology@fda.hhs.gov" </w:instrText>
      </w:r>
      <w:r>
        <w:fldChar w:fldCharType="separate"/>
      </w:r>
      <w:r>
        <w:rPr>
          <w:rStyle w:val="11"/>
          <w:color w:val="0000FF"/>
          <w:sz w:val="24"/>
          <w:lang w:eastAsia="zh-CN"/>
        </w:rPr>
        <w:t>。</w:t>
      </w:r>
      <w:r>
        <w:rPr>
          <w:rStyle w:val="11"/>
          <w:color w:val="0000FF"/>
          <w:sz w:val="24"/>
          <w:lang w:eastAsia="zh-CN"/>
        </w:rPr>
        <w:fldChar w:fldCharType="end"/>
      </w:r>
      <w:r>
        <w:rPr>
          <w:color w:val="0000FF"/>
          <w:sz w:val="24"/>
          <w:lang w:eastAsia="zh-CN"/>
        </w:rPr>
        <w:br w:type="page"/>
      </w:r>
    </w:p>
    <w:p w14:paraId="37A25050">
      <w:pPr>
        <w:snapToGrid w:val="0"/>
        <w:spacing w:before="120" w:beforeLines="50"/>
        <w:jc w:val="center"/>
        <w:rPr>
          <w:b/>
          <w:bCs/>
          <w:sz w:val="28"/>
          <w:szCs w:val="28"/>
          <w:lang w:eastAsia="zh-CN"/>
        </w:rPr>
      </w:pPr>
      <w:bookmarkStart w:id="4" w:name="bookmark4"/>
      <w:r>
        <w:rPr>
          <w:b/>
          <w:bCs/>
          <w:sz w:val="28"/>
          <w:szCs w:val="28"/>
          <w:lang w:eastAsia="zh-CN"/>
        </w:rPr>
        <w:t>目录</w:t>
      </w:r>
      <w:bookmarkEnd w:id="4"/>
    </w:p>
    <w:p w14:paraId="68EFCF72">
      <w:pPr>
        <w:snapToGrid w:val="0"/>
        <w:spacing w:before="120" w:beforeLines="50"/>
        <w:jc w:val="center"/>
        <w:rPr>
          <w:sz w:val="28"/>
          <w:szCs w:val="28"/>
          <w:lang w:eastAsia="zh-CN"/>
        </w:rPr>
      </w:pPr>
    </w:p>
    <w:p w14:paraId="52F64611">
      <w:pPr>
        <w:pStyle w:val="7"/>
        <w:spacing w:before="120"/>
        <w:rPr>
          <w:color w:val="auto"/>
          <w:kern w:val="2"/>
          <w:sz w:val="21"/>
          <w:szCs w:val="22"/>
          <w:lang w:eastAsia="zh-CN" w:bidi="ar-SA"/>
        </w:rPr>
      </w:pPr>
      <w:r>
        <w:rPr>
          <w:b/>
          <w:bCs/>
          <w:lang w:eastAsia="zh-CN"/>
        </w:rPr>
        <w:fldChar w:fldCharType="begin"/>
      </w:r>
      <w:r>
        <w:rPr>
          <w:b/>
          <w:bCs/>
          <w:lang w:eastAsia="zh-CN"/>
        </w:rPr>
        <w:instrText xml:space="preserve"> TOC \o "1-2" \t "样式m1,1,样式m2,2" </w:instrText>
      </w:r>
      <w:r>
        <w:rPr>
          <w:b/>
          <w:bCs/>
        </w:rPr>
        <w:fldChar w:fldCharType="separate"/>
      </w:r>
      <w:r>
        <w:rPr>
          <w:lang w:eastAsia="zh-CN"/>
        </w:rPr>
        <w:t>I.</w:t>
      </w:r>
      <w:r>
        <w:rPr>
          <w:color w:val="auto"/>
          <w:kern w:val="2"/>
          <w:sz w:val="21"/>
          <w:szCs w:val="22"/>
          <w:lang w:eastAsia="zh-CN" w:bidi="ar-SA"/>
        </w:rPr>
        <w:tab/>
      </w:r>
      <w:r>
        <w:rPr>
          <w:lang w:eastAsia="zh-CN"/>
        </w:rPr>
        <w:t>引言</w:t>
      </w:r>
      <w:r>
        <w:rPr>
          <w:lang w:eastAsia="zh-CN"/>
        </w:rPr>
        <w:tab/>
      </w:r>
      <w:r>
        <w:fldChar w:fldCharType="begin"/>
      </w:r>
      <w:r>
        <w:rPr>
          <w:lang w:eastAsia="zh-CN"/>
        </w:rPr>
        <w:instrText xml:space="preserve"> PAGEREF _Toc97317838 \h </w:instrText>
      </w:r>
      <w:r>
        <w:fldChar w:fldCharType="separate"/>
      </w:r>
      <w:r>
        <w:rPr>
          <w:lang w:eastAsia="zh-CN"/>
        </w:rPr>
        <w:t>1</w:t>
      </w:r>
      <w:r>
        <w:fldChar w:fldCharType="end"/>
      </w:r>
    </w:p>
    <w:p w14:paraId="4CEAEB78">
      <w:pPr>
        <w:pStyle w:val="7"/>
        <w:spacing w:before="120"/>
        <w:rPr>
          <w:color w:val="auto"/>
          <w:kern w:val="2"/>
          <w:sz w:val="21"/>
          <w:szCs w:val="22"/>
          <w:lang w:eastAsia="zh-CN" w:bidi="ar-SA"/>
        </w:rPr>
      </w:pPr>
      <w:r>
        <w:rPr>
          <w:lang w:eastAsia="zh-CN"/>
        </w:rPr>
        <w:t>II.</w:t>
      </w:r>
      <w:r>
        <w:rPr>
          <w:color w:val="auto"/>
          <w:kern w:val="2"/>
          <w:sz w:val="21"/>
          <w:szCs w:val="22"/>
          <w:lang w:eastAsia="zh-CN" w:bidi="ar-SA"/>
        </w:rPr>
        <w:tab/>
      </w:r>
      <w:r>
        <w:rPr>
          <w:lang w:eastAsia="zh-CN"/>
        </w:rPr>
        <w:t>背景</w:t>
      </w:r>
      <w:r>
        <w:rPr>
          <w:lang w:eastAsia="zh-CN"/>
        </w:rPr>
        <w:tab/>
      </w:r>
      <w:r>
        <w:fldChar w:fldCharType="begin"/>
      </w:r>
      <w:r>
        <w:rPr>
          <w:lang w:eastAsia="zh-CN"/>
        </w:rPr>
        <w:instrText xml:space="preserve"> PAGEREF _Toc97317839 \h </w:instrText>
      </w:r>
      <w:r>
        <w:fldChar w:fldCharType="separate"/>
      </w:r>
      <w:r>
        <w:rPr>
          <w:lang w:eastAsia="zh-CN"/>
        </w:rPr>
        <w:t>2</w:t>
      </w:r>
      <w:r>
        <w:fldChar w:fldCharType="end"/>
      </w:r>
    </w:p>
    <w:p w14:paraId="6B5826A5">
      <w:pPr>
        <w:pStyle w:val="7"/>
        <w:spacing w:before="120"/>
        <w:rPr>
          <w:color w:val="auto"/>
          <w:kern w:val="2"/>
          <w:sz w:val="21"/>
          <w:szCs w:val="22"/>
          <w:lang w:eastAsia="zh-CN" w:bidi="ar-SA"/>
        </w:rPr>
      </w:pPr>
      <w:r>
        <w:rPr>
          <w:lang w:eastAsia="zh-CN"/>
        </w:rPr>
        <w:t xml:space="preserve">III. </w:t>
      </w:r>
      <w:r>
        <w:rPr>
          <w:color w:val="auto"/>
          <w:kern w:val="2"/>
          <w:sz w:val="21"/>
          <w:szCs w:val="22"/>
          <w:lang w:eastAsia="zh-CN" w:bidi="ar-SA"/>
        </w:rPr>
        <w:tab/>
      </w:r>
      <w:r>
        <w:rPr>
          <w:lang w:eastAsia="zh-CN"/>
        </w:rPr>
        <w:t>范围</w:t>
      </w:r>
      <w:r>
        <w:rPr>
          <w:lang w:eastAsia="zh-CN"/>
        </w:rPr>
        <w:tab/>
      </w:r>
      <w:r>
        <w:fldChar w:fldCharType="begin"/>
      </w:r>
      <w:r>
        <w:rPr>
          <w:lang w:eastAsia="zh-CN"/>
        </w:rPr>
        <w:instrText xml:space="preserve"> PAGEREF _Toc97317840 \h </w:instrText>
      </w:r>
      <w:r>
        <w:fldChar w:fldCharType="separate"/>
      </w:r>
      <w:r>
        <w:rPr>
          <w:lang w:eastAsia="zh-CN"/>
        </w:rPr>
        <w:t>2</w:t>
      </w:r>
      <w:r>
        <w:fldChar w:fldCharType="end"/>
      </w:r>
    </w:p>
    <w:p w14:paraId="2FCF6FCB">
      <w:pPr>
        <w:pStyle w:val="7"/>
        <w:spacing w:before="120"/>
        <w:rPr>
          <w:color w:val="auto"/>
          <w:kern w:val="2"/>
          <w:sz w:val="21"/>
          <w:szCs w:val="22"/>
          <w:lang w:eastAsia="zh-CN" w:bidi="ar-SA"/>
        </w:rPr>
      </w:pPr>
      <w:r>
        <w:rPr>
          <w:lang w:eastAsia="zh-CN"/>
        </w:rPr>
        <w:t>IV.</w:t>
      </w:r>
      <w:r>
        <w:rPr>
          <w:color w:val="auto"/>
          <w:kern w:val="2"/>
          <w:sz w:val="21"/>
          <w:szCs w:val="22"/>
          <w:lang w:eastAsia="zh-CN" w:bidi="ar-SA"/>
        </w:rPr>
        <w:tab/>
      </w:r>
      <w:r>
        <w:rPr>
          <w:lang w:eastAsia="zh-CN"/>
        </w:rPr>
        <w:t>政策</w:t>
      </w:r>
      <w:r>
        <w:rPr>
          <w:lang w:eastAsia="zh-CN"/>
        </w:rPr>
        <w:tab/>
      </w:r>
      <w:r>
        <w:fldChar w:fldCharType="begin"/>
      </w:r>
      <w:r>
        <w:rPr>
          <w:lang w:eastAsia="zh-CN"/>
        </w:rPr>
        <w:instrText xml:space="preserve"> PAGEREF _Toc97317841 \h </w:instrText>
      </w:r>
      <w:r>
        <w:fldChar w:fldCharType="separate"/>
      </w:r>
      <w:r>
        <w:rPr>
          <w:lang w:eastAsia="zh-CN"/>
        </w:rPr>
        <w:t>3</w:t>
      </w:r>
      <w:r>
        <w:fldChar w:fldCharType="end"/>
      </w:r>
    </w:p>
    <w:p w14:paraId="44008F4B">
      <w:pPr>
        <w:pStyle w:val="8"/>
        <w:spacing w:before="120"/>
        <w:ind w:left="912" w:hanging="492"/>
        <w:rPr>
          <w:color w:val="auto"/>
          <w:kern w:val="2"/>
          <w:sz w:val="21"/>
          <w:szCs w:val="22"/>
          <w:lang w:eastAsia="zh-CN" w:bidi="ar-SA"/>
        </w:rPr>
      </w:pPr>
      <w:r>
        <w:rPr>
          <w:lang w:eastAsia="zh-CN"/>
        </w:rPr>
        <w:t>A.</w:t>
      </w:r>
      <w:r>
        <w:rPr>
          <w:color w:val="auto"/>
          <w:kern w:val="2"/>
          <w:sz w:val="21"/>
          <w:szCs w:val="22"/>
          <w:lang w:eastAsia="zh-CN" w:bidi="ar-SA"/>
        </w:rPr>
        <w:tab/>
      </w:r>
      <w:r>
        <w:rPr>
          <w:lang w:eastAsia="zh-CN"/>
        </w:rPr>
        <w:t>概述</w:t>
      </w:r>
      <w:r>
        <w:rPr>
          <w:lang w:eastAsia="zh-CN"/>
        </w:rPr>
        <w:tab/>
      </w:r>
      <w:r>
        <w:fldChar w:fldCharType="begin"/>
      </w:r>
      <w:r>
        <w:rPr>
          <w:lang w:eastAsia="zh-CN"/>
        </w:rPr>
        <w:instrText xml:space="preserve"> PAGEREF _Toc97317842 \h </w:instrText>
      </w:r>
      <w:r>
        <w:fldChar w:fldCharType="separate"/>
      </w:r>
      <w:r>
        <w:rPr>
          <w:lang w:eastAsia="zh-CN"/>
        </w:rPr>
        <w:t>3</w:t>
      </w:r>
      <w:r>
        <w:fldChar w:fldCharType="end"/>
      </w:r>
    </w:p>
    <w:p w14:paraId="64861433">
      <w:pPr>
        <w:pStyle w:val="8"/>
        <w:spacing w:before="120"/>
        <w:ind w:left="912" w:hanging="492"/>
        <w:rPr>
          <w:color w:val="auto"/>
          <w:kern w:val="2"/>
          <w:sz w:val="21"/>
          <w:szCs w:val="22"/>
          <w:lang w:eastAsia="zh-CN" w:bidi="ar-SA"/>
        </w:rPr>
      </w:pPr>
      <w:r>
        <w:rPr>
          <w:lang w:eastAsia="zh-CN"/>
        </w:rPr>
        <w:t>B.</w:t>
      </w:r>
      <w:r>
        <w:rPr>
          <w:color w:val="auto"/>
          <w:kern w:val="2"/>
          <w:sz w:val="21"/>
          <w:szCs w:val="22"/>
          <w:lang w:eastAsia="zh-CN" w:bidi="ar-SA"/>
        </w:rPr>
        <w:tab/>
      </w:r>
      <w:r>
        <w:rPr>
          <w:lang w:eastAsia="zh-CN"/>
        </w:rPr>
        <w:t>说明书和性能</w:t>
      </w:r>
      <w:r>
        <w:rPr>
          <w:lang w:eastAsia="zh-CN"/>
        </w:rPr>
        <w:tab/>
      </w:r>
      <w:r>
        <w:fldChar w:fldCharType="begin"/>
      </w:r>
      <w:r>
        <w:rPr>
          <w:lang w:eastAsia="zh-CN"/>
        </w:rPr>
        <w:instrText xml:space="preserve"> PAGEREF _Toc97317843 \h </w:instrText>
      </w:r>
      <w:r>
        <w:fldChar w:fldCharType="separate"/>
      </w:r>
      <w:r>
        <w:rPr>
          <w:lang w:eastAsia="zh-CN"/>
        </w:rPr>
        <w:t>4</w:t>
      </w:r>
      <w:r>
        <w:fldChar w:fldCharType="end"/>
      </w:r>
    </w:p>
    <w:p w14:paraId="06C1CE35">
      <w:pPr>
        <w:pStyle w:val="8"/>
        <w:spacing w:before="120"/>
        <w:ind w:left="912" w:hanging="492"/>
        <w:rPr>
          <w:color w:val="auto"/>
          <w:kern w:val="2"/>
          <w:sz w:val="21"/>
          <w:szCs w:val="22"/>
          <w:lang w:eastAsia="zh-CN" w:bidi="ar-SA"/>
        </w:rPr>
      </w:pPr>
      <w:r>
        <w:rPr>
          <w:lang w:eastAsia="zh-CN"/>
        </w:rPr>
        <w:t>C.</w:t>
      </w:r>
      <w:r>
        <w:rPr>
          <w:color w:val="auto"/>
          <w:kern w:val="2"/>
          <w:sz w:val="21"/>
          <w:szCs w:val="22"/>
          <w:lang w:eastAsia="zh-CN" w:bidi="ar-SA"/>
        </w:rPr>
        <w:tab/>
      </w:r>
      <w:r>
        <w:rPr>
          <w:lang w:eastAsia="zh-CN"/>
        </w:rPr>
        <w:t>其他有用资源</w:t>
      </w:r>
      <w:r>
        <w:rPr>
          <w:lang w:eastAsia="zh-CN"/>
        </w:rPr>
        <w:tab/>
      </w:r>
      <w:r>
        <w:fldChar w:fldCharType="begin"/>
      </w:r>
      <w:r>
        <w:rPr>
          <w:lang w:eastAsia="zh-CN"/>
        </w:rPr>
        <w:instrText xml:space="preserve"> PAGEREF _Toc97317844 \h </w:instrText>
      </w:r>
      <w:r>
        <w:fldChar w:fldCharType="separate"/>
      </w:r>
      <w:r>
        <w:rPr>
          <w:lang w:eastAsia="zh-CN"/>
        </w:rPr>
        <w:t>6</w:t>
      </w:r>
      <w:r>
        <w:fldChar w:fldCharType="end"/>
      </w:r>
    </w:p>
    <w:p w14:paraId="54108D63">
      <w:pPr>
        <w:tabs>
          <w:tab w:val="left" w:pos="1071"/>
          <w:tab w:val="right" w:leader="dot" w:pos="9768"/>
        </w:tabs>
        <w:snapToGrid w:val="0"/>
        <w:spacing w:before="120" w:beforeLines="50"/>
        <w:jc w:val="both"/>
        <w:rPr>
          <w:b/>
          <w:bCs/>
          <w:sz w:val="24"/>
          <w:lang w:eastAsia="zh-CN"/>
        </w:rPr>
      </w:pPr>
      <w:r>
        <w:rPr>
          <w:b/>
          <w:bCs/>
          <w:sz w:val="24"/>
        </w:rPr>
        <w:fldChar w:fldCharType="end"/>
      </w:r>
    </w:p>
    <w:p w14:paraId="1A0CE968">
      <w:pPr>
        <w:tabs>
          <w:tab w:val="left" w:pos="1071"/>
          <w:tab w:val="right" w:leader="dot" w:pos="9768"/>
        </w:tabs>
        <w:snapToGrid w:val="0"/>
        <w:spacing w:before="120" w:beforeLines="50"/>
        <w:jc w:val="both"/>
        <w:rPr>
          <w:lang w:eastAsia="zh-CN"/>
        </w:rPr>
      </w:pPr>
    </w:p>
    <w:p w14:paraId="7C62F778">
      <w:pPr>
        <w:tabs>
          <w:tab w:val="left" w:pos="1071"/>
          <w:tab w:val="right" w:leader="dot" w:pos="9768"/>
        </w:tabs>
        <w:snapToGrid w:val="0"/>
        <w:spacing w:before="120" w:beforeLines="50"/>
        <w:jc w:val="both"/>
        <w:rPr>
          <w:lang w:eastAsia="zh-CN"/>
        </w:rPr>
        <w:sectPr>
          <w:headerReference r:id="rId5" w:type="default"/>
          <w:type w:val="continuous"/>
          <w:pgSz w:w="11907" w:h="16840"/>
          <w:pgMar w:top="1429" w:right="1797" w:bottom="1429" w:left="1797" w:header="720" w:footer="720" w:gutter="0"/>
          <w:cols w:space="720" w:num="1"/>
          <w:docGrid w:linePitch="360" w:charSpace="0"/>
        </w:sectPr>
      </w:pPr>
    </w:p>
    <w:p w14:paraId="7BBCBBBD">
      <w:pPr>
        <w:pStyle w:val="13"/>
        <w:spacing w:before="120"/>
        <w:rPr>
          <w:lang w:eastAsia="zh-CN"/>
        </w:rPr>
      </w:pPr>
      <w:r>
        <w:rPr>
          <w:lang w:eastAsia="zh-CN"/>
        </w:rPr>
        <w:t>新型冠状病毒肺炎（COVID-19）突发公共卫生事件期间有关远程数字病理器械的执行政策</w:t>
      </w:r>
    </w:p>
    <w:p w14:paraId="127B3953">
      <w:pPr>
        <w:pStyle w:val="14"/>
        <w:spacing w:before="120"/>
        <w:rPr>
          <w:lang w:eastAsia="zh-CN"/>
        </w:rPr>
      </w:pPr>
      <w:r>
        <w:rPr>
          <w:lang w:eastAsia="zh-CN"/>
        </w:rPr>
        <w:t>行业、临床实验室、医疗机构、病理学家和美国食品药品监督管理局工作人员指南</w:t>
      </w:r>
    </w:p>
    <w:p w14:paraId="1C52DBC7">
      <w:pPr>
        <w:snapToGrid w:val="0"/>
        <w:spacing w:before="120" w:beforeLines="50"/>
        <w:jc w:val="both"/>
        <w:rPr>
          <w:lang w:eastAsia="zh-CN"/>
        </w:rPr>
      </w:pPr>
    </w:p>
    <w:tbl>
      <w:tblPr>
        <w:tblStyle w:val="9"/>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14:paraId="197BDFB2">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rPr>
          <w:trHeight w:val="1611" w:hRule="atLeast"/>
        </w:trPr>
        <w:tc>
          <w:tcPr>
            <w:tcW w:w="8973" w:type="dxa"/>
            <w:shd w:val="clear" w:color="auto" w:fill="FFFFFF"/>
            <w:vAlign w:val="center"/>
          </w:tcPr>
          <w:p w14:paraId="31C624BB">
            <w:pPr>
              <w:snapToGrid w:val="0"/>
              <w:spacing w:before="120" w:beforeLines="50"/>
              <w:jc w:val="both"/>
              <w:rPr>
                <w:lang w:eastAsia="zh-CN"/>
              </w:rPr>
            </w:pPr>
            <w:r>
              <w:rPr>
                <w:b/>
                <w:i/>
                <w:sz w:val="24"/>
                <w:lang w:eastAsia="zh-CN"/>
              </w:rPr>
              <w:t>本指南代表美国食品药品监督管理局（FDA）对该主题的当前看法。本文件不赋予任何人任何权利，对FDA或公众不具有约束力。如果替代方法满足</w:t>
            </w:r>
            <w:commentRangeStart w:id="0"/>
            <w:r>
              <w:rPr>
                <w:b/>
                <w:i/>
                <w:sz w:val="24"/>
                <w:lang w:eastAsia="zh-CN"/>
              </w:rPr>
              <w:t>适用</w:t>
            </w:r>
            <w:r>
              <w:rPr>
                <w:rFonts w:hint="eastAsia"/>
                <w:b/>
                <w:i/>
                <w:sz w:val="24"/>
                <w:lang w:eastAsia="zh-CN"/>
              </w:rPr>
              <w:t>的情形和</w:t>
            </w:r>
            <w:r>
              <w:rPr>
                <w:b/>
                <w:i/>
                <w:sz w:val="24"/>
                <w:lang w:eastAsia="zh-CN"/>
              </w:rPr>
              <w:t>法规</w:t>
            </w:r>
            <w:commentRangeEnd w:id="0"/>
            <w:r>
              <w:rPr>
                <w:rStyle w:val="12"/>
              </w:rPr>
              <w:commentReference w:id="0"/>
            </w:r>
            <w:r>
              <w:rPr>
                <w:b/>
                <w:i/>
                <w:sz w:val="24"/>
                <w:lang w:eastAsia="zh-CN"/>
              </w:rPr>
              <w:t>的要求，则贵司可使用替代方法。如需讨论替代方法，请联系标题页所列负责本指南的FDA工作人员或办公室</w:t>
            </w:r>
            <w:r>
              <w:rPr>
                <w:rFonts w:hint="eastAsia"/>
                <w:sz w:val="24"/>
                <w:lang w:eastAsia="zh-CN"/>
              </w:rPr>
              <w:t>。</w:t>
            </w:r>
          </w:p>
        </w:tc>
      </w:tr>
    </w:tbl>
    <w:p w14:paraId="40416743">
      <w:pPr>
        <w:pStyle w:val="15"/>
        <w:spacing w:before="120" w:after="120"/>
        <w:rPr>
          <w:lang w:eastAsia="zh-CN"/>
        </w:rPr>
      </w:pPr>
      <w:bookmarkStart w:id="5" w:name="bookmark5"/>
      <w:bookmarkStart w:id="6" w:name="bookmark6"/>
      <w:bookmarkStart w:id="7" w:name="_Toc97317838"/>
    </w:p>
    <w:p w14:paraId="282346A4">
      <w:pPr>
        <w:pStyle w:val="15"/>
        <w:spacing w:before="120" w:after="120"/>
        <w:rPr>
          <w:lang w:eastAsia="zh-CN"/>
        </w:rPr>
      </w:pPr>
      <w:r>
        <w:rPr>
          <w:lang w:eastAsia="zh-CN"/>
        </w:rPr>
        <w:t>I.</w:t>
      </w:r>
      <w:r>
        <w:rPr>
          <w:lang w:eastAsia="zh-CN"/>
        </w:rPr>
        <w:tab/>
      </w:r>
      <w:r>
        <w:rPr>
          <w:lang w:eastAsia="zh-CN"/>
        </w:rPr>
        <w:t>引言</w:t>
      </w:r>
      <w:bookmarkEnd w:id="5"/>
      <w:bookmarkEnd w:id="6"/>
      <w:bookmarkEnd w:id="7"/>
    </w:p>
    <w:p w14:paraId="6C59B820">
      <w:pPr>
        <w:snapToGrid w:val="0"/>
        <w:spacing w:before="120" w:beforeLines="50"/>
        <w:jc w:val="both"/>
        <w:rPr>
          <w:sz w:val="24"/>
          <w:lang w:eastAsia="zh-CN"/>
        </w:rPr>
      </w:pPr>
      <w:r>
        <w:rPr>
          <w:sz w:val="24"/>
          <w:lang w:eastAsia="zh-CN"/>
        </w:rPr>
        <w:t>美国食品药品监督管理局（FDA）在</w:t>
      </w:r>
      <w:r>
        <w:rPr>
          <w:rFonts w:hint="eastAsia"/>
          <w:sz w:val="24"/>
          <w:lang w:eastAsia="zh-CN"/>
        </w:rPr>
        <w:t>防止</w:t>
      </w:r>
      <w:r>
        <w:rPr>
          <w:sz w:val="24"/>
          <w:lang w:eastAsia="zh-CN"/>
        </w:rPr>
        <w:t>美国</w:t>
      </w:r>
      <w:r>
        <w:rPr>
          <w:rFonts w:hint="eastAsia"/>
          <w:sz w:val="24"/>
          <w:lang w:eastAsia="zh-CN"/>
        </w:rPr>
        <w:t>受到</w:t>
      </w:r>
      <w:r>
        <w:rPr>
          <w:sz w:val="24"/>
          <w:lang w:eastAsia="zh-CN"/>
        </w:rPr>
        <w:t>诸如新型传染病（包括</w:t>
      </w:r>
      <w:r>
        <w:rPr>
          <w:rFonts w:hint="eastAsia"/>
          <w:sz w:val="24"/>
          <w:lang w:eastAsia="zh-CN"/>
        </w:rPr>
        <w:t>2</w:t>
      </w:r>
      <w:r>
        <w:rPr>
          <w:sz w:val="24"/>
          <w:lang w:eastAsia="zh-CN"/>
        </w:rPr>
        <w:t>019</w:t>
      </w:r>
      <w:r>
        <w:rPr>
          <w:rFonts w:hint="eastAsia"/>
          <w:sz w:val="24"/>
          <w:lang w:eastAsia="zh-CN"/>
        </w:rPr>
        <w:t>年</w:t>
      </w:r>
      <w:r>
        <w:rPr>
          <w:sz w:val="24"/>
          <w:lang w:eastAsia="zh-CN"/>
        </w:rPr>
        <w:t>新型冠状病毒肺炎（COVID-19）疫情）等威胁方面发挥着关键作用。FDA承诺及时提供指导，以支持应对</w:t>
      </w:r>
      <w:r>
        <w:rPr>
          <w:rFonts w:hint="eastAsia"/>
          <w:sz w:val="24"/>
          <w:lang w:eastAsia="zh-CN"/>
        </w:rPr>
        <w:t>此次</w:t>
      </w:r>
      <w:r>
        <w:rPr>
          <w:sz w:val="24"/>
          <w:lang w:eastAsia="zh-CN"/>
        </w:rPr>
        <w:t>疫情。</w:t>
      </w:r>
    </w:p>
    <w:p w14:paraId="48F98675">
      <w:pPr>
        <w:snapToGrid w:val="0"/>
        <w:spacing w:before="120" w:beforeLines="50"/>
        <w:jc w:val="both"/>
        <w:rPr>
          <w:sz w:val="24"/>
          <w:lang w:eastAsia="zh-CN"/>
        </w:rPr>
      </w:pPr>
      <w:r>
        <w:rPr>
          <w:sz w:val="24"/>
          <w:lang w:eastAsia="zh-CN"/>
        </w:rPr>
        <w:t>FDA发布本指南的目的是在此次疫情期间提供一项政策，以帮助扩大用于远程审查和报告病理切片（“数字病理切片”）的扫描数字图像的器械（以下将这些器械简称为“远程数字病理器械”）的可及性。</w:t>
      </w:r>
    </w:p>
    <w:p w14:paraId="27A80076">
      <w:pPr>
        <w:snapToGrid w:val="0"/>
        <w:spacing w:before="120" w:beforeLines="50"/>
        <w:jc w:val="both"/>
        <w:rPr>
          <w:sz w:val="24"/>
        </w:rPr>
      </w:pPr>
      <w:r>
        <w:rPr>
          <w:sz w:val="24"/>
          <w:lang w:eastAsia="zh-CN"/>
        </w:rPr>
        <w:t>本政策只在HHS宣布的COVID-19突发公共卫生事件期间有效，包括HHS部长按照公共卫生服务法（PHS）的第319(a)(2)节进行的更新（42 U.S.C. 247d(a)(2)）。</w:t>
      </w:r>
    </w:p>
    <w:p w14:paraId="73266D0E">
      <w:pPr>
        <w:snapToGrid w:val="0"/>
        <w:spacing w:before="120" w:beforeLines="50"/>
        <w:rPr>
          <w:sz w:val="24"/>
          <w:lang w:eastAsia="zh-CN"/>
        </w:rPr>
      </w:pPr>
      <w:r>
        <w:rPr>
          <w:sz w:val="24"/>
          <w:lang w:eastAsia="zh-CN"/>
        </w:rPr>
        <w:t>考虑到此次突发公共卫生事件，</w:t>
      </w:r>
      <w:r>
        <w:rPr>
          <w:rFonts w:hint="eastAsia"/>
          <w:sz w:val="24"/>
          <w:lang w:eastAsia="zh-CN"/>
        </w:rPr>
        <w:t>并根据2020年3月25日《联邦公报》中题为“提供新型冠状病毒肺炎相关指导文件的程序”的通知</w:t>
      </w:r>
      <w:r>
        <w:rPr>
          <w:sz w:val="24"/>
          <w:lang w:eastAsia="zh-CN"/>
        </w:rPr>
        <w:t>（请访问</w:t>
      </w:r>
      <w:r>
        <w:fldChar w:fldCharType="begin"/>
      </w:r>
      <w:r>
        <w:instrText xml:space="preserve"> HYPERLINK "https://www.govinfo.gov/content/pkg/FR-2020-03-25/pdf/2020-06222.pdf." </w:instrText>
      </w:r>
      <w:r>
        <w:fldChar w:fldCharType="separate"/>
      </w:r>
      <w:r>
        <w:rPr>
          <w:rStyle w:val="11"/>
          <w:sz w:val="24"/>
          <w:lang w:eastAsia="zh-CN"/>
        </w:rPr>
        <w:t>https://www.govinfo.gov/content/pkg/FR-2020-03-25/pdf/2020-06222.pdf.</w:t>
      </w:r>
      <w:r>
        <w:rPr>
          <w:rStyle w:val="11"/>
          <w:sz w:val="24"/>
          <w:lang w:eastAsia="zh-CN"/>
        </w:rPr>
        <w:fldChar w:fldCharType="end"/>
      </w:r>
      <w:r>
        <w:rPr>
          <w:sz w:val="24"/>
          <w:lang w:eastAsia="zh-CN"/>
        </w:rPr>
        <w:t>），由于FDA已经确定公众事先参与制定本指南不可行或不适当，因此本指南的实施事先未采纳公众意见（见美国联邦食品、药品和化妆品法案（《FD&amp;C法案》）第701(h)(1)(C)</w:t>
      </w:r>
      <w:r>
        <w:rPr>
          <w:rFonts w:hint="eastAsia"/>
          <w:sz w:val="24"/>
          <w:lang w:eastAsia="zh-CN"/>
        </w:rPr>
        <w:t>项</w:t>
      </w:r>
      <w:r>
        <w:rPr>
          <w:sz w:val="24"/>
          <w:lang w:eastAsia="zh-CN"/>
        </w:rPr>
        <w:t>（</w:t>
      </w:r>
      <w:r>
        <w:rPr>
          <w:rFonts w:hint="eastAsia"/>
          <w:sz w:val="24"/>
          <w:lang w:eastAsia="zh-CN"/>
        </w:rPr>
        <w:t>《美国法</w:t>
      </w:r>
      <w:r>
        <w:rPr>
          <w:sz w:val="24"/>
          <w:lang w:eastAsia="zh-CN"/>
        </w:rPr>
        <w:t>典</w:t>
      </w:r>
      <w:r>
        <w:rPr>
          <w:rFonts w:hint="eastAsia"/>
          <w:sz w:val="24"/>
          <w:lang w:eastAsia="zh-CN"/>
        </w:rPr>
        <w:t>》第2</w:t>
      </w:r>
      <w:r>
        <w:rPr>
          <w:sz w:val="24"/>
          <w:lang w:eastAsia="zh-CN"/>
        </w:rPr>
        <w:t>1卷第371(h)(1)(C)项和</w:t>
      </w:r>
      <w:r>
        <w:rPr>
          <w:rFonts w:hint="eastAsia"/>
          <w:sz w:val="24"/>
          <w:lang w:eastAsia="zh-CN"/>
        </w:rPr>
        <w:t>《美国联邦法规》第2</w:t>
      </w:r>
      <w:r>
        <w:rPr>
          <w:sz w:val="24"/>
          <w:lang w:eastAsia="zh-CN"/>
        </w:rPr>
        <w:t>1卷10.115(g)(2)项）。本指南文件</w:t>
      </w:r>
      <w:r>
        <w:rPr>
          <w:rFonts w:hint="eastAsia"/>
          <w:sz w:val="24"/>
          <w:lang w:eastAsia="zh-CN"/>
        </w:rPr>
        <w:t>将立即</w:t>
      </w:r>
      <w:r>
        <w:rPr>
          <w:sz w:val="24"/>
          <w:lang w:eastAsia="zh-CN"/>
        </w:rPr>
        <w:t>实施，但仍会根据FDA的</w:t>
      </w:r>
      <w:r>
        <w:rPr>
          <w:rFonts w:hint="eastAsia"/>
          <w:sz w:val="24"/>
          <w:lang w:eastAsia="zh-CN"/>
        </w:rPr>
        <w:t>标准</w:t>
      </w:r>
      <w:r>
        <w:rPr>
          <w:sz w:val="24"/>
          <w:lang w:eastAsia="zh-CN"/>
        </w:rPr>
        <w:t>指南规范</w:t>
      </w:r>
      <w:r>
        <w:rPr>
          <w:rFonts w:hint="eastAsia"/>
          <w:sz w:val="24"/>
          <w:lang w:eastAsia="zh-CN"/>
        </w:rPr>
        <w:t>接受</w:t>
      </w:r>
      <w:r>
        <w:rPr>
          <w:sz w:val="24"/>
          <w:lang w:eastAsia="zh-CN"/>
        </w:rPr>
        <w:t>意见。</w:t>
      </w:r>
    </w:p>
    <w:p w14:paraId="2432A926">
      <w:pPr>
        <w:snapToGrid w:val="0"/>
        <w:spacing w:before="120" w:beforeLines="50"/>
        <w:jc w:val="both"/>
        <w:rPr>
          <w:sz w:val="24"/>
          <w:lang w:eastAsia="zh-CN"/>
        </w:rPr>
      </w:pPr>
      <w:r>
        <w:rPr>
          <w:sz w:val="24"/>
          <w:lang w:eastAsia="zh-CN"/>
        </w:rPr>
        <w:br w:type="page"/>
      </w:r>
    </w:p>
    <w:p w14:paraId="468FE268">
      <w:pPr>
        <w:snapToGrid w:val="0"/>
        <w:spacing w:before="120" w:beforeLines="50"/>
        <w:jc w:val="both"/>
        <w:rPr>
          <w:sz w:val="24"/>
          <w:lang w:eastAsia="zh-CN"/>
        </w:rPr>
      </w:pPr>
      <w:r>
        <w:rPr>
          <w:rFonts w:hint="eastAsia"/>
          <w:sz w:val="24"/>
          <w:lang w:eastAsia="zh-CN"/>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sz w:val="24"/>
          <w:lang w:eastAsia="zh-CN"/>
        </w:rPr>
        <w:t>。</w:t>
      </w:r>
    </w:p>
    <w:p w14:paraId="18ED9430">
      <w:pPr>
        <w:snapToGrid w:val="0"/>
        <w:spacing w:before="120" w:beforeLines="50"/>
        <w:jc w:val="both"/>
        <w:rPr>
          <w:sz w:val="24"/>
          <w:lang w:eastAsia="zh-CN"/>
        </w:rPr>
      </w:pPr>
    </w:p>
    <w:p w14:paraId="6D5AB832">
      <w:pPr>
        <w:pStyle w:val="15"/>
        <w:spacing w:before="120" w:after="120"/>
        <w:rPr>
          <w:lang w:eastAsia="zh-CN"/>
        </w:rPr>
      </w:pPr>
      <w:bookmarkStart w:id="8" w:name="bookmark7"/>
      <w:bookmarkStart w:id="9" w:name="bookmark8"/>
      <w:bookmarkStart w:id="10" w:name="_Toc97317839"/>
      <w:r>
        <w:rPr>
          <w:lang w:eastAsia="zh-CN"/>
        </w:rPr>
        <w:t>II.</w:t>
      </w:r>
      <w:r>
        <w:rPr>
          <w:lang w:eastAsia="zh-CN"/>
        </w:rPr>
        <w:tab/>
      </w:r>
      <w:r>
        <w:rPr>
          <w:lang w:eastAsia="zh-CN"/>
        </w:rPr>
        <w:t>背景</w:t>
      </w:r>
      <w:bookmarkEnd w:id="8"/>
      <w:bookmarkEnd w:id="9"/>
      <w:bookmarkEnd w:id="10"/>
    </w:p>
    <w:p w14:paraId="4C59504C">
      <w:pPr>
        <w:snapToGrid w:val="0"/>
        <w:spacing w:before="120" w:beforeLines="50"/>
        <w:jc w:val="both"/>
        <w:rPr>
          <w:sz w:val="24"/>
          <w:lang w:eastAsia="zh-CN"/>
        </w:rPr>
      </w:pPr>
      <w:r>
        <w:rPr>
          <w:sz w:val="24"/>
          <w:lang w:eastAsia="zh-CN"/>
        </w:rPr>
        <w:t>目前爆发了由一种新</w:t>
      </w:r>
      <w:r>
        <w:rPr>
          <w:rFonts w:hint="eastAsia"/>
          <w:sz w:val="24"/>
          <w:lang w:eastAsia="zh-CN"/>
        </w:rPr>
        <w:t>型</w:t>
      </w:r>
      <w:r>
        <w:rPr>
          <w:sz w:val="24"/>
          <w:lang w:eastAsia="zh-CN"/>
        </w:rPr>
        <w:t>冠病毒引起的呼吸系统疾病。该病毒被命名为“SARS-CoV-2”，其引起的疾病被命名为“新型冠状病毒肺炎”（COVID-19）。2020年1月31日，HHS发布了有关COVID-19突发公共卫生事件的声明，并动员HHS的运营部门。</w:t>
      </w:r>
      <w:r>
        <w:fldChar w:fldCharType="begin"/>
      </w:r>
      <w:r>
        <w:instrText xml:space="preserve"> HYPERLINK \l "bookmark11" \o "当前文件" \h </w:instrText>
      </w:r>
      <w:r>
        <w:fldChar w:fldCharType="separate"/>
      </w:r>
      <w:r>
        <w:rPr>
          <w:sz w:val="24"/>
          <w:vertAlign w:val="superscript"/>
          <w:lang w:eastAsia="zh-CN"/>
        </w:rPr>
        <w:t>1</w:t>
      </w:r>
      <w:r>
        <w:rPr>
          <w:sz w:val="24"/>
          <w:vertAlign w:val="superscript"/>
          <w:lang w:eastAsia="zh-CN"/>
        </w:rPr>
        <w:fldChar w:fldCharType="end"/>
      </w:r>
      <w:r>
        <w:rPr>
          <w:sz w:val="24"/>
          <w:lang w:eastAsia="zh-CN"/>
        </w:rPr>
        <w:t>此外，2020年3月13日，美国总统宣布全国进入紧急状态以应对COVID-19。</w:t>
      </w:r>
      <w:r>
        <w:fldChar w:fldCharType="begin"/>
      </w:r>
      <w:r>
        <w:instrText xml:space="preserve"> HYPERLINK \l "bookmark12" \o "当前文件" \h </w:instrText>
      </w:r>
      <w:r>
        <w:fldChar w:fldCharType="separate"/>
      </w:r>
      <w:r>
        <w:rPr>
          <w:sz w:val="24"/>
          <w:vertAlign w:val="superscript"/>
          <w:lang w:eastAsia="zh-CN"/>
        </w:rPr>
        <w:t>2</w:t>
      </w:r>
      <w:r>
        <w:rPr>
          <w:sz w:val="24"/>
          <w:vertAlign w:val="superscript"/>
          <w:lang w:eastAsia="zh-CN"/>
        </w:rPr>
        <w:fldChar w:fldCharType="end"/>
      </w:r>
    </w:p>
    <w:p w14:paraId="196A5073">
      <w:pPr>
        <w:snapToGrid w:val="0"/>
        <w:spacing w:before="120" w:beforeLines="50"/>
        <w:jc w:val="both"/>
        <w:rPr>
          <w:sz w:val="24"/>
          <w:lang w:eastAsia="zh-CN"/>
        </w:rPr>
      </w:pPr>
      <w:r>
        <w:rPr>
          <w:sz w:val="24"/>
          <w:lang w:eastAsia="zh-CN"/>
        </w:rPr>
        <w:t>FDA认为，本指南中规定的政策有助于在</w:t>
      </w:r>
      <w:r>
        <w:rPr>
          <w:rFonts w:hint="eastAsia"/>
          <w:sz w:val="24"/>
          <w:lang w:eastAsia="zh-CN"/>
        </w:rPr>
        <w:t>此次</w:t>
      </w:r>
      <w:r>
        <w:rPr>
          <w:sz w:val="24"/>
          <w:lang w:eastAsia="zh-CN"/>
        </w:rPr>
        <w:t>突发公共卫生事件中扩大远程数字病理器械的可及性，以</w:t>
      </w:r>
      <w:r>
        <w:rPr>
          <w:rFonts w:hint="eastAsia"/>
          <w:sz w:val="24"/>
          <w:lang w:eastAsia="zh-CN"/>
        </w:rPr>
        <w:t>帮助</w:t>
      </w:r>
      <w:r>
        <w:rPr>
          <w:sz w:val="24"/>
          <w:lang w:eastAsia="zh-CN"/>
        </w:rPr>
        <w:t>解决这些紧急公共卫生问题。通过</w:t>
      </w:r>
      <w:r>
        <w:rPr>
          <w:rFonts w:hint="eastAsia"/>
          <w:sz w:val="24"/>
          <w:lang w:eastAsia="zh-CN"/>
        </w:rPr>
        <w:t>防止</w:t>
      </w:r>
      <w:r>
        <w:rPr>
          <w:sz w:val="24"/>
          <w:lang w:eastAsia="zh-CN"/>
        </w:rPr>
        <w:t>临床实验室、医院和其他</w:t>
      </w:r>
      <w:r>
        <w:rPr>
          <w:rFonts w:hint="eastAsia"/>
          <w:sz w:val="24"/>
          <w:lang w:eastAsia="zh-CN"/>
        </w:rPr>
        <w:t>医疗</w:t>
      </w:r>
      <w:r>
        <w:rPr>
          <w:sz w:val="24"/>
          <w:lang w:eastAsia="zh-CN"/>
        </w:rPr>
        <w:t>保健机构中断其关键病理服务，并通过</w:t>
      </w:r>
      <w:r>
        <w:rPr>
          <w:rFonts w:hint="eastAsia"/>
          <w:sz w:val="24"/>
          <w:lang w:eastAsia="zh-CN"/>
        </w:rPr>
        <w:t>降低医护</w:t>
      </w:r>
      <w:r>
        <w:rPr>
          <w:sz w:val="24"/>
          <w:lang w:eastAsia="zh-CN"/>
        </w:rPr>
        <w:t>人员暴露于SARS-CoV-2的风险，增加这些器械的可及性，</w:t>
      </w:r>
      <w:r>
        <w:rPr>
          <w:rFonts w:hint="eastAsia"/>
          <w:sz w:val="24"/>
          <w:lang w:eastAsia="zh-CN"/>
        </w:rPr>
        <w:t>从而帮助对</w:t>
      </w:r>
      <w:r>
        <w:rPr>
          <w:sz w:val="24"/>
          <w:lang w:eastAsia="zh-CN"/>
        </w:rPr>
        <w:t>患者提供持续</w:t>
      </w:r>
      <w:r>
        <w:rPr>
          <w:rFonts w:hint="eastAsia"/>
          <w:sz w:val="24"/>
          <w:lang w:eastAsia="zh-CN"/>
        </w:rPr>
        <w:t>治疗</w:t>
      </w:r>
      <w:r>
        <w:rPr>
          <w:sz w:val="24"/>
          <w:lang w:eastAsia="zh-CN"/>
        </w:rPr>
        <w:t>。</w:t>
      </w:r>
    </w:p>
    <w:p w14:paraId="1E9D0147">
      <w:pPr>
        <w:snapToGrid w:val="0"/>
        <w:spacing w:before="120" w:beforeLines="50"/>
        <w:jc w:val="both"/>
        <w:rPr>
          <w:sz w:val="24"/>
          <w:lang w:eastAsia="zh-CN"/>
        </w:rPr>
      </w:pPr>
    </w:p>
    <w:p w14:paraId="0846CECC">
      <w:pPr>
        <w:pStyle w:val="15"/>
        <w:spacing w:before="120" w:after="120"/>
        <w:rPr>
          <w:lang w:eastAsia="zh-CN"/>
        </w:rPr>
      </w:pPr>
      <w:bookmarkStart w:id="11" w:name="bookmark9"/>
      <w:bookmarkStart w:id="12" w:name="bookmark10"/>
      <w:bookmarkStart w:id="13" w:name="_Toc97317840"/>
      <w:r>
        <w:rPr>
          <w:lang w:eastAsia="zh-CN"/>
        </w:rPr>
        <w:t xml:space="preserve">III. </w:t>
      </w:r>
      <w:r>
        <w:rPr>
          <w:lang w:eastAsia="zh-CN"/>
        </w:rPr>
        <w:tab/>
      </w:r>
      <w:r>
        <w:rPr>
          <w:lang w:eastAsia="zh-CN"/>
        </w:rPr>
        <w:t>范围</w:t>
      </w:r>
      <w:bookmarkEnd w:id="11"/>
      <w:bookmarkEnd w:id="12"/>
      <w:bookmarkEnd w:id="13"/>
    </w:p>
    <w:p w14:paraId="1F781EF6">
      <w:pPr>
        <w:snapToGrid w:val="0"/>
        <w:spacing w:before="120" w:beforeLines="50"/>
        <w:jc w:val="both"/>
        <w:rPr>
          <w:sz w:val="24"/>
          <w:lang w:eastAsia="zh-CN"/>
        </w:rPr>
      </w:pPr>
      <w:r>
        <w:rPr>
          <w:sz w:val="24"/>
          <w:lang w:eastAsia="zh-CN"/>
        </w:rPr>
        <w:t>本指南中所述的执行政策适用于在COVID-19突发公共卫生事件期间可能用于远程审查和报告数字病理切片</w:t>
      </w:r>
      <w:r>
        <w:rPr>
          <w:rFonts w:hint="eastAsia"/>
          <w:sz w:val="24"/>
          <w:lang w:eastAsia="zh-CN"/>
        </w:rPr>
        <w:t>的</w:t>
      </w:r>
      <w:r>
        <w:rPr>
          <w:sz w:val="24"/>
          <w:lang w:eastAsia="zh-CN"/>
        </w:rPr>
        <w:t>以下器械（“数字病理器械”）：</w:t>
      </w:r>
    </w:p>
    <w:p w14:paraId="5E487558">
      <w:pPr>
        <w:snapToGrid w:val="0"/>
        <w:spacing w:before="120" w:beforeLines="50"/>
        <w:jc w:val="both"/>
        <w:rPr>
          <w:sz w:val="18"/>
          <w:szCs w:val="18"/>
          <w:lang w:eastAsia="zh-CN"/>
        </w:rPr>
      </w:pPr>
    </w:p>
    <w:p w14:paraId="1CCA90BB">
      <w:pPr>
        <w:snapToGrid w:val="0"/>
        <w:spacing w:before="120" w:beforeLines="50"/>
        <w:jc w:val="both"/>
        <w:rPr>
          <w:sz w:val="18"/>
          <w:szCs w:val="18"/>
          <w:lang w:eastAsia="zh-CN"/>
        </w:rPr>
      </w:pPr>
    </w:p>
    <w:p w14:paraId="221F0EA8">
      <w:pPr>
        <w:snapToGrid w:val="0"/>
        <w:spacing w:before="120" w:beforeLines="50"/>
        <w:jc w:val="both"/>
        <w:rPr>
          <w:sz w:val="18"/>
          <w:szCs w:val="18"/>
          <w:lang w:eastAsia="zh-CN"/>
        </w:rPr>
      </w:pPr>
    </w:p>
    <w:p w14:paraId="1C8209C4">
      <w:pPr>
        <w:snapToGrid w:val="0"/>
        <w:spacing w:before="120" w:beforeLines="50"/>
        <w:jc w:val="both"/>
        <w:rPr>
          <w:sz w:val="18"/>
          <w:szCs w:val="18"/>
          <w:lang w:eastAsia="zh-CN"/>
        </w:rPr>
      </w:pPr>
    </w:p>
    <w:p w14:paraId="43BD69A9">
      <w:pPr>
        <w:snapToGrid w:val="0"/>
        <w:spacing w:before="120" w:beforeLines="50"/>
        <w:jc w:val="both"/>
        <w:rPr>
          <w:sz w:val="18"/>
          <w:szCs w:val="18"/>
          <w:lang w:eastAsia="zh-CN"/>
        </w:rPr>
      </w:pPr>
    </w:p>
    <w:p w14:paraId="548B60D8">
      <w:pPr>
        <w:snapToGrid w:val="0"/>
        <w:spacing w:before="120" w:beforeLines="50"/>
        <w:jc w:val="both"/>
        <w:rPr>
          <w:sz w:val="18"/>
          <w:szCs w:val="18"/>
          <w:lang w:eastAsia="zh-CN"/>
        </w:rPr>
      </w:pPr>
    </w:p>
    <w:p w14:paraId="020F2041">
      <w:pPr>
        <w:snapToGrid w:val="0"/>
        <w:spacing w:before="120" w:beforeLines="50"/>
        <w:jc w:val="both"/>
        <w:rPr>
          <w:sz w:val="18"/>
          <w:szCs w:val="18"/>
          <w:lang w:eastAsia="zh-CN"/>
        </w:rPr>
      </w:pPr>
    </w:p>
    <w:p w14:paraId="195512AA">
      <w:pPr>
        <w:snapToGrid w:val="0"/>
        <w:spacing w:before="120" w:beforeLines="50"/>
        <w:jc w:val="both"/>
        <w:rPr>
          <w:sz w:val="18"/>
          <w:szCs w:val="18"/>
          <w:lang w:eastAsia="zh-CN"/>
        </w:rPr>
      </w:pPr>
    </w:p>
    <w:p w14:paraId="6FB9CE50">
      <w:pPr>
        <w:snapToGrid w:val="0"/>
        <w:spacing w:before="120" w:beforeLines="50"/>
        <w:jc w:val="both"/>
        <w:rPr>
          <w:sz w:val="18"/>
          <w:szCs w:val="18"/>
          <w:lang w:eastAsia="zh-CN"/>
        </w:rPr>
      </w:pPr>
    </w:p>
    <w:p w14:paraId="462CB9A4">
      <w:pPr>
        <w:snapToGrid w:val="0"/>
        <w:spacing w:before="120" w:beforeLines="50"/>
        <w:jc w:val="both"/>
        <w:rPr>
          <w:sz w:val="18"/>
          <w:szCs w:val="18"/>
          <w:lang w:eastAsia="zh-CN"/>
        </w:rPr>
      </w:pPr>
    </w:p>
    <w:p w14:paraId="3CDA95AE">
      <w:pPr>
        <w:snapToGrid w:val="0"/>
        <w:spacing w:before="120" w:beforeLines="50"/>
        <w:jc w:val="both"/>
        <w:rPr>
          <w:sz w:val="18"/>
          <w:szCs w:val="18"/>
          <w:lang w:eastAsia="zh-CN"/>
        </w:rPr>
      </w:pPr>
    </w:p>
    <w:p w14:paraId="28AD0A88">
      <w:pPr>
        <w:snapToGrid w:val="0"/>
        <w:spacing w:before="120" w:beforeLines="50"/>
        <w:jc w:val="both"/>
        <w:rPr>
          <w:sz w:val="18"/>
          <w:szCs w:val="18"/>
          <w:lang w:eastAsia="zh-CN"/>
        </w:rPr>
      </w:pPr>
    </w:p>
    <w:p w14:paraId="1179C07A">
      <w:pPr>
        <w:snapToGrid w:val="0"/>
        <w:spacing w:before="120" w:beforeLines="50"/>
        <w:jc w:val="both"/>
        <w:rPr>
          <w:sz w:val="18"/>
          <w:szCs w:val="18"/>
          <w:lang w:eastAsia="zh-CN"/>
        </w:rPr>
      </w:pPr>
    </w:p>
    <w:p w14:paraId="06D9BD39">
      <w:pPr>
        <w:snapToGrid w:val="0"/>
        <w:spacing w:before="120" w:beforeLines="50"/>
        <w:jc w:val="both"/>
        <w:rPr>
          <w:sz w:val="18"/>
          <w:szCs w:val="18"/>
          <w:lang w:eastAsia="zh-CN"/>
        </w:rPr>
      </w:pPr>
    </w:p>
    <w:p w14:paraId="6A3CF052">
      <w:pPr>
        <w:snapToGrid w:val="0"/>
        <w:spacing w:before="120" w:beforeLines="50"/>
        <w:jc w:val="both"/>
        <w:rPr>
          <w:sz w:val="18"/>
          <w:szCs w:val="18"/>
          <w:lang w:eastAsia="zh-CN"/>
        </w:rPr>
      </w:pPr>
      <w:r>
        <w:rPr>
          <w:sz w:val="18"/>
          <w:szCs w:val="18"/>
          <w:lang w:eastAsia="zh-CN"/>
        </w:rPr>
        <w:t>______________________</w:t>
      </w:r>
    </w:p>
    <w:p w14:paraId="3EDC77F8">
      <w:pPr>
        <w:tabs>
          <w:tab w:val="left" w:pos="115"/>
        </w:tabs>
        <w:snapToGrid w:val="0"/>
        <w:spacing w:before="120" w:beforeLines="50"/>
        <w:rPr>
          <w:sz w:val="18"/>
          <w:szCs w:val="18"/>
          <w:lang w:eastAsia="zh-CN"/>
        </w:rPr>
      </w:pPr>
      <w:bookmarkStart w:id="14" w:name="bookmark11"/>
      <w:bookmarkStart w:id="15" w:name="bookmark12"/>
      <w:r>
        <w:rPr>
          <w:sz w:val="18"/>
          <w:szCs w:val="18"/>
          <w:vertAlign w:val="superscript"/>
          <w:lang w:eastAsia="zh-CN"/>
        </w:rPr>
        <w:t>1</w:t>
      </w:r>
      <w:r>
        <w:rPr>
          <w:sz w:val="18"/>
          <w:szCs w:val="18"/>
          <w:lang w:eastAsia="zh-CN"/>
        </w:rPr>
        <w:tab/>
      </w:r>
      <w:r>
        <w:rPr>
          <w:sz w:val="18"/>
          <w:szCs w:val="18"/>
          <w:lang w:eastAsia="zh-CN"/>
        </w:rPr>
        <w:t>该声明更新日期为2020年4月21日，生效日期为2020年4月26日。健康与人类服务部部长Alex M. Azar II，确定存在突发公共卫生事件。（2020年1月31日），请访问</w:t>
      </w:r>
      <w:r>
        <w:fldChar w:fldCharType="begin"/>
      </w:r>
      <w:r>
        <w:instrText xml:space="preserve"> HYPERLINK "https://www.phe.gov/emergency/news/healthactions/phe/Pages/default.aspx" </w:instrText>
      </w:r>
      <w:r>
        <w:fldChar w:fldCharType="separate"/>
      </w:r>
      <w:r>
        <w:rPr>
          <w:rStyle w:val="11"/>
          <w:color w:val="0000FF"/>
          <w:sz w:val="18"/>
          <w:szCs w:val="18"/>
          <w:lang w:eastAsia="zh-CN"/>
        </w:rPr>
        <w:t>https://www.phe.gov/emergencv/news/healthactions/phe/Pages/default.aspx)</w:t>
      </w:r>
      <w:r>
        <w:rPr>
          <w:rStyle w:val="11"/>
          <w:color w:val="0000FF"/>
          <w:sz w:val="18"/>
          <w:szCs w:val="18"/>
          <w:lang w:eastAsia="zh-CN"/>
        </w:rPr>
        <w:fldChar w:fldCharType="end"/>
      </w:r>
      <w:r>
        <w:rPr>
          <w:sz w:val="18"/>
          <w:szCs w:val="18"/>
          <w:lang w:eastAsia="zh-CN"/>
        </w:rPr>
        <w:t>。</w:t>
      </w:r>
      <w:bookmarkEnd w:id="14"/>
      <w:bookmarkEnd w:id="15"/>
    </w:p>
    <w:p w14:paraId="2AF33A70">
      <w:pPr>
        <w:tabs>
          <w:tab w:val="left" w:pos="110"/>
        </w:tabs>
        <w:snapToGrid w:val="0"/>
        <w:spacing w:before="120" w:beforeLines="50"/>
        <w:rPr>
          <w:sz w:val="18"/>
          <w:szCs w:val="18"/>
          <w:lang w:eastAsia="zh-CN"/>
        </w:rPr>
      </w:pPr>
      <w:r>
        <w:rPr>
          <w:sz w:val="18"/>
          <w:szCs w:val="18"/>
          <w:vertAlign w:val="superscript"/>
          <w:lang w:eastAsia="zh-CN"/>
        </w:rPr>
        <w:t>2</w:t>
      </w:r>
      <w:r>
        <w:rPr>
          <w:sz w:val="18"/>
          <w:szCs w:val="18"/>
          <w:lang w:eastAsia="zh-CN"/>
        </w:rPr>
        <w:tab/>
      </w:r>
      <w:r>
        <w:rPr>
          <w:sz w:val="18"/>
          <w:szCs w:val="18"/>
          <w:lang w:eastAsia="zh-CN"/>
        </w:rPr>
        <w:t>有关新型冠状病毒（COVID-19）疫情全国紧急事件的公告（2020年3月13日），请访问</w:t>
      </w:r>
      <w:r>
        <w:fldChar w:fldCharType="begin"/>
      </w:r>
      <w:r>
        <w:instrText xml:space="preserve"> HYPERLINK "https://www.whitehouse.gov/presidential-actions/proclamation-declaring-national-emergency-concerning-novel-coronavirus-disease-covid-19-outbreak/" </w:instrText>
      </w:r>
      <w:r>
        <w:fldChar w:fldCharType="separate"/>
      </w:r>
      <w:r>
        <w:rPr>
          <w:rStyle w:val="11"/>
          <w:color w:val="0000FF"/>
          <w:sz w:val="18"/>
          <w:szCs w:val="18"/>
          <w:lang w:eastAsia="zh-CN"/>
        </w:rPr>
        <w:t xml:space="preserve"> https://www.whitehouse.gov/presidential-actions/proclamation-declaring-national-</w:t>
      </w:r>
      <w:r>
        <w:rPr>
          <w:rStyle w:val="11"/>
          <w:color w:val="0000FF"/>
          <w:sz w:val="18"/>
          <w:szCs w:val="18"/>
          <w:lang w:eastAsia="zh-CN"/>
        </w:rPr>
        <w:fldChar w:fldCharType="end"/>
      </w:r>
      <w:r>
        <w:fldChar w:fldCharType="begin"/>
      </w:r>
      <w:r>
        <w:instrText xml:space="preserve"> HYPERLINK "https://www.whitehouse.gov/presidential-actions/proclamation-declaring-national-emergency-concerning-novel-coronavirus-disease-covid-19-outbreak/" </w:instrText>
      </w:r>
      <w:r>
        <w:fldChar w:fldCharType="separate"/>
      </w:r>
      <w:r>
        <w:rPr>
          <w:rStyle w:val="11"/>
          <w:color w:val="0000FF"/>
          <w:sz w:val="18"/>
          <w:szCs w:val="18"/>
          <w:lang w:eastAsia="zh-CN"/>
        </w:rPr>
        <w:t>emergency-concerning-novel-coronavirus-disease-covid-19-outbreak/。</w:t>
      </w:r>
      <w:r>
        <w:rPr>
          <w:rStyle w:val="11"/>
          <w:color w:val="0000FF"/>
          <w:sz w:val="18"/>
          <w:szCs w:val="18"/>
          <w:lang w:eastAsia="zh-CN"/>
        </w:rPr>
        <w:fldChar w:fldCharType="end"/>
      </w:r>
    </w:p>
    <w:p w14:paraId="5015B041">
      <w:pPr>
        <w:tabs>
          <w:tab w:val="left" w:pos="110"/>
        </w:tabs>
        <w:snapToGrid w:val="0"/>
        <w:spacing w:before="120" w:beforeLines="50"/>
        <w:jc w:val="both"/>
        <w:rPr>
          <w:lang w:eastAsia="zh-CN"/>
        </w:rPr>
      </w:pPr>
      <w:r>
        <w:rPr>
          <w:lang w:eastAsia="zh-CN"/>
        </w:rPr>
        <w:br w:type="page"/>
      </w:r>
    </w:p>
    <w:p w14:paraId="6B179816">
      <w:pPr>
        <w:snapToGrid w:val="0"/>
        <w:spacing w:before="120" w:beforeLines="50" w:after="120" w:afterLines="50"/>
        <w:jc w:val="center"/>
      </w:pPr>
      <w:r>
        <w:rPr>
          <w:b/>
          <w:bCs/>
          <w:lang w:eastAsia="zh-CN"/>
        </w:rPr>
        <w:t>表1</w:t>
      </w:r>
    </w:p>
    <w:tbl>
      <w:tblPr>
        <w:tblStyle w:val="9"/>
        <w:tblW w:w="5000" w:type="pct"/>
        <w:tblInd w:w="0" w:type="dxa"/>
        <w:tblLayout w:type="autofit"/>
        <w:tblCellMar>
          <w:top w:w="0" w:type="dxa"/>
          <w:left w:w="57" w:type="dxa"/>
          <w:bottom w:w="0" w:type="dxa"/>
          <w:right w:w="57" w:type="dxa"/>
        </w:tblCellMar>
      </w:tblPr>
      <w:tblGrid>
        <w:gridCol w:w="1687"/>
        <w:gridCol w:w="4903"/>
        <w:gridCol w:w="1026"/>
        <w:gridCol w:w="811"/>
      </w:tblGrid>
      <w:tr w14:paraId="1A9608ED">
        <w:tblPrEx>
          <w:tblCellMar>
            <w:top w:w="0" w:type="dxa"/>
            <w:left w:w="57" w:type="dxa"/>
            <w:bottom w:w="0" w:type="dxa"/>
            <w:right w:w="57" w:type="dxa"/>
          </w:tblCellMar>
        </w:tblPrEx>
        <w:trPr>
          <w:trHeight w:val="566" w:hRule="atLeast"/>
        </w:trPr>
        <w:tc>
          <w:tcPr>
            <w:tcW w:w="1001" w:type="pct"/>
            <w:tcBorders>
              <w:top w:val="single" w:color="auto" w:sz="4" w:space="0"/>
              <w:left w:val="single" w:color="auto" w:sz="4" w:space="0"/>
            </w:tcBorders>
            <w:shd w:val="clear" w:color="auto" w:fill="FFFFFF"/>
          </w:tcPr>
          <w:p w14:paraId="0332621B">
            <w:pPr>
              <w:snapToGrid w:val="0"/>
              <w:jc w:val="both"/>
            </w:pPr>
            <w:r>
              <w:rPr>
                <w:b/>
                <w:bCs/>
                <w:lang w:eastAsia="zh-CN"/>
              </w:rPr>
              <w:t>分类条例</w:t>
            </w:r>
          </w:p>
        </w:tc>
        <w:tc>
          <w:tcPr>
            <w:tcW w:w="2909" w:type="pct"/>
            <w:tcBorders>
              <w:top w:val="single" w:color="auto" w:sz="4" w:space="0"/>
              <w:left w:val="single" w:color="auto" w:sz="4" w:space="0"/>
            </w:tcBorders>
            <w:shd w:val="clear" w:color="auto" w:fill="FFFFFF"/>
          </w:tcPr>
          <w:p w14:paraId="3EEA5EAE">
            <w:pPr>
              <w:snapToGrid w:val="0"/>
              <w:jc w:val="both"/>
            </w:pPr>
            <w:r>
              <w:rPr>
                <w:b/>
                <w:bCs/>
                <w:lang w:eastAsia="zh-CN"/>
              </w:rPr>
              <w:t>器械类型</w:t>
            </w:r>
          </w:p>
        </w:tc>
        <w:tc>
          <w:tcPr>
            <w:tcW w:w="609" w:type="pct"/>
            <w:tcBorders>
              <w:top w:val="single" w:color="auto" w:sz="4" w:space="0"/>
              <w:left w:val="single" w:color="auto" w:sz="4" w:space="0"/>
            </w:tcBorders>
            <w:shd w:val="clear" w:color="auto" w:fill="FFFFFF"/>
          </w:tcPr>
          <w:p w14:paraId="403F0DE2">
            <w:pPr>
              <w:snapToGrid w:val="0"/>
              <w:jc w:val="both"/>
            </w:pPr>
            <w:r>
              <w:rPr>
                <w:b/>
                <w:bCs/>
                <w:lang w:eastAsia="zh-CN"/>
              </w:rPr>
              <w:t>产品代码</w:t>
            </w:r>
            <w:r>
              <w:fldChar w:fldCharType="begin"/>
            </w:r>
            <w:r>
              <w:instrText xml:space="preserve"> HYPERLINK \l "bookmark17" \o "当前文件" \h </w:instrText>
            </w:r>
            <w:r>
              <w:fldChar w:fldCharType="separate"/>
            </w:r>
            <w:r>
              <w:rPr>
                <w:b/>
                <w:bCs/>
                <w:vertAlign w:val="superscript"/>
                <w:lang w:eastAsia="zh-CN"/>
              </w:rPr>
              <w:t>3</w:t>
            </w:r>
            <w:r>
              <w:rPr>
                <w:b/>
                <w:bCs/>
                <w:vertAlign w:val="superscript"/>
                <w:lang w:eastAsia="zh-CN"/>
              </w:rPr>
              <w:fldChar w:fldCharType="end"/>
            </w:r>
          </w:p>
        </w:tc>
        <w:tc>
          <w:tcPr>
            <w:tcW w:w="482" w:type="pct"/>
            <w:tcBorders>
              <w:top w:val="single" w:color="auto" w:sz="4" w:space="0"/>
              <w:left w:val="single" w:color="auto" w:sz="4" w:space="0"/>
              <w:right w:val="single" w:color="auto" w:sz="4" w:space="0"/>
            </w:tcBorders>
            <w:shd w:val="clear" w:color="auto" w:fill="FFFFFF"/>
          </w:tcPr>
          <w:p w14:paraId="4E046B52">
            <w:pPr>
              <w:snapToGrid w:val="0"/>
              <w:jc w:val="both"/>
            </w:pPr>
            <w:r>
              <w:rPr>
                <w:b/>
                <w:bCs/>
                <w:lang w:eastAsia="zh-CN"/>
              </w:rPr>
              <w:t>类别</w:t>
            </w:r>
          </w:p>
        </w:tc>
      </w:tr>
      <w:tr w14:paraId="10269433">
        <w:tblPrEx>
          <w:tblCellMar>
            <w:top w:w="0" w:type="dxa"/>
            <w:left w:w="57" w:type="dxa"/>
            <w:bottom w:w="0" w:type="dxa"/>
            <w:right w:w="57" w:type="dxa"/>
          </w:tblCellMar>
        </w:tblPrEx>
        <w:trPr>
          <w:trHeight w:val="283" w:hRule="atLeast"/>
        </w:trPr>
        <w:tc>
          <w:tcPr>
            <w:tcW w:w="1001" w:type="pct"/>
            <w:tcBorders>
              <w:top w:val="single" w:color="auto" w:sz="4" w:space="0"/>
              <w:left w:val="single" w:color="auto" w:sz="4" w:space="0"/>
            </w:tcBorders>
            <w:shd w:val="clear" w:color="auto" w:fill="FFFFFF"/>
          </w:tcPr>
          <w:p w14:paraId="08E1214D">
            <w:pPr>
              <w:snapToGrid w:val="0"/>
              <w:jc w:val="both"/>
            </w:pPr>
            <w:r>
              <w:rPr>
                <w:lang w:eastAsia="zh-CN"/>
              </w:rPr>
              <w:t>21 CFR 864.1860</w:t>
            </w:r>
          </w:p>
        </w:tc>
        <w:tc>
          <w:tcPr>
            <w:tcW w:w="2909" w:type="pct"/>
            <w:tcBorders>
              <w:top w:val="single" w:color="auto" w:sz="4" w:space="0"/>
              <w:left w:val="single" w:color="auto" w:sz="4" w:space="0"/>
            </w:tcBorders>
            <w:shd w:val="clear" w:color="auto" w:fill="FFFFFF"/>
          </w:tcPr>
          <w:p w14:paraId="3FC7391A">
            <w:pPr>
              <w:snapToGrid w:val="0"/>
              <w:jc w:val="both"/>
              <w:rPr>
                <w:lang w:eastAsia="zh-CN"/>
              </w:rPr>
            </w:pPr>
            <w:r>
              <w:rPr>
                <w:lang w:eastAsia="zh-CN"/>
              </w:rPr>
              <w:t>自动数字图像人工解读显微镜</w:t>
            </w:r>
          </w:p>
        </w:tc>
        <w:tc>
          <w:tcPr>
            <w:tcW w:w="609" w:type="pct"/>
            <w:tcBorders>
              <w:top w:val="single" w:color="auto" w:sz="4" w:space="0"/>
              <w:left w:val="single" w:color="auto" w:sz="4" w:space="0"/>
            </w:tcBorders>
            <w:shd w:val="clear" w:color="auto" w:fill="FFFFFF"/>
          </w:tcPr>
          <w:p w14:paraId="58E661C7">
            <w:pPr>
              <w:snapToGrid w:val="0"/>
              <w:jc w:val="both"/>
            </w:pPr>
            <w:r>
              <w:rPr>
                <w:lang w:eastAsia="zh-CN"/>
              </w:rPr>
              <w:t>OEO</w:t>
            </w:r>
          </w:p>
        </w:tc>
        <w:tc>
          <w:tcPr>
            <w:tcW w:w="482" w:type="pct"/>
            <w:tcBorders>
              <w:top w:val="single" w:color="auto" w:sz="4" w:space="0"/>
              <w:left w:val="single" w:color="auto" w:sz="4" w:space="0"/>
              <w:right w:val="single" w:color="auto" w:sz="4" w:space="0"/>
            </w:tcBorders>
            <w:shd w:val="clear" w:color="auto" w:fill="FFFFFF"/>
          </w:tcPr>
          <w:p w14:paraId="1941E623">
            <w:pPr>
              <w:snapToGrid w:val="0"/>
              <w:jc w:val="both"/>
            </w:pPr>
            <w:r>
              <w:rPr>
                <w:lang w:eastAsia="zh-CN"/>
              </w:rPr>
              <w:t>II</w:t>
            </w:r>
          </w:p>
        </w:tc>
      </w:tr>
      <w:tr w14:paraId="2C1A6664">
        <w:tblPrEx>
          <w:tblCellMar>
            <w:top w:w="0" w:type="dxa"/>
            <w:left w:w="57" w:type="dxa"/>
            <w:bottom w:w="0" w:type="dxa"/>
            <w:right w:w="57" w:type="dxa"/>
          </w:tblCellMar>
        </w:tblPrEx>
        <w:trPr>
          <w:trHeight w:val="288" w:hRule="atLeast"/>
        </w:trPr>
        <w:tc>
          <w:tcPr>
            <w:tcW w:w="1001" w:type="pct"/>
            <w:tcBorders>
              <w:top w:val="single" w:color="auto" w:sz="4" w:space="0"/>
              <w:left w:val="single" w:color="auto" w:sz="4" w:space="0"/>
            </w:tcBorders>
            <w:shd w:val="clear" w:color="auto" w:fill="FFFFFF"/>
          </w:tcPr>
          <w:p w14:paraId="331026F2">
            <w:pPr>
              <w:snapToGrid w:val="0"/>
              <w:jc w:val="both"/>
            </w:pPr>
            <w:r>
              <w:rPr>
                <w:lang w:eastAsia="zh-CN"/>
              </w:rPr>
              <w:t>21 CFR 864.3700</w:t>
            </w:r>
          </w:p>
        </w:tc>
        <w:tc>
          <w:tcPr>
            <w:tcW w:w="2909" w:type="pct"/>
            <w:tcBorders>
              <w:top w:val="single" w:color="auto" w:sz="4" w:space="0"/>
              <w:left w:val="single" w:color="auto" w:sz="4" w:space="0"/>
            </w:tcBorders>
            <w:shd w:val="clear" w:color="auto" w:fill="FFFFFF"/>
          </w:tcPr>
          <w:p w14:paraId="0DB2D128">
            <w:pPr>
              <w:snapToGrid w:val="0"/>
              <w:jc w:val="both"/>
            </w:pPr>
            <w:r>
              <w:rPr>
                <w:lang w:eastAsia="zh-CN"/>
              </w:rPr>
              <w:t>全切片成像系统</w:t>
            </w:r>
          </w:p>
        </w:tc>
        <w:tc>
          <w:tcPr>
            <w:tcW w:w="609" w:type="pct"/>
            <w:tcBorders>
              <w:top w:val="single" w:color="auto" w:sz="4" w:space="0"/>
              <w:left w:val="single" w:color="auto" w:sz="4" w:space="0"/>
            </w:tcBorders>
            <w:shd w:val="clear" w:color="auto" w:fill="FFFFFF"/>
          </w:tcPr>
          <w:p w14:paraId="200EAAB3">
            <w:pPr>
              <w:snapToGrid w:val="0"/>
              <w:jc w:val="both"/>
            </w:pPr>
            <w:r>
              <w:rPr>
                <w:lang w:eastAsia="zh-CN"/>
              </w:rPr>
              <w:t>PSY</w:t>
            </w:r>
          </w:p>
        </w:tc>
        <w:tc>
          <w:tcPr>
            <w:tcW w:w="482" w:type="pct"/>
            <w:tcBorders>
              <w:top w:val="single" w:color="auto" w:sz="4" w:space="0"/>
              <w:left w:val="single" w:color="auto" w:sz="4" w:space="0"/>
              <w:right w:val="single" w:color="auto" w:sz="4" w:space="0"/>
            </w:tcBorders>
            <w:shd w:val="clear" w:color="auto" w:fill="FFFFFF"/>
          </w:tcPr>
          <w:p w14:paraId="6DB74D39">
            <w:pPr>
              <w:snapToGrid w:val="0"/>
              <w:jc w:val="both"/>
            </w:pPr>
            <w:r>
              <w:rPr>
                <w:lang w:eastAsia="zh-CN"/>
              </w:rPr>
              <w:t>II</w:t>
            </w:r>
          </w:p>
        </w:tc>
      </w:tr>
      <w:tr w14:paraId="15630DF2">
        <w:tblPrEx>
          <w:tblCellMar>
            <w:top w:w="0" w:type="dxa"/>
            <w:left w:w="57" w:type="dxa"/>
            <w:bottom w:w="0" w:type="dxa"/>
            <w:right w:w="57" w:type="dxa"/>
          </w:tblCellMar>
        </w:tblPrEx>
        <w:trPr>
          <w:trHeight w:val="562" w:hRule="atLeast"/>
        </w:trPr>
        <w:tc>
          <w:tcPr>
            <w:tcW w:w="1001" w:type="pct"/>
            <w:tcBorders>
              <w:top w:val="single" w:color="auto" w:sz="4" w:space="0"/>
              <w:left w:val="single" w:color="auto" w:sz="4" w:space="0"/>
            </w:tcBorders>
            <w:shd w:val="clear" w:color="auto" w:fill="FFFFFF"/>
          </w:tcPr>
          <w:p w14:paraId="0BD6C659">
            <w:pPr>
              <w:snapToGrid w:val="0"/>
              <w:jc w:val="both"/>
            </w:pPr>
            <w:r>
              <w:rPr>
                <w:lang w:eastAsia="zh-CN"/>
              </w:rPr>
              <w:t>21 CFR 864.3700</w:t>
            </w:r>
          </w:p>
        </w:tc>
        <w:tc>
          <w:tcPr>
            <w:tcW w:w="2909" w:type="pct"/>
            <w:tcBorders>
              <w:top w:val="single" w:color="auto" w:sz="4" w:space="0"/>
              <w:left w:val="single" w:color="auto" w:sz="4" w:space="0"/>
            </w:tcBorders>
            <w:shd w:val="clear" w:color="auto" w:fill="FFFFFF"/>
          </w:tcPr>
          <w:p w14:paraId="49840AC4">
            <w:pPr>
              <w:snapToGrid w:val="0"/>
              <w:jc w:val="both"/>
              <w:rPr>
                <w:lang w:eastAsia="zh-CN"/>
              </w:rPr>
            </w:pPr>
            <w:r>
              <w:rPr>
                <w:lang w:eastAsia="zh-CN"/>
              </w:rPr>
              <w:t>数字病理图像查看与管理软件</w:t>
            </w:r>
          </w:p>
        </w:tc>
        <w:tc>
          <w:tcPr>
            <w:tcW w:w="609" w:type="pct"/>
            <w:tcBorders>
              <w:top w:val="single" w:color="auto" w:sz="4" w:space="0"/>
              <w:left w:val="single" w:color="auto" w:sz="4" w:space="0"/>
            </w:tcBorders>
            <w:shd w:val="clear" w:color="auto" w:fill="FFFFFF"/>
          </w:tcPr>
          <w:p w14:paraId="699DD126">
            <w:pPr>
              <w:snapToGrid w:val="0"/>
              <w:jc w:val="both"/>
            </w:pPr>
            <w:r>
              <w:rPr>
                <w:lang w:eastAsia="zh-CN"/>
              </w:rPr>
              <w:t>QKQ</w:t>
            </w:r>
          </w:p>
        </w:tc>
        <w:tc>
          <w:tcPr>
            <w:tcW w:w="482" w:type="pct"/>
            <w:tcBorders>
              <w:top w:val="single" w:color="auto" w:sz="4" w:space="0"/>
              <w:left w:val="single" w:color="auto" w:sz="4" w:space="0"/>
              <w:right w:val="single" w:color="auto" w:sz="4" w:space="0"/>
            </w:tcBorders>
            <w:shd w:val="clear" w:color="auto" w:fill="FFFFFF"/>
          </w:tcPr>
          <w:p w14:paraId="666D97BD">
            <w:pPr>
              <w:snapToGrid w:val="0"/>
              <w:jc w:val="both"/>
            </w:pPr>
            <w:r>
              <w:rPr>
                <w:lang w:eastAsia="zh-CN"/>
              </w:rPr>
              <w:t>II</w:t>
            </w:r>
          </w:p>
        </w:tc>
      </w:tr>
      <w:tr w14:paraId="4EE66075">
        <w:tblPrEx>
          <w:tblCellMar>
            <w:top w:w="0" w:type="dxa"/>
            <w:left w:w="57" w:type="dxa"/>
            <w:bottom w:w="0" w:type="dxa"/>
            <w:right w:w="57" w:type="dxa"/>
          </w:tblCellMar>
        </w:tblPrEx>
        <w:trPr>
          <w:trHeight w:val="298" w:hRule="atLeast"/>
        </w:trPr>
        <w:tc>
          <w:tcPr>
            <w:tcW w:w="1001" w:type="pct"/>
            <w:tcBorders>
              <w:top w:val="single" w:color="auto" w:sz="4" w:space="0"/>
              <w:left w:val="single" w:color="auto" w:sz="4" w:space="0"/>
              <w:bottom w:val="single" w:color="auto" w:sz="4" w:space="0"/>
            </w:tcBorders>
            <w:shd w:val="clear" w:color="auto" w:fill="FFFFFF"/>
          </w:tcPr>
          <w:p w14:paraId="141AC00E">
            <w:pPr>
              <w:snapToGrid w:val="0"/>
              <w:jc w:val="both"/>
            </w:pPr>
            <w:r>
              <w:rPr>
                <w:lang w:eastAsia="zh-CN"/>
              </w:rPr>
              <w:t>21 CFR 864.3700</w:t>
            </w:r>
          </w:p>
        </w:tc>
        <w:tc>
          <w:tcPr>
            <w:tcW w:w="2909" w:type="pct"/>
            <w:tcBorders>
              <w:top w:val="single" w:color="auto" w:sz="4" w:space="0"/>
              <w:left w:val="single" w:color="auto" w:sz="4" w:space="0"/>
              <w:bottom w:val="single" w:color="auto" w:sz="4" w:space="0"/>
            </w:tcBorders>
            <w:shd w:val="clear" w:color="auto" w:fill="FFFFFF"/>
          </w:tcPr>
          <w:p w14:paraId="614682F8">
            <w:pPr>
              <w:snapToGrid w:val="0"/>
              <w:jc w:val="both"/>
            </w:pPr>
            <w:r>
              <w:rPr>
                <w:lang w:eastAsia="zh-CN"/>
              </w:rPr>
              <w:t>数字病理显示器</w:t>
            </w:r>
          </w:p>
        </w:tc>
        <w:tc>
          <w:tcPr>
            <w:tcW w:w="609" w:type="pct"/>
            <w:tcBorders>
              <w:top w:val="single" w:color="auto" w:sz="4" w:space="0"/>
              <w:left w:val="single" w:color="auto" w:sz="4" w:space="0"/>
              <w:bottom w:val="single" w:color="auto" w:sz="4" w:space="0"/>
            </w:tcBorders>
            <w:shd w:val="clear" w:color="auto" w:fill="FFFFFF"/>
          </w:tcPr>
          <w:p w14:paraId="691B5289">
            <w:pPr>
              <w:snapToGrid w:val="0"/>
              <w:jc w:val="both"/>
            </w:pPr>
            <w:r>
              <w:rPr>
                <w:lang w:eastAsia="zh-CN"/>
              </w:rPr>
              <w:t>PZZ</w:t>
            </w:r>
          </w:p>
        </w:tc>
        <w:tc>
          <w:tcPr>
            <w:tcW w:w="482" w:type="pct"/>
            <w:tcBorders>
              <w:top w:val="single" w:color="auto" w:sz="4" w:space="0"/>
              <w:left w:val="single" w:color="auto" w:sz="4" w:space="0"/>
              <w:bottom w:val="single" w:color="auto" w:sz="4" w:space="0"/>
              <w:right w:val="single" w:color="auto" w:sz="4" w:space="0"/>
            </w:tcBorders>
            <w:shd w:val="clear" w:color="auto" w:fill="FFFFFF"/>
          </w:tcPr>
          <w:p w14:paraId="583A47EE">
            <w:pPr>
              <w:snapToGrid w:val="0"/>
              <w:jc w:val="both"/>
            </w:pPr>
            <w:r>
              <w:rPr>
                <w:lang w:eastAsia="zh-CN"/>
              </w:rPr>
              <w:t>II</w:t>
            </w:r>
          </w:p>
        </w:tc>
      </w:tr>
    </w:tbl>
    <w:p w14:paraId="770F5107">
      <w:pPr>
        <w:snapToGrid w:val="0"/>
        <w:spacing w:before="120" w:beforeLines="50"/>
        <w:jc w:val="both"/>
        <w:rPr>
          <w:sz w:val="24"/>
          <w:lang w:eastAsia="zh-CN"/>
        </w:rPr>
      </w:pPr>
      <w:r>
        <w:rPr>
          <w:sz w:val="24"/>
          <w:lang w:eastAsia="zh-CN"/>
        </w:rPr>
        <w:t>尽管上述数字病理器械通常用于临床实验室、医院和其他医疗保健机构（进一步讨论见以下第IV节），许多这些器械能够在远程地点审查和报告数字病理切片。</w:t>
      </w:r>
    </w:p>
    <w:p w14:paraId="21A4624B">
      <w:pPr>
        <w:snapToGrid w:val="0"/>
        <w:spacing w:before="120" w:beforeLines="50"/>
        <w:jc w:val="both"/>
        <w:rPr>
          <w:sz w:val="24"/>
          <w:lang w:eastAsia="zh-CN"/>
        </w:rPr>
      </w:pPr>
    </w:p>
    <w:p w14:paraId="3A5BAEB0">
      <w:pPr>
        <w:pStyle w:val="15"/>
        <w:spacing w:before="120" w:after="120"/>
        <w:rPr>
          <w:lang w:eastAsia="zh-CN"/>
        </w:rPr>
      </w:pPr>
      <w:bookmarkStart w:id="16" w:name="bookmark13"/>
      <w:bookmarkStart w:id="17" w:name="bookmark15"/>
      <w:bookmarkStart w:id="18" w:name="_Toc97317841"/>
      <w:bookmarkStart w:id="19" w:name="bookmark14"/>
      <w:r>
        <w:rPr>
          <w:lang w:eastAsia="zh-CN"/>
        </w:rPr>
        <w:t>IV.</w:t>
      </w:r>
      <w:r>
        <w:rPr>
          <w:lang w:eastAsia="zh-CN"/>
        </w:rPr>
        <w:tab/>
      </w:r>
      <w:r>
        <w:rPr>
          <w:lang w:eastAsia="zh-CN"/>
        </w:rPr>
        <w:t>政策</w:t>
      </w:r>
      <w:bookmarkEnd w:id="16"/>
      <w:bookmarkEnd w:id="17"/>
      <w:bookmarkEnd w:id="18"/>
      <w:bookmarkEnd w:id="19"/>
    </w:p>
    <w:p w14:paraId="6A496ECD">
      <w:pPr>
        <w:pStyle w:val="16"/>
        <w:spacing w:before="120" w:after="120"/>
        <w:ind w:left="1356" w:hanging="648"/>
        <w:rPr>
          <w:szCs w:val="24"/>
          <w:lang w:eastAsia="zh-CN"/>
        </w:rPr>
      </w:pPr>
      <w:bookmarkStart w:id="20" w:name="_Toc97317842"/>
      <w:r>
        <w:rPr>
          <w:szCs w:val="24"/>
          <w:lang w:eastAsia="zh-CN"/>
        </w:rPr>
        <w:t>A.</w:t>
      </w:r>
      <w:r>
        <w:rPr>
          <w:szCs w:val="24"/>
          <w:lang w:eastAsia="zh-CN"/>
        </w:rPr>
        <w:tab/>
      </w:r>
      <w:r>
        <w:rPr>
          <w:szCs w:val="24"/>
          <w:lang w:eastAsia="zh-CN"/>
        </w:rPr>
        <w:t>概述</w:t>
      </w:r>
      <w:bookmarkEnd w:id="20"/>
    </w:p>
    <w:p w14:paraId="1E2C98A6">
      <w:pPr>
        <w:snapToGrid w:val="0"/>
        <w:spacing w:before="120" w:beforeLines="50"/>
        <w:jc w:val="both"/>
        <w:rPr>
          <w:sz w:val="24"/>
          <w:lang w:eastAsia="zh-CN"/>
        </w:rPr>
      </w:pPr>
      <w:r>
        <w:rPr>
          <w:sz w:val="24"/>
          <w:lang w:eastAsia="zh-CN"/>
        </w:rPr>
        <w:t>在发生COVID-19突发公共卫生事件的情况下，扩大远程数字病理器械的可及性可能有助于提供病理学服务，同时减少医护人员接触和可能暴露于SARS-CoV-2的风险。</w:t>
      </w:r>
    </w:p>
    <w:p w14:paraId="2FE8DA8B">
      <w:pPr>
        <w:snapToGrid w:val="0"/>
        <w:spacing w:before="120" w:beforeLines="50"/>
        <w:jc w:val="both"/>
        <w:rPr>
          <w:sz w:val="24"/>
          <w:lang w:eastAsia="zh-CN"/>
        </w:rPr>
      </w:pPr>
    </w:p>
    <w:p w14:paraId="1314CFDB">
      <w:pPr>
        <w:snapToGrid w:val="0"/>
        <w:spacing w:before="120" w:beforeLines="50"/>
        <w:jc w:val="both"/>
        <w:rPr>
          <w:sz w:val="24"/>
        </w:rPr>
      </w:pPr>
      <w:r>
        <w:rPr>
          <w:sz w:val="24"/>
          <w:lang w:eastAsia="zh-CN"/>
        </w:rPr>
        <w:t>1988年临床实验室改进修正案（CLIA）（42 U.S.C. 263a）要求，临床实验室（包括医院和其他医疗保健环境中的临床实验室）在接受来自人体的材料以前必须持有证书，以提供用于诊断、预防或治疗任何疾病或损害的信息，或提供用于评估人类健康的信息。</w:t>
      </w:r>
      <w:r>
        <w:fldChar w:fldCharType="begin"/>
      </w:r>
      <w:r>
        <w:instrText xml:space="preserve"> HYPERLINK \l "bookmark16" \o "当前文件" \h </w:instrText>
      </w:r>
      <w:r>
        <w:fldChar w:fldCharType="separate"/>
      </w:r>
      <w:r>
        <w:rPr>
          <w:sz w:val="24"/>
          <w:vertAlign w:val="superscript"/>
          <w:lang w:eastAsia="zh-CN"/>
        </w:rPr>
        <w:t>4</w:t>
      </w:r>
      <w:r>
        <w:rPr>
          <w:sz w:val="24"/>
          <w:vertAlign w:val="superscript"/>
          <w:lang w:eastAsia="zh-CN"/>
        </w:rPr>
        <w:fldChar w:fldCharType="end"/>
      </w:r>
      <w:r>
        <w:rPr>
          <w:sz w:val="24"/>
          <w:lang w:eastAsia="zh-CN"/>
        </w:rPr>
        <w:t>数字病理器械尚未批准用于家庭使用或归类为FDA豁免器械。因此，这些器械仅供经CLIA认证可执行非豁免试验的临床实验室、医院和其他医疗保健环境使用。然而，在发生COVID-19突发公共卫生事件的情况下，医疗保险和医疗补助服务中心（CMS）在2020年3月26日发布了备忘录，描述其自由裁量权的行使，以确保病理学家可以远程审查病理切片和图像。CMS备忘录指出，如果符合备忘录中的某些标准，选择使用临时试验地点的实验室（例如远程审查和报告切片/图像）适用于这种情况。</w:t>
      </w:r>
      <w:r>
        <w:fldChar w:fldCharType="begin"/>
      </w:r>
      <w:r>
        <w:instrText xml:space="preserve"> HYPERLINK \l "bookmark18" \o "当前文件" \h </w:instrText>
      </w:r>
      <w:r>
        <w:fldChar w:fldCharType="separate"/>
      </w:r>
      <w:r>
        <w:rPr>
          <w:sz w:val="24"/>
          <w:vertAlign w:val="superscript"/>
          <w:lang w:eastAsia="zh-CN"/>
        </w:rPr>
        <w:t>5</w:t>
      </w:r>
      <w:r>
        <w:rPr>
          <w:sz w:val="24"/>
          <w:vertAlign w:val="superscript"/>
          <w:lang w:eastAsia="zh-CN"/>
        </w:rPr>
        <w:fldChar w:fldCharType="end"/>
      </w:r>
    </w:p>
    <w:p w14:paraId="2076B15E">
      <w:pPr>
        <w:snapToGrid w:val="0"/>
        <w:spacing w:before="120" w:beforeLines="50"/>
        <w:jc w:val="both"/>
        <w:rPr>
          <w:sz w:val="18"/>
          <w:szCs w:val="18"/>
        </w:rPr>
      </w:pPr>
      <w:bookmarkStart w:id="21" w:name="bookmark16"/>
      <w:bookmarkStart w:id="22" w:name="bookmark17"/>
    </w:p>
    <w:p w14:paraId="047F2E75">
      <w:pPr>
        <w:snapToGrid w:val="0"/>
        <w:spacing w:before="120" w:beforeLines="50"/>
        <w:jc w:val="both"/>
        <w:rPr>
          <w:sz w:val="18"/>
          <w:szCs w:val="18"/>
        </w:rPr>
      </w:pPr>
    </w:p>
    <w:p w14:paraId="1E25E0AC">
      <w:pPr>
        <w:snapToGrid w:val="0"/>
        <w:spacing w:before="120" w:beforeLines="50"/>
        <w:jc w:val="both"/>
        <w:rPr>
          <w:sz w:val="18"/>
          <w:szCs w:val="18"/>
          <w:lang w:eastAsia="zh-CN"/>
        </w:rPr>
      </w:pPr>
    </w:p>
    <w:p w14:paraId="2E28F9BB">
      <w:pPr>
        <w:snapToGrid w:val="0"/>
        <w:spacing w:before="120" w:beforeLines="50"/>
        <w:jc w:val="both"/>
        <w:rPr>
          <w:sz w:val="18"/>
          <w:szCs w:val="18"/>
          <w:lang w:eastAsia="zh-CN"/>
        </w:rPr>
      </w:pPr>
    </w:p>
    <w:p w14:paraId="75014D34">
      <w:pPr>
        <w:snapToGrid w:val="0"/>
        <w:spacing w:before="120" w:beforeLines="50"/>
        <w:jc w:val="both"/>
        <w:rPr>
          <w:sz w:val="18"/>
          <w:szCs w:val="18"/>
          <w:lang w:eastAsia="zh-CN"/>
        </w:rPr>
      </w:pPr>
    </w:p>
    <w:p w14:paraId="4DFBAEAA">
      <w:pPr>
        <w:snapToGrid w:val="0"/>
        <w:spacing w:before="120" w:beforeLines="50"/>
        <w:jc w:val="both"/>
        <w:rPr>
          <w:sz w:val="18"/>
          <w:szCs w:val="18"/>
        </w:rPr>
      </w:pPr>
      <w:r>
        <w:rPr>
          <w:sz w:val="18"/>
          <w:szCs w:val="18"/>
          <w:lang w:eastAsia="zh-CN"/>
        </w:rPr>
        <w:t>______________________</w:t>
      </w:r>
    </w:p>
    <w:p w14:paraId="4B688374">
      <w:pPr>
        <w:tabs>
          <w:tab w:val="left" w:pos="110"/>
        </w:tabs>
        <w:snapToGrid w:val="0"/>
        <w:spacing w:before="120" w:beforeLines="50"/>
        <w:rPr>
          <w:sz w:val="18"/>
          <w:szCs w:val="18"/>
        </w:rPr>
      </w:pPr>
      <w:r>
        <w:rPr>
          <w:sz w:val="18"/>
          <w:szCs w:val="18"/>
          <w:vertAlign w:val="superscript"/>
          <w:lang w:eastAsia="zh-CN"/>
        </w:rPr>
        <w:t>3</w:t>
      </w:r>
      <w:r>
        <w:rPr>
          <w:sz w:val="18"/>
          <w:szCs w:val="18"/>
          <w:lang w:eastAsia="zh-CN"/>
        </w:rPr>
        <w:tab/>
      </w:r>
      <w:r>
        <w:rPr>
          <w:sz w:val="18"/>
          <w:szCs w:val="18"/>
          <w:lang w:eastAsia="zh-CN"/>
        </w:rPr>
        <w:t>更多信息请</w:t>
      </w:r>
      <w:r>
        <w:rPr>
          <w:rFonts w:hint="eastAsia"/>
          <w:sz w:val="18"/>
          <w:szCs w:val="18"/>
          <w:lang w:eastAsia="zh-CN"/>
        </w:rPr>
        <w:t>参见</w:t>
      </w:r>
      <w:r>
        <w:rPr>
          <w:sz w:val="18"/>
          <w:szCs w:val="18"/>
          <w:lang w:eastAsia="zh-CN"/>
        </w:rPr>
        <w:t>产品分类数据库</w:t>
      </w:r>
      <w:r>
        <w:fldChar w:fldCharType="begin"/>
      </w:r>
      <w:r>
        <w:instrText xml:space="preserve"> HYPERLINK "https://www.accessdata.fda.gov/scripts/cdrh/cfdocs/cfPCD/classification.cfm" </w:instrText>
      </w:r>
      <w:r>
        <w:fldChar w:fldCharType="separate"/>
      </w:r>
      <w:r>
        <w:rPr>
          <w:rStyle w:val="11"/>
          <w:color w:val="0000FF"/>
          <w:sz w:val="18"/>
          <w:szCs w:val="18"/>
          <w:lang w:eastAsia="zh-CN"/>
        </w:rPr>
        <w:t>https://www.accessdata.fda.gov/scripts/cdrh/cfdocs/cfPCD/classification.cfm.</w:t>
      </w:r>
      <w:bookmarkEnd w:id="21"/>
      <w:bookmarkEnd w:id="22"/>
      <w:r>
        <w:rPr>
          <w:rStyle w:val="11"/>
          <w:color w:val="0000FF"/>
          <w:sz w:val="18"/>
          <w:szCs w:val="18"/>
          <w:lang w:eastAsia="zh-CN"/>
        </w:rPr>
        <w:fldChar w:fldCharType="end"/>
      </w:r>
    </w:p>
    <w:p w14:paraId="0387CEDD">
      <w:pPr>
        <w:tabs>
          <w:tab w:val="left" w:pos="110"/>
        </w:tabs>
        <w:snapToGrid w:val="0"/>
        <w:spacing w:before="120" w:beforeLines="50"/>
        <w:rPr>
          <w:sz w:val="18"/>
          <w:szCs w:val="18"/>
          <w:lang w:eastAsia="zh-CN"/>
        </w:rPr>
      </w:pPr>
      <w:r>
        <w:rPr>
          <w:sz w:val="18"/>
          <w:szCs w:val="18"/>
          <w:vertAlign w:val="superscript"/>
          <w:lang w:eastAsia="zh-CN"/>
        </w:rPr>
        <w:t>4</w:t>
      </w:r>
      <w:r>
        <w:rPr>
          <w:sz w:val="18"/>
          <w:szCs w:val="18"/>
          <w:lang w:eastAsia="zh-CN"/>
        </w:rPr>
        <w:tab/>
      </w:r>
      <w:r>
        <w:rPr>
          <w:sz w:val="18"/>
          <w:szCs w:val="18"/>
          <w:lang w:eastAsia="zh-CN"/>
        </w:rPr>
        <w:t>更多信息请</w:t>
      </w:r>
      <w:r>
        <w:rPr>
          <w:rFonts w:hint="eastAsia"/>
          <w:sz w:val="18"/>
          <w:szCs w:val="18"/>
          <w:lang w:eastAsia="zh-CN"/>
        </w:rPr>
        <w:t>参见</w:t>
      </w:r>
      <w:r>
        <w:rPr>
          <w:sz w:val="18"/>
          <w:szCs w:val="18"/>
          <w:lang w:eastAsia="zh-CN"/>
        </w:rPr>
        <w:t>FDA指南“CLIA分类管理程序：对行业和美国食品药品监督管理局工作人员的指南”，请访问</w:t>
      </w:r>
      <w:r>
        <w:fldChar w:fldCharType="begin"/>
      </w:r>
      <w:r>
        <w:instrText xml:space="preserve"> HYPERLINK "https://www.fda.gov/regulatory-information/search-fda-guidance-" </w:instrText>
      </w:r>
      <w:r>
        <w:fldChar w:fldCharType="separate"/>
      </w:r>
      <w:r>
        <w:rPr>
          <w:rStyle w:val="11"/>
          <w:sz w:val="18"/>
          <w:szCs w:val="18"/>
          <w:lang w:eastAsia="zh-CN"/>
        </w:rPr>
        <w:t>https://www.fda.gov/regulatory-information/search-fda-guidance-</w:t>
      </w:r>
      <w:r>
        <w:rPr>
          <w:rStyle w:val="11"/>
          <w:sz w:val="18"/>
          <w:szCs w:val="18"/>
          <w:lang w:eastAsia="zh-CN"/>
        </w:rPr>
        <w:fldChar w:fldCharType="end"/>
      </w:r>
      <w:r>
        <w:fldChar w:fldCharType="begin"/>
      </w:r>
      <w:r>
        <w:instrText xml:space="preserve"> HYPERLINK "https://www.fda.gov/regulatory-information/search-fda-guidance-documents/administrative-procedures-clia-categorization" </w:instrText>
      </w:r>
      <w:r>
        <w:fldChar w:fldCharType="separate"/>
      </w:r>
      <w:r>
        <w:rPr>
          <w:rStyle w:val="11"/>
          <w:color w:val="0000FF"/>
          <w:sz w:val="18"/>
          <w:szCs w:val="18"/>
          <w:lang w:eastAsia="zh-CN"/>
        </w:rPr>
        <w:t>documents/administrative-procedures-clia-categorization。</w:t>
      </w:r>
      <w:r>
        <w:rPr>
          <w:rStyle w:val="11"/>
          <w:color w:val="0000FF"/>
          <w:sz w:val="18"/>
          <w:szCs w:val="18"/>
          <w:lang w:eastAsia="zh-CN"/>
        </w:rPr>
        <w:fldChar w:fldCharType="end"/>
      </w:r>
    </w:p>
    <w:p w14:paraId="0C179FF9">
      <w:pPr>
        <w:tabs>
          <w:tab w:val="left" w:pos="125"/>
        </w:tabs>
        <w:snapToGrid w:val="0"/>
        <w:spacing w:before="120" w:beforeLines="50"/>
        <w:rPr>
          <w:sz w:val="18"/>
          <w:szCs w:val="18"/>
          <w:lang w:eastAsia="zh-CN"/>
        </w:rPr>
      </w:pPr>
      <w:bookmarkStart w:id="23" w:name="bookmark18"/>
      <w:r>
        <w:rPr>
          <w:sz w:val="18"/>
          <w:szCs w:val="18"/>
          <w:vertAlign w:val="superscript"/>
          <w:lang w:eastAsia="zh-CN"/>
        </w:rPr>
        <w:t>5</w:t>
      </w:r>
      <w:r>
        <w:rPr>
          <w:sz w:val="18"/>
          <w:szCs w:val="18"/>
          <w:lang w:eastAsia="zh-CN"/>
        </w:rPr>
        <w:tab/>
      </w:r>
      <w:r>
        <w:rPr>
          <w:sz w:val="18"/>
          <w:szCs w:val="18"/>
          <w:lang w:eastAsia="zh-CN"/>
        </w:rPr>
        <w:t>请参阅医疗保险和医疗补助服务中心备忘录、临床实验室改进修正案（CLIA）COVID-19突发公共卫生事件期间的实验室指南，2020年3月26日</w:t>
      </w:r>
      <w:bookmarkEnd w:id="23"/>
      <w:r>
        <w:rPr>
          <w:sz w:val="18"/>
          <w:szCs w:val="18"/>
          <w:lang w:eastAsia="zh-CN"/>
        </w:rPr>
        <w:t xml:space="preserve"> </w:t>
      </w:r>
      <w:r>
        <w:fldChar w:fldCharType="begin"/>
      </w:r>
      <w:r>
        <w:instrText xml:space="preserve"> HYPERLINK "https://www.cms.gov/medicareprovider-enrollment-and-certificationsurveycertificationgeninfopolicy-and-memos-states-and/clinical-laboratory-improvement-amendments-clia-laboratory-guidance-during-covid-19-public-health" </w:instrText>
      </w:r>
      <w:r>
        <w:fldChar w:fldCharType="separate"/>
      </w:r>
      <w:r>
        <w:rPr>
          <w:rStyle w:val="11"/>
          <w:color w:val="0000FF"/>
          <w:sz w:val="18"/>
          <w:szCs w:val="18"/>
          <w:lang w:eastAsia="zh-CN"/>
        </w:rPr>
        <w:t>https://www.cms.gov/medicareprovider-enrollment-and-certificationsurvevcertificationgeninfopolicv-and-memos-states-and/clinical-laboratory-improvement-amendments-clia-laboratory-guidance-during-covid-19-public-health.</w:t>
      </w:r>
      <w:r>
        <w:rPr>
          <w:rStyle w:val="11"/>
          <w:color w:val="0000FF"/>
          <w:sz w:val="18"/>
          <w:szCs w:val="18"/>
          <w:lang w:eastAsia="zh-CN"/>
        </w:rPr>
        <w:fldChar w:fldCharType="end"/>
      </w:r>
    </w:p>
    <w:p w14:paraId="0160C2F7">
      <w:pPr>
        <w:snapToGrid w:val="0"/>
        <w:spacing w:before="120" w:beforeLines="50"/>
        <w:rPr>
          <w:lang w:eastAsia="zh-CN"/>
        </w:rPr>
      </w:pPr>
      <w:r>
        <w:rPr>
          <w:lang w:eastAsia="zh-CN"/>
        </w:rPr>
        <w:br w:type="page"/>
      </w:r>
    </w:p>
    <w:p w14:paraId="78243759">
      <w:pPr>
        <w:snapToGrid w:val="0"/>
        <w:spacing w:before="120" w:beforeLines="50"/>
        <w:jc w:val="both"/>
        <w:rPr>
          <w:sz w:val="24"/>
          <w:lang w:eastAsia="zh-CN"/>
        </w:rPr>
      </w:pPr>
      <w:r>
        <w:rPr>
          <w:sz w:val="24"/>
          <w:lang w:eastAsia="zh-CN"/>
        </w:rPr>
        <w:t>总之，要求表1中的数字病理器械制造商按照《FD&amp;C法案》的第510(k)节提交上市前通知，并在美国销售这些器械以前获得FDA许可，并符合上市后要求。</w:t>
      </w:r>
    </w:p>
    <w:p w14:paraId="206C4553">
      <w:pPr>
        <w:snapToGrid w:val="0"/>
        <w:spacing w:before="120" w:beforeLines="50"/>
        <w:jc w:val="both"/>
        <w:rPr>
          <w:sz w:val="24"/>
          <w:lang w:eastAsia="zh-CN"/>
        </w:rPr>
      </w:pPr>
      <w:r>
        <w:rPr>
          <w:sz w:val="24"/>
          <w:lang w:eastAsia="zh-CN"/>
        </w:rPr>
        <w:t>FDA认识到，增加远程数字病理器械的可及性有助于在此次突发公共卫生事件期间远程审查和报告病理切片，这反过来可能帮助维持患者</w:t>
      </w:r>
      <w:r>
        <w:rPr>
          <w:rFonts w:hint="eastAsia"/>
          <w:sz w:val="24"/>
          <w:lang w:eastAsia="zh-CN"/>
        </w:rPr>
        <w:t>治疗</w:t>
      </w:r>
      <w:r>
        <w:rPr>
          <w:sz w:val="24"/>
          <w:lang w:eastAsia="zh-CN"/>
        </w:rPr>
        <w:t>的连续性，并减少医护人员接触和暴露于SARS-CoV-2的风险。为此，在COVID-19突发公共卫生事件期间，FDA不会反对：</w:t>
      </w:r>
    </w:p>
    <w:p w14:paraId="74AC470F">
      <w:pPr>
        <w:pStyle w:val="19"/>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修改表1中数字病理器械的经FDA许可的适应证、功能、硬件和/或软件，以便远程使用，或</w:t>
      </w:r>
    </w:p>
    <w:p w14:paraId="102EF659">
      <w:pPr>
        <w:pStyle w:val="19"/>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销售表1中预期在远程使用但目前尚未获得510（k）许可用于任何用途的新数字病理器械，</w:t>
      </w:r>
    </w:p>
    <w:p w14:paraId="74AD7D62">
      <w:pPr>
        <w:snapToGrid w:val="0"/>
        <w:spacing w:before="120" w:beforeLines="50"/>
        <w:jc w:val="both"/>
        <w:rPr>
          <w:sz w:val="24"/>
          <w:lang w:eastAsia="zh-CN"/>
        </w:rPr>
      </w:pPr>
      <w:r>
        <w:rPr>
          <w:sz w:val="24"/>
          <w:lang w:eastAsia="zh-CN"/>
        </w:rPr>
        <w:t>不符合以下监管要求，鉴于突发公共卫生事件，这些器械不会产生不当风险：按照《FD&amp;C法案》第510(k)节和21 CFR 807.81</w:t>
      </w:r>
      <w:r>
        <w:fldChar w:fldCharType="begin"/>
      </w:r>
      <w:r>
        <w:instrText xml:space="preserve"> HYPERLINK \l "bookmark20" \o "Current Document" \h </w:instrText>
      </w:r>
      <w:r>
        <w:fldChar w:fldCharType="separate"/>
      </w:r>
      <w:r>
        <w:rPr>
          <w:sz w:val="24"/>
          <w:vertAlign w:val="superscript"/>
          <w:lang w:eastAsia="zh-CN"/>
        </w:rPr>
        <w:t>6</w:t>
      </w:r>
      <w:r>
        <w:rPr>
          <w:sz w:val="24"/>
          <w:vertAlign w:val="superscript"/>
          <w:lang w:eastAsia="zh-CN"/>
        </w:rPr>
        <w:fldChar w:fldCharType="end"/>
      </w:r>
      <w:r>
        <w:rPr>
          <w:sz w:val="24"/>
          <w:lang w:eastAsia="zh-CN"/>
        </w:rPr>
        <w:t>、21 CFR第820部分的生产质量管理规范要求和21 CFR第830部分和21 CFR 801.20的医疗器械唯一标识（UDI）要求提交上市前通知。</w:t>
      </w:r>
    </w:p>
    <w:p w14:paraId="3EB01CA0">
      <w:pPr>
        <w:snapToGrid w:val="0"/>
        <w:spacing w:before="120" w:beforeLines="50"/>
        <w:jc w:val="both"/>
        <w:rPr>
          <w:sz w:val="24"/>
          <w:lang w:eastAsia="zh-CN"/>
        </w:rPr>
      </w:pPr>
      <w:r>
        <w:rPr>
          <w:sz w:val="24"/>
          <w:lang w:eastAsia="zh-CN"/>
        </w:rPr>
        <w:t>此外，对于受本政策约束的远程数字病理器械，FDA不会强制要求符合21 CFR 864.1860（见向FDA提交免疫组织化学申请的特殊管理文件</w:t>
      </w:r>
      <w:r>
        <w:fldChar w:fldCharType="begin"/>
      </w:r>
      <w:r>
        <w:instrText xml:space="preserve"> HYPERLINK \l "bookmark21" \o "当前文件" \h </w:instrText>
      </w:r>
      <w:r>
        <w:fldChar w:fldCharType="separate"/>
      </w:r>
      <w:r>
        <w:rPr>
          <w:sz w:val="24"/>
          <w:vertAlign w:val="superscript"/>
          <w:lang w:eastAsia="zh-CN"/>
        </w:rPr>
        <w:t>7</w:t>
      </w:r>
      <w:r>
        <w:rPr>
          <w:sz w:val="24"/>
          <w:vertAlign w:val="superscript"/>
          <w:lang w:eastAsia="zh-CN"/>
        </w:rPr>
        <w:fldChar w:fldCharType="end"/>
      </w:r>
      <w:r>
        <w:rPr>
          <w:sz w:val="24"/>
          <w:vertAlign w:val="superscript"/>
          <w:lang w:eastAsia="zh-CN"/>
        </w:rPr>
        <w:t>*</w:t>
      </w:r>
      <w:r>
        <w:rPr>
          <w:sz w:val="24"/>
          <w:lang w:eastAsia="zh-CN"/>
        </w:rPr>
        <w:t>）和21 CFR 864.3700（83 FR 22）中的特殊管理，其中包含对全切片成像系统提交上市前通知的内容，鉴于突发公共卫生事件，这些器械或修改不会产生不当风险。</w:t>
      </w:r>
    </w:p>
    <w:p w14:paraId="05470211">
      <w:pPr>
        <w:snapToGrid w:val="0"/>
        <w:spacing w:before="120" w:beforeLines="50"/>
        <w:jc w:val="both"/>
        <w:rPr>
          <w:sz w:val="24"/>
          <w:lang w:eastAsia="zh-CN"/>
        </w:rPr>
      </w:pPr>
      <w:bookmarkStart w:id="24" w:name="bookmark19"/>
      <w:r>
        <w:rPr>
          <w:sz w:val="24"/>
          <w:lang w:eastAsia="zh-CN"/>
        </w:rPr>
        <w:t>FDA认为，这些器械不会产生不当风险，符合第IV.B节中的性能和说明书要素。</w:t>
      </w:r>
      <w:bookmarkEnd w:id="24"/>
    </w:p>
    <w:p w14:paraId="1026F4C9">
      <w:pPr>
        <w:pStyle w:val="16"/>
        <w:spacing w:before="120" w:after="120"/>
        <w:ind w:left="1356" w:hanging="648"/>
      </w:pPr>
      <w:bookmarkStart w:id="25" w:name="_Toc97317843"/>
      <w:r>
        <w:rPr>
          <w:lang w:eastAsia="zh-CN"/>
        </w:rPr>
        <w:t>B.</w:t>
      </w:r>
      <w:r>
        <w:rPr>
          <w:lang w:eastAsia="zh-CN"/>
        </w:rPr>
        <w:tab/>
      </w:r>
      <w:r>
        <w:rPr>
          <w:lang w:eastAsia="zh-CN"/>
        </w:rPr>
        <w:t>说明书和性能</w:t>
      </w:r>
      <w:bookmarkEnd w:id="25"/>
    </w:p>
    <w:p w14:paraId="418975BF">
      <w:pPr>
        <w:snapToGrid w:val="0"/>
        <w:spacing w:before="120" w:beforeLines="50"/>
        <w:jc w:val="both"/>
        <w:rPr>
          <w:sz w:val="24"/>
        </w:rPr>
      </w:pPr>
      <w:r>
        <w:rPr>
          <w:sz w:val="24"/>
          <w:lang w:eastAsia="zh-CN"/>
        </w:rPr>
        <w:t>FDA认为，在以下情况下，这些器械的器械性能和产品说明书（包括远程使用说明）不会产生不当风险：FDA鼓励公司与FDA讨论这些建议的替代方案</w:t>
      </w:r>
      <w:r>
        <w:fldChar w:fldCharType="begin"/>
      </w:r>
      <w:r>
        <w:instrText xml:space="preserve"> HYPERLINK "邮箱：CDRH-COVID19-digitalpathology@fda.hhs.gov" </w:instrText>
      </w:r>
      <w:r>
        <w:fldChar w:fldCharType="separate"/>
      </w:r>
      <w:r>
        <w:rPr>
          <w:rStyle w:val="11"/>
          <w:color w:val="0000FF"/>
          <w:sz w:val="24"/>
          <w:lang w:eastAsia="zh-CN"/>
        </w:rPr>
        <w:t>（CDRH-COVID19-DigitalPathologv@fda.hhs.gov）</w:t>
      </w:r>
      <w:r>
        <w:rPr>
          <w:rStyle w:val="11"/>
          <w:color w:val="0000FF"/>
          <w:sz w:val="24"/>
          <w:lang w:eastAsia="zh-CN"/>
        </w:rPr>
        <w:fldChar w:fldCharType="end"/>
      </w:r>
      <w:r>
        <w:rPr>
          <w:sz w:val="24"/>
          <w:lang w:eastAsia="zh-CN"/>
        </w:rPr>
        <w:t>。</w:t>
      </w:r>
    </w:p>
    <w:p w14:paraId="5176F91A">
      <w:pPr>
        <w:snapToGrid w:val="0"/>
        <w:spacing w:before="120" w:beforeLines="50"/>
        <w:jc w:val="both"/>
        <w:rPr>
          <w:sz w:val="18"/>
          <w:szCs w:val="18"/>
        </w:rPr>
      </w:pPr>
      <w:bookmarkStart w:id="26" w:name="bookmark20"/>
    </w:p>
    <w:p w14:paraId="5C3F36AE">
      <w:pPr>
        <w:snapToGrid w:val="0"/>
        <w:spacing w:before="120" w:beforeLines="50"/>
        <w:jc w:val="both"/>
        <w:rPr>
          <w:sz w:val="18"/>
          <w:szCs w:val="18"/>
          <w:lang w:eastAsia="zh-CN"/>
        </w:rPr>
      </w:pPr>
    </w:p>
    <w:p w14:paraId="0021A20F">
      <w:pPr>
        <w:snapToGrid w:val="0"/>
        <w:spacing w:before="120" w:beforeLines="50"/>
        <w:jc w:val="both"/>
        <w:rPr>
          <w:sz w:val="18"/>
          <w:szCs w:val="18"/>
          <w:lang w:eastAsia="zh-CN"/>
        </w:rPr>
      </w:pPr>
    </w:p>
    <w:p w14:paraId="2552BBB2">
      <w:pPr>
        <w:snapToGrid w:val="0"/>
        <w:spacing w:before="120" w:beforeLines="50"/>
        <w:jc w:val="both"/>
        <w:rPr>
          <w:sz w:val="18"/>
          <w:szCs w:val="18"/>
          <w:lang w:eastAsia="zh-CN"/>
        </w:rPr>
      </w:pPr>
    </w:p>
    <w:p w14:paraId="71F74F83">
      <w:pPr>
        <w:snapToGrid w:val="0"/>
        <w:spacing w:before="120" w:beforeLines="50"/>
        <w:jc w:val="both"/>
        <w:rPr>
          <w:sz w:val="18"/>
          <w:szCs w:val="18"/>
          <w:lang w:eastAsia="zh-CN"/>
        </w:rPr>
      </w:pPr>
    </w:p>
    <w:p w14:paraId="37B2577E">
      <w:pPr>
        <w:snapToGrid w:val="0"/>
        <w:spacing w:before="120" w:beforeLines="50"/>
        <w:jc w:val="both"/>
        <w:rPr>
          <w:sz w:val="18"/>
          <w:szCs w:val="18"/>
          <w:lang w:eastAsia="zh-CN"/>
        </w:rPr>
      </w:pPr>
    </w:p>
    <w:p w14:paraId="4FD33CD6">
      <w:pPr>
        <w:snapToGrid w:val="0"/>
        <w:spacing w:before="120" w:beforeLines="50"/>
        <w:jc w:val="both"/>
        <w:rPr>
          <w:sz w:val="18"/>
          <w:szCs w:val="18"/>
          <w:lang w:eastAsia="zh-CN"/>
        </w:rPr>
      </w:pPr>
    </w:p>
    <w:p w14:paraId="75D1C331">
      <w:pPr>
        <w:snapToGrid w:val="0"/>
        <w:spacing w:before="120" w:beforeLines="50"/>
        <w:jc w:val="both"/>
        <w:rPr>
          <w:sz w:val="18"/>
          <w:szCs w:val="18"/>
          <w:lang w:eastAsia="zh-CN"/>
        </w:rPr>
      </w:pPr>
    </w:p>
    <w:p w14:paraId="0B3A2CC2">
      <w:pPr>
        <w:snapToGrid w:val="0"/>
        <w:spacing w:before="120" w:beforeLines="50"/>
        <w:jc w:val="both"/>
        <w:rPr>
          <w:sz w:val="18"/>
          <w:szCs w:val="18"/>
          <w:lang w:eastAsia="zh-CN"/>
        </w:rPr>
      </w:pPr>
    </w:p>
    <w:p w14:paraId="51D3CEFD">
      <w:pPr>
        <w:snapToGrid w:val="0"/>
        <w:spacing w:before="120" w:beforeLines="50"/>
        <w:jc w:val="both"/>
        <w:rPr>
          <w:sz w:val="18"/>
          <w:szCs w:val="18"/>
          <w:lang w:eastAsia="zh-CN"/>
        </w:rPr>
      </w:pPr>
      <w:r>
        <w:rPr>
          <w:sz w:val="18"/>
          <w:szCs w:val="18"/>
          <w:lang w:eastAsia="zh-CN"/>
        </w:rPr>
        <w:t>______________________</w:t>
      </w:r>
    </w:p>
    <w:p w14:paraId="45B8A8CF">
      <w:pPr>
        <w:tabs>
          <w:tab w:val="left" w:pos="110"/>
        </w:tabs>
        <w:snapToGrid w:val="0"/>
        <w:spacing w:before="120" w:beforeLines="50"/>
        <w:rPr>
          <w:color w:val="0000FF"/>
          <w:sz w:val="18"/>
          <w:szCs w:val="18"/>
          <w:lang w:eastAsia="zh-CN"/>
        </w:rPr>
      </w:pPr>
      <w:r>
        <w:rPr>
          <w:sz w:val="18"/>
          <w:szCs w:val="18"/>
          <w:vertAlign w:val="superscript"/>
          <w:lang w:eastAsia="zh-CN"/>
        </w:rPr>
        <w:t>6</w:t>
      </w:r>
      <w:r>
        <w:rPr>
          <w:sz w:val="18"/>
          <w:szCs w:val="18"/>
          <w:lang w:eastAsia="zh-CN"/>
        </w:rPr>
        <w:tab/>
      </w:r>
      <w:r>
        <w:rPr>
          <w:sz w:val="18"/>
          <w:szCs w:val="18"/>
          <w:lang w:eastAsia="zh-CN"/>
        </w:rPr>
        <w:t>有关需要制造商向FDA提交新的上市前通知510（k）的修改的进一步指导，请参阅“决定何时提交现有器械变更的510（k）：对行业和美国食品药品监督管理局工作人员的指南”，</w:t>
      </w:r>
      <w:r>
        <w:fldChar w:fldCharType="begin"/>
      </w:r>
      <w:r>
        <w:instrText xml:space="preserve"> HYPERLINK "https://www.fda.gov/regulatory-information/search-fda-guidance-" </w:instrText>
      </w:r>
      <w:r>
        <w:fldChar w:fldCharType="separate"/>
      </w:r>
      <w:r>
        <w:rPr>
          <w:rStyle w:val="11"/>
          <w:sz w:val="18"/>
          <w:szCs w:val="18"/>
          <w:lang w:eastAsia="zh-CN"/>
        </w:rPr>
        <w:t>https://www.fda.gov/regulatory-information/search-fda-guidance-</w:t>
      </w:r>
      <w:r>
        <w:rPr>
          <w:rStyle w:val="11"/>
          <w:sz w:val="18"/>
          <w:szCs w:val="18"/>
          <w:lang w:eastAsia="zh-CN"/>
        </w:rPr>
        <w:fldChar w:fldCharType="end"/>
      </w:r>
      <w:r>
        <w:fldChar w:fldCharType="begin"/>
      </w:r>
      <w:r>
        <w:instrText xml:space="preserve"> HYPERLINK "https://www.fda.gov/regulatory-information/search-fda-guidance-documents/deciding-when-submit-510k-change-existing-device" </w:instrText>
      </w:r>
      <w:r>
        <w:fldChar w:fldCharType="separate"/>
      </w:r>
      <w:r>
        <w:rPr>
          <w:rStyle w:val="11"/>
          <w:color w:val="0000FF"/>
          <w:sz w:val="18"/>
          <w:szCs w:val="18"/>
          <w:lang w:eastAsia="zh-CN"/>
        </w:rPr>
        <w:t>documents/deciding-when-submit-510k-change-existing-device.</w:t>
      </w:r>
      <w:bookmarkEnd w:id="26"/>
      <w:r>
        <w:rPr>
          <w:rStyle w:val="11"/>
          <w:color w:val="0000FF"/>
          <w:sz w:val="18"/>
          <w:szCs w:val="18"/>
          <w:lang w:eastAsia="zh-CN"/>
        </w:rPr>
        <w:fldChar w:fldCharType="end"/>
      </w:r>
    </w:p>
    <w:p w14:paraId="5830F26D">
      <w:pPr>
        <w:tabs>
          <w:tab w:val="left" w:pos="101"/>
        </w:tabs>
        <w:snapToGrid w:val="0"/>
        <w:spacing w:before="120" w:beforeLines="50"/>
        <w:rPr>
          <w:color w:val="0000FF"/>
          <w:sz w:val="18"/>
          <w:szCs w:val="18"/>
        </w:rPr>
      </w:pPr>
      <w:bookmarkStart w:id="27" w:name="bookmark21"/>
      <w:r>
        <w:rPr>
          <w:sz w:val="18"/>
          <w:szCs w:val="18"/>
          <w:vertAlign w:val="superscript"/>
          <w:lang w:eastAsia="zh-CN"/>
        </w:rPr>
        <w:t>7</w:t>
      </w:r>
      <w:r>
        <w:rPr>
          <w:sz w:val="18"/>
          <w:szCs w:val="18"/>
          <w:lang w:eastAsia="zh-CN"/>
        </w:rPr>
        <w:tab/>
      </w:r>
      <w:r>
        <w:rPr>
          <w:sz w:val="18"/>
          <w:szCs w:val="18"/>
          <w:lang w:eastAsia="zh-CN"/>
        </w:rPr>
        <w:t>更多信息见“向美国食品药品监督管理局提交免疫组织化学申请的指南”，</w:t>
      </w:r>
      <w:r>
        <w:fldChar w:fldCharType="begin"/>
      </w:r>
      <w:r>
        <w:instrText xml:space="preserve"> HYPERLINK "https://www.fda.gov/medical-devices/guidance-documents-medical-devices-and-radiation-emitting-products/guidance-submission-immunohistochemistry-applications-food-and-drug-administration-final-guidance" </w:instrText>
      </w:r>
      <w:r>
        <w:fldChar w:fldCharType="separate"/>
      </w:r>
      <w:r>
        <w:rPr>
          <w:rStyle w:val="11"/>
          <w:color w:val="0000FF"/>
          <w:sz w:val="18"/>
          <w:szCs w:val="18"/>
          <w:lang w:eastAsia="zh-CN"/>
        </w:rPr>
        <w:t xml:space="preserve"> https://www.fda.gov/medical-devices/guidance-documents-</w:t>
      </w:r>
      <w:bookmarkEnd w:id="27"/>
      <w:r>
        <w:rPr>
          <w:rStyle w:val="11"/>
          <w:color w:val="0000FF"/>
          <w:sz w:val="18"/>
          <w:szCs w:val="18"/>
          <w:lang w:eastAsia="zh-CN"/>
        </w:rPr>
        <w:fldChar w:fldCharType="end"/>
      </w:r>
      <w:r>
        <w:fldChar w:fldCharType="begin"/>
      </w:r>
      <w:r>
        <w:instrText xml:space="preserve"> HYPERLINK "https://www.fda.gov/medical-devices/guidance-documents-medical-devices-and-radiation-emitting-products/guidance-submission-immunohistochemistry-applications-food-and-drug-administration-final-guidance" </w:instrText>
      </w:r>
      <w:r>
        <w:fldChar w:fldCharType="separate"/>
      </w:r>
      <w:r>
        <w:rPr>
          <w:rStyle w:val="11"/>
          <w:color w:val="0000FF"/>
          <w:sz w:val="18"/>
          <w:szCs w:val="18"/>
          <w:lang w:eastAsia="zh-CN"/>
        </w:rPr>
        <w:t>medical-devices-and-radiation-emitting-products/guidance-submission-immunohistochemistry-</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"https://www.fda.gov/medical-devices/guidance-documents-medical-devices-and-radiation-emitting-products/guidance-submission-immunohistochemistry-applications-food-and-drug-administration-final-guidance" </w:instrText>
      </w:r>
      <w:r>
        <w:fldChar w:fldCharType="separate"/>
      </w:r>
      <w:r>
        <w:rPr>
          <w:rStyle w:val="11"/>
          <w:color w:val="0000FF"/>
          <w:sz w:val="18"/>
          <w:szCs w:val="18"/>
          <w:lang w:eastAsia="zh-CN"/>
        </w:rPr>
        <w:t>applications-food-and-drug-administration-final-guidance.</w:t>
      </w:r>
      <w:r>
        <w:rPr>
          <w:rStyle w:val="11"/>
          <w:color w:val="0000FF"/>
          <w:sz w:val="18"/>
          <w:szCs w:val="18"/>
          <w:lang w:eastAsia="zh-CN"/>
        </w:rPr>
        <w:fldChar w:fldCharType="end"/>
      </w:r>
    </w:p>
    <w:p w14:paraId="68D128A5">
      <w:pPr>
        <w:tabs>
          <w:tab w:val="left" w:pos="101"/>
        </w:tabs>
        <w:snapToGrid w:val="0"/>
        <w:spacing w:before="120" w:beforeLines="50"/>
        <w:jc w:val="both"/>
      </w:pPr>
      <w:r>
        <w:rPr>
          <w:lang w:eastAsia="zh-CN"/>
        </w:rPr>
        <w:br w:type="page"/>
      </w:r>
    </w:p>
    <w:p w14:paraId="3B11351B">
      <w:pPr>
        <w:snapToGrid w:val="0"/>
        <w:spacing w:before="120" w:beforeLines="50"/>
        <w:jc w:val="both"/>
        <w:rPr>
          <w:sz w:val="24"/>
          <w:lang w:eastAsia="zh-CN"/>
        </w:rPr>
      </w:pPr>
      <w:r>
        <w:rPr>
          <w:sz w:val="24"/>
          <w:lang w:eastAsia="zh-CN"/>
        </w:rPr>
        <w:t>FDA建议远程数字病理器械的使用说明书能够帮助用户更好地了解器械或器械修改（包括远程使用说明），例如：</w:t>
      </w:r>
    </w:p>
    <w:p w14:paraId="1E2F2D9E">
      <w:pPr>
        <w:pStyle w:val="20"/>
        <w:spacing w:before="120"/>
        <w:ind w:left="1619" w:hanging="487"/>
        <w:rPr>
          <w:sz w:val="24"/>
          <w:szCs w:val="24"/>
          <w:lang w:eastAsia="zh-CN"/>
        </w:rPr>
      </w:pPr>
      <w:r>
        <w:rPr>
          <w:sz w:val="24"/>
          <w:szCs w:val="24"/>
          <w:lang w:eastAsia="zh-CN"/>
        </w:rPr>
        <w:t>a.</w:t>
      </w:r>
      <w:r>
        <w:rPr>
          <w:sz w:val="24"/>
          <w:szCs w:val="24"/>
          <w:lang w:eastAsia="zh-CN"/>
        </w:rPr>
        <w:tab/>
      </w:r>
      <w:r>
        <w:rPr>
          <w:sz w:val="24"/>
          <w:szCs w:val="24"/>
          <w:lang w:eastAsia="zh-CN"/>
        </w:rPr>
        <w:t>根据对个体病理学家自己的信息技术（IT）基础设施和远程使用环境的评价，根据临床实验室、医院和其他医疗保健机构的相关说明帮助确定远程审查和报告数字病理切片是可行和适当的。FDA建议实验室和医院考虑进行确认研究，在远程地点远程审查和报告数字病理切片以前，这是有必要的。</w:t>
      </w:r>
    </w:p>
    <w:p w14:paraId="12F5D3F4">
      <w:pPr>
        <w:pStyle w:val="20"/>
        <w:spacing w:before="120"/>
        <w:ind w:left="1619" w:hanging="487"/>
        <w:rPr>
          <w:sz w:val="24"/>
          <w:szCs w:val="24"/>
          <w:lang w:eastAsia="zh-CN"/>
        </w:rPr>
      </w:pPr>
      <w:r>
        <w:rPr>
          <w:sz w:val="24"/>
          <w:szCs w:val="24"/>
          <w:lang w:eastAsia="zh-CN"/>
        </w:rPr>
        <w:t>b.</w:t>
      </w:r>
      <w:r>
        <w:rPr>
          <w:sz w:val="24"/>
          <w:szCs w:val="24"/>
          <w:lang w:eastAsia="zh-CN"/>
        </w:rPr>
        <w:tab/>
      </w:r>
      <w:r>
        <w:rPr>
          <w:sz w:val="24"/>
          <w:szCs w:val="24"/>
          <w:lang w:eastAsia="zh-CN"/>
        </w:rPr>
        <w:t>说明书建议病理学家根据远程数字病理器械的图像质量是否足以解释病理学图像的临床判断，在COVID-19突发公共卫生事件期间使用这些器械。</w:t>
      </w:r>
    </w:p>
    <w:p w14:paraId="7BD0EB0A">
      <w:pPr>
        <w:snapToGrid w:val="0"/>
        <w:spacing w:before="120" w:beforeLines="50"/>
        <w:jc w:val="both"/>
        <w:rPr>
          <w:sz w:val="24"/>
          <w:lang w:eastAsia="zh-CN"/>
        </w:rPr>
      </w:pPr>
      <w:r>
        <w:rPr>
          <w:sz w:val="24"/>
          <w:lang w:eastAsia="zh-CN"/>
        </w:rPr>
        <w:t>FDA建议制造商根据以下经FDA认可的标准考虑评价器械性能，包括（适当情况下）：</w:t>
      </w:r>
    </w:p>
    <w:p w14:paraId="18D5CFB4">
      <w:pPr>
        <w:pStyle w:val="20"/>
        <w:spacing w:before="120"/>
        <w:ind w:left="1619" w:hanging="487"/>
        <w:jc w:val="left"/>
        <w:rPr>
          <w:i/>
          <w:sz w:val="24"/>
          <w:szCs w:val="24"/>
        </w:rPr>
      </w:pPr>
      <w:r>
        <w:rPr>
          <w:sz w:val="24"/>
          <w:szCs w:val="24"/>
          <w:lang w:eastAsia="zh-CN"/>
        </w:rPr>
        <w:t>•</w:t>
      </w:r>
      <w:r>
        <w:rPr>
          <w:sz w:val="24"/>
          <w:szCs w:val="24"/>
          <w:lang w:eastAsia="zh-CN"/>
        </w:rPr>
        <w:tab/>
      </w:r>
      <w:r>
        <w:rPr>
          <w:sz w:val="24"/>
          <w:szCs w:val="24"/>
          <w:lang w:eastAsia="zh-CN"/>
        </w:rPr>
        <w:t xml:space="preserve">ANSI/AAMI ES60601-1:2005（R2012）和A1:2012、C1:2009/(R)2012和A2:2010/(R)2012 - </w:t>
      </w:r>
      <w:r>
        <w:rPr>
          <w:i/>
          <w:iCs/>
          <w:sz w:val="24"/>
          <w:szCs w:val="24"/>
          <w:lang w:eastAsia="zh-CN"/>
        </w:rPr>
        <w:t>医用电气设备 - 第1部分：基本安全和基本性能的通用要求</w:t>
      </w:r>
    </w:p>
    <w:p w14:paraId="5D8DE39C">
      <w:pPr>
        <w:pStyle w:val="20"/>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 xml:space="preserve">IEC 60601-1-2:2014 - </w:t>
      </w:r>
      <w:r>
        <w:rPr>
          <w:i/>
          <w:iCs/>
          <w:sz w:val="24"/>
          <w:szCs w:val="24"/>
          <w:lang w:eastAsia="zh-CN"/>
        </w:rPr>
        <w:t>医用电气设备 - 第1-2部分：基本安全和基本性能的通用要求 - 并列标准：电磁干扰 - 要求和测试</w:t>
      </w:r>
    </w:p>
    <w:p w14:paraId="2761D2DB">
      <w:pPr>
        <w:snapToGrid w:val="0"/>
        <w:spacing w:before="120" w:beforeLines="50"/>
        <w:jc w:val="both"/>
        <w:rPr>
          <w:sz w:val="24"/>
          <w:lang w:eastAsia="zh-CN"/>
        </w:rPr>
      </w:pPr>
      <w:r>
        <w:rPr>
          <w:sz w:val="24"/>
          <w:lang w:eastAsia="zh-CN"/>
        </w:rPr>
        <w:t>此外，尽管本执行政策不含针对器械性能的建议，但是CLIA法规和州法律（包括与性能相关的法律法规）适用，虽然一些CLIA法规在此次突发公共卫生事件期间可能受到CMS执行政策的约束。</w:t>
      </w:r>
      <w:r>
        <w:fldChar w:fldCharType="begin"/>
      </w:r>
      <w:r>
        <w:instrText xml:space="preserve"> HYPERLINK \l "bookmark22" \o "当前文件" \h </w:instrText>
      </w:r>
      <w:r>
        <w:fldChar w:fldCharType="separate"/>
      </w:r>
      <w:r>
        <w:rPr>
          <w:sz w:val="24"/>
          <w:vertAlign w:val="superscript"/>
          <w:lang w:eastAsia="zh-CN"/>
        </w:rPr>
        <w:t>8</w:t>
      </w:r>
      <w:r>
        <w:rPr>
          <w:sz w:val="24"/>
          <w:vertAlign w:val="superscript"/>
          <w:lang w:eastAsia="zh-CN"/>
        </w:rPr>
        <w:fldChar w:fldCharType="end"/>
      </w:r>
    </w:p>
    <w:p w14:paraId="6EE2E6B6">
      <w:pPr>
        <w:snapToGrid w:val="0"/>
        <w:spacing w:before="120" w:beforeLines="50"/>
        <w:jc w:val="both"/>
        <w:rPr>
          <w:sz w:val="24"/>
          <w:lang w:eastAsia="zh-CN"/>
        </w:rPr>
      </w:pPr>
      <w:r>
        <w:rPr>
          <w:sz w:val="24"/>
          <w:lang w:eastAsia="zh-CN"/>
        </w:rPr>
        <w:t>对于本文件中</w:t>
      </w:r>
      <w:r>
        <w:rPr>
          <w:rFonts w:hint="eastAsia"/>
          <w:sz w:val="24"/>
          <w:lang w:eastAsia="zh-CN"/>
        </w:rPr>
        <w:t>经</w:t>
      </w:r>
      <w:r>
        <w:rPr>
          <w:sz w:val="24"/>
          <w:lang w:eastAsia="zh-CN"/>
        </w:rPr>
        <w:t>FDA认可的现行标准，请查看</w:t>
      </w:r>
      <w:r>
        <w:rPr>
          <w:rStyle w:val="11"/>
          <w:color w:val="0000FF"/>
          <w:sz w:val="24"/>
          <w:lang w:eastAsia="zh-CN"/>
        </w:rPr>
        <w:t>经</w:t>
      </w:r>
      <w:r>
        <w:fldChar w:fldCharType="begin"/>
      </w:r>
      <w:r>
        <w:instrText xml:space="preserve"> HYPERLINK "https://www.accessdata.fda.gov/scripts/cdrh/cfdocs/cfStandards/search.cfm" </w:instrText>
      </w:r>
      <w:r>
        <w:fldChar w:fldCharType="separate"/>
      </w:r>
      <w:r>
        <w:rPr>
          <w:rStyle w:val="11"/>
          <w:color w:val="0000FF"/>
          <w:sz w:val="24"/>
          <w:lang w:eastAsia="zh-CN"/>
        </w:rPr>
        <w:t>FDA</w:t>
      </w:r>
      <w:r>
        <w:rPr>
          <w:rStyle w:val="11"/>
          <w:color w:val="0000FF"/>
          <w:sz w:val="24"/>
          <w:lang w:eastAsia="zh-CN"/>
        </w:rPr>
        <w:fldChar w:fldCharType="end"/>
      </w:r>
      <w:r>
        <w:fldChar w:fldCharType="begin"/>
      </w:r>
      <w:r>
        <w:instrText xml:space="preserve"> HYPERLINK "https://www.accessdata.fda.gov/scripts/cdrh/cfdocs/cfStandards/search.cfm" </w:instrText>
      </w:r>
      <w:r>
        <w:fldChar w:fldCharType="separate"/>
      </w:r>
      <w:r>
        <w:rPr>
          <w:rStyle w:val="11"/>
          <w:color w:val="0000FF"/>
          <w:sz w:val="24"/>
          <w:lang w:eastAsia="zh-CN"/>
        </w:rPr>
        <w:t>许可的共识标准数据库。</w:t>
      </w:r>
      <w:r>
        <w:rPr>
          <w:rStyle w:val="11"/>
          <w:color w:val="0000FF"/>
          <w:sz w:val="24"/>
          <w:lang w:eastAsia="zh-CN"/>
        </w:rPr>
        <w:fldChar w:fldCharType="end"/>
      </w:r>
      <w:r>
        <w:fldChar w:fldCharType="begin"/>
      </w:r>
      <w:r>
        <w:instrText xml:space="preserve"> HYPERLINK \l "bookmark23" \o "当前文件" \h </w:instrText>
      </w:r>
      <w:r>
        <w:fldChar w:fldCharType="separate"/>
      </w:r>
      <w:r>
        <w:rPr>
          <w:sz w:val="24"/>
          <w:vertAlign w:val="superscript"/>
          <w:lang w:eastAsia="zh-CN"/>
        </w:rPr>
        <w:t>9</w:t>
      </w:r>
      <w:r>
        <w:rPr>
          <w:sz w:val="24"/>
          <w:vertAlign w:val="superscript"/>
          <w:lang w:eastAsia="zh-CN"/>
        </w:rPr>
        <w:fldChar w:fldCharType="end"/>
      </w:r>
      <w:r>
        <w:rPr>
          <w:sz w:val="24"/>
          <w:lang w:eastAsia="zh-CN"/>
        </w:rPr>
        <w:t>有关在注册申报中使用共识标准的更多信息，请参阅FDA指南“</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1"/>
          <w:color w:val="0000FF"/>
          <w:sz w:val="24"/>
          <w:lang w:eastAsia="zh-CN"/>
        </w:rPr>
        <w:t>在医疗器械的上市前提交中适当使用自愿</w:t>
      </w:r>
      <w:r>
        <w:rPr>
          <w:rStyle w:val="11"/>
          <w:color w:val="0000FF"/>
          <w:sz w:val="24"/>
          <w:lang w:eastAsia="zh-CN"/>
        </w:rPr>
        <w:fldChar w:fldCharType="end"/>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1"/>
          <w:color w:val="0000FF"/>
          <w:sz w:val="24"/>
          <w:lang w:eastAsia="zh-CN"/>
        </w:rPr>
        <w:t>共识标准。”</w:t>
      </w:r>
      <w:r>
        <w:rPr>
          <w:rStyle w:val="11"/>
          <w:color w:val="0000FF"/>
          <w:sz w:val="24"/>
          <w:lang w:eastAsia="zh-CN"/>
        </w:rPr>
        <w:fldChar w:fldCharType="end"/>
      </w:r>
      <w:r>
        <w:fldChar w:fldCharType="begin"/>
      </w:r>
      <w:r>
        <w:instrText xml:space="preserve"> HYPERLINK \l "bookmark24" \o "当前文件" \h </w:instrText>
      </w:r>
      <w:r>
        <w:fldChar w:fldCharType="separate"/>
      </w:r>
      <w:r>
        <w:rPr>
          <w:sz w:val="24"/>
          <w:vertAlign w:val="superscript"/>
          <w:lang w:eastAsia="zh-CN"/>
        </w:rPr>
        <w:t>10</w:t>
      </w:r>
      <w:r>
        <w:rPr>
          <w:sz w:val="24"/>
          <w:vertAlign w:val="superscript"/>
          <w:lang w:eastAsia="zh-CN"/>
        </w:rPr>
        <w:fldChar w:fldCharType="end"/>
      </w:r>
    </w:p>
    <w:p w14:paraId="11B9B514">
      <w:pPr>
        <w:snapToGrid w:val="0"/>
        <w:spacing w:before="120" w:beforeLines="50"/>
        <w:jc w:val="both"/>
        <w:rPr>
          <w:sz w:val="24"/>
          <w:lang w:eastAsia="zh-CN"/>
        </w:rPr>
      </w:pPr>
      <w:bookmarkStart w:id="28" w:name="bookmark22"/>
    </w:p>
    <w:p w14:paraId="1C64758B">
      <w:pPr>
        <w:snapToGrid w:val="0"/>
        <w:spacing w:before="120" w:beforeLines="50"/>
        <w:jc w:val="both"/>
        <w:rPr>
          <w:sz w:val="18"/>
          <w:szCs w:val="18"/>
          <w:lang w:eastAsia="zh-CN"/>
        </w:rPr>
      </w:pPr>
    </w:p>
    <w:p w14:paraId="54FE0E97">
      <w:pPr>
        <w:snapToGrid w:val="0"/>
        <w:spacing w:before="120" w:beforeLines="50"/>
        <w:jc w:val="both"/>
        <w:rPr>
          <w:sz w:val="18"/>
          <w:szCs w:val="18"/>
          <w:lang w:eastAsia="zh-CN"/>
        </w:rPr>
      </w:pPr>
    </w:p>
    <w:p w14:paraId="3182A06E">
      <w:pPr>
        <w:snapToGrid w:val="0"/>
        <w:spacing w:before="120" w:beforeLines="50"/>
        <w:jc w:val="both"/>
        <w:rPr>
          <w:sz w:val="18"/>
          <w:szCs w:val="18"/>
          <w:lang w:eastAsia="zh-CN"/>
        </w:rPr>
      </w:pPr>
    </w:p>
    <w:p w14:paraId="7B51732D">
      <w:pPr>
        <w:snapToGrid w:val="0"/>
        <w:spacing w:before="120" w:beforeLines="50"/>
        <w:jc w:val="both"/>
        <w:rPr>
          <w:sz w:val="18"/>
          <w:szCs w:val="18"/>
          <w:lang w:eastAsia="zh-CN"/>
        </w:rPr>
      </w:pPr>
    </w:p>
    <w:p w14:paraId="7EBC6FAB">
      <w:pPr>
        <w:snapToGrid w:val="0"/>
        <w:spacing w:before="120" w:beforeLines="50"/>
        <w:jc w:val="both"/>
        <w:rPr>
          <w:sz w:val="18"/>
          <w:szCs w:val="18"/>
          <w:lang w:eastAsia="zh-CN"/>
        </w:rPr>
      </w:pPr>
    </w:p>
    <w:p w14:paraId="1E14E9BC">
      <w:pPr>
        <w:snapToGrid w:val="0"/>
        <w:spacing w:before="120" w:beforeLines="50"/>
        <w:jc w:val="both"/>
        <w:rPr>
          <w:sz w:val="18"/>
          <w:szCs w:val="18"/>
          <w:lang w:eastAsia="zh-CN"/>
        </w:rPr>
      </w:pPr>
    </w:p>
    <w:p w14:paraId="23579974">
      <w:pPr>
        <w:snapToGrid w:val="0"/>
        <w:spacing w:before="120" w:beforeLines="50"/>
        <w:jc w:val="both"/>
        <w:rPr>
          <w:sz w:val="18"/>
          <w:szCs w:val="18"/>
          <w:lang w:eastAsia="zh-CN"/>
        </w:rPr>
      </w:pPr>
    </w:p>
    <w:p w14:paraId="72A6CDE8">
      <w:pPr>
        <w:snapToGrid w:val="0"/>
        <w:spacing w:before="120" w:beforeLines="50"/>
        <w:jc w:val="both"/>
        <w:rPr>
          <w:sz w:val="18"/>
          <w:szCs w:val="18"/>
          <w:lang w:eastAsia="zh-CN"/>
        </w:rPr>
      </w:pPr>
    </w:p>
    <w:p w14:paraId="04362429">
      <w:pPr>
        <w:snapToGrid w:val="0"/>
        <w:spacing w:before="120" w:beforeLines="50"/>
        <w:jc w:val="both"/>
        <w:rPr>
          <w:sz w:val="18"/>
          <w:szCs w:val="18"/>
          <w:lang w:eastAsia="zh-CN"/>
        </w:rPr>
      </w:pPr>
    </w:p>
    <w:p w14:paraId="2C15FB82">
      <w:pPr>
        <w:snapToGrid w:val="0"/>
        <w:spacing w:before="120" w:beforeLines="50"/>
        <w:jc w:val="both"/>
        <w:rPr>
          <w:sz w:val="18"/>
          <w:szCs w:val="18"/>
          <w:lang w:eastAsia="zh-CN"/>
        </w:rPr>
      </w:pPr>
      <w:r>
        <w:rPr>
          <w:sz w:val="18"/>
          <w:szCs w:val="18"/>
          <w:lang w:eastAsia="zh-CN"/>
        </w:rPr>
        <w:t>______________________</w:t>
      </w:r>
    </w:p>
    <w:p w14:paraId="625E700F">
      <w:pPr>
        <w:tabs>
          <w:tab w:val="left" w:pos="193"/>
        </w:tabs>
        <w:snapToGrid w:val="0"/>
        <w:spacing w:before="120" w:beforeLines="50"/>
        <w:rPr>
          <w:color w:val="0000FF"/>
          <w:sz w:val="18"/>
          <w:szCs w:val="18"/>
          <w:lang w:eastAsia="zh-CN"/>
        </w:rPr>
      </w:pPr>
      <w:r>
        <w:rPr>
          <w:sz w:val="18"/>
          <w:szCs w:val="18"/>
          <w:vertAlign w:val="superscript"/>
          <w:lang w:eastAsia="zh-CN"/>
        </w:rPr>
        <w:t>8</w:t>
      </w:r>
      <w:r>
        <w:rPr>
          <w:sz w:val="18"/>
          <w:szCs w:val="18"/>
          <w:lang w:eastAsia="zh-CN"/>
        </w:rPr>
        <w:tab/>
      </w:r>
      <w:r>
        <w:rPr>
          <w:sz w:val="18"/>
          <w:szCs w:val="18"/>
          <w:lang w:eastAsia="zh-CN"/>
        </w:rPr>
        <w:t>请参阅医疗保险和医疗补助服务中心备忘录、临床实验室改进修正案（CLIA）COVID-19突发公共卫生事件期间的实验室指南，2020年3月26日，</w:t>
      </w:r>
      <w:bookmarkEnd w:id="28"/>
      <w:r>
        <w:fldChar w:fldCharType="begin"/>
      </w:r>
      <w:r>
        <w:rPr>
          <w:lang w:eastAsia="zh-CN"/>
        </w:rPr>
        <w:instrText xml:space="preserve">HYPERLINK "https://www.cms.gov/medicareprovider-enrollment-and-certificationsurveycertificationgeninfopolicy-and-memos-states-and/clinical-laboratory-improvement-amendments-clia-laboratory-guidance-during-covid-19-public-health"</w:instrText>
      </w:r>
      <w:r>
        <w:fldChar w:fldCharType="separate"/>
      </w:r>
      <w:r>
        <w:rPr>
          <w:rStyle w:val="11"/>
          <w:color w:val="0000FF"/>
          <w:sz w:val="18"/>
          <w:szCs w:val="18"/>
          <w:lang w:eastAsia="zh-CN"/>
        </w:rPr>
        <w:t>https://www.cms.gov/medicareprovider-enrollment-and-certificationsurveycertificationgeninfopolicy-and-memos-states-and/clinical-laboratorv-improvement-amendments-clia-laboratorv-guidance-during-covid-19-public-health.</w:t>
      </w:r>
      <w:r>
        <w:fldChar w:fldCharType="end"/>
      </w:r>
    </w:p>
    <w:p w14:paraId="5BFDD460">
      <w:pPr>
        <w:tabs>
          <w:tab w:val="left" w:pos="115"/>
        </w:tabs>
        <w:snapToGrid w:val="0"/>
        <w:spacing w:before="120" w:beforeLines="50"/>
        <w:rPr>
          <w:color w:val="0000FF"/>
          <w:sz w:val="18"/>
          <w:szCs w:val="18"/>
        </w:rPr>
      </w:pPr>
      <w:bookmarkStart w:id="29" w:name="bookmark23"/>
      <w:r>
        <w:rPr>
          <w:sz w:val="18"/>
          <w:szCs w:val="18"/>
          <w:vertAlign w:val="superscript"/>
          <w:lang w:eastAsia="zh-CN"/>
        </w:rPr>
        <w:t>9</w:t>
      </w:r>
      <w:r>
        <w:fldChar w:fldCharType="begin"/>
      </w:r>
      <w:r>
        <w:instrText xml:space="preserve"> HYPERLINK "https://www.accessdata.fda.gov/scripts/cdrh/cfdocs/cfStandards/search.cfm" </w:instrText>
      </w:r>
      <w:r>
        <w:fldChar w:fldCharType="separate"/>
      </w:r>
      <w:r>
        <w:rPr>
          <w:rStyle w:val="11"/>
          <w:color w:val="0000FF"/>
          <w:sz w:val="18"/>
          <w:szCs w:val="18"/>
          <w:u w:val="none"/>
          <w:lang w:eastAsia="zh-CN"/>
        </w:rPr>
        <w:tab/>
      </w:r>
      <w:r>
        <w:rPr>
          <w:rStyle w:val="11"/>
          <w:color w:val="0000FF"/>
          <w:sz w:val="18"/>
          <w:szCs w:val="18"/>
          <w:lang w:eastAsia="zh-CN"/>
        </w:rPr>
        <w:t>https://www.accessdata.fda.gov/scripts/cdrh/cfdocs/cfStandards/search.cfm.</w:t>
      </w:r>
      <w:bookmarkEnd w:id="29"/>
      <w:r>
        <w:rPr>
          <w:rStyle w:val="11"/>
          <w:color w:val="0000FF"/>
          <w:sz w:val="18"/>
          <w:szCs w:val="18"/>
          <w:lang w:eastAsia="zh-CN"/>
        </w:rPr>
        <w:fldChar w:fldCharType="end"/>
      </w:r>
    </w:p>
    <w:p w14:paraId="33C95A6A">
      <w:pPr>
        <w:tabs>
          <w:tab w:val="left" w:pos="178"/>
        </w:tabs>
        <w:snapToGrid w:val="0"/>
        <w:spacing w:before="120" w:beforeLines="50"/>
        <w:rPr>
          <w:color w:val="0000FF"/>
          <w:sz w:val="18"/>
          <w:szCs w:val="18"/>
        </w:rPr>
      </w:pPr>
      <w:bookmarkStart w:id="30" w:name="bookmark24"/>
      <w:r>
        <w:rPr>
          <w:sz w:val="18"/>
          <w:szCs w:val="18"/>
          <w:vertAlign w:val="superscript"/>
          <w:lang w:eastAsia="zh-CN"/>
        </w:rPr>
        <w:t>10</w:t>
      </w:r>
      <w:r>
        <w:fldChar w:fldCharType="begin"/>
      </w:r>
      <w:r>
        <w:instrText xml:space="preserve"> HYPERLINK "%09https://www.fda.gov/regulatorv-information/search-fda-guidance-documents/appropriate-use-voluntarv-%20consensus-" </w:instrText>
      </w:r>
      <w:r>
        <w:fldChar w:fldCharType="separate"/>
      </w:r>
      <w:r>
        <w:rPr>
          <w:rStyle w:val="11"/>
          <w:color w:val="0000FF"/>
          <w:sz w:val="18"/>
          <w:szCs w:val="18"/>
          <w:u w:val="none"/>
          <w:lang w:eastAsia="zh-CN"/>
        </w:rPr>
        <w:tab/>
      </w:r>
      <w:r>
        <w:rPr>
          <w:rStyle w:val="11"/>
          <w:color w:val="0000FF"/>
          <w:sz w:val="18"/>
          <w:szCs w:val="18"/>
          <w:lang w:eastAsia="zh-CN"/>
        </w:rPr>
        <w:t>https://www.fda.gov/regulatorv-information/search-fda-guidance-documents/appropriate-use-voluntarv- consensus-</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1"/>
          <w:color w:val="0000FF"/>
          <w:sz w:val="18"/>
          <w:szCs w:val="18"/>
          <w:lang w:eastAsia="zh-CN"/>
        </w:rPr>
        <w:t>standards-premarket-submissions-medical-devices.</w:t>
      </w:r>
      <w:bookmarkEnd w:id="30"/>
      <w:r>
        <w:rPr>
          <w:rStyle w:val="11"/>
          <w:color w:val="0000FF"/>
          <w:sz w:val="18"/>
          <w:szCs w:val="18"/>
          <w:lang w:eastAsia="zh-CN"/>
        </w:rPr>
        <w:fldChar w:fldCharType="end"/>
      </w:r>
    </w:p>
    <w:p w14:paraId="4E9E71CB">
      <w:pPr>
        <w:tabs>
          <w:tab w:val="left" w:pos="178"/>
        </w:tabs>
        <w:snapToGrid w:val="0"/>
        <w:spacing w:before="120" w:beforeLines="50"/>
        <w:jc w:val="both"/>
      </w:pPr>
      <w:r>
        <w:rPr>
          <w:lang w:eastAsia="zh-CN"/>
        </w:rPr>
        <w:br w:type="page"/>
      </w:r>
    </w:p>
    <w:p w14:paraId="2F80580E">
      <w:pPr>
        <w:snapToGrid w:val="0"/>
        <w:spacing w:before="120" w:beforeLines="50"/>
        <w:jc w:val="both"/>
        <w:rPr>
          <w:sz w:val="24"/>
          <w:lang w:eastAsia="zh-CN"/>
        </w:rPr>
      </w:pPr>
      <w:r>
        <w:rPr>
          <w:sz w:val="24"/>
          <w:lang w:eastAsia="zh-CN"/>
        </w:rPr>
        <w:t>此外，制造商应</w:t>
      </w:r>
      <w:r>
        <w:rPr>
          <w:rFonts w:hint="eastAsia"/>
          <w:sz w:val="24"/>
          <w:lang w:eastAsia="zh-CN"/>
        </w:rPr>
        <w:t>制定</w:t>
      </w:r>
      <w:r>
        <w:rPr>
          <w:sz w:val="24"/>
          <w:lang w:eastAsia="zh-CN"/>
        </w:rPr>
        <w:t>和</w:t>
      </w:r>
      <w:r>
        <w:rPr>
          <w:rFonts w:hint="eastAsia"/>
          <w:sz w:val="24"/>
          <w:lang w:eastAsia="zh-CN"/>
        </w:rPr>
        <w:t>采取</w:t>
      </w:r>
      <w:r>
        <w:rPr>
          <w:sz w:val="24"/>
          <w:lang w:eastAsia="zh-CN"/>
        </w:rPr>
        <w:t>适当的网络安全管理措施，以确保器械的网络安全，并维持远程数字病理器械的功能和安全。以下在线资源可能有助于</w:t>
      </w:r>
      <w:r>
        <w:rPr>
          <w:rFonts w:hint="eastAsia"/>
          <w:sz w:val="24"/>
          <w:lang w:eastAsia="zh-CN"/>
        </w:rPr>
        <w:t>制定</w:t>
      </w:r>
      <w:r>
        <w:rPr>
          <w:sz w:val="24"/>
          <w:lang w:eastAsia="zh-CN"/>
        </w:rPr>
        <w:t>和维护这些网络安全控制措施：</w:t>
      </w:r>
    </w:p>
    <w:p w14:paraId="69BEECB9">
      <w:pPr>
        <w:pStyle w:val="19"/>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"https://www.fda.gov/regulatory-information/search-fda-guidance-documents/content-premarket-submissions-management-cybersecurity-medical-devices-0" </w:instrText>
      </w:r>
      <w:r>
        <w:fldChar w:fldCharType="separate"/>
      </w:r>
      <w:r>
        <w:rPr>
          <w:rStyle w:val="11"/>
          <w:color w:val="0000FF"/>
          <w:sz w:val="24"/>
          <w:szCs w:val="24"/>
          <w:u w:val="none"/>
          <w:lang w:eastAsia="zh-CN"/>
        </w:rPr>
        <w:tab/>
      </w:r>
      <w:r>
        <w:rPr>
          <w:rStyle w:val="11"/>
          <w:color w:val="0000FF"/>
          <w:sz w:val="24"/>
          <w:szCs w:val="24"/>
          <w:lang w:eastAsia="zh-CN"/>
        </w:rPr>
        <w:t>医疗器械网络安全管理上市前提交的内容 –</w:t>
      </w:r>
      <w:r>
        <w:rPr>
          <w:rStyle w:val="11"/>
          <w:color w:val="0000FF"/>
          <w:sz w:val="24"/>
          <w:szCs w:val="24"/>
          <w:lang w:eastAsia="zh-CN"/>
        </w:rPr>
        <w:fldChar w:fldCharType="end"/>
      </w:r>
      <w:r>
        <w:rPr>
          <w:color w:val="0000FF"/>
          <w:sz w:val="24"/>
          <w:szCs w:val="24"/>
          <w:u w:val="single"/>
          <w:lang w:eastAsia="zh-CN"/>
        </w:rPr>
        <w:t xml:space="preserve"> 对</w:t>
      </w:r>
      <w:r>
        <w:fldChar w:fldCharType="begin"/>
      </w:r>
      <w:r>
        <w:instrText xml:space="preserve"> HYPERLINK "https://www.fda.gov/regulatory-information/search-fda-guidance-documents/content-premarket-submissions-management-cybersecurity-medical-devices-0" </w:instrText>
      </w:r>
      <w:r>
        <w:fldChar w:fldCharType="separate"/>
      </w:r>
      <w:r>
        <w:rPr>
          <w:rStyle w:val="11"/>
          <w:color w:val="0000FF"/>
          <w:sz w:val="24"/>
          <w:szCs w:val="24"/>
          <w:lang w:eastAsia="zh-CN"/>
        </w:rPr>
        <w:t>行业和美国食品药品监督管理局工作人员的指南</w:t>
      </w:r>
      <w:r>
        <w:rPr>
          <w:rStyle w:val="11"/>
          <w:color w:val="0000FF"/>
          <w:sz w:val="24"/>
          <w:szCs w:val="24"/>
          <w:lang w:eastAsia="zh-CN"/>
        </w:rPr>
        <w:fldChar w:fldCharType="end"/>
      </w:r>
      <w:r>
        <w:fldChar w:fldCharType="begin"/>
      </w:r>
      <w:r>
        <w:instrText xml:space="preserve"> HYPERLINK \l "bookmark26" \o "当前文件" \h </w:instrText>
      </w:r>
      <w:r>
        <w:fldChar w:fldCharType="separate"/>
      </w:r>
      <w:r>
        <w:rPr>
          <w:sz w:val="24"/>
          <w:szCs w:val="24"/>
          <w:lang w:eastAsia="zh-CN"/>
        </w:rPr>
        <w:t xml:space="preserve"> </w:t>
      </w:r>
      <w:r>
        <w:rPr>
          <w:sz w:val="24"/>
          <w:szCs w:val="24"/>
          <w:vertAlign w:val="superscript"/>
          <w:lang w:eastAsia="zh-CN"/>
        </w:rPr>
        <w:t>11</w:t>
      </w:r>
      <w:r>
        <w:rPr>
          <w:sz w:val="24"/>
          <w:szCs w:val="24"/>
          <w:vertAlign w:val="superscript"/>
          <w:lang w:eastAsia="zh-CN"/>
        </w:rPr>
        <w:fldChar w:fldCharType="end"/>
      </w:r>
    </w:p>
    <w:p w14:paraId="5C8C54AA">
      <w:pPr>
        <w:pStyle w:val="19"/>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"https://www.fda.gov/regulatory-information/search-fda-guidance-documents/postmarket-management-cybersecurity-medical-devices" </w:instrText>
      </w:r>
      <w:r>
        <w:fldChar w:fldCharType="separate"/>
      </w:r>
      <w:r>
        <w:rPr>
          <w:rStyle w:val="11"/>
          <w:color w:val="0000FF"/>
          <w:sz w:val="24"/>
          <w:szCs w:val="24"/>
          <w:u w:val="none"/>
          <w:lang w:eastAsia="zh-CN"/>
        </w:rPr>
        <w:tab/>
      </w:r>
      <w:r>
        <w:rPr>
          <w:rStyle w:val="11"/>
          <w:color w:val="0000FF"/>
          <w:sz w:val="24"/>
          <w:szCs w:val="24"/>
          <w:lang w:eastAsia="zh-CN"/>
        </w:rPr>
        <w:t>医疗器械网络安全的上市后管理 – 对行业和美国食品药品监督管理局工作人员的指南</w:t>
      </w:r>
      <w:r>
        <w:rPr>
          <w:rStyle w:val="11"/>
          <w:color w:val="0000FF"/>
          <w:sz w:val="24"/>
          <w:szCs w:val="24"/>
          <w:lang w:eastAsia="zh-CN"/>
        </w:rPr>
        <w:fldChar w:fldCharType="end"/>
      </w:r>
      <w:r>
        <w:rPr>
          <w:color w:val="0000FF"/>
          <w:sz w:val="24"/>
          <w:szCs w:val="24"/>
          <w:u w:val="single"/>
          <w:lang w:eastAsia="zh-CN"/>
        </w:rPr>
        <w:t xml:space="preserve"> </w:t>
      </w:r>
      <w:r>
        <w:fldChar w:fldCharType="begin"/>
      </w:r>
      <w:r>
        <w:instrText xml:space="preserve"> HYPERLINK "https://www.fda.gov/regulatory-information/search-fda-guidance-documents/postmarket-management-cybersecurity-medical-devices" </w:instrText>
      </w:r>
      <w:r>
        <w:fldChar w:fldCharType="separate"/>
      </w:r>
      <w:r>
        <w:fldChar w:fldCharType="end"/>
      </w:r>
      <w:r>
        <w:fldChar w:fldCharType="begin"/>
      </w:r>
      <w:r>
        <w:instrText xml:space="preserve"> HYPERLINK \l "bookmark27" \o "当前文件" \h </w:instrText>
      </w:r>
      <w:r>
        <w:fldChar w:fldCharType="separate"/>
      </w:r>
      <w:r>
        <w:rPr>
          <w:sz w:val="24"/>
          <w:szCs w:val="24"/>
          <w:lang w:eastAsia="zh-CN"/>
        </w:rPr>
        <w:t xml:space="preserve"> </w:t>
      </w:r>
      <w:r>
        <w:rPr>
          <w:sz w:val="24"/>
          <w:szCs w:val="24"/>
          <w:vertAlign w:val="superscript"/>
          <w:lang w:eastAsia="zh-CN"/>
        </w:rPr>
        <w:t>12</w:t>
      </w:r>
      <w:r>
        <w:rPr>
          <w:sz w:val="24"/>
          <w:szCs w:val="24"/>
          <w:vertAlign w:val="superscript"/>
          <w:lang w:eastAsia="zh-CN"/>
        </w:rPr>
        <w:fldChar w:fldCharType="end"/>
      </w:r>
    </w:p>
    <w:p w14:paraId="0E98E756">
      <w:pPr>
        <w:pStyle w:val="19"/>
        <w:spacing w:before="120"/>
        <w:ind w:left="748" w:hanging="322"/>
        <w:rPr>
          <w:sz w:val="24"/>
          <w:szCs w:val="24"/>
          <w:lang w:eastAsia="zh-CN"/>
        </w:rPr>
      </w:pPr>
      <w:r>
        <w:rPr>
          <w:sz w:val="24"/>
          <w:szCs w:val="24"/>
          <w:lang w:eastAsia="zh-CN"/>
        </w:rPr>
        <w:t>•</w:t>
      </w:r>
      <w:r>
        <w:fldChar w:fldCharType="begin"/>
      </w:r>
      <w:r>
        <w:instrText xml:space="preserve"> HYPERLINK "https://www.fda.gov/media/123052/download" </w:instrText>
      </w:r>
      <w:r>
        <w:fldChar w:fldCharType="separate"/>
      </w:r>
      <w:r>
        <w:rPr>
          <w:rStyle w:val="11"/>
          <w:color w:val="0000FF"/>
          <w:sz w:val="24"/>
          <w:szCs w:val="24"/>
          <w:u w:val="none"/>
          <w:lang w:eastAsia="zh-CN"/>
        </w:rPr>
        <w:tab/>
      </w:r>
      <w:r>
        <w:rPr>
          <w:rStyle w:val="11"/>
          <w:color w:val="0000FF"/>
          <w:sz w:val="24"/>
          <w:szCs w:val="24"/>
          <w:lang w:eastAsia="zh-CN"/>
        </w:rPr>
        <w:t>FDA事实清单：FDA在医疗器械网络安全中的作用 - 打破神话和</w:t>
      </w:r>
      <w:r>
        <w:rPr>
          <w:rStyle w:val="11"/>
          <w:color w:val="0000FF"/>
          <w:sz w:val="24"/>
          <w:szCs w:val="24"/>
          <w:lang w:eastAsia="zh-CN"/>
        </w:rPr>
        <w:fldChar w:fldCharType="end"/>
      </w:r>
      <w:r>
        <w:fldChar w:fldCharType="begin"/>
      </w:r>
      <w:r>
        <w:instrText xml:space="preserve"> HYPERLINK "https://www.fda.gov/media/123052/download" </w:instrText>
      </w:r>
      <w:r>
        <w:fldChar w:fldCharType="separate"/>
      </w:r>
      <w:r>
        <w:rPr>
          <w:rStyle w:val="11"/>
          <w:color w:val="0000FF"/>
          <w:sz w:val="24"/>
          <w:szCs w:val="24"/>
          <w:lang w:eastAsia="zh-CN"/>
        </w:rPr>
        <w:t>了解事实</w:t>
      </w:r>
      <w:r>
        <w:rPr>
          <w:rStyle w:val="11"/>
          <w:color w:val="0000FF"/>
          <w:sz w:val="24"/>
          <w:szCs w:val="24"/>
          <w:lang w:eastAsia="zh-CN"/>
        </w:rPr>
        <w:fldChar w:fldCharType="end"/>
      </w:r>
      <w:r>
        <w:fldChar w:fldCharType="begin"/>
      </w:r>
      <w:r>
        <w:instrText xml:space="preserve"> HYPERLINK \l "bookmark28" \o "当前文件" \h </w:instrText>
      </w:r>
      <w:r>
        <w:fldChar w:fldCharType="separate"/>
      </w:r>
      <w:r>
        <w:rPr>
          <w:sz w:val="24"/>
          <w:szCs w:val="24"/>
          <w:lang w:eastAsia="zh-CN"/>
        </w:rPr>
        <w:t xml:space="preserve"> </w:t>
      </w:r>
      <w:r>
        <w:rPr>
          <w:sz w:val="24"/>
          <w:szCs w:val="24"/>
          <w:vertAlign w:val="superscript"/>
          <w:lang w:eastAsia="zh-CN"/>
        </w:rPr>
        <w:t>13</w:t>
      </w:r>
      <w:r>
        <w:rPr>
          <w:sz w:val="24"/>
          <w:szCs w:val="24"/>
          <w:vertAlign w:val="superscript"/>
          <w:lang w:eastAsia="zh-CN"/>
        </w:rPr>
        <w:fldChar w:fldCharType="end"/>
      </w:r>
    </w:p>
    <w:p w14:paraId="1AEF7F19">
      <w:pPr>
        <w:pStyle w:val="16"/>
        <w:spacing w:before="120" w:after="120"/>
        <w:ind w:left="1356" w:hanging="648"/>
        <w:rPr>
          <w:szCs w:val="24"/>
          <w:lang w:eastAsia="zh-CN"/>
        </w:rPr>
      </w:pPr>
      <w:bookmarkStart w:id="31" w:name="_Toc97317844"/>
      <w:r>
        <w:rPr>
          <w:szCs w:val="24"/>
          <w:lang w:eastAsia="zh-CN"/>
        </w:rPr>
        <w:t>C.</w:t>
      </w:r>
      <w:r>
        <w:rPr>
          <w:szCs w:val="24"/>
          <w:lang w:eastAsia="zh-CN"/>
        </w:rPr>
        <w:tab/>
      </w:r>
      <w:r>
        <w:rPr>
          <w:szCs w:val="24"/>
          <w:lang w:eastAsia="zh-CN"/>
        </w:rPr>
        <w:t>其他有用资源</w:t>
      </w:r>
      <w:bookmarkEnd w:id="31"/>
    </w:p>
    <w:p w14:paraId="70EBA60A">
      <w:pPr>
        <w:snapToGrid w:val="0"/>
        <w:spacing w:before="120" w:beforeLines="50"/>
        <w:jc w:val="both"/>
        <w:rPr>
          <w:sz w:val="24"/>
          <w:lang w:eastAsia="zh-CN"/>
        </w:rPr>
      </w:pPr>
      <w:bookmarkStart w:id="32" w:name="bookmark25"/>
      <w:r>
        <w:rPr>
          <w:sz w:val="24"/>
          <w:lang w:eastAsia="zh-CN"/>
        </w:rPr>
        <w:t>以下在线资源也可用于评价器械：</w:t>
      </w:r>
      <w:bookmarkEnd w:id="32"/>
    </w:p>
    <w:p w14:paraId="1B4DC42C">
      <w:pPr>
        <w:pStyle w:val="19"/>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"https://www.fda.gov/regulatory-information/search-fda-guidance-documents/technical-performance-assessment-digital-pathology-whole-slide-imaging-devices" </w:instrText>
      </w:r>
      <w:r>
        <w:fldChar w:fldCharType="separate"/>
      </w:r>
      <w:r>
        <w:rPr>
          <w:rStyle w:val="11"/>
          <w:color w:val="0000FF"/>
          <w:sz w:val="24"/>
          <w:szCs w:val="24"/>
          <w:u w:val="none"/>
          <w:lang w:eastAsia="zh-CN"/>
        </w:rPr>
        <w:tab/>
      </w:r>
      <w:r>
        <w:rPr>
          <w:rStyle w:val="11"/>
          <w:color w:val="0000FF"/>
          <w:sz w:val="24"/>
          <w:szCs w:val="24"/>
          <w:lang w:eastAsia="zh-CN"/>
        </w:rPr>
        <w:t>数字病理全切片成像器械的技术性能评估 –</w:t>
      </w:r>
      <w:r>
        <w:rPr>
          <w:rStyle w:val="11"/>
          <w:color w:val="0000FF"/>
          <w:sz w:val="24"/>
          <w:szCs w:val="24"/>
          <w:lang w:eastAsia="zh-CN"/>
        </w:rPr>
        <w:fldChar w:fldCharType="end"/>
      </w:r>
      <w:r>
        <w:rPr>
          <w:color w:val="0000FF"/>
          <w:sz w:val="24"/>
          <w:szCs w:val="24"/>
          <w:u w:val="single"/>
          <w:lang w:eastAsia="zh-CN"/>
        </w:rPr>
        <w:t xml:space="preserve"> 对</w:t>
      </w:r>
      <w:r>
        <w:fldChar w:fldCharType="begin"/>
      </w:r>
      <w:r>
        <w:instrText xml:space="preserve"> HYPERLINK "https://www.fda.gov/regulatory-information/search-fda-guidance-documents/technical-performance-assessment-digital-pathology-whole-slide-imaging-devices" </w:instrText>
      </w:r>
      <w:r>
        <w:fldChar w:fldCharType="separate"/>
      </w:r>
      <w:r>
        <w:rPr>
          <w:rStyle w:val="11"/>
          <w:color w:val="0000FF"/>
          <w:sz w:val="24"/>
          <w:szCs w:val="24"/>
          <w:lang w:eastAsia="zh-CN"/>
        </w:rPr>
        <w:t>行业和美国食品药品监督管理局工作人员的指南</w:t>
      </w:r>
      <w:r>
        <w:rPr>
          <w:rStyle w:val="11"/>
          <w:color w:val="0000FF"/>
          <w:sz w:val="24"/>
          <w:szCs w:val="24"/>
          <w:lang w:eastAsia="zh-CN"/>
        </w:rPr>
        <w:fldChar w:fldCharType="end"/>
      </w:r>
      <w:r>
        <w:fldChar w:fldCharType="begin"/>
      </w:r>
      <w:r>
        <w:instrText xml:space="preserve"> HYPERLINK \l "bookmark29" \o "当前文件" \h </w:instrText>
      </w:r>
      <w:r>
        <w:fldChar w:fldCharType="separate"/>
      </w:r>
      <w:r>
        <w:rPr>
          <w:sz w:val="24"/>
          <w:szCs w:val="24"/>
          <w:lang w:eastAsia="zh-CN"/>
        </w:rPr>
        <w:t xml:space="preserve"> </w:t>
      </w:r>
      <w:r>
        <w:rPr>
          <w:sz w:val="24"/>
          <w:szCs w:val="24"/>
          <w:vertAlign w:val="superscript"/>
          <w:lang w:eastAsia="zh-CN"/>
        </w:rPr>
        <w:t>14</w:t>
      </w:r>
      <w:r>
        <w:rPr>
          <w:sz w:val="24"/>
          <w:szCs w:val="24"/>
          <w:vertAlign w:val="superscript"/>
          <w:lang w:eastAsia="zh-CN"/>
        </w:rPr>
        <w:fldChar w:fldCharType="end"/>
      </w:r>
    </w:p>
    <w:p w14:paraId="116B8D40">
      <w:pPr>
        <w:pStyle w:val="19"/>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"https://www.fda.gov/regulatory-information/search-fda-guidance-documents/applying-human-factors-and-usability-engineering-medical-devices" </w:instrText>
      </w:r>
      <w:r>
        <w:fldChar w:fldCharType="separate"/>
      </w:r>
      <w:r>
        <w:rPr>
          <w:rStyle w:val="11"/>
          <w:color w:val="0000FF"/>
          <w:sz w:val="24"/>
          <w:szCs w:val="24"/>
          <w:u w:val="none"/>
          <w:lang w:eastAsia="zh-CN"/>
        </w:rPr>
        <w:tab/>
      </w:r>
      <w:r>
        <w:rPr>
          <w:rStyle w:val="11"/>
          <w:color w:val="0000FF"/>
          <w:sz w:val="24"/>
          <w:szCs w:val="24"/>
          <w:lang w:eastAsia="zh-CN"/>
        </w:rPr>
        <w:t xml:space="preserve">人因工程和可及性工程在医疗器械中的使用 – </w:t>
      </w:r>
      <w:r>
        <w:rPr>
          <w:rStyle w:val="11"/>
          <w:color w:val="0000FF"/>
          <w:sz w:val="24"/>
          <w:szCs w:val="24"/>
          <w:lang w:eastAsia="zh-CN"/>
        </w:rPr>
        <w:fldChar w:fldCharType="end"/>
      </w:r>
      <w:r>
        <w:rPr>
          <w:rStyle w:val="11"/>
          <w:color w:val="0000FF"/>
          <w:sz w:val="24"/>
          <w:szCs w:val="24"/>
          <w:lang w:eastAsia="zh-CN"/>
        </w:rPr>
        <w:t>对</w:t>
      </w:r>
      <w:r>
        <w:fldChar w:fldCharType="begin"/>
      </w:r>
      <w:r>
        <w:instrText xml:space="preserve"> HYPERLINK "https://www.fda.gov/regulatory-information/search-fda-guidance-documents/applying-human-factors-and-usability-engineering-medical-devices" </w:instrText>
      </w:r>
      <w:r>
        <w:fldChar w:fldCharType="separate"/>
      </w:r>
      <w:r>
        <w:rPr>
          <w:rStyle w:val="11"/>
          <w:color w:val="0000FF"/>
          <w:sz w:val="24"/>
          <w:szCs w:val="24"/>
          <w:lang w:eastAsia="zh-CN"/>
        </w:rPr>
        <w:t>行业和美国食品药品监督管理局工作人员的指南</w:t>
      </w:r>
      <w:r>
        <w:rPr>
          <w:rStyle w:val="11"/>
          <w:color w:val="0000FF"/>
          <w:sz w:val="24"/>
          <w:szCs w:val="24"/>
          <w:lang w:eastAsia="zh-CN"/>
        </w:rPr>
        <w:fldChar w:fldCharType="end"/>
      </w:r>
      <w:r>
        <w:fldChar w:fldCharType="begin"/>
      </w:r>
      <w:r>
        <w:instrText xml:space="preserve"> HYPERLINK \l "bookmark30" \o "当前文件" \h </w:instrText>
      </w:r>
      <w:r>
        <w:fldChar w:fldCharType="separate"/>
      </w:r>
      <w:r>
        <w:rPr>
          <w:sz w:val="24"/>
          <w:szCs w:val="24"/>
          <w:lang w:eastAsia="zh-CN"/>
        </w:rPr>
        <w:t xml:space="preserve"> </w:t>
      </w:r>
      <w:r>
        <w:rPr>
          <w:sz w:val="24"/>
          <w:szCs w:val="24"/>
          <w:vertAlign w:val="superscript"/>
          <w:lang w:eastAsia="zh-CN"/>
        </w:rPr>
        <w:t>15</w:t>
      </w:r>
      <w:r>
        <w:rPr>
          <w:sz w:val="24"/>
          <w:szCs w:val="24"/>
          <w:vertAlign w:val="superscript"/>
          <w:lang w:eastAsia="zh-CN"/>
        </w:rPr>
        <w:fldChar w:fldCharType="end"/>
      </w:r>
    </w:p>
    <w:p w14:paraId="66168BBE">
      <w:pPr>
        <w:pStyle w:val="19"/>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"https://www.fda.gov/regulatory-information/search-fda-guidance-documents/guidance-content-premarket-submissions-software-contained-medical-devices" </w:instrText>
      </w:r>
      <w:r>
        <w:fldChar w:fldCharType="separate"/>
      </w:r>
      <w:r>
        <w:rPr>
          <w:rStyle w:val="11"/>
          <w:color w:val="0000FF"/>
          <w:sz w:val="24"/>
          <w:szCs w:val="24"/>
          <w:u w:val="none"/>
          <w:lang w:eastAsia="zh-CN"/>
        </w:rPr>
        <w:tab/>
      </w:r>
      <w:r>
        <w:rPr>
          <w:rStyle w:val="11"/>
          <w:color w:val="0000FF"/>
          <w:sz w:val="24"/>
          <w:szCs w:val="24"/>
          <w:lang w:eastAsia="zh-CN"/>
        </w:rPr>
        <w:t>医疗器械软件上市前提交内容的指南</w:t>
      </w:r>
      <w:r>
        <w:rPr>
          <w:rStyle w:val="11"/>
          <w:color w:val="0000FF"/>
          <w:sz w:val="24"/>
          <w:szCs w:val="24"/>
          <w:lang w:eastAsia="zh-CN"/>
        </w:rPr>
        <w:fldChar w:fldCharType="end"/>
      </w:r>
      <w:r>
        <w:rPr>
          <w:lang w:eastAsia="zh-CN"/>
        </w:rPr>
        <w:t xml:space="preserve"> - </w:t>
      </w:r>
      <w:r>
        <w:fldChar w:fldCharType="begin"/>
      </w:r>
      <w:r>
        <w:instrText xml:space="preserve"> HYPERLINK "https://www.fda.gov/regulatory-information/search-fda-guidance-documents/applying-human-factors-and-usability-engineering-medical-devices" </w:instrText>
      </w:r>
      <w:r>
        <w:fldChar w:fldCharType="separate"/>
      </w:r>
      <w:r>
        <w:rPr>
          <w:rStyle w:val="11"/>
          <w:color w:val="0000FF"/>
          <w:sz w:val="24"/>
          <w:szCs w:val="24"/>
          <w:lang w:eastAsia="zh-CN"/>
        </w:rPr>
        <w:t>对行业和美国食品药品监督管理局工作人员的指南</w:t>
      </w:r>
      <w:r>
        <w:rPr>
          <w:rStyle w:val="11"/>
          <w:color w:val="0000FF"/>
          <w:sz w:val="24"/>
          <w:szCs w:val="24"/>
          <w:lang w:eastAsia="zh-CN"/>
        </w:rPr>
        <w:fldChar w:fldCharType="end"/>
      </w:r>
      <w:r>
        <w:fldChar w:fldCharType="begin"/>
      </w:r>
      <w:r>
        <w:instrText xml:space="preserve"> HYPERLINK \l "bookmark31" \o "当前文件" \h </w:instrText>
      </w:r>
      <w:r>
        <w:fldChar w:fldCharType="separate"/>
      </w:r>
      <w:r>
        <w:rPr>
          <w:sz w:val="24"/>
          <w:szCs w:val="24"/>
          <w:lang w:eastAsia="zh-CN"/>
        </w:rPr>
        <w:t xml:space="preserve"> </w:t>
      </w:r>
      <w:r>
        <w:rPr>
          <w:sz w:val="24"/>
          <w:szCs w:val="24"/>
          <w:vertAlign w:val="superscript"/>
          <w:lang w:eastAsia="zh-CN"/>
        </w:rPr>
        <w:t>16</w:t>
      </w:r>
      <w:r>
        <w:rPr>
          <w:sz w:val="24"/>
          <w:szCs w:val="24"/>
          <w:vertAlign w:val="superscript"/>
          <w:lang w:eastAsia="zh-CN"/>
        </w:rPr>
        <w:fldChar w:fldCharType="end"/>
      </w:r>
    </w:p>
    <w:p w14:paraId="09FBDA68">
      <w:pPr>
        <w:pStyle w:val="19"/>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"https://www.fda.gov/regulatory-information/search-fda-guidance-documents/software-medical-device-samd-clinical-evaluation" </w:instrText>
      </w:r>
      <w:r>
        <w:fldChar w:fldCharType="separate"/>
      </w:r>
      <w:r>
        <w:rPr>
          <w:rStyle w:val="11"/>
          <w:color w:val="0000FF"/>
          <w:sz w:val="24"/>
          <w:szCs w:val="24"/>
          <w:u w:val="none"/>
          <w:lang w:eastAsia="zh-CN"/>
        </w:rPr>
        <w:tab/>
      </w:r>
      <w:r>
        <w:rPr>
          <w:rStyle w:val="11"/>
          <w:color w:val="0000FF"/>
          <w:sz w:val="24"/>
          <w:szCs w:val="24"/>
          <w:lang w:eastAsia="zh-CN"/>
        </w:rPr>
        <w:t xml:space="preserve">软件医疗器械（SAMD）：临床评价 – </w:t>
      </w:r>
      <w:r>
        <w:rPr>
          <w:rStyle w:val="11"/>
          <w:color w:val="0000FF"/>
          <w:sz w:val="24"/>
          <w:szCs w:val="24"/>
          <w:lang w:eastAsia="zh-CN"/>
        </w:rPr>
        <w:fldChar w:fldCharType="end"/>
      </w:r>
      <w:r>
        <w:rPr>
          <w:rFonts w:hint="eastAsia"/>
          <w:color w:val="0000FF"/>
          <w:sz w:val="24"/>
          <w:szCs w:val="24"/>
          <w:u w:val="single"/>
          <w:lang w:eastAsia="zh-CN"/>
        </w:rPr>
        <w:t>对</w:t>
      </w:r>
      <w:r>
        <w:fldChar w:fldCharType="begin"/>
      </w:r>
      <w:r>
        <w:instrText xml:space="preserve"> HYPERLINK "https://www.fda.gov/regulatory-information/search-fda-guidance-documents/software-medical-device-samd-clinical-evaluation" </w:instrText>
      </w:r>
      <w:r>
        <w:fldChar w:fldCharType="separate"/>
      </w:r>
      <w:r>
        <w:rPr>
          <w:rStyle w:val="11"/>
          <w:color w:val="0000FF"/>
          <w:sz w:val="24"/>
          <w:szCs w:val="24"/>
          <w:lang w:eastAsia="zh-CN"/>
        </w:rPr>
        <w:t>行业和美国食品药品监督管理局工作人员的指南</w:t>
      </w:r>
      <w:r>
        <w:rPr>
          <w:rStyle w:val="11"/>
          <w:color w:val="0000FF"/>
          <w:sz w:val="24"/>
          <w:szCs w:val="24"/>
          <w:lang w:eastAsia="zh-CN"/>
        </w:rPr>
        <w:fldChar w:fldCharType="end"/>
      </w:r>
      <w:r>
        <w:fldChar w:fldCharType="begin"/>
      </w:r>
      <w:r>
        <w:instrText xml:space="preserve"> HYPERLINK \l "bookmark32" \o "当前文件" \h </w:instrText>
      </w:r>
      <w:r>
        <w:fldChar w:fldCharType="separate"/>
      </w:r>
      <w:r>
        <w:rPr>
          <w:sz w:val="24"/>
          <w:szCs w:val="24"/>
          <w:lang w:eastAsia="zh-CN"/>
        </w:rPr>
        <w:t xml:space="preserve"> </w:t>
      </w:r>
      <w:r>
        <w:rPr>
          <w:sz w:val="24"/>
          <w:szCs w:val="24"/>
          <w:vertAlign w:val="superscript"/>
          <w:lang w:eastAsia="zh-CN"/>
        </w:rPr>
        <w:t>17</w:t>
      </w:r>
      <w:r>
        <w:rPr>
          <w:sz w:val="24"/>
          <w:szCs w:val="24"/>
          <w:vertAlign w:val="superscript"/>
          <w:lang w:eastAsia="zh-CN"/>
        </w:rPr>
        <w:fldChar w:fldCharType="end"/>
      </w:r>
    </w:p>
    <w:p w14:paraId="1DF68E37">
      <w:pPr>
        <w:pStyle w:val="19"/>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"https://www.fda.gov/regulatory-information/search-fda-guidance-documents/radio-frequency-wireless-technology-medical-devices-guidance-industry-and-fda-staff" </w:instrText>
      </w:r>
      <w:r>
        <w:fldChar w:fldCharType="separate"/>
      </w:r>
      <w:r>
        <w:rPr>
          <w:rStyle w:val="11"/>
          <w:color w:val="0000FF"/>
          <w:sz w:val="24"/>
          <w:szCs w:val="24"/>
          <w:u w:val="none"/>
          <w:lang w:eastAsia="zh-CN"/>
        </w:rPr>
        <w:tab/>
      </w:r>
      <w:r>
        <w:rPr>
          <w:rStyle w:val="11"/>
          <w:color w:val="0000FF"/>
          <w:sz w:val="24"/>
          <w:szCs w:val="24"/>
          <w:lang w:eastAsia="zh-CN"/>
        </w:rPr>
        <w:t>医疗器械中的射频无线技术 – 对</w:t>
      </w:r>
      <w:r>
        <w:fldChar w:fldCharType="begin"/>
      </w:r>
      <w:r>
        <w:instrText xml:space="preserve"> HYPERLINK "https://www.fda.gov/regulatory-information/search-fda-guidance-documents/software-medical-device-samd-clinical-evaluation" </w:instrText>
      </w:r>
      <w:r>
        <w:fldChar w:fldCharType="separate"/>
      </w:r>
      <w:r>
        <w:rPr>
          <w:rStyle w:val="11"/>
          <w:color w:val="0000FF"/>
          <w:sz w:val="24"/>
          <w:szCs w:val="24"/>
          <w:lang w:eastAsia="zh-CN"/>
        </w:rPr>
        <w:t>行业和美国食品药品监督管理局工作人员的指南</w:t>
      </w:r>
      <w:r>
        <w:rPr>
          <w:rStyle w:val="11"/>
          <w:color w:val="0000FF"/>
          <w:sz w:val="24"/>
          <w:szCs w:val="24"/>
          <w:lang w:eastAsia="zh-CN"/>
        </w:rPr>
        <w:fldChar w:fldCharType="end"/>
      </w:r>
      <w:r>
        <w:rPr>
          <w:rStyle w:val="11"/>
          <w:color w:val="0000FF"/>
          <w:sz w:val="24"/>
          <w:szCs w:val="24"/>
          <w:lang w:eastAsia="zh-CN"/>
        </w:rPr>
        <w:fldChar w:fldCharType="end"/>
      </w:r>
      <w:r>
        <w:fldChar w:fldCharType="begin"/>
      </w:r>
      <w:r>
        <w:instrText xml:space="preserve"> HYPERLINK \l "bookmark33" \o "当前文件" \h </w:instrText>
      </w:r>
      <w:r>
        <w:fldChar w:fldCharType="separate"/>
      </w:r>
      <w:r>
        <w:rPr>
          <w:sz w:val="24"/>
          <w:szCs w:val="24"/>
          <w:lang w:eastAsia="zh-CN"/>
        </w:rPr>
        <w:t xml:space="preserve"> </w:t>
      </w:r>
      <w:r>
        <w:rPr>
          <w:sz w:val="24"/>
          <w:szCs w:val="24"/>
          <w:vertAlign w:val="superscript"/>
          <w:lang w:eastAsia="zh-CN"/>
        </w:rPr>
        <w:t>18</w:t>
      </w:r>
      <w:r>
        <w:rPr>
          <w:sz w:val="24"/>
          <w:szCs w:val="24"/>
          <w:vertAlign w:val="superscript"/>
          <w:lang w:eastAsia="zh-CN"/>
        </w:rPr>
        <w:fldChar w:fldCharType="end"/>
      </w:r>
    </w:p>
    <w:p w14:paraId="16BAA3EF">
      <w:pPr>
        <w:pStyle w:val="19"/>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"https://www.fda.gov/regulatory-information/search-fda-guidance-documents/design-considerations-and-pre-market-submission-recommendations-interoperable-medical-devices" </w:instrText>
      </w:r>
      <w:r>
        <w:fldChar w:fldCharType="separate"/>
      </w:r>
      <w:r>
        <w:rPr>
          <w:rStyle w:val="11"/>
          <w:color w:val="0000FF"/>
          <w:sz w:val="24"/>
          <w:szCs w:val="24"/>
          <w:u w:val="none"/>
          <w:lang w:eastAsia="zh-CN"/>
        </w:rPr>
        <w:tab/>
      </w:r>
      <w:r>
        <w:rPr>
          <w:rStyle w:val="11"/>
          <w:color w:val="0000FF"/>
          <w:sz w:val="24"/>
          <w:szCs w:val="24"/>
          <w:lang w:eastAsia="zh-CN"/>
        </w:rPr>
        <w:t>互操作医疗器械的设计考量和上市前提交建议</w:t>
      </w:r>
      <w:r>
        <w:rPr>
          <w:rStyle w:val="11"/>
          <w:color w:val="0000FF"/>
          <w:sz w:val="24"/>
          <w:szCs w:val="24"/>
          <w:lang w:eastAsia="zh-CN"/>
        </w:rPr>
        <w:fldChar w:fldCharType="end"/>
      </w:r>
      <w:r>
        <w:fldChar w:fldCharType="begin"/>
      </w:r>
      <w:r>
        <w:instrText xml:space="preserve"> HYPERLINK "https://www.fda.gov/regulatory-information/search-fda-guidance-documents/design-considerations-and-pre-market-submission-recommendations-interoperable-medical-devices" </w:instrText>
      </w:r>
      <w:r>
        <w:fldChar w:fldCharType="separate"/>
      </w:r>
      <w:r>
        <w:rPr>
          <w:rStyle w:val="11"/>
          <w:color w:val="0000FF"/>
          <w:sz w:val="24"/>
          <w:szCs w:val="24"/>
          <w:lang w:eastAsia="zh-CN"/>
        </w:rPr>
        <w:t xml:space="preserve"> – 对行业和美国食品药品监督管理局工作人员的指南</w:t>
      </w:r>
      <w:r>
        <w:rPr>
          <w:rStyle w:val="11"/>
          <w:color w:val="0000FF"/>
          <w:sz w:val="24"/>
          <w:szCs w:val="24"/>
          <w:lang w:eastAsia="zh-CN"/>
        </w:rPr>
        <w:fldChar w:fldCharType="end"/>
      </w:r>
      <w:r>
        <w:fldChar w:fldCharType="begin"/>
      </w:r>
      <w:r>
        <w:instrText xml:space="preserve"> HYPERLINK \l "bookmark34" \o "当前文件" \h </w:instrText>
      </w:r>
      <w:r>
        <w:fldChar w:fldCharType="separate"/>
      </w:r>
      <w:r>
        <w:rPr>
          <w:sz w:val="24"/>
          <w:szCs w:val="24"/>
          <w:lang w:eastAsia="zh-CN"/>
        </w:rPr>
        <w:t xml:space="preserve"> </w:t>
      </w:r>
      <w:r>
        <w:rPr>
          <w:sz w:val="24"/>
          <w:szCs w:val="24"/>
          <w:vertAlign w:val="superscript"/>
          <w:lang w:eastAsia="zh-CN"/>
        </w:rPr>
        <w:t>19</w:t>
      </w:r>
      <w:r>
        <w:rPr>
          <w:sz w:val="24"/>
          <w:szCs w:val="24"/>
          <w:vertAlign w:val="superscript"/>
          <w:lang w:eastAsia="zh-CN"/>
        </w:rPr>
        <w:fldChar w:fldCharType="end"/>
      </w:r>
    </w:p>
    <w:p w14:paraId="112FB409">
      <w:pPr>
        <w:snapToGrid w:val="0"/>
        <w:spacing w:before="120" w:beforeLines="50"/>
        <w:jc w:val="both"/>
        <w:rPr>
          <w:sz w:val="18"/>
          <w:szCs w:val="18"/>
          <w:lang w:eastAsia="zh-CN"/>
        </w:rPr>
      </w:pPr>
      <w:bookmarkStart w:id="33" w:name="bookmark26"/>
      <w:bookmarkStart w:id="34" w:name="bookmark27"/>
    </w:p>
    <w:p w14:paraId="6E1A7730">
      <w:pPr>
        <w:snapToGrid w:val="0"/>
        <w:spacing w:before="120" w:beforeLines="50"/>
        <w:jc w:val="both"/>
        <w:rPr>
          <w:sz w:val="18"/>
          <w:szCs w:val="18"/>
        </w:rPr>
      </w:pPr>
      <w:r>
        <w:rPr>
          <w:sz w:val="18"/>
          <w:szCs w:val="18"/>
          <w:lang w:eastAsia="zh-CN"/>
        </w:rPr>
        <w:t>______________________</w:t>
      </w:r>
    </w:p>
    <w:p w14:paraId="085B55F1">
      <w:pPr>
        <w:tabs>
          <w:tab w:val="left" w:pos="182"/>
        </w:tabs>
        <w:snapToGrid w:val="0"/>
        <w:spacing w:before="120" w:beforeLines="50"/>
        <w:jc w:val="both"/>
        <w:rPr>
          <w:sz w:val="18"/>
          <w:szCs w:val="18"/>
        </w:rPr>
      </w:pPr>
      <w:r>
        <w:rPr>
          <w:sz w:val="18"/>
          <w:szCs w:val="18"/>
          <w:vertAlign w:val="superscript"/>
          <w:lang w:eastAsia="zh-CN"/>
        </w:rPr>
        <w:t>11</w:t>
      </w:r>
      <w:r>
        <w:fldChar w:fldCharType="begin"/>
      </w:r>
      <w:r>
        <w:instrText xml:space="preserve"> HYPERLINK "https://www.fda.gov/regulatory-information/search-fda-guidance-documents/content-premarket-submissions-management-cybersecurity-medical-devices-0" </w:instrText>
      </w:r>
      <w:r>
        <w:fldChar w:fldCharType="separate"/>
      </w:r>
      <w:r>
        <w:rPr>
          <w:rStyle w:val="11"/>
          <w:color w:val="0000FF"/>
          <w:sz w:val="18"/>
          <w:szCs w:val="18"/>
          <w:u w:val="none"/>
          <w:lang w:eastAsia="zh-CN"/>
        </w:rPr>
        <w:tab/>
      </w:r>
      <w:r>
        <w:rPr>
          <w:rStyle w:val="11"/>
          <w:color w:val="0000FF"/>
          <w:sz w:val="18"/>
          <w:szCs w:val="18"/>
          <w:lang w:eastAsia="zh-CN"/>
        </w:rPr>
        <w:t>https://www.fda.gov/regulatory-information/search-fda-guidance-documents/content-premarket-submissions-</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"https://www.fda.gov/regulatory-information/search-fda-guidance-documents/content-premarket-submissions-management-cybersecurity-medical-devices-0" </w:instrText>
      </w:r>
      <w:r>
        <w:fldChar w:fldCharType="separate"/>
      </w:r>
      <w:r>
        <w:rPr>
          <w:rStyle w:val="11"/>
          <w:color w:val="0000FF"/>
          <w:sz w:val="18"/>
          <w:szCs w:val="18"/>
          <w:lang w:eastAsia="zh-CN"/>
        </w:rPr>
        <w:t>management-cvbersecuritv-medical-devices-0.</w:t>
      </w:r>
      <w:bookmarkEnd w:id="33"/>
      <w:bookmarkEnd w:id="34"/>
      <w:r>
        <w:rPr>
          <w:rStyle w:val="11"/>
          <w:color w:val="0000FF"/>
          <w:sz w:val="18"/>
          <w:szCs w:val="18"/>
          <w:lang w:eastAsia="zh-CN"/>
        </w:rPr>
        <w:fldChar w:fldCharType="end"/>
      </w:r>
    </w:p>
    <w:p w14:paraId="32FCA870">
      <w:pPr>
        <w:tabs>
          <w:tab w:val="left" w:pos="182"/>
        </w:tabs>
        <w:snapToGrid w:val="0"/>
        <w:spacing w:before="120" w:beforeLines="50"/>
        <w:jc w:val="both"/>
        <w:rPr>
          <w:color w:val="0000FF"/>
          <w:sz w:val="18"/>
          <w:szCs w:val="18"/>
        </w:rPr>
      </w:pPr>
      <w:r>
        <w:rPr>
          <w:sz w:val="18"/>
          <w:szCs w:val="18"/>
          <w:vertAlign w:val="superscript"/>
          <w:lang w:eastAsia="zh-CN"/>
        </w:rPr>
        <w:t>12</w:t>
      </w:r>
      <w:r>
        <w:fldChar w:fldCharType="begin"/>
      </w:r>
      <w:r>
        <w:instrText xml:space="preserve"> HYPERLINK "https://www.fda.gov/regulatory-information/search-fda-guidance-documents/postmarket-management-cybersecurity-medical-devices" </w:instrText>
      </w:r>
      <w:r>
        <w:fldChar w:fldCharType="separate"/>
      </w:r>
      <w:r>
        <w:rPr>
          <w:rStyle w:val="11"/>
          <w:color w:val="0000FF"/>
          <w:sz w:val="18"/>
          <w:szCs w:val="18"/>
          <w:u w:val="none"/>
          <w:lang w:eastAsia="zh-CN"/>
        </w:rPr>
        <w:tab/>
      </w:r>
      <w:r>
        <w:rPr>
          <w:rStyle w:val="11"/>
          <w:color w:val="0000FF"/>
          <w:sz w:val="18"/>
          <w:szCs w:val="18"/>
          <w:lang w:eastAsia="zh-CN"/>
        </w:rPr>
        <w:t>https://www.fda.gov/regulatorv-information/search-fda-guidance-documents/postmarket-management-cvbersecuritv-</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"https://www.fda.gov/regulatory-information/search-fda-guidance-documents/postmarket-management-cybersecurity-medical-devices" </w:instrText>
      </w:r>
      <w:r>
        <w:fldChar w:fldCharType="separate"/>
      </w:r>
      <w:r>
        <w:rPr>
          <w:rStyle w:val="11"/>
          <w:color w:val="0000FF"/>
          <w:sz w:val="18"/>
          <w:szCs w:val="18"/>
          <w:lang w:eastAsia="zh-CN"/>
        </w:rPr>
        <w:t>medical-devices.</w:t>
      </w:r>
      <w:r>
        <w:rPr>
          <w:rStyle w:val="11"/>
          <w:color w:val="0000FF"/>
          <w:sz w:val="18"/>
          <w:szCs w:val="18"/>
          <w:lang w:eastAsia="zh-CN"/>
        </w:rPr>
        <w:fldChar w:fldCharType="end"/>
      </w:r>
    </w:p>
    <w:p w14:paraId="21D698C5">
      <w:pPr>
        <w:tabs>
          <w:tab w:val="left" w:pos="178"/>
        </w:tabs>
        <w:snapToGrid w:val="0"/>
        <w:spacing w:before="120" w:beforeLines="50"/>
        <w:jc w:val="both"/>
        <w:rPr>
          <w:sz w:val="18"/>
          <w:szCs w:val="18"/>
        </w:rPr>
      </w:pPr>
      <w:bookmarkStart w:id="35" w:name="bookmark29"/>
      <w:bookmarkStart w:id="36" w:name="bookmark28"/>
      <w:r>
        <w:rPr>
          <w:sz w:val="18"/>
          <w:szCs w:val="18"/>
          <w:vertAlign w:val="superscript"/>
          <w:lang w:eastAsia="zh-CN"/>
        </w:rPr>
        <w:t>13</w:t>
      </w:r>
      <w:r>
        <w:fldChar w:fldCharType="begin"/>
      </w:r>
      <w:r>
        <w:instrText xml:space="preserve"> HYPERLINK "https://www.fda.gov/media/123052/download" </w:instrText>
      </w:r>
      <w:r>
        <w:fldChar w:fldCharType="separate"/>
      </w:r>
      <w:r>
        <w:rPr>
          <w:rStyle w:val="11"/>
          <w:color w:val="0000FF"/>
          <w:sz w:val="18"/>
          <w:szCs w:val="18"/>
          <w:u w:val="none"/>
          <w:lang w:eastAsia="zh-CN"/>
        </w:rPr>
        <w:tab/>
      </w:r>
      <w:r>
        <w:rPr>
          <w:rStyle w:val="11"/>
          <w:color w:val="0000FF"/>
          <w:sz w:val="18"/>
          <w:szCs w:val="18"/>
          <w:lang w:eastAsia="zh-CN"/>
        </w:rPr>
        <w:t>https://www.fda.gov/media/123052/download.</w:t>
      </w:r>
      <w:bookmarkEnd w:id="35"/>
      <w:bookmarkEnd w:id="36"/>
      <w:r>
        <w:rPr>
          <w:rStyle w:val="11"/>
          <w:color w:val="0000FF"/>
          <w:sz w:val="18"/>
          <w:szCs w:val="18"/>
          <w:lang w:eastAsia="zh-CN"/>
        </w:rPr>
        <w:fldChar w:fldCharType="end"/>
      </w:r>
    </w:p>
    <w:p w14:paraId="40AF8D5E">
      <w:pPr>
        <w:tabs>
          <w:tab w:val="left" w:pos="182"/>
        </w:tabs>
        <w:snapToGrid w:val="0"/>
        <w:spacing w:before="120" w:beforeLines="50"/>
        <w:jc w:val="both"/>
        <w:rPr>
          <w:color w:val="0000FF"/>
          <w:sz w:val="18"/>
          <w:szCs w:val="18"/>
        </w:rPr>
      </w:pPr>
      <w:bookmarkStart w:id="37" w:name="bookmark30"/>
      <w:r>
        <w:rPr>
          <w:sz w:val="18"/>
          <w:szCs w:val="18"/>
          <w:vertAlign w:val="superscript"/>
          <w:lang w:eastAsia="zh-CN"/>
        </w:rPr>
        <w:t>14</w:t>
      </w:r>
      <w:r>
        <w:fldChar w:fldCharType="begin"/>
      </w:r>
      <w:r>
        <w:instrText xml:space="preserve"> HYPERLINK "https://www.fda.gov/regulatory-information/search-fda-guidance-documents/technical-performance-assessment-digital-pathology-whole-slide-imaging-devices" </w:instrText>
      </w:r>
      <w:r>
        <w:fldChar w:fldCharType="separate"/>
      </w:r>
      <w:r>
        <w:rPr>
          <w:rStyle w:val="11"/>
          <w:color w:val="0000FF"/>
          <w:sz w:val="18"/>
          <w:szCs w:val="18"/>
          <w:u w:val="none"/>
          <w:lang w:eastAsia="zh-CN"/>
        </w:rPr>
        <w:tab/>
      </w:r>
      <w:r>
        <w:rPr>
          <w:rStyle w:val="11"/>
          <w:color w:val="0000FF"/>
          <w:sz w:val="18"/>
          <w:szCs w:val="18"/>
          <w:lang w:eastAsia="zh-CN"/>
        </w:rPr>
        <w:t>https://www.fda.gov/regulatory-information/search-fda-guidance-documents/technical-performance-assessment-</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"https://www.fda.gov/regulatory-information/search-fda-guidance-documents/technical-performance-assessment-digital-pathology-whole-slide-imaging-devices" </w:instrText>
      </w:r>
      <w:r>
        <w:fldChar w:fldCharType="separate"/>
      </w:r>
      <w:r>
        <w:rPr>
          <w:rStyle w:val="11"/>
          <w:color w:val="0000FF"/>
          <w:sz w:val="18"/>
          <w:szCs w:val="18"/>
          <w:lang w:eastAsia="zh-CN"/>
        </w:rPr>
        <w:t>digital-pathology-whole-slide-imaging-devices.</w:t>
      </w:r>
      <w:bookmarkEnd w:id="37"/>
      <w:r>
        <w:rPr>
          <w:rStyle w:val="11"/>
          <w:color w:val="0000FF"/>
          <w:sz w:val="18"/>
          <w:szCs w:val="18"/>
          <w:lang w:eastAsia="zh-CN"/>
        </w:rPr>
        <w:fldChar w:fldCharType="end"/>
      </w:r>
    </w:p>
    <w:p w14:paraId="29CF13C9">
      <w:pPr>
        <w:tabs>
          <w:tab w:val="left" w:pos="182"/>
        </w:tabs>
        <w:snapToGrid w:val="0"/>
        <w:spacing w:before="120" w:beforeLines="50"/>
        <w:jc w:val="both"/>
        <w:rPr>
          <w:sz w:val="18"/>
          <w:szCs w:val="18"/>
        </w:rPr>
      </w:pPr>
      <w:r>
        <w:rPr>
          <w:sz w:val="18"/>
          <w:szCs w:val="18"/>
          <w:vertAlign w:val="superscript"/>
          <w:lang w:eastAsia="zh-CN"/>
        </w:rPr>
        <w:t>15</w:t>
      </w:r>
      <w:r>
        <w:fldChar w:fldCharType="begin"/>
      </w:r>
      <w:r>
        <w:instrText xml:space="preserve"> HYPERLINK "%09https://www.fda.gov/regulatorv-information/search-fda-guidance-documents/applving-human-factors-and-%20usabihtv-" </w:instrText>
      </w:r>
      <w:r>
        <w:fldChar w:fldCharType="separate"/>
      </w:r>
      <w:r>
        <w:rPr>
          <w:rStyle w:val="11"/>
          <w:color w:val="0000FF"/>
          <w:sz w:val="18"/>
          <w:szCs w:val="18"/>
          <w:u w:val="none"/>
          <w:lang w:eastAsia="zh-CN"/>
        </w:rPr>
        <w:tab/>
      </w:r>
      <w:r>
        <w:rPr>
          <w:rStyle w:val="11"/>
          <w:color w:val="0000FF"/>
          <w:sz w:val="18"/>
          <w:szCs w:val="18"/>
          <w:lang w:eastAsia="zh-CN"/>
        </w:rPr>
        <w:t>https://www.fda.gov/regulatorv-information/search-fda-guidance-documents/applving-human-factors-and- usabihtv-</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"https://www.fda.gov/regulatory-information/search-fda-guidance-documents/applying-human-factors-and-usability-engineering-medical-devices" </w:instrText>
      </w:r>
      <w:r>
        <w:fldChar w:fldCharType="separate"/>
      </w:r>
      <w:r>
        <w:rPr>
          <w:rStyle w:val="11"/>
          <w:color w:val="0000FF"/>
          <w:sz w:val="18"/>
          <w:szCs w:val="18"/>
          <w:lang w:eastAsia="zh-CN"/>
        </w:rPr>
        <w:t>engineering-medical-devices.</w:t>
      </w:r>
      <w:r>
        <w:rPr>
          <w:rStyle w:val="11"/>
          <w:color w:val="0000FF"/>
          <w:sz w:val="18"/>
          <w:szCs w:val="18"/>
          <w:lang w:eastAsia="zh-CN"/>
        </w:rPr>
        <w:fldChar w:fldCharType="end"/>
      </w:r>
    </w:p>
    <w:p w14:paraId="0836C82F">
      <w:pPr>
        <w:tabs>
          <w:tab w:val="left" w:pos="178"/>
        </w:tabs>
        <w:snapToGrid w:val="0"/>
        <w:spacing w:before="120" w:beforeLines="50"/>
        <w:jc w:val="both"/>
        <w:rPr>
          <w:sz w:val="18"/>
          <w:szCs w:val="18"/>
        </w:rPr>
      </w:pPr>
      <w:bookmarkStart w:id="38" w:name="bookmark31"/>
      <w:r>
        <w:rPr>
          <w:sz w:val="18"/>
          <w:szCs w:val="18"/>
          <w:vertAlign w:val="superscript"/>
          <w:lang w:eastAsia="zh-CN"/>
        </w:rPr>
        <w:t>16</w:t>
      </w:r>
      <w:r>
        <w:fldChar w:fldCharType="begin"/>
      </w:r>
      <w:r>
        <w:instrText xml:space="preserve"> HYPERLINK "%09https://www.fda.gov/regulatory-information/search-fda-guidance-documents/guidance-content-premarket-%20submissions-" </w:instrText>
      </w:r>
      <w:r>
        <w:fldChar w:fldCharType="separate"/>
      </w:r>
      <w:r>
        <w:rPr>
          <w:rStyle w:val="11"/>
          <w:color w:val="0000FF"/>
          <w:sz w:val="18"/>
          <w:szCs w:val="18"/>
          <w:u w:val="none"/>
          <w:lang w:eastAsia="zh-CN"/>
        </w:rPr>
        <w:tab/>
      </w:r>
      <w:r>
        <w:rPr>
          <w:rStyle w:val="11"/>
          <w:color w:val="0000FF"/>
          <w:sz w:val="18"/>
          <w:szCs w:val="18"/>
          <w:lang w:eastAsia="zh-CN"/>
        </w:rPr>
        <w:t>https://www.fda.gov/regulatory-information/search-fda-guidance-documents/guidance-content-premarket- submissions-</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"https://www.fda.gov/regulatory-information/search-fda-guidance-documents/guidance-content-premarket-submissions-software-contained-medical-devices" </w:instrText>
      </w:r>
      <w:r>
        <w:fldChar w:fldCharType="separate"/>
      </w:r>
      <w:r>
        <w:rPr>
          <w:rStyle w:val="11"/>
          <w:color w:val="0000FF"/>
          <w:sz w:val="18"/>
          <w:szCs w:val="18"/>
          <w:lang w:eastAsia="zh-CN"/>
        </w:rPr>
        <w:t>software-contained-medical-devices.</w:t>
      </w:r>
      <w:bookmarkEnd w:id="38"/>
      <w:r>
        <w:rPr>
          <w:rStyle w:val="11"/>
          <w:color w:val="0000FF"/>
          <w:sz w:val="18"/>
          <w:szCs w:val="18"/>
          <w:lang w:eastAsia="zh-CN"/>
        </w:rPr>
        <w:fldChar w:fldCharType="end"/>
      </w:r>
    </w:p>
    <w:p w14:paraId="38AA7576">
      <w:pPr>
        <w:tabs>
          <w:tab w:val="left" w:pos="182"/>
        </w:tabs>
        <w:snapToGrid w:val="0"/>
        <w:spacing w:before="120" w:beforeLines="50"/>
        <w:jc w:val="both"/>
        <w:rPr>
          <w:sz w:val="18"/>
          <w:szCs w:val="18"/>
        </w:rPr>
      </w:pPr>
      <w:bookmarkStart w:id="39" w:name="bookmark32"/>
      <w:r>
        <w:rPr>
          <w:sz w:val="18"/>
          <w:szCs w:val="18"/>
          <w:vertAlign w:val="superscript"/>
          <w:lang w:eastAsia="zh-CN"/>
        </w:rPr>
        <w:t>17</w:t>
      </w:r>
      <w:r>
        <w:fldChar w:fldCharType="begin"/>
      </w:r>
      <w:r>
        <w:instrText xml:space="preserve"> HYPERLINK "%09https://www.fda.gov/regulatory-information/search-fda-guidance-documents/software-medical-device-samd-%20clinical-" </w:instrText>
      </w:r>
      <w:r>
        <w:fldChar w:fldCharType="separate"/>
      </w:r>
      <w:r>
        <w:rPr>
          <w:rStyle w:val="11"/>
          <w:color w:val="0000FF"/>
          <w:sz w:val="18"/>
          <w:szCs w:val="18"/>
          <w:u w:val="none"/>
          <w:lang w:eastAsia="zh-CN"/>
        </w:rPr>
        <w:tab/>
      </w:r>
      <w:r>
        <w:rPr>
          <w:rStyle w:val="11"/>
          <w:color w:val="0000FF"/>
          <w:sz w:val="18"/>
          <w:szCs w:val="18"/>
          <w:lang w:eastAsia="zh-CN"/>
        </w:rPr>
        <w:t>https://www.fda.gov/regulatory-information/search-fda-guidance-documents/software-medical-device-samd- clinical-</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"https://www.fda.gov/regulatory-information/search-fda-guidance-documents/software-medical-device-samd-clinical-evaluation" </w:instrText>
      </w:r>
      <w:r>
        <w:fldChar w:fldCharType="separate"/>
      </w:r>
      <w:r>
        <w:rPr>
          <w:rStyle w:val="11"/>
          <w:color w:val="0000FF"/>
          <w:sz w:val="18"/>
          <w:szCs w:val="18"/>
          <w:lang w:eastAsia="zh-CN"/>
        </w:rPr>
        <w:t>evaluation.</w:t>
      </w:r>
      <w:bookmarkEnd w:id="39"/>
      <w:r>
        <w:rPr>
          <w:rStyle w:val="11"/>
          <w:color w:val="0000FF"/>
          <w:sz w:val="18"/>
          <w:szCs w:val="18"/>
          <w:lang w:eastAsia="zh-CN"/>
        </w:rPr>
        <w:fldChar w:fldCharType="end"/>
      </w:r>
    </w:p>
    <w:p w14:paraId="7E690728">
      <w:pPr>
        <w:tabs>
          <w:tab w:val="left" w:pos="182"/>
        </w:tabs>
        <w:snapToGrid w:val="0"/>
        <w:spacing w:before="120" w:beforeLines="50"/>
        <w:jc w:val="both"/>
        <w:rPr>
          <w:sz w:val="18"/>
          <w:szCs w:val="18"/>
        </w:rPr>
      </w:pPr>
      <w:bookmarkStart w:id="40" w:name="bookmark33"/>
      <w:r>
        <w:rPr>
          <w:sz w:val="18"/>
          <w:szCs w:val="18"/>
          <w:vertAlign w:val="superscript"/>
          <w:lang w:eastAsia="zh-CN"/>
        </w:rPr>
        <w:t>18</w:t>
      </w:r>
      <w:r>
        <w:fldChar w:fldCharType="begin"/>
      </w:r>
      <w:r>
        <w:instrText xml:space="preserve"> HYPERLINK "%09https://www.fda.gov/regulatorv-information/search-fda-guidance-documents/radio-frequencv-wireless-%20technologv-" </w:instrText>
      </w:r>
      <w:r>
        <w:fldChar w:fldCharType="separate"/>
      </w:r>
      <w:r>
        <w:rPr>
          <w:rStyle w:val="11"/>
          <w:color w:val="0000FF"/>
          <w:sz w:val="18"/>
          <w:szCs w:val="18"/>
          <w:u w:val="none"/>
          <w:lang w:eastAsia="zh-CN"/>
        </w:rPr>
        <w:tab/>
      </w:r>
      <w:r>
        <w:rPr>
          <w:rStyle w:val="11"/>
          <w:color w:val="0000FF"/>
          <w:sz w:val="18"/>
          <w:szCs w:val="18"/>
          <w:lang w:eastAsia="zh-CN"/>
        </w:rPr>
        <w:t>https://www.fda.gov/regulatorv-information/search-fda-guidance-documents/radio-frequencv-wireless- technologv-</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"https://www.fda.gov/regulatory-information/search-fda-guidance-documents/radio-frequency-wireless-technology-medical-devices-guidance-industry-and-fda-staff" </w:instrText>
      </w:r>
      <w:r>
        <w:fldChar w:fldCharType="separate"/>
      </w:r>
      <w:r>
        <w:rPr>
          <w:rStyle w:val="11"/>
          <w:color w:val="0000FF"/>
          <w:sz w:val="18"/>
          <w:szCs w:val="18"/>
          <w:lang w:eastAsia="zh-CN"/>
        </w:rPr>
        <w:t>medical-devices-guidance-industry-and-fda-staff.</w:t>
      </w:r>
      <w:bookmarkEnd w:id="40"/>
      <w:r>
        <w:rPr>
          <w:rStyle w:val="11"/>
          <w:color w:val="0000FF"/>
          <w:sz w:val="18"/>
          <w:szCs w:val="18"/>
          <w:lang w:eastAsia="zh-CN"/>
        </w:rPr>
        <w:fldChar w:fldCharType="end"/>
      </w:r>
    </w:p>
    <w:p w14:paraId="1E447AD3">
      <w:pPr>
        <w:tabs>
          <w:tab w:val="left" w:pos="178"/>
        </w:tabs>
        <w:snapToGrid w:val="0"/>
        <w:spacing w:before="120" w:beforeLines="50"/>
        <w:jc w:val="both"/>
        <w:rPr>
          <w:color w:val="0000FF"/>
          <w:sz w:val="18"/>
          <w:szCs w:val="18"/>
        </w:rPr>
      </w:pPr>
      <w:bookmarkStart w:id="41" w:name="bookmark34"/>
      <w:r>
        <w:rPr>
          <w:sz w:val="18"/>
          <w:szCs w:val="18"/>
          <w:vertAlign w:val="superscript"/>
          <w:lang w:eastAsia="zh-CN"/>
        </w:rPr>
        <w:t>19</w:t>
      </w:r>
      <w:r>
        <w:fldChar w:fldCharType="begin"/>
      </w:r>
      <w:r>
        <w:instrText xml:space="preserve"> HYPERLINK "%09https://www.fda.gov/regulatory-information/search-fda-guidance-documents/design-considerations-and-pre-%20market-" </w:instrText>
      </w:r>
      <w:r>
        <w:fldChar w:fldCharType="separate"/>
      </w:r>
      <w:r>
        <w:rPr>
          <w:rStyle w:val="11"/>
          <w:color w:val="0000FF"/>
          <w:sz w:val="18"/>
          <w:szCs w:val="18"/>
          <w:u w:val="none"/>
          <w:lang w:eastAsia="zh-CN"/>
        </w:rPr>
        <w:tab/>
      </w:r>
      <w:r>
        <w:rPr>
          <w:rStyle w:val="11"/>
          <w:color w:val="0000FF"/>
          <w:sz w:val="18"/>
          <w:szCs w:val="18"/>
          <w:lang w:eastAsia="zh-CN"/>
        </w:rPr>
        <w:t>https://www.fda.gov/regulatory-information/search-fda-guidance-documents/design-considerations-and-pre- market-</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"https://www.fda.gov/regulatory-information/search-fda-guidance-documents/design-considerations-and-pre-market-submission-recommendations-interoperable-medical-devices" </w:instrText>
      </w:r>
      <w:r>
        <w:fldChar w:fldCharType="separate"/>
      </w:r>
      <w:r>
        <w:rPr>
          <w:rStyle w:val="11"/>
          <w:color w:val="0000FF"/>
          <w:sz w:val="18"/>
          <w:szCs w:val="18"/>
          <w:lang w:eastAsia="zh-CN"/>
        </w:rPr>
        <w:t>submission-recommendations-interoperable-medical-devices.</w:t>
      </w:r>
      <w:bookmarkEnd w:id="41"/>
      <w:r>
        <w:rPr>
          <w:rStyle w:val="11"/>
          <w:color w:val="0000FF"/>
          <w:sz w:val="18"/>
          <w:szCs w:val="18"/>
          <w:lang w:eastAsia="zh-CN"/>
        </w:rPr>
        <w:fldChar w:fldCharType="end"/>
      </w:r>
    </w:p>
    <w:p w14:paraId="6C79B46C">
      <w:pPr>
        <w:pStyle w:val="13"/>
        <w:spacing w:before="120"/>
        <w:rPr>
          <w:rFonts w:hint="eastAsia" w:eastAsia="宋体"/>
          <w:lang w:eastAsia="zh-CN"/>
        </w:rPr>
      </w:pPr>
    </w:p>
    <w:p w14:paraId="7D1E5C57">
      <w:pPr>
        <w:pStyle w:val="13"/>
        <w:spacing w:before="120"/>
        <w:jc w:val="center"/>
        <w:rPr>
          <w:rFonts w:hint="eastAsia" w:eastAsia="宋体"/>
          <w:lang w:eastAsia="zh-CN"/>
        </w:rPr>
      </w:pPr>
    </w:p>
    <w:p w14:paraId="17FFCAFA">
      <w:pPr>
        <w:pStyle w:val="13"/>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6" w:type="default"/>
      <w:pgSz w:w="11907" w:h="16840"/>
      <w:pgMar w:top="1429" w:right="1797" w:bottom="1429" w:left="1797" w:header="720" w:footer="720" w:gutter="0"/>
      <w:pgNumType w:start="1"/>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6:34:00Z" w:initials="小">
    <w:p w14:paraId="76730641">
      <w:pPr>
        <w:pStyle w:val="2"/>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7306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4D129">
    <w:pPr>
      <w:pStyle w:val="5"/>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6</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33564">
    <w:pPr>
      <w:pStyle w:val="6"/>
      <w:pBdr>
        <w:bottom w:val="none" w:color="auto" w:sz="0" w:space="0"/>
      </w:pBdr>
    </w:pPr>
    <w:r>
      <w:rPr>
        <w:rFonts w:hint="eastAsia"/>
        <w:b/>
        <w:bCs/>
        <w:i/>
        <w:iCs/>
        <w:sz w:val="21"/>
        <w:lang w:eastAsia="zh-CN"/>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F1374F"/>
    <w:rsid w:val="000232AE"/>
    <w:rsid w:val="00047133"/>
    <w:rsid w:val="00057CBF"/>
    <w:rsid w:val="00064896"/>
    <w:rsid w:val="00093723"/>
    <w:rsid w:val="00095330"/>
    <w:rsid w:val="00132253"/>
    <w:rsid w:val="00152076"/>
    <w:rsid w:val="00170469"/>
    <w:rsid w:val="001705F4"/>
    <w:rsid w:val="00187C6A"/>
    <w:rsid w:val="001D1333"/>
    <w:rsid w:val="001D6BB0"/>
    <w:rsid w:val="002173D9"/>
    <w:rsid w:val="00237613"/>
    <w:rsid w:val="00244F5D"/>
    <w:rsid w:val="002514C9"/>
    <w:rsid w:val="0025500B"/>
    <w:rsid w:val="002A3AF7"/>
    <w:rsid w:val="002C7804"/>
    <w:rsid w:val="002E6072"/>
    <w:rsid w:val="002F07FC"/>
    <w:rsid w:val="00354560"/>
    <w:rsid w:val="00387CE8"/>
    <w:rsid w:val="0039617F"/>
    <w:rsid w:val="003C3183"/>
    <w:rsid w:val="003D29FD"/>
    <w:rsid w:val="003D78A0"/>
    <w:rsid w:val="00417B04"/>
    <w:rsid w:val="00421F91"/>
    <w:rsid w:val="00422468"/>
    <w:rsid w:val="00446AC4"/>
    <w:rsid w:val="00446ED4"/>
    <w:rsid w:val="00494625"/>
    <w:rsid w:val="00494FC1"/>
    <w:rsid w:val="00497857"/>
    <w:rsid w:val="004A7E4E"/>
    <w:rsid w:val="004B2772"/>
    <w:rsid w:val="004C1108"/>
    <w:rsid w:val="004C62C5"/>
    <w:rsid w:val="004D6D36"/>
    <w:rsid w:val="005475B1"/>
    <w:rsid w:val="005547FC"/>
    <w:rsid w:val="00570294"/>
    <w:rsid w:val="00574C44"/>
    <w:rsid w:val="00584F54"/>
    <w:rsid w:val="005B2F7E"/>
    <w:rsid w:val="005D501D"/>
    <w:rsid w:val="00603F79"/>
    <w:rsid w:val="00606458"/>
    <w:rsid w:val="00625AF3"/>
    <w:rsid w:val="00673313"/>
    <w:rsid w:val="006A16DA"/>
    <w:rsid w:val="006E4C2D"/>
    <w:rsid w:val="00736A10"/>
    <w:rsid w:val="00750BC2"/>
    <w:rsid w:val="007D2E2B"/>
    <w:rsid w:val="007F25B7"/>
    <w:rsid w:val="00816F0B"/>
    <w:rsid w:val="0084139A"/>
    <w:rsid w:val="008B580D"/>
    <w:rsid w:val="008D0437"/>
    <w:rsid w:val="008E5237"/>
    <w:rsid w:val="00966C18"/>
    <w:rsid w:val="00983C54"/>
    <w:rsid w:val="009C15BE"/>
    <w:rsid w:val="00A3047F"/>
    <w:rsid w:val="00A55B97"/>
    <w:rsid w:val="00AA318C"/>
    <w:rsid w:val="00AB64D2"/>
    <w:rsid w:val="00AC2B34"/>
    <w:rsid w:val="00AE7142"/>
    <w:rsid w:val="00B15D02"/>
    <w:rsid w:val="00B218A9"/>
    <w:rsid w:val="00BA6713"/>
    <w:rsid w:val="00BD027C"/>
    <w:rsid w:val="00BD0EE6"/>
    <w:rsid w:val="00BD5ED8"/>
    <w:rsid w:val="00C1613F"/>
    <w:rsid w:val="00C17F67"/>
    <w:rsid w:val="00C262CA"/>
    <w:rsid w:val="00D21C58"/>
    <w:rsid w:val="00D40547"/>
    <w:rsid w:val="00D83960"/>
    <w:rsid w:val="00D95869"/>
    <w:rsid w:val="00D9799E"/>
    <w:rsid w:val="00DB4E41"/>
    <w:rsid w:val="00DB5D96"/>
    <w:rsid w:val="00DB6D54"/>
    <w:rsid w:val="00DC732A"/>
    <w:rsid w:val="00E01923"/>
    <w:rsid w:val="00E204B6"/>
    <w:rsid w:val="00E21B8A"/>
    <w:rsid w:val="00E56013"/>
    <w:rsid w:val="00E701A6"/>
    <w:rsid w:val="00E72BBC"/>
    <w:rsid w:val="00E7522D"/>
    <w:rsid w:val="00EB20D6"/>
    <w:rsid w:val="00EC2BED"/>
    <w:rsid w:val="00ED3517"/>
    <w:rsid w:val="00F1374F"/>
    <w:rsid w:val="00F21E68"/>
    <w:rsid w:val="00F56887"/>
    <w:rsid w:val="00F7798C"/>
    <w:rsid w:val="00F85EAC"/>
    <w:rsid w:val="00FB587D"/>
    <w:rsid w:val="00FF60BC"/>
    <w:rsid w:val="246D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4"/>
      <w:lang w:val="en-US" w:eastAsia="en-US" w:bidi="en-US"/>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5"/>
    <w:semiHidden/>
    <w:unhideWhenUsed/>
    <w:uiPriority w:val="99"/>
    <w:rPr>
      <w:rFonts w:asciiTheme="minorHAnsi" w:hAnsiTheme="minorHAnsi" w:eastAsiaTheme="minorEastAsia" w:cstheme="minorBidi"/>
      <w:color w:val="auto"/>
      <w:kern w:val="2"/>
      <w:szCs w:val="22"/>
      <w:lang w:eastAsia="zh-CN" w:bidi="ar-SA"/>
    </w:rPr>
  </w:style>
  <w:style w:type="paragraph" w:styleId="3">
    <w:name w:val="Date"/>
    <w:basedOn w:val="1"/>
    <w:next w:val="1"/>
    <w:link w:val="24"/>
    <w:semiHidden/>
    <w:unhideWhenUsed/>
    <w:uiPriority w:val="99"/>
    <w:pPr>
      <w:ind w:left="100" w:leftChars="2500"/>
    </w:pPr>
  </w:style>
  <w:style w:type="paragraph" w:styleId="4">
    <w:name w:val="Balloon Text"/>
    <w:basedOn w:val="1"/>
    <w:link w:val="23"/>
    <w:semiHidden/>
    <w:unhideWhenUsed/>
    <w:qFormat/>
    <w:uiPriority w:val="99"/>
    <w:rPr>
      <w:sz w:val="18"/>
      <w:szCs w:val="18"/>
    </w:rPr>
  </w:style>
  <w:style w:type="paragraph" w:styleId="5">
    <w:name w:val="footer"/>
    <w:basedOn w:val="1"/>
    <w:link w:val="22"/>
    <w:unhideWhenUsed/>
    <w:uiPriority w:val="99"/>
    <w:pPr>
      <w:tabs>
        <w:tab w:val="center" w:pos="4153"/>
        <w:tab w:val="right" w:pos="8306"/>
      </w:tabs>
      <w:snapToGrid w:val="0"/>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426"/>
        <w:tab w:val="right" w:leader="dot" w:pos="8303"/>
      </w:tabs>
      <w:spacing w:beforeLines="50"/>
    </w:pPr>
    <w:rPr>
      <w:sz w:val="24"/>
      <w:szCs w:val="21"/>
    </w:rPr>
  </w:style>
  <w:style w:type="paragraph" w:styleId="8">
    <w:name w:val="toc 2"/>
    <w:basedOn w:val="1"/>
    <w:next w:val="1"/>
    <w:autoRedefine/>
    <w:unhideWhenUsed/>
    <w:uiPriority w:val="39"/>
    <w:pPr>
      <w:tabs>
        <w:tab w:val="left" w:pos="840"/>
        <w:tab w:val="right" w:leader="dot" w:pos="8303"/>
      </w:tabs>
      <w:spacing w:beforeLines="50"/>
      <w:ind w:left="850" w:leftChars="200" w:hanging="430" w:hangingChars="205"/>
    </w:pPr>
    <w:rPr>
      <w:sz w:val="24"/>
      <w:szCs w:val="21"/>
    </w:rPr>
  </w:style>
  <w:style w:type="character" w:styleId="11">
    <w:name w:val="Hyperlink"/>
    <w:basedOn w:val="10"/>
    <w:uiPriority w:val="0"/>
    <w:rPr>
      <w:color w:val="0066CC"/>
      <w:u w:val="single"/>
    </w:rPr>
  </w:style>
  <w:style w:type="character" w:styleId="12">
    <w:name w:val="annotation reference"/>
    <w:basedOn w:val="10"/>
    <w:semiHidden/>
    <w:unhideWhenUsed/>
    <w:uiPriority w:val="99"/>
    <w:rPr>
      <w:sz w:val="21"/>
      <w:szCs w:val="21"/>
    </w:rPr>
  </w:style>
  <w:style w:type="paragraph" w:customStyle="1" w:styleId="13">
    <w:name w:val="样式b1"/>
    <w:basedOn w:val="1"/>
    <w:uiPriority w:val="0"/>
    <w:pPr>
      <w:pBdr>
        <w:bottom w:val="single" w:color="auto" w:sz="4" w:space="1"/>
      </w:pBdr>
      <w:snapToGrid w:val="0"/>
      <w:spacing w:beforeLines="50"/>
      <w:jc w:val="center"/>
    </w:pPr>
    <w:rPr>
      <w:b/>
      <w:bCs/>
      <w:sz w:val="52"/>
      <w:szCs w:val="52"/>
    </w:rPr>
  </w:style>
  <w:style w:type="paragraph" w:customStyle="1" w:styleId="14">
    <w:name w:val="样式b2"/>
    <w:basedOn w:val="1"/>
    <w:qFormat/>
    <w:uiPriority w:val="0"/>
    <w:pPr>
      <w:snapToGrid w:val="0"/>
      <w:spacing w:beforeLines="50"/>
      <w:jc w:val="center"/>
    </w:pPr>
    <w:rPr>
      <w:b/>
      <w:bCs/>
      <w:sz w:val="52"/>
      <w:szCs w:val="52"/>
    </w:rPr>
  </w:style>
  <w:style w:type="paragraph" w:customStyle="1" w:styleId="15">
    <w:name w:val="样式m1"/>
    <w:basedOn w:val="1"/>
    <w:autoRedefine/>
    <w:qFormat/>
    <w:uiPriority w:val="0"/>
    <w:pPr>
      <w:tabs>
        <w:tab w:val="left" w:pos="709"/>
      </w:tabs>
      <w:snapToGrid w:val="0"/>
      <w:spacing w:beforeLines="50" w:afterLines="50"/>
      <w:ind w:left="708" w:hanging="708" w:hangingChars="252"/>
      <w:jc w:val="both"/>
    </w:pPr>
    <w:rPr>
      <w:b/>
      <w:bCs/>
      <w:sz w:val="28"/>
      <w:szCs w:val="28"/>
    </w:rPr>
  </w:style>
  <w:style w:type="paragraph" w:customStyle="1" w:styleId="16">
    <w:name w:val="样式m2"/>
    <w:basedOn w:val="1"/>
    <w:qFormat/>
    <w:uiPriority w:val="0"/>
    <w:pPr>
      <w:tabs>
        <w:tab w:val="left" w:pos="1276"/>
      </w:tabs>
      <w:snapToGrid w:val="0"/>
      <w:spacing w:beforeLines="50" w:afterLines="50"/>
      <w:ind w:left="1275" w:leftChars="337" w:hanging="567" w:hangingChars="269"/>
      <w:jc w:val="both"/>
    </w:pPr>
    <w:rPr>
      <w:b/>
      <w:bCs/>
      <w:sz w:val="24"/>
      <w:szCs w:val="21"/>
    </w:rPr>
  </w:style>
  <w:style w:type="paragraph" w:customStyle="1" w:styleId="17">
    <w:name w:val="样式m22"/>
    <w:basedOn w:val="1"/>
    <w:uiPriority w:val="0"/>
    <w:pPr>
      <w:tabs>
        <w:tab w:val="left" w:pos="1560"/>
      </w:tabs>
      <w:snapToGrid w:val="0"/>
      <w:spacing w:beforeLines="50" w:afterLines="50"/>
      <w:jc w:val="both"/>
    </w:pPr>
    <w:rPr>
      <w:b/>
      <w:bCs/>
      <w:szCs w:val="21"/>
    </w:rPr>
  </w:style>
  <w:style w:type="paragraph" w:customStyle="1" w:styleId="18">
    <w:name w:val="样式m3"/>
    <w:basedOn w:val="1"/>
    <w:uiPriority w:val="0"/>
    <w:pPr>
      <w:snapToGrid w:val="0"/>
      <w:spacing w:beforeLines="50" w:afterLines="50"/>
      <w:jc w:val="both"/>
    </w:pPr>
    <w:rPr>
      <w:b/>
      <w:bCs/>
      <w:szCs w:val="21"/>
    </w:rPr>
  </w:style>
  <w:style w:type="paragraph" w:customStyle="1" w:styleId="19">
    <w:name w:val="样式x"/>
    <w:basedOn w:val="1"/>
    <w:uiPriority w:val="0"/>
    <w:pPr>
      <w:tabs>
        <w:tab w:val="left" w:pos="709"/>
      </w:tabs>
      <w:snapToGrid w:val="0"/>
      <w:spacing w:beforeLines="50"/>
      <w:ind w:left="707" w:leftChars="203" w:hanging="281" w:hangingChars="134"/>
      <w:jc w:val="both"/>
    </w:pPr>
    <w:rPr>
      <w:szCs w:val="21"/>
    </w:rPr>
  </w:style>
  <w:style w:type="paragraph" w:customStyle="1" w:styleId="20">
    <w:name w:val="样式x2"/>
    <w:basedOn w:val="1"/>
    <w:uiPriority w:val="0"/>
    <w:pPr>
      <w:snapToGrid w:val="0"/>
      <w:spacing w:beforeLines="50"/>
      <w:ind w:left="1558" w:leftChars="539" w:hanging="426" w:hangingChars="203"/>
      <w:jc w:val="both"/>
    </w:pPr>
    <w:rPr>
      <w:szCs w:val="21"/>
    </w:rPr>
  </w:style>
  <w:style w:type="character" w:customStyle="1" w:styleId="21">
    <w:name w:val="页眉 字符"/>
    <w:basedOn w:val="10"/>
    <w:link w:val="6"/>
    <w:uiPriority w:val="99"/>
    <w:rPr>
      <w:rFonts w:eastAsia="宋体"/>
      <w:color w:val="000000"/>
      <w:sz w:val="18"/>
      <w:szCs w:val="18"/>
    </w:rPr>
  </w:style>
  <w:style w:type="character" w:customStyle="1" w:styleId="22">
    <w:name w:val="页脚 字符"/>
    <w:basedOn w:val="10"/>
    <w:link w:val="5"/>
    <w:qFormat/>
    <w:uiPriority w:val="99"/>
    <w:rPr>
      <w:rFonts w:eastAsia="宋体"/>
      <w:color w:val="000000"/>
      <w:sz w:val="18"/>
      <w:szCs w:val="18"/>
    </w:rPr>
  </w:style>
  <w:style w:type="character" w:customStyle="1" w:styleId="23">
    <w:name w:val="批注框文本 字符"/>
    <w:basedOn w:val="10"/>
    <w:link w:val="4"/>
    <w:semiHidden/>
    <w:uiPriority w:val="99"/>
    <w:rPr>
      <w:rFonts w:eastAsia="宋体"/>
      <w:color w:val="000000"/>
      <w:sz w:val="18"/>
      <w:szCs w:val="18"/>
    </w:rPr>
  </w:style>
  <w:style w:type="character" w:customStyle="1" w:styleId="24">
    <w:name w:val="日期 字符"/>
    <w:basedOn w:val="10"/>
    <w:link w:val="3"/>
    <w:semiHidden/>
    <w:uiPriority w:val="99"/>
    <w:rPr>
      <w:rFonts w:eastAsia="宋体"/>
      <w:color w:val="000000"/>
      <w:sz w:val="21"/>
    </w:rPr>
  </w:style>
  <w:style w:type="character" w:customStyle="1" w:styleId="25">
    <w:name w:val="批注文字 字符"/>
    <w:basedOn w:val="10"/>
    <w:link w:val="2"/>
    <w:semiHidden/>
    <w:qFormat/>
    <w:uiPriority w:val="99"/>
    <w:rPr>
      <w:rFonts w:asciiTheme="minorHAnsi" w:hAnsiTheme="minorHAnsi" w:cstheme="minorBidi"/>
      <w:kern w:val="2"/>
      <w:sz w:val="21"/>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9</Pages>
  <Words>4163</Words>
  <Characters>8044</Characters>
  <Lines>130</Lines>
  <Paragraphs>36</Paragraphs>
  <TotalTime>169</TotalTime>
  <ScaleCrop>false</ScaleCrop>
  <LinksUpToDate>false</LinksUpToDate>
  <CharactersWithSpaces>8205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2021-11-13T03:42:00Z</dcterms:created>
  <dc:creator>Food and Drug Administration</dc:creator>
  <cp:lastModifiedBy>太极箫客</cp:lastModifiedBy>
  <dcterms:modified xsi:type="dcterms:W3CDTF">2025-08-14T06:56:22Z</dcterms:modified>
  <dc:subject>Draft guidance for sponsors, sponsor-investigators, researchers, industry, and FDA Staff</dc:subject>
  <dc:title>Certificates of Confidentiality Draft Guidance</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36038249CCA345ACA4650E4BC1BD743D_12</vt:lpwstr>
  </property>
</Properties>
</file>