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1C721">
      <w:pPr>
        <w:pStyle w:val="14"/>
        <w:spacing w:before="120"/>
        <w:rPr>
          <w:lang w:eastAsia="zh-CN"/>
        </w:rPr>
      </w:pPr>
      <w:bookmarkStart w:id="71" w:name="_GoBack"/>
      <w:bookmarkEnd w:id="71"/>
      <w:r>
        <w:rPr>
          <w:rFonts w:hint="eastAsia"/>
          <w:lang w:eastAsia="zh-CN"/>
        </w:rPr>
        <w:t>新型冠状病毒肺炎</w:t>
      </w:r>
      <w:r>
        <w:rPr>
          <w:lang w:eastAsia="zh-CN"/>
        </w:rPr>
        <w:t>（COVID-19）突发公共卫生事件期间口罩和呼吸器的执行政策（修订版）</w:t>
      </w:r>
    </w:p>
    <w:p w14:paraId="53912177">
      <w:pPr>
        <w:pStyle w:val="15"/>
        <w:spacing w:before="120"/>
        <w:rPr>
          <w:lang w:eastAsia="zh-CN"/>
        </w:rPr>
      </w:pPr>
      <w:r>
        <w:rPr>
          <w:lang w:eastAsia="zh-CN"/>
        </w:rPr>
        <w:t>行业和美国食品药品监督管理局工作人员指南</w:t>
      </w:r>
    </w:p>
    <w:p w14:paraId="01BDC254">
      <w:pPr>
        <w:snapToGrid w:val="0"/>
        <w:spacing w:before="120" w:beforeLines="50"/>
        <w:jc w:val="center"/>
        <w:rPr>
          <w:b/>
          <w:bCs/>
          <w:sz w:val="28"/>
          <w:szCs w:val="28"/>
          <w:lang w:eastAsia="zh-CN"/>
        </w:rPr>
      </w:pPr>
    </w:p>
    <w:p w14:paraId="67D4B9CD">
      <w:pPr>
        <w:snapToGrid w:val="0"/>
        <w:spacing w:before="120" w:beforeLines="50"/>
        <w:jc w:val="center"/>
        <w:rPr>
          <w:b/>
          <w:bCs/>
          <w:sz w:val="28"/>
          <w:szCs w:val="28"/>
          <w:lang w:eastAsia="zh-CN"/>
        </w:rPr>
      </w:pPr>
      <w:r>
        <w:rPr>
          <w:b/>
          <w:bCs/>
          <w:sz w:val="28"/>
          <w:szCs w:val="28"/>
          <w:lang w:eastAsia="zh-CN"/>
        </w:rPr>
        <w:t>2020年5月</w:t>
      </w:r>
    </w:p>
    <w:p w14:paraId="66E8CA89">
      <w:pPr>
        <w:snapToGrid w:val="0"/>
        <w:spacing w:before="120" w:beforeLines="50"/>
        <w:jc w:val="center"/>
        <w:rPr>
          <w:sz w:val="28"/>
          <w:szCs w:val="28"/>
          <w:lang w:eastAsia="zh-CN"/>
        </w:rPr>
      </w:pPr>
    </w:p>
    <w:p w14:paraId="0BAECB2E">
      <w:pPr>
        <w:snapToGrid w:val="0"/>
        <w:spacing w:before="120" w:beforeLines="50"/>
        <w:jc w:val="center"/>
        <w:rPr>
          <w:b/>
          <w:bCs/>
          <w:sz w:val="28"/>
          <w:szCs w:val="28"/>
          <w:lang w:eastAsia="zh-CN"/>
        </w:rPr>
      </w:pPr>
      <w:r>
        <w:rPr>
          <w:b/>
          <w:bCs/>
          <w:sz w:val="28"/>
          <w:szCs w:val="28"/>
          <w:lang w:eastAsia="zh-CN"/>
        </w:rPr>
        <w:t>本文件取代2020年4月发布的</w:t>
      </w:r>
      <w:r>
        <w:rPr>
          <w:rFonts w:ascii="宋体" w:hAnsi="宋体"/>
          <w:b/>
          <w:bCs/>
          <w:sz w:val="28"/>
          <w:szCs w:val="28"/>
          <w:lang w:eastAsia="zh-CN"/>
        </w:rPr>
        <w:t>“</w:t>
      </w:r>
      <w:r>
        <w:rPr>
          <w:rFonts w:hint="eastAsia"/>
          <w:b/>
          <w:bCs/>
          <w:sz w:val="28"/>
          <w:szCs w:val="28"/>
          <w:lang w:eastAsia="zh-CN"/>
        </w:rPr>
        <w:t>新型冠状病毒肺炎</w:t>
      </w:r>
      <w:r>
        <w:rPr>
          <w:b/>
          <w:bCs/>
          <w:sz w:val="28"/>
          <w:szCs w:val="28"/>
          <w:lang w:eastAsia="zh-CN"/>
        </w:rPr>
        <w:t>（COVID-19）突发公共卫生事件期间口罩和呼吸器的执行政策（修订版）</w:t>
      </w:r>
      <w:r>
        <w:rPr>
          <w:rFonts w:ascii="宋体" w:hAnsi="宋体"/>
          <w:b/>
          <w:bCs/>
          <w:sz w:val="28"/>
          <w:szCs w:val="28"/>
          <w:lang w:eastAsia="zh-CN"/>
        </w:rPr>
        <w:t>”</w:t>
      </w:r>
      <w:r>
        <w:rPr>
          <w:b/>
          <w:bCs/>
          <w:sz w:val="28"/>
          <w:szCs w:val="28"/>
          <w:lang w:eastAsia="zh-CN"/>
        </w:rPr>
        <w:t>。</w:t>
      </w:r>
    </w:p>
    <w:p w14:paraId="4BB55C48">
      <w:pPr>
        <w:snapToGrid w:val="0"/>
        <w:spacing w:before="120" w:beforeLines="50"/>
        <w:jc w:val="center"/>
        <w:rPr>
          <w:b/>
          <w:bCs/>
          <w:sz w:val="28"/>
          <w:szCs w:val="28"/>
          <w:lang w:eastAsia="zh-CN"/>
        </w:rPr>
      </w:pPr>
    </w:p>
    <w:p w14:paraId="07A21552">
      <w:pPr>
        <w:snapToGrid w:val="0"/>
        <w:spacing w:before="120" w:beforeLines="50"/>
        <w:jc w:val="center"/>
        <w:rPr>
          <w:b/>
          <w:bCs/>
          <w:sz w:val="28"/>
          <w:szCs w:val="28"/>
          <w:lang w:eastAsia="zh-CN"/>
        </w:rPr>
      </w:pPr>
    </w:p>
    <w:p w14:paraId="70189220">
      <w:pPr>
        <w:snapToGrid w:val="0"/>
        <w:spacing w:before="120" w:beforeLines="50"/>
        <w:jc w:val="center"/>
        <w:rPr>
          <w:b/>
          <w:bCs/>
          <w:sz w:val="28"/>
          <w:szCs w:val="28"/>
          <w:lang w:eastAsia="zh-CN"/>
        </w:rPr>
      </w:pPr>
    </w:p>
    <w:p w14:paraId="79AABD53">
      <w:pPr>
        <w:snapToGrid w:val="0"/>
        <w:spacing w:before="120" w:beforeLines="50"/>
        <w:jc w:val="center"/>
        <w:rPr>
          <w:sz w:val="28"/>
          <w:szCs w:val="28"/>
          <w:lang w:eastAsia="zh-CN"/>
        </w:rPr>
      </w:pPr>
    </w:p>
    <w:p w14:paraId="262E01FB">
      <w:pPr>
        <w:snapToGrid w:val="0"/>
        <w:spacing w:before="120" w:beforeLines="50"/>
        <w:jc w:val="center"/>
        <w:rPr>
          <w:lang w:eastAsia="zh-CN"/>
        </w:rPr>
      </w:pPr>
    </w:p>
    <w:p w14:paraId="4E0EB228">
      <w:pPr>
        <w:snapToGrid w:val="0"/>
        <w:spacing w:before="120" w:beforeLines="50"/>
        <w:jc w:val="center"/>
        <w:rPr>
          <w:lang w:eastAsia="zh-CN"/>
        </w:rPr>
      </w:pPr>
    </w:p>
    <w:p w14:paraId="24D5764F">
      <w:pPr>
        <w:snapToGrid w:val="0"/>
        <w:spacing w:before="120" w:beforeLines="50"/>
        <w:jc w:val="center"/>
        <w:rPr>
          <w:lang w:eastAsia="zh-CN"/>
        </w:rPr>
      </w:pPr>
    </w:p>
    <w:p w14:paraId="2C287D02">
      <w:pPr>
        <w:snapToGrid w:val="0"/>
        <w:spacing w:before="120" w:beforeLines="50"/>
        <w:jc w:val="center"/>
        <w:rPr>
          <w:sz w:val="24"/>
          <w:lang w:eastAsia="zh-CN"/>
        </w:rPr>
      </w:pPr>
      <w:r>
        <w:rPr>
          <w:b/>
          <w:bCs/>
          <w:sz w:val="24"/>
          <w:lang w:eastAsia="zh-CN"/>
        </w:rPr>
        <w:t>美国卫生</w:t>
      </w:r>
      <w:r>
        <w:rPr>
          <w:rFonts w:hint="eastAsia"/>
          <w:b/>
          <w:bCs/>
          <w:sz w:val="24"/>
          <w:lang w:eastAsia="zh-CN"/>
        </w:rPr>
        <w:t>与</w:t>
      </w:r>
      <w:r>
        <w:rPr>
          <w:b/>
          <w:bCs/>
          <w:sz w:val="24"/>
          <w:lang w:eastAsia="zh-CN"/>
        </w:rPr>
        <w:t>公众服务部</w:t>
      </w:r>
    </w:p>
    <w:p w14:paraId="28507412">
      <w:pPr>
        <w:snapToGrid w:val="0"/>
        <w:spacing w:before="120" w:beforeLines="50"/>
        <w:jc w:val="center"/>
        <w:rPr>
          <w:sz w:val="24"/>
          <w:lang w:eastAsia="zh-CN"/>
        </w:rPr>
      </w:pPr>
      <w:r>
        <w:rPr>
          <w:b/>
          <w:bCs/>
          <w:sz w:val="24"/>
          <w:lang w:eastAsia="zh-CN"/>
        </w:rPr>
        <w:t>美国食品药品监督管理局</w:t>
      </w:r>
    </w:p>
    <w:p w14:paraId="31818ED0">
      <w:pPr>
        <w:snapToGrid w:val="0"/>
        <w:spacing w:before="120" w:beforeLines="50"/>
        <w:jc w:val="center"/>
        <w:rPr>
          <w:sz w:val="24"/>
          <w:lang w:eastAsia="zh-CN"/>
        </w:rPr>
      </w:pPr>
      <w:r>
        <w:rPr>
          <w:b/>
          <w:bCs/>
          <w:sz w:val="24"/>
          <w:lang w:eastAsia="zh-CN"/>
        </w:rPr>
        <w:t>医疗器械和放射健康中心（CDRH）</w:t>
      </w:r>
    </w:p>
    <w:p w14:paraId="525084D9">
      <w:pPr>
        <w:snapToGrid w:val="0"/>
        <w:spacing w:before="120" w:beforeLines="50"/>
        <w:jc w:val="center"/>
        <w:rPr>
          <w:b/>
          <w:bCs/>
          <w:sz w:val="24"/>
          <w:lang w:eastAsia="zh-CN"/>
        </w:rPr>
      </w:pPr>
      <w:r>
        <w:rPr>
          <w:b/>
          <w:bCs/>
          <w:sz w:val="24"/>
          <w:lang w:eastAsia="zh-CN"/>
        </w:rPr>
        <w:t>产品评价与质量办公室（OPEQ）</w:t>
      </w:r>
    </w:p>
    <w:p w14:paraId="76055704">
      <w:pPr>
        <w:snapToGrid w:val="0"/>
        <w:spacing w:before="120" w:beforeLines="50"/>
        <w:jc w:val="both"/>
        <w:rPr>
          <w:lang w:eastAsia="zh-CN"/>
        </w:rPr>
      </w:pPr>
      <w:r>
        <w:rPr>
          <w:lang w:eastAsia="zh-CN"/>
        </w:rPr>
        <w:br w:type="page"/>
      </w:r>
    </w:p>
    <w:p w14:paraId="45E81AA8">
      <w:pPr>
        <w:snapToGrid w:val="0"/>
        <w:spacing w:before="120" w:beforeLines="50"/>
        <w:jc w:val="center"/>
        <w:rPr>
          <w:sz w:val="44"/>
          <w:szCs w:val="44"/>
          <w:lang w:eastAsia="zh-CN"/>
        </w:rPr>
      </w:pPr>
      <w:bookmarkStart w:id="0" w:name="bookmark0"/>
      <w:r>
        <w:rPr>
          <w:b/>
          <w:bCs/>
          <w:sz w:val="44"/>
          <w:szCs w:val="44"/>
          <w:lang w:eastAsia="zh-CN"/>
        </w:rPr>
        <w:t>前言</w:t>
      </w:r>
      <w:bookmarkEnd w:id="0"/>
    </w:p>
    <w:p w14:paraId="74536F94">
      <w:pPr>
        <w:snapToGrid w:val="0"/>
        <w:spacing w:before="120" w:beforeLines="50"/>
        <w:jc w:val="both"/>
        <w:rPr>
          <w:b/>
          <w:bCs/>
          <w:sz w:val="28"/>
          <w:szCs w:val="28"/>
          <w:lang w:eastAsia="zh-CN"/>
        </w:rPr>
      </w:pPr>
      <w:bookmarkStart w:id="1" w:name="bookmark1"/>
    </w:p>
    <w:p w14:paraId="3FEC64B8">
      <w:pPr>
        <w:snapToGrid w:val="0"/>
        <w:spacing w:before="120" w:beforeLines="50"/>
        <w:jc w:val="both"/>
        <w:rPr>
          <w:sz w:val="28"/>
          <w:szCs w:val="28"/>
          <w:lang w:eastAsia="zh-CN"/>
        </w:rPr>
      </w:pPr>
      <w:r>
        <w:rPr>
          <w:b/>
          <w:bCs/>
          <w:sz w:val="28"/>
          <w:szCs w:val="28"/>
          <w:lang w:eastAsia="zh-CN"/>
        </w:rPr>
        <w:t>公众意见</w:t>
      </w:r>
      <w:bookmarkEnd w:id="1"/>
    </w:p>
    <w:p w14:paraId="6AE0CCAB">
      <w:pPr>
        <w:snapToGrid w:val="0"/>
        <w:spacing w:before="120" w:beforeLines="50"/>
        <w:jc w:val="both"/>
        <w:rPr>
          <w:sz w:val="24"/>
          <w:lang w:eastAsia="zh-CN"/>
        </w:rPr>
      </w:pPr>
      <w:r>
        <w:rPr>
          <w:sz w:val="24"/>
          <w:lang w:eastAsia="zh-CN"/>
        </w:rPr>
        <w:t>本指南旨在解决新型冠状病毒肺炎（COVID-19）突发公共卫生事件。由于美国食品药品监督管理局（FDA）已经确定公众事先参与制定本指南不可行或不适当，因此本指南的实施事先未采纳公众意见（见《联邦食品、药品和化妆品法案》（《FD&amp;C法案》）第701(h)(1)(C)</w:t>
      </w:r>
      <w:r>
        <w:rPr>
          <w:rFonts w:hint="eastAsia"/>
          <w:sz w:val="24"/>
          <w:lang w:eastAsia="zh-CN"/>
        </w:rPr>
        <w:t>项</w:t>
      </w:r>
      <w:r>
        <w:rPr>
          <w:sz w:val="24"/>
          <w:lang w:eastAsia="zh-CN"/>
        </w:rPr>
        <w:t>（《美国法典》第21卷第371(h)(1)(C)</w:t>
      </w:r>
      <w:r>
        <w:rPr>
          <w:rFonts w:hint="eastAsia"/>
          <w:sz w:val="24"/>
          <w:lang w:eastAsia="zh-CN"/>
        </w:rPr>
        <w:t>项</w:t>
      </w:r>
      <w:r>
        <w:rPr>
          <w:sz w:val="24"/>
          <w:lang w:eastAsia="zh-CN"/>
        </w:rPr>
        <w:t>和《美国联邦法规》第21卷第10.115(g)(2)项）。本指南文件</w:t>
      </w:r>
      <w:r>
        <w:rPr>
          <w:rFonts w:hint="eastAsia"/>
          <w:sz w:val="24"/>
          <w:lang w:eastAsia="zh-CN"/>
        </w:rPr>
        <w:t>将立即</w:t>
      </w:r>
      <w:r>
        <w:rPr>
          <w:sz w:val="24"/>
          <w:lang w:eastAsia="zh-CN"/>
        </w:rPr>
        <w:t>实施，但仍根据FDA的</w:t>
      </w:r>
      <w:r>
        <w:rPr>
          <w:rFonts w:hint="eastAsia"/>
          <w:sz w:val="24"/>
          <w:lang w:eastAsia="zh-CN"/>
        </w:rPr>
        <w:t>标准</w:t>
      </w:r>
      <w:r>
        <w:rPr>
          <w:sz w:val="24"/>
          <w:lang w:eastAsia="zh-CN"/>
        </w:rPr>
        <w:t>指南规范积极接受意见。</w:t>
      </w:r>
    </w:p>
    <w:p w14:paraId="4D18B68E">
      <w:pPr>
        <w:snapToGrid w:val="0"/>
        <w:spacing w:before="120" w:beforeLines="50"/>
        <w:jc w:val="both"/>
        <w:rPr>
          <w:sz w:val="24"/>
          <w:lang w:eastAsia="zh-CN"/>
        </w:rPr>
      </w:pPr>
    </w:p>
    <w:p w14:paraId="482037EF">
      <w:pPr>
        <w:snapToGrid w:val="0"/>
        <w:spacing w:before="120" w:beforeLines="50"/>
        <w:jc w:val="both"/>
        <w:rPr>
          <w:rStyle w:val="12"/>
          <w:sz w:val="24"/>
          <w:lang w:eastAsia="zh-CN"/>
        </w:rPr>
      </w:pPr>
      <w:r>
        <w:rPr>
          <w:sz w:val="24"/>
          <w:lang w:eastAsia="zh-CN"/>
        </w:rPr>
        <w:t>可随时提交意见</w:t>
      </w:r>
      <w:r>
        <w:rPr>
          <w:rFonts w:hint="eastAsia"/>
          <w:sz w:val="24"/>
          <w:lang w:eastAsia="zh-CN"/>
        </w:rPr>
        <w:t>，</w:t>
      </w:r>
      <w:r>
        <w:rPr>
          <w:sz w:val="24"/>
          <w:lang w:eastAsia="zh-CN"/>
        </w:rPr>
        <w:t>供</w:t>
      </w:r>
      <w:r>
        <w:rPr>
          <w:rFonts w:hint="eastAsia"/>
          <w:sz w:val="24"/>
          <w:lang w:eastAsia="zh-CN"/>
        </w:rPr>
        <w:t>FDA审议</w:t>
      </w:r>
      <w:r>
        <w:rPr>
          <w:sz w:val="24"/>
          <w:lang w:eastAsia="zh-CN"/>
        </w:rPr>
        <w:t>。请将书面意见提交至</w:t>
      </w:r>
      <w:r>
        <w:rPr>
          <w:rFonts w:hint="eastAsia"/>
          <w:sz w:val="24"/>
          <w:lang w:eastAsia="zh-CN"/>
        </w:rPr>
        <w:t>美国食品药品监督管理局备案文件管理部（5630 Fishers Lane, Room 1061, (HFA-305), Rockville, MD 20852）。请</w:t>
      </w:r>
      <w:r>
        <w:rPr>
          <w:sz w:val="24"/>
          <w:lang w:eastAsia="zh-CN"/>
        </w:rPr>
        <w:t>将电子意见提交至</w:t>
      </w:r>
      <w:r>
        <w:fldChar w:fldCharType="begin"/>
      </w:r>
      <w:r>
        <w:instrText xml:space="preserve"> HYPERLINK </w:instrText>
      </w:r>
      <w:r>
        <w:fldChar w:fldCharType="separate"/>
      </w:r>
      <w:r>
        <w:rPr>
          <w:rStyle w:val="12"/>
          <w:sz w:val="24"/>
          <w:lang w:eastAsia="zh-CN"/>
        </w:rPr>
        <w:t>https://www.regulations. gov。</w:t>
      </w:r>
      <w:r>
        <w:rPr>
          <w:rStyle w:val="12"/>
          <w:sz w:val="24"/>
          <w:lang w:eastAsia="zh-CN"/>
        </w:rPr>
        <w:fldChar w:fldCharType="end"/>
      </w:r>
    </w:p>
    <w:p w14:paraId="170E9734">
      <w:pPr>
        <w:snapToGrid w:val="0"/>
        <w:spacing w:before="120" w:beforeLines="50"/>
        <w:jc w:val="both"/>
        <w:rPr>
          <w:sz w:val="24"/>
          <w:lang w:eastAsia="zh-CN"/>
        </w:rPr>
      </w:pPr>
    </w:p>
    <w:p w14:paraId="25CB7564">
      <w:pPr>
        <w:snapToGrid w:val="0"/>
        <w:spacing w:before="120" w:beforeLines="50"/>
        <w:jc w:val="both"/>
        <w:rPr>
          <w:sz w:val="24"/>
          <w:lang w:eastAsia="zh-CN"/>
        </w:rPr>
      </w:pPr>
      <w:r>
        <w:rPr>
          <w:sz w:val="24"/>
          <w:lang w:eastAsia="zh-CN"/>
        </w:rPr>
        <w:t>申请中的所有意见都应标记文档编号FDA-2020-D-1138和完整的指南标题。</w:t>
      </w:r>
    </w:p>
    <w:p w14:paraId="09634C75">
      <w:pPr>
        <w:snapToGrid w:val="0"/>
        <w:spacing w:before="120" w:beforeLines="50"/>
        <w:jc w:val="both"/>
        <w:rPr>
          <w:b/>
          <w:bCs/>
          <w:sz w:val="28"/>
          <w:szCs w:val="28"/>
          <w:lang w:eastAsia="zh-CN"/>
        </w:rPr>
      </w:pPr>
      <w:bookmarkStart w:id="2" w:name="bookmark2"/>
    </w:p>
    <w:p w14:paraId="4178D0C9">
      <w:pPr>
        <w:snapToGrid w:val="0"/>
        <w:spacing w:before="120" w:beforeLines="50"/>
        <w:jc w:val="both"/>
        <w:rPr>
          <w:sz w:val="28"/>
          <w:szCs w:val="28"/>
        </w:rPr>
      </w:pPr>
      <w:r>
        <w:rPr>
          <w:rFonts w:hint="eastAsia"/>
          <w:b/>
          <w:bCs/>
          <w:sz w:val="28"/>
          <w:szCs w:val="28"/>
          <w:lang w:eastAsia="zh-CN"/>
        </w:rPr>
        <w:t>更多</w:t>
      </w:r>
      <w:r>
        <w:rPr>
          <w:b/>
          <w:bCs/>
          <w:sz w:val="28"/>
          <w:szCs w:val="28"/>
          <w:lang w:eastAsia="zh-CN"/>
        </w:rPr>
        <w:t>副本</w:t>
      </w:r>
      <w:bookmarkEnd w:id="2"/>
    </w:p>
    <w:p w14:paraId="52EE9645">
      <w:pPr>
        <w:snapToGrid w:val="0"/>
        <w:spacing w:before="120" w:beforeLines="50"/>
        <w:rPr>
          <w:sz w:val="24"/>
          <w:lang w:eastAsia="zh-CN"/>
        </w:rPr>
      </w:pPr>
      <w:r>
        <w:rPr>
          <w:rFonts w:hint="eastAsia"/>
          <w:sz w:val="24"/>
          <w:lang w:eastAsia="zh-CN"/>
        </w:rPr>
        <w:t>更多</w:t>
      </w:r>
      <w:r>
        <w:rPr>
          <w:sz w:val="24"/>
          <w:lang w:eastAsia="zh-CN"/>
        </w:rPr>
        <w:t>副本可从FDA网页</w:t>
      </w:r>
      <w:r>
        <w:rPr>
          <w:rFonts w:ascii="宋体" w:hAnsi="宋体"/>
          <w:sz w:val="24"/>
          <w:lang w:eastAsia="zh-CN"/>
        </w:rPr>
        <w:t>“</w:t>
      </w:r>
      <w:r>
        <w:rPr>
          <w:sz w:val="24"/>
          <w:lang w:eastAsia="zh-CN"/>
        </w:rPr>
        <w:t>新型冠状病毒肺炎</w:t>
      </w:r>
      <w:r>
        <w:rPr>
          <w:rFonts w:hint="eastAsia"/>
          <w:sz w:val="24"/>
          <w:lang w:eastAsia="zh-CN"/>
        </w:rPr>
        <w:t>（</w:t>
      </w:r>
      <w:r>
        <w:rPr>
          <w:sz w:val="24"/>
          <w:lang w:eastAsia="zh-CN"/>
        </w:rPr>
        <w:t>COVID-19</w:t>
      </w:r>
      <w:r>
        <w:rPr>
          <w:rFonts w:hint="eastAsia"/>
          <w:sz w:val="24"/>
          <w:lang w:eastAsia="zh-CN"/>
        </w:rPr>
        <w:t>）</w:t>
      </w:r>
      <w:r>
        <w:rPr>
          <w:rFonts w:ascii="宋体" w:hAnsi="宋体"/>
          <w:sz w:val="24"/>
          <w:lang w:eastAsia="zh-CN"/>
        </w:rPr>
        <w:t>”</w:t>
      </w:r>
      <w:r>
        <w:rPr>
          <w:sz w:val="24"/>
          <w:lang w:eastAsia="zh-CN"/>
        </w:rPr>
        <w:t>获得，请访问</w:t>
      </w:r>
      <w:r>
        <w:fldChar w:fldCharType="begin"/>
      </w:r>
      <w:r>
        <w:instrText xml:space="preserve"> HYPERLINK "https://www.fda.gov/emergency-preparedness-and-response/mcm-issues/covid-19-related-guidance-documents-industry-fda-staff-and-other-stakeholders" </w:instrText>
      </w:r>
      <w:r>
        <w:fldChar w:fldCharType="separate"/>
      </w:r>
      <w:r>
        <w:rPr>
          <w:rStyle w:val="12"/>
          <w:color w:val="0000FF"/>
          <w:sz w:val="24"/>
          <w:lang w:eastAsia="zh-CN"/>
        </w:rPr>
        <w:t>https://www.fda.gov/emergency-preparedness-and-response/mcm-</w:t>
      </w:r>
      <w:r>
        <w:rPr>
          <w:rStyle w:val="12"/>
          <w:color w:val="0000FF"/>
          <w:sz w:val="24"/>
          <w:lang w:eastAsia="zh-CN"/>
        </w:rPr>
        <w:fldChar w:fldCharType="end"/>
      </w:r>
      <w:r>
        <w:rPr>
          <w:color w:val="0000FF"/>
          <w:sz w:val="24"/>
          <w:u w:val="single"/>
          <w:lang w:eastAsia="zh-CN"/>
        </w:rPr>
        <w:t xml:space="preserve"> </w:t>
      </w:r>
      <w:r>
        <w:fldChar w:fldCharType="begin"/>
      </w:r>
      <w:r>
        <w:instrText xml:space="preserve"> HYPERLINK "https://www.fda.gov/emergency-preparedness-and-response/mcm-issues/covid-19-related-guidance-documents-industry-fda-staff-and-other-stakeholders" </w:instrText>
      </w:r>
      <w:r>
        <w:fldChar w:fldCharType="separate"/>
      </w:r>
      <w:r>
        <w:rPr>
          <w:rStyle w:val="12"/>
          <w:color w:val="0000FF"/>
          <w:sz w:val="24"/>
          <w:lang w:eastAsia="zh-CN"/>
        </w:rPr>
        <w:t>issues/covid-19-related-guidance-documents-industry-fda-staff-and-other-stakeholders，</w:t>
      </w:r>
      <w:r>
        <w:rPr>
          <w:rStyle w:val="12"/>
          <w:color w:val="0000FF"/>
          <w:sz w:val="24"/>
          <w:lang w:eastAsia="zh-CN"/>
        </w:rPr>
        <w:fldChar w:fldCharType="end"/>
      </w:r>
      <w:r>
        <w:rPr>
          <w:sz w:val="24"/>
          <w:lang w:eastAsia="zh-CN"/>
        </w:rPr>
        <w:t>和FDA网页</w:t>
      </w:r>
      <w:r>
        <w:rPr>
          <w:rFonts w:ascii="宋体" w:hAnsi="宋体"/>
          <w:sz w:val="24"/>
          <w:lang w:eastAsia="zh-CN"/>
        </w:rPr>
        <w:t>“</w:t>
      </w:r>
      <w:r>
        <w:rPr>
          <w:sz w:val="24"/>
          <w:lang w:eastAsia="zh-CN"/>
        </w:rPr>
        <w:t>FDA</w:t>
      </w:r>
      <w:r>
        <w:rPr>
          <w:rFonts w:hint="eastAsia"/>
          <w:sz w:val="24"/>
          <w:lang w:eastAsia="zh-CN"/>
        </w:rPr>
        <w:t>指南文件搜索</w:t>
      </w:r>
      <w:r>
        <w:rPr>
          <w:rFonts w:ascii="宋体" w:hAnsi="宋体"/>
          <w:sz w:val="24"/>
          <w:lang w:eastAsia="zh-CN"/>
        </w:rPr>
        <w:t>”</w:t>
      </w:r>
      <w:r>
        <w:rPr>
          <w:i/>
          <w:iCs/>
          <w:sz w:val="24"/>
          <w:lang w:eastAsia="zh-CN"/>
        </w:rPr>
        <w:t>，</w:t>
      </w:r>
      <w:r>
        <w:rPr>
          <w:sz w:val="24"/>
          <w:lang w:eastAsia="zh-CN"/>
        </w:rPr>
        <w:t>请访问</w:t>
      </w:r>
      <w:r>
        <w:fldChar w:fldCharType="begin"/>
      </w:r>
      <w:r>
        <w:instrText xml:space="preserve"> HYPERLINK "https://www.fda.gov/regulatory-information/search-fda-guidance-documents" </w:instrText>
      </w:r>
      <w:r>
        <w:fldChar w:fldCharType="separate"/>
      </w:r>
      <w:r>
        <w:rPr>
          <w:rStyle w:val="12"/>
          <w:color w:val="0000FF"/>
          <w:sz w:val="24"/>
          <w:lang w:eastAsia="zh-CN"/>
        </w:rPr>
        <w:t>https://www.fda.gov/regulatory-information/search-fda-guidance-documents。</w:t>
      </w:r>
      <w:r>
        <w:rPr>
          <w:rStyle w:val="12"/>
          <w:color w:val="0000FF"/>
          <w:sz w:val="24"/>
          <w:lang w:eastAsia="zh-CN"/>
        </w:rPr>
        <w:fldChar w:fldCharType="end"/>
      </w:r>
      <w:r>
        <w:rPr>
          <w:sz w:val="24"/>
          <w:lang w:eastAsia="zh-CN"/>
        </w:rPr>
        <w:t>也可以发送电子邮件请求至</w:t>
      </w:r>
      <w:r>
        <w:fldChar w:fldCharType="begin"/>
      </w:r>
      <w:r>
        <w:instrText xml:space="preserve"> HYPERLINK "mailto:CDRH-Guidance@fda.hhs.gov" </w:instrText>
      </w:r>
      <w:r>
        <w:fldChar w:fldCharType="separate"/>
      </w:r>
      <w:r>
        <w:rPr>
          <w:rStyle w:val="12"/>
          <w:sz w:val="24"/>
          <w:lang w:eastAsia="zh-CN"/>
        </w:rPr>
        <w:t>CDRH-Guidance@fda.hhs.gov</w:t>
      </w:r>
      <w:r>
        <w:rPr>
          <w:rStyle w:val="12"/>
          <w:sz w:val="24"/>
          <w:lang w:eastAsia="zh-CN"/>
        </w:rPr>
        <w:fldChar w:fldCharType="end"/>
      </w:r>
      <w:r>
        <w:rPr>
          <w:sz w:val="24"/>
          <w:lang w:eastAsia="zh-CN"/>
        </w:rPr>
        <w:t>以获得指南的更多副本。请在申请中提供文件编号20018和完整的指南标题。</w:t>
      </w:r>
    </w:p>
    <w:p w14:paraId="2607BA72">
      <w:pPr>
        <w:snapToGrid w:val="0"/>
        <w:spacing w:before="120" w:beforeLines="50"/>
        <w:jc w:val="both"/>
        <w:rPr>
          <w:sz w:val="24"/>
          <w:lang w:eastAsia="zh-CN"/>
        </w:rPr>
      </w:pPr>
    </w:p>
    <w:p w14:paraId="1188780A">
      <w:pPr>
        <w:snapToGrid w:val="0"/>
        <w:spacing w:before="120" w:beforeLines="50"/>
        <w:jc w:val="both"/>
        <w:rPr>
          <w:sz w:val="28"/>
          <w:szCs w:val="28"/>
          <w:lang w:eastAsia="zh-CN"/>
        </w:rPr>
      </w:pPr>
      <w:bookmarkStart w:id="3" w:name="bookmark3"/>
      <w:r>
        <w:rPr>
          <w:b/>
          <w:bCs/>
          <w:sz w:val="28"/>
          <w:szCs w:val="28"/>
          <w:lang w:eastAsia="zh-CN"/>
        </w:rPr>
        <w:t>问题</w:t>
      </w:r>
      <w:bookmarkEnd w:id="3"/>
    </w:p>
    <w:p w14:paraId="3B71DC31">
      <w:pPr>
        <w:snapToGrid w:val="0"/>
        <w:spacing w:before="120" w:beforeLines="50"/>
        <w:jc w:val="both"/>
        <w:rPr>
          <w:color w:val="0000FF"/>
          <w:sz w:val="24"/>
          <w:lang w:eastAsia="zh-CN"/>
        </w:rPr>
      </w:pPr>
      <w:r>
        <w:rPr>
          <w:rFonts w:hint="eastAsia"/>
          <w:sz w:val="24"/>
          <w:lang w:eastAsia="zh-CN"/>
        </w:rPr>
        <w:t>如对</w:t>
      </w:r>
      <w:r>
        <w:rPr>
          <w:sz w:val="24"/>
          <w:lang w:eastAsia="zh-CN"/>
        </w:rPr>
        <w:t>本文件</w:t>
      </w:r>
      <w:r>
        <w:rPr>
          <w:rFonts w:hint="eastAsia"/>
          <w:sz w:val="24"/>
          <w:lang w:eastAsia="zh-CN"/>
        </w:rPr>
        <w:t>有任何疑问</w:t>
      </w:r>
      <w:r>
        <w:rPr>
          <w:sz w:val="24"/>
          <w:lang w:eastAsia="zh-CN"/>
        </w:rPr>
        <w:t>，请联系1-888-INFO-FDA或</w:t>
      </w:r>
      <w:r>
        <w:fldChar w:fldCharType="begin"/>
      </w:r>
      <w:r>
        <w:instrText xml:space="preserve"> HYPERLINK "file:///C:\\Users\\Z0037WVS\\AppData\\Local\\Microsoft\\Windows\\INetCache\\Content.Outlook\\OA2EEBK3\\邮箱：CDRH-COVID19-SurgicalMasks@fda.hhs.gov" </w:instrText>
      </w:r>
      <w:r>
        <w:fldChar w:fldCharType="separate"/>
      </w:r>
      <w:r>
        <w:rPr>
          <w:rStyle w:val="12"/>
          <w:color w:val="0000FF"/>
          <w:sz w:val="24"/>
          <w:lang w:eastAsia="zh-CN"/>
        </w:rPr>
        <w:t>CDRH-COVID19-</w:t>
      </w:r>
      <w:r>
        <w:rPr>
          <w:rStyle w:val="12"/>
          <w:color w:val="0000FF"/>
          <w:sz w:val="24"/>
          <w:lang w:eastAsia="zh-CN"/>
        </w:rPr>
        <w:fldChar w:fldCharType="end"/>
      </w:r>
      <w:r>
        <w:fldChar w:fldCharType="begin"/>
      </w:r>
      <w:r>
        <w:instrText xml:space="preserve"> HYPERLINK "file:///C:\\Users\\Z0037WVS\\AppData\\Local\\Microsoft\\Windows\\INetCache\\Content.Outlook\\OA2EEBK3\\邮箱：SurgicalMasks@fda.hhs.gov" </w:instrText>
      </w:r>
      <w:r>
        <w:fldChar w:fldCharType="separate"/>
      </w:r>
      <w:r>
        <w:rPr>
          <w:rStyle w:val="12"/>
          <w:color w:val="0000FF"/>
          <w:sz w:val="24"/>
          <w:lang w:eastAsia="zh-CN"/>
        </w:rPr>
        <w:t xml:space="preserve"> SurgicalMasks@fda.hhs.gov</w:t>
      </w:r>
      <w:r>
        <w:rPr>
          <w:rStyle w:val="12"/>
          <w:color w:val="0000FF"/>
          <w:sz w:val="24"/>
          <w:lang w:eastAsia="zh-CN"/>
        </w:rPr>
        <w:fldChar w:fldCharType="end"/>
      </w:r>
    </w:p>
    <w:p w14:paraId="1A19255C">
      <w:pPr>
        <w:snapToGrid w:val="0"/>
        <w:spacing w:before="120" w:beforeLines="50"/>
        <w:jc w:val="both"/>
        <w:rPr>
          <w:lang w:eastAsia="zh-CN"/>
        </w:rPr>
      </w:pPr>
    </w:p>
    <w:p w14:paraId="51BB00EE">
      <w:pPr>
        <w:snapToGrid w:val="0"/>
        <w:spacing w:before="120" w:beforeLines="50"/>
        <w:jc w:val="both"/>
        <w:rPr>
          <w:lang w:eastAsia="zh-CN"/>
        </w:rPr>
      </w:pPr>
      <w:r>
        <w:rPr>
          <w:lang w:eastAsia="zh-CN"/>
        </w:rPr>
        <w:br w:type="page"/>
      </w:r>
    </w:p>
    <w:p w14:paraId="0E1F8162">
      <w:pPr>
        <w:snapToGrid w:val="0"/>
        <w:spacing w:before="120" w:beforeLines="50"/>
        <w:jc w:val="center"/>
        <w:rPr>
          <w:b/>
          <w:bCs/>
          <w:sz w:val="28"/>
          <w:szCs w:val="28"/>
          <w:lang w:eastAsia="zh-CN"/>
        </w:rPr>
      </w:pPr>
      <w:bookmarkStart w:id="4" w:name="bookmark4"/>
      <w:r>
        <w:rPr>
          <w:b/>
          <w:bCs/>
          <w:sz w:val="28"/>
          <w:szCs w:val="28"/>
          <w:lang w:eastAsia="zh-CN"/>
        </w:rPr>
        <w:t>目录</w:t>
      </w:r>
      <w:bookmarkEnd w:id="4"/>
    </w:p>
    <w:p w14:paraId="69B334B0">
      <w:pPr>
        <w:snapToGrid w:val="0"/>
        <w:spacing w:before="120" w:beforeLines="50"/>
        <w:jc w:val="center"/>
        <w:rPr>
          <w:sz w:val="28"/>
          <w:szCs w:val="28"/>
          <w:lang w:eastAsia="zh-CN"/>
        </w:rPr>
      </w:pPr>
    </w:p>
    <w:p w14:paraId="1AF92499">
      <w:pPr>
        <w:pStyle w:val="7"/>
        <w:spacing w:before="120"/>
        <w:rPr>
          <w:rFonts w:asciiTheme="minorHAnsi" w:hAnsiTheme="minorHAnsi" w:eastAsiaTheme="minorEastAsia" w:cstheme="minorBidi"/>
          <w:color w:val="auto"/>
          <w:kern w:val="2"/>
          <w:sz w:val="21"/>
          <w:szCs w:val="22"/>
          <w:lang w:eastAsia="zh-CN" w:bidi="ar-SA"/>
        </w:rPr>
      </w:pPr>
      <w:r>
        <w:rPr>
          <w:b/>
          <w:bCs/>
          <w:lang w:eastAsia="zh-CN"/>
        </w:rPr>
        <w:fldChar w:fldCharType="begin"/>
      </w:r>
      <w:r>
        <w:rPr>
          <w:b/>
          <w:bCs/>
          <w:lang w:eastAsia="zh-CN"/>
        </w:rPr>
        <w:instrText xml:space="preserve"> TOC \o "1-2" \t "样式m1,1,样式m2,2" </w:instrText>
      </w:r>
      <w:r>
        <w:rPr>
          <w:b/>
          <w:bCs/>
        </w:rPr>
        <w:fldChar w:fldCharType="separate"/>
      </w:r>
      <w:r>
        <w:rPr>
          <w:lang w:eastAsia="zh-CN"/>
        </w:rPr>
        <w:t>I.</w:t>
      </w:r>
      <w:r>
        <w:rPr>
          <w:rFonts w:asciiTheme="minorHAnsi" w:hAnsiTheme="minorHAnsi" w:eastAsiaTheme="minorEastAsia" w:cstheme="minorBidi"/>
          <w:color w:val="auto"/>
          <w:kern w:val="2"/>
          <w:sz w:val="21"/>
          <w:szCs w:val="22"/>
          <w:lang w:eastAsia="zh-CN" w:bidi="ar-SA"/>
        </w:rPr>
        <w:tab/>
      </w:r>
      <w:r>
        <w:rPr>
          <w:lang w:eastAsia="zh-CN"/>
        </w:rPr>
        <w:t>引言</w:t>
      </w:r>
      <w:r>
        <w:rPr>
          <w:lang w:eastAsia="zh-CN"/>
        </w:rPr>
        <w:tab/>
      </w:r>
      <w:r>
        <w:fldChar w:fldCharType="begin"/>
      </w:r>
      <w:r>
        <w:rPr>
          <w:lang w:eastAsia="zh-CN"/>
        </w:rPr>
        <w:instrText xml:space="preserve"> PAGEREF _Toc97318315 \h </w:instrText>
      </w:r>
      <w:r>
        <w:fldChar w:fldCharType="separate"/>
      </w:r>
      <w:r>
        <w:rPr>
          <w:lang w:eastAsia="zh-CN"/>
        </w:rPr>
        <w:t>1</w:t>
      </w:r>
      <w:r>
        <w:fldChar w:fldCharType="end"/>
      </w:r>
    </w:p>
    <w:p w14:paraId="62FDC132">
      <w:pPr>
        <w:pStyle w:val="7"/>
        <w:spacing w:before="120"/>
        <w:rPr>
          <w:rFonts w:asciiTheme="minorHAnsi" w:hAnsiTheme="minorHAnsi" w:eastAsiaTheme="minorEastAsia" w:cstheme="minorBidi"/>
          <w:color w:val="auto"/>
          <w:kern w:val="2"/>
          <w:sz w:val="21"/>
          <w:szCs w:val="22"/>
          <w:lang w:eastAsia="zh-CN" w:bidi="ar-SA"/>
        </w:rPr>
      </w:pPr>
      <w:r>
        <w:rPr>
          <w:lang w:eastAsia="zh-CN"/>
        </w:rPr>
        <w:t>II.</w:t>
      </w:r>
      <w:r>
        <w:rPr>
          <w:rFonts w:asciiTheme="minorHAnsi" w:hAnsiTheme="minorHAnsi" w:eastAsiaTheme="minorEastAsia" w:cstheme="minorBidi"/>
          <w:color w:val="auto"/>
          <w:kern w:val="2"/>
          <w:sz w:val="21"/>
          <w:szCs w:val="22"/>
          <w:lang w:eastAsia="zh-CN" w:bidi="ar-SA"/>
        </w:rPr>
        <w:tab/>
      </w:r>
      <w:r>
        <w:rPr>
          <w:lang w:eastAsia="zh-CN"/>
        </w:rPr>
        <w:t>背景</w:t>
      </w:r>
      <w:r>
        <w:rPr>
          <w:lang w:eastAsia="zh-CN"/>
        </w:rPr>
        <w:tab/>
      </w:r>
      <w:r>
        <w:fldChar w:fldCharType="begin"/>
      </w:r>
      <w:r>
        <w:rPr>
          <w:lang w:eastAsia="zh-CN"/>
        </w:rPr>
        <w:instrText xml:space="preserve"> PAGEREF _Toc97318316 \h </w:instrText>
      </w:r>
      <w:r>
        <w:fldChar w:fldCharType="separate"/>
      </w:r>
      <w:r>
        <w:rPr>
          <w:lang w:eastAsia="zh-CN"/>
        </w:rPr>
        <w:t>2</w:t>
      </w:r>
      <w:r>
        <w:fldChar w:fldCharType="end"/>
      </w:r>
    </w:p>
    <w:p w14:paraId="3BE97D2C">
      <w:pPr>
        <w:pStyle w:val="7"/>
        <w:spacing w:before="120"/>
        <w:rPr>
          <w:rFonts w:asciiTheme="minorHAnsi" w:hAnsiTheme="minorHAnsi" w:eastAsiaTheme="minorEastAsia" w:cstheme="minorBidi"/>
          <w:color w:val="auto"/>
          <w:kern w:val="2"/>
          <w:sz w:val="21"/>
          <w:szCs w:val="22"/>
          <w:lang w:eastAsia="zh-CN" w:bidi="ar-SA"/>
        </w:rPr>
      </w:pPr>
      <w:r>
        <w:rPr>
          <w:lang w:eastAsia="zh-CN"/>
        </w:rPr>
        <w:t xml:space="preserve">III. </w:t>
      </w:r>
      <w:r>
        <w:rPr>
          <w:rFonts w:asciiTheme="minorHAnsi" w:hAnsiTheme="minorHAnsi" w:eastAsiaTheme="minorEastAsia" w:cstheme="minorBidi"/>
          <w:color w:val="auto"/>
          <w:kern w:val="2"/>
          <w:sz w:val="21"/>
          <w:szCs w:val="22"/>
          <w:lang w:eastAsia="zh-CN" w:bidi="ar-SA"/>
        </w:rPr>
        <w:tab/>
      </w:r>
      <w:r>
        <w:rPr>
          <w:lang w:eastAsia="zh-CN"/>
        </w:rPr>
        <w:t>范围</w:t>
      </w:r>
      <w:r>
        <w:rPr>
          <w:lang w:eastAsia="zh-CN"/>
        </w:rPr>
        <w:tab/>
      </w:r>
      <w:r>
        <w:fldChar w:fldCharType="begin"/>
      </w:r>
      <w:r>
        <w:rPr>
          <w:lang w:eastAsia="zh-CN"/>
        </w:rPr>
        <w:instrText xml:space="preserve"> PAGEREF _Toc97318317 \h </w:instrText>
      </w:r>
      <w:r>
        <w:fldChar w:fldCharType="separate"/>
      </w:r>
      <w:r>
        <w:rPr>
          <w:lang w:eastAsia="zh-CN"/>
        </w:rPr>
        <w:t>3</w:t>
      </w:r>
      <w:r>
        <w:fldChar w:fldCharType="end"/>
      </w:r>
    </w:p>
    <w:p w14:paraId="0773CAF1">
      <w:pPr>
        <w:pStyle w:val="7"/>
        <w:tabs>
          <w:tab w:val="left" w:pos="850"/>
        </w:tabs>
        <w:spacing w:before="120"/>
        <w:rPr>
          <w:rFonts w:asciiTheme="minorHAnsi" w:hAnsiTheme="minorHAnsi" w:eastAsiaTheme="minorEastAsia" w:cstheme="minorBidi"/>
          <w:color w:val="auto"/>
          <w:kern w:val="2"/>
          <w:sz w:val="21"/>
          <w:szCs w:val="22"/>
          <w:lang w:eastAsia="zh-CN" w:bidi="ar-SA"/>
        </w:rPr>
      </w:pPr>
      <w:r>
        <w:rPr>
          <w:lang w:eastAsia="zh-CN"/>
        </w:rPr>
        <w:t xml:space="preserve">IV. </w:t>
      </w:r>
      <w:r>
        <w:rPr>
          <w:rFonts w:asciiTheme="minorHAnsi" w:hAnsiTheme="minorHAnsi" w:eastAsiaTheme="minorEastAsia" w:cstheme="minorBidi"/>
          <w:color w:val="auto"/>
          <w:kern w:val="2"/>
          <w:sz w:val="21"/>
          <w:szCs w:val="22"/>
          <w:lang w:eastAsia="zh-CN" w:bidi="ar-SA"/>
        </w:rPr>
        <w:tab/>
      </w:r>
      <w:r>
        <w:rPr>
          <w:lang w:eastAsia="zh-CN"/>
        </w:rPr>
        <w:t>定义</w:t>
      </w:r>
      <w:r>
        <w:rPr>
          <w:lang w:eastAsia="zh-CN"/>
        </w:rPr>
        <w:tab/>
      </w:r>
      <w:r>
        <w:fldChar w:fldCharType="begin"/>
      </w:r>
      <w:r>
        <w:rPr>
          <w:lang w:eastAsia="zh-CN"/>
        </w:rPr>
        <w:instrText xml:space="preserve"> PAGEREF _Toc97318318 \h </w:instrText>
      </w:r>
      <w:r>
        <w:fldChar w:fldCharType="separate"/>
      </w:r>
      <w:r>
        <w:rPr>
          <w:lang w:eastAsia="zh-CN"/>
        </w:rPr>
        <w:t>4</w:t>
      </w:r>
      <w:r>
        <w:fldChar w:fldCharType="end"/>
      </w:r>
    </w:p>
    <w:p w14:paraId="003D3DBF">
      <w:pPr>
        <w:pStyle w:val="7"/>
        <w:spacing w:before="120"/>
        <w:rPr>
          <w:rFonts w:asciiTheme="minorHAnsi" w:hAnsiTheme="minorHAnsi" w:eastAsiaTheme="minorEastAsia" w:cstheme="minorBidi"/>
          <w:color w:val="auto"/>
          <w:kern w:val="2"/>
          <w:sz w:val="21"/>
          <w:szCs w:val="22"/>
          <w:lang w:eastAsia="zh-CN" w:bidi="ar-SA"/>
        </w:rPr>
      </w:pPr>
      <w:r>
        <w:rPr>
          <w:lang w:eastAsia="zh-CN"/>
        </w:rPr>
        <w:t>V.</w:t>
      </w:r>
      <w:r>
        <w:rPr>
          <w:rFonts w:asciiTheme="minorHAnsi" w:hAnsiTheme="minorHAnsi" w:eastAsiaTheme="minorEastAsia" w:cstheme="minorBidi"/>
          <w:color w:val="auto"/>
          <w:kern w:val="2"/>
          <w:sz w:val="21"/>
          <w:szCs w:val="22"/>
          <w:lang w:eastAsia="zh-CN" w:bidi="ar-SA"/>
        </w:rPr>
        <w:tab/>
      </w:r>
      <w:r>
        <w:rPr>
          <w:lang w:eastAsia="zh-CN"/>
        </w:rPr>
        <w:t>政策</w:t>
      </w:r>
      <w:r>
        <w:rPr>
          <w:lang w:eastAsia="zh-CN"/>
        </w:rPr>
        <w:tab/>
      </w:r>
      <w:r>
        <w:fldChar w:fldCharType="begin"/>
      </w:r>
      <w:r>
        <w:rPr>
          <w:lang w:eastAsia="zh-CN"/>
        </w:rPr>
        <w:instrText xml:space="preserve"> PAGEREF _Toc97318319 \h </w:instrText>
      </w:r>
      <w:r>
        <w:fldChar w:fldCharType="separate"/>
      </w:r>
      <w:r>
        <w:rPr>
          <w:lang w:eastAsia="zh-CN"/>
        </w:rPr>
        <w:t>5</w:t>
      </w:r>
      <w:r>
        <w:fldChar w:fldCharType="end"/>
      </w:r>
    </w:p>
    <w:p w14:paraId="487672B9">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A</w:t>
      </w:r>
      <w:r>
        <w:rPr>
          <w:rFonts w:asciiTheme="minorHAnsi" w:hAnsiTheme="minorHAnsi" w:eastAsiaTheme="minorEastAsia" w:cstheme="minorBidi"/>
          <w:color w:val="auto"/>
          <w:kern w:val="2"/>
          <w:sz w:val="21"/>
          <w:szCs w:val="22"/>
          <w:lang w:eastAsia="zh-CN" w:bidi="ar-SA"/>
        </w:rPr>
        <w:tab/>
      </w:r>
      <w:r>
        <w:rPr>
          <w:lang w:eastAsia="zh-CN"/>
        </w:rPr>
        <w:t>概述</w:t>
      </w:r>
      <w:r>
        <w:rPr>
          <w:lang w:eastAsia="zh-CN"/>
        </w:rPr>
        <w:tab/>
      </w:r>
      <w:r>
        <w:fldChar w:fldCharType="begin"/>
      </w:r>
      <w:r>
        <w:rPr>
          <w:lang w:eastAsia="zh-CN"/>
        </w:rPr>
        <w:instrText xml:space="preserve"> PAGEREF _Toc97318320 \h </w:instrText>
      </w:r>
      <w:r>
        <w:fldChar w:fldCharType="separate"/>
      </w:r>
      <w:r>
        <w:rPr>
          <w:lang w:eastAsia="zh-CN"/>
        </w:rPr>
        <w:t>5</w:t>
      </w:r>
      <w:r>
        <w:fldChar w:fldCharType="end"/>
      </w:r>
    </w:p>
    <w:p w14:paraId="031BEEBE">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B.</w:t>
      </w:r>
      <w:r>
        <w:rPr>
          <w:rFonts w:asciiTheme="minorHAnsi" w:hAnsiTheme="minorHAnsi" w:eastAsiaTheme="minorEastAsia" w:cstheme="minorBidi"/>
          <w:color w:val="auto"/>
          <w:kern w:val="2"/>
          <w:sz w:val="21"/>
          <w:szCs w:val="22"/>
          <w:lang w:eastAsia="zh-CN" w:bidi="ar-SA"/>
        </w:rPr>
        <w:tab/>
      </w:r>
      <w:r>
        <w:rPr>
          <w:lang w:eastAsia="zh-CN"/>
        </w:rPr>
        <w:t>非医疗用途的口罩、防护面罩和N95呼吸器</w:t>
      </w:r>
      <w:r>
        <w:rPr>
          <w:lang w:eastAsia="zh-CN"/>
        </w:rPr>
        <w:tab/>
      </w:r>
      <w:r>
        <w:fldChar w:fldCharType="begin"/>
      </w:r>
      <w:r>
        <w:rPr>
          <w:lang w:eastAsia="zh-CN"/>
        </w:rPr>
        <w:instrText xml:space="preserve"> PAGEREF _Toc97318321 \h </w:instrText>
      </w:r>
      <w:r>
        <w:fldChar w:fldCharType="separate"/>
      </w:r>
      <w:r>
        <w:rPr>
          <w:lang w:eastAsia="zh-CN"/>
        </w:rPr>
        <w:t>5</w:t>
      </w:r>
      <w:r>
        <w:fldChar w:fldCharType="end"/>
      </w:r>
    </w:p>
    <w:p w14:paraId="61A28E1E">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C</w:t>
      </w:r>
      <w:r>
        <w:rPr>
          <w:rFonts w:asciiTheme="minorHAnsi" w:hAnsiTheme="minorHAnsi" w:eastAsiaTheme="minorEastAsia" w:cstheme="minorBidi"/>
          <w:color w:val="auto"/>
          <w:kern w:val="2"/>
          <w:sz w:val="21"/>
          <w:szCs w:val="22"/>
          <w:lang w:eastAsia="zh-CN" w:bidi="ar-SA"/>
        </w:rPr>
        <w:tab/>
      </w:r>
      <w:r>
        <w:rPr>
          <w:lang w:eastAsia="zh-CN"/>
        </w:rPr>
        <w:t>用于医疗目的但不提供液体屏障保护的口罩</w:t>
      </w:r>
      <w:r>
        <w:rPr>
          <w:lang w:eastAsia="zh-CN"/>
        </w:rPr>
        <w:tab/>
      </w:r>
      <w:r>
        <w:fldChar w:fldCharType="begin"/>
      </w:r>
      <w:r>
        <w:rPr>
          <w:lang w:eastAsia="zh-CN"/>
        </w:rPr>
        <w:instrText xml:space="preserve"> PAGEREF _Toc97318322 \h </w:instrText>
      </w:r>
      <w:r>
        <w:fldChar w:fldCharType="separate"/>
      </w:r>
      <w:r>
        <w:rPr>
          <w:lang w:eastAsia="zh-CN"/>
        </w:rPr>
        <w:t>6</w:t>
      </w:r>
      <w:r>
        <w:fldChar w:fldCharType="end"/>
      </w:r>
    </w:p>
    <w:p w14:paraId="3432FD5A">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D.</w:t>
      </w:r>
      <w:r>
        <w:rPr>
          <w:rFonts w:asciiTheme="minorHAnsi" w:hAnsiTheme="minorHAnsi" w:eastAsiaTheme="minorEastAsia" w:cstheme="minorBidi"/>
          <w:color w:val="auto"/>
          <w:kern w:val="2"/>
          <w:sz w:val="21"/>
          <w:szCs w:val="22"/>
          <w:lang w:eastAsia="zh-CN" w:bidi="ar-SA"/>
        </w:rPr>
        <w:tab/>
      </w:r>
      <w:r>
        <w:rPr>
          <w:lang w:eastAsia="zh-CN"/>
        </w:rPr>
        <w:t>用于医疗目的的防护面罩</w:t>
      </w:r>
      <w:r>
        <w:rPr>
          <w:lang w:eastAsia="zh-CN"/>
        </w:rPr>
        <w:tab/>
      </w:r>
      <w:r>
        <w:fldChar w:fldCharType="begin"/>
      </w:r>
      <w:r>
        <w:rPr>
          <w:lang w:eastAsia="zh-CN"/>
        </w:rPr>
        <w:instrText xml:space="preserve"> PAGEREF _Toc97318323 \h </w:instrText>
      </w:r>
      <w:r>
        <w:fldChar w:fldCharType="separate"/>
      </w:r>
      <w:r>
        <w:rPr>
          <w:lang w:eastAsia="zh-CN"/>
        </w:rPr>
        <w:t>7</w:t>
      </w:r>
      <w:r>
        <w:fldChar w:fldCharType="end"/>
      </w:r>
    </w:p>
    <w:p w14:paraId="232E381E">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E.</w:t>
      </w:r>
      <w:r>
        <w:rPr>
          <w:rFonts w:asciiTheme="minorHAnsi" w:hAnsiTheme="minorHAnsi" w:eastAsiaTheme="minorEastAsia" w:cstheme="minorBidi"/>
          <w:color w:val="auto"/>
          <w:kern w:val="2"/>
          <w:sz w:val="21"/>
          <w:szCs w:val="22"/>
          <w:lang w:eastAsia="zh-CN" w:bidi="ar-SA"/>
        </w:rPr>
        <w:tab/>
      </w:r>
      <w:r>
        <w:rPr>
          <w:lang w:eastAsia="zh-CN"/>
        </w:rPr>
        <w:t>旨在提供液体屏障保护的外科口罩</w:t>
      </w:r>
      <w:r>
        <w:rPr>
          <w:lang w:eastAsia="zh-CN"/>
        </w:rPr>
        <w:tab/>
      </w:r>
      <w:r>
        <w:fldChar w:fldCharType="begin"/>
      </w:r>
      <w:r>
        <w:rPr>
          <w:lang w:eastAsia="zh-CN"/>
        </w:rPr>
        <w:instrText xml:space="preserve"> PAGEREF _Toc97318324 \h </w:instrText>
      </w:r>
      <w:r>
        <w:fldChar w:fldCharType="separate"/>
      </w:r>
      <w:r>
        <w:rPr>
          <w:lang w:eastAsia="zh-CN"/>
        </w:rPr>
        <w:t>8</w:t>
      </w:r>
      <w:r>
        <w:fldChar w:fldCharType="end"/>
      </w:r>
    </w:p>
    <w:p w14:paraId="3F2BA93F">
      <w:pPr>
        <w:pStyle w:val="8"/>
        <w:spacing w:before="120"/>
        <w:ind w:left="912" w:hanging="492"/>
        <w:rPr>
          <w:rFonts w:asciiTheme="minorHAnsi" w:hAnsiTheme="minorHAnsi" w:eastAsiaTheme="minorEastAsia" w:cstheme="minorBidi"/>
          <w:color w:val="auto"/>
          <w:kern w:val="2"/>
          <w:sz w:val="21"/>
          <w:szCs w:val="22"/>
          <w:lang w:eastAsia="zh-CN" w:bidi="ar-SA"/>
        </w:rPr>
      </w:pPr>
      <w:r>
        <w:rPr>
          <w:lang w:eastAsia="zh-CN"/>
        </w:rPr>
        <w:t>F.</w:t>
      </w:r>
      <w:r>
        <w:rPr>
          <w:rFonts w:asciiTheme="minorHAnsi" w:hAnsiTheme="minorHAnsi" w:eastAsiaTheme="minorEastAsia" w:cstheme="minorBidi"/>
          <w:color w:val="auto"/>
          <w:kern w:val="2"/>
          <w:sz w:val="21"/>
          <w:szCs w:val="22"/>
          <w:lang w:eastAsia="zh-CN" w:bidi="ar-SA"/>
        </w:rPr>
        <w:tab/>
      </w:r>
      <w:r>
        <w:rPr>
          <w:lang w:eastAsia="zh-CN"/>
        </w:rPr>
        <w:t>FDA许可或NIOSH批准的N95呼吸器不可用时的替代品</w:t>
      </w:r>
      <w:r>
        <w:tab/>
      </w:r>
      <w:r>
        <w:fldChar w:fldCharType="begin"/>
      </w:r>
      <w:r>
        <w:instrText xml:space="preserve"> PAGEREF _Toc97318325 \h </w:instrText>
      </w:r>
      <w:r>
        <w:fldChar w:fldCharType="separate"/>
      </w:r>
      <w:r>
        <w:t>9</w:t>
      </w:r>
      <w:r>
        <w:fldChar w:fldCharType="end"/>
      </w:r>
    </w:p>
    <w:p w14:paraId="0908A145">
      <w:pPr>
        <w:pStyle w:val="7"/>
        <w:tabs>
          <w:tab w:val="left" w:pos="850"/>
        </w:tabs>
        <w:spacing w:before="120"/>
        <w:rPr>
          <w:rFonts w:asciiTheme="minorHAnsi" w:hAnsiTheme="minorHAnsi" w:eastAsiaTheme="minorEastAsia" w:cstheme="minorBidi"/>
          <w:color w:val="auto"/>
          <w:kern w:val="2"/>
          <w:sz w:val="21"/>
          <w:szCs w:val="22"/>
          <w:lang w:eastAsia="zh-CN" w:bidi="ar-SA"/>
        </w:rPr>
      </w:pPr>
      <w:r>
        <w:rPr>
          <w:lang w:eastAsia="zh-CN"/>
        </w:rPr>
        <w:t xml:space="preserve">VI. </w:t>
      </w:r>
      <w:r>
        <w:rPr>
          <w:rFonts w:asciiTheme="minorHAnsi" w:hAnsiTheme="minorHAnsi" w:eastAsiaTheme="minorEastAsia" w:cstheme="minorBidi"/>
          <w:color w:val="auto"/>
          <w:kern w:val="2"/>
          <w:sz w:val="21"/>
          <w:szCs w:val="22"/>
          <w:lang w:eastAsia="zh-CN" w:bidi="ar-SA"/>
        </w:rPr>
        <w:tab/>
      </w:r>
      <w:r>
        <w:rPr>
          <w:lang w:eastAsia="zh-CN"/>
        </w:rPr>
        <w:t>医用口罩、外科口罩和N95呼吸器的EUA</w:t>
      </w:r>
      <w:r>
        <w:tab/>
      </w:r>
      <w:r>
        <w:fldChar w:fldCharType="begin"/>
      </w:r>
      <w:r>
        <w:instrText xml:space="preserve"> PAGEREF _Toc97318326 \h </w:instrText>
      </w:r>
      <w:r>
        <w:fldChar w:fldCharType="separate"/>
      </w:r>
      <w:r>
        <w:t>10</w:t>
      </w:r>
      <w:r>
        <w:fldChar w:fldCharType="end"/>
      </w:r>
    </w:p>
    <w:p w14:paraId="2B1F7D34">
      <w:pPr>
        <w:tabs>
          <w:tab w:val="left" w:pos="657"/>
          <w:tab w:val="center" w:pos="2467"/>
        </w:tabs>
        <w:snapToGrid w:val="0"/>
        <w:spacing w:before="120" w:beforeLines="50"/>
        <w:jc w:val="both"/>
      </w:pPr>
      <w:r>
        <w:rPr>
          <w:b/>
          <w:bCs/>
          <w:sz w:val="24"/>
        </w:rPr>
        <w:fldChar w:fldCharType="end"/>
      </w:r>
    </w:p>
    <w:p w14:paraId="72130303">
      <w:pPr>
        <w:tabs>
          <w:tab w:val="left" w:pos="657"/>
          <w:tab w:val="center" w:pos="2467"/>
        </w:tabs>
        <w:snapToGrid w:val="0"/>
        <w:spacing w:before="120" w:beforeLines="50"/>
        <w:jc w:val="both"/>
        <w:sectPr>
          <w:headerReference r:id="rId5" w:type="default"/>
          <w:type w:val="continuous"/>
          <w:pgSz w:w="11907" w:h="16840"/>
          <w:pgMar w:top="1429" w:right="1797" w:bottom="1429" w:left="1797" w:header="720" w:footer="720" w:gutter="0"/>
          <w:cols w:space="720" w:num="1"/>
          <w:docGrid w:linePitch="360" w:charSpace="0"/>
        </w:sectPr>
      </w:pPr>
    </w:p>
    <w:p w14:paraId="5E678319">
      <w:pPr>
        <w:pStyle w:val="14"/>
        <w:spacing w:before="120"/>
        <w:rPr>
          <w:lang w:eastAsia="zh-CN"/>
        </w:rPr>
      </w:pPr>
      <w:r>
        <w:rPr>
          <w:rFonts w:hint="eastAsia"/>
          <w:lang w:eastAsia="zh-CN"/>
        </w:rPr>
        <w:t>新型冠状病毒肺炎</w:t>
      </w:r>
      <w:r>
        <w:rPr>
          <w:lang w:eastAsia="zh-CN"/>
        </w:rPr>
        <w:t>（COVID-19）突发公共卫生事件期间口罩和呼吸器的执行政策（修订版）</w:t>
      </w:r>
    </w:p>
    <w:p w14:paraId="441D3D69">
      <w:pPr>
        <w:pStyle w:val="15"/>
        <w:spacing w:before="120"/>
        <w:rPr>
          <w:lang w:eastAsia="zh-CN"/>
        </w:rPr>
      </w:pPr>
      <w:r>
        <w:rPr>
          <w:lang w:eastAsia="zh-CN"/>
        </w:rPr>
        <w:t>行业和美国食品药品监督管理局工作人员指南</w:t>
      </w:r>
    </w:p>
    <w:p w14:paraId="30C9AB21">
      <w:pPr>
        <w:snapToGrid w:val="0"/>
        <w:spacing w:before="120" w:beforeLines="50"/>
        <w:jc w:val="both"/>
        <w:rPr>
          <w:lang w:eastAsia="zh-CN"/>
        </w:rPr>
      </w:pPr>
    </w:p>
    <w:tbl>
      <w:tblPr>
        <w:tblStyle w:val="10"/>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595BEFB5">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29" w:hRule="atLeast"/>
        </w:trPr>
        <w:tc>
          <w:tcPr>
            <w:tcW w:w="5000" w:type="pct"/>
            <w:vAlign w:val="center"/>
          </w:tcPr>
          <w:p w14:paraId="43B6DD7D">
            <w:pPr>
              <w:snapToGrid w:val="0"/>
              <w:spacing w:before="120" w:beforeLines="50"/>
              <w:jc w:val="both"/>
              <w:rPr>
                <w:lang w:eastAsia="zh-CN"/>
              </w:rPr>
            </w:pPr>
            <w:r>
              <w:rPr>
                <w:b/>
                <w:i/>
                <w:sz w:val="24"/>
                <w:lang w:eastAsia="zh-CN"/>
              </w:rPr>
              <w:t>本指南代表美国食品药品监督管理局（FDA）对该主题的当前看法。本文件不赋予任何人任何权利，对FDA或公众不具有约束力。如果替代方法满足</w:t>
            </w:r>
            <w:commentRangeStart w:id="0"/>
            <w:r>
              <w:rPr>
                <w:b/>
                <w:i/>
                <w:sz w:val="24"/>
                <w:lang w:eastAsia="zh-CN"/>
              </w:rPr>
              <w:t>适用</w:t>
            </w:r>
            <w:r>
              <w:rPr>
                <w:rFonts w:hint="eastAsia"/>
                <w:b/>
                <w:i/>
                <w:sz w:val="24"/>
                <w:lang w:eastAsia="zh-CN"/>
              </w:rPr>
              <w:t>的情形和</w:t>
            </w:r>
            <w:r>
              <w:rPr>
                <w:b/>
                <w:i/>
                <w:sz w:val="24"/>
                <w:lang w:eastAsia="zh-CN"/>
              </w:rPr>
              <w:t>法规</w:t>
            </w:r>
            <w:commentRangeEnd w:id="0"/>
            <w:r>
              <w:rPr>
                <w:rStyle w:val="13"/>
              </w:rPr>
              <w:commentReference w:id="0"/>
            </w:r>
            <w:r>
              <w:rPr>
                <w:b/>
                <w:i/>
                <w:sz w:val="24"/>
                <w:lang w:eastAsia="zh-CN"/>
              </w:rPr>
              <w:t>的要求，则贵司可使用替代方法。如需讨论替代方法，请联系标题页所列负责本指南的FDA工作人员或办公室</w:t>
            </w:r>
            <w:r>
              <w:rPr>
                <w:rFonts w:hint="eastAsia"/>
                <w:sz w:val="24"/>
                <w:lang w:eastAsia="zh-CN"/>
              </w:rPr>
              <w:t>。</w:t>
            </w:r>
          </w:p>
        </w:tc>
      </w:tr>
    </w:tbl>
    <w:p w14:paraId="3707D0CA">
      <w:pPr>
        <w:snapToGrid w:val="0"/>
        <w:spacing w:before="120" w:beforeLines="50"/>
        <w:jc w:val="both"/>
        <w:rPr>
          <w:lang w:eastAsia="zh-CN"/>
        </w:rPr>
      </w:pPr>
    </w:p>
    <w:p w14:paraId="41E1ADA6">
      <w:pPr>
        <w:pStyle w:val="16"/>
        <w:spacing w:before="120" w:after="120"/>
        <w:rPr>
          <w:lang w:eastAsia="zh-CN"/>
        </w:rPr>
      </w:pPr>
      <w:bookmarkStart w:id="5" w:name="bookmark5"/>
      <w:bookmarkStart w:id="6" w:name="bookmark6"/>
      <w:bookmarkStart w:id="7" w:name="_Toc97318315"/>
      <w:r>
        <w:rPr>
          <w:lang w:eastAsia="zh-CN"/>
        </w:rPr>
        <w:t>I.</w:t>
      </w:r>
      <w:r>
        <w:rPr>
          <w:lang w:eastAsia="zh-CN"/>
        </w:rPr>
        <w:tab/>
      </w:r>
      <w:r>
        <w:rPr>
          <w:lang w:eastAsia="zh-CN"/>
        </w:rPr>
        <w:t>引言</w:t>
      </w:r>
      <w:bookmarkEnd w:id="5"/>
      <w:bookmarkEnd w:id="6"/>
      <w:bookmarkEnd w:id="7"/>
    </w:p>
    <w:p w14:paraId="09CF9219">
      <w:pPr>
        <w:snapToGrid w:val="0"/>
        <w:spacing w:before="120" w:beforeLines="50"/>
        <w:jc w:val="both"/>
        <w:rPr>
          <w:sz w:val="24"/>
          <w:lang w:eastAsia="zh-CN"/>
        </w:rPr>
      </w:pPr>
      <w:r>
        <w:rPr>
          <w:sz w:val="24"/>
          <w:lang w:eastAsia="zh-CN"/>
        </w:rPr>
        <w:t>美国食品药品监督管理局在</w:t>
      </w:r>
      <w:r>
        <w:rPr>
          <w:rFonts w:hint="eastAsia"/>
          <w:sz w:val="24"/>
          <w:lang w:eastAsia="zh-CN"/>
        </w:rPr>
        <w:t>防止</w:t>
      </w:r>
      <w:r>
        <w:rPr>
          <w:sz w:val="24"/>
          <w:lang w:eastAsia="zh-CN"/>
        </w:rPr>
        <w:t>美国</w:t>
      </w:r>
      <w:r>
        <w:rPr>
          <w:rFonts w:hint="eastAsia"/>
          <w:sz w:val="24"/>
          <w:lang w:eastAsia="zh-CN"/>
        </w:rPr>
        <w:t>受到新型</w:t>
      </w:r>
      <w:r>
        <w:rPr>
          <w:sz w:val="24"/>
          <w:lang w:eastAsia="zh-CN"/>
        </w:rPr>
        <w:t>传染病（包括新型冠状病毒肺炎（COVID-19）</w:t>
      </w:r>
      <w:r>
        <w:rPr>
          <w:rFonts w:hint="eastAsia"/>
          <w:sz w:val="24"/>
          <w:lang w:eastAsia="zh-CN"/>
        </w:rPr>
        <w:t>疫情</w:t>
      </w:r>
      <w:r>
        <w:rPr>
          <w:sz w:val="24"/>
          <w:lang w:eastAsia="zh-CN"/>
        </w:rPr>
        <w:t>）等威胁方面发挥着关键作用。FDA承诺及时提供指导，以支持应对</w:t>
      </w:r>
      <w:r>
        <w:rPr>
          <w:rFonts w:hint="eastAsia"/>
          <w:sz w:val="24"/>
          <w:lang w:eastAsia="zh-CN"/>
        </w:rPr>
        <w:t>此次</w:t>
      </w:r>
      <w:r>
        <w:rPr>
          <w:sz w:val="24"/>
          <w:lang w:eastAsia="zh-CN"/>
        </w:rPr>
        <w:t>疫情。</w:t>
      </w:r>
    </w:p>
    <w:p w14:paraId="7B2485EC">
      <w:pPr>
        <w:snapToGrid w:val="0"/>
        <w:spacing w:before="120" w:beforeLines="50"/>
        <w:jc w:val="both"/>
        <w:rPr>
          <w:sz w:val="24"/>
          <w:lang w:eastAsia="zh-CN"/>
        </w:rPr>
      </w:pPr>
      <w:r>
        <w:rPr>
          <w:sz w:val="24"/>
          <w:lang w:eastAsia="zh-CN"/>
        </w:rPr>
        <w:t>FDA发布此指南的目的是，在COVID-19突发公共卫生事件期间提供一项政策，以帮助扩大面向公众的通用口罩和面向医护人员（HCP）的微粒过滤式面罩呼吸器（包括N95呼吸器）的供应</w:t>
      </w:r>
      <w:r>
        <w:fldChar w:fldCharType="begin"/>
      </w:r>
      <w:r>
        <w:instrText xml:space="preserve"> HYPERLINK \l "bookmark7" \o "当前文件" \h </w:instrText>
      </w:r>
      <w:r>
        <w:fldChar w:fldCharType="separate"/>
      </w:r>
      <w:r>
        <w:rPr>
          <w:sz w:val="24"/>
          <w:vertAlign w:val="superscript"/>
          <w:lang w:eastAsia="zh-CN"/>
        </w:rPr>
        <w:t>1</w:t>
      </w:r>
      <w:r>
        <w:rPr>
          <w:sz w:val="24"/>
          <w:vertAlign w:val="superscript"/>
          <w:lang w:eastAsia="zh-CN"/>
        </w:rPr>
        <w:fldChar w:fldCharType="end"/>
      </w:r>
      <w:r>
        <w:rPr>
          <w:sz w:val="24"/>
          <w:lang w:eastAsia="zh-CN"/>
        </w:rPr>
        <w:t>。</w:t>
      </w:r>
    </w:p>
    <w:p w14:paraId="43329B75">
      <w:pPr>
        <w:snapToGrid w:val="0"/>
        <w:spacing w:before="120" w:beforeLines="50"/>
        <w:jc w:val="both"/>
        <w:rPr>
          <w:sz w:val="24"/>
          <w:lang w:eastAsia="zh-CN"/>
        </w:rPr>
      </w:pPr>
      <w:r>
        <w:rPr>
          <w:sz w:val="24"/>
          <w:lang w:eastAsia="zh-CN"/>
        </w:rPr>
        <w:t>本政策仅在美国卫生与公众服务部部长（HHS）于2020年1月31日（生效日期：2020年1月27日）宣布的与COVID-19有关的突发公共卫生事件期间有效，包括HHS部长根据《公共卫生服务法案》（PHS法案）第319(a)(2)项（《美国法典》第42卷第247d(a)(2)项）做出的任何续展。</w:t>
      </w:r>
    </w:p>
    <w:p w14:paraId="0782A090">
      <w:pPr>
        <w:snapToGrid w:val="0"/>
        <w:spacing w:before="120" w:beforeLines="50"/>
        <w:jc w:val="both"/>
        <w:rPr>
          <w:sz w:val="18"/>
          <w:szCs w:val="18"/>
          <w:lang w:eastAsia="zh-CN"/>
        </w:rPr>
      </w:pPr>
    </w:p>
    <w:p w14:paraId="39566B9C">
      <w:pPr>
        <w:snapToGrid w:val="0"/>
        <w:spacing w:before="120" w:beforeLines="50"/>
        <w:jc w:val="both"/>
        <w:rPr>
          <w:sz w:val="18"/>
          <w:szCs w:val="18"/>
          <w:lang w:eastAsia="zh-CN"/>
        </w:rPr>
      </w:pPr>
    </w:p>
    <w:p w14:paraId="436B1B76">
      <w:pPr>
        <w:snapToGrid w:val="0"/>
        <w:spacing w:before="120" w:beforeLines="50"/>
        <w:jc w:val="both"/>
        <w:rPr>
          <w:sz w:val="18"/>
          <w:szCs w:val="18"/>
          <w:lang w:eastAsia="zh-CN"/>
        </w:rPr>
      </w:pPr>
    </w:p>
    <w:p w14:paraId="7F0944E5">
      <w:pPr>
        <w:snapToGrid w:val="0"/>
        <w:spacing w:before="120" w:beforeLines="50"/>
        <w:jc w:val="both"/>
        <w:rPr>
          <w:sz w:val="18"/>
          <w:szCs w:val="18"/>
          <w:lang w:eastAsia="zh-CN"/>
        </w:rPr>
      </w:pPr>
      <w:r>
        <w:rPr>
          <w:sz w:val="18"/>
          <w:szCs w:val="18"/>
          <w:lang w:eastAsia="zh-CN"/>
        </w:rPr>
        <w:t>_________________________</w:t>
      </w:r>
    </w:p>
    <w:p w14:paraId="21A50CE4">
      <w:pPr>
        <w:tabs>
          <w:tab w:val="left" w:pos="115"/>
        </w:tabs>
        <w:snapToGrid w:val="0"/>
        <w:spacing w:before="120" w:beforeLines="50"/>
        <w:jc w:val="both"/>
        <w:rPr>
          <w:bCs/>
          <w:sz w:val="18"/>
          <w:szCs w:val="18"/>
          <w:lang w:eastAsia="zh-CN"/>
        </w:rPr>
      </w:pPr>
      <w:bookmarkStart w:id="8" w:name="bookmark7"/>
      <w:r>
        <w:rPr>
          <w:sz w:val="18"/>
          <w:szCs w:val="18"/>
          <w:vertAlign w:val="superscript"/>
          <w:lang w:eastAsia="zh-CN"/>
        </w:rPr>
        <w:t>1</w:t>
      </w:r>
      <w:r>
        <w:rPr>
          <w:sz w:val="18"/>
          <w:szCs w:val="18"/>
          <w:lang w:eastAsia="zh-CN"/>
        </w:rPr>
        <w:tab/>
      </w:r>
      <w:r>
        <w:rPr>
          <w:sz w:val="18"/>
          <w:szCs w:val="18"/>
          <w:lang w:eastAsia="zh-CN"/>
        </w:rPr>
        <w:t>正如在本指南发布时生效的三项EUA中用于过滤式面罩呼吸器的定义，医护人员（HCP）指在医疗保健领域服务的可能直接或间接接触患者或传染性</w:t>
      </w:r>
      <w:r>
        <w:rPr>
          <w:rFonts w:hint="eastAsia"/>
          <w:sz w:val="18"/>
          <w:szCs w:val="18"/>
          <w:lang w:eastAsia="zh-CN"/>
        </w:rPr>
        <w:t>物质</w:t>
      </w:r>
      <w:r>
        <w:rPr>
          <w:sz w:val="18"/>
          <w:szCs w:val="18"/>
          <w:lang w:eastAsia="zh-CN"/>
        </w:rPr>
        <w:t>的所有有偿和无偿人员，包括</w:t>
      </w:r>
      <w:r>
        <w:rPr>
          <w:rFonts w:hint="eastAsia"/>
          <w:sz w:val="18"/>
          <w:szCs w:val="18"/>
          <w:lang w:eastAsia="zh-CN"/>
        </w:rPr>
        <w:t>人体</w:t>
      </w:r>
      <w:r>
        <w:rPr>
          <w:sz w:val="18"/>
          <w:szCs w:val="18"/>
          <w:lang w:eastAsia="zh-CN"/>
        </w:rPr>
        <w:t>物质（例如，血液、组织和特定体液）；受污染的医疗用品、器械和设备；受污染的环境表面；或被污染的空气。这些医护人员包括但不限于紧急医疗服务人员、护士、助理护士、医生、技术人员、治疗师、抽血医师、药剂师、牙医和牙科保健师、学生和实习生、未受雇于医疗保健机构的合同工作人员，以及不直接参与患者</w:t>
      </w:r>
      <w:r>
        <w:rPr>
          <w:rFonts w:hint="eastAsia"/>
          <w:sz w:val="18"/>
          <w:szCs w:val="18"/>
          <w:lang w:eastAsia="zh-CN"/>
        </w:rPr>
        <w:t>治疗</w:t>
      </w:r>
      <w:r>
        <w:rPr>
          <w:sz w:val="18"/>
          <w:szCs w:val="18"/>
          <w:lang w:eastAsia="zh-CN"/>
        </w:rPr>
        <w:t>但可能接触可在医疗环境中传播的传染性病原体的人员（例如文员、餐饮、环境服务、洗衣、安全、工程和设施管理、行政管理、计费和志愿者）。</w:t>
      </w:r>
      <w:bookmarkEnd w:id="8"/>
    </w:p>
    <w:p w14:paraId="53EC3881">
      <w:pPr>
        <w:tabs>
          <w:tab w:val="left" w:pos="115"/>
        </w:tabs>
        <w:snapToGrid w:val="0"/>
        <w:spacing w:before="120" w:beforeLines="50"/>
        <w:jc w:val="both"/>
        <w:rPr>
          <w:lang w:eastAsia="zh-CN"/>
        </w:rPr>
      </w:pPr>
      <w:r>
        <w:rPr>
          <w:lang w:eastAsia="zh-CN"/>
        </w:rPr>
        <w:br w:type="page"/>
      </w:r>
    </w:p>
    <w:p w14:paraId="2840971D">
      <w:pPr>
        <w:snapToGrid w:val="0"/>
        <w:spacing w:before="120" w:beforeLines="50"/>
        <w:jc w:val="both"/>
        <w:rPr>
          <w:sz w:val="24"/>
          <w:lang w:eastAsia="zh-CN"/>
        </w:rPr>
      </w:pPr>
      <w:r>
        <w:rPr>
          <w:rFonts w:hint="eastAsia"/>
          <w:sz w:val="24"/>
          <w:lang w:eastAsia="zh-CN"/>
        </w:rPr>
        <w:t>考虑到此次</w:t>
      </w:r>
      <w:r>
        <w:rPr>
          <w:sz w:val="24"/>
          <w:lang w:eastAsia="zh-CN"/>
        </w:rPr>
        <w:t>突发公共卫生事件，</w:t>
      </w:r>
      <w:r>
        <w:rPr>
          <w:rFonts w:hint="eastAsia"/>
          <w:sz w:val="24"/>
          <w:lang w:eastAsia="zh-CN"/>
        </w:rPr>
        <w:t>并根据2020年3月25日《联邦公报》中题为“提供新型冠状病毒肺炎相关指导文件的程序”的通知（</w:t>
      </w:r>
      <w:r>
        <w:rPr>
          <w:sz w:val="24"/>
          <w:lang w:eastAsia="zh-CN"/>
        </w:rPr>
        <w:t>请访问</w:t>
      </w:r>
      <w:r>
        <w:fldChar w:fldCharType="begin"/>
      </w:r>
      <w:r>
        <w:instrText xml:space="preserve"> HYPERLINK "https://www.govinfo.gov/content/pkg/FR-2020-03-25/pdf/2020-06222.pdf" </w:instrText>
      </w:r>
      <w:r>
        <w:fldChar w:fldCharType="separate"/>
      </w:r>
      <w:r>
        <w:rPr>
          <w:rStyle w:val="12"/>
          <w:sz w:val="24"/>
          <w:lang w:eastAsia="zh-CN"/>
        </w:rPr>
        <w:t>https://www.govinfo.gov/content/pkg/FR-2020-03-25/pdf/2020-06222.pdf</w:t>
      </w:r>
      <w:r>
        <w:rPr>
          <w:rStyle w:val="12"/>
          <w:sz w:val="24"/>
          <w:lang w:eastAsia="zh-CN"/>
        </w:rPr>
        <w:fldChar w:fldCharType="end"/>
      </w:r>
      <w:r>
        <w:rPr>
          <w:sz w:val="24"/>
          <w:lang w:eastAsia="zh-CN"/>
        </w:rPr>
        <w:t xml:space="preserve"> </w:t>
      </w:r>
      <w:r>
        <w:rPr>
          <w:rFonts w:hint="eastAsia"/>
          <w:sz w:val="24"/>
          <w:lang w:eastAsia="zh-CN"/>
        </w:rPr>
        <w:t>），由于F</w:t>
      </w:r>
      <w:r>
        <w:rPr>
          <w:sz w:val="24"/>
          <w:lang w:eastAsia="zh-CN"/>
        </w:rPr>
        <w:t>DA已经确定公众事先参与制定本指南不可行或不适当，因此本指南的实施事先未采纳公众意见（见《联邦食品、药品和化妆品法案》（《FD&amp;C法案》）第701(h)(1)(C)</w:t>
      </w:r>
      <w:r>
        <w:rPr>
          <w:rFonts w:hint="eastAsia"/>
          <w:sz w:val="24"/>
          <w:lang w:eastAsia="zh-CN"/>
        </w:rPr>
        <w:t>项</w:t>
      </w:r>
      <w:r>
        <w:rPr>
          <w:sz w:val="24"/>
          <w:lang w:eastAsia="zh-CN"/>
        </w:rPr>
        <w:t>（《美国法典》第21卷第371(h)(1)(C)</w:t>
      </w:r>
      <w:r>
        <w:rPr>
          <w:rFonts w:hint="eastAsia"/>
          <w:sz w:val="24"/>
          <w:lang w:eastAsia="zh-CN"/>
        </w:rPr>
        <w:t>项</w:t>
      </w:r>
      <w:r>
        <w:rPr>
          <w:sz w:val="24"/>
          <w:lang w:eastAsia="zh-CN"/>
        </w:rPr>
        <w:t>和《美国联邦法规》第21卷第10.115(g)(2)项）</w:t>
      </w:r>
      <w:r>
        <w:rPr>
          <w:rFonts w:hint="eastAsia"/>
          <w:sz w:val="24"/>
          <w:lang w:eastAsia="zh-CN"/>
        </w:rPr>
        <w:t>）</w:t>
      </w:r>
      <w:r>
        <w:rPr>
          <w:sz w:val="24"/>
          <w:lang w:eastAsia="zh-CN"/>
        </w:rPr>
        <w:t>。本指南文件</w:t>
      </w:r>
      <w:r>
        <w:rPr>
          <w:rFonts w:hint="eastAsia"/>
          <w:sz w:val="24"/>
          <w:lang w:eastAsia="zh-CN"/>
        </w:rPr>
        <w:t>将立即</w:t>
      </w:r>
      <w:r>
        <w:rPr>
          <w:sz w:val="24"/>
          <w:lang w:eastAsia="zh-CN"/>
        </w:rPr>
        <w:t>实施，但仍会根据FDA的</w:t>
      </w:r>
      <w:r>
        <w:rPr>
          <w:rFonts w:hint="eastAsia"/>
          <w:sz w:val="24"/>
          <w:lang w:eastAsia="zh-CN"/>
        </w:rPr>
        <w:t>标准</w:t>
      </w:r>
      <w:r>
        <w:rPr>
          <w:sz w:val="24"/>
          <w:lang w:eastAsia="zh-CN"/>
        </w:rPr>
        <w:t>指南规范接受意见。</w:t>
      </w:r>
    </w:p>
    <w:p w14:paraId="50F1FCBD">
      <w:pPr>
        <w:snapToGrid w:val="0"/>
        <w:spacing w:before="120" w:beforeLines="50"/>
        <w:jc w:val="both"/>
        <w:rPr>
          <w:sz w:val="24"/>
          <w:lang w:eastAsia="zh-CN"/>
        </w:rPr>
      </w:pPr>
      <w:bookmarkStart w:id="9" w:name="bookmark8"/>
      <w:r>
        <w:rPr>
          <w:rFonts w:hint="eastAsia"/>
          <w:sz w:val="24"/>
          <w:lang w:eastAsia="zh-CN"/>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sz w:val="24"/>
          <w:lang w:eastAsia="zh-CN"/>
        </w:rPr>
        <w:t>。</w:t>
      </w:r>
      <w:bookmarkEnd w:id="9"/>
    </w:p>
    <w:p w14:paraId="6E79CA41">
      <w:pPr>
        <w:snapToGrid w:val="0"/>
        <w:spacing w:before="120" w:beforeLines="50"/>
        <w:jc w:val="both"/>
        <w:rPr>
          <w:sz w:val="24"/>
          <w:lang w:eastAsia="zh-CN"/>
        </w:rPr>
      </w:pPr>
    </w:p>
    <w:p w14:paraId="51511985">
      <w:pPr>
        <w:pStyle w:val="16"/>
        <w:spacing w:before="120" w:after="120"/>
        <w:rPr>
          <w:lang w:eastAsia="zh-CN"/>
        </w:rPr>
      </w:pPr>
      <w:bookmarkStart w:id="10" w:name="_Toc97318316"/>
      <w:bookmarkStart w:id="11" w:name="bookmark9"/>
      <w:r>
        <w:rPr>
          <w:lang w:eastAsia="zh-CN"/>
        </w:rPr>
        <w:t>II.</w:t>
      </w:r>
      <w:r>
        <w:rPr>
          <w:lang w:eastAsia="zh-CN"/>
        </w:rPr>
        <w:tab/>
      </w:r>
      <w:r>
        <w:rPr>
          <w:lang w:eastAsia="zh-CN"/>
        </w:rPr>
        <w:t>背景</w:t>
      </w:r>
      <w:bookmarkEnd w:id="10"/>
      <w:bookmarkEnd w:id="11"/>
    </w:p>
    <w:p w14:paraId="2F4CF18A">
      <w:pPr>
        <w:snapToGrid w:val="0"/>
        <w:spacing w:before="120" w:beforeLines="50"/>
        <w:jc w:val="both"/>
        <w:rPr>
          <w:sz w:val="24"/>
          <w:lang w:eastAsia="zh-CN"/>
        </w:rPr>
      </w:pPr>
      <w:r>
        <w:rPr>
          <w:sz w:val="24"/>
          <w:lang w:eastAsia="zh-CN"/>
        </w:rPr>
        <w:t>目前爆发了由一种新冠病毒引起的呼吸</w:t>
      </w:r>
      <w:r>
        <w:rPr>
          <w:rFonts w:hint="eastAsia"/>
          <w:sz w:val="24"/>
          <w:lang w:eastAsia="zh-CN"/>
        </w:rPr>
        <w:t>系统</w:t>
      </w:r>
      <w:r>
        <w:rPr>
          <w:sz w:val="24"/>
          <w:lang w:eastAsia="zh-CN"/>
        </w:rPr>
        <w:t>疾病。该病毒被命名为</w:t>
      </w:r>
      <w:r>
        <w:rPr>
          <w:rFonts w:ascii="宋体" w:hAnsi="宋体"/>
          <w:sz w:val="24"/>
          <w:lang w:eastAsia="zh-CN"/>
        </w:rPr>
        <w:t>“</w:t>
      </w:r>
      <w:r>
        <w:rPr>
          <w:sz w:val="24"/>
          <w:lang w:eastAsia="zh-CN"/>
        </w:rPr>
        <w:t>SARS-CoV-2</w:t>
      </w:r>
      <w:r>
        <w:rPr>
          <w:rFonts w:ascii="宋体" w:hAnsi="宋体"/>
          <w:sz w:val="24"/>
          <w:lang w:eastAsia="zh-CN"/>
        </w:rPr>
        <w:t>”</w:t>
      </w:r>
      <w:r>
        <w:rPr>
          <w:sz w:val="24"/>
          <w:lang w:eastAsia="zh-CN"/>
        </w:rPr>
        <w:t>，该病毒引起的疾病被命名为</w:t>
      </w:r>
      <w:r>
        <w:rPr>
          <w:rFonts w:ascii="宋体" w:hAnsi="宋体"/>
          <w:sz w:val="24"/>
          <w:lang w:eastAsia="zh-CN"/>
        </w:rPr>
        <w:t>“</w:t>
      </w:r>
      <w:r>
        <w:rPr>
          <w:sz w:val="24"/>
          <w:lang w:eastAsia="zh-CN"/>
        </w:rPr>
        <w:t>新型冠状病毒肺炎</w:t>
      </w:r>
      <w:r>
        <w:rPr>
          <w:rFonts w:ascii="宋体" w:hAnsi="宋体"/>
          <w:sz w:val="24"/>
          <w:lang w:eastAsia="zh-CN"/>
        </w:rPr>
        <w:t>”</w:t>
      </w:r>
      <w:r>
        <w:rPr>
          <w:sz w:val="24"/>
          <w:lang w:eastAsia="zh-CN"/>
        </w:rPr>
        <w:t>（COVID-19）。2020年1月31日，HHS发布了有关COVID-19突发公共卫生事件的声明，并动员HHS的运营部门。</w:t>
      </w:r>
      <w:r>
        <w:fldChar w:fldCharType="begin"/>
      </w:r>
      <w:r>
        <w:instrText xml:space="preserve"> HYPERLINK \l "bookmark10" \o "当前文件" \h </w:instrText>
      </w:r>
      <w:r>
        <w:fldChar w:fldCharType="separate"/>
      </w:r>
      <w:r>
        <w:rPr>
          <w:sz w:val="24"/>
          <w:vertAlign w:val="superscript"/>
          <w:lang w:eastAsia="zh-CN"/>
        </w:rPr>
        <w:t>2</w:t>
      </w:r>
      <w:r>
        <w:rPr>
          <w:sz w:val="24"/>
          <w:vertAlign w:val="superscript"/>
          <w:lang w:eastAsia="zh-CN"/>
        </w:rPr>
        <w:fldChar w:fldCharType="end"/>
      </w:r>
      <w:r>
        <w:rPr>
          <w:sz w:val="24"/>
          <w:lang w:eastAsia="zh-CN"/>
        </w:rPr>
        <w:t>此外，2020年3月13日，美国总统宣布全国进入紧急状态以应对COVID-19。</w:t>
      </w:r>
      <w:r>
        <w:fldChar w:fldCharType="begin"/>
      </w:r>
      <w:r>
        <w:instrText xml:space="preserve"> HYPERLINK \l "bookmark11" \o "当前文件" \h </w:instrText>
      </w:r>
      <w:r>
        <w:fldChar w:fldCharType="separate"/>
      </w:r>
      <w:r>
        <w:rPr>
          <w:sz w:val="24"/>
          <w:vertAlign w:val="superscript"/>
          <w:lang w:eastAsia="zh-CN"/>
        </w:rPr>
        <w:t>3</w:t>
      </w:r>
      <w:r>
        <w:rPr>
          <w:sz w:val="24"/>
          <w:vertAlign w:val="superscript"/>
          <w:lang w:eastAsia="zh-CN"/>
        </w:rPr>
        <w:fldChar w:fldCharType="end"/>
      </w:r>
    </w:p>
    <w:p w14:paraId="35DAF607">
      <w:pPr>
        <w:snapToGrid w:val="0"/>
        <w:spacing w:before="120" w:beforeLines="50"/>
        <w:jc w:val="both"/>
        <w:rPr>
          <w:sz w:val="24"/>
          <w:lang w:eastAsia="zh-CN"/>
        </w:rPr>
      </w:pPr>
      <w:r>
        <w:rPr>
          <w:sz w:val="24"/>
          <w:lang w:eastAsia="zh-CN"/>
        </w:rPr>
        <w:t>FDA认为，本指南中规定的政策可能有助于解决这些</w:t>
      </w:r>
      <w:r>
        <w:rPr>
          <w:rFonts w:hint="eastAsia"/>
          <w:sz w:val="24"/>
          <w:lang w:eastAsia="zh-CN"/>
        </w:rPr>
        <w:t>紧急</w:t>
      </w:r>
      <w:r>
        <w:rPr>
          <w:sz w:val="24"/>
          <w:lang w:eastAsia="zh-CN"/>
        </w:rPr>
        <w:t>公共卫生问题，通过许可口罩和呼吸器的监管情况，帮助扩大供公众使用通用口罩和过滤式面罩呼吸器的可及性（包括N95呼吸器）</w:t>
      </w:r>
      <w:r>
        <w:rPr>
          <w:rFonts w:hint="eastAsia"/>
          <w:sz w:val="24"/>
          <w:lang w:eastAsia="zh-CN"/>
        </w:rPr>
        <w:t>，</w:t>
      </w:r>
      <w:r>
        <w:rPr>
          <w:sz w:val="24"/>
          <w:lang w:eastAsia="zh-CN"/>
        </w:rPr>
        <w:t>供HCP在医疗保健环境中使用。</w:t>
      </w:r>
    </w:p>
    <w:p w14:paraId="2C1D3B8B">
      <w:pPr>
        <w:snapToGrid w:val="0"/>
        <w:spacing w:before="120" w:beforeLines="50"/>
        <w:jc w:val="both"/>
        <w:rPr>
          <w:sz w:val="24"/>
          <w:lang w:eastAsia="zh-CN"/>
        </w:rPr>
      </w:pPr>
      <w:r>
        <w:rPr>
          <w:sz w:val="24"/>
          <w:lang w:eastAsia="zh-CN"/>
        </w:rPr>
        <w:t>本文件取代2020年4月发布的指南</w:t>
      </w:r>
      <w:r>
        <w:rPr>
          <w:rFonts w:ascii="宋体" w:hAnsi="宋体"/>
          <w:sz w:val="24"/>
          <w:lang w:eastAsia="zh-CN"/>
        </w:rPr>
        <w:t>“</w:t>
      </w:r>
      <w:r>
        <w:rPr>
          <w:rFonts w:hint="eastAsia"/>
          <w:sz w:val="24"/>
          <w:lang w:eastAsia="zh-CN"/>
        </w:rPr>
        <w:t>新型冠状病毒肺炎</w:t>
      </w:r>
      <w:r>
        <w:rPr>
          <w:sz w:val="24"/>
          <w:lang w:eastAsia="zh-CN"/>
        </w:rPr>
        <w:t>（COVID-19）突发公共卫生事件期间口罩和呼吸器的执行政策（修订版）</w:t>
      </w:r>
      <w:r>
        <w:rPr>
          <w:rFonts w:ascii="宋体" w:hAnsi="宋体"/>
          <w:sz w:val="24"/>
          <w:lang w:eastAsia="zh-CN"/>
        </w:rPr>
        <w:t>”</w:t>
      </w:r>
      <w:r>
        <w:rPr>
          <w:sz w:val="24"/>
          <w:lang w:eastAsia="zh-CN"/>
        </w:rPr>
        <w:t>。2020年4月版修订了2020年3月25日发布的原始指南</w:t>
      </w:r>
      <w:r>
        <w:rPr>
          <w:rFonts w:ascii="宋体" w:hAnsi="宋体"/>
          <w:sz w:val="24"/>
          <w:lang w:eastAsia="zh-CN"/>
        </w:rPr>
        <w:t>“</w:t>
      </w:r>
      <w:r>
        <w:rPr>
          <w:rFonts w:hint="eastAsia"/>
          <w:sz w:val="24"/>
          <w:lang w:eastAsia="zh-CN"/>
        </w:rPr>
        <w:t>新型冠状病毒肺炎</w:t>
      </w:r>
      <w:r>
        <w:rPr>
          <w:sz w:val="24"/>
          <w:lang w:eastAsia="zh-CN"/>
        </w:rPr>
        <w:t>（COVID-19）突发公共卫生事件期间口罩和呼吸器的执行政策</w:t>
      </w:r>
      <w:r>
        <w:rPr>
          <w:rFonts w:ascii="宋体" w:hAnsi="宋体"/>
          <w:sz w:val="24"/>
          <w:lang w:eastAsia="zh-CN"/>
        </w:rPr>
        <w:t>”</w:t>
      </w:r>
      <w:r>
        <w:rPr>
          <w:sz w:val="24"/>
          <w:lang w:eastAsia="zh-CN"/>
        </w:rPr>
        <w:t>，新纳入了防护面罩，并提供了在不能获取FDA许可或NIOSH批准的N95呼吸器时FDA建议的替代方案。此版本包括当FDA许可或NIOSH批准的N95呼吸器不可用时，有关替代方案的信息更新，并删除了FDA先前关于</w:t>
      </w:r>
      <w:bookmarkStart w:id="12" w:name="bookmark12"/>
      <w:r>
        <w:rPr>
          <w:sz w:val="24"/>
          <w:lang w:eastAsia="zh-CN"/>
        </w:rPr>
        <w:t>对口罩和过滤式面罩呼吸器进行净化的紧急使用授权（EUA）的建议</w:t>
      </w:r>
      <w:r>
        <w:rPr>
          <w:rFonts w:hint="eastAsia"/>
          <w:sz w:val="24"/>
          <w:lang w:eastAsia="zh-CN"/>
        </w:rPr>
        <w:t>。</w:t>
      </w:r>
      <w:r>
        <w:fldChar w:fldCharType="begin"/>
      </w:r>
      <w:r>
        <w:instrText xml:space="preserve"> HYPERLINK \l "bookmark15" \o "当前文件" \h </w:instrText>
      </w:r>
      <w:r>
        <w:fldChar w:fldCharType="separate"/>
      </w:r>
      <w:r>
        <w:rPr>
          <w:sz w:val="24"/>
          <w:vertAlign w:val="superscript"/>
          <w:lang w:eastAsia="zh-CN"/>
        </w:rPr>
        <w:t>4</w:t>
      </w:r>
      <w:bookmarkEnd w:id="12"/>
      <w:r>
        <w:rPr>
          <w:sz w:val="24"/>
          <w:vertAlign w:val="superscript"/>
          <w:lang w:eastAsia="zh-CN"/>
        </w:rPr>
        <w:fldChar w:fldCharType="end"/>
      </w:r>
    </w:p>
    <w:p w14:paraId="78820488">
      <w:pPr>
        <w:snapToGrid w:val="0"/>
        <w:spacing w:before="120" w:beforeLines="50"/>
        <w:jc w:val="both"/>
        <w:rPr>
          <w:sz w:val="18"/>
          <w:szCs w:val="18"/>
          <w:lang w:eastAsia="zh-CN"/>
        </w:rPr>
      </w:pPr>
      <w:bookmarkStart w:id="13" w:name="bookmark10"/>
    </w:p>
    <w:p w14:paraId="2EF4C8B9">
      <w:pPr>
        <w:snapToGrid w:val="0"/>
        <w:spacing w:before="120" w:beforeLines="50"/>
        <w:jc w:val="both"/>
        <w:rPr>
          <w:sz w:val="18"/>
          <w:szCs w:val="18"/>
          <w:lang w:eastAsia="zh-CN"/>
        </w:rPr>
      </w:pPr>
    </w:p>
    <w:p w14:paraId="7FC529A9">
      <w:pPr>
        <w:snapToGrid w:val="0"/>
        <w:spacing w:before="120" w:beforeLines="50"/>
        <w:jc w:val="both"/>
        <w:rPr>
          <w:sz w:val="18"/>
          <w:szCs w:val="18"/>
          <w:lang w:eastAsia="zh-CN"/>
        </w:rPr>
      </w:pPr>
    </w:p>
    <w:p w14:paraId="49DC2B09">
      <w:pPr>
        <w:snapToGrid w:val="0"/>
        <w:spacing w:before="120" w:beforeLines="50"/>
        <w:jc w:val="both"/>
        <w:rPr>
          <w:sz w:val="18"/>
          <w:szCs w:val="18"/>
          <w:lang w:eastAsia="zh-CN"/>
        </w:rPr>
      </w:pPr>
    </w:p>
    <w:p w14:paraId="1E6BCED0">
      <w:pPr>
        <w:snapToGrid w:val="0"/>
        <w:spacing w:before="120" w:beforeLines="50"/>
        <w:jc w:val="both"/>
        <w:rPr>
          <w:sz w:val="18"/>
          <w:szCs w:val="18"/>
          <w:lang w:eastAsia="zh-CN"/>
        </w:rPr>
      </w:pPr>
    </w:p>
    <w:p w14:paraId="28E9D389">
      <w:pPr>
        <w:snapToGrid w:val="0"/>
        <w:spacing w:before="120" w:beforeLines="50"/>
        <w:jc w:val="both"/>
        <w:rPr>
          <w:sz w:val="18"/>
          <w:szCs w:val="18"/>
          <w:lang w:eastAsia="zh-CN"/>
        </w:rPr>
      </w:pPr>
    </w:p>
    <w:p w14:paraId="2D64FDAC">
      <w:pPr>
        <w:snapToGrid w:val="0"/>
        <w:spacing w:before="120" w:beforeLines="50"/>
        <w:jc w:val="both"/>
        <w:rPr>
          <w:sz w:val="18"/>
          <w:szCs w:val="18"/>
          <w:lang w:eastAsia="zh-CN"/>
        </w:rPr>
      </w:pPr>
      <w:r>
        <w:rPr>
          <w:sz w:val="18"/>
          <w:szCs w:val="18"/>
          <w:lang w:eastAsia="zh-CN"/>
        </w:rPr>
        <w:t>_________________________</w:t>
      </w:r>
    </w:p>
    <w:p w14:paraId="16646D3A">
      <w:pPr>
        <w:tabs>
          <w:tab w:val="left" w:pos="120"/>
        </w:tabs>
        <w:snapToGrid w:val="0"/>
        <w:spacing w:before="120" w:beforeLines="50"/>
        <w:rPr>
          <w:sz w:val="18"/>
          <w:szCs w:val="18"/>
          <w:lang w:eastAsia="zh-CN"/>
        </w:rPr>
      </w:pPr>
      <w:r>
        <w:rPr>
          <w:sz w:val="18"/>
          <w:szCs w:val="18"/>
          <w:vertAlign w:val="superscript"/>
          <w:lang w:eastAsia="zh-CN"/>
        </w:rPr>
        <w:t>2</w:t>
      </w:r>
      <w:r>
        <w:rPr>
          <w:sz w:val="18"/>
          <w:szCs w:val="18"/>
          <w:lang w:eastAsia="zh-CN"/>
        </w:rPr>
        <w:tab/>
      </w:r>
      <w:r>
        <w:rPr>
          <w:sz w:val="18"/>
          <w:szCs w:val="18"/>
          <w:lang w:eastAsia="zh-CN"/>
        </w:rPr>
        <w:t>卫生与公众服务部部长AlexM Azar，确定存在公共卫生紧急事件。（2020年1月31日，2020年4月21日更新），请访问</w:t>
      </w:r>
      <w:r>
        <w:fldChar w:fldCharType="begin"/>
      </w:r>
      <w:r>
        <w:instrText xml:space="preserve"> HYPERLINK "https://www.phe.gov/emergency/news/healthactions/phe/Pages/default.aspx" </w:instrText>
      </w:r>
      <w:r>
        <w:fldChar w:fldCharType="separate"/>
      </w:r>
      <w:r>
        <w:rPr>
          <w:rStyle w:val="12"/>
          <w:color w:val="0000FF"/>
          <w:sz w:val="18"/>
          <w:szCs w:val="18"/>
          <w:lang w:eastAsia="zh-CN"/>
        </w:rPr>
        <w:t>https://www.phe.gov/emergencv/news/healthactions/phe/Pages/default.asnx</w:t>
      </w:r>
      <w:r>
        <w:rPr>
          <w:rStyle w:val="12"/>
          <w:color w:val="0000FF"/>
          <w:sz w:val="18"/>
          <w:szCs w:val="18"/>
          <w:lang w:eastAsia="zh-CN"/>
        </w:rPr>
        <w:fldChar w:fldCharType="end"/>
      </w:r>
      <w:r>
        <w:rPr>
          <w:sz w:val="18"/>
          <w:szCs w:val="18"/>
          <w:lang w:eastAsia="zh-CN"/>
        </w:rPr>
        <w:t>。</w:t>
      </w:r>
      <w:bookmarkEnd w:id="13"/>
    </w:p>
    <w:p w14:paraId="25BF1753">
      <w:pPr>
        <w:tabs>
          <w:tab w:val="left" w:pos="110"/>
        </w:tabs>
        <w:snapToGrid w:val="0"/>
        <w:spacing w:before="120" w:beforeLines="50"/>
        <w:rPr>
          <w:bCs/>
          <w:sz w:val="18"/>
          <w:szCs w:val="18"/>
        </w:rPr>
      </w:pPr>
      <w:bookmarkStart w:id="14" w:name="bookmark11"/>
      <w:r>
        <w:rPr>
          <w:sz w:val="18"/>
          <w:szCs w:val="18"/>
          <w:vertAlign w:val="superscript"/>
          <w:lang w:eastAsia="zh-CN"/>
        </w:rPr>
        <w:t>3</w:t>
      </w:r>
      <w:r>
        <w:rPr>
          <w:sz w:val="18"/>
          <w:szCs w:val="18"/>
          <w:lang w:eastAsia="zh-CN"/>
        </w:rPr>
        <w:tab/>
      </w:r>
      <w:r>
        <w:rPr>
          <w:sz w:val="18"/>
          <w:szCs w:val="18"/>
          <w:lang w:eastAsia="zh-CN"/>
        </w:rPr>
        <w:t>关于宣布针对新型冠状病毒肺炎（COVID-19）</w:t>
      </w:r>
      <w:r>
        <w:rPr>
          <w:rFonts w:hint="eastAsia"/>
          <w:sz w:val="18"/>
          <w:szCs w:val="18"/>
          <w:lang w:eastAsia="zh-CN"/>
        </w:rPr>
        <w:t>疫情</w:t>
      </w:r>
      <w:r>
        <w:rPr>
          <w:sz w:val="18"/>
          <w:szCs w:val="18"/>
          <w:lang w:eastAsia="zh-CN"/>
        </w:rPr>
        <w:t>国家紧急状态的公告（2020年3月13日），请访问</w:t>
      </w:r>
      <w:r>
        <w:fldChar w:fldCharType="begin"/>
      </w:r>
      <w:r>
        <w:instrText xml:space="preserve"> HYPERLINK "https://www.whitehouse.gov/presidential-actions/proclamation-declaring-national-emergency-concerning-novel-coronavirus-disease-covid-19-outbreak/" </w:instrText>
      </w:r>
      <w:r>
        <w:fldChar w:fldCharType="separate"/>
      </w:r>
      <w:r>
        <w:rPr>
          <w:rStyle w:val="12"/>
          <w:color w:val="0000FF"/>
          <w:sz w:val="18"/>
          <w:szCs w:val="18"/>
          <w:lang w:eastAsia="zh-CN"/>
        </w:rPr>
        <w:t>https ://www.whitehouse. gov/presidential-actions/proclamation-declarin g-national-</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"https://www.whitehouse.gov/presidential-actions/proclamation-declaring-national-emergency-concerning-novel-coronavirus-disease-covid-19-outbreak/" </w:instrText>
      </w:r>
      <w:r>
        <w:fldChar w:fldCharType="separate"/>
      </w:r>
      <w:r>
        <w:rPr>
          <w:rStyle w:val="12"/>
          <w:color w:val="0000FF"/>
          <w:sz w:val="18"/>
          <w:szCs w:val="18"/>
          <w:lang w:eastAsia="zh-CN"/>
        </w:rPr>
        <w:t>emergencv-concerning-novel-coronavirus-disease-covid-19-outbreak/</w:t>
      </w:r>
      <w:r>
        <w:rPr>
          <w:rStyle w:val="12"/>
          <w:color w:val="0000FF"/>
          <w:sz w:val="18"/>
          <w:szCs w:val="18"/>
          <w:lang w:eastAsia="zh-CN"/>
        </w:rPr>
        <w:fldChar w:fldCharType="end"/>
      </w:r>
      <w:r>
        <w:rPr>
          <w:sz w:val="18"/>
          <w:szCs w:val="18"/>
          <w:lang w:eastAsia="zh-CN"/>
        </w:rPr>
        <w:t>。</w:t>
      </w:r>
      <w:bookmarkEnd w:id="14"/>
    </w:p>
    <w:p w14:paraId="2EEE890B">
      <w:pPr>
        <w:tabs>
          <w:tab w:val="left" w:pos="110"/>
        </w:tabs>
        <w:snapToGrid w:val="0"/>
        <w:spacing w:before="120" w:beforeLines="50"/>
        <w:jc w:val="both"/>
      </w:pPr>
    </w:p>
    <w:p w14:paraId="100C4630">
      <w:pPr>
        <w:pStyle w:val="16"/>
        <w:spacing w:before="120" w:after="120"/>
        <w:rPr>
          <w:lang w:eastAsia="zh-CN"/>
        </w:rPr>
      </w:pPr>
      <w:bookmarkStart w:id="15" w:name="_Toc97318317"/>
      <w:bookmarkStart w:id="16" w:name="bookmark13"/>
      <w:r>
        <w:rPr>
          <w:lang w:eastAsia="zh-CN"/>
        </w:rPr>
        <w:t>III.</w:t>
      </w:r>
      <w:r>
        <w:rPr>
          <w:lang w:eastAsia="zh-CN"/>
        </w:rPr>
        <w:tab/>
      </w:r>
      <w:r>
        <w:rPr>
          <w:lang w:eastAsia="zh-CN"/>
        </w:rPr>
        <w:t>范围</w:t>
      </w:r>
      <w:bookmarkEnd w:id="15"/>
      <w:bookmarkEnd w:id="16"/>
    </w:p>
    <w:p w14:paraId="41ED5516">
      <w:pPr>
        <w:snapToGrid w:val="0"/>
        <w:spacing w:before="120" w:beforeLines="50"/>
        <w:jc w:val="both"/>
        <w:rPr>
          <w:sz w:val="24"/>
          <w:lang w:eastAsia="zh-CN"/>
        </w:rPr>
      </w:pPr>
      <w:bookmarkStart w:id="17" w:name="bookmark14"/>
      <w:r>
        <w:rPr>
          <w:sz w:val="24"/>
          <w:lang w:eastAsia="zh-CN"/>
        </w:rPr>
        <w:t>在美国</w:t>
      </w:r>
      <w:r>
        <w:rPr>
          <w:rFonts w:hint="eastAsia"/>
          <w:sz w:val="24"/>
          <w:lang w:eastAsia="zh-CN"/>
        </w:rPr>
        <w:t>，</w:t>
      </w:r>
      <w:r>
        <w:rPr>
          <w:sz w:val="24"/>
          <w:lang w:eastAsia="zh-CN"/>
        </w:rPr>
        <w:t>许多产品作为</w:t>
      </w:r>
      <w:r>
        <w:rPr>
          <w:rFonts w:ascii="宋体" w:hAnsi="宋体"/>
          <w:sz w:val="24"/>
          <w:lang w:eastAsia="zh-CN"/>
        </w:rPr>
        <w:t>“</w:t>
      </w:r>
      <w:r>
        <w:rPr>
          <w:sz w:val="24"/>
          <w:lang w:eastAsia="zh-CN"/>
        </w:rPr>
        <w:t>口罩</w:t>
      </w:r>
      <w:r>
        <w:rPr>
          <w:rFonts w:ascii="宋体" w:hAnsi="宋体"/>
          <w:sz w:val="24"/>
          <w:lang w:eastAsia="zh-CN"/>
        </w:rPr>
        <w:t>”销售</w:t>
      </w:r>
      <w:r>
        <w:rPr>
          <w:rFonts w:hint="eastAsia" w:ascii="宋体" w:hAnsi="宋体"/>
          <w:sz w:val="24"/>
          <w:lang w:eastAsia="zh-CN"/>
        </w:rPr>
        <w:t>，</w:t>
      </w:r>
      <w:r>
        <w:rPr>
          <w:rFonts w:ascii="宋体" w:hAnsi="宋体"/>
          <w:sz w:val="24"/>
          <w:lang w:eastAsia="zh-CN"/>
        </w:rPr>
        <w:t>这些产品可</w:t>
      </w:r>
      <w:r>
        <w:rPr>
          <w:sz w:val="24"/>
          <w:lang w:eastAsia="zh-CN"/>
        </w:rPr>
        <w:t>提供一系列保护</w:t>
      </w:r>
      <w:r>
        <w:rPr>
          <w:rFonts w:hint="eastAsia"/>
          <w:sz w:val="24"/>
          <w:lang w:eastAsia="zh-CN"/>
        </w:rPr>
        <w:t>以防</w:t>
      </w:r>
      <w:r>
        <w:rPr>
          <w:sz w:val="24"/>
          <w:lang w:eastAsia="zh-CN"/>
        </w:rPr>
        <w:t>发生潜在的健康危害。</w:t>
      </w:r>
      <w:r>
        <w:rPr>
          <w:rFonts w:hint="eastAsia"/>
          <w:sz w:val="24"/>
          <w:lang w:eastAsia="zh-CN"/>
        </w:rPr>
        <w:t>如果</w:t>
      </w:r>
      <w:r>
        <w:rPr>
          <w:sz w:val="24"/>
          <w:lang w:eastAsia="zh-CN"/>
        </w:rPr>
        <w:t>符合《联邦食品、药品和化妆品法案》（《FD&amp;C法案》）第201(h)节中的器械定义</w:t>
      </w:r>
      <w:r>
        <w:rPr>
          <w:rFonts w:hint="eastAsia"/>
          <w:sz w:val="24"/>
          <w:lang w:eastAsia="zh-CN"/>
        </w:rPr>
        <w:t>，口罩</w:t>
      </w:r>
      <w:r>
        <w:fldChar w:fldCharType="begin"/>
      </w:r>
      <w:r>
        <w:instrText xml:space="preserve"> HYPERLINK \l "bookmark16" \o "当前文件" \h </w:instrText>
      </w:r>
      <w:r>
        <w:fldChar w:fldCharType="separate"/>
      </w:r>
      <w:r>
        <w:rPr>
          <w:sz w:val="24"/>
          <w:vertAlign w:val="superscript"/>
          <w:lang w:eastAsia="zh-CN"/>
        </w:rPr>
        <w:t>5</w:t>
      </w:r>
      <w:r>
        <w:rPr>
          <w:sz w:val="24"/>
          <w:vertAlign w:val="superscript"/>
          <w:lang w:eastAsia="zh-CN"/>
        </w:rPr>
        <w:fldChar w:fldCharType="end"/>
      </w:r>
      <w:r>
        <w:rPr>
          <w:rFonts w:hint="eastAsia"/>
          <w:sz w:val="24"/>
          <w:lang w:eastAsia="zh-CN"/>
        </w:rPr>
        <w:t>和呼吸器</w:t>
      </w:r>
      <w:r>
        <w:rPr>
          <w:sz w:val="24"/>
          <w:lang w:eastAsia="zh-CN"/>
        </w:rPr>
        <w:t>需</w:t>
      </w:r>
      <w:r>
        <w:rPr>
          <w:rFonts w:hint="eastAsia"/>
          <w:sz w:val="24"/>
          <w:lang w:eastAsia="zh-CN"/>
        </w:rPr>
        <w:t>由</w:t>
      </w:r>
      <w:r>
        <w:rPr>
          <w:sz w:val="24"/>
          <w:lang w:eastAsia="zh-CN"/>
        </w:rPr>
        <w:t>FDA</w:t>
      </w:r>
      <w:r>
        <w:rPr>
          <w:rFonts w:hint="eastAsia"/>
          <w:sz w:val="24"/>
          <w:lang w:eastAsia="zh-CN"/>
        </w:rPr>
        <w:t>进行</w:t>
      </w:r>
      <w:r>
        <w:rPr>
          <w:sz w:val="24"/>
          <w:lang w:eastAsia="zh-CN"/>
        </w:rPr>
        <w:t>监管。一般来说，用于医疗目的</w:t>
      </w:r>
      <w:r>
        <w:rPr>
          <w:rFonts w:hint="eastAsia"/>
          <w:sz w:val="24"/>
          <w:lang w:eastAsia="zh-CN"/>
        </w:rPr>
        <w:t>（</w:t>
      </w:r>
      <w:r>
        <w:rPr>
          <w:sz w:val="24"/>
          <w:lang w:eastAsia="zh-CN"/>
        </w:rPr>
        <w:t>包括供HCP使用时</w:t>
      </w:r>
      <w:r>
        <w:rPr>
          <w:rFonts w:hint="eastAsia"/>
          <w:sz w:val="24"/>
          <w:lang w:eastAsia="zh-CN"/>
        </w:rPr>
        <w:t>）的</w:t>
      </w:r>
      <w:r>
        <w:rPr>
          <w:sz w:val="24"/>
          <w:lang w:eastAsia="zh-CN"/>
        </w:rPr>
        <w:t>口罩</w:t>
      </w:r>
      <w:r>
        <w:rPr>
          <w:rFonts w:hint="eastAsia"/>
          <w:sz w:val="24"/>
          <w:lang w:eastAsia="zh-CN"/>
        </w:rPr>
        <w:t>符合该</w:t>
      </w:r>
      <w:r>
        <w:rPr>
          <w:sz w:val="24"/>
          <w:lang w:eastAsia="zh-CN"/>
        </w:rPr>
        <w:t>定义。</w:t>
      </w:r>
      <w:r>
        <w:fldChar w:fldCharType="begin"/>
      </w:r>
      <w:r>
        <w:instrText xml:space="preserve"> HYPERLINK \l "bookmark17" \o "当前文件" \h </w:instrText>
      </w:r>
      <w:r>
        <w:fldChar w:fldCharType="separate"/>
      </w:r>
      <w:r>
        <w:rPr>
          <w:sz w:val="24"/>
          <w:vertAlign w:val="superscript"/>
          <w:lang w:eastAsia="zh-CN"/>
        </w:rPr>
        <w:t>6</w:t>
      </w:r>
      <w:r>
        <w:rPr>
          <w:sz w:val="24"/>
          <w:vertAlign w:val="superscript"/>
          <w:lang w:eastAsia="zh-CN"/>
        </w:rPr>
        <w:fldChar w:fldCharType="end"/>
      </w:r>
      <w:r>
        <w:rPr>
          <w:sz w:val="24"/>
          <w:lang w:eastAsia="zh-CN"/>
        </w:rPr>
        <w:t>如下文的进一步详细描述</w:t>
      </w:r>
      <w:r>
        <w:rPr>
          <w:rFonts w:hint="eastAsia"/>
          <w:sz w:val="24"/>
          <w:lang w:eastAsia="zh-CN"/>
        </w:rPr>
        <w:t>，</w:t>
      </w:r>
      <w:r>
        <w:rPr>
          <w:sz w:val="24"/>
          <w:lang w:eastAsia="zh-CN"/>
        </w:rPr>
        <w:t>不用于医疗目的的口罩不</w:t>
      </w:r>
      <w:r>
        <w:rPr>
          <w:rFonts w:hint="eastAsia"/>
          <w:sz w:val="24"/>
          <w:lang w:eastAsia="zh-CN"/>
        </w:rPr>
        <w:t>属于</w:t>
      </w:r>
      <w:r>
        <w:rPr>
          <w:sz w:val="24"/>
          <w:lang w:eastAsia="zh-CN"/>
        </w:rPr>
        <w:t>医疗器械。受FDA监管的口罩和呼吸器见</w:t>
      </w:r>
      <w:r>
        <w:fldChar w:fldCharType="begin"/>
      </w:r>
      <w:r>
        <w:instrText xml:space="preserve"> HYPERLINK \l "bookmark14" \o "当前文件" \h </w:instrText>
      </w:r>
      <w:r>
        <w:fldChar w:fldCharType="separate"/>
      </w:r>
      <w:r>
        <w:rPr>
          <w:sz w:val="24"/>
          <w:lang w:eastAsia="zh-CN"/>
        </w:rPr>
        <w:t>表1：</w:t>
      </w:r>
      <w:bookmarkEnd w:id="17"/>
      <w:r>
        <w:rPr>
          <w:sz w:val="24"/>
          <w:lang w:eastAsia="zh-CN"/>
        </w:rPr>
        <w:fldChar w:fldCharType="end"/>
      </w:r>
    </w:p>
    <w:p w14:paraId="48E608EE">
      <w:pPr>
        <w:snapToGrid w:val="0"/>
        <w:spacing w:before="120" w:beforeLines="50"/>
        <w:jc w:val="center"/>
        <w:rPr>
          <w:sz w:val="24"/>
        </w:rPr>
      </w:pPr>
      <w:r>
        <w:rPr>
          <w:b/>
          <w:bCs/>
          <w:sz w:val="24"/>
          <w:lang w:eastAsia="zh-CN"/>
        </w:rPr>
        <w:t>表1</w:t>
      </w:r>
    </w:p>
    <w:tbl>
      <w:tblPr>
        <w:tblStyle w:val="9"/>
        <w:tblW w:w="5000" w:type="pct"/>
        <w:tblInd w:w="0" w:type="dxa"/>
        <w:tblLayout w:type="autofit"/>
        <w:tblCellMar>
          <w:top w:w="0" w:type="dxa"/>
          <w:left w:w="57" w:type="dxa"/>
          <w:bottom w:w="0" w:type="dxa"/>
          <w:right w:w="57" w:type="dxa"/>
        </w:tblCellMar>
      </w:tblPr>
      <w:tblGrid>
        <w:gridCol w:w="1881"/>
        <w:gridCol w:w="5526"/>
        <w:gridCol w:w="1020"/>
      </w:tblGrid>
      <w:tr w14:paraId="279723ED">
        <w:tblPrEx>
          <w:tblCellMar>
            <w:top w:w="0" w:type="dxa"/>
            <w:left w:w="57" w:type="dxa"/>
            <w:bottom w:w="0" w:type="dxa"/>
            <w:right w:w="57" w:type="dxa"/>
          </w:tblCellMar>
        </w:tblPrEx>
        <w:trPr>
          <w:trHeight w:val="566" w:hRule="atLeast"/>
        </w:trPr>
        <w:tc>
          <w:tcPr>
            <w:tcW w:w="1116" w:type="pct"/>
            <w:tcBorders>
              <w:top w:val="single" w:color="auto" w:sz="4" w:space="0"/>
              <w:left w:val="single" w:color="auto" w:sz="4" w:space="0"/>
            </w:tcBorders>
            <w:shd w:val="clear" w:color="auto" w:fill="FFFFFF"/>
            <w:vAlign w:val="center"/>
          </w:tcPr>
          <w:p w14:paraId="3BF1676E">
            <w:pPr>
              <w:snapToGrid w:val="0"/>
              <w:jc w:val="both"/>
            </w:pPr>
            <w:r>
              <w:rPr>
                <w:b/>
                <w:bCs/>
                <w:sz w:val="24"/>
                <w:lang w:eastAsia="zh-CN"/>
              </w:rPr>
              <w:t>分类条例</w:t>
            </w:r>
          </w:p>
        </w:tc>
        <w:tc>
          <w:tcPr>
            <w:tcW w:w="3279" w:type="pct"/>
            <w:tcBorders>
              <w:top w:val="single" w:color="auto" w:sz="4" w:space="0"/>
              <w:left w:val="single" w:color="auto" w:sz="4" w:space="0"/>
            </w:tcBorders>
            <w:shd w:val="clear" w:color="auto" w:fill="FFFFFF"/>
            <w:vAlign w:val="center"/>
          </w:tcPr>
          <w:p w14:paraId="3719C00D">
            <w:pPr>
              <w:snapToGrid w:val="0"/>
              <w:jc w:val="both"/>
            </w:pPr>
            <w:r>
              <w:rPr>
                <w:b/>
                <w:bCs/>
                <w:sz w:val="24"/>
                <w:lang w:eastAsia="zh-CN"/>
              </w:rPr>
              <w:t>器械类型</w:t>
            </w:r>
          </w:p>
        </w:tc>
        <w:tc>
          <w:tcPr>
            <w:tcW w:w="605" w:type="pct"/>
            <w:tcBorders>
              <w:top w:val="single" w:color="auto" w:sz="4" w:space="0"/>
              <w:left w:val="single" w:color="auto" w:sz="4" w:space="0"/>
              <w:right w:val="single" w:color="auto" w:sz="4" w:space="0"/>
            </w:tcBorders>
            <w:shd w:val="clear" w:color="auto" w:fill="FFFFFF"/>
            <w:vAlign w:val="center"/>
          </w:tcPr>
          <w:p w14:paraId="71E98B6F">
            <w:pPr>
              <w:snapToGrid w:val="0"/>
              <w:jc w:val="both"/>
            </w:pPr>
            <w:r>
              <w:rPr>
                <w:b/>
                <w:bCs/>
                <w:sz w:val="24"/>
                <w:lang w:eastAsia="zh-CN"/>
              </w:rPr>
              <w:t>产品代码</w:t>
            </w:r>
            <w:r>
              <w:fldChar w:fldCharType="begin"/>
            </w:r>
            <w:r>
              <w:instrText xml:space="preserve"> HYPERLINK \l "bookmark18" \o "当前文件" \h </w:instrText>
            </w:r>
            <w:r>
              <w:fldChar w:fldCharType="separate"/>
            </w:r>
            <w:r>
              <w:rPr>
                <w:b/>
                <w:bCs/>
                <w:sz w:val="24"/>
                <w:vertAlign w:val="superscript"/>
                <w:lang w:eastAsia="zh-CN"/>
              </w:rPr>
              <w:t>7</w:t>
            </w:r>
            <w:r>
              <w:rPr>
                <w:b/>
                <w:bCs/>
                <w:sz w:val="24"/>
                <w:vertAlign w:val="superscript"/>
                <w:lang w:eastAsia="zh-CN"/>
              </w:rPr>
              <w:fldChar w:fldCharType="end"/>
            </w:r>
          </w:p>
        </w:tc>
      </w:tr>
      <w:tr w14:paraId="3500FABE">
        <w:tblPrEx>
          <w:tblCellMar>
            <w:top w:w="0" w:type="dxa"/>
            <w:left w:w="57" w:type="dxa"/>
            <w:bottom w:w="0" w:type="dxa"/>
            <w:right w:w="57" w:type="dxa"/>
          </w:tblCellMar>
        </w:tblPrEx>
        <w:trPr>
          <w:trHeight w:val="283" w:hRule="atLeast"/>
        </w:trPr>
        <w:tc>
          <w:tcPr>
            <w:tcW w:w="1116" w:type="pct"/>
            <w:vMerge w:val="restart"/>
            <w:tcBorders>
              <w:top w:val="single" w:color="auto" w:sz="4" w:space="0"/>
              <w:left w:val="single" w:color="auto" w:sz="4" w:space="0"/>
            </w:tcBorders>
            <w:shd w:val="clear" w:color="auto" w:fill="FFFFFF"/>
            <w:vAlign w:val="center"/>
          </w:tcPr>
          <w:p w14:paraId="6C4A05A6">
            <w:pPr>
              <w:snapToGrid w:val="0"/>
              <w:jc w:val="both"/>
            </w:pPr>
            <w:r>
              <w:rPr>
                <w:sz w:val="24"/>
                <w:lang w:eastAsia="zh-CN"/>
              </w:rPr>
              <w:t>21 CFR 878.4040</w:t>
            </w:r>
          </w:p>
        </w:tc>
        <w:tc>
          <w:tcPr>
            <w:tcW w:w="3279" w:type="pct"/>
            <w:tcBorders>
              <w:top w:val="single" w:color="auto" w:sz="4" w:space="0"/>
              <w:left w:val="single" w:color="auto" w:sz="4" w:space="0"/>
            </w:tcBorders>
            <w:shd w:val="clear" w:color="auto" w:fill="FFFFFF"/>
            <w:vAlign w:val="center"/>
          </w:tcPr>
          <w:p w14:paraId="6EC7A73D">
            <w:pPr>
              <w:snapToGrid w:val="0"/>
              <w:jc w:val="both"/>
            </w:pPr>
            <w:r>
              <w:rPr>
                <w:sz w:val="24"/>
                <w:lang w:eastAsia="zh-CN"/>
              </w:rPr>
              <w:t>口罩，外科</w:t>
            </w:r>
          </w:p>
        </w:tc>
        <w:tc>
          <w:tcPr>
            <w:tcW w:w="605" w:type="pct"/>
            <w:tcBorders>
              <w:top w:val="single" w:color="auto" w:sz="4" w:space="0"/>
              <w:left w:val="single" w:color="auto" w:sz="4" w:space="0"/>
              <w:right w:val="single" w:color="auto" w:sz="4" w:space="0"/>
            </w:tcBorders>
            <w:shd w:val="clear" w:color="auto" w:fill="FFFFFF"/>
            <w:vAlign w:val="center"/>
          </w:tcPr>
          <w:p w14:paraId="7C67CBC3">
            <w:pPr>
              <w:snapToGrid w:val="0"/>
              <w:jc w:val="both"/>
            </w:pPr>
            <w:r>
              <w:rPr>
                <w:sz w:val="24"/>
                <w:lang w:eastAsia="zh-CN"/>
              </w:rPr>
              <w:t>FXX</w:t>
            </w:r>
          </w:p>
        </w:tc>
      </w:tr>
      <w:tr w14:paraId="4AB5E1C7">
        <w:tblPrEx>
          <w:tblCellMar>
            <w:top w:w="0" w:type="dxa"/>
            <w:left w:w="57" w:type="dxa"/>
            <w:bottom w:w="0" w:type="dxa"/>
            <w:right w:w="57" w:type="dxa"/>
          </w:tblCellMar>
        </w:tblPrEx>
        <w:trPr>
          <w:trHeight w:val="293" w:hRule="atLeast"/>
        </w:trPr>
        <w:tc>
          <w:tcPr>
            <w:tcW w:w="1116" w:type="pct"/>
            <w:vMerge w:val="continue"/>
            <w:tcBorders>
              <w:left w:val="single" w:color="auto" w:sz="4" w:space="0"/>
            </w:tcBorders>
            <w:shd w:val="clear" w:color="auto" w:fill="FFFFFF"/>
            <w:vAlign w:val="center"/>
          </w:tcPr>
          <w:p w14:paraId="01A00B17">
            <w:pPr>
              <w:snapToGrid w:val="0"/>
              <w:jc w:val="both"/>
            </w:pPr>
          </w:p>
        </w:tc>
        <w:tc>
          <w:tcPr>
            <w:tcW w:w="3279" w:type="pct"/>
            <w:tcBorders>
              <w:top w:val="single" w:color="auto" w:sz="4" w:space="0"/>
              <w:left w:val="single" w:color="auto" w:sz="4" w:space="0"/>
            </w:tcBorders>
            <w:shd w:val="clear" w:color="auto" w:fill="FFFFFF"/>
            <w:vAlign w:val="center"/>
          </w:tcPr>
          <w:p w14:paraId="73D63071">
            <w:pPr>
              <w:snapToGrid w:val="0"/>
              <w:jc w:val="both"/>
            </w:pPr>
            <w:r>
              <w:rPr>
                <w:sz w:val="24"/>
                <w:lang w:eastAsia="zh-CN"/>
              </w:rPr>
              <w:t>儿科/儿童口罩</w:t>
            </w:r>
          </w:p>
        </w:tc>
        <w:tc>
          <w:tcPr>
            <w:tcW w:w="605" w:type="pct"/>
            <w:tcBorders>
              <w:top w:val="single" w:color="auto" w:sz="4" w:space="0"/>
              <w:left w:val="single" w:color="auto" w:sz="4" w:space="0"/>
              <w:right w:val="single" w:color="auto" w:sz="4" w:space="0"/>
            </w:tcBorders>
            <w:shd w:val="clear" w:color="auto" w:fill="FFFFFF"/>
            <w:vAlign w:val="center"/>
          </w:tcPr>
          <w:p w14:paraId="7B0D5D01">
            <w:pPr>
              <w:snapToGrid w:val="0"/>
              <w:jc w:val="both"/>
            </w:pPr>
            <w:r>
              <w:rPr>
                <w:sz w:val="24"/>
                <w:lang w:eastAsia="zh-CN"/>
              </w:rPr>
              <w:t>OXZ</w:t>
            </w:r>
          </w:p>
        </w:tc>
      </w:tr>
      <w:tr w14:paraId="6491BF62">
        <w:tblPrEx>
          <w:tblCellMar>
            <w:top w:w="0" w:type="dxa"/>
            <w:left w:w="57" w:type="dxa"/>
            <w:bottom w:w="0" w:type="dxa"/>
            <w:right w:w="57" w:type="dxa"/>
          </w:tblCellMar>
        </w:tblPrEx>
        <w:trPr>
          <w:trHeight w:val="288" w:hRule="atLeast"/>
        </w:trPr>
        <w:tc>
          <w:tcPr>
            <w:tcW w:w="1116" w:type="pct"/>
            <w:vMerge w:val="continue"/>
            <w:tcBorders>
              <w:left w:val="single" w:color="auto" w:sz="4" w:space="0"/>
            </w:tcBorders>
            <w:shd w:val="clear" w:color="auto" w:fill="FFFFFF"/>
            <w:vAlign w:val="center"/>
          </w:tcPr>
          <w:p w14:paraId="3EA37738">
            <w:pPr>
              <w:snapToGrid w:val="0"/>
              <w:jc w:val="both"/>
            </w:pPr>
          </w:p>
        </w:tc>
        <w:tc>
          <w:tcPr>
            <w:tcW w:w="3279" w:type="pct"/>
            <w:tcBorders>
              <w:top w:val="single" w:color="auto" w:sz="4" w:space="0"/>
              <w:left w:val="single" w:color="auto" w:sz="4" w:space="0"/>
            </w:tcBorders>
            <w:shd w:val="clear" w:color="auto" w:fill="FFFFFF"/>
            <w:vAlign w:val="center"/>
          </w:tcPr>
          <w:p w14:paraId="202176B6">
            <w:pPr>
              <w:snapToGrid w:val="0"/>
              <w:jc w:val="both"/>
              <w:rPr>
                <w:lang w:eastAsia="zh-CN"/>
              </w:rPr>
            </w:pPr>
            <w:r>
              <w:rPr>
                <w:sz w:val="24"/>
                <w:lang w:eastAsia="zh-CN"/>
              </w:rPr>
              <w:t>附件，手术服（口罩）</w:t>
            </w:r>
            <w:r>
              <w:fldChar w:fldCharType="begin"/>
            </w:r>
            <w:r>
              <w:instrText xml:space="preserve"> HYPERLINK \l "bookmark19" \o "当前文件" \h </w:instrText>
            </w:r>
            <w:r>
              <w:fldChar w:fldCharType="separate"/>
            </w:r>
            <w:r>
              <w:rPr>
                <w:sz w:val="24"/>
                <w:vertAlign w:val="superscript"/>
                <w:lang w:eastAsia="zh-CN"/>
              </w:rPr>
              <w:t>8</w:t>
            </w:r>
            <w:r>
              <w:rPr>
                <w:sz w:val="24"/>
                <w:vertAlign w:val="superscript"/>
                <w:lang w:eastAsia="zh-CN"/>
              </w:rPr>
              <w:fldChar w:fldCharType="end"/>
            </w:r>
          </w:p>
        </w:tc>
        <w:tc>
          <w:tcPr>
            <w:tcW w:w="605" w:type="pct"/>
            <w:tcBorders>
              <w:top w:val="single" w:color="auto" w:sz="4" w:space="0"/>
              <w:left w:val="single" w:color="auto" w:sz="4" w:space="0"/>
              <w:right w:val="single" w:color="auto" w:sz="4" w:space="0"/>
            </w:tcBorders>
            <w:shd w:val="clear" w:color="auto" w:fill="FFFFFF"/>
            <w:vAlign w:val="center"/>
          </w:tcPr>
          <w:p w14:paraId="3ED3F604">
            <w:pPr>
              <w:snapToGrid w:val="0"/>
              <w:jc w:val="both"/>
            </w:pPr>
            <w:r>
              <w:rPr>
                <w:sz w:val="24"/>
                <w:lang w:eastAsia="zh-CN"/>
              </w:rPr>
              <w:t>LYU</w:t>
            </w:r>
          </w:p>
        </w:tc>
      </w:tr>
      <w:tr w14:paraId="0D4C48BE">
        <w:tblPrEx>
          <w:tblCellMar>
            <w:top w:w="0" w:type="dxa"/>
            <w:left w:w="57" w:type="dxa"/>
            <w:bottom w:w="0" w:type="dxa"/>
            <w:right w:w="57" w:type="dxa"/>
          </w:tblCellMar>
        </w:tblPrEx>
        <w:trPr>
          <w:trHeight w:val="269" w:hRule="atLeast"/>
        </w:trPr>
        <w:tc>
          <w:tcPr>
            <w:tcW w:w="1116" w:type="pct"/>
            <w:vMerge w:val="continue"/>
            <w:tcBorders>
              <w:left w:val="single" w:color="auto" w:sz="4" w:space="0"/>
            </w:tcBorders>
            <w:shd w:val="clear" w:color="auto" w:fill="FFFFFF"/>
            <w:vAlign w:val="center"/>
          </w:tcPr>
          <w:p w14:paraId="4667FAD4">
            <w:pPr>
              <w:snapToGrid w:val="0"/>
              <w:jc w:val="both"/>
            </w:pPr>
          </w:p>
        </w:tc>
        <w:tc>
          <w:tcPr>
            <w:tcW w:w="3279" w:type="pct"/>
            <w:tcBorders>
              <w:top w:val="single" w:color="auto" w:sz="4" w:space="0"/>
              <w:left w:val="single" w:color="auto" w:sz="4" w:space="0"/>
            </w:tcBorders>
            <w:shd w:val="clear" w:color="auto" w:fill="FFFFFF"/>
            <w:vAlign w:val="center"/>
          </w:tcPr>
          <w:p w14:paraId="1E0E63E5">
            <w:pPr>
              <w:snapToGrid w:val="0"/>
              <w:jc w:val="both"/>
              <w:rPr>
                <w:lang w:eastAsia="zh-CN"/>
              </w:rPr>
            </w:pPr>
            <w:r>
              <w:rPr>
                <w:rFonts w:hint="eastAsia"/>
                <w:sz w:val="24"/>
                <w:lang w:eastAsia="zh-CN"/>
              </w:rPr>
              <w:t>含</w:t>
            </w:r>
            <w:r>
              <w:rPr>
                <w:sz w:val="24"/>
                <w:lang w:eastAsia="zh-CN"/>
              </w:rPr>
              <w:t>抗菌剂/抗病毒剂的外科口罩</w:t>
            </w:r>
          </w:p>
        </w:tc>
        <w:tc>
          <w:tcPr>
            <w:tcW w:w="605" w:type="pct"/>
            <w:tcBorders>
              <w:top w:val="single" w:color="auto" w:sz="4" w:space="0"/>
              <w:left w:val="single" w:color="auto" w:sz="4" w:space="0"/>
              <w:right w:val="single" w:color="auto" w:sz="4" w:space="0"/>
            </w:tcBorders>
            <w:shd w:val="clear" w:color="auto" w:fill="FFFFFF"/>
            <w:vAlign w:val="center"/>
          </w:tcPr>
          <w:p w14:paraId="291B099B">
            <w:pPr>
              <w:snapToGrid w:val="0"/>
              <w:jc w:val="both"/>
            </w:pPr>
            <w:r>
              <w:rPr>
                <w:sz w:val="24"/>
                <w:lang w:eastAsia="zh-CN"/>
              </w:rPr>
              <w:t>OUK</w:t>
            </w:r>
          </w:p>
        </w:tc>
      </w:tr>
      <w:tr w14:paraId="4FAF22E9">
        <w:tblPrEx>
          <w:tblCellMar>
            <w:top w:w="0" w:type="dxa"/>
            <w:left w:w="57" w:type="dxa"/>
            <w:bottom w:w="0" w:type="dxa"/>
            <w:right w:w="57" w:type="dxa"/>
          </w:tblCellMar>
        </w:tblPrEx>
        <w:trPr>
          <w:trHeight w:val="288" w:hRule="atLeast"/>
        </w:trPr>
        <w:tc>
          <w:tcPr>
            <w:tcW w:w="1116" w:type="pct"/>
            <w:vMerge w:val="continue"/>
            <w:tcBorders>
              <w:left w:val="single" w:color="auto" w:sz="4" w:space="0"/>
            </w:tcBorders>
            <w:shd w:val="clear" w:color="auto" w:fill="FFFFFF"/>
            <w:vAlign w:val="center"/>
          </w:tcPr>
          <w:p w14:paraId="428F54CD">
            <w:pPr>
              <w:snapToGrid w:val="0"/>
              <w:jc w:val="both"/>
            </w:pPr>
          </w:p>
        </w:tc>
        <w:tc>
          <w:tcPr>
            <w:tcW w:w="3279" w:type="pct"/>
            <w:tcBorders>
              <w:top w:val="single" w:color="auto" w:sz="4" w:space="0"/>
              <w:left w:val="single" w:color="auto" w:sz="4" w:space="0"/>
            </w:tcBorders>
            <w:shd w:val="clear" w:color="auto" w:fill="FFFFFF"/>
            <w:vAlign w:val="center"/>
          </w:tcPr>
          <w:p w14:paraId="0FB503A8">
            <w:pPr>
              <w:snapToGrid w:val="0"/>
              <w:jc w:val="both"/>
            </w:pPr>
            <w:r>
              <w:rPr>
                <w:sz w:val="24"/>
                <w:lang w:eastAsia="zh-CN"/>
              </w:rPr>
              <w:t>呼吸器，外科</w:t>
            </w:r>
          </w:p>
        </w:tc>
        <w:tc>
          <w:tcPr>
            <w:tcW w:w="605" w:type="pct"/>
            <w:tcBorders>
              <w:top w:val="single" w:color="auto" w:sz="4" w:space="0"/>
              <w:left w:val="single" w:color="auto" w:sz="4" w:space="0"/>
              <w:right w:val="single" w:color="auto" w:sz="4" w:space="0"/>
            </w:tcBorders>
            <w:shd w:val="clear" w:color="auto" w:fill="FFFFFF"/>
            <w:vAlign w:val="center"/>
          </w:tcPr>
          <w:p w14:paraId="2E5A0CF0">
            <w:pPr>
              <w:snapToGrid w:val="0"/>
              <w:jc w:val="both"/>
            </w:pPr>
            <w:r>
              <w:rPr>
                <w:sz w:val="24"/>
                <w:lang w:eastAsia="zh-CN"/>
              </w:rPr>
              <w:t>MSH</w:t>
            </w:r>
          </w:p>
        </w:tc>
      </w:tr>
      <w:tr w14:paraId="77044F98">
        <w:tblPrEx>
          <w:tblCellMar>
            <w:top w:w="0" w:type="dxa"/>
            <w:left w:w="57" w:type="dxa"/>
            <w:bottom w:w="0" w:type="dxa"/>
            <w:right w:w="57" w:type="dxa"/>
          </w:tblCellMar>
        </w:tblPrEx>
        <w:trPr>
          <w:trHeight w:val="288" w:hRule="atLeast"/>
        </w:trPr>
        <w:tc>
          <w:tcPr>
            <w:tcW w:w="1116" w:type="pct"/>
            <w:vMerge w:val="continue"/>
            <w:tcBorders>
              <w:left w:val="single" w:color="auto" w:sz="4" w:space="0"/>
            </w:tcBorders>
            <w:shd w:val="clear" w:color="auto" w:fill="FFFFFF"/>
            <w:vAlign w:val="center"/>
          </w:tcPr>
          <w:p w14:paraId="0CDB28AD">
            <w:pPr>
              <w:snapToGrid w:val="0"/>
              <w:jc w:val="both"/>
            </w:pPr>
          </w:p>
        </w:tc>
        <w:tc>
          <w:tcPr>
            <w:tcW w:w="3279" w:type="pct"/>
            <w:tcBorders>
              <w:top w:val="single" w:color="auto" w:sz="4" w:space="0"/>
              <w:left w:val="single" w:color="auto" w:sz="4" w:space="0"/>
            </w:tcBorders>
            <w:shd w:val="clear" w:color="auto" w:fill="FFFFFF"/>
            <w:vAlign w:val="center"/>
          </w:tcPr>
          <w:p w14:paraId="4EB43B21">
            <w:pPr>
              <w:snapToGrid w:val="0"/>
              <w:jc w:val="both"/>
              <w:rPr>
                <w:lang w:eastAsia="zh-CN"/>
              </w:rPr>
            </w:pPr>
            <w:r>
              <w:rPr>
                <w:rFonts w:hint="eastAsia"/>
                <w:sz w:val="24"/>
                <w:lang w:eastAsia="zh-CN"/>
              </w:rPr>
              <w:t>含</w:t>
            </w:r>
            <w:r>
              <w:rPr>
                <w:sz w:val="24"/>
                <w:lang w:eastAsia="zh-CN"/>
              </w:rPr>
              <w:t>抗菌/抗病毒剂的N95呼吸器</w:t>
            </w:r>
          </w:p>
        </w:tc>
        <w:tc>
          <w:tcPr>
            <w:tcW w:w="605" w:type="pct"/>
            <w:tcBorders>
              <w:top w:val="single" w:color="auto" w:sz="4" w:space="0"/>
              <w:left w:val="single" w:color="auto" w:sz="4" w:space="0"/>
              <w:right w:val="single" w:color="auto" w:sz="4" w:space="0"/>
            </w:tcBorders>
            <w:shd w:val="clear" w:color="auto" w:fill="FFFFFF"/>
            <w:vAlign w:val="center"/>
          </w:tcPr>
          <w:p w14:paraId="734D495C">
            <w:pPr>
              <w:snapToGrid w:val="0"/>
              <w:jc w:val="both"/>
            </w:pPr>
            <w:r>
              <w:rPr>
                <w:sz w:val="24"/>
                <w:lang w:eastAsia="zh-CN"/>
              </w:rPr>
              <w:t>ONT</w:t>
            </w:r>
          </w:p>
        </w:tc>
      </w:tr>
      <w:tr w14:paraId="6EEF18E1">
        <w:tblPrEx>
          <w:tblCellMar>
            <w:top w:w="0" w:type="dxa"/>
            <w:left w:w="57" w:type="dxa"/>
            <w:bottom w:w="0" w:type="dxa"/>
            <w:right w:w="57" w:type="dxa"/>
          </w:tblCellMar>
        </w:tblPrEx>
        <w:trPr>
          <w:trHeight w:val="854" w:hRule="atLeast"/>
        </w:trPr>
        <w:tc>
          <w:tcPr>
            <w:tcW w:w="1116" w:type="pct"/>
            <w:tcBorders>
              <w:top w:val="single" w:color="auto" w:sz="4" w:space="0"/>
              <w:left w:val="single" w:color="auto" w:sz="4" w:space="0"/>
            </w:tcBorders>
            <w:shd w:val="clear" w:color="auto" w:fill="FFFFFF"/>
            <w:vAlign w:val="center"/>
          </w:tcPr>
          <w:p w14:paraId="7B6E801D">
            <w:pPr>
              <w:snapToGrid w:val="0"/>
              <w:jc w:val="both"/>
            </w:pPr>
            <w:r>
              <w:rPr>
                <w:sz w:val="24"/>
                <w:lang w:eastAsia="zh-CN"/>
              </w:rPr>
              <w:t>21 CFR 880.6260</w:t>
            </w:r>
          </w:p>
        </w:tc>
        <w:tc>
          <w:tcPr>
            <w:tcW w:w="3279" w:type="pct"/>
            <w:tcBorders>
              <w:top w:val="single" w:color="auto" w:sz="4" w:space="0"/>
              <w:left w:val="single" w:color="auto" w:sz="4" w:space="0"/>
            </w:tcBorders>
            <w:shd w:val="clear" w:color="auto" w:fill="FFFFFF"/>
            <w:vAlign w:val="center"/>
          </w:tcPr>
          <w:p w14:paraId="5935C927">
            <w:pPr>
              <w:snapToGrid w:val="0"/>
              <w:jc w:val="both"/>
              <w:rPr>
                <w:lang w:eastAsia="zh-CN"/>
              </w:rPr>
            </w:pPr>
            <w:r>
              <w:rPr>
                <w:sz w:val="24"/>
                <w:lang w:eastAsia="zh-CN"/>
              </w:rPr>
              <w:t>供公众在医疗公共卫生紧急情况下使用的</w:t>
            </w:r>
            <w:r>
              <w:rPr>
                <w:rFonts w:hint="eastAsia"/>
                <w:sz w:val="24"/>
                <w:lang w:eastAsia="zh-CN"/>
              </w:rPr>
              <w:t>含</w:t>
            </w:r>
            <w:r>
              <w:rPr>
                <w:sz w:val="24"/>
                <w:lang w:eastAsia="zh-CN"/>
              </w:rPr>
              <w:t>抗菌剂/抗病毒剂的N95呼吸器</w:t>
            </w:r>
          </w:p>
        </w:tc>
        <w:tc>
          <w:tcPr>
            <w:tcW w:w="605" w:type="pct"/>
            <w:tcBorders>
              <w:top w:val="single" w:color="auto" w:sz="4" w:space="0"/>
              <w:left w:val="single" w:color="auto" w:sz="4" w:space="0"/>
              <w:right w:val="single" w:color="auto" w:sz="4" w:space="0"/>
            </w:tcBorders>
            <w:shd w:val="clear" w:color="auto" w:fill="FFFFFF"/>
            <w:vAlign w:val="center"/>
          </w:tcPr>
          <w:p w14:paraId="7F72B74E">
            <w:pPr>
              <w:snapToGrid w:val="0"/>
              <w:jc w:val="both"/>
            </w:pPr>
            <w:r>
              <w:rPr>
                <w:sz w:val="24"/>
                <w:lang w:eastAsia="zh-CN"/>
              </w:rPr>
              <w:t>ORW</w:t>
            </w:r>
          </w:p>
        </w:tc>
      </w:tr>
      <w:tr w14:paraId="14C8EFEE">
        <w:tblPrEx>
          <w:tblCellMar>
            <w:top w:w="0" w:type="dxa"/>
            <w:left w:w="57" w:type="dxa"/>
            <w:bottom w:w="0" w:type="dxa"/>
            <w:right w:w="57" w:type="dxa"/>
          </w:tblCellMar>
        </w:tblPrEx>
        <w:trPr>
          <w:trHeight w:val="552" w:hRule="atLeast"/>
        </w:trPr>
        <w:tc>
          <w:tcPr>
            <w:tcW w:w="1116" w:type="pct"/>
            <w:tcBorders>
              <w:top w:val="single" w:color="auto" w:sz="4" w:space="0"/>
              <w:left w:val="single" w:color="auto" w:sz="4" w:space="0"/>
              <w:bottom w:val="single" w:color="auto" w:sz="4" w:space="0"/>
            </w:tcBorders>
            <w:shd w:val="clear" w:color="auto" w:fill="FFFFFF"/>
            <w:vAlign w:val="center"/>
          </w:tcPr>
          <w:p w14:paraId="659A5F28">
            <w:pPr>
              <w:snapToGrid w:val="0"/>
              <w:jc w:val="both"/>
            </w:pPr>
            <w:r>
              <w:rPr>
                <w:sz w:val="24"/>
                <w:lang w:eastAsia="zh-CN"/>
              </w:rPr>
              <w:t>21 CFR 880.6260</w:t>
            </w:r>
          </w:p>
        </w:tc>
        <w:tc>
          <w:tcPr>
            <w:tcW w:w="3279" w:type="pct"/>
            <w:tcBorders>
              <w:top w:val="single" w:color="auto" w:sz="4" w:space="0"/>
              <w:left w:val="single" w:color="auto" w:sz="4" w:space="0"/>
              <w:bottom w:val="single" w:color="auto" w:sz="4" w:space="0"/>
            </w:tcBorders>
            <w:shd w:val="clear" w:color="auto" w:fill="FFFFFF"/>
            <w:vAlign w:val="center"/>
          </w:tcPr>
          <w:p w14:paraId="6E415F44">
            <w:pPr>
              <w:snapToGrid w:val="0"/>
              <w:jc w:val="both"/>
              <w:rPr>
                <w:lang w:eastAsia="zh-CN"/>
              </w:rPr>
            </w:pPr>
            <w:r>
              <w:rPr>
                <w:sz w:val="24"/>
                <w:lang w:eastAsia="zh-CN"/>
              </w:rPr>
              <w:t>供公众在医疗公共卫生紧急情况下使用的N95呼吸器</w:t>
            </w:r>
          </w:p>
        </w:tc>
        <w:tc>
          <w:tcPr>
            <w:tcW w:w="605" w:type="pct"/>
            <w:tcBorders>
              <w:top w:val="single" w:color="auto" w:sz="4" w:space="0"/>
              <w:left w:val="single" w:color="auto" w:sz="4" w:space="0"/>
              <w:bottom w:val="single" w:color="auto" w:sz="4" w:space="0"/>
              <w:right w:val="single" w:color="auto" w:sz="4" w:space="0"/>
            </w:tcBorders>
            <w:shd w:val="clear" w:color="auto" w:fill="FFFFFF"/>
            <w:vAlign w:val="center"/>
          </w:tcPr>
          <w:p w14:paraId="5CF09675">
            <w:pPr>
              <w:snapToGrid w:val="0"/>
              <w:jc w:val="both"/>
            </w:pPr>
            <w:r>
              <w:rPr>
                <w:sz w:val="24"/>
                <w:lang w:eastAsia="zh-CN"/>
              </w:rPr>
              <w:t>NZJ</w:t>
            </w:r>
          </w:p>
        </w:tc>
      </w:tr>
    </w:tbl>
    <w:p w14:paraId="7BA946BD">
      <w:pPr>
        <w:snapToGrid w:val="0"/>
        <w:spacing w:before="120" w:beforeLines="50"/>
        <w:jc w:val="both"/>
        <w:rPr>
          <w:sz w:val="18"/>
          <w:szCs w:val="18"/>
        </w:rPr>
      </w:pPr>
      <w:bookmarkStart w:id="18" w:name="bookmark15"/>
    </w:p>
    <w:p w14:paraId="280BB33A">
      <w:pPr>
        <w:snapToGrid w:val="0"/>
        <w:spacing w:before="120" w:beforeLines="50"/>
        <w:jc w:val="both"/>
        <w:rPr>
          <w:sz w:val="18"/>
          <w:szCs w:val="18"/>
          <w:lang w:eastAsia="zh-CN"/>
        </w:rPr>
      </w:pPr>
    </w:p>
    <w:p w14:paraId="63E78791">
      <w:pPr>
        <w:snapToGrid w:val="0"/>
        <w:spacing w:before="120" w:beforeLines="50"/>
        <w:jc w:val="both"/>
        <w:rPr>
          <w:sz w:val="18"/>
          <w:szCs w:val="18"/>
          <w:lang w:eastAsia="zh-CN"/>
        </w:rPr>
      </w:pPr>
    </w:p>
    <w:p w14:paraId="4448BB2A">
      <w:pPr>
        <w:snapToGrid w:val="0"/>
        <w:spacing w:before="120" w:beforeLines="50"/>
        <w:jc w:val="both"/>
        <w:rPr>
          <w:sz w:val="18"/>
          <w:szCs w:val="18"/>
          <w:lang w:eastAsia="zh-CN"/>
        </w:rPr>
      </w:pPr>
    </w:p>
    <w:p w14:paraId="35410CE8">
      <w:pPr>
        <w:snapToGrid w:val="0"/>
        <w:spacing w:before="120" w:beforeLines="50"/>
        <w:jc w:val="both"/>
        <w:rPr>
          <w:sz w:val="18"/>
          <w:szCs w:val="18"/>
          <w:lang w:eastAsia="zh-CN"/>
        </w:rPr>
      </w:pPr>
    </w:p>
    <w:p w14:paraId="1B98E12C">
      <w:pPr>
        <w:snapToGrid w:val="0"/>
        <w:spacing w:before="120" w:beforeLines="50"/>
        <w:jc w:val="both"/>
        <w:rPr>
          <w:sz w:val="18"/>
          <w:szCs w:val="18"/>
          <w:lang w:eastAsia="zh-CN"/>
        </w:rPr>
      </w:pPr>
    </w:p>
    <w:p w14:paraId="53031400">
      <w:pPr>
        <w:snapToGrid w:val="0"/>
        <w:spacing w:before="120" w:beforeLines="50"/>
        <w:jc w:val="both"/>
        <w:rPr>
          <w:sz w:val="18"/>
          <w:szCs w:val="18"/>
          <w:lang w:eastAsia="zh-CN"/>
        </w:rPr>
      </w:pPr>
    </w:p>
    <w:p w14:paraId="382314A0">
      <w:pPr>
        <w:snapToGrid w:val="0"/>
        <w:spacing w:before="120" w:beforeLines="50"/>
        <w:jc w:val="both"/>
        <w:rPr>
          <w:sz w:val="18"/>
          <w:szCs w:val="18"/>
          <w:lang w:eastAsia="zh-CN"/>
        </w:rPr>
      </w:pPr>
    </w:p>
    <w:p w14:paraId="34DB02AF">
      <w:pPr>
        <w:snapToGrid w:val="0"/>
        <w:spacing w:before="120" w:beforeLines="50"/>
        <w:jc w:val="both"/>
        <w:rPr>
          <w:sz w:val="18"/>
          <w:szCs w:val="18"/>
        </w:rPr>
      </w:pPr>
      <w:r>
        <w:rPr>
          <w:sz w:val="18"/>
          <w:szCs w:val="18"/>
          <w:lang w:eastAsia="zh-CN"/>
        </w:rPr>
        <w:t>_________________________</w:t>
      </w:r>
    </w:p>
    <w:p w14:paraId="5102D521">
      <w:pPr>
        <w:tabs>
          <w:tab w:val="left" w:pos="110"/>
        </w:tabs>
        <w:snapToGrid w:val="0"/>
        <w:spacing w:before="120" w:beforeLines="50"/>
        <w:jc w:val="both"/>
        <w:rPr>
          <w:sz w:val="18"/>
          <w:szCs w:val="18"/>
          <w:lang w:eastAsia="zh-CN"/>
        </w:rPr>
      </w:pPr>
      <w:r>
        <w:rPr>
          <w:sz w:val="18"/>
          <w:szCs w:val="18"/>
          <w:vertAlign w:val="superscript"/>
          <w:lang w:eastAsia="zh-CN"/>
        </w:rPr>
        <w:t>4</w:t>
      </w:r>
      <w:r>
        <w:rPr>
          <w:sz w:val="18"/>
          <w:szCs w:val="18"/>
          <w:lang w:eastAsia="zh-CN"/>
        </w:rPr>
        <w:tab/>
      </w:r>
      <w:r>
        <w:rPr>
          <w:sz w:val="18"/>
          <w:szCs w:val="18"/>
          <w:lang w:eastAsia="zh-CN"/>
        </w:rPr>
        <w:t>在发布本修订指南时，FDA正在</w:t>
      </w:r>
      <w:r>
        <w:rPr>
          <w:rFonts w:hint="eastAsia"/>
          <w:sz w:val="18"/>
          <w:szCs w:val="18"/>
          <w:lang w:eastAsia="zh-CN"/>
        </w:rPr>
        <w:t>发布</w:t>
      </w:r>
      <w:r>
        <w:rPr>
          <w:sz w:val="18"/>
          <w:szCs w:val="18"/>
          <w:lang w:eastAsia="zh-CN"/>
        </w:rPr>
        <w:t>指南</w:t>
      </w:r>
      <w:r>
        <w:rPr>
          <w:rFonts w:ascii="宋体" w:hAnsi="宋体"/>
          <w:sz w:val="18"/>
          <w:szCs w:val="18"/>
          <w:lang w:eastAsia="zh-CN"/>
        </w:rPr>
        <w:t>“</w:t>
      </w:r>
      <w:r>
        <w:rPr>
          <w:sz w:val="18"/>
          <w:szCs w:val="18"/>
          <w:lang w:eastAsia="zh-CN"/>
        </w:rPr>
        <w:t>对在新型冠状病毒肺炎</w:t>
      </w:r>
      <w:r>
        <w:rPr>
          <w:rFonts w:hint="eastAsia"/>
          <w:sz w:val="18"/>
          <w:szCs w:val="18"/>
          <w:lang w:eastAsia="zh-CN"/>
        </w:rPr>
        <w:t>（</w:t>
      </w:r>
      <w:r>
        <w:rPr>
          <w:sz w:val="18"/>
          <w:szCs w:val="18"/>
          <w:lang w:eastAsia="zh-CN"/>
        </w:rPr>
        <w:t>COVID-19</w:t>
      </w:r>
      <w:r>
        <w:rPr>
          <w:rFonts w:hint="eastAsia"/>
          <w:sz w:val="18"/>
          <w:szCs w:val="18"/>
          <w:lang w:eastAsia="zh-CN"/>
        </w:rPr>
        <w:t>）</w:t>
      </w:r>
      <w:r>
        <w:rPr>
          <w:sz w:val="18"/>
          <w:szCs w:val="18"/>
          <w:lang w:eastAsia="zh-CN"/>
        </w:rPr>
        <w:t>突发公共卫生事件期间，申办者</w:t>
      </w:r>
      <w:r>
        <w:rPr>
          <w:rFonts w:hint="eastAsia"/>
          <w:sz w:val="18"/>
          <w:szCs w:val="18"/>
          <w:lang w:eastAsia="zh-CN"/>
        </w:rPr>
        <w:t>申请</w:t>
      </w:r>
      <w:r>
        <w:rPr>
          <w:sz w:val="18"/>
          <w:szCs w:val="18"/>
          <w:lang w:eastAsia="zh-CN"/>
        </w:rPr>
        <w:t>用于外科口罩和呼吸器净化和生物负荷降低系统的EUA</w:t>
      </w:r>
      <w:r>
        <w:rPr>
          <w:rFonts w:hint="eastAsia"/>
          <w:sz w:val="18"/>
          <w:szCs w:val="18"/>
          <w:lang w:eastAsia="zh-CN"/>
        </w:rPr>
        <w:t>的</w:t>
      </w:r>
      <w:r>
        <w:rPr>
          <w:sz w:val="18"/>
          <w:szCs w:val="18"/>
          <w:lang w:eastAsia="zh-CN"/>
        </w:rPr>
        <w:t>建议。</w:t>
      </w:r>
      <w:r>
        <w:rPr>
          <w:rFonts w:ascii="宋体" w:hAnsi="宋体"/>
          <w:sz w:val="18"/>
          <w:szCs w:val="18"/>
          <w:lang w:eastAsia="zh-CN"/>
        </w:rPr>
        <w:t>”</w:t>
      </w:r>
      <w:bookmarkEnd w:id="18"/>
    </w:p>
    <w:p w14:paraId="74B73FDB">
      <w:pPr>
        <w:tabs>
          <w:tab w:val="left" w:pos="110"/>
        </w:tabs>
        <w:snapToGrid w:val="0"/>
        <w:spacing w:before="120" w:beforeLines="50"/>
        <w:jc w:val="both"/>
        <w:rPr>
          <w:sz w:val="18"/>
          <w:szCs w:val="18"/>
          <w:lang w:eastAsia="zh-CN"/>
        </w:rPr>
      </w:pPr>
      <w:bookmarkStart w:id="19" w:name="bookmark16"/>
      <w:r>
        <w:rPr>
          <w:sz w:val="18"/>
          <w:szCs w:val="18"/>
          <w:vertAlign w:val="superscript"/>
          <w:lang w:eastAsia="zh-CN"/>
        </w:rPr>
        <w:t>5</w:t>
      </w:r>
      <w:r>
        <w:rPr>
          <w:sz w:val="18"/>
          <w:szCs w:val="18"/>
          <w:lang w:eastAsia="zh-CN"/>
        </w:rPr>
        <w:tab/>
      </w:r>
      <w:r>
        <w:rPr>
          <w:sz w:val="18"/>
          <w:szCs w:val="18"/>
          <w:lang w:eastAsia="zh-CN"/>
        </w:rPr>
        <w:t>FDA还考虑将用于帮助将面罩固定在面部的口罩和外科口罩附件（例如，外科口罩带固定器、张力释放带）纳入本指南。呼吸器附件不在本指南的范围内。</w:t>
      </w:r>
      <w:bookmarkEnd w:id="19"/>
    </w:p>
    <w:p w14:paraId="3519B1D7">
      <w:pPr>
        <w:tabs>
          <w:tab w:val="left" w:pos="110"/>
        </w:tabs>
        <w:snapToGrid w:val="0"/>
        <w:spacing w:before="120" w:beforeLines="50"/>
        <w:jc w:val="both"/>
        <w:rPr>
          <w:sz w:val="18"/>
          <w:szCs w:val="18"/>
          <w:lang w:eastAsia="zh-CN"/>
        </w:rPr>
      </w:pPr>
      <w:bookmarkStart w:id="20" w:name="bookmark17"/>
      <w:r>
        <w:rPr>
          <w:sz w:val="18"/>
          <w:szCs w:val="18"/>
          <w:vertAlign w:val="superscript"/>
          <w:lang w:eastAsia="zh-CN"/>
        </w:rPr>
        <w:t>6</w:t>
      </w:r>
      <w:r>
        <w:rPr>
          <w:sz w:val="18"/>
          <w:szCs w:val="18"/>
          <w:lang w:eastAsia="zh-CN"/>
        </w:rPr>
        <w:tab/>
      </w:r>
      <w:r>
        <w:rPr>
          <w:sz w:val="18"/>
          <w:szCs w:val="18"/>
          <w:lang w:eastAsia="zh-CN"/>
        </w:rPr>
        <w:t>本指南中使用的</w:t>
      </w:r>
      <w:r>
        <w:rPr>
          <w:rFonts w:ascii="宋体" w:hAnsi="宋体"/>
          <w:sz w:val="18"/>
          <w:szCs w:val="18"/>
          <w:lang w:eastAsia="zh-CN"/>
        </w:rPr>
        <w:t>“</w:t>
      </w:r>
      <w:r>
        <w:rPr>
          <w:sz w:val="18"/>
          <w:szCs w:val="18"/>
          <w:lang w:eastAsia="zh-CN"/>
        </w:rPr>
        <w:t>用于医疗目的</w:t>
      </w:r>
      <w:r>
        <w:rPr>
          <w:rFonts w:ascii="宋体" w:hAnsi="宋体"/>
          <w:sz w:val="18"/>
          <w:szCs w:val="18"/>
          <w:lang w:eastAsia="zh-CN"/>
        </w:rPr>
        <w:t>”</w:t>
      </w:r>
      <w:r>
        <w:rPr>
          <w:sz w:val="18"/>
          <w:szCs w:val="18"/>
          <w:lang w:eastAsia="zh-CN"/>
        </w:rPr>
        <w:t>指该器械旨在用于诊断疾病或其他</w:t>
      </w:r>
      <w:r>
        <w:rPr>
          <w:rFonts w:hint="eastAsia"/>
          <w:sz w:val="18"/>
          <w:szCs w:val="18"/>
          <w:lang w:eastAsia="zh-CN"/>
        </w:rPr>
        <w:t>病症</w:t>
      </w:r>
      <w:r>
        <w:rPr>
          <w:sz w:val="18"/>
          <w:szCs w:val="18"/>
          <w:lang w:eastAsia="zh-CN"/>
        </w:rPr>
        <w:t>，或用于</w:t>
      </w:r>
      <w:r>
        <w:rPr>
          <w:rFonts w:hint="eastAsia"/>
          <w:sz w:val="18"/>
          <w:szCs w:val="18"/>
          <w:lang w:eastAsia="zh-CN"/>
        </w:rPr>
        <w:t>治愈</w:t>
      </w:r>
      <w:r>
        <w:rPr>
          <w:sz w:val="18"/>
          <w:szCs w:val="18"/>
          <w:lang w:eastAsia="zh-CN"/>
        </w:rPr>
        <w:t>，缓解、治疗或预防疾病，因此符合《FD&amp;C法案》第201(h)节规定的</w:t>
      </w:r>
      <w:r>
        <w:rPr>
          <w:rFonts w:ascii="宋体" w:hAnsi="宋体"/>
          <w:sz w:val="18"/>
          <w:szCs w:val="18"/>
          <w:lang w:eastAsia="zh-CN"/>
        </w:rPr>
        <w:t>“</w:t>
      </w:r>
      <w:r>
        <w:rPr>
          <w:sz w:val="18"/>
          <w:szCs w:val="18"/>
          <w:lang w:eastAsia="zh-CN"/>
        </w:rPr>
        <w:t>器械</w:t>
      </w:r>
      <w:r>
        <w:rPr>
          <w:rFonts w:ascii="宋体" w:hAnsi="宋体"/>
          <w:sz w:val="18"/>
          <w:szCs w:val="18"/>
          <w:lang w:eastAsia="zh-CN"/>
        </w:rPr>
        <w:t>”</w:t>
      </w:r>
      <w:r>
        <w:rPr>
          <w:sz w:val="18"/>
          <w:szCs w:val="18"/>
          <w:lang w:eastAsia="zh-CN"/>
        </w:rPr>
        <w:t>定义。</w:t>
      </w:r>
      <w:bookmarkEnd w:id="20"/>
    </w:p>
    <w:p w14:paraId="35C8538E">
      <w:pPr>
        <w:tabs>
          <w:tab w:val="left" w:pos="115"/>
        </w:tabs>
        <w:snapToGrid w:val="0"/>
        <w:spacing w:before="120" w:beforeLines="50"/>
        <w:rPr>
          <w:sz w:val="18"/>
          <w:szCs w:val="18"/>
        </w:rPr>
      </w:pPr>
      <w:bookmarkStart w:id="21" w:name="bookmark18"/>
      <w:r>
        <w:rPr>
          <w:sz w:val="18"/>
          <w:szCs w:val="18"/>
          <w:vertAlign w:val="superscript"/>
          <w:lang w:eastAsia="zh-CN"/>
        </w:rPr>
        <w:t>7</w:t>
      </w:r>
      <w:r>
        <w:rPr>
          <w:sz w:val="18"/>
          <w:szCs w:val="18"/>
          <w:lang w:eastAsia="zh-CN"/>
        </w:rPr>
        <w:tab/>
      </w:r>
      <w:r>
        <w:rPr>
          <w:sz w:val="18"/>
          <w:szCs w:val="18"/>
          <w:lang w:eastAsia="zh-CN"/>
        </w:rPr>
        <w:t>更多信息请</w:t>
      </w:r>
      <w:r>
        <w:rPr>
          <w:rFonts w:hint="eastAsia"/>
          <w:sz w:val="18"/>
          <w:szCs w:val="18"/>
          <w:lang w:eastAsia="zh-CN"/>
        </w:rPr>
        <w:t>访问</w:t>
      </w:r>
      <w:r>
        <w:fldChar w:fldCharType="begin"/>
      </w:r>
      <w:r>
        <w:instrText xml:space="preserve"> HYPERLINK "https://www.accessdata.fda.gov/scripts/cdrh/cfdocs/cfPCD/classification.cfm" </w:instrText>
      </w:r>
      <w:r>
        <w:fldChar w:fldCharType="separate"/>
      </w:r>
      <w:r>
        <w:rPr>
          <w:rStyle w:val="12"/>
          <w:color w:val="0000FF"/>
          <w:sz w:val="18"/>
          <w:szCs w:val="18"/>
          <w:lang w:eastAsia="zh-CN"/>
        </w:rPr>
        <w:t>https://www.accessdata.fda.gov/scripts/cdrh/cfdocs/cfPCD/classification.cfm</w:t>
      </w:r>
      <w:r>
        <w:rPr>
          <w:rStyle w:val="12"/>
          <w:color w:val="0000FF"/>
          <w:sz w:val="18"/>
          <w:szCs w:val="18"/>
          <w:lang w:eastAsia="zh-CN"/>
        </w:rPr>
        <w:fldChar w:fldCharType="end"/>
      </w:r>
      <w:r>
        <w:rPr>
          <w:sz w:val="18"/>
          <w:szCs w:val="18"/>
          <w:lang w:eastAsia="zh-CN"/>
        </w:rPr>
        <w:t>。</w:t>
      </w:r>
      <w:bookmarkEnd w:id="21"/>
    </w:p>
    <w:p w14:paraId="613A4F3E">
      <w:pPr>
        <w:tabs>
          <w:tab w:val="left" w:pos="115"/>
        </w:tabs>
        <w:snapToGrid w:val="0"/>
        <w:spacing w:before="120" w:beforeLines="50"/>
        <w:rPr>
          <w:bCs/>
          <w:color w:val="0000FF"/>
          <w:sz w:val="18"/>
          <w:szCs w:val="18"/>
          <w:lang w:eastAsia="zh-CN"/>
        </w:rPr>
      </w:pPr>
      <w:bookmarkStart w:id="22" w:name="bookmark19"/>
      <w:r>
        <w:rPr>
          <w:sz w:val="18"/>
          <w:szCs w:val="18"/>
          <w:vertAlign w:val="superscript"/>
          <w:lang w:eastAsia="zh-CN"/>
        </w:rPr>
        <w:t>8</w:t>
      </w:r>
      <w:r>
        <w:rPr>
          <w:sz w:val="18"/>
          <w:szCs w:val="18"/>
          <w:lang w:eastAsia="zh-CN"/>
        </w:rPr>
        <w:tab/>
      </w:r>
      <w:r>
        <w:rPr>
          <w:sz w:val="18"/>
          <w:szCs w:val="18"/>
          <w:lang w:eastAsia="zh-CN"/>
        </w:rPr>
        <w:t>本指南的范围仅限于产品代码LYU（附件</w:t>
      </w:r>
      <w:r>
        <w:rPr>
          <w:rFonts w:hint="eastAsia"/>
          <w:sz w:val="18"/>
          <w:szCs w:val="18"/>
          <w:lang w:eastAsia="zh-CN"/>
        </w:rPr>
        <w:t>、</w:t>
      </w:r>
      <w:r>
        <w:rPr>
          <w:sz w:val="18"/>
          <w:szCs w:val="18"/>
          <w:lang w:eastAsia="zh-CN"/>
        </w:rPr>
        <w:t>手术服）下用于帮助将面罩固定在面部的面罩及其附件。</w:t>
      </w:r>
      <w:r>
        <w:rPr>
          <w:rFonts w:hint="eastAsia"/>
          <w:sz w:val="18"/>
          <w:szCs w:val="18"/>
          <w:lang w:eastAsia="zh-CN"/>
        </w:rPr>
        <w:t>用于</w:t>
      </w:r>
      <w:r>
        <w:rPr>
          <w:sz w:val="18"/>
          <w:szCs w:val="18"/>
          <w:lang w:eastAsia="zh-CN"/>
        </w:rPr>
        <w:t>帮助将面罩固定在面部的面罩及其附件属于I类器械，并且不受《FD&amp;C法案》第510(k)节中上市前通知要求的约束。见21 CFR 878.4040。与除口罩以外的其他器械（例如防护服、防护帽或长袍）</w:t>
      </w:r>
      <w:r>
        <w:rPr>
          <w:rFonts w:hint="eastAsia"/>
          <w:sz w:val="18"/>
          <w:szCs w:val="18"/>
          <w:lang w:eastAsia="zh-CN"/>
        </w:rPr>
        <w:t>配合使用的</w:t>
      </w:r>
      <w:r>
        <w:rPr>
          <w:sz w:val="18"/>
          <w:szCs w:val="18"/>
          <w:lang w:eastAsia="zh-CN"/>
        </w:rPr>
        <w:t>面罩不在本指南的范围内。请参阅</w:t>
      </w:r>
      <w:r>
        <w:rPr>
          <w:rFonts w:ascii="宋体" w:hAnsi="宋体"/>
          <w:sz w:val="18"/>
          <w:szCs w:val="18"/>
          <w:lang w:eastAsia="zh-CN"/>
        </w:rPr>
        <w:t>“新型</w:t>
      </w:r>
      <w:r>
        <w:rPr>
          <w:sz w:val="18"/>
          <w:szCs w:val="18"/>
          <w:lang w:eastAsia="zh-CN"/>
        </w:rPr>
        <w:t>冠状病毒</w:t>
      </w:r>
      <w:r>
        <w:rPr>
          <w:rFonts w:hint="eastAsia"/>
          <w:sz w:val="18"/>
          <w:szCs w:val="18"/>
          <w:lang w:eastAsia="zh-CN"/>
        </w:rPr>
        <w:t>肺炎</w:t>
      </w:r>
      <w:r>
        <w:rPr>
          <w:sz w:val="18"/>
          <w:szCs w:val="18"/>
          <w:lang w:eastAsia="zh-CN"/>
        </w:rPr>
        <w:t>（COVID-19）公共卫生紧急事件期间防护服、其他服装和手套的执行政策</w:t>
      </w:r>
      <w:r>
        <w:rPr>
          <w:rFonts w:ascii="宋体" w:hAnsi="宋体"/>
          <w:sz w:val="18"/>
          <w:szCs w:val="18"/>
          <w:lang w:eastAsia="zh-CN"/>
        </w:rPr>
        <w:t>”</w:t>
      </w:r>
      <w:r>
        <w:rPr>
          <w:i/>
          <w:iCs/>
          <w:sz w:val="18"/>
          <w:szCs w:val="18"/>
          <w:lang w:eastAsia="zh-CN"/>
        </w:rPr>
        <w:t>，</w:t>
      </w:r>
      <w:r>
        <w:rPr>
          <w:sz w:val="18"/>
          <w:szCs w:val="18"/>
          <w:lang w:eastAsia="zh-CN"/>
        </w:rPr>
        <w:t>请访问</w:t>
      </w:r>
      <w:bookmarkEnd w:id="22"/>
      <w:r>
        <w:fldChar w:fldCharType="begin"/>
      </w:r>
      <w:r>
        <w:rPr>
          <w:lang w:eastAsia="zh-CN"/>
        </w:rPr>
        <w:instrText xml:space="preserve">HYPERLINK "https://www.fda.gov/regulatory-information/search-fda-guidance-documents/enforcement-policy-gowns-other-apparel-and-gloves-during-coronavirus-disease-covid-19-public-health"</w:instrText>
      </w:r>
      <w:r>
        <w:fldChar w:fldCharType="separate"/>
      </w:r>
      <w:r>
        <w:rPr>
          <w:rStyle w:val="12"/>
          <w:color w:val="0000FF"/>
          <w:sz w:val="18"/>
          <w:szCs w:val="18"/>
          <w:lang w:eastAsia="zh-CN"/>
        </w:rPr>
        <w:t>https://www.fda.gov/regulatorv-information/search-fda-guidance-documents/enforcement-policv-gowns-other-apparel-and-gloves-during-coronavirus-disease-covid-19-public-health</w:t>
      </w:r>
      <w:r>
        <w:fldChar w:fldCharType="end"/>
      </w:r>
      <w:r>
        <w:rPr>
          <w:color w:val="0000FF"/>
          <w:sz w:val="18"/>
          <w:szCs w:val="18"/>
          <w:lang w:eastAsia="zh-CN"/>
        </w:rPr>
        <w:t>。</w:t>
      </w:r>
    </w:p>
    <w:p w14:paraId="14FEE381">
      <w:pPr>
        <w:snapToGrid w:val="0"/>
        <w:spacing w:before="120" w:beforeLines="50"/>
        <w:jc w:val="both"/>
        <w:rPr>
          <w:lang w:eastAsia="zh-CN"/>
        </w:rPr>
      </w:pPr>
    </w:p>
    <w:p w14:paraId="116A8782">
      <w:pPr>
        <w:snapToGrid w:val="0"/>
        <w:spacing w:before="120" w:beforeLines="50"/>
        <w:jc w:val="both"/>
        <w:rPr>
          <w:sz w:val="24"/>
          <w:lang w:eastAsia="zh-CN"/>
        </w:rPr>
      </w:pPr>
      <w:bookmarkStart w:id="23" w:name="bookmark20"/>
      <w:r>
        <w:rPr>
          <w:rFonts w:hint="eastAsia"/>
          <w:sz w:val="24"/>
          <w:lang w:eastAsia="zh-CN"/>
        </w:rPr>
        <w:t>本</w:t>
      </w:r>
      <w:r>
        <w:rPr>
          <w:sz w:val="24"/>
          <w:lang w:eastAsia="zh-CN"/>
        </w:rPr>
        <w:t>政策</w:t>
      </w:r>
      <w:r>
        <w:rPr>
          <w:b/>
          <w:bCs/>
          <w:sz w:val="24"/>
          <w:lang w:eastAsia="zh-CN"/>
        </w:rPr>
        <w:t>不</w:t>
      </w:r>
      <w:r>
        <w:rPr>
          <w:sz w:val="24"/>
          <w:lang w:eastAsia="zh-CN"/>
        </w:rPr>
        <w:t>适用于其他类型的口罩，包括但不限于</w:t>
      </w:r>
      <w:r>
        <w:fldChar w:fldCharType="begin"/>
      </w:r>
      <w:r>
        <w:instrText xml:space="preserve"> HYPERLINK \l "bookmark20" \o "当前文件" \h </w:instrText>
      </w:r>
      <w:r>
        <w:fldChar w:fldCharType="separate"/>
      </w:r>
      <w:r>
        <w:rPr>
          <w:sz w:val="24"/>
          <w:lang w:eastAsia="zh-CN"/>
        </w:rPr>
        <w:t>表2</w:t>
      </w:r>
      <w:r>
        <w:rPr>
          <w:rFonts w:hint="eastAsia"/>
          <w:sz w:val="24"/>
          <w:lang w:eastAsia="zh-CN"/>
        </w:rPr>
        <w:t>所示</w:t>
      </w:r>
      <w:r>
        <w:rPr>
          <w:sz w:val="24"/>
          <w:lang w:eastAsia="zh-CN"/>
        </w:rPr>
        <w:t>口罩。</w:t>
      </w:r>
      <w:bookmarkEnd w:id="23"/>
      <w:r>
        <w:rPr>
          <w:sz w:val="24"/>
          <w:lang w:eastAsia="zh-CN"/>
        </w:rPr>
        <w:fldChar w:fldCharType="end"/>
      </w:r>
    </w:p>
    <w:p w14:paraId="3EDD502E">
      <w:pPr>
        <w:snapToGrid w:val="0"/>
        <w:spacing w:before="120" w:beforeLines="50"/>
        <w:jc w:val="center"/>
        <w:rPr>
          <w:sz w:val="24"/>
        </w:rPr>
      </w:pPr>
      <w:r>
        <w:rPr>
          <w:b/>
          <w:bCs/>
          <w:sz w:val="24"/>
          <w:lang w:eastAsia="zh-CN"/>
        </w:rPr>
        <w:t>表2</w:t>
      </w:r>
    </w:p>
    <w:tbl>
      <w:tblPr>
        <w:tblStyle w:val="9"/>
        <w:tblW w:w="5000" w:type="pct"/>
        <w:tblInd w:w="0" w:type="dxa"/>
        <w:tblLayout w:type="autofit"/>
        <w:tblCellMar>
          <w:top w:w="0" w:type="dxa"/>
          <w:left w:w="57" w:type="dxa"/>
          <w:bottom w:w="0" w:type="dxa"/>
          <w:right w:w="57" w:type="dxa"/>
        </w:tblCellMar>
      </w:tblPr>
      <w:tblGrid>
        <w:gridCol w:w="2032"/>
        <w:gridCol w:w="5068"/>
        <w:gridCol w:w="1327"/>
      </w:tblGrid>
      <w:tr w14:paraId="2A24395A">
        <w:tblPrEx>
          <w:tblCellMar>
            <w:top w:w="0" w:type="dxa"/>
            <w:left w:w="57" w:type="dxa"/>
            <w:bottom w:w="0" w:type="dxa"/>
            <w:right w:w="57" w:type="dxa"/>
          </w:tblCellMar>
        </w:tblPrEx>
        <w:trPr>
          <w:trHeight w:val="566" w:hRule="atLeast"/>
        </w:trPr>
        <w:tc>
          <w:tcPr>
            <w:tcW w:w="1206" w:type="pct"/>
            <w:tcBorders>
              <w:top w:val="single" w:color="auto" w:sz="4" w:space="0"/>
              <w:left w:val="single" w:color="auto" w:sz="4" w:space="0"/>
            </w:tcBorders>
            <w:shd w:val="clear" w:color="auto" w:fill="FFFFFF"/>
            <w:vAlign w:val="center"/>
          </w:tcPr>
          <w:p w14:paraId="4B59D944">
            <w:pPr>
              <w:snapToGrid w:val="0"/>
              <w:jc w:val="both"/>
            </w:pPr>
            <w:r>
              <w:rPr>
                <w:b/>
                <w:bCs/>
                <w:sz w:val="24"/>
                <w:lang w:eastAsia="zh-CN"/>
              </w:rPr>
              <w:t>分类条例</w:t>
            </w:r>
          </w:p>
        </w:tc>
        <w:tc>
          <w:tcPr>
            <w:tcW w:w="3006" w:type="pct"/>
            <w:tcBorders>
              <w:top w:val="single" w:color="auto" w:sz="4" w:space="0"/>
              <w:left w:val="single" w:color="auto" w:sz="4" w:space="0"/>
            </w:tcBorders>
            <w:shd w:val="clear" w:color="auto" w:fill="FFFFFF"/>
            <w:vAlign w:val="center"/>
          </w:tcPr>
          <w:p w14:paraId="50F0D666">
            <w:pPr>
              <w:snapToGrid w:val="0"/>
              <w:jc w:val="both"/>
            </w:pPr>
            <w:r>
              <w:rPr>
                <w:b/>
                <w:bCs/>
                <w:sz w:val="24"/>
                <w:lang w:eastAsia="zh-CN"/>
              </w:rPr>
              <w:t>器械类型</w:t>
            </w:r>
          </w:p>
        </w:tc>
        <w:tc>
          <w:tcPr>
            <w:tcW w:w="787" w:type="pct"/>
            <w:tcBorders>
              <w:top w:val="single" w:color="auto" w:sz="4" w:space="0"/>
              <w:left w:val="single" w:color="auto" w:sz="4" w:space="0"/>
              <w:right w:val="single" w:color="auto" w:sz="4" w:space="0"/>
            </w:tcBorders>
            <w:shd w:val="clear" w:color="auto" w:fill="FFFFFF"/>
            <w:vAlign w:val="center"/>
          </w:tcPr>
          <w:p w14:paraId="425DF8F2">
            <w:pPr>
              <w:snapToGrid w:val="0"/>
              <w:jc w:val="both"/>
            </w:pPr>
            <w:r>
              <w:rPr>
                <w:b/>
                <w:bCs/>
                <w:sz w:val="24"/>
                <w:lang w:eastAsia="zh-CN"/>
              </w:rPr>
              <w:t>产品代码</w:t>
            </w:r>
          </w:p>
        </w:tc>
      </w:tr>
      <w:tr w14:paraId="084D39FB">
        <w:tblPrEx>
          <w:tblCellMar>
            <w:top w:w="0" w:type="dxa"/>
            <w:left w:w="57" w:type="dxa"/>
            <w:bottom w:w="0" w:type="dxa"/>
            <w:right w:w="57" w:type="dxa"/>
          </w:tblCellMar>
        </w:tblPrEx>
        <w:trPr>
          <w:trHeight w:val="293" w:hRule="atLeast"/>
        </w:trPr>
        <w:tc>
          <w:tcPr>
            <w:tcW w:w="1206" w:type="pct"/>
            <w:vMerge w:val="restart"/>
            <w:tcBorders>
              <w:top w:val="single" w:color="auto" w:sz="4" w:space="0"/>
              <w:left w:val="single" w:color="auto" w:sz="4" w:space="0"/>
            </w:tcBorders>
            <w:shd w:val="clear" w:color="auto" w:fill="FFFFFF"/>
            <w:vAlign w:val="center"/>
          </w:tcPr>
          <w:p w14:paraId="4AB8F894">
            <w:pPr>
              <w:snapToGrid w:val="0"/>
              <w:jc w:val="both"/>
            </w:pPr>
            <w:r>
              <w:rPr>
                <w:sz w:val="24"/>
                <w:lang w:eastAsia="zh-CN"/>
              </w:rPr>
              <w:t>21 CFR 868.5450</w:t>
            </w:r>
          </w:p>
        </w:tc>
        <w:tc>
          <w:tcPr>
            <w:tcW w:w="3006" w:type="pct"/>
            <w:tcBorders>
              <w:top w:val="single" w:color="auto" w:sz="4" w:space="0"/>
              <w:left w:val="single" w:color="auto" w:sz="4" w:space="0"/>
            </w:tcBorders>
            <w:shd w:val="clear" w:color="auto" w:fill="FFFFFF"/>
            <w:vAlign w:val="center"/>
          </w:tcPr>
          <w:p w14:paraId="35251929">
            <w:pPr>
              <w:snapToGrid w:val="0"/>
              <w:jc w:val="both"/>
            </w:pPr>
            <w:r>
              <w:rPr>
                <w:sz w:val="24"/>
                <w:lang w:eastAsia="zh-CN"/>
              </w:rPr>
              <w:t>加湿器</w:t>
            </w:r>
            <w:r>
              <w:rPr>
                <w:rFonts w:hint="eastAsia"/>
                <w:sz w:val="24"/>
                <w:lang w:eastAsia="zh-CN"/>
              </w:rPr>
              <w:t>，</w:t>
            </w:r>
            <w:r>
              <w:rPr>
                <w:sz w:val="24"/>
                <w:lang w:eastAsia="zh-CN"/>
              </w:rPr>
              <w:t>呼吸面罩</w:t>
            </w:r>
          </w:p>
        </w:tc>
        <w:tc>
          <w:tcPr>
            <w:tcW w:w="787" w:type="pct"/>
            <w:tcBorders>
              <w:top w:val="single" w:color="auto" w:sz="4" w:space="0"/>
              <w:left w:val="single" w:color="auto" w:sz="4" w:space="0"/>
              <w:right w:val="single" w:color="auto" w:sz="4" w:space="0"/>
            </w:tcBorders>
            <w:shd w:val="clear" w:color="auto" w:fill="FFFFFF"/>
            <w:vAlign w:val="center"/>
          </w:tcPr>
          <w:p w14:paraId="6B431A1A">
            <w:pPr>
              <w:snapToGrid w:val="0"/>
              <w:jc w:val="both"/>
            </w:pPr>
            <w:r>
              <w:rPr>
                <w:sz w:val="24"/>
                <w:lang w:eastAsia="zh-CN"/>
              </w:rPr>
              <w:t>OBN</w:t>
            </w:r>
          </w:p>
        </w:tc>
      </w:tr>
      <w:tr w14:paraId="1FFBD14E">
        <w:tblPrEx>
          <w:tblCellMar>
            <w:top w:w="0" w:type="dxa"/>
            <w:left w:w="57" w:type="dxa"/>
            <w:bottom w:w="0" w:type="dxa"/>
            <w:right w:w="57" w:type="dxa"/>
          </w:tblCellMar>
        </w:tblPrEx>
        <w:trPr>
          <w:trHeight w:val="288" w:hRule="atLeast"/>
        </w:trPr>
        <w:tc>
          <w:tcPr>
            <w:tcW w:w="1206" w:type="pct"/>
            <w:vMerge w:val="continue"/>
            <w:tcBorders>
              <w:left w:val="single" w:color="auto" w:sz="4" w:space="0"/>
            </w:tcBorders>
            <w:shd w:val="clear" w:color="auto" w:fill="FFFFFF"/>
            <w:vAlign w:val="center"/>
          </w:tcPr>
          <w:p w14:paraId="15B60044">
            <w:pPr>
              <w:snapToGrid w:val="0"/>
              <w:jc w:val="both"/>
            </w:pPr>
          </w:p>
        </w:tc>
        <w:tc>
          <w:tcPr>
            <w:tcW w:w="3006" w:type="pct"/>
            <w:tcBorders>
              <w:top w:val="single" w:color="auto" w:sz="4" w:space="0"/>
              <w:left w:val="single" w:color="auto" w:sz="4" w:space="0"/>
            </w:tcBorders>
            <w:shd w:val="clear" w:color="auto" w:fill="FFFFFF"/>
            <w:vAlign w:val="center"/>
          </w:tcPr>
          <w:p w14:paraId="0234FF62">
            <w:pPr>
              <w:snapToGrid w:val="0"/>
              <w:jc w:val="both"/>
            </w:pPr>
            <w:r>
              <w:rPr>
                <w:sz w:val="24"/>
                <w:lang w:eastAsia="zh-CN"/>
              </w:rPr>
              <w:t>加湿器</w:t>
            </w:r>
            <w:r>
              <w:rPr>
                <w:rFonts w:hint="eastAsia"/>
                <w:sz w:val="24"/>
                <w:lang w:eastAsia="zh-CN"/>
              </w:rPr>
              <w:t>，</w:t>
            </w:r>
            <w:r>
              <w:rPr>
                <w:sz w:val="24"/>
                <w:lang w:eastAsia="zh-CN"/>
              </w:rPr>
              <w:t>呼吸气体</w:t>
            </w:r>
          </w:p>
        </w:tc>
        <w:tc>
          <w:tcPr>
            <w:tcW w:w="787" w:type="pct"/>
            <w:tcBorders>
              <w:top w:val="single" w:color="auto" w:sz="4" w:space="0"/>
              <w:left w:val="single" w:color="auto" w:sz="4" w:space="0"/>
              <w:right w:val="single" w:color="auto" w:sz="4" w:space="0"/>
            </w:tcBorders>
            <w:shd w:val="clear" w:color="auto" w:fill="FFFFFF"/>
            <w:vAlign w:val="center"/>
          </w:tcPr>
          <w:p w14:paraId="4635FB70">
            <w:pPr>
              <w:snapToGrid w:val="0"/>
              <w:jc w:val="both"/>
            </w:pPr>
            <w:r>
              <w:rPr>
                <w:sz w:val="24"/>
                <w:lang w:eastAsia="zh-CN"/>
              </w:rPr>
              <w:t>BTT</w:t>
            </w:r>
          </w:p>
        </w:tc>
      </w:tr>
      <w:tr w14:paraId="0B39570F">
        <w:tblPrEx>
          <w:tblCellMar>
            <w:top w:w="0" w:type="dxa"/>
            <w:left w:w="57" w:type="dxa"/>
            <w:bottom w:w="0" w:type="dxa"/>
            <w:right w:w="57" w:type="dxa"/>
          </w:tblCellMar>
        </w:tblPrEx>
        <w:trPr>
          <w:trHeight w:val="274" w:hRule="atLeast"/>
        </w:trPr>
        <w:tc>
          <w:tcPr>
            <w:tcW w:w="1206" w:type="pct"/>
            <w:tcBorders>
              <w:top w:val="single" w:color="auto" w:sz="4" w:space="0"/>
              <w:left w:val="single" w:color="auto" w:sz="4" w:space="0"/>
            </w:tcBorders>
            <w:shd w:val="clear" w:color="auto" w:fill="FFFFFF"/>
            <w:vAlign w:val="center"/>
          </w:tcPr>
          <w:p w14:paraId="1A99711C">
            <w:pPr>
              <w:snapToGrid w:val="0"/>
              <w:jc w:val="both"/>
            </w:pPr>
            <w:r>
              <w:rPr>
                <w:sz w:val="24"/>
                <w:lang w:eastAsia="zh-CN"/>
              </w:rPr>
              <w:t>21 CFR 868.5550</w:t>
            </w:r>
          </w:p>
        </w:tc>
        <w:tc>
          <w:tcPr>
            <w:tcW w:w="3006" w:type="pct"/>
            <w:tcBorders>
              <w:top w:val="single" w:color="auto" w:sz="4" w:space="0"/>
              <w:left w:val="single" w:color="auto" w:sz="4" w:space="0"/>
            </w:tcBorders>
            <w:shd w:val="clear" w:color="auto" w:fill="FFFFFF"/>
            <w:vAlign w:val="center"/>
          </w:tcPr>
          <w:p w14:paraId="0B94F580">
            <w:pPr>
              <w:snapToGrid w:val="0"/>
              <w:jc w:val="both"/>
            </w:pPr>
            <w:r>
              <w:rPr>
                <w:sz w:val="24"/>
                <w:lang w:eastAsia="zh-CN"/>
              </w:rPr>
              <w:t>面罩，麻醉，气体</w:t>
            </w:r>
          </w:p>
        </w:tc>
        <w:tc>
          <w:tcPr>
            <w:tcW w:w="787" w:type="pct"/>
            <w:tcBorders>
              <w:top w:val="single" w:color="auto" w:sz="4" w:space="0"/>
              <w:left w:val="single" w:color="auto" w:sz="4" w:space="0"/>
              <w:right w:val="single" w:color="auto" w:sz="4" w:space="0"/>
            </w:tcBorders>
            <w:shd w:val="clear" w:color="auto" w:fill="FFFFFF"/>
            <w:vAlign w:val="center"/>
          </w:tcPr>
          <w:p w14:paraId="6C9AD70F">
            <w:pPr>
              <w:snapToGrid w:val="0"/>
              <w:jc w:val="both"/>
            </w:pPr>
            <w:r>
              <w:rPr>
                <w:sz w:val="24"/>
                <w:lang w:eastAsia="zh-CN"/>
              </w:rPr>
              <w:t>BSJ</w:t>
            </w:r>
          </w:p>
        </w:tc>
      </w:tr>
      <w:tr w14:paraId="73247087">
        <w:tblPrEx>
          <w:tblCellMar>
            <w:top w:w="0" w:type="dxa"/>
            <w:left w:w="57" w:type="dxa"/>
            <w:bottom w:w="0" w:type="dxa"/>
            <w:right w:w="57" w:type="dxa"/>
          </w:tblCellMar>
        </w:tblPrEx>
        <w:trPr>
          <w:trHeight w:val="283" w:hRule="atLeast"/>
        </w:trPr>
        <w:tc>
          <w:tcPr>
            <w:tcW w:w="1206" w:type="pct"/>
            <w:tcBorders>
              <w:top w:val="single" w:color="auto" w:sz="4" w:space="0"/>
              <w:left w:val="single" w:color="auto" w:sz="4" w:space="0"/>
            </w:tcBorders>
            <w:shd w:val="clear" w:color="auto" w:fill="FFFFFF"/>
            <w:vAlign w:val="center"/>
          </w:tcPr>
          <w:p w14:paraId="31CD90A0">
            <w:pPr>
              <w:snapToGrid w:val="0"/>
              <w:jc w:val="both"/>
            </w:pPr>
            <w:r>
              <w:rPr>
                <w:sz w:val="24"/>
                <w:lang w:eastAsia="zh-CN"/>
              </w:rPr>
              <w:t>21 CFR 868.5580</w:t>
            </w:r>
          </w:p>
        </w:tc>
        <w:tc>
          <w:tcPr>
            <w:tcW w:w="3006" w:type="pct"/>
            <w:tcBorders>
              <w:top w:val="single" w:color="auto" w:sz="4" w:space="0"/>
              <w:left w:val="single" w:color="auto" w:sz="4" w:space="0"/>
            </w:tcBorders>
            <w:shd w:val="clear" w:color="auto" w:fill="FFFFFF"/>
            <w:vAlign w:val="center"/>
          </w:tcPr>
          <w:p w14:paraId="36320A1D">
            <w:pPr>
              <w:snapToGrid w:val="0"/>
              <w:jc w:val="both"/>
            </w:pPr>
            <w:r>
              <w:rPr>
                <w:sz w:val="24"/>
                <w:lang w:eastAsia="zh-CN"/>
              </w:rPr>
              <w:t>面罩，氧气</w:t>
            </w:r>
          </w:p>
        </w:tc>
        <w:tc>
          <w:tcPr>
            <w:tcW w:w="787" w:type="pct"/>
            <w:tcBorders>
              <w:top w:val="single" w:color="auto" w:sz="4" w:space="0"/>
              <w:left w:val="single" w:color="auto" w:sz="4" w:space="0"/>
              <w:right w:val="single" w:color="auto" w:sz="4" w:space="0"/>
            </w:tcBorders>
            <w:shd w:val="clear" w:color="auto" w:fill="FFFFFF"/>
            <w:vAlign w:val="center"/>
          </w:tcPr>
          <w:p w14:paraId="38BAD905">
            <w:pPr>
              <w:snapToGrid w:val="0"/>
              <w:jc w:val="both"/>
            </w:pPr>
            <w:r>
              <w:rPr>
                <w:sz w:val="24"/>
                <w:lang w:eastAsia="zh-CN"/>
              </w:rPr>
              <w:t>BYG</w:t>
            </w:r>
          </w:p>
        </w:tc>
      </w:tr>
      <w:tr w14:paraId="4693AFF8">
        <w:tblPrEx>
          <w:tblCellMar>
            <w:top w:w="0" w:type="dxa"/>
            <w:left w:w="57" w:type="dxa"/>
            <w:bottom w:w="0" w:type="dxa"/>
            <w:right w:w="57" w:type="dxa"/>
          </w:tblCellMar>
        </w:tblPrEx>
        <w:trPr>
          <w:trHeight w:val="288" w:hRule="atLeast"/>
        </w:trPr>
        <w:tc>
          <w:tcPr>
            <w:tcW w:w="1206" w:type="pct"/>
            <w:tcBorders>
              <w:top w:val="single" w:color="auto" w:sz="4" w:space="0"/>
              <w:left w:val="single" w:color="auto" w:sz="4" w:space="0"/>
            </w:tcBorders>
            <w:shd w:val="clear" w:color="auto" w:fill="FFFFFF"/>
            <w:vAlign w:val="center"/>
          </w:tcPr>
          <w:p w14:paraId="57FDD178">
            <w:pPr>
              <w:snapToGrid w:val="0"/>
              <w:jc w:val="both"/>
            </w:pPr>
            <w:r>
              <w:rPr>
                <w:sz w:val="24"/>
                <w:lang w:eastAsia="zh-CN"/>
              </w:rPr>
              <w:t>21 CFR 868.5600</w:t>
            </w:r>
          </w:p>
        </w:tc>
        <w:tc>
          <w:tcPr>
            <w:tcW w:w="3006" w:type="pct"/>
            <w:tcBorders>
              <w:top w:val="single" w:color="auto" w:sz="4" w:space="0"/>
              <w:left w:val="single" w:color="auto" w:sz="4" w:space="0"/>
            </w:tcBorders>
            <w:shd w:val="clear" w:color="auto" w:fill="FFFFFF"/>
            <w:vAlign w:val="center"/>
          </w:tcPr>
          <w:p w14:paraId="3F59CE1F">
            <w:pPr>
              <w:snapToGrid w:val="0"/>
              <w:jc w:val="both"/>
              <w:rPr>
                <w:lang w:eastAsia="zh-CN"/>
              </w:rPr>
            </w:pPr>
            <w:r>
              <w:rPr>
                <w:sz w:val="24"/>
                <w:lang w:eastAsia="zh-CN"/>
              </w:rPr>
              <w:t>面罩，氧气，低浓度，文氏</w:t>
            </w:r>
          </w:p>
        </w:tc>
        <w:tc>
          <w:tcPr>
            <w:tcW w:w="787" w:type="pct"/>
            <w:tcBorders>
              <w:top w:val="single" w:color="auto" w:sz="4" w:space="0"/>
              <w:left w:val="single" w:color="auto" w:sz="4" w:space="0"/>
              <w:right w:val="single" w:color="auto" w:sz="4" w:space="0"/>
            </w:tcBorders>
            <w:shd w:val="clear" w:color="auto" w:fill="FFFFFF"/>
            <w:vAlign w:val="center"/>
          </w:tcPr>
          <w:p w14:paraId="734559D2">
            <w:pPr>
              <w:snapToGrid w:val="0"/>
              <w:jc w:val="both"/>
            </w:pPr>
            <w:r>
              <w:rPr>
                <w:sz w:val="24"/>
                <w:lang w:eastAsia="zh-CN"/>
              </w:rPr>
              <w:t>BYG</w:t>
            </w:r>
          </w:p>
        </w:tc>
      </w:tr>
      <w:tr w14:paraId="452D9D75">
        <w:tblPrEx>
          <w:tblCellMar>
            <w:top w:w="0" w:type="dxa"/>
            <w:left w:w="57" w:type="dxa"/>
            <w:bottom w:w="0" w:type="dxa"/>
            <w:right w:w="57" w:type="dxa"/>
          </w:tblCellMar>
        </w:tblPrEx>
        <w:trPr>
          <w:trHeight w:val="288" w:hRule="atLeast"/>
        </w:trPr>
        <w:tc>
          <w:tcPr>
            <w:tcW w:w="1206" w:type="pct"/>
            <w:tcBorders>
              <w:top w:val="single" w:color="auto" w:sz="4" w:space="0"/>
              <w:left w:val="single" w:color="auto" w:sz="4" w:space="0"/>
            </w:tcBorders>
            <w:shd w:val="clear" w:color="auto" w:fill="FFFFFF"/>
            <w:vAlign w:val="center"/>
          </w:tcPr>
          <w:p w14:paraId="2AD29F7A">
            <w:pPr>
              <w:snapToGrid w:val="0"/>
              <w:jc w:val="both"/>
            </w:pPr>
            <w:r>
              <w:rPr>
                <w:sz w:val="24"/>
                <w:lang w:eastAsia="zh-CN"/>
              </w:rPr>
              <w:t>21 CFR 868.5570</w:t>
            </w:r>
          </w:p>
        </w:tc>
        <w:tc>
          <w:tcPr>
            <w:tcW w:w="3006" w:type="pct"/>
            <w:tcBorders>
              <w:top w:val="single" w:color="auto" w:sz="4" w:space="0"/>
              <w:left w:val="single" w:color="auto" w:sz="4" w:space="0"/>
            </w:tcBorders>
            <w:shd w:val="clear" w:color="auto" w:fill="FFFFFF"/>
            <w:vAlign w:val="center"/>
          </w:tcPr>
          <w:p w14:paraId="6D3CD1C0">
            <w:pPr>
              <w:snapToGrid w:val="0"/>
              <w:jc w:val="both"/>
            </w:pPr>
            <w:r>
              <w:rPr>
                <w:sz w:val="24"/>
                <w:lang w:eastAsia="zh-CN"/>
              </w:rPr>
              <w:t>面罩，氧气，非重复呼吸</w:t>
            </w:r>
          </w:p>
        </w:tc>
        <w:tc>
          <w:tcPr>
            <w:tcW w:w="787" w:type="pct"/>
            <w:tcBorders>
              <w:top w:val="single" w:color="auto" w:sz="4" w:space="0"/>
              <w:left w:val="single" w:color="auto" w:sz="4" w:space="0"/>
              <w:right w:val="single" w:color="auto" w:sz="4" w:space="0"/>
            </w:tcBorders>
            <w:shd w:val="clear" w:color="auto" w:fill="FFFFFF"/>
            <w:vAlign w:val="center"/>
          </w:tcPr>
          <w:p w14:paraId="5147A910">
            <w:pPr>
              <w:snapToGrid w:val="0"/>
              <w:jc w:val="both"/>
            </w:pPr>
            <w:r>
              <w:rPr>
                <w:sz w:val="24"/>
                <w:lang w:eastAsia="zh-CN"/>
              </w:rPr>
              <w:t>KGB</w:t>
            </w:r>
          </w:p>
        </w:tc>
      </w:tr>
      <w:tr w14:paraId="0BE63F9F">
        <w:tblPrEx>
          <w:tblCellMar>
            <w:top w:w="0" w:type="dxa"/>
            <w:left w:w="57" w:type="dxa"/>
            <w:bottom w:w="0" w:type="dxa"/>
            <w:right w:w="57" w:type="dxa"/>
          </w:tblCellMar>
        </w:tblPrEx>
        <w:trPr>
          <w:trHeight w:val="288" w:hRule="atLeast"/>
        </w:trPr>
        <w:tc>
          <w:tcPr>
            <w:tcW w:w="1206" w:type="pct"/>
            <w:vMerge w:val="restart"/>
            <w:tcBorders>
              <w:top w:val="single" w:color="auto" w:sz="4" w:space="0"/>
              <w:left w:val="single" w:color="auto" w:sz="4" w:space="0"/>
            </w:tcBorders>
            <w:shd w:val="clear" w:color="auto" w:fill="FFFFFF"/>
            <w:vAlign w:val="center"/>
          </w:tcPr>
          <w:p w14:paraId="01FE78C2">
            <w:pPr>
              <w:snapToGrid w:val="0"/>
              <w:jc w:val="both"/>
            </w:pPr>
            <w:r>
              <w:rPr>
                <w:sz w:val="24"/>
                <w:lang w:eastAsia="zh-CN"/>
              </w:rPr>
              <w:t>21 CFR 868.5905</w:t>
            </w:r>
          </w:p>
        </w:tc>
        <w:tc>
          <w:tcPr>
            <w:tcW w:w="3006" w:type="pct"/>
            <w:tcBorders>
              <w:top w:val="single" w:color="auto" w:sz="4" w:space="0"/>
              <w:left w:val="single" w:color="auto" w:sz="4" w:space="0"/>
            </w:tcBorders>
            <w:shd w:val="clear" w:color="auto" w:fill="FFFFFF"/>
            <w:vAlign w:val="center"/>
          </w:tcPr>
          <w:p w14:paraId="1A6B697E">
            <w:pPr>
              <w:snapToGrid w:val="0"/>
              <w:jc w:val="both"/>
              <w:rPr>
                <w:lang w:eastAsia="zh-CN"/>
              </w:rPr>
            </w:pPr>
            <w:r>
              <w:rPr>
                <w:sz w:val="24"/>
                <w:lang w:eastAsia="zh-CN"/>
              </w:rPr>
              <w:t>复苏器，手动，非自充气</w:t>
            </w:r>
          </w:p>
        </w:tc>
        <w:tc>
          <w:tcPr>
            <w:tcW w:w="787" w:type="pct"/>
            <w:tcBorders>
              <w:top w:val="single" w:color="auto" w:sz="4" w:space="0"/>
              <w:left w:val="single" w:color="auto" w:sz="4" w:space="0"/>
              <w:right w:val="single" w:color="auto" w:sz="4" w:space="0"/>
            </w:tcBorders>
            <w:shd w:val="clear" w:color="auto" w:fill="FFFFFF"/>
            <w:vAlign w:val="center"/>
          </w:tcPr>
          <w:p w14:paraId="25BAD767">
            <w:pPr>
              <w:snapToGrid w:val="0"/>
              <w:jc w:val="both"/>
            </w:pPr>
            <w:r>
              <w:rPr>
                <w:sz w:val="24"/>
                <w:lang w:eastAsia="zh-CN"/>
              </w:rPr>
              <w:t>NHK</w:t>
            </w:r>
          </w:p>
        </w:tc>
      </w:tr>
      <w:tr w14:paraId="39C75324">
        <w:tblPrEx>
          <w:tblCellMar>
            <w:top w:w="0" w:type="dxa"/>
            <w:left w:w="57" w:type="dxa"/>
            <w:bottom w:w="0" w:type="dxa"/>
            <w:right w:w="57" w:type="dxa"/>
          </w:tblCellMar>
        </w:tblPrEx>
        <w:trPr>
          <w:trHeight w:val="293" w:hRule="atLeast"/>
        </w:trPr>
        <w:tc>
          <w:tcPr>
            <w:tcW w:w="1206" w:type="pct"/>
            <w:vMerge w:val="continue"/>
            <w:tcBorders>
              <w:left w:val="single" w:color="auto" w:sz="4" w:space="0"/>
            </w:tcBorders>
            <w:shd w:val="clear" w:color="auto" w:fill="FFFFFF"/>
            <w:vAlign w:val="center"/>
          </w:tcPr>
          <w:p w14:paraId="1B2368E4">
            <w:pPr>
              <w:snapToGrid w:val="0"/>
              <w:jc w:val="both"/>
            </w:pPr>
          </w:p>
        </w:tc>
        <w:tc>
          <w:tcPr>
            <w:tcW w:w="3006" w:type="pct"/>
            <w:tcBorders>
              <w:top w:val="single" w:color="auto" w:sz="4" w:space="0"/>
              <w:left w:val="single" w:color="auto" w:sz="4" w:space="0"/>
            </w:tcBorders>
            <w:shd w:val="clear" w:color="auto" w:fill="FFFFFF"/>
            <w:vAlign w:val="center"/>
          </w:tcPr>
          <w:p w14:paraId="387BBA29">
            <w:pPr>
              <w:snapToGrid w:val="0"/>
              <w:jc w:val="both"/>
              <w:rPr>
                <w:lang w:eastAsia="zh-CN"/>
              </w:rPr>
            </w:pPr>
            <w:r>
              <w:rPr>
                <w:sz w:val="24"/>
                <w:lang w:eastAsia="zh-CN"/>
              </w:rPr>
              <w:t>面罩、呼吸机、非连续、再</w:t>
            </w:r>
            <w:r>
              <w:rPr>
                <w:rFonts w:hint="eastAsia"/>
                <w:sz w:val="24"/>
                <w:lang w:eastAsia="zh-CN"/>
              </w:rPr>
              <w:t>生</w:t>
            </w:r>
          </w:p>
        </w:tc>
        <w:tc>
          <w:tcPr>
            <w:tcW w:w="787" w:type="pct"/>
            <w:tcBorders>
              <w:top w:val="single" w:color="auto" w:sz="4" w:space="0"/>
              <w:left w:val="single" w:color="auto" w:sz="4" w:space="0"/>
              <w:right w:val="single" w:color="auto" w:sz="4" w:space="0"/>
            </w:tcBorders>
            <w:shd w:val="clear" w:color="auto" w:fill="FFFFFF"/>
            <w:vAlign w:val="center"/>
          </w:tcPr>
          <w:p w14:paraId="7DA18DBC">
            <w:pPr>
              <w:snapToGrid w:val="0"/>
              <w:jc w:val="both"/>
            </w:pPr>
            <w:r>
              <w:rPr>
                <w:sz w:val="24"/>
                <w:lang w:eastAsia="zh-CN"/>
              </w:rPr>
              <w:t>NMC</w:t>
            </w:r>
          </w:p>
        </w:tc>
      </w:tr>
      <w:tr w14:paraId="249F2F34">
        <w:tblPrEx>
          <w:tblCellMar>
            <w:top w:w="0" w:type="dxa"/>
            <w:left w:w="57" w:type="dxa"/>
            <w:bottom w:w="0" w:type="dxa"/>
            <w:right w:w="57" w:type="dxa"/>
          </w:tblCellMar>
        </w:tblPrEx>
        <w:trPr>
          <w:trHeight w:val="278" w:hRule="atLeast"/>
        </w:trPr>
        <w:tc>
          <w:tcPr>
            <w:tcW w:w="1206" w:type="pct"/>
            <w:tcBorders>
              <w:top w:val="single" w:color="auto" w:sz="4" w:space="0"/>
              <w:left w:val="single" w:color="auto" w:sz="4" w:space="0"/>
              <w:bottom w:val="single" w:color="auto" w:sz="4" w:space="0"/>
            </w:tcBorders>
            <w:shd w:val="clear" w:color="auto" w:fill="FFFFFF"/>
            <w:vAlign w:val="center"/>
          </w:tcPr>
          <w:p w14:paraId="2ECD7102">
            <w:pPr>
              <w:snapToGrid w:val="0"/>
              <w:jc w:val="both"/>
            </w:pPr>
            <w:r>
              <w:rPr>
                <w:sz w:val="24"/>
                <w:lang w:eastAsia="zh-CN"/>
              </w:rPr>
              <w:t>21 CFR 868.5560</w:t>
            </w:r>
          </w:p>
        </w:tc>
        <w:tc>
          <w:tcPr>
            <w:tcW w:w="3006" w:type="pct"/>
            <w:tcBorders>
              <w:top w:val="single" w:color="auto" w:sz="4" w:space="0"/>
              <w:left w:val="single" w:color="auto" w:sz="4" w:space="0"/>
              <w:bottom w:val="single" w:color="auto" w:sz="4" w:space="0"/>
            </w:tcBorders>
            <w:shd w:val="clear" w:color="auto" w:fill="FFFFFF"/>
            <w:vAlign w:val="center"/>
          </w:tcPr>
          <w:p w14:paraId="1A7526E8">
            <w:pPr>
              <w:snapToGrid w:val="0"/>
              <w:jc w:val="both"/>
              <w:rPr>
                <w:lang w:eastAsia="zh-CN"/>
              </w:rPr>
            </w:pPr>
            <w:r>
              <w:rPr>
                <w:sz w:val="24"/>
                <w:lang w:eastAsia="zh-CN"/>
              </w:rPr>
              <w:t>带子，头部，防毒面具</w:t>
            </w:r>
          </w:p>
        </w:tc>
        <w:tc>
          <w:tcPr>
            <w:tcW w:w="787" w:type="pct"/>
            <w:tcBorders>
              <w:top w:val="single" w:color="auto" w:sz="4" w:space="0"/>
              <w:left w:val="single" w:color="auto" w:sz="4" w:space="0"/>
              <w:bottom w:val="single" w:color="auto" w:sz="4" w:space="0"/>
              <w:right w:val="single" w:color="auto" w:sz="4" w:space="0"/>
            </w:tcBorders>
            <w:shd w:val="clear" w:color="auto" w:fill="FFFFFF"/>
            <w:vAlign w:val="center"/>
          </w:tcPr>
          <w:p w14:paraId="1B624935">
            <w:pPr>
              <w:snapToGrid w:val="0"/>
              <w:jc w:val="both"/>
            </w:pPr>
            <w:r>
              <w:rPr>
                <w:sz w:val="24"/>
                <w:lang w:eastAsia="zh-CN"/>
              </w:rPr>
              <w:t>BTK</w:t>
            </w:r>
          </w:p>
        </w:tc>
      </w:tr>
    </w:tbl>
    <w:p w14:paraId="09E2932B">
      <w:pPr>
        <w:snapToGrid w:val="0"/>
        <w:spacing w:before="120" w:beforeLines="50"/>
        <w:jc w:val="both"/>
        <w:rPr>
          <w:sz w:val="24"/>
          <w:lang w:eastAsia="zh-CN"/>
        </w:rPr>
      </w:pPr>
      <w:bookmarkStart w:id="24" w:name="bookmark21"/>
      <w:r>
        <w:rPr>
          <w:sz w:val="24"/>
          <w:lang w:eastAsia="zh-CN"/>
        </w:rPr>
        <w:t>FDA认为，当个人防护设备（PPE）（如FDA许可的外科口罩或呼吸器）不可用时，个人</w:t>
      </w:r>
      <w:r>
        <w:rPr>
          <w:rFonts w:hint="eastAsia"/>
          <w:sz w:val="24"/>
          <w:lang w:eastAsia="zh-CN"/>
        </w:rPr>
        <w:t>（</w:t>
      </w:r>
      <w:r>
        <w:rPr>
          <w:sz w:val="24"/>
          <w:lang w:eastAsia="zh-CN"/>
        </w:rPr>
        <w:t>包括HCP</w:t>
      </w:r>
      <w:r>
        <w:rPr>
          <w:rFonts w:hint="eastAsia"/>
          <w:sz w:val="24"/>
          <w:lang w:eastAsia="zh-CN"/>
        </w:rPr>
        <w:t>）</w:t>
      </w:r>
      <w:r>
        <w:rPr>
          <w:sz w:val="24"/>
          <w:lang w:eastAsia="zh-CN"/>
        </w:rPr>
        <w:t>可能会</w:t>
      </w:r>
      <w:r>
        <w:rPr>
          <w:rFonts w:hint="eastAsia"/>
          <w:sz w:val="24"/>
          <w:lang w:eastAsia="zh-CN"/>
        </w:rPr>
        <w:t>临时拼凑</w:t>
      </w:r>
      <w:r>
        <w:rPr>
          <w:sz w:val="24"/>
          <w:lang w:eastAsia="zh-CN"/>
        </w:rPr>
        <w:t>。当FDA</w:t>
      </w:r>
      <w:r>
        <w:rPr>
          <w:rFonts w:hint="eastAsia"/>
          <w:sz w:val="24"/>
          <w:lang w:eastAsia="zh-CN"/>
        </w:rPr>
        <w:t>许可</w:t>
      </w:r>
      <w:r>
        <w:rPr>
          <w:sz w:val="24"/>
          <w:lang w:eastAsia="zh-CN"/>
        </w:rPr>
        <w:t>或授权的外科口罩或呼吸器不可用时，FDA</w:t>
      </w:r>
      <w:r>
        <w:rPr>
          <w:rFonts w:hint="eastAsia"/>
          <w:sz w:val="24"/>
          <w:lang w:eastAsia="zh-CN"/>
        </w:rPr>
        <w:t>不会</w:t>
      </w:r>
      <w:r>
        <w:rPr>
          <w:sz w:val="24"/>
          <w:lang w:eastAsia="zh-CN"/>
        </w:rPr>
        <w:t>反对个人分销和使用临时PPE。</w:t>
      </w:r>
      <w:bookmarkEnd w:id="24"/>
    </w:p>
    <w:p w14:paraId="543491B7">
      <w:pPr>
        <w:snapToGrid w:val="0"/>
        <w:spacing w:before="120" w:beforeLines="50"/>
        <w:jc w:val="both"/>
        <w:rPr>
          <w:sz w:val="24"/>
          <w:lang w:eastAsia="zh-CN"/>
        </w:rPr>
      </w:pPr>
    </w:p>
    <w:p w14:paraId="7FC7030D">
      <w:pPr>
        <w:pStyle w:val="16"/>
        <w:spacing w:before="120" w:after="120"/>
        <w:rPr>
          <w:lang w:eastAsia="zh-CN"/>
        </w:rPr>
      </w:pPr>
      <w:bookmarkStart w:id="25" w:name="bookmark22"/>
      <w:bookmarkStart w:id="26" w:name="_Toc97318318"/>
      <w:r>
        <w:rPr>
          <w:lang w:eastAsia="zh-CN"/>
        </w:rPr>
        <w:t>IV.</w:t>
      </w:r>
      <w:r>
        <w:rPr>
          <w:lang w:eastAsia="zh-CN"/>
        </w:rPr>
        <w:tab/>
      </w:r>
      <w:r>
        <w:rPr>
          <w:lang w:eastAsia="zh-CN"/>
        </w:rPr>
        <w:t>定义</w:t>
      </w:r>
      <w:bookmarkEnd w:id="25"/>
      <w:bookmarkEnd w:id="26"/>
    </w:p>
    <w:p w14:paraId="10CD074E">
      <w:pPr>
        <w:snapToGrid w:val="0"/>
        <w:spacing w:before="120" w:beforeLines="50"/>
        <w:jc w:val="both"/>
        <w:rPr>
          <w:sz w:val="24"/>
          <w:lang w:eastAsia="zh-CN"/>
        </w:rPr>
      </w:pPr>
      <w:r>
        <w:rPr>
          <w:sz w:val="24"/>
          <w:lang w:eastAsia="zh-CN"/>
        </w:rPr>
        <w:t>为实施本指南，使用了以下定义。</w:t>
      </w:r>
    </w:p>
    <w:p w14:paraId="249DFF4C">
      <w:pPr>
        <w:snapToGrid w:val="0"/>
        <w:spacing w:before="120" w:beforeLines="50"/>
        <w:jc w:val="both"/>
        <w:rPr>
          <w:sz w:val="24"/>
          <w:lang w:eastAsia="zh-CN"/>
        </w:rPr>
      </w:pPr>
      <w:r>
        <w:rPr>
          <w:b/>
          <w:bCs/>
          <w:sz w:val="24"/>
          <w:lang w:eastAsia="zh-CN"/>
        </w:rPr>
        <w:t>口罩</w:t>
      </w:r>
      <w:r>
        <w:rPr>
          <w:rFonts w:hint="eastAsia"/>
          <w:b/>
          <w:bCs/>
          <w:sz w:val="24"/>
          <w:lang w:eastAsia="zh-CN"/>
        </w:rPr>
        <w:t xml:space="preserve"> </w:t>
      </w:r>
      <w:r>
        <w:rPr>
          <w:sz w:val="24"/>
          <w:lang w:eastAsia="zh-CN"/>
        </w:rPr>
        <w:t>- 一种带或不带防护面罩的口罩，覆盖使用者的鼻子和嘴巴，可能符合也可能不符合流体屏障或过滤效率水平。根据CDC的建议</w:t>
      </w:r>
      <w:r>
        <w:rPr>
          <w:rFonts w:hint="eastAsia"/>
          <w:sz w:val="24"/>
          <w:lang w:eastAsia="zh-CN"/>
        </w:rPr>
        <w:t>，</w:t>
      </w:r>
      <w:r>
        <w:rPr>
          <w:sz w:val="24"/>
          <w:lang w:eastAsia="zh-CN"/>
        </w:rPr>
        <w:t>公众</w:t>
      </w:r>
      <w:r>
        <w:rPr>
          <w:rFonts w:hint="eastAsia"/>
          <w:sz w:val="24"/>
          <w:lang w:eastAsia="zh-CN"/>
        </w:rPr>
        <w:t>和</w:t>
      </w:r>
      <w:r>
        <w:rPr>
          <w:sz w:val="24"/>
          <w:lang w:eastAsia="zh-CN"/>
        </w:rPr>
        <w:t>HCP仅将口罩用</w:t>
      </w:r>
      <w:r>
        <w:rPr>
          <w:rFonts w:hint="eastAsia"/>
          <w:sz w:val="24"/>
          <w:lang w:eastAsia="zh-CN"/>
        </w:rPr>
        <w:t>于感染源控制</w:t>
      </w:r>
      <w:r>
        <w:rPr>
          <w:sz w:val="24"/>
          <w:lang w:eastAsia="zh-CN"/>
        </w:rPr>
        <w:t>。</w:t>
      </w:r>
      <w:r>
        <w:fldChar w:fldCharType="begin"/>
      </w:r>
      <w:r>
        <w:instrText xml:space="preserve"> HYPERLINK \l "bookmark23" \o "当前文件" \h </w:instrText>
      </w:r>
      <w:r>
        <w:fldChar w:fldCharType="separate"/>
      </w:r>
      <w:r>
        <w:rPr>
          <w:sz w:val="24"/>
          <w:vertAlign w:val="superscript"/>
          <w:lang w:eastAsia="zh-CN"/>
        </w:rPr>
        <w:t>9</w:t>
      </w:r>
      <w:r>
        <w:rPr>
          <w:sz w:val="24"/>
          <w:vertAlign w:val="superscript"/>
          <w:lang w:eastAsia="zh-CN"/>
        </w:rPr>
        <w:fldChar w:fldCharType="end"/>
      </w:r>
      <w:r>
        <w:rPr>
          <w:sz w:val="24"/>
          <w:vertAlign w:val="superscript"/>
          <w:lang w:eastAsia="zh-CN"/>
        </w:rPr>
        <w:t>,</w:t>
      </w:r>
      <w:r>
        <w:fldChar w:fldCharType="begin"/>
      </w:r>
      <w:r>
        <w:instrText xml:space="preserve"> HYPERLINK \l "bookmark24" \o "Current Document" \h </w:instrText>
      </w:r>
      <w:r>
        <w:fldChar w:fldCharType="separate"/>
      </w:r>
      <w:r>
        <w:rPr>
          <w:sz w:val="24"/>
          <w:vertAlign w:val="superscript"/>
          <w:lang w:eastAsia="zh-CN"/>
        </w:rPr>
        <w:t>10</w:t>
      </w:r>
      <w:r>
        <w:rPr>
          <w:sz w:val="24"/>
          <w:vertAlign w:val="superscript"/>
          <w:lang w:eastAsia="zh-CN"/>
        </w:rPr>
        <w:fldChar w:fldCharType="end"/>
      </w:r>
    </w:p>
    <w:p w14:paraId="5C57D6C8">
      <w:pPr>
        <w:snapToGrid w:val="0"/>
        <w:spacing w:before="120" w:beforeLines="50"/>
        <w:jc w:val="both"/>
        <w:rPr>
          <w:sz w:val="24"/>
          <w:lang w:eastAsia="zh-CN"/>
        </w:rPr>
      </w:pPr>
      <w:r>
        <w:rPr>
          <w:b/>
          <w:bCs/>
          <w:sz w:val="24"/>
          <w:lang w:eastAsia="zh-CN"/>
        </w:rPr>
        <w:t>防护面罩</w:t>
      </w:r>
      <w:r>
        <w:rPr>
          <w:bCs/>
          <w:sz w:val="24"/>
          <w:lang w:eastAsia="zh-CN"/>
        </w:rPr>
        <w:t xml:space="preserve"> - </w:t>
      </w:r>
      <w:r>
        <w:rPr>
          <w:sz w:val="24"/>
          <w:lang w:eastAsia="zh-CN"/>
        </w:rPr>
        <w:t>防护面罩是一种用于保护使用者的眼睛和面部免受体液、液体飞溅或潜在传染性物质影响的装置。通常，防护面罩</w:t>
      </w:r>
      <w:r>
        <w:rPr>
          <w:rFonts w:hint="eastAsia"/>
          <w:sz w:val="24"/>
          <w:lang w:eastAsia="zh-CN"/>
        </w:rPr>
        <w:t>固定在</w:t>
      </w:r>
      <w:r>
        <w:rPr>
          <w:sz w:val="24"/>
          <w:lang w:eastAsia="zh-CN"/>
        </w:rPr>
        <w:t>头顶上，由塑料制成</w:t>
      </w:r>
      <w:r>
        <w:rPr>
          <w:rFonts w:hint="eastAsia"/>
          <w:sz w:val="24"/>
          <w:lang w:eastAsia="zh-CN"/>
        </w:rPr>
        <w:t>，用于</w:t>
      </w:r>
      <w:r>
        <w:rPr>
          <w:sz w:val="24"/>
          <w:lang w:eastAsia="zh-CN"/>
        </w:rPr>
        <w:t>覆盖使用者的眼睛和面部。</w:t>
      </w:r>
    </w:p>
    <w:p w14:paraId="30D79E22">
      <w:pPr>
        <w:snapToGrid w:val="0"/>
        <w:spacing w:before="120" w:beforeLines="50"/>
        <w:jc w:val="both"/>
        <w:rPr>
          <w:sz w:val="24"/>
          <w:lang w:eastAsia="zh-CN"/>
        </w:rPr>
      </w:pPr>
      <w:r>
        <w:rPr>
          <w:b/>
          <w:bCs/>
          <w:sz w:val="24"/>
          <w:lang w:eastAsia="zh-CN"/>
        </w:rPr>
        <w:t>外科口罩</w:t>
      </w:r>
      <w:r>
        <w:rPr>
          <w:rFonts w:hint="eastAsia"/>
          <w:b/>
          <w:bCs/>
          <w:sz w:val="24"/>
          <w:lang w:eastAsia="zh-CN"/>
        </w:rPr>
        <w:t xml:space="preserve"> </w:t>
      </w:r>
      <w:r>
        <w:rPr>
          <w:sz w:val="24"/>
          <w:lang w:eastAsia="zh-CN"/>
        </w:rPr>
        <w:t>- 一种覆盖使用者</w:t>
      </w:r>
      <w:r>
        <w:rPr>
          <w:rFonts w:hint="eastAsia"/>
          <w:sz w:val="24"/>
          <w:lang w:eastAsia="zh-CN"/>
        </w:rPr>
        <w:t>的</w:t>
      </w:r>
      <w:r>
        <w:rPr>
          <w:sz w:val="24"/>
          <w:lang w:eastAsia="zh-CN"/>
        </w:rPr>
        <w:t>口鼻并为液体和颗粒材料提供物理屏障的口罩。外科口罩符合某些流体屏障保护标准和I类或II类可燃性</w:t>
      </w:r>
      <w:r>
        <w:rPr>
          <w:rFonts w:hint="eastAsia"/>
          <w:sz w:val="24"/>
          <w:lang w:eastAsia="zh-CN"/>
        </w:rPr>
        <w:t>试验</w:t>
      </w:r>
      <w:r>
        <w:rPr>
          <w:sz w:val="24"/>
          <w:lang w:eastAsia="zh-CN"/>
        </w:rPr>
        <w:t>。</w:t>
      </w:r>
      <w:r>
        <w:fldChar w:fldCharType="begin"/>
      </w:r>
      <w:r>
        <w:instrText xml:space="preserve"> HYPERLINK \l "bookmark25" \o "当前文件" \h </w:instrText>
      </w:r>
      <w:r>
        <w:fldChar w:fldCharType="separate"/>
      </w:r>
      <w:r>
        <w:rPr>
          <w:sz w:val="24"/>
          <w:vertAlign w:val="superscript"/>
          <w:lang w:eastAsia="zh-CN"/>
        </w:rPr>
        <w:t>11</w:t>
      </w:r>
      <w:r>
        <w:rPr>
          <w:sz w:val="24"/>
          <w:vertAlign w:val="superscript"/>
          <w:lang w:eastAsia="zh-CN"/>
        </w:rPr>
        <w:fldChar w:fldCharType="end"/>
      </w:r>
    </w:p>
    <w:p w14:paraId="5ADA5245">
      <w:pPr>
        <w:snapToGrid w:val="0"/>
        <w:spacing w:before="120" w:beforeLines="50"/>
        <w:jc w:val="both"/>
        <w:rPr>
          <w:sz w:val="24"/>
          <w:lang w:eastAsia="zh-CN"/>
        </w:rPr>
      </w:pPr>
      <w:r>
        <w:rPr>
          <w:b/>
          <w:bCs/>
          <w:sz w:val="24"/>
          <w:lang w:eastAsia="zh-CN"/>
        </w:rPr>
        <w:t>过滤式面罩呼吸器</w:t>
      </w:r>
      <w:r>
        <w:rPr>
          <w:rFonts w:hint="eastAsia"/>
          <w:b/>
          <w:bCs/>
          <w:sz w:val="24"/>
          <w:lang w:eastAsia="zh-CN"/>
        </w:rPr>
        <w:t xml:space="preserve"> </w:t>
      </w:r>
      <w:r>
        <w:rPr>
          <w:sz w:val="24"/>
          <w:lang w:eastAsia="zh-CN"/>
        </w:rPr>
        <w:t>- 过滤式面罩呼吸器（FFR）是一种一次性半面罩无动力空气净化微粒呼吸器，用于覆盖佩戴者的口鼻</w:t>
      </w:r>
      <w:r>
        <w:rPr>
          <w:rFonts w:hint="eastAsia"/>
          <w:sz w:val="24"/>
          <w:lang w:eastAsia="zh-CN"/>
        </w:rPr>
        <w:t>，</w:t>
      </w:r>
      <w:r>
        <w:rPr>
          <w:sz w:val="24"/>
          <w:lang w:eastAsia="zh-CN"/>
        </w:rPr>
        <w:t>有助于减少佩戴者接触致病性生物空气中的微粒。</w:t>
      </w:r>
    </w:p>
    <w:p w14:paraId="04930BB1">
      <w:pPr>
        <w:snapToGrid w:val="0"/>
        <w:spacing w:before="120" w:beforeLines="50"/>
        <w:jc w:val="both"/>
        <w:rPr>
          <w:sz w:val="24"/>
          <w:lang w:eastAsia="zh-CN"/>
        </w:rPr>
      </w:pPr>
    </w:p>
    <w:p w14:paraId="18344AFD">
      <w:pPr>
        <w:snapToGrid w:val="0"/>
        <w:spacing w:before="120" w:beforeLines="50"/>
        <w:jc w:val="both"/>
        <w:rPr>
          <w:sz w:val="24"/>
          <w:lang w:eastAsia="zh-CN"/>
        </w:rPr>
      </w:pPr>
    </w:p>
    <w:p w14:paraId="292D7C8A">
      <w:pPr>
        <w:snapToGrid w:val="0"/>
        <w:spacing w:before="120" w:beforeLines="50"/>
        <w:jc w:val="both"/>
        <w:rPr>
          <w:sz w:val="24"/>
          <w:lang w:eastAsia="zh-CN"/>
        </w:rPr>
      </w:pPr>
    </w:p>
    <w:p w14:paraId="510F8F8D">
      <w:pPr>
        <w:snapToGrid w:val="0"/>
        <w:spacing w:before="120" w:beforeLines="50"/>
        <w:jc w:val="both"/>
        <w:rPr>
          <w:sz w:val="18"/>
          <w:szCs w:val="18"/>
          <w:lang w:eastAsia="zh-CN"/>
        </w:rPr>
      </w:pPr>
      <w:bookmarkStart w:id="27" w:name="bookmark23"/>
      <w:r>
        <w:rPr>
          <w:sz w:val="18"/>
          <w:szCs w:val="18"/>
          <w:lang w:eastAsia="zh-CN"/>
        </w:rPr>
        <w:t>_________________________</w:t>
      </w:r>
    </w:p>
    <w:p w14:paraId="5D02F0C2">
      <w:pPr>
        <w:tabs>
          <w:tab w:val="left" w:pos="120"/>
        </w:tabs>
        <w:snapToGrid w:val="0"/>
        <w:spacing w:before="120" w:beforeLines="50"/>
        <w:jc w:val="both"/>
        <w:rPr>
          <w:sz w:val="18"/>
          <w:szCs w:val="18"/>
          <w:lang w:eastAsia="zh-CN"/>
        </w:rPr>
      </w:pPr>
      <w:r>
        <w:rPr>
          <w:sz w:val="18"/>
          <w:szCs w:val="18"/>
          <w:vertAlign w:val="superscript"/>
          <w:lang w:eastAsia="zh-CN"/>
        </w:rPr>
        <w:t>9</w:t>
      </w:r>
      <w:r>
        <w:rPr>
          <w:sz w:val="18"/>
          <w:szCs w:val="18"/>
          <w:lang w:eastAsia="zh-CN"/>
        </w:rPr>
        <w:tab/>
      </w:r>
      <w:r>
        <w:rPr>
          <w:rFonts w:hint="eastAsia"/>
          <w:sz w:val="18"/>
          <w:szCs w:val="18"/>
          <w:lang w:eastAsia="zh-CN"/>
        </w:rPr>
        <w:t>感染源</w:t>
      </w:r>
      <w:r>
        <w:rPr>
          <w:sz w:val="18"/>
          <w:szCs w:val="18"/>
          <w:lang w:eastAsia="zh-CN"/>
        </w:rPr>
        <w:t>控制指使用口罩或布制口罩覆盖口鼻，以控制个人的呼吸道分泌物，</w:t>
      </w:r>
      <w:r>
        <w:rPr>
          <w:rFonts w:hint="eastAsia"/>
          <w:sz w:val="18"/>
          <w:szCs w:val="18"/>
          <w:lang w:eastAsia="zh-CN"/>
        </w:rPr>
        <w:t>从而</w:t>
      </w:r>
      <w:r>
        <w:rPr>
          <w:sz w:val="18"/>
          <w:szCs w:val="18"/>
          <w:lang w:eastAsia="zh-CN"/>
        </w:rPr>
        <w:t>帮助防止感染者传播可能有或可能没有COVID-19的症状。</w:t>
      </w:r>
      <w:bookmarkEnd w:id="27"/>
    </w:p>
    <w:p w14:paraId="54DB28D4">
      <w:pPr>
        <w:tabs>
          <w:tab w:val="left" w:pos="168"/>
        </w:tabs>
        <w:snapToGrid w:val="0"/>
        <w:spacing w:before="120" w:beforeLines="50"/>
        <w:jc w:val="both"/>
        <w:rPr>
          <w:sz w:val="18"/>
          <w:szCs w:val="18"/>
        </w:rPr>
      </w:pPr>
      <w:bookmarkStart w:id="28" w:name="bookmark24"/>
      <w:r>
        <w:rPr>
          <w:sz w:val="18"/>
          <w:szCs w:val="18"/>
          <w:vertAlign w:val="superscript"/>
          <w:lang w:eastAsia="zh-CN"/>
        </w:rPr>
        <w:t>10</w:t>
      </w:r>
      <w:r>
        <w:fldChar w:fldCharType="begin"/>
      </w:r>
      <w:r>
        <w:instrText xml:space="preserve"> HYPERLINK "https://www.cdc.gov/coronavirus/2019-ncov/hcp/infection-control-recommendations.html" </w:instrText>
      </w:r>
      <w:r>
        <w:fldChar w:fldCharType="separate"/>
      </w:r>
      <w:r>
        <w:rPr>
          <w:rStyle w:val="12"/>
          <w:color w:val="0000FF"/>
          <w:sz w:val="18"/>
          <w:szCs w:val="18"/>
          <w:u w:val="none"/>
          <w:lang w:eastAsia="zh-CN"/>
        </w:rPr>
        <w:tab/>
      </w:r>
      <w:r>
        <w:rPr>
          <w:rStyle w:val="12"/>
          <w:color w:val="0000FF"/>
          <w:sz w:val="18"/>
          <w:szCs w:val="18"/>
          <w:lang w:eastAsia="zh-CN"/>
        </w:rPr>
        <w:t>https://www.cdc.gov/coronavirus/2019-ncov/hcn/infection-control-recommendations.html</w:t>
      </w:r>
      <w:r>
        <w:rPr>
          <w:rStyle w:val="12"/>
          <w:color w:val="0000FF"/>
          <w:sz w:val="18"/>
          <w:szCs w:val="18"/>
          <w:lang w:eastAsia="zh-CN"/>
        </w:rPr>
        <w:fldChar w:fldCharType="end"/>
      </w:r>
      <w:r>
        <w:rPr>
          <w:color w:val="0000FF"/>
          <w:sz w:val="18"/>
          <w:szCs w:val="18"/>
          <w:lang w:eastAsia="zh-CN"/>
        </w:rPr>
        <w:t>.</w:t>
      </w:r>
      <w:bookmarkEnd w:id="28"/>
    </w:p>
    <w:p w14:paraId="76BA2B7F">
      <w:pPr>
        <w:tabs>
          <w:tab w:val="left" w:pos="168"/>
        </w:tabs>
        <w:snapToGrid w:val="0"/>
        <w:spacing w:before="120" w:beforeLines="50"/>
        <w:jc w:val="both"/>
        <w:rPr>
          <w:bCs/>
          <w:sz w:val="18"/>
          <w:szCs w:val="18"/>
          <w:lang w:eastAsia="zh-CN"/>
        </w:rPr>
      </w:pPr>
      <w:bookmarkStart w:id="29" w:name="bookmark25"/>
      <w:r>
        <w:rPr>
          <w:sz w:val="18"/>
          <w:szCs w:val="18"/>
          <w:vertAlign w:val="superscript"/>
          <w:lang w:eastAsia="zh-CN"/>
        </w:rPr>
        <w:t>11</w:t>
      </w:r>
      <w:r>
        <w:rPr>
          <w:sz w:val="18"/>
          <w:szCs w:val="18"/>
          <w:lang w:eastAsia="zh-CN"/>
        </w:rPr>
        <w:tab/>
      </w:r>
      <w:r>
        <w:rPr>
          <w:sz w:val="18"/>
          <w:szCs w:val="18"/>
          <w:lang w:eastAsia="zh-CN"/>
        </w:rPr>
        <w:t>CPSC CS-191-53 易燃性试验方法（16 CFR 1610）纺织服装易燃性标准。</w:t>
      </w:r>
      <w:bookmarkEnd w:id="29"/>
    </w:p>
    <w:p w14:paraId="5F23A936">
      <w:pPr>
        <w:tabs>
          <w:tab w:val="left" w:pos="168"/>
        </w:tabs>
        <w:snapToGrid w:val="0"/>
        <w:spacing w:before="120" w:beforeLines="50"/>
        <w:jc w:val="both"/>
        <w:rPr>
          <w:lang w:eastAsia="zh-CN"/>
        </w:rPr>
      </w:pPr>
    </w:p>
    <w:p w14:paraId="761F630B">
      <w:pPr>
        <w:snapToGrid w:val="0"/>
        <w:spacing w:before="120" w:beforeLines="50"/>
        <w:jc w:val="both"/>
        <w:rPr>
          <w:sz w:val="24"/>
          <w:lang w:eastAsia="zh-CN"/>
        </w:rPr>
      </w:pPr>
      <w:r>
        <w:rPr>
          <w:b/>
          <w:bCs/>
          <w:sz w:val="24"/>
          <w:lang w:eastAsia="zh-CN"/>
        </w:rPr>
        <w:t>N95呼吸器</w:t>
      </w:r>
      <w:r>
        <w:rPr>
          <w:bCs/>
          <w:sz w:val="24"/>
          <w:lang w:eastAsia="zh-CN"/>
        </w:rPr>
        <w:t xml:space="preserve"> </w:t>
      </w:r>
      <w:r>
        <w:rPr>
          <w:sz w:val="24"/>
          <w:lang w:eastAsia="zh-CN"/>
        </w:rPr>
        <w:t>- 一种一次性半面罩过滤式面罩呼吸器（FFR），可覆盖</w:t>
      </w:r>
      <w:r>
        <w:rPr>
          <w:rFonts w:hint="eastAsia"/>
          <w:sz w:val="24"/>
          <w:lang w:eastAsia="zh-CN"/>
        </w:rPr>
        <w:t>使用者</w:t>
      </w:r>
      <w:r>
        <w:rPr>
          <w:sz w:val="24"/>
          <w:lang w:eastAsia="zh-CN"/>
        </w:rPr>
        <w:t>的气道（</w:t>
      </w:r>
      <w:r>
        <w:rPr>
          <w:rFonts w:hint="eastAsia"/>
          <w:sz w:val="24"/>
          <w:lang w:eastAsia="zh-CN"/>
        </w:rPr>
        <w:t>口鼻</w:t>
      </w:r>
      <w:r>
        <w:rPr>
          <w:sz w:val="24"/>
          <w:lang w:eastAsia="zh-CN"/>
        </w:rPr>
        <w:t>），并</w:t>
      </w:r>
      <w:r>
        <w:rPr>
          <w:rFonts w:hint="eastAsia"/>
          <w:sz w:val="24"/>
          <w:lang w:eastAsia="zh-CN"/>
        </w:rPr>
        <w:t>在</w:t>
      </w:r>
      <w:r>
        <w:rPr>
          <w:sz w:val="24"/>
          <w:lang w:eastAsia="zh-CN"/>
        </w:rPr>
        <w:t>42 CFR 84.181的N95过滤效率级别提供颗粒物防护。在医疗环境中使用的此类N95 FFR由FDA根据21 CFR 878.4040（FDA产品代码MSH）进行监管，</w:t>
      </w:r>
      <w:r>
        <w:rPr>
          <w:rFonts w:hint="eastAsia"/>
          <w:sz w:val="24"/>
          <w:lang w:eastAsia="zh-CN"/>
        </w:rPr>
        <w:t>属于符合</w:t>
      </w:r>
      <w:r>
        <w:rPr>
          <w:sz w:val="24"/>
          <w:lang w:eastAsia="zh-CN"/>
        </w:rPr>
        <w:t>《FD&amp;C法案》510(k)豁免上市前通知要求的II类器械，或者II类许可器械。</w:t>
      </w:r>
    </w:p>
    <w:p w14:paraId="2D278273">
      <w:pPr>
        <w:snapToGrid w:val="0"/>
        <w:spacing w:before="120" w:beforeLines="50"/>
        <w:jc w:val="both"/>
        <w:rPr>
          <w:sz w:val="24"/>
          <w:lang w:eastAsia="zh-CN"/>
        </w:rPr>
      </w:pPr>
      <w:r>
        <w:rPr>
          <w:b/>
          <w:bCs/>
          <w:sz w:val="24"/>
          <w:lang w:eastAsia="zh-CN"/>
        </w:rPr>
        <w:t>NIOSH批准的N95呼吸器</w:t>
      </w:r>
      <w:r>
        <w:rPr>
          <w:bCs/>
          <w:sz w:val="24"/>
          <w:lang w:eastAsia="zh-CN"/>
        </w:rPr>
        <w:t xml:space="preserve"> </w:t>
      </w:r>
      <w:r>
        <w:rPr>
          <w:sz w:val="24"/>
          <w:lang w:eastAsia="zh-CN"/>
        </w:rPr>
        <w:t xml:space="preserve">– </w:t>
      </w:r>
      <w:r>
        <w:rPr>
          <w:rFonts w:hint="eastAsia"/>
          <w:sz w:val="24"/>
          <w:lang w:eastAsia="zh-CN"/>
        </w:rPr>
        <w:t>获得</w:t>
      </w:r>
      <w:r>
        <w:rPr>
          <w:sz w:val="24"/>
          <w:lang w:eastAsia="zh-CN"/>
        </w:rPr>
        <w:t>NIOSH批准的N95呼吸器，符合42 CFR 84.181的过滤效率水平。</w:t>
      </w:r>
    </w:p>
    <w:p w14:paraId="5FC44D84">
      <w:pPr>
        <w:snapToGrid w:val="0"/>
        <w:spacing w:before="120" w:beforeLines="50"/>
        <w:jc w:val="both"/>
        <w:rPr>
          <w:sz w:val="24"/>
          <w:lang w:eastAsia="zh-CN"/>
        </w:rPr>
      </w:pPr>
      <w:bookmarkStart w:id="30" w:name="bookmark26"/>
      <w:r>
        <w:rPr>
          <w:b/>
          <w:bCs/>
          <w:sz w:val="24"/>
          <w:lang w:eastAsia="zh-CN"/>
        </w:rPr>
        <w:t>外科N95呼吸器</w:t>
      </w:r>
      <w:r>
        <w:rPr>
          <w:bCs/>
          <w:sz w:val="24"/>
          <w:lang w:eastAsia="zh-CN"/>
        </w:rPr>
        <w:t xml:space="preserve"> </w:t>
      </w:r>
      <w:r>
        <w:rPr>
          <w:sz w:val="24"/>
          <w:lang w:eastAsia="zh-CN"/>
        </w:rPr>
        <w:t>- 根据42 CFR 84.181，在医疗环境中使用的一次性FFR，供HCP在术中佩戴以防患者和HCP传播N95过滤效率水平的微生物、体液和颗粒物质。外科N95呼吸器由FDA根据21 CFR 878.4040（FDA产品代码MSH）进行监管，</w:t>
      </w:r>
      <w:r>
        <w:rPr>
          <w:rFonts w:hint="eastAsia"/>
          <w:sz w:val="24"/>
          <w:lang w:eastAsia="zh-CN"/>
        </w:rPr>
        <w:t>属于</w:t>
      </w:r>
      <w:r>
        <w:rPr>
          <w:sz w:val="24"/>
          <w:lang w:eastAsia="zh-CN"/>
        </w:rPr>
        <w:t>符合《FD&amp;C法案》第510(k)节豁免上市前通知要求的II类器械，或者II类许可器械。</w:t>
      </w:r>
      <w:bookmarkEnd w:id="30"/>
    </w:p>
    <w:p w14:paraId="08DEB5B2">
      <w:pPr>
        <w:snapToGrid w:val="0"/>
        <w:spacing w:before="120" w:beforeLines="50"/>
        <w:jc w:val="both"/>
        <w:rPr>
          <w:sz w:val="24"/>
          <w:lang w:eastAsia="zh-CN"/>
        </w:rPr>
      </w:pPr>
    </w:p>
    <w:p w14:paraId="62ED20FD">
      <w:pPr>
        <w:pStyle w:val="16"/>
        <w:spacing w:before="120" w:after="120"/>
        <w:rPr>
          <w:lang w:eastAsia="zh-CN"/>
        </w:rPr>
      </w:pPr>
      <w:bookmarkStart w:id="31" w:name="bookmark28"/>
      <w:bookmarkStart w:id="32" w:name="_Toc97318319"/>
      <w:bookmarkStart w:id="33" w:name="bookmark27"/>
      <w:r>
        <w:rPr>
          <w:lang w:eastAsia="zh-CN"/>
        </w:rPr>
        <w:t>V.</w:t>
      </w:r>
      <w:r>
        <w:rPr>
          <w:lang w:eastAsia="zh-CN"/>
        </w:rPr>
        <w:tab/>
      </w:r>
      <w:r>
        <w:rPr>
          <w:lang w:eastAsia="zh-CN"/>
        </w:rPr>
        <w:t>政策</w:t>
      </w:r>
      <w:bookmarkEnd w:id="31"/>
      <w:bookmarkEnd w:id="32"/>
      <w:bookmarkEnd w:id="33"/>
    </w:p>
    <w:p w14:paraId="3E177402">
      <w:pPr>
        <w:pStyle w:val="17"/>
        <w:spacing w:before="120" w:after="120"/>
      </w:pPr>
      <w:bookmarkStart w:id="34" w:name="_Toc97318320"/>
      <w:bookmarkStart w:id="35" w:name="bookmark29"/>
      <w:r>
        <w:t>A</w:t>
      </w:r>
      <w:r>
        <w:tab/>
      </w:r>
      <w:r>
        <w:t>概述</w:t>
      </w:r>
      <w:bookmarkEnd w:id="34"/>
      <w:bookmarkEnd w:id="35"/>
    </w:p>
    <w:p w14:paraId="24CA525C">
      <w:pPr>
        <w:snapToGrid w:val="0"/>
        <w:spacing w:before="120" w:beforeLines="50"/>
        <w:jc w:val="both"/>
        <w:rPr>
          <w:sz w:val="24"/>
          <w:lang w:eastAsia="zh-CN"/>
        </w:rPr>
      </w:pPr>
      <w:bookmarkStart w:id="36" w:name="bookmark30"/>
      <w:r>
        <w:rPr>
          <w:sz w:val="24"/>
          <w:lang w:eastAsia="zh-CN"/>
        </w:rPr>
        <w:t>FDA正在采取措施扩大口罩和呼吸器的可</w:t>
      </w:r>
      <w:r>
        <w:rPr>
          <w:rFonts w:hint="eastAsia"/>
          <w:sz w:val="24"/>
          <w:lang w:eastAsia="zh-CN"/>
        </w:rPr>
        <w:t>获得</w:t>
      </w:r>
      <w:r>
        <w:rPr>
          <w:sz w:val="24"/>
          <w:lang w:eastAsia="zh-CN"/>
        </w:rPr>
        <w:t>性，并认为本指南中规定的政策可能有助于通过基于风险的方法并阐明FDA打算对口罩和呼吸器（包括这些产品的相关适应证和声明）制定的政策</w:t>
      </w:r>
      <w:r>
        <w:rPr>
          <w:rFonts w:hint="eastAsia"/>
          <w:sz w:val="24"/>
          <w:lang w:eastAsia="zh-CN"/>
        </w:rPr>
        <w:t>，</w:t>
      </w:r>
      <w:r>
        <w:rPr>
          <w:sz w:val="24"/>
          <w:lang w:eastAsia="zh-CN"/>
        </w:rPr>
        <w:t>以解决因此类产品短缺而引起的紧急公共卫生问题。</w:t>
      </w:r>
      <w:bookmarkEnd w:id="36"/>
    </w:p>
    <w:p w14:paraId="00C660E7">
      <w:pPr>
        <w:pStyle w:val="17"/>
        <w:spacing w:before="120" w:after="120"/>
      </w:pPr>
      <w:bookmarkStart w:id="37" w:name="_Toc97318321"/>
      <w:bookmarkStart w:id="38" w:name="bookmark31"/>
    </w:p>
    <w:p w14:paraId="55802A59">
      <w:pPr>
        <w:pStyle w:val="17"/>
        <w:spacing w:before="120" w:after="120"/>
      </w:pPr>
      <w:r>
        <w:t>B.</w:t>
      </w:r>
      <w:r>
        <w:tab/>
      </w:r>
      <w:r>
        <w:t>不用于医疗用途的口罩、防护面罩和N95呼吸器</w:t>
      </w:r>
      <w:bookmarkEnd w:id="37"/>
      <w:bookmarkEnd w:id="38"/>
    </w:p>
    <w:p w14:paraId="30E58D86">
      <w:pPr>
        <w:snapToGrid w:val="0"/>
        <w:spacing w:before="120" w:beforeLines="50"/>
        <w:jc w:val="both"/>
        <w:rPr>
          <w:sz w:val="24"/>
          <w:lang w:eastAsia="zh-CN"/>
        </w:rPr>
      </w:pPr>
      <w:r>
        <w:rPr>
          <w:sz w:val="24"/>
          <w:lang w:eastAsia="zh-CN"/>
        </w:rPr>
        <w:t>口罩、防护面罩和N95呼吸器是符合《FD&amp;C法案》第201(h)节规定的器械定义的器械。根据《FD&amp;C法案》第201(h)节，这些产品是用于诊断疾病或其他病症或用于治愈、缓解、治疗或预防疾病的器械。</w:t>
      </w:r>
    </w:p>
    <w:p w14:paraId="71730FEA">
      <w:pPr>
        <w:snapToGrid w:val="0"/>
        <w:spacing w:before="120" w:beforeLines="50"/>
        <w:jc w:val="both"/>
        <w:rPr>
          <w:sz w:val="24"/>
          <w:lang w:eastAsia="zh-CN"/>
        </w:rPr>
      </w:pPr>
      <w:r>
        <w:rPr>
          <w:sz w:val="24"/>
          <w:lang w:eastAsia="zh-CN"/>
        </w:rPr>
        <w:t>其他口罩、防护面罩和FFR面向公众销售，用于普通非医疗用途（例如建筑行业和其他行业）。因为它们不打算用于疾病或其他病症的诊断或疾病的治愈、缓解、治疗或预防，所以</w:t>
      </w:r>
      <w:r>
        <w:rPr>
          <w:rFonts w:hint="eastAsia"/>
          <w:b/>
          <w:bCs/>
          <w:sz w:val="24"/>
          <w:lang w:eastAsia="zh-CN"/>
        </w:rPr>
        <w:t>无需</w:t>
      </w:r>
      <w:r>
        <w:rPr>
          <w:sz w:val="24"/>
          <w:lang w:eastAsia="zh-CN"/>
        </w:rPr>
        <w:t>FDA器械上市许可，并且所有《FD&amp;C法案》</w:t>
      </w:r>
      <w:r>
        <w:rPr>
          <w:rFonts w:hint="eastAsia"/>
          <w:sz w:val="24"/>
          <w:lang w:eastAsia="zh-CN"/>
        </w:rPr>
        <w:t>的要求均</w:t>
      </w:r>
      <w:r>
        <w:rPr>
          <w:b/>
          <w:bCs/>
          <w:sz w:val="24"/>
          <w:lang w:eastAsia="zh-CN"/>
        </w:rPr>
        <w:t>不</w:t>
      </w:r>
      <w:r>
        <w:rPr>
          <w:sz w:val="24"/>
          <w:lang w:eastAsia="zh-CN"/>
        </w:rPr>
        <w:t>适用于这些产品的制造商、进口商和分销商。</w:t>
      </w:r>
    </w:p>
    <w:p w14:paraId="663673B9">
      <w:pPr>
        <w:snapToGrid w:val="0"/>
        <w:spacing w:before="120" w:beforeLines="50"/>
        <w:jc w:val="both"/>
        <w:rPr>
          <w:sz w:val="24"/>
          <w:lang w:eastAsia="zh-CN"/>
        </w:rPr>
      </w:pPr>
      <w:r>
        <w:rPr>
          <w:sz w:val="24"/>
          <w:lang w:eastAsia="zh-CN"/>
        </w:rPr>
        <w:t>口罩、防护面罩和呼吸器是用于医疗目的的</w:t>
      </w:r>
      <w:r>
        <w:rPr>
          <w:rFonts w:hint="eastAsia"/>
          <w:sz w:val="24"/>
          <w:lang w:eastAsia="zh-CN"/>
        </w:rPr>
        <w:t>医疗器械</w:t>
      </w:r>
      <w:r>
        <w:rPr>
          <w:sz w:val="24"/>
          <w:lang w:eastAsia="zh-CN"/>
        </w:rPr>
        <w:t>，例如预防传染病传播（包括与COVID-19相关的用途）。用于非医疗目的（例如建筑</w:t>
      </w:r>
      <w:r>
        <w:rPr>
          <w:rFonts w:hint="eastAsia"/>
          <w:sz w:val="24"/>
          <w:lang w:eastAsia="zh-CN"/>
        </w:rPr>
        <w:t>行业</w:t>
      </w:r>
      <w:r>
        <w:rPr>
          <w:sz w:val="24"/>
          <w:lang w:eastAsia="zh-CN"/>
        </w:rPr>
        <w:t>）</w:t>
      </w:r>
      <w:r>
        <w:rPr>
          <w:rFonts w:hint="eastAsia"/>
          <w:sz w:val="24"/>
          <w:lang w:eastAsia="zh-CN"/>
        </w:rPr>
        <w:t>的</w:t>
      </w:r>
      <w:r>
        <w:rPr>
          <w:sz w:val="24"/>
          <w:lang w:eastAsia="zh-CN"/>
        </w:rPr>
        <w:t>口罩、防护面罩和呼吸器不属于</w:t>
      </w:r>
      <w:r>
        <w:rPr>
          <w:rFonts w:hint="eastAsia"/>
          <w:sz w:val="24"/>
          <w:lang w:eastAsia="zh-CN"/>
        </w:rPr>
        <w:t>医疗器械</w:t>
      </w:r>
      <w:r>
        <w:rPr>
          <w:sz w:val="24"/>
          <w:lang w:eastAsia="zh-CN"/>
        </w:rPr>
        <w:t>。在评价这些产品是否用于医疗目的时，除其他考虑因素外，FDA将考虑是否：</w:t>
      </w:r>
    </w:p>
    <w:p w14:paraId="520279D1">
      <w:pPr>
        <w:snapToGrid w:val="0"/>
        <w:spacing w:before="120" w:beforeLines="50"/>
        <w:jc w:val="both"/>
        <w:rPr>
          <w:lang w:eastAsia="zh-CN"/>
        </w:rPr>
      </w:pPr>
      <w:r>
        <w:rPr>
          <w:lang w:eastAsia="zh-CN"/>
        </w:rPr>
        <w:br w:type="page"/>
      </w:r>
    </w:p>
    <w:p w14:paraId="44081932">
      <w:pPr>
        <w:pStyle w:val="27"/>
        <w:spacing w:before="120"/>
        <w:ind w:left="911" w:hanging="487"/>
        <w:rPr>
          <w:sz w:val="24"/>
          <w:lang w:eastAsia="zh-CN"/>
        </w:rPr>
      </w:pPr>
      <w:r>
        <w:rPr>
          <w:sz w:val="24"/>
          <w:lang w:eastAsia="zh-CN"/>
        </w:rPr>
        <w:t>1）</w:t>
      </w:r>
      <w:r>
        <w:rPr>
          <w:sz w:val="24"/>
          <w:lang w:eastAsia="zh-CN"/>
        </w:rPr>
        <w:tab/>
      </w:r>
      <w:r>
        <w:rPr>
          <w:sz w:val="24"/>
          <w:lang w:eastAsia="zh-CN"/>
        </w:rPr>
        <w:t>标记或以其他方式供HCP使用；</w:t>
      </w:r>
    </w:p>
    <w:p w14:paraId="05BB7DF1">
      <w:pPr>
        <w:pStyle w:val="27"/>
        <w:spacing w:before="120"/>
        <w:ind w:left="911" w:hanging="487"/>
        <w:rPr>
          <w:sz w:val="24"/>
          <w:lang w:eastAsia="zh-CN"/>
        </w:rPr>
      </w:pPr>
      <w:r>
        <w:rPr>
          <w:sz w:val="24"/>
          <w:lang w:eastAsia="zh-CN"/>
        </w:rPr>
        <w:t>2）</w:t>
      </w:r>
      <w:r>
        <w:rPr>
          <w:sz w:val="24"/>
          <w:lang w:eastAsia="zh-CN"/>
        </w:rPr>
        <w:tab/>
      </w:r>
      <w:r>
        <w:rPr>
          <w:sz w:val="24"/>
          <w:lang w:eastAsia="zh-CN"/>
        </w:rPr>
        <w:t>标记或以其他方式用于医疗机构或环境；和</w:t>
      </w:r>
    </w:p>
    <w:p w14:paraId="04DB33D0">
      <w:pPr>
        <w:pStyle w:val="27"/>
        <w:spacing w:before="120"/>
        <w:ind w:left="911" w:hanging="487"/>
        <w:rPr>
          <w:sz w:val="24"/>
          <w:lang w:eastAsia="zh-CN"/>
        </w:rPr>
      </w:pPr>
      <w:bookmarkStart w:id="39" w:name="bookmark32"/>
      <w:r>
        <w:rPr>
          <w:sz w:val="24"/>
          <w:lang w:eastAsia="zh-CN"/>
        </w:rPr>
        <w:t>3）</w:t>
      </w:r>
      <w:r>
        <w:rPr>
          <w:sz w:val="24"/>
          <w:lang w:eastAsia="zh-CN"/>
        </w:rPr>
        <w:tab/>
      </w:r>
      <w:r>
        <w:rPr>
          <w:sz w:val="24"/>
          <w:lang w:eastAsia="zh-CN"/>
        </w:rPr>
        <w:t>含有任何药物、生物制品或抗微生物/抗病毒剂。</w:t>
      </w:r>
      <w:bookmarkEnd w:id="39"/>
    </w:p>
    <w:p w14:paraId="685F5AF2">
      <w:pPr>
        <w:pStyle w:val="17"/>
        <w:spacing w:before="120" w:after="120"/>
      </w:pPr>
      <w:bookmarkStart w:id="40" w:name="bookmark33"/>
      <w:bookmarkStart w:id="41" w:name="_Toc97318322"/>
    </w:p>
    <w:p w14:paraId="2D30F272">
      <w:pPr>
        <w:pStyle w:val="17"/>
        <w:spacing w:before="120" w:after="120"/>
      </w:pPr>
      <w:r>
        <w:t>C</w:t>
      </w:r>
      <w:r>
        <w:rPr>
          <w:rFonts w:hint="eastAsia"/>
        </w:rPr>
        <w:t>.</w:t>
      </w:r>
      <w:r>
        <w:tab/>
      </w:r>
      <w:r>
        <w:t>用于医疗目的但不提供液体屏障保护的口罩</w:t>
      </w:r>
      <w:bookmarkEnd w:id="40"/>
      <w:bookmarkEnd w:id="41"/>
    </w:p>
    <w:p w14:paraId="49D1D4E8">
      <w:pPr>
        <w:snapToGrid w:val="0"/>
        <w:spacing w:before="120" w:beforeLines="50"/>
        <w:jc w:val="both"/>
        <w:rPr>
          <w:sz w:val="24"/>
          <w:lang w:eastAsia="zh-CN"/>
        </w:rPr>
      </w:pPr>
      <w:r>
        <w:rPr>
          <w:sz w:val="24"/>
          <w:lang w:eastAsia="zh-CN"/>
        </w:rPr>
        <w:t>一般来说，FDA建议HCP遵循当前</w:t>
      </w:r>
      <w:r>
        <w:rPr>
          <w:rFonts w:hint="eastAsia"/>
          <w:sz w:val="24"/>
          <w:lang w:eastAsia="zh-CN"/>
        </w:rPr>
        <w:t>美国疾病控制与预防中心</w:t>
      </w:r>
      <w:r>
        <w:rPr>
          <w:sz w:val="24"/>
          <w:lang w:eastAsia="zh-CN"/>
        </w:rPr>
        <w:t>（CDC）关于在COVID-19</w:t>
      </w:r>
      <w:r>
        <w:rPr>
          <w:rFonts w:hint="eastAsia"/>
          <w:sz w:val="24"/>
          <w:lang w:eastAsia="zh-CN"/>
        </w:rPr>
        <w:t>疫情</w:t>
      </w:r>
      <w:r>
        <w:rPr>
          <w:sz w:val="24"/>
          <w:lang w:eastAsia="zh-CN"/>
        </w:rPr>
        <w:t>期间应该使用的个人防护设备</w:t>
      </w:r>
      <w:r>
        <w:rPr>
          <w:rFonts w:hint="eastAsia"/>
          <w:sz w:val="24"/>
          <w:lang w:eastAsia="zh-CN"/>
        </w:rPr>
        <w:t>（</w:t>
      </w:r>
      <w:r>
        <w:rPr>
          <w:sz w:val="24"/>
          <w:lang w:eastAsia="zh-CN"/>
        </w:rPr>
        <w:t>PPE</w:t>
      </w:r>
      <w:r>
        <w:rPr>
          <w:rFonts w:hint="eastAsia"/>
          <w:sz w:val="24"/>
          <w:lang w:eastAsia="zh-CN"/>
        </w:rPr>
        <w:t>）</w:t>
      </w:r>
      <w:r>
        <w:rPr>
          <w:sz w:val="24"/>
          <w:lang w:eastAsia="zh-CN"/>
        </w:rPr>
        <w:t>的指南。</w:t>
      </w:r>
      <w:r>
        <w:fldChar w:fldCharType="begin"/>
      </w:r>
      <w:r>
        <w:instrText xml:space="preserve"> HYPERLINK \l "bookmark34" \o "当前文件" \h </w:instrText>
      </w:r>
      <w:r>
        <w:fldChar w:fldCharType="separate"/>
      </w:r>
      <w:r>
        <w:rPr>
          <w:sz w:val="24"/>
          <w:vertAlign w:val="superscript"/>
          <w:lang w:eastAsia="zh-CN"/>
        </w:rPr>
        <w:t>12</w:t>
      </w:r>
      <w:r>
        <w:rPr>
          <w:sz w:val="24"/>
          <w:vertAlign w:val="superscript"/>
          <w:lang w:eastAsia="zh-CN"/>
        </w:rPr>
        <w:fldChar w:fldCharType="end"/>
      </w:r>
      <w:r>
        <w:rPr>
          <w:sz w:val="24"/>
          <w:lang w:eastAsia="zh-CN"/>
        </w:rPr>
        <w:t>医疗保健雇主还必须遵守职业安全与健康管理局（OSHA）的标准，该标准要求PPE对工人提供保护并适用于传染病危害。</w:t>
      </w:r>
      <w:r>
        <w:fldChar w:fldCharType="begin"/>
      </w:r>
      <w:r>
        <w:instrText xml:space="preserve"> HYPERLINK \l "bookmark35" \o "当前文件" \h </w:instrText>
      </w:r>
      <w:r>
        <w:fldChar w:fldCharType="separate"/>
      </w:r>
      <w:r>
        <w:rPr>
          <w:sz w:val="24"/>
          <w:vertAlign w:val="superscript"/>
          <w:lang w:eastAsia="zh-CN"/>
        </w:rPr>
        <w:t>13</w:t>
      </w:r>
      <w:r>
        <w:rPr>
          <w:sz w:val="24"/>
          <w:vertAlign w:val="superscript"/>
          <w:lang w:eastAsia="zh-CN"/>
        </w:rPr>
        <w:fldChar w:fldCharType="end"/>
      </w:r>
      <w:r>
        <w:rPr>
          <w:sz w:val="24"/>
          <w:lang w:eastAsia="zh-CN"/>
        </w:rPr>
        <w:t>口罩仅用于感染源控制，不是个人防护设备，这意味着它们不能替代FFR或外科口罩。</w:t>
      </w:r>
      <w:r>
        <w:fldChar w:fldCharType="begin"/>
      </w:r>
      <w:r>
        <w:instrText xml:space="preserve"> HYPERLINK \l "bookmark36" \o "当前文件" \h </w:instrText>
      </w:r>
      <w:r>
        <w:fldChar w:fldCharType="separate"/>
      </w:r>
      <w:r>
        <w:rPr>
          <w:sz w:val="24"/>
          <w:vertAlign w:val="superscript"/>
          <w:lang w:eastAsia="zh-CN"/>
        </w:rPr>
        <w:t>14</w:t>
      </w:r>
      <w:r>
        <w:rPr>
          <w:sz w:val="24"/>
          <w:vertAlign w:val="superscript"/>
          <w:lang w:eastAsia="zh-CN"/>
        </w:rPr>
        <w:fldChar w:fldCharType="end"/>
      </w:r>
    </w:p>
    <w:p w14:paraId="11E1ABCA">
      <w:pPr>
        <w:snapToGrid w:val="0"/>
        <w:spacing w:before="120" w:beforeLines="50"/>
        <w:jc w:val="both"/>
        <w:rPr>
          <w:sz w:val="24"/>
          <w:lang w:eastAsia="zh-CN"/>
        </w:rPr>
      </w:pPr>
      <w:r>
        <w:rPr>
          <w:sz w:val="24"/>
          <w:lang w:eastAsia="zh-CN"/>
        </w:rPr>
        <w:t>在2020年4月2日发布的本指南中，FDA在不符合某些监管要求的情况下，就口罩的分销和使用采取灵活措施，包括在</w:t>
      </w:r>
      <w:r>
        <w:rPr>
          <w:rFonts w:hint="eastAsia"/>
          <w:sz w:val="24"/>
          <w:lang w:eastAsia="zh-CN"/>
        </w:rPr>
        <w:t>特定</w:t>
      </w:r>
      <w:r>
        <w:rPr>
          <w:sz w:val="24"/>
          <w:lang w:eastAsia="zh-CN"/>
        </w:rPr>
        <w:t>情况下</w:t>
      </w:r>
      <w:r>
        <w:rPr>
          <w:rFonts w:hint="eastAsia"/>
          <w:sz w:val="24"/>
          <w:lang w:eastAsia="zh-CN"/>
        </w:rPr>
        <w:t>的</w:t>
      </w:r>
      <w:r>
        <w:rPr>
          <w:sz w:val="24"/>
          <w:lang w:eastAsia="zh-CN"/>
        </w:rPr>
        <w:t>510(k) 提交。FDA的政策是基于不断发展的公共卫生紧急情况以及对感染源控制设备的需求增加。除此政策外，为了应对口罩短缺，对于FDA确定符合该法案第564条的发放标准的</w:t>
      </w:r>
      <w:r>
        <w:rPr>
          <w:rFonts w:hint="eastAsia"/>
          <w:sz w:val="24"/>
          <w:lang w:eastAsia="zh-CN"/>
        </w:rPr>
        <w:t>特定口罩，</w:t>
      </w:r>
      <w:r>
        <w:rPr>
          <w:sz w:val="24"/>
          <w:lang w:eastAsia="zh-CN"/>
        </w:rPr>
        <w:t>FDA于2020年4月18日发布了EUA</w:t>
      </w:r>
      <w:r>
        <w:fldChar w:fldCharType="begin"/>
      </w:r>
      <w:r>
        <w:instrText xml:space="preserve"> HYPERLINK \l "bookmark37" \o "当前文件" \h </w:instrText>
      </w:r>
      <w:r>
        <w:fldChar w:fldCharType="separate"/>
      </w:r>
      <w:r>
        <w:rPr>
          <w:sz w:val="24"/>
          <w:vertAlign w:val="superscript"/>
          <w:lang w:eastAsia="zh-CN"/>
        </w:rPr>
        <w:t>15</w:t>
      </w:r>
      <w:r>
        <w:rPr>
          <w:sz w:val="24"/>
          <w:vertAlign w:val="superscript"/>
          <w:lang w:eastAsia="zh-CN"/>
        </w:rPr>
        <w:fldChar w:fldCharType="end"/>
      </w:r>
      <w:r>
        <w:rPr>
          <w:sz w:val="24"/>
          <w:lang w:eastAsia="zh-CN"/>
        </w:rPr>
        <w:t>。该EUA成功地增加了供HCP和公众使用的口罩的可</w:t>
      </w:r>
      <w:r>
        <w:rPr>
          <w:rFonts w:hint="eastAsia"/>
          <w:sz w:val="24"/>
          <w:lang w:eastAsia="zh-CN"/>
        </w:rPr>
        <w:t>获得</w:t>
      </w:r>
      <w:r>
        <w:rPr>
          <w:sz w:val="24"/>
          <w:lang w:eastAsia="zh-CN"/>
        </w:rPr>
        <w:t>性，以在</w:t>
      </w:r>
      <w:r>
        <w:rPr>
          <w:rFonts w:hint="eastAsia"/>
          <w:sz w:val="24"/>
          <w:lang w:eastAsia="zh-CN"/>
        </w:rPr>
        <w:t>无法获得</w:t>
      </w:r>
      <w:r>
        <w:rPr>
          <w:sz w:val="24"/>
          <w:lang w:eastAsia="zh-CN"/>
        </w:rPr>
        <w:t>FDA批准的口罩时用作感染源控制。</w:t>
      </w:r>
    </w:p>
    <w:p w14:paraId="19882041">
      <w:pPr>
        <w:snapToGrid w:val="0"/>
        <w:spacing w:before="120" w:beforeLines="50"/>
        <w:jc w:val="both"/>
        <w:rPr>
          <w:sz w:val="24"/>
          <w:lang w:eastAsia="zh-CN"/>
        </w:rPr>
      </w:pPr>
      <w:r>
        <w:rPr>
          <w:rFonts w:hint="eastAsia"/>
          <w:sz w:val="24"/>
          <w:lang w:eastAsia="zh-CN"/>
        </w:rPr>
        <w:t>只要可能</w:t>
      </w:r>
      <w:r>
        <w:rPr>
          <w:sz w:val="24"/>
          <w:lang w:eastAsia="zh-CN"/>
        </w:rPr>
        <w:t>，HCP和公众就应继续</w:t>
      </w:r>
      <w:r>
        <w:rPr>
          <w:rFonts w:hint="eastAsia"/>
          <w:sz w:val="24"/>
          <w:lang w:eastAsia="zh-CN"/>
        </w:rPr>
        <w:t>将</w:t>
      </w:r>
      <w:r>
        <w:rPr>
          <w:sz w:val="24"/>
          <w:lang w:eastAsia="zh-CN"/>
        </w:rPr>
        <w:t>FDA批准的口罩作为感染源控制，或者</w:t>
      </w:r>
      <w:r>
        <w:rPr>
          <w:rFonts w:hint="eastAsia"/>
          <w:sz w:val="24"/>
          <w:lang w:eastAsia="zh-CN"/>
        </w:rPr>
        <w:t>在无法获得</w:t>
      </w:r>
      <w:r>
        <w:rPr>
          <w:sz w:val="24"/>
          <w:lang w:eastAsia="zh-CN"/>
        </w:rPr>
        <w:t>这些口罩的情况下，使用EUA授权的口罩。然而，为了帮助促进可能在COVID-19</w:t>
      </w:r>
      <w:r>
        <w:rPr>
          <w:rFonts w:hint="eastAsia"/>
          <w:sz w:val="24"/>
          <w:lang w:eastAsia="zh-CN"/>
        </w:rPr>
        <w:t>疫情</w:t>
      </w:r>
      <w:r>
        <w:rPr>
          <w:sz w:val="24"/>
          <w:lang w:eastAsia="zh-CN"/>
        </w:rPr>
        <w:t>期间为HCP和公众带来一些获益的设备的可</w:t>
      </w:r>
      <w:r>
        <w:rPr>
          <w:rFonts w:hint="eastAsia"/>
          <w:sz w:val="24"/>
          <w:lang w:eastAsia="zh-CN"/>
        </w:rPr>
        <w:t>获得</w:t>
      </w:r>
      <w:r>
        <w:rPr>
          <w:sz w:val="24"/>
          <w:lang w:eastAsia="zh-CN"/>
        </w:rPr>
        <w:t>性，FDA将继续其2020年4月2日关于口罩的政策，</w:t>
      </w:r>
      <w:r>
        <w:rPr>
          <w:rFonts w:hint="eastAsia"/>
          <w:sz w:val="24"/>
          <w:lang w:eastAsia="zh-CN"/>
        </w:rPr>
        <w:t>尽管</w:t>
      </w:r>
      <w:r>
        <w:rPr>
          <w:sz w:val="24"/>
          <w:lang w:eastAsia="zh-CN"/>
        </w:rPr>
        <w:t>认识到与EUA存在一些重叠。因此，在突发公共卫生事件期间，FDA</w:t>
      </w:r>
      <w:r>
        <w:rPr>
          <w:rFonts w:hint="eastAsia"/>
          <w:sz w:val="24"/>
          <w:lang w:eastAsia="zh-CN"/>
        </w:rPr>
        <w:t>不会</w:t>
      </w:r>
      <w:r>
        <w:rPr>
          <w:sz w:val="24"/>
          <w:lang w:eastAsia="zh-CN"/>
        </w:rPr>
        <w:t>反对分销和使用用于医疗目的（无论是由医护人员</w:t>
      </w:r>
      <w:r>
        <w:rPr>
          <w:rFonts w:hint="eastAsia"/>
          <w:sz w:val="24"/>
          <w:lang w:eastAsia="zh-CN"/>
        </w:rPr>
        <w:t>还是公众个人</w:t>
      </w:r>
      <w:r>
        <w:rPr>
          <w:sz w:val="24"/>
          <w:lang w:eastAsia="zh-CN"/>
        </w:rPr>
        <w:t>使用）的带或不带面罩的口罩（不包括呼吸器），在不遵守以下监管要求的情况下，在公共卫生紧急情况下口罩不会造成过度风险：根据《FD&amp;C法案》第510(k)节和21 CFR 807.81</w:t>
      </w:r>
      <w:r>
        <w:rPr>
          <w:rFonts w:hint="eastAsia"/>
          <w:sz w:val="24"/>
          <w:lang w:eastAsia="zh-CN"/>
        </w:rPr>
        <w:t>的上市通知预递交</w:t>
      </w:r>
      <w:r>
        <w:rPr>
          <w:sz w:val="24"/>
          <w:lang w:eastAsia="zh-CN"/>
        </w:rPr>
        <w:t>、21 CFR 807中的注册和上市要求、21 CFR 820 中的质量体系法规要求、21 CFR 806中的更正和删除报告，以及21 CFR 830和21 CFR 801.20中的医疗器械唯一标识要求。</w:t>
      </w:r>
    </w:p>
    <w:p w14:paraId="164A161D">
      <w:pPr>
        <w:snapToGrid w:val="0"/>
        <w:spacing w:before="120" w:beforeLines="50"/>
        <w:jc w:val="both"/>
        <w:rPr>
          <w:sz w:val="24"/>
          <w:lang w:eastAsia="zh-CN"/>
        </w:rPr>
      </w:pPr>
    </w:p>
    <w:p w14:paraId="333F085D">
      <w:pPr>
        <w:snapToGrid w:val="0"/>
        <w:spacing w:before="120" w:beforeLines="50"/>
        <w:jc w:val="both"/>
        <w:rPr>
          <w:sz w:val="24"/>
          <w:lang w:eastAsia="zh-CN"/>
        </w:rPr>
      </w:pPr>
    </w:p>
    <w:p w14:paraId="1430A99C">
      <w:pPr>
        <w:snapToGrid w:val="0"/>
        <w:spacing w:before="120" w:beforeLines="50"/>
        <w:jc w:val="both"/>
        <w:rPr>
          <w:sz w:val="24"/>
          <w:lang w:eastAsia="zh-CN"/>
        </w:rPr>
      </w:pPr>
    </w:p>
    <w:p w14:paraId="29E786A3">
      <w:pPr>
        <w:snapToGrid w:val="0"/>
        <w:spacing w:before="120" w:beforeLines="50"/>
        <w:jc w:val="both"/>
        <w:rPr>
          <w:sz w:val="24"/>
          <w:lang w:eastAsia="zh-CN"/>
        </w:rPr>
      </w:pPr>
    </w:p>
    <w:p w14:paraId="3224E133">
      <w:pPr>
        <w:snapToGrid w:val="0"/>
        <w:spacing w:before="120" w:beforeLines="50"/>
        <w:jc w:val="both"/>
        <w:rPr>
          <w:sz w:val="24"/>
          <w:lang w:eastAsia="zh-CN"/>
        </w:rPr>
      </w:pPr>
    </w:p>
    <w:p w14:paraId="4BE02E07">
      <w:pPr>
        <w:snapToGrid w:val="0"/>
        <w:spacing w:before="120" w:beforeLines="50"/>
        <w:jc w:val="both"/>
        <w:rPr>
          <w:sz w:val="18"/>
          <w:szCs w:val="18"/>
        </w:rPr>
      </w:pPr>
      <w:bookmarkStart w:id="42" w:name="bookmark34"/>
      <w:r>
        <w:rPr>
          <w:sz w:val="18"/>
          <w:szCs w:val="18"/>
          <w:lang w:eastAsia="zh-CN"/>
        </w:rPr>
        <w:t>_________________________</w:t>
      </w:r>
    </w:p>
    <w:p w14:paraId="7252ADD6">
      <w:pPr>
        <w:tabs>
          <w:tab w:val="left" w:pos="168"/>
        </w:tabs>
        <w:snapToGrid w:val="0"/>
        <w:spacing w:before="120" w:beforeLines="50"/>
        <w:rPr>
          <w:sz w:val="18"/>
          <w:szCs w:val="18"/>
        </w:rPr>
      </w:pPr>
      <w:r>
        <w:rPr>
          <w:sz w:val="18"/>
          <w:szCs w:val="18"/>
          <w:vertAlign w:val="superscript"/>
          <w:lang w:eastAsia="zh-CN"/>
        </w:rPr>
        <w:t>12</w:t>
      </w:r>
      <w:r>
        <w:fldChar w:fldCharType="begin"/>
      </w:r>
      <w:r>
        <w:instrText xml:space="preserve"> HYPERLINK "https://www.cdc.gov/coronavirus/2019-ncov/infection-control/control-recommendations.html?CDC_AA_refVal=https%3A%2F%2Fwww.cdc.gov%2Fcoronavirus%2F2019-ncov%2Fhcp%2Finfection-control.html" </w:instrText>
      </w:r>
      <w:r>
        <w:fldChar w:fldCharType="separate"/>
      </w:r>
      <w:r>
        <w:rPr>
          <w:rStyle w:val="12"/>
          <w:color w:val="0000FF"/>
          <w:sz w:val="18"/>
          <w:szCs w:val="18"/>
          <w:u w:val="none"/>
          <w:lang w:eastAsia="zh-CN"/>
        </w:rPr>
        <w:tab/>
      </w:r>
      <w:r>
        <w:rPr>
          <w:rStyle w:val="12"/>
          <w:color w:val="0000FF"/>
          <w:sz w:val="18"/>
          <w:szCs w:val="18"/>
          <w:lang w:eastAsia="zh-CN"/>
        </w:rPr>
        <w:t>https://www.cdc.gov/coronavirus/2019-ncov/infection-control/control-</w:t>
      </w:r>
      <w:bookmarkEnd w:id="42"/>
      <w:r>
        <w:rPr>
          <w:rStyle w:val="12"/>
          <w:color w:val="0000FF"/>
          <w:sz w:val="18"/>
          <w:szCs w:val="18"/>
          <w:lang w:eastAsia="zh-CN"/>
        </w:rPr>
        <w:fldChar w:fldCharType="end"/>
      </w:r>
      <w:r>
        <w:fldChar w:fldCharType="begin"/>
      </w:r>
      <w:r>
        <w:instrText xml:space="preserve"> HYPERLINK "https://www.cdc.gov/coronavirus/2019-ncov/infection-control/control-recommendations.html?CDC_AA_refVal=https%3A%2F%2Fwww.cdc.gov%2Fcoronavirus%2F2019-ncov%2Fhcp%2Finfection-control.html" </w:instrText>
      </w:r>
      <w:r>
        <w:fldChar w:fldCharType="separate"/>
      </w:r>
      <w:r>
        <w:rPr>
          <w:rStyle w:val="12"/>
          <w:color w:val="0000FF"/>
          <w:sz w:val="18"/>
          <w:szCs w:val="18"/>
          <w:lang w:eastAsia="zh-CN"/>
        </w:rPr>
        <w:t>recommendations.html?CDC_AA_ refVal=https%3A%2F%2Fwww.cdc.gov%2Fcoronavirus%2F2019-</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"https://www.cdc.gov/coronavirus/2019-ncov/infection-control/control-recommendations.html?CDC_AA_refVal=https%3A%2F%2Fwww.cdc.gov%2Fcoronavirus%2F2019-ncov%2Fhcp%2Finfection-control.html" </w:instrText>
      </w:r>
      <w:r>
        <w:fldChar w:fldCharType="separate"/>
      </w:r>
      <w:r>
        <w:rPr>
          <w:rStyle w:val="12"/>
          <w:color w:val="0000FF"/>
          <w:sz w:val="18"/>
          <w:szCs w:val="18"/>
          <w:lang w:eastAsia="zh-CN"/>
        </w:rPr>
        <w:t>ncov%2Fhcp%2Finfection-control.html.</w:t>
      </w:r>
      <w:r>
        <w:rPr>
          <w:rStyle w:val="12"/>
          <w:color w:val="0000FF"/>
          <w:sz w:val="18"/>
          <w:szCs w:val="18"/>
          <w:lang w:eastAsia="zh-CN"/>
        </w:rPr>
        <w:fldChar w:fldCharType="end"/>
      </w:r>
    </w:p>
    <w:p w14:paraId="68E3EF23">
      <w:pPr>
        <w:tabs>
          <w:tab w:val="left" w:pos="163"/>
        </w:tabs>
        <w:snapToGrid w:val="0"/>
        <w:spacing w:before="120" w:beforeLines="50"/>
        <w:rPr>
          <w:sz w:val="18"/>
          <w:szCs w:val="18"/>
          <w:lang w:eastAsia="zh-CN"/>
        </w:rPr>
      </w:pPr>
      <w:bookmarkStart w:id="43" w:name="bookmark35"/>
      <w:r>
        <w:rPr>
          <w:sz w:val="18"/>
          <w:szCs w:val="18"/>
          <w:vertAlign w:val="superscript"/>
          <w:lang w:eastAsia="zh-CN"/>
        </w:rPr>
        <w:t>13</w:t>
      </w:r>
      <w:r>
        <w:rPr>
          <w:sz w:val="18"/>
          <w:szCs w:val="18"/>
          <w:lang w:eastAsia="zh-CN"/>
        </w:rPr>
        <w:tab/>
      </w:r>
      <w:r>
        <w:rPr>
          <w:i/>
          <w:iCs/>
          <w:sz w:val="18"/>
          <w:szCs w:val="18"/>
          <w:lang w:eastAsia="zh-CN"/>
        </w:rPr>
        <w:t>见</w:t>
      </w:r>
      <w:r>
        <w:rPr>
          <w:sz w:val="18"/>
          <w:szCs w:val="18"/>
          <w:lang w:eastAsia="zh-CN"/>
        </w:rPr>
        <w:t>29 CFR 1910第I部分。</w:t>
      </w:r>
      <w:bookmarkEnd w:id="43"/>
    </w:p>
    <w:p w14:paraId="0B5A106C">
      <w:pPr>
        <w:tabs>
          <w:tab w:val="left" w:pos="187"/>
        </w:tabs>
        <w:snapToGrid w:val="0"/>
        <w:spacing w:before="120" w:beforeLines="50"/>
        <w:rPr>
          <w:color w:val="0000FF"/>
          <w:sz w:val="18"/>
          <w:szCs w:val="18"/>
          <w:lang w:eastAsia="zh-CN"/>
        </w:rPr>
      </w:pPr>
      <w:bookmarkStart w:id="44" w:name="bookmark36"/>
      <w:r>
        <w:rPr>
          <w:sz w:val="18"/>
          <w:szCs w:val="18"/>
          <w:vertAlign w:val="superscript"/>
          <w:lang w:eastAsia="zh-CN"/>
        </w:rPr>
        <w:t>14</w:t>
      </w:r>
      <w:r>
        <w:rPr>
          <w:sz w:val="18"/>
          <w:szCs w:val="18"/>
          <w:lang w:eastAsia="zh-CN"/>
        </w:rPr>
        <w:tab/>
      </w:r>
      <w:r>
        <w:rPr>
          <w:sz w:val="18"/>
          <w:szCs w:val="18"/>
          <w:lang w:eastAsia="zh-CN"/>
        </w:rPr>
        <w:t>口罩（非</w:t>
      </w:r>
      <w:r>
        <w:rPr>
          <w:rFonts w:hint="eastAsia"/>
          <w:sz w:val="18"/>
          <w:szCs w:val="18"/>
          <w:lang w:eastAsia="zh-CN"/>
        </w:rPr>
        <w:t>外科</w:t>
      </w:r>
      <w:r>
        <w:rPr>
          <w:sz w:val="18"/>
          <w:szCs w:val="18"/>
          <w:lang w:eastAsia="zh-CN"/>
        </w:rPr>
        <w:t>）参见FDA的EUA，</w:t>
      </w:r>
      <w:r>
        <w:rPr>
          <w:rFonts w:hint="eastAsia"/>
          <w:sz w:val="18"/>
          <w:szCs w:val="18"/>
          <w:lang w:eastAsia="zh-CN"/>
        </w:rPr>
        <w:t>请访问</w:t>
      </w:r>
      <w:r>
        <w:fldChar w:fldCharType="begin"/>
      </w:r>
      <w:r>
        <w:instrText xml:space="preserve"> HYPERLINK "https://www.fda.gov/media/137121/download" </w:instrText>
      </w:r>
      <w:r>
        <w:fldChar w:fldCharType="separate"/>
      </w:r>
      <w:r>
        <w:rPr>
          <w:rStyle w:val="12"/>
          <w:color w:val="0000FF"/>
          <w:sz w:val="18"/>
          <w:szCs w:val="18"/>
          <w:lang w:eastAsia="zh-CN"/>
        </w:rPr>
        <w:t>https://www.fda.gov/media /137121/download</w:t>
      </w:r>
      <w:r>
        <w:rPr>
          <w:rStyle w:val="12"/>
          <w:color w:val="0000FF"/>
          <w:sz w:val="18"/>
          <w:szCs w:val="18"/>
          <w:lang w:eastAsia="zh-CN"/>
        </w:rPr>
        <w:fldChar w:fldCharType="end"/>
      </w:r>
      <w:r>
        <w:rPr>
          <w:rFonts w:hint="eastAsia"/>
          <w:sz w:val="18"/>
          <w:szCs w:val="18"/>
          <w:lang w:eastAsia="zh-CN"/>
        </w:rPr>
        <w:t>，</w:t>
      </w:r>
      <w:r>
        <w:rPr>
          <w:sz w:val="18"/>
          <w:szCs w:val="18"/>
          <w:lang w:eastAsia="zh-CN"/>
        </w:rPr>
        <w:t>口罩（非</w:t>
      </w:r>
      <w:r>
        <w:rPr>
          <w:rFonts w:hint="eastAsia"/>
          <w:sz w:val="18"/>
          <w:szCs w:val="18"/>
          <w:lang w:eastAsia="zh-CN"/>
        </w:rPr>
        <w:t>外科</w:t>
      </w:r>
      <w:r>
        <w:rPr>
          <w:sz w:val="18"/>
          <w:szCs w:val="18"/>
          <w:lang w:eastAsia="zh-CN"/>
        </w:rPr>
        <w:t>）参见有关紧急使用授权的</w:t>
      </w:r>
      <w:r>
        <w:rPr>
          <w:rFonts w:hint="eastAsia"/>
          <w:sz w:val="18"/>
          <w:szCs w:val="18"/>
          <w:lang w:eastAsia="zh-CN"/>
        </w:rPr>
        <w:t>F</w:t>
      </w:r>
      <w:r>
        <w:rPr>
          <w:sz w:val="18"/>
          <w:szCs w:val="18"/>
          <w:lang w:eastAsia="zh-CN"/>
        </w:rPr>
        <w:t>AD</w:t>
      </w:r>
      <w:r>
        <w:rPr>
          <w:rFonts w:hint="eastAsia"/>
          <w:sz w:val="18"/>
          <w:szCs w:val="18"/>
          <w:lang w:eastAsia="zh-CN"/>
        </w:rPr>
        <w:t>，</w:t>
      </w:r>
      <w:r>
        <w:rPr>
          <w:sz w:val="18"/>
          <w:szCs w:val="18"/>
          <w:lang w:eastAsia="zh-CN"/>
        </w:rPr>
        <w:t>请访问</w:t>
      </w:r>
      <w:r>
        <w:fldChar w:fldCharType="begin"/>
      </w:r>
      <w:r>
        <w:instrText xml:space="preserve"> HYPERLINK </w:instrText>
      </w:r>
      <w:r>
        <w:fldChar w:fldCharType="separate"/>
      </w:r>
      <w:r>
        <w:rPr>
          <w:rStyle w:val="12"/>
          <w:sz w:val="18"/>
          <w:szCs w:val="18"/>
          <w:lang w:eastAsia="zh-CN"/>
        </w:rPr>
        <w:t>https:// www.fda.gov/medical-</w:t>
      </w:r>
      <w:r>
        <w:rPr>
          <w:rStyle w:val="12"/>
          <w:sz w:val="18"/>
          <w:szCs w:val="18"/>
          <w:lang w:eastAsia="zh-CN"/>
        </w:rPr>
        <w:fldChar w:fldCharType="end"/>
      </w:r>
      <w:r>
        <w:fldChar w:fldCharType="begin"/>
      </w:r>
      <w:r>
        <w:instrText xml:space="preserve"> HYPERLINK "https://www.fda.gov/medical-devices/emergency-situations-medical-devices/faqs-emergency-use-authorization-face-masks-non-surgical" </w:instrText>
      </w:r>
      <w:r>
        <w:fldChar w:fldCharType="separate"/>
      </w:r>
      <w:r>
        <w:rPr>
          <w:rStyle w:val="12"/>
          <w:color w:val="0000FF"/>
          <w:sz w:val="18"/>
          <w:szCs w:val="18"/>
          <w:lang w:eastAsia="zh-CN"/>
        </w:rPr>
        <w:t>devices/emergencv-situations-medical-devices/faas-emergencv-use-authorization-face-masks-non-surgical</w:t>
      </w:r>
      <w:r>
        <w:rPr>
          <w:rStyle w:val="12"/>
          <w:color w:val="0000FF"/>
          <w:sz w:val="18"/>
          <w:szCs w:val="18"/>
          <w:lang w:eastAsia="zh-CN"/>
        </w:rPr>
        <w:fldChar w:fldCharType="end"/>
      </w:r>
      <w:r>
        <w:rPr>
          <w:color w:val="0000FF"/>
          <w:sz w:val="18"/>
          <w:szCs w:val="18"/>
          <w:lang w:eastAsia="zh-CN"/>
        </w:rPr>
        <w:t>。</w:t>
      </w:r>
      <w:bookmarkEnd w:id="44"/>
    </w:p>
    <w:p w14:paraId="1934B8A2">
      <w:pPr>
        <w:tabs>
          <w:tab w:val="left" w:pos="168"/>
        </w:tabs>
        <w:snapToGrid w:val="0"/>
        <w:spacing w:before="120" w:beforeLines="50"/>
        <w:rPr>
          <w:bCs/>
          <w:sz w:val="18"/>
          <w:szCs w:val="18"/>
        </w:rPr>
      </w:pPr>
      <w:bookmarkStart w:id="45" w:name="bookmark37"/>
      <w:r>
        <w:rPr>
          <w:sz w:val="18"/>
          <w:szCs w:val="18"/>
          <w:vertAlign w:val="superscript"/>
          <w:lang w:eastAsia="zh-CN"/>
        </w:rPr>
        <w:t>15</w:t>
      </w:r>
      <w:r>
        <w:fldChar w:fldCharType="begin"/>
      </w:r>
      <w:r>
        <w:instrText xml:space="preserve"> HYPERLINK "https://www.fda.gov/media/137121/download" </w:instrText>
      </w:r>
      <w:r>
        <w:fldChar w:fldCharType="separate"/>
      </w:r>
      <w:r>
        <w:rPr>
          <w:rStyle w:val="12"/>
          <w:color w:val="0000FF"/>
          <w:sz w:val="18"/>
          <w:szCs w:val="18"/>
          <w:u w:val="none"/>
          <w:lang w:eastAsia="zh-CN"/>
        </w:rPr>
        <w:tab/>
      </w:r>
      <w:r>
        <w:rPr>
          <w:rStyle w:val="12"/>
          <w:color w:val="0000FF"/>
          <w:sz w:val="18"/>
          <w:szCs w:val="18"/>
          <w:lang w:eastAsia="zh-CN"/>
        </w:rPr>
        <w:t>https://www.fda.gov/media/137121/download</w:t>
      </w:r>
      <w:r>
        <w:rPr>
          <w:rStyle w:val="12"/>
          <w:color w:val="0000FF"/>
          <w:sz w:val="18"/>
          <w:szCs w:val="18"/>
          <w:lang w:eastAsia="zh-CN"/>
        </w:rPr>
        <w:fldChar w:fldCharType="end"/>
      </w:r>
      <w:r>
        <w:rPr>
          <w:color w:val="0000FF"/>
          <w:sz w:val="18"/>
          <w:szCs w:val="18"/>
          <w:lang w:eastAsia="zh-CN"/>
        </w:rPr>
        <w:t>.</w:t>
      </w:r>
      <w:bookmarkEnd w:id="45"/>
    </w:p>
    <w:p w14:paraId="169BD793">
      <w:pPr>
        <w:tabs>
          <w:tab w:val="left" w:pos="168"/>
        </w:tabs>
        <w:snapToGrid w:val="0"/>
        <w:spacing w:before="120" w:beforeLines="50"/>
        <w:jc w:val="both"/>
        <w:rPr>
          <w:sz w:val="24"/>
          <w:lang w:eastAsia="zh-CN"/>
        </w:rPr>
      </w:pPr>
      <w:r>
        <w:rPr>
          <w:sz w:val="24"/>
          <w:lang w:eastAsia="zh-CN"/>
        </w:rPr>
        <w:t>FDA目前认为，在以下情况中，此类器械不会造成过度风险：</w:t>
      </w:r>
    </w:p>
    <w:p w14:paraId="73A9E922">
      <w:pPr>
        <w:pStyle w:val="27"/>
        <w:spacing w:before="120"/>
        <w:ind w:left="911" w:hanging="487"/>
        <w:rPr>
          <w:sz w:val="24"/>
          <w:lang w:eastAsia="zh-CN"/>
        </w:rPr>
      </w:pPr>
      <w:r>
        <w:rPr>
          <w:sz w:val="24"/>
          <w:lang w:eastAsia="zh-CN"/>
        </w:rPr>
        <w:t>•</w:t>
      </w:r>
      <w:r>
        <w:rPr>
          <w:sz w:val="24"/>
          <w:lang w:eastAsia="zh-CN"/>
        </w:rPr>
        <w:tab/>
      </w:r>
      <w:r>
        <w:rPr>
          <w:sz w:val="24"/>
          <w:lang w:eastAsia="zh-CN"/>
        </w:rPr>
        <w:t>产品</w:t>
      </w:r>
      <w:r>
        <w:rPr>
          <w:rFonts w:hint="eastAsia"/>
          <w:sz w:val="24"/>
          <w:lang w:eastAsia="zh-CN"/>
        </w:rPr>
        <w:t>说明书将产品</w:t>
      </w:r>
      <w:r>
        <w:rPr>
          <w:sz w:val="24"/>
          <w:lang w:eastAsia="zh-CN"/>
        </w:rPr>
        <w:t>准确描述为口罩（与外科口罩或FFR不同），并包括接触身体的材料清单（不</w:t>
      </w:r>
      <w:r>
        <w:rPr>
          <w:rFonts w:hint="eastAsia"/>
          <w:sz w:val="24"/>
          <w:lang w:eastAsia="zh-CN"/>
        </w:rPr>
        <w:t>含</w:t>
      </w:r>
      <w:r>
        <w:rPr>
          <w:sz w:val="24"/>
          <w:lang w:eastAsia="zh-CN"/>
        </w:rPr>
        <w:t>任何药物或生物制品）；</w:t>
      </w:r>
    </w:p>
    <w:p w14:paraId="5861A92C">
      <w:pPr>
        <w:pStyle w:val="27"/>
        <w:spacing w:before="120"/>
        <w:ind w:left="911" w:hanging="487"/>
        <w:rPr>
          <w:sz w:val="24"/>
          <w:lang w:eastAsia="zh-CN"/>
        </w:rPr>
      </w:pPr>
      <w:r>
        <w:rPr>
          <w:sz w:val="24"/>
          <w:lang w:eastAsia="zh-CN"/>
        </w:rPr>
        <w:t>•</w:t>
      </w:r>
      <w:r>
        <w:rPr>
          <w:sz w:val="24"/>
          <w:lang w:eastAsia="zh-CN"/>
        </w:rPr>
        <w:tab/>
      </w:r>
      <w:r>
        <w:rPr>
          <w:sz w:val="24"/>
          <w:lang w:eastAsia="zh-CN"/>
        </w:rPr>
        <w:t>产品</w:t>
      </w:r>
      <w:r>
        <w:rPr>
          <w:rFonts w:hint="eastAsia"/>
          <w:sz w:val="24"/>
          <w:lang w:eastAsia="zh-CN"/>
        </w:rPr>
        <w:t>说明书</w:t>
      </w:r>
      <w:r>
        <w:rPr>
          <w:sz w:val="24"/>
          <w:lang w:eastAsia="zh-CN"/>
        </w:rPr>
        <w:t>包含充分降低使用风险的建议，例如禁止在任何手术环境或预计可能大量接触液体、体液或其他有害液体的环境；通过吸入暴露导致感染风险较高的临床环境；存在高强度热源或可燃气体的环境中使用的建议；和</w:t>
      </w:r>
    </w:p>
    <w:p w14:paraId="35A3E583">
      <w:pPr>
        <w:pStyle w:val="27"/>
        <w:spacing w:before="120"/>
        <w:ind w:left="911" w:hanging="487"/>
        <w:rPr>
          <w:sz w:val="24"/>
          <w:lang w:eastAsia="zh-CN"/>
        </w:rPr>
      </w:pPr>
      <w:r>
        <w:rPr>
          <w:sz w:val="24"/>
          <w:lang w:eastAsia="zh-CN"/>
        </w:rPr>
        <w:t>•</w:t>
      </w:r>
      <w:r>
        <w:rPr>
          <w:sz w:val="24"/>
          <w:lang w:eastAsia="zh-CN"/>
        </w:rPr>
        <w:tab/>
      </w:r>
      <w:r>
        <w:rPr>
          <w:sz w:val="24"/>
          <w:lang w:eastAsia="zh-CN"/>
        </w:rPr>
        <w:t>考虑到突发公共卫生事件，产品不</w:t>
      </w:r>
      <w:r>
        <w:rPr>
          <w:rFonts w:hint="eastAsia"/>
          <w:sz w:val="24"/>
          <w:lang w:eastAsia="zh-CN"/>
        </w:rPr>
        <w:t>得</w:t>
      </w:r>
      <w:r>
        <w:rPr>
          <w:sz w:val="24"/>
          <w:lang w:eastAsia="zh-CN"/>
        </w:rPr>
        <w:t>用于会产生</w:t>
      </w:r>
      <w:r>
        <w:rPr>
          <w:rFonts w:hint="eastAsia"/>
          <w:sz w:val="24"/>
          <w:lang w:eastAsia="zh-CN"/>
        </w:rPr>
        <w:t>过度</w:t>
      </w:r>
      <w:r>
        <w:rPr>
          <w:sz w:val="24"/>
          <w:lang w:eastAsia="zh-CN"/>
        </w:rPr>
        <w:t>风险的任何用途，例如</w:t>
      </w:r>
      <w:r>
        <w:rPr>
          <w:rFonts w:hint="eastAsia"/>
          <w:sz w:val="24"/>
          <w:lang w:eastAsia="zh-CN"/>
        </w:rPr>
        <w:t>说明书</w:t>
      </w:r>
      <w:r>
        <w:rPr>
          <w:sz w:val="24"/>
          <w:lang w:eastAsia="zh-CN"/>
        </w:rPr>
        <w:t>不含用于抗菌或抗病毒防护或相关用途，或用于预防或减少感染或相关用途，</w:t>
      </w:r>
      <w:r>
        <w:rPr>
          <w:rFonts w:hint="eastAsia"/>
          <w:sz w:val="24"/>
          <w:lang w:eastAsia="zh-CN"/>
        </w:rPr>
        <w:t>说明书</w:t>
      </w:r>
      <w:r>
        <w:rPr>
          <w:sz w:val="24"/>
          <w:lang w:eastAsia="zh-CN"/>
        </w:rPr>
        <w:t>不含微粒过滤</w:t>
      </w:r>
      <w:r>
        <w:rPr>
          <w:rFonts w:hint="eastAsia"/>
          <w:sz w:val="24"/>
          <w:lang w:eastAsia="zh-CN"/>
        </w:rPr>
        <w:t>功能</w:t>
      </w:r>
      <w:r>
        <w:rPr>
          <w:sz w:val="24"/>
          <w:lang w:eastAsia="zh-CN"/>
        </w:rPr>
        <w:t>。</w:t>
      </w:r>
    </w:p>
    <w:p w14:paraId="6BA894F9">
      <w:pPr>
        <w:pStyle w:val="17"/>
        <w:spacing w:before="120" w:after="120"/>
      </w:pPr>
      <w:bookmarkStart w:id="46" w:name="bookmark38"/>
      <w:bookmarkStart w:id="47" w:name="_Toc97318323"/>
    </w:p>
    <w:p w14:paraId="3D68121D">
      <w:pPr>
        <w:pStyle w:val="17"/>
        <w:spacing w:before="120" w:after="120"/>
      </w:pPr>
      <w:r>
        <w:t>D.</w:t>
      </w:r>
      <w:r>
        <w:tab/>
      </w:r>
      <w:r>
        <w:t>用于医疗目的的防护面罩</w:t>
      </w:r>
      <w:bookmarkEnd w:id="46"/>
      <w:bookmarkEnd w:id="47"/>
    </w:p>
    <w:p w14:paraId="5C8BAD89">
      <w:pPr>
        <w:snapToGrid w:val="0"/>
        <w:spacing w:before="120" w:beforeLines="50"/>
        <w:jc w:val="both"/>
        <w:rPr>
          <w:sz w:val="24"/>
          <w:lang w:eastAsia="zh-CN"/>
        </w:rPr>
      </w:pPr>
      <w:bookmarkStart w:id="48" w:name="bookmark39"/>
      <w:r>
        <w:rPr>
          <w:sz w:val="24"/>
          <w:lang w:eastAsia="zh-CN"/>
        </w:rPr>
        <w:t>一般来说，FDA建议HCP遵循当前</w:t>
      </w:r>
      <w:r>
        <w:rPr>
          <w:rFonts w:hint="eastAsia"/>
          <w:sz w:val="24"/>
          <w:lang w:eastAsia="zh-CN"/>
        </w:rPr>
        <w:t>美国疾病控制与预防中心（</w:t>
      </w:r>
      <w:r>
        <w:rPr>
          <w:sz w:val="24"/>
          <w:lang w:eastAsia="zh-CN"/>
        </w:rPr>
        <w:t>CDC</w:t>
      </w:r>
      <w:r>
        <w:rPr>
          <w:rFonts w:hint="eastAsia"/>
          <w:sz w:val="24"/>
          <w:lang w:eastAsia="zh-CN"/>
        </w:rPr>
        <w:t>）</w:t>
      </w:r>
      <w:r>
        <w:rPr>
          <w:sz w:val="24"/>
          <w:lang w:eastAsia="zh-CN"/>
        </w:rPr>
        <w:t>关于在COVID-19</w:t>
      </w:r>
      <w:r>
        <w:rPr>
          <w:rFonts w:hint="eastAsia"/>
          <w:sz w:val="24"/>
          <w:lang w:eastAsia="zh-CN"/>
        </w:rPr>
        <w:t>疫情</w:t>
      </w:r>
      <w:r>
        <w:rPr>
          <w:sz w:val="24"/>
          <w:lang w:eastAsia="zh-CN"/>
        </w:rPr>
        <w:t>期间应该使用的PPE的指导。</w:t>
      </w:r>
      <w:r>
        <w:fldChar w:fldCharType="begin"/>
      </w:r>
      <w:r>
        <w:instrText xml:space="preserve"> HYPERLINK \l "bookmark40" \o "当前文件" \h </w:instrText>
      </w:r>
      <w:r>
        <w:fldChar w:fldCharType="separate"/>
      </w:r>
      <w:r>
        <w:rPr>
          <w:sz w:val="24"/>
          <w:vertAlign w:val="superscript"/>
          <w:lang w:eastAsia="zh-CN"/>
        </w:rPr>
        <w:t>16</w:t>
      </w:r>
      <w:r>
        <w:rPr>
          <w:sz w:val="24"/>
          <w:vertAlign w:val="superscript"/>
          <w:lang w:eastAsia="zh-CN"/>
        </w:rPr>
        <w:fldChar w:fldCharType="end"/>
      </w:r>
      <w:r>
        <w:rPr>
          <w:sz w:val="24"/>
          <w:lang w:eastAsia="zh-CN"/>
        </w:rPr>
        <w:t>医疗保健雇主还必须遵守职业安全与健康管理局（OSHA）的标准，该标准要求PPE对工人提供保护并适用于传染病危害。</w:t>
      </w:r>
      <w:r>
        <w:fldChar w:fldCharType="begin"/>
      </w:r>
      <w:r>
        <w:instrText xml:space="preserve"> HYPERLINK \l "bookmark41" \o "当前文件" \h </w:instrText>
      </w:r>
      <w:r>
        <w:fldChar w:fldCharType="separate"/>
      </w:r>
      <w:r>
        <w:rPr>
          <w:sz w:val="24"/>
          <w:vertAlign w:val="superscript"/>
          <w:lang w:eastAsia="zh-CN"/>
        </w:rPr>
        <w:t>17</w:t>
      </w:r>
      <w:r>
        <w:rPr>
          <w:sz w:val="24"/>
          <w:vertAlign w:val="superscript"/>
          <w:lang w:eastAsia="zh-CN"/>
        </w:rPr>
        <w:fldChar w:fldCharType="end"/>
      </w:r>
      <w:r>
        <w:rPr>
          <w:sz w:val="24"/>
          <w:lang w:eastAsia="zh-CN"/>
        </w:rPr>
        <w:t>为了帮助促进可能在COVID-19</w:t>
      </w:r>
      <w:r>
        <w:rPr>
          <w:rFonts w:hint="eastAsia"/>
          <w:sz w:val="24"/>
          <w:lang w:eastAsia="zh-CN"/>
        </w:rPr>
        <w:t>疫情</w:t>
      </w:r>
      <w:r>
        <w:rPr>
          <w:sz w:val="24"/>
          <w:lang w:eastAsia="zh-CN"/>
        </w:rPr>
        <w:t>期间为HCP和公众带来一些获益的设备的可</w:t>
      </w:r>
      <w:r>
        <w:rPr>
          <w:rFonts w:hint="eastAsia"/>
          <w:sz w:val="24"/>
          <w:lang w:eastAsia="zh-CN"/>
        </w:rPr>
        <w:t>获得</w:t>
      </w:r>
      <w:r>
        <w:rPr>
          <w:sz w:val="24"/>
          <w:lang w:eastAsia="zh-CN"/>
        </w:rPr>
        <w:t>性，在突发公共卫生事件期间，FDA</w:t>
      </w:r>
      <w:r>
        <w:rPr>
          <w:rFonts w:hint="eastAsia"/>
          <w:sz w:val="24"/>
          <w:lang w:eastAsia="zh-CN"/>
        </w:rPr>
        <w:t>不会</w:t>
      </w:r>
      <w:r>
        <w:rPr>
          <w:sz w:val="24"/>
          <w:lang w:eastAsia="zh-CN"/>
        </w:rPr>
        <w:t>反对分销和使用用于医疗目的（无论是由医护人员还是公众使用），但不符合以下监管要求的面罩，其在突发公共卫生事件中不会造成过度风险：21 CFR 807中的注册和</w:t>
      </w:r>
      <w:r>
        <w:rPr>
          <w:rFonts w:hint="eastAsia"/>
          <w:sz w:val="24"/>
          <w:lang w:eastAsia="zh-CN"/>
        </w:rPr>
        <w:t>上市</w:t>
      </w:r>
      <w:r>
        <w:rPr>
          <w:sz w:val="24"/>
          <w:lang w:eastAsia="zh-CN"/>
        </w:rPr>
        <w:t>要求、21 CFR第820部分中的质量体系法规要求、21 CFR第806部分中的更正和删除报告以及21 CFR第830部分和21 CFR 801.20中的医疗器械唯一标识要求。FDA目前认为，在以下情况中，此类器械不会造成过度风险：</w:t>
      </w:r>
      <w:bookmarkEnd w:id="48"/>
    </w:p>
    <w:p w14:paraId="758D5A27">
      <w:pPr>
        <w:pStyle w:val="27"/>
        <w:spacing w:before="120"/>
        <w:ind w:left="911" w:hanging="487"/>
        <w:rPr>
          <w:sz w:val="24"/>
          <w:lang w:eastAsia="zh-CN"/>
        </w:rPr>
      </w:pPr>
      <w:r>
        <w:rPr>
          <w:sz w:val="24"/>
          <w:lang w:eastAsia="zh-CN"/>
        </w:rPr>
        <w:t>•</w:t>
      </w:r>
      <w:r>
        <w:rPr>
          <w:sz w:val="24"/>
          <w:lang w:eastAsia="zh-CN"/>
        </w:rPr>
        <w:tab/>
      </w:r>
      <w:r>
        <w:rPr>
          <w:sz w:val="24"/>
          <w:lang w:eastAsia="zh-CN"/>
        </w:rPr>
        <w:t>产品</w:t>
      </w:r>
      <w:r>
        <w:rPr>
          <w:rFonts w:hint="eastAsia"/>
          <w:sz w:val="24"/>
          <w:lang w:eastAsia="zh-CN"/>
        </w:rPr>
        <w:t>说明书将产品</w:t>
      </w:r>
      <w:r>
        <w:rPr>
          <w:sz w:val="24"/>
          <w:lang w:eastAsia="zh-CN"/>
        </w:rPr>
        <w:t>准确描述为面罩，并包括接触身体的材料清单（不</w:t>
      </w:r>
      <w:r>
        <w:rPr>
          <w:rFonts w:hint="eastAsia"/>
          <w:sz w:val="24"/>
          <w:lang w:eastAsia="zh-CN"/>
        </w:rPr>
        <w:t>含</w:t>
      </w:r>
      <w:r>
        <w:rPr>
          <w:sz w:val="24"/>
          <w:lang w:eastAsia="zh-CN"/>
        </w:rPr>
        <w:t>任何药物或生物制剂）；</w:t>
      </w:r>
    </w:p>
    <w:p w14:paraId="4AC86DE6">
      <w:pPr>
        <w:pStyle w:val="27"/>
        <w:spacing w:before="120"/>
        <w:ind w:left="911" w:hanging="487"/>
        <w:rPr>
          <w:sz w:val="24"/>
          <w:lang w:eastAsia="zh-CN"/>
        </w:rPr>
      </w:pPr>
      <w:r>
        <w:rPr>
          <w:sz w:val="24"/>
          <w:lang w:eastAsia="zh-CN"/>
        </w:rPr>
        <w:t>•</w:t>
      </w:r>
      <w:r>
        <w:rPr>
          <w:sz w:val="24"/>
          <w:lang w:eastAsia="zh-CN"/>
        </w:rPr>
        <w:tab/>
      </w:r>
      <w:r>
        <w:rPr>
          <w:sz w:val="24"/>
          <w:lang w:eastAsia="zh-CN"/>
        </w:rPr>
        <w:t>面罩不含任何会导致可燃性的材料，或产品符合16 CFR 1610的I类或II类易燃性要求（除非标有建议</w:t>
      </w:r>
      <w:r>
        <w:rPr>
          <w:rFonts w:hint="eastAsia"/>
          <w:sz w:val="24"/>
          <w:lang w:eastAsia="zh-CN"/>
        </w:rPr>
        <w:t>禁止</w:t>
      </w:r>
      <w:r>
        <w:rPr>
          <w:sz w:val="24"/>
          <w:lang w:eastAsia="zh-CN"/>
        </w:rPr>
        <w:t>在存在高强度热源或可燃气体</w:t>
      </w:r>
      <w:r>
        <w:rPr>
          <w:rFonts w:hint="eastAsia"/>
          <w:sz w:val="24"/>
          <w:lang w:eastAsia="zh-CN"/>
        </w:rPr>
        <w:t>的情况下使用</w:t>
      </w:r>
      <w:r>
        <w:rPr>
          <w:sz w:val="24"/>
          <w:lang w:eastAsia="zh-CN"/>
        </w:rPr>
        <w:t>）；</w:t>
      </w:r>
    </w:p>
    <w:p w14:paraId="062CE168">
      <w:pPr>
        <w:snapToGrid w:val="0"/>
        <w:spacing w:before="120" w:beforeLines="50"/>
        <w:jc w:val="both"/>
        <w:rPr>
          <w:sz w:val="18"/>
          <w:szCs w:val="18"/>
          <w:lang w:eastAsia="zh-CN"/>
        </w:rPr>
      </w:pPr>
      <w:bookmarkStart w:id="49" w:name="bookmark40"/>
    </w:p>
    <w:p w14:paraId="02D005E3">
      <w:pPr>
        <w:snapToGrid w:val="0"/>
        <w:spacing w:before="120" w:beforeLines="50"/>
        <w:jc w:val="both"/>
        <w:rPr>
          <w:sz w:val="18"/>
          <w:szCs w:val="18"/>
          <w:lang w:eastAsia="zh-CN"/>
        </w:rPr>
      </w:pPr>
    </w:p>
    <w:p w14:paraId="017E844D">
      <w:pPr>
        <w:snapToGrid w:val="0"/>
        <w:spacing w:before="120" w:beforeLines="50"/>
        <w:jc w:val="both"/>
        <w:rPr>
          <w:sz w:val="18"/>
          <w:szCs w:val="18"/>
          <w:lang w:eastAsia="zh-CN"/>
        </w:rPr>
      </w:pPr>
    </w:p>
    <w:p w14:paraId="6DA61F3E">
      <w:pPr>
        <w:snapToGrid w:val="0"/>
        <w:spacing w:before="120" w:beforeLines="50"/>
        <w:jc w:val="both"/>
        <w:rPr>
          <w:sz w:val="18"/>
          <w:szCs w:val="18"/>
          <w:lang w:eastAsia="zh-CN"/>
        </w:rPr>
      </w:pPr>
    </w:p>
    <w:p w14:paraId="190970E0">
      <w:pPr>
        <w:snapToGrid w:val="0"/>
        <w:spacing w:before="120" w:beforeLines="50"/>
        <w:jc w:val="both"/>
        <w:rPr>
          <w:sz w:val="18"/>
          <w:szCs w:val="18"/>
          <w:lang w:eastAsia="zh-CN"/>
        </w:rPr>
      </w:pPr>
    </w:p>
    <w:p w14:paraId="1A3C02A4">
      <w:pPr>
        <w:snapToGrid w:val="0"/>
        <w:spacing w:before="120" w:beforeLines="50"/>
        <w:jc w:val="both"/>
        <w:rPr>
          <w:sz w:val="18"/>
          <w:szCs w:val="18"/>
          <w:lang w:eastAsia="zh-CN"/>
        </w:rPr>
      </w:pPr>
    </w:p>
    <w:p w14:paraId="0B3E0913">
      <w:pPr>
        <w:snapToGrid w:val="0"/>
        <w:spacing w:before="120" w:beforeLines="50"/>
        <w:jc w:val="both"/>
        <w:rPr>
          <w:sz w:val="18"/>
          <w:szCs w:val="18"/>
          <w:lang w:eastAsia="zh-CN"/>
        </w:rPr>
      </w:pPr>
    </w:p>
    <w:p w14:paraId="65EED9EB">
      <w:pPr>
        <w:snapToGrid w:val="0"/>
        <w:spacing w:before="120" w:beforeLines="50"/>
        <w:jc w:val="both"/>
        <w:rPr>
          <w:sz w:val="18"/>
          <w:szCs w:val="18"/>
        </w:rPr>
      </w:pPr>
      <w:r>
        <w:rPr>
          <w:sz w:val="18"/>
          <w:szCs w:val="18"/>
          <w:lang w:eastAsia="zh-CN"/>
        </w:rPr>
        <w:t>_________________________</w:t>
      </w:r>
    </w:p>
    <w:p w14:paraId="172AF92B">
      <w:pPr>
        <w:tabs>
          <w:tab w:val="left" w:pos="255"/>
        </w:tabs>
        <w:snapToGrid w:val="0"/>
        <w:spacing w:before="120" w:beforeLines="50"/>
        <w:jc w:val="both"/>
        <w:rPr>
          <w:color w:val="0000FF"/>
          <w:sz w:val="18"/>
          <w:szCs w:val="18"/>
        </w:rPr>
      </w:pPr>
      <w:r>
        <w:rPr>
          <w:sz w:val="18"/>
          <w:szCs w:val="18"/>
          <w:vertAlign w:val="superscript"/>
          <w:lang w:eastAsia="zh-CN"/>
        </w:rPr>
        <w:t>16</w:t>
      </w:r>
      <w:bookmarkEnd w:id="49"/>
      <w:r>
        <w:rPr>
          <w:color w:val="0000FF"/>
          <w:sz w:val="18"/>
          <w:szCs w:val="18"/>
          <w:lang w:eastAsia="zh-CN"/>
        </w:rPr>
        <w:fldChar w:fldCharType="begin"/>
      </w:r>
      <w:r>
        <w:rPr>
          <w:color w:val="0000FF"/>
          <w:sz w:val="18"/>
          <w:szCs w:val="18"/>
          <w:lang w:eastAsia="zh-CN"/>
        </w:rPr>
        <w:instrText xml:space="preserve"> HYPERLINK "</w:instrText>
      </w:r>
      <w:r>
        <w:rPr>
          <w:color w:val="0000FF"/>
          <w:sz w:val="18"/>
          <w:szCs w:val="18"/>
          <w:lang w:eastAsia="zh-CN"/>
        </w:rPr>
        <w:tab/>
      </w:r>
      <w:r>
        <w:rPr>
          <w:color w:val="0000FF"/>
          <w:sz w:val="18"/>
          <w:szCs w:val="18"/>
          <w:lang w:eastAsia="zh-CN"/>
        </w:rPr>
        <w:instrText xml:space="preserve">https://www.cdc.gov/coronavirus/2019-ncov/infection-control/control-recommendations.html?CDC_AA_ refVal=httns%3A%2F%2Fwww.cdc.gov%2Fcoronavirus%2F2019-" </w:instrText>
      </w:r>
      <w:r>
        <w:rPr>
          <w:color w:val="0000FF"/>
          <w:sz w:val="18"/>
          <w:szCs w:val="18"/>
          <w:lang w:eastAsia="zh-CN"/>
        </w:rPr>
        <w:fldChar w:fldCharType="separate"/>
      </w:r>
      <w:r>
        <w:rPr>
          <w:rStyle w:val="12"/>
          <w:color w:val="0000FF"/>
          <w:sz w:val="18"/>
          <w:szCs w:val="18"/>
          <w:u w:val="none"/>
          <w:lang w:eastAsia="zh-CN"/>
        </w:rPr>
        <w:tab/>
      </w:r>
      <w:r>
        <w:rPr>
          <w:rStyle w:val="12"/>
          <w:color w:val="0000FF"/>
          <w:sz w:val="18"/>
          <w:szCs w:val="18"/>
          <w:lang w:eastAsia="zh-CN"/>
        </w:rPr>
        <w:t>https://www.cdc.gov/coronavirus/2019-ncov/infection-control/control-recommendations.html?CDC_AA_ refVal=httns%3A%2F%2Fwww.cdc.gov%2Fcoronavirus%2F2019-</w:t>
      </w:r>
      <w:r>
        <w:rPr>
          <w:color w:val="0000FF"/>
          <w:sz w:val="18"/>
          <w:szCs w:val="18"/>
          <w:u w:val="single"/>
          <w:lang w:eastAsia="zh-CN"/>
        </w:rPr>
        <w:fldChar w:fldCharType="end"/>
      </w:r>
      <w:r>
        <w:fldChar w:fldCharType="begin"/>
      </w:r>
      <w:r>
        <w:instrText xml:space="preserve"> HYPERLINK "https://www.cdc.gov/coronavirus/2019-ncov/infection-control/control-recommendations.html?CDC_AA_refVal=https%3A%2F%2Fwww.cdc.gov%2Fcoronavirus%2F2019-ncov%2Fhcp%2Finfection-control.html" </w:instrText>
      </w:r>
      <w:r>
        <w:fldChar w:fldCharType="separate"/>
      </w:r>
      <w:r>
        <w:rPr>
          <w:rStyle w:val="12"/>
          <w:color w:val="0000FF"/>
          <w:sz w:val="18"/>
          <w:szCs w:val="18"/>
          <w:lang w:eastAsia="zh-CN"/>
        </w:rPr>
        <w:t>ncov%2Fhcp%2Finfection-control.html。</w:t>
      </w:r>
      <w:r>
        <w:rPr>
          <w:rStyle w:val="12"/>
          <w:color w:val="0000FF"/>
          <w:sz w:val="18"/>
          <w:szCs w:val="18"/>
          <w:lang w:eastAsia="zh-CN"/>
        </w:rPr>
        <w:fldChar w:fldCharType="end"/>
      </w:r>
    </w:p>
    <w:p w14:paraId="66A5B691">
      <w:pPr>
        <w:tabs>
          <w:tab w:val="left" w:pos="163"/>
        </w:tabs>
        <w:snapToGrid w:val="0"/>
        <w:spacing w:before="120" w:beforeLines="50"/>
        <w:jc w:val="both"/>
        <w:rPr>
          <w:bCs/>
          <w:sz w:val="18"/>
          <w:szCs w:val="18"/>
          <w:lang w:eastAsia="zh-CN"/>
        </w:rPr>
      </w:pPr>
      <w:bookmarkStart w:id="50" w:name="bookmark41"/>
      <w:r>
        <w:rPr>
          <w:sz w:val="18"/>
          <w:szCs w:val="18"/>
          <w:vertAlign w:val="superscript"/>
          <w:lang w:eastAsia="zh-CN"/>
        </w:rPr>
        <w:t>17</w:t>
      </w:r>
      <w:r>
        <w:rPr>
          <w:sz w:val="18"/>
          <w:szCs w:val="18"/>
          <w:lang w:eastAsia="zh-CN"/>
        </w:rPr>
        <w:tab/>
      </w:r>
      <w:r>
        <w:rPr>
          <w:i/>
          <w:iCs/>
          <w:sz w:val="18"/>
          <w:szCs w:val="18"/>
          <w:lang w:eastAsia="zh-CN"/>
        </w:rPr>
        <w:t>见</w:t>
      </w:r>
      <w:r>
        <w:rPr>
          <w:sz w:val="18"/>
          <w:szCs w:val="18"/>
          <w:lang w:eastAsia="zh-CN"/>
        </w:rPr>
        <w:t>29 CFR 1910第I部分。</w:t>
      </w:r>
      <w:bookmarkEnd w:id="50"/>
    </w:p>
    <w:p w14:paraId="7E59D19B">
      <w:pPr>
        <w:tabs>
          <w:tab w:val="left" w:pos="163"/>
        </w:tabs>
        <w:snapToGrid w:val="0"/>
        <w:spacing w:before="120" w:beforeLines="50"/>
        <w:jc w:val="both"/>
        <w:rPr>
          <w:lang w:eastAsia="zh-CN"/>
        </w:rPr>
      </w:pPr>
      <w:r>
        <w:rPr>
          <w:lang w:eastAsia="zh-CN"/>
        </w:rPr>
        <w:br w:type="page"/>
      </w:r>
    </w:p>
    <w:p w14:paraId="56CB2DF4">
      <w:pPr>
        <w:pStyle w:val="27"/>
        <w:spacing w:before="120"/>
        <w:ind w:left="911" w:hanging="487"/>
        <w:rPr>
          <w:sz w:val="24"/>
          <w:lang w:eastAsia="zh-CN"/>
        </w:rPr>
      </w:pPr>
      <w:r>
        <w:rPr>
          <w:i/>
          <w:iCs/>
          <w:sz w:val="24"/>
          <w:lang w:eastAsia="zh-CN"/>
        </w:rPr>
        <w:t>•</w:t>
      </w:r>
      <w:r>
        <w:rPr>
          <w:sz w:val="24"/>
          <w:lang w:eastAsia="zh-CN"/>
        </w:rPr>
        <w:tab/>
      </w:r>
      <w:r>
        <w:rPr>
          <w:rFonts w:hint="eastAsia"/>
          <w:sz w:val="24"/>
          <w:lang w:eastAsia="zh-CN"/>
        </w:rPr>
        <w:t>考虑到突发公共卫生事件，</w:t>
      </w:r>
      <w:r>
        <w:rPr>
          <w:sz w:val="24"/>
          <w:lang w:eastAsia="zh-CN"/>
        </w:rPr>
        <w:t>该产品不得用于任何会</w:t>
      </w:r>
      <w:r>
        <w:rPr>
          <w:rFonts w:hint="eastAsia"/>
          <w:sz w:val="24"/>
          <w:lang w:eastAsia="zh-CN"/>
        </w:rPr>
        <w:t>产生过度</w:t>
      </w:r>
      <w:r>
        <w:rPr>
          <w:sz w:val="24"/>
          <w:lang w:eastAsia="zh-CN"/>
        </w:rPr>
        <w:t>风险的用途，例如，</w:t>
      </w:r>
      <w:r>
        <w:rPr>
          <w:rFonts w:hint="eastAsia"/>
          <w:sz w:val="24"/>
          <w:lang w:eastAsia="zh-CN"/>
        </w:rPr>
        <w:t>说明书</w:t>
      </w:r>
      <w:r>
        <w:rPr>
          <w:sz w:val="24"/>
          <w:lang w:eastAsia="zh-CN"/>
        </w:rPr>
        <w:t>不包括抗菌或抗病毒防护或相关用途或用于预防或减少感染或相关用途，或用于辐射防护。</w:t>
      </w:r>
    </w:p>
    <w:p w14:paraId="4BAED337">
      <w:pPr>
        <w:pStyle w:val="27"/>
        <w:spacing w:before="120"/>
        <w:ind w:left="911" w:hanging="487"/>
        <w:rPr>
          <w:sz w:val="24"/>
          <w:lang w:eastAsia="zh-CN"/>
        </w:rPr>
      </w:pPr>
    </w:p>
    <w:p w14:paraId="0CE9BC33">
      <w:pPr>
        <w:pStyle w:val="17"/>
        <w:spacing w:before="120" w:after="120"/>
      </w:pPr>
      <w:bookmarkStart w:id="51" w:name="_Toc97318324"/>
      <w:bookmarkStart w:id="52" w:name="bookmark42"/>
      <w:r>
        <w:t>E.</w:t>
      </w:r>
      <w:r>
        <w:tab/>
      </w:r>
      <w:r>
        <w:rPr>
          <w:rFonts w:hint="eastAsia"/>
        </w:rPr>
        <w:t>用于</w:t>
      </w:r>
      <w:r>
        <w:t>提供液体屏障保护的外科口罩</w:t>
      </w:r>
      <w:bookmarkEnd w:id="51"/>
      <w:bookmarkEnd w:id="52"/>
    </w:p>
    <w:p w14:paraId="7DE5B47C">
      <w:pPr>
        <w:snapToGrid w:val="0"/>
        <w:spacing w:before="120" w:beforeLines="50"/>
        <w:jc w:val="both"/>
        <w:rPr>
          <w:sz w:val="24"/>
          <w:lang w:eastAsia="zh-CN"/>
        </w:rPr>
      </w:pPr>
      <w:bookmarkStart w:id="53" w:name="bookmark43"/>
      <w:r>
        <w:rPr>
          <w:sz w:val="24"/>
          <w:lang w:eastAsia="zh-CN"/>
        </w:rPr>
        <w:t>外科口罩</w:t>
      </w:r>
      <w:r>
        <w:rPr>
          <w:rFonts w:hint="eastAsia"/>
          <w:sz w:val="24"/>
          <w:lang w:eastAsia="zh-CN"/>
        </w:rPr>
        <w:t>属于</w:t>
      </w:r>
      <w:r>
        <w:rPr>
          <w:sz w:val="24"/>
          <w:lang w:eastAsia="zh-CN"/>
        </w:rPr>
        <w:t>II类器械，可覆盖使用者的</w:t>
      </w:r>
      <w:r>
        <w:rPr>
          <w:rFonts w:hint="eastAsia"/>
          <w:sz w:val="24"/>
          <w:lang w:eastAsia="zh-CN"/>
        </w:rPr>
        <w:t>口鼻</w:t>
      </w:r>
      <w:r>
        <w:rPr>
          <w:sz w:val="24"/>
          <w:lang w:eastAsia="zh-CN"/>
        </w:rPr>
        <w:t>，为流体和颗粒材料提供物理屏障，已完成可燃性和生物相容性试验。在宣布的突发公共卫生事件期间，如果外科口罩不会在突发公共卫生事件中造成</w:t>
      </w:r>
      <w:r>
        <w:rPr>
          <w:rFonts w:hint="eastAsia"/>
          <w:sz w:val="24"/>
          <w:lang w:eastAsia="zh-CN"/>
        </w:rPr>
        <w:t>过度</w:t>
      </w:r>
      <w:r>
        <w:rPr>
          <w:sz w:val="24"/>
          <w:lang w:eastAsia="zh-CN"/>
        </w:rPr>
        <w:t>风险，则在不符合以下监管要求的情况下</w:t>
      </w:r>
      <w:r>
        <w:rPr>
          <w:rFonts w:hint="eastAsia"/>
          <w:sz w:val="24"/>
          <w:lang w:eastAsia="zh-CN"/>
        </w:rPr>
        <w:t>，</w:t>
      </w:r>
      <w:r>
        <w:rPr>
          <w:sz w:val="24"/>
          <w:lang w:eastAsia="zh-CN"/>
        </w:rPr>
        <w:t>FDA</w:t>
      </w:r>
      <w:r>
        <w:rPr>
          <w:rFonts w:hint="eastAsia"/>
          <w:sz w:val="24"/>
          <w:lang w:eastAsia="zh-CN"/>
        </w:rPr>
        <w:t>不会</w:t>
      </w:r>
      <w:r>
        <w:rPr>
          <w:sz w:val="24"/>
          <w:lang w:eastAsia="zh-CN"/>
        </w:rPr>
        <w:t>反对分销和使用外科口罩：根据《FD&amp;C法案》第510(k)节和21 CFR 807.81</w:t>
      </w:r>
      <w:r>
        <w:rPr>
          <w:rFonts w:hint="eastAsia"/>
          <w:sz w:val="24"/>
          <w:lang w:eastAsia="zh-CN"/>
        </w:rPr>
        <w:t>的上市通知预递交</w:t>
      </w:r>
      <w:r>
        <w:rPr>
          <w:sz w:val="24"/>
          <w:lang w:eastAsia="zh-CN"/>
        </w:rPr>
        <w:t>、21 CFR 807中的注册和上市要求、21 CFR 820中的质量体系法规要求、21 CFR 806中的更正和删除报告，以及21 CFR 830和21 CFR 801.20中的医疗器械唯一标识要求。FDA目前认为，在以下情况中，此类器械不会造成过度风险：</w:t>
      </w:r>
      <w:bookmarkEnd w:id="53"/>
    </w:p>
    <w:p w14:paraId="7049EF95">
      <w:pPr>
        <w:pStyle w:val="27"/>
        <w:spacing w:before="120"/>
        <w:ind w:left="911" w:hanging="487"/>
        <w:rPr>
          <w:sz w:val="24"/>
          <w:lang w:eastAsia="zh-CN"/>
        </w:rPr>
      </w:pPr>
      <w:r>
        <w:rPr>
          <w:sz w:val="24"/>
          <w:lang w:eastAsia="zh-CN"/>
        </w:rPr>
        <w:t>•</w:t>
      </w:r>
      <w:r>
        <w:rPr>
          <w:sz w:val="24"/>
          <w:lang w:eastAsia="zh-CN"/>
        </w:rPr>
        <w:tab/>
      </w:r>
      <w:r>
        <w:rPr>
          <w:rFonts w:hint="eastAsia"/>
          <w:sz w:val="24"/>
          <w:lang w:eastAsia="zh-CN"/>
        </w:rPr>
        <w:t>产品符合</w:t>
      </w:r>
      <w:r>
        <w:rPr>
          <w:sz w:val="24"/>
          <w:lang w:eastAsia="zh-CN"/>
        </w:rPr>
        <w:t>ASTM F1862</w:t>
      </w:r>
      <w:r>
        <w:rPr>
          <w:sz w:val="24"/>
          <w:vertAlign w:val="superscript"/>
          <w:lang w:eastAsia="zh-CN"/>
        </w:rPr>
        <w:t>18</w:t>
      </w:r>
      <w:r>
        <w:rPr>
          <w:rFonts w:hint="eastAsia"/>
          <w:sz w:val="24"/>
          <w:lang w:eastAsia="zh-CN"/>
        </w:rPr>
        <w:t>医用口罩抗人工合成血渗透的标准试验方法（已知速度下固定体积的水平投影）的流体阻力试验（液体阻隔性能）；</w:t>
      </w:r>
    </w:p>
    <w:p w14:paraId="5F790EC1">
      <w:pPr>
        <w:pStyle w:val="27"/>
        <w:spacing w:before="120"/>
        <w:ind w:left="911" w:hanging="487"/>
        <w:rPr>
          <w:sz w:val="24"/>
          <w:lang w:eastAsia="zh-CN"/>
        </w:rPr>
      </w:pPr>
      <w:r>
        <w:rPr>
          <w:sz w:val="24"/>
          <w:lang w:eastAsia="zh-CN"/>
        </w:rPr>
        <w:t>•</w:t>
      </w:r>
      <w:r>
        <w:rPr>
          <w:sz w:val="24"/>
          <w:lang w:eastAsia="zh-CN"/>
        </w:rPr>
        <w:tab/>
      </w:r>
      <w:r>
        <w:rPr>
          <w:sz w:val="24"/>
          <w:lang w:eastAsia="zh-CN"/>
        </w:rPr>
        <w:t>产品符合16 CFR 1610的I类或II类易燃性要求（除非标有建议</w:t>
      </w:r>
      <w:r>
        <w:rPr>
          <w:rFonts w:hint="eastAsia"/>
          <w:sz w:val="24"/>
          <w:lang w:eastAsia="zh-CN"/>
        </w:rPr>
        <w:t>禁止</w:t>
      </w:r>
      <w:r>
        <w:rPr>
          <w:sz w:val="24"/>
          <w:lang w:eastAsia="zh-CN"/>
        </w:rPr>
        <w:t>在</w:t>
      </w:r>
      <w:r>
        <w:rPr>
          <w:rFonts w:hint="eastAsia"/>
          <w:sz w:val="24"/>
          <w:lang w:eastAsia="zh-CN"/>
        </w:rPr>
        <w:t>存在</w:t>
      </w:r>
      <w:r>
        <w:rPr>
          <w:sz w:val="24"/>
          <w:lang w:eastAsia="zh-CN"/>
        </w:rPr>
        <w:t>高强度热源或易燃气体</w:t>
      </w:r>
      <w:r>
        <w:rPr>
          <w:rFonts w:hint="eastAsia"/>
          <w:sz w:val="24"/>
          <w:lang w:eastAsia="zh-CN"/>
        </w:rPr>
        <w:t>的情况下</w:t>
      </w:r>
      <w:r>
        <w:rPr>
          <w:sz w:val="24"/>
          <w:lang w:eastAsia="zh-CN"/>
        </w:rPr>
        <w:t>使用）；</w:t>
      </w:r>
    </w:p>
    <w:p w14:paraId="4237E40B">
      <w:pPr>
        <w:pStyle w:val="27"/>
        <w:spacing w:before="120"/>
        <w:ind w:left="911" w:hanging="487"/>
        <w:rPr>
          <w:sz w:val="24"/>
          <w:lang w:eastAsia="zh-CN"/>
        </w:rPr>
      </w:pPr>
      <w:r>
        <w:rPr>
          <w:sz w:val="24"/>
          <w:lang w:eastAsia="zh-CN"/>
        </w:rPr>
        <w:t>•</w:t>
      </w:r>
      <w:r>
        <w:rPr>
          <w:sz w:val="24"/>
          <w:lang w:eastAsia="zh-CN"/>
        </w:rPr>
        <w:tab/>
      </w:r>
      <w:r>
        <w:rPr>
          <w:sz w:val="24"/>
          <w:lang w:eastAsia="zh-CN"/>
        </w:rPr>
        <w:t>产品</w:t>
      </w:r>
      <w:r>
        <w:rPr>
          <w:rFonts w:hint="eastAsia"/>
          <w:sz w:val="24"/>
          <w:lang w:eastAsia="zh-CN"/>
        </w:rPr>
        <w:t>说明书</w:t>
      </w:r>
      <w:r>
        <w:rPr>
          <w:sz w:val="24"/>
          <w:lang w:eastAsia="zh-CN"/>
        </w:rPr>
        <w:t>将产品准确描述为外科口罩，并包括接触身体的材料清单（不</w:t>
      </w:r>
      <w:r>
        <w:rPr>
          <w:rFonts w:hint="eastAsia"/>
          <w:sz w:val="24"/>
          <w:lang w:eastAsia="zh-CN"/>
        </w:rPr>
        <w:t>含</w:t>
      </w:r>
      <w:r>
        <w:rPr>
          <w:sz w:val="24"/>
          <w:lang w:eastAsia="zh-CN"/>
        </w:rPr>
        <w:t>任何药物或生物制品）；和</w:t>
      </w:r>
    </w:p>
    <w:p w14:paraId="75346358">
      <w:pPr>
        <w:pStyle w:val="27"/>
        <w:spacing w:before="120"/>
        <w:ind w:left="911" w:hanging="487"/>
        <w:rPr>
          <w:sz w:val="24"/>
          <w:lang w:eastAsia="zh-CN"/>
        </w:rPr>
      </w:pPr>
      <w:r>
        <w:rPr>
          <w:sz w:val="24"/>
          <w:lang w:eastAsia="zh-CN"/>
        </w:rPr>
        <w:t>•</w:t>
      </w:r>
      <w:r>
        <w:rPr>
          <w:sz w:val="24"/>
          <w:lang w:eastAsia="zh-CN"/>
        </w:rPr>
        <w:tab/>
      </w:r>
      <w:r>
        <w:rPr>
          <w:rFonts w:hint="eastAsia"/>
          <w:sz w:val="24"/>
          <w:lang w:eastAsia="zh-CN"/>
        </w:rPr>
        <w:t>考虑到突发公共卫生事件，</w:t>
      </w:r>
      <w:r>
        <w:rPr>
          <w:sz w:val="24"/>
          <w:lang w:eastAsia="zh-CN"/>
        </w:rPr>
        <w:t>产品不得用于任何会造成</w:t>
      </w:r>
      <w:r>
        <w:rPr>
          <w:rFonts w:hint="eastAsia"/>
          <w:sz w:val="24"/>
          <w:lang w:eastAsia="zh-CN"/>
        </w:rPr>
        <w:t>过度</w:t>
      </w:r>
      <w:r>
        <w:rPr>
          <w:sz w:val="24"/>
          <w:lang w:eastAsia="zh-CN"/>
        </w:rPr>
        <w:t>风险的用途，例如，标签不包括用于抗微生物或抗病毒</w:t>
      </w:r>
      <w:r>
        <w:rPr>
          <w:rFonts w:hint="eastAsia"/>
          <w:sz w:val="24"/>
          <w:lang w:eastAsia="zh-CN"/>
        </w:rPr>
        <w:t>防护</w:t>
      </w:r>
      <w:r>
        <w:rPr>
          <w:sz w:val="24"/>
          <w:lang w:eastAsia="zh-CN"/>
        </w:rPr>
        <w:t>或相关用途或用于预防或减少感染或相关用途，不包括微粒过滤声明。</w:t>
      </w:r>
    </w:p>
    <w:p w14:paraId="75D40FA4">
      <w:pPr>
        <w:snapToGrid w:val="0"/>
        <w:spacing w:before="120" w:beforeLines="50"/>
        <w:jc w:val="both"/>
        <w:rPr>
          <w:sz w:val="18"/>
          <w:szCs w:val="18"/>
          <w:lang w:eastAsia="zh-CN"/>
        </w:rPr>
      </w:pPr>
      <w:bookmarkStart w:id="54" w:name="bookmark44"/>
    </w:p>
    <w:p w14:paraId="6368FD56">
      <w:pPr>
        <w:snapToGrid w:val="0"/>
        <w:spacing w:before="120" w:beforeLines="50"/>
        <w:jc w:val="both"/>
        <w:rPr>
          <w:sz w:val="18"/>
          <w:szCs w:val="18"/>
          <w:lang w:eastAsia="zh-CN"/>
        </w:rPr>
      </w:pPr>
    </w:p>
    <w:p w14:paraId="4DCBC8B3">
      <w:pPr>
        <w:snapToGrid w:val="0"/>
        <w:spacing w:before="120" w:beforeLines="50"/>
        <w:jc w:val="both"/>
        <w:rPr>
          <w:sz w:val="18"/>
          <w:szCs w:val="18"/>
          <w:lang w:eastAsia="zh-CN"/>
        </w:rPr>
      </w:pPr>
    </w:p>
    <w:p w14:paraId="1DDF498E">
      <w:pPr>
        <w:snapToGrid w:val="0"/>
        <w:spacing w:before="120" w:beforeLines="50"/>
        <w:jc w:val="both"/>
        <w:rPr>
          <w:sz w:val="18"/>
          <w:szCs w:val="18"/>
          <w:lang w:eastAsia="zh-CN"/>
        </w:rPr>
      </w:pPr>
    </w:p>
    <w:p w14:paraId="1A158DDA">
      <w:pPr>
        <w:snapToGrid w:val="0"/>
        <w:spacing w:before="120" w:beforeLines="50"/>
        <w:jc w:val="both"/>
        <w:rPr>
          <w:sz w:val="18"/>
          <w:szCs w:val="18"/>
          <w:lang w:eastAsia="zh-CN"/>
        </w:rPr>
      </w:pPr>
    </w:p>
    <w:p w14:paraId="47EF9FB0">
      <w:pPr>
        <w:snapToGrid w:val="0"/>
        <w:spacing w:before="120" w:beforeLines="50"/>
        <w:jc w:val="both"/>
        <w:rPr>
          <w:sz w:val="18"/>
          <w:szCs w:val="18"/>
          <w:lang w:eastAsia="zh-CN"/>
        </w:rPr>
      </w:pPr>
    </w:p>
    <w:p w14:paraId="4ECE0551">
      <w:pPr>
        <w:snapToGrid w:val="0"/>
        <w:spacing w:before="120" w:beforeLines="50"/>
        <w:jc w:val="both"/>
        <w:rPr>
          <w:sz w:val="18"/>
          <w:szCs w:val="18"/>
          <w:lang w:eastAsia="zh-CN"/>
        </w:rPr>
      </w:pPr>
    </w:p>
    <w:p w14:paraId="50AEE139">
      <w:pPr>
        <w:snapToGrid w:val="0"/>
        <w:spacing w:before="120" w:beforeLines="50"/>
        <w:jc w:val="both"/>
        <w:rPr>
          <w:sz w:val="18"/>
          <w:szCs w:val="18"/>
          <w:lang w:eastAsia="zh-CN"/>
        </w:rPr>
      </w:pPr>
    </w:p>
    <w:p w14:paraId="600317A7">
      <w:pPr>
        <w:snapToGrid w:val="0"/>
        <w:spacing w:before="120" w:beforeLines="50"/>
        <w:jc w:val="both"/>
        <w:rPr>
          <w:sz w:val="18"/>
          <w:szCs w:val="18"/>
          <w:lang w:eastAsia="zh-CN"/>
        </w:rPr>
      </w:pPr>
    </w:p>
    <w:p w14:paraId="71AF5A99">
      <w:pPr>
        <w:snapToGrid w:val="0"/>
        <w:spacing w:before="120" w:beforeLines="50"/>
        <w:jc w:val="both"/>
        <w:rPr>
          <w:sz w:val="18"/>
          <w:szCs w:val="18"/>
          <w:lang w:eastAsia="zh-CN"/>
        </w:rPr>
      </w:pPr>
    </w:p>
    <w:p w14:paraId="6F33A63A">
      <w:pPr>
        <w:snapToGrid w:val="0"/>
        <w:spacing w:before="120" w:beforeLines="50"/>
        <w:jc w:val="both"/>
        <w:rPr>
          <w:sz w:val="18"/>
          <w:szCs w:val="18"/>
          <w:lang w:eastAsia="zh-CN"/>
        </w:rPr>
      </w:pPr>
    </w:p>
    <w:p w14:paraId="2B7CE8A5">
      <w:pPr>
        <w:snapToGrid w:val="0"/>
        <w:spacing w:before="120" w:beforeLines="50"/>
        <w:jc w:val="both"/>
        <w:rPr>
          <w:sz w:val="18"/>
          <w:szCs w:val="18"/>
          <w:lang w:eastAsia="zh-CN"/>
        </w:rPr>
      </w:pPr>
    </w:p>
    <w:p w14:paraId="71F5D93B">
      <w:pPr>
        <w:snapToGrid w:val="0"/>
        <w:spacing w:before="120" w:beforeLines="50"/>
        <w:jc w:val="both"/>
        <w:rPr>
          <w:sz w:val="18"/>
          <w:szCs w:val="18"/>
        </w:rPr>
      </w:pPr>
      <w:r>
        <w:rPr>
          <w:sz w:val="18"/>
          <w:szCs w:val="18"/>
          <w:lang w:eastAsia="zh-CN"/>
        </w:rPr>
        <w:t>_________________________</w:t>
      </w:r>
    </w:p>
    <w:p w14:paraId="7F9B9DB9">
      <w:pPr>
        <w:tabs>
          <w:tab w:val="left" w:pos="226"/>
        </w:tabs>
        <w:snapToGrid w:val="0"/>
        <w:spacing w:before="120" w:beforeLines="50"/>
        <w:rPr>
          <w:sz w:val="18"/>
          <w:szCs w:val="18"/>
          <w:lang w:eastAsia="zh-CN"/>
        </w:rPr>
      </w:pPr>
      <w:r>
        <w:rPr>
          <w:sz w:val="18"/>
          <w:szCs w:val="18"/>
          <w:vertAlign w:val="superscript"/>
          <w:lang w:eastAsia="zh-CN"/>
        </w:rPr>
        <w:t>18</w:t>
      </w:r>
      <w:r>
        <w:rPr>
          <w:sz w:val="18"/>
          <w:szCs w:val="18"/>
          <w:lang w:eastAsia="zh-CN"/>
        </w:rPr>
        <w:tab/>
      </w:r>
      <w:r>
        <w:rPr>
          <w:sz w:val="18"/>
          <w:szCs w:val="18"/>
          <w:lang w:eastAsia="zh-CN"/>
        </w:rPr>
        <w:t>有关本文件中引用的</w:t>
      </w:r>
      <w:r>
        <w:rPr>
          <w:rFonts w:hint="eastAsia"/>
          <w:sz w:val="18"/>
          <w:szCs w:val="18"/>
          <w:lang w:eastAsia="zh-CN"/>
        </w:rPr>
        <w:t>经</w:t>
      </w:r>
      <w:r>
        <w:rPr>
          <w:sz w:val="18"/>
          <w:szCs w:val="18"/>
          <w:lang w:eastAsia="zh-CN"/>
        </w:rPr>
        <w:t>FDA认可的标准的当前版本，请参见</w:t>
      </w:r>
      <w:r>
        <w:rPr>
          <w:rStyle w:val="12"/>
          <w:color w:val="0000FF"/>
          <w:sz w:val="18"/>
          <w:szCs w:val="18"/>
          <w:lang w:eastAsia="zh-CN"/>
        </w:rPr>
        <w:t>经</w:t>
      </w:r>
      <w:r>
        <w:fldChar w:fldCharType="begin"/>
      </w:r>
      <w:r>
        <w:instrText xml:space="preserve"> HYPERLINK "https://www.accessdata.fda.gov/scripts/cdrh/cfdocs/cfStandards/search.cfm" </w:instrText>
      </w:r>
      <w:r>
        <w:fldChar w:fldCharType="separate"/>
      </w:r>
      <w:r>
        <w:rPr>
          <w:rStyle w:val="12"/>
          <w:color w:val="0000FF"/>
          <w:sz w:val="18"/>
          <w:szCs w:val="18"/>
          <w:lang w:eastAsia="zh-CN"/>
        </w:rPr>
        <w:t>FDA</w:t>
      </w:r>
      <w:r>
        <w:rPr>
          <w:rStyle w:val="12"/>
          <w:color w:val="0000FF"/>
          <w:sz w:val="18"/>
          <w:szCs w:val="18"/>
          <w:lang w:eastAsia="zh-CN"/>
        </w:rPr>
        <w:fldChar w:fldCharType="end"/>
      </w:r>
      <w:r>
        <w:rPr>
          <w:rStyle w:val="12"/>
          <w:color w:val="0000FF"/>
          <w:sz w:val="18"/>
          <w:szCs w:val="18"/>
          <w:lang w:eastAsia="zh-CN"/>
        </w:rPr>
        <w:t>认可的</w:t>
      </w:r>
      <w:r>
        <w:fldChar w:fldCharType="begin"/>
      </w:r>
      <w:r>
        <w:instrText xml:space="preserve"> HYPERLINK "https://www.accessdata.fda.gov/scripts/cdrh/cfdocs/cfStandards/search.cfm" </w:instrText>
      </w:r>
      <w:r>
        <w:fldChar w:fldCharType="separate"/>
      </w:r>
      <w:r>
        <w:rPr>
          <w:rStyle w:val="12"/>
          <w:color w:val="0000FF"/>
          <w:sz w:val="18"/>
          <w:szCs w:val="18"/>
          <w:lang w:eastAsia="zh-CN"/>
        </w:rPr>
        <w:t>共识标准</w:t>
      </w:r>
      <w:r>
        <w:rPr>
          <w:rStyle w:val="12"/>
          <w:rFonts w:hint="eastAsia"/>
          <w:color w:val="0000FF"/>
          <w:sz w:val="18"/>
          <w:szCs w:val="18"/>
          <w:lang w:eastAsia="zh-CN"/>
        </w:rPr>
        <w:t>数据</w:t>
      </w:r>
      <w:r>
        <w:rPr>
          <w:rStyle w:val="12"/>
          <w:color w:val="0000FF"/>
          <w:sz w:val="18"/>
          <w:szCs w:val="18"/>
          <w:lang w:eastAsia="zh-CN"/>
        </w:rPr>
        <w:t>库</w:t>
      </w:r>
      <w:r>
        <w:rPr>
          <w:rStyle w:val="12"/>
          <w:color w:val="0000FF"/>
          <w:sz w:val="18"/>
          <w:szCs w:val="18"/>
          <w:lang w:eastAsia="zh-CN"/>
        </w:rPr>
        <w:fldChar w:fldCharType="end"/>
      </w:r>
      <w:r>
        <w:rPr>
          <w:rFonts w:hint="eastAsia"/>
          <w:sz w:val="18"/>
          <w:szCs w:val="18"/>
          <w:lang w:eastAsia="zh-CN"/>
        </w:rPr>
        <w:t>，</w:t>
      </w:r>
      <w:r>
        <w:rPr>
          <w:sz w:val="18"/>
          <w:szCs w:val="18"/>
          <w:lang w:eastAsia="zh-CN"/>
        </w:rPr>
        <w:t>请访问</w:t>
      </w:r>
      <w:r>
        <w:fldChar w:fldCharType="begin"/>
      </w:r>
      <w:r>
        <w:instrText xml:space="preserve"> HYPERLINK "https://www.accessdata.fda.gov/scripts/cdrh/cfdocs/cfStandards/search.cfm" </w:instrText>
      </w:r>
      <w:r>
        <w:fldChar w:fldCharType="separate"/>
      </w:r>
      <w:r>
        <w:rPr>
          <w:rStyle w:val="12"/>
          <w:color w:val="0000FF"/>
          <w:sz w:val="18"/>
          <w:szCs w:val="18"/>
          <w:lang w:eastAsia="zh-CN"/>
        </w:rPr>
        <w:t>https ://www.accessdata.fda. gov/scripts/cdrh/cfdocs/cfStandards/search.cfm</w:t>
      </w:r>
      <w:r>
        <w:rPr>
          <w:rStyle w:val="12"/>
          <w:color w:val="0000FF"/>
          <w:sz w:val="18"/>
          <w:szCs w:val="18"/>
          <w:lang w:eastAsia="zh-CN"/>
        </w:rPr>
        <w:fldChar w:fldCharType="end"/>
      </w:r>
      <w:r>
        <w:rPr>
          <w:sz w:val="18"/>
          <w:szCs w:val="18"/>
          <w:lang w:eastAsia="zh-CN"/>
        </w:rPr>
        <w:t>。有关在</w:t>
      </w:r>
      <w:r>
        <w:rPr>
          <w:rFonts w:hint="eastAsia"/>
          <w:sz w:val="18"/>
          <w:szCs w:val="18"/>
          <w:lang w:eastAsia="zh-CN"/>
        </w:rPr>
        <w:t>注册申报</w:t>
      </w:r>
      <w:r>
        <w:rPr>
          <w:sz w:val="18"/>
          <w:szCs w:val="18"/>
          <w:lang w:eastAsia="zh-CN"/>
        </w:rPr>
        <w:t>中使用共识标准的更多信息，请参阅FDA指南</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2"/>
          <w:rFonts w:ascii="宋体" w:hAnsi="宋体"/>
          <w:color w:val="0000FF"/>
          <w:sz w:val="18"/>
          <w:szCs w:val="18"/>
          <w:lang w:eastAsia="zh-CN"/>
        </w:rPr>
        <w:t>“</w:t>
      </w:r>
      <w:r>
        <w:rPr>
          <w:rStyle w:val="12"/>
          <w:color w:val="0000FF"/>
          <w:sz w:val="18"/>
          <w:szCs w:val="18"/>
          <w:lang w:eastAsia="zh-CN"/>
        </w:rPr>
        <w:t>在医疗器械上市前提交中适当使用自愿共识标准</w:t>
      </w:r>
      <w:r>
        <w:rPr>
          <w:rStyle w:val="12"/>
          <w:color w:val="0000FF"/>
          <w:sz w:val="18"/>
          <w:szCs w:val="18"/>
          <w:lang w:eastAsia="zh-CN"/>
        </w:rPr>
        <w:fldChar w:fldCharType="end"/>
      </w:r>
      <w:r>
        <w:rPr>
          <w:rFonts w:ascii="宋体" w:hAnsi="宋体"/>
          <w:sz w:val="18"/>
          <w:szCs w:val="18"/>
          <w:lang w:eastAsia="zh-CN"/>
        </w:rPr>
        <w:t>”</w:t>
      </w:r>
      <w:r>
        <w:rPr>
          <w:sz w:val="18"/>
          <w:szCs w:val="18"/>
          <w:lang w:eastAsia="zh-CN"/>
        </w:rPr>
        <w:t>，请访问</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2"/>
          <w:color w:val="0000FF"/>
          <w:sz w:val="18"/>
          <w:szCs w:val="18"/>
          <w:lang w:eastAsia="zh-CN"/>
        </w:rPr>
        <w:t>https://www.fda.gov/regulatorv-information/search-fda-guidance-documents/appropriate-use-voluntarv-consensus-</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2"/>
          <w:color w:val="0000FF"/>
          <w:sz w:val="18"/>
          <w:szCs w:val="18"/>
          <w:lang w:eastAsia="zh-CN"/>
        </w:rPr>
        <w:t>standards-premarket-submissions-medical-devices</w:t>
      </w:r>
      <w:r>
        <w:rPr>
          <w:rStyle w:val="12"/>
          <w:color w:val="0000FF"/>
          <w:sz w:val="18"/>
          <w:szCs w:val="18"/>
          <w:lang w:eastAsia="zh-CN"/>
        </w:rPr>
        <w:fldChar w:fldCharType="end"/>
      </w:r>
      <w:r>
        <w:rPr>
          <w:sz w:val="18"/>
          <w:szCs w:val="18"/>
          <w:lang w:eastAsia="zh-CN"/>
        </w:rPr>
        <w:t>.</w:t>
      </w:r>
      <w:bookmarkEnd w:id="54"/>
    </w:p>
    <w:p w14:paraId="0FFEB4A0">
      <w:pPr>
        <w:tabs>
          <w:tab w:val="left" w:pos="226"/>
        </w:tabs>
        <w:snapToGrid w:val="0"/>
        <w:spacing w:before="120" w:beforeLines="50"/>
        <w:jc w:val="both"/>
        <w:rPr>
          <w:lang w:eastAsia="zh-CN"/>
        </w:rPr>
      </w:pPr>
      <w:r>
        <w:rPr>
          <w:lang w:eastAsia="zh-CN"/>
        </w:rPr>
        <w:br w:type="page"/>
      </w:r>
    </w:p>
    <w:p w14:paraId="39641FB0">
      <w:pPr>
        <w:pStyle w:val="17"/>
        <w:spacing w:before="120" w:after="120"/>
      </w:pPr>
      <w:bookmarkStart w:id="55" w:name="_Toc97318325"/>
      <w:bookmarkStart w:id="56" w:name="bookmark45"/>
      <w:bookmarkStart w:id="57" w:name="bookmark46"/>
      <w:r>
        <w:t>F.</w:t>
      </w:r>
      <w:r>
        <w:tab/>
      </w:r>
      <w:r>
        <w:t>经FDA许可或NIOSH批准的N95呼吸器不可用时的替代品</w:t>
      </w:r>
      <w:bookmarkEnd w:id="55"/>
      <w:bookmarkEnd w:id="56"/>
      <w:bookmarkEnd w:id="57"/>
    </w:p>
    <w:p w14:paraId="51207A4E">
      <w:pPr>
        <w:snapToGrid w:val="0"/>
        <w:spacing w:before="120" w:beforeLines="50"/>
        <w:jc w:val="both"/>
        <w:rPr>
          <w:sz w:val="24"/>
          <w:lang w:eastAsia="zh-CN"/>
        </w:rPr>
      </w:pPr>
      <w:r>
        <w:rPr>
          <w:sz w:val="24"/>
          <w:lang w:eastAsia="zh-CN"/>
        </w:rPr>
        <w:t>CDC在其网站上发布</w:t>
      </w:r>
      <w:r>
        <w:fldChar w:fldCharType="begin"/>
      </w:r>
      <w:r>
        <w:instrText xml:space="preserve"> HYPERLINK "https://www.cdc.gov/coronavirus/2019-ncov/hcp/respirators-strategy/crisis-alternate-strategies.html" </w:instrText>
      </w:r>
      <w:r>
        <w:fldChar w:fldCharType="separate"/>
      </w:r>
      <w:r>
        <w:rPr>
          <w:rStyle w:val="12"/>
          <w:color w:val="0000FF"/>
          <w:sz w:val="24"/>
          <w:lang w:eastAsia="zh-CN"/>
        </w:rPr>
        <w:t>优化N95呼吸器供应的策略：</w:t>
      </w:r>
      <w:r>
        <w:rPr>
          <w:rStyle w:val="12"/>
          <w:color w:val="0000FF"/>
          <w:sz w:val="24"/>
          <w:lang w:eastAsia="zh-CN"/>
        </w:rPr>
        <w:fldChar w:fldCharType="end"/>
      </w:r>
      <w:r>
        <w:fldChar w:fldCharType="begin"/>
      </w:r>
      <w:r>
        <w:instrText xml:space="preserve"> HYPERLINK "https://www.cdc.gov/coronavirus/2019-ncov/hcp/respirators-strategy/crisis-alternate-strategies.html" </w:instrText>
      </w:r>
      <w:r>
        <w:fldChar w:fldCharType="separate"/>
      </w:r>
      <w:r>
        <w:rPr>
          <w:rStyle w:val="12"/>
          <w:color w:val="0000FF"/>
          <w:sz w:val="24"/>
          <w:lang w:eastAsia="zh-CN"/>
        </w:rPr>
        <w:t>危机/替代策略，</w:t>
      </w:r>
      <w:r>
        <w:rPr>
          <w:rStyle w:val="12"/>
          <w:color w:val="0000FF"/>
          <w:sz w:val="24"/>
          <w:lang w:eastAsia="zh-CN"/>
        </w:rPr>
        <w:fldChar w:fldCharType="end"/>
      </w:r>
      <w:r>
        <w:fldChar w:fldCharType="begin"/>
      </w:r>
      <w:r>
        <w:instrText xml:space="preserve"> HYPERLINK \l "bookmark47" \o "当前文件" \h </w:instrText>
      </w:r>
      <w:r>
        <w:fldChar w:fldCharType="separate"/>
      </w:r>
      <w:r>
        <w:rPr>
          <w:sz w:val="24"/>
          <w:vertAlign w:val="superscript"/>
          <w:lang w:eastAsia="zh-CN"/>
        </w:rPr>
        <w:t>19</w:t>
      </w:r>
      <w:r>
        <w:rPr>
          <w:sz w:val="24"/>
          <w:lang w:eastAsia="zh-CN"/>
        </w:rPr>
        <w:t xml:space="preserve"> </w:t>
      </w:r>
      <w:r>
        <w:rPr>
          <w:sz w:val="24"/>
          <w:lang w:eastAsia="zh-CN"/>
        </w:rPr>
        <w:fldChar w:fldCharType="end"/>
      </w:r>
      <w:r>
        <w:rPr>
          <w:sz w:val="24"/>
          <w:lang w:eastAsia="zh-CN"/>
        </w:rPr>
        <w:t>作为一</w:t>
      </w:r>
      <w:r>
        <w:rPr>
          <w:rFonts w:hint="eastAsia"/>
          <w:sz w:val="24"/>
          <w:lang w:eastAsia="zh-CN"/>
        </w:rPr>
        <w:t>系列</w:t>
      </w:r>
      <w:r>
        <w:rPr>
          <w:sz w:val="24"/>
          <w:lang w:eastAsia="zh-CN"/>
        </w:rPr>
        <w:t>危机管理建议，确定了经FDA许可或NIOSH批准的N95呼吸器的替代品，这些呼吸器根据其他国家</w:t>
      </w:r>
      <w:r>
        <w:rPr>
          <w:rFonts w:hint="eastAsia"/>
          <w:sz w:val="24"/>
          <w:lang w:eastAsia="zh-CN"/>
        </w:rPr>
        <w:t>的</w:t>
      </w:r>
      <w:r>
        <w:rPr>
          <w:sz w:val="24"/>
          <w:lang w:eastAsia="zh-CN"/>
        </w:rPr>
        <w:t>标准进行批准，其中一些根据与NIOSH批准的N95呼吸器类似的方法进行评估。</w:t>
      </w:r>
    </w:p>
    <w:p w14:paraId="6600D43B">
      <w:pPr>
        <w:snapToGrid w:val="0"/>
        <w:spacing w:before="120" w:beforeLines="50"/>
        <w:jc w:val="both"/>
        <w:rPr>
          <w:sz w:val="24"/>
          <w:lang w:eastAsia="zh-CN"/>
        </w:rPr>
      </w:pPr>
      <w:r>
        <w:rPr>
          <w:sz w:val="24"/>
          <w:lang w:eastAsia="zh-CN"/>
        </w:rPr>
        <w:t>在2020年4月2日发布的本指南中，FDA在不符合某些监管要求的情况下，</w:t>
      </w:r>
      <w:r>
        <w:rPr>
          <w:rFonts w:hint="eastAsia"/>
          <w:sz w:val="24"/>
          <w:lang w:eastAsia="zh-CN"/>
        </w:rPr>
        <w:t>对</w:t>
      </w:r>
      <w:r>
        <w:rPr>
          <w:sz w:val="24"/>
          <w:lang w:eastAsia="zh-CN"/>
        </w:rPr>
        <w:t>CDC建议中确定的呼吸器的分销和使用采取灵活措施，包括在</w:t>
      </w:r>
      <w:r>
        <w:rPr>
          <w:rFonts w:hint="eastAsia"/>
          <w:sz w:val="24"/>
          <w:lang w:eastAsia="zh-CN"/>
        </w:rPr>
        <w:t>特定</w:t>
      </w:r>
      <w:r>
        <w:rPr>
          <w:sz w:val="24"/>
          <w:lang w:eastAsia="zh-CN"/>
        </w:rPr>
        <w:t>情况下</w:t>
      </w:r>
      <w:r>
        <w:rPr>
          <w:rFonts w:hint="eastAsia"/>
          <w:sz w:val="24"/>
          <w:lang w:eastAsia="zh-CN"/>
        </w:rPr>
        <w:t>的</w:t>
      </w:r>
      <w:r>
        <w:rPr>
          <w:sz w:val="24"/>
          <w:lang w:eastAsia="zh-CN"/>
        </w:rPr>
        <w:t>510(k)</w:t>
      </w:r>
      <w:r>
        <w:rPr>
          <w:rFonts w:hint="eastAsia"/>
          <w:sz w:val="24"/>
          <w:lang w:eastAsia="zh-CN"/>
        </w:rPr>
        <w:t>提交</w:t>
      </w:r>
      <w:r>
        <w:rPr>
          <w:sz w:val="24"/>
          <w:lang w:eastAsia="zh-CN"/>
        </w:rPr>
        <w:t>。FDA的政策是基于不断发展的公共卫生紧急情况和对HCP呼吸保护装置日益增长的需求，这正在迅速超过经FDA许可或NIOSH批准的呼吸器的供应。该指南还建议进口商采取适当的措施验证其进口产品的真实性。</w:t>
      </w:r>
    </w:p>
    <w:p w14:paraId="48DAC9BA">
      <w:pPr>
        <w:snapToGrid w:val="0"/>
        <w:spacing w:before="120" w:beforeLines="50"/>
        <w:jc w:val="both"/>
        <w:rPr>
          <w:sz w:val="24"/>
          <w:lang w:eastAsia="zh-CN"/>
        </w:rPr>
      </w:pPr>
      <w:r>
        <w:rPr>
          <w:sz w:val="24"/>
          <w:lang w:eastAsia="zh-CN"/>
        </w:rPr>
        <w:t>除了这项政策之外，为了应对呼吸器短缺，FDA还为FDA确定符合该法案第564节颁发标准的某些呼吸器颁发了紧急使用授权</w:t>
      </w:r>
      <w:r>
        <w:rPr>
          <w:rFonts w:hint="eastAsia"/>
          <w:sz w:val="24"/>
          <w:lang w:eastAsia="zh-CN"/>
        </w:rPr>
        <w:t>（</w:t>
      </w:r>
      <w:r>
        <w:rPr>
          <w:sz w:val="24"/>
          <w:lang w:eastAsia="zh-CN"/>
        </w:rPr>
        <w:t>EUA</w:t>
      </w:r>
      <w:r>
        <w:rPr>
          <w:rFonts w:hint="eastAsia"/>
          <w:sz w:val="24"/>
          <w:lang w:eastAsia="zh-CN"/>
        </w:rPr>
        <w:t>）</w:t>
      </w:r>
      <w:r>
        <w:rPr>
          <w:sz w:val="24"/>
          <w:lang w:eastAsia="zh-CN"/>
        </w:rPr>
        <w:t>。</w:t>
      </w:r>
      <w:r>
        <w:fldChar w:fldCharType="begin"/>
      </w:r>
      <w:r>
        <w:instrText xml:space="preserve"> HYPERLINK \l "bookmark48" \o "当前文件" \h </w:instrText>
      </w:r>
      <w:r>
        <w:fldChar w:fldCharType="separate"/>
      </w:r>
      <w:r>
        <w:rPr>
          <w:sz w:val="24"/>
          <w:vertAlign w:val="superscript"/>
          <w:lang w:eastAsia="zh-CN"/>
        </w:rPr>
        <w:t>20</w:t>
      </w:r>
      <w:r>
        <w:rPr>
          <w:sz w:val="24"/>
          <w:vertAlign w:val="superscript"/>
          <w:lang w:eastAsia="zh-CN"/>
        </w:rPr>
        <w:fldChar w:fldCharType="end"/>
      </w:r>
      <w:r>
        <w:rPr>
          <w:sz w:val="24"/>
          <w:lang w:eastAsia="zh-CN"/>
        </w:rPr>
        <w:t>当经FDA许可或NIOSH批准的呼吸器不可用时，这些EUA成功地增加了HCP呼吸器的可</w:t>
      </w:r>
      <w:r>
        <w:rPr>
          <w:rFonts w:hint="eastAsia"/>
          <w:sz w:val="24"/>
          <w:lang w:eastAsia="zh-CN"/>
        </w:rPr>
        <w:t>获得</w:t>
      </w:r>
      <w:r>
        <w:rPr>
          <w:sz w:val="24"/>
          <w:lang w:eastAsia="zh-CN"/>
        </w:rPr>
        <w:t>性。</w:t>
      </w:r>
    </w:p>
    <w:p w14:paraId="0C79CCCD">
      <w:pPr>
        <w:snapToGrid w:val="0"/>
        <w:spacing w:before="120" w:beforeLines="50"/>
        <w:jc w:val="both"/>
        <w:rPr>
          <w:sz w:val="24"/>
          <w:lang w:eastAsia="zh-CN"/>
        </w:rPr>
      </w:pPr>
      <w:r>
        <w:rPr>
          <w:sz w:val="24"/>
          <w:lang w:eastAsia="zh-CN"/>
        </w:rPr>
        <w:t>自2020年4月2日发布本指南以来，FDA已经意识到基于CDC</w:t>
      </w:r>
      <w:r>
        <w:rPr>
          <w:rFonts w:hint="eastAsia"/>
          <w:sz w:val="24"/>
          <w:lang w:eastAsia="zh-CN"/>
        </w:rPr>
        <w:t>进行</w:t>
      </w:r>
      <w:r>
        <w:rPr>
          <w:sz w:val="24"/>
          <w:lang w:eastAsia="zh-CN"/>
        </w:rPr>
        <w:t>试验的某些呼吸器</w:t>
      </w:r>
      <w:r>
        <w:rPr>
          <w:rFonts w:hint="eastAsia"/>
          <w:sz w:val="24"/>
          <w:lang w:eastAsia="zh-CN"/>
        </w:rPr>
        <w:t>存在</w:t>
      </w:r>
      <w:r>
        <w:rPr>
          <w:sz w:val="24"/>
          <w:lang w:eastAsia="zh-CN"/>
        </w:rPr>
        <w:t>性能</w:t>
      </w:r>
      <w:r>
        <w:rPr>
          <w:rFonts w:hint="eastAsia"/>
          <w:sz w:val="24"/>
          <w:lang w:eastAsia="zh-CN"/>
        </w:rPr>
        <w:t>问题</w:t>
      </w:r>
      <w:r>
        <w:rPr>
          <w:sz w:val="24"/>
          <w:lang w:eastAsia="zh-CN"/>
        </w:rPr>
        <w:t>。</w:t>
      </w:r>
      <w:r>
        <w:fldChar w:fldCharType="begin"/>
      </w:r>
      <w:r>
        <w:instrText xml:space="preserve"> HYPERLINK \l "bookmark49" \o "当前文件" \h </w:instrText>
      </w:r>
      <w:r>
        <w:fldChar w:fldCharType="separate"/>
      </w:r>
      <w:r>
        <w:rPr>
          <w:sz w:val="24"/>
          <w:vertAlign w:val="superscript"/>
          <w:lang w:eastAsia="zh-CN"/>
        </w:rPr>
        <w:t>21</w:t>
      </w:r>
      <w:r>
        <w:rPr>
          <w:sz w:val="24"/>
          <w:vertAlign w:val="superscript"/>
          <w:lang w:eastAsia="zh-CN"/>
        </w:rPr>
        <w:fldChar w:fldCharType="end"/>
      </w:r>
      <w:r>
        <w:rPr>
          <w:sz w:val="24"/>
          <w:lang w:eastAsia="zh-CN"/>
        </w:rPr>
        <w:t>这表明FDA对未经FDA许可或根据EUA授权的呼吸器进行更严格的监督对于保护公众健康非常重要。由于发生了这些变化，FDA将从2020年4月2日起停止其</w:t>
      </w:r>
      <w:r>
        <w:rPr>
          <w:rFonts w:hint="eastAsia"/>
          <w:sz w:val="24"/>
          <w:lang w:eastAsia="zh-CN"/>
        </w:rPr>
        <w:t>之</w:t>
      </w:r>
      <w:r>
        <w:rPr>
          <w:sz w:val="24"/>
          <w:lang w:eastAsia="zh-CN"/>
        </w:rPr>
        <w:t>前的政策，根据该政策，FDA</w:t>
      </w:r>
      <w:r>
        <w:rPr>
          <w:rFonts w:hint="eastAsia"/>
          <w:sz w:val="24"/>
          <w:lang w:eastAsia="zh-CN"/>
        </w:rPr>
        <w:t>不会</w:t>
      </w:r>
      <w:r>
        <w:rPr>
          <w:sz w:val="24"/>
          <w:lang w:eastAsia="zh-CN"/>
        </w:rPr>
        <w:t>反对分销和使用某些未经FDA许可或根据EUA授权且不符合其他监管要求要求的呼吸器。</w:t>
      </w:r>
    </w:p>
    <w:p w14:paraId="37B27AFD">
      <w:pPr>
        <w:snapToGrid w:val="0"/>
        <w:spacing w:before="120" w:beforeLines="50"/>
        <w:jc w:val="both"/>
        <w:rPr>
          <w:sz w:val="24"/>
        </w:rPr>
      </w:pPr>
      <w:r>
        <w:rPr>
          <w:sz w:val="24"/>
          <w:lang w:eastAsia="zh-CN"/>
        </w:rPr>
        <w:t>FDA目前认为，如果有的话，应使用经FDA许可或NIOSH</w:t>
      </w:r>
      <w:r>
        <w:rPr>
          <w:rFonts w:hint="eastAsia"/>
          <w:sz w:val="24"/>
          <w:lang w:eastAsia="zh-CN"/>
        </w:rPr>
        <w:t>批准</w:t>
      </w:r>
      <w:r>
        <w:rPr>
          <w:sz w:val="24"/>
          <w:lang w:eastAsia="zh-CN"/>
        </w:rPr>
        <w:t>的N95呼吸器；但倘若没有，FDA建议在使用任何其他替代品以前使用经FDA授权的呼吸器。这与CDC优化N95口罩供应的方法一致。FDA不建议将产品用作呼吸器，除非该产品已获得FDA许可、NIOSH批准或FDA授权紧急用作呼吸器。当</w:t>
      </w:r>
      <w:r>
        <w:rPr>
          <w:sz w:val="24"/>
          <w:u w:val="single"/>
          <w:lang w:eastAsia="zh-CN"/>
        </w:rPr>
        <w:t>口罩</w:t>
      </w:r>
      <w:r>
        <w:rPr>
          <w:sz w:val="24"/>
          <w:lang w:eastAsia="zh-CN"/>
        </w:rPr>
        <w:t>符合</w:t>
      </w:r>
      <w:r>
        <w:fldChar w:fldCharType="begin"/>
      </w:r>
      <w:r>
        <w:instrText xml:space="preserve"> HYPERLINK "https://www.fda.gov/media/137121/download" </w:instrText>
      </w:r>
      <w:r>
        <w:fldChar w:fldCharType="separate"/>
      </w:r>
      <w:r>
        <w:rPr>
          <w:rStyle w:val="12"/>
          <w:color w:val="0000FF"/>
          <w:sz w:val="24"/>
          <w:lang w:eastAsia="zh-CN"/>
        </w:rPr>
        <w:t>EUA的</w:t>
      </w:r>
      <w:r>
        <w:rPr>
          <w:rStyle w:val="12"/>
          <w:rFonts w:hint="eastAsia"/>
          <w:color w:val="0000FF"/>
          <w:sz w:val="24"/>
          <w:lang w:eastAsia="zh-CN"/>
        </w:rPr>
        <w:t>特定</w:t>
      </w:r>
      <w:r>
        <w:rPr>
          <w:rStyle w:val="12"/>
          <w:color w:val="0000FF"/>
          <w:sz w:val="24"/>
          <w:lang w:eastAsia="zh-CN"/>
        </w:rPr>
        <w:t>标准</w:t>
      </w:r>
      <w:r>
        <w:rPr>
          <w:rStyle w:val="12"/>
          <w:color w:val="auto"/>
          <w:sz w:val="24"/>
          <w:u w:val="none"/>
          <w:lang w:eastAsia="zh-CN"/>
        </w:rPr>
        <w:t>时，公众可以将此类产品用作口罩，而HCP可以将其用作</w:t>
      </w:r>
      <w:r>
        <w:rPr>
          <w:rStyle w:val="12"/>
          <w:rFonts w:hint="eastAsia"/>
          <w:color w:val="auto"/>
          <w:sz w:val="24"/>
          <w:u w:val="none"/>
          <w:lang w:eastAsia="zh-CN"/>
        </w:rPr>
        <w:t>感染源</w:t>
      </w:r>
      <w:r>
        <w:rPr>
          <w:rStyle w:val="12"/>
          <w:color w:val="auto"/>
          <w:sz w:val="24"/>
          <w:u w:val="none"/>
          <w:lang w:eastAsia="zh-CN"/>
        </w:rPr>
        <w:t>控制手段。</w:t>
      </w:r>
      <w:r>
        <w:rPr>
          <w:rStyle w:val="12"/>
          <w:color w:val="auto"/>
          <w:sz w:val="24"/>
          <w:u w:val="none"/>
          <w:lang w:eastAsia="zh-CN"/>
        </w:rPr>
        <w:fldChar w:fldCharType="end"/>
      </w:r>
      <w:r>
        <w:fldChar w:fldCharType="begin"/>
      </w:r>
      <w:r>
        <w:instrText xml:space="preserve"> HYPERLINK \l "bookmark50" \o "当前文件" \h </w:instrText>
      </w:r>
      <w:r>
        <w:fldChar w:fldCharType="separate"/>
      </w:r>
      <w:r>
        <w:rPr>
          <w:sz w:val="24"/>
          <w:vertAlign w:val="superscript"/>
          <w:lang w:eastAsia="zh-CN"/>
        </w:rPr>
        <w:t>22</w:t>
      </w:r>
      <w:r>
        <w:rPr>
          <w:sz w:val="24"/>
          <w:vertAlign w:val="superscript"/>
          <w:lang w:eastAsia="zh-CN"/>
        </w:rPr>
        <w:fldChar w:fldCharType="end"/>
      </w:r>
      <w:r>
        <w:rPr>
          <w:sz w:val="24"/>
          <w:lang w:eastAsia="zh-CN"/>
        </w:rPr>
        <w:t>在此情况下，产品应贴上相应标签，不得用作呼吸器。</w:t>
      </w:r>
      <w:r>
        <w:fldChar w:fldCharType="begin"/>
      </w:r>
      <w:r>
        <w:instrText xml:space="preserve"> HYPERLINK \l "bookmark51" \o "当前文件" \h </w:instrText>
      </w:r>
      <w:r>
        <w:fldChar w:fldCharType="separate"/>
      </w:r>
      <w:r>
        <w:rPr>
          <w:sz w:val="24"/>
          <w:vertAlign w:val="superscript"/>
          <w:lang w:eastAsia="zh-CN"/>
        </w:rPr>
        <w:t>23</w:t>
      </w:r>
      <w:r>
        <w:rPr>
          <w:sz w:val="24"/>
          <w:vertAlign w:val="superscript"/>
          <w:lang w:eastAsia="zh-CN"/>
        </w:rPr>
        <w:fldChar w:fldCharType="end"/>
      </w:r>
    </w:p>
    <w:p w14:paraId="5524FD52">
      <w:pPr>
        <w:snapToGrid w:val="0"/>
        <w:spacing w:before="120" w:beforeLines="50"/>
        <w:jc w:val="both"/>
        <w:rPr>
          <w:sz w:val="18"/>
          <w:szCs w:val="18"/>
          <w:lang w:eastAsia="zh-CN"/>
        </w:rPr>
      </w:pPr>
      <w:bookmarkStart w:id="58" w:name="bookmark47"/>
    </w:p>
    <w:p w14:paraId="07172296">
      <w:pPr>
        <w:snapToGrid w:val="0"/>
        <w:spacing w:before="120" w:beforeLines="50"/>
        <w:jc w:val="both"/>
        <w:rPr>
          <w:sz w:val="18"/>
          <w:szCs w:val="18"/>
          <w:lang w:eastAsia="zh-CN"/>
        </w:rPr>
      </w:pPr>
    </w:p>
    <w:p w14:paraId="1D968845">
      <w:pPr>
        <w:snapToGrid w:val="0"/>
        <w:spacing w:before="120" w:beforeLines="50"/>
        <w:jc w:val="both"/>
        <w:rPr>
          <w:sz w:val="18"/>
          <w:szCs w:val="18"/>
          <w:lang w:eastAsia="zh-CN"/>
        </w:rPr>
      </w:pPr>
    </w:p>
    <w:p w14:paraId="32F68640">
      <w:pPr>
        <w:snapToGrid w:val="0"/>
        <w:spacing w:before="120" w:beforeLines="50"/>
        <w:jc w:val="both"/>
        <w:rPr>
          <w:sz w:val="18"/>
          <w:szCs w:val="18"/>
          <w:lang w:eastAsia="zh-CN"/>
        </w:rPr>
      </w:pPr>
    </w:p>
    <w:p w14:paraId="36890E28">
      <w:pPr>
        <w:snapToGrid w:val="0"/>
        <w:spacing w:before="120" w:beforeLines="50"/>
        <w:jc w:val="both"/>
        <w:rPr>
          <w:sz w:val="18"/>
          <w:szCs w:val="18"/>
          <w:lang w:eastAsia="zh-CN"/>
        </w:rPr>
      </w:pPr>
    </w:p>
    <w:p w14:paraId="42F0E441">
      <w:pPr>
        <w:snapToGrid w:val="0"/>
        <w:spacing w:before="120" w:beforeLines="50"/>
        <w:jc w:val="both"/>
        <w:rPr>
          <w:sz w:val="18"/>
          <w:szCs w:val="18"/>
          <w:lang w:eastAsia="zh-CN"/>
        </w:rPr>
      </w:pPr>
    </w:p>
    <w:p w14:paraId="2E7175A5">
      <w:pPr>
        <w:snapToGrid w:val="0"/>
        <w:spacing w:before="120" w:beforeLines="50"/>
        <w:jc w:val="both"/>
        <w:rPr>
          <w:sz w:val="18"/>
          <w:szCs w:val="18"/>
          <w:lang w:eastAsia="zh-CN"/>
        </w:rPr>
      </w:pPr>
    </w:p>
    <w:p w14:paraId="51BB0139">
      <w:pPr>
        <w:snapToGrid w:val="0"/>
        <w:spacing w:before="120" w:beforeLines="50"/>
        <w:jc w:val="both"/>
        <w:rPr>
          <w:sz w:val="18"/>
          <w:szCs w:val="18"/>
          <w:lang w:eastAsia="zh-CN"/>
        </w:rPr>
      </w:pPr>
    </w:p>
    <w:p w14:paraId="0E2AD016">
      <w:pPr>
        <w:snapToGrid w:val="0"/>
        <w:spacing w:before="120" w:beforeLines="50"/>
        <w:jc w:val="both"/>
        <w:rPr>
          <w:sz w:val="18"/>
          <w:szCs w:val="18"/>
        </w:rPr>
      </w:pPr>
      <w:r>
        <w:rPr>
          <w:sz w:val="18"/>
          <w:szCs w:val="18"/>
          <w:lang w:eastAsia="zh-CN"/>
        </w:rPr>
        <w:t>_________________________</w:t>
      </w:r>
    </w:p>
    <w:p w14:paraId="1B7D9072">
      <w:pPr>
        <w:tabs>
          <w:tab w:val="left" w:pos="168"/>
        </w:tabs>
        <w:snapToGrid w:val="0"/>
        <w:spacing w:before="120" w:beforeLines="50"/>
        <w:rPr>
          <w:color w:val="0000FF"/>
          <w:sz w:val="18"/>
          <w:szCs w:val="18"/>
        </w:rPr>
      </w:pPr>
      <w:r>
        <w:rPr>
          <w:sz w:val="18"/>
          <w:szCs w:val="18"/>
          <w:vertAlign w:val="superscript"/>
          <w:lang w:eastAsia="zh-CN"/>
        </w:rPr>
        <w:t>19</w:t>
      </w:r>
      <w:r>
        <w:fldChar w:fldCharType="begin"/>
      </w:r>
      <w:r>
        <w:instrText xml:space="preserve"> HYPERLINK "https://www.cdc.gov/coronavirus/2019-ncov/hcp/respirators-strategy/crisis-alternate-strategies.html" </w:instrText>
      </w:r>
      <w:r>
        <w:fldChar w:fldCharType="separate"/>
      </w:r>
      <w:r>
        <w:rPr>
          <w:rStyle w:val="12"/>
          <w:color w:val="0000FF"/>
          <w:sz w:val="18"/>
          <w:szCs w:val="18"/>
          <w:u w:val="none"/>
          <w:lang w:eastAsia="zh-CN"/>
        </w:rPr>
        <w:tab/>
      </w:r>
      <w:r>
        <w:rPr>
          <w:rStyle w:val="12"/>
          <w:color w:val="0000FF"/>
          <w:sz w:val="18"/>
          <w:szCs w:val="18"/>
          <w:lang w:eastAsia="zh-CN"/>
        </w:rPr>
        <w:t>https://www.cdc.gov/coronavirus/2019-ncov/hcp/respirators-strategy/crisis-alternate-strategies.html.</w:t>
      </w:r>
      <w:bookmarkEnd w:id="58"/>
      <w:r>
        <w:rPr>
          <w:rStyle w:val="12"/>
          <w:color w:val="0000FF"/>
          <w:sz w:val="18"/>
          <w:szCs w:val="18"/>
          <w:lang w:eastAsia="zh-CN"/>
        </w:rPr>
        <w:fldChar w:fldCharType="end"/>
      </w:r>
    </w:p>
    <w:p w14:paraId="3B1B1E96">
      <w:pPr>
        <w:tabs>
          <w:tab w:val="left" w:pos="182"/>
        </w:tabs>
        <w:snapToGrid w:val="0"/>
        <w:spacing w:before="120" w:beforeLines="50"/>
        <w:rPr>
          <w:sz w:val="18"/>
          <w:szCs w:val="18"/>
        </w:rPr>
      </w:pPr>
      <w:bookmarkStart w:id="59" w:name="bookmark48"/>
      <w:r>
        <w:rPr>
          <w:sz w:val="18"/>
          <w:szCs w:val="18"/>
          <w:vertAlign w:val="superscript"/>
          <w:lang w:eastAsia="zh-CN"/>
        </w:rPr>
        <w:t>20</w:t>
      </w:r>
      <w:r>
        <w:rPr>
          <w:sz w:val="18"/>
          <w:szCs w:val="18"/>
          <w:lang w:eastAsia="zh-CN"/>
        </w:rPr>
        <w:tab/>
      </w:r>
      <w:r>
        <w:rPr>
          <w:sz w:val="18"/>
          <w:szCs w:val="18"/>
          <w:lang w:eastAsia="zh-CN"/>
        </w:rPr>
        <w:t>参见FDA关于紧急使用授权的网页，请访问</w:t>
      </w:r>
      <w:r>
        <w:fldChar w:fldCharType="begin"/>
      </w:r>
      <w:r>
        <w:instrText xml:space="preserve"> HYPERLINK "https://www.fda.gov/medical-devices/emergency-situations-medical-devices/emergency-use-authorizations%23covid19ppe" </w:instrText>
      </w:r>
      <w:r>
        <w:fldChar w:fldCharType="separate"/>
      </w:r>
      <w:r>
        <w:rPr>
          <w:rStyle w:val="12"/>
          <w:color w:val="0000FF"/>
          <w:sz w:val="18"/>
          <w:szCs w:val="18"/>
          <w:lang w:eastAsia="zh-CN"/>
        </w:rPr>
        <w:t>https://www.fda.gov/medical-</w:t>
      </w:r>
      <w:r>
        <w:rPr>
          <w:rStyle w:val="12"/>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"https://www.fda.gov/medical-devices/emergency-situations-medical-devices/emergency-use-authorizations%23covid19ppe" </w:instrText>
      </w:r>
      <w:r>
        <w:fldChar w:fldCharType="separate"/>
      </w:r>
      <w:r>
        <w:rPr>
          <w:rStyle w:val="12"/>
          <w:color w:val="0000FF"/>
          <w:sz w:val="18"/>
          <w:szCs w:val="18"/>
          <w:lang w:eastAsia="zh-CN"/>
        </w:rPr>
        <w:t>devices/emergencv-situations-medical-devices/emergencv-use-authorizations#covid19ppe</w:t>
      </w:r>
      <w:r>
        <w:rPr>
          <w:rStyle w:val="12"/>
          <w:color w:val="0000FF"/>
          <w:sz w:val="18"/>
          <w:szCs w:val="18"/>
          <w:lang w:eastAsia="zh-CN"/>
        </w:rPr>
        <w:fldChar w:fldCharType="end"/>
      </w:r>
      <w:r>
        <w:rPr>
          <w:color w:val="0000FF"/>
          <w:sz w:val="18"/>
          <w:szCs w:val="18"/>
          <w:lang w:eastAsia="zh-CN"/>
        </w:rPr>
        <w:t>。</w:t>
      </w:r>
      <w:bookmarkEnd w:id="59"/>
    </w:p>
    <w:p w14:paraId="1A712AAC">
      <w:pPr>
        <w:tabs>
          <w:tab w:val="left" w:pos="173"/>
        </w:tabs>
        <w:snapToGrid w:val="0"/>
        <w:spacing w:before="120" w:beforeLines="50"/>
        <w:rPr>
          <w:color w:val="0000FF"/>
          <w:sz w:val="18"/>
          <w:szCs w:val="18"/>
        </w:rPr>
      </w:pPr>
      <w:bookmarkStart w:id="60" w:name="bookmark49"/>
      <w:r>
        <w:rPr>
          <w:sz w:val="18"/>
          <w:szCs w:val="18"/>
          <w:vertAlign w:val="superscript"/>
          <w:lang w:eastAsia="zh-CN"/>
        </w:rPr>
        <w:t>21</w:t>
      </w:r>
      <w:r>
        <w:fldChar w:fldCharType="begin"/>
      </w:r>
      <w:r>
        <w:instrText xml:space="preserve"> HYPERLINK "https://www.cdc.gov/niosh/npptl/respirators/testing/NonNIOSHresults.html" </w:instrText>
      </w:r>
      <w:r>
        <w:fldChar w:fldCharType="separate"/>
      </w:r>
      <w:r>
        <w:rPr>
          <w:rStyle w:val="12"/>
          <w:color w:val="0000FF"/>
          <w:sz w:val="18"/>
          <w:szCs w:val="18"/>
          <w:u w:val="none"/>
          <w:lang w:eastAsia="zh-CN"/>
        </w:rPr>
        <w:tab/>
      </w:r>
      <w:r>
        <w:rPr>
          <w:rStyle w:val="12"/>
          <w:color w:val="0000FF"/>
          <w:sz w:val="18"/>
          <w:szCs w:val="18"/>
          <w:lang w:eastAsia="zh-CN"/>
        </w:rPr>
        <w:t>https ://www.cdc. gov/niosh/npptl/respirators/testing/NonNIOSHresults.html</w:t>
      </w:r>
      <w:r>
        <w:rPr>
          <w:rStyle w:val="12"/>
          <w:color w:val="0000FF"/>
          <w:sz w:val="18"/>
          <w:szCs w:val="18"/>
          <w:lang w:eastAsia="zh-CN"/>
        </w:rPr>
        <w:fldChar w:fldCharType="end"/>
      </w:r>
      <w:r>
        <w:rPr>
          <w:color w:val="0000FF"/>
          <w:sz w:val="18"/>
          <w:szCs w:val="18"/>
          <w:lang w:eastAsia="zh-CN"/>
        </w:rPr>
        <w:t>.</w:t>
      </w:r>
      <w:bookmarkEnd w:id="60"/>
    </w:p>
    <w:p w14:paraId="027EDB95">
      <w:pPr>
        <w:tabs>
          <w:tab w:val="left" w:pos="173"/>
        </w:tabs>
        <w:snapToGrid w:val="0"/>
        <w:spacing w:before="120" w:beforeLines="50"/>
        <w:rPr>
          <w:color w:val="0000FF"/>
          <w:sz w:val="18"/>
          <w:szCs w:val="18"/>
        </w:rPr>
      </w:pPr>
      <w:bookmarkStart w:id="61" w:name="bookmark50"/>
      <w:r>
        <w:rPr>
          <w:sz w:val="18"/>
          <w:szCs w:val="18"/>
          <w:vertAlign w:val="superscript"/>
          <w:lang w:eastAsia="zh-CN"/>
        </w:rPr>
        <w:t>22</w:t>
      </w:r>
      <w:r>
        <w:fldChar w:fldCharType="begin"/>
      </w:r>
      <w:r>
        <w:instrText xml:space="preserve"> HYPERLINK "https://www.fda.gov/media/137121/download" </w:instrText>
      </w:r>
      <w:r>
        <w:fldChar w:fldCharType="separate"/>
      </w:r>
      <w:r>
        <w:rPr>
          <w:rStyle w:val="12"/>
          <w:color w:val="0000FF"/>
          <w:sz w:val="18"/>
          <w:szCs w:val="18"/>
          <w:u w:val="none"/>
          <w:lang w:eastAsia="zh-CN"/>
        </w:rPr>
        <w:tab/>
      </w:r>
      <w:r>
        <w:rPr>
          <w:rStyle w:val="12"/>
          <w:color w:val="0000FF"/>
          <w:sz w:val="18"/>
          <w:szCs w:val="18"/>
          <w:lang w:eastAsia="zh-CN"/>
        </w:rPr>
        <w:t>https://www.fda.gov/media/137121/download</w:t>
      </w:r>
      <w:r>
        <w:rPr>
          <w:rStyle w:val="12"/>
          <w:color w:val="0000FF"/>
          <w:sz w:val="18"/>
          <w:szCs w:val="18"/>
          <w:lang w:eastAsia="zh-CN"/>
        </w:rPr>
        <w:fldChar w:fldCharType="end"/>
      </w:r>
      <w:r>
        <w:rPr>
          <w:color w:val="0000FF"/>
          <w:sz w:val="18"/>
          <w:szCs w:val="18"/>
          <w:lang w:eastAsia="zh-CN"/>
        </w:rPr>
        <w:t>.</w:t>
      </w:r>
      <w:bookmarkEnd w:id="61"/>
    </w:p>
    <w:p w14:paraId="57BAA776">
      <w:pPr>
        <w:tabs>
          <w:tab w:val="left" w:pos="187"/>
        </w:tabs>
        <w:snapToGrid w:val="0"/>
        <w:spacing w:before="120" w:beforeLines="50"/>
        <w:rPr>
          <w:bCs/>
          <w:sz w:val="18"/>
          <w:szCs w:val="18"/>
          <w:u w:val="single"/>
          <w:lang w:val="fr-FR"/>
        </w:rPr>
      </w:pPr>
      <w:bookmarkStart w:id="62" w:name="bookmark51"/>
      <w:r>
        <w:rPr>
          <w:sz w:val="18"/>
          <w:szCs w:val="18"/>
          <w:vertAlign w:val="superscript"/>
          <w:lang w:eastAsia="zh-CN"/>
        </w:rPr>
        <w:t>23</w:t>
      </w:r>
      <w:r>
        <w:rPr>
          <w:sz w:val="18"/>
          <w:szCs w:val="18"/>
          <w:lang w:eastAsia="zh-CN"/>
        </w:rPr>
        <w:tab/>
      </w:r>
      <w:r>
        <w:rPr>
          <w:rFonts w:hint="eastAsia"/>
          <w:sz w:val="18"/>
          <w:szCs w:val="18"/>
          <w:lang w:eastAsia="zh-CN"/>
        </w:rPr>
        <w:t>感染源</w:t>
      </w:r>
      <w:r>
        <w:rPr>
          <w:sz w:val="18"/>
          <w:szCs w:val="18"/>
          <w:lang w:eastAsia="zh-CN"/>
        </w:rPr>
        <w:t>控制指使用口罩或布制口罩覆盖口鼻控制个人的呼吸道分泌物，以防可能发生或未发生COVID-19症状的感染者传播病毒。另见</w:t>
      </w:r>
      <w:r>
        <w:fldChar w:fldCharType="begin"/>
      </w:r>
      <w:r>
        <w:instrText xml:space="preserve"> HYPERLINK "https://www.cdc.gov/coronavirus/2019-ncov/hcp/infection-control-recommendations.html" </w:instrText>
      </w:r>
      <w:r>
        <w:fldChar w:fldCharType="separate"/>
      </w:r>
      <w:r>
        <w:rPr>
          <w:rStyle w:val="12"/>
          <w:color w:val="0000FF"/>
          <w:sz w:val="18"/>
          <w:szCs w:val="18"/>
          <w:lang w:val="fr-FR" w:eastAsia="zh-CN"/>
        </w:rPr>
        <w:t>https://www.cdc.gov/coronavirus/2019-ncov/hcp/infection-control-</w:t>
      </w:r>
      <w:r>
        <w:rPr>
          <w:rStyle w:val="12"/>
          <w:color w:val="0000FF"/>
          <w:sz w:val="18"/>
          <w:szCs w:val="18"/>
          <w:lang w:val="fr-FR" w:eastAsia="zh-CN"/>
        </w:rPr>
        <w:fldChar w:fldCharType="end"/>
      </w:r>
      <w:r>
        <w:rPr>
          <w:color w:val="0000FF"/>
          <w:sz w:val="18"/>
          <w:szCs w:val="18"/>
          <w:u w:val="single"/>
          <w:lang w:val="fr-FR" w:eastAsia="zh-CN"/>
        </w:rPr>
        <w:t xml:space="preserve"> </w:t>
      </w:r>
      <w:r>
        <w:fldChar w:fldCharType="begin"/>
      </w:r>
      <w:r>
        <w:instrText xml:space="preserve"> HYPERLINK "https://www.cdc.gov/coronavirus/2019-ncov/hcp/infection-control-recommendations.html" </w:instrText>
      </w:r>
      <w:r>
        <w:fldChar w:fldCharType="separate"/>
      </w:r>
      <w:r>
        <w:rPr>
          <w:rStyle w:val="12"/>
          <w:color w:val="0000FF"/>
          <w:sz w:val="18"/>
          <w:szCs w:val="18"/>
          <w:lang w:val="fr-FR" w:eastAsia="zh-CN"/>
        </w:rPr>
        <w:t>recommendations.html</w:t>
      </w:r>
      <w:r>
        <w:rPr>
          <w:rStyle w:val="12"/>
          <w:color w:val="0000FF"/>
          <w:sz w:val="18"/>
          <w:szCs w:val="18"/>
          <w:lang w:val="fr-FR" w:eastAsia="zh-CN"/>
        </w:rPr>
        <w:fldChar w:fldCharType="end"/>
      </w:r>
      <w:r>
        <w:rPr>
          <w:sz w:val="18"/>
          <w:szCs w:val="18"/>
          <w:u w:val="single"/>
          <w:lang w:eastAsia="zh-CN"/>
        </w:rPr>
        <w:t>。</w:t>
      </w:r>
      <w:bookmarkEnd w:id="62"/>
    </w:p>
    <w:p w14:paraId="2EB74CE3">
      <w:pPr>
        <w:tabs>
          <w:tab w:val="left" w:pos="187"/>
        </w:tabs>
        <w:snapToGrid w:val="0"/>
        <w:spacing w:before="120" w:beforeLines="50"/>
        <w:jc w:val="both"/>
        <w:rPr>
          <w:sz w:val="24"/>
          <w:lang w:eastAsia="zh-CN"/>
        </w:rPr>
      </w:pPr>
      <w:r>
        <w:rPr>
          <w:sz w:val="24"/>
          <w:lang w:eastAsia="zh-CN"/>
        </w:rPr>
        <w:t>此外，FDA指出HCP应确保呼吸器足够适合。医院和最终使用者应该意识到，耳挂式呼吸器而非头戴式呼吸器可能很难充分贴合。如果呼吸器未充分贴合，则不应该用作呼吸保护装置。</w:t>
      </w:r>
    </w:p>
    <w:p w14:paraId="490D63FA">
      <w:pPr>
        <w:snapToGrid w:val="0"/>
        <w:spacing w:before="120" w:beforeLines="50"/>
        <w:jc w:val="both"/>
        <w:rPr>
          <w:sz w:val="24"/>
          <w:lang w:eastAsia="zh-CN"/>
        </w:rPr>
      </w:pPr>
    </w:p>
    <w:p w14:paraId="21C13A8D">
      <w:pPr>
        <w:pStyle w:val="16"/>
        <w:spacing w:before="120" w:after="120"/>
        <w:rPr>
          <w:lang w:eastAsia="zh-CN"/>
        </w:rPr>
      </w:pPr>
      <w:bookmarkStart w:id="63" w:name="bookmark53"/>
      <w:bookmarkStart w:id="64" w:name="_Toc97318326"/>
      <w:bookmarkStart w:id="65" w:name="bookmark52"/>
      <w:r>
        <w:rPr>
          <w:lang w:eastAsia="zh-CN"/>
        </w:rPr>
        <w:t xml:space="preserve">VI. </w:t>
      </w:r>
      <w:r>
        <w:rPr>
          <w:lang w:eastAsia="zh-CN"/>
        </w:rPr>
        <w:tab/>
      </w:r>
      <w:r>
        <w:rPr>
          <w:lang w:eastAsia="zh-CN"/>
        </w:rPr>
        <w:t>医用口罩、外科口罩和N95呼吸器的EUA</w:t>
      </w:r>
      <w:bookmarkEnd w:id="63"/>
      <w:bookmarkEnd w:id="64"/>
      <w:bookmarkEnd w:id="65"/>
    </w:p>
    <w:p w14:paraId="0CEFE6B4">
      <w:pPr>
        <w:snapToGrid w:val="0"/>
        <w:spacing w:before="120" w:beforeLines="50"/>
        <w:jc w:val="both"/>
        <w:rPr>
          <w:sz w:val="24"/>
          <w:lang w:eastAsia="zh-CN"/>
        </w:rPr>
      </w:pPr>
      <w:r>
        <w:rPr>
          <w:rFonts w:hint="eastAsia"/>
          <w:sz w:val="24"/>
          <w:lang w:eastAsia="zh-CN"/>
        </w:rPr>
        <w:t>只要可能</w:t>
      </w:r>
      <w:r>
        <w:rPr>
          <w:sz w:val="24"/>
          <w:lang w:eastAsia="zh-CN"/>
        </w:rPr>
        <w:t>，医疗机构应继续使用经FDA许可的外科口罩和经NIOSH批准和/或经FDA许可的N95呼吸器或更好的口罩。为了应对COVID-19疫情，FDA还发布了授权</w:t>
      </w:r>
      <w:r>
        <w:rPr>
          <w:rFonts w:hint="eastAsia"/>
          <w:sz w:val="24"/>
          <w:lang w:eastAsia="zh-CN"/>
        </w:rPr>
        <w:t>特定</w:t>
      </w:r>
      <w:r>
        <w:rPr>
          <w:sz w:val="24"/>
          <w:lang w:eastAsia="zh-CN"/>
        </w:rPr>
        <w:t>FFR的EUA，包括</w:t>
      </w:r>
      <w:r>
        <w:fldChar w:fldCharType="begin"/>
      </w:r>
      <w:r>
        <w:instrText xml:space="preserve"> HYPERLINK "https://www.fda.gov/media/135763/download" </w:instrText>
      </w:r>
      <w:r>
        <w:fldChar w:fldCharType="separate"/>
      </w:r>
      <w:r>
        <w:rPr>
          <w:rStyle w:val="12"/>
          <w:rFonts w:hint="eastAsia"/>
          <w:color w:val="0000FF"/>
          <w:sz w:val="24"/>
          <w:lang w:eastAsia="zh-CN"/>
        </w:rPr>
        <w:t>经</w:t>
      </w:r>
      <w:r>
        <w:rPr>
          <w:rStyle w:val="12"/>
          <w:color w:val="0000FF"/>
          <w:sz w:val="24"/>
          <w:lang w:eastAsia="zh-CN"/>
        </w:rPr>
        <w:t>NIOSH批准的</w:t>
      </w:r>
      <w:r>
        <w:rPr>
          <w:rStyle w:val="12"/>
          <w:color w:val="0000FF"/>
          <w:sz w:val="24"/>
          <w:lang w:eastAsia="zh-CN"/>
        </w:rPr>
        <w:fldChar w:fldCharType="end"/>
      </w:r>
      <w:r>
        <w:fldChar w:fldCharType="begin"/>
      </w:r>
      <w:r>
        <w:instrText xml:space="preserve"> HYPERLINK "https://www.fda.gov/media/135763/download" </w:instrText>
      </w:r>
      <w:r>
        <w:fldChar w:fldCharType="separate"/>
      </w:r>
      <w:r>
        <w:rPr>
          <w:rStyle w:val="12"/>
          <w:color w:val="0000FF"/>
          <w:sz w:val="24"/>
          <w:lang w:eastAsia="zh-CN"/>
        </w:rPr>
        <w:t>FFR</w:t>
      </w:r>
      <w:r>
        <w:rPr>
          <w:rStyle w:val="12"/>
          <w:rFonts w:hint="eastAsia"/>
          <w:color w:val="0000FF"/>
          <w:sz w:val="24"/>
          <w:lang w:eastAsia="zh-CN"/>
        </w:rPr>
        <w:t>、</w:t>
      </w:r>
      <w:r>
        <w:rPr>
          <w:rStyle w:val="12"/>
          <w:rFonts w:hint="eastAsia"/>
          <w:color w:val="0000FF"/>
          <w:sz w:val="24"/>
          <w:lang w:eastAsia="zh-CN"/>
        </w:rPr>
        <w:fldChar w:fldCharType="end"/>
      </w:r>
      <w:r>
        <w:fldChar w:fldCharType="begin"/>
      </w:r>
      <w:r>
        <w:instrText xml:space="preserve"> HYPERLINK \l "bookmark54" \o "当前文件" \h </w:instrText>
      </w:r>
      <w:r>
        <w:fldChar w:fldCharType="separate"/>
      </w:r>
      <w:r>
        <w:rPr>
          <w:sz w:val="24"/>
          <w:vertAlign w:val="superscript"/>
          <w:lang w:eastAsia="zh-CN"/>
        </w:rPr>
        <w:t>24</w:t>
      </w:r>
      <w:r>
        <w:rPr>
          <w:sz w:val="24"/>
          <w:vertAlign w:val="superscript"/>
          <w:lang w:eastAsia="zh-CN"/>
        </w:rPr>
        <w:fldChar w:fldCharType="end"/>
      </w:r>
      <w:r>
        <w:rPr>
          <w:rStyle w:val="12"/>
          <w:color w:val="0000FF"/>
          <w:sz w:val="24"/>
          <w:lang w:eastAsia="zh-CN"/>
        </w:rPr>
        <w:t>从中国以外的某些管辖区进口的非NIOSH批准的一次性FFR</w:t>
      </w:r>
      <w:r>
        <w:fldChar w:fldCharType="begin"/>
      </w:r>
      <w:r>
        <w:instrText xml:space="preserve"> HYPERLINK "https://www.fda.gov/media/136403/download" </w:instrText>
      </w:r>
      <w:r>
        <w:fldChar w:fldCharType="separate"/>
      </w:r>
      <w:r>
        <w:fldChar w:fldCharType="end"/>
      </w:r>
      <w:r>
        <w:fldChar w:fldCharType="begin"/>
      </w:r>
      <w:r>
        <w:instrText xml:space="preserve"> HYPERLINK \l "bookmark55" \o "当前文件" \h </w:instrText>
      </w:r>
      <w:r>
        <w:fldChar w:fldCharType="separate"/>
      </w:r>
      <w:r>
        <w:rPr>
          <w:sz w:val="24"/>
          <w:vertAlign w:val="superscript"/>
          <w:lang w:eastAsia="zh-CN"/>
        </w:rPr>
        <w:t>25</w:t>
      </w:r>
      <w:r>
        <w:rPr>
          <w:sz w:val="24"/>
          <w:vertAlign w:val="superscript"/>
          <w:lang w:eastAsia="zh-CN"/>
        </w:rPr>
        <w:fldChar w:fldCharType="end"/>
      </w:r>
      <w:r>
        <w:rPr>
          <w:sz w:val="24"/>
          <w:lang w:eastAsia="zh-CN"/>
        </w:rPr>
        <w:t>和</w:t>
      </w:r>
      <w:r>
        <w:fldChar w:fldCharType="begin"/>
      </w:r>
      <w:r>
        <w:instrText xml:space="preserve"> HYPERLINK "https://www.fda.gov/media/136664/download" </w:instrText>
      </w:r>
      <w:r>
        <w:fldChar w:fldCharType="separate"/>
      </w:r>
      <w:r>
        <w:rPr>
          <w:rStyle w:val="12"/>
          <w:color w:val="0000FF"/>
          <w:sz w:val="24"/>
          <w:lang w:eastAsia="zh-CN"/>
        </w:rPr>
        <w:t>中国生产的未经NIOSH批准的一次性FFR，</w:t>
      </w:r>
      <w:r>
        <w:rPr>
          <w:rStyle w:val="12"/>
          <w:color w:val="0000FF"/>
          <w:sz w:val="24"/>
          <w:lang w:eastAsia="zh-CN"/>
        </w:rPr>
        <w:fldChar w:fldCharType="end"/>
      </w:r>
      <w:r>
        <w:fldChar w:fldCharType="begin"/>
      </w:r>
      <w:r>
        <w:instrText xml:space="preserve"> HYPERLINK \l "bookmark56" \o "当前文件" \h </w:instrText>
      </w:r>
      <w:r>
        <w:fldChar w:fldCharType="separate"/>
      </w:r>
      <w:r>
        <w:rPr>
          <w:sz w:val="24"/>
          <w:vertAlign w:val="superscript"/>
          <w:lang w:eastAsia="zh-CN"/>
        </w:rPr>
        <w:t>26</w:t>
      </w:r>
      <w:r>
        <w:rPr>
          <w:sz w:val="24"/>
          <w:vertAlign w:val="superscript"/>
          <w:lang w:eastAsia="zh-CN"/>
        </w:rPr>
        <w:fldChar w:fldCharType="end"/>
      </w:r>
      <w:r>
        <w:rPr>
          <w:sz w:val="24"/>
          <w:lang w:eastAsia="zh-CN"/>
        </w:rPr>
        <w:t>供HCP在医疗机构中使用。这些EUA旨在帮助在突发公共卫生事件期间增加这些设备对一线人员的可</w:t>
      </w:r>
      <w:r>
        <w:rPr>
          <w:rFonts w:hint="eastAsia"/>
          <w:sz w:val="24"/>
          <w:lang w:eastAsia="zh-CN"/>
        </w:rPr>
        <w:t>获得</w:t>
      </w:r>
      <w:r>
        <w:rPr>
          <w:sz w:val="24"/>
          <w:lang w:eastAsia="zh-CN"/>
        </w:rPr>
        <w:t>性。FDA还发布了</w:t>
      </w:r>
      <w:r>
        <w:fldChar w:fldCharType="begin"/>
      </w:r>
      <w:r>
        <w:instrText xml:space="preserve"> HYPERLINK "https://www.fda.gov/media/137121/download" </w:instrText>
      </w:r>
      <w:r>
        <w:fldChar w:fldCharType="separate"/>
      </w:r>
      <w:r>
        <w:rPr>
          <w:rStyle w:val="12"/>
          <w:color w:val="0000FF"/>
          <w:sz w:val="24"/>
          <w:lang w:eastAsia="zh-CN"/>
        </w:rPr>
        <w:t>口罩</w:t>
      </w:r>
      <w:r>
        <w:rPr>
          <w:rStyle w:val="12"/>
          <w:color w:val="0000FF"/>
          <w:sz w:val="24"/>
          <w:lang w:eastAsia="zh-CN"/>
        </w:rPr>
        <w:fldChar w:fldCharType="end"/>
      </w:r>
      <w:r>
        <w:rPr>
          <w:rStyle w:val="12"/>
          <w:color w:val="0000FF"/>
          <w:sz w:val="24"/>
          <w:lang w:eastAsia="zh-CN"/>
        </w:rPr>
        <w:t>EUA</w:t>
      </w:r>
      <w:r>
        <w:fldChar w:fldCharType="begin"/>
      </w:r>
      <w:r>
        <w:instrText xml:space="preserve"> HYPERLINK \l "bookmark57" \o "当前文件" \h </w:instrText>
      </w:r>
      <w:r>
        <w:fldChar w:fldCharType="separate"/>
      </w:r>
      <w:r>
        <w:rPr>
          <w:sz w:val="24"/>
          <w:vertAlign w:val="superscript"/>
          <w:lang w:eastAsia="zh-CN"/>
        </w:rPr>
        <w:t>27</w:t>
      </w:r>
      <w:r>
        <w:rPr>
          <w:sz w:val="24"/>
          <w:vertAlign w:val="superscript"/>
          <w:lang w:eastAsia="zh-CN"/>
        </w:rPr>
        <w:fldChar w:fldCharType="end"/>
      </w:r>
      <w:r>
        <w:rPr>
          <w:sz w:val="24"/>
          <w:lang w:eastAsia="zh-CN"/>
        </w:rPr>
        <w:t>供公众和HCP用作</w:t>
      </w:r>
      <w:r>
        <w:rPr>
          <w:rFonts w:hint="eastAsia"/>
          <w:sz w:val="24"/>
          <w:lang w:eastAsia="zh-CN"/>
        </w:rPr>
        <w:t>感染源</w:t>
      </w:r>
      <w:r>
        <w:rPr>
          <w:sz w:val="24"/>
          <w:lang w:eastAsia="zh-CN"/>
        </w:rPr>
        <w:t>控制。</w:t>
      </w:r>
    </w:p>
    <w:p w14:paraId="6A7232B2">
      <w:pPr>
        <w:snapToGrid w:val="0"/>
        <w:spacing w:before="120" w:beforeLines="50"/>
        <w:jc w:val="both"/>
        <w:rPr>
          <w:sz w:val="24"/>
          <w:lang w:eastAsia="zh-CN"/>
        </w:rPr>
      </w:pPr>
      <w:r>
        <w:rPr>
          <w:sz w:val="24"/>
          <w:lang w:eastAsia="zh-CN"/>
        </w:rPr>
        <w:t>对于不属于这些EUA范围的器械，FDA</w:t>
      </w:r>
      <w:r>
        <w:rPr>
          <w:rFonts w:hint="eastAsia"/>
          <w:sz w:val="24"/>
          <w:lang w:eastAsia="zh-CN"/>
        </w:rPr>
        <w:t>想要</w:t>
      </w:r>
      <w:r>
        <w:rPr>
          <w:sz w:val="24"/>
          <w:lang w:eastAsia="zh-CN"/>
        </w:rPr>
        <w:t>与制造商</w:t>
      </w:r>
      <w:r>
        <w:rPr>
          <w:rFonts w:hint="eastAsia"/>
          <w:sz w:val="24"/>
          <w:lang w:eastAsia="zh-CN"/>
        </w:rPr>
        <w:t>合作开展额外的</w:t>
      </w:r>
      <w:r>
        <w:rPr>
          <w:sz w:val="24"/>
          <w:lang w:eastAsia="zh-CN"/>
        </w:rPr>
        <w:t>特定器械EUA。这可能包括目前在美国未合法销售口罩和呼吸器的制造商，以及以前没有制造</w:t>
      </w:r>
      <w:r>
        <w:rPr>
          <w:rFonts w:hint="eastAsia"/>
          <w:sz w:val="24"/>
          <w:lang w:eastAsia="zh-CN"/>
        </w:rPr>
        <w:t>口罩或呼吸器但具备能力的制造商以</w:t>
      </w:r>
      <w:r>
        <w:rPr>
          <w:sz w:val="24"/>
          <w:lang w:eastAsia="zh-CN"/>
        </w:rPr>
        <w:t>增加这些器械</w:t>
      </w:r>
      <w:r>
        <w:rPr>
          <w:rFonts w:hint="eastAsia"/>
          <w:sz w:val="24"/>
          <w:lang w:eastAsia="zh-CN"/>
        </w:rPr>
        <w:t>的</w:t>
      </w:r>
      <w:r>
        <w:rPr>
          <w:sz w:val="24"/>
          <w:lang w:eastAsia="zh-CN"/>
        </w:rPr>
        <w:t>供应。</w:t>
      </w:r>
    </w:p>
    <w:p w14:paraId="3A0FD66B">
      <w:pPr>
        <w:snapToGrid w:val="0"/>
        <w:spacing w:before="120" w:beforeLines="50"/>
        <w:jc w:val="both"/>
        <w:rPr>
          <w:sz w:val="24"/>
          <w:lang w:eastAsia="zh-CN"/>
        </w:rPr>
      </w:pPr>
      <w:r>
        <w:rPr>
          <w:sz w:val="24"/>
          <w:lang w:eastAsia="zh-CN"/>
        </w:rPr>
        <w:t>如果此类制造商（无论是国外的还是国内的）向FDA发送以下信息到</w:t>
      </w:r>
      <w:r>
        <w:fldChar w:fldCharType="begin"/>
      </w:r>
      <w:r>
        <w:instrText xml:space="preserve"> HYPERLINK "mailto:CDRH-COVID19-SurgicalMasks@fda.hhs.gov；FDA会认为它有所帮助；" </w:instrText>
      </w:r>
      <w:r>
        <w:fldChar w:fldCharType="separate"/>
      </w:r>
      <w:r>
        <w:rPr>
          <w:rStyle w:val="12"/>
          <w:sz w:val="24"/>
          <w:lang w:eastAsia="zh-CN"/>
        </w:rPr>
        <w:t>CDRH-COVID19-SurgicalMasks@fda.hhs.gov</w:t>
      </w:r>
      <w:r>
        <w:rPr>
          <w:rStyle w:val="12"/>
          <w:rFonts w:hint="eastAsia"/>
          <w:sz w:val="24"/>
          <w:lang w:eastAsia="zh-CN"/>
        </w:rPr>
        <w:t>；</w:t>
      </w:r>
      <w:r>
        <w:rPr>
          <w:rStyle w:val="12"/>
          <w:sz w:val="24"/>
          <w:lang w:eastAsia="zh-CN"/>
        </w:rPr>
        <w:t xml:space="preserve"> </w:t>
      </w:r>
      <w:r>
        <w:rPr>
          <w:rStyle w:val="12"/>
          <w:sz w:val="24"/>
          <w:lang w:eastAsia="zh-CN"/>
        </w:rPr>
        <w:fldChar w:fldCharType="end"/>
      </w:r>
      <w:r>
        <w:rPr>
          <w:sz w:val="24"/>
          <w:lang w:eastAsia="zh-CN"/>
        </w:rPr>
        <w:t>FDA认为</w:t>
      </w:r>
      <w:r>
        <w:rPr>
          <w:rFonts w:hint="eastAsia"/>
          <w:sz w:val="24"/>
          <w:lang w:eastAsia="zh-CN"/>
        </w:rPr>
        <w:t>该</w:t>
      </w:r>
      <w:r>
        <w:rPr>
          <w:sz w:val="24"/>
          <w:lang w:eastAsia="zh-CN"/>
        </w:rPr>
        <w:t>信息对于评估器械是否能够满足EUA要求非常有</w:t>
      </w:r>
      <w:r>
        <w:rPr>
          <w:rFonts w:hint="eastAsia"/>
          <w:sz w:val="24"/>
          <w:lang w:eastAsia="zh-CN"/>
        </w:rPr>
        <w:t>用</w:t>
      </w:r>
      <w:r>
        <w:rPr>
          <w:sz w:val="24"/>
          <w:lang w:eastAsia="zh-CN"/>
        </w:rPr>
        <w:t>。FDA认为公司可能已经有可用信息来帮助支持EUA申请，例如下面概述的信息。FDA将迅速审查</w:t>
      </w:r>
      <w:r>
        <w:rPr>
          <w:rFonts w:hint="eastAsia"/>
          <w:sz w:val="24"/>
          <w:lang w:eastAsia="zh-CN"/>
        </w:rPr>
        <w:t>该</w:t>
      </w:r>
      <w:r>
        <w:rPr>
          <w:sz w:val="24"/>
          <w:lang w:eastAsia="zh-CN"/>
        </w:rPr>
        <w:t>信息和其他所需信息，</w:t>
      </w:r>
      <w:r>
        <w:fldChar w:fldCharType="begin"/>
      </w:r>
      <w:r>
        <w:instrText xml:space="preserve"> HYPERLINK \l "bookmark58" \o "Current Document" \h </w:instrText>
      </w:r>
      <w:r>
        <w:fldChar w:fldCharType="separate"/>
      </w:r>
      <w:r>
        <w:rPr>
          <w:sz w:val="24"/>
          <w:vertAlign w:val="superscript"/>
          <w:lang w:eastAsia="zh-CN"/>
        </w:rPr>
        <w:t>28</w:t>
      </w:r>
      <w:r>
        <w:rPr>
          <w:sz w:val="24"/>
          <w:vertAlign w:val="superscript"/>
          <w:lang w:eastAsia="zh-CN"/>
        </w:rPr>
        <w:fldChar w:fldCharType="end"/>
      </w:r>
      <w:r>
        <w:rPr>
          <w:sz w:val="24"/>
          <w:lang w:eastAsia="zh-CN"/>
        </w:rPr>
        <w:t>以确定该器械是否可以根据EUA获得授权。</w:t>
      </w:r>
    </w:p>
    <w:p w14:paraId="0CA1951A">
      <w:pPr>
        <w:pStyle w:val="27"/>
        <w:spacing w:before="120"/>
        <w:ind w:left="911" w:hanging="487"/>
        <w:rPr>
          <w:sz w:val="24"/>
          <w:lang w:eastAsia="zh-CN"/>
        </w:rPr>
      </w:pPr>
      <w:r>
        <w:rPr>
          <w:sz w:val="24"/>
          <w:lang w:eastAsia="zh-CN"/>
        </w:rPr>
        <w:t>1）</w:t>
      </w:r>
      <w:r>
        <w:rPr>
          <w:sz w:val="24"/>
          <w:lang w:eastAsia="zh-CN"/>
        </w:rPr>
        <w:tab/>
      </w:r>
      <w:r>
        <w:rPr>
          <w:sz w:val="24"/>
          <w:lang w:eastAsia="zh-CN"/>
        </w:rPr>
        <w:t>对于目前未在美国销售口罩和呼吸器产品的制造商，FDA建议提供以下信息：</w:t>
      </w:r>
    </w:p>
    <w:p w14:paraId="2DE1ABD6">
      <w:pPr>
        <w:pStyle w:val="21"/>
        <w:spacing w:before="120"/>
        <w:ind w:left="1619" w:hanging="487"/>
        <w:rPr>
          <w:sz w:val="24"/>
          <w:szCs w:val="24"/>
          <w:lang w:eastAsia="zh-CN"/>
        </w:rPr>
      </w:pPr>
      <w:r>
        <w:rPr>
          <w:sz w:val="24"/>
          <w:szCs w:val="24"/>
          <w:lang w:eastAsia="zh-CN"/>
        </w:rPr>
        <w:t xml:space="preserve">a. </w:t>
      </w:r>
      <w:r>
        <w:rPr>
          <w:sz w:val="24"/>
          <w:szCs w:val="24"/>
          <w:lang w:eastAsia="zh-CN"/>
        </w:rPr>
        <w:tab/>
      </w:r>
      <w:r>
        <w:rPr>
          <w:sz w:val="24"/>
          <w:szCs w:val="24"/>
          <w:lang w:eastAsia="zh-CN"/>
        </w:rPr>
        <w:t>在您所在的国家（或地区），除有关器械的一般信息（例如专有或品牌名称、型号和上市许可）以外，诸如您的联系信息、公司名称及营业地点、美国机构的电子邮箱和联系信息（如果有）等一般信息。</w:t>
      </w:r>
    </w:p>
    <w:p w14:paraId="4589FCB8">
      <w:pPr>
        <w:pStyle w:val="21"/>
        <w:spacing w:before="120"/>
        <w:ind w:left="1619" w:hanging="487"/>
        <w:rPr>
          <w:sz w:val="24"/>
          <w:szCs w:val="24"/>
          <w:lang w:eastAsia="zh-CN"/>
        </w:rPr>
      </w:pPr>
      <w:r>
        <w:rPr>
          <w:sz w:val="24"/>
          <w:szCs w:val="24"/>
          <w:lang w:eastAsia="zh-CN"/>
        </w:rPr>
        <w:t xml:space="preserve">b. </w:t>
      </w:r>
      <w:r>
        <w:rPr>
          <w:sz w:val="24"/>
          <w:szCs w:val="24"/>
          <w:lang w:eastAsia="zh-CN"/>
        </w:rPr>
        <w:tab/>
      </w:r>
      <w:r>
        <w:rPr>
          <w:sz w:val="24"/>
          <w:szCs w:val="24"/>
          <w:lang w:eastAsia="zh-CN"/>
        </w:rPr>
        <w:t>产品</w:t>
      </w:r>
      <w:r>
        <w:rPr>
          <w:rFonts w:hint="eastAsia"/>
          <w:sz w:val="24"/>
          <w:szCs w:val="24"/>
          <w:lang w:eastAsia="zh-CN"/>
        </w:rPr>
        <w:t>说明书</w:t>
      </w:r>
      <w:r>
        <w:rPr>
          <w:sz w:val="24"/>
          <w:szCs w:val="24"/>
          <w:lang w:eastAsia="zh-CN"/>
        </w:rPr>
        <w:t>的副本。</w:t>
      </w:r>
    </w:p>
    <w:p w14:paraId="59B0FFBA">
      <w:pPr>
        <w:pStyle w:val="21"/>
        <w:spacing w:before="120"/>
        <w:ind w:left="1619" w:hanging="487"/>
        <w:rPr>
          <w:sz w:val="24"/>
          <w:szCs w:val="24"/>
          <w:lang w:eastAsia="zh-CN"/>
        </w:rPr>
      </w:pPr>
      <w:r>
        <w:rPr>
          <w:sz w:val="24"/>
          <w:szCs w:val="24"/>
          <w:lang w:eastAsia="zh-CN"/>
        </w:rPr>
        <w:t xml:space="preserve">c. </w:t>
      </w:r>
      <w:r>
        <w:rPr>
          <w:sz w:val="24"/>
          <w:szCs w:val="24"/>
          <w:lang w:eastAsia="zh-CN"/>
        </w:rPr>
        <w:tab/>
      </w:r>
      <w:r>
        <w:rPr>
          <w:sz w:val="24"/>
          <w:szCs w:val="24"/>
          <w:lang w:eastAsia="zh-CN"/>
        </w:rPr>
        <w:t>该器械目前是否已在另一个监管管辖区获得上市许可，（如果有，包括认证编号）。</w:t>
      </w:r>
    </w:p>
    <w:p w14:paraId="764F5716">
      <w:pPr>
        <w:snapToGrid w:val="0"/>
        <w:spacing w:before="120" w:beforeLines="50"/>
        <w:jc w:val="both"/>
        <w:rPr>
          <w:sz w:val="24"/>
          <w:lang w:eastAsia="zh-CN"/>
        </w:rPr>
      </w:pPr>
      <w:bookmarkStart w:id="66" w:name="bookmark54"/>
    </w:p>
    <w:p w14:paraId="5CCCE2FF">
      <w:pPr>
        <w:snapToGrid w:val="0"/>
        <w:spacing w:before="120" w:beforeLines="50"/>
        <w:jc w:val="both"/>
        <w:rPr>
          <w:sz w:val="18"/>
          <w:szCs w:val="18"/>
          <w:lang w:eastAsia="zh-CN"/>
        </w:rPr>
      </w:pPr>
    </w:p>
    <w:p w14:paraId="3B2D4227">
      <w:pPr>
        <w:snapToGrid w:val="0"/>
        <w:spacing w:before="120" w:beforeLines="50"/>
        <w:jc w:val="both"/>
        <w:rPr>
          <w:sz w:val="18"/>
          <w:szCs w:val="18"/>
          <w:lang w:eastAsia="zh-CN"/>
        </w:rPr>
      </w:pPr>
    </w:p>
    <w:p w14:paraId="524FB320">
      <w:pPr>
        <w:snapToGrid w:val="0"/>
        <w:spacing w:before="120" w:beforeLines="50"/>
        <w:jc w:val="both"/>
        <w:rPr>
          <w:sz w:val="18"/>
          <w:szCs w:val="18"/>
        </w:rPr>
      </w:pPr>
      <w:r>
        <w:rPr>
          <w:sz w:val="18"/>
          <w:szCs w:val="18"/>
          <w:lang w:eastAsia="zh-CN"/>
        </w:rPr>
        <w:t>_________________________</w:t>
      </w:r>
    </w:p>
    <w:p w14:paraId="5697AE1D">
      <w:pPr>
        <w:tabs>
          <w:tab w:val="left" w:pos="173"/>
        </w:tabs>
        <w:snapToGrid w:val="0"/>
        <w:spacing w:before="120" w:beforeLines="50"/>
        <w:jc w:val="both"/>
        <w:rPr>
          <w:color w:val="0000FF"/>
          <w:sz w:val="18"/>
          <w:szCs w:val="18"/>
        </w:rPr>
      </w:pPr>
      <w:r>
        <w:rPr>
          <w:sz w:val="18"/>
          <w:szCs w:val="18"/>
          <w:vertAlign w:val="superscript"/>
          <w:lang w:eastAsia="zh-CN"/>
        </w:rPr>
        <w:t>24</w:t>
      </w:r>
      <w:r>
        <w:fldChar w:fldCharType="begin"/>
      </w:r>
      <w:r>
        <w:instrText xml:space="preserve"> HYPERLINK "https://www.fda.gov/media/135763/download" </w:instrText>
      </w:r>
      <w:r>
        <w:fldChar w:fldCharType="separate"/>
      </w:r>
      <w:r>
        <w:rPr>
          <w:rStyle w:val="12"/>
          <w:color w:val="0000FF"/>
          <w:sz w:val="18"/>
          <w:szCs w:val="18"/>
          <w:u w:val="none"/>
          <w:lang w:eastAsia="zh-CN"/>
        </w:rPr>
        <w:tab/>
      </w:r>
      <w:r>
        <w:rPr>
          <w:rStyle w:val="12"/>
          <w:color w:val="0000FF"/>
          <w:sz w:val="18"/>
          <w:szCs w:val="18"/>
          <w:lang w:eastAsia="zh-CN"/>
        </w:rPr>
        <w:t>https://www.fda.gov/media/135763/download</w:t>
      </w:r>
      <w:bookmarkEnd w:id="66"/>
      <w:r>
        <w:rPr>
          <w:rStyle w:val="12"/>
          <w:color w:val="0000FF"/>
          <w:sz w:val="18"/>
          <w:szCs w:val="18"/>
          <w:lang w:eastAsia="zh-CN"/>
        </w:rPr>
        <w:fldChar w:fldCharType="end"/>
      </w:r>
    </w:p>
    <w:p w14:paraId="13FF600F">
      <w:pPr>
        <w:tabs>
          <w:tab w:val="left" w:pos="173"/>
        </w:tabs>
        <w:snapToGrid w:val="0"/>
        <w:spacing w:before="120" w:beforeLines="50"/>
        <w:jc w:val="both"/>
        <w:rPr>
          <w:color w:val="0000FF"/>
          <w:sz w:val="18"/>
          <w:szCs w:val="18"/>
        </w:rPr>
      </w:pPr>
      <w:bookmarkStart w:id="67" w:name="bookmark55"/>
      <w:r>
        <w:rPr>
          <w:sz w:val="18"/>
          <w:szCs w:val="18"/>
          <w:vertAlign w:val="superscript"/>
          <w:lang w:eastAsia="zh-CN"/>
        </w:rPr>
        <w:t>25</w:t>
      </w:r>
      <w:r>
        <w:fldChar w:fldCharType="begin"/>
      </w:r>
      <w:r>
        <w:instrText xml:space="preserve"> HYPERLINK "https://www.fda.gov/media/136403/download" </w:instrText>
      </w:r>
      <w:r>
        <w:fldChar w:fldCharType="separate"/>
      </w:r>
      <w:r>
        <w:rPr>
          <w:rStyle w:val="12"/>
          <w:color w:val="0000FF"/>
          <w:sz w:val="18"/>
          <w:szCs w:val="18"/>
          <w:u w:val="none"/>
          <w:lang w:eastAsia="zh-CN"/>
        </w:rPr>
        <w:tab/>
      </w:r>
      <w:r>
        <w:rPr>
          <w:rStyle w:val="12"/>
          <w:color w:val="0000FF"/>
          <w:sz w:val="18"/>
          <w:szCs w:val="18"/>
          <w:lang w:eastAsia="zh-CN"/>
        </w:rPr>
        <w:t>https://www.fda.gov/media/136403/download</w:t>
      </w:r>
      <w:bookmarkEnd w:id="67"/>
      <w:r>
        <w:rPr>
          <w:rStyle w:val="12"/>
          <w:color w:val="0000FF"/>
          <w:sz w:val="18"/>
          <w:szCs w:val="18"/>
          <w:lang w:eastAsia="zh-CN"/>
        </w:rPr>
        <w:fldChar w:fldCharType="end"/>
      </w:r>
    </w:p>
    <w:p w14:paraId="4714EAE7">
      <w:pPr>
        <w:tabs>
          <w:tab w:val="left" w:pos="173"/>
        </w:tabs>
        <w:snapToGrid w:val="0"/>
        <w:spacing w:before="120" w:beforeLines="50"/>
        <w:jc w:val="both"/>
        <w:rPr>
          <w:color w:val="0000FF"/>
          <w:sz w:val="18"/>
          <w:szCs w:val="18"/>
        </w:rPr>
      </w:pPr>
      <w:bookmarkStart w:id="68" w:name="bookmark56"/>
      <w:r>
        <w:rPr>
          <w:sz w:val="18"/>
          <w:szCs w:val="18"/>
          <w:vertAlign w:val="superscript"/>
          <w:lang w:eastAsia="zh-CN"/>
        </w:rPr>
        <w:t>26</w:t>
      </w:r>
      <w:r>
        <w:fldChar w:fldCharType="begin"/>
      </w:r>
      <w:r>
        <w:instrText xml:space="preserve"> HYPERLINK "https://www.fda.gov/media/136664/download" </w:instrText>
      </w:r>
      <w:r>
        <w:fldChar w:fldCharType="separate"/>
      </w:r>
      <w:r>
        <w:rPr>
          <w:rStyle w:val="12"/>
          <w:color w:val="0000FF"/>
          <w:sz w:val="18"/>
          <w:szCs w:val="18"/>
          <w:u w:val="none"/>
          <w:lang w:eastAsia="zh-CN"/>
        </w:rPr>
        <w:tab/>
      </w:r>
      <w:r>
        <w:rPr>
          <w:rStyle w:val="12"/>
          <w:color w:val="0000FF"/>
          <w:sz w:val="18"/>
          <w:szCs w:val="18"/>
          <w:lang w:eastAsia="zh-CN"/>
        </w:rPr>
        <w:t>https://www.fda.gov/media/136664/download</w:t>
      </w:r>
      <w:bookmarkEnd w:id="68"/>
      <w:r>
        <w:rPr>
          <w:rStyle w:val="12"/>
          <w:color w:val="0000FF"/>
          <w:sz w:val="18"/>
          <w:szCs w:val="18"/>
          <w:lang w:eastAsia="zh-CN"/>
        </w:rPr>
        <w:fldChar w:fldCharType="end"/>
      </w:r>
    </w:p>
    <w:p w14:paraId="08847664">
      <w:pPr>
        <w:tabs>
          <w:tab w:val="left" w:pos="173"/>
        </w:tabs>
        <w:snapToGrid w:val="0"/>
        <w:spacing w:before="120" w:beforeLines="50"/>
        <w:jc w:val="both"/>
        <w:rPr>
          <w:color w:val="0000FF"/>
          <w:sz w:val="18"/>
          <w:szCs w:val="18"/>
        </w:rPr>
      </w:pPr>
      <w:bookmarkStart w:id="69" w:name="bookmark57"/>
      <w:r>
        <w:rPr>
          <w:sz w:val="18"/>
          <w:szCs w:val="18"/>
          <w:vertAlign w:val="superscript"/>
          <w:lang w:eastAsia="zh-CN"/>
        </w:rPr>
        <w:t>27</w:t>
      </w:r>
      <w:r>
        <w:fldChar w:fldCharType="begin"/>
      </w:r>
      <w:r>
        <w:instrText xml:space="preserve"> HYPERLINK "https://www.fda.gov/media/137121/download" </w:instrText>
      </w:r>
      <w:r>
        <w:fldChar w:fldCharType="separate"/>
      </w:r>
      <w:r>
        <w:rPr>
          <w:rStyle w:val="12"/>
          <w:color w:val="0000FF"/>
          <w:sz w:val="18"/>
          <w:szCs w:val="18"/>
          <w:u w:val="none"/>
          <w:lang w:eastAsia="zh-CN"/>
        </w:rPr>
        <w:tab/>
      </w:r>
      <w:r>
        <w:rPr>
          <w:rStyle w:val="12"/>
          <w:color w:val="0000FF"/>
          <w:sz w:val="18"/>
          <w:szCs w:val="18"/>
          <w:lang w:eastAsia="zh-CN"/>
        </w:rPr>
        <w:t>https://www.fda.gov/media/137121/download</w:t>
      </w:r>
      <w:bookmarkEnd w:id="69"/>
      <w:r>
        <w:rPr>
          <w:rStyle w:val="12"/>
          <w:color w:val="0000FF"/>
          <w:sz w:val="18"/>
          <w:szCs w:val="18"/>
          <w:lang w:eastAsia="zh-CN"/>
        </w:rPr>
        <w:fldChar w:fldCharType="end"/>
      </w:r>
    </w:p>
    <w:p w14:paraId="5CBE7EF7">
      <w:pPr>
        <w:tabs>
          <w:tab w:val="left" w:pos="182"/>
        </w:tabs>
        <w:snapToGrid w:val="0"/>
        <w:spacing w:before="120" w:beforeLines="50"/>
        <w:jc w:val="both"/>
        <w:rPr>
          <w:bCs/>
          <w:sz w:val="18"/>
          <w:szCs w:val="18"/>
          <w:lang w:eastAsia="zh-CN"/>
        </w:rPr>
      </w:pPr>
      <w:bookmarkStart w:id="70" w:name="bookmark58"/>
      <w:r>
        <w:rPr>
          <w:sz w:val="18"/>
          <w:szCs w:val="18"/>
          <w:vertAlign w:val="superscript"/>
          <w:lang w:eastAsia="zh-CN"/>
        </w:rPr>
        <w:t>28</w:t>
      </w:r>
      <w:r>
        <w:rPr>
          <w:sz w:val="18"/>
          <w:szCs w:val="18"/>
          <w:lang w:eastAsia="zh-CN"/>
        </w:rPr>
        <w:tab/>
      </w:r>
      <w:r>
        <w:rPr>
          <w:sz w:val="18"/>
          <w:szCs w:val="18"/>
          <w:lang w:eastAsia="zh-CN"/>
        </w:rPr>
        <w:t>参见《FD&amp;C法案》第564节。</w:t>
      </w:r>
      <w:bookmarkEnd w:id="70"/>
    </w:p>
    <w:p w14:paraId="1319C31E">
      <w:pPr>
        <w:tabs>
          <w:tab w:val="left" w:pos="182"/>
        </w:tabs>
        <w:snapToGrid w:val="0"/>
        <w:spacing w:before="120" w:beforeLines="50"/>
        <w:jc w:val="both"/>
        <w:rPr>
          <w:lang w:eastAsia="zh-CN"/>
        </w:rPr>
      </w:pPr>
      <w:r>
        <w:rPr>
          <w:lang w:eastAsia="zh-CN"/>
        </w:rPr>
        <w:br w:type="page"/>
      </w:r>
    </w:p>
    <w:p w14:paraId="5E5F1343">
      <w:pPr>
        <w:pStyle w:val="21"/>
        <w:spacing w:before="120"/>
        <w:ind w:left="1619" w:hanging="487"/>
        <w:rPr>
          <w:sz w:val="24"/>
          <w:szCs w:val="24"/>
          <w:lang w:eastAsia="zh-CN"/>
        </w:rPr>
      </w:pPr>
      <w:r>
        <w:rPr>
          <w:sz w:val="24"/>
          <w:szCs w:val="24"/>
          <w:lang w:eastAsia="zh-CN"/>
        </w:rPr>
        <w:t>d.</w:t>
      </w:r>
      <w:r>
        <w:rPr>
          <w:sz w:val="24"/>
          <w:szCs w:val="24"/>
          <w:lang w:eastAsia="zh-CN"/>
        </w:rPr>
        <w:tab/>
      </w:r>
      <w:r>
        <w:rPr>
          <w:sz w:val="24"/>
          <w:szCs w:val="24"/>
          <w:lang w:eastAsia="zh-CN"/>
        </w:rPr>
        <w:t>器械的制造是否符合21 CFR 820或ISO 13485：</w:t>
      </w:r>
      <w:r>
        <w:rPr>
          <w:i/>
          <w:iCs/>
          <w:sz w:val="24"/>
          <w:szCs w:val="24"/>
          <w:lang w:eastAsia="zh-CN"/>
        </w:rPr>
        <w:t>医疗器械</w:t>
      </w:r>
      <w:r>
        <w:rPr>
          <w:rFonts w:hint="eastAsia"/>
          <w:i/>
          <w:iCs/>
          <w:sz w:val="24"/>
          <w:szCs w:val="24"/>
          <w:lang w:eastAsia="zh-CN"/>
        </w:rPr>
        <w:t xml:space="preserve"> </w:t>
      </w:r>
      <w:r>
        <w:rPr>
          <w:i/>
          <w:iCs/>
          <w:sz w:val="24"/>
          <w:szCs w:val="24"/>
          <w:lang w:eastAsia="zh-CN"/>
        </w:rPr>
        <w:t>- 质量管理体系</w:t>
      </w:r>
      <w:r>
        <w:rPr>
          <w:rFonts w:hint="eastAsia"/>
          <w:i/>
          <w:iCs/>
          <w:sz w:val="24"/>
          <w:szCs w:val="24"/>
          <w:lang w:eastAsia="zh-CN"/>
        </w:rPr>
        <w:t xml:space="preserve"> </w:t>
      </w:r>
      <w:r>
        <w:rPr>
          <w:i/>
          <w:iCs/>
          <w:sz w:val="24"/>
          <w:szCs w:val="24"/>
          <w:lang w:eastAsia="zh-CN"/>
        </w:rPr>
        <w:t>- 监管要求</w:t>
      </w:r>
      <w:r>
        <w:rPr>
          <w:sz w:val="24"/>
          <w:szCs w:val="24"/>
          <w:lang w:eastAsia="zh-CN"/>
        </w:rPr>
        <w:t>或同等质量体系，并且制造商或进口商有此类文件。</w:t>
      </w:r>
    </w:p>
    <w:p w14:paraId="0072E87B">
      <w:pPr>
        <w:pStyle w:val="21"/>
        <w:spacing w:before="120"/>
        <w:ind w:left="1619" w:hanging="487"/>
        <w:rPr>
          <w:sz w:val="24"/>
          <w:szCs w:val="24"/>
          <w:lang w:eastAsia="zh-CN"/>
        </w:rPr>
      </w:pPr>
      <w:r>
        <w:rPr>
          <w:sz w:val="24"/>
          <w:szCs w:val="24"/>
          <w:lang w:eastAsia="zh-CN"/>
        </w:rPr>
        <w:t>e.</w:t>
      </w:r>
      <w:r>
        <w:rPr>
          <w:sz w:val="24"/>
          <w:szCs w:val="24"/>
          <w:lang w:eastAsia="zh-CN"/>
        </w:rPr>
        <w:tab/>
      </w:r>
      <w:r>
        <w:rPr>
          <w:sz w:val="24"/>
          <w:szCs w:val="24"/>
          <w:lang w:eastAsia="zh-CN"/>
        </w:rPr>
        <w:t>描述器械试验，包括符合的任何标准，例如液体阻隔层、易燃性、生物相容性和过滤性能（视情况而定）。对于外科N95呼吸器，FDA建议包括流体阻力</w:t>
      </w:r>
      <w:r>
        <w:rPr>
          <w:rFonts w:hint="eastAsia"/>
          <w:sz w:val="24"/>
          <w:szCs w:val="24"/>
          <w:lang w:eastAsia="zh-CN"/>
        </w:rPr>
        <w:t>试验</w:t>
      </w:r>
      <w:r>
        <w:rPr>
          <w:sz w:val="24"/>
          <w:szCs w:val="24"/>
          <w:lang w:eastAsia="zh-CN"/>
        </w:rPr>
        <w:t>（液体阻隔性能）。</w:t>
      </w:r>
    </w:p>
    <w:p w14:paraId="534D62D1">
      <w:pPr>
        <w:pStyle w:val="27"/>
        <w:spacing w:before="120"/>
        <w:ind w:left="911" w:hanging="487"/>
        <w:rPr>
          <w:sz w:val="24"/>
          <w:lang w:eastAsia="zh-CN"/>
        </w:rPr>
      </w:pPr>
      <w:r>
        <w:rPr>
          <w:sz w:val="24"/>
          <w:lang w:eastAsia="zh-CN"/>
        </w:rPr>
        <w:t>2）</w:t>
      </w:r>
      <w:r>
        <w:rPr>
          <w:sz w:val="24"/>
          <w:lang w:eastAsia="zh-CN"/>
        </w:rPr>
        <w:tab/>
      </w:r>
      <w:r>
        <w:rPr>
          <w:sz w:val="24"/>
          <w:lang w:eastAsia="zh-CN"/>
        </w:rPr>
        <w:t>对于以前未从事医疗器械制造但有能力增加这些器械供应的口罩制造商：</w:t>
      </w:r>
    </w:p>
    <w:p w14:paraId="5AD4C53D">
      <w:pPr>
        <w:snapToGrid w:val="0"/>
        <w:spacing w:before="120" w:beforeLines="50"/>
        <w:ind w:left="850" w:leftChars="405"/>
        <w:jc w:val="both"/>
        <w:rPr>
          <w:sz w:val="24"/>
          <w:lang w:eastAsia="zh-CN"/>
        </w:rPr>
      </w:pPr>
      <w:r>
        <w:rPr>
          <w:sz w:val="24"/>
          <w:lang w:eastAsia="zh-CN"/>
        </w:rPr>
        <w:t>FDA期望与既往未从事过医疗器械制造、但对口罩和呼吸器的生产感兴趣并具备生产能力的制造商合作。这可能包括其他制造领域的美国制造商。这些制造商应向上述地址发送电子邮件并描述其拟定方法。FDA打算通过其EUA流程与这些制造商合作。</w:t>
      </w:r>
    </w:p>
    <w:p w14:paraId="2F9FAE3F">
      <w:pPr>
        <w:snapToGrid w:val="0"/>
        <w:spacing w:before="120" w:beforeLines="50"/>
        <w:jc w:val="both"/>
        <w:rPr>
          <w:sz w:val="24"/>
          <w:lang w:eastAsia="zh-CN"/>
        </w:rPr>
      </w:pPr>
      <w:r>
        <w:rPr>
          <w:sz w:val="24"/>
          <w:lang w:eastAsia="zh-CN"/>
        </w:rPr>
        <w:t>对于颁发EUA的任何口罩或FFR（包括N95呼吸器），FDA将根据《FD&amp;C法案》第564节包括适当的授权条件。尽管这会根据现有信息和经验逐一确定，但我们可能会包括以下条件：</w:t>
      </w:r>
    </w:p>
    <w:p w14:paraId="1BEC6EBF">
      <w:pPr>
        <w:pStyle w:val="28"/>
        <w:spacing w:before="120"/>
        <w:ind w:left="1175" w:hanging="322"/>
        <w:rPr>
          <w:sz w:val="24"/>
          <w:lang w:eastAsia="zh-CN"/>
        </w:rPr>
      </w:pPr>
      <w:r>
        <w:rPr>
          <w:sz w:val="24"/>
          <w:lang w:eastAsia="zh-CN"/>
        </w:rPr>
        <w:t>•</w:t>
      </w:r>
      <w:r>
        <w:rPr>
          <w:sz w:val="24"/>
          <w:lang w:eastAsia="zh-CN"/>
        </w:rPr>
        <w:tab/>
      </w:r>
      <w:r>
        <w:rPr>
          <w:sz w:val="24"/>
          <w:lang w:eastAsia="zh-CN"/>
        </w:rPr>
        <w:t xml:space="preserve"> 为确保HCP管理器械</w:t>
      </w:r>
      <w:r>
        <w:rPr>
          <w:rFonts w:hint="eastAsia"/>
          <w:sz w:val="24"/>
          <w:lang w:eastAsia="zh-CN"/>
        </w:rPr>
        <w:t>设定</w:t>
      </w:r>
      <w:r>
        <w:rPr>
          <w:sz w:val="24"/>
          <w:lang w:eastAsia="zh-CN"/>
        </w:rPr>
        <w:t>适当条件</w:t>
      </w:r>
      <w:r>
        <w:rPr>
          <w:rFonts w:hint="eastAsia"/>
          <w:sz w:val="24"/>
          <w:lang w:eastAsia="zh-CN"/>
        </w:rPr>
        <w:t>如下</w:t>
      </w:r>
      <w:r>
        <w:rPr>
          <w:sz w:val="24"/>
          <w:lang w:eastAsia="zh-CN"/>
        </w:rPr>
        <w:t xml:space="preserve"> - </w:t>
      </w:r>
    </w:p>
    <w:p w14:paraId="58615047">
      <w:pPr>
        <w:pStyle w:val="29"/>
        <w:spacing w:before="120"/>
        <w:ind w:left="2045" w:hanging="485"/>
        <w:rPr>
          <w:sz w:val="24"/>
          <w:lang w:eastAsia="zh-CN"/>
        </w:rPr>
      </w:pPr>
      <w:r>
        <w:rPr>
          <w:sz w:val="24"/>
          <w:lang w:eastAsia="zh-CN"/>
        </w:rPr>
        <w:t>○</w:t>
      </w:r>
      <w:r>
        <w:rPr>
          <w:sz w:val="24"/>
          <w:lang w:eastAsia="zh-CN"/>
        </w:rPr>
        <w:tab/>
      </w:r>
      <w:r>
        <w:rPr>
          <w:sz w:val="24"/>
          <w:lang w:eastAsia="zh-CN"/>
        </w:rPr>
        <w:t>FDA已授权紧急使用器械；</w:t>
      </w:r>
    </w:p>
    <w:p w14:paraId="2851AB28">
      <w:pPr>
        <w:pStyle w:val="29"/>
        <w:spacing w:before="120"/>
        <w:ind w:left="2045" w:hanging="485"/>
        <w:rPr>
          <w:sz w:val="24"/>
          <w:lang w:eastAsia="zh-CN"/>
        </w:rPr>
      </w:pPr>
      <w:r>
        <w:rPr>
          <w:sz w:val="24"/>
          <w:lang w:eastAsia="zh-CN"/>
        </w:rPr>
        <w:t>○</w:t>
      </w:r>
      <w:r>
        <w:rPr>
          <w:sz w:val="24"/>
          <w:lang w:eastAsia="zh-CN"/>
        </w:rPr>
        <w:tab/>
      </w:r>
      <w:r>
        <w:rPr>
          <w:sz w:val="24"/>
          <w:lang w:eastAsia="zh-CN"/>
        </w:rPr>
        <w:t>紧急使用器械的重大已知和潜在获益和风险，这些获益和风险程度</w:t>
      </w:r>
      <w:r>
        <w:rPr>
          <w:rFonts w:hint="eastAsia"/>
          <w:sz w:val="24"/>
          <w:lang w:eastAsia="zh-CN"/>
        </w:rPr>
        <w:t>的未知</w:t>
      </w:r>
      <w:r>
        <w:rPr>
          <w:sz w:val="24"/>
          <w:lang w:eastAsia="zh-CN"/>
        </w:rPr>
        <w:t>；和</w:t>
      </w:r>
    </w:p>
    <w:p w14:paraId="601FDE91">
      <w:pPr>
        <w:pStyle w:val="29"/>
        <w:spacing w:before="120"/>
        <w:ind w:left="2045" w:hanging="485"/>
        <w:rPr>
          <w:sz w:val="24"/>
          <w:lang w:eastAsia="zh-CN"/>
        </w:rPr>
      </w:pPr>
      <w:r>
        <w:rPr>
          <w:sz w:val="24"/>
          <w:lang w:eastAsia="zh-CN"/>
        </w:rPr>
        <w:t>○</w:t>
      </w:r>
      <w:r>
        <w:rPr>
          <w:sz w:val="24"/>
          <w:lang w:eastAsia="zh-CN"/>
        </w:rPr>
        <w:tab/>
      </w:r>
      <w:r>
        <w:rPr>
          <w:sz w:val="24"/>
          <w:lang w:eastAsia="zh-CN"/>
        </w:rPr>
        <w:t>可用的器械替代方案及其获益和风险。</w:t>
      </w:r>
    </w:p>
    <w:p w14:paraId="41AA53FE">
      <w:pPr>
        <w:pStyle w:val="28"/>
        <w:spacing w:before="120"/>
        <w:ind w:left="1175" w:hanging="322"/>
        <w:rPr>
          <w:sz w:val="24"/>
          <w:lang w:eastAsia="zh-CN"/>
        </w:rPr>
      </w:pPr>
      <w:r>
        <w:rPr>
          <w:sz w:val="24"/>
          <w:lang w:eastAsia="zh-CN"/>
        </w:rPr>
        <w:t>•</w:t>
      </w:r>
      <w:r>
        <w:rPr>
          <w:sz w:val="24"/>
          <w:lang w:eastAsia="zh-CN"/>
        </w:rPr>
        <w:tab/>
      </w:r>
      <w:r>
        <w:rPr>
          <w:sz w:val="24"/>
          <w:lang w:eastAsia="zh-CN"/>
        </w:rPr>
        <w:t>为确保个人</w:t>
      </w:r>
      <w:r>
        <w:rPr>
          <w:rFonts w:hint="eastAsia"/>
          <w:sz w:val="24"/>
          <w:lang w:eastAsia="zh-CN"/>
        </w:rPr>
        <w:t>使用</w:t>
      </w:r>
      <w:r>
        <w:rPr>
          <w:sz w:val="24"/>
          <w:lang w:eastAsia="zh-CN"/>
        </w:rPr>
        <w:t>器械</w:t>
      </w:r>
      <w:r>
        <w:rPr>
          <w:rFonts w:hint="eastAsia"/>
          <w:sz w:val="24"/>
          <w:lang w:eastAsia="zh-CN"/>
        </w:rPr>
        <w:t>设定</w:t>
      </w:r>
      <w:r>
        <w:rPr>
          <w:sz w:val="24"/>
          <w:lang w:eastAsia="zh-CN"/>
        </w:rPr>
        <w:t>适当条件</w:t>
      </w:r>
      <w:r>
        <w:rPr>
          <w:rFonts w:hint="eastAsia"/>
          <w:sz w:val="24"/>
          <w:lang w:eastAsia="zh-CN"/>
        </w:rPr>
        <w:t>如下</w:t>
      </w:r>
      <w:r>
        <w:rPr>
          <w:sz w:val="24"/>
          <w:lang w:eastAsia="zh-CN"/>
        </w:rPr>
        <w:t xml:space="preserve"> - </w:t>
      </w:r>
    </w:p>
    <w:p w14:paraId="3E64FFA8">
      <w:pPr>
        <w:pStyle w:val="29"/>
        <w:spacing w:before="120"/>
        <w:ind w:left="2045" w:hanging="485"/>
        <w:rPr>
          <w:sz w:val="24"/>
          <w:lang w:eastAsia="zh-CN"/>
        </w:rPr>
      </w:pPr>
      <w:r>
        <w:rPr>
          <w:sz w:val="24"/>
          <w:lang w:eastAsia="zh-CN"/>
        </w:rPr>
        <w:t>○</w:t>
      </w:r>
      <w:r>
        <w:rPr>
          <w:sz w:val="24"/>
          <w:lang w:eastAsia="zh-CN"/>
        </w:rPr>
        <w:tab/>
      </w:r>
      <w:r>
        <w:rPr>
          <w:sz w:val="24"/>
          <w:lang w:eastAsia="zh-CN"/>
        </w:rPr>
        <w:t>FDA已授权紧急使用器械；</w:t>
      </w:r>
    </w:p>
    <w:p w14:paraId="43B09557">
      <w:pPr>
        <w:pStyle w:val="29"/>
        <w:spacing w:before="120"/>
        <w:ind w:left="2045" w:hanging="485"/>
        <w:rPr>
          <w:sz w:val="24"/>
          <w:lang w:eastAsia="zh-CN"/>
        </w:rPr>
      </w:pPr>
      <w:r>
        <w:rPr>
          <w:sz w:val="24"/>
          <w:lang w:eastAsia="zh-CN"/>
        </w:rPr>
        <w:t>○</w:t>
      </w:r>
      <w:r>
        <w:rPr>
          <w:sz w:val="24"/>
          <w:lang w:eastAsia="zh-CN"/>
        </w:rPr>
        <w:tab/>
      </w:r>
      <w:r>
        <w:rPr>
          <w:sz w:val="24"/>
          <w:lang w:eastAsia="zh-CN"/>
        </w:rPr>
        <w:t>紧急使用器械的重大已知和潜在益处和风险，这些获益和风险程度</w:t>
      </w:r>
      <w:r>
        <w:rPr>
          <w:rFonts w:hint="eastAsia"/>
          <w:sz w:val="24"/>
          <w:lang w:eastAsia="zh-CN"/>
        </w:rPr>
        <w:t>的未知</w:t>
      </w:r>
      <w:r>
        <w:rPr>
          <w:sz w:val="24"/>
          <w:lang w:eastAsia="zh-CN"/>
        </w:rPr>
        <w:t>；和</w:t>
      </w:r>
    </w:p>
    <w:p w14:paraId="685E051E">
      <w:pPr>
        <w:pStyle w:val="29"/>
        <w:spacing w:before="120"/>
        <w:ind w:left="2045" w:hanging="485"/>
        <w:rPr>
          <w:sz w:val="24"/>
          <w:lang w:eastAsia="zh-CN"/>
        </w:rPr>
      </w:pPr>
      <w:r>
        <w:rPr>
          <w:sz w:val="24"/>
          <w:lang w:eastAsia="zh-CN"/>
        </w:rPr>
        <w:t>○</w:t>
      </w:r>
      <w:r>
        <w:rPr>
          <w:sz w:val="24"/>
          <w:lang w:eastAsia="zh-CN"/>
        </w:rPr>
        <w:tab/>
      </w:r>
      <w:r>
        <w:rPr>
          <w:sz w:val="24"/>
          <w:lang w:eastAsia="zh-CN"/>
        </w:rPr>
        <w:t>接受或拒绝器械</w:t>
      </w:r>
      <w:r>
        <w:rPr>
          <w:rFonts w:hint="eastAsia"/>
          <w:sz w:val="24"/>
          <w:lang w:eastAsia="zh-CN"/>
        </w:rPr>
        <w:t>使用</w:t>
      </w:r>
      <w:r>
        <w:rPr>
          <w:sz w:val="24"/>
          <w:lang w:eastAsia="zh-CN"/>
        </w:rPr>
        <w:t>的</w:t>
      </w:r>
      <w:r>
        <w:rPr>
          <w:rFonts w:hint="eastAsia"/>
          <w:sz w:val="24"/>
          <w:lang w:eastAsia="zh-CN"/>
        </w:rPr>
        <w:t>选择</w:t>
      </w:r>
      <w:r>
        <w:rPr>
          <w:sz w:val="24"/>
          <w:lang w:eastAsia="zh-CN"/>
        </w:rPr>
        <w:t>，拒绝器械</w:t>
      </w:r>
      <w:r>
        <w:rPr>
          <w:rFonts w:hint="eastAsia"/>
          <w:sz w:val="24"/>
          <w:lang w:eastAsia="zh-CN"/>
        </w:rPr>
        <w:t>使用</w:t>
      </w:r>
      <w:r>
        <w:rPr>
          <w:sz w:val="24"/>
          <w:lang w:eastAsia="zh-CN"/>
        </w:rPr>
        <w:t>的后果（如果有），以及可用的器械替代方案及其获益和风险。</w:t>
      </w:r>
    </w:p>
    <w:p w14:paraId="79F739EB">
      <w:pPr>
        <w:pStyle w:val="28"/>
        <w:spacing w:before="120"/>
        <w:ind w:left="1175" w:hanging="322"/>
        <w:rPr>
          <w:sz w:val="24"/>
          <w:lang w:eastAsia="zh-CN"/>
        </w:rPr>
      </w:pPr>
      <w:r>
        <w:rPr>
          <w:sz w:val="24"/>
          <w:lang w:eastAsia="zh-CN"/>
        </w:rPr>
        <w:t>•</w:t>
      </w:r>
      <w:r>
        <w:rPr>
          <w:sz w:val="24"/>
          <w:lang w:eastAsia="zh-CN"/>
        </w:rPr>
        <w:tab/>
      </w:r>
      <w:r>
        <w:rPr>
          <w:sz w:val="24"/>
          <w:lang w:eastAsia="zh-CN"/>
        </w:rPr>
        <w:t>监测和报告与紧急使用器械相关的不良事件的适当条件。FDA打算包含符合21 CFR第803部分的条件。</w:t>
      </w:r>
    </w:p>
    <w:p w14:paraId="1C75ED66">
      <w:pPr>
        <w:pStyle w:val="28"/>
        <w:spacing w:before="120"/>
        <w:ind w:left="1175" w:hanging="322"/>
        <w:rPr>
          <w:sz w:val="24"/>
          <w:lang w:eastAsia="zh-CN"/>
        </w:rPr>
      </w:pPr>
      <w:r>
        <w:rPr>
          <w:sz w:val="24"/>
          <w:lang w:eastAsia="zh-CN"/>
        </w:rPr>
        <w:t>•</w:t>
      </w:r>
      <w:r>
        <w:rPr>
          <w:sz w:val="24"/>
          <w:lang w:eastAsia="zh-CN"/>
        </w:rPr>
        <w:tab/>
      </w:r>
      <w:r>
        <w:rPr>
          <w:sz w:val="24"/>
          <w:lang w:eastAsia="zh-CN"/>
        </w:rPr>
        <w:t>对于器械制造商，有关器械紧急使用的记录保存和报告的适当条件，包括FDA可以访问的记录。</w:t>
      </w:r>
    </w:p>
    <w:p w14:paraId="732133CC">
      <w:pPr>
        <w:tabs>
          <w:tab w:val="left" w:pos="1119"/>
        </w:tabs>
        <w:snapToGrid w:val="0"/>
        <w:spacing w:before="120" w:beforeLines="50"/>
        <w:jc w:val="both"/>
        <w:rPr>
          <w:lang w:eastAsia="zh-CN"/>
        </w:rPr>
      </w:pPr>
    </w:p>
    <w:p w14:paraId="6D9443EA">
      <w:pPr>
        <w:pStyle w:val="14"/>
        <w:spacing w:before="120"/>
        <w:rPr>
          <w:rFonts w:hint="eastAsia" w:eastAsia="宋体"/>
          <w:lang w:eastAsia="zh-CN"/>
        </w:rPr>
      </w:pPr>
    </w:p>
    <w:p w14:paraId="78BC4B9A">
      <w:pPr>
        <w:pStyle w:val="14"/>
        <w:spacing w:before="120"/>
        <w:jc w:val="center"/>
        <w:rPr>
          <w:rFonts w:hint="eastAsia" w:eastAsia="宋体"/>
          <w:lang w:eastAsia="zh-CN"/>
        </w:rPr>
      </w:pPr>
    </w:p>
    <w:p w14:paraId="3FCD8698">
      <w:pPr>
        <w:pStyle w:val="14"/>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6" w:type="default"/>
      <w:pgSz w:w="11907" w:h="16840"/>
      <w:pgMar w:top="1429" w:right="1797" w:bottom="1429" w:left="1797" w:header="720" w:footer="720" w:gutter="0"/>
      <w:pgNumType w:start="1"/>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5:47:00Z" w:initials="小">
    <w:p w14:paraId="2ED4F1C2">
      <w:pPr>
        <w:pStyle w:val="2"/>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D4F1C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F3B">
    <w:pPr>
      <w:pStyle w:val="5"/>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10</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AB4A">
    <w:pPr>
      <w:pStyle w:val="6"/>
      <w:pBdr>
        <w:bottom w:val="none" w:color="auto" w:sz="0" w:space="0"/>
      </w:pBdr>
    </w:pPr>
    <w:r>
      <w:rPr>
        <w:rFonts w:hint="eastAsia"/>
        <w:b/>
        <w:bCs/>
        <w:i/>
        <w:iCs/>
        <w:sz w:val="21"/>
        <w:lang w:eastAsia="zh-CN"/>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8C612F"/>
    <w:rsid w:val="00025871"/>
    <w:rsid w:val="00025BF0"/>
    <w:rsid w:val="0003731A"/>
    <w:rsid w:val="000417BF"/>
    <w:rsid w:val="0004203C"/>
    <w:rsid w:val="00044E9C"/>
    <w:rsid w:val="000457F5"/>
    <w:rsid w:val="00074F92"/>
    <w:rsid w:val="00080F02"/>
    <w:rsid w:val="00081E02"/>
    <w:rsid w:val="000B56C8"/>
    <w:rsid w:val="000C6F77"/>
    <w:rsid w:val="000D3F94"/>
    <w:rsid w:val="000D7448"/>
    <w:rsid w:val="000E0AE0"/>
    <w:rsid w:val="000F2B99"/>
    <w:rsid w:val="000F5AE6"/>
    <w:rsid w:val="00101E91"/>
    <w:rsid w:val="0010652A"/>
    <w:rsid w:val="001230F1"/>
    <w:rsid w:val="00126B84"/>
    <w:rsid w:val="00131491"/>
    <w:rsid w:val="00136845"/>
    <w:rsid w:val="00150154"/>
    <w:rsid w:val="00160840"/>
    <w:rsid w:val="00166398"/>
    <w:rsid w:val="001672A2"/>
    <w:rsid w:val="001817E2"/>
    <w:rsid w:val="00187905"/>
    <w:rsid w:val="00195467"/>
    <w:rsid w:val="001A78B6"/>
    <w:rsid w:val="001B37B9"/>
    <w:rsid w:val="001D460B"/>
    <w:rsid w:val="001E35C6"/>
    <w:rsid w:val="001E65E4"/>
    <w:rsid w:val="001F6491"/>
    <w:rsid w:val="00200857"/>
    <w:rsid w:val="00205112"/>
    <w:rsid w:val="00216A44"/>
    <w:rsid w:val="00220C2F"/>
    <w:rsid w:val="0022413F"/>
    <w:rsid w:val="002669F0"/>
    <w:rsid w:val="00273372"/>
    <w:rsid w:val="002873F9"/>
    <w:rsid w:val="00293FCC"/>
    <w:rsid w:val="00294EF5"/>
    <w:rsid w:val="002A6CE1"/>
    <w:rsid w:val="002B4ABE"/>
    <w:rsid w:val="002E031C"/>
    <w:rsid w:val="002E77F2"/>
    <w:rsid w:val="00311985"/>
    <w:rsid w:val="00316DEC"/>
    <w:rsid w:val="003227A9"/>
    <w:rsid w:val="00330F88"/>
    <w:rsid w:val="003628C3"/>
    <w:rsid w:val="0037443D"/>
    <w:rsid w:val="00377A2A"/>
    <w:rsid w:val="00377CD8"/>
    <w:rsid w:val="00382846"/>
    <w:rsid w:val="00382F4F"/>
    <w:rsid w:val="003A35F3"/>
    <w:rsid w:val="003C57AA"/>
    <w:rsid w:val="003D0618"/>
    <w:rsid w:val="003F7929"/>
    <w:rsid w:val="00406F5A"/>
    <w:rsid w:val="00431395"/>
    <w:rsid w:val="00435D5B"/>
    <w:rsid w:val="00447542"/>
    <w:rsid w:val="00450137"/>
    <w:rsid w:val="00461E89"/>
    <w:rsid w:val="00480B2B"/>
    <w:rsid w:val="00480BFD"/>
    <w:rsid w:val="00492D2D"/>
    <w:rsid w:val="00492DA0"/>
    <w:rsid w:val="00495E59"/>
    <w:rsid w:val="004A0D2B"/>
    <w:rsid w:val="004A20A6"/>
    <w:rsid w:val="004A2DFD"/>
    <w:rsid w:val="004B2267"/>
    <w:rsid w:val="004B341A"/>
    <w:rsid w:val="004C2878"/>
    <w:rsid w:val="004D0B09"/>
    <w:rsid w:val="004E79BA"/>
    <w:rsid w:val="004F353D"/>
    <w:rsid w:val="0051562F"/>
    <w:rsid w:val="00521E84"/>
    <w:rsid w:val="00527C34"/>
    <w:rsid w:val="00551DAB"/>
    <w:rsid w:val="005564C2"/>
    <w:rsid w:val="005667E3"/>
    <w:rsid w:val="005952F7"/>
    <w:rsid w:val="00597AE9"/>
    <w:rsid w:val="005D3601"/>
    <w:rsid w:val="005E320F"/>
    <w:rsid w:val="005F2764"/>
    <w:rsid w:val="006262DB"/>
    <w:rsid w:val="00626BF8"/>
    <w:rsid w:val="006338A9"/>
    <w:rsid w:val="00650297"/>
    <w:rsid w:val="006635EF"/>
    <w:rsid w:val="00667540"/>
    <w:rsid w:val="00667EF2"/>
    <w:rsid w:val="0068034C"/>
    <w:rsid w:val="0068131D"/>
    <w:rsid w:val="006937C6"/>
    <w:rsid w:val="00697BB6"/>
    <w:rsid w:val="006A339E"/>
    <w:rsid w:val="006A532D"/>
    <w:rsid w:val="006C7E77"/>
    <w:rsid w:val="006D0C02"/>
    <w:rsid w:val="006D1DF8"/>
    <w:rsid w:val="006E10D4"/>
    <w:rsid w:val="006E4CF8"/>
    <w:rsid w:val="006F7E9D"/>
    <w:rsid w:val="00704875"/>
    <w:rsid w:val="00743EEE"/>
    <w:rsid w:val="00747EAD"/>
    <w:rsid w:val="00752CC6"/>
    <w:rsid w:val="00782108"/>
    <w:rsid w:val="00786FF3"/>
    <w:rsid w:val="0079137E"/>
    <w:rsid w:val="00797D1F"/>
    <w:rsid w:val="007C3937"/>
    <w:rsid w:val="007C7B18"/>
    <w:rsid w:val="007D1C06"/>
    <w:rsid w:val="007E0D83"/>
    <w:rsid w:val="007E69D6"/>
    <w:rsid w:val="00805B19"/>
    <w:rsid w:val="00821CB7"/>
    <w:rsid w:val="00833F79"/>
    <w:rsid w:val="008371E1"/>
    <w:rsid w:val="0084681D"/>
    <w:rsid w:val="00855D64"/>
    <w:rsid w:val="00867294"/>
    <w:rsid w:val="008870B1"/>
    <w:rsid w:val="0089566D"/>
    <w:rsid w:val="008A7EBE"/>
    <w:rsid w:val="008C56E4"/>
    <w:rsid w:val="008C612F"/>
    <w:rsid w:val="008D441F"/>
    <w:rsid w:val="008F60FA"/>
    <w:rsid w:val="008F6246"/>
    <w:rsid w:val="008F6557"/>
    <w:rsid w:val="008F6AF4"/>
    <w:rsid w:val="00912026"/>
    <w:rsid w:val="0094309E"/>
    <w:rsid w:val="00943F18"/>
    <w:rsid w:val="00947034"/>
    <w:rsid w:val="00961EC3"/>
    <w:rsid w:val="00971DEA"/>
    <w:rsid w:val="00980005"/>
    <w:rsid w:val="009962CE"/>
    <w:rsid w:val="009A7E85"/>
    <w:rsid w:val="009B1D96"/>
    <w:rsid w:val="009B3BAA"/>
    <w:rsid w:val="009C48F9"/>
    <w:rsid w:val="009C62B7"/>
    <w:rsid w:val="009C6C2C"/>
    <w:rsid w:val="009E0A9F"/>
    <w:rsid w:val="009E7CC1"/>
    <w:rsid w:val="009F0FE0"/>
    <w:rsid w:val="009F5681"/>
    <w:rsid w:val="00A11CF6"/>
    <w:rsid w:val="00A2672E"/>
    <w:rsid w:val="00A270BA"/>
    <w:rsid w:val="00A31BD5"/>
    <w:rsid w:val="00A332B0"/>
    <w:rsid w:val="00A611AE"/>
    <w:rsid w:val="00A72251"/>
    <w:rsid w:val="00A82EF8"/>
    <w:rsid w:val="00AA1998"/>
    <w:rsid w:val="00AC0079"/>
    <w:rsid w:val="00AC3C10"/>
    <w:rsid w:val="00AD13C3"/>
    <w:rsid w:val="00AD4C61"/>
    <w:rsid w:val="00AD73E9"/>
    <w:rsid w:val="00B279E0"/>
    <w:rsid w:val="00B30843"/>
    <w:rsid w:val="00B40C03"/>
    <w:rsid w:val="00B538C8"/>
    <w:rsid w:val="00B542A1"/>
    <w:rsid w:val="00B5517C"/>
    <w:rsid w:val="00B611F3"/>
    <w:rsid w:val="00B61AA9"/>
    <w:rsid w:val="00B632B8"/>
    <w:rsid w:val="00BA2092"/>
    <w:rsid w:val="00BA3D57"/>
    <w:rsid w:val="00BB0115"/>
    <w:rsid w:val="00BB66B2"/>
    <w:rsid w:val="00BC5C22"/>
    <w:rsid w:val="00BD1CD3"/>
    <w:rsid w:val="00BD76B3"/>
    <w:rsid w:val="00BE3890"/>
    <w:rsid w:val="00BE6151"/>
    <w:rsid w:val="00BF0CB7"/>
    <w:rsid w:val="00BF3B3A"/>
    <w:rsid w:val="00BF6599"/>
    <w:rsid w:val="00C058E2"/>
    <w:rsid w:val="00C1349E"/>
    <w:rsid w:val="00C24897"/>
    <w:rsid w:val="00C27726"/>
    <w:rsid w:val="00C42E11"/>
    <w:rsid w:val="00C52F96"/>
    <w:rsid w:val="00C55D5E"/>
    <w:rsid w:val="00C6050C"/>
    <w:rsid w:val="00C649EF"/>
    <w:rsid w:val="00C64EEF"/>
    <w:rsid w:val="00CA761B"/>
    <w:rsid w:val="00CC51B9"/>
    <w:rsid w:val="00CD52EF"/>
    <w:rsid w:val="00CE18A1"/>
    <w:rsid w:val="00CF02FC"/>
    <w:rsid w:val="00CF151C"/>
    <w:rsid w:val="00D10540"/>
    <w:rsid w:val="00D20B62"/>
    <w:rsid w:val="00D47AC3"/>
    <w:rsid w:val="00D51BDD"/>
    <w:rsid w:val="00D525BB"/>
    <w:rsid w:val="00D527FD"/>
    <w:rsid w:val="00D55C0B"/>
    <w:rsid w:val="00D568DA"/>
    <w:rsid w:val="00D61C78"/>
    <w:rsid w:val="00D6293A"/>
    <w:rsid w:val="00D771FC"/>
    <w:rsid w:val="00D92B4A"/>
    <w:rsid w:val="00D968E9"/>
    <w:rsid w:val="00DA0B9B"/>
    <w:rsid w:val="00DA23EC"/>
    <w:rsid w:val="00DA5531"/>
    <w:rsid w:val="00DB4AD6"/>
    <w:rsid w:val="00DB61D2"/>
    <w:rsid w:val="00DB7D90"/>
    <w:rsid w:val="00DD48A0"/>
    <w:rsid w:val="00DE0563"/>
    <w:rsid w:val="00DF23FE"/>
    <w:rsid w:val="00E159B0"/>
    <w:rsid w:val="00E2736F"/>
    <w:rsid w:val="00E31ED9"/>
    <w:rsid w:val="00E41377"/>
    <w:rsid w:val="00E43D80"/>
    <w:rsid w:val="00E46275"/>
    <w:rsid w:val="00E537A3"/>
    <w:rsid w:val="00E554D7"/>
    <w:rsid w:val="00E55B70"/>
    <w:rsid w:val="00E6486B"/>
    <w:rsid w:val="00E67A1E"/>
    <w:rsid w:val="00E715B2"/>
    <w:rsid w:val="00ED70CA"/>
    <w:rsid w:val="00EE58AC"/>
    <w:rsid w:val="00EF30D4"/>
    <w:rsid w:val="00F041C2"/>
    <w:rsid w:val="00F1733D"/>
    <w:rsid w:val="00F17CCB"/>
    <w:rsid w:val="00F32AA4"/>
    <w:rsid w:val="00F45C63"/>
    <w:rsid w:val="00F56938"/>
    <w:rsid w:val="00F60756"/>
    <w:rsid w:val="00F631B1"/>
    <w:rsid w:val="00F7304F"/>
    <w:rsid w:val="00F7593A"/>
    <w:rsid w:val="00F81637"/>
    <w:rsid w:val="00F90AE1"/>
    <w:rsid w:val="00FA6BE1"/>
    <w:rsid w:val="00FB31D8"/>
    <w:rsid w:val="00FB5986"/>
    <w:rsid w:val="00FC0638"/>
    <w:rsid w:val="00FC3EB5"/>
    <w:rsid w:val="00FD7FF1"/>
    <w:rsid w:val="00FE1E75"/>
    <w:rsid w:val="00FF6035"/>
    <w:rsid w:val="00FF6837"/>
    <w:rsid w:val="5562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4"/>
      <w:lang w:val="en-US" w:eastAsia="en-US" w:bidi="en-US"/>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1"/>
    <w:semiHidden/>
    <w:unhideWhenUsed/>
    <w:qFormat/>
    <w:uiPriority w:val="99"/>
    <w:rPr>
      <w:rFonts w:asciiTheme="minorHAnsi" w:hAnsiTheme="minorHAnsi" w:eastAsiaTheme="minorEastAsia" w:cstheme="minorBidi"/>
      <w:color w:val="auto"/>
      <w:kern w:val="2"/>
      <w:szCs w:val="22"/>
      <w:lang w:eastAsia="zh-CN" w:bidi="ar-SA"/>
    </w:rPr>
  </w:style>
  <w:style w:type="paragraph" w:styleId="3">
    <w:name w:val="Date"/>
    <w:basedOn w:val="1"/>
    <w:next w:val="1"/>
    <w:link w:val="25"/>
    <w:semiHidden/>
    <w:unhideWhenUsed/>
    <w:qFormat/>
    <w:uiPriority w:val="99"/>
    <w:pPr>
      <w:ind w:left="100" w:leftChars="2500"/>
    </w:pPr>
  </w:style>
  <w:style w:type="paragraph" w:styleId="4">
    <w:name w:val="Balloon Text"/>
    <w:basedOn w:val="1"/>
    <w:link w:val="24"/>
    <w:semiHidden/>
    <w:unhideWhenUsed/>
    <w:uiPriority w:val="99"/>
    <w:rPr>
      <w:sz w:val="18"/>
      <w:szCs w:val="18"/>
    </w:rPr>
  </w:style>
  <w:style w:type="paragraph" w:styleId="5">
    <w:name w:val="footer"/>
    <w:basedOn w:val="1"/>
    <w:link w:val="23"/>
    <w:unhideWhenUsed/>
    <w:qFormat/>
    <w:uiPriority w:val="99"/>
    <w:pPr>
      <w:tabs>
        <w:tab w:val="center" w:pos="4153"/>
        <w:tab w:val="right" w:pos="8306"/>
      </w:tabs>
      <w:snapToGrid w:val="0"/>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426"/>
        <w:tab w:val="right" w:leader="dot" w:pos="8303"/>
      </w:tabs>
      <w:spacing w:beforeLines="50"/>
    </w:pPr>
    <w:rPr>
      <w:sz w:val="24"/>
      <w:szCs w:val="21"/>
    </w:rPr>
  </w:style>
  <w:style w:type="paragraph" w:styleId="8">
    <w:name w:val="toc 2"/>
    <w:basedOn w:val="1"/>
    <w:next w:val="1"/>
    <w:autoRedefine/>
    <w:unhideWhenUsed/>
    <w:uiPriority w:val="39"/>
    <w:pPr>
      <w:tabs>
        <w:tab w:val="left" w:pos="840"/>
        <w:tab w:val="right" w:leader="dot" w:pos="8303"/>
      </w:tabs>
      <w:spacing w:beforeLines="50"/>
      <w:ind w:left="850" w:leftChars="200" w:hanging="430" w:hangingChars="205"/>
    </w:pPr>
    <w:rPr>
      <w:sz w:val="24"/>
      <w:szCs w:val="21"/>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66CC"/>
      <w:u w:val="single"/>
    </w:rPr>
  </w:style>
  <w:style w:type="character" w:styleId="13">
    <w:name w:val="annotation reference"/>
    <w:basedOn w:val="11"/>
    <w:semiHidden/>
    <w:unhideWhenUsed/>
    <w:uiPriority w:val="99"/>
    <w:rPr>
      <w:sz w:val="21"/>
      <w:szCs w:val="21"/>
    </w:rPr>
  </w:style>
  <w:style w:type="paragraph" w:customStyle="1" w:styleId="14">
    <w:name w:val="样式b1"/>
    <w:basedOn w:val="1"/>
    <w:qFormat/>
    <w:uiPriority w:val="0"/>
    <w:pPr>
      <w:pBdr>
        <w:bottom w:val="single" w:color="auto" w:sz="4" w:space="1"/>
      </w:pBdr>
      <w:snapToGrid w:val="0"/>
      <w:spacing w:beforeLines="50"/>
      <w:jc w:val="center"/>
    </w:pPr>
    <w:rPr>
      <w:b/>
      <w:bCs/>
      <w:sz w:val="52"/>
      <w:szCs w:val="52"/>
    </w:rPr>
  </w:style>
  <w:style w:type="paragraph" w:customStyle="1" w:styleId="15">
    <w:name w:val="样式b2"/>
    <w:basedOn w:val="1"/>
    <w:uiPriority w:val="0"/>
    <w:pPr>
      <w:snapToGrid w:val="0"/>
      <w:spacing w:beforeLines="50"/>
      <w:jc w:val="center"/>
    </w:pPr>
    <w:rPr>
      <w:b/>
      <w:bCs/>
      <w:sz w:val="52"/>
      <w:szCs w:val="52"/>
    </w:rPr>
  </w:style>
  <w:style w:type="paragraph" w:customStyle="1" w:styleId="16">
    <w:name w:val="样式m1"/>
    <w:basedOn w:val="1"/>
    <w:autoRedefine/>
    <w:uiPriority w:val="0"/>
    <w:pPr>
      <w:tabs>
        <w:tab w:val="left" w:pos="709"/>
      </w:tabs>
      <w:snapToGrid w:val="0"/>
      <w:spacing w:beforeLines="50" w:afterLines="50"/>
      <w:ind w:left="708" w:hanging="708" w:hangingChars="252"/>
      <w:jc w:val="both"/>
    </w:pPr>
    <w:rPr>
      <w:b/>
      <w:bCs/>
      <w:sz w:val="28"/>
      <w:szCs w:val="28"/>
    </w:rPr>
  </w:style>
  <w:style w:type="paragraph" w:customStyle="1" w:styleId="17">
    <w:name w:val="样式m2"/>
    <w:basedOn w:val="1"/>
    <w:autoRedefine/>
    <w:qFormat/>
    <w:uiPriority w:val="0"/>
    <w:pPr>
      <w:tabs>
        <w:tab w:val="left" w:pos="1276"/>
      </w:tabs>
      <w:snapToGrid w:val="0"/>
      <w:spacing w:beforeLines="50" w:afterLines="50"/>
      <w:ind w:left="1342" w:leftChars="405" w:hanging="492" w:hangingChars="175"/>
      <w:jc w:val="both"/>
    </w:pPr>
    <w:rPr>
      <w:b/>
      <w:bCs/>
      <w:sz w:val="28"/>
      <w:szCs w:val="28"/>
      <w:lang w:eastAsia="zh-CN"/>
    </w:rPr>
  </w:style>
  <w:style w:type="paragraph" w:customStyle="1" w:styleId="18">
    <w:name w:val="样式m22"/>
    <w:basedOn w:val="1"/>
    <w:uiPriority w:val="0"/>
    <w:pPr>
      <w:tabs>
        <w:tab w:val="left" w:pos="1560"/>
      </w:tabs>
      <w:snapToGrid w:val="0"/>
      <w:spacing w:beforeLines="50" w:afterLines="50"/>
      <w:jc w:val="both"/>
    </w:pPr>
    <w:rPr>
      <w:b/>
      <w:bCs/>
      <w:szCs w:val="21"/>
    </w:rPr>
  </w:style>
  <w:style w:type="paragraph" w:customStyle="1" w:styleId="19">
    <w:name w:val="样式m3"/>
    <w:basedOn w:val="1"/>
    <w:qFormat/>
    <w:uiPriority w:val="0"/>
    <w:pPr>
      <w:snapToGrid w:val="0"/>
      <w:spacing w:beforeLines="50" w:afterLines="50"/>
      <w:jc w:val="both"/>
    </w:pPr>
    <w:rPr>
      <w:b/>
      <w:bCs/>
      <w:szCs w:val="21"/>
    </w:rPr>
  </w:style>
  <w:style w:type="paragraph" w:customStyle="1" w:styleId="20">
    <w:name w:val="样式x"/>
    <w:basedOn w:val="1"/>
    <w:uiPriority w:val="0"/>
    <w:pPr>
      <w:tabs>
        <w:tab w:val="left" w:pos="709"/>
      </w:tabs>
      <w:snapToGrid w:val="0"/>
      <w:spacing w:beforeLines="50"/>
      <w:ind w:left="707" w:leftChars="203" w:hanging="281" w:hangingChars="134"/>
      <w:jc w:val="both"/>
    </w:pPr>
    <w:rPr>
      <w:szCs w:val="21"/>
    </w:rPr>
  </w:style>
  <w:style w:type="paragraph" w:customStyle="1" w:styleId="21">
    <w:name w:val="样式x2"/>
    <w:basedOn w:val="1"/>
    <w:qFormat/>
    <w:uiPriority w:val="0"/>
    <w:pPr>
      <w:snapToGrid w:val="0"/>
      <w:spacing w:beforeLines="50"/>
      <w:ind w:left="1558" w:leftChars="539" w:hanging="426" w:hangingChars="203"/>
      <w:jc w:val="both"/>
    </w:pPr>
    <w:rPr>
      <w:szCs w:val="21"/>
    </w:rPr>
  </w:style>
  <w:style w:type="character" w:customStyle="1" w:styleId="22">
    <w:name w:val="页眉 字符"/>
    <w:basedOn w:val="11"/>
    <w:link w:val="6"/>
    <w:qFormat/>
    <w:uiPriority w:val="99"/>
    <w:rPr>
      <w:rFonts w:eastAsia="宋体"/>
      <w:color w:val="000000"/>
      <w:sz w:val="18"/>
      <w:szCs w:val="18"/>
    </w:rPr>
  </w:style>
  <w:style w:type="character" w:customStyle="1" w:styleId="23">
    <w:name w:val="页脚 字符"/>
    <w:basedOn w:val="11"/>
    <w:link w:val="5"/>
    <w:qFormat/>
    <w:uiPriority w:val="99"/>
    <w:rPr>
      <w:rFonts w:eastAsia="宋体"/>
      <w:color w:val="000000"/>
      <w:sz w:val="18"/>
      <w:szCs w:val="18"/>
    </w:rPr>
  </w:style>
  <w:style w:type="character" w:customStyle="1" w:styleId="24">
    <w:name w:val="批注框文本 字符"/>
    <w:basedOn w:val="11"/>
    <w:link w:val="4"/>
    <w:semiHidden/>
    <w:qFormat/>
    <w:uiPriority w:val="99"/>
    <w:rPr>
      <w:rFonts w:eastAsia="宋体"/>
      <w:color w:val="000000"/>
      <w:sz w:val="18"/>
      <w:szCs w:val="18"/>
    </w:rPr>
  </w:style>
  <w:style w:type="character" w:customStyle="1" w:styleId="25">
    <w:name w:val="日期 字符"/>
    <w:basedOn w:val="11"/>
    <w:link w:val="3"/>
    <w:semiHidden/>
    <w:uiPriority w:val="99"/>
    <w:rPr>
      <w:rFonts w:eastAsia="宋体"/>
      <w:color w:val="000000"/>
      <w:sz w:val="21"/>
    </w:rPr>
  </w:style>
  <w:style w:type="paragraph" w:styleId="26">
    <w:name w:val="List Paragraph"/>
    <w:basedOn w:val="1"/>
    <w:qFormat/>
    <w:uiPriority w:val="34"/>
    <w:pPr>
      <w:ind w:firstLine="420" w:firstLineChars="200"/>
    </w:pPr>
  </w:style>
  <w:style w:type="paragraph" w:customStyle="1" w:styleId="27">
    <w:name w:val="样式x3"/>
    <w:basedOn w:val="1"/>
    <w:qFormat/>
    <w:uiPriority w:val="0"/>
    <w:pPr>
      <w:tabs>
        <w:tab w:val="left" w:pos="851"/>
      </w:tabs>
      <w:snapToGrid w:val="0"/>
      <w:spacing w:beforeLines="50"/>
      <w:ind w:left="850" w:leftChars="202" w:hanging="426" w:hangingChars="203"/>
      <w:jc w:val="both"/>
    </w:pPr>
  </w:style>
  <w:style w:type="paragraph" w:customStyle="1" w:styleId="28">
    <w:name w:val="样式x4"/>
    <w:basedOn w:val="1"/>
    <w:uiPriority w:val="0"/>
    <w:pPr>
      <w:tabs>
        <w:tab w:val="left" w:pos="1119"/>
      </w:tabs>
      <w:snapToGrid w:val="0"/>
      <w:spacing w:beforeLines="50"/>
      <w:ind w:left="1134" w:leftChars="406" w:hanging="281" w:hangingChars="134"/>
      <w:jc w:val="both"/>
    </w:pPr>
  </w:style>
  <w:style w:type="paragraph" w:customStyle="1" w:styleId="29">
    <w:name w:val="样式x5"/>
    <w:basedOn w:val="1"/>
    <w:uiPriority w:val="0"/>
    <w:pPr>
      <w:snapToGrid w:val="0"/>
      <w:spacing w:beforeLines="50"/>
      <w:ind w:left="1984" w:leftChars="743" w:hanging="424" w:hangingChars="202"/>
      <w:jc w:val="both"/>
    </w:pPr>
  </w:style>
  <w:style w:type="paragraph" w:customStyle="1" w:styleId="30">
    <w:name w:val="Revision"/>
    <w:hidden/>
    <w:semiHidden/>
    <w:qFormat/>
    <w:uiPriority w:val="99"/>
    <w:pPr>
      <w:widowControl/>
    </w:pPr>
    <w:rPr>
      <w:rFonts w:ascii="Times New Roman" w:hAnsi="Times New Roman" w:eastAsia="宋体" w:cs="Times New Roman"/>
      <w:color w:val="000000"/>
      <w:sz w:val="21"/>
      <w:szCs w:val="24"/>
      <w:lang w:val="en-US" w:eastAsia="en-US" w:bidi="en-US"/>
    </w:rPr>
  </w:style>
  <w:style w:type="character" w:customStyle="1" w:styleId="31">
    <w:name w:val="批注文字 字符"/>
    <w:basedOn w:val="11"/>
    <w:link w:val="2"/>
    <w:semiHidden/>
    <w:qFormat/>
    <w:uiPriority w:val="99"/>
    <w:rPr>
      <w:rFonts w:asciiTheme="minorHAnsi" w:hAnsiTheme="minorHAnsi" w:cstheme="minorBidi"/>
      <w:kern w:val="2"/>
      <w:sz w:val="21"/>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14</Pages>
  <Words>8665</Words>
  <Characters>12640</Characters>
  <Lines>143</Lines>
  <Paragraphs>40</Paragraphs>
  <TotalTime>187</TotalTime>
  <ScaleCrop>false</ScaleCrop>
  <LinksUpToDate>false</LinksUpToDate>
  <CharactersWithSpaces>12878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2022-03-20T13:02:00Z</dcterms:created>
  <dc:creator>Food and Drug Administration</dc:creator>
  <cp:lastModifiedBy>太极箫客</cp:lastModifiedBy>
  <dcterms:modified xsi:type="dcterms:W3CDTF">2025-08-14T06:56:14Z</dcterms:modified>
  <dc:subject>Draft guidance for sponsors, sponsor-investigators, researchers, industry, and FDA Staff</dc:subject>
  <dc:title>Certificates of Confidentiality Draft Guidance</dc:title>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2022-03-17T01:28:50Z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913f46f1-a37b-4af6-a088-d7a368152429</vt:lpwstr>
  </property>
  <property fmtid="{D5CDD505-2E9C-101B-9397-08002B2CF9AE}" pid="8" name="MSIP_Label_ff6dbec8-95a8-4638-9f5f-bd076536645c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8D9D03EA010A4C8F80A6E8E415DEABD0_12</vt:lpwstr>
  </property>
</Properties>
</file>