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96146">
      <w:pPr>
        <w:pStyle w:val="14"/>
        <w:pBdr>
          <w:bottom w:val="single" w:color="auto" w:sz="4" w:space="1"/>
        </w:pBdr>
        <w:jc w:val="center"/>
        <w:rPr>
          <w:rFonts w:eastAsia="宋体"/>
          <w:sz w:val="56"/>
          <w:szCs w:val="56"/>
        </w:rPr>
      </w:pPr>
      <w:bookmarkStart w:id="1" w:name="_GoBack"/>
      <w:bookmarkEnd w:id="1"/>
      <w:r>
        <w:rPr>
          <w:rFonts w:eastAsia="宋体"/>
          <w:b/>
          <w:bCs/>
          <w:sz w:val="56"/>
          <w:szCs w:val="56"/>
        </w:rPr>
        <w:t>新分类过程（自动III类器械的评价）</w:t>
      </w:r>
    </w:p>
    <w:p w14:paraId="57358642">
      <w:pPr>
        <w:pStyle w:val="14"/>
        <w:jc w:val="center"/>
        <w:rPr>
          <w:rFonts w:eastAsia="宋体"/>
          <w:sz w:val="56"/>
          <w:szCs w:val="56"/>
        </w:rPr>
      </w:pPr>
      <w:r>
        <w:rPr>
          <w:rFonts w:eastAsia="宋体"/>
          <w:b/>
          <w:bCs/>
          <w:sz w:val="56"/>
          <w:szCs w:val="56"/>
        </w:rPr>
        <w:t>行业和美国食品药品监督管理局工作人员指南</w:t>
      </w:r>
    </w:p>
    <w:p w14:paraId="3B6C64EC">
      <w:pPr>
        <w:pStyle w:val="14"/>
        <w:jc w:val="center"/>
        <w:rPr>
          <w:rFonts w:eastAsia="宋体"/>
          <w:b/>
          <w:bCs/>
          <w:sz w:val="28"/>
          <w:szCs w:val="28"/>
        </w:rPr>
      </w:pPr>
    </w:p>
    <w:p w14:paraId="48688E7F">
      <w:pPr>
        <w:pStyle w:val="14"/>
        <w:jc w:val="center"/>
        <w:rPr>
          <w:rFonts w:eastAsia="宋体"/>
          <w:b/>
          <w:bCs/>
          <w:sz w:val="28"/>
          <w:szCs w:val="28"/>
        </w:rPr>
      </w:pPr>
      <w:r>
        <w:rPr>
          <w:rFonts w:hint="eastAsia" w:eastAsia="宋体"/>
          <w:b/>
          <w:bCs/>
          <w:sz w:val="28"/>
          <w:szCs w:val="28"/>
        </w:rPr>
        <w:t>文件发布日期：</w:t>
      </w:r>
      <w:r>
        <w:rPr>
          <w:rFonts w:eastAsia="宋体"/>
          <w:b/>
          <w:bCs/>
          <w:sz w:val="28"/>
          <w:szCs w:val="28"/>
        </w:rPr>
        <w:t>2017年10月30日</w:t>
      </w:r>
    </w:p>
    <w:p w14:paraId="6E2F7307">
      <w:pPr>
        <w:pStyle w:val="14"/>
        <w:jc w:val="center"/>
        <w:rPr>
          <w:rFonts w:eastAsia="宋体"/>
          <w:sz w:val="28"/>
          <w:szCs w:val="28"/>
        </w:rPr>
      </w:pPr>
    </w:p>
    <w:p w14:paraId="2D5CCC07">
      <w:pPr>
        <w:pStyle w:val="14"/>
        <w:jc w:val="center"/>
        <w:rPr>
          <w:rFonts w:eastAsia="宋体"/>
          <w:b/>
          <w:bCs/>
          <w:sz w:val="28"/>
          <w:szCs w:val="28"/>
        </w:rPr>
      </w:pPr>
      <w:r>
        <w:rPr>
          <w:rFonts w:hint="eastAsia" w:eastAsia="宋体"/>
          <w:b/>
          <w:bCs/>
          <w:sz w:val="28"/>
          <w:szCs w:val="28"/>
        </w:rPr>
        <w:t>文件草案发布日期：</w:t>
      </w:r>
      <w:r>
        <w:rPr>
          <w:rFonts w:eastAsia="宋体"/>
          <w:b/>
          <w:bCs/>
          <w:sz w:val="28"/>
          <w:szCs w:val="28"/>
        </w:rPr>
        <w:t>2014年8月14日</w:t>
      </w:r>
    </w:p>
    <w:p w14:paraId="5C0C0561">
      <w:pPr>
        <w:pStyle w:val="14"/>
        <w:jc w:val="center"/>
        <w:rPr>
          <w:rFonts w:eastAsia="宋体"/>
          <w:sz w:val="28"/>
          <w:szCs w:val="28"/>
        </w:rPr>
      </w:pPr>
    </w:p>
    <w:p w14:paraId="54373619">
      <w:pPr>
        <w:snapToGrid w:val="0"/>
        <w:jc w:val="center"/>
        <w:rPr>
          <w:rFonts w:eastAsia="宋体"/>
          <w:b/>
          <w:bCs/>
          <w:sz w:val="28"/>
          <w:szCs w:val="28"/>
        </w:rPr>
      </w:pPr>
      <w:r>
        <w:rPr>
          <w:rFonts w:eastAsia="宋体"/>
          <w:b/>
          <w:bCs/>
          <w:sz w:val="28"/>
          <w:szCs w:val="28"/>
        </w:rPr>
        <w:t>本文件取代了1998年2月19日的</w:t>
      </w:r>
      <w:r>
        <w:rPr>
          <w:rFonts w:ascii="宋体" w:hAnsi="宋体" w:eastAsia="宋体"/>
          <w:b/>
          <w:bCs/>
          <w:sz w:val="28"/>
          <w:szCs w:val="28"/>
        </w:rPr>
        <w:t>“</w:t>
      </w:r>
      <w:r>
        <w:rPr>
          <w:rFonts w:eastAsia="宋体"/>
          <w:b/>
          <w:bCs/>
          <w:sz w:val="28"/>
          <w:szCs w:val="28"/>
        </w:rPr>
        <w:t>新的第513(f)(2)条-自动III类器械的评价，行业和CDRH工作人员指南</w:t>
      </w:r>
      <w:r>
        <w:rPr>
          <w:rFonts w:ascii="宋体" w:hAnsi="宋体" w:eastAsia="宋体"/>
          <w:b/>
          <w:bCs/>
          <w:sz w:val="28"/>
          <w:szCs w:val="28"/>
        </w:rPr>
        <w:t>”</w:t>
      </w:r>
      <w:r>
        <w:rPr>
          <w:rFonts w:eastAsia="宋体"/>
          <w:b/>
          <w:bCs/>
          <w:sz w:val="28"/>
          <w:szCs w:val="28"/>
        </w:rPr>
        <w:t>。</w:t>
      </w:r>
    </w:p>
    <w:p w14:paraId="65235172">
      <w:pPr>
        <w:snapToGrid w:val="0"/>
        <w:jc w:val="center"/>
        <w:rPr>
          <w:rFonts w:eastAsia="宋体"/>
          <w:b/>
          <w:bCs/>
          <w:sz w:val="28"/>
          <w:szCs w:val="28"/>
        </w:rPr>
      </w:pPr>
    </w:p>
    <w:p w14:paraId="16F85FA1">
      <w:pPr>
        <w:pBdr>
          <w:top w:val="single" w:color="auto" w:sz="4" w:space="1"/>
          <w:left w:val="single" w:color="auto" w:sz="4" w:space="4"/>
          <w:bottom w:val="single" w:color="auto" w:sz="4" w:space="1"/>
          <w:right w:val="single" w:color="auto" w:sz="4" w:space="4"/>
        </w:pBdr>
        <w:snapToGrid w:val="0"/>
        <w:jc w:val="both"/>
        <w:rPr>
          <w:rFonts w:eastAsia="宋体"/>
          <w:color w:val="000000"/>
          <w:sz w:val="24"/>
          <w:szCs w:val="24"/>
        </w:rPr>
      </w:pPr>
      <w:r>
        <w:rPr>
          <w:rFonts w:eastAsia="宋体"/>
          <w:color w:val="000000"/>
          <w:sz w:val="24"/>
          <w:szCs w:val="24"/>
        </w:rPr>
        <w:t>除非显示当前有效的OMB控制编号，否则</w:t>
      </w:r>
      <w:r>
        <w:rPr>
          <w:rFonts w:hint="eastAsia" w:eastAsia="宋体"/>
          <w:color w:val="000000"/>
          <w:sz w:val="24"/>
          <w:szCs w:val="24"/>
        </w:rPr>
        <w:t>F</w:t>
      </w:r>
      <w:r>
        <w:rPr>
          <w:rFonts w:eastAsia="宋体"/>
          <w:color w:val="000000"/>
          <w:sz w:val="24"/>
          <w:szCs w:val="24"/>
        </w:rPr>
        <w:t>DA不得进行或发起信息收集，并且个人无需回应。该信息收集的OMB控制号是0910-0844（2020年9月30日到期）。</w:t>
      </w:r>
    </w:p>
    <w:p w14:paraId="51795577">
      <w:pPr>
        <w:pBdr>
          <w:top w:val="single" w:color="auto" w:sz="4" w:space="1"/>
          <w:left w:val="single" w:color="auto" w:sz="4" w:space="4"/>
          <w:bottom w:val="single" w:color="auto" w:sz="4" w:space="1"/>
          <w:right w:val="single" w:color="auto" w:sz="4" w:space="4"/>
        </w:pBdr>
        <w:snapToGrid w:val="0"/>
        <w:jc w:val="both"/>
        <w:rPr>
          <w:rFonts w:eastAsia="宋体"/>
          <w:sz w:val="24"/>
          <w:szCs w:val="24"/>
        </w:rPr>
      </w:pPr>
    </w:p>
    <w:p w14:paraId="36D095FD">
      <w:pPr>
        <w:snapToGrid w:val="0"/>
        <w:jc w:val="both"/>
        <w:rPr>
          <w:rFonts w:eastAsia="宋体"/>
          <w:b/>
          <w:bCs/>
          <w:color w:val="000000"/>
          <w:sz w:val="24"/>
          <w:szCs w:val="24"/>
        </w:rPr>
      </w:pPr>
      <w:r>
        <w:rPr>
          <w:rFonts w:eastAsia="宋体"/>
          <w:b/>
          <w:bCs/>
          <w:color w:val="000000"/>
          <w:sz w:val="24"/>
          <w:szCs w:val="24"/>
        </w:rPr>
        <w:t>见指南第5节中的PRA补充说明。</w:t>
      </w:r>
    </w:p>
    <w:p w14:paraId="7B16E9FE">
      <w:pPr>
        <w:snapToGrid w:val="0"/>
        <w:jc w:val="both"/>
        <w:rPr>
          <w:rFonts w:eastAsia="宋体"/>
          <w:b/>
          <w:bCs/>
          <w:color w:val="000000"/>
          <w:sz w:val="24"/>
          <w:szCs w:val="24"/>
        </w:rPr>
      </w:pPr>
    </w:p>
    <w:p w14:paraId="391BA25F">
      <w:pPr>
        <w:snapToGrid w:val="0"/>
        <w:jc w:val="both"/>
        <w:rPr>
          <w:rFonts w:eastAsia="宋体"/>
          <w:sz w:val="24"/>
          <w:szCs w:val="24"/>
        </w:rPr>
      </w:pPr>
    </w:p>
    <w:p w14:paraId="7430DBF8">
      <w:pPr>
        <w:snapToGrid w:val="0"/>
        <w:jc w:val="both"/>
        <w:rPr>
          <w:rFonts w:eastAsia="宋体"/>
          <w:sz w:val="24"/>
          <w:szCs w:val="24"/>
        </w:rPr>
      </w:pPr>
      <w:r>
        <w:rPr>
          <w:rFonts w:eastAsia="宋体"/>
          <w:color w:val="000000"/>
          <w:sz w:val="24"/>
          <w:szCs w:val="24"/>
        </w:rPr>
        <w:t>如对本文件有关CDRH监管的器械有疑问，请联系工业与消费者教育司（DICE），电话：1-800-638-2041，301-796-7100，或</w:t>
      </w:r>
      <w:r>
        <w:rPr>
          <w:rFonts w:eastAsia="宋体"/>
          <w:color w:val="0000FF"/>
          <w:sz w:val="24"/>
          <w:szCs w:val="24"/>
          <w:u w:val="single"/>
        </w:rPr>
        <w:t>DICE@fda.hhs.gov</w:t>
      </w:r>
      <w:r>
        <w:rPr>
          <w:rFonts w:eastAsia="宋体"/>
          <w:u w:val="single"/>
        </w:rPr>
        <w:t>。</w:t>
      </w:r>
    </w:p>
    <w:p w14:paraId="1173A18C">
      <w:pPr>
        <w:snapToGrid w:val="0"/>
        <w:jc w:val="both"/>
        <w:rPr>
          <w:rFonts w:eastAsia="宋体"/>
          <w:color w:val="000000"/>
          <w:sz w:val="24"/>
          <w:szCs w:val="24"/>
        </w:rPr>
      </w:pPr>
    </w:p>
    <w:p w14:paraId="1C09336E">
      <w:pPr>
        <w:snapToGrid w:val="0"/>
        <w:jc w:val="both"/>
        <w:rPr>
          <w:rFonts w:eastAsia="宋体"/>
          <w:sz w:val="24"/>
          <w:szCs w:val="24"/>
        </w:rPr>
      </w:pPr>
      <w:r>
        <w:rPr>
          <w:rFonts w:eastAsia="宋体"/>
          <w:color w:val="000000"/>
          <w:sz w:val="24"/>
          <w:szCs w:val="24"/>
        </w:rPr>
        <w:t>有关本文件中CBER监管器械的问题，请致电1-800-835-4709或240-402-8010联系对外信息、外联与发展办公室（OCOD）。</w:t>
      </w:r>
    </w:p>
    <w:p w14:paraId="2806C5F3">
      <w:pPr>
        <w:snapToGrid w:val="0"/>
        <w:jc w:val="both"/>
        <w:rPr>
          <w:rFonts w:eastAsia="宋体"/>
          <w:sz w:val="24"/>
          <w:szCs w:val="24"/>
        </w:rPr>
      </w:pPr>
    </w:p>
    <w:p w14:paraId="26E4BD97">
      <w:pPr>
        <w:snapToGrid w:val="0"/>
        <w:jc w:val="both"/>
        <w:rPr>
          <w:rFonts w:eastAsia="宋体"/>
          <w:sz w:val="24"/>
          <w:szCs w:val="24"/>
        </w:rPr>
      </w:pPr>
    </w:p>
    <w:p w14:paraId="304A1A2E">
      <w:pPr>
        <w:snapToGrid w:val="0"/>
        <w:jc w:val="both"/>
        <w:rPr>
          <w:rFonts w:eastAsia="宋体"/>
          <w:sz w:val="24"/>
          <w:szCs w:val="24"/>
        </w:rPr>
      </w:pPr>
    </w:p>
    <w:p w14:paraId="25DB25C3">
      <w:pPr>
        <w:snapToGrid w:val="0"/>
        <w:jc w:val="both"/>
        <w:rPr>
          <w:rFonts w:eastAsia="宋体"/>
          <w:sz w:val="24"/>
          <w:szCs w:val="24"/>
        </w:rPr>
      </w:pPr>
    </w:p>
    <w:p w14:paraId="63447584">
      <w:pPr>
        <w:snapToGrid w:val="0"/>
        <w:jc w:val="both"/>
        <w:rPr>
          <w:rFonts w:eastAsia="宋体"/>
          <w:sz w:val="24"/>
          <w:szCs w:val="24"/>
        </w:rPr>
      </w:pPr>
    </w:p>
    <w:p w14:paraId="545D3453">
      <w:pPr>
        <w:snapToGrid w:val="0"/>
        <w:jc w:val="both"/>
        <w:rPr>
          <w:rFonts w:eastAsia="宋体"/>
          <w:sz w:val="24"/>
          <w:szCs w:val="24"/>
        </w:rPr>
      </w:pPr>
    </w:p>
    <w:p w14:paraId="16AD3929">
      <w:pPr>
        <w:snapToGrid w:val="0"/>
        <w:jc w:val="both"/>
        <w:rPr>
          <w:rFonts w:eastAsia="宋体"/>
          <w:sz w:val="24"/>
          <w:szCs w:val="24"/>
        </w:rPr>
      </w:pPr>
    </w:p>
    <w:tbl>
      <w:tblPr>
        <w:tblStyle w:val="10"/>
        <w:tblW w:w="5000" w:type="pct"/>
        <w:tblInd w:w="0" w:type="dxa"/>
        <w:tblLayout w:type="fixed"/>
        <w:tblCellMar>
          <w:top w:w="0" w:type="dxa"/>
          <w:left w:w="40" w:type="dxa"/>
          <w:bottom w:w="0" w:type="dxa"/>
          <w:right w:w="40" w:type="dxa"/>
        </w:tblCellMar>
      </w:tblPr>
      <w:tblGrid>
        <w:gridCol w:w="3941"/>
        <w:gridCol w:w="5245"/>
      </w:tblGrid>
      <w:tr w14:paraId="766B26F4">
        <w:tblPrEx>
          <w:tblCellMar>
            <w:top w:w="0" w:type="dxa"/>
            <w:left w:w="40" w:type="dxa"/>
            <w:bottom w:w="0" w:type="dxa"/>
            <w:right w:w="40" w:type="dxa"/>
          </w:tblCellMar>
        </w:tblPrEx>
        <w:tc>
          <w:tcPr>
            <w:tcW w:w="4046" w:type="dxa"/>
            <w:tcBorders>
              <w:top w:val="nil"/>
              <w:left w:val="nil"/>
              <w:bottom w:val="nil"/>
              <w:right w:val="nil"/>
            </w:tcBorders>
            <w:shd w:val="clear" w:color="auto" w:fill="FFFFFF"/>
            <w:tcMar>
              <w:left w:w="57" w:type="dxa"/>
              <w:right w:w="57" w:type="dxa"/>
            </w:tcMar>
          </w:tcPr>
          <w:p w14:paraId="0E7687AE">
            <w:pPr>
              <w:snapToGrid w:val="0"/>
              <w:rPr>
                <w:rFonts w:eastAsia="宋体"/>
                <w:sz w:val="24"/>
                <w:szCs w:val="24"/>
              </w:rPr>
            </w:pPr>
            <w:r>
              <w:rPr>
                <w:rFonts w:eastAsia="宋体"/>
              </w:rPr>
              <w:drawing>
                <wp:inline distT="0" distB="0" distL="0" distR="0">
                  <wp:extent cx="2278380" cy="487680"/>
                  <wp:effectExtent l="0" t="0" r="762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2278577" cy="487722"/>
                          </a:xfrm>
                          <a:prstGeom prst="rect">
                            <a:avLst/>
                          </a:prstGeom>
                        </pic:spPr>
                      </pic:pic>
                    </a:graphicData>
                  </a:graphic>
                </wp:inline>
              </w:drawing>
            </w:r>
          </w:p>
        </w:tc>
        <w:tc>
          <w:tcPr>
            <w:tcW w:w="5386" w:type="dxa"/>
            <w:tcBorders>
              <w:top w:val="nil"/>
              <w:left w:val="nil"/>
              <w:bottom w:val="nil"/>
              <w:right w:val="nil"/>
            </w:tcBorders>
            <w:shd w:val="clear" w:color="auto" w:fill="FFFFFF"/>
            <w:tcMar>
              <w:left w:w="57" w:type="dxa"/>
              <w:right w:w="57" w:type="dxa"/>
            </w:tcMar>
          </w:tcPr>
          <w:p w14:paraId="743FD102">
            <w:pPr>
              <w:snapToGrid w:val="0"/>
              <w:jc w:val="right"/>
              <w:rPr>
                <w:rFonts w:eastAsia="宋体"/>
                <w:b/>
                <w:bCs/>
                <w:color w:val="000000"/>
                <w:sz w:val="24"/>
                <w:szCs w:val="24"/>
              </w:rPr>
            </w:pPr>
            <w:r>
              <w:rPr>
                <w:rFonts w:eastAsia="宋体"/>
                <w:b/>
                <w:bCs/>
                <w:color w:val="000000"/>
                <w:sz w:val="24"/>
                <w:szCs w:val="24"/>
              </w:rPr>
              <w:t>美国卫生</w:t>
            </w:r>
            <w:r>
              <w:rPr>
                <w:rFonts w:hint="eastAsia" w:eastAsia="宋体"/>
                <w:b/>
                <w:bCs/>
                <w:color w:val="000000"/>
                <w:sz w:val="24"/>
                <w:szCs w:val="24"/>
              </w:rPr>
              <w:t>与</w:t>
            </w:r>
            <w:r>
              <w:rPr>
                <w:rFonts w:eastAsia="宋体"/>
                <w:b/>
                <w:bCs/>
                <w:color w:val="000000"/>
                <w:sz w:val="24"/>
                <w:szCs w:val="24"/>
              </w:rPr>
              <w:t>公众服务部</w:t>
            </w:r>
          </w:p>
          <w:p w14:paraId="4F423FC6">
            <w:pPr>
              <w:snapToGrid w:val="0"/>
              <w:jc w:val="right"/>
              <w:rPr>
                <w:rFonts w:eastAsia="宋体"/>
                <w:sz w:val="24"/>
                <w:szCs w:val="24"/>
              </w:rPr>
            </w:pPr>
            <w:r>
              <w:rPr>
                <w:rFonts w:eastAsia="宋体"/>
                <w:b/>
                <w:bCs/>
                <w:color w:val="000000"/>
                <w:sz w:val="24"/>
                <w:szCs w:val="24"/>
              </w:rPr>
              <w:t>美国食品药品监督管理局</w:t>
            </w:r>
          </w:p>
          <w:p w14:paraId="3B95671F">
            <w:pPr>
              <w:snapToGrid w:val="0"/>
              <w:jc w:val="right"/>
              <w:rPr>
                <w:rFonts w:eastAsia="宋体"/>
                <w:sz w:val="24"/>
                <w:szCs w:val="24"/>
              </w:rPr>
            </w:pPr>
            <w:r>
              <w:rPr>
                <w:rFonts w:eastAsia="宋体"/>
                <w:b/>
                <w:bCs/>
                <w:color w:val="000000"/>
                <w:sz w:val="24"/>
                <w:szCs w:val="24"/>
              </w:rPr>
              <w:t>医疗器械</w:t>
            </w:r>
            <w:r>
              <w:rPr>
                <w:rFonts w:hint="eastAsia" w:eastAsia="宋体"/>
                <w:b/>
                <w:bCs/>
                <w:color w:val="000000"/>
                <w:sz w:val="24"/>
                <w:szCs w:val="24"/>
              </w:rPr>
              <w:t>和</w:t>
            </w:r>
            <w:r>
              <w:rPr>
                <w:rFonts w:eastAsia="宋体"/>
                <w:b/>
                <w:bCs/>
                <w:color w:val="000000"/>
                <w:sz w:val="24"/>
                <w:szCs w:val="24"/>
              </w:rPr>
              <w:t>放射健康中心</w:t>
            </w:r>
          </w:p>
          <w:p w14:paraId="6DA1E215">
            <w:pPr>
              <w:snapToGrid w:val="0"/>
              <w:jc w:val="right"/>
              <w:rPr>
                <w:rFonts w:eastAsia="宋体"/>
                <w:sz w:val="24"/>
                <w:szCs w:val="24"/>
              </w:rPr>
            </w:pPr>
            <w:r>
              <w:rPr>
                <w:rFonts w:eastAsia="宋体"/>
                <w:b/>
                <w:bCs/>
                <w:color w:val="000000"/>
                <w:sz w:val="24"/>
                <w:szCs w:val="24"/>
              </w:rPr>
              <w:t>生物制品评价和研究中心</w:t>
            </w:r>
          </w:p>
        </w:tc>
      </w:tr>
    </w:tbl>
    <w:p w14:paraId="07C24B11">
      <w:pPr>
        <w:snapToGrid w:val="0"/>
        <w:jc w:val="both"/>
        <w:rPr>
          <w:rFonts w:eastAsia="宋体"/>
          <w:sz w:val="21"/>
          <w:szCs w:val="21"/>
        </w:rPr>
        <w:sectPr>
          <w:type w:val="continuous"/>
          <w:pgSz w:w="11906" w:h="16838"/>
          <w:pgMar w:top="1134" w:right="1417" w:bottom="1134" w:left="1417" w:header="850" w:footer="720" w:gutter="0"/>
          <w:cols w:space="60" w:num="1"/>
          <w:docGrid w:linePitch="272" w:charSpace="0"/>
        </w:sectPr>
      </w:pPr>
    </w:p>
    <w:p w14:paraId="43C6785C">
      <w:pPr>
        <w:pStyle w:val="14"/>
        <w:jc w:val="center"/>
        <w:rPr>
          <w:rFonts w:eastAsia="宋体"/>
          <w:b/>
          <w:bCs/>
          <w:sz w:val="48"/>
          <w:szCs w:val="48"/>
        </w:rPr>
      </w:pPr>
      <w:r>
        <w:rPr>
          <w:rFonts w:eastAsia="宋体"/>
          <w:b/>
          <w:bCs/>
          <w:sz w:val="48"/>
          <w:szCs w:val="48"/>
        </w:rPr>
        <w:t>前言</w:t>
      </w:r>
    </w:p>
    <w:p w14:paraId="30042934">
      <w:pPr>
        <w:pStyle w:val="14"/>
        <w:jc w:val="center"/>
        <w:rPr>
          <w:rFonts w:eastAsia="宋体"/>
          <w:sz w:val="48"/>
          <w:szCs w:val="48"/>
        </w:rPr>
      </w:pPr>
    </w:p>
    <w:p w14:paraId="2AAD8A2E">
      <w:pPr>
        <w:snapToGrid w:val="0"/>
        <w:jc w:val="both"/>
        <w:rPr>
          <w:rFonts w:eastAsia="宋体"/>
          <w:b/>
          <w:bCs/>
          <w:sz w:val="36"/>
          <w:szCs w:val="36"/>
        </w:rPr>
      </w:pPr>
      <w:r>
        <w:rPr>
          <w:rFonts w:eastAsia="宋体"/>
          <w:b/>
          <w:bCs/>
          <w:sz w:val="36"/>
          <w:szCs w:val="36"/>
        </w:rPr>
        <w:t>公众意见</w:t>
      </w:r>
    </w:p>
    <w:p w14:paraId="5E9ADBD4">
      <w:pPr>
        <w:snapToGrid w:val="0"/>
        <w:jc w:val="both"/>
        <w:rPr>
          <w:rFonts w:eastAsia="宋体"/>
          <w:b/>
          <w:bCs/>
          <w:sz w:val="36"/>
          <w:szCs w:val="36"/>
        </w:rPr>
      </w:pPr>
    </w:p>
    <w:p w14:paraId="75F03B0A">
      <w:pPr>
        <w:snapToGrid w:val="0"/>
        <w:jc w:val="both"/>
        <w:rPr>
          <w:rFonts w:eastAsia="宋体"/>
          <w:sz w:val="24"/>
          <w:szCs w:val="24"/>
        </w:rPr>
      </w:pPr>
      <w:r>
        <w:rPr>
          <w:rFonts w:eastAsia="宋体"/>
          <w:color w:val="000000"/>
          <w:sz w:val="24"/>
          <w:szCs w:val="24"/>
        </w:rPr>
        <w:t>您可随时提交电子意见和建议至</w:t>
      </w:r>
      <w:r>
        <w:rPr>
          <w:rFonts w:eastAsia="宋体"/>
          <w:color w:val="0000FF"/>
          <w:sz w:val="24"/>
          <w:szCs w:val="24"/>
          <w:u w:val="single"/>
        </w:rPr>
        <w:t>https://www.regulations.gov</w:t>
      </w:r>
      <w:r>
        <w:rPr>
          <w:rFonts w:eastAsia="宋体"/>
          <w:color w:val="000000"/>
          <w:sz w:val="24"/>
          <w:szCs w:val="24"/>
        </w:rPr>
        <w:t>，以供</w:t>
      </w:r>
      <w:r>
        <w:rPr>
          <w:rFonts w:hint="eastAsia" w:eastAsia="宋体"/>
          <w:color w:val="000000"/>
          <w:sz w:val="24"/>
          <w:szCs w:val="24"/>
        </w:rPr>
        <w:t>F</w:t>
      </w:r>
      <w:r>
        <w:rPr>
          <w:rFonts w:eastAsia="宋体"/>
          <w:color w:val="000000"/>
          <w:sz w:val="24"/>
          <w:szCs w:val="24"/>
        </w:rPr>
        <w:t>DA考虑。请提交书面意见至美国食品药品监督管理局档案管理工作人员（5630 Fishers Lane, Room 1061, （HFA-305）, Rockville, MD 20852）。请用备注号[FDA-2011-D-0689]标明所有意见。下次修订或更新文件前，</w:t>
      </w:r>
      <w:r>
        <w:rPr>
          <w:rFonts w:hint="eastAsia" w:eastAsia="宋体"/>
          <w:color w:val="000000"/>
          <w:sz w:val="24"/>
          <w:szCs w:val="24"/>
        </w:rPr>
        <w:t>F</w:t>
      </w:r>
      <w:r>
        <w:rPr>
          <w:rFonts w:eastAsia="宋体"/>
          <w:color w:val="000000"/>
          <w:sz w:val="24"/>
          <w:szCs w:val="24"/>
        </w:rPr>
        <w:t>DA可能不会对评论意见采取行动。</w:t>
      </w:r>
    </w:p>
    <w:p w14:paraId="1C15E579">
      <w:pPr>
        <w:snapToGrid w:val="0"/>
        <w:jc w:val="both"/>
        <w:rPr>
          <w:rFonts w:eastAsia="宋体"/>
          <w:b/>
          <w:bCs/>
          <w:color w:val="000000"/>
          <w:sz w:val="36"/>
          <w:szCs w:val="36"/>
        </w:rPr>
      </w:pPr>
    </w:p>
    <w:p w14:paraId="0F1109BC">
      <w:pPr>
        <w:snapToGrid w:val="0"/>
        <w:jc w:val="both"/>
        <w:rPr>
          <w:rFonts w:eastAsia="宋体"/>
          <w:b/>
          <w:bCs/>
          <w:color w:val="000000"/>
          <w:sz w:val="36"/>
          <w:szCs w:val="36"/>
        </w:rPr>
      </w:pPr>
      <w:r>
        <w:rPr>
          <w:rFonts w:hint="eastAsia" w:eastAsia="宋体"/>
          <w:b/>
          <w:bCs/>
          <w:color w:val="000000"/>
          <w:sz w:val="36"/>
          <w:szCs w:val="36"/>
        </w:rPr>
        <w:t>更多</w:t>
      </w:r>
      <w:r>
        <w:rPr>
          <w:rFonts w:eastAsia="宋体"/>
          <w:b/>
          <w:bCs/>
          <w:color w:val="000000"/>
          <w:sz w:val="36"/>
          <w:szCs w:val="36"/>
        </w:rPr>
        <w:t>副本</w:t>
      </w:r>
    </w:p>
    <w:p w14:paraId="1BAF1C4F">
      <w:pPr>
        <w:snapToGrid w:val="0"/>
        <w:jc w:val="both"/>
        <w:rPr>
          <w:rFonts w:eastAsia="宋体"/>
          <w:sz w:val="36"/>
          <w:szCs w:val="36"/>
        </w:rPr>
      </w:pPr>
    </w:p>
    <w:p w14:paraId="27DDC038">
      <w:pPr>
        <w:snapToGrid w:val="0"/>
        <w:jc w:val="both"/>
        <w:rPr>
          <w:rFonts w:eastAsia="宋体"/>
          <w:sz w:val="28"/>
          <w:szCs w:val="28"/>
        </w:rPr>
      </w:pPr>
      <w:r>
        <w:rPr>
          <w:rFonts w:eastAsia="宋体"/>
          <w:b/>
          <w:bCs/>
          <w:color w:val="000000"/>
          <w:sz w:val="28"/>
          <w:szCs w:val="28"/>
        </w:rPr>
        <w:t>医疗器械</w:t>
      </w:r>
      <w:r>
        <w:rPr>
          <w:rFonts w:hint="eastAsia" w:eastAsia="宋体"/>
          <w:b/>
          <w:bCs/>
          <w:color w:val="000000"/>
          <w:sz w:val="28"/>
          <w:szCs w:val="28"/>
        </w:rPr>
        <w:t>与</w:t>
      </w:r>
      <w:r>
        <w:rPr>
          <w:rFonts w:eastAsia="宋体"/>
          <w:b/>
          <w:bCs/>
          <w:color w:val="000000"/>
          <w:sz w:val="28"/>
          <w:szCs w:val="28"/>
        </w:rPr>
        <w:t>放射健康中心（CDRH）</w:t>
      </w:r>
    </w:p>
    <w:p w14:paraId="0123DCB2">
      <w:pPr>
        <w:snapToGrid w:val="0"/>
        <w:jc w:val="both"/>
        <w:rPr>
          <w:rFonts w:eastAsia="宋体"/>
          <w:sz w:val="24"/>
          <w:szCs w:val="24"/>
        </w:rPr>
      </w:pPr>
      <w:r>
        <w:rPr>
          <w:rFonts w:eastAsia="宋体"/>
          <w:color w:val="000000"/>
          <w:sz w:val="24"/>
          <w:szCs w:val="24"/>
        </w:rPr>
        <w:t>可从互联网获取其他副本。您也可以发送电子邮件请求到</w:t>
      </w:r>
      <w:r>
        <w:rPr>
          <w:rFonts w:eastAsia="宋体"/>
          <w:color w:val="0000FF"/>
          <w:sz w:val="24"/>
          <w:szCs w:val="24"/>
          <w:u w:val="single"/>
        </w:rPr>
        <w:t xml:space="preserve">CDRH-Guidance@fda.hhs.gov </w:t>
      </w:r>
      <w:r>
        <w:rPr>
          <w:rFonts w:eastAsia="宋体"/>
          <w:color w:val="000000"/>
          <w:sz w:val="24"/>
          <w:szCs w:val="24"/>
        </w:rPr>
        <w:t>，以获得指南的电子版。请使用文件编号1760识别您请求的指南。</w:t>
      </w:r>
    </w:p>
    <w:p w14:paraId="57D63C8E">
      <w:pPr>
        <w:snapToGrid w:val="0"/>
        <w:jc w:val="both"/>
        <w:rPr>
          <w:rFonts w:eastAsia="宋体"/>
          <w:b/>
          <w:bCs/>
          <w:color w:val="000000"/>
          <w:sz w:val="24"/>
          <w:szCs w:val="24"/>
        </w:rPr>
      </w:pPr>
    </w:p>
    <w:p w14:paraId="50DDEDA6">
      <w:pPr>
        <w:snapToGrid w:val="0"/>
        <w:jc w:val="both"/>
        <w:rPr>
          <w:rFonts w:eastAsia="宋体"/>
          <w:sz w:val="28"/>
          <w:szCs w:val="28"/>
        </w:rPr>
      </w:pPr>
      <w:r>
        <w:rPr>
          <w:rFonts w:eastAsia="宋体"/>
          <w:b/>
          <w:bCs/>
          <w:color w:val="000000"/>
          <w:sz w:val="28"/>
          <w:szCs w:val="28"/>
        </w:rPr>
        <w:t>生物制品评价</w:t>
      </w:r>
      <w:r>
        <w:rPr>
          <w:rFonts w:hint="eastAsia" w:eastAsia="宋体"/>
          <w:b/>
          <w:bCs/>
          <w:color w:val="000000"/>
          <w:sz w:val="28"/>
          <w:szCs w:val="28"/>
        </w:rPr>
        <w:t>和</w:t>
      </w:r>
      <w:r>
        <w:rPr>
          <w:rFonts w:eastAsia="宋体"/>
          <w:b/>
          <w:bCs/>
          <w:color w:val="000000"/>
          <w:sz w:val="28"/>
          <w:szCs w:val="28"/>
        </w:rPr>
        <w:t>研究中心（CBER）</w:t>
      </w:r>
    </w:p>
    <w:p w14:paraId="6CF2EB58">
      <w:pPr>
        <w:snapToGrid w:val="0"/>
        <w:rPr>
          <w:rFonts w:eastAsia="宋体"/>
          <w:sz w:val="24"/>
          <w:szCs w:val="24"/>
        </w:rPr>
      </w:pPr>
      <w:r>
        <w:rPr>
          <w:rFonts w:eastAsia="宋体"/>
          <w:color w:val="000000"/>
          <w:sz w:val="24"/>
          <w:szCs w:val="24"/>
        </w:rPr>
        <w:t>可向生物制品评价和研究中心（CBER）提出书面申请，地址是Office of Communication, Outreach, and Development (OCOD), 10903 New Hampshire Ave., WO71, Room 3128, Silver Spring, MD 20903，或致电1-800-835-4709或240-402-8010，</w:t>
      </w:r>
      <w:r>
        <w:rPr>
          <w:rFonts w:hint="eastAsia" w:eastAsia="宋体"/>
          <w:color w:val="000000"/>
          <w:sz w:val="24"/>
          <w:szCs w:val="24"/>
        </w:rPr>
        <w:t>发送</w:t>
      </w:r>
      <w:r>
        <w:rPr>
          <w:rFonts w:eastAsia="宋体"/>
          <w:color w:val="000000"/>
          <w:sz w:val="24"/>
          <w:szCs w:val="24"/>
        </w:rPr>
        <w:t>电子邮件</w:t>
      </w:r>
      <w:r>
        <w:rPr>
          <w:rFonts w:hint="eastAsia" w:eastAsia="宋体"/>
          <w:color w:val="000000"/>
          <w:sz w:val="24"/>
          <w:szCs w:val="24"/>
        </w:rPr>
        <w:t>到</w:t>
      </w:r>
      <w:r>
        <w:rPr>
          <w:rFonts w:eastAsia="宋体"/>
          <w:color w:val="0000FF"/>
          <w:sz w:val="24"/>
          <w:szCs w:val="24"/>
        </w:rPr>
        <w:t xml:space="preserve"> </w:t>
      </w:r>
      <w:r>
        <w:rPr>
          <w:rFonts w:eastAsia="宋体"/>
          <w:color w:val="0000FF"/>
          <w:sz w:val="24"/>
          <w:szCs w:val="24"/>
          <w:u w:val="single"/>
        </w:rPr>
        <w:t>ocod@fda.hhs.gov，</w:t>
      </w:r>
      <w:r>
        <w:rPr>
          <w:rFonts w:eastAsia="宋体"/>
          <w:color w:val="000000"/>
          <w:sz w:val="24"/>
          <w:szCs w:val="24"/>
        </w:rPr>
        <w:t>或</w:t>
      </w:r>
      <w:r>
        <w:rPr>
          <w:rFonts w:hint="eastAsia" w:eastAsia="宋体"/>
          <w:color w:val="000000"/>
          <w:sz w:val="24"/>
          <w:szCs w:val="24"/>
        </w:rPr>
        <w:t>访问</w:t>
      </w:r>
      <w:r>
        <w:rPr>
          <w:rFonts w:eastAsia="宋体"/>
          <w:color w:val="0000FF"/>
          <w:sz w:val="24"/>
          <w:szCs w:val="24"/>
          <w:u w:val="single"/>
        </w:rPr>
        <w:t>http://www.fda.gov/BiologicsBloodVaccines/GuidanceComplianceRegulatoryInformation/Guidances/default.htm</w:t>
      </w:r>
      <w:r>
        <w:rPr>
          <w:rFonts w:eastAsia="宋体"/>
          <w:sz w:val="24"/>
          <w:szCs w:val="24"/>
        </w:rPr>
        <w:t>获得其他副本。</w:t>
      </w:r>
    </w:p>
    <w:p w14:paraId="3E3B7A57">
      <w:pPr>
        <w:snapToGrid w:val="0"/>
        <w:jc w:val="both"/>
        <w:rPr>
          <w:rFonts w:eastAsia="宋体"/>
          <w:sz w:val="21"/>
          <w:szCs w:val="21"/>
        </w:rPr>
      </w:pPr>
    </w:p>
    <w:p w14:paraId="0AD140B0">
      <w:pPr>
        <w:snapToGrid w:val="0"/>
        <w:jc w:val="both"/>
        <w:rPr>
          <w:rFonts w:eastAsia="宋体"/>
          <w:sz w:val="21"/>
          <w:szCs w:val="21"/>
        </w:rPr>
        <w:sectPr>
          <w:headerReference r:id="rId4" w:type="default"/>
          <w:pgSz w:w="11906" w:h="16838"/>
          <w:pgMar w:top="1134" w:right="1417" w:bottom="1134" w:left="1417" w:header="850" w:footer="720" w:gutter="0"/>
          <w:cols w:space="60" w:num="1"/>
          <w:docGrid w:linePitch="272" w:charSpace="0"/>
        </w:sectPr>
      </w:pPr>
    </w:p>
    <w:p w14:paraId="18AB54B1">
      <w:pPr>
        <w:pStyle w:val="14"/>
        <w:pBdr>
          <w:bottom w:val="single" w:color="auto" w:sz="4" w:space="1"/>
        </w:pBdr>
        <w:jc w:val="center"/>
        <w:rPr>
          <w:rFonts w:eastAsia="宋体"/>
          <w:sz w:val="56"/>
          <w:szCs w:val="56"/>
        </w:rPr>
      </w:pPr>
      <w:r>
        <w:rPr>
          <w:rFonts w:eastAsia="宋体"/>
          <w:b/>
          <w:bCs/>
          <w:sz w:val="56"/>
          <w:szCs w:val="56"/>
        </w:rPr>
        <w:t>新分类过程（自动III类器械的评价）</w:t>
      </w:r>
    </w:p>
    <w:p w14:paraId="7FDCB8FA">
      <w:pPr>
        <w:pStyle w:val="14"/>
        <w:jc w:val="center"/>
        <w:rPr>
          <w:rFonts w:eastAsia="宋体"/>
          <w:sz w:val="56"/>
          <w:szCs w:val="56"/>
        </w:rPr>
      </w:pPr>
      <w:r>
        <w:rPr>
          <w:rFonts w:eastAsia="宋体"/>
          <w:b/>
          <w:bCs/>
          <w:sz w:val="56"/>
          <w:szCs w:val="56"/>
        </w:rPr>
        <w:t>行业</w:t>
      </w:r>
      <w:r>
        <w:rPr>
          <w:rFonts w:hint="eastAsia" w:eastAsia="宋体"/>
          <w:b/>
          <w:bCs/>
          <w:sz w:val="56"/>
          <w:szCs w:val="56"/>
        </w:rPr>
        <w:t>和</w:t>
      </w:r>
      <w:r>
        <w:rPr>
          <w:rFonts w:eastAsia="宋体"/>
          <w:b/>
          <w:bCs/>
          <w:sz w:val="56"/>
          <w:szCs w:val="56"/>
        </w:rPr>
        <w:t>美国食品药品监督管理局工作人员指南</w:t>
      </w:r>
    </w:p>
    <w:p w14:paraId="51B1553E">
      <w:pPr>
        <w:snapToGrid w:val="0"/>
        <w:jc w:val="both"/>
        <w:rPr>
          <w:rFonts w:eastAsia="宋体"/>
          <w:b/>
          <w:bCs/>
          <w:i/>
          <w:iCs/>
          <w:color w:val="000000"/>
          <w:sz w:val="21"/>
          <w:szCs w:val="21"/>
        </w:rPr>
      </w:pPr>
    </w:p>
    <w:p w14:paraId="1B200045">
      <w:pPr>
        <w:pBdr>
          <w:top w:val="thinThickThinSmallGap" w:color="auto" w:sz="24" w:space="1"/>
          <w:left w:val="thinThickThinSmallGap" w:color="auto" w:sz="24" w:space="4"/>
          <w:bottom w:val="thinThickThinSmallGap" w:color="auto" w:sz="24" w:space="1"/>
          <w:right w:val="thinThickThinSmallGap" w:color="auto" w:sz="24" w:space="4"/>
        </w:pBdr>
        <w:snapToGrid w:val="0"/>
        <w:jc w:val="both"/>
        <w:rPr>
          <w:rFonts w:eastAsia="宋体"/>
          <w:sz w:val="21"/>
          <w:szCs w:val="21"/>
        </w:rPr>
      </w:pPr>
      <w:r>
        <w:rPr>
          <w:rFonts w:hint="eastAsia" w:eastAsia="宋体"/>
          <w:b/>
          <w:bCs/>
          <w:i/>
          <w:iCs/>
          <w:color w:val="000000"/>
          <w:sz w:val="24"/>
          <w:szCs w:val="24"/>
        </w:rPr>
        <w:t>本指南代表美国食品药品监督管理局（</w:t>
      </w:r>
      <w:r>
        <w:rPr>
          <w:rFonts w:eastAsia="宋体"/>
          <w:b/>
          <w:bCs/>
          <w:i/>
          <w:iCs/>
          <w:color w:val="000000"/>
          <w:sz w:val="24"/>
          <w:szCs w:val="24"/>
        </w:rPr>
        <w:t>FDA</w:t>
      </w:r>
      <w:r>
        <w:rPr>
          <w:rFonts w:hint="eastAsia" w:eastAsia="宋体"/>
          <w:b/>
          <w:bCs/>
          <w:i/>
          <w:iCs/>
          <w:color w:val="000000"/>
          <w:sz w:val="24"/>
          <w:szCs w:val="24"/>
        </w:rPr>
        <w:t>）对该主题的当前看法。本文件不赋予任何人任何权利，对</w:t>
      </w:r>
      <w:r>
        <w:rPr>
          <w:rFonts w:eastAsia="宋体"/>
          <w:b/>
          <w:bCs/>
          <w:i/>
          <w:iCs/>
          <w:color w:val="000000"/>
          <w:sz w:val="24"/>
          <w:szCs w:val="24"/>
        </w:rPr>
        <w:t>FDA</w:t>
      </w:r>
      <w:r>
        <w:rPr>
          <w:rFonts w:hint="eastAsia" w:eastAsia="宋体"/>
          <w:b/>
          <w:bCs/>
          <w:i/>
          <w:iCs/>
          <w:color w:val="000000"/>
          <w:sz w:val="24"/>
          <w:szCs w:val="24"/>
        </w:rPr>
        <w:t>或公众不具有约束力。如果替代方法满足适用的情形和法规</w:t>
      </w:r>
      <w:r>
        <w:rPr>
          <w:rFonts w:eastAsia="宋体"/>
          <w:b/>
          <w:bCs/>
          <w:i/>
          <w:iCs/>
          <w:color w:val="000000"/>
          <w:sz w:val="24"/>
          <w:szCs w:val="24"/>
        </w:rPr>
        <w:t xml:space="preserve"> </w:t>
      </w:r>
      <w:r>
        <w:rPr>
          <w:rFonts w:hint="eastAsia" w:eastAsia="宋体"/>
          <w:b/>
          <w:bCs/>
          <w:i/>
          <w:iCs/>
          <w:color w:val="000000"/>
          <w:sz w:val="24"/>
          <w:szCs w:val="24"/>
        </w:rPr>
        <w:t>的要求，则贵司可使用替代方法。如需讨论替代方法，请联系标题页所列负责本指南的</w:t>
      </w:r>
      <w:r>
        <w:rPr>
          <w:rFonts w:eastAsia="宋体"/>
          <w:b/>
          <w:bCs/>
          <w:i/>
          <w:iCs/>
          <w:color w:val="000000"/>
          <w:sz w:val="24"/>
          <w:szCs w:val="24"/>
        </w:rPr>
        <w:t>FDA</w:t>
      </w:r>
      <w:r>
        <w:rPr>
          <w:rFonts w:hint="eastAsia" w:eastAsia="宋体"/>
          <w:b/>
          <w:bCs/>
          <w:i/>
          <w:iCs/>
          <w:color w:val="000000"/>
          <w:sz w:val="24"/>
          <w:szCs w:val="24"/>
        </w:rPr>
        <w:t>工作人员或办公室。</w:t>
      </w:r>
    </w:p>
    <w:p w14:paraId="35B71B41">
      <w:pPr>
        <w:pStyle w:val="2"/>
        <w:spacing w:before="240" w:after="240"/>
        <w:rPr>
          <w:rFonts w:eastAsia="宋体"/>
        </w:rPr>
      </w:pPr>
      <w:r>
        <w:rPr>
          <w:rFonts w:eastAsia="宋体"/>
        </w:rPr>
        <w:t>1.</w:t>
      </w:r>
      <w:r>
        <w:rPr>
          <w:rFonts w:eastAsia="宋体"/>
        </w:rPr>
        <w:tab/>
      </w:r>
      <w:r>
        <w:rPr>
          <w:rFonts w:hint="eastAsia" w:eastAsia="宋体"/>
        </w:rPr>
        <w:t>前</w:t>
      </w:r>
      <w:r>
        <w:rPr>
          <w:rFonts w:eastAsia="宋体"/>
        </w:rPr>
        <w:t>言</w:t>
      </w:r>
    </w:p>
    <w:p w14:paraId="4C9D4B54">
      <w:pPr>
        <w:snapToGrid w:val="0"/>
        <w:jc w:val="both"/>
        <w:rPr>
          <w:rFonts w:eastAsia="宋体"/>
          <w:color w:val="000000"/>
          <w:sz w:val="24"/>
          <w:szCs w:val="24"/>
        </w:rPr>
      </w:pPr>
      <w:r>
        <w:rPr>
          <w:rFonts w:eastAsia="宋体"/>
          <w:color w:val="000000"/>
          <w:sz w:val="24"/>
          <w:szCs w:val="24"/>
        </w:rPr>
        <w:t>本文件旨在为根据《联邦食品、药品和化妆品法案》（《FD&amp;C法案》）第513(f)(2)条提交和审查</w:t>
      </w:r>
      <w:r>
        <w:rPr>
          <w:rFonts w:ascii="宋体" w:hAnsi="宋体" w:eastAsia="宋体"/>
          <w:color w:val="000000"/>
          <w:sz w:val="24"/>
          <w:szCs w:val="24"/>
        </w:rPr>
        <w:t>“</w:t>
      </w:r>
      <w:r>
        <w:rPr>
          <w:rFonts w:eastAsia="宋体"/>
          <w:color w:val="000000"/>
          <w:sz w:val="24"/>
          <w:szCs w:val="24"/>
        </w:rPr>
        <w:t>新分类</w:t>
      </w:r>
      <w:r>
        <w:rPr>
          <w:rFonts w:ascii="宋体" w:hAnsi="宋体" w:eastAsia="宋体"/>
          <w:color w:val="000000"/>
          <w:sz w:val="24"/>
          <w:szCs w:val="24"/>
        </w:rPr>
        <w:t>”</w:t>
      </w:r>
      <w:r>
        <w:rPr>
          <w:rFonts w:eastAsia="宋体"/>
          <w:color w:val="000000"/>
          <w:sz w:val="24"/>
          <w:szCs w:val="24"/>
        </w:rPr>
        <w:t>申请（以下简称</w:t>
      </w:r>
      <w:r>
        <w:rPr>
          <w:rFonts w:ascii="宋体" w:hAnsi="宋体" w:eastAsia="宋体"/>
          <w:color w:val="000000"/>
          <w:sz w:val="24"/>
          <w:szCs w:val="24"/>
        </w:rPr>
        <w:t>“</w:t>
      </w:r>
      <w:r>
        <w:rPr>
          <w:rFonts w:eastAsia="宋体"/>
          <w:color w:val="000000"/>
          <w:sz w:val="24"/>
          <w:szCs w:val="24"/>
        </w:rPr>
        <w:t>新分类申请</w:t>
      </w:r>
      <w:r>
        <w:rPr>
          <w:rFonts w:ascii="宋体" w:hAnsi="宋体" w:eastAsia="宋体"/>
          <w:color w:val="000000"/>
          <w:sz w:val="24"/>
          <w:szCs w:val="24"/>
        </w:rPr>
        <w:t>”</w:t>
      </w:r>
      <w:r>
        <w:rPr>
          <w:rFonts w:eastAsia="宋体"/>
          <w:color w:val="000000"/>
          <w:sz w:val="24"/>
          <w:szCs w:val="24"/>
        </w:rPr>
        <w:t>）的程序提供指导，该程序也被称为新分类程序。这个过程为医疗器械提供了一个通向I级或II级分类的途径，对于这些器械，一般控制或一般和特殊控制提供了安全和有效性的合理保证，但没有合法上市的实质等同器械。</w:t>
      </w:r>
    </w:p>
    <w:p w14:paraId="495FB0A1">
      <w:pPr>
        <w:snapToGrid w:val="0"/>
        <w:jc w:val="both"/>
        <w:rPr>
          <w:rFonts w:eastAsia="宋体"/>
          <w:sz w:val="24"/>
          <w:szCs w:val="24"/>
        </w:rPr>
      </w:pPr>
    </w:p>
    <w:p w14:paraId="7707E587">
      <w:pPr>
        <w:snapToGrid w:val="0"/>
        <w:jc w:val="both"/>
        <w:rPr>
          <w:rFonts w:eastAsia="宋体"/>
          <w:color w:val="000000"/>
          <w:sz w:val="24"/>
          <w:szCs w:val="24"/>
        </w:rPr>
      </w:pPr>
      <w:r>
        <w:rPr>
          <w:rFonts w:eastAsia="宋体"/>
          <w:color w:val="000000"/>
          <w:sz w:val="24"/>
          <w:szCs w:val="24"/>
        </w:rPr>
        <w:t>FDA</w:t>
      </w:r>
      <w:r>
        <w:rPr>
          <w:rFonts w:hint="eastAsia" w:eastAsia="宋体"/>
          <w:color w:val="000000"/>
          <w:sz w:val="24"/>
          <w:szCs w:val="24"/>
        </w:rPr>
        <w:t>指南文件，包括本指南，并未规定具有法律强制力的责任。相反，指南描述了</w:t>
      </w:r>
      <w:r>
        <w:rPr>
          <w:rFonts w:eastAsia="宋体"/>
          <w:color w:val="000000"/>
          <w:sz w:val="24"/>
          <w:szCs w:val="24"/>
        </w:rPr>
        <w:t>FDA</w:t>
      </w:r>
      <w:r>
        <w:rPr>
          <w:rFonts w:hint="eastAsia" w:eastAsia="宋体"/>
          <w:color w:val="000000"/>
          <w:sz w:val="24"/>
          <w:szCs w:val="24"/>
        </w:rPr>
        <w:t>对该主题的当前看法，除非引用了具体监管或法定要求，否则应仅视为建议。</w:t>
      </w:r>
      <w:r>
        <w:rPr>
          <w:rFonts w:eastAsia="宋体"/>
          <w:color w:val="000000"/>
          <w:sz w:val="24"/>
          <w:szCs w:val="24"/>
        </w:rPr>
        <w:t>FDA</w:t>
      </w:r>
      <w:r>
        <w:rPr>
          <w:rFonts w:hint="eastAsia" w:eastAsia="宋体"/>
          <w:color w:val="000000"/>
          <w:sz w:val="24"/>
          <w:szCs w:val="24"/>
        </w:rPr>
        <w:t>指南中使用的“</w:t>
      </w:r>
      <w:r>
        <w:rPr>
          <w:rFonts w:hint="eastAsia" w:eastAsia="宋体"/>
          <w:i/>
          <w:iCs/>
          <w:color w:val="000000"/>
          <w:sz w:val="24"/>
          <w:szCs w:val="24"/>
        </w:rPr>
        <w:t>应该（</w:t>
      </w:r>
      <w:r>
        <w:rPr>
          <w:rFonts w:eastAsia="宋体"/>
          <w:i/>
          <w:iCs/>
          <w:color w:val="000000"/>
          <w:sz w:val="24"/>
          <w:szCs w:val="24"/>
        </w:rPr>
        <w:t>should</w:t>
      </w:r>
      <w:r>
        <w:rPr>
          <w:rFonts w:hint="eastAsia" w:eastAsia="宋体"/>
          <w:i/>
          <w:iCs/>
          <w:color w:val="000000"/>
          <w:sz w:val="24"/>
          <w:szCs w:val="24"/>
        </w:rPr>
        <w:t>）</w:t>
      </w:r>
      <w:r>
        <w:rPr>
          <w:rFonts w:hint="eastAsia" w:eastAsia="宋体"/>
          <w:color w:val="000000"/>
          <w:sz w:val="24"/>
          <w:szCs w:val="24"/>
        </w:rPr>
        <w:t>”一词指建议或推荐进行某一事项，并非强制要求。</w:t>
      </w:r>
    </w:p>
    <w:p w14:paraId="04FD7278">
      <w:pPr>
        <w:snapToGrid w:val="0"/>
        <w:jc w:val="both"/>
        <w:rPr>
          <w:rFonts w:eastAsia="宋体"/>
          <w:sz w:val="24"/>
          <w:szCs w:val="24"/>
        </w:rPr>
      </w:pPr>
    </w:p>
    <w:p w14:paraId="0A1D13FA">
      <w:pPr>
        <w:snapToGrid w:val="0"/>
        <w:jc w:val="both"/>
        <w:rPr>
          <w:rFonts w:eastAsia="宋体"/>
          <w:sz w:val="24"/>
          <w:szCs w:val="24"/>
        </w:rPr>
      </w:pPr>
      <w:r>
        <w:rPr>
          <w:rFonts w:eastAsia="宋体"/>
          <w:color w:val="000000"/>
          <w:sz w:val="24"/>
          <w:szCs w:val="24"/>
        </w:rPr>
        <w:t>本指导文件中，术语</w:t>
      </w:r>
      <w:r>
        <w:rPr>
          <w:rFonts w:ascii="宋体" w:hAnsi="宋体" w:eastAsia="宋体"/>
          <w:color w:val="000000"/>
          <w:sz w:val="24"/>
          <w:szCs w:val="24"/>
        </w:rPr>
        <w:t>“</w:t>
      </w:r>
      <w:r>
        <w:rPr>
          <w:rFonts w:eastAsia="宋体"/>
          <w:color w:val="000000"/>
          <w:sz w:val="24"/>
          <w:szCs w:val="24"/>
        </w:rPr>
        <w:t>我们</w:t>
      </w:r>
      <w:r>
        <w:rPr>
          <w:rFonts w:ascii="宋体" w:hAnsi="宋体" w:eastAsia="宋体"/>
          <w:color w:val="000000"/>
          <w:sz w:val="24"/>
          <w:szCs w:val="24"/>
        </w:rPr>
        <w:t>”</w:t>
      </w:r>
      <w:r>
        <w:rPr>
          <w:rFonts w:eastAsia="宋体"/>
          <w:color w:val="000000"/>
          <w:sz w:val="24"/>
          <w:szCs w:val="24"/>
        </w:rPr>
        <w:t>和</w:t>
      </w:r>
      <w:r>
        <w:rPr>
          <w:rFonts w:ascii="宋体" w:hAnsi="宋体" w:eastAsia="宋体"/>
          <w:color w:val="000000"/>
          <w:sz w:val="24"/>
          <w:szCs w:val="24"/>
        </w:rPr>
        <w:t>“</w:t>
      </w:r>
      <w:r>
        <w:rPr>
          <w:rFonts w:eastAsia="宋体"/>
          <w:color w:val="000000"/>
          <w:sz w:val="24"/>
          <w:szCs w:val="24"/>
        </w:rPr>
        <w:t>我们的</w:t>
      </w:r>
      <w:r>
        <w:rPr>
          <w:rFonts w:ascii="宋体" w:hAnsi="宋体" w:eastAsia="宋体"/>
          <w:color w:val="000000"/>
          <w:sz w:val="24"/>
          <w:szCs w:val="24"/>
        </w:rPr>
        <w:t>”</w:t>
      </w:r>
      <w:r>
        <w:rPr>
          <w:rFonts w:eastAsia="宋体"/>
          <w:color w:val="000000"/>
          <w:sz w:val="24"/>
          <w:szCs w:val="24"/>
        </w:rPr>
        <w:t>指参与新分类过程的审查和决策方面的FDA器械和放射健康中心（CDRH）或生物制品评估和研究中心（CBER）的工作人员。</w:t>
      </w:r>
      <w:r>
        <w:rPr>
          <w:rFonts w:hint="eastAsia" w:ascii="宋体" w:hAnsi="宋体" w:eastAsia="宋体"/>
          <w:color w:val="000000"/>
          <w:sz w:val="24"/>
          <w:szCs w:val="24"/>
        </w:rPr>
        <w:t>“</w:t>
      </w:r>
      <w:r>
        <w:rPr>
          <w:rFonts w:eastAsia="宋体"/>
          <w:color w:val="000000"/>
          <w:sz w:val="24"/>
          <w:szCs w:val="24"/>
        </w:rPr>
        <w:t>您</w:t>
      </w:r>
      <w:r>
        <w:rPr>
          <w:rFonts w:ascii="宋体" w:hAnsi="宋体" w:eastAsia="宋体"/>
          <w:color w:val="000000"/>
          <w:sz w:val="24"/>
          <w:szCs w:val="24"/>
        </w:rPr>
        <w:t>”</w:t>
      </w:r>
      <w:r>
        <w:rPr>
          <w:rFonts w:eastAsia="宋体"/>
          <w:color w:val="000000"/>
          <w:sz w:val="24"/>
          <w:szCs w:val="24"/>
        </w:rPr>
        <w:t>和</w:t>
      </w:r>
      <w:r>
        <w:rPr>
          <w:rFonts w:ascii="宋体" w:hAnsi="宋体" w:eastAsia="宋体"/>
          <w:color w:val="000000"/>
          <w:sz w:val="24"/>
          <w:szCs w:val="24"/>
        </w:rPr>
        <w:t>“</w:t>
      </w:r>
      <w:r>
        <w:rPr>
          <w:rFonts w:eastAsia="宋体"/>
          <w:color w:val="000000"/>
          <w:sz w:val="24"/>
          <w:szCs w:val="24"/>
        </w:rPr>
        <w:t>您的</w:t>
      </w:r>
      <w:r>
        <w:rPr>
          <w:rFonts w:ascii="宋体" w:hAnsi="宋体" w:eastAsia="宋体"/>
          <w:color w:val="000000"/>
          <w:sz w:val="24"/>
          <w:szCs w:val="24"/>
        </w:rPr>
        <w:t>”</w:t>
      </w:r>
      <w:r>
        <w:rPr>
          <w:rFonts w:eastAsia="宋体"/>
          <w:color w:val="000000"/>
          <w:sz w:val="24"/>
          <w:szCs w:val="24"/>
        </w:rPr>
        <w:t>指新申请和/或相关材料的提交者。</w:t>
      </w:r>
    </w:p>
    <w:p w14:paraId="18942202">
      <w:pPr>
        <w:pStyle w:val="2"/>
        <w:spacing w:before="240" w:after="240"/>
        <w:rPr>
          <w:rFonts w:eastAsia="宋体"/>
        </w:rPr>
      </w:pPr>
      <w:r>
        <w:rPr>
          <w:rFonts w:eastAsia="宋体"/>
        </w:rPr>
        <w:t>2.</w:t>
      </w:r>
      <w:r>
        <w:rPr>
          <w:rFonts w:eastAsia="宋体"/>
        </w:rPr>
        <w:tab/>
      </w:r>
      <w:r>
        <w:rPr>
          <w:rFonts w:eastAsia="宋体"/>
        </w:rPr>
        <w:t>背景</w:t>
      </w:r>
    </w:p>
    <w:p w14:paraId="05E96572">
      <w:pPr>
        <w:snapToGrid w:val="0"/>
        <w:jc w:val="both"/>
        <w:rPr>
          <w:rFonts w:eastAsia="宋体"/>
          <w:sz w:val="24"/>
          <w:szCs w:val="24"/>
        </w:rPr>
      </w:pPr>
      <w:r>
        <w:rPr>
          <w:rFonts w:eastAsia="宋体"/>
          <w:color w:val="000000"/>
          <w:sz w:val="24"/>
          <w:szCs w:val="24"/>
        </w:rPr>
        <w:t>一个器械可能被归入第三类，并通过几种不同的监管手段获得上市前批准（PMA）。根据《FD&amp;C法案》第513(a)(1)(C)条的标准，FDA可以颁布条例，根据器械所带来的风险以及一般和特殊控制措施无法为器械的安全和有效性提供合理保证，</w:t>
      </w:r>
      <w:r>
        <w:rPr>
          <w:rStyle w:val="13"/>
          <w:rFonts w:eastAsia="宋体"/>
          <w:color w:val="000000"/>
          <w:sz w:val="24"/>
          <w:szCs w:val="24"/>
        </w:rPr>
        <w:footnoteReference w:id="0"/>
      </w:r>
      <w:r>
        <w:rPr>
          <w:rFonts w:eastAsia="宋体"/>
          <w:color w:val="000000"/>
          <w:sz w:val="24"/>
          <w:szCs w:val="24"/>
        </w:rPr>
        <w:t>将器械</w:t>
      </w:r>
      <w:r>
        <w:rPr>
          <w:rFonts w:eastAsia="宋体"/>
          <w:i/>
          <w:iCs/>
          <w:color w:val="000000"/>
          <w:sz w:val="24"/>
          <w:szCs w:val="24"/>
        </w:rPr>
        <w:t>类型</w:t>
      </w:r>
      <w:r>
        <w:rPr>
          <w:rFonts w:eastAsia="宋体"/>
          <w:color w:val="000000"/>
          <w:sz w:val="24"/>
          <w:szCs w:val="24"/>
        </w:rPr>
        <w:t>归入第三类，或发布命令将其重新分类 。所有这种类型的特定器械都被认为属于第三类，这种器械没有资格进入新分类程序。</w:t>
      </w:r>
    </w:p>
    <w:p w14:paraId="65E57B29">
      <w:pPr>
        <w:snapToGrid w:val="0"/>
        <w:jc w:val="both"/>
        <w:rPr>
          <w:rFonts w:eastAsia="宋体"/>
          <w:sz w:val="21"/>
          <w:szCs w:val="21"/>
        </w:rPr>
      </w:pPr>
    </w:p>
    <w:p w14:paraId="2FB2CF4E">
      <w:pPr>
        <w:snapToGrid w:val="0"/>
        <w:jc w:val="both"/>
        <w:rPr>
          <w:rFonts w:eastAsia="宋体"/>
          <w:sz w:val="21"/>
          <w:szCs w:val="21"/>
        </w:rPr>
      </w:pPr>
    </w:p>
    <w:p w14:paraId="79C79D07">
      <w:pPr>
        <w:snapToGrid w:val="0"/>
        <w:jc w:val="both"/>
        <w:rPr>
          <w:rFonts w:eastAsia="宋体"/>
          <w:sz w:val="21"/>
          <w:szCs w:val="21"/>
        </w:rPr>
        <w:sectPr>
          <w:footerReference r:id="rId5" w:type="default"/>
          <w:pgSz w:w="11906" w:h="16838"/>
          <w:pgMar w:top="1134" w:right="1417" w:bottom="1134" w:left="1417" w:header="850" w:footer="720" w:gutter="0"/>
          <w:cols w:space="60" w:num="1"/>
          <w:docGrid w:linePitch="272" w:charSpace="0"/>
        </w:sectPr>
      </w:pPr>
    </w:p>
    <w:p w14:paraId="79E0107F">
      <w:pPr>
        <w:snapToGrid w:val="0"/>
        <w:jc w:val="both"/>
        <w:rPr>
          <w:rFonts w:eastAsia="宋体"/>
          <w:color w:val="000000"/>
          <w:sz w:val="24"/>
          <w:szCs w:val="24"/>
        </w:rPr>
      </w:pPr>
      <w:r>
        <w:rPr>
          <w:rFonts w:eastAsia="宋体"/>
          <w:color w:val="000000"/>
          <w:sz w:val="24"/>
          <w:szCs w:val="24"/>
        </w:rPr>
        <w:t>另外，FDA之前没有根据《FD&amp;C法案》第513(a)(1)条的标准进行分类的新型器械，根据《FD&amp;C法案》第513(f)(1)条的规定，被</w:t>
      </w:r>
      <w:r>
        <w:rPr>
          <w:rFonts w:ascii="宋体" w:hAnsi="宋体" w:eastAsia="宋体"/>
          <w:color w:val="000000"/>
          <w:sz w:val="24"/>
          <w:szCs w:val="24"/>
        </w:rPr>
        <w:t>“</w:t>
      </w:r>
      <w:r>
        <w:rPr>
          <w:rFonts w:eastAsia="宋体"/>
          <w:color w:val="000000"/>
          <w:sz w:val="24"/>
          <w:szCs w:val="24"/>
        </w:rPr>
        <w:t>自动</w:t>
      </w:r>
      <w:r>
        <w:rPr>
          <w:rFonts w:ascii="宋体" w:hAnsi="宋体" w:eastAsia="宋体"/>
          <w:color w:val="000000"/>
          <w:sz w:val="24"/>
          <w:szCs w:val="24"/>
        </w:rPr>
        <w:t>”</w:t>
      </w:r>
      <w:r>
        <w:rPr>
          <w:rFonts w:eastAsia="宋体"/>
          <w:color w:val="000000"/>
          <w:sz w:val="24"/>
          <w:szCs w:val="24"/>
        </w:rPr>
        <w:t>或</w:t>
      </w:r>
      <w:r>
        <w:rPr>
          <w:rFonts w:ascii="宋体" w:hAnsi="宋体" w:eastAsia="宋体"/>
          <w:color w:val="000000"/>
          <w:sz w:val="24"/>
          <w:szCs w:val="24"/>
        </w:rPr>
        <w:t>“</w:t>
      </w:r>
      <w:r>
        <w:rPr>
          <w:rFonts w:eastAsia="宋体"/>
          <w:color w:val="000000"/>
          <w:sz w:val="24"/>
          <w:szCs w:val="24"/>
        </w:rPr>
        <w:t>法定</w:t>
      </w:r>
      <w:r>
        <w:rPr>
          <w:rFonts w:ascii="宋体" w:hAnsi="宋体" w:eastAsia="宋体"/>
          <w:color w:val="000000"/>
          <w:sz w:val="24"/>
          <w:szCs w:val="24"/>
        </w:rPr>
        <w:t>”</w:t>
      </w:r>
      <w:r>
        <w:rPr>
          <w:rFonts w:eastAsia="宋体"/>
          <w:color w:val="000000"/>
          <w:sz w:val="24"/>
          <w:szCs w:val="24"/>
        </w:rPr>
        <w:t>归入第三类，而不考虑其风险程度或一般和特殊控制措施能否保证安全性和有效性。这是因为，根据定义，新类型的器械将不属于1976年医疗器械修正案之前在市场上出现的类型，或在此后被归入I类或II类。因此，将没有可用的实质等同器械。</w:t>
      </w:r>
    </w:p>
    <w:p w14:paraId="23E5DB30">
      <w:pPr>
        <w:snapToGrid w:val="0"/>
        <w:jc w:val="both"/>
        <w:rPr>
          <w:rFonts w:eastAsia="宋体"/>
          <w:sz w:val="24"/>
          <w:szCs w:val="24"/>
        </w:rPr>
      </w:pPr>
    </w:p>
    <w:p w14:paraId="44168E70">
      <w:pPr>
        <w:snapToGrid w:val="0"/>
        <w:jc w:val="both"/>
        <w:rPr>
          <w:rFonts w:eastAsia="宋体"/>
          <w:color w:val="000000"/>
          <w:sz w:val="24"/>
          <w:szCs w:val="24"/>
        </w:rPr>
      </w:pPr>
      <w:r>
        <w:rPr>
          <w:rFonts w:eastAsia="宋体"/>
          <w:color w:val="000000"/>
          <w:sz w:val="24"/>
          <w:szCs w:val="24"/>
        </w:rPr>
        <w:t>第二种情况是国会在颁布《FD&amp;C法案》第513(f)(2)条作为1997年《食品和药品管理现代化法》（FDAMA）的一部分时的目标。这项规定所创建的程序，在《FD&amp;C法案》中被称为自动III类器械的评价，在本指导文件中，将被称为</w:t>
      </w:r>
      <w:r>
        <w:rPr>
          <w:rFonts w:ascii="宋体" w:hAnsi="宋体" w:eastAsia="宋体"/>
          <w:color w:val="000000"/>
          <w:sz w:val="24"/>
          <w:szCs w:val="24"/>
        </w:rPr>
        <w:t>“</w:t>
      </w:r>
      <w:r>
        <w:rPr>
          <w:rFonts w:eastAsia="宋体"/>
          <w:color w:val="000000"/>
          <w:sz w:val="24"/>
          <w:szCs w:val="24"/>
        </w:rPr>
        <w:t>新分类程序</w:t>
      </w:r>
      <w:r>
        <w:rPr>
          <w:rFonts w:ascii="宋体" w:hAnsi="宋体" w:eastAsia="宋体"/>
          <w:color w:val="000000"/>
          <w:sz w:val="24"/>
          <w:szCs w:val="24"/>
        </w:rPr>
        <w:t>”</w:t>
      </w:r>
      <w:r>
        <w:rPr>
          <w:rStyle w:val="13"/>
          <w:rFonts w:eastAsia="宋体"/>
          <w:color w:val="000000"/>
          <w:sz w:val="24"/>
          <w:szCs w:val="24"/>
        </w:rPr>
        <w:t xml:space="preserve"> </w:t>
      </w:r>
      <w:r>
        <w:rPr>
          <w:rStyle w:val="13"/>
          <w:rFonts w:eastAsia="宋体"/>
          <w:color w:val="000000"/>
          <w:sz w:val="24"/>
          <w:szCs w:val="24"/>
        </w:rPr>
        <w:footnoteReference w:id="1"/>
      </w:r>
      <w:r>
        <w:rPr>
          <w:rFonts w:eastAsia="宋体"/>
          <w:color w:val="000000"/>
          <w:sz w:val="24"/>
          <w:szCs w:val="24"/>
        </w:rPr>
        <w:t>国会纳入本节是为了限制FDA和行业资源的不必要支出，如果一般控制或一般和特殊控制提供合理的安全和有效性保证的器械需要根据《FD&amp;C法案》第515节进行上市前批准，则可能出现这种情况。《FD&amp;C法案》第513(f)(2)条允许制造商向FDA提交新申请，以处理根据第513(f)(1)条</w:t>
      </w:r>
      <w:r>
        <w:rPr>
          <w:rFonts w:ascii="宋体" w:hAnsi="宋体" w:eastAsia="宋体"/>
          <w:color w:val="000000"/>
          <w:sz w:val="24"/>
          <w:szCs w:val="24"/>
        </w:rPr>
        <w:t>“</w:t>
      </w:r>
      <w:r>
        <w:rPr>
          <w:rFonts w:eastAsia="宋体"/>
          <w:color w:val="000000"/>
          <w:sz w:val="24"/>
          <w:szCs w:val="24"/>
        </w:rPr>
        <w:t>自动</w:t>
      </w:r>
      <w:r>
        <w:rPr>
          <w:rFonts w:ascii="宋体" w:hAnsi="宋体" w:eastAsia="宋体"/>
          <w:color w:val="000000"/>
          <w:sz w:val="24"/>
          <w:szCs w:val="24"/>
        </w:rPr>
        <w:t>”</w:t>
      </w:r>
      <w:r>
        <w:rPr>
          <w:rFonts w:eastAsia="宋体"/>
          <w:color w:val="000000"/>
          <w:sz w:val="24"/>
          <w:szCs w:val="24"/>
        </w:rPr>
        <w:t>归入第三类的器械。根据FDAMA的规定，为了提交新申请，器械首先必须通过上市前通知（510（k））被发现与合法上市的实质等同器械没有实质等效性（NSE）。21世纪治愈法案</w:t>
      </w:r>
      <w:r>
        <w:rPr>
          <w:rStyle w:val="13"/>
          <w:rFonts w:eastAsia="宋体"/>
          <w:color w:val="000000"/>
          <w:sz w:val="24"/>
          <w:szCs w:val="24"/>
        </w:rPr>
        <w:footnoteReference w:id="2"/>
      </w:r>
      <w:r>
        <w:rPr>
          <w:rFonts w:eastAsia="宋体"/>
          <w:color w:val="000000"/>
          <w:sz w:val="24"/>
          <w:szCs w:val="24"/>
        </w:rPr>
        <w:t>取消了在收到NSE裁定后30天内提交新申请的要求。</w:t>
      </w:r>
      <w:r>
        <w:rPr>
          <w:rStyle w:val="13"/>
          <w:rFonts w:eastAsia="宋体"/>
          <w:color w:val="000000"/>
          <w:sz w:val="24"/>
          <w:szCs w:val="24"/>
        </w:rPr>
        <w:footnoteReference w:id="3"/>
      </w:r>
    </w:p>
    <w:p w14:paraId="30633BE6">
      <w:pPr>
        <w:snapToGrid w:val="0"/>
        <w:jc w:val="both"/>
        <w:rPr>
          <w:rFonts w:eastAsia="宋体"/>
          <w:sz w:val="24"/>
          <w:szCs w:val="24"/>
        </w:rPr>
      </w:pPr>
    </w:p>
    <w:p w14:paraId="69FDBEE5">
      <w:pPr>
        <w:snapToGrid w:val="0"/>
        <w:jc w:val="both"/>
        <w:rPr>
          <w:rFonts w:eastAsia="宋体"/>
          <w:sz w:val="24"/>
          <w:szCs w:val="24"/>
        </w:rPr>
      </w:pPr>
      <w:r>
        <w:rPr>
          <w:rFonts w:eastAsia="宋体"/>
          <w:color w:val="000000"/>
          <w:sz w:val="24"/>
          <w:szCs w:val="24"/>
        </w:rPr>
        <w:t>FDASIA第607条修改了第513(f)(2)条，创建了替代机制</w:t>
      </w:r>
      <w:r>
        <w:rPr>
          <w:rFonts w:hint="eastAsia" w:eastAsia="宋体"/>
          <w:color w:val="000000"/>
          <w:sz w:val="24"/>
          <w:szCs w:val="24"/>
        </w:rPr>
        <w:t>来</w:t>
      </w:r>
      <w:r>
        <w:rPr>
          <w:rFonts w:eastAsia="宋体"/>
          <w:color w:val="000000"/>
          <w:sz w:val="24"/>
          <w:szCs w:val="24"/>
        </w:rPr>
        <w:t>提交新申请，该机制不要求在提交新申请之前器械先经过510(k)审查并被认定为NSE。如果一个人认为他们的器械适合归入I类或II类，并根据目前可获得的信息确定没有合法上市的实质等同器械，他们可以提交新申请，而不需要之前的510（k）和NSE（以下简称</w:t>
      </w:r>
      <w:r>
        <w:rPr>
          <w:rFonts w:ascii="宋体" w:hAnsi="宋体" w:eastAsia="宋体"/>
          <w:color w:val="000000"/>
          <w:sz w:val="24"/>
          <w:szCs w:val="24"/>
        </w:rPr>
        <w:t>“</w:t>
      </w:r>
      <w:r>
        <w:rPr>
          <w:rFonts w:eastAsia="宋体"/>
          <w:color w:val="000000"/>
          <w:sz w:val="24"/>
          <w:szCs w:val="24"/>
        </w:rPr>
        <w:t>直接</w:t>
      </w:r>
      <w:r>
        <w:rPr>
          <w:rFonts w:hint="eastAsia" w:eastAsia="宋体"/>
          <w:color w:val="000000"/>
          <w:sz w:val="24"/>
          <w:szCs w:val="24"/>
        </w:rPr>
        <w:t>重新申请</w:t>
      </w:r>
      <w:r>
        <w:rPr>
          <w:rFonts w:ascii="宋体" w:hAnsi="宋体" w:eastAsia="宋体"/>
          <w:color w:val="000000"/>
          <w:sz w:val="24"/>
          <w:szCs w:val="24"/>
        </w:rPr>
        <w:t>”</w:t>
      </w:r>
      <w:r>
        <w:rPr>
          <w:rFonts w:eastAsia="宋体"/>
          <w:color w:val="000000"/>
          <w:sz w:val="24"/>
          <w:szCs w:val="24"/>
        </w:rPr>
        <w:t>）。</w:t>
      </w:r>
    </w:p>
    <w:p w14:paraId="469136F3">
      <w:pPr>
        <w:snapToGrid w:val="0"/>
        <w:jc w:val="both"/>
        <w:rPr>
          <w:rFonts w:eastAsia="宋体"/>
          <w:color w:val="000000"/>
          <w:sz w:val="21"/>
          <w:szCs w:val="21"/>
          <w:vertAlign w:val="superscript"/>
        </w:rPr>
      </w:pPr>
    </w:p>
    <w:p w14:paraId="4BF5E75C">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33B9A185">
      <w:pPr>
        <w:snapToGrid w:val="0"/>
        <w:jc w:val="both"/>
        <w:rPr>
          <w:rFonts w:eastAsia="宋体"/>
          <w:sz w:val="24"/>
          <w:szCs w:val="24"/>
        </w:rPr>
      </w:pPr>
      <w:r>
        <w:rPr>
          <w:rFonts w:eastAsia="宋体"/>
          <w:color w:val="000000"/>
          <w:sz w:val="24"/>
          <w:szCs w:val="24"/>
        </w:rPr>
        <w:t>FDA发布本指南，为与FDA的互动提供最新建议，包括在通过新分类程序寻求上市途径时应提交哪些信息。本指南取代了1998年2月19日的</w:t>
      </w:r>
      <w:r>
        <w:rPr>
          <w:rFonts w:ascii="宋体" w:hAnsi="宋体" w:eastAsia="宋体"/>
          <w:color w:val="000000"/>
          <w:sz w:val="24"/>
          <w:szCs w:val="24"/>
        </w:rPr>
        <w:t>“</w:t>
      </w:r>
      <w:r>
        <w:rPr>
          <w:rFonts w:eastAsia="宋体"/>
          <w:color w:val="000000"/>
          <w:sz w:val="24"/>
          <w:szCs w:val="24"/>
        </w:rPr>
        <w:t>新的第513(f)(2)条-自动III类器械的评价，工业和CDRH工作人员指南</w:t>
      </w:r>
      <w:r>
        <w:rPr>
          <w:rFonts w:ascii="宋体" w:hAnsi="宋体" w:eastAsia="宋体"/>
          <w:color w:val="000000"/>
          <w:sz w:val="24"/>
          <w:szCs w:val="24"/>
        </w:rPr>
        <w:t>”</w:t>
      </w:r>
      <w:r>
        <w:rPr>
          <w:rFonts w:eastAsia="宋体"/>
          <w:color w:val="000000"/>
          <w:sz w:val="24"/>
          <w:szCs w:val="24"/>
        </w:rPr>
        <w:t>。</w:t>
      </w:r>
    </w:p>
    <w:p w14:paraId="737630C6">
      <w:pPr>
        <w:pStyle w:val="2"/>
        <w:spacing w:before="240" w:after="240"/>
        <w:rPr>
          <w:rFonts w:eastAsia="宋体"/>
        </w:rPr>
      </w:pPr>
      <w:r>
        <w:rPr>
          <w:rFonts w:eastAsia="宋体"/>
        </w:rPr>
        <w:t>3.</w:t>
      </w:r>
      <w:r>
        <w:rPr>
          <w:rFonts w:eastAsia="宋体"/>
        </w:rPr>
        <w:tab/>
      </w:r>
      <w:r>
        <w:rPr>
          <w:rFonts w:eastAsia="宋体"/>
        </w:rPr>
        <w:t>新分类过程</w:t>
      </w:r>
    </w:p>
    <w:p w14:paraId="183A0462">
      <w:pPr>
        <w:snapToGrid w:val="0"/>
        <w:jc w:val="both"/>
        <w:rPr>
          <w:rFonts w:eastAsia="宋体"/>
          <w:color w:val="000000"/>
          <w:sz w:val="24"/>
          <w:szCs w:val="24"/>
        </w:rPr>
      </w:pPr>
      <w:r>
        <w:rPr>
          <w:rFonts w:eastAsia="宋体"/>
          <w:color w:val="000000"/>
          <w:sz w:val="24"/>
          <w:szCs w:val="24"/>
        </w:rPr>
        <w:t>根据《FD&amp;C法案》第513(f)(2)条，您可以提交一份新申请，要求FDA根据《FD&amp;C法案》第513(a)(1)条的标准对该器械进行分类鉴定。新申请必须包括对器械的描述以及</w:t>
      </w:r>
      <w:r>
        <w:rPr>
          <w:rFonts w:hint="eastAsia" w:eastAsia="宋体"/>
          <w:color w:val="000000"/>
          <w:sz w:val="24"/>
          <w:szCs w:val="24"/>
        </w:rPr>
        <w:t>所</w:t>
      </w:r>
      <w:r>
        <w:rPr>
          <w:rFonts w:eastAsia="宋体"/>
          <w:color w:val="000000"/>
          <w:sz w:val="24"/>
          <w:szCs w:val="24"/>
        </w:rPr>
        <w:t>建议分类的详细信息和理由（见《FD&amp;C法案》第513(f)(2)(A)(v)条）。FDA必须在请求后120天内以书面命令的形式对新申请器械进行分类确定（见《FD&amp;C法案》第513（f）（2）（A）（iii）条）。</w:t>
      </w:r>
    </w:p>
    <w:p w14:paraId="04C6DF2C">
      <w:pPr>
        <w:snapToGrid w:val="0"/>
        <w:jc w:val="both"/>
        <w:rPr>
          <w:rFonts w:eastAsia="宋体"/>
          <w:sz w:val="24"/>
          <w:szCs w:val="24"/>
        </w:rPr>
      </w:pPr>
    </w:p>
    <w:p w14:paraId="5C6C5DF8">
      <w:pPr>
        <w:snapToGrid w:val="0"/>
        <w:jc w:val="both"/>
        <w:rPr>
          <w:rFonts w:eastAsia="宋体"/>
          <w:sz w:val="24"/>
          <w:szCs w:val="24"/>
        </w:rPr>
      </w:pPr>
      <w:r>
        <w:rPr>
          <w:rFonts w:eastAsia="宋体"/>
          <w:color w:val="000000"/>
          <w:sz w:val="24"/>
          <w:szCs w:val="24"/>
        </w:rPr>
        <w:t>如果申请者证明符合《FD&amp;C法案》第513(a)(1)(A)或(B)条的标准，我们将批准新申请，</w:t>
      </w:r>
      <w:r>
        <w:rPr>
          <w:rFonts w:hint="eastAsia" w:eastAsia="宋体"/>
          <w:color w:val="000000"/>
          <w:sz w:val="24"/>
          <w:szCs w:val="24"/>
        </w:rPr>
        <w:t>届时</w:t>
      </w:r>
      <w:r>
        <w:rPr>
          <w:rFonts w:eastAsia="宋体"/>
          <w:color w:val="000000"/>
          <w:sz w:val="24"/>
          <w:szCs w:val="24"/>
        </w:rPr>
        <w:t>，具体的器械和器械类型将被归入I类或II类。批准</w:t>
      </w:r>
      <w:r>
        <w:rPr>
          <w:rFonts w:ascii="宋体" w:hAnsi="宋体" w:eastAsia="宋体"/>
          <w:color w:val="000000"/>
          <w:sz w:val="24"/>
          <w:szCs w:val="24"/>
        </w:rPr>
        <w:t>“</w:t>
      </w:r>
      <w:r>
        <w:rPr>
          <w:rFonts w:eastAsia="宋体"/>
          <w:color w:val="000000"/>
          <w:sz w:val="24"/>
          <w:szCs w:val="24"/>
        </w:rPr>
        <w:t>新</w:t>
      </w:r>
      <w:r>
        <w:rPr>
          <w:rFonts w:ascii="宋体" w:hAnsi="宋体" w:eastAsia="宋体"/>
          <w:color w:val="000000"/>
          <w:sz w:val="24"/>
          <w:szCs w:val="24"/>
        </w:rPr>
        <w:t>”</w:t>
      </w:r>
      <w:r>
        <w:rPr>
          <w:rFonts w:eastAsia="宋体"/>
          <w:color w:val="000000"/>
          <w:sz w:val="24"/>
          <w:szCs w:val="24"/>
        </w:rPr>
        <w:t>申请允许该器械立即上市，为该类型的器械制定分类法规，并允许该器械作为实质等同器械使用。我们将在《联邦公报》上发布通知，宣布分类和提供安全和有效性的合理保证所需的控制。请注意，分类</w:t>
      </w:r>
      <w:r>
        <w:rPr>
          <w:rFonts w:hint="eastAsia" w:eastAsia="宋体"/>
          <w:color w:val="000000"/>
          <w:sz w:val="24"/>
          <w:szCs w:val="24"/>
        </w:rPr>
        <w:t>（</w:t>
      </w:r>
      <w:r>
        <w:rPr>
          <w:rFonts w:eastAsia="宋体"/>
          <w:color w:val="000000"/>
          <w:sz w:val="24"/>
          <w:szCs w:val="24"/>
        </w:rPr>
        <w:t>包括特殊控制</w:t>
      </w:r>
      <w:r>
        <w:rPr>
          <w:rFonts w:hint="eastAsia" w:eastAsia="宋体"/>
          <w:color w:val="000000"/>
          <w:sz w:val="24"/>
          <w:szCs w:val="24"/>
        </w:rPr>
        <w:t>）</w:t>
      </w:r>
      <w:r>
        <w:rPr>
          <w:rFonts w:eastAsia="宋体"/>
          <w:color w:val="000000"/>
          <w:sz w:val="24"/>
          <w:szCs w:val="24"/>
        </w:rPr>
        <w:t>在批准新申请的命令函发出之日生效。如果新申请被拒绝，该器械仍属于第三类，不得上市，除非该器械被发现与现有合法上市的第一类、第二类或修正前的器械基本等同，该器械根据《FD&amp;C法案》第513(f)(3)条重新分类，PMA被批准，或新的新申请被批准。</w:t>
      </w:r>
    </w:p>
    <w:p w14:paraId="445DDBC5">
      <w:pPr>
        <w:pStyle w:val="3"/>
        <w:spacing w:before="240" w:after="240"/>
        <w:rPr>
          <w:rFonts w:eastAsia="宋体"/>
        </w:rPr>
      </w:pPr>
      <w:r>
        <w:rPr>
          <w:rFonts w:eastAsia="宋体"/>
        </w:rPr>
        <w:t>3.1</w:t>
      </w:r>
      <w:r>
        <w:rPr>
          <w:rFonts w:eastAsia="宋体"/>
        </w:rPr>
        <w:tab/>
      </w:r>
      <w:r>
        <w:rPr>
          <w:rFonts w:eastAsia="宋体"/>
        </w:rPr>
        <w:t>何时可</w:t>
      </w:r>
      <w:r>
        <w:rPr>
          <w:rFonts w:hint="eastAsia" w:eastAsia="宋体"/>
        </w:rPr>
        <w:t>以</w:t>
      </w:r>
      <w:r>
        <w:rPr>
          <w:rFonts w:eastAsia="宋体"/>
        </w:rPr>
        <w:t>和不得使用新分类程序</w:t>
      </w:r>
    </w:p>
    <w:p w14:paraId="5FC4E4E3">
      <w:pPr>
        <w:snapToGrid w:val="0"/>
        <w:jc w:val="both"/>
        <w:rPr>
          <w:rFonts w:eastAsia="宋体"/>
          <w:sz w:val="24"/>
          <w:szCs w:val="24"/>
        </w:rPr>
      </w:pPr>
      <w:r>
        <w:rPr>
          <w:rFonts w:eastAsia="宋体"/>
          <w:color w:val="000000"/>
          <w:sz w:val="24"/>
          <w:szCs w:val="24"/>
        </w:rPr>
        <w:t>FDA将审查不属于根据《FD&amp;C法案》第513(a)(1)条标准分类的器械类型的新申请。这包括不属于现有分类法规的器械，在这种情况下，新申请人要么确定没有实质等同器械，要么在510(k)提交资料中收到NSE决定。如果器械属于现有分类法规或一个或多个已批准的PMA类型，则根据FD&amp;C第513(e)条或513(f)(3)条的规定，将器械重新分类为I类或II类的适当机制。</w:t>
      </w:r>
    </w:p>
    <w:p w14:paraId="1F8DCDE1">
      <w:pPr>
        <w:snapToGrid w:val="0"/>
        <w:jc w:val="both"/>
        <w:rPr>
          <w:rFonts w:eastAsia="宋体"/>
          <w:color w:val="000000"/>
          <w:sz w:val="24"/>
          <w:szCs w:val="24"/>
        </w:rPr>
      </w:pPr>
      <w:r>
        <w:rPr>
          <w:rFonts w:eastAsia="宋体"/>
          <w:color w:val="000000"/>
          <w:sz w:val="24"/>
          <w:szCs w:val="24"/>
        </w:rPr>
        <w:t>行动</w:t>
      </w:r>
      <w:r>
        <w:rPr>
          <w:rStyle w:val="13"/>
          <w:rFonts w:eastAsia="宋体"/>
          <w:color w:val="000000"/>
          <w:sz w:val="24"/>
          <w:szCs w:val="24"/>
        </w:rPr>
        <w:t xml:space="preserve"> </w:t>
      </w:r>
      <w:r>
        <w:rPr>
          <w:rStyle w:val="13"/>
          <w:rFonts w:eastAsia="宋体"/>
          <w:color w:val="000000"/>
          <w:sz w:val="24"/>
          <w:szCs w:val="24"/>
        </w:rPr>
        <w:footnoteReference w:id="4"/>
      </w:r>
    </w:p>
    <w:p w14:paraId="1E1FFC6B">
      <w:pPr>
        <w:snapToGrid w:val="0"/>
        <w:jc w:val="both"/>
        <w:rPr>
          <w:rFonts w:eastAsia="宋体"/>
          <w:sz w:val="24"/>
          <w:szCs w:val="24"/>
        </w:rPr>
      </w:pPr>
    </w:p>
    <w:p w14:paraId="4C2359E1">
      <w:pPr>
        <w:snapToGrid w:val="0"/>
        <w:jc w:val="both"/>
        <w:rPr>
          <w:rFonts w:eastAsia="宋体"/>
          <w:sz w:val="24"/>
          <w:szCs w:val="24"/>
        </w:rPr>
      </w:pPr>
      <w:r>
        <w:rPr>
          <w:rFonts w:eastAsia="宋体"/>
          <w:color w:val="000000"/>
          <w:sz w:val="24"/>
          <w:szCs w:val="24"/>
        </w:rPr>
        <w:t>对于已经过510(k)审查的器械，如果器械由于以下原因被确定为NSE，FDA将考虑新申请：(1)缺乏可识别的实质等同器械，(2)新的预期用途，或(3)不同的技术特征，引起不同的安全和有效性问题。仅</w:t>
      </w:r>
      <w:r>
        <w:rPr>
          <w:rFonts w:hint="eastAsia" w:eastAsia="宋体"/>
          <w:color w:val="000000"/>
          <w:sz w:val="24"/>
          <w:szCs w:val="24"/>
        </w:rPr>
        <w:t>因</w:t>
      </w:r>
      <w:r>
        <w:rPr>
          <w:rFonts w:eastAsia="宋体"/>
          <w:color w:val="000000"/>
          <w:sz w:val="24"/>
          <w:szCs w:val="24"/>
        </w:rPr>
        <w:t>性能数据不足以证明实质等同性（SE）而被认定为NSE的器械，通常没有资格进入新分类程序。</w:t>
      </w:r>
      <w:r>
        <w:rPr>
          <w:rStyle w:val="13"/>
          <w:rFonts w:eastAsia="宋体"/>
          <w:color w:val="000000"/>
          <w:sz w:val="24"/>
          <w:szCs w:val="24"/>
        </w:rPr>
        <w:footnoteReference w:id="5"/>
      </w:r>
    </w:p>
    <w:p w14:paraId="033BF1BF">
      <w:pPr>
        <w:snapToGrid w:val="0"/>
        <w:jc w:val="both"/>
        <w:rPr>
          <w:rFonts w:eastAsia="宋体"/>
          <w:sz w:val="24"/>
          <w:szCs w:val="24"/>
        </w:rPr>
      </w:pPr>
    </w:p>
    <w:p w14:paraId="2DB5DA2B">
      <w:pPr>
        <w:snapToGrid w:val="0"/>
        <w:jc w:val="both"/>
        <w:rPr>
          <w:rFonts w:eastAsia="宋体"/>
          <w:sz w:val="24"/>
          <w:szCs w:val="24"/>
        </w:rPr>
      </w:pPr>
    </w:p>
    <w:p w14:paraId="347F7CCA">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19E321B5">
      <w:pPr>
        <w:snapToGrid w:val="0"/>
        <w:jc w:val="both"/>
        <w:rPr>
          <w:rFonts w:eastAsia="宋体"/>
          <w:sz w:val="21"/>
          <w:szCs w:val="21"/>
        </w:rPr>
      </w:pPr>
      <w:r>
        <w:rPr>
          <w:rFonts w:eastAsia="宋体"/>
          <w:color w:val="000000"/>
          <w:sz w:val="21"/>
          <w:szCs w:val="21"/>
        </w:rPr>
        <w:t>此外，对于提交新申请的器械，应满足以下标准：</w:t>
      </w:r>
    </w:p>
    <w:p w14:paraId="3990EBCE">
      <w:pPr>
        <w:snapToGrid w:val="0"/>
        <w:jc w:val="both"/>
        <w:rPr>
          <w:rFonts w:eastAsia="宋体"/>
          <w:color w:val="000000"/>
          <w:sz w:val="21"/>
          <w:szCs w:val="21"/>
        </w:rPr>
      </w:pPr>
    </w:p>
    <w:p w14:paraId="07B30984">
      <w:pPr>
        <w:snapToGrid w:val="0"/>
        <w:ind w:left="854" w:leftChars="307" w:hanging="24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根据对该器械的已知情况，该器械应符合《FD&amp;C法案》第513(a)(1)条规定的分类为I类或II类的法定标准，即一般控制或一般和特殊控制将为该器械的安全和有效性提供合理保证；以及</w:t>
      </w:r>
    </w:p>
    <w:p w14:paraId="7A80D1F5">
      <w:pPr>
        <w:snapToGrid w:val="0"/>
        <w:ind w:left="854" w:leftChars="307" w:hanging="240"/>
        <w:jc w:val="both"/>
        <w:rPr>
          <w:rFonts w:eastAsia="宋体"/>
          <w:color w:val="000000"/>
          <w:sz w:val="24"/>
          <w:szCs w:val="24"/>
        </w:rPr>
      </w:pPr>
    </w:p>
    <w:p w14:paraId="3B03AF5F">
      <w:pPr>
        <w:snapToGrid w:val="0"/>
        <w:ind w:left="854" w:leftChars="307" w:hanging="24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您应充分理解并能够解释所有可能的健康风险和器械的可能收益，解释有效减轻所有可能风险所需的措施，并解释如何通过应用一般控制或一般和特殊控制来保证器械的安全性和有效性</w:t>
      </w:r>
      <w:r>
        <w:rPr>
          <w:rStyle w:val="13"/>
          <w:rFonts w:eastAsia="宋体"/>
          <w:color w:val="000000"/>
          <w:sz w:val="24"/>
          <w:szCs w:val="24"/>
        </w:rPr>
        <w:footnoteReference w:id="6"/>
      </w:r>
      <w:r>
        <w:rPr>
          <w:rFonts w:eastAsia="宋体"/>
          <w:color w:val="000000"/>
          <w:sz w:val="24"/>
          <w:szCs w:val="24"/>
        </w:rPr>
        <w:t>。</w:t>
      </w:r>
    </w:p>
    <w:p w14:paraId="176BA3A9">
      <w:pPr>
        <w:pStyle w:val="3"/>
        <w:spacing w:before="240" w:after="240"/>
        <w:rPr>
          <w:rFonts w:eastAsia="宋体"/>
        </w:rPr>
      </w:pPr>
      <w:r>
        <w:rPr>
          <w:rFonts w:eastAsia="宋体"/>
        </w:rPr>
        <w:t>3.2</w:t>
      </w:r>
      <w:r>
        <w:rPr>
          <w:rFonts w:eastAsia="宋体"/>
        </w:rPr>
        <w:tab/>
      </w:r>
      <w:r>
        <w:rPr>
          <w:rFonts w:eastAsia="宋体"/>
        </w:rPr>
        <w:t>提交新的申请供FDA审查</w:t>
      </w:r>
    </w:p>
    <w:p w14:paraId="17723D33">
      <w:pPr>
        <w:snapToGrid w:val="0"/>
        <w:jc w:val="both"/>
        <w:rPr>
          <w:rFonts w:eastAsia="宋体"/>
          <w:sz w:val="24"/>
          <w:szCs w:val="24"/>
        </w:rPr>
      </w:pPr>
      <w:r>
        <w:rPr>
          <w:rFonts w:eastAsia="宋体"/>
          <w:color w:val="000000"/>
          <w:sz w:val="24"/>
          <w:szCs w:val="24"/>
        </w:rPr>
        <w:t>本指南描述了与FDA就可能适合新分类的器械进行互动的两种机制。</w:t>
      </w:r>
    </w:p>
    <w:p w14:paraId="14A286DA">
      <w:pPr>
        <w:snapToGrid w:val="0"/>
        <w:ind w:left="929" w:leftChars="307" w:hanging="315"/>
        <w:jc w:val="both"/>
        <w:rPr>
          <w:rFonts w:eastAsia="宋体"/>
          <w:color w:val="000000"/>
          <w:sz w:val="24"/>
          <w:szCs w:val="24"/>
        </w:rPr>
      </w:pPr>
    </w:p>
    <w:p w14:paraId="3A1C0AF3">
      <w:pPr>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u w:val="single"/>
        </w:rPr>
        <w:t>预提交（Pre-Sub）</w:t>
      </w:r>
      <w:r>
        <w:rPr>
          <w:rFonts w:eastAsia="宋体"/>
          <w:color w:val="000000"/>
          <w:sz w:val="24"/>
          <w:szCs w:val="24"/>
        </w:rPr>
        <w:t>。为了获得FDA对新申请的审查，不需要Pre-Sub，但它是请求者从FDA获得早期反馈的一个有用方法。预先提交资料便于FDA就器械是否符合新分类程序提供反馈，包括是否存在</w:t>
      </w:r>
      <w:r>
        <w:rPr>
          <w:rFonts w:hint="eastAsia" w:eastAsia="宋体"/>
          <w:color w:val="000000"/>
          <w:sz w:val="24"/>
          <w:szCs w:val="24"/>
        </w:rPr>
        <w:t>可能</w:t>
      </w:r>
      <w:r>
        <w:rPr>
          <w:rFonts w:eastAsia="宋体"/>
          <w:color w:val="000000"/>
          <w:sz w:val="24"/>
          <w:szCs w:val="24"/>
        </w:rPr>
        <w:t>的实质等同器械，和/或就随后的新申请所需的文件向您提供建议。Pre-Sub的主要优点</w:t>
      </w:r>
      <w:r>
        <w:rPr>
          <w:rFonts w:hint="eastAsia" w:eastAsia="宋体"/>
          <w:color w:val="000000"/>
          <w:sz w:val="24"/>
          <w:szCs w:val="24"/>
        </w:rPr>
        <w:t>在于</w:t>
      </w:r>
      <w:r>
        <w:rPr>
          <w:rFonts w:eastAsia="宋体"/>
          <w:color w:val="000000"/>
          <w:sz w:val="24"/>
          <w:szCs w:val="24"/>
        </w:rPr>
        <w:t>，它</w:t>
      </w:r>
      <w:r>
        <w:rPr>
          <w:rFonts w:hint="eastAsia" w:eastAsia="宋体"/>
          <w:color w:val="000000"/>
          <w:sz w:val="24"/>
          <w:szCs w:val="24"/>
        </w:rPr>
        <w:t>让</w:t>
      </w:r>
      <w:r>
        <w:rPr>
          <w:rFonts w:eastAsia="宋体"/>
          <w:color w:val="000000"/>
          <w:sz w:val="24"/>
          <w:szCs w:val="24"/>
        </w:rPr>
        <w:t>我们</w:t>
      </w:r>
      <w:r>
        <w:rPr>
          <w:rFonts w:hint="eastAsia" w:eastAsia="宋体"/>
          <w:color w:val="000000"/>
          <w:sz w:val="24"/>
          <w:szCs w:val="24"/>
        </w:rPr>
        <w:t>有机会</w:t>
      </w:r>
      <w:r>
        <w:rPr>
          <w:rFonts w:eastAsia="宋体"/>
          <w:color w:val="000000"/>
          <w:sz w:val="24"/>
          <w:szCs w:val="24"/>
        </w:rPr>
        <w:t>初步了解为提供合理的安全和有效性保证而可能需要的监管措施，以及对可能需要支持新申请的证据，包括非临床和/或临床数据的反馈。通过获得这种反馈，您可以优化资源，收集支持新申请所需的安全性和有效性证据，</w:t>
      </w:r>
      <w:r>
        <w:rPr>
          <w:rFonts w:hint="eastAsia" w:eastAsia="宋体"/>
          <w:color w:val="000000"/>
          <w:sz w:val="24"/>
          <w:szCs w:val="24"/>
        </w:rPr>
        <w:t>无需</w:t>
      </w:r>
      <w:r>
        <w:rPr>
          <w:rFonts w:eastAsia="宋体"/>
          <w:color w:val="000000"/>
          <w:sz w:val="24"/>
          <w:szCs w:val="24"/>
        </w:rPr>
        <w:t>进行额外的不必要测试。这也应有助于审查随后的</w:t>
      </w:r>
      <w:r>
        <w:rPr>
          <w:rFonts w:ascii="宋体" w:hAnsi="宋体" w:eastAsia="宋体"/>
          <w:color w:val="000000"/>
          <w:sz w:val="24"/>
          <w:szCs w:val="24"/>
        </w:rPr>
        <w:t>“</w:t>
      </w:r>
      <w:r>
        <w:rPr>
          <w:rFonts w:eastAsia="宋体"/>
          <w:color w:val="000000"/>
          <w:sz w:val="24"/>
          <w:szCs w:val="24"/>
        </w:rPr>
        <w:t>全新</w:t>
      </w:r>
      <w:r>
        <w:rPr>
          <w:rFonts w:ascii="宋体" w:hAnsi="宋体" w:eastAsia="宋体"/>
          <w:color w:val="000000"/>
          <w:sz w:val="24"/>
          <w:szCs w:val="24"/>
        </w:rPr>
        <w:t>”</w:t>
      </w:r>
      <w:r>
        <w:rPr>
          <w:rFonts w:eastAsia="宋体"/>
          <w:color w:val="000000"/>
          <w:sz w:val="24"/>
          <w:szCs w:val="24"/>
        </w:rPr>
        <w:t>申请。</w:t>
      </w:r>
    </w:p>
    <w:p w14:paraId="60DCD721">
      <w:pPr>
        <w:snapToGrid w:val="0"/>
        <w:ind w:left="929" w:leftChars="307" w:hanging="315"/>
        <w:jc w:val="both"/>
        <w:rPr>
          <w:rFonts w:eastAsia="宋体"/>
          <w:sz w:val="24"/>
          <w:szCs w:val="24"/>
        </w:rPr>
      </w:pPr>
    </w:p>
    <w:p w14:paraId="1335F870">
      <w:pPr>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1888A64C">
      <w:pPr>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u w:val="single"/>
        </w:rPr>
        <w:t>新申请</w:t>
      </w:r>
      <w:r>
        <w:rPr>
          <w:rFonts w:eastAsia="宋体"/>
          <w:color w:val="000000"/>
          <w:sz w:val="24"/>
          <w:szCs w:val="24"/>
        </w:rPr>
        <w:t>。提交新申请时可以有或没有之前的510(k)。在没有预先提交资料的情况下提出的新申请的成功将更多地取决于您如何很好地搜索潜在的实质等同器械，确定对健康的风险和特殊控制（如果适用），并提供足够的有效科学证据来支持批准新申请。</w:t>
      </w:r>
    </w:p>
    <w:p w14:paraId="4D6081A2">
      <w:pPr>
        <w:snapToGrid w:val="0"/>
        <w:jc w:val="both"/>
        <w:rPr>
          <w:rFonts w:eastAsia="宋体"/>
          <w:color w:val="000000"/>
          <w:sz w:val="24"/>
          <w:szCs w:val="24"/>
        </w:rPr>
      </w:pPr>
    </w:p>
    <w:p w14:paraId="0A59FD65">
      <w:pPr>
        <w:snapToGrid w:val="0"/>
        <w:jc w:val="both"/>
        <w:rPr>
          <w:rFonts w:eastAsia="宋体"/>
          <w:color w:val="000000"/>
          <w:sz w:val="24"/>
          <w:szCs w:val="24"/>
        </w:rPr>
      </w:pPr>
      <w:r>
        <w:rPr>
          <w:rFonts w:eastAsia="宋体"/>
          <w:color w:val="000000"/>
          <w:sz w:val="24"/>
          <w:szCs w:val="24"/>
        </w:rPr>
        <w:t>附件1中概述了新审查程序。</w:t>
      </w:r>
    </w:p>
    <w:p w14:paraId="395AC17E">
      <w:pPr>
        <w:snapToGrid w:val="0"/>
        <w:jc w:val="both"/>
        <w:rPr>
          <w:rFonts w:eastAsia="宋体"/>
          <w:sz w:val="24"/>
          <w:szCs w:val="24"/>
        </w:rPr>
      </w:pPr>
    </w:p>
    <w:p w14:paraId="69BDC248">
      <w:pPr>
        <w:snapToGrid w:val="0"/>
        <w:jc w:val="both"/>
        <w:rPr>
          <w:rFonts w:eastAsia="宋体"/>
          <w:sz w:val="24"/>
          <w:szCs w:val="24"/>
        </w:rPr>
      </w:pPr>
      <w:r>
        <w:rPr>
          <w:rFonts w:eastAsia="宋体"/>
          <w:color w:val="000000"/>
          <w:sz w:val="24"/>
          <w:szCs w:val="24"/>
        </w:rPr>
        <w:t>在准备提交新申请时，我们建议您查看公开发布的信息，包括最近批准的CDRH 新申请的决定总结文件，可在我们的网站上查阅，网址为</w:t>
      </w:r>
    </w:p>
    <w:p w14:paraId="2FD3373F">
      <w:pPr>
        <w:snapToGrid w:val="0"/>
        <w:jc w:val="both"/>
        <w:rPr>
          <w:rFonts w:eastAsia="宋体"/>
          <w:sz w:val="24"/>
          <w:szCs w:val="24"/>
        </w:rPr>
      </w:pPr>
      <w:r>
        <w:rPr>
          <w:rFonts w:eastAsia="宋体"/>
          <w:color w:val="0000FF"/>
          <w:sz w:val="24"/>
          <w:szCs w:val="24"/>
          <w:u w:val="single"/>
        </w:rPr>
        <w:t xml:space="preserve">http://www.fda.gov/AboutFDA/CentersOffices/OfficeofMedicalProductsandTobacco/CDRH/CDRHTransparency/ucm232269.htm </w:t>
      </w:r>
      <w:r>
        <w:rPr>
          <w:rFonts w:eastAsia="宋体"/>
          <w:color w:val="000000"/>
          <w:sz w:val="24"/>
          <w:szCs w:val="24"/>
        </w:rPr>
        <w:t>和</w:t>
      </w:r>
    </w:p>
    <w:p w14:paraId="54FB45BA">
      <w:pPr>
        <w:snapToGrid w:val="0"/>
        <w:jc w:val="both"/>
        <w:rPr>
          <w:rFonts w:eastAsia="宋体"/>
          <w:sz w:val="24"/>
          <w:szCs w:val="24"/>
        </w:rPr>
      </w:pPr>
      <w:r>
        <w:rPr>
          <w:rFonts w:eastAsia="宋体"/>
          <w:color w:val="0000FF"/>
          <w:sz w:val="24"/>
          <w:szCs w:val="24"/>
          <w:u w:val="single"/>
        </w:rPr>
        <w:t xml:space="preserve">https://www.accessdata.fda.gov/scripts/cdrh/cfdocs/cfPMN/denovo.cfm </w:t>
      </w:r>
      <w:r>
        <w:rPr>
          <w:rFonts w:eastAsia="宋体"/>
          <w:color w:val="000000"/>
          <w:sz w:val="24"/>
          <w:szCs w:val="24"/>
        </w:rPr>
        <w:t>或CBER网站（见</w:t>
      </w:r>
    </w:p>
    <w:p w14:paraId="46AEC23E">
      <w:pPr>
        <w:snapToGrid w:val="0"/>
        <w:jc w:val="both"/>
        <w:rPr>
          <w:rFonts w:eastAsia="宋体"/>
          <w:sz w:val="24"/>
          <w:szCs w:val="24"/>
        </w:rPr>
      </w:pPr>
      <w:r>
        <w:rPr>
          <w:rFonts w:eastAsia="宋体"/>
          <w:color w:val="0000FF"/>
          <w:sz w:val="24"/>
          <w:szCs w:val="24"/>
          <w:u w:val="single"/>
        </w:rPr>
        <w:t xml:space="preserve">http://www.fda.gov/BiologicsBloodVaccines/BloodBloodProducts/ApprovedProducts/defaul t.htm </w:t>
      </w:r>
      <w:r>
        <w:rPr>
          <w:rFonts w:eastAsia="宋体"/>
          <w:color w:val="000000"/>
          <w:sz w:val="24"/>
          <w:szCs w:val="24"/>
        </w:rPr>
        <w:t>)</w:t>
      </w:r>
    </w:p>
    <w:p w14:paraId="395E9DEA">
      <w:pPr>
        <w:pStyle w:val="4"/>
        <w:shd w:val="clear" w:color="auto" w:fill="auto"/>
        <w:spacing w:before="240" w:after="240"/>
      </w:pPr>
      <w:r>
        <w:t>3.2.1</w:t>
      </w:r>
      <w:r>
        <w:tab/>
      </w:r>
      <w:r>
        <w:t>预提交(Pre-Sub)</w:t>
      </w:r>
    </w:p>
    <w:p w14:paraId="7DDCE83B">
      <w:pPr>
        <w:snapToGrid w:val="0"/>
        <w:jc w:val="both"/>
        <w:rPr>
          <w:rFonts w:eastAsia="宋体"/>
          <w:sz w:val="24"/>
          <w:szCs w:val="24"/>
        </w:rPr>
      </w:pPr>
      <w:r>
        <w:rPr>
          <w:rFonts w:eastAsia="宋体"/>
          <w:color w:val="000000"/>
          <w:sz w:val="24"/>
          <w:szCs w:val="24"/>
        </w:rPr>
        <w:t>在器械开发过程的早期，可以提交一份Pre-Sub；但是，我们认为，在您确定了拟议的预期用途和器械设计的关键方面，足以允许进行有意义的讨论之后，它是最有用的。与未来预期的新申请有关的预分报告应包含足够的信息，使我们能够就收集非临床和/或临床数据应使用的测试方法和方案提供指导。强烈建议在提交新申请之前进行Pre-Sub，特别是对于我们以前没有在510(k)下审查过的器械。新的预提交将按照我们正常的预提交程序处理。有关预存的信息，请参见FDA的指导文件，题为</w:t>
      </w:r>
      <w:r>
        <w:rPr>
          <w:rFonts w:ascii="宋体" w:hAnsi="宋体" w:eastAsia="宋体"/>
          <w:color w:val="000000"/>
          <w:sz w:val="24"/>
          <w:szCs w:val="24"/>
        </w:rPr>
        <w:t>“</w:t>
      </w:r>
      <w:r>
        <w:rPr>
          <w:rFonts w:eastAsia="宋体"/>
          <w:color w:val="0000FF"/>
          <w:sz w:val="24"/>
          <w:szCs w:val="24"/>
          <w:u w:val="single"/>
        </w:rPr>
        <w:t>行业和FDA工作人员指南，医疗器械提交的反馈要求：预提交计划和与美国食品药品监督管理局工作人员的会议</w:t>
      </w:r>
      <w:r>
        <w:rPr>
          <w:rFonts w:hint="eastAsia" w:ascii="宋体" w:hAnsi="宋体" w:eastAsia="宋体"/>
          <w:color w:val="0000FF"/>
          <w:sz w:val="24"/>
          <w:szCs w:val="24"/>
          <w:u w:val="single"/>
        </w:rPr>
        <w:t>”</w:t>
      </w:r>
      <w:r>
        <w:rPr>
          <w:rFonts w:eastAsia="宋体"/>
          <w:color w:val="000000"/>
          <w:sz w:val="24"/>
          <w:szCs w:val="24"/>
        </w:rPr>
        <w:t>（提交前指南），可访问</w:t>
      </w:r>
    </w:p>
    <w:p w14:paraId="1EC6118D">
      <w:pPr>
        <w:snapToGrid w:val="0"/>
        <w:jc w:val="both"/>
        <w:rPr>
          <w:rFonts w:eastAsia="宋体"/>
          <w:sz w:val="24"/>
          <w:szCs w:val="24"/>
        </w:rPr>
      </w:pPr>
      <w:r>
        <w:rPr>
          <w:rFonts w:eastAsia="宋体"/>
          <w:color w:val="0000FF"/>
          <w:sz w:val="24"/>
          <w:szCs w:val="24"/>
          <w:u w:val="single"/>
        </w:rPr>
        <w:t>http://www.fda.gov/downloads/MedicalDevices/DeviceRegulationandGuidance/GuidanceDocuments/UCM311176.pdf.</w:t>
      </w:r>
    </w:p>
    <w:p w14:paraId="2F9C1A47">
      <w:pPr>
        <w:snapToGrid w:val="0"/>
        <w:jc w:val="both"/>
        <w:rPr>
          <w:rFonts w:eastAsia="宋体"/>
          <w:color w:val="000000"/>
          <w:sz w:val="24"/>
          <w:szCs w:val="24"/>
        </w:rPr>
      </w:pPr>
    </w:p>
    <w:p w14:paraId="12A8D749">
      <w:pPr>
        <w:snapToGrid w:val="0"/>
        <w:jc w:val="both"/>
        <w:rPr>
          <w:rFonts w:eastAsia="宋体"/>
          <w:sz w:val="24"/>
          <w:szCs w:val="24"/>
        </w:rPr>
      </w:pPr>
      <w:r>
        <w:rPr>
          <w:rFonts w:eastAsia="宋体"/>
          <w:color w:val="000000"/>
          <w:sz w:val="24"/>
          <w:szCs w:val="24"/>
        </w:rPr>
        <w:t>除了所有预提交的建议内容（器械描述、建议的预期用途/使用指征、以前提交的材料等）外，我们建议在提交新申请之前的预提交还包括：</w:t>
      </w:r>
    </w:p>
    <w:p w14:paraId="7257B58D">
      <w:pPr>
        <w:tabs>
          <w:tab w:val="left" w:pos="720"/>
        </w:tabs>
        <w:snapToGrid w:val="0"/>
        <w:jc w:val="both"/>
        <w:rPr>
          <w:rFonts w:eastAsia="宋体"/>
          <w:color w:val="000000"/>
          <w:sz w:val="24"/>
          <w:szCs w:val="24"/>
        </w:rPr>
      </w:pPr>
    </w:p>
    <w:p w14:paraId="29DCDE9B">
      <w:pPr>
        <w:snapToGrid w:val="0"/>
        <w:ind w:left="660" w:leftChars="150" w:hanging="360" w:hangingChars="150"/>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申报类别（I或II）。说明为什么您认为一般控制或一般和特殊控制足以提供合理的安全和有效性保证。</w:t>
      </w:r>
    </w:p>
    <w:p w14:paraId="1954A7DE">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对FDA公共数据库和其他资源的搜索，包括搜索条件，用于确定没有合法上市的器械和同一器械类型的分类法规。提供一份可能与申报器械相关的法规、510(k)、PMA和/或产品代码的清单。您还应根据现有信息，说明为什么申报器械不符合和/或不同于已确定的分类法规、510(k)、PMA和/或产品代码。</w:t>
      </w:r>
    </w:p>
    <w:p w14:paraId="5FB8B508">
      <w:pPr>
        <w:tabs>
          <w:tab w:val="left" w:pos="720"/>
        </w:tabs>
        <w:snapToGrid w:val="0"/>
        <w:jc w:val="both"/>
        <w:rPr>
          <w:rFonts w:eastAsia="宋体"/>
          <w:color w:val="000000"/>
          <w:sz w:val="24"/>
          <w:szCs w:val="24"/>
        </w:rPr>
      </w:pPr>
    </w:p>
    <w:p w14:paraId="4C05D563">
      <w:pPr>
        <w:tabs>
          <w:tab w:val="left" w:pos="720"/>
        </w:tabs>
        <w:snapToGrid w:val="0"/>
        <w:jc w:val="both"/>
        <w:rPr>
          <w:rFonts w:eastAsia="宋体"/>
          <w:color w:val="000000"/>
          <w:sz w:val="24"/>
          <w:szCs w:val="24"/>
        </w:rPr>
      </w:pPr>
    </w:p>
    <w:p w14:paraId="16D81CDF">
      <w:pPr>
        <w:tabs>
          <w:tab w:val="left" w:pos="720"/>
        </w:tabs>
        <w:snapToGrid w:val="0"/>
        <w:jc w:val="both"/>
        <w:rPr>
          <w:rFonts w:eastAsia="宋体"/>
          <w:color w:val="000000"/>
          <w:sz w:val="21"/>
          <w:szCs w:val="21"/>
        </w:rPr>
        <w:sectPr>
          <w:pgSz w:w="11906" w:h="16838"/>
          <w:pgMar w:top="1134" w:right="1417" w:bottom="1134" w:left="1417" w:header="850" w:footer="720" w:gutter="0"/>
          <w:cols w:space="60" w:num="1"/>
          <w:docGrid w:linePitch="272" w:charSpace="0"/>
        </w:sectPr>
      </w:pPr>
    </w:p>
    <w:p w14:paraId="7BD84BAF">
      <w:pPr>
        <w:snapToGrid w:val="0"/>
        <w:ind w:left="660" w:leftChars="150" w:hanging="360" w:hangingChars="150"/>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与计划中的新申请有关的审查问题的具体问题。只要是为了让我们考虑具体问题所必需的，</w:t>
      </w:r>
      <w:r>
        <w:rPr>
          <w:rFonts w:hint="eastAsia" w:ascii="宋体" w:hAnsi="宋体" w:eastAsia="宋体"/>
          <w:color w:val="000000"/>
          <w:sz w:val="24"/>
          <w:szCs w:val="24"/>
        </w:rPr>
        <w:t>“</w:t>
      </w:r>
      <w:r>
        <w:rPr>
          <w:rFonts w:eastAsia="宋体"/>
          <w:color w:val="000000"/>
          <w:sz w:val="24"/>
          <w:szCs w:val="24"/>
        </w:rPr>
        <w:t>预分</w:t>
      </w:r>
      <w:r>
        <w:rPr>
          <w:rFonts w:ascii="宋体" w:hAnsi="宋体" w:eastAsia="宋体"/>
          <w:color w:val="000000"/>
          <w:sz w:val="24"/>
          <w:szCs w:val="24"/>
        </w:rPr>
        <w:t>”</w:t>
      </w:r>
      <w:r>
        <w:rPr>
          <w:rFonts w:eastAsia="宋体"/>
          <w:color w:val="000000"/>
          <w:sz w:val="24"/>
          <w:szCs w:val="24"/>
        </w:rPr>
        <w:t>还应该包括以下内容：</w:t>
      </w:r>
    </w:p>
    <w:p w14:paraId="33DC6D04">
      <w:pPr>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与器械相关的每个已识别的健康风险以及每个风险的原因（追溯到风险分析、临床测试等）。简要描述需要完成的正在进行和/或计划进行的方案/研究，以收集必要的数据来确定该器械的风险状况。</w:t>
      </w:r>
    </w:p>
    <w:p w14:paraId="2A4EF06C">
      <w:pPr>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关于器械的安全性和有效性的信息。在您的新申请中，请列举您预计提供的有效科学证据的类型，包括与器械的安全性和有效性有关的数据/研究的类型。简要描述需要完成的正在进行和/或计划进行的方案/研究，以收集必要的安全性和有效性数据。</w:t>
      </w:r>
    </w:p>
    <w:p w14:paraId="316A1B07">
      <w:pPr>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非临床和临床研究的方案（如果适用），包括他们将如何处理您预期的风险和目标性能水平，以证明一般控制或一般和特殊控制足以提供安全和有效性的合理保证。</w:t>
      </w:r>
    </w:p>
    <w:p w14:paraId="4E9BB36F">
      <w:pPr>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根据提交时可获得的最佳信息，针对每种风险提出的缓解措施/控制措施。强调哪些缓解措施是一般控制，哪些是特殊控制。在预分报告中提供每个建议的缓解措施的细节（例如，所需的具体测试，标签）。</w:t>
      </w:r>
    </w:p>
    <w:p w14:paraId="463F85A3">
      <w:pPr>
        <w:snapToGrid w:val="0"/>
        <w:jc w:val="both"/>
        <w:rPr>
          <w:rFonts w:eastAsia="宋体"/>
          <w:color w:val="000000"/>
          <w:sz w:val="24"/>
          <w:szCs w:val="24"/>
        </w:rPr>
      </w:pPr>
    </w:p>
    <w:p w14:paraId="0DF68FAA">
      <w:pPr>
        <w:snapToGrid w:val="0"/>
        <w:jc w:val="both"/>
        <w:rPr>
          <w:rFonts w:eastAsia="宋体"/>
          <w:sz w:val="24"/>
          <w:szCs w:val="24"/>
        </w:rPr>
      </w:pPr>
      <w:r>
        <w:rPr>
          <w:rFonts w:eastAsia="宋体"/>
          <w:color w:val="000000"/>
          <w:sz w:val="24"/>
          <w:szCs w:val="24"/>
        </w:rPr>
        <w:t>在新 Pre-Sub中向FDA提出的问题的例子包括：</w:t>
      </w:r>
    </w:p>
    <w:p w14:paraId="46F2313E">
      <w:pPr>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根据器械描述、其预期用途/使用指征和/或技术特征，以及对合法上市的器械进行的搜索信息，FDA是否认为该器械符合新分类？</w:t>
      </w:r>
    </w:p>
    <w:p w14:paraId="5457F21C">
      <w:pPr>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考虑到器械的使用适应症，除了预分册中确定的风险外，是否还存在其他风险？</w:t>
      </w:r>
    </w:p>
    <w:p w14:paraId="4CF00D2A">
      <w:pPr>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如果适用，是否有应该考虑的控制措施，以便为器械的安全和有效性提供合理保证？</w:t>
      </w:r>
    </w:p>
    <w:p w14:paraId="3035DACD">
      <w:pPr>
        <w:snapToGrid w:val="0"/>
        <w:ind w:left="929" w:leftChars="307"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非临床研究方案是否足以允许收集数据，从中得出关于器械安全性和/或有效性的结论？例如：</w:t>
      </w:r>
    </w:p>
    <w:p w14:paraId="1D17BC72">
      <w:pPr>
        <w:snapToGrid w:val="0"/>
        <w:ind w:left="1275" w:leftChars="480" w:hanging="315"/>
        <w:jc w:val="both"/>
        <w:rPr>
          <w:rFonts w:eastAsia="宋体"/>
          <w:color w:val="000000"/>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确定的关注级别是否</w:t>
      </w:r>
      <w:r>
        <w:rPr>
          <w:rFonts w:hint="eastAsia" w:eastAsia="宋体"/>
          <w:color w:val="000000"/>
          <w:sz w:val="24"/>
          <w:szCs w:val="24"/>
        </w:rPr>
        <w:t>为</w:t>
      </w:r>
      <w:r>
        <w:rPr>
          <w:rFonts w:eastAsia="宋体"/>
          <w:color w:val="000000"/>
          <w:sz w:val="24"/>
          <w:szCs w:val="24"/>
        </w:rPr>
        <w:t>器械软件的适当关注级别？</w:t>
      </w:r>
      <w:r>
        <w:rPr>
          <w:rStyle w:val="13"/>
          <w:rFonts w:eastAsia="宋体"/>
          <w:color w:val="000000"/>
          <w:sz w:val="24"/>
          <w:szCs w:val="24"/>
        </w:rPr>
        <w:t xml:space="preserve"> </w:t>
      </w:r>
      <w:r>
        <w:rPr>
          <w:rStyle w:val="13"/>
          <w:rFonts w:eastAsia="宋体"/>
          <w:color w:val="000000"/>
          <w:sz w:val="24"/>
          <w:szCs w:val="24"/>
        </w:rPr>
        <w:footnoteReference w:id="7"/>
      </w:r>
    </w:p>
    <w:p w14:paraId="32A53051">
      <w:pPr>
        <w:snapToGrid w:val="0"/>
        <w:ind w:left="1275" w:leftChars="480"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如果有，哪些额外的生物相容性和/或无菌性测试将合适？</w:t>
      </w:r>
    </w:p>
    <w:p w14:paraId="063B512C">
      <w:pPr>
        <w:snapToGrid w:val="0"/>
        <w:ind w:left="929" w:leftChars="307" w:hanging="315"/>
        <w:jc w:val="both"/>
        <w:rPr>
          <w:rFonts w:eastAsia="宋体"/>
          <w:sz w:val="24"/>
          <w:szCs w:val="24"/>
        </w:rPr>
      </w:pPr>
      <w:r>
        <w:rPr>
          <w:rFonts w:eastAsia="宋体"/>
          <w:color w:val="000000"/>
          <w:sz w:val="24"/>
          <w:szCs w:val="24"/>
        </w:rPr>
        <w:t>•</w:t>
      </w:r>
      <w:r>
        <w:rPr>
          <w:rFonts w:eastAsia="宋体"/>
          <w:color w:val="000000"/>
          <w:sz w:val="24"/>
          <w:szCs w:val="24"/>
        </w:rPr>
        <w:tab/>
      </w:r>
      <w:r>
        <w:rPr>
          <w:rFonts w:eastAsia="宋体"/>
          <w:color w:val="000000"/>
          <w:sz w:val="24"/>
          <w:szCs w:val="24"/>
        </w:rPr>
        <w:t>如果需要临床数据，建议的研究设计和选择的对照组是否合适？</w:t>
      </w:r>
    </w:p>
    <w:p w14:paraId="2CA5ABE0">
      <w:pPr>
        <w:snapToGrid w:val="0"/>
        <w:jc w:val="both"/>
        <w:rPr>
          <w:rFonts w:eastAsia="宋体"/>
          <w:sz w:val="24"/>
          <w:szCs w:val="24"/>
        </w:rPr>
      </w:pPr>
    </w:p>
    <w:p w14:paraId="6ABF6E43">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4CF601E4">
      <w:pPr>
        <w:snapToGrid w:val="0"/>
        <w:jc w:val="both"/>
        <w:rPr>
          <w:rFonts w:eastAsia="宋体"/>
          <w:sz w:val="24"/>
          <w:szCs w:val="24"/>
        </w:rPr>
      </w:pPr>
      <w:r>
        <w:rPr>
          <w:rFonts w:eastAsia="宋体"/>
          <w:color w:val="000000"/>
          <w:sz w:val="24"/>
          <w:szCs w:val="24"/>
        </w:rPr>
        <w:t>在您提交您的Pre-Sub后，我们可能要求您澄清或提供更多信息。您也可以要求与我们会面。更多关于预存和与FDA工作人员会面的信息，请看预存指南。</w:t>
      </w:r>
    </w:p>
    <w:p w14:paraId="14B363D8">
      <w:pPr>
        <w:pStyle w:val="4"/>
        <w:shd w:val="clear" w:color="auto" w:fill="auto"/>
        <w:spacing w:before="240" w:after="240"/>
      </w:pPr>
      <w:r>
        <w:t>3.2.2</w:t>
      </w:r>
      <w:r>
        <w:tab/>
      </w:r>
      <w:r>
        <w:t>新申请</w:t>
      </w:r>
    </w:p>
    <w:p w14:paraId="410A0B0B">
      <w:pPr>
        <w:snapToGrid w:val="0"/>
        <w:jc w:val="both"/>
        <w:rPr>
          <w:rFonts w:eastAsia="宋体"/>
          <w:color w:val="000000"/>
          <w:sz w:val="24"/>
          <w:szCs w:val="24"/>
        </w:rPr>
      </w:pPr>
      <w:r>
        <w:rPr>
          <w:rFonts w:eastAsia="宋体"/>
          <w:color w:val="000000"/>
          <w:sz w:val="24"/>
          <w:szCs w:val="24"/>
        </w:rPr>
        <w:t>新申请应包括您所知道的关于器械安全和有效性的所有信息和证据，包括您认为能合理保证安全和有效性的一般控制或一般和特殊控制。新申请应确定器械的风险状况，确定器械使用的好处，并提供有效的科学证据，证明器械的性能特点。附件2包含了</w:t>
      </w:r>
      <w:r>
        <w:rPr>
          <w:rFonts w:ascii="宋体" w:hAnsi="宋体" w:eastAsia="宋体"/>
          <w:color w:val="000000"/>
          <w:sz w:val="24"/>
          <w:szCs w:val="24"/>
        </w:rPr>
        <w:t>“</w:t>
      </w:r>
      <w:r>
        <w:rPr>
          <w:rFonts w:eastAsia="宋体"/>
          <w:color w:val="000000"/>
          <w:sz w:val="24"/>
          <w:szCs w:val="24"/>
        </w:rPr>
        <w:t>全新</w:t>
      </w:r>
      <w:r>
        <w:rPr>
          <w:rFonts w:ascii="宋体" w:hAnsi="宋体" w:eastAsia="宋体"/>
          <w:color w:val="000000"/>
          <w:sz w:val="24"/>
          <w:szCs w:val="24"/>
        </w:rPr>
        <w:t>”</w:t>
      </w:r>
      <w:r>
        <w:rPr>
          <w:rFonts w:eastAsia="宋体"/>
          <w:color w:val="000000"/>
          <w:sz w:val="24"/>
          <w:szCs w:val="24"/>
        </w:rPr>
        <w:t>申请的建议内容。</w:t>
      </w:r>
    </w:p>
    <w:p w14:paraId="395679F7">
      <w:pPr>
        <w:snapToGrid w:val="0"/>
        <w:jc w:val="both"/>
        <w:rPr>
          <w:rFonts w:eastAsia="宋体"/>
          <w:sz w:val="24"/>
          <w:szCs w:val="24"/>
        </w:rPr>
      </w:pPr>
    </w:p>
    <w:p w14:paraId="4591D1D2">
      <w:pPr>
        <w:snapToGrid w:val="0"/>
        <w:jc w:val="both"/>
        <w:rPr>
          <w:rFonts w:eastAsia="宋体"/>
          <w:sz w:val="24"/>
          <w:szCs w:val="24"/>
        </w:rPr>
      </w:pPr>
      <w:r>
        <w:rPr>
          <w:rFonts w:eastAsia="宋体"/>
          <w:color w:val="000000"/>
          <w:sz w:val="24"/>
          <w:szCs w:val="24"/>
        </w:rPr>
        <w:t>对于新申请，申办方必须提交至少一份有效的电子副本（eCopy）。见《FD&amp;C法案》第745A(b)条和FDA的电子副本指南，</w:t>
      </w:r>
      <w:r>
        <w:rPr>
          <w:rFonts w:ascii="宋体" w:hAnsi="宋体" w:eastAsia="宋体"/>
          <w:color w:val="000000"/>
          <w:sz w:val="24"/>
          <w:szCs w:val="24"/>
        </w:rPr>
        <w:t>“</w:t>
      </w:r>
      <w:r>
        <w:rPr>
          <w:rFonts w:eastAsia="宋体"/>
          <w:color w:val="000000"/>
          <w:sz w:val="24"/>
          <w:szCs w:val="24"/>
        </w:rPr>
        <w:t>医疗器械提交的电子副本计划</w:t>
      </w:r>
      <w:r>
        <w:rPr>
          <w:rFonts w:ascii="宋体" w:hAnsi="宋体" w:eastAsia="宋体"/>
          <w:color w:val="000000"/>
          <w:sz w:val="24"/>
          <w:szCs w:val="24"/>
        </w:rPr>
        <w:t>”</w:t>
      </w:r>
      <w:r>
        <w:rPr>
          <w:rFonts w:eastAsia="宋体"/>
          <w:color w:val="000000"/>
          <w:sz w:val="24"/>
          <w:szCs w:val="24"/>
        </w:rPr>
        <w:t>，可在以下网址查阅</w:t>
      </w:r>
    </w:p>
    <w:p w14:paraId="062B3E02">
      <w:pPr>
        <w:snapToGrid w:val="0"/>
        <w:jc w:val="both"/>
        <w:rPr>
          <w:rFonts w:eastAsia="宋体"/>
          <w:sz w:val="24"/>
          <w:szCs w:val="24"/>
        </w:rPr>
      </w:pPr>
      <w:r>
        <w:rPr>
          <w:rFonts w:eastAsia="宋体"/>
          <w:color w:val="0000FF"/>
          <w:sz w:val="24"/>
          <w:szCs w:val="24"/>
          <w:u w:val="single"/>
        </w:rPr>
        <w:t>http://www.fda.gov/downloads/MedicalDevices/DeviceRegulationandGuidance/GuidanceDocuments/UCM313794.pdf.</w:t>
      </w:r>
      <w:r>
        <w:rPr>
          <w:rFonts w:eastAsia="宋体"/>
          <w:color w:val="000000"/>
          <w:sz w:val="24"/>
          <w:szCs w:val="24"/>
        </w:rPr>
        <w:t>在没有有效电子副本的情况下提交的新申请（以及随后提交的申请，如适用）将被搁置，在收到有效电子副本之前，审查时间将不会开始。</w:t>
      </w:r>
    </w:p>
    <w:p w14:paraId="43F6889A">
      <w:pPr>
        <w:pStyle w:val="3"/>
        <w:spacing w:before="240" w:after="240"/>
        <w:rPr>
          <w:rFonts w:eastAsia="宋体"/>
        </w:rPr>
      </w:pPr>
      <w:r>
        <w:rPr>
          <w:rFonts w:eastAsia="宋体"/>
        </w:rPr>
        <w:t>3.3</w:t>
      </w:r>
      <w:r>
        <w:rPr>
          <w:rFonts w:eastAsia="宋体"/>
        </w:rPr>
        <w:tab/>
      </w:r>
      <w:r>
        <w:rPr>
          <w:rFonts w:eastAsia="宋体"/>
        </w:rPr>
        <w:t>新申请的地址</w:t>
      </w:r>
    </w:p>
    <w:p w14:paraId="63E3466C">
      <w:pPr>
        <w:snapToGrid w:val="0"/>
        <w:jc w:val="both"/>
        <w:rPr>
          <w:rFonts w:eastAsia="宋体"/>
          <w:color w:val="000000"/>
          <w:sz w:val="24"/>
          <w:szCs w:val="24"/>
        </w:rPr>
      </w:pPr>
      <w:r>
        <w:rPr>
          <w:rFonts w:eastAsia="宋体"/>
          <w:color w:val="000000"/>
          <w:sz w:val="24"/>
          <w:szCs w:val="24"/>
        </w:rPr>
        <w:t>对于由CDRH监管的器械，新申请应提交给：</w:t>
      </w:r>
    </w:p>
    <w:p w14:paraId="21118C35">
      <w:pPr>
        <w:snapToGrid w:val="0"/>
        <w:jc w:val="both"/>
        <w:rPr>
          <w:rFonts w:eastAsia="宋体"/>
          <w:sz w:val="24"/>
          <w:szCs w:val="24"/>
        </w:rPr>
      </w:pPr>
    </w:p>
    <w:p w14:paraId="393C811B">
      <w:pPr>
        <w:snapToGrid w:val="0"/>
        <w:ind w:left="708" w:leftChars="354"/>
        <w:jc w:val="both"/>
        <w:rPr>
          <w:rFonts w:eastAsia="宋体"/>
          <w:color w:val="000000"/>
          <w:sz w:val="24"/>
          <w:szCs w:val="24"/>
        </w:rPr>
      </w:pPr>
      <w:r>
        <w:rPr>
          <w:rFonts w:eastAsia="宋体"/>
          <w:color w:val="000000"/>
          <w:sz w:val="24"/>
          <w:szCs w:val="24"/>
        </w:rPr>
        <w:t>美国食品药品监督管理局</w:t>
      </w:r>
    </w:p>
    <w:p w14:paraId="6131B6F5">
      <w:pPr>
        <w:snapToGrid w:val="0"/>
        <w:ind w:left="708" w:leftChars="354"/>
        <w:jc w:val="both"/>
        <w:rPr>
          <w:rFonts w:eastAsia="宋体"/>
          <w:color w:val="000000"/>
          <w:sz w:val="24"/>
          <w:szCs w:val="24"/>
        </w:rPr>
      </w:pPr>
      <w:r>
        <w:rPr>
          <w:rFonts w:eastAsia="宋体"/>
          <w:color w:val="000000"/>
          <w:sz w:val="24"/>
          <w:szCs w:val="24"/>
        </w:rPr>
        <w:t>医疗器械</w:t>
      </w:r>
      <w:r>
        <w:rPr>
          <w:rFonts w:hint="eastAsia" w:eastAsia="宋体"/>
          <w:color w:val="000000"/>
          <w:sz w:val="24"/>
          <w:szCs w:val="24"/>
        </w:rPr>
        <w:t>和</w:t>
      </w:r>
      <w:r>
        <w:rPr>
          <w:rFonts w:eastAsia="宋体"/>
          <w:color w:val="000000"/>
          <w:sz w:val="24"/>
          <w:szCs w:val="24"/>
        </w:rPr>
        <w:t>放射健康中心</w:t>
      </w:r>
    </w:p>
    <w:p w14:paraId="4B44C027">
      <w:pPr>
        <w:snapToGrid w:val="0"/>
        <w:ind w:left="708" w:leftChars="354"/>
        <w:jc w:val="both"/>
        <w:rPr>
          <w:rFonts w:eastAsia="宋体"/>
          <w:color w:val="000000"/>
          <w:sz w:val="24"/>
          <w:szCs w:val="24"/>
        </w:rPr>
      </w:pPr>
      <w:r>
        <w:rPr>
          <w:rFonts w:eastAsia="宋体"/>
          <w:color w:val="000000"/>
          <w:sz w:val="24"/>
          <w:szCs w:val="24"/>
        </w:rPr>
        <w:t>文件控制中心 - WO66-G609</w:t>
      </w:r>
    </w:p>
    <w:p w14:paraId="278C6845">
      <w:pPr>
        <w:snapToGrid w:val="0"/>
        <w:ind w:left="708" w:leftChars="354"/>
        <w:jc w:val="both"/>
        <w:rPr>
          <w:rFonts w:eastAsia="宋体"/>
          <w:color w:val="000000"/>
          <w:sz w:val="24"/>
          <w:szCs w:val="24"/>
        </w:rPr>
      </w:pPr>
      <w:r>
        <w:rPr>
          <w:rFonts w:eastAsia="宋体"/>
          <w:color w:val="000000"/>
          <w:sz w:val="24"/>
          <w:szCs w:val="24"/>
        </w:rPr>
        <w:t>10903 New Hampshire Ave</w:t>
      </w:r>
    </w:p>
    <w:p w14:paraId="5088D936">
      <w:pPr>
        <w:snapToGrid w:val="0"/>
        <w:ind w:left="708" w:leftChars="354"/>
        <w:jc w:val="both"/>
        <w:rPr>
          <w:rFonts w:eastAsia="宋体"/>
          <w:color w:val="000000"/>
          <w:sz w:val="24"/>
          <w:szCs w:val="24"/>
        </w:rPr>
      </w:pPr>
      <w:r>
        <w:rPr>
          <w:rFonts w:eastAsia="宋体"/>
          <w:color w:val="000000"/>
          <w:sz w:val="24"/>
          <w:szCs w:val="24"/>
        </w:rPr>
        <w:t>Silver Spring, Maryland 20993-0002</w:t>
      </w:r>
    </w:p>
    <w:p w14:paraId="2D01C4A9">
      <w:pPr>
        <w:snapToGrid w:val="0"/>
        <w:jc w:val="both"/>
        <w:rPr>
          <w:rFonts w:eastAsia="宋体"/>
          <w:color w:val="000000"/>
          <w:sz w:val="24"/>
          <w:szCs w:val="24"/>
        </w:rPr>
      </w:pPr>
    </w:p>
    <w:p w14:paraId="37E24B48">
      <w:pPr>
        <w:snapToGrid w:val="0"/>
        <w:jc w:val="both"/>
        <w:rPr>
          <w:rFonts w:eastAsia="宋体"/>
          <w:color w:val="000000"/>
          <w:sz w:val="24"/>
          <w:szCs w:val="24"/>
        </w:rPr>
      </w:pPr>
      <w:r>
        <w:rPr>
          <w:rFonts w:eastAsia="宋体"/>
          <w:color w:val="000000"/>
          <w:sz w:val="24"/>
          <w:szCs w:val="24"/>
        </w:rPr>
        <w:t>对于由CBER监管的器械，新申请应提交给</w:t>
      </w:r>
      <w:r>
        <w:rPr>
          <w:rFonts w:hint="eastAsia" w:eastAsia="宋体"/>
          <w:color w:val="000000"/>
          <w:sz w:val="24"/>
          <w:szCs w:val="24"/>
        </w:rPr>
        <w:t>：</w:t>
      </w:r>
    </w:p>
    <w:p w14:paraId="7F6ED25C">
      <w:pPr>
        <w:snapToGrid w:val="0"/>
        <w:jc w:val="both"/>
        <w:rPr>
          <w:rFonts w:eastAsia="宋体"/>
          <w:sz w:val="24"/>
          <w:szCs w:val="24"/>
        </w:rPr>
      </w:pPr>
    </w:p>
    <w:p w14:paraId="5988FF05">
      <w:pPr>
        <w:snapToGrid w:val="0"/>
        <w:ind w:left="708" w:leftChars="354"/>
        <w:jc w:val="both"/>
        <w:rPr>
          <w:rFonts w:eastAsia="宋体"/>
          <w:color w:val="000000"/>
          <w:sz w:val="24"/>
          <w:szCs w:val="24"/>
        </w:rPr>
      </w:pPr>
      <w:r>
        <w:rPr>
          <w:rFonts w:eastAsia="宋体"/>
          <w:color w:val="000000"/>
          <w:sz w:val="24"/>
          <w:szCs w:val="24"/>
        </w:rPr>
        <w:t>美国食品药品监督管理局</w:t>
      </w:r>
    </w:p>
    <w:p w14:paraId="77AC365C">
      <w:pPr>
        <w:snapToGrid w:val="0"/>
        <w:ind w:left="708" w:leftChars="354"/>
        <w:jc w:val="both"/>
        <w:rPr>
          <w:rFonts w:eastAsia="宋体"/>
          <w:color w:val="000000"/>
          <w:sz w:val="24"/>
          <w:szCs w:val="24"/>
        </w:rPr>
      </w:pPr>
      <w:r>
        <w:rPr>
          <w:rFonts w:eastAsia="宋体"/>
          <w:color w:val="000000"/>
          <w:sz w:val="24"/>
          <w:szCs w:val="24"/>
        </w:rPr>
        <w:t>生物制品评价和研究中心</w:t>
      </w:r>
    </w:p>
    <w:p w14:paraId="24AE5592">
      <w:pPr>
        <w:snapToGrid w:val="0"/>
        <w:ind w:left="708" w:leftChars="354"/>
        <w:jc w:val="both"/>
        <w:rPr>
          <w:rFonts w:eastAsia="宋体"/>
          <w:color w:val="000000"/>
          <w:sz w:val="24"/>
          <w:szCs w:val="24"/>
        </w:rPr>
      </w:pPr>
      <w:r>
        <w:rPr>
          <w:rFonts w:eastAsia="宋体"/>
          <w:color w:val="000000"/>
          <w:sz w:val="24"/>
          <w:szCs w:val="24"/>
        </w:rPr>
        <w:t>文件控制中心</w:t>
      </w:r>
    </w:p>
    <w:p w14:paraId="4F15761D">
      <w:pPr>
        <w:snapToGrid w:val="0"/>
        <w:ind w:left="708" w:leftChars="354"/>
        <w:jc w:val="both"/>
        <w:rPr>
          <w:rFonts w:eastAsia="宋体"/>
          <w:color w:val="000000"/>
          <w:sz w:val="24"/>
          <w:szCs w:val="24"/>
        </w:rPr>
      </w:pPr>
      <w:r>
        <w:rPr>
          <w:rFonts w:eastAsia="宋体"/>
          <w:color w:val="000000"/>
          <w:sz w:val="24"/>
          <w:szCs w:val="24"/>
        </w:rPr>
        <w:t>10903 New Hampshire Ave.</w:t>
      </w:r>
    </w:p>
    <w:p w14:paraId="05611998">
      <w:pPr>
        <w:snapToGrid w:val="0"/>
        <w:ind w:left="708" w:leftChars="354"/>
        <w:jc w:val="both"/>
        <w:rPr>
          <w:rFonts w:eastAsia="宋体"/>
          <w:color w:val="000000"/>
          <w:sz w:val="24"/>
          <w:szCs w:val="24"/>
        </w:rPr>
      </w:pPr>
      <w:r>
        <w:rPr>
          <w:rFonts w:eastAsia="宋体"/>
          <w:color w:val="000000"/>
          <w:sz w:val="24"/>
          <w:szCs w:val="24"/>
        </w:rPr>
        <w:t>WO71-G112</w:t>
      </w:r>
    </w:p>
    <w:p w14:paraId="791F94A3">
      <w:pPr>
        <w:snapToGrid w:val="0"/>
        <w:ind w:left="708" w:leftChars="354"/>
        <w:jc w:val="both"/>
        <w:rPr>
          <w:rFonts w:eastAsia="宋体"/>
          <w:sz w:val="24"/>
          <w:szCs w:val="24"/>
        </w:rPr>
      </w:pPr>
      <w:r>
        <w:rPr>
          <w:rFonts w:eastAsia="宋体"/>
          <w:color w:val="000000"/>
          <w:sz w:val="24"/>
          <w:szCs w:val="24"/>
        </w:rPr>
        <w:t>Silver Spring, Maryland 20993-0002</w:t>
      </w:r>
    </w:p>
    <w:p w14:paraId="4B9628CD">
      <w:pPr>
        <w:pStyle w:val="2"/>
        <w:spacing w:before="240" w:after="240"/>
        <w:rPr>
          <w:rFonts w:eastAsia="宋体"/>
        </w:rPr>
      </w:pPr>
      <w:r>
        <w:rPr>
          <w:rFonts w:eastAsia="宋体"/>
        </w:rPr>
        <w:t>4.</w:t>
      </w:r>
      <w:r>
        <w:rPr>
          <w:rFonts w:eastAsia="宋体"/>
        </w:rPr>
        <w:tab/>
      </w:r>
      <w:r>
        <w:rPr>
          <w:rFonts w:eastAsia="宋体"/>
        </w:rPr>
        <w:t>FDA对新产品申请的审查过程</w:t>
      </w:r>
    </w:p>
    <w:p w14:paraId="5AA8166A">
      <w:pPr>
        <w:pStyle w:val="3"/>
        <w:spacing w:before="240" w:after="240"/>
        <w:rPr>
          <w:rFonts w:eastAsia="宋体"/>
        </w:rPr>
      </w:pPr>
      <w:r>
        <w:rPr>
          <w:rFonts w:eastAsia="宋体"/>
        </w:rPr>
        <w:t>4.1</w:t>
      </w:r>
      <w:r>
        <w:rPr>
          <w:rFonts w:eastAsia="宋体"/>
        </w:rPr>
        <w:tab/>
      </w:r>
      <w:r>
        <w:rPr>
          <w:rFonts w:eastAsia="宋体"/>
        </w:rPr>
        <w:t>510(k)之后的新申请</w:t>
      </w:r>
    </w:p>
    <w:p w14:paraId="7D70C775">
      <w:pPr>
        <w:snapToGrid w:val="0"/>
        <w:jc w:val="both"/>
        <w:rPr>
          <w:rFonts w:eastAsia="宋体"/>
          <w:sz w:val="24"/>
          <w:szCs w:val="24"/>
        </w:rPr>
      </w:pPr>
      <w:r>
        <w:rPr>
          <w:rFonts w:eastAsia="宋体"/>
          <w:color w:val="000000"/>
          <w:sz w:val="24"/>
          <w:szCs w:val="24"/>
        </w:rPr>
        <w:t>如果对510(k)的审查结束时，我们确定器械由于缺乏实质等同器械、新的预期用途或不同类型的技术问题而属于NSE，我们可能表示该器械适合在新分类程序下进行审查。510(k)审查将按照510(k)的标准审查惯例并根据当前的绩效目标进行。如果我们认为一般控制或一般和特殊控制可以提供合理的安全和有效性保证，我们可以在NSE信函中指出，该产品可能适合根据《FD&amp;C法案》第513(f)(2)条进行新分类。在NSE信函中加入这种</w:t>
      </w:r>
      <w:r>
        <w:rPr>
          <w:rFonts w:hint="eastAsia" w:eastAsia="宋体"/>
          <w:color w:val="000000"/>
          <w:sz w:val="24"/>
          <w:szCs w:val="24"/>
        </w:rPr>
        <w:t>表述</w:t>
      </w:r>
      <w:r>
        <w:rPr>
          <w:rFonts w:eastAsia="宋体"/>
          <w:color w:val="000000"/>
          <w:sz w:val="24"/>
          <w:szCs w:val="24"/>
        </w:rPr>
        <w:t>并不表明目前在提交的510(k)中存在足够的信息来支持成功的新申请，而只是表明鉴于该器械的风险状况，新分类可能是合理的。</w:t>
      </w:r>
    </w:p>
    <w:p w14:paraId="6AA0C35F">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3473F4B2">
      <w:pPr>
        <w:pStyle w:val="3"/>
        <w:spacing w:before="240" w:after="240"/>
        <w:rPr>
          <w:rFonts w:eastAsia="宋体"/>
        </w:rPr>
      </w:pPr>
      <w:r>
        <w:rPr>
          <w:rFonts w:eastAsia="宋体"/>
        </w:rPr>
        <w:t>4.2</w:t>
      </w:r>
      <w:r>
        <w:rPr>
          <w:rFonts w:eastAsia="宋体"/>
        </w:rPr>
        <w:tab/>
      </w:r>
      <w:r>
        <w:rPr>
          <w:rFonts w:eastAsia="宋体"/>
        </w:rPr>
        <w:t>新申请</w:t>
      </w:r>
    </w:p>
    <w:p w14:paraId="5F7F1AB1">
      <w:pPr>
        <w:snapToGrid w:val="0"/>
        <w:jc w:val="both"/>
        <w:rPr>
          <w:rFonts w:eastAsia="宋体"/>
          <w:color w:val="000000"/>
          <w:sz w:val="24"/>
          <w:szCs w:val="24"/>
        </w:rPr>
      </w:pPr>
      <w:r>
        <w:rPr>
          <w:rFonts w:eastAsia="宋体"/>
          <w:color w:val="000000"/>
          <w:sz w:val="24"/>
          <w:szCs w:val="24"/>
        </w:rPr>
        <w:t>一旦收到新申请，无论之前是否有510(k)，我们将核实同一请求人提交的另一份相同器械（相同的技术特征和相同的使用指征）没有被审查（例如，预提交、510(k)或PMA）。我们不会同时审查同一申请者为同一器械提交的两份材料。如果我们发现同一器械</w:t>
      </w:r>
      <w:r>
        <w:rPr>
          <w:rFonts w:hint="eastAsia" w:eastAsia="宋体"/>
          <w:color w:val="000000"/>
          <w:sz w:val="24"/>
          <w:szCs w:val="24"/>
        </w:rPr>
        <w:t>还有</w:t>
      </w:r>
      <w:r>
        <w:rPr>
          <w:rFonts w:eastAsia="宋体"/>
          <w:color w:val="000000"/>
          <w:sz w:val="24"/>
          <w:szCs w:val="24"/>
        </w:rPr>
        <w:t>一</w:t>
      </w:r>
      <w:r>
        <w:rPr>
          <w:rFonts w:hint="eastAsia" w:eastAsia="宋体"/>
          <w:color w:val="000000"/>
          <w:sz w:val="24"/>
          <w:szCs w:val="24"/>
        </w:rPr>
        <w:t>次</w:t>
      </w:r>
      <w:r>
        <w:rPr>
          <w:rFonts w:eastAsia="宋体"/>
          <w:color w:val="000000"/>
          <w:sz w:val="24"/>
          <w:szCs w:val="24"/>
        </w:rPr>
        <w:t>提交，我们将把您的文件置于行政搁置状态。我们不会开始审查新申请，</w:t>
      </w:r>
      <w:r>
        <w:rPr>
          <w:rFonts w:hint="eastAsia" w:eastAsia="宋体"/>
          <w:color w:val="000000"/>
          <w:sz w:val="24"/>
          <w:szCs w:val="24"/>
        </w:rPr>
        <w:t>而是</w:t>
      </w:r>
      <w:r>
        <w:rPr>
          <w:rFonts w:eastAsia="宋体"/>
          <w:color w:val="000000"/>
          <w:sz w:val="24"/>
          <w:szCs w:val="24"/>
        </w:rPr>
        <w:t>会通知您，开始审查</w:t>
      </w:r>
      <w:r>
        <w:rPr>
          <w:rFonts w:hint="eastAsia" w:eastAsia="宋体"/>
          <w:color w:val="000000"/>
          <w:sz w:val="24"/>
          <w:szCs w:val="24"/>
        </w:rPr>
        <w:t>前</w:t>
      </w:r>
      <w:r>
        <w:rPr>
          <w:rFonts w:eastAsia="宋体"/>
          <w:color w:val="000000"/>
          <w:sz w:val="24"/>
          <w:szCs w:val="24"/>
        </w:rPr>
        <w:t>，您需要撤回另一份申请。</w:t>
      </w:r>
    </w:p>
    <w:p w14:paraId="2A2FE3D3">
      <w:pPr>
        <w:snapToGrid w:val="0"/>
        <w:jc w:val="both"/>
        <w:rPr>
          <w:rFonts w:eastAsia="宋体"/>
          <w:sz w:val="24"/>
          <w:szCs w:val="24"/>
        </w:rPr>
      </w:pPr>
    </w:p>
    <w:p w14:paraId="0A43E23C">
      <w:pPr>
        <w:snapToGrid w:val="0"/>
        <w:jc w:val="both"/>
        <w:rPr>
          <w:rFonts w:eastAsia="宋体"/>
          <w:color w:val="000000"/>
          <w:sz w:val="24"/>
          <w:szCs w:val="24"/>
        </w:rPr>
      </w:pPr>
      <w:r>
        <w:rPr>
          <w:rFonts w:eastAsia="宋体"/>
          <w:color w:val="000000"/>
          <w:sz w:val="24"/>
          <w:szCs w:val="24"/>
        </w:rPr>
        <w:t>我们还将检查新申请的内容是否包括《FD&amp;C法案》第513(f)(2)条要求的信息。根据《FD&amp;C法案》第513(f)(2)(A)(ii)条的规定，为了提交直接重新申请，提交者必须确定没有合法上市的器械可以作为确定实质等同性的依据。根据《FD&amp;C法案》第513(f)(2)(A)(i)条，在510(k)之前提出的新申请必须是针对以前没有被分类的器械类型；因此，如果您在收到NSE决定后提交新申请，您应该确认自NSE决定以来没有相同类型的器械合法地进入市场。关于您应该在分类总结中提交哪些信息的讨论见附件2。新申请如果缺乏信息以确定是否存在潜在的实质等同器械，则可能被搁置。根据《FD&amp;C法案》第513(f)(2)(v)条的规定，如果您建议将您的器械作为第二类器械进行监管，您还必须提交一份适用的特殊控制的初步建议草案。</w:t>
      </w:r>
      <w:r>
        <w:rPr>
          <w:rStyle w:val="13"/>
          <w:rFonts w:eastAsia="宋体"/>
          <w:color w:val="000000"/>
          <w:sz w:val="24"/>
          <w:szCs w:val="24"/>
        </w:rPr>
        <w:t xml:space="preserve"> </w:t>
      </w:r>
      <w:r>
        <w:rPr>
          <w:rStyle w:val="13"/>
          <w:rFonts w:eastAsia="宋体"/>
          <w:color w:val="000000"/>
          <w:sz w:val="24"/>
          <w:szCs w:val="24"/>
        </w:rPr>
        <w:footnoteReference w:id="8"/>
      </w:r>
      <w:r>
        <w:rPr>
          <w:rFonts w:eastAsia="宋体"/>
          <w:color w:val="000000"/>
          <w:sz w:val="24"/>
          <w:szCs w:val="24"/>
        </w:rPr>
        <w:t>如果您的新申请被搁置，审查时间就会停止，我们会通知您该申请被搁置，等待收到有关潜在实质等同器械的信息或特别控制的建议草案。如果您在180个日历日内未提供所要求的信息，我们将</w:t>
      </w:r>
      <w:r>
        <w:rPr>
          <w:rFonts w:hint="eastAsia" w:eastAsia="宋体"/>
          <w:color w:val="000000"/>
          <w:sz w:val="24"/>
          <w:szCs w:val="24"/>
        </w:rPr>
        <w:t>把</w:t>
      </w:r>
      <w:r>
        <w:rPr>
          <w:rFonts w:eastAsia="宋体"/>
          <w:color w:val="000000"/>
          <w:sz w:val="24"/>
          <w:szCs w:val="24"/>
        </w:rPr>
        <w:t>您的新申请</w:t>
      </w:r>
      <w:r>
        <w:rPr>
          <w:rFonts w:hint="eastAsia" w:eastAsia="宋体"/>
          <w:color w:val="000000"/>
          <w:sz w:val="24"/>
          <w:szCs w:val="24"/>
        </w:rPr>
        <w:t>视为</w:t>
      </w:r>
      <w:r>
        <w:rPr>
          <w:rFonts w:eastAsia="宋体"/>
          <w:color w:val="000000"/>
          <w:sz w:val="24"/>
          <w:szCs w:val="24"/>
        </w:rPr>
        <w:t>撤回。</w:t>
      </w:r>
    </w:p>
    <w:p w14:paraId="694ABD55">
      <w:pPr>
        <w:snapToGrid w:val="0"/>
        <w:jc w:val="both"/>
        <w:rPr>
          <w:rFonts w:eastAsia="宋体"/>
          <w:sz w:val="24"/>
          <w:szCs w:val="24"/>
        </w:rPr>
      </w:pPr>
    </w:p>
    <w:p w14:paraId="734E6627">
      <w:pPr>
        <w:snapToGrid w:val="0"/>
        <w:jc w:val="both"/>
        <w:rPr>
          <w:rFonts w:eastAsia="宋体"/>
          <w:sz w:val="24"/>
          <w:szCs w:val="24"/>
        </w:rPr>
      </w:pPr>
      <w:r>
        <w:rPr>
          <w:rFonts w:eastAsia="宋体"/>
          <w:color w:val="000000"/>
          <w:sz w:val="24"/>
          <w:szCs w:val="24"/>
        </w:rPr>
        <w:t>接下来，我们将对合法上市的器械类型进行分类审查。我们将分析是否存在现有的合法上市的同类器械（例如，您的器械是否可能属于现有的第二类分类法规），包括最近是否已经通过新分类程序建立实质等同器械。如果可能存在一个实质等同器械或您的器械属于第三类分类法规，我们</w:t>
      </w:r>
      <w:r>
        <w:rPr>
          <w:rFonts w:hint="eastAsia" w:eastAsia="宋体"/>
          <w:color w:val="000000"/>
          <w:sz w:val="24"/>
          <w:szCs w:val="24"/>
        </w:rPr>
        <w:t>会</w:t>
      </w:r>
      <w:r>
        <w:rPr>
          <w:rFonts w:eastAsia="宋体"/>
          <w:color w:val="000000"/>
          <w:sz w:val="24"/>
          <w:szCs w:val="24"/>
        </w:rPr>
        <w:t>拒绝您的新申请，并</w:t>
      </w:r>
      <w:r>
        <w:rPr>
          <w:rFonts w:hint="eastAsia" w:eastAsia="宋体"/>
          <w:color w:val="000000"/>
          <w:sz w:val="24"/>
          <w:szCs w:val="24"/>
        </w:rPr>
        <w:t>把</w:t>
      </w:r>
      <w:r>
        <w:rPr>
          <w:rFonts w:eastAsia="宋体"/>
          <w:color w:val="000000"/>
          <w:sz w:val="24"/>
          <w:szCs w:val="24"/>
        </w:rPr>
        <w:t>决定的</w:t>
      </w:r>
      <w:r>
        <w:rPr>
          <w:rFonts w:hint="eastAsia" w:eastAsia="宋体"/>
          <w:color w:val="000000"/>
          <w:sz w:val="24"/>
          <w:szCs w:val="24"/>
        </w:rPr>
        <w:t>相应</w:t>
      </w:r>
      <w:r>
        <w:rPr>
          <w:rFonts w:eastAsia="宋体"/>
          <w:color w:val="000000"/>
          <w:sz w:val="24"/>
          <w:szCs w:val="24"/>
        </w:rPr>
        <w:t>依据通知您。如果该器械属于第三类分类法规，或者有一个或多个针对同一类型器械的已批准的PMA，并且我们认为一般和/或特殊控制足以提供合理的安全和有效性保证，那么归入第一类或第二类的适当机制将是根据《FD&amp;C法案》第513(e)或513(f)(3)条进行重新分类。如果未发现现有合法上市的同类型器械，我们将继续审查。</w:t>
      </w:r>
    </w:p>
    <w:p w14:paraId="21B1E52C">
      <w:pPr>
        <w:snapToGrid w:val="0"/>
        <w:jc w:val="both"/>
        <w:rPr>
          <w:rFonts w:eastAsia="宋体"/>
          <w:sz w:val="24"/>
          <w:szCs w:val="24"/>
        </w:rPr>
      </w:pPr>
    </w:p>
    <w:p w14:paraId="40B19E54">
      <w:pPr>
        <w:snapToGrid w:val="0"/>
        <w:jc w:val="both"/>
        <w:rPr>
          <w:rFonts w:eastAsia="宋体"/>
          <w:sz w:val="24"/>
          <w:szCs w:val="24"/>
        </w:rPr>
      </w:pPr>
    </w:p>
    <w:p w14:paraId="7913D215">
      <w:pPr>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086F5A1B">
      <w:pPr>
        <w:snapToGrid w:val="0"/>
        <w:jc w:val="both"/>
        <w:rPr>
          <w:rFonts w:eastAsia="宋体"/>
          <w:color w:val="000000"/>
          <w:sz w:val="24"/>
          <w:szCs w:val="24"/>
        </w:rPr>
      </w:pPr>
      <w:r>
        <w:rPr>
          <w:rFonts w:eastAsia="宋体"/>
          <w:color w:val="000000"/>
          <w:sz w:val="24"/>
          <w:szCs w:val="24"/>
        </w:rPr>
        <w:t>我们预计，对同一器械类型的新申请不会经常被同时审查。但如果一个新申请被批准，而另一个同类器械正在接受另一个新申请的审查，在第一个新申请被批准后，FDA打算通知仍在审查中的另一个新申请的申报者，已经建立实质等同器械，仍在审查中的新申请将被拒绝。被拒绝的新申请的提交者可以在新的申请中通过引用来利用新申请中的所有信息，但仍然需要在随后的510(k)中证明实质等效性，包括符合新建立的器械类型的特殊控制（如果是II类）。</w:t>
      </w:r>
    </w:p>
    <w:p w14:paraId="32E075A2">
      <w:pPr>
        <w:snapToGrid w:val="0"/>
        <w:jc w:val="both"/>
        <w:rPr>
          <w:rFonts w:eastAsia="宋体"/>
          <w:sz w:val="24"/>
          <w:szCs w:val="24"/>
        </w:rPr>
      </w:pPr>
    </w:p>
    <w:p w14:paraId="680D87B0">
      <w:pPr>
        <w:snapToGrid w:val="0"/>
        <w:jc w:val="both"/>
        <w:rPr>
          <w:rFonts w:eastAsia="宋体"/>
          <w:color w:val="000000"/>
          <w:sz w:val="24"/>
          <w:szCs w:val="24"/>
        </w:rPr>
      </w:pPr>
      <w:r>
        <w:rPr>
          <w:rFonts w:eastAsia="宋体"/>
          <w:color w:val="000000"/>
          <w:sz w:val="24"/>
          <w:szCs w:val="24"/>
        </w:rPr>
        <w:t>在成功完成提交和分类审查后，FDA将开始对新申请进行实质性审查。如果新申请缺少必要的信息和/或数据，以确定一般控制或一般和特殊控制是否能够提供合理的安全和有效性保证，我们可能会发出补充信息（AI）函或通过互动审查要求提供信息。发出AI信会停止审查时间，一旦您提供了完整的答复，时间会恢复，审查会继续。如果您未能在人工智能请求之日起的180个日历日内提供完整的答复，我们将认为</w:t>
      </w:r>
      <w:r>
        <w:rPr>
          <w:rFonts w:ascii="宋体" w:hAnsi="宋体" w:eastAsia="宋体"/>
          <w:color w:val="000000"/>
          <w:sz w:val="24"/>
          <w:szCs w:val="24"/>
        </w:rPr>
        <w:t>“</w:t>
      </w:r>
      <w:r>
        <w:rPr>
          <w:rFonts w:eastAsia="宋体"/>
          <w:color w:val="000000"/>
          <w:sz w:val="24"/>
          <w:szCs w:val="24"/>
        </w:rPr>
        <w:t>全新</w:t>
      </w:r>
      <w:r>
        <w:rPr>
          <w:rFonts w:ascii="宋体" w:hAnsi="宋体" w:eastAsia="宋体"/>
          <w:color w:val="000000"/>
          <w:sz w:val="24"/>
          <w:szCs w:val="24"/>
        </w:rPr>
        <w:t>”</w:t>
      </w:r>
      <w:r>
        <w:rPr>
          <w:rFonts w:eastAsia="宋体"/>
          <w:color w:val="000000"/>
          <w:sz w:val="24"/>
          <w:szCs w:val="24"/>
        </w:rPr>
        <w:t>请求已被撤回。如果</w:t>
      </w:r>
      <w:r>
        <w:rPr>
          <w:rFonts w:ascii="宋体" w:hAnsi="宋体" w:eastAsia="宋体"/>
          <w:color w:val="000000"/>
          <w:sz w:val="24"/>
          <w:szCs w:val="24"/>
        </w:rPr>
        <w:t>“</w:t>
      </w:r>
      <w:r>
        <w:rPr>
          <w:rFonts w:eastAsia="宋体"/>
          <w:color w:val="000000"/>
          <w:sz w:val="24"/>
          <w:szCs w:val="24"/>
        </w:rPr>
        <w:t>新产品</w:t>
      </w:r>
      <w:r>
        <w:rPr>
          <w:rFonts w:ascii="宋体" w:hAnsi="宋体" w:eastAsia="宋体"/>
          <w:color w:val="000000"/>
          <w:sz w:val="24"/>
          <w:szCs w:val="24"/>
        </w:rPr>
        <w:t>”</w:t>
      </w:r>
      <w:r>
        <w:rPr>
          <w:rFonts w:eastAsia="宋体"/>
          <w:color w:val="000000"/>
          <w:sz w:val="24"/>
          <w:szCs w:val="24"/>
        </w:rPr>
        <w:t>申请因未能提交足够的信息而被撤回，则需要提出新的</w:t>
      </w:r>
      <w:r>
        <w:rPr>
          <w:rFonts w:ascii="宋体" w:hAnsi="宋体" w:eastAsia="宋体"/>
          <w:color w:val="000000"/>
          <w:sz w:val="24"/>
          <w:szCs w:val="24"/>
        </w:rPr>
        <w:t>“</w:t>
      </w:r>
      <w:r>
        <w:rPr>
          <w:rFonts w:eastAsia="宋体"/>
          <w:color w:val="000000"/>
          <w:sz w:val="24"/>
          <w:szCs w:val="24"/>
        </w:rPr>
        <w:t>新产品</w:t>
      </w:r>
      <w:r>
        <w:rPr>
          <w:rFonts w:ascii="宋体" w:hAnsi="宋体" w:eastAsia="宋体"/>
          <w:color w:val="000000"/>
          <w:sz w:val="24"/>
          <w:szCs w:val="24"/>
        </w:rPr>
        <w:t>”</w:t>
      </w:r>
      <w:r>
        <w:rPr>
          <w:rFonts w:eastAsia="宋体"/>
          <w:color w:val="000000"/>
          <w:sz w:val="24"/>
          <w:szCs w:val="24"/>
        </w:rPr>
        <w:t>申请，以便根据</w:t>
      </w:r>
      <w:r>
        <w:rPr>
          <w:rFonts w:ascii="宋体" w:hAnsi="宋体" w:eastAsia="宋体"/>
          <w:color w:val="000000"/>
          <w:sz w:val="24"/>
          <w:szCs w:val="24"/>
        </w:rPr>
        <w:t>“</w:t>
      </w:r>
      <w:r>
        <w:rPr>
          <w:rFonts w:eastAsia="宋体"/>
          <w:color w:val="000000"/>
          <w:sz w:val="24"/>
          <w:szCs w:val="24"/>
        </w:rPr>
        <w:t>新产品</w:t>
      </w:r>
      <w:r>
        <w:rPr>
          <w:rFonts w:ascii="宋体" w:hAnsi="宋体" w:eastAsia="宋体"/>
          <w:color w:val="000000"/>
          <w:sz w:val="24"/>
          <w:szCs w:val="24"/>
        </w:rPr>
        <w:t>”</w:t>
      </w:r>
      <w:r>
        <w:rPr>
          <w:rFonts w:eastAsia="宋体"/>
          <w:color w:val="000000"/>
          <w:sz w:val="24"/>
          <w:szCs w:val="24"/>
        </w:rPr>
        <w:t>分类程序重新启动对器械的审查。</w:t>
      </w:r>
    </w:p>
    <w:p w14:paraId="6A1B61D9">
      <w:pPr>
        <w:snapToGrid w:val="0"/>
        <w:jc w:val="both"/>
        <w:rPr>
          <w:rFonts w:eastAsia="宋体"/>
          <w:sz w:val="24"/>
          <w:szCs w:val="24"/>
        </w:rPr>
      </w:pPr>
    </w:p>
    <w:p w14:paraId="3785A5CA">
      <w:pPr>
        <w:snapToGrid w:val="0"/>
        <w:jc w:val="both"/>
        <w:rPr>
          <w:rFonts w:eastAsia="宋体"/>
          <w:color w:val="000000"/>
          <w:sz w:val="24"/>
          <w:szCs w:val="24"/>
        </w:rPr>
      </w:pPr>
      <w:r>
        <w:rPr>
          <w:rFonts w:eastAsia="宋体"/>
          <w:color w:val="000000"/>
          <w:sz w:val="24"/>
          <w:szCs w:val="24"/>
        </w:rPr>
        <w:t>如果一般控制或一般和特殊控制不足以提供合理的安全和有效性保证，或者在新申请中提供的信息和/或数据不足以确定一般控制或一般和特殊控制是否能够提供合理的安全和有效性保证，我们将拒绝新申请，并且您可能无法合法地销售该器械。如果新申请被拒绝，我们将向申请者发出书面命令，说明拒绝新申请的理由，包括缺乏性能数据，并且该器械仍属于第三类，不得上市。您可以根据《FD&amp;C法案》第515条提交上市前批准（PMA）申请，或者收集额外的信息来解决这些问题，并提交一份包括额外信息的新的新申请。</w:t>
      </w:r>
    </w:p>
    <w:p w14:paraId="1D35F5B3">
      <w:pPr>
        <w:snapToGrid w:val="0"/>
        <w:jc w:val="both"/>
        <w:rPr>
          <w:rFonts w:eastAsia="宋体"/>
          <w:sz w:val="24"/>
          <w:szCs w:val="24"/>
        </w:rPr>
      </w:pPr>
    </w:p>
    <w:p w14:paraId="3A1F9A29">
      <w:pPr>
        <w:snapToGrid w:val="0"/>
        <w:jc w:val="both"/>
        <w:rPr>
          <w:rFonts w:eastAsia="宋体"/>
          <w:sz w:val="24"/>
          <w:szCs w:val="24"/>
        </w:rPr>
      </w:pPr>
      <w:r>
        <w:rPr>
          <w:rFonts w:eastAsia="宋体"/>
          <w:color w:val="000000"/>
          <w:sz w:val="24"/>
          <w:szCs w:val="24"/>
        </w:rPr>
        <w:t>如果您的数据和信息表明，一般控制或一般和特殊控制足以提供合理的安全和有效性保证，我们将批准新申请。如果批准了新申请，我们将向您发出一份批准新申请的书面命令，并确定该器械的分类（I类或II类）。对于第二类器械，我们还将确定特殊控制措施。自批准令发布之日起，申请者可立即开始销售受一般控制和任何已确定的特殊控制的器械，并且该器械可酌情用作未来510（k）申请的实质等同器械。</w:t>
      </w:r>
    </w:p>
    <w:p w14:paraId="6969F155">
      <w:pPr>
        <w:snapToGrid w:val="0"/>
        <w:jc w:val="both"/>
        <w:rPr>
          <w:rFonts w:eastAsia="宋体"/>
          <w:sz w:val="24"/>
          <w:szCs w:val="24"/>
        </w:rPr>
      </w:pPr>
    </w:p>
    <w:p w14:paraId="205C2CF0">
      <w:pPr>
        <w:snapToGrid w:val="0"/>
        <w:jc w:val="both"/>
        <w:rPr>
          <w:rFonts w:eastAsia="宋体"/>
          <w:sz w:val="24"/>
          <w:szCs w:val="24"/>
        </w:rPr>
      </w:pPr>
    </w:p>
    <w:p w14:paraId="0B34AB9D">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7EA850E4">
      <w:pPr>
        <w:snapToGrid w:val="0"/>
        <w:jc w:val="both"/>
        <w:rPr>
          <w:rFonts w:eastAsia="宋体"/>
          <w:color w:val="000000"/>
          <w:sz w:val="24"/>
          <w:szCs w:val="24"/>
        </w:rPr>
      </w:pPr>
      <w:r>
        <w:rPr>
          <w:rFonts w:eastAsia="宋体"/>
          <w:color w:val="000000"/>
          <w:sz w:val="24"/>
          <w:szCs w:val="24"/>
        </w:rPr>
        <w:t>然后，我们将在《联邦公报》上发布最终命令，对该决定进行公示，这将导致器械的识别、分类和适用要求被编入《美国联邦法规》第21章（器械分类见第862-892部分）。</w:t>
      </w:r>
    </w:p>
    <w:p w14:paraId="1A343723">
      <w:pPr>
        <w:snapToGrid w:val="0"/>
        <w:jc w:val="both"/>
        <w:rPr>
          <w:rFonts w:eastAsia="宋体"/>
          <w:sz w:val="24"/>
          <w:szCs w:val="24"/>
        </w:rPr>
      </w:pPr>
    </w:p>
    <w:p w14:paraId="6033FA60">
      <w:pPr>
        <w:snapToGrid w:val="0"/>
        <w:jc w:val="both"/>
        <w:rPr>
          <w:rFonts w:eastAsia="宋体"/>
          <w:sz w:val="24"/>
          <w:szCs w:val="24"/>
        </w:rPr>
      </w:pPr>
      <w:r>
        <w:rPr>
          <w:rFonts w:eastAsia="宋体"/>
          <w:color w:val="000000"/>
          <w:sz w:val="24"/>
          <w:szCs w:val="24"/>
        </w:rPr>
        <w:t>通过新分类程序获得营销授权的器械的新申请被称为已被</w:t>
      </w:r>
      <w:r>
        <w:rPr>
          <w:rFonts w:ascii="宋体" w:hAnsi="宋体" w:eastAsia="宋体"/>
          <w:color w:val="000000"/>
          <w:sz w:val="24"/>
          <w:szCs w:val="24"/>
        </w:rPr>
        <w:t>“</w:t>
      </w:r>
      <w:r>
        <w:rPr>
          <w:rFonts w:eastAsia="宋体"/>
          <w:color w:val="000000"/>
          <w:sz w:val="24"/>
          <w:szCs w:val="24"/>
        </w:rPr>
        <w:t>授予</w:t>
      </w:r>
      <w:r>
        <w:rPr>
          <w:rFonts w:ascii="宋体" w:hAnsi="宋体" w:eastAsia="宋体"/>
          <w:color w:val="000000"/>
          <w:sz w:val="24"/>
          <w:szCs w:val="24"/>
        </w:rPr>
        <w:t>”</w:t>
      </w:r>
      <w:r>
        <w:rPr>
          <w:rFonts w:eastAsia="宋体"/>
          <w:color w:val="000000"/>
          <w:sz w:val="24"/>
          <w:szCs w:val="24"/>
        </w:rPr>
        <w:t>（类似于</w:t>
      </w:r>
      <w:r>
        <w:rPr>
          <w:rFonts w:ascii="宋体" w:hAnsi="宋体" w:eastAsia="宋体"/>
          <w:color w:val="000000"/>
          <w:sz w:val="24"/>
          <w:szCs w:val="24"/>
        </w:rPr>
        <w:t>“</w:t>
      </w:r>
      <w:r>
        <w:rPr>
          <w:rFonts w:eastAsia="宋体"/>
          <w:color w:val="000000"/>
          <w:sz w:val="24"/>
          <w:szCs w:val="24"/>
        </w:rPr>
        <w:t>PMA批准</w:t>
      </w:r>
      <w:r>
        <w:rPr>
          <w:rFonts w:ascii="宋体" w:hAnsi="宋体" w:eastAsia="宋体"/>
          <w:color w:val="000000"/>
          <w:sz w:val="24"/>
          <w:szCs w:val="24"/>
        </w:rPr>
        <w:t>”</w:t>
      </w:r>
      <w:r>
        <w:rPr>
          <w:rFonts w:eastAsia="宋体"/>
          <w:color w:val="000000"/>
          <w:sz w:val="24"/>
          <w:szCs w:val="24"/>
        </w:rPr>
        <w:t>和</w:t>
      </w:r>
      <w:r>
        <w:rPr>
          <w:rFonts w:ascii="宋体" w:hAnsi="宋体" w:eastAsia="宋体"/>
          <w:color w:val="000000"/>
          <w:sz w:val="24"/>
          <w:szCs w:val="24"/>
        </w:rPr>
        <w:t>“</w:t>
      </w:r>
      <w:r>
        <w:rPr>
          <w:rFonts w:eastAsia="宋体"/>
          <w:color w:val="000000"/>
          <w:sz w:val="24"/>
          <w:szCs w:val="24"/>
        </w:rPr>
        <w:t>510（k）批准</w:t>
      </w:r>
      <w:r>
        <w:rPr>
          <w:rFonts w:ascii="宋体" w:hAnsi="宋体" w:eastAsia="宋体"/>
          <w:color w:val="000000"/>
          <w:sz w:val="24"/>
          <w:szCs w:val="24"/>
        </w:rPr>
        <w:t>”</w:t>
      </w:r>
      <w:r>
        <w:rPr>
          <w:rFonts w:eastAsia="宋体"/>
          <w:color w:val="000000"/>
          <w:sz w:val="24"/>
          <w:szCs w:val="24"/>
        </w:rPr>
        <w:t>）。如果批准了新申请，我们打算将批准新申请的书面命令发给提交者，并将我们对新申请的审查总结放在CDRH网站（见</w:t>
      </w:r>
    </w:p>
    <w:p w14:paraId="45192BB6">
      <w:pPr>
        <w:snapToGrid w:val="0"/>
        <w:jc w:val="both"/>
        <w:rPr>
          <w:rFonts w:eastAsia="宋体"/>
          <w:sz w:val="24"/>
          <w:szCs w:val="24"/>
        </w:rPr>
      </w:pPr>
      <w:r>
        <w:rPr>
          <w:rFonts w:eastAsia="宋体"/>
          <w:color w:val="0000FF"/>
          <w:sz w:val="24"/>
          <w:szCs w:val="24"/>
          <w:u w:val="single"/>
        </w:rPr>
        <w:t xml:space="preserve">http://www.fda.gov/AboutFDA/CentersOffices/OfficeofMedicalProductsandTobacco/CDRH/CDRHTransparency/ucm232269.htm </w:t>
      </w:r>
      <w:r>
        <w:rPr>
          <w:rFonts w:eastAsia="宋体"/>
          <w:color w:val="000000"/>
          <w:sz w:val="24"/>
          <w:szCs w:val="24"/>
        </w:rPr>
        <w:t>和</w:t>
      </w:r>
    </w:p>
    <w:p w14:paraId="71AEC21A">
      <w:pPr>
        <w:snapToGrid w:val="0"/>
        <w:jc w:val="both"/>
        <w:rPr>
          <w:rFonts w:eastAsia="宋体"/>
          <w:sz w:val="24"/>
          <w:szCs w:val="24"/>
        </w:rPr>
      </w:pPr>
      <w:r>
        <w:rPr>
          <w:rFonts w:eastAsia="宋体"/>
          <w:color w:val="0000FF"/>
          <w:sz w:val="24"/>
          <w:szCs w:val="24"/>
          <w:u w:val="single"/>
        </w:rPr>
        <w:t>https://www.accessdata.fda.gov/scripts/cdrh/cfdocs/cfPMN/denovo.cfm)</w:t>
      </w:r>
      <w:r>
        <w:rPr>
          <w:rFonts w:eastAsia="宋体"/>
          <w:color w:val="000000"/>
          <w:sz w:val="24"/>
          <w:szCs w:val="24"/>
        </w:rPr>
        <w:t>或CBER网站（见</w:t>
      </w:r>
    </w:p>
    <w:p w14:paraId="5859493E">
      <w:pPr>
        <w:snapToGrid w:val="0"/>
        <w:jc w:val="both"/>
        <w:rPr>
          <w:rFonts w:eastAsia="宋体"/>
          <w:sz w:val="24"/>
          <w:szCs w:val="24"/>
        </w:rPr>
      </w:pPr>
      <w:r>
        <w:rPr>
          <w:rFonts w:eastAsia="宋体"/>
          <w:color w:val="0000FF"/>
          <w:sz w:val="24"/>
          <w:szCs w:val="24"/>
          <w:u w:val="single"/>
        </w:rPr>
        <w:t>http://www.fda.gov/BiologicsBloodVaccines/BloodBloodProducts/ApprovedProducts/default.htm)</w:t>
      </w:r>
      <w:r>
        <w:rPr>
          <w:rFonts w:eastAsia="宋体"/>
          <w:color w:val="000000"/>
          <w:sz w:val="24"/>
          <w:szCs w:val="24"/>
        </w:rPr>
        <w:t>.一旦新申请被批准，那么申报器械就可以作为任何未来510（k）申报的实质等同器械。发布到FDA网站的信息将被编辑，以保护任何机密的商业、商业秘密或个人隐私信息，符合21 CFR第20部分。</w:t>
      </w:r>
    </w:p>
    <w:p w14:paraId="745BBBA4">
      <w:pPr>
        <w:pStyle w:val="2"/>
        <w:spacing w:before="240" w:after="240"/>
        <w:rPr>
          <w:rFonts w:eastAsia="宋体"/>
        </w:rPr>
      </w:pPr>
      <w:r>
        <w:rPr>
          <w:rFonts w:eastAsia="宋体"/>
        </w:rPr>
        <w:t>5.</w:t>
      </w:r>
      <w:r>
        <w:rPr>
          <w:rFonts w:eastAsia="宋体"/>
        </w:rPr>
        <w:tab/>
      </w:r>
      <w:r>
        <w:rPr>
          <w:rFonts w:eastAsia="宋体"/>
        </w:rPr>
        <w:t>1995年减少文书工作法</w:t>
      </w:r>
    </w:p>
    <w:p w14:paraId="7E3A86E6">
      <w:pPr>
        <w:snapToGrid w:val="0"/>
        <w:jc w:val="both"/>
        <w:rPr>
          <w:rFonts w:eastAsia="宋体"/>
          <w:color w:val="2F2F2F"/>
          <w:sz w:val="24"/>
          <w:szCs w:val="24"/>
        </w:rPr>
      </w:pPr>
      <w:r>
        <w:rPr>
          <w:rFonts w:eastAsia="宋体"/>
          <w:color w:val="2F2F2F"/>
          <w:sz w:val="24"/>
          <w:szCs w:val="24"/>
        </w:rPr>
        <w:t>本指南包含应由管理和预算办公室（OMB）根据1995年《文书削减法》（44 U.S.C. 3501-3520）进行审评的信息收集规定。</w:t>
      </w:r>
    </w:p>
    <w:p w14:paraId="26561D5E">
      <w:pPr>
        <w:snapToGrid w:val="0"/>
        <w:jc w:val="both"/>
        <w:rPr>
          <w:rFonts w:eastAsia="宋体"/>
          <w:sz w:val="24"/>
          <w:szCs w:val="24"/>
        </w:rPr>
      </w:pPr>
    </w:p>
    <w:p w14:paraId="50B163B5">
      <w:pPr>
        <w:snapToGrid w:val="0"/>
        <w:jc w:val="both"/>
        <w:rPr>
          <w:rFonts w:eastAsia="宋体"/>
          <w:color w:val="2F2F2F"/>
          <w:sz w:val="24"/>
          <w:szCs w:val="24"/>
        </w:rPr>
      </w:pPr>
      <w:r>
        <w:rPr>
          <w:rFonts w:eastAsia="宋体"/>
          <w:color w:val="2F2F2F"/>
          <w:sz w:val="24"/>
          <w:szCs w:val="24"/>
        </w:rPr>
        <w:t>完成这一信息收集所需的时间估计为：根据《FD&amp;C法案》第513(f)(2)(i)条提出的新申请，平均每次回复100小时；根据《FD&amp;C法案》第513(f)(2)(ii)条提出的新申请，平均每次回复180小时；或对撤销新申请，每次回复10分钟，包括审查说明、搜索现有数据源、收集所需数据以及完成和审查信息收集的时间。将有关此工作估计的意见或减轻此工作的建议发送至：</w:t>
      </w:r>
    </w:p>
    <w:p w14:paraId="404AF850">
      <w:pPr>
        <w:snapToGrid w:val="0"/>
        <w:jc w:val="both"/>
        <w:rPr>
          <w:rFonts w:eastAsia="宋体"/>
          <w:sz w:val="24"/>
          <w:szCs w:val="24"/>
        </w:rPr>
      </w:pPr>
    </w:p>
    <w:p w14:paraId="1724DB93">
      <w:pPr>
        <w:snapToGrid w:val="0"/>
        <w:jc w:val="both"/>
        <w:rPr>
          <w:rFonts w:eastAsia="宋体"/>
          <w:sz w:val="24"/>
          <w:szCs w:val="24"/>
        </w:rPr>
      </w:pPr>
      <w:r>
        <w:rPr>
          <w:rFonts w:eastAsia="宋体"/>
          <w:color w:val="2F2F2F"/>
          <w:sz w:val="24"/>
          <w:szCs w:val="24"/>
        </w:rPr>
        <w:t>FDA PRA工作人员，</w:t>
      </w:r>
    </w:p>
    <w:p w14:paraId="7C0846F4">
      <w:pPr>
        <w:snapToGrid w:val="0"/>
        <w:jc w:val="both"/>
        <w:rPr>
          <w:rFonts w:eastAsia="宋体"/>
          <w:sz w:val="24"/>
          <w:szCs w:val="24"/>
        </w:rPr>
      </w:pPr>
      <w:r>
        <w:rPr>
          <w:rFonts w:eastAsia="宋体"/>
          <w:color w:val="2F2F2F"/>
          <w:sz w:val="24"/>
          <w:szCs w:val="24"/>
        </w:rPr>
        <w:t>运营办公室，</w:t>
      </w:r>
    </w:p>
    <w:p w14:paraId="6496F374">
      <w:pPr>
        <w:snapToGrid w:val="0"/>
        <w:jc w:val="both"/>
        <w:rPr>
          <w:rFonts w:eastAsia="宋体"/>
          <w:sz w:val="24"/>
          <w:szCs w:val="24"/>
        </w:rPr>
      </w:pPr>
      <w:r>
        <w:rPr>
          <w:rFonts w:eastAsia="宋体"/>
          <w:color w:val="2F2F2F"/>
          <w:sz w:val="24"/>
          <w:szCs w:val="24"/>
        </w:rPr>
        <w:t>美国食品药品监督管理局，</w:t>
      </w:r>
    </w:p>
    <w:p w14:paraId="0E0689E0">
      <w:pPr>
        <w:snapToGrid w:val="0"/>
        <w:jc w:val="both"/>
        <w:rPr>
          <w:rFonts w:eastAsia="宋体"/>
          <w:sz w:val="24"/>
          <w:szCs w:val="24"/>
        </w:rPr>
      </w:pPr>
      <w:r>
        <w:rPr>
          <w:rFonts w:eastAsia="宋体"/>
          <w:color w:val="0000FF"/>
          <w:sz w:val="24"/>
          <w:szCs w:val="24"/>
          <w:u w:val="single"/>
        </w:rPr>
        <w:t>PRAStaff@fda.hhs.gov</w:t>
      </w:r>
    </w:p>
    <w:p w14:paraId="2BE41CF6">
      <w:pPr>
        <w:snapToGrid w:val="0"/>
        <w:jc w:val="both"/>
        <w:rPr>
          <w:rFonts w:eastAsia="宋体"/>
          <w:color w:val="2F2F2F"/>
          <w:sz w:val="24"/>
          <w:szCs w:val="24"/>
        </w:rPr>
      </w:pPr>
    </w:p>
    <w:p w14:paraId="6937C0E3">
      <w:pPr>
        <w:snapToGrid w:val="0"/>
        <w:jc w:val="both"/>
        <w:rPr>
          <w:rFonts w:eastAsia="宋体"/>
          <w:sz w:val="24"/>
          <w:szCs w:val="24"/>
        </w:rPr>
      </w:pPr>
      <w:r>
        <w:rPr>
          <w:rFonts w:eastAsia="宋体"/>
          <w:color w:val="2F2F2F"/>
          <w:sz w:val="24"/>
          <w:szCs w:val="24"/>
        </w:rPr>
        <w:t>本指南还提到了目前批准的信息收集。</w:t>
      </w:r>
      <w:r>
        <w:rPr>
          <w:rFonts w:eastAsia="宋体"/>
          <w:color w:val="000000"/>
          <w:sz w:val="24"/>
          <w:szCs w:val="24"/>
        </w:rPr>
        <w:t>指导文件</w:t>
      </w:r>
      <w:r>
        <w:rPr>
          <w:rFonts w:ascii="宋体" w:hAnsi="宋体" w:eastAsia="宋体"/>
          <w:color w:val="000000"/>
          <w:sz w:val="24"/>
          <w:szCs w:val="24"/>
        </w:rPr>
        <w:t>“</w:t>
      </w:r>
      <w:r>
        <w:rPr>
          <w:rFonts w:eastAsia="宋体"/>
          <w:color w:val="000000"/>
          <w:sz w:val="24"/>
          <w:szCs w:val="24"/>
        </w:rPr>
        <w:t>医疗器械提交的反馈请求：预提交计划和与美国食品药品监督管理局工作人员的会议中的信息集合已在OMB控制号0910-0756下获得批准。21 CFR第807部分E子部分的信息收集已在OMB控制号0910-0120下批准；21 CFR第814部分的信息收集已在OMB控制号0910-0231下批准；21 CFR第801部分的信息收集已在OMB控制号0910-0485下批准。</w:t>
      </w:r>
    </w:p>
    <w:p w14:paraId="1AEFB529">
      <w:pPr>
        <w:snapToGrid w:val="0"/>
        <w:jc w:val="both"/>
        <w:rPr>
          <w:rFonts w:eastAsia="宋体"/>
          <w:sz w:val="24"/>
          <w:szCs w:val="24"/>
        </w:rPr>
      </w:pPr>
    </w:p>
    <w:p w14:paraId="7905A08F">
      <w:pPr>
        <w:snapToGrid w:val="0"/>
        <w:jc w:val="both"/>
        <w:rPr>
          <w:rFonts w:eastAsia="宋体"/>
          <w:sz w:val="24"/>
          <w:szCs w:val="24"/>
        </w:rPr>
      </w:pPr>
    </w:p>
    <w:p w14:paraId="67ED96C4">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20BDD11F">
      <w:pPr>
        <w:snapToGrid w:val="0"/>
        <w:jc w:val="both"/>
        <w:rPr>
          <w:rFonts w:eastAsia="宋体"/>
          <w:sz w:val="24"/>
          <w:szCs w:val="24"/>
        </w:rPr>
      </w:pPr>
      <w:r>
        <w:rPr>
          <w:rFonts w:eastAsia="宋体"/>
          <w:color w:val="000000"/>
          <w:sz w:val="24"/>
          <w:szCs w:val="24"/>
        </w:rPr>
        <w:t>除非显示当前有效的OMB控制编号，否则</w:t>
      </w:r>
      <w:r>
        <w:rPr>
          <w:rFonts w:hint="eastAsia" w:eastAsia="宋体"/>
          <w:color w:val="000000"/>
          <w:sz w:val="24"/>
          <w:szCs w:val="24"/>
        </w:rPr>
        <w:t>F</w:t>
      </w:r>
      <w:r>
        <w:rPr>
          <w:rFonts w:eastAsia="宋体"/>
          <w:color w:val="000000"/>
          <w:sz w:val="24"/>
          <w:szCs w:val="24"/>
        </w:rPr>
        <w:t>DA不得进行或发起信息收集，并且个人无需回应。该信息收集的OMB控制号是0910-0844（2020年9月30日到期）。</w:t>
      </w:r>
    </w:p>
    <w:p w14:paraId="2D0C45AA">
      <w:pPr>
        <w:snapToGrid w:val="0"/>
        <w:jc w:val="both"/>
        <w:rPr>
          <w:rFonts w:eastAsia="宋体"/>
          <w:sz w:val="24"/>
          <w:szCs w:val="24"/>
        </w:rPr>
      </w:pPr>
    </w:p>
    <w:p w14:paraId="4AD95576">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0EB06D62">
      <w:pPr>
        <w:pStyle w:val="14"/>
        <w:rPr>
          <w:rFonts w:eastAsia="宋体"/>
          <w:sz w:val="36"/>
          <w:szCs w:val="36"/>
        </w:rPr>
      </w:pPr>
      <w:r>
        <w:rPr>
          <w:rFonts w:eastAsia="宋体"/>
          <w:b/>
          <w:bCs/>
          <w:sz w:val="36"/>
          <w:szCs w:val="36"/>
        </w:rPr>
        <w:t xml:space="preserve">附件1 </w:t>
      </w:r>
    </w:p>
    <w:p w14:paraId="2160F017">
      <w:pPr>
        <w:snapToGrid w:val="0"/>
        <w:jc w:val="center"/>
        <w:rPr>
          <w:rFonts w:eastAsia="宋体"/>
          <w:b/>
          <w:bCs/>
          <w:sz w:val="36"/>
          <w:szCs w:val="36"/>
        </w:rPr>
      </w:pPr>
      <w:r>
        <w:rPr>
          <w:rFonts w:eastAsia="宋体"/>
          <w:b/>
          <w:bCs/>
          <w:sz w:val="36"/>
          <w:szCs w:val="36"/>
        </w:rPr>
        <w:t>新申请审查程序</w:t>
      </w:r>
    </w:p>
    <w:p w14:paraId="1EE771A2">
      <w:pPr>
        <w:snapToGrid w:val="0"/>
        <w:jc w:val="center"/>
        <w:rPr>
          <w:rFonts w:eastAsia="宋体"/>
          <w:b/>
          <w:bCs/>
          <w:sz w:val="36"/>
          <w:szCs w:val="36"/>
        </w:rPr>
      </w:pPr>
    </w:p>
    <w:p w14:paraId="2FFF0E12">
      <w:pPr>
        <w:pBdr>
          <w:top w:val="single" w:color="auto" w:sz="4" w:space="1"/>
          <w:left w:val="single" w:color="auto" w:sz="4" w:space="4"/>
          <w:bottom w:val="single" w:color="auto" w:sz="4" w:space="1"/>
          <w:right w:val="single" w:color="auto" w:sz="4" w:space="4"/>
        </w:pBdr>
        <w:snapToGrid w:val="0"/>
        <w:jc w:val="center"/>
        <w:rPr>
          <w:rFonts w:eastAsia="宋体"/>
        </w:rPr>
      </w:pPr>
    </w:p>
    <w:p w14:paraId="66CBA78C">
      <w:pPr>
        <w:pBdr>
          <w:top w:val="single" w:color="auto" w:sz="4" w:space="1"/>
          <w:left w:val="single" w:color="auto" w:sz="4" w:space="4"/>
          <w:bottom w:val="single" w:color="auto" w:sz="4" w:space="1"/>
          <w:right w:val="single" w:color="auto" w:sz="4" w:space="4"/>
        </w:pBdr>
        <w:snapToGrid w:val="0"/>
        <w:jc w:val="center"/>
        <w:rPr>
          <w:rFonts w:eastAsia="宋体"/>
        </w:rPr>
      </w:pPr>
      <w:r>
        <w:rPr>
          <w:rFonts w:eastAsia="宋体"/>
          <w:color w:val="000000"/>
          <w:sz w:val="21"/>
          <w:szCs w:val="21"/>
        </w:rPr>
        <w:pict>
          <v:rect id="矩形 25" o:spid="_x0000_s1026" o:spt="1" style="position:absolute;left:0pt;margin-left:206.75pt;margin-top:433.8pt;height:26.6pt;width:80.3pt;z-index:251681792;mso-width-relative:margin;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">
            <v:path/>
            <v:fill on="f" focussize="0,0"/>
            <v:stroke on="f"/>
            <v:imagedata o:title=""/>
            <o:lock v:ext="edit"/>
            <v:textbox inset="0mm,0mm,0mm,0mm">
              <w:txbxContent>
                <w:p w14:paraId="3C3033B6">
                  <w:pPr>
                    <w:jc w:val="center"/>
                    <w:rPr>
                      <w:rFonts w:eastAsia="宋体"/>
                      <w:color w:val="000000" w:themeColor="text1"/>
                      <w:sz w:val="15"/>
                      <w:szCs w:val="15"/>
                    </w:rPr>
                  </w:pPr>
                  <w:r>
                    <w:rPr>
                      <w:rFonts w:eastAsia="宋体"/>
                      <w:color w:val="000000" w:themeColor="text1"/>
                      <w:kern w:val="24"/>
                      <w:sz w:val="15"/>
                      <w:szCs w:val="15"/>
                    </w:rPr>
                    <w:t>批准新申请；器械可以合法销售</w:t>
                  </w:r>
                </w:p>
              </w:txbxContent>
            </v:textbox>
          </v:rect>
        </w:pict>
      </w:r>
      <w:r>
        <w:rPr>
          <w:rFonts w:eastAsia="宋体"/>
          <w:color w:val="000000"/>
          <w:sz w:val="21"/>
          <w:szCs w:val="21"/>
        </w:rPr>
        <w:pict>
          <v:rect id="矩形 14" o:spid="_x0000_s1027" o:spt="1" style="position:absolute;left:0pt;margin-left:295.35pt;margin-top:235.8pt;height:7.45pt;width:65.75pt;z-index:251670528;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">
            <v:path/>
            <v:fill on="f" focussize="0,0"/>
            <v:stroke on="f"/>
            <v:imagedata o:title=""/>
            <o:lock v:ext="edit"/>
            <v:textbox inset="0mm,0mm,0mm,0mm">
              <w:txbxContent>
                <w:p w14:paraId="537BC40D">
                  <w:pPr>
                    <w:jc w:val="center"/>
                    <w:rPr>
                      <w:rFonts w:eastAsia="宋体"/>
                      <w:color w:val="000000" w:themeColor="text1"/>
                      <w:sz w:val="15"/>
                      <w:szCs w:val="15"/>
                    </w:rPr>
                  </w:pPr>
                  <w:r>
                    <w:rPr>
                      <w:rFonts w:eastAsia="宋体"/>
                      <w:color w:val="000000" w:themeColor="text1"/>
                      <w:kern w:val="24"/>
                      <w:sz w:val="15"/>
                      <w:szCs w:val="15"/>
                    </w:rPr>
                    <w:t>是，可能实质等同</w:t>
                  </w:r>
                </w:p>
              </w:txbxContent>
            </v:textbox>
          </v:rect>
        </w:pict>
      </w:r>
      <w:r>
        <w:rPr>
          <w:rFonts w:eastAsia="宋体"/>
          <w:color w:val="000000"/>
          <w:sz w:val="21"/>
          <w:szCs w:val="21"/>
        </w:rPr>
        <w:pict>
          <v:rect id="矩形 15" o:spid="_x0000_s1028" o:spt="1" style="position:absolute;left:0pt;margin-left:370.15pt;margin-top:235.1pt;height:33.8pt;width:58.8pt;z-index:251671552;mso-width-relative:margin;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">
            <v:path/>
            <v:fill on="f" focussize="0,0"/>
            <v:stroke on="f"/>
            <v:imagedata o:title=""/>
            <o:lock v:ext="edit"/>
            <v:textbox inset="0mm,0mm,0mm,0mm">
              <w:txbxContent>
                <w:p w14:paraId="4CA80395">
                  <w:pPr>
                    <w:jc w:val="center"/>
                    <w:rPr>
                      <w:rFonts w:eastAsia="宋体"/>
                      <w:color w:val="000000" w:themeColor="text1"/>
                      <w:sz w:val="15"/>
                      <w:szCs w:val="15"/>
                    </w:rPr>
                  </w:pPr>
                  <w:r>
                    <w:rPr>
                      <w:rFonts w:eastAsia="宋体"/>
                      <w:color w:val="000000" w:themeColor="text1"/>
                      <w:kern w:val="24"/>
                      <w:sz w:val="15"/>
                      <w:szCs w:val="15"/>
                    </w:rPr>
                    <w:t>拒绝新申请；提交510（k）（除非510（k）豁免）。</w:t>
                  </w:r>
                </w:p>
              </w:txbxContent>
            </v:textbox>
          </v:rect>
        </w:pict>
      </w:r>
      <w:r>
        <w:rPr>
          <w:rFonts w:eastAsia="宋体"/>
          <w:color w:val="000000"/>
          <w:sz w:val="21"/>
          <w:szCs w:val="21"/>
        </w:rPr>
        <w:pict>
          <v:rect id="矩形 8" o:spid="_x0000_s1029" o:spt="1" style="position:absolute;left:0pt;margin-left:216.45pt;margin-top:194.25pt;height:18pt;width:62.05pt;z-index:251665408;mso-width-relative:margin;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">
            <v:path/>
            <v:fill on="f" focussize="0,0"/>
            <v:stroke on="f"/>
            <v:imagedata o:title=""/>
            <o:lock v:ext="edit"/>
            <v:textbox inset="0mm,0mm,0mm,0mm">
              <w:txbxContent>
                <w:p w14:paraId="292A145A">
                  <w:pPr>
                    <w:jc w:val="center"/>
                    <w:rPr>
                      <w:rFonts w:eastAsia="宋体"/>
                      <w:color w:val="000000" w:themeColor="text1"/>
                      <w:sz w:val="15"/>
                      <w:szCs w:val="15"/>
                    </w:rPr>
                  </w:pPr>
                  <w:r>
                    <w:rPr>
                      <w:rFonts w:eastAsia="宋体"/>
                      <w:color w:val="000000" w:themeColor="text1"/>
                      <w:kern w:val="24"/>
                      <w:sz w:val="15"/>
                      <w:szCs w:val="15"/>
                    </w:rPr>
                    <w:t>FDA分类审查</w:t>
                  </w:r>
                </w:p>
              </w:txbxContent>
            </v:textbox>
          </v:rect>
        </w:pict>
      </w:r>
      <w:r>
        <w:rPr>
          <w:rFonts w:eastAsia="宋体"/>
          <w:color w:val="000000"/>
          <w:sz w:val="21"/>
          <w:szCs w:val="21"/>
        </w:rPr>
        <w:pict>
          <v:rect id="_x0000_s1030" o:spid="_x0000_s1030" o:spt="1" style="position:absolute;left:0pt;margin-left:186pt;margin-top:107.05pt;height:49.9pt;width:119.75pt;z-index:251663360;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">
            <v:path/>
            <v:fill on="f" focussize="0,0"/>
            <v:stroke on="f"/>
            <v:imagedata o:title=""/>
            <o:lock v:ext="edit"/>
            <v:textbox inset="0mm,0mm,0mm,0mm">
              <w:txbxContent>
                <w:p w14:paraId="26C0BF6F">
                  <w:pPr>
                    <w:jc w:val="center"/>
                    <w:rPr>
                      <w:rFonts w:eastAsia="宋体"/>
                      <w:color w:val="000000" w:themeColor="text1"/>
                      <w:sz w:val="15"/>
                      <w:szCs w:val="15"/>
                    </w:rPr>
                  </w:pPr>
                  <w:r>
                    <w:rPr>
                      <w:rFonts w:eastAsia="宋体"/>
                      <w:color w:val="000000" w:themeColor="text1"/>
                      <w:kern w:val="24"/>
                      <w:sz w:val="15"/>
                      <w:szCs w:val="15"/>
                    </w:rPr>
                    <w:t>没有相同器械的现有</w:t>
                  </w:r>
                  <w:r>
                    <w:rPr>
                      <w:rFonts w:hint="eastAsia" w:eastAsia="宋体"/>
                      <w:color w:val="000000" w:themeColor="text1"/>
                      <w:kern w:val="24"/>
                      <w:sz w:val="15"/>
                      <w:szCs w:val="15"/>
                    </w:rPr>
                    <w:t>有效</w:t>
                  </w:r>
                  <w:r>
                    <w:rPr>
                      <w:rFonts w:eastAsia="宋体"/>
                      <w:color w:val="000000" w:themeColor="text1"/>
                      <w:kern w:val="24"/>
                      <w:sz w:val="15"/>
                      <w:szCs w:val="15"/>
                    </w:rPr>
                    <w:t>资料</w:t>
                  </w:r>
                  <w:r>
                    <w:rPr>
                      <w:rFonts w:hint="eastAsia" w:eastAsia="宋体"/>
                      <w:color w:val="000000" w:themeColor="text1"/>
                      <w:kern w:val="24"/>
                      <w:sz w:val="15"/>
                      <w:szCs w:val="15"/>
                    </w:rPr>
                    <w:t>提交</w:t>
                  </w:r>
                  <w:r>
                    <w:rPr>
                      <w:rFonts w:eastAsia="宋体"/>
                      <w:color w:val="000000" w:themeColor="text1"/>
                      <w:kern w:val="24"/>
                      <w:sz w:val="15"/>
                      <w:szCs w:val="15"/>
                    </w:rPr>
                    <w:t>，提供信息以确定是否存在潜在的实质等同器械，并提供拟议的特殊控制（如果建议作为第二类器械）？</w:t>
                  </w:r>
                </w:p>
              </w:txbxContent>
            </v:textbox>
          </v:rect>
        </w:pict>
      </w:r>
      <w:r>
        <w:rPr>
          <w:rFonts w:eastAsia="宋体"/>
          <w:color w:val="000000"/>
          <w:sz w:val="21"/>
          <w:szCs w:val="21"/>
        </w:rPr>
        <w:pict>
          <v:rect id="矩形 10" o:spid="_x0000_s1031" o:spt="1" style="position:absolute;left:0pt;margin-left:72.35pt;margin-top:218.2pt;height:66.7pt;width:58.2pt;z-index:251667456;mso-width-relative:margin;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">
            <v:path/>
            <v:fill on="f" focussize="0,0"/>
            <v:stroke on="f"/>
            <v:imagedata o:title=""/>
            <o:lock v:ext="edit"/>
            <v:textbox inset="0mm,0mm,0mm,0mm">
              <w:txbxContent>
                <w:p w14:paraId="0BC756C4">
                  <w:pPr>
                    <w:jc w:val="center"/>
                    <w:rPr>
                      <w:rFonts w:eastAsia="宋体"/>
                      <w:color w:val="000000" w:themeColor="text1"/>
                      <w:sz w:val="15"/>
                      <w:szCs w:val="15"/>
                    </w:rPr>
                  </w:pPr>
                  <w:r>
                    <w:rPr>
                      <w:rFonts w:eastAsia="宋体"/>
                      <w:color w:val="000000" w:themeColor="text1"/>
                      <w:kern w:val="24"/>
                      <w:sz w:val="15"/>
                      <w:szCs w:val="15"/>
                    </w:rPr>
                    <w:t>拒绝新申请；需要PMA</w:t>
                  </w:r>
                </w:p>
                <w:p w14:paraId="79586535">
                  <w:pPr>
                    <w:jc w:val="center"/>
                    <w:rPr>
                      <w:rFonts w:eastAsia="宋体"/>
                      <w:color w:val="000000" w:themeColor="text1"/>
                      <w:kern w:val="24"/>
                      <w:sz w:val="15"/>
                      <w:szCs w:val="15"/>
                    </w:rPr>
                  </w:pPr>
                  <w:r>
                    <w:rPr>
                      <w:rFonts w:eastAsia="宋体"/>
                      <w:color w:val="000000" w:themeColor="text1"/>
                      <w:kern w:val="24"/>
                      <w:sz w:val="15"/>
                      <w:szCs w:val="15"/>
                    </w:rPr>
                    <w:t>或</w:t>
                  </w:r>
                </w:p>
                <w:p w14:paraId="4F2F9172">
                  <w:pPr>
                    <w:jc w:val="center"/>
                    <w:rPr>
                      <w:rFonts w:eastAsia="宋体"/>
                      <w:color w:val="000000" w:themeColor="text1"/>
                      <w:sz w:val="15"/>
                      <w:szCs w:val="15"/>
                    </w:rPr>
                  </w:pPr>
                  <w:r>
                    <w:rPr>
                      <w:rFonts w:eastAsia="宋体"/>
                      <w:color w:val="000000" w:themeColor="text1"/>
                      <w:kern w:val="24"/>
                      <w:sz w:val="15"/>
                      <w:szCs w:val="15"/>
                    </w:rPr>
                    <w:t>讨论根据513(e)或513(f)(3)进行的重新分类</w:t>
                  </w:r>
                </w:p>
              </w:txbxContent>
            </v:textbox>
          </v:rect>
        </w:pict>
      </w:r>
      <w:r>
        <w:rPr>
          <w:rFonts w:eastAsia="宋体"/>
          <w:color w:val="000000"/>
          <w:sz w:val="21"/>
          <w:szCs w:val="21"/>
        </w:rPr>
        <w:pict>
          <v:rect id="矩形 19" o:spid="_x0000_s1052" o:spt="1" style="position:absolute;left:0pt;margin-left:249pt;margin-top:412.1pt;height:8.15pt;width:11.75pt;z-index:251682816;mso-width-relative:page;mso-height-relative:page;"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">
            <v:path/>
            <v:fill on="t" focussize="0,0"/>
            <v:stroke on="f"/>
            <v:imagedata o:title=""/>
            <o:lock v:ext="edit"/>
            <v:textbox inset="0mm,0mm,0mm,0mm">
              <w:txbxContent>
                <w:p w14:paraId="6306968E">
                  <w:pPr>
                    <w:jc w:val="center"/>
                    <w:rPr>
                      <w:rFonts w:eastAsia="宋体"/>
                      <w:color w:val="000000" w:themeColor="text1"/>
                      <w:sz w:val="13"/>
                      <w:szCs w:val="13"/>
                    </w:rPr>
                  </w:pPr>
                  <w:r>
                    <w:rPr>
                      <w:rFonts w:eastAsia="宋体"/>
                      <w:color w:val="000000" w:themeColor="text1"/>
                      <w:kern w:val="24"/>
                      <w:sz w:val="13"/>
                      <w:szCs w:val="13"/>
                    </w:rPr>
                    <w:t>是</w:t>
                  </w:r>
                </w:p>
              </w:txbxContent>
            </v:textbox>
          </v:rect>
        </w:pict>
      </w:r>
      <w:r>
        <w:rPr>
          <w:rFonts w:eastAsia="宋体"/>
          <w:color w:val="000000"/>
          <w:sz w:val="21"/>
          <w:szCs w:val="21"/>
        </w:rPr>
        <w:pict>
          <v:rect id="矩形 16" o:spid="_x0000_s1033" o:spt="1" style="position:absolute;left:0pt;margin-left:250.35pt;margin-top:271.55pt;height:8.8pt;width:15.2pt;z-index:251672576;mso-width-relative:margin;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">
            <v:path/>
            <v:fill on="f" focussize="0,0"/>
            <v:stroke on="f"/>
            <v:imagedata o:title=""/>
            <o:lock v:ext="edit"/>
            <v:textbox inset="0mm,0mm,0mm,0mm">
              <w:txbxContent>
                <w:p w14:paraId="111BCA33">
                  <w:pPr>
                    <w:jc w:val="center"/>
                    <w:rPr>
                      <w:rFonts w:eastAsia="宋体"/>
                      <w:color w:val="000000" w:themeColor="text1"/>
                      <w:sz w:val="13"/>
                      <w:szCs w:val="13"/>
                    </w:rPr>
                  </w:pPr>
                  <w:r>
                    <w:rPr>
                      <w:rFonts w:eastAsia="宋体"/>
                      <w:color w:val="000000" w:themeColor="text1"/>
                      <w:kern w:val="24"/>
                      <w:sz w:val="13"/>
                      <w:szCs w:val="13"/>
                    </w:rPr>
                    <w:t>否</w:t>
                  </w:r>
                </w:p>
              </w:txbxContent>
            </v:textbox>
          </v:rect>
        </w:pict>
      </w:r>
      <w:r>
        <w:rPr>
          <w:rFonts w:eastAsia="宋体"/>
          <w:color w:val="000000"/>
          <w:sz w:val="21"/>
          <w:szCs w:val="21"/>
        </w:rPr>
        <w:pict>
          <v:rect id="矩形 2" o:spid="_x0000_s1034" o:spt="1" style="position:absolute;left:0pt;margin-left:216.75pt;margin-top:10.35pt;height:17.75pt;width:54pt;z-index:251659264;mso-width-relative:margin;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">
            <v:path/>
            <v:fill on="f" focussize="0,0"/>
            <v:stroke on="f"/>
            <v:imagedata o:title=""/>
            <o:lock v:ext="edit"/>
            <v:textbox inset="0mm,0mm,0mm,0mm">
              <w:txbxContent>
                <w:p w14:paraId="21743304">
                  <w:pPr>
                    <w:jc w:val="center"/>
                    <w:rPr>
                      <w:rFonts w:eastAsia="宋体"/>
                      <w:color w:val="000000" w:themeColor="text1"/>
                      <w:kern w:val="24"/>
                      <w:sz w:val="15"/>
                      <w:szCs w:val="15"/>
                    </w:rPr>
                  </w:pPr>
                  <w:r>
                    <w:rPr>
                      <w:rFonts w:eastAsia="宋体"/>
                      <w:color w:val="000000" w:themeColor="text1"/>
                      <w:kern w:val="24"/>
                      <w:sz w:val="15"/>
                      <w:szCs w:val="15"/>
                    </w:rPr>
                    <w:t>提交前</w:t>
                  </w:r>
                </w:p>
                <w:p w14:paraId="01D5F533">
                  <w:pPr>
                    <w:jc w:val="center"/>
                    <w:rPr>
                      <w:rFonts w:eastAsia="宋体"/>
                      <w:color w:val="000000" w:themeColor="text1"/>
                      <w:sz w:val="15"/>
                      <w:szCs w:val="15"/>
                    </w:rPr>
                  </w:pPr>
                  <w:r>
                    <w:rPr>
                      <w:rFonts w:eastAsia="宋体"/>
                      <w:color w:val="000000" w:themeColor="text1"/>
                      <w:kern w:val="24"/>
                      <w:sz w:val="15"/>
                      <w:szCs w:val="15"/>
                    </w:rPr>
                    <w:t>（可选）</w:t>
                  </w:r>
                </w:p>
              </w:txbxContent>
            </v:textbox>
          </v:rect>
        </w:pict>
      </w:r>
      <w:r>
        <w:rPr>
          <w:rFonts w:eastAsia="宋体"/>
          <w:color w:val="000000"/>
          <w:sz w:val="21"/>
          <w:szCs w:val="21"/>
        </w:rPr>
        <w:pict>
          <v:rect id="_x0000_s1035" o:spid="_x0000_s1035" o:spt="1" style="position:absolute;left:0pt;margin-left:13.95pt;margin-top:226.75pt;height:32pt;width:43.2pt;z-index:251668480;mso-width-relative:page;mso-height-relative:margin;"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">
            <v:path/>
            <v:fill on="f" focussize="0,0"/>
            <v:stroke on="f"/>
            <v:imagedata o:title=""/>
            <o:lock v:ext="edit"/>
            <v:textbox inset="0mm,0mm,0mm,0mm">
              <w:txbxContent>
                <w:p w14:paraId="2AE05033">
                  <w:pPr>
                    <w:rPr>
                      <w:rFonts w:eastAsia="宋体"/>
                      <w:color w:val="000000" w:themeColor="text1"/>
                      <w:sz w:val="15"/>
                      <w:szCs w:val="15"/>
                    </w:rPr>
                  </w:pPr>
                  <w:r>
                    <w:rPr>
                      <w:rFonts w:eastAsia="宋体"/>
                      <w:color w:val="000000" w:themeColor="text1"/>
                      <w:kern w:val="24"/>
                      <w:sz w:val="15"/>
                      <w:szCs w:val="15"/>
                    </w:rPr>
                    <w:t>≤120个FDA日历日，批准/拒绝</w:t>
                  </w:r>
                </w:p>
                <w:p w14:paraId="7A718044">
                  <w:pPr>
                    <w:jc w:val="both"/>
                    <w:rPr>
                      <w:rFonts w:eastAsia="宋体"/>
                      <w:color w:val="000000" w:themeColor="text1"/>
                      <w:sz w:val="15"/>
                      <w:szCs w:val="15"/>
                    </w:rPr>
                  </w:pPr>
                </w:p>
              </w:txbxContent>
            </v:textbox>
          </v:rect>
        </w:pict>
      </w:r>
      <w:r>
        <w:rPr>
          <w:rFonts w:eastAsia="宋体"/>
          <w:color w:val="000000"/>
          <w:sz w:val="21"/>
          <w:szCs w:val="21"/>
        </w:rPr>
        <w:pict>
          <v:rect id="矩形 24" o:spid="_x0000_s1036" o:spt="1" style="position:absolute;left:0pt;margin-left:103.1pt;margin-top:423.3pt;height:42pt;width:53pt;z-index:25168076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">
            <v:path/>
            <v:fill on="f" focussize="0,0"/>
            <v:stroke on="f"/>
            <v:imagedata o:title=""/>
            <o:lock v:ext="edit"/>
            <v:textbox inset="0mm,0mm,0mm,0mm">
              <w:txbxContent>
                <w:p w14:paraId="53BC8618">
                  <w:pPr>
                    <w:jc w:val="center"/>
                    <w:rPr>
                      <w:rFonts w:eastAsia="宋体"/>
                      <w:color w:val="000000" w:themeColor="text1"/>
                      <w:sz w:val="15"/>
                      <w:szCs w:val="15"/>
                    </w:rPr>
                  </w:pPr>
                  <w:r>
                    <w:rPr>
                      <w:rFonts w:eastAsia="宋体"/>
                      <w:color w:val="000000" w:themeColor="text1"/>
                      <w:kern w:val="24"/>
                      <w:sz w:val="15"/>
                      <w:szCs w:val="15"/>
                    </w:rPr>
                    <w:t>拒绝新的请求；需要PMA或新申请</w:t>
                  </w:r>
                </w:p>
              </w:txbxContent>
            </v:textbox>
          </v:rect>
        </w:pict>
      </w:r>
      <w:r>
        <w:rPr>
          <w:rFonts w:eastAsia="宋体"/>
          <w:color w:val="000000"/>
          <w:sz w:val="21"/>
          <w:szCs w:val="21"/>
        </w:rPr>
        <w:pict>
          <v:rect id="矩形 22" o:spid="_x0000_s1037" o:spt="1" style="position:absolute;left:0pt;margin-left:231.35pt;margin-top:380.9pt;height:26.6pt;width:53.5pt;z-index:25167872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">
            <v:path/>
            <v:fill on="f" focussize="0,0"/>
            <v:stroke on="f"/>
            <v:imagedata o:title=""/>
            <o:lock v:ext="edit"/>
            <v:textbox inset="0mm,0mm,0mm,0mm">
              <w:txbxContent>
                <w:p w14:paraId="48F51FE1">
                  <w:pPr>
                    <w:jc w:val="center"/>
                    <w:rPr>
                      <w:rFonts w:eastAsia="宋体"/>
                      <w:color w:val="000000" w:themeColor="text1"/>
                      <w:sz w:val="15"/>
                      <w:szCs w:val="15"/>
                    </w:rPr>
                  </w:pPr>
                  <w:r>
                    <w:rPr>
                      <w:rFonts w:eastAsia="宋体"/>
                      <w:color w:val="000000" w:themeColor="text1"/>
                      <w:kern w:val="24"/>
                      <w:sz w:val="15"/>
                      <w:szCs w:val="15"/>
                    </w:rPr>
                    <w:t>符合I类或II类的要求？</w:t>
                  </w:r>
                </w:p>
              </w:txbxContent>
            </v:textbox>
          </v:rect>
        </w:pict>
      </w:r>
      <w:r>
        <w:rPr>
          <w:rFonts w:eastAsia="宋体"/>
          <w:color w:val="000000"/>
          <w:sz w:val="21"/>
          <w:szCs w:val="21"/>
        </w:rPr>
        <w:pict>
          <v:rect id="矩形 21" o:spid="_x0000_s1038" o:spt="1" style="position:absolute;left:0pt;margin-left:248.05pt;margin-top:358.55pt;height:9.1pt;width:8.15pt;z-index:25167769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">
            <v:path/>
            <v:fill on="f" focussize="0,0"/>
            <v:stroke on="f"/>
            <v:imagedata o:title=""/>
            <o:lock v:ext="edit"/>
            <v:textbox inset="0mm,0mm,0mm,0mm">
              <w:txbxContent>
                <w:p w14:paraId="47170CFE">
                  <w:pPr>
                    <w:jc w:val="center"/>
                    <w:rPr>
                      <w:rFonts w:eastAsia="宋体"/>
                      <w:color w:val="000000" w:themeColor="text1"/>
                      <w:sz w:val="13"/>
                      <w:szCs w:val="13"/>
                    </w:rPr>
                  </w:pPr>
                  <w:r>
                    <w:rPr>
                      <w:rFonts w:eastAsia="宋体"/>
                      <w:color w:val="000000" w:themeColor="text1"/>
                      <w:kern w:val="24"/>
                      <w:sz w:val="13"/>
                      <w:szCs w:val="13"/>
                    </w:rPr>
                    <w:t>否</w:t>
                  </w:r>
                </w:p>
              </w:txbxContent>
            </v:textbox>
          </v:rect>
        </w:pict>
      </w:r>
      <w:r>
        <w:rPr>
          <w:rFonts w:eastAsia="宋体"/>
          <w:color w:val="000000"/>
          <w:sz w:val="21"/>
          <w:szCs w:val="21"/>
        </w:rPr>
        <w:pict>
          <v:rect id="矩形 23" o:spid="_x0000_s1051" o:spt="1" style="position:absolute;left:0pt;margin-left:186.15pt;margin-top:380.4pt;height:10.3pt;width:8.15pt;z-index:25167974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">
            <v:path/>
            <v:fill on="f" focussize="0,0"/>
            <v:stroke on="f"/>
            <v:imagedata o:title=""/>
            <o:lock v:ext="edit"/>
            <v:textbox inset="0mm,0mm,0mm,0mm">
              <w:txbxContent>
                <w:p w14:paraId="51D973E2">
                  <w:pPr>
                    <w:jc w:val="center"/>
                    <w:rPr>
                      <w:rFonts w:eastAsia="宋体"/>
                      <w:color w:val="000000" w:themeColor="text1"/>
                      <w:sz w:val="13"/>
                      <w:szCs w:val="13"/>
                    </w:rPr>
                  </w:pPr>
                  <w:r>
                    <w:rPr>
                      <w:rFonts w:eastAsia="宋体"/>
                      <w:color w:val="000000" w:themeColor="text1"/>
                      <w:kern w:val="24"/>
                      <w:sz w:val="13"/>
                      <w:szCs w:val="13"/>
                    </w:rPr>
                    <w:t>否</w:t>
                  </w:r>
                </w:p>
              </w:txbxContent>
            </v:textbox>
          </v:rect>
        </w:pict>
      </w:r>
      <w:r>
        <w:rPr>
          <w:rFonts w:eastAsia="宋体"/>
          <w:color w:val="000000"/>
          <w:sz w:val="21"/>
          <w:szCs w:val="21"/>
        </w:rPr>
        <w:pict>
          <v:rect id="矩形 20" o:spid="_x0000_s1040" o:spt="1" style="position:absolute;left:0pt;margin-left:203.4pt;margin-top:327.15pt;height:24.45pt;width:74.15pt;z-index:25167667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">
            <v:path/>
            <v:fill on="f" focussize="0,0"/>
            <v:stroke on="f"/>
            <v:imagedata o:title=""/>
            <o:lock v:ext="edit"/>
            <v:textbox inset="0mm,0mm,0mm,0mm">
              <w:txbxContent>
                <w:p w14:paraId="04D336C7">
                  <w:pPr>
                    <w:jc w:val="center"/>
                    <w:rPr>
                      <w:rFonts w:eastAsia="宋体"/>
                      <w:color w:val="000000" w:themeColor="text1"/>
                      <w:sz w:val="15"/>
                      <w:szCs w:val="15"/>
                    </w:rPr>
                  </w:pPr>
                  <w:r>
                    <w:rPr>
                      <w:rFonts w:eastAsia="宋体"/>
                      <w:color w:val="000000" w:themeColor="text1"/>
                      <w:kern w:val="24"/>
                      <w:sz w:val="15"/>
                      <w:szCs w:val="15"/>
                    </w:rPr>
                    <w:t>完成实质性审查所需的额外信息（AI）？</w:t>
                  </w:r>
                </w:p>
              </w:txbxContent>
            </v:textbox>
          </v:rect>
        </w:pict>
      </w:r>
      <w:r>
        <w:rPr>
          <w:rFonts w:eastAsia="宋体"/>
          <w:color w:val="000000"/>
          <w:sz w:val="21"/>
          <w:szCs w:val="21"/>
        </w:rPr>
        <w:pict>
          <v:rect id="_x0000_s1050" o:spid="_x0000_s1050" o:spt="1" style="position:absolute;left:0pt;margin-left:287.4pt;margin-top:336.25pt;height:8.15pt;width:11.75pt;z-index:25167564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">
            <v:path/>
            <v:fill on="f" focussize="0,0"/>
            <v:stroke on="f"/>
            <v:imagedata o:title=""/>
            <o:lock v:ext="edit"/>
            <v:textbox inset="0mm,0mm,0mm,0mm">
              <w:txbxContent>
                <w:p w14:paraId="4DA63BE0">
                  <w:pPr>
                    <w:jc w:val="center"/>
                    <w:rPr>
                      <w:rFonts w:eastAsia="宋体"/>
                      <w:color w:val="000000" w:themeColor="text1"/>
                      <w:sz w:val="13"/>
                      <w:szCs w:val="13"/>
                    </w:rPr>
                  </w:pPr>
                  <w:r>
                    <w:rPr>
                      <w:rFonts w:eastAsia="宋体"/>
                      <w:color w:val="000000" w:themeColor="text1"/>
                      <w:kern w:val="24"/>
                      <w:sz w:val="13"/>
                      <w:szCs w:val="13"/>
                    </w:rPr>
                    <w:t>是</w:t>
                  </w:r>
                </w:p>
              </w:txbxContent>
            </v:textbox>
          </v:rect>
        </w:pict>
      </w:r>
      <w:r>
        <w:rPr>
          <w:rFonts w:eastAsia="宋体"/>
          <w:color w:val="000000"/>
          <w:sz w:val="21"/>
          <w:szCs w:val="21"/>
        </w:rPr>
        <w:pict>
          <v:rect id="_x0000_s1042" o:spid="_x0000_s1042" o:spt="1" style="position:absolute;left:0pt;margin-left:315pt;margin-top:304.8pt;height:25.4pt;width:54.2pt;z-index:25167462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">
            <v:path/>
            <v:fill on="f" focussize="0,0"/>
            <v:stroke on="f"/>
            <v:imagedata o:title=""/>
            <o:lock v:ext="edit"/>
            <v:textbox inset="0mm,0mm,0mm,0mm">
              <w:txbxContent>
                <w:p w14:paraId="1360533E">
                  <w:pPr>
                    <w:jc w:val="center"/>
                    <w:rPr>
                      <w:rFonts w:eastAsia="宋体"/>
                      <w:color w:val="000000" w:themeColor="text1"/>
                      <w:sz w:val="15"/>
                      <w:szCs w:val="15"/>
                    </w:rPr>
                  </w:pPr>
                  <w:r>
                    <w:rPr>
                      <w:rFonts w:eastAsia="宋体"/>
                      <w:color w:val="000000" w:themeColor="text1"/>
                      <w:kern w:val="24"/>
                      <w:sz w:val="15"/>
                      <w:szCs w:val="15"/>
                    </w:rPr>
                    <w:t>搁置新申请，申请AI，</w:t>
                  </w:r>
                </w:p>
              </w:txbxContent>
            </v:textbox>
          </v:rect>
        </w:pict>
      </w:r>
      <w:r>
        <w:rPr>
          <w:rFonts w:eastAsia="宋体"/>
          <w:color w:val="000000"/>
          <w:sz w:val="21"/>
          <w:szCs w:val="21"/>
        </w:rPr>
        <w:pict>
          <v:rect id="矩形 17" o:spid="_x0000_s1043" o:spt="1" style="position:absolute;left:0pt;margin-left:206.05pt;margin-top:302.15pt;height:9.35pt;width:77pt;z-index:25167360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">
            <v:path/>
            <v:fill on="f" focussize="0,0"/>
            <v:stroke on="f"/>
            <v:imagedata o:title=""/>
            <o:lock v:ext="edit"/>
            <v:textbox inset="0mm,0mm,0mm,0mm">
              <w:txbxContent>
                <w:p w14:paraId="7A1B9AD6">
                  <w:pPr>
                    <w:jc w:val="center"/>
                    <w:rPr>
                      <w:rFonts w:eastAsia="宋体"/>
                      <w:color w:val="000000" w:themeColor="text1"/>
                      <w:sz w:val="15"/>
                      <w:szCs w:val="15"/>
                    </w:rPr>
                  </w:pPr>
                  <w:r>
                    <w:rPr>
                      <w:rFonts w:eastAsia="宋体"/>
                      <w:color w:val="000000" w:themeColor="text1"/>
                      <w:kern w:val="24"/>
                      <w:sz w:val="15"/>
                      <w:szCs w:val="15"/>
                    </w:rPr>
                    <w:t>FDA实质性审查</w:t>
                  </w:r>
                </w:p>
              </w:txbxContent>
            </v:textbox>
          </v:rect>
        </w:pict>
      </w:r>
      <w:r>
        <w:rPr>
          <w:rFonts w:eastAsia="宋体"/>
          <w:color w:val="000000"/>
          <w:sz w:val="21"/>
          <w:szCs w:val="21"/>
        </w:rPr>
        <w:pict>
          <v:rect id="矩形 13" o:spid="_x0000_s1044" o:spt="1" style="position:absolute;left:0pt;margin-left:203.65pt;margin-top:233.55pt;height:32.4pt;width:80.85pt;z-index:25166950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">
            <v:path/>
            <v:fill on="f" focussize="0,0"/>
            <v:stroke on="f"/>
            <v:imagedata o:title=""/>
            <o:lock v:ext="edit"/>
            <v:textbox inset="0mm,0mm,0mm,0mm">
              <w:txbxContent>
                <w:p w14:paraId="50EA32DE">
                  <w:pPr>
                    <w:jc w:val="center"/>
                    <w:rPr>
                      <w:rFonts w:eastAsia="宋体"/>
                      <w:color w:val="000000" w:themeColor="text1"/>
                      <w:sz w:val="15"/>
                      <w:szCs w:val="15"/>
                    </w:rPr>
                  </w:pPr>
                  <w:r>
                    <w:rPr>
                      <w:rFonts w:eastAsia="宋体"/>
                      <w:color w:val="000000" w:themeColor="text1"/>
                      <w:kern w:val="24"/>
                      <w:sz w:val="15"/>
                      <w:szCs w:val="15"/>
                    </w:rPr>
                    <w:t>是否存在相同器械类型的可能实质等同、第三类法规或已批准的PMA？</w:t>
                  </w:r>
                </w:p>
              </w:txbxContent>
            </v:textbox>
          </v:rect>
        </w:pict>
      </w:r>
      <w:r>
        <w:rPr>
          <w:rFonts w:eastAsia="宋体"/>
          <w:color w:val="000000"/>
          <w:sz w:val="21"/>
          <w:szCs w:val="21"/>
        </w:rPr>
        <w:pict>
          <v:rect id="矩形 9" o:spid="_x0000_s1045" o:spt="1" style="position:absolute;left:0pt;margin-left:137.65pt;margin-top:216.75pt;height:26.85pt;width:45.8pt;z-index:25166643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">
            <v:path/>
            <v:fill on="f" focussize="0,0"/>
            <v:stroke on="f"/>
            <v:imagedata o:title=""/>
            <o:lock v:ext="edit"/>
            <v:textbox inset="0mm,0mm,0mm,0mm">
              <w:txbxContent>
                <w:p w14:paraId="11FFBF7D">
                  <w:pPr>
                    <w:jc w:val="center"/>
                    <w:rPr>
                      <w:rFonts w:eastAsia="宋体"/>
                      <w:color w:val="000000" w:themeColor="text1"/>
                      <w:sz w:val="15"/>
                      <w:szCs w:val="15"/>
                    </w:rPr>
                  </w:pPr>
                  <w:r>
                    <w:rPr>
                      <w:rFonts w:eastAsia="宋体"/>
                      <w:color w:val="000000" w:themeColor="text1"/>
                      <w:kern w:val="24"/>
                      <w:sz w:val="15"/>
                      <w:szCs w:val="15"/>
                    </w:rPr>
                    <w:t>是，第三类法规或批准的PMA</w:t>
                  </w:r>
                </w:p>
              </w:txbxContent>
            </v:textbox>
          </v:rect>
        </w:pict>
      </w:r>
      <w:r>
        <w:rPr>
          <w:rFonts w:eastAsia="宋体"/>
          <w:color w:val="000000"/>
          <w:sz w:val="21"/>
          <w:szCs w:val="21"/>
        </w:rPr>
        <w:pict>
          <v:rect id="矩形 7" o:spid="_x0000_s1046" o:spt="1" style="position:absolute;left:0pt;margin-left:250.2pt;margin-top:174.25pt;height:11.5pt;width:11.75pt;z-index:25166438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">
            <v:path/>
            <v:fill on="f" focussize="0,0"/>
            <v:stroke on="f"/>
            <v:imagedata o:title=""/>
            <o:lock v:ext="edit"/>
            <v:textbox inset="0mm,0mm,0mm,0mm">
              <w:txbxContent>
                <w:p w14:paraId="13059FE8">
                  <w:pPr>
                    <w:jc w:val="center"/>
                    <w:rPr>
                      <w:rFonts w:eastAsia="宋体"/>
                      <w:color w:val="000000" w:themeColor="text1"/>
                      <w:sz w:val="13"/>
                      <w:szCs w:val="13"/>
                    </w:rPr>
                  </w:pPr>
                  <w:r>
                    <w:rPr>
                      <w:rFonts w:eastAsia="宋体"/>
                      <w:color w:val="000000" w:themeColor="text1"/>
                      <w:kern w:val="24"/>
                      <w:sz w:val="13"/>
                      <w:szCs w:val="13"/>
                    </w:rPr>
                    <w:t>是</w:t>
                  </w:r>
                </w:p>
              </w:txbxContent>
            </v:textbox>
          </v:rect>
        </w:pict>
      </w:r>
      <w:r>
        <w:rPr>
          <w:rFonts w:eastAsia="宋体"/>
          <w:color w:val="000000"/>
          <w:sz w:val="21"/>
          <w:szCs w:val="21"/>
        </w:rPr>
        <w:pict>
          <v:rect id="矩形 5" o:spid="_x0000_s1047" o:spt="1" style="position:absolute;left:0pt;margin-left:159.25pt;margin-top:127.95pt;height:6.45pt;width:8.15pt;z-index:25166233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">
            <v:path/>
            <v:fill on="f" focussize="0,0"/>
            <v:stroke on="f"/>
            <v:imagedata o:title=""/>
            <o:lock v:ext="edit"/>
            <v:textbox inset="0mm,0mm,0mm,0mm">
              <w:txbxContent>
                <w:p w14:paraId="3F9C821A">
                  <w:pPr>
                    <w:jc w:val="center"/>
                    <w:rPr>
                      <w:rFonts w:eastAsia="宋体"/>
                      <w:color w:val="000000" w:themeColor="text1"/>
                      <w:sz w:val="13"/>
                      <w:szCs w:val="13"/>
                    </w:rPr>
                  </w:pPr>
                  <w:r>
                    <w:rPr>
                      <w:rFonts w:eastAsia="宋体"/>
                      <w:color w:val="000000" w:themeColor="text1"/>
                      <w:kern w:val="24"/>
                      <w:sz w:val="13"/>
                      <w:szCs w:val="13"/>
                    </w:rPr>
                    <w:t>否</w:t>
                  </w:r>
                </w:p>
              </w:txbxContent>
            </v:textbox>
          </v:rect>
        </w:pict>
      </w:r>
      <w:r>
        <w:rPr>
          <w:rFonts w:eastAsia="宋体"/>
          <w:color w:val="000000"/>
          <w:sz w:val="21"/>
          <w:szCs w:val="21"/>
        </w:rPr>
        <w:pict>
          <v:rect id="矩形 4" o:spid="_x0000_s1048" o:spt="1" style="position:absolute;left:0pt;margin-left:101.4pt;margin-top:86.4pt;height:32.15pt;width:69.35pt;z-index:25166131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">
            <v:path/>
            <v:fill on="f" focussize="0,0"/>
            <v:stroke on="f"/>
            <v:imagedata o:title=""/>
            <o:lock v:ext="edit"/>
            <v:textbox inset="0mm,0mm,0mm,0mm">
              <w:txbxContent>
                <w:p w14:paraId="6A5480D1">
                  <w:pPr>
                    <w:jc w:val="center"/>
                    <w:rPr>
                      <w:rFonts w:eastAsia="宋体"/>
                      <w:color w:val="000000" w:themeColor="text1"/>
                      <w:sz w:val="15"/>
                      <w:szCs w:val="15"/>
                    </w:rPr>
                  </w:pPr>
                  <w:r>
                    <w:rPr>
                      <w:rFonts w:eastAsia="宋体"/>
                      <w:color w:val="000000" w:themeColor="text1"/>
                      <w:kern w:val="24"/>
                      <w:sz w:val="15"/>
                      <w:szCs w:val="15"/>
                    </w:rPr>
                    <w:t>暂时搁置新申请，并通知提交人需要解决的问题</w:t>
                  </w:r>
                </w:p>
              </w:txbxContent>
            </v:textbox>
          </v:rect>
        </w:pict>
      </w:r>
      <w:r>
        <w:rPr>
          <w:rFonts w:eastAsia="宋体"/>
          <w:color w:val="000000"/>
          <w:sz w:val="21"/>
          <w:szCs w:val="21"/>
        </w:rPr>
        <w:pict>
          <v:rect id="矩形 3" o:spid="_x0000_s1049" o:spt="1" style="position:absolute;left:0pt;margin-left:206.3pt;margin-top:50.9pt;height:16.8pt;width:72.45pt;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">
            <v:path/>
            <v:fill on="f" focussize="0,0"/>
            <v:stroke on="f"/>
            <v:imagedata o:title=""/>
            <o:lock v:ext="edit"/>
            <v:textbox inset="0mm,0mm,0mm,0mm">
              <w:txbxContent>
                <w:p w14:paraId="69C634F9">
                  <w:pPr>
                    <w:jc w:val="center"/>
                    <w:rPr>
                      <w:rFonts w:eastAsia="宋体"/>
                      <w:color w:val="000000" w:themeColor="text1"/>
                      <w:sz w:val="15"/>
                      <w:szCs w:val="15"/>
                    </w:rPr>
                  </w:pPr>
                  <w:r>
                    <w:rPr>
                      <w:rFonts w:eastAsia="宋体"/>
                      <w:color w:val="000000" w:themeColor="text1"/>
                      <w:kern w:val="24"/>
                      <w:sz w:val="15"/>
                      <w:szCs w:val="15"/>
                    </w:rPr>
                    <w:t>提交新申请</w:t>
                  </w:r>
                </w:p>
              </w:txbxContent>
            </v:textbox>
          </v:rect>
        </w:pict>
      </w:r>
      <w:r>
        <w:rPr>
          <w:rFonts w:eastAsia="宋体"/>
          <w:color w:val="000000"/>
          <w:sz w:val="21"/>
          <w:szCs w:val="21"/>
        </w:rPr>
        <w:drawing>
          <wp:inline distT="0" distB="0" distL="0" distR="0">
            <wp:extent cx="5431155" cy="6010275"/>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8"/>
                    <a:stretch>
                      <a:fillRect/>
                    </a:stretch>
                  </pic:blipFill>
                  <pic:spPr>
                    <a:xfrm>
                      <a:off x="0" y="0"/>
                      <a:ext cx="5431536" cy="6010656"/>
                    </a:xfrm>
                    <a:prstGeom prst="rect">
                      <a:avLst/>
                    </a:prstGeom>
                  </pic:spPr>
                </pic:pic>
              </a:graphicData>
            </a:graphic>
          </wp:inline>
        </w:drawing>
      </w:r>
    </w:p>
    <w:p w14:paraId="2DE78BFD">
      <w:pPr>
        <w:pBdr>
          <w:top w:val="single" w:color="auto" w:sz="4" w:space="1"/>
          <w:left w:val="single" w:color="auto" w:sz="4" w:space="4"/>
          <w:bottom w:val="single" w:color="auto" w:sz="4" w:space="1"/>
          <w:right w:val="single" w:color="auto" w:sz="4" w:space="4"/>
        </w:pBdr>
        <w:snapToGrid w:val="0"/>
        <w:jc w:val="center"/>
        <w:rPr>
          <w:rFonts w:eastAsia="宋体"/>
          <w:color w:val="000000"/>
          <w:sz w:val="21"/>
          <w:szCs w:val="21"/>
        </w:rPr>
      </w:pPr>
    </w:p>
    <w:p w14:paraId="26F2327E">
      <w:pPr>
        <w:snapToGrid w:val="0"/>
        <w:jc w:val="both"/>
        <w:rPr>
          <w:rFonts w:eastAsia="宋体"/>
          <w:sz w:val="21"/>
          <w:szCs w:val="21"/>
        </w:rPr>
      </w:pPr>
    </w:p>
    <w:p w14:paraId="3487CD7D">
      <w:pPr>
        <w:snapToGrid w:val="0"/>
        <w:jc w:val="both"/>
        <w:rPr>
          <w:rFonts w:eastAsia="宋体"/>
          <w:sz w:val="21"/>
          <w:szCs w:val="21"/>
        </w:rPr>
      </w:pPr>
    </w:p>
    <w:p w14:paraId="58E2F359">
      <w:pPr>
        <w:snapToGrid w:val="0"/>
        <w:jc w:val="both"/>
        <w:rPr>
          <w:rFonts w:eastAsia="宋体"/>
          <w:sz w:val="21"/>
          <w:szCs w:val="21"/>
        </w:rPr>
        <w:sectPr>
          <w:pgSz w:w="11906" w:h="16838"/>
          <w:pgMar w:top="1134" w:right="1417" w:bottom="1134" w:left="1417" w:header="850" w:footer="720" w:gutter="0"/>
          <w:cols w:space="60" w:num="1"/>
          <w:docGrid w:linePitch="272" w:charSpace="0"/>
        </w:sectPr>
      </w:pPr>
    </w:p>
    <w:p w14:paraId="159E8D5A">
      <w:pPr>
        <w:pStyle w:val="14"/>
        <w:jc w:val="center"/>
        <w:rPr>
          <w:rFonts w:eastAsia="宋体"/>
          <w:b/>
          <w:bCs/>
          <w:sz w:val="36"/>
          <w:szCs w:val="36"/>
        </w:rPr>
      </w:pPr>
      <w:r>
        <w:rPr>
          <w:rFonts w:eastAsia="宋体"/>
          <w:b/>
          <w:bCs/>
          <w:sz w:val="36"/>
          <w:szCs w:val="36"/>
        </w:rPr>
        <w:t>附件2</w:t>
      </w:r>
    </w:p>
    <w:p w14:paraId="7EA17E5F">
      <w:pPr>
        <w:pStyle w:val="14"/>
        <w:jc w:val="center"/>
        <w:rPr>
          <w:rFonts w:eastAsia="宋体"/>
          <w:sz w:val="36"/>
          <w:szCs w:val="36"/>
        </w:rPr>
      </w:pPr>
    </w:p>
    <w:p w14:paraId="147A0A0F">
      <w:pPr>
        <w:snapToGrid w:val="0"/>
        <w:jc w:val="center"/>
        <w:rPr>
          <w:rFonts w:eastAsia="宋体"/>
          <w:b/>
          <w:bCs/>
          <w:sz w:val="36"/>
          <w:szCs w:val="36"/>
        </w:rPr>
      </w:pPr>
      <w:r>
        <w:rPr>
          <w:rFonts w:eastAsia="宋体"/>
          <w:b/>
          <w:bCs/>
          <w:sz w:val="36"/>
          <w:szCs w:val="36"/>
        </w:rPr>
        <w:t>推荐的</w:t>
      </w:r>
      <w:r>
        <w:rPr>
          <w:rFonts w:ascii="宋体" w:hAnsi="宋体" w:eastAsia="宋体"/>
          <w:b/>
          <w:bCs/>
          <w:sz w:val="36"/>
          <w:szCs w:val="36"/>
        </w:rPr>
        <w:t>“</w:t>
      </w:r>
      <w:r>
        <w:rPr>
          <w:rFonts w:eastAsia="宋体"/>
          <w:b/>
          <w:bCs/>
          <w:sz w:val="36"/>
          <w:szCs w:val="36"/>
        </w:rPr>
        <w:t>新申请</w:t>
      </w:r>
      <w:r>
        <w:rPr>
          <w:rFonts w:hint="eastAsia" w:ascii="宋体" w:hAnsi="宋体" w:eastAsia="宋体"/>
          <w:b/>
          <w:bCs/>
          <w:sz w:val="36"/>
          <w:szCs w:val="36"/>
        </w:rPr>
        <w:t>”</w:t>
      </w:r>
      <w:r>
        <w:rPr>
          <w:rFonts w:eastAsia="宋体"/>
          <w:b/>
          <w:bCs/>
          <w:sz w:val="36"/>
          <w:szCs w:val="36"/>
        </w:rPr>
        <w:t>内容</w:t>
      </w:r>
    </w:p>
    <w:p w14:paraId="28E0AB8E">
      <w:pPr>
        <w:snapToGrid w:val="0"/>
        <w:jc w:val="center"/>
        <w:rPr>
          <w:rFonts w:eastAsia="宋体"/>
          <w:b/>
          <w:bCs/>
          <w:sz w:val="36"/>
          <w:szCs w:val="36"/>
        </w:rPr>
      </w:pPr>
    </w:p>
    <w:p w14:paraId="4E2232B6">
      <w:pPr>
        <w:snapToGrid w:val="0"/>
        <w:jc w:val="both"/>
        <w:rPr>
          <w:rFonts w:eastAsia="宋体"/>
          <w:b/>
          <w:bCs/>
          <w:i/>
          <w:iCs/>
          <w:color w:val="000000"/>
          <w:sz w:val="24"/>
          <w:szCs w:val="24"/>
        </w:rPr>
      </w:pPr>
      <w:r>
        <w:rPr>
          <w:rFonts w:eastAsia="宋体"/>
          <w:b/>
          <w:bCs/>
          <w:i/>
          <w:iCs/>
          <w:color w:val="000000"/>
          <w:sz w:val="24"/>
          <w:szCs w:val="24"/>
        </w:rPr>
        <w:t>新法申请的附信应明确指出</w:t>
      </w:r>
      <w:r>
        <w:rPr>
          <w:rFonts w:ascii="宋体" w:hAnsi="宋体" w:eastAsia="宋体"/>
          <w:b/>
          <w:bCs/>
          <w:i/>
          <w:iCs/>
          <w:color w:val="000000"/>
          <w:sz w:val="24"/>
          <w:szCs w:val="24"/>
        </w:rPr>
        <w:t>“</w:t>
      </w:r>
      <w:r>
        <w:rPr>
          <w:rFonts w:eastAsia="宋体"/>
          <w:b/>
          <w:bCs/>
          <w:i/>
          <w:iCs/>
          <w:color w:val="000000"/>
          <w:sz w:val="24"/>
          <w:szCs w:val="24"/>
        </w:rPr>
        <w:t>新分类申请</w:t>
      </w:r>
      <w:r>
        <w:rPr>
          <w:rFonts w:ascii="宋体" w:hAnsi="宋体" w:eastAsia="宋体"/>
          <w:b/>
          <w:bCs/>
          <w:i/>
          <w:iCs/>
          <w:color w:val="000000"/>
          <w:sz w:val="24"/>
          <w:szCs w:val="24"/>
        </w:rPr>
        <w:t>”</w:t>
      </w:r>
    </w:p>
    <w:p w14:paraId="11005EF0">
      <w:pPr>
        <w:snapToGrid w:val="0"/>
        <w:jc w:val="both"/>
        <w:rPr>
          <w:rFonts w:eastAsia="宋体"/>
          <w:sz w:val="24"/>
          <w:szCs w:val="24"/>
        </w:rPr>
      </w:pPr>
    </w:p>
    <w:p w14:paraId="5646E977">
      <w:pPr>
        <w:snapToGrid w:val="0"/>
        <w:jc w:val="both"/>
        <w:rPr>
          <w:rFonts w:eastAsia="宋体"/>
          <w:b/>
          <w:bCs/>
          <w:i/>
          <w:iCs/>
          <w:color w:val="000000"/>
          <w:sz w:val="24"/>
          <w:szCs w:val="24"/>
        </w:rPr>
      </w:pPr>
      <w:r>
        <w:rPr>
          <w:rFonts w:eastAsia="宋体"/>
          <w:b/>
          <w:bCs/>
          <w:i/>
          <w:iCs/>
          <w:color w:val="000000"/>
          <w:sz w:val="24"/>
          <w:szCs w:val="24"/>
        </w:rPr>
        <w:t>如果以下任何部分的重要数据包含在以前提交的文件中，您可以提供交叉参考的信息。任何交叉引用应酌情包括适用的卷/节/页号。</w:t>
      </w:r>
    </w:p>
    <w:p w14:paraId="7977509F">
      <w:pPr>
        <w:snapToGrid w:val="0"/>
        <w:jc w:val="both"/>
        <w:rPr>
          <w:rFonts w:eastAsia="宋体"/>
          <w:sz w:val="24"/>
          <w:szCs w:val="24"/>
        </w:rPr>
      </w:pPr>
    </w:p>
    <w:p w14:paraId="715CCE28">
      <w:pPr>
        <w:snapToGrid w:val="0"/>
        <w:jc w:val="both"/>
        <w:rPr>
          <w:rFonts w:eastAsia="宋体"/>
          <w:sz w:val="24"/>
          <w:szCs w:val="24"/>
        </w:rPr>
      </w:pPr>
      <w:r>
        <w:rPr>
          <w:rFonts w:eastAsia="宋体"/>
          <w:b/>
          <w:bCs/>
          <w:color w:val="000000"/>
          <w:sz w:val="24"/>
          <w:szCs w:val="24"/>
        </w:rPr>
        <w:t>管理信息：</w:t>
      </w:r>
    </w:p>
    <w:p w14:paraId="105DD20A">
      <w:pPr>
        <w:snapToGrid w:val="0"/>
        <w:jc w:val="both"/>
        <w:rPr>
          <w:rFonts w:eastAsia="宋体"/>
          <w:color w:val="000000"/>
          <w:sz w:val="24"/>
          <w:szCs w:val="24"/>
        </w:rPr>
      </w:pPr>
      <w:r>
        <w:rPr>
          <w:rFonts w:eastAsia="宋体"/>
          <w:color w:val="000000"/>
          <w:sz w:val="24"/>
          <w:szCs w:val="24"/>
        </w:rPr>
        <w:t>申请人姓名、联系人姓名、地址、电话、传真、电子邮件。</w:t>
      </w:r>
    </w:p>
    <w:p w14:paraId="7A4F86B2">
      <w:pPr>
        <w:snapToGrid w:val="0"/>
        <w:jc w:val="both"/>
        <w:rPr>
          <w:rFonts w:eastAsia="宋体"/>
          <w:sz w:val="24"/>
          <w:szCs w:val="24"/>
        </w:rPr>
      </w:pPr>
    </w:p>
    <w:p w14:paraId="57EF5C4A">
      <w:pPr>
        <w:snapToGrid w:val="0"/>
        <w:jc w:val="both"/>
        <w:rPr>
          <w:rFonts w:eastAsia="宋体"/>
          <w:sz w:val="24"/>
          <w:szCs w:val="24"/>
        </w:rPr>
      </w:pPr>
      <w:r>
        <w:rPr>
          <w:rFonts w:eastAsia="宋体"/>
          <w:b/>
          <w:bCs/>
          <w:color w:val="000000"/>
          <w:sz w:val="24"/>
          <w:szCs w:val="24"/>
        </w:rPr>
        <w:t>监管历史：</w:t>
      </w:r>
    </w:p>
    <w:p w14:paraId="14B46604">
      <w:pPr>
        <w:snapToGrid w:val="0"/>
        <w:jc w:val="both"/>
        <w:rPr>
          <w:rFonts w:eastAsia="宋体"/>
          <w:color w:val="000000"/>
          <w:sz w:val="24"/>
          <w:szCs w:val="24"/>
        </w:rPr>
      </w:pPr>
      <w:r>
        <w:rPr>
          <w:rFonts w:eastAsia="宋体"/>
          <w:color w:val="000000"/>
          <w:sz w:val="24"/>
          <w:szCs w:val="24"/>
        </w:rPr>
        <w:t>说明以前向FDA提交的任何器械，包括任何510(k)和相关的NSE决定、IDE、Pre-Subs和/或以前被撤回或拒绝的新申请。</w:t>
      </w:r>
    </w:p>
    <w:p w14:paraId="67BA66D7">
      <w:pPr>
        <w:snapToGrid w:val="0"/>
        <w:jc w:val="both"/>
        <w:rPr>
          <w:rFonts w:eastAsia="宋体"/>
          <w:sz w:val="24"/>
          <w:szCs w:val="24"/>
        </w:rPr>
      </w:pPr>
    </w:p>
    <w:p w14:paraId="75083991">
      <w:pPr>
        <w:snapToGrid w:val="0"/>
        <w:jc w:val="both"/>
        <w:rPr>
          <w:rFonts w:eastAsia="宋体"/>
          <w:color w:val="000000"/>
          <w:sz w:val="24"/>
          <w:szCs w:val="24"/>
        </w:rPr>
      </w:pPr>
      <w:r>
        <w:rPr>
          <w:rFonts w:eastAsia="宋体"/>
          <w:color w:val="000000"/>
          <w:sz w:val="24"/>
          <w:szCs w:val="24"/>
        </w:rPr>
        <w:t>对于以前我们提供过反馈的材料，请说明您们是如何回应所发现的问题。</w:t>
      </w:r>
    </w:p>
    <w:p w14:paraId="57956C5B">
      <w:pPr>
        <w:snapToGrid w:val="0"/>
        <w:jc w:val="both"/>
        <w:rPr>
          <w:rFonts w:eastAsia="宋体"/>
          <w:sz w:val="24"/>
          <w:szCs w:val="24"/>
        </w:rPr>
      </w:pPr>
    </w:p>
    <w:p w14:paraId="1A6AC27E">
      <w:pPr>
        <w:snapToGrid w:val="0"/>
        <w:jc w:val="both"/>
        <w:rPr>
          <w:rFonts w:eastAsia="宋体"/>
          <w:sz w:val="24"/>
          <w:szCs w:val="24"/>
        </w:rPr>
      </w:pPr>
      <w:r>
        <w:rPr>
          <w:rFonts w:eastAsia="宋体"/>
          <w:b/>
          <w:bCs/>
          <w:color w:val="000000"/>
          <w:sz w:val="24"/>
          <w:szCs w:val="24"/>
        </w:rPr>
        <w:t>器械信息和总结：</w:t>
      </w:r>
    </w:p>
    <w:p w14:paraId="0CB410AD">
      <w:pPr>
        <w:snapToGrid w:val="0"/>
        <w:jc w:val="both"/>
        <w:rPr>
          <w:rFonts w:eastAsia="宋体"/>
          <w:color w:val="000000"/>
          <w:sz w:val="24"/>
          <w:szCs w:val="24"/>
        </w:rPr>
      </w:pPr>
      <w:r>
        <w:rPr>
          <w:rFonts w:eastAsia="宋体"/>
          <w:color w:val="000000"/>
          <w:sz w:val="24"/>
          <w:szCs w:val="24"/>
        </w:rPr>
        <w:t>提供器械名称和所有主要功能、技术特点、组件和附件的描述。包括使用说明/使用说明书的总结。</w:t>
      </w:r>
    </w:p>
    <w:p w14:paraId="72F07976">
      <w:pPr>
        <w:snapToGrid w:val="0"/>
        <w:jc w:val="both"/>
        <w:rPr>
          <w:rFonts w:eastAsia="宋体"/>
          <w:sz w:val="24"/>
          <w:szCs w:val="24"/>
        </w:rPr>
      </w:pPr>
    </w:p>
    <w:p w14:paraId="0E70A20D">
      <w:pPr>
        <w:snapToGrid w:val="0"/>
        <w:jc w:val="both"/>
        <w:rPr>
          <w:rFonts w:eastAsia="宋体"/>
          <w:sz w:val="24"/>
          <w:szCs w:val="24"/>
        </w:rPr>
      </w:pPr>
      <w:r>
        <w:rPr>
          <w:rFonts w:eastAsia="宋体"/>
          <w:b/>
          <w:bCs/>
          <w:color w:val="000000"/>
          <w:sz w:val="24"/>
          <w:szCs w:val="24"/>
        </w:rPr>
        <w:t>适用范围：</w:t>
      </w:r>
    </w:p>
    <w:p w14:paraId="12057BB5">
      <w:pPr>
        <w:snapToGrid w:val="0"/>
        <w:jc w:val="both"/>
        <w:rPr>
          <w:rFonts w:eastAsia="宋体"/>
          <w:color w:val="000000"/>
          <w:sz w:val="24"/>
          <w:szCs w:val="24"/>
        </w:rPr>
      </w:pPr>
      <w:r>
        <w:rPr>
          <w:rFonts w:eastAsia="宋体"/>
          <w:color w:val="000000"/>
          <w:sz w:val="24"/>
          <w:szCs w:val="24"/>
        </w:rPr>
        <w:t>确定拟议的使用适应症（包括处方和/或非处方药使用）。确定该器械将诊断、治疗、预防、治愈或缓解的疾病或状况，包括描述该器械所针对的患者人群。</w:t>
      </w:r>
    </w:p>
    <w:p w14:paraId="77677DF5">
      <w:pPr>
        <w:snapToGrid w:val="0"/>
        <w:jc w:val="both"/>
        <w:rPr>
          <w:rFonts w:eastAsia="宋体"/>
          <w:sz w:val="24"/>
          <w:szCs w:val="24"/>
        </w:rPr>
      </w:pPr>
    </w:p>
    <w:p w14:paraId="58580A7A">
      <w:pPr>
        <w:snapToGrid w:val="0"/>
        <w:jc w:val="both"/>
        <w:rPr>
          <w:rFonts w:eastAsia="宋体"/>
          <w:sz w:val="24"/>
          <w:szCs w:val="24"/>
        </w:rPr>
      </w:pPr>
      <w:r>
        <w:rPr>
          <w:rFonts w:eastAsia="宋体"/>
          <w:b/>
          <w:bCs/>
          <w:color w:val="000000"/>
          <w:sz w:val="24"/>
          <w:szCs w:val="24"/>
        </w:rPr>
        <w:t>变化总结（如适用）：</w:t>
      </w:r>
    </w:p>
    <w:p w14:paraId="4496C881">
      <w:pPr>
        <w:snapToGrid w:val="0"/>
        <w:jc w:val="both"/>
        <w:rPr>
          <w:rFonts w:eastAsia="宋体"/>
          <w:color w:val="000000"/>
          <w:sz w:val="24"/>
          <w:szCs w:val="24"/>
        </w:rPr>
      </w:pPr>
      <w:r>
        <w:rPr>
          <w:rFonts w:eastAsia="宋体"/>
          <w:color w:val="000000"/>
          <w:sz w:val="24"/>
          <w:szCs w:val="24"/>
        </w:rPr>
        <w:t>详细描述自以前的预提交或510(k)以来对您的器械或申报适应症所做的任何改变</w:t>
      </w:r>
      <w:r>
        <w:rPr>
          <w:rFonts w:hint="eastAsia" w:eastAsia="宋体"/>
          <w:color w:val="000000"/>
          <w:sz w:val="24"/>
          <w:szCs w:val="24"/>
        </w:rPr>
        <w:t>（</w:t>
      </w:r>
      <w:r>
        <w:rPr>
          <w:rFonts w:eastAsia="宋体"/>
          <w:color w:val="000000"/>
          <w:sz w:val="24"/>
          <w:szCs w:val="24"/>
        </w:rPr>
        <w:t>如适用</w:t>
      </w:r>
      <w:r>
        <w:rPr>
          <w:rFonts w:hint="eastAsia" w:eastAsia="宋体"/>
          <w:color w:val="000000"/>
          <w:sz w:val="24"/>
          <w:szCs w:val="24"/>
        </w:rPr>
        <w:t>）</w:t>
      </w:r>
      <w:r>
        <w:rPr>
          <w:rFonts w:eastAsia="宋体"/>
          <w:color w:val="000000"/>
          <w:sz w:val="24"/>
          <w:szCs w:val="24"/>
        </w:rPr>
        <w:t>。该总结应包括器械的变化，以及测试</w:t>
      </w:r>
      <w:r>
        <w:rPr>
          <w:rFonts w:hint="eastAsia" w:eastAsia="宋体"/>
          <w:color w:val="000000"/>
          <w:sz w:val="24"/>
          <w:szCs w:val="24"/>
        </w:rPr>
        <w:t>方案方案</w:t>
      </w:r>
      <w:r>
        <w:rPr>
          <w:rFonts w:eastAsia="宋体"/>
          <w:color w:val="000000"/>
          <w:sz w:val="24"/>
          <w:szCs w:val="24"/>
        </w:rPr>
        <w:t>和/或标签的变化。</w:t>
      </w:r>
    </w:p>
    <w:p w14:paraId="6796E310">
      <w:pPr>
        <w:snapToGrid w:val="0"/>
        <w:jc w:val="both"/>
        <w:rPr>
          <w:rFonts w:eastAsia="宋体"/>
          <w:sz w:val="24"/>
          <w:szCs w:val="24"/>
        </w:rPr>
      </w:pPr>
    </w:p>
    <w:p w14:paraId="2291D3BA">
      <w:pPr>
        <w:snapToGrid w:val="0"/>
        <w:jc w:val="both"/>
        <w:rPr>
          <w:rFonts w:eastAsia="宋体"/>
          <w:sz w:val="24"/>
          <w:szCs w:val="24"/>
        </w:rPr>
      </w:pPr>
      <w:r>
        <w:rPr>
          <w:rFonts w:eastAsia="宋体"/>
          <w:b/>
          <w:bCs/>
          <w:color w:val="000000"/>
          <w:sz w:val="24"/>
          <w:szCs w:val="24"/>
        </w:rPr>
        <w:t>分类总结：</w:t>
      </w:r>
    </w:p>
    <w:p w14:paraId="4F744429">
      <w:pPr>
        <w:snapToGrid w:val="0"/>
        <w:jc w:val="both"/>
        <w:rPr>
          <w:rFonts w:eastAsia="宋体"/>
          <w:color w:val="000000"/>
          <w:sz w:val="24"/>
          <w:szCs w:val="24"/>
        </w:rPr>
      </w:pPr>
      <w:r>
        <w:rPr>
          <w:rFonts w:eastAsia="宋体"/>
          <w:color w:val="000000"/>
          <w:sz w:val="24"/>
          <w:szCs w:val="24"/>
        </w:rPr>
        <w:t>对于直接重新申请，请描述您对合法上市的同类型器械的搜索。提供可能与申报器械有关或可能类似的分类规定、已批准的510(k)、已批准的PMA和/或产品代码的清单。您还应根据现有信息</w:t>
      </w:r>
      <w:r>
        <w:rPr>
          <w:rFonts w:hint="eastAsia" w:eastAsia="宋体"/>
          <w:color w:val="000000"/>
          <w:sz w:val="24"/>
          <w:szCs w:val="24"/>
        </w:rPr>
        <w:t>，</w:t>
      </w:r>
      <w:r>
        <w:rPr>
          <w:rFonts w:eastAsia="宋体"/>
          <w:color w:val="000000"/>
          <w:sz w:val="24"/>
          <w:szCs w:val="24"/>
        </w:rPr>
        <w:t>说明为什么申报器械不同于和/或不符合已确定的分类规定、510(k)、PMA和/或产品代码。</w:t>
      </w:r>
    </w:p>
    <w:p w14:paraId="3A67BE93">
      <w:pPr>
        <w:snapToGrid w:val="0"/>
        <w:jc w:val="both"/>
        <w:rPr>
          <w:rFonts w:eastAsia="宋体"/>
          <w:sz w:val="24"/>
          <w:szCs w:val="24"/>
        </w:rPr>
      </w:pPr>
    </w:p>
    <w:p w14:paraId="3906D389">
      <w:pPr>
        <w:snapToGrid w:val="0"/>
        <w:jc w:val="both"/>
        <w:rPr>
          <w:rFonts w:eastAsia="宋体"/>
          <w:sz w:val="24"/>
          <w:szCs w:val="24"/>
        </w:rPr>
      </w:pPr>
      <w:r>
        <w:rPr>
          <w:rFonts w:eastAsia="宋体"/>
          <w:color w:val="000000"/>
          <w:sz w:val="24"/>
          <w:szCs w:val="24"/>
        </w:rPr>
        <w:t>如果同一申请者的相同器械（相同的技术特征和相同的使用指征）由于缺乏实质等同器械、新的预期用途或不同的安全性和有效性问题而被认定为NSE，则应提交相关的510（k）编号以及自NSE发布以来进行的搜索总结。</w:t>
      </w:r>
    </w:p>
    <w:p w14:paraId="55EE0935">
      <w:pPr>
        <w:snapToGrid w:val="0"/>
        <w:jc w:val="both"/>
        <w:rPr>
          <w:rFonts w:eastAsia="宋体"/>
          <w:sz w:val="24"/>
          <w:szCs w:val="24"/>
        </w:rPr>
      </w:pPr>
    </w:p>
    <w:p w14:paraId="27E41950">
      <w:pPr>
        <w:snapToGrid w:val="0"/>
        <w:jc w:val="both"/>
        <w:rPr>
          <w:rFonts w:eastAsia="宋体"/>
          <w:sz w:val="24"/>
          <w:szCs w:val="24"/>
        </w:rPr>
      </w:pPr>
    </w:p>
    <w:p w14:paraId="74ABCA7B">
      <w:pPr>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7D83C844">
      <w:pPr>
        <w:snapToGrid w:val="0"/>
        <w:jc w:val="both"/>
        <w:rPr>
          <w:rFonts w:eastAsia="宋体"/>
          <w:sz w:val="24"/>
          <w:szCs w:val="24"/>
        </w:rPr>
      </w:pPr>
      <w:r>
        <w:rPr>
          <w:rFonts w:eastAsia="宋体"/>
          <w:b/>
          <w:bCs/>
          <w:color w:val="000000"/>
          <w:sz w:val="24"/>
          <w:szCs w:val="24"/>
        </w:rPr>
        <w:t>分类建议（以及仅对第二类器械而言，建议的特别控制）：</w:t>
      </w:r>
    </w:p>
    <w:p w14:paraId="43A6D502">
      <w:pPr>
        <w:snapToGrid w:val="0"/>
        <w:jc w:val="both"/>
        <w:rPr>
          <w:rFonts w:eastAsia="宋体"/>
          <w:color w:val="000000"/>
          <w:sz w:val="24"/>
          <w:szCs w:val="24"/>
        </w:rPr>
      </w:pPr>
      <w:r>
        <w:rPr>
          <w:rFonts w:eastAsia="宋体"/>
          <w:color w:val="000000"/>
          <w:sz w:val="24"/>
          <w:szCs w:val="24"/>
        </w:rPr>
        <w:t>提供建议的等级（I或II）。说明为什么您认为一般控制或一般和特殊控制足以提供合理的安全和有效性保证。对于第二类器械，提供拟议的特殊控制措施，同时交叉引用请求中的其他信息，以证明该器械符合这些特殊控制。</w:t>
      </w:r>
    </w:p>
    <w:p w14:paraId="724694C0">
      <w:pPr>
        <w:snapToGrid w:val="0"/>
        <w:jc w:val="both"/>
        <w:rPr>
          <w:rFonts w:eastAsia="宋体"/>
          <w:sz w:val="24"/>
          <w:szCs w:val="24"/>
        </w:rPr>
      </w:pPr>
    </w:p>
    <w:p w14:paraId="18C58097">
      <w:pPr>
        <w:snapToGrid w:val="0"/>
        <w:jc w:val="both"/>
        <w:rPr>
          <w:rFonts w:eastAsia="宋体"/>
          <w:sz w:val="24"/>
          <w:szCs w:val="24"/>
        </w:rPr>
      </w:pPr>
      <w:r>
        <w:rPr>
          <w:rFonts w:eastAsia="宋体"/>
          <w:b/>
          <w:bCs/>
          <w:color w:val="000000"/>
          <w:sz w:val="24"/>
          <w:szCs w:val="24"/>
        </w:rPr>
        <w:t>支持方案和/或数据：</w:t>
      </w:r>
    </w:p>
    <w:p w14:paraId="6BE2D7A0">
      <w:pPr>
        <w:snapToGrid w:val="0"/>
        <w:jc w:val="both"/>
        <w:rPr>
          <w:rFonts w:eastAsia="宋体"/>
          <w:color w:val="000000"/>
          <w:sz w:val="24"/>
          <w:szCs w:val="24"/>
        </w:rPr>
      </w:pPr>
      <w:r>
        <w:rPr>
          <w:rFonts w:eastAsia="宋体"/>
          <w:color w:val="000000"/>
          <w:sz w:val="24"/>
          <w:szCs w:val="24"/>
        </w:rPr>
        <w:t>提供所有非临床和临床测试（如适用）的总结，这些测试为您的特定器械提供了安全和有效性的合理保证，并证明一般控制或一般和特殊控制足以提供安全和有效性的合理保证。总结应包括测试的目的、研究设计的描述和结果的描述。对于人体试验，总结还应描述研究人群、选择和排除标准、持续时间、数据收集方法、观察到的不良反应和统计分析。总结应包括与附录等的链接，这些附录包含详细的最终</w:t>
      </w:r>
      <w:r>
        <w:rPr>
          <w:rFonts w:hint="eastAsia" w:eastAsia="宋体"/>
          <w:color w:val="000000"/>
          <w:sz w:val="24"/>
          <w:szCs w:val="24"/>
        </w:rPr>
        <w:t>方案方案</w:t>
      </w:r>
      <w:r>
        <w:rPr>
          <w:rFonts w:eastAsia="宋体"/>
          <w:color w:val="000000"/>
          <w:sz w:val="24"/>
          <w:szCs w:val="24"/>
        </w:rPr>
        <w:t>和支持数据。</w:t>
      </w:r>
    </w:p>
    <w:p w14:paraId="78770CDB">
      <w:pPr>
        <w:snapToGrid w:val="0"/>
        <w:jc w:val="both"/>
        <w:rPr>
          <w:rFonts w:eastAsia="宋体"/>
          <w:sz w:val="24"/>
          <w:szCs w:val="24"/>
        </w:rPr>
      </w:pPr>
    </w:p>
    <w:p w14:paraId="0A3537F4">
      <w:pPr>
        <w:snapToGrid w:val="0"/>
        <w:jc w:val="both"/>
        <w:rPr>
          <w:rFonts w:eastAsia="宋体"/>
          <w:sz w:val="24"/>
          <w:szCs w:val="24"/>
        </w:rPr>
      </w:pPr>
      <w:r>
        <w:rPr>
          <w:rFonts w:eastAsia="宋体"/>
          <w:b/>
          <w:bCs/>
          <w:color w:val="000000"/>
          <w:sz w:val="24"/>
          <w:szCs w:val="24"/>
        </w:rPr>
        <w:t>效益总结：</w:t>
      </w:r>
    </w:p>
    <w:p w14:paraId="36B05200">
      <w:pPr>
        <w:snapToGrid w:val="0"/>
        <w:jc w:val="both"/>
        <w:rPr>
          <w:rFonts w:eastAsia="宋体"/>
          <w:sz w:val="24"/>
          <w:szCs w:val="24"/>
        </w:rPr>
      </w:pPr>
      <w:r>
        <w:rPr>
          <w:rFonts w:eastAsia="宋体"/>
          <w:color w:val="000000"/>
          <w:sz w:val="24"/>
          <w:szCs w:val="24"/>
        </w:rPr>
        <w:t>提供支持该器械有效性的信息。列举支持有效性的现有数据/研究报告。本节可包括对现有公开文献的参考</w:t>
      </w:r>
      <w:r>
        <w:rPr>
          <w:rFonts w:hint="eastAsia" w:eastAsia="宋体"/>
          <w:color w:val="000000"/>
          <w:sz w:val="24"/>
          <w:szCs w:val="24"/>
        </w:rPr>
        <w:t>（</w:t>
      </w:r>
      <w:r>
        <w:rPr>
          <w:rFonts w:eastAsia="宋体"/>
          <w:color w:val="000000"/>
          <w:sz w:val="24"/>
          <w:szCs w:val="24"/>
        </w:rPr>
        <w:t>如适用</w:t>
      </w:r>
      <w:r>
        <w:rPr>
          <w:rFonts w:hint="eastAsia" w:eastAsia="宋体"/>
          <w:color w:val="000000"/>
          <w:sz w:val="24"/>
          <w:szCs w:val="24"/>
        </w:rPr>
        <w:t>）</w:t>
      </w:r>
      <w:r>
        <w:rPr>
          <w:rFonts w:eastAsia="宋体"/>
          <w:color w:val="000000"/>
          <w:sz w:val="24"/>
          <w:szCs w:val="24"/>
        </w:rPr>
        <w:t>。在提供这些信息时，要考虑FDA在进行</w:t>
      </w:r>
      <w:r>
        <w:rPr>
          <w:rFonts w:hint="eastAsia" w:eastAsia="宋体"/>
          <w:color w:val="000000"/>
          <w:sz w:val="24"/>
          <w:szCs w:val="24"/>
        </w:rPr>
        <w:t>获益</w:t>
      </w:r>
      <w:r>
        <w:rPr>
          <w:rFonts w:eastAsia="宋体"/>
          <w:color w:val="000000"/>
          <w:sz w:val="24"/>
          <w:szCs w:val="24"/>
        </w:rPr>
        <w:t>-风险判断时考虑的因素。确定可能的获益程度的因素包括获益的类型、获益的大小、患者体验到获益的概率和效果的持续时间。更多信息可参见FDA指导文件第4.1节，题为</w:t>
      </w:r>
      <w:r>
        <w:rPr>
          <w:rFonts w:ascii="宋体" w:hAnsi="宋体" w:eastAsia="宋体"/>
          <w:color w:val="000000"/>
          <w:sz w:val="24"/>
          <w:szCs w:val="24"/>
        </w:rPr>
        <w:t>“</w:t>
      </w:r>
      <w:r>
        <w:rPr>
          <w:rFonts w:eastAsia="宋体"/>
          <w:color w:val="000000"/>
          <w:sz w:val="24"/>
          <w:szCs w:val="24"/>
        </w:rPr>
        <w:t>在医疗器械上市前审批和新分类中进行效益风险判断时需要考虑的因素</w:t>
      </w:r>
      <w:r>
        <w:rPr>
          <w:rFonts w:ascii="宋体" w:hAnsi="宋体" w:eastAsia="宋体"/>
          <w:color w:val="000000"/>
          <w:sz w:val="24"/>
          <w:szCs w:val="24"/>
        </w:rPr>
        <w:t>”</w:t>
      </w:r>
      <w:r>
        <w:rPr>
          <w:rFonts w:eastAsia="宋体"/>
          <w:color w:val="000000"/>
          <w:sz w:val="24"/>
          <w:szCs w:val="24"/>
        </w:rPr>
        <w:t>，可访问</w:t>
      </w:r>
    </w:p>
    <w:p w14:paraId="254692FB">
      <w:pPr>
        <w:snapToGrid w:val="0"/>
        <w:jc w:val="both"/>
        <w:rPr>
          <w:rFonts w:eastAsia="宋体"/>
          <w:sz w:val="24"/>
          <w:szCs w:val="24"/>
          <w:u w:val="single"/>
        </w:rPr>
      </w:pPr>
      <w:r>
        <w:rPr>
          <w:rFonts w:eastAsia="宋体"/>
          <w:color w:val="0000FF"/>
          <w:sz w:val="24"/>
          <w:szCs w:val="24"/>
          <w:u w:val="single"/>
        </w:rPr>
        <w:t>https://www.fda.gov/regulatory-information/search-fda-guidance-documents/factors-consider-when-making-benefit-risk-determinations-medical-device-premarket-approval-and-de</w:t>
      </w:r>
      <w:r>
        <w:rPr>
          <w:rFonts w:eastAsia="宋体"/>
          <w:color w:val="000000"/>
          <w:sz w:val="24"/>
          <w:szCs w:val="24"/>
          <w:u w:val="single"/>
        </w:rPr>
        <w:t>.</w:t>
      </w:r>
    </w:p>
    <w:p w14:paraId="1F817DE1">
      <w:pPr>
        <w:snapToGrid w:val="0"/>
        <w:jc w:val="both"/>
        <w:rPr>
          <w:rFonts w:eastAsia="宋体"/>
          <w:b/>
          <w:bCs/>
          <w:color w:val="000000"/>
          <w:sz w:val="24"/>
          <w:szCs w:val="24"/>
        </w:rPr>
      </w:pPr>
    </w:p>
    <w:p w14:paraId="45C6DA48">
      <w:pPr>
        <w:snapToGrid w:val="0"/>
        <w:jc w:val="both"/>
        <w:rPr>
          <w:rFonts w:eastAsia="宋体"/>
          <w:sz w:val="24"/>
          <w:szCs w:val="24"/>
        </w:rPr>
      </w:pPr>
      <w:r>
        <w:rPr>
          <w:rFonts w:eastAsia="宋体"/>
          <w:b/>
          <w:bCs/>
          <w:color w:val="000000"/>
          <w:sz w:val="24"/>
          <w:szCs w:val="24"/>
        </w:rPr>
        <w:t>已确定的健康风险总结：</w:t>
      </w:r>
    </w:p>
    <w:p w14:paraId="78B0E92C">
      <w:pPr>
        <w:snapToGrid w:val="0"/>
        <w:jc w:val="both"/>
        <w:rPr>
          <w:rFonts w:eastAsia="宋体"/>
          <w:color w:val="000000"/>
          <w:sz w:val="24"/>
          <w:szCs w:val="24"/>
        </w:rPr>
      </w:pPr>
      <w:r>
        <w:rPr>
          <w:rFonts w:eastAsia="宋体"/>
          <w:color w:val="000000"/>
          <w:sz w:val="24"/>
          <w:szCs w:val="24"/>
        </w:rPr>
        <w:t>列出每个健康风险，并确定每个风险的原因（追溯到风险分析、临床测试等）。总结已完成的研究以及它们如何支持安全。在考虑可能的风险程度时，FDA考虑多种因素，包括与使用器械有关的有害事件（包括严重的不良事件和与手术有关的并发症）的严重性、类型、数量和比率；有害事件的概率；有害事件的持续时间；以及对于诊断器械，来自假阳性或假阴性结果的风险。更多信息请见FDA指导文件第4.2节，题为</w:t>
      </w:r>
      <w:r>
        <w:rPr>
          <w:rFonts w:ascii="宋体" w:hAnsi="宋体" w:eastAsia="宋体"/>
          <w:color w:val="000000"/>
          <w:sz w:val="24"/>
          <w:szCs w:val="24"/>
        </w:rPr>
        <w:t>“</w:t>
      </w:r>
      <w:r>
        <w:rPr>
          <w:rFonts w:eastAsia="宋体"/>
          <w:color w:val="000000"/>
          <w:sz w:val="24"/>
          <w:szCs w:val="24"/>
        </w:rPr>
        <w:t>在医疗器械上市前审批和新分类中进行获益-风险判断时需要考虑的因素</w:t>
      </w:r>
      <w:r>
        <w:rPr>
          <w:rFonts w:ascii="宋体" w:hAnsi="宋体" w:eastAsia="宋体"/>
          <w:color w:val="000000"/>
          <w:sz w:val="24"/>
          <w:szCs w:val="24"/>
        </w:rPr>
        <w:t>”</w:t>
      </w:r>
      <w:r>
        <w:rPr>
          <w:rFonts w:eastAsia="宋体"/>
          <w:color w:val="000000"/>
          <w:sz w:val="24"/>
          <w:szCs w:val="24"/>
        </w:rPr>
        <w:t>。</w:t>
      </w:r>
    </w:p>
    <w:p w14:paraId="35EE4834">
      <w:pPr>
        <w:snapToGrid w:val="0"/>
        <w:jc w:val="both"/>
        <w:rPr>
          <w:rFonts w:eastAsia="宋体"/>
          <w:sz w:val="24"/>
          <w:szCs w:val="24"/>
        </w:rPr>
      </w:pPr>
    </w:p>
    <w:p w14:paraId="1154B940">
      <w:pPr>
        <w:snapToGrid w:val="0"/>
        <w:jc w:val="both"/>
        <w:rPr>
          <w:rFonts w:eastAsia="宋体"/>
          <w:sz w:val="24"/>
          <w:szCs w:val="24"/>
        </w:rPr>
      </w:pPr>
      <w:r>
        <w:rPr>
          <w:rFonts w:eastAsia="宋体"/>
          <w:b/>
          <w:bCs/>
          <w:color w:val="000000"/>
          <w:sz w:val="24"/>
          <w:szCs w:val="24"/>
        </w:rPr>
        <w:t>风险和缓解信息：</w:t>
      </w:r>
    </w:p>
    <w:p w14:paraId="7A53953A">
      <w:pPr>
        <w:snapToGrid w:val="0"/>
        <w:jc w:val="both"/>
        <w:rPr>
          <w:rFonts w:eastAsia="宋体"/>
          <w:sz w:val="24"/>
          <w:szCs w:val="24"/>
        </w:rPr>
      </w:pPr>
    </w:p>
    <w:p w14:paraId="7390CF1F">
      <w:pPr>
        <w:snapToGrid w:val="0"/>
        <w:jc w:val="both"/>
        <w:rPr>
          <w:rFonts w:eastAsia="宋体"/>
          <w:sz w:val="24"/>
          <w:szCs w:val="24"/>
        </w:rPr>
        <w:sectPr>
          <w:pgSz w:w="11906" w:h="16838"/>
          <w:pgMar w:top="1134" w:right="1417" w:bottom="1134" w:left="1417" w:header="850" w:footer="720" w:gutter="0"/>
          <w:cols w:space="60" w:num="1"/>
          <w:docGrid w:linePitch="272" w:charSpace="0"/>
        </w:sectPr>
      </w:pPr>
    </w:p>
    <w:p w14:paraId="1566DE9C">
      <w:pPr>
        <w:snapToGrid w:val="0"/>
        <w:jc w:val="both"/>
        <w:rPr>
          <w:rFonts w:eastAsia="宋体"/>
          <w:sz w:val="24"/>
          <w:szCs w:val="24"/>
        </w:rPr>
      </w:pPr>
      <w:r>
        <w:rPr>
          <w:rFonts w:eastAsia="宋体"/>
          <w:color w:val="000000"/>
          <w:sz w:val="24"/>
          <w:szCs w:val="24"/>
        </w:rPr>
        <w:t>提供一个表格，显示对每个已确定的健康风险的拟议缓解措施。确定哪些缓解措施是一般控制，哪些是特殊控制。提供具体的章节和页码，以便在提交的文件中找到每个建议的缓解措施的细节（例如，需要的具体测试）。</w:t>
      </w:r>
    </w:p>
    <w:p w14:paraId="2676D460">
      <w:pPr>
        <w:snapToGrid w:val="0"/>
        <w:jc w:val="both"/>
        <w:rPr>
          <w:rFonts w:eastAsia="宋体"/>
          <w:sz w:val="21"/>
          <w:szCs w:val="21"/>
        </w:rPr>
      </w:pPr>
    </w:p>
    <w:p w14:paraId="37BE2837">
      <w:pPr>
        <w:snapToGrid w:val="0"/>
        <w:jc w:val="both"/>
        <w:rPr>
          <w:rFonts w:eastAsia="宋体"/>
          <w:sz w:val="21"/>
          <w:szCs w:val="21"/>
        </w:rPr>
      </w:pPr>
    </w:p>
    <w:tbl>
      <w:tblPr>
        <w:tblStyle w:val="10"/>
        <w:tblW w:w="0" w:type="auto"/>
        <w:tblInd w:w="0" w:type="dxa"/>
        <w:tblLayout w:type="fixed"/>
        <w:tblCellMar>
          <w:top w:w="0" w:type="dxa"/>
          <w:left w:w="40" w:type="dxa"/>
          <w:bottom w:w="0" w:type="dxa"/>
          <w:right w:w="40" w:type="dxa"/>
        </w:tblCellMar>
      </w:tblPr>
      <w:tblGrid>
        <w:gridCol w:w="2952"/>
        <w:gridCol w:w="3326"/>
        <w:gridCol w:w="2842"/>
      </w:tblGrid>
      <w:tr w14:paraId="519DAB70">
        <w:tblPrEx>
          <w:tblCellMar>
            <w:top w:w="0" w:type="dxa"/>
            <w:left w:w="40" w:type="dxa"/>
            <w:bottom w:w="0" w:type="dxa"/>
            <w:right w:w="40" w:type="dxa"/>
          </w:tblCellMar>
        </w:tblPrEx>
        <w:tc>
          <w:tcPr>
            <w:tcW w:w="2952" w:type="dxa"/>
            <w:tcBorders>
              <w:top w:val="single" w:color="auto" w:sz="6" w:space="0"/>
              <w:left w:val="single" w:color="auto" w:sz="6" w:space="0"/>
              <w:bottom w:val="single" w:color="auto" w:sz="6" w:space="0"/>
              <w:right w:val="single" w:color="auto" w:sz="6" w:space="0"/>
            </w:tcBorders>
            <w:shd w:val="clear" w:color="auto" w:fill="B7FFFF"/>
            <w:tcMar>
              <w:left w:w="57" w:type="dxa"/>
              <w:right w:w="57" w:type="dxa"/>
            </w:tcMar>
          </w:tcPr>
          <w:p w14:paraId="15198872">
            <w:pPr>
              <w:snapToGrid w:val="0"/>
              <w:jc w:val="center"/>
              <w:rPr>
                <w:rFonts w:eastAsia="宋体"/>
                <w:sz w:val="21"/>
                <w:szCs w:val="21"/>
              </w:rPr>
            </w:pPr>
            <w:r>
              <w:rPr>
                <w:rFonts w:eastAsia="宋体"/>
                <w:color w:val="000000"/>
                <w:sz w:val="21"/>
                <w:szCs w:val="21"/>
              </w:rPr>
              <w:t>已识别的风险</w:t>
            </w:r>
          </w:p>
        </w:tc>
        <w:tc>
          <w:tcPr>
            <w:tcW w:w="3326" w:type="dxa"/>
            <w:tcBorders>
              <w:top w:val="single" w:color="auto" w:sz="6" w:space="0"/>
              <w:left w:val="single" w:color="auto" w:sz="6" w:space="0"/>
              <w:bottom w:val="single" w:color="auto" w:sz="6" w:space="0"/>
              <w:right w:val="single" w:color="auto" w:sz="6" w:space="0"/>
            </w:tcBorders>
            <w:shd w:val="clear" w:color="auto" w:fill="B7FFFF"/>
            <w:tcMar>
              <w:left w:w="57" w:type="dxa"/>
              <w:right w:w="57" w:type="dxa"/>
            </w:tcMar>
          </w:tcPr>
          <w:p w14:paraId="0F943550">
            <w:pPr>
              <w:snapToGrid w:val="0"/>
              <w:jc w:val="center"/>
              <w:rPr>
                <w:rFonts w:eastAsia="宋体"/>
                <w:sz w:val="21"/>
                <w:szCs w:val="21"/>
              </w:rPr>
            </w:pPr>
            <w:r>
              <w:rPr>
                <w:rFonts w:eastAsia="宋体"/>
                <w:color w:val="000000"/>
                <w:sz w:val="21"/>
                <w:szCs w:val="21"/>
              </w:rPr>
              <w:t>建议缓解措施</w:t>
            </w:r>
          </w:p>
        </w:tc>
        <w:tc>
          <w:tcPr>
            <w:tcW w:w="2842" w:type="dxa"/>
            <w:tcBorders>
              <w:top w:val="single" w:color="auto" w:sz="6" w:space="0"/>
              <w:left w:val="single" w:color="auto" w:sz="6" w:space="0"/>
              <w:bottom w:val="single" w:color="auto" w:sz="6" w:space="0"/>
              <w:right w:val="single" w:color="auto" w:sz="6" w:space="0"/>
            </w:tcBorders>
            <w:shd w:val="clear" w:color="auto" w:fill="B7FFFF"/>
            <w:tcMar>
              <w:left w:w="57" w:type="dxa"/>
              <w:right w:w="57" w:type="dxa"/>
            </w:tcMar>
          </w:tcPr>
          <w:p w14:paraId="43CE04DF">
            <w:pPr>
              <w:snapToGrid w:val="0"/>
              <w:jc w:val="center"/>
              <w:rPr>
                <w:rFonts w:eastAsia="宋体"/>
                <w:sz w:val="21"/>
                <w:szCs w:val="21"/>
              </w:rPr>
            </w:pPr>
            <w:r>
              <w:rPr>
                <w:rFonts w:eastAsia="宋体"/>
                <w:i/>
                <w:iCs/>
                <w:color w:val="000000"/>
                <w:sz w:val="21"/>
                <w:szCs w:val="21"/>
              </w:rPr>
              <w:t>新</w:t>
            </w:r>
            <w:r>
              <w:rPr>
                <w:rFonts w:eastAsia="宋体"/>
                <w:color w:val="000000"/>
                <w:sz w:val="21"/>
                <w:szCs w:val="21"/>
              </w:rPr>
              <w:t>中包含的支持数据</w:t>
            </w:r>
          </w:p>
        </w:tc>
      </w:tr>
      <w:tr w14:paraId="0D4157B4">
        <w:tblPrEx>
          <w:tblCellMar>
            <w:top w:w="0" w:type="dxa"/>
            <w:left w:w="40" w:type="dxa"/>
            <w:bottom w:w="0" w:type="dxa"/>
            <w:right w:w="40" w:type="dxa"/>
          </w:tblCellMar>
        </w:tblPrEx>
        <w:tc>
          <w:tcPr>
            <w:tcW w:w="295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8C6CC05">
            <w:pPr>
              <w:snapToGrid w:val="0"/>
              <w:rPr>
                <w:rFonts w:eastAsia="宋体"/>
                <w:sz w:val="21"/>
                <w:szCs w:val="21"/>
              </w:rPr>
            </w:pPr>
            <w:r>
              <w:rPr>
                <w:rFonts w:eastAsia="宋体"/>
                <w:color w:val="000000"/>
                <w:sz w:val="21"/>
                <w:szCs w:val="21"/>
              </w:rPr>
              <w:t>示例：不良组织反应</w:t>
            </w:r>
          </w:p>
        </w:tc>
        <w:tc>
          <w:tcPr>
            <w:tcW w:w="33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D8D979B">
            <w:pPr>
              <w:snapToGrid w:val="0"/>
              <w:rPr>
                <w:rFonts w:eastAsia="宋体"/>
                <w:sz w:val="21"/>
                <w:szCs w:val="21"/>
              </w:rPr>
            </w:pPr>
            <w:r>
              <w:rPr>
                <w:rFonts w:eastAsia="宋体"/>
                <w:color w:val="000000"/>
                <w:sz w:val="21"/>
                <w:szCs w:val="21"/>
              </w:rPr>
              <w:t>指定的生物相容性测试要求（特殊控制）</w:t>
            </w:r>
          </w:p>
        </w:tc>
        <w:tc>
          <w:tcPr>
            <w:tcW w:w="28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BFE138F">
            <w:pPr>
              <w:snapToGrid w:val="0"/>
              <w:rPr>
                <w:rFonts w:eastAsia="宋体"/>
                <w:sz w:val="21"/>
                <w:szCs w:val="21"/>
              </w:rPr>
            </w:pPr>
            <w:r>
              <w:rPr>
                <w:rFonts w:eastAsia="宋体"/>
                <w:color w:val="000000"/>
                <w:sz w:val="21"/>
                <w:szCs w:val="21"/>
              </w:rPr>
              <w:t>符合公认标准的测试（第XX节，第XXX页）</w:t>
            </w:r>
          </w:p>
        </w:tc>
      </w:tr>
      <w:tr w14:paraId="5F3CF5A5">
        <w:tblPrEx>
          <w:tblCellMar>
            <w:top w:w="0" w:type="dxa"/>
            <w:left w:w="40" w:type="dxa"/>
            <w:bottom w:w="0" w:type="dxa"/>
            <w:right w:w="40" w:type="dxa"/>
          </w:tblCellMar>
        </w:tblPrEx>
        <w:tc>
          <w:tcPr>
            <w:tcW w:w="295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1ECE4685">
            <w:pPr>
              <w:snapToGrid w:val="0"/>
              <w:rPr>
                <w:rFonts w:eastAsia="宋体"/>
                <w:sz w:val="21"/>
                <w:szCs w:val="21"/>
              </w:rPr>
            </w:pPr>
            <w:r>
              <w:rPr>
                <w:rFonts w:eastAsia="宋体"/>
                <w:color w:val="000000"/>
                <w:sz w:val="21"/>
                <w:szCs w:val="21"/>
              </w:rPr>
              <w:t>示例：由于XXX导致的器械故障（机械故障、软件异常、使用错误等）</w:t>
            </w:r>
          </w:p>
        </w:tc>
        <w:tc>
          <w:tcPr>
            <w:tcW w:w="33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6A7423A5">
            <w:pPr>
              <w:snapToGrid w:val="0"/>
              <w:rPr>
                <w:rFonts w:eastAsia="宋体"/>
                <w:color w:val="000000"/>
                <w:sz w:val="21"/>
                <w:szCs w:val="21"/>
              </w:rPr>
            </w:pPr>
            <w:r>
              <w:rPr>
                <w:rFonts w:eastAsia="宋体"/>
                <w:color w:val="000000"/>
                <w:sz w:val="21"/>
                <w:szCs w:val="21"/>
              </w:rPr>
              <w:t>指定的非临床测试（特殊控制），</w:t>
            </w:r>
          </w:p>
          <w:p w14:paraId="04886E27">
            <w:pPr>
              <w:snapToGrid w:val="0"/>
              <w:rPr>
                <w:rFonts w:eastAsia="宋体"/>
                <w:color w:val="000000"/>
                <w:sz w:val="21"/>
                <w:szCs w:val="21"/>
              </w:rPr>
            </w:pPr>
            <w:r>
              <w:rPr>
                <w:rFonts w:eastAsia="宋体"/>
                <w:color w:val="000000"/>
                <w:sz w:val="21"/>
                <w:szCs w:val="21"/>
              </w:rPr>
              <w:t>器械特定标签要求（特殊控制），</w:t>
            </w:r>
          </w:p>
          <w:p w14:paraId="00F66F4A">
            <w:pPr>
              <w:snapToGrid w:val="0"/>
              <w:rPr>
                <w:rFonts w:eastAsia="宋体"/>
                <w:sz w:val="21"/>
                <w:szCs w:val="21"/>
              </w:rPr>
            </w:pPr>
            <w:r>
              <w:rPr>
                <w:rFonts w:eastAsia="宋体"/>
                <w:color w:val="000000"/>
                <w:sz w:val="21"/>
                <w:szCs w:val="21"/>
              </w:rPr>
              <w:t>医疗器械报告（MDR）（一般控制）</w:t>
            </w:r>
          </w:p>
        </w:tc>
        <w:tc>
          <w:tcPr>
            <w:tcW w:w="28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0918284D">
            <w:pPr>
              <w:snapToGrid w:val="0"/>
              <w:rPr>
                <w:rFonts w:eastAsia="宋体"/>
                <w:sz w:val="21"/>
                <w:szCs w:val="21"/>
              </w:rPr>
            </w:pPr>
            <w:r>
              <w:rPr>
                <w:rFonts w:eastAsia="宋体"/>
                <w:color w:val="000000"/>
                <w:sz w:val="21"/>
                <w:szCs w:val="21"/>
              </w:rPr>
              <w:t>测试方案和结果（第XX节，第XXX页）</w:t>
            </w:r>
          </w:p>
          <w:p w14:paraId="7ECED136">
            <w:pPr>
              <w:snapToGrid w:val="0"/>
              <w:rPr>
                <w:rFonts w:eastAsia="宋体"/>
                <w:sz w:val="21"/>
                <w:szCs w:val="21"/>
              </w:rPr>
            </w:pPr>
            <w:r>
              <w:rPr>
                <w:rFonts w:eastAsia="宋体"/>
                <w:color w:val="000000"/>
                <w:sz w:val="21"/>
                <w:szCs w:val="21"/>
              </w:rPr>
              <w:t>器械标签草案（第XX节，第XXX页）</w:t>
            </w:r>
          </w:p>
        </w:tc>
      </w:tr>
      <w:tr w14:paraId="280DD83A">
        <w:tblPrEx>
          <w:tblCellMar>
            <w:top w:w="0" w:type="dxa"/>
            <w:left w:w="40" w:type="dxa"/>
            <w:bottom w:w="0" w:type="dxa"/>
            <w:right w:w="40" w:type="dxa"/>
          </w:tblCellMar>
        </w:tblPrEx>
        <w:tc>
          <w:tcPr>
            <w:tcW w:w="295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40A8A843">
            <w:pPr>
              <w:snapToGrid w:val="0"/>
              <w:rPr>
                <w:rFonts w:eastAsia="宋体"/>
                <w:sz w:val="21"/>
                <w:szCs w:val="21"/>
              </w:rPr>
            </w:pPr>
            <w:r>
              <w:rPr>
                <w:rFonts w:eastAsia="宋体"/>
                <w:color w:val="000000"/>
                <w:sz w:val="21"/>
                <w:szCs w:val="21"/>
              </w:rPr>
              <w:t>示例：未能正确解释测试结果</w:t>
            </w:r>
          </w:p>
        </w:tc>
        <w:tc>
          <w:tcPr>
            <w:tcW w:w="3326"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214BECB5">
            <w:pPr>
              <w:snapToGrid w:val="0"/>
              <w:rPr>
                <w:rFonts w:eastAsia="宋体"/>
                <w:sz w:val="21"/>
                <w:szCs w:val="21"/>
              </w:rPr>
            </w:pPr>
            <w:r>
              <w:rPr>
                <w:rFonts w:eastAsia="宋体"/>
                <w:color w:val="000000"/>
                <w:sz w:val="21"/>
                <w:szCs w:val="21"/>
              </w:rPr>
              <w:t>器械专用标签要求（特殊控制）</w:t>
            </w:r>
          </w:p>
        </w:tc>
        <w:tc>
          <w:tcPr>
            <w:tcW w:w="2842" w:type="dxa"/>
            <w:tcBorders>
              <w:top w:val="single" w:color="auto" w:sz="6" w:space="0"/>
              <w:left w:val="single" w:color="auto" w:sz="6" w:space="0"/>
              <w:bottom w:val="single" w:color="auto" w:sz="6" w:space="0"/>
              <w:right w:val="single" w:color="auto" w:sz="6" w:space="0"/>
            </w:tcBorders>
            <w:shd w:val="clear" w:color="auto" w:fill="FFFFFF"/>
            <w:tcMar>
              <w:left w:w="57" w:type="dxa"/>
              <w:right w:w="57" w:type="dxa"/>
            </w:tcMar>
          </w:tcPr>
          <w:p w14:paraId="78C49179">
            <w:pPr>
              <w:snapToGrid w:val="0"/>
              <w:rPr>
                <w:rFonts w:eastAsia="宋体"/>
                <w:sz w:val="21"/>
                <w:szCs w:val="21"/>
              </w:rPr>
            </w:pPr>
            <w:r>
              <w:rPr>
                <w:rFonts w:eastAsia="宋体"/>
                <w:color w:val="000000"/>
                <w:sz w:val="21"/>
                <w:szCs w:val="21"/>
              </w:rPr>
              <w:t>器械标签草案（第XX节，第XXX页）</w:t>
            </w:r>
          </w:p>
        </w:tc>
      </w:tr>
    </w:tbl>
    <w:p w14:paraId="362CF9EB">
      <w:pPr>
        <w:snapToGrid w:val="0"/>
        <w:jc w:val="both"/>
        <w:rPr>
          <w:rFonts w:eastAsia="宋体"/>
          <w:b/>
          <w:bCs/>
          <w:color w:val="000000"/>
          <w:sz w:val="21"/>
          <w:szCs w:val="21"/>
        </w:rPr>
      </w:pPr>
    </w:p>
    <w:p w14:paraId="767C85D5">
      <w:pPr>
        <w:snapToGrid w:val="0"/>
        <w:jc w:val="both"/>
        <w:rPr>
          <w:rFonts w:eastAsia="宋体"/>
          <w:sz w:val="24"/>
          <w:szCs w:val="24"/>
        </w:rPr>
      </w:pPr>
      <w:r>
        <w:rPr>
          <w:rFonts w:eastAsia="宋体"/>
          <w:b/>
          <w:bCs/>
          <w:color w:val="000000"/>
          <w:sz w:val="24"/>
          <w:szCs w:val="24"/>
        </w:rPr>
        <w:t>获益-风险的考虑：</w:t>
      </w:r>
    </w:p>
    <w:p w14:paraId="222737F0">
      <w:pPr>
        <w:snapToGrid w:val="0"/>
        <w:jc w:val="both"/>
        <w:rPr>
          <w:rFonts w:eastAsia="宋体"/>
          <w:color w:val="000000"/>
          <w:sz w:val="24"/>
          <w:szCs w:val="24"/>
        </w:rPr>
      </w:pPr>
      <w:r>
        <w:rPr>
          <w:rFonts w:eastAsia="宋体"/>
          <w:color w:val="000000"/>
          <w:sz w:val="24"/>
          <w:szCs w:val="24"/>
        </w:rPr>
        <w:t>提供讨论，证明在受到一般控制或一般和特殊控制的情况下，使用该器械可能带来的健康利益超过了这种使用可能带来的伤害或疾病。更多信息可</w:t>
      </w:r>
      <w:r>
        <w:rPr>
          <w:rFonts w:hint="eastAsia" w:eastAsia="宋体"/>
          <w:color w:val="000000"/>
          <w:sz w:val="24"/>
          <w:szCs w:val="24"/>
        </w:rPr>
        <w:t>参见</w:t>
      </w:r>
      <w:r>
        <w:rPr>
          <w:rFonts w:eastAsia="宋体"/>
          <w:color w:val="000000"/>
          <w:sz w:val="24"/>
          <w:szCs w:val="24"/>
        </w:rPr>
        <w:t>FDA的指导文件，题为</w:t>
      </w:r>
      <w:r>
        <w:rPr>
          <w:rFonts w:ascii="宋体" w:hAnsi="宋体" w:eastAsia="宋体"/>
          <w:color w:val="000000"/>
          <w:sz w:val="24"/>
          <w:szCs w:val="24"/>
        </w:rPr>
        <w:t>“</w:t>
      </w:r>
      <w:r>
        <w:rPr>
          <w:rFonts w:eastAsia="宋体"/>
          <w:color w:val="000000"/>
          <w:sz w:val="24"/>
          <w:szCs w:val="24"/>
        </w:rPr>
        <w:t>在医疗器械上市前审批和新分类中进行获益-风险判断时需要考虑的因素</w:t>
      </w:r>
      <w:r>
        <w:rPr>
          <w:rFonts w:ascii="宋体" w:hAnsi="宋体" w:eastAsia="宋体"/>
          <w:color w:val="000000"/>
          <w:sz w:val="24"/>
          <w:szCs w:val="24"/>
        </w:rPr>
        <w:t>”</w:t>
      </w:r>
      <w:r>
        <w:rPr>
          <w:rFonts w:eastAsia="宋体"/>
          <w:color w:val="000000"/>
          <w:sz w:val="24"/>
          <w:szCs w:val="24"/>
        </w:rPr>
        <w:t>。</w:t>
      </w:r>
    </w:p>
    <w:p w14:paraId="5599B9E5">
      <w:pPr>
        <w:snapToGrid w:val="0"/>
        <w:jc w:val="both"/>
        <w:rPr>
          <w:rFonts w:eastAsia="宋体"/>
          <w:sz w:val="24"/>
          <w:szCs w:val="24"/>
        </w:rPr>
      </w:pPr>
    </w:p>
    <w:p w14:paraId="057D5984">
      <w:pPr>
        <w:snapToGrid w:val="0"/>
        <w:jc w:val="both"/>
        <w:rPr>
          <w:rFonts w:eastAsia="宋体"/>
          <w:sz w:val="24"/>
          <w:szCs w:val="24"/>
        </w:rPr>
      </w:pPr>
      <w:r>
        <w:rPr>
          <w:rFonts w:eastAsia="宋体"/>
          <w:b/>
          <w:bCs/>
          <w:color w:val="000000"/>
          <w:sz w:val="24"/>
          <w:szCs w:val="24"/>
        </w:rPr>
        <w:t>器械标签：</w:t>
      </w:r>
    </w:p>
    <w:p w14:paraId="34DFCFD5">
      <w:pPr>
        <w:snapToGrid w:val="0"/>
        <w:jc w:val="both"/>
        <w:rPr>
          <w:rFonts w:eastAsia="宋体"/>
          <w:sz w:val="24"/>
          <w:szCs w:val="24"/>
        </w:rPr>
      </w:pPr>
      <w:r>
        <w:rPr>
          <w:rFonts w:eastAsia="宋体"/>
          <w:color w:val="000000"/>
          <w:sz w:val="24"/>
          <w:szCs w:val="24"/>
        </w:rPr>
        <w:t>提供器械标签，明确指出建议的预期用途和使用的适应症、限制、禁忌等。</w:t>
      </w:r>
      <w:r>
        <w:rPr>
          <w:rStyle w:val="13"/>
          <w:rFonts w:eastAsia="宋体"/>
          <w:color w:val="000000"/>
          <w:sz w:val="24"/>
          <w:szCs w:val="24"/>
        </w:rPr>
        <w:t xml:space="preserve"> </w:t>
      </w:r>
      <w:r>
        <w:rPr>
          <w:rStyle w:val="13"/>
          <w:rFonts w:eastAsia="宋体"/>
          <w:color w:val="000000"/>
          <w:sz w:val="24"/>
          <w:szCs w:val="24"/>
        </w:rPr>
        <w:footnoteReference w:id="9"/>
      </w:r>
    </w:p>
    <w:p w14:paraId="0934DEAC">
      <w:pPr>
        <w:snapToGrid w:val="0"/>
        <w:jc w:val="both"/>
        <w:rPr>
          <w:rFonts w:eastAsia="宋体"/>
          <w:sz w:val="24"/>
          <w:szCs w:val="24"/>
        </w:rPr>
      </w:pPr>
    </w:p>
    <w:p w14:paraId="0207A9CD">
      <w:pPr>
        <w:pStyle w:val="14"/>
        <w:pBdr>
          <w:bottom w:val="single" w:color="auto" w:sz="4" w:space="1"/>
        </w:pBdr>
        <w:jc w:val="center"/>
        <w:rPr>
          <w:rFonts w:hint="eastAsia" w:eastAsia="等线"/>
          <w:lang w:eastAsia="zh-CN"/>
        </w:rPr>
      </w:pPr>
    </w:p>
    <w:p w14:paraId="28CB68E9">
      <w:pPr>
        <w:pStyle w:val="14"/>
        <w:pBdr>
          <w:bottom w:val="single" w:color="auto" w:sz="4" w:space="1"/>
        </w:pBdr>
        <w:jc w:val="center"/>
        <w:rPr>
          <w:rFonts w:hint="eastAsia" w:eastAsia="等线"/>
          <w:lang w:eastAsia="zh-CN"/>
        </w:rPr>
      </w:pPr>
    </w:p>
    <w:p w14:paraId="3B0D74D1">
      <w:pPr>
        <w:pStyle w:val="14"/>
        <w:pBdr>
          <w:bottom w:val="single" w:color="auto" w:sz="4" w:space="1"/>
        </w:pBdr>
        <w:jc w:val="center"/>
        <w:rPr>
          <w:rFonts w:hint="eastAsia" w:eastAsia="等线"/>
          <w:lang w:eastAsia="zh-CN"/>
        </w:rPr>
      </w:pPr>
      <w:r>
        <w:rPr>
          <w:rFonts w:hint="eastAsia" w:eastAsia="等线"/>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9"/>
                    <a:stretch>
                      <a:fillRect/>
                    </a:stretch>
                  </pic:blipFill>
                  <pic:spPr>
                    <a:xfrm>
                      <a:off x="0" y="0"/>
                      <a:ext cx="5210175" cy="7343775"/>
                    </a:xfrm>
                    <a:prstGeom prst="rect">
                      <a:avLst/>
                    </a:prstGeom>
                  </pic:spPr>
                </pic:pic>
              </a:graphicData>
            </a:graphic>
          </wp:inline>
        </w:drawing>
      </w:r>
    </w:p>
    <w:sectPr>
      <w:pgSz w:w="11906" w:h="16838"/>
      <w:pgMar w:top="1134" w:right="1417" w:bottom="1134" w:left="1417" w:header="850" w:footer="720" w:gutter="0"/>
      <w:cols w:space="6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FD0B2">
    <w:pPr>
      <w:pStyle w:val="7"/>
      <w:jc w:val="right"/>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rPr>
      <w:t>5</w:t>
    </w:r>
    <w:r>
      <w:rPr>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1365377D">
      <w:pPr>
        <w:pStyle w:val="9"/>
        <w:rPr>
          <w:rFonts w:eastAsia="宋体"/>
        </w:rPr>
      </w:pPr>
      <w:r>
        <w:rPr>
          <w:rStyle w:val="13"/>
          <w:rFonts w:eastAsia="宋体"/>
        </w:rPr>
        <w:footnoteRef/>
      </w:r>
      <w:r>
        <w:rPr>
          <w:rFonts w:eastAsia="宋体"/>
        </w:rPr>
        <w:t xml:space="preserve"> </w:t>
      </w:r>
      <w:r>
        <w:rPr>
          <w:rFonts w:eastAsia="宋体"/>
          <w:color w:val="000000"/>
        </w:rPr>
        <w:t>2012年颁布的《食品和药品管理安全与创新法》（FDASIA）之前，FDA根据《FD&amp;C法案》第513(e)条通过制定规则对器械进行重新分类；FDASIA将此改为订单程序。</w:t>
      </w:r>
    </w:p>
  </w:footnote>
  <w:footnote w:id="1">
    <w:p w14:paraId="2D0E8383">
      <w:pPr>
        <w:pStyle w:val="9"/>
        <w:rPr>
          <w:rFonts w:eastAsia="宋体"/>
        </w:rPr>
      </w:pPr>
      <w:r>
        <w:rPr>
          <w:rStyle w:val="13"/>
          <w:rFonts w:eastAsia="宋体"/>
        </w:rPr>
        <w:footnoteRef/>
      </w:r>
      <w:r>
        <w:rPr>
          <w:rFonts w:eastAsia="宋体"/>
        </w:rPr>
        <w:t xml:space="preserve"> </w:t>
      </w:r>
      <w:r>
        <w:rPr>
          <w:rFonts w:eastAsia="宋体"/>
          <w:color w:val="000000"/>
        </w:rPr>
        <w:t>这个过程被称为“新”，因为它要求</w:t>
      </w:r>
      <w:r>
        <w:rPr>
          <w:rFonts w:hint="eastAsia" w:eastAsia="宋体"/>
          <w:color w:val="000000"/>
        </w:rPr>
        <w:t>F</w:t>
      </w:r>
      <w:r>
        <w:rPr>
          <w:rFonts w:eastAsia="宋体"/>
          <w:color w:val="000000"/>
        </w:rPr>
        <w:t>DA根据《FD&amp;C法案》第513(a)(1)条的标准，重新评估新型器械。</w:t>
      </w:r>
    </w:p>
  </w:footnote>
  <w:footnote w:id="2">
    <w:p w14:paraId="20D80EE9">
      <w:pPr>
        <w:pStyle w:val="9"/>
        <w:rPr>
          <w:rFonts w:eastAsia="宋体"/>
        </w:rPr>
      </w:pPr>
      <w:r>
        <w:rPr>
          <w:rStyle w:val="13"/>
          <w:rFonts w:eastAsia="宋体"/>
        </w:rPr>
        <w:footnoteRef/>
      </w:r>
      <w:r>
        <w:rPr>
          <w:rFonts w:eastAsia="宋体"/>
        </w:rPr>
        <w:t xml:space="preserve"> </w:t>
      </w:r>
      <w:r>
        <w:rPr>
          <w:rFonts w:eastAsia="宋体"/>
          <w:color w:val="000000"/>
        </w:rPr>
        <w:t>2016年12月13日，作为《21世纪治愈法案》（Pub.L.114-255），国会修订了《FD&amp;C法案》的513(f)(2)(i)条。</w:t>
      </w:r>
    </w:p>
  </w:footnote>
  <w:footnote w:id="3">
    <w:p w14:paraId="1BC0BDB7">
      <w:pPr>
        <w:shd w:val="clear" w:color="auto" w:fill="FFFFFF"/>
        <w:tabs>
          <w:tab w:val="left" w:pos="115"/>
        </w:tabs>
        <w:snapToGrid w:val="0"/>
        <w:jc w:val="both"/>
        <w:rPr>
          <w:rFonts w:eastAsia="宋体"/>
          <w:sz w:val="18"/>
          <w:szCs w:val="18"/>
        </w:rPr>
      </w:pPr>
      <w:r>
        <w:rPr>
          <w:rStyle w:val="13"/>
          <w:rFonts w:eastAsia="宋体"/>
          <w:sz w:val="18"/>
          <w:szCs w:val="18"/>
        </w:rPr>
        <w:footnoteRef/>
      </w:r>
      <w:r>
        <w:rPr>
          <w:rFonts w:eastAsia="宋体"/>
          <w:sz w:val="18"/>
          <w:szCs w:val="18"/>
        </w:rPr>
        <w:t xml:space="preserve"> </w:t>
      </w:r>
      <w:r>
        <w:rPr>
          <w:rFonts w:eastAsia="宋体"/>
          <w:color w:val="000000"/>
          <w:sz w:val="18"/>
          <w:szCs w:val="18"/>
        </w:rPr>
        <w:t>更多关于证明实质等同的信息，请参见FDA的指导文件，题为“510（k）计划：评估上市前通知中的实质性等效“，可访问</w:t>
      </w:r>
    </w:p>
    <w:p w14:paraId="4C3ACA61">
      <w:pPr>
        <w:shd w:val="clear" w:color="auto" w:fill="FFFFFF"/>
        <w:snapToGrid w:val="0"/>
        <w:jc w:val="both"/>
        <w:rPr>
          <w:rFonts w:eastAsia="宋体"/>
          <w:sz w:val="18"/>
          <w:szCs w:val="18"/>
          <w:lang w:val="de-DE"/>
        </w:rPr>
      </w:pPr>
      <w:r>
        <w:rPr>
          <w:rFonts w:eastAsia="宋体"/>
          <w:color w:val="0000FF"/>
          <w:sz w:val="18"/>
          <w:szCs w:val="18"/>
          <w:u w:val="single"/>
          <w:lang w:val="de-DE"/>
        </w:rPr>
        <w:t>https://www.fda.gov/downloads/medicaldevices/deviceregulationandguidance/guidancedocuments/UCM28444 3.pdf</w:t>
      </w:r>
      <w:r>
        <w:rPr>
          <w:rFonts w:eastAsia="宋体"/>
          <w:color w:val="0000FF"/>
          <w:sz w:val="18"/>
          <w:szCs w:val="18"/>
          <w:u w:val="single"/>
        </w:rPr>
        <w:t>。</w:t>
      </w:r>
    </w:p>
  </w:footnote>
  <w:footnote w:id="4">
    <w:p w14:paraId="0672CE39">
      <w:pPr>
        <w:shd w:val="clear" w:color="auto" w:fill="FFFFFF"/>
        <w:snapToGrid w:val="0"/>
        <w:jc w:val="both"/>
        <w:rPr>
          <w:rFonts w:eastAsia="宋体"/>
          <w:sz w:val="18"/>
          <w:szCs w:val="18"/>
        </w:rPr>
      </w:pPr>
      <w:r>
        <w:rPr>
          <w:rStyle w:val="13"/>
          <w:rFonts w:eastAsia="宋体"/>
          <w:sz w:val="18"/>
          <w:szCs w:val="18"/>
        </w:rPr>
        <w:footnoteRef/>
      </w:r>
      <w:r>
        <w:rPr>
          <w:rFonts w:eastAsia="宋体"/>
          <w:sz w:val="18"/>
          <w:szCs w:val="18"/>
        </w:rPr>
        <w:t xml:space="preserve"> </w:t>
      </w:r>
      <w:r>
        <w:rPr>
          <w:rFonts w:eastAsia="宋体"/>
          <w:color w:val="000000"/>
          <w:sz w:val="18"/>
          <w:szCs w:val="18"/>
        </w:rPr>
        <w:t>见</w:t>
      </w:r>
      <w:r>
        <w:rPr>
          <w:rFonts w:hint="eastAsia" w:eastAsia="宋体"/>
          <w:color w:val="000000"/>
          <w:sz w:val="18"/>
          <w:szCs w:val="18"/>
        </w:rPr>
        <w:t>F</w:t>
      </w:r>
      <w:r>
        <w:rPr>
          <w:rFonts w:eastAsia="宋体"/>
          <w:color w:val="000000"/>
          <w:sz w:val="18"/>
          <w:szCs w:val="18"/>
        </w:rPr>
        <w:t>DA的重新分类网页：</w:t>
      </w:r>
    </w:p>
    <w:p w14:paraId="7D5E1228">
      <w:pPr>
        <w:shd w:val="clear" w:color="auto" w:fill="FFFFFF"/>
        <w:snapToGrid w:val="0"/>
        <w:jc w:val="both"/>
        <w:rPr>
          <w:rFonts w:eastAsia="宋体"/>
          <w:sz w:val="18"/>
          <w:szCs w:val="18"/>
        </w:rPr>
      </w:pPr>
      <w:r>
        <w:rPr>
          <w:rFonts w:eastAsia="宋体"/>
          <w:color w:val="0000FF"/>
          <w:sz w:val="18"/>
          <w:szCs w:val="18"/>
          <w:u w:val="single"/>
        </w:rPr>
        <w:t>https://www.fda.gov/AboutFDA/CentersOffices/OfficeofMedicalProductsandTobacco/CDRH/CDRHTransparency/ucm378724.htm.</w:t>
      </w:r>
    </w:p>
  </w:footnote>
  <w:footnote w:id="5">
    <w:p w14:paraId="1CEB843E">
      <w:pPr>
        <w:shd w:val="clear" w:color="auto" w:fill="FFFFFF"/>
        <w:tabs>
          <w:tab w:val="left" w:pos="115"/>
        </w:tabs>
        <w:snapToGrid w:val="0"/>
        <w:jc w:val="both"/>
        <w:rPr>
          <w:rFonts w:eastAsia="宋体"/>
          <w:sz w:val="18"/>
          <w:szCs w:val="18"/>
        </w:rPr>
      </w:pPr>
      <w:r>
        <w:rPr>
          <w:rStyle w:val="13"/>
          <w:rFonts w:eastAsia="宋体"/>
          <w:sz w:val="18"/>
          <w:szCs w:val="18"/>
        </w:rPr>
        <w:footnoteRef/>
      </w:r>
      <w:r>
        <w:rPr>
          <w:rFonts w:eastAsia="宋体"/>
          <w:sz w:val="18"/>
          <w:szCs w:val="18"/>
        </w:rPr>
        <w:t xml:space="preserve"> </w:t>
      </w:r>
      <w:r>
        <w:rPr>
          <w:rFonts w:eastAsia="宋体"/>
          <w:color w:val="000000"/>
          <w:sz w:val="18"/>
          <w:szCs w:val="18"/>
        </w:rPr>
        <w:t>更多关于实质等同性证明的信息，请参见“510（k）计划：评估上市前通知中的实质等同[510(k)] -行业和美国食品药品监督管理局员工指南”</w:t>
      </w:r>
    </w:p>
    <w:p w14:paraId="123CEDCE">
      <w:pPr>
        <w:pStyle w:val="9"/>
        <w:rPr>
          <w:rFonts w:eastAsia="宋体"/>
          <w:lang w:val="de-DE"/>
        </w:rPr>
      </w:pPr>
      <w:bookmarkStart w:id="0" w:name="bookmark5"/>
      <w:r>
        <w:rPr>
          <w:rFonts w:eastAsia="宋体"/>
          <w:color w:val="0000FF"/>
          <w:u w:val="single"/>
          <w:lang w:val="de-DE"/>
        </w:rPr>
        <w:t>(</w:t>
      </w:r>
      <w:bookmarkEnd w:id="0"/>
      <w:r>
        <w:rPr>
          <w:rFonts w:eastAsia="宋体"/>
          <w:color w:val="0000FF"/>
          <w:u w:val="single"/>
          <w:lang w:val="de-DE"/>
        </w:rPr>
        <w:t>https://www.fda.gov/downloads/medicaldevices/deviceregulationandguidance/guidancedocuments/UCM28444 3.pdf)</w:t>
      </w:r>
      <w:r>
        <w:rPr>
          <w:rFonts w:eastAsia="宋体"/>
          <w:color w:val="000000"/>
          <w:lang w:val="de-DE"/>
        </w:rPr>
        <w:t>.</w:t>
      </w:r>
    </w:p>
  </w:footnote>
  <w:footnote w:id="6">
    <w:p w14:paraId="467BC2EA">
      <w:pPr>
        <w:shd w:val="clear" w:color="auto" w:fill="FFFFFF"/>
        <w:tabs>
          <w:tab w:val="left" w:pos="115"/>
        </w:tabs>
        <w:snapToGrid w:val="0"/>
        <w:jc w:val="both"/>
        <w:rPr>
          <w:rFonts w:eastAsia="宋体"/>
          <w:sz w:val="18"/>
          <w:szCs w:val="18"/>
        </w:rPr>
      </w:pPr>
      <w:r>
        <w:rPr>
          <w:rStyle w:val="13"/>
          <w:rFonts w:eastAsia="宋体"/>
          <w:sz w:val="18"/>
          <w:szCs w:val="18"/>
        </w:rPr>
        <w:footnoteRef/>
      </w:r>
      <w:r>
        <w:rPr>
          <w:rFonts w:eastAsia="宋体"/>
          <w:color w:val="000000"/>
          <w:sz w:val="18"/>
          <w:szCs w:val="18"/>
        </w:rPr>
        <w:t>关于效益风险确定的更多信息，请参见“</w:t>
      </w:r>
      <w:r>
        <w:rPr>
          <w:rFonts w:eastAsia="宋体"/>
          <w:color w:val="0000FF"/>
          <w:sz w:val="18"/>
          <w:szCs w:val="18"/>
          <w:u w:val="single"/>
        </w:rPr>
        <w:t>行业和美国食品药品管理局工作人员指南-在医疗器械上市前批准和新分类中进行效益风险确定时应考虑的因素”</w:t>
      </w:r>
    </w:p>
    <w:p w14:paraId="14F16500">
      <w:pPr>
        <w:shd w:val="clear" w:color="auto" w:fill="FFFFFF"/>
        <w:snapToGrid w:val="0"/>
        <w:jc w:val="both"/>
        <w:rPr>
          <w:rFonts w:eastAsia="宋体"/>
          <w:sz w:val="18"/>
          <w:szCs w:val="18"/>
          <w:lang w:val="de-DE"/>
        </w:rPr>
      </w:pPr>
      <w:r>
        <w:rPr>
          <w:rFonts w:eastAsia="宋体"/>
          <w:color w:val="0000FF"/>
          <w:sz w:val="18"/>
          <w:szCs w:val="18"/>
          <w:u w:val="single"/>
          <w:lang w:val="de-DE"/>
        </w:rPr>
        <w:t>(https://www.fda.gov/downloads/medicaldevices/deviceregulationandguidance/guidancedocuments/ucm517504 .pdf)</w:t>
      </w:r>
      <w:r>
        <w:rPr>
          <w:rFonts w:eastAsia="宋体"/>
          <w:color w:val="000000"/>
          <w:sz w:val="18"/>
          <w:szCs w:val="18"/>
        </w:rPr>
        <w:t>。</w:t>
      </w:r>
    </w:p>
  </w:footnote>
  <w:footnote w:id="7">
    <w:p w14:paraId="0BBC6A40">
      <w:pPr>
        <w:pStyle w:val="9"/>
        <w:rPr>
          <w:rFonts w:eastAsia="宋体"/>
          <w:lang w:val="de-DE"/>
        </w:rPr>
      </w:pPr>
      <w:r>
        <w:rPr>
          <w:rStyle w:val="13"/>
          <w:rFonts w:eastAsia="宋体"/>
        </w:rPr>
        <w:footnoteRef/>
      </w:r>
      <w:r>
        <w:rPr>
          <w:rFonts w:eastAsia="宋体"/>
          <w:lang w:val="de-DE"/>
        </w:rPr>
        <w:t xml:space="preserve"> </w:t>
      </w:r>
      <w:r>
        <w:rPr>
          <w:rFonts w:eastAsia="宋体"/>
          <w:color w:val="000000"/>
        </w:rPr>
        <w:t>关于软件的更多信息</w:t>
      </w:r>
      <w:r>
        <w:rPr>
          <w:rFonts w:eastAsia="宋体"/>
          <w:color w:val="000000"/>
          <w:lang w:val="de-DE"/>
        </w:rPr>
        <w:t>，</w:t>
      </w:r>
      <w:r>
        <w:rPr>
          <w:rFonts w:eastAsia="宋体"/>
          <w:color w:val="000000"/>
        </w:rPr>
        <w:t>请参见</w:t>
      </w:r>
      <w:r>
        <w:rPr>
          <w:rFonts w:eastAsia="宋体"/>
          <w:color w:val="000000"/>
          <w:lang w:val="de-DE"/>
        </w:rPr>
        <w:t>“</w:t>
      </w:r>
      <w:r>
        <w:rPr>
          <w:rFonts w:eastAsia="宋体"/>
          <w:color w:val="000000"/>
        </w:rPr>
        <w:t>医疗器械所含软件的上市前提交内容指南</w:t>
      </w:r>
      <w:r>
        <w:rPr>
          <w:rFonts w:eastAsia="宋体"/>
          <w:color w:val="000000"/>
          <w:lang w:val="de-DE"/>
        </w:rPr>
        <w:t>”</w:t>
      </w:r>
      <w:r>
        <w:rPr>
          <w:rFonts w:eastAsia="宋体"/>
          <w:color w:val="0000FF"/>
          <w:u w:val="single"/>
          <w:lang w:val="de-DE"/>
        </w:rPr>
        <w:t>(http://www.fda.gov/MedicalDevices/DeviceRegulationandGuidance/GuidanceDocuments/ucm089543.htm)</w:t>
      </w:r>
    </w:p>
  </w:footnote>
  <w:footnote w:id="8">
    <w:p w14:paraId="5644C408">
      <w:pPr>
        <w:pStyle w:val="9"/>
        <w:rPr>
          <w:rFonts w:eastAsia="宋体"/>
        </w:rPr>
      </w:pPr>
      <w:r>
        <w:rPr>
          <w:rStyle w:val="13"/>
          <w:rFonts w:eastAsia="宋体"/>
        </w:rPr>
        <w:footnoteRef/>
      </w:r>
      <w:r>
        <w:rPr>
          <w:rFonts w:eastAsia="宋体"/>
        </w:rPr>
        <w:t xml:space="preserve"> </w:t>
      </w:r>
      <w:r>
        <w:rPr>
          <w:rFonts w:eastAsia="宋体"/>
          <w:color w:val="000000"/>
        </w:rPr>
        <w:t>根据《FD&amp;C法案》第513(a)(1)(B)条，特别控制措施包括“颁布性能标准、上市后监督、患者登记、制定和传播指导文件（包括根据法案第510(k)条提交上市前通知中的临床数据的指导）、建议以及专员认为有必要提供这种保证的其他适当行动。”典型的特殊控制包括具体的性能测试要求，其中可能包括性能和/或临床测试，以及标签要求。</w:t>
      </w:r>
    </w:p>
  </w:footnote>
  <w:footnote w:id="9">
    <w:p w14:paraId="27215C3F">
      <w:pPr>
        <w:pStyle w:val="9"/>
        <w:rPr>
          <w:rFonts w:eastAsia="宋体"/>
        </w:rPr>
      </w:pPr>
      <w:r>
        <w:rPr>
          <w:rStyle w:val="13"/>
          <w:rFonts w:eastAsia="宋体"/>
        </w:rPr>
        <w:footnoteRef/>
      </w:r>
      <w:r>
        <w:rPr>
          <w:rFonts w:eastAsia="宋体"/>
        </w:rPr>
        <w:t xml:space="preserve"> </w:t>
      </w:r>
      <w:r>
        <w:rPr>
          <w:rFonts w:eastAsia="宋体"/>
          <w:color w:val="000000"/>
        </w:rPr>
        <w:t>《FD&amp;C法案》第201(m)条对标签的定义是：”所有标签和其他书面、印刷或图形材料（1）在任何物品或其任何容器或包装上，或（2）伴随该物品。”标签可包括包装插页、使用说明（适用于患者和/或医生）、服务手册等。</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587D5">
    <w:pPr>
      <w:pStyle w:val="8"/>
      <w:pBdr>
        <w:bottom w:val="none" w:color="auto" w:sz="0" w:space="0"/>
      </w:pBdr>
      <w:rPr>
        <w:b/>
        <w:bCs/>
        <w:i/>
        <w:iCs/>
        <w:sz w:val="21"/>
        <w:szCs w:val="21"/>
      </w:rPr>
    </w:pPr>
    <w:r>
      <w:rPr>
        <w:rFonts w:hint="eastAsia" w:eastAsia="宋体"/>
        <w:b/>
        <w:bCs/>
        <w:i/>
        <w:iCs/>
        <w:color w:val="000000"/>
        <w:sz w:val="21"/>
        <w:szCs w:val="21"/>
      </w:rPr>
      <w:t>所含建议不具约束力</w:t>
    </w:r>
  </w:p>
  <w:p w14:paraId="4AF8A476">
    <w:pPr>
      <w:pStyle w:val="8"/>
      <w:pBdr>
        <w:bottom w:val="none" w:color="auto" w:sz="0" w:space="0"/>
      </w:pBdr>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dit="readOnly" w:enforcement="0"/>
  <w:defaultTabStop w:val="720"/>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doNotValidateAgainstSchema/>
  <w:doNotDemarcateInvalidXml/>
  <w:footnotePr>
    <w:footnote w:id="20"/>
    <w:footnote w:id="21"/>
  </w:footnotePr>
  <w:compat>
    <w:spaceForUL/>
    <w:balanceSingleByteDoubleByteWidth/>
    <w:doNotLeaveBackslashAlone/>
    <w:ulTrailSpace/>
    <w:doNotExpandShiftReturn/>
    <w:adjustLineHeightInTable/>
    <w:useFELayout/>
    <w:compatSetting w:name="compatibilityMode" w:uri="http://schemas.microsoft.com/office/word" w:val="12"/>
  </w:compat>
  <w:rsids>
    <w:rsidRoot w:val="007B31B4"/>
    <w:rsid w:val="0000237B"/>
    <w:rsid w:val="00040E5E"/>
    <w:rsid w:val="000C2A2A"/>
    <w:rsid w:val="000D03CA"/>
    <w:rsid w:val="000F3EDA"/>
    <w:rsid w:val="00151771"/>
    <w:rsid w:val="00152A71"/>
    <w:rsid w:val="001926BE"/>
    <w:rsid w:val="00192E41"/>
    <w:rsid w:val="001A53FA"/>
    <w:rsid w:val="00214828"/>
    <w:rsid w:val="00217CC4"/>
    <w:rsid w:val="00233D6F"/>
    <w:rsid w:val="0029075F"/>
    <w:rsid w:val="002921D7"/>
    <w:rsid w:val="002B69D6"/>
    <w:rsid w:val="002D1309"/>
    <w:rsid w:val="003875A1"/>
    <w:rsid w:val="00397797"/>
    <w:rsid w:val="003D432E"/>
    <w:rsid w:val="003D509E"/>
    <w:rsid w:val="003E0410"/>
    <w:rsid w:val="003F4934"/>
    <w:rsid w:val="003F7A38"/>
    <w:rsid w:val="00423F5A"/>
    <w:rsid w:val="004E02DA"/>
    <w:rsid w:val="005B123D"/>
    <w:rsid w:val="00611007"/>
    <w:rsid w:val="00624750"/>
    <w:rsid w:val="006646CC"/>
    <w:rsid w:val="00727BE8"/>
    <w:rsid w:val="00791406"/>
    <w:rsid w:val="007B31B4"/>
    <w:rsid w:val="007D2603"/>
    <w:rsid w:val="009109AC"/>
    <w:rsid w:val="00932D31"/>
    <w:rsid w:val="00950697"/>
    <w:rsid w:val="00954823"/>
    <w:rsid w:val="009606DE"/>
    <w:rsid w:val="009C2FA5"/>
    <w:rsid w:val="00A5070A"/>
    <w:rsid w:val="00AF35FB"/>
    <w:rsid w:val="00B353E6"/>
    <w:rsid w:val="00BD290A"/>
    <w:rsid w:val="00BE08C7"/>
    <w:rsid w:val="00C35485"/>
    <w:rsid w:val="00C40053"/>
    <w:rsid w:val="00C735D7"/>
    <w:rsid w:val="00CA2575"/>
    <w:rsid w:val="00CE47FE"/>
    <w:rsid w:val="00D00DA5"/>
    <w:rsid w:val="00D119F5"/>
    <w:rsid w:val="00D843BA"/>
    <w:rsid w:val="00D84FB8"/>
    <w:rsid w:val="00DC6B04"/>
    <w:rsid w:val="00E34550"/>
    <w:rsid w:val="00E52B63"/>
    <w:rsid w:val="00ED0F86"/>
    <w:rsid w:val="00EF255C"/>
    <w:rsid w:val="00F11C09"/>
    <w:rsid w:val="00F360D7"/>
    <w:rsid w:val="00F7189F"/>
    <w:rsid w:val="00FC42BD"/>
    <w:rsid w:val="0C2A15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paragraph" w:styleId="2">
    <w:name w:val="heading 1"/>
    <w:basedOn w:val="1"/>
    <w:next w:val="1"/>
    <w:link w:val="17"/>
    <w:qFormat/>
    <w:uiPriority w:val="9"/>
    <w:pPr>
      <w:tabs>
        <w:tab w:val="left" w:pos="630"/>
        <w:tab w:val="left" w:pos="1274"/>
      </w:tabs>
      <w:snapToGrid w:val="0"/>
      <w:spacing w:beforeLines="100" w:afterLines="100"/>
      <w:jc w:val="both"/>
      <w:outlineLvl w:val="0"/>
    </w:pPr>
    <w:rPr>
      <w:b/>
      <w:bCs/>
      <w:sz w:val="36"/>
      <w:szCs w:val="36"/>
    </w:rPr>
  </w:style>
  <w:style w:type="paragraph" w:styleId="3">
    <w:name w:val="heading 2"/>
    <w:basedOn w:val="2"/>
    <w:next w:val="1"/>
    <w:link w:val="19"/>
    <w:unhideWhenUsed/>
    <w:qFormat/>
    <w:uiPriority w:val="9"/>
    <w:pPr>
      <w:spacing w:after="120"/>
      <w:outlineLvl w:val="1"/>
    </w:pPr>
    <w:rPr>
      <w:sz w:val="28"/>
      <w:szCs w:val="28"/>
    </w:rPr>
  </w:style>
  <w:style w:type="paragraph" w:styleId="4">
    <w:name w:val="heading 3"/>
    <w:basedOn w:val="1"/>
    <w:next w:val="1"/>
    <w:link w:val="20"/>
    <w:unhideWhenUsed/>
    <w:qFormat/>
    <w:uiPriority w:val="9"/>
    <w:pPr>
      <w:shd w:val="clear" w:color="auto" w:fill="FFFFFF"/>
      <w:snapToGrid w:val="0"/>
      <w:spacing w:beforeLines="100" w:afterLines="100"/>
      <w:jc w:val="both"/>
      <w:outlineLvl w:val="2"/>
    </w:pPr>
    <w:rPr>
      <w:rFonts w:eastAsia="宋体"/>
      <w:b/>
      <w:bCs/>
      <w:color w:val="000000"/>
      <w:sz w:val="24"/>
      <w:szCs w:val="24"/>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2"/>
    <w:semiHidden/>
    <w:unhideWhenUsed/>
    <w:uiPriority w:val="99"/>
  </w:style>
  <w:style w:type="paragraph" w:styleId="6">
    <w:name w:val="Balloon Text"/>
    <w:basedOn w:val="1"/>
    <w:link w:val="23"/>
    <w:semiHidden/>
    <w:unhideWhenUsed/>
    <w:uiPriority w:val="99"/>
    <w:rPr>
      <w:sz w:val="18"/>
      <w:szCs w:val="18"/>
    </w:rPr>
  </w:style>
  <w:style w:type="paragraph" w:styleId="7">
    <w:name w:val="footer"/>
    <w:basedOn w:val="1"/>
    <w:link w:val="16"/>
    <w:unhideWhenUsed/>
    <w:uiPriority w:val="99"/>
    <w:pPr>
      <w:tabs>
        <w:tab w:val="center" w:pos="4153"/>
        <w:tab w:val="right" w:pos="8306"/>
      </w:tabs>
      <w:snapToGrid w:val="0"/>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link w:val="18"/>
    <w:semiHidden/>
    <w:unhideWhenUsed/>
    <w:qFormat/>
    <w:uiPriority w:val="99"/>
    <w:pPr>
      <w:snapToGrid w:val="0"/>
    </w:pPr>
    <w:rPr>
      <w:sz w:val="18"/>
      <w:szCs w:val="18"/>
    </w:rPr>
  </w:style>
  <w:style w:type="character" w:styleId="12">
    <w:name w:val="annotation reference"/>
    <w:basedOn w:val="11"/>
    <w:semiHidden/>
    <w:unhideWhenUsed/>
    <w:qFormat/>
    <w:uiPriority w:val="99"/>
    <w:rPr>
      <w:sz w:val="21"/>
      <w:szCs w:val="21"/>
    </w:rPr>
  </w:style>
  <w:style w:type="character" w:styleId="13">
    <w:name w:val="footnote reference"/>
    <w:basedOn w:val="11"/>
    <w:semiHidden/>
    <w:unhideWhenUsed/>
    <w:uiPriority w:val="99"/>
    <w:rPr>
      <w:vertAlign w:val="superscript"/>
    </w:rPr>
  </w:style>
  <w:style w:type="paragraph" w:customStyle="1" w:styleId="14">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5">
    <w:name w:val="页眉 字符"/>
    <w:basedOn w:val="11"/>
    <w:link w:val="8"/>
    <w:qFormat/>
    <w:uiPriority w:val="99"/>
    <w:rPr>
      <w:rFonts w:ascii="Times New Roman" w:hAnsi="Times New Roman" w:cs="Times New Roman"/>
      <w:kern w:val="0"/>
      <w:sz w:val="18"/>
      <w:szCs w:val="18"/>
    </w:rPr>
  </w:style>
  <w:style w:type="character" w:customStyle="1" w:styleId="16">
    <w:name w:val="页脚 字符"/>
    <w:basedOn w:val="11"/>
    <w:link w:val="7"/>
    <w:qFormat/>
    <w:uiPriority w:val="99"/>
    <w:rPr>
      <w:rFonts w:ascii="Times New Roman" w:hAnsi="Times New Roman" w:cs="Times New Roman"/>
      <w:kern w:val="0"/>
      <w:sz w:val="18"/>
      <w:szCs w:val="18"/>
    </w:rPr>
  </w:style>
  <w:style w:type="character" w:customStyle="1" w:styleId="17">
    <w:name w:val="标题 1 字符"/>
    <w:basedOn w:val="11"/>
    <w:link w:val="2"/>
    <w:qFormat/>
    <w:uiPriority w:val="9"/>
    <w:rPr>
      <w:rFonts w:ascii="Times New Roman" w:hAnsi="Times New Roman" w:cs="Times New Roman"/>
      <w:b/>
      <w:bCs/>
      <w:kern w:val="0"/>
      <w:sz w:val="36"/>
      <w:szCs w:val="36"/>
    </w:rPr>
  </w:style>
  <w:style w:type="character" w:customStyle="1" w:styleId="18">
    <w:name w:val="脚注文本 字符"/>
    <w:basedOn w:val="11"/>
    <w:link w:val="9"/>
    <w:semiHidden/>
    <w:uiPriority w:val="99"/>
    <w:rPr>
      <w:rFonts w:ascii="Times New Roman" w:hAnsi="Times New Roman" w:cs="Times New Roman"/>
      <w:kern w:val="0"/>
      <w:sz w:val="18"/>
      <w:szCs w:val="18"/>
    </w:rPr>
  </w:style>
  <w:style w:type="character" w:customStyle="1" w:styleId="19">
    <w:name w:val="标题 2 字符"/>
    <w:basedOn w:val="11"/>
    <w:link w:val="3"/>
    <w:uiPriority w:val="9"/>
    <w:rPr>
      <w:rFonts w:ascii="Times New Roman" w:hAnsi="Times New Roman" w:cs="Times New Roman"/>
      <w:b/>
      <w:bCs/>
      <w:kern w:val="0"/>
      <w:sz w:val="28"/>
      <w:szCs w:val="28"/>
    </w:rPr>
  </w:style>
  <w:style w:type="character" w:customStyle="1" w:styleId="20">
    <w:name w:val="标题 3 字符"/>
    <w:basedOn w:val="11"/>
    <w:link w:val="4"/>
    <w:qFormat/>
    <w:uiPriority w:val="9"/>
    <w:rPr>
      <w:rFonts w:ascii="Times New Roman" w:hAnsi="Times New Roman" w:eastAsia="宋体" w:cs="Times New Roman"/>
      <w:b/>
      <w:bCs/>
      <w:color w:val="000000"/>
      <w:kern w:val="0"/>
      <w:sz w:val="24"/>
      <w:szCs w:val="24"/>
      <w:shd w:val="clear" w:color="auto" w:fill="FFFFFF"/>
    </w:rPr>
  </w:style>
  <w:style w:type="paragraph" w:styleId="21">
    <w:name w:val="No Spacing"/>
    <w:qFormat/>
    <w:uiPriority w:val="1"/>
    <w:pPr>
      <w:widowControl w:val="0"/>
      <w:autoSpaceDE w:val="0"/>
      <w:autoSpaceDN w:val="0"/>
      <w:adjustRightInd w:val="0"/>
    </w:pPr>
    <w:rPr>
      <w:rFonts w:ascii="Times New Roman" w:hAnsi="Times New Roman" w:cs="Times New Roman" w:eastAsiaTheme="minorEastAsia"/>
      <w:kern w:val="0"/>
      <w:sz w:val="20"/>
      <w:szCs w:val="20"/>
      <w:lang w:val="en-US" w:eastAsia="zh-CN" w:bidi="ar-SA"/>
    </w:rPr>
  </w:style>
  <w:style w:type="character" w:customStyle="1" w:styleId="22">
    <w:name w:val="批注文字 字符"/>
    <w:basedOn w:val="11"/>
    <w:link w:val="5"/>
    <w:semiHidden/>
    <w:qFormat/>
    <w:uiPriority w:val="99"/>
    <w:rPr>
      <w:rFonts w:ascii="Times New Roman" w:hAnsi="Times New Roman" w:cs="Times New Roman"/>
      <w:kern w:val="0"/>
      <w:sz w:val="20"/>
      <w:szCs w:val="20"/>
    </w:rPr>
  </w:style>
  <w:style w:type="character" w:customStyle="1" w:styleId="23">
    <w:name w:val="批注框文本 字符"/>
    <w:basedOn w:val="11"/>
    <w:link w:val="6"/>
    <w:semiHidden/>
    <w:qFormat/>
    <w:uiPriority w:val="99"/>
    <w:rPr>
      <w:rFonts w:ascii="Times New Roman" w:hAnsi="Times New Roman" w:cs="Times New Roman"/>
      <w:kern w:val="0"/>
      <w:sz w:val="18"/>
      <w:szCs w:val="18"/>
    </w:rPr>
  </w:style>
  <w:style w:type="paragraph" w:customStyle="1" w:styleId="24">
    <w:name w:val="Revision"/>
    <w:hidden/>
    <w:semiHidden/>
    <w:uiPriority w:val="99"/>
    <w:rPr>
      <w:rFonts w:ascii="Times New Roman" w:hAnsi="Times New Roman" w:cs="Times New Roman" w:eastAsiaTheme="minorEastAsia"/>
      <w:kern w:val="0"/>
      <w:sz w:val="20"/>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customShpInfo spid="_x0000_s1027"/>
    <customShpInfo spid="_x0000_s1028"/>
    <customShpInfo spid="_x0000_s1029"/>
    <customShpInfo spid="_x0000_s1030"/>
    <customShpInfo spid="_x0000_s1031"/>
    <customShpInfo spid="_x0000_s1052"/>
    <customShpInfo spid="_x0000_s1033"/>
    <customShpInfo spid="_x0000_s1034"/>
    <customShpInfo spid="_x0000_s1035"/>
    <customShpInfo spid="_x0000_s1036"/>
    <customShpInfo spid="_x0000_s1037"/>
    <customShpInfo spid="_x0000_s1038"/>
    <customShpInfo spid="_x0000_s1051"/>
    <customShpInfo spid="_x0000_s1040"/>
    <customShpInfo spid="_x0000_s1050"/>
    <customShpInfo spid="_x0000_s1042"/>
    <customShpInfo spid="_x0000_s1043"/>
    <customShpInfo spid="_x0000_s1044"/>
    <customShpInfo spid="_x0000_s1045"/>
    <customShpInfo spid="_x0000_s1046"/>
    <customShpInfo spid="_x0000_s1047"/>
    <customShpInfo spid="_x0000_s1048"/>
    <customShpInfo spid="_x0000_s1049"/>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FA5207-FF6E-46C3-AC17-F73487478FC9}">
  <ds:schemaRefs/>
</ds:datastoreItem>
</file>

<file path=docProps/app.xml><?xml version="1.0" encoding="utf-8"?>
<Properties xmlns="http://schemas.openxmlformats.org/officeDocument/2006/extended-properties" xmlns:vt="http://schemas.openxmlformats.org/officeDocument/2006/docPropsVTypes">
  <Template>Normal</Template>
  <Pages>17</Pages>
  <Words>9492</Words>
  <Characters>11893</Characters>
  <Lines>87</Lines>
  <Paragraphs>24</Paragraphs>
  <TotalTime>537</TotalTime>
  <ScaleCrop>false</ScaleCrop>
  <LinksUpToDate>false</LinksUpToDate>
  <CharactersWithSpaces>11986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2022-03-16T05:57:00Z</dcterms:created>
  <dc:creator>CDRH CBER</dc:creator>
  <cp:lastModifiedBy>太极箫客</cp:lastModifiedBy>
  <dcterms:modified xsi:type="dcterms:W3CDTF">2025-08-14T06:56:00Z</dcterms:modified>
  <dc:title>De Novo Classification Process (Evaluation of Automatic Class III Designation) - Guidance for Industry and Food and Drug Administration Staff</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F8C9F4090E794C41BF31EA72BF51FAAE_12</vt:lpwstr>
  </property>
</Properties>
</file>