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98AA">
      <w:pPr>
        <w:snapToGrid w:val="0"/>
        <w:spacing w:after="240" w:afterLines="100" w:line="300" w:lineRule="auto"/>
        <w:jc w:val="both"/>
        <w:rPr>
          <w:rFonts w:hint="eastAsia" w:ascii="Arial" w:hAnsi="Arial" w:eastAsia="宋体" w:cs="Arial"/>
          <w:sz w:val="24"/>
          <w:szCs w:val="24"/>
        </w:rPr>
      </w:pPr>
      <w:bookmarkStart w:id="1" w:name="_GoBack"/>
      <w:bookmarkEnd w:id="1"/>
    </w:p>
    <w:p w14:paraId="7C582B12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6DBA89E4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52"/>
          <w:szCs w:val="52"/>
        </w:rPr>
      </w:pPr>
      <w:r>
        <w:rPr>
          <w:rFonts w:ascii="Arial" w:hAnsi="Arial" w:eastAsia="宋体" w:cs="Arial"/>
          <w:b/>
          <w:sz w:val="52"/>
          <w:szCs w:val="52"/>
        </w:rPr>
        <w:t>提交至ODE编号I91-2的数据和信息完整性（蓝皮书备忘录）（仅文本）</w:t>
      </w:r>
    </w:p>
    <w:p w14:paraId="0629DEBF">
      <w:pPr>
        <w:pStyle w:val="2"/>
        <w:snapToGrid w:val="0"/>
        <w:spacing w:after="240" w:afterLines="100" w:line="30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该指南于1997年2月27日FDA</w:t>
      </w:r>
      <w:bookmarkStart w:id="0" w:name="OLE_LINK10"/>
      <w:r>
        <w:rPr>
          <w:rFonts w:ascii="Arial" w:hAnsi="Arial" w:cs="Arial"/>
          <w:sz w:val="24"/>
          <w:szCs w:val="24"/>
        </w:rPr>
        <w:t>药事指导质量管理规范</w:t>
      </w:r>
      <w:bookmarkEnd w:id="0"/>
      <w:r>
        <w:rPr>
          <w:rFonts w:ascii="Arial" w:hAnsi="Arial" w:cs="Arial"/>
          <w:sz w:val="24"/>
          <w:szCs w:val="24"/>
        </w:rPr>
        <w:t>（GGP）实施之前编制。其不会为任何人创造或赋予任何权利，也不会对FDA或公众产生约束。如果替代方法满足适用的法律法规或两者的要求，则可以使用该方法。本指南在下次修订时将会进行更新，以纳入GGP标准要素。</w:t>
      </w:r>
    </w:p>
    <w:p w14:paraId="00840045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32"/>
          <w:szCs w:val="32"/>
        </w:rPr>
      </w:pPr>
      <w:r>
        <w:rPr>
          <w:rFonts w:ascii="Arial" w:hAnsi="Arial" w:eastAsia="宋体" w:cs="Arial"/>
          <w:b/>
          <w:sz w:val="32"/>
          <w:szCs w:val="32"/>
        </w:rPr>
        <w:t>完整备忘录G91-2</w:t>
      </w:r>
    </w:p>
    <w:p w14:paraId="09345758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b/>
          <w:bCs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br w:type="page"/>
      </w:r>
    </w:p>
    <w:p w14:paraId="64330849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1991年5月29日</w:t>
      </w:r>
    </w:p>
    <w:p w14:paraId="67829F71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完整备忘录编号I91-2</w:t>
      </w:r>
    </w:p>
    <w:p w14:paraId="4D708761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提交至ODE的数据和信息完整性</w:t>
      </w:r>
    </w:p>
    <w:p w14:paraId="492A6695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目的</w:t>
      </w:r>
    </w:p>
    <w:p w14:paraId="253271F5">
      <w:pPr>
        <w:pStyle w:val="2"/>
        <w:tabs>
          <w:tab w:val="left" w:pos="2420"/>
          <w:tab w:val="left" w:pos="3957"/>
          <w:tab w:val="left" w:pos="6390"/>
        </w:tabs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该蓝色备忘录旨在规定ODE员工在有任何PMA、IDE或510（K）提交材料中有关数据和信息完整性的问题时需要遵循的程序。我们希望审查人员注意由ODE审查的提交材料中是否有不准确、扣留或其他错误数据。例如，数据可能是虚构的或器械设计可能表明性能数据不可用。</w:t>
      </w:r>
    </w:p>
    <w:p w14:paraId="7226F4CD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程序</w:t>
      </w:r>
    </w:p>
    <w:p w14:paraId="62D99E84">
      <w:pPr>
        <w:pStyle w:val="2"/>
        <w:tabs>
          <w:tab w:val="left" w:pos="1908"/>
          <w:tab w:val="left" w:pos="7030"/>
        </w:tabs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如果审查员对提交给ODE（与任何正式提交有关）的数据和信息完整性有任何疑问，应通过监管渠道向上级部门反馈该问题。如果上级领导认为有必要验证提交材料中的数据和信息完整性，则其应告知ODE完整性协调员。完整性协调员将会就该问题与适当的项目运营管理人员进行讨论，如果需要采取进一步措施，则将该问题上报给ODE/OCS以启动检查程序，检查负责ODE/OCS数据或信息存在问题的提交材料的人员。数据完整性确定之前不会清除提交给OCS验证数据的提交材料。</w:t>
      </w:r>
    </w:p>
    <w:p w14:paraId="3266BCFD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中期，根据确定的审查程序处理该提交材料。</w:t>
      </w:r>
    </w:p>
    <w:p w14:paraId="4C2F5982">
      <w:pPr>
        <w:snapToGrid w:val="0"/>
        <w:spacing w:after="240" w:afterLines="100" w:line="36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完整性研究员应随时通知主任、ODE和适当的部门负责人这些程序要求的任何检查。</w:t>
      </w:r>
    </w:p>
    <w:p w14:paraId="5B1E29E2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生效日期</w:t>
      </w:r>
    </w:p>
    <w:p w14:paraId="022CE904">
      <w:pPr>
        <w:pStyle w:val="2"/>
        <w:snapToGrid w:val="0"/>
        <w:spacing w:after="240" w:afterLines="1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这些程序可</w:t>
      </w:r>
      <w:r>
        <w:rPr>
          <w:rFonts w:hint="eastAsia" w:ascii="Arial" w:hAnsi="Arial" w:cs="Arial"/>
          <w:sz w:val="24"/>
          <w:szCs w:val="24"/>
        </w:rPr>
        <w:t>即刻</w:t>
      </w:r>
      <w:r>
        <w:rPr>
          <w:rFonts w:ascii="Arial" w:hAnsi="Arial" w:cs="Arial"/>
          <w:sz w:val="24"/>
          <w:szCs w:val="24"/>
        </w:rPr>
        <w:t>生效。</w:t>
      </w:r>
    </w:p>
    <w:p w14:paraId="3DF8459A">
      <w:pPr>
        <w:pStyle w:val="2"/>
        <w:snapToGrid w:val="0"/>
        <w:spacing w:after="240" w:afterLines="100" w:line="30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7"/>
        <w:tblW w:w="5000" w:type="pct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44F11AF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4FED9405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"https://www.fda.gov/MedicalDevices/DeviceRegulationandGuidance/GuidanceDocuments/default.htm"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指导性文件更多信息（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医疗器械和辐射产品）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（/MedicalDevices/Device RegulationandGuidance/Guidance Documents/default.htm）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01D6F1E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</w:tcBorders>
          </w:tcPr>
          <w:p w14:paraId="15BBE106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跨中心最终指南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"https://www.fda.gov/MedicalDevices/DeviceRegulationandGuidance/GuidanceDocuments/ucm081752.htm"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（/MedicalDevices/Device RegulationandGuidance/Guidance Documents/ucm081752.htm）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64E2C4A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0FB6836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合规办公室最终指南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"https://www.fda.gov/MedicalDevices/DeviceRegulationandGuidance/GuidanceDocuments/ucm070269.htm"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（/MedicalDevices/Device RegulationandGuidance/Guidance Documents/ucm070269.htm）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368B562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ABFB69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中心负责人办公室最终指南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"https://www.fda.gov/MedicalDevices/DeviceRegulationandGuidance/GuidanceDocuments/ucm110228.htm"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（/MedicalDevices/Device RegulationandGuidance/Guidance Documents/ucm110228.htm）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0C9B482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10366B7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交流和教育办公室最终指南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"https://www.fda.gov/MedicalDevices/DeviceRegulationandGuidance/GuidanceDocuments/ucm070271.htm"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（/MedicalDevices/Device RegulationandGuidance/Guidance Documents/ucm070271.htm）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131E952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C7BCB5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器械评估办公室最终指南 2010 – 2016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"https://www.fda.gov/MedicalDevices/DeviceRegulationandGuidance/GuidanceDocuments/ucm198577.htm"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（/MedicalDevices/Device RegulationandGuidance/Guidance Documents/ucm198577.htm）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2F63E80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2752267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器械评估办公室最终指南 1998 – 2009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"https://www.fda.gov/MedicalDevices/DeviceRegulationandGuidance/GuidanceDocuments/ucm070272.htm"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（/MedicalDevices/Device RegulationandGuidance/Guidance Documents/ucm070272.htm）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</w:p>
        </w:tc>
      </w:tr>
      <w:tr w14:paraId="7718B8F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ED4984D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器械评估办公室最终指南 1976 – 1997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"https://www.fda.gov/MedicalDevices/DeviceRegulationandGuidance/GuidanceDocuments/ucm080283.htm"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（/MedicalDevices/Device RegulationandGuidance/Guidance Documents/ucm080283.htm）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</w:p>
        </w:tc>
      </w:tr>
      <w:tr w14:paraId="0CD1973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E7F5109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体外诊断试剂和放射卫生办公室最终指南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"https://www.fda.gov/MedicalDevices/DeviceRegulationandGuidance/GuidanceDocuments/ucm070274.htm"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（/MedicalDevices/Device RegulationandGuidance/Guidance Documents/ucm070274.htm）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</w:p>
        </w:tc>
      </w:tr>
      <w:tr w14:paraId="3DE0D4B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0EBF03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监管和生物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t>统计学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办公室最终指南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"https://www.fda.gov/MedicalDevices/DeviceRegulationandGuidance/GuidanceDocuments/ucm070275.htm"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（/MedicalDevices/Device RegulationandGuidance/Guidance Documents/ucm070275.htm）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</w:p>
        </w:tc>
      </w:tr>
      <w:tr w14:paraId="7D30BD2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36BC852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科学和工程实验室办公室最终指南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"https://www.fda.gov/MedicalDevices/DeviceRegulationandGuidance/GuidanceDocuments/ucm070277.htm"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（/MedicalDevices/Device RegulationandGuidance/Guidance Documents/ucm070277.htm）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</w:p>
        </w:tc>
      </w:tr>
      <w:tr w14:paraId="32751F7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252D715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草案指南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fldChar w:fldCharType="begin"/>
            </w:r>
            <w:r>
              <w:instrText xml:space="preserve"> HYPERLINK "https://www.fda.gov/MedicalDevices/DeviceRegulationandGuidance/GuidanceDocuments/ucm407274.htm"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（/MedicalDevices/Device RegulationandGuidance/Guidance Documents/ucm407274.htm）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</w:p>
        </w:tc>
      </w:tr>
      <w:tr w14:paraId="32A4536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3AD6C31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"https://www.fda.gov/MedicalDevices/DeviceRegulationandGuidance/GuidanceDocuments/ucm283507.htm"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辐射产品指南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fldChar w:fldCharType="end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t>(/MedicalDevices/DeviceRegulationandGuidance/GuidanceDocuments/ucm283507.htm)</w:t>
            </w:r>
          </w:p>
        </w:tc>
      </w:tr>
      <w:tr w14:paraId="12F570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88468D5">
            <w:pPr>
              <w:pStyle w:val="9"/>
              <w:snapToGrid w:val="0"/>
              <w:spacing w:before="120" w:beforeLines="50" w:after="120" w:afterLines="50" w:line="288" w:lineRule="auto"/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t>退出指南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  <w:u w:val="single"/>
              </w:rPr>
              <w:t>（/MedicalDevices/DeviceRegulationandGuidance/GuidanceDocuments/ucm425025.htm）</w:t>
            </w:r>
          </w:p>
        </w:tc>
      </w:tr>
    </w:tbl>
    <w:p w14:paraId="687DA7B0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b/>
          <w:sz w:val="24"/>
          <w:szCs w:val="24"/>
        </w:rPr>
      </w:pPr>
    </w:p>
    <w:p w14:paraId="109BE2C6">
      <w:pPr>
        <w:snapToGrid w:val="0"/>
        <w:spacing w:after="240" w:afterLines="100" w:line="300" w:lineRule="auto"/>
        <w:jc w:val="both"/>
        <w:rPr>
          <w:rFonts w:hint="eastAsia" w:eastAsia="宋体"/>
          <w:lang w:eastAsia="zh-CN"/>
        </w:rPr>
      </w:pPr>
    </w:p>
    <w:p w14:paraId="1BA03AF6">
      <w:pPr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</w:p>
    <w:p w14:paraId="026D6833">
      <w:pPr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7" w:h="16839"/>
      <w:pgMar w:top="1134" w:right="1440" w:bottom="1134" w:left="1440" w:header="283" w:footer="28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CAD9">
    <w:pPr>
      <w:tabs>
        <w:tab w:val="right" w:pos="9029"/>
      </w:tabs>
      <w:spacing w:line="184" w:lineRule="exact"/>
      <w:ind w:left="40"/>
      <w:rPr>
        <w:rFonts w:ascii="Arial" w:hAnsi="Arial" w:eastAsia="宋体" w:cs="Arial"/>
        <w:sz w:val="16"/>
        <w:szCs w:val="16"/>
      </w:rPr>
    </w:pPr>
    <w:r>
      <w:rPr>
        <w:rFonts w:ascii="Arial" w:hAnsi="Arial" w:eastAsia="宋体" w:cs="Arial"/>
        <w:sz w:val="16"/>
        <w:szCs w:val="16"/>
      </w:rPr>
      <w:t>https://</w:t>
    </w:r>
    <w:r>
      <w:fldChar w:fldCharType="begin"/>
    </w:r>
    <w:r>
      <w:instrText xml:space="preserve"> HYPERLINK "http://www.fda.gov/MedicalDevices/DeviceRegulationandGuidance/GuidanceDocuments/ucm081362.htm" \h </w:instrText>
    </w:r>
    <w:r>
      <w:fldChar w:fldCharType="separate"/>
    </w:r>
    <w:r>
      <w:rPr>
        <w:rFonts w:ascii="Arial" w:hAnsi="Arial" w:eastAsia="宋体" w:cs="Arial"/>
        <w:sz w:val="16"/>
        <w:szCs w:val="16"/>
      </w:rPr>
      <w:t>www.fda.gov/MedicalDevices/DeviceRegulationandGuidance/GuidanceDocuments/ucm081362.htm</w:t>
    </w:r>
    <w:r>
      <w:rPr>
        <w:rFonts w:ascii="Arial" w:hAnsi="Arial" w:eastAsia="宋体" w:cs="Arial"/>
        <w:sz w:val="16"/>
        <w:szCs w:val="16"/>
      </w:rPr>
      <w:fldChar w:fldCharType="end"/>
    </w:r>
    <w:r>
      <w:rPr>
        <w:rFonts w:ascii="Arial" w:hAnsi="Arial" w:eastAsia="宋体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eastAsia="宋体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eastAsia="宋体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eastAsia="宋体" w:cs="Arial"/>
        <w:sz w:val="16"/>
        <w:szCs w:val="16"/>
      </w:rPr>
      <w:t>/4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841F">
    <w:pPr>
      <w:snapToGrid w:val="0"/>
      <w:spacing w:line="300" w:lineRule="auto"/>
      <w:ind w:left="20"/>
      <w:rPr>
        <w:rFonts w:ascii="Arial" w:hAnsi="Arial" w:eastAsia="宋体" w:cs="Arial"/>
        <w:sz w:val="16"/>
        <w:szCs w:val="16"/>
      </w:rPr>
    </w:pPr>
    <w:r>
      <w:rPr>
        <w:rFonts w:hint="eastAsia" w:ascii="Arial" w:hAnsi="Arial" w:eastAsia="宋体"/>
        <w:sz w:val="16"/>
        <w:szCs w:val="16"/>
      </w:rPr>
      <w:t>2017/8/10  指导性文件（医疗器械和辐射产品）&gt; 提交至ODE编号I91-2的数据和信息完整性（蓝皮书备忘录）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43"/>
    <w:rsid w:val="00185B93"/>
    <w:rsid w:val="001E785C"/>
    <w:rsid w:val="002008DD"/>
    <w:rsid w:val="00284448"/>
    <w:rsid w:val="002C62A3"/>
    <w:rsid w:val="0034551F"/>
    <w:rsid w:val="004F0FD1"/>
    <w:rsid w:val="0060338D"/>
    <w:rsid w:val="00655939"/>
    <w:rsid w:val="00671E8B"/>
    <w:rsid w:val="006C552C"/>
    <w:rsid w:val="00713FB7"/>
    <w:rsid w:val="00715A28"/>
    <w:rsid w:val="0085271E"/>
    <w:rsid w:val="00A111B9"/>
    <w:rsid w:val="00A11F47"/>
    <w:rsid w:val="00AD7790"/>
    <w:rsid w:val="00BB6C43"/>
    <w:rsid w:val="00BC09FA"/>
    <w:rsid w:val="00C2415E"/>
    <w:rsid w:val="00C62296"/>
    <w:rsid w:val="00C62913"/>
    <w:rsid w:val="00CC1912"/>
    <w:rsid w:val="00D22C71"/>
    <w:rsid w:val="00DC3591"/>
    <w:rsid w:val="00E06F47"/>
    <w:rsid w:val="00EA453F"/>
    <w:rsid w:val="00EC32D4"/>
    <w:rsid w:val="00FB1E66"/>
    <w:rsid w:val="00FE6017"/>
    <w:rsid w:val="50C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6"/>
    </w:pPr>
    <w:rPr>
      <w:rFonts w:ascii="宋体" w:hAnsi="宋体" w:eastAsia="宋体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801</Words>
  <Characters>1893</Characters>
  <Lines>24</Lines>
  <Paragraphs>6</Paragraphs>
  <TotalTime>0</TotalTime>
  <ScaleCrop>false</ScaleCrop>
  <LinksUpToDate>false</LinksUpToDate>
  <CharactersWithSpaces>1926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2017-12-18T14:52:00Z</dcterms:created>
  <dc:creator>cathy-wen</dc:creator>
  <cp:lastModifiedBy>太极箫客</cp:lastModifiedBy>
  <dcterms:modified xsi:type="dcterms:W3CDTF">2025-08-14T06:55:11Z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6E52165EDD034C19BB98C27A98BE93F5_12</vt:lpwstr>
  </property>
</Properties>
</file>