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D881">
      <w:pPr>
        <w:topLinePunct/>
        <w:adjustRightInd w:val="0"/>
        <w:snapToGrid w:val="0"/>
        <w:spacing w:after="224" w:afterLines="75" w:line="288" w:lineRule="auto"/>
        <w:jc w:val="both"/>
        <w:rPr>
          <w:rFonts w:ascii="Arial" w:hAnsi="Arial" w:eastAsia="宋体" w:cs="Arial"/>
          <w:snapToGrid w:val="0"/>
          <w:sz w:val="28"/>
          <w:szCs w:val="36"/>
        </w:rPr>
      </w:pPr>
      <w:bookmarkStart w:id="36" w:name="_GoBack"/>
      <w:bookmarkEnd w:id="36"/>
      <w:r>
        <w:rPr>
          <w:rFonts w:hint="eastAsia" w:ascii="宋体" w:hAnsi="宋体" w:eastAsia="宋体" w:cs="Arial"/>
          <w:snapToGrid w:val="0"/>
          <w:sz w:val="28"/>
        </w:rPr>
        <w:t>“</w:t>
      </w:r>
      <w:r>
        <w:rPr>
          <w:rFonts w:hint="eastAsia" w:ascii="Arial" w:hAnsi="Arial" w:eastAsia="宋体" w:cs="Arial"/>
          <w:snapToGrid w:val="0"/>
          <w:sz w:val="28"/>
        </w:rPr>
        <w:t>21世纪治愈法案</w:t>
      </w:r>
      <w:r>
        <w:rPr>
          <w:rFonts w:hint="eastAsia" w:ascii="宋体" w:hAnsi="宋体" w:eastAsia="宋体" w:cs="Arial"/>
          <w:snapToGrid w:val="0"/>
          <w:sz w:val="28"/>
        </w:rPr>
        <w:t>”</w:t>
      </w:r>
      <w:r>
        <w:rPr>
          <w:rFonts w:hint="eastAsia" w:ascii="Arial" w:hAnsi="Arial" w:eastAsia="宋体" w:cs="Arial"/>
          <w:snapToGrid w:val="0"/>
          <w:sz w:val="28"/>
        </w:rPr>
        <w:t>（治愈法）于2016年12月13日</w:t>
      </w:r>
      <w:bookmarkStart w:id="0" w:name="OLE_LINK6"/>
      <w:bookmarkStart w:id="1" w:name="OLE_LINK7"/>
      <w:r>
        <w:rPr>
          <w:rFonts w:hint="eastAsia" w:ascii="Arial" w:hAnsi="Arial" w:eastAsia="宋体" w:cs="Arial"/>
          <w:snapToGrid w:val="0"/>
          <w:sz w:val="28"/>
        </w:rPr>
        <w:t>签署成法</w:t>
      </w:r>
      <w:bookmarkEnd w:id="0"/>
      <w:bookmarkEnd w:id="1"/>
      <w:r>
        <w:rPr>
          <w:rFonts w:hint="eastAsia" w:ascii="Arial" w:hAnsi="Arial" w:eastAsia="宋体" w:cs="Arial"/>
          <w:snapToGrid w:val="0"/>
          <w:sz w:val="28"/>
        </w:rPr>
        <w:t>，其修正了</w:t>
      </w:r>
      <w:r>
        <w:rPr>
          <w:rFonts w:hint="eastAsia" w:ascii="宋体" w:hAnsi="宋体" w:eastAsia="宋体" w:cs="Arial"/>
          <w:snapToGrid w:val="0"/>
          <w:sz w:val="28"/>
        </w:rPr>
        <w:t>“</w:t>
      </w:r>
      <w:r>
        <w:rPr>
          <w:rFonts w:hint="eastAsia" w:ascii="Arial" w:hAnsi="Arial" w:eastAsia="宋体" w:cs="Arial"/>
          <w:snapToGrid w:val="0"/>
          <w:sz w:val="28"/>
        </w:rPr>
        <w:t>联邦食品、药品和化妆品法案</w:t>
      </w:r>
      <w:r>
        <w:rPr>
          <w:rFonts w:hint="eastAsia" w:ascii="宋体" w:hAnsi="宋体" w:eastAsia="宋体" w:cs="Arial"/>
          <w:snapToGrid w:val="0"/>
          <w:sz w:val="28"/>
        </w:rPr>
        <w:t>”</w:t>
      </w:r>
      <w:r>
        <w:rPr>
          <w:rFonts w:hint="eastAsia" w:ascii="Arial" w:hAnsi="Arial" w:eastAsia="宋体" w:cs="Arial"/>
          <w:snapToGrid w:val="0"/>
          <w:sz w:val="28"/>
        </w:rPr>
        <w:t>的若干条款。本指南于</w:t>
      </w:r>
      <w:r>
        <w:rPr>
          <w:rFonts w:hint="eastAsia" w:ascii="宋体" w:hAnsi="宋体" w:eastAsia="宋体" w:cs="Arial"/>
          <w:snapToGrid w:val="0"/>
          <w:sz w:val="28"/>
        </w:rPr>
        <w:t>“</w:t>
      </w:r>
      <w:r>
        <w:rPr>
          <w:rFonts w:hint="eastAsia" w:ascii="Arial" w:hAnsi="Arial" w:eastAsia="宋体" w:cs="Arial"/>
          <w:snapToGrid w:val="0"/>
          <w:sz w:val="28"/>
        </w:rPr>
        <w:t>治愈法</w:t>
      </w:r>
      <w:r>
        <w:rPr>
          <w:rFonts w:hint="eastAsia" w:ascii="宋体" w:hAnsi="宋体" w:eastAsia="宋体" w:cs="Arial"/>
          <w:snapToGrid w:val="0"/>
          <w:sz w:val="28"/>
        </w:rPr>
        <w:t>”</w:t>
      </w:r>
      <w:r>
        <w:rPr>
          <w:rFonts w:hint="eastAsia" w:ascii="Arial" w:hAnsi="Arial" w:eastAsia="宋体" w:cs="Arial"/>
          <w:snapToGrid w:val="0"/>
          <w:sz w:val="28"/>
        </w:rPr>
        <w:t>颁布之前制定和发布，因此，本指南的某些部分可能不再适用。FDA正在评估如何修改本指南，以便其能代表本机构目前对此主题的思考。有关更多信息，请联系</w:t>
      </w:r>
      <w:r>
        <w:fldChar w:fldCharType="begin"/>
      </w:r>
      <w:r>
        <w:instrText xml:space="preserve"> HYPERLINK "mailto:CDRH-Cures@fda.hhs.gov" \h </w:instrText>
      </w:r>
      <w:r>
        <w:fldChar w:fldCharType="separate"/>
      </w:r>
      <w:r>
        <w:rPr>
          <w:rFonts w:hint="eastAsia" w:ascii="Arial" w:hAnsi="Arial" w:eastAsia="宋体" w:cs="Arial"/>
          <w:snapToGrid w:val="0"/>
          <w:color w:val="0000FF"/>
          <w:sz w:val="28"/>
          <w:u w:val="single" w:color="0000FF"/>
        </w:rPr>
        <w:t>CDRH-Cures@fda.hhs.gov</w:t>
      </w:r>
      <w:r>
        <w:rPr>
          <w:rFonts w:hint="eastAsia" w:ascii="Arial" w:hAnsi="Arial" w:eastAsia="宋体" w:cs="Arial"/>
          <w:snapToGrid w:val="0"/>
          <w:color w:val="0000FF"/>
          <w:sz w:val="28"/>
          <w:u w:val="single" w:color="0000FF"/>
        </w:rPr>
        <w:fldChar w:fldCharType="end"/>
      </w:r>
      <w:r>
        <w:rPr>
          <w:rFonts w:hint="eastAsia" w:ascii="Arial" w:hAnsi="Arial" w:eastAsia="宋体" w:cs="Arial"/>
          <w:snapToGrid w:val="0"/>
          <w:sz w:val="28"/>
        </w:rPr>
        <w:t>。</w:t>
      </w:r>
    </w:p>
    <w:p w14:paraId="2FD36FAB">
      <w:pPr>
        <w:pBdr>
          <w:bottom w:val="double" w:color="auto" w:sz="4" w:space="1"/>
        </w:pBdr>
        <w:topLinePunct/>
        <w:adjustRightInd w:val="0"/>
        <w:snapToGrid w:val="0"/>
        <w:spacing w:after="224" w:afterLines="75" w:line="288" w:lineRule="auto"/>
        <w:jc w:val="center"/>
        <w:rPr>
          <w:rFonts w:ascii="Arial" w:hAnsi="Arial" w:eastAsia="宋体" w:cs="Arial"/>
          <w:snapToGrid w:val="0"/>
          <w:sz w:val="44"/>
          <w:szCs w:val="56"/>
        </w:rPr>
      </w:pPr>
      <w:r>
        <w:rPr>
          <w:rFonts w:ascii="Arial" w:hAnsi="Arial" w:eastAsia="宋体" w:cs="Arial"/>
          <w:snapToGrid w:val="0"/>
          <w:sz w:val="24"/>
          <w:szCs w:val="36"/>
        </w:rPr>
        <w:br w:type="page"/>
      </w:r>
      <w:r>
        <w:rPr>
          <w:rFonts w:hint="eastAsia" w:ascii="Arial" w:hAnsi="Arial" w:eastAsia="宋体" w:cs="Arial"/>
          <w:b/>
          <w:snapToGrid w:val="0"/>
          <w:sz w:val="44"/>
        </w:rPr>
        <w:t>快速审查用于致命性或不可逆衰竭性疾病或病症的未满足医疗需求的上市前批准和医疗器械再次申请</w:t>
      </w:r>
    </w:p>
    <w:p w14:paraId="7F442F9F">
      <w:pPr>
        <w:tabs>
          <w:tab w:val="left" w:pos="3511"/>
          <w:tab w:val="left" w:pos="9512"/>
        </w:tabs>
        <w:topLinePunct/>
        <w:adjustRightInd w:val="0"/>
        <w:snapToGrid w:val="0"/>
        <w:spacing w:after="224" w:afterLines="75" w:line="288" w:lineRule="auto"/>
        <w:jc w:val="center"/>
        <w:rPr>
          <w:rFonts w:ascii="Arial" w:hAnsi="Arial" w:eastAsia="宋体" w:cs="Arial"/>
          <w:snapToGrid w:val="0"/>
          <w:sz w:val="44"/>
          <w:szCs w:val="56"/>
        </w:rPr>
      </w:pPr>
      <w:r>
        <w:rPr>
          <w:rFonts w:hint="eastAsia" w:ascii="Arial" w:hAnsi="Arial" w:eastAsia="宋体" w:cs="Arial"/>
          <w:b/>
          <w:snapToGrid w:val="0"/>
          <w:sz w:val="44"/>
        </w:rPr>
        <w:t>行业和食品药品监督管理局工作人员指南</w:t>
      </w:r>
    </w:p>
    <w:p w14:paraId="600F06F5">
      <w:pPr>
        <w:pStyle w:val="4"/>
        <w:topLinePunct/>
        <w:adjustRightInd w:val="0"/>
        <w:snapToGrid w:val="0"/>
        <w:spacing w:after="224" w:afterLines="75" w:line="288" w:lineRule="auto"/>
        <w:ind w:left="0" w:firstLine="0"/>
        <w:jc w:val="center"/>
        <w:rPr>
          <w:rFonts w:ascii="Arial" w:hAnsi="Arial" w:cs="Arial"/>
          <w:b w:val="0"/>
          <w:bCs w:val="0"/>
          <w:snapToGrid w:val="0"/>
          <w:sz w:val="24"/>
        </w:rPr>
      </w:pPr>
      <w:r>
        <w:rPr>
          <w:rFonts w:hint="eastAsia" w:ascii="Arial" w:hAnsi="Arial" w:cs="Arial"/>
          <w:snapToGrid w:val="0"/>
          <w:sz w:val="24"/>
        </w:rPr>
        <w:t>文档于2015年4月13日发布。</w:t>
      </w:r>
    </w:p>
    <w:p w14:paraId="08651971">
      <w:pPr>
        <w:pStyle w:val="4"/>
        <w:topLinePunct/>
        <w:adjustRightInd w:val="0"/>
        <w:snapToGrid w:val="0"/>
        <w:spacing w:after="224" w:afterLines="75" w:line="288" w:lineRule="auto"/>
        <w:ind w:left="0" w:firstLine="0"/>
        <w:jc w:val="center"/>
        <w:rPr>
          <w:rFonts w:ascii="Arial" w:hAnsi="Arial" w:cs="Arial"/>
          <w:b w:val="0"/>
          <w:bCs w:val="0"/>
          <w:snapToGrid w:val="0"/>
          <w:sz w:val="24"/>
        </w:rPr>
      </w:pPr>
      <w:r>
        <w:rPr>
          <w:rFonts w:hint="eastAsia" w:ascii="Arial" w:hAnsi="Arial" w:cs="Arial"/>
          <w:snapToGrid w:val="0"/>
          <w:sz w:val="24"/>
        </w:rPr>
        <w:t>本文档草案于2014年4月23日发布。</w:t>
      </w:r>
    </w:p>
    <w:p w14:paraId="48C633FD">
      <w:pPr>
        <w:pStyle w:val="7"/>
        <w:topLinePunct/>
        <w:adjustRightInd w:val="0"/>
        <w:snapToGrid w:val="0"/>
        <w:spacing w:after="224" w:afterLines="75" w:line="288" w:lineRule="auto"/>
        <w:ind w:left="0"/>
        <w:jc w:val="both"/>
        <w:rPr>
          <w:rFonts w:ascii="Arial" w:hAnsi="Arial" w:cs="Arial"/>
          <w:snapToGrid w:val="0"/>
        </w:rPr>
      </w:pPr>
    </w:p>
    <w:p w14:paraId="7C5044EC">
      <w:pPr>
        <w:pStyle w:val="7"/>
        <w:topLinePunct/>
        <w:adjustRightInd w:val="0"/>
        <w:snapToGrid w:val="0"/>
        <w:spacing w:after="224" w:afterLines="75" w:line="288" w:lineRule="auto"/>
        <w:ind w:left="0"/>
        <w:jc w:val="both"/>
        <w:rPr>
          <w:rFonts w:ascii="Arial" w:hAnsi="Arial" w:cs="Arial"/>
          <w:snapToGrid w:val="0"/>
        </w:rPr>
      </w:pPr>
    </w:p>
    <w:p w14:paraId="7055E9E4">
      <w:pPr>
        <w:pStyle w:val="7"/>
        <w:topLinePunct/>
        <w:adjustRightInd w:val="0"/>
        <w:snapToGrid w:val="0"/>
        <w:spacing w:after="224" w:afterLines="75" w:line="288" w:lineRule="auto"/>
        <w:ind w:left="0"/>
        <w:jc w:val="both"/>
        <w:rPr>
          <w:rFonts w:ascii="Arial" w:hAnsi="Arial" w:cs="Arial"/>
          <w:snapToGrid w:val="0"/>
        </w:rPr>
      </w:pPr>
    </w:p>
    <w:p w14:paraId="334D7D2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针对本文档的CDRH监管器械问题，请致电中心主任办公室，电话：301-796-5900。针对本文档的CBER监管器械问题，请致电CBER，交流、外联和开发办公室（OCOD），电话：1-800-835-4709或240-402-7800。</w:t>
      </w:r>
    </w:p>
    <w:p w14:paraId="77882E47">
      <w:pPr>
        <w:pStyle w:val="5"/>
        <w:topLinePunct/>
        <w:adjustRightInd w:val="0"/>
        <w:snapToGrid w:val="0"/>
        <w:spacing w:after="224" w:afterLines="75" w:line="288" w:lineRule="auto"/>
        <w:ind w:left="0"/>
        <w:jc w:val="right"/>
        <w:rPr>
          <w:rFonts w:ascii="Arial" w:hAnsi="Arial" w:cs="Arial"/>
          <w:snapToGrid w:val="0"/>
        </w:rPr>
      </w:pPr>
    </w:p>
    <w:p w14:paraId="0E997E92">
      <w:pPr>
        <w:pStyle w:val="5"/>
        <w:topLinePunct/>
        <w:adjustRightInd w:val="0"/>
        <w:snapToGrid w:val="0"/>
        <w:spacing w:after="224" w:afterLines="75" w:line="288" w:lineRule="auto"/>
        <w:ind w:left="0"/>
        <w:jc w:val="right"/>
        <w:rPr>
          <w:rFonts w:ascii="Arial" w:hAnsi="Arial" w:cs="Arial"/>
          <w:snapToGrid w:val="0"/>
        </w:rPr>
      </w:pPr>
    </w:p>
    <w:p w14:paraId="3D329A00">
      <w:pPr>
        <w:pStyle w:val="5"/>
        <w:topLinePunct/>
        <w:adjustRightInd w:val="0"/>
        <w:snapToGrid w:val="0"/>
        <w:spacing w:after="224" w:afterLines="75" w:line="288" w:lineRule="auto"/>
        <w:ind w:left="0"/>
        <w:jc w:val="right"/>
        <w:rPr>
          <w:rFonts w:ascii="Arial" w:hAnsi="Arial" w:cs="Arial"/>
          <w:snapToGrid w:val="0"/>
        </w:rPr>
      </w:pPr>
    </w:p>
    <w:p w14:paraId="57B7F6C3">
      <w:pPr>
        <w:pStyle w:val="5"/>
        <w:topLinePunct/>
        <w:adjustRightInd w:val="0"/>
        <w:snapToGrid w:val="0"/>
        <w:spacing w:after="224" w:afterLines="75" w:line="288" w:lineRule="auto"/>
        <w:ind w:left="0"/>
        <w:jc w:val="right"/>
        <w:rPr>
          <w:rFonts w:ascii="Arial" w:hAnsi="Arial" w:cs="Arial"/>
          <w:snapToGrid w:val="0"/>
        </w:rPr>
      </w:pPr>
    </w:p>
    <w:p w14:paraId="2BC489C3">
      <w:pPr>
        <w:pStyle w:val="5"/>
        <w:topLinePunct/>
        <w:adjustRightInd w:val="0"/>
        <w:snapToGrid w:val="0"/>
        <w:spacing w:line="288" w:lineRule="auto"/>
        <w:ind w:left="0"/>
        <w:jc w:val="right"/>
        <w:rPr>
          <w:rFonts w:ascii="Arial" w:hAnsi="Arial" w:cs="Arial"/>
          <w:b w:val="0"/>
          <w:bCs w:val="0"/>
          <w:snapToGrid w:val="0"/>
        </w:rPr>
      </w:pPr>
      <w:r>
        <w:rPr>
          <w:rFonts w:ascii="Arial" w:hAnsi="Arial" w:cs="Arial"/>
        </w:rPr>
        <w:drawing>
          <wp:anchor distT="0" distB="0" distL="114300" distR="114300" simplePos="0" relativeHeight="251659264" behindDoc="0" locked="0" layoutInCell="1" allowOverlap="1">
            <wp:simplePos x="0" y="0"/>
            <wp:positionH relativeFrom="page">
              <wp:posOffset>1174750</wp:posOffset>
            </wp:positionH>
            <wp:positionV relativeFrom="paragraph">
              <wp:posOffset>158750</wp:posOffset>
            </wp:positionV>
            <wp:extent cx="914400" cy="952500"/>
            <wp:effectExtent l="0" t="0" r="0" b="0"/>
            <wp:wrapNone/>
            <wp:docPr id="80" name="19598"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19598" descr="CDR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cs="Arial"/>
        </w:rPr>
        <w:drawing>
          <wp:anchor distT="0" distB="0" distL="114300" distR="114300" simplePos="0" relativeHeight="251659264" behindDoc="0" locked="0" layoutInCell="1" allowOverlap="1">
            <wp:simplePos x="0" y="0"/>
            <wp:positionH relativeFrom="page">
              <wp:posOffset>2317750</wp:posOffset>
            </wp:positionH>
            <wp:positionV relativeFrom="paragraph">
              <wp:posOffset>92075</wp:posOffset>
            </wp:positionV>
            <wp:extent cx="961390" cy="787400"/>
            <wp:effectExtent l="0" t="0" r="0" b="0"/>
            <wp:wrapNone/>
            <wp:docPr id="79" name="19930"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19930"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61390" cy="787400"/>
                    </a:xfrm>
                    <a:prstGeom prst="rect">
                      <a:avLst/>
                    </a:prstGeom>
                    <a:noFill/>
                  </pic:spPr>
                </pic:pic>
              </a:graphicData>
            </a:graphic>
          </wp:anchor>
        </w:drawing>
      </w:r>
      <w:r>
        <w:rPr>
          <w:rFonts w:hint="eastAsia" w:ascii="Arial" w:hAnsi="Arial" w:cs="Arial"/>
          <w:snapToGrid w:val="0"/>
        </w:rPr>
        <w:t>美国卫生和人类服务署</w:t>
      </w:r>
    </w:p>
    <w:p w14:paraId="1D87447C">
      <w:pPr>
        <w:pStyle w:val="5"/>
        <w:topLinePunct/>
        <w:adjustRightInd w:val="0"/>
        <w:snapToGrid w:val="0"/>
        <w:spacing w:line="288" w:lineRule="auto"/>
        <w:ind w:left="0"/>
        <w:jc w:val="right"/>
        <w:rPr>
          <w:rFonts w:ascii="Arial" w:hAnsi="Arial" w:cs="Arial"/>
          <w:snapToGrid w:val="0"/>
        </w:rPr>
      </w:pPr>
      <w:r>
        <w:rPr>
          <w:rFonts w:hint="eastAsia" w:ascii="Arial" w:hAnsi="Arial" w:cs="Arial"/>
          <w:snapToGrid w:val="0"/>
        </w:rPr>
        <w:t>食品药品监督管理局</w:t>
      </w:r>
    </w:p>
    <w:p w14:paraId="20E49356">
      <w:pPr>
        <w:pStyle w:val="5"/>
        <w:topLinePunct/>
        <w:adjustRightInd w:val="0"/>
        <w:snapToGrid w:val="0"/>
        <w:spacing w:line="288" w:lineRule="auto"/>
        <w:ind w:left="0"/>
        <w:jc w:val="right"/>
        <w:rPr>
          <w:rFonts w:ascii="Arial" w:hAnsi="Arial" w:cs="Arial"/>
          <w:snapToGrid w:val="0"/>
        </w:rPr>
      </w:pPr>
    </w:p>
    <w:p w14:paraId="2D2385AA">
      <w:pPr>
        <w:pStyle w:val="5"/>
        <w:topLinePunct/>
        <w:adjustRightInd w:val="0"/>
        <w:snapToGrid w:val="0"/>
        <w:spacing w:line="288" w:lineRule="auto"/>
        <w:ind w:left="0"/>
        <w:jc w:val="right"/>
        <w:rPr>
          <w:rFonts w:ascii="Arial" w:hAnsi="Arial" w:cs="Arial"/>
          <w:b w:val="0"/>
          <w:bCs w:val="0"/>
          <w:snapToGrid w:val="0"/>
        </w:rPr>
      </w:pPr>
    </w:p>
    <w:p w14:paraId="19AA09F5">
      <w:pPr>
        <w:pStyle w:val="5"/>
        <w:topLinePunct/>
        <w:adjustRightInd w:val="0"/>
        <w:snapToGrid w:val="0"/>
        <w:spacing w:after="149" w:afterLines="50" w:line="288" w:lineRule="auto"/>
        <w:ind w:left="0"/>
        <w:jc w:val="right"/>
        <w:rPr>
          <w:rFonts w:ascii="Arial" w:hAnsi="Arial" w:cs="Arial"/>
          <w:snapToGrid w:val="0"/>
        </w:rPr>
      </w:pPr>
      <w:r>
        <w:rPr>
          <w:rFonts w:hint="eastAsia" w:ascii="Arial" w:hAnsi="Arial" w:cs="Arial"/>
          <w:snapToGrid w:val="0"/>
        </w:rPr>
        <w:t>器械和放射卫生中心</w:t>
      </w:r>
    </w:p>
    <w:p w14:paraId="3C02156F">
      <w:pPr>
        <w:pStyle w:val="5"/>
        <w:topLinePunct/>
        <w:adjustRightInd w:val="0"/>
        <w:snapToGrid w:val="0"/>
        <w:spacing w:after="149" w:afterLines="50" w:line="288" w:lineRule="auto"/>
        <w:ind w:left="0"/>
        <w:jc w:val="right"/>
        <w:rPr>
          <w:rFonts w:ascii="Arial" w:hAnsi="Arial" w:cs="Arial"/>
          <w:b w:val="0"/>
          <w:bCs w:val="0"/>
          <w:snapToGrid w:val="0"/>
        </w:rPr>
      </w:pPr>
      <w:r>
        <w:rPr>
          <w:rFonts w:hint="eastAsia" w:ascii="Arial" w:hAnsi="Arial" w:cs="Arial"/>
          <w:snapToGrid w:val="0"/>
        </w:rPr>
        <w:t>生物制剂评价与研究中心</w:t>
      </w:r>
    </w:p>
    <w:p w14:paraId="4AFCA2D9">
      <w:pPr>
        <w:topLinePunct/>
        <w:adjustRightInd w:val="0"/>
        <w:snapToGrid w:val="0"/>
        <w:spacing w:after="224" w:afterLines="75" w:line="288" w:lineRule="auto"/>
        <w:jc w:val="both"/>
        <w:rPr>
          <w:rFonts w:ascii="Arial" w:hAnsi="Arial" w:eastAsia="宋体" w:cs="Arial"/>
          <w:snapToGrid w:val="0"/>
          <w:sz w:val="24"/>
        </w:rPr>
        <w:sectPr>
          <w:footerReference r:id="rId4" w:type="default"/>
          <w:pgSz w:w="11906" w:h="16838"/>
          <w:pgMar w:top="1134" w:right="1440" w:bottom="1134" w:left="1440" w:header="720" w:footer="720" w:gutter="0"/>
          <w:cols w:space="720" w:num="1"/>
          <w:docGrid w:type="lines" w:linePitch="299" w:charSpace="0"/>
        </w:sectPr>
      </w:pPr>
    </w:p>
    <w:p w14:paraId="2628E09F">
      <w:pPr>
        <w:topLinePunct/>
        <w:adjustRightInd w:val="0"/>
        <w:snapToGrid w:val="0"/>
        <w:spacing w:after="224" w:afterLines="75" w:line="288" w:lineRule="auto"/>
        <w:jc w:val="center"/>
        <w:rPr>
          <w:rFonts w:ascii="Arial" w:hAnsi="Arial" w:eastAsia="宋体" w:cs="Arial"/>
          <w:snapToGrid w:val="0"/>
          <w:sz w:val="44"/>
          <w:szCs w:val="44"/>
        </w:rPr>
      </w:pPr>
      <w:r>
        <w:rPr>
          <w:rFonts w:hint="eastAsia" w:ascii="Arial" w:hAnsi="Arial" w:eastAsia="宋体" w:cs="Arial"/>
          <w:b/>
          <w:snapToGrid w:val="0"/>
          <w:sz w:val="44"/>
          <w:szCs w:val="44"/>
        </w:rPr>
        <w:t>引言</w:t>
      </w:r>
    </w:p>
    <w:p w14:paraId="2BFCE1F9">
      <w:pPr>
        <w:topLinePunct/>
        <w:adjustRightInd w:val="0"/>
        <w:snapToGrid w:val="0"/>
        <w:spacing w:after="224" w:afterLines="75" w:line="288" w:lineRule="auto"/>
        <w:jc w:val="both"/>
        <w:rPr>
          <w:rFonts w:ascii="Arial" w:hAnsi="Arial" w:eastAsia="宋体" w:cs="Arial"/>
          <w:snapToGrid w:val="0"/>
          <w:sz w:val="32"/>
          <w:szCs w:val="32"/>
        </w:rPr>
      </w:pPr>
      <w:r>
        <w:rPr>
          <w:rFonts w:hint="eastAsia" w:ascii="Arial" w:hAnsi="Arial" w:eastAsia="宋体" w:cs="Arial"/>
          <w:b/>
          <w:snapToGrid w:val="0"/>
          <w:sz w:val="32"/>
          <w:szCs w:val="32"/>
        </w:rPr>
        <w:t>公共评论</w:t>
      </w:r>
    </w:p>
    <w:p w14:paraId="38C96E1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为便于本机构收集评论和建议，电子评论和建议可随时提交至</w:t>
      </w:r>
      <w:r>
        <w:fldChar w:fldCharType="begin"/>
      </w:r>
      <w:r>
        <w:instrText xml:space="preserve"> HYPERLINK "http://www.regulations.gov/" \h </w:instrText>
      </w:r>
      <w:r>
        <w:fldChar w:fldCharType="separate"/>
      </w:r>
      <w:r>
        <w:rPr>
          <w:rFonts w:hint="eastAsia" w:ascii="Arial" w:hAnsi="Arial" w:cs="Arial"/>
          <w:snapToGrid w:val="0"/>
          <w:color w:val="0000FF"/>
          <w:u w:val="single" w:color="0000FF"/>
        </w:rPr>
        <w:t>http: //www.regulations.gov</w:t>
      </w:r>
      <w:r>
        <w:rPr>
          <w:rFonts w:hint="eastAsia" w:ascii="Arial" w:hAnsi="Arial" w:cs="Arial"/>
          <w:snapToGrid w:val="0"/>
          <w:color w:val="0000FF"/>
          <w:u w:val="single" w:color="0000FF"/>
        </w:rPr>
        <w:fldChar w:fldCharType="end"/>
      </w:r>
      <w:r>
        <w:rPr>
          <w:rFonts w:hint="eastAsia" w:ascii="Arial" w:hAnsi="Arial" w:cs="Arial"/>
          <w:snapToGrid w:val="0"/>
        </w:rPr>
        <w:t>。</w:t>
      </w:r>
      <w:r>
        <w:fldChar w:fldCharType="begin"/>
      </w:r>
      <w:r>
        <w:instrText xml:space="preserve"> HYPERLINK "http://www.regulations.gov/" \h </w:instrText>
      </w:r>
      <w:r>
        <w:fldChar w:fldCharType="separate"/>
      </w:r>
      <w:r>
        <w:rPr>
          <w:rFonts w:hint="eastAsia" w:ascii="Arial" w:hAnsi="Arial" w:cs="Arial"/>
          <w:snapToGrid w:val="0"/>
        </w:rPr>
        <w:t>书面评论请提交至食品药品监督管理局案卷管理科</w:t>
      </w:r>
      <w:r>
        <w:rPr>
          <w:rFonts w:hint="eastAsia" w:ascii="Arial" w:hAnsi="Arial" w:cs="Arial"/>
          <w:snapToGrid w:val="0"/>
        </w:rPr>
        <w:fldChar w:fldCharType="end"/>
      </w:r>
      <w:r>
        <w:rPr>
          <w:rFonts w:hint="eastAsia" w:ascii="Arial" w:hAnsi="Arial" w:cs="Arial"/>
          <w:snapToGrid w:val="0"/>
        </w:rPr>
        <w:t>，5630 Fishers Lane, Rm 1061，（HFA-305），Rockville，MD 20852。请使用案卷编号FDA-2014-D-0363注明所有评论。</w:t>
      </w:r>
    </w:p>
    <w:p w14:paraId="0152AC5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再次进行文件修订或更新之前，本机构可能不会针对评论采取行动。</w:t>
      </w:r>
    </w:p>
    <w:p w14:paraId="4211A39D">
      <w:pPr>
        <w:topLinePunct/>
        <w:adjustRightInd w:val="0"/>
        <w:snapToGrid w:val="0"/>
        <w:spacing w:after="224" w:afterLines="75" w:line="288" w:lineRule="auto"/>
        <w:jc w:val="both"/>
        <w:rPr>
          <w:rFonts w:ascii="Arial" w:hAnsi="Arial" w:eastAsia="宋体" w:cs="Arial"/>
          <w:snapToGrid w:val="0"/>
          <w:sz w:val="32"/>
          <w:szCs w:val="32"/>
        </w:rPr>
      </w:pPr>
      <w:r>
        <w:rPr>
          <w:rFonts w:hint="eastAsia" w:ascii="Arial" w:hAnsi="Arial" w:eastAsia="宋体" w:cs="Arial"/>
          <w:b/>
          <w:snapToGrid w:val="0"/>
          <w:sz w:val="32"/>
          <w:szCs w:val="32"/>
        </w:rPr>
        <w:t>其他副本</w:t>
      </w:r>
    </w:p>
    <w:p w14:paraId="3AF92902">
      <w:pPr>
        <w:pStyle w:val="5"/>
        <w:topLinePunct/>
        <w:adjustRightInd w:val="0"/>
        <w:snapToGrid w:val="0"/>
        <w:spacing w:after="224" w:afterLines="75" w:line="288" w:lineRule="auto"/>
        <w:ind w:left="0"/>
        <w:jc w:val="both"/>
        <w:rPr>
          <w:rFonts w:ascii="Arial" w:hAnsi="Arial" w:cs="Arial"/>
          <w:b w:val="0"/>
          <w:bCs w:val="0"/>
          <w:snapToGrid w:val="0"/>
        </w:rPr>
      </w:pPr>
      <w:r>
        <w:rPr>
          <w:rFonts w:hint="eastAsia" w:ascii="Arial" w:hAnsi="Arial" w:cs="Arial"/>
          <w:snapToGrid w:val="0"/>
        </w:rPr>
        <w:t>CDRH</w:t>
      </w:r>
    </w:p>
    <w:p w14:paraId="5A9F24B0">
      <w:pPr>
        <w:pStyle w:val="7"/>
        <w:topLinePunct/>
        <w:adjustRightInd w:val="0"/>
        <w:snapToGrid w:val="0"/>
        <w:spacing w:after="224" w:afterLines="75" w:line="288" w:lineRule="auto"/>
        <w:ind w:left="0"/>
        <w:rPr>
          <w:rFonts w:ascii="Arial" w:hAnsi="Arial" w:cs="Arial"/>
          <w:snapToGrid w:val="0"/>
        </w:rPr>
      </w:pPr>
      <w:r>
        <w:rPr>
          <w:rFonts w:hint="eastAsia" w:ascii="Arial" w:hAnsi="Arial" w:cs="Arial"/>
          <w:snapToGrid w:val="0"/>
        </w:rPr>
        <w:t>其他副本可从互联网获得，网址：</w:t>
      </w:r>
      <w:r>
        <w:fldChar w:fldCharType="begin"/>
      </w:r>
      <w:r>
        <w:instrText xml:space="preserve"> HYPERLINK "http://www.fda.gov/MedicalDevices/DeviceRegulationandGuidance/GuidanceDocuments/default.htm" \h </w:instrText>
      </w:r>
      <w:r>
        <w:fldChar w:fldCharType="separate"/>
      </w:r>
      <w:r>
        <w:rPr>
          <w:rFonts w:hint="eastAsia" w:ascii="Arial" w:hAnsi="Arial" w:cs="Arial"/>
          <w:snapToGrid w:val="0"/>
          <w:color w:val="0000FF"/>
          <w:u w:val="single" w:color="0000FF"/>
        </w:rPr>
        <w:t>http: //www.fda.gov/MedicalDevices/DeviceRegulationandGuidance/GuidanceDocuments/default</w:t>
      </w:r>
      <w:r>
        <w:rPr>
          <w:rFonts w:hint="eastAsia" w:ascii="Arial" w:hAnsi="Arial" w:cs="Arial"/>
          <w:snapToGrid w:val="0"/>
          <w:color w:val="0000FF"/>
          <w:u w:val="single" w:color="0000FF"/>
        </w:rPr>
        <w:fldChar w:fldCharType="end"/>
      </w:r>
      <w:r>
        <w:rPr>
          <w:rFonts w:hint="eastAsia" w:ascii="Arial" w:hAnsi="Arial" w:cs="Arial"/>
          <w:snapToGrid w:val="0"/>
        </w:rPr>
        <w:t>。</w:t>
      </w:r>
      <w:r>
        <w:fldChar w:fldCharType="begin"/>
      </w:r>
      <w:r>
        <w:instrText xml:space="preserve"> HYPERLINK "http://www.fda.gov/MedicalDevices/DeviceRegulationandGuidance/GuidanceDocuments/default.htm" \h </w:instrText>
      </w:r>
      <w:r>
        <w:fldChar w:fldCharType="separate"/>
      </w:r>
      <w:r>
        <w:rPr>
          <w:rFonts w:hint="eastAsia" w:ascii="Arial" w:hAnsi="Arial" w:cs="Arial"/>
          <w:snapToGrid w:val="0"/>
          <w:color w:val="0000FF"/>
          <w:u w:val="single" w:color="0000FF"/>
        </w:rPr>
        <w:t>htm</w:t>
      </w:r>
      <w:r>
        <w:rPr>
          <w:rFonts w:hint="eastAsia" w:ascii="Arial" w:hAnsi="Arial" w:cs="Arial"/>
          <w:snapToGrid w:val="0"/>
        </w:rPr>
        <w:t>.</w:t>
      </w:r>
      <w:r>
        <w:rPr>
          <w:rFonts w:hint="eastAsia" w:ascii="Arial" w:hAnsi="Arial" w:cs="Arial"/>
          <w:snapToGrid w:val="0"/>
        </w:rPr>
        <w:fldChar w:fldCharType="end"/>
      </w:r>
      <w:r>
        <w:fldChar w:fldCharType="begin"/>
      </w:r>
      <w:r>
        <w:instrText xml:space="preserve"> HYPERLINK "http://www.fda.gov/MedicalDevices/DeviceRegulationandGuidance/GuidanceDocuments/default.htm" \h </w:instrText>
      </w:r>
      <w:r>
        <w:fldChar w:fldCharType="separate"/>
      </w:r>
      <w:r>
        <w:rPr>
          <w:rFonts w:hint="eastAsia" w:ascii="Arial" w:hAnsi="Arial" w:cs="Arial"/>
          <w:snapToGrid w:val="0"/>
        </w:rPr>
        <w:t>您还可以发送电子邮件到</w:t>
      </w:r>
      <w:r>
        <w:rPr>
          <w:rFonts w:hint="eastAsia" w:ascii="Arial" w:hAnsi="Arial" w:cs="Arial"/>
          <w:snapToGrid w:val="0"/>
        </w:rPr>
        <w:fldChar w:fldCharType="end"/>
      </w:r>
      <w:r>
        <w:fldChar w:fldCharType="begin"/>
      </w:r>
      <w:r>
        <w:instrText xml:space="preserve"> HYPERLINK "mailto:CDRH-Guidance@fda.hhs.gov" \h </w:instrText>
      </w:r>
      <w:r>
        <w:fldChar w:fldCharType="separate"/>
      </w:r>
      <w:r>
        <w:rPr>
          <w:rFonts w:hint="eastAsia" w:ascii="Arial" w:hAnsi="Arial" w:cs="Arial"/>
          <w:snapToGrid w:val="0"/>
          <w:color w:val="0000FF"/>
          <w:u w:val="single" w:color="0000FF"/>
        </w:rPr>
        <w:t>CDRH- Guidance@fda.hhs.gov</w:t>
      </w:r>
      <w:r>
        <w:rPr>
          <w:rFonts w:hint="eastAsia" w:ascii="Arial" w:hAnsi="Arial" w:cs="Arial"/>
          <w:snapToGrid w:val="0"/>
          <w:color w:val="0000FF"/>
          <w:u w:val="single" w:color="0000FF"/>
        </w:rPr>
        <w:fldChar w:fldCharType="end"/>
      </w:r>
      <w:r>
        <w:rPr>
          <w:rFonts w:hint="eastAsia" w:ascii="Arial" w:hAnsi="Arial" w:cs="Arial"/>
          <w:snapToGrid w:val="0"/>
        </w:rPr>
        <w:t>，索取本指南的电子副本。</w:t>
      </w:r>
      <w:r>
        <w:fldChar w:fldCharType="begin"/>
      </w:r>
      <w:r>
        <w:instrText xml:space="preserve"> HYPERLINK "mailto:CDRH-Guidance@fda.hhs.gov" \h </w:instrText>
      </w:r>
      <w:r>
        <w:fldChar w:fldCharType="separate"/>
      </w:r>
      <w:r>
        <w:fldChar w:fldCharType="end"/>
      </w:r>
      <w:r>
        <w:fldChar w:fldCharType="begin"/>
      </w:r>
      <w:r>
        <w:instrText xml:space="preserve"> HYPERLINK "mailto:CDRH-Guidance@fda.hhs.gov" \h </w:instrText>
      </w:r>
      <w:r>
        <w:fldChar w:fldCharType="separate"/>
      </w:r>
      <w:r>
        <w:rPr>
          <w:rFonts w:hint="eastAsia" w:ascii="Arial" w:hAnsi="Arial" w:cs="Arial"/>
          <w:snapToGrid w:val="0"/>
        </w:rPr>
        <w:t>请使用文档编号1833来注明您所要求获得的指南。</w:t>
      </w:r>
      <w:r>
        <w:rPr>
          <w:rFonts w:hint="eastAsia" w:ascii="Arial" w:hAnsi="Arial" w:cs="Arial"/>
          <w:snapToGrid w:val="0"/>
        </w:rPr>
        <w:fldChar w:fldCharType="end"/>
      </w:r>
    </w:p>
    <w:p w14:paraId="37FFB63F">
      <w:pPr>
        <w:pStyle w:val="5"/>
        <w:topLinePunct/>
        <w:adjustRightInd w:val="0"/>
        <w:snapToGrid w:val="0"/>
        <w:spacing w:after="224" w:afterLines="75" w:line="288" w:lineRule="auto"/>
        <w:ind w:left="0"/>
        <w:jc w:val="both"/>
        <w:rPr>
          <w:rFonts w:ascii="Arial" w:hAnsi="Arial" w:cs="Arial"/>
          <w:b w:val="0"/>
          <w:bCs w:val="0"/>
          <w:snapToGrid w:val="0"/>
        </w:rPr>
      </w:pPr>
      <w:r>
        <w:rPr>
          <w:rFonts w:hint="eastAsia" w:ascii="Arial" w:hAnsi="Arial" w:cs="Arial"/>
          <w:snapToGrid w:val="0"/>
        </w:rPr>
        <w:t>CBER</w:t>
      </w:r>
    </w:p>
    <w:p w14:paraId="285A27B4">
      <w:pPr>
        <w:pStyle w:val="7"/>
        <w:topLinePunct/>
        <w:adjustRightInd w:val="0"/>
        <w:snapToGrid w:val="0"/>
        <w:spacing w:after="224" w:afterLines="75" w:line="288" w:lineRule="auto"/>
        <w:ind w:left="0"/>
        <w:rPr>
          <w:rFonts w:ascii="Arial" w:hAnsi="Arial" w:cs="Arial"/>
          <w:snapToGrid w:val="0"/>
        </w:rPr>
      </w:pPr>
      <w:r>
        <w:rPr>
          <w:rFonts w:hint="eastAsia" w:ascii="Arial" w:hAnsi="Arial" w:cs="Arial"/>
          <w:snapToGrid w:val="0"/>
        </w:rPr>
        <w:t>其他副本可从互联网获得，网址：</w:t>
      </w:r>
      <w:r>
        <w:fldChar w:fldCharType="begin"/>
      </w:r>
      <w:r>
        <w:instrText xml:space="preserve"> HYPERLINK "http://www.fda.gov/BiologicsBloodVaccines/GuidanceComplianceRegulatoryInformation/Guidances/default.htm" \h </w:instrText>
      </w:r>
      <w:r>
        <w:fldChar w:fldCharType="separate"/>
      </w:r>
      <w:r>
        <w:rPr>
          <w:rFonts w:hint="eastAsia" w:ascii="Arial" w:hAnsi="Arial" w:cs="Arial"/>
          <w:snapToGrid w:val="0"/>
          <w:color w:val="0000FF"/>
          <w:u w:val="single" w:color="0000FF"/>
        </w:rPr>
        <w:t xml:space="preserve">http: //www.fda.gov/BiologicsBloodVaccines/GuidanceComplianceRegulatoryInformatio </w:t>
      </w:r>
      <w:r>
        <w:rPr>
          <w:rFonts w:hint="eastAsia" w:ascii="Arial" w:hAnsi="Arial" w:cs="Arial"/>
          <w:snapToGrid w:val="0"/>
          <w:color w:val="0000FF"/>
          <w:u w:val="single" w:color="0000FF"/>
        </w:rPr>
        <w:fldChar w:fldCharType="end"/>
      </w:r>
      <w:r>
        <w:fldChar w:fldCharType="begin"/>
      </w:r>
      <w:r>
        <w:instrText xml:space="preserve"> HYPERLINK "http://www.fda.gov/BiologicsBloodVaccines/GuidanceComplianceRegulatoryInformation/Guidances/default.htm" \h </w:instrText>
      </w:r>
      <w:r>
        <w:fldChar w:fldCharType="separate"/>
      </w:r>
      <w:r>
        <w:rPr>
          <w:rFonts w:hint="eastAsia" w:ascii="Arial" w:hAnsi="Arial" w:cs="Arial"/>
          <w:snapToGrid w:val="0"/>
          <w:color w:val="0000FF"/>
          <w:u w:val="single" w:color="0000FF"/>
        </w:rPr>
        <w:t xml:space="preserve">n/Guidances/default.htm </w:t>
      </w:r>
      <w:r>
        <w:rPr>
          <w:rFonts w:hint="eastAsia" w:ascii="Arial" w:hAnsi="Arial" w:cs="Arial"/>
          <w:snapToGrid w:val="0"/>
          <w:color w:val="0000FF"/>
          <w:u w:val="single" w:color="0000FF"/>
        </w:rPr>
        <w:fldChar w:fldCharType="end"/>
      </w:r>
      <w:r>
        <w:rPr>
          <w:rFonts w:hint="eastAsia" w:ascii="Arial" w:hAnsi="Arial" w:cs="Arial"/>
          <w:snapToGrid w:val="0"/>
        </w:rPr>
        <w:t>，或可通过将书面请求提交至以下地址获得：</w:t>
      </w:r>
    </w:p>
    <w:p w14:paraId="0F3B6920">
      <w:pPr>
        <w:pStyle w:val="7"/>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生物制剂评价和研究中心</w:t>
      </w:r>
    </w:p>
    <w:p w14:paraId="6DDA36CD">
      <w:pPr>
        <w:pStyle w:val="7"/>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交流，外联与开发办公室（OCOD）</w:t>
      </w:r>
    </w:p>
    <w:p w14:paraId="7BB3A987">
      <w:pPr>
        <w:pStyle w:val="7"/>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10903 New Hampshire Ave.</w:t>
      </w:r>
    </w:p>
    <w:p w14:paraId="7E3E8688">
      <w:pPr>
        <w:pStyle w:val="7"/>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Bldg. 71, Rm.3128</w:t>
      </w:r>
    </w:p>
    <w:p w14:paraId="6937C949">
      <w:pPr>
        <w:pStyle w:val="7"/>
        <w:topLinePunct/>
        <w:adjustRightInd w:val="0"/>
        <w:snapToGrid w:val="0"/>
        <w:spacing w:after="149" w:afterLines="50" w:line="288" w:lineRule="auto"/>
        <w:ind w:left="719" w:leftChars="327"/>
        <w:jc w:val="both"/>
        <w:rPr>
          <w:rFonts w:ascii="Arial" w:hAnsi="Arial" w:cs="Arial"/>
          <w:snapToGrid w:val="0"/>
        </w:rPr>
      </w:pPr>
      <w:r>
        <w:rPr>
          <w:rFonts w:hint="eastAsia" w:ascii="Arial" w:hAnsi="Arial" w:cs="Arial"/>
          <w:snapToGrid w:val="0"/>
        </w:rPr>
        <w:t>Silver Spring, MD 20993-0002</w:t>
      </w:r>
    </w:p>
    <w:p w14:paraId="71C20D24">
      <w:pPr>
        <w:pStyle w:val="7"/>
        <w:topLinePunct/>
        <w:adjustRightInd w:val="0"/>
        <w:snapToGrid w:val="0"/>
        <w:spacing w:after="224" w:afterLines="75" w:line="288" w:lineRule="auto"/>
        <w:ind w:left="0"/>
        <w:rPr>
          <w:rFonts w:ascii="Arial" w:hAnsi="Arial" w:cs="Arial"/>
          <w:snapToGrid w:val="0"/>
        </w:rPr>
      </w:pPr>
      <w:r>
        <w:rPr>
          <w:rFonts w:hint="eastAsia" w:ascii="Arial" w:hAnsi="Arial" w:cs="Arial"/>
          <w:snapToGrid w:val="0"/>
        </w:rPr>
        <w:t>您还可以致电1-800-835-4709或240-402-7800或通过发送电子邮件至</w:t>
      </w:r>
      <w:r>
        <w:rPr>
          <w:rFonts w:ascii="Arial" w:hAnsi="Arial" w:cs="Arial"/>
          <w:snapToGrid w:val="0"/>
          <w:color w:val="0000FF"/>
          <w:u w:val="single" w:color="0000FF"/>
        </w:rPr>
        <w:t>ocod@fda.hhs.gov</w:t>
      </w:r>
      <w:r>
        <w:rPr>
          <w:rFonts w:hint="eastAsia" w:ascii="Arial" w:hAnsi="Arial" w:cs="Arial"/>
          <w:snapToGrid w:val="0"/>
        </w:rPr>
        <w:t>，索取本指南副本。</w:t>
      </w:r>
    </w:p>
    <w:p w14:paraId="67DC371A">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69013FCF">
      <w:pPr>
        <w:topLinePunct/>
        <w:adjustRightInd w:val="0"/>
        <w:snapToGrid w:val="0"/>
        <w:spacing w:after="224" w:afterLines="75" w:line="288" w:lineRule="auto"/>
        <w:jc w:val="center"/>
        <w:rPr>
          <w:rFonts w:ascii="Arial" w:hAnsi="Arial" w:eastAsia="宋体" w:cs="Arial"/>
          <w:snapToGrid w:val="0"/>
          <w:sz w:val="32"/>
          <w:szCs w:val="36"/>
        </w:rPr>
      </w:pPr>
      <w:r>
        <w:rPr>
          <w:rFonts w:hint="eastAsia" w:ascii="Arial" w:hAnsi="Arial" w:eastAsia="宋体" w:cs="Arial"/>
          <w:b/>
          <w:snapToGrid w:val="0"/>
          <w:sz w:val="32"/>
        </w:rPr>
        <w:t>目录</w:t>
      </w:r>
    </w:p>
    <w:sdt>
      <w:sdtPr>
        <w:rPr>
          <w:rFonts w:ascii="Arial" w:hAnsi="Arial" w:cs="Arial" w:eastAsiaTheme="minorEastAsia"/>
          <w:snapToGrid w:val="0"/>
          <w:sz w:val="24"/>
          <w:szCs w:val="24"/>
        </w:rPr>
        <w:id w:val="733366150"/>
        <w:docPartObj>
          <w:docPartGallery w:val="Table of Contents"/>
          <w:docPartUnique/>
        </w:docPartObj>
      </w:sdtPr>
      <w:sdtEndPr>
        <w:rPr>
          <w:rFonts w:ascii="Arial" w:hAnsi="Arial" w:cs="Arial" w:eastAsiaTheme="minorEastAsia"/>
          <w:snapToGrid w:val="0"/>
          <w:sz w:val="24"/>
          <w:szCs w:val="22"/>
        </w:rPr>
      </w:sdtEndPr>
      <w:sdtContent>
        <w:p w14:paraId="6E7700D5">
          <w:pPr>
            <w:pStyle w:val="11"/>
            <w:tabs>
              <w:tab w:val="right" w:leader="dot" w:pos="9016"/>
            </w:tabs>
            <w:rPr>
              <w:rFonts w:ascii="Arial" w:hAnsi="Arial" w:cs="Arial"/>
              <w:kern w:val="2"/>
              <w:sz w:val="24"/>
              <w:szCs w:val="24"/>
            </w:rPr>
          </w:pPr>
          <w:r>
            <w:rPr>
              <w:rFonts w:ascii="Arial" w:hAnsi="Arial" w:cs="Arial"/>
              <w:snapToGrid w:val="0"/>
              <w:sz w:val="24"/>
              <w:szCs w:val="24"/>
            </w:rPr>
            <w:fldChar w:fldCharType="begin"/>
          </w:r>
          <w:r>
            <w:rPr>
              <w:rFonts w:ascii="Arial" w:hAnsi="Arial" w:cs="Arial"/>
              <w:snapToGrid w:val="0"/>
              <w:sz w:val="24"/>
              <w:szCs w:val="24"/>
            </w:rPr>
            <w:instrText xml:space="preserve">TOC \o "1-2" \h \z \u </w:instrText>
          </w:r>
          <w:r>
            <w:rPr>
              <w:rFonts w:ascii="Arial" w:hAnsi="Arial" w:cs="Arial"/>
              <w:snapToGrid w:val="0"/>
              <w:sz w:val="24"/>
              <w:szCs w:val="24"/>
            </w:rPr>
            <w:fldChar w:fldCharType="separate"/>
          </w:r>
          <w:r>
            <w:fldChar w:fldCharType="begin"/>
          </w:r>
          <w:r>
            <w:instrText xml:space="preserve"> HYPERLINK \l "_Toc498643257" </w:instrText>
          </w:r>
          <w:r>
            <w:fldChar w:fldCharType="separate"/>
          </w:r>
          <w:r>
            <w:rPr>
              <w:rStyle w:val="17"/>
              <w:rFonts w:ascii="Arial" w:hAnsi="Arial" w:cs="Arial"/>
              <w:snapToGrid w:val="0"/>
              <w:spacing w:val="-6"/>
              <w:sz w:val="24"/>
              <w:szCs w:val="24"/>
            </w:rPr>
            <w:t>A.</w:t>
          </w:r>
          <w:r>
            <w:rPr>
              <w:rFonts w:ascii="Arial" w:hAnsi="Arial" w:cs="Arial"/>
              <w:kern w:val="2"/>
              <w:sz w:val="24"/>
              <w:szCs w:val="24"/>
            </w:rPr>
            <w:tab/>
          </w:r>
          <w:r>
            <w:rPr>
              <w:rStyle w:val="17"/>
              <w:rFonts w:ascii="Arial" w:hAnsi="Arial" w:cs="Arial"/>
              <w:snapToGrid w:val="0"/>
              <w:sz w:val="24"/>
              <w:szCs w:val="24"/>
            </w:rPr>
            <w:t>引言</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_Toc498643257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14:paraId="67660CC3">
          <w:pPr>
            <w:pStyle w:val="11"/>
            <w:tabs>
              <w:tab w:val="right" w:leader="dot" w:pos="9016"/>
            </w:tabs>
            <w:rPr>
              <w:rFonts w:ascii="Arial" w:hAnsi="Arial" w:cs="Arial"/>
              <w:kern w:val="2"/>
              <w:sz w:val="24"/>
              <w:szCs w:val="24"/>
            </w:rPr>
          </w:pPr>
          <w:r>
            <w:fldChar w:fldCharType="begin"/>
          </w:r>
          <w:r>
            <w:instrText xml:space="preserve"> HYPERLINK \l "_Toc498643258" </w:instrText>
          </w:r>
          <w:r>
            <w:fldChar w:fldCharType="separate"/>
          </w:r>
          <w:r>
            <w:rPr>
              <w:rStyle w:val="17"/>
              <w:rFonts w:ascii="Arial" w:hAnsi="Arial" w:cs="Arial"/>
              <w:snapToGrid w:val="0"/>
              <w:spacing w:val="-7"/>
              <w:sz w:val="24"/>
              <w:szCs w:val="24"/>
            </w:rPr>
            <w:t>II.</w:t>
          </w:r>
          <w:r>
            <w:rPr>
              <w:rFonts w:ascii="Arial" w:hAnsi="Arial" w:cs="Arial"/>
              <w:kern w:val="2"/>
              <w:sz w:val="24"/>
              <w:szCs w:val="24"/>
            </w:rPr>
            <w:tab/>
          </w:r>
          <w:r>
            <w:rPr>
              <w:rStyle w:val="17"/>
              <w:rFonts w:ascii="Arial" w:hAnsi="Arial" w:cs="Arial"/>
              <w:snapToGrid w:val="0"/>
              <w:sz w:val="24"/>
              <w:szCs w:val="24"/>
            </w:rPr>
            <w:t>背景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_Toc498643258 \h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fldChar w:fldCharType="end"/>
          </w:r>
        </w:p>
        <w:p w14:paraId="2C20FA1B">
          <w:pPr>
            <w:pStyle w:val="13"/>
            <w:tabs>
              <w:tab w:val="right" w:leader="dot" w:pos="9016"/>
            </w:tabs>
            <w:ind w:hanging="246"/>
            <w:rPr>
              <w:rFonts w:ascii="Arial" w:hAnsi="Arial" w:cs="Arial"/>
              <w:kern w:val="2"/>
              <w:sz w:val="24"/>
              <w:szCs w:val="24"/>
            </w:rPr>
          </w:pPr>
          <w:r>
            <w:fldChar w:fldCharType="begin"/>
          </w:r>
          <w:r>
            <w:instrText xml:space="preserve"> HYPERLINK \l "_Toc498643259" </w:instrText>
          </w:r>
          <w:r>
            <w:fldChar w:fldCharType="separate"/>
          </w:r>
          <w:r>
            <w:rPr>
              <w:rStyle w:val="17"/>
              <w:rFonts w:ascii="Arial" w:hAnsi="Arial" w:cs="Arial"/>
              <w:snapToGrid w:val="0"/>
              <w:sz w:val="24"/>
              <w:szCs w:val="24"/>
            </w:rPr>
            <w:t>创新路径</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_Toc498643259 \h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fldChar w:fldCharType="end"/>
          </w:r>
        </w:p>
        <w:p w14:paraId="3443B2D1">
          <w:pPr>
            <w:pStyle w:val="13"/>
            <w:tabs>
              <w:tab w:val="right" w:leader="dot" w:pos="9016"/>
            </w:tabs>
            <w:ind w:hanging="246"/>
            <w:rPr>
              <w:rFonts w:ascii="Arial" w:hAnsi="Arial" w:cs="Arial"/>
              <w:kern w:val="2"/>
              <w:sz w:val="24"/>
              <w:szCs w:val="24"/>
            </w:rPr>
          </w:pPr>
          <w:r>
            <w:fldChar w:fldCharType="begin"/>
          </w:r>
          <w:r>
            <w:instrText xml:space="preserve"> HYPERLINK \l "_Toc498643260" </w:instrText>
          </w:r>
          <w:r>
            <w:fldChar w:fldCharType="separate"/>
          </w:r>
          <w:r>
            <w:rPr>
              <w:rStyle w:val="17"/>
              <w:rFonts w:ascii="Arial" w:hAnsi="Arial" w:cs="Arial"/>
              <w:snapToGrid w:val="0"/>
              <w:sz w:val="24"/>
              <w:szCs w:val="24"/>
            </w:rPr>
            <w:t>上市后数据对受PMA监管的EAP器械的作用</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_Toc498643260 \h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fldChar w:fldCharType="end"/>
          </w:r>
        </w:p>
        <w:p w14:paraId="6DC965C4">
          <w:pPr>
            <w:pStyle w:val="11"/>
            <w:tabs>
              <w:tab w:val="right" w:leader="dot" w:pos="9016"/>
            </w:tabs>
            <w:rPr>
              <w:rFonts w:ascii="Arial" w:hAnsi="Arial" w:cs="Arial"/>
              <w:kern w:val="2"/>
              <w:sz w:val="24"/>
              <w:szCs w:val="24"/>
            </w:rPr>
          </w:pPr>
          <w:r>
            <w:fldChar w:fldCharType="begin"/>
          </w:r>
          <w:r>
            <w:instrText xml:space="preserve"> HYPERLINK \l "_Toc498643261" </w:instrText>
          </w:r>
          <w:r>
            <w:fldChar w:fldCharType="separate"/>
          </w:r>
          <w:r>
            <w:rPr>
              <w:rStyle w:val="17"/>
              <w:rFonts w:ascii="Arial" w:hAnsi="Arial" w:cs="Arial"/>
              <w:snapToGrid w:val="0"/>
              <w:spacing w:val="-7"/>
              <w:sz w:val="24"/>
              <w:szCs w:val="24"/>
            </w:rPr>
            <w:t>III.</w:t>
          </w:r>
          <w:r>
            <w:rPr>
              <w:rFonts w:ascii="Arial" w:hAnsi="Arial" w:cs="Arial"/>
              <w:kern w:val="2"/>
              <w:sz w:val="24"/>
              <w:szCs w:val="24"/>
            </w:rPr>
            <w:tab/>
          </w:r>
          <w:r>
            <w:rPr>
              <w:rStyle w:val="17"/>
              <w:rFonts w:ascii="Arial" w:hAnsi="Arial" w:cs="Arial"/>
              <w:snapToGrid w:val="0"/>
              <w:sz w:val="24"/>
              <w:szCs w:val="24"/>
            </w:rPr>
            <w:t>快速审查路径</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_Toc498643261 \h </w:instrText>
          </w:r>
          <w:r>
            <w:rPr>
              <w:rFonts w:ascii="Arial" w:hAnsi="Arial" w:cs="Arial"/>
              <w:sz w:val="24"/>
              <w:szCs w:val="24"/>
            </w:rPr>
            <w:fldChar w:fldCharType="separate"/>
          </w:r>
          <w:r>
            <w:rPr>
              <w:rFonts w:ascii="Arial" w:hAnsi="Arial" w:cs="Arial"/>
              <w:sz w:val="24"/>
              <w:szCs w:val="24"/>
            </w:rPr>
            <w:t>9</w:t>
          </w:r>
          <w:r>
            <w:rPr>
              <w:rFonts w:ascii="Arial" w:hAnsi="Arial" w:cs="Arial"/>
              <w:sz w:val="24"/>
              <w:szCs w:val="24"/>
            </w:rPr>
            <w:fldChar w:fldCharType="end"/>
          </w:r>
          <w:r>
            <w:rPr>
              <w:rFonts w:ascii="Arial" w:hAnsi="Arial" w:cs="Arial"/>
              <w:sz w:val="24"/>
              <w:szCs w:val="24"/>
            </w:rPr>
            <w:fldChar w:fldCharType="end"/>
          </w:r>
        </w:p>
        <w:p w14:paraId="501CDC38">
          <w:pPr>
            <w:pStyle w:val="13"/>
            <w:tabs>
              <w:tab w:val="right" w:leader="dot" w:pos="9016"/>
            </w:tabs>
            <w:rPr>
              <w:rFonts w:ascii="Arial" w:hAnsi="Arial" w:cs="Arial"/>
              <w:kern w:val="2"/>
              <w:sz w:val="24"/>
              <w:szCs w:val="24"/>
            </w:rPr>
          </w:pPr>
          <w:r>
            <w:fldChar w:fldCharType="begin"/>
          </w:r>
          <w:r>
            <w:instrText xml:space="preserve"> HYPERLINK \l "_Toc498643262" </w:instrText>
          </w:r>
          <w:r>
            <w:fldChar w:fldCharType="separate"/>
          </w:r>
          <w:r>
            <w:rPr>
              <w:rStyle w:val="17"/>
              <w:rFonts w:ascii="Arial" w:hAnsi="Arial" w:cs="Arial"/>
              <w:snapToGrid w:val="0"/>
              <w:spacing w:val="-3"/>
              <w:sz w:val="24"/>
              <w:szCs w:val="24"/>
            </w:rPr>
            <w:t>A.</w:t>
          </w:r>
          <w:r>
            <w:rPr>
              <w:rFonts w:ascii="Arial" w:hAnsi="Arial" w:cs="Arial"/>
              <w:kern w:val="2"/>
              <w:sz w:val="24"/>
              <w:szCs w:val="24"/>
            </w:rPr>
            <w:tab/>
          </w:r>
          <w:r>
            <w:rPr>
              <w:rStyle w:val="17"/>
              <w:rFonts w:ascii="Arial" w:hAnsi="Arial" w:cs="Arial"/>
              <w:snapToGrid w:val="0"/>
              <w:sz w:val="24"/>
              <w:szCs w:val="24"/>
            </w:rPr>
            <w:t>快速审查路径的指定标准</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_Toc498643262 \h </w:instrText>
          </w:r>
          <w:r>
            <w:rPr>
              <w:rFonts w:ascii="Arial" w:hAnsi="Arial" w:cs="Arial"/>
              <w:sz w:val="24"/>
              <w:szCs w:val="24"/>
            </w:rPr>
            <w:fldChar w:fldCharType="separate"/>
          </w:r>
          <w:r>
            <w:rPr>
              <w:rFonts w:ascii="Arial" w:hAnsi="Arial" w:cs="Arial"/>
              <w:sz w:val="24"/>
              <w:szCs w:val="24"/>
            </w:rPr>
            <w:t>12</w:t>
          </w:r>
          <w:r>
            <w:rPr>
              <w:rFonts w:ascii="Arial" w:hAnsi="Arial" w:cs="Arial"/>
              <w:sz w:val="24"/>
              <w:szCs w:val="24"/>
            </w:rPr>
            <w:fldChar w:fldCharType="end"/>
          </w:r>
          <w:r>
            <w:rPr>
              <w:rFonts w:ascii="Arial" w:hAnsi="Arial" w:cs="Arial"/>
              <w:sz w:val="24"/>
              <w:szCs w:val="24"/>
            </w:rPr>
            <w:fldChar w:fldCharType="end"/>
          </w:r>
        </w:p>
        <w:p w14:paraId="16323F4F">
          <w:pPr>
            <w:pStyle w:val="13"/>
            <w:tabs>
              <w:tab w:val="right" w:leader="dot" w:pos="9016"/>
            </w:tabs>
            <w:rPr>
              <w:rFonts w:ascii="Arial" w:hAnsi="Arial" w:cs="Arial"/>
              <w:kern w:val="2"/>
              <w:sz w:val="24"/>
              <w:szCs w:val="24"/>
            </w:rPr>
          </w:pPr>
          <w:r>
            <w:fldChar w:fldCharType="begin"/>
          </w:r>
          <w:r>
            <w:instrText xml:space="preserve"> HYPERLINK \l "_Toc498643263" </w:instrText>
          </w:r>
          <w:r>
            <w:fldChar w:fldCharType="separate"/>
          </w:r>
          <w:r>
            <w:rPr>
              <w:rStyle w:val="17"/>
              <w:rFonts w:ascii="Arial" w:hAnsi="Arial" w:cs="Arial"/>
              <w:snapToGrid w:val="0"/>
              <w:spacing w:val="-3"/>
              <w:sz w:val="24"/>
              <w:szCs w:val="24"/>
            </w:rPr>
            <w:t>B.</w:t>
          </w:r>
          <w:r>
            <w:rPr>
              <w:rFonts w:ascii="Arial" w:hAnsi="Arial" w:cs="Arial"/>
              <w:kern w:val="2"/>
              <w:sz w:val="24"/>
              <w:szCs w:val="24"/>
            </w:rPr>
            <w:tab/>
          </w:r>
          <w:r>
            <w:rPr>
              <w:rStyle w:val="17"/>
              <w:rFonts w:ascii="Arial" w:hAnsi="Arial" w:cs="Arial"/>
              <w:snapToGrid w:val="0"/>
              <w:sz w:val="24"/>
              <w:szCs w:val="24"/>
            </w:rPr>
            <w:t>快速审查路径的特征</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_Toc498643263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14:paraId="120ECE43">
          <w:pPr>
            <w:pStyle w:val="13"/>
            <w:tabs>
              <w:tab w:val="right" w:leader="dot" w:pos="9016"/>
            </w:tabs>
            <w:rPr>
              <w:rFonts w:ascii="Arial" w:hAnsi="Arial" w:cs="Arial"/>
              <w:kern w:val="2"/>
              <w:sz w:val="24"/>
              <w:szCs w:val="24"/>
            </w:rPr>
          </w:pPr>
          <w:r>
            <w:fldChar w:fldCharType="begin"/>
          </w:r>
          <w:r>
            <w:instrText xml:space="preserve"> HYPERLINK \l "_Toc498643264" </w:instrText>
          </w:r>
          <w:r>
            <w:fldChar w:fldCharType="separate"/>
          </w:r>
          <w:r>
            <w:rPr>
              <w:rStyle w:val="17"/>
              <w:rFonts w:ascii="Arial" w:hAnsi="Arial" w:cs="Arial"/>
              <w:snapToGrid w:val="0"/>
              <w:spacing w:val="-3"/>
              <w:sz w:val="24"/>
              <w:szCs w:val="24"/>
            </w:rPr>
            <w:t>C.</w:t>
          </w:r>
          <w:r>
            <w:rPr>
              <w:rFonts w:ascii="Arial" w:hAnsi="Arial" w:cs="Arial"/>
              <w:kern w:val="2"/>
              <w:sz w:val="24"/>
              <w:szCs w:val="24"/>
            </w:rPr>
            <w:tab/>
          </w:r>
          <w:r>
            <w:rPr>
              <w:rStyle w:val="17"/>
              <w:rFonts w:ascii="Arial" w:hAnsi="Arial" w:cs="Arial"/>
              <w:snapToGrid w:val="0"/>
              <w:sz w:val="24"/>
              <w:szCs w:val="24"/>
            </w:rPr>
            <w:t>在快速审查路径中测定受PMA监管的EAP器械的收益-风险</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_Toc498643264 \h </w:instrText>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fldChar w:fldCharType="end"/>
          </w:r>
        </w:p>
        <w:p w14:paraId="21889C4C">
          <w:pPr>
            <w:pStyle w:val="13"/>
            <w:tabs>
              <w:tab w:val="right" w:leader="dot" w:pos="9016"/>
            </w:tabs>
            <w:rPr>
              <w:rFonts w:ascii="Arial" w:hAnsi="Arial" w:cs="Arial"/>
              <w:kern w:val="2"/>
              <w:sz w:val="24"/>
              <w:szCs w:val="24"/>
            </w:rPr>
          </w:pPr>
          <w:r>
            <w:fldChar w:fldCharType="begin"/>
          </w:r>
          <w:r>
            <w:instrText xml:space="preserve"> HYPERLINK \l "_Toc498643265" </w:instrText>
          </w:r>
          <w:r>
            <w:fldChar w:fldCharType="separate"/>
          </w:r>
          <w:r>
            <w:rPr>
              <w:rStyle w:val="17"/>
              <w:rFonts w:ascii="Arial" w:hAnsi="Arial" w:cs="Arial"/>
              <w:snapToGrid w:val="0"/>
              <w:spacing w:val="-3"/>
              <w:sz w:val="24"/>
              <w:szCs w:val="24"/>
            </w:rPr>
            <w:t>D.</w:t>
          </w:r>
          <w:r>
            <w:rPr>
              <w:rFonts w:ascii="Arial" w:hAnsi="Arial" w:cs="Arial"/>
              <w:kern w:val="2"/>
              <w:sz w:val="24"/>
              <w:szCs w:val="24"/>
            </w:rPr>
            <w:tab/>
          </w:r>
          <w:r>
            <w:rPr>
              <w:rStyle w:val="17"/>
              <w:rFonts w:ascii="Arial" w:hAnsi="Arial" w:cs="Arial"/>
              <w:snapToGrid w:val="0"/>
              <w:sz w:val="24"/>
              <w:szCs w:val="24"/>
            </w:rPr>
            <w:t>可能支持批准受PMA监管的EAP器械的临床证据类型</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_Toc498643265 \h </w:instrText>
          </w:r>
          <w:r>
            <w:rPr>
              <w:rFonts w:ascii="Arial" w:hAnsi="Arial" w:cs="Arial"/>
              <w:sz w:val="24"/>
              <w:szCs w:val="24"/>
            </w:rPr>
            <w:fldChar w:fldCharType="separate"/>
          </w:r>
          <w:r>
            <w:rPr>
              <w:rFonts w:ascii="Arial" w:hAnsi="Arial" w:cs="Arial"/>
              <w:sz w:val="24"/>
              <w:szCs w:val="24"/>
            </w:rPr>
            <w:t>21</w:t>
          </w:r>
          <w:r>
            <w:rPr>
              <w:rFonts w:ascii="Arial" w:hAnsi="Arial" w:cs="Arial"/>
              <w:sz w:val="24"/>
              <w:szCs w:val="24"/>
            </w:rPr>
            <w:fldChar w:fldCharType="end"/>
          </w:r>
          <w:r>
            <w:rPr>
              <w:rFonts w:ascii="Arial" w:hAnsi="Arial" w:cs="Arial"/>
              <w:sz w:val="24"/>
              <w:szCs w:val="24"/>
            </w:rPr>
            <w:fldChar w:fldCharType="end"/>
          </w:r>
        </w:p>
        <w:p w14:paraId="50F8654E">
          <w:pPr>
            <w:pStyle w:val="13"/>
            <w:tabs>
              <w:tab w:val="right" w:leader="dot" w:pos="9016"/>
            </w:tabs>
            <w:rPr>
              <w:rFonts w:ascii="Arial" w:hAnsi="Arial" w:cs="Arial"/>
              <w:kern w:val="2"/>
              <w:sz w:val="24"/>
              <w:szCs w:val="24"/>
            </w:rPr>
          </w:pPr>
          <w:r>
            <w:fldChar w:fldCharType="begin"/>
          </w:r>
          <w:r>
            <w:instrText xml:space="preserve"> HYPERLINK \l "_Toc498643266" </w:instrText>
          </w:r>
          <w:r>
            <w:fldChar w:fldCharType="separate"/>
          </w:r>
          <w:r>
            <w:rPr>
              <w:rStyle w:val="17"/>
              <w:rFonts w:ascii="Arial" w:hAnsi="Arial" w:cs="Arial"/>
              <w:snapToGrid w:val="0"/>
              <w:spacing w:val="-3"/>
              <w:sz w:val="24"/>
              <w:szCs w:val="24"/>
            </w:rPr>
            <w:t>E.</w:t>
          </w:r>
          <w:r>
            <w:rPr>
              <w:rFonts w:ascii="Arial" w:hAnsi="Arial" w:cs="Arial"/>
              <w:kern w:val="2"/>
              <w:sz w:val="24"/>
              <w:szCs w:val="24"/>
            </w:rPr>
            <w:tab/>
          </w:r>
          <w:r>
            <w:rPr>
              <w:rStyle w:val="17"/>
              <w:rFonts w:ascii="Arial" w:hAnsi="Arial" w:cs="Arial"/>
              <w:snapToGrid w:val="0"/>
              <w:sz w:val="24"/>
              <w:szCs w:val="24"/>
            </w:rPr>
            <w:t>受PMA监管的EAP器械的制造考虑因素</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_Toc498643266 \h </w:instrText>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fldChar w:fldCharType="end"/>
          </w:r>
        </w:p>
        <w:p w14:paraId="65481AC4">
          <w:pPr>
            <w:pStyle w:val="13"/>
            <w:tabs>
              <w:tab w:val="right" w:leader="dot" w:pos="9016"/>
            </w:tabs>
            <w:rPr>
              <w:rFonts w:ascii="Arial" w:hAnsi="Arial" w:cs="Arial"/>
              <w:kern w:val="2"/>
              <w:sz w:val="24"/>
              <w:szCs w:val="24"/>
            </w:rPr>
          </w:pPr>
          <w:r>
            <w:fldChar w:fldCharType="begin"/>
          </w:r>
          <w:r>
            <w:instrText xml:space="preserve"> HYPERLINK \l "_Toc498643267" </w:instrText>
          </w:r>
          <w:r>
            <w:fldChar w:fldCharType="separate"/>
          </w:r>
          <w:r>
            <w:rPr>
              <w:rStyle w:val="17"/>
              <w:rFonts w:ascii="Arial" w:hAnsi="Arial" w:cs="Arial"/>
              <w:snapToGrid w:val="0"/>
              <w:spacing w:val="-3"/>
              <w:sz w:val="24"/>
              <w:szCs w:val="24"/>
            </w:rPr>
            <w:t>F.</w:t>
          </w:r>
          <w:r>
            <w:rPr>
              <w:rFonts w:ascii="Arial" w:hAnsi="Arial" w:cs="Arial"/>
              <w:kern w:val="2"/>
              <w:sz w:val="24"/>
              <w:szCs w:val="24"/>
            </w:rPr>
            <w:tab/>
          </w:r>
          <w:r>
            <w:rPr>
              <w:rStyle w:val="17"/>
              <w:rFonts w:ascii="Arial" w:hAnsi="Arial" w:cs="Arial"/>
              <w:snapToGrid w:val="0"/>
              <w:sz w:val="24"/>
              <w:szCs w:val="24"/>
            </w:rPr>
            <w:t>受PMA监管的EAP器械的批准条件</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_Toc498643267 \h </w:instrText>
          </w:r>
          <w:r>
            <w:rPr>
              <w:rFonts w:ascii="Arial" w:hAnsi="Arial" w:cs="Arial"/>
              <w:sz w:val="24"/>
              <w:szCs w:val="24"/>
            </w:rPr>
            <w:fldChar w:fldCharType="separate"/>
          </w:r>
          <w:r>
            <w:rPr>
              <w:rFonts w:ascii="Arial" w:hAnsi="Arial" w:cs="Arial"/>
              <w:sz w:val="24"/>
              <w:szCs w:val="24"/>
            </w:rPr>
            <w:t>32</w:t>
          </w:r>
          <w:r>
            <w:rPr>
              <w:rFonts w:ascii="Arial" w:hAnsi="Arial" w:cs="Arial"/>
              <w:sz w:val="24"/>
              <w:szCs w:val="24"/>
            </w:rPr>
            <w:fldChar w:fldCharType="end"/>
          </w:r>
          <w:r>
            <w:rPr>
              <w:rFonts w:ascii="Arial" w:hAnsi="Arial" w:cs="Arial"/>
              <w:sz w:val="24"/>
              <w:szCs w:val="24"/>
            </w:rPr>
            <w:fldChar w:fldCharType="end"/>
          </w:r>
        </w:p>
        <w:p w14:paraId="5883B05C">
          <w:pPr>
            <w:pStyle w:val="13"/>
            <w:tabs>
              <w:tab w:val="right" w:leader="dot" w:pos="9016"/>
            </w:tabs>
            <w:rPr>
              <w:rFonts w:ascii="Arial" w:hAnsi="Arial" w:cs="Arial"/>
              <w:kern w:val="2"/>
              <w:sz w:val="24"/>
              <w:szCs w:val="24"/>
            </w:rPr>
          </w:pPr>
          <w:r>
            <w:fldChar w:fldCharType="begin"/>
          </w:r>
          <w:r>
            <w:instrText xml:space="preserve"> HYPERLINK \l "_Toc498643268" </w:instrText>
          </w:r>
          <w:r>
            <w:fldChar w:fldCharType="separate"/>
          </w:r>
          <w:r>
            <w:rPr>
              <w:rStyle w:val="17"/>
              <w:rFonts w:ascii="Arial" w:hAnsi="Arial" w:cs="Arial"/>
              <w:snapToGrid w:val="0"/>
              <w:spacing w:val="-3"/>
              <w:sz w:val="24"/>
              <w:szCs w:val="24"/>
            </w:rPr>
            <w:t>G.</w:t>
          </w:r>
          <w:r>
            <w:rPr>
              <w:rFonts w:ascii="Arial" w:hAnsi="Arial" w:cs="Arial"/>
              <w:kern w:val="2"/>
              <w:sz w:val="24"/>
              <w:szCs w:val="24"/>
            </w:rPr>
            <w:tab/>
          </w:r>
          <w:r>
            <w:rPr>
              <w:rStyle w:val="17"/>
              <w:rFonts w:ascii="Arial" w:hAnsi="Arial" w:cs="Arial"/>
              <w:snapToGrid w:val="0"/>
              <w:sz w:val="24"/>
              <w:szCs w:val="24"/>
            </w:rPr>
            <w:t>受PMA监管的EAP器械的上市后行动</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_Toc498643268 \h </w:instrText>
          </w:r>
          <w:r>
            <w:rPr>
              <w:rFonts w:ascii="Arial" w:hAnsi="Arial" w:cs="Arial"/>
              <w:sz w:val="24"/>
              <w:szCs w:val="24"/>
            </w:rPr>
            <w:fldChar w:fldCharType="separate"/>
          </w:r>
          <w:r>
            <w:rPr>
              <w:rFonts w:ascii="Arial" w:hAnsi="Arial" w:cs="Arial"/>
              <w:sz w:val="24"/>
              <w:szCs w:val="24"/>
            </w:rPr>
            <w:t>34</w:t>
          </w:r>
          <w:r>
            <w:rPr>
              <w:rFonts w:ascii="Arial" w:hAnsi="Arial" w:cs="Arial"/>
              <w:sz w:val="24"/>
              <w:szCs w:val="24"/>
            </w:rPr>
            <w:fldChar w:fldCharType="end"/>
          </w:r>
          <w:r>
            <w:rPr>
              <w:rFonts w:ascii="Arial" w:hAnsi="Arial" w:cs="Arial"/>
              <w:sz w:val="24"/>
              <w:szCs w:val="24"/>
            </w:rPr>
            <w:fldChar w:fldCharType="end"/>
          </w:r>
        </w:p>
        <w:p w14:paraId="34D8BD5B">
          <w:pPr>
            <w:pStyle w:val="13"/>
            <w:tabs>
              <w:tab w:val="right" w:leader="dot" w:pos="9016"/>
            </w:tabs>
            <w:rPr>
              <w:rFonts w:ascii="Arial" w:hAnsi="Arial" w:cs="Arial"/>
              <w:kern w:val="2"/>
              <w:sz w:val="24"/>
              <w:szCs w:val="24"/>
            </w:rPr>
          </w:pPr>
          <w:r>
            <w:fldChar w:fldCharType="begin"/>
          </w:r>
          <w:r>
            <w:instrText xml:space="preserve"> HYPERLINK \l "_Toc498643269" </w:instrText>
          </w:r>
          <w:r>
            <w:fldChar w:fldCharType="separate"/>
          </w:r>
          <w:r>
            <w:rPr>
              <w:rStyle w:val="17"/>
              <w:rFonts w:ascii="Arial" w:hAnsi="Arial" w:cs="Arial"/>
              <w:snapToGrid w:val="0"/>
              <w:spacing w:val="-3"/>
              <w:sz w:val="24"/>
              <w:szCs w:val="24"/>
            </w:rPr>
            <w:t>H.</w:t>
          </w:r>
          <w:r>
            <w:rPr>
              <w:rFonts w:ascii="Arial" w:hAnsi="Arial" w:cs="Arial"/>
              <w:kern w:val="2"/>
              <w:sz w:val="24"/>
              <w:szCs w:val="24"/>
            </w:rPr>
            <w:tab/>
          </w:r>
          <w:r>
            <w:rPr>
              <w:rStyle w:val="17"/>
              <w:rFonts w:ascii="Arial" w:hAnsi="Arial" w:cs="Arial"/>
              <w:snapToGrid w:val="0"/>
              <w:sz w:val="24"/>
              <w:szCs w:val="24"/>
            </w:rPr>
            <w:t>项目评价</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_Toc498643269 \h </w:instrText>
          </w:r>
          <w:r>
            <w:rPr>
              <w:rFonts w:ascii="Arial" w:hAnsi="Arial" w:cs="Arial"/>
              <w:sz w:val="24"/>
              <w:szCs w:val="24"/>
            </w:rPr>
            <w:fldChar w:fldCharType="separate"/>
          </w:r>
          <w:r>
            <w:rPr>
              <w:rFonts w:ascii="Arial" w:hAnsi="Arial" w:cs="Arial"/>
              <w:sz w:val="24"/>
              <w:szCs w:val="24"/>
            </w:rPr>
            <w:t>37</w:t>
          </w:r>
          <w:r>
            <w:rPr>
              <w:rFonts w:ascii="Arial" w:hAnsi="Arial" w:cs="Arial"/>
              <w:sz w:val="24"/>
              <w:szCs w:val="24"/>
            </w:rPr>
            <w:fldChar w:fldCharType="end"/>
          </w:r>
          <w:r>
            <w:rPr>
              <w:rFonts w:ascii="Arial" w:hAnsi="Arial" w:cs="Arial"/>
              <w:sz w:val="24"/>
              <w:szCs w:val="24"/>
            </w:rPr>
            <w:fldChar w:fldCharType="end"/>
          </w:r>
        </w:p>
        <w:p w14:paraId="4608A32B">
          <w:pPr>
            <w:topLinePunct/>
            <w:adjustRightInd w:val="0"/>
            <w:snapToGrid w:val="0"/>
            <w:spacing w:after="224" w:afterLines="75" w:line="288" w:lineRule="auto"/>
            <w:jc w:val="both"/>
            <w:rPr>
              <w:rFonts w:ascii="Arial" w:hAnsi="Arial" w:eastAsia="宋体" w:cs="Arial"/>
              <w:snapToGrid w:val="0"/>
              <w:sz w:val="24"/>
            </w:rPr>
          </w:pPr>
          <w:r>
            <w:rPr>
              <w:rFonts w:ascii="Arial" w:hAnsi="Arial" w:eastAsia="宋体" w:cs="Arial"/>
              <w:snapToGrid w:val="0"/>
              <w:sz w:val="24"/>
              <w:szCs w:val="24"/>
            </w:rPr>
            <w:fldChar w:fldCharType="end"/>
          </w:r>
        </w:p>
      </w:sdtContent>
    </w:sdt>
    <w:p w14:paraId="30816776">
      <w:pPr>
        <w:pBdr>
          <w:bottom w:val="single" w:color="auto" w:sz="4" w:space="1"/>
        </w:pBdr>
        <w:topLinePunct/>
        <w:adjustRightInd w:val="0"/>
        <w:snapToGrid w:val="0"/>
        <w:spacing w:after="224" w:afterLines="75" w:line="288" w:lineRule="auto"/>
        <w:jc w:val="center"/>
        <w:rPr>
          <w:rFonts w:ascii="Arial" w:hAnsi="Arial" w:eastAsia="宋体" w:cs="Arial"/>
          <w:snapToGrid w:val="0"/>
          <w:sz w:val="48"/>
          <w:szCs w:val="56"/>
        </w:rPr>
      </w:pPr>
      <w:r>
        <w:rPr>
          <w:rFonts w:ascii="Arial" w:hAnsi="Arial" w:eastAsia="宋体" w:cs="Arial"/>
          <w:snapToGrid w:val="0"/>
          <w:sz w:val="24"/>
        </w:rPr>
        <w:br w:type="page"/>
      </w:r>
      <w:bookmarkStart w:id="2" w:name="Introduction"/>
      <w:bookmarkEnd w:id="2"/>
      <w:r>
        <w:rPr>
          <w:rFonts w:hint="eastAsia" w:ascii="Arial" w:hAnsi="Arial" w:eastAsia="宋体" w:cs="Arial"/>
          <w:b/>
          <w:snapToGrid w:val="0"/>
          <w:sz w:val="48"/>
        </w:rPr>
        <w:t>快速审查用于致命性或不可逆衰竭性疾病或病症的未满足医疗需求的上市前批准和医疗器械再次申请</w:t>
      </w:r>
    </w:p>
    <w:p w14:paraId="11995B95">
      <w:pPr>
        <w:topLinePunct/>
        <w:adjustRightInd w:val="0"/>
        <w:snapToGrid w:val="0"/>
        <w:spacing w:after="224" w:afterLines="75" w:line="288" w:lineRule="auto"/>
        <w:jc w:val="center"/>
        <w:rPr>
          <w:rFonts w:ascii="Arial" w:hAnsi="Arial" w:eastAsia="宋体" w:cs="Arial"/>
          <w:snapToGrid w:val="0"/>
          <w:sz w:val="48"/>
          <w:szCs w:val="56"/>
        </w:rPr>
      </w:pPr>
      <w:r>
        <w:rPr>
          <w:rFonts w:hint="eastAsia" w:ascii="Arial" w:hAnsi="Arial" w:eastAsia="宋体" w:cs="Arial"/>
          <w:b/>
          <w:snapToGrid w:val="0"/>
          <w:sz w:val="48"/>
        </w:rPr>
        <w:t>行业和食品药品监督管理局工作人员指南</w:t>
      </w:r>
    </w:p>
    <w:p w14:paraId="7C72B25E">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after="224" w:afterLines="75" w:line="288" w:lineRule="auto"/>
        <w:jc w:val="both"/>
        <w:rPr>
          <w:rFonts w:ascii="Arial" w:hAnsi="Arial" w:eastAsia="宋体" w:cs="Arial"/>
          <w:b/>
          <w:i/>
          <w:snapToGrid w:val="0"/>
          <w:sz w:val="24"/>
          <w:szCs w:val="20"/>
        </w:rPr>
      </w:pPr>
      <w:r>
        <w:rPr>
          <w:rFonts w:hint="eastAsia" w:ascii="Arial" w:hAnsi="Arial" w:eastAsia="宋体" w:cs="Arial"/>
          <w:b/>
          <w:i/>
          <w:snapToGrid w:val="0"/>
          <w:sz w:val="24"/>
          <w:szCs w:val="20"/>
        </w:rPr>
        <w:t>本指南代表食品药品监督管理局（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p w14:paraId="36B34177">
      <w:pPr>
        <w:pStyle w:val="2"/>
        <w:numPr>
          <w:ilvl w:val="0"/>
          <w:numId w:val="1"/>
        </w:numPr>
        <w:tabs>
          <w:tab w:val="left" w:pos="840"/>
        </w:tabs>
        <w:topLinePunct/>
        <w:adjustRightInd w:val="0"/>
        <w:snapToGrid w:val="0"/>
        <w:spacing w:before="0" w:after="224" w:afterLines="75" w:line="288" w:lineRule="auto"/>
        <w:jc w:val="both"/>
        <w:rPr>
          <w:rFonts w:ascii="Arial" w:hAnsi="Arial" w:cs="Arial"/>
          <w:b w:val="0"/>
          <w:bCs w:val="0"/>
          <w:snapToGrid w:val="0"/>
        </w:rPr>
      </w:pPr>
      <w:bookmarkStart w:id="3" w:name="_Toc498643257"/>
      <w:r>
        <w:rPr>
          <w:rFonts w:hint="eastAsia" w:ascii="Arial" w:hAnsi="Arial" w:cs="Arial"/>
          <w:snapToGrid w:val="0"/>
        </w:rPr>
        <w:t>引言</w:t>
      </w:r>
      <w:bookmarkEnd w:id="3"/>
    </w:p>
    <w:p w14:paraId="4EBF0F8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食品药品监督管理局（FDA或本机构）正在引入一项新的自愿项目，此计划针对某些可能解决致命性或不可逆衰竭性疾病或病症的未满足医疗需求，并受上市前批准申请（PMA）或</w:t>
      </w:r>
      <w:r>
        <w:rPr>
          <w:rFonts w:hint="eastAsia" w:ascii="Arial" w:hAnsi="Arial" w:cs="Arial"/>
          <w:i/>
          <w:snapToGrid w:val="0"/>
        </w:rPr>
        <w:t>再次申请请求</w:t>
      </w:r>
      <w:r>
        <w:rPr>
          <w:rFonts w:hint="eastAsia" w:ascii="Arial" w:hAnsi="Arial" w:cs="Arial"/>
          <w:snapToGrid w:val="0"/>
        </w:rPr>
        <w:t>监管的医疗器械。FDA认为，项目</w:t>
      </w:r>
      <w:r>
        <w:rPr>
          <w:rFonts w:hint="eastAsia" w:ascii="宋体" w:hAnsi="宋体" w:cs="Arial"/>
          <w:snapToGrid w:val="0"/>
        </w:rPr>
        <w:t>“</w:t>
      </w:r>
      <w:r>
        <w:rPr>
          <w:rFonts w:hint="eastAsia" w:ascii="Arial" w:hAnsi="Arial" w:cs="Arial"/>
          <w:snapToGrid w:val="0"/>
        </w:rPr>
        <w:t>致命性或不可逆衰竭性疾病或病症的未满足医疗需求的快速审查路径</w:t>
      </w:r>
      <w:r>
        <w:rPr>
          <w:rFonts w:hint="eastAsia" w:ascii="宋体" w:hAnsi="宋体" w:cs="Arial"/>
          <w:snapToGrid w:val="0"/>
        </w:rPr>
        <w:t>”</w:t>
      </w:r>
      <w:r>
        <w:rPr>
          <w:rFonts w:hint="eastAsia" w:ascii="Arial" w:hAnsi="Arial" w:cs="Arial"/>
          <w:snapToGrid w:val="0"/>
        </w:rPr>
        <w:t>（</w:t>
      </w:r>
      <w:r>
        <w:rPr>
          <w:rFonts w:hint="eastAsia" w:ascii="宋体" w:hAnsi="宋体" w:cs="Arial"/>
          <w:snapToGrid w:val="0"/>
        </w:rPr>
        <w:t>“</w:t>
      </w:r>
      <w:r>
        <w:rPr>
          <w:rFonts w:hint="eastAsia" w:ascii="Arial" w:hAnsi="Arial" w:cs="Arial"/>
          <w:snapToGrid w:val="0"/>
        </w:rPr>
        <w:t>快速审查路径</w:t>
      </w:r>
      <w:r>
        <w:rPr>
          <w:rFonts w:hint="eastAsia" w:ascii="宋体" w:hAnsi="宋体" w:cs="Arial"/>
          <w:snapToGrid w:val="0"/>
        </w:rPr>
        <w:t>”</w:t>
      </w:r>
      <w:r>
        <w:rPr>
          <w:rFonts w:hint="eastAsia" w:ascii="Arial" w:hAnsi="Arial" w:cs="Arial"/>
          <w:snapToGrid w:val="0"/>
        </w:rPr>
        <w:t>或</w:t>
      </w:r>
      <w:r>
        <w:rPr>
          <w:rFonts w:hint="eastAsia" w:ascii="宋体" w:hAnsi="宋体" w:cs="Arial"/>
          <w:snapToGrid w:val="0"/>
        </w:rPr>
        <w:t>“</w:t>
      </w:r>
      <w:r>
        <w:rPr>
          <w:rFonts w:hint="eastAsia" w:ascii="Arial" w:hAnsi="Arial" w:cs="Arial"/>
          <w:snapToGrid w:val="0"/>
        </w:rPr>
        <w:t>EAP</w:t>
      </w:r>
      <w:r>
        <w:rPr>
          <w:rFonts w:hint="eastAsia" w:ascii="宋体" w:hAnsi="宋体" w:cs="Arial"/>
          <w:snapToGrid w:val="0"/>
        </w:rPr>
        <w:t>”</w:t>
      </w:r>
      <w:r>
        <w:rPr>
          <w:rFonts w:hint="eastAsia" w:ascii="Arial" w:hAnsi="Arial" w:cs="Arial"/>
          <w:snapToGrid w:val="0"/>
        </w:rPr>
        <w:t>）将加速医疗器械的开发、评估和审查，同时保持上市前批准</w:t>
      </w:r>
      <w:r>
        <w:rPr>
          <w:rStyle w:val="18"/>
          <w:rFonts w:ascii="Arial" w:hAnsi="Arial" w:cs="Arial"/>
          <w:snapToGrid w:val="0"/>
        </w:rPr>
        <w:footnoteReference w:id="0"/>
      </w:r>
      <w:r>
        <w:rPr>
          <w:rFonts w:hint="eastAsia" w:ascii="Arial" w:hAnsi="Arial" w:cs="Arial"/>
          <w:snapToGrid w:val="0"/>
        </w:rPr>
        <w:t>的法定标准（即合理保证安全性和有效性）以及同意</w:t>
      </w:r>
      <w:r>
        <w:rPr>
          <w:rFonts w:hint="eastAsia" w:ascii="Arial" w:hAnsi="Arial" w:cs="Arial"/>
          <w:i/>
          <w:snapToGrid w:val="0"/>
        </w:rPr>
        <w:t>再次申请请求</w:t>
      </w:r>
      <w:r>
        <w:rPr>
          <w:rStyle w:val="18"/>
          <w:rFonts w:ascii="Arial" w:hAnsi="Arial" w:cs="Arial"/>
          <w:i/>
          <w:snapToGrid w:val="0"/>
        </w:rPr>
        <w:footnoteReference w:id="1"/>
      </w:r>
      <w:r>
        <w:rPr>
          <w:rFonts w:hint="eastAsia" w:ascii="Arial" w:hAnsi="Arial" w:cs="Arial"/>
          <w:snapToGrid w:val="0"/>
        </w:rPr>
        <w:t>的法定标准与本机构保护和促进公共卫生的法定使命一致，从而有助于患者及时获得此类医疗器械。</w:t>
      </w:r>
    </w:p>
    <w:p w14:paraId="2E4EF81E">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06F54E4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某些情况下，为尽早获得医疗器械，患者可能愿意承担更高风险。对于没有针对其病症的治疗的患者或面临严重或致命性病症的患者，可能尤其如此。FDA必须确保在快速审查医疗器械时，FDA可以确保器械安全有效。如果适用，与传统上市前审查路径相比，减少上市前数据要求，同时增加PMA器械的上市后要求可以帮助FDA尽快将医疗器械提供给患者。适用于此路径的器械包括新器械和寻找新适应症，或者其更改或修改可能显著影响器械安全性和有效性的现有器械【21 CFR 807.81 (a) (3) (1)】。</w:t>
      </w:r>
    </w:p>
    <w:p w14:paraId="21310C3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为实施此EAP项目，如果资源允许，FDA打算在器械开发期间进行更多互动交流，并使研究性器械豁免（IDE）、PMA申请和</w:t>
      </w:r>
      <w:r>
        <w:rPr>
          <w:rFonts w:hint="eastAsia" w:ascii="Arial" w:hAnsi="Arial" w:cs="Arial"/>
          <w:i/>
          <w:snapToGrid w:val="0"/>
        </w:rPr>
        <w:t>再次申请请求</w:t>
      </w:r>
      <w:r>
        <w:rPr>
          <w:rFonts w:hint="eastAsia" w:ascii="Arial" w:hAnsi="Arial" w:cs="Arial"/>
          <w:snapToGrid w:val="0"/>
        </w:rPr>
        <w:t>的审查更具互动性。此外，在制定特定于器械的数据开发计划（</w:t>
      </w:r>
      <w:r>
        <w:rPr>
          <w:rFonts w:hint="eastAsia" w:ascii="宋体" w:hAnsi="宋体" w:cs="Arial"/>
          <w:snapToGrid w:val="0"/>
        </w:rPr>
        <w:t>“</w:t>
      </w:r>
      <w:r>
        <w:rPr>
          <w:rFonts w:hint="eastAsia" w:ascii="Arial" w:hAnsi="Arial" w:cs="Arial"/>
          <w:snapToGrid w:val="0"/>
        </w:rPr>
        <w:t>数据开发计划</w:t>
      </w:r>
      <w:r>
        <w:rPr>
          <w:rFonts w:hint="eastAsia" w:ascii="宋体" w:hAnsi="宋体" w:cs="Arial"/>
          <w:snapToGrid w:val="0"/>
        </w:rPr>
        <w:t>”</w:t>
      </w:r>
      <w:r>
        <w:rPr>
          <w:rFonts w:hint="eastAsia" w:ascii="Arial" w:hAnsi="Arial" w:cs="Arial"/>
          <w:snapToGrid w:val="0"/>
        </w:rPr>
        <w:t>）时，FDA打算与申办方进行交互式合作。数据开发计划应概述申办方打算收集用于支持器械审批的所有数据，</w:t>
      </w:r>
      <w:r>
        <w:rPr>
          <w:rStyle w:val="18"/>
          <w:rFonts w:ascii="Arial" w:hAnsi="Arial" w:cs="Arial"/>
          <w:snapToGrid w:val="0"/>
        </w:rPr>
        <w:footnoteReference w:id="2"/>
      </w:r>
      <w:r>
        <w:rPr>
          <w:rFonts w:hint="eastAsia" w:ascii="Arial" w:hAnsi="Arial" w:cs="Arial"/>
          <w:snapToGrid w:val="0"/>
        </w:rPr>
        <w:t>包括将在上市前和上市后收集的数据。</w:t>
      </w:r>
    </w:p>
    <w:p w14:paraId="2D3C86B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FDA的EAP项目包含CDRH创新路径的特征，其中，此路径于2011年试行，旨在促进开发和加速审查突破性技术。</w:t>
      </w:r>
      <w:r>
        <w:rPr>
          <w:rStyle w:val="18"/>
          <w:rFonts w:ascii="Arial" w:hAnsi="Arial" w:cs="Arial"/>
          <w:snapToGrid w:val="0"/>
        </w:rPr>
        <w:footnoteReference w:id="3"/>
      </w:r>
      <w:r>
        <w:rPr>
          <w:rFonts w:hint="eastAsia" w:ascii="Arial" w:hAnsi="Arial" w:cs="Arial"/>
          <w:snapToGrid w:val="0"/>
        </w:rPr>
        <w:t>此外，EAP项目部分依赖于FDA对药品评价和研究中心（CDER）和生物制剂评价和研究中心（CBER）项目的经验，其中，此项目旨在促进和加快新药开发和审查，以解决治疗严重或致命性病症的未满足医疗需求（</w:t>
      </w:r>
      <w:r>
        <w:rPr>
          <w:rFonts w:hint="eastAsia" w:ascii="宋体" w:hAnsi="宋体" w:cs="Arial"/>
          <w:snapToGrid w:val="0"/>
        </w:rPr>
        <w:t>“</w:t>
      </w:r>
      <w:r>
        <w:rPr>
          <w:rFonts w:hint="eastAsia" w:ascii="Arial" w:hAnsi="Arial" w:cs="Arial"/>
          <w:snapToGrid w:val="0"/>
        </w:rPr>
        <w:t>FDA药品加速项目</w:t>
      </w:r>
      <w:r>
        <w:rPr>
          <w:rFonts w:hint="eastAsia" w:ascii="宋体" w:hAnsi="宋体" w:cs="Arial"/>
          <w:snapToGrid w:val="0"/>
        </w:rPr>
        <w:t>”</w:t>
      </w:r>
      <w:r>
        <w:rPr>
          <w:rFonts w:hint="eastAsia" w:ascii="Arial" w:hAnsi="Arial" w:cs="Arial"/>
          <w:snapToGrid w:val="0"/>
        </w:rPr>
        <w:t>）。</w:t>
      </w:r>
      <w:r>
        <w:rPr>
          <w:rStyle w:val="18"/>
          <w:rFonts w:ascii="Arial" w:hAnsi="Arial" w:cs="Arial"/>
          <w:snapToGrid w:val="0"/>
        </w:rPr>
        <w:footnoteReference w:id="4"/>
      </w:r>
      <w:r>
        <w:rPr>
          <w:rFonts w:hint="eastAsia" w:ascii="Arial" w:hAnsi="Arial" w:cs="Arial"/>
          <w:snapToGrid w:val="0"/>
        </w:rPr>
        <w:t>尽管EAP项目包含了药物加速计划的一些特征，但其是独立的不同项目，已针对器械调整，且旨在进一步加快某些安全有效医疗器械的可用性，以便解决未满足公共卫生需求。组合产品可能会引发特殊科学和管理挑战。拟为组合产品获得批准的申办方，其中，该产品的器械组件可能符合EAP指定条件，应尽早与FDA讨论使用EAP路径的可行性。</w:t>
      </w:r>
    </w:p>
    <w:p w14:paraId="7A630244">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FDA指导性文件，包括本指南，不构成具有法律强制力的责任。相反，指导性文件表明了本机构对某一主题的最新见解，除非引用具体的法规或法律要求，否则只应视为建议。</w:t>
      </w:r>
      <w:bookmarkStart w:id="4" w:name="Background"/>
      <w:bookmarkEnd w:id="4"/>
      <w:bookmarkStart w:id="5" w:name="Role_of_Postmarket_Data_for_EAP_Devices_"/>
      <w:bookmarkEnd w:id="5"/>
      <w:bookmarkStart w:id="6" w:name="Innovation_Pathway"/>
      <w:bookmarkEnd w:id="6"/>
      <w:r>
        <w:rPr>
          <w:rFonts w:hint="eastAsia" w:ascii="Arial" w:hAnsi="Arial" w:cs="Arial"/>
          <w:snapToGrid w:val="0"/>
        </w:rPr>
        <w:t>在本审查机构指导性文件中使用词语</w:t>
      </w:r>
      <w:r>
        <w:rPr>
          <w:rFonts w:hint="eastAsia" w:ascii="宋体" w:hAnsi="宋体" w:cs="Arial"/>
          <w:snapToGrid w:val="0"/>
        </w:rPr>
        <w:t>“</w:t>
      </w:r>
      <w:r>
        <w:rPr>
          <w:rFonts w:hint="eastAsia" w:ascii="Arial" w:hAnsi="Arial" w:cs="Arial"/>
          <w:snapToGrid w:val="0"/>
        </w:rPr>
        <w:t>应</w:t>
      </w:r>
      <w:r>
        <w:rPr>
          <w:rFonts w:hint="eastAsia" w:ascii="宋体" w:hAnsi="宋体" w:cs="Arial"/>
          <w:snapToGrid w:val="0"/>
        </w:rPr>
        <w:t>”</w:t>
      </w:r>
      <w:r>
        <w:rPr>
          <w:rFonts w:hint="eastAsia" w:ascii="Arial" w:hAnsi="Arial" w:cs="Arial"/>
          <w:snapToGrid w:val="0"/>
        </w:rPr>
        <w:t>是指建议或推荐进行某一事项，并非强制要求。</w:t>
      </w:r>
    </w:p>
    <w:p w14:paraId="3EE39142">
      <w:pPr>
        <w:rPr>
          <w:rFonts w:ascii="Arial" w:hAnsi="Arial" w:eastAsia="宋体" w:cs="Arial"/>
          <w:b/>
          <w:bCs/>
          <w:snapToGrid w:val="0"/>
          <w:sz w:val="24"/>
          <w:szCs w:val="36"/>
        </w:rPr>
      </w:pPr>
      <w:bookmarkStart w:id="7" w:name="_Toc498643258"/>
      <w:r>
        <w:rPr>
          <w:rFonts w:ascii="Arial" w:hAnsi="Arial" w:cs="Arial"/>
          <w:snapToGrid w:val="0"/>
          <w:sz w:val="24"/>
        </w:rPr>
        <w:br w:type="page"/>
      </w:r>
    </w:p>
    <w:p w14:paraId="0FF76137">
      <w:pPr>
        <w:pStyle w:val="2"/>
        <w:numPr>
          <w:ilvl w:val="0"/>
          <w:numId w:val="1"/>
        </w:numPr>
        <w:tabs>
          <w:tab w:val="left" w:pos="840"/>
        </w:tabs>
        <w:topLinePunct/>
        <w:adjustRightInd w:val="0"/>
        <w:snapToGrid w:val="0"/>
        <w:spacing w:before="0" w:after="224" w:afterLines="75" w:line="288" w:lineRule="auto"/>
        <w:ind w:left="0" w:firstLine="0"/>
        <w:jc w:val="both"/>
        <w:rPr>
          <w:rFonts w:ascii="Arial" w:hAnsi="Arial" w:cs="Arial"/>
          <w:b w:val="0"/>
          <w:bCs w:val="0"/>
          <w:snapToGrid w:val="0"/>
        </w:rPr>
      </w:pPr>
      <w:r>
        <w:rPr>
          <w:rFonts w:hint="eastAsia" w:ascii="Arial" w:hAnsi="Arial" w:cs="Arial"/>
          <w:snapToGrid w:val="0"/>
        </w:rPr>
        <w:t>背景</w:t>
      </w:r>
      <w:bookmarkEnd w:id="7"/>
    </w:p>
    <w:p w14:paraId="60B733D4">
      <w:pPr>
        <w:pStyle w:val="3"/>
        <w:topLinePunct/>
        <w:adjustRightInd w:val="0"/>
        <w:snapToGrid w:val="0"/>
        <w:spacing w:after="224" w:afterLines="75" w:line="288" w:lineRule="auto"/>
        <w:ind w:left="0" w:firstLine="0"/>
        <w:jc w:val="both"/>
        <w:rPr>
          <w:rFonts w:ascii="Arial" w:hAnsi="Arial" w:cs="Arial"/>
          <w:b w:val="0"/>
          <w:bCs w:val="0"/>
          <w:snapToGrid w:val="0"/>
          <w:sz w:val="28"/>
        </w:rPr>
      </w:pPr>
      <w:bookmarkStart w:id="8" w:name="_Toc498643259"/>
      <w:r>
        <w:rPr>
          <w:rFonts w:hint="eastAsia" w:ascii="Arial" w:hAnsi="Arial" w:cs="Arial"/>
          <w:snapToGrid w:val="0"/>
          <w:sz w:val="28"/>
        </w:rPr>
        <w:t>创新路径</w:t>
      </w:r>
      <w:bookmarkEnd w:id="8"/>
    </w:p>
    <w:p w14:paraId="4B305254">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EAP项目包含创新路径的所有特征，例如FDA和申办方之间的早期互动，以及高级管理层参与和使用案例管理人员（如果适用）。</w:t>
      </w:r>
      <w:r>
        <w:rPr>
          <w:rStyle w:val="18"/>
          <w:rFonts w:ascii="Arial" w:hAnsi="Arial" w:cs="Arial"/>
          <w:snapToGrid w:val="0"/>
        </w:rPr>
        <w:footnoteReference w:id="5"/>
      </w:r>
      <w:r>
        <w:rPr>
          <w:rFonts w:hint="eastAsia" w:ascii="Arial" w:hAnsi="Arial" w:cs="Arial"/>
          <w:snapToGrid w:val="0"/>
        </w:rPr>
        <w:t>FDA于2011年启动了创新路径，旨在促进开发和加速审查突破性技术。本机构认为，在器械开发期间尽早与创新者接洽以及增加互动可以帮助减少为患者带来安全有效技术的整个过程的时间和成本。</w:t>
      </w:r>
    </w:p>
    <w:p w14:paraId="0AFE520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创新路径包括制定早期全面的器械计划，其中，该计划应概述数据收集需求以及可能在审查过程期间出现的科学和法规问题，以使FDA和申办方之间的后续交流更顺利，更成功。</w:t>
      </w:r>
    </w:p>
    <w:p w14:paraId="4BF3D60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EAP项目中，受到FDA创新路径影响的关键特征是制定数据开发计划，其中包括申办方建议收集的临床和非临床数据描述，以及开发和上市器械的时间表。FDA认为，数据开发计划将有助于确保器械评估和审查可预测、高效、透明和及时。</w:t>
      </w:r>
    </w:p>
    <w:p w14:paraId="0E957C3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通过在整个审查过程中尽早以及经常与申办方进行互动，FDA和申办方可以更早地确定和解决新的科学问题，并加快器械评估和上市前审查。</w:t>
      </w:r>
    </w:p>
    <w:p w14:paraId="3AAA01B6">
      <w:pPr>
        <w:pStyle w:val="3"/>
        <w:topLinePunct/>
        <w:adjustRightInd w:val="0"/>
        <w:snapToGrid w:val="0"/>
        <w:spacing w:after="224" w:afterLines="75" w:line="288" w:lineRule="auto"/>
        <w:ind w:left="0" w:firstLine="0"/>
        <w:jc w:val="both"/>
        <w:rPr>
          <w:rFonts w:ascii="Arial" w:hAnsi="Arial" w:cs="Arial"/>
          <w:b w:val="0"/>
          <w:bCs w:val="0"/>
          <w:snapToGrid w:val="0"/>
          <w:sz w:val="28"/>
        </w:rPr>
      </w:pPr>
      <w:bookmarkStart w:id="9" w:name="_Toc498643260"/>
      <w:r>
        <w:rPr>
          <w:rFonts w:hint="eastAsia" w:ascii="Arial" w:hAnsi="Arial" w:cs="Arial"/>
          <w:snapToGrid w:val="0"/>
          <w:sz w:val="28"/>
        </w:rPr>
        <w:t>上市后数据对受PMA监管的EAP器械的作用</w:t>
      </w:r>
      <w:bookmarkEnd w:id="9"/>
    </w:p>
    <w:p w14:paraId="5385831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为实施EAP项目，FDA打算根据收益-风险框架（见FDA指南</w:t>
      </w:r>
      <w:r>
        <w:rPr>
          <w:rFonts w:hint="eastAsia" w:ascii="宋体" w:hAnsi="宋体" w:cs="Arial"/>
          <w:snapToGrid w:val="0"/>
        </w:rPr>
        <w:t>“</w:t>
      </w:r>
      <w:r>
        <w:fldChar w:fldCharType="begin"/>
      </w:r>
      <w:r>
        <w:instrText xml:space="preserve"> HYPERLINK "http://www.fda.gov/downloads/MedicalDevices/DeviceRegulationandGuidance/GuidanceDocuments/UCM296379.pdf" \h </w:instrText>
      </w:r>
      <w:r>
        <w:fldChar w:fldCharType="separate"/>
      </w:r>
      <w:r>
        <w:rPr>
          <w:rFonts w:hint="eastAsia" w:ascii="Arial" w:hAnsi="Arial" w:cs="Arial"/>
          <w:snapToGrid w:val="0"/>
          <w:color w:val="0000FF"/>
          <w:u w:val="single" w:color="0000FF"/>
        </w:rPr>
        <w:t>在医疗器械上市前批准和再次申请分类中测定收益-风险是需考虑的因素</w:t>
      </w:r>
      <w:r>
        <w:rPr>
          <w:rFonts w:hint="eastAsia" w:ascii="Arial" w:hAnsi="Arial" w:cs="Arial"/>
          <w:snapToGrid w:val="0"/>
          <w:color w:val="0000FF"/>
          <w:u w:val="single" w:color="0000FF"/>
        </w:rPr>
        <w:fldChar w:fldCharType="end"/>
      </w:r>
      <w:r>
        <w:rPr>
          <w:rFonts w:hint="eastAsia" w:ascii="宋体" w:hAnsi="宋体" w:cs="Arial"/>
          <w:snapToGrid w:val="0"/>
        </w:rPr>
        <w:t>”</w:t>
      </w:r>
      <w:r>
        <w:rPr>
          <w:rFonts w:hint="eastAsia" w:ascii="Arial" w:hAnsi="Arial" w:cs="Arial"/>
          <w:snapToGrid w:val="0"/>
        </w:rPr>
        <w:t>（2012年3月28日发布）（</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w:t>
      </w:r>
      <w:r>
        <w:fldChar w:fldCharType="begin"/>
      </w:r>
      <w:r>
        <w:instrText xml:space="preserve"> HYPERLINK "http://www.fda.gov/downloads/MedicalDevices/DeviceRegulationandGuidance/GuidanceDocuments/UCM296379.pdf" \h </w:instrText>
      </w:r>
      <w:r>
        <w:fldChar w:fldCharType="separate"/>
      </w:r>
      <w:r>
        <w:fldChar w:fldCharType="end"/>
      </w:r>
      <w:r>
        <w:rPr>
          <w:rStyle w:val="18"/>
          <w:rFonts w:ascii="Arial" w:hAnsi="Arial" w:cs="Arial"/>
          <w:snapToGrid w:val="0"/>
        </w:rPr>
        <w:footnoteReference w:id="6"/>
      </w:r>
      <w:r>
        <w:rPr>
          <w:rFonts w:hint="eastAsia" w:ascii="Arial" w:hAnsi="Arial" w:cs="Arial"/>
          <w:snapToGrid w:val="0"/>
        </w:rPr>
        <w:t>和法定和法规要求与申办方进行交互式合作，确定是否可以在上市后而不是上市前收集某些数据。</w:t>
      </w:r>
    </w:p>
    <w:p w14:paraId="42CE1EC7">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71EA869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FDA指南</w:t>
      </w:r>
      <w:r>
        <w:rPr>
          <w:rFonts w:hint="eastAsia" w:ascii="宋体" w:hAnsi="宋体" w:cs="Arial"/>
          <w:snapToGrid w:val="0"/>
        </w:rPr>
        <w:t>“</w:t>
      </w:r>
      <w:r>
        <w:rPr>
          <w:rFonts w:hint="eastAsia" w:ascii="Arial" w:hAnsi="Arial" w:cs="Arial"/>
          <w:snapToGrid w:val="0"/>
        </w:rPr>
        <w:t>平衡上市前批准器械的上市前和上市后数据收集</w:t>
      </w:r>
      <w:r>
        <w:rPr>
          <w:rFonts w:hint="eastAsia" w:ascii="宋体" w:hAnsi="宋体" w:cs="Arial"/>
          <w:snapToGrid w:val="0"/>
        </w:rPr>
        <w:t>”</w:t>
      </w:r>
      <w:r>
        <w:rPr>
          <w:rStyle w:val="18"/>
          <w:rFonts w:ascii="宋体" w:hAnsi="宋体" w:cs="Arial"/>
          <w:snapToGrid w:val="0"/>
        </w:rPr>
        <w:footnoteReference w:id="7"/>
      </w:r>
      <w:r>
        <w:rPr>
          <w:rFonts w:hint="eastAsia" w:ascii="Arial" w:hAnsi="Arial" w:cs="Arial"/>
          <w:snapToGrid w:val="0"/>
        </w:rPr>
        <w:t>（2015年4月13日发布）说明了FDA目前在审查PMA期间平衡上市前和上市后数据收集时使用的政策。更具体地说，此指南概述了FDA在确定应该在上市前收集的数据范围，同时仍然符合法定标准（即合理保证安全性和有效性）时如何使用上市后信息。</w:t>
      </w:r>
    </w:p>
    <w:p w14:paraId="35BB9BF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适当平衡上市前和上市后数据收集——具体来说，更依赖于上市后收集（如果适用）——可以减少上市前提交数据的次数，直接影响患者可以获得高质量、安全有效医疗器械的时间。</w:t>
      </w:r>
    </w:p>
    <w:p w14:paraId="2363A06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FD&amp;C法案第513（a）（3）（C）条要求FDA考虑使用上市后控制来代替在PMA批准之前收集和审查所有有效性数据。</w:t>
      </w:r>
      <w:r>
        <w:rPr>
          <w:rStyle w:val="18"/>
          <w:rFonts w:ascii="Arial" w:hAnsi="Arial" w:cs="Arial"/>
          <w:snapToGrid w:val="0"/>
        </w:rPr>
        <w:footnoteReference w:id="8"/>
      </w:r>
      <w:r>
        <w:rPr>
          <w:rFonts w:hint="eastAsia" w:ascii="Arial" w:hAnsi="Arial" w:cs="Arial"/>
          <w:snapToGrid w:val="0"/>
        </w:rPr>
        <w:t>此外，FD&amp;C法案第513（a）（3）（D) （ii）条（</w:t>
      </w:r>
      <w:r>
        <w:rPr>
          <w:rFonts w:hint="eastAsia" w:ascii="宋体" w:hAnsi="宋体" w:cs="Arial"/>
          <w:snapToGrid w:val="0"/>
        </w:rPr>
        <w:t>“</w:t>
      </w:r>
      <w:r>
        <w:rPr>
          <w:rFonts w:hint="eastAsia" w:ascii="Arial" w:hAnsi="Arial" w:cs="Arial"/>
          <w:snapToGrid w:val="0"/>
        </w:rPr>
        <w:t>最小负担规定</w:t>
      </w:r>
      <w:r>
        <w:rPr>
          <w:rFonts w:hint="eastAsia" w:ascii="宋体" w:hAnsi="宋体" w:cs="Arial"/>
          <w:snapToGrid w:val="0"/>
        </w:rPr>
        <w:t>”</w:t>
      </w:r>
      <w:r>
        <w:rPr>
          <w:rFonts w:hint="eastAsia" w:ascii="Arial" w:hAnsi="Arial" w:cs="Arial"/>
          <w:snapToGrid w:val="0"/>
        </w:rPr>
        <w:t>）特别规定：</w:t>
      </w:r>
    </w:p>
    <w:p w14:paraId="52BBC498">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部长应在确定此类数据为确定器械有效性所必需后，以书面形式指明用于证明器械有效性可得到合理保证的临时数据，包括一项或多项妥善控制的临床研究。部长应与申请人协商，确定用于评价器械有效性，并很有可能使器械获批的适当最小负担手段。</w:t>
      </w:r>
    </w:p>
    <w:p w14:paraId="7F12FCB8">
      <w:pPr>
        <w:pStyle w:val="7"/>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在上市前审查期间考虑上市后信息符合FDA的</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，因为此类信息是FDA在PMA器械的上市前审查期间测定收益-风险时考虑的主要因素之一，</w:t>
      </w:r>
      <w:r>
        <w:rPr>
          <w:rStyle w:val="18"/>
          <w:rFonts w:ascii="Arial" w:hAnsi="Arial" w:cs="Arial"/>
          <w:snapToGrid w:val="0"/>
        </w:rPr>
        <w:footnoteReference w:id="9"/>
      </w:r>
      <w:r>
        <w:rPr>
          <w:rFonts w:hint="eastAsia" w:ascii="Arial" w:hAnsi="Arial" w:cs="Arial"/>
          <w:snapToGrid w:val="0"/>
        </w:rPr>
        <w:t>且其符合FDA于2002年10月4日发布的指南</w:t>
      </w:r>
      <w:r>
        <w:rPr>
          <w:rFonts w:hint="eastAsia" w:ascii="宋体" w:hAnsi="宋体" w:cs="Arial"/>
          <w:snapToGrid w:val="0"/>
        </w:rPr>
        <w:t>“</w:t>
      </w:r>
      <w:r>
        <w:fldChar w:fldCharType="begin"/>
      </w:r>
      <w:r>
        <w:instrText xml:space="preserve"> HYPERLINK "http://www.fda.gov/MedicalDevices/DeviceRegulationandGuidance/GuidanceDocuments/ucm085994.htm" \h </w:instrText>
      </w:r>
      <w:r>
        <w:fldChar w:fldCharType="separate"/>
      </w:r>
      <w:r>
        <w:rPr>
          <w:rFonts w:hint="eastAsia" w:ascii="Arial" w:hAnsi="Arial" w:cs="Arial"/>
          <w:snapToGrid w:val="0"/>
          <w:color w:val="0000FF"/>
          <w:u w:val="single" w:color="0000FF"/>
        </w:rPr>
        <w:t>1997年FDA现代化法案的最小负担规定：理念与原则</w:t>
      </w:r>
      <w:r>
        <w:rPr>
          <w:rFonts w:hint="eastAsia" w:ascii="Arial" w:hAnsi="Arial" w:cs="Arial"/>
          <w:snapToGrid w:val="0"/>
          <w:color w:val="0000FF"/>
          <w:u w:val="single" w:color="0000FF"/>
        </w:rPr>
        <w:fldChar w:fldCharType="end"/>
      </w:r>
      <w:r>
        <w:rPr>
          <w:rFonts w:hint="eastAsia" w:ascii="宋体" w:hAnsi="宋体" w:cs="Arial"/>
          <w:snapToGrid w:val="0"/>
        </w:rPr>
        <w:t>”</w:t>
      </w:r>
      <w:r>
        <w:rPr>
          <w:rFonts w:hint="eastAsia" w:ascii="Arial" w:hAnsi="Arial" w:cs="Arial"/>
          <w:snapToGrid w:val="0"/>
        </w:rPr>
        <w:t>（</w:t>
      </w:r>
      <w:r>
        <w:rPr>
          <w:rFonts w:hint="eastAsia" w:ascii="宋体" w:hAnsi="宋体" w:cs="Arial"/>
          <w:snapToGrid w:val="0"/>
        </w:rPr>
        <w:t>“</w:t>
      </w:r>
      <w:r>
        <w:rPr>
          <w:rFonts w:hint="eastAsia" w:ascii="Arial" w:hAnsi="Arial" w:cs="Arial"/>
          <w:snapToGrid w:val="0"/>
        </w:rPr>
        <w:t>最小负担指南</w:t>
      </w:r>
      <w:r>
        <w:rPr>
          <w:rFonts w:hint="eastAsia" w:ascii="宋体" w:hAnsi="宋体" w:cs="Arial"/>
          <w:snapToGrid w:val="0"/>
        </w:rPr>
        <w:t>”</w:t>
      </w:r>
      <w:r>
        <w:rPr>
          <w:rFonts w:hint="eastAsia" w:ascii="Arial" w:hAnsi="Arial" w:cs="Arial"/>
          <w:snapToGrid w:val="0"/>
        </w:rPr>
        <w:t>）。</w:t>
      </w:r>
      <w:r>
        <w:rPr>
          <w:rStyle w:val="18"/>
          <w:rFonts w:ascii="Arial" w:hAnsi="Arial" w:cs="Arial"/>
          <w:snapToGrid w:val="0"/>
        </w:rPr>
        <w:footnoteReference w:id="10"/>
      </w:r>
      <w:r>
        <w:fldChar w:fldCharType="begin"/>
      </w:r>
      <w:r>
        <w:instrText xml:space="preserve"> HYPERLINK "http://www.fda.gov/MedicalDevices/DeviceRegulationandGuidance/GuidanceDocuments/ucm085994.htm" \h </w:instrText>
      </w:r>
      <w:r>
        <w:fldChar w:fldCharType="separate"/>
      </w:r>
      <w:r>
        <w:fldChar w:fldCharType="end"/>
      </w:r>
    </w:p>
    <w:p w14:paraId="194AF514">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7C519F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本机构已在</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中声明：</w:t>
      </w:r>
    </w:p>
    <w:p w14:paraId="03032F04">
      <w:pPr>
        <w:pStyle w:val="7"/>
        <w:topLinePunct/>
        <w:adjustRightInd w:val="0"/>
        <w:snapToGrid w:val="0"/>
        <w:spacing w:after="224" w:afterLines="75" w:line="288" w:lineRule="auto"/>
        <w:ind w:left="719" w:leftChars="327"/>
        <w:jc w:val="both"/>
        <w:rPr>
          <w:rFonts w:ascii="Arial" w:hAnsi="Arial" w:cs="Arial"/>
          <w:snapToGrid w:val="0"/>
          <w:szCs w:val="16"/>
        </w:rPr>
      </w:pPr>
      <w:r>
        <w:rPr>
          <w:rFonts w:hint="eastAsia" w:ascii="Arial" w:hAnsi="Arial" w:cs="Arial"/>
          <w:snapToGrid w:val="0"/>
        </w:rPr>
        <w:t>在测定收益-风险时，FDA可能允许收集上市后数据，并使用此类数据说明缓解幅度和影响，或者制定有关某些器械类型或特定患者人群中收益或风险的附加信息。...此外，根据</w:t>
      </w:r>
      <w:r>
        <w:rPr>
          <w:rFonts w:hint="eastAsia" w:ascii="宋体" w:hAnsi="宋体" w:cs="Arial"/>
          <w:snapToGrid w:val="0"/>
        </w:rPr>
        <w:t>“</w:t>
      </w:r>
      <w:r>
        <w:rPr>
          <w:rFonts w:hint="eastAsia" w:ascii="Arial" w:hAnsi="Arial" w:cs="Arial"/>
          <w:snapToGrid w:val="0"/>
        </w:rPr>
        <w:t>FD&amp;C法案</w:t>
      </w:r>
      <w:r>
        <w:rPr>
          <w:rFonts w:hint="eastAsia" w:ascii="宋体" w:hAnsi="宋体" w:cs="Arial"/>
          <w:snapToGrid w:val="0"/>
        </w:rPr>
        <w:t>”</w:t>
      </w:r>
      <w:r>
        <w:rPr>
          <w:rFonts w:hint="eastAsia" w:ascii="Arial" w:hAnsi="Arial" w:cs="Arial"/>
          <w:snapToGrid w:val="0"/>
        </w:rPr>
        <w:t>第513（a）（3）（C）条，在某些情况下，例如，由于器械有效性不确定而导致其批准可能被拒绝，FDA将考虑是否可以组织上市后数据收集或其他条件，以便根据此类条件同意批准。</w:t>
      </w:r>
      <w:r>
        <w:rPr>
          <w:rStyle w:val="18"/>
          <w:rFonts w:ascii="Arial" w:hAnsi="Arial" w:cs="Arial"/>
          <w:snapToGrid w:val="0"/>
        </w:rPr>
        <w:footnoteReference w:id="11"/>
      </w:r>
    </w:p>
    <w:p w14:paraId="0175320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根据FDA的收益-风险测定框架，在审查PMA时，FDA还可以考虑器械可能收益和可能风险的不确定性程度。对于</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中讨论的不确定因素，FDA声明：</w:t>
      </w:r>
    </w:p>
    <w:p w14:paraId="01752217">
      <w:pPr>
        <w:pStyle w:val="7"/>
        <w:topLinePunct/>
        <w:adjustRightInd w:val="0"/>
        <w:snapToGrid w:val="0"/>
        <w:spacing w:after="224" w:afterLines="75" w:line="288" w:lineRule="auto"/>
        <w:ind w:left="719" w:leftChars="327"/>
        <w:jc w:val="both"/>
        <w:rPr>
          <w:rFonts w:ascii="Arial" w:hAnsi="Arial" w:cs="Arial"/>
          <w:snapToGrid w:val="0"/>
          <w:szCs w:val="16"/>
        </w:rPr>
      </w:pPr>
      <w:r>
        <w:rPr>
          <w:rFonts w:hint="eastAsia" w:ascii="Arial" w:hAnsi="Arial" w:cs="Arial"/>
          <w:snapToGrid w:val="0"/>
        </w:rPr>
        <w:t>在确定器械安全性和有效性是否已得到合理保证时，永远不可能100％确定。但是，在测定收益-风险时，本机构仍会考虑器械收益和风险的确定性程度。</w:t>
      </w:r>
      <w:r>
        <w:rPr>
          <w:rStyle w:val="18"/>
          <w:rFonts w:ascii="Arial" w:hAnsi="Arial" w:cs="Arial"/>
          <w:snapToGrid w:val="0"/>
        </w:rPr>
        <w:footnoteReference w:id="12"/>
      </w:r>
    </w:p>
    <w:p w14:paraId="119AA6D8">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认识到，由于存在重大障碍，例如解决可能出现的罕见不良事件或长期安全问题所耗费的时间和成本，以及由于对照临床研究并未完全呈现器械在真实临床实践中的收益-风险特征，不可能在绝对确定后才批准器械。因为符合EAP项目（</w:t>
      </w:r>
      <w:r>
        <w:rPr>
          <w:rFonts w:hint="eastAsia" w:ascii="宋体" w:hAnsi="宋体" w:cs="Arial"/>
          <w:snapToGrid w:val="0"/>
        </w:rPr>
        <w:t>“</w:t>
      </w:r>
      <w:r>
        <w:rPr>
          <w:rFonts w:hint="eastAsia" w:ascii="Arial" w:hAnsi="Arial" w:cs="Arial"/>
          <w:snapToGrid w:val="0"/>
        </w:rPr>
        <w:t>EAP器械</w:t>
      </w:r>
      <w:r>
        <w:rPr>
          <w:rFonts w:hint="eastAsia" w:ascii="宋体" w:hAnsi="宋体" w:cs="Arial"/>
          <w:snapToGrid w:val="0"/>
        </w:rPr>
        <w:t>”</w:t>
      </w:r>
      <w:r>
        <w:rPr>
          <w:rFonts w:hint="eastAsia" w:ascii="Arial" w:hAnsi="Arial" w:cs="Arial"/>
          <w:snapToGrid w:val="0"/>
        </w:rPr>
        <w:t>）的器械可能解决致命性或不可逆衰竭性疾病或病症的未满足医疗需求，为了帮助患者及时获得此类医疗器械，在上市前批准时，FDA可能会允许受PMA监管的EAP器械的收益-风险特征确定性偏低，且只要数据仍然支持安全性和有效性得到合理保证，FDA就会批准EAP器械。也就是说，如果不确定性被用于支持上市前批准的其他因素充分平衡（例如，器械可能收益，患者更早获得器械的可能收益以及上市后控制），FDA将批准受PMA监管的EAP器械。</w:t>
      </w:r>
    </w:p>
    <w:p w14:paraId="7425E60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根据EAP项目，FDA打算实施上市后要求，包括要求进行批准后研究作为PMA器械的批准条件。</w:t>
      </w:r>
      <w:r>
        <w:rPr>
          <w:rStyle w:val="18"/>
          <w:rFonts w:ascii="Arial" w:hAnsi="Arial" w:cs="Arial"/>
          <w:snapToGrid w:val="0"/>
        </w:rPr>
        <w:footnoteReference w:id="13"/>
      </w:r>
      <w:r>
        <w:rPr>
          <w:rFonts w:hint="eastAsia" w:ascii="Arial" w:hAnsi="Arial" w:cs="Arial"/>
          <w:snapToGrid w:val="0"/>
        </w:rPr>
        <w:t>FDA允许在上市后，而不是上市前针对EAP器械收集的某些数据范围由本机构目前拥有的权力（即强制要求完成批准后研究，以及在其随后确定，按照规定使用条件使用时，器械安全性或有效性无法得到合理保证后撤销上市器械的PMA批准的权利）以及FDA的医疗器械监测体系的现有能力决定。</w:t>
      </w:r>
    </w:p>
    <w:p w14:paraId="0171386B">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3BF66B30">
      <w:pPr>
        <w:pStyle w:val="7"/>
        <w:topLinePunct/>
        <w:adjustRightInd w:val="0"/>
        <w:snapToGrid w:val="0"/>
        <w:spacing w:after="224" w:afterLines="75" w:line="288" w:lineRule="auto"/>
        <w:ind w:left="0"/>
        <w:jc w:val="both"/>
        <w:rPr>
          <w:rFonts w:ascii="Arial" w:hAnsi="Arial" w:cs="Arial"/>
          <w:snapToGrid w:val="0"/>
        </w:rPr>
      </w:pPr>
      <w:bookmarkStart w:id="10" w:name="Expedited_Access_Pathway"/>
      <w:bookmarkEnd w:id="10"/>
      <w:r>
        <w:rPr>
          <w:rFonts w:hint="eastAsia" w:ascii="Arial" w:hAnsi="Arial" w:cs="Arial"/>
          <w:snapToGrid w:val="0"/>
        </w:rPr>
        <w:t>对于</w:t>
      </w:r>
      <w:r>
        <w:rPr>
          <w:rFonts w:hint="eastAsia" w:ascii="Arial" w:hAnsi="Arial" w:cs="Arial"/>
          <w:i/>
          <w:snapToGrid w:val="0"/>
        </w:rPr>
        <w:t>再次申请请求</w:t>
      </w:r>
      <w:r>
        <w:rPr>
          <w:rFonts w:hint="eastAsia" w:ascii="Arial" w:hAnsi="Arial" w:cs="Arial"/>
          <w:snapToGrid w:val="0"/>
        </w:rPr>
        <w:t>，FDA不会考虑在上市后收集收益-风险数据，因此此类数据通常在上市前收集（与PMA器械一样），且在同意</w:t>
      </w:r>
      <w:r>
        <w:rPr>
          <w:rFonts w:hint="eastAsia" w:ascii="Arial" w:hAnsi="Arial" w:cs="Arial"/>
          <w:i/>
          <w:snapToGrid w:val="0"/>
        </w:rPr>
        <w:t>再次申请请求</w:t>
      </w:r>
      <w:r>
        <w:rPr>
          <w:rFonts w:hint="eastAsia" w:ascii="Arial" w:hAnsi="Arial" w:cs="Arial"/>
          <w:snapToGrid w:val="0"/>
        </w:rPr>
        <w:t>后，该产品可以替代仅需实质等同性便可获得510（k）许可的器械。如果本机构同意了器械的</w:t>
      </w:r>
      <w:r>
        <w:rPr>
          <w:rFonts w:hint="eastAsia" w:ascii="Arial" w:hAnsi="Arial" w:cs="Arial"/>
          <w:i/>
          <w:snapToGrid w:val="0"/>
        </w:rPr>
        <w:t>再次申请请求</w:t>
      </w:r>
      <w:r>
        <w:rPr>
          <w:rFonts w:hint="eastAsia" w:ascii="Arial" w:hAnsi="Arial" w:cs="Arial"/>
          <w:snapToGrid w:val="0"/>
        </w:rPr>
        <w:t>，但在收集所需上市后数据后，发现该器械不具安全性或有效性，则将造成一定问题。</w:t>
      </w:r>
    </w:p>
    <w:p w14:paraId="21509789">
      <w:pPr>
        <w:pStyle w:val="7"/>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如本指南第III.G节所述，为满足批准PMA所需的条件，申办方或FDA可以在上市后采取若干行动。例如，如果申办方未满足所需的批准条件，包括未能启动或完成器械批准命令中指定的批准后研究，FDA可能会采取执行行动。此外，FDA认为，实施2012年度国家医疗器械市场监测体系策略</w:t>
      </w:r>
      <w:r>
        <w:rPr>
          <w:rFonts w:hint="eastAsia" w:ascii="宋体" w:hAnsi="宋体" w:cs="Arial"/>
          <w:snapToGrid w:val="0"/>
        </w:rPr>
        <w:t>“</w:t>
      </w:r>
      <w:r>
        <w:rPr>
          <w:rFonts w:hint="eastAsia" w:ascii="Arial" w:hAnsi="Arial" w:cs="Arial"/>
          <w:snapToGrid w:val="0"/>
        </w:rPr>
        <w:t>加强国家医疗器械市场监测体系</w:t>
      </w:r>
      <w:r>
        <w:rPr>
          <w:rFonts w:hint="eastAsia" w:ascii="宋体" w:hAnsi="宋体" w:cs="Arial"/>
          <w:snapToGrid w:val="0"/>
        </w:rPr>
        <w:t>”</w:t>
      </w:r>
      <w:r>
        <w:rPr>
          <w:rFonts w:hint="eastAsia" w:ascii="Arial" w:hAnsi="Arial" w:cs="Arial"/>
          <w:snapToGrid w:val="0"/>
        </w:rPr>
        <w:t>后，可以解决目前医疗器械监测项目的一些限制，并允许在上市后针对适当器械收集本应在上市前收集的大部分数据。</w:t>
      </w:r>
      <w:r>
        <w:rPr>
          <w:rStyle w:val="18"/>
          <w:rFonts w:ascii="Arial" w:hAnsi="Arial" w:cs="Arial"/>
          <w:snapToGrid w:val="0"/>
        </w:rPr>
        <w:footnoteReference w:id="14"/>
      </w:r>
    </w:p>
    <w:p w14:paraId="7CA8E4C2">
      <w:pPr>
        <w:pStyle w:val="2"/>
        <w:numPr>
          <w:ilvl w:val="0"/>
          <w:numId w:val="1"/>
        </w:numPr>
        <w:tabs>
          <w:tab w:val="left" w:pos="840"/>
        </w:tabs>
        <w:topLinePunct/>
        <w:adjustRightInd w:val="0"/>
        <w:snapToGrid w:val="0"/>
        <w:spacing w:before="0" w:after="224" w:afterLines="75" w:line="288" w:lineRule="auto"/>
        <w:ind w:left="0" w:firstLine="0"/>
        <w:jc w:val="both"/>
        <w:rPr>
          <w:rFonts w:ascii="Arial" w:hAnsi="Arial" w:cs="Arial"/>
          <w:b w:val="0"/>
          <w:bCs w:val="0"/>
          <w:snapToGrid w:val="0"/>
        </w:rPr>
      </w:pPr>
      <w:bookmarkStart w:id="11" w:name="_Toc498643261"/>
      <w:r>
        <w:rPr>
          <w:rFonts w:hint="eastAsia" w:ascii="Arial" w:hAnsi="Arial" w:cs="Arial"/>
          <w:snapToGrid w:val="0"/>
        </w:rPr>
        <w:t>快速审查路径</w:t>
      </w:r>
      <w:bookmarkEnd w:id="11"/>
    </w:p>
    <w:p w14:paraId="295D82F4">
      <w:pPr>
        <w:pStyle w:val="7"/>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EAP为一项新的自愿项目，其针对某些可能解决致命性或不可逆衰竭性疾病或病症的未满足医疗需求，并受PMA或</w:t>
      </w:r>
      <w:r>
        <w:rPr>
          <w:rFonts w:hint="eastAsia" w:ascii="Arial" w:hAnsi="Arial" w:cs="Arial"/>
          <w:i/>
          <w:snapToGrid w:val="0"/>
        </w:rPr>
        <w:t>再次申请请求</w:t>
      </w:r>
      <w:r>
        <w:rPr>
          <w:rFonts w:hint="eastAsia" w:ascii="Arial" w:hAnsi="Arial" w:cs="Arial"/>
          <w:snapToGrid w:val="0"/>
        </w:rPr>
        <w:t>监管的医疗器械。FDA认为，EAP项目将加速医疗器械的开发、评估和审查，同时保护了FDA的上市前批准法定标准（即合理保证安全性和有效性）以及同意再次申请请求的法定标准，从而有助于患者及时获得此类医疗器械。</w:t>
      </w:r>
      <w:r>
        <w:rPr>
          <w:rStyle w:val="18"/>
          <w:rFonts w:ascii="Arial" w:hAnsi="Arial" w:cs="Arial"/>
          <w:snapToGrid w:val="0"/>
        </w:rPr>
        <w:footnoteReference w:id="15"/>
      </w:r>
    </w:p>
    <w:p w14:paraId="4226548D">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6E88018A">
      <w:pPr>
        <w:pStyle w:val="7"/>
        <w:topLinePunct/>
        <w:adjustRightInd w:val="0"/>
        <w:snapToGrid w:val="0"/>
        <w:spacing w:after="224" w:afterLines="75" w:line="288" w:lineRule="auto"/>
        <w:ind w:left="0"/>
        <w:jc w:val="both"/>
        <w:rPr>
          <w:rFonts w:ascii="Arial" w:hAnsi="Arial" w:cs="Arial"/>
          <w:snapToGrid w:val="0"/>
          <w:szCs w:val="23"/>
        </w:rPr>
      </w:pPr>
      <w:r>
        <w:rPr>
          <w:rFonts w:hint="eastAsia" w:ascii="Arial" w:hAnsi="Arial" w:cs="Arial"/>
          <w:snapToGrid w:val="0"/>
        </w:rPr>
        <w:t>仅在提交请求并征得FDA同意后，申办方才能参与EAP项目。由于参与EAP项目的器械可能解决未满足医疗需求，因此FDA认为，使患者尽早获得此类器械将有益于公共卫生。例如，与现有替代方法（预防性、诊断性或治疗性）相比，EAP器械可能提供具有临床意义的收益</w:t>
      </w:r>
      <w:r>
        <w:rPr>
          <w:rStyle w:val="18"/>
          <w:rFonts w:ascii="Arial" w:hAnsi="Arial" w:cs="Arial"/>
          <w:snapToGrid w:val="0"/>
        </w:rPr>
        <w:footnoteReference w:id="16"/>
      </w:r>
      <w:r>
        <w:rPr>
          <w:rFonts w:hint="eastAsia" w:ascii="Arial" w:hAnsi="Arial" w:cs="Arial"/>
          <w:snapToGrid w:val="0"/>
        </w:rPr>
        <w:t>，或与用于治疗患有致命性或不可逆衰竭性疾病或病症的患者的现有合法上市器械相比，提供突破性技术。突破性技术包括新技术以及现有技术的新型应用。示例包括：将适应症——耳蜗植入术的应用范围扩大到具有显著低频残留听力的患者；第一种用于治疗血管疾病的药品涂层球囊导管；用于内部使用以暂时控制局部出血的止血器械；基于现有和常用技术（例如免疫组化）的测定，前提是当与高效治疗剂一起使用时期可提供具有临床意义的优势；以及使用下一代测序（NGS）技术开发的新型IVD。</w:t>
      </w:r>
    </w:p>
    <w:p w14:paraId="6828FD0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减少用于支持上市决策的数据收集时应遵守本指南中讨论的原则。（请参见第III.D节-可能支持EAP器械的PMA批准的临床证据类型。）</w:t>
      </w:r>
    </w:p>
    <w:p w14:paraId="68A4509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EAP项目，FDA打算在器械开发、评估和审查期间尽早与EAP器械申办方接洽并进行更多互动。例如，FDA打算与EAP器械申办方密切合作，针对该器械制定数据开发计划，其中，除其他要素之外，该计划还将描述上市前和上市后数据收集，并解释和说明平衡上市前和上市后数据收集的拟定方法，此外，该计划旨在大幅度减少从器械开发到FDA上市决策的时间和成本，同时仍然符合PMA器械安全性和有效性得到合理保证的法定标准，以及同意</w:t>
      </w:r>
      <w:r>
        <w:rPr>
          <w:rFonts w:hint="eastAsia" w:ascii="Arial" w:hAnsi="Arial" w:cs="Arial"/>
          <w:i/>
          <w:snapToGrid w:val="0"/>
        </w:rPr>
        <w:t>再次申请请求</w:t>
      </w:r>
      <w:r>
        <w:rPr>
          <w:rFonts w:hint="eastAsia" w:ascii="Arial" w:hAnsi="Arial" w:cs="Arial"/>
          <w:snapToGrid w:val="0"/>
        </w:rPr>
        <w:t>的法定标准（即一般控制或一般和特殊控制分别支持将其分类为I类或II类）。FDA打算在审查预提交材料、IDE、PMA、从头请求期间以及在EAP器械开发和评估期间出现其他问题时，与申办方进行交互式合作。</w:t>
      </w:r>
    </w:p>
    <w:p w14:paraId="1117345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EAP项目，申办方可以使用本机构在本指南第III.D节中讨论的临床证据类型来支持批准（例如替代终点），但在申请参与EAP项目时，无需提供此类证据。此外，根据EAP项目以及具体情况，FDA可酌情允许申办方在其PMA中提供较少的制造信息。对于PMA器械，FDA可能会酌情放弃对某些制造地点进行检查，而在产品批准后进行此类检查（有关进一步讨论，请参见本指南第III.E节）。最后，如本指南第III.F节所述，</w:t>
      </w:r>
      <w:bookmarkStart w:id="12" w:name="OLE_LINK5"/>
      <w:bookmarkStart w:id="13" w:name="OLE_LINK4"/>
      <w:r>
        <w:rPr>
          <w:rFonts w:hint="eastAsia" w:ascii="Arial" w:hAnsi="Arial" w:cs="Arial"/>
          <w:snapToGrid w:val="0"/>
        </w:rPr>
        <w:t>FDA可能会向EAP项目加入某些上市后要求，包括在根据EAP项目要求在上市后收集本应该在上市前收集EAP器械数据后，FDA根据21 CFR 814.82 (a)（2）要求持续评价和定期报告此类器械对于其预期用途的安全性、有效性和可靠性，以作为EAP器械的批准条件。</w:t>
      </w:r>
      <w:bookmarkEnd w:id="12"/>
      <w:bookmarkEnd w:id="13"/>
    </w:p>
    <w:p w14:paraId="125A1685">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F61C5E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此类上市后数据将使本机构能够以更高的确定性程度评估此类器械的风险和收益，以及保护患者安全，采取下文第III.G节所述的适当上市后行动（如果适用）。</w:t>
      </w:r>
    </w:p>
    <w:p w14:paraId="79DF859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下文将介绍FDA将在确定器械是否符合EAP项目条件时考虑的标准。该项目包括一个四步过程：</w:t>
      </w:r>
    </w:p>
    <w:p w14:paraId="3ECFFBD3">
      <w:pPr>
        <w:pStyle w:val="20"/>
        <w:numPr>
          <w:ilvl w:val="2"/>
          <w:numId w:val="2"/>
        </w:numPr>
        <w:tabs>
          <w:tab w:val="left" w:pos="1279"/>
        </w:tabs>
        <w:topLinePunct/>
        <w:adjustRightInd w:val="0"/>
        <w:snapToGrid w:val="0"/>
        <w:spacing w:line="288" w:lineRule="auto"/>
        <w:ind w:left="719" w:leftChars="327" w:firstLine="0"/>
        <w:jc w:val="both"/>
        <w:rPr>
          <w:rFonts w:ascii="Arial" w:hAnsi="Arial" w:eastAsia="宋体" w:cs="Arial"/>
          <w:snapToGrid w:val="0"/>
          <w:sz w:val="24"/>
          <w:szCs w:val="24"/>
        </w:rPr>
      </w:pPr>
      <w:r>
        <w:rPr>
          <w:rFonts w:hint="eastAsia" w:ascii="Arial" w:hAnsi="Arial" w:eastAsia="宋体" w:cs="Arial"/>
          <w:snapToGrid w:val="0"/>
          <w:sz w:val="24"/>
          <w:szCs w:val="24"/>
        </w:rPr>
        <w:t>请求指定为EAP器械（</w:t>
      </w:r>
      <w:r>
        <w:rPr>
          <w:rFonts w:hint="eastAsia" w:ascii="宋体" w:hAnsi="宋体" w:eastAsia="宋体" w:cs="Arial"/>
          <w:snapToGrid w:val="0"/>
          <w:sz w:val="24"/>
          <w:szCs w:val="24"/>
        </w:rPr>
        <w:t>“</w:t>
      </w:r>
      <w:r>
        <w:rPr>
          <w:rFonts w:hint="eastAsia" w:ascii="Arial" w:hAnsi="Arial" w:eastAsia="宋体" w:cs="Arial"/>
          <w:snapToGrid w:val="0"/>
          <w:sz w:val="24"/>
          <w:szCs w:val="24"/>
        </w:rPr>
        <w:t>EAP指定</w:t>
      </w:r>
      <w:r>
        <w:rPr>
          <w:rFonts w:hint="eastAsia" w:ascii="宋体" w:hAnsi="宋体" w:eastAsia="宋体" w:cs="Arial"/>
          <w:snapToGrid w:val="0"/>
          <w:sz w:val="24"/>
          <w:szCs w:val="24"/>
        </w:rPr>
        <w:t>”</w:t>
      </w:r>
      <w:r>
        <w:rPr>
          <w:rFonts w:hint="eastAsia" w:ascii="Arial" w:hAnsi="Arial" w:eastAsia="宋体" w:cs="Arial"/>
          <w:snapToGrid w:val="0"/>
          <w:sz w:val="24"/>
          <w:szCs w:val="24"/>
        </w:rPr>
        <w:t>），</w:t>
      </w:r>
    </w:p>
    <w:p w14:paraId="0EB8B636">
      <w:pPr>
        <w:pStyle w:val="20"/>
        <w:numPr>
          <w:ilvl w:val="2"/>
          <w:numId w:val="2"/>
        </w:numPr>
        <w:tabs>
          <w:tab w:val="left" w:pos="1279"/>
        </w:tabs>
        <w:topLinePunct/>
        <w:adjustRightInd w:val="0"/>
        <w:snapToGrid w:val="0"/>
        <w:spacing w:line="288" w:lineRule="auto"/>
        <w:ind w:left="719" w:leftChars="327" w:firstLine="0"/>
        <w:jc w:val="both"/>
        <w:rPr>
          <w:rFonts w:ascii="Arial" w:hAnsi="Arial" w:eastAsia="宋体" w:cs="Arial"/>
          <w:snapToGrid w:val="0"/>
          <w:sz w:val="24"/>
          <w:szCs w:val="24"/>
        </w:rPr>
      </w:pPr>
      <w:r>
        <w:rPr>
          <w:rFonts w:hint="eastAsia" w:ascii="Arial" w:hAnsi="Arial" w:eastAsia="宋体" w:cs="Arial"/>
          <w:snapToGrid w:val="0"/>
          <w:sz w:val="24"/>
        </w:rPr>
        <w:t>商定数据开发计划，</w:t>
      </w:r>
    </w:p>
    <w:p w14:paraId="1B0FA3AA">
      <w:pPr>
        <w:pStyle w:val="20"/>
        <w:numPr>
          <w:ilvl w:val="2"/>
          <w:numId w:val="2"/>
        </w:numPr>
        <w:tabs>
          <w:tab w:val="left" w:pos="1279"/>
        </w:tabs>
        <w:topLinePunct/>
        <w:adjustRightInd w:val="0"/>
        <w:snapToGrid w:val="0"/>
        <w:spacing w:line="288" w:lineRule="auto"/>
        <w:ind w:left="719" w:leftChars="327" w:firstLine="0"/>
        <w:jc w:val="both"/>
        <w:rPr>
          <w:rFonts w:ascii="Arial" w:hAnsi="Arial" w:eastAsia="宋体" w:cs="Arial"/>
          <w:snapToGrid w:val="0"/>
          <w:sz w:val="24"/>
          <w:szCs w:val="24"/>
        </w:rPr>
      </w:pPr>
      <w:r>
        <w:rPr>
          <w:rFonts w:hint="eastAsia" w:ascii="Arial" w:hAnsi="Arial" w:eastAsia="宋体" w:cs="Arial"/>
          <w:snapToGrid w:val="0"/>
          <w:sz w:val="24"/>
        </w:rPr>
        <w:t>审查EAP器械的PMA或</w:t>
      </w:r>
      <w:r>
        <w:rPr>
          <w:rFonts w:hint="eastAsia" w:ascii="Arial" w:hAnsi="Arial" w:eastAsia="宋体" w:cs="Arial"/>
          <w:i/>
          <w:snapToGrid w:val="0"/>
          <w:sz w:val="24"/>
        </w:rPr>
        <w:t>再次申请请求</w:t>
      </w:r>
      <w:r>
        <w:rPr>
          <w:rFonts w:hint="eastAsia" w:ascii="Arial" w:hAnsi="Arial" w:eastAsia="宋体" w:cs="Arial"/>
          <w:snapToGrid w:val="0"/>
          <w:sz w:val="24"/>
        </w:rPr>
        <w:t>，以及</w:t>
      </w:r>
    </w:p>
    <w:p w14:paraId="0E335E93">
      <w:pPr>
        <w:pStyle w:val="20"/>
        <w:numPr>
          <w:ilvl w:val="2"/>
          <w:numId w:val="2"/>
        </w:numPr>
        <w:tabs>
          <w:tab w:val="left" w:pos="1281"/>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r>
        <w:rPr>
          <w:rFonts w:hint="eastAsia" w:ascii="Arial" w:hAnsi="Arial" w:eastAsia="宋体" w:cs="Arial"/>
          <w:snapToGrid w:val="0"/>
          <w:sz w:val="24"/>
        </w:rPr>
        <w:t>如果批准和适用，收集和评价上市后数据。</w:t>
      </w:r>
    </w:p>
    <w:p w14:paraId="70C958C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u w:val="single"/>
        </w:rPr>
        <w:t>附件1</w:t>
      </w:r>
      <w:r>
        <w:rPr>
          <w:rFonts w:hint="eastAsia" w:ascii="Arial" w:hAnsi="Arial" w:cs="Arial"/>
          <w:snapToGrid w:val="0"/>
        </w:rPr>
        <w:t>将进一步讨论EAP指定过程，</w:t>
      </w:r>
      <w:r>
        <w:rPr>
          <w:rFonts w:hint="eastAsia" w:ascii="Arial" w:hAnsi="Arial" w:cs="Arial"/>
          <w:snapToGrid w:val="0"/>
          <w:u w:val="single"/>
        </w:rPr>
        <w:t>附件2</w:t>
      </w:r>
      <w:r>
        <w:rPr>
          <w:rFonts w:hint="eastAsia" w:ascii="Arial" w:hAnsi="Arial" w:cs="Arial"/>
          <w:snapToGrid w:val="0"/>
        </w:rPr>
        <w:t>提供FDA建议纳入数据开发计划草案的一般要素。如果FDA同意EAP指定，则申办方可能会与FDA合作，进一步制定申办方的数据开发计划。FDA预期，应在上市前开发和审查期间持续改进数据开发计划，且FDA和申办方应在提交PMA申请或</w:t>
      </w:r>
      <w:r>
        <w:rPr>
          <w:rFonts w:hint="eastAsia" w:ascii="Arial" w:hAnsi="Arial" w:cs="Arial"/>
          <w:i/>
          <w:snapToGrid w:val="0"/>
        </w:rPr>
        <w:t>再次申请请求</w:t>
      </w:r>
      <w:r>
        <w:rPr>
          <w:rFonts w:hint="eastAsia" w:ascii="Arial" w:hAnsi="Arial" w:cs="Arial"/>
          <w:snapToGrid w:val="0"/>
        </w:rPr>
        <w:t>之前就此数据开发计划达成一致。</w:t>
      </w:r>
    </w:p>
    <w:p w14:paraId="1897282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请注意，</w:t>
      </w:r>
      <w:r>
        <w:rPr>
          <w:rFonts w:hint="eastAsia" w:ascii="Arial" w:hAnsi="Arial" w:cs="Arial"/>
          <w:i/>
          <w:snapToGrid w:val="0"/>
        </w:rPr>
        <w:t>再次申请请求</w:t>
      </w:r>
      <w:r>
        <w:rPr>
          <w:rFonts w:hint="eastAsia" w:ascii="Arial" w:hAnsi="Arial" w:cs="Arial"/>
          <w:snapToGrid w:val="0"/>
        </w:rPr>
        <w:t>不一定适用于整个EAP项目。</w:t>
      </w:r>
      <w:r>
        <w:rPr>
          <w:rStyle w:val="18"/>
          <w:rFonts w:ascii="Arial" w:hAnsi="Arial" w:cs="Arial"/>
          <w:snapToGrid w:val="0"/>
        </w:rPr>
        <w:footnoteReference w:id="17"/>
      </w:r>
      <w:r>
        <w:rPr>
          <w:rFonts w:hint="eastAsia" w:ascii="Arial" w:hAnsi="Arial" w:cs="Arial"/>
          <w:snapToGrid w:val="0"/>
        </w:rPr>
        <w:t>下表总结了EAP计划的哪些方面可供申办方使用或需要申办方提交各种材料。</w:t>
      </w:r>
    </w:p>
    <w:tbl>
      <w:tblPr>
        <w:tblStyle w:val="15"/>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9"/>
        <w:gridCol w:w="1440"/>
        <w:gridCol w:w="1440"/>
      </w:tblGrid>
      <w:tr w14:paraId="4835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40652A8B">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b/>
                <w:snapToGrid w:val="0"/>
                <w:sz w:val="21"/>
              </w:rPr>
              <w:t>EAP组成部分</w:t>
            </w:r>
          </w:p>
        </w:tc>
        <w:tc>
          <w:tcPr>
            <w:tcW w:w="1440" w:type="dxa"/>
          </w:tcPr>
          <w:p w14:paraId="3C46A88E">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b/>
                <w:snapToGrid w:val="0"/>
                <w:sz w:val="21"/>
              </w:rPr>
              <w:t>PMA</w:t>
            </w:r>
          </w:p>
        </w:tc>
        <w:tc>
          <w:tcPr>
            <w:tcW w:w="1440" w:type="dxa"/>
          </w:tcPr>
          <w:p w14:paraId="414F5114">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b/>
                <w:i/>
                <w:snapToGrid w:val="0"/>
                <w:sz w:val="21"/>
              </w:rPr>
              <w:t>再次申请</w:t>
            </w:r>
          </w:p>
        </w:tc>
      </w:tr>
      <w:tr w14:paraId="21E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46217931">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FDA工作人员将会尽早审查并进行更多互动，具体取决于可用资源【请参见第III.B（1）节】</w:t>
            </w:r>
          </w:p>
        </w:tc>
        <w:tc>
          <w:tcPr>
            <w:tcW w:w="1440" w:type="dxa"/>
          </w:tcPr>
          <w:p w14:paraId="53480A23">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664CFBCE">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r>
      <w:tr w14:paraId="73A8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454AC18A">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数据开发计划【请参见第III.A（3）节和附件2】</w:t>
            </w:r>
          </w:p>
        </w:tc>
        <w:tc>
          <w:tcPr>
            <w:tcW w:w="1440" w:type="dxa"/>
          </w:tcPr>
          <w:p w14:paraId="5236A897">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47A097EC">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r>
      <w:tr w14:paraId="2EB4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28640950">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优先审查【请参见第III.B（4）节】</w:t>
            </w:r>
          </w:p>
        </w:tc>
        <w:tc>
          <w:tcPr>
            <w:tcW w:w="1440" w:type="dxa"/>
          </w:tcPr>
          <w:p w14:paraId="2F7B24C3">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0C6684DA">
            <w:pPr>
              <w:pStyle w:val="21"/>
              <w:topLinePunct/>
              <w:adjustRightInd w:val="0"/>
              <w:snapToGrid w:val="0"/>
              <w:spacing w:before="44" w:beforeLines="15" w:line="276" w:lineRule="auto"/>
              <w:jc w:val="both"/>
              <w:rPr>
                <w:rFonts w:ascii="Arial" w:hAnsi="Arial" w:eastAsia="宋体" w:cs="Arial"/>
                <w:snapToGrid w:val="0"/>
                <w:sz w:val="21"/>
                <w:szCs w:val="13"/>
              </w:rPr>
            </w:pPr>
            <w:r>
              <w:rPr>
                <w:rFonts w:hint="eastAsia" w:ascii="Arial" w:hAnsi="Arial" w:eastAsia="宋体" w:cs="Arial"/>
                <w:snapToGrid w:val="0"/>
                <w:sz w:val="21"/>
              </w:rPr>
              <w:t>是</w:t>
            </w:r>
            <w:r>
              <w:fldChar w:fldCharType="begin"/>
            </w:r>
            <w:r>
              <w:instrText xml:space="preserve"> HYPERLINK \l "_bookmark22" </w:instrText>
            </w:r>
            <w:r>
              <w:fldChar w:fldCharType="separate"/>
            </w:r>
            <w:r>
              <w:rPr>
                <w:rFonts w:ascii="Arial" w:hAnsi="Arial" w:eastAsia="宋体" w:cs="Arial"/>
                <w:snapToGrid w:val="0"/>
                <w:sz w:val="21"/>
                <w:vertAlign w:val="superscript"/>
              </w:rPr>
              <w:t>18</w:t>
            </w:r>
            <w:r>
              <w:rPr>
                <w:rFonts w:ascii="Arial" w:hAnsi="Arial" w:eastAsia="宋体" w:cs="Arial"/>
                <w:snapToGrid w:val="0"/>
                <w:sz w:val="21"/>
                <w:vertAlign w:val="superscript"/>
              </w:rPr>
              <w:fldChar w:fldCharType="end"/>
            </w:r>
          </w:p>
        </w:tc>
      </w:tr>
      <w:tr w14:paraId="102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7BD424D4">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临床证据（请参见第III.D节）</w:t>
            </w:r>
          </w:p>
        </w:tc>
        <w:tc>
          <w:tcPr>
            <w:tcW w:w="1440" w:type="dxa"/>
          </w:tcPr>
          <w:p w14:paraId="3FEA2DD6">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182853C6">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否</w:t>
            </w:r>
          </w:p>
        </w:tc>
      </w:tr>
      <w:tr w14:paraId="041A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59A28226">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制造（请参见第III.E节）</w:t>
            </w:r>
          </w:p>
        </w:tc>
        <w:tc>
          <w:tcPr>
            <w:tcW w:w="1440" w:type="dxa"/>
          </w:tcPr>
          <w:p w14:paraId="56FF9833">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31C41942">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否</w:t>
            </w:r>
          </w:p>
        </w:tc>
      </w:tr>
      <w:tr w14:paraId="60D7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7A0C949A">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批准条件（请参见第III.F节）</w:t>
            </w:r>
          </w:p>
        </w:tc>
        <w:tc>
          <w:tcPr>
            <w:tcW w:w="1440" w:type="dxa"/>
          </w:tcPr>
          <w:p w14:paraId="0531905A">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0BE40802">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否</w:t>
            </w:r>
          </w:p>
        </w:tc>
      </w:tr>
      <w:tr w14:paraId="4E52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9" w:type="dxa"/>
          </w:tcPr>
          <w:p w14:paraId="59646C6C">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上市后行动（请参见第III.G节）</w:t>
            </w:r>
          </w:p>
        </w:tc>
        <w:tc>
          <w:tcPr>
            <w:tcW w:w="1440" w:type="dxa"/>
          </w:tcPr>
          <w:p w14:paraId="2D562AA9">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是</w:t>
            </w:r>
          </w:p>
        </w:tc>
        <w:tc>
          <w:tcPr>
            <w:tcW w:w="1440" w:type="dxa"/>
          </w:tcPr>
          <w:p w14:paraId="339B297A">
            <w:pPr>
              <w:pStyle w:val="21"/>
              <w:topLinePunct/>
              <w:adjustRightInd w:val="0"/>
              <w:snapToGrid w:val="0"/>
              <w:spacing w:before="44" w:beforeLines="15" w:line="276" w:lineRule="auto"/>
              <w:jc w:val="both"/>
              <w:rPr>
                <w:rFonts w:ascii="Arial" w:hAnsi="Arial" w:eastAsia="宋体" w:cs="Arial"/>
                <w:snapToGrid w:val="0"/>
                <w:sz w:val="21"/>
                <w:szCs w:val="20"/>
              </w:rPr>
            </w:pPr>
            <w:r>
              <w:rPr>
                <w:rFonts w:hint="eastAsia" w:ascii="Arial" w:hAnsi="Arial" w:eastAsia="宋体" w:cs="Arial"/>
                <w:snapToGrid w:val="0"/>
                <w:sz w:val="21"/>
              </w:rPr>
              <w:t>否</w:t>
            </w:r>
          </w:p>
        </w:tc>
      </w:tr>
    </w:tbl>
    <w:p w14:paraId="7251C0D8">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0219D99D">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14" w:name="Criteria_for_Expedited_Access_Pathway_De"/>
      <w:bookmarkEnd w:id="14"/>
      <w:bookmarkStart w:id="15" w:name="_Toc498643262"/>
      <w:r>
        <w:rPr>
          <w:rFonts w:hint="eastAsia" w:ascii="Arial" w:hAnsi="Arial" w:cs="Arial"/>
          <w:snapToGrid w:val="0"/>
          <w:sz w:val="28"/>
        </w:rPr>
        <w:t>快速审查路径的指定标准</w:t>
      </w:r>
      <w:bookmarkEnd w:id="15"/>
    </w:p>
    <w:p w14:paraId="6F3FDE24">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就EAP项目而言，下述标准基于FD&amp;C法案第515 (d)（5）条规定的以及优先审查指南</w:t>
      </w:r>
      <w:r>
        <w:rPr>
          <w:rFonts w:hint="eastAsia" w:ascii="宋体" w:hAnsi="宋体" w:cs="Arial"/>
          <w:snapToGrid w:val="0"/>
        </w:rPr>
        <w:t>“</w:t>
      </w:r>
      <w:r>
        <w:rPr>
          <w:rFonts w:hint="eastAsia" w:ascii="Arial" w:hAnsi="Arial" w:cs="Arial"/>
          <w:snapToGrid w:val="0"/>
          <w:color w:val="3366FF"/>
          <w:u w:val="single"/>
        </w:rPr>
        <w:t>优先审查器械上市前提交材料</w:t>
      </w:r>
      <w:r>
        <w:rPr>
          <w:rFonts w:hint="eastAsia" w:ascii="宋体" w:hAnsi="宋体" w:cs="Arial"/>
          <w:snapToGrid w:val="0"/>
        </w:rPr>
        <w:t>”</w:t>
      </w:r>
      <w:r>
        <w:rPr>
          <w:rFonts w:hint="eastAsia" w:ascii="Arial" w:hAnsi="Arial" w:cs="Arial"/>
          <w:snapToGrid w:val="0"/>
        </w:rPr>
        <w:t>（2013年5月17日发布）讨论的优先审查标准。</w:t>
      </w:r>
      <w:r>
        <w:fldChar w:fldCharType="begin"/>
      </w:r>
      <w:r>
        <w:instrText xml:space="preserve"> HYPERLINK "http://www.fda.gov/MedicalDevices/DeviceRegulationandGuidance/GuidanceDocuments/ucm089643.htm" \h </w:instrText>
      </w:r>
      <w:r>
        <w:fldChar w:fldCharType="separate"/>
      </w:r>
      <w:r>
        <w:fldChar w:fldCharType="end"/>
      </w:r>
      <w:r>
        <w:rPr>
          <w:rStyle w:val="18"/>
          <w:rFonts w:ascii="Arial" w:hAnsi="Arial" w:cs="Arial"/>
          <w:snapToGrid w:val="0"/>
        </w:rPr>
        <w:footnoteReference w:id="18"/>
      </w:r>
      <w:r>
        <w:fldChar w:fldCharType="begin"/>
      </w:r>
      <w:r>
        <w:instrText xml:space="preserve"> HYPERLINK "http://www.fda.gov/MedicalDevices/DeviceRegulationandGuidance/GuidanceDocuments/ucm089643.htm" \h </w:instrText>
      </w:r>
      <w:r>
        <w:fldChar w:fldCharType="separate"/>
      </w:r>
      <w:r>
        <w:fldChar w:fldCharType="end"/>
      </w:r>
      <w:r>
        <w:rPr>
          <w:rFonts w:hint="eastAsia" w:ascii="Arial" w:hAnsi="Arial" w:cs="Arial"/>
          <w:snapToGrid w:val="0"/>
        </w:rPr>
        <w:t>就本指南而言，本机构将此标准称为</w:t>
      </w:r>
      <w:r>
        <w:rPr>
          <w:rFonts w:hint="eastAsia" w:ascii="宋体" w:hAnsi="宋体" w:cs="Arial"/>
          <w:snapToGrid w:val="0"/>
        </w:rPr>
        <w:t>“</w:t>
      </w:r>
      <w:r>
        <w:rPr>
          <w:rFonts w:hint="eastAsia" w:ascii="Arial" w:hAnsi="Arial" w:cs="Arial"/>
          <w:snapToGrid w:val="0"/>
        </w:rPr>
        <w:t>EAP标准</w:t>
      </w:r>
      <w:r>
        <w:rPr>
          <w:rFonts w:hint="eastAsia" w:ascii="宋体" w:hAnsi="宋体" w:cs="Arial"/>
          <w:snapToGrid w:val="0"/>
        </w:rPr>
        <w:t>”</w:t>
      </w:r>
      <w:r>
        <w:rPr>
          <w:rFonts w:hint="eastAsia" w:ascii="Arial" w:hAnsi="Arial" w:cs="Arial"/>
          <w:snapToGrid w:val="0"/>
        </w:rPr>
        <w:t>。虽然器械优先审查规定旨在帮助患者尽快获得有益于公共卫生的某些器械，但根据FDA的相关经验，由于此类器械可能会引起新的科学问题，因此，与根据PMA或</w:t>
      </w:r>
      <w:r>
        <w:rPr>
          <w:rFonts w:hint="eastAsia" w:ascii="Arial" w:hAnsi="Arial" w:cs="Arial"/>
          <w:i/>
          <w:snapToGrid w:val="0"/>
        </w:rPr>
        <w:t>再次申请请求</w:t>
      </w:r>
      <w:r>
        <w:rPr>
          <w:rFonts w:hint="eastAsia" w:ascii="Arial" w:hAnsi="Arial" w:cs="Arial"/>
          <w:snapToGrid w:val="0"/>
        </w:rPr>
        <w:t>审查的其他器械相比，审查此类器械可能需要耗费更长时间。本机构认为，由于FDA会器械开发过程早期进行参与，EAP项目可能使患者及时获得此类器械。</w:t>
      </w:r>
    </w:p>
    <w:p w14:paraId="2126F94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本机构将在下文提供EAP指定标准以及每项标准的示例。</w:t>
      </w:r>
    </w:p>
    <w:p w14:paraId="31D7897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机构认为，所提供的示例将符合EAP标准。但是，即使器械符合EAP标准，FDA也可以自行决定根据收益-风险因素，或根据任何其他原因向器械授予EAP指定。在确定是否同意EAP指定请求时，FDA打算根据EAP标准审查该请求，包括请求附带的数据开发计划草案是否充分，以及相关收益-风险因素（包括下述因素）。</w:t>
      </w:r>
    </w:p>
    <w:p w14:paraId="7A4893F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要取得EAP指定资格，应符合以下三个标准。</w:t>
      </w:r>
    </w:p>
    <w:p w14:paraId="62C5FA3A">
      <w:pPr>
        <w:pStyle w:val="4"/>
        <w:numPr>
          <w:ilvl w:val="0"/>
          <w:numId w:val="4"/>
        </w:numPr>
        <w:tabs>
          <w:tab w:val="left" w:pos="48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该器械旨在治疗或诊断致命性或不可逆衰竭性疾病或病症。</w:t>
      </w:r>
    </w:p>
    <w:p w14:paraId="4240776E">
      <w:pPr>
        <w:pStyle w:val="7"/>
        <w:topLinePunct/>
        <w:adjustRightInd w:val="0"/>
        <w:snapToGrid w:val="0"/>
        <w:spacing w:after="224" w:afterLines="75" w:line="288" w:lineRule="auto"/>
        <w:ind w:left="719" w:leftChars="327"/>
        <w:jc w:val="both"/>
        <w:rPr>
          <w:rFonts w:ascii="Arial" w:hAnsi="Arial" w:cs="Arial"/>
          <w:snapToGrid w:val="0"/>
        </w:rPr>
      </w:pPr>
      <w:r>
        <w:rPr>
          <w:rFonts w:hint="eastAsia" w:ascii="Arial" w:hAnsi="Arial" w:cs="Arial"/>
          <w:snapToGrid w:val="0"/>
        </w:rPr>
        <w:t>考虑因素包括：</w:t>
      </w:r>
    </w:p>
    <w:p w14:paraId="66E09395">
      <w:pPr>
        <w:pStyle w:val="20"/>
        <w:numPr>
          <w:ilvl w:val="1"/>
          <w:numId w:val="4"/>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该器械是否</w:t>
      </w:r>
      <w:r>
        <w:rPr>
          <w:rFonts w:hint="eastAsia" w:ascii="宋体" w:hAnsi="宋体" w:eastAsia="宋体" w:cs="Arial"/>
          <w:snapToGrid w:val="0"/>
          <w:sz w:val="24"/>
          <w:szCs w:val="24"/>
        </w:rPr>
        <w:t>“</w:t>
      </w:r>
      <w:r>
        <w:rPr>
          <w:rFonts w:hint="eastAsia" w:ascii="Arial" w:hAnsi="Arial" w:eastAsia="宋体" w:cs="Arial"/>
          <w:snapToGrid w:val="0"/>
          <w:sz w:val="24"/>
          <w:szCs w:val="24"/>
        </w:rPr>
        <w:t>旨在</w:t>
      </w:r>
      <w:r>
        <w:rPr>
          <w:rFonts w:hint="eastAsia" w:ascii="宋体" w:hAnsi="宋体" w:eastAsia="宋体" w:cs="Arial"/>
          <w:snapToGrid w:val="0"/>
          <w:sz w:val="24"/>
          <w:szCs w:val="24"/>
        </w:rPr>
        <w:t>”</w:t>
      </w:r>
      <w:r>
        <w:rPr>
          <w:rFonts w:hint="eastAsia" w:ascii="Arial" w:hAnsi="Arial" w:eastAsia="宋体" w:cs="Arial"/>
          <w:snapToGrid w:val="0"/>
          <w:sz w:val="24"/>
          <w:szCs w:val="24"/>
        </w:rPr>
        <w:t>治疗或诊断致命性或不可逆衰竭性疾病或病症：在确定器械是否预期用于治疗或诊断致命性或不可逆衰竭性疾病或病症（包括监测这种疾病或病症的治疗）时，FDA打算确定器械是否会对该致命性或不可逆衰竭性疾病或病症的严重方面产生积极影响，例如对疾病或病症的严重表现或症状的预期治疗效果，改善这种疾病或病症的诊断，改善生活质量或其他有益效果。FDA还打算确定器械是否特定用于治疗、诊断、缓解或预防符合未满足医疗需求条件的人群或亚群中的致命性或不可逆衰竭性疾病或病症。</w:t>
      </w:r>
    </w:p>
    <w:p w14:paraId="672D3449">
      <w:pPr>
        <w:pStyle w:val="20"/>
        <w:numPr>
          <w:ilvl w:val="1"/>
          <w:numId w:val="4"/>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1"/>
        </w:rPr>
      </w:pPr>
      <w:r>
        <w:rPr>
          <w:rFonts w:hint="eastAsia" w:ascii="Arial" w:hAnsi="Arial" w:eastAsia="宋体" w:cs="Arial"/>
          <w:i/>
          <w:snapToGrid w:val="0"/>
          <w:sz w:val="24"/>
          <w:szCs w:val="24"/>
        </w:rPr>
        <w:t>疾病或病症是否具有</w:t>
      </w:r>
      <w:r>
        <w:rPr>
          <w:rFonts w:hint="eastAsia" w:ascii="宋体" w:hAnsi="宋体" w:eastAsia="宋体" w:cs="Arial"/>
          <w:i/>
          <w:snapToGrid w:val="0"/>
          <w:sz w:val="24"/>
          <w:szCs w:val="24"/>
        </w:rPr>
        <w:t>“</w:t>
      </w:r>
      <w:r>
        <w:rPr>
          <w:rFonts w:hint="eastAsia" w:ascii="Arial" w:hAnsi="Arial" w:eastAsia="宋体" w:cs="Arial"/>
          <w:i/>
          <w:snapToGrid w:val="0"/>
          <w:sz w:val="24"/>
          <w:szCs w:val="24"/>
        </w:rPr>
        <w:t>致命性</w:t>
      </w:r>
      <w:r>
        <w:rPr>
          <w:rFonts w:hint="eastAsia" w:ascii="宋体" w:hAnsi="宋体" w:eastAsia="宋体" w:cs="Arial"/>
          <w:i/>
          <w:snapToGrid w:val="0"/>
          <w:sz w:val="24"/>
          <w:szCs w:val="24"/>
        </w:rPr>
        <w:t>”</w:t>
      </w:r>
      <w:r>
        <w:rPr>
          <w:rFonts w:hint="eastAsia" w:ascii="Arial" w:hAnsi="Arial" w:eastAsia="宋体" w:cs="Arial"/>
          <w:i/>
          <w:snapToGrid w:val="0"/>
          <w:sz w:val="24"/>
          <w:szCs w:val="24"/>
        </w:rPr>
        <w:t>：</w:t>
      </w:r>
      <w:r>
        <w:rPr>
          <w:rFonts w:hint="eastAsia" w:ascii="Arial" w:hAnsi="Arial" w:eastAsia="宋体" w:cs="Arial"/>
          <w:snapToGrid w:val="0"/>
          <w:sz w:val="24"/>
          <w:szCs w:val="24"/>
        </w:rPr>
        <w:t>就</w:t>
      </w:r>
      <w:r>
        <w:rPr>
          <w:rFonts w:ascii="Arial" w:hAnsi="Arial" w:eastAsia="宋体" w:cs="Arial"/>
          <w:snapToGrid w:val="0"/>
          <w:sz w:val="24"/>
          <w:szCs w:val="24"/>
        </w:rPr>
        <w:t>EAP</w:t>
      </w:r>
      <w:r>
        <w:rPr>
          <w:rFonts w:hint="eastAsia" w:ascii="Arial" w:hAnsi="Arial" w:eastAsia="宋体" w:cs="Arial"/>
          <w:snapToGrid w:val="0"/>
          <w:sz w:val="24"/>
          <w:szCs w:val="24"/>
        </w:rPr>
        <w:t>项目而言，除非疾病或病症病程中断，否则符合未满足医疗需求条件的人群或亚群中患有此疾病或病症的大部分患者可能死亡，则</w:t>
      </w:r>
      <w:r>
        <w:rPr>
          <w:rFonts w:ascii="Arial" w:hAnsi="Arial" w:eastAsia="宋体" w:cs="Arial"/>
          <w:snapToGrid w:val="0"/>
          <w:sz w:val="24"/>
          <w:szCs w:val="24"/>
        </w:rPr>
        <w:t>FDA</w:t>
      </w:r>
      <w:r>
        <w:rPr>
          <w:rFonts w:hint="eastAsia" w:ascii="Arial" w:hAnsi="Arial" w:eastAsia="宋体" w:cs="Arial"/>
          <w:snapToGrid w:val="0"/>
          <w:sz w:val="24"/>
          <w:szCs w:val="24"/>
        </w:rPr>
        <w:t>将会认为此疾病或病症具有致命性。</w:t>
      </w:r>
      <w:r>
        <w:rPr>
          <w:rFonts w:hint="eastAsia" w:ascii="Arial" w:hAnsi="Arial" w:cs="Arial"/>
          <w:snapToGrid w:val="0"/>
        </w:rPr>
        <w:t>致命性疾病或病症的示例包括但不限于：慢性或活动性肝炎、心肌梗死、癌症和创伤。</w:t>
      </w:r>
    </w:p>
    <w:p w14:paraId="65316151">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341032C1">
      <w:pPr>
        <w:pStyle w:val="20"/>
        <w:numPr>
          <w:ilvl w:val="1"/>
          <w:numId w:val="4"/>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i/>
          <w:snapToGrid w:val="0"/>
          <w:sz w:val="24"/>
          <w:szCs w:val="24"/>
        </w:rPr>
        <w:t>疾病或病症是否具有</w:t>
      </w:r>
      <w:r>
        <w:rPr>
          <w:rFonts w:hint="eastAsia" w:ascii="宋体" w:hAnsi="宋体" w:eastAsia="宋体" w:cs="Arial"/>
          <w:i/>
          <w:snapToGrid w:val="0"/>
          <w:sz w:val="24"/>
          <w:szCs w:val="24"/>
        </w:rPr>
        <w:t>“</w:t>
      </w:r>
      <w:r>
        <w:rPr>
          <w:rFonts w:hint="eastAsia" w:ascii="Arial" w:hAnsi="Arial" w:eastAsia="宋体" w:cs="Arial"/>
          <w:i/>
          <w:snapToGrid w:val="0"/>
          <w:sz w:val="24"/>
          <w:szCs w:val="24"/>
        </w:rPr>
        <w:t>不可逆衰竭性</w:t>
      </w:r>
      <w:r>
        <w:rPr>
          <w:rFonts w:hint="eastAsia" w:ascii="宋体" w:hAnsi="宋体" w:eastAsia="宋体" w:cs="Arial"/>
          <w:i/>
          <w:snapToGrid w:val="0"/>
          <w:sz w:val="24"/>
          <w:szCs w:val="24"/>
        </w:rPr>
        <w:t>”</w:t>
      </w:r>
      <w:r>
        <w:rPr>
          <w:rFonts w:hint="eastAsia" w:ascii="Arial" w:hAnsi="Arial" w:eastAsia="宋体" w:cs="Arial"/>
          <w:i/>
          <w:snapToGrid w:val="0"/>
          <w:sz w:val="24"/>
          <w:szCs w:val="24"/>
        </w:rPr>
        <w:t>：</w:t>
      </w:r>
      <w:r>
        <w:rPr>
          <w:rFonts w:hint="eastAsia" w:ascii="Arial" w:hAnsi="Arial" w:eastAsia="宋体" w:cs="Arial"/>
          <w:snapToGrid w:val="0"/>
          <w:sz w:val="24"/>
          <w:szCs w:val="24"/>
        </w:rPr>
        <w:t>就EAP项目而言，如果疾病或病症的发病率会对符合未满足医疗需求条件的人群或亚群的日常功能产生重大影响，则FDA将会认为此疾病或病症具有不可逆衰竭性。通常不包括短期和自限性发病率。在某些情况下，不可逆疾病或病症可能包括持续性或复发性疾病或病症。确定疾病或病症是否具有</w:t>
      </w:r>
      <w:r>
        <w:rPr>
          <w:rFonts w:hint="eastAsia" w:ascii="宋体" w:hAnsi="宋体" w:eastAsia="宋体" w:cs="Arial"/>
          <w:snapToGrid w:val="0"/>
          <w:sz w:val="24"/>
          <w:szCs w:val="24"/>
        </w:rPr>
        <w:t>“</w:t>
      </w:r>
      <w:r>
        <w:rPr>
          <w:rFonts w:hint="eastAsia" w:ascii="Arial" w:hAnsi="Arial" w:eastAsia="宋体" w:cs="Arial"/>
          <w:snapToGrid w:val="0"/>
          <w:sz w:val="24"/>
          <w:szCs w:val="24"/>
        </w:rPr>
        <w:t>不可逆衰竭性</w:t>
      </w:r>
      <w:r>
        <w:rPr>
          <w:rFonts w:hint="eastAsia" w:ascii="宋体" w:hAnsi="宋体" w:eastAsia="宋体" w:cs="Arial"/>
          <w:snapToGrid w:val="0"/>
          <w:sz w:val="24"/>
          <w:szCs w:val="24"/>
        </w:rPr>
        <w:t>”</w:t>
      </w:r>
      <w:r>
        <w:rPr>
          <w:rFonts w:hint="eastAsia" w:ascii="Arial" w:hAnsi="Arial" w:eastAsia="宋体" w:cs="Arial"/>
          <w:snapToGrid w:val="0"/>
          <w:sz w:val="24"/>
          <w:szCs w:val="24"/>
        </w:rPr>
        <w:t>时应基于其对生存、日常功能等因素的影响，以及如果未进行治疗，疾病或病症可能加重的可能性。示例包括癌症、肌萎缩性侧索硬化（ALS）、脑卒中和大型ST段抬高型心肌梗死（STEMI；而STEMI和脑卒中患者可以通过用药和康复改善，疾病影响不可逆，且如果足够严重，则可能会具有衰竭性）。</w:t>
      </w:r>
    </w:p>
    <w:p w14:paraId="7E39FC3C">
      <w:pPr>
        <w:pStyle w:val="4"/>
        <w:numPr>
          <w:ilvl w:val="0"/>
          <w:numId w:val="4"/>
        </w:numPr>
        <w:tabs>
          <w:tab w:val="left" w:pos="48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该器械至少满足以下一个解决未满足需求的标准：</w:t>
      </w:r>
    </w:p>
    <w:p w14:paraId="318D1E3A">
      <w:pPr>
        <w:pStyle w:val="20"/>
        <w:numPr>
          <w:ilvl w:val="0"/>
          <w:numId w:val="5"/>
        </w:numPr>
        <w:topLinePunct/>
        <w:adjustRightInd w:val="0"/>
        <w:snapToGrid w:val="0"/>
        <w:spacing w:after="224" w:afterLines="75" w:line="288" w:lineRule="auto"/>
        <w:ind w:left="848" w:leftChars="222" w:hangingChars="150"/>
        <w:jc w:val="both"/>
        <w:rPr>
          <w:rFonts w:ascii="Arial" w:hAnsi="Arial" w:eastAsia="宋体" w:cs="Arial"/>
          <w:snapToGrid w:val="0"/>
          <w:sz w:val="24"/>
          <w:szCs w:val="24"/>
        </w:rPr>
      </w:pPr>
      <w:r>
        <w:rPr>
          <w:rFonts w:hint="eastAsia" w:ascii="Arial" w:hAnsi="Arial" w:eastAsia="宋体" w:cs="Arial"/>
          <w:i/>
          <w:snapToGrid w:val="0"/>
          <w:sz w:val="24"/>
        </w:rPr>
        <w:t>无合适的替代治疗或诊断手段。</w:t>
      </w:r>
    </w:p>
    <w:p w14:paraId="2FC6BA5E">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就EAP标准而言，FDA一般认为，合适的替代方法包括满足以下条件的治疗、诊断、治疗、缓解或预防（包括监测治疗）：</w:t>
      </w:r>
    </w:p>
    <w:p w14:paraId="110F5717">
      <w:pPr>
        <w:pStyle w:val="20"/>
        <w:numPr>
          <w:ilvl w:val="1"/>
          <w:numId w:val="5"/>
        </w:numPr>
        <w:topLinePunct/>
        <w:adjustRightInd w:val="0"/>
        <w:snapToGrid w:val="0"/>
        <w:spacing w:after="224" w:afterLines="75" w:line="288" w:lineRule="auto"/>
        <w:ind w:left="1274" w:leftChars="385" w:hanging="427" w:hangingChars="178"/>
        <w:jc w:val="both"/>
        <w:rPr>
          <w:rFonts w:ascii="Arial" w:hAnsi="Arial" w:eastAsia="宋体" w:cs="Arial"/>
          <w:snapToGrid w:val="0"/>
          <w:sz w:val="24"/>
          <w:szCs w:val="24"/>
        </w:rPr>
      </w:pPr>
      <w:r>
        <w:rPr>
          <w:rFonts w:hint="eastAsia" w:ascii="Arial" w:hAnsi="Arial" w:eastAsia="宋体" w:cs="Arial"/>
          <w:snapToGrid w:val="0"/>
          <w:sz w:val="24"/>
          <w:szCs w:val="24"/>
        </w:rPr>
        <w:t>已经美国FDA批准、许可或特许用于该器械所适用的相同适应症（无论是新器械还是寻找新适应症的现有器械）。在某些情况下，就EAP标准而言，未批准、许可或特许用于指定用途或未由FDA监管的治疗也可视为</w:t>
      </w:r>
      <w:r>
        <w:rPr>
          <w:rFonts w:hint="eastAsia" w:ascii="宋体" w:hAnsi="宋体" w:eastAsia="宋体" w:cs="Arial"/>
          <w:snapToGrid w:val="0"/>
          <w:sz w:val="24"/>
          <w:szCs w:val="24"/>
        </w:rPr>
        <w:t>“</w:t>
      </w:r>
      <w:r>
        <w:rPr>
          <w:rFonts w:hint="eastAsia" w:ascii="Arial" w:hAnsi="Arial" w:eastAsia="宋体" w:cs="Arial"/>
          <w:snapToGrid w:val="0"/>
          <w:sz w:val="24"/>
          <w:szCs w:val="24"/>
        </w:rPr>
        <w:t>合适的替代治疗</w:t>
      </w:r>
      <w:r>
        <w:rPr>
          <w:rFonts w:hint="eastAsia" w:ascii="宋体" w:hAnsi="宋体" w:eastAsia="宋体" w:cs="Arial"/>
          <w:snapToGrid w:val="0"/>
          <w:sz w:val="24"/>
          <w:szCs w:val="24"/>
        </w:rPr>
        <w:t>”</w:t>
      </w:r>
      <w:r>
        <w:rPr>
          <w:rFonts w:hint="eastAsia" w:ascii="Arial" w:hAnsi="Arial" w:eastAsia="宋体" w:cs="Arial"/>
          <w:snapToGrid w:val="0"/>
          <w:sz w:val="24"/>
          <w:szCs w:val="24"/>
        </w:rPr>
        <w:t>。例如，如果疗法的安全性和有效性得到强有力的证据支持（包括已出版文献中的证据），并被视为美国的护理标准（SOC），则即使该疗法未经批准、许可或特许，FDA也可能会将其视为</w:t>
      </w:r>
      <w:r>
        <w:rPr>
          <w:rFonts w:hint="eastAsia" w:ascii="宋体" w:hAnsi="宋体" w:eastAsia="宋体" w:cs="Arial"/>
          <w:snapToGrid w:val="0"/>
          <w:sz w:val="24"/>
          <w:szCs w:val="24"/>
        </w:rPr>
        <w:t>“</w:t>
      </w:r>
      <w:r>
        <w:rPr>
          <w:rFonts w:hint="eastAsia" w:ascii="Arial" w:hAnsi="Arial" w:eastAsia="宋体" w:cs="Arial"/>
          <w:snapToGrid w:val="0"/>
          <w:sz w:val="24"/>
          <w:szCs w:val="24"/>
        </w:rPr>
        <w:t>合适的替代治疗</w:t>
      </w:r>
      <w:r>
        <w:rPr>
          <w:rFonts w:hint="eastAsia" w:ascii="宋体" w:hAnsi="宋体" w:eastAsia="宋体" w:cs="Arial"/>
          <w:snapToGrid w:val="0"/>
          <w:sz w:val="24"/>
          <w:szCs w:val="24"/>
        </w:rPr>
        <w:t>”</w:t>
      </w:r>
      <w:r>
        <w:rPr>
          <w:rFonts w:hint="eastAsia" w:ascii="Arial" w:hAnsi="Arial" w:eastAsia="宋体" w:cs="Arial"/>
          <w:snapToGrid w:val="0"/>
          <w:sz w:val="24"/>
          <w:szCs w:val="24"/>
        </w:rPr>
        <w:t>。就此类标准而言，FDA将根据具体情况考虑是否可以将尚未进行验证性批准后研究的核准EAP器械视为</w:t>
      </w:r>
      <w:r>
        <w:rPr>
          <w:rFonts w:hint="eastAsia" w:ascii="宋体" w:hAnsi="宋体" w:eastAsia="宋体" w:cs="Arial"/>
          <w:snapToGrid w:val="0"/>
          <w:sz w:val="24"/>
          <w:szCs w:val="24"/>
        </w:rPr>
        <w:t>“</w:t>
      </w:r>
      <w:r>
        <w:rPr>
          <w:rFonts w:hint="eastAsia" w:ascii="Arial" w:hAnsi="Arial" w:eastAsia="宋体" w:cs="Arial"/>
          <w:snapToGrid w:val="0"/>
          <w:sz w:val="24"/>
          <w:szCs w:val="24"/>
        </w:rPr>
        <w:t>合适的替代治疗</w:t>
      </w:r>
      <w:r>
        <w:rPr>
          <w:rFonts w:hint="eastAsia" w:ascii="宋体" w:hAnsi="宋体" w:eastAsia="宋体" w:cs="Arial"/>
          <w:snapToGrid w:val="0"/>
          <w:sz w:val="24"/>
          <w:szCs w:val="24"/>
        </w:rPr>
        <w:t>”</w:t>
      </w:r>
      <w:r>
        <w:rPr>
          <w:rFonts w:hint="eastAsia" w:ascii="Arial" w:hAnsi="Arial" w:eastAsia="宋体" w:cs="Arial"/>
          <w:snapToGrid w:val="0"/>
          <w:sz w:val="24"/>
          <w:szCs w:val="24"/>
        </w:rPr>
        <w:t>；以及，</w:t>
      </w:r>
    </w:p>
    <w:p w14:paraId="05F05761">
      <w:pPr>
        <w:pStyle w:val="20"/>
        <w:numPr>
          <w:ilvl w:val="1"/>
          <w:numId w:val="5"/>
        </w:numPr>
        <w:topLinePunct/>
        <w:adjustRightInd w:val="0"/>
        <w:snapToGrid w:val="0"/>
        <w:spacing w:after="224" w:afterLines="75" w:line="288" w:lineRule="auto"/>
        <w:ind w:left="1274" w:leftChars="385" w:hanging="427" w:hangingChars="178"/>
        <w:jc w:val="both"/>
        <w:rPr>
          <w:rFonts w:ascii="Arial" w:hAnsi="Arial" w:eastAsia="宋体" w:cs="Arial"/>
          <w:snapToGrid w:val="0"/>
          <w:sz w:val="24"/>
          <w:szCs w:val="24"/>
        </w:rPr>
      </w:pPr>
      <w:r>
        <w:rPr>
          <w:rFonts w:hint="eastAsia" w:ascii="Arial" w:hAnsi="Arial" w:eastAsia="宋体" w:cs="Arial"/>
          <w:snapToGrid w:val="0"/>
          <w:sz w:val="24"/>
        </w:rPr>
        <w:t>与用于该适应症的现行美国SOC有关。</w:t>
      </w:r>
    </w:p>
    <w:p w14:paraId="03411015">
      <w:pPr>
        <w:pStyle w:val="7"/>
        <w:topLinePunct/>
        <w:adjustRightInd w:val="0"/>
        <w:snapToGrid w:val="0"/>
        <w:spacing w:after="224" w:afterLines="75" w:line="288" w:lineRule="auto"/>
        <w:ind w:left="2160" w:leftChars="982"/>
        <w:jc w:val="both"/>
        <w:rPr>
          <w:rFonts w:ascii="Arial" w:hAnsi="Arial" w:cs="Arial"/>
          <w:snapToGrid w:val="0"/>
        </w:rPr>
      </w:pPr>
      <w:r>
        <w:rPr>
          <w:rFonts w:hint="eastAsia" w:ascii="Arial" w:hAnsi="Arial" w:cs="Arial"/>
          <w:snapToGrid w:val="0"/>
        </w:rPr>
        <w:t>可能存在相当多的核准医疗产品，且此类产品与美国目前用于治疗致命性或不可逆衰竭性疾病的诊断和疗法的相关性不同，其中包括不再使用或较少使用的器械。FDA在确定是否有核准替代方法时，通常仅关注反映适用于特定适应症（包括疾病阶段）的现行SOC的治疗选择，其中，应正在针对该适应症开发产品。</w:t>
      </w:r>
    </w:p>
    <w:p w14:paraId="0C6243EB">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160CC727">
      <w:pPr>
        <w:pStyle w:val="7"/>
        <w:topLinePunct/>
        <w:adjustRightInd w:val="0"/>
        <w:snapToGrid w:val="0"/>
        <w:spacing w:after="224" w:afterLines="75" w:line="288" w:lineRule="auto"/>
        <w:ind w:left="2160" w:leftChars="982"/>
        <w:jc w:val="both"/>
        <w:rPr>
          <w:rFonts w:ascii="Arial" w:hAnsi="Arial" w:cs="Arial"/>
          <w:snapToGrid w:val="0"/>
        </w:rPr>
      </w:pPr>
      <w:r>
        <w:rPr>
          <w:rFonts w:hint="eastAsia" w:ascii="Arial" w:hAnsi="Arial" w:cs="Arial"/>
          <w:snapToGrid w:val="0"/>
        </w:rPr>
        <w:t>在评价现行SOC时，FDA会考虑权威科学机构根据临床证据和其他可靠信息（包括申办方提交的，反映当前临床试验规范的信息）提出的建议。由于缺乏完善和文件化的SOC，在评估核准治疗是否与现行SOC相关时，FDA可以咨询特别政府雇员或其他专家，以征求其意见。当新器械的拟定适应症旨在针对广泛疾病人群的某个亚群时，该广泛人群的SOC（如果有）通常也可用于该亚群。</w:t>
      </w:r>
    </w:p>
    <w:p w14:paraId="33A93627">
      <w:pPr>
        <w:pStyle w:val="7"/>
        <w:topLinePunct/>
        <w:adjustRightInd w:val="0"/>
        <w:snapToGrid w:val="0"/>
        <w:spacing w:after="224" w:afterLines="75" w:line="288" w:lineRule="auto"/>
        <w:ind w:left="2160" w:leftChars="982"/>
        <w:jc w:val="both"/>
        <w:rPr>
          <w:rFonts w:ascii="Arial" w:hAnsi="Arial" w:cs="Arial"/>
          <w:snapToGrid w:val="0"/>
        </w:rPr>
      </w:pPr>
      <w:r>
        <w:rPr>
          <w:rFonts w:hint="eastAsia" w:ascii="Arial" w:hAnsi="Arial" w:cs="Arial"/>
          <w:snapToGrid w:val="0"/>
        </w:rPr>
        <w:t>在开发新器械过程中，可以预见，给定适应症的SOC可能会不断改进（例如，由于新器械获批或获得关于替代治疗的新信息）。FDA打算在收到EAP指定请求时以及批准关键临床试验IDE时（如果研究在美国进行），确定什么是替代治疗。</w:t>
      </w:r>
    </w:p>
    <w:p w14:paraId="7F89416F">
      <w:pPr>
        <w:pStyle w:val="7"/>
        <w:topLinePunct/>
        <w:adjustRightInd w:val="0"/>
        <w:snapToGrid w:val="0"/>
        <w:spacing w:after="224" w:afterLines="75" w:line="288" w:lineRule="auto"/>
        <w:ind w:left="1441" w:leftChars="655"/>
        <w:jc w:val="both"/>
        <w:rPr>
          <w:rFonts w:ascii="Arial" w:hAnsi="Arial" w:cs="Arial"/>
          <w:snapToGrid w:val="0"/>
        </w:rPr>
      </w:pPr>
      <w:r>
        <w:rPr>
          <w:rFonts w:hint="eastAsia" w:ascii="Arial" w:hAnsi="Arial" w:cs="Arial"/>
          <w:snapToGrid w:val="0"/>
        </w:rPr>
        <w:t>示例包括：</w:t>
      </w:r>
    </w:p>
    <w:p w14:paraId="62D48EF8">
      <w:pPr>
        <w:pStyle w:val="20"/>
        <w:numPr>
          <w:ilvl w:val="0"/>
          <w:numId w:val="6"/>
        </w:numPr>
        <w:tabs>
          <w:tab w:val="left" w:pos="980"/>
        </w:tabs>
        <w:topLinePunct/>
        <w:adjustRightInd w:val="0"/>
        <w:snapToGrid w:val="0"/>
        <w:spacing w:after="224" w:afterLines="75" w:line="288" w:lineRule="auto"/>
        <w:ind w:left="2265" w:leftChars="837"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可能治疗房颤的消融导管。导管被批准用于心房扑动，市面上不存在用于治疗房颤的合法上市消融导管，因此，在审查时，消融导管符合</w:t>
      </w:r>
      <w:r>
        <w:rPr>
          <w:rFonts w:hint="eastAsia" w:ascii="宋体" w:hAnsi="宋体" w:eastAsia="宋体" w:cs="Arial"/>
          <w:snapToGrid w:val="0"/>
          <w:sz w:val="24"/>
          <w:szCs w:val="24"/>
        </w:rPr>
        <w:t>“</w:t>
      </w:r>
      <w:r>
        <w:rPr>
          <w:rFonts w:hint="eastAsia" w:ascii="Arial" w:hAnsi="Arial" w:eastAsia="宋体" w:cs="Arial"/>
          <w:snapToGrid w:val="0"/>
          <w:sz w:val="24"/>
          <w:szCs w:val="24"/>
        </w:rPr>
        <w:t>无核准替代方法</w:t>
      </w:r>
      <w:r>
        <w:rPr>
          <w:rFonts w:hint="eastAsia" w:ascii="宋体" w:hAnsi="宋体" w:eastAsia="宋体" w:cs="Arial"/>
          <w:snapToGrid w:val="0"/>
          <w:sz w:val="24"/>
          <w:szCs w:val="24"/>
        </w:rPr>
        <w:t>”</w:t>
      </w:r>
      <w:r>
        <w:rPr>
          <w:rFonts w:hint="eastAsia" w:ascii="Arial" w:hAnsi="Arial" w:eastAsia="宋体" w:cs="Arial"/>
          <w:snapToGrid w:val="0"/>
          <w:sz w:val="24"/>
          <w:szCs w:val="24"/>
        </w:rPr>
        <w:t>的标准。</w:t>
      </w:r>
    </w:p>
    <w:p w14:paraId="3DCAF601">
      <w:pPr>
        <w:pStyle w:val="20"/>
        <w:numPr>
          <w:ilvl w:val="0"/>
          <w:numId w:val="6"/>
        </w:numPr>
        <w:tabs>
          <w:tab w:val="left" w:pos="980"/>
        </w:tabs>
        <w:topLinePunct/>
        <w:adjustRightInd w:val="0"/>
        <w:snapToGrid w:val="0"/>
        <w:spacing w:after="224" w:afterLines="75" w:line="288" w:lineRule="auto"/>
        <w:ind w:left="2265" w:leftChars="837"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持续葡萄糖监测（CGM）器械连续或以较短间隔（即每5分钟）报告葡萄糖值数天。其内置有可编程的警报，用于警告用户结果是否超出预设低阈值和高阈值。独立使用，可帮助指导治疗决定（即取代血糖试验）的首个CGM将符合</w:t>
      </w:r>
      <w:r>
        <w:rPr>
          <w:rFonts w:hint="eastAsia" w:ascii="宋体" w:hAnsi="宋体" w:eastAsia="宋体" w:cs="Arial"/>
          <w:snapToGrid w:val="0"/>
          <w:sz w:val="24"/>
          <w:szCs w:val="24"/>
        </w:rPr>
        <w:t>“</w:t>
      </w:r>
      <w:r>
        <w:rPr>
          <w:rFonts w:hint="eastAsia" w:ascii="Arial" w:hAnsi="Arial" w:eastAsia="宋体" w:cs="Arial"/>
          <w:snapToGrid w:val="0"/>
          <w:sz w:val="24"/>
          <w:szCs w:val="24"/>
        </w:rPr>
        <w:t>无核准替代方法</w:t>
      </w:r>
      <w:r>
        <w:rPr>
          <w:rFonts w:hint="eastAsia" w:ascii="宋体" w:hAnsi="宋体" w:eastAsia="宋体" w:cs="Arial"/>
          <w:snapToGrid w:val="0"/>
          <w:sz w:val="24"/>
          <w:szCs w:val="24"/>
        </w:rPr>
        <w:t>”</w:t>
      </w:r>
      <w:r>
        <w:rPr>
          <w:rFonts w:hint="eastAsia" w:ascii="Arial" w:hAnsi="Arial" w:eastAsia="宋体" w:cs="Arial"/>
          <w:snapToGrid w:val="0"/>
          <w:sz w:val="24"/>
          <w:szCs w:val="24"/>
        </w:rPr>
        <w:t>的标准。</w:t>
      </w:r>
    </w:p>
    <w:p w14:paraId="7BEE53F1">
      <w:pPr>
        <w:pStyle w:val="20"/>
        <w:numPr>
          <w:ilvl w:val="0"/>
          <w:numId w:val="6"/>
        </w:numPr>
        <w:tabs>
          <w:tab w:val="left" w:pos="980"/>
        </w:tabs>
        <w:topLinePunct/>
        <w:adjustRightInd w:val="0"/>
        <w:snapToGrid w:val="0"/>
        <w:spacing w:after="224" w:afterLines="75" w:line="288" w:lineRule="auto"/>
        <w:ind w:left="2265" w:leftChars="837"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首个帕金森病试验器械，用于区分症状与其他可能难以治疗的疾病。</w:t>
      </w:r>
    </w:p>
    <w:p w14:paraId="31A3F048">
      <w:pPr>
        <w:pStyle w:val="7"/>
        <w:topLinePunct/>
        <w:adjustRightInd w:val="0"/>
        <w:snapToGrid w:val="0"/>
        <w:spacing w:after="224" w:afterLines="75" w:line="288" w:lineRule="auto"/>
        <w:ind w:left="1441" w:leftChars="655"/>
        <w:jc w:val="both"/>
        <w:rPr>
          <w:rFonts w:ascii="Arial" w:hAnsi="Arial" w:cs="Arial"/>
          <w:snapToGrid w:val="0"/>
          <w:szCs w:val="20"/>
        </w:rPr>
      </w:pPr>
      <w:r>
        <w:rPr>
          <w:rFonts w:hint="eastAsia" w:ascii="Arial" w:hAnsi="Arial" w:cs="Arial"/>
          <w:snapToGrid w:val="0"/>
        </w:rPr>
        <w:t>即使证明无核准替代治疗或诊断手段存在，必须满足器械安全性和有效性已得到合理保证的要求。</w:t>
      </w:r>
    </w:p>
    <w:p w14:paraId="57D9F66C">
      <w:pPr>
        <w:rPr>
          <w:rFonts w:ascii="Arial" w:hAnsi="Arial" w:eastAsia="宋体" w:cs="Arial"/>
          <w:snapToGrid w:val="0"/>
          <w:sz w:val="24"/>
        </w:rPr>
      </w:pPr>
      <w:r>
        <w:rPr>
          <w:rFonts w:ascii="Arial" w:hAnsi="Arial" w:eastAsia="宋体" w:cs="Arial"/>
          <w:snapToGrid w:val="0"/>
          <w:sz w:val="24"/>
        </w:rPr>
        <w:br w:type="page"/>
      </w:r>
    </w:p>
    <w:p w14:paraId="7FDE690A">
      <w:pPr>
        <w:pStyle w:val="20"/>
        <w:numPr>
          <w:ilvl w:val="0"/>
          <w:numId w:val="5"/>
        </w:numPr>
        <w:topLinePunct/>
        <w:adjustRightInd w:val="0"/>
        <w:snapToGrid w:val="0"/>
        <w:spacing w:after="224" w:afterLines="75" w:line="288" w:lineRule="auto"/>
        <w:ind w:left="848" w:leftChars="222" w:hangingChars="150"/>
        <w:jc w:val="both"/>
        <w:rPr>
          <w:rFonts w:ascii="Arial" w:hAnsi="Arial" w:eastAsia="宋体" w:cs="Arial"/>
          <w:snapToGrid w:val="0"/>
          <w:sz w:val="24"/>
          <w:szCs w:val="24"/>
        </w:rPr>
      </w:pPr>
      <w:r>
        <w:rPr>
          <w:rFonts w:hint="eastAsia" w:ascii="Arial" w:hAnsi="Arial" w:eastAsia="宋体" w:cs="Arial"/>
          <w:snapToGrid w:val="0"/>
          <w:sz w:val="24"/>
        </w:rPr>
        <w:t>该器械代表了一项突破性技术，与现有合法上市技术相比，此技术可提供具有临床意义的优势。</w:t>
      </w:r>
    </w:p>
    <w:p w14:paraId="39CDD6C0">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突破性技术可临床改善致命性或不可逆衰竭性病症的诊断、治疗、治疗、缓解或预防（包括监测治疗）。</w:t>
      </w:r>
    </w:p>
    <w:p w14:paraId="60B36263">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示例包括：</w:t>
      </w:r>
    </w:p>
    <w:p w14:paraId="35144CB0">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经导管</w:t>
      </w:r>
      <w:r>
        <w:rPr>
          <w:rFonts w:hint="eastAsia" w:ascii="Arial" w:hAnsi="Arial" w:eastAsia="宋体" w:cs="Arial"/>
          <w:snapToGrid w:val="0"/>
          <w:sz w:val="24"/>
          <w:szCs w:val="24"/>
        </w:rPr>
        <w:t>心脏</w:t>
      </w:r>
      <w:r>
        <w:rPr>
          <w:rFonts w:hint="eastAsia" w:ascii="Arial" w:hAnsi="Arial" w:eastAsia="宋体" w:cs="Arial"/>
          <w:snapToGrid w:val="0"/>
          <w:sz w:val="24"/>
        </w:rPr>
        <w:t>瓣膜，其可经皮递送，无需进行开放性心脏手术，从而降低手术风险。这种突破性技术可能会为几乎别无选择的患者提供具有临床意义的优势。</w:t>
      </w:r>
    </w:p>
    <w:p w14:paraId="47068F58">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内部止血器械，其用于在无法在受伤区域使用止血带时临时控制交界伤口、不可压缩伤口出血。在可以获得外科护理前，该器械可用于即时护理受伤区域的严重出血伤口，从而在其他阻止严重出血的方法不可用时，为患者提供可能挽救生命的治疗方法。</w:t>
      </w:r>
    </w:p>
    <w:p w14:paraId="3C4E2D21">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在灵敏度方面，使用患者血液鉴定DNA变体的基因检测可能低于手术切除肿瘤或骨髓的标准检测，但其可能为患者提供方便、无创的取样方法。</w:t>
      </w:r>
    </w:p>
    <w:p w14:paraId="59463253">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粪便DNA检测，其提供有关患者是否可能患有结肠癌的信息，如果其结果未阴性，应停止进行内窥镜手术。</w:t>
      </w:r>
    </w:p>
    <w:p w14:paraId="1FA838F0">
      <w:pPr>
        <w:pStyle w:val="20"/>
        <w:numPr>
          <w:ilvl w:val="0"/>
          <w:numId w:val="5"/>
        </w:numPr>
        <w:topLinePunct/>
        <w:adjustRightInd w:val="0"/>
        <w:snapToGrid w:val="0"/>
        <w:spacing w:after="224" w:afterLines="75" w:line="288" w:lineRule="auto"/>
        <w:ind w:left="848" w:leftChars="222" w:hangingChars="150"/>
        <w:jc w:val="both"/>
        <w:rPr>
          <w:rFonts w:ascii="Arial" w:hAnsi="Arial" w:eastAsia="宋体" w:cs="Arial"/>
          <w:snapToGrid w:val="0"/>
          <w:sz w:val="24"/>
          <w:szCs w:val="24"/>
        </w:rPr>
      </w:pPr>
      <w:r>
        <w:rPr>
          <w:rFonts w:hint="eastAsia" w:ascii="Arial" w:hAnsi="Arial" w:eastAsia="宋体" w:cs="Arial"/>
          <w:i/>
          <w:snapToGrid w:val="0"/>
          <w:sz w:val="24"/>
        </w:rPr>
        <w:t>与现有合法上市替代品相比，该器械可提供显著的、具体临床意义的优势。</w:t>
      </w:r>
    </w:p>
    <w:p w14:paraId="475B2426">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与现有替代品相比，该器械可能治愈疾病，允许尽早并更准确地进行具有临床意义的诊断或治疗监测，或者在安全性和／或有效性方面提供重要的治疗或预防优势。FDA还将考虑器械是否可在缓解致命性或不可逆衰竭性疾病或病症方面提供重要优势。此类优势可能包括在严重结局（如发病率）影响方面优于现有治疗，风险显著低于现有疗法（包括提供临床收益，而不会出现现有治疗可能引起的严重副作用的能力），解决已知现有技术存在的重大缺陷，以及为无法耐受现有治疗的患者提供临床收益的能力。</w:t>
      </w:r>
    </w:p>
    <w:p w14:paraId="35DD63EB">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示例包括：</w:t>
      </w:r>
    </w:p>
    <w:p w14:paraId="2D1DEB61">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旨在改善致命性或不可逆衰竭性疾病或病症的诊断或检测，进而改善结局的诊断产品（例如，用于早期诊断子痫前期的IVD）。</w:t>
      </w:r>
    </w:p>
    <w:p w14:paraId="09B974EF">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19"/>
        </w:rPr>
      </w:pPr>
      <w:r>
        <w:rPr>
          <w:rFonts w:hint="eastAsia" w:ascii="Arial" w:hAnsi="Arial" w:eastAsia="宋体" w:cs="Arial"/>
          <w:snapToGrid w:val="0"/>
          <w:sz w:val="24"/>
        </w:rPr>
        <w:t>旨在改善或预防现有产品可能引起的严重治疗相关副作用的产品，其中，现有产品用于治疗致命性或不可逆衰竭性疾病或病症。</w:t>
      </w:r>
    </w:p>
    <w:p w14:paraId="0FF906E9">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旨在治疗致命性或不可逆衰竭性疾病或病症，且不会引起用于治疗该疾病／病症的现有可用产品可能造成的严重不良反应的产品。</w:t>
      </w:r>
    </w:p>
    <w:p w14:paraId="7F958A80">
      <w:pPr>
        <w:pStyle w:val="20"/>
        <w:numPr>
          <w:ilvl w:val="0"/>
          <w:numId w:val="5"/>
        </w:numPr>
        <w:topLinePunct/>
        <w:adjustRightInd w:val="0"/>
        <w:snapToGrid w:val="0"/>
        <w:spacing w:after="224" w:afterLines="75" w:line="288" w:lineRule="auto"/>
        <w:ind w:left="848" w:leftChars="222" w:hangingChars="150"/>
        <w:jc w:val="both"/>
        <w:rPr>
          <w:rFonts w:ascii="Arial" w:hAnsi="Arial" w:eastAsia="宋体" w:cs="Arial"/>
          <w:snapToGrid w:val="0"/>
          <w:sz w:val="24"/>
          <w:szCs w:val="24"/>
        </w:rPr>
      </w:pPr>
      <w:r>
        <w:rPr>
          <w:rFonts w:hint="eastAsia" w:ascii="Arial" w:hAnsi="Arial" w:eastAsia="宋体" w:cs="Arial"/>
          <w:i/>
          <w:snapToGrid w:val="0"/>
          <w:sz w:val="24"/>
        </w:rPr>
        <w:t>提供器械对患者最为有利（例如，解决未满足医疗需求）。</w:t>
      </w:r>
    </w:p>
    <w:p w14:paraId="6FD9A03E">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也就是说，器械或新适应症或扩展适应症提供特定公共卫生收益或解决既定患者人群的未满足医疗需求。就本指南而言，未满足医疗需求是指其治疗或诊断未被可用治疗或诊断充分解决的病症。如果没有治疗或诊断可用于致命性或不可逆衰竭性疾病或病症，则肯定存在未满足医疗需求。当存在可用治疗或诊断时，如果新治疗或诊断可影响疾病或病症的严重结局，但不确定可用疗法是否可影响该结局，或与可用治疗或诊断相比，显著改善对疾病或疾病的严重结局的影响或诊断，则可认为该新治疗或诊断能够解决未满足医疗需求。</w:t>
      </w:r>
    </w:p>
    <w:p w14:paraId="1540725E">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器械示例（其中，由于该器械可以解决未满足医疗需求，将其提供给患者可产生最大收益）可能包括用于同时鉴定大部分潜在病原体（包括常见，罕见和／或新型病原体）的一组分子试验。快速获取详细诊断信息可以更好地指导最佳患者护理，并可能产生更好的患者结局。然而，与参考方法相比时，此类器械也面临重大挑战，具体表现在如何获得适当样品基数，以便可靠验证群体中是否存在更罕见的病原体。这可能减少进行此类试验时需要涵盖，以满足PMA的安全性和有效性要求的目标群体。本指南可能会方便器械开发商测试用于普通和罕见病原体的新型宽范围IVD，从而将具有更广泛诊断范围的器械引入市场。此外，本指南可以允许快速批准对此类试验的修改，以便在出现新型和新兴病原体后，立即将其加入群体中。</w:t>
      </w:r>
    </w:p>
    <w:p w14:paraId="4EFCC647">
      <w:pPr>
        <w:pStyle w:val="7"/>
        <w:topLinePunct/>
        <w:adjustRightInd w:val="0"/>
        <w:snapToGrid w:val="0"/>
        <w:spacing w:after="224" w:afterLines="75" w:line="288" w:lineRule="auto"/>
        <w:ind w:left="847" w:leftChars="385"/>
        <w:jc w:val="both"/>
        <w:rPr>
          <w:rFonts w:ascii="Arial" w:hAnsi="Arial" w:cs="Arial"/>
          <w:snapToGrid w:val="0"/>
        </w:rPr>
      </w:pPr>
      <w:r>
        <w:rPr>
          <w:rFonts w:hint="eastAsia" w:ascii="Arial" w:hAnsi="Arial" w:cs="Arial"/>
          <w:snapToGrid w:val="0"/>
        </w:rPr>
        <w:t>此外，当器械可以为无法耐受可用治疗或其疾病未能被可用治疗影响的患者提供收益时，或者当治疗可以与某些关键试剂有效使用，而此类关键试剂不能与可用治疗相结合时，对患者最为有利的标准将适用。如果器械提供与可用治疗相似的效果，同时还满足以下条件，则上述标准也可能适用：</w:t>
      </w:r>
    </w:p>
    <w:p w14:paraId="71A82B13">
      <w:pPr>
        <w:pStyle w:val="20"/>
        <w:numPr>
          <w:ilvl w:val="0"/>
          <w:numId w:val="7"/>
        </w:numPr>
        <w:topLinePunct/>
        <w:adjustRightInd w:val="0"/>
        <w:snapToGrid w:val="0"/>
        <w:spacing w:line="288" w:lineRule="auto"/>
        <w:ind w:left="1558" w:leftChars="536" w:hanging="379" w:hangingChars="158"/>
        <w:jc w:val="both"/>
        <w:rPr>
          <w:rFonts w:ascii="Arial" w:hAnsi="Arial" w:eastAsia="宋体" w:cs="Arial"/>
          <w:snapToGrid w:val="0"/>
          <w:sz w:val="24"/>
          <w:szCs w:val="24"/>
        </w:rPr>
      </w:pPr>
      <w:r>
        <w:rPr>
          <w:rFonts w:hint="eastAsia" w:ascii="Arial" w:hAnsi="Arial" w:eastAsia="宋体" w:cs="Arial"/>
          <w:snapToGrid w:val="0"/>
          <w:sz w:val="24"/>
        </w:rPr>
        <w:t>避免可用治疗可能引起的严重损害；</w:t>
      </w:r>
    </w:p>
    <w:p w14:paraId="4634CCC6">
      <w:pPr>
        <w:pStyle w:val="20"/>
        <w:numPr>
          <w:ilvl w:val="0"/>
          <w:numId w:val="7"/>
        </w:numPr>
        <w:topLinePunct/>
        <w:adjustRightInd w:val="0"/>
        <w:snapToGrid w:val="0"/>
        <w:spacing w:line="288" w:lineRule="auto"/>
        <w:ind w:left="1558" w:leftChars="536" w:hanging="379" w:hangingChars="158"/>
        <w:jc w:val="both"/>
        <w:rPr>
          <w:rFonts w:ascii="Arial" w:hAnsi="Arial" w:eastAsia="宋体" w:cs="Arial"/>
          <w:snapToGrid w:val="0"/>
          <w:sz w:val="24"/>
          <w:szCs w:val="24"/>
        </w:rPr>
      </w:pPr>
      <w:r>
        <w:rPr>
          <w:rFonts w:hint="eastAsia" w:ascii="Arial" w:hAnsi="Arial" w:eastAsia="宋体" w:cs="Arial"/>
          <w:snapToGrid w:val="0"/>
          <w:sz w:val="24"/>
        </w:rPr>
        <w:t>避免导致停止治疗致命性或不可逆衰竭性疾病或病症的严重损害；或，</w:t>
      </w:r>
    </w:p>
    <w:p w14:paraId="03B0A61E">
      <w:pPr>
        <w:pStyle w:val="20"/>
        <w:numPr>
          <w:ilvl w:val="0"/>
          <w:numId w:val="7"/>
        </w:numPr>
        <w:topLinePunct/>
        <w:adjustRightInd w:val="0"/>
        <w:snapToGrid w:val="0"/>
        <w:spacing w:after="149" w:afterLines="50" w:line="288" w:lineRule="auto"/>
        <w:ind w:left="1558" w:leftChars="536" w:hanging="379" w:hangingChars="158"/>
        <w:jc w:val="both"/>
        <w:rPr>
          <w:rFonts w:ascii="Arial" w:hAnsi="Arial" w:eastAsia="宋体" w:cs="Arial"/>
          <w:snapToGrid w:val="0"/>
          <w:sz w:val="24"/>
          <w:szCs w:val="24"/>
        </w:rPr>
      </w:pPr>
      <w:r>
        <w:rPr>
          <w:rFonts w:hint="eastAsia" w:ascii="Arial" w:hAnsi="Arial" w:eastAsia="宋体" w:cs="Arial"/>
          <w:snapToGrid w:val="0"/>
          <w:sz w:val="24"/>
        </w:rPr>
        <w:t>降低与其他疗法产生不良相互作用的可能性。</w:t>
      </w:r>
    </w:p>
    <w:p w14:paraId="23DBDAD8">
      <w:pPr>
        <w:pStyle w:val="7"/>
        <w:topLinePunct/>
        <w:adjustRightInd w:val="0"/>
        <w:snapToGrid w:val="0"/>
        <w:spacing w:after="224" w:afterLines="75" w:line="288" w:lineRule="auto"/>
        <w:ind w:left="849" w:leftChars="386"/>
        <w:jc w:val="both"/>
        <w:rPr>
          <w:rFonts w:ascii="Arial" w:hAnsi="Arial" w:cs="Arial"/>
          <w:snapToGrid w:val="0"/>
        </w:rPr>
      </w:pPr>
      <w:r>
        <w:rPr>
          <w:rFonts w:hint="eastAsia" w:ascii="Arial" w:hAnsi="Arial" w:cs="Arial"/>
          <w:snapToGrid w:val="0"/>
        </w:rPr>
        <w:t>此外，如果某一器械设计用于或其修改目的在于解决核准器械关键组件的意外严重故障，此外，没有其他器械可用于替代核准器械或替代治疗可能会对患者构成重大发病风险，则上述标准可能适用于该器械。该器械还可以提供与可用治疗或诊断相似的安全性和有效性，并可提供另一预期收益，例如改善患者依从性，进而减少严重不良结局。此外，如果器械解决了新兴或预期公共卫生需求，例如器械短缺或公共卫生紧急状况，这可能适用。</w:t>
      </w:r>
    </w:p>
    <w:p w14:paraId="09789599">
      <w:pPr>
        <w:rPr>
          <w:rFonts w:ascii="Arial" w:hAnsi="Arial" w:eastAsia="宋体" w:cs="Arial"/>
          <w:snapToGrid w:val="0"/>
          <w:sz w:val="24"/>
          <w:szCs w:val="24"/>
        </w:rPr>
      </w:pPr>
      <w:r>
        <w:rPr>
          <w:rFonts w:ascii="Arial" w:hAnsi="Arial" w:cs="Arial"/>
          <w:snapToGrid w:val="0"/>
        </w:rPr>
        <w:br w:type="page"/>
      </w:r>
    </w:p>
    <w:p w14:paraId="7055DBD3">
      <w:pPr>
        <w:pStyle w:val="7"/>
        <w:topLinePunct/>
        <w:adjustRightInd w:val="0"/>
        <w:snapToGrid w:val="0"/>
        <w:spacing w:after="224" w:afterLines="75" w:line="288" w:lineRule="auto"/>
        <w:ind w:left="849" w:leftChars="386"/>
        <w:jc w:val="both"/>
        <w:rPr>
          <w:rFonts w:ascii="Arial" w:hAnsi="Arial" w:cs="Arial"/>
          <w:snapToGrid w:val="0"/>
        </w:rPr>
      </w:pPr>
      <w:r>
        <w:rPr>
          <w:rFonts w:hint="eastAsia" w:ascii="Arial" w:hAnsi="Arial" w:cs="Arial"/>
          <w:snapToGrid w:val="0"/>
        </w:rPr>
        <w:t>示例包括：</w:t>
      </w:r>
    </w:p>
    <w:p w14:paraId="6C5ACB67">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16"/>
        </w:rPr>
      </w:pPr>
      <w:r>
        <w:rPr>
          <w:rFonts w:hint="eastAsia" w:ascii="Arial" w:hAnsi="Arial" w:eastAsia="宋体" w:cs="Arial"/>
          <w:snapToGrid w:val="0"/>
          <w:sz w:val="24"/>
          <w:szCs w:val="24"/>
        </w:rPr>
        <w:t>用于检测基因组变体，以便确定患者是否患有某些癌症，从而使用特定药物进行治疗的IVD测定。在某些情况下，治疗性产品可能具有严重毒性，且对于未拥有该变体的患者，其非但不会提供收益，还可能有害。因此，使用该测定可促进该药品的安全有效使用，并对患者最为有利。</w:t>
      </w:r>
      <w:r>
        <w:rPr>
          <w:rFonts w:hint="eastAsia" w:ascii="Arial" w:hAnsi="Arial" w:eastAsia="宋体" w:cs="Arial"/>
          <w:snapToGrid w:val="0"/>
          <w:sz w:val="24"/>
        </w:rPr>
        <w:t>有关体外伴随诊断器械的更多信息，请参见FDA指南</w:t>
      </w:r>
      <w:r>
        <w:rPr>
          <w:rFonts w:hint="eastAsia" w:ascii="宋体" w:hAnsi="宋体" w:eastAsia="宋体" w:cs="Arial"/>
          <w:snapToGrid w:val="0"/>
          <w:sz w:val="24"/>
        </w:rPr>
        <w:t>“</w:t>
      </w:r>
      <w:r>
        <w:fldChar w:fldCharType="begin"/>
      </w:r>
      <w:r>
        <w:instrText xml:space="preserve"> HYPERLINK "http://www.fda.gov/medicaldevices/deviceregulationandguidance/guidancedocuments/ucm262292.htm" \h </w:instrText>
      </w:r>
      <w:r>
        <w:fldChar w:fldCharType="separate"/>
      </w:r>
      <w:r>
        <w:rPr>
          <w:rFonts w:hint="eastAsia" w:ascii="Arial" w:hAnsi="Arial" w:eastAsia="宋体" w:cs="Arial"/>
          <w:snapToGrid w:val="0"/>
          <w:color w:val="0000FF"/>
          <w:sz w:val="24"/>
          <w:szCs w:val="24"/>
          <w:u w:val="single"/>
        </w:rPr>
        <w:t>体外伴随诊断器械</w:t>
      </w:r>
      <w:r>
        <w:rPr>
          <w:rFonts w:hint="eastAsia" w:ascii="Arial" w:hAnsi="Arial" w:eastAsia="宋体" w:cs="Arial"/>
          <w:snapToGrid w:val="0"/>
          <w:color w:val="0000FF"/>
          <w:sz w:val="24"/>
          <w:szCs w:val="24"/>
          <w:u w:val="single"/>
        </w:rPr>
        <w:fldChar w:fldCharType="end"/>
      </w:r>
      <w:r>
        <w:rPr>
          <w:rFonts w:hint="eastAsia" w:ascii="宋体" w:hAnsi="宋体" w:eastAsia="宋体" w:cs="Arial"/>
          <w:snapToGrid w:val="0"/>
          <w:sz w:val="24"/>
        </w:rPr>
        <w:t>”</w:t>
      </w:r>
      <w:r>
        <w:rPr>
          <w:rFonts w:hint="eastAsia" w:ascii="Arial" w:hAnsi="Arial" w:eastAsia="宋体" w:cs="Arial"/>
          <w:snapToGrid w:val="0"/>
          <w:sz w:val="24"/>
        </w:rPr>
        <w:t>（2014年8月6日发布）</w:t>
      </w:r>
      <w:r>
        <w:rPr>
          <w:rStyle w:val="18"/>
          <w:rFonts w:ascii="Arial" w:hAnsi="Arial" w:eastAsia="宋体" w:cs="Arial"/>
          <w:snapToGrid w:val="0"/>
          <w:sz w:val="24"/>
        </w:rPr>
        <w:footnoteReference w:id="19"/>
      </w:r>
      <w:r>
        <w:rPr>
          <w:rFonts w:hint="eastAsia" w:ascii="Arial" w:hAnsi="Arial" w:eastAsia="宋体" w:cs="Arial"/>
          <w:snapToGrid w:val="0"/>
          <w:sz w:val="24"/>
        </w:rPr>
        <w:t>。</w:t>
      </w:r>
    </w:p>
    <w:p w14:paraId="674A9D8A">
      <w:pPr>
        <w:pStyle w:val="20"/>
        <w:numPr>
          <w:ilvl w:val="0"/>
          <w:numId w:val="6"/>
        </w:numPr>
        <w:tabs>
          <w:tab w:val="left" w:pos="980"/>
        </w:tabs>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rPr>
        <w:t>具有可检测低血糖并自动停止胰岛素输送的新机制的胰岛素泵。</w:t>
      </w:r>
    </w:p>
    <w:p w14:paraId="538FF65C">
      <w:pPr>
        <w:pStyle w:val="4"/>
        <w:numPr>
          <w:ilvl w:val="0"/>
          <w:numId w:val="4"/>
        </w:numPr>
        <w:tabs>
          <w:tab w:val="left" w:pos="48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申办方应提交可接受的数据开发计划草案。</w:t>
      </w:r>
    </w:p>
    <w:p w14:paraId="10A7D633">
      <w:pPr>
        <w:pStyle w:val="7"/>
        <w:topLinePunct/>
        <w:adjustRightInd w:val="0"/>
        <w:snapToGrid w:val="0"/>
        <w:spacing w:after="224" w:afterLines="75" w:line="288" w:lineRule="auto"/>
        <w:ind w:left="488" w:leftChars="222"/>
        <w:jc w:val="both"/>
        <w:rPr>
          <w:rFonts w:ascii="Arial" w:hAnsi="Arial" w:cs="Arial"/>
          <w:snapToGrid w:val="0"/>
        </w:rPr>
      </w:pPr>
      <w:r>
        <w:rPr>
          <w:rFonts w:hint="eastAsia" w:ascii="Arial" w:hAnsi="Arial" w:cs="Arial"/>
          <w:snapToGrid w:val="0"/>
        </w:rPr>
        <w:t>有关应在数据开发计划草案中提供的一般信息建议，请参见</w:t>
      </w:r>
      <w:r>
        <w:rPr>
          <w:rFonts w:hint="eastAsia" w:ascii="Arial" w:hAnsi="Arial" w:cs="Arial"/>
          <w:snapToGrid w:val="0"/>
          <w:u w:val="single"/>
        </w:rPr>
        <w:t>附件2</w:t>
      </w:r>
      <w:r>
        <w:rPr>
          <w:rFonts w:hint="eastAsia" w:ascii="Arial" w:hAnsi="Arial" w:cs="Arial"/>
          <w:snapToGrid w:val="0"/>
        </w:rPr>
        <w:t>。数据开发计划草案应描述将在上市前和上市后收集的临床和非临床数据，其相应分析计划以及结合两种数据的分析方法（如果适用）。对于PMA批准，上市前数据必须足以支持确定安全性和有效性得到合理保证。对于待同意的</w:t>
      </w:r>
      <w:r>
        <w:rPr>
          <w:rFonts w:hint="eastAsia" w:ascii="Arial" w:hAnsi="Arial" w:cs="Arial"/>
          <w:i/>
          <w:snapToGrid w:val="0"/>
        </w:rPr>
        <w:t>再次申请请求</w:t>
      </w:r>
      <w:r>
        <w:rPr>
          <w:rFonts w:hint="eastAsia" w:ascii="Arial" w:hAnsi="Arial" w:cs="Arial"/>
          <w:snapToGrid w:val="0"/>
        </w:rPr>
        <w:t>，所提交的数据必须表明一般控制或一般和特殊控制分别支持将其分类为I类或II类。</w:t>
      </w:r>
      <w:r>
        <w:rPr>
          <w:rStyle w:val="18"/>
          <w:rFonts w:ascii="Arial" w:hAnsi="Arial" w:cs="Arial"/>
          <w:snapToGrid w:val="0"/>
        </w:rPr>
        <w:footnoteReference w:id="20"/>
      </w:r>
      <w:r>
        <w:rPr>
          <w:rFonts w:hint="eastAsia" w:ascii="Arial" w:hAnsi="Arial" w:cs="Arial"/>
          <w:snapToGrid w:val="0"/>
        </w:rPr>
        <w:t>如果PMA申办方建议在上市后，而不是在上市前收集某些数据，数据开发计划草案应提供上市后数据收集的理由，并提供有效（临床或非临床）科学证据来支持上市后数据收集，例如支持您的替代终点可以预测临床收益。数据开发计划草案还应提供器械开发和上市以及上市后数据收集的时间表。</w:t>
      </w:r>
    </w:p>
    <w:p w14:paraId="705F7125">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其他注意事项</w:t>
      </w:r>
    </w:p>
    <w:p w14:paraId="6F7B027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可能会有多种具有相同预期用途的器械同时申请EAP指定。同意EAP指定后，在以较高的确定性程度证明已同意其EAP指定的任何器械具有安全性和有效性前，还可能批准其他EAP指定提交材料。FDA可以根据相同条件批准多个EAP器械，因为批准后研究产生的数据可能无法确认器械在其使用条件下的某些安全性或有效性方面。但是，在根据上市前和批准后数据确定EAP器械具有安全性和有效性后，不会将具有相同预期用途的其他器械指定为EAP，除非已上市EAP器械符合第III.A节所述标准。例如，器械X是一项突破性技术，与现有合法上市技术相比，其可提供具有临床意义的优势，并已通过EAP获得批准。器械Y与器械X具有相同预期用途，其属于一项突破性技术，且与器械X相比，其可提供具有临床意义的优势。因此，尽管器械Y与器械X具有相同预期用途，器械Y符合EAP条件。</w:t>
      </w:r>
    </w:p>
    <w:p w14:paraId="06C45755">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如果申办方的EAP指定已获批，且具有相同预期用途的另一EAP器械也已获批或其</w:t>
      </w:r>
      <w:r>
        <w:rPr>
          <w:rFonts w:hint="eastAsia" w:ascii="Arial" w:hAnsi="Arial" w:cs="Arial"/>
          <w:i/>
          <w:snapToGrid w:val="0"/>
        </w:rPr>
        <w:t>再次申请分类</w:t>
      </w:r>
      <w:r>
        <w:rPr>
          <w:rFonts w:hint="eastAsia" w:ascii="Arial" w:hAnsi="Arial" w:cs="Arial"/>
          <w:snapToGrid w:val="0"/>
        </w:rPr>
        <w:t>已获得同意，FDA不会要求申办方修改其数据开发计划。即使FDA批准或同意了另一类似产品的</w:t>
      </w:r>
      <w:r>
        <w:rPr>
          <w:rFonts w:hint="eastAsia" w:ascii="Arial" w:hAnsi="Arial" w:cs="Arial"/>
          <w:i/>
          <w:snapToGrid w:val="0"/>
        </w:rPr>
        <w:t>再次申请分类</w:t>
      </w:r>
      <w:r>
        <w:rPr>
          <w:rFonts w:hint="eastAsia" w:ascii="Arial" w:hAnsi="Arial" w:cs="Arial"/>
          <w:snapToGrid w:val="0"/>
        </w:rPr>
        <w:t>，也不会针对某一产品更改EAP指定标准。FDA可以认为器械与现有核准替代品相比，可提供</w:t>
      </w:r>
      <w:r>
        <w:rPr>
          <w:rFonts w:hint="eastAsia" w:ascii="宋体" w:hAnsi="宋体" w:cs="Arial"/>
          <w:snapToGrid w:val="0"/>
        </w:rPr>
        <w:t>“</w:t>
      </w:r>
      <w:r>
        <w:rPr>
          <w:rFonts w:hint="eastAsia" w:ascii="Arial" w:hAnsi="Arial" w:cs="Arial"/>
          <w:snapToGrid w:val="0"/>
        </w:rPr>
        <w:t>显著的，具有临床意义的</w:t>
      </w:r>
      <w:r>
        <w:rPr>
          <w:rFonts w:hint="eastAsia" w:ascii="宋体" w:hAnsi="宋体" w:cs="Arial"/>
          <w:snapToGrid w:val="0"/>
        </w:rPr>
        <w:t>”</w:t>
      </w:r>
      <w:r>
        <w:rPr>
          <w:rFonts w:hint="eastAsia" w:ascii="Arial" w:hAnsi="Arial" w:cs="Arial"/>
          <w:snapToGrid w:val="0"/>
        </w:rPr>
        <w:t>优势，无论以进行批准后研究为条件的EAP器械是否可用。</w:t>
      </w:r>
    </w:p>
    <w:p w14:paraId="4C42DFF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器械修改的影响取决于批准后研究结果，FDA将仅以确保安全性和有效性继续得到合理保证所需的方式处理产品修改。一般来说以及根据FD&amp;C法案第515（e）（1）条和21 CFR 814.46（a），FDA不会撤销有效EAP器械的PMA，除非数据表明风险大于收益，且缓解措施（如果有）不适当，或该器械无效。</w:t>
      </w:r>
    </w:p>
    <w:p w14:paraId="28A982C6">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撤销EAP指定</w:t>
      </w:r>
    </w:p>
    <w:p w14:paraId="5F1CF9D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不会仅因批准了类似产品或同意了</w:t>
      </w:r>
      <w:r>
        <w:rPr>
          <w:rFonts w:hint="eastAsia" w:ascii="Arial" w:hAnsi="Arial" w:cs="Arial"/>
          <w:i/>
          <w:snapToGrid w:val="0"/>
        </w:rPr>
        <w:t>再次申请请求</w:t>
      </w:r>
      <w:r>
        <w:rPr>
          <w:rFonts w:hint="eastAsia" w:ascii="Arial" w:hAnsi="Arial" w:cs="Arial"/>
          <w:snapToGrid w:val="0"/>
        </w:rPr>
        <w:t>而撤销EAP指定。如果FDA确定存在以下情况，FDA可以在批准前任何时间，并给予申办方书面通知后撤销EAP指定：</w:t>
      </w:r>
    </w:p>
    <w:p w14:paraId="47BB31B7">
      <w:pPr>
        <w:pStyle w:val="20"/>
        <w:numPr>
          <w:ilvl w:val="0"/>
          <w:numId w:val="6"/>
        </w:numPr>
        <w:tabs>
          <w:tab w:val="left" w:pos="980"/>
        </w:tabs>
        <w:topLinePunct/>
        <w:adjustRightInd w:val="0"/>
        <w:snapToGrid w:val="0"/>
        <w:spacing w:after="224" w:afterLines="75" w:line="288" w:lineRule="auto"/>
        <w:ind w:left="1416" w:leftChars="451"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为支持EAP指定请求而提交的信息（包括但不限于事先包装）或任何相关上市前提交材料失实陈述重大事实或遗漏重要信息，包括与数据收集有关的虚假陈述；或，</w:t>
      </w:r>
    </w:p>
    <w:p w14:paraId="5EB0334D">
      <w:pPr>
        <w:pStyle w:val="20"/>
        <w:numPr>
          <w:ilvl w:val="0"/>
          <w:numId w:val="6"/>
        </w:numPr>
        <w:tabs>
          <w:tab w:val="left" w:pos="980"/>
        </w:tabs>
        <w:topLinePunct/>
        <w:adjustRightInd w:val="0"/>
        <w:snapToGrid w:val="0"/>
        <w:spacing w:after="224" w:afterLines="75" w:line="288" w:lineRule="auto"/>
        <w:ind w:left="1416" w:leftChars="451"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基于可用信息，根据本指南本节概述的EAP标准确定，该器械不再符合EAP指定条件。</w:t>
      </w:r>
    </w:p>
    <w:p w14:paraId="5A425EC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一般来说，FDA不会因其他原因撤销EAP指定。</w:t>
      </w:r>
    </w:p>
    <w:p w14:paraId="5D4C60BB">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bookmarkStart w:id="16" w:name="_Toc498643263"/>
      <w:r>
        <w:rPr>
          <w:rFonts w:hint="eastAsia" w:ascii="Arial" w:hAnsi="Arial" w:cs="Arial"/>
          <w:snapToGrid w:val="0"/>
          <w:sz w:val="24"/>
        </w:rPr>
        <w:t>快速审查路径的特征</w:t>
      </w:r>
      <w:bookmarkEnd w:id="16"/>
    </w:p>
    <w:p w14:paraId="315524F7">
      <w:pPr>
        <w:pStyle w:val="7"/>
        <w:topLinePunct/>
        <w:adjustRightInd w:val="0"/>
        <w:snapToGrid w:val="0"/>
        <w:spacing w:after="224" w:afterLines="75" w:line="288" w:lineRule="auto"/>
        <w:ind w:left="0"/>
        <w:jc w:val="both"/>
        <w:rPr>
          <w:rFonts w:ascii="Arial" w:hAnsi="Arial" w:cs="Arial"/>
          <w:snapToGrid w:val="0"/>
          <w:szCs w:val="28"/>
        </w:rPr>
      </w:pPr>
      <w:r>
        <w:rPr>
          <w:rFonts w:hint="eastAsia" w:ascii="Arial" w:hAnsi="Arial" w:cs="Arial"/>
          <w:snapToGrid w:val="0"/>
        </w:rPr>
        <w:t>实施快速审查路径，本机构计划主动与申办方合作，以期减少开发到上市决策的时间和成本，而不改变FDA的PMA批准标准（即安全性和有效性得到合理保证），</w:t>
      </w:r>
      <w:r>
        <w:rPr>
          <w:rStyle w:val="18"/>
          <w:rFonts w:ascii="Arial" w:hAnsi="Arial" w:cs="Arial"/>
          <w:snapToGrid w:val="0"/>
        </w:rPr>
        <w:footnoteReference w:id="21"/>
      </w:r>
      <w:r>
        <w:rPr>
          <w:rFonts w:hint="eastAsia" w:ascii="Arial" w:hAnsi="Arial" w:cs="Arial"/>
          <w:snapToGrid w:val="0"/>
        </w:rPr>
        <w:t>或有效科学证据标准</w:t>
      </w:r>
      <w:r>
        <w:rPr>
          <w:rStyle w:val="18"/>
          <w:rFonts w:ascii="Arial" w:hAnsi="Arial" w:cs="Arial"/>
          <w:snapToGrid w:val="0"/>
        </w:rPr>
        <w:footnoteReference w:id="22"/>
      </w:r>
      <w:r>
        <w:rPr>
          <w:rFonts w:hint="eastAsia" w:ascii="Arial" w:hAnsi="Arial" w:cs="Arial"/>
          <w:snapToGrid w:val="0"/>
        </w:rPr>
        <w:t>。FDA可以提供下述交互式审查、高级管理人员参与和案例管理人员的程度将取决于资源可用性。此项目的特征包括：</w:t>
      </w:r>
    </w:p>
    <w:p w14:paraId="7EBCAA3E">
      <w:pPr>
        <w:rPr>
          <w:rFonts w:ascii="Arial" w:hAnsi="Arial" w:eastAsia="宋体" w:cs="Arial"/>
          <w:b/>
          <w:bCs/>
          <w:snapToGrid w:val="0"/>
          <w:sz w:val="24"/>
          <w:szCs w:val="28"/>
        </w:rPr>
      </w:pPr>
      <w:r>
        <w:rPr>
          <w:rFonts w:ascii="Arial" w:hAnsi="Arial" w:cs="Arial"/>
          <w:snapToGrid w:val="0"/>
          <w:sz w:val="24"/>
        </w:rPr>
        <w:br w:type="page"/>
      </w:r>
    </w:p>
    <w:p w14:paraId="64B85783">
      <w:pPr>
        <w:pStyle w:val="4"/>
        <w:numPr>
          <w:ilvl w:val="0"/>
          <w:numId w:val="8"/>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交互式审查</w:t>
      </w:r>
    </w:p>
    <w:p w14:paraId="5FA5170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FDA计划与申办方合作，以便在提交PMA或</w:t>
      </w:r>
      <w:r>
        <w:rPr>
          <w:rFonts w:hint="eastAsia" w:ascii="Arial" w:hAnsi="Arial" w:cs="Arial"/>
          <w:i/>
          <w:snapToGrid w:val="0"/>
        </w:rPr>
        <w:t>再次申请请求</w:t>
      </w:r>
      <w:r>
        <w:rPr>
          <w:rFonts w:hint="eastAsia" w:ascii="Arial" w:hAnsi="Arial" w:cs="Arial"/>
          <w:snapToGrid w:val="0"/>
        </w:rPr>
        <w:t>之前完成数据开发计划。FDA计划与申办方合作，以便减少计划开发的负担，增加其可预测性，同时允许实施一些弹性措施以及进行相关调整（如果适用）。此外，如果资源允许以及如果适用，FDA打算提供广泛建议以提高器械开发效率，在器械开发期间进行互动交流，并在审查IDE、PMA和再次申请s时提高各方的参与度。</w:t>
      </w:r>
    </w:p>
    <w:p w14:paraId="61A40715">
      <w:pPr>
        <w:pStyle w:val="4"/>
        <w:numPr>
          <w:ilvl w:val="0"/>
          <w:numId w:val="8"/>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高级管理人员参与</w:t>
      </w:r>
    </w:p>
    <w:p w14:paraId="5FA0127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如果资源允许以及如果适用，FDA打算让办公室和中心级高级管理人员以及专业审查人员参与主动、协作和跨学科的审查过程。</w:t>
      </w:r>
    </w:p>
    <w:p w14:paraId="6FD85BC5">
      <w:pPr>
        <w:pStyle w:val="4"/>
        <w:numPr>
          <w:ilvl w:val="0"/>
          <w:numId w:val="8"/>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案例管理人员</w:t>
      </w:r>
    </w:p>
    <w:p w14:paraId="4432B33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适用以及如果资源允许，FDA可能会指派一名跨学科案例管理人员，提高数据开发计划审查的效率。案例管理人员负责协调审核团队和申办方之间的活动，并在与适当人员和管理层协商后，使用适当的内部和外部专家。</w:t>
      </w:r>
    </w:p>
    <w:p w14:paraId="0E32BAC5">
      <w:pPr>
        <w:pStyle w:val="4"/>
        <w:numPr>
          <w:ilvl w:val="0"/>
          <w:numId w:val="8"/>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优先审查</w:t>
      </w:r>
    </w:p>
    <w:p w14:paraId="1E220695">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FDA预计，将根据FD&amp;C法案515 (d)（5）优先审查EAP器械的PMA。根据FD&amp;C法案，FDA必须在收到请求后120天内确定</w:t>
      </w:r>
      <w:r>
        <w:rPr>
          <w:rFonts w:hint="eastAsia" w:ascii="Arial" w:hAnsi="Arial" w:cs="Arial"/>
          <w:i/>
          <w:snapToGrid w:val="0"/>
        </w:rPr>
        <w:t>再次申请请求</w:t>
      </w:r>
      <w:r>
        <w:rPr>
          <w:rFonts w:hint="eastAsia" w:ascii="Arial" w:hAnsi="Arial" w:cs="Arial"/>
          <w:snapToGrid w:val="0"/>
        </w:rPr>
        <w:t>所述器械的分类【请参见第513（f）（2）（A) （iii）条】。对于根据EAP项目提交的再次申请请求，FDA打算在120天内进行确定。</w:t>
      </w:r>
    </w:p>
    <w:p w14:paraId="38433904">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鉴于EAP项目旨在加速提供可解决未满足医疗需求的器械，FDA希望参与本项目的器械申办方及时收集上市前和上市后数据（如果适用），响应FDA请求以及上市其器械（如果批准）。FDA打算通过EAP项目与申办方进行交互式合作，帮助确保此类器械在美国及时开发和上市。材料器械的申办方应优先解决审查过程期间发现的所有科学和法规问题。</w:t>
      </w:r>
    </w:p>
    <w:p w14:paraId="1FFB2CE1">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23FF2A5F">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17" w:name="Benefit-Risk_Determinations_for_the_Expe"/>
      <w:bookmarkEnd w:id="17"/>
      <w:bookmarkStart w:id="18" w:name="_Toc498643264"/>
      <w:r>
        <w:rPr>
          <w:rFonts w:hint="eastAsia" w:ascii="Arial" w:hAnsi="Arial" w:cs="Arial"/>
          <w:snapToGrid w:val="0"/>
          <w:sz w:val="28"/>
        </w:rPr>
        <w:t>在快速审查路径中测定受PMA监管的EAP器械的收益-风险</w:t>
      </w:r>
      <w:bookmarkEnd w:id="18"/>
    </w:p>
    <w:p w14:paraId="6028DBE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FDA的</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介绍了FDA在对某些医疗器械（包括受PMA监管的器械）进行上市前审查，测定其收益-风险时将考虑的主要因素。根据</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，FDA在测定收益-风险时考虑的其中两个因素就是上市后数据收集和不确定性。</w:t>
      </w:r>
      <w:r>
        <w:rPr>
          <w:rStyle w:val="18"/>
          <w:rFonts w:ascii="Arial" w:hAnsi="Arial" w:cs="Arial"/>
          <w:snapToGrid w:val="0"/>
        </w:rPr>
        <w:footnoteReference w:id="23"/>
      </w:r>
    </w:p>
    <w:p w14:paraId="635B4F4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因此，根据</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在测定受PMA监管的EAP器械的收益-风险时，FDA可以考虑可以在上市后，而不是上市前收集的数据量，以及批准时可以接受的收益-风险特征相关不确定性水平。在所有FDA上市前批准决策中，器械的收益和风险总是存在一定程度的不确定性。在批准时，本机构可能无法明确回答所有器械收益和风险相关问题，因为收集此类数据的时间和成本会显著延迟提供可改善患者健康的医疗器械，进而会对公共卫生产生不利影响（例如，针对特定器械收集数据时，临床研究可能需招募上千例受试者，以便全面评估所有风险，如罕见不良事件）。除其他因素之外，FDA在批准时可接受的不确定性程度取决于器械的可能收益。</w:t>
      </w:r>
    </w:p>
    <w:p w14:paraId="78C5531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在测定受PMA监管的EAP器械的收益-风险时，如果不确定性被其他因素充分平衡，包括患者早期获得EAP器械（例如，用于治疗致命性</w:t>
      </w:r>
      <w:r>
        <w:rPr>
          <w:rFonts w:ascii="Arial" w:hAnsi="Arial" w:cs="Arial"/>
          <w:snapToGrid w:val="0"/>
        </w:rPr>
        <w:t>疾病，且</w:t>
      </w:r>
      <w:r>
        <w:rPr>
          <w:rFonts w:hint="eastAsia" w:ascii="Arial" w:hAnsi="Arial" w:cs="Arial"/>
          <w:snapToGrid w:val="0"/>
        </w:rPr>
        <w:t>无替代治疗的器械）可能产生的收益以及用于支持上市前批准的适当上市后控制，FDA可以接受</w:t>
      </w:r>
      <w:r>
        <w:rPr>
          <w:rFonts w:ascii="Arial" w:hAnsi="Arial" w:cs="Arial"/>
          <w:snapToGrid w:val="0"/>
        </w:rPr>
        <w:t>此类</w:t>
      </w:r>
      <w:r>
        <w:rPr>
          <w:rFonts w:hint="eastAsia" w:ascii="Arial" w:hAnsi="Arial" w:cs="Arial"/>
          <w:snapToGrid w:val="0"/>
        </w:rPr>
        <w:t>器械的收益-风险特征具有较高的不确定性程度。一般来说，对于收益-风险计算，还可以权衡本机构其具有较高不确定性程度的EAP器械的收益和风险。具体来说，测定收益-风险时，如果后续数据收集表明器械无效或不安全，FDA将权衡该器械对患者健康的影响（包括早期获得器械的可能收益）和该器械可能对患者造成的损害风险。</w:t>
      </w:r>
    </w:p>
    <w:p w14:paraId="5511EC8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为了将可能对患者造成的损害风险，在评估</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中提供的收益-风险因素时，FDA可能会考虑以下信息。虽然申办方可能不会证明以下每项内容，证明该器械的可能收益超过其可能风险，但证明以下一项或多项内容，特别是内容可量化且较为明确时，可能会使收益-风险测定产生有利结果。如</w:t>
      </w:r>
      <w:r>
        <w:rPr>
          <w:rFonts w:hint="eastAsia" w:ascii="宋体" w:hAnsi="宋体" w:cs="Arial"/>
          <w:snapToGrid w:val="0"/>
        </w:rPr>
        <w:t>“</w:t>
      </w:r>
      <w:r>
        <w:rPr>
          <w:rFonts w:hint="eastAsia" w:ascii="Arial" w:hAnsi="Arial" w:cs="Arial"/>
          <w:snapToGrid w:val="0"/>
        </w:rPr>
        <w:t>收益-风险指南</w:t>
      </w:r>
      <w:r>
        <w:rPr>
          <w:rFonts w:hint="eastAsia" w:ascii="宋体" w:hAnsi="宋体" w:cs="Arial"/>
          <w:snapToGrid w:val="0"/>
        </w:rPr>
        <w:t>”</w:t>
      </w:r>
      <w:r>
        <w:rPr>
          <w:rFonts w:hint="eastAsia" w:ascii="Arial" w:hAnsi="Arial" w:cs="Arial"/>
          <w:snapToGrid w:val="0"/>
        </w:rPr>
        <w:t>所述，在设计、非临床收益、IDE前和IDE阶段期间，以及编制和评估PMA时应该考虑此类信息。此外，在提交EAP指定请求时也应该考虑此类信息。</w:t>
      </w:r>
    </w:p>
    <w:p w14:paraId="295202E2">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2B6B03B2">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上市前（临床或非临床）数据表明出现严重损害的概率较低。</w:t>
      </w:r>
    </w:p>
    <w:p w14:paraId="26CCB020">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在向FDA提交所述上市后数据之前，患者在器械上市后获得器械的可能性较小。</w:t>
      </w:r>
    </w:p>
    <w:p w14:paraId="12AF1017">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bookmarkStart w:id="19" w:name="OLE_LINK1"/>
      <w:r>
        <w:rPr>
          <w:rFonts w:hint="eastAsia" w:ascii="Arial" w:hAnsi="Arial" w:eastAsia="宋体" w:cs="Arial"/>
          <w:snapToGrid w:val="0"/>
          <w:sz w:val="24"/>
          <w:szCs w:val="24"/>
        </w:rPr>
        <w:t>申办方</w:t>
      </w:r>
      <w:bookmarkEnd w:id="19"/>
      <w:r>
        <w:rPr>
          <w:rFonts w:hint="eastAsia" w:ascii="Arial" w:hAnsi="Arial" w:eastAsia="宋体" w:cs="Arial"/>
          <w:snapToGrid w:val="0"/>
          <w:sz w:val="24"/>
          <w:szCs w:val="24"/>
        </w:rPr>
        <w:t>拥有良好的、稳健的质量体系。</w:t>
      </w:r>
    </w:p>
    <w:p w14:paraId="52B51553">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将在上市后研究中使用数据监测委员会（也称数据和安全监测委员会）来评估不良事件。</w:t>
      </w:r>
    </w:p>
    <w:p w14:paraId="13962109">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已进行用户培训，帮助缓解器械可能风险，如果拟定器械标签所述。</w:t>
      </w:r>
    </w:p>
    <w:p w14:paraId="0AA31E42">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申办方将提供患者标签。</w:t>
      </w:r>
    </w:p>
    <w:p w14:paraId="4F7C239E">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有效科学证据表明，目标患者人群是否愿意忍受器械的可能损害取决于器械可能收益和／或可能风险的不确定性程度。</w:t>
      </w:r>
    </w:p>
    <w:p w14:paraId="64B59AEC">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上市后监测很可能可以快速识别严重患者损害实例。</w:t>
      </w:r>
    </w:p>
    <w:p w14:paraId="6AA506C7">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所需上市后数据收集很可能及时完成。</w:t>
      </w:r>
    </w:p>
    <w:p w14:paraId="77AC0C39">
      <w:pPr>
        <w:pStyle w:val="20"/>
        <w:numPr>
          <w:ilvl w:val="1"/>
          <w:numId w:val="3"/>
        </w:numPr>
        <w:topLinePunct/>
        <w:adjustRightInd w:val="0"/>
        <w:snapToGrid w:val="0"/>
        <w:spacing w:after="224" w:afterLines="75" w:line="288" w:lineRule="auto"/>
        <w:ind w:left="567" w:hanging="567"/>
        <w:jc w:val="both"/>
        <w:rPr>
          <w:rFonts w:ascii="Arial" w:hAnsi="Arial" w:eastAsia="宋体" w:cs="Arial"/>
          <w:snapToGrid w:val="0"/>
          <w:sz w:val="24"/>
          <w:szCs w:val="24"/>
        </w:rPr>
      </w:pPr>
      <w:r>
        <w:rPr>
          <w:rFonts w:hint="eastAsia" w:ascii="Arial" w:hAnsi="Arial" w:eastAsia="宋体" w:cs="Arial"/>
          <w:snapToGrid w:val="0"/>
          <w:sz w:val="24"/>
          <w:szCs w:val="24"/>
        </w:rPr>
        <w:t>拟定上市后数据研究设计良好且可行，充分考虑了器械获批后，患者参与研究的可能性。</w:t>
      </w:r>
    </w:p>
    <w:p w14:paraId="581B1C86">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0" w:name="_Toc498643265"/>
      <w:r>
        <w:rPr>
          <w:rFonts w:hint="eastAsia" w:ascii="Arial" w:hAnsi="Arial" w:cs="Arial"/>
          <w:snapToGrid w:val="0"/>
          <w:sz w:val="28"/>
        </w:rPr>
        <w:t>可能支持批准受PMA监管的EAP器械的临床证据类型</w:t>
      </w:r>
      <w:bookmarkEnd w:id="20"/>
    </w:p>
    <w:p w14:paraId="3648A13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由于符合EAP指定标准的器械可能会有益于公共卫生，PMA批准可能基于下述临床证据类型。虽然申办方可以使用此类临床证据来支持EAP器械的PMA提交材料，但EAP项目并不强制要求提供此类证据，其无法代表可用于支持批准EAP器械的所有临床证据类型。</w:t>
      </w:r>
    </w:p>
    <w:p w14:paraId="0EC595C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研究终点应该预先确定具有临床意义的最小效果。对于替代结局，可以使用建模来界定具有临床意义的最小效果。对于复合结局，应明确说明复合效果量具有临床有意义的理由。还应评价每个组分结局的影响是否具有临床显著性。</w:t>
      </w:r>
    </w:p>
    <w:p w14:paraId="5061CC18">
      <w:pPr>
        <w:pStyle w:val="4"/>
        <w:numPr>
          <w:ilvl w:val="0"/>
          <w:numId w:val="9"/>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中间和替代终点</w:t>
      </w:r>
    </w:p>
    <w:p w14:paraId="3E9E2FC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上所述，EAP器械必须符合PMA批准的法定标准（即安全性和有效性得到合理保证）。批准PMA时，FDA可能需评估器械对中间或替代终点的影响，其中，此类终点可能预测临床收益（如果已通过验证性批准后研究降低替代终点和临床收益间预测性关系的剩余不确定性或已通过验证性批准后研究验证临床收益）。</w:t>
      </w:r>
    </w:p>
    <w:p w14:paraId="47F55B7E">
      <w:pPr>
        <w:rPr>
          <w:rFonts w:ascii="Arial" w:hAnsi="Arial" w:eastAsia="宋体" w:cs="Arial"/>
          <w:snapToGrid w:val="0"/>
          <w:sz w:val="24"/>
          <w:szCs w:val="24"/>
        </w:rPr>
      </w:pPr>
      <w:r>
        <w:rPr>
          <w:rFonts w:ascii="Arial" w:hAnsi="Arial" w:cs="Arial"/>
          <w:snapToGrid w:val="0"/>
        </w:rPr>
        <w:br w:type="page"/>
      </w:r>
    </w:p>
    <w:p w14:paraId="025D051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依赖于替代终点的EAP器械的PMA应提供或引用证据，证明该终点可能预测该器械的临床收益。但是，如果根据其特定使用条件使用CDRH认证的医疗器械开发工具（MDDT）</w:t>
      </w:r>
      <w:r>
        <w:rPr>
          <w:rStyle w:val="18"/>
          <w:rFonts w:ascii="Arial" w:hAnsi="Arial" w:cs="Arial"/>
          <w:snapToGrid w:val="0"/>
        </w:rPr>
        <w:footnoteReference w:id="24"/>
      </w:r>
      <w:r>
        <w:rPr>
          <w:rFonts w:hint="eastAsia" w:ascii="Arial" w:hAnsi="Arial" w:cs="Arial"/>
          <w:snapToGrid w:val="0"/>
        </w:rPr>
        <w:t>，申办方通常不需要在PMA中提供附加证据来支持使用替代终点，但可能仍然需要进行验证性上市后研究。如下所述，由于与其他PMA器械相比，在中间或替代终点是否可以预测EAP器械的预期临床收益方面，FDA通常可以接受更高的不确定性程度（以及接受更高的EAP器械收益相关不确定性程序），FDA通常要求提交上市后验证数据作为批准条件。</w:t>
      </w:r>
    </w:p>
    <w:p w14:paraId="4A4ED008">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可以在频谱中解析选择用于评估临床收益</w:t>
      </w:r>
      <w:r>
        <w:rPr>
          <w:rStyle w:val="18"/>
          <w:rFonts w:ascii="Arial" w:hAnsi="Arial" w:cs="Arial"/>
          <w:snapToGrid w:val="0"/>
        </w:rPr>
        <w:footnoteReference w:id="25"/>
      </w:r>
      <w:r>
        <w:rPr>
          <w:rFonts w:hint="eastAsia" w:ascii="Arial" w:hAnsi="Arial" w:cs="Arial"/>
          <w:snapToGrid w:val="0"/>
        </w:rPr>
        <w:t>，并作为监管批准依据的临床研究终点</w:t>
      </w:r>
      <w:r>
        <w:rPr>
          <w:rStyle w:val="18"/>
          <w:rFonts w:ascii="Arial" w:hAnsi="Arial" w:cs="Arial"/>
          <w:snapToGrid w:val="0"/>
        </w:rPr>
        <w:footnoteReference w:id="26"/>
      </w:r>
      <w:r>
        <w:rPr>
          <w:rFonts w:hint="eastAsia" w:ascii="Arial" w:hAnsi="Arial" w:cs="Arial"/>
          <w:snapToGrid w:val="0"/>
        </w:rPr>
        <w:t>。频谱一端是关于疾病本身的明确临床终点，如不可逆发病率或死亡率。关联终点是可能影响患者的健康状况、功能或生活质量的事件（中间终点）。频谱中间是部分基于临床体征或症状和生物标志物界定的终点（</w:t>
      </w:r>
      <w:r>
        <w:rPr>
          <w:rFonts w:hint="eastAsia" w:ascii="宋体" w:hAnsi="宋体" w:cs="Arial"/>
          <w:snapToGrid w:val="0"/>
        </w:rPr>
        <w:t>“</w:t>
      </w:r>
      <w:r>
        <w:rPr>
          <w:rFonts w:hint="eastAsia" w:ascii="Arial" w:hAnsi="Arial" w:cs="Arial"/>
          <w:snapToGrid w:val="0"/>
        </w:rPr>
        <w:t>复合终点</w:t>
      </w:r>
      <w:r>
        <w:rPr>
          <w:rFonts w:hint="eastAsia" w:ascii="宋体" w:hAnsi="宋体" w:cs="Arial"/>
          <w:snapToGrid w:val="0"/>
        </w:rPr>
        <w:t>”</w:t>
      </w:r>
      <w:r>
        <w:rPr>
          <w:rFonts w:hint="eastAsia" w:ascii="Arial" w:hAnsi="Arial" w:cs="Arial"/>
          <w:snapToGrid w:val="0"/>
        </w:rPr>
        <w:t>）。频谱另一端是完全由生物标志物或其他此类测量界定的终点，此类终点与患者体验无直接关系。</w:t>
      </w:r>
      <w:r>
        <w:rPr>
          <w:rStyle w:val="18"/>
          <w:rFonts w:ascii="Arial" w:hAnsi="Arial" w:cs="Arial"/>
          <w:snapToGrid w:val="0"/>
        </w:rPr>
        <w:footnoteReference w:id="27"/>
      </w:r>
    </w:p>
    <w:p w14:paraId="6F81463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以下部分将概述批准EAP器械时，与中间和替代终点使用相关的一般考虑因素。</w:t>
      </w:r>
    </w:p>
    <w:p w14:paraId="08DD3D17">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合理利用中间或替代终点</w:t>
      </w:r>
    </w:p>
    <w:p w14:paraId="1C22F71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使用中间或替代终点可能允许缩小试验范围或缩短随访时间，或简化疾病或病症传统临床结局的测量。使用中间或替代终点的最佳条件包括传统终点是罕见事件或表现延迟（如某些慢性病）；终点测量具有创伤性，可造成不适，昂贵或易于混淆；或者治疗效果较小，因此，为达到统计显著性，试验需要达到无法实现的大小。例如，经皮冠状动脉介入治疗（如支架植入术）试验通常将心肌梗死（MI）作为临床研究终点。随着MI的医学和临床护理进展已经大大改善了患者结局，证明MI已改善或不变所需的样本量也因此增大。通过在确定复合终点时考虑重复手术的临床驱动需求等证据，临床事件的数量将增加，使得与传统终点相比，FDA可以接受更小，更有效的试验。需要提供验证性上市后数据，以便确定MI率，促进了解使用此类终点批准的支架安全性。</w:t>
      </w:r>
    </w:p>
    <w:p w14:paraId="32EFB5D2">
      <w:pPr>
        <w:topLinePunct/>
        <w:adjustRightInd w:val="0"/>
        <w:snapToGrid w:val="0"/>
        <w:spacing w:after="224" w:afterLines="75" w:line="288" w:lineRule="auto"/>
        <w:jc w:val="both"/>
        <w:rPr>
          <w:rFonts w:ascii="Arial" w:hAnsi="Arial" w:eastAsia="宋体" w:cs="Arial"/>
          <w:snapToGrid w:val="0"/>
          <w:sz w:val="24"/>
          <w:szCs w:val="2"/>
        </w:rPr>
      </w:pPr>
      <w:r>
        <w:rPr>
          <w:rFonts w:ascii="Arial" w:hAnsi="Arial" w:eastAsia="宋体" w:cs="Arial"/>
          <w:sz w:val="24"/>
          <w:szCs w:val="2"/>
        </w:rPr>
        <mc:AlternateContent>
          <mc:Choice Requires="wpg">
            <w:drawing>
              <wp:inline distT="0" distB="0" distL="0" distR="0">
                <wp:extent cx="1835150" cy="6350"/>
                <wp:effectExtent l="9525" t="9525" r="3175" b="3175"/>
                <wp:docPr id="3" name="587805"/>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4" name="587960"/>
                        <wpg:cNvGrpSpPr/>
                        <wpg:grpSpPr>
                          <a:xfrm>
                            <a:off x="5" y="5"/>
                            <a:ext cx="2880" cy="2"/>
                            <a:chOff x="5" y="5"/>
                            <a:chExt cx="2880" cy="2"/>
                          </a:xfrm>
                        </wpg:grpSpPr>
                        <wps:wsp>
                          <wps:cNvPr id="5" name="588065"/>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587805"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HrN65NMAAAADAQAADwAAAAAAAAABACAAAAAiAAAAZHJzL2Rvd25yZXYueG1s&#10;UEsBAhQAFAAAAAgAh07iQOHGvkYaAwAA8gcAAA4AAAAAAAAAAQAgAAAAIgEAAGRycy9lMm9Eb2Mu&#10;eG1sUEsFBgAAAAAGAAYAWQEAAK4GAAAAAA==&#10;">
                <o:lock v:ext="edit" aspectratio="f"/>
                <v:group id="587960" o:spid="_x0000_s1026" o:spt="203" style="position:absolute;left:5;top:5;height:2;width:2880;" coordorigin="5,5" coordsize="28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588065" o:spid="_x0000_s1026" o:spt="100" style="position:absolute;left:5;top:5;height:2;width:2880;" filled="f" stroked="t" coordsize="2880,1" o:gfxdata="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ULomtwAAANoAAAAP&#10;AAAAAAAAAAEAIAAAACIAAABkcnMvZG93bnJldi54bWxQSwECFAAUAAAACACHTuJAMy8FnjsAAAA5&#10;AAAAEAAAAAAAAAABACAAAAAGAQAAZHJzL3NoYXBleG1sLnhtbFBLBQYAAAAABgAGAFsBAACwAwAA&#10;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643783D3">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中间终点</w:t>
      </w:r>
    </w:p>
    <w:p w14:paraId="4AA9506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就本指南而言，临床研究中使用的中间终点是测得与症状或功能指标相关临床收益或风险，其中，此类症状或功能指标并非疾病的最终结局（例如，器械治疗心脏衰竭试验中的运动耐量）。中间终点也可以是在先前公认时间早期测量的临床研究终点（</w:t>
      </w:r>
      <w:r>
        <w:rPr>
          <w:rFonts w:hint="eastAsia" w:ascii="宋体" w:hAnsi="宋体" w:cs="Arial"/>
          <w:snapToGrid w:val="0"/>
        </w:rPr>
        <w:t>“</w:t>
      </w:r>
      <w:r>
        <w:rPr>
          <w:rFonts w:hint="eastAsia" w:ascii="Arial" w:hAnsi="Arial" w:cs="Arial"/>
          <w:snapToGrid w:val="0"/>
        </w:rPr>
        <w:t>中间临时终点</w:t>
      </w:r>
      <w:r>
        <w:rPr>
          <w:rFonts w:hint="eastAsia" w:ascii="宋体" w:hAnsi="宋体" w:cs="Arial"/>
          <w:snapToGrid w:val="0"/>
        </w:rPr>
        <w:t>”</w:t>
      </w:r>
      <w:r>
        <w:rPr>
          <w:rFonts w:hint="eastAsia" w:ascii="Arial" w:hAnsi="Arial" w:cs="Arial"/>
          <w:snapToGrid w:val="0"/>
        </w:rPr>
        <w:t>）。</w:t>
      </w:r>
      <w:r>
        <w:rPr>
          <w:rStyle w:val="18"/>
          <w:rFonts w:ascii="Arial" w:hAnsi="Arial" w:cs="Arial"/>
          <w:snapToGrid w:val="0"/>
        </w:rPr>
        <w:footnoteReference w:id="28"/>
      </w:r>
      <w:r>
        <w:rPr>
          <w:rFonts w:hint="eastAsia" w:ascii="Arial" w:hAnsi="Arial" w:cs="Arial"/>
          <w:snapToGrid w:val="0"/>
        </w:rPr>
        <w:t>中间终点在医疗器械的上市前试验中并不罕见。</w:t>
      </w:r>
    </w:p>
    <w:p w14:paraId="20DF248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中间终点示例：</w:t>
      </w:r>
    </w:p>
    <w:p w14:paraId="679A0521">
      <w:pPr>
        <w:pStyle w:val="20"/>
        <w:numPr>
          <w:ilvl w:val="1"/>
          <w:numId w:val="9"/>
        </w:numPr>
        <w:topLinePunct/>
        <w:adjustRightInd w:val="0"/>
        <w:snapToGrid w:val="0"/>
        <w:spacing w:after="224" w:afterLines="75" w:line="288" w:lineRule="auto"/>
        <w:ind w:left="848" w:leftChars="257" w:hanging="283" w:hangingChars="118"/>
        <w:jc w:val="both"/>
        <w:rPr>
          <w:rFonts w:ascii="Arial" w:hAnsi="Arial" w:eastAsia="宋体" w:cs="Arial"/>
          <w:snapToGrid w:val="0"/>
          <w:sz w:val="24"/>
          <w:szCs w:val="24"/>
        </w:rPr>
      </w:pPr>
      <w:r>
        <w:rPr>
          <w:rFonts w:hint="eastAsia" w:ascii="Arial" w:hAnsi="Arial" w:eastAsia="宋体" w:cs="Arial"/>
          <w:snapToGrid w:val="0"/>
          <w:sz w:val="24"/>
          <w:szCs w:val="24"/>
        </w:rPr>
        <w:t>运动耐量和症状，以及对存活没有不利影响的证据。</w:t>
      </w:r>
    </w:p>
    <w:p w14:paraId="54D0F391">
      <w:pPr>
        <w:pStyle w:val="20"/>
        <w:numPr>
          <w:ilvl w:val="1"/>
          <w:numId w:val="9"/>
        </w:numPr>
        <w:topLinePunct/>
        <w:adjustRightInd w:val="0"/>
        <w:snapToGrid w:val="0"/>
        <w:spacing w:after="224" w:afterLines="75" w:line="288" w:lineRule="auto"/>
        <w:ind w:left="848" w:leftChars="257" w:hanging="283" w:hangingChars="118"/>
        <w:jc w:val="both"/>
        <w:rPr>
          <w:rFonts w:ascii="Arial" w:hAnsi="Arial" w:eastAsia="宋体" w:cs="Arial"/>
          <w:snapToGrid w:val="0"/>
          <w:sz w:val="24"/>
          <w:szCs w:val="24"/>
        </w:rPr>
      </w:pPr>
      <w:r>
        <w:rPr>
          <w:rFonts w:hint="eastAsia" w:ascii="Arial" w:hAnsi="Arial" w:eastAsia="宋体" w:cs="Arial"/>
          <w:snapToGrid w:val="0"/>
          <w:sz w:val="24"/>
          <w:szCs w:val="24"/>
        </w:rPr>
        <w:t>心力衰竭住院率，以及对存活没有不利影响的证据。</w:t>
      </w:r>
    </w:p>
    <w:p w14:paraId="495B76CE">
      <w:pPr>
        <w:pStyle w:val="20"/>
        <w:numPr>
          <w:ilvl w:val="1"/>
          <w:numId w:val="9"/>
        </w:numPr>
        <w:topLinePunct/>
        <w:adjustRightInd w:val="0"/>
        <w:snapToGrid w:val="0"/>
        <w:spacing w:after="224" w:afterLines="75" w:line="288" w:lineRule="auto"/>
        <w:ind w:left="848" w:leftChars="257" w:hanging="283" w:hangingChars="118"/>
        <w:jc w:val="both"/>
        <w:rPr>
          <w:rFonts w:ascii="Arial" w:hAnsi="Arial" w:eastAsia="宋体" w:cs="Arial"/>
          <w:snapToGrid w:val="0"/>
          <w:sz w:val="24"/>
          <w:szCs w:val="24"/>
        </w:rPr>
      </w:pPr>
      <w:r>
        <w:rPr>
          <w:rFonts w:hint="eastAsia" w:ascii="Arial" w:hAnsi="Arial" w:eastAsia="宋体" w:cs="Arial"/>
          <w:snapToGrid w:val="0"/>
          <w:sz w:val="24"/>
          <w:szCs w:val="24"/>
        </w:rPr>
        <w:t>高血糖症状。</w:t>
      </w:r>
    </w:p>
    <w:p w14:paraId="17D4D7CF">
      <w:pPr>
        <w:pStyle w:val="20"/>
        <w:numPr>
          <w:ilvl w:val="1"/>
          <w:numId w:val="9"/>
        </w:numPr>
        <w:topLinePunct/>
        <w:adjustRightInd w:val="0"/>
        <w:snapToGrid w:val="0"/>
        <w:spacing w:after="224" w:afterLines="75" w:line="288" w:lineRule="auto"/>
        <w:ind w:left="848" w:leftChars="257" w:hanging="283" w:hangingChars="118"/>
        <w:jc w:val="both"/>
        <w:rPr>
          <w:rFonts w:ascii="Arial" w:hAnsi="Arial" w:eastAsia="宋体" w:cs="Arial"/>
          <w:snapToGrid w:val="0"/>
          <w:sz w:val="24"/>
          <w:szCs w:val="24"/>
        </w:rPr>
      </w:pPr>
      <w:r>
        <w:rPr>
          <w:rFonts w:hint="eastAsia" w:ascii="Arial" w:hAnsi="Arial" w:eastAsia="宋体" w:cs="Arial"/>
          <w:snapToGrid w:val="0"/>
          <w:sz w:val="24"/>
          <w:szCs w:val="24"/>
        </w:rPr>
        <w:t>心绞痛频率</w:t>
      </w:r>
    </w:p>
    <w:p w14:paraId="374468B2">
      <w:pPr>
        <w:pStyle w:val="20"/>
        <w:numPr>
          <w:ilvl w:val="1"/>
          <w:numId w:val="9"/>
        </w:numPr>
        <w:topLinePunct/>
        <w:adjustRightInd w:val="0"/>
        <w:snapToGrid w:val="0"/>
        <w:spacing w:after="224" w:afterLines="75" w:line="288" w:lineRule="auto"/>
        <w:ind w:left="848" w:leftChars="257" w:hanging="283" w:hangingChars="118"/>
        <w:jc w:val="both"/>
        <w:rPr>
          <w:rFonts w:ascii="Arial" w:hAnsi="Arial" w:eastAsia="宋体" w:cs="Arial"/>
          <w:snapToGrid w:val="0"/>
          <w:sz w:val="24"/>
          <w:szCs w:val="24"/>
        </w:rPr>
      </w:pPr>
      <w:r>
        <w:rPr>
          <w:rFonts w:hint="eastAsia" w:ascii="Arial" w:hAnsi="Arial" w:eastAsia="宋体" w:cs="Arial"/>
          <w:snapToGrid w:val="0"/>
          <w:sz w:val="24"/>
          <w:szCs w:val="24"/>
        </w:rPr>
        <w:t>来自非IVD器械的结果，如多普勒、超声或数字乳腺X线摄影。</w:t>
      </w:r>
    </w:p>
    <w:p w14:paraId="0F8E850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中间终点的可用性和适用性取决于器械类型及其预期用途。</w:t>
      </w:r>
    </w:p>
    <w:p w14:paraId="294422B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一般来说，根据中间终点确定的改善对患者具有一定价值（即使改善无法降低发病率或死亡率），且其也可以是FDA作出上市批准的依据。在上市前临床试验中设置中间终点这一做法通常在疾病病程较长，且需要延长时间以测量器械（例如用于慢性疾病的长期使用器械）的临床收益时使用。</w:t>
      </w:r>
    </w:p>
    <w:p w14:paraId="1CC91E54">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替代终点</w:t>
      </w:r>
    </w:p>
    <w:p w14:paraId="1510B43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就本指南而言，替代终点本身不是临床收益指标，但在试验中，其充当替代物，用于根据流行病学、治疗学、病理生理学或其他科学证据预测临床收益。可用作替代终点的测量是体外实验室或医学成像测量或体征（例如，抗高血压治疗试验中的血压测量，其用作临床终点（例如脑卒中、心肌梗死或死亡率）的替代物）。</w:t>
      </w:r>
    </w:p>
    <w:p w14:paraId="7DFFDCDD">
      <w:pPr>
        <w:pStyle w:val="7"/>
        <w:topLinePunct/>
        <w:adjustRightInd w:val="0"/>
        <w:snapToGrid w:val="0"/>
        <w:spacing w:after="224" w:afterLines="75" w:line="288" w:lineRule="auto"/>
        <w:ind w:left="0"/>
        <w:jc w:val="both"/>
        <w:rPr>
          <w:rFonts w:ascii="Arial" w:hAnsi="Arial" w:cs="Arial"/>
          <w:snapToGrid w:val="0"/>
        </w:rPr>
      </w:pPr>
      <w:r>
        <w:rPr>
          <w:rFonts w:ascii="Arial" w:hAnsi="Arial" w:cs="Arial"/>
          <w:snapToGrid w:val="0"/>
          <w:szCs w:val="20"/>
        </w:rPr>
        <w:br w:type="page"/>
      </w:r>
    </w:p>
    <w:p w14:paraId="2F9798D2">
      <w:pPr>
        <w:pStyle w:val="7"/>
        <w:topLinePunct/>
        <w:adjustRightInd w:val="0"/>
        <w:snapToGrid w:val="0"/>
        <w:spacing w:after="224" w:afterLines="75" w:line="288" w:lineRule="auto"/>
        <w:ind w:left="0"/>
        <w:jc w:val="both"/>
        <w:rPr>
          <w:rFonts w:ascii="Arial" w:hAnsi="Arial" w:cs="Arial"/>
          <w:snapToGrid w:val="0"/>
          <w:szCs w:val="16"/>
          <w:vertAlign w:val="superscript"/>
        </w:rPr>
      </w:pPr>
      <w:r>
        <w:rPr>
          <w:rFonts w:hint="eastAsia" w:ascii="Arial" w:hAnsi="Arial" w:cs="Arial"/>
          <w:snapToGrid w:val="0"/>
        </w:rPr>
        <w:t>可被视为潜在替代终点的测量可能侧重于评估：</w:t>
      </w:r>
      <w:r>
        <w:rPr>
          <w:rStyle w:val="18"/>
          <w:rFonts w:ascii="Arial" w:hAnsi="Arial" w:cs="Arial"/>
          <w:snapToGrid w:val="0"/>
        </w:rPr>
        <w:footnoteReference w:id="29"/>
      </w:r>
      <w:r>
        <w:rPr>
          <w:rFonts w:ascii="Arial" w:hAnsi="Arial" w:cs="Arial"/>
          <w:snapToGrid w:val="0"/>
          <w:szCs w:val="16"/>
          <w:vertAlign w:val="superscript"/>
        </w:rPr>
        <w:t xml:space="preserve"> </w:t>
      </w:r>
    </w:p>
    <w:p w14:paraId="4C8B7625">
      <w:pPr>
        <w:pStyle w:val="20"/>
        <w:numPr>
          <w:ilvl w:val="1"/>
          <w:numId w:val="9"/>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疾病的根本原因（例如，尿酸升高和痛风，低甲状腺素水平和甲状腺功能减退）。</w:t>
      </w:r>
    </w:p>
    <w:p w14:paraId="59C73A80">
      <w:pPr>
        <w:pStyle w:val="20"/>
        <w:numPr>
          <w:ilvl w:val="1"/>
          <w:numId w:val="9"/>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导致临床结局的病理生理学路径的状态（例如，左心室肥大和充血性心力衰竭）。</w:t>
      </w:r>
    </w:p>
    <w:p w14:paraId="76C7DC5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u w:val="single" w:color="000000"/>
        </w:rPr>
        <w:t>替代终点是否可合理预测临床收益</w:t>
      </w:r>
    </w:p>
    <w:p w14:paraId="43F7BB0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依赖于替代终点的PMA应提供或引用证明终点可能预测器械临床收益的证据。</w:t>
      </w:r>
      <w:r>
        <w:rPr>
          <w:rStyle w:val="18"/>
          <w:rFonts w:ascii="Arial" w:hAnsi="Arial" w:cs="Arial"/>
          <w:snapToGrid w:val="0"/>
        </w:rPr>
        <w:footnoteReference w:id="30"/>
      </w:r>
      <w:r>
        <w:rPr>
          <w:rFonts w:hint="eastAsia" w:ascii="Arial" w:hAnsi="Arial" w:cs="Arial"/>
          <w:snapToGrid w:val="0"/>
        </w:rPr>
        <w:t>本节将概述确定和评估替代终点预测潜力时考虑的一些重要因素。然而，本节不涉及临床证据要求，因为此类要求不易于推广。</w:t>
      </w:r>
    </w:p>
    <w:p w14:paraId="6A196E2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u w:val="single" w:color="000000"/>
        </w:rPr>
        <w:t>替代终点与临床收益之间的预测性关系</w:t>
      </w:r>
    </w:p>
    <w:p w14:paraId="5AAD639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替代终点是否可合理预测临床收益取决于疾病、终点和预期器械效应之间关系的科学合理性，以及支持该关系的实证证据。实证证据可能包括流行病学、病理生理学、治疗或其他科学证据。在确定证据是否可证明终点和临床收益之间存在预测性关系时，必须考虑疾病性质以及该器械的作用机制。</w:t>
      </w:r>
    </w:p>
    <w:p w14:paraId="6E83BCE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是否可以使用替代终点取决于数据的质量和支持测量的证据强度，以及其适用的条件（</w:t>
      </w:r>
      <w:r>
        <w:rPr>
          <w:rFonts w:hint="eastAsia" w:ascii="宋体" w:hAnsi="宋体" w:cs="Arial"/>
          <w:snapToGrid w:val="0"/>
        </w:rPr>
        <w:t>“</w:t>
      </w:r>
      <w:r>
        <w:rPr>
          <w:rFonts w:hint="eastAsia" w:ascii="Arial" w:hAnsi="Arial" w:cs="Arial"/>
          <w:snapToGrid w:val="0"/>
        </w:rPr>
        <w:t>使用条件</w:t>
      </w:r>
      <w:r>
        <w:rPr>
          <w:rFonts w:hint="eastAsia" w:ascii="宋体" w:hAnsi="宋体" w:cs="Arial"/>
          <w:snapToGrid w:val="0"/>
        </w:rPr>
        <w:t>”</w:t>
      </w:r>
      <w:r>
        <w:rPr>
          <w:rFonts w:hint="eastAsia" w:ascii="Arial" w:hAnsi="Arial" w:cs="Arial"/>
          <w:snapToGrid w:val="0"/>
        </w:rPr>
        <w:t>）。</w:t>
      </w:r>
      <w:r>
        <w:rPr>
          <w:rStyle w:val="18"/>
          <w:rFonts w:ascii="Arial" w:hAnsi="Arial" w:cs="Arial"/>
          <w:snapToGrid w:val="0"/>
        </w:rPr>
        <w:footnoteReference w:id="31"/>
      </w:r>
      <w:r>
        <w:rPr>
          <w:rFonts w:hint="eastAsia" w:ascii="Arial" w:hAnsi="Arial" w:cs="Arial"/>
          <w:snapToGrid w:val="0"/>
        </w:rPr>
        <w:t>当有强有力的证据表明测量与临床收益间存在预测性关系，此证据可作为临床研究的</w:t>
      </w:r>
      <w:r>
        <w:rPr>
          <w:rFonts w:hint="eastAsia" w:ascii="宋体" w:hAnsi="宋体" w:cs="Arial"/>
          <w:snapToGrid w:val="0"/>
        </w:rPr>
        <w:t>“</w:t>
      </w:r>
      <w:r>
        <w:rPr>
          <w:rFonts w:hint="eastAsia" w:ascii="Arial" w:hAnsi="Arial" w:cs="Arial"/>
          <w:snapToGrid w:val="0"/>
        </w:rPr>
        <w:t>既定</w:t>
      </w:r>
      <w:r>
        <w:rPr>
          <w:rFonts w:hint="eastAsia" w:ascii="宋体" w:hAnsi="宋体" w:cs="Arial"/>
          <w:snapToGrid w:val="0"/>
        </w:rPr>
        <w:t>”</w:t>
      </w:r>
      <w:r>
        <w:rPr>
          <w:rFonts w:hint="eastAsia" w:ascii="Arial" w:hAnsi="Arial" w:cs="Arial"/>
          <w:snapToGrid w:val="0"/>
        </w:rPr>
        <w:t>替代终点，并作为批准依据。如果测量可以预测临床收益，则其在某些情况下可作为监管批准依据，例如EAP器械，其中该器械旨在治疗致命性或不可逆衰竭性疾病或病症，且无任何替代品，此外，在通过MDDT过程认证后，可广泛用于多器械开发项目中。当用于证明测量与临床收益之间存在预测性关系的证据不足或不一致时，该测量不适合用于支持批准EAP器械的PMA上市申请。接受替代终点作为批准依据的主要风险是可能使患者接触可能最终被证明具有不利收益-风险特征的器械。</w:t>
      </w:r>
    </w:p>
    <w:p w14:paraId="4F7329F7">
      <w:pPr>
        <w:pStyle w:val="7"/>
        <w:topLinePunct/>
        <w:adjustRightInd w:val="0"/>
        <w:snapToGrid w:val="0"/>
        <w:spacing w:after="224" w:afterLines="75" w:line="288" w:lineRule="auto"/>
        <w:ind w:left="0"/>
        <w:jc w:val="both"/>
        <w:rPr>
          <w:rFonts w:ascii="Arial" w:hAnsi="Arial" w:cs="Arial"/>
          <w:snapToGrid w:val="0"/>
        </w:rPr>
      </w:pPr>
      <w:r>
        <w:rPr>
          <w:rFonts w:ascii="Arial" w:hAnsi="Arial" w:cs="Arial"/>
          <w:snapToGrid w:val="0"/>
          <w:szCs w:val="20"/>
        </w:rPr>
        <w:br w:type="page"/>
      </w:r>
    </w:p>
    <w:p w14:paraId="5C0E571C">
      <w:pPr>
        <w:pStyle w:val="7"/>
        <w:topLinePunct/>
        <w:adjustRightInd w:val="0"/>
        <w:snapToGrid w:val="0"/>
        <w:spacing w:after="224" w:afterLines="75" w:line="288" w:lineRule="auto"/>
        <w:ind w:left="0"/>
        <w:jc w:val="both"/>
        <w:rPr>
          <w:rFonts w:ascii="Arial" w:hAnsi="Arial" w:cs="Arial"/>
          <w:snapToGrid w:val="0"/>
        </w:rPr>
      </w:pPr>
      <w:r>
        <w:rPr>
          <w:rFonts w:ascii="Arial" w:hAnsi="Arial" w:cs="Arial"/>
        </w:rPr>
        <mc:AlternateContent>
          <mc:Choice Requires="wpg">
            <w:drawing>
              <wp:anchor distT="0" distB="0" distL="114300" distR="114300" simplePos="0" relativeHeight="251661312" behindDoc="1" locked="0" layoutInCell="1" allowOverlap="1">
                <wp:simplePos x="0" y="0"/>
                <wp:positionH relativeFrom="page">
                  <wp:posOffset>2396490</wp:posOffset>
                </wp:positionH>
                <wp:positionV relativeFrom="paragraph">
                  <wp:posOffset>431800</wp:posOffset>
                </wp:positionV>
                <wp:extent cx="1270" cy="175260"/>
                <wp:effectExtent l="24765" t="22225" r="21590" b="31115"/>
                <wp:wrapNone/>
                <wp:docPr id="1" name="664696"/>
                <wp:cNvGraphicFramePr/>
                <a:graphic xmlns:a="http://schemas.openxmlformats.org/drawingml/2006/main">
                  <a:graphicData uri="http://schemas.microsoft.com/office/word/2010/wordprocessingGroup">
                    <wpg:wgp>
                      <wpg:cNvGrpSpPr/>
                      <wpg:grpSpPr>
                        <a:xfrm>
                          <a:off x="0" y="0"/>
                          <a:ext cx="1270" cy="175260"/>
                          <a:chOff x="9546" y="836"/>
                          <a:chExt cx="2" cy="276"/>
                        </a:xfrm>
                      </wpg:grpSpPr>
                      <wps:wsp>
                        <wps:cNvPr id="2" name="664939"/>
                        <wps:cNvSpPr/>
                        <wps:spPr bwMode="auto">
                          <a:xfrm>
                            <a:off x="9546" y="836"/>
                            <a:ext cx="2" cy="276"/>
                          </a:xfrm>
                          <a:custGeom>
                            <a:avLst/>
                            <a:gdLst>
                              <a:gd name="T0" fmla="+- 0 836 836"/>
                              <a:gd name="T1" fmla="*/ 836 h 276"/>
                              <a:gd name="T2" fmla="+- 0 1112 836"/>
                              <a:gd name="T3" fmla="*/ 1112 h 276"/>
                            </a:gdLst>
                            <a:ahLst/>
                            <a:cxnLst>
                              <a:cxn ang="0">
                                <a:pos x="0" y="T1"/>
                              </a:cxn>
                              <a:cxn ang="0">
                                <a:pos x="0" y="T3"/>
                              </a:cxn>
                            </a:cxnLst>
                            <a:rect l="0" t="0" r="r" b="b"/>
                            <a:pathLst>
                              <a:path h="276">
                                <a:moveTo>
                                  <a:pt x="0" y="0"/>
                                </a:moveTo>
                                <a:lnTo>
                                  <a:pt x="0" y="276"/>
                                </a:lnTo>
                              </a:path>
                            </a:pathLst>
                          </a:custGeom>
                          <a:noFill/>
                          <a:ln w="44196">
                            <a:solidFill>
                              <a:srgbClr val="FFFF00"/>
                            </a:solidFill>
                            <a:round/>
                          </a:ln>
                        </wps:spPr>
                        <wps:bodyPr rot="0" vert="horz" wrap="square" lIns="91440" tIns="45720" rIns="91440" bIns="45720" anchor="t" anchorCtr="0" upright="1">
                          <a:noAutofit/>
                        </wps:bodyPr>
                      </wps:wsp>
                    </wpg:wgp>
                  </a:graphicData>
                </a:graphic>
              </wp:anchor>
            </w:drawing>
          </mc:Choice>
          <mc:Fallback>
            <w:pict>
              <v:group id="664696" o:spid="_x0000_s1026" o:spt="203" style="position:absolute;left:0pt;margin-left:188.7pt;margin-top:34pt;height:13.8pt;width:0.1pt;mso-position-horizontal-relative:page;z-index:-251655168;mso-width-relative:page;mso-height-relative:page;" coordorigin="9546,836" coordsize="2,276" o:gfxdata="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DagHAHZAAAACQEAAA8AAAAAAAAAAQAg&#10;AAAAIgAAAGRycy9kb3ducmV2LnhtbFBLAQIUABQAAAAIAIdO4kC6zZyp8QIAAN0GAAAOAAAAAAAA&#10;AAEAIAAAACgBAABkcnMvZTJvRG9jLnhtbFBLBQYAAAAABgAGAFkBAACLBgAAAAA=&#10;">
                <o:lock v:ext="edit" aspectratio="f"/>
                <v:shape id="664939" o:spid="_x0000_s1026" o:spt="100" style="position:absolute;left:9546;top:836;height:276;width:2;" filled="f" stroked="t" coordsize="1,276" o:gfxdata="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LPpy/&#10;AAAA2gAAAA8AAAAAAAAAAQAgAAAAIgAAAGRycy9kb3ducmV2LnhtbFBLAQIUABQAAAAIAIdO4kAz&#10;LwWeOwAAADkAAAAQAAAAAAAAAAEAIAAAAA4BAABkcnMvc2hhcGV4bWwueG1sUEsFBgAAAAAGAAYA&#10;WwEAALgDAAAAAA==&#10;" path="m0,0l0,276e">
                  <v:path o:connectlocs="0,836;0,1112" o:connectangles="0,0"/>
                  <v:fill on="f" focussize="0,0"/>
                  <v:stroke weight="3.48pt" color="#FFFF00" joinstyle="round"/>
                  <v:imagedata o:title=""/>
                  <o:lock v:ext="edit" aspectratio="f"/>
                </v:shape>
              </v:group>
            </w:pict>
          </mc:Fallback>
        </mc:AlternateContent>
      </w:r>
      <w:r>
        <w:rPr>
          <w:rFonts w:hint="eastAsia" w:ascii="Arial" w:hAnsi="Arial" w:cs="Arial"/>
          <w:snapToGrid w:val="0"/>
        </w:rPr>
        <w:t>如果替代终点未能在妥善设计的试验，或相同疾病或相关疾病中预测临床收益，则不可将其用作批准依据。证明以下一项或多项内容可以增加同意使用替代终点支持EAP器械的PMA批准的可能性：</w:t>
      </w:r>
    </w:p>
    <w:p w14:paraId="7EF3EE35">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rPr>
        <w:t>根据疾病性质和器械作用机制，确定与临床收益有着明确的生物学上可信的预测性关系，因为：</w:t>
      </w:r>
    </w:p>
    <w:p w14:paraId="1310A787">
      <w:pPr>
        <w:pStyle w:val="20"/>
        <w:numPr>
          <w:ilvl w:val="2"/>
          <w:numId w:val="9"/>
        </w:numPr>
        <w:tabs>
          <w:tab w:val="left" w:pos="1380"/>
        </w:tabs>
        <w:topLinePunct/>
        <w:adjustRightInd w:val="0"/>
        <w:snapToGrid w:val="0"/>
        <w:spacing w:after="224" w:afterLines="75" w:line="288" w:lineRule="auto"/>
        <w:ind w:left="992" w:leftChars="451" w:firstLine="0"/>
        <w:jc w:val="both"/>
        <w:rPr>
          <w:rFonts w:ascii="Arial" w:hAnsi="Arial" w:eastAsia="宋体" w:cs="Arial"/>
          <w:snapToGrid w:val="0"/>
          <w:sz w:val="24"/>
          <w:szCs w:val="24"/>
        </w:rPr>
      </w:pPr>
      <w:r>
        <w:rPr>
          <w:rFonts w:hint="eastAsia" w:ascii="Arial" w:hAnsi="Arial" w:eastAsia="宋体" w:cs="Arial"/>
          <w:snapToGrid w:val="0"/>
          <w:sz w:val="24"/>
          <w:szCs w:val="24"/>
        </w:rPr>
        <w:t>因果关系路径很好理解；</w:t>
      </w:r>
    </w:p>
    <w:p w14:paraId="6B0F1B4B">
      <w:pPr>
        <w:pStyle w:val="20"/>
        <w:numPr>
          <w:ilvl w:val="2"/>
          <w:numId w:val="9"/>
        </w:numPr>
        <w:tabs>
          <w:tab w:val="left" w:pos="1380"/>
        </w:tabs>
        <w:topLinePunct/>
        <w:adjustRightInd w:val="0"/>
        <w:snapToGrid w:val="0"/>
        <w:spacing w:after="224" w:afterLines="75" w:line="288" w:lineRule="auto"/>
        <w:ind w:left="992" w:leftChars="451" w:firstLine="0"/>
        <w:jc w:val="both"/>
        <w:rPr>
          <w:rFonts w:ascii="Arial" w:hAnsi="Arial" w:eastAsia="宋体" w:cs="Arial"/>
          <w:snapToGrid w:val="0"/>
          <w:sz w:val="24"/>
          <w:szCs w:val="24"/>
        </w:rPr>
      </w:pPr>
      <w:r>
        <w:rPr>
          <w:rFonts w:hint="eastAsia" w:ascii="Arial" w:hAnsi="Arial" w:eastAsia="宋体" w:cs="Arial"/>
          <w:snapToGrid w:val="0"/>
          <w:sz w:val="24"/>
          <w:szCs w:val="24"/>
        </w:rPr>
        <w:t>疾病路径较简单；和／或，</w:t>
      </w:r>
    </w:p>
    <w:p w14:paraId="743D1557">
      <w:pPr>
        <w:pStyle w:val="20"/>
        <w:numPr>
          <w:ilvl w:val="2"/>
          <w:numId w:val="9"/>
        </w:numPr>
        <w:tabs>
          <w:tab w:val="left" w:pos="1380"/>
        </w:tabs>
        <w:topLinePunct/>
        <w:adjustRightInd w:val="0"/>
        <w:snapToGrid w:val="0"/>
        <w:spacing w:after="224" w:afterLines="75" w:line="288" w:lineRule="auto"/>
        <w:ind w:left="992" w:leftChars="451" w:firstLine="0"/>
        <w:jc w:val="both"/>
        <w:rPr>
          <w:rFonts w:ascii="Arial" w:hAnsi="Arial" w:eastAsia="宋体" w:cs="Arial"/>
          <w:snapToGrid w:val="0"/>
          <w:sz w:val="24"/>
          <w:szCs w:val="24"/>
        </w:rPr>
      </w:pPr>
      <w:r>
        <w:rPr>
          <w:rFonts w:hint="eastAsia" w:ascii="Arial" w:hAnsi="Arial" w:eastAsia="宋体" w:cs="Arial"/>
          <w:snapToGrid w:val="0"/>
          <w:sz w:val="24"/>
          <w:szCs w:val="24"/>
        </w:rPr>
        <w:t>在疾病或病症生物学路径上，替代终点与临床收益的关系较密切。</w:t>
      </w:r>
    </w:p>
    <w:p w14:paraId="76327D76">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测量的有效性本身已经确立。</w:t>
      </w:r>
    </w:p>
    <w:p w14:paraId="28EC3143">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用于证明替代终点和临床收益之间存在预测性关系的流行病学、治疗学、病理生理学或其他科学证据广泛存在、可靠和一致（例如，已证明对替代终点的影响可预测类似器械在类似疾病中的临床收益）。</w:t>
      </w:r>
    </w:p>
    <w:p w14:paraId="62C67929">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已取得替代终点和临床收益之间的关系（关系越准确，认为对替代终点的影响可能影响临床收益的依据越有力）。</w:t>
      </w:r>
    </w:p>
    <w:p w14:paraId="2D4BF4A3">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产品用于短期使用，如果出现意外不良影响，可能会停止治疗。</w:t>
      </w:r>
    </w:p>
    <w:p w14:paraId="0720CACF">
      <w:pPr>
        <w:pStyle w:val="5"/>
        <w:topLinePunct/>
        <w:adjustRightInd w:val="0"/>
        <w:snapToGrid w:val="0"/>
        <w:spacing w:after="224" w:afterLines="75" w:line="288" w:lineRule="auto"/>
        <w:ind w:left="0"/>
        <w:jc w:val="both"/>
        <w:rPr>
          <w:rFonts w:ascii="Arial" w:hAnsi="Arial" w:cs="Arial"/>
          <w:b w:val="0"/>
          <w:bCs w:val="0"/>
          <w:snapToGrid w:val="0"/>
        </w:rPr>
      </w:pPr>
      <w:r>
        <w:rPr>
          <w:rFonts w:hint="eastAsia" w:ascii="Arial" w:hAnsi="Arial" w:cs="Arial"/>
          <w:snapToGrid w:val="0"/>
        </w:rPr>
        <w:t>替代终点示例：</w:t>
      </w:r>
    </w:p>
    <w:p w14:paraId="6524A9AA">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rPr>
        <w:t>血压降低（通过血压测量法测量）不是临床收益的直接指标，但许多抗高血压药物的长期疗效研究已表明，可合理依据血压升高预测脑卒中和死亡率，且其已被广泛认定为脑卒中、心力衰竭、肾功能衰竭和加速冠状动脉疾病的根本原因。已经允许使用血压作为抗高血压药物监管试验中的替代终点，且其可充当抗高血压器械试验中的替代终点，但是必须有足够证据证明，在考虑了该器械的作用机制后，确定其与临床收益具有已知或可能的预测性关系。</w:t>
      </w:r>
    </w:p>
    <w:p w14:paraId="64D64D4C">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rPr>
      </w:pPr>
      <w:r>
        <w:rPr>
          <w:rFonts w:hint="eastAsia" w:ascii="Arial" w:hAnsi="Arial" w:eastAsia="宋体" w:cs="Arial"/>
          <w:snapToGrid w:val="0"/>
          <w:sz w:val="24"/>
        </w:rPr>
        <w:t>即使已在实验室中血浆中存在测得CMV DNA，巨细胞病毒（CMV）病毒载量也不是临床收益的直接指标，但已证明其可以合理预测移植患者中与CMV疾病相关的发病率和死亡率。已知病毒载量的持久抑制可以可靠预测对存活的影响。CMV病毒载量可以作为器械试验的替代终点，但是必须有足够证据证明，其与临床收益（如存活）具有已知或可能的预测性关系。</w:t>
      </w:r>
    </w:p>
    <w:p w14:paraId="7A4109BA">
      <w:pPr>
        <w:rPr>
          <w:rFonts w:ascii="Arial" w:hAnsi="Arial" w:eastAsia="宋体" w:cs="Arial"/>
          <w:snapToGrid w:val="0"/>
          <w:sz w:val="24"/>
        </w:rPr>
      </w:pPr>
      <w:r>
        <w:rPr>
          <w:rFonts w:ascii="Arial" w:hAnsi="Arial" w:eastAsia="宋体" w:cs="Arial"/>
          <w:snapToGrid w:val="0"/>
          <w:sz w:val="24"/>
        </w:rPr>
        <w:br w:type="page"/>
      </w:r>
    </w:p>
    <w:p w14:paraId="6847B37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rPr>
        <w:t>活检乳腺病变的早期病理生理分析不是临床收益的直接指标，但已证明其可以合理预测与乳腺癌相关的发病率和死亡率。活检乳腺病变的生物学分析可作为器械试验的替代终点，但是必须有足够证据证明，其与临床收益（如存活）具有已知或可能的预测性关系。</w:t>
      </w:r>
    </w:p>
    <w:p w14:paraId="3ECB801A">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rPr>
        <w:t>对于大部分糖尿病器械，已上市的既定诊断（如HbA1c）可用作替代终点。</w:t>
      </w:r>
    </w:p>
    <w:p w14:paraId="2F5E27CB">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基于中间或替代终点批准的EAP器械的批准条件</w:t>
      </w:r>
    </w:p>
    <w:p w14:paraId="6380BE48">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如前所述，可以在频谱中解析选择用于评估临床收益，并作为监管批准依据的临床研究终点。频谱一端是关于疾病的明确临床终点，如不可逆发病率或死亡率，另一端则是替代</w:t>
      </w:r>
      <w:r>
        <w:rPr>
          <w:rFonts w:ascii="Arial" w:hAnsi="Arial" w:cs="Arial"/>
          <w:snapToGrid w:val="0"/>
        </w:rPr>
        <w:t>终点</w:t>
      </w:r>
      <w:r>
        <w:rPr>
          <w:rFonts w:hint="eastAsia" w:ascii="Arial" w:hAnsi="Arial" w:cs="Arial"/>
          <w:snapToGrid w:val="0"/>
        </w:rPr>
        <w:t>。当将替代或中间终点用作EAP器械批准依据时，FDA通常需要提交验证性上市后数据作为批准条件。</w:t>
      </w:r>
    </w:p>
    <w:p w14:paraId="7425CDB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使用中间或替代终点作为EAP器械批准依据时的上市后考虑因素：</w:t>
      </w:r>
    </w:p>
    <w:p w14:paraId="4B34EC5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如果将中间终点</w:t>
      </w:r>
      <w:r>
        <w:rPr>
          <w:rFonts w:hint="eastAsia" w:ascii="Arial" w:hAnsi="Arial" w:eastAsia="宋体" w:cs="Arial"/>
          <w:snapToGrid w:val="0"/>
          <w:sz w:val="24"/>
        </w:rPr>
        <w:t>用作</w:t>
      </w:r>
      <w:r>
        <w:rPr>
          <w:rFonts w:hint="eastAsia" w:ascii="Arial" w:hAnsi="Arial" w:eastAsia="宋体" w:cs="Arial"/>
          <w:snapToGrid w:val="0"/>
          <w:sz w:val="24"/>
          <w:szCs w:val="24"/>
        </w:rPr>
        <w:t>批准依据，应在上市后阶段继续进行上市前研究，以获得更多长期数据或增加重要终点的精度（请参见下文</w:t>
      </w:r>
      <w:r>
        <w:rPr>
          <w:rFonts w:hint="eastAsia" w:ascii="宋体" w:hAnsi="宋体" w:eastAsia="宋体" w:cs="Arial"/>
          <w:snapToGrid w:val="0"/>
          <w:sz w:val="24"/>
          <w:szCs w:val="24"/>
        </w:rPr>
        <w:t>“</w:t>
      </w:r>
      <w:r>
        <w:rPr>
          <w:rFonts w:hint="eastAsia" w:ascii="Arial" w:hAnsi="Arial" w:eastAsia="宋体" w:cs="Arial"/>
          <w:snapToGrid w:val="0"/>
          <w:sz w:val="24"/>
          <w:szCs w:val="24"/>
        </w:rPr>
        <w:t>两阶段研究</w:t>
      </w:r>
      <w:r>
        <w:rPr>
          <w:rFonts w:hint="eastAsia" w:ascii="宋体" w:hAnsi="宋体" w:eastAsia="宋体" w:cs="Arial"/>
          <w:snapToGrid w:val="0"/>
          <w:sz w:val="24"/>
          <w:szCs w:val="24"/>
        </w:rPr>
        <w:t>”</w:t>
      </w:r>
      <w:r>
        <w:rPr>
          <w:rFonts w:hint="eastAsia" w:ascii="Arial" w:hAnsi="Arial" w:eastAsia="宋体" w:cs="Arial"/>
          <w:snapToGrid w:val="0"/>
          <w:sz w:val="24"/>
          <w:szCs w:val="24"/>
        </w:rPr>
        <w:t>部分）。</w:t>
      </w:r>
    </w:p>
    <w:p w14:paraId="0C635A5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如果关于替代终点和临床收益之间的预测性关系的不确定性仍然存在，上市后研究应主要针对特定疾病的临床结局，以确定预期临床收益和器械总体收益-风险特征。可以设计相关研究，获得证明替代终点和临床收益之间存在预测性关系的附加证据，然而使用此类数据证明可将替代终点用于其他目的。</w:t>
      </w:r>
    </w:p>
    <w:p w14:paraId="0A0F3CC0">
      <w:pPr>
        <w:pStyle w:val="4"/>
        <w:numPr>
          <w:ilvl w:val="0"/>
          <w:numId w:val="9"/>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两阶段研究</w:t>
      </w:r>
    </w:p>
    <w:p w14:paraId="06FBDEE6">
      <w:pPr>
        <w:pStyle w:val="7"/>
        <w:topLinePunct/>
        <w:adjustRightInd w:val="0"/>
        <w:snapToGrid w:val="0"/>
        <w:spacing w:after="224" w:afterLines="75" w:line="288" w:lineRule="auto"/>
        <w:ind w:left="0"/>
        <w:jc w:val="both"/>
        <w:rPr>
          <w:rFonts w:ascii="Arial" w:hAnsi="Arial" w:cs="Arial"/>
          <w:snapToGrid w:val="0"/>
          <w:szCs w:val="20"/>
        </w:rPr>
      </w:pPr>
      <w:r>
        <w:rPr>
          <w:rFonts w:hint="eastAsia" w:ascii="Arial" w:hAnsi="Arial" w:cs="Arial"/>
          <w:snapToGrid w:val="0"/>
        </w:rPr>
        <w:t>本机构可以考虑基于上市前研究结果（上市前阶段）决定是否批准，其中，此类结果满足预先确定的标准，例如预先确定的成功预测概率或预先指定的显著性水平。然后将从上市后数据中获得剩余验证性信息（上市后阶段）。上市前和上市后阶段应提前仔细规划，并在方案中进行描述。上市前研究的设计应始终确保，已将上市前阶段统计I型错误的概率控制在FDA和申办方于设计阶段商定的水平。双方商定的不确定性程度将决定上市前阶段的成功标准，并将取决于以下因素：</w:t>
      </w:r>
    </w:p>
    <w:p w14:paraId="51121DF6">
      <w:pPr>
        <w:rPr>
          <w:rFonts w:ascii="Arial" w:hAnsi="Arial" w:eastAsia="宋体" w:cs="Arial"/>
          <w:snapToGrid w:val="0"/>
          <w:sz w:val="24"/>
          <w:szCs w:val="24"/>
        </w:rPr>
      </w:pPr>
      <w:r>
        <w:rPr>
          <w:rFonts w:ascii="Arial" w:hAnsi="Arial" w:eastAsia="宋体" w:cs="Arial"/>
          <w:snapToGrid w:val="0"/>
          <w:sz w:val="24"/>
          <w:szCs w:val="24"/>
        </w:rPr>
        <w:br w:type="page"/>
      </w:r>
    </w:p>
    <w:p w14:paraId="1FF21F10">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EAP器械预期提供的收益量；如果收益非常大，则在第一阶段就可以忍受更多不确定性，以加快上市时间。</w:t>
      </w:r>
    </w:p>
    <w:p w14:paraId="6A38172E">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延迟批准对未治疗患者造成的风险量。</w:t>
      </w:r>
    </w:p>
    <w:p w14:paraId="73804A41">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在规划阶段，可以从专家、科学、工程、非临床试验和类似器械中获得的先验信息量。</w:t>
      </w:r>
    </w:p>
    <w:p w14:paraId="7A8F9574">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测试器械耐久性或有效期所需的时间。与延迟治疗患者的风险相比，长时间研究器械耐久性或有效期可能不可行或不合理。</w:t>
      </w:r>
    </w:p>
    <w:p w14:paraId="074DE1C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上市前阶段可以基于少量样本（少量受试者）、少量器械使用时间或两者的组合获得结果。例如，如果FDA另外要求研究招募200例受试者，并随访2年，但在100例患者使用器械6个月后产生了满意结果，FDA可能会批准该器械，但必须合理保证，6个月的数据可预测2年的结局。如果可以预测，批准器械时可能会要求申办方在完成研究后提供剩余数据-即200例受试者使用该器械2年后产生的数据。其中一些受试者可能在研究第一阶段期间及批准之前就已参与研究，但批准时已失访。一些受试者还可能在上市前阶段完成后才参与研究。</w:t>
      </w:r>
    </w:p>
    <w:p w14:paraId="02ECDF6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具有公共卫生影响的诊断可以通过早期诊断来满足个体患者的未满足医疗需求，并通过提供关于疾病发生率的详细的及时信息来帮助公共卫生反应。此类诊断测定可以提供有关感染时间的信息（例如，感染是否发生在最近6个月内或以上）。感染早期的个体往往具有最高的传播风险，治疗和接触者追踪可以有效降低风险。但是，过去，存在众多重大障碍，阻止了对此类试验在临床队列中的性能进行适当评价。允许在上市后收集数据，以便准确确认此类试验的医疗收益后，可以确认感染时间的不确定性，同时大大简化了具有这种公共卫生和监测设计的器械审查过程。</w:t>
      </w:r>
    </w:p>
    <w:p w14:paraId="147BFF2A">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rPr>
      </w:pPr>
      <w:r>
        <w:rPr>
          <w:rFonts w:hint="eastAsia" w:ascii="Arial" w:hAnsi="Arial" w:eastAsia="宋体" w:cs="Arial"/>
          <w:i/>
          <w:snapToGrid w:val="0"/>
          <w:sz w:val="24"/>
        </w:rPr>
        <w:t>示例</w:t>
      </w:r>
      <w:r>
        <w:rPr>
          <w:rFonts w:hint="eastAsia" w:ascii="Arial" w:hAnsi="Arial" w:eastAsia="宋体" w:cs="Arial"/>
          <w:snapToGrid w:val="0"/>
          <w:sz w:val="24"/>
        </w:rPr>
        <w:t>：迁移是用于批准III类IVD器械的一种方法，其在先前已批准、特许或许可的测定迁移到另一系统，但FDA尚未针对该系统评价测定性能时适用。如果可以从设计控制、风险分析及先前对已上市器械进行的性能研究的证明文件获得足够信息，此范式将适用。此范式使用更小和更重要的分析和临床数据集，以及器械设计和性能的先验知识。有关更多信息，请参阅</w:t>
      </w:r>
      <w:r>
        <w:rPr>
          <w:rFonts w:hint="eastAsia" w:ascii="宋体" w:hAnsi="宋体" w:eastAsia="宋体" w:cs="Arial"/>
          <w:snapToGrid w:val="0"/>
          <w:sz w:val="24"/>
        </w:rPr>
        <w:t>“</w:t>
      </w:r>
      <w:r>
        <w:rPr>
          <w:rFonts w:hint="eastAsia" w:ascii="Arial" w:hAnsi="Arial" w:eastAsia="宋体" w:cs="Arial"/>
          <w:snapToGrid w:val="0"/>
          <w:sz w:val="24"/>
        </w:rPr>
        <w:t>体外诊断器械的测定迁移研究：行业和FDA工作人员指南</w:t>
      </w:r>
      <w:r>
        <w:rPr>
          <w:rFonts w:hint="eastAsia" w:ascii="宋体" w:hAnsi="宋体" w:eastAsia="宋体" w:cs="Arial"/>
          <w:snapToGrid w:val="0"/>
          <w:sz w:val="24"/>
        </w:rPr>
        <w:t>”</w:t>
      </w:r>
      <w:r>
        <w:rPr>
          <w:rFonts w:hint="eastAsia" w:ascii="Arial" w:hAnsi="Arial" w:eastAsia="宋体" w:cs="Arial"/>
          <w:snapToGrid w:val="0"/>
          <w:sz w:val="24"/>
        </w:rPr>
        <w:t>，网址：</w:t>
      </w:r>
      <w:r>
        <w:fldChar w:fldCharType="begin"/>
      </w:r>
      <w:r>
        <w:instrText xml:space="preserve"> HYPERLINK "http://www.fda.gov/downloads/MedicalDevices/DeviceRegulationandGuidance/Guidanc" \h </w:instrText>
      </w:r>
      <w:r>
        <w:fldChar w:fldCharType="separate"/>
      </w:r>
      <w:r>
        <w:rPr>
          <w:rFonts w:hint="eastAsia" w:ascii="Arial" w:hAnsi="Arial" w:eastAsia="宋体" w:cs="Arial"/>
          <w:snapToGrid w:val="0"/>
          <w:sz w:val="24"/>
        </w:rPr>
        <w:t>http: //www.fda.gov/downloads/MedicalDevices/DeviceRegulationandGuidance/Guidanc</w:t>
      </w:r>
      <w:r>
        <w:rPr>
          <w:rFonts w:hint="eastAsia" w:ascii="Arial" w:hAnsi="Arial" w:eastAsia="宋体" w:cs="Arial"/>
          <w:snapToGrid w:val="0"/>
          <w:sz w:val="24"/>
        </w:rPr>
        <w:fldChar w:fldCharType="end"/>
      </w:r>
      <w:r>
        <w:rPr>
          <w:rFonts w:hint="eastAsia" w:ascii="Arial" w:hAnsi="Arial" w:eastAsia="宋体" w:cs="Arial"/>
          <w:snapToGrid w:val="0"/>
          <w:sz w:val="24"/>
        </w:rPr>
        <w:t>eDocuments/ucm092752.pdf。</w:t>
      </w:r>
    </w:p>
    <w:p w14:paraId="4390C85D">
      <w:pPr>
        <w:rPr>
          <w:rFonts w:ascii="Arial" w:hAnsi="Arial" w:eastAsia="宋体" w:cs="Arial"/>
          <w:b/>
          <w:bCs/>
          <w:snapToGrid w:val="0"/>
          <w:sz w:val="24"/>
          <w:szCs w:val="28"/>
        </w:rPr>
      </w:pPr>
      <w:r>
        <w:rPr>
          <w:rFonts w:ascii="Arial" w:hAnsi="Arial" w:cs="Arial"/>
          <w:snapToGrid w:val="0"/>
          <w:sz w:val="24"/>
        </w:rPr>
        <w:br w:type="page"/>
      </w:r>
    </w:p>
    <w:p w14:paraId="563B070C">
      <w:pPr>
        <w:pStyle w:val="4"/>
        <w:numPr>
          <w:ilvl w:val="0"/>
          <w:numId w:val="9"/>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体外诊断</w:t>
      </w:r>
    </w:p>
    <w:p w14:paraId="5F31181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对于体外诊断器械（IVD），临床有效性通常用临床性能指标进行评价，其中，此类指标可以量化诊断器械输出与受试者的真实状态一致程度，</w:t>
      </w:r>
      <w:r>
        <w:rPr>
          <w:rStyle w:val="18"/>
          <w:rFonts w:ascii="Arial" w:hAnsi="Arial" w:cs="Arial"/>
          <w:snapToGrid w:val="0"/>
        </w:rPr>
        <w:footnoteReference w:id="32"/>
      </w:r>
      <w:r>
        <w:rPr>
          <w:rFonts w:hint="eastAsia" w:ascii="Arial" w:hAnsi="Arial" w:cs="Arial"/>
          <w:snapToGrid w:val="0"/>
        </w:rPr>
        <w:t>即，其识别、量化、检测或预测事件或目标标准的精准程度，具体由临床参考标准确定。适当临床性能指标的选择取决于器械的预期用途、诊断器械输出的性质和临床参考标准。</w:t>
      </w:r>
    </w:p>
    <w:p w14:paraId="4381F4D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未进行新的前瞻性临床研究，在某些情况下，FDA可以接受特定于诊断，旨在产生证据，以证明申请上市前批准的IVD具有分析和临床有效性的替代实验设计。下文将给出一些示例，与此类示例类似的其他版本可以用于支持批准EAP器械。为了更好地了解特定于诊断，旨在产生证据，以证明申请上市前批准的IVD具有分析和临床有效性的实验设计，可以访问以下网址，搜索PMA数据库，获得其他IVD示例：</w:t>
      </w:r>
      <w:r>
        <w:fldChar w:fldCharType="begin"/>
      </w:r>
      <w:r>
        <w:instrText xml:space="preserve"> HYPERLINK "http://www.accessdata.fda.gov/scripts/cdrh/cfdocs/cfPMA/pma.cfm" \h </w:instrText>
      </w:r>
      <w:r>
        <w:fldChar w:fldCharType="separate"/>
      </w:r>
      <w:r>
        <w:rPr>
          <w:rFonts w:hint="eastAsia" w:ascii="Arial" w:hAnsi="Arial" w:cs="Arial"/>
          <w:snapToGrid w:val="0"/>
        </w:rPr>
        <w:t>http: //www.accessdata.fda.gov/scripts/cdrh/cfdocs/cfPMA/pma.cfm.</w:t>
      </w:r>
      <w:r>
        <w:rPr>
          <w:rFonts w:hint="eastAsia" w:ascii="Arial" w:hAnsi="Arial" w:cs="Arial"/>
          <w:snapToGrid w:val="0"/>
        </w:rPr>
        <w:fldChar w:fldCharType="end"/>
      </w:r>
    </w:p>
    <w:p w14:paraId="4A3DC56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如果先前前瞻性研究的库存样品代表了IVD的预期使用人群，证明此类样品可使待检测分析物稳定存在（即存储样本与新鲜样本的性能相同），用于该疾病和病症状态的现行护理标准适用于样品收集和研究期，且此类样品可获得与IVD拟定预期用途相关的临床结果（包括纵向随访，如果必要），则可以用研究性IVD分析此类样品，以确定其临床有效性。如果选择此路径，则在开始分析之前应该制定前瞻性统计分析计划。</w:t>
      </w:r>
    </w:p>
    <w:p w14:paraId="7B6471AA">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如果文献中已完全确定了生物标志物试验的临床有效性，则仅需提供证明基因试验可以准确检测该变体的分析数据。</w:t>
      </w:r>
    </w:p>
    <w:p w14:paraId="4C99326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对于用于罕见疾病或病症且其临床有效性已确定（即通过已发布文献确定）的试验，如果难以获得用于分析确定的临床样品或获取样品违背道德，可能使用人工样品。可以通过混合病毒、病原体或分析物与临床基质（例如全血或粪便）制备样品，但必须证明其与临床样本类似。对于非常罕见的突变，上市后临床研究可能不可行。申办方应自行确定用于支持批准的路径（可能是基于文献的路径）。申办方应该准备在提交前过程中讨论其方法。</w:t>
      </w:r>
    </w:p>
    <w:p w14:paraId="5E4A8752">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C890FB0">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申办方可以考虑将上述策略用于EAP器械的上市前组件。例如，虽然IVD满足EAP标准，但是难以全面完成批准所需的分析和／或临床评价，此时，如果在合理测定收益-风险后，确定安全性和有效性得到合理保证；进行了适当的分析试验；以及为确定临床性能拟定了一项可行、精心设计、科学合理的批准后研究，则可以使用初步证据（包括使用先前研究的库存样品，使用文献中的相关研究，使用人工样本来补充临床样品（包括代表性分析物）试验）来支持批准器械。以下是一些具体情景，仅用作示例：</w:t>
      </w:r>
    </w:p>
    <w:p w14:paraId="553437EF">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使用临床试验的库存样品进行的初步研究可以支持器械在标志物阳性和标志物阴性患者中的性能具有临床意义，且此研究的置信水平可以支持旨在解决未满足医疗需求的器械的上市前批准。然后，旨在进一步确定性能的批准后研究将要求从正在进行的适当研究中收集和测试其他样本，或者设计并进行新的前瞻性研究。</w:t>
      </w:r>
    </w:p>
    <w:p w14:paraId="42C37D7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适用于常见和罕见变体的基因检测可能取得快速审查PMA资格，条件是常见变体得到稳健的前瞻性临床评价支持，罕见变体得到初始临床数据支持，且已为预期性能范围提供临床证明（例如，阳性预测值的置信区间）。批准后研究应收集关于罕见变体的其他数据，以使分析和临床性能更明确。</w:t>
      </w:r>
    </w:p>
    <w:p w14:paraId="0E4AC574">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新IVD可以可靠识别罕见病症（如病毒性中枢神经系统感染），且满足重大未</w:t>
      </w:r>
      <w:r>
        <w:rPr>
          <w:rFonts w:hint="eastAsia" w:ascii="Arial" w:hAnsi="Arial" w:eastAsia="宋体" w:cs="Arial"/>
          <w:snapToGrid w:val="0"/>
          <w:sz w:val="24"/>
        </w:rPr>
        <w:t>满足</w:t>
      </w:r>
      <w:r>
        <w:rPr>
          <w:rFonts w:hint="eastAsia" w:ascii="Arial" w:hAnsi="Arial" w:eastAsia="宋体" w:cs="Arial"/>
          <w:snapToGrid w:val="0"/>
          <w:sz w:val="24"/>
          <w:szCs w:val="24"/>
        </w:rPr>
        <w:t>医疗需求。此时，此类感染的诊断可能难以进行且较为复杂。如果怀疑感染，由于未治疗感染的预后较差，必须实证治疗患者。目前，将此类试验推向市场的挑战很大，这在很大程度上是由于难以获得足够大的样品群体来适当测试器械的临床有效性。快速审查标准将方便器械开发公司评价器械的临床有效性。这将增加临床应用中安全有效器械的可用性。</w:t>
      </w:r>
    </w:p>
    <w:p w14:paraId="4538887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请注意，在某些情况下，FDA可能需要进行衔接性研究来评估各种变化（例如，贴标加工或存储，器械或软件修改）对分析和临床性能的潜在影响。可以在上市后收集的信息类型将取决于IVD、其预期用途和其他因素。因此，研究的更多细节（包括何时和如何进行衔接性研究）可能根据器械类型确定。申办方应准备在预提交过程中讨论其方法。</w:t>
      </w:r>
    </w:p>
    <w:p w14:paraId="79404928">
      <w:pPr>
        <w:pStyle w:val="7"/>
        <w:topLinePunct/>
        <w:adjustRightInd w:val="0"/>
        <w:snapToGrid w:val="0"/>
        <w:spacing w:after="224" w:afterLines="75" w:line="288" w:lineRule="auto"/>
        <w:ind w:left="0"/>
        <w:jc w:val="both"/>
        <w:rPr>
          <w:rFonts w:ascii="Arial" w:hAnsi="Arial" w:cs="Arial"/>
          <w:snapToGrid w:val="0"/>
          <w:szCs w:val="20"/>
        </w:rPr>
      </w:pPr>
      <w:r>
        <w:rPr>
          <w:rFonts w:hint="eastAsia" w:ascii="Arial" w:hAnsi="Arial" w:cs="Arial"/>
          <w:snapToGrid w:val="0"/>
        </w:rPr>
        <w:t>可能支持EAP项目下其他诊断的PMA批准的证据类型将取决于器械类型。示例包括：</w:t>
      </w:r>
    </w:p>
    <w:p w14:paraId="10B0485F">
      <w:pPr>
        <w:rPr>
          <w:rFonts w:ascii="Arial" w:hAnsi="Arial" w:eastAsia="宋体" w:cs="Arial"/>
          <w:snapToGrid w:val="0"/>
          <w:sz w:val="24"/>
          <w:szCs w:val="24"/>
        </w:rPr>
      </w:pPr>
      <w:bookmarkStart w:id="21" w:name="Companion_Diagnostic_Considerations"/>
      <w:bookmarkEnd w:id="21"/>
      <w:r>
        <w:rPr>
          <w:rFonts w:ascii="Arial" w:hAnsi="Arial" w:eastAsia="宋体" w:cs="Arial"/>
          <w:snapToGrid w:val="0"/>
          <w:sz w:val="24"/>
          <w:szCs w:val="24"/>
        </w:rPr>
        <w:br w:type="page"/>
      </w:r>
    </w:p>
    <w:p w14:paraId="5443B031">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具有纳米级光源的纳米摄影头，其将被注入血流并且传输内表面或斑块等的图像，以便准确支持动脉疾病诊断。</w:t>
      </w:r>
    </w:p>
    <w:p w14:paraId="1FA7E238">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新型成像器械，其将以极高准确度识别恶性乳腺癌，可以减少乳腺癌的死亡率和不必要的试验或治疗。</w:t>
      </w:r>
    </w:p>
    <w:p w14:paraId="4703788D">
      <w:pPr>
        <w:pStyle w:val="5"/>
        <w:topLinePunct/>
        <w:adjustRightInd w:val="0"/>
        <w:snapToGrid w:val="0"/>
        <w:spacing w:after="224" w:afterLines="75" w:line="288" w:lineRule="auto"/>
        <w:ind w:left="0"/>
        <w:jc w:val="both"/>
        <w:rPr>
          <w:rFonts w:ascii="Arial" w:hAnsi="Arial" w:cs="Arial"/>
          <w:b w:val="0"/>
          <w:bCs w:val="0"/>
          <w:snapToGrid w:val="0"/>
        </w:rPr>
      </w:pPr>
      <w:r>
        <w:rPr>
          <w:rFonts w:hint="eastAsia" w:ascii="Arial" w:hAnsi="Arial" w:cs="Arial"/>
          <w:snapToGrid w:val="0"/>
        </w:rPr>
        <w:t>伴随诊断考虑因素</w:t>
      </w:r>
    </w:p>
    <w:p w14:paraId="7AC0B5D0">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VD伴随诊断器械属于体外诊断器械，其提供对于安全和有效使用相应治疗产品至关重要的信息。应当注意，在咨询CDER或CBER后，将允许某些伴随诊断（不是全部，如果适用）使用快速审查PMA路径。如果伴随诊断的治疗组件正处于加速开发和审查阶段，CDRH不会自动同意其EAP指定（即罕见疾病指定，快速通道，加速批准，优先审查，和／或突破性治疗）。将根据具体情况确定EAP资格。</w:t>
      </w:r>
    </w:p>
    <w:p w14:paraId="797440F5">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虽然CDRH、CDER和CBER将合作进行产品审查，以简化过程并减轻申办方的负担，但申办方应负责协调其向FDA提交的材料，使得伴随诊断的审查时间表与相应治疗一致。申办方通过预提交过程请求EAP指定（有关此过程的详细信息，请参见附件1）时，将是否向伴随诊断授予EAP指定。申办方应讨论在预提交过程期间，同步审查伴随诊断的不同组件的需求。</w:t>
      </w:r>
    </w:p>
    <w:p w14:paraId="4DD3475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可能支持快速审查PMA下伴随诊断的PMA批准的证据类型将包括中间和替代终点以及临床终点。具体细节将取决于申办方提供的产品和研究建议。例如，如果基于替代终点通过加速药品批准路径审查终点，可以允许伴随诊断使用EAP路径。由于伴随诊断的安全性和有效性与治疗产品的安全性和有效性相关，IVD的替代终点应为确定可用于治疗产品的终点。该替代终点将使用CDER或CBER已建立的过程来确定。但，CDRH鼓励在预提交过程期间请求EAP时尽早讨论替代终点。因为伴随诊断的安全性和有效性取决于治疗产品，如果治疗组件未能通过验证性研究，将撤销伴随诊断的EAP状态，除非该器械以其他方式符合本指南中的标准。</w:t>
      </w:r>
    </w:p>
    <w:p w14:paraId="69D30F37">
      <w:pPr>
        <w:pStyle w:val="7"/>
        <w:topLinePunct/>
        <w:adjustRightInd w:val="0"/>
        <w:snapToGrid w:val="0"/>
        <w:spacing w:after="224" w:afterLines="75" w:line="288" w:lineRule="auto"/>
        <w:ind w:left="0"/>
        <w:jc w:val="both"/>
        <w:rPr>
          <w:rFonts w:ascii="Arial" w:hAnsi="Arial" w:cs="Arial"/>
          <w:snapToGrid w:val="0"/>
          <w:szCs w:val="20"/>
        </w:rPr>
      </w:pPr>
      <w:r>
        <w:rPr>
          <w:rFonts w:hint="eastAsia" w:ascii="Arial" w:hAnsi="Arial" w:cs="Arial"/>
          <w:snapToGrid w:val="0"/>
        </w:rPr>
        <w:t>在某些情况下（例如试验将多个分析物结并入一组），可能没有可用于直接分析比较的参考方法。在此类情况下，可以使用解决分析性能的其他方法。可以在请求EAP指定的预提交过程中讨论此类考虑因素（有关EAP指定过程的更多信息，请参见</w:t>
      </w:r>
      <w:r>
        <w:rPr>
          <w:rFonts w:hint="eastAsia" w:ascii="Arial" w:hAnsi="Arial" w:cs="Arial"/>
          <w:snapToGrid w:val="0"/>
          <w:u w:val="single"/>
        </w:rPr>
        <w:t>附件1</w:t>
      </w:r>
      <w:r>
        <w:rPr>
          <w:rFonts w:hint="eastAsia" w:ascii="Arial" w:hAnsi="Arial" w:cs="Arial"/>
          <w:snapToGrid w:val="0"/>
        </w:rPr>
        <w:t>）。</w:t>
      </w:r>
    </w:p>
    <w:p w14:paraId="4C111D77">
      <w:pPr>
        <w:rPr>
          <w:rFonts w:ascii="Arial" w:hAnsi="Arial" w:eastAsia="宋体" w:cs="Arial"/>
          <w:b/>
          <w:bCs/>
          <w:snapToGrid w:val="0"/>
          <w:sz w:val="24"/>
          <w:szCs w:val="28"/>
        </w:rPr>
      </w:pPr>
      <w:bookmarkStart w:id="22" w:name="Manufacturing_Considerations_for_EAP_Dev"/>
      <w:bookmarkEnd w:id="22"/>
      <w:r>
        <w:rPr>
          <w:rFonts w:ascii="Arial" w:hAnsi="Arial" w:cs="Arial"/>
          <w:snapToGrid w:val="0"/>
          <w:sz w:val="24"/>
        </w:rPr>
        <w:br w:type="page"/>
      </w:r>
    </w:p>
    <w:p w14:paraId="7D674CC3">
      <w:pPr>
        <w:pStyle w:val="4"/>
        <w:numPr>
          <w:ilvl w:val="0"/>
          <w:numId w:val="9"/>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临床证据来源</w:t>
      </w:r>
    </w:p>
    <w:p w14:paraId="6B705180">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临床证据来源可能包括与器械使用相关的前瞻性临床研究或回顾性数据，例如在注册表中收集的数据或适用于美国人群的OUS数据。在所有情况下，信息应为21 CFR中定义的有效科学证据860.7 (C)（2）。</w:t>
      </w:r>
    </w:p>
    <w:p w14:paraId="7AC38D64">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3" w:name="_Toc498643266"/>
      <w:r>
        <w:rPr>
          <w:rFonts w:hint="eastAsia" w:ascii="Arial" w:hAnsi="Arial" w:cs="Arial"/>
          <w:snapToGrid w:val="0"/>
          <w:sz w:val="28"/>
        </w:rPr>
        <w:t>受PMA监管的EAP器械的制造考虑因素</w:t>
      </w:r>
      <w:bookmarkEnd w:id="23"/>
    </w:p>
    <w:p w14:paraId="4977429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具体情况，FDA可以酌情减少申办方应在其PMA中提供的EAP器械相关制造信息，例如，当申办方具有良好的质量体系符合性，且没有可对产品质量或性能产生不利影响的新型特殊制造问题时。请注意，器械必须符合质量体系（QS）法规（QS规范），并且申办方必须在PMA中提交充分信息以满足FD&amp;C法案第515（c）（1）（C）条和21 CFR 814.20（b）（4）（v）的要求。与其他PMA一样，EAP器械申办方应提交其PMA信息，如FDA指南</w:t>
      </w:r>
      <w:r>
        <w:rPr>
          <w:rFonts w:hint="eastAsia" w:ascii="宋体" w:hAnsi="宋体" w:cs="Arial"/>
          <w:snapToGrid w:val="0"/>
        </w:rPr>
        <w:t>“</w:t>
      </w:r>
      <w:r>
        <w:rPr>
          <w:rFonts w:hint="eastAsia" w:ascii="Arial" w:hAnsi="Arial" w:cs="Arial"/>
          <w:snapToGrid w:val="0"/>
          <w:color w:val="0000FF"/>
          <w:u w:val="single" w:color="0000FF"/>
        </w:rPr>
        <w:t>用于某些上市前申请</w:t>
      </w:r>
      <w:r>
        <w:fldChar w:fldCharType="begin"/>
      </w:r>
      <w:r>
        <w:instrText xml:space="preserve"> HYPERLINK "http://www.fda.gov/MedicalDevices/DeviceRegulationandGuidance/GuidanceDocuments/ucm070897.htm" </w:instrText>
      </w:r>
      <w:r>
        <w:fldChar w:fldCharType="separate"/>
      </w:r>
      <w:r>
        <w:rPr>
          <w:rStyle w:val="17"/>
          <w:rFonts w:hint="eastAsia" w:ascii="Arial" w:hAnsi="Arial" w:cs="Arial"/>
          <w:snapToGrid w:val="0"/>
          <w:u w:color="0000FF"/>
        </w:rPr>
        <w:t>审查</w:t>
      </w:r>
      <w:r>
        <w:rPr>
          <w:rStyle w:val="17"/>
          <w:rFonts w:hint="eastAsia" w:ascii="Arial" w:hAnsi="Arial" w:cs="Arial"/>
          <w:snapToGrid w:val="0"/>
          <w:u w:color="0000FF"/>
        </w:rPr>
        <w:fldChar w:fldCharType="end"/>
      </w:r>
      <w:r>
        <w:rPr>
          <w:rFonts w:hint="eastAsia" w:ascii="Arial" w:hAnsi="Arial" w:cs="Arial"/>
          <w:snapToGrid w:val="0"/>
          <w:color w:val="0000FF"/>
          <w:u w:val="single" w:color="0000FF"/>
        </w:rPr>
        <w:t>的质量体系信息</w:t>
      </w:r>
      <w:r>
        <w:rPr>
          <w:rFonts w:hint="eastAsia" w:ascii="宋体" w:hAnsi="宋体" w:cs="Arial"/>
          <w:snapToGrid w:val="0"/>
        </w:rPr>
        <w:t>“</w:t>
      </w:r>
      <w:r>
        <w:rPr>
          <w:rFonts w:hint="eastAsia" w:ascii="Arial" w:hAnsi="Arial" w:cs="Arial"/>
          <w:snapToGrid w:val="0"/>
        </w:rPr>
        <w:t>所述（2003年2月3日发布）。</w:t>
      </w:r>
      <w:r>
        <w:rPr>
          <w:rStyle w:val="18"/>
          <w:rFonts w:ascii="Arial" w:hAnsi="Arial" w:cs="Arial"/>
          <w:snapToGrid w:val="0"/>
        </w:rPr>
        <w:footnoteReference w:id="33"/>
      </w:r>
    </w:p>
    <w:p w14:paraId="659F1A4A">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如果适用，FDA可能会酌情放弃进行EAP器械上市前审查要求的某些制造地点检查，并在批准产品后进行此类检查。一般来说，FDA将审查申办方的质量体系和制造信息，并决定是否检查成品器械制造地点，具体如下：</w:t>
      </w:r>
    </w:p>
    <w:p w14:paraId="2052E05C">
      <w:pPr>
        <w:pStyle w:val="20"/>
        <w:numPr>
          <w:ilvl w:val="1"/>
          <w:numId w:val="3"/>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在批准EPA器械前，将检查先前未检查或距离上次检查已经5年或以上（从申请提交之日起计）的成品器械制造地点。</w:t>
      </w:r>
    </w:p>
    <w:p w14:paraId="5A9BCA2F">
      <w:pPr>
        <w:pStyle w:val="20"/>
        <w:numPr>
          <w:ilvl w:val="1"/>
          <w:numId w:val="3"/>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在批准EPA器械后，将检查已在提交PMA后2年内检查，检查结果为</w:t>
      </w:r>
      <w:r>
        <w:rPr>
          <w:rFonts w:hint="eastAsia" w:ascii="宋体" w:hAnsi="宋体" w:eastAsia="宋体" w:cs="Arial"/>
          <w:snapToGrid w:val="0"/>
          <w:sz w:val="24"/>
          <w:szCs w:val="24"/>
        </w:rPr>
        <w:t>“</w:t>
      </w:r>
      <w:r>
        <w:rPr>
          <w:rFonts w:hint="eastAsia" w:ascii="Arial" w:hAnsi="Arial" w:eastAsia="宋体" w:cs="Arial"/>
          <w:snapToGrid w:val="0"/>
          <w:sz w:val="24"/>
          <w:szCs w:val="24"/>
        </w:rPr>
        <w:t>无需采取行动或自愿采取行动</w:t>
      </w:r>
      <w:r>
        <w:rPr>
          <w:rFonts w:hint="eastAsia" w:ascii="宋体" w:hAnsi="宋体" w:eastAsia="宋体" w:cs="Arial"/>
          <w:snapToGrid w:val="0"/>
          <w:sz w:val="24"/>
          <w:szCs w:val="24"/>
        </w:rPr>
        <w:t>”</w:t>
      </w:r>
      <w:r>
        <w:rPr>
          <w:rFonts w:hint="eastAsia" w:ascii="Arial" w:hAnsi="Arial" w:eastAsia="宋体" w:cs="Arial"/>
          <w:snapToGrid w:val="0"/>
          <w:sz w:val="24"/>
          <w:szCs w:val="24"/>
        </w:rPr>
        <w:t>以及检查范围与该PMA相关的成品器械制造地点。</w:t>
      </w:r>
    </w:p>
    <w:p w14:paraId="476D680E">
      <w:pPr>
        <w:pStyle w:val="20"/>
        <w:numPr>
          <w:ilvl w:val="1"/>
          <w:numId w:val="3"/>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批准EPA器械后，如果除在PMA中提交FD&amp;C法案第515（c）条和21 CFR 814.20所需的所有其他信息外，申办方还提交了以下信息，则将检查已在提交PMA后2年至5年内检查，检查结果为</w:t>
      </w:r>
      <w:r>
        <w:rPr>
          <w:rFonts w:hint="eastAsia" w:ascii="宋体" w:hAnsi="宋体" w:eastAsia="宋体" w:cs="Arial"/>
          <w:snapToGrid w:val="0"/>
          <w:sz w:val="24"/>
          <w:szCs w:val="24"/>
        </w:rPr>
        <w:t>“</w:t>
      </w:r>
      <w:r>
        <w:rPr>
          <w:rFonts w:hint="eastAsia" w:ascii="Arial" w:hAnsi="Arial" w:eastAsia="宋体" w:cs="Arial"/>
          <w:snapToGrid w:val="0"/>
          <w:sz w:val="24"/>
          <w:szCs w:val="24"/>
        </w:rPr>
        <w:t>无需采取行动或自愿采取行动</w:t>
      </w:r>
      <w:r>
        <w:rPr>
          <w:rFonts w:hint="eastAsia" w:ascii="宋体" w:hAnsi="宋体" w:eastAsia="宋体" w:cs="Arial"/>
          <w:snapToGrid w:val="0"/>
          <w:sz w:val="24"/>
          <w:szCs w:val="24"/>
        </w:rPr>
        <w:t>”</w:t>
      </w:r>
      <w:r>
        <w:rPr>
          <w:rFonts w:hint="eastAsia" w:ascii="Arial" w:hAnsi="Arial" w:eastAsia="宋体" w:cs="Arial"/>
          <w:snapToGrid w:val="0"/>
          <w:sz w:val="24"/>
          <w:szCs w:val="24"/>
        </w:rPr>
        <w:t>以及检查范围与该PMA相关的成品器械制造地点：</w:t>
      </w:r>
    </w:p>
    <w:p w14:paraId="2CB27552">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31C28F83">
      <w:pPr>
        <w:pStyle w:val="20"/>
        <w:numPr>
          <w:ilvl w:val="2"/>
          <w:numId w:val="3"/>
        </w:numPr>
        <w:topLinePunct/>
        <w:adjustRightInd w:val="0"/>
        <w:snapToGrid w:val="0"/>
        <w:spacing w:after="224" w:afterLines="75" w:line="288" w:lineRule="auto"/>
        <w:ind w:left="1841" w:leftChars="580" w:hanging="565"/>
        <w:jc w:val="both"/>
        <w:rPr>
          <w:rFonts w:ascii="Arial" w:hAnsi="Arial" w:eastAsia="宋体" w:cs="Arial"/>
          <w:snapToGrid w:val="0"/>
          <w:sz w:val="24"/>
          <w:szCs w:val="24"/>
        </w:rPr>
      </w:pPr>
      <w:bookmarkStart w:id="24" w:name="Conditions_of_Approval_for_EAP_Devices_S"/>
      <w:bookmarkEnd w:id="24"/>
      <w:r>
        <w:rPr>
          <w:rFonts w:hint="eastAsia" w:ascii="Arial" w:hAnsi="Arial" w:eastAsia="宋体" w:cs="Arial"/>
          <w:snapToGrid w:val="0"/>
          <w:sz w:val="24"/>
          <w:szCs w:val="24"/>
        </w:rPr>
        <w:t>表明该中心的所有活动符合</w:t>
      </w:r>
      <w:r>
        <w:rPr>
          <w:rFonts w:hint="eastAsia" w:ascii="宋体" w:hAnsi="宋体" w:eastAsia="宋体" w:cs="Arial"/>
          <w:snapToGrid w:val="0"/>
          <w:sz w:val="24"/>
          <w:szCs w:val="24"/>
        </w:rPr>
        <w:t>“</w:t>
      </w:r>
      <w:r>
        <w:rPr>
          <w:rFonts w:hint="eastAsia" w:ascii="Arial" w:hAnsi="Arial" w:eastAsia="宋体" w:cs="Arial"/>
          <w:snapToGrid w:val="0"/>
          <w:sz w:val="24"/>
          <w:szCs w:val="24"/>
        </w:rPr>
        <w:t>质量体系法规</w:t>
      </w:r>
      <w:r>
        <w:rPr>
          <w:rFonts w:hint="eastAsia" w:ascii="宋体" w:hAnsi="宋体" w:eastAsia="宋体" w:cs="Arial"/>
          <w:snapToGrid w:val="0"/>
          <w:sz w:val="24"/>
          <w:szCs w:val="24"/>
        </w:rPr>
        <w:t>”</w:t>
      </w:r>
      <w:r>
        <w:rPr>
          <w:rFonts w:hint="eastAsia" w:ascii="Arial" w:hAnsi="Arial" w:eastAsia="宋体" w:cs="Arial"/>
          <w:snapToGrid w:val="0"/>
          <w:sz w:val="24"/>
          <w:szCs w:val="24"/>
        </w:rPr>
        <w:t>（21 CFR第820部分）的声明；以及，</w:t>
      </w:r>
    </w:p>
    <w:p w14:paraId="7CC64CC4">
      <w:pPr>
        <w:pStyle w:val="20"/>
        <w:numPr>
          <w:ilvl w:val="2"/>
          <w:numId w:val="3"/>
        </w:numPr>
        <w:topLinePunct/>
        <w:adjustRightInd w:val="0"/>
        <w:snapToGrid w:val="0"/>
        <w:spacing w:after="224" w:afterLines="75" w:line="288" w:lineRule="auto"/>
        <w:ind w:left="1841" w:leftChars="580" w:hanging="565"/>
        <w:jc w:val="both"/>
        <w:rPr>
          <w:rFonts w:ascii="Arial" w:hAnsi="Arial" w:eastAsia="宋体" w:cs="Arial"/>
          <w:snapToGrid w:val="0"/>
          <w:sz w:val="24"/>
          <w:szCs w:val="24"/>
        </w:rPr>
      </w:pPr>
      <w:r>
        <w:rPr>
          <w:rFonts w:hint="eastAsia" w:ascii="Arial" w:hAnsi="Arial" w:eastAsia="宋体" w:cs="Arial"/>
          <w:snapToGrid w:val="0"/>
          <w:sz w:val="24"/>
          <w:szCs w:val="24"/>
        </w:rPr>
        <w:t>证明为进行设计确认【21 CFR 820.30 (g)】，申办方已进行许多风险分析活动，其中包括评估与器械的设计、制造和使用相关的风险，并已将风险降低到适当水平的信息；例如，使用ISO 14971：2007</w:t>
      </w:r>
      <w:r>
        <w:rPr>
          <w:rFonts w:hint="eastAsia" w:ascii="宋体" w:hAnsi="宋体" w:eastAsia="宋体" w:cs="Arial"/>
          <w:snapToGrid w:val="0"/>
          <w:sz w:val="24"/>
          <w:szCs w:val="24"/>
        </w:rPr>
        <w:t>“</w:t>
      </w:r>
      <w:r>
        <w:rPr>
          <w:rFonts w:hint="eastAsia" w:ascii="Arial" w:hAnsi="Arial" w:eastAsia="宋体" w:cs="Arial"/>
          <w:snapToGrid w:val="0"/>
          <w:sz w:val="24"/>
          <w:szCs w:val="24"/>
        </w:rPr>
        <w:t>医疗器械-医疗器械风险管理应用</w:t>
      </w:r>
      <w:r>
        <w:rPr>
          <w:rFonts w:hint="eastAsia" w:ascii="宋体" w:hAnsi="宋体" w:eastAsia="宋体" w:cs="Arial"/>
          <w:snapToGrid w:val="0"/>
          <w:sz w:val="24"/>
          <w:szCs w:val="24"/>
        </w:rPr>
        <w:t>”</w:t>
      </w:r>
      <w:r>
        <w:rPr>
          <w:rFonts w:hint="eastAsia" w:ascii="Arial" w:hAnsi="Arial" w:eastAsia="宋体" w:cs="Arial"/>
          <w:snapToGrid w:val="0"/>
          <w:sz w:val="24"/>
          <w:szCs w:val="24"/>
        </w:rPr>
        <w:t>等标准。</w:t>
      </w:r>
    </w:p>
    <w:p w14:paraId="1178E70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如果在批准EAP器械的PMA之前未进行检查，FDA将在批准后12个月内进行检查。如果适用，在进行检查后，如果检查结果为</w:t>
      </w:r>
      <w:r>
        <w:rPr>
          <w:rFonts w:hint="eastAsia" w:ascii="宋体" w:hAnsi="宋体" w:cs="Arial"/>
          <w:snapToGrid w:val="0"/>
        </w:rPr>
        <w:t>“</w:t>
      </w:r>
      <w:r>
        <w:rPr>
          <w:rFonts w:hint="eastAsia" w:ascii="Arial" w:hAnsi="Arial" w:cs="Arial"/>
          <w:snapToGrid w:val="0"/>
        </w:rPr>
        <w:t>需要采取官方行动</w:t>
      </w:r>
      <w:r>
        <w:rPr>
          <w:rFonts w:hint="eastAsia" w:ascii="宋体" w:hAnsi="宋体" w:cs="Arial"/>
          <w:snapToGrid w:val="0"/>
        </w:rPr>
        <w:t>”</w:t>
      </w:r>
      <w:r>
        <w:rPr>
          <w:rFonts w:hint="eastAsia" w:ascii="Arial" w:hAnsi="Arial" w:cs="Arial"/>
          <w:snapToGrid w:val="0"/>
        </w:rPr>
        <w:t>，且申办方在收到书面通知后，</w:t>
      </w:r>
      <w:r>
        <w:rPr>
          <w:rStyle w:val="18"/>
          <w:rFonts w:ascii="Arial" w:hAnsi="Arial" w:cs="Arial"/>
          <w:snapToGrid w:val="0"/>
        </w:rPr>
        <w:footnoteReference w:id="34"/>
      </w:r>
      <w:r>
        <w:rPr>
          <w:rFonts w:hint="eastAsia" w:ascii="Arial" w:hAnsi="Arial" w:cs="Arial"/>
          <w:snapToGrid w:val="0"/>
        </w:rPr>
        <w:t>仍未遵守QS规范，FDA可以考虑据此根据FD&amp;C法案第515（e）（1）（E）条撤销PMA。</w:t>
      </w:r>
    </w:p>
    <w:p w14:paraId="1CF4851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在此说明，如果PMA申办方的制造地点尚未准备好接受检查或已检查，且检查结果为</w:t>
      </w:r>
      <w:r>
        <w:rPr>
          <w:rFonts w:hint="eastAsia" w:ascii="宋体" w:hAnsi="宋体" w:cs="Arial"/>
          <w:snapToGrid w:val="0"/>
        </w:rPr>
        <w:t>“</w:t>
      </w:r>
      <w:r>
        <w:rPr>
          <w:rFonts w:hint="eastAsia" w:ascii="Arial" w:hAnsi="Arial" w:cs="Arial"/>
          <w:snapToGrid w:val="0"/>
        </w:rPr>
        <w:t>需要采取官方行动</w:t>
      </w:r>
      <w:r>
        <w:rPr>
          <w:rFonts w:hint="eastAsia" w:ascii="宋体" w:hAnsi="宋体" w:cs="Arial"/>
          <w:snapToGrid w:val="0"/>
        </w:rPr>
        <w:t>”</w:t>
      </w:r>
      <w:r>
        <w:rPr>
          <w:rFonts w:hint="eastAsia" w:ascii="Arial" w:hAnsi="Arial" w:cs="Arial"/>
          <w:snapToGrid w:val="0"/>
        </w:rPr>
        <w:t>，FDA将向申办方出具可批准的PMA函件，在确定申办方符合QS规范后，将正式批准PMA。请注意，这适用于自己制造器械PMA申办方或打算让另一实体制造其器械以便在美国进行商业分销的申办方。在本机构充分确保制造商符合适用的质量体系，本机构通常会在批准该产品。</w:t>
      </w:r>
    </w:p>
    <w:p w14:paraId="14E214A0">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5" w:name="_Toc498643267"/>
      <w:r>
        <w:rPr>
          <w:rFonts w:hint="eastAsia" w:ascii="Arial" w:hAnsi="Arial" w:cs="Arial"/>
          <w:snapToGrid w:val="0"/>
          <w:sz w:val="28"/>
        </w:rPr>
        <w:t>受PMA监管的EAP器械的批准条件</w:t>
      </w:r>
      <w:bookmarkEnd w:id="25"/>
    </w:p>
    <w:p w14:paraId="2189524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了使患者尽早获得有可能解决未满足医疗需求的器械，批准受PMA监管的EAP器械时，由于允许在上市后，而不是在上市前收集某些数据，同时仍然确保满足上市前批准的法定标准（即安全性和有效性得到合理保证），因此可以接受批准时器械的收益-风险特征仍具有较高的不确定性程度。因此，FDA可能会向EAP项目加入某些上市后要求，包括根据21 CFR 814.82 (a)（2）要求持续评价和定期报告此类器械对于其预期用途的安全性、有效性和可靠性，以作为受PMA监管的EAP器械的批准条件。此类上市后数据将使本机构能够以更高的确定性程度评估此类器械的风险和收益，以及保护患者安全，采取下文第III.G节所述的适当上市后行动（如果必要）。</w:t>
      </w:r>
    </w:p>
    <w:p w14:paraId="553C6C78">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如果可以促进器械的安全有效使用，FDA也可以根据21CFR 814.82 (a)（3）施加EAP器械标签要求</w:t>
      </w:r>
      <w:r>
        <w:rPr>
          <w:rFonts w:ascii="Arial" w:hAnsi="Arial" w:cs="Arial"/>
          <w:snapToGrid w:val="0"/>
        </w:rPr>
        <w:t>作为批准</w:t>
      </w:r>
      <w:r>
        <w:rPr>
          <w:rFonts w:hint="eastAsia" w:ascii="Arial" w:hAnsi="Arial" w:cs="Arial"/>
          <w:snapToGrid w:val="0"/>
        </w:rPr>
        <w:t>条件（例如，为了确保患者和医疗保健提供者完整和准确了解器械的收益和风险）。此外，如果可以确保此类器械的安全性和有效性得到合理保证，FDA可以根据21 CFR 814.82 (a)（1）限制器械销售、分销或使用，以</w:t>
      </w:r>
      <w:r>
        <w:rPr>
          <w:rFonts w:ascii="Arial" w:hAnsi="Arial" w:cs="Arial"/>
          <w:snapToGrid w:val="0"/>
        </w:rPr>
        <w:t>作为批准</w:t>
      </w:r>
      <w:r>
        <w:rPr>
          <w:rFonts w:hint="eastAsia" w:ascii="Arial" w:hAnsi="Arial" w:cs="Arial"/>
          <w:snapToGrid w:val="0"/>
        </w:rPr>
        <w:t>条件。</w:t>
      </w:r>
    </w:p>
    <w:p w14:paraId="1D1DF3BC">
      <w:pPr>
        <w:pStyle w:val="4"/>
        <w:numPr>
          <w:ilvl w:val="0"/>
          <w:numId w:val="10"/>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批准后研究</w:t>
      </w:r>
    </w:p>
    <w:p w14:paraId="6E6C3A0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可以在批准后收集数据，FDA可能会将其作为批准条件。此类研究可能包括临床和非临床试验。可以在批准后研究获得的信息类型取决于器械类型及其预期用途。FDA要求在数据开发计划中提供批准后研究的设计和时间表。此外，批准命令将指定商定时间表，供申办方完成批准后研究，进行分析并将数据提交给FDA。如果适用，FDA可以命令申办方根据FD&amp;C法第522条进行上市监测，替代批准后研究。</w:t>
      </w:r>
      <w:r>
        <w:rPr>
          <w:rStyle w:val="18"/>
          <w:rFonts w:ascii="Arial" w:hAnsi="Arial" w:cs="Arial"/>
          <w:snapToGrid w:val="0"/>
        </w:rPr>
        <w:footnoteReference w:id="35"/>
      </w:r>
      <w:r>
        <w:rPr>
          <w:rFonts w:hint="eastAsia" w:ascii="Arial" w:hAnsi="Arial" w:cs="Arial"/>
          <w:snapToGrid w:val="0"/>
        </w:rPr>
        <w:t>21 CFR 814.82要求进行的批准后研究示例包括：</w:t>
      </w:r>
    </w:p>
    <w:p w14:paraId="0B609E1F">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有关抗肿瘤药物抗性试验的批准后研究提供了如何临床应用试验结果的信息，进一步保证了其预期用途的安全性和有效性，有助于对照体内反应或缺乏反应评估体外肿瘤抗性，并支持器械的可靠性，验证了控制措施和临界值。此类信息可以解决标签上列出的限制。</w:t>
      </w:r>
    </w:p>
    <w:p w14:paraId="51E4BA82">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有关用于确定闭合患者之前手术肿瘤边缘切除是否成功的试验的批准后研究确定了相对于现实生活手术经验，获得临床有用结果的时间。</w:t>
      </w:r>
    </w:p>
    <w:p w14:paraId="34D62EA5">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批准后研究旨在评估试剂修改的临床有效性，以支持台架试验证据，即修改对试验结果没有影响。</w:t>
      </w:r>
    </w:p>
    <w:p w14:paraId="0BF3CBB2">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如果需要进行批准后研究，通常应在批准后6个月内开始，并且应在批准后3年内完成、分析并提交给FDA。 FDA和申办方将在开发数据开发计划期间设计批准后研究时考虑此类时间表。</w:t>
      </w:r>
    </w:p>
    <w:p w14:paraId="35A2F1B9">
      <w:pPr>
        <w:pStyle w:val="4"/>
        <w:numPr>
          <w:ilvl w:val="0"/>
          <w:numId w:val="10"/>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批准后研究的报告要求</w:t>
      </w:r>
    </w:p>
    <w:p w14:paraId="41B762C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FDA可以根据21 CFR 814.82 (a)（2）要求定期针对器械预期用途报告器械的安全性，有效性和可靠性（例如定期报告状态和临时数据或所需上市后数据收集的分析）。需要提交的报告将在批准后命令中提供。有关更多信息，请参见</w:t>
      </w:r>
      <w:r>
        <w:rPr>
          <w:rFonts w:hint="eastAsia" w:ascii="宋体" w:hAnsi="宋体" w:cs="Arial"/>
          <w:snapToGrid w:val="0"/>
        </w:rPr>
        <w:t>“</w:t>
      </w:r>
      <w:r>
        <w:rPr>
          <w:rFonts w:hint="eastAsia" w:ascii="Arial" w:hAnsi="Arial" w:cs="Arial"/>
          <w:snapToGrid w:val="0"/>
        </w:rPr>
        <w:t>行业及FDA工作人员指南：PMA命令要求的批准后研究的处理程序</w:t>
      </w:r>
      <w:r>
        <w:rPr>
          <w:rFonts w:hint="eastAsia" w:ascii="宋体" w:hAnsi="宋体" w:cs="Arial"/>
          <w:snapToGrid w:val="0"/>
        </w:rPr>
        <w:t>”</w:t>
      </w:r>
      <w:r>
        <w:rPr>
          <w:rFonts w:hint="eastAsia" w:ascii="Arial" w:hAnsi="Arial" w:cs="Arial"/>
          <w:snapToGrid w:val="0"/>
        </w:rPr>
        <w:t>，网址：</w:t>
      </w:r>
      <w:r>
        <w:fldChar w:fldCharType="begin"/>
      </w:r>
      <w:r>
        <w:instrText xml:space="preserve"> HYPERLINK "http://www.fda.gov/downloads/MedicalDevices/DeviceRegulationandGuidance/GuidanceDocu" \h </w:instrText>
      </w:r>
      <w:r>
        <w:fldChar w:fldCharType="separate"/>
      </w:r>
      <w:r>
        <w:rPr>
          <w:rFonts w:hint="eastAsia" w:ascii="Arial" w:hAnsi="Arial" w:cs="Arial"/>
          <w:snapToGrid w:val="0"/>
        </w:rPr>
        <w:t>http: //www.fda.gov/downloads/MedicalDevices/DeviceRegulationandGuidance/GuidanceDocu</w:t>
      </w:r>
      <w:r>
        <w:rPr>
          <w:rFonts w:hint="eastAsia" w:ascii="Arial" w:hAnsi="Arial" w:cs="Arial"/>
          <w:snapToGrid w:val="0"/>
        </w:rPr>
        <w:fldChar w:fldCharType="end"/>
      </w:r>
      <w:r>
        <w:rPr>
          <w:rFonts w:hint="eastAsia" w:ascii="Arial" w:hAnsi="Arial" w:cs="Arial"/>
          <w:snapToGrid w:val="0"/>
        </w:rPr>
        <w:t>ments/ucm071013.pdf.</w:t>
      </w:r>
    </w:p>
    <w:p w14:paraId="6F98F778">
      <w:pPr>
        <w:rPr>
          <w:rFonts w:ascii="Arial" w:hAnsi="Arial" w:eastAsia="宋体" w:cs="Arial"/>
          <w:b/>
          <w:bCs/>
          <w:snapToGrid w:val="0"/>
          <w:sz w:val="24"/>
          <w:szCs w:val="28"/>
        </w:rPr>
      </w:pPr>
      <w:bookmarkStart w:id="26" w:name="Postmarket_Actions_for_EAP_Devices_Subje"/>
      <w:bookmarkEnd w:id="26"/>
      <w:r>
        <w:rPr>
          <w:rFonts w:ascii="Arial" w:hAnsi="Arial" w:cs="Arial"/>
          <w:snapToGrid w:val="0"/>
          <w:sz w:val="24"/>
        </w:rPr>
        <w:br w:type="page"/>
      </w:r>
    </w:p>
    <w:p w14:paraId="7741C111">
      <w:pPr>
        <w:pStyle w:val="4"/>
        <w:numPr>
          <w:ilvl w:val="0"/>
          <w:numId w:val="10"/>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标签</w:t>
      </w:r>
    </w:p>
    <w:p w14:paraId="3C75D86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根据21 CFR 814.82 (a)（3），如果可以促进器械的安全有效使用（例如，有关器械使用风险和收益的信息），FDA可以将某些标签要求作为PMA批准条件。任何标签要求将在批准命令中提供。一般来说，应在以下时间段考虑特定于EAP过程的某些标签问题：（1）FDA批准适应症时；（2）成功完成作为批准条件的批准后研究后；或（3）FDA撤销一个或多个适应症的批准后，其中，此类品种根据EAP器械批准授予，而该器械的标签包括其他核准适应症。</w:t>
      </w:r>
    </w:p>
    <w:p w14:paraId="4A42894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在上市后而不是上市前收集数据，通过快速审查路径项目批准的器械标签应简要描述预期收益和风险的不确定性以及支持批准和所需批准后研究的数据范围。例如，如果因为用于支持批准的替代终点有可能预测临床收益，但未得到确认，因此，尚未确定预期临床收益，则应在标签中说明这一点，并描述尚未完全确定的临床收益以及简要描述批准后研究。如果以高于平常的不确定性批准了该器械，则标签应描述器械收益和风险的不确定性，并明确声明此不确定性高于平常。标签应提供类似于以下内容的语言：</w:t>
      </w:r>
      <w:r>
        <w:rPr>
          <w:rFonts w:hint="eastAsia" w:ascii="宋体" w:hAnsi="宋体" w:cs="Arial"/>
          <w:snapToGrid w:val="0"/>
        </w:rPr>
        <w:t>“</w:t>
      </w:r>
      <w:r>
        <w:rPr>
          <w:rFonts w:hint="eastAsia" w:ascii="Arial" w:hAnsi="Arial" w:cs="Arial"/>
          <w:snapToGrid w:val="0"/>
        </w:rPr>
        <w:t>有关此器械批准条件的更多信息，请访问FDA网站：http: //www.accessdata.fda.gov/scripts/cdrh/cfdocs/cfpma/pma.cfm</w:t>
      </w:r>
      <w:r>
        <w:rPr>
          <w:rFonts w:hint="eastAsia" w:ascii="宋体" w:hAnsi="宋体" w:cs="Arial"/>
          <w:snapToGrid w:val="0"/>
        </w:rPr>
        <w:t>”</w:t>
      </w:r>
      <w:r>
        <w:rPr>
          <w:rFonts w:hint="eastAsia" w:ascii="Arial" w:hAnsi="Arial" w:cs="Arial"/>
          <w:snapToGrid w:val="0"/>
        </w:rPr>
        <w:t>。</w:t>
      </w:r>
    </w:p>
    <w:p w14:paraId="6D97467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器械标签应明确界定使用适应症，包括研究的特定患者人群（例如，研究了器械X是否可用于治疗人群Z中的疾病Y），并说明将在批准后研究的患者人群。</w:t>
      </w:r>
    </w:p>
    <w:p w14:paraId="58D08C42">
      <w:pPr>
        <w:pStyle w:val="4"/>
        <w:numPr>
          <w:ilvl w:val="0"/>
          <w:numId w:val="10"/>
        </w:numPr>
        <w:tabs>
          <w:tab w:val="left" w:pos="519"/>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使用注册表</w:t>
      </w:r>
    </w:p>
    <w:p w14:paraId="5C955F15">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在某些情况下，可以使用注册表中的数据来满足批准研究条件的要求。提供注册表数据可能有助于确定器械的安全性和有效性，或验证提交给本机构的记录、报告或信息【21 CFR 814.82 (a)】。</w:t>
      </w:r>
    </w:p>
    <w:p w14:paraId="5D57E24A">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7" w:name="_Toc498643268"/>
      <w:r>
        <w:rPr>
          <w:rFonts w:hint="eastAsia" w:ascii="Arial" w:hAnsi="Arial" w:cs="Arial"/>
          <w:snapToGrid w:val="0"/>
          <w:sz w:val="28"/>
        </w:rPr>
        <w:t>受PMA监管的EAP器械的上市后行动</w:t>
      </w:r>
      <w:bookmarkEnd w:id="27"/>
    </w:p>
    <w:p w14:paraId="6B10714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所需批准条件，申办方或FDA可以在上市后采取若干行动（如果适用），具体取决于申办方是否进行和完成所需批准后研究，并且及时向FDA提交批准命令中规定的研究数据以及研究结果。如果申办方未满足所需批准条件包括未能启动或完成批准命令中针对该器械规定的批准后研究），FDA可能会采取执行行动。</w:t>
      </w:r>
    </w:p>
    <w:p w14:paraId="136997DD">
      <w:pPr>
        <w:rPr>
          <w:rFonts w:ascii="Arial" w:hAnsi="Arial" w:eastAsia="宋体" w:cs="Arial"/>
          <w:snapToGrid w:val="0"/>
          <w:sz w:val="24"/>
          <w:szCs w:val="24"/>
        </w:rPr>
      </w:pPr>
      <w:r>
        <w:rPr>
          <w:rFonts w:ascii="Arial" w:hAnsi="Arial" w:cs="Arial"/>
          <w:snapToGrid w:val="0"/>
        </w:rPr>
        <w:br w:type="page"/>
      </w:r>
    </w:p>
    <w:p w14:paraId="4A0AB85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此外，如FDA于2009年6月15日发布的指南</w:t>
      </w:r>
      <w:r>
        <w:rPr>
          <w:rFonts w:hint="eastAsia" w:ascii="宋体" w:hAnsi="宋体" w:cs="Arial"/>
          <w:snapToGrid w:val="0"/>
        </w:rPr>
        <w:t>“</w:t>
      </w:r>
      <w:r>
        <w:rPr>
          <w:rFonts w:hint="eastAsia" w:ascii="Arial" w:hAnsi="Arial" w:cs="Arial"/>
          <w:snapToGrid w:val="0"/>
          <w:color w:val="0000FF"/>
          <w:u w:val="single" w:color="0000FF"/>
        </w:rPr>
        <w:t>PMA命令</w:t>
      </w:r>
      <w:r>
        <w:fldChar w:fldCharType="begin"/>
      </w:r>
      <w:r>
        <w:instrText xml:space="preserve"> HYPERLINK "http://www.fda.gov/MedicalDevices/DeviceRegulationandGuidance/GuidanceDocuments/ucm070974.htm" </w:instrText>
      </w:r>
      <w:r>
        <w:fldChar w:fldCharType="separate"/>
      </w:r>
      <w:r>
        <w:rPr>
          <w:rStyle w:val="17"/>
          <w:rFonts w:hint="eastAsia" w:ascii="Arial" w:hAnsi="Arial" w:cs="Arial"/>
          <w:snapToGrid w:val="0"/>
          <w:u w:color="0000FF"/>
        </w:rPr>
        <w:t>要求</w:t>
      </w:r>
      <w:r>
        <w:rPr>
          <w:rStyle w:val="17"/>
          <w:rFonts w:hint="eastAsia" w:ascii="Arial" w:hAnsi="Arial" w:cs="Arial"/>
          <w:snapToGrid w:val="0"/>
          <w:u w:color="0000FF"/>
        </w:rPr>
        <w:fldChar w:fldCharType="end"/>
      </w:r>
      <w:r>
        <w:rPr>
          <w:rFonts w:hint="eastAsia" w:ascii="Arial" w:hAnsi="Arial" w:cs="Arial"/>
          <w:snapToGrid w:val="0"/>
          <w:color w:val="0000FF"/>
          <w:u w:val="single" w:color="0000FF"/>
        </w:rPr>
        <w:t>的批准后研究的处理程序</w:t>
      </w:r>
      <w:r>
        <w:rPr>
          <w:rFonts w:hint="eastAsia" w:ascii="宋体" w:hAnsi="宋体" w:cs="Arial"/>
          <w:snapToGrid w:val="0"/>
        </w:rPr>
        <w:t>”</w:t>
      </w:r>
      <w:r>
        <w:rPr>
          <w:rFonts w:hint="eastAsia" w:ascii="Arial" w:hAnsi="Arial" w:cs="Arial"/>
          <w:snapToGrid w:val="0"/>
        </w:rPr>
        <w:t>（</w:t>
      </w:r>
      <w:r>
        <w:rPr>
          <w:rFonts w:hint="eastAsia" w:ascii="宋体" w:hAnsi="宋体" w:cs="Arial"/>
          <w:snapToGrid w:val="0"/>
        </w:rPr>
        <w:t>“</w:t>
      </w:r>
      <w:r>
        <w:rPr>
          <w:rFonts w:hint="eastAsia" w:ascii="Arial" w:hAnsi="Arial" w:cs="Arial"/>
          <w:snapToGrid w:val="0"/>
        </w:rPr>
        <w:t>批准后指南</w:t>
      </w:r>
      <w:r>
        <w:rPr>
          <w:rFonts w:hint="eastAsia" w:ascii="宋体" w:hAnsi="宋体" w:cs="Arial"/>
          <w:snapToGrid w:val="0"/>
        </w:rPr>
        <w:t>”</w:t>
      </w:r>
      <w:r>
        <w:rPr>
          <w:rFonts w:hint="eastAsia" w:ascii="Arial" w:hAnsi="Arial" w:cs="Arial"/>
          <w:snapToGrid w:val="0"/>
        </w:rPr>
        <w:t>）所述，</w:t>
      </w:r>
      <w:r>
        <w:rPr>
          <w:rStyle w:val="18"/>
          <w:rFonts w:ascii="Arial" w:hAnsi="Arial" w:cs="Arial"/>
          <w:snapToGrid w:val="0"/>
        </w:rPr>
        <w:footnoteReference w:id="36"/>
      </w:r>
      <w:r>
        <w:rPr>
          <w:rFonts w:hint="eastAsia" w:ascii="Arial" w:hAnsi="Arial" w:cs="Arial"/>
          <w:snapToGrid w:val="0"/>
        </w:rPr>
        <w:t xml:space="preserve"> FDA在FDA网站上发布了有关批准后器械研究的某些信息，网址：</w:t>
      </w:r>
      <w:r>
        <w:rPr>
          <w:rFonts w:hint="eastAsia" w:ascii="Arial" w:hAnsi="Arial" w:cs="Arial"/>
          <w:snapToGrid w:val="0"/>
          <w:color w:val="0000FF"/>
          <w:u w:val="single" w:color="0000FF"/>
        </w:rPr>
        <w:t>http://www.</w:t>
      </w:r>
      <w:r>
        <w:fldChar w:fldCharType="begin"/>
      </w:r>
      <w:r>
        <w:instrText xml:space="preserve"> HYPERLINK "http://www.accessdata.fda.gov/scripts/cdrh/cfdocs/cfPMA/PMA_pas.cfm" </w:instrText>
      </w:r>
      <w:r>
        <w:fldChar w:fldCharType="separate"/>
      </w:r>
      <w:r>
        <w:rPr>
          <w:rStyle w:val="17"/>
          <w:rFonts w:hint="eastAsia" w:ascii="Arial" w:hAnsi="Arial" w:cs="Arial"/>
          <w:snapToGrid w:val="0"/>
          <w:u w:color="0000FF"/>
        </w:rPr>
        <w:t>accessdata</w:t>
      </w:r>
      <w:r>
        <w:rPr>
          <w:rStyle w:val="17"/>
          <w:rFonts w:hint="eastAsia" w:ascii="Arial" w:hAnsi="Arial" w:cs="Arial"/>
          <w:snapToGrid w:val="0"/>
          <w:u w:color="0000FF"/>
        </w:rPr>
        <w:fldChar w:fldCharType="end"/>
      </w:r>
      <w:r>
        <w:rPr>
          <w:rFonts w:hint="eastAsia" w:ascii="Arial" w:hAnsi="Arial" w:cs="Arial"/>
          <w:snapToGrid w:val="0"/>
          <w:color w:val="0000FF"/>
          <w:u w:val="single" w:color="0000FF"/>
        </w:rPr>
        <w:t>.fda.gov/scripts/ cdrh/cfdocs/cfPMA/PMA_pas.cfm</w:t>
      </w:r>
      <w:r>
        <w:rPr>
          <w:rFonts w:hint="eastAsia" w:ascii="Arial" w:hAnsi="Arial" w:cs="Arial"/>
          <w:snapToGrid w:val="0"/>
        </w:rPr>
        <w:t>。FDA打算在FDA的快速审查PMA项目批准器械网站上单独针对EAP器械发布该信息，以便根据适用机密规则和政策，增加EAP器械上市后数据收集状态对公众的透明度。此类信息将包括研究目的，完成研究的时间表，进行分析和给FDA的提交材料以及研究状态。</w:t>
      </w:r>
    </w:p>
    <w:p w14:paraId="4E92EA6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申办方或FDA可在上市后采取的行动包括但不限于：</w:t>
      </w:r>
    </w:p>
    <w:p w14:paraId="6C04A511">
      <w:pPr>
        <w:pStyle w:val="4"/>
        <w:numPr>
          <w:ilvl w:val="0"/>
          <w:numId w:val="1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提交PMA补充材料</w:t>
      </w:r>
    </w:p>
    <w:p w14:paraId="2429B2E5">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如果申办方进行了可以影响器械安全性或有效性的更改，则在进行批准后研究后，可能需要根据21 CFR 814.39（a）向FDA提交研究结果，即向FDA提交PMA补充材料。示例包括但不限于缩小或扩大器械使用适应症、标签更改以及性能或设计规格更改。</w:t>
      </w:r>
    </w:p>
    <w:p w14:paraId="5E27DC8B">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b w:val="0"/>
          <w:snapToGrid w:val="0"/>
        </w:rPr>
        <w:t>标签更改</w:t>
      </w:r>
    </w:p>
    <w:p w14:paraId="3084966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批准后研究的结果，申办方可以在获得FDA批准后修改器械标签，以反映在批准后研究中直接建立临床收益的人群和条件，包括扩大使用适应症，缩小使用适应症，或删除或修改标签中有关核准使用适应症不确定性水平的语言。申办方可以决定在获得FDA批准后，修改其他标签部分（例如禁忌症、警告、注意事项、不良事件和临床研究），确保根据新数据，标签充分描述了器械的安全性和有效性。</w:t>
      </w:r>
    </w:p>
    <w:p w14:paraId="017F492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重要的是，有关器械的上市后信息可以更改器械标签中所需的信息。例如，关于不良事件的新信息可能需要对器械标签的使用说明书或警告或注意事项部分进行更改，确保器械符合第502（f)条和21 CFR第801和809部分（如适用）。在审查批准后研究报告时，FDA可以根据研究结果，与申办方讨论是否应对标签进行更改，以确保器械标签提供充分的使用说明。</w:t>
      </w:r>
    </w:p>
    <w:p w14:paraId="783CA6E4">
      <w:pPr>
        <w:pStyle w:val="4"/>
        <w:numPr>
          <w:ilvl w:val="0"/>
          <w:numId w:val="1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安全通信</w:t>
      </w:r>
    </w:p>
    <w:p w14:paraId="2128482F">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7A44A30">
      <w:pPr>
        <w:pStyle w:val="7"/>
        <w:topLinePunct/>
        <w:adjustRightInd w:val="0"/>
        <w:snapToGrid w:val="0"/>
        <w:spacing w:after="224" w:afterLines="75" w:line="288" w:lineRule="auto"/>
        <w:ind w:left="0"/>
        <w:rPr>
          <w:rFonts w:ascii="Arial" w:hAnsi="Arial" w:cs="Arial"/>
          <w:snapToGrid w:val="0"/>
        </w:rPr>
      </w:pPr>
      <w:r>
        <w:fldChar w:fldCharType="begin"/>
      </w:r>
      <w:r>
        <w:instrText xml:space="preserve"> HYPERLINK "file:///\\\\shundajiayi\\翻译客户\\翻译客户\\交流中心\\2017\\9月\\0928石慧\\需要翻译的指导原则（三）\\需要翻译的指导原则（三）\\在某些情况下，FDA可能会发布安全通信以保护公共卫生，例如批准后研究引起新的安全问题，但FDA认为安全性和有效性仍得到合理保证。%20有关安全通信的信息，请访问FDA网站：http:\\www.fda.gov\\MedicalDevices\\Safety\\AlertsandNotices\\default.htm." </w:instrText>
      </w:r>
      <w:r>
        <w:fldChar w:fldCharType="separate"/>
      </w:r>
      <w:r>
        <w:rPr>
          <w:rFonts w:hint="eastAsia" w:ascii="Arial" w:hAnsi="Arial" w:cs="Arial"/>
          <w:snapToGrid w:val="0"/>
        </w:rPr>
        <w:t>在某些情况下，FDA可能会发布安全通信以保护公共卫生，例如批准后研究引起新的安全问题，但FDA认为安全性和有效性仍得到合理保证。有关安全通信的信息，请访问FDA网站：</w:t>
      </w:r>
      <w:r>
        <w:rPr>
          <w:rStyle w:val="17"/>
          <w:rFonts w:hint="eastAsia" w:ascii="Arial" w:hAnsi="Arial" w:cs="Arial"/>
          <w:snapToGrid w:val="0"/>
          <w:color w:val="auto"/>
        </w:rPr>
        <w:t>http: //www.fda.gov/MedicalDevices/Safety/AlertsandNotices/default.htm.</w:t>
      </w:r>
      <w:r>
        <w:rPr>
          <w:rStyle w:val="17"/>
          <w:rFonts w:hint="eastAsia" w:ascii="Arial" w:hAnsi="Arial" w:cs="Arial"/>
          <w:snapToGrid w:val="0"/>
          <w:color w:val="auto"/>
        </w:rPr>
        <w:fldChar w:fldCharType="end"/>
      </w:r>
    </w:p>
    <w:p w14:paraId="7DCBC9EC">
      <w:pPr>
        <w:pStyle w:val="4"/>
        <w:numPr>
          <w:ilvl w:val="0"/>
          <w:numId w:val="1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小组会议</w:t>
      </w:r>
    </w:p>
    <w:p w14:paraId="55387C84">
      <w:pPr>
        <w:pStyle w:val="7"/>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如批准后指南中所述，在考虑批准后研究进展或数据时，例如研究结果可能难以解释时，FDA可能会咨询小组的建议。</w:t>
      </w:r>
      <w:r>
        <w:rPr>
          <w:rStyle w:val="18"/>
          <w:rFonts w:ascii="Arial" w:hAnsi="Arial" w:cs="Arial"/>
          <w:snapToGrid w:val="0"/>
        </w:rPr>
        <w:footnoteReference w:id="37"/>
      </w:r>
    </w:p>
    <w:p w14:paraId="20ECE727">
      <w:pPr>
        <w:pStyle w:val="4"/>
        <w:numPr>
          <w:ilvl w:val="0"/>
          <w:numId w:val="1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4"/>
        </w:rPr>
      </w:pPr>
      <w:r>
        <w:rPr>
          <w:rFonts w:hint="eastAsia" w:ascii="Arial" w:hAnsi="Arial" w:cs="Arial"/>
          <w:snapToGrid w:val="0"/>
          <w:sz w:val="24"/>
        </w:rPr>
        <w:t>行政和执行行动</w:t>
      </w:r>
    </w:p>
    <w:p w14:paraId="1EF0C260">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上所述，适当平衡上市前和上市后数据收集——具体来说，更依赖于上市后收集（如果适用）——可以减少上提交市前数据的次数，直接影响患者可以获得高质量、安全有效医疗器械的时间。但是，如果未进行必要和及时的数据收集，更依赖于上市后数据收集可能会危害患者的安全。</w:t>
      </w:r>
    </w:p>
    <w:p w14:paraId="4DAC2A5C">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为了保护患者的安全，如果本机构认为，根据所需批准后研究或其他来源的数据，无法保证</w:t>
      </w:r>
      <w:r>
        <w:rPr>
          <w:rFonts w:ascii="Arial" w:hAnsi="Arial" w:cs="Arial"/>
          <w:snapToGrid w:val="0"/>
        </w:rPr>
        <w:t>器械在</w:t>
      </w:r>
      <w:r>
        <w:rPr>
          <w:rFonts w:hint="eastAsia" w:ascii="Arial" w:hAnsi="Arial" w:cs="Arial"/>
          <w:snapToGrid w:val="0"/>
        </w:rPr>
        <w:t>使用条件下具有</w:t>
      </w:r>
      <w:r>
        <w:rPr>
          <w:rFonts w:ascii="Arial" w:hAnsi="Arial" w:cs="Arial"/>
          <w:snapToGrid w:val="0"/>
        </w:rPr>
        <w:t>安全性和有效性，或</w:t>
      </w:r>
      <w:r>
        <w:rPr>
          <w:rFonts w:hint="eastAsia" w:ascii="Arial" w:hAnsi="Arial" w:cs="Arial"/>
          <w:snapToGrid w:val="0"/>
        </w:rPr>
        <w:t>如果申办方未满足21 CFR 814.82规定的批准条件，包括未能启动或完成批准命令中指定的批准后研究，FDA可能会采取各种行动。例如，未能遵守21 CFR 814.82 (a)（2）规定的某些批准后要求可能导致根据FD&amp;C法案502 (t)（2）认定该器械为假冒产品，并构成FD&amp;C法案第301（q）（1）（B）条所禁止的行为，从而可能导致扣押、禁令和／或民事罚款。未能遵守21 CFR 814.82 (a)（3）规定的批准后要求可能会导致FD&amp;C法第502条认定该器械为假冒产品。</w:t>
      </w:r>
    </w:p>
    <w:p w14:paraId="2620F26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承认，批准命令中规定用于完成批准后研究，进行分析和向本机构提交数据的商定时间表仅为最佳估计，且可能会出现申办方无法控制的情况，此类情况可能会对申办方及时完成批准后研究的能力产生不利影响。因此，如果适用，FDA将适当放宽用于完成批准后研究并向本机构提交数据的时间框架要求。时间框架见本文档第F（1）节。申办方应通知FDA所有预期延迟。</w:t>
      </w:r>
    </w:p>
    <w:p w14:paraId="412D604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根据FD&amp;C法案第515（e）条和第21 CFR 814.46，如果</w:t>
      </w:r>
      <w:r>
        <w:rPr>
          <w:rFonts w:ascii="Arial" w:hAnsi="Arial" w:cs="Arial"/>
          <w:snapToGrid w:val="0"/>
        </w:rPr>
        <w:t>出现以下情况，</w:t>
      </w:r>
      <w:r>
        <w:rPr>
          <w:rFonts w:hint="eastAsia" w:ascii="Arial" w:hAnsi="Arial" w:cs="Arial"/>
          <w:snapToGrid w:val="0"/>
        </w:rPr>
        <w:t>FDA可能会撤销EAP器械的PMA批准：</w:t>
      </w:r>
    </w:p>
    <w:p w14:paraId="31ECF172">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rPr>
      </w:pPr>
      <w:r>
        <w:rPr>
          <w:rFonts w:hint="eastAsia" w:ascii="Arial" w:hAnsi="Arial" w:eastAsia="宋体" w:cs="Arial"/>
          <w:snapToGrid w:val="0"/>
          <w:sz w:val="24"/>
        </w:rPr>
        <w:t>根据所需批准后研究的数据，或与此类器械有关的其他新信息，以及批准PMA时提供给FDA的证据，FDA认为，无法合理保证器械在标签规定、推荐或建议的使用条件下具有安全性或有效性；</w:t>
      </w:r>
    </w:p>
    <w:p w14:paraId="029E5B65">
      <w:pPr>
        <w:rPr>
          <w:rFonts w:ascii="Arial" w:hAnsi="Arial" w:eastAsia="宋体" w:cs="Arial"/>
          <w:snapToGrid w:val="0"/>
          <w:sz w:val="24"/>
          <w:szCs w:val="24"/>
        </w:rPr>
      </w:pPr>
      <w:r>
        <w:rPr>
          <w:rFonts w:ascii="Arial" w:hAnsi="Arial" w:eastAsia="宋体" w:cs="Arial"/>
          <w:snapToGrid w:val="0"/>
          <w:sz w:val="24"/>
          <w:szCs w:val="24"/>
        </w:rPr>
        <w:br w:type="page"/>
      </w:r>
    </w:p>
    <w:p w14:paraId="3EF7D5A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申办方未能满足PMA批准命令所规定的任何批准后要求，包括未能在批准命令确定的时间内完成批准后要求；或</w:t>
      </w:r>
    </w:p>
    <w:p w14:paraId="40DAE502">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根据新信息</w:t>
      </w:r>
      <w:r>
        <w:rPr>
          <w:rFonts w:hint="eastAsia" w:ascii="Arial" w:hAnsi="Arial" w:eastAsia="宋体" w:cs="Arial"/>
          <w:snapToGrid w:val="0"/>
          <w:sz w:val="24"/>
        </w:rPr>
        <w:t>以及批准PMA时提供给FDA的证据</w:t>
      </w:r>
      <w:r>
        <w:rPr>
          <w:rFonts w:hint="eastAsia" w:ascii="Arial" w:hAnsi="Arial" w:eastAsia="宋体" w:cs="Arial"/>
          <w:snapToGrid w:val="0"/>
          <w:sz w:val="24"/>
          <w:szCs w:val="24"/>
        </w:rPr>
        <w:t>，FDA认为，基于对所有重要事实的公正评价，该标签的所有细节均不真实或具有误导性，且在收到FDA书面通知后，未在合理时间内纠正该标签。</w:t>
      </w:r>
    </w:p>
    <w:p w14:paraId="1E00BDC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如果FDA确定有撤销理由，本机构将询问申办方是否愿意根据21 CFR 814.37（d）自愿要求撤销批准。如果申办方不愿自愿要求本机构撤销批准，FDA将发出允许根据21 CFR第16部分要求举行非正式听证会的通知，并借此通知申办方FDA决定撤销批准。</w:t>
      </w:r>
      <w:r>
        <w:rPr>
          <w:rStyle w:val="18"/>
          <w:rFonts w:ascii="Arial" w:hAnsi="Arial" w:cs="Arial"/>
          <w:snapToGrid w:val="0"/>
        </w:rPr>
        <w:footnoteReference w:id="38"/>
      </w:r>
      <w:r>
        <w:rPr>
          <w:rFonts w:hint="eastAsia" w:ascii="Arial" w:hAnsi="Arial" w:cs="Arial"/>
          <w:snapToGrid w:val="0"/>
        </w:rPr>
        <w:t>如果申办方不要求举行听证会，或者如果在举行第16部分听证会后，FDA决定继续撤销批准，FDA将向申办方出具命令，撤销申请批准。</w:t>
      </w:r>
      <w:r>
        <w:rPr>
          <w:rStyle w:val="18"/>
          <w:rFonts w:ascii="Arial" w:hAnsi="Arial" w:cs="Arial"/>
          <w:snapToGrid w:val="0"/>
        </w:rPr>
        <w:footnoteReference w:id="39"/>
      </w:r>
      <w:r>
        <w:rPr>
          <w:rFonts w:hint="eastAsia" w:ascii="Arial" w:hAnsi="Arial" w:cs="Arial"/>
          <w:snapToGrid w:val="0"/>
        </w:rPr>
        <w:t>该命令将根据21 CFR 814.17出具，将说明撤销批准的每个理由，并将通知允许根据FD&amp;C法第515 (e)（2）条要求进行行政复议。FDA将根据21 CFR 814.46（e）公布撤销PMA批准的命令。</w:t>
      </w:r>
    </w:p>
    <w:p w14:paraId="700A945E">
      <w:pPr>
        <w:pStyle w:val="3"/>
        <w:numPr>
          <w:ilvl w:val="0"/>
          <w:numId w:val="3"/>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8" w:name="_Toc498643269"/>
      <w:r>
        <w:rPr>
          <w:rFonts w:hint="eastAsia" w:ascii="Arial" w:hAnsi="Arial" w:cs="Arial"/>
          <w:snapToGrid w:val="0"/>
          <w:sz w:val="28"/>
        </w:rPr>
        <w:t>项目评价</w:t>
      </w:r>
      <w:bookmarkEnd w:id="28"/>
    </w:p>
    <w:p w14:paraId="0A47376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自本指南生效之日起1年以及随后3年的每一年，FDA打算对EAP项目进行评估，向公众报告以下内容：</w:t>
      </w:r>
    </w:p>
    <w:p w14:paraId="2830AC47">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当年FDA收到的EAP指定请求数量；</w:t>
      </w:r>
    </w:p>
    <w:p w14:paraId="1F1E3460">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当年FDA批准的EAP指定请求数量；</w:t>
      </w:r>
    </w:p>
    <w:p w14:paraId="2810B4E2">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当年批准并被指定为EAP的PMA数量；</w:t>
      </w:r>
    </w:p>
    <w:p w14:paraId="7D5CD323">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当年同意并指定为EAP的再次申请请求数量；</w:t>
      </w:r>
    </w:p>
    <w:p w14:paraId="68EF4D50">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当年进行上市后研究的EAP器械数量；</w:t>
      </w:r>
    </w:p>
    <w:p w14:paraId="5C5CC858">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对于当年完成的每项上市后研究，研究结果描述；以及，</w:t>
      </w:r>
    </w:p>
    <w:p w14:paraId="698307DC">
      <w:pPr>
        <w:pStyle w:val="20"/>
        <w:numPr>
          <w:ilvl w:val="1"/>
          <w:numId w:val="9"/>
        </w:numPr>
        <w:topLinePunct/>
        <w:adjustRightInd w:val="0"/>
        <w:snapToGrid w:val="0"/>
        <w:spacing w:after="224" w:afterLines="75" w:line="288" w:lineRule="auto"/>
        <w:ind w:left="849" w:leftChars="193"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对于在EAP下批准的每个器械，针对该器械报告的严重不良事件数量以及器械是否被撤回或召回。</w:t>
      </w:r>
    </w:p>
    <w:p w14:paraId="019BB0D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在这段时期结束时，FDA打算确定是否应对EAP项目做出任何更改。</w:t>
      </w:r>
    </w:p>
    <w:p w14:paraId="20EA08E2">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5784D5CE">
      <w:pPr>
        <w:topLinePunct/>
        <w:adjustRightInd w:val="0"/>
        <w:snapToGrid w:val="0"/>
        <w:spacing w:after="224" w:afterLines="75" w:line="288" w:lineRule="auto"/>
        <w:jc w:val="center"/>
        <w:rPr>
          <w:rFonts w:ascii="Arial" w:hAnsi="Arial" w:eastAsia="宋体" w:cs="Arial"/>
          <w:b/>
          <w:snapToGrid w:val="0"/>
          <w:sz w:val="36"/>
        </w:rPr>
      </w:pPr>
      <w:bookmarkStart w:id="29" w:name="When_to_Request_EAP_Designation"/>
      <w:bookmarkEnd w:id="29"/>
      <w:bookmarkStart w:id="30" w:name="II._Content_of_a_Request_for_EAP_Designa"/>
      <w:bookmarkEnd w:id="30"/>
      <w:r>
        <w:rPr>
          <w:rFonts w:hint="eastAsia" w:ascii="Arial" w:hAnsi="Arial" w:eastAsia="宋体" w:cs="Arial"/>
          <w:b/>
          <w:snapToGrid w:val="0"/>
          <w:sz w:val="36"/>
        </w:rPr>
        <w:t>附件1</w:t>
      </w:r>
    </w:p>
    <w:p w14:paraId="0E3AD230">
      <w:pPr>
        <w:topLinePunct/>
        <w:adjustRightInd w:val="0"/>
        <w:snapToGrid w:val="0"/>
        <w:spacing w:after="224" w:afterLines="75" w:line="288" w:lineRule="auto"/>
        <w:jc w:val="center"/>
        <w:rPr>
          <w:rFonts w:ascii="Arial" w:hAnsi="Arial" w:eastAsia="宋体" w:cs="Arial"/>
          <w:snapToGrid w:val="0"/>
          <w:sz w:val="36"/>
          <w:szCs w:val="40"/>
        </w:rPr>
      </w:pPr>
      <w:r>
        <w:rPr>
          <w:rFonts w:hint="eastAsia" w:ascii="Arial" w:hAnsi="Arial" w:eastAsia="宋体" w:cs="Arial"/>
          <w:b/>
          <w:snapToGrid w:val="0"/>
          <w:sz w:val="36"/>
        </w:rPr>
        <w:t>快速审查路径过程</w:t>
      </w:r>
    </w:p>
    <w:p w14:paraId="1883EE13">
      <w:pPr>
        <w:pStyle w:val="20"/>
        <w:numPr>
          <w:ilvl w:val="0"/>
          <w:numId w:val="3"/>
        </w:numPr>
        <w:tabs>
          <w:tab w:val="left" w:pos="840"/>
        </w:tabs>
        <w:topLinePunct/>
        <w:adjustRightInd w:val="0"/>
        <w:snapToGrid w:val="0"/>
        <w:spacing w:after="224" w:afterLines="75" w:line="288" w:lineRule="auto"/>
        <w:ind w:left="0" w:firstLine="0"/>
        <w:jc w:val="both"/>
        <w:rPr>
          <w:rFonts w:ascii="Arial" w:hAnsi="Arial" w:eastAsia="宋体" w:cs="Arial"/>
          <w:snapToGrid w:val="0"/>
          <w:sz w:val="32"/>
          <w:szCs w:val="28"/>
        </w:rPr>
      </w:pPr>
      <w:r>
        <w:rPr>
          <w:rFonts w:hint="eastAsia" w:ascii="Arial" w:hAnsi="Arial" w:eastAsia="宋体" w:cs="Arial"/>
          <w:b/>
          <w:snapToGrid w:val="0"/>
          <w:sz w:val="32"/>
        </w:rPr>
        <w:t>何时请求EAP指定</w:t>
      </w:r>
    </w:p>
    <w:p w14:paraId="02AE979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如果申办方开发的器械可能有资格获得EAP指定，并打算参与该项目，则其应提交预提交材料，如FDA的</w:t>
      </w:r>
      <w:r>
        <w:fldChar w:fldCharType="begin"/>
      </w:r>
      <w:r>
        <w:instrText xml:space="preserve"> HYPERLINK "http://www.fda.gov/MedicalDevices/DeviceRegulationandGuidance/GuidanceDocuments/ucm310375.htm" </w:instrText>
      </w:r>
      <w:r>
        <w:fldChar w:fldCharType="separate"/>
      </w:r>
      <w:r>
        <w:rPr>
          <w:rStyle w:val="17"/>
          <w:rFonts w:hint="eastAsia" w:ascii="宋体" w:hAnsi="宋体" w:cs="Arial"/>
          <w:snapToGrid w:val="0"/>
        </w:rPr>
        <w:t>“</w:t>
      </w:r>
      <w:r>
        <w:rPr>
          <w:rStyle w:val="17"/>
          <w:rFonts w:hint="eastAsia" w:ascii="Arial" w:hAnsi="Arial" w:cs="Arial"/>
          <w:snapToGrid w:val="0"/>
          <w:u w:color="0000FF"/>
        </w:rPr>
        <w:t>预提交指南</w:t>
      </w:r>
      <w:r>
        <w:rPr>
          <w:rStyle w:val="17"/>
          <w:rFonts w:hint="eastAsia" w:ascii="宋体" w:hAnsi="宋体" w:cs="Arial"/>
          <w:snapToGrid w:val="0"/>
        </w:rPr>
        <w:t>”</w:t>
      </w:r>
      <w:r>
        <w:rPr>
          <w:rStyle w:val="17"/>
          <w:rFonts w:hint="eastAsia" w:ascii="宋体" w:hAnsi="宋体" w:cs="Arial"/>
          <w:snapToGrid w:val="0"/>
        </w:rPr>
        <w:fldChar w:fldCharType="end"/>
      </w:r>
      <w:r>
        <w:rPr>
          <w:rFonts w:hint="eastAsia" w:ascii="Arial" w:hAnsi="Arial" w:cs="Arial"/>
          <w:snapToGrid w:val="0"/>
        </w:rPr>
        <w:t>所述。</w:t>
      </w:r>
      <w:r>
        <w:rPr>
          <w:rStyle w:val="18"/>
          <w:rFonts w:ascii="Arial" w:hAnsi="Arial" w:cs="Arial"/>
          <w:snapToGrid w:val="0"/>
        </w:rPr>
        <w:footnoteReference w:id="40"/>
      </w:r>
      <w:r>
        <w:rPr>
          <w:rFonts w:hint="eastAsia" w:ascii="Arial" w:hAnsi="Arial" w:cs="Arial"/>
          <w:snapToGrid w:val="0"/>
        </w:rPr>
        <w:t>应在早期开发阶段考虑本指南前述EAP标准因素。因此，在大多数情况下，申办方应在开始IDE关键研究之前提交EAP指定的预提交材料。不强制要求参与EAP项目，完全由申办方自愿决定。如果FDA确定器械可能符合该项目条件，但申办方尚未提交请求EAP指定的预提交材料，则FDA会通知申办方该项目。</w:t>
      </w:r>
    </w:p>
    <w:p w14:paraId="5F9EB57A">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如果申办方有意参与该项目，FDA强烈建议，应就计划非临床和临床研究与FDA进行早期互动，以便FDA为申办方提供数据开发计划草案的早期反馈意见。</w:t>
      </w:r>
    </w:p>
    <w:p w14:paraId="78200948">
      <w:pPr>
        <w:pStyle w:val="20"/>
        <w:numPr>
          <w:ilvl w:val="0"/>
          <w:numId w:val="12"/>
        </w:numPr>
        <w:tabs>
          <w:tab w:val="left" w:pos="840"/>
        </w:tabs>
        <w:topLinePunct/>
        <w:adjustRightInd w:val="0"/>
        <w:snapToGrid w:val="0"/>
        <w:spacing w:after="224" w:afterLines="75" w:line="288" w:lineRule="auto"/>
        <w:ind w:left="0" w:firstLine="0"/>
        <w:jc w:val="both"/>
        <w:rPr>
          <w:rFonts w:ascii="Arial" w:hAnsi="Arial" w:eastAsia="宋体" w:cs="Arial"/>
          <w:snapToGrid w:val="0"/>
          <w:sz w:val="32"/>
          <w:szCs w:val="32"/>
        </w:rPr>
      </w:pPr>
      <w:r>
        <w:rPr>
          <w:rFonts w:hint="eastAsia" w:ascii="Arial" w:hAnsi="Arial" w:eastAsia="宋体" w:cs="Arial"/>
          <w:b/>
          <w:snapToGrid w:val="0"/>
          <w:sz w:val="32"/>
          <w:szCs w:val="32"/>
        </w:rPr>
        <w:t>EAP指定请求的内容</w:t>
      </w:r>
    </w:p>
    <w:p w14:paraId="7C036304">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要求获得EAP指定的申办方应提交预提交材料，其中包含推荐在预提交材料中提供的信息，如预提交指南所述。此外，FDA建议申办方在预提交材料中提供以下信息：</w:t>
      </w:r>
    </w:p>
    <w:p w14:paraId="43E131C0">
      <w:pPr>
        <w:pStyle w:val="20"/>
        <w:numPr>
          <w:ilvl w:val="1"/>
          <w:numId w:val="12"/>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讨论为什么器械符合本指南第</w:t>
      </w:r>
      <w:r>
        <w:rPr>
          <w:rFonts w:hint="eastAsia" w:ascii="Arial" w:hAnsi="Arial" w:eastAsia="宋体" w:cs="Arial"/>
          <w:snapToGrid w:val="0"/>
          <w:sz w:val="24"/>
        </w:rPr>
        <w:t>III.C</w:t>
      </w:r>
      <w:r>
        <w:rPr>
          <w:rFonts w:hint="eastAsia" w:ascii="Arial" w:hAnsi="Arial" w:eastAsia="宋体" w:cs="Arial"/>
          <w:snapToGrid w:val="0"/>
          <w:sz w:val="24"/>
          <w:szCs w:val="24"/>
        </w:rPr>
        <w:t>节所述EAP标准，包括任何相关的支持性证明文件。</w:t>
      </w:r>
    </w:p>
    <w:p w14:paraId="1C47A81E">
      <w:pPr>
        <w:pStyle w:val="20"/>
        <w:numPr>
          <w:ilvl w:val="1"/>
          <w:numId w:val="12"/>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szCs w:val="24"/>
        </w:rPr>
        <w:t>描述上市前和上市后数据收集的数据开发计划草案以及上市前和上市后数据收集拟定平衡方法的解释和说明。此外，申办方应提供器械开发和上市以及上市后数据收集的时间表。关于应数据开发计划草案中将提供的一般信息的建议，请参见</w:t>
      </w:r>
      <w:r>
        <w:rPr>
          <w:rFonts w:hint="eastAsia" w:ascii="Arial" w:hAnsi="Arial" w:eastAsia="宋体" w:cs="Arial"/>
          <w:snapToGrid w:val="0"/>
          <w:sz w:val="24"/>
          <w:szCs w:val="24"/>
          <w:u w:val="single"/>
        </w:rPr>
        <w:t>附件2</w:t>
      </w:r>
      <w:r>
        <w:rPr>
          <w:rFonts w:hint="eastAsia" w:ascii="Arial" w:hAnsi="Arial" w:eastAsia="宋体" w:cs="Arial"/>
          <w:snapToGrid w:val="0"/>
          <w:sz w:val="24"/>
          <w:szCs w:val="24"/>
        </w:rPr>
        <w:t>。</w:t>
      </w:r>
    </w:p>
    <w:p w14:paraId="578896DE">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2F1AA01A">
      <w:pPr>
        <w:tabs>
          <w:tab w:val="left" w:pos="839"/>
        </w:tabs>
        <w:topLinePunct/>
        <w:adjustRightInd w:val="0"/>
        <w:snapToGrid w:val="0"/>
        <w:spacing w:after="224" w:afterLines="75" w:line="288" w:lineRule="auto"/>
        <w:jc w:val="both"/>
        <w:rPr>
          <w:rFonts w:ascii="Arial" w:hAnsi="Arial" w:eastAsia="宋体" w:cs="Arial"/>
          <w:snapToGrid w:val="0"/>
          <w:sz w:val="32"/>
          <w:szCs w:val="36"/>
        </w:rPr>
      </w:pPr>
      <w:bookmarkStart w:id="31" w:name="FDA_Response"/>
      <w:bookmarkEnd w:id="31"/>
      <w:bookmarkStart w:id="32" w:name="A._EAP_Designation"/>
      <w:bookmarkEnd w:id="32"/>
      <w:r>
        <w:rPr>
          <w:rFonts w:hint="eastAsia" w:ascii="Arial" w:hAnsi="Arial" w:eastAsia="宋体" w:cs="Arial"/>
          <w:b/>
          <w:snapToGrid w:val="0"/>
          <w:sz w:val="32"/>
          <w:szCs w:val="36"/>
        </w:rPr>
        <w:t>II.</w:t>
      </w:r>
      <w:r>
        <w:rPr>
          <w:rFonts w:hint="eastAsia" w:ascii="Arial" w:hAnsi="Arial" w:eastAsia="宋体" w:cs="Arial"/>
          <w:b/>
          <w:snapToGrid w:val="0"/>
          <w:sz w:val="32"/>
          <w:szCs w:val="36"/>
        </w:rPr>
        <w:tab/>
      </w:r>
      <w:r>
        <w:rPr>
          <w:rFonts w:hint="eastAsia" w:ascii="Arial" w:hAnsi="Arial" w:eastAsia="宋体" w:cs="Arial"/>
          <w:b/>
          <w:snapToGrid w:val="0"/>
          <w:sz w:val="32"/>
          <w:szCs w:val="36"/>
        </w:rPr>
        <w:t>FDA回应</w:t>
      </w:r>
    </w:p>
    <w:p w14:paraId="46041F92">
      <w:pPr>
        <w:pStyle w:val="20"/>
        <w:numPr>
          <w:ilvl w:val="0"/>
          <w:numId w:val="13"/>
        </w:numPr>
        <w:tabs>
          <w:tab w:val="left" w:pos="840"/>
        </w:tabs>
        <w:topLinePunct/>
        <w:adjustRightInd w:val="0"/>
        <w:snapToGrid w:val="0"/>
        <w:spacing w:after="224" w:afterLines="75" w:line="288" w:lineRule="auto"/>
        <w:ind w:left="0" w:firstLine="0"/>
        <w:jc w:val="both"/>
        <w:rPr>
          <w:rFonts w:ascii="Arial" w:hAnsi="Arial" w:eastAsia="宋体" w:cs="Arial"/>
          <w:snapToGrid w:val="0"/>
          <w:sz w:val="24"/>
          <w:szCs w:val="32"/>
        </w:rPr>
      </w:pPr>
      <w:r>
        <w:rPr>
          <w:rFonts w:hint="eastAsia" w:ascii="Arial" w:hAnsi="Arial" w:eastAsia="宋体" w:cs="Arial"/>
          <w:b/>
          <w:snapToGrid w:val="0"/>
          <w:sz w:val="24"/>
        </w:rPr>
        <w:t>EAP指定</w:t>
      </w:r>
    </w:p>
    <w:p w14:paraId="73DED52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将在收到预提交材料后30天内进行审查，确定是否根据本指南所述EAP标准以及相关收益-风险因素（包括本指南中讨论的因素）同意EAP指定。FDA打算在收到后30天内，书面通知申办方其决定。如果FDA没有足够的信息来作出关于EAP指定的决定，FDA可以要求申办方提交其他信息。如果FDA要求申办方提供其他信息，FDA将书面通知申办方其应提交其他信息，以便在收到请求后30天内决定是否同意EAP指定。如果在要求提供其他信息后，FDA没有及时收到足够信息在30天内作出决定，FDA打算拒绝EAP指定。如果申办方提交了其他信息，则应作为其预提交材料的补充材料提交给FDA。</w:t>
      </w:r>
    </w:p>
    <w:p w14:paraId="19B6D06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同意EAP指定并不意味着在同意指定时，FDA一并同意了申办方的数据开发计划草案。虽然在EAP指定时，FDA可能会同意数据开发计划草案中概述的一般理念，但FDA打算与申办方共同合作，在提交PMA或</w:t>
      </w:r>
      <w:r>
        <w:rPr>
          <w:rFonts w:hint="eastAsia" w:ascii="Arial" w:hAnsi="Arial" w:cs="Arial"/>
          <w:i/>
          <w:snapToGrid w:val="0"/>
        </w:rPr>
        <w:t>再次申请请求</w:t>
      </w:r>
      <w:r>
        <w:rPr>
          <w:rFonts w:hint="eastAsia" w:ascii="Arial" w:hAnsi="Arial" w:cs="Arial"/>
          <w:snapToGrid w:val="0"/>
        </w:rPr>
        <w:t>之前继续制定该计划。FDA同意EAP指定并不意味着其已确定预提交材料所含数据或拟定研究设计可以支持未来上市批准。</w:t>
      </w:r>
    </w:p>
    <w:p w14:paraId="62A3406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EAP指定的通知应由相应办公室主任或其指定人员签署。如果FDA同意EAP指定，FDA将在书面通知中提供以下信息：</w:t>
      </w:r>
    </w:p>
    <w:p w14:paraId="38C474B5">
      <w:pPr>
        <w:pStyle w:val="20"/>
        <w:numPr>
          <w:ilvl w:val="1"/>
          <w:numId w:val="1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确认FDA打算与申办方密切合作，为器械数据开发计划提供指南；</w:t>
      </w:r>
    </w:p>
    <w:p w14:paraId="770CB134">
      <w:pPr>
        <w:pStyle w:val="20"/>
        <w:numPr>
          <w:ilvl w:val="1"/>
          <w:numId w:val="1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通知申办方应确保器械继续符合EAP指定标准；以及，</w:t>
      </w:r>
    </w:p>
    <w:p w14:paraId="59675D91">
      <w:pPr>
        <w:pStyle w:val="20"/>
        <w:numPr>
          <w:ilvl w:val="1"/>
          <w:numId w:val="1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审查器械的联系方式。</w:t>
      </w:r>
    </w:p>
    <w:p w14:paraId="61185FBD">
      <w:pPr>
        <w:pStyle w:val="7"/>
        <w:topLinePunct/>
        <w:adjustRightInd w:val="0"/>
        <w:snapToGrid w:val="0"/>
        <w:spacing w:after="224" w:afterLines="75" w:line="288" w:lineRule="auto"/>
        <w:ind w:left="0"/>
        <w:jc w:val="both"/>
        <w:rPr>
          <w:rFonts w:ascii="Arial" w:hAnsi="Arial" w:cs="Arial"/>
          <w:snapToGrid w:val="0"/>
          <w:szCs w:val="20"/>
        </w:rPr>
      </w:pPr>
      <w:r>
        <w:rPr>
          <w:rFonts w:hint="eastAsia" w:ascii="Arial" w:hAnsi="Arial" w:cs="Arial"/>
          <w:snapToGrid w:val="0"/>
        </w:rPr>
        <w:t>申办方应在IDE申请、</w:t>
      </w:r>
      <w:r>
        <w:rPr>
          <w:rFonts w:hint="eastAsia" w:ascii="Arial" w:hAnsi="Arial" w:cs="Arial"/>
          <w:i/>
          <w:snapToGrid w:val="0"/>
        </w:rPr>
        <w:t>再次申请请求</w:t>
      </w:r>
      <w:r>
        <w:rPr>
          <w:rFonts w:hint="eastAsia" w:ascii="Arial" w:hAnsi="Arial" w:cs="Arial"/>
          <w:snapToGrid w:val="0"/>
        </w:rPr>
        <w:t>或PMA的封面中提供预提交编号和FDA发出同意EAP指定的信函日期。即使器械不符合EAP指定条件，申办方也可以使用预提交指南中所述的预提交审查流程，要求FDA对其上市后控制计划提供反馈，其中，此类计划旨在减少受PMA监管的器械的上市前数据收集范围。</w:t>
      </w:r>
    </w:p>
    <w:p w14:paraId="5E359E7B">
      <w:pPr>
        <w:rPr>
          <w:rFonts w:ascii="Arial" w:hAnsi="Arial" w:eastAsia="宋体" w:cs="Arial"/>
          <w:snapToGrid w:val="0"/>
          <w:sz w:val="24"/>
          <w:szCs w:val="24"/>
        </w:rPr>
      </w:pPr>
      <w:bookmarkStart w:id="33" w:name="B._Review_of_PMA_or_De_Novo_Request"/>
      <w:bookmarkEnd w:id="33"/>
      <w:bookmarkStart w:id="34" w:name="C._Review_of_Postmarket_Data_Collection_"/>
      <w:bookmarkEnd w:id="34"/>
      <w:bookmarkStart w:id="35" w:name="Submission_of_Post-Approval_Study_Protoc"/>
      <w:bookmarkEnd w:id="35"/>
      <w:r>
        <w:rPr>
          <w:rFonts w:ascii="Arial" w:hAnsi="Arial" w:cs="Arial"/>
          <w:snapToGrid w:val="0"/>
        </w:rPr>
        <w:br w:type="page"/>
      </w:r>
    </w:p>
    <w:p w14:paraId="7A44A74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如果申办方不同意FDA拒绝EAP指定的决定，其应参阅FDA指南</w:t>
      </w:r>
      <w:r>
        <w:rPr>
          <w:rFonts w:hint="eastAsia" w:ascii="宋体" w:hAnsi="宋体" w:cs="Arial"/>
          <w:snapToGrid w:val="0"/>
        </w:rPr>
        <w:t>“</w:t>
      </w:r>
      <w:r>
        <w:rPr>
          <w:rFonts w:hint="eastAsia" w:ascii="Arial" w:hAnsi="Arial" w:cs="Arial"/>
          <w:snapToGrid w:val="0"/>
        </w:rPr>
        <w:t>器械和放射卫生中心上诉过程</w:t>
      </w:r>
      <w:r>
        <w:rPr>
          <w:rFonts w:hint="eastAsia" w:ascii="宋体" w:hAnsi="宋体" w:cs="Arial"/>
          <w:snapToGrid w:val="0"/>
        </w:rPr>
        <w:t>”</w:t>
      </w:r>
      <w:r>
        <w:rPr>
          <w:rFonts w:hint="eastAsia" w:ascii="Arial" w:hAnsi="Arial" w:cs="Arial"/>
          <w:snapToGrid w:val="0"/>
        </w:rPr>
        <w:t>。</w:t>
      </w:r>
      <w:r>
        <w:rPr>
          <w:rStyle w:val="18"/>
          <w:rFonts w:ascii="Arial" w:hAnsi="Arial" w:cs="Arial"/>
          <w:snapToGrid w:val="0"/>
        </w:rPr>
        <w:footnoteReference w:id="41"/>
      </w:r>
      <w:r>
        <w:rPr>
          <w:rFonts w:hint="eastAsia" w:ascii="Arial" w:hAnsi="Arial" w:cs="Arial"/>
          <w:snapToGrid w:val="0"/>
        </w:rPr>
        <w:t>由于快速审查路径器械旨在解决致命性和不可逆衰竭性疾病或病症的未满足医疗需求，可在审查过程后提起上诉，并向中心主任呈交争议。</w:t>
      </w:r>
    </w:p>
    <w:p w14:paraId="1228E5C8">
      <w:pPr>
        <w:pStyle w:val="20"/>
        <w:numPr>
          <w:ilvl w:val="0"/>
          <w:numId w:val="13"/>
        </w:numPr>
        <w:tabs>
          <w:tab w:val="left" w:pos="840"/>
        </w:tabs>
        <w:topLinePunct/>
        <w:adjustRightInd w:val="0"/>
        <w:snapToGrid w:val="0"/>
        <w:spacing w:after="224" w:afterLines="75" w:line="288" w:lineRule="auto"/>
        <w:ind w:left="0" w:firstLine="0"/>
        <w:jc w:val="both"/>
        <w:rPr>
          <w:rFonts w:ascii="Arial" w:hAnsi="Arial" w:eastAsia="宋体" w:cs="Arial"/>
          <w:snapToGrid w:val="0"/>
          <w:sz w:val="24"/>
          <w:szCs w:val="32"/>
        </w:rPr>
      </w:pPr>
      <w:r>
        <w:rPr>
          <w:rFonts w:hint="eastAsia" w:ascii="Arial" w:hAnsi="Arial" w:eastAsia="宋体" w:cs="Arial"/>
          <w:b/>
          <w:snapToGrid w:val="0"/>
          <w:sz w:val="24"/>
        </w:rPr>
        <w:t>审查PMA或再次申请请求</w:t>
      </w:r>
    </w:p>
    <w:p w14:paraId="4A10104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申办方和FDA应在提交PMA或</w:t>
      </w:r>
      <w:r>
        <w:rPr>
          <w:rFonts w:hint="eastAsia" w:ascii="Arial" w:hAnsi="Arial" w:cs="Arial"/>
          <w:i/>
          <w:snapToGrid w:val="0"/>
        </w:rPr>
        <w:t>再次申请请求</w:t>
      </w:r>
      <w:r>
        <w:rPr>
          <w:rFonts w:hint="eastAsia" w:ascii="Arial" w:hAnsi="Arial" w:cs="Arial"/>
          <w:snapToGrid w:val="0"/>
        </w:rPr>
        <w:t>之前就最终数据开发计划达成一致。另外，如本指南第III.F节所述，FDA打算通过PMA批准命令施加某些上市后要求。</w:t>
      </w:r>
      <w:r>
        <w:rPr>
          <w:rStyle w:val="18"/>
          <w:rFonts w:ascii="Arial" w:hAnsi="Arial" w:cs="Arial"/>
          <w:snapToGrid w:val="0"/>
        </w:rPr>
        <w:footnoteReference w:id="42"/>
      </w:r>
      <w:r>
        <w:rPr>
          <w:rFonts w:hint="eastAsia" w:ascii="Arial" w:hAnsi="Arial" w:cs="Arial"/>
          <w:snapToGrid w:val="0"/>
        </w:rPr>
        <w:t>批准EAP器械的PMA或同意其</w:t>
      </w:r>
      <w:r>
        <w:rPr>
          <w:rFonts w:hint="eastAsia" w:ascii="Arial" w:hAnsi="Arial" w:cs="Arial"/>
          <w:i/>
          <w:snapToGrid w:val="0"/>
        </w:rPr>
        <w:t>再次申请分类</w:t>
      </w:r>
      <w:r>
        <w:rPr>
          <w:rFonts w:hint="eastAsia" w:ascii="Arial" w:hAnsi="Arial" w:cs="Arial"/>
          <w:snapToGrid w:val="0"/>
        </w:rPr>
        <w:t>时需要由相关办公室主任或其指定人员签署。</w:t>
      </w:r>
    </w:p>
    <w:p w14:paraId="3A9575FC">
      <w:pPr>
        <w:pStyle w:val="20"/>
        <w:numPr>
          <w:ilvl w:val="0"/>
          <w:numId w:val="13"/>
        </w:numPr>
        <w:tabs>
          <w:tab w:val="left" w:pos="840"/>
        </w:tabs>
        <w:topLinePunct/>
        <w:adjustRightInd w:val="0"/>
        <w:snapToGrid w:val="0"/>
        <w:spacing w:after="224" w:afterLines="75" w:line="288" w:lineRule="auto"/>
        <w:ind w:left="0" w:firstLine="0"/>
        <w:jc w:val="both"/>
        <w:rPr>
          <w:rFonts w:ascii="Arial" w:hAnsi="Arial" w:eastAsia="宋体" w:cs="Arial"/>
          <w:snapToGrid w:val="0"/>
          <w:sz w:val="24"/>
          <w:szCs w:val="32"/>
        </w:rPr>
      </w:pPr>
      <w:r>
        <w:rPr>
          <w:rFonts w:hint="eastAsia" w:ascii="Arial" w:hAnsi="Arial" w:eastAsia="宋体" w:cs="Arial"/>
          <w:b/>
          <w:snapToGrid w:val="0"/>
          <w:sz w:val="24"/>
        </w:rPr>
        <w:t>审查受PMA监管的EAP器械的上市后数据收集</w:t>
      </w:r>
    </w:p>
    <w:p w14:paraId="5386C129">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申办方一般应遵循批准后指南所述程序，除非另有说明。</w:t>
      </w:r>
    </w:p>
    <w:p w14:paraId="58D7C6E6">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提交批准后研究方案</w:t>
      </w:r>
    </w:p>
    <w:p w14:paraId="23ECFBDD">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批准后指南中所述，FDA建议在PMA提交材料中提交拟定批准后研究方案。该方案也应该纳入数据开发计划。尽管批准后指南表明，在某些情况下，即使未商定批准后协议，PMA可也能被批准，FDA不会在未商定批准后研究方案前批准EAP器械。</w:t>
      </w:r>
    </w:p>
    <w:p w14:paraId="4C100A58">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提交和评价临时和最终批准后研究报告</w:t>
      </w:r>
    </w:p>
    <w:p w14:paraId="4DFD90C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应在批准命令规定的时间框架内完成所需的批准后研究。该研究通常应在PMA批准后三年内完成，但可能会因器械类型和批准后研究类型而异。完成研究，进行分析和向FDA提交数据的时间框架将在PMA批准命令中规定。</w:t>
      </w:r>
    </w:p>
    <w:p w14:paraId="3EE1DD27">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极少数情况下，如果已取得进展，但尽管申办方已十分努力，但意外情况导致延迟完成研究，FDA可能会延长批准后研究的时间框架。在某些情况下，如果在PMA批准后不久，向FDA提交了器械修改的补充材料，FDA可能也会延长时间框架。提交修改补充材料时，申办方应提供相关评估，即评估修改对进行中批准后研究的影响。在审查补充材料时，FDA将评价此评估。</w:t>
      </w:r>
    </w:p>
    <w:p w14:paraId="5F8B3150">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2CDF8E5F">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提交临时和最终批准后研究状况报告时，申办方应遵循批准后指南中的程序以及此类报告的建议内容和格式。FDA将在PMA批准命令中指定提交临时报告的适当频率。此外，应在批准命令规定的时间框架内提交最终批准后研究报告。一般情况下，申办方应在完成批准后研究报告后3个月内提交所需的最终批准后研究报告（数据锁定点），临床研究报告也应在此时间内提交。但是，如果申办方有合理依据将时间延长至3个月以上，FDA可以酌情延长本机构和申办方商定的时间。</w:t>
      </w:r>
    </w:p>
    <w:p w14:paraId="59C22866">
      <w:pPr>
        <w:pStyle w:val="6"/>
        <w:topLinePunct/>
        <w:adjustRightInd w:val="0"/>
        <w:snapToGrid w:val="0"/>
        <w:spacing w:after="224" w:afterLines="75" w:line="288" w:lineRule="auto"/>
        <w:ind w:left="0"/>
        <w:jc w:val="both"/>
        <w:rPr>
          <w:rFonts w:ascii="Arial" w:hAnsi="Arial" w:cs="Arial"/>
          <w:b w:val="0"/>
          <w:bCs w:val="0"/>
          <w:i w:val="0"/>
          <w:snapToGrid w:val="0"/>
        </w:rPr>
      </w:pPr>
      <w:r>
        <w:rPr>
          <w:rFonts w:hint="eastAsia" w:ascii="Arial" w:hAnsi="Arial" w:cs="Arial"/>
          <w:snapToGrid w:val="0"/>
        </w:rPr>
        <w:t>标签更改</w:t>
      </w:r>
    </w:p>
    <w:p w14:paraId="4329B2B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如本指南第III.G.1节所述，根据批准后研究的结果，成功完成批准后研究后，可能需对EAP器械的标签进行修改。标签更改符合21 CFR 814.39规定的标准时，必须提交PMA补充材料。</w:t>
      </w:r>
    </w:p>
    <w:p w14:paraId="106F1562">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1CCEC98C">
      <w:pPr>
        <w:topLinePunct/>
        <w:adjustRightInd w:val="0"/>
        <w:snapToGrid w:val="0"/>
        <w:spacing w:after="224" w:afterLines="75" w:line="288" w:lineRule="auto"/>
        <w:jc w:val="center"/>
        <w:rPr>
          <w:rFonts w:ascii="Arial" w:hAnsi="Arial" w:eastAsia="宋体" w:cs="Arial"/>
          <w:b/>
          <w:snapToGrid w:val="0"/>
          <w:sz w:val="36"/>
        </w:rPr>
      </w:pPr>
      <w:r>
        <w:rPr>
          <w:rFonts w:hint="eastAsia" w:ascii="Arial" w:hAnsi="Arial" w:eastAsia="宋体" w:cs="Arial"/>
          <w:b/>
          <w:snapToGrid w:val="0"/>
          <w:sz w:val="36"/>
        </w:rPr>
        <w:t>附件2</w:t>
      </w:r>
    </w:p>
    <w:p w14:paraId="448AC251">
      <w:pPr>
        <w:topLinePunct/>
        <w:adjustRightInd w:val="0"/>
        <w:snapToGrid w:val="0"/>
        <w:spacing w:after="224" w:afterLines="75" w:line="288" w:lineRule="auto"/>
        <w:jc w:val="center"/>
        <w:rPr>
          <w:rFonts w:ascii="Arial" w:hAnsi="Arial" w:eastAsia="宋体" w:cs="Arial"/>
          <w:b/>
          <w:snapToGrid w:val="0"/>
          <w:sz w:val="36"/>
        </w:rPr>
      </w:pPr>
      <w:r>
        <w:rPr>
          <w:rFonts w:hint="eastAsia" w:ascii="Arial" w:hAnsi="Arial" w:eastAsia="宋体" w:cs="Arial"/>
          <w:b/>
          <w:snapToGrid w:val="0"/>
          <w:sz w:val="36"/>
        </w:rPr>
        <w:t>数据开发计划草案</w:t>
      </w:r>
    </w:p>
    <w:p w14:paraId="4CE34A46">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如本指南</w:t>
      </w:r>
      <w:r>
        <w:rPr>
          <w:rFonts w:hint="eastAsia" w:ascii="Arial" w:hAnsi="Arial" w:cs="Arial"/>
          <w:snapToGrid w:val="0"/>
          <w:u w:val="single"/>
        </w:rPr>
        <w:t>附件1</w:t>
      </w:r>
      <w:r>
        <w:rPr>
          <w:rFonts w:hint="eastAsia" w:ascii="Arial" w:hAnsi="Arial" w:cs="Arial"/>
          <w:snapToGrid w:val="0"/>
        </w:rPr>
        <w:t>所述，如果申办方开发的器械符合快速审查路径条件，并打算参与该项目，则其应提交预提交材料。除其他信息外，申办方应在预提交材料中讨论为什么器械符合本指南第III.A节所述的EAP标准，包括任何相关的支持性证明文件，以及拟定数据开发计划草案。数据开发计划草案应包括三个部分：</w:t>
      </w:r>
    </w:p>
    <w:p w14:paraId="2DAD977F">
      <w:pPr>
        <w:pStyle w:val="20"/>
        <w:numPr>
          <w:ilvl w:val="0"/>
          <w:numId w:val="14"/>
        </w:numPr>
        <w:topLinePunct/>
        <w:adjustRightInd w:val="0"/>
        <w:snapToGrid w:val="0"/>
        <w:spacing w:after="224" w:afterLines="75" w:line="288" w:lineRule="auto"/>
        <w:ind w:left="1276" w:leftChars="327" w:hanging="557"/>
        <w:jc w:val="both"/>
        <w:rPr>
          <w:rFonts w:ascii="Arial" w:hAnsi="Arial" w:eastAsia="宋体" w:cs="Arial"/>
          <w:snapToGrid w:val="0"/>
          <w:sz w:val="24"/>
        </w:rPr>
      </w:pPr>
      <w:r>
        <w:rPr>
          <w:rFonts w:hint="eastAsia" w:ascii="Arial" w:hAnsi="Arial" w:eastAsia="宋体" w:cs="Arial"/>
          <w:snapToGrid w:val="0"/>
          <w:sz w:val="24"/>
        </w:rPr>
        <w:t>如果建议上市前-上市后数据转移且适用，</w:t>
      </w:r>
      <w:r>
        <w:rPr>
          <w:rFonts w:hint="eastAsia" w:ascii="Arial" w:hAnsi="Arial" w:eastAsia="宋体" w:cs="Arial"/>
          <w:snapToGrid w:val="0"/>
          <w:sz w:val="24"/>
          <w:szCs w:val="24"/>
        </w:rPr>
        <w:t>上市前和上市后数据收集拟定平衡方法的解释和说明</w:t>
      </w:r>
      <w:r>
        <w:rPr>
          <w:rFonts w:hint="eastAsia" w:ascii="Arial" w:hAnsi="Arial" w:eastAsia="宋体" w:cs="Arial"/>
          <w:snapToGrid w:val="0"/>
          <w:sz w:val="24"/>
        </w:rPr>
        <w:t>；</w:t>
      </w:r>
    </w:p>
    <w:p w14:paraId="213F8C64">
      <w:pPr>
        <w:pStyle w:val="20"/>
        <w:numPr>
          <w:ilvl w:val="0"/>
          <w:numId w:val="14"/>
        </w:numPr>
        <w:topLinePunct/>
        <w:adjustRightInd w:val="0"/>
        <w:snapToGrid w:val="0"/>
        <w:spacing w:after="224" w:afterLines="75" w:line="288" w:lineRule="auto"/>
        <w:ind w:left="1276" w:leftChars="327" w:hanging="557"/>
        <w:jc w:val="both"/>
        <w:rPr>
          <w:rFonts w:ascii="Arial" w:hAnsi="Arial" w:eastAsia="宋体" w:cs="Arial"/>
          <w:snapToGrid w:val="0"/>
          <w:sz w:val="24"/>
        </w:rPr>
      </w:pPr>
      <w:r>
        <w:rPr>
          <w:rFonts w:hint="eastAsia" w:ascii="Arial" w:hAnsi="Arial" w:eastAsia="宋体" w:cs="Arial"/>
          <w:snapToGrid w:val="0"/>
          <w:sz w:val="24"/>
        </w:rPr>
        <w:t>数据收集计划的描述和总结，包括研究概要和研究设计；以及，</w:t>
      </w:r>
    </w:p>
    <w:p w14:paraId="1E76D768">
      <w:pPr>
        <w:pStyle w:val="20"/>
        <w:numPr>
          <w:ilvl w:val="0"/>
          <w:numId w:val="14"/>
        </w:numPr>
        <w:topLinePunct/>
        <w:adjustRightInd w:val="0"/>
        <w:snapToGrid w:val="0"/>
        <w:spacing w:after="224" w:afterLines="75" w:line="288" w:lineRule="auto"/>
        <w:ind w:left="1276" w:leftChars="327" w:hanging="557"/>
        <w:jc w:val="both"/>
        <w:rPr>
          <w:rFonts w:ascii="Arial" w:hAnsi="Arial" w:eastAsia="宋体" w:cs="Arial"/>
          <w:snapToGrid w:val="0"/>
          <w:sz w:val="24"/>
        </w:rPr>
      </w:pPr>
      <w:r>
        <w:rPr>
          <w:rFonts w:hint="eastAsia" w:ascii="Arial" w:hAnsi="Arial" w:eastAsia="宋体" w:cs="Arial"/>
          <w:snapToGrid w:val="0"/>
          <w:sz w:val="24"/>
        </w:rPr>
        <w:t>开发和上市器械以及上市后数据收集的时间表。</w:t>
      </w:r>
    </w:p>
    <w:p w14:paraId="223DCC83">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拟定数据收集计划应指定申办方打算在上市前和上市后（如适用）收集来支持EAP指定、PMA批准或</w:t>
      </w:r>
      <w:r>
        <w:rPr>
          <w:rFonts w:hint="eastAsia" w:ascii="Arial" w:hAnsi="Arial" w:cs="Arial"/>
          <w:i/>
          <w:snapToGrid w:val="0"/>
        </w:rPr>
        <w:t>再次申请分类</w:t>
      </w:r>
      <w:r>
        <w:rPr>
          <w:rFonts w:hint="eastAsia" w:ascii="Arial" w:hAnsi="Arial" w:cs="Arial"/>
          <w:snapToGrid w:val="0"/>
        </w:rPr>
        <w:t>的所有数据，以及支持批准的验证性证据（如适用）。FDA希望，数据开发计划草案在上市前开发和审查过程不断得到改进，申办方和FDA将在提交PMA或</w:t>
      </w:r>
      <w:r>
        <w:rPr>
          <w:rFonts w:hint="eastAsia" w:ascii="Arial" w:hAnsi="Arial" w:cs="Arial"/>
          <w:i/>
          <w:snapToGrid w:val="0"/>
        </w:rPr>
        <w:t>再次申请请求</w:t>
      </w:r>
      <w:r>
        <w:rPr>
          <w:rFonts w:hint="eastAsia" w:ascii="Arial" w:hAnsi="Arial" w:cs="Arial"/>
          <w:snapToGrid w:val="0"/>
        </w:rPr>
        <w:t>之前最终商定数据开发计划。</w:t>
      </w:r>
    </w:p>
    <w:p w14:paraId="7E9A55C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承认，在提交EAP指定请求时，申办方可能未获得下列所有信息。FDA对数据开发计划草案的反馈是本机构根据审查时提供的信息提供的最佳建议。FDA表示，如果在未来IDE或上市申请中提交的信息与数据开发计划中提供的信息一致，且未来提交材料中的数据不会引起影响安全性或有效性的新的重要问题，反馈将不会更改。</w:t>
      </w:r>
    </w:p>
    <w:p w14:paraId="61123A51">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此外，如果数据开发计划草案中没有提供详细信息，FDA可能不会同意EAP指定。因此，申办方最好向FDA提供完整的数据开发计划草案，以促进FDA审查。相关申办方可能会要求举行预提交会议，讨论可证明该器械对于其预期用途安全有效的有用科学证据类型。【有关更多信息，请参阅</w:t>
      </w:r>
      <w:r>
        <w:rPr>
          <w:rFonts w:hint="eastAsia" w:ascii="宋体" w:hAnsi="宋体" w:cs="Arial"/>
          <w:snapToGrid w:val="0"/>
        </w:rPr>
        <w:t>“</w:t>
      </w:r>
      <w:r>
        <w:rPr>
          <w:rFonts w:hint="eastAsia" w:ascii="Arial" w:hAnsi="Arial" w:cs="Arial"/>
          <w:snapToGrid w:val="0"/>
        </w:rPr>
        <w:t>预提交指南</w:t>
      </w:r>
      <w:r>
        <w:rPr>
          <w:rFonts w:hint="eastAsia" w:ascii="宋体" w:hAnsi="宋体" w:cs="Arial"/>
          <w:snapToGrid w:val="0"/>
        </w:rPr>
        <w:t>”</w:t>
      </w:r>
      <w:r>
        <w:rPr>
          <w:rFonts w:hint="eastAsia" w:ascii="Arial" w:hAnsi="Arial" w:cs="Arial"/>
          <w:snapToGrid w:val="0"/>
        </w:rPr>
        <w:t>和</w:t>
      </w:r>
      <w:r>
        <w:rPr>
          <w:rFonts w:hint="eastAsia" w:ascii="宋体" w:hAnsi="宋体" w:cs="Arial"/>
          <w:snapToGrid w:val="0"/>
        </w:rPr>
        <w:t>“</w:t>
      </w:r>
      <w:r>
        <w:rPr>
          <w:rFonts w:hint="eastAsia" w:ascii="Arial" w:hAnsi="Arial" w:cs="Arial"/>
          <w:snapToGrid w:val="0"/>
        </w:rPr>
        <w:t>FDA现代化法案（FDAMA）下的早期合作会议</w:t>
      </w:r>
      <w:r>
        <w:rPr>
          <w:rFonts w:hint="eastAsia" w:ascii="宋体" w:hAnsi="宋体" w:cs="Arial"/>
          <w:snapToGrid w:val="0"/>
        </w:rPr>
        <w:t>“</w:t>
      </w:r>
      <w:r>
        <w:rPr>
          <w:rFonts w:hint="eastAsia" w:ascii="Arial" w:hAnsi="Arial" w:cs="Arial"/>
          <w:snapToGrid w:val="0"/>
        </w:rPr>
        <w:t>】</w:t>
      </w:r>
    </w:p>
    <w:p w14:paraId="4836CC9B">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14D528D2">
      <w:pPr>
        <w:pStyle w:val="20"/>
        <w:numPr>
          <w:ilvl w:val="0"/>
          <w:numId w:val="15"/>
        </w:numPr>
        <w:tabs>
          <w:tab w:val="left" w:pos="840"/>
        </w:tabs>
        <w:topLinePunct/>
        <w:adjustRightInd w:val="0"/>
        <w:snapToGrid w:val="0"/>
        <w:spacing w:after="224" w:afterLines="75" w:line="288" w:lineRule="auto"/>
        <w:ind w:left="840" w:hanging="840"/>
        <w:jc w:val="both"/>
        <w:rPr>
          <w:rFonts w:ascii="Arial" w:hAnsi="Arial" w:eastAsia="宋体" w:cs="Arial"/>
          <w:snapToGrid w:val="0"/>
          <w:sz w:val="32"/>
          <w:szCs w:val="32"/>
        </w:rPr>
      </w:pPr>
      <w:r>
        <w:rPr>
          <w:rFonts w:hint="eastAsia" w:ascii="Arial" w:hAnsi="Arial" w:eastAsia="宋体" w:cs="Arial"/>
          <w:b/>
          <w:snapToGrid w:val="0"/>
          <w:sz w:val="32"/>
          <w:szCs w:val="32"/>
        </w:rPr>
        <w:t>解释和说明受PMA监管的EAP器械的上市前和上市后数据收集拟定平衡方法</w:t>
      </w:r>
    </w:p>
    <w:p w14:paraId="1A3B20CB">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建议，申办方应详细说明其计划在上市前和上市后收集的数据范围以及其打算在PMA中提供的数据类型（例如，使用替代终点）。应解释如何在上市前和上市后分析数据。此外，FDA建议申办方说明拟定数据收集计划如何能产生有效科学证据，以便FDA在批准上市前申请时确定，器械的安全性和有效性已得到合理保证。最后，为了帮助FDA进行审查，FDA建议申办方在作出上述说明时，讨论相关收益-风险信息（请参见本指南第III.C节）。</w:t>
      </w:r>
    </w:p>
    <w:p w14:paraId="1B0286CF">
      <w:pPr>
        <w:pStyle w:val="20"/>
        <w:numPr>
          <w:ilvl w:val="0"/>
          <w:numId w:val="15"/>
        </w:numPr>
        <w:tabs>
          <w:tab w:val="left" w:pos="840"/>
        </w:tabs>
        <w:topLinePunct/>
        <w:adjustRightInd w:val="0"/>
        <w:snapToGrid w:val="0"/>
        <w:spacing w:after="224" w:afterLines="75" w:line="288" w:lineRule="auto"/>
        <w:ind w:left="0" w:firstLine="0"/>
        <w:jc w:val="both"/>
        <w:rPr>
          <w:rFonts w:ascii="Arial" w:hAnsi="Arial" w:eastAsia="宋体" w:cs="Arial"/>
          <w:snapToGrid w:val="0"/>
          <w:sz w:val="32"/>
          <w:szCs w:val="32"/>
        </w:rPr>
      </w:pPr>
      <w:r>
        <w:rPr>
          <w:rFonts w:hint="eastAsia" w:ascii="Arial" w:hAnsi="Arial" w:eastAsia="宋体" w:cs="Arial"/>
          <w:b/>
          <w:snapToGrid w:val="0"/>
          <w:sz w:val="32"/>
          <w:szCs w:val="32"/>
        </w:rPr>
        <w:t>数据收集计划</w:t>
      </w:r>
    </w:p>
    <w:p w14:paraId="23E1F81A">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一般来说，数据收集计划中应提供以下内容。FDA建议申办方概述正在规划或已完成的非临床和临床试验，并明确指出申办方打算在上市前收集哪些数据以及申办方打算在上市后收集哪些数据（如果有）（如果适用）。请注意，在预提交材料中其他地方提供的信息或申办方先前在其他提交材料中向FDA提交的信息可以通过引用并入。如上所述，FDA了解，在要求获得EAP指定时，申办方可能尚未拥有以下所有信息。</w:t>
      </w:r>
    </w:p>
    <w:p w14:paraId="29994005">
      <w:pPr>
        <w:pStyle w:val="20"/>
        <w:numPr>
          <w:ilvl w:val="1"/>
          <w:numId w:val="15"/>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u w:val="single" w:color="000000"/>
        </w:rPr>
        <w:t>器械描述</w:t>
      </w:r>
      <w:r>
        <w:rPr>
          <w:rFonts w:hint="eastAsia" w:ascii="Arial" w:hAnsi="Arial" w:eastAsia="宋体" w:cs="Arial"/>
          <w:snapToGrid w:val="0"/>
          <w:sz w:val="24"/>
          <w:szCs w:val="24"/>
        </w:rPr>
        <w:t>。器械描述，包括器械操作原理（包括组件）描述和与临床功能相关的属性描述。</w:t>
      </w:r>
    </w:p>
    <w:p w14:paraId="634723F2">
      <w:pPr>
        <w:pStyle w:val="20"/>
        <w:numPr>
          <w:ilvl w:val="1"/>
          <w:numId w:val="15"/>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u w:val="single" w:color="000000"/>
        </w:rPr>
        <w:t>拟定标签</w:t>
      </w:r>
      <w:r>
        <w:rPr>
          <w:rFonts w:hint="eastAsia" w:ascii="Arial" w:hAnsi="Arial" w:eastAsia="宋体" w:cs="Arial"/>
          <w:snapToGrid w:val="0"/>
          <w:sz w:val="24"/>
          <w:szCs w:val="24"/>
        </w:rPr>
        <w:t>。拟定标签的主要内容，包括拟定预期用途／使用适应症、禁忌症、警告、注意事项和使用说明术。FDA了解，在早期阶段，拟定标签可能是草案；但是，申办方应提供足够信息来传达器械的使用条件和使用说明。</w:t>
      </w:r>
    </w:p>
    <w:p w14:paraId="07E2627C">
      <w:pPr>
        <w:pStyle w:val="20"/>
        <w:numPr>
          <w:ilvl w:val="1"/>
          <w:numId w:val="15"/>
        </w:numPr>
        <w:tabs>
          <w:tab w:val="left" w:pos="84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u w:val="single" w:color="000000"/>
        </w:rPr>
        <w:t>非临床研究</w:t>
      </w:r>
      <w:r>
        <w:rPr>
          <w:rFonts w:hint="eastAsia" w:ascii="Arial" w:hAnsi="Arial" w:eastAsia="宋体" w:cs="Arial"/>
          <w:snapToGrid w:val="0"/>
          <w:sz w:val="24"/>
          <w:szCs w:val="24"/>
        </w:rPr>
        <w:t>。申办方打算向FDA提交，以支持未来PMA提交材料或</w:t>
      </w:r>
      <w:r>
        <w:rPr>
          <w:rFonts w:hint="eastAsia" w:ascii="Arial" w:hAnsi="Arial" w:eastAsia="宋体" w:cs="Arial"/>
          <w:i/>
          <w:snapToGrid w:val="0"/>
          <w:sz w:val="24"/>
        </w:rPr>
        <w:t>再次申请请求</w:t>
      </w:r>
      <w:r>
        <w:rPr>
          <w:rFonts w:hint="eastAsia" w:ascii="Arial" w:hAnsi="Arial" w:eastAsia="宋体" w:cs="Arial"/>
          <w:snapToGrid w:val="0"/>
          <w:sz w:val="24"/>
          <w:szCs w:val="24"/>
        </w:rPr>
        <w:t>的每项拟定或已完成非临床实验室研究的总结、研究设计和方案。这些研究可能包括（如果适用）：</w:t>
      </w:r>
    </w:p>
    <w:p w14:paraId="493AEFE0">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rPr>
        <w:t>灭菌</w:t>
      </w:r>
    </w:p>
    <w:p w14:paraId="4BEBDCE1">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生物／微生物</w:t>
      </w:r>
    </w:p>
    <w:p w14:paraId="52A6A0D1">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免疫</w:t>
      </w:r>
    </w:p>
    <w:p w14:paraId="175E7116">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毒理学／生物相容性</w:t>
      </w:r>
    </w:p>
    <w:p w14:paraId="62B27DBD">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化学／分析（IVD）</w:t>
      </w:r>
    </w:p>
    <w:p w14:paraId="1AFC766A">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有效期</w:t>
      </w:r>
    </w:p>
    <w:p w14:paraId="7A2529BD">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0"/>
        </w:rPr>
      </w:pPr>
      <w:r>
        <w:rPr>
          <w:rFonts w:hint="eastAsia" w:ascii="Arial" w:hAnsi="Arial" w:eastAsia="宋体" w:cs="Arial"/>
          <w:snapToGrid w:val="0"/>
          <w:sz w:val="24"/>
        </w:rPr>
        <w:t>体内动物建模</w:t>
      </w:r>
    </w:p>
    <w:p w14:paraId="672C2DD1">
      <w:pPr>
        <w:rPr>
          <w:rFonts w:ascii="Arial" w:hAnsi="Arial" w:eastAsia="宋体" w:cs="Arial"/>
          <w:snapToGrid w:val="0"/>
          <w:sz w:val="24"/>
          <w:szCs w:val="24"/>
        </w:rPr>
      </w:pPr>
      <w:r>
        <w:rPr>
          <w:rFonts w:ascii="Arial" w:hAnsi="Arial" w:eastAsia="宋体" w:cs="Arial"/>
          <w:snapToGrid w:val="0"/>
          <w:sz w:val="24"/>
          <w:szCs w:val="24"/>
        </w:rPr>
        <w:br w:type="page"/>
      </w:r>
    </w:p>
    <w:p w14:paraId="38F2EDA0">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0"/>
        </w:rPr>
      </w:pPr>
      <w:r>
        <w:rPr>
          <w:rFonts w:hint="eastAsia" w:ascii="Arial" w:hAnsi="Arial" w:eastAsia="宋体" w:cs="Arial"/>
          <w:snapToGrid w:val="0"/>
          <w:sz w:val="24"/>
          <w:szCs w:val="24"/>
        </w:rPr>
        <w:t>台架试验</w:t>
      </w:r>
      <w:r>
        <w:rPr>
          <w:rFonts w:ascii="Arial" w:hAnsi="Arial" w:eastAsia="宋体" w:cs="Arial"/>
          <w:snapToGrid w:val="0"/>
          <w:sz w:val="24"/>
          <w:szCs w:val="24"/>
        </w:rPr>
        <w:t>–</w:t>
      </w:r>
      <w:r>
        <w:rPr>
          <w:rFonts w:hint="eastAsia" w:ascii="Arial" w:hAnsi="Arial" w:eastAsia="宋体" w:cs="Arial"/>
          <w:snapToGrid w:val="0"/>
          <w:sz w:val="24"/>
          <w:szCs w:val="24"/>
        </w:rPr>
        <w:t>力学和电气试验</w:t>
      </w:r>
    </w:p>
    <w:p w14:paraId="2B75FBFB">
      <w:pPr>
        <w:pStyle w:val="20"/>
        <w:numPr>
          <w:ilvl w:val="1"/>
          <w:numId w:val="15"/>
        </w:numPr>
        <w:tabs>
          <w:tab w:val="left" w:pos="820"/>
        </w:tabs>
        <w:topLinePunct/>
        <w:adjustRightInd w:val="0"/>
        <w:snapToGrid w:val="0"/>
        <w:spacing w:after="224" w:afterLines="75" w:line="288" w:lineRule="auto"/>
        <w:ind w:hanging="414"/>
        <w:jc w:val="both"/>
        <w:rPr>
          <w:rFonts w:ascii="Arial" w:hAnsi="Arial" w:eastAsia="宋体" w:cs="Arial"/>
          <w:snapToGrid w:val="0"/>
          <w:sz w:val="24"/>
          <w:szCs w:val="24"/>
        </w:rPr>
      </w:pPr>
      <w:r>
        <w:rPr>
          <w:rFonts w:hint="eastAsia" w:ascii="Arial" w:hAnsi="Arial" w:eastAsia="宋体" w:cs="Arial"/>
          <w:snapToGrid w:val="0"/>
          <w:sz w:val="24"/>
          <w:u w:val="single" w:color="000000"/>
        </w:rPr>
        <w:t>临床研究</w:t>
      </w:r>
      <w:r>
        <w:rPr>
          <w:rFonts w:hint="eastAsia" w:ascii="Arial" w:hAnsi="Arial" w:eastAsia="宋体" w:cs="Arial"/>
          <w:snapToGrid w:val="0"/>
          <w:sz w:val="24"/>
        </w:rPr>
        <w:t>。请注意，在某些情况下，可能仅规划了一项临床研究（例如，如果申办方正在进行分阶段研究）。但是，在其他情况下，申办方可能多项临床研究。例如，申办方可能会在PMA批准之前进行具有替代终点的研究，以及验证性批准后研究。对于每项拟定（或已完成）临床研究，您应提供以下信息：</w:t>
      </w:r>
    </w:p>
    <w:p w14:paraId="02573E55">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研究目的</w:t>
      </w:r>
    </w:p>
    <w:p w14:paraId="79AD0E37">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研究目标和假设</w:t>
      </w:r>
    </w:p>
    <w:p w14:paraId="61877EDF">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研究设计</w:t>
      </w:r>
    </w:p>
    <w:p w14:paraId="7627757F">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研究人群（包括受试者入选和排除标准，定义和比较组的来源）</w:t>
      </w:r>
    </w:p>
    <w:p w14:paraId="1F09BEAF">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szCs w:val="24"/>
        </w:rPr>
        <w:t>样本</w:t>
      </w:r>
      <w:r>
        <w:rPr>
          <w:rFonts w:hint="eastAsia" w:ascii="Arial" w:hAnsi="Arial" w:eastAsia="宋体" w:cs="Arial"/>
          <w:snapToGrid w:val="0"/>
          <w:sz w:val="24"/>
        </w:rPr>
        <w:t>量计算（从统计学上说明，基于研究假设）</w:t>
      </w:r>
    </w:p>
    <w:p w14:paraId="4DAAEDDE">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主要和次要终点（包括研究终点的定义、成功标准、预期不良事件／并发症列表、确定与器械相关性的标准操作程序和／或手术）</w:t>
      </w:r>
    </w:p>
    <w:p w14:paraId="0EA95B31">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随访长度、随访计划、基线描述和随访评估</w:t>
      </w:r>
    </w:p>
    <w:p w14:paraId="144661DD">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rPr>
        <w:t>数据收集程序描述（包括招募计划、招募目标、尽量减少失访的计划、随访率目标、质量保证和控制）</w:t>
      </w:r>
    </w:p>
    <w:p w14:paraId="1D42CD10">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计划统计分析</w:t>
      </w:r>
    </w:p>
    <w:p w14:paraId="297045B5">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数据收集要素和知情同意书草案以及IRB批准表（如果适用）</w:t>
      </w:r>
    </w:p>
    <w:p w14:paraId="40532A01">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szCs w:val="24"/>
        </w:rPr>
      </w:pPr>
      <w:r>
        <w:rPr>
          <w:rFonts w:hint="eastAsia" w:ascii="Arial" w:hAnsi="Arial" w:eastAsia="宋体" w:cs="Arial"/>
          <w:snapToGrid w:val="0"/>
          <w:sz w:val="24"/>
          <w:szCs w:val="24"/>
        </w:rPr>
        <w:t>拟定报告要求</w:t>
      </w:r>
    </w:p>
    <w:p w14:paraId="060F15E2">
      <w:pPr>
        <w:pStyle w:val="20"/>
        <w:numPr>
          <w:ilvl w:val="2"/>
          <w:numId w:val="15"/>
        </w:numPr>
        <w:topLinePunct/>
        <w:adjustRightInd w:val="0"/>
        <w:snapToGrid w:val="0"/>
        <w:spacing w:line="288" w:lineRule="auto"/>
        <w:ind w:left="1985" w:leftChars="645" w:hanging="566" w:hangingChars="236"/>
        <w:jc w:val="both"/>
        <w:rPr>
          <w:rFonts w:ascii="Arial" w:hAnsi="Arial" w:eastAsia="宋体" w:cs="Arial"/>
          <w:snapToGrid w:val="0"/>
          <w:sz w:val="24"/>
        </w:rPr>
      </w:pPr>
      <w:r>
        <w:rPr>
          <w:rFonts w:hint="eastAsia" w:ascii="Arial" w:hAnsi="Arial" w:eastAsia="宋体" w:cs="Arial"/>
          <w:snapToGrid w:val="0"/>
          <w:sz w:val="24"/>
          <w:szCs w:val="24"/>
        </w:rPr>
        <w:t>研</w:t>
      </w:r>
      <w:r>
        <w:rPr>
          <w:rFonts w:hint="eastAsia" w:ascii="Arial" w:hAnsi="Arial" w:eastAsia="宋体" w:cs="Arial"/>
          <w:snapToGrid w:val="0"/>
          <w:sz w:val="24"/>
        </w:rPr>
        <w:t>究里程碑／时间表要素，包括：</w:t>
      </w:r>
    </w:p>
    <w:p w14:paraId="4487F29D">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研究开始的预计日期</w:t>
      </w:r>
    </w:p>
    <w:p w14:paraId="376B0AB0">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ascii="Arial" w:hAnsi="Arial" w:eastAsia="宋体" w:cs="Arial"/>
          <w:snapToGrid w:val="0"/>
          <w:sz w:val="24"/>
          <w:szCs w:val="24"/>
        </w:rPr>
        <w:t>IRB</w:t>
      </w:r>
      <w:r>
        <w:rPr>
          <w:rFonts w:hint="eastAsia" w:ascii="Arial" w:hAnsi="Arial" w:eastAsia="宋体" w:cs="Arial"/>
          <w:snapToGrid w:val="0"/>
          <w:sz w:val="24"/>
          <w:szCs w:val="24"/>
        </w:rPr>
        <w:t>每月批准的研究地点预计数量</w:t>
      </w:r>
    </w:p>
    <w:p w14:paraId="374E044D">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开始招募受试者的预计日期</w:t>
      </w:r>
    </w:p>
    <w:p w14:paraId="7C7983EC">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每月招募的受试者预计数量</w:t>
      </w:r>
    </w:p>
    <w:p w14:paraId="1564A394">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完成受试者招募的预计日期</w:t>
      </w:r>
    </w:p>
    <w:p w14:paraId="49D7A891">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成功随访所有研究参与者的预计日期</w:t>
      </w:r>
    </w:p>
    <w:p w14:paraId="5970FCEB">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如果适用，中间里程碑相关信息（例如，也可以衡量临床收益的研究中替代终点评价）</w:t>
      </w:r>
    </w:p>
    <w:p w14:paraId="6C5310F3">
      <w:pPr>
        <w:pStyle w:val="20"/>
        <w:numPr>
          <w:ilvl w:val="3"/>
          <w:numId w:val="15"/>
        </w:numPr>
        <w:topLinePunct/>
        <w:adjustRightInd w:val="0"/>
        <w:snapToGrid w:val="0"/>
        <w:spacing w:after="224" w:afterLines="75" w:line="288" w:lineRule="auto"/>
        <w:ind w:left="2410" w:leftChars="902" w:hanging="426"/>
        <w:jc w:val="both"/>
        <w:rPr>
          <w:rFonts w:ascii="Arial" w:hAnsi="Arial" w:eastAsia="宋体" w:cs="Arial"/>
          <w:snapToGrid w:val="0"/>
          <w:sz w:val="24"/>
          <w:szCs w:val="24"/>
        </w:rPr>
      </w:pPr>
      <w:r>
        <w:rPr>
          <w:rFonts w:hint="eastAsia" w:ascii="Arial" w:hAnsi="Arial" w:eastAsia="宋体" w:cs="Arial"/>
          <w:snapToGrid w:val="0"/>
          <w:sz w:val="24"/>
          <w:szCs w:val="24"/>
        </w:rPr>
        <w:t>可以招募受试者的潜在地区</w:t>
      </w:r>
    </w:p>
    <w:p w14:paraId="29D44B6A">
      <w:pPr>
        <w:pStyle w:val="20"/>
        <w:numPr>
          <w:ilvl w:val="0"/>
          <w:numId w:val="15"/>
        </w:numPr>
        <w:tabs>
          <w:tab w:val="left" w:pos="820"/>
        </w:tabs>
        <w:topLinePunct/>
        <w:adjustRightInd w:val="0"/>
        <w:snapToGrid w:val="0"/>
        <w:spacing w:after="224" w:afterLines="75" w:line="288" w:lineRule="auto"/>
        <w:ind w:left="0" w:firstLine="0"/>
        <w:jc w:val="both"/>
        <w:rPr>
          <w:rFonts w:ascii="Arial" w:hAnsi="Arial" w:eastAsia="宋体" w:cs="Arial"/>
          <w:snapToGrid w:val="0"/>
          <w:sz w:val="32"/>
          <w:szCs w:val="36"/>
        </w:rPr>
      </w:pPr>
      <w:r>
        <w:rPr>
          <w:rFonts w:hint="eastAsia" w:ascii="Arial" w:hAnsi="Arial" w:eastAsia="宋体" w:cs="Arial"/>
          <w:b/>
          <w:snapToGrid w:val="0"/>
          <w:sz w:val="32"/>
        </w:rPr>
        <w:t>时间表</w:t>
      </w:r>
    </w:p>
    <w:p w14:paraId="080532FE">
      <w:pPr>
        <w:pStyle w:val="7"/>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提供器械开发和上市以及上市后数据收集的时间表。</w:t>
      </w:r>
    </w:p>
    <w:p w14:paraId="193B2BC6">
      <w:pPr>
        <w:topLinePunct/>
        <w:adjustRightInd w:val="0"/>
        <w:snapToGrid w:val="0"/>
        <w:spacing w:after="224" w:afterLines="75" w:line="288" w:lineRule="auto"/>
        <w:jc w:val="both"/>
        <w:rPr>
          <w:rFonts w:hint="eastAsia" w:eastAsia="宋体"/>
          <w:lang w:eastAsia="zh-CN"/>
        </w:rPr>
      </w:pPr>
    </w:p>
    <w:p w14:paraId="06AC51B2">
      <w:pPr>
        <w:topLinePunct/>
        <w:adjustRightInd w:val="0"/>
        <w:snapToGrid w:val="0"/>
        <w:spacing w:after="224" w:afterLines="75" w:line="288" w:lineRule="auto"/>
        <w:jc w:val="center"/>
        <w:rPr>
          <w:rFonts w:hint="eastAsia" w:eastAsia="宋体"/>
          <w:lang w:eastAsia="zh-CN"/>
        </w:rPr>
      </w:pPr>
    </w:p>
    <w:p w14:paraId="2A0CA5B8">
      <w:pP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720" w:gutter="0"/>
      <w:pgNumType w:start="2"/>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A4E6">
    <w:pPr>
      <w:spacing w:line="14" w:lineRule="auto"/>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824DA">
    <w:pPr>
      <w:rPr>
        <w:rFonts w:ascii="Arial" w:hAnsi="Arial" w:eastAsia="宋体" w:cs="Arial"/>
        <w:sz w:val="21"/>
        <w:szCs w:val="20"/>
      </w:rPr>
    </w:pPr>
  </w:p>
  <w:p w14:paraId="74B4C685">
    <w:pPr>
      <w:jc w:val="center"/>
      <w:rPr>
        <w:rFonts w:ascii="Arial" w:hAnsi="Arial" w:eastAsia="宋体" w:cs="Arial"/>
        <w:sz w:val="21"/>
        <w:szCs w:val="20"/>
      </w:rPr>
    </w:pPr>
    <w:r>
      <w:rPr>
        <w:rFonts w:ascii="Arial" w:hAnsi="Arial" w:eastAsia="宋体" w:cs="Arial"/>
        <w:sz w:val="21"/>
        <w:szCs w:val="20"/>
      </w:rPr>
      <w:fldChar w:fldCharType="begin"/>
    </w:r>
    <w:r>
      <w:rPr>
        <w:rFonts w:ascii="Arial" w:hAnsi="Arial" w:eastAsia="宋体" w:cs="Arial"/>
        <w:sz w:val="21"/>
        <w:szCs w:val="20"/>
      </w:rPr>
      <w:instrText xml:space="preserve">PAGE   \* MERGEFORMAT</w:instrText>
    </w:r>
    <w:r>
      <w:rPr>
        <w:rFonts w:ascii="Arial" w:hAnsi="Arial" w:eastAsia="宋体" w:cs="Arial"/>
        <w:sz w:val="21"/>
        <w:szCs w:val="20"/>
      </w:rPr>
      <w:fldChar w:fldCharType="separate"/>
    </w:r>
    <w:r>
      <w:rPr>
        <w:rFonts w:ascii="Arial" w:hAnsi="Arial" w:eastAsia="宋体" w:cs="Arial"/>
        <w:sz w:val="21"/>
        <w:szCs w:val="20"/>
        <w:lang w:val="zh-CN"/>
      </w:rPr>
      <w:t>44</w:t>
    </w:r>
    <w:r>
      <w:rPr>
        <w:rFonts w:ascii="Arial" w:hAnsi="Arial" w:eastAsia="宋体"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6">
    <w:p>
      <w:r>
        <w:separator/>
      </w:r>
    </w:p>
  </w:footnote>
  <w:footnote w:type="continuationSeparator" w:id="87">
    <w:p>
      <w:r>
        <w:continuationSeparator/>
      </w:r>
    </w:p>
  </w:footnote>
  <w:footnote w:id="0">
    <w:p w14:paraId="287C66F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请参见“联邦食品、药品和化妆品法案”（FD＆C法案）第515（d）条。</w:t>
      </w:r>
    </w:p>
  </w:footnote>
  <w:footnote w:id="1">
    <w:p w14:paraId="5FA0E96E">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请参见FD&amp;C法案第513条。</w:t>
      </w:r>
    </w:p>
  </w:footnote>
  <w:footnote w:id="2">
    <w:p w14:paraId="1D61D417">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就本指导性文件而言，“批准”可以指PMA批准或者同意</w:t>
      </w:r>
      <w:r>
        <w:rPr>
          <w:rFonts w:ascii="Arial" w:hAnsi="Arial" w:eastAsia="宋体" w:cs="Arial"/>
          <w:i/>
          <w:snapToGrid w:val="0"/>
          <w:sz w:val="21"/>
          <w:szCs w:val="21"/>
        </w:rPr>
        <w:t>再次申请请求</w:t>
      </w:r>
      <w:r>
        <w:rPr>
          <w:rFonts w:ascii="Arial" w:hAnsi="Arial" w:eastAsia="宋体" w:cs="Arial"/>
          <w:snapToGrid w:val="0"/>
          <w:sz w:val="21"/>
          <w:szCs w:val="21"/>
        </w:rPr>
        <w:t>。</w:t>
      </w:r>
    </w:p>
  </w:footnote>
  <w:footnote w:id="3">
    <w:p w14:paraId="56F7A973">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有关创新路径的描述，请参见FDA的创新路径网页：</w:t>
      </w:r>
      <w:r>
        <w:fldChar w:fldCharType="begin"/>
      </w:r>
      <w:r>
        <w:instrText xml:space="preserve"> HYPERLINK "http://www.fda.gov/AboutFDA/CentersOffices/OfficeofMedicalProductsandTobacco/CDRH/CDRHInnovation/InnovationPathway/default.htm" \h </w:instrText>
      </w:r>
      <w:r>
        <w:fldChar w:fldCharType="separate"/>
      </w:r>
      <w:r>
        <w:rPr>
          <w:rFonts w:ascii="Arial" w:hAnsi="Arial" w:eastAsia="宋体" w:cs="Arial"/>
          <w:snapToGrid w:val="0"/>
          <w:color w:val="0000FF"/>
          <w:sz w:val="21"/>
          <w:szCs w:val="21"/>
          <w:u w:val="single" w:color="0000FF"/>
        </w:rPr>
        <w:t>http: //www.fda.gov/AboutFDA/CentersOffices/OfficeofMedicalProductsandTobacco/CDRH/CDRHInnovation/Inn</w:t>
      </w:r>
      <w:r>
        <w:rPr>
          <w:rFonts w:ascii="Arial" w:hAnsi="Arial" w:eastAsia="宋体" w:cs="Arial"/>
          <w:snapToGrid w:val="0"/>
          <w:color w:val="0000FF"/>
          <w:sz w:val="21"/>
          <w:szCs w:val="21"/>
          <w:u w:val="single" w:color="0000FF"/>
        </w:rPr>
        <w:fldChar w:fldCharType="end"/>
      </w:r>
      <w:r>
        <w:rPr>
          <w:rFonts w:ascii="Arial" w:hAnsi="Arial" w:eastAsia="宋体" w:cs="Arial"/>
          <w:snapToGrid w:val="0"/>
          <w:color w:val="0000FF"/>
          <w:sz w:val="21"/>
          <w:szCs w:val="21"/>
          <w:u w:val="single" w:color="0000FF"/>
        </w:rPr>
        <w:t>o</w:t>
      </w:r>
      <w:r>
        <w:fldChar w:fldCharType="begin"/>
      </w:r>
      <w:r>
        <w:instrText xml:space="preserve"> HYPERLINK "http://www.fda.gov/AboutFDA/CentersOffices/OfficeofMedicalProductsandTobacco/CDRH/CDRHInnovation/InnovationPathway/default.htm"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vationPathway/default.htm</w:t>
      </w:r>
      <w:r>
        <w:rPr>
          <w:rFonts w:ascii="Arial" w:hAnsi="Arial" w:eastAsia="宋体" w:cs="Arial"/>
          <w:snapToGrid w:val="0"/>
          <w:color w:val="0000FF"/>
          <w:sz w:val="21"/>
          <w:szCs w:val="21"/>
          <w:u w:val="single" w:color="0000FF"/>
        </w:rPr>
        <w:fldChar w:fldCharType="end"/>
      </w:r>
    </w:p>
  </w:footnote>
  <w:footnote w:id="4">
    <w:p w14:paraId="1581534F">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2014年5月发布的FDA指南“严重病症的快速项目——药品和生物制剂”，除其他项目外，此指南还讨论了以下CDER和CBER项目：快速通道指定，突破性治疗指定，加速批准和优先审查指定。另请参见“食品药品监督管理局安全与创新法案”（112-144号公法）第901和902条和21 CFR第314部分第H节。</w:t>
      </w:r>
    </w:p>
  </w:footnote>
  <w:footnote w:id="5">
    <w:p w14:paraId="301C24E8">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请参见“医疗器械创新倡议白皮书”（2011年2月），网址：</w:t>
      </w:r>
      <w:r>
        <w:fldChar w:fldCharType="begin"/>
      </w:r>
      <w:r>
        <w:instrText xml:space="preserve"> HYPERLINK "http://www.fda.gov/AboutFDA/CentersOffices/OfficeofMedicalProductsandTobacco/CDRH/CDRHInnovation/ucm242067.htm" \h </w:instrText>
      </w:r>
      <w:r>
        <w:fldChar w:fldCharType="separate"/>
      </w:r>
      <w:r>
        <w:rPr>
          <w:rFonts w:ascii="Arial" w:hAnsi="Arial" w:eastAsia="宋体" w:cs="Arial"/>
          <w:snapToGrid w:val="0"/>
          <w:color w:val="0000FF"/>
          <w:sz w:val="21"/>
          <w:szCs w:val="21"/>
          <w:u w:val="single" w:color="0000FF"/>
        </w:rPr>
        <w:t>http: //www.fda.gov/AboutFDA/CentersOffices/OfficeofMedicalProductsandTobacco/CDRH/CDRHInnovation/uc</w:t>
      </w:r>
      <w:r>
        <w:rPr>
          <w:rFonts w:ascii="Arial" w:hAnsi="Arial" w:eastAsia="宋体" w:cs="Arial"/>
          <w:snapToGrid w:val="0"/>
          <w:color w:val="0000FF"/>
          <w:sz w:val="21"/>
          <w:szCs w:val="21"/>
          <w:u w:val="single" w:color="0000FF"/>
        </w:rPr>
        <w:fldChar w:fldCharType="end"/>
      </w:r>
      <w:r>
        <w:rPr>
          <w:rFonts w:ascii="Arial" w:hAnsi="Arial" w:eastAsia="宋体" w:cs="Arial"/>
          <w:snapToGrid w:val="0"/>
          <w:color w:val="0000FF"/>
          <w:sz w:val="21"/>
          <w:szCs w:val="21"/>
          <w:u w:val="single" w:color="0000FF"/>
        </w:rPr>
        <w:t xml:space="preserve">m </w:t>
      </w:r>
      <w:r>
        <w:fldChar w:fldCharType="begin"/>
      </w:r>
      <w:r>
        <w:instrText xml:space="preserve"> HYPERLINK "http://www.fda.gov/AboutFDA/CentersOffices/OfficeofMedicalProductsandTobacco/CDRH/CDRHInnovation/ucm242067.htm"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242067.htm#1</w:t>
      </w:r>
      <w:r>
        <w:rPr>
          <w:rFonts w:ascii="Arial" w:hAnsi="Arial" w:eastAsia="宋体" w:cs="Arial"/>
          <w:snapToGrid w:val="0"/>
          <w:color w:val="0000FF"/>
          <w:sz w:val="21"/>
          <w:szCs w:val="21"/>
          <w:u w:val="single" w:color="0000FF"/>
        </w:rPr>
        <w:fldChar w:fldCharType="end"/>
      </w:r>
    </w:p>
  </w:footnote>
  <w:footnote w:id="6">
    <w:p w14:paraId="46648330">
      <w:pPr>
        <w:topLinePunct/>
        <w:adjustRightInd w:val="0"/>
        <w:snapToGrid w:val="0"/>
        <w:spacing w:line="300" w:lineRule="auto"/>
        <w:jc w:val="both"/>
        <w:rPr>
          <w:rFonts w:ascii="Arial" w:hAnsi="Arial" w:eastAsia="宋体" w:cs="Arial"/>
          <w:snapToGrid w:val="0"/>
          <w:sz w:val="21"/>
          <w:szCs w:val="21"/>
        </w:rPr>
      </w:pPr>
      <w:r>
        <w:rPr>
          <w:rStyle w:val="18"/>
          <w:rFonts w:ascii="Arial" w:hAnsi="Arial" w:cs="Arial"/>
          <w:sz w:val="21"/>
          <w:szCs w:val="21"/>
        </w:rPr>
        <w:footnoteRef/>
      </w:r>
      <w:r>
        <w:rPr>
          <w:rFonts w:ascii="Arial" w:hAnsi="Arial" w:eastAsia="宋体" w:cs="Arial"/>
          <w:snapToGrid w:val="0"/>
          <w:sz w:val="21"/>
          <w:szCs w:val="21"/>
        </w:rPr>
        <w:t>收益-风险指南可从以下网址获得：</w:t>
      </w:r>
    </w:p>
    <w:p w14:paraId="7841AD5D">
      <w:pPr>
        <w:pStyle w:val="12"/>
        <w:spacing w:line="300" w:lineRule="auto"/>
        <w:rPr>
          <w:rFonts w:ascii="Arial" w:hAnsi="Arial" w:cs="Arial"/>
          <w:sz w:val="21"/>
          <w:szCs w:val="21"/>
        </w:rPr>
      </w:pPr>
      <w:r>
        <w:fldChar w:fldCharType="begin"/>
      </w:r>
      <w:r>
        <w:instrText xml:space="preserve"> HYPERLINK "http://www.fda.gov/downloads/MedicalDevices/DeviceRegulationandGuidance/GuidanceDocuments/UCM296379.pdf" \h </w:instrText>
      </w:r>
      <w:r>
        <w:fldChar w:fldCharType="separate"/>
      </w:r>
      <w:r>
        <w:rPr>
          <w:rFonts w:ascii="Arial" w:hAnsi="Arial" w:eastAsia="宋体" w:cs="Arial"/>
          <w:snapToGrid w:val="0"/>
          <w:color w:val="0000FF"/>
          <w:sz w:val="21"/>
          <w:szCs w:val="21"/>
          <w:u w:val="single" w:color="0000FF"/>
        </w:rPr>
        <w:t xml:space="preserve">http: //www.fda.gov/downloads/MedicalDevices/DeviceRegulationandGuidance/GuidanceDocuments/UCM296379. </w:t>
      </w:r>
      <w:r>
        <w:rPr>
          <w:rFonts w:ascii="Arial" w:hAnsi="Arial" w:eastAsia="宋体" w:cs="Arial"/>
          <w:snapToGrid w:val="0"/>
          <w:color w:val="0000FF"/>
          <w:sz w:val="21"/>
          <w:szCs w:val="21"/>
          <w:u w:val="single" w:color="0000FF"/>
        </w:rPr>
        <w:fldChar w:fldCharType="end"/>
      </w:r>
      <w:r>
        <w:fldChar w:fldCharType="begin"/>
      </w:r>
      <w:r>
        <w:instrText xml:space="preserve"> HYPERLINK "http://www.fda.gov/downloads/MedicalDevices/DeviceRegulationandGuidance/GuidanceDocuments/UCM296379.pdf"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pdf</w:t>
      </w:r>
      <w:r>
        <w:rPr>
          <w:rFonts w:ascii="Arial" w:hAnsi="Arial" w:eastAsia="宋体" w:cs="Arial"/>
          <w:snapToGrid w:val="0"/>
          <w:color w:val="0000FF"/>
          <w:sz w:val="21"/>
          <w:szCs w:val="21"/>
          <w:u w:val="single" w:color="0000FF"/>
        </w:rPr>
        <w:fldChar w:fldCharType="end"/>
      </w:r>
    </w:p>
  </w:footnote>
  <w:footnote w:id="7">
    <w:p w14:paraId="0BAC95EF">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请参见FDA指南“平衡上市前批准器械的上市前和上市后数据收集”（</w:t>
      </w:r>
      <w:r>
        <w:fldChar w:fldCharType="begin"/>
      </w:r>
      <w:r>
        <w:instrText xml:space="preserve"> HYPERLINK "http://www.fda.gov/downloads/MedicalDevices/DeviceRegulationandGuidance/GuidanceDocuments/UCM393994.pdf" \h </w:instrText>
      </w:r>
      <w:r>
        <w:fldChar w:fldCharType="separate"/>
      </w:r>
      <w:r>
        <w:rPr>
          <w:rFonts w:ascii="Arial" w:hAnsi="Arial" w:eastAsia="宋体" w:cs="Arial"/>
          <w:snapToGrid w:val="0"/>
          <w:color w:val="0000FF"/>
          <w:sz w:val="21"/>
          <w:szCs w:val="21"/>
          <w:u w:val="single" w:color="0000FF"/>
        </w:rPr>
        <w:t>http: //www.fda.gov/downloads/MedicalDevices/DeviceRegulationandGuidance/GuidanceDocuments/UCM393994</w:t>
      </w:r>
      <w:r>
        <w:rPr>
          <w:rFonts w:ascii="Arial" w:hAnsi="Arial" w:eastAsia="宋体" w:cs="Arial"/>
          <w:snapToGrid w:val="0"/>
          <w:color w:val="0000FF"/>
          <w:sz w:val="21"/>
          <w:szCs w:val="21"/>
          <w:u w:val="single" w:color="0000FF"/>
        </w:rPr>
        <w:fldChar w:fldCharType="end"/>
      </w:r>
      <w:r>
        <w:rPr>
          <w:rFonts w:ascii="Arial" w:hAnsi="Arial" w:eastAsia="宋体" w:cs="Arial"/>
          <w:snapToGrid w:val="0"/>
          <w:color w:val="0000FF"/>
          <w:sz w:val="21"/>
          <w:szCs w:val="21"/>
          <w:u w:val="single" w:color="0000FF"/>
        </w:rPr>
        <w:t>.</w:t>
      </w:r>
      <w:r>
        <w:fldChar w:fldCharType="begin"/>
      </w:r>
      <w:r>
        <w:instrText xml:space="preserve"> HYPERLINK "http://www.fda.gov/downloads/MedicalDevices/DeviceRegulationandGuidance/GuidanceDocuments/UCM393994.pdf"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pdf</w:t>
      </w:r>
      <w:r>
        <w:rPr>
          <w:rFonts w:ascii="Arial" w:hAnsi="Arial" w:eastAsia="宋体" w:cs="Arial"/>
          <w:snapToGrid w:val="0"/>
          <w:color w:val="0000FF"/>
          <w:sz w:val="21"/>
          <w:szCs w:val="21"/>
          <w:u w:val="single" w:color="0000FF"/>
        </w:rPr>
        <w:fldChar w:fldCharType="end"/>
      </w:r>
    </w:p>
  </w:footnote>
  <w:footnote w:id="8">
    <w:p w14:paraId="5C758277">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具体来说，第513（a）（3）（C）条规定：“在确定已提交【上市前批准申请】的器械有效性是否得到合理保证时，部长应考虑是否可以通过应用上市后控制，减少可能需要以批准申请的有效性数据范围”。</w:t>
      </w:r>
    </w:p>
  </w:footnote>
  <w:footnote w:id="9">
    <w:p w14:paraId="2614BEEE">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根据“FD＆C法案”第513（a）条，除其他相关因素外，FDA应确定PMA是否已通过“权衡使用器械可能产生的任何健康收益与此类使用可能引起的任何受伤或疾病风险来确定安全性和有效性已得到合理保证”。</w:t>
      </w:r>
    </w:p>
  </w:footnote>
  <w:footnote w:id="10">
    <w:p w14:paraId="4BBB042B">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网址：</w:t>
      </w:r>
      <w:r>
        <w:fldChar w:fldCharType="begin"/>
      </w:r>
      <w:r>
        <w:instrText xml:space="preserve"> HYPERLINK "http://www.fda.gov/MedicalDevices/DeviceRegulationandGuidance/GuidanceDocuments/ucm085994.htm"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rPr>
        <w:fldChar w:fldCharType="end"/>
      </w:r>
      <w:r>
        <w:fldChar w:fldCharType="begin"/>
      </w:r>
      <w:r>
        <w:instrText xml:space="preserve"> HYPERLINK "http://www.fda.gov/MedicalDevices/DeviceRegulationandGuidance/GuidanceDocuments/ucm085994.htm" \h </w:instrText>
      </w:r>
      <w:r>
        <w:fldChar w:fldCharType="separate"/>
      </w:r>
      <w:r>
        <w:rPr>
          <w:rFonts w:ascii="Arial" w:hAnsi="Arial" w:eastAsia="宋体" w:cs="Arial"/>
          <w:snapToGrid w:val="0"/>
          <w:color w:val="0000FF"/>
          <w:sz w:val="21"/>
          <w:szCs w:val="21"/>
          <w:u w:val="single" w:color="0000FF"/>
        </w:rPr>
        <w:t>http: //www.fda.gov/MedicalDevices/DeviceRegulationandGuidance/GuidanceDocuments/ucm085994.htm</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如“最小负担指南”所述，在确定应该在上市前收集用于支持上市前批准的适当数据类型和数量时，应考虑上市后信息的作用。如果适用，在长期器械安全性和有效性时也应考虑上市后信息。应考虑使用上市后控制（例如，遵守质量体系法规，批准后研究，上市后监测和医疗器械报告要求）作为缩小PMA上市前数据范围，同时仍然确保符合上市前批准法定标准的机制。</w:t>
      </w:r>
    </w:p>
  </w:footnote>
  <w:footnote w:id="11">
    <w:p w14:paraId="63A0A8FC">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请参见脚注7。</w:t>
      </w:r>
    </w:p>
  </w:footnote>
  <w:footnote w:id="12">
    <w:p w14:paraId="15F4E88C">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请参见脚注7。</w:t>
      </w:r>
    </w:p>
  </w:footnote>
  <w:footnote w:id="13">
    <w:p w14:paraId="002CF597">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814.82规定：“FDA可以通过PMA批准命令或依照法规（批准时或批准后）施加上市后要求。此外，根据“FD＆C法案”第522条和21 CFR第822部分的FDA实施法规，FDA可以强制要求对某些III类器械进行上市后监测。</w:t>
      </w:r>
    </w:p>
  </w:footnote>
  <w:footnote w:id="14">
    <w:p w14:paraId="09AF2812">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2012年9月，FDA发布了初步报告“加强国家医疗器械市场监测体系”，其中概述了FDA的医疗器械上市后权力和现行医疗器械上市后监测体系，以及拟定的四项具体行动，表明FDA将利用现有资源并根据现有权力，加强美国医疗器械上市后监测体系。本报告可在以下网址获取：</w:t>
      </w:r>
      <w:r>
        <w:fldChar w:fldCharType="begin"/>
      </w:r>
      <w:r>
        <w:instrText xml:space="preserve"> HYPERLINK "http://www.fda.gov/AboutFDA/CentersOffices/OfficeofMedicalProductsandTobacco/CDRH/CDRHReports/ucm301912.htm" \h </w:instrText>
      </w:r>
      <w:r>
        <w:fldChar w:fldCharType="separate"/>
      </w:r>
      <w:r>
        <w:fldChar w:fldCharType="end"/>
      </w:r>
      <w:r>
        <w:rPr>
          <w:rFonts w:ascii="Arial" w:hAnsi="Arial" w:eastAsia="宋体" w:cs="Arial"/>
          <w:snapToGrid w:val="0"/>
          <w:sz w:val="21"/>
          <w:szCs w:val="21"/>
        </w:rPr>
        <w:t xml:space="preserve"> </w:t>
      </w:r>
      <w:r>
        <w:fldChar w:fldCharType="begin"/>
      </w:r>
      <w:r>
        <w:instrText xml:space="preserve"> HYPERLINK "http://www.fda.gov/AboutFDA/CentersOffices/OfficeofMedicalProductsandTobacco/CDRH/CDRHReports/ucm301912.htm" \h </w:instrText>
      </w:r>
      <w:r>
        <w:fldChar w:fldCharType="separate"/>
      </w:r>
      <w:r>
        <w:fldChar w:fldCharType="end"/>
      </w:r>
      <w:r>
        <w:fldChar w:fldCharType="begin"/>
      </w:r>
      <w:r>
        <w:instrText xml:space="preserve"> HYPERLINK "http://www.fda.gov/downloads/AboutFDA/CentersOffices/CDRH/CDRHReports/UCM301924.pdf" \h </w:instrText>
      </w:r>
      <w:r>
        <w:fldChar w:fldCharType="separate"/>
      </w:r>
      <w:r>
        <w:rPr>
          <w:rFonts w:ascii="Arial" w:hAnsi="Arial" w:eastAsia="宋体" w:cs="Arial"/>
          <w:snapToGrid w:val="0"/>
          <w:color w:val="0000FF"/>
          <w:sz w:val="21"/>
          <w:szCs w:val="21"/>
          <w:u w:val="single" w:color="0000FF"/>
        </w:rPr>
        <w:t>http: //www.fda.gov/downloads/AboutFDA/CentersOffices/CDRH/CDRHReports/UCM301924.pdf</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 xml:space="preserve"> 2013年4月发布了报告更新，更新中详细介绍了FDA打算完成的具体步骤，以便更有效地、更及时地收集更多数据，加速确定问题。此更新可从以下网址获得：</w:t>
      </w:r>
      <w:r>
        <w:fldChar w:fldCharType="begin"/>
      </w:r>
      <w:r>
        <w:instrText xml:space="preserve"> HYPERLINK "http://www.fda.gov/downloads/MedicalDevices/Safety/CDRHPostmarketSurveillance/UCM348845.pdf"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//www.fda.gov/downloads/MedicalDevices/Safety/CDRHPostmarketSurveillance/UCM348845.pdf</w:t>
      </w:r>
      <w:r>
        <w:rPr>
          <w:rFonts w:ascii="Arial" w:hAnsi="Arial" w:eastAsia="宋体" w:cs="Arial"/>
          <w:snapToGrid w:val="0"/>
          <w:color w:val="0000FF"/>
          <w:sz w:val="21"/>
          <w:szCs w:val="21"/>
          <w:u w:val="single" w:color="0000FF"/>
        </w:rPr>
        <w:fldChar w:fldCharType="end"/>
      </w:r>
    </w:p>
  </w:footnote>
  <w:footnote w:id="15">
    <w:p w14:paraId="698D9AB3">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符合“FD＆C法案”第513（a）（1）（A）或（B）条的标准。另请参见513（f）（2）（A) （v），其中规定：“提交分类请求的人员...可以向部长提供器械分类建议，且如果推荐分类为II类，应在请求中提供适用特殊控制（见第（a）（1）（B）款）的初步建议草案，其中，将此类控制与一般控制结合后，可使安全性和有效性得到合理保证，此外，还应在请求中说明特殊控制如何提供此类保证。任何此类请求应提供器械描述，并提供推荐分类的详细信息和原因。有关</w:t>
      </w:r>
      <w:r>
        <w:rPr>
          <w:rFonts w:ascii="Arial" w:hAnsi="Arial" w:eastAsia="宋体" w:cs="Arial"/>
          <w:i/>
          <w:snapToGrid w:val="0"/>
          <w:sz w:val="21"/>
          <w:szCs w:val="21"/>
        </w:rPr>
        <w:t>再次申请</w:t>
      </w:r>
      <w:r>
        <w:rPr>
          <w:rFonts w:ascii="Arial" w:hAnsi="Arial" w:eastAsia="宋体" w:cs="Arial"/>
          <w:snapToGrid w:val="0"/>
          <w:sz w:val="21"/>
          <w:szCs w:val="21"/>
        </w:rPr>
        <w:t>的更多信息，请访问：</w:t>
      </w:r>
      <w:r>
        <w:fldChar w:fldCharType="begin"/>
      </w:r>
      <w:r>
        <w:instrText xml:space="preserve"> HYPERLINK "http://www.fda.gov/MedicalDevices/DeviceRegulationandGuidance/GuidanceDocuments/ucm080195.htm"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//www.fda.gov/MedicalDevices/DeviceRegulationandGuidance/GuidanceDocuments/ucm080195.htm</w:t>
      </w:r>
      <w:r>
        <w:rPr>
          <w:rFonts w:ascii="Arial" w:hAnsi="Arial" w:eastAsia="宋体" w:cs="Arial"/>
          <w:snapToGrid w:val="0"/>
          <w:color w:val="0000FF"/>
          <w:sz w:val="21"/>
          <w:szCs w:val="21"/>
          <w:u w:val="single" w:color="0000FF"/>
        </w:rPr>
        <w:fldChar w:fldCharType="end"/>
      </w:r>
    </w:p>
  </w:footnote>
  <w:footnote w:id="16">
    <w:p w14:paraId="4F4DE9CD">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具有临床意义的收益包括定量和定性收益。</w:t>
      </w:r>
    </w:p>
  </w:footnote>
  <w:footnote w:id="17">
    <w:p w14:paraId="72D04AEC">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根据FD&amp;C法案，FDA必须在收到请求后120天之内确定</w:t>
      </w:r>
      <w:r>
        <w:rPr>
          <w:rFonts w:ascii="Arial" w:hAnsi="Arial" w:eastAsia="宋体" w:cs="Arial"/>
          <w:i/>
          <w:snapToGrid w:val="0"/>
          <w:sz w:val="21"/>
          <w:szCs w:val="21"/>
        </w:rPr>
        <w:t>再次申请请求</w:t>
      </w:r>
      <w:r>
        <w:rPr>
          <w:rFonts w:ascii="Arial" w:hAnsi="Arial" w:eastAsia="宋体" w:cs="Arial"/>
          <w:snapToGrid w:val="0"/>
          <w:sz w:val="21"/>
          <w:szCs w:val="21"/>
        </w:rPr>
        <w:t>所述器械的分类【请参见第513（f）（2）（A) （iii）条）】。对于根据EAP项目提交的</w:t>
      </w:r>
      <w:r>
        <w:rPr>
          <w:rFonts w:ascii="Arial" w:hAnsi="Arial" w:eastAsia="宋体" w:cs="Arial"/>
          <w:i/>
          <w:snapToGrid w:val="0"/>
          <w:sz w:val="21"/>
          <w:szCs w:val="21"/>
        </w:rPr>
        <w:t>再次申请请求</w:t>
      </w:r>
      <w:r>
        <w:rPr>
          <w:rFonts w:ascii="Arial" w:hAnsi="Arial" w:eastAsia="宋体" w:cs="Arial"/>
          <w:snapToGrid w:val="0"/>
          <w:sz w:val="21"/>
          <w:szCs w:val="21"/>
        </w:rPr>
        <w:t>，FDA打算在120天内进行确定。</w:t>
      </w:r>
    </w:p>
  </w:footnote>
  <w:footnote w:id="18">
    <w:p w14:paraId="10DCDCD5">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网址：</w:t>
      </w:r>
      <w:r>
        <w:fldChar w:fldCharType="begin"/>
      </w:r>
      <w:r>
        <w:instrText xml:space="preserve"> HYPERLINK "http://www.fda.gov/MedicalDevices/DeviceRegulationandGuidance/GuidanceDocuments/ucm089643.htm"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//www.fda.gov/MedicalDevices/DeviceRegulationandGuidance/GuidanceDocuments/ucm089643.htm</w:t>
      </w:r>
      <w:r>
        <w:rPr>
          <w:rFonts w:ascii="Arial" w:hAnsi="Arial" w:eastAsia="宋体" w:cs="Arial"/>
          <w:snapToGrid w:val="0"/>
          <w:color w:val="0000FF"/>
          <w:sz w:val="21"/>
          <w:szCs w:val="21"/>
          <w:u w:val="single" w:color="0000FF"/>
        </w:rPr>
        <w:fldChar w:fldCharType="end"/>
      </w:r>
    </w:p>
  </w:footnote>
  <w:footnote w:id="19">
    <w:p w14:paraId="45B95E65">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FDA指南“体外伴随诊断器械”可从以下网址获得：</w:t>
      </w:r>
      <w:r>
        <w:fldChar w:fldCharType="begin"/>
      </w:r>
      <w:r>
        <w:instrText xml:space="preserve"> HYPERLINK "http://www.fda.gov/downloads/MedicalDevices/DeviceRegulationandGuidance/GuidanceDocuments/UCM262327.pdf" \h </w:instrText>
      </w:r>
      <w:r>
        <w:fldChar w:fldCharType="separate"/>
      </w:r>
      <w:r>
        <w:rPr>
          <w:rFonts w:ascii="Arial" w:hAnsi="Arial" w:eastAsia="宋体" w:cs="Arial"/>
          <w:snapToGrid w:val="0"/>
          <w:color w:val="0000FF"/>
          <w:sz w:val="21"/>
          <w:szCs w:val="21"/>
          <w:u w:val="single" w:color="0000FF"/>
        </w:rPr>
        <w:t xml:space="preserve">http: //www.fda.gov/downloads/MedicalDevices/DeviceRegulationandGuidance/GuidanceDocuments/UCM262327. </w:t>
      </w:r>
      <w:r>
        <w:rPr>
          <w:rFonts w:ascii="Arial" w:hAnsi="Arial" w:eastAsia="宋体" w:cs="Arial"/>
          <w:snapToGrid w:val="0"/>
          <w:color w:val="0000FF"/>
          <w:sz w:val="21"/>
          <w:szCs w:val="21"/>
          <w:u w:val="single" w:color="0000FF"/>
        </w:rPr>
        <w:fldChar w:fldCharType="end"/>
      </w:r>
      <w:r>
        <w:fldChar w:fldCharType="begin"/>
      </w:r>
      <w:r>
        <w:instrText xml:space="preserve"> HYPERLINK "http://www.fda.gov/downloads/MedicalDevices/DeviceRegulationandGuidance/GuidanceDocuments/UCM262327.pdf"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pdf</w:t>
      </w:r>
      <w:r>
        <w:rPr>
          <w:rFonts w:ascii="Arial" w:hAnsi="Arial" w:eastAsia="宋体" w:cs="Arial"/>
          <w:snapToGrid w:val="0"/>
          <w:color w:val="0000FF"/>
          <w:sz w:val="21"/>
          <w:szCs w:val="21"/>
          <w:u w:val="single" w:color="0000FF"/>
        </w:rPr>
        <w:fldChar w:fldCharType="end"/>
      </w:r>
    </w:p>
  </w:footnote>
  <w:footnote w:id="20">
    <w:p w14:paraId="70681C02">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有关</w:t>
      </w:r>
      <w:r>
        <w:rPr>
          <w:rFonts w:ascii="Arial" w:hAnsi="Arial" w:eastAsia="宋体" w:cs="Arial"/>
          <w:i/>
          <w:snapToGrid w:val="0"/>
          <w:sz w:val="21"/>
          <w:szCs w:val="21"/>
        </w:rPr>
        <w:t>再次申请</w:t>
      </w:r>
      <w:r>
        <w:rPr>
          <w:rFonts w:ascii="Arial" w:hAnsi="Arial" w:eastAsia="宋体" w:cs="Arial"/>
          <w:snapToGrid w:val="0"/>
          <w:sz w:val="21"/>
          <w:szCs w:val="21"/>
        </w:rPr>
        <w:t>过程的更多信息，请访问：</w:t>
      </w:r>
      <w:r>
        <w:fldChar w:fldCharType="begin"/>
      </w:r>
      <w:r>
        <w:instrText xml:space="preserve"> HYPERLINK "http://www.fda.gov/MedicalDevices/DeviceRegulationandGuidance/GuidanceDocuments/ucm080195.htm"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//www.fda.gov/MedicalDevices/DeviceRegulationandGuidance/GuidanceDocuments/ucm080195.htm</w:t>
      </w:r>
      <w:r>
        <w:rPr>
          <w:rFonts w:ascii="Arial" w:hAnsi="Arial" w:eastAsia="宋体" w:cs="Arial"/>
          <w:snapToGrid w:val="0"/>
          <w:color w:val="0000FF"/>
          <w:sz w:val="21"/>
          <w:szCs w:val="21"/>
          <w:u w:val="single" w:color="0000FF"/>
        </w:rPr>
        <w:fldChar w:fldCharType="end"/>
      </w:r>
    </w:p>
  </w:footnote>
  <w:footnote w:id="21">
    <w:p w14:paraId="43F7A01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请参见脚注2和16。</w:t>
      </w:r>
    </w:p>
  </w:footnote>
  <w:footnote w:id="22">
    <w:p w14:paraId="2E48E7B6">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请参见21 CFR 860.7 (c) (2)</w:t>
      </w:r>
    </w:p>
  </w:footnote>
  <w:footnote w:id="23">
    <w:p w14:paraId="34E50472">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请参见脚注7。</w:t>
      </w:r>
    </w:p>
  </w:footnote>
  <w:footnote w:id="24">
    <w:p w14:paraId="580743F9">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有关MDDT的更多信息，请访问FDA网站：</w:t>
      </w:r>
      <w:r>
        <w:fldChar w:fldCharType="begin"/>
      </w:r>
      <w:r>
        <w:instrText xml:space="preserve"> HYPERLINK "http://www.fda.gov/MedicalDevices/ScienceandResearch/MedicalDeviceDevelopmentToolsMDDT/"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//www.fda.gov/MedicalDevices/ScienceandResearch/MedicalDeviceDevelopmentToolsMDDT／</w:t>
      </w:r>
      <w:r>
        <w:rPr>
          <w:rFonts w:ascii="Arial" w:hAnsi="Arial" w:eastAsia="宋体" w:cs="Arial"/>
          <w:snapToGrid w:val="0"/>
          <w:color w:val="0000FF"/>
          <w:sz w:val="21"/>
          <w:szCs w:val="21"/>
          <w:u w:val="single" w:color="0000FF"/>
        </w:rPr>
        <w:fldChar w:fldCharType="end"/>
      </w:r>
    </w:p>
  </w:footnote>
  <w:footnote w:id="25">
    <w:p w14:paraId="06F3CC20">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就本指南而言，临床收益是在给定疾病或病症的背景下具有临床意义的积极治疗或诊断效果。应权衡临床收益与治疗或诊断风险，确定是否存在总体患者收益（即，有利的收益-风险特征）。</w:t>
      </w:r>
    </w:p>
  </w:footnote>
  <w:footnote w:id="26">
    <w:p w14:paraId="1402D10F">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就本指南而言，临床研究终点是检测到的功能症状或测量，或在特定时间点测量，反映患者感觉（例如症状缓解）、功能（例如改善移动性）或存活率的任何临床特性或变量。</w:t>
      </w:r>
    </w:p>
  </w:footnote>
  <w:footnote w:id="27">
    <w:p w14:paraId="58F8D4AC">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一般，请参见IOM（医学研究所）。2010年。慢性病中生物标志物和替代终点的评价。华盛顿特区：国家科学院出版社。</w:t>
      </w:r>
    </w:p>
  </w:footnote>
  <w:footnote w:id="28">
    <w:p w14:paraId="7C003402">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在一些适应性设计研究中，使用中间临时终点（例如，在12个月而不是24个月时，基于症状和患者功能早期评估骨关节炎是否无进展）尤其有用。</w:t>
      </w:r>
    </w:p>
  </w:footnote>
  <w:footnote w:id="29">
    <w:p w14:paraId="7CA34DAE">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请注意，本节中的示例仅供参考，FDA将根据具体情况确定替代终点的可接受性。根据EAP项目提交，且依赖替代终端的材料应提供支持使用替代终点的证据。</w:t>
      </w:r>
    </w:p>
  </w:footnote>
  <w:footnote w:id="30">
    <w:p w14:paraId="78CFD721">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替代终点产生的数据最终应根据病症严重程度、罕见度或患病率，替代疗法可用或缺乏进行解释。其他信息请参阅MDDT指南草案。请参见脚注25。</w:t>
      </w:r>
    </w:p>
  </w:footnote>
  <w:footnote w:id="31">
    <w:p w14:paraId="3E1871A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请参见脚注25。</w:t>
      </w:r>
    </w:p>
  </w:footnote>
  <w:footnote w:id="32">
    <w:p w14:paraId="612304B5">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FDA不要求提交临床有效性数据。</w:t>
      </w:r>
    </w:p>
  </w:footnote>
  <w:footnote w:id="33">
    <w:p w14:paraId="2A5ABB27">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网址：</w:t>
      </w:r>
      <w:r>
        <w:fldChar w:fldCharType="begin"/>
      </w:r>
      <w:r>
        <w:instrText xml:space="preserve"> HYPERLINK "http://www.fda.gov/MedicalDevices/DeviceRegulationandGuidance/GuidanceDocuments/ucm070897.htm"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//www.fda.gov/MedicalDevices/DeviceRegulationandGuidance/GuidanceDocuments/ucm070897.htm</w:t>
      </w:r>
      <w:r>
        <w:rPr>
          <w:rFonts w:ascii="Arial" w:hAnsi="Arial" w:eastAsia="宋体" w:cs="Arial"/>
          <w:snapToGrid w:val="0"/>
          <w:color w:val="0000FF"/>
          <w:sz w:val="21"/>
          <w:szCs w:val="21"/>
          <w:u w:val="single" w:color="0000FF"/>
        </w:rPr>
        <w:fldChar w:fldCharType="end"/>
      </w:r>
    </w:p>
  </w:footnote>
  <w:footnote w:id="34">
    <w:p w14:paraId="31199CE4">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有关可能分类为“需要采取官方行动”的检查的讨论，请参见“FDA合规项目指南手册”（7382.845）第33页，网址：</w:t>
      </w:r>
      <w:r>
        <w:fldChar w:fldCharType="begin"/>
      </w:r>
      <w:r>
        <w:instrText xml:space="preserve"> HYPERLINK "http://www.fda.gov/downloads/MedicalDevices/DeviceRegulationandGuidance/GuidanceDocuments/UCM244277.pdf" \h </w:instrText>
      </w:r>
      <w:r>
        <w:fldChar w:fldCharType="separate"/>
      </w:r>
      <w:r>
        <w:rPr>
          <w:rFonts w:ascii="Arial" w:hAnsi="Arial" w:eastAsia="宋体" w:cs="Arial"/>
          <w:snapToGrid w:val="0"/>
          <w:color w:val="0000FF"/>
          <w:sz w:val="21"/>
          <w:szCs w:val="21"/>
          <w:u w:val="single" w:color="0000FF"/>
        </w:rPr>
        <w:t xml:space="preserve">http: //www.fda.gov/downloads/MedicalDevices/DeviceRegulationandGuidance/GuidanceDocuments/UCM244277. </w:t>
      </w:r>
      <w:r>
        <w:rPr>
          <w:rFonts w:ascii="Arial" w:hAnsi="Arial" w:eastAsia="宋体" w:cs="Arial"/>
          <w:snapToGrid w:val="0"/>
          <w:color w:val="0000FF"/>
          <w:sz w:val="21"/>
          <w:szCs w:val="21"/>
          <w:u w:val="single" w:color="0000FF"/>
        </w:rPr>
        <w:fldChar w:fldCharType="end"/>
      </w:r>
      <w:r>
        <w:fldChar w:fldCharType="begin"/>
      </w:r>
      <w:r>
        <w:instrText xml:space="preserve"> HYPERLINK "http://www.fda.gov/downloads/MedicalDevices/DeviceRegulationandGuidance/GuidanceDocuments/UCM244277.pdf"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pdf</w:t>
      </w:r>
      <w:r>
        <w:rPr>
          <w:rFonts w:ascii="Arial" w:hAnsi="Arial" w:eastAsia="宋体" w:cs="Arial"/>
          <w:snapToGrid w:val="0"/>
          <w:color w:val="0000FF"/>
          <w:sz w:val="21"/>
          <w:szCs w:val="21"/>
          <w:u w:val="single" w:color="0000FF"/>
        </w:rPr>
        <w:fldChar w:fldCharType="end"/>
      </w:r>
    </w:p>
  </w:footnote>
  <w:footnote w:id="35">
    <w:p w14:paraId="788AC84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根据FD&amp;C法案第21（301）（1）（C）条，制造商必须遵守或不得拒绝遵守第522条。 331（q）（1）（C）。此外，根据该法第502 (t)（3）条，21 U.S.C. 352 (t)（3），如果未能或拒绝遵守FD&amp;C法案第522节的任何要求，则器械将被认定为假冒产品。请注意，违反第301（q）（1）（C）或502 (t)（3）条可能会导致执法行动，包括扣押、禁令、起诉和／或民事罚款。</w:t>
      </w:r>
    </w:p>
  </w:footnote>
  <w:footnote w:id="36">
    <w:p w14:paraId="2E726279">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网址：</w:t>
      </w:r>
      <w:r>
        <w:fldChar w:fldCharType="begin"/>
      </w:r>
      <w:r>
        <w:instrText xml:space="preserve"> HYPERLINK "http://www.fda.gov/MedicalDevices/DeviceRegulationandGuidance/GuidanceDocuments/ucm070974.htm"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//www.fda.gov/MedicalDevices/DeviceRegulationandGuidance/GuidanceDocuments/ucm070974.htm</w:t>
      </w:r>
      <w:r>
        <w:rPr>
          <w:rFonts w:ascii="Arial" w:hAnsi="Arial" w:eastAsia="宋体" w:cs="Arial"/>
          <w:snapToGrid w:val="0"/>
          <w:color w:val="0000FF"/>
          <w:sz w:val="21"/>
          <w:szCs w:val="21"/>
          <w:u w:val="single" w:color="0000FF"/>
        </w:rPr>
        <w:fldChar w:fldCharType="end"/>
      </w:r>
    </w:p>
  </w:footnote>
  <w:footnote w:id="37">
    <w:p w14:paraId="7BBB2AB7">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请参见脚注37。</w:t>
      </w:r>
    </w:p>
  </w:footnote>
  <w:footnote w:id="38">
    <w:p w14:paraId="4E583621">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814.46 (c)</w:t>
      </w:r>
    </w:p>
  </w:footnote>
  <w:footnote w:id="39">
    <w:p w14:paraId="20CD21C3">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814.46 (d)</w:t>
      </w:r>
    </w:p>
  </w:footnote>
  <w:footnote w:id="40">
    <w:p w14:paraId="16A9616D">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有关预提交项目的更多信息，请参见FDA指南“请求提供医疗器械提交材料反馈：预提交项目及与食品药品监督管理局工作人员的会议”</w:t>
      </w:r>
      <w:r>
        <w:fldChar w:fldCharType="begin"/>
      </w:r>
      <w:r>
        <w:instrText xml:space="preserve"> HYPERLINK "file:///\\\\shundajiayi\\翻译客户\\翻译客户\\交流中心\\2017\\9月\\0928石慧\\需要翻译的指导原则（三）\\需要翻译的指导原则（三）\\（http:\\www.fda.gov\\downloads\\MedicalDevices\\DeviceRegulationandGuidance\\GuidanceDocuments\\UCM311176." </w:instrText>
      </w:r>
      <w:r>
        <w:fldChar w:fldCharType="separate"/>
      </w:r>
      <w:r>
        <w:rPr>
          <w:rStyle w:val="17"/>
          <w:rFonts w:hint="eastAsia" w:ascii="Arial" w:hAnsi="Arial" w:eastAsia="宋体" w:cs="Arial"/>
          <w:snapToGrid w:val="0"/>
          <w:sz w:val="21"/>
          <w:szCs w:val="21"/>
        </w:rPr>
        <w:t>（http</w:t>
      </w:r>
      <w:r>
        <w:rPr>
          <w:rStyle w:val="17"/>
          <w:rFonts w:ascii="Arial" w:hAnsi="Arial" w:eastAsia="宋体" w:cs="Arial"/>
          <w:snapToGrid w:val="0"/>
          <w:sz w:val="21"/>
          <w:szCs w:val="21"/>
        </w:rPr>
        <w:t>:</w:t>
      </w:r>
      <w:r>
        <w:rPr>
          <w:rStyle w:val="17"/>
          <w:rFonts w:hint="eastAsia" w:ascii="Arial" w:hAnsi="Arial" w:eastAsia="宋体" w:cs="Arial"/>
          <w:snapToGrid w:val="0"/>
          <w:sz w:val="21"/>
          <w:szCs w:val="21"/>
        </w:rPr>
        <w:t>//www.fda.gov/downloads/MedicalDevices/DeviceRegulationandGuidance/GuidanceDocuments/UCM311176.</w:t>
      </w:r>
      <w:r>
        <w:rPr>
          <w:rStyle w:val="17"/>
          <w:rFonts w:hint="eastAsia" w:ascii="Arial" w:hAnsi="Arial" w:eastAsia="宋体" w:cs="Arial"/>
          <w:snapToGrid w:val="0"/>
          <w:sz w:val="21"/>
          <w:szCs w:val="21"/>
        </w:rPr>
        <w:fldChar w:fldCharType="end"/>
      </w:r>
      <w:r>
        <w:rPr>
          <w:rFonts w:ascii="Arial" w:hAnsi="Arial" w:eastAsia="宋体" w:cs="Arial"/>
          <w:snapToGrid w:val="0"/>
          <w:sz w:val="21"/>
          <w:szCs w:val="21"/>
        </w:rPr>
        <w:t xml:space="preserve"> pdf）.</w:t>
      </w:r>
    </w:p>
  </w:footnote>
  <w:footnote w:id="41">
    <w:p w14:paraId="4908745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eastAsia="宋体" w:cs="Arial"/>
          <w:snapToGrid w:val="0"/>
          <w:sz w:val="21"/>
          <w:szCs w:val="21"/>
        </w:rPr>
        <w:t>网址：</w:t>
      </w:r>
      <w:r>
        <w:fldChar w:fldCharType="begin"/>
      </w:r>
      <w:r>
        <w:instrText xml:space="preserve"> HYPERLINK "http://www.fda.gov/MedicalDevices/DeviceRegulationandGuidance/GuidanceDocuments/ucm284651.htm" \h </w:instrText>
      </w:r>
      <w:r>
        <w:fldChar w:fldCharType="separate"/>
      </w:r>
      <w:r>
        <w:rPr>
          <w:rFonts w:ascii="Arial" w:hAnsi="Arial" w:eastAsia="宋体" w:cs="Arial"/>
          <w:snapToGrid w:val="0"/>
          <w:color w:val="0000FF"/>
          <w:sz w:val="21"/>
          <w:szCs w:val="21"/>
        </w:rPr>
        <w:t>.</w:t>
      </w:r>
      <w:r>
        <w:rPr>
          <w:rFonts w:ascii="Arial" w:hAnsi="Arial" w:eastAsia="宋体" w:cs="Arial"/>
          <w:snapToGrid w:val="0"/>
          <w:color w:val="0000FF"/>
          <w:sz w:val="21"/>
          <w:szCs w:val="21"/>
          <w:u w:val="single" w:color="0000FF"/>
        </w:rPr>
        <w:t>http: //www.fda.gov/MedicalDevices/DeviceRegulationandGuidance/GuidanceDocuments/ucm284651.htm</w:t>
      </w:r>
      <w:r>
        <w:rPr>
          <w:rFonts w:ascii="Arial" w:hAnsi="Arial" w:eastAsia="宋体" w:cs="Arial"/>
          <w:snapToGrid w:val="0"/>
          <w:color w:val="0000FF"/>
          <w:sz w:val="21"/>
          <w:szCs w:val="21"/>
          <w:u w:val="single" w:color="0000FF"/>
        </w:rPr>
        <w:fldChar w:fldCharType="end"/>
      </w:r>
    </w:p>
  </w:footnote>
  <w:footnote w:id="42">
    <w:p w14:paraId="35BD2B9A">
      <w:pPr>
        <w:pStyle w:val="12"/>
        <w:spacing w:line="300" w:lineRule="auto"/>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814.82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7EA7">
    <w:pPr>
      <w:pStyle w:val="10"/>
      <w:pBdr>
        <w:bottom w:val="none" w:color="auto" w:sz="0" w:space="0"/>
      </w:pBdr>
      <w:spacing w:after="120" w:afterLines="50"/>
      <w:rPr>
        <w:rFonts w:ascii="Arial" w:hAnsi="Arial" w:eastAsia="宋体" w:cs="Arial"/>
        <w:b/>
        <w:i/>
        <w:snapToGrid w:val="0"/>
        <w:sz w:val="24"/>
      </w:rPr>
    </w:pPr>
    <w:r>
      <w:rPr>
        <w:rFonts w:hint="eastAsia" w:ascii="Arial" w:hAnsi="Arial" w:eastAsia="宋体" w:cs="Arial"/>
        <w:b/>
        <w:i/>
        <w:snapToGrid w:val="0"/>
        <w:sz w:val="21"/>
      </w:rPr>
      <w:t>所含建议不具约束力</w:t>
    </w:r>
  </w:p>
  <w:p w14:paraId="41848890">
    <w:pPr>
      <w:pStyle w:val="10"/>
      <w:pBdr>
        <w:bottom w:val="none" w:color="auto" w:sz="0" w:space="0"/>
      </w:pBdr>
      <w:spacing w:after="120" w:afterLines="5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4938"/>
    <w:multiLevelType w:val="multilevel"/>
    <w:tmpl w:val="15494938"/>
    <w:lvl w:ilvl="0" w:tentative="0">
      <w:start w:val="1"/>
      <w:numFmt w:val="decimal"/>
      <w:lvlText w:val="(%1)"/>
      <w:lvlJc w:val="left"/>
      <w:pPr>
        <w:ind w:left="840" w:hanging="720"/>
      </w:pPr>
      <w:rPr>
        <w:rFonts w:hint="default" w:ascii="Arial" w:hAnsi="Arial" w:eastAsia="Times New Roman" w:cs="Arial"/>
        <w:b/>
        <w:bCs/>
        <w:spacing w:val="-2"/>
        <w:w w:val="100"/>
        <w:sz w:val="24"/>
        <w:szCs w:val="28"/>
      </w:rPr>
    </w:lvl>
    <w:lvl w:ilvl="1" w:tentative="0">
      <w:start w:val="1"/>
      <w:numFmt w:val="bullet"/>
      <w:lvlText w:val="•"/>
      <w:lvlJc w:val="left"/>
      <w:pPr>
        <w:ind w:left="1714" w:hanging="720"/>
      </w:pPr>
      <w:rPr>
        <w:rFonts w:hint="default"/>
      </w:rPr>
    </w:lvl>
    <w:lvl w:ilvl="2" w:tentative="0">
      <w:start w:val="1"/>
      <w:numFmt w:val="bullet"/>
      <w:lvlText w:val="•"/>
      <w:lvlJc w:val="left"/>
      <w:pPr>
        <w:ind w:left="2588" w:hanging="720"/>
      </w:pPr>
      <w:rPr>
        <w:rFonts w:hint="default"/>
      </w:rPr>
    </w:lvl>
    <w:lvl w:ilvl="3" w:tentative="0">
      <w:start w:val="1"/>
      <w:numFmt w:val="bullet"/>
      <w:lvlText w:val="•"/>
      <w:lvlJc w:val="left"/>
      <w:pPr>
        <w:ind w:left="3462" w:hanging="720"/>
      </w:pPr>
      <w:rPr>
        <w:rFonts w:hint="default"/>
      </w:rPr>
    </w:lvl>
    <w:lvl w:ilvl="4" w:tentative="0">
      <w:start w:val="1"/>
      <w:numFmt w:val="bullet"/>
      <w:lvlText w:val="•"/>
      <w:lvlJc w:val="left"/>
      <w:pPr>
        <w:ind w:left="4336" w:hanging="720"/>
      </w:pPr>
      <w:rPr>
        <w:rFonts w:hint="default"/>
      </w:rPr>
    </w:lvl>
    <w:lvl w:ilvl="5" w:tentative="0">
      <w:start w:val="1"/>
      <w:numFmt w:val="bullet"/>
      <w:lvlText w:val="•"/>
      <w:lvlJc w:val="left"/>
      <w:pPr>
        <w:ind w:left="5210" w:hanging="720"/>
      </w:pPr>
      <w:rPr>
        <w:rFonts w:hint="default"/>
      </w:rPr>
    </w:lvl>
    <w:lvl w:ilvl="6" w:tentative="0">
      <w:start w:val="1"/>
      <w:numFmt w:val="bullet"/>
      <w:lvlText w:val="•"/>
      <w:lvlJc w:val="left"/>
      <w:pPr>
        <w:ind w:left="6084" w:hanging="720"/>
      </w:pPr>
      <w:rPr>
        <w:rFonts w:hint="default"/>
      </w:rPr>
    </w:lvl>
    <w:lvl w:ilvl="7" w:tentative="0">
      <w:start w:val="1"/>
      <w:numFmt w:val="bullet"/>
      <w:lvlText w:val="•"/>
      <w:lvlJc w:val="left"/>
      <w:pPr>
        <w:ind w:left="6958" w:hanging="720"/>
      </w:pPr>
      <w:rPr>
        <w:rFonts w:hint="default"/>
      </w:rPr>
    </w:lvl>
    <w:lvl w:ilvl="8" w:tentative="0">
      <w:start w:val="1"/>
      <w:numFmt w:val="bullet"/>
      <w:lvlText w:val="•"/>
      <w:lvlJc w:val="left"/>
      <w:pPr>
        <w:ind w:left="7832" w:hanging="720"/>
      </w:pPr>
      <w:rPr>
        <w:rFonts w:hint="default"/>
      </w:rPr>
    </w:lvl>
  </w:abstractNum>
  <w:abstractNum w:abstractNumId="1">
    <w:nsid w:val="225A1386"/>
    <w:multiLevelType w:val="multilevel"/>
    <w:tmpl w:val="225A1386"/>
    <w:lvl w:ilvl="0" w:tentative="0">
      <w:start w:val="1"/>
      <w:numFmt w:val="upperLetter"/>
      <w:lvlText w:val="%1."/>
      <w:lvlJc w:val="left"/>
      <w:pPr>
        <w:ind w:left="840" w:hanging="720"/>
      </w:pPr>
      <w:rPr>
        <w:rFonts w:hint="default" w:ascii="Arial" w:hAnsi="Arial" w:eastAsia="Times New Roman" w:cs="Arial"/>
        <w:b/>
        <w:bCs/>
        <w:spacing w:val="-3"/>
        <w:w w:val="100"/>
      </w:rPr>
    </w:lvl>
    <w:lvl w:ilvl="1" w:tentative="0">
      <w:start w:val="1"/>
      <w:numFmt w:val="decimal"/>
      <w:lvlText w:val="%2."/>
      <w:lvlJc w:val="left"/>
      <w:pPr>
        <w:ind w:left="840" w:hanging="360"/>
      </w:pPr>
      <w:rPr>
        <w:rFonts w:hint="default" w:ascii="Arial" w:hAnsi="Arial" w:eastAsia="Times New Roman" w:cs="Arial"/>
        <w:spacing w:val="-5"/>
        <w:w w:val="100"/>
        <w:sz w:val="24"/>
        <w:szCs w:val="24"/>
      </w:rPr>
    </w:lvl>
    <w:lvl w:ilvl="2" w:tentative="0">
      <w:start w:val="1"/>
      <w:numFmt w:val="bullet"/>
      <w:lvlText w:val="o"/>
      <w:lvlJc w:val="left"/>
      <w:pPr>
        <w:ind w:left="1560" w:hanging="360"/>
      </w:pPr>
      <w:rPr>
        <w:rFonts w:hint="default" w:ascii="Courier New" w:hAnsi="Courier New" w:eastAsia="Courier New"/>
        <w:w w:val="100"/>
        <w:sz w:val="24"/>
        <w:szCs w:val="24"/>
      </w:rPr>
    </w:lvl>
    <w:lvl w:ilvl="3" w:tentative="0">
      <w:start w:val="1"/>
      <w:numFmt w:val="bullet"/>
      <w:lvlText w:val="•"/>
      <w:lvlJc w:val="left"/>
      <w:pPr>
        <w:ind w:left="3342" w:hanging="360"/>
      </w:pPr>
      <w:rPr>
        <w:rFonts w:hint="default"/>
      </w:rPr>
    </w:lvl>
    <w:lvl w:ilvl="4" w:tentative="0">
      <w:start w:val="1"/>
      <w:numFmt w:val="bullet"/>
      <w:lvlText w:val="•"/>
      <w:lvlJc w:val="left"/>
      <w:pPr>
        <w:ind w:left="4233" w:hanging="360"/>
      </w:pPr>
      <w:rPr>
        <w:rFonts w:hint="default"/>
      </w:rPr>
    </w:lvl>
    <w:lvl w:ilvl="5" w:tentative="0">
      <w:start w:val="1"/>
      <w:numFmt w:val="bullet"/>
      <w:lvlText w:val="•"/>
      <w:lvlJc w:val="left"/>
      <w:pPr>
        <w:ind w:left="5124" w:hanging="360"/>
      </w:pPr>
      <w:rPr>
        <w:rFonts w:hint="default"/>
      </w:rPr>
    </w:lvl>
    <w:lvl w:ilvl="6" w:tentative="0">
      <w:start w:val="1"/>
      <w:numFmt w:val="bullet"/>
      <w:lvlText w:val="•"/>
      <w:lvlJc w:val="left"/>
      <w:pPr>
        <w:ind w:left="6015" w:hanging="360"/>
      </w:pPr>
      <w:rPr>
        <w:rFonts w:hint="default"/>
      </w:rPr>
    </w:lvl>
    <w:lvl w:ilvl="7" w:tentative="0">
      <w:start w:val="1"/>
      <w:numFmt w:val="bullet"/>
      <w:lvlText w:val="•"/>
      <w:lvlJc w:val="left"/>
      <w:pPr>
        <w:ind w:left="6906" w:hanging="360"/>
      </w:pPr>
      <w:rPr>
        <w:rFonts w:hint="default"/>
      </w:rPr>
    </w:lvl>
    <w:lvl w:ilvl="8" w:tentative="0">
      <w:start w:val="1"/>
      <w:numFmt w:val="bullet"/>
      <w:lvlText w:val="•"/>
      <w:lvlJc w:val="left"/>
      <w:pPr>
        <w:ind w:left="7797" w:hanging="360"/>
      </w:pPr>
      <w:rPr>
        <w:rFonts w:hint="default"/>
      </w:rPr>
    </w:lvl>
  </w:abstractNum>
  <w:abstractNum w:abstractNumId="2">
    <w:nsid w:val="27C03C4E"/>
    <w:multiLevelType w:val="multilevel"/>
    <w:tmpl w:val="27C03C4E"/>
    <w:lvl w:ilvl="0" w:tentative="0">
      <w:start w:val="1"/>
      <w:numFmt w:val="upperRoman"/>
      <w:lvlText w:val="%1."/>
      <w:lvlJc w:val="left"/>
      <w:pPr>
        <w:ind w:left="840" w:hanging="720"/>
      </w:pPr>
      <w:rPr>
        <w:rFonts w:hint="default" w:ascii="Arial" w:hAnsi="Arial" w:eastAsia="宋体" w:cs="Arial"/>
        <w:b/>
        <w:bCs/>
        <w:spacing w:val="-7"/>
        <w:w w:val="100"/>
        <w:sz w:val="36"/>
        <w:szCs w:val="36"/>
      </w:rPr>
    </w:lvl>
    <w:lvl w:ilvl="1" w:tentative="0">
      <w:start w:val="1"/>
      <w:numFmt w:val="bullet"/>
      <w:lvlText w:val="•"/>
      <w:lvlJc w:val="left"/>
      <w:pPr>
        <w:ind w:left="1714" w:hanging="720"/>
      </w:pPr>
      <w:rPr>
        <w:rFonts w:hint="default"/>
      </w:rPr>
    </w:lvl>
    <w:lvl w:ilvl="2" w:tentative="0">
      <w:start w:val="1"/>
      <w:numFmt w:val="bullet"/>
      <w:lvlText w:val="•"/>
      <w:lvlJc w:val="left"/>
      <w:pPr>
        <w:ind w:left="2588" w:hanging="720"/>
      </w:pPr>
      <w:rPr>
        <w:rFonts w:hint="default"/>
      </w:rPr>
    </w:lvl>
    <w:lvl w:ilvl="3" w:tentative="0">
      <w:start w:val="1"/>
      <w:numFmt w:val="bullet"/>
      <w:lvlText w:val="•"/>
      <w:lvlJc w:val="left"/>
      <w:pPr>
        <w:ind w:left="3462" w:hanging="720"/>
      </w:pPr>
      <w:rPr>
        <w:rFonts w:hint="default"/>
      </w:rPr>
    </w:lvl>
    <w:lvl w:ilvl="4" w:tentative="0">
      <w:start w:val="1"/>
      <w:numFmt w:val="bullet"/>
      <w:lvlText w:val="•"/>
      <w:lvlJc w:val="left"/>
      <w:pPr>
        <w:ind w:left="4336" w:hanging="720"/>
      </w:pPr>
      <w:rPr>
        <w:rFonts w:hint="default"/>
      </w:rPr>
    </w:lvl>
    <w:lvl w:ilvl="5" w:tentative="0">
      <w:start w:val="1"/>
      <w:numFmt w:val="bullet"/>
      <w:lvlText w:val="•"/>
      <w:lvlJc w:val="left"/>
      <w:pPr>
        <w:ind w:left="5210" w:hanging="720"/>
      </w:pPr>
      <w:rPr>
        <w:rFonts w:hint="default"/>
      </w:rPr>
    </w:lvl>
    <w:lvl w:ilvl="6" w:tentative="0">
      <w:start w:val="1"/>
      <w:numFmt w:val="bullet"/>
      <w:lvlText w:val="•"/>
      <w:lvlJc w:val="left"/>
      <w:pPr>
        <w:ind w:left="6084" w:hanging="720"/>
      </w:pPr>
      <w:rPr>
        <w:rFonts w:hint="default"/>
      </w:rPr>
    </w:lvl>
    <w:lvl w:ilvl="7" w:tentative="0">
      <w:start w:val="1"/>
      <w:numFmt w:val="bullet"/>
      <w:lvlText w:val="•"/>
      <w:lvlJc w:val="left"/>
      <w:pPr>
        <w:ind w:left="6958" w:hanging="720"/>
      </w:pPr>
      <w:rPr>
        <w:rFonts w:hint="default"/>
      </w:rPr>
    </w:lvl>
    <w:lvl w:ilvl="8" w:tentative="0">
      <w:start w:val="1"/>
      <w:numFmt w:val="bullet"/>
      <w:lvlText w:val="•"/>
      <w:lvlJc w:val="left"/>
      <w:pPr>
        <w:ind w:left="7832" w:hanging="720"/>
      </w:pPr>
      <w:rPr>
        <w:rFonts w:hint="default"/>
      </w:rPr>
    </w:lvl>
  </w:abstractNum>
  <w:abstractNum w:abstractNumId="3">
    <w:nsid w:val="311C46DD"/>
    <w:multiLevelType w:val="multilevel"/>
    <w:tmpl w:val="311C46DD"/>
    <w:lvl w:ilvl="0" w:tentative="0">
      <w:start w:val="1"/>
      <w:numFmt w:val="decimal"/>
      <w:lvlText w:val="(%1)"/>
      <w:lvlJc w:val="left"/>
      <w:pPr>
        <w:ind w:left="840" w:hanging="720"/>
      </w:pPr>
      <w:rPr>
        <w:rFonts w:hint="default" w:ascii="Arial" w:hAnsi="Arial" w:eastAsia="Times New Roman" w:cs="Arial"/>
        <w:b/>
        <w:bCs/>
        <w:spacing w:val="-3"/>
        <w:w w:val="100"/>
        <w:sz w:val="24"/>
        <w:szCs w:val="28"/>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o"/>
      <w:lvlJc w:val="left"/>
      <w:pPr>
        <w:ind w:left="1387" w:hanging="269"/>
      </w:pPr>
      <w:rPr>
        <w:rFonts w:hint="default" w:ascii="Courier New" w:hAnsi="Courier New" w:eastAsia="Courier New"/>
        <w:w w:val="100"/>
        <w:sz w:val="24"/>
        <w:szCs w:val="24"/>
      </w:rPr>
    </w:lvl>
    <w:lvl w:ilvl="3" w:tentative="0">
      <w:start w:val="1"/>
      <w:numFmt w:val="bullet"/>
      <w:lvlText w:val="•"/>
      <w:lvlJc w:val="left"/>
      <w:pPr>
        <w:ind w:left="3197" w:hanging="269"/>
      </w:pPr>
      <w:rPr>
        <w:rFonts w:hint="default"/>
      </w:rPr>
    </w:lvl>
    <w:lvl w:ilvl="4" w:tentative="0">
      <w:start w:val="1"/>
      <w:numFmt w:val="bullet"/>
      <w:lvlText w:val="•"/>
      <w:lvlJc w:val="left"/>
      <w:pPr>
        <w:ind w:left="4106" w:hanging="269"/>
      </w:pPr>
      <w:rPr>
        <w:rFonts w:hint="default"/>
      </w:rPr>
    </w:lvl>
    <w:lvl w:ilvl="5" w:tentative="0">
      <w:start w:val="1"/>
      <w:numFmt w:val="bullet"/>
      <w:lvlText w:val="•"/>
      <w:lvlJc w:val="left"/>
      <w:pPr>
        <w:ind w:left="5015" w:hanging="269"/>
      </w:pPr>
      <w:rPr>
        <w:rFonts w:hint="default"/>
      </w:rPr>
    </w:lvl>
    <w:lvl w:ilvl="6" w:tentative="0">
      <w:start w:val="1"/>
      <w:numFmt w:val="bullet"/>
      <w:lvlText w:val="•"/>
      <w:lvlJc w:val="left"/>
      <w:pPr>
        <w:ind w:left="5924" w:hanging="269"/>
      </w:pPr>
      <w:rPr>
        <w:rFonts w:hint="default"/>
      </w:rPr>
    </w:lvl>
    <w:lvl w:ilvl="7" w:tentative="0">
      <w:start w:val="1"/>
      <w:numFmt w:val="bullet"/>
      <w:lvlText w:val="•"/>
      <w:lvlJc w:val="left"/>
      <w:pPr>
        <w:ind w:left="6833" w:hanging="269"/>
      </w:pPr>
      <w:rPr>
        <w:rFonts w:hint="default"/>
      </w:rPr>
    </w:lvl>
    <w:lvl w:ilvl="8" w:tentative="0">
      <w:start w:val="1"/>
      <w:numFmt w:val="bullet"/>
      <w:lvlText w:val="•"/>
      <w:lvlJc w:val="left"/>
      <w:pPr>
        <w:ind w:left="7742" w:hanging="269"/>
      </w:pPr>
      <w:rPr>
        <w:rFonts w:hint="default"/>
      </w:rPr>
    </w:lvl>
  </w:abstractNum>
  <w:abstractNum w:abstractNumId="4">
    <w:nsid w:val="3A5E7AC8"/>
    <w:multiLevelType w:val="multilevel"/>
    <w:tmpl w:val="3A5E7AC8"/>
    <w:lvl w:ilvl="0" w:tentative="0">
      <w:start w:val="21"/>
      <w:numFmt w:val="upperLetter"/>
      <w:lvlText w:val="%1"/>
      <w:lvlJc w:val="left"/>
      <w:pPr>
        <w:ind w:left="120" w:hanging="408"/>
      </w:pPr>
      <w:rPr>
        <w:rFonts w:hint="default"/>
      </w:rPr>
    </w:lvl>
    <w:lvl w:ilvl="1" w:tentative="0">
      <w:start w:val="19"/>
      <w:numFmt w:val="upperLetter"/>
      <w:lvlText w:val="%1.%2."/>
      <w:lvlJc w:val="left"/>
      <w:pPr>
        <w:ind w:left="120" w:hanging="408"/>
      </w:pPr>
      <w:rPr>
        <w:rFonts w:hint="default" w:ascii="Times New Roman" w:hAnsi="Times New Roman" w:eastAsia="Times New Roman"/>
        <w:spacing w:val="-1"/>
        <w:w w:val="100"/>
        <w:sz w:val="20"/>
        <w:szCs w:val="20"/>
      </w:rPr>
    </w:lvl>
    <w:lvl w:ilvl="2" w:tentative="0">
      <w:start w:val="1"/>
      <w:numFmt w:val="decimal"/>
      <w:lvlText w:val="(%3)"/>
      <w:lvlJc w:val="left"/>
      <w:pPr>
        <w:ind w:left="1278" w:hanging="339"/>
      </w:pPr>
      <w:rPr>
        <w:rFonts w:hint="default" w:ascii="Arial" w:hAnsi="Arial" w:eastAsia="Times New Roman" w:cs="Arial"/>
        <w:spacing w:val="-1"/>
        <w:w w:val="100"/>
        <w:sz w:val="24"/>
        <w:szCs w:val="24"/>
      </w:rPr>
    </w:lvl>
    <w:lvl w:ilvl="3" w:tentative="0">
      <w:start w:val="1"/>
      <w:numFmt w:val="bullet"/>
      <w:lvlText w:val="•"/>
      <w:lvlJc w:val="left"/>
      <w:pPr>
        <w:ind w:left="3124" w:hanging="339"/>
      </w:pPr>
      <w:rPr>
        <w:rFonts w:hint="default"/>
      </w:rPr>
    </w:lvl>
    <w:lvl w:ilvl="4" w:tentative="0">
      <w:start w:val="1"/>
      <w:numFmt w:val="bullet"/>
      <w:lvlText w:val="•"/>
      <w:lvlJc w:val="left"/>
      <w:pPr>
        <w:ind w:left="4046" w:hanging="339"/>
      </w:pPr>
      <w:rPr>
        <w:rFonts w:hint="default"/>
      </w:rPr>
    </w:lvl>
    <w:lvl w:ilvl="5" w:tentative="0">
      <w:start w:val="1"/>
      <w:numFmt w:val="bullet"/>
      <w:lvlText w:val="•"/>
      <w:lvlJc w:val="left"/>
      <w:pPr>
        <w:ind w:left="4968" w:hanging="339"/>
      </w:pPr>
      <w:rPr>
        <w:rFonts w:hint="default"/>
      </w:rPr>
    </w:lvl>
    <w:lvl w:ilvl="6" w:tentative="0">
      <w:start w:val="1"/>
      <w:numFmt w:val="bullet"/>
      <w:lvlText w:val="•"/>
      <w:lvlJc w:val="left"/>
      <w:pPr>
        <w:ind w:left="5891" w:hanging="339"/>
      </w:pPr>
      <w:rPr>
        <w:rFonts w:hint="default"/>
      </w:rPr>
    </w:lvl>
    <w:lvl w:ilvl="7" w:tentative="0">
      <w:start w:val="1"/>
      <w:numFmt w:val="bullet"/>
      <w:lvlText w:val="•"/>
      <w:lvlJc w:val="left"/>
      <w:pPr>
        <w:ind w:left="6813" w:hanging="339"/>
      </w:pPr>
      <w:rPr>
        <w:rFonts w:hint="default"/>
      </w:rPr>
    </w:lvl>
    <w:lvl w:ilvl="8" w:tentative="0">
      <w:start w:val="1"/>
      <w:numFmt w:val="bullet"/>
      <w:lvlText w:val="•"/>
      <w:lvlJc w:val="left"/>
      <w:pPr>
        <w:ind w:left="7735" w:hanging="339"/>
      </w:pPr>
      <w:rPr>
        <w:rFonts w:hint="default"/>
      </w:rPr>
    </w:lvl>
  </w:abstractNum>
  <w:abstractNum w:abstractNumId="5">
    <w:nsid w:val="40D611C7"/>
    <w:multiLevelType w:val="multilevel"/>
    <w:tmpl w:val="40D611C7"/>
    <w:lvl w:ilvl="0" w:tentative="0">
      <w:start w:val="2"/>
      <w:numFmt w:val="upperRoman"/>
      <w:lvlText w:val="%1."/>
      <w:lvlJc w:val="left"/>
      <w:pPr>
        <w:ind w:left="840" w:hanging="720"/>
      </w:pPr>
      <w:rPr>
        <w:rFonts w:hint="default" w:ascii="Arial" w:hAnsi="Arial" w:eastAsia="Times New Roman" w:cs="Arial"/>
        <w:b/>
        <w:bCs/>
        <w:spacing w:val="-2"/>
        <w:w w:val="100"/>
        <w:sz w:val="32"/>
        <w:szCs w:val="32"/>
      </w:rPr>
    </w:lvl>
    <w:lvl w:ilvl="1" w:tentative="0">
      <w:start w:val="1"/>
      <w:numFmt w:val="decimal"/>
      <w:lvlText w:val="%2)"/>
      <w:lvlJc w:val="left"/>
      <w:pPr>
        <w:ind w:left="840" w:hanging="360"/>
      </w:pPr>
      <w:rPr>
        <w:rFonts w:hint="default" w:ascii="Arial" w:hAnsi="Arial" w:eastAsia="Times New Roman" w:cs="Arial"/>
        <w:spacing w:val="-20"/>
        <w:w w:val="100"/>
        <w:sz w:val="24"/>
        <w:szCs w:val="24"/>
      </w:rPr>
    </w:lvl>
    <w:lvl w:ilvl="2" w:tentative="0">
      <w:start w:val="1"/>
      <w:numFmt w:val="bullet"/>
      <w:lvlText w:val="•"/>
      <w:lvlJc w:val="left"/>
      <w:pPr>
        <w:ind w:left="2592" w:hanging="360"/>
      </w:pPr>
      <w:rPr>
        <w:rFonts w:hint="default"/>
      </w:rPr>
    </w:lvl>
    <w:lvl w:ilvl="3" w:tentative="0">
      <w:start w:val="1"/>
      <w:numFmt w:val="bullet"/>
      <w:lvlText w:val="•"/>
      <w:lvlJc w:val="left"/>
      <w:pPr>
        <w:ind w:left="3468" w:hanging="360"/>
      </w:pPr>
      <w:rPr>
        <w:rFonts w:hint="default"/>
      </w:rPr>
    </w:lvl>
    <w:lvl w:ilvl="4" w:tentative="0">
      <w:start w:val="1"/>
      <w:numFmt w:val="bullet"/>
      <w:lvlText w:val="•"/>
      <w:lvlJc w:val="left"/>
      <w:pPr>
        <w:ind w:left="4344" w:hanging="360"/>
      </w:pPr>
      <w:rPr>
        <w:rFonts w:hint="default"/>
      </w:rPr>
    </w:lvl>
    <w:lvl w:ilvl="5" w:tentative="0">
      <w:start w:val="1"/>
      <w:numFmt w:val="bullet"/>
      <w:lvlText w:val="•"/>
      <w:lvlJc w:val="left"/>
      <w:pPr>
        <w:ind w:left="5220" w:hanging="360"/>
      </w:pPr>
      <w:rPr>
        <w:rFonts w:hint="default"/>
      </w:rPr>
    </w:lvl>
    <w:lvl w:ilvl="6" w:tentative="0">
      <w:start w:val="1"/>
      <w:numFmt w:val="bullet"/>
      <w:lvlText w:val="•"/>
      <w:lvlJc w:val="left"/>
      <w:pPr>
        <w:ind w:left="6096" w:hanging="360"/>
      </w:pPr>
      <w:rPr>
        <w:rFonts w:hint="default"/>
      </w:rPr>
    </w:lvl>
    <w:lvl w:ilvl="7" w:tentative="0">
      <w:start w:val="1"/>
      <w:numFmt w:val="bullet"/>
      <w:lvlText w:val="•"/>
      <w:lvlJc w:val="left"/>
      <w:pPr>
        <w:ind w:left="6972" w:hanging="360"/>
      </w:pPr>
      <w:rPr>
        <w:rFonts w:hint="default"/>
      </w:rPr>
    </w:lvl>
    <w:lvl w:ilvl="8" w:tentative="0">
      <w:start w:val="1"/>
      <w:numFmt w:val="bullet"/>
      <w:lvlText w:val="•"/>
      <w:lvlJc w:val="left"/>
      <w:pPr>
        <w:ind w:left="7848" w:hanging="360"/>
      </w:pPr>
      <w:rPr>
        <w:rFonts w:hint="default"/>
      </w:rPr>
    </w:lvl>
  </w:abstractNum>
  <w:abstractNum w:abstractNumId="6">
    <w:nsid w:val="4DBD1E9D"/>
    <w:multiLevelType w:val="multilevel"/>
    <w:tmpl w:val="4DBD1E9D"/>
    <w:lvl w:ilvl="0" w:tentative="0">
      <w:start w:val="1"/>
      <w:numFmt w:val="upperLetter"/>
      <w:lvlText w:val="%1."/>
      <w:lvlJc w:val="left"/>
      <w:pPr>
        <w:ind w:left="840" w:hanging="720"/>
      </w:pPr>
      <w:rPr>
        <w:rFonts w:hint="default" w:ascii="Arial" w:hAnsi="Arial" w:eastAsia="Times New Roman" w:cs="Arial"/>
        <w:b/>
        <w:bCs/>
        <w:spacing w:val="-2"/>
        <w:w w:val="100"/>
        <w:sz w:val="24"/>
        <w:szCs w:val="28"/>
      </w:rPr>
    </w:lvl>
    <w:lvl w:ilvl="1" w:tentative="0">
      <w:start w:val="1"/>
      <w:numFmt w:val="bullet"/>
      <w:lvlText w:val=""/>
      <w:lvlJc w:val="left"/>
      <w:pPr>
        <w:ind w:left="840" w:hanging="360"/>
      </w:pPr>
      <w:rPr>
        <w:rFonts w:hint="default" w:ascii="Symbol" w:hAnsi="Symbol" w:eastAsia="Symbol"/>
        <w:w w:val="99"/>
        <w:sz w:val="20"/>
        <w:szCs w:val="20"/>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7">
    <w:nsid w:val="52DE4B14"/>
    <w:multiLevelType w:val="multilevel"/>
    <w:tmpl w:val="52DE4B14"/>
    <w:lvl w:ilvl="0" w:tentative="0">
      <w:start w:val="1"/>
      <w:numFmt w:val="bullet"/>
      <w:lvlText w:val=""/>
      <w:lvlJc w:val="left"/>
      <w:pPr>
        <w:ind w:left="980" w:hanging="269"/>
      </w:pPr>
      <w:rPr>
        <w:rFonts w:hint="default" w:ascii="Symbol" w:hAnsi="Symbol" w:eastAsia="Symbol"/>
        <w:w w:val="99"/>
        <w:sz w:val="24"/>
        <w:szCs w:val="24"/>
      </w:rPr>
    </w:lvl>
    <w:lvl w:ilvl="1" w:tentative="0">
      <w:start w:val="1"/>
      <w:numFmt w:val="bullet"/>
      <w:lvlText w:val="•"/>
      <w:lvlJc w:val="left"/>
      <w:pPr>
        <w:ind w:left="1800" w:hanging="269"/>
      </w:pPr>
      <w:rPr>
        <w:rFonts w:hint="default"/>
      </w:rPr>
    </w:lvl>
    <w:lvl w:ilvl="2" w:tentative="0">
      <w:start w:val="1"/>
      <w:numFmt w:val="bullet"/>
      <w:lvlText w:val="•"/>
      <w:lvlJc w:val="left"/>
      <w:pPr>
        <w:ind w:left="2620" w:hanging="269"/>
      </w:pPr>
      <w:rPr>
        <w:rFonts w:hint="default"/>
      </w:rPr>
    </w:lvl>
    <w:lvl w:ilvl="3" w:tentative="0">
      <w:start w:val="1"/>
      <w:numFmt w:val="bullet"/>
      <w:lvlText w:val="•"/>
      <w:lvlJc w:val="left"/>
      <w:pPr>
        <w:ind w:left="3440" w:hanging="269"/>
      </w:pPr>
      <w:rPr>
        <w:rFonts w:hint="default"/>
      </w:rPr>
    </w:lvl>
    <w:lvl w:ilvl="4" w:tentative="0">
      <w:start w:val="1"/>
      <w:numFmt w:val="bullet"/>
      <w:lvlText w:val="•"/>
      <w:lvlJc w:val="left"/>
      <w:pPr>
        <w:ind w:left="4260" w:hanging="269"/>
      </w:pPr>
      <w:rPr>
        <w:rFonts w:hint="default"/>
      </w:rPr>
    </w:lvl>
    <w:lvl w:ilvl="5" w:tentative="0">
      <w:start w:val="1"/>
      <w:numFmt w:val="bullet"/>
      <w:lvlText w:val="•"/>
      <w:lvlJc w:val="left"/>
      <w:pPr>
        <w:ind w:left="5080" w:hanging="269"/>
      </w:pPr>
      <w:rPr>
        <w:rFonts w:hint="default"/>
      </w:rPr>
    </w:lvl>
    <w:lvl w:ilvl="6" w:tentative="0">
      <w:start w:val="1"/>
      <w:numFmt w:val="bullet"/>
      <w:lvlText w:val="•"/>
      <w:lvlJc w:val="left"/>
      <w:pPr>
        <w:ind w:left="5900" w:hanging="269"/>
      </w:pPr>
      <w:rPr>
        <w:rFonts w:hint="default"/>
      </w:rPr>
    </w:lvl>
    <w:lvl w:ilvl="7" w:tentative="0">
      <w:start w:val="1"/>
      <w:numFmt w:val="bullet"/>
      <w:lvlText w:val="•"/>
      <w:lvlJc w:val="left"/>
      <w:pPr>
        <w:ind w:left="6720" w:hanging="269"/>
      </w:pPr>
      <w:rPr>
        <w:rFonts w:hint="default"/>
      </w:rPr>
    </w:lvl>
    <w:lvl w:ilvl="8" w:tentative="0">
      <w:start w:val="1"/>
      <w:numFmt w:val="bullet"/>
      <w:lvlText w:val="•"/>
      <w:lvlJc w:val="left"/>
      <w:pPr>
        <w:ind w:left="7540" w:hanging="269"/>
      </w:pPr>
      <w:rPr>
        <w:rFonts w:hint="default"/>
      </w:rPr>
    </w:lvl>
  </w:abstractNum>
  <w:abstractNum w:abstractNumId="8">
    <w:nsid w:val="584811AC"/>
    <w:multiLevelType w:val="multilevel"/>
    <w:tmpl w:val="584811AC"/>
    <w:lvl w:ilvl="0" w:tentative="0">
      <w:start w:val="1"/>
      <w:numFmt w:val="decimal"/>
      <w:lvlText w:val="(%1)"/>
      <w:lvlJc w:val="left"/>
      <w:pPr>
        <w:ind w:left="840" w:hanging="339"/>
      </w:pPr>
      <w:rPr>
        <w:rFonts w:hint="default" w:ascii="Arial" w:hAnsi="Arial" w:eastAsia="Times New Roman" w:cs="Arial"/>
        <w:spacing w:val="-1"/>
        <w:w w:val="100"/>
        <w:sz w:val="24"/>
        <w:szCs w:val="24"/>
      </w:rPr>
    </w:lvl>
    <w:lvl w:ilvl="1" w:tentative="0">
      <w:start w:val="1"/>
      <w:numFmt w:val="bullet"/>
      <w:lvlText w:val=""/>
      <w:lvlJc w:val="left"/>
      <w:pPr>
        <w:ind w:left="1380" w:hanging="269"/>
      </w:pPr>
      <w:rPr>
        <w:rFonts w:hint="default" w:ascii="Symbol" w:hAnsi="Symbol" w:eastAsia="Symbol"/>
        <w:w w:val="99"/>
        <w:sz w:val="24"/>
        <w:szCs w:val="24"/>
      </w:rPr>
    </w:lvl>
    <w:lvl w:ilvl="2" w:tentative="0">
      <w:start w:val="1"/>
      <w:numFmt w:val="bullet"/>
      <w:lvlText w:val="•"/>
      <w:lvlJc w:val="left"/>
      <w:pPr>
        <w:ind w:left="2251" w:hanging="269"/>
      </w:pPr>
      <w:rPr>
        <w:rFonts w:hint="default"/>
      </w:rPr>
    </w:lvl>
    <w:lvl w:ilvl="3" w:tentative="0">
      <w:start w:val="1"/>
      <w:numFmt w:val="bullet"/>
      <w:lvlText w:val="•"/>
      <w:lvlJc w:val="left"/>
      <w:pPr>
        <w:ind w:left="3122" w:hanging="269"/>
      </w:pPr>
      <w:rPr>
        <w:rFonts w:hint="default"/>
      </w:rPr>
    </w:lvl>
    <w:lvl w:ilvl="4" w:tentative="0">
      <w:start w:val="1"/>
      <w:numFmt w:val="bullet"/>
      <w:lvlText w:val="•"/>
      <w:lvlJc w:val="left"/>
      <w:pPr>
        <w:ind w:left="3993" w:hanging="269"/>
      </w:pPr>
      <w:rPr>
        <w:rFonts w:hint="default"/>
      </w:rPr>
    </w:lvl>
    <w:lvl w:ilvl="5" w:tentative="0">
      <w:start w:val="1"/>
      <w:numFmt w:val="bullet"/>
      <w:lvlText w:val="•"/>
      <w:lvlJc w:val="left"/>
      <w:pPr>
        <w:ind w:left="4864" w:hanging="269"/>
      </w:pPr>
      <w:rPr>
        <w:rFonts w:hint="default"/>
      </w:rPr>
    </w:lvl>
    <w:lvl w:ilvl="6" w:tentative="0">
      <w:start w:val="1"/>
      <w:numFmt w:val="bullet"/>
      <w:lvlText w:val="•"/>
      <w:lvlJc w:val="left"/>
      <w:pPr>
        <w:ind w:left="5735" w:hanging="269"/>
      </w:pPr>
      <w:rPr>
        <w:rFonts w:hint="default"/>
      </w:rPr>
    </w:lvl>
    <w:lvl w:ilvl="7" w:tentative="0">
      <w:start w:val="1"/>
      <w:numFmt w:val="bullet"/>
      <w:lvlText w:val="•"/>
      <w:lvlJc w:val="left"/>
      <w:pPr>
        <w:ind w:left="6606" w:hanging="269"/>
      </w:pPr>
      <w:rPr>
        <w:rFonts w:hint="default"/>
      </w:rPr>
    </w:lvl>
    <w:lvl w:ilvl="8" w:tentative="0">
      <w:start w:val="1"/>
      <w:numFmt w:val="bullet"/>
      <w:lvlText w:val="•"/>
      <w:lvlJc w:val="left"/>
      <w:pPr>
        <w:ind w:left="7477" w:hanging="269"/>
      </w:pPr>
      <w:rPr>
        <w:rFonts w:hint="default"/>
      </w:rPr>
    </w:lvl>
  </w:abstractNum>
  <w:abstractNum w:abstractNumId="9">
    <w:nsid w:val="5B5C1D42"/>
    <w:multiLevelType w:val="multilevel"/>
    <w:tmpl w:val="5B5C1D42"/>
    <w:lvl w:ilvl="0" w:tentative="0">
      <w:start w:val="1"/>
      <w:numFmt w:val="decimal"/>
      <w:lvlText w:val="(%1)"/>
      <w:lvlJc w:val="left"/>
      <w:pPr>
        <w:ind w:left="840" w:hanging="720"/>
      </w:pPr>
      <w:rPr>
        <w:rFonts w:hint="default" w:ascii="Arial" w:hAnsi="Arial" w:eastAsia="Times New Roman" w:cs="Arial"/>
        <w:b/>
        <w:bCs/>
        <w:spacing w:val="-2"/>
        <w:w w:val="100"/>
        <w:sz w:val="24"/>
        <w:szCs w:val="28"/>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10">
    <w:nsid w:val="6DF8066A"/>
    <w:multiLevelType w:val="multilevel"/>
    <w:tmpl w:val="6DF8066A"/>
    <w:lvl w:ilvl="0" w:tentative="0">
      <w:start w:val="1"/>
      <w:numFmt w:val="decimal"/>
      <w:lvlText w:val="(%1)"/>
      <w:lvlJc w:val="left"/>
      <w:pPr>
        <w:ind w:left="840" w:hanging="720"/>
      </w:pPr>
      <w:rPr>
        <w:rFonts w:hint="default" w:ascii="Arial" w:hAnsi="Arial" w:eastAsia="Times New Roman" w:cs="Arial"/>
        <w:b/>
        <w:bCs/>
        <w:spacing w:val="-3"/>
        <w:w w:val="100"/>
        <w:sz w:val="24"/>
        <w:szCs w:val="28"/>
      </w:rPr>
    </w:lvl>
    <w:lvl w:ilvl="1" w:tentative="0">
      <w:start w:val="1"/>
      <w:numFmt w:val="bullet"/>
      <w:lvlText w:val="•"/>
      <w:lvlJc w:val="left"/>
      <w:pPr>
        <w:ind w:left="1712" w:hanging="720"/>
      </w:pPr>
      <w:rPr>
        <w:rFonts w:hint="default"/>
      </w:rPr>
    </w:lvl>
    <w:lvl w:ilvl="2" w:tentative="0">
      <w:start w:val="1"/>
      <w:numFmt w:val="bullet"/>
      <w:lvlText w:val="•"/>
      <w:lvlJc w:val="left"/>
      <w:pPr>
        <w:ind w:left="2584" w:hanging="720"/>
      </w:pPr>
      <w:rPr>
        <w:rFonts w:hint="default"/>
      </w:rPr>
    </w:lvl>
    <w:lvl w:ilvl="3" w:tentative="0">
      <w:start w:val="1"/>
      <w:numFmt w:val="bullet"/>
      <w:lvlText w:val="•"/>
      <w:lvlJc w:val="left"/>
      <w:pPr>
        <w:ind w:left="3456" w:hanging="720"/>
      </w:pPr>
      <w:rPr>
        <w:rFonts w:hint="default"/>
      </w:rPr>
    </w:lvl>
    <w:lvl w:ilvl="4" w:tentative="0">
      <w:start w:val="1"/>
      <w:numFmt w:val="bullet"/>
      <w:lvlText w:val="•"/>
      <w:lvlJc w:val="left"/>
      <w:pPr>
        <w:ind w:left="4328" w:hanging="720"/>
      </w:pPr>
      <w:rPr>
        <w:rFonts w:hint="default"/>
      </w:rPr>
    </w:lvl>
    <w:lvl w:ilvl="5" w:tentative="0">
      <w:start w:val="1"/>
      <w:numFmt w:val="bullet"/>
      <w:lvlText w:val="•"/>
      <w:lvlJc w:val="left"/>
      <w:pPr>
        <w:ind w:left="5200" w:hanging="720"/>
      </w:pPr>
      <w:rPr>
        <w:rFonts w:hint="default"/>
      </w:rPr>
    </w:lvl>
    <w:lvl w:ilvl="6" w:tentative="0">
      <w:start w:val="1"/>
      <w:numFmt w:val="bullet"/>
      <w:lvlText w:val="•"/>
      <w:lvlJc w:val="left"/>
      <w:pPr>
        <w:ind w:left="6072" w:hanging="720"/>
      </w:pPr>
      <w:rPr>
        <w:rFonts w:hint="default"/>
      </w:rPr>
    </w:lvl>
    <w:lvl w:ilvl="7" w:tentative="0">
      <w:start w:val="1"/>
      <w:numFmt w:val="bullet"/>
      <w:lvlText w:val="•"/>
      <w:lvlJc w:val="left"/>
      <w:pPr>
        <w:ind w:left="6944" w:hanging="720"/>
      </w:pPr>
      <w:rPr>
        <w:rFonts w:hint="default"/>
      </w:rPr>
    </w:lvl>
    <w:lvl w:ilvl="8" w:tentative="0">
      <w:start w:val="1"/>
      <w:numFmt w:val="bullet"/>
      <w:lvlText w:val="•"/>
      <w:lvlJc w:val="left"/>
      <w:pPr>
        <w:ind w:left="7816" w:hanging="720"/>
      </w:pPr>
      <w:rPr>
        <w:rFonts w:hint="default"/>
      </w:rPr>
    </w:lvl>
  </w:abstractNum>
  <w:abstractNum w:abstractNumId="11">
    <w:nsid w:val="72B427E1"/>
    <w:multiLevelType w:val="multilevel"/>
    <w:tmpl w:val="72B427E1"/>
    <w:lvl w:ilvl="0" w:tentative="0">
      <w:start w:val="1"/>
      <w:numFmt w:val="upperRoman"/>
      <w:lvlText w:val="%1."/>
      <w:lvlJc w:val="left"/>
      <w:pPr>
        <w:ind w:left="120" w:hanging="720"/>
      </w:pPr>
      <w:rPr>
        <w:rFonts w:hint="default" w:ascii="Arial" w:hAnsi="Arial" w:eastAsia="Times New Roman" w:cs="Arial"/>
        <w:b/>
        <w:bCs/>
        <w:spacing w:val="-3"/>
        <w:w w:val="100"/>
        <w:sz w:val="32"/>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o"/>
      <w:lvlJc w:val="left"/>
      <w:pPr>
        <w:ind w:left="1200" w:hanging="360"/>
      </w:pPr>
      <w:rPr>
        <w:rFonts w:hint="default" w:ascii="Courier New" w:hAnsi="Courier New" w:eastAsia="Courier New"/>
        <w:spacing w:val="-1"/>
        <w:w w:val="100"/>
        <w:sz w:val="20"/>
        <w:szCs w:val="20"/>
      </w:rPr>
    </w:lvl>
    <w:lvl w:ilvl="3" w:tentative="0">
      <w:start w:val="1"/>
      <w:numFmt w:val="bullet"/>
      <w:lvlText w:val=""/>
      <w:lvlJc w:val="left"/>
      <w:pPr>
        <w:ind w:left="2260" w:hanging="360"/>
      </w:pPr>
      <w:rPr>
        <w:rFonts w:hint="default" w:ascii="Wingdings" w:hAnsi="Wingdings" w:eastAsia="Wingdings"/>
        <w:w w:val="99"/>
        <w:sz w:val="20"/>
        <w:szCs w:val="20"/>
      </w:rPr>
    </w:lvl>
    <w:lvl w:ilvl="4" w:tentative="0">
      <w:start w:val="1"/>
      <w:numFmt w:val="bullet"/>
      <w:lvlText w:val="•"/>
      <w:lvlJc w:val="left"/>
      <w:pPr>
        <w:ind w:left="2260" w:hanging="360"/>
      </w:pPr>
      <w:rPr>
        <w:rFonts w:hint="default"/>
      </w:rPr>
    </w:lvl>
    <w:lvl w:ilvl="5" w:tentative="0">
      <w:start w:val="1"/>
      <w:numFmt w:val="bullet"/>
      <w:lvlText w:val="•"/>
      <w:lvlJc w:val="left"/>
      <w:pPr>
        <w:ind w:left="3470" w:hanging="360"/>
      </w:pPr>
      <w:rPr>
        <w:rFonts w:hint="default"/>
      </w:rPr>
    </w:lvl>
    <w:lvl w:ilvl="6" w:tentative="0">
      <w:start w:val="1"/>
      <w:numFmt w:val="bullet"/>
      <w:lvlText w:val="•"/>
      <w:lvlJc w:val="left"/>
      <w:pPr>
        <w:ind w:left="4680" w:hanging="360"/>
      </w:pPr>
      <w:rPr>
        <w:rFonts w:hint="default"/>
      </w:rPr>
    </w:lvl>
    <w:lvl w:ilvl="7" w:tentative="0">
      <w:start w:val="1"/>
      <w:numFmt w:val="bullet"/>
      <w:lvlText w:val="•"/>
      <w:lvlJc w:val="left"/>
      <w:pPr>
        <w:ind w:left="5890" w:hanging="360"/>
      </w:pPr>
      <w:rPr>
        <w:rFonts w:hint="default"/>
      </w:rPr>
    </w:lvl>
    <w:lvl w:ilvl="8" w:tentative="0">
      <w:start w:val="1"/>
      <w:numFmt w:val="bullet"/>
      <w:lvlText w:val="•"/>
      <w:lvlJc w:val="left"/>
      <w:pPr>
        <w:ind w:left="7100" w:hanging="360"/>
      </w:pPr>
      <w:rPr>
        <w:rFonts w:hint="default"/>
      </w:rPr>
    </w:lvl>
  </w:abstractNum>
  <w:abstractNum w:abstractNumId="12">
    <w:nsid w:val="755B066A"/>
    <w:multiLevelType w:val="multilevel"/>
    <w:tmpl w:val="755B066A"/>
    <w:lvl w:ilvl="0" w:tentative="0">
      <w:start w:val="1"/>
      <w:numFmt w:val="decimal"/>
      <w:lvlText w:val="%1."/>
      <w:lvlJc w:val="left"/>
      <w:pPr>
        <w:ind w:left="480" w:hanging="360"/>
      </w:pPr>
      <w:rPr>
        <w:rFonts w:hint="default" w:ascii="Arial" w:hAnsi="Arial" w:eastAsia="Times New Roman" w:cs="Arial"/>
        <w:b/>
        <w:bCs/>
        <w:spacing w:val="-3"/>
        <w:w w:val="100"/>
        <w:sz w:val="24"/>
        <w:szCs w:val="28"/>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1811" w:hanging="360"/>
      </w:pPr>
      <w:rPr>
        <w:rFonts w:hint="default"/>
      </w:rPr>
    </w:lvl>
    <w:lvl w:ilvl="3" w:tentative="0">
      <w:start w:val="1"/>
      <w:numFmt w:val="bullet"/>
      <w:lvlText w:val="•"/>
      <w:lvlJc w:val="left"/>
      <w:pPr>
        <w:ind w:left="2782" w:hanging="360"/>
      </w:pPr>
      <w:rPr>
        <w:rFonts w:hint="default"/>
      </w:rPr>
    </w:lvl>
    <w:lvl w:ilvl="4" w:tentative="0">
      <w:start w:val="1"/>
      <w:numFmt w:val="bullet"/>
      <w:lvlText w:val="•"/>
      <w:lvlJc w:val="left"/>
      <w:pPr>
        <w:ind w:left="3753" w:hanging="360"/>
      </w:pPr>
      <w:rPr>
        <w:rFonts w:hint="default"/>
      </w:rPr>
    </w:lvl>
    <w:lvl w:ilvl="5" w:tentative="0">
      <w:start w:val="1"/>
      <w:numFmt w:val="bullet"/>
      <w:lvlText w:val="•"/>
      <w:lvlJc w:val="left"/>
      <w:pPr>
        <w:ind w:left="4724" w:hanging="360"/>
      </w:pPr>
      <w:rPr>
        <w:rFonts w:hint="default"/>
      </w:rPr>
    </w:lvl>
    <w:lvl w:ilvl="6" w:tentative="0">
      <w:start w:val="1"/>
      <w:numFmt w:val="bullet"/>
      <w:lvlText w:val="•"/>
      <w:lvlJc w:val="left"/>
      <w:pPr>
        <w:ind w:left="5695" w:hanging="360"/>
      </w:pPr>
      <w:rPr>
        <w:rFonts w:hint="default"/>
      </w:rPr>
    </w:lvl>
    <w:lvl w:ilvl="7" w:tentative="0">
      <w:start w:val="1"/>
      <w:numFmt w:val="bullet"/>
      <w:lvlText w:val="•"/>
      <w:lvlJc w:val="left"/>
      <w:pPr>
        <w:ind w:left="6666" w:hanging="360"/>
      </w:pPr>
      <w:rPr>
        <w:rFonts w:hint="default"/>
      </w:rPr>
    </w:lvl>
    <w:lvl w:ilvl="8" w:tentative="0">
      <w:start w:val="1"/>
      <w:numFmt w:val="bullet"/>
      <w:lvlText w:val="•"/>
      <w:lvlJc w:val="left"/>
      <w:pPr>
        <w:ind w:left="7637" w:hanging="360"/>
      </w:pPr>
      <w:rPr>
        <w:rFonts w:hint="default"/>
      </w:rPr>
    </w:lvl>
  </w:abstractNum>
  <w:abstractNum w:abstractNumId="13">
    <w:nsid w:val="784B370B"/>
    <w:multiLevelType w:val="multilevel"/>
    <w:tmpl w:val="784B370B"/>
    <w:lvl w:ilvl="0" w:tentative="0">
      <w:start w:val="1"/>
      <w:numFmt w:val="lowerLetter"/>
      <w:lvlText w:val="%1."/>
      <w:lvlJc w:val="left"/>
      <w:pPr>
        <w:ind w:left="480" w:hanging="360"/>
        <w:jc w:val="right"/>
      </w:pPr>
      <w:rPr>
        <w:rFonts w:hint="default" w:ascii="Arial" w:hAnsi="Arial" w:eastAsia="Times New Roman" w:cs="Arial"/>
        <w:spacing w:val="-2"/>
        <w:w w:val="100"/>
        <w:sz w:val="24"/>
        <w:szCs w:val="24"/>
      </w:rPr>
    </w:lvl>
    <w:lvl w:ilvl="1" w:tentative="0">
      <w:start w:val="1"/>
      <w:numFmt w:val="bullet"/>
      <w:lvlText w:val=""/>
      <w:lvlJc w:val="left"/>
      <w:pPr>
        <w:ind w:left="1380" w:hanging="269"/>
      </w:pPr>
      <w:rPr>
        <w:rFonts w:hint="default" w:ascii="Symbol" w:hAnsi="Symbol" w:eastAsia="Symbol"/>
        <w:w w:val="99"/>
        <w:sz w:val="24"/>
        <w:szCs w:val="24"/>
      </w:rPr>
    </w:lvl>
    <w:lvl w:ilvl="2" w:tentative="0">
      <w:start w:val="1"/>
      <w:numFmt w:val="bullet"/>
      <w:lvlText w:val="•"/>
      <w:lvlJc w:val="left"/>
      <w:pPr>
        <w:ind w:left="1200" w:hanging="269"/>
      </w:pPr>
      <w:rPr>
        <w:rFonts w:hint="default"/>
      </w:rPr>
    </w:lvl>
    <w:lvl w:ilvl="3" w:tentative="0">
      <w:start w:val="1"/>
      <w:numFmt w:val="bullet"/>
      <w:lvlText w:val="•"/>
      <w:lvlJc w:val="left"/>
      <w:pPr>
        <w:ind w:left="1380" w:hanging="269"/>
      </w:pPr>
      <w:rPr>
        <w:rFonts w:hint="default"/>
      </w:rPr>
    </w:lvl>
    <w:lvl w:ilvl="4" w:tentative="0">
      <w:start w:val="1"/>
      <w:numFmt w:val="bullet"/>
      <w:lvlText w:val="•"/>
      <w:lvlJc w:val="left"/>
      <w:pPr>
        <w:ind w:left="2500" w:hanging="269"/>
      </w:pPr>
      <w:rPr>
        <w:rFonts w:hint="default"/>
      </w:rPr>
    </w:lvl>
    <w:lvl w:ilvl="5" w:tentative="0">
      <w:start w:val="1"/>
      <w:numFmt w:val="bullet"/>
      <w:lvlText w:val="•"/>
      <w:lvlJc w:val="left"/>
      <w:pPr>
        <w:ind w:left="3620" w:hanging="269"/>
      </w:pPr>
      <w:rPr>
        <w:rFonts w:hint="default"/>
      </w:rPr>
    </w:lvl>
    <w:lvl w:ilvl="6" w:tentative="0">
      <w:start w:val="1"/>
      <w:numFmt w:val="bullet"/>
      <w:lvlText w:val="•"/>
      <w:lvlJc w:val="left"/>
      <w:pPr>
        <w:ind w:left="4740" w:hanging="269"/>
      </w:pPr>
      <w:rPr>
        <w:rFonts w:hint="default"/>
      </w:rPr>
    </w:lvl>
    <w:lvl w:ilvl="7" w:tentative="0">
      <w:start w:val="1"/>
      <w:numFmt w:val="bullet"/>
      <w:lvlText w:val="•"/>
      <w:lvlJc w:val="left"/>
      <w:pPr>
        <w:ind w:left="5860" w:hanging="269"/>
      </w:pPr>
      <w:rPr>
        <w:rFonts w:hint="default"/>
      </w:rPr>
    </w:lvl>
    <w:lvl w:ilvl="8" w:tentative="0">
      <w:start w:val="1"/>
      <w:numFmt w:val="bullet"/>
      <w:lvlText w:val="•"/>
      <w:lvlJc w:val="left"/>
      <w:pPr>
        <w:ind w:left="6980" w:hanging="269"/>
      </w:pPr>
      <w:rPr>
        <w:rFonts w:hint="default"/>
      </w:rPr>
    </w:lvl>
  </w:abstractNum>
  <w:abstractNum w:abstractNumId="14">
    <w:nsid w:val="79197680"/>
    <w:multiLevelType w:val="multilevel"/>
    <w:tmpl w:val="79197680"/>
    <w:lvl w:ilvl="0" w:tentative="0">
      <w:start w:val="1"/>
      <w:numFmt w:val="decimal"/>
      <w:lvlText w:val="(%1)"/>
      <w:lvlJc w:val="left"/>
      <w:pPr>
        <w:ind w:left="840" w:hanging="339"/>
      </w:pPr>
      <w:rPr>
        <w:rFonts w:hint="default" w:ascii="Arial" w:hAnsi="Arial" w:eastAsia="Times New Roman" w:cs="Arial"/>
        <w:spacing w:val="-1"/>
        <w:w w:val="100"/>
        <w:sz w:val="24"/>
        <w:szCs w:val="24"/>
      </w:rPr>
    </w:lvl>
    <w:lvl w:ilvl="1" w:tentative="0">
      <w:start w:val="1"/>
      <w:numFmt w:val="bullet"/>
      <w:lvlText w:val="•"/>
      <w:lvlJc w:val="left"/>
      <w:pPr>
        <w:ind w:left="1714" w:hanging="339"/>
      </w:pPr>
      <w:rPr>
        <w:rFonts w:hint="default"/>
      </w:rPr>
    </w:lvl>
    <w:lvl w:ilvl="2" w:tentative="0">
      <w:start w:val="1"/>
      <w:numFmt w:val="bullet"/>
      <w:lvlText w:val="•"/>
      <w:lvlJc w:val="left"/>
      <w:pPr>
        <w:ind w:left="2588" w:hanging="339"/>
      </w:pPr>
      <w:rPr>
        <w:rFonts w:hint="default"/>
      </w:rPr>
    </w:lvl>
    <w:lvl w:ilvl="3" w:tentative="0">
      <w:start w:val="1"/>
      <w:numFmt w:val="bullet"/>
      <w:lvlText w:val="•"/>
      <w:lvlJc w:val="left"/>
      <w:pPr>
        <w:ind w:left="3462" w:hanging="339"/>
      </w:pPr>
      <w:rPr>
        <w:rFonts w:hint="default"/>
      </w:rPr>
    </w:lvl>
    <w:lvl w:ilvl="4" w:tentative="0">
      <w:start w:val="1"/>
      <w:numFmt w:val="bullet"/>
      <w:lvlText w:val="•"/>
      <w:lvlJc w:val="left"/>
      <w:pPr>
        <w:ind w:left="4336" w:hanging="339"/>
      </w:pPr>
      <w:rPr>
        <w:rFonts w:hint="default"/>
      </w:rPr>
    </w:lvl>
    <w:lvl w:ilvl="5" w:tentative="0">
      <w:start w:val="1"/>
      <w:numFmt w:val="bullet"/>
      <w:lvlText w:val="•"/>
      <w:lvlJc w:val="left"/>
      <w:pPr>
        <w:ind w:left="5210" w:hanging="339"/>
      </w:pPr>
      <w:rPr>
        <w:rFonts w:hint="default"/>
      </w:rPr>
    </w:lvl>
    <w:lvl w:ilvl="6" w:tentative="0">
      <w:start w:val="1"/>
      <w:numFmt w:val="bullet"/>
      <w:lvlText w:val="•"/>
      <w:lvlJc w:val="left"/>
      <w:pPr>
        <w:ind w:left="6084" w:hanging="339"/>
      </w:pPr>
      <w:rPr>
        <w:rFonts w:hint="default"/>
      </w:rPr>
    </w:lvl>
    <w:lvl w:ilvl="7" w:tentative="0">
      <w:start w:val="1"/>
      <w:numFmt w:val="bullet"/>
      <w:lvlText w:val="•"/>
      <w:lvlJc w:val="left"/>
      <w:pPr>
        <w:ind w:left="6958" w:hanging="339"/>
      </w:pPr>
      <w:rPr>
        <w:rFonts w:hint="default"/>
      </w:rPr>
    </w:lvl>
    <w:lvl w:ilvl="8" w:tentative="0">
      <w:start w:val="1"/>
      <w:numFmt w:val="bullet"/>
      <w:lvlText w:val="•"/>
      <w:lvlJc w:val="left"/>
      <w:pPr>
        <w:ind w:left="7832" w:hanging="339"/>
      </w:pPr>
      <w:rPr>
        <w:rFonts w:hint="default"/>
      </w:rPr>
    </w:lvl>
  </w:abstractNum>
  <w:num w:numId="1">
    <w:abstractNumId w:val="2"/>
  </w:num>
  <w:num w:numId="2">
    <w:abstractNumId w:val="4"/>
  </w:num>
  <w:num w:numId="3">
    <w:abstractNumId w:val="1"/>
  </w:num>
  <w:num w:numId="4">
    <w:abstractNumId w:val="12"/>
  </w:num>
  <w:num w:numId="5">
    <w:abstractNumId w:val="13"/>
  </w:num>
  <w:num w:numId="6">
    <w:abstractNumId w:val="7"/>
  </w:num>
  <w:num w:numId="7">
    <w:abstractNumId w:val="8"/>
  </w:num>
  <w:num w:numId="8">
    <w:abstractNumId w:val="0"/>
  </w:num>
  <w:num w:numId="9">
    <w:abstractNumId w:val="3"/>
  </w:num>
  <w:num w:numId="10">
    <w:abstractNumId w:val="9"/>
  </w:num>
  <w:num w:numId="11">
    <w:abstractNumId w:val="10"/>
  </w:num>
  <w:num w:numId="12">
    <w:abstractNumId w:val="5"/>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footnotePr>
    <w:footnote w:id="86"/>
    <w:footnote w:id="87"/>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84"/>
    <w:rsid w:val="00004B21"/>
    <w:rsid w:val="0001164E"/>
    <w:rsid w:val="00011B31"/>
    <w:rsid w:val="00023EA0"/>
    <w:rsid w:val="00076351"/>
    <w:rsid w:val="00094233"/>
    <w:rsid w:val="000A33B3"/>
    <w:rsid w:val="000A4CE5"/>
    <w:rsid w:val="000B5BB7"/>
    <w:rsid w:val="000B6EE4"/>
    <w:rsid w:val="000D3313"/>
    <w:rsid w:val="001237C0"/>
    <w:rsid w:val="001459A3"/>
    <w:rsid w:val="00162719"/>
    <w:rsid w:val="00177363"/>
    <w:rsid w:val="001847F2"/>
    <w:rsid w:val="00185294"/>
    <w:rsid w:val="001B36E1"/>
    <w:rsid w:val="001C4144"/>
    <w:rsid w:val="001D7FDE"/>
    <w:rsid w:val="001E0A8F"/>
    <w:rsid w:val="001F5E69"/>
    <w:rsid w:val="001F785B"/>
    <w:rsid w:val="00207B8F"/>
    <w:rsid w:val="002255A3"/>
    <w:rsid w:val="00257A8B"/>
    <w:rsid w:val="002E2094"/>
    <w:rsid w:val="002E5BB1"/>
    <w:rsid w:val="00305E7D"/>
    <w:rsid w:val="00310909"/>
    <w:rsid w:val="003257BD"/>
    <w:rsid w:val="00325E60"/>
    <w:rsid w:val="00393B97"/>
    <w:rsid w:val="003B394C"/>
    <w:rsid w:val="003C0531"/>
    <w:rsid w:val="003C474D"/>
    <w:rsid w:val="003C5F24"/>
    <w:rsid w:val="003C6531"/>
    <w:rsid w:val="003C74B8"/>
    <w:rsid w:val="003F57A3"/>
    <w:rsid w:val="00401322"/>
    <w:rsid w:val="00416A40"/>
    <w:rsid w:val="004172E1"/>
    <w:rsid w:val="0043195C"/>
    <w:rsid w:val="0045233F"/>
    <w:rsid w:val="004846C3"/>
    <w:rsid w:val="004B406E"/>
    <w:rsid w:val="004D0A1B"/>
    <w:rsid w:val="00501187"/>
    <w:rsid w:val="00525F0F"/>
    <w:rsid w:val="00532C84"/>
    <w:rsid w:val="00540ED9"/>
    <w:rsid w:val="005416C2"/>
    <w:rsid w:val="0054215E"/>
    <w:rsid w:val="00563794"/>
    <w:rsid w:val="00566045"/>
    <w:rsid w:val="00597D52"/>
    <w:rsid w:val="005C0516"/>
    <w:rsid w:val="005F4993"/>
    <w:rsid w:val="0060295D"/>
    <w:rsid w:val="006111FA"/>
    <w:rsid w:val="00634004"/>
    <w:rsid w:val="006373B8"/>
    <w:rsid w:val="006744FF"/>
    <w:rsid w:val="0068507E"/>
    <w:rsid w:val="00691C17"/>
    <w:rsid w:val="00696F2B"/>
    <w:rsid w:val="00697DA1"/>
    <w:rsid w:val="006B3BF7"/>
    <w:rsid w:val="006E233E"/>
    <w:rsid w:val="006E536B"/>
    <w:rsid w:val="00716451"/>
    <w:rsid w:val="00721460"/>
    <w:rsid w:val="007322C3"/>
    <w:rsid w:val="00773129"/>
    <w:rsid w:val="00790B0E"/>
    <w:rsid w:val="00795823"/>
    <w:rsid w:val="0079638E"/>
    <w:rsid w:val="007B2E11"/>
    <w:rsid w:val="007C2BCC"/>
    <w:rsid w:val="007D2C07"/>
    <w:rsid w:val="007F2CC2"/>
    <w:rsid w:val="00860AD2"/>
    <w:rsid w:val="008762E3"/>
    <w:rsid w:val="00880969"/>
    <w:rsid w:val="008874B0"/>
    <w:rsid w:val="00890F6D"/>
    <w:rsid w:val="008B3036"/>
    <w:rsid w:val="008B3241"/>
    <w:rsid w:val="008C4453"/>
    <w:rsid w:val="008E558A"/>
    <w:rsid w:val="00917BFA"/>
    <w:rsid w:val="009208DF"/>
    <w:rsid w:val="00931062"/>
    <w:rsid w:val="00966B1B"/>
    <w:rsid w:val="00974C12"/>
    <w:rsid w:val="009D47F4"/>
    <w:rsid w:val="009E3759"/>
    <w:rsid w:val="009E4BD6"/>
    <w:rsid w:val="009E5BFB"/>
    <w:rsid w:val="009E7563"/>
    <w:rsid w:val="009F0101"/>
    <w:rsid w:val="00A00AF1"/>
    <w:rsid w:val="00A64F4A"/>
    <w:rsid w:val="00AB40A6"/>
    <w:rsid w:val="00AC0F75"/>
    <w:rsid w:val="00B04273"/>
    <w:rsid w:val="00B93079"/>
    <w:rsid w:val="00C066D2"/>
    <w:rsid w:val="00C21763"/>
    <w:rsid w:val="00C53FE2"/>
    <w:rsid w:val="00C91E96"/>
    <w:rsid w:val="00C95053"/>
    <w:rsid w:val="00CB1229"/>
    <w:rsid w:val="00CD4184"/>
    <w:rsid w:val="00CD6165"/>
    <w:rsid w:val="00CF2819"/>
    <w:rsid w:val="00D238F4"/>
    <w:rsid w:val="00D33B28"/>
    <w:rsid w:val="00D458A2"/>
    <w:rsid w:val="00D51EE5"/>
    <w:rsid w:val="00D53371"/>
    <w:rsid w:val="00DB00E1"/>
    <w:rsid w:val="00DC1AAC"/>
    <w:rsid w:val="00DF7FAC"/>
    <w:rsid w:val="00E04779"/>
    <w:rsid w:val="00E33700"/>
    <w:rsid w:val="00E5539D"/>
    <w:rsid w:val="00EA5852"/>
    <w:rsid w:val="00EB1C52"/>
    <w:rsid w:val="00F0770C"/>
    <w:rsid w:val="00F325DE"/>
    <w:rsid w:val="00F33008"/>
    <w:rsid w:val="00F43150"/>
    <w:rsid w:val="00F52022"/>
    <w:rsid w:val="00F54706"/>
    <w:rsid w:val="00F72E3F"/>
    <w:rsid w:val="00F81D7A"/>
    <w:rsid w:val="00F82637"/>
    <w:rsid w:val="00FA7D5D"/>
    <w:rsid w:val="00FD7877"/>
    <w:rsid w:val="00FF03CC"/>
    <w:rsid w:val="7780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125"/>
      <w:ind w:left="840" w:hanging="720"/>
      <w:outlineLvl w:val="0"/>
    </w:pPr>
    <w:rPr>
      <w:rFonts w:ascii="Times New Roman" w:hAnsi="Times New Roman" w:eastAsia="宋体"/>
      <w:b/>
      <w:bCs/>
      <w:sz w:val="36"/>
      <w:szCs w:val="36"/>
    </w:rPr>
  </w:style>
  <w:style w:type="paragraph" w:styleId="3">
    <w:name w:val="heading 2"/>
    <w:basedOn w:val="1"/>
    <w:qFormat/>
    <w:uiPriority w:val="1"/>
    <w:pPr>
      <w:ind w:left="840" w:hanging="720"/>
      <w:outlineLvl w:val="1"/>
    </w:pPr>
    <w:rPr>
      <w:rFonts w:ascii="Times New Roman" w:hAnsi="Times New Roman" w:eastAsia="宋体"/>
      <w:b/>
      <w:bCs/>
      <w:sz w:val="32"/>
      <w:szCs w:val="32"/>
    </w:rPr>
  </w:style>
  <w:style w:type="paragraph" w:styleId="4">
    <w:name w:val="heading 3"/>
    <w:basedOn w:val="1"/>
    <w:qFormat/>
    <w:uiPriority w:val="1"/>
    <w:pPr>
      <w:ind w:left="840" w:hanging="720"/>
      <w:outlineLvl w:val="2"/>
    </w:pPr>
    <w:rPr>
      <w:rFonts w:ascii="Times New Roman" w:hAnsi="Times New Roman" w:eastAsia="宋体"/>
      <w:b/>
      <w:bCs/>
      <w:sz w:val="28"/>
      <w:szCs w:val="28"/>
    </w:rPr>
  </w:style>
  <w:style w:type="paragraph" w:styleId="5">
    <w:name w:val="heading 4"/>
    <w:basedOn w:val="1"/>
    <w:qFormat/>
    <w:uiPriority w:val="1"/>
    <w:pPr>
      <w:ind w:left="119"/>
      <w:outlineLvl w:val="3"/>
    </w:pPr>
    <w:rPr>
      <w:rFonts w:ascii="Times New Roman" w:hAnsi="Times New Roman" w:eastAsia="宋体"/>
      <w:b/>
      <w:bCs/>
      <w:sz w:val="24"/>
      <w:szCs w:val="24"/>
    </w:rPr>
  </w:style>
  <w:style w:type="paragraph" w:styleId="6">
    <w:name w:val="heading 5"/>
    <w:basedOn w:val="1"/>
    <w:qFormat/>
    <w:uiPriority w:val="1"/>
    <w:pPr>
      <w:ind w:left="120"/>
      <w:outlineLvl w:val="4"/>
    </w:pPr>
    <w:rPr>
      <w:rFonts w:ascii="Times New Roman" w:hAnsi="Times New Roman" w:eastAsia="宋体"/>
      <w:b/>
      <w:bCs/>
      <w:i/>
      <w:sz w:val="24"/>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20"/>
    </w:pPr>
    <w:rPr>
      <w:rFonts w:ascii="Times New Roman" w:hAnsi="Times New Roman" w:eastAsia="宋体"/>
      <w:sz w:val="24"/>
      <w:szCs w:val="24"/>
    </w:rPr>
  </w:style>
  <w:style w:type="paragraph" w:styleId="8">
    <w:name w:val="Balloon Text"/>
    <w:basedOn w:val="1"/>
    <w:link w:val="23"/>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ind w:left="580" w:hanging="480"/>
    </w:pPr>
    <w:rPr>
      <w:rFonts w:ascii="Times New Roman" w:hAnsi="Times New Roman" w:eastAsia="宋体"/>
      <w:sz w:val="20"/>
      <w:szCs w:val="20"/>
    </w:rPr>
  </w:style>
  <w:style w:type="paragraph" w:styleId="12">
    <w:name w:val="footnote text"/>
    <w:basedOn w:val="1"/>
    <w:link w:val="26"/>
    <w:semiHidden/>
    <w:unhideWhenUsed/>
    <w:uiPriority w:val="99"/>
    <w:pPr>
      <w:snapToGrid w:val="0"/>
    </w:pPr>
    <w:rPr>
      <w:sz w:val="18"/>
      <w:szCs w:val="18"/>
    </w:rPr>
  </w:style>
  <w:style w:type="paragraph" w:styleId="13">
    <w:name w:val="toc 2"/>
    <w:basedOn w:val="1"/>
    <w:qFormat/>
    <w:uiPriority w:val="39"/>
    <w:pPr>
      <w:ind w:left="820" w:hanging="521"/>
    </w:pPr>
    <w:rPr>
      <w:rFonts w:ascii="Times New Roman" w:hAnsi="Times New Roman" w:eastAsia="宋体"/>
      <w:sz w:val="20"/>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basedOn w:val="16"/>
    <w:semiHidden/>
    <w:unhideWhenUsed/>
    <w:qFormat/>
    <w:uiPriority w:val="99"/>
    <w:rPr>
      <w:vertAlign w:val="superscript"/>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Unresolved Mention"/>
    <w:basedOn w:val="16"/>
    <w:semiHidden/>
    <w:unhideWhenUsed/>
    <w:uiPriority w:val="99"/>
    <w:rPr>
      <w:color w:val="808080"/>
      <w:shd w:val="clear" w:color="auto" w:fill="E6E6E6"/>
    </w:rPr>
  </w:style>
  <w:style w:type="character" w:customStyle="1" w:styleId="23">
    <w:name w:val="批注框文本 Char"/>
    <w:basedOn w:val="16"/>
    <w:link w:val="8"/>
    <w:semiHidden/>
    <w:qFormat/>
    <w:uiPriority w:val="99"/>
    <w:rPr>
      <w:sz w:val="18"/>
      <w:szCs w:val="18"/>
    </w:rPr>
  </w:style>
  <w:style w:type="character" w:customStyle="1" w:styleId="24">
    <w:name w:val="页眉 Char"/>
    <w:basedOn w:val="16"/>
    <w:link w:val="10"/>
    <w:qFormat/>
    <w:uiPriority w:val="99"/>
    <w:rPr>
      <w:sz w:val="18"/>
      <w:szCs w:val="18"/>
    </w:rPr>
  </w:style>
  <w:style w:type="character" w:customStyle="1" w:styleId="25">
    <w:name w:val="页脚 Char"/>
    <w:basedOn w:val="16"/>
    <w:link w:val="9"/>
    <w:uiPriority w:val="99"/>
    <w:rPr>
      <w:sz w:val="18"/>
      <w:szCs w:val="18"/>
    </w:rPr>
  </w:style>
  <w:style w:type="character" w:customStyle="1" w:styleId="26">
    <w:name w:val="脚注文本 Char"/>
    <w:basedOn w:val="16"/>
    <w:link w:val="1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8866E-2690-4BE5-AB23-EA001354F0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28812</Words>
  <Characters>31792</Characters>
  <Lines>253</Lines>
  <Paragraphs>71</Paragraphs>
  <TotalTime>1</TotalTime>
  <ScaleCrop>false</ScaleCrop>
  <LinksUpToDate>false</LinksUpToDate>
  <CharactersWithSpaces>31962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2017-11-17T08:58:00Z</dcterms:created>
  <dc:creator>cathy-wen</dc:creator>
  <cp:lastModifiedBy>太极箫客</cp:lastModifiedBy>
  <dcterms:modified xsi:type="dcterms:W3CDTF">2025-08-14T06:53:17Z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2017-10-28T00:00:00Z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D0670257A1774CAF8E2F077F010B98C1_12</vt:lpwstr>
  </property>
</Properties>
</file>