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D99C8">
      <w:pPr>
        <w:pStyle w:val="4"/>
        <w:spacing w:line="360" w:lineRule="auto"/>
        <w:jc w:val="center"/>
        <w:rPr>
          <w:rFonts w:ascii="Times New Roman" w:hAnsi="Times New Roman" w:eastAsia="方正小标宋简体" w:cs="Times New Roman"/>
          <w:sz w:val="44"/>
          <w:szCs w:val="44"/>
        </w:rPr>
      </w:pPr>
      <w:bookmarkStart w:id="0" w:name="zhengwen"/>
      <w:bookmarkStart w:id="12" w:name="_GoBack"/>
      <w:bookmarkEnd w:id="12"/>
      <w:r>
        <w:rPr>
          <w:rFonts w:hint="eastAsia" w:ascii="Times New Roman" w:hAnsi="Times New Roman" w:eastAsia="方正小标宋简体" w:cs="Times New Roman"/>
          <w:sz w:val="44"/>
          <w:szCs w:val="44"/>
        </w:rPr>
        <w:t>微</w:t>
      </w:r>
      <w:r>
        <w:rPr>
          <w:rFonts w:ascii="Times New Roman" w:hAnsi="Times New Roman" w:eastAsia="方正小标宋简体" w:cs="Times New Roman"/>
          <w:sz w:val="44"/>
          <w:szCs w:val="44"/>
        </w:rPr>
        <w:t>导管注册技术审</w:t>
      </w:r>
      <w:r>
        <w:rPr>
          <w:rFonts w:hint="eastAsia" w:ascii="Times New Roman" w:hAnsi="Times New Roman" w:eastAsia="方正小标宋简体" w:cs="Times New Roman"/>
          <w:sz w:val="44"/>
          <w:szCs w:val="44"/>
        </w:rPr>
        <w:t>评</w:t>
      </w:r>
      <w:r>
        <w:rPr>
          <w:rFonts w:ascii="Times New Roman" w:hAnsi="Times New Roman" w:eastAsia="方正小标宋简体" w:cs="Times New Roman"/>
          <w:sz w:val="44"/>
          <w:szCs w:val="44"/>
        </w:rPr>
        <w:t>指导原则</w:t>
      </w:r>
    </w:p>
    <w:p w14:paraId="6741689E">
      <w:pPr>
        <w:overflowPunct w:val="0"/>
        <w:spacing w:line="540" w:lineRule="exact"/>
        <w:jc w:val="center"/>
        <w:rPr>
          <w:rFonts w:eastAsia="方正小标宋简体"/>
          <w:kern w:val="0"/>
          <w:sz w:val="44"/>
          <w:szCs w:val="44"/>
        </w:rPr>
      </w:pPr>
      <w:r>
        <w:rPr>
          <w:rFonts w:hint="eastAsia" w:eastAsia="方正小标宋简体"/>
          <w:kern w:val="0"/>
          <w:sz w:val="44"/>
          <w:szCs w:val="44"/>
        </w:rPr>
        <w:t>（征求意见稿）</w:t>
      </w:r>
    </w:p>
    <w:p w14:paraId="535762DE">
      <w:pPr>
        <w:spacing w:before="312" w:beforeLines="100" w:line="520" w:lineRule="exact"/>
        <w:ind w:firstLine="640" w:firstLineChars="200"/>
        <w:rPr>
          <w:rFonts w:eastAsia="仿宋_GB2312"/>
          <w:color w:val="000000"/>
          <w:kern w:val="0"/>
          <w:sz w:val="32"/>
          <w:szCs w:val="32"/>
        </w:rPr>
      </w:pPr>
      <w:r>
        <w:rPr>
          <w:rFonts w:hint="eastAsia" w:eastAsia="仿宋_GB2312"/>
          <w:color w:val="000000"/>
          <w:kern w:val="0"/>
          <w:sz w:val="32"/>
          <w:szCs w:val="32"/>
        </w:rPr>
        <w:t>本指导原则旨在为审评机构对微导管注册申报资料的技术审评提供技术指导，同时也为申请人进行微导管产品的注册申报提供参考。</w:t>
      </w:r>
    </w:p>
    <w:p w14:paraId="5A78C6F3">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本指导原则系对微导管产品注册申报资料的一般要求，</w:t>
      </w:r>
      <w:r>
        <w:rPr>
          <w:rFonts w:eastAsia="仿宋_GB2312"/>
          <w:color w:val="000000"/>
          <w:kern w:val="0"/>
          <w:sz w:val="32"/>
          <w:szCs w:val="32"/>
        </w:rPr>
        <w:t>申请人</w:t>
      </w:r>
      <w:r>
        <w:rPr>
          <w:rFonts w:hint="eastAsia" w:eastAsia="仿宋_GB2312"/>
          <w:color w:val="000000"/>
          <w:kern w:val="0"/>
          <w:sz w:val="32"/>
          <w:szCs w:val="32"/>
        </w:rPr>
        <w:t>可</w:t>
      </w:r>
      <w:r>
        <w:rPr>
          <w:rFonts w:eastAsia="仿宋_GB2312"/>
          <w:color w:val="000000"/>
          <w:kern w:val="0"/>
          <w:sz w:val="32"/>
          <w:szCs w:val="32"/>
        </w:rPr>
        <w:t>依据具体产品的特性对注册申报资料的内容进行充实和细化</w:t>
      </w:r>
      <w:r>
        <w:rPr>
          <w:rFonts w:hint="eastAsia" w:eastAsia="仿宋_GB2312"/>
          <w:color w:val="000000"/>
          <w:kern w:val="0"/>
          <w:sz w:val="32"/>
          <w:szCs w:val="32"/>
        </w:rPr>
        <w:t>，并</w:t>
      </w:r>
      <w:r>
        <w:rPr>
          <w:rFonts w:eastAsia="仿宋_GB2312"/>
          <w:color w:val="000000"/>
          <w:kern w:val="0"/>
          <w:sz w:val="32"/>
          <w:szCs w:val="32"/>
        </w:rPr>
        <w:t>依据具体产品的特性确定其中的具体内容是否适用。</w:t>
      </w:r>
    </w:p>
    <w:p w14:paraId="66752C1F">
      <w:pPr>
        <w:pStyle w:val="21"/>
        <w:spacing w:line="520" w:lineRule="exact"/>
        <w:ind w:firstLine="64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本指导原则是对申请人和</w:t>
      </w:r>
      <w:r>
        <w:rPr>
          <w:rFonts w:hint="eastAsia" w:ascii="Times New Roman" w:hAnsi="Times New Roman" w:eastAsia="仿宋_GB2312"/>
          <w:color w:val="000000"/>
          <w:kern w:val="0"/>
          <w:sz w:val="32"/>
          <w:szCs w:val="32"/>
        </w:rPr>
        <w:t>审评</w:t>
      </w:r>
      <w:r>
        <w:rPr>
          <w:rFonts w:ascii="Times New Roman" w:hAnsi="Times New Roman" w:eastAsia="仿宋_GB2312"/>
          <w:color w:val="000000"/>
          <w:kern w:val="0"/>
          <w:sz w:val="32"/>
          <w:szCs w:val="32"/>
        </w:rPr>
        <w:t>人员的</w:t>
      </w:r>
      <w:r>
        <w:rPr>
          <w:rFonts w:hint="eastAsia" w:ascii="Times New Roman" w:hAnsi="Times New Roman" w:eastAsia="仿宋_GB2312"/>
          <w:color w:val="000000"/>
          <w:kern w:val="0"/>
          <w:sz w:val="32"/>
          <w:szCs w:val="32"/>
        </w:rPr>
        <w:t>技术</w:t>
      </w:r>
      <w:r>
        <w:rPr>
          <w:rFonts w:ascii="Times New Roman" w:hAnsi="Times New Roman" w:eastAsia="仿宋_GB2312"/>
          <w:color w:val="000000"/>
          <w:kern w:val="0"/>
          <w:sz w:val="32"/>
          <w:szCs w:val="32"/>
        </w:rPr>
        <w:t>指导性文件，但不包括注册审批所涉及的行政事项，亦不作为法规强制执行，如果有</w:t>
      </w:r>
      <w:r>
        <w:rPr>
          <w:rFonts w:eastAsia="仿宋_GB2312"/>
          <w:color w:val="000000"/>
          <w:kern w:val="0"/>
          <w:sz w:val="32"/>
          <w:szCs w:val="32"/>
        </w:rPr>
        <w:t>其他科学合理的替代方法</w:t>
      </w:r>
      <w:r>
        <w:rPr>
          <w:rFonts w:ascii="Times New Roman" w:hAnsi="Times New Roman" w:eastAsia="仿宋_GB2312"/>
          <w:color w:val="000000"/>
          <w:kern w:val="0"/>
          <w:sz w:val="32"/>
          <w:szCs w:val="32"/>
        </w:rPr>
        <w:t>，也可以采用，但</w:t>
      </w:r>
      <w:r>
        <w:rPr>
          <w:rFonts w:hint="eastAsia" w:ascii="Times New Roman" w:hAnsi="Times New Roman" w:eastAsia="仿宋_GB2312"/>
          <w:color w:val="000000"/>
          <w:kern w:val="0"/>
          <w:sz w:val="32"/>
          <w:szCs w:val="32"/>
        </w:rPr>
        <w:t>是</w:t>
      </w:r>
      <w:r>
        <w:rPr>
          <w:rFonts w:ascii="Times New Roman" w:hAnsi="Times New Roman" w:eastAsia="仿宋_GB2312"/>
          <w:color w:val="000000"/>
          <w:kern w:val="0"/>
          <w:sz w:val="32"/>
          <w:szCs w:val="32"/>
        </w:rPr>
        <w:t>需</w:t>
      </w:r>
      <w:r>
        <w:rPr>
          <w:rFonts w:hint="eastAsia" w:ascii="Times New Roman" w:hAnsi="Times New Roman" w:eastAsia="仿宋_GB2312"/>
          <w:color w:val="000000"/>
          <w:kern w:val="0"/>
          <w:sz w:val="32"/>
          <w:szCs w:val="32"/>
        </w:rPr>
        <w:t>要</w:t>
      </w:r>
      <w:r>
        <w:rPr>
          <w:rFonts w:ascii="Times New Roman" w:hAnsi="Times New Roman" w:eastAsia="仿宋_GB2312"/>
          <w:color w:val="000000"/>
          <w:kern w:val="0"/>
          <w:sz w:val="32"/>
          <w:szCs w:val="32"/>
        </w:rPr>
        <w:t>提供</w:t>
      </w:r>
      <w:r>
        <w:rPr>
          <w:rFonts w:hint="eastAsia" w:ascii="Times New Roman" w:hAnsi="Times New Roman" w:eastAsia="仿宋_GB2312"/>
          <w:color w:val="000000"/>
          <w:kern w:val="0"/>
          <w:sz w:val="32"/>
          <w:szCs w:val="32"/>
        </w:rPr>
        <w:t>详细的科学依据及相关资料。</w:t>
      </w:r>
      <w:r>
        <w:rPr>
          <w:rFonts w:ascii="Times New Roman" w:hAnsi="Times New Roman" w:eastAsia="仿宋_GB2312"/>
          <w:color w:val="000000"/>
          <w:kern w:val="0"/>
          <w:sz w:val="32"/>
          <w:szCs w:val="32"/>
        </w:rPr>
        <w:t>应在遵循相关法规的前提下使用本指导原则。</w:t>
      </w:r>
    </w:p>
    <w:p w14:paraId="382A84EB">
      <w:pPr>
        <w:pStyle w:val="4"/>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本指导原则是在现行法规和标准体系以及当前认知水平下制</w:t>
      </w:r>
      <w:r>
        <w:rPr>
          <w:rFonts w:hint="eastAsia" w:ascii="Times New Roman" w:hAnsi="Times New Roman" w:eastAsia="仿宋_GB2312" w:cs="Times New Roman"/>
          <w:color w:val="000000"/>
          <w:kern w:val="0"/>
          <w:sz w:val="32"/>
          <w:szCs w:val="32"/>
        </w:rPr>
        <w:t>订</w:t>
      </w:r>
      <w:r>
        <w:rPr>
          <w:rFonts w:ascii="Times New Roman" w:hAnsi="Times New Roman" w:eastAsia="仿宋_GB2312" w:cs="Times New Roman"/>
          <w:color w:val="000000"/>
          <w:kern w:val="0"/>
          <w:sz w:val="32"/>
          <w:szCs w:val="32"/>
        </w:rPr>
        <w:t>的，随着</w:t>
      </w:r>
      <w:r>
        <w:rPr>
          <w:rFonts w:hint="eastAsia" w:ascii="Times New Roman" w:hAnsi="Times New Roman" w:eastAsia="仿宋_GB2312" w:cs="Times New Roman"/>
          <w:color w:val="000000"/>
          <w:kern w:val="0"/>
          <w:sz w:val="32"/>
          <w:szCs w:val="32"/>
        </w:rPr>
        <w:t>技术</w:t>
      </w:r>
      <w:r>
        <w:rPr>
          <w:rFonts w:ascii="Times New Roman" w:hAnsi="Times New Roman" w:eastAsia="仿宋_GB2312" w:cs="Times New Roman"/>
          <w:color w:val="000000"/>
          <w:kern w:val="0"/>
          <w:sz w:val="32"/>
          <w:szCs w:val="32"/>
        </w:rPr>
        <w:t>和</w:t>
      </w:r>
      <w:r>
        <w:rPr>
          <w:rFonts w:hint="eastAsia" w:ascii="Times New Roman" w:hAnsi="Times New Roman" w:eastAsia="仿宋_GB2312" w:cs="Times New Roman"/>
          <w:color w:val="000000"/>
          <w:kern w:val="0"/>
          <w:sz w:val="32"/>
          <w:szCs w:val="32"/>
        </w:rPr>
        <w:t>监管</w:t>
      </w:r>
      <w:r>
        <w:rPr>
          <w:rFonts w:ascii="Times New Roman" w:hAnsi="Times New Roman" w:eastAsia="仿宋_GB2312" w:cs="Times New Roman"/>
          <w:color w:val="000000"/>
          <w:kern w:val="0"/>
          <w:sz w:val="32"/>
          <w:szCs w:val="32"/>
        </w:rPr>
        <w:t>科学的不断发展，本指导原则相关内容也将</w:t>
      </w:r>
      <w:r>
        <w:rPr>
          <w:rFonts w:hint="eastAsia" w:ascii="Times New Roman" w:hAnsi="Times New Roman" w:eastAsia="仿宋_GB2312" w:cs="Times New Roman"/>
          <w:color w:val="000000"/>
          <w:kern w:val="0"/>
          <w:sz w:val="32"/>
          <w:szCs w:val="32"/>
        </w:rPr>
        <w:t>进行更新</w:t>
      </w:r>
      <w:r>
        <w:rPr>
          <w:rFonts w:ascii="Times New Roman" w:hAnsi="Times New Roman" w:eastAsia="仿宋_GB2312" w:cs="Times New Roman"/>
          <w:color w:val="000000"/>
          <w:kern w:val="0"/>
          <w:sz w:val="32"/>
          <w:szCs w:val="32"/>
        </w:rPr>
        <w:t>、修订。</w:t>
      </w:r>
      <w:bookmarkStart w:id="1" w:name="_Toc433187257"/>
    </w:p>
    <w:p w14:paraId="5239F52D">
      <w:pPr>
        <w:pStyle w:val="4"/>
        <w:spacing w:line="360" w:lineRule="auto"/>
        <w:ind w:firstLine="640" w:firstLineChars="200"/>
        <w:jc w:val="left"/>
        <w:rPr>
          <w:rFonts w:ascii="Times New Roman" w:hAnsi="Times New Roman" w:eastAsia="黑体" w:cs="Times New Roman"/>
          <w:b/>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、适用范围</w:t>
      </w:r>
      <w:bookmarkEnd w:id="1"/>
    </w:p>
    <w:p w14:paraId="77A16D63">
      <w:pPr>
        <w:spacing w:line="520" w:lineRule="exact"/>
        <w:ind w:firstLine="640" w:firstLineChars="200"/>
        <w:rPr>
          <w:rFonts w:eastAsia="仿宋_GB2312"/>
          <w:color w:val="000000"/>
          <w:kern w:val="0"/>
          <w:sz w:val="32"/>
          <w:szCs w:val="32"/>
        </w:rPr>
      </w:pPr>
      <w:bookmarkStart w:id="2" w:name="_Toc433187258"/>
      <w:r>
        <w:rPr>
          <w:rFonts w:eastAsia="仿宋_GB2312"/>
          <w:sz w:val="32"/>
          <w:szCs w:val="32"/>
        </w:rPr>
        <w:t>本指导原则适用于《医疗器械分类目录》</w:t>
      </w:r>
      <w:r>
        <w:rPr>
          <w:rFonts w:hint="eastAsia" w:eastAsia="仿宋_GB2312"/>
          <w:sz w:val="32"/>
          <w:szCs w:val="32"/>
        </w:rPr>
        <w:t>（2017年第104号）</w:t>
      </w:r>
      <w:r>
        <w:rPr>
          <w:rFonts w:eastAsia="仿宋_GB2312"/>
          <w:sz w:val="32"/>
          <w:szCs w:val="32"/>
        </w:rPr>
        <w:t>中</w:t>
      </w:r>
      <w:r>
        <w:rPr>
          <w:rFonts w:hint="eastAsia" w:eastAsia="仿宋_GB2312"/>
          <w:sz w:val="32"/>
          <w:szCs w:val="32"/>
        </w:rPr>
        <w:t>分类</w:t>
      </w:r>
      <w:r>
        <w:rPr>
          <w:rFonts w:eastAsia="仿宋_GB2312"/>
          <w:sz w:val="32"/>
          <w:szCs w:val="32"/>
        </w:rPr>
        <w:t>编码</w:t>
      </w:r>
      <w:r>
        <w:rPr>
          <w:rFonts w:hint="eastAsia" w:eastAsia="仿宋_GB2312"/>
          <w:sz w:val="32"/>
          <w:szCs w:val="32"/>
        </w:rPr>
        <w:t>为0</w:t>
      </w:r>
      <w:r>
        <w:rPr>
          <w:rFonts w:eastAsia="仿宋_GB2312"/>
          <w:sz w:val="32"/>
          <w:szCs w:val="32"/>
        </w:rPr>
        <w:t>3-</w:t>
      </w:r>
      <w:r>
        <w:rPr>
          <w:rFonts w:hint="eastAsia" w:eastAsia="仿宋_GB2312"/>
          <w:sz w:val="32"/>
          <w:szCs w:val="32"/>
        </w:rPr>
        <w:t>13-</w:t>
      </w:r>
      <w:r>
        <w:rPr>
          <w:rFonts w:hint="eastAsia" w:eastAsia="仿宋_GB2312"/>
          <w:color w:val="000000"/>
          <w:kern w:val="0"/>
          <w:sz w:val="32"/>
          <w:szCs w:val="32"/>
        </w:rPr>
        <w:t>26的微导管。</w:t>
      </w:r>
    </w:p>
    <w:p w14:paraId="147F95F8">
      <w:pPr>
        <w:spacing w:line="520" w:lineRule="exact"/>
        <w:ind w:firstLine="640" w:firstLineChars="200"/>
        <w:rPr>
          <w:rFonts w:eastAsia="仿宋_GB2312"/>
          <w:sz w:val="32"/>
          <w:szCs w:val="32"/>
        </w:rPr>
      </w:pPr>
      <w:r>
        <w:rPr>
          <w:rFonts w:eastAsia="仿宋_GB2312"/>
          <w:sz w:val="32"/>
          <w:szCs w:val="32"/>
        </w:rPr>
        <w:t>采用</w:t>
      </w:r>
      <w:r>
        <w:rPr>
          <w:rFonts w:hint="eastAsia" w:eastAsia="仿宋_GB2312"/>
          <w:sz w:val="32"/>
          <w:szCs w:val="32"/>
        </w:rPr>
        <w:t>新型结构设计、新型作用机理的微导管，</w:t>
      </w:r>
      <w:r>
        <w:rPr>
          <w:rFonts w:eastAsia="仿宋_GB2312"/>
          <w:sz w:val="32"/>
          <w:szCs w:val="32"/>
        </w:rPr>
        <w:t>如可解脱微导管</w:t>
      </w:r>
      <w:r>
        <w:rPr>
          <w:rFonts w:hint="eastAsia" w:eastAsia="仿宋_GB2312"/>
          <w:sz w:val="32"/>
          <w:szCs w:val="32"/>
        </w:rPr>
        <w:t>，可参考本指导原则中适用的部分。</w:t>
      </w:r>
    </w:p>
    <w:p w14:paraId="1A7423B3">
      <w:pPr>
        <w:spacing w:line="520" w:lineRule="exact"/>
        <w:ind w:firstLine="640" w:firstLineChars="200"/>
        <w:rPr>
          <w:rFonts w:eastAsia="仿宋_GB2312"/>
          <w:sz w:val="32"/>
          <w:szCs w:val="32"/>
        </w:rPr>
      </w:pPr>
      <w:r>
        <w:rPr>
          <w:rFonts w:hint="eastAsia" w:eastAsia="仿宋_GB2312"/>
          <w:sz w:val="32"/>
          <w:szCs w:val="32"/>
        </w:rPr>
        <w:t>其他</w:t>
      </w:r>
      <w:r>
        <w:rPr>
          <w:rFonts w:eastAsia="仿宋_GB2312"/>
          <w:sz w:val="32"/>
          <w:szCs w:val="32"/>
        </w:rPr>
        <w:t>血管内</w:t>
      </w:r>
      <w:r>
        <w:rPr>
          <w:rFonts w:hint="eastAsia" w:eastAsia="仿宋_GB2312"/>
          <w:sz w:val="32"/>
          <w:szCs w:val="32"/>
        </w:rPr>
        <w:t>导引</w:t>
      </w:r>
      <w:r>
        <w:rPr>
          <w:rFonts w:eastAsia="仿宋_GB2312"/>
          <w:sz w:val="32"/>
          <w:szCs w:val="32"/>
        </w:rPr>
        <w:t>导管</w:t>
      </w:r>
      <w:r>
        <w:rPr>
          <w:rFonts w:hint="eastAsia" w:eastAsia="仿宋_GB2312"/>
          <w:sz w:val="32"/>
          <w:szCs w:val="32"/>
        </w:rPr>
        <w:t>、药械</w:t>
      </w:r>
      <w:r>
        <w:rPr>
          <w:rFonts w:eastAsia="仿宋_GB2312"/>
          <w:sz w:val="32"/>
          <w:szCs w:val="32"/>
        </w:rPr>
        <w:t>组合类微导管</w:t>
      </w:r>
      <w:r>
        <w:rPr>
          <w:rFonts w:hint="eastAsia" w:eastAsia="仿宋_GB2312"/>
          <w:sz w:val="32"/>
          <w:szCs w:val="32"/>
        </w:rPr>
        <w:t>可</w:t>
      </w:r>
      <w:r>
        <w:rPr>
          <w:rFonts w:eastAsia="仿宋_GB2312"/>
          <w:sz w:val="32"/>
          <w:szCs w:val="32"/>
        </w:rPr>
        <w:t>参考本指导原则</w:t>
      </w:r>
      <w:r>
        <w:rPr>
          <w:rFonts w:hint="eastAsia" w:eastAsia="仿宋_GB2312"/>
          <w:sz w:val="32"/>
          <w:szCs w:val="32"/>
        </w:rPr>
        <w:t>中</w:t>
      </w:r>
      <w:r>
        <w:rPr>
          <w:rFonts w:eastAsia="仿宋_GB2312"/>
          <w:sz w:val="32"/>
          <w:szCs w:val="32"/>
        </w:rPr>
        <w:t>适用的部分。</w:t>
      </w:r>
    </w:p>
    <w:p w14:paraId="7DA8FDAB">
      <w:pPr>
        <w:pStyle w:val="4"/>
        <w:spacing w:before="156" w:beforeLines="50" w:line="360" w:lineRule="auto"/>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注册单元划分</w:t>
      </w:r>
    </w:p>
    <w:p w14:paraId="57187A43">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微导管注册单元划分建议依据</w:t>
      </w:r>
      <w:r>
        <w:rPr>
          <w:rFonts w:eastAsia="仿宋_GB2312"/>
          <w:color w:val="000000"/>
          <w:kern w:val="0"/>
          <w:sz w:val="32"/>
          <w:szCs w:val="32"/>
        </w:rPr>
        <w:t>《医疗器械注册单元划分指导原则》</w:t>
      </w:r>
      <w:r>
        <w:rPr>
          <w:rFonts w:hint="eastAsia" w:eastAsia="仿宋_GB2312"/>
          <w:color w:val="000000"/>
          <w:kern w:val="0"/>
          <w:sz w:val="32"/>
          <w:szCs w:val="32"/>
        </w:rPr>
        <w:t>（</w:t>
      </w:r>
      <w:r>
        <w:rPr>
          <w:rFonts w:eastAsia="仿宋_GB2312"/>
          <w:color w:val="000000"/>
          <w:kern w:val="0"/>
          <w:sz w:val="32"/>
          <w:szCs w:val="32"/>
        </w:rPr>
        <w:t>2017年第187号</w:t>
      </w:r>
      <w:r>
        <w:rPr>
          <w:rFonts w:hint="eastAsia" w:eastAsia="仿宋_GB2312"/>
          <w:color w:val="000000"/>
          <w:kern w:val="0"/>
          <w:sz w:val="32"/>
          <w:szCs w:val="32"/>
        </w:rPr>
        <w:t>）</w:t>
      </w:r>
      <w:r>
        <w:rPr>
          <w:rFonts w:eastAsia="仿宋_GB2312"/>
          <w:color w:val="000000"/>
          <w:kern w:val="0"/>
          <w:sz w:val="32"/>
          <w:szCs w:val="32"/>
        </w:rPr>
        <w:t>进行</w:t>
      </w:r>
      <w:r>
        <w:rPr>
          <w:rFonts w:hint="eastAsia" w:eastAsia="仿宋_GB2312"/>
          <w:color w:val="000000"/>
          <w:kern w:val="0"/>
          <w:sz w:val="32"/>
          <w:szCs w:val="32"/>
        </w:rPr>
        <w:t>，并着重考虑产品的技术原理、结构组成、性能指标及适用范围等因素，如：</w:t>
      </w:r>
    </w:p>
    <w:p w14:paraId="611740F8">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1.单腔微导管和</w:t>
      </w:r>
      <w:r>
        <w:rPr>
          <w:rFonts w:eastAsia="仿宋_GB2312"/>
          <w:color w:val="000000"/>
          <w:kern w:val="0"/>
          <w:sz w:val="32"/>
          <w:szCs w:val="32"/>
        </w:rPr>
        <w:t>双腔微导管</w:t>
      </w:r>
      <w:r>
        <w:rPr>
          <w:rFonts w:hint="eastAsia" w:eastAsia="仿宋_GB2312"/>
          <w:color w:val="000000"/>
          <w:kern w:val="0"/>
          <w:sz w:val="32"/>
          <w:szCs w:val="32"/>
        </w:rPr>
        <w:t>宜划分为不同的注册单元。</w:t>
      </w:r>
    </w:p>
    <w:p w14:paraId="0DFB9D40">
      <w:pPr>
        <w:spacing w:line="520" w:lineRule="exact"/>
        <w:ind w:firstLine="640" w:firstLineChars="20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可调弯微</w:t>
      </w:r>
      <w:r>
        <w:rPr>
          <w:rFonts w:eastAsia="仿宋_GB2312"/>
          <w:color w:val="000000"/>
          <w:kern w:val="0"/>
          <w:sz w:val="32"/>
          <w:szCs w:val="32"/>
        </w:rPr>
        <w:t>导管与不可调弯微导管宜</w:t>
      </w:r>
      <w:r>
        <w:rPr>
          <w:rFonts w:hint="eastAsia" w:eastAsia="仿宋_GB2312"/>
          <w:color w:val="000000"/>
          <w:kern w:val="0"/>
          <w:sz w:val="32"/>
          <w:szCs w:val="32"/>
        </w:rPr>
        <w:t>划分为不同的注册单元。</w:t>
      </w:r>
    </w:p>
    <w:p w14:paraId="43881D60">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3</w:t>
      </w:r>
      <w:r>
        <w:rPr>
          <w:rFonts w:eastAsia="仿宋_GB2312"/>
          <w:color w:val="000000"/>
          <w:kern w:val="0"/>
          <w:sz w:val="32"/>
          <w:szCs w:val="32"/>
        </w:rPr>
        <w:t>.</w:t>
      </w:r>
      <w:r>
        <w:rPr>
          <w:rFonts w:hint="eastAsia" w:eastAsia="仿宋_GB2312"/>
          <w:color w:val="000000"/>
          <w:kern w:val="0"/>
          <w:sz w:val="32"/>
          <w:szCs w:val="32"/>
        </w:rPr>
        <w:t>微导管</w:t>
      </w:r>
      <w:r>
        <w:rPr>
          <w:rFonts w:eastAsia="仿宋_GB2312"/>
          <w:color w:val="000000"/>
          <w:kern w:val="0"/>
          <w:sz w:val="32"/>
          <w:szCs w:val="32"/>
        </w:rPr>
        <w:t>材料不同但不</w:t>
      </w:r>
      <w:r>
        <w:rPr>
          <w:rFonts w:hint="eastAsia" w:eastAsia="仿宋_GB2312"/>
          <w:color w:val="000000"/>
          <w:kern w:val="0"/>
          <w:sz w:val="32"/>
          <w:szCs w:val="32"/>
        </w:rPr>
        <w:t>实质</w:t>
      </w:r>
      <w:r>
        <w:rPr>
          <w:rFonts w:eastAsia="仿宋_GB2312"/>
          <w:color w:val="000000"/>
          <w:kern w:val="0"/>
          <w:sz w:val="32"/>
          <w:szCs w:val="32"/>
        </w:rPr>
        <w:t>影响</w:t>
      </w:r>
      <w:r>
        <w:rPr>
          <w:rFonts w:hint="eastAsia" w:eastAsia="仿宋_GB2312"/>
          <w:color w:val="000000"/>
          <w:kern w:val="0"/>
          <w:sz w:val="32"/>
          <w:szCs w:val="32"/>
        </w:rPr>
        <w:t>产品性能</w:t>
      </w:r>
      <w:r>
        <w:rPr>
          <w:rFonts w:eastAsia="仿宋_GB2312"/>
          <w:color w:val="000000"/>
          <w:kern w:val="0"/>
          <w:sz w:val="32"/>
          <w:szCs w:val="32"/>
        </w:rPr>
        <w:t>和安全有效时，</w:t>
      </w:r>
      <w:r>
        <w:rPr>
          <w:rFonts w:hint="eastAsia" w:eastAsia="仿宋_GB2312"/>
          <w:color w:val="000000"/>
          <w:kern w:val="0"/>
          <w:sz w:val="32"/>
          <w:szCs w:val="32"/>
        </w:rPr>
        <w:t>可</w:t>
      </w:r>
      <w:r>
        <w:rPr>
          <w:rFonts w:eastAsia="仿宋_GB2312"/>
          <w:color w:val="000000"/>
          <w:kern w:val="0"/>
          <w:sz w:val="32"/>
          <w:szCs w:val="32"/>
        </w:rPr>
        <w:t>为同一注册单元。</w:t>
      </w:r>
    </w:p>
    <w:p w14:paraId="224D3164">
      <w:pPr>
        <w:pStyle w:val="4"/>
        <w:spacing w:before="156" w:beforeLines="50" w:line="360" w:lineRule="auto"/>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、注册申报资料要求</w:t>
      </w:r>
      <w:bookmarkEnd w:id="2"/>
      <w:bookmarkStart w:id="3" w:name="_Toc433187259"/>
    </w:p>
    <w:p w14:paraId="066C881F">
      <w:pPr>
        <w:pStyle w:val="4"/>
        <w:spacing w:line="52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注册申报资料应按照国家药品监督管理局相关法规要求提供，尤其注意以下几方面内容：</w:t>
      </w:r>
    </w:p>
    <w:p w14:paraId="0CAEC8FC">
      <w:pPr>
        <w:pStyle w:val="4"/>
        <w:spacing w:line="360" w:lineRule="auto"/>
        <w:ind w:firstLine="640" w:firstLineChars="200"/>
        <w:jc w:val="left"/>
        <w:rPr>
          <w:rFonts w:ascii="楷体" w:hAnsi="楷体" w:eastAsia="楷体" w:cs="Times New Roman"/>
          <w:color w:val="000000"/>
          <w:kern w:val="0"/>
          <w:sz w:val="32"/>
          <w:szCs w:val="32"/>
        </w:rPr>
      </w:pPr>
      <w:r>
        <w:rPr>
          <w:rFonts w:ascii="楷体" w:hAnsi="楷体" w:eastAsia="楷体" w:cs="Times New Roman"/>
          <w:color w:val="000000"/>
          <w:kern w:val="0"/>
          <w:sz w:val="32"/>
          <w:szCs w:val="32"/>
        </w:rPr>
        <w:t>（一）综述资料</w:t>
      </w:r>
      <w:bookmarkEnd w:id="3"/>
    </w:p>
    <w:p w14:paraId="3EF896B4">
      <w:pPr>
        <w:pStyle w:val="4"/>
        <w:spacing w:line="520" w:lineRule="exact"/>
        <w:ind w:firstLine="640" w:firstLineChars="200"/>
        <w:jc w:val="left"/>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1. 描述产品名称的确定依据。参照《医疗器械通用名称命名规则》、《医疗器械通用名称命名指导原则》等相关文件规范产品通用名称。以“微导管”作为核心词，以结构特点、材料组成、使用部位等作为特征词。</w:t>
      </w:r>
    </w:p>
    <w:p w14:paraId="2861161C">
      <w:pPr>
        <w:pStyle w:val="4"/>
        <w:spacing w:line="520" w:lineRule="exact"/>
        <w:ind w:firstLine="640" w:firstLineChars="200"/>
        <w:jc w:val="left"/>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注意微导管与其他血管内导管的区别，微导管最大外径一般不超过1mm（3Fr）。</w:t>
      </w:r>
    </w:p>
    <w:p w14:paraId="2F99EA3E">
      <w:pPr>
        <w:pStyle w:val="4"/>
        <w:spacing w:line="520" w:lineRule="exact"/>
        <w:ind w:firstLine="640" w:firstLineChars="200"/>
        <w:jc w:val="left"/>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2. 描述产品工作原理、各部件在产品中的功能、各组件连接方式（如适用）。</w:t>
      </w:r>
    </w:p>
    <w:p w14:paraId="3EBC1D99">
      <w:pPr>
        <w:pStyle w:val="4"/>
        <w:spacing w:line="520" w:lineRule="exact"/>
        <w:ind w:firstLine="640" w:firstLineChars="200"/>
        <w:jc w:val="left"/>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3. 结构组成</w:t>
      </w:r>
    </w:p>
    <w:p w14:paraId="51C83E96">
      <w:pPr>
        <w:pStyle w:val="4"/>
        <w:spacing w:line="520" w:lineRule="exact"/>
        <w:ind w:firstLine="640" w:firstLineChars="200"/>
        <w:jc w:val="left"/>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明确产品的结构组成（包括附件），并提供相应的结构图示。在图示中标识各部件的名称、尺寸信息及测量位置。建议提供微导管轴向剖面图和横截面图，针对微导管的典型位置（如双腔等）提供放大细节图。如管身采用多层结构设计，横截面图上宜体现多层结构；如管身不同节段材料不同或编织方式不同，轴向剖面图上宜体现不同节段并标明各节段长度。对于表面有涂层的微导管，宜明确涂层的涂覆范围并描述涂层的涂覆方式。</w:t>
      </w:r>
    </w:p>
    <w:p w14:paraId="0A15EFB0">
      <w:pPr>
        <w:pStyle w:val="4"/>
        <w:spacing w:line="520" w:lineRule="exact"/>
        <w:ind w:firstLine="640" w:firstLineChars="200"/>
        <w:jc w:val="left"/>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4. 组成材料</w:t>
      </w:r>
    </w:p>
    <w:p w14:paraId="0698FBB2">
      <w:pPr>
        <w:pStyle w:val="4"/>
        <w:spacing w:line="520" w:lineRule="exact"/>
        <w:ind w:firstLine="640" w:firstLineChars="200"/>
        <w:jc w:val="left"/>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明确产品所有部件（包括附件）组成材料的通用名称/化学名称、商品名/牌号（若有）、符合的材料标准（如适用）等基本信息，包括微导管表面的涂层及制造过程中使用的焊接剂、粘合剂、着色剂等。建议产品组成材料以列表的形式提供，并与产品结构图示中标识的部件一一对应。若产品组成材料为混合物，明确各组分及其比例。对于采用分层/分段结构设计的，逐层/逐段分别进行描述组成材料。</w:t>
      </w:r>
      <w:r>
        <w:rPr>
          <w:rFonts w:hint="eastAsia" w:ascii="仿宋_GB2312" w:eastAsia="仿宋_GB2312"/>
          <w:sz w:val="32"/>
          <w:szCs w:val="32"/>
        </w:rPr>
        <w:t>若为首次应用于人体的新材料，应明确标注。</w:t>
      </w:r>
    </w:p>
    <w:p w14:paraId="35FC9D74">
      <w:pPr>
        <w:pStyle w:val="4"/>
        <w:spacing w:line="520" w:lineRule="exact"/>
        <w:ind w:firstLine="640" w:firstLineChars="200"/>
        <w:jc w:val="left"/>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对于与人体直接或间接接触的材料，提供材料供应商的资质证明、双方签订的采购协议或同类证明文件，并提供入厂质控标准及入厂检验报告，应能表明材质信息，必要时提供材质证明。材料信息应在注册申报文件中描述一致。</w:t>
      </w:r>
    </w:p>
    <w:p w14:paraId="75338541">
      <w:pPr>
        <w:pStyle w:val="4"/>
        <w:spacing w:line="520" w:lineRule="exact"/>
        <w:ind w:firstLine="640" w:firstLineChars="200"/>
        <w:jc w:val="left"/>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5. 明确产品型号/规格的表述方式</w:t>
      </w:r>
      <w:r>
        <w:rPr>
          <w:rFonts w:hint="eastAsia" w:ascii="仿宋_GB2312" w:eastAsia="仿宋_GB2312"/>
          <w:sz w:val="32"/>
          <w:szCs w:val="32"/>
        </w:rPr>
        <w:t>、划分依据</w:t>
      </w:r>
      <w:r>
        <w:rPr>
          <w:rFonts w:hint="eastAsia" w:ascii="仿宋_GB2312" w:hAnsi="Times New Roman" w:eastAsia="仿宋_GB2312" w:cs="Times New Roman"/>
          <w:color w:val="000000"/>
          <w:kern w:val="0"/>
          <w:sz w:val="32"/>
          <w:szCs w:val="32"/>
        </w:rPr>
        <w:t>以及</w:t>
      </w:r>
      <w:r>
        <w:rPr>
          <w:rFonts w:hint="eastAsia" w:ascii="仿宋_GB2312" w:eastAsia="仿宋_GB2312"/>
          <w:sz w:val="32"/>
          <w:szCs w:val="32"/>
        </w:rPr>
        <w:t>各型号/规格间的异同点，可采用图片、图表等形式对不同型号/规格产品的结构组成、产品特征等加以描述。</w:t>
      </w:r>
    </w:p>
    <w:p w14:paraId="548BFE08">
      <w:pPr>
        <w:pStyle w:val="4"/>
        <w:spacing w:line="520" w:lineRule="exact"/>
        <w:ind w:firstLine="640" w:firstLineChars="200"/>
        <w:jc w:val="left"/>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6. 包装说明</w:t>
      </w:r>
    </w:p>
    <w:p w14:paraId="199D56A5">
      <w:pPr>
        <w:pStyle w:val="4"/>
        <w:spacing w:line="520" w:lineRule="exact"/>
        <w:ind w:firstLine="640" w:firstLineChars="200"/>
        <w:jc w:val="left"/>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说明与灭菌方法相适应的最初包装的信息。建议提供产品初包装结构示意图和/或照片，明确初包装材料，标明初包装尺寸，并明确与产品一起销售的配件（如冲洗针、塑形杆等）及其包装情况。</w:t>
      </w:r>
    </w:p>
    <w:p w14:paraId="4411B455">
      <w:pPr>
        <w:pStyle w:val="4"/>
        <w:spacing w:line="520" w:lineRule="exact"/>
        <w:ind w:firstLine="640" w:firstLineChars="200"/>
        <w:jc w:val="left"/>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7. 适用范围和禁忌症</w:t>
      </w:r>
    </w:p>
    <w:p w14:paraId="76400A26">
      <w:pPr>
        <w:pStyle w:val="4"/>
        <w:spacing w:line="520" w:lineRule="exact"/>
        <w:ind w:firstLine="640" w:firstLineChars="200"/>
        <w:jc w:val="left"/>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明确产品适用范围，特别是作用部位，如外周血管、神经血管等；明确目标用户应当具备的技能/知识/培训；说明预期与</w:t>
      </w:r>
      <w:r>
        <w:rPr>
          <w:rFonts w:hint="eastAsia" w:ascii="仿宋_GB2312" w:eastAsia="仿宋_GB2312"/>
          <w:sz w:val="32"/>
          <w:szCs w:val="32"/>
        </w:rPr>
        <w:t>申报产品</w:t>
      </w:r>
      <w:r>
        <w:rPr>
          <w:rFonts w:hint="eastAsia" w:ascii="仿宋_GB2312" w:hAnsi="Times New Roman" w:eastAsia="仿宋_GB2312" w:cs="Times New Roman"/>
          <w:color w:val="000000"/>
          <w:kern w:val="0"/>
          <w:sz w:val="32"/>
          <w:szCs w:val="32"/>
        </w:rPr>
        <w:t>组合使用的器械，如兼容导丝、导引导管等。</w:t>
      </w:r>
    </w:p>
    <w:p w14:paraId="11D25BE1">
      <w:pPr>
        <w:pStyle w:val="4"/>
        <w:spacing w:line="520" w:lineRule="exact"/>
        <w:ind w:firstLine="640" w:firstLineChars="200"/>
        <w:jc w:val="left"/>
        <w:rPr>
          <w:rFonts w:ascii="仿宋_GB2312" w:hAnsi="Times New Roman" w:eastAsia="仿宋_GB2312" w:cs="Times New Roman"/>
          <w:color w:val="000000"/>
          <w:kern w:val="0"/>
          <w:sz w:val="32"/>
          <w:szCs w:val="32"/>
        </w:rPr>
      </w:pPr>
      <w:r>
        <w:rPr>
          <w:rFonts w:hint="eastAsia" w:ascii="仿宋_GB2312" w:eastAsia="仿宋_GB2312"/>
          <w:sz w:val="32"/>
          <w:szCs w:val="32"/>
        </w:rPr>
        <w:t>明确预期使用环境、适用人群信息。说明该产品禁忌应用的疾病、作用部位、人群（如适用）等。</w:t>
      </w:r>
    </w:p>
    <w:p w14:paraId="4E1B74D2">
      <w:pPr>
        <w:pStyle w:val="4"/>
        <w:spacing w:line="52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8. 参考的同类产品或前代产品的情况</w:t>
      </w:r>
    </w:p>
    <w:p w14:paraId="36100813">
      <w:pPr>
        <w:pStyle w:val="4"/>
        <w:spacing w:line="520" w:lineRule="exact"/>
        <w:ind w:firstLine="640" w:firstLineChars="200"/>
        <w:rPr>
          <w:rFonts w:ascii="仿宋_GB2312" w:eastAsia="仿宋_GB2312"/>
          <w:sz w:val="32"/>
          <w:szCs w:val="32"/>
        </w:rPr>
      </w:pPr>
      <w:r>
        <w:rPr>
          <w:rFonts w:hint="eastAsia" w:ascii="仿宋_GB2312" w:eastAsia="仿宋_GB2312"/>
          <w:sz w:val="32"/>
          <w:szCs w:val="32"/>
        </w:rPr>
        <w:t>提供参考的已上市同类产品或前代产品（如有）的信息，阐述申报产品的研发背景和目的。对于同类产品，应当说明选择其作为研发参考的原因。以对比表形式，说明申报产品与参考产品（同类产品或前代产品）在工作原理、结构组成、制造材料、性能指标以及适用范围等方面的异同，必要时可结合图片、图表进行说明。如与参考产品存在差异，宜结合差异及安全有效清单要求，分析差异是否需要进行额外的、特殊的安全有效性评价。</w:t>
      </w:r>
    </w:p>
    <w:p w14:paraId="2012A409">
      <w:pPr>
        <w:pStyle w:val="4"/>
        <w:spacing w:line="360" w:lineRule="auto"/>
        <w:ind w:firstLine="640" w:firstLineChars="200"/>
        <w:jc w:val="left"/>
        <w:rPr>
          <w:rFonts w:ascii="楷体" w:hAnsi="楷体" w:eastAsia="楷体" w:cs="Times New Roman"/>
          <w:color w:val="000000"/>
          <w:kern w:val="0"/>
          <w:sz w:val="32"/>
          <w:szCs w:val="32"/>
        </w:rPr>
      </w:pPr>
      <w:bookmarkStart w:id="4" w:name="_Toc433187260"/>
      <w:bookmarkStart w:id="5" w:name="_Toc433187261"/>
      <w:r>
        <w:rPr>
          <w:rFonts w:hint="eastAsia" w:ascii="楷体" w:hAnsi="楷体" w:eastAsia="楷体" w:cs="Times New Roman"/>
          <w:color w:val="000000"/>
          <w:kern w:val="0"/>
          <w:sz w:val="32"/>
          <w:szCs w:val="32"/>
        </w:rPr>
        <w:t>（二）研究资料</w:t>
      </w:r>
      <w:bookmarkEnd w:id="4"/>
    </w:p>
    <w:p w14:paraId="062BACAA">
      <w:pPr>
        <w:pStyle w:val="4"/>
        <w:spacing w:line="52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1. 产品性能研究</w:t>
      </w:r>
    </w:p>
    <w:p w14:paraId="548B9C7F">
      <w:pPr>
        <w:spacing w:line="520" w:lineRule="exact"/>
        <w:ind w:firstLine="627" w:firstLineChars="196"/>
        <w:rPr>
          <w:rFonts w:ascii="仿宋_GB2312" w:eastAsia="仿宋_GB2312"/>
          <w:bCs/>
          <w:sz w:val="32"/>
          <w:szCs w:val="32"/>
        </w:rPr>
      </w:pPr>
      <w:r>
        <w:rPr>
          <w:rFonts w:hint="eastAsia" w:ascii="仿宋_GB2312" w:eastAsia="仿宋_GB2312"/>
          <w:sz w:val="32"/>
          <w:szCs w:val="32"/>
        </w:rPr>
        <w:t>（1）</w:t>
      </w:r>
      <w:r>
        <w:rPr>
          <w:rFonts w:hint="eastAsia" w:ascii="仿宋_GB2312" w:eastAsia="仿宋_GB2312"/>
          <w:bCs/>
          <w:sz w:val="32"/>
          <w:szCs w:val="32"/>
        </w:rPr>
        <w:t>说明</w:t>
      </w:r>
      <w:r>
        <w:rPr>
          <w:rFonts w:hint="eastAsia" w:ascii="仿宋_GB2312" w:eastAsia="仿宋_GB2312"/>
          <w:sz w:val="32"/>
          <w:szCs w:val="32"/>
        </w:rPr>
        <w:t>产品技术要求中性能指标及检验方法的确定依据，提供采用的原因及理论基础</w:t>
      </w:r>
      <w:r>
        <w:rPr>
          <w:rFonts w:hint="eastAsia" w:ascii="仿宋_GB2312" w:eastAsia="仿宋_GB2312"/>
          <w:bCs/>
          <w:sz w:val="32"/>
          <w:szCs w:val="32"/>
        </w:rPr>
        <w:t>。依据产品性能研究结果，结合临床需求制定性能指标接受标准并不低于强制性国家/行业标准要求。对于自建方法，宜提供相应的依据和/或方法学验证资料。</w:t>
      </w:r>
    </w:p>
    <w:p w14:paraId="0AFF8A75">
      <w:pPr>
        <w:pStyle w:val="4"/>
        <w:spacing w:line="52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（2）提供性能研究资料。性能研究宜采用终产品，选择典型型号/规格，研究项目所用样品数量宜适当，同时结合风险和伤害情况确定数量，适用时对验证结果进行统计学分析。</w:t>
      </w:r>
      <w:r>
        <w:rPr>
          <w:rFonts w:hint="eastAsia" w:ascii="仿宋_GB2312" w:hAnsi="Times New Roman" w:eastAsia="仿宋_GB2312" w:cs="Times New Roman"/>
          <w:sz w:val="32"/>
          <w:szCs w:val="32"/>
        </w:rPr>
        <w:t>如受实验条件等因素影响，未使用终产品时，需提供合理性分析，确认未对实验结果及结论产生影响。</w:t>
      </w:r>
    </w:p>
    <w:p w14:paraId="086F6793">
      <w:pPr>
        <w:overflowPunct w:val="0"/>
        <w:spacing w:line="520" w:lineRule="exact"/>
        <w:ind w:firstLine="640" w:firstLineChars="200"/>
        <w:rPr>
          <w:rFonts w:ascii="仿宋_GB2312" w:eastAsia="仿宋_GB2312"/>
          <w:bCs/>
          <w:sz w:val="32"/>
          <w:szCs w:val="32"/>
        </w:rPr>
      </w:pPr>
      <w:r>
        <w:rPr>
          <w:rFonts w:hint="eastAsia" w:ascii="仿宋_GB2312" w:eastAsia="仿宋_GB2312"/>
          <w:bCs/>
          <w:sz w:val="32"/>
          <w:szCs w:val="32"/>
        </w:rPr>
        <w:t>对于微导管，可能存在泄漏、破裂、断裂、弯折、扭结、显影性差、与配合使用器械兼容性差、尖端损坏、涂层脱落等风险。因此，性能研究项目宜考虑但不限于表1所列项目。</w:t>
      </w:r>
      <w:r>
        <w:rPr>
          <w:rFonts w:hint="eastAsia" w:ascii="仿宋_GB2312" w:eastAsia="仿宋_GB2312"/>
          <w:sz w:val="32"/>
          <w:szCs w:val="32"/>
        </w:rPr>
        <w:t>对于表1列举的项目中，如有不适用项，亦应说明具体理由。</w:t>
      </w:r>
      <w:r>
        <w:rPr>
          <w:rFonts w:hint="eastAsia" w:ascii="仿宋_GB2312" w:eastAsia="仿宋_GB2312"/>
          <w:bCs/>
          <w:sz w:val="32"/>
          <w:szCs w:val="32"/>
        </w:rPr>
        <w:t>对于可进行客观判定的成品的功能性、安全性指标以及质量控制相关的其他指标，应将其列入产品技术要求。</w:t>
      </w:r>
    </w:p>
    <w:p w14:paraId="34E5274D">
      <w:pPr>
        <w:pStyle w:val="4"/>
        <w:spacing w:before="312" w:beforeLines="100" w:line="360" w:lineRule="auto"/>
        <w:ind w:firstLine="560" w:firstLineChars="200"/>
        <w:jc w:val="center"/>
        <w:rPr>
          <w:rFonts w:ascii="黑体" w:hAnsi="黑体" w:eastAsia="黑体"/>
          <w:bCs/>
          <w:sz w:val="28"/>
          <w:szCs w:val="28"/>
        </w:rPr>
      </w:pPr>
      <w:r>
        <w:rPr>
          <w:rFonts w:hint="eastAsia" w:ascii="黑体" w:hAnsi="黑体" w:eastAsia="黑体"/>
          <w:bCs/>
          <w:sz w:val="28"/>
          <w:szCs w:val="28"/>
        </w:rPr>
        <w:t>表1</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698"/>
        <w:gridCol w:w="1986"/>
        <w:gridCol w:w="1701"/>
        <w:gridCol w:w="3139"/>
      </w:tblGrid>
      <w:tr w14:paraId="2169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96" w:type="pct"/>
            <w:vAlign w:val="center"/>
          </w:tcPr>
          <w:p w14:paraId="562197F4">
            <w:pPr>
              <w:pStyle w:val="4"/>
              <w:spacing w:line="360" w:lineRule="auto"/>
              <w:jc w:val="center"/>
              <w:rPr>
                <w:rFonts w:ascii="仿宋_GB2312" w:hAnsi="Times New Roman" w:eastAsia="仿宋_GB2312" w:cs="Times New Roman"/>
                <w:b/>
                <w:bCs/>
                <w:sz w:val="28"/>
                <w:szCs w:val="28"/>
              </w:rPr>
            </w:pPr>
            <w:r>
              <w:rPr>
                <w:rFonts w:hint="eastAsia" w:ascii="仿宋_GB2312" w:eastAsia="仿宋_GB2312"/>
                <w:b/>
                <w:sz w:val="28"/>
                <w:szCs w:val="28"/>
              </w:rPr>
              <w:t>序号</w:t>
            </w:r>
          </w:p>
        </w:tc>
        <w:tc>
          <w:tcPr>
            <w:tcW w:w="2033" w:type="pct"/>
            <w:gridSpan w:val="2"/>
            <w:vAlign w:val="center"/>
          </w:tcPr>
          <w:p w14:paraId="61CF4374">
            <w:pPr>
              <w:pStyle w:val="4"/>
              <w:spacing w:line="360" w:lineRule="auto"/>
              <w:jc w:val="center"/>
              <w:rPr>
                <w:rFonts w:ascii="仿宋_GB2312" w:hAnsi="Times New Roman" w:eastAsia="仿宋_GB2312" w:cs="Times New Roman"/>
                <w:b/>
                <w:bCs/>
                <w:sz w:val="28"/>
                <w:szCs w:val="28"/>
              </w:rPr>
            </w:pPr>
            <w:r>
              <w:rPr>
                <w:rFonts w:hint="eastAsia" w:ascii="仿宋_GB2312" w:eastAsia="仿宋_GB2312"/>
                <w:b/>
                <w:sz w:val="28"/>
                <w:szCs w:val="28"/>
              </w:rPr>
              <w:t>建议开展的性能研究项目</w:t>
            </w:r>
          </w:p>
        </w:tc>
        <w:tc>
          <w:tcPr>
            <w:tcW w:w="939" w:type="pct"/>
            <w:vAlign w:val="center"/>
          </w:tcPr>
          <w:p w14:paraId="4435BE66">
            <w:pPr>
              <w:jc w:val="center"/>
              <w:rPr>
                <w:rFonts w:ascii="仿宋_GB2312" w:eastAsia="仿宋_GB2312"/>
                <w:b/>
                <w:sz w:val="28"/>
                <w:szCs w:val="28"/>
              </w:rPr>
            </w:pPr>
            <w:r>
              <w:rPr>
                <w:rFonts w:hint="eastAsia" w:ascii="仿宋_GB2312" w:eastAsia="仿宋_GB2312"/>
                <w:b/>
                <w:sz w:val="28"/>
                <w:szCs w:val="28"/>
              </w:rPr>
              <w:t>是否建议列入产品技术要求</w:t>
            </w:r>
          </w:p>
        </w:tc>
        <w:tc>
          <w:tcPr>
            <w:tcW w:w="1732" w:type="pct"/>
            <w:vAlign w:val="center"/>
          </w:tcPr>
          <w:p w14:paraId="5CD63987">
            <w:pPr>
              <w:pStyle w:val="4"/>
              <w:spacing w:line="360" w:lineRule="auto"/>
              <w:jc w:val="center"/>
              <w:rPr>
                <w:rFonts w:ascii="仿宋_GB2312" w:hAnsi="Times New Roman" w:eastAsia="仿宋_GB2312" w:cs="Times New Roman"/>
                <w:b/>
                <w:bCs/>
                <w:sz w:val="28"/>
                <w:szCs w:val="28"/>
              </w:rPr>
            </w:pPr>
            <w:r>
              <w:rPr>
                <w:rFonts w:hint="eastAsia" w:ascii="仿宋_GB2312" w:eastAsia="仿宋_GB2312"/>
                <w:b/>
                <w:sz w:val="28"/>
                <w:szCs w:val="28"/>
              </w:rPr>
              <w:t>备注</w:t>
            </w:r>
          </w:p>
        </w:tc>
      </w:tr>
      <w:tr w14:paraId="117B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73168D66">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433B7D16">
            <w:pPr>
              <w:jc w:val="center"/>
              <w:rPr>
                <w:rFonts w:ascii="仿宋_GB2312" w:eastAsia="仿宋_GB2312"/>
                <w:sz w:val="28"/>
                <w:szCs w:val="28"/>
              </w:rPr>
            </w:pPr>
            <w:r>
              <w:rPr>
                <w:rFonts w:hint="eastAsia" w:ascii="仿宋_GB2312" w:eastAsia="仿宋_GB2312"/>
                <w:sz w:val="28"/>
                <w:szCs w:val="28"/>
              </w:rPr>
              <w:t>外观/外表面</w:t>
            </w:r>
          </w:p>
        </w:tc>
        <w:tc>
          <w:tcPr>
            <w:tcW w:w="939" w:type="pct"/>
            <w:vAlign w:val="center"/>
          </w:tcPr>
          <w:p w14:paraId="5C3A98B8">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4F01C1FB">
            <w:pPr>
              <w:jc w:val="center"/>
              <w:rPr>
                <w:rFonts w:ascii="仿宋_GB2312" w:eastAsia="仿宋_GB2312"/>
                <w:sz w:val="28"/>
                <w:szCs w:val="28"/>
              </w:rPr>
            </w:pPr>
            <w:r>
              <w:rPr>
                <w:rFonts w:hint="eastAsia" w:ascii="仿宋_GB2312" w:eastAsia="仿宋_GB2312"/>
                <w:sz w:val="28"/>
                <w:szCs w:val="28"/>
              </w:rPr>
              <w:t>/</w:t>
            </w:r>
          </w:p>
        </w:tc>
      </w:tr>
      <w:tr w14:paraId="28C0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restart"/>
            <w:vAlign w:val="center"/>
          </w:tcPr>
          <w:p w14:paraId="4BD0C886">
            <w:pPr>
              <w:pStyle w:val="4"/>
              <w:numPr>
                <w:ilvl w:val="0"/>
                <w:numId w:val="1"/>
              </w:numPr>
              <w:spacing w:line="360" w:lineRule="auto"/>
              <w:jc w:val="center"/>
              <w:rPr>
                <w:rFonts w:ascii="仿宋_GB2312" w:hAnsi="Times New Roman" w:eastAsia="仿宋_GB2312" w:cs="Times New Roman"/>
                <w:bCs/>
                <w:sz w:val="28"/>
                <w:szCs w:val="28"/>
              </w:rPr>
            </w:pPr>
          </w:p>
        </w:tc>
        <w:tc>
          <w:tcPr>
            <w:tcW w:w="937" w:type="pct"/>
            <w:vMerge w:val="restart"/>
            <w:vAlign w:val="center"/>
          </w:tcPr>
          <w:p w14:paraId="23A9AA4D">
            <w:pPr>
              <w:jc w:val="center"/>
              <w:rPr>
                <w:rFonts w:ascii="仿宋_GB2312" w:eastAsia="仿宋_GB2312"/>
                <w:sz w:val="28"/>
                <w:szCs w:val="28"/>
              </w:rPr>
            </w:pPr>
            <w:r>
              <w:rPr>
                <w:rFonts w:hint="eastAsia" w:ascii="仿宋_GB2312" w:eastAsia="仿宋_GB2312"/>
                <w:sz w:val="28"/>
                <w:szCs w:val="28"/>
              </w:rPr>
              <w:t>尺寸</w:t>
            </w:r>
          </w:p>
        </w:tc>
        <w:tc>
          <w:tcPr>
            <w:tcW w:w="1096" w:type="pct"/>
            <w:vAlign w:val="center"/>
          </w:tcPr>
          <w:p w14:paraId="3EF71BD9">
            <w:pPr>
              <w:jc w:val="center"/>
              <w:rPr>
                <w:rFonts w:ascii="仿宋_GB2312" w:eastAsia="仿宋_GB2312"/>
                <w:sz w:val="28"/>
                <w:szCs w:val="28"/>
              </w:rPr>
            </w:pPr>
            <w:r>
              <w:rPr>
                <w:rFonts w:hint="eastAsia" w:ascii="仿宋_GB2312" w:eastAsia="仿宋_GB2312"/>
                <w:sz w:val="28"/>
                <w:szCs w:val="28"/>
              </w:rPr>
              <w:t>微导管外径</w:t>
            </w:r>
          </w:p>
        </w:tc>
        <w:tc>
          <w:tcPr>
            <w:tcW w:w="939" w:type="pct"/>
            <w:vAlign w:val="center"/>
          </w:tcPr>
          <w:p w14:paraId="28F41F70">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3866C9BB">
            <w:pPr>
              <w:rPr>
                <w:rFonts w:ascii="仿宋_GB2312" w:eastAsia="仿宋_GB2312"/>
                <w:sz w:val="28"/>
                <w:szCs w:val="28"/>
              </w:rPr>
            </w:pPr>
            <w:r>
              <w:rPr>
                <w:rFonts w:hint="eastAsia" w:ascii="仿宋_GB2312" w:eastAsia="仿宋_GB2312"/>
                <w:sz w:val="28"/>
                <w:szCs w:val="28"/>
              </w:rPr>
              <w:t>1.若微导管各段直径不同，建议逐段分别进行尺寸表征，在产品技术要求中描述近端、远端外径尺寸信息，并在性能指标中制定最大外径要求。</w:t>
            </w:r>
          </w:p>
          <w:p w14:paraId="5A55CDB2">
            <w:pPr>
              <w:rPr>
                <w:rFonts w:ascii="仿宋_GB2312" w:eastAsia="仿宋_GB2312"/>
                <w:sz w:val="28"/>
                <w:szCs w:val="28"/>
              </w:rPr>
            </w:pPr>
            <w:r>
              <w:rPr>
                <w:rFonts w:hint="eastAsia" w:ascii="仿宋_GB2312" w:eastAsia="仿宋_GB2312"/>
                <w:sz w:val="28"/>
                <w:szCs w:val="28"/>
              </w:rPr>
              <w:t>2.若微导管截面非圆形，建议对最大外径进行研究。</w:t>
            </w:r>
          </w:p>
        </w:tc>
      </w:tr>
      <w:tr w14:paraId="0EB9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vAlign w:val="center"/>
          </w:tcPr>
          <w:p w14:paraId="0E2DF404">
            <w:pPr>
              <w:pStyle w:val="4"/>
              <w:numPr>
                <w:ilvl w:val="0"/>
                <w:numId w:val="1"/>
              </w:numPr>
              <w:spacing w:line="360" w:lineRule="auto"/>
              <w:jc w:val="center"/>
              <w:rPr>
                <w:rFonts w:ascii="仿宋_GB2312" w:hAnsi="Times New Roman" w:eastAsia="仿宋_GB2312" w:cs="Times New Roman"/>
                <w:bCs/>
                <w:sz w:val="28"/>
                <w:szCs w:val="28"/>
              </w:rPr>
            </w:pPr>
          </w:p>
        </w:tc>
        <w:tc>
          <w:tcPr>
            <w:tcW w:w="937" w:type="pct"/>
            <w:vMerge w:val="continue"/>
            <w:vAlign w:val="center"/>
          </w:tcPr>
          <w:p w14:paraId="13F6E505">
            <w:pPr>
              <w:jc w:val="center"/>
              <w:rPr>
                <w:rFonts w:ascii="仿宋_GB2312" w:eastAsia="仿宋_GB2312"/>
                <w:sz w:val="28"/>
                <w:szCs w:val="28"/>
              </w:rPr>
            </w:pPr>
          </w:p>
        </w:tc>
        <w:tc>
          <w:tcPr>
            <w:tcW w:w="1096" w:type="pct"/>
            <w:vAlign w:val="center"/>
          </w:tcPr>
          <w:p w14:paraId="01BCA0B3">
            <w:pPr>
              <w:jc w:val="center"/>
              <w:rPr>
                <w:rFonts w:ascii="仿宋_GB2312" w:eastAsia="仿宋_GB2312"/>
                <w:sz w:val="28"/>
                <w:szCs w:val="28"/>
              </w:rPr>
            </w:pPr>
            <w:r>
              <w:rPr>
                <w:rFonts w:hint="eastAsia" w:ascii="仿宋_GB2312" w:eastAsia="仿宋_GB2312"/>
                <w:sz w:val="28"/>
                <w:szCs w:val="28"/>
              </w:rPr>
              <w:t>微导管有效长度</w:t>
            </w:r>
          </w:p>
        </w:tc>
        <w:tc>
          <w:tcPr>
            <w:tcW w:w="939" w:type="pct"/>
            <w:vAlign w:val="center"/>
          </w:tcPr>
          <w:p w14:paraId="3C6DA920">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55FE1003">
            <w:pPr>
              <w:jc w:val="center"/>
              <w:rPr>
                <w:rFonts w:ascii="仿宋_GB2312" w:eastAsia="仿宋_GB2312"/>
                <w:sz w:val="28"/>
                <w:szCs w:val="28"/>
              </w:rPr>
            </w:pPr>
            <w:r>
              <w:rPr>
                <w:rFonts w:hint="eastAsia" w:ascii="仿宋_GB2312" w:eastAsia="仿宋_GB2312"/>
                <w:sz w:val="28"/>
                <w:szCs w:val="28"/>
              </w:rPr>
              <w:t>/</w:t>
            </w:r>
          </w:p>
        </w:tc>
      </w:tr>
      <w:tr w14:paraId="12DD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6D9AB383">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62E5935C">
            <w:pPr>
              <w:jc w:val="center"/>
              <w:rPr>
                <w:rFonts w:ascii="仿宋_GB2312" w:eastAsia="仿宋_GB2312"/>
                <w:sz w:val="28"/>
                <w:szCs w:val="28"/>
              </w:rPr>
            </w:pPr>
            <w:r>
              <w:rPr>
                <w:rFonts w:hint="eastAsia" w:ascii="仿宋_GB2312" w:eastAsia="仿宋_GB2312"/>
                <w:sz w:val="28"/>
                <w:szCs w:val="28"/>
              </w:rPr>
              <w:t>与导丝的兼容性</w:t>
            </w:r>
          </w:p>
        </w:tc>
        <w:tc>
          <w:tcPr>
            <w:tcW w:w="939" w:type="pct"/>
            <w:vAlign w:val="center"/>
          </w:tcPr>
          <w:p w14:paraId="1C532A7C">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3D918667">
            <w:pPr>
              <w:jc w:val="center"/>
              <w:rPr>
                <w:rFonts w:ascii="仿宋_GB2312" w:eastAsia="仿宋_GB2312"/>
                <w:sz w:val="28"/>
                <w:szCs w:val="28"/>
              </w:rPr>
            </w:pPr>
            <w:r>
              <w:rPr>
                <w:rFonts w:hint="eastAsia" w:ascii="仿宋_GB2312" w:eastAsia="仿宋_GB2312"/>
                <w:sz w:val="28"/>
                <w:szCs w:val="28"/>
              </w:rPr>
              <w:t>可用微导管内径表征</w:t>
            </w:r>
          </w:p>
        </w:tc>
      </w:tr>
      <w:tr w14:paraId="47EB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51B99475">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57813E16">
            <w:pPr>
              <w:jc w:val="center"/>
              <w:rPr>
                <w:rFonts w:ascii="仿宋_GB2312" w:eastAsia="仿宋_GB2312"/>
                <w:sz w:val="28"/>
                <w:szCs w:val="28"/>
              </w:rPr>
            </w:pPr>
            <w:r>
              <w:rPr>
                <w:rFonts w:hint="eastAsia" w:ascii="仿宋_GB2312" w:eastAsia="仿宋_GB2312"/>
                <w:sz w:val="28"/>
                <w:szCs w:val="28"/>
              </w:rPr>
              <w:t>与其他器械（如弹簧圈、支架等）兼容性（如适用）</w:t>
            </w:r>
          </w:p>
        </w:tc>
        <w:tc>
          <w:tcPr>
            <w:tcW w:w="939" w:type="pct"/>
            <w:vAlign w:val="center"/>
          </w:tcPr>
          <w:p w14:paraId="1437AAA3">
            <w:pPr>
              <w:jc w:val="center"/>
              <w:rPr>
                <w:rFonts w:ascii="仿宋_GB2312" w:eastAsia="仿宋_GB2312"/>
                <w:sz w:val="28"/>
                <w:szCs w:val="28"/>
              </w:rPr>
            </w:pPr>
            <w:r>
              <w:rPr>
                <w:rFonts w:hint="eastAsia" w:ascii="仿宋_GB2312" w:eastAsia="仿宋_GB2312"/>
                <w:sz w:val="28"/>
                <w:szCs w:val="28"/>
              </w:rPr>
              <w:t>/</w:t>
            </w:r>
          </w:p>
        </w:tc>
        <w:tc>
          <w:tcPr>
            <w:tcW w:w="1732" w:type="pct"/>
            <w:vAlign w:val="center"/>
          </w:tcPr>
          <w:p w14:paraId="3699DE1F">
            <w:pPr>
              <w:jc w:val="left"/>
              <w:rPr>
                <w:rFonts w:ascii="仿宋_GB2312" w:eastAsia="仿宋_GB2312"/>
                <w:sz w:val="28"/>
                <w:szCs w:val="28"/>
              </w:rPr>
            </w:pPr>
            <w:r>
              <w:rPr>
                <w:rFonts w:hint="eastAsia" w:ascii="仿宋_GB2312" w:eastAsia="仿宋_GB2312"/>
                <w:sz w:val="28"/>
                <w:szCs w:val="28"/>
              </w:rPr>
              <w:t>如配合使用器械可重复回收，建议额外对配合使用器械多次回收后微导管的头端状态进行研究</w:t>
            </w:r>
          </w:p>
        </w:tc>
      </w:tr>
      <w:tr w14:paraId="3A26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40664809">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2EE66A3F">
            <w:pPr>
              <w:jc w:val="center"/>
              <w:rPr>
                <w:rFonts w:ascii="仿宋_GB2312" w:eastAsia="仿宋_GB2312"/>
                <w:sz w:val="28"/>
                <w:szCs w:val="28"/>
              </w:rPr>
            </w:pPr>
            <w:r>
              <w:rPr>
                <w:rFonts w:hint="eastAsia" w:ascii="仿宋_GB2312" w:eastAsia="仿宋_GB2312"/>
                <w:sz w:val="28"/>
                <w:szCs w:val="28"/>
              </w:rPr>
              <w:t>与输送液体相容性（如适用）</w:t>
            </w:r>
          </w:p>
        </w:tc>
        <w:tc>
          <w:tcPr>
            <w:tcW w:w="939" w:type="pct"/>
            <w:vAlign w:val="center"/>
          </w:tcPr>
          <w:p w14:paraId="5886B8B8">
            <w:pPr>
              <w:jc w:val="center"/>
              <w:rPr>
                <w:rFonts w:ascii="仿宋_GB2312" w:eastAsia="仿宋_GB2312"/>
                <w:sz w:val="28"/>
                <w:szCs w:val="28"/>
              </w:rPr>
            </w:pPr>
            <w:r>
              <w:rPr>
                <w:rFonts w:hint="eastAsia" w:ascii="仿宋_GB2312" w:eastAsia="仿宋_GB2312"/>
                <w:sz w:val="28"/>
                <w:szCs w:val="28"/>
              </w:rPr>
              <w:t>/</w:t>
            </w:r>
          </w:p>
        </w:tc>
        <w:tc>
          <w:tcPr>
            <w:tcW w:w="1732" w:type="pct"/>
            <w:vAlign w:val="center"/>
          </w:tcPr>
          <w:p w14:paraId="43694FC6">
            <w:pPr>
              <w:jc w:val="center"/>
              <w:rPr>
                <w:rFonts w:ascii="仿宋_GB2312" w:eastAsia="仿宋_GB2312"/>
                <w:sz w:val="28"/>
                <w:szCs w:val="28"/>
              </w:rPr>
            </w:pPr>
          </w:p>
        </w:tc>
      </w:tr>
      <w:tr w14:paraId="3DBF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67387E19">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7D4A6510">
            <w:pPr>
              <w:jc w:val="center"/>
              <w:rPr>
                <w:rFonts w:ascii="仿宋_GB2312" w:eastAsia="仿宋_GB2312"/>
                <w:sz w:val="28"/>
                <w:szCs w:val="28"/>
              </w:rPr>
            </w:pPr>
            <w:r>
              <w:rPr>
                <w:rFonts w:hint="eastAsia" w:ascii="仿宋_GB2312" w:eastAsia="仿宋_GB2312"/>
                <w:sz w:val="28"/>
                <w:szCs w:val="28"/>
              </w:rPr>
              <w:t>耐腐蚀性（如适用）</w:t>
            </w:r>
          </w:p>
        </w:tc>
        <w:tc>
          <w:tcPr>
            <w:tcW w:w="939" w:type="pct"/>
            <w:vAlign w:val="center"/>
          </w:tcPr>
          <w:p w14:paraId="2A140ACE">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5DEF3B34">
            <w:pPr>
              <w:jc w:val="left"/>
              <w:rPr>
                <w:rFonts w:ascii="仿宋_GB2312" w:eastAsia="仿宋_GB2312"/>
                <w:sz w:val="28"/>
                <w:szCs w:val="28"/>
              </w:rPr>
            </w:pPr>
            <w:r>
              <w:rPr>
                <w:rFonts w:hint="eastAsia" w:ascii="仿宋_GB2312" w:eastAsia="仿宋_GB2312"/>
                <w:sz w:val="28"/>
                <w:szCs w:val="28"/>
              </w:rPr>
              <w:t>若产品无外露金属，该性能不适用。</w:t>
            </w:r>
          </w:p>
        </w:tc>
      </w:tr>
      <w:tr w14:paraId="5BB5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6941BDA0">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1A1493D2">
            <w:pPr>
              <w:jc w:val="center"/>
              <w:rPr>
                <w:rFonts w:ascii="仿宋_GB2312" w:eastAsia="仿宋_GB2312"/>
                <w:sz w:val="28"/>
                <w:szCs w:val="28"/>
              </w:rPr>
            </w:pPr>
            <w:r>
              <w:rPr>
                <w:rFonts w:hint="eastAsia" w:ascii="仿宋_GB2312" w:eastAsia="仿宋_GB2312"/>
                <w:sz w:val="28"/>
                <w:szCs w:val="28"/>
              </w:rPr>
              <w:t>射线可探测性</w:t>
            </w:r>
          </w:p>
        </w:tc>
        <w:tc>
          <w:tcPr>
            <w:tcW w:w="939" w:type="pct"/>
            <w:vAlign w:val="center"/>
          </w:tcPr>
          <w:p w14:paraId="227799F6">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615A2E75">
            <w:pPr>
              <w:jc w:val="center"/>
              <w:rPr>
                <w:rFonts w:ascii="仿宋_GB2312" w:eastAsia="仿宋_GB2312"/>
                <w:sz w:val="28"/>
                <w:szCs w:val="28"/>
              </w:rPr>
            </w:pPr>
            <w:r>
              <w:rPr>
                <w:rFonts w:hint="eastAsia" w:ascii="仿宋_GB2312" w:eastAsia="仿宋_GB2312"/>
                <w:sz w:val="28"/>
                <w:szCs w:val="28"/>
              </w:rPr>
              <w:t>/</w:t>
            </w:r>
          </w:p>
        </w:tc>
      </w:tr>
      <w:tr w14:paraId="7FF0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51564CE5">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76D0C022">
            <w:pPr>
              <w:jc w:val="center"/>
              <w:rPr>
                <w:rFonts w:ascii="仿宋_GB2312" w:eastAsia="仿宋_GB2312"/>
                <w:sz w:val="28"/>
                <w:szCs w:val="28"/>
              </w:rPr>
            </w:pPr>
            <w:r>
              <w:rPr>
                <w:rFonts w:hint="eastAsia" w:ascii="仿宋_GB2312" w:eastAsia="仿宋_GB2312"/>
                <w:sz w:val="28"/>
                <w:szCs w:val="28"/>
              </w:rPr>
              <w:t>座</w:t>
            </w:r>
          </w:p>
        </w:tc>
        <w:tc>
          <w:tcPr>
            <w:tcW w:w="939" w:type="pct"/>
            <w:vAlign w:val="center"/>
          </w:tcPr>
          <w:p w14:paraId="4167DB7A">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485BAC5D">
            <w:pPr>
              <w:jc w:val="center"/>
              <w:rPr>
                <w:rFonts w:ascii="仿宋_GB2312" w:eastAsia="仿宋_GB2312"/>
                <w:sz w:val="28"/>
                <w:szCs w:val="28"/>
              </w:rPr>
            </w:pPr>
            <w:r>
              <w:rPr>
                <w:rFonts w:hint="eastAsia" w:ascii="仿宋_GB2312" w:eastAsia="仿宋_GB2312"/>
                <w:sz w:val="28"/>
                <w:szCs w:val="28"/>
              </w:rPr>
              <w:t>/</w:t>
            </w:r>
          </w:p>
        </w:tc>
      </w:tr>
      <w:tr w14:paraId="7F62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409A7210">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0016AC81">
            <w:pPr>
              <w:jc w:val="center"/>
              <w:rPr>
                <w:rFonts w:ascii="仿宋_GB2312" w:eastAsia="仿宋_GB2312"/>
                <w:sz w:val="28"/>
                <w:szCs w:val="28"/>
              </w:rPr>
            </w:pPr>
            <w:r>
              <w:rPr>
                <w:rFonts w:hint="eastAsia" w:ascii="仿宋_GB2312" w:eastAsia="仿宋_GB2312"/>
                <w:sz w:val="28"/>
                <w:szCs w:val="28"/>
              </w:rPr>
              <w:t>水合性</w:t>
            </w:r>
          </w:p>
        </w:tc>
        <w:tc>
          <w:tcPr>
            <w:tcW w:w="939" w:type="pct"/>
            <w:vAlign w:val="center"/>
          </w:tcPr>
          <w:p w14:paraId="00E4786E">
            <w:pPr>
              <w:jc w:val="center"/>
              <w:rPr>
                <w:rFonts w:ascii="仿宋_GB2312" w:eastAsia="仿宋_GB2312"/>
                <w:sz w:val="28"/>
                <w:szCs w:val="28"/>
              </w:rPr>
            </w:pPr>
            <w:r>
              <w:rPr>
                <w:rFonts w:hint="eastAsia" w:ascii="仿宋_GB2312" w:eastAsia="仿宋_GB2312"/>
                <w:sz w:val="28"/>
                <w:szCs w:val="28"/>
              </w:rPr>
              <w:t>/</w:t>
            </w:r>
          </w:p>
        </w:tc>
        <w:tc>
          <w:tcPr>
            <w:tcW w:w="1732" w:type="pct"/>
            <w:vAlign w:val="center"/>
          </w:tcPr>
          <w:p w14:paraId="57ECC3D7">
            <w:pPr>
              <w:jc w:val="left"/>
              <w:rPr>
                <w:rFonts w:ascii="仿宋_GB2312" w:eastAsia="仿宋_GB2312"/>
                <w:sz w:val="28"/>
                <w:szCs w:val="28"/>
              </w:rPr>
            </w:pPr>
            <w:r>
              <w:rPr>
                <w:rFonts w:hint="eastAsia" w:ascii="仿宋_GB2312" w:eastAsia="仿宋_GB2312"/>
                <w:sz w:val="28"/>
                <w:szCs w:val="28"/>
              </w:rPr>
              <w:t>1.在性能研究中明确水合性实验浸泡时长，并提供支持性资料证明其合理性。建议浸泡时长至少2小时。</w:t>
            </w:r>
          </w:p>
          <w:p w14:paraId="3121F939">
            <w:pPr>
              <w:jc w:val="left"/>
              <w:rPr>
                <w:rFonts w:ascii="仿宋_GB2312" w:eastAsia="仿宋_GB2312"/>
                <w:sz w:val="28"/>
                <w:szCs w:val="28"/>
              </w:rPr>
            </w:pPr>
            <w:r>
              <w:rPr>
                <w:rFonts w:hint="eastAsia" w:ascii="仿宋_GB2312" w:eastAsia="仿宋_GB2312"/>
                <w:sz w:val="28"/>
                <w:szCs w:val="28"/>
              </w:rPr>
              <w:t>2.在产品技术要求中描述产品为水合性导管或非水合性导管。</w:t>
            </w:r>
          </w:p>
        </w:tc>
      </w:tr>
      <w:tr w14:paraId="3F45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0C85F573">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0A2604A3">
            <w:pPr>
              <w:jc w:val="center"/>
              <w:rPr>
                <w:rFonts w:ascii="仿宋_GB2312" w:eastAsia="仿宋_GB2312"/>
                <w:sz w:val="28"/>
                <w:szCs w:val="28"/>
              </w:rPr>
            </w:pPr>
            <w:r>
              <w:rPr>
                <w:rFonts w:hint="eastAsia" w:ascii="仿宋_GB2312" w:eastAsia="仿宋_GB2312"/>
                <w:sz w:val="28"/>
                <w:szCs w:val="28"/>
              </w:rPr>
              <w:t>无泄漏</w:t>
            </w:r>
          </w:p>
        </w:tc>
        <w:tc>
          <w:tcPr>
            <w:tcW w:w="939" w:type="pct"/>
            <w:vAlign w:val="center"/>
          </w:tcPr>
          <w:p w14:paraId="6F8C9C1B">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004DAF2C">
            <w:pPr>
              <w:jc w:val="center"/>
              <w:rPr>
                <w:rFonts w:ascii="仿宋_GB2312" w:eastAsia="仿宋_GB2312"/>
                <w:sz w:val="28"/>
                <w:szCs w:val="28"/>
              </w:rPr>
            </w:pPr>
            <w:r>
              <w:rPr>
                <w:rFonts w:hint="eastAsia" w:ascii="仿宋_GB2312" w:eastAsia="仿宋_GB2312"/>
                <w:sz w:val="28"/>
                <w:szCs w:val="28"/>
              </w:rPr>
              <w:t>/</w:t>
            </w:r>
          </w:p>
        </w:tc>
      </w:tr>
      <w:tr w14:paraId="6BC9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96" w:type="pct"/>
            <w:vMerge w:val="restart"/>
            <w:vAlign w:val="center"/>
          </w:tcPr>
          <w:p w14:paraId="787F4F00">
            <w:pPr>
              <w:pStyle w:val="4"/>
              <w:numPr>
                <w:ilvl w:val="0"/>
                <w:numId w:val="1"/>
              </w:numPr>
              <w:spacing w:line="360" w:lineRule="auto"/>
              <w:jc w:val="center"/>
              <w:rPr>
                <w:rFonts w:ascii="仿宋_GB2312" w:hAnsi="Times New Roman" w:eastAsia="仿宋_GB2312" w:cs="Times New Roman"/>
                <w:bCs/>
                <w:sz w:val="28"/>
                <w:szCs w:val="28"/>
              </w:rPr>
            </w:pPr>
          </w:p>
        </w:tc>
        <w:tc>
          <w:tcPr>
            <w:tcW w:w="937" w:type="pct"/>
            <w:vMerge w:val="restart"/>
            <w:vAlign w:val="center"/>
          </w:tcPr>
          <w:p w14:paraId="4706AC02">
            <w:pPr>
              <w:jc w:val="center"/>
              <w:rPr>
                <w:rFonts w:ascii="仿宋_GB2312" w:eastAsia="仿宋_GB2312"/>
                <w:sz w:val="28"/>
                <w:szCs w:val="28"/>
              </w:rPr>
            </w:pPr>
            <w:r>
              <w:rPr>
                <w:rFonts w:hint="eastAsia" w:ascii="仿宋_GB2312" w:eastAsia="仿宋_GB2312"/>
                <w:sz w:val="28"/>
                <w:szCs w:val="28"/>
              </w:rPr>
              <w:t>峰值拉力</w:t>
            </w:r>
          </w:p>
        </w:tc>
        <w:tc>
          <w:tcPr>
            <w:tcW w:w="1096" w:type="pct"/>
            <w:vAlign w:val="center"/>
          </w:tcPr>
          <w:p w14:paraId="6601B00D">
            <w:pPr>
              <w:jc w:val="center"/>
              <w:rPr>
                <w:rFonts w:ascii="仿宋_GB2312" w:eastAsia="仿宋_GB2312"/>
                <w:sz w:val="28"/>
                <w:szCs w:val="28"/>
              </w:rPr>
            </w:pPr>
            <w:r>
              <w:rPr>
                <w:rFonts w:hint="eastAsia" w:ascii="仿宋_GB2312" w:eastAsia="仿宋_GB2312"/>
                <w:sz w:val="28"/>
                <w:szCs w:val="28"/>
              </w:rPr>
              <w:t>微导管管身峰值拉力</w:t>
            </w:r>
          </w:p>
        </w:tc>
        <w:tc>
          <w:tcPr>
            <w:tcW w:w="939" w:type="pct"/>
            <w:vMerge w:val="restart"/>
            <w:vAlign w:val="center"/>
          </w:tcPr>
          <w:p w14:paraId="69CBCF11">
            <w:pPr>
              <w:jc w:val="center"/>
              <w:rPr>
                <w:rFonts w:ascii="仿宋_GB2312" w:eastAsia="仿宋_GB2312"/>
                <w:sz w:val="28"/>
                <w:szCs w:val="28"/>
              </w:rPr>
            </w:pPr>
            <w:r>
              <w:rPr>
                <w:rFonts w:hint="eastAsia" w:ascii="仿宋_GB2312" w:eastAsia="仿宋_GB2312"/>
                <w:sz w:val="28"/>
                <w:szCs w:val="28"/>
              </w:rPr>
              <w:t>是</w:t>
            </w:r>
          </w:p>
        </w:tc>
        <w:tc>
          <w:tcPr>
            <w:tcW w:w="1732" w:type="pct"/>
            <w:vMerge w:val="restart"/>
            <w:vAlign w:val="center"/>
          </w:tcPr>
          <w:p w14:paraId="4AD3B20A">
            <w:pPr>
              <w:rPr>
                <w:rFonts w:ascii="仿宋_GB2312" w:eastAsia="仿宋_GB2312"/>
                <w:sz w:val="28"/>
                <w:szCs w:val="28"/>
              </w:rPr>
            </w:pPr>
            <w:r>
              <w:rPr>
                <w:rFonts w:hint="eastAsia" w:ascii="仿宋_GB2312" w:eastAsia="仿宋_GB2312"/>
                <w:sz w:val="28"/>
                <w:szCs w:val="28"/>
              </w:rPr>
              <w:t>1.YY0285.1未规定外径小于0.55mm导管的峰值拉力，申请人宜依据风险分析给出限定值并进行研究。</w:t>
            </w:r>
          </w:p>
          <w:p w14:paraId="366214EE">
            <w:pPr>
              <w:rPr>
                <w:rFonts w:ascii="仿宋_GB2312" w:eastAsia="仿宋_GB2312"/>
                <w:sz w:val="28"/>
                <w:szCs w:val="28"/>
              </w:rPr>
            </w:pPr>
            <w:r>
              <w:rPr>
                <w:rFonts w:hint="eastAsia" w:ascii="仿宋_GB2312" w:eastAsia="仿宋_GB2312"/>
                <w:sz w:val="28"/>
                <w:szCs w:val="28"/>
              </w:rPr>
              <w:t>2.峰值拉力的检测方法中宜明确具体的浸泡时长。</w:t>
            </w:r>
          </w:p>
        </w:tc>
      </w:tr>
      <w:tr w14:paraId="29DA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96" w:type="pct"/>
            <w:vMerge w:val="continue"/>
            <w:vAlign w:val="center"/>
          </w:tcPr>
          <w:p w14:paraId="3F8ADD18">
            <w:pPr>
              <w:pStyle w:val="4"/>
              <w:numPr>
                <w:ilvl w:val="0"/>
                <w:numId w:val="1"/>
              </w:numPr>
              <w:spacing w:line="360" w:lineRule="auto"/>
              <w:jc w:val="center"/>
              <w:rPr>
                <w:rFonts w:ascii="仿宋_GB2312" w:hAnsi="Times New Roman" w:eastAsia="仿宋_GB2312" w:cs="Times New Roman"/>
                <w:bCs/>
                <w:sz w:val="28"/>
                <w:szCs w:val="28"/>
              </w:rPr>
            </w:pPr>
          </w:p>
        </w:tc>
        <w:tc>
          <w:tcPr>
            <w:tcW w:w="937" w:type="pct"/>
            <w:vMerge w:val="continue"/>
            <w:vAlign w:val="center"/>
          </w:tcPr>
          <w:p w14:paraId="4D50AB13">
            <w:pPr>
              <w:jc w:val="center"/>
              <w:rPr>
                <w:rFonts w:ascii="仿宋_GB2312" w:eastAsia="仿宋_GB2312"/>
                <w:sz w:val="28"/>
                <w:szCs w:val="28"/>
              </w:rPr>
            </w:pPr>
          </w:p>
        </w:tc>
        <w:tc>
          <w:tcPr>
            <w:tcW w:w="1096" w:type="pct"/>
            <w:vAlign w:val="center"/>
          </w:tcPr>
          <w:p w14:paraId="2ABFCB13">
            <w:pPr>
              <w:jc w:val="center"/>
              <w:rPr>
                <w:rFonts w:ascii="仿宋_GB2312" w:eastAsia="仿宋_GB2312"/>
                <w:sz w:val="28"/>
                <w:szCs w:val="28"/>
              </w:rPr>
            </w:pPr>
            <w:r>
              <w:rPr>
                <w:rFonts w:hint="eastAsia" w:ascii="仿宋_GB2312" w:eastAsia="仿宋_GB2312"/>
                <w:sz w:val="28"/>
                <w:szCs w:val="28"/>
              </w:rPr>
              <w:t>微导管与座连接处的峰值拉力</w:t>
            </w:r>
          </w:p>
        </w:tc>
        <w:tc>
          <w:tcPr>
            <w:tcW w:w="939" w:type="pct"/>
            <w:vMerge w:val="continue"/>
            <w:vAlign w:val="center"/>
          </w:tcPr>
          <w:p w14:paraId="1ADE6335">
            <w:pPr>
              <w:jc w:val="center"/>
              <w:rPr>
                <w:rFonts w:ascii="仿宋_GB2312" w:eastAsia="仿宋_GB2312"/>
                <w:sz w:val="28"/>
                <w:szCs w:val="28"/>
              </w:rPr>
            </w:pPr>
          </w:p>
        </w:tc>
        <w:tc>
          <w:tcPr>
            <w:tcW w:w="1732" w:type="pct"/>
            <w:vMerge w:val="continue"/>
            <w:vAlign w:val="center"/>
          </w:tcPr>
          <w:p w14:paraId="6090B0C8">
            <w:pPr>
              <w:rPr>
                <w:rFonts w:ascii="仿宋_GB2312" w:eastAsia="仿宋_GB2312"/>
                <w:sz w:val="28"/>
                <w:szCs w:val="28"/>
              </w:rPr>
            </w:pPr>
          </w:p>
        </w:tc>
      </w:tr>
      <w:tr w14:paraId="0E85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96" w:type="pct"/>
            <w:vMerge w:val="continue"/>
            <w:vAlign w:val="center"/>
          </w:tcPr>
          <w:p w14:paraId="37B6FC67">
            <w:pPr>
              <w:pStyle w:val="4"/>
              <w:numPr>
                <w:ilvl w:val="0"/>
                <w:numId w:val="1"/>
              </w:numPr>
              <w:spacing w:line="360" w:lineRule="auto"/>
              <w:jc w:val="center"/>
              <w:rPr>
                <w:rFonts w:ascii="仿宋_GB2312" w:hAnsi="Times New Roman" w:eastAsia="仿宋_GB2312" w:cs="Times New Roman"/>
                <w:bCs/>
                <w:sz w:val="28"/>
                <w:szCs w:val="28"/>
              </w:rPr>
            </w:pPr>
          </w:p>
        </w:tc>
        <w:tc>
          <w:tcPr>
            <w:tcW w:w="937" w:type="pct"/>
            <w:vMerge w:val="continue"/>
            <w:vAlign w:val="center"/>
          </w:tcPr>
          <w:p w14:paraId="01FDD45D">
            <w:pPr>
              <w:jc w:val="center"/>
              <w:rPr>
                <w:rFonts w:ascii="仿宋_GB2312" w:eastAsia="仿宋_GB2312"/>
                <w:sz w:val="28"/>
                <w:szCs w:val="28"/>
              </w:rPr>
            </w:pPr>
          </w:p>
        </w:tc>
        <w:tc>
          <w:tcPr>
            <w:tcW w:w="1096" w:type="pct"/>
            <w:vAlign w:val="center"/>
          </w:tcPr>
          <w:p w14:paraId="01C89834">
            <w:pPr>
              <w:jc w:val="center"/>
              <w:rPr>
                <w:rFonts w:ascii="仿宋_GB2312" w:eastAsia="仿宋_GB2312"/>
                <w:sz w:val="28"/>
                <w:szCs w:val="28"/>
              </w:rPr>
            </w:pPr>
            <w:r>
              <w:rPr>
                <w:rFonts w:hint="eastAsia" w:ascii="仿宋_GB2312" w:eastAsia="仿宋_GB2312"/>
                <w:sz w:val="28"/>
                <w:szCs w:val="28"/>
              </w:rPr>
              <w:t>头端峰值拉力</w:t>
            </w:r>
          </w:p>
        </w:tc>
        <w:tc>
          <w:tcPr>
            <w:tcW w:w="939" w:type="pct"/>
            <w:vMerge w:val="restart"/>
            <w:vAlign w:val="center"/>
          </w:tcPr>
          <w:p w14:paraId="0783C103">
            <w:pPr>
              <w:jc w:val="center"/>
              <w:rPr>
                <w:rFonts w:ascii="仿宋_GB2312" w:eastAsia="仿宋_GB2312"/>
                <w:sz w:val="28"/>
                <w:szCs w:val="28"/>
              </w:rPr>
            </w:pPr>
            <w:r>
              <w:rPr>
                <w:rFonts w:hint="eastAsia" w:ascii="仿宋_GB2312" w:eastAsia="仿宋_GB2312"/>
                <w:sz w:val="28"/>
                <w:szCs w:val="28"/>
              </w:rPr>
              <w:t>/</w:t>
            </w:r>
          </w:p>
        </w:tc>
        <w:tc>
          <w:tcPr>
            <w:tcW w:w="1732" w:type="pct"/>
            <w:vMerge w:val="continue"/>
            <w:vAlign w:val="center"/>
          </w:tcPr>
          <w:p w14:paraId="64904A74">
            <w:pPr>
              <w:rPr>
                <w:rFonts w:ascii="仿宋_GB2312" w:eastAsia="仿宋_GB2312"/>
                <w:sz w:val="28"/>
                <w:szCs w:val="28"/>
              </w:rPr>
            </w:pPr>
          </w:p>
        </w:tc>
      </w:tr>
      <w:tr w14:paraId="4C94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8" w:hRule="atLeast"/>
        </w:trPr>
        <w:tc>
          <w:tcPr>
            <w:tcW w:w="296" w:type="pct"/>
            <w:vMerge w:val="continue"/>
            <w:vAlign w:val="center"/>
          </w:tcPr>
          <w:p w14:paraId="69CA5BB2">
            <w:pPr>
              <w:pStyle w:val="4"/>
              <w:numPr>
                <w:ilvl w:val="0"/>
                <w:numId w:val="1"/>
              </w:numPr>
              <w:spacing w:line="360" w:lineRule="auto"/>
              <w:jc w:val="center"/>
              <w:rPr>
                <w:rFonts w:ascii="仿宋_GB2312" w:hAnsi="Times New Roman" w:eastAsia="仿宋_GB2312" w:cs="Times New Roman"/>
                <w:bCs/>
                <w:sz w:val="28"/>
                <w:szCs w:val="28"/>
              </w:rPr>
            </w:pPr>
          </w:p>
        </w:tc>
        <w:tc>
          <w:tcPr>
            <w:tcW w:w="937" w:type="pct"/>
            <w:vMerge w:val="continue"/>
            <w:vAlign w:val="center"/>
          </w:tcPr>
          <w:p w14:paraId="132C9FC5">
            <w:pPr>
              <w:jc w:val="center"/>
              <w:rPr>
                <w:rFonts w:ascii="仿宋_GB2312" w:eastAsia="仿宋_GB2312"/>
                <w:sz w:val="28"/>
                <w:szCs w:val="28"/>
              </w:rPr>
            </w:pPr>
          </w:p>
        </w:tc>
        <w:tc>
          <w:tcPr>
            <w:tcW w:w="1096" w:type="pct"/>
            <w:vAlign w:val="center"/>
          </w:tcPr>
          <w:p w14:paraId="31FA15D2">
            <w:pPr>
              <w:jc w:val="center"/>
              <w:rPr>
                <w:rFonts w:ascii="仿宋_GB2312" w:eastAsia="仿宋_GB2312"/>
                <w:sz w:val="28"/>
                <w:szCs w:val="28"/>
              </w:rPr>
            </w:pPr>
            <w:r>
              <w:rPr>
                <w:rFonts w:hint="eastAsia" w:ascii="仿宋_GB2312" w:eastAsia="仿宋_GB2312"/>
                <w:sz w:val="28"/>
                <w:szCs w:val="28"/>
              </w:rPr>
              <w:t>头端与管身连接处的峰值拉力</w:t>
            </w:r>
          </w:p>
        </w:tc>
        <w:tc>
          <w:tcPr>
            <w:tcW w:w="939" w:type="pct"/>
            <w:vMerge w:val="continue"/>
            <w:vAlign w:val="center"/>
          </w:tcPr>
          <w:p w14:paraId="6223D72E">
            <w:pPr>
              <w:jc w:val="center"/>
              <w:rPr>
                <w:rFonts w:ascii="仿宋_GB2312" w:eastAsia="仿宋_GB2312"/>
                <w:sz w:val="28"/>
                <w:szCs w:val="28"/>
              </w:rPr>
            </w:pPr>
          </w:p>
        </w:tc>
        <w:tc>
          <w:tcPr>
            <w:tcW w:w="1732" w:type="pct"/>
            <w:vMerge w:val="continue"/>
            <w:vAlign w:val="center"/>
          </w:tcPr>
          <w:p w14:paraId="1402DAE7">
            <w:pPr>
              <w:rPr>
                <w:rFonts w:ascii="仿宋_GB2312" w:eastAsia="仿宋_GB2312"/>
                <w:sz w:val="28"/>
                <w:szCs w:val="28"/>
              </w:rPr>
            </w:pPr>
          </w:p>
        </w:tc>
      </w:tr>
      <w:tr w14:paraId="01C6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25947C05">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4C6691B9">
            <w:pPr>
              <w:jc w:val="center"/>
              <w:rPr>
                <w:rFonts w:ascii="仿宋_GB2312" w:eastAsia="仿宋_GB2312"/>
                <w:sz w:val="28"/>
                <w:szCs w:val="28"/>
              </w:rPr>
            </w:pPr>
            <w:r>
              <w:rPr>
                <w:rFonts w:hint="eastAsia" w:ascii="仿宋_GB2312" w:eastAsia="仿宋_GB2312"/>
                <w:sz w:val="28"/>
                <w:szCs w:val="28"/>
              </w:rPr>
              <w:t>末端头端</w:t>
            </w:r>
          </w:p>
        </w:tc>
        <w:tc>
          <w:tcPr>
            <w:tcW w:w="939" w:type="pct"/>
            <w:vAlign w:val="center"/>
          </w:tcPr>
          <w:p w14:paraId="15F1521B">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65E79EDD">
            <w:pPr>
              <w:jc w:val="center"/>
              <w:rPr>
                <w:rFonts w:ascii="仿宋_GB2312" w:eastAsia="仿宋_GB2312"/>
                <w:sz w:val="28"/>
                <w:szCs w:val="28"/>
              </w:rPr>
            </w:pPr>
            <w:r>
              <w:rPr>
                <w:rFonts w:hint="eastAsia" w:ascii="仿宋_GB2312" w:eastAsia="仿宋_GB2312"/>
                <w:sz w:val="28"/>
                <w:szCs w:val="28"/>
              </w:rPr>
              <w:t>/</w:t>
            </w:r>
          </w:p>
        </w:tc>
      </w:tr>
      <w:tr w14:paraId="73B6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32A85CB4">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7FF92C6C">
            <w:pPr>
              <w:jc w:val="center"/>
              <w:rPr>
                <w:rFonts w:ascii="仿宋_GB2312" w:eastAsia="仿宋_GB2312"/>
                <w:sz w:val="28"/>
                <w:szCs w:val="28"/>
              </w:rPr>
            </w:pPr>
            <w:r>
              <w:rPr>
                <w:rFonts w:hint="eastAsia" w:ascii="仿宋_GB2312" w:eastAsia="仿宋_GB2312"/>
                <w:sz w:val="28"/>
                <w:szCs w:val="28"/>
              </w:rPr>
              <w:t>侧孔（如适用）</w:t>
            </w:r>
          </w:p>
        </w:tc>
        <w:tc>
          <w:tcPr>
            <w:tcW w:w="939" w:type="pct"/>
            <w:vAlign w:val="center"/>
          </w:tcPr>
          <w:p w14:paraId="152A2392">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0CA36718">
            <w:pPr>
              <w:jc w:val="center"/>
              <w:rPr>
                <w:rFonts w:ascii="仿宋_GB2312" w:eastAsia="仿宋_GB2312"/>
                <w:sz w:val="28"/>
                <w:szCs w:val="28"/>
              </w:rPr>
            </w:pPr>
            <w:r>
              <w:rPr>
                <w:rFonts w:hint="eastAsia" w:ascii="仿宋_GB2312" w:eastAsia="仿宋_GB2312"/>
                <w:sz w:val="28"/>
                <w:szCs w:val="28"/>
              </w:rPr>
              <w:t>/</w:t>
            </w:r>
          </w:p>
        </w:tc>
      </w:tr>
      <w:tr w14:paraId="71D5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417F8347">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53DC1FDF">
            <w:pPr>
              <w:jc w:val="center"/>
              <w:rPr>
                <w:rFonts w:ascii="仿宋_GB2312" w:eastAsia="仿宋_GB2312"/>
                <w:sz w:val="28"/>
                <w:szCs w:val="28"/>
              </w:rPr>
            </w:pPr>
            <w:r>
              <w:rPr>
                <w:rFonts w:hint="eastAsia" w:ascii="仿宋_GB2312" w:eastAsia="仿宋_GB2312"/>
                <w:sz w:val="28"/>
                <w:szCs w:val="28"/>
              </w:rPr>
              <w:t>流量（如适用）</w:t>
            </w:r>
          </w:p>
        </w:tc>
        <w:tc>
          <w:tcPr>
            <w:tcW w:w="939" w:type="pct"/>
            <w:vAlign w:val="center"/>
          </w:tcPr>
          <w:p w14:paraId="3EBF8920">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54FC65AB">
            <w:pPr>
              <w:rPr>
                <w:rFonts w:ascii="仿宋_GB2312" w:eastAsia="仿宋_GB2312"/>
                <w:sz w:val="28"/>
                <w:szCs w:val="28"/>
              </w:rPr>
            </w:pPr>
            <w:r>
              <w:rPr>
                <w:rFonts w:hint="eastAsia" w:ascii="仿宋_GB2312" w:eastAsia="仿宋_GB2312"/>
                <w:sz w:val="28"/>
                <w:szCs w:val="28"/>
              </w:rPr>
              <w:t>产品用于向血管系统中注入药物制剂、栓塞材料等，如需控制流量，宜对流量进行研究。若YY0285.1中的流量测试方法不适用时，申请人宜根据产品实际使用情况测定。</w:t>
            </w:r>
          </w:p>
        </w:tc>
      </w:tr>
      <w:tr w14:paraId="70E9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6" w:type="pct"/>
            <w:vAlign w:val="center"/>
          </w:tcPr>
          <w:p w14:paraId="1ACC864F">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33493B06">
            <w:pPr>
              <w:jc w:val="center"/>
              <w:rPr>
                <w:rFonts w:ascii="仿宋_GB2312" w:eastAsia="仿宋_GB2312"/>
                <w:sz w:val="28"/>
                <w:szCs w:val="28"/>
              </w:rPr>
            </w:pPr>
            <w:r>
              <w:rPr>
                <w:rFonts w:hint="eastAsia" w:ascii="仿宋_GB2312" w:eastAsia="仿宋_GB2312"/>
                <w:sz w:val="28"/>
                <w:szCs w:val="28"/>
              </w:rPr>
              <w:t>动力注射（如适用）</w:t>
            </w:r>
          </w:p>
        </w:tc>
        <w:tc>
          <w:tcPr>
            <w:tcW w:w="939" w:type="pct"/>
            <w:vAlign w:val="center"/>
          </w:tcPr>
          <w:p w14:paraId="1B6A231C">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51D1990D">
            <w:pPr>
              <w:jc w:val="left"/>
              <w:rPr>
                <w:rFonts w:ascii="仿宋_GB2312" w:eastAsia="仿宋_GB2312"/>
                <w:sz w:val="28"/>
                <w:szCs w:val="28"/>
              </w:rPr>
            </w:pPr>
            <w:r>
              <w:rPr>
                <w:rFonts w:hint="eastAsia" w:ascii="仿宋_GB2312" w:eastAsia="仿宋_GB2312"/>
                <w:sz w:val="28"/>
                <w:szCs w:val="28"/>
              </w:rPr>
              <w:t xml:space="preserve">产品用于向血管系统中注入造影剂、药物制剂、栓塞材料等，采用高压注射装置注射时，应开展动力注射研究。 </w:t>
            </w:r>
          </w:p>
        </w:tc>
      </w:tr>
      <w:tr w14:paraId="1238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44B53E75">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7829F12E">
            <w:pPr>
              <w:jc w:val="center"/>
              <w:rPr>
                <w:rFonts w:ascii="仿宋_GB2312" w:eastAsia="仿宋_GB2312"/>
                <w:sz w:val="28"/>
                <w:szCs w:val="28"/>
              </w:rPr>
            </w:pPr>
            <w:r>
              <w:rPr>
                <w:rFonts w:hint="eastAsia" w:ascii="仿宋_GB2312" w:eastAsia="仿宋_GB2312"/>
                <w:sz w:val="28"/>
                <w:szCs w:val="28"/>
              </w:rPr>
              <w:t>不溶性微粒</w:t>
            </w:r>
          </w:p>
        </w:tc>
        <w:tc>
          <w:tcPr>
            <w:tcW w:w="939" w:type="pct"/>
            <w:vAlign w:val="center"/>
          </w:tcPr>
          <w:p w14:paraId="7C167A60">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6926B80D">
            <w:pPr>
              <w:rPr>
                <w:rFonts w:ascii="仿宋_GB2312" w:eastAsia="仿宋_GB2312"/>
                <w:sz w:val="28"/>
                <w:szCs w:val="28"/>
              </w:rPr>
            </w:pPr>
            <w:r>
              <w:rPr>
                <w:rFonts w:hint="eastAsia" w:ascii="仿宋_GB2312" w:eastAsia="仿宋_GB2312"/>
                <w:sz w:val="28"/>
                <w:szCs w:val="28"/>
              </w:rPr>
              <w:t>1.可采用YY/T 1556中微粒污染指数法，也可以采用中国药典中不溶性微粒检查法。采用不溶性微粒检查法时，建议增加不能出现的微粒粒径上限要求，且应证明微粒粒径上限要求的合理性。</w:t>
            </w:r>
          </w:p>
          <w:p w14:paraId="0561C112">
            <w:pPr>
              <w:rPr>
                <w:rFonts w:ascii="仿宋_GB2312" w:eastAsia="仿宋_GB2312"/>
                <w:sz w:val="28"/>
                <w:szCs w:val="28"/>
              </w:rPr>
            </w:pPr>
            <w:r>
              <w:rPr>
                <w:rFonts w:hint="eastAsia" w:ascii="仿宋_GB2312" w:eastAsia="仿宋_GB2312"/>
                <w:sz w:val="28"/>
                <w:szCs w:val="28"/>
              </w:rPr>
              <w:t>2.注意取样部位应为与血液接触的所有表面。</w:t>
            </w:r>
          </w:p>
        </w:tc>
      </w:tr>
      <w:tr w14:paraId="4E40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1C2C8BF5">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7401EF52">
            <w:pPr>
              <w:jc w:val="center"/>
              <w:rPr>
                <w:rFonts w:ascii="仿宋_GB2312" w:eastAsia="仿宋_GB2312"/>
                <w:sz w:val="28"/>
                <w:szCs w:val="28"/>
              </w:rPr>
            </w:pPr>
            <w:r>
              <w:rPr>
                <w:rFonts w:hint="eastAsia" w:ascii="仿宋_GB2312" w:eastAsia="仿宋_GB2312"/>
                <w:sz w:val="28"/>
                <w:szCs w:val="28"/>
              </w:rPr>
              <w:t>容积（如适用）</w:t>
            </w:r>
          </w:p>
        </w:tc>
        <w:tc>
          <w:tcPr>
            <w:tcW w:w="939" w:type="pct"/>
            <w:vAlign w:val="center"/>
          </w:tcPr>
          <w:p w14:paraId="09471B46">
            <w:pPr>
              <w:jc w:val="center"/>
              <w:rPr>
                <w:rFonts w:ascii="仿宋_GB2312" w:eastAsia="仿宋_GB2312"/>
                <w:sz w:val="28"/>
                <w:szCs w:val="28"/>
              </w:rPr>
            </w:pPr>
            <w:r>
              <w:rPr>
                <w:rFonts w:hint="eastAsia" w:ascii="仿宋_GB2312" w:eastAsia="仿宋_GB2312"/>
                <w:sz w:val="28"/>
                <w:szCs w:val="28"/>
              </w:rPr>
              <w:t>/</w:t>
            </w:r>
          </w:p>
        </w:tc>
        <w:tc>
          <w:tcPr>
            <w:tcW w:w="1732" w:type="pct"/>
            <w:vAlign w:val="center"/>
          </w:tcPr>
          <w:p w14:paraId="07EDF0EC">
            <w:pPr>
              <w:rPr>
                <w:rFonts w:ascii="仿宋_GB2312" w:eastAsia="仿宋_GB2312"/>
                <w:sz w:val="28"/>
                <w:szCs w:val="28"/>
              </w:rPr>
            </w:pPr>
            <w:r>
              <w:rPr>
                <w:rFonts w:hint="eastAsia" w:ascii="仿宋_GB2312" w:eastAsia="仿宋_GB2312"/>
                <w:sz w:val="28"/>
                <w:szCs w:val="28"/>
              </w:rPr>
              <w:t>产品用于向血管系统中注入如药物制剂、栓塞材料时,宜开展微导管容积研究。</w:t>
            </w:r>
          </w:p>
        </w:tc>
      </w:tr>
      <w:tr w14:paraId="7D4F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14B607E7">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2659D294">
            <w:pPr>
              <w:jc w:val="center"/>
              <w:rPr>
                <w:rFonts w:ascii="仿宋_GB2312" w:eastAsia="仿宋_GB2312"/>
                <w:sz w:val="28"/>
                <w:szCs w:val="28"/>
              </w:rPr>
            </w:pPr>
            <w:r>
              <w:rPr>
                <w:rFonts w:hint="eastAsia" w:ascii="仿宋_GB2312" w:eastAsia="仿宋_GB2312"/>
                <w:sz w:val="28"/>
                <w:szCs w:val="28"/>
              </w:rPr>
              <w:t>涂层（如适用）</w:t>
            </w:r>
          </w:p>
        </w:tc>
        <w:tc>
          <w:tcPr>
            <w:tcW w:w="939" w:type="pct"/>
            <w:vAlign w:val="center"/>
          </w:tcPr>
          <w:p w14:paraId="5EF0514E">
            <w:pPr>
              <w:jc w:val="center"/>
              <w:rPr>
                <w:rFonts w:ascii="仿宋_GB2312" w:eastAsia="仿宋_GB2312"/>
                <w:sz w:val="28"/>
                <w:szCs w:val="28"/>
              </w:rPr>
            </w:pPr>
            <w:r>
              <w:rPr>
                <w:rFonts w:hint="eastAsia" w:ascii="仿宋_GB2312" w:eastAsia="仿宋_GB2312"/>
                <w:sz w:val="28"/>
                <w:szCs w:val="28"/>
              </w:rPr>
              <w:t>/</w:t>
            </w:r>
          </w:p>
        </w:tc>
        <w:tc>
          <w:tcPr>
            <w:tcW w:w="1732" w:type="pct"/>
            <w:vAlign w:val="center"/>
          </w:tcPr>
          <w:p w14:paraId="446BF97F">
            <w:pPr>
              <w:jc w:val="left"/>
              <w:rPr>
                <w:rFonts w:ascii="仿宋_GB2312" w:eastAsia="仿宋_GB2312"/>
                <w:sz w:val="28"/>
                <w:szCs w:val="28"/>
              </w:rPr>
            </w:pPr>
            <w:r>
              <w:rPr>
                <w:rFonts w:hint="eastAsia" w:ascii="仿宋_GB2312" w:eastAsia="仿宋_GB2312"/>
                <w:sz w:val="28"/>
                <w:szCs w:val="28"/>
              </w:rPr>
              <w:t>若产品表面有涂层，建议对涂层进行研究，如涂层润滑性、完整性等。</w:t>
            </w:r>
          </w:p>
        </w:tc>
      </w:tr>
      <w:tr w14:paraId="4117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6A2FAAD0">
            <w:pPr>
              <w:pStyle w:val="4"/>
              <w:numPr>
                <w:ilvl w:val="0"/>
                <w:numId w:val="1"/>
              </w:numPr>
              <w:spacing w:line="360" w:lineRule="auto"/>
              <w:jc w:val="center"/>
              <w:rPr>
                <w:rFonts w:ascii="仿宋_GB2312" w:hAnsi="Times New Roman" w:eastAsia="仿宋_GB2312" w:cs="Times New Roman"/>
                <w:b/>
                <w:bCs/>
                <w:sz w:val="28"/>
                <w:szCs w:val="28"/>
              </w:rPr>
            </w:pPr>
          </w:p>
        </w:tc>
        <w:tc>
          <w:tcPr>
            <w:tcW w:w="2033" w:type="pct"/>
            <w:gridSpan w:val="2"/>
            <w:vAlign w:val="center"/>
          </w:tcPr>
          <w:p w14:paraId="41B8EDC4">
            <w:pPr>
              <w:jc w:val="center"/>
              <w:rPr>
                <w:rFonts w:ascii="仿宋_GB2312" w:eastAsia="仿宋_GB2312"/>
                <w:sz w:val="28"/>
                <w:szCs w:val="28"/>
              </w:rPr>
            </w:pPr>
            <w:r>
              <w:rPr>
                <w:rFonts w:hint="eastAsia" w:ascii="仿宋_GB2312" w:eastAsia="仿宋_GB2312"/>
                <w:sz w:val="28"/>
                <w:szCs w:val="28"/>
              </w:rPr>
              <w:t>模拟使用</w:t>
            </w:r>
          </w:p>
        </w:tc>
        <w:tc>
          <w:tcPr>
            <w:tcW w:w="939" w:type="pct"/>
            <w:vAlign w:val="center"/>
          </w:tcPr>
          <w:p w14:paraId="6E8649DF">
            <w:pPr>
              <w:jc w:val="center"/>
              <w:rPr>
                <w:rFonts w:ascii="仿宋_GB2312" w:eastAsia="仿宋_GB2312"/>
                <w:sz w:val="28"/>
                <w:szCs w:val="28"/>
              </w:rPr>
            </w:pPr>
            <w:r>
              <w:rPr>
                <w:rFonts w:hint="eastAsia" w:ascii="仿宋_GB2312" w:eastAsia="仿宋_GB2312"/>
                <w:sz w:val="28"/>
                <w:szCs w:val="28"/>
              </w:rPr>
              <w:t>/</w:t>
            </w:r>
          </w:p>
        </w:tc>
        <w:tc>
          <w:tcPr>
            <w:tcW w:w="1732" w:type="pct"/>
            <w:vAlign w:val="center"/>
          </w:tcPr>
          <w:p w14:paraId="0A6D16F4">
            <w:pPr>
              <w:rPr>
                <w:rFonts w:ascii="仿宋_GB2312" w:eastAsia="仿宋_GB2312"/>
                <w:sz w:val="28"/>
                <w:szCs w:val="28"/>
              </w:rPr>
            </w:pPr>
            <w:r>
              <w:rPr>
                <w:rFonts w:hint="eastAsia" w:ascii="仿宋_GB2312" w:eastAsia="仿宋_GB2312"/>
                <w:sz w:val="28"/>
                <w:szCs w:val="28"/>
              </w:rPr>
              <w:t>1.在符合临床使用需求的最差血管模型中，评价微导管的如下性能：推送性能、追踪性能、扭转性能（如适用）、回撤性能、抗弯折性能、抗扭结性能。</w:t>
            </w:r>
          </w:p>
          <w:p w14:paraId="63DF8DAD">
            <w:pPr>
              <w:rPr>
                <w:rFonts w:ascii="仿宋_GB2312" w:eastAsia="仿宋_GB2312"/>
                <w:sz w:val="28"/>
                <w:szCs w:val="28"/>
              </w:rPr>
            </w:pPr>
            <w:r>
              <w:rPr>
                <w:rFonts w:hint="eastAsia" w:ascii="仿宋_GB2312" w:eastAsia="仿宋_GB2312"/>
                <w:sz w:val="28"/>
                <w:szCs w:val="28"/>
              </w:rPr>
              <w:t>2.血管模型的选择应与预期使用部位相符。</w:t>
            </w:r>
          </w:p>
          <w:p w14:paraId="30CCEFC4">
            <w:pPr>
              <w:rPr>
                <w:rFonts w:ascii="仿宋_GB2312" w:eastAsia="仿宋_GB2312"/>
                <w:sz w:val="28"/>
                <w:szCs w:val="28"/>
              </w:rPr>
            </w:pPr>
            <w:r>
              <w:rPr>
                <w:rFonts w:hint="eastAsia" w:ascii="仿宋_GB2312" w:eastAsia="仿宋_GB2312"/>
                <w:sz w:val="28"/>
                <w:szCs w:val="28"/>
              </w:rPr>
              <w:t>3. 若产品表面有涂层，建议模拟使用后评价涂层完整性。</w:t>
            </w:r>
          </w:p>
        </w:tc>
      </w:tr>
      <w:tr w14:paraId="797F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2A7B2796">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51AA6D59">
            <w:pPr>
              <w:jc w:val="center"/>
              <w:rPr>
                <w:rFonts w:ascii="仿宋_GB2312" w:eastAsia="仿宋_GB2312"/>
                <w:sz w:val="28"/>
                <w:szCs w:val="28"/>
              </w:rPr>
            </w:pPr>
            <w:r>
              <w:rPr>
                <w:rFonts w:hint="eastAsia" w:ascii="仿宋_GB2312" w:eastAsia="仿宋_GB2312"/>
                <w:sz w:val="28"/>
                <w:szCs w:val="28"/>
              </w:rPr>
              <w:t>头端可塑形性及形状保持（如适用）</w:t>
            </w:r>
          </w:p>
        </w:tc>
        <w:tc>
          <w:tcPr>
            <w:tcW w:w="939" w:type="pct"/>
            <w:vAlign w:val="center"/>
          </w:tcPr>
          <w:p w14:paraId="1231D098">
            <w:pPr>
              <w:jc w:val="center"/>
              <w:rPr>
                <w:rFonts w:ascii="仿宋_GB2312" w:eastAsia="仿宋_GB2312"/>
                <w:sz w:val="28"/>
                <w:szCs w:val="28"/>
              </w:rPr>
            </w:pPr>
            <w:r>
              <w:rPr>
                <w:rFonts w:hint="eastAsia" w:ascii="仿宋_GB2312" w:eastAsia="仿宋_GB2312"/>
                <w:sz w:val="28"/>
                <w:szCs w:val="28"/>
              </w:rPr>
              <w:t>/</w:t>
            </w:r>
          </w:p>
        </w:tc>
        <w:tc>
          <w:tcPr>
            <w:tcW w:w="1732" w:type="pct"/>
            <w:vAlign w:val="center"/>
          </w:tcPr>
          <w:p w14:paraId="1C1C01DB">
            <w:pPr>
              <w:jc w:val="left"/>
              <w:rPr>
                <w:rFonts w:ascii="仿宋_GB2312" w:eastAsia="仿宋_GB2312"/>
                <w:sz w:val="28"/>
                <w:szCs w:val="28"/>
              </w:rPr>
            </w:pPr>
            <w:r>
              <w:rPr>
                <w:rFonts w:hint="eastAsia" w:ascii="仿宋_GB2312" w:eastAsia="仿宋_GB2312"/>
                <w:sz w:val="28"/>
                <w:szCs w:val="28"/>
              </w:rPr>
              <w:t>对于使用前由临床医生进行头端塑形的微导管，宜开展头端可塑形性及形状保持研究。若头端可多次塑形，宜开展塑形次数研究。</w:t>
            </w:r>
          </w:p>
        </w:tc>
      </w:tr>
      <w:tr w14:paraId="617C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3C178D89">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6E9D8939">
            <w:pPr>
              <w:jc w:val="center"/>
              <w:rPr>
                <w:rFonts w:ascii="仿宋_GB2312" w:eastAsia="仿宋_GB2312"/>
                <w:sz w:val="28"/>
                <w:szCs w:val="28"/>
              </w:rPr>
            </w:pPr>
            <w:r>
              <w:rPr>
                <w:rFonts w:hint="eastAsia" w:ascii="仿宋_GB2312" w:eastAsia="仿宋_GB2312"/>
                <w:sz w:val="28"/>
                <w:szCs w:val="28"/>
              </w:rPr>
              <w:t>头端形状及形状保持（如适用）</w:t>
            </w:r>
          </w:p>
        </w:tc>
        <w:tc>
          <w:tcPr>
            <w:tcW w:w="939" w:type="pct"/>
            <w:vAlign w:val="center"/>
          </w:tcPr>
          <w:p w14:paraId="2CA64259">
            <w:pPr>
              <w:jc w:val="center"/>
              <w:rPr>
                <w:rFonts w:ascii="仿宋_GB2312" w:eastAsia="仿宋_GB2312"/>
                <w:sz w:val="28"/>
                <w:szCs w:val="28"/>
              </w:rPr>
            </w:pPr>
            <w:r>
              <w:rPr>
                <w:rFonts w:hint="eastAsia" w:ascii="仿宋_GB2312" w:eastAsia="仿宋_GB2312"/>
                <w:sz w:val="28"/>
                <w:szCs w:val="28"/>
              </w:rPr>
              <w:t>/</w:t>
            </w:r>
          </w:p>
        </w:tc>
        <w:tc>
          <w:tcPr>
            <w:tcW w:w="1732" w:type="pct"/>
            <w:vAlign w:val="center"/>
          </w:tcPr>
          <w:p w14:paraId="014C26E1">
            <w:pPr>
              <w:jc w:val="left"/>
              <w:rPr>
                <w:rFonts w:ascii="仿宋_GB2312" w:eastAsia="仿宋_GB2312"/>
                <w:sz w:val="28"/>
                <w:szCs w:val="28"/>
              </w:rPr>
            </w:pPr>
            <w:r>
              <w:rPr>
                <w:rFonts w:hint="eastAsia" w:ascii="仿宋_GB2312" w:eastAsia="仿宋_GB2312"/>
                <w:sz w:val="28"/>
                <w:szCs w:val="28"/>
              </w:rPr>
              <w:t>对于头端已塑形的微导管，宜开展头端塑形形状及形状保持研究。若头端可再塑形，宜开展相关研究。</w:t>
            </w:r>
          </w:p>
        </w:tc>
      </w:tr>
      <w:tr w14:paraId="33E5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96" w:type="pct"/>
            <w:vMerge w:val="restart"/>
            <w:vAlign w:val="center"/>
          </w:tcPr>
          <w:p w14:paraId="29E6E4D7">
            <w:pPr>
              <w:pStyle w:val="4"/>
              <w:numPr>
                <w:ilvl w:val="0"/>
                <w:numId w:val="1"/>
              </w:numPr>
              <w:spacing w:line="360" w:lineRule="auto"/>
              <w:jc w:val="center"/>
              <w:rPr>
                <w:rFonts w:ascii="仿宋_GB2312" w:hAnsi="Times New Roman" w:eastAsia="仿宋_GB2312" w:cs="Times New Roman"/>
                <w:bCs/>
                <w:sz w:val="28"/>
                <w:szCs w:val="28"/>
              </w:rPr>
            </w:pPr>
          </w:p>
        </w:tc>
        <w:tc>
          <w:tcPr>
            <w:tcW w:w="937" w:type="pct"/>
            <w:vMerge w:val="restart"/>
            <w:vAlign w:val="center"/>
          </w:tcPr>
          <w:p w14:paraId="19E5C91A">
            <w:pPr>
              <w:jc w:val="center"/>
              <w:rPr>
                <w:rFonts w:ascii="仿宋_GB2312" w:eastAsia="仿宋_GB2312"/>
                <w:sz w:val="28"/>
                <w:szCs w:val="28"/>
              </w:rPr>
            </w:pPr>
            <w:r>
              <w:rPr>
                <w:rFonts w:hint="eastAsia" w:ascii="仿宋_GB2312" w:eastAsia="仿宋_GB2312"/>
                <w:sz w:val="28"/>
                <w:szCs w:val="28"/>
              </w:rPr>
              <w:t>化学性能</w:t>
            </w:r>
          </w:p>
        </w:tc>
        <w:tc>
          <w:tcPr>
            <w:tcW w:w="1096" w:type="pct"/>
            <w:vAlign w:val="center"/>
          </w:tcPr>
          <w:p w14:paraId="1F609861">
            <w:pPr>
              <w:jc w:val="center"/>
              <w:rPr>
                <w:rFonts w:ascii="仿宋_GB2312" w:eastAsia="仿宋_GB2312"/>
                <w:sz w:val="28"/>
                <w:szCs w:val="28"/>
              </w:rPr>
            </w:pPr>
            <w:r>
              <w:rPr>
                <w:rFonts w:hint="eastAsia" w:ascii="仿宋_GB2312" w:eastAsia="仿宋_GB2312"/>
                <w:sz w:val="28"/>
                <w:szCs w:val="28"/>
              </w:rPr>
              <w:t>化学物质残留量(如适用)</w:t>
            </w:r>
          </w:p>
        </w:tc>
        <w:tc>
          <w:tcPr>
            <w:tcW w:w="939" w:type="pct"/>
            <w:vAlign w:val="center"/>
          </w:tcPr>
          <w:p w14:paraId="57C281FA">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5C012B43">
            <w:pPr>
              <w:jc w:val="left"/>
              <w:rPr>
                <w:rFonts w:ascii="仿宋_GB2312" w:eastAsia="仿宋_GB2312"/>
                <w:sz w:val="28"/>
                <w:szCs w:val="28"/>
              </w:rPr>
            </w:pPr>
            <w:r>
              <w:rPr>
                <w:rFonts w:hint="eastAsia" w:ascii="仿宋_GB2312" w:eastAsia="仿宋_GB2312"/>
                <w:sz w:val="28"/>
                <w:szCs w:val="28"/>
              </w:rPr>
              <w:t>针对终产品中可能存在的有害化学物质，如生产工艺中引入的添加剂、材料单体等预期对人体有严重危害而需严格控制的化学物质</w:t>
            </w:r>
          </w:p>
        </w:tc>
      </w:tr>
      <w:tr w14:paraId="2AEE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atLeast"/>
        </w:trPr>
        <w:tc>
          <w:tcPr>
            <w:tcW w:w="296" w:type="pct"/>
            <w:vMerge w:val="continue"/>
            <w:vAlign w:val="center"/>
          </w:tcPr>
          <w:p w14:paraId="747DF23B">
            <w:pPr>
              <w:pStyle w:val="4"/>
              <w:numPr>
                <w:ilvl w:val="0"/>
                <w:numId w:val="1"/>
              </w:numPr>
              <w:spacing w:line="360" w:lineRule="auto"/>
              <w:jc w:val="center"/>
              <w:rPr>
                <w:rFonts w:ascii="仿宋_GB2312" w:hAnsi="Times New Roman" w:eastAsia="仿宋_GB2312" w:cs="Times New Roman"/>
                <w:bCs/>
                <w:sz w:val="28"/>
                <w:szCs w:val="28"/>
              </w:rPr>
            </w:pPr>
          </w:p>
        </w:tc>
        <w:tc>
          <w:tcPr>
            <w:tcW w:w="937" w:type="pct"/>
            <w:vMerge w:val="continue"/>
            <w:vAlign w:val="center"/>
          </w:tcPr>
          <w:p w14:paraId="1EC2B101">
            <w:pPr>
              <w:jc w:val="center"/>
              <w:rPr>
                <w:rFonts w:ascii="仿宋_GB2312" w:eastAsia="仿宋_GB2312"/>
                <w:sz w:val="28"/>
                <w:szCs w:val="28"/>
              </w:rPr>
            </w:pPr>
          </w:p>
        </w:tc>
        <w:tc>
          <w:tcPr>
            <w:tcW w:w="1096" w:type="pct"/>
            <w:vAlign w:val="center"/>
          </w:tcPr>
          <w:p w14:paraId="2E0D38AC">
            <w:pPr>
              <w:jc w:val="center"/>
              <w:rPr>
                <w:rFonts w:ascii="仿宋_GB2312" w:eastAsia="仿宋_GB2312"/>
                <w:sz w:val="28"/>
                <w:szCs w:val="28"/>
              </w:rPr>
            </w:pPr>
            <w:r>
              <w:rPr>
                <w:rFonts w:hint="eastAsia" w:ascii="仿宋_GB2312" w:eastAsia="仿宋_GB2312"/>
                <w:sz w:val="28"/>
                <w:szCs w:val="28"/>
              </w:rPr>
              <w:t>重金属</w:t>
            </w:r>
          </w:p>
        </w:tc>
        <w:tc>
          <w:tcPr>
            <w:tcW w:w="939" w:type="pct"/>
            <w:vAlign w:val="center"/>
          </w:tcPr>
          <w:p w14:paraId="4C43F8FF">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3CF5AEF6">
            <w:pPr>
              <w:jc w:val="left"/>
              <w:rPr>
                <w:rFonts w:ascii="仿宋_GB2312" w:eastAsia="仿宋_GB2312"/>
                <w:sz w:val="28"/>
                <w:szCs w:val="28"/>
              </w:rPr>
            </w:pPr>
            <w:r>
              <w:rPr>
                <w:rFonts w:hint="eastAsia" w:ascii="仿宋_GB2312" w:eastAsia="仿宋_GB2312"/>
                <w:sz w:val="28"/>
                <w:szCs w:val="28"/>
              </w:rPr>
              <w:t>注意单独制定镉含量</w:t>
            </w:r>
          </w:p>
          <w:p w14:paraId="66B438A9">
            <w:pPr>
              <w:jc w:val="left"/>
              <w:rPr>
                <w:rFonts w:ascii="仿宋_GB2312" w:eastAsia="仿宋_GB2312"/>
                <w:sz w:val="28"/>
                <w:szCs w:val="28"/>
              </w:rPr>
            </w:pPr>
          </w:p>
        </w:tc>
      </w:tr>
      <w:tr w14:paraId="69B5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3" w:hRule="atLeast"/>
        </w:trPr>
        <w:tc>
          <w:tcPr>
            <w:tcW w:w="296" w:type="pct"/>
            <w:vMerge w:val="continue"/>
            <w:vAlign w:val="center"/>
          </w:tcPr>
          <w:p w14:paraId="1B99BF0C">
            <w:pPr>
              <w:pStyle w:val="4"/>
              <w:numPr>
                <w:ilvl w:val="0"/>
                <w:numId w:val="1"/>
              </w:numPr>
              <w:spacing w:line="360" w:lineRule="auto"/>
              <w:jc w:val="center"/>
              <w:rPr>
                <w:rFonts w:ascii="仿宋_GB2312" w:hAnsi="Times New Roman" w:eastAsia="仿宋_GB2312" w:cs="Times New Roman"/>
                <w:bCs/>
                <w:sz w:val="28"/>
                <w:szCs w:val="28"/>
              </w:rPr>
            </w:pPr>
          </w:p>
        </w:tc>
        <w:tc>
          <w:tcPr>
            <w:tcW w:w="937" w:type="pct"/>
            <w:vMerge w:val="continue"/>
            <w:vAlign w:val="center"/>
          </w:tcPr>
          <w:p w14:paraId="744301C7">
            <w:pPr>
              <w:jc w:val="center"/>
              <w:rPr>
                <w:rFonts w:ascii="仿宋_GB2312" w:eastAsia="仿宋_GB2312"/>
                <w:sz w:val="28"/>
                <w:szCs w:val="28"/>
              </w:rPr>
            </w:pPr>
          </w:p>
        </w:tc>
        <w:tc>
          <w:tcPr>
            <w:tcW w:w="1096" w:type="pct"/>
            <w:vAlign w:val="center"/>
          </w:tcPr>
          <w:p w14:paraId="49A82801">
            <w:pPr>
              <w:jc w:val="center"/>
              <w:rPr>
                <w:rFonts w:ascii="仿宋_GB2312" w:eastAsia="仿宋_GB2312"/>
                <w:sz w:val="28"/>
                <w:szCs w:val="28"/>
              </w:rPr>
            </w:pPr>
            <w:r>
              <w:rPr>
                <w:rFonts w:hint="eastAsia" w:ascii="仿宋_GB2312" w:eastAsia="仿宋_GB2312"/>
                <w:sz w:val="28"/>
                <w:szCs w:val="28"/>
              </w:rPr>
              <w:t>其他</w:t>
            </w:r>
          </w:p>
        </w:tc>
        <w:tc>
          <w:tcPr>
            <w:tcW w:w="939" w:type="pct"/>
            <w:vAlign w:val="center"/>
          </w:tcPr>
          <w:p w14:paraId="531379D1">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6DA4DAD9">
            <w:pPr>
              <w:jc w:val="left"/>
              <w:rPr>
                <w:rFonts w:ascii="仿宋_GB2312" w:eastAsia="仿宋_GB2312"/>
                <w:sz w:val="28"/>
                <w:szCs w:val="28"/>
              </w:rPr>
            </w:pPr>
            <w:r>
              <w:rPr>
                <w:rFonts w:hint="eastAsia" w:ascii="仿宋_GB2312" w:eastAsia="仿宋_GB2312"/>
                <w:sz w:val="28"/>
                <w:szCs w:val="28"/>
              </w:rPr>
              <w:t>1.适当时可考虑pH、蒸发残渣、还原物质、紫外吸光度。</w:t>
            </w:r>
          </w:p>
          <w:p w14:paraId="2D351D65">
            <w:pPr>
              <w:jc w:val="left"/>
              <w:rPr>
                <w:rFonts w:ascii="仿宋_GB2312" w:eastAsia="仿宋_GB2312"/>
                <w:sz w:val="28"/>
                <w:szCs w:val="28"/>
              </w:rPr>
            </w:pPr>
            <w:r>
              <w:rPr>
                <w:rFonts w:hint="eastAsia" w:ascii="仿宋_GB2312" w:eastAsia="仿宋_GB2312"/>
                <w:sz w:val="28"/>
                <w:szCs w:val="28"/>
              </w:rPr>
              <w:t>2.若涂层材料导致某项化学性能结果异常时，建议对无涂层产品进行测试，确认其化学性能是否可接受，同时结合涂层材料的临床应用史及生物相容性数据，综合评价。若涂层可安全用于人体，且无涂层产品化学性能结果正常，可不在产品技术要求中制订该项化学性能。</w:t>
            </w:r>
          </w:p>
        </w:tc>
      </w:tr>
      <w:tr w14:paraId="5C08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4ECD7A6F">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3BDED92E">
            <w:pPr>
              <w:jc w:val="center"/>
              <w:rPr>
                <w:rFonts w:ascii="仿宋_GB2312" w:eastAsia="仿宋_GB2312"/>
                <w:sz w:val="28"/>
                <w:szCs w:val="28"/>
              </w:rPr>
            </w:pPr>
            <w:r>
              <w:rPr>
                <w:rFonts w:hint="eastAsia" w:ascii="仿宋_GB2312" w:eastAsia="仿宋_GB2312"/>
                <w:sz w:val="28"/>
                <w:szCs w:val="28"/>
              </w:rPr>
              <w:t>环氧乙烷残留量（如适用）</w:t>
            </w:r>
          </w:p>
        </w:tc>
        <w:tc>
          <w:tcPr>
            <w:tcW w:w="939" w:type="pct"/>
            <w:vAlign w:val="center"/>
          </w:tcPr>
          <w:p w14:paraId="6F3E7FEB">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4BBE3BC7">
            <w:pPr>
              <w:jc w:val="center"/>
              <w:rPr>
                <w:rFonts w:ascii="仿宋_GB2312" w:eastAsia="仿宋_GB2312"/>
                <w:sz w:val="28"/>
                <w:szCs w:val="28"/>
              </w:rPr>
            </w:pPr>
            <w:r>
              <w:rPr>
                <w:rFonts w:hint="eastAsia" w:ascii="仿宋_GB2312" w:eastAsia="仿宋_GB2312"/>
                <w:sz w:val="28"/>
                <w:szCs w:val="28"/>
              </w:rPr>
              <w:t>/</w:t>
            </w:r>
          </w:p>
        </w:tc>
      </w:tr>
      <w:tr w14:paraId="530F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Align w:val="center"/>
          </w:tcPr>
          <w:p w14:paraId="3EC9303B">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474C1522">
            <w:pPr>
              <w:jc w:val="center"/>
              <w:rPr>
                <w:rFonts w:ascii="仿宋_GB2312" w:eastAsia="仿宋_GB2312"/>
                <w:sz w:val="28"/>
                <w:szCs w:val="28"/>
              </w:rPr>
            </w:pPr>
            <w:r>
              <w:rPr>
                <w:rFonts w:hint="eastAsia" w:ascii="仿宋_GB2312" w:eastAsia="仿宋_GB2312"/>
                <w:sz w:val="28"/>
                <w:szCs w:val="28"/>
              </w:rPr>
              <w:t>2-氯乙醇（如适用）</w:t>
            </w:r>
          </w:p>
        </w:tc>
        <w:tc>
          <w:tcPr>
            <w:tcW w:w="939" w:type="pct"/>
            <w:vAlign w:val="center"/>
          </w:tcPr>
          <w:p w14:paraId="4CD3A10D">
            <w:pPr>
              <w:jc w:val="center"/>
              <w:rPr>
                <w:rFonts w:ascii="仿宋_GB2312" w:eastAsia="仿宋_GB2312"/>
                <w:sz w:val="28"/>
                <w:szCs w:val="28"/>
              </w:rPr>
            </w:pPr>
            <w:r>
              <w:rPr>
                <w:rFonts w:hint="eastAsia" w:ascii="仿宋_GB2312" w:eastAsia="仿宋_GB2312"/>
                <w:sz w:val="28"/>
                <w:szCs w:val="28"/>
              </w:rPr>
              <w:t>/</w:t>
            </w:r>
          </w:p>
        </w:tc>
        <w:tc>
          <w:tcPr>
            <w:tcW w:w="1732" w:type="pct"/>
            <w:vAlign w:val="center"/>
          </w:tcPr>
          <w:p w14:paraId="6DD6588B">
            <w:pPr>
              <w:jc w:val="center"/>
              <w:rPr>
                <w:rFonts w:ascii="仿宋_GB2312" w:eastAsia="仿宋_GB2312"/>
                <w:sz w:val="28"/>
                <w:szCs w:val="28"/>
              </w:rPr>
            </w:pPr>
            <w:r>
              <w:rPr>
                <w:rFonts w:hint="eastAsia" w:ascii="仿宋_GB2312" w:eastAsia="仿宋_GB2312"/>
                <w:sz w:val="28"/>
                <w:szCs w:val="28"/>
              </w:rPr>
              <w:t>/</w:t>
            </w:r>
          </w:p>
        </w:tc>
      </w:tr>
      <w:tr w14:paraId="2ECD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96" w:type="pct"/>
            <w:vAlign w:val="center"/>
          </w:tcPr>
          <w:p w14:paraId="20D65939">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5A2993B5">
            <w:pPr>
              <w:jc w:val="center"/>
              <w:rPr>
                <w:rFonts w:ascii="仿宋_GB2312" w:eastAsia="仿宋_GB2312"/>
                <w:sz w:val="28"/>
                <w:szCs w:val="28"/>
              </w:rPr>
            </w:pPr>
            <w:r>
              <w:rPr>
                <w:rFonts w:hint="eastAsia" w:ascii="仿宋_GB2312" w:eastAsia="仿宋_GB2312"/>
                <w:sz w:val="28"/>
                <w:szCs w:val="28"/>
              </w:rPr>
              <w:t>无菌</w:t>
            </w:r>
          </w:p>
        </w:tc>
        <w:tc>
          <w:tcPr>
            <w:tcW w:w="939" w:type="pct"/>
            <w:vAlign w:val="center"/>
          </w:tcPr>
          <w:p w14:paraId="081462D8">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1120B504">
            <w:pPr>
              <w:jc w:val="center"/>
              <w:rPr>
                <w:rFonts w:ascii="仿宋_GB2312" w:eastAsia="仿宋_GB2312"/>
                <w:sz w:val="28"/>
                <w:szCs w:val="28"/>
              </w:rPr>
            </w:pPr>
            <w:r>
              <w:rPr>
                <w:rFonts w:hint="eastAsia" w:ascii="仿宋_GB2312" w:eastAsia="仿宋_GB2312"/>
                <w:sz w:val="28"/>
                <w:szCs w:val="28"/>
              </w:rPr>
              <w:t>/</w:t>
            </w:r>
          </w:p>
        </w:tc>
      </w:tr>
      <w:tr w14:paraId="3D41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96" w:type="pct"/>
            <w:vAlign w:val="center"/>
          </w:tcPr>
          <w:p w14:paraId="0A4344A8">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51AD8FDC">
            <w:pPr>
              <w:jc w:val="center"/>
              <w:rPr>
                <w:rFonts w:ascii="仿宋_GB2312" w:eastAsia="仿宋_GB2312"/>
                <w:sz w:val="28"/>
                <w:szCs w:val="28"/>
              </w:rPr>
            </w:pPr>
            <w:r>
              <w:rPr>
                <w:rFonts w:hint="eastAsia" w:ascii="仿宋_GB2312" w:eastAsia="仿宋_GB2312"/>
                <w:sz w:val="28"/>
                <w:szCs w:val="28"/>
              </w:rPr>
              <w:t>细菌内毒素</w:t>
            </w:r>
          </w:p>
        </w:tc>
        <w:tc>
          <w:tcPr>
            <w:tcW w:w="939" w:type="pct"/>
            <w:vAlign w:val="center"/>
          </w:tcPr>
          <w:p w14:paraId="0A74D8EC">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3FB27BB9">
            <w:pPr>
              <w:jc w:val="center"/>
              <w:rPr>
                <w:rFonts w:ascii="仿宋_GB2312" w:eastAsia="仿宋_GB2312"/>
                <w:sz w:val="28"/>
                <w:szCs w:val="28"/>
              </w:rPr>
            </w:pPr>
            <w:r>
              <w:rPr>
                <w:rFonts w:hint="eastAsia" w:ascii="仿宋_GB2312" w:eastAsia="仿宋_GB2312"/>
                <w:sz w:val="28"/>
                <w:szCs w:val="28"/>
              </w:rPr>
              <w:t>/</w:t>
            </w:r>
          </w:p>
        </w:tc>
      </w:tr>
      <w:tr w14:paraId="25E7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96" w:type="pct"/>
            <w:vAlign w:val="center"/>
          </w:tcPr>
          <w:p w14:paraId="0C16B1F5">
            <w:pPr>
              <w:pStyle w:val="4"/>
              <w:numPr>
                <w:ilvl w:val="0"/>
                <w:numId w:val="1"/>
              </w:numPr>
              <w:spacing w:line="360" w:lineRule="auto"/>
              <w:jc w:val="center"/>
              <w:rPr>
                <w:rFonts w:ascii="仿宋_GB2312" w:hAnsi="Times New Roman" w:eastAsia="仿宋_GB2312" w:cs="Times New Roman"/>
                <w:bCs/>
                <w:sz w:val="28"/>
                <w:szCs w:val="28"/>
              </w:rPr>
            </w:pPr>
          </w:p>
        </w:tc>
        <w:tc>
          <w:tcPr>
            <w:tcW w:w="2033" w:type="pct"/>
            <w:gridSpan w:val="2"/>
            <w:vAlign w:val="center"/>
          </w:tcPr>
          <w:p w14:paraId="5DB5B528">
            <w:pPr>
              <w:jc w:val="center"/>
              <w:rPr>
                <w:rFonts w:ascii="仿宋_GB2312" w:eastAsia="仿宋_GB2312"/>
                <w:sz w:val="28"/>
                <w:szCs w:val="28"/>
              </w:rPr>
            </w:pPr>
            <w:r>
              <w:rPr>
                <w:rFonts w:hint="eastAsia" w:ascii="仿宋_GB2312" w:eastAsia="仿宋_GB2312"/>
                <w:sz w:val="28"/>
                <w:szCs w:val="28"/>
              </w:rPr>
              <w:t>与产品配套提供的附件性能</w:t>
            </w:r>
          </w:p>
          <w:p w14:paraId="1EF39F5E">
            <w:pPr>
              <w:jc w:val="center"/>
              <w:rPr>
                <w:rFonts w:ascii="仿宋_GB2312" w:eastAsia="仿宋_GB2312"/>
                <w:sz w:val="28"/>
                <w:szCs w:val="28"/>
              </w:rPr>
            </w:pPr>
            <w:r>
              <w:rPr>
                <w:rFonts w:hint="eastAsia" w:ascii="仿宋_GB2312" w:eastAsia="仿宋_GB2312"/>
                <w:sz w:val="28"/>
                <w:szCs w:val="28"/>
              </w:rPr>
              <w:t>（如有）</w:t>
            </w:r>
          </w:p>
        </w:tc>
        <w:tc>
          <w:tcPr>
            <w:tcW w:w="939" w:type="pct"/>
            <w:vAlign w:val="center"/>
          </w:tcPr>
          <w:p w14:paraId="033598D7">
            <w:pPr>
              <w:jc w:val="center"/>
              <w:rPr>
                <w:rFonts w:ascii="仿宋_GB2312" w:eastAsia="仿宋_GB2312"/>
                <w:sz w:val="28"/>
                <w:szCs w:val="28"/>
              </w:rPr>
            </w:pPr>
            <w:r>
              <w:rPr>
                <w:rFonts w:hint="eastAsia" w:ascii="仿宋_GB2312" w:eastAsia="仿宋_GB2312"/>
                <w:sz w:val="28"/>
                <w:szCs w:val="28"/>
              </w:rPr>
              <w:t>是</w:t>
            </w:r>
          </w:p>
        </w:tc>
        <w:tc>
          <w:tcPr>
            <w:tcW w:w="1732" w:type="pct"/>
            <w:vAlign w:val="center"/>
          </w:tcPr>
          <w:p w14:paraId="3A3532B8">
            <w:pPr>
              <w:jc w:val="center"/>
              <w:rPr>
                <w:rFonts w:ascii="仿宋_GB2312" w:eastAsia="仿宋_GB2312"/>
                <w:sz w:val="28"/>
                <w:szCs w:val="28"/>
              </w:rPr>
            </w:pPr>
            <w:r>
              <w:rPr>
                <w:rFonts w:hint="eastAsia" w:ascii="仿宋_GB2312" w:eastAsia="仿宋_GB2312"/>
                <w:sz w:val="28"/>
                <w:szCs w:val="28"/>
              </w:rPr>
              <w:t>/</w:t>
            </w:r>
          </w:p>
        </w:tc>
      </w:tr>
    </w:tbl>
    <w:p w14:paraId="36C2EE95">
      <w:pPr>
        <w:overflowPunct w:val="0"/>
        <w:autoSpaceDE w:val="0"/>
        <w:autoSpaceDN w:val="0"/>
        <w:spacing w:before="312" w:beforeLines="100" w:line="520" w:lineRule="exact"/>
        <w:ind w:firstLine="640" w:firstLineChars="200"/>
        <w:rPr>
          <w:rFonts w:ascii="仿宋_GB2312" w:eastAsia="仿宋_GB2312"/>
          <w:bCs/>
          <w:sz w:val="32"/>
          <w:szCs w:val="32"/>
        </w:rPr>
      </w:pPr>
      <w:r>
        <w:rPr>
          <w:rFonts w:hint="eastAsia" w:ascii="仿宋_GB2312" w:eastAsia="仿宋_GB2312"/>
          <w:sz w:val="32"/>
          <w:szCs w:val="32"/>
        </w:rPr>
        <w:t>申请人应根据具体产品特性，考虑需增加的性能研究项目，</w:t>
      </w:r>
      <w:r>
        <w:rPr>
          <w:rFonts w:hint="eastAsia" w:ascii="仿宋_GB2312" w:eastAsia="仿宋_GB2312"/>
          <w:bCs/>
          <w:sz w:val="32"/>
          <w:szCs w:val="32"/>
        </w:rPr>
        <w:t>如</w:t>
      </w:r>
      <w:r>
        <w:rPr>
          <w:rFonts w:hint="eastAsia" w:ascii="仿宋_GB2312" w:eastAsia="仿宋_GB2312"/>
          <w:color w:val="000000"/>
          <w:kern w:val="0"/>
          <w:sz w:val="32"/>
          <w:szCs w:val="32"/>
        </w:rPr>
        <w:t>可调弯微导管，宜开展调弯疲劳等相关性能研究；如微导管使用时具有特定位置要求，建议同时研究与其他器械配合使用时在靶部位保持位置的能力（不移位）。</w:t>
      </w:r>
      <w:r>
        <w:rPr>
          <w:rFonts w:hint="eastAsia" w:ascii="仿宋_GB2312" w:eastAsia="仿宋_GB2312"/>
          <w:bCs/>
          <w:sz w:val="32"/>
          <w:szCs w:val="32"/>
        </w:rPr>
        <w:t xml:space="preserve"> </w:t>
      </w:r>
    </w:p>
    <w:p w14:paraId="3D8D22C8">
      <w:pPr>
        <w:overflowPunct w:val="0"/>
        <w:autoSpaceDE w:val="0"/>
        <w:autoSpaceDN w:val="0"/>
        <w:spacing w:before="156" w:beforeLines="50" w:line="520" w:lineRule="exact"/>
        <w:ind w:firstLine="640" w:firstLineChars="200"/>
        <w:rPr>
          <w:rFonts w:ascii="仿宋_GB2312" w:eastAsia="仿宋_GB2312"/>
          <w:sz w:val="32"/>
          <w:szCs w:val="32"/>
        </w:rPr>
      </w:pPr>
      <w:r>
        <w:rPr>
          <w:rFonts w:hint="eastAsia" w:ascii="仿宋_GB2312" w:eastAsia="仿宋_GB2312"/>
          <w:bCs/>
          <w:sz w:val="32"/>
          <w:szCs w:val="32"/>
        </w:rPr>
        <w:t>性能研究资料</w:t>
      </w:r>
      <w:r>
        <w:rPr>
          <w:rFonts w:hint="eastAsia" w:ascii="仿宋_GB2312" w:eastAsia="仿宋_GB2312"/>
          <w:sz w:val="32"/>
          <w:szCs w:val="32"/>
        </w:rPr>
        <w:t>至少包括以下内容：</w:t>
      </w:r>
    </w:p>
    <w:p w14:paraId="6A7C16C4">
      <w:pPr>
        <w:pStyle w:val="21"/>
        <w:numPr>
          <w:ilvl w:val="0"/>
          <w:numId w:val="2"/>
        </w:numPr>
        <w:overflowPunct w:val="0"/>
        <w:autoSpaceDE w:val="0"/>
        <w:autoSpaceDN w:val="0"/>
        <w:spacing w:line="520" w:lineRule="exact"/>
        <w:ind w:firstLineChars="0"/>
        <w:rPr>
          <w:rFonts w:ascii="仿宋_GB2312" w:eastAsia="仿宋_GB2312"/>
          <w:sz w:val="32"/>
          <w:szCs w:val="32"/>
        </w:rPr>
      </w:pPr>
      <w:r>
        <w:rPr>
          <w:rFonts w:hint="eastAsia" w:ascii="仿宋_GB2312" w:eastAsia="仿宋_GB2312"/>
          <w:sz w:val="32"/>
          <w:szCs w:val="32"/>
        </w:rPr>
        <w:t>研究项目、接受标准及确定依据。</w:t>
      </w:r>
    </w:p>
    <w:p w14:paraId="35823B50">
      <w:pPr>
        <w:pStyle w:val="21"/>
        <w:numPr>
          <w:ilvl w:val="0"/>
          <w:numId w:val="2"/>
        </w:numPr>
        <w:overflowPunct w:val="0"/>
        <w:autoSpaceDE w:val="0"/>
        <w:autoSpaceDN w:val="0"/>
        <w:spacing w:line="520" w:lineRule="exact"/>
        <w:ind w:firstLineChars="0"/>
        <w:rPr>
          <w:rFonts w:ascii="仿宋_GB2312" w:eastAsia="仿宋_GB2312"/>
          <w:sz w:val="32"/>
          <w:szCs w:val="32"/>
        </w:rPr>
      </w:pPr>
      <w:r>
        <w:rPr>
          <w:rFonts w:hint="eastAsia" w:ascii="仿宋_GB2312" w:eastAsia="仿宋_GB2312"/>
          <w:sz w:val="32"/>
          <w:szCs w:val="32"/>
        </w:rPr>
        <w:t>研究项目的具体实验方法。</w:t>
      </w:r>
    </w:p>
    <w:p w14:paraId="602A4B4B">
      <w:pPr>
        <w:pStyle w:val="21"/>
        <w:numPr>
          <w:ilvl w:val="0"/>
          <w:numId w:val="2"/>
        </w:numPr>
        <w:overflowPunct w:val="0"/>
        <w:autoSpaceDE w:val="0"/>
        <w:autoSpaceDN w:val="0"/>
        <w:spacing w:line="520" w:lineRule="exact"/>
        <w:ind w:firstLineChars="0"/>
        <w:rPr>
          <w:rFonts w:ascii="仿宋_GB2312" w:eastAsia="仿宋_GB2312"/>
          <w:sz w:val="32"/>
          <w:szCs w:val="32"/>
        </w:rPr>
      </w:pPr>
      <w:r>
        <w:rPr>
          <w:rFonts w:hint="eastAsia" w:ascii="仿宋_GB2312" w:eastAsia="仿宋_GB2312"/>
          <w:sz w:val="32"/>
          <w:szCs w:val="32"/>
        </w:rPr>
        <w:t>典型型号/规格及选择依据，不同研究项目选择的典型型号/规格不同时，宜分别明确。</w:t>
      </w:r>
    </w:p>
    <w:p w14:paraId="51977747">
      <w:pPr>
        <w:pStyle w:val="21"/>
        <w:numPr>
          <w:ilvl w:val="0"/>
          <w:numId w:val="2"/>
        </w:numPr>
        <w:overflowPunct w:val="0"/>
        <w:autoSpaceDE w:val="0"/>
        <w:autoSpaceDN w:val="0"/>
        <w:spacing w:line="520" w:lineRule="exact"/>
        <w:ind w:firstLineChars="0"/>
        <w:rPr>
          <w:rFonts w:ascii="仿宋_GB2312" w:eastAsia="仿宋_GB2312"/>
          <w:sz w:val="32"/>
          <w:szCs w:val="32"/>
        </w:rPr>
      </w:pPr>
      <w:r>
        <w:rPr>
          <w:rFonts w:hint="eastAsia" w:ascii="仿宋_GB2312" w:eastAsia="仿宋_GB2312"/>
          <w:sz w:val="32"/>
          <w:szCs w:val="32"/>
        </w:rPr>
        <w:t>研究项目所用样品数量及确定依据，每个研究项目宜分别明确样品数量，不同研究项目样品数量不同时，宜分别明确样品数量确定依据。</w:t>
      </w:r>
    </w:p>
    <w:p w14:paraId="3AC7C260">
      <w:pPr>
        <w:pStyle w:val="21"/>
        <w:numPr>
          <w:ilvl w:val="0"/>
          <w:numId w:val="2"/>
        </w:numPr>
        <w:overflowPunct w:val="0"/>
        <w:autoSpaceDE w:val="0"/>
        <w:autoSpaceDN w:val="0"/>
        <w:spacing w:line="520" w:lineRule="exact"/>
        <w:ind w:firstLineChars="0"/>
        <w:rPr>
          <w:rFonts w:ascii="仿宋_GB2312" w:eastAsia="仿宋_GB2312"/>
          <w:sz w:val="32"/>
          <w:szCs w:val="32"/>
        </w:rPr>
      </w:pPr>
      <w:r>
        <w:rPr>
          <w:rFonts w:hint="eastAsia" w:ascii="仿宋_GB2312" w:eastAsia="仿宋_GB2312"/>
          <w:sz w:val="32"/>
          <w:szCs w:val="32"/>
        </w:rPr>
        <w:t>研究结果及分析、研究结论。如为定量指标，宜采用数值表示结果，提供测试值总结。</w:t>
      </w:r>
    </w:p>
    <w:p w14:paraId="3F89853B">
      <w:pPr>
        <w:overflowPunct w:val="0"/>
        <w:autoSpaceDE w:val="0"/>
        <w:autoSpaceDN w:val="0"/>
        <w:spacing w:line="520" w:lineRule="exact"/>
        <w:rPr>
          <w:rFonts w:ascii="仿宋_GB2312" w:eastAsia="仿宋_GB2312"/>
          <w:sz w:val="32"/>
          <w:szCs w:val="32"/>
        </w:rPr>
      </w:pPr>
      <w:r>
        <w:rPr>
          <w:rFonts w:hint="eastAsia" w:ascii="仿宋_GB2312" w:eastAsia="仿宋_GB2312"/>
          <w:sz w:val="32"/>
          <w:szCs w:val="32"/>
        </w:rPr>
        <w:t xml:space="preserve">    研究项目、接受标准、选择的型号/规格、样品数量建议列表明确。</w:t>
      </w:r>
    </w:p>
    <w:p w14:paraId="1C789FB7">
      <w:pPr>
        <w:pStyle w:val="4"/>
        <w:spacing w:line="52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2. 生物相容性评价研究</w:t>
      </w:r>
    </w:p>
    <w:p w14:paraId="5A93E3DB">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终产品中预期与人体直接或间接接触的部分，均需要进行生物相容性评价。</w:t>
      </w:r>
    </w:p>
    <w:p w14:paraId="2DB4F2FA">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微导管属于与循环血液短期接触的外部接入器械，目前根据GB/T 16886《医疗器械生物学评价》系列标准，需考虑的生物相容性风险一般为：热原、细胞毒性、致敏、刺激或皮内反应、急性全身毒性、溶血、凝血（PTT）、血栓形成等。对于首次应用于医疗器械的新材料，宜提供该材料适合用于人体安全性的相关研究资料，评价生物学风险。</w:t>
      </w:r>
    </w:p>
    <w:p w14:paraId="55415E85">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若生物学评价确定需要开展生物学试验的，注意生物学试验报告需明确试验样品取样部位以及制备过程，如不与人体接触的应力释放管等部件不宜包含在取样中。生物学试验结果出现异常时，需对生物学风险来源进行确认，并结合原材料控制、生产工艺、预期用途及材料临床应用史、作用机理等因素综合评价生物学风险是否可接受。</w:t>
      </w:r>
    </w:p>
    <w:p w14:paraId="57E2D4E4">
      <w:pPr>
        <w:pStyle w:val="4"/>
        <w:spacing w:line="52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3. 生物安全性研究</w:t>
      </w:r>
    </w:p>
    <w:p w14:paraId="340E2418">
      <w:pPr>
        <w:pStyle w:val="4"/>
        <w:spacing w:line="52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若产品中含有动物源性材料，需参照《动物源性医疗器械注册技术审查指导原则》（2017年修订版）提交相关生物安全性研究资料。</w:t>
      </w:r>
    </w:p>
    <w:p w14:paraId="4AC8CB84">
      <w:pPr>
        <w:pStyle w:val="4"/>
        <w:spacing w:line="52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产品含有肝素时，肝素原材料中过硫酸软骨素不得检出，肝素物种来源为反刍动物（牛、羊）的需按照国食药监械[2006]407号《关于含有牛、羊源性材料医疗器械注册有关事宜的公告》要求执行。</w:t>
      </w:r>
    </w:p>
    <w:p w14:paraId="1D8B6A76">
      <w:pPr>
        <w:pStyle w:val="4"/>
        <w:spacing w:line="52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4. 灭菌工艺研究</w:t>
      </w:r>
    </w:p>
    <w:p w14:paraId="087FFE1F">
      <w:pPr>
        <w:pStyle w:val="4"/>
        <w:spacing w:line="52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明确灭菌工艺（方法和参数）和无菌保证水平（SAL）。微导管的无菌保证水平（SAL）需达到10</w:t>
      </w:r>
      <w:r>
        <w:rPr>
          <w:rFonts w:hint="eastAsia" w:ascii="仿宋_GB2312" w:hAnsi="Times New Roman" w:eastAsia="仿宋_GB2312" w:cs="Times New Roman"/>
          <w:bCs/>
          <w:sz w:val="32"/>
          <w:szCs w:val="32"/>
          <w:vertAlign w:val="superscript"/>
        </w:rPr>
        <w:t>-6</w:t>
      </w:r>
      <w:r>
        <w:rPr>
          <w:rFonts w:hint="eastAsia" w:ascii="仿宋_GB2312" w:hAnsi="Times New Roman" w:eastAsia="仿宋_GB2312" w:cs="Times New Roman"/>
          <w:bCs/>
          <w:sz w:val="32"/>
          <w:szCs w:val="32"/>
        </w:rPr>
        <w:t>。参考GB 18279《医疗保健产品灭菌 环氧乙烷》系列标准、GB 18280《医疗保健产品灭菌 辐射》系列标准等，提供灭菌确认报告。若灭菌使用的方法容易出现残留，如环氧乙烷灭菌，应当明确残留物信息及采取的具体处理措施，参考GB/T 16886.7《医疗器械生物学评价第7</w:t>
      </w:r>
      <w:r>
        <w:rPr>
          <w:rFonts w:hint="eastAsia" w:ascii="仿宋_GB2312" w:eastAsia="仿宋_GB2312"/>
          <w:sz w:val="32"/>
          <w:szCs w:val="32"/>
        </w:rPr>
        <w:t>部分：环氧乙烷灭菌残留量》</w:t>
      </w:r>
      <w:r>
        <w:rPr>
          <w:rFonts w:hint="eastAsia" w:ascii="仿宋_GB2312" w:hAnsi="Times New Roman" w:eastAsia="仿宋_GB2312" w:cs="Times New Roman"/>
          <w:bCs/>
          <w:sz w:val="32"/>
          <w:szCs w:val="32"/>
        </w:rPr>
        <w:t>等，明确各残留物（如环氧乙烷、2-氯乙醇等）残留量接受标准及其确定依据，并提供相关研究资料。</w:t>
      </w:r>
    </w:p>
    <w:p w14:paraId="3144A927">
      <w:pPr>
        <w:pStyle w:val="4"/>
        <w:spacing w:line="52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5. 产品有效期和包装研究</w:t>
      </w:r>
    </w:p>
    <w:p w14:paraId="3013B32A">
      <w:pPr>
        <w:pStyle w:val="4"/>
        <w:spacing w:line="52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可参考</w:t>
      </w:r>
      <w:r>
        <w:rPr>
          <w:rFonts w:hint="eastAsia" w:ascii="仿宋_GB2312" w:eastAsia="仿宋_GB2312"/>
          <w:bCs/>
          <w:sz w:val="32"/>
          <w:szCs w:val="32"/>
        </w:rPr>
        <w:t>《无源植入性医疗器械货架有效期注册申报资料指导原则》对微导管货架有效期和包装完整性进行研究。</w:t>
      </w:r>
    </w:p>
    <w:p w14:paraId="0F7209FA">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货架有效期的验证试验通常可分为加速稳定性试验和实时稳定性试验。若注册申报时仅完成加速稳定性研究，分析产品是否适用于加速老化，若适用，可采用加速老化研究资料作为货架有效期的支持性资料。对于由尼龙、Pebax等热稳定性较好材料制成的产品，一般可采取加速稳定性试验支持产品注册，需同步开展实时稳定性试验。老化方案和报告中宜明确具体老化条件，如实时老化温度、温度、时间；加速老化温度、湿度、环境温度、时间等。提供老化方案中验证项目、验证方法及接受标准、取样时间点及各项目样品数量的确定依据和相关研究资料。</w:t>
      </w:r>
    </w:p>
    <w:p w14:paraId="5781D77C">
      <w:pPr>
        <w:spacing w:line="520" w:lineRule="exact"/>
        <w:ind w:firstLine="640"/>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kern w:val="0"/>
          <w:sz w:val="32"/>
          <w:szCs w:val="32"/>
        </w:rPr>
        <w:t>货架有效期验证项目包括产品自身性能和包装系统性能两方面。产品自身性能验证需选择与微导管货架有效期密切相关的物理、化学项目，包括使用性能。涉及产品生物相容性可能发生改变的产品，需进行生物学评价。包装系统性能验证</w:t>
      </w:r>
      <w:r>
        <w:rPr>
          <w:rFonts w:hint="eastAsia" w:ascii="仿宋_GB2312" w:eastAsia="仿宋_GB2312"/>
          <w:bCs/>
          <w:sz w:val="32"/>
          <w:szCs w:val="32"/>
        </w:rPr>
        <w:t>包括包装完整性、包装强度和微生物屏障性能等。</w:t>
      </w:r>
      <w:r>
        <w:rPr>
          <w:rFonts w:hint="eastAsia" w:ascii="仿宋_GB2312" w:eastAsia="仿宋_GB2312"/>
          <w:bCs/>
          <w:color w:val="000000" w:themeColor="text1"/>
          <w:sz w:val="32"/>
          <w:szCs w:val="32"/>
          <w14:textFill>
            <w14:solidFill>
              <w14:schemeClr w14:val="tx1"/>
            </w14:solidFill>
          </w14:textFill>
        </w:rPr>
        <w:t>根据适用情况可选择目力检测包装密封完整性、染色液穿透法测定透气包装的密封泄漏、气泡法测定软性包装泄漏、软性屏障材料密封强度、无约束包装抗内压破坏、微生物屏障等试验。</w:t>
      </w:r>
    </w:p>
    <w:p w14:paraId="76934A17">
      <w:pPr>
        <w:pStyle w:val="4"/>
        <w:spacing w:line="52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产品包装完整性除考虑储存条件外，还需考虑运输条件，</w:t>
      </w:r>
      <w:r>
        <w:rPr>
          <w:rFonts w:hint="eastAsia" w:ascii="仿宋_GB2312" w:eastAsia="仿宋_GB2312"/>
          <w:bCs/>
          <w:color w:val="000000" w:themeColor="text1"/>
          <w:sz w:val="32"/>
          <w:szCs w:val="32"/>
          <w14:textFill>
            <w14:solidFill>
              <w14:schemeClr w14:val="tx1"/>
            </w14:solidFill>
          </w14:textFill>
        </w:rPr>
        <w:t>根据适用情况</w:t>
      </w:r>
      <w:r>
        <w:rPr>
          <w:rFonts w:hint="eastAsia" w:ascii="仿宋_GB2312" w:hAnsi="Times New Roman" w:eastAsia="仿宋_GB2312" w:cs="Times New Roman"/>
          <w:bCs/>
          <w:sz w:val="32"/>
          <w:szCs w:val="32"/>
        </w:rPr>
        <w:t>可选择人工搬运、堆码、振动、低气压、集中冲击等模拟运输试验验证包装系统性能。</w:t>
      </w:r>
    </w:p>
    <w:p w14:paraId="0B8E4114">
      <w:pPr>
        <w:pStyle w:val="4"/>
        <w:spacing w:line="52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6. 临床前动物实验</w:t>
      </w:r>
    </w:p>
    <w:p w14:paraId="6B636552">
      <w:pPr>
        <w:adjustRightInd w:val="0"/>
        <w:snapToGrid w:val="0"/>
        <w:spacing w:line="520" w:lineRule="exact"/>
        <w:ind w:right="420" w:firstLine="640" w:firstLineChars="200"/>
        <w:jc w:val="left"/>
        <w:rPr>
          <w:rFonts w:ascii="仿宋_GB2312" w:eastAsia="仿宋_GB2312"/>
          <w:bCs/>
          <w:sz w:val="32"/>
          <w:szCs w:val="32"/>
        </w:rPr>
      </w:pPr>
      <w:r>
        <w:rPr>
          <w:rFonts w:hint="eastAsia" w:ascii="仿宋_GB2312" w:eastAsia="仿宋_GB2312"/>
          <w:bCs/>
          <w:sz w:val="32"/>
          <w:szCs w:val="32"/>
        </w:rPr>
        <w:t>参照《医疗器械动物实验研究技术审查指导原则 第一部分：决策原则》确定是否需要在活体动物上进行动物实验。该类产品一般不需要进行动物实验研究。</w:t>
      </w:r>
    </w:p>
    <w:p w14:paraId="5CE43473">
      <w:pPr>
        <w:pStyle w:val="4"/>
        <w:spacing w:line="360" w:lineRule="auto"/>
        <w:ind w:firstLine="640" w:firstLineChars="200"/>
        <w:jc w:val="left"/>
        <w:rPr>
          <w:rFonts w:ascii="楷体" w:hAnsi="楷体" w:eastAsia="楷体" w:cs="Times New Roman"/>
          <w:color w:val="000000"/>
          <w:kern w:val="0"/>
          <w:sz w:val="32"/>
          <w:szCs w:val="32"/>
        </w:rPr>
      </w:pPr>
      <w:r>
        <w:rPr>
          <w:rFonts w:ascii="楷体" w:hAnsi="楷体" w:eastAsia="楷体" w:cs="Times New Roman"/>
          <w:color w:val="000000"/>
          <w:kern w:val="0"/>
          <w:sz w:val="32"/>
          <w:szCs w:val="32"/>
        </w:rPr>
        <w:t>（三）生产制造信息</w:t>
      </w:r>
      <w:bookmarkEnd w:id="5"/>
    </w:p>
    <w:p w14:paraId="39BCF8DE">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明确产品生产加工工艺，注明关键工艺和</w:t>
      </w:r>
      <w:r>
        <w:rPr>
          <w:rFonts w:hint="eastAsia" w:ascii="Times New Roman" w:hAnsi="Times New Roman" w:eastAsia="仿宋_GB2312" w:cs="Times New Roman"/>
          <w:bCs/>
          <w:sz w:val="32"/>
          <w:szCs w:val="32"/>
        </w:rPr>
        <w:t>/或</w:t>
      </w:r>
      <w:r>
        <w:rPr>
          <w:rFonts w:ascii="Times New Roman" w:hAnsi="Times New Roman" w:eastAsia="仿宋_GB2312" w:cs="Times New Roman"/>
          <w:bCs/>
          <w:sz w:val="32"/>
          <w:szCs w:val="32"/>
        </w:rPr>
        <w:t>特殊</w:t>
      </w:r>
      <w:r>
        <w:rPr>
          <w:rFonts w:hint="eastAsia" w:ascii="Times New Roman" w:hAnsi="Times New Roman" w:eastAsia="仿宋_GB2312" w:cs="Times New Roman"/>
          <w:bCs/>
          <w:sz w:val="32"/>
          <w:szCs w:val="32"/>
        </w:rPr>
        <w:t>过程</w:t>
      </w:r>
      <w:r>
        <w:rPr>
          <w:rFonts w:ascii="Times New Roman" w:hAnsi="Times New Roman" w:eastAsia="仿宋_GB2312" w:cs="Times New Roman"/>
          <w:bCs/>
          <w:sz w:val="32"/>
          <w:szCs w:val="32"/>
        </w:rPr>
        <w:t>，并阐明其过程控制点。</w:t>
      </w:r>
    </w:p>
    <w:p w14:paraId="21A4355E">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明确生产过程中各种加工助剂的使用情况</w:t>
      </w:r>
      <w:r>
        <w:rPr>
          <w:rFonts w:hint="eastAsia" w:ascii="Times New Roman" w:hAnsi="Times New Roman" w:eastAsia="仿宋_GB2312" w:cs="Times New Roman"/>
          <w:bCs/>
          <w:sz w:val="32"/>
          <w:szCs w:val="32"/>
        </w:rPr>
        <w:t>（如清洗液</w:t>
      </w:r>
      <w:r>
        <w:rPr>
          <w:rFonts w:ascii="Times New Roman" w:hAnsi="Times New Roman" w:eastAsia="仿宋_GB2312" w:cs="Times New Roman"/>
          <w:bCs/>
          <w:sz w:val="32"/>
          <w:szCs w:val="32"/>
        </w:rPr>
        <w:t>等</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及</w:t>
      </w:r>
      <w:r>
        <w:rPr>
          <w:rFonts w:hint="eastAsia" w:ascii="Times New Roman" w:hAnsi="Times New Roman" w:eastAsia="仿宋_GB2312" w:cs="Times New Roman"/>
          <w:bCs/>
          <w:sz w:val="32"/>
          <w:szCs w:val="32"/>
        </w:rPr>
        <w:t>对各种</w:t>
      </w:r>
      <w:r>
        <w:rPr>
          <w:rFonts w:ascii="Times New Roman" w:hAnsi="Times New Roman" w:eastAsia="仿宋_GB2312" w:cs="Times New Roman"/>
          <w:bCs/>
          <w:sz w:val="32"/>
          <w:szCs w:val="32"/>
        </w:rPr>
        <w:t>杂质（如残留单体、小分子残留物等）的控制情况。</w:t>
      </w:r>
    </w:p>
    <w:p w14:paraId="33A00D06">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提交研制、生产场地的相关信息。有多个研制、生产场地</w:t>
      </w:r>
      <w:r>
        <w:rPr>
          <w:rFonts w:hint="eastAsia" w:ascii="Times New Roman" w:hAnsi="Times New Roman" w:eastAsia="仿宋_GB2312" w:cs="Times New Roman"/>
          <w:bCs/>
          <w:sz w:val="32"/>
          <w:szCs w:val="32"/>
        </w:rPr>
        <w:t>时</w:t>
      </w:r>
      <w:r>
        <w:rPr>
          <w:rFonts w:ascii="Times New Roman" w:hAnsi="Times New Roman" w:eastAsia="仿宋_GB2312" w:cs="Times New Roman"/>
          <w:bCs/>
          <w:sz w:val="32"/>
          <w:szCs w:val="32"/>
        </w:rPr>
        <w:t>，应当概述每个研制、生产场地的实际情况。</w:t>
      </w:r>
      <w:bookmarkStart w:id="6" w:name="_Toc433187262"/>
    </w:p>
    <w:p w14:paraId="1E2069A9">
      <w:pPr>
        <w:pStyle w:val="4"/>
        <w:spacing w:line="360" w:lineRule="auto"/>
        <w:ind w:firstLine="640" w:firstLineChars="200"/>
        <w:jc w:val="left"/>
        <w:rPr>
          <w:rFonts w:ascii="楷体" w:hAnsi="楷体" w:eastAsia="楷体" w:cs="Times New Roman"/>
          <w:color w:val="000000"/>
          <w:kern w:val="0"/>
          <w:sz w:val="32"/>
          <w:szCs w:val="32"/>
        </w:rPr>
      </w:pPr>
      <w:r>
        <w:rPr>
          <w:rFonts w:hint="eastAsia" w:ascii="楷体" w:hAnsi="楷体" w:eastAsia="楷体" w:cs="Times New Roman"/>
          <w:color w:val="000000"/>
          <w:kern w:val="0"/>
          <w:sz w:val="32"/>
          <w:szCs w:val="32"/>
        </w:rPr>
        <w:t>（四）临床评价资料</w:t>
      </w:r>
    </w:p>
    <w:p w14:paraId="5C824100">
      <w:pPr>
        <w:pStyle w:val="4"/>
        <w:spacing w:line="52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申请人需按照《医疗器械临床评价技术指导原则》的要求提交相关临床评价资料。对于符合《免于进行临床试验医疗器械目录》（以下简称《目录》）下分类</w:t>
      </w:r>
      <w:r>
        <w:rPr>
          <w:rFonts w:ascii="Times New Roman" w:hAnsi="Times New Roman" w:eastAsia="仿宋_GB2312" w:cs="Times New Roman"/>
          <w:bCs/>
          <w:sz w:val="32"/>
          <w:szCs w:val="32"/>
        </w:rPr>
        <w:t>编码为</w:t>
      </w:r>
      <w:r>
        <w:rPr>
          <w:rFonts w:hint="eastAsia" w:ascii="Times New Roman" w:hAnsi="Times New Roman" w:eastAsia="仿宋_GB2312" w:cs="Times New Roman"/>
          <w:bCs/>
          <w:sz w:val="32"/>
          <w:szCs w:val="32"/>
        </w:rPr>
        <w:t>03</w:t>
      </w:r>
      <w:r>
        <w:rPr>
          <w:rFonts w:ascii="Times New Roman" w:hAnsi="Times New Roman" w:eastAsia="仿宋_GB2312" w:cs="Times New Roman"/>
          <w:bCs/>
          <w:sz w:val="32"/>
          <w:szCs w:val="32"/>
        </w:rPr>
        <w:t>-13-26</w:t>
      </w:r>
      <w:r>
        <w:rPr>
          <w:rFonts w:hint="eastAsia" w:ascii="Times New Roman" w:hAnsi="Times New Roman" w:eastAsia="仿宋_GB2312" w:cs="Times New Roman"/>
          <w:bCs/>
          <w:sz w:val="32"/>
          <w:szCs w:val="32"/>
        </w:rPr>
        <w:t>的</w:t>
      </w:r>
      <w:r>
        <w:rPr>
          <w:rFonts w:ascii="Times New Roman" w:hAnsi="Times New Roman" w:eastAsia="仿宋_GB2312" w:cs="Times New Roman"/>
          <w:bCs/>
          <w:sz w:val="32"/>
          <w:szCs w:val="32"/>
        </w:rPr>
        <w:t>微导管，申请人需提交申报产品相关信息与《目录》所述内容的</w:t>
      </w:r>
      <w:r>
        <w:rPr>
          <w:rFonts w:hint="eastAsia" w:ascii="Times New Roman" w:hAnsi="Times New Roman" w:eastAsia="仿宋_GB2312" w:cs="Times New Roman"/>
          <w:bCs/>
          <w:sz w:val="32"/>
          <w:szCs w:val="32"/>
        </w:rPr>
        <w:t>对比</w:t>
      </w:r>
      <w:r>
        <w:rPr>
          <w:rFonts w:ascii="Times New Roman" w:hAnsi="Times New Roman" w:eastAsia="仿宋_GB2312" w:cs="Times New Roman"/>
          <w:bCs/>
          <w:sz w:val="32"/>
          <w:szCs w:val="32"/>
        </w:rPr>
        <w:t>资料</w:t>
      </w:r>
      <w:r>
        <w:rPr>
          <w:rFonts w:hint="eastAsia" w:ascii="Times New Roman" w:hAnsi="Times New Roman" w:eastAsia="仿宋_GB2312" w:cs="Times New Roman"/>
          <w:bCs/>
          <w:sz w:val="32"/>
          <w:szCs w:val="32"/>
        </w:rPr>
        <w:t>以及</w:t>
      </w:r>
      <w:r>
        <w:rPr>
          <w:rFonts w:ascii="Times New Roman" w:hAnsi="Times New Roman" w:eastAsia="仿宋_GB2312" w:cs="Times New Roman"/>
          <w:bCs/>
          <w:sz w:val="32"/>
          <w:szCs w:val="32"/>
        </w:rPr>
        <w:t>申报产品与</w:t>
      </w:r>
      <w:r>
        <w:rPr>
          <w:rFonts w:hint="eastAsia" w:ascii="Times New Roman" w:hAnsi="Times New Roman" w:eastAsia="仿宋_GB2312" w:cs="Times New Roman"/>
          <w:bCs/>
          <w:sz w:val="32"/>
          <w:szCs w:val="32"/>
        </w:rPr>
        <w:t>《目录》中已获准境内注册的医疗器械的对比说明，</w:t>
      </w:r>
      <w:r>
        <w:rPr>
          <w:rFonts w:ascii="Times New Roman" w:hAnsi="Times New Roman" w:eastAsia="仿宋_GB2312" w:cs="Times New Roman"/>
          <w:bCs/>
          <w:sz w:val="32"/>
          <w:szCs w:val="32"/>
        </w:rPr>
        <w:t>针对对比资料中的差异部分，</w:t>
      </w:r>
      <w:r>
        <w:rPr>
          <w:rFonts w:hint="eastAsia" w:ascii="Times New Roman" w:hAnsi="Times New Roman" w:eastAsia="仿宋_GB2312" w:cs="Times New Roman"/>
          <w:bCs/>
          <w:sz w:val="32"/>
          <w:szCs w:val="32"/>
        </w:rPr>
        <w:t>宜</w:t>
      </w:r>
      <w:r>
        <w:rPr>
          <w:rFonts w:ascii="Times New Roman" w:hAnsi="Times New Roman" w:eastAsia="仿宋_GB2312" w:cs="Times New Roman"/>
          <w:bCs/>
          <w:sz w:val="32"/>
          <w:szCs w:val="32"/>
        </w:rPr>
        <w:t>提交相关支持性资料</w:t>
      </w:r>
      <w:r>
        <w:rPr>
          <w:rFonts w:hint="eastAsia" w:ascii="Times New Roman" w:hAnsi="Times New Roman" w:eastAsia="仿宋_GB2312" w:cs="Times New Roman"/>
          <w:bCs/>
          <w:sz w:val="32"/>
          <w:szCs w:val="32"/>
        </w:rPr>
        <w:t xml:space="preserve">证明申报产品与《目录》所述的产品具有等同性。 </w:t>
      </w:r>
    </w:p>
    <w:p w14:paraId="0C047738">
      <w:pPr>
        <w:pStyle w:val="4"/>
        <w:spacing w:line="52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对于申报</w:t>
      </w:r>
      <w:r>
        <w:rPr>
          <w:rFonts w:ascii="Times New Roman" w:hAnsi="Times New Roman" w:eastAsia="仿宋_GB2312" w:cs="Times New Roman"/>
          <w:bCs/>
          <w:sz w:val="32"/>
          <w:szCs w:val="32"/>
        </w:rPr>
        <w:t>产品主体材料（</w:t>
      </w:r>
      <w:r>
        <w:rPr>
          <w:rFonts w:hint="eastAsia" w:ascii="Times New Roman" w:hAnsi="Times New Roman" w:eastAsia="仿宋_GB2312" w:cs="Times New Roman"/>
          <w:bCs/>
          <w:sz w:val="32"/>
          <w:szCs w:val="32"/>
        </w:rPr>
        <w:t>包括商品名</w:t>
      </w:r>
      <w:r>
        <w:rPr>
          <w:rFonts w:ascii="Times New Roman" w:hAnsi="Times New Roman" w:eastAsia="仿宋_GB2312" w:cs="Times New Roman"/>
          <w:bCs/>
          <w:sz w:val="32"/>
          <w:szCs w:val="32"/>
        </w:rPr>
        <w:t>/牌号）</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主体结构与</w:t>
      </w:r>
      <w:r>
        <w:rPr>
          <w:rFonts w:hint="eastAsia" w:ascii="Times New Roman" w:hAnsi="Times New Roman" w:eastAsia="仿宋_GB2312" w:cs="Times New Roman"/>
          <w:bCs/>
          <w:sz w:val="32"/>
          <w:szCs w:val="32"/>
        </w:rPr>
        <w:t>《目录》中已获准境内注册的产品</w:t>
      </w:r>
      <w:r>
        <w:rPr>
          <w:rFonts w:ascii="Times New Roman" w:hAnsi="Times New Roman" w:eastAsia="仿宋_GB2312" w:cs="Times New Roman"/>
          <w:bCs/>
          <w:sz w:val="32"/>
          <w:szCs w:val="32"/>
        </w:rPr>
        <w:t>存在差异时</w:t>
      </w:r>
      <w:r>
        <w:rPr>
          <w:rFonts w:hint="eastAsia" w:ascii="Times New Roman" w:hAnsi="Times New Roman" w:eastAsia="仿宋_GB2312" w:cs="Times New Roman"/>
          <w:bCs/>
          <w:sz w:val="32"/>
          <w:szCs w:val="32"/>
        </w:rPr>
        <w:t>，建议</w:t>
      </w:r>
      <w:r>
        <w:rPr>
          <w:rFonts w:ascii="Times New Roman" w:hAnsi="Times New Roman" w:eastAsia="仿宋_GB2312" w:cs="Times New Roman"/>
          <w:bCs/>
          <w:sz w:val="32"/>
          <w:szCs w:val="32"/>
        </w:rPr>
        <w:t>在符合临床</w:t>
      </w:r>
      <w:r>
        <w:rPr>
          <w:rFonts w:hint="eastAsia" w:ascii="Times New Roman" w:hAnsi="Times New Roman" w:eastAsia="仿宋_GB2312" w:cs="Times New Roman"/>
          <w:bCs/>
          <w:sz w:val="32"/>
          <w:szCs w:val="32"/>
        </w:rPr>
        <w:t>使用</w:t>
      </w:r>
      <w:r>
        <w:rPr>
          <w:rFonts w:ascii="Times New Roman" w:hAnsi="Times New Roman" w:eastAsia="仿宋_GB2312" w:cs="Times New Roman"/>
          <w:bCs/>
          <w:sz w:val="32"/>
          <w:szCs w:val="32"/>
        </w:rPr>
        <w:t>需求的最差血管模型中开展</w:t>
      </w:r>
      <w:r>
        <w:rPr>
          <w:rFonts w:hint="eastAsia" w:ascii="Times New Roman" w:hAnsi="Times New Roman" w:eastAsia="仿宋_GB2312" w:cs="Times New Roman"/>
          <w:bCs/>
          <w:sz w:val="32"/>
          <w:szCs w:val="32"/>
        </w:rPr>
        <w:t>模拟</w:t>
      </w:r>
      <w:r>
        <w:rPr>
          <w:rFonts w:ascii="Times New Roman" w:hAnsi="Times New Roman" w:eastAsia="仿宋_GB2312" w:cs="Times New Roman"/>
          <w:bCs/>
          <w:sz w:val="32"/>
          <w:szCs w:val="32"/>
        </w:rPr>
        <w:t>使用对比验证</w:t>
      </w:r>
      <w:r>
        <w:rPr>
          <w:rFonts w:hint="eastAsia" w:ascii="Times New Roman" w:hAnsi="Times New Roman" w:eastAsia="仿宋_GB2312" w:cs="Times New Roman"/>
          <w:bCs/>
          <w:sz w:val="32"/>
          <w:szCs w:val="32"/>
        </w:rPr>
        <w:t>，提供血管</w:t>
      </w:r>
      <w:r>
        <w:rPr>
          <w:rFonts w:ascii="Times New Roman" w:hAnsi="Times New Roman" w:eastAsia="仿宋_GB2312" w:cs="Times New Roman"/>
          <w:bCs/>
          <w:sz w:val="32"/>
          <w:szCs w:val="32"/>
        </w:rPr>
        <w:t>模型</w:t>
      </w:r>
      <w:r>
        <w:rPr>
          <w:rFonts w:hint="eastAsia" w:ascii="Times New Roman" w:hAnsi="Times New Roman" w:eastAsia="仿宋_GB2312" w:cs="Times New Roman"/>
          <w:bCs/>
          <w:sz w:val="32"/>
          <w:szCs w:val="32"/>
        </w:rPr>
        <w:t>的选择</w:t>
      </w:r>
      <w:r>
        <w:rPr>
          <w:rFonts w:ascii="Times New Roman" w:hAnsi="Times New Roman" w:eastAsia="仿宋_GB2312" w:cs="Times New Roman"/>
          <w:bCs/>
          <w:sz w:val="32"/>
          <w:szCs w:val="32"/>
        </w:rPr>
        <w:t>依据，</w:t>
      </w:r>
      <w:r>
        <w:rPr>
          <w:rFonts w:hint="eastAsia" w:ascii="Times New Roman" w:hAnsi="Times New Roman" w:eastAsia="仿宋_GB2312" w:cs="Times New Roman"/>
          <w:bCs/>
          <w:sz w:val="32"/>
          <w:szCs w:val="32"/>
        </w:rPr>
        <w:t>对</w:t>
      </w:r>
      <w:r>
        <w:rPr>
          <w:rFonts w:ascii="Times New Roman" w:hAnsi="Times New Roman" w:eastAsia="仿宋_GB2312" w:cs="Times New Roman"/>
          <w:bCs/>
          <w:sz w:val="32"/>
          <w:szCs w:val="32"/>
        </w:rPr>
        <w:t>推送</w:t>
      </w:r>
      <w:r>
        <w:rPr>
          <w:rFonts w:hint="eastAsia" w:ascii="Times New Roman" w:hAnsi="Times New Roman" w:eastAsia="仿宋_GB2312" w:cs="Times New Roman"/>
          <w:bCs/>
          <w:sz w:val="32"/>
          <w:szCs w:val="32"/>
        </w:rPr>
        <w:t>力进行</w:t>
      </w:r>
      <w:r>
        <w:rPr>
          <w:rFonts w:ascii="Times New Roman" w:hAnsi="Times New Roman" w:eastAsia="仿宋_GB2312" w:cs="Times New Roman"/>
          <w:bCs/>
          <w:sz w:val="32"/>
          <w:szCs w:val="32"/>
        </w:rPr>
        <w:t>定量研究</w:t>
      </w:r>
      <w:r>
        <w:rPr>
          <w:rFonts w:hint="eastAsia" w:ascii="Times New Roman" w:hAnsi="Times New Roman" w:eastAsia="仿宋_GB2312" w:cs="Times New Roman"/>
          <w:bCs/>
          <w:sz w:val="32"/>
          <w:szCs w:val="32"/>
        </w:rPr>
        <w:t>；定性</w:t>
      </w:r>
      <w:r>
        <w:rPr>
          <w:rFonts w:ascii="Times New Roman" w:hAnsi="Times New Roman" w:eastAsia="仿宋_GB2312" w:cs="Times New Roman"/>
          <w:bCs/>
          <w:sz w:val="32"/>
          <w:szCs w:val="32"/>
        </w:rPr>
        <w:t>研究项目</w:t>
      </w:r>
      <w:r>
        <w:rPr>
          <w:rFonts w:hint="eastAsia" w:ascii="Times New Roman" w:hAnsi="Times New Roman" w:eastAsia="仿宋_GB2312" w:cs="Times New Roman"/>
          <w:bCs/>
          <w:sz w:val="32"/>
          <w:szCs w:val="32"/>
        </w:rPr>
        <w:t>宜建立合理</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评分</w:t>
      </w:r>
      <w:r>
        <w:rPr>
          <w:rFonts w:ascii="Times New Roman" w:hAnsi="Times New Roman" w:eastAsia="仿宋_GB2312" w:cs="Times New Roman"/>
          <w:bCs/>
          <w:sz w:val="32"/>
          <w:szCs w:val="32"/>
        </w:rPr>
        <w:t>标准。</w:t>
      </w:r>
    </w:p>
    <w:p w14:paraId="225E4722">
      <w:pPr>
        <w:pStyle w:val="4"/>
        <w:spacing w:line="520" w:lineRule="exact"/>
        <w:ind w:firstLine="640" w:firstLineChars="200"/>
        <w:jc w:val="left"/>
        <w:rPr>
          <w:rFonts w:ascii="楷体_GB2312" w:hAnsi="Times New Roman" w:eastAsia="楷体_GB2312" w:cs="Times New Roman"/>
          <w:sz w:val="32"/>
          <w:szCs w:val="32"/>
        </w:rPr>
      </w:pPr>
      <w:r>
        <w:rPr>
          <w:rFonts w:hint="eastAsia" w:ascii="Times New Roman" w:hAnsi="Times New Roman" w:eastAsia="仿宋_GB2312" w:cs="Times New Roman"/>
          <w:bCs/>
          <w:sz w:val="32"/>
          <w:szCs w:val="32"/>
        </w:rPr>
        <w:t>对于不属于《目录》描述范围的产品，申请人宜选择其他临床评价路径进行</w:t>
      </w:r>
      <w:r>
        <w:rPr>
          <w:rFonts w:ascii="Times New Roman" w:hAnsi="Times New Roman" w:eastAsia="仿宋_GB2312" w:cs="Times New Roman"/>
          <w:bCs/>
          <w:sz w:val="32"/>
          <w:szCs w:val="32"/>
        </w:rPr>
        <w:t>评价</w:t>
      </w:r>
      <w:r>
        <w:rPr>
          <w:rFonts w:hint="eastAsia" w:ascii="Times New Roman" w:hAnsi="Times New Roman" w:eastAsia="仿宋_GB2312" w:cs="Times New Roman"/>
          <w:bCs/>
          <w:sz w:val="32"/>
          <w:szCs w:val="32"/>
        </w:rPr>
        <w:t>。</w:t>
      </w:r>
    </w:p>
    <w:p w14:paraId="15DBA823">
      <w:pPr>
        <w:pStyle w:val="4"/>
        <w:spacing w:line="360" w:lineRule="auto"/>
        <w:ind w:firstLine="640" w:firstLineChars="200"/>
        <w:jc w:val="left"/>
        <w:rPr>
          <w:rFonts w:ascii="楷体" w:hAnsi="楷体" w:eastAsia="楷体" w:cs="Times New Roman"/>
          <w:color w:val="000000"/>
          <w:kern w:val="0"/>
          <w:sz w:val="32"/>
          <w:szCs w:val="32"/>
        </w:rPr>
      </w:pPr>
      <w:r>
        <w:rPr>
          <w:rFonts w:hint="eastAsia" w:ascii="楷体" w:hAnsi="楷体" w:eastAsia="楷体" w:cs="Times New Roman"/>
          <w:color w:val="000000"/>
          <w:kern w:val="0"/>
          <w:sz w:val="32"/>
          <w:szCs w:val="32"/>
        </w:rPr>
        <w:t>（五）产品风险分析资料</w:t>
      </w:r>
      <w:bookmarkEnd w:id="6"/>
      <w:bookmarkStart w:id="7" w:name="_Toc433187263"/>
      <w:bookmarkStart w:id="8" w:name="_Toc433187265"/>
    </w:p>
    <w:p w14:paraId="08C8A6A9">
      <w:pPr>
        <w:pStyle w:val="4"/>
        <w:spacing w:line="520" w:lineRule="exact"/>
        <w:ind w:firstLine="640" w:firstLineChars="200"/>
        <w:jc w:val="left"/>
        <w:rPr>
          <w:rFonts w:eastAsia="仿宋_GB2312"/>
          <w:bCs/>
          <w:sz w:val="32"/>
          <w:szCs w:val="32"/>
        </w:rPr>
      </w:pPr>
      <w:r>
        <w:rPr>
          <w:rFonts w:hint="eastAsia" w:ascii="Times New Roman" w:hAnsi="Times New Roman" w:eastAsia="仿宋_GB2312" w:cs="Times New Roman"/>
          <w:bCs/>
          <w:sz w:val="32"/>
          <w:szCs w:val="32"/>
        </w:rPr>
        <w:t>根据</w:t>
      </w:r>
      <w:r>
        <w:rPr>
          <w:rFonts w:ascii="Times New Roman" w:hAnsi="Times New Roman" w:eastAsia="仿宋_GB2312" w:cs="Times New Roman"/>
          <w:bCs/>
          <w:sz w:val="32"/>
          <w:szCs w:val="32"/>
        </w:rPr>
        <w:t>YY/T 0316</w:t>
      </w:r>
      <w:r>
        <w:rPr>
          <w:rFonts w:hint="eastAsia" w:ascii="Times New Roman" w:hAnsi="Times New Roman" w:eastAsia="仿宋_GB2312" w:cs="Times New Roman"/>
          <w:bCs/>
          <w:sz w:val="32"/>
          <w:szCs w:val="32"/>
        </w:rPr>
        <w:t>《医疗器械</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风险管理对医疗器械的应用》，对产品的原材料、生产、运输、贮存、使用等生命周期各个</w:t>
      </w:r>
      <w:r>
        <w:rPr>
          <w:rFonts w:ascii="Times New Roman" w:hAnsi="Times New Roman" w:eastAsia="仿宋_GB2312" w:cs="Times New Roman"/>
          <w:bCs/>
          <w:sz w:val="32"/>
          <w:szCs w:val="32"/>
        </w:rPr>
        <w:t>环节</w:t>
      </w:r>
      <w:r>
        <w:rPr>
          <w:rFonts w:hint="eastAsia" w:ascii="Times New Roman" w:hAnsi="Times New Roman" w:eastAsia="仿宋_GB2312" w:cs="Times New Roman"/>
          <w:bCs/>
          <w:sz w:val="32"/>
          <w:szCs w:val="32"/>
        </w:rPr>
        <w:t>实施</w:t>
      </w:r>
      <w:r>
        <w:rPr>
          <w:rFonts w:ascii="Times New Roman" w:hAnsi="Times New Roman" w:eastAsia="仿宋_GB2312" w:cs="Times New Roman"/>
          <w:bCs/>
          <w:sz w:val="32"/>
          <w:szCs w:val="32"/>
        </w:rPr>
        <w:t>风险管理</w:t>
      </w:r>
      <w:r>
        <w:rPr>
          <w:rFonts w:hint="eastAsia" w:ascii="Times New Roman" w:hAnsi="Times New Roman" w:eastAsia="仿宋_GB2312" w:cs="Times New Roman"/>
          <w:bCs/>
          <w:sz w:val="32"/>
          <w:szCs w:val="32"/>
        </w:rPr>
        <w:t>。从能量危害（若涉及）、生物学和</w:t>
      </w:r>
      <w:r>
        <w:rPr>
          <w:rFonts w:ascii="Times New Roman" w:hAnsi="Times New Roman" w:eastAsia="仿宋_GB2312" w:cs="Times New Roman"/>
          <w:bCs/>
          <w:sz w:val="32"/>
          <w:szCs w:val="32"/>
        </w:rPr>
        <w:t>化学</w:t>
      </w:r>
      <w:r>
        <w:rPr>
          <w:rFonts w:hint="eastAsia" w:ascii="Times New Roman" w:hAnsi="Times New Roman" w:eastAsia="仿宋_GB2312" w:cs="Times New Roman"/>
          <w:bCs/>
          <w:sz w:val="32"/>
          <w:szCs w:val="32"/>
        </w:rPr>
        <w:t>危害、环境危害、有关使用的危害、由功能失效</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老化引起的危害等方面进行风险分析，针对</w:t>
      </w:r>
      <w:r>
        <w:rPr>
          <w:rFonts w:ascii="Times New Roman" w:hAnsi="Times New Roman" w:eastAsia="仿宋_GB2312" w:cs="Times New Roman"/>
          <w:bCs/>
          <w:sz w:val="32"/>
          <w:szCs w:val="32"/>
        </w:rPr>
        <w:t>各项风险采取应对措施，</w:t>
      </w:r>
      <w:r>
        <w:rPr>
          <w:rFonts w:hint="eastAsia" w:ascii="Times New Roman" w:hAnsi="Times New Roman" w:eastAsia="仿宋_GB2312" w:cs="Times New Roman"/>
          <w:bCs/>
          <w:sz w:val="32"/>
          <w:szCs w:val="32"/>
        </w:rPr>
        <w:t>对</w:t>
      </w:r>
      <w:r>
        <w:rPr>
          <w:rFonts w:ascii="Times New Roman" w:hAnsi="Times New Roman" w:eastAsia="仿宋_GB2312" w:cs="Times New Roman"/>
          <w:bCs/>
          <w:sz w:val="32"/>
          <w:szCs w:val="32"/>
        </w:rPr>
        <w:t>风险控制措施的实施进行验证</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评</w:t>
      </w:r>
      <w:r>
        <w:rPr>
          <w:rFonts w:hint="eastAsia" w:ascii="Times New Roman" w:hAnsi="Times New Roman" w:eastAsia="仿宋_GB2312" w:cs="Times New Roman"/>
          <w:bCs/>
          <w:sz w:val="32"/>
          <w:szCs w:val="32"/>
        </w:rPr>
        <w:t>定</w:t>
      </w:r>
      <w:r>
        <w:rPr>
          <w:rFonts w:ascii="Times New Roman" w:hAnsi="Times New Roman" w:eastAsia="仿宋_GB2312" w:cs="Times New Roman"/>
          <w:bCs/>
          <w:sz w:val="32"/>
          <w:szCs w:val="32"/>
        </w:rPr>
        <w:t>剩余风险</w:t>
      </w:r>
      <w:r>
        <w:rPr>
          <w:rFonts w:hint="eastAsia" w:ascii="Times New Roman" w:hAnsi="Times New Roman" w:eastAsia="仿宋_GB2312" w:cs="Times New Roman"/>
          <w:bCs/>
          <w:sz w:val="32"/>
          <w:szCs w:val="32"/>
        </w:rPr>
        <w:t>的</w:t>
      </w:r>
      <w:r>
        <w:rPr>
          <w:rFonts w:ascii="Times New Roman" w:hAnsi="Times New Roman" w:eastAsia="仿宋_GB2312" w:cs="Times New Roman"/>
          <w:bCs/>
          <w:sz w:val="32"/>
          <w:szCs w:val="32"/>
        </w:rPr>
        <w:t>可接受性。</w:t>
      </w:r>
    </w:p>
    <w:p w14:paraId="14AE66B5">
      <w:pPr>
        <w:pStyle w:val="4"/>
        <w:spacing w:line="360" w:lineRule="auto"/>
        <w:ind w:firstLine="640" w:firstLineChars="200"/>
        <w:jc w:val="left"/>
        <w:rPr>
          <w:rFonts w:ascii="楷体" w:hAnsi="楷体" w:eastAsia="楷体" w:cs="Times New Roman"/>
          <w:color w:val="000000"/>
          <w:kern w:val="0"/>
          <w:sz w:val="32"/>
          <w:szCs w:val="32"/>
        </w:rPr>
      </w:pPr>
      <w:r>
        <w:rPr>
          <w:rFonts w:hint="eastAsia" w:ascii="楷体" w:hAnsi="楷体" w:eastAsia="楷体" w:cs="Times New Roman"/>
          <w:color w:val="000000"/>
          <w:kern w:val="0"/>
          <w:sz w:val="32"/>
          <w:szCs w:val="32"/>
        </w:rPr>
        <w:t>（六）产品技术要求</w:t>
      </w:r>
      <w:bookmarkEnd w:id="7"/>
    </w:p>
    <w:p w14:paraId="01A6E1E8">
      <w:pPr>
        <w:pStyle w:val="4"/>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产品</w:t>
      </w:r>
      <w:r>
        <w:rPr>
          <w:rFonts w:ascii="Times New Roman" w:hAnsi="Times New Roman" w:eastAsia="仿宋_GB2312" w:cs="Times New Roman"/>
          <w:bCs/>
          <w:sz w:val="32"/>
          <w:szCs w:val="32"/>
        </w:rPr>
        <w:t>技术要求</w:t>
      </w:r>
      <w:r>
        <w:rPr>
          <w:rFonts w:hint="eastAsia" w:ascii="Times New Roman" w:hAnsi="Times New Roman" w:eastAsia="仿宋_GB2312" w:cs="Times New Roman"/>
          <w:bCs/>
          <w:sz w:val="32"/>
          <w:szCs w:val="32"/>
        </w:rPr>
        <w:t>应</w:t>
      </w:r>
      <w:r>
        <w:rPr>
          <w:rFonts w:ascii="Times New Roman" w:hAnsi="Times New Roman" w:eastAsia="仿宋_GB2312" w:cs="Times New Roman"/>
          <w:bCs/>
          <w:sz w:val="32"/>
          <w:szCs w:val="32"/>
        </w:rPr>
        <w:t>参</w:t>
      </w:r>
      <w:r>
        <w:rPr>
          <w:rFonts w:hint="eastAsia" w:ascii="Times New Roman" w:hAnsi="Times New Roman" w:eastAsia="仿宋_GB2312" w:cs="Times New Roman"/>
          <w:bCs/>
          <w:sz w:val="32"/>
          <w:szCs w:val="32"/>
        </w:rPr>
        <w:t>考YY0285.1《一次性使用无菌血管内导管 第1部分 通用要求》等相关</w:t>
      </w:r>
      <w:r>
        <w:rPr>
          <w:rFonts w:ascii="Times New Roman" w:hAnsi="Times New Roman" w:eastAsia="仿宋_GB2312" w:cs="Times New Roman"/>
          <w:bCs/>
          <w:sz w:val="32"/>
          <w:szCs w:val="32"/>
        </w:rPr>
        <w:t>标准，</w:t>
      </w:r>
      <w:r>
        <w:rPr>
          <w:rFonts w:hint="eastAsia" w:ascii="Times New Roman" w:hAnsi="Times New Roman" w:eastAsia="仿宋_GB2312" w:cs="Times New Roman"/>
          <w:bCs/>
          <w:sz w:val="32"/>
          <w:szCs w:val="32"/>
        </w:rPr>
        <w:t>结合</w:t>
      </w:r>
      <w:r>
        <w:rPr>
          <w:rFonts w:ascii="Times New Roman" w:hAnsi="Times New Roman" w:eastAsia="仿宋_GB2312" w:cs="Times New Roman"/>
          <w:bCs/>
          <w:sz w:val="32"/>
          <w:szCs w:val="32"/>
        </w:rPr>
        <w:t>产品设计</w:t>
      </w:r>
      <w:r>
        <w:rPr>
          <w:rFonts w:hint="eastAsia" w:ascii="Times New Roman" w:hAnsi="Times New Roman" w:eastAsia="仿宋_GB2312" w:cs="Times New Roman"/>
          <w:bCs/>
          <w:sz w:val="32"/>
          <w:szCs w:val="32"/>
        </w:rPr>
        <w:t>特征及</w:t>
      </w:r>
      <w:r>
        <w:rPr>
          <w:rFonts w:ascii="Times New Roman" w:hAnsi="Times New Roman" w:eastAsia="仿宋_GB2312" w:cs="Times New Roman"/>
          <w:bCs/>
          <w:sz w:val="32"/>
          <w:szCs w:val="32"/>
        </w:rPr>
        <w:t>临床应用来制</w:t>
      </w:r>
      <w:r>
        <w:rPr>
          <w:rFonts w:hint="eastAsia" w:ascii="Times New Roman" w:hAnsi="Times New Roman" w:eastAsia="仿宋_GB2312" w:cs="Times New Roman"/>
          <w:bCs/>
          <w:sz w:val="32"/>
          <w:szCs w:val="32"/>
        </w:rPr>
        <w:t>订，同时还需符合《医疗器械产品技术要求编写指导原则》的要求。</w:t>
      </w:r>
    </w:p>
    <w:p w14:paraId="7A3544F0">
      <w:pPr>
        <w:pStyle w:val="4"/>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1. 产品</w:t>
      </w:r>
      <w:r>
        <w:rPr>
          <w:rFonts w:ascii="Times New Roman" w:hAnsi="Times New Roman" w:eastAsia="仿宋_GB2312" w:cs="Times New Roman"/>
          <w:bCs/>
          <w:sz w:val="32"/>
          <w:szCs w:val="32"/>
        </w:rPr>
        <w:t>型号</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规格及其划分说明</w:t>
      </w:r>
    </w:p>
    <w:p w14:paraId="68A2AC37">
      <w:pPr>
        <w:pStyle w:val="4"/>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明确产品</w:t>
      </w:r>
      <w:r>
        <w:rPr>
          <w:rFonts w:ascii="Times New Roman" w:hAnsi="Times New Roman" w:eastAsia="仿宋_GB2312" w:cs="Times New Roman"/>
          <w:bCs/>
          <w:sz w:val="32"/>
          <w:szCs w:val="32"/>
        </w:rPr>
        <w:t>型号</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规格</w:t>
      </w:r>
      <w:r>
        <w:rPr>
          <w:rFonts w:hint="eastAsia" w:ascii="Times New Roman" w:hAnsi="Times New Roman" w:eastAsia="仿宋_GB2312" w:cs="Times New Roman"/>
          <w:bCs/>
          <w:sz w:val="32"/>
          <w:szCs w:val="32"/>
        </w:rPr>
        <w:t>，阐明各</w:t>
      </w:r>
      <w:r>
        <w:rPr>
          <w:rFonts w:ascii="Times New Roman" w:hAnsi="Times New Roman" w:eastAsia="仿宋_GB2312" w:cs="Times New Roman"/>
          <w:bCs/>
          <w:sz w:val="32"/>
          <w:szCs w:val="32"/>
        </w:rPr>
        <w:t>型号</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规格</w:t>
      </w:r>
      <w:r>
        <w:rPr>
          <w:rFonts w:hint="eastAsia" w:ascii="Times New Roman" w:hAnsi="Times New Roman" w:eastAsia="仿宋_GB2312" w:cs="Times New Roman"/>
          <w:bCs/>
          <w:sz w:val="32"/>
          <w:szCs w:val="32"/>
        </w:rPr>
        <w:t>间</w:t>
      </w:r>
      <w:r>
        <w:rPr>
          <w:rFonts w:ascii="Times New Roman" w:hAnsi="Times New Roman" w:eastAsia="仿宋_GB2312" w:cs="Times New Roman"/>
          <w:bCs/>
          <w:sz w:val="32"/>
          <w:szCs w:val="32"/>
        </w:rPr>
        <w:t>的区别及</w:t>
      </w:r>
      <w:r>
        <w:rPr>
          <w:rFonts w:hint="eastAsia" w:ascii="Times New Roman" w:hAnsi="Times New Roman" w:eastAsia="仿宋_GB2312" w:cs="Times New Roman"/>
          <w:bCs/>
          <w:sz w:val="32"/>
          <w:szCs w:val="32"/>
        </w:rPr>
        <w:t>划分说明，</w:t>
      </w:r>
      <w:r>
        <w:rPr>
          <w:rFonts w:ascii="Times New Roman" w:hAnsi="Times New Roman" w:eastAsia="仿宋_GB2312" w:cs="Times New Roman"/>
          <w:bCs/>
          <w:sz w:val="32"/>
          <w:szCs w:val="32"/>
        </w:rPr>
        <w:t>型号</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规格</w:t>
      </w:r>
      <w:r>
        <w:rPr>
          <w:rFonts w:hint="eastAsia" w:ascii="Times New Roman" w:hAnsi="Times New Roman" w:eastAsia="仿宋_GB2312" w:cs="Times New Roman"/>
          <w:bCs/>
          <w:sz w:val="32"/>
          <w:szCs w:val="32"/>
        </w:rPr>
        <w:t>的</w:t>
      </w:r>
      <w:r>
        <w:rPr>
          <w:rFonts w:ascii="Times New Roman" w:hAnsi="Times New Roman" w:eastAsia="仿宋_GB2312" w:cs="Times New Roman"/>
          <w:bCs/>
          <w:sz w:val="32"/>
          <w:szCs w:val="32"/>
        </w:rPr>
        <w:t>表述应在</w:t>
      </w:r>
      <w:r>
        <w:rPr>
          <w:rFonts w:hint="eastAsia" w:ascii="Times New Roman" w:hAnsi="Times New Roman" w:eastAsia="仿宋_GB2312" w:cs="Times New Roman"/>
          <w:bCs/>
          <w:sz w:val="32"/>
          <w:szCs w:val="32"/>
        </w:rPr>
        <w:t>全文</w:t>
      </w:r>
      <w:r>
        <w:rPr>
          <w:rFonts w:ascii="Times New Roman" w:hAnsi="Times New Roman" w:eastAsia="仿宋_GB2312" w:cs="Times New Roman"/>
          <w:bCs/>
          <w:sz w:val="32"/>
          <w:szCs w:val="32"/>
        </w:rPr>
        <w:t>保持一致</w:t>
      </w:r>
      <w:r>
        <w:rPr>
          <w:rFonts w:hint="eastAsia" w:ascii="Times New Roman" w:hAnsi="Times New Roman" w:eastAsia="仿宋_GB2312" w:cs="Times New Roman"/>
          <w:bCs/>
          <w:sz w:val="32"/>
          <w:szCs w:val="32"/>
        </w:rPr>
        <w:t xml:space="preserve">。 </w:t>
      </w:r>
    </w:p>
    <w:p w14:paraId="43B5971E">
      <w:pPr>
        <w:pStyle w:val="4"/>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2. 性能指标</w:t>
      </w:r>
    </w:p>
    <w:p w14:paraId="28732B46">
      <w:pPr>
        <w:pStyle w:val="4"/>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sz w:val="32"/>
          <w:szCs w:val="32"/>
        </w:rPr>
        <w:t>性能</w:t>
      </w:r>
      <w:r>
        <w:rPr>
          <w:rFonts w:ascii="Times New Roman" w:hAnsi="Times New Roman" w:eastAsia="仿宋_GB2312"/>
          <w:sz w:val="32"/>
          <w:szCs w:val="32"/>
        </w:rPr>
        <w:t>指标应不低于</w:t>
      </w:r>
      <w:r>
        <w:rPr>
          <w:rFonts w:hint="eastAsia" w:ascii="Times New Roman" w:hAnsi="Times New Roman" w:eastAsia="仿宋_GB2312"/>
          <w:sz w:val="32"/>
          <w:szCs w:val="32"/>
        </w:rPr>
        <w:t>产品</w:t>
      </w:r>
      <w:r>
        <w:rPr>
          <w:rFonts w:ascii="Times New Roman" w:hAnsi="Times New Roman" w:eastAsia="仿宋_GB2312"/>
          <w:sz w:val="32"/>
          <w:szCs w:val="32"/>
        </w:rPr>
        <w:t>适用的</w:t>
      </w:r>
      <w:r>
        <w:rPr>
          <w:rFonts w:hint="eastAsia" w:ascii="Times New Roman" w:hAnsi="Times New Roman" w:eastAsia="仿宋_GB2312"/>
          <w:sz w:val="32"/>
          <w:szCs w:val="32"/>
        </w:rPr>
        <w:t>强制性</w:t>
      </w:r>
      <w:r>
        <w:rPr>
          <w:rFonts w:ascii="Times New Roman" w:hAnsi="Times New Roman" w:eastAsia="仿宋_GB2312"/>
          <w:sz w:val="32"/>
          <w:szCs w:val="32"/>
        </w:rPr>
        <w:t>国家标准</w:t>
      </w:r>
      <w:r>
        <w:rPr>
          <w:rFonts w:hint="eastAsia" w:ascii="Times New Roman" w:hAnsi="Times New Roman" w:eastAsia="仿宋_GB2312"/>
          <w:sz w:val="32"/>
          <w:szCs w:val="32"/>
        </w:rPr>
        <w:t>/</w:t>
      </w:r>
      <w:r>
        <w:rPr>
          <w:rFonts w:ascii="Times New Roman" w:hAnsi="Times New Roman" w:eastAsia="仿宋_GB2312"/>
          <w:sz w:val="32"/>
          <w:szCs w:val="32"/>
        </w:rPr>
        <w:t>行业标准</w:t>
      </w:r>
      <w:r>
        <w:rPr>
          <w:rFonts w:hint="eastAsia" w:ascii="Times New Roman" w:hAnsi="Times New Roman" w:eastAsia="仿宋_GB2312"/>
          <w:sz w:val="32"/>
          <w:szCs w:val="32"/>
        </w:rPr>
        <w:t>。</w:t>
      </w:r>
      <w:r>
        <w:rPr>
          <w:rFonts w:hint="eastAsia" w:ascii="Times New Roman" w:hAnsi="Times New Roman" w:eastAsia="仿宋_GB2312" w:cs="Times New Roman"/>
          <w:bCs/>
          <w:sz w:val="32"/>
          <w:szCs w:val="32"/>
        </w:rPr>
        <w:t>产品性能</w:t>
      </w:r>
      <w:r>
        <w:rPr>
          <w:rFonts w:ascii="Times New Roman" w:hAnsi="Times New Roman" w:eastAsia="仿宋_GB2312" w:cs="Times New Roman"/>
          <w:bCs/>
          <w:sz w:val="32"/>
          <w:szCs w:val="32"/>
        </w:rPr>
        <w:t>指标</w:t>
      </w:r>
      <w:r>
        <w:rPr>
          <w:rFonts w:hint="eastAsia" w:ascii="Times New Roman" w:hAnsi="Times New Roman" w:eastAsia="仿宋_GB2312" w:cs="Times New Roman"/>
          <w:bCs/>
          <w:sz w:val="32"/>
          <w:szCs w:val="32"/>
        </w:rPr>
        <w:t>可参考表1制定，</w:t>
      </w:r>
      <w:r>
        <w:rPr>
          <w:rFonts w:ascii="Times New Roman" w:hAnsi="Times New Roman" w:eastAsia="仿宋_GB2312" w:cs="Times New Roman"/>
          <w:bCs/>
          <w:sz w:val="32"/>
          <w:szCs w:val="32"/>
        </w:rPr>
        <w:t>如有不适用条款，申请人应在申报资料中说明理由。</w:t>
      </w:r>
      <w:r>
        <w:rPr>
          <w:rFonts w:hint="eastAsia" w:ascii="Times New Roman" w:hAnsi="Times New Roman" w:eastAsia="仿宋_GB2312" w:cs="Times New Roman"/>
          <w:bCs/>
          <w:sz w:val="32"/>
          <w:szCs w:val="32"/>
        </w:rPr>
        <w:t>如</w:t>
      </w:r>
      <w:r>
        <w:rPr>
          <w:rFonts w:ascii="Times New Roman" w:hAnsi="Times New Roman" w:eastAsia="仿宋_GB2312" w:cs="Times New Roman"/>
          <w:bCs/>
          <w:sz w:val="32"/>
          <w:szCs w:val="32"/>
        </w:rPr>
        <w:t>产品</w:t>
      </w:r>
      <w:r>
        <w:rPr>
          <w:rFonts w:hint="eastAsia" w:ascii="Times New Roman" w:hAnsi="Times New Roman" w:eastAsia="仿宋_GB2312" w:cs="Times New Roman"/>
          <w:bCs/>
          <w:sz w:val="32"/>
          <w:szCs w:val="32"/>
        </w:rPr>
        <w:t>有特定设计，</w:t>
      </w:r>
      <w:r>
        <w:rPr>
          <w:rFonts w:ascii="Times New Roman" w:hAnsi="Times New Roman" w:eastAsia="仿宋_GB2312" w:cs="Times New Roman"/>
          <w:bCs/>
          <w:sz w:val="32"/>
          <w:szCs w:val="32"/>
        </w:rPr>
        <w:t>申请人</w:t>
      </w:r>
      <w:r>
        <w:rPr>
          <w:rFonts w:hint="eastAsia" w:ascii="Times New Roman" w:hAnsi="Times New Roman" w:eastAsia="仿宋_GB2312" w:cs="Times New Roman"/>
          <w:bCs/>
          <w:sz w:val="32"/>
          <w:szCs w:val="32"/>
        </w:rPr>
        <w:t>还应</w:t>
      </w:r>
      <w:r>
        <w:rPr>
          <w:rFonts w:ascii="Times New Roman" w:hAnsi="Times New Roman" w:eastAsia="仿宋_GB2312" w:cs="Times New Roman"/>
          <w:bCs/>
          <w:sz w:val="32"/>
          <w:szCs w:val="32"/>
        </w:rPr>
        <w:t>根据</w:t>
      </w:r>
      <w:r>
        <w:rPr>
          <w:rFonts w:hint="eastAsia" w:ascii="Times New Roman" w:hAnsi="Times New Roman" w:eastAsia="仿宋_GB2312" w:cs="Times New Roman"/>
          <w:bCs/>
          <w:sz w:val="32"/>
          <w:szCs w:val="32"/>
        </w:rPr>
        <w:t>产品设计特征设</w:t>
      </w:r>
      <w:r>
        <w:rPr>
          <w:rFonts w:ascii="Times New Roman" w:hAnsi="Times New Roman" w:eastAsia="仿宋_GB2312" w:cs="Times New Roman"/>
          <w:bCs/>
          <w:sz w:val="32"/>
          <w:szCs w:val="32"/>
        </w:rPr>
        <w:t>定</w:t>
      </w:r>
      <w:r>
        <w:rPr>
          <w:rFonts w:hint="eastAsia" w:ascii="Times New Roman" w:hAnsi="Times New Roman" w:eastAsia="仿宋_GB2312" w:cs="Times New Roman"/>
          <w:bCs/>
          <w:sz w:val="32"/>
          <w:szCs w:val="32"/>
        </w:rPr>
        <w:t>相应的性能指标，并将其列入产品技术要求。若有</w:t>
      </w:r>
      <w:r>
        <w:rPr>
          <w:rFonts w:ascii="Times New Roman" w:hAnsi="Times New Roman" w:eastAsia="仿宋_GB2312" w:cs="Times New Roman"/>
          <w:bCs/>
          <w:sz w:val="32"/>
          <w:szCs w:val="32"/>
        </w:rPr>
        <w:t>随微导管</w:t>
      </w:r>
      <w:r>
        <w:rPr>
          <w:rFonts w:hint="eastAsia" w:ascii="Times New Roman" w:hAnsi="Times New Roman" w:eastAsia="仿宋_GB2312" w:cs="Times New Roman"/>
          <w:bCs/>
          <w:sz w:val="32"/>
          <w:szCs w:val="32"/>
        </w:rPr>
        <w:t>一起</w:t>
      </w:r>
      <w:r>
        <w:rPr>
          <w:rFonts w:ascii="Times New Roman" w:hAnsi="Times New Roman" w:eastAsia="仿宋_GB2312" w:cs="Times New Roman"/>
          <w:bCs/>
          <w:sz w:val="32"/>
          <w:szCs w:val="32"/>
        </w:rPr>
        <w:t>提供的</w:t>
      </w:r>
      <w:r>
        <w:rPr>
          <w:rFonts w:hint="eastAsia" w:ascii="Times New Roman" w:hAnsi="Times New Roman" w:eastAsia="仿宋_GB2312" w:cs="Times New Roman"/>
          <w:bCs/>
          <w:sz w:val="32"/>
          <w:szCs w:val="32"/>
        </w:rPr>
        <w:t>配件，无论</w:t>
      </w:r>
      <w:r>
        <w:rPr>
          <w:rFonts w:ascii="Times New Roman" w:hAnsi="Times New Roman" w:eastAsia="仿宋_GB2312" w:cs="Times New Roman"/>
          <w:bCs/>
          <w:sz w:val="32"/>
          <w:szCs w:val="32"/>
        </w:rPr>
        <w:t>配件</w:t>
      </w:r>
      <w:r>
        <w:rPr>
          <w:rFonts w:hint="eastAsia" w:ascii="Times New Roman" w:hAnsi="Times New Roman" w:eastAsia="仿宋_GB2312" w:cs="Times New Roman"/>
          <w:bCs/>
          <w:sz w:val="32"/>
          <w:szCs w:val="32"/>
        </w:rPr>
        <w:t>是否已取得医疗</w:t>
      </w:r>
      <w:r>
        <w:rPr>
          <w:rFonts w:ascii="Times New Roman" w:hAnsi="Times New Roman" w:eastAsia="仿宋_GB2312" w:cs="Times New Roman"/>
          <w:bCs/>
          <w:sz w:val="32"/>
          <w:szCs w:val="32"/>
        </w:rPr>
        <w:t>器械注册证，</w:t>
      </w:r>
      <w:r>
        <w:rPr>
          <w:rFonts w:hint="eastAsia" w:ascii="Times New Roman" w:hAnsi="Times New Roman" w:eastAsia="仿宋_GB2312" w:cs="Times New Roman"/>
          <w:bCs/>
          <w:sz w:val="32"/>
          <w:szCs w:val="32"/>
        </w:rPr>
        <w:t>均</w:t>
      </w:r>
      <w:r>
        <w:rPr>
          <w:rFonts w:ascii="Times New Roman" w:hAnsi="Times New Roman" w:eastAsia="仿宋_GB2312" w:cs="Times New Roman"/>
          <w:bCs/>
          <w:sz w:val="32"/>
          <w:szCs w:val="32"/>
        </w:rPr>
        <w:t>需将配件的性能指标</w:t>
      </w:r>
      <w:r>
        <w:rPr>
          <w:rFonts w:hint="eastAsia" w:ascii="Times New Roman" w:hAnsi="Times New Roman" w:eastAsia="仿宋_GB2312" w:cs="Times New Roman"/>
          <w:bCs/>
          <w:sz w:val="32"/>
          <w:szCs w:val="32"/>
        </w:rPr>
        <w:t>制定</w:t>
      </w:r>
      <w:r>
        <w:rPr>
          <w:rFonts w:ascii="Times New Roman" w:hAnsi="Times New Roman" w:eastAsia="仿宋_GB2312" w:cs="Times New Roman"/>
          <w:bCs/>
          <w:sz w:val="32"/>
          <w:szCs w:val="32"/>
        </w:rPr>
        <w:t>在产品技术要求中。</w:t>
      </w:r>
    </w:p>
    <w:p w14:paraId="654FD9F2">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检验方法</w:t>
      </w:r>
    </w:p>
    <w:p w14:paraId="4368F7A0">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产品的检验方法</w:t>
      </w:r>
      <w:r>
        <w:rPr>
          <w:rFonts w:hint="eastAsia" w:ascii="Times New Roman" w:hAnsi="Times New Roman" w:eastAsia="仿宋_GB2312" w:cs="Times New Roman"/>
          <w:bCs/>
          <w:sz w:val="32"/>
          <w:szCs w:val="32"/>
        </w:rPr>
        <w:t>应</w:t>
      </w:r>
      <w:r>
        <w:rPr>
          <w:rFonts w:ascii="Times New Roman" w:hAnsi="Times New Roman" w:eastAsia="仿宋_GB2312" w:cs="Times New Roman"/>
          <w:bCs/>
          <w:sz w:val="32"/>
          <w:szCs w:val="32"/>
        </w:rPr>
        <w:t>根据技术性能指标设定，</w:t>
      </w:r>
      <w:r>
        <w:rPr>
          <w:rFonts w:hint="eastAsia" w:ascii="Times New Roman" w:hAnsi="Times New Roman" w:eastAsia="仿宋_GB2312"/>
          <w:sz w:val="32"/>
          <w:szCs w:val="32"/>
        </w:rPr>
        <w:t>检验方法宜优先采用</w:t>
      </w:r>
      <w:r>
        <w:rPr>
          <w:rFonts w:ascii="Times New Roman" w:hAnsi="Times New Roman" w:eastAsia="仿宋_GB2312"/>
          <w:sz w:val="32"/>
          <w:szCs w:val="32"/>
        </w:rPr>
        <w:t>国家标准</w:t>
      </w:r>
      <w:r>
        <w:rPr>
          <w:rFonts w:hint="eastAsia" w:ascii="Times New Roman" w:hAnsi="Times New Roman" w:eastAsia="仿宋_GB2312"/>
          <w:sz w:val="32"/>
          <w:szCs w:val="32"/>
        </w:rPr>
        <w:t>/</w:t>
      </w:r>
      <w:r>
        <w:rPr>
          <w:rFonts w:ascii="Times New Roman" w:hAnsi="Times New Roman" w:eastAsia="仿宋_GB2312"/>
          <w:sz w:val="32"/>
          <w:szCs w:val="32"/>
        </w:rPr>
        <w:t>行业标准</w:t>
      </w:r>
      <w:r>
        <w:rPr>
          <w:rFonts w:hint="eastAsia" w:ascii="Times New Roman" w:hAnsi="Times New Roman" w:eastAsia="仿宋_GB2312"/>
          <w:sz w:val="32"/>
          <w:szCs w:val="32"/>
        </w:rPr>
        <w:t>中的方法。</w:t>
      </w:r>
      <w:r>
        <w:rPr>
          <w:rFonts w:ascii="Times New Roman" w:hAnsi="Times New Roman" w:eastAsia="仿宋_GB2312"/>
          <w:sz w:val="32"/>
          <w:szCs w:val="32"/>
        </w:rPr>
        <w:t>对于相关国家标准</w:t>
      </w:r>
      <w:r>
        <w:rPr>
          <w:rFonts w:hint="eastAsia" w:ascii="Times New Roman" w:hAnsi="Times New Roman" w:eastAsia="仿宋_GB2312"/>
          <w:sz w:val="32"/>
          <w:szCs w:val="32"/>
        </w:rPr>
        <w:t>/</w:t>
      </w:r>
      <w:r>
        <w:rPr>
          <w:rFonts w:ascii="Times New Roman" w:hAnsi="Times New Roman" w:eastAsia="仿宋_GB2312"/>
          <w:sz w:val="32"/>
          <w:szCs w:val="32"/>
        </w:rPr>
        <w:t>行业标准中不适用的条款，应说明不适用的原因。</w:t>
      </w:r>
      <w:r>
        <w:rPr>
          <w:rFonts w:hint="eastAsia" w:ascii="Times New Roman" w:hAnsi="Times New Roman" w:eastAsia="仿宋_GB2312"/>
          <w:sz w:val="32"/>
          <w:szCs w:val="32"/>
        </w:rPr>
        <w:t>所有</w:t>
      </w:r>
      <w:r>
        <w:rPr>
          <w:rFonts w:ascii="Times New Roman" w:hAnsi="Times New Roman" w:eastAsia="仿宋_GB2312"/>
          <w:sz w:val="32"/>
          <w:szCs w:val="32"/>
        </w:rPr>
        <w:t>引用的标准</w:t>
      </w:r>
      <w:r>
        <w:rPr>
          <w:rFonts w:hint="eastAsia" w:ascii="Times New Roman" w:hAnsi="Times New Roman" w:eastAsia="仿宋_GB2312"/>
          <w:sz w:val="32"/>
          <w:szCs w:val="32"/>
        </w:rPr>
        <w:t>注明</w:t>
      </w:r>
      <w:r>
        <w:rPr>
          <w:rFonts w:ascii="Times New Roman" w:hAnsi="Times New Roman" w:eastAsia="仿宋_GB2312"/>
          <w:sz w:val="32"/>
          <w:szCs w:val="32"/>
        </w:rPr>
        <w:t>其</w:t>
      </w:r>
      <w:r>
        <w:rPr>
          <w:rFonts w:hint="eastAsia" w:ascii="Times New Roman" w:hAnsi="Times New Roman" w:eastAsia="仿宋_GB2312"/>
          <w:sz w:val="32"/>
          <w:szCs w:val="32"/>
        </w:rPr>
        <w:t>编号</w:t>
      </w:r>
      <w:r>
        <w:rPr>
          <w:rFonts w:ascii="Times New Roman" w:hAnsi="Times New Roman" w:eastAsia="仿宋_GB2312"/>
          <w:sz w:val="32"/>
          <w:szCs w:val="32"/>
        </w:rPr>
        <w:t>、年号或版本号。</w:t>
      </w:r>
      <w:r>
        <w:rPr>
          <w:rFonts w:hint="eastAsia" w:ascii="Times New Roman" w:hAnsi="Times New Roman" w:eastAsia="仿宋_GB2312" w:cs="Times New Roman"/>
          <w:bCs/>
          <w:sz w:val="32"/>
          <w:szCs w:val="32"/>
        </w:rPr>
        <w:t>自建检验方法</w:t>
      </w:r>
      <w:r>
        <w:rPr>
          <w:rFonts w:ascii="Times New Roman" w:hAnsi="Times New Roman" w:eastAsia="仿宋_GB2312" w:cs="Times New Roman"/>
          <w:bCs/>
          <w:sz w:val="32"/>
          <w:szCs w:val="32"/>
        </w:rPr>
        <w:t>必要时可以附录形式</w:t>
      </w:r>
      <w:r>
        <w:rPr>
          <w:rFonts w:hint="eastAsia" w:ascii="Times New Roman" w:hAnsi="Times New Roman" w:eastAsia="仿宋_GB2312" w:cs="Times New Roman"/>
          <w:bCs/>
          <w:sz w:val="32"/>
          <w:szCs w:val="32"/>
        </w:rPr>
        <w:t>采用</w:t>
      </w:r>
      <w:r>
        <w:rPr>
          <w:rFonts w:ascii="Times New Roman" w:hAnsi="Times New Roman" w:eastAsia="仿宋_GB2312" w:cs="Times New Roman"/>
          <w:bCs/>
          <w:sz w:val="32"/>
          <w:szCs w:val="32"/>
        </w:rPr>
        <w:t>相应图示进行说明。</w:t>
      </w:r>
      <w:bookmarkStart w:id="9" w:name="_Toc433187264"/>
    </w:p>
    <w:p w14:paraId="2CF07F61">
      <w:pPr>
        <w:pStyle w:val="4"/>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4.附录</w:t>
      </w:r>
    </w:p>
    <w:p w14:paraId="2153864E">
      <w:pPr>
        <w:pStyle w:val="4"/>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建议申请人以资料性附录形式提供产品的结构图示及制造材料信息。</w:t>
      </w:r>
    </w:p>
    <w:p w14:paraId="1C541E8D">
      <w:pPr>
        <w:pStyle w:val="4"/>
        <w:spacing w:line="360" w:lineRule="auto"/>
        <w:ind w:firstLine="640" w:firstLineChars="200"/>
        <w:jc w:val="left"/>
        <w:rPr>
          <w:rFonts w:ascii="楷体" w:hAnsi="楷体" w:eastAsia="楷体" w:cs="Times New Roman"/>
          <w:color w:val="000000"/>
          <w:kern w:val="0"/>
          <w:sz w:val="32"/>
          <w:szCs w:val="32"/>
        </w:rPr>
      </w:pPr>
      <w:r>
        <w:rPr>
          <w:rFonts w:hint="eastAsia" w:ascii="楷体" w:hAnsi="楷体" w:eastAsia="楷体" w:cs="Times New Roman"/>
          <w:color w:val="000000"/>
          <w:kern w:val="0"/>
          <w:sz w:val="32"/>
          <w:szCs w:val="32"/>
        </w:rPr>
        <w:t>（七）产品检验报告</w:t>
      </w:r>
      <w:bookmarkEnd w:id="9"/>
    </w:p>
    <w:p w14:paraId="39EF6A9A">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提供</w:t>
      </w:r>
      <w:r>
        <w:rPr>
          <w:rFonts w:hint="eastAsia" w:ascii="Times New Roman" w:hAnsi="Times New Roman" w:eastAsia="仿宋_GB2312" w:cs="Times New Roman"/>
          <w:bCs/>
          <w:sz w:val="32"/>
          <w:szCs w:val="32"/>
        </w:rPr>
        <w:t>检验</w:t>
      </w:r>
      <w:r>
        <w:rPr>
          <w:rFonts w:ascii="Times New Roman" w:hAnsi="Times New Roman" w:eastAsia="仿宋_GB2312" w:cs="Times New Roman"/>
          <w:bCs/>
          <w:sz w:val="32"/>
          <w:szCs w:val="32"/>
        </w:rPr>
        <w:t>样品</w:t>
      </w:r>
      <w:r>
        <w:rPr>
          <w:rFonts w:hint="eastAsia" w:ascii="Times New Roman" w:hAnsi="Times New Roman" w:eastAsia="仿宋_GB2312" w:cs="Times New Roman"/>
          <w:bCs/>
          <w:sz w:val="32"/>
          <w:szCs w:val="32"/>
        </w:rPr>
        <w:t>型号/</w:t>
      </w:r>
      <w:r>
        <w:rPr>
          <w:rFonts w:ascii="Times New Roman" w:hAnsi="Times New Roman" w:eastAsia="仿宋_GB2312" w:cs="Times New Roman"/>
          <w:bCs/>
          <w:sz w:val="32"/>
          <w:szCs w:val="32"/>
        </w:rPr>
        <w:t>规格的选择依据</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所检验</w:t>
      </w:r>
      <w:r>
        <w:rPr>
          <w:rFonts w:hint="eastAsia" w:ascii="Times New Roman" w:hAnsi="Times New Roman" w:eastAsia="仿宋_GB2312" w:cs="Times New Roman"/>
          <w:bCs/>
          <w:sz w:val="32"/>
          <w:szCs w:val="32"/>
        </w:rPr>
        <w:t>型号/规格应</w:t>
      </w:r>
      <w:r>
        <w:rPr>
          <w:rFonts w:ascii="Times New Roman" w:hAnsi="Times New Roman" w:eastAsia="仿宋_GB2312" w:cs="Times New Roman"/>
          <w:bCs/>
          <w:sz w:val="32"/>
          <w:szCs w:val="32"/>
        </w:rPr>
        <w:t>是能够代表本注册单元内其他</w:t>
      </w:r>
      <w:r>
        <w:rPr>
          <w:rFonts w:hint="eastAsia" w:ascii="Times New Roman" w:hAnsi="Times New Roman" w:eastAsia="仿宋_GB2312" w:cs="Times New Roman"/>
          <w:bCs/>
          <w:sz w:val="32"/>
          <w:szCs w:val="32"/>
        </w:rPr>
        <w:t>型号/规格</w:t>
      </w:r>
      <w:r>
        <w:rPr>
          <w:rFonts w:ascii="Times New Roman" w:hAnsi="Times New Roman" w:eastAsia="仿宋_GB2312" w:cs="Times New Roman"/>
          <w:bCs/>
          <w:sz w:val="32"/>
          <w:szCs w:val="32"/>
        </w:rPr>
        <w:t>的典型产品。若一个型号</w:t>
      </w:r>
      <w:r>
        <w:rPr>
          <w:rFonts w:hint="eastAsia" w:ascii="Times New Roman" w:hAnsi="Times New Roman" w:eastAsia="仿宋_GB2312" w:cs="Times New Roman"/>
          <w:bCs/>
          <w:sz w:val="32"/>
          <w:szCs w:val="32"/>
        </w:rPr>
        <w:t>/规格</w:t>
      </w:r>
      <w:r>
        <w:rPr>
          <w:rFonts w:ascii="Times New Roman" w:hAnsi="Times New Roman" w:eastAsia="仿宋_GB2312" w:cs="Times New Roman"/>
          <w:bCs/>
          <w:sz w:val="32"/>
          <w:szCs w:val="32"/>
        </w:rPr>
        <w:t>不能覆盖，除选择典型型号</w:t>
      </w:r>
      <w:r>
        <w:rPr>
          <w:rFonts w:hint="eastAsia" w:ascii="Times New Roman" w:hAnsi="Times New Roman" w:eastAsia="仿宋_GB2312" w:cs="Times New Roman"/>
          <w:bCs/>
          <w:sz w:val="32"/>
          <w:szCs w:val="32"/>
        </w:rPr>
        <w:t>/规格</w:t>
      </w:r>
      <w:r>
        <w:rPr>
          <w:rFonts w:ascii="Times New Roman" w:hAnsi="Times New Roman" w:eastAsia="仿宋_GB2312" w:cs="Times New Roman"/>
          <w:bCs/>
          <w:sz w:val="32"/>
          <w:szCs w:val="32"/>
        </w:rPr>
        <w:t>进行全性能检验外，还</w:t>
      </w:r>
      <w:r>
        <w:rPr>
          <w:rFonts w:hint="eastAsia" w:ascii="Times New Roman" w:hAnsi="Times New Roman" w:eastAsia="仿宋_GB2312" w:cs="Times New Roman"/>
          <w:bCs/>
          <w:sz w:val="32"/>
          <w:szCs w:val="32"/>
        </w:rPr>
        <w:t>应</w:t>
      </w:r>
      <w:r>
        <w:rPr>
          <w:rFonts w:ascii="Times New Roman" w:hAnsi="Times New Roman" w:eastAsia="仿宋_GB2312" w:cs="Times New Roman"/>
          <w:bCs/>
          <w:sz w:val="32"/>
          <w:szCs w:val="32"/>
        </w:rPr>
        <w:t>选择其他型号</w:t>
      </w:r>
      <w:r>
        <w:rPr>
          <w:rFonts w:hint="eastAsia" w:ascii="Times New Roman" w:hAnsi="Times New Roman" w:eastAsia="仿宋_GB2312" w:cs="Times New Roman"/>
          <w:bCs/>
          <w:sz w:val="32"/>
          <w:szCs w:val="32"/>
        </w:rPr>
        <w:t>/规格产品</w:t>
      </w:r>
      <w:r>
        <w:rPr>
          <w:rFonts w:ascii="Times New Roman" w:hAnsi="Times New Roman" w:eastAsia="仿宋_GB2312" w:cs="Times New Roman"/>
          <w:bCs/>
          <w:sz w:val="32"/>
          <w:szCs w:val="32"/>
        </w:rPr>
        <w:t>进行</w:t>
      </w:r>
      <w:r>
        <w:rPr>
          <w:rFonts w:hint="eastAsia" w:ascii="Times New Roman" w:hAnsi="Times New Roman" w:eastAsia="仿宋_GB2312" w:cs="Times New Roman"/>
          <w:bCs/>
          <w:sz w:val="32"/>
          <w:szCs w:val="32"/>
        </w:rPr>
        <w:t>差异性</w:t>
      </w:r>
      <w:r>
        <w:rPr>
          <w:rFonts w:ascii="Times New Roman" w:hAnsi="Times New Roman" w:eastAsia="仿宋_GB2312" w:cs="Times New Roman"/>
          <w:bCs/>
          <w:sz w:val="32"/>
          <w:szCs w:val="32"/>
        </w:rPr>
        <w:t>检验。</w:t>
      </w:r>
      <w:r>
        <w:rPr>
          <w:rFonts w:hint="eastAsia" w:ascii="Times New Roman" w:hAnsi="Times New Roman" w:eastAsia="仿宋_GB2312" w:cs="Times New Roman"/>
          <w:bCs/>
          <w:sz w:val="32"/>
          <w:szCs w:val="32"/>
        </w:rPr>
        <w:t>注意</w:t>
      </w:r>
      <w:r>
        <w:rPr>
          <w:rFonts w:ascii="Times New Roman" w:hAnsi="Times New Roman" w:eastAsia="仿宋_GB2312" w:cs="Times New Roman"/>
          <w:bCs/>
          <w:sz w:val="32"/>
          <w:szCs w:val="32"/>
        </w:rPr>
        <w:t>典型型号</w:t>
      </w:r>
      <w:r>
        <w:rPr>
          <w:rFonts w:hint="eastAsia" w:ascii="Times New Roman" w:hAnsi="Times New Roman" w:eastAsia="仿宋_GB2312" w:cs="Times New Roman"/>
          <w:bCs/>
          <w:sz w:val="32"/>
          <w:szCs w:val="32"/>
        </w:rPr>
        <w:t>/规格不一定</w:t>
      </w:r>
      <w:r>
        <w:rPr>
          <w:rFonts w:ascii="Times New Roman" w:hAnsi="Times New Roman" w:eastAsia="仿宋_GB2312" w:cs="Times New Roman"/>
          <w:bCs/>
          <w:sz w:val="32"/>
          <w:szCs w:val="32"/>
        </w:rPr>
        <w:t>是临床常用型号</w:t>
      </w:r>
      <w:r>
        <w:rPr>
          <w:rFonts w:hint="eastAsia" w:ascii="Times New Roman" w:hAnsi="Times New Roman" w:eastAsia="仿宋_GB2312" w:cs="Times New Roman"/>
          <w:bCs/>
          <w:sz w:val="32"/>
          <w:szCs w:val="32"/>
        </w:rPr>
        <w:t>/规格。</w:t>
      </w:r>
    </w:p>
    <w:bookmarkEnd w:id="8"/>
    <w:p w14:paraId="30D95722">
      <w:pPr>
        <w:pStyle w:val="4"/>
        <w:spacing w:line="360" w:lineRule="auto"/>
        <w:ind w:firstLine="640" w:firstLineChars="200"/>
        <w:jc w:val="left"/>
        <w:rPr>
          <w:rFonts w:ascii="楷体" w:hAnsi="楷体" w:eastAsia="楷体" w:cs="Times New Roman"/>
          <w:color w:val="000000"/>
          <w:kern w:val="0"/>
          <w:sz w:val="32"/>
          <w:szCs w:val="32"/>
        </w:rPr>
      </w:pPr>
      <w:bookmarkStart w:id="10" w:name="_Toc433187267"/>
      <w:r>
        <w:rPr>
          <w:rFonts w:hint="eastAsia" w:ascii="楷体" w:hAnsi="楷体" w:eastAsia="楷体" w:cs="Times New Roman"/>
          <w:color w:val="000000"/>
          <w:kern w:val="0"/>
          <w:sz w:val="32"/>
          <w:szCs w:val="32"/>
        </w:rPr>
        <w:t>（八）</w:t>
      </w:r>
      <w:bookmarkStart w:id="11" w:name="_Toc433187266"/>
      <w:r>
        <w:rPr>
          <w:rFonts w:hint="eastAsia" w:ascii="楷体" w:hAnsi="楷体" w:eastAsia="楷体" w:cs="Times New Roman"/>
          <w:color w:val="000000"/>
          <w:kern w:val="0"/>
          <w:sz w:val="32"/>
          <w:szCs w:val="32"/>
        </w:rPr>
        <w:t>产品说明书和最小销售单元的标签</w:t>
      </w:r>
      <w:bookmarkEnd w:id="11"/>
      <w:r>
        <w:rPr>
          <w:rFonts w:hint="eastAsia" w:ascii="楷体" w:hAnsi="楷体" w:eastAsia="楷体" w:cs="Times New Roman"/>
          <w:color w:val="000000"/>
          <w:kern w:val="0"/>
          <w:sz w:val="32"/>
          <w:szCs w:val="32"/>
        </w:rPr>
        <w:t>样稿</w:t>
      </w:r>
    </w:p>
    <w:p w14:paraId="1CF08E3E">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产品说明书、标签</w:t>
      </w:r>
      <w:r>
        <w:rPr>
          <w:rFonts w:hint="eastAsia" w:ascii="Times New Roman" w:hAnsi="Times New Roman" w:eastAsia="仿宋_GB2312" w:cs="Times New Roman"/>
          <w:bCs/>
          <w:sz w:val="32"/>
          <w:szCs w:val="32"/>
        </w:rPr>
        <w:t>样稿内容除需</w:t>
      </w:r>
      <w:r>
        <w:rPr>
          <w:rFonts w:ascii="Times New Roman" w:hAnsi="Times New Roman" w:eastAsia="仿宋_GB2312" w:cs="Times New Roman"/>
          <w:bCs/>
          <w:sz w:val="32"/>
          <w:szCs w:val="32"/>
        </w:rPr>
        <w:t>符合《医疗器械说明书和标签管理规定》</w:t>
      </w:r>
      <w:r>
        <w:rPr>
          <w:rFonts w:hint="eastAsia" w:ascii="Times New Roman" w:hAnsi="Times New Roman" w:eastAsia="仿宋_GB2312" w:cs="Times New Roman"/>
          <w:bCs/>
          <w:sz w:val="32"/>
          <w:szCs w:val="32"/>
        </w:rPr>
        <w:t>要求外，还需符合YY 0285.1《血管内导管 一次性使用无菌导管 第1部分 通用要求》中的相关规定</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说明书中关于产品性能特征的描述不应超出研究资料及产品技术要求，不得含有未经验证的夸大宣传的相关描述。</w:t>
      </w:r>
    </w:p>
    <w:p w14:paraId="538DA0A9">
      <w:pPr>
        <w:pStyle w:val="4"/>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型号</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规格</w:t>
      </w:r>
      <w:r>
        <w:rPr>
          <w:rFonts w:hint="eastAsia" w:ascii="Times New Roman" w:hAnsi="Times New Roman" w:eastAsia="仿宋_GB2312" w:cs="Times New Roman"/>
          <w:bCs/>
          <w:sz w:val="32"/>
          <w:szCs w:val="32"/>
        </w:rPr>
        <w:t>的</w:t>
      </w:r>
      <w:r>
        <w:rPr>
          <w:rFonts w:ascii="Times New Roman" w:hAnsi="Times New Roman" w:eastAsia="仿宋_GB2312" w:cs="Times New Roman"/>
          <w:bCs/>
          <w:sz w:val="32"/>
          <w:szCs w:val="32"/>
        </w:rPr>
        <w:t>表述应</w:t>
      </w:r>
      <w:r>
        <w:rPr>
          <w:rFonts w:hint="eastAsia" w:ascii="Times New Roman" w:hAnsi="Times New Roman" w:eastAsia="仿宋_GB2312" w:cs="Times New Roman"/>
          <w:bCs/>
          <w:sz w:val="32"/>
          <w:szCs w:val="32"/>
        </w:rPr>
        <w:t>与产品</w:t>
      </w:r>
      <w:r>
        <w:rPr>
          <w:rFonts w:ascii="Times New Roman" w:hAnsi="Times New Roman" w:eastAsia="仿宋_GB2312" w:cs="Times New Roman"/>
          <w:bCs/>
          <w:sz w:val="32"/>
          <w:szCs w:val="32"/>
        </w:rPr>
        <w:t>技术要求保持一致</w:t>
      </w:r>
      <w:r>
        <w:rPr>
          <w:rFonts w:hint="eastAsia" w:ascii="Times New Roman" w:hAnsi="Times New Roman" w:eastAsia="仿宋_GB2312" w:cs="Times New Roman"/>
          <w:bCs/>
          <w:sz w:val="32"/>
          <w:szCs w:val="32"/>
        </w:rPr>
        <w:t>。</w:t>
      </w:r>
    </w:p>
    <w:p w14:paraId="7B595FD0">
      <w:pPr>
        <w:pStyle w:val="4"/>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若产品适用</w:t>
      </w:r>
      <w:r>
        <w:rPr>
          <w:rFonts w:ascii="Times New Roman" w:hAnsi="Times New Roman" w:eastAsia="仿宋_GB2312" w:cs="Times New Roman"/>
          <w:bCs/>
          <w:sz w:val="32"/>
          <w:szCs w:val="32"/>
        </w:rPr>
        <w:t>范围包</w:t>
      </w:r>
      <w:r>
        <w:rPr>
          <w:rFonts w:hint="eastAsia" w:ascii="Times New Roman" w:hAnsi="Times New Roman" w:eastAsia="仿宋_GB2312" w:cs="Times New Roman"/>
          <w:bCs/>
          <w:sz w:val="32"/>
          <w:szCs w:val="32"/>
        </w:rPr>
        <w:t>括</w:t>
      </w:r>
      <w:r>
        <w:rPr>
          <w:rFonts w:hint="eastAsia" w:eastAsia="仿宋_GB2312"/>
          <w:sz w:val="32"/>
          <w:szCs w:val="32"/>
        </w:rPr>
        <w:t>用于向血管系统中注入如造影剂、如药物制剂、栓塞材料等，不用于动力</w:t>
      </w:r>
      <w:r>
        <w:rPr>
          <w:rFonts w:eastAsia="仿宋_GB2312"/>
          <w:sz w:val="32"/>
          <w:szCs w:val="32"/>
        </w:rPr>
        <w:t>注射时，</w:t>
      </w:r>
      <w:r>
        <w:rPr>
          <w:rFonts w:ascii="Times New Roman" w:hAnsi="Times New Roman" w:eastAsia="仿宋_GB2312" w:cs="Times New Roman"/>
          <w:bCs/>
          <w:sz w:val="32"/>
          <w:szCs w:val="32"/>
        </w:rPr>
        <w:t>警示</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请勿使用高压注射装置</w:t>
      </w:r>
      <w:r>
        <w:rPr>
          <w:rFonts w:hint="eastAsia" w:ascii="Times New Roman" w:hAnsi="Times New Roman" w:eastAsia="仿宋_GB2312" w:cs="Times New Roman"/>
          <w:bCs/>
          <w:sz w:val="32"/>
          <w:szCs w:val="32"/>
        </w:rPr>
        <w:t>”；可</w:t>
      </w:r>
      <w:r>
        <w:rPr>
          <w:rFonts w:ascii="Times New Roman" w:hAnsi="Times New Roman" w:eastAsia="仿宋_GB2312" w:cs="Times New Roman"/>
          <w:bCs/>
          <w:sz w:val="32"/>
          <w:szCs w:val="32"/>
        </w:rPr>
        <w:t>用于</w:t>
      </w:r>
      <w:r>
        <w:rPr>
          <w:rFonts w:hint="eastAsia" w:ascii="Times New Roman" w:hAnsi="Times New Roman" w:eastAsia="仿宋_GB2312" w:cs="Times New Roman"/>
          <w:bCs/>
          <w:sz w:val="32"/>
          <w:szCs w:val="32"/>
        </w:rPr>
        <w:t>动力</w:t>
      </w:r>
      <w:r>
        <w:rPr>
          <w:rFonts w:ascii="Times New Roman" w:hAnsi="Times New Roman" w:eastAsia="仿宋_GB2312" w:cs="Times New Roman"/>
          <w:bCs/>
          <w:sz w:val="32"/>
          <w:szCs w:val="32"/>
        </w:rPr>
        <w:t>注射的，</w:t>
      </w:r>
      <w:r>
        <w:rPr>
          <w:rFonts w:hint="eastAsia" w:ascii="Times New Roman" w:hAnsi="Times New Roman" w:eastAsia="仿宋_GB2312" w:cs="Times New Roman"/>
          <w:bCs/>
          <w:sz w:val="32"/>
          <w:szCs w:val="32"/>
        </w:rPr>
        <w:t>根据</w:t>
      </w:r>
      <w:r>
        <w:rPr>
          <w:rFonts w:ascii="Times New Roman" w:hAnsi="Times New Roman" w:eastAsia="仿宋_GB2312" w:cs="Times New Roman"/>
          <w:bCs/>
          <w:sz w:val="32"/>
          <w:szCs w:val="32"/>
        </w:rPr>
        <w:t>动力注射研究结果在说明书中明确最大</w:t>
      </w:r>
      <w:r>
        <w:rPr>
          <w:rFonts w:hint="eastAsia" w:ascii="Times New Roman" w:hAnsi="Times New Roman" w:eastAsia="仿宋_GB2312" w:cs="Times New Roman"/>
          <w:bCs/>
          <w:sz w:val="32"/>
          <w:szCs w:val="32"/>
        </w:rPr>
        <w:t>爆破压力</w:t>
      </w:r>
      <w:r>
        <w:rPr>
          <w:rFonts w:ascii="Times New Roman" w:hAnsi="Times New Roman" w:eastAsia="仿宋_GB2312" w:cs="Times New Roman"/>
          <w:bCs/>
          <w:sz w:val="32"/>
          <w:szCs w:val="32"/>
        </w:rPr>
        <w:t>。</w:t>
      </w:r>
    </w:p>
    <w:p w14:paraId="369D4DCB">
      <w:pPr>
        <w:pStyle w:val="4"/>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产品</w:t>
      </w:r>
      <w:r>
        <w:rPr>
          <w:rFonts w:ascii="Times New Roman" w:hAnsi="Times New Roman" w:eastAsia="仿宋_GB2312" w:cs="Times New Roman"/>
          <w:bCs/>
          <w:sz w:val="32"/>
          <w:szCs w:val="32"/>
        </w:rPr>
        <w:t>与某些有机溶剂不兼容时，需警示，如DMSO等。</w:t>
      </w:r>
    </w:p>
    <w:p w14:paraId="2EBDA866">
      <w:pPr>
        <w:pStyle w:val="4"/>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储存</w:t>
      </w:r>
      <w:r>
        <w:rPr>
          <w:rFonts w:ascii="Times New Roman" w:hAnsi="Times New Roman" w:eastAsia="仿宋_GB2312" w:cs="Times New Roman"/>
          <w:bCs/>
          <w:sz w:val="32"/>
          <w:szCs w:val="32"/>
        </w:rPr>
        <w:t>和运输条件不应超出产品货架有效期验证范围。</w:t>
      </w:r>
    </w:p>
    <w:p w14:paraId="4730A549">
      <w:pPr>
        <w:pStyle w:val="4"/>
        <w:spacing w:line="52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含增塑剂的，在说明书中警示如“该产品含有增塑剂（明确</w:t>
      </w:r>
      <w:r>
        <w:rPr>
          <w:rFonts w:ascii="Times New Roman" w:hAnsi="Times New Roman" w:eastAsia="仿宋_GB2312" w:cs="Times New Roman"/>
          <w:bCs/>
          <w:sz w:val="32"/>
          <w:szCs w:val="32"/>
        </w:rPr>
        <w:t>具体名称</w:t>
      </w:r>
      <w:r>
        <w:rPr>
          <w:rFonts w:hint="eastAsia" w:ascii="Times New Roman" w:hAnsi="Times New Roman" w:eastAsia="仿宋_GB2312" w:cs="Times New Roman"/>
          <w:bCs/>
          <w:sz w:val="32"/>
          <w:szCs w:val="32"/>
        </w:rPr>
        <w:t>）”。</w:t>
      </w:r>
      <w:bookmarkEnd w:id="0"/>
      <w:bookmarkEnd w:id="10"/>
    </w:p>
    <w:p w14:paraId="3CF21205">
      <w:pPr>
        <w:pStyle w:val="4"/>
        <w:spacing w:line="360" w:lineRule="auto"/>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五、参考资料 </w:t>
      </w:r>
      <w:r>
        <w:rPr>
          <w:rFonts w:ascii="Times New Roman" w:hAnsi="Times New Roman" w:eastAsia="黑体" w:cs="Times New Roman"/>
          <w:sz w:val="32"/>
          <w:szCs w:val="32"/>
        </w:rPr>
        <w:t xml:space="preserve"> </w:t>
      </w:r>
    </w:p>
    <w:p w14:paraId="2DAA0FCD">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eastAsia="仿宋_GB2312"/>
          <w:color w:val="000000"/>
          <w:kern w:val="0"/>
          <w:sz w:val="32"/>
          <w:szCs w:val="32"/>
        </w:rPr>
      </w:pPr>
      <w:r>
        <w:rPr>
          <w:rFonts w:hint="eastAsia" w:ascii="仿宋_GB2312" w:eastAsia="仿宋_GB2312"/>
          <w:color w:val="000000"/>
          <w:kern w:val="0"/>
          <w:sz w:val="32"/>
          <w:szCs w:val="32"/>
        </w:rPr>
        <w:t>《医疗器械监督管理条例》（中华人民共和国国务院令第680号）</w:t>
      </w:r>
    </w:p>
    <w:p w14:paraId="702CF7F9">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eastAsia="仿宋_GB2312"/>
          <w:color w:val="000000"/>
          <w:kern w:val="0"/>
          <w:sz w:val="32"/>
          <w:szCs w:val="32"/>
        </w:rPr>
      </w:pPr>
      <w:r>
        <w:rPr>
          <w:rFonts w:hint="eastAsia" w:ascii="仿宋_GB2312" w:eastAsia="仿宋_GB2312"/>
          <w:color w:val="000000"/>
          <w:kern w:val="0"/>
          <w:sz w:val="32"/>
          <w:szCs w:val="32"/>
        </w:rPr>
        <w:t>《医疗器械注册管理办法》（</w:t>
      </w:r>
      <w:r>
        <w:rPr>
          <w:rFonts w:hint="eastAsia" w:ascii="仿宋_GB2312" w:eastAsia="仿宋_GB2312"/>
          <w:color w:val="000000"/>
          <w:sz w:val="32"/>
          <w:szCs w:val="32"/>
        </w:rPr>
        <w:t>国家食品药品监督管理总局令第4号</w:t>
      </w:r>
      <w:r>
        <w:rPr>
          <w:rFonts w:hint="eastAsia" w:ascii="仿宋_GB2312" w:eastAsia="仿宋_GB2312"/>
          <w:color w:val="000000"/>
          <w:kern w:val="0"/>
          <w:sz w:val="32"/>
          <w:szCs w:val="32"/>
        </w:rPr>
        <w:t>）</w:t>
      </w:r>
    </w:p>
    <w:p w14:paraId="0831F6C2">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hAnsi="Times New Roman" w:eastAsia="仿宋_GB2312"/>
          <w:sz w:val="32"/>
          <w:szCs w:val="32"/>
        </w:rPr>
      </w:pPr>
      <w:r>
        <w:rPr>
          <w:rFonts w:hint="eastAsia" w:ascii="仿宋_GB2312" w:hAnsi="Times New Roman" w:eastAsia="仿宋_GB2312"/>
          <w:sz w:val="32"/>
          <w:szCs w:val="32"/>
        </w:rPr>
        <w:t>《医疗器械说明书和标签管理规定》（国家食品药品监督管理总局令第6号）</w:t>
      </w:r>
    </w:p>
    <w:p w14:paraId="7FD42825">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hAnsi="Times New Roman" w:eastAsia="仿宋_GB2312"/>
          <w:sz w:val="32"/>
          <w:szCs w:val="32"/>
        </w:rPr>
      </w:pPr>
      <w:r>
        <w:rPr>
          <w:rFonts w:hint="eastAsia" w:ascii="仿宋_GB2312" w:hAnsi="Times New Roman" w:eastAsia="仿宋_GB2312"/>
          <w:sz w:val="32"/>
          <w:szCs w:val="32"/>
        </w:rPr>
        <w:t>《医疗器械通用名称命名规则》（国家食品药品监督管理总局令第19号）</w:t>
      </w:r>
    </w:p>
    <w:p w14:paraId="09151213">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eastAsia="仿宋_GB2312"/>
          <w:sz w:val="32"/>
          <w:szCs w:val="32"/>
        </w:rPr>
      </w:pPr>
      <w:r>
        <w:rPr>
          <w:rFonts w:hint="eastAsia" w:ascii="仿宋_GB2312" w:hAnsi="Times New Roman" w:eastAsia="仿宋_GB2312"/>
          <w:sz w:val="32"/>
          <w:szCs w:val="32"/>
        </w:rPr>
        <w:t>《医疗器械注册申报资料要求及说明》（国家食品药品监督管理总局公告2014年第43号附件4）</w:t>
      </w:r>
    </w:p>
    <w:p w14:paraId="0863157C">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hAnsi="Times New Roman" w:eastAsia="仿宋_GB2312"/>
          <w:sz w:val="32"/>
          <w:szCs w:val="32"/>
        </w:rPr>
      </w:pPr>
      <w:r>
        <w:rPr>
          <w:rFonts w:hint="eastAsia" w:ascii="仿宋_GB2312" w:eastAsia="仿宋_GB2312"/>
          <w:sz w:val="32"/>
          <w:szCs w:val="32"/>
        </w:rPr>
        <w:t>《医疗器械分类目录》</w:t>
      </w:r>
      <w:r>
        <w:rPr>
          <w:rFonts w:hint="eastAsia" w:ascii="仿宋_GB2312" w:hAnsi="Times New Roman" w:eastAsia="仿宋_GB2312"/>
          <w:sz w:val="32"/>
          <w:szCs w:val="32"/>
        </w:rPr>
        <w:t>（国家食品药品监督管理总局公告2017年第104号）</w:t>
      </w:r>
    </w:p>
    <w:p w14:paraId="5C3BDA76">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hAnsi="Times New Roman" w:eastAsia="仿宋_GB2312"/>
          <w:sz w:val="32"/>
          <w:szCs w:val="32"/>
        </w:rPr>
      </w:pPr>
      <w:r>
        <w:rPr>
          <w:rFonts w:hint="eastAsia" w:ascii="仿宋_GB2312" w:hAnsi="Times New Roman" w:eastAsia="仿宋_GB2312"/>
          <w:sz w:val="32"/>
          <w:szCs w:val="32"/>
        </w:rPr>
        <w:t>《医疗器械注册单元划分指导原则》（国家食品药品监督管理总局通告2017年第187号）</w:t>
      </w:r>
    </w:p>
    <w:p w14:paraId="7F38C558">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hAnsi="Times New Roman" w:eastAsia="仿宋_GB2312"/>
          <w:sz w:val="32"/>
          <w:szCs w:val="32"/>
        </w:rPr>
      </w:pPr>
      <w:r>
        <w:rPr>
          <w:rFonts w:hint="eastAsia" w:ascii="仿宋_GB2312" w:hAnsi="Times New Roman" w:eastAsia="仿宋_GB2312"/>
          <w:sz w:val="32"/>
          <w:szCs w:val="32"/>
        </w:rPr>
        <w:t>《医疗器械通用名称命名指导原则》(国家药品监督管理局通告2019年第99号)</w:t>
      </w:r>
      <w:r>
        <w:rPr>
          <w:rFonts w:hint="eastAsia" w:ascii="仿宋_GB2312" w:eastAsia="仿宋_GB2312"/>
          <w:spacing w:val="-4"/>
          <w:sz w:val="32"/>
          <w:szCs w:val="32"/>
        </w:rPr>
        <w:t xml:space="preserve"> </w:t>
      </w:r>
    </w:p>
    <w:p w14:paraId="3FF7B110">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hAnsi="Times New Roman" w:eastAsia="仿宋_GB2312"/>
          <w:sz w:val="32"/>
          <w:szCs w:val="32"/>
        </w:rPr>
      </w:pPr>
      <w:r>
        <w:rPr>
          <w:rFonts w:hint="eastAsia" w:ascii="仿宋_GB2312" w:eastAsia="仿宋_GB2312"/>
          <w:spacing w:val="-4"/>
          <w:sz w:val="32"/>
          <w:szCs w:val="32"/>
        </w:rPr>
        <w:t>《动物源性医疗器械注册技术审查指导</w:t>
      </w:r>
      <w:r>
        <w:rPr>
          <w:rFonts w:hint="eastAsia" w:ascii="仿宋_GB2312" w:eastAsia="仿宋_GB2312"/>
          <w:sz w:val="32"/>
          <w:szCs w:val="32"/>
        </w:rPr>
        <w:t>原则（2017年修订版）》</w:t>
      </w:r>
      <w:r>
        <w:rPr>
          <w:rFonts w:hint="eastAsia" w:ascii="仿宋_GB2312" w:hAnsi="Times New Roman" w:eastAsia="仿宋_GB2312"/>
          <w:sz w:val="32"/>
          <w:szCs w:val="32"/>
        </w:rPr>
        <w:t>（国家食品药品监督管理总局通告2017年第224号）</w:t>
      </w:r>
    </w:p>
    <w:p w14:paraId="1C508277">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eastAsia="仿宋_GB2312"/>
          <w:spacing w:val="-4"/>
          <w:sz w:val="32"/>
          <w:szCs w:val="32"/>
        </w:rPr>
      </w:pPr>
      <w:r>
        <w:rPr>
          <w:rFonts w:hint="eastAsia" w:ascii="仿宋_GB2312" w:eastAsia="仿宋_GB2312"/>
          <w:spacing w:val="-4"/>
          <w:sz w:val="32"/>
          <w:szCs w:val="32"/>
        </w:rPr>
        <w:t>《无源植入性医疗器械货架有效期注册申报资料指导原则(2017年修订版)》 (国家食品药品监督管理总局通告2017年第75号)</w:t>
      </w:r>
    </w:p>
    <w:p w14:paraId="57A9C5ED">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hAnsi="Times New Roman" w:eastAsia="仿宋_GB2312"/>
          <w:sz w:val="32"/>
          <w:szCs w:val="32"/>
        </w:rPr>
      </w:pPr>
      <w:r>
        <w:rPr>
          <w:rFonts w:hint="eastAsia" w:ascii="仿宋_GB2312" w:hAnsi="Times New Roman" w:eastAsia="仿宋_GB2312"/>
          <w:sz w:val="32"/>
          <w:szCs w:val="32"/>
        </w:rPr>
        <w:t>《医疗器械动物实验研究技术审查指导原则 第一部分：决策原则》（</w:t>
      </w:r>
      <w:r>
        <w:fldChar w:fldCharType="begin"/>
      </w:r>
      <w:r>
        <w:instrText xml:space="preserve"> HYPERLINK "http://www.nmpa.gov.cn/directory/web/WS04/images/ufq80tKpxre84La9udzA7b7WMjAxOcTqtdoxOLrFzai45ri9vP4xLmRvYw==.doc" </w:instrText>
      </w:r>
      <w:r>
        <w:fldChar w:fldCharType="separate"/>
      </w:r>
      <w:r>
        <w:rPr>
          <w:rFonts w:hint="eastAsia" w:ascii="仿宋_GB2312" w:hAnsi="Times New Roman" w:eastAsia="仿宋_GB2312"/>
          <w:sz w:val="32"/>
          <w:szCs w:val="32"/>
        </w:rPr>
        <w:t>国家药品监督管理局通告2019年第18号附件1</w:t>
      </w:r>
      <w:r>
        <w:rPr>
          <w:rFonts w:hint="eastAsia" w:ascii="仿宋_GB2312" w:hAnsi="Times New Roman" w:eastAsia="仿宋_GB2312"/>
          <w:sz w:val="32"/>
          <w:szCs w:val="32"/>
        </w:rPr>
        <w:fldChar w:fldCharType="end"/>
      </w:r>
      <w:r>
        <w:rPr>
          <w:rFonts w:hint="eastAsia" w:ascii="仿宋_GB2312" w:hAnsi="Times New Roman" w:eastAsia="仿宋_GB2312"/>
          <w:sz w:val="32"/>
          <w:szCs w:val="32"/>
        </w:rPr>
        <w:t>）</w:t>
      </w:r>
    </w:p>
    <w:p w14:paraId="271B05DE">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eastAsia="仿宋_GB2312"/>
          <w:sz w:val="32"/>
          <w:szCs w:val="32"/>
        </w:rPr>
      </w:pPr>
      <w:r>
        <w:rPr>
          <w:rFonts w:hint="eastAsia" w:ascii="仿宋_GB2312" w:hAnsi="Times New Roman" w:eastAsia="仿宋_GB2312"/>
          <w:sz w:val="32"/>
          <w:szCs w:val="32"/>
        </w:rPr>
        <w:t>《医疗器械临床评价技术指导原则》（国家食品药品监督管理总局通告2015年第14号）</w:t>
      </w:r>
    </w:p>
    <w:p w14:paraId="45674456">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eastAsia="仿宋_GB2312"/>
          <w:sz w:val="32"/>
          <w:szCs w:val="32"/>
        </w:rPr>
      </w:pPr>
      <w:r>
        <w:rPr>
          <w:rFonts w:hint="eastAsia" w:ascii="仿宋_GB2312" w:hAnsi="Times New Roman" w:eastAsia="仿宋_GB2312"/>
          <w:sz w:val="32"/>
          <w:szCs w:val="32"/>
        </w:rPr>
        <w:t>《免于进行临床试验医疗器械目录汇总》（国家药品监督管理局2019年12月23日发布）</w:t>
      </w:r>
    </w:p>
    <w:p w14:paraId="25B55F8D">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eastAsia="仿宋_GB2312"/>
          <w:sz w:val="32"/>
          <w:szCs w:val="32"/>
        </w:rPr>
      </w:pPr>
      <w:r>
        <w:rPr>
          <w:rFonts w:hint="eastAsia" w:ascii="仿宋_GB2312" w:eastAsia="仿宋_GB2312"/>
          <w:sz w:val="32"/>
          <w:szCs w:val="32"/>
        </w:rPr>
        <w:t>《</w:t>
      </w:r>
      <w:r>
        <w:rPr>
          <w:rFonts w:hint="eastAsia" w:ascii="仿宋_GB2312" w:hAnsi="Times New Roman" w:eastAsia="仿宋_GB2312"/>
          <w:sz w:val="32"/>
          <w:szCs w:val="32"/>
        </w:rPr>
        <w:t>产品技术要求编写指导原则</w:t>
      </w:r>
      <w:r>
        <w:rPr>
          <w:rFonts w:hint="eastAsia" w:ascii="仿宋_GB2312" w:eastAsia="仿宋_GB2312"/>
          <w:sz w:val="32"/>
          <w:szCs w:val="32"/>
        </w:rPr>
        <w:t>》（</w:t>
      </w:r>
      <w:r>
        <w:rPr>
          <w:rFonts w:hint="eastAsia" w:ascii="仿宋_GB2312" w:hAnsi="Times New Roman" w:eastAsia="仿宋_GB2312"/>
          <w:sz w:val="32"/>
          <w:szCs w:val="32"/>
        </w:rPr>
        <w:t>国家食品药品监督管理总局</w:t>
      </w:r>
      <w:r>
        <w:rPr>
          <w:rFonts w:hint="eastAsia" w:ascii="仿宋_GB2312" w:eastAsia="仿宋_GB2312"/>
          <w:sz w:val="32"/>
          <w:szCs w:val="32"/>
        </w:rPr>
        <w:t>通告2014年第9号）</w:t>
      </w:r>
    </w:p>
    <w:p w14:paraId="3A1F6290">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hAnsi="Times New Roman" w:eastAsia="仿宋_GB2312"/>
          <w:sz w:val="32"/>
          <w:szCs w:val="32"/>
        </w:rPr>
      </w:pPr>
      <w:r>
        <w:rPr>
          <w:rFonts w:hint="eastAsia" w:ascii="仿宋_GB2312" w:eastAsia="仿宋_GB2312"/>
          <w:sz w:val="32"/>
          <w:szCs w:val="32"/>
        </w:rPr>
        <w:t xml:space="preserve"> YY0285.1-2017《血管内导管 一次性使用无菌导管 第1部分 通用要求》</w:t>
      </w:r>
    </w:p>
    <w:p w14:paraId="61150CF2">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hAnsi="Times New Roman" w:eastAsia="仿宋_GB2312"/>
          <w:sz w:val="32"/>
          <w:szCs w:val="32"/>
        </w:rPr>
      </w:pPr>
      <w:r>
        <w:rPr>
          <w:rFonts w:hint="eastAsia" w:ascii="仿宋_GB2312" w:eastAsia="仿宋_GB2312"/>
          <w:sz w:val="32"/>
          <w:szCs w:val="32"/>
        </w:rPr>
        <w:t xml:space="preserve"> GB/T 16886《医疗器械生物学评价》系列标准</w:t>
      </w:r>
    </w:p>
    <w:p w14:paraId="7F9E898F">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hAnsi="Times New Roman" w:eastAsia="仿宋_GB2312"/>
          <w:sz w:val="32"/>
          <w:szCs w:val="32"/>
        </w:rPr>
      </w:pPr>
      <w:r>
        <w:rPr>
          <w:rFonts w:hint="eastAsia" w:ascii="仿宋_GB2312" w:eastAsia="仿宋_GB2312"/>
          <w:sz w:val="32"/>
          <w:szCs w:val="32"/>
        </w:rPr>
        <w:t xml:space="preserve"> GB18279《医疗保健产品灭菌 环氧乙烷》系列标准</w:t>
      </w:r>
    </w:p>
    <w:p w14:paraId="00103780">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hAnsi="Times New Roman" w:eastAsia="仿宋_GB2312"/>
          <w:sz w:val="32"/>
          <w:szCs w:val="32"/>
        </w:rPr>
      </w:pPr>
      <w:r>
        <w:rPr>
          <w:rFonts w:hint="eastAsia" w:ascii="仿宋_GB2312" w:eastAsia="仿宋_GB2312"/>
          <w:sz w:val="32"/>
          <w:szCs w:val="32"/>
        </w:rPr>
        <w:t xml:space="preserve"> GB18280《医疗保健产品灭菌 辐射》系列标准</w:t>
      </w:r>
    </w:p>
    <w:p w14:paraId="092DE96B">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hAnsi="Times New Roman" w:eastAsia="仿宋_GB2312"/>
          <w:sz w:val="32"/>
          <w:szCs w:val="32"/>
        </w:rPr>
      </w:pPr>
      <w:r>
        <w:rPr>
          <w:rFonts w:hint="eastAsia" w:ascii="仿宋_GB2312" w:eastAsia="仿宋_GB2312"/>
          <w:spacing w:val="-4"/>
          <w:sz w:val="32"/>
          <w:szCs w:val="32"/>
        </w:rPr>
        <w:t xml:space="preserve"> YY/T 0681《无菌医疗器械包装试验方法》系列标准</w:t>
      </w:r>
    </w:p>
    <w:p w14:paraId="3EA45472">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hAnsi="Times New Roman" w:eastAsia="仿宋_GB2312"/>
          <w:sz w:val="32"/>
          <w:szCs w:val="32"/>
        </w:rPr>
      </w:pPr>
      <w:r>
        <w:rPr>
          <w:rFonts w:hint="eastAsia" w:ascii="仿宋_GB2312" w:eastAsia="仿宋_GB2312"/>
          <w:bCs/>
          <w:color w:val="000000"/>
          <w:sz w:val="32"/>
          <w:szCs w:val="32"/>
        </w:rPr>
        <w:t>Guidance for Industry Container and Closure System Integrity Testing in Lieu of Sterility Testing as a Component of the Stability Protocol for Sterile Products, FDA, February, 2008</w:t>
      </w:r>
    </w:p>
    <w:p w14:paraId="41605F07">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hAnsi="Times New Roman" w:eastAsia="仿宋_GB2312"/>
          <w:sz w:val="32"/>
          <w:szCs w:val="32"/>
        </w:rPr>
      </w:pPr>
      <w:r>
        <w:rPr>
          <w:rFonts w:hint="eastAsia" w:ascii="仿宋_GB2312" w:eastAsia="仿宋_GB2312"/>
          <w:sz w:val="32"/>
          <w:szCs w:val="32"/>
        </w:rPr>
        <w:t xml:space="preserve"> YY/T 0316-2016 《医疗器械 风险管理对医疗器械的应用》</w:t>
      </w:r>
    </w:p>
    <w:p w14:paraId="292A56AC">
      <w:pPr>
        <w:pStyle w:val="21"/>
        <w:numPr>
          <w:ilvl w:val="0"/>
          <w:numId w:val="3"/>
        </w:numPr>
        <w:tabs>
          <w:tab w:val="left" w:pos="360"/>
          <w:tab w:val="left" w:pos="952"/>
          <w:tab w:val="left" w:pos="1078"/>
          <w:tab w:val="left" w:pos="1140"/>
        </w:tabs>
        <w:autoSpaceDE w:val="0"/>
        <w:autoSpaceDN w:val="0"/>
        <w:adjustRightInd w:val="0"/>
        <w:spacing w:line="520" w:lineRule="exact"/>
        <w:ind w:left="1321" w:firstLineChars="0"/>
        <w:rPr>
          <w:rFonts w:ascii="仿宋_GB2312" w:hAnsi="Times New Roman" w:eastAsia="仿宋_GB2312"/>
          <w:sz w:val="32"/>
          <w:szCs w:val="32"/>
        </w:rPr>
      </w:pPr>
      <w:r>
        <w:rPr>
          <w:rFonts w:hint="eastAsia" w:ascii="仿宋_GB2312" w:eastAsia="仿宋_GB2312"/>
          <w:sz w:val="32"/>
          <w:szCs w:val="32"/>
        </w:rPr>
        <w:t>《中华人民共和国药典》 2020版</w:t>
      </w:r>
    </w:p>
    <w:p w14:paraId="584BBE8D">
      <w:pPr>
        <w:autoSpaceDE w:val="0"/>
        <w:autoSpaceDN w:val="0"/>
        <w:adjustRightInd w:val="0"/>
        <w:spacing w:line="600" w:lineRule="exact"/>
        <w:ind w:firstLine="640" w:firstLineChars="200"/>
        <w:rPr>
          <w:rFonts w:eastAsia="黑体"/>
          <w:color w:val="000000"/>
          <w:kern w:val="0"/>
          <w:sz w:val="32"/>
          <w:szCs w:val="32"/>
        </w:rPr>
      </w:pPr>
      <w:r>
        <w:rPr>
          <w:rFonts w:hint="eastAsia" w:eastAsia="黑体"/>
          <w:color w:val="000000"/>
          <w:kern w:val="0"/>
          <w:sz w:val="32"/>
          <w:szCs w:val="32"/>
        </w:rPr>
        <w:t>六、起草单位</w:t>
      </w:r>
      <w:r>
        <w:rPr>
          <w:rFonts w:eastAsia="黑体"/>
          <w:color w:val="000000"/>
          <w:kern w:val="0"/>
          <w:sz w:val="32"/>
          <w:szCs w:val="32"/>
        </w:rPr>
        <w:t> </w:t>
      </w:r>
    </w:p>
    <w:p w14:paraId="06D70168">
      <w:pPr>
        <w:autoSpaceDE w:val="0"/>
        <w:autoSpaceDN w:val="0"/>
        <w:adjustRightInd w:val="0"/>
        <w:spacing w:line="520" w:lineRule="exact"/>
        <w:ind w:firstLine="640" w:firstLineChars="200"/>
        <w:rPr>
          <w:rFonts w:eastAsia="仿宋_GB2312"/>
          <w:sz w:val="32"/>
          <w:szCs w:val="32"/>
        </w:rPr>
      </w:pPr>
      <w:r>
        <w:rPr>
          <w:rFonts w:hint="eastAsia" w:eastAsia="仿宋_GB2312"/>
          <w:color w:val="000000"/>
          <w:kern w:val="0"/>
          <w:sz w:val="32"/>
          <w:szCs w:val="32"/>
        </w:rPr>
        <w:t>本指导原则由国家药品监督管理局医疗器械技术审评中心起草并负责解释。</w:t>
      </w:r>
    </w:p>
    <w:p w14:paraId="04A25DC7">
      <w:pPr>
        <w:pStyle w:val="4"/>
        <w:spacing w:line="360" w:lineRule="auto"/>
        <w:jc w:val="center"/>
        <w:rPr>
          <w:rFonts w:hint="eastAsia" w:eastAsia="宋体"/>
          <w:lang w:eastAsia="zh-CN"/>
        </w:rPr>
      </w:pPr>
    </w:p>
    <w:p w14:paraId="70CB3529">
      <w:pPr>
        <w:pStyle w:val="4"/>
        <w:spacing w:line="360" w:lineRule="auto"/>
        <w:jc w:val="center"/>
        <w:rPr>
          <w:rFonts w:hint="eastAsia" w:eastAsia="宋体"/>
          <w:lang w:eastAsia="zh-CN"/>
        </w:rPr>
      </w:pPr>
    </w:p>
    <w:p w14:paraId="6C3269F4">
      <w:pPr>
        <w:pStyle w:val="4"/>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3" w:type="default"/>
      <w:footerReference r:id="rId5" w:type="default"/>
      <w:headerReference r:id="rId4" w:type="even"/>
      <w:footerReference r:id="rId6" w:type="even"/>
      <w:pgSz w:w="11906" w:h="16838"/>
      <w:pgMar w:top="1928" w:right="1531" w:bottom="1814" w:left="1531"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259B8">
    <w:pPr>
      <w:pStyle w:val="6"/>
      <w:wordWrap w:val="0"/>
      <w:jc w:val="right"/>
      <w:rPr>
        <w:color w:val="FFFFFF"/>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w:t>
    </w:r>
    <w:r>
      <w:rPr>
        <w:rFonts w:hint="eastAsia"/>
        <w:color w:val="FFFFFF"/>
        <w:sz w:val="28"/>
        <w:szCs w:val="28"/>
      </w:rPr>
      <w:t>—</w:t>
    </w:r>
  </w:p>
  <w:p w14:paraId="24B8D9D0">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1A81E">
    <w:pPr>
      <w:pStyle w:val="6"/>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70</w:t>
    </w:r>
    <w:r>
      <w:rPr>
        <w:sz w:val="28"/>
        <w:szCs w:val="28"/>
      </w:rPr>
      <w:fldChar w:fldCharType="end"/>
    </w:r>
    <w:r>
      <w:rPr>
        <w:rFonts w:hint="eastAsia"/>
        <w:sz w:val="28"/>
        <w:szCs w:val="28"/>
      </w:rPr>
      <w:t>—</w:t>
    </w:r>
  </w:p>
  <w:p w14:paraId="596B8766">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2614910"/>
      <w:docPartObj>
        <w:docPartGallery w:val="AutoText"/>
      </w:docPartObj>
    </w:sdtPr>
    <w:sdtContent>
      <w:p w14:paraId="5454F247">
        <w:pPr>
          <w:pStyle w:val="7"/>
          <w:pBdr>
            <w:bottom w:val="none" w:color="auto" w:sz="0" w:space="0"/>
          </w:pBdr>
        </w:pPr>
        <w:r>
          <w:pict>
            <v:shape id="PowerPlusWaterMarkObject24930381" o:spid="_x0000_s2049" o:spt="136" type="#_x0000_t136" style="position:absolute;left:0pt;height:103.9pt;width:51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征求意见稿" style="font-family:Simsun;font-size:1pt;v-text-align:center;"/>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4C7C4">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04A3D"/>
    <w:multiLevelType w:val="multilevel"/>
    <w:tmpl w:val="22804A3D"/>
    <w:lvl w:ilvl="0" w:tentative="0">
      <w:start w:val="1"/>
      <w:numFmt w:val="decimal"/>
      <w:lvlText w:val="[%1]"/>
      <w:lvlJc w:val="left"/>
      <w:pPr>
        <w:ind w:left="13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29F12FCF"/>
    <w:multiLevelType w:val="multilevel"/>
    <w:tmpl w:val="29F12FCF"/>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F7F7F06"/>
    <w:multiLevelType w:val="multilevel"/>
    <w:tmpl w:val="4F7F7F06"/>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13"/>
    <w:rsid w:val="00000114"/>
    <w:rsid w:val="00000CBB"/>
    <w:rsid w:val="00000EA9"/>
    <w:rsid w:val="00002392"/>
    <w:rsid w:val="000033A3"/>
    <w:rsid w:val="000114A9"/>
    <w:rsid w:val="00013BA2"/>
    <w:rsid w:val="00013D50"/>
    <w:rsid w:val="000176D2"/>
    <w:rsid w:val="00017B4D"/>
    <w:rsid w:val="00022224"/>
    <w:rsid w:val="000255D9"/>
    <w:rsid w:val="00026343"/>
    <w:rsid w:val="0002646F"/>
    <w:rsid w:val="000271DD"/>
    <w:rsid w:val="000279F4"/>
    <w:rsid w:val="00030335"/>
    <w:rsid w:val="00031409"/>
    <w:rsid w:val="00033578"/>
    <w:rsid w:val="000367AC"/>
    <w:rsid w:val="00036B19"/>
    <w:rsid w:val="00037D97"/>
    <w:rsid w:val="000412FB"/>
    <w:rsid w:val="000427FC"/>
    <w:rsid w:val="00045B5B"/>
    <w:rsid w:val="00050814"/>
    <w:rsid w:val="0005208B"/>
    <w:rsid w:val="00053531"/>
    <w:rsid w:val="00055CB5"/>
    <w:rsid w:val="00056C48"/>
    <w:rsid w:val="00060000"/>
    <w:rsid w:val="000602BF"/>
    <w:rsid w:val="00060561"/>
    <w:rsid w:val="000606A9"/>
    <w:rsid w:val="00063412"/>
    <w:rsid w:val="000635FF"/>
    <w:rsid w:val="00064190"/>
    <w:rsid w:val="00066396"/>
    <w:rsid w:val="00066BCD"/>
    <w:rsid w:val="00067C4B"/>
    <w:rsid w:val="000721A9"/>
    <w:rsid w:val="000725BC"/>
    <w:rsid w:val="00073970"/>
    <w:rsid w:val="00075846"/>
    <w:rsid w:val="00076296"/>
    <w:rsid w:val="000764C8"/>
    <w:rsid w:val="00083666"/>
    <w:rsid w:val="00085508"/>
    <w:rsid w:val="00085E6D"/>
    <w:rsid w:val="0008712A"/>
    <w:rsid w:val="00087863"/>
    <w:rsid w:val="00090287"/>
    <w:rsid w:val="000924F3"/>
    <w:rsid w:val="00093433"/>
    <w:rsid w:val="00094307"/>
    <w:rsid w:val="00094EAE"/>
    <w:rsid w:val="00095BBF"/>
    <w:rsid w:val="00095FB8"/>
    <w:rsid w:val="00097DB0"/>
    <w:rsid w:val="000A073B"/>
    <w:rsid w:val="000A25F7"/>
    <w:rsid w:val="000A2EB4"/>
    <w:rsid w:val="000A2F9D"/>
    <w:rsid w:val="000A6509"/>
    <w:rsid w:val="000A65A3"/>
    <w:rsid w:val="000B0824"/>
    <w:rsid w:val="000B117E"/>
    <w:rsid w:val="000B394B"/>
    <w:rsid w:val="000B3A58"/>
    <w:rsid w:val="000B562C"/>
    <w:rsid w:val="000B6D90"/>
    <w:rsid w:val="000B7DF0"/>
    <w:rsid w:val="000C014E"/>
    <w:rsid w:val="000C58C0"/>
    <w:rsid w:val="000C59EE"/>
    <w:rsid w:val="000C6561"/>
    <w:rsid w:val="000C7A2B"/>
    <w:rsid w:val="000D018F"/>
    <w:rsid w:val="000D01E6"/>
    <w:rsid w:val="000D04A2"/>
    <w:rsid w:val="000D2537"/>
    <w:rsid w:val="000D629F"/>
    <w:rsid w:val="000D68A3"/>
    <w:rsid w:val="000D6B52"/>
    <w:rsid w:val="000D744A"/>
    <w:rsid w:val="000E054D"/>
    <w:rsid w:val="000E0EDC"/>
    <w:rsid w:val="000E25D2"/>
    <w:rsid w:val="000E32DD"/>
    <w:rsid w:val="000E35F3"/>
    <w:rsid w:val="000E550B"/>
    <w:rsid w:val="000E6D1F"/>
    <w:rsid w:val="000E7ADF"/>
    <w:rsid w:val="000F0F2B"/>
    <w:rsid w:val="000F148F"/>
    <w:rsid w:val="000F200A"/>
    <w:rsid w:val="000F2403"/>
    <w:rsid w:val="000F3505"/>
    <w:rsid w:val="000F39EA"/>
    <w:rsid w:val="000F4813"/>
    <w:rsid w:val="000F6419"/>
    <w:rsid w:val="000F674D"/>
    <w:rsid w:val="00100154"/>
    <w:rsid w:val="00100565"/>
    <w:rsid w:val="00102C53"/>
    <w:rsid w:val="00103D62"/>
    <w:rsid w:val="001071D8"/>
    <w:rsid w:val="00112A94"/>
    <w:rsid w:val="00112F93"/>
    <w:rsid w:val="00116530"/>
    <w:rsid w:val="00116FB2"/>
    <w:rsid w:val="0011785F"/>
    <w:rsid w:val="001209D1"/>
    <w:rsid w:val="001232B9"/>
    <w:rsid w:val="00123399"/>
    <w:rsid w:val="00124633"/>
    <w:rsid w:val="00125097"/>
    <w:rsid w:val="001258E2"/>
    <w:rsid w:val="00125FC9"/>
    <w:rsid w:val="00126D55"/>
    <w:rsid w:val="00127C3F"/>
    <w:rsid w:val="00130D86"/>
    <w:rsid w:val="001313F9"/>
    <w:rsid w:val="00132239"/>
    <w:rsid w:val="00132BE0"/>
    <w:rsid w:val="001349E3"/>
    <w:rsid w:val="00134A0A"/>
    <w:rsid w:val="001376C0"/>
    <w:rsid w:val="00141AFC"/>
    <w:rsid w:val="00141C71"/>
    <w:rsid w:val="00143A0F"/>
    <w:rsid w:val="0014427A"/>
    <w:rsid w:val="0014745A"/>
    <w:rsid w:val="001478B6"/>
    <w:rsid w:val="00150514"/>
    <w:rsid w:val="0015156E"/>
    <w:rsid w:val="00153F7C"/>
    <w:rsid w:val="00155B92"/>
    <w:rsid w:val="00155C42"/>
    <w:rsid w:val="00156D65"/>
    <w:rsid w:val="001578D1"/>
    <w:rsid w:val="001643C8"/>
    <w:rsid w:val="00165D23"/>
    <w:rsid w:val="00166572"/>
    <w:rsid w:val="00170CD1"/>
    <w:rsid w:val="00171C63"/>
    <w:rsid w:val="0017406A"/>
    <w:rsid w:val="0017487D"/>
    <w:rsid w:val="00174933"/>
    <w:rsid w:val="001760D5"/>
    <w:rsid w:val="00182E74"/>
    <w:rsid w:val="00183EED"/>
    <w:rsid w:val="00186588"/>
    <w:rsid w:val="001867CB"/>
    <w:rsid w:val="00186F81"/>
    <w:rsid w:val="0019545C"/>
    <w:rsid w:val="0019574A"/>
    <w:rsid w:val="001966A3"/>
    <w:rsid w:val="001A021A"/>
    <w:rsid w:val="001A793B"/>
    <w:rsid w:val="001A7A8B"/>
    <w:rsid w:val="001B002E"/>
    <w:rsid w:val="001B0571"/>
    <w:rsid w:val="001B0CC3"/>
    <w:rsid w:val="001B507C"/>
    <w:rsid w:val="001B54F2"/>
    <w:rsid w:val="001B5EFC"/>
    <w:rsid w:val="001B5FEC"/>
    <w:rsid w:val="001C0D8C"/>
    <w:rsid w:val="001C19BA"/>
    <w:rsid w:val="001C4E86"/>
    <w:rsid w:val="001D240D"/>
    <w:rsid w:val="001D4529"/>
    <w:rsid w:val="001D460F"/>
    <w:rsid w:val="001D56DD"/>
    <w:rsid w:val="001D6BB7"/>
    <w:rsid w:val="001D7742"/>
    <w:rsid w:val="001D7828"/>
    <w:rsid w:val="001E050D"/>
    <w:rsid w:val="001E0B6A"/>
    <w:rsid w:val="001E1A3E"/>
    <w:rsid w:val="001E1DCE"/>
    <w:rsid w:val="001E2DCF"/>
    <w:rsid w:val="001E3188"/>
    <w:rsid w:val="001E4E20"/>
    <w:rsid w:val="001E742F"/>
    <w:rsid w:val="001E75C0"/>
    <w:rsid w:val="001F1318"/>
    <w:rsid w:val="001F3088"/>
    <w:rsid w:val="001F6D8F"/>
    <w:rsid w:val="001F70D3"/>
    <w:rsid w:val="001F7E51"/>
    <w:rsid w:val="001F7F97"/>
    <w:rsid w:val="0020116C"/>
    <w:rsid w:val="0020293B"/>
    <w:rsid w:val="00202F1C"/>
    <w:rsid w:val="00203506"/>
    <w:rsid w:val="00204867"/>
    <w:rsid w:val="00205777"/>
    <w:rsid w:val="00205D12"/>
    <w:rsid w:val="00206510"/>
    <w:rsid w:val="00207FD5"/>
    <w:rsid w:val="0021103E"/>
    <w:rsid w:val="00215619"/>
    <w:rsid w:val="0021743C"/>
    <w:rsid w:val="0022098B"/>
    <w:rsid w:val="00220A5A"/>
    <w:rsid w:val="00220DD7"/>
    <w:rsid w:val="0022142B"/>
    <w:rsid w:val="0022154C"/>
    <w:rsid w:val="00221973"/>
    <w:rsid w:val="00222705"/>
    <w:rsid w:val="00222A44"/>
    <w:rsid w:val="00222B34"/>
    <w:rsid w:val="002230C3"/>
    <w:rsid w:val="00224716"/>
    <w:rsid w:val="0022564C"/>
    <w:rsid w:val="0022569A"/>
    <w:rsid w:val="00232769"/>
    <w:rsid w:val="0023367E"/>
    <w:rsid w:val="00234CDB"/>
    <w:rsid w:val="0023587F"/>
    <w:rsid w:val="00235C6D"/>
    <w:rsid w:val="0023644B"/>
    <w:rsid w:val="00236AA8"/>
    <w:rsid w:val="00237048"/>
    <w:rsid w:val="00237C9C"/>
    <w:rsid w:val="00241374"/>
    <w:rsid w:val="00241402"/>
    <w:rsid w:val="00245255"/>
    <w:rsid w:val="00245D61"/>
    <w:rsid w:val="002461F4"/>
    <w:rsid w:val="00247453"/>
    <w:rsid w:val="00254A90"/>
    <w:rsid w:val="00256540"/>
    <w:rsid w:val="00261238"/>
    <w:rsid w:val="00262EEE"/>
    <w:rsid w:val="002642A3"/>
    <w:rsid w:val="0026470A"/>
    <w:rsid w:val="002653EE"/>
    <w:rsid w:val="0026645C"/>
    <w:rsid w:val="002674CE"/>
    <w:rsid w:val="00267F7E"/>
    <w:rsid w:val="0027017B"/>
    <w:rsid w:val="00270236"/>
    <w:rsid w:val="00271898"/>
    <w:rsid w:val="00271C62"/>
    <w:rsid w:val="00272B7B"/>
    <w:rsid w:val="00277E18"/>
    <w:rsid w:val="00282AA9"/>
    <w:rsid w:val="00282D45"/>
    <w:rsid w:val="002834C2"/>
    <w:rsid w:val="0028495F"/>
    <w:rsid w:val="00290140"/>
    <w:rsid w:val="002904EA"/>
    <w:rsid w:val="00290FCC"/>
    <w:rsid w:val="002913FE"/>
    <w:rsid w:val="0029159C"/>
    <w:rsid w:val="00292F7D"/>
    <w:rsid w:val="002952D0"/>
    <w:rsid w:val="002952FE"/>
    <w:rsid w:val="00295A1C"/>
    <w:rsid w:val="00296806"/>
    <w:rsid w:val="00297FCD"/>
    <w:rsid w:val="002A1136"/>
    <w:rsid w:val="002A14A4"/>
    <w:rsid w:val="002A1AEA"/>
    <w:rsid w:val="002A3DC4"/>
    <w:rsid w:val="002A59BF"/>
    <w:rsid w:val="002A6991"/>
    <w:rsid w:val="002A7EEE"/>
    <w:rsid w:val="002B2603"/>
    <w:rsid w:val="002B409C"/>
    <w:rsid w:val="002B6B2B"/>
    <w:rsid w:val="002B6CB3"/>
    <w:rsid w:val="002B718F"/>
    <w:rsid w:val="002C490B"/>
    <w:rsid w:val="002C4F2A"/>
    <w:rsid w:val="002C5216"/>
    <w:rsid w:val="002C780E"/>
    <w:rsid w:val="002D2474"/>
    <w:rsid w:val="002D2B27"/>
    <w:rsid w:val="002D5906"/>
    <w:rsid w:val="002D5B67"/>
    <w:rsid w:val="002D7E86"/>
    <w:rsid w:val="002E0EFC"/>
    <w:rsid w:val="002E4CCE"/>
    <w:rsid w:val="002E5C09"/>
    <w:rsid w:val="002E602C"/>
    <w:rsid w:val="002F1069"/>
    <w:rsid w:val="002F3D00"/>
    <w:rsid w:val="002F6673"/>
    <w:rsid w:val="002F766B"/>
    <w:rsid w:val="003019C9"/>
    <w:rsid w:val="00301D8B"/>
    <w:rsid w:val="00302EE0"/>
    <w:rsid w:val="00303713"/>
    <w:rsid w:val="00303F5D"/>
    <w:rsid w:val="00304D66"/>
    <w:rsid w:val="00306D24"/>
    <w:rsid w:val="00306E56"/>
    <w:rsid w:val="00310EF9"/>
    <w:rsid w:val="003118F8"/>
    <w:rsid w:val="00315C6A"/>
    <w:rsid w:val="0031624B"/>
    <w:rsid w:val="00317BCB"/>
    <w:rsid w:val="00322615"/>
    <w:rsid w:val="00322849"/>
    <w:rsid w:val="0032551E"/>
    <w:rsid w:val="003274CA"/>
    <w:rsid w:val="00330D39"/>
    <w:rsid w:val="00331468"/>
    <w:rsid w:val="00331560"/>
    <w:rsid w:val="00331924"/>
    <w:rsid w:val="00331B33"/>
    <w:rsid w:val="00337E03"/>
    <w:rsid w:val="00342BDE"/>
    <w:rsid w:val="00344FC3"/>
    <w:rsid w:val="0034516F"/>
    <w:rsid w:val="003461C7"/>
    <w:rsid w:val="0034623D"/>
    <w:rsid w:val="003464C1"/>
    <w:rsid w:val="00346C50"/>
    <w:rsid w:val="003508FE"/>
    <w:rsid w:val="0035137A"/>
    <w:rsid w:val="00351889"/>
    <w:rsid w:val="003533F5"/>
    <w:rsid w:val="003561FE"/>
    <w:rsid w:val="00357CE7"/>
    <w:rsid w:val="00360488"/>
    <w:rsid w:val="0036129D"/>
    <w:rsid w:val="00364B99"/>
    <w:rsid w:val="00370484"/>
    <w:rsid w:val="00370C91"/>
    <w:rsid w:val="003724B3"/>
    <w:rsid w:val="00375EE7"/>
    <w:rsid w:val="00377E3A"/>
    <w:rsid w:val="00380B2D"/>
    <w:rsid w:val="00380E00"/>
    <w:rsid w:val="0038304D"/>
    <w:rsid w:val="003833C7"/>
    <w:rsid w:val="00383A6C"/>
    <w:rsid w:val="00383AE9"/>
    <w:rsid w:val="00385080"/>
    <w:rsid w:val="0039056D"/>
    <w:rsid w:val="003917BA"/>
    <w:rsid w:val="00391E3F"/>
    <w:rsid w:val="003923F2"/>
    <w:rsid w:val="00392436"/>
    <w:rsid w:val="003940F2"/>
    <w:rsid w:val="00395073"/>
    <w:rsid w:val="00396404"/>
    <w:rsid w:val="00396D75"/>
    <w:rsid w:val="0039750B"/>
    <w:rsid w:val="003A0D07"/>
    <w:rsid w:val="003A2465"/>
    <w:rsid w:val="003A3186"/>
    <w:rsid w:val="003A3EA4"/>
    <w:rsid w:val="003A54E3"/>
    <w:rsid w:val="003B09F4"/>
    <w:rsid w:val="003B244C"/>
    <w:rsid w:val="003B2502"/>
    <w:rsid w:val="003B3850"/>
    <w:rsid w:val="003B46C0"/>
    <w:rsid w:val="003B4710"/>
    <w:rsid w:val="003B4719"/>
    <w:rsid w:val="003B5137"/>
    <w:rsid w:val="003C0B4A"/>
    <w:rsid w:val="003C49D0"/>
    <w:rsid w:val="003C5768"/>
    <w:rsid w:val="003C7AB5"/>
    <w:rsid w:val="003D0563"/>
    <w:rsid w:val="003D0A06"/>
    <w:rsid w:val="003D23E9"/>
    <w:rsid w:val="003D2547"/>
    <w:rsid w:val="003D3D43"/>
    <w:rsid w:val="003D42F3"/>
    <w:rsid w:val="003D4FB0"/>
    <w:rsid w:val="003D64A2"/>
    <w:rsid w:val="003E1E16"/>
    <w:rsid w:val="003E3880"/>
    <w:rsid w:val="003E4003"/>
    <w:rsid w:val="003E50CE"/>
    <w:rsid w:val="003E5161"/>
    <w:rsid w:val="003E56BD"/>
    <w:rsid w:val="003F0B8A"/>
    <w:rsid w:val="003F11B9"/>
    <w:rsid w:val="003F2103"/>
    <w:rsid w:val="003F3297"/>
    <w:rsid w:val="003F4D0E"/>
    <w:rsid w:val="003F50F6"/>
    <w:rsid w:val="003F5C8E"/>
    <w:rsid w:val="003F6D5C"/>
    <w:rsid w:val="004006BF"/>
    <w:rsid w:val="00401865"/>
    <w:rsid w:val="00401F5F"/>
    <w:rsid w:val="00403300"/>
    <w:rsid w:val="00404211"/>
    <w:rsid w:val="0040733C"/>
    <w:rsid w:val="00407C2D"/>
    <w:rsid w:val="0041139C"/>
    <w:rsid w:val="00411941"/>
    <w:rsid w:val="004122AC"/>
    <w:rsid w:val="004127F9"/>
    <w:rsid w:val="00413ACE"/>
    <w:rsid w:val="00416037"/>
    <w:rsid w:val="004200DC"/>
    <w:rsid w:val="004208D2"/>
    <w:rsid w:val="0042163C"/>
    <w:rsid w:val="0042708E"/>
    <w:rsid w:val="00427373"/>
    <w:rsid w:val="0042745B"/>
    <w:rsid w:val="00431531"/>
    <w:rsid w:val="004315DD"/>
    <w:rsid w:val="00432047"/>
    <w:rsid w:val="004340E8"/>
    <w:rsid w:val="00434359"/>
    <w:rsid w:val="0043439E"/>
    <w:rsid w:val="00434812"/>
    <w:rsid w:val="00435754"/>
    <w:rsid w:val="00437FFC"/>
    <w:rsid w:val="00440FE9"/>
    <w:rsid w:val="00445CDF"/>
    <w:rsid w:val="00446F59"/>
    <w:rsid w:val="004478B8"/>
    <w:rsid w:val="004505DA"/>
    <w:rsid w:val="004508DC"/>
    <w:rsid w:val="00450CDE"/>
    <w:rsid w:val="004518FB"/>
    <w:rsid w:val="004519B5"/>
    <w:rsid w:val="004524EC"/>
    <w:rsid w:val="00453AD0"/>
    <w:rsid w:val="00453F6E"/>
    <w:rsid w:val="00454B1A"/>
    <w:rsid w:val="00455A48"/>
    <w:rsid w:val="00462755"/>
    <w:rsid w:val="00463A8E"/>
    <w:rsid w:val="00470373"/>
    <w:rsid w:val="00471DD5"/>
    <w:rsid w:val="00473C19"/>
    <w:rsid w:val="00475EE5"/>
    <w:rsid w:val="00477D03"/>
    <w:rsid w:val="00481630"/>
    <w:rsid w:val="00482488"/>
    <w:rsid w:val="00482AD2"/>
    <w:rsid w:val="00482B78"/>
    <w:rsid w:val="004830B4"/>
    <w:rsid w:val="00484BC8"/>
    <w:rsid w:val="004864A9"/>
    <w:rsid w:val="00486AE4"/>
    <w:rsid w:val="0049027B"/>
    <w:rsid w:val="00490488"/>
    <w:rsid w:val="00491184"/>
    <w:rsid w:val="00493D66"/>
    <w:rsid w:val="00497CDF"/>
    <w:rsid w:val="004A138C"/>
    <w:rsid w:val="004A56A5"/>
    <w:rsid w:val="004A5722"/>
    <w:rsid w:val="004A76B4"/>
    <w:rsid w:val="004B1D3B"/>
    <w:rsid w:val="004B374C"/>
    <w:rsid w:val="004B3956"/>
    <w:rsid w:val="004B404B"/>
    <w:rsid w:val="004B404E"/>
    <w:rsid w:val="004B59BD"/>
    <w:rsid w:val="004B6A7C"/>
    <w:rsid w:val="004C5E68"/>
    <w:rsid w:val="004D1421"/>
    <w:rsid w:val="004D49D1"/>
    <w:rsid w:val="004D4AED"/>
    <w:rsid w:val="004D5C6D"/>
    <w:rsid w:val="004D644B"/>
    <w:rsid w:val="004D6D62"/>
    <w:rsid w:val="004E34AC"/>
    <w:rsid w:val="004E6206"/>
    <w:rsid w:val="004E76FE"/>
    <w:rsid w:val="004E7CE9"/>
    <w:rsid w:val="004F002F"/>
    <w:rsid w:val="004F0D5F"/>
    <w:rsid w:val="004F41E0"/>
    <w:rsid w:val="004F63FB"/>
    <w:rsid w:val="004F6650"/>
    <w:rsid w:val="004F6B31"/>
    <w:rsid w:val="004F6BA0"/>
    <w:rsid w:val="004F6EFB"/>
    <w:rsid w:val="005006C9"/>
    <w:rsid w:val="00505AC6"/>
    <w:rsid w:val="005064D7"/>
    <w:rsid w:val="00506BCD"/>
    <w:rsid w:val="00507652"/>
    <w:rsid w:val="0051016B"/>
    <w:rsid w:val="005113E8"/>
    <w:rsid w:val="00511473"/>
    <w:rsid w:val="005117B2"/>
    <w:rsid w:val="00511E20"/>
    <w:rsid w:val="00511EC5"/>
    <w:rsid w:val="005131A5"/>
    <w:rsid w:val="00521888"/>
    <w:rsid w:val="00521DEC"/>
    <w:rsid w:val="005248C3"/>
    <w:rsid w:val="00525021"/>
    <w:rsid w:val="005269A2"/>
    <w:rsid w:val="005269A3"/>
    <w:rsid w:val="005273E3"/>
    <w:rsid w:val="00530CFC"/>
    <w:rsid w:val="005311A2"/>
    <w:rsid w:val="00531EA0"/>
    <w:rsid w:val="0053243E"/>
    <w:rsid w:val="0053393A"/>
    <w:rsid w:val="00534E9C"/>
    <w:rsid w:val="00536457"/>
    <w:rsid w:val="00540FD1"/>
    <w:rsid w:val="0054126E"/>
    <w:rsid w:val="00541934"/>
    <w:rsid w:val="0054266F"/>
    <w:rsid w:val="00550660"/>
    <w:rsid w:val="00551AC6"/>
    <w:rsid w:val="00552655"/>
    <w:rsid w:val="00553DC4"/>
    <w:rsid w:val="0055477D"/>
    <w:rsid w:val="0055531E"/>
    <w:rsid w:val="005562AF"/>
    <w:rsid w:val="005574B6"/>
    <w:rsid w:val="00557C4F"/>
    <w:rsid w:val="005629C2"/>
    <w:rsid w:val="00563E05"/>
    <w:rsid w:val="005646B4"/>
    <w:rsid w:val="00565B2B"/>
    <w:rsid w:val="005665AF"/>
    <w:rsid w:val="00567389"/>
    <w:rsid w:val="00570DFE"/>
    <w:rsid w:val="005712A8"/>
    <w:rsid w:val="00581355"/>
    <w:rsid w:val="00583B76"/>
    <w:rsid w:val="00584CCC"/>
    <w:rsid w:val="005859C8"/>
    <w:rsid w:val="00585E1D"/>
    <w:rsid w:val="00586FF6"/>
    <w:rsid w:val="005902D9"/>
    <w:rsid w:val="00590C18"/>
    <w:rsid w:val="00590E62"/>
    <w:rsid w:val="0059135E"/>
    <w:rsid w:val="005923CD"/>
    <w:rsid w:val="00593A4B"/>
    <w:rsid w:val="00593CF9"/>
    <w:rsid w:val="005951F9"/>
    <w:rsid w:val="005A0D5B"/>
    <w:rsid w:val="005A4813"/>
    <w:rsid w:val="005A4E52"/>
    <w:rsid w:val="005A6222"/>
    <w:rsid w:val="005A71E1"/>
    <w:rsid w:val="005A730E"/>
    <w:rsid w:val="005A7B75"/>
    <w:rsid w:val="005B0EDB"/>
    <w:rsid w:val="005B121A"/>
    <w:rsid w:val="005B13B9"/>
    <w:rsid w:val="005B454D"/>
    <w:rsid w:val="005B593C"/>
    <w:rsid w:val="005B6253"/>
    <w:rsid w:val="005B7EE9"/>
    <w:rsid w:val="005C0368"/>
    <w:rsid w:val="005C05B4"/>
    <w:rsid w:val="005C1741"/>
    <w:rsid w:val="005C5B50"/>
    <w:rsid w:val="005C6357"/>
    <w:rsid w:val="005D578F"/>
    <w:rsid w:val="005D6903"/>
    <w:rsid w:val="005D6DDC"/>
    <w:rsid w:val="005E0771"/>
    <w:rsid w:val="005E24C3"/>
    <w:rsid w:val="005E39C2"/>
    <w:rsid w:val="005E4DD2"/>
    <w:rsid w:val="005E51A3"/>
    <w:rsid w:val="005E5EF1"/>
    <w:rsid w:val="005E744D"/>
    <w:rsid w:val="005E7971"/>
    <w:rsid w:val="005F010A"/>
    <w:rsid w:val="005F070B"/>
    <w:rsid w:val="005F195D"/>
    <w:rsid w:val="005F2326"/>
    <w:rsid w:val="005F2651"/>
    <w:rsid w:val="005F40C8"/>
    <w:rsid w:val="005F7957"/>
    <w:rsid w:val="006008A3"/>
    <w:rsid w:val="00602D79"/>
    <w:rsid w:val="006033FF"/>
    <w:rsid w:val="006130B0"/>
    <w:rsid w:val="0061481E"/>
    <w:rsid w:val="00615885"/>
    <w:rsid w:val="00620AC4"/>
    <w:rsid w:val="00623A75"/>
    <w:rsid w:val="00625783"/>
    <w:rsid w:val="0062746A"/>
    <w:rsid w:val="006277EC"/>
    <w:rsid w:val="00627EE5"/>
    <w:rsid w:val="00633024"/>
    <w:rsid w:val="00634922"/>
    <w:rsid w:val="00635ADD"/>
    <w:rsid w:val="00640A61"/>
    <w:rsid w:val="0064111D"/>
    <w:rsid w:val="00647611"/>
    <w:rsid w:val="00652690"/>
    <w:rsid w:val="00652930"/>
    <w:rsid w:val="006554B6"/>
    <w:rsid w:val="006559CA"/>
    <w:rsid w:val="006611A6"/>
    <w:rsid w:val="006637CA"/>
    <w:rsid w:val="006657FF"/>
    <w:rsid w:val="00671A4F"/>
    <w:rsid w:val="00671E09"/>
    <w:rsid w:val="00671F2C"/>
    <w:rsid w:val="006768AA"/>
    <w:rsid w:val="00680D80"/>
    <w:rsid w:val="00682079"/>
    <w:rsid w:val="006828B8"/>
    <w:rsid w:val="006858FA"/>
    <w:rsid w:val="00687B34"/>
    <w:rsid w:val="0069059B"/>
    <w:rsid w:val="00694797"/>
    <w:rsid w:val="00694C82"/>
    <w:rsid w:val="00694CCC"/>
    <w:rsid w:val="0069685B"/>
    <w:rsid w:val="00696F71"/>
    <w:rsid w:val="006A0A13"/>
    <w:rsid w:val="006A0A3B"/>
    <w:rsid w:val="006A12B7"/>
    <w:rsid w:val="006A174D"/>
    <w:rsid w:val="006A18BA"/>
    <w:rsid w:val="006A216D"/>
    <w:rsid w:val="006A2B12"/>
    <w:rsid w:val="006A2B2A"/>
    <w:rsid w:val="006A3D4D"/>
    <w:rsid w:val="006A5559"/>
    <w:rsid w:val="006A7979"/>
    <w:rsid w:val="006B0140"/>
    <w:rsid w:val="006B42B2"/>
    <w:rsid w:val="006B5C81"/>
    <w:rsid w:val="006B5C94"/>
    <w:rsid w:val="006B7AD3"/>
    <w:rsid w:val="006C09AD"/>
    <w:rsid w:val="006C0DCC"/>
    <w:rsid w:val="006C1603"/>
    <w:rsid w:val="006C228F"/>
    <w:rsid w:val="006C2FB4"/>
    <w:rsid w:val="006C334C"/>
    <w:rsid w:val="006C3BF0"/>
    <w:rsid w:val="006C48EA"/>
    <w:rsid w:val="006C5BD3"/>
    <w:rsid w:val="006C6C19"/>
    <w:rsid w:val="006D54F4"/>
    <w:rsid w:val="006D7303"/>
    <w:rsid w:val="006E1AD4"/>
    <w:rsid w:val="006E224D"/>
    <w:rsid w:val="006E2DBF"/>
    <w:rsid w:val="006E46AB"/>
    <w:rsid w:val="006E4900"/>
    <w:rsid w:val="006F0BE5"/>
    <w:rsid w:val="006F187C"/>
    <w:rsid w:val="006F3704"/>
    <w:rsid w:val="006F46B6"/>
    <w:rsid w:val="006F4FD0"/>
    <w:rsid w:val="006F50E9"/>
    <w:rsid w:val="006F5DD7"/>
    <w:rsid w:val="006F6F93"/>
    <w:rsid w:val="00701121"/>
    <w:rsid w:val="00701151"/>
    <w:rsid w:val="00703051"/>
    <w:rsid w:val="00703FCB"/>
    <w:rsid w:val="00705867"/>
    <w:rsid w:val="00706FF7"/>
    <w:rsid w:val="00707F2F"/>
    <w:rsid w:val="0071153F"/>
    <w:rsid w:val="00711594"/>
    <w:rsid w:val="00712FDD"/>
    <w:rsid w:val="007150FF"/>
    <w:rsid w:val="00715795"/>
    <w:rsid w:val="00717151"/>
    <w:rsid w:val="00717C06"/>
    <w:rsid w:val="00721AE8"/>
    <w:rsid w:val="00723A67"/>
    <w:rsid w:val="00724F70"/>
    <w:rsid w:val="00726A1A"/>
    <w:rsid w:val="00730725"/>
    <w:rsid w:val="00731ED4"/>
    <w:rsid w:val="00732433"/>
    <w:rsid w:val="007335C9"/>
    <w:rsid w:val="007354E6"/>
    <w:rsid w:val="00736C42"/>
    <w:rsid w:val="007371CC"/>
    <w:rsid w:val="0073755C"/>
    <w:rsid w:val="0074123D"/>
    <w:rsid w:val="00741547"/>
    <w:rsid w:val="00743F1C"/>
    <w:rsid w:val="0074564B"/>
    <w:rsid w:val="00745C91"/>
    <w:rsid w:val="007463D7"/>
    <w:rsid w:val="00746B73"/>
    <w:rsid w:val="00746F23"/>
    <w:rsid w:val="007476C1"/>
    <w:rsid w:val="00753058"/>
    <w:rsid w:val="00753AF8"/>
    <w:rsid w:val="00754603"/>
    <w:rsid w:val="00755BD6"/>
    <w:rsid w:val="00755F93"/>
    <w:rsid w:val="007609D0"/>
    <w:rsid w:val="007618ED"/>
    <w:rsid w:val="00762194"/>
    <w:rsid w:val="007629F1"/>
    <w:rsid w:val="0076372B"/>
    <w:rsid w:val="007644B6"/>
    <w:rsid w:val="0076540C"/>
    <w:rsid w:val="00765BC3"/>
    <w:rsid w:val="00767345"/>
    <w:rsid w:val="00770CA9"/>
    <w:rsid w:val="00771127"/>
    <w:rsid w:val="00771379"/>
    <w:rsid w:val="007728A5"/>
    <w:rsid w:val="007747BB"/>
    <w:rsid w:val="007759F9"/>
    <w:rsid w:val="00781250"/>
    <w:rsid w:val="007855C2"/>
    <w:rsid w:val="0079005C"/>
    <w:rsid w:val="00790D95"/>
    <w:rsid w:val="00791DA7"/>
    <w:rsid w:val="00792202"/>
    <w:rsid w:val="00793097"/>
    <w:rsid w:val="00793ACC"/>
    <w:rsid w:val="007943A0"/>
    <w:rsid w:val="007955E5"/>
    <w:rsid w:val="0079760A"/>
    <w:rsid w:val="007A4C3A"/>
    <w:rsid w:val="007A62A1"/>
    <w:rsid w:val="007A6768"/>
    <w:rsid w:val="007A70AA"/>
    <w:rsid w:val="007B1A2B"/>
    <w:rsid w:val="007B37B2"/>
    <w:rsid w:val="007B476B"/>
    <w:rsid w:val="007B501C"/>
    <w:rsid w:val="007B7078"/>
    <w:rsid w:val="007B7FC1"/>
    <w:rsid w:val="007C1AA0"/>
    <w:rsid w:val="007C20E6"/>
    <w:rsid w:val="007C2594"/>
    <w:rsid w:val="007C5043"/>
    <w:rsid w:val="007D0F64"/>
    <w:rsid w:val="007D40C4"/>
    <w:rsid w:val="007D7419"/>
    <w:rsid w:val="007E00B5"/>
    <w:rsid w:val="007E01E0"/>
    <w:rsid w:val="007E3AAA"/>
    <w:rsid w:val="007F230E"/>
    <w:rsid w:val="007F2F81"/>
    <w:rsid w:val="007F59EF"/>
    <w:rsid w:val="00800350"/>
    <w:rsid w:val="008021EA"/>
    <w:rsid w:val="00803486"/>
    <w:rsid w:val="00805994"/>
    <w:rsid w:val="0080674C"/>
    <w:rsid w:val="0081024F"/>
    <w:rsid w:val="0081166C"/>
    <w:rsid w:val="00811CDE"/>
    <w:rsid w:val="00811D65"/>
    <w:rsid w:val="00813020"/>
    <w:rsid w:val="00813A29"/>
    <w:rsid w:val="008154C5"/>
    <w:rsid w:val="00815D6F"/>
    <w:rsid w:val="00822EF6"/>
    <w:rsid w:val="008258D1"/>
    <w:rsid w:val="00825B32"/>
    <w:rsid w:val="0082655A"/>
    <w:rsid w:val="00826C9B"/>
    <w:rsid w:val="0082726B"/>
    <w:rsid w:val="0083023E"/>
    <w:rsid w:val="00830F3E"/>
    <w:rsid w:val="008344AC"/>
    <w:rsid w:val="0083579A"/>
    <w:rsid w:val="00841B55"/>
    <w:rsid w:val="00844ED9"/>
    <w:rsid w:val="00845BD8"/>
    <w:rsid w:val="00846B91"/>
    <w:rsid w:val="00847C80"/>
    <w:rsid w:val="00855B5F"/>
    <w:rsid w:val="00856698"/>
    <w:rsid w:val="0085694B"/>
    <w:rsid w:val="00857EFC"/>
    <w:rsid w:val="00860279"/>
    <w:rsid w:val="0086339D"/>
    <w:rsid w:val="008633AB"/>
    <w:rsid w:val="008636B1"/>
    <w:rsid w:val="00864BEE"/>
    <w:rsid w:val="00865B64"/>
    <w:rsid w:val="008663F0"/>
    <w:rsid w:val="00867ACC"/>
    <w:rsid w:val="008709FF"/>
    <w:rsid w:val="008744ED"/>
    <w:rsid w:val="00875085"/>
    <w:rsid w:val="008751AE"/>
    <w:rsid w:val="008751FD"/>
    <w:rsid w:val="00876FB7"/>
    <w:rsid w:val="0087709B"/>
    <w:rsid w:val="0087740E"/>
    <w:rsid w:val="00877970"/>
    <w:rsid w:val="008802D8"/>
    <w:rsid w:val="00880A3A"/>
    <w:rsid w:val="008824D8"/>
    <w:rsid w:val="00884C13"/>
    <w:rsid w:val="00885345"/>
    <w:rsid w:val="008857D0"/>
    <w:rsid w:val="00887935"/>
    <w:rsid w:val="00890656"/>
    <w:rsid w:val="008910FF"/>
    <w:rsid w:val="00891C79"/>
    <w:rsid w:val="00892028"/>
    <w:rsid w:val="0089210A"/>
    <w:rsid w:val="00892742"/>
    <w:rsid w:val="00893FC3"/>
    <w:rsid w:val="008948BF"/>
    <w:rsid w:val="00895645"/>
    <w:rsid w:val="00896403"/>
    <w:rsid w:val="00896643"/>
    <w:rsid w:val="00897D74"/>
    <w:rsid w:val="008A0DC2"/>
    <w:rsid w:val="008A1928"/>
    <w:rsid w:val="008A2EF0"/>
    <w:rsid w:val="008A6A21"/>
    <w:rsid w:val="008A7D09"/>
    <w:rsid w:val="008B217A"/>
    <w:rsid w:val="008B34B1"/>
    <w:rsid w:val="008B5326"/>
    <w:rsid w:val="008C1C56"/>
    <w:rsid w:val="008C2A4D"/>
    <w:rsid w:val="008C2BCC"/>
    <w:rsid w:val="008C3DD7"/>
    <w:rsid w:val="008C447B"/>
    <w:rsid w:val="008C515E"/>
    <w:rsid w:val="008C5164"/>
    <w:rsid w:val="008C6E3A"/>
    <w:rsid w:val="008C753B"/>
    <w:rsid w:val="008C761A"/>
    <w:rsid w:val="008D0061"/>
    <w:rsid w:val="008D1F39"/>
    <w:rsid w:val="008D3A1A"/>
    <w:rsid w:val="008D4A8A"/>
    <w:rsid w:val="008D5517"/>
    <w:rsid w:val="008D63C2"/>
    <w:rsid w:val="008D7A7E"/>
    <w:rsid w:val="008E56EB"/>
    <w:rsid w:val="008E587B"/>
    <w:rsid w:val="008F01AD"/>
    <w:rsid w:val="008F0A6F"/>
    <w:rsid w:val="008F0B6A"/>
    <w:rsid w:val="008F1E44"/>
    <w:rsid w:val="008F3C88"/>
    <w:rsid w:val="008F4F2F"/>
    <w:rsid w:val="008F5A6D"/>
    <w:rsid w:val="00900166"/>
    <w:rsid w:val="00900734"/>
    <w:rsid w:val="0090080B"/>
    <w:rsid w:val="00902988"/>
    <w:rsid w:val="00904FB7"/>
    <w:rsid w:val="009073DE"/>
    <w:rsid w:val="009074F9"/>
    <w:rsid w:val="00914C23"/>
    <w:rsid w:val="00915964"/>
    <w:rsid w:val="00917588"/>
    <w:rsid w:val="00921D5C"/>
    <w:rsid w:val="00922152"/>
    <w:rsid w:val="00924AA1"/>
    <w:rsid w:val="009255D2"/>
    <w:rsid w:val="00925E3E"/>
    <w:rsid w:val="009269F4"/>
    <w:rsid w:val="00927070"/>
    <w:rsid w:val="00927087"/>
    <w:rsid w:val="00927664"/>
    <w:rsid w:val="0093011E"/>
    <w:rsid w:val="0093160F"/>
    <w:rsid w:val="00932855"/>
    <w:rsid w:val="00934F66"/>
    <w:rsid w:val="009350AF"/>
    <w:rsid w:val="0093595B"/>
    <w:rsid w:val="00935994"/>
    <w:rsid w:val="00935C1F"/>
    <w:rsid w:val="00935C75"/>
    <w:rsid w:val="00935E11"/>
    <w:rsid w:val="00936B45"/>
    <w:rsid w:val="00937E0C"/>
    <w:rsid w:val="0094042A"/>
    <w:rsid w:val="00941CEE"/>
    <w:rsid w:val="00944AD1"/>
    <w:rsid w:val="00944B0B"/>
    <w:rsid w:val="00947369"/>
    <w:rsid w:val="00947D63"/>
    <w:rsid w:val="00950616"/>
    <w:rsid w:val="009511BA"/>
    <w:rsid w:val="00951B27"/>
    <w:rsid w:val="0095244F"/>
    <w:rsid w:val="0095364C"/>
    <w:rsid w:val="00954DDF"/>
    <w:rsid w:val="00960362"/>
    <w:rsid w:val="00960CA2"/>
    <w:rsid w:val="009618E7"/>
    <w:rsid w:val="00962244"/>
    <w:rsid w:val="009629E6"/>
    <w:rsid w:val="009634E3"/>
    <w:rsid w:val="00963C27"/>
    <w:rsid w:val="00965CF1"/>
    <w:rsid w:val="009705E4"/>
    <w:rsid w:val="009721C5"/>
    <w:rsid w:val="00972928"/>
    <w:rsid w:val="009738DC"/>
    <w:rsid w:val="009751FE"/>
    <w:rsid w:val="0097726F"/>
    <w:rsid w:val="00977DB1"/>
    <w:rsid w:val="009809C6"/>
    <w:rsid w:val="00980DAB"/>
    <w:rsid w:val="009817A7"/>
    <w:rsid w:val="00981DAC"/>
    <w:rsid w:val="00987505"/>
    <w:rsid w:val="00987F1A"/>
    <w:rsid w:val="00990CDD"/>
    <w:rsid w:val="00991488"/>
    <w:rsid w:val="00994FE6"/>
    <w:rsid w:val="009967AD"/>
    <w:rsid w:val="00997106"/>
    <w:rsid w:val="00997916"/>
    <w:rsid w:val="009979AF"/>
    <w:rsid w:val="00997CF2"/>
    <w:rsid w:val="009A2168"/>
    <w:rsid w:val="009A3B39"/>
    <w:rsid w:val="009A3D9B"/>
    <w:rsid w:val="009A7890"/>
    <w:rsid w:val="009B12C3"/>
    <w:rsid w:val="009B3358"/>
    <w:rsid w:val="009B7E3D"/>
    <w:rsid w:val="009C3DA3"/>
    <w:rsid w:val="009C4857"/>
    <w:rsid w:val="009C640D"/>
    <w:rsid w:val="009C69AD"/>
    <w:rsid w:val="009C7828"/>
    <w:rsid w:val="009D01DB"/>
    <w:rsid w:val="009D0310"/>
    <w:rsid w:val="009D13A1"/>
    <w:rsid w:val="009D2D3F"/>
    <w:rsid w:val="009D6AAC"/>
    <w:rsid w:val="009D6DD7"/>
    <w:rsid w:val="009E17D6"/>
    <w:rsid w:val="009E2649"/>
    <w:rsid w:val="009E2768"/>
    <w:rsid w:val="009E2AD3"/>
    <w:rsid w:val="009E2F72"/>
    <w:rsid w:val="009E42B0"/>
    <w:rsid w:val="009E7639"/>
    <w:rsid w:val="009F4EB5"/>
    <w:rsid w:val="00A022EE"/>
    <w:rsid w:val="00A04492"/>
    <w:rsid w:val="00A052B1"/>
    <w:rsid w:val="00A07F32"/>
    <w:rsid w:val="00A11625"/>
    <w:rsid w:val="00A21E69"/>
    <w:rsid w:val="00A22054"/>
    <w:rsid w:val="00A23EC8"/>
    <w:rsid w:val="00A246B6"/>
    <w:rsid w:val="00A30050"/>
    <w:rsid w:val="00A313A0"/>
    <w:rsid w:val="00A315AE"/>
    <w:rsid w:val="00A34405"/>
    <w:rsid w:val="00A34CE1"/>
    <w:rsid w:val="00A40D73"/>
    <w:rsid w:val="00A417B9"/>
    <w:rsid w:val="00A4224C"/>
    <w:rsid w:val="00A43ACD"/>
    <w:rsid w:val="00A453A3"/>
    <w:rsid w:val="00A46181"/>
    <w:rsid w:val="00A500B9"/>
    <w:rsid w:val="00A52995"/>
    <w:rsid w:val="00A53B32"/>
    <w:rsid w:val="00A555AF"/>
    <w:rsid w:val="00A55E60"/>
    <w:rsid w:val="00A56225"/>
    <w:rsid w:val="00A57696"/>
    <w:rsid w:val="00A57A83"/>
    <w:rsid w:val="00A60BED"/>
    <w:rsid w:val="00A616C4"/>
    <w:rsid w:val="00A64681"/>
    <w:rsid w:val="00A64AA2"/>
    <w:rsid w:val="00A64D9E"/>
    <w:rsid w:val="00A654BD"/>
    <w:rsid w:val="00A67263"/>
    <w:rsid w:val="00A672D9"/>
    <w:rsid w:val="00A70126"/>
    <w:rsid w:val="00A718D0"/>
    <w:rsid w:val="00A726C2"/>
    <w:rsid w:val="00A7284A"/>
    <w:rsid w:val="00A746BE"/>
    <w:rsid w:val="00A748F8"/>
    <w:rsid w:val="00A75161"/>
    <w:rsid w:val="00A75A44"/>
    <w:rsid w:val="00A77971"/>
    <w:rsid w:val="00A80477"/>
    <w:rsid w:val="00A82FBF"/>
    <w:rsid w:val="00A83457"/>
    <w:rsid w:val="00A83C45"/>
    <w:rsid w:val="00A8461E"/>
    <w:rsid w:val="00A85B1E"/>
    <w:rsid w:val="00A87022"/>
    <w:rsid w:val="00A8788C"/>
    <w:rsid w:val="00A90401"/>
    <w:rsid w:val="00A91F21"/>
    <w:rsid w:val="00A92267"/>
    <w:rsid w:val="00A9393A"/>
    <w:rsid w:val="00A9444C"/>
    <w:rsid w:val="00A95F1E"/>
    <w:rsid w:val="00A97564"/>
    <w:rsid w:val="00AA1F3A"/>
    <w:rsid w:val="00AA26B3"/>
    <w:rsid w:val="00AA3C00"/>
    <w:rsid w:val="00AA5666"/>
    <w:rsid w:val="00AA5975"/>
    <w:rsid w:val="00AA6B9D"/>
    <w:rsid w:val="00AB01E5"/>
    <w:rsid w:val="00AB2B3C"/>
    <w:rsid w:val="00AB4A11"/>
    <w:rsid w:val="00AB7F63"/>
    <w:rsid w:val="00AC02C1"/>
    <w:rsid w:val="00AC17AC"/>
    <w:rsid w:val="00AC27AE"/>
    <w:rsid w:val="00AC7537"/>
    <w:rsid w:val="00AD06AF"/>
    <w:rsid w:val="00AD0D56"/>
    <w:rsid w:val="00AD442D"/>
    <w:rsid w:val="00AD5F40"/>
    <w:rsid w:val="00AD662E"/>
    <w:rsid w:val="00AD6D67"/>
    <w:rsid w:val="00AD7867"/>
    <w:rsid w:val="00AE08D0"/>
    <w:rsid w:val="00AE2BB0"/>
    <w:rsid w:val="00AE321F"/>
    <w:rsid w:val="00AE591A"/>
    <w:rsid w:val="00AF034C"/>
    <w:rsid w:val="00AF3871"/>
    <w:rsid w:val="00AF45CD"/>
    <w:rsid w:val="00AF5BF3"/>
    <w:rsid w:val="00AF6504"/>
    <w:rsid w:val="00AF6893"/>
    <w:rsid w:val="00AF7B18"/>
    <w:rsid w:val="00B00A08"/>
    <w:rsid w:val="00B01F8F"/>
    <w:rsid w:val="00B02314"/>
    <w:rsid w:val="00B03B54"/>
    <w:rsid w:val="00B0496C"/>
    <w:rsid w:val="00B056D9"/>
    <w:rsid w:val="00B06732"/>
    <w:rsid w:val="00B07A5E"/>
    <w:rsid w:val="00B115F5"/>
    <w:rsid w:val="00B1241E"/>
    <w:rsid w:val="00B14B53"/>
    <w:rsid w:val="00B223BE"/>
    <w:rsid w:val="00B23D87"/>
    <w:rsid w:val="00B2602B"/>
    <w:rsid w:val="00B26D0F"/>
    <w:rsid w:val="00B30C8C"/>
    <w:rsid w:val="00B31C3E"/>
    <w:rsid w:val="00B31FE5"/>
    <w:rsid w:val="00B32079"/>
    <w:rsid w:val="00B32A57"/>
    <w:rsid w:val="00B35ACB"/>
    <w:rsid w:val="00B372D9"/>
    <w:rsid w:val="00B3730C"/>
    <w:rsid w:val="00B432B8"/>
    <w:rsid w:val="00B43FD8"/>
    <w:rsid w:val="00B441B6"/>
    <w:rsid w:val="00B45EC4"/>
    <w:rsid w:val="00B50F09"/>
    <w:rsid w:val="00B518FB"/>
    <w:rsid w:val="00B51F06"/>
    <w:rsid w:val="00B54B1E"/>
    <w:rsid w:val="00B56987"/>
    <w:rsid w:val="00B60580"/>
    <w:rsid w:val="00B62728"/>
    <w:rsid w:val="00B62FBE"/>
    <w:rsid w:val="00B63BDF"/>
    <w:rsid w:val="00B63D4E"/>
    <w:rsid w:val="00B658FA"/>
    <w:rsid w:val="00B67E38"/>
    <w:rsid w:val="00B7004C"/>
    <w:rsid w:val="00B7021C"/>
    <w:rsid w:val="00B71EEF"/>
    <w:rsid w:val="00B725BE"/>
    <w:rsid w:val="00B741FA"/>
    <w:rsid w:val="00B74B64"/>
    <w:rsid w:val="00B81E90"/>
    <w:rsid w:val="00B82F80"/>
    <w:rsid w:val="00B830E7"/>
    <w:rsid w:val="00B83971"/>
    <w:rsid w:val="00B8496A"/>
    <w:rsid w:val="00B86357"/>
    <w:rsid w:val="00B863F7"/>
    <w:rsid w:val="00B8642B"/>
    <w:rsid w:val="00B86CEF"/>
    <w:rsid w:val="00B90707"/>
    <w:rsid w:val="00B92149"/>
    <w:rsid w:val="00B92D3C"/>
    <w:rsid w:val="00B9366B"/>
    <w:rsid w:val="00B9433D"/>
    <w:rsid w:val="00BA033C"/>
    <w:rsid w:val="00BA0482"/>
    <w:rsid w:val="00BA734C"/>
    <w:rsid w:val="00BA7A28"/>
    <w:rsid w:val="00BB3D6A"/>
    <w:rsid w:val="00BB495B"/>
    <w:rsid w:val="00BB6D19"/>
    <w:rsid w:val="00BC0F34"/>
    <w:rsid w:val="00BC1B53"/>
    <w:rsid w:val="00BC349E"/>
    <w:rsid w:val="00BC438E"/>
    <w:rsid w:val="00BD0189"/>
    <w:rsid w:val="00BD0ACD"/>
    <w:rsid w:val="00BD0E4E"/>
    <w:rsid w:val="00BD288A"/>
    <w:rsid w:val="00BD3787"/>
    <w:rsid w:val="00BD47D2"/>
    <w:rsid w:val="00BD585C"/>
    <w:rsid w:val="00BD5B7C"/>
    <w:rsid w:val="00BD6563"/>
    <w:rsid w:val="00BD7087"/>
    <w:rsid w:val="00BD74A1"/>
    <w:rsid w:val="00BE1BFD"/>
    <w:rsid w:val="00BE1EA8"/>
    <w:rsid w:val="00BE236D"/>
    <w:rsid w:val="00BE357A"/>
    <w:rsid w:val="00BE475B"/>
    <w:rsid w:val="00BE4D9D"/>
    <w:rsid w:val="00BF2B8B"/>
    <w:rsid w:val="00BF36CD"/>
    <w:rsid w:val="00BF3B86"/>
    <w:rsid w:val="00BF5FDF"/>
    <w:rsid w:val="00BF7698"/>
    <w:rsid w:val="00C02912"/>
    <w:rsid w:val="00C033C2"/>
    <w:rsid w:val="00C03534"/>
    <w:rsid w:val="00C0480E"/>
    <w:rsid w:val="00C06155"/>
    <w:rsid w:val="00C062F5"/>
    <w:rsid w:val="00C069FB"/>
    <w:rsid w:val="00C1219E"/>
    <w:rsid w:val="00C151D0"/>
    <w:rsid w:val="00C16814"/>
    <w:rsid w:val="00C16F25"/>
    <w:rsid w:val="00C2239C"/>
    <w:rsid w:val="00C22D1C"/>
    <w:rsid w:val="00C237DF"/>
    <w:rsid w:val="00C250BD"/>
    <w:rsid w:val="00C2549E"/>
    <w:rsid w:val="00C259C8"/>
    <w:rsid w:val="00C25F8C"/>
    <w:rsid w:val="00C263C2"/>
    <w:rsid w:val="00C32C7A"/>
    <w:rsid w:val="00C32DD0"/>
    <w:rsid w:val="00C3326D"/>
    <w:rsid w:val="00C3348D"/>
    <w:rsid w:val="00C34990"/>
    <w:rsid w:val="00C367A6"/>
    <w:rsid w:val="00C400E5"/>
    <w:rsid w:val="00C40180"/>
    <w:rsid w:val="00C40539"/>
    <w:rsid w:val="00C417CE"/>
    <w:rsid w:val="00C4226B"/>
    <w:rsid w:val="00C452F9"/>
    <w:rsid w:val="00C45835"/>
    <w:rsid w:val="00C45C37"/>
    <w:rsid w:val="00C4643E"/>
    <w:rsid w:val="00C50974"/>
    <w:rsid w:val="00C517CC"/>
    <w:rsid w:val="00C51993"/>
    <w:rsid w:val="00C51A8B"/>
    <w:rsid w:val="00C54AAE"/>
    <w:rsid w:val="00C54C94"/>
    <w:rsid w:val="00C55FEF"/>
    <w:rsid w:val="00C56E42"/>
    <w:rsid w:val="00C57416"/>
    <w:rsid w:val="00C57790"/>
    <w:rsid w:val="00C61C7F"/>
    <w:rsid w:val="00C62147"/>
    <w:rsid w:val="00C633AA"/>
    <w:rsid w:val="00C646BB"/>
    <w:rsid w:val="00C65138"/>
    <w:rsid w:val="00C66499"/>
    <w:rsid w:val="00C67606"/>
    <w:rsid w:val="00C75442"/>
    <w:rsid w:val="00C757A0"/>
    <w:rsid w:val="00C7607F"/>
    <w:rsid w:val="00C76A00"/>
    <w:rsid w:val="00C77BF0"/>
    <w:rsid w:val="00C77D39"/>
    <w:rsid w:val="00C8593D"/>
    <w:rsid w:val="00C859C4"/>
    <w:rsid w:val="00C85C9B"/>
    <w:rsid w:val="00C86B30"/>
    <w:rsid w:val="00C90167"/>
    <w:rsid w:val="00C91340"/>
    <w:rsid w:val="00C91D7E"/>
    <w:rsid w:val="00C92833"/>
    <w:rsid w:val="00C959AE"/>
    <w:rsid w:val="00C97AD1"/>
    <w:rsid w:val="00CA0290"/>
    <w:rsid w:val="00CA2135"/>
    <w:rsid w:val="00CA2147"/>
    <w:rsid w:val="00CA2FF0"/>
    <w:rsid w:val="00CA39A6"/>
    <w:rsid w:val="00CA4502"/>
    <w:rsid w:val="00CB0052"/>
    <w:rsid w:val="00CB06AD"/>
    <w:rsid w:val="00CB06E1"/>
    <w:rsid w:val="00CB5BD8"/>
    <w:rsid w:val="00CB63C9"/>
    <w:rsid w:val="00CB7CAD"/>
    <w:rsid w:val="00CC174B"/>
    <w:rsid w:val="00CC1A02"/>
    <w:rsid w:val="00CC1A44"/>
    <w:rsid w:val="00CC3086"/>
    <w:rsid w:val="00CC39A5"/>
    <w:rsid w:val="00CC3C0E"/>
    <w:rsid w:val="00CC3FA2"/>
    <w:rsid w:val="00CC5D9E"/>
    <w:rsid w:val="00CD0B03"/>
    <w:rsid w:val="00CD0FED"/>
    <w:rsid w:val="00CD201C"/>
    <w:rsid w:val="00CD4A43"/>
    <w:rsid w:val="00CD4B95"/>
    <w:rsid w:val="00CD4BD5"/>
    <w:rsid w:val="00CD4C70"/>
    <w:rsid w:val="00CD5726"/>
    <w:rsid w:val="00CD5EB0"/>
    <w:rsid w:val="00CD6C1A"/>
    <w:rsid w:val="00CD6DD4"/>
    <w:rsid w:val="00CE1963"/>
    <w:rsid w:val="00CE5509"/>
    <w:rsid w:val="00CE55CF"/>
    <w:rsid w:val="00CF1109"/>
    <w:rsid w:val="00CF1EE2"/>
    <w:rsid w:val="00CF24F8"/>
    <w:rsid w:val="00CF2A4C"/>
    <w:rsid w:val="00CF6963"/>
    <w:rsid w:val="00CF7F6E"/>
    <w:rsid w:val="00D01282"/>
    <w:rsid w:val="00D04FCF"/>
    <w:rsid w:val="00D053E7"/>
    <w:rsid w:val="00D066ED"/>
    <w:rsid w:val="00D06E6D"/>
    <w:rsid w:val="00D1065F"/>
    <w:rsid w:val="00D11703"/>
    <w:rsid w:val="00D12C68"/>
    <w:rsid w:val="00D1477D"/>
    <w:rsid w:val="00D14805"/>
    <w:rsid w:val="00D17C11"/>
    <w:rsid w:val="00D2170E"/>
    <w:rsid w:val="00D224F8"/>
    <w:rsid w:val="00D243E2"/>
    <w:rsid w:val="00D2501F"/>
    <w:rsid w:val="00D25B1B"/>
    <w:rsid w:val="00D26954"/>
    <w:rsid w:val="00D279B4"/>
    <w:rsid w:val="00D31220"/>
    <w:rsid w:val="00D32581"/>
    <w:rsid w:val="00D33503"/>
    <w:rsid w:val="00D3354B"/>
    <w:rsid w:val="00D34C37"/>
    <w:rsid w:val="00D35112"/>
    <w:rsid w:val="00D35F41"/>
    <w:rsid w:val="00D41444"/>
    <w:rsid w:val="00D441C8"/>
    <w:rsid w:val="00D44363"/>
    <w:rsid w:val="00D4448B"/>
    <w:rsid w:val="00D44529"/>
    <w:rsid w:val="00D44577"/>
    <w:rsid w:val="00D45DEA"/>
    <w:rsid w:val="00D46246"/>
    <w:rsid w:val="00D467D8"/>
    <w:rsid w:val="00D46988"/>
    <w:rsid w:val="00D47B33"/>
    <w:rsid w:val="00D5133C"/>
    <w:rsid w:val="00D52C98"/>
    <w:rsid w:val="00D533A4"/>
    <w:rsid w:val="00D53D3E"/>
    <w:rsid w:val="00D55C73"/>
    <w:rsid w:val="00D55FF3"/>
    <w:rsid w:val="00D609AC"/>
    <w:rsid w:val="00D633B7"/>
    <w:rsid w:val="00D63466"/>
    <w:rsid w:val="00D65F79"/>
    <w:rsid w:val="00D66DA2"/>
    <w:rsid w:val="00D674AB"/>
    <w:rsid w:val="00D7059F"/>
    <w:rsid w:val="00D70768"/>
    <w:rsid w:val="00D7120A"/>
    <w:rsid w:val="00D72D7E"/>
    <w:rsid w:val="00D73408"/>
    <w:rsid w:val="00D73961"/>
    <w:rsid w:val="00D76996"/>
    <w:rsid w:val="00D76AAA"/>
    <w:rsid w:val="00D76ABD"/>
    <w:rsid w:val="00D778A2"/>
    <w:rsid w:val="00D803FF"/>
    <w:rsid w:val="00D82B14"/>
    <w:rsid w:val="00D84CC0"/>
    <w:rsid w:val="00D84D9C"/>
    <w:rsid w:val="00D855D0"/>
    <w:rsid w:val="00D90FDE"/>
    <w:rsid w:val="00D91921"/>
    <w:rsid w:val="00D928B9"/>
    <w:rsid w:val="00D92EB0"/>
    <w:rsid w:val="00D92FA3"/>
    <w:rsid w:val="00D938EE"/>
    <w:rsid w:val="00D941AD"/>
    <w:rsid w:val="00D95F3B"/>
    <w:rsid w:val="00DA023B"/>
    <w:rsid w:val="00DA139F"/>
    <w:rsid w:val="00DA167B"/>
    <w:rsid w:val="00DA1D5E"/>
    <w:rsid w:val="00DA3DFC"/>
    <w:rsid w:val="00DA5344"/>
    <w:rsid w:val="00DA7ABA"/>
    <w:rsid w:val="00DB2B2F"/>
    <w:rsid w:val="00DB5012"/>
    <w:rsid w:val="00DB5B36"/>
    <w:rsid w:val="00DB5D00"/>
    <w:rsid w:val="00DC2820"/>
    <w:rsid w:val="00DC32F3"/>
    <w:rsid w:val="00DD0E4E"/>
    <w:rsid w:val="00DD2808"/>
    <w:rsid w:val="00DD34E1"/>
    <w:rsid w:val="00DD4D6F"/>
    <w:rsid w:val="00DD5DAD"/>
    <w:rsid w:val="00DD6A8C"/>
    <w:rsid w:val="00DD763C"/>
    <w:rsid w:val="00DE2E18"/>
    <w:rsid w:val="00DE3475"/>
    <w:rsid w:val="00DE65B3"/>
    <w:rsid w:val="00DE6D5D"/>
    <w:rsid w:val="00DE7F73"/>
    <w:rsid w:val="00DF1C8C"/>
    <w:rsid w:val="00DF465D"/>
    <w:rsid w:val="00DF4DA1"/>
    <w:rsid w:val="00DF62B6"/>
    <w:rsid w:val="00E01625"/>
    <w:rsid w:val="00E026DA"/>
    <w:rsid w:val="00E02E29"/>
    <w:rsid w:val="00E041B4"/>
    <w:rsid w:val="00E0519E"/>
    <w:rsid w:val="00E076CE"/>
    <w:rsid w:val="00E10547"/>
    <w:rsid w:val="00E112DB"/>
    <w:rsid w:val="00E131D4"/>
    <w:rsid w:val="00E13CA9"/>
    <w:rsid w:val="00E1411A"/>
    <w:rsid w:val="00E144EE"/>
    <w:rsid w:val="00E15E45"/>
    <w:rsid w:val="00E16AEB"/>
    <w:rsid w:val="00E1707C"/>
    <w:rsid w:val="00E17E90"/>
    <w:rsid w:val="00E200D2"/>
    <w:rsid w:val="00E2038D"/>
    <w:rsid w:val="00E22538"/>
    <w:rsid w:val="00E23804"/>
    <w:rsid w:val="00E23E30"/>
    <w:rsid w:val="00E242C4"/>
    <w:rsid w:val="00E3189C"/>
    <w:rsid w:val="00E327CD"/>
    <w:rsid w:val="00E32A0E"/>
    <w:rsid w:val="00E32CA0"/>
    <w:rsid w:val="00E34AB4"/>
    <w:rsid w:val="00E353E0"/>
    <w:rsid w:val="00E35E11"/>
    <w:rsid w:val="00E40863"/>
    <w:rsid w:val="00E40E55"/>
    <w:rsid w:val="00E419D1"/>
    <w:rsid w:val="00E41E97"/>
    <w:rsid w:val="00E445AC"/>
    <w:rsid w:val="00E45ACA"/>
    <w:rsid w:val="00E50909"/>
    <w:rsid w:val="00E50A1F"/>
    <w:rsid w:val="00E50C1C"/>
    <w:rsid w:val="00E51792"/>
    <w:rsid w:val="00E5184D"/>
    <w:rsid w:val="00E5212C"/>
    <w:rsid w:val="00E53A2C"/>
    <w:rsid w:val="00E53B89"/>
    <w:rsid w:val="00E559DB"/>
    <w:rsid w:val="00E57643"/>
    <w:rsid w:val="00E62A40"/>
    <w:rsid w:val="00E63DC8"/>
    <w:rsid w:val="00E64523"/>
    <w:rsid w:val="00E664AC"/>
    <w:rsid w:val="00E7239D"/>
    <w:rsid w:val="00E7291B"/>
    <w:rsid w:val="00E7332B"/>
    <w:rsid w:val="00E761B3"/>
    <w:rsid w:val="00E77175"/>
    <w:rsid w:val="00E77431"/>
    <w:rsid w:val="00E77C23"/>
    <w:rsid w:val="00E80C1C"/>
    <w:rsid w:val="00E83524"/>
    <w:rsid w:val="00E843D9"/>
    <w:rsid w:val="00E851D7"/>
    <w:rsid w:val="00E90063"/>
    <w:rsid w:val="00E911F8"/>
    <w:rsid w:val="00E9169B"/>
    <w:rsid w:val="00E9274A"/>
    <w:rsid w:val="00E92E40"/>
    <w:rsid w:val="00E93002"/>
    <w:rsid w:val="00E94476"/>
    <w:rsid w:val="00E9452E"/>
    <w:rsid w:val="00E949C2"/>
    <w:rsid w:val="00E95CD5"/>
    <w:rsid w:val="00EA19F1"/>
    <w:rsid w:val="00EA213F"/>
    <w:rsid w:val="00EA22B5"/>
    <w:rsid w:val="00EB0426"/>
    <w:rsid w:val="00EB2A39"/>
    <w:rsid w:val="00EB3FA9"/>
    <w:rsid w:val="00EB4981"/>
    <w:rsid w:val="00EB59F1"/>
    <w:rsid w:val="00EB603E"/>
    <w:rsid w:val="00EB6295"/>
    <w:rsid w:val="00EC0462"/>
    <w:rsid w:val="00EC28A6"/>
    <w:rsid w:val="00EC490B"/>
    <w:rsid w:val="00EC4B59"/>
    <w:rsid w:val="00EC5D14"/>
    <w:rsid w:val="00EC66F1"/>
    <w:rsid w:val="00ED17A4"/>
    <w:rsid w:val="00ED1E81"/>
    <w:rsid w:val="00ED2D3C"/>
    <w:rsid w:val="00ED2DD5"/>
    <w:rsid w:val="00ED658D"/>
    <w:rsid w:val="00EE1C7C"/>
    <w:rsid w:val="00EE320F"/>
    <w:rsid w:val="00EE3817"/>
    <w:rsid w:val="00EE3A4D"/>
    <w:rsid w:val="00EE4048"/>
    <w:rsid w:val="00EE4197"/>
    <w:rsid w:val="00EE7DB7"/>
    <w:rsid w:val="00EF065E"/>
    <w:rsid w:val="00EF1EF6"/>
    <w:rsid w:val="00EF2781"/>
    <w:rsid w:val="00EF3565"/>
    <w:rsid w:val="00EF45B5"/>
    <w:rsid w:val="00EF5BE4"/>
    <w:rsid w:val="00EF782B"/>
    <w:rsid w:val="00F00288"/>
    <w:rsid w:val="00F00E0C"/>
    <w:rsid w:val="00F01814"/>
    <w:rsid w:val="00F0344A"/>
    <w:rsid w:val="00F04EFD"/>
    <w:rsid w:val="00F07221"/>
    <w:rsid w:val="00F07E94"/>
    <w:rsid w:val="00F100B3"/>
    <w:rsid w:val="00F10B3B"/>
    <w:rsid w:val="00F10BC4"/>
    <w:rsid w:val="00F10E22"/>
    <w:rsid w:val="00F11956"/>
    <w:rsid w:val="00F11C84"/>
    <w:rsid w:val="00F15A20"/>
    <w:rsid w:val="00F169B0"/>
    <w:rsid w:val="00F16E4A"/>
    <w:rsid w:val="00F170AF"/>
    <w:rsid w:val="00F20957"/>
    <w:rsid w:val="00F21902"/>
    <w:rsid w:val="00F22281"/>
    <w:rsid w:val="00F2315E"/>
    <w:rsid w:val="00F23A77"/>
    <w:rsid w:val="00F2425B"/>
    <w:rsid w:val="00F256FA"/>
    <w:rsid w:val="00F25E6B"/>
    <w:rsid w:val="00F25E96"/>
    <w:rsid w:val="00F30577"/>
    <w:rsid w:val="00F3082D"/>
    <w:rsid w:val="00F31E3E"/>
    <w:rsid w:val="00F328C3"/>
    <w:rsid w:val="00F3346A"/>
    <w:rsid w:val="00F337D7"/>
    <w:rsid w:val="00F34D47"/>
    <w:rsid w:val="00F356E7"/>
    <w:rsid w:val="00F36AD2"/>
    <w:rsid w:val="00F41303"/>
    <w:rsid w:val="00F43C1B"/>
    <w:rsid w:val="00F449CF"/>
    <w:rsid w:val="00F4508E"/>
    <w:rsid w:val="00F46183"/>
    <w:rsid w:val="00F46347"/>
    <w:rsid w:val="00F47571"/>
    <w:rsid w:val="00F51EF3"/>
    <w:rsid w:val="00F528BD"/>
    <w:rsid w:val="00F528E9"/>
    <w:rsid w:val="00F55A8D"/>
    <w:rsid w:val="00F55F39"/>
    <w:rsid w:val="00F56A52"/>
    <w:rsid w:val="00F57274"/>
    <w:rsid w:val="00F619CC"/>
    <w:rsid w:val="00F61F29"/>
    <w:rsid w:val="00F667BE"/>
    <w:rsid w:val="00F66D59"/>
    <w:rsid w:val="00F6716A"/>
    <w:rsid w:val="00F6795C"/>
    <w:rsid w:val="00F72370"/>
    <w:rsid w:val="00F730EC"/>
    <w:rsid w:val="00F75471"/>
    <w:rsid w:val="00F76F61"/>
    <w:rsid w:val="00F77011"/>
    <w:rsid w:val="00F80686"/>
    <w:rsid w:val="00F811FB"/>
    <w:rsid w:val="00F84D81"/>
    <w:rsid w:val="00F85539"/>
    <w:rsid w:val="00F857AB"/>
    <w:rsid w:val="00F878B0"/>
    <w:rsid w:val="00F9039E"/>
    <w:rsid w:val="00F909D9"/>
    <w:rsid w:val="00F91597"/>
    <w:rsid w:val="00F9168F"/>
    <w:rsid w:val="00F94014"/>
    <w:rsid w:val="00F940FA"/>
    <w:rsid w:val="00F94D09"/>
    <w:rsid w:val="00F94EC9"/>
    <w:rsid w:val="00F94FB8"/>
    <w:rsid w:val="00F97C4B"/>
    <w:rsid w:val="00FA2554"/>
    <w:rsid w:val="00FA4B44"/>
    <w:rsid w:val="00FA68CB"/>
    <w:rsid w:val="00FB05DC"/>
    <w:rsid w:val="00FB1C0B"/>
    <w:rsid w:val="00FB2530"/>
    <w:rsid w:val="00FB2696"/>
    <w:rsid w:val="00FB2726"/>
    <w:rsid w:val="00FB35A4"/>
    <w:rsid w:val="00FB37C5"/>
    <w:rsid w:val="00FB3EA6"/>
    <w:rsid w:val="00FB45A2"/>
    <w:rsid w:val="00FB4661"/>
    <w:rsid w:val="00FB565A"/>
    <w:rsid w:val="00FB7846"/>
    <w:rsid w:val="00FC0578"/>
    <w:rsid w:val="00FC3494"/>
    <w:rsid w:val="00FC3D31"/>
    <w:rsid w:val="00FC4A7E"/>
    <w:rsid w:val="00FC66C6"/>
    <w:rsid w:val="00FC7198"/>
    <w:rsid w:val="00FD02E8"/>
    <w:rsid w:val="00FD260B"/>
    <w:rsid w:val="00FD2829"/>
    <w:rsid w:val="00FD47F3"/>
    <w:rsid w:val="00FD5D7B"/>
    <w:rsid w:val="00FD63AD"/>
    <w:rsid w:val="00FD721A"/>
    <w:rsid w:val="00FD731F"/>
    <w:rsid w:val="00FE02D8"/>
    <w:rsid w:val="00FE2D33"/>
    <w:rsid w:val="00FE398D"/>
    <w:rsid w:val="00FE50DC"/>
    <w:rsid w:val="00FE612A"/>
    <w:rsid w:val="00FE7AE5"/>
    <w:rsid w:val="00FE7CDF"/>
    <w:rsid w:val="00FF08A4"/>
    <w:rsid w:val="00FF127E"/>
    <w:rsid w:val="00FF1431"/>
    <w:rsid w:val="00FF1654"/>
    <w:rsid w:val="00FF2FC9"/>
    <w:rsid w:val="00FF32A7"/>
    <w:rsid w:val="00FF52C2"/>
    <w:rsid w:val="00FF5575"/>
    <w:rsid w:val="00FF5815"/>
    <w:rsid w:val="00FF7D53"/>
    <w:rsid w:val="279F18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Document Map"/>
    <w:basedOn w:val="1"/>
    <w:link w:val="29"/>
    <w:semiHidden/>
    <w:qFormat/>
    <w:uiPriority w:val="0"/>
    <w:pPr>
      <w:shd w:val="clear" w:color="auto" w:fill="000080"/>
    </w:pPr>
  </w:style>
  <w:style w:type="paragraph" w:styleId="3">
    <w:name w:val="annotation text"/>
    <w:basedOn w:val="1"/>
    <w:link w:val="32"/>
    <w:semiHidden/>
    <w:unhideWhenUsed/>
    <w:qFormat/>
    <w:uiPriority w:val="99"/>
    <w:pPr>
      <w:jc w:val="left"/>
    </w:pPr>
  </w:style>
  <w:style w:type="paragraph" w:styleId="4">
    <w:name w:val="Plain Text"/>
    <w:basedOn w:val="1"/>
    <w:link w:val="23"/>
    <w:unhideWhenUsed/>
    <w:uiPriority w:val="99"/>
    <w:rPr>
      <w:rFonts w:ascii="宋体" w:hAnsi="Courier New" w:cs="Courier New"/>
      <w:szCs w:val="21"/>
    </w:rPr>
  </w:style>
  <w:style w:type="paragraph" w:styleId="5">
    <w:name w:val="Balloon Text"/>
    <w:basedOn w:val="1"/>
    <w:link w:val="26"/>
    <w:semiHidden/>
    <w:unhideWhenUsed/>
    <w:qFormat/>
    <w:uiPriority w:val="99"/>
    <w:rPr>
      <w:sz w:val="18"/>
      <w:szCs w:val="18"/>
    </w:rPr>
  </w:style>
  <w:style w:type="paragraph" w:styleId="6">
    <w:name w:val="footer"/>
    <w:basedOn w:val="1"/>
    <w:link w:val="2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Subtitle"/>
    <w:basedOn w:val="1"/>
    <w:next w:val="1"/>
    <w:link w:val="24"/>
    <w:qFormat/>
    <w:uiPriority w:val="11"/>
    <w:pPr>
      <w:spacing w:before="240" w:after="60" w:line="312" w:lineRule="auto"/>
      <w:jc w:val="center"/>
      <w:outlineLvl w:val="1"/>
    </w:pPr>
    <w:rPr>
      <w:rFonts w:ascii="Cambria" w:hAnsi="Cambria"/>
      <w:b/>
      <w:bCs/>
      <w:kern w:val="28"/>
      <w:sz w:val="32"/>
      <w:szCs w:val="32"/>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link w:val="25"/>
    <w:qFormat/>
    <w:uiPriority w:val="10"/>
    <w:pPr>
      <w:spacing w:before="240" w:after="60"/>
      <w:jc w:val="center"/>
      <w:outlineLvl w:val="0"/>
    </w:pPr>
    <w:rPr>
      <w:rFonts w:ascii="Cambria" w:hAnsi="Cambria"/>
      <w:b/>
      <w:bCs/>
      <w:sz w:val="32"/>
      <w:szCs w:val="32"/>
    </w:rPr>
  </w:style>
  <w:style w:type="paragraph" w:styleId="11">
    <w:name w:val="annotation subject"/>
    <w:basedOn w:val="3"/>
    <w:next w:val="3"/>
    <w:link w:val="33"/>
    <w:semiHidden/>
    <w:unhideWhenUsed/>
    <w:qFormat/>
    <w:uiPriority w:val="99"/>
    <w:rPr>
      <w:b/>
      <w:bCs/>
    </w:rPr>
  </w:style>
  <w:style w:type="table" w:styleId="13">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line number"/>
    <w:basedOn w:val="14"/>
    <w:semiHidden/>
    <w:unhideWhenUsed/>
    <w:qFormat/>
    <w:uiPriority w:val="99"/>
  </w:style>
  <w:style w:type="character" w:styleId="18">
    <w:name w:val="annotation reference"/>
    <w:basedOn w:val="14"/>
    <w:semiHidden/>
    <w:unhideWhenUsed/>
    <w:qFormat/>
    <w:uiPriority w:val="99"/>
    <w:rPr>
      <w:sz w:val="21"/>
      <w:szCs w:val="21"/>
    </w:rPr>
  </w:style>
  <w:style w:type="character" w:customStyle="1" w:styleId="19">
    <w:name w:val="页眉 字符"/>
    <w:basedOn w:val="14"/>
    <w:link w:val="7"/>
    <w:uiPriority w:val="99"/>
    <w:rPr>
      <w:sz w:val="18"/>
      <w:szCs w:val="18"/>
    </w:rPr>
  </w:style>
  <w:style w:type="character" w:customStyle="1" w:styleId="20">
    <w:name w:val="页脚 字符"/>
    <w:basedOn w:val="14"/>
    <w:link w:val="6"/>
    <w:qFormat/>
    <w:uiPriority w:val="99"/>
    <w:rPr>
      <w:sz w:val="18"/>
      <w:szCs w:val="18"/>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3">
    <w:name w:val="纯文本 字符"/>
    <w:basedOn w:val="14"/>
    <w:link w:val="4"/>
    <w:qFormat/>
    <w:uiPriority w:val="99"/>
    <w:rPr>
      <w:rFonts w:ascii="宋体" w:hAnsi="Courier New" w:eastAsia="宋体" w:cs="Courier New"/>
      <w:szCs w:val="21"/>
    </w:rPr>
  </w:style>
  <w:style w:type="character" w:customStyle="1" w:styleId="24">
    <w:name w:val="副标题 字符"/>
    <w:basedOn w:val="14"/>
    <w:link w:val="8"/>
    <w:qFormat/>
    <w:uiPriority w:val="11"/>
    <w:rPr>
      <w:rFonts w:ascii="Cambria" w:hAnsi="Cambria" w:eastAsia="宋体" w:cs="Times New Roman"/>
      <w:b/>
      <w:bCs/>
      <w:kern w:val="28"/>
      <w:sz w:val="32"/>
      <w:szCs w:val="32"/>
    </w:rPr>
  </w:style>
  <w:style w:type="character" w:customStyle="1" w:styleId="25">
    <w:name w:val="标题 字符"/>
    <w:basedOn w:val="14"/>
    <w:link w:val="10"/>
    <w:uiPriority w:val="10"/>
    <w:rPr>
      <w:rFonts w:ascii="Cambria" w:hAnsi="Cambria" w:eastAsia="宋体" w:cs="Times New Roman"/>
      <w:b/>
      <w:bCs/>
      <w:sz w:val="32"/>
      <w:szCs w:val="32"/>
    </w:rPr>
  </w:style>
  <w:style w:type="character" w:customStyle="1" w:styleId="26">
    <w:name w:val="批注框文本 字符"/>
    <w:basedOn w:val="14"/>
    <w:link w:val="5"/>
    <w:semiHidden/>
    <w:qFormat/>
    <w:uiPriority w:val="99"/>
    <w:rPr>
      <w:rFonts w:ascii="Times New Roman" w:hAnsi="Times New Roman" w:eastAsia="宋体" w:cs="Times New Roman"/>
      <w:sz w:val="18"/>
      <w:szCs w:val="18"/>
    </w:rPr>
  </w:style>
  <w:style w:type="paragraph" w:customStyle="1" w:styleId="27">
    <w:name w:val="王奕改内文"/>
    <w:basedOn w:val="1"/>
    <w:link w:val="28"/>
    <w:qFormat/>
    <w:uiPriority w:val="0"/>
    <w:pPr>
      <w:widowControl/>
      <w:spacing w:line="360" w:lineRule="auto"/>
      <w:ind w:firstLine="200" w:firstLineChars="200"/>
    </w:pPr>
    <w:rPr>
      <w:rFonts w:ascii="宋体" w:hAnsi="宋体"/>
      <w:color w:val="000000"/>
      <w:spacing w:val="-4"/>
      <w:kern w:val="0"/>
      <w:sz w:val="24"/>
      <w:szCs w:val="20"/>
    </w:rPr>
  </w:style>
  <w:style w:type="character" w:customStyle="1" w:styleId="28">
    <w:name w:val="王奕改内文 Char"/>
    <w:link w:val="27"/>
    <w:qFormat/>
    <w:uiPriority w:val="0"/>
    <w:rPr>
      <w:rFonts w:ascii="宋体" w:hAnsi="宋体" w:eastAsia="宋体" w:cs="Times New Roman"/>
      <w:color w:val="000000"/>
      <w:spacing w:val="-4"/>
      <w:kern w:val="0"/>
      <w:sz w:val="24"/>
      <w:szCs w:val="20"/>
    </w:rPr>
  </w:style>
  <w:style w:type="character" w:customStyle="1" w:styleId="29">
    <w:name w:val="文档结构图 字符"/>
    <w:basedOn w:val="14"/>
    <w:link w:val="2"/>
    <w:semiHidden/>
    <w:qFormat/>
    <w:uiPriority w:val="0"/>
    <w:rPr>
      <w:rFonts w:ascii="Times New Roman" w:hAnsi="Times New Roman" w:eastAsia="宋体" w:cs="Times New Roman"/>
      <w:szCs w:val="24"/>
      <w:shd w:val="clear" w:color="auto" w:fill="000080"/>
    </w:rPr>
  </w:style>
  <w:style w:type="paragraph" w:customStyle="1" w:styleId="30">
    <w:name w:val="列出段落1"/>
    <w:basedOn w:val="1"/>
    <w:qFormat/>
    <w:uiPriority w:val="34"/>
    <w:pPr>
      <w:ind w:firstLine="420" w:firstLineChars="200"/>
    </w:pPr>
    <w:rPr>
      <w:szCs w:val="20"/>
    </w:rPr>
  </w:style>
  <w:style w:type="table" w:customStyle="1" w:styleId="31">
    <w:name w:val="网格表 4 - 着色 11"/>
    <w:basedOn w:val="12"/>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character" w:customStyle="1" w:styleId="32">
    <w:name w:val="批注文字 字符"/>
    <w:basedOn w:val="14"/>
    <w:link w:val="3"/>
    <w:semiHidden/>
    <w:qFormat/>
    <w:uiPriority w:val="99"/>
    <w:rPr>
      <w:rFonts w:ascii="Times New Roman" w:hAnsi="Times New Roman" w:eastAsia="宋体" w:cs="Times New Roman"/>
      <w:szCs w:val="24"/>
    </w:rPr>
  </w:style>
  <w:style w:type="character" w:customStyle="1" w:styleId="33">
    <w:name w:val="批注主题 字符"/>
    <w:basedOn w:val="32"/>
    <w:link w:val="11"/>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9A7CEE-4583-4BD0-B716-522400DA5794}">
  <ds:schemaRefs/>
</ds:datastoreItem>
</file>

<file path=docProps/app.xml><?xml version="1.0" encoding="utf-8"?>
<Properties xmlns="http://schemas.openxmlformats.org/officeDocument/2006/extended-properties" xmlns:vt="http://schemas.openxmlformats.org/officeDocument/2006/docPropsVTypes">
  <Template>Normal.dotm</Template>
  <Company>CFDA</Company>
  <Pages>22</Pages>
  <Words>3001</Words>
  <Characters>3107</Characters>
  <Lines>60</Lines>
  <Paragraphs>16</Paragraphs>
  <TotalTime>0</TotalTime>
  <ScaleCrop>false</ScaleCrop>
  <LinksUpToDate>false</LinksUpToDate>
  <CharactersWithSpaces>3118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2021-05-15T00:51:00Z</dcterms:created>
  <dc:creator>刘沛</dc:creator>
  <cp:lastModifiedBy>太极箫客</cp:lastModifiedBy>
  <cp:lastPrinted>2019-12-05T03:11:00Z</cp:lastPrinted>
  <dcterms:modified xsi:type="dcterms:W3CDTF">2025-08-14T06:52:42Z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0CBCD6DBEBE2424081EF0F06C3B39C20_12</vt:lpwstr>
  </property>
</Properties>
</file>