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661F6">
      <w:pPr>
        <w:spacing w:line="520" w:lineRule="exact"/>
        <w:contextualSpacing/>
        <w:jc w:val="left"/>
        <w:rPr>
          <w:rFonts w:ascii="黑体" w:hAnsi="黑体" w:eastAsia="黑体"/>
          <w:sz w:val="32"/>
          <w:szCs w:val="32"/>
        </w:rPr>
      </w:pPr>
      <w:bookmarkStart w:id="7" w:name="_GoBack"/>
      <w:bookmarkEnd w:id="7"/>
      <w:r>
        <w:rPr>
          <w:rFonts w:ascii="黑体" w:hAnsi="黑体" w:eastAsia="黑体"/>
          <w:sz w:val="32"/>
          <w:szCs w:val="32"/>
        </w:rPr>
        <w:t>附件2</w:t>
      </w:r>
    </w:p>
    <w:p w14:paraId="52CB6176">
      <w:pPr>
        <w:spacing w:line="520" w:lineRule="exact"/>
        <w:contextualSpacing/>
        <w:jc w:val="left"/>
        <w:rPr>
          <w:rFonts w:ascii="黑体" w:hAnsi="黑体" w:eastAsia="黑体"/>
          <w:sz w:val="32"/>
          <w:szCs w:val="32"/>
        </w:rPr>
      </w:pPr>
    </w:p>
    <w:p w14:paraId="35F83D31">
      <w:pPr>
        <w:spacing w:line="520" w:lineRule="exact"/>
        <w:contextualSpacing/>
        <w:jc w:val="center"/>
        <w:rPr>
          <w:rFonts w:ascii="Times New Roman" w:hAnsi="Times New Roman" w:eastAsia="方正小标宋简体"/>
          <w:sz w:val="44"/>
          <w:szCs w:val="44"/>
        </w:rPr>
      </w:pPr>
      <w:r>
        <w:rPr>
          <w:rFonts w:ascii="Times New Roman" w:hAnsi="Times New Roman" w:eastAsia="方正小标宋简体"/>
          <w:sz w:val="44"/>
          <w:szCs w:val="44"/>
        </w:rPr>
        <w:t>弓形虫、风疹病毒、巨细胞病毒、单纯疱疹病毒抗体及G型免疫球蛋白抗体亲合力</w:t>
      </w:r>
    </w:p>
    <w:p w14:paraId="13641A46">
      <w:pPr>
        <w:spacing w:line="520" w:lineRule="exact"/>
        <w:contextualSpacing/>
        <w:jc w:val="center"/>
        <w:rPr>
          <w:rFonts w:ascii="Times New Roman" w:hAnsi="Times New Roman" w:eastAsia="方正小标宋简体"/>
          <w:sz w:val="44"/>
          <w:szCs w:val="44"/>
        </w:rPr>
      </w:pPr>
      <w:r>
        <w:rPr>
          <w:rFonts w:ascii="Times New Roman" w:hAnsi="Times New Roman" w:eastAsia="方正小标宋简体"/>
          <w:sz w:val="44"/>
          <w:szCs w:val="44"/>
        </w:rPr>
        <w:t>检测试剂</w:t>
      </w:r>
      <w:bookmarkStart w:id="0" w:name="_Toc323285326"/>
      <w:r>
        <w:rPr>
          <w:rFonts w:ascii="Times New Roman" w:hAnsi="Times New Roman" w:eastAsia="方正小标宋简体"/>
          <w:sz w:val="44"/>
          <w:szCs w:val="44"/>
        </w:rPr>
        <w:t>注册审查指导原则</w:t>
      </w:r>
    </w:p>
    <w:p w14:paraId="0250B1E5">
      <w:pPr>
        <w:spacing w:line="520" w:lineRule="exact"/>
        <w:contextualSpacing/>
        <w:jc w:val="center"/>
        <w:rPr>
          <w:rFonts w:ascii="Times New Roman" w:hAnsi="Times New Roman" w:eastAsia="方正小标宋简体"/>
          <w:sz w:val="44"/>
          <w:szCs w:val="44"/>
        </w:rPr>
      </w:pPr>
      <w:r>
        <w:rPr>
          <w:rFonts w:ascii="Times New Roman" w:hAnsi="Times New Roman" w:eastAsia="方正小标宋简体"/>
          <w:sz w:val="44"/>
          <w:szCs w:val="44"/>
        </w:rPr>
        <w:t>（2023年修订版）</w:t>
      </w:r>
    </w:p>
    <w:p w14:paraId="6CC55616">
      <w:pPr>
        <w:spacing w:line="520" w:lineRule="exact"/>
        <w:contextualSpacing/>
        <w:rPr>
          <w:rFonts w:ascii="Times New Roman" w:hAnsi="Times New Roman" w:eastAsia="仿宋_GB2312" w:cs="宋体"/>
          <w:b/>
          <w:bCs/>
          <w:sz w:val="30"/>
          <w:szCs w:val="30"/>
        </w:rPr>
      </w:pPr>
    </w:p>
    <w:bookmarkEnd w:id="0"/>
    <w:p w14:paraId="6984772A">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本指导原则旨在</w:t>
      </w:r>
      <w:r>
        <w:rPr>
          <w:rFonts w:ascii="Times New Roman" w:hAnsi="Times New Roman" w:eastAsia="仿宋_GB2312"/>
          <w:sz w:val="32"/>
          <w:szCs w:val="32"/>
        </w:rPr>
        <w:t>指导注册申请人对弓形虫、风疹病毒、巨细胞病毒、单纯疱疹病毒抗体及G型免疫球蛋白（Immunoglobulin G, IgG）抗体亲合力检测试剂注册申报资料的准备及撰写，同时也为技术审评部门提供参考。</w:t>
      </w:r>
    </w:p>
    <w:p w14:paraId="19DC69B1">
      <w:pPr>
        <w:spacing w:line="520" w:lineRule="exact"/>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本指导原则是对</w:t>
      </w:r>
      <w:r>
        <w:rPr>
          <w:rFonts w:ascii="Times New Roman" w:hAnsi="Times New Roman" w:eastAsia="仿宋_GB2312"/>
          <w:spacing w:val="6"/>
          <w:sz w:val="32"/>
          <w:szCs w:val="32"/>
        </w:rPr>
        <w:t>弓形虫、风疹病毒、巨细胞病毒、单纯疱疹病毒抗体及IgG抗体亲合力检测试剂</w:t>
      </w:r>
      <w:r>
        <w:rPr>
          <w:rFonts w:ascii="Times New Roman" w:hAnsi="Times New Roman" w:eastAsia="仿宋_GB2312"/>
          <w:color w:val="000000"/>
          <w:spacing w:val="6"/>
          <w:sz w:val="32"/>
          <w:szCs w:val="32"/>
        </w:rPr>
        <w:t xml:space="preserve">的一般要求，申请人应依据产品的具体特性确定其中内容是否适用，若不适用，需具体阐述理由及相应的科学依据，并依据产品的具体特性对注册申报资料的内容进行充实和细化。 </w:t>
      </w:r>
    </w:p>
    <w:p w14:paraId="37CF603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9AA678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本指导原则是在现行法规和标准体系以及当前认知水平下制定的，随着法规和标准的不断完善，以及科学技术的不断发展，本指导原则相关内容也将适时进行调整。</w:t>
      </w:r>
    </w:p>
    <w:p w14:paraId="0951BE0C">
      <w:pPr>
        <w:spacing w:line="520" w:lineRule="exact"/>
        <w:ind w:firstLine="640" w:firstLineChars="200"/>
        <w:rPr>
          <w:rFonts w:ascii="黑体" w:hAnsi="黑体" w:eastAsia="黑体"/>
          <w:sz w:val="32"/>
          <w:szCs w:val="32"/>
        </w:rPr>
      </w:pPr>
      <w:r>
        <w:rPr>
          <w:rFonts w:ascii="黑体" w:hAnsi="黑体" w:eastAsia="黑体"/>
          <w:sz w:val="32"/>
          <w:szCs w:val="32"/>
        </w:rPr>
        <w:t>一、适用范围</w:t>
      </w:r>
    </w:p>
    <w:p w14:paraId="1FF48157">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弓形虫(Toxoplasma, TOXO) 、风疹病毒(Rubella virus, RV) 、巨细胞病毒(Cytomegalovirus, CMV) 及单纯疱疹病毒 (Herpes simplex virus, HSV) 四种病原体（以下简称“ToRCH”）已引起围产医学家和优生优育学家的关注，如何应用应基于大量的研究及相关学科的诊疗指南。</w:t>
      </w:r>
    </w:p>
    <w:p w14:paraId="0212BC2D">
      <w:pPr>
        <w:tabs>
          <w:tab w:val="left" w:pos="7140"/>
        </w:tabs>
        <w:autoSpaceDE w:val="0"/>
        <w:autoSpaceDN w:val="0"/>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sz w:val="32"/>
          <w:szCs w:val="32"/>
        </w:rPr>
        <w:t>本指导原则适用于采用免疫学方法，如酶联免疫法、化学发光法、免疫层析法等，对人体血清、血浆、静脉全血样本中的ToRCH特异性抗体进行体外定性和/或半定量和/或定量检测的试剂。结合临床表现和其他实验室指标，可用于ToRCH感染辅助诊断。同时也适用于对ToRCH特异性IgG抗体阳性的人血清和/或血浆和/或静脉全血样本中ToRCH特异性IgG亲合力进行体外定性检测的试剂，用于</w:t>
      </w:r>
      <w:r>
        <w:rPr>
          <w:rFonts w:ascii="Times New Roman" w:hAnsi="Times New Roman" w:eastAsia="仿宋_GB2312"/>
          <w:sz w:val="32"/>
          <w:szCs w:val="32"/>
          <w:lang w:val="zh-CN"/>
        </w:rPr>
        <w:t>辅助判断感染时间，排除近期原发性感染。</w:t>
      </w:r>
      <w:r>
        <w:rPr>
          <w:rFonts w:ascii="Times New Roman" w:hAnsi="Times New Roman" w:eastAsia="仿宋_GB2312"/>
          <w:sz w:val="32"/>
          <w:szCs w:val="32"/>
        </w:rPr>
        <w:t>本类试剂尚不用作产前筛查。对基于其他方法学的试剂，</w:t>
      </w:r>
      <w:r>
        <w:rPr>
          <w:rFonts w:ascii="Times New Roman" w:hAnsi="Times New Roman" w:eastAsia="仿宋_GB2312"/>
          <w:bCs/>
          <w:color w:val="000000"/>
          <w:sz w:val="32"/>
          <w:szCs w:val="32"/>
        </w:rPr>
        <w:t>可能部分要求不完全适用或本文所述内容不够全面，申请人可以参照本指导原则，根据产品特性对适用部分进行评价或补充其他的评价资料进行相应验证。</w:t>
      </w:r>
    </w:p>
    <w:p w14:paraId="23C9CE76">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适用于弓形虫、风疹病毒、巨细胞病毒、单纯疱疹病毒抗体及G型免疫球蛋白抗体亲合力检测试剂注册申请和变更注册申请的情形。本指导原则针对相关产品注册申报资料中的部分内容进行撰写，其他未尽事宜应当符合相关法规要求。</w:t>
      </w:r>
    </w:p>
    <w:p w14:paraId="10023C9F">
      <w:pPr>
        <w:spacing w:line="520" w:lineRule="exact"/>
        <w:ind w:firstLine="640" w:firstLineChars="200"/>
        <w:rPr>
          <w:rFonts w:ascii="黑体" w:hAnsi="黑体" w:eastAsia="黑体"/>
          <w:sz w:val="32"/>
          <w:szCs w:val="32"/>
        </w:rPr>
      </w:pPr>
      <w:r>
        <w:rPr>
          <w:rFonts w:ascii="黑体" w:hAnsi="黑体" w:eastAsia="黑体"/>
          <w:sz w:val="32"/>
          <w:szCs w:val="32"/>
        </w:rPr>
        <w:t>二、注册</w:t>
      </w:r>
      <w:bookmarkStart w:id="1" w:name="_Toc323285329"/>
      <w:r>
        <w:rPr>
          <w:rFonts w:ascii="黑体" w:hAnsi="黑体" w:eastAsia="黑体"/>
          <w:sz w:val="32"/>
          <w:szCs w:val="32"/>
        </w:rPr>
        <w:t>审查要点</w:t>
      </w:r>
    </w:p>
    <w:p w14:paraId="40DC4946">
      <w:pPr>
        <w:tabs>
          <w:tab w:val="left" w:pos="7140"/>
        </w:tabs>
        <w:autoSpaceDE w:val="0"/>
        <w:autoSpaceDN w:val="0"/>
        <w:spacing w:line="520" w:lineRule="exact"/>
        <w:ind w:firstLine="640" w:firstLineChars="200"/>
        <w:rPr>
          <w:rFonts w:ascii="楷体" w:hAnsi="楷体" w:eastAsia="楷体"/>
          <w:color w:val="000000"/>
          <w:sz w:val="32"/>
          <w:szCs w:val="32"/>
        </w:rPr>
      </w:pPr>
      <w:r>
        <w:rPr>
          <w:rFonts w:ascii="楷体" w:hAnsi="楷体" w:eastAsia="楷体"/>
          <w:color w:val="000000"/>
          <w:sz w:val="32"/>
          <w:szCs w:val="32"/>
        </w:rPr>
        <w:t>（一）监管信息</w:t>
      </w:r>
    </w:p>
    <w:p w14:paraId="5DF3CE08">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1.产品名称及分类编码</w:t>
      </w:r>
    </w:p>
    <w:p w14:paraId="6D33ED4F">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产品名称应符合相关法规的要求。根据《体外诊断试剂分类规则》，该产品按照第三类体外诊断试剂管理，分类编码为6840。</w:t>
      </w:r>
    </w:p>
    <w:p w14:paraId="7C23D8D2">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2.其他信息还包括产品列表、关联文件、申报前与监管机构的联系情况和沟通记录以及符合性声明等文件。</w:t>
      </w:r>
    </w:p>
    <w:p w14:paraId="0641EA80">
      <w:pPr>
        <w:tabs>
          <w:tab w:val="left" w:pos="7140"/>
        </w:tabs>
        <w:autoSpaceDE w:val="0"/>
        <w:autoSpaceDN w:val="0"/>
        <w:spacing w:line="520" w:lineRule="exact"/>
        <w:ind w:firstLine="640" w:firstLineChars="200"/>
        <w:rPr>
          <w:rFonts w:ascii="楷体" w:hAnsi="楷体" w:eastAsia="楷体"/>
          <w:color w:val="000000"/>
          <w:sz w:val="32"/>
          <w:szCs w:val="32"/>
        </w:rPr>
      </w:pPr>
      <w:r>
        <w:rPr>
          <w:rFonts w:ascii="楷体" w:hAnsi="楷体" w:eastAsia="楷体"/>
          <w:color w:val="000000"/>
          <w:sz w:val="32"/>
          <w:szCs w:val="32"/>
        </w:rPr>
        <w:t>（二）综述资料</w:t>
      </w:r>
      <w:bookmarkEnd w:id="1"/>
    </w:p>
    <w:p w14:paraId="29CDEDD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述资料主要包括概述、产品描述、预期用途、申报产品上市历史及其他需说明的内容。其中,产品描述应详述技术原理、产品主要研究结果的总结和评价、与同类和/或前代产品的比较等。与同类和/或前代产品的比较应着重从技术原理、特异性抗原等主要组成成分、预期用途、性能指标、临床应用情况等方面写明拟申报产品与目前市场上已获批准的同类产品之间的主要区别。</w:t>
      </w:r>
    </w:p>
    <w:p w14:paraId="5C2B2E6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另外，建议申请人对以下几方面内容进行着重介绍：</w:t>
      </w:r>
    </w:p>
    <w:p w14:paraId="7FA0B7B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1.特定病原体的生物学特性，包括形态与结构、抵抗力、感染过程等。</w:t>
      </w:r>
    </w:p>
    <w:p w14:paraId="53B55A3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2.特定病原体感染的传播途径、潜伏期、不同人群感染的临床症状、流行病学以及易感人群的说明。</w:t>
      </w:r>
    </w:p>
    <w:p w14:paraId="6F54108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3.ToRCH特异性抗体及特异性IgG抗体亲合力动力学。</w:t>
      </w:r>
    </w:p>
    <w:p w14:paraId="070A1B1B">
      <w:pPr>
        <w:tabs>
          <w:tab w:val="left" w:pos="7140"/>
        </w:tabs>
        <w:autoSpaceDE w:val="0"/>
        <w:autoSpaceDN w:val="0"/>
        <w:spacing w:line="520" w:lineRule="exact"/>
        <w:ind w:firstLine="640" w:firstLineChars="200"/>
        <w:rPr>
          <w:rFonts w:ascii="楷体" w:hAnsi="楷体" w:eastAsia="楷体"/>
          <w:color w:val="000000"/>
          <w:sz w:val="32"/>
          <w:szCs w:val="32"/>
        </w:rPr>
      </w:pPr>
      <w:r>
        <w:rPr>
          <w:rFonts w:ascii="楷体" w:hAnsi="楷体" w:eastAsia="楷体"/>
          <w:color w:val="000000"/>
          <w:sz w:val="32"/>
          <w:szCs w:val="32"/>
        </w:rPr>
        <w:t>（三）非临床资料</w:t>
      </w:r>
    </w:p>
    <w:p w14:paraId="29BE803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1.产品技术要求及检验报告</w:t>
      </w:r>
    </w:p>
    <w:p w14:paraId="653F65B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4C2F24E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sz w:val="32"/>
          <w:szCs w:val="32"/>
        </w:rPr>
        <w:t>第三类体外诊断试剂应当提供三个不同生产批次产品的检验报告。</w:t>
      </w:r>
      <w:r>
        <w:rPr>
          <w:rFonts w:ascii="Times New Roman" w:hAnsi="Times New Roman" w:eastAsia="仿宋_GB2312"/>
          <w:kern w:val="0"/>
          <w:sz w:val="32"/>
          <w:szCs w:val="32"/>
        </w:rPr>
        <w:t>如该项目已有国家标准品，技术要求中应体现国家标准品的相关要求，并使用国家标准品进行检验。</w:t>
      </w:r>
    </w:p>
    <w:p w14:paraId="47A7ADED">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可提交以下任一形式的检验报告：</w:t>
      </w:r>
    </w:p>
    <w:p w14:paraId="06C8282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（1）申请人出具的自检报告。</w:t>
      </w:r>
    </w:p>
    <w:p w14:paraId="47BA205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（2）委托有资质的医疗器械检验机构出具的检验报告。</w:t>
      </w:r>
    </w:p>
    <w:p w14:paraId="4A7762D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如果拟申报试剂已有相应的国家/行业标准发布，则性能指标要求不得低于上述标准要求。</w:t>
      </w:r>
      <w:bookmarkStart w:id="2" w:name="_Toc323285333"/>
    </w:p>
    <w:bookmarkEnd w:id="2"/>
    <w:p w14:paraId="61181657">
      <w:pPr>
        <w:spacing w:line="520" w:lineRule="exact"/>
        <w:ind w:firstLine="640" w:firstLineChars="200"/>
        <w:rPr>
          <w:rFonts w:ascii="Times New Roman" w:hAnsi="Times New Roman" w:eastAsia="仿宋_GB2312"/>
          <w:sz w:val="32"/>
          <w:szCs w:val="32"/>
        </w:rPr>
      </w:pPr>
      <w:bookmarkStart w:id="3" w:name="_Toc323285335"/>
      <w:r>
        <w:rPr>
          <w:rFonts w:ascii="Times New Roman" w:hAnsi="Times New Roman" w:eastAsia="仿宋_GB2312"/>
          <w:sz w:val="32"/>
          <w:szCs w:val="32"/>
        </w:rPr>
        <w:t>2.分析性能评估资料</w:t>
      </w:r>
      <w:bookmarkEnd w:id="3"/>
    </w:p>
    <w:p w14:paraId="741DFCF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申请人应提交在符合质量管理体系的环境下生产的试剂盒进行的所有分析性能评估资料，包括具体研究方法、试验方案、试验数据、统计分析等详细资料。有关分析性能评估的背景信息也应在申报资料中进行描述，包括试验地点，采用的试剂名称、规格和批号，仪器名称和型号，样本类型和来源等。分析性能评估的试验方法可以参考国际或国内有关体外诊断试剂性能评估的指导原则进行，对于本类产品建议着重对以下分析性能进行研究。</w:t>
      </w:r>
    </w:p>
    <w:p w14:paraId="3D7D94A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2.1样本稳定性</w:t>
      </w:r>
    </w:p>
    <w:p w14:paraId="7AD8B47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需要冷冻保存的样本应对冻融次数进行合理的验证。如果需对采集后的样本进行处理再进行检测，需提供样本处理前后的稳定性的研究。</w:t>
      </w:r>
    </w:p>
    <w:p w14:paraId="15BB875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2.2适用样本类型</w:t>
      </w:r>
    </w:p>
    <w:p w14:paraId="56438D1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果试剂适用于多种样本类型，应采用合理方法评价每种样本类型的适用性。对具有可比性的样本类型（如血清和血浆），可采用同源比对研究，对源自同一患者的不同类型的样本进行检测，以验证检测结果的一致性，样本量应具有统计学意义，建议不低于50例；对于不具有可比性的样本类型，应对每种样本类型分别进行分析性能评估。</w:t>
      </w:r>
    </w:p>
    <w:p w14:paraId="7889651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如果试剂盒的样本类型（如：血浆、全血样本）适用多种抗凝剂，可采用一定数量同源样本通过比对试验的方法，验证各种抗凝剂的适用性。</w:t>
      </w:r>
    </w:p>
    <w:p w14:paraId="3B84FC9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2.3校准品的量值溯源和质控品的赋值</w:t>
      </w:r>
    </w:p>
    <w:p w14:paraId="77DAC32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如包含校准品，需提供校准品的量值溯源研究资料。</w:t>
      </w:r>
    </w:p>
    <w:p w14:paraId="1E7EC0D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描述质控品的赋值（如适用）。需至少进行三批产品分别在不同适用机型的赋值研究。</w:t>
      </w:r>
    </w:p>
    <w:p w14:paraId="7FB9893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2.4准确度/正确度</w:t>
      </w:r>
    </w:p>
    <w:p w14:paraId="0BD2064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采用申报试剂与对比方法（如：已上市产品）同时对一定数量的临床样本进行方法学比对研究，评价检测结果的一致性；也可以通过检测参考品（盘）分析申报产品检测结果与经确认结果的符合情况，评价申报产品的准确度，参考品（盘）应经诊断准确度标准/其他成熟方法检测确认过或有准确临床诊断信息；对于有参考物质（国际参考物质、国家标准品）的定量项目，也可使用参考物质评估试剂检测结果的偏倚。</w:t>
      </w:r>
    </w:p>
    <w:p w14:paraId="1346CE7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2.5精密度</w:t>
      </w:r>
    </w:p>
    <w:p w14:paraId="1E6AB54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应对精密度指标的评价标准做出合理要求，如标准差、变异系数或显色强度等，针对本类产品的精密度评价主要包括以下要求。</w:t>
      </w:r>
    </w:p>
    <w:p w14:paraId="7EB9DBD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2.5.1对可能影响检测精密度的主要变量进行验证，包括不同时间、地点、操作者、检测轮次、试剂批次、适用仪器（如适用）等。</w:t>
      </w:r>
    </w:p>
    <w:p w14:paraId="3B334F3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2.5.2设定合理的精密度评价周期，例如：</w:t>
      </w:r>
      <w:r>
        <w:rPr>
          <w:rFonts w:ascii="Times New Roman" w:hAnsi="Times New Roman" w:eastAsia="仿宋_GB2312"/>
          <w:spacing w:val="-6"/>
          <w:sz w:val="32"/>
          <w:szCs w:val="32"/>
        </w:rPr>
        <w:t>为期至少20天的检测，每天至少由2人完成不少于2次的完整检测，并对批内/批间</w:t>
      </w:r>
      <w:r>
        <w:rPr>
          <w:rFonts w:ascii="Times New Roman" w:hAnsi="Times New Roman" w:eastAsia="仿宋_GB2312"/>
          <w:sz w:val="32"/>
          <w:szCs w:val="32"/>
        </w:rPr>
        <w:t>、日内/日间以及不同操作者之间的精密度进行综合评价。</w:t>
      </w:r>
    </w:p>
    <w:p w14:paraId="3A7222AE">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2.5.3用于精密度评价的临床样本应至少包含阴性样本、检出限阳性样本以及中/强阳性样本三个水平。</w:t>
      </w:r>
    </w:p>
    <w:p w14:paraId="47A94E2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2.6空白限、检出限和定量限</w:t>
      </w:r>
    </w:p>
    <w:p w14:paraId="4528A31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2.6.1 ToRCH特异性抗体定性检测项目</w:t>
      </w:r>
    </w:p>
    <w:p w14:paraId="43063AB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建议采用已明确ToRCH特异性抗体滴度的临床阳性样本，通过系列稀释，进行检出限的建立和验证。应采用合理方法确认临床样本的抗体类型和滴度，提供详细的确认方法及结果。</w:t>
      </w:r>
    </w:p>
    <w:p w14:paraId="61068A1D">
      <w:pPr>
        <w:spacing w:line="520" w:lineRule="exact"/>
        <w:ind w:firstLine="616" w:firstLineChars="200"/>
        <w:rPr>
          <w:rFonts w:ascii="Times New Roman" w:hAnsi="Times New Roman" w:eastAsia="仿宋_GB2312"/>
          <w:sz w:val="32"/>
          <w:szCs w:val="32"/>
        </w:rPr>
      </w:pPr>
      <w:r>
        <w:rPr>
          <w:rFonts w:ascii="Times New Roman" w:hAnsi="Times New Roman" w:eastAsia="仿宋_GB2312"/>
          <w:spacing w:val="-6"/>
          <w:sz w:val="32"/>
          <w:szCs w:val="32"/>
        </w:rPr>
        <w:t>选取至少3份临床阳性样本，系列稀释</w:t>
      </w:r>
      <w:r>
        <w:rPr>
          <w:rFonts w:ascii="Times New Roman" w:hAnsi="Times New Roman" w:eastAsia="仿宋_GB2312"/>
          <w:sz w:val="32"/>
          <w:szCs w:val="32"/>
        </w:rPr>
        <w:t>获得多个浓度梯度</w:t>
      </w:r>
      <w:r>
        <w:rPr>
          <w:rFonts w:ascii="Times New Roman" w:hAnsi="Times New Roman" w:eastAsia="仿宋_GB2312"/>
          <w:spacing w:val="-6"/>
          <w:sz w:val="32"/>
          <w:szCs w:val="32"/>
        </w:rPr>
        <w:t>，</w:t>
      </w:r>
      <w:r>
        <w:rPr>
          <w:rFonts w:ascii="Times New Roman" w:hAnsi="Times New Roman" w:eastAsia="仿宋_GB2312"/>
          <w:sz w:val="32"/>
          <w:szCs w:val="32"/>
        </w:rPr>
        <w:t>每个浓度重复检测不少于3次，以100%可检出的最低浓度水平作为预设检出限。在此浓度附近制备若干浓度梯度样品，每个浓度至少重复检测20次，将具有95%</w:t>
      </w:r>
      <w:r>
        <w:rPr>
          <w:rFonts w:ascii="Times New Roman" w:hAnsi="Times New Roman" w:eastAsia="仿宋_GB2312"/>
          <w:spacing w:val="-6"/>
          <w:sz w:val="32"/>
          <w:szCs w:val="32"/>
        </w:rPr>
        <w:t>（n≥20）</w:t>
      </w:r>
      <w:r>
        <w:rPr>
          <w:rFonts w:ascii="Times New Roman" w:hAnsi="Times New Roman" w:eastAsia="仿宋_GB2312"/>
          <w:sz w:val="32"/>
          <w:szCs w:val="32"/>
        </w:rPr>
        <w:t>阳性检出率的最低浓度作为检出限。另选取与上述不同的3份临床样本，稀释到检出限浓度水平进行验证，应达到95%</w:t>
      </w:r>
      <w:r>
        <w:rPr>
          <w:rFonts w:ascii="Times New Roman" w:hAnsi="Times New Roman" w:eastAsia="仿宋_GB2312"/>
          <w:spacing w:val="-6"/>
          <w:sz w:val="32"/>
          <w:szCs w:val="32"/>
        </w:rPr>
        <w:t>（n≥20）</w:t>
      </w:r>
      <w:r>
        <w:rPr>
          <w:rFonts w:ascii="Times New Roman" w:hAnsi="Times New Roman" w:eastAsia="仿宋_GB2312"/>
          <w:sz w:val="32"/>
          <w:szCs w:val="32"/>
        </w:rPr>
        <w:t>阳性检出率。</w:t>
      </w:r>
    </w:p>
    <w:p w14:paraId="52ED775D">
      <w:pPr>
        <w:pStyle w:val="2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可给出连续量值信号的ToRCH特异性抗体定性检测项目，如基于酶联免疫吸附技术的检测试剂采用吸光度响应区别“有反应”和“无反应”结果。对于此类检测检测项目，也可参考以下内容设定空白限和检出限。</w:t>
      </w:r>
    </w:p>
    <w:p w14:paraId="7B091C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2.6.2 ToRCH特异性抗体定量或半定量检测项目</w:t>
      </w:r>
    </w:p>
    <w:p w14:paraId="2789D731">
      <w:pPr>
        <w:pStyle w:val="2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对于可溯源至有量值的国际或国家标准品的定量检测项目和半定量检测项目，可参考国内外相关文件对空白限、检出限以及定量限进行建立及验证。</w:t>
      </w:r>
    </w:p>
    <w:p w14:paraId="6E11302A">
      <w:pPr>
        <w:pStyle w:val="2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空白限、检出限和定量限的建立及验证应分别选择多份样本在多天内对样本进行重复测量，需综合各种影响因素进行试验设计并选择合适的方法对数据进行分析。</w:t>
      </w:r>
    </w:p>
    <w:p w14:paraId="2471B265">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建立和验证采用的临床样本不应重复。如有其他科学合理的评价方法，也可进行选择。</w:t>
      </w:r>
    </w:p>
    <w:p w14:paraId="38D59F5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2.7抗体滴度变化（适用于半定量和/或定量检测项目）和诊断灵敏度</w:t>
      </w:r>
    </w:p>
    <w:p w14:paraId="764E8D7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2.7.1 ToRCH抗体检测试剂</w:t>
      </w:r>
    </w:p>
    <w:p w14:paraId="3E97002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介绍血清转换盘的组成和来源。检测血清转换盘，用于评价检测试剂的诊断灵敏度及监测抗体滴度变化趋势的能力。对于TOXO、RV等已有商业化血清转换盘的检测项目，建议选用商业化血清转换盘进行研究；对于部分无商业化血清转换盘的检测项目，可选择合理的方法，如将标化的血清样本稀释等，对抗体滴度变化及诊断灵敏度进行评价。</w:t>
      </w:r>
    </w:p>
    <w:p w14:paraId="41EDA8D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2.7.2 ToRCH IgG抗体亲合力检测试剂</w:t>
      </w:r>
    </w:p>
    <w:p w14:paraId="5574182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对急性感染（3～4个月内）和既往感染样本进行研究，样本可来自于血清转化盘或基于临床诊断的临床样本，以评价临床诊断灵敏度。</w:t>
      </w:r>
    </w:p>
    <w:p w14:paraId="61D053C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2.8分析特异性</w:t>
      </w:r>
    </w:p>
    <w:p w14:paraId="102B0CE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2.8.1交叉反应</w:t>
      </w:r>
    </w:p>
    <w:p w14:paraId="5E9ACD5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ToRCH的近缘病原体、易引起相同或相似的临床症状及易合并感染的病原体（见表1）感染病人的高水平特异性抗体样本进行交叉反应研究。此外，还应对高浓度病原体特异性IgG抗体与特异性IgM抗体的交叉反应进行验证。</w:t>
      </w:r>
    </w:p>
    <w:p w14:paraId="73C3564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果检测试剂采用基因重组抗原，应增加对重组基因导入微生物特异性抗体的交叉反应评价。例如，采用大肠埃希菌作为宿主菌进行重组抗原的表达，建议考虑大肠埃希菌宿主自身蛋白以及载体骨架编码的蛋白与被测物之间可能产生的交叉反应。</w:t>
      </w:r>
    </w:p>
    <w:p w14:paraId="27D17799">
      <w:pPr>
        <w:spacing w:line="52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交叉反应用临床样本中相关病原体抗体滴度水平应较高，并且抗体类型（</w:t>
      </w:r>
      <w:r>
        <w:rPr>
          <w:rFonts w:ascii="Times New Roman" w:hAnsi="Times New Roman" w:eastAsia="仿宋_GB2312"/>
          <w:kern w:val="0"/>
          <w:sz w:val="32"/>
          <w:szCs w:val="32"/>
        </w:rPr>
        <w:t>IgM、IgG</w:t>
      </w:r>
      <w:r>
        <w:rPr>
          <w:rFonts w:ascii="Times New Roman" w:hAnsi="Times New Roman" w:eastAsia="仿宋_GB2312"/>
          <w:sz w:val="32"/>
          <w:szCs w:val="32"/>
        </w:rPr>
        <w:t>）应与申报试剂检测抗体类型一致，如检测ToRCH IgG抗体，则应研究其与相关病原体特异性IgG抗体的交叉反应。</w:t>
      </w:r>
      <w:r>
        <w:rPr>
          <w:rFonts w:ascii="Times New Roman" w:hAnsi="Times New Roman" w:eastAsia="仿宋_GB2312"/>
          <w:spacing w:val="-4"/>
          <w:kern w:val="10"/>
          <w:sz w:val="32"/>
          <w:szCs w:val="32"/>
        </w:rPr>
        <w:t>申请人应提交所有用于交叉反应验证的病原体抗体阳性样本的来源、</w:t>
      </w:r>
      <w:r>
        <w:rPr>
          <w:rFonts w:ascii="Times New Roman" w:hAnsi="Times New Roman" w:eastAsia="仿宋_GB2312"/>
          <w:spacing w:val="-6"/>
          <w:sz w:val="32"/>
          <w:szCs w:val="32"/>
        </w:rPr>
        <w:t>阴阳性和滴度确认等信息。</w:t>
      </w:r>
    </w:p>
    <w:p w14:paraId="29E5FD07">
      <w:pPr>
        <w:spacing w:line="520" w:lineRule="exact"/>
        <w:ind w:firstLine="624" w:firstLineChars="200"/>
        <w:rPr>
          <w:rFonts w:ascii="Times New Roman" w:hAnsi="Times New Roman" w:eastAsia="仿宋_GB2312"/>
          <w:spacing w:val="-4"/>
          <w:kern w:val="10"/>
          <w:sz w:val="32"/>
          <w:szCs w:val="32"/>
        </w:rPr>
      </w:pPr>
    </w:p>
    <w:p w14:paraId="71FC678A">
      <w:pPr>
        <w:spacing w:line="520" w:lineRule="exact"/>
        <w:ind w:firstLine="560" w:firstLineChars="200"/>
        <w:jc w:val="center"/>
        <w:rPr>
          <w:rFonts w:ascii="Times New Roman" w:hAnsi="Times New Roman" w:eastAsia="仿宋_GB2312"/>
          <w:sz w:val="28"/>
          <w:szCs w:val="28"/>
        </w:rPr>
      </w:pPr>
      <w:r>
        <w:rPr>
          <w:rFonts w:ascii="Times New Roman" w:hAnsi="Times New Roman" w:eastAsia="仿宋_GB2312"/>
          <w:sz w:val="28"/>
          <w:szCs w:val="28"/>
        </w:rPr>
        <w:t>表1  用于交叉反应研究的病原体</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4"/>
      </w:tblGrid>
      <w:tr w14:paraId="265C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7B1D192F">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微生物</w:t>
            </w:r>
          </w:p>
        </w:tc>
      </w:tr>
      <w:tr w14:paraId="4B1C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3401FB90">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其他ToRCH病原体*</w:t>
            </w:r>
          </w:p>
        </w:tc>
      </w:tr>
      <w:tr w14:paraId="3D7C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2258A344">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E-B病毒*</w:t>
            </w:r>
          </w:p>
        </w:tc>
      </w:tr>
      <w:tr w14:paraId="0C80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60CBFB9C">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细小病毒B19</w:t>
            </w:r>
          </w:p>
        </w:tc>
      </w:tr>
      <w:tr w14:paraId="6B45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3708E4FE">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乙型肝炎病毒*</w:t>
            </w:r>
          </w:p>
        </w:tc>
      </w:tr>
      <w:tr w14:paraId="151B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6D81515E">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甲型肝炎病毒*</w:t>
            </w:r>
          </w:p>
        </w:tc>
      </w:tr>
      <w:tr w14:paraId="0083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5B4BA849">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水痘-带状疱疹病毒*</w:t>
            </w:r>
          </w:p>
        </w:tc>
      </w:tr>
      <w:tr w14:paraId="675D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5F3AA1C9">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甲型流感病毒</w:t>
            </w:r>
          </w:p>
        </w:tc>
      </w:tr>
      <w:tr w14:paraId="4253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0B4DCA38">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乙型流感病毒</w:t>
            </w:r>
          </w:p>
        </w:tc>
      </w:tr>
      <w:tr w14:paraId="2726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198BE6E9">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副流感病毒</w:t>
            </w:r>
          </w:p>
        </w:tc>
      </w:tr>
      <w:tr w14:paraId="009A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7E82F26A">
            <w:pPr>
              <w:spacing w:line="520" w:lineRule="exact"/>
              <w:ind w:firstLine="544" w:firstLineChars="200"/>
              <w:rPr>
                <w:rFonts w:ascii="Times New Roman" w:hAnsi="Times New Roman" w:eastAsia="仿宋_GB2312"/>
                <w:spacing w:val="-4"/>
                <w:kern w:val="10"/>
                <w:sz w:val="28"/>
                <w:szCs w:val="28"/>
              </w:rPr>
            </w:pPr>
            <w:r>
              <w:rPr>
                <w:rFonts w:ascii="Times New Roman" w:hAnsi="Times New Roman" w:eastAsia="仿宋_GB2312"/>
                <w:spacing w:val="-4"/>
                <w:kern w:val="10"/>
                <w:sz w:val="28"/>
                <w:szCs w:val="28"/>
              </w:rPr>
              <w:t>肺炎支原体*</w:t>
            </w:r>
          </w:p>
        </w:tc>
      </w:tr>
    </w:tbl>
    <w:p w14:paraId="4B229117">
      <w:pPr>
        <w:spacing w:line="520" w:lineRule="exact"/>
        <w:ind w:firstLine="2496" w:firstLineChars="800"/>
        <w:rPr>
          <w:rFonts w:ascii="Times New Roman" w:hAnsi="Times New Roman" w:eastAsia="仿宋_GB2312"/>
          <w:spacing w:val="-4"/>
          <w:kern w:val="10"/>
          <w:sz w:val="32"/>
          <w:szCs w:val="32"/>
        </w:rPr>
      </w:pPr>
      <w:r>
        <w:rPr>
          <w:rFonts w:ascii="Times New Roman" w:hAnsi="Times New Roman" w:eastAsia="仿宋_GB2312"/>
          <w:spacing w:val="-4"/>
          <w:kern w:val="10"/>
          <w:sz w:val="32"/>
          <w:szCs w:val="32"/>
        </w:rPr>
        <w:t>注：*标注的为必做项目</w:t>
      </w:r>
    </w:p>
    <w:p w14:paraId="08250A5C">
      <w:pPr>
        <w:spacing w:line="520" w:lineRule="exact"/>
        <w:ind w:firstLine="640" w:firstLineChars="200"/>
        <w:rPr>
          <w:rFonts w:ascii="Times New Roman" w:hAnsi="Times New Roman" w:eastAsia="仿宋_GB2312"/>
          <w:sz w:val="32"/>
          <w:szCs w:val="32"/>
        </w:rPr>
      </w:pPr>
    </w:p>
    <w:p w14:paraId="100B12B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2.8.2干扰研究</w:t>
      </w:r>
    </w:p>
    <w:p w14:paraId="13D8A44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应根据所采集样本类型，选择适用的干扰物质进行研究。说明样本的制备方法及干扰研究的评价标准，确定可接受的干扰物质的极限浓度。</w:t>
      </w:r>
    </w:p>
    <w:p w14:paraId="7924314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建议在每种干扰物质的潜在最大浓度（“最差条件”）下，采用待测抗体为弱阳性和阴性水平的多例样本进行试验，应至少包括下列可能的干扰物质。</w:t>
      </w:r>
    </w:p>
    <w:p w14:paraId="7C83750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2.8.2.1内源性干扰物质：总IgG、总IgM、胆红素、血红蛋白、甘油三酯、自身免疫性抗体(抗核抗体、类风湿因子、抗线粒体抗体等)、异嗜性抗体（如：HAMA）、高浓度ToRCH特异性IgG抗体与特异性IgM抗体的干扰。</w:t>
      </w:r>
    </w:p>
    <w:p w14:paraId="5A2DF16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2.8.2.2常见治疗性药物：请依据检测项目选择合适的治疗药物进行干扰研究。对于CMV抗体检测试剂建议纳入更昔洛韦、缬更昔洛韦等药物进行干扰研究；对于弓形虫抗体检测试剂建议评价乙酰螺旋霉素、乙胺嘧啶、磺胺嘧啶、甲酰四氢叶酸等常见治疗药物的影响；对于单纯疱疹病毒抗体检测试剂建议纳入阿昔洛韦、伐昔洛韦等干扰物质评价。</w:t>
      </w:r>
    </w:p>
    <w:p w14:paraId="2F92BE2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2.8.2.3如适用全血样本，应评价红细胞压积对检测结果的影响。</w:t>
      </w:r>
    </w:p>
    <w:p w14:paraId="2B94DD4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2.9 ToRCH IgM抗体破坏试验</w:t>
      </w:r>
    </w:p>
    <w:p w14:paraId="08FA4FE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可采用对至少5份含有ToRCH特异性IgM抗体的样本进行IgM破坏试验研究，方法为采用特定的化学制剂（如2－巯基乙醇或二硫苏糖醇）处理样本后，重新进行检测，IgM检测结果应为阴性。 </w:t>
      </w:r>
    </w:p>
    <w:p w14:paraId="05D8199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2.10钩状（HOOK）效应</w:t>
      </w:r>
    </w:p>
    <w:p w14:paraId="4E5AE3C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须采用多份高滴度的ToRCH特异性抗体样本进行梯度稀释后由低浓度至高浓度开始检测，每个梯度的稀释液重复3～5次，对钩状效应进行合理的验证。</w:t>
      </w:r>
    </w:p>
    <w:p w14:paraId="0FE0A03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2.11包容性</w:t>
      </w:r>
    </w:p>
    <w:p w14:paraId="376FE2F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应选择来源于不同时间、不同地域的多份经合理方法确定的ToRCH特异性抗体阳性临床样本进行检测，检测项目如存在不同型别（如：HSVⅠ</w:t>
      </w:r>
      <w:r>
        <w:rPr>
          <w:rFonts w:ascii="Times New Roman" w:hAnsi="Times New Roman" w:eastAsia="仿宋_GB2312"/>
          <w:kern w:val="0"/>
          <w:sz w:val="32"/>
          <w:szCs w:val="32"/>
        </w:rPr>
        <w:t>型和</w:t>
      </w:r>
      <w:r>
        <w:rPr>
          <w:rFonts w:ascii="Times New Roman" w:hAnsi="Times New Roman" w:eastAsia="仿宋_GB2312"/>
          <w:sz w:val="32"/>
          <w:szCs w:val="32"/>
        </w:rPr>
        <w:t>Ⅱ</w:t>
      </w:r>
      <w:r>
        <w:rPr>
          <w:rFonts w:ascii="Times New Roman" w:hAnsi="Times New Roman" w:eastAsia="仿宋_GB2312"/>
          <w:kern w:val="0"/>
          <w:sz w:val="32"/>
          <w:szCs w:val="32"/>
        </w:rPr>
        <w:t>型</w:t>
      </w:r>
      <w:r>
        <w:rPr>
          <w:rFonts w:ascii="Times New Roman" w:hAnsi="Times New Roman" w:eastAsia="仿宋_GB2312"/>
          <w:sz w:val="32"/>
          <w:szCs w:val="32"/>
        </w:rPr>
        <w:t>），建议对所有型别进行验证，验证内容应包括重复性、检出限等，检测结果应满足接收标准，需提供样本性质、型别及浓度的确认方法、试验数据等支持性资料。</w:t>
      </w:r>
    </w:p>
    <w:p w14:paraId="5A629D9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2.12线性区间及可报告区间（适用于半定量和定量项目）</w:t>
      </w:r>
    </w:p>
    <w:p w14:paraId="1444290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线性区间的研究，需采用高浓度样本和阴性样本/低浓度样本配制一系列不同浓度的样本。当建立试剂的线性区间时，需配制较预期线性区间更宽的9个左右不同浓度的样本（不包括阴性样本），每个样本进行多次重复检测，根据可接受线性偏差和各浓度的重复性，确定检测次数。采用重复检测均值和预期值进行回归分析。当验证试剂的线性区间时，需配制覆盖整个线性区间的至少5个不同浓度的样本，每个样本至少重复检测2次。建议采用加权最小二乘回归等方法对检测结果进行回归分析，提供散点图、线性回归方程、相关系数及线性偏差等，结果应满足可接收标准。</w:t>
      </w:r>
    </w:p>
    <w:p w14:paraId="15E6F1D3">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测量区间，也称分析测量区间，在该区间内，临床样本在未经稀释、浓缩，或非常规测量程序中步骤的其他前处理情况下，检测结果的线性偏差、不精密度和偏倚均在可接受范围内。测量区间下限为定量限，线性区间包含测量区间。</w:t>
      </w:r>
    </w:p>
    <w:p w14:paraId="57D7DDEE">
      <w:pPr>
        <w:spacing w:line="520" w:lineRule="exact"/>
        <w:ind w:firstLine="640" w:firstLineChars="200"/>
        <w:rPr>
          <w:rFonts w:ascii="Times New Roman" w:hAnsi="Times New Roman" w:eastAsia="仿宋_GB2312"/>
          <w:color w:val="0000FF"/>
          <w:sz w:val="32"/>
          <w:szCs w:val="32"/>
        </w:rPr>
      </w:pPr>
      <w:bookmarkStart w:id="4" w:name="_Toc323285336"/>
      <w:r>
        <w:rPr>
          <w:rFonts w:ascii="Times New Roman" w:hAnsi="Times New Roman" w:eastAsia="仿宋_GB2312"/>
          <w:sz w:val="32"/>
          <w:szCs w:val="32"/>
        </w:rPr>
        <w:t>如对超出测量区间的样本可进行稀释后检测，应采用合适的方法确定试剂的稀释倍数和稀释液（如适用），从而确定试剂的可报告区间</w:t>
      </w:r>
      <w:bookmarkEnd w:id="4"/>
      <w:bookmarkStart w:id="5" w:name="_Toc323285337"/>
      <w:r>
        <w:rPr>
          <w:rFonts w:ascii="Times New Roman" w:hAnsi="Times New Roman" w:eastAsia="仿宋_GB2312"/>
          <w:sz w:val="32"/>
          <w:szCs w:val="32"/>
        </w:rPr>
        <w:t>。稀释倍数的研究可采用多份高浓度临床样本进行梯度稀释，计算稀释样本的浓度并与稀释系数相乘以计算未稀释样本的浓度，比较计算所得抗体浓度与已知值之间的差异。</w:t>
      </w:r>
    </w:p>
    <w:p w14:paraId="0F69C8B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2.13反应体系研究</w:t>
      </w:r>
    </w:p>
    <w:p w14:paraId="68467C8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2.13.1反应条件确定</w:t>
      </w:r>
    </w:p>
    <w:p w14:paraId="73245BF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申请人应考虑反应时间、反应温度、洗涤液体积和洗涤次数、判读时间（如适用）等条件对产品性能的影响，通过试验确定上述条件的最佳组合。</w:t>
      </w:r>
    </w:p>
    <w:p w14:paraId="54EA49B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2.13.2反应体系中样品加样方式及加样量确定</w:t>
      </w:r>
    </w:p>
    <w:p w14:paraId="3B1B942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试验确定最佳的加样方式及加样量。如样本需采取稀释或其他必要的方法进行处理后方可用于最终检测，申请人还应对样本稀释液及其用量、其他必要的处理方法等进行研究。对于IgM抗体检测试剂，如采用间接法，建议考虑高浓度特异性IgG对结果的影响，合理设置IgG去除相关样本处理步骤，以降低特异性IgG可能造成的假阴性和假阳性。</w:t>
      </w:r>
    </w:p>
    <w:p w14:paraId="2C0E7FD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应对样本是否可以灭活，以及可采用的灭活方式、灭活时间进行研究确定。</w:t>
      </w:r>
    </w:p>
    <w:p w14:paraId="434C453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3.稳定性研究资料</w:t>
      </w:r>
      <w:bookmarkEnd w:id="5"/>
    </w:p>
    <w:p w14:paraId="6008E39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申请人可根据实际需要选择合理的稳定性研究方案。稳定性研究资料应包括研究方法的确定依据、具体的实施方案、详细的研究数据以及结论。</w:t>
      </w:r>
    </w:p>
    <w:p w14:paraId="5010EF8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3.1实时稳定性研究</w:t>
      </w:r>
    </w:p>
    <w:p w14:paraId="34C2D52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提交至少三批申报产品在实际储存条件下保存至成品有效期后的研究资料。</w:t>
      </w:r>
      <w:r>
        <w:rPr>
          <w:rFonts w:ascii="Times New Roman" w:hAnsi="Times New Roman" w:eastAsia="仿宋_GB2312"/>
          <w:color w:val="000000"/>
          <w:sz w:val="32"/>
          <w:szCs w:val="32"/>
        </w:rPr>
        <w:t>明确储存的环境条件（如温度、湿度和光照）及有效期。</w:t>
      </w:r>
    </w:p>
    <w:p w14:paraId="3179213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3.2使用稳定性</w:t>
      </w:r>
    </w:p>
    <w:p w14:paraId="0EFB730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5F79852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3.3运输稳定性</w:t>
      </w:r>
    </w:p>
    <w:p w14:paraId="53F6E5D0">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提交申报产品可在特定或者预期的条件下运输的研究资料，应说明产品正确运输的环境条件（如温度、湿度、光照和机械保护等）。同时说明产品的包装方式以及暴露的最差运输条件。注意应考察经过运输条件后实时稳定性。</w:t>
      </w:r>
      <w:bookmarkStart w:id="6" w:name="_Toc323285338"/>
    </w:p>
    <w:p w14:paraId="41DB4DE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w:t>
      </w:r>
      <w:r>
        <w:rPr>
          <w:rFonts w:ascii="Times New Roman" w:hAnsi="Times New Roman" w:eastAsia="仿宋_GB2312"/>
          <w:color w:val="000000"/>
          <w:sz w:val="32"/>
          <w:szCs w:val="32"/>
        </w:rPr>
        <w:t>阳性判断值研究</w:t>
      </w:r>
    </w:p>
    <w:p w14:paraId="1549767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对申报试剂阴性/灰区/阳性等结果判断的阳性判断值（cut-off,CO）确定的研究资料，应包括具体的试验方案、人群及样本选择、评价标准、统计学分析和研究数据等。建立CO值的样本选择应考虑到地域性、季节、不同的感染阶段和生理状态等因素的影响，并纳入一定数量的弱阳性样本。</w:t>
      </w:r>
    </w:p>
    <w:p w14:paraId="3E53306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建议采用受试者工作特征曲线（receiver operating characteristic curve, ROC）的分析方式来选择确定合理的CO值，如试验结果分析存在灰区（equivocal zone），则应明确灰区建立的基础。</w:t>
      </w:r>
    </w:p>
    <w:p w14:paraId="1875234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对于采用酶联免疫分析技术的检测试剂，在各检测条件固定的情况下，申请人也可以采用确定临界值的常用方法，通过：</w:t>
      </w:r>
      <w:r>
        <w:rPr>
          <w:rFonts w:hint="eastAsia" w:ascii="宋体" w:hAnsi="宋体" w:cs="宋体"/>
          <w:sz w:val="32"/>
          <w:szCs w:val="32"/>
        </w:rPr>
        <w:t>①</w:t>
      </w:r>
      <w:r>
        <w:rPr>
          <w:rFonts w:ascii="Times New Roman" w:hAnsi="Times New Roman" w:eastAsia="仿宋_GB2312"/>
          <w:sz w:val="32"/>
          <w:szCs w:val="32"/>
        </w:rPr>
        <w:t>确定CO值中的n数值（CO值=阴性样品平均A值+n×标准偏差）；</w:t>
      </w:r>
      <w:r>
        <w:rPr>
          <w:rFonts w:hint="eastAsia" w:ascii="宋体" w:hAnsi="宋体" w:cs="宋体"/>
          <w:sz w:val="32"/>
          <w:szCs w:val="32"/>
        </w:rPr>
        <w:t>②</w:t>
      </w:r>
      <w:r>
        <w:rPr>
          <w:rFonts w:ascii="Times New Roman" w:hAnsi="Times New Roman" w:eastAsia="仿宋_GB2312"/>
          <w:sz w:val="32"/>
          <w:szCs w:val="32"/>
        </w:rPr>
        <w:t>确定阴性样品A值的标准差；</w:t>
      </w:r>
      <w:r>
        <w:rPr>
          <w:rFonts w:hint="eastAsia" w:ascii="宋体" w:hAnsi="宋体" w:cs="宋体"/>
          <w:sz w:val="32"/>
          <w:szCs w:val="32"/>
        </w:rPr>
        <w:t>③</w:t>
      </w:r>
      <w:r>
        <w:rPr>
          <w:rFonts w:ascii="Times New Roman" w:hAnsi="Times New Roman" w:eastAsia="仿宋_GB2312"/>
          <w:sz w:val="32"/>
          <w:szCs w:val="32"/>
        </w:rPr>
        <w:t>临床样本CO值的验证；这三个步骤检测并计算确定试剂盒的CO值。</w:t>
      </w:r>
    </w:p>
    <w:p w14:paraId="60D753A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如产品适用多个样本类型，应明确CO值在不同的样本类型是否存在差异，如有差异，应分别进行CO值的确定。</w:t>
      </w:r>
    </w:p>
    <w:p w14:paraId="3FB106F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5.其他资料</w:t>
      </w:r>
    </w:p>
    <w:p w14:paraId="0565B8C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5.1主要原材料研究资料</w:t>
      </w:r>
    </w:p>
    <w:p w14:paraId="2A6F86B6">
      <w:pPr>
        <w:spacing w:line="520" w:lineRule="exact"/>
        <w:ind w:firstLine="640" w:firstLineChars="200"/>
        <w:outlineLvl w:val="0"/>
        <w:rPr>
          <w:rFonts w:ascii="Times New Roman" w:hAnsi="Times New Roman" w:eastAsia="仿宋_GB2312"/>
          <w:kern w:val="0"/>
          <w:sz w:val="32"/>
          <w:szCs w:val="32"/>
        </w:rPr>
      </w:pPr>
      <w:r>
        <w:rPr>
          <w:rFonts w:ascii="Times New Roman" w:hAnsi="Times New Roman" w:eastAsia="仿宋_GB2312"/>
          <w:kern w:val="0"/>
          <w:sz w:val="32"/>
          <w:szCs w:val="32"/>
        </w:rPr>
        <w:t>此类产品的主要原材料一般包括抗原、抗体、质控品</w:t>
      </w:r>
      <w:r>
        <w:rPr>
          <w:rFonts w:ascii="Times New Roman" w:hAnsi="Times New Roman" w:eastAsia="仿宋_GB2312"/>
          <w:sz w:val="32"/>
          <w:szCs w:val="32"/>
        </w:rPr>
        <w:t>和/或</w:t>
      </w:r>
      <w:r>
        <w:rPr>
          <w:rFonts w:ascii="Times New Roman" w:hAnsi="Times New Roman" w:eastAsia="仿宋_GB2312"/>
          <w:kern w:val="0"/>
          <w:sz w:val="32"/>
          <w:szCs w:val="32"/>
        </w:rPr>
        <w:t>校准品、企业参考品等。应提供主要原材料的选择与来源、制备过程、质量控制标准等相关研究资料。如主要原材料为企业自制，应提供其详细的制备、鉴定和质量控制过程；如主要原材料源于外购，应提供资料包括：选择该原材料的依据及对比筛选试验资料、供应商提供的质量标准、出厂检测报告以及该原材料到货后的入厂检验报告。</w:t>
      </w:r>
    </w:p>
    <w:p w14:paraId="138FBFB9">
      <w:pPr>
        <w:spacing w:line="520" w:lineRule="exact"/>
        <w:ind w:firstLine="640" w:firstLineChars="200"/>
        <w:outlineLvl w:val="0"/>
        <w:rPr>
          <w:rFonts w:ascii="Times New Roman" w:hAnsi="Times New Roman" w:eastAsia="仿宋_GB2312"/>
          <w:sz w:val="32"/>
          <w:szCs w:val="32"/>
        </w:rPr>
      </w:pPr>
      <w:r>
        <w:rPr>
          <w:rFonts w:ascii="Times New Roman" w:hAnsi="Times New Roman" w:eastAsia="仿宋_GB2312"/>
          <w:kern w:val="0"/>
          <w:sz w:val="32"/>
          <w:szCs w:val="32"/>
        </w:rPr>
        <w:t>5.1.1</w:t>
      </w:r>
      <w:r>
        <w:rPr>
          <w:rFonts w:ascii="Times New Roman" w:hAnsi="Times New Roman" w:eastAsia="仿宋_GB2312"/>
          <w:sz w:val="32"/>
          <w:szCs w:val="32"/>
        </w:rPr>
        <w:t>抗原</w:t>
      </w:r>
    </w:p>
    <w:p w14:paraId="0CBADA40">
      <w:pPr>
        <w:spacing w:line="520" w:lineRule="exact"/>
        <w:ind w:firstLine="640" w:firstLineChars="200"/>
        <w:outlineLvl w:val="0"/>
        <w:rPr>
          <w:rFonts w:ascii="Times New Roman" w:hAnsi="Times New Roman" w:eastAsia="仿宋_GB2312"/>
          <w:kern w:val="0"/>
          <w:sz w:val="32"/>
          <w:szCs w:val="32"/>
        </w:rPr>
      </w:pPr>
      <w:r>
        <w:rPr>
          <w:rFonts w:ascii="Times New Roman" w:hAnsi="Times New Roman" w:eastAsia="仿宋_GB2312"/>
          <w:kern w:val="0"/>
          <w:sz w:val="32"/>
          <w:szCs w:val="32"/>
        </w:rPr>
        <w:t>应注重抗原选择，详细描述抗原的名称、生物学来源、天然/重组表达信息及选择该抗原的依据。提交抗原来源、制备过程、筛选及质量标准（外观、蛋白浓度、纯度、分子量、功能性试验等）等详细试验资料。</w:t>
      </w:r>
    </w:p>
    <w:p w14:paraId="77538C02">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如抗原为企业自制，需提供以下资料：</w:t>
      </w:r>
      <w:r>
        <w:rPr>
          <w:rFonts w:ascii="Times New Roman" w:hAnsi="Times New Roman" w:eastAsia="仿宋_GB2312"/>
          <w:sz w:val="32"/>
          <w:szCs w:val="32"/>
        </w:rPr>
        <w:t>如为天然抗原，则应对病原体毒株选择、病原体培养、抗原提取及纯化、鉴定等试验过程予以详述并提供相应研究资料；如为重组抗原，则应提交有关特定基因选择、基因序列、克隆构建及转化、抗原表达及纯化、鉴定等详细试验资料，重组抗原应明确与天然抗原结构的异同。</w:t>
      </w:r>
    </w:p>
    <w:p w14:paraId="5B2F22DC">
      <w:pPr>
        <w:spacing w:line="520" w:lineRule="exact"/>
        <w:ind w:firstLine="640" w:firstLineChars="200"/>
        <w:outlineLvl w:val="0"/>
        <w:rPr>
          <w:rFonts w:ascii="Times New Roman" w:hAnsi="Times New Roman" w:eastAsia="仿宋_GB2312"/>
          <w:sz w:val="32"/>
          <w:szCs w:val="32"/>
        </w:rPr>
      </w:pPr>
      <w:r>
        <w:rPr>
          <w:rFonts w:ascii="Times New Roman" w:hAnsi="Times New Roman" w:eastAsia="仿宋_GB2312"/>
          <w:kern w:val="0"/>
          <w:sz w:val="32"/>
          <w:szCs w:val="32"/>
        </w:rPr>
        <w:t>5.1.2抗体</w:t>
      </w:r>
    </w:p>
    <w:p w14:paraId="3A592EC2">
      <w:pPr>
        <w:spacing w:line="520" w:lineRule="exact"/>
        <w:ind w:firstLine="640" w:firstLineChars="200"/>
        <w:outlineLvl w:val="0"/>
        <w:rPr>
          <w:rFonts w:ascii="Times New Roman" w:hAnsi="Times New Roman" w:eastAsia="仿宋_GB2312"/>
          <w:kern w:val="0"/>
          <w:sz w:val="32"/>
          <w:szCs w:val="32"/>
        </w:rPr>
      </w:pPr>
      <w:r>
        <w:rPr>
          <w:rFonts w:ascii="Times New Roman" w:hAnsi="Times New Roman" w:eastAsia="仿宋_GB2312"/>
          <w:kern w:val="0"/>
          <w:sz w:val="32"/>
          <w:szCs w:val="32"/>
        </w:rPr>
        <w:t>详述抗体的选择过程，提交抗体的名称、生物学来源、免疫原及质量标准（外观、蛋白浓度、纯度、分子量、效价、功能性试验等）等详细试验资料。</w:t>
      </w:r>
    </w:p>
    <w:p w14:paraId="0A63A45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如抗体为企业自制，需提供以下资料：如使用天然抗原作为免疫原则应明确该天然抗原的来源；如使用重组抗原或其他人工合成抗原作为免疫原，应提供相应的核酸组分及重组抗原的序列信息。</w:t>
      </w:r>
    </w:p>
    <w:p w14:paraId="2BA46B9B">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5.1.3</w:t>
      </w:r>
      <w:r>
        <w:rPr>
          <w:rFonts w:ascii="Times New Roman" w:hAnsi="Times New Roman" w:eastAsia="仿宋_GB2312"/>
          <w:sz w:val="32"/>
          <w:szCs w:val="32"/>
        </w:rPr>
        <w:t>其他主要原材料</w:t>
      </w:r>
    </w:p>
    <w:p w14:paraId="5DC0F685">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除上述主要原材料外，产品中包含的其他原料</w:t>
      </w:r>
      <w:r>
        <w:rPr>
          <w:rFonts w:ascii="Times New Roman" w:hAnsi="Times New Roman" w:eastAsia="仿宋_GB2312"/>
          <w:sz w:val="32"/>
          <w:szCs w:val="32"/>
        </w:rPr>
        <w:t>，如固相载体、化学发光剂、样本缓冲液等，均应提交原料的选择及验证资料。明确原料的供应商和质量控制标准。</w:t>
      </w:r>
      <w:r>
        <w:rPr>
          <w:rFonts w:ascii="Times New Roman" w:hAnsi="Times New Roman" w:eastAsia="仿宋_GB2312"/>
          <w:kern w:val="0"/>
          <w:sz w:val="32"/>
          <w:szCs w:val="32"/>
        </w:rPr>
        <w:t>免疫层析方法学的产品如适用于全血，应介绍血细胞去除方式及相关原材料，并验证去除效果。</w:t>
      </w:r>
    </w:p>
    <w:p w14:paraId="4EBE24A8">
      <w:pPr>
        <w:spacing w:line="52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5.1.4质控和/或校准品</w:t>
      </w:r>
    </w:p>
    <w:p w14:paraId="6F9120C9">
      <w:pPr>
        <w:spacing w:line="520" w:lineRule="exact"/>
        <w:ind w:firstLine="640" w:firstLineChars="200"/>
        <w:outlineLvl w:val="0"/>
        <w:rPr>
          <w:rFonts w:ascii="Times New Roman" w:hAnsi="Times New Roman" w:eastAsia="仿宋_GB2312"/>
          <w:kern w:val="0"/>
          <w:sz w:val="32"/>
          <w:szCs w:val="32"/>
        </w:rPr>
      </w:pPr>
      <w:r>
        <w:rPr>
          <w:rFonts w:ascii="Times New Roman" w:hAnsi="Times New Roman" w:eastAsia="仿宋_GB2312"/>
          <w:sz w:val="32"/>
          <w:szCs w:val="32"/>
        </w:rPr>
        <w:t>校准品应溯源至现行的国家或国际参考品（如有），质控品应至少包含阴性和阳性两个水平。校准品和质控品基质应与待测样本相同或相似。应</w:t>
      </w:r>
      <w:r>
        <w:rPr>
          <w:rFonts w:ascii="Times New Roman" w:hAnsi="Times New Roman" w:eastAsia="仿宋_GB2312"/>
          <w:kern w:val="0"/>
          <w:sz w:val="32"/>
          <w:szCs w:val="32"/>
        </w:rPr>
        <w:t>提交相关原料的来源、选择和阴、阳性确认等相关研究资料，详述质控品和/或校准品的制备过程，明确供应商和质量控制标准。企业应对质控品的检测结果做出明确的范围要求（试验有效性的判断）。</w:t>
      </w:r>
    </w:p>
    <w:p w14:paraId="2DA3C478">
      <w:pPr>
        <w:spacing w:line="520" w:lineRule="exact"/>
        <w:ind w:firstLine="640" w:firstLineChars="200"/>
        <w:outlineLvl w:val="0"/>
        <w:rPr>
          <w:rFonts w:ascii="Times New Roman" w:hAnsi="Times New Roman" w:eastAsia="仿宋_GB2312"/>
          <w:kern w:val="0"/>
          <w:sz w:val="32"/>
          <w:szCs w:val="32"/>
        </w:rPr>
      </w:pPr>
      <w:r>
        <w:rPr>
          <w:rFonts w:ascii="Times New Roman" w:hAnsi="Times New Roman" w:eastAsia="仿宋_GB2312"/>
          <w:kern w:val="0"/>
          <w:sz w:val="32"/>
          <w:szCs w:val="32"/>
        </w:rPr>
        <w:t>免疫层析方法学的产品应设置质控线，详述质控线相关原材料（例如羊抗鼠IgG多克隆抗体）的选择依据和质量标准。</w:t>
      </w:r>
    </w:p>
    <w:p w14:paraId="7EB4F66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5.1.5企业参考品</w:t>
      </w:r>
    </w:p>
    <w:p w14:paraId="7F5D99D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应提交企业参考品的原料来源、选择、制备、阴阳性及浓度/滴度确认方法或试剂（建议采用国内已上市的、临床上普遍认为质量较好的同类试剂）等相关研究资料并对企业参考品进行充分验证。</w:t>
      </w:r>
      <w:r>
        <w:rPr>
          <w:rFonts w:ascii="Times New Roman" w:hAnsi="Times New Roman" w:eastAsia="仿宋_GB2312"/>
          <w:kern w:val="0"/>
          <w:sz w:val="32"/>
          <w:szCs w:val="32"/>
        </w:rPr>
        <w:t>企业参考品的基质应与待测样本相同。</w:t>
      </w:r>
    </w:p>
    <w:p w14:paraId="44E3D7CC">
      <w:pPr>
        <w:spacing w:line="520" w:lineRule="exact"/>
        <w:ind w:firstLine="640" w:firstLineChars="200"/>
        <w:outlineLvl w:val="0"/>
        <w:rPr>
          <w:rFonts w:ascii="Times New Roman" w:hAnsi="Times New Roman" w:eastAsia="仿宋_GB2312"/>
          <w:kern w:val="0"/>
          <w:sz w:val="32"/>
          <w:szCs w:val="32"/>
        </w:rPr>
      </w:pPr>
      <w:r>
        <w:rPr>
          <w:rFonts w:ascii="Times New Roman" w:hAnsi="Times New Roman" w:eastAsia="仿宋_GB2312"/>
          <w:sz w:val="32"/>
          <w:szCs w:val="32"/>
        </w:rPr>
        <w:t>该类产品的</w:t>
      </w:r>
      <w:r>
        <w:rPr>
          <w:rFonts w:ascii="Times New Roman" w:hAnsi="Times New Roman" w:eastAsia="仿宋_GB2312"/>
          <w:kern w:val="0"/>
          <w:sz w:val="32"/>
          <w:szCs w:val="32"/>
        </w:rPr>
        <w:t>企业参考品一般包括：阳性参考品、阴性参考品、检出限参考品、重复性参考品、亲合力参考品等，</w:t>
      </w:r>
      <w:r>
        <w:rPr>
          <w:rFonts w:ascii="Times New Roman" w:hAnsi="Times New Roman" w:eastAsia="仿宋_GB2312"/>
          <w:sz w:val="32"/>
          <w:szCs w:val="32"/>
        </w:rPr>
        <w:t>申请人应根据产品特性及适用情况科学设置</w:t>
      </w:r>
      <w:r>
        <w:rPr>
          <w:rFonts w:ascii="Times New Roman" w:hAnsi="Times New Roman" w:eastAsia="仿宋_GB2312"/>
          <w:kern w:val="0"/>
          <w:sz w:val="32"/>
          <w:szCs w:val="32"/>
        </w:rPr>
        <w:t>。其中</w:t>
      </w:r>
      <w:r>
        <w:rPr>
          <w:rFonts w:ascii="Times New Roman" w:hAnsi="Times New Roman" w:eastAsia="仿宋_GB2312"/>
          <w:sz w:val="32"/>
          <w:szCs w:val="32"/>
        </w:rPr>
        <w:t>阳性参考品重在评估产品的包容性，应选择不同来源的临床样本，并设置</w:t>
      </w:r>
      <w:r>
        <w:rPr>
          <w:rFonts w:ascii="Times New Roman" w:hAnsi="Times New Roman" w:eastAsia="仿宋_GB2312"/>
          <w:kern w:val="0"/>
          <w:sz w:val="32"/>
          <w:szCs w:val="32"/>
        </w:rPr>
        <w:t>不同滴度水平。阴性参考品应可评价产品的特异性</w:t>
      </w:r>
      <w:r>
        <w:rPr>
          <w:rFonts w:ascii="Times New Roman" w:hAnsi="Times New Roman" w:eastAsia="仿宋_GB2312"/>
          <w:sz w:val="32"/>
          <w:szCs w:val="32"/>
        </w:rPr>
        <w:t>，除设置正常人血清/血浆样本外，还应包含可能的干扰（溶血、脂血、黄疸及自身免疫性疾病样本）和交叉样本，对于检测ToRCH</w:t>
      </w:r>
      <w:r>
        <w:rPr>
          <w:rFonts w:ascii="Times New Roman" w:hAnsi="Times New Roman" w:eastAsia="仿宋_GB2312"/>
          <w:kern w:val="0"/>
          <w:sz w:val="32"/>
          <w:szCs w:val="32"/>
        </w:rPr>
        <w:t xml:space="preserve"> IgM</w:t>
      </w:r>
      <w:r>
        <w:rPr>
          <w:rFonts w:ascii="Times New Roman" w:hAnsi="Times New Roman" w:eastAsia="仿宋_GB2312"/>
          <w:sz w:val="32"/>
          <w:szCs w:val="32"/>
        </w:rPr>
        <w:t xml:space="preserve">抗体的试剂，阴性参考品中建议包括ToRCH </w:t>
      </w:r>
      <w:r>
        <w:rPr>
          <w:rFonts w:ascii="Times New Roman" w:hAnsi="Times New Roman" w:eastAsia="仿宋_GB2312"/>
          <w:kern w:val="0"/>
          <w:sz w:val="32"/>
          <w:szCs w:val="32"/>
        </w:rPr>
        <w:t>IgG</w:t>
      </w:r>
      <w:r>
        <w:rPr>
          <w:rFonts w:ascii="Times New Roman" w:hAnsi="Times New Roman" w:eastAsia="仿宋_GB2312"/>
          <w:sz w:val="32"/>
          <w:szCs w:val="32"/>
        </w:rPr>
        <w:t>抗体阳性样本。</w:t>
      </w:r>
      <w:r>
        <w:rPr>
          <w:rFonts w:ascii="Times New Roman" w:hAnsi="Times New Roman" w:eastAsia="仿宋_GB2312"/>
          <w:kern w:val="0"/>
          <w:sz w:val="32"/>
          <w:szCs w:val="32"/>
        </w:rPr>
        <w:t>检出限参考品可设置临床阳性样本的系列稀释样本，其中应包含最低检出限水平。重复性参考品可设置至少两个水平的临床阳性样本，包括最低检出限附近浓度。亲合力参考品一般包括高浓度亲合力参考品、低浓度亲合力参考品等，对于同时检测</w:t>
      </w:r>
      <w:r>
        <w:rPr>
          <w:rFonts w:ascii="Times New Roman" w:hAnsi="Times New Roman" w:eastAsia="仿宋_GB2312"/>
          <w:sz w:val="32"/>
          <w:szCs w:val="32"/>
        </w:rPr>
        <w:t xml:space="preserve">ToRCH </w:t>
      </w:r>
      <w:r>
        <w:rPr>
          <w:rFonts w:ascii="Times New Roman" w:hAnsi="Times New Roman" w:eastAsia="仿宋_GB2312"/>
          <w:kern w:val="0"/>
          <w:sz w:val="32"/>
          <w:szCs w:val="32"/>
        </w:rPr>
        <w:t>IgM和IgG抗体的试剂，企业参考品需对IgM抗体和IgG抗体分别设置。</w:t>
      </w:r>
    </w:p>
    <w:p w14:paraId="73DA8F5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5.2生产工艺研究资料</w:t>
      </w:r>
    </w:p>
    <w:p w14:paraId="22B9DB7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5.2.1产品基本反应原理介绍。</w:t>
      </w:r>
    </w:p>
    <w:p w14:paraId="4F253C9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5.2.2主要生产工艺介绍，可用流程图方式表示，并简要说明主要生产工艺的确定依据。</w:t>
      </w:r>
    </w:p>
    <w:p w14:paraId="62918CC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5.2.3包被/标记工艺研究，申请人应考虑如包被/标记液量、浓度、时间、条件等指标对产品性能的影响，通过试验确定上述指标的最佳组合。</w:t>
      </w:r>
    </w:p>
    <w:p w14:paraId="04D34D33">
      <w:pPr>
        <w:spacing w:line="520" w:lineRule="exact"/>
        <w:ind w:firstLine="640" w:firstLineChars="200"/>
        <w:rPr>
          <w:rFonts w:ascii="Times New Roman" w:hAnsi="Times New Roman" w:eastAsia="仿宋_GB2312"/>
          <w:sz w:val="32"/>
          <w:szCs w:val="32"/>
          <w:shd w:val="clear" w:color="FFFFFF" w:fill="D9D9D9"/>
        </w:rPr>
      </w:pPr>
      <w:r>
        <w:rPr>
          <w:rFonts w:ascii="Times New Roman" w:hAnsi="Times New Roman" w:eastAsia="仿宋_GB2312"/>
          <w:sz w:val="32"/>
          <w:szCs w:val="32"/>
        </w:rPr>
        <w:t>5.2.4显色（发光）系统、酶作用底物等的介绍以及最适条件研究。</w:t>
      </w:r>
    </w:p>
    <w:p w14:paraId="39453DE6">
      <w:pPr>
        <w:tabs>
          <w:tab w:val="left" w:pos="7140"/>
        </w:tabs>
        <w:autoSpaceDE w:val="0"/>
        <w:autoSpaceDN w:val="0"/>
        <w:spacing w:line="520" w:lineRule="exact"/>
        <w:ind w:firstLine="640" w:firstLineChars="200"/>
        <w:rPr>
          <w:rFonts w:ascii="楷体" w:hAnsi="楷体" w:eastAsia="楷体"/>
          <w:color w:val="000000"/>
          <w:sz w:val="32"/>
          <w:szCs w:val="32"/>
        </w:rPr>
      </w:pPr>
      <w:r>
        <w:rPr>
          <w:rFonts w:ascii="楷体" w:hAnsi="楷体" w:eastAsia="楷体"/>
          <w:color w:val="000000"/>
          <w:sz w:val="32"/>
          <w:szCs w:val="32"/>
        </w:rPr>
        <w:t>（四）临床评价资料</w:t>
      </w:r>
    </w:p>
    <w:p w14:paraId="3064660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对于免于进行临床试验的临床评价检测项目，临床评价可参照《免于临床试验的体外诊断试剂临床评价技术指导原则》相关内容开展研究，如相关法规、文件有更新，临床评价应符合更新后的要求。</w:t>
      </w:r>
    </w:p>
    <w:p w14:paraId="16AA698B">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对于未在《免于临床试验体外诊断试剂目录》的产品，应进行临床试验。其临床试验的开展、方案的制定以及报告的撰写等均应符合相关法规及《体外诊断试剂临床试验技术指导原则》的要求，如相关法规、文件有更新，临床试验应符合更新后的要求。</w:t>
      </w:r>
    </w:p>
    <w:p w14:paraId="229FB4EB">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1.临床试验方法</w:t>
      </w:r>
    </w:p>
    <w:p w14:paraId="63EC506B">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临床试验可采用试验体外诊断试剂与临床普遍认为质量较好的已上市同类产品进行比较研究试验，证明两者等效，从而间接证明试验用体外诊断试剂临床性能满足预期用途的要求。对比试剂在预期用途、适用人群、样本类型、检测性能等方面应与试验用体外诊断试剂具有较好的可比性。临床试验方案中应针对对比试剂的选择及依据进行详细描述。</w:t>
      </w:r>
    </w:p>
    <w:p w14:paraId="7BD609C9">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2.受试者选择及样本收集</w:t>
      </w:r>
    </w:p>
    <w:p w14:paraId="5D4259F5">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临床试验方案中应根据试验体外诊断试剂的预期用途、适用人群和检测要求等合理确定临床试验受试者选择要求，包括：受试者入组/排除标准等。</w:t>
      </w:r>
    </w:p>
    <w:p w14:paraId="5581E23F">
      <w:pPr>
        <w:spacing w:line="52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根据产品临床验证的目的，入组人群应选择具有ToRCH感染症状/体征的人群、与传染源有密切接触史的人群、育龄妇女及孕妇作为研究对象。</w:t>
      </w:r>
    </w:p>
    <w:p w14:paraId="72D16758">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应适当纳入感染症状相似、易混淆的其他病原体感染患者及自身免疫性疾病患者。</w:t>
      </w:r>
    </w:p>
    <w:p w14:paraId="6676A0B7">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临床样本的采集、处理、保存等应分别满足临床试验中所涉及各产品说明书相关要求。</w:t>
      </w:r>
    </w:p>
    <w:p w14:paraId="70006F29">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对于CMV等ToRCH病原体IgG抗体亲合力检测，其临床适用人群应为疑似原发性感染的人群。入组方式可选择ToRCH特异性IgM和ToRCH特异性IgG抗体同时为阳性的样本作为亲合力检测的入组样本。建议在临床报告的试验设计和研究结果中对入组样本的筛选入组过程进行详细描述。</w:t>
      </w:r>
    </w:p>
    <w:p w14:paraId="5BB55A33">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3.临床试验机构数量及要求</w:t>
      </w:r>
    </w:p>
    <w:p w14:paraId="57523C5B">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该类产品临床试验应在三家及以上符合要求的临床试验机构开展。申请人应根据产品特点及其预期用途，综合流行病学背景，选择具有一定地域代表性的机构开展临床试验。</w:t>
      </w:r>
    </w:p>
    <w:p w14:paraId="08E24322">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4.样本类型</w:t>
      </w:r>
    </w:p>
    <w:p w14:paraId="6B361B2F">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ToRCH抗体及G型免疫球蛋白抗体亲合力检测试剂适用的样本类型一般包括血清、血浆和静脉全血。</w:t>
      </w:r>
    </w:p>
    <w:p w14:paraId="15BDBDE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如申报产品所适用的样本类型同时包含血清、血浆，且临床前研究证实检测性能没有差异（如血清、血浆），则临床试验中可汇总统计。对于静脉全血样本类型，建议进行同源比对。</w:t>
      </w:r>
    </w:p>
    <w:p w14:paraId="2B2A387B">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5.临床试验样本量估算</w:t>
      </w:r>
    </w:p>
    <w:p w14:paraId="0DC59510">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适当的样本量是保证申报产品临床性能得到准确评价的必要条件。临床试验样本量应满足统计学要求，可采用适当的统计学方法进行估算。</w:t>
      </w:r>
    </w:p>
    <w:p w14:paraId="6FF43A23">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当采用申报产品与已上市同类产品进行对比试验时，可采用单组目标值法样本量公式估算最低样本量。</w:t>
      </w:r>
    </w:p>
    <w:p w14:paraId="07673AD1">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公式中，</w:t>
      </w:r>
      <w:r>
        <w:rPr>
          <w:rFonts w:ascii="Times New Roman" w:hAnsi="Times New Roman" w:eastAsia="仿宋_GB2312"/>
          <w:i/>
          <w:iCs/>
          <w:sz w:val="32"/>
          <w:szCs w:val="32"/>
        </w:rPr>
        <w:t>n</w:t>
      </w:r>
      <w:r>
        <w:rPr>
          <w:rFonts w:ascii="Times New Roman" w:hAnsi="Times New Roman" w:eastAsia="仿宋_GB2312"/>
          <w:sz w:val="32"/>
          <w:szCs w:val="32"/>
        </w:rPr>
        <w:t>为样本量；</w:t>
      </w:r>
      <w:r>
        <w:rPr>
          <w:rFonts w:ascii="Times New Roman" w:hAnsi="Times New Roman" w:eastAsia="仿宋_GB2312"/>
          <w:i/>
          <w:iCs/>
          <w:sz w:val="32"/>
          <w:szCs w:val="32"/>
        </w:rPr>
        <w:t>Z</w:t>
      </w:r>
      <w:r>
        <w:rPr>
          <w:rFonts w:ascii="Times New Roman" w:hAnsi="Times New Roman" w:eastAsia="仿宋_GB2312"/>
          <w:i/>
          <w:iCs/>
          <w:sz w:val="32"/>
          <w:szCs w:val="32"/>
          <w:vertAlign w:val="subscript"/>
        </w:rPr>
        <w:t>1-α/2</w:t>
      </w:r>
      <w:r>
        <w:rPr>
          <w:rFonts w:ascii="Times New Roman" w:hAnsi="Times New Roman" w:eastAsia="仿宋_GB2312"/>
          <w:sz w:val="32"/>
          <w:szCs w:val="32"/>
        </w:rPr>
        <w:t>、</w:t>
      </w:r>
      <w:r>
        <w:rPr>
          <w:rFonts w:ascii="Times New Roman" w:hAnsi="Times New Roman" w:eastAsia="仿宋_GB2312"/>
          <w:i/>
          <w:iCs/>
          <w:sz w:val="32"/>
          <w:szCs w:val="32"/>
        </w:rPr>
        <w:t>Z</w:t>
      </w:r>
      <w:r>
        <w:rPr>
          <w:rFonts w:ascii="Times New Roman" w:hAnsi="Times New Roman" w:eastAsia="仿宋_GB2312"/>
          <w:i/>
          <w:iCs/>
          <w:sz w:val="32"/>
          <w:szCs w:val="32"/>
          <w:vertAlign w:val="subscript"/>
        </w:rPr>
        <w:t>1-β</w:t>
      </w:r>
      <w:r>
        <w:rPr>
          <w:rFonts w:ascii="Times New Roman" w:hAnsi="Times New Roman" w:eastAsia="仿宋_GB2312"/>
          <w:sz w:val="32"/>
          <w:szCs w:val="32"/>
        </w:rPr>
        <w:t>为显著性水平和把握度的标准正态分布的分数位，</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0</w:t>
      </w:r>
      <w:r>
        <w:rPr>
          <w:rFonts w:ascii="Times New Roman" w:hAnsi="Times New Roman" w:eastAsia="仿宋_GB2312"/>
          <w:sz w:val="32"/>
          <w:szCs w:val="32"/>
        </w:rPr>
        <w:t>为评价指标的临床可接受标准，</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T</w:t>
      </w:r>
      <w:r>
        <w:rPr>
          <w:rFonts w:ascii="Times New Roman" w:hAnsi="Times New Roman" w:eastAsia="仿宋_GB2312"/>
          <w:sz w:val="32"/>
          <w:szCs w:val="32"/>
        </w:rPr>
        <w:t>为试验用体外诊断试剂评价指标预期值。</w:t>
      </w:r>
    </w:p>
    <w:p w14:paraId="1E481F32">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对于ToRCH病原体抗体检测试剂的临床阴/阳性符合率，基于目前的科学认识，建议</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0</w:t>
      </w:r>
      <w:r>
        <w:rPr>
          <w:rFonts w:ascii="Times New Roman" w:hAnsi="Times New Roman" w:eastAsia="仿宋_GB2312"/>
          <w:sz w:val="32"/>
          <w:szCs w:val="32"/>
        </w:rPr>
        <w:t>不低于90%。当选定的产品的符合率预期值（</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T</w:t>
      </w:r>
      <w:r>
        <w:rPr>
          <w:rFonts w:ascii="Times New Roman" w:hAnsi="Times New Roman" w:eastAsia="仿宋_GB2312"/>
          <w:sz w:val="32"/>
          <w:szCs w:val="32"/>
        </w:rPr>
        <w:t>）远高于预期目标值时，应采用其他的方法进行样本类的估算。当评价指标</w:t>
      </w:r>
      <w:r>
        <w:rPr>
          <w:rFonts w:ascii="Times New Roman" w:hAnsi="Times New Roman" w:eastAsia="仿宋_GB2312"/>
          <w:i/>
          <w:iCs/>
          <w:sz w:val="32"/>
          <w:szCs w:val="32"/>
        </w:rPr>
        <w:t>P</w:t>
      </w:r>
      <w:r>
        <w:rPr>
          <w:rFonts w:ascii="Times New Roman" w:hAnsi="Times New Roman" w:eastAsia="仿宋_GB2312"/>
          <w:sz w:val="32"/>
          <w:szCs w:val="32"/>
        </w:rPr>
        <w:t>接近100%时，上述样本量估算方法可能不适用，应考虑选择更加适宜的方法进行样本量估算，如精确概率法等。</w:t>
      </w:r>
    </w:p>
    <w:p w14:paraId="4FE18EA4">
      <w:pPr>
        <w:spacing w:line="520" w:lineRule="exact"/>
        <w:ind w:firstLine="420" w:firstLineChars="200"/>
        <w:textAlignment w:val="baseline"/>
        <w:rPr>
          <w:rFonts w:ascii="Times New Roman" w:hAnsi="Times New Roman" w:eastAsia="仿宋_GB2312"/>
          <w:sz w:val="32"/>
          <w:szCs w:val="32"/>
        </w:rPr>
      </w:pPr>
      <w:r>
        <w:rPr>
          <w:rFonts w:ascii="Times New Roman" w:hAnsi="Times New Roman" w:eastAsia="仿宋_GB2312"/>
        </w:rPr>
        <w:drawing>
          <wp:anchor distT="0" distB="0" distL="114300" distR="114300" simplePos="0" relativeHeight="251659264" behindDoc="0" locked="0" layoutInCell="1" allowOverlap="1">
            <wp:simplePos x="0" y="0"/>
            <wp:positionH relativeFrom="page">
              <wp:posOffset>1945005</wp:posOffset>
            </wp:positionH>
            <wp:positionV relativeFrom="page">
              <wp:posOffset>5135880</wp:posOffset>
            </wp:positionV>
            <wp:extent cx="3528695" cy="792480"/>
            <wp:effectExtent l="0" t="0" r="0" b="0"/>
            <wp:wrapTopAndBottom/>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528695" cy="792480"/>
                    </a:xfrm>
                    <a:prstGeom prst="rect">
                      <a:avLst/>
                    </a:prstGeom>
                    <a:noFill/>
                  </pic:spPr>
                </pic:pic>
              </a:graphicData>
            </a:graphic>
          </wp:anchor>
        </w:drawing>
      </w:r>
      <w:r>
        <w:rPr>
          <w:rFonts w:ascii="Times New Roman" w:hAnsi="Times New Roman" w:eastAsia="仿宋_GB2312"/>
          <w:sz w:val="32"/>
          <w:szCs w:val="32"/>
        </w:rPr>
        <w:t>对于ToRCH病原体G型免疫球蛋白抗体亲合力检测试剂的临床高/低亲和性符合率，基于目前的科学认识，建议</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0</w:t>
      </w:r>
      <w:r>
        <w:rPr>
          <w:rFonts w:ascii="Times New Roman" w:hAnsi="Times New Roman" w:eastAsia="仿宋_GB2312"/>
          <w:sz w:val="32"/>
          <w:szCs w:val="32"/>
        </w:rPr>
        <w:t>不低于90%。当选定的产品的符合率预期值（</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T</w:t>
      </w:r>
      <w:r>
        <w:rPr>
          <w:rFonts w:ascii="Times New Roman" w:hAnsi="Times New Roman" w:eastAsia="仿宋_GB2312"/>
          <w:sz w:val="32"/>
          <w:szCs w:val="32"/>
        </w:rPr>
        <w:t>）远高于预期目标值时，应采用其他的方法进行样本类的估算。当评价指标P接近100%时，上述样本量估算方法可能不适用，应考虑选择更加适宜的方法进行样本量估算。</w:t>
      </w:r>
    </w:p>
    <w:p w14:paraId="1B29FC60">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对于ToRCH特异性IgG定量检测试剂，样本待测物浓度应覆盖检测范围，并在各个浓度水平均应有一定量的样本例数。</w:t>
      </w:r>
    </w:p>
    <w:p w14:paraId="34C3BDB3">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临床试验样本量除需满足上述统计学估算的最低样本量要求外，还应保证入组病例覆盖受试者的各种特征；临床试验样本应包含一定数量的医学决定水平附近样本或灰区样本。</w:t>
      </w:r>
    </w:p>
    <w:p w14:paraId="5451592A">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6.临床评价指标的选择与统计分析</w:t>
      </w:r>
    </w:p>
    <w:p w14:paraId="4FD671A1">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临床评价指标应在临床试验的设计阶段确定，并在临床试验方案中予以明确。</w:t>
      </w:r>
    </w:p>
    <w:p w14:paraId="70D2115D">
      <w:pPr>
        <w:spacing w:line="52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对于ToRCH抗体检测试剂，临床评价指标主要包括试验体外诊断试剂与已上市同类产品相比的阳性符合率、阴性符合率等。统计分析一般以2×2四格表的形式总结两种分析方法的检测结果，并据此计算阳性符合率、阴性符合率、总符合率、Kappa值等指标及其95%置信区间。结果不符样本的复核结果不应纳入上述统计。对于申请半定量意义的检测试剂，其对比试验的等效性研究，应在上述统计分析的基础上，根据临床试验数据分布特点，采用Pearson相关系数等统计方法对考核试剂检测值与对比试剂检测值线性相关关系进行分析。申请定量意义的IgG检测试剂，比如风疹病毒IgG检测试剂，评价指标通常还包括回归分析的回归系数、截距、相关系数和决定系数等。根据临床试验数据绘制散点图，并进行相关性分析。并采用Bland-Altman法，计算一致性限度，评价两种检测结果的一致性。一致性限度应在临床所能接受的界值范围内。还应采用回归分析对两种检测方法的一致性进行评价。根据数据分布特点等因素选择适用的回归分析方法，回归分析应重点观察回归方程的回归系数和截距等指标，计算回归系数和截距的置信区间。同时对相关评价指标进行假设检验。</w:t>
      </w:r>
    </w:p>
    <w:p w14:paraId="45F121DC">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对于ToRCH病原体G型免疫球蛋白抗体亲合力检测试剂，临床评价指标主要包括试验体外诊断试剂与已上市同类产品相比的高亲和性符合率、低亲和性符合率等。统计分析一般以2×2四格表的形式总结两种分析方法的检测结果，并据此计算高亲和性符合率、低亲和性符合率、总符合率、Kappa值等指标及其95%置信区间。</w:t>
      </w:r>
    </w:p>
    <w:p w14:paraId="4EACBF2D">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7.结果不符的样本</w:t>
      </w:r>
    </w:p>
    <w:p w14:paraId="542EFB69">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对于比较研究试验中申报产品与对比产品结果检测不一致以及量值差异较大的情况，应进行合理的分析。如采用实验室参考方法或第三方检测试剂进行确认，结果不应用于修订原有统计结果。</w:t>
      </w:r>
    </w:p>
    <w:bookmarkEnd w:id="6"/>
    <w:p w14:paraId="296FD1B9">
      <w:pPr>
        <w:tabs>
          <w:tab w:val="left" w:pos="7140"/>
        </w:tabs>
        <w:autoSpaceDE w:val="0"/>
        <w:autoSpaceDN w:val="0"/>
        <w:spacing w:line="520" w:lineRule="exact"/>
        <w:ind w:firstLine="640" w:firstLineChars="200"/>
        <w:rPr>
          <w:rFonts w:ascii="楷体" w:hAnsi="楷体" w:eastAsia="楷体"/>
          <w:color w:val="000000"/>
          <w:sz w:val="32"/>
          <w:szCs w:val="32"/>
        </w:rPr>
      </w:pPr>
      <w:r>
        <w:rPr>
          <w:rFonts w:ascii="楷体" w:hAnsi="楷体" w:eastAsia="楷体"/>
          <w:color w:val="000000"/>
          <w:sz w:val="32"/>
          <w:szCs w:val="32"/>
        </w:rPr>
        <w:t>（五）产品说明书</w:t>
      </w:r>
      <w:r>
        <w:rPr>
          <w:rFonts w:hint="eastAsia" w:ascii="楷体" w:hAnsi="楷体" w:eastAsia="楷体"/>
          <w:color w:val="000000"/>
          <w:sz w:val="32"/>
          <w:szCs w:val="32"/>
        </w:rPr>
        <w:t>和标签样稿</w:t>
      </w:r>
    </w:p>
    <w:p w14:paraId="41CD733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格式应符合《体外诊断试剂说明书编写指导原则》的要求，境外试剂的中文说明书除格式要求外，其内容应尽量保持与原文说明书的一致性，翻译力求准确且符合中文表达习惯。产品说明书的技术内容应与注册申报资料中的相关研究结果保持一致，如某些内容引用自参考文献，则应以规范格式对此内容进行标注，并单独注明文献的相关信息。</w:t>
      </w:r>
    </w:p>
    <w:p w14:paraId="01CA94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ToRCH特异性抗体和IgG抗体亲合力检测试剂说明书编写应重点关注以下内容：</w:t>
      </w:r>
    </w:p>
    <w:p w14:paraId="53A236F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1．【预期用途】应至少包括以下几部分内容：</w:t>
      </w:r>
    </w:p>
    <w:p w14:paraId="1124892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1.1试剂盒用于体外定性和/或半定量和/或定量，检测人血清和/或血浆和/或静脉全血样本中xx的特异性IgG或IgM抗体。用于ToRCH病原体感染的辅助诊断。</w:t>
      </w:r>
    </w:p>
    <w:p w14:paraId="41AEE76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1.2试剂盒用于体外定性检测人体血清和/或血浆和/或静脉全血样本中xx的特异性IgG亲合力。作为ToRCH抗体检测的一种补充，用于</w:t>
      </w:r>
      <w:r>
        <w:rPr>
          <w:rFonts w:ascii="Times New Roman" w:hAnsi="Times New Roman" w:eastAsia="仿宋_GB2312"/>
          <w:sz w:val="32"/>
          <w:szCs w:val="32"/>
          <w:lang w:val="zh-CN"/>
        </w:rPr>
        <w:t>辅助判断感染时间，排除近期原发性感染。</w:t>
      </w:r>
    </w:p>
    <w:p w14:paraId="6DF0176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简单介绍病原体的特征，如特定病原体的生物学特征、流行病学、潜伏期、易感人群、不同人群感染后的临床表现等临床背景相关的信息介绍；适用人群的介绍，如具有何种症状/体征的患者、相关的密切接触者、相关疾病流行情况、地域要求等。</w:t>
      </w:r>
    </w:p>
    <w:p w14:paraId="2EBEEB7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1.4人群中ToRCH特异性抗体的阳性率、ToRCH特异性抗体的产生、持续时间、临床提示作用及与ToRCH核酸和抗体亲合力等其他检测指标的关联。</w:t>
      </w:r>
    </w:p>
    <w:p w14:paraId="6D5B0ED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1.5明确说明ToRCH特异性IgM抗体检测不得用于无症状人群的产前筛查；不得将本试剂的检测结果单独作为终止妊娠的依据。</w:t>
      </w:r>
    </w:p>
    <w:p w14:paraId="595612B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1.6特异性IgG抗体的亲合力检测试剂还应介绍亲合力动力学，亲合力高低与感染时间的关系，并明确不得将本试剂IgG抗体的低亲合力结果单独作为近期急性感染判断的依据。</w:t>
      </w:r>
    </w:p>
    <w:p w14:paraId="56180B6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1.7关于预期用途的几点考虑：</w:t>
      </w:r>
    </w:p>
    <w:p w14:paraId="737A7F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1.7.1 ToRCH抗体检测试剂作为病原体抗体检测试剂，目前的临床意义仅限于抗体阴阳性及IgG抗体亲合力高低的判断和病原体特异性IgG抗体滴度变化趋势的观察。</w:t>
      </w:r>
    </w:p>
    <w:p w14:paraId="3D739E9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1.7.2定量检测试剂可溯源至国家或国际标准品如WHO标准品等标准品。鉴于现在国际标准品的情况和临床需求，建议ToRCH IgM检测试剂的预期用途定义为定性检测。</w:t>
      </w:r>
    </w:p>
    <w:p w14:paraId="1798086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1.7.3抗体亲合力检测项目的确定，应建立在明确的临床意义和技术可行性基础上。</w:t>
      </w:r>
    </w:p>
    <w:p w14:paraId="3E8759C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2.【适用仪器】</w:t>
      </w:r>
    </w:p>
    <w:p w14:paraId="698C9CA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对于采用酶联免疫吸附法的检测试剂应明确适用酶标仪的波长要求，其他方法学检测试剂应明确具体的适用仪器型号。</w:t>
      </w:r>
    </w:p>
    <w:p w14:paraId="5263BA8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3.【样本要求】重点明确以下内容：</w:t>
      </w:r>
    </w:p>
    <w:p w14:paraId="56F83F9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对于ToRCH病原体IgM抗体检测试剂，如果检测系统含有某种IgG抗体的去除技术（IgG吸附剂），如抗人IgG抗体等，则应包括IgG吸附剂使用相关的注意事项。例如：经IgG吸附剂处理的样本不能用于IgG类抗体的检测；在检测IgM类抗体的同时，检测处理过的混合物中的IgG类抗体，以证实对IgG和类风湿因子（RF）等去除的有效性。</w:t>
      </w:r>
    </w:p>
    <w:p w14:paraId="0CAC363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3.2对于IgG抗体亲合力检测试剂应明确适用的特异性IgG抗体阳性样本的浓度范围或信号值范围。</w:t>
      </w:r>
    </w:p>
    <w:p w14:paraId="45A86B7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4.【检验方法】详细说明试验操作的各个步骤：</w:t>
      </w:r>
    </w:p>
    <w:p w14:paraId="69308B4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4.1检测试剂及样本的复温要求及相关注意事项。例如：冻存样本在复融后应经过充分的混匀再行检测。</w:t>
      </w:r>
    </w:p>
    <w:p w14:paraId="065B053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4.2试剂配制方法、注意事项，试剂开封后使用方法及注意事项等。</w:t>
      </w:r>
    </w:p>
    <w:p w14:paraId="6CE40F8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4.3高浓度样本稀释的方法及注意事项。</w:t>
      </w:r>
    </w:p>
    <w:p w14:paraId="0435AF1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4.4试验条件：操作步骤、温度、时间、仪器波长以及试验过程中的注意事项等。</w:t>
      </w:r>
    </w:p>
    <w:p w14:paraId="1A8B3D4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4.5定标（如适用）：标准曲线的制定，对需要进行重新定标情况的说明及对定标周期的建议。</w:t>
      </w:r>
    </w:p>
    <w:p w14:paraId="6ABBB06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4.6质量控制：操作步骤，质控结果的要求（试验有效性的判断），质控结果不符合要求的处理方式。如果质控品和病人样本的使用方法不同，生产商应注明必要的指导和解释。建议在质控品结果解释环节注明以下字样：“如果质控结果与预期不符，实验室不应出具检测报告”。</w:t>
      </w:r>
    </w:p>
    <w:p w14:paraId="3D6B3BC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5.【检验结果的解释】</w:t>
      </w:r>
    </w:p>
    <w:p w14:paraId="55E2264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细描述检测结果的判定标准或计算方法。对阴阳性及血清转换或亲合力高低临床意义的说明，对后续试验的建议。例：对于巨细胞病毒IgG抗体检测灰区样本，建议另外进行巨细胞病毒IgM抗体检测或于2周后进行重复检测；对于IgG抗体亲合力灰区样本，应于2周后进行重复检测。对于半定量和定量的特异性IgG抗体检测试剂，还应明确抗体滴度变化的意义。由于ToRCH IgM假阳性结果可能造成不良后果，建议提示临床医生对所有ToRCH IgM阳性结果应结合临床病史及其他的检测结果综合判断，不得作为ToRCH急性感染诊断的唯一依据。</w:t>
      </w:r>
    </w:p>
    <w:p w14:paraId="5FE24BF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对于ToRCH IgG定量检测试剂，由于抗体的检测结果与检测方法及量值的溯源性相关，不同检测系统间的结果可能不一致。建议企业给予相关提示。</w:t>
      </w:r>
    </w:p>
    <w:p w14:paraId="078990C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对于IgG抗体亲合力检测试剂，还应明确指出应配合相应的ToRCH IgG和IgM抗体检测试剂结果进行分析。应提示：临床医生检测的低亲合力结果不得作为近期急性感染判断的依据。</w:t>
      </w:r>
    </w:p>
    <w:p w14:paraId="4384362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6.【检验方法局限性】</w:t>
      </w:r>
    </w:p>
    <w:p w14:paraId="421D51E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综合产品的预期用途、临床背景、检测方法及适用范围等信息，对可能出现的局限性进行相关说明，主要包括以下描述，请申请人选择适用的条款在产品说明书中予以阐述。</w:t>
      </w:r>
    </w:p>
    <w:p w14:paraId="79DCC4F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6.1本产品检测结果仅供临床参考，不应作为临床诊治的唯一依据，对患者的临床诊断应结合其症状/体征、病史、流行病学、其他实验室检查（如病原学检测）等信息综合考虑。</w:t>
      </w:r>
    </w:p>
    <w:p w14:paraId="257C353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感染初期，ToRCH特异性抗体未产生或低于检出限，会导致阴性结果，如怀疑有病原体感染，应提示患者在一段时间内复查，如2周以上，抽取第二份样本，并在与第一份样本同条件下时进行检测，以确定是否有初次感染的血清转化或ToRCH特异性IgM或IgG抗体明显升高。（企业应注明第一份样本的保存条件，并提交相应的支持资料）</w:t>
      </w:r>
    </w:p>
    <w:p w14:paraId="2911FC3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6.3ToRCH特异性IgG阴性，可能出现于疾病急性感染的早期，阴性结果应结合临床症状或病原接触情况，并结合其他诊断检测方法加以解释。</w:t>
      </w:r>
    </w:p>
    <w:p w14:paraId="320561C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6.4对于采用间接法的ToRCH IgM抗体检测试剂，高滴度ToRCH特异性IgG抗体会与特异性IgM抗体竞争抗原结合部位，会使检测的敏感性降低，特异性IgM抗体结果可能会出现假性低值或阴性结果。</w:t>
      </w:r>
    </w:p>
    <w:p w14:paraId="138612E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6.5由于孕妇ToRCH IgM抗体的实验室检查存在较高的假阳性风险，不能可靠地鉴定胎儿患病的风险，故不建议对无症状孕妇的ToRCH IgM抗体进行筛查。不得将本试剂的检测结果单独作为终止妊娠的依据。</w:t>
      </w:r>
    </w:p>
    <w:p w14:paraId="198FCD1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6.6免疫功能受损或接受免疫抑制治疗的患者，如人类免疫缺陷病毒（HIV）感染患者或器官移植后接受免疫抑制治疗的患者，其抗体及抗体亲合力检测的参考价值有限，可能会导致错误的医学解释。</w:t>
      </w:r>
    </w:p>
    <w:p w14:paraId="3CBB7C1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6.7在近几个月内接受过输血或其他血液制品治疗的人群，对其阳性检测结果的分析应慎重。</w:t>
      </w:r>
    </w:p>
    <w:p w14:paraId="7F935F0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6.8部分ToRCH（如风疹病毒）特异性IgM抗体不仅出现于初次感染，当二次感染和复发感染时也可能出现。个别个体的ToRCH特异性IgM抗体,在初次感染较长时间后仍能检出，因此对特异性IgM抗体阳性在判断初次感染时间的解释中应慎重。</w:t>
      </w:r>
    </w:p>
    <w:p w14:paraId="53B295D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6.9当处于低流行率地区的无症状人群或已接种过特定ToRCH疫苗的个体检出ToRCH IgM阳性结果时，应警惕可能出现的假阳性结果。同时建议临床医生结合其症状/体征、病史、流行病学、其他实验室检查（如IgG抗体亲合力和病原学检测）进行判断。建议对申报试剂临床研究中的病例人群特征进行说明，并对适用人群的年龄、地域等特征进行明示。</w:t>
      </w:r>
    </w:p>
    <w:p w14:paraId="052B5FC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6.10人血清中的异嗜性抗体可能与试剂中的免疫球蛋白结合干扰试验结果，对于经常接触动物或动物血清制品的人群，应警惕可能出现的异常干扰结果。</w:t>
      </w:r>
    </w:p>
    <w:p w14:paraId="6C05323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6.11接受过小鼠单克隆抗体治疗的患者样本中，可能含有人抗小鼠抗体（HAMA）。对于试剂盒组成成份中含有小鼠源性抗体的检测试剂，若待测样本中含有HAMA，会影响检测结果的准确性。</w:t>
      </w:r>
    </w:p>
    <w:p w14:paraId="1E65918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6.12体内存在的高浓度的链霉亲合素（亲合素）抗体和发光标志物抗体可能会影响检测结果。</w:t>
      </w:r>
    </w:p>
    <w:p w14:paraId="398BA3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6.13由于ToRCH IgG抗体亲合力成熟过程存在个体差异，个别个体在初次感染较长时间后仍呈现ToRCH IgG抗体低亲合力，因此不得将本试剂IgG抗体的低亲合力结果单独作为近期急性感染判断的依据。</w:t>
      </w:r>
    </w:p>
    <w:p w14:paraId="3D123AC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7.【产品性能指标】 请依据研究资料详述各性能指标，应注意以下方面：</w:t>
      </w:r>
    </w:p>
    <w:p w14:paraId="7F668AF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7.1最低检出限：说明试剂的最低检出浓度或滴度，简单介绍最低检出限的确定方法。</w:t>
      </w:r>
    </w:p>
    <w:p w14:paraId="1BEECE7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 分析特异性</w:t>
      </w:r>
    </w:p>
    <w:p w14:paraId="3372D0A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7.2.1交叉反应：对易产生交叉反应的其他病原体的高水平抗体、高浓度ToRCH特异性IgG抗体等的验证情况。</w:t>
      </w:r>
    </w:p>
    <w:p w14:paraId="56BB0CA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7.2.2干扰物质：样本中常见干扰物质对检测结果的影响，如溶血、脂血、黄疸等干扰因子研究（结果应量化表示，禁用轻度、严重等模糊表述），有关高浓度总IgM和总IgG抗体、自身性免疫抗体（抗核抗体、类风湿因子）等的干扰验证。</w:t>
      </w:r>
    </w:p>
    <w:p w14:paraId="60E0494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7.3抗体滴度变化（适用于半定量和/或定量检测试剂）和诊断灵敏度：介绍血清转换盘的来源，将检测结果以图或表的形式列出。</w:t>
      </w:r>
    </w:p>
    <w:p w14:paraId="17687CB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注意事项】应至少包括以下内容：有关试剂盒内人源组分（如有）生物安全性的警告。如：试剂盒内对照品（质控品）或其他可能含有人源物质的组分，虽已经通过了乙型肝炎病毒表面抗原（HBs-Ag）、人类免疫缺陷病毒1/2型抗体（HIV1/2-Ab）、丙型肝炎病毒抗体（HCV-Ab）等项目的检测，但截至目前，没有任何一项检测可以确保绝对安全，故仍应将这些组分作为潜在传染源对待。</w:t>
      </w:r>
    </w:p>
    <w:p w14:paraId="1E845FDB">
      <w:pPr>
        <w:tabs>
          <w:tab w:val="left" w:pos="7140"/>
        </w:tabs>
        <w:autoSpaceDE w:val="0"/>
        <w:autoSpaceDN w:val="0"/>
        <w:spacing w:line="520" w:lineRule="exact"/>
        <w:ind w:firstLine="640" w:firstLineChars="200"/>
        <w:rPr>
          <w:rFonts w:ascii="楷体" w:hAnsi="楷体" w:eastAsia="楷体"/>
          <w:color w:val="000000"/>
          <w:sz w:val="32"/>
          <w:szCs w:val="32"/>
        </w:rPr>
      </w:pPr>
      <w:r>
        <w:rPr>
          <w:rFonts w:ascii="楷体" w:hAnsi="楷体" w:eastAsia="楷体"/>
          <w:color w:val="000000"/>
          <w:sz w:val="32"/>
          <w:szCs w:val="32"/>
        </w:rPr>
        <w:t>（六）质量管理体系文件</w:t>
      </w:r>
    </w:p>
    <w:p w14:paraId="575E07F5">
      <w:pPr>
        <w:pStyle w:val="22"/>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申请人应当在申请注册时提交与产品研制、生产有关的质量管理体系相关资料。详述产品的生产过程，提供生产工艺流程图。明确申报产品反应及检测原理和过程，标明主要控制点与项目及主要原材料、采购件的来源及质量控制方法。</w:t>
      </w:r>
    </w:p>
    <w:p w14:paraId="4D643312">
      <w:pPr>
        <w:pStyle w:val="22"/>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如适用，应当提供拟核查产品与既往已通过核查产品在生产条件、生产工艺等方面的对比说明。</w:t>
      </w:r>
    </w:p>
    <w:p w14:paraId="1808170D">
      <w:pPr>
        <w:spacing w:line="520" w:lineRule="exact"/>
        <w:ind w:firstLine="640" w:firstLineChars="200"/>
        <w:rPr>
          <w:rFonts w:ascii="黑体" w:hAnsi="黑体" w:eastAsia="黑体"/>
          <w:sz w:val="32"/>
          <w:szCs w:val="32"/>
        </w:rPr>
      </w:pPr>
      <w:r>
        <w:rPr>
          <w:rFonts w:ascii="黑体" w:hAnsi="黑体" w:eastAsia="黑体"/>
          <w:sz w:val="32"/>
          <w:szCs w:val="32"/>
        </w:rPr>
        <w:t>三、参考文献</w:t>
      </w:r>
    </w:p>
    <w:p w14:paraId="09691B9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rPr>
        <w:t xml:space="preserve"> </w:t>
      </w:r>
      <w:r>
        <w:rPr>
          <w:rFonts w:hint="eastAsia" w:ascii="Times New Roman" w:hAnsi="Times New Roman" w:eastAsia="仿宋_GB2312"/>
          <w:sz w:val="32"/>
          <w:szCs w:val="32"/>
        </w:rPr>
        <w:t>国家市场监督管理总局.体外诊断试剂注册与备案管理办法: 国家市场监督管理总局令第48号[Z].</w:t>
      </w:r>
    </w:p>
    <w:p w14:paraId="3F0FB22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rPr>
        <w:t xml:space="preserve"> </w:t>
      </w:r>
      <w:r>
        <w:rPr>
          <w:rFonts w:hint="eastAsia" w:ascii="Times New Roman" w:hAnsi="Times New Roman" w:eastAsia="仿宋_GB2312"/>
          <w:sz w:val="32"/>
          <w:szCs w:val="32"/>
        </w:rPr>
        <w:t>国家药品监督管理局.体外诊断试剂注册申报资料要求和批准证明文件格式: 国家药品监督管理局2021年第122号公告[Z].</w:t>
      </w:r>
      <w:r>
        <w:rPr>
          <w:rFonts w:ascii="Times New Roman" w:hAnsi="Times New Roman" w:eastAsia="仿宋_GB2312"/>
          <w:sz w:val="32"/>
          <w:szCs w:val="32"/>
        </w:rPr>
        <w:t xml:space="preserve"> </w:t>
      </w:r>
    </w:p>
    <w:p w14:paraId="4407BE6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 xml:space="preserve"> 国家药品监督管理局医疗器械技术审评中心.</w:t>
      </w:r>
      <w:r>
        <w:rPr>
          <w:rFonts w:ascii="Times New Roman" w:hAnsi="Times New Roman" w:eastAsia="仿宋_GB2312"/>
          <w:sz w:val="32"/>
          <w:szCs w:val="32"/>
        </w:rPr>
        <w:t>定性检测体外诊断试剂分析性能评估注册审查指导原则：</w:t>
      </w:r>
      <w:r>
        <w:rPr>
          <w:rFonts w:hint="eastAsia" w:ascii="Times New Roman" w:hAnsi="Times New Roman" w:eastAsia="仿宋_GB2312"/>
          <w:sz w:val="32"/>
          <w:szCs w:val="32"/>
        </w:rPr>
        <w:t>国家药品监督管理局医疗器械技术审评中心</w:t>
      </w:r>
      <w:r>
        <w:rPr>
          <w:rFonts w:ascii="Times New Roman" w:hAnsi="Times New Roman" w:eastAsia="仿宋_GB2312"/>
          <w:sz w:val="32"/>
          <w:szCs w:val="32"/>
        </w:rPr>
        <w:t>2022年第36号</w:t>
      </w:r>
      <w:r>
        <w:rPr>
          <w:rFonts w:hint="eastAsia" w:ascii="Times New Roman" w:hAnsi="Times New Roman" w:eastAsia="仿宋_GB2312"/>
          <w:sz w:val="32"/>
          <w:szCs w:val="32"/>
        </w:rPr>
        <w:t>通告</w:t>
      </w:r>
      <w:r>
        <w:rPr>
          <w:rFonts w:ascii="Times New Roman" w:hAnsi="Times New Roman" w:eastAsia="仿宋_GB2312"/>
          <w:sz w:val="32"/>
          <w:szCs w:val="32"/>
        </w:rPr>
        <w:t>[Z].</w:t>
      </w:r>
    </w:p>
    <w:p w14:paraId="782160F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Times New Roman" w:eastAsia="仿宋_GB2312"/>
        </w:rPr>
        <w:t xml:space="preserve"> </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体外诊断试剂临床试验技术指导原则：</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2021年</w:t>
      </w:r>
      <w:r>
        <w:rPr>
          <w:rFonts w:hint="eastAsia" w:ascii="Times New Roman" w:hAnsi="Times New Roman" w:eastAsia="仿宋_GB2312"/>
          <w:sz w:val="32"/>
          <w:szCs w:val="32"/>
        </w:rPr>
        <w:t>第</w:t>
      </w:r>
      <w:r>
        <w:rPr>
          <w:rFonts w:ascii="Times New Roman" w:hAnsi="Times New Roman" w:eastAsia="仿宋_GB2312"/>
          <w:sz w:val="32"/>
          <w:szCs w:val="32"/>
        </w:rPr>
        <w:t>72号</w:t>
      </w:r>
      <w:r>
        <w:rPr>
          <w:rFonts w:hint="eastAsia" w:ascii="Times New Roman" w:hAnsi="Times New Roman" w:eastAsia="仿宋_GB2312"/>
          <w:sz w:val="32"/>
          <w:szCs w:val="32"/>
        </w:rPr>
        <w:t>通告</w:t>
      </w:r>
      <w:r>
        <w:rPr>
          <w:rFonts w:ascii="Times New Roman" w:hAnsi="Times New Roman" w:eastAsia="仿宋_GB2312"/>
          <w:sz w:val="32"/>
          <w:szCs w:val="32"/>
        </w:rPr>
        <w:t xml:space="preserve"> [Z].</w:t>
      </w:r>
    </w:p>
    <w:p w14:paraId="3391F03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[5]Review Criteria for In Vitro Diagnostic Devices for  Detection of IgM Antibodies to Viral Agents, CDRH FDA, USA February 27, 1997[Z].</w:t>
      </w:r>
    </w:p>
    <w:p w14:paraId="00B9845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[6]National Committee for Clinical Laboratory Standards. Specifications for immunological testing for infectious diseases; Approved guideline, LA18-A2, 2001[Z].</w:t>
      </w:r>
    </w:p>
    <w:p w14:paraId="6817AC7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[7]王玉兰，吴建民</w:t>
      </w:r>
      <w:r>
        <w:rPr>
          <w:rFonts w:hint="eastAsia" w:ascii="Times New Roman" w:hAnsi="Times New Roman" w:eastAsia="仿宋_GB2312"/>
          <w:sz w:val="32"/>
          <w:szCs w:val="32"/>
        </w:rPr>
        <w:t>.</w:t>
      </w:r>
      <w:r>
        <w:rPr>
          <w:rFonts w:ascii="Times New Roman" w:hAnsi="Times New Roman" w:eastAsia="仿宋_GB2312"/>
          <w:sz w:val="32"/>
          <w:szCs w:val="32"/>
        </w:rPr>
        <w:t>临床免疫学与检验</w:t>
      </w:r>
      <w:r>
        <w:rPr>
          <w:rFonts w:hint="eastAsia" w:ascii="Times New Roman" w:hAnsi="Times New Roman" w:eastAsia="仿宋_GB2312"/>
          <w:sz w:val="32"/>
          <w:szCs w:val="32"/>
        </w:rPr>
        <w:t>（</w:t>
      </w:r>
      <w:r>
        <w:rPr>
          <w:rFonts w:ascii="Times New Roman" w:hAnsi="Times New Roman" w:eastAsia="仿宋_GB2312"/>
          <w:sz w:val="32"/>
          <w:szCs w:val="32"/>
        </w:rPr>
        <w:t>第4版）[M]</w:t>
      </w:r>
      <w:r>
        <w:rPr>
          <w:rFonts w:hint="eastAsia" w:ascii="Times New Roman" w:hAnsi="Times New Roman" w:eastAsia="仿宋_GB2312"/>
          <w:sz w:val="32"/>
          <w:szCs w:val="32"/>
        </w:rPr>
        <w:t>.北京：</w:t>
      </w:r>
      <w:r>
        <w:rPr>
          <w:rFonts w:ascii="Times New Roman" w:hAnsi="Times New Roman" w:eastAsia="仿宋_GB2312"/>
          <w:sz w:val="32"/>
          <w:szCs w:val="32"/>
        </w:rPr>
        <w:t>人民卫生出版社，2007.</w:t>
      </w:r>
    </w:p>
    <w:p w14:paraId="6F40326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 李卫</w:t>
      </w:r>
      <w:r>
        <w:rPr>
          <w:rFonts w:hint="eastAsia" w:ascii="Times New Roman" w:hAnsi="Times New Roman" w:eastAsia="仿宋_GB2312"/>
          <w:sz w:val="32"/>
          <w:szCs w:val="32"/>
        </w:rPr>
        <w:t>.</w:t>
      </w:r>
      <w:r>
        <w:rPr>
          <w:rFonts w:ascii="Times New Roman" w:hAnsi="Times New Roman" w:eastAsia="仿宋_GB2312"/>
          <w:sz w:val="32"/>
          <w:szCs w:val="32"/>
        </w:rPr>
        <w:t>医疗器械临床试验统计方法</w:t>
      </w:r>
      <w:r>
        <w:rPr>
          <w:rFonts w:hint="eastAsia" w:ascii="Times New Roman" w:hAnsi="Times New Roman" w:eastAsia="仿宋_GB2312"/>
          <w:sz w:val="32"/>
          <w:szCs w:val="32"/>
        </w:rPr>
        <w:t>（</w:t>
      </w:r>
      <w:r>
        <w:rPr>
          <w:rFonts w:ascii="Times New Roman" w:hAnsi="Times New Roman" w:eastAsia="仿宋_GB2312"/>
          <w:sz w:val="32"/>
          <w:szCs w:val="32"/>
        </w:rPr>
        <w:t>第一版）[M]</w:t>
      </w:r>
      <w:r>
        <w:rPr>
          <w:rFonts w:hint="eastAsia" w:ascii="Times New Roman" w:hAnsi="Times New Roman" w:eastAsia="仿宋_GB2312"/>
          <w:sz w:val="32"/>
          <w:szCs w:val="32"/>
        </w:rPr>
        <w:t>.北京：</w:t>
      </w:r>
      <w:r>
        <w:rPr>
          <w:rFonts w:ascii="Times New Roman" w:hAnsi="Times New Roman" w:eastAsia="仿宋_GB2312"/>
          <w:sz w:val="32"/>
          <w:szCs w:val="32"/>
        </w:rPr>
        <w:t>人民军医出版社，2012.</w:t>
      </w:r>
    </w:p>
    <w:p w14:paraId="0CDAE20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 陈敬贤</w:t>
      </w:r>
      <w:r>
        <w:rPr>
          <w:rFonts w:hint="eastAsia" w:ascii="Times New Roman" w:hAnsi="Times New Roman" w:eastAsia="仿宋_GB2312"/>
          <w:sz w:val="32"/>
          <w:szCs w:val="32"/>
        </w:rPr>
        <w:t>.</w:t>
      </w:r>
      <w:r>
        <w:rPr>
          <w:rFonts w:ascii="Times New Roman" w:hAnsi="Times New Roman" w:eastAsia="仿宋_GB2312"/>
          <w:sz w:val="32"/>
          <w:szCs w:val="32"/>
        </w:rPr>
        <w:t>诊断病原体学（第一版）[M]</w:t>
      </w:r>
      <w:r>
        <w:rPr>
          <w:rFonts w:hint="eastAsia" w:ascii="Times New Roman" w:hAnsi="Times New Roman" w:eastAsia="仿宋_GB2312"/>
          <w:sz w:val="32"/>
          <w:szCs w:val="32"/>
        </w:rPr>
        <w:t>.北京：</w:t>
      </w:r>
      <w:r>
        <w:rPr>
          <w:rFonts w:ascii="Times New Roman" w:hAnsi="Times New Roman" w:eastAsia="仿宋_GB2312"/>
          <w:sz w:val="32"/>
          <w:szCs w:val="32"/>
        </w:rPr>
        <w:t>人民卫生出版社，2008.</w:t>
      </w:r>
    </w:p>
    <w:p w14:paraId="441CFD9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[10]冯仁丰</w:t>
      </w:r>
      <w:r>
        <w:rPr>
          <w:rFonts w:hint="eastAsia" w:ascii="Times New Roman" w:hAnsi="Times New Roman" w:eastAsia="仿宋_GB2312"/>
          <w:sz w:val="32"/>
          <w:szCs w:val="32"/>
        </w:rPr>
        <w:t>.</w:t>
      </w:r>
      <w:r>
        <w:rPr>
          <w:rFonts w:ascii="Times New Roman" w:hAnsi="Times New Roman" w:eastAsia="仿宋_GB2312"/>
          <w:sz w:val="32"/>
          <w:szCs w:val="32"/>
        </w:rPr>
        <w:t>临床检验质量管理技术基础（第二版）[M]</w:t>
      </w:r>
      <w:r>
        <w:rPr>
          <w:rFonts w:hint="eastAsia" w:ascii="Times New Roman" w:hAnsi="Times New Roman" w:eastAsia="仿宋_GB2312"/>
          <w:sz w:val="32"/>
          <w:szCs w:val="32"/>
        </w:rPr>
        <w:t>.上海：</w:t>
      </w:r>
      <w:r>
        <w:rPr>
          <w:rFonts w:ascii="Times New Roman" w:hAnsi="Times New Roman" w:eastAsia="仿宋_GB2312"/>
          <w:sz w:val="32"/>
          <w:szCs w:val="32"/>
        </w:rPr>
        <w:t>上海科学技术文献出版社，2007.</w:t>
      </w:r>
    </w:p>
    <w:p w14:paraId="2738FF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[11]Class II Special Controls Guidance Document: Herpes Simplex Virus Types 1 and 2 Serological Assays, CDRH FDA, August 9, 2011[Z].</w:t>
      </w:r>
    </w:p>
    <w:p w14:paraId="50C0817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[12]National Committee for Clinical Laboratory Standards. Clinical use and interpretation of serologic tests for toxoplasma gondii; Approved guideline, M36-A, 2004[Z].</w:t>
      </w:r>
    </w:p>
    <w:p w14:paraId="0FCDD5E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[13]焦奎，张书圣</w:t>
      </w:r>
      <w:r>
        <w:rPr>
          <w:rFonts w:hint="eastAsia" w:ascii="Times New Roman" w:hAnsi="Times New Roman" w:eastAsia="仿宋_GB2312"/>
          <w:sz w:val="32"/>
          <w:szCs w:val="32"/>
        </w:rPr>
        <w:t>.</w:t>
      </w:r>
      <w:r>
        <w:rPr>
          <w:rFonts w:ascii="Times New Roman" w:hAnsi="Times New Roman" w:eastAsia="仿宋_GB2312"/>
          <w:sz w:val="32"/>
          <w:szCs w:val="32"/>
        </w:rPr>
        <w:t>酶联免疫分析技术及应用</w:t>
      </w:r>
      <w:r>
        <w:rPr>
          <w:rFonts w:hint="eastAsia" w:ascii="Times New Roman" w:hAnsi="Times New Roman" w:eastAsia="仿宋_GB2312"/>
          <w:sz w:val="32"/>
          <w:szCs w:val="32"/>
        </w:rPr>
        <w:t>（</w:t>
      </w:r>
      <w:r>
        <w:rPr>
          <w:rFonts w:ascii="Times New Roman" w:hAnsi="Times New Roman" w:eastAsia="仿宋_GB2312"/>
          <w:sz w:val="32"/>
          <w:szCs w:val="32"/>
        </w:rPr>
        <w:t>第一版</w:t>
      </w:r>
      <w:r>
        <w:rPr>
          <w:rFonts w:hint="eastAsia" w:ascii="Times New Roman" w:hAnsi="Times New Roman" w:eastAsia="仿宋_GB2312"/>
          <w:sz w:val="32"/>
          <w:szCs w:val="32"/>
        </w:rPr>
        <w:t>）</w:t>
      </w:r>
      <w:r>
        <w:rPr>
          <w:rFonts w:ascii="Times New Roman" w:hAnsi="Times New Roman" w:eastAsia="仿宋_GB2312"/>
          <w:sz w:val="32"/>
          <w:szCs w:val="32"/>
        </w:rPr>
        <w:t>[M]</w:t>
      </w:r>
      <w:r>
        <w:rPr>
          <w:rFonts w:hint="eastAsia" w:ascii="Times New Roman" w:hAnsi="Times New Roman" w:eastAsia="仿宋_GB2312"/>
          <w:sz w:val="32"/>
          <w:szCs w:val="32"/>
        </w:rPr>
        <w:t>.北京：</w:t>
      </w:r>
      <w:r>
        <w:rPr>
          <w:rFonts w:ascii="Times New Roman" w:hAnsi="Times New Roman" w:eastAsia="仿宋_GB2312"/>
          <w:sz w:val="32"/>
          <w:szCs w:val="32"/>
        </w:rPr>
        <w:t>化学工业出版社，2004.</w:t>
      </w:r>
    </w:p>
    <w:p w14:paraId="0433B12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14]</w:t>
      </w:r>
      <w:r>
        <w:rPr>
          <w:rFonts w:hint="eastAsia" w:ascii="Times New Roman" w:hAnsi="Times New Roman" w:eastAsia="仿宋_GB2312"/>
          <w:sz w:val="32"/>
          <w:szCs w:val="32"/>
        </w:rPr>
        <w:t xml:space="preserve"> 国家药品监督管理局.</w:t>
      </w:r>
      <w:r>
        <w:rPr>
          <w:rFonts w:ascii="Times New Roman" w:hAnsi="Times New Roman" w:eastAsia="仿宋_GB2312"/>
          <w:sz w:val="32"/>
          <w:szCs w:val="32"/>
        </w:rPr>
        <w:t>免于临床试验的体外诊断试剂临床评价技术指导原则：</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2021年第74号通告</w:t>
      </w:r>
      <w:r>
        <w:rPr>
          <w:rFonts w:hint="eastAsia" w:ascii="Times New Roman" w:hAnsi="Times New Roman" w:eastAsia="仿宋_GB2312"/>
          <w:sz w:val="32"/>
          <w:szCs w:val="32"/>
        </w:rPr>
        <w:t>[</w:t>
      </w:r>
      <w:r>
        <w:rPr>
          <w:rFonts w:ascii="Times New Roman" w:hAnsi="Times New Roman" w:eastAsia="仿宋_GB2312"/>
          <w:sz w:val="32"/>
          <w:szCs w:val="32"/>
        </w:rPr>
        <w:t>Z].</w:t>
      </w:r>
    </w:p>
    <w:p w14:paraId="4E20403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[15]EP17-A2：Evaluation of Detection Capability for Clinical Laboratory Measurement Procedures; Approved Guideline-Second Edition [Z].</w:t>
      </w:r>
    </w:p>
    <w:p w14:paraId="464B90E3">
      <w:pPr>
        <w:spacing w:line="520" w:lineRule="exact"/>
        <w:ind w:firstLine="640" w:firstLineChars="200"/>
        <w:rPr>
          <w:rFonts w:ascii="Times New Roman" w:hAnsi="Times New Roman" w:eastAsia="仿宋_GB2312"/>
          <w:sz w:val="28"/>
          <w:szCs w:val="28"/>
        </w:rPr>
      </w:pPr>
      <w:r>
        <w:rPr>
          <w:rFonts w:ascii="Times New Roman" w:hAnsi="Times New Roman" w:eastAsia="仿宋_GB2312"/>
          <w:sz w:val="32"/>
          <w:szCs w:val="32"/>
        </w:rPr>
        <w:t>[16]EP34：Establishing and Verifying an Extended Measuring Interval Through Specimen Dilution and Spiking [Z].</w:t>
      </w:r>
    </w:p>
    <w:p w14:paraId="38D59401">
      <w:pPr>
        <w:spacing w:line="520" w:lineRule="exact"/>
        <w:contextualSpacing/>
        <w:jc w:val="left"/>
        <w:rPr>
          <w:rFonts w:hint="eastAsia" w:eastAsia="宋体"/>
          <w:lang w:eastAsia="zh-CN"/>
        </w:rPr>
      </w:pPr>
    </w:p>
    <w:p w14:paraId="4E608256">
      <w:pPr>
        <w:spacing w:line="520" w:lineRule="exact"/>
        <w:contextualSpacing/>
        <w:jc w:val="center"/>
        <w:rPr>
          <w:rFonts w:hint="eastAsia" w:eastAsia="宋体"/>
          <w:lang w:eastAsia="zh-CN"/>
        </w:rPr>
      </w:pPr>
    </w:p>
    <w:p w14:paraId="06C9D564">
      <w:pPr>
        <w:spacing w:line="520" w:lineRule="exact"/>
        <w:contextualSpacing/>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2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817083"/>
      <w:docPartObj>
        <w:docPartGallery w:val="AutoText"/>
      </w:docPartObj>
    </w:sdtPr>
    <w:sdtEndPr>
      <w:rPr>
        <w:rFonts w:ascii="Times New Roman" w:hAnsi="Times New Roman"/>
        <w:sz w:val="28"/>
        <w:szCs w:val="28"/>
      </w:rPr>
    </w:sdtEndPr>
    <w:sdtContent>
      <w:p w14:paraId="2F082DEE">
        <w:pPr>
          <w:pStyle w:val="7"/>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51</w:t>
        </w:r>
        <w:r>
          <w:rPr>
            <w:rFonts w:ascii="Times New Roman" w:hAnsi="Times New Roman"/>
            <w:sz w:val="28"/>
            <w:szCs w:val="28"/>
          </w:rPr>
          <w:fldChar w:fldCharType="end"/>
        </w:r>
        <w:r>
          <w:rPr>
            <w:rFonts w:ascii="Times New Roman" w:hAnsi="Times New Roman"/>
            <w:sz w:val="28"/>
            <w:szCs w:val="28"/>
          </w:rPr>
          <w:t xml:space="preserve"> —</w:t>
        </w:r>
      </w:p>
    </w:sdtContent>
  </w:sdt>
  <w:p w14:paraId="39BB0905">
    <w:pPr>
      <w:pStyle w:val="7"/>
      <w:jc w:val="center"/>
      <w:rPr>
        <w:rFonts w:ascii="Times New Roman" w:hAnsi="Times New Roman"/>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E15B">
    <w:pPr>
      <w:pStyle w:val="7"/>
      <w:framePr w:wrap="around" w:vAnchor="text" w:hAnchor="page" w:x="1561" w:y="-351"/>
      <w:rPr>
        <w:rStyle w:val="14"/>
        <w:rFonts w:ascii="Times New Roman" w:hAnsi="Times New Roman"/>
        <w:sz w:val="28"/>
        <w:szCs w:val="28"/>
      </w:rPr>
    </w:pPr>
    <w:r>
      <w:rPr>
        <w:rStyle w:val="14"/>
        <w:rFonts w:ascii="Times New Roman" w:hAnsi="Times New Roman"/>
        <w:sz w:val="28"/>
        <w:szCs w:val="28"/>
      </w:rPr>
      <w:t xml:space="preserve">— </w:t>
    </w:r>
    <w:r>
      <w:rPr>
        <w:rStyle w:val="14"/>
        <w:rFonts w:ascii="Times New Roman" w:hAnsi="Times New Roman"/>
        <w:sz w:val="28"/>
        <w:szCs w:val="28"/>
      </w:rPr>
      <w:fldChar w:fldCharType="begin"/>
    </w:r>
    <w:r>
      <w:rPr>
        <w:rStyle w:val="14"/>
        <w:rFonts w:ascii="Times New Roman" w:hAnsi="Times New Roman"/>
        <w:sz w:val="28"/>
        <w:szCs w:val="28"/>
      </w:rPr>
      <w:instrText xml:space="preserve">PAGE  </w:instrText>
    </w:r>
    <w:r>
      <w:rPr>
        <w:rStyle w:val="14"/>
        <w:rFonts w:ascii="Times New Roman" w:hAnsi="Times New Roman"/>
        <w:sz w:val="28"/>
        <w:szCs w:val="28"/>
      </w:rPr>
      <w:fldChar w:fldCharType="separate"/>
    </w:r>
    <w:r>
      <w:rPr>
        <w:rStyle w:val="14"/>
        <w:rFonts w:ascii="Times New Roman" w:hAnsi="Times New Roman"/>
        <w:sz w:val="28"/>
        <w:szCs w:val="28"/>
      </w:rPr>
      <w:t>50</w:t>
    </w:r>
    <w:r>
      <w:rPr>
        <w:rStyle w:val="14"/>
        <w:rFonts w:ascii="Times New Roman" w:hAnsi="Times New Roman"/>
        <w:sz w:val="28"/>
        <w:szCs w:val="28"/>
      </w:rPr>
      <w:fldChar w:fldCharType="end"/>
    </w:r>
    <w:r>
      <w:rPr>
        <w:rStyle w:val="14"/>
        <w:rFonts w:ascii="Times New Roman" w:hAnsi="Times New Roman"/>
        <w:sz w:val="28"/>
        <w:szCs w:val="28"/>
      </w:rPr>
      <w:t xml:space="preserve"> —</w:t>
    </w:r>
  </w:p>
  <w:p w14:paraId="08DA327C">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2MzI4MjcwMTcxM2E0YTM2N2FjMzlhMWI1MWE2MjEifQ=="/>
  </w:docVars>
  <w:rsids>
    <w:rsidRoot w:val="001C4A93"/>
    <w:rsid w:val="00000B32"/>
    <w:rsid w:val="00000E33"/>
    <w:rsid w:val="00001A12"/>
    <w:rsid w:val="00001F26"/>
    <w:rsid w:val="00002F0B"/>
    <w:rsid w:val="00004F04"/>
    <w:rsid w:val="00005BE6"/>
    <w:rsid w:val="00006678"/>
    <w:rsid w:val="00006FBB"/>
    <w:rsid w:val="00007425"/>
    <w:rsid w:val="00010B51"/>
    <w:rsid w:val="00010DDB"/>
    <w:rsid w:val="00012D33"/>
    <w:rsid w:val="000138C3"/>
    <w:rsid w:val="00013B97"/>
    <w:rsid w:val="00013BE2"/>
    <w:rsid w:val="000149F7"/>
    <w:rsid w:val="00014A7E"/>
    <w:rsid w:val="00015C94"/>
    <w:rsid w:val="000161E7"/>
    <w:rsid w:val="000179A6"/>
    <w:rsid w:val="00020909"/>
    <w:rsid w:val="00020E67"/>
    <w:rsid w:val="000210D4"/>
    <w:rsid w:val="00021A28"/>
    <w:rsid w:val="000223A6"/>
    <w:rsid w:val="00022897"/>
    <w:rsid w:val="00022F57"/>
    <w:rsid w:val="000232A3"/>
    <w:rsid w:val="00023308"/>
    <w:rsid w:val="0002355C"/>
    <w:rsid w:val="00023968"/>
    <w:rsid w:val="00023C21"/>
    <w:rsid w:val="00024705"/>
    <w:rsid w:val="0002641E"/>
    <w:rsid w:val="000265D7"/>
    <w:rsid w:val="00027948"/>
    <w:rsid w:val="00030932"/>
    <w:rsid w:val="000322DF"/>
    <w:rsid w:val="00032E04"/>
    <w:rsid w:val="000340E8"/>
    <w:rsid w:val="00034174"/>
    <w:rsid w:val="000343E9"/>
    <w:rsid w:val="00034D82"/>
    <w:rsid w:val="00035895"/>
    <w:rsid w:val="00035B90"/>
    <w:rsid w:val="00035DC2"/>
    <w:rsid w:val="00036342"/>
    <w:rsid w:val="000369C9"/>
    <w:rsid w:val="00040B9B"/>
    <w:rsid w:val="00040C29"/>
    <w:rsid w:val="00041683"/>
    <w:rsid w:val="00041D1C"/>
    <w:rsid w:val="000427E8"/>
    <w:rsid w:val="00043397"/>
    <w:rsid w:val="0004352E"/>
    <w:rsid w:val="00044252"/>
    <w:rsid w:val="000447C7"/>
    <w:rsid w:val="00044895"/>
    <w:rsid w:val="00045903"/>
    <w:rsid w:val="000459FB"/>
    <w:rsid w:val="00045A4F"/>
    <w:rsid w:val="00045EBB"/>
    <w:rsid w:val="00047268"/>
    <w:rsid w:val="00050BB8"/>
    <w:rsid w:val="00050BC9"/>
    <w:rsid w:val="00050E0C"/>
    <w:rsid w:val="0005163B"/>
    <w:rsid w:val="00051B01"/>
    <w:rsid w:val="00052808"/>
    <w:rsid w:val="00052D01"/>
    <w:rsid w:val="0005472E"/>
    <w:rsid w:val="00054B39"/>
    <w:rsid w:val="0005544E"/>
    <w:rsid w:val="0005570F"/>
    <w:rsid w:val="00056EC4"/>
    <w:rsid w:val="00057376"/>
    <w:rsid w:val="00057B01"/>
    <w:rsid w:val="00057BC7"/>
    <w:rsid w:val="00057D28"/>
    <w:rsid w:val="00057F4D"/>
    <w:rsid w:val="00060FF4"/>
    <w:rsid w:val="000610B7"/>
    <w:rsid w:val="00061136"/>
    <w:rsid w:val="0006156B"/>
    <w:rsid w:val="0006225F"/>
    <w:rsid w:val="0006260D"/>
    <w:rsid w:val="00062F61"/>
    <w:rsid w:val="000638F2"/>
    <w:rsid w:val="00063A29"/>
    <w:rsid w:val="00063B2D"/>
    <w:rsid w:val="00063E6B"/>
    <w:rsid w:val="00064B55"/>
    <w:rsid w:val="00064B7B"/>
    <w:rsid w:val="000651C0"/>
    <w:rsid w:val="00065434"/>
    <w:rsid w:val="00065A38"/>
    <w:rsid w:val="000667B9"/>
    <w:rsid w:val="00066967"/>
    <w:rsid w:val="00067010"/>
    <w:rsid w:val="000708D4"/>
    <w:rsid w:val="000716C2"/>
    <w:rsid w:val="00072F8B"/>
    <w:rsid w:val="0007326F"/>
    <w:rsid w:val="00073C86"/>
    <w:rsid w:val="00073D0F"/>
    <w:rsid w:val="0007448D"/>
    <w:rsid w:val="00075275"/>
    <w:rsid w:val="00075BD2"/>
    <w:rsid w:val="00076096"/>
    <w:rsid w:val="00076817"/>
    <w:rsid w:val="00076917"/>
    <w:rsid w:val="00076C06"/>
    <w:rsid w:val="000774A6"/>
    <w:rsid w:val="00077B62"/>
    <w:rsid w:val="000803CD"/>
    <w:rsid w:val="000813B1"/>
    <w:rsid w:val="0008176D"/>
    <w:rsid w:val="00084DB2"/>
    <w:rsid w:val="00086BB0"/>
    <w:rsid w:val="00086EC4"/>
    <w:rsid w:val="00087045"/>
    <w:rsid w:val="0008723E"/>
    <w:rsid w:val="00087476"/>
    <w:rsid w:val="00090308"/>
    <w:rsid w:val="00090FAD"/>
    <w:rsid w:val="00091155"/>
    <w:rsid w:val="00092893"/>
    <w:rsid w:val="00092C64"/>
    <w:rsid w:val="00092F35"/>
    <w:rsid w:val="00094027"/>
    <w:rsid w:val="000955D9"/>
    <w:rsid w:val="00095C82"/>
    <w:rsid w:val="00095D5E"/>
    <w:rsid w:val="00095E6F"/>
    <w:rsid w:val="000966B9"/>
    <w:rsid w:val="00096DE2"/>
    <w:rsid w:val="000973A4"/>
    <w:rsid w:val="000A0769"/>
    <w:rsid w:val="000A11B8"/>
    <w:rsid w:val="000A14EF"/>
    <w:rsid w:val="000A150E"/>
    <w:rsid w:val="000A1C67"/>
    <w:rsid w:val="000A3A60"/>
    <w:rsid w:val="000A3C2C"/>
    <w:rsid w:val="000A4E6B"/>
    <w:rsid w:val="000A4FAD"/>
    <w:rsid w:val="000A53E2"/>
    <w:rsid w:val="000A591F"/>
    <w:rsid w:val="000A5DAB"/>
    <w:rsid w:val="000A69EA"/>
    <w:rsid w:val="000A7E77"/>
    <w:rsid w:val="000B0530"/>
    <w:rsid w:val="000B2B28"/>
    <w:rsid w:val="000B33AE"/>
    <w:rsid w:val="000B3C99"/>
    <w:rsid w:val="000B4244"/>
    <w:rsid w:val="000B5011"/>
    <w:rsid w:val="000B568D"/>
    <w:rsid w:val="000B5FE6"/>
    <w:rsid w:val="000B6325"/>
    <w:rsid w:val="000B68B4"/>
    <w:rsid w:val="000B6958"/>
    <w:rsid w:val="000C0ACF"/>
    <w:rsid w:val="000C0B20"/>
    <w:rsid w:val="000C21FD"/>
    <w:rsid w:val="000C2B41"/>
    <w:rsid w:val="000C3674"/>
    <w:rsid w:val="000C3F8A"/>
    <w:rsid w:val="000C52D3"/>
    <w:rsid w:val="000C688F"/>
    <w:rsid w:val="000C6D91"/>
    <w:rsid w:val="000C72A9"/>
    <w:rsid w:val="000C7B49"/>
    <w:rsid w:val="000D044C"/>
    <w:rsid w:val="000D0C43"/>
    <w:rsid w:val="000D169A"/>
    <w:rsid w:val="000D2023"/>
    <w:rsid w:val="000D2086"/>
    <w:rsid w:val="000D310E"/>
    <w:rsid w:val="000D3CA3"/>
    <w:rsid w:val="000D3ED4"/>
    <w:rsid w:val="000D46A6"/>
    <w:rsid w:val="000D534F"/>
    <w:rsid w:val="000D58E9"/>
    <w:rsid w:val="000D6408"/>
    <w:rsid w:val="000D65F6"/>
    <w:rsid w:val="000D6841"/>
    <w:rsid w:val="000D6B35"/>
    <w:rsid w:val="000D74B2"/>
    <w:rsid w:val="000D78BD"/>
    <w:rsid w:val="000D799A"/>
    <w:rsid w:val="000D7EFF"/>
    <w:rsid w:val="000E175D"/>
    <w:rsid w:val="000E1A4A"/>
    <w:rsid w:val="000E1C2E"/>
    <w:rsid w:val="000E220F"/>
    <w:rsid w:val="000E2464"/>
    <w:rsid w:val="000E39FF"/>
    <w:rsid w:val="000E4350"/>
    <w:rsid w:val="000E4F70"/>
    <w:rsid w:val="000E6942"/>
    <w:rsid w:val="000E71B3"/>
    <w:rsid w:val="000F0068"/>
    <w:rsid w:val="000F0664"/>
    <w:rsid w:val="000F357D"/>
    <w:rsid w:val="000F45FD"/>
    <w:rsid w:val="000F5A33"/>
    <w:rsid w:val="000F5B9D"/>
    <w:rsid w:val="000F5F71"/>
    <w:rsid w:val="000F62FD"/>
    <w:rsid w:val="000F69B6"/>
    <w:rsid w:val="000F6AB6"/>
    <w:rsid w:val="000F7142"/>
    <w:rsid w:val="00100D0E"/>
    <w:rsid w:val="001014B5"/>
    <w:rsid w:val="001024C5"/>
    <w:rsid w:val="00103251"/>
    <w:rsid w:val="001038AC"/>
    <w:rsid w:val="00104E2E"/>
    <w:rsid w:val="00104FF1"/>
    <w:rsid w:val="0010506E"/>
    <w:rsid w:val="00105DEF"/>
    <w:rsid w:val="001062CE"/>
    <w:rsid w:val="00106EDA"/>
    <w:rsid w:val="0010710A"/>
    <w:rsid w:val="001101A0"/>
    <w:rsid w:val="001101BB"/>
    <w:rsid w:val="001105F0"/>
    <w:rsid w:val="00112FE0"/>
    <w:rsid w:val="00114584"/>
    <w:rsid w:val="00115135"/>
    <w:rsid w:val="001163DA"/>
    <w:rsid w:val="00116A03"/>
    <w:rsid w:val="00116CB0"/>
    <w:rsid w:val="00117597"/>
    <w:rsid w:val="00117639"/>
    <w:rsid w:val="00120892"/>
    <w:rsid w:val="001215CC"/>
    <w:rsid w:val="00121873"/>
    <w:rsid w:val="00122B3C"/>
    <w:rsid w:val="00122BA9"/>
    <w:rsid w:val="00122DC7"/>
    <w:rsid w:val="001234BF"/>
    <w:rsid w:val="00123FB2"/>
    <w:rsid w:val="00124793"/>
    <w:rsid w:val="00125D09"/>
    <w:rsid w:val="00125DD5"/>
    <w:rsid w:val="001261D7"/>
    <w:rsid w:val="001265E3"/>
    <w:rsid w:val="00127641"/>
    <w:rsid w:val="00127AF0"/>
    <w:rsid w:val="001306B4"/>
    <w:rsid w:val="001307F3"/>
    <w:rsid w:val="00130CD4"/>
    <w:rsid w:val="00131025"/>
    <w:rsid w:val="00131EE3"/>
    <w:rsid w:val="00132397"/>
    <w:rsid w:val="00132C12"/>
    <w:rsid w:val="00133ED1"/>
    <w:rsid w:val="001345CE"/>
    <w:rsid w:val="00134D63"/>
    <w:rsid w:val="0013509B"/>
    <w:rsid w:val="00135B4E"/>
    <w:rsid w:val="00136207"/>
    <w:rsid w:val="00136DB8"/>
    <w:rsid w:val="001371A0"/>
    <w:rsid w:val="0013733E"/>
    <w:rsid w:val="001378D7"/>
    <w:rsid w:val="00137CC4"/>
    <w:rsid w:val="00140CE5"/>
    <w:rsid w:val="00141703"/>
    <w:rsid w:val="001422B0"/>
    <w:rsid w:val="00143AF9"/>
    <w:rsid w:val="00144955"/>
    <w:rsid w:val="00146FDC"/>
    <w:rsid w:val="001514BC"/>
    <w:rsid w:val="00152488"/>
    <w:rsid w:val="00152844"/>
    <w:rsid w:val="0015312D"/>
    <w:rsid w:val="001537E9"/>
    <w:rsid w:val="0015391C"/>
    <w:rsid w:val="001552C5"/>
    <w:rsid w:val="00155B7A"/>
    <w:rsid w:val="0015661E"/>
    <w:rsid w:val="001567AE"/>
    <w:rsid w:val="0015756D"/>
    <w:rsid w:val="00160822"/>
    <w:rsid w:val="00160C58"/>
    <w:rsid w:val="001614BC"/>
    <w:rsid w:val="001614CB"/>
    <w:rsid w:val="00161D23"/>
    <w:rsid w:val="00162290"/>
    <w:rsid w:val="001647E6"/>
    <w:rsid w:val="00164E50"/>
    <w:rsid w:val="0016535A"/>
    <w:rsid w:val="001653B9"/>
    <w:rsid w:val="001655DB"/>
    <w:rsid w:val="00165C5C"/>
    <w:rsid w:val="001667A4"/>
    <w:rsid w:val="0016789E"/>
    <w:rsid w:val="001713E3"/>
    <w:rsid w:val="00171AE5"/>
    <w:rsid w:val="001731C5"/>
    <w:rsid w:val="00173B40"/>
    <w:rsid w:val="00173C61"/>
    <w:rsid w:val="00174B56"/>
    <w:rsid w:val="00175C0F"/>
    <w:rsid w:val="0017795A"/>
    <w:rsid w:val="001801F8"/>
    <w:rsid w:val="00180678"/>
    <w:rsid w:val="0018194A"/>
    <w:rsid w:val="0018199A"/>
    <w:rsid w:val="00181BAF"/>
    <w:rsid w:val="001824AF"/>
    <w:rsid w:val="00183E9C"/>
    <w:rsid w:val="001847B2"/>
    <w:rsid w:val="0018505D"/>
    <w:rsid w:val="00185A57"/>
    <w:rsid w:val="00185AC3"/>
    <w:rsid w:val="00185F71"/>
    <w:rsid w:val="001861F5"/>
    <w:rsid w:val="0018688D"/>
    <w:rsid w:val="001869B5"/>
    <w:rsid w:val="00186B0A"/>
    <w:rsid w:val="00186FD7"/>
    <w:rsid w:val="00190223"/>
    <w:rsid w:val="00190412"/>
    <w:rsid w:val="00190DBE"/>
    <w:rsid w:val="00191578"/>
    <w:rsid w:val="001915EA"/>
    <w:rsid w:val="00191845"/>
    <w:rsid w:val="001918BC"/>
    <w:rsid w:val="00191A59"/>
    <w:rsid w:val="00191F14"/>
    <w:rsid w:val="00193386"/>
    <w:rsid w:val="0019340C"/>
    <w:rsid w:val="001945E0"/>
    <w:rsid w:val="00194A42"/>
    <w:rsid w:val="00194EA7"/>
    <w:rsid w:val="0019508D"/>
    <w:rsid w:val="00195346"/>
    <w:rsid w:val="001953D1"/>
    <w:rsid w:val="001959F1"/>
    <w:rsid w:val="00196B06"/>
    <w:rsid w:val="0019736D"/>
    <w:rsid w:val="00197FC1"/>
    <w:rsid w:val="001A0EBA"/>
    <w:rsid w:val="001A44E5"/>
    <w:rsid w:val="001A58C5"/>
    <w:rsid w:val="001A5A08"/>
    <w:rsid w:val="001A6020"/>
    <w:rsid w:val="001A706E"/>
    <w:rsid w:val="001A7A24"/>
    <w:rsid w:val="001A7F49"/>
    <w:rsid w:val="001B0C3E"/>
    <w:rsid w:val="001B128D"/>
    <w:rsid w:val="001B24EE"/>
    <w:rsid w:val="001B2B80"/>
    <w:rsid w:val="001B2C41"/>
    <w:rsid w:val="001B3142"/>
    <w:rsid w:val="001B3520"/>
    <w:rsid w:val="001B3912"/>
    <w:rsid w:val="001B50D5"/>
    <w:rsid w:val="001B75CC"/>
    <w:rsid w:val="001B7A5A"/>
    <w:rsid w:val="001B7B35"/>
    <w:rsid w:val="001C0489"/>
    <w:rsid w:val="001C0561"/>
    <w:rsid w:val="001C0C80"/>
    <w:rsid w:val="001C0DBC"/>
    <w:rsid w:val="001C17C3"/>
    <w:rsid w:val="001C3619"/>
    <w:rsid w:val="001C3CEE"/>
    <w:rsid w:val="001C3EDF"/>
    <w:rsid w:val="001C4037"/>
    <w:rsid w:val="001C4200"/>
    <w:rsid w:val="001C4A93"/>
    <w:rsid w:val="001C5CF4"/>
    <w:rsid w:val="001C78E1"/>
    <w:rsid w:val="001C7F3E"/>
    <w:rsid w:val="001D0145"/>
    <w:rsid w:val="001D112A"/>
    <w:rsid w:val="001D18B0"/>
    <w:rsid w:val="001D22EC"/>
    <w:rsid w:val="001D2FC3"/>
    <w:rsid w:val="001D30ED"/>
    <w:rsid w:val="001D3684"/>
    <w:rsid w:val="001D5F3A"/>
    <w:rsid w:val="001D62A6"/>
    <w:rsid w:val="001E0C73"/>
    <w:rsid w:val="001E130E"/>
    <w:rsid w:val="001E2044"/>
    <w:rsid w:val="001E312B"/>
    <w:rsid w:val="001E325D"/>
    <w:rsid w:val="001E41B2"/>
    <w:rsid w:val="001E423B"/>
    <w:rsid w:val="001E52CD"/>
    <w:rsid w:val="001E538C"/>
    <w:rsid w:val="001E66BE"/>
    <w:rsid w:val="001E6C29"/>
    <w:rsid w:val="001E6C83"/>
    <w:rsid w:val="001E7C2B"/>
    <w:rsid w:val="001F02B8"/>
    <w:rsid w:val="001F08DA"/>
    <w:rsid w:val="001F16EA"/>
    <w:rsid w:val="001F2C9E"/>
    <w:rsid w:val="001F3C90"/>
    <w:rsid w:val="001F3CCB"/>
    <w:rsid w:val="001F43A8"/>
    <w:rsid w:val="001F46BF"/>
    <w:rsid w:val="001F5385"/>
    <w:rsid w:val="001F6442"/>
    <w:rsid w:val="001F6F74"/>
    <w:rsid w:val="001F7119"/>
    <w:rsid w:val="001F738A"/>
    <w:rsid w:val="001F79E8"/>
    <w:rsid w:val="00200865"/>
    <w:rsid w:val="00200B36"/>
    <w:rsid w:val="002010A8"/>
    <w:rsid w:val="002017D2"/>
    <w:rsid w:val="00202A04"/>
    <w:rsid w:val="00202ABF"/>
    <w:rsid w:val="002039CB"/>
    <w:rsid w:val="00203D69"/>
    <w:rsid w:val="00204378"/>
    <w:rsid w:val="00204407"/>
    <w:rsid w:val="002051C2"/>
    <w:rsid w:val="00205670"/>
    <w:rsid w:val="00205A97"/>
    <w:rsid w:val="00206FF5"/>
    <w:rsid w:val="00207842"/>
    <w:rsid w:val="00207CBB"/>
    <w:rsid w:val="00210316"/>
    <w:rsid w:val="00210CEB"/>
    <w:rsid w:val="00210FE4"/>
    <w:rsid w:val="00212EAA"/>
    <w:rsid w:val="0021325D"/>
    <w:rsid w:val="0021394D"/>
    <w:rsid w:val="002139BA"/>
    <w:rsid w:val="00213A41"/>
    <w:rsid w:val="00213A73"/>
    <w:rsid w:val="00213AE5"/>
    <w:rsid w:val="00213B70"/>
    <w:rsid w:val="0021460E"/>
    <w:rsid w:val="00214C68"/>
    <w:rsid w:val="00215728"/>
    <w:rsid w:val="00215A27"/>
    <w:rsid w:val="00215CA4"/>
    <w:rsid w:val="002165B2"/>
    <w:rsid w:val="00217933"/>
    <w:rsid w:val="00220689"/>
    <w:rsid w:val="00221C91"/>
    <w:rsid w:val="002225CF"/>
    <w:rsid w:val="0022283B"/>
    <w:rsid w:val="00223767"/>
    <w:rsid w:val="002255B7"/>
    <w:rsid w:val="00230AC1"/>
    <w:rsid w:val="00230E01"/>
    <w:rsid w:val="00231528"/>
    <w:rsid w:val="002334A0"/>
    <w:rsid w:val="00233AB3"/>
    <w:rsid w:val="00233B12"/>
    <w:rsid w:val="00233EE2"/>
    <w:rsid w:val="00234139"/>
    <w:rsid w:val="00234D5E"/>
    <w:rsid w:val="0023585D"/>
    <w:rsid w:val="00235FF5"/>
    <w:rsid w:val="002366F4"/>
    <w:rsid w:val="002376D8"/>
    <w:rsid w:val="00237D1D"/>
    <w:rsid w:val="00240019"/>
    <w:rsid w:val="0024016A"/>
    <w:rsid w:val="00241D14"/>
    <w:rsid w:val="002421CC"/>
    <w:rsid w:val="0024263A"/>
    <w:rsid w:val="00242661"/>
    <w:rsid w:val="002433B0"/>
    <w:rsid w:val="00243CB7"/>
    <w:rsid w:val="0024435D"/>
    <w:rsid w:val="0024463F"/>
    <w:rsid w:val="00244F38"/>
    <w:rsid w:val="00245655"/>
    <w:rsid w:val="0024607D"/>
    <w:rsid w:val="00246326"/>
    <w:rsid w:val="002463DA"/>
    <w:rsid w:val="0024676D"/>
    <w:rsid w:val="00246AC3"/>
    <w:rsid w:val="0024717D"/>
    <w:rsid w:val="00247519"/>
    <w:rsid w:val="00250617"/>
    <w:rsid w:val="00250642"/>
    <w:rsid w:val="0025076C"/>
    <w:rsid w:val="00250E28"/>
    <w:rsid w:val="002517C9"/>
    <w:rsid w:val="00253C34"/>
    <w:rsid w:val="002556E8"/>
    <w:rsid w:val="00255827"/>
    <w:rsid w:val="00255834"/>
    <w:rsid w:val="002558F0"/>
    <w:rsid w:val="002560E7"/>
    <w:rsid w:val="002568D1"/>
    <w:rsid w:val="00257556"/>
    <w:rsid w:val="00257BA3"/>
    <w:rsid w:val="00257C5C"/>
    <w:rsid w:val="0026019D"/>
    <w:rsid w:val="002614C6"/>
    <w:rsid w:val="00261E07"/>
    <w:rsid w:val="002631EE"/>
    <w:rsid w:val="002651D5"/>
    <w:rsid w:val="00266603"/>
    <w:rsid w:val="002668D4"/>
    <w:rsid w:val="00266D22"/>
    <w:rsid w:val="002707CA"/>
    <w:rsid w:val="00270D2E"/>
    <w:rsid w:val="002718F5"/>
    <w:rsid w:val="00271AF1"/>
    <w:rsid w:val="002726C5"/>
    <w:rsid w:val="00272961"/>
    <w:rsid w:val="002742E1"/>
    <w:rsid w:val="00276F3F"/>
    <w:rsid w:val="00277DCC"/>
    <w:rsid w:val="0028027F"/>
    <w:rsid w:val="002804F7"/>
    <w:rsid w:val="00280D28"/>
    <w:rsid w:val="0028113C"/>
    <w:rsid w:val="00281B21"/>
    <w:rsid w:val="002826C4"/>
    <w:rsid w:val="00283FC4"/>
    <w:rsid w:val="00284A1E"/>
    <w:rsid w:val="00285222"/>
    <w:rsid w:val="00286E61"/>
    <w:rsid w:val="00287369"/>
    <w:rsid w:val="0028738A"/>
    <w:rsid w:val="002877AC"/>
    <w:rsid w:val="00290D8C"/>
    <w:rsid w:val="00291379"/>
    <w:rsid w:val="0029178E"/>
    <w:rsid w:val="002918BC"/>
    <w:rsid w:val="00291AC7"/>
    <w:rsid w:val="0029205F"/>
    <w:rsid w:val="0029319D"/>
    <w:rsid w:val="002933CC"/>
    <w:rsid w:val="002937A8"/>
    <w:rsid w:val="002944EB"/>
    <w:rsid w:val="00295EAE"/>
    <w:rsid w:val="00296E5A"/>
    <w:rsid w:val="002979D8"/>
    <w:rsid w:val="002A084C"/>
    <w:rsid w:val="002A1001"/>
    <w:rsid w:val="002A1046"/>
    <w:rsid w:val="002A1EC7"/>
    <w:rsid w:val="002A21F2"/>
    <w:rsid w:val="002A3498"/>
    <w:rsid w:val="002A396D"/>
    <w:rsid w:val="002A4ECD"/>
    <w:rsid w:val="002A59DD"/>
    <w:rsid w:val="002A662C"/>
    <w:rsid w:val="002A6D3C"/>
    <w:rsid w:val="002A6D96"/>
    <w:rsid w:val="002A7CCD"/>
    <w:rsid w:val="002B0DDB"/>
    <w:rsid w:val="002B33D8"/>
    <w:rsid w:val="002B5D79"/>
    <w:rsid w:val="002B62B6"/>
    <w:rsid w:val="002B67EE"/>
    <w:rsid w:val="002B6822"/>
    <w:rsid w:val="002B6CDF"/>
    <w:rsid w:val="002B7073"/>
    <w:rsid w:val="002B7C5A"/>
    <w:rsid w:val="002C0FB5"/>
    <w:rsid w:val="002C189F"/>
    <w:rsid w:val="002C25DA"/>
    <w:rsid w:val="002C26BE"/>
    <w:rsid w:val="002C26FB"/>
    <w:rsid w:val="002C2D92"/>
    <w:rsid w:val="002C3A13"/>
    <w:rsid w:val="002C3DA0"/>
    <w:rsid w:val="002C45B3"/>
    <w:rsid w:val="002C4735"/>
    <w:rsid w:val="002C5659"/>
    <w:rsid w:val="002C58F1"/>
    <w:rsid w:val="002C6009"/>
    <w:rsid w:val="002C6E74"/>
    <w:rsid w:val="002D007A"/>
    <w:rsid w:val="002D0D62"/>
    <w:rsid w:val="002D0F61"/>
    <w:rsid w:val="002D19EE"/>
    <w:rsid w:val="002D1C21"/>
    <w:rsid w:val="002D2B93"/>
    <w:rsid w:val="002D2BBA"/>
    <w:rsid w:val="002D3EA5"/>
    <w:rsid w:val="002D6C69"/>
    <w:rsid w:val="002D76B2"/>
    <w:rsid w:val="002D7F65"/>
    <w:rsid w:val="002E081C"/>
    <w:rsid w:val="002E0AE2"/>
    <w:rsid w:val="002E0EE9"/>
    <w:rsid w:val="002E1F4A"/>
    <w:rsid w:val="002E2713"/>
    <w:rsid w:val="002E2C3B"/>
    <w:rsid w:val="002E3141"/>
    <w:rsid w:val="002E32D6"/>
    <w:rsid w:val="002E3E68"/>
    <w:rsid w:val="002E41FA"/>
    <w:rsid w:val="002E4450"/>
    <w:rsid w:val="002E5FBC"/>
    <w:rsid w:val="002E67B1"/>
    <w:rsid w:val="002E77D7"/>
    <w:rsid w:val="002F0167"/>
    <w:rsid w:val="002F06DC"/>
    <w:rsid w:val="002F07A4"/>
    <w:rsid w:val="002F1A4A"/>
    <w:rsid w:val="002F1AF9"/>
    <w:rsid w:val="002F2BD6"/>
    <w:rsid w:val="002F31D8"/>
    <w:rsid w:val="002F3212"/>
    <w:rsid w:val="002F415B"/>
    <w:rsid w:val="002F4EB7"/>
    <w:rsid w:val="002F5777"/>
    <w:rsid w:val="002F5BD9"/>
    <w:rsid w:val="002F5C1A"/>
    <w:rsid w:val="002F60CD"/>
    <w:rsid w:val="002F64E9"/>
    <w:rsid w:val="002F6503"/>
    <w:rsid w:val="002F762D"/>
    <w:rsid w:val="002F795E"/>
    <w:rsid w:val="00300C41"/>
    <w:rsid w:val="00301219"/>
    <w:rsid w:val="00302079"/>
    <w:rsid w:val="0030252A"/>
    <w:rsid w:val="00302972"/>
    <w:rsid w:val="00302E27"/>
    <w:rsid w:val="00302F40"/>
    <w:rsid w:val="0030344D"/>
    <w:rsid w:val="003034C3"/>
    <w:rsid w:val="003035FE"/>
    <w:rsid w:val="00303833"/>
    <w:rsid w:val="00303854"/>
    <w:rsid w:val="003041EA"/>
    <w:rsid w:val="003049C4"/>
    <w:rsid w:val="00304BE9"/>
    <w:rsid w:val="00304D16"/>
    <w:rsid w:val="00304D9C"/>
    <w:rsid w:val="00305ED0"/>
    <w:rsid w:val="00306038"/>
    <w:rsid w:val="00306D82"/>
    <w:rsid w:val="00306F2C"/>
    <w:rsid w:val="00307F04"/>
    <w:rsid w:val="00310D37"/>
    <w:rsid w:val="003120BE"/>
    <w:rsid w:val="0031263E"/>
    <w:rsid w:val="00312E3E"/>
    <w:rsid w:val="0031383A"/>
    <w:rsid w:val="00315296"/>
    <w:rsid w:val="0031690E"/>
    <w:rsid w:val="00316E86"/>
    <w:rsid w:val="00317644"/>
    <w:rsid w:val="00320051"/>
    <w:rsid w:val="00320388"/>
    <w:rsid w:val="003204BF"/>
    <w:rsid w:val="00320A19"/>
    <w:rsid w:val="00320B6E"/>
    <w:rsid w:val="00320CE4"/>
    <w:rsid w:val="00321FC6"/>
    <w:rsid w:val="00322065"/>
    <w:rsid w:val="00322C0F"/>
    <w:rsid w:val="00323196"/>
    <w:rsid w:val="003242EB"/>
    <w:rsid w:val="00324490"/>
    <w:rsid w:val="0032536B"/>
    <w:rsid w:val="003254E7"/>
    <w:rsid w:val="00330309"/>
    <w:rsid w:val="0033034C"/>
    <w:rsid w:val="00331E32"/>
    <w:rsid w:val="00332986"/>
    <w:rsid w:val="00332A3B"/>
    <w:rsid w:val="00332C20"/>
    <w:rsid w:val="0033360A"/>
    <w:rsid w:val="00333967"/>
    <w:rsid w:val="00333B1E"/>
    <w:rsid w:val="00333E43"/>
    <w:rsid w:val="003340DA"/>
    <w:rsid w:val="00334250"/>
    <w:rsid w:val="00334BAF"/>
    <w:rsid w:val="003371D8"/>
    <w:rsid w:val="0034019C"/>
    <w:rsid w:val="003403B5"/>
    <w:rsid w:val="00340943"/>
    <w:rsid w:val="00340DC2"/>
    <w:rsid w:val="003415E8"/>
    <w:rsid w:val="00341910"/>
    <w:rsid w:val="00341B9E"/>
    <w:rsid w:val="00342ED7"/>
    <w:rsid w:val="003432AE"/>
    <w:rsid w:val="00343CCD"/>
    <w:rsid w:val="0034426F"/>
    <w:rsid w:val="00344C8B"/>
    <w:rsid w:val="00344EEE"/>
    <w:rsid w:val="003450AF"/>
    <w:rsid w:val="0034526A"/>
    <w:rsid w:val="003461D9"/>
    <w:rsid w:val="003469C4"/>
    <w:rsid w:val="00346AF7"/>
    <w:rsid w:val="003477F4"/>
    <w:rsid w:val="00347A45"/>
    <w:rsid w:val="00347EB4"/>
    <w:rsid w:val="003501C4"/>
    <w:rsid w:val="00350783"/>
    <w:rsid w:val="003511FE"/>
    <w:rsid w:val="0035128F"/>
    <w:rsid w:val="00351993"/>
    <w:rsid w:val="00352433"/>
    <w:rsid w:val="0035302D"/>
    <w:rsid w:val="0035332E"/>
    <w:rsid w:val="00353A0F"/>
    <w:rsid w:val="00353BA9"/>
    <w:rsid w:val="00354416"/>
    <w:rsid w:val="003549F9"/>
    <w:rsid w:val="00355805"/>
    <w:rsid w:val="003561AE"/>
    <w:rsid w:val="0035657F"/>
    <w:rsid w:val="00356CFA"/>
    <w:rsid w:val="00360BB5"/>
    <w:rsid w:val="003613C7"/>
    <w:rsid w:val="00361973"/>
    <w:rsid w:val="00364191"/>
    <w:rsid w:val="00364722"/>
    <w:rsid w:val="00364857"/>
    <w:rsid w:val="00364ABB"/>
    <w:rsid w:val="00364F13"/>
    <w:rsid w:val="00365209"/>
    <w:rsid w:val="0036614D"/>
    <w:rsid w:val="00366569"/>
    <w:rsid w:val="00366A7E"/>
    <w:rsid w:val="0036797A"/>
    <w:rsid w:val="00367C52"/>
    <w:rsid w:val="00370ECD"/>
    <w:rsid w:val="0037149F"/>
    <w:rsid w:val="003714DA"/>
    <w:rsid w:val="003735A9"/>
    <w:rsid w:val="00373690"/>
    <w:rsid w:val="00373938"/>
    <w:rsid w:val="0037417C"/>
    <w:rsid w:val="0037476C"/>
    <w:rsid w:val="0037497B"/>
    <w:rsid w:val="00375224"/>
    <w:rsid w:val="00375629"/>
    <w:rsid w:val="00375E80"/>
    <w:rsid w:val="00376663"/>
    <w:rsid w:val="003778BC"/>
    <w:rsid w:val="00377902"/>
    <w:rsid w:val="003779B4"/>
    <w:rsid w:val="00377A19"/>
    <w:rsid w:val="00380548"/>
    <w:rsid w:val="00380FE0"/>
    <w:rsid w:val="0038260B"/>
    <w:rsid w:val="0038300A"/>
    <w:rsid w:val="0038424B"/>
    <w:rsid w:val="0038528F"/>
    <w:rsid w:val="0038676D"/>
    <w:rsid w:val="00387DD2"/>
    <w:rsid w:val="00387FCA"/>
    <w:rsid w:val="003928FB"/>
    <w:rsid w:val="0039351D"/>
    <w:rsid w:val="00394666"/>
    <w:rsid w:val="00394E8E"/>
    <w:rsid w:val="00395045"/>
    <w:rsid w:val="00395F65"/>
    <w:rsid w:val="00396BCD"/>
    <w:rsid w:val="0039754B"/>
    <w:rsid w:val="003A0D7A"/>
    <w:rsid w:val="003A1713"/>
    <w:rsid w:val="003A20B0"/>
    <w:rsid w:val="003A21F7"/>
    <w:rsid w:val="003A2730"/>
    <w:rsid w:val="003A2A23"/>
    <w:rsid w:val="003A2B06"/>
    <w:rsid w:val="003A30D0"/>
    <w:rsid w:val="003A3D44"/>
    <w:rsid w:val="003A544D"/>
    <w:rsid w:val="003A5955"/>
    <w:rsid w:val="003A5B95"/>
    <w:rsid w:val="003A749D"/>
    <w:rsid w:val="003B02DF"/>
    <w:rsid w:val="003B0DB5"/>
    <w:rsid w:val="003B1674"/>
    <w:rsid w:val="003B18DE"/>
    <w:rsid w:val="003B2146"/>
    <w:rsid w:val="003B3CA7"/>
    <w:rsid w:val="003B4928"/>
    <w:rsid w:val="003B514B"/>
    <w:rsid w:val="003B7685"/>
    <w:rsid w:val="003C0544"/>
    <w:rsid w:val="003C1444"/>
    <w:rsid w:val="003C18E9"/>
    <w:rsid w:val="003C211A"/>
    <w:rsid w:val="003C2651"/>
    <w:rsid w:val="003C3993"/>
    <w:rsid w:val="003C3B37"/>
    <w:rsid w:val="003C3D4A"/>
    <w:rsid w:val="003C3F9A"/>
    <w:rsid w:val="003C450F"/>
    <w:rsid w:val="003C4575"/>
    <w:rsid w:val="003C49C3"/>
    <w:rsid w:val="003C503A"/>
    <w:rsid w:val="003C53C9"/>
    <w:rsid w:val="003C640A"/>
    <w:rsid w:val="003C68D9"/>
    <w:rsid w:val="003C7168"/>
    <w:rsid w:val="003C7587"/>
    <w:rsid w:val="003C7C2D"/>
    <w:rsid w:val="003D07BD"/>
    <w:rsid w:val="003D194A"/>
    <w:rsid w:val="003D20F6"/>
    <w:rsid w:val="003D2BA4"/>
    <w:rsid w:val="003D3002"/>
    <w:rsid w:val="003D324F"/>
    <w:rsid w:val="003D34DC"/>
    <w:rsid w:val="003D359B"/>
    <w:rsid w:val="003D3A1E"/>
    <w:rsid w:val="003D3EDD"/>
    <w:rsid w:val="003D4F7C"/>
    <w:rsid w:val="003D6B33"/>
    <w:rsid w:val="003D6F0A"/>
    <w:rsid w:val="003D73A6"/>
    <w:rsid w:val="003D785F"/>
    <w:rsid w:val="003E0223"/>
    <w:rsid w:val="003E0D4C"/>
    <w:rsid w:val="003E10BB"/>
    <w:rsid w:val="003E1ADA"/>
    <w:rsid w:val="003E207C"/>
    <w:rsid w:val="003E2600"/>
    <w:rsid w:val="003E3020"/>
    <w:rsid w:val="003E33ED"/>
    <w:rsid w:val="003E37D4"/>
    <w:rsid w:val="003E5C34"/>
    <w:rsid w:val="003E6321"/>
    <w:rsid w:val="003E6566"/>
    <w:rsid w:val="003E66B5"/>
    <w:rsid w:val="003E7A59"/>
    <w:rsid w:val="003F0131"/>
    <w:rsid w:val="003F1C84"/>
    <w:rsid w:val="003F1FCF"/>
    <w:rsid w:val="003F2F60"/>
    <w:rsid w:val="003F49DD"/>
    <w:rsid w:val="003F4CE6"/>
    <w:rsid w:val="003F4E5D"/>
    <w:rsid w:val="003F5746"/>
    <w:rsid w:val="003F5880"/>
    <w:rsid w:val="003F6916"/>
    <w:rsid w:val="003F6E7A"/>
    <w:rsid w:val="00400174"/>
    <w:rsid w:val="00401EFA"/>
    <w:rsid w:val="0040236B"/>
    <w:rsid w:val="0040237A"/>
    <w:rsid w:val="004023E7"/>
    <w:rsid w:val="00403208"/>
    <w:rsid w:val="00405BDC"/>
    <w:rsid w:val="0040652A"/>
    <w:rsid w:val="0041029B"/>
    <w:rsid w:val="0041071E"/>
    <w:rsid w:val="00410BF3"/>
    <w:rsid w:val="0041123E"/>
    <w:rsid w:val="00411709"/>
    <w:rsid w:val="00414706"/>
    <w:rsid w:val="004158C4"/>
    <w:rsid w:val="004162ED"/>
    <w:rsid w:val="00416D15"/>
    <w:rsid w:val="00417CEA"/>
    <w:rsid w:val="004211DA"/>
    <w:rsid w:val="0042175E"/>
    <w:rsid w:val="00421A95"/>
    <w:rsid w:val="0042279D"/>
    <w:rsid w:val="00423492"/>
    <w:rsid w:val="00423629"/>
    <w:rsid w:val="00424395"/>
    <w:rsid w:val="00424AB4"/>
    <w:rsid w:val="00424BAB"/>
    <w:rsid w:val="00426002"/>
    <w:rsid w:val="00426CE3"/>
    <w:rsid w:val="00426D68"/>
    <w:rsid w:val="00427A5D"/>
    <w:rsid w:val="00430077"/>
    <w:rsid w:val="004306EB"/>
    <w:rsid w:val="00430925"/>
    <w:rsid w:val="00430B54"/>
    <w:rsid w:val="00431E65"/>
    <w:rsid w:val="00431F6D"/>
    <w:rsid w:val="004325BF"/>
    <w:rsid w:val="0043339E"/>
    <w:rsid w:val="004335A3"/>
    <w:rsid w:val="00433AC8"/>
    <w:rsid w:val="00434A77"/>
    <w:rsid w:val="0043564D"/>
    <w:rsid w:val="004366B2"/>
    <w:rsid w:val="00437FCC"/>
    <w:rsid w:val="00440060"/>
    <w:rsid w:val="00440B4B"/>
    <w:rsid w:val="00441673"/>
    <w:rsid w:val="004416E0"/>
    <w:rsid w:val="0044190E"/>
    <w:rsid w:val="00442F61"/>
    <w:rsid w:val="00443A45"/>
    <w:rsid w:val="00443AAF"/>
    <w:rsid w:val="00443B9F"/>
    <w:rsid w:val="00445071"/>
    <w:rsid w:val="004450DC"/>
    <w:rsid w:val="004451C8"/>
    <w:rsid w:val="00445CA1"/>
    <w:rsid w:val="00445EEC"/>
    <w:rsid w:val="0044600F"/>
    <w:rsid w:val="004464C2"/>
    <w:rsid w:val="0044760C"/>
    <w:rsid w:val="00447687"/>
    <w:rsid w:val="00450086"/>
    <w:rsid w:val="0045091C"/>
    <w:rsid w:val="004519F2"/>
    <w:rsid w:val="00452ED4"/>
    <w:rsid w:val="00453098"/>
    <w:rsid w:val="004542AE"/>
    <w:rsid w:val="00454B57"/>
    <w:rsid w:val="00454FD3"/>
    <w:rsid w:val="00455009"/>
    <w:rsid w:val="004557EC"/>
    <w:rsid w:val="0045619C"/>
    <w:rsid w:val="00456BEE"/>
    <w:rsid w:val="004607F8"/>
    <w:rsid w:val="00460CDD"/>
    <w:rsid w:val="00461AE1"/>
    <w:rsid w:val="00462569"/>
    <w:rsid w:val="00462A08"/>
    <w:rsid w:val="004635E7"/>
    <w:rsid w:val="00463EA9"/>
    <w:rsid w:val="00464ABF"/>
    <w:rsid w:val="00464EA0"/>
    <w:rsid w:val="004651C5"/>
    <w:rsid w:val="004654A0"/>
    <w:rsid w:val="0046633E"/>
    <w:rsid w:val="00466F25"/>
    <w:rsid w:val="0046706B"/>
    <w:rsid w:val="00467C5F"/>
    <w:rsid w:val="00470676"/>
    <w:rsid w:val="004710B3"/>
    <w:rsid w:val="004710CC"/>
    <w:rsid w:val="004715A1"/>
    <w:rsid w:val="0047240B"/>
    <w:rsid w:val="00473187"/>
    <w:rsid w:val="00473367"/>
    <w:rsid w:val="00474452"/>
    <w:rsid w:val="00475D9D"/>
    <w:rsid w:val="0047640A"/>
    <w:rsid w:val="004764A5"/>
    <w:rsid w:val="00476F22"/>
    <w:rsid w:val="00477882"/>
    <w:rsid w:val="00477A07"/>
    <w:rsid w:val="00480BED"/>
    <w:rsid w:val="004811CA"/>
    <w:rsid w:val="00482080"/>
    <w:rsid w:val="00482C24"/>
    <w:rsid w:val="004834F5"/>
    <w:rsid w:val="004835D1"/>
    <w:rsid w:val="004837DB"/>
    <w:rsid w:val="00483811"/>
    <w:rsid w:val="00484319"/>
    <w:rsid w:val="004853B2"/>
    <w:rsid w:val="004857A8"/>
    <w:rsid w:val="0048585A"/>
    <w:rsid w:val="0048594C"/>
    <w:rsid w:val="00486354"/>
    <w:rsid w:val="00486A7E"/>
    <w:rsid w:val="00487658"/>
    <w:rsid w:val="004878B8"/>
    <w:rsid w:val="0049093E"/>
    <w:rsid w:val="004910FC"/>
    <w:rsid w:val="004911E2"/>
    <w:rsid w:val="0049284F"/>
    <w:rsid w:val="00492F33"/>
    <w:rsid w:val="0049393B"/>
    <w:rsid w:val="00493B85"/>
    <w:rsid w:val="00493C71"/>
    <w:rsid w:val="00494C53"/>
    <w:rsid w:val="004950BF"/>
    <w:rsid w:val="0049548A"/>
    <w:rsid w:val="004A00DF"/>
    <w:rsid w:val="004A1C00"/>
    <w:rsid w:val="004A24C4"/>
    <w:rsid w:val="004A46C4"/>
    <w:rsid w:val="004A4DAA"/>
    <w:rsid w:val="004A5691"/>
    <w:rsid w:val="004A625B"/>
    <w:rsid w:val="004A640E"/>
    <w:rsid w:val="004A6C95"/>
    <w:rsid w:val="004A6D76"/>
    <w:rsid w:val="004A6EFA"/>
    <w:rsid w:val="004A7057"/>
    <w:rsid w:val="004A7133"/>
    <w:rsid w:val="004A71A2"/>
    <w:rsid w:val="004A7DAE"/>
    <w:rsid w:val="004A7EE5"/>
    <w:rsid w:val="004A7FBB"/>
    <w:rsid w:val="004B010B"/>
    <w:rsid w:val="004B0368"/>
    <w:rsid w:val="004B0D56"/>
    <w:rsid w:val="004B1072"/>
    <w:rsid w:val="004B17E6"/>
    <w:rsid w:val="004B1999"/>
    <w:rsid w:val="004B21F6"/>
    <w:rsid w:val="004B2997"/>
    <w:rsid w:val="004B3971"/>
    <w:rsid w:val="004B3B9D"/>
    <w:rsid w:val="004B41C0"/>
    <w:rsid w:val="004B41C3"/>
    <w:rsid w:val="004B45DE"/>
    <w:rsid w:val="004B5361"/>
    <w:rsid w:val="004B5818"/>
    <w:rsid w:val="004B58CD"/>
    <w:rsid w:val="004B6043"/>
    <w:rsid w:val="004B73F3"/>
    <w:rsid w:val="004B793D"/>
    <w:rsid w:val="004C00EA"/>
    <w:rsid w:val="004C13D6"/>
    <w:rsid w:val="004C18A2"/>
    <w:rsid w:val="004C3028"/>
    <w:rsid w:val="004C3C24"/>
    <w:rsid w:val="004C447A"/>
    <w:rsid w:val="004C4805"/>
    <w:rsid w:val="004C48D6"/>
    <w:rsid w:val="004C571E"/>
    <w:rsid w:val="004C59AF"/>
    <w:rsid w:val="004C68C2"/>
    <w:rsid w:val="004C7FE6"/>
    <w:rsid w:val="004D0D0F"/>
    <w:rsid w:val="004D12C3"/>
    <w:rsid w:val="004D1EF7"/>
    <w:rsid w:val="004D2502"/>
    <w:rsid w:val="004D26E9"/>
    <w:rsid w:val="004D2D0B"/>
    <w:rsid w:val="004D2E11"/>
    <w:rsid w:val="004D3559"/>
    <w:rsid w:val="004D3B78"/>
    <w:rsid w:val="004D4456"/>
    <w:rsid w:val="004D622E"/>
    <w:rsid w:val="004D68A6"/>
    <w:rsid w:val="004D6AAD"/>
    <w:rsid w:val="004D6F00"/>
    <w:rsid w:val="004E07F5"/>
    <w:rsid w:val="004E0AD8"/>
    <w:rsid w:val="004E0FE2"/>
    <w:rsid w:val="004E1882"/>
    <w:rsid w:val="004E1C57"/>
    <w:rsid w:val="004E2159"/>
    <w:rsid w:val="004E28E2"/>
    <w:rsid w:val="004E2A0C"/>
    <w:rsid w:val="004E37CA"/>
    <w:rsid w:val="004E49A7"/>
    <w:rsid w:val="004E4FF8"/>
    <w:rsid w:val="004E617A"/>
    <w:rsid w:val="004E6682"/>
    <w:rsid w:val="004E66D4"/>
    <w:rsid w:val="004E68AA"/>
    <w:rsid w:val="004E7A4E"/>
    <w:rsid w:val="004F0A87"/>
    <w:rsid w:val="004F0FC3"/>
    <w:rsid w:val="004F113B"/>
    <w:rsid w:val="004F11BE"/>
    <w:rsid w:val="004F2764"/>
    <w:rsid w:val="004F2CA5"/>
    <w:rsid w:val="004F3486"/>
    <w:rsid w:val="004F3723"/>
    <w:rsid w:val="004F3D92"/>
    <w:rsid w:val="004F41B9"/>
    <w:rsid w:val="004F45B6"/>
    <w:rsid w:val="004F47A8"/>
    <w:rsid w:val="004F518F"/>
    <w:rsid w:val="004F5373"/>
    <w:rsid w:val="004F56AD"/>
    <w:rsid w:val="004F58D3"/>
    <w:rsid w:val="004F5A28"/>
    <w:rsid w:val="004F5B73"/>
    <w:rsid w:val="004F6068"/>
    <w:rsid w:val="004F6128"/>
    <w:rsid w:val="004F6ACD"/>
    <w:rsid w:val="004F7202"/>
    <w:rsid w:val="004F7AF1"/>
    <w:rsid w:val="004F7F82"/>
    <w:rsid w:val="00500371"/>
    <w:rsid w:val="005007FB"/>
    <w:rsid w:val="00500C18"/>
    <w:rsid w:val="00502D3A"/>
    <w:rsid w:val="00502DBC"/>
    <w:rsid w:val="00503256"/>
    <w:rsid w:val="00503886"/>
    <w:rsid w:val="0050611D"/>
    <w:rsid w:val="00506273"/>
    <w:rsid w:val="00506D21"/>
    <w:rsid w:val="00507517"/>
    <w:rsid w:val="00507CE6"/>
    <w:rsid w:val="0051017C"/>
    <w:rsid w:val="0051029A"/>
    <w:rsid w:val="00510D01"/>
    <w:rsid w:val="00510E76"/>
    <w:rsid w:val="00511E02"/>
    <w:rsid w:val="00512759"/>
    <w:rsid w:val="00513306"/>
    <w:rsid w:val="00513C18"/>
    <w:rsid w:val="0051464D"/>
    <w:rsid w:val="00515492"/>
    <w:rsid w:val="00515E91"/>
    <w:rsid w:val="00521A0A"/>
    <w:rsid w:val="005229CD"/>
    <w:rsid w:val="00523357"/>
    <w:rsid w:val="00523465"/>
    <w:rsid w:val="005235B3"/>
    <w:rsid w:val="00523955"/>
    <w:rsid w:val="00524ED8"/>
    <w:rsid w:val="005256E7"/>
    <w:rsid w:val="0052658A"/>
    <w:rsid w:val="00526F0F"/>
    <w:rsid w:val="00527904"/>
    <w:rsid w:val="00527E39"/>
    <w:rsid w:val="005306F5"/>
    <w:rsid w:val="00530C4D"/>
    <w:rsid w:val="00531272"/>
    <w:rsid w:val="00532A1D"/>
    <w:rsid w:val="00532C93"/>
    <w:rsid w:val="00533419"/>
    <w:rsid w:val="005337B6"/>
    <w:rsid w:val="005339FA"/>
    <w:rsid w:val="00534D51"/>
    <w:rsid w:val="00534D7C"/>
    <w:rsid w:val="00535368"/>
    <w:rsid w:val="00535ECB"/>
    <w:rsid w:val="00537650"/>
    <w:rsid w:val="005402FA"/>
    <w:rsid w:val="00540A02"/>
    <w:rsid w:val="0054128E"/>
    <w:rsid w:val="0054164F"/>
    <w:rsid w:val="005424BE"/>
    <w:rsid w:val="005431A0"/>
    <w:rsid w:val="0054364F"/>
    <w:rsid w:val="0054368F"/>
    <w:rsid w:val="0054381C"/>
    <w:rsid w:val="00543B02"/>
    <w:rsid w:val="00543B90"/>
    <w:rsid w:val="005442EF"/>
    <w:rsid w:val="00544BDA"/>
    <w:rsid w:val="00544DDC"/>
    <w:rsid w:val="005450B4"/>
    <w:rsid w:val="00545450"/>
    <w:rsid w:val="00545F63"/>
    <w:rsid w:val="005505B5"/>
    <w:rsid w:val="005508F5"/>
    <w:rsid w:val="00551456"/>
    <w:rsid w:val="00551A0D"/>
    <w:rsid w:val="005521DC"/>
    <w:rsid w:val="00553153"/>
    <w:rsid w:val="00554E24"/>
    <w:rsid w:val="00555440"/>
    <w:rsid w:val="00555EF4"/>
    <w:rsid w:val="00555F4B"/>
    <w:rsid w:val="005565D8"/>
    <w:rsid w:val="005573CD"/>
    <w:rsid w:val="00561C59"/>
    <w:rsid w:val="00561C9B"/>
    <w:rsid w:val="00561D5C"/>
    <w:rsid w:val="005624DE"/>
    <w:rsid w:val="005626EA"/>
    <w:rsid w:val="00562B1E"/>
    <w:rsid w:val="00563566"/>
    <w:rsid w:val="00566173"/>
    <w:rsid w:val="00566600"/>
    <w:rsid w:val="005666A9"/>
    <w:rsid w:val="005673D6"/>
    <w:rsid w:val="00567BA5"/>
    <w:rsid w:val="005703E9"/>
    <w:rsid w:val="0057157E"/>
    <w:rsid w:val="00571809"/>
    <w:rsid w:val="00571946"/>
    <w:rsid w:val="00572AB1"/>
    <w:rsid w:val="00572FF9"/>
    <w:rsid w:val="00574260"/>
    <w:rsid w:val="00575265"/>
    <w:rsid w:val="00575367"/>
    <w:rsid w:val="0057548B"/>
    <w:rsid w:val="005768AE"/>
    <w:rsid w:val="0057787A"/>
    <w:rsid w:val="00580026"/>
    <w:rsid w:val="005819AF"/>
    <w:rsid w:val="005830B9"/>
    <w:rsid w:val="0058349F"/>
    <w:rsid w:val="00583668"/>
    <w:rsid w:val="00583AB7"/>
    <w:rsid w:val="005847EE"/>
    <w:rsid w:val="00585169"/>
    <w:rsid w:val="0058526D"/>
    <w:rsid w:val="00585C01"/>
    <w:rsid w:val="00585F3E"/>
    <w:rsid w:val="00586A0E"/>
    <w:rsid w:val="00587095"/>
    <w:rsid w:val="005904B5"/>
    <w:rsid w:val="005907AA"/>
    <w:rsid w:val="00590B8B"/>
    <w:rsid w:val="00590D99"/>
    <w:rsid w:val="00591149"/>
    <w:rsid w:val="0059214F"/>
    <w:rsid w:val="00592C32"/>
    <w:rsid w:val="0059338E"/>
    <w:rsid w:val="00593696"/>
    <w:rsid w:val="005943CA"/>
    <w:rsid w:val="0059652D"/>
    <w:rsid w:val="005970DF"/>
    <w:rsid w:val="0059774A"/>
    <w:rsid w:val="005A022C"/>
    <w:rsid w:val="005A0308"/>
    <w:rsid w:val="005A0937"/>
    <w:rsid w:val="005A0FB3"/>
    <w:rsid w:val="005A13C3"/>
    <w:rsid w:val="005A2223"/>
    <w:rsid w:val="005A27E0"/>
    <w:rsid w:val="005A37E6"/>
    <w:rsid w:val="005A4612"/>
    <w:rsid w:val="005A4C60"/>
    <w:rsid w:val="005A5C4F"/>
    <w:rsid w:val="005A6498"/>
    <w:rsid w:val="005A64F4"/>
    <w:rsid w:val="005B14C8"/>
    <w:rsid w:val="005B1758"/>
    <w:rsid w:val="005B2B10"/>
    <w:rsid w:val="005B5052"/>
    <w:rsid w:val="005B5B19"/>
    <w:rsid w:val="005B7D7A"/>
    <w:rsid w:val="005C059A"/>
    <w:rsid w:val="005C09B5"/>
    <w:rsid w:val="005C0FF8"/>
    <w:rsid w:val="005C1A3C"/>
    <w:rsid w:val="005C1D58"/>
    <w:rsid w:val="005C2046"/>
    <w:rsid w:val="005C23A8"/>
    <w:rsid w:val="005C300A"/>
    <w:rsid w:val="005C33F4"/>
    <w:rsid w:val="005C3B34"/>
    <w:rsid w:val="005C4E58"/>
    <w:rsid w:val="005C52B7"/>
    <w:rsid w:val="005C56FC"/>
    <w:rsid w:val="005C5C93"/>
    <w:rsid w:val="005C7CE3"/>
    <w:rsid w:val="005D02A1"/>
    <w:rsid w:val="005D0690"/>
    <w:rsid w:val="005D1E6F"/>
    <w:rsid w:val="005D2534"/>
    <w:rsid w:val="005D25E8"/>
    <w:rsid w:val="005D2BC0"/>
    <w:rsid w:val="005D4169"/>
    <w:rsid w:val="005D4D24"/>
    <w:rsid w:val="005D5294"/>
    <w:rsid w:val="005D6751"/>
    <w:rsid w:val="005D6D34"/>
    <w:rsid w:val="005E0280"/>
    <w:rsid w:val="005E09DC"/>
    <w:rsid w:val="005E09DD"/>
    <w:rsid w:val="005E0AC9"/>
    <w:rsid w:val="005E1CC2"/>
    <w:rsid w:val="005E1D29"/>
    <w:rsid w:val="005E245A"/>
    <w:rsid w:val="005E288C"/>
    <w:rsid w:val="005E294F"/>
    <w:rsid w:val="005E4BBE"/>
    <w:rsid w:val="005E4C36"/>
    <w:rsid w:val="005E61FF"/>
    <w:rsid w:val="005E6C40"/>
    <w:rsid w:val="005E6E45"/>
    <w:rsid w:val="005E79CB"/>
    <w:rsid w:val="005E7C58"/>
    <w:rsid w:val="005F0BEF"/>
    <w:rsid w:val="005F1352"/>
    <w:rsid w:val="005F1615"/>
    <w:rsid w:val="005F1829"/>
    <w:rsid w:val="005F2535"/>
    <w:rsid w:val="005F2967"/>
    <w:rsid w:val="005F2A62"/>
    <w:rsid w:val="005F36F8"/>
    <w:rsid w:val="005F3AA0"/>
    <w:rsid w:val="005F3AFC"/>
    <w:rsid w:val="005F3B4F"/>
    <w:rsid w:val="005F5555"/>
    <w:rsid w:val="005F5E4A"/>
    <w:rsid w:val="005F6250"/>
    <w:rsid w:val="005F6641"/>
    <w:rsid w:val="005F680C"/>
    <w:rsid w:val="00600E70"/>
    <w:rsid w:val="00601AAC"/>
    <w:rsid w:val="00602307"/>
    <w:rsid w:val="00603BF8"/>
    <w:rsid w:val="006043B7"/>
    <w:rsid w:val="0060454B"/>
    <w:rsid w:val="006045F2"/>
    <w:rsid w:val="006048DE"/>
    <w:rsid w:val="00605C2F"/>
    <w:rsid w:val="00605E4D"/>
    <w:rsid w:val="00607562"/>
    <w:rsid w:val="006103B8"/>
    <w:rsid w:val="0061077B"/>
    <w:rsid w:val="00612D47"/>
    <w:rsid w:val="00613513"/>
    <w:rsid w:val="00615AFC"/>
    <w:rsid w:val="006163E2"/>
    <w:rsid w:val="00617649"/>
    <w:rsid w:val="00617FC2"/>
    <w:rsid w:val="00620BA3"/>
    <w:rsid w:val="00621816"/>
    <w:rsid w:val="00621920"/>
    <w:rsid w:val="00621FF2"/>
    <w:rsid w:val="0062200E"/>
    <w:rsid w:val="0062359C"/>
    <w:rsid w:val="00624D3F"/>
    <w:rsid w:val="00624F0F"/>
    <w:rsid w:val="006252C6"/>
    <w:rsid w:val="00625B81"/>
    <w:rsid w:val="006270F6"/>
    <w:rsid w:val="0062732D"/>
    <w:rsid w:val="006276C7"/>
    <w:rsid w:val="00630134"/>
    <w:rsid w:val="006301B2"/>
    <w:rsid w:val="00630493"/>
    <w:rsid w:val="00630690"/>
    <w:rsid w:val="0063097E"/>
    <w:rsid w:val="00630B81"/>
    <w:rsid w:val="00630CFC"/>
    <w:rsid w:val="006310C9"/>
    <w:rsid w:val="006319B4"/>
    <w:rsid w:val="006329CC"/>
    <w:rsid w:val="0063385C"/>
    <w:rsid w:val="006358D9"/>
    <w:rsid w:val="00635D93"/>
    <w:rsid w:val="00636962"/>
    <w:rsid w:val="00636B6B"/>
    <w:rsid w:val="00636F85"/>
    <w:rsid w:val="006376DA"/>
    <w:rsid w:val="00637716"/>
    <w:rsid w:val="006401CC"/>
    <w:rsid w:val="00640A3D"/>
    <w:rsid w:val="00641E45"/>
    <w:rsid w:val="00642146"/>
    <w:rsid w:val="00642147"/>
    <w:rsid w:val="00644AC0"/>
    <w:rsid w:val="00646AA2"/>
    <w:rsid w:val="00650109"/>
    <w:rsid w:val="006502F4"/>
    <w:rsid w:val="0065034A"/>
    <w:rsid w:val="006504F1"/>
    <w:rsid w:val="0065087F"/>
    <w:rsid w:val="006508AA"/>
    <w:rsid w:val="00650C87"/>
    <w:rsid w:val="00650D33"/>
    <w:rsid w:val="00651999"/>
    <w:rsid w:val="00651F92"/>
    <w:rsid w:val="00652E4D"/>
    <w:rsid w:val="006533B5"/>
    <w:rsid w:val="006538D6"/>
    <w:rsid w:val="006543ED"/>
    <w:rsid w:val="00655A9D"/>
    <w:rsid w:val="00655FCD"/>
    <w:rsid w:val="00656165"/>
    <w:rsid w:val="006565E2"/>
    <w:rsid w:val="00656A76"/>
    <w:rsid w:val="00657B16"/>
    <w:rsid w:val="00657B95"/>
    <w:rsid w:val="00657C85"/>
    <w:rsid w:val="006606CF"/>
    <w:rsid w:val="006618F3"/>
    <w:rsid w:val="006619C0"/>
    <w:rsid w:val="00663540"/>
    <w:rsid w:val="00663787"/>
    <w:rsid w:val="0066405C"/>
    <w:rsid w:val="0066414B"/>
    <w:rsid w:val="0066503A"/>
    <w:rsid w:val="00666D2A"/>
    <w:rsid w:val="00666D57"/>
    <w:rsid w:val="006671FB"/>
    <w:rsid w:val="006672CE"/>
    <w:rsid w:val="00671416"/>
    <w:rsid w:val="0067193E"/>
    <w:rsid w:val="0067344B"/>
    <w:rsid w:val="0067387B"/>
    <w:rsid w:val="00673A71"/>
    <w:rsid w:val="006742D7"/>
    <w:rsid w:val="00674540"/>
    <w:rsid w:val="00675EE0"/>
    <w:rsid w:val="00677937"/>
    <w:rsid w:val="00680B5E"/>
    <w:rsid w:val="00680E69"/>
    <w:rsid w:val="00681905"/>
    <w:rsid w:val="006820A6"/>
    <w:rsid w:val="00682B3D"/>
    <w:rsid w:val="00682E12"/>
    <w:rsid w:val="00684624"/>
    <w:rsid w:val="00684DCD"/>
    <w:rsid w:val="00685C79"/>
    <w:rsid w:val="00686FAE"/>
    <w:rsid w:val="00690097"/>
    <w:rsid w:val="0069040F"/>
    <w:rsid w:val="006904EA"/>
    <w:rsid w:val="00690B00"/>
    <w:rsid w:val="006914AD"/>
    <w:rsid w:val="00691D08"/>
    <w:rsid w:val="00692008"/>
    <w:rsid w:val="00692346"/>
    <w:rsid w:val="006924DF"/>
    <w:rsid w:val="00692CA8"/>
    <w:rsid w:val="00694F98"/>
    <w:rsid w:val="00696509"/>
    <w:rsid w:val="006965CD"/>
    <w:rsid w:val="0069693B"/>
    <w:rsid w:val="00696B40"/>
    <w:rsid w:val="0069754D"/>
    <w:rsid w:val="00697DAB"/>
    <w:rsid w:val="006A006F"/>
    <w:rsid w:val="006A0D9D"/>
    <w:rsid w:val="006A18AB"/>
    <w:rsid w:val="006A269E"/>
    <w:rsid w:val="006A31BE"/>
    <w:rsid w:val="006A3487"/>
    <w:rsid w:val="006A4C67"/>
    <w:rsid w:val="006A712F"/>
    <w:rsid w:val="006A7E6D"/>
    <w:rsid w:val="006B13A2"/>
    <w:rsid w:val="006B2DA0"/>
    <w:rsid w:val="006B3286"/>
    <w:rsid w:val="006B3A6A"/>
    <w:rsid w:val="006B3D05"/>
    <w:rsid w:val="006B50BA"/>
    <w:rsid w:val="006B53CB"/>
    <w:rsid w:val="006B543D"/>
    <w:rsid w:val="006B5750"/>
    <w:rsid w:val="006B5BB7"/>
    <w:rsid w:val="006B69D4"/>
    <w:rsid w:val="006B79E1"/>
    <w:rsid w:val="006B7AF5"/>
    <w:rsid w:val="006C01C2"/>
    <w:rsid w:val="006C15DA"/>
    <w:rsid w:val="006C1837"/>
    <w:rsid w:val="006C19E5"/>
    <w:rsid w:val="006C1A8C"/>
    <w:rsid w:val="006C1FC3"/>
    <w:rsid w:val="006C368B"/>
    <w:rsid w:val="006C36E0"/>
    <w:rsid w:val="006C3890"/>
    <w:rsid w:val="006C4E74"/>
    <w:rsid w:val="006C51C5"/>
    <w:rsid w:val="006C551B"/>
    <w:rsid w:val="006C641E"/>
    <w:rsid w:val="006C64D4"/>
    <w:rsid w:val="006C6DCA"/>
    <w:rsid w:val="006C7633"/>
    <w:rsid w:val="006C79AF"/>
    <w:rsid w:val="006D0387"/>
    <w:rsid w:val="006D12FE"/>
    <w:rsid w:val="006D1443"/>
    <w:rsid w:val="006D161F"/>
    <w:rsid w:val="006D1B80"/>
    <w:rsid w:val="006D1C21"/>
    <w:rsid w:val="006D4E7B"/>
    <w:rsid w:val="006D53BA"/>
    <w:rsid w:val="006D551D"/>
    <w:rsid w:val="006D5592"/>
    <w:rsid w:val="006D5873"/>
    <w:rsid w:val="006D61A7"/>
    <w:rsid w:val="006D62FC"/>
    <w:rsid w:val="006D68C9"/>
    <w:rsid w:val="006D6F71"/>
    <w:rsid w:val="006D701E"/>
    <w:rsid w:val="006D77A3"/>
    <w:rsid w:val="006D7CA0"/>
    <w:rsid w:val="006E02D6"/>
    <w:rsid w:val="006E1397"/>
    <w:rsid w:val="006E3624"/>
    <w:rsid w:val="006E4BD5"/>
    <w:rsid w:val="006E58D3"/>
    <w:rsid w:val="006E6205"/>
    <w:rsid w:val="006E6538"/>
    <w:rsid w:val="006E66F6"/>
    <w:rsid w:val="006E6CD5"/>
    <w:rsid w:val="006E706B"/>
    <w:rsid w:val="006E7930"/>
    <w:rsid w:val="006E7E7B"/>
    <w:rsid w:val="006F04B1"/>
    <w:rsid w:val="006F0F50"/>
    <w:rsid w:val="006F0F6E"/>
    <w:rsid w:val="006F117E"/>
    <w:rsid w:val="006F230A"/>
    <w:rsid w:val="006F2A92"/>
    <w:rsid w:val="006F4585"/>
    <w:rsid w:val="006F5F6A"/>
    <w:rsid w:val="006F6DBF"/>
    <w:rsid w:val="006F755B"/>
    <w:rsid w:val="006F7B92"/>
    <w:rsid w:val="00700AFA"/>
    <w:rsid w:val="00701F73"/>
    <w:rsid w:val="007030AB"/>
    <w:rsid w:val="0070486C"/>
    <w:rsid w:val="00706C3F"/>
    <w:rsid w:val="00706E96"/>
    <w:rsid w:val="00707B37"/>
    <w:rsid w:val="00710A0A"/>
    <w:rsid w:val="00710F3C"/>
    <w:rsid w:val="00711365"/>
    <w:rsid w:val="0071168A"/>
    <w:rsid w:val="00711BA5"/>
    <w:rsid w:val="007126F6"/>
    <w:rsid w:val="007133C1"/>
    <w:rsid w:val="00713F8D"/>
    <w:rsid w:val="00714121"/>
    <w:rsid w:val="00714A1A"/>
    <w:rsid w:val="0071507E"/>
    <w:rsid w:val="0071570A"/>
    <w:rsid w:val="007158AE"/>
    <w:rsid w:val="00716AC0"/>
    <w:rsid w:val="00716C5C"/>
    <w:rsid w:val="00716CF3"/>
    <w:rsid w:val="00716FD4"/>
    <w:rsid w:val="00717555"/>
    <w:rsid w:val="007202A8"/>
    <w:rsid w:val="00720774"/>
    <w:rsid w:val="0072100C"/>
    <w:rsid w:val="007211C2"/>
    <w:rsid w:val="0072235C"/>
    <w:rsid w:val="0072264A"/>
    <w:rsid w:val="00723121"/>
    <w:rsid w:val="00723AD0"/>
    <w:rsid w:val="00725FAD"/>
    <w:rsid w:val="00726B63"/>
    <w:rsid w:val="00727BC4"/>
    <w:rsid w:val="007312A9"/>
    <w:rsid w:val="00732793"/>
    <w:rsid w:val="00732E50"/>
    <w:rsid w:val="00733DB7"/>
    <w:rsid w:val="007352B4"/>
    <w:rsid w:val="00735424"/>
    <w:rsid w:val="007354B5"/>
    <w:rsid w:val="00735DA7"/>
    <w:rsid w:val="0073731C"/>
    <w:rsid w:val="007403FE"/>
    <w:rsid w:val="007437E7"/>
    <w:rsid w:val="0074438A"/>
    <w:rsid w:val="00744617"/>
    <w:rsid w:val="00745223"/>
    <w:rsid w:val="007453B1"/>
    <w:rsid w:val="007462AE"/>
    <w:rsid w:val="00746593"/>
    <w:rsid w:val="00746668"/>
    <w:rsid w:val="00747EA1"/>
    <w:rsid w:val="007500DE"/>
    <w:rsid w:val="00750BB0"/>
    <w:rsid w:val="00751742"/>
    <w:rsid w:val="007526B0"/>
    <w:rsid w:val="00754B43"/>
    <w:rsid w:val="00754EE9"/>
    <w:rsid w:val="0075504D"/>
    <w:rsid w:val="00755970"/>
    <w:rsid w:val="00755C60"/>
    <w:rsid w:val="00755D2A"/>
    <w:rsid w:val="00756289"/>
    <w:rsid w:val="00756884"/>
    <w:rsid w:val="007571FD"/>
    <w:rsid w:val="00761A3C"/>
    <w:rsid w:val="0076205C"/>
    <w:rsid w:val="007621C0"/>
    <w:rsid w:val="00762268"/>
    <w:rsid w:val="0076390F"/>
    <w:rsid w:val="007660D2"/>
    <w:rsid w:val="00766208"/>
    <w:rsid w:val="00766CE6"/>
    <w:rsid w:val="00767E27"/>
    <w:rsid w:val="00767FEB"/>
    <w:rsid w:val="0077058E"/>
    <w:rsid w:val="007719FF"/>
    <w:rsid w:val="00771A09"/>
    <w:rsid w:val="00771ECF"/>
    <w:rsid w:val="007729BC"/>
    <w:rsid w:val="00773075"/>
    <w:rsid w:val="00773B7C"/>
    <w:rsid w:val="00774353"/>
    <w:rsid w:val="00774A2A"/>
    <w:rsid w:val="00775AE8"/>
    <w:rsid w:val="00775D36"/>
    <w:rsid w:val="007762C8"/>
    <w:rsid w:val="007762FB"/>
    <w:rsid w:val="00776552"/>
    <w:rsid w:val="007765B1"/>
    <w:rsid w:val="00776EAE"/>
    <w:rsid w:val="00777A9D"/>
    <w:rsid w:val="00780277"/>
    <w:rsid w:val="00781357"/>
    <w:rsid w:val="00781499"/>
    <w:rsid w:val="0078178C"/>
    <w:rsid w:val="007819AC"/>
    <w:rsid w:val="00781D8A"/>
    <w:rsid w:val="00782209"/>
    <w:rsid w:val="00783807"/>
    <w:rsid w:val="007855F4"/>
    <w:rsid w:val="00785D5D"/>
    <w:rsid w:val="00786B92"/>
    <w:rsid w:val="00787268"/>
    <w:rsid w:val="007875BD"/>
    <w:rsid w:val="00790A18"/>
    <w:rsid w:val="00790F91"/>
    <w:rsid w:val="00791853"/>
    <w:rsid w:val="00791C0B"/>
    <w:rsid w:val="00792584"/>
    <w:rsid w:val="007925D5"/>
    <w:rsid w:val="007939E3"/>
    <w:rsid w:val="00794139"/>
    <w:rsid w:val="007941F0"/>
    <w:rsid w:val="00794A8F"/>
    <w:rsid w:val="00794FE9"/>
    <w:rsid w:val="00795386"/>
    <w:rsid w:val="0079557A"/>
    <w:rsid w:val="007958C7"/>
    <w:rsid w:val="00796455"/>
    <w:rsid w:val="00796CED"/>
    <w:rsid w:val="00797474"/>
    <w:rsid w:val="00797AFF"/>
    <w:rsid w:val="007A02CF"/>
    <w:rsid w:val="007A0366"/>
    <w:rsid w:val="007A2663"/>
    <w:rsid w:val="007A26F5"/>
    <w:rsid w:val="007A3ACC"/>
    <w:rsid w:val="007A5AF2"/>
    <w:rsid w:val="007A5FC8"/>
    <w:rsid w:val="007A61E9"/>
    <w:rsid w:val="007B03A1"/>
    <w:rsid w:val="007B088D"/>
    <w:rsid w:val="007B0893"/>
    <w:rsid w:val="007B156B"/>
    <w:rsid w:val="007B1739"/>
    <w:rsid w:val="007B19AC"/>
    <w:rsid w:val="007B3DA1"/>
    <w:rsid w:val="007B44A3"/>
    <w:rsid w:val="007B4CC7"/>
    <w:rsid w:val="007B5361"/>
    <w:rsid w:val="007B5862"/>
    <w:rsid w:val="007B680B"/>
    <w:rsid w:val="007B738F"/>
    <w:rsid w:val="007C02B6"/>
    <w:rsid w:val="007C05EE"/>
    <w:rsid w:val="007C0B6B"/>
    <w:rsid w:val="007C111E"/>
    <w:rsid w:val="007C1221"/>
    <w:rsid w:val="007C1EB8"/>
    <w:rsid w:val="007C21E7"/>
    <w:rsid w:val="007C2D62"/>
    <w:rsid w:val="007C45AE"/>
    <w:rsid w:val="007C5023"/>
    <w:rsid w:val="007C5C56"/>
    <w:rsid w:val="007C6C5D"/>
    <w:rsid w:val="007C6E8B"/>
    <w:rsid w:val="007D0087"/>
    <w:rsid w:val="007D0B66"/>
    <w:rsid w:val="007D1A78"/>
    <w:rsid w:val="007D1D7C"/>
    <w:rsid w:val="007D39F7"/>
    <w:rsid w:val="007D3C27"/>
    <w:rsid w:val="007D3C46"/>
    <w:rsid w:val="007D42C8"/>
    <w:rsid w:val="007D4690"/>
    <w:rsid w:val="007D48DF"/>
    <w:rsid w:val="007D555C"/>
    <w:rsid w:val="007D589B"/>
    <w:rsid w:val="007D6430"/>
    <w:rsid w:val="007D704F"/>
    <w:rsid w:val="007E0C3A"/>
    <w:rsid w:val="007E1534"/>
    <w:rsid w:val="007E358F"/>
    <w:rsid w:val="007E3BBF"/>
    <w:rsid w:val="007E4146"/>
    <w:rsid w:val="007E4487"/>
    <w:rsid w:val="007E4892"/>
    <w:rsid w:val="007E4B84"/>
    <w:rsid w:val="007E50FE"/>
    <w:rsid w:val="007E5743"/>
    <w:rsid w:val="007E6564"/>
    <w:rsid w:val="007E66D5"/>
    <w:rsid w:val="007E6B96"/>
    <w:rsid w:val="007E795C"/>
    <w:rsid w:val="007F0186"/>
    <w:rsid w:val="007F0303"/>
    <w:rsid w:val="007F0992"/>
    <w:rsid w:val="007F1265"/>
    <w:rsid w:val="007F1884"/>
    <w:rsid w:val="007F1E91"/>
    <w:rsid w:val="007F218A"/>
    <w:rsid w:val="007F2A79"/>
    <w:rsid w:val="007F3477"/>
    <w:rsid w:val="007F388C"/>
    <w:rsid w:val="007F3C0A"/>
    <w:rsid w:val="007F3FB5"/>
    <w:rsid w:val="007F4C59"/>
    <w:rsid w:val="007F69D7"/>
    <w:rsid w:val="007F6A62"/>
    <w:rsid w:val="00801BC5"/>
    <w:rsid w:val="00802304"/>
    <w:rsid w:val="00802D46"/>
    <w:rsid w:val="0080320D"/>
    <w:rsid w:val="008032F5"/>
    <w:rsid w:val="00803699"/>
    <w:rsid w:val="0080381D"/>
    <w:rsid w:val="00804A91"/>
    <w:rsid w:val="0080571C"/>
    <w:rsid w:val="00806189"/>
    <w:rsid w:val="008069FD"/>
    <w:rsid w:val="00806BA8"/>
    <w:rsid w:val="0081052F"/>
    <w:rsid w:val="0081070B"/>
    <w:rsid w:val="00810B46"/>
    <w:rsid w:val="0081313E"/>
    <w:rsid w:val="0081335F"/>
    <w:rsid w:val="00813B4D"/>
    <w:rsid w:val="00813BF1"/>
    <w:rsid w:val="00814505"/>
    <w:rsid w:val="00814893"/>
    <w:rsid w:val="00814B3F"/>
    <w:rsid w:val="008153E6"/>
    <w:rsid w:val="00815764"/>
    <w:rsid w:val="008205A0"/>
    <w:rsid w:val="00820600"/>
    <w:rsid w:val="00820784"/>
    <w:rsid w:val="00821117"/>
    <w:rsid w:val="008219E2"/>
    <w:rsid w:val="008225E6"/>
    <w:rsid w:val="0082270C"/>
    <w:rsid w:val="0082285D"/>
    <w:rsid w:val="00822970"/>
    <w:rsid w:val="0082338B"/>
    <w:rsid w:val="00823678"/>
    <w:rsid w:val="008240EC"/>
    <w:rsid w:val="008245D0"/>
    <w:rsid w:val="0082467A"/>
    <w:rsid w:val="00826CA8"/>
    <w:rsid w:val="008272A9"/>
    <w:rsid w:val="008273CF"/>
    <w:rsid w:val="008300D6"/>
    <w:rsid w:val="008300F2"/>
    <w:rsid w:val="00830597"/>
    <w:rsid w:val="008314A3"/>
    <w:rsid w:val="00832355"/>
    <w:rsid w:val="00832541"/>
    <w:rsid w:val="00832948"/>
    <w:rsid w:val="008329AD"/>
    <w:rsid w:val="00832E7D"/>
    <w:rsid w:val="0083306A"/>
    <w:rsid w:val="0083387B"/>
    <w:rsid w:val="00833F43"/>
    <w:rsid w:val="00834FF1"/>
    <w:rsid w:val="00835F88"/>
    <w:rsid w:val="008364A6"/>
    <w:rsid w:val="00836D7E"/>
    <w:rsid w:val="00837505"/>
    <w:rsid w:val="00837549"/>
    <w:rsid w:val="00840606"/>
    <w:rsid w:val="00840ED0"/>
    <w:rsid w:val="00841141"/>
    <w:rsid w:val="008413B7"/>
    <w:rsid w:val="00842CB4"/>
    <w:rsid w:val="0084330A"/>
    <w:rsid w:val="0084519F"/>
    <w:rsid w:val="00846AA2"/>
    <w:rsid w:val="00847200"/>
    <w:rsid w:val="00847CCC"/>
    <w:rsid w:val="00847DDD"/>
    <w:rsid w:val="008502B8"/>
    <w:rsid w:val="00850531"/>
    <w:rsid w:val="00850640"/>
    <w:rsid w:val="008528A3"/>
    <w:rsid w:val="00852BB0"/>
    <w:rsid w:val="00853C8C"/>
    <w:rsid w:val="00853CF4"/>
    <w:rsid w:val="0085415D"/>
    <w:rsid w:val="00854CCC"/>
    <w:rsid w:val="00855424"/>
    <w:rsid w:val="00855650"/>
    <w:rsid w:val="00855DB2"/>
    <w:rsid w:val="008575F9"/>
    <w:rsid w:val="00857ED1"/>
    <w:rsid w:val="0086048F"/>
    <w:rsid w:val="00860AF7"/>
    <w:rsid w:val="00860F11"/>
    <w:rsid w:val="008616E5"/>
    <w:rsid w:val="0086172C"/>
    <w:rsid w:val="00861BA0"/>
    <w:rsid w:val="00861D8E"/>
    <w:rsid w:val="00861DC4"/>
    <w:rsid w:val="00862020"/>
    <w:rsid w:val="00862690"/>
    <w:rsid w:val="00862AA2"/>
    <w:rsid w:val="008632BF"/>
    <w:rsid w:val="00864459"/>
    <w:rsid w:val="00864486"/>
    <w:rsid w:val="0086468B"/>
    <w:rsid w:val="00864B90"/>
    <w:rsid w:val="00865FD8"/>
    <w:rsid w:val="00866EB6"/>
    <w:rsid w:val="0087176A"/>
    <w:rsid w:val="00872F4D"/>
    <w:rsid w:val="00873036"/>
    <w:rsid w:val="008733A6"/>
    <w:rsid w:val="00873997"/>
    <w:rsid w:val="00874617"/>
    <w:rsid w:val="00874F23"/>
    <w:rsid w:val="008754AF"/>
    <w:rsid w:val="0087555C"/>
    <w:rsid w:val="008763F1"/>
    <w:rsid w:val="00880358"/>
    <w:rsid w:val="00880384"/>
    <w:rsid w:val="0088091C"/>
    <w:rsid w:val="00880B12"/>
    <w:rsid w:val="0088137E"/>
    <w:rsid w:val="008823C3"/>
    <w:rsid w:val="008828C7"/>
    <w:rsid w:val="00882E0B"/>
    <w:rsid w:val="0088390F"/>
    <w:rsid w:val="00883B74"/>
    <w:rsid w:val="00883CA3"/>
    <w:rsid w:val="00884D0D"/>
    <w:rsid w:val="00886594"/>
    <w:rsid w:val="00886CD5"/>
    <w:rsid w:val="00886E53"/>
    <w:rsid w:val="0088730B"/>
    <w:rsid w:val="00887B9B"/>
    <w:rsid w:val="008904F4"/>
    <w:rsid w:val="00890A57"/>
    <w:rsid w:val="00891259"/>
    <w:rsid w:val="0089363C"/>
    <w:rsid w:val="00893EEA"/>
    <w:rsid w:val="00894847"/>
    <w:rsid w:val="00895679"/>
    <w:rsid w:val="00895A78"/>
    <w:rsid w:val="00897592"/>
    <w:rsid w:val="00897ED1"/>
    <w:rsid w:val="008A0A7E"/>
    <w:rsid w:val="008A554F"/>
    <w:rsid w:val="008A56DB"/>
    <w:rsid w:val="008A69BF"/>
    <w:rsid w:val="008A7F5E"/>
    <w:rsid w:val="008B0D3C"/>
    <w:rsid w:val="008B0F0D"/>
    <w:rsid w:val="008B1032"/>
    <w:rsid w:val="008B39A9"/>
    <w:rsid w:val="008B4187"/>
    <w:rsid w:val="008B4250"/>
    <w:rsid w:val="008B4754"/>
    <w:rsid w:val="008B5772"/>
    <w:rsid w:val="008B6847"/>
    <w:rsid w:val="008B7123"/>
    <w:rsid w:val="008B7817"/>
    <w:rsid w:val="008C0741"/>
    <w:rsid w:val="008C0B5A"/>
    <w:rsid w:val="008C105D"/>
    <w:rsid w:val="008C14DC"/>
    <w:rsid w:val="008C184D"/>
    <w:rsid w:val="008C311A"/>
    <w:rsid w:val="008C338D"/>
    <w:rsid w:val="008C4AD9"/>
    <w:rsid w:val="008C51D4"/>
    <w:rsid w:val="008C584E"/>
    <w:rsid w:val="008C5D58"/>
    <w:rsid w:val="008C6002"/>
    <w:rsid w:val="008C64E1"/>
    <w:rsid w:val="008C6C2B"/>
    <w:rsid w:val="008C6C96"/>
    <w:rsid w:val="008C72DB"/>
    <w:rsid w:val="008C7986"/>
    <w:rsid w:val="008C7D51"/>
    <w:rsid w:val="008D0548"/>
    <w:rsid w:val="008D1265"/>
    <w:rsid w:val="008D1A0F"/>
    <w:rsid w:val="008D1EC9"/>
    <w:rsid w:val="008D26A2"/>
    <w:rsid w:val="008D2A29"/>
    <w:rsid w:val="008D2ADF"/>
    <w:rsid w:val="008D30D0"/>
    <w:rsid w:val="008D3C36"/>
    <w:rsid w:val="008D3E67"/>
    <w:rsid w:val="008D4356"/>
    <w:rsid w:val="008D4A2C"/>
    <w:rsid w:val="008D508F"/>
    <w:rsid w:val="008D52C2"/>
    <w:rsid w:val="008D54D4"/>
    <w:rsid w:val="008D5EE5"/>
    <w:rsid w:val="008D6C18"/>
    <w:rsid w:val="008D6F50"/>
    <w:rsid w:val="008D7738"/>
    <w:rsid w:val="008E091F"/>
    <w:rsid w:val="008E0F4B"/>
    <w:rsid w:val="008E141B"/>
    <w:rsid w:val="008E1422"/>
    <w:rsid w:val="008E179F"/>
    <w:rsid w:val="008E1A72"/>
    <w:rsid w:val="008E2216"/>
    <w:rsid w:val="008E2615"/>
    <w:rsid w:val="008E27AD"/>
    <w:rsid w:val="008E2BBC"/>
    <w:rsid w:val="008E2DA0"/>
    <w:rsid w:val="008E45FA"/>
    <w:rsid w:val="008E4AFF"/>
    <w:rsid w:val="008E4EF6"/>
    <w:rsid w:val="008E5A60"/>
    <w:rsid w:val="008E5DAF"/>
    <w:rsid w:val="008E69C3"/>
    <w:rsid w:val="008E6D25"/>
    <w:rsid w:val="008E789A"/>
    <w:rsid w:val="008E7A27"/>
    <w:rsid w:val="008E7A89"/>
    <w:rsid w:val="008F06B2"/>
    <w:rsid w:val="008F0883"/>
    <w:rsid w:val="008F0FA2"/>
    <w:rsid w:val="008F188F"/>
    <w:rsid w:val="008F1CEC"/>
    <w:rsid w:val="008F1EDF"/>
    <w:rsid w:val="008F2273"/>
    <w:rsid w:val="008F2639"/>
    <w:rsid w:val="008F2797"/>
    <w:rsid w:val="008F2ABB"/>
    <w:rsid w:val="008F2C46"/>
    <w:rsid w:val="008F485F"/>
    <w:rsid w:val="008F4F56"/>
    <w:rsid w:val="008F55A0"/>
    <w:rsid w:val="00900343"/>
    <w:rsid w:val="00900728"/>
    <w:rsid w:val="00901587"/>
    <w:rsid w:val="00901938"/>
    <w:rsid w:val="00901F50"/>
    <w:rsid w:val="00903982"/>
    <w:rsid w:val="0090513B"/>
    <w:rsid w:val="009065C9"/>
    <w:rsid w:val="00906719"/>
    <w:rsid w:val="00906F50"/>
    <w:rsid w:val="00910767"/>
    <w:rsid w:val="00911481"/>
    <w:rsid w:val="00911EC9"/>
    <w:rsid w:val="00912067"/>
    <w:rsid w:val="0091248E"/>
    <w:rsid w:val="00912CD2"/>
    <w:rsid w:val="00913B8E"/>
    <w:rsid w:val="009146AF"/>
    <w:rsid w:val="0091470F"/>
    <w:rsid w:val="00914C2D"/>
    <w:rsid w:val="00915D8A"/>
    <w:rsid w:val="00916962"/>
    <w:rsid w:val="00916A63"/>
    <w:rsid w:val="00917844"/>
    <w:rsid w:val="00920CB1"/>
    <w:rsid w:val="00920E17"/>
    <w:rsid w:val="009219AD"/>
    <w:rsid w:val="009223AE"/>
    <w:rsid w:val="00922B28"/>
    <w:rsid w:val="00923871"/>
    <w:rsid w:val="00923D22"/>
    <w:rsid w:val="00924070"/>
    <w:rsid w:val="009261AA"/>
    <w:rsid w:val="00926486"/>
    <w:rsid w:val="009267C6"/>
    <w:rsid w:val="0093147E"/>
    <w:rsid w:val="009314EB"/>
    <w:rsid w:val="009319F9"/>
    <w:rsid w:val="00932547"/>
    <w:rsid w:val="00932A2F"/>
    <w:rsid w:val="009332FF"/>
    <w:rsid w:val="009339E0"/>
    <w:rsid w:val="00934678"/>
    <w:rsid w:val="00934958"/>
    <w:rsid w:val="00934EA9"/>
    <w:rsid w:val="009352EF"/>
    <w:rsid w:val="00935C3A"/>
    <w:rsid w:val="0093677C"/>
    <w:rsid w:val="009378A8"/>
    <w:rsid w:val="00937A89"/>
    <w:rsid w:val="00937E64"/>
    <w:rsid w:val="00940428"/>
    <w:rsid w:val="00940B68"/>
    <w:rsid w:val="0094141F"/>
    <w:rsid w:val="00941A00"/>
    <w:rsid w:val="00942476"/>
    <w:rsid w:val="00942922"/>
    <w:rsid w:val="00943129"/>
    <w:rsid w:val="00943FA5"/>
    <w:rsid w:val="00945268"/>
    <w:rsid w:val="0094530F"/>
    <w:rsid w:val="00945869"/>
    <w:rsid w:val="00947380"/>
    <w:rsid w:val="00947DE7"/>
    <w:rsid w:val="0095040C"/>
    <w:rsid w:val="009519EE"/>
    <w:rsid w:val="00951BE6"/>
    <w:rsid w:val="00951D95"/>
    <w:rsid w:val="00952EF7"/>
    <w:rsid w:val="009530D6"/>
    <w:rsid w:val="00953533"/>
    <w:rsid w:val="00954FB5"/>
    <w:rsid w:val="00955313"/>
    <w:rsid w:val="0095593D"/>
    <w:rsid w:val="00955E15"/>
    <w:rsid w:val="00955F6E"/>
    <w:rsid w:val="0095672E"/>
    <w:rsid w:val="00956D24"/>
    <w:rsid w:val="00956EA5"/>
    <w:rsid w:val="00956F90"/>
    <w:rsid w:val="009576D6"/>
    <w:rsid w:val="00957F4F"/>
    <w:rsid w:val="0096027C"/>
    <w:rsid w:val="00960B99"/>
    <w:rsid w:val="00961E26"/>
    <w:rsid w:val="009630A5"/>
    <w:rsid w:val="009631D7"/>
    <w:rsid w:val="009648FD"/>
    <w:rsid w:val="00964BCA"/>
    <w:rsid w:val="00964CF3"/>
    <w:rsid w:val="009660CB"/>
    <w:rsid w:val="00970A9E"/>
    <w:rsid w:val="00970B38"/>
    <w:rsid w:val="00971CC9"/>
    <w:rsid w:val="0097312C"/>
    <w:rsid w:val="00973BED"/>
    <w:rsid w:val="009742C4"/>
    <w:rsid w:val="009746FB"/>
    <w:rsid w:val="00975232"/>
    <w:rsid w:val="00975534"/>
    <w:rsid w:val="009761AD"/>
    <w:rsid w:val="00976FA8"/>
    <w:rsid w:val="00977A56"/>
    <w:rsid w:val="009813FA"/>
    <w:rsid w:val="00981496"/>
    <w:rsid w:val="00981585"/>
    <w:rsid w:val="009815D5"/>
    <w:rsid w:val="0098199C"/>
    <w:rsid w:val="009819E6"/>
    <w:rsid w:val="00981C91"/>
    <w:rsid w:val="00981CE8"/>
    <w:rsid w:val="00982134"/>
    <w:rsid w:val="00982F9D"/>
    <w:rsid w:val="009841A0"/>
    <w:rsid w:val="00984486"/>
    <w:rsid w:val="00984A01"/>
    <w:rsid w:val="00984D56"/>
    <w:rsid w:val="009850CC"/>
    <w:rsid w:val="00985103"/>
    <w:rsid w:val="0098536A"/>
    <w:rsid w:val="00986D17"/>
    <w:rsid w:val="009877C5"/>
    <w:rsid w:val="009879D3"/>
    <w:rsid w:val="00987AF0"/>
    <w:rsid w:val="00987B59"/>
    <w:rsid w:val="00990029"/>
    <w:rsid w:val="00990232"/>
    <w:rsid w:val="00990B05"/>
    <w:rsid w:val="00994EA3"/>
    <w:rsid w:val="00994EE5"/>
    <w:rsid w:val="00995912"/>
    <w:rsid w:val="00996DC8"/>
    <w:rsid w:val="00997A21"/>
    <w:rsid w:val="009A06E9"/>
    <w:rsid w:val="009A164D"/>
    <w:rsid w:val="009A1F29"/>
    <w:rsid w:val="009A39EF"/>
    <w:rsid w:val="009A3D67"/>
    <w:rsid w:val="009A49FD"/>
    <w:rsid w:val="009A49FE"/>
    <w:rsid w:val="009A4E22"/>
    <w:rsid w:val="009A51A7"/>
    <w:rsid w:val="009A654A"/>
    <w:rsid w:val="009A6586"/>
    <w:rsid w:val="009A6807"/>
    <w:rsid w:val="009A7016"/>
    <w:rsid w:val="009A7426"/>
    <w:rsid w:val="009A7DF1"/>
    <w:rsid w:val="009A7E30"/>
    <w:rsid w:val="009B09B8"/>
    <w:rsid w:val="009B0C5C"/>
    <w:rsid w:val="009B0C6C"/>
    <w:rsid w:val="009B1822"/>
    <w:rsid w:val="009B1CE7"/>
    <w:rsid w:val="009B216C"/>
    <w:rsid w:val="009B2AE1"/>
    <w:rsid w:val="009B3B9C"/>
    <w:rsid w:val="009B46D9"/>
    <w:rsid w:val="009B4B70"/>
    <w:rsid w:val="009B4F4D"/>
    <w:rsid w:val="009B5DE5"/>
    <w:rsid w:val="009B5F7E"/>
    <w:rsid w:val="009B6100"/>
    <w:rsid w:val="009B6177"/>
    <w:rsid w:val="009B633A"/>
    <w:rsid w:val="009B64C3"/>
    <w:rsid w:val="009B6B06"/>
    <w:rsid w:val="009B77E2"/>
    <w:rsid w:val="009C0000"/>
    <w:rsid w:val="009C04D3"/>
    <w:rsid w:val="009C236E"/>
    <w:rsid w:val="009C3063"/>
    <w:rsid w:val="009C32AC"/>
    <w:rsid w:val="009C351C"/>
    <w:rsid w:val="009C3BCF"/>
    <w:rsid w:val="009C3F91"/>
    <w:rsid w:val="009C48E7"/>
    <w:rsid w:val="009C545E"/>
    <w:rsid w:val="009C6E49"/>
    <w:rsid w:val="009D05B2"/>
    <w:rsid w:val="009D0794"/>
    <w:rsid w:val="009D0A6D"/>
    <w:rsid w:val="009D0CBA"/>
    <w:rsid w:val="009D0DF0"/>
    <w:rsid w:val="009D114C"/>
    <w:rsid w:val="009D16E1"/>
    <w:rsid w:val="009D2843"/>
    <w:rsid w:val="009D2B97"/>
    <w:rsid w:val="009D3BD9"/>
    <w:rsid w:val="009D48A1"/>
    <w:rsid w:val="009D4EFA"/>
    <w:rsid w:val="009D501B"/>
    <w:rsid w:val="009D626C"/>
    <w:rsid w:val="009D6C30"/>
    <w:rsid w:val="009E08FD"/>
    <w:rsid w:val="009E135A"/>
    <w:rsid w:val="009E17F8"/>
    <w:rsid w:val="009E29D9"/>
    <w:rsid w:val="009E34D0"/>
    <w:rsid w:val="009E3C26"/>
    <w:rsid w:val="009E40FF"/>
    <w:rsid w:val="009E45CC"/>
    <w:rsid w:val="009E481F"/>
    <w:rsid w:val="009E4B30"/>
    <w:rsid w:val="009E6551"/>
    <w:rsid w:val="009F0991"/>
    <w:rsid w:val="009F1F39"/>
    <w:rsid w:val="009F1FBF"/>
    <w:rsid w:val="009F3701"/>
    <w:rsid w:val="009F3F36"/>
    <w:rsid w:val="009F600F"/>
    <w:rsid w:val="009F62D1"/>
    <w:rsid w:val="009F635E"/>
    <w:rsid w:val="009F6FD5"/>
    <w:rsid w:val="00A008F4"/>
    <w:rsid w:val="00A00D68"/>
    <w:rsid w:val="00A01E44"/>
    <w:rsid w:val="00A01F4B"/>
    <w:rsid w:val="00A02C09"/>
    <w:rsid w:val="00A03273"/>
    <w:rsid w:val="00A0343B"/>
    <w:rsid w:val="00A047C7"/>
    <w:rsid w:val="00A047E5"/>
    <w:rsid w:val="00A050A0"/>
    <w:rsid w:val="00A05C9A"/>
    <w:rsid w:val="00A05ED4"/>
    <w:rsid w:val="00A070C4"/>
    <w:rsid w:val="00A07AB8"/>
    <w:rsid w:val="00A07BAE"/>
    <w:rsid w:val="00A1158B"/>
    <w:rsid w:val="00A11956"/>
    <w:rsid w:val="00A12200"/>
    <w:rsid w:val="00A12C72"/>
    <w:rsid w:val="00A12CDE"/>
    <w:rsid w:val="00A1324C"/>
    <w:rsid w:val="00A13609"/>
    <w:rsid w:val="00A13A17"/>
    <w:rsid w:val="00A1683B"/>
    <w:rsid w:val="00A16D9F"/>
    <w:rsid w:val="00A1762D"/>
    <w:rsid w:val="00A17A1C"/>
    <w:rsid w:val="00A20300"/>
    <w:rsid w:val="00A20FF5"/>
    <w:rsid w:val="00A210A3"/>
    <w:rsid w:val="00A210EA"/>
    <w:rsid w:val="00A2134F"/>
    <w:rsid w:val="00A2141E"/>
    <w:rsid w:val="00A21624"/>
    <w:rsid w:val="00A2288F"/>
    <w:rsid w:val="00A22D47"/>
    <w:rsid w:val="00A23042"/>
    <w:rsid w:val="00A24A4C"/>
    <w:rsid w:val="00A252C6"/>
    <w:rsid w:val="00A256FD"/>
    <w:rsid w:val="00A25A64"/>
    <w:rsid w:val="00A25ABB"/>
    <w:rsid w:val="00A26638"/>
    <w:rsid w:val="00A26728"/>
    <w:rsid w:val="00A26A1B"/>
    <w:rsid w:val="00A26E4A"/>
    <w:rsid w:val="00A30628"/>
    <w:rsid w:val="00A313CA"/>
    <w:rsid w:val="00A31557"/>
    <w:rsid w:val="00A3206B"/>
    <w:rsid w:val="00A32F97"/>
    <w:rsid w:val="00A33C19"/>
    <w:rsid w:val="00A34216"/>
    <w:rsid w:val="00A3452B"/>
    <w:rsid w:val="00A34619"/>
    <w:rsid w:val="00A35126"/>
    <w:rsid w:val="00A35B3E"/>
    <w:rsid w:val="00A36F22"/>
    <w:rsid w:val="00A407A3"/>
    <w:rsid w:val="00A40B50"/>
    <w:rsid w:val="00A40FBF"/>
    <w:rsid w:val="00A4114C"/>
    <w:rsid w:val="00A412FC"/>
    <w:rsid w:val="00A41431"/>
    <w:rsid w:val="00A41B7E"/>
    <w:rsid w:val="00A42468"/>
    <w:rsid w:val="00A42BCE"/>
    <w:rsid w:val="00A42CBE"/>
    <w:rsid w:val="00A44BDB"/>
    <w:rsid w:val="00A44DD9"/>
    <w:rsid w:val="00A46D25"/>
    <w:rsid w:val="00A50B42"/>
    <w:rsid w:val="00A515AA"/>
    <w:rsid w:val="00A518A9"/>
    <w:rsid w:val="00A52132"/>
    <w:rsid w:val="00A52464"/>
    <w:rsid w:val="00A524EC"/>
    <w:rsid w:val="00A52716"/>
    <w:rsid w:val="00A52AF4"/>
    <w:rsid w:val="00A539BF"/>
    <w:rsid w:val="00A55500"/>
    <w:rsid w:val="00A55F8D"/>
    <w:rsid w:val="00A5612C"/>
    <w:rsid w:val="00A56B4A"/>
    <w:rsid w:val="00A57450"/>
    <w:rsid w:val="00A57B06"/>
    <w:rsid w:val="00A57DFB"/>
    <w:rsid w:val="00A60CA2"/>
    <w:rsid w:val="00A60EAD"/>
    <w:rsid w:val="00A62A03"/>
    <w:rsid w:val="00A63597"/>
    <w:rsid w:val="00A635FF"/>
    <w:rsid w:val="00A63C9C"/>
    <w:rsid w:val="00A6499E"/>
    <w:rsid w:val="00A65819"/>
    <w:rsid w:val="00A663E9"/>
    <w:rsid w:val="00A6667A"/>
    <w:rsid w:val="00A66B41"/>
    <w:rsid w:val="00A66F79"/>
    <w:rsid w:val="00A71076"/>
    <w:rsid w:val="00A7111F"/>
    <w:rsid w:val="00A72A89"/>
    <w:rsid w:val="00A72C2D"/>
    <w:rsid w:val="00A72E8F"/>
    <w:rsid w:val="00A73119"/>
    <w:rsid w:val="00A733BA"/>
    <w:rsid w:val="00A73A41"/>
    <w:rsid w:val="00A740EF"/>
    <w:rsid w:val="00A74263"/>
    <w:rsid w:val="00A74707"/>
    <w:rsid w:val="00A750E9"/>
    <w:rsid w:val="00A75169"/>
    <w:rsid w:val="00A75825"/>
    <w:rsid w:val="00A759A0"/>
    <w:rsid w:val="00A7624C"/>
    <w:rsid w:val="00A765D0"/>
    <w:rsid w:val="00A7682D"/>
    <w:rsid w:val="00A7732D"/>
    <w:rsid w:val="00A80B3C"/>
    <w:rsid w:val="00A81E5A"/>
    <w:rsid w:val="00A82927"/>
    <w:rsid w:val="00A82F2B"/>
    <w:rsid w:val="00A8352B"/>
    <w:rsid w:val="00A835BD"/>
    <w:rsid w:val="00A83A41"/>
    <w:rsid w:val="00A83FA3"/>
    <w:rsid w:val="00A8471E"/>
    <w:rsid w:val="00A8580C"/>
    <w:rsid w:val="00A86CF0"/>
    <w:rsid w:val="00A90442"/>
    <w:rsid w:val="00A9058F"/>
    <w:rsid w:val="00A911EE"/>
    <w:rsid w:val="00A91497"/>
    <w:rsid w:val="00A91C24"/>
    <w:rsid w:val="00A9231B"/>
    <w:rsid w:val="00A9247D"/>
    <w:rsid w:val="00A94561"/>
    <w:rsid w:val="00A94C03"/>
    <w:rsid w:val="00A9533E"/>
    <w:rsid w:val="00A95C1D"/>
    <w:rsid w:val="00A96B92"/>
    <w:rsid w:val="00A97059"/>
    <w:rsid w:val="00A97124"/>
    <w:rsid w:val="00A973AE"/>
    <w:rsid w:val="00AA0C30"/>
    <w:rsid w:val="00AA19BF"/>
    <w:rsid w:val="00AA1B1D"/>
    <w:rsid w:val="00AA1E04"/>
    <w:rsid w:val="00AA1E48"/>
    <w:rsid w:val="00AA216A"/>
    <w:rsid w:val="00AA3ED3"/>
    <w:rsid w:val="00AA4146"/>
    <w:rsid w:val="00AA4275"/>
    <w:rsid w:val="00AA4505"/>
    <w:rsid w:val="00AA6298"/>
    <w:rsid w:val="00AA6D7C"/>
    <w:rsid w:val="00AA72C7"/>
    <w:rsid w:val="00AA7637"/>
    <w:rsid w:val="00AA7EFA"/>
    <w:rsid w:val="00AB05DC"/>
    <w:rsid w:val="00AB0A63"/>
    <w:rsid w:val="00AB0EA4"/>
    <w:rsid w:val="00AB0F53"/>
    <w:rsid w:val="00AB1C3E"/>
    <w:rsid w:val="00AB38A5"/>
    <w:rsid w:val="00AB3CBC"/>
    <w:rsid w:val="00AB4855"/>
    <w:rsid w:val="00AB4CF5"/>
    <w:rsid w:val="00AB53D2"/>
    <w:rsid w:val="00AB5F31"/>
    <w:rsid w:val="00AB6183"/>
    <w:rsid w:val="00AB7261"/>
    <w:rsid w:val="00AB75E5"/>
    <w:rsid w:val="00AB7850"/>
    <w:rsid w:val="00AB7C39"/>
    <w:rsid w:val="00AC0BC2"/>
    <w:rsid w:val="00AC2570"/>
    <w:rsid w:val="00AC288B"/>
    <w:rsid w:val="00AC2AB5"/>
    <w:rsid w:val="00AC3739"/>
    <w:rsid w:val="00AC3B87"/>
    <w:rsid w:val="00AC3F56"/>
    <w:rsid w:val="00AC4C70"/>
    <w:rsid w:val="00AC5581"/>
    <w:rsid w:val="00AC590A"/>
    <w:rsid w:val="00AC5DFE"/>
    <w:rsid w:val="00AC5E53"/>
    <w:rsid w:val="00AC5F6A"/>
    <w:rsid w:val="00AC612A"/>
    <w:rsid w:val="00AC620D"/>
    <w:rsid w:val="00AC6680"/>
    <w:rsid w:val="00AC6B4C"/>
    <w:rsid w:val="00AC6B4F"/>
    <w:rsid w:val="00AD007B"/>
    <w:rsid w:val="00AD0A1F"/>
    <w:rsid w:val="00AD0A32"/>
    <w:rsid w:val="00AD124B"/>
    <w:rsid w:val="00AD12E2"/>
    <w:rsid w:val="00AD162F"/>
    <w:rsid w:val="00AD1668"/>
    <w:rsid w:val="00AD3C52"/>
    <w:rsid w:val="00AD4F81"/>
    <w:rsid w:val="00AD5232"/>
    <w:rsid w:val="00AD5DB1"/>
    <w:rsid w:val="00AE0C92"/>
    <w:rsid w:val="00AE1062"/>
    <w:rsid w:val="00AE1C9F"/>
    <w:rsid w:val="00AE2398"/>
    <w:rsid w:val="00AE2CA2"/>
    <w:rsid w:val="00AE2D84"/>
    <w:rsid w:val="00AE33B7"/>
    <w:rsid w:val="00AE4467"/>
    <w:rsid w:val="00AE4D49"/>
    <w:rsid w:val="00AE4FD2"/>
    <w:rsid w:val="00AE5342"/>
    <w:rsid w:val="00AE5361"/>
    <w:rsid w:val="00AE6BA6"/>
    <w:rsid w:val="00AE7A4D"/>
    <w:rsid w:val="00AE7A5E"/>
    <w:rsid w:val="00AF17A3"/>
    <w:rsid w:val="00AF1CF3"/>
    <w:rsid w:val="00AF249A"/>
    <w:rsid w:val="00AF25C0"/>
    <w:rsid w:val="00AF2885"/>
    <w:rsid w:val="00AF3BA4"/>
    <w:rsid w:val="00AF41C7"/>
    <w:rsid w:val="00AF4289"/>
    <w:rsid w:val="00AF42C5"/>
    <w:rsid w:val="00AF4F9D"/>
    <w:rsid w:val="00AF54B3"/>
    <w:rsid w:val="00AF693C"/>
    <w:rsid w:val="00B015E1"/>
    <w:rsid w:val="00B01AC3"/>
    <w:rsid w:val="00B0277A"/>
    <w:rsid w:val="00B0325D"/>
    <w:rsid w:val="00B04566"/>
    <w:rsid w:val="00B04F94"/>
    <w:rsid w:val="00B051D2"/>
    <w:rsid w:val="00B065A4"/>
    <w:rsid w:val="00B069DC"/>
    <w:rsid w:val="00B0772A"/>
    <w:rsid w:val="00B077B8"/>
    <w:rsid w:val="00B079EC"/>
    <w:rsid w:val="00B07BAE"/>
    <w:rsid w:val="00B1034E"/>
    <w:rsid w:val="00B11050"/>
    <w:rsid w:val="00B1178A"/>
    <w:rsid w:val="00B12107"/>
    <w:rsid w:val="00B12A3F"/>
    <w:rsid w:val="00B1386B"/>
    <w:rsid w:val="00B13F32"/>
    <w:rsid w:val="00B15002"/>
    <w:rsid w:val="00B15838"/>
    <w:rsid w:val="00B15909"/>
    <w:rsid w:val="00B16457"/>
    <w:rsid w:val="00B16499"/>
    <w:rsid w:val="00B1701F"/>
    <w:rsid w:val="00B1737D"/>
    <w:rsid w:val="00B17C86"/>
    <w:rsid w:val="00B211D8"/>
    <w:rsid w:val="00B21989"/>
    <w:rsid w:val="00B21F83"/>
    <w:rsid w:val="00B2306F"/>
    <w:rsid w:val="00B2389B"/>
    <w:rsid w:val="00B23BF1"/>
    <w:rsid w:val="00B23D7D"/>
    <w:rsid w:val="00B23E1E"/>
    <w:rsid w:val="00B25698"/>
    <w:rsid w:val="00B263B1"/>
    <w:rsid w:val="00B26661"/>
    <w:rsid w:val="00B26857"/>
    <w:rsid w:val="00B2792E"/>
    <w:rsid w:val="00B302BF"/>
    <w:rsid w:val="00B3071D"/>
    <w:rsid w:val="00B30A3E"/>
    <w:rsid w:val="00B30F0F"/>
    <w:rsid w:val="00B31C49"/>
    <w:rsid w:val="00B322F5"/>
    <w:rsid w:val="00B324BB"/>
    <w:rsid w:val="00B32AE6"/>
    <w:rsid w:val="00B32D23"/>
    <w:rsid w:val="00B33065"/>
    <w:rsid w:val="00B34D24"/>
    <w:rsid w:val="00B353E2"/>
    <w:rsid w:val="00B35679"/>
    <w:rsid w:val="00B35741"/>
    <w:rsid w:val="00B35783"/>
    <w:rsid w:val="00B37BF9"/>
    <w:rsid w:val="00B40F9E"/>
    <w:rsid w:val="00B4149C"/>
    <w:rsid w:val="00B4171B"/>
    <w:rsid w:val="00B418B9"/>
    <w:rsid w:val="00B41D14"/>
    <w:rsid w:val="00B42482"/>
    <w:rsid w:val="00B43B40"/>
    <w:rsid w:val="00B4482D"/>
    <w:rsid w:val="00B452DB"/>
    <w:rsid w:val="00B465A3"/>
    <w:rsid w:val="00B46AF2"/>
    <w:rsid w:val="00B47832"/>
    <w:rsid w:val="00B50089"/>
    <w:rsid w:val="00B50FC4"/>
    <w:rsid w:val="00B5114B"/>
    <w:rsid w:val="00B5418C"/>
    <w:rsid w:val="00B54DBE"/>
    <w:rsid w:val="00B555D5"/>
    <w:rsid w:val="00B5572F"/>
    <w:rsid w:val="00B55EF5"/>
    <w:rsid w:val="00B56249"/>
    <w:rsid w:val="00B568C5"/>
    <w:rsid w:val="00B578E1"/>
    <w:rsid w:val="00B57F07"/>
    <w:rsid w:val="00B57F22"/>
    <w:rsid w:val="00B604E7"/>
    <w:rsid w:val="00B60E04"/>
    <w:rsid w:val="00B61184"/>
    <w:rsid w:val="00B61209"/>
    <w:rsid w:val="00B613D5"/>
    <w:rsid w:val="00B61FE0"/>
    <w:rsid w:val="00B63DD3"/>
    <w:rsid w:val="00B651A9"/>
    <w:rsid w:val="00B6738C"/>
    <w:rsid w:val="00B67FF8"/>
    <w:rsid w:val="00B7078E"/>
    <w:rsid w:val="00B70F3C"/>
    <w:rsid w:val="00B71BBC"/>
    <w:rsid w:val="00B72072"/>
    <w:rsid w:val="00B7278B"/>
    <w:rsid w:val="00B73192"/>
    <w:rsid w:val="00B74016"/>
    <w:rsid w:val="00B74BE1"/>
    <w:rsid w:val="00B74F3B"/>
    <w:rsid w:val="00B755B1"/>
    <w:rsid w:val="00B756F8"/>
    <w:rsid w:val="00B75C72"/>
    <w:rsid w:val="00B766F1"/>
    <w:rsid w:val="00B816F7"/>
    <w:rsid w:val="00B824F7"/>
    <w:rsid w:val="00B82F79"/>
    <w:rsid w:val="00B83CDD"/>
    <w:rsid w:val="00B83D1C"/>
    <w:rsid w:val="00B8468F"/>
    <w:rsid w:val="00B85AC5"/>
    <w:rsid w:val="00B85E84"/>
    <w:rsid w:val="00B868EB"/>
    <w:rsid w:val="00B869B3"/>
    <w:rsid w:val="00B8780E"/>
    <w:rsid w:val="00B87D2C"/>
    <w:rsid w:val="00B9057C"/>
    <w:rsid w:val="00B91A87"/>
    <w:rsid w:val="00B91BD8"/>
    <w:rsid w:val="00B91D8B"/>
    <w:rsid w:val="00B921C1"/>
    <w:rsid w:val="00B9344D"/>
    <w:rsid w:val="00B939D3"/>
    <w:rsid w:val="00B955FC"/>
    <w:rsid w:val="00B9739F"/>
    <w:rsid w:val="00BA04A3"/>
    <w:rsid w:val="00BA09B9"/>
    <w:rsid w:val="00BA147D"/>
    <w:rsid w:val="00BA23AA"/>
    <w:rsid w:val="00BA2FE1"/>
    <w:rsid w:val="00BA31E8"/>
    <w:rsid w:val="00BA4CC1"/>
    <w:rsid w:val="00BA5651"/>
    <w:rsid w:val="00BA56E1"/>
    <w:rsid w:val="00BA5750"/>
    <w:rsid w:val="00BA6A97"/>
    <w:rsid w:val="00BA71E4"/>
    <w:rsid w:val="00BA7E3F"/>
    <w:rsid w:val="00BB0227"/>
    <w:rsid w:val="00BB0C70"/>
    <w:rsid w:val="00BB1224"/>
    <w:rsid w:val="00BB1A71"/>
    <w:rsid w:val="00BB1B03"/>
    <w:rsid w:val="00BB1E19"/>
    <w:rsid w:val="00BB2D62"/>
    <w:rsid w:val="00BB3248"/>
    <w:rsid w:val="00BB34FE"/>
    <w:rsid w:val="00BB3EB1"/>
    <w:rsid w:val="00BB6637"/>
    <w:rsid w:val="00BB6799"/>
    <w:rsid w:val="00BB6D97"/>
    <w:rsid w:val="00BC17FA"/>
    <w:rsid w:val="00BC1BA2"/>
    <w:rsid w:val="00BC2361"/>
    <w:rsid w:val="00BC240B"/>
    <w:rsid w:val="00BC2976"/>
    <w:rsid w:val="00BC3B5D"/>
    <w:rsid w:val="00BC3EBE"/>
    <w:rsid w:val="00BC408B"/>
    <w:rsid w:val="00BC60BB"/>
    <w:rsid w:val="00BC61F7"/>
    <w:rsid w:val="00BC63EB"/>
    <w:rsid w:val="00BC67C1"/>
    <w:rsid w:val="00BC6A68"/>
    <w:rsid w:val="00BC6CE6"/>
    <w:rsid w:val="00BC72E4"/>
    <w:rsid w:val="00BC7DC2"/>
    <w:rsid w:val="00BD215A"/>
    <w:rsid w:val="00BD307A"/>
    <w:rsid w:val="00BD31D1"/>
    <w:rsid w:val="00BD394A"/>
    <w:rsid w:val="00BD3F2E"/>
    <w:rsid w:val="00BD441F"/>
    <w:rsid w:val="00BD51D9"/>
    <w:rsid w:val="00BD69EF"/>
    <w:rsid w:val="00BD6EFA"/>
    <w:rsid w:val="00BD75C1"/>
    <w:rsid w:val="00BD7B17"/>
    <w:rsid w:val="00BD7FA0"/>
    <w:rsid w:val="00BE113E"/>
    <w:rsid w:val="00BE2598"/>
    <w:rsid w:val="00BE2968"/>
    <w:rsid w:val="00BE2F52"/>
    <w:rsid w:val="00BE2F55"/>
    <w:rsid w:val="00BE3607"/>
    <w:rsid w:val="00BE38B8"/>
    <w:rsid w:val="00BE4452"/>
    <w:rsid w:val="00BE5E23"/>
    <w:rsid w:val="00BE6205"/>
    <w:rsid w:val="00BE69BE"/>
    <w:rsid w:val="00BE76B4"/>
    <w:rsid w:val="00BE7C1D"/>
    <w:rsid w:val="00BF1E5D"/>
    <w:rsid w:val="00BF2A4F"/>
    <w:rsid w:val="00BF3E5D"/>
    <w:rsid w:val="00BF4F8F"/>
    <w:rsid w:val="00BF4FAB"/>
    <w:rsid w:val="00BF78C2"/>
    <w:rsid w:val="00BF78CE"/>
    <w:rsid w:val="00C006FA"/>
    <w:rsid w:val="00C00D87"/>
    <w:rsid w:val="00C00E3B"/>
    <w:rsid w:val="00C00EB3"/>
    <w:rsid w:val="00C026DF"/>
    <w:rsid w:val="00C02F47"/>
    <w:rsid w:val="00C03AE7"/>
    <w:rsid w:val="00C03EED"/>
    <w:rsid w:val="00C06D52"/>
    <w:rsid w:val="00C0724E"/>
    <w:rsid w:val="00C10918"/>
    <w:rsid w:val="00C10C41"/>
    <w:rsid w:val="00C11CDC"/>
    <w:rsid w:val="00C11FCB"/>
    <w:rsid w:val="00C1252F"/>
    <w:rsid w:val="00C1263E"/>
    <w:rsid w:val="00C14EE8"/>
    <w:rsid w:val="00C1559D"/>
    <w:rsid w:val="00C157A0"/>
    <w:rsid w:val="00C158A2"/>
    <w:rsid w:val="00C15C7B"/>
    <w:rsid w:val="00C16DCD"/>
    <w:rsid w:val="00C17803"/>
    <w:rsid w:val="00C22E32"/>
    <w:rsid w:val="00C25D5B"/>
    <w:rsid w:val="00C25DE6"/>
    <w:rsid w:val="00C2645A"/>
    <w:rsid w:val="00C2674A"/>
    <w:rsid w:val="00C26B13"/>
    <w:rsid w:val="00C274F2"/>
    <w:rsid w:val="00C277D5"/>
    <w:rsid w:val="00C30C3C"/>
    <w:rsid w:val="00C31179"/>
    <w:rsid w:val="00C31EE6"/>
    <w:rsid w:val="00C32408"/>
    <w:rsid w:val="00C32E8B"/>
    <w:rsid w:val="00C32EAE"/>
    <w:rsid w:val="00C32FAA"/>
    <w:rsid w:val="00C33971"/>
    <w:rsid w:val="00C34847"/>
    <w:rsid w:val="00C36515"/>
    <w:rsid w:val="00C3661F"/>
    <w:rsid w:val="00C370A0"/>
    <w:rsid w:val="00C37C95"/>
    <w:rsid w:val="00C41B20"/>
    <w:rsid w:val="00C43523"/>
    <w:rsid w:val="00C43DB4"/>
    <w:rsid w:val="00C44B22"/>
    <w:rsid w:val="00C457BE"/>
    <w:rsid w:val="00C4674C"/>
    <w:rsid w:val="00C468B2"/>
    <w:rsid w:val="00C4726F"/>
    <w:rsid w:val="00C4753E"/>
    <w:rsid w:val="00C47D37"/>
    <w:rsid w:val="00C47F5E"/>
    <w:rsid w:val="00C501B5"/>
    <w:rsid w:val="00C5174D"/>
    <w:rsid w:val="00C521C4"/>
    <w:rsid w:val="00C52CA3"/>
    <w:rsid w:val="00C531CC"/>
    <w:rsid w:val="00C53FA0"/>
    <w:rsid w:val="00C550D5"/>
    <w:rsid w:val="00C55AED"/>
    <w:rsid w:val="00C564A6"/>
    <w:rsid w:val="00C56B99"/>
    <w:rsid w:val="00C6008E"/>
    <w:rsid w:val="00C60E54"/>
    <w:rsid w:val="00C6145E"/>
    <w:rsid w:val="00C62411"/>
    <w:rsid w:val="00C63128"/>
    <w:rsid w:val="00C63A98"/>
    <w:rsid w:val="00C6418B"/>
    <w:rsid w:val="00C6446D"/>
    <w:rsid w:val="00C64582"/>
    <w:rsid w:val="00C646EC"/>
    <w:rsid w:val="00C64C1B"/>
    <w:rsid w:val="00C64C6B"/>
    <w:rsid w:val="00C65D4D"/>
    <w:rsid w:val="00C662C1"/>
    <w:rsid w:val="00C66617"/>
    <w:rsid w:val="00C6711E"/>
    <w:rsid w:val="00C67A8A"/>
    <w:rsid w:val="00C67BB7"/>
    <w:rsid w:val="00C710FC"/>
    <w:rsid w:val="00C7113C"/>
    <w:rsid w:val="00C717B4"/>
    <w:rsid w:val="00C71804"/>
    <w:rsid w:val="00C71B0A"/>
    <w:rsid w:val="00C7249F"/>
    <w:rsid w:val="00C725BD"/>
    <w:rsid w:val="00C72BB9"/>
    <w:rsid w:val="00C734C0"/>
    <w:rsid w:val="00C74ECB"/>
    <w:rsid w:val="00C75035"/>
    <w:rsid w:val="00C755A9"/>
    <w:rsid w:val="00C760C3"/>
    <w:rsid w:val="00C769D2"/>
    <w:rsid w:val="00C76F7D"/>
    <w:rsid w:val="00C77D4E"/>
    <w:rsid w:val="00C8068E"/>
    <w:rsid w:val="00C8149D"/>
    <w:rsid w:val="00C81D98"/>
    <w:rsid w:val="00C8250A"/>
    <w:rsid w:val="00C829AE"/>
    <w:rsid w:val="00C82A19"/>
    <w:rsid w:val="00C832EC"/>
    <w:rsid w:val="00C838D4"/>
    <w:rsid w:val="00C83BC4"/>
    <w:rsid w:val="00C855C1"/>
    <w:rsid w:val="00C85679"/>
    <w:rsid w:val="00C85ADB"/>
    <w:rsid w:val="00C85D9D"/>
    <w:rsid w:val="00C86003"/>
    <w:rsid w:val="00C866D4"/>
    <w:rsid w:val="00C86EC6"/>
    <w:rsid w:val="00C90611"/>
    <w:rsid w:val="00C90FF6"/>
    <w:rsid w:val="00C918AF"/>
    <w:rsid w:val="00C91CA0"/>
    <w:rsid w:val="00C91D75"/>
    <w:rsid w:val="00C922ED"/>
    <w:rsid w:val="00C92997"/>
    <w:rsid w:val="00C92ED1"/>
    <w:rsid w:val="00C9329C"/>
    <w:rsid w:val="00C93BA5"/>
    <w:rsid w:val="00C94EC9"/>
    <w:rsid w:val="00C96078"/>
    <w:rsid w:val="00C96173"/>
    <w:rsid w:val="00C961BC"/>
    <w:rsid w:val="00C96430"/>
    <w:rsid w:val="00C9655D"/>
    <w:rsid w:val="00C9773F"/>
    <w:rsid w:val="00C97D71"/>
    <w:rsid w:val="00CA0124"/>
    <w:rsid w:val="00CA31E0"/>
    <w:rsid w:val="00CA5F43"/>
    <w:rsid w:val="00CA5FF0"/>
    <w:rsid w:val="00CA7415"/>
    <w:rsid w:val="00CA7887"/>
    <w:rsid w:val="00CA7AA3"/>
    <w:rsid w:val="00CB0413"/>
    <w:rsid w:val="00CB06AE"/>
    <w:rsid w:val="00CB083E"/>
    <w:rsid w:val="00CB1094"/>
    <w:rsid w:val="00CB3E11"/>
    <w:rsid w:val="00CB3E8D"/>
    <w:rsid w:val="00CB42AB"/>
    <w:rsid w:val="00CB60C8"/>
    <w:rsid w:val="00CB6BA3"/>
    <w:rsid w:val="00CB6DB0"/>
    <w:rsid w:val="00CB6F2F"/>
    <w:rsid w:val="00CB75D2"/>
    <w:rsid w:val="00CB7C3B"/>
    <w:rsid w:val="00CC0093"/>
    <w:rsid w:val="00CC03D0"/>
    <w:rsid w:val="00CC0BC8"/>
    <w:rsid w:val="00CC17AF"/>
    <w:rsid w:val="00CC199A"/>
    <w:rsid w:val="00CC219C"/>
    <w:rsid w:val="00CC22D3"/>
    <w:rsid w:val="00CC3EA9"/>
    <w:rsid w:val="00CC41B1"/>
    <w:rsid w:val="00CC54F4"/>
    <w:rsid w:val="00CC55E0"/>
    <w:rsid w:val="00CC7CBE"/>
    <w:rsid w:val="00CD1EEB"/>
    <w:rsid w:val="00CD2A44"/>
    <w:rsid w:val="00CD35D0"/>
    <w:rsid w:val="00CD5E87"/>
    <w:rsid w:val="00CD6DC5"/>
    <w:rsid w:val="00CD6E60"/>
    <w:rsid w:val="00CD6F8B"/>
    <w:rsid w:val="00CD7277"/>
    <w:rsid w:val="00CD7747"/>
    <w:rsid w:val="00CD7972"/>
    <w:rsid w:val="00CE04FB"/>
    <w:rsid w:val="00CE15A0"/>
    <w:rsid w:val="00CE1613"/>
    <w:rsid w:val="00CE2974"/>
    <w:rsid w:val="00CE2A54"/>
    <w:rsid w:val="00CE380F"/>
    <w:rsid w:val="00CE417B"/>
    <w:rsid w:val="00CE435B"/>
    <w:rsid w:val="00CE47B2"/>
    <w:rsid w:val="00CE4D4D"/>
    <w:rsid w:val="00CE502C"/>
    <w:rsid w:val="00CE596F"/>
    <w:rsid w:val="00CE76D3"/>
    <w:rsid w:val="00CE7E16"/>
    <w:rsid w:val="00CE7EE7"/>
    <w:rsid w:val="00CF0B50"/>
    <w:rsid w:val="00CF0D26"/>
    <w:rsid w:val="00CF184F"/>
    <w:rsid w:val="00CF1A56"/>
    <w:rsid w:val="00CF2485"/>
    <w:rsid w:val="00CF26E2"/>
    <w:rsid w:val="00CF33C4"/>
    <w:rsid w:val="00CF388A"/>
    <w:rsid w:val="00CF4BC7"/>
    <w:rsid w:val="00CF4FC3"/>
    <w:rsid w:val="00CF5825"/>
    <w:rsid w:val="00CF5AB8"/>
    <w:rsid w:val="00CF5CDE"/>
    <w:rsid w:val="00CF62C9"/>
    <w:rsid w:val="00CF70DB"/>
    <w:rsid w:val="00CF7AB7"/>
    <w:rsid w:val="00CF7B7C"/>
    <w:rsid w:val="00D01B44"/>
    <w:rsid w:val="00D0298A"/>
    <w:rsid w:val="00D02DAD"/>
    <w:rsid w:val="00D07114"/>
    <w:rsid w:val="00D07EE9"/>
    <w:rsid w:val="00D111EC"/>
    <w:rsid w:val="00D127E5"/>
    <w:rsid w:val="00D13444"/>
    <w:rsid w:val="00D13CAD"/>
    <w:rsid w:val="00D14304"/>
    <w:rsid w:val="00D1454C"/>
    <w:rsid w:val="00D14B5D"/>
    <w:rsid w:val="00D15007"/>
    <w:rsid w:val="00D15189"/>
    <w:rsid w:val="00D15EAD"/>
    <w:rsid w:val="00D16C18"/>
    <w:rsid w:val="00D17252"/>
    <w:rsid w:val="00D17561"/>
    <w:rsid w:val="00D176DC"/>
    <w:rsid w:val="00D17F77"/>
    <w:rsid w:val="00D20D5F"/>
    <w:rsid w:val="00D20EE6"/>
    <w:rsid w:val="00D21551"/>
    <w:rsid w:val="00D2528E"/>
    <w:rsid w:val="00D25F5E"/>
    <w:rsid w:val="00D266B6"/>
    <w:rsid w:val="00D27216"/>
    <w:rsid w:val="00D27257"/>
    <w:rsid w:val="00D27C23"/>
    <w:rsid w:val="00D300A0"/>
    <w:rsid w:val="00D3063D"/>
    <w:rsid w:val="00D30897"/>
    <w:rsid w:val="00D3093C"/>
    <w:rsid w:val="00D3101E"/>
    <w:rsid w:val="00D313F7"/>
    <w:rsid w:val="00D3190A"/>
    <w:rsid w:val="00D31B5E"/>
    <w:rsid w:val="00D32874"/>
    <w:rsid w:val="00D32EF4"/>
    <w:rsid w:val="00D34D7F"/>
    <w:rsid w:val="00D3553A"/>
    <w:rsid w:val="00D35870"/>
    <w:rsid w:val="00D3631B"/>
    <w:rsid w:val="00D366BD"/>
    <w:rsid w:val="00D366C8"/>
    <w:rsid w:val="00D3718C"/>
    <w:rsid w:val="00D37F9E"/>
    <w:rsid w:val="00D4038B"/>
    <w:rsid w:val="00D40645"/>
    <w:rsid w:val="00D406A7"/>
    <w:rsid w:val="00D4070D"/>
    <w:rsid w:val="00D40F97"/>
    <w:rsid w:val="00D40FDB"/>
    <w:rsid w:val="00D41701"/>
    <w:rsid w:val="00D41E2A"/>
    <w:rsid w:val="00D41F0B"/>
    <w:rsid w:val="00D425A8"/>
    <w:rsid w:val="00D428EF"/>
    <w:rsid w:val="00D42FF3"/>
    <w:rsid w:val="00D430AD"/>
    <w:rsid w:val="00D43A0D"/>
    <w:rsid w:val="00D44BE7"/>
    <w:rsid w:val="00D4539F"/>
    <w:rsid w:val="00D453CA"/>
    <w:rsid w:val="00D45D82"/>
    <w:rsid w:val="00D46237"/>
    <w:rsid w:val="00D47BFB"/>
    <w:rsid w:val="00D47E31"/>
    <w:rsid w:val="00D47E94"/>
    <w:rsid w:val="00D506EF"/>
    <w:rsid w:val="00D51050"/>
    <w:rsid w:val="00D51972"/>
    <w:rsid w:val="00D52548"/>
    <w:rsid w:val="00D53A98"/>
    <w:rsid w:val="00D56F27"/>
    <w:rsid w:val="00D579D7"/>
    <w:rsid w:val="00D61469"/>
    <w:rsid w:val="00D614FA"/>
    <w:rsid w:val="00D61D94"/>
    <w:rsid w:val="00D626B8"/>
    <w:rsid w:val="00D62A86"/>
    <w:rsid w:val="00D63A91"/>
    <w:rsid w:val="00D65D3F"/>
    <w:rsid w:val="00D666DE"/>
    <w:rsid w:val="00D66A70"/>
    <w:rsid w:val="00D66BD3"/>
    <w:rsid w:val="00D7110B"/>
    <w:rsid w:val="00D715BD"/>
    <w:rsid w:val="00D717E6"/>
    <w:rsid w:val="00D7190C"/>
    <w:rsid w:val="00D71CE0"/>
    <w:rsid w:val="00D71D19"/>
    <w:rsid w:val="00D71DEE"/>
    <w:rsid w:val="00D73999"/>
    <w:rsid w:val="00D73B4D"/>
    <w:rsid w:val="00D747E0"/>
    <w:rsid w:val="00D75DD2"/>
    <w:rsid w:val="00D76629"/>
    <w:rsid w:val="00D77B1C"/>
    <w:rsid w:val="00D77FA8"/>
    <w:rsid w:val="00D80897"/>
    <w:rsid w:val="00D80899"/>
    <w:rsid w:val="00D85F37"/>
    <w:rsid w:val="00D86560"/>
    <w:rsid w:val="00D8693C"/>
    <w:rsid w:val="00D87110"/>
    <w:rsid w:val="00D871FF"/>
    <w:rsid w:val="00D9168C"/>
    <w:rsid w:val="00D92213"/>
    <w:rsid w:val="00D923B3"/>
    <w:rsid w:val="00D935F1"/>
    <w:rsid w:val="00D94323"/>
    <w:rsid w:val="00D9448A"/>
    <w:rsid w:val="00D94B2C"/>
    <w:rsid w:val="00D9523F"/>
    <w:rsid w:val="00D96C3F"/>
    <w:rsid w:val="00D9759F"/>
    <w:rsid w:val="00DA0EAA"/>
    <w:rsid w:val="00DA151B"/>
    <w:rsid w:val="00DA23A1"/>
    <w:rsid w:val="00DA26CD"/>
    <w:rsid w:val="00DA3D42"/>
    <w:rsid w:val="00DA3F46"/>
    <w:rsid w:val="00DA40D4"/>
    <w:rsid w:val="00DA5515"/>
    <w:rsid w:val="00DA712B"/>
    <w:rsid w:val="00DA713E"/>
    <w:rsid w:val="00DA768B"/>
    <w:rsid w:val="00DA7AD1"/>
    <w:rsid w:val="00DA7C2F"/>
    <w:rsid w:val="00DB0C4E"/>
    <w:rsid w:val="00DB291E"/>
    <w:rsid w:val="00DB2C37"/>
    <w:rsid w:val="00DB3234"/>
    <w:rsid w:val="00DB3579"/>
    <w:rsid w:val="00DB415C"/>
    <w:rsid w:val="00DB5FF5"/>
    <w:rsid w:val="00DB6F68"/>
    <w:rsid w:val="00DC0E44"/>
    <w:rsid w:val="00DC1140"/>
    <w:rsid w:val="00DC30E9"/>
    <w:rsid w:val="00DC353A"/>
    <w:rsid w:val="00DC540C"/>
    <w:rsid w:val="00DC5ABE"/>
    <w:rsid w:val="00DC5F97"/>
    <w:rsid w:val="00DC601B"/>
    <w:rsid w:val="00DC6590"/>
    <w:rsid w:val="00DC6B3F"/>
    <w:rsid w:val="00DD0EC3"/>
    <w:rsid w:val="00DD10EE"/>
    <w:rsid w:val="00DD1AF2"/>
    <w:rsid w:val="00DD1E5F"/>
    <w:rsid w:val="00DD272F"/>
    <w:rsid w:val="00DD27EB"/>
    <w:rsid w:val="00DD2958"/>
    <w:rsid w:val="00DD3731"/>
    <w:rsid w:val="00DD3927"/>
    <w:rsid w:val="00DD459B"/>
    <w:rsid w:val="00DD7DF4"/>
    <w:rsid w:val="00DE0BBE"/>
    <w:rsid w:val="00DE209E"/>
    <w:rsid w:val="00DE2487"/>
    <w:rsid w:val="00DE2B92"/>
    <w:rsid w:val="00DE2E2E"/>
    <w:rsid w:val="00DE329B"/>
    <w:rsid w:val="00DE4358"/>
    <w:rsid w:val="00DE4DEA"/>
    <w:rsid w:val="00DE55C6"/>
    <w:rsid w:val="00DE5651"/>
    <w:rsid w:val="00DE5879"/>
    <w:rsid w:val="00DE663A"/>
    <w:rsid w:val="00DE78EC"/>
    <w:rsid w:val="00DF023B"/>
    <w:rsid w:val="00DF0903"/>
    <w:rsid w:val="00DF0F11"/>
    <w:rsid w:val="00DF107B"/>
    <w:rsid w:val="00DF162C"/>
    <w:rsid w:val="00DF1846"/>
    <w:rsid w:val="00DF1D0C"/>
    <w:rsid w:val="00DF2B9C"/>
    <w:rsid w:val="00DF3C13"/>
    <w:rsid w:val="00DF3E8B"/>
    <w:rsid w:val="00DF476D"/>
    <w:rsid w:val="00DF4D20"/>
    <w:rsid w:val="00DF55C3"/>
    <w:rsid w:val="00DF5B68"/>
    <w:rsid w:val="00DF5BDF"/>
    <w:rsid w:val="00DF5ED6"/>
    <w:rsid w:val="00DF63EA"/>
    <w:rsid w:val="00E00107"/>
    <w:rsid w:val="00E001DE"/>
    <w:rsid w:val="00E00833"/>
    <w:rsid w:val="00E0090A"/>
    <w:rsid w:val="00E00E4D"/>
    <w:rsid w:val="00E00ED6"/>
    <w:rsid w:val="00E014C5"/>
    <w:rsid w:val="00E01653"/>
    <w:rsid w:val="00E01EED"/>
    <w:rsid w:val="00E02272"/>
    <w:rsid w:val="00E03074"/>
    <w:rsid w:val="00E03213"/>
    <w:rsid w:val="00E03C65"/>
    <w:rsid w:val="00E04087"/>
    <w:rsid w:val="00E0418A"/>
    <w:rsid w:val="00E04B8E"/>
    <w:rsid w:val="00E056F3"/>
    <w:rsid w:val="00E05831"/>
    <w:rsid w:val="00E059B5"/>
    <w:rsid w:val="00E05E76"/>
    <w:rsid w:val="00E11716"/>
    <w:rsid w:val="00E12234"/>
    <w:rsid w:val="00E12822"/>
    <w:rsid w:val="00E12AD6"/>
    <w:rsid w:val="00E12BED"/>
    <w:rsid w:val="00E12F8B"/>
    <w:rsid w:val="00E13761"/>
    <w:rsid w:val="00E139DD"/>
    <w:rsid w:val="00E14915"/>
    <w:rsid w:val="00E155B1"/>
    <w:rsid w:val="00E160D2"/>
    <w:rsid w:val="00E201A3"/>
    <w:rsid w:val="00E2023F"/>
    <w:rsid w:val="00E219B5"/>
    <w:rsid w:val="00E21B80"/>
    <w:rsid w:val="00E23619"/>
    <w:rsid w:val="00E23EDB"/>
    <w:rsid w:val="00E24BBD"/>
    <w:rsid w:val="00E24F02"/>
    <w:rsid w:val="00E268EE"/>
    <w:rsid w:val="00E270CB"/>
    <w:rsid w:val="00E27767"/>
    <w:rsid w:val="00E27FFD"/>
    <w:rsid w:val="00E32B0D"/>
    <w:rsid w:val="00E32D5A"/>
    <w:rsid w:val="00E33359"/>
    <w:rsid w:val="00E33714"/>
    <w:rsid w:val="00E33F8A"/>
    <w:rsid w:val="00E343B5"/>
    <w:rsid w:val="00E34B5C"/>
    <w:rsid w:val="00E36F1B"/>
    <w:rsid w:val="00E370E6"/>
    <w:rsid w:val="00E37543"/>
    <w:rsid w:val="00E40171"/>
    <w:rsid w:val="00E4193F"/>
    <w:rsid w:val="00E41D9D"/>
    <w:rsid w:val="00E437DD"/>
    <w:rsid w:val="00E43B33"/>
    <w:rsid w:val="00E43B98"/>
    <w:rsid w:val="00E44F1A"/>
    <w:rsid w:val="00E45398"/>
    <w:rsid w:val="00E46638"/>
    <w:rsid w:val="00E468D7"/>
    <w:rsid w:val="00E4696D"/>
    <w:rsid w:val="00E46C9A"/>
    <w:rsid w:val="00E46FA7"/>
    <w:rsid w:val="00E505F6"/>
    <w:rsid w:val="00E50840"/>
    <w:rsid w:val="00E50E47"/>
    <w:rsid w:val="00E510CD"/>
    <w:rsid w:val="00E51BE7"/>
    <w:rsid w:val="00E52607"/>
    <w:rsid w:val="00E54456"/>
    <w:rsid w:val="00E547DB"/>
    <w:rsid w:val="00E548D1"/>
    <w:rsid w:val="00E55634"/>
    <w:rsid w:val="00E55756"/>
    <w:rsid w:val="00E558E9"/>
    <w:rsid w:val="00E55E2C"/>
    <w:rsid w:val="00E55F57"/>
    <w:rsid w:val="00E56064"/>
    <w:rsid w:val="00E57C9D"/>
    <w:rsid w:val="00E57FC5"/>
    <w:rsid w:val="00E605F4"/>
    <w:rsid w:val="00E60CEA"/>
    <w:rsid w:val="00E60F27"/>
    <w:rsid w:val="00E61BCD"/>
    <w:rsid w:val="00E61EC2"/>
    <w:rsid w:val="00E62E09"/>
    <w:rsid w:val="00E635FF"/>
    <w:rsid w:val="00E64D38"/>
    <w:rsid w:val="00E650E4"/>
    <w:rsid w:val="00E6559C"/>
    <w:rsid w:val="00E65D36"/>
    <w:rsid w:val="00E66213"/>
    <w:rsid w:val="00E66AF5"/>
    <w:rsid w:val="00E678E0"/>
    <w:rsid w:val="00E716E2"/>
    <w:rsid w:val="00E726CB"/>
    <w:rsid w:val="00E745E9"/>
    <w:rsid w:val="00E7470B"/>
    <w:rsid w:val="00E752F1"/>
    <w:rsid w:val="00E7615D"/>
    <w:rsid w:val="00E7618B"/>
    <w:rsid w:val="00E7660D"/>
    <w:rsid w:val="00E767D7"/>
    <w:rsid w:val="00E769B3"/>
    <w:rsid w:val="00E76AB6"/>
    <w:rsid w:val="00E76CD7"/>
    <w:rsid w:val="00E770BF"/>
    <w:rsid w:val="00E771E0"/>
    <w:rsid w:val="00E80517"/>
    <w:rsid w:val="00E8083D"/>
    <w:rsid w:val="00E811D3"/>
    <w:rsid w:val="00E823E1"/>
    <w:rsid w:val="00E8278F"/>
    <w:rsid w:val="00E841CB"/>
    <w:rsid w:val="00E84518"/>
    <w:rsid w:val="00E84F6A"/>
    <w:rsid w:val="00E85020"/>
    <w:rsid w:val="00E851E7"/>
    <w:rsid w:val="00E85E43"/>
    <w:rsid w:val="00E86187"/>
    <w:rsid w:val="00E862C9"/>
    <w:rsid w:val="00E86D44"/>
    <w:rsid w:val="00E86EB6"/>
    <w:rsid w:val="00E8753A"/>
    <w:rsid w:val="00E9005B"/>
    <w:rsid w:val="00E90387"/>
    <w:rsid w:val="00E905D9"/>
    <w:rsid w:val="00E913C4"/>
    <w:rsid w:val="00E913FF"/>
    <w:rsid w:val="00E9152A"/>
    <w:rsid w:val="00E92C76"/>
    <w:rsid w:val="00E93C72"/>
    <w:rsid w:val="00E94B2A"/>
    <w:rsid w:val="00E94BD0"/>
    <w:rsid w:val="00E94C1A"/>
    <w:rsid w:val="00E94F13"/>
    <w:rsid w:val="00E96655"/>
    <w:rsid w:val="00E966AD"/>
    <w:rsid w:val="00E96866"/>
    <w:rsid w:val="00E96894"/>
    <w:rsid w:val="00E97559"/>
    <w:rsid w:val="00E97EED"/>
    <w:rsid w:val="00EA0BEE"/>
    <w:rsid w:val="00EA12BE"/>
    <w:rsid w:val="00EA132F"/>
    <w:rsid w:val="00EA22A7"/>
    <w:rsid w:val="00EA280E"/>
    <w:rsid w:val="00EA3224"/>
    <w:rsid w:val="00EA3327"/>
    <w:rsid w:val="00EA4CEB"/>
    <w:rsid w:val="00EA51EC"/>
    <w:rsid w:val="00EA5403"/>
    <w:rsid w:val="00EA554A"/>
    <w:rsid w:val="00EA5646"/>
    <w:rsid w:val="00EA5810"/>
    <w:rsid w:val="00EA7928"/>
    <w:rsid w:val="00EB004D"/>
    <w:rsid w:val="00EB102E"/>
    <w:rsid w:val="00EB1DA7"/>
    <w:rsid w:val="00EB23B2"/>
    <w:rsid w:val="00EB2C5A"/>
    <w:rsid w:val="00EB2C62"/>
    <w:rsid w:val="00EB3508"/>
    <w:rsid w:val="00EB35BB"/>
    <w:rsid w:val="00EB3B98"/>
    <w:rsid w:val="00EB4A78"/>
    <w:rsid w:val="00EB55BE"/>
    <w:rsid w:val="00EB5B84"/>
    <w:rsid w:val="00EB6E16"/>
    <w:rsid w:val="00EB6EA4"/>
    <w:rsid w:val="00EC01A8"/>
    <w:rsid w:val="00EC06E4"/>
    <w:rsid w:val="00EC1451"/>
    <w:rsid w:val="00EC2209"/>
    <w:rsid w:val="00EC223A"/>
    <w:rsid w:val="00EC2404"/>
    <w:rsid w:val="00EC2768"/>
    <w:rsid w:val="00EC315D"/>
    <w:rsid w:val="00EC321C"/>
    <w:rsid w:val="00EC3896"/>
    <w:rsid w:val="00EC5805"/>
    <w:rsid w:val="00EC60A4"/>
    <w:rsid w:val="00EC6EE3"/>
    <w:rsid w:val="00EC7B8E"/>
    <w:rsid w:val="00ED04E1"/>
    <w:rsid w:val="00ED2796"/>
    <w:rsid w:val="00ED2F58"/>
    <w:rsid w:val="00ED46DD"/>
    <w:rsid w:val="00ED4A82"/>
    <w:rsid w:val="00ED4D94"/>
    <w:rsid w:val="00ED50B0"/>
    <w:rsid w:val="00ED57CE"/>
    <w:rsid w:val="00EE0B27"/>
    <w:rsid w:val="00EE1E6E"/>
    <w:rsid w:val="00EE22F4"/>
    <w:rsid w:val="00EE48F4"/>
    <w:rsid w:val="00EE52E6"/>
    <w:rsid w:val="00EE55B2"/>
    <w:rsid w:val="00EE56BF"/>
    <w:rsid w:val="00EE5B73"/>
    <w:rsid w:val="00EE674C"/>
    <w:rsid w:val="00EE67D7"/>
    <w:rsid w:val="00EE67EB"/>
    <w:rsid w:val="00EE6A4A"/>
    <w:rsid w:val="00EE7639"/>
    <w:rsid w:val="00EE7DFA"/>
    <w:rsid w:val="00EF2424"/>
    <w:rsid w:val="00EF24EB"/>
    <w:rsid w:val="00EF2678"/>
    <w:rsid w:val="00EF34B4"/>
    <w:rsid w:val="00EF4AA4"/>
    <w:rsid w:val="00EF4CCA"/>
    <w:rsid w:val="00EF5C60"/>
    <w:rsid w:val="00EF6A04"/>
    <w:rsid w:val="00EF76F7"/>
    <w:rsid w:val="00EF7872"/>
    <w:rsid w:val="00F004AB"/>
    <w:rsid w:val="00F01292"/>
    <w:rsid w:val="00F01DB1"/>
    <w:rsid w:val="00F02383"/>
    <w:rsid w:val="00F02E62"/>
    <w:rsid w:val="00F04D6F"/>
    <w:rsid w:val="00F04F34"/>
    <w:rsid w:val="00F058D3"/>
    <w:rsid w:val="00F05B4C"/>
    <w:rsid w:val="00F062D4"/>
    <w:rsid w:val="00F079F6"/>
    <w:rsid w:val="00F1015A"/>
    <w:rsid w:val="00F10D58"/>
    <w:rsid w:val="00F12114"/>
    <w:rsid w:val="00F121D3"/>
    <w:rsid w:val="00F1270B"/>
    <w:rsid w:val="00F13E78"/>
    <w:rsid w:val="00F141BA"/>
    <w:rsid w:val="00F14FCC"/>
    <w:rsid w:val="00F15505"/>
    <w:rsid w:val="00F15BB2"/>
    <w:rsid w:val="00F16274"/>
    <w:rsid w:val="00F16DD2"/>
    <w:rsid w:val="00F20D38"/>
    <w:rsid w:val="00F23C28"/>
    <w:rsid w:val="00F23D15"/>
    <w:rsid w:val="00F242B0"/>
    <w:rsid w:val="00F24320"/>
    <w:rsid w:val="00F243A5"/>
    <w:rsid w:val="00F25329"/>
    <w:rsid w:val="00F25407"/>
    <w:rsid w:val="00F254C1"/>
    <w:rsid w:val="00F2619A"/>
    <w:rsid w:val="00F264BE"/>
    <w:rsid w:val="00F27749"/>
    <w:rsid w:val="00F27D3D"/>
    <w:rsid w:val="00F30337"/>
    <w:rsid w:val="00F30FA9"/>
    <w:rsid w:val="00F322F2"/>
    <w:rsid w:val="00F3298A"/>
    <w:rsid w:val="00F329E4"/>
    <w:rsid w:val="00F3334D"/>
    <w:rsid w:val="00F33509"/>
    <w:rsid w:val="00F33921"/>
    <w:rsid w:val="00F33CC5"/>
    <w:rsid w:val="00F33F25"/>
    <w:rsid w:val="00F352A6"/>
    <w:rsid w:val="00F36077"/>
    <w:rsid w:val="00F36563"/>
    <w:rsid w:val="00F3685F"/>
    <w:rsid w:val="00F370B0"/>
    <w:rsid w:val="00F40597"/>
    <w:rsid w:val="00F40BC3"/>
    <w:rsid w:val="00F42535"/>
    <w:rsid w:val="00F42AF0"/>
    <w:rsid w:val="00F42D15"/>
    <w:rsid w:val="00F436DA"/>
    <w:rsid w:val="00F43A3B"/>
    <w:rsid w:val="00F43B22"/>
    <w:rsid w:val="00F4415F"/>
    <w:rsid w:val="00F44D5D"/>
    <w:rsid w:val="00F44DA4"/>
    <w:rsid w:val="00F45514"/>
    <w:rsid w:val="00F45B78"/>
    <w:rsid w:val="00F45BE4"/>
    <w:rsid w:val="00F46687"/>
    <w:rsid w:val="00F4778C"/>
    <w:rsid w:val="00F477BB"/>
    <w:rsid w:val="00F50297"/>
    <w:rsid w:val="00F514AC"/>
    <w:rsid w:val="00F514EF"/>
    <w:rsid w:val="00F51BB9"/>
    <w:rsid w:val="00F52404"/>
    <w:rsid w:val="00F5326E"/>
    <w:rsid w:val="00F53F3B"/>
    <w:rsid w:val="00F53FE2"/>
    <w:rsid w:val="00F5482D"/>
    <w:rsid w:val="00F54992"/>
    <w:rsid w:val="00F55995"/>
    <w:rsid w:val="00F55E70"/>
    <w:rsid w:val="00F5650B"/>
    <w:rsid w:val="00F60596"/>
    <w:rsid w:val="00F60801"/>
    <w:rsid w:val="00F609A2"/>
    <w:rsid w:val="00F611A4"/>
    <w:rsid w:val="00F62ACB"/>
    <w:rsid w:val="00F634EF"/>
    <w:rsid w:val="00F6430E"/>
    <w:rsid w:val="00F65CE1"/>
    <w:rsid w:val="00F661A9"/>
    <w:rsid w:val="00F66402"/>
    <w:rsid w:val="00F66DCD"/>
    <w:rsid w:val="00F66E07"/>
    <w:rsid w:val="00F66F73"/>
    <w:rsid w:val="00F72502"/>
    <w:rsid w:val="00F72C46"/>
    <w:rsid w:val="00F75427"/>
    <w:rsid w:val="00F7636D"/>
    <w:rsid w:val="00F7740E"/>
    <w:rsid w:val="00F8018C"/>
    <w:rsid w:val="00F80C81"/>
    <w:rsid w:val="00F821B1"/>
    <w:rsid w:val="00F82637"/>
    <w:rsid w:val="00F82B8B"/>
    <w:rsid w:val="00F82EC4"/>
    <w:rsid w:val="00F83DC1"/>
    <w:rsid w:val="00F83E44"/>
    <w:rsid w:val="00F83FEF"/>
    <w:rsid w:val="00F8612F"/>
    <w:rsid w:val="00F902C2"/>
    <w:rsid w:val="00F908B5"/>
    <w:rsid w:val="00F90C15"/>
    <w:rsid w:val="00F92F00"/>
    <w:rsid w:val="00F931F7"/>
    <w:rsid w:val="00F93711"/>
    <w:rsid w:val="00F937F3"/>
    <w:rsid w:val="00F93FA4"/>
    <w:rsid w:val="00F9404E"/>
    <w:rsid w:val="00F9439A"/>
    <w:rsid w:val="00F94BCA"/>
    <w:rsid w:val="00F9690F"/>
    <w:rsid w:val="00F96CB3"/>
    <w:rsid w:val="00F96DBC"/>
    <w:rsid w:val="00FA0D13"/>
    <w:rsid w:val="00FA122B"/>
    <w:rsid w:val="00FA212D"/>
    <w:rsid w:val="00FA224A"/>
    <w:rsid w:val="00FA3266"/>
    <w:rsid w:val="00FA3DF8"/>
    <w:rsid w:val="00FA3EF5"/>
    <w:rsid w:val="00FA65F9"/>
    <w:rsid w:val="00FA6796"/>
    <w:rsid w:val="00FA67C4"/>
    <w:rsid w:val="00FA73AB"/>
    <w:rsid w:val="00FA73B3"/>
    <w:rsid w:val="00FB038A"/>
    <w:rsid w:val="00FB0522"/>
    <w:rsid w:val="00FB060C"/>
    <w:rsid w:val="00FB074C"/>
    <w:rsid w:val="00FB07A2"/>
    <w:rsid w:val="00FB19E4"/>
    <w:rsid w:val="00FB2CE5"/>
    <w:rsid w:val="00FB30C2"/>
    <w:rsid w:val="00FB49CA"/>
    <w:rsid w:val="00FB4B30"/>
    <w:rsid w:val="00FB5E8E"/>
    <w:rsid w:val="00FB7253"/>
    <w:rsid w:val="00FB7D07"/>
    <w:rsid w:val="00FB7F7E"/>
    <w:rsid w:val="00FC03CA"/>
    <w:rsid w:val="00FC1498"/>
    <w:rsid w:val="00FC1831"/>
    <w:rsid w:val="00FC1D84"/>
    <w:rsid w:val="00FC1DAE"/>
    <w:rsid w:val="00FC24FF"/>
    <w:rsid w:val="00FC2778"/>
    <w:rsid w:val="00FC2FA0"/>
    <w:rsid w:val="00FC3A44"/>
    <w:rsid w:val="00FC457D"/>
    <w:rsid w:val="00FC5246"/>
    <w:rsid w:val="00FC5D2D"/>
    <w:rsid w:val="00FC6BDE"/>
    <w:rsid w:val="00FC715E"/>
    <w:rsid w:val="00FD09D0"/>
    <w:rsid w:val="00FD0A80"/>
    <w:rsid w:val="00FD0DBA"/>
    <w:rsid w:val="00FD11CA"/>
    <w:rsid w:val="00FD1E15"/>
    <w:rsid w:val="00FD23D2"/>
    <w:rsid w:val="00FD2424"/>
    <w:rsid w:val="00FD3336"/>
    <w:rsid w:val="00FD3FF2"/>
    <w:rsid w:val="00FD41BB"/>
    <w:rsid w:val="00FD466C"/>
    <w:rsid w:val="00FD47EA"/>
    <w:rsid w:val="00FD49E7"/>
    <w:rsid w:val="00FD5EEB"/>
    <w:rsid w:val="00FD6357"/>
    <w:rsid w:val="00FD6BBA"/>
    <w:rsid w:val="00FD7613"/>
    <w:rsid w:val="00FD7793"/>
    <w:rsid w:val="00FE0A51"/>
    <w:rsid w:val="00FE0BBA"/>
    <w:rsid w:val="00FE10B1"/>
    <w:rsid w:val="00FE2630"/>
    <w:rsid w:val="00FE3D1B"/>
    <w:rsid w:val="00FE43DE"/>
    <w:rsid w:val="00FE59BA"/>
    <w:rsid w:val="00FE653F"/>
    <w:rsid w:val="00FE65F5"/>
    <w:rsid w:val="00FE6C28"/>
    <w:rsid w:val="00FE6F00"/>
    <w:rsid w:val="00FE6FC4"/>
    <w:rsid w:val="00FF0D3D"/>
    <w:rsid w:val="00FF21F3"/>
    <w:rsid w:val="00FF22C6"/>
    <w:rsid w:val="00FF2A16"/>
    <w:rsid w:val="00FF2D2F"/>
    <w:rsid w:val="00FF3758"/>
    <w:rsid w:val="00FF37CE"/>
    <w:rsid w:val="00FF3863"/>
    <w:rsid w:val="00FF3D0D"/>
    <w:rsid w:val="00FF5F93"/>
    <w:rsid w:val="00FF6277"/>
    <w:rsid w:val="00FF70B4"/>
    <w:rsid w:val="00FF7E94"/>
    <w:rsid w:val="018362EB"/>
    <w:rsid w:val="018856AF"/>
    <w:rsid w:val="020349A6"/>
    <w:rsid w:val="0337738D"/>
    <w:rsid w:val="045C354F"/>
    <w:rsid w:val="052323CE"/>
    <w:rsid w:val="05EF03F3"/>
    <w:rsid w:val="063A5578"/>
    <w:rsid w:val="06D63165"/>
    <w:rsid w:val="07DD49A7"/>
    <w:rsid w:val="092A7E3D"/>
    <w:rsid w:val="09BE4364"/>
    <w:rsid w:val="0AF50259"/>
    <w:rsid w:val="0BC67500"/>
    <w:rsid w:val="0C0B585A"/>
    <w:rsid w:val="0CD21ED4"/>
    <w:rsid w:val="0D2E1801"/>
    <w:rsid w:val="0D7D0092"/>
    <w:rsid w:val="0E54694D"/>
    <w:rsid w:val="0F130CAE"/>
    <w:rsid w:val="0F3F7919"/>
    <w:rsid w:val="0F9F69E6"/>
    <w:rsid w:val="10FE14EA"/>
    <w:rsid w:val="11E92E28"/>
    <w:rsid w:val="12FA4893"/>
    <w:rsid w:val="12FC7CAB"/>
    <w:rsid w:val="134578A4"/>
    <w:rsid w:val="1358782C"/>
    <w:rsid w:val="145D6A4B"/>
    <w:rsid w:val="147C10A3"/>
    <w:rsid w:val="15B86ADA"/>
    <w:rsid w:val="18075128"/>
    <w:rsid w:val="189B2687"/>
    <w:rsid w:val="18A60DE5"/>
    <w:rsid w:val="18D44FC7"/>
    <w:rsid w:val="199A2902"/>
    <w:rsid w:val="1ACE017F"/>
    <w:rsid w:val="1BCA27AB"/>
    <w:rsid w:val="1CC8209C"/>
    <w:rsid w:val="1DE2202E"/>
    <w:rsid w:val="1EB001C9"/>
    <w:rsid w:val="1F853634"/>
    <w:rsid w:val="2221328A"/>
    <w:rsid w:val="22B1460E"/>
    <w:rsid w:val="23890F92"/>
    <w:rsid w:val="240B41F2"/>
    <w:rsid w:val="24366D14"/>
    <w:rsid w:val="25781188"/>
    <w:rsid w:val="27BD1CA7"/>
    <w:rsid w:val="280B3FB0"/>
    <w:rsid w:val="289606CA"/>
    <w:rsid w:val="297F67AD"/>
    <w:rsid w:val="29BB5D72"/>
    <w:rsid w:val="2A506AC3"/>
    <w:rsid w:val="2AD66284"/>
    <w:rsid w:val="2B593A95"/>
    <w:rsid w:val="2B8A5F17"/>
    <w:rsid w:val="2BA80578"/>
    <w:rsid w:val="2E76621A"/>
    <w:rsid w:val="2FE430FF"/>
    <w:rsid w:val="31772EC7"/>
    <w:rsid w:val="32314A42"/>
    <w:rsid w:val="323932BD"/>
    <w:rsid w:val="33D55B56"/>
    <w:rsid w:val="34C44675"/>
    <w:rsid w:val="353E4427"/>
    <w:rsid w:val="36062A6B"/>
    <w:rsid w:val="36DA7698"/>
    <w:rsid w:val="37227431"/>
    <w:rsid w:val="37971BCD"/>
    <w:rsid w:val="37F70483"/>
    <w:rsid w:val="38983127"/>
    <w:rsid w:val="395B4E7C"/>
    <w:rsid w:val="3A105C66"/>
    <w:rsid w:val="3ACA6783"/>
    <w:rsid w:val="3AF17846"/>
    <w:rsid w:val="3B1D12A8"/>
    <w:rsid w:val="3E5F540E"/>
    <w:rsid w:val="3F0538C0"/>
    <w:rsid w:val="3FC27A03"/>
    <w:rsid w:val="40FB7670"/>
    <w:rsid w:val="41C537DA"/>
    <w:rsid w:val="42062137"/>
    <w:rsid w:val="42470693"/>
    <w:rsid w:val="42C65A5C"/>
    <w:rsid w:val="43A11859"/>
    <w:rsid w:val="448F6E38"/>
    <w:rsid w:val="44EC543C"/>
    <w:rsid w:val="46794B93"/>
    <w:rsid w:val="468F5C21"/>
    <w:rsid w:val="470152B5"/>
    <w:rsid w:val="470D1EAB"/>
    <w:rsid w:val="47354F5E"/>
    <w:rsid w:val="48143DB8"/>
    <w:rsid w:val="49276B29"/>
    <w:rsid w:val="49995C78"/>
    <w:rsid w:val="499C7517"/>
    <w:rsid w:val="49EC3FFA"/>
    <w:rsid w:val="49F5628F"/>
    <w:rsid w:val="4AEB42B2"/>
    <w:rsid w:val="4B857822"/>
    <w:rsid w:val="4C8F4294"/>
    <w:rsid w:val="4CFC27DF"/>
    <w:rsid w:val="4D1D7D22"/>
    <w:rsid w:val="4D5B4FF3"/>
    <w:rsid w:val="4DF33E8D"/>
    <w:rsid w:val="4E3F1345"/>
    <w:rsid w:val="4E7B0AD1"/>
    <w:rsid w:val="4EAA4484"/>
    <w:rsid w:val="4F443F90"/>
    <w:rsid w:val="4FB54E8E"/>
    <w:rsid w:val="50BB7B5F"/>
    <w:rsid w:val="510936E3"/>
    <w:rsid w:val="53636BC4"/>
    <w:rsid w:val="53B1506A"/>
    <w:rsid w:val="53B35643"/>
    <w:rsid w:val="548B440F"/>
    <w:rsid w:val="559D2841"/>
    <w:rsid w:val="560E70A6"/>
    <w:rsid w:val="56CE6835"/>
    <w:rsid w:val="57115E55"/>
    <w:rsid w:val="57212E09"/>
    <w:rsid w:val="58BC54DF"/>
    <w:rsid w:val="58D81BED"/>
    <w:rsid w:val="5A736072"/>
    <w:rsid w:val="5C1B251D"/>
    <w:rsid w:val="5E5A37D0"/>
    <w:rsid w:val="5E7D126D"/>
    <w:rsid w:val="5F5656B0"/>
    <w:rsid w:val="6118527D"/>
    <w:rsid w:val="618B36A9"/>
    <w:rsid w:val="61AF3E33"/>
    <w:rsid w:val="61FA7C21"/>
    <w:rsid w:val="62015D11"/>
    <w:rsid w:val="629D1EDE"/>
    <w:rsid w:val="633D0FCB"/>
    <w:rsid w:val="648558A4"/>
    <w:rsid w:val="648A46E4"/>
    <w:rsid w:val="65143D3E"/>
    <w:rsid w:val="65A27099"/>
    <w:rsid w:val="65AB2B63"/>
    <w:rsid w:val="65E02B51"/>
    <w:rsid w:val="66303069"/>
    <w:rsid w:val="666F3B91"/>
    <w:rsid w:val="67394686"/>
    <w:rsid w:val="68701E42"/>
    <w:rsid w:val="6A4470E3"/>
    <w:rsid w:val="6AE66A00"/>
    <w:rsid w:val="6BC75CD5"/>
    <w:rsid w:val="6C7F4402"/>
    <w:rsid w:val="6CB31906"/>
    <w:rsid w:val="6D0A0099"/>
    <w:rsid w:val="6D7D3037"/>
    <w:rsid w:val="6F642C92"/>
    <w:rsid w:val="70AA0B14"/>
    <w:rsid w:val="72AC1CC9"/>
    <w:rsid w:val="737C5B3F"/>
    <w:rsid w:val="768F16E6"/>
    <w:rsid w:val="77864EB1"/>
    <w:rsid w:val="79E676DF"/>
    <w:rsid w:val="7A5B5F56"/>
    <w:rsid w:val="7A7B4D00"/>
    <w:rsid w:val="7B0F09EC"/>
    <w:rsid w:val="7BF72207"/>
    <w:rsid w:val="7C2E19A1"/>
    <w:rsid w:val="7CF20C20"/>
    <w:rsid w:val="7D1612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9"/>
    <w:qFormat/>
    <w:uiPriority w:val="99"/>
    <w:pPr>
      <w:keepNext/>
      <w:keepLines/>
      <w:spacing w:before="260" w:after="260" w:line="413" w:lineRule="auto"/>
      <w:outlineLvl w:val="1"/>
    </w:pPr>
    <w:rPr>
      <w:rFonts w:ascii="Cambria" w:hAnsi="Cambria"/>
      <w:b/>
      <w:bCs/>
      <w:kern w:val="0"/>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unhideWhenUsed/>
    <w:qFormat/>
    <w:uiPriority w:val="99"/>
    <w:pPr>
      <w:jc w:val="left"/>
    </w:pPr>
  </w:style>
  <w:style w:type="paragraph" w:styleId="5">
    <w:name w:val="Date"/>
    <w:basedOn w:val="1"/>
    <w:next w:val="1"/>
    <w:link w:val="24"/>
    <w:semiHidden/>
    <w:qFormat/>
    <w:uiPriority w:val="99"/>
    <w:pPr>
      <w:ind w:left="100" w:leftChars="2500"/>
    </w:pPr>
    <w:rPr>
      <w:kern w:val="0"/>
      <w:sz w:val="20"/>
      <w:szCs w:val="20"/>
    </w:rPr>
  </w:style>
  <w:style w:type="paragraph" w:styleId="6">
    <w:name w:val="Balloon Text"/>
    <w:basedOn w:val="1"/>
    <w:link w:val="23"/>
    <w:semiHidden/>
    <w:qFormat/>
    <w:uiPriority w:val="99"/>
    <w:rPr>
      <w:kern w:val="0"/>
      <w:sz w:val="18"/>
      <w:szCs w:val="18"/>
    </w:rPr>
  </w:style>
  <w:style w:type="paragraph" w:styleId="7">
    <w:name w:val="footer"/>
    <w:basedOn w:val="1"/>
    <w:link w:val="21"/>
    <w:qFormat/>
    <w:uiPriority w:val="99"/>
    <w:pPr>
      <w:tabs>
        <w:tab w:val="center" w:pos="4153"/>
        <w:tab w:val="right" w:pos="8306"/>
      </w:tabs>
      <w:snapToGrid w:val="0"/>
      <w:jc w:val="left"/>
    </w:pPr>
    <w:rPr>
      <w:kern w:val="0"/>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29"/>
    <w:qFormat/>
    <w:locked/>
    <w:uiPriority w:val="0"/>
    <w:pPr>
      <w:spacing w:before="240" w:after="60"/>
      <w:jc w:val="center"/>
      <w:outlineLvl w:val="0"/>
    </w:pPr>
    <w:rPr>
      <w:rFonts w:asciiTheme="majorHAnsi" w:hAnsiTheme="majorHAnsi" w:eastAsiaTheme="majorEastAsia" w:cstheme="majorBidi"/>
      <w:b/>
      <w:bCs/>
      <w:sz w:val="32"/>
      <w:szCs w:val="32"/>
    </w:rPr>
  </w:style>
  <w:style w:type="paragraph" w:styleId="11">
    <w:name w:val="annotation subject"/>
    <w:basedOn w:val="4"/>
    <w:next w:val="4"/>
    <w:link w:val="27"/>
    <w:semiHidden/>
    <w:unhideWhenUsed/>
    <w:qFormat/>
    <w:uiPriority w:val="99"/>
    <w:rPr>
      <w:b/>
      <w:bCs/>
    </w:rPr>
  </w:style>
  <w:style w:type="character" w:styleId="14">
    <w:name w:val="page number"/>
    <w:qFormat/>
    <w:uiPriority w:val="99"/>
    <w:rPr>
      <w:rFonts w:cs="Times New Roman"/>
    </w:rPr>
  </w:style>
  <w:style w:type="character" w:styleId="15">
    <w:name w:val="line number"/>
    <w:basedOn w:val="13"/>
    <w:semiHidden/>
    <w:unhideWhenUsed/>
    <w:qFormat/>
    <w:uiPriority w:val="99"/>
  </w:style>
  <w:style w:type="character" w:styleId="16">
    <w:name w:val="Hyperlink"/>
    <w:qFormat/>
    <w:uiPriority w:val="99"/>
    <w:rPr>
      <w:rFonts w:cs="Times New Roman"/>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1 字符"/>
    <w:link w:val="2"/>
    <w:qFormat/>
    <w:locked/>
    <w:uiPriority w:val="99"/>
    <w:rPr>
      <w:rFonts w:ascii="Times New Roman" w:hAnsi="Times New Roman" w:eastAsia="宋体" w:cs="Times New Roman"/>
      <w:b/>
      <w:bCs/>
      <w:kern w:val="44"/>
      <w:sz w:val="44"/>
      <w:szCs w:val="44"/>
    </w:rPr>
  </w:style>
  <w:style w:type="character" w:customStyle="1" w:styleId="19">
    <w:name w:val="标题 2 字符"/>
    <w:link w:val="3"/>
    <w:qFormat/>
    <w:locked/>
    <w:uiPriority w:val="99"/>
    <w:rPr>
      <w:rFonts w:ascii="Cambria" w:hAnsi="Cambria" w:eastAsia="宋体" w:cs="黑体"/>
      <w:b/>
      <w:bCs/>
      <w:sz w:val="32"/>
      <w:szCs w:val="32"/>
    </w:rPr>
  </w:style>
  <w:style w:type="character" w:customStyle="1" w:styleId="20">
    <w:name w:val="页眉 字符"/>
    <w:link w:val="8"/>
    <w:qFormat/>
    <w:locked/>
    <w:uiPriority w:val="99"/>
    <w:rPr>
      <w:rFonts w:cs="Times New Roman"/>
      <w:sz w:val="18"/>
      <w:szCs w:val="18"/>
    </w:rPr>
  </w:style>
  <w:style w:type="character" w:customStyle="1" w:styleId="21">
    <w:name w:val="页脚 字符"/>
    <w:link w:val="7"/>
    <w:qFormat/>
    <w:locked/>
    <w:uiPriority w:val="99"/>
    <w:rPr>
      <w:rFonts w:cs="Times New Roman"/>
      <w:sz w:val="18"/>
      <w:szCs w:val="18"/>
    </w:rPr>
  </w:style>
  <w:style w:type="paragraph" w:styleId="22">
    <w:name w:val="List Paragraph"/>
    <w:basedOn w:val="1"/>
    <w:qFormat/>
    <w:uiPriority w:val="34"/>
    <w:pPr>
      <w:ind w:firstLine="420" w:firstLineChars="200"/>
      <w:jc w:val="left"/>
    </w:pPr>
  </w:style>
  <w:style w:type="character" w:customStyle="1" w:styleId="23">
    <w:name w:val="批注框文本 字符"/>
    <w:link w:val="6"/>
    <w:semiHidden/>
    <w:qFormat/>
    <w:locked/>
    <w:uiPriority w:val="99"/>
    <w:rPr>
      <w:rFonts w:cs="Times New Roman"/>
      <w:sz w:val="18"/>
      <w:szCs w:val="18"/>
    </w:rPr>
  </w:style>
  <w:style w:type="character" w:customStyle="1" w:styleId="24">
    <w:name w:val="日期 字符"/>
    <w:link w:val="5"/>
    <w:semiHidden/>
    <w:qFormat/>
    <w:locked/>
    <w:uiPriority w:val="99"/>
    <w:rPr>
      <w:rFonts w:cs="Times New Roman"/>
    </w:rPr>
  </w:style>
  <w:style w:type="paragraph" w:customStyle="1" w:styleId="25">
    <w:name w:val="修订1"/>
    <w:hidden/>
    <w:semiHidden/>
    <w:qFormat/>
    <w:uiPriority w:val="99"/>
    <w:rPr>
      <w:rFonts w:ascii="Calibri" w:hAnsi="Calibri" w:eastAsia="宋体" w:cs="Times New Roman"/>
      <w:kern w:val="2"/>
      <w:sz w:val="21"/>
      <w:szCs w:val="22"/>
      <w:lang w:val="en-US" w:eastAsia="zh-CN" w:bidi="ar-SA"/>
    </w:rPr>
  </w:style>
  <w:style w:type="character" w:customStyle="1" w:styleId="26">
    <w:name w:val="批注文字 字符"/>
    <w:basedOn w:val="13"/>
    <w:link w:val="4"/>
    <w:qFormat/>
    <w:uiPriority w:val="99"/>
    <w:rPr>
      <w:kern w:val="2"/>
      <w:sz w:val="21"/>
      <w:szCs w:val="22"/>
    </w:rPr>
  </w:style>
  <w:style w:type="character" w:customStyle="1" w:styleId="27">
    <w:name w:val="批注主题 字符"/>
    <w:basedOn w:val="26"/>
    <w:link w:val="11"/>
    <w:semiHidden/>
    <w:qFormat/>
    <w:uiPriority w:val="99"/>
    <w:rPr>
      <w:b/>
      <w:bCs/>
      <w:kern w:val="2"/>
      <w:sz w:val="21"/>
      <w:szCs w:val="22"/>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标题 字符"/>
    <w:basedOn w:val="13"/>
    <w:link w:val="10"/>
    <w:qFormat/>
    <w:uiPriority w:val="0"/>
    <w:rPr>
      <w:rFonts w:asciiTheme="majorHAnsi" w:hAnsiTheme="majorHAnsi" w:eastAsiaTheme="majorEastAsia" w:cstheme="majorBidi"/>
      <w:b/>
      <w:bCs/>
      <w:kern w:val="2"/>
      <w:sz w:val="32"/>
      <w:szCs w:val="32"/>
    </w:rPr>
  </w:style>
  <w:style w:type="paragraph" w:customStyle="1" w:styleId="30">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28</Pages>
  <Words>14074</Words>
  <Characters>15755</Characters>
  <Lines>114</Lines>
  <Paragraphs>32</Paragraphs>
  <TotalTime>164</TotalTime>
  <ScaleCrop>false</ScaleCrop>
  <LinksUpToDate>false</LinksUpToDate>
  <CharactersWithSpaces>15913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2023-05-28T01:32:00Z</dcterms:created>
  <dc:creator>qhtf</dc:creator>
  <cp:lastModifiedBy>太极箫客</cp:lastModifiedBy>
  <cp:lastPrinted>2022-10-14T00:48:00Z</cp:lastPrinted>
  <dcterms:modified xsi:type="dcterms:W3CDTF">2025-08-14T06:52:21Z</dcterms:modified>
  <dc:title>附件2</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630EE2AA42BF4E18A961542694C299CF</vt:lpwstr>
  </property>
  <property fmtid="{D5CDD505-2E9C-101B-9397-08002B2CF9AE}" pid="4" name="KSOTemplateDocerSaveRecord">
    <vt:lpwstr>eyJoZGlkIjoiMDJiMzI3ODBiNTFmMWRjNDUyMjM1ZmZjODY5NDc2MWMiLCJ1c2VySWQiOiI0NTQ4Nzg1NzAifQ==</vt:lpwstr>
  </property>
</Properties>
</file>