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79795C">
      <w:pPr>
        <w:ind w:right="-67" w:rightChars="-32"/>
        <w:rPr>
          <w:rFonts w:ascii="Times New Roman" w:hAnsi="Times New Roman" w:eastAsia="黑体"/>
          <w:color w:val="000000"/>
          <w:sz w:val="32"/>
          <w:szCs w:val="32"/>
        </w:rPr>
      </w:pPr>
      <w:bookmarkStart w:id="0" w:name="_GoBack"/>
      <w:bookmarkEnd w:id="0"/>
      <w:r>
        <w:rPr>
          <w:rFonts w:ascii="Times New Roman" w:hAnsi="Times New Roman" w:eastAsia="黑体"/>
          <w:color w:val="000000"/>
          <w:sz w:val="32"/>
          <w:szCs w:val="32"/>
        </w:rPr>
        <w:t>附件2</w:t>
      </w:r>
    </w:p>
    <w:p w14:paraId="2145DFAC">
      <w:pPr>
        <w:ind w:right="-67" w:rightChars="-32"/>
        <w:rPr>
          <w:rFonts w:ascii="Times New Roman" w:hAnsi="Times New Roman" w:eastAsia="黑体"/>
          <w:color w:val="000000"/>
          <w:sz w:val="32"/>
          <w:szCs w:val="32"/>
        </w:rPr>
      </w:pPr>
    </w:p>
    <w:p w14:paraId="665E3C16">
      <w:pPr>
        <w:spacing w:line="520" w:lineRule="exact"/>
        <w:jc w:val="center"/>
        <w:rPr>
          <w:rFonts w:ascii="Times New Roman" w:hAnsi="Times New Roman" w:eastAsia="方正小标宋简体"/>
          <w:sz w:val="44"/>
          <w:szCs w:val="44"/>
        </w:rPr>
      </w:pPr>
      <w:r>
        <w:rPr>
          <w:rFonts w:ascii="Times New Roman" w:hAnsi="方正小标宋简体" w:eastAsia="方正小标宋简体"/>
          <w:sz w:val="44"/>
          <w:szCs w:val="44"/>
        </w:rPr>
        <w:t>异常凝血酶原测定试剂临床试验</w:t>
      </w:r>
    </w:p>
    <w:p w14:paraId="4CAE7498">
      <w:pPr>
        <w:spacing w:line="520" w:lineRule="exact"/>
        <w:jc w:val="center"/>
        <w:rPr>
          <w:rFonts w:ascii="Times New Roman" w:hAnsi="Times New Roman" w:eastAsia="方正小标宋简体"/>
          <w:sz w:val="44"/>
          <w:szCs w:val="44"/>
        </w:rPr>
      </w:pPr>
      <w:r>
        <w:rPr>
          <w:rFonts w:ascii="Times New Roman" w:hAnsi="方正小标宋简体" w:eastAsia="方正小标宋简体"/>
          <w:sz w:val="44"/>
          <w:szCs w:val="44"/>
        </w:rPr>
        <w:t>资料技术审评要点</w:t>
      </w:r>
    </w:p>
    <w:p w14:paraId="2E9D2499">
      <w:pPr>
        <w:spacing w:line="520" w:lineRule="exact"/>
        <w:ind w:firstLine="640" w:firstLineChars="200"/>
        <w:rPr>
          <w:rFonts w:ascii="Times New Roman" w:hAnsi="Times New Roman" w:eastAsia="仿宋_GB2312"/>
          <w:sz w:val="32"/>
          <w:szCs w:val="32"/>
        </w:rPr>
      </w:pPr>
    </w:p>
    <w:p w14:paraId="123227B8">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本审评要点旨在指导注册申请人对异常凝血酶原测定试剂产品注册</w:t>
      </w:r>
      <w:r>
        <w:rPr>
          <w:rFonts w:ascii="Times New Roman" w:hAnsi="仿宋_GB2312" w:eastAsia="仿宋_GB2312"/>
          <w:sz w:val="32"/>
          <w:szCs w:val="32"/>
        </w:rPr>
        <w:t>临床试验的开展及</w:t>
      </w:r>
      <w:r>
        <w:rPr>
          <w:rFonts w:ascii="Times New Roman" w:hAnsi="Times New Roman" w:eastAsia="仿宋_GB2312"/>
          <w:sz w:val="32"/>
          <w:szCs w:val="32"/>
        </w:rPr>
        <w:t>临床试验资料的准备及撰写，同时也为技术审评部门审评注册申报临床试验资料提供参考。</w:t>
      </w:r>
    </w:p>
    <w:p w14:paraId="34224B15">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本审评要点是对异常凝血酶原测定试剂产品临床试验资料的一般要求，注册申请人应依据产品的具体特性确定其中内容是否适用，若不适用，需具体阐述理由及相应的科学依据，并依据产品的具体特性对临床试验资料的内容进行充实和细化。</w:t>
      </w:r>
    </w:p>
    <w:p w14:paraId="1E64140A">
      <w:pPr>
        <w:spacing w:line="600" w:lineRule="exact"/>
        <w:ind w:firstLine="640" w:firstLineChars="200"/>
        <w:rPr>
          <w:rFonts w:ascii="Times New Roman" w:hAnsi="Times New Roman" w:eastAsia="黑体"/>
          <w:sz w:val="32"/>
          <w:szCs w:val="32"/>
        </w:rPr>
      </w:pPr>
      <w:r>
        <w:rPr>
          <w:rFonts w:ascii="Times New Roman" w:hAnsi="黑体" w:eastAsia="黑体"/>
          <w:sz w:val="32"/>
          <w:szCs w:val="32"/>
        </w:rPr>
        <w:t>一、适用范围</w:t>
      </w:r>
    </w:p>
    <w:p w14:paraId="68DDC1D7">
      <w:pPr>
        <w:spacing w:line="600" w:lineRule="exact"/>
        <w:ind w:firstLine="640" w:firstLineChars="200"/>
        <w:rPr>
          <w:rFonts w:ascii="Times New Roman" w:hAnsi="Times New Roman" w:eastAsia="仿宋_GB2312"/>
          <w:sz w:val="32"/>
          <w:szCs w:val="32"/>
        </w:rPr>
      </w:pPr>
      <w:r>
        <w:rPr>
          <w:rFonts w:ascii="Times New Roman" w:hAnsi="仿宋_GB2312" w:eastAsia="仿宋_GB2312"/>
          <w:sz w:val="32"/>
          <w:szCs w:val="32"/>
        </w:rPr>
        <w:t>本审评要点适用于异常凝血酶原测定试剂产品注册的临床试验的开展。</w:t>
      </w:r>
    </w:p>
    <w:p w14:paraId="1F8E5345">
      <w:pPr>
        <w:spacing w:line="600" w:lineRule="exact"/>
        <w:ind w:firstLine="640" w:firstLineChars="200"/>
        <w:rPr>
          <w:rFonts w:ascii="Times New Roman" w:hAnsi="Times New Roman" w:eastAsia="仿宋_GB2312"/>
          <w:sz w:val="32"/>
          <w:szCs w:val="32"/>
        </w:rPr>
      </w:pPr>
      <w:r>
        <w:rPr>
          <w:rFonts w:ascii="Times New Roman" w:hAnsi="仿宋_GB2312" w:eastAsia="仿宋_GB2312"/>
          <w:sz w:val="32"/>
          <w:szCs w:val="32"/>
        </w:rPr>
        <w:t>本审评要点所指异常凝血酶原测定试剂是指用于体外定量测定人血清中异常凝血酶原（</w:t>
      </w:r>
      <w:r>
        <w:rPr>
          <w:rFonts w:ascii="Times New Roman" w:hAnsi="Times New Roman" w:eastAsia="仿宋_GB2312"/>
          <w:sz w:val="32"/>
          <w:szCs w:val="32"/>
        </w:rPr>
        <w:t>PIVKA-II</w:t>
      </w:r>
      <w:r>
        <w:rPr>
          <w:rFonts w:ascii="Times New Roman" w:hAnsi="仿宋_GB2312" w:eastAsia="仿宋_GB2312"/>
          <w:sz w:val="32"/>
          <w:szCs w:val="32"/>
        </w:rPr>
        <w:t>）的含量的试剂。</w:t>
      </w:r>
      <w:r>
        <w:rPr>
          <w:rFonts w:ascii="Times New Roman" w:hAnsi="Times New Roman" w:eastAsia="仿宋_GB2312"/>
          <w:sz w:val="32"/>
          <w:szCs w:val="32"/>
        </w:rPr>
        <w:t>PIVKA-II</w:t>
      </w:r>
      <w:r>
        <w:rPr>
          <w:rFonts w:ascii="Times New Roman" w:hAnsi="仿宋_GB2312" w:eastAsia="仿宋_GB2312"/>
          <w:sz w:val="32"/>
          <w:szCs w:val="32"/>
        </w:rPr>
        <w:t>含量的测定用于对已确诊肝癌患者进行动态监测以辅助判断疾病进展或治疗效果，不能作为恶性肿瘤早期诊断或确诊的依据，不能用于普通人群的肿瘤筛查。</w:t>
      </w:r>
    </w:p>
    <w:p w14:paraId="16DA9F3E">
      <w:pPr>
        <w:spacing w:line="600" w:lineRule="exact"/>
        <w:ind w:firstLine="640" w:firstLineChars="200"/>
        <w:rPr>
          <w:rFonts w:ascii="Times New Roman" w:hAnsi="Times New Roman" w:eastAsia="仿宋_GB2312"/>
          <w:sz w:val="32"/>
          <w:szCs w:val="32"/>
        </w:rPr>
      </w:pPr>
      <w:r>
        <w:rPr>
          <w:rFonts w:ascii="Times New Roman" w:hAnsi="仿宋_GB2312" w:eastAsia="仿宋_GB2312"/>
          <w:sz w:val="32"/>
          <w:szCs w:val="32"/>
        </w:rPr>
        <w:t>适用方法学包括：化学发光免疫分析法。</w:t>
      </w:r>
    </w:p>
    <w:p w14:paraId="5924DBA4">
      <w:pPr>
        <w:spacing w:line="600" w:lineRule="exact"/>
        <w:ind w:firstLine="640" w:firstLineChars="200"/>
        <w:rPr>
          <w:rFonts w:ascii="Times New Roman" w:hAnsi="Times New Roman" w:eastAsia="仿宋_GB2312"/>
          <w:sz w:val="32"/>
          <w:szCs w:val="32"/>
        </w:rPr>
      </w:pPr>
      <w:r>
        <w:rPr>
          <w:rFonts w:ascii="Times New Roman" w:hAnsi="仿宋_GB2312" w:eastAsia="仿宋_GB2312"/>
          <w:sz w:val="32"/>
          <w:szCs w:val="32"/>
        </w:rPr>
        <w:t>按现行《体外诊断试剂分类子目录》，该产品分类编码为</w:t>
      </w:r>
      <w:r>
        <w:rPr>
          <w:rFonts w:ascii="Times New Roman" w:hAnsi="Times New Roman" w:eastAsia="仿宋_GB2312"/>
          <w:sz w:val="32"/>
          <w:szCs w:val="32"/>
        </w:rPr>
        <w:t>6840</w:t>
      </w:r>
      <w:r>
        <w:rPr>
          <w:rFonts w:ascii="Times New Roman" w:hAnsi="仿宋_GB2312" w:eastAsia="仿宋_GB2312"/>
          <w:sz w:val="32"/>
          <w:szCs w:val="32"/>
        </w:rPr>
        <w:t>，管理类别为三类。</w:t>
      </w:r>
    </w:p>
    <w:p w14:paraId="03694FEB">
      <w:pPr>
        <w:spacing w:line="600" w:lineRule="exact"/>
        <w:ind w:firstLine="640" w:firstLineChars="200"/>
        <w:rPr>
          <w:rFonts w:ascii="Times New Roman" w:hAnsi="Times New Roman" w:eastAsia="黑体"/>
          <w:sz w:val="32"/>
          <w:szCs w:val="32"/>
        </w:rPr>
      </w:pPr>
      <w:r>
        <w:rPr>
          <w:rFonts w:ascii="Times New Roman" w:hAnsi="黑体" w:eastAsia="黑体"/>
          <w:sz w:val="32"/>
          <w:szCs w:val="32"/>
        </w:rPr>
        <w:t>二、临床研究</w:t>
      </w:r>
    </w:p>
    <w:p w14:paraId="6320086D">
      <w:pPr>
        <w:spacing w:line="60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（一）临床试验机构的选择</w:t>
      </w:r>
    </w:p>
    <w:p w14:paraId="27EC7164">
      <w:pPr>
        <w:spacing w:line="600" w:lineRule="exact"/>
        <w:ind w:firstLine="640" w:firstLineChars="200"/>
        <w:rPr>
          <w:rFonts w:ascii="Times New Roman" w:hAnsi="Times New Roman" w:eastAsia="仿宋_GB2312"/>
          <w:sz w:val="32"/>
          <w:szCs w:val="32"/>
        </w:rPr>
      </w:pPr>
      <w:r>
        <w:rPr>
          <w:rFonts w:ascii="Times New Roman" w:hAnsi="仿宋_GB2312" w:eastAsia="仿宋_GB2312"/>
          <w:sz w:val="32"/>
          <w:szCs w:val="32"/>
        </w:rPr>
        <w:t>选择不少于</w:t>
      </w:r>
      <w:r>
        <w:rPr>
          <w:rFonts w:ascii="Times New Roman" w:hAnsi="Times New Roman" w:eastAsia="仿宋_GB2312"/>
          <w:sz w:val="32"/>
          <w:szCs w:val="32"/>
        </w:rPr>
        <w:t>3</w:t>
      </w:r>
      <w:r>
        <w:rPr>
          <w:rFonts w:ascii="Times New Roman" w:hAnsi="仿宋_GB2312" w:eastAsia="仿宋_GB2312"/>
          <w:sz w:val="32"/>
          <w:szCs w:val="32"/>
        </w:rPr>
        <w:t>家具备相应条件且按照规定备案的医疗器械临床试验机构。</w:t>
      </w:r>
    </w:p>
    <w:p w14:paraId="438D1AE1">
      <w:pPr>
        <w:spacing w:line="60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（二）临床试验设计类型</w:t>
      </w:r>
    </w:p>
    <w:p w14:paraId="73953F00">
      <w:pPr>
        <w:spacing w:line="600" w:lineRule="exact"/>
        <w:ind w:firstLine="640" w:firstLineChars="200"/>
        <w:rPr>
          <w:rFonts w:ascii="Times New Roman" w:hAnsi="Times New Roman" w:eastAsia="仿宋_GB2312"/>
          <w:sz w:val="32"/>
          <w:szCs w:val="32"/>
        </w:rPr>
      </w:pPr>
      <w:r>
        <w:rPr>
          <w:rFonts w:ascii="Times New Roman" w:hAnsi="仿宋_GB2312" w:eastAsia="仿宋_GB2312"/>
          <w:sz w:val="32"/>
          <w:szCs w:val="32"/>
        </w:rPr>
        <w:t>选择境内已批准上市、临床普遍认为质量较好的同类产品作为对比试剂，采用试验体外诊断试剂与之进行对比试验研究，证明本产品与已上市产品的一致性。</w:t>
      </w:r>
    </w:p>
    <w:p w14:paraId="0A88C31F">
      <w:pPr>
        <w:spacing w:line="60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（三）对比方法的选择</w:t>
      </w:r>
    </w:p>
    <w:p w14:paraId="62D93B47">
      <w:pPr>
        <w:spacing w:line="600" w:lineRule="exact"/>
        <w:ind w:firstLine="640" w:firstLineChars="200"/>
        <w:rPr>
          <w:rFonts w:ascii="Times New Roman" w:hAnsi="Times New Roman" w:eastAsia="仿宋_GB2312"/>
          <w:sz w:val="32"/>
          <w:szCs w:val="32"/>
        </w:rPr>
      </w:pPr>
      <w:r>
        <w:rPr>
          <w:rFonts w:ascii="Times New Roman" w:hAnsi="仿宋_GB2312" w:eastAsia="仿宋_GB2312"/>
          <w:sz w:val="32"/>
          <w:szCs w:val="32"/>
        </w:rPr>
        <w:t>选择与已批准上市同类产品进行比对。关注对比方法的预期用途、样本类型、产品性能等应与试验体外诊断试剂具有可比性。</w:t>
      </w:r>
    </w:p>
    <w:p w14:paraId="0048F3A4">
      <w:pPr>
        <w:spacing w:line="60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（四）病例入组标准</w:t>
      </w:r>
    </w:p>
    <w:p w14:paraId="30558CBB">
      <w:pPr>
        <w:spacing w:line="600" w:lineRule="exact"/>
        <w:ind w:firstLine="640" w:firstLineChars="200"/>
        <w:rPr>
          <w:rFonts w:ascii="Times New Roman" w:hAnsi="Times New Roman" w:eastAsia="仿宋_GB2312"/>
          <w:sz w:val="32"/>
          <w:szCs w:val="32"/>
        </w:rPr>
      </w:pPr>
      <w:r>
        <w:rPr>
          <w:rFonts w:ascii="Times New Roman" w:hAnsi="仿宋_GB2312" w:eastAsia="仿宋_GB2312"/>
          <w:sz w:val="32"/>
          <w:szCs w:val="32"/>
        </w:rPr>
        <w:t>临床试验中应主要选择已确诊肝癌的患者入组，此外还应选择其他恶性肿瘤患者（如胃癌等其他消化道肿瘤）、相关的良性病例（如病毒性肝炎）等。</w:t>
      </w:r>
    </w:p>
    <w:p w14:paraId="77163585">
      <w:pPr>
        <w:spacing w:line="60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（五）样本量要求</w:t>
      </w:r>
    </w:p>
    <w:p w14:paraId="566495BE">
      <w:pPr>
        <w:spacing w:line="600" w:lineRule="exact"/>
        <w:ind w:firstLine="640" w:firstLineChars="200"/>
        <w:rPr>
          <w:rFonts w:ascii="Times New Roman" w:hAnsi="Times New Roman" w:eastAsia="仿宋_GB2312"/>
          <w:sz w:val="32"/>
          <w:szCs w:val="32"/>
        </w:rPr>
      </w:pPr>
      <w:r>
        <w:rPr>
          <w:rFonts w:ascii="Times New Roman" w:hAnsi="仿宋_GB2312" w:eastAsia="仿宋_GB2312"/>
          <w:sz w:val="32"/>
          <w:szCs w:val="32"/>
        </w:rPr>
        <w:t>应采用合理的统计学方法进行样本量估算，应注意入组样本应覆盖试验体外诊断试剂所声称的线性范围。</w:t>
      </w:r>
    </w:p>
    <w:p w14:paraId="684E5F80">
      <w:pPr>
        <w:spacing w:line="60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（六）临床评价指标和统计学分析</w:t>
      </w:r>
    </w:p>
    <w:p w14:paraId="0494178F">
      <w:pPr>
        <w:spacing w:line="600" w:lineRule="exact"/>
        <w:ind w:firstLine="640" w:firstLineChars="200"/>
        <w:rPr>
          <w:rFonts w:ascii="Times New Roman" w:hAnsi="Times New Roman" w:eastAsia="仿宋_GB2312"/>
          <w:sz w:val="32"/>
          <w:szCs w:val="32"/>
        </w:rPr>
      </w:pPr>
      <w:r>
        <w:rPr>
          <w:rFonts w:ascii="Times New Roman" w:hAnsi="仿宋_GB2312" w:eastAsia="仿宋_GB2312"/>
          <w:sz w:val="32"/>
          <w:szCs w:val="32"/>
        </w:rPr>
        <w:t>应分别进行定性及定量统计分析，具体如下：</w:t>
      </w:r>
    </w:p>
    <w:p w14:paraId="77895D06">
      <w:pPr>
        <w:spacing w:line="600" w:lineRule="exact"/>
        <w:ind w:firstLine="640" w:firstLineChars="200"/>
        <w:rPr>
          <w:rFonts w:ascii="Times New Roman" w:hAnsi="Times New Roman" w:eastAsia="仿宋_GB2312"/>
          <w:sz w:val="32"/>
          <w:szCs w:val="32"/>
        </w:rPr>
      </w:pPr>
      <w:r>
        <w:rPr>
          <w:rFonts w:ascii="Times New Roman" w:hAnsi="仿宋_GB2312" w:eastAsia="仿宋_GB2312"/>
          <w:sz w:val="32"/>
          <w:szCs w:val="32"/>
        </w:rPr>
        <w:t>定性分析：采用四格表方式进行检测结果的一致性分析。计算阳性符合率、阴性符合率、总符合率及其</w:t>
      </w:r>
      <w:r>
        <w:rPr>
          <w:rFonts w:ascii="Times New Roman" w:hAnsi="Times New Roman" w:eastAsia="仿宋_GB2312"/>
          <w:sz w:val="32"/>
          <w:szCs w:val="32"/>
        </w:rPr>
        <w:t>95%</w:t>
      </w:r>
      <w:r>
        <w:rPr>
          <w:rFonts w:ascii="Times New Roman" w:hAnsi="仿宋_GB2312" w:eastAsia="仿宋_GB2312"/>
          <w:sz w:val="32"/>
          <w:szCs w:val="32"/>
        </w:rPr>
        <w:t>置信区间。</w:t>
      </w:r>
    </w:p>
    <w:p w14:paraId="37C5A7FD">
      <w:pPr>
        <w:spacing w:line="600" w:lineRule="exact"/>
        <w:ind w:firstLine="640" w:firstLineChars="200"/>
        <w:rPr>
          <w:rFonts w:ascii="Times New Roman" w:hAnsi="Times New Roman" w:eastAsia="仿宋_GB2312"/>
          <w:sz w:val="32"/>
          <w:szCs w:val="32"/>
        </w:rPr>
      </w:pPr>
      <w:r>
        <w:rPr>
          <w:rFonts w:ascii="Times New Roman" w:hAnsi="仿宋_GB2312" w:eastAsia="仿宋_GB2312"/>
          <w:sz w:val="32"/>
          <w:szCs w:val="32"/>
        </w:rPr>
        <w:t>定量分析：</w:t>
      </w:r>
      <w:r>
        <w:rPr>
          <w:rFonts w:ascii="Times New Roman" w:hAnsi="Times New Roman" w:eastAsia="仿宋_GB2312"/>
          <w:sz w:val="32"/>
          <w:szCs w:val="32"/>
        </w:rPr>
        <w:t>1</w:t>
      </w:r>
      <w:r>
        <w:rPr>
          <w:rFonts w:ascii="Times New Roman" w:hAnsi="仿宋_GB2312" w:eastAsia="仿宋_GB2312"/>
          <w:sz w:val="32"/>
          <w:szCs w:val="32"/>
        </w:rPr>
        <w:t>）应根据临床试验数据绘制散点图，并进行相关性分析；</w:t>
      </w:r>
      <w:r>
        <w:rPr>
          <w:rFonts w:ascii="Times New Roman" w:hAnsi="Times New Roman" w:eastAsia="仿宋_GB2312"/>
          <w:sz w:val="32"/>
          <w:szCs w:val="32"/>
        </w:rPr>
        <w:t>2</w:t>
      </w:r>
      <w:r>
        <w:rPr>
          <w:rFonts w:ascii="Times New Roman" w:hAnsi="仿宋_GB2312" w:eastAsia="仿宋_GB2312"/>
          <w:sz w:val="32"/>
          <w:szCs w:val="32"/>
        </w:rPr>
        <w:t>）</w:t>
      </w:r>
      <w:r>
        <w:rPr>
          <w:rFonts w:ascii="Times New Roman" w:hAnsi="Times New Roman" w:eastAsia="仿宋_GB2312"/>
          <w:sz w:val="32"/>
          <w:szCs w:val="32"/>
        </w:rPr>
        <w:t>Bland-Altman</w:t>
      </w:r>
      <w:r>
        <w:rPr>
          <w:rFonts w:ascii="Times New Roman" w:hAnsi="仿宋_GB2312" w:eastAsia="仿宋_GB2312"/>
          <w:sz w:val="32"/>
          <w:szCs w:val="32"/>
        </w:rPr>
        <w:t>分析，计算一致性限度，评价两种检测结果的一致性。一致性限度应在临床所能接受的界值范围内；</w:t>
      </w:r>
      <w:r>
        <w:rPr>
          <w:rFonts w:ascii="Times New Roman" w:hAnsi="Times New Roman" w:eastAsia="仿宋_GB2312"/>
          <w:sz w:val="32"/>
          <w:szCs w:val="32"/>
        </w:rPr>
        <w:t>3</w:t>
      </w:r>
      <w:r>
        <w:rPr>
          <w:rFonts w:ascii="Times New Roman" w:hAnsi="仿宋_GB2312" w:eastAsia="仿宋_GB2312"/>
          <w:sz w:val="32"/>
          <w:szCs w:val="32"/>
        </w:rPr>
        <w:t>）回归分析：应根据数据分布特点等因素选择适用的回归分析方法，应重点观察回归方程的回归系数和截距等指标，计算回归系数和截距的置信区间。亦可同时对相关评价指标进行假设检验。</w:t>
      </w:r>
    </w:p>
    <w:p w14:paraId="4A3767C0">
      <w:pPr>
        <w:spacing w:line="600" w:lineRule="exact"/>
        <w:ind w:firstLine="640" w:firstLineChars="200"/>
        <w:rPr>
          <w:rFonts w:ascii="Times New Roman" w:hAnsi="Times New Roman" w:eastAsia="仿宋_GB2312"/>
          <w:sz w:val="32"/>
          <w:szCs w:val="32"/>
        </w:rPr>
      </w:pPr>
      <w:r>
        <w:rPr>
          <w:rFonts w:ascii="Times New Roman" w:hAnsi="仿宋_GB2312" w:eastAsia="仿宋_GB2312"/>
          <w:sz w:val="32"/>
          <w:szCs w:val="32"/>
        </w:rPr>
        <w:t>评价指标：</w:t>
      </w:r>
    </w:p>
    <w:p w14:paraId="33460664">
      <w:pPr>
        <w:spacing w:line="600" w:lineRule="exact"/>
        <w:ind w:firstLine="640" w:firstLineChars="200"/>
        <w:rPr>
          <w:rFonts w:ascii="Times New Roman" w:hAnsi="Times New Roman" w:eastAsia="仿宋_GB2312"/>
          <w:sz w:val="32"/>
          <w:szCs w:val="32"/>
        </w:rPr>
      </w:pPr>
      <w:r>
        <w:rPr>
          <w:rFonts w:ascii="Times New Roman" w:hAnsi="仿宋_GB2312" w:eastAsia="仿宋_GB2312"/>
          <w:sz w:val="32"/>
          <w:szCs w:val="32"/>
        </w:rPr>
        <w:t>依据已有的研究数据，关于定性分析，阳性符合率、阴性符合率的</w:t>
      </w:r>
      <w:r>
        <w:rPr>
          <w:rFonts w:ascii="Times New Roman" w:hAnsi="Times New Roman" w:eastAsia="仿宋_GB2312"/>
          <w:sz w:val="32"/>
          <w:szCs w:val="32"/>
        </w:rPr>
        <w:t>95%</w:t>
      </w:r>
      <w:r>
        <w:rPr>
          <w:rFonts w:ascii="Times New Roman" w:hAnsi="仿宋_GB2312" w:eastAsia="仿宋_GB2312"/>
          <w:sz w:val="32"/>
          <w:szCs w:val="32"/>
        </w:rPr>
        <w:t>置信区间下限一般不低于</w:t>
      </w:r>
      <w:r>
        <w:rPr>
          <w:rFonts w:ascii="Times New Roman" w:hAnsi="Times New Roman" w:eastAsia="仿宋_GB2312"/>
          <w:sz w:val="32"/>
          <w:szCs w:val="32"/>
        </w:rPr>
        <w:t>90%</w:t>
      </w:r>
      <w:r>
        <w:rPr>
          <w:rFonts w:ascii="Times New Roman" w:hAnsi="仿宋_GB2312" w:eastAsia="仿宋_GB2312"/>
          <w:sz w:val="32"/>
          <w:szCs w:val="32"/>
        </w:rPr>
        <w:t>；</w:t>
      </w:r>
      <w:r>
        <w:rPr>
          <w:rFonts w:ascii="Times New Roman" w:hAnsi="Times New Roman" w:eastAsia="仿宋_GB2312"/>
          <w:sz w:val="32"/>
          <w:szCs w:val="32"/>
        </w:rPr>
        <w:t>关于定量分析，相关系数一般应大于0.95，回归系数一般在0.9～1.1之间。</w:t>
      </w:r>
    </w:p>
    <w:p w14:paraId="544C5457">
      <w:pPr>
        <w:spacing w:line="600" w:lineRule="exact"/>
        <w:ind w:firstLine="640" w:firstLineChars="200"/>
        <w:rPr>
          <w:rFonts w:ascii="Times New Roman" w:hAnsi="Times New Roman" w:eastAsia="仿宋_GB2312"/>
          <w:sz w:val="32"/>
          <w:szCs w:val="32"/>
        </w:rPr>
      </w:pPr>
      <w:r>
        <w:rPr>
          <w:rFonts w:ascii="Times New Roman" w:hAnsi="仿宋_GB2312" w:eastAsia="仿宋_GB2312"/>
          <w:sz w:val="32"/>
          <w:szCs w:val="32"/>
        </w:rPr>
        <w:t>本要点仅针对异常凝血酶原测定试剂临床试验中重点关注的内容，其他内容应遵循体外诊断试剂相关法规、文件的要求。</w:t>
      </w:r>
    </w:p>
    <w:p w14:paraId="0D492516">
      <w:pPr>
        <w:spacing w:line="600" w:lineRule="exact"/>
        <w:ind w:firstLine="640" w:firstLineChars="200"/>
        <w:rPr>
          <w:rFonts w:ascii="Times New Roman" w:hAnsi="Times New Roman" w:eastAsia="仿宋_GB2312"/>
          <w:sz w:val="32"/>
          <w:szCs w:val="32"/>
        </w:rPr>
      </w:pPr>
    </w:p>
    <w:p w14:paraId="35353F43">
      <w:pPr>
        <w:ind w:right="-67" w:rightChars="-32"/>
        <w:rPr>
          <w:rFonts w:hint="eastAsia" w:eastAsia="宋体"/>
          <w:lang w:eastAsia="zh-CN"/>
        </w:rPr>
      </w:pPr>
    </w:p>
    <w:p w14:paraId="64122D2C">
      <w:pPr>
        <w:ind w:right="-67" w:rightChars="-32"/>
        <w:jc w:val="center"/>
        <w:rPr>
          <w:rFonts w:hint="eastAsia" w:eastAsia="宋体"/>
          <w:lang w:eastAsia="zh-CN"/>
        </w:rPr>
      </w:pPr>
    </w:p>
    <w:p w14:paraId="0B629578">
      <w:pPr>
        <w:ind w:right="-67" w:rightChars="-32"/>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5"/>
                    <a:stretch>
                      <a:fillRect/>
                    </a:stretch>
                  </pic:blipFill>
                  <pic:spPr>
                    <a:xfrm>
                      <a:off x="0" y="0"/>
                      <a:ext cx="5210175" cy="7343775"/>
                    </a:xfrm>
                    <a:prstGeom prst="rect">
                      <a:avLst/>
                    </a:prstGeom>
                  </pic:spPr>
                </pic:pic>
              </a:graphicData>
            </a:graphic>
          </wp:inline>
        </w:drawing>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42927269"/>
      <w:docPartObj>
        <w:docPartGallery w:val="AutoText"/>
      </w:docPartObj>
    </w:sdtPr>
    <w:sdtContent>
      <w:p w14:paraId="6D6D691A">
        <w:pPr>
          <w:pStyle w:val="17"/>
          <w:jc w:val="center"/>
        </w:pPr>
        <w:r>
          <w:fldChar w:fldCharType="begin"/>
        </w:r>
        <w:r>
          <w:instrText xml:space="preserve">PAGE   \* MERGEFORMAT</w:instrText>
        </w:r>
        <w:r>
          <w:fldChar w:fldCharType="separate"/>
        </w:r>
        <w:r>
          <w:rPr>
            <w:lang w:val="zh-CN"/>
          </w:rPr>
          <w:t>2</w:t>
        </w:r>
        <w:r>
          <w:fldChar w:fldCharType="end"/>
        </w:r>
      </w:p>
    </w:sdtContent>
  </w:sdt>
  <w:p w14:paraId="2C6E7594">
    <w:pPr>
      <w:pStyle w:val="1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isplayHorizontalDrawingGridEvery w:val="0"/>
  <w:displayVerticalDrawingGridEvery w:val="2"/>
  <w:characterSpacingControl w:val="compressPunctuation"/>
  <w:compat>
    <w:balanceSingleByteDoubleByteWidth/>
    <w:ulTrailSpace/>
    <w:doNotExpandShiftReturn/>
    <w:adjustLineHeightInTable/>
    <w:useFELayout/>
    <w:compatSetting w:name="compatibilityMode" w:uri="http://schemas.microsoft.com/office/word" w:val="12"/>
  </w:compat>
  <w:rsids>
    <w:rsidRoot w:val="008747E6"/>
    <w:rsid w:val="000155CF"/>
    <w:rsid w:val="000B76A6"/>
    <w:rsid w:val="000D6296"/>
    <w:rsid w:val="000D77A5"/>
    <w:rsid w:val="00122B8D"/>
    <w:rsid w:val="00127978"/>
    <w:rsid w:val="00132475"/>
    <w:rsid w:val="001734CB"/>
    <w:rsid w:val="00193A80"/>
    <w:rsid w:val="001A5112"/>
    <w:rsid w:val="001B1819"/>
    <w:rsid w:val="00241357"/>
    <w:rsid w:val="00276A07"/>
    <w:rsid w:val="002F592B"/>
    <w:rsid w:val="0030706F"/>
    <w:rsid w:val="00307AC5"/>
    <w:rsid w:val="00377AF3"/>
    <w:rsid w:val="00382FB4"/>
    <w:rsid w:val="003A5464"/>
    <w:rsid w:val="003D6978"/>
    <w:rsid w:val="003D6E4D"/>
    <w:rsid w:val="0040330F"/>
    <w:rsid w:val="00426556"/>
    <w:rsid w:val="00432C90"/>
    <w:rsid w:val="00437A2B"/>
    <w:rsid w:val="004757D7"/>
    <w:rsid w:val="0048454D"/>
    <w:rsid w:val="004862A4"/>
    <w:rsid w:val="00502870"/>
    <w:rsid w:val="0050503F"/>
    <w:rsid w:val="005B1D71"/>
    <w:rsid w:val="005B7339"/>
    <w:rsid w:val="005C1762"/>
    <w:rsid w:val="005D32E7"/>
    <w:rsid w:val="005D3318"/>
    <w:rsid w:val="005E76B2"/>
    <w:rsid w:val="006032A6"/>
    <w:rsid w:val="0065322F"/>
    <w:rsid w:val="006B131B"/>
    <w:rsid w:val="00706E71"/>
    <w:rsid w:val="00714A2D"/>
    <w:rsid w:val="00716FBA"/>
    <w:rsid w:val="007B210B"/>
    <w:rsid w:val="00826DE2"/>
    <w:rsid w:val="00843C92"/>
    <w:rsid w:val="008661E9"/>
    <w:rsid w:val="008747E6"/>
    <w:rsid w:val="0090178C"/>
    <w:rsid w:val="00983473"/>
    <w:rsid w:val="009A3906"/>
    <w:rsid w:val="009A76AA"/>
    <w:rsid w:val="009E1EA6"/>
    <w:rsid w:val="00A66AB8"/>
    <w:rsid w:val="00AA20DD"/>
    <w:rsid w:val="00AA498C"/>
    <w:rsid w:val="00AD5476"/>
    <w:rsid w:val="00AF2D11"/>
    <w:rsid w:val="00B24295"/>
    <w:rsid w:val="00BC019C"/>
    <w:rsid w:val="00C04BAB"/>
    <w:rsid w:val="00C47326"/>
    <w:rsid w:val="00C517C1"/>
    <w:rsid w:val="00C73025"/>
    <w:rsid w:val="00C913CD"/>
    <w:rsid w:val="00CA186D"/>
    <w:rsid w:val="00CD216B"/>
    <w:rsid w:val="00D05F40"/>
    <w:rsid w:val="00D66C1F"/>
    <w:rsid w:val="00D919FD"/>
    <w:rsid w:val="00DF329C"/>
    <w:rsid w:val="00DF580D"/>
    <w:rsid w:val="00E32EE5"/>
    <w:rsid w:val="00E7491D"/>
    <w:rsid w:val="00F410ED"/>
    <w:rsid w:val="00F84379"/>
    <w:rsid w:val="00F955E4"/>
    <w:rsid w:val="00FC242D"/>
    <w:rsid w:val="103C53F1"/>
    <w:rsid w:val="16FC3676"/>
    <w:rsid w:val="22175009"/>
    <w:rsid w:val="2E842D92"/>
    <w:rsid w:val="448909B8"/>
    <w:rsid w:val="69954DCA"/>
    <w:rsid w:val="72ED3EF8"/>
  </w:rsids>
  <m:mathPr>
    <m:mathFont m:val="Cambria Math"/>
    <m:brkBin m:val="before"/>
    <m:brkBinSub m:val="--"/>
    <m:smallFrac m:val="1"/>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nhideWhenUsed="0" w:uiPriority="8" w:semiHidden="0" w:name="heading 2"/>
    <w:lsdException w:qFormat="1" w:unhideWhenUsed="0" w:uiPriority="9" w:semiHidden="0" w:name="heading 3"/>
    <w:lsdException w:qFormat="1" w:unhideWhenUsed="0" w:uiPriority="10" w:semiHidden="0" w:name="heading 4"/>
    <w:lsdException w:qFormat="1" w:unhideWhenUsed="0" w:uiPriority="11" w:semiHidden="0" w:name="heading 5"/>
    <w:lsdException w:qFormat="1" w:unhideWhenUsed="0" w:uiPriority="12" w:semiHidden="0" w:name="heading 6"/>
    <w:lsdException w:qFormat="1" w:unhideWhenUsed="0" w:uiPriority="13" w:semiHidden="0" w:name="heading 7"/>
    <w:lsdException w:qFormat="1" w:unhideWhenUsed="0" w:uiPriority="14" w:semiHidden="0" w:name="heading 8"/>
    <w:lsdException w:qFormat="1" w:unhideWhenUsed="0" w:uiPriority="15"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28" w:semiHidden="0" w:name="toc 1"/>
    <w:lsdException w:qFormat="1" w:uiPriority="29" w:semiHidden="0" w:name="toc 2"/>
    <w:lsdException w:qFormat="1" w:uiPriority="30" w:semiHidden="0" w:name="toc 3"/>
    <w:lsdException w:qFormat="1" w:uiPriority="31" w:semiHidden="0" w:name="toc 4"/>
    <w:lsdException w:qFormat="1" w:uiPriority="32" w:semiHidden="0" w:name="toc 5"/>
    <w:lsdException w:qFormat="1" w:uiPriority="33" w:semiHidden="0" w:name="toc 6"/>
    <w:lsdException w:qFormat="1" w:uiPriority="34" w:semiHidden="0" w:name="toc 7"/>
    <w:lsdException w:qFormat="1" w:uiPriority="35" w:semiHidden="0" w:name="toc 8"/>
    <w:lsdException w:qFormat="1" w:uiPriority="36" w:semiHidden="0"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6"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6"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0" w:semiHidden="0" w:name="Strong"/>
    <w:lsdException w:qFormat="1" w:unhideWhenUsed="0" w:uiPriority="18"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7" w:semiHidden="0" w:name="Table Grid"/>
    <w:lsdException w:uiPriority="99" w:name="Table Theme"/>
    <w:lsdException w:qFormat="1" w:unhideWhenUsed="0" w:uiPriority="5"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qFormat="1" w:unhideWhenUsed="0" w:uiPriority="21" w:semiHidden="0" w:name="Quote"/>
    <w:lsdException w:qFormat="1" w:unhideWhenUsed="0" w:uiPriority="22"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jc w:val="both"/>
    </w:pPr>
    <w:rPr>
      <w:rFonts w:ascii="Calibri" w:hAnsi="Calibri" w:eastAsia="宋体" w:cs="Times New Roman"/>
      <w:sz w:val="21"/>
      <w:szCs w:val="21"/>
      <w:lang w:val="en-US" w:eastAsia="zh-CN" w:bidi="ar-SA"/>
    </w:rPr>
  </w:style>
  <w:style w:type="paragraph" w:styleId="2">
    <w:name w:val="heading 1"/>
    <w:next w:val="1"/>
    <w:qFormat/>
    <w:uiPriority w:val="7"/>
    <w:pPr>
      <w:jc w:val="both"/>
      <w:outlineLvl w:val="0"/>
    </w:pPr>
    <w:rPr>
      <w:rFonts w:ascii="Calibri" w:hAnsi="Calibri" w:eastAsia="宋体" w:cs="Times New Roman"/>
      <w:sz w:val="28"/>
      <w:szCs w:val="28"/>
      <w:lang w:val="en-US" w:eastAsia="zh-CN" w:bidi="ar-SA"/>
    </w:rPr>
  </w:style>
  <w:style w:type="paragraph" w:styleId="3">
    <w:name w:val="heading 2"/>
    <w:next w:val="1"/>
    <w:qFormat/>
    <w:uiPriority w:val="8"/>
    <w:pPr>
      <w:jc w:val="both"/>
      <w:outlineLvl w:val="1"/>
    </w:pPr>
    <w:rPr>
      <w:rFonts w:ascii="Calibri" w:hAnsi="Calibri" w:eastAsia="宋体" w:cs="Times New Roman"/>
      <w:sz w:val="21"/>
      <w:szCs w:val="21"/>
      <w:lang w:val="en-US" w:eastAsia="zh-CN" w:bidi="ar-SA"/>
    </w:rPr>
  </w:style>
  <w:style w:type="paragraph" w:styleId="4">
    <w:name w:val="heading 3"/>
    <w:next w:val="1"/>
    <w:qFormat/>
    <w:uiPriority w:val="9"/>
    <w:pPr>
      <w:ind w:left="1000" w:hanging="400"/>
      <w:jc w:val="both"/>
      <w:outlineLvl w:val="2"/>
    </w:pPr>
    <w:rPr>
      <w:rFonts w:ascii="Calibri" w:hAnsi="Calibri" w:eastAsia="宋体" w:cs="Times New Roman"/>
      <w:sz w:val="21"/>
      <w:szCs w:val="21"/>
      <w:lang w:val="en-US" w:eastAsia="zh-CN" w:bidi="ar-SA"/>
    </w:rPr>
  </w:style>
  <w:style w:type="paragraph" w:styleId="5">
    <w:name w:val="heading 4"/>
    <w:next w:val="1"/>
    <w:qFormat/>
    <w:uiPriority w:val="10"/>
    <w:pPr>
      <w:ind w:left="1200" w:hanging="400"/>
      <w:jc w:val="both"/>
      <w:outlineLvl w:val="3"/>
    </w:pPr>
    <w:rPr>
      <w:rFonts w:ascii="Calibri" w:hAnsi="Calibri" w:eastAsia="宋体" w:cs="Times New Roman"/>
      <w:b/>
      <w:sz w:val="21"/>
      <w:szCs w:val="21"/>
      <w:lang w:val="en-US" w:eastAsia="zh-CN" w:bidi="ar-SA"/>
    </w:rPr>
  </w:style>
  <w:style w:type="paragraph" w:styleId="6">
    <w:name w:val="heading 5"/>
    <w:next w:val="1"/>
    <w:qFormat/>
    <w:uiPriority w:val="11"/>
    <w:pPr>
      <w:ind w:left="1400" w:hanging="400"/>
      <w:jc w:val="both"/>
      <w:outlineLvl w:val="4"/>
    </w:pPr>
    <w:rPr>
      <w:rFonts w:ascii="Calibri" w:hAnsi="Calibri" w:eastAsia="宋体" w:cs="Times New Roman"/>
      <w:sz w:val="21"/>
      <w:szCs w:val="21"/>
      <w:lang w:val="en-US" w:eastAsia="zh-CN" w:bidi="ar-SA"/>
    </w:rPr>
  </w:style>
  <w:style w:type="paragraph" w:styleId="7">
    <w:name w:val="heading 6"/>
    <w:next w:val="1"/>
    <w:qFormat/>
    <w:uiPriority w:val="12"/>
    <w:pPr>
      <w:ind w:left="1600" w:hanging="400"/>
      <w:jc w:val="both"/>
      <w:outlineLvl w:val="5"/>
    </w:pPr>
    <w:rPr>
      <w:rFonts w:ascii="Calibri" w:hAnsi="Calibri" w:eastAsia="宋体" w:cs="Times New Roman"/>
      <w:b/>
      <w:sz w:val="21"/>
      <w:szCs w:val="21"/>
      <w:lang w:val="en-US" w:eastAsia="zh-CN" w:bidi="ar-SA"/>
    </w:rPr>
  </w:style>
  <w:style w:type="paragraph" w:styleId="8">
    <w:name w:val="heading 7"/>
    <w:next w:val="1"/>
    <w:qFormat/>
    <w:uiPriority w:val="13"/>
    <w:pPr>
      <w:ind w:left="1800" w:hanging="400"/>
      <w:jc w:val="both"/>
      <w:outlineLvl w:val="6"/>
    </w:pPr>
    <w:rPr>
      <w:rFonts w:ascii="Calibri" w:hAnsi="Calibri" w:eastAsia="宋体" w:cs="Times New Roman"/>
      <w:sz w:val="21"/>
      <w:szCs w:val="21"/>
      <w:lang w:val="en-US" w:eastAsia="zh-CN" w:bidi="ar-SA"/>
    </w:rPr>
  </w:style>
  <w:style w:type="paragraph" w:styleId="9">
    <w:name w:val="heading 8"/>
    <w:next w:val="1"/>
    <w:qFormat/>
    <w:uiPriority w:val="14"/>
    <w:pPr>
      <w:ind w:left="2000" w:hanging="400"/>
      <w:jc w:val="both"/>
      <w:outlineLvl w:val="7"/>
    </w:pPr>
    <w:rPr>
      <w:rFonts w:ascii="Calibri" w:hAnsi="Calibri" w:eastAsia="宋体" w:cs="Times New Roman"/>
      <w:sz w:val="21"/>
      <w:szCs w:val="21"/>
      <w:lang w:val="en-US" w:eastAsia="zh-CN" w:bidi="ar-SA"/>
    </w:rPr>
  </w:style>
  <w:style w:type="paragraph" w:styleId="10">
    <w:name w:val="heading 9"/>
    <w:next w:val="1"/>
    <w:qFormat/>
    <w:uiPriority w:val="15"/>
    <w:pPr>
      <w:ind w:left="2200" w:hanging="400"/>
      <w:jc w:val="both"/>
      <w:outlineLvl w:val="8"/>
    </w:pPr>
    <w:rPr>
      <w:rFonts w:ascii="Calibri" w:hAnsi="Calibri" w:eastAsia="宋体" w:cs="Times New Roman"/>
      <w:sz w:val="21"/>
      <w:szCs w:val="21"/>
      <w:lang w:val="en-US" w:eastAsia="zh-CN" w:bidi="ar-SA"/>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toc 7"/>
    <w:next w:val="1"/>
    <w:unhideWhenUsed/>
    <w:qFormat/>
    <w:uiPriority w:val="34"/>
    <w:pPr>
      <w:ind w:left="2550"/>
      <w:jc w:val="both"/>
    </w:pPr>
    <w:rPr>
      <w:rFonts w:ascii="Calibri" w:hAnsi="Calibri" w:eastAsia="宋体" w:cs="Times New Roman"/>
      <w:sz w:val="21"/>
      <w:szCs w:val="21"/>
      <w:lang w:val="en-US" w:eastAsia="zh-CN" w:bidi="ar-SA"/>
    </w:rPr>
  </w:style>
  <w:style w:type="paragraph" w:styleId="12">
    <w:name w:val="annotation text"/>
    <w:basedOn w:val="1"/>
    <w:link w:val="47"/>
    <w:unhideWhenUsed/>
    <w:qFormat/>
    <w:uiPriority w:val="99"/>
    <w:pPr>
      <w:jc w:val="left"/>
    </w:pPr>
  </w:style>
  <w:style w:type="paragraph" w:styleId="13">
    <w:name w:val="toc 5"/>
    <w:next w:val="1"/>
    <w:unhideWhenUsed/>
    <w:qFormat/>
    <w:uiPriority w:val="32"/>
    <w:pPr>
      <w:ind w:left="1700"/>
      <w:jc w:val="both"/>
    </w:pPr>
    <w:rPr>
      <w:rFonts w:ascii="Calibri" w:hAnsi="Calibri" w:eastAsia="宋体" w:cs="Times New Roman"/>
      <w:sz w:val="21"/>
      <w:szCs w:val="21"/>
      <w:lang w:val="en-US" w:eastAsia="zh-CN" w:bidi="ar-SA"/>
    </w:rPr>
  </w:style>
  <w:style w:type="paragraph" w:styleId="14">
    <w:name w:val="toc 3"/>
    <w:next w:val="1"/>
    <w:unhideWhenUsed/>
    <w:qFormat/>
    <w:uiPriority w:val="30"/>
    <w:pPr>
      <w:ind w:left="850"/>
      <w:jc w:val="both"/>
    </w:pPr>
    <w:rPr>
      <w:rFonts w:ascii="Calibri" w:hAnsi="Calibri" w:eastAsia="宋体" w:cs="Times New Roman"/>
      <w:sz w:val="21"/>
      <w:szCs w:val="21"/>
      <w:lang w:val="en-US" w:eastAsia="zh-CN" w:bidi="ar-SA"/>
    </w:rPr>
  </w:style>
  <w:style w:type="paragraph" w:styleId="15">
    <w:name w:val="toc 8"/>
    <w:next w:val="1"/>
    <w:unhideWhenUsed/>
    <w:qFormat/>
    <w:uiPriority w:val="35"/>
    <w:pPr>
      <w:ind w:left="2975"/>
      <w:jc w:val="both"/>
    </w:pPr>
    <w:rPr>
      <w:rFonts w:ascii="Calibri" w:hAnsi="Calibri" w:eastAsia="宋体" w:cs="Times New Roman"/>
      <w:sz w:val="21"/>
      <w:szCs w:val="21"/>
      <w:lang w:val="en-US" w:eastAsia="zh-CN" w:bidi="ar-SA"/>
    </w:rPr>
  </w:style>
  <w:style w:type="paragraph" w:styleId="16">
    <w:name w:val="Balloon Text"/>
    <w:basedOn w:val="1"/>
    <w:link w:val="46"/>
    <w:unhideWhenUsed/>
    <w:qFormat/>
    <w:uiPriority w:val="0"/>
    <w:rPr>
      <w:sz w:val="18"/>
      <w:szCs w:val="18"/>
    </w:rPr>
  </w:style>
  <w:style w:type="paragraph" w:styleId="17">
    <w:name w:val="footer"/>
    <w:basedOn w:val="1"/>
    <w:link w:val="45"/>
    <w:unhideWhenUsed/>
    <w:qFormat/>
    <w:uiPriority w:val="99"/>
    <w:pPr>
      <w:tabs>
        <w:tab w:val="center" w:pos="4153"/>
        <w:tab w:val="right" w:pos="8306"/>
      </w:tabs>
    </w:pPr>
    <w:rPr>
      <w:sz w:val="18"/>
      <w:szCs w:val="18"/>
    </w:rPr>
  </w:style>
  <w:style w:type="paragraph" w:styleId="18">
    <w:name w:val="header"/>
    <w:basedOn w:val="1"/>
    <w:link w:val="44"/>
    <w:unhideWhenUsed/>
    <w:qFormat/>
    <w:uiPriority w:val="0"/>
    <w:pPr>
      <w:tabs>
        <w:tab w:val="center" w:pos="4153"/>
        <w:tab w:val="right" w:pos="8306"/>
      </w:tabs>
      <w:jc w:val="center"/>
    </w:pPr>
    <w:rPr>
      <w:sz w:val="18"/>
      <w:szCs w:val="18"/>
    </w:rPr>
  </w:style>
  <w:style w:type="paragraph" w:styleId="19">
    <w:name w:val="toc 1"/>
    <w:next w:val="1"/>
    <w:unhideWhenUsed/>
    <w:qFormat/>
    <w:uiPriority w:val="28"/>
    <w:pPr>
      <w:jc w:val="both"/>
    </w:pPr>
    <w:rPr>
      <w:rFonts w:ascii="Calibri" w:hAnsi="Calibri" w:eastAsia="宋体" w:cs="Times New Roman"/>
      <w:sz w:val="21"/>
      <w:szCs w:val="21"/>
      <w:lang w:val="en-US" w:eastAsia="zh-CN" w:bidi="ar-SA"/>
    </w:rPr>
  </w:style>
  <w:style w:type="paragraph" w:styleId="20">
    <w:name w:val="toc 4"/>
    <w:next w:val="1"/>
    <w:unhideWhenUsed/>
    <w:qFormat/>
    <w:uiPriority w:val="31"/>
    <w:pPr>
      <w:ind w:left="1275"/>
      <w:jc w:val="both"/>
    </w:pPr>
    <w:rPr>
      <w:rFonts w:ascii="Calibri" w:hAnsi="Calibri" w:eastAsia="宋体" w:cs="Times New Roman"/>
      <w:sz w:val="21"/>
      <w:szCs w:val="21"/>
      <w:lang w:val="en-US" w:eastAsia="zh-CN" w:bidi="ar-SA"/>
    </w:rPr>
  </w:style>
  <w:style w:type="paragraph" w:styleId="21">
    <w:name w:val="Subtitle"/>
    <w:qFormat/>
    <w:uiPriority w:val="16"/>
    <w:pPr>
      <w:jc w:val="center"/>
    </w:pPr>
    <w:rPr>
      <w:rFonts w:ascii="Calibri" w:hAnsi="Calibri" w:eastAsia="宋体" w:cs="Times New Roman"/>
      <w:sz w:val="24"/>
      <w:szCs w:val="24"/>
      <w:lang w:val="en-US" w:eastAsia="zh-CN" w:bidi="ar-SA"/>
    </w:rPr>
  </w:style>
  <w:style w:type="paragraph" w:styleId="22">
    <w:name w:val="toc 6"/>
    <w:next w:val="1"/>
    <w:unhideWhenUsed/>
    <w:qFormat/>
    <w:uiPriority w:val="33"/>
    <w:pPr>
      <w:ind w:left="2125"/>
      <w:jc w:val="both"/>
    </w:pPr>
    <w:rPr>
      <w:rFonts w:ascii="Calibri" w:hAnsi="Calibri" w:eastAsia="宋体" w:cs="Times New Roman"/>
      <w:sz w:val="21"/>
      <w:szCs w:val="21"/>
      <w:lang w:val="en-US" w:eastAsia="zh-CN" w:bidi="ar-SA"/>
    </w:rPr>
  </w:style>
  <w:style w:type="paragraph" w:styleId="23">
    <w:name w:val="toc 2"/>
    <w:next w:val="1"/>
    <w:unhideWhenUsed/>
    <w:qFormat/>
    <w:uiPriority w:val="29"/>
    <w:pPr>
      <w:ind w:left="425"/>
      <w:jc w:val="both"/>
    </w:pPr>
    <w:rPr>
      <w:rFonts w:ascii="Calibri" w:hAnsi="Calibri" w:eastAsia="宋体" w:cs="Times New Roman"/>
      <w:sz w:val="21"/>
      <w:szCs w:val="21"/>
      <w:lang w:val="en-US" w:eastAsia="zh-CN" w:bidi="ar-SA"/>
    </w:rPr>
  </w:style>
  <w:style w:type="paragraph" w:styleId="24">
    <w:name w:val="toc 9"/>
    <w:next w:val="1"/>
    <w:unhideWhenUsed/>
    <w:qFormat/>
    <w:uiPriority w:val="36"/>
    <w:pPr>
      <w:ind w:left="3400"/>
      <w:jc w:val="both"/>
    </w:pPr>
    <w:rPr>
      <w:rFonts w:ascii="Calibri" w:hAnsi="Calibri" w:eastAsia="宋体" w:cs="Times New Roman"/>
      <w:sz w:val="21"/>
      <w:szCs w:val="21"/>
      <w:lang w:val="en-US" w:eastAsia="zh-CN" w:bidi="ar-SA"/>
    </w:rPr>
  </w:style>
  <w:style w:type="paragraph" w:styleId="25">
    <w:name w:val="Normal (Web)"/>
    <w:basedOn w:val="1"/>
    <w:unhideWhenUsed/>
    <w:qFormat/>
    <w:uiPriority w:val="99"/>
    <w:pPr>
      <w:spacing w:before="75" w:after="75"/>
      <w:jc w:val="left"/>
    </w:pPr>
    <w:rPr>
      <w:rFonts w:ascii="宋体" w:hAnsi="宋体" w:cs="宋体"/>
      <w:sz w:val="24"/>
      <w:szCs w:val="24"/>
    </w:rPr>
  </w:style>
  <w:style w:type="paragraph" w:styleId="26">
    <w:name w:val="Title"/>
    <w:qFormat/>
    <w:uiPriority w:val="6"/>
    <w:pPr>
      <w:jc w:val="center"/>
    </w:pPr>
    <w:rPr>
      <w:rFonts w:ascii="Calibri" w:hAnsi="Calibri" w:eastAsia="宋体" w:cs="Times New Roman"/>
      <w:b/>
      <w:sz w:val="32"/>
      <w:szCs w:val="32"/>
      <w:lang w:val="en-US" w:eastAsia="zh-CN" w:bidi="ar-SA"/>
    </w:rPr>
  </w:style>
  <w:style w:type="paragraph" w:styleId="27">
    <w:name w:val="annotation subject"/>
    <w:basedOn w:val="12"/>
    <w:next w:val="12"/>
    <w:link w:val="48"/>
    <w:unhideWhenUsed/>
    <w:qFormat/>
    <w:uiPriority w:val="99"/>
    <w:rPr>
      <w:b/>
      <w:bCs/>
    </w:rPr>
  </w:style>
  <w:style w:type="table" w:styleId="29">
    <w:name w:val="Table Grid"/>
    <w:basedOn w:val="28"/>
    <w:qFormat/>
    <w:uiPriority w:val="37"/>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qFormat/>
    <w:uiPriority w:val="20"/>
    <w:rPr>
      <w:b/>
      <w:w w:val="100"/>
      <w:sz w:val="21"/>
      <w:szCs w:val="21"/>
      <w:shd w:val="clear" w:color="000000" w:fill="auto"/>
    </w:rPr>
  </w:style>
  <w:style w:type="character" w:styleId="32">
    <w:name w:val="Emphasis"/>
    <w:qFormat/>
    <w:uiPriority w:val="18"/>
    <w:rPr>
      <w:i/>
      <w:w w:val="100"/>
      <w:sz w:val="21"/>
      <w:szCs w:val="21"/>
      <w:shd w:val="clear" w:color="000000" w:fill="auto"/>
    </w:rPr>
  </w:style>
  <w:style w:type="character" w:styleId="33">
    <w:name w:val="annotation reference"/>
    <w:basedOn w:val="30"/>
    <w:unhideWhenUsed/>
    <w:qFormat/>
    <w:uiPriority w:val="99"/>
    <w:rPr>
      <w:sz w:val="21"/>
      <w:szCs w:val="21"/>
    </w:rPr>
  </w:style>
  <w:style w:type="paragraph" w:styleId="34">
    <w:name w:val="No Spacing"/>
    <w:qFormat/>
    <w:uiPriority w:val="5"/>
    <w:pPr>
      <w:jc w:val="both"/>
    </w:pPr>
    <w:rPr>
      <w:rFonts w:ascii="Calibri" w:hAnsi="Calibri" w:eastAsia="宋体" w:cs="Times New Roman"/>
      <w:sz w:val="21"/>
      <w:szCs w:val="21"/>
      <w:lang w:val="en-US" w:eastAsia="zh-CN" w:bidi="ar-SA"/>
    </w:rPr>
  </w:style>
  <w:style w:type="character" w:customStyle="1" w:styleId="35">
    <w:name w:val="不明显强调1"/>
    <w:qFormat/>
    <w:uiPriority w:val="17"/>
    <w:rPr>
      <w:i/>
      <w:color w:val="404040"/>
      <w:w w:val="100"/>
      <w:sz w:val="21"/>
      <w:szCs w:val="21"/>
      <w:shd w:val="clear" w:color="000000" w:fill="auto"/>
    </w:rPr>
  </w:style>
  <w:style w:type="character" w:customStyle="1" w:styleId="36">
    <w:name w:val="明显强调1"/>
    <w:qFormat/>
    <w:uiPriority w:val="19"/>
    <w:rPr>
      <w:i/>
      <w:color w:val="5B9BD5"/>
      <w:w w:val="100"/>
      <w:sz w:val="21"/>
      <w:szCs w:val="21"/>
      <w:shd w:val="clear" w:color="000000" w:fill="auto"/>
    </w:rPr>
  </w:style>
  <w:style w:type="paragraph" w:styleId="37">
    <w:name w:val="Quote"/>
    <w:qFormat/>
    <w:uiPriority w:val="21"/>
    <w:pPr>
      <w:ind w:left="864" w:right="864"/>
      <w:jc w:val="center"/>
    </w:pPr>
    <w:rPr>
      <w:rFonts w:ascii="Calibri" w:hAnsi="Calibri" w:eastAsia="宋体" w:cs="Times New Roman"/>
      <w:i/>
      <w:color w:val="404040"/>
      <w:sz w:val="21"/>
      <w:szCs w:val="21"/>
      <w:lang w:val="en-US" w:eastAsia="zh-CN" w:bidi="ar-SA"/>
    </w:rPr>
  </w:style>
  <w:style w:type="paragraph" w:styleId="38">
    <w:name w:val="Intense Quote"/>
    <w:qFormat/>
    <w:uiPriority w:val="22"/>
    <w:pPr>
      <w:ind w:left="950" w:right="950"/>
      <w:jc w:val="center"/>
    </w:pPr>
    <w:rPr>
      <w:rFonts w:ascii="Calibri" w:hAnsi="Calibri" w:eastAsia="宋体" w:cs="Times New Roman"/>
      <w:i/>
      <w:color w:val="5B9BD5"/>
      <w:sz w:val="21"/>
      <w:szCs w:val="21"/>
      <w:lang w:val="en-US" w:eastAsia="zh-CN" w:bidi="ar-SA"/>
    </w:rPr>
  </w:style>
  <w:style w:type="character" w:customStyle="1" w:styleId="39">
    <w:name w:val="不明显参考1"/>
    <w:qFormat/>
    <w:uiPriority w:val="23"/>
    <w:rPr>
      <w:smallCaps/>
      <w:color w:val="5A5A5A"/>
      <w:w w:val="100"/>
      <w:sz w:val="21"/>
      <w:szCs w:val="21"/>
      <w:shd w:val="clear" w:color="000000" w:fill="auto"/>
    </w:rPr>
  </w:style>
  <w:style w:type="character" w:customStyle="1" w:styleId="40">
    <w:name w:val="明显参考1"/>
    <w:qFormat/>
    <w:uiPriority w:val="24"/>
    <w:rPr>
      <w:b/>
      <w:smallCaps/>
      <w:color w:val="5B9BD5"/>
      <w:w w:val="100"/>
      <w:sz w:val="21"/>
      <w:szCs w:val="21"/>
      <w:shd w:val="clear" w:color="000000" w:fill="auto"/>
    </w:rPr>
  </w:style>
  <w:style w:type="character" w:customStyle="1" w:styleId="41">
    <w:name w:val="书籍标题1"/>
    <w:qFormat/>
    <w:uiPriority w:val="25"/>
    <w:rPr>
      <w:b/>
      <w:i/>
      <w:w w:val="100"/>
      <w:sz w:val="21"/>
      <w:szCs w:val="21"/>
      <w:shd w:val="clear" w:color="000000" w:fill="auto"/>
    </w:rPr>
  </w:style>
  <w:style w:type="paragraph" w:styleId="42">
    <w:name w:val="List Paragraph"/>
    <w:qFormat/>
    <w:uiPriority w:val="26"/>
    <w:pPr>
      <w:ind w:left="850"/>
      <w:jc w:val="both"/>
    </w:pPr>
    <w:rPr>
      <w:rFonts w:ascii="Calibri" w:hAnsi="Calibri" w:eastAsia="宋体" w:cs="Times New Roman"/>
      <w:sz w:val="21"/>
      <w:szCs w:val="21"/>
      <w:lang w:val="en-US" w:eastAsia="zh-CN" w:bidi="ar-SA"/>
    </w:rPr>
  </w:style>
  <w:style w:type="paragraph" w:customStyle="1" w:styleId="43">
    <w:name w:val="TOC 标题1"/>
    <w:unhideWhenUsed/>
    <w:qFormat/>
    <w:uiPriority w:val="27"/>
    <w:rPr>
      <w:rFonts w:ascii="Calibri" w:hAnsi="Calibri" w:eastAsia="宋体" w:cs="Times New Roman"/>
      <w:color w:val="2E74B5"/>
      <w:sz w:val="32"/>
      <w:szCs w:val="32"/>
      <w:lang w:val="en-US" w:eastAsia="zh-CN" w:bidi="ar-SA"/>
    </w:rPr>
  </w:style>
  <w:style w:type="character" w:customStyle="1" w:styleId="44">
    <w:name w:val="页眉 Char"/>
    <w:basedOn w:val="30"/>
    <w:link w:val="18"/>
    <w:semiHidden/>
    <w:qFormat/>
    <w:uiPriority w:val="0"/>
    <w:rPr>
      <w:w w:val="100"/>
      <w:sz w:val="18"/>
      <w:szCs w:val="18"/>
      <w:shd w:val="clear" w:color="000000" w:fill="auto"/>
    </w:rPr>
  </w:style>
  <w:style w:type="character" w:customStyle="1" w:styleId="45">
    <w:name w:val="页脚 Char"/>
    <w:basedOn w:val="30"/>
    <w:link w:val="17"/>
    <w:qFormat/>
    <w:uiPriority w:val="99"/>
    <w:rPr>
      <w:w w:val="100"/>
      <w:sz w:val="18"/>
      <w:szCs w:val="18"/>
      <w:shd w:val="clear" w:color="000000" w:fill="auto"/>
    </w:rPr>
  </w:style>
  <w:style w:type="character" w:customStyle="1" w:styleId="46">
    <w:name w:val="批注框文本 Char"/>
    <w:basedOn w:val="30"/>
    <w:link w:val="16"/>
    <w:semiHidden/>
    <w:qFormat/>
    <w:uiPriority w:val="0"/>
    <w:rPr>
      <w:w w:val="100"/>
      <w:sz w:val="18"/>
      <w:szCs w:val="18"/>
      <w:shd w:val="clear" w:color="000000" w:fill="auto"/>
    </w:rPr>
  </w:style>
  <w:style w:type="character" w:customStyle="1" w:styleId="47">
    <w:name w:val="批注文字 Char"/>
    <w:basedOn w:val="30"/>
    <w:link w:val="12"/>
    <w:semiHidden/>
    <w:qFormat/>
    <w:uiPriority w:val="99"/>
    <w:rPr>
      <w:sz w:val="21"/>
      <w:szCs w:val="21"/>
    </w:rPr>
  </w:style>
  <w:style w:type="character" w:customStyle="1" w:styleId="48">
    <w:name w:val="批注主题 Char"/>
    <w:basedOn w:val="47"/>
    <w:link w:val="27"/>
    <w:semiHidden/>
    <w:qFormat/>
    <w:uiPriority w:val="99"/>
    <w:rPr>
      <w:b/>
      <w:bCs/>
      <w:sz w:val="21"/>
      <w:szCs w:val="21"/>
    </w:rPr>
  </w:style>
  <w:style w:type="paragraph" w:customStyle="1" w:styleId="49">
    <w:name w:val="Revision"/>
    <w:hidden/>
    <w:semiHidden/>
    <w:qFormat/>
    <w:uiPriority w:val="99"/>
    <w:rPr>
      <w:rFonts w:ascii="Calibri" w:hAnsi="Calibri"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1120</Words>
  <Characters>1161</Characters>
  <Lines>8</Lines>
  <Paragraphs>2</Paragraphs>
  <TotalTime>37</TotalTime>
  <ScaleCrop>false</ScaleCrop>
  <LinksUpToDate>false</LinksUpToDate>
  <CharactersWithSpaces>1161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2020-09-17T02:48:00Z</dcterms:created>
  <dc:creator>吕允凤</dc:creator>
  <cp:lastModifiedBy>太极箫客</cp:lastModifiedBy>
  <dcterms:modified xsi:type="dcterms:W3CDTF">2025-08-14T06:52:16Z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A0C482A7F1C5433FA7AC972B82F3F3F9_12</vt:lpwstr>
  </property>
</Properties>
</file>