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639CF">
      <w:pPr>
        <w:topLinePunct/>
        <w:adjustRightInd w:val="0"/>
        <w:snapToGrid w:val="0"/>
        <w:spacing w:after="270" w:afterLines="75" w:line="288" w:lineRule="auto"/>
        <w:jc w:val="both"/>
        <w:rPr>
          <w:rFonts w:ascii="Arial" w:hAnsi="Arial" w:eastAsia="宋体" w:cs="Arial"/>
          <w:snapToGrid w:val="0"/>
          <w:lang w:eastAsia="zh-CN"/>
        </w:rPr>
      </w:pPr>
      <w:bookmarkStart w:id="23" w:name="_GoBack"/>
      <w:bookmarkEnd w:id="23"/>
    </w:p>
    <w:p w14:paraId="2543B437">
      <w:pPr>
        <w:topLinePunct/>
        <w:adjustRightInd w:val="0"/>
        <w:snapToGrid w:val="0"/>
        <w:spacing w:after="270" w:afterLines="75" w:line="288" w:lineRule="auto"/>
        <w:jc w:val="both"/>
        <w:rPr>
          <w:rFonts w:ascii="Arial" w:hAnsi="Arial" w:eastAsia="宋体" w:cs="Arial"/>
          <w:snapToGrid w:val="0"/>
          <w:lang w:eastAsia="zh-CN"/>
        </w:rPr>
      </w:pPr>
    </w:p>
    <w:p w14:paraId="7FD2B2EE">
      <w:pPr>
        <w:topLinePunct/>
        <w:adjustRightInd w:val="0"/>
        <w:snapToGrid w:val="0"/>
        <w:spacing w:after="270" w:afterLines="75" w:line="288" w:lineRule="auto"/>
        <w:jc w:val="both"/>
        <w:rPr>
          <w:rFonts w:ascii="Arial" w:hAnsi="Arial" w:eastAsia="宋体" w:cs="Arial"/>
          <w:snapToGrid w:val="0"/>
          <w:lang w:eastAsia="zh-CN"/>
        </w:rPr>
      </w:pPr>
    </w:p>
    <w:p w14:paraId="121D3A09">
      <w:pPr>
        <w:topLinePunct/>
        <w:adjustRightInd w:val="0"/>
        <w:snapToGrid w:val="0"/>
        <w:spacing w:after="270" w:afterLines="75" w:line="288" w:lineRule="auto"/>
        <w:jc w:val="both"/>
        <w:rPr>
          <w:rFonts w:ascii="Arial" w:hAnsi="Arial" w:eastAsia="宋体" w:cs="Arial"/>
          <w:snapToGrid w:val="0"/>
          <w:lang w:eastAsia="zh-CN"/>
        </w:rPr>
      </w:pPr>
    </w:p>
    <w:p w14:paraId="4BB01BDA">
      <w:pPr>
        <w:topLinePunct/>
        <w:adjustRightInd w:val="0"/>
        <w:snapToGrid w:val="0"/>
        <w:spacing w:after="270" w:afterLines="75" w:line="288" w:lineRule="auto"/>
        <w:jc w:val="both"/>
        <w:rPr>
          <w:rFonts w:ascii="Arial" w:hAnsi="Arial" w:eastAsia="宋体" w:cs="Arial"/>
          <w:snapToGrid w:val="0"/>
          <w:lang w:eastAsia="zh-CN"/>
        </w:rPr>
      </w:pPr>
    </w:p>
    <w:p w14:paraId="7A5356C3">
      <w:pPr>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本指南于1997年2月27日实施FDA良好指导规范（</w:t>
      </w:r>
      <w:r>
        <w:rPr>
          <w:rFonts w:ascii="Arial" w:hAnsi="Arial" w:eastAsia="宋体" w:cs="Arial"/>
          <w:snapToGrid w:val="0"/>
          <w:lang w:eastAsia="zh-CN"/>
        </w:rPr>
        <w:t>GGP</w:t>
      </w:r>
      <w:r>
        <w:rPr>
          <w:rFonts w:hint="eastAsia" w:ascii="Arial" w:hAnsi="Arial" w:eastAsia="宋体" w:cs="Arial"/>
          <w:snapToGrid w:val="0"/>
          <w:lang w:eastAsia="zh-CN"/>
        </w:rPr>
        <w:t>）之前编写。</w:t>
      </w:r>
      <w:r>
        <w:rPr>
          <w:rFonts w:ascii="Arial" w:hAnsi="Arial" w:eastAsia="宋体" w:cs="Arial"/>
          <w:snapToGrid w:val="0"/>
          <w:lang w:eastAsia="zh-CN"/>
        </w:rPr>
        <w:t>其不会为任何人创造或赋予权利，也不会对FDA或公众产生约束。如果替代方法满足适用的法律</w:t>
      </w:r>
      <w:r>
        <w:rPr>
          <w:rFonts w:hint="eastAsia" w:ascii="Arial" w:hAnsi="Arial" w:eastAsia="宋体" w:cs="Arial"/>
          <w:snapToGrid w:val="0"/>
          <w:lang w:eastAsia="zh-CN"/>
        </w:rPr>
        <w:t>、</w:t>
      </w:r>
      <w:r>
        <w:rPr>
          <w:rFonts w:ascii="Arial" w:hAnsi="Arial" w:eastAsia="宋体" w:cs="Arial"/>
          <w:snapToGrid w:val="0"/>
          <w:lang w:eastAsia="zh-CN"/>
        </w:rPr>
        <w:t>法规</w:t>
      </w:r>
      <w:r>
        <w:rPr>
          <w:rFonts w:hint="eastAsia" w:ascii="Arial" w:hAnsi="Arial" w:eastAsia="宋体" w:cs="Arial"/>
          <w:snapToGrid w:val="0"/>
          <w:lang w:eastAsia="zh-CN"/>
        </w:rPr>
        <w:t>或两者</w:t>
      </w:r>
      <w:r>
        <w:rPr>
          <w:rFonts w:ascii="Arial" w:hAnsi="Arial" w:eastAsia="宋体" w:cs="Arial"/>
          <w:snapToGrid w:val="0"/>
          <w:lang w:eastAsia="zh-CN"/>
        </w:rPr>
        <w:t>的要求，则可以使用该方法。</w:t>
      </w:r>
      <w:r>
        <w:rPr>
          <w:rFonts w:hint="eastAsia" w:ascii="Arial" w:hAnsi="Arial" w:eastAsia="宋体" w:cs="Arial"/>
          <w:snapToGrid w:val="0"/>
          <w:lang w:eastAsia="zh-CN"/>
        </w:rPr>
        <w:t>下一次修订本指导性文件时将包含</w:t>
      </w:r>
      <w:r>
        <w:rPr>
          <w:rFonts w:ascii="Arial" w:hAnsi="Arial" w:eastAsia="宋体" w:cs="Arial"/>
          <w:snapToGrid w:val="0"/>
          <w:lang w:eastAsia="zh-CN"/>
        </w:rPr>
        <w:t>GGP</w:t>
      </w:r>
      <w:r>
        <w:rPr>
          <w:rFonts w:hint="eastAsia" w:ascii="Arial" w:hAnsi="Arial" w:eastAsia="宋体" w:cs="Arial"/>
          <w:snapToGrid w:val="0"/>
          <w:lang w:eastAsia="zh-CN"/>
        </w:rPr>
        <w:t>的标准元素。</w:t>
      </w:r>
    </w:p>
    <w:p w14:paraId="30F3322A">
      <w:pPr>
        <w:topLinePunct/>
        <w:adjustRightInd w:val="0"/>
        <w:snapToGrid w:val="0"/>
        <w:spacing w:after="270" w:afterLines="75" w:line="288" w:lineRule="auto"/>
        <w:jc w:val="both"/>
        <w:rPr>
          <w:rFonts w:ascii="Arial" w:hAnsi="Arial" w:eastAsia="宋体" w:cs="Arial"/>
          <w:snapToGrid w:val="0"/>
          <w:lang w:eastAsia="zh-CN"/>
        </w:rPr>
      </w:pPr>
    </w:p>
    <w:p w14:paraId="2A0FCDA6">
      <w:pPr>
        <w:topLinePunct/>
        <w:adjustRightInd w:val="0"/>
        <w:snapToGrid w:val="0"/>
        <w:spacing w:after="270" w:afterLines="75" w:line="288" w:lineRule="auto"/>
        <w:jc w:val="both"/>
        <w:rPr>
          <w:rFonts w:ascii="Arial" w:hAnsi="Arial" w:eastAsia="宋体" w:cs="Arial"/>
          <w:snapToGrid w:val="0"/>
          <w:lang w:eastAsia="zh-CN"/>
        </w:rPr>
        <w:sectPr>
          <w:headerReference r:id="rId6" w:type="first"/>
          <w:footerReference r:id="rId7" w:type="first"/>
          <w:headerReference r:id="rId5" w:type="default"/>
          <w:pgSz w:w="11906" w:h="16838"/>
          <w:pgMar w:top="1134" w:right="1440" w:bottom="1134" w:left="1440" w:header="720" w:footer="720" w:gutter="0"/>
          <w:cols w:space="720" w:num="1"/>
          <w:docGrid w:type="lines" w:linePitch="360" w:charSpace="0"/>
        </w:sectPr>
      </w:pPr>
    </w:p>
    <w:p w14:paraId="271B0173">
      <w:pPr>
        <w:pStyle w:val="12"/>
        <w:shd w:val="clear" w:color="auto" w:fill="auto"/>
        <w:topLinePunct/>
        <w:adjustRightInd w:val="0"/>
        <w:snapToGrid w:val="0"/>
        <w:spacing w:line="360" w:lineRule="auto"/>
        <w:rPr>
          <w:rFonts w:ascii="Arial" w:hAnsi="Arial" w:eastAsia="宋体" w:cs="Arial"/>
          <w:b/>
          <w:snapToGrid w:val="0"/>
          <w:sz w:val="32"/>
          <w:lang w:eastAsia="zh-CN"/>
        </w:rPr>
      </w:pPr>
      <w:r>
        <w:rPr>
          <w:rFonts w:hint="eastAsia" w:ascii="Arial" w:hAnsi="Arial" w:eastAsia="宋体" w:cs="Arial"/>
          <w:b/>
          <w:snapToGrid w:val="0"/>
          <w:sz w:val="32"/>
          <w:lang w:eastAsia="zh-CN"/>
        </w:rPr>
        <w:t>尿液引流袋</w:t>
      </w:r>
      <w:r>
        <w:rPr>
          <w:rFonts w:hint="eastAsia" w:ascii="Arial" w:hAnsi="Arial" w:eastAsia="宋体" w:cs="Arial"/>
          <w:b/>
          <w:sz w:val="32"/>
          <w:lang w:eastAsia="zh-CN" w:bidi="ar-SA"/>
        </w:rPr>
        <w:drawing>
          <wp:anchor distT="0" distB="0" distL="114300" distR="114300" simplePos="0" relativeHeight="251659264" behindDoc="1" locked="0" layoutInCell="0" allowOverlap="1">
            <wp:simplePos x="0" y="0"/>
            <wp:positionH relativeFrom="column">
              <wp:posOffset>-628650</wp:posOffset>
            </wp:positionH>
            <wp:positionV relativeFrom="paragraph">
              <wp:posOffset>-626110</wp:posOffset>
            </wp:positionV>
            <wp:extent cx="636905" cy="3238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37200" cy="324000"/>
                    </a:xfrm>
                    <a:prstGeom prst="rect">
                      <a:avLst/>
                    </a:prstGeom>
                    <a:noFill/>
                    <a:ln>
                      <a:noFill/>
                    </a:ln>
                  </pic:spPr>
                </pic:pic>
              </a:graphicData>
            </a:graphic>
          </wp:anchor>
        </w:drawing>
      </w:r>
      <w:r>
        <w:rPr>
          <w:rFonts w:hint="eastAsia" w:ascii="Arial" w:hAnsi="Arial" w:eastAsia="宋体" w:cs="Arial"/>
          <w:b/>
          <w:snapToGrid w:val="0"/>
          <w:sz w:val="32"/>
          <w:lang w:eastAsia="zh-CN"/>
        </w:rPr>
        <w:t>上市前通知内容指南</w:t>
      </w:r>
    </w:p>
    <w:p w14:paraId="59A0D77A">
      <w:pPr>
        <w:pStyle w:val="12"/>
        <w:shd w:val="clear" w:color="auto" w:fill="auto"/>
        <w:topLinePunct/>
        <w:adjustRightInd w:val="0"/>
        <w:snapToGrid w:val="0"/>
        <w:spacing w:before="180" w:beforeLines="50" w:line="360" w:lineRule="auto"/>
        <w:jc w:val="both"/>
        <w:rPr>
          <w:rFonts w:ascii="Arial" w:hAnsi="Arial" w:eastAsia="宋体" w:cs="Arial"/>
          <w:snapToGrid w:val="0"/>
          <w:lang w:eastAsia="zh-CN"/>
        </w:rPr>
      </w:pPr>
      <w:r>
        <w:rPr>
          <w:rFonts w:ascii="Arial" w:hAnsi="Arial" w:eastAsia="宋体" w:cs="Arial"/>
          <w:snapToGrid w:val="0"/>
        </w:rPr>
        <w:t>FDA</w:t>
      </w:r>
      <w:r>
        <w:rPr>
          <w:rFonts w:hint="eastAsia" w:ascii="Arial" w:hAnsi="Arial" w:eastAsia="宋体" w:cs="Arial"/>
          <w:snapToGrid w:val="0"/>
          <w:lang w:eastAsia="zh-CN"/>
        </w:rPr>
        <w:t>法规</w:t>
      </w:r>
      <w:r>
        <w:rPr>
          <w:rFonts w:ascii="Arial" w:hAnsi="Arial" w:eastAsia="宋体" w:cs="Arial"/>
          <w:snapToGrid w:val="0"/>
        </w:rPr>
        <w:t xml:space="preserve">21 CFR 876.5250 (a) </w:t>
      </w:r>
      <w:r>
        <w:rPr>
          <w:rFonts w:hint="eastAsia" w:ascii="Arial" w:hAnsi="Arial" w:eastAsia="宋体" w:cs="Arial"/>
          <w:snapToGrid w:val="0"/>
          <w:lang w:eastAsia="zh-CN"/>
        </w:rPr>
        <w:t>-</w:t>
      </w:r>
      <w:r>
        <w:rPr>
          <w:rFonts w:ascii="Arial" w:hAnsi="Arial" w:eastAsia="宋体" w:cs="Arial"/>
          <w:snapToGrid w:val="0"/>
          <w:lang w:eastAsia="zh-CN"/>
        </w:rPr>
        <w:t>尿液收集器及附件</w:t>
      </w:r>
      <w:r>
        <w:rPr>
          <w:rFonts w:hint="eastAsia" w:ascii="Arial" w:hAnsi="Arial" w:eastAsia="宋体" w:cs="Arial"/>
          <w:snapToGrid w:val="0"/>
          <w:lang w:eastAsia="zh-CN"/>
        </w:rPr>
        <w:t>描述尿液引流袋是一种</w:t>
      </w:r>
      <w:r>
        <w:rPr>
          <w:rFonts w:hint="eastAsia" w:ascii="宋体" w:hAnsi="宋体" w:eastAsia="宋体" w:cs="Arial"/>
          <w:snapToGrid w:val="0"/>
          <w:lang w:eastAsia="zh-CN"/>
        </w:rPr>
        <w:t>“</w:t>
      </w:r>
      <w:r>
        <w:rPr>
          <w:rFonts w:hint="eastAsia" w:ascii="Arial" w:hAnsi="Arial" w:eastAsia="宋体" w:cs="Arial"/>
          <w:snapToGrid w:val="0"/>
          <w:lang w:eastAsia="zh-CN"/>
        </w:rPr>
        <w:t>预期收集尿液的器械。器械及附件由导管、合适的容器、连接器、机械支持件组成且可能包含一种防止尿液回流或感染上行的方法。</w:t>
      </w:r>
      <w:r>
        <w:rPr>
          <w:rFonts w:ascii="Arial" w:hAnsi="Arial" w:eastAsia="宋体" w:cs="Arial"/>
          <w:snapToGrid w:val="0"/>
          <w:lang w:eastAsia="zh-CN"/>
        </w:rPr>
        <w:t>尿液收集器</w:t>
      </w:r>
      <w:r>
        <w:rPr>
          <w:rFonts w:hint="eastAsia" w:ascii="Arial" w:hAnsi="Arial" w:eastAsia="宋体" w:cs="Arial"/>
          <w:snapToGrid w:val="0"/>
          <w:lang w:eastAsia="zh-CN"/>
        </w:rPr>
        <w:t>有两种：（</w:t>
      </w:r>
      <w:r>
        <w:rPr>
          <w:rFonts w:ascii="Arial" w:hAnsi="Arial" w:eastAsia="宋体" w:cs="Arial"/>
          <w:snapToGrid w:val="0"/>
          <w:lang w:eastAsia="zh-CN"/>
        </w:rPr>
        <w:t>1）</w:t>
      </w:r>
      <w:r>
        <w:rPr>
          <w:rFonts w:hint="eastAsia" w:ascii="Arial" w:hAnsi="Arial" w:eastAsia="宋体" w:cs="Arial"/>
          <w:snapToGrid w:val="0"/>
          <w:lang w:eastAsia="zh-CN"/>
        </w:rPr>
        <w:t>预期与留置导管连接的</w:t>
      </w:r>
      <w:r>
        <w:rPr>
          <w:rFonts w:ascii="Arial" w:hAnsi="Arial" w:eastAsia="宋体" w:cs="Arial"/>
          <w:snapToGrid w:val="0"/>
          <w:lang w:eastAsia="zh-CN"/>
        </w:rPr>
        <w:t>尿液收集器及附件</w:t>
      </w:r>
      <w:r>
        <w:rPr>
          <w:rFonts w:hint="eastAsia" w:ascii="Arial" w:hAnsi="Arial" w:eastAsia="宋体" w:cs="Arial"/>
          <w:snapToGrid w:val="0"/>
          <w:lang w:eastAsia="zh-CN"/>
        </w:rPr>
        <w:t>，包含尿液引流收集套件、</w:t>
      </w:r>
      <w:bookmarkStart w:id="0" w:name="OLE_LINK11"/>
      <w:bookmarkStart w:id="1" w:name="OLE_LINK12"/>
      <w:r>
        <w:rPr>
          <w:rFonts w:hint="eastAsia" w:ascii="Arial" w:hAnsi="Arial" w:eastAsia="宋体" w:cs="Arial"/>
          <w:snapToGrid w:val="0"/>
          <w:lang w:eastAsia="zh-CN"/>
        </w:rPr>
        <w:t>封闭的尿液引流系统</w:t>
      </w:r>
      <w:bookmarkEnd w:id="0"/>
      <w:bookmarkEnd w:id="1"/>
      <w:r>
        <w:rPr>
          <w:rFonts w:hint="eastAsia" w:ascii="Arial" w:hAnsi="Arial" w:eastAsia="宋体" w:cs="Arial"/>
          <w:snapToGrid w:val="0"/>
          <w:lang w:eastAsia="zh-CN"/>
        </w:rPr>
        <w:t>和引流袋；和（</w:t>
      </w:r>
      <w:r>
        <w:rPr>
          <w:rFonts w:ascii="Arial" w:hAnsi="Arial" w:eastAsia="宋体" w:cs="Arial"/>
          <w:snapToGrid w:val="0"/>
          <w:lang w:eastAsia="zh-CN"/>
        </w:rPr>
        <w:t>2）</w:t>
      </w:r>
      <w:r>
        <w:rPr>
          <w:rFonts w:hint="eastAsia" w:ascii="Arial" w:hAnsi="Arial" w:eastAsia="宋体" w:cs="Arial"/>
          <w:snapToGrid w:val="0"/>
          <w:lang w:eastAsia="zh-CN"/>
        </w:rPr>
        <w:t>不与留置导管连接的尿液收集器及附件，包含波纹橡胶管鞘、小儿</w:t>
      </w:r>
      <w:r>
        <w:rPr>
          <w:rFonts w:ascii="Arial" w:hAnsi="Arial" w:eastAsia="宋体" w:cs="Arial"/>
          <w:snapToGrid w:val="0"/>
          <w:lang w:eastAsia="zh-CN"/>
        </w:rPr>
        <w:t>尿液收集器</w:t>
      </w:r>
      <w:r>
        <w:rPr>
          <w:rFonts w:hint="eastAsia" w:ascii="Arial" w:hAnsi="Arial" w:eastAsia="宋体" w:cs="Arial"/>
          <w:snapToGrid w:val="0"/>
          <w:lang w:eastAsia="zh-CN"/>
        </w:rPr>
        <w:t>、外用绑腿尿袋、尿管鞘类型失禁器械和</w:t>
      </w:r>
      <w:bookmarkStart w:id="2" w:name="OLE_LINK8"/>
      <w:bookmarkStart w:id="3" w:name="OLE_LINK9"/>
      <w:bookmarkStart w:id="4" w:name="OLE_LINK10"/>
      <w:r>
        <w:rPr>
          <w:rFonts w:hint="eastAsia" w:ascii="Arial" w:hAnsi="Arial" w:eastAsia="宋体" w:cs="Arial"/>
          <w:snapToGrid w:val="0"/>
          <w:lang w:eastAsia="zh-CN"/>
        </w:rPr>
        <w:t>粘贴类失禁器械</w:t>
      </w:r>
      <w:bookmarkEnd w:id="2"/>
      <w:bookmarkEnd w:id="3"/>
      <w:bookmarkEnd w:id="4"/>
      <w:r>
        <w:rPr>
          <w:rFonts w:hint="eastAsia"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这种器械与留置导管一同使用时为II类器械，与</w:t>
      </w:r>
      <w:r>
        <w:rPr>
          <w:rFonts w:ascii="Arial" w:hAnsi="Arial" w:eastAsia="宋体" w:cs="Arial"/>
          <w:snapToGrid w:val="0"/>
          <w:lang w:eastAsia="zh-CN"/>
        </w:rPr>
        <w:t>21CFR 876.5250（b）</w:t>
      </w:r>
      <w:r>
        <w:rPr>
          <w:rFonts w:hint="eastAsia" w:ascii="Arial" w:hAnsi="Arial" w:eastAsia="宋体" w:cs="Arial"/>
          <w:snapToGrid w:val="0"/>
          <w:lang w:eastAsia="zh-CN"/>
        </w:rPr>
        <w:t>所述的外部导管一同使用时为I类器械。</w:t>
      </w:r>
    </w:p>
    <w:p w14:paraId="78089E32">
      <w:pPr>
        <w:pStyle w:val="12"/>
        <w:shd w:val="clear" w:color="auto" w:fill="auto"/>
        <w:topLinePunct/>
        <w:adjustRightInd w:val="0"/>
        <w:snapToGrid w:val="0"/>
        <w:spacing w:before="180" w:beforeLines="50" w:line="360" w:lineRule="auto"/>
        <w:jc w:val="both"/>
        <w:rPr>
          <w:rFonts w:ascii="Arial" w:hAnsi="Arial" w:eastAsia="宋体" w:cs="Arial"/>
          <w:snapToGrid w:val="0"/>
          <w:lang w:eastAsia="zh-CN"/>
        </w:rPr>
      </w:pPr>
      <w:r>
        <w:rPr>
          <w:rFonts w:hint="eastAsia" w:ascii="Arial" w:hAnsi="Arial" w:eastAsia="宋体" w:cs="Arial"/>
          <w:snapToGrid w:val="0"/>
          <w:lang w:eastAsia="zh-CN"/>
        </w:rPr>
        <w:t>属于这种类属型的器械有：</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9"/>
        <w:gridCol w:w="1651"/>
        <w:gridCol w:w="6632"/>
      </w:tblGrid>
      <w:tr w14:paraId="6B56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23BB3646">
            <w:pPr>
              <w:pStyle w:val="12"/>
              <w:shd w:val="clear" w:color="auto" w:fill="auto"/>
              <w:topLinePunct/>
              <w:adjustRightInd w:val="0"/>
              <w:snapToGrid w:val="0"/>
              <w:spacing w:line="300" w:lineRule="auto"/>
              <w:jc w:val="both"/>
              <w:rPr>
                <w:rFonts w:ascii="Arial" w:hAnsi="Arial" w:eastAsia="宋体" w:cs="Arial"/>
                <w:snapToGrid w:val="0"/>
                <w:u w:val="single"/>
              </w:rPr>
            </w:pPr>
            <w:r>
              <w:rPr>
                <w:rStyle w:val="18"/>
                <w:rFonts w:hint="eastAsia" w:ascii="Arial" w:hAnsi="Arial" w:eastAsia="宋体" w:cs="Arial"/>
                <w:snapToGrid w:val="0"/>
                <w:u w:val="single"/>
                <w:lang w:eastAsia="zh-CN"/>
              </w:rPr>
              <w:t>分类</w:t>
            </w:r>
          </w:p>
        </w:tc>
        <w:tc>
          <w:tcPr>
            <w:tcW w:w="893" w:type="pct"/>
          </w:tcPr>
          <w:p w14:paraId="51808F22">
            <w:pPr>
              <w:pStyle w:val="12"/>
              <w:shd w:val="clear" w:color="auto" w:fill="auto"/>
              <w:topLinePunct/>
              <w:adjustRightInd w:val="0"/>
              <w:snapToGrid w:val="0"/>
              <w:spacing w:line="300" w:lineRule="auto"/>
              <w:jc w:val="both"/>
              <w:rPr>
                <w:rFonts w:ascii="Arial" w:hAnsi="Arial" w:eastAsia="宋体" w:cs="Arial"/>
                <w:snapToGrid w:val="0"/>
                <w:u w:val="single"/>
                <w:lang w:eastAsia="zh-CN"/>
              </w:rPr>
            </w:pPr>
            <w:r>
              <w:rPr>
                <w:rStyle w:val="18"/>
                <w:rFonts w:hint="eastAsia" w:ascii="Arial" w:hAnsi="Arial" w:eastAsia="宋体" w:cs="Arial"/>
                <w:snapToGrid w:val="0"/>
                <w:u w:val="single"/>
                <w:lang w:eastAsia="zh-CN"/>
              </w:rPr>
              <w:t>产品代码</w:t>
            </w:r>
          </w:p>
        </w:tc>
        <w:tc>
          <w:tcPr>
            <w:tcW w:w="3588" w:type="pct"/>
          </w:tcPr>
          <w:p w14:paraId="3FF82685">
            <w:pPr>
              <w:pStyle w:val="12"/>
              <w:shd w:val="clear" w:color="auto" w:fill="auto"/>
              <w:topLinePunct/>
              <w:adjustRightInd w:val="0"/>
              <w:snapToGrid w:val="0"/>
              <w:spacing w:line="300" w:lineRule="auto"/>
              <w:jc w:val="both"/>
              <w:rPr>
                <w:rFonts w:ascii="Arial" w:hAnsi="Arial" w:eastAsia="宋体" w:cs="Arial"/>
                <w:snapToGrid w:val="0"/>
                <w:u w:val="single"/>
                <w:lang w:eastAsia="zh-CN"/>
              </w:rPr>
            </w:pPr>
            <w:r>
              <w:rPr>
                <w:rStyle w:val="18"/>
                <w:rFonts w:hint="eastAsia" w:ascii="Arial" w:hAnsi="Arial" w:eastAsia="宋体" w:cs="Arial"/>
                <w:snapToGrid w:val="0"/>
                <w:u w:val="single"/>
                <w:lang w:eastAsia="zh-CN"/>
              </w:rPr>
              <w:t>器械名称</w:t>
            </w:r>
          </w:p>
        </w:tc>
      </w:tr>
      <w:tr w14:paraId="6CA7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3ED18546">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w:t>
            </w:r>
          </w:p>
        </w:tc>
        <w:tc>
          <w:tcPr>
            <w:tcW w:w="893" w:type="pct"/>
          </w:tcPr>
          <w:p w14:paraId="72C679FD">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FAQ</w:t>
            </w:r>
          </w:p>
        </w:tc>
        <w:tc>
          <w:tcPr>
            <w:tcW w:w="3588" w:type="pct"/>
          </w:tcPr>
          <w:p w14:paraId="6E7CAC23">
            <w:pPr>
              <w:pStyle w:val="12"/>
              <w:shd w:val="clear" w:color="auto" w:fill="auto"/>
              <w:topLinePunct/>
              <w:adjustRightInd w:val="0"/>
              <w:snapToGrid w:val="0"/>
              <w:spacing w:line="300" w:lineRule="auto"/>
              <w:jc w:val="both"/>
              <w:rPr>
                <w:rFonts w:ascii="Arial" w:hAnsi="Arial" w:eastAsia="宋体" w:cs="Arial"/>
                <w:snapToGrid w:val="0"/>
                <w:lang w:eastAsia="zh-CN"/>
              </w:rPr>
            </w:pPr>
            <w:r>
              <w:rPr>
                <w:rStyle w:val="18"/>
                <w:rFonts w:hint="eastAsia" w:ascii="Arial" w:hAnsi="Arial" w:eastAsia="宋体" w:cs="Arial"/>
                <w:snapToGrid w:val="0"/>
                <w:lang w:eastAsia="zh-CN"/>
              </w:rPr>
              <w:t>外用绑腿尿液引流袋</w:t>
            </w:r>
          </w:p>
        </w:tc>
      </w:tr>
      <w:tr w14:paraId="06D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748BB16C">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w:t>
            </w:r>
          </w:p>
        </w:tc>
        <w:tc>
          <w:tcPr>
            <w:tcW w:w="893" w:type="pct"/>
          </w:tcPr>
          <w:p w14:paraId="250A8DBA">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FOC</w:t>
            </w:r>
          </w:p>
        </w:tc>
        <w:tc>
          <w:tcPr>
            <w:tcW w:w="3588" w:type="pct"/>
          </w:tcPr>
          <w:p w14:paraId="502CA181">
            <w:pPr>
              <w:pStyle w:val="12"/>
              <w:shd w:val="clear" w:color="auto" w:fill="auto"/>
              <w:topLinePunct/>
              <w:adjustRightInd w:val="0"/>
              <w:snapToGrid w:val="0"/>
              <w:spacing w:line="300" w:lineRule="auto"/>
              <w:jc w:val="both"/>
              <w:rPr>
                <w:rFonts w:ascii="Arial" w:hAnsi="Arial" w:eastAsia="宋体" w:cs="Arial"/>
                <w:snapToGrid w:val="0"/>
                <w:lang w:eastAsia="zh-CN"/>
              </w:rPr>
            </w:pPr>
            <w:r>
              <w:rPr>
                <w:rStyle w:val="18"/>
                <w:rFonts w:hint="eastAsia" w:ascii="Arial" w:hAnsi="Arial" w:eastAsia="宋体" w:cs="Arial"/>
                <w:snapToGrid w:val="0"/>
                <w:lang w:eastAsia="zh-CN"/>
              </w:rPr>
              <w:t>新生儿尿液引流袋</w:t>
            </w:r>
          </w:p>
        </w:tc>
      </w:tr>
      <w:tr w14:paraId="3EB6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1192E4AA">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w:t>
            </w:r>
          </w:p>
        </w:tc>
        <w:tc>
          <w:tcPr>
            <w:tcW w:w="893" w:type="pct"/>
          </w:tcPr>
          <w:p w14:paraId="43F4D21E">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EXJ</w:t>
            </w:r>
          </w:p>
        </w:tc>
        <w:tc>
          <w:tcPr>
            <w:tcW w:w="3588" w:type="pct"/>
          </w:tcPr>
          <w:p w14:paraId="5BABB622">
            <w:pPr>
              <w:pStyle w:val="12"/>
              <w:shd w:val="clear" w:color="auto" w:fill="auto"/>
              <w:topLinePunct/>
              <w:adjustRightInd w:val="0"/>
              <w:snapToGrid w:val="0"/>
              <w:spacing w:line="300" w:lineRule="auto"/>
              <w:jc w:val="both"/>
              <w:rPr>
                <w:rFonts w:ascii="Arial" w:hAnsi="Arial" w:eastAsia="宋体" w:cs="Arial"/>
                <w:snapToGrid w:val="0"/>
              </w:rPr>
            </w:pPr>
            <w:r>
              <w:rPr>
                <w:rFonts w:hint="eastAsia" w:ascii="Arial" w:hAnsi="Arial" w:eastAsia="宋体" w:cs="Arial"/>
                <w:snapToGrid w:val="0"/>
                <w:lang w:eastAsia="zh-CN"/>
              </w:rPr>
              <w:t>尿管鞘类型失禁器械</w:t>
            </w:r>
          </w:p>
        </w:tc>
      </w:tr>
      <w:tr w14:paraId="7160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033DA3AC">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w:t>
            </w:r>
          </w:p>
        </w:tc>
        <w:tc>
          <w:tcPr>
            <w:tcW w:w="893" w:type="pct"/>
          </w:tcPr>
          <w:p w14:paraId="26460E3A">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EXI</w:t>
            </w:r>
          </w:p>
        </w:tc>
        <w:tc>
          <w:tcPr>
            <w:tcW w:w="3588" w:type="pct"/>
          </w:tcPr>
          <w:p w14:paraId="04D80CB7">
            <w:pPr>
              <w:pStyle w:val="12"/>
              <w:shd w:val="clear" w:color="auto" w:fill="auto"/>
              <w:topLinePunct/>
              <w:adjustRightInd w:val="0"/>
              <w:snapToGrid w:val="0"/>
              <w:spacing w:line="300" w:lineRule="auto"/>
              <w:jc w:val="both"/>
              <w:rPr>
                <w:rFonts w:ascii="Arial" w:hAnsi="Arial" w:eastAsia="宋体" w:cs="Arial"/>
                <w:snapToGrid w:val="0"/>
              </w:rPr>
            </w:pPr>
            <w:r>
              <w:rPr>
                <w:rFonts w:hint="eastAsia" w:ascii="Arial" w:hAnsi="Arial" w:eastAsia="宋体" w:cs="Arial"/>
                <w:snapToGrid w:val="0"/>
                <w:lang w:eastAsia="zh-CN"/>
              </w:rPr>
              <w:t>粘贴类失禁器械</w:t>
            </w:r>
          </w:p>
        </w:tc>
      </w:tr>
      <w:tr w14:paraId="4C28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12BCFA60">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w:t>
            </w:r>
          </w:p>
        </w:tc>
        <w:tc>
          <w:tcPr>
            <w:tcW w:w="893" w:type="pct"/>
          </w:tcPr>
          <w:p w14:paraId="7F3091F4">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EYT</w:t>
            </w:r>
          </w:p>
        </w:tc>
        <w:tc>
          <w:tcPr>
            <w:tcW w:w="3588" w:type="pct"/>
          </w:tcPr>
          <w:p w14:paraId="441146C7">
            <w:pPr>
              <w:pStyle w:val="12"/>
              <w:shd w:val="clear" w:color="auto" w:fill="auto"/>
              <w:topLinePunct/>
              <w:adjustRightInd w:val="0"/>
              <w:snapToGrid w:val="0"/>
              <w:spacing w:line="300" w:lineRule="auto"/>
              <w:jc w:val="both"/>
              <w:rPr>
                <w:rFonts w:ascii="Arial" w:hAnsi="Arial" w:eastAsia="宋体" w:cs="Arial"/>
                <w:snapToGrid w:val="0"/>
                <w:lang w:eastAsia="zh-CN"/>
              </w:rPr>
            </w:pPr>
            <w:r>
              <w:rPr>
                <w:rStyle w:val="18"/>
                <w:rFonts w:hint="eastAsia" w:ascii="Arial" w:hAnsi="Arial" w:eastAsia="宋体" w:cs="Arial"/>
                <w:snapToGrid w:val="0"/>
                <w:lang w:eastAsia="zh-CN"/>
              </w:rPr>
              <w:t>非留置导管的波纹橡胶管鞘</w:t>
            </w:r>
          </w:p>
        </w:tc>
      </w:tr>
      <w:tr w14:paraId="756E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55EC0F26">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II</w:t>
            </w:r>
          </w:p>
        </w:tc>
        <w:tc>
          <w:tcPr>
            <w:tcW w:w="893" w:type="pct"/>
          </w:tcPr>
          <w:p w14:paraId="7E64450D">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EYZ</w:t>
            </w:r>
          </w:p>
        </w:tc>
        <w:tc>
          <w:tcPr>
            <w:tcW w:w="3588" w:type="pct"/>
          </w:tcPr>
          <w:p w14:paraId="62E8A04E">
            <w:pPr>
              <w:pStyle w:val="12"/>
              <w:shd w:val="clear" w:color="auto" w:fill="auto"/>
              <w:topLinePunct/>
              <w:adjustRightInd w:val="0"/>
              <w:snapToGrid w:val="0"/>
              <w:spacing w:line="300" w:lineRule="auto"/>
              <w:jc w:val="both"/>
              <w:rPr>
                <w:rFonts w:ascii="Arial" w:hAnsi="Arial" w:eastAsia="宋体" w:cs="Arial"/>
                <w:snapToGrid w:val="0"/>
                <w:lang w:eastAsia="zh-CN"/>
              </w:rPr>
            </w:pPr>
            <w:r>
              <w:rPr>
                <w:rStyle w:val="18"/>
                <w:rFonts w:hint="eastAsia" w:ascii="Arial" w:hAnsi="Arial" w:eastAsia="宋体" w:cs="Arial"/>
                <w:snapToGrid w:val="0"/>
                <w:lang w:eastAsia="zh-CN"/>
              </w:rPr>
              <w:t>留置导管的封闭尿液引流系统</w:t>
            </w:r>
          </w:p>
        </w:tc>
      </w:tr>
      <w:tr w14:paraId="4F03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1BF1AF91">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II</w:t>
            </w:r>
          </w:p>
        </w:tc>
        <w:tc>
          <w:tcPr>
            <w:tcW w:w="893" w:type="pct"/>
          </w:tcPr>
          <w:p w14:paraId="3D4C4329">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FCN</w:t>
            </w:r>
          </w:p>
        </w:tc>
        <w:tc>
          <w:tcPr>
            <w:tcW w:w="3588" w:type="pct"/>
          </w:tcPr>
          <w:p w14:paraId="79F82CB8">
            <w:pPr>
              <w:pStyle w:val="12"/>
              <w:shd w:val="clear" w:color="auto" w:fill="auto"/>
              <w:topLinePunct/>
              <w:adjustRightInd w:val="0"/>
              <w:snapToGrid w:val="0"/>
              <w:spacing w:line="300" w:lineRule="auto"/>
              <w:jc w:val="both"/>
              <w:rPr>
                <w:rFonts w:ascii="Arial" w:hAnsi="Arial" w:eastAsia="宋体" w:cs="Arial"/>
                <w:snapToGrid w:val="0"/>
                <w:lang w:eastAsia="zh-CN"/>
              </w:rPr>
            </w:pPr>
            <w:r>
              <w:rPr>
                <w:rStyle w:val="18"/>
                <w:rFonts w:hint="eastAsia" w:ascii="Arial" w:hAnsi="Arial" w:eastAsia="宋体" w:cs="Arial"/>
                <w:snapToGrid w:val="0"/>
                <w:lang w:eastAsia="zh-CN"/>
              </w:rPr>
              <w:t>留置导管的</w:t>
            </w:r>
            <w:r>
              <w:rPr>
                <w:rFonts w:hint="eastAsia" w:ascii="Arial" w:hAnsi="Arial" w:eastAsia="宋体" w:cs="Arial"/>
                <w:snapToGrid w:val="0"/>
                <w:lang w:eastAsia="zh-CN"/>
              </w:rPr>
              <w:t>尿液引流收集套件</w:t>
            </w:r>
          </w:p>
        </w:tc>
      </w:tr>
      <w:tr w14:paraId="5347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57091499">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II</w:t>
            </w:r>
          </w:p>
        </w:tc>
        <w:tc>
          <w:tcPr>
            <w:tcW w:w="893" w:type="pct"/>
          </w:tcPr>
          <w:p w14:paraId="05C3BFEE">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KNX</w:t>
            </w:r>
          </w:p>
        </w:tc>
        <w:tc>
          <w:tcPr>
            <w:tcW w:w="3588" w:type="pct"/>
          </w:tcPr>
          <w:p w14:paraId="7256361A">
            <w:pPr>
              <w:pStyle w:val="12"/>
              <w:shd w:val="clear" w:color="auto" w:fill="auto"/>
              <w:topLinePunct/>
              <w:adjustRightInd w:val="0"/>
              <w:snapToGrid w:val="0"/>
              <w:spacing w:line="300" w:lineRule="auto"/>
              <w:jc w:val="both"/>
              <w:rPr>
                <w:rFonts w:ascii="Arial" w:hAnsi="Arial" w:eastAsia="宋体" w:cs="Arial"/>
                <w:snapToGrid w:val="0"/>
                <w:lang w:eastAsia="zh-CN"/>
              </w:rPr>
            </w:pPr>
            <w:r>
              <w:rPr>
                <w:rStyle w:val="18"/>
                <w:rFonts w:hint="eastAsia" w:ascii="Arial" w:hAnsi="Arial" w:eastAsia="宋体" w:cs="Arial"/>
                <w:snapToGrid w:val="0"/>
                <w:lang w:eastAsia="zh-CN"/>
              </w:rPr>
              <w:t>留置导管的尿液收集器（及附件）</w:t>
            </w:r>
          </w:p>
        </w:tc>
      </w:tr>
      <w:tr w14:paraId="068A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9" w:type="pct"/>
          </w:tcPr>
          <w:p w14:paraId="50A79679">
            <w:pPr>
              <w:pStyle w:val="12"/>
              <w:shd w:val="clear" w:color="auto" w:fill="auto"/>
              <w:topLinePunct/>
              <w:adjustRightInd w:val="0"/>
              <w:snapToGrid w:val="0"/>
              <w:spacing w:line="300" w:lineRule="auto"/>
              <w:jc w:val="both"/>
              <w:rPr>
                <w:rFonts w:ascii="Arial" w:hAnsi="Arial" w:eastAsia="宋体" w:cs="Arial"/>
                <w:snapToGrid w:val="0"/>
              </w:rPr>
            </w:pPr>
            <w:r>
              <w:rPr>
                <w:rStyle w:val="18"/>
                <w:rFonts w:ascii="Arial" w:hAnsi="Arial" w:eastAsia="宋体" w:cs="Arial"/>
                <w:snapToGrid w:val="0"/>
              </w:rPr>
              <w:t>II</w:t>
            </w:r>
          </w:p>
        </w:tc>
        <w:tc>
          <w:tcPr>
            <w:tcW w:w="893" w:type="pct"/>
          </w:tcPr>
          <w:p w14:paraId="44ECC14E">
            <w:pPr>
              <w:pStyle w:val="12"/>
              <w:shd w:val="clear" w:color="auto" w:fill="auto"/>
              <w:topLinePunct/>
              <w:adjustRightInd w:val="0"/>
              <w:snapToGrid w:val="0"/>
              <w:spacing w:line="300" w:lineRule="auto"/>
              <w:rPr>
                <w:rFonts w:ascii="Arial" w:hAnsi="Arial" w:eastAsia="宋体" w:cs="Arial"/>
                <w:snapToGrid w:val="0"/>
              </w:rPr>
            </w:pPr>
            <w:r>
              <w:rPr>
                <w:rStyle w:val="18"/>
                <w:rFonts w:ascii="Arial" w:hAnsi="Arial" w:eastAsia="宋体" w:cs="Arial"/>
                <w:snapToGrid w:val="0"/>
              </w:rPr>
              <w:t>FFH</w:t>
            </w:r>
          </w:p>
        </w:tc>
        <w:tc>
          <w:tcPr>
            <w:tcW w:w="3588" w:type="pct"/>
          </w:tcPr>
          <w:p w14:paraId="7AE82B92">
            <w:pPr>
              <w:pStyle w:val="12"/>
              <w:shd w:val="clear" w:color="auto" w:fill="auto"/>
              <w:topLinePunct/>
              <w:adjustRightInd w:val="0"/>
              <w:snapToGrid w:val="0"/>
              <w:spacing w:line="300" w:lineRule="auto"/>
              <w:jc w:val="both"/>
              <w:rPr>
                <w:rFonts w:ascii="Arial" w:hAnsi="Arial" w:eastAsia="宋体" w:cs="Arial"/>
                <w:snapToGrid w:val="0"/>
                <w:lang w:eastAsia="zh-CN"/>
              </w:rPr>
            </w:pPr>
            <w:r>
              <w:rPr>
                <w:rStyle w:val="18"/>
                <w:rFonts w:hint="eastAsia" w:ascii="Arial" w:hAnsi="Arial" w:eastAsia="宋体" w:cs="Arial"/>
                <w:snapToGrid w:val="0"/>
                <w:lang w:eastAsia="zh-CN"/>
              </w:rPr>
              <w:t>留置导管的小儿尿液收集器</w:t>
            </w:r>
          </w:p>
        </w:tc>
      </w:tr>
    </w:tbl>
    <w:p w14:paraId="021449DE">
      <w:pPr>
        <w:pStyle w:val="12"/>
        <w:shd w:val="clear" w:color="auto" w:fill="auto"/>
        <w:topLinePunct/>
        <w:adjustRightInd w:val="0"/>
        <w:snapToGrid w:val="0"/>
        <w:spacing w:before="180" w:beforeLines="50" w:line="360" w:lineRule="auto"/>
        <w:jc w:val="both"/>
        <w:rPr>
          <w:rFonts w:ascii="Arial" w:hAnsi="Arial" w:eastAsia="宋体" w:cs="Arial"/>
          <w:snapToGrid w:val="0"/>
          <w:lang w:eastAsia="zh-CN"/>
        </w:rPr>
      </w:pPr>
      <w:r>
        <w:rPr>
          <w:rFonts w:ascii="Arial" w:hAnsi="Arial" w:eastAsia="宋体" w:cs="Arial"/>
          <w:snapToGrid w:val="0"/>
          <w:lang w:eastAsia="zh-CN"/>
        </w:rPr>
        <w:t>21 CFR 807.87</w:t>
      </w:r>
      <w:r>
        <w:rPr>
          <w:rFonts w:hint="eastAsia" w:ascii="Arial" w:hAnsi="Arial" w:eastAsia="宋体" w:cs="Arial"/>
          <w:snapToGrid w:val="0"/>
          <w:lang w:eastAsia="zh-CN"/>
        </w:rPr>
        <w:t>为医疗器械上市前通知</w:t>
      </w:r>
      <w:r>
        <w:rPr>
          <w:rFonts w:ascii="Arial" w:hAnsi="Arial" w:eastAsia="宋体" w:cs="Arial"/>
          <w:snapToGrid w:val="0"/>
          <w:lang w:eastAsia="zh-CN"/>
        </w:rPr>
        <w:t>（510（k））</w:t>
      </w:r>
      <w:r>
        <w:rPr>
          <w:rFonts w:hint="eastAsia" w:ascii="Arial" w:hAnsi="Arial" w:eastAsia="宋体" w:cs="Arial"/>
          <w:snapToGrid w:val="0"/>
          <w:lang w:eastAsia="zh-CN"/>
        </w:rPr>
        <w:t>需包含的信息提出主要参考。该法规要求提供充分的有文件证明的信息以确定与上市销售器械的实质等同性。可证明实质等同性的方面包括但不限于预期用途、设计、材料、性能、安全性、有效性、标签和其他适用特征。</w:t>
      </w:r>
    </w:p>
    <w:p w14:paraId="251FA923">
      <w:pPr>
        <w:pStyle w:val="12"/>
        <w:shd w:val="clear" w:color="auto" w:fill="auto"/>
        <w:topLinePunct/>
        <w:adjustRightInd w:val="0"/>
        <w:snapToGrid w:val="0"/>
        <w:spacing w:before="180" w:beforeLines="50" w:line="360" w:lineRule="auto"/>
        <w:jc w:val="both"/>
        <w:rPr>
          <w:rFonts w:ascii="Arial" w:hAnsi="Arial" w:eastAsia="宋体" w:cs="Arial"/>
          <w:snapToGrid w:val="0"/>
          <w:lang w:eastAsia="zh-CN"/>
        </w:rPr>
      </w:pPr>
      <w:r>
        <w:rPr>
          <w:rFonts w:hint="eastAsia" w:ascii="Arial" w:hAnsi="Arial" w:eastAsia="宋体" w:cs="Arial"/>
          <w:snapToGrid w:val="0"/>
          <w:lang w:eastAsia="zh-CN"/>
        </w:rPr>
        <w:t>除</w:t>
      </w:r>
      <w:r>
        <w:rPr>
          <w:rFonts w:ascii="Arial" w:hAnsi="Arial" w:eastAsia="宋体" w:cs="Arial"/>
          <w:snapToGrid w:val="0"/>
          <w:lang w:eastAsia="zh-CN"/>
        </w:rPr>
        <w:t>DRAERD</w:t>
      </w:r>
      <w:r>
        <w:rPr>
          <w:rFonts w:hint="eastAsia" w:ascii="宋体" w:hAnsi="宋体" w:eastAsia="宋体" w:cs="Arial"/>
          <w:snapToGrid w:val="0"/>
          <w:lang w:eastAsia="zh-CN"/>
        </w:rPr>
        <w:t>“</w:t>
      </w:r>
      <w:r>
        <w:rPr>
          <w:rFonts w:hint="eastAsia" w:ascii="Arial" w:hAnsi="Arial" w:eastAsia="宋体" w:cs="Arial"/>
          <w:snapToGrid w:val="0"/>
          <w:lang w:eastAsia="zh-CN"/>
        </w:rPr>
        <w:t>上市前通知内容指南草案</w:t>
      </w:r>
      <w:r>
        <w:rPr>
          <w:rFonts w:hint="eastAsia" w:ascii="宋体" w:hAnsi="宋体" w:eastAsia="宋体" w:cs="Arial"/>
          <w:snapToGrid w:val="0"/>
          <w:lang w:eastAsia="zh-CN"/>
        </w:rPr>
        <w:t>”</w:t>
      </w:r>
      <w:r>
        <w:rPr>
          <w:rFonts w:hint="eastAsia" w:ascii="Arial" w:hAnsi="Arial" w:eastAsia="宋体" w:cs="Arial"/>
          <w:snapToGrid w:val="0"/>
          <w:lang w:eastAsia="zh-CN"/>
        </w:rPr>
        <w:t>指定的可从器械和放射卫生中心</w:t>
      </w:r>
      <w:r>
        <w:rPr>
          <w:rFonts w:ascii="Arial" w:hAnsi="Arial" w:eastAsia="宋体" w:cs="Arial"/>
          <w:snapToGrid w:val="0"/>
          <w:lang w:eastAsia="zh-CN"/>
        </w:rPr>
        <w:t>小型制造商服务组（DSMA）</w:t>
      </w:r>
      <w:r>
        <w:rPr>
          <w:rFonts w:hint="eastAsia" w:ascii="Arial" w:hAnsi="Arial" w:eastAsia="宋体" w:cs="Arial"/>
          <w:snapToGrid w:val="0"/>
          <w:lang w:eastAsia="zh-CN"/>
        </w:rPr>
        <w:t>（电话（</w:t>
      </w:r>
      <w:r>
        <w:rPr>
          <w:rFonts w:ascii="Arial" w:hAnsi="Arial" w:eastAsia="宋体" w:cs="Arial"/>
          <w:snapToGrid w:val="0"/>
          <w:lang w:eastAsia="zh-CN"/>
        </w:rPr>
        <w:t>800</w:t>
      </w:r>
      <w:r>
        <w:rPr>
          <w:rFonts w:hint="eastAsia" w:ascii="Arial" w:hAnsi="Arial" w:eastAsia="宋体" w:cs="Arial"/>
          <w:snapToGrid w:val="0"/>
          <w:lang w:eastAsia="zh-CN"/>
        </w:rPr>
        <w:t>）</w:t>
      </w:r>
      <w:r>
        <w:rPr>
          <w:rFonts w:ascii="Arial" w:hAnsi="Arial" w:eastAsia="宋体" w:cs="Arial"/>
          <w:snapToGrid w:val="0"/>
          <w:lang w:eastAsia="zh-CN"/>
        </w:rPr>
        <w:t>638-2041</w:t>
      </w:r>
      <w:r>
        <w:rPr>
          <w:rFonts w:hint="eastAsia" w:ascii="Arial" w:hAnsi="Arial" w:eastAsia="宋体" w:cs="Arial"/>
          <w:snapToGrid w:val="0"/>
          <w:lang w:eastAsia="zh-CN"/>
        </w:rPr>
        <w:t>或（</w:t>
      </w:r>
      <w:r>
        <w:rPr>
          <w:rFonts w:ascii="Arial" w:hAnsi="Arial" w:eastAsia="宋体" w:cs="Arial"/>
          <w:snapToGrid w:val="0"/>
          <w:lang w:eastAsia="zh-CN"/>
        </w:rPr>
        <w:t>301</w:t>
      </w:r>
      <w:r>
        <w:rPr>
          <w:rFonts w:hint="eastAsia" w:ascii="Arial" w:hAnsi="Arial" w:eastAsia="宋体" w:cs="Arial"/>
          <w:snapToGrid w:val="0"/>
          <w:lang w:eastAsia="zh-CN"/>
        </w:rPr>
        <w:t>）</w:t>
      </w:r>
      <w:r>
        <w:rPr>
          <w:rFonts w:ascii="Arial" w:hAnsi="Arial" w:eastAsia="宋体" w:cs="Arial"/>
          <w:snapToGrid w:val="0"/>
          <w:lang w:eastAsia="zh-CN"/>
        </w:rPr>
        <w:t>443-6597</w:t>
      </w:r>
      <w:r>
        <w:rPr>
          <w:rFonts w:hint="eastAsia" w:ascii="Arial" w:hAnsi="Arial" w:eastAsia="宋体" w:cs="Arial"/>
          <w:snapToGrid w:val="0"/>
          <w:lang w:eastAsia="zh-CN"/>
        </w:rPr>
        <w:t>）获得的信息外，FDA建议每个尿液引流袋及附件的上市前通知包含以下信息以确保提交完整且允许确定实质等同性：</w:t>
      </w:r>
    </w:p>
    <w:p w14:paraId="354C268F">
      <w:pPr>
        <w:rPr>
          <w:rFonts w:ascii="Arial" w:hAnsi="Arial" w:eastAsia="宋体" w:cs="Arial"/>
          <w:snapToGrid w:val="0"/>
          <w:u w:val="single"/>
          <w:lang w:eastAsia="zh-CN"/>
        </w:rPr>
      </w:pPr>
      <w:r>
        <w:rPr>
          <w:rFonts w:ascii="Arial" w:hAnsi="Arial" w:eastAsia="宋体" w:cs="Arial"/>
          <w:snapToGrid w:val="0"/>
          <w:u w:val="single"/>
          <w:lang w:eastAsia="zh-CN"/>
        </w:rPr>
        <w:br w:type="page"/>
      </w:r>
    </w:p>
    <w:p w14:paraId="3DF87B4D">
      <w:pPr>
        <w:pStyle w:val="12"/>
        <w:numPr>
          <w:ilvl w:val="0"/>
          <w:numId w:val="1"/>
        </w:numPr>
        <w:shd w:val="clear" w:color="auto" w:fill="auto"/>
        <w:tabs>
          <w:tab w:val="left" w:pos="413"/>
        </w:tabs>
        <w:topLinePunct/>
        <w:adjustRightInd w:val="0"/>
        <w:snapToGrid w:val="0"/>
        <w:spacing w:after="270" w:afterLines="75" w:line="360" w:lineRule="auto"/>
        <w:jc w:val="both"/>
        <w:rPr>
          <w:rFonts w:ascii="Arial" w:hAnsi="Arial" w:eastAsia="宋体" w:cs="Arial"/>
          <w:b/>
          <w:snapToGrid w:val="0"/>
          <w:u w:val="single"/>
          <w:lang w:eastAsia="zh-CN"/>
        </w:rPr>
      </w:pPr>
      <w:r>
        <w:rPr>
          <w:rFonts w:hint="eastAsia" w:ascii="Arial" w:hAnsi="Arial" w:eastAsia="宋体" w:cs="Arial"/>
          <w:b/>
          <w:snapToGrid w:val="0"/>
          <w:u w:val="single"/>
          <w:lang w:eastAsia="zh-CN"/>
        </w:rPr>
        <w:t>器械说明</w:t>
      </w:r>
    </w:p>
    <w:p w14:paraId="4680C871">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应以标签图、照片／图片、原理图等形式提供每个即将上市尿液引流袋及附件的物理描述，包含尿液引流袋及附件的所有内部／外部，组装／未组装，可互换部件等的名称，并说明其功能。</w:t>
      </w:r>
    </w:p>
    <w:p w14:paraId="5303A225">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物理描述应包含尿液引流袋及附件的具体液量和尿液引流袋的独特特性（即回流阀-防气阀、振颤、单向；内置尿比重计；无排尿管；吸收性材料等）。物理描述也应指出任何可任意处理部件。</w:t>
      </w:r>
    </w:p>
    <w:p w14:paraId="0AA72C0D">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如果尿液引流袋与附件一起以套装形式销售，这些附件应与尿液引流袋一同获得鉴定和审核并要求为其提供上述相同类型信息。这些附件可能包括用于夜间导尿的替换尿液引流袋。标签应说明附件是一次性使用且可任意处理还是可重复使用。</w:t>
      </w:r>
    </w:p>
    <w:p w14:paraId="2F17DF6C">
      <w:pPr>
        <w:pStyle w:val="12"/>
        <w:numPr>
          <w:ilvl w:val="0"/>
          <w:numId w:val="1"/>
        </w:numPr>
        <w:shd w:val="clear" w:color="auto" w:fill="auto"/>
        <w:tabs>
          <w:tab w:val="left" w:pos="413"/>
        </w:tabs>
        <w:topLinePunct/>
        <w:adjustRightInd w:val="0"/>
        <w:snapToGrid w:val="0"/>
        <w:spacing w:after="270" w:afterLines="75" w:line="360" w:lineRule="auto"/>
        <w:jc w:val="both"/>
        <w:rPr>
          <w:rFonts w:ascii="Arial" w:hAnsi="Arial" w:eastAsia="宋体" w:cs="Arial"/>
          <w:b/>
          <w:snapToGrid w:val="0"/>
        </w:rPr>
      </w:pPr>
      <w:r>
        <w:rPr>
          <w:rStyle w:val="22"/>
          <w:rFonts w:hint="eastAsia" w:ascii="Arial" w:hAnsi="Arial" w:eastAsia="宋体" w:cs="Arial"/>
          <w:b/>
          <w:snapToGrid w:val="0"/>
          <w:lang w:eastAsia="zh-CN"/>
        </w:rPr>
        <w:t>标签</w:t>
      </w:r>
    </w:p>
    <w:p w14:paraId="3A57412E">
      <w:pPr>
        <w:pStyle w:val="12"/>
        <w:numPr>
          <w:ilvl w:val="0"/>
          <w:numId w:val="2"/>
        </w:numPr>
        <w:shd w:val="clear" w:color="auto" w:fill="auto"/>
        <w:topLinePunct/>
        <w:adjustRightInd w:val="0"/>
        <w:snapToGrid w:val="0"/>
        <w:spacing w:after="270" w:afterLines="75" w:line="360" w:lineRule="auto"/>
        <w:ind w:left="840" w:leftChars="350"/>
        <w:jc w:val="both"/>
        <w:rPr>
          <w:rFonts w:ascii="Arial" w:hAnsi="Arial" w:eastAsia="宋体" w:cs="Arial"/>
          <w:snapToGrid w:val="0"/>
        </w:rPr>
      </w:pPr>
      <w:r>
        <w:rPr>
          <w:rFonts w:hint="eastAsia" w:ascii="Arial" w:hAnsi="Arial" w:eastAsia="宋体" w:cs="Arial"/>
          <w:snapToGrid w:val="0"/>
          <w:lang w:eastAsia="zh-CN"/>
        </w:rPr>
        <w:t>标签包含尿液引流袋及其储存运输包装上面的任何标识。器械标签应包含器械名称、企业名称、地址和电话。包装标签应包含以上所有内容及无菌性状态、到期日、可任意处理／一次性使用、所附数量、尺寸等。器械包装标签应包含</w:t>
      </w:r>
      <w:r>
        <w:rPr>
          <w:rFonts w:ascii="Arial" w:hAnsi="Arial" w:eastAsia="宋体" w:cs="Arial"/>
          <w:snapToGrid w:val="0"/>
          <w:lang w:eastAsia="zh-CN"/>
        </w:rPr>
        <w:t>21CFR 801.109</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中概述的处方器械声明：</w:t>
      </w:r>
      <w:r>
        <w:rPr>
          <w:rFonts w:hint="eastAsia" w:ascii="宋体" w:hAnsi="宋体" w:eastAsia="宋体" w:cs="Arial"/>
          <w:snapToGrid w:val="0"/>
          <w:lang w:eastAsia="zh-CN"/>
        </w:rPr>
        <w:t>“</w:t>
      </w:r>
      <w:r>
        <w:rPr>
          <w:rFonts w:hint="eastAsia" w:ascii="Arial" w:hAnsi="Arial" w:eastAsia="宋体" w:cs="Arial"/>
          <w:snapToGrid w:val="0"/>
          <w:lang w:eastAsia="zh-CN"/>
        </w:rPr>
        <w:t>警告：联邦法律限制本器械只能由医师出售或在医师指令下出售。</w:t>
      </w:r>
      <w:r>
        <w:rPr>
          <w:rFonts w:hint="eastAsia" w:ascii="宋体" w:hAnsi="宋体" w:eastAsia="宋体" w:cs="Arial"/>
          <w:snapToGrid w:val="0"/>
          <w:lang w:eastAsia="zh-CN"/>
        </w:rPr>
        <w:t>”</w:t>
      </w:r>
    </w:p>
    <w:p w14:paraId="13E79682">
      <w:pPr>
        <w:pStyle w:val="12"/>
        <w:numPr>
          <w:ilvl w:val="0"/>
          <w:numId w:val="2"/>
        </w:numPr>
        <w:shd w:val="clear" w:color="auto" w:fill="auto"/>
        <w:topLinePunct/>
        <w:adjustRightInd w:val="0"/>
        <w:snapToGrid w:val="0"/>
        <w:spacing w:after="270" w:afterLines="75" w:line="360" w:lineRule="auto"/>
        <w:ind w:left="840" w:leftChars="350"/>
        <w:jc w:val="both"/>
        <w:rPr>
          <w:rFonts w:ascii="Arial" w:hAnsi="Arial" w:eastAsia="宋体" w:cs="Arial"/>
          <w:snapToGrid w:val="0"/>
          <w:lang w:eastAsia="zh-CN"/>
        </w:rPr>
      </w:pPr>
      <w:r>
        <w:rPr>
          <w:rFonts w:hint="eastAsia" w:ascii="Arial" w:hAnsi="Arial" w:eastAsia="宋体" w:cs="Arial"/>
          <w:snapToGrid w:val="0"/>
          <w:lang w:eastAsia="zh-CN"/>
        </w:rPr>
        <w:t>尿液引流袋及其附件的器械标签包含预期用途、器械说明和使用说明。</w:t>
      </w:r>
    </w:p>
    <w:p w14:paraId="2EB52DE8">
      <w:pPr>
        <w:pStyle w:val="12"/>
        <w:numPr>
          <w:ilvl w:val="0"/>
          <w:numId w:val="3"/>
        </w:numPr>
        <w:shd w:val="clear" w:color="auto" w:fill="auto"/>
        <w:topLinePunct/>
        <w:adjustRightInd w:val="0"/>
        <w:snapToGrid w:val="0"/>
        <w:spacing w:after="270" w:afterLines="75" w:line="360" w:lineRule="auto"/>
        <w:ind w:left="1680" w:leftChars="700"/>
        <w:jc w:val="both"/>
        <w:rPr>
          <w:rFonts w:ascii="Arial" w:hAnsi="Arial" w:eastAsia="宋体" w:cs="Arial"/>
          <w:snapToGrid w:val="0"/>
          <w:lang w:eastAsia="zh-CN"/>
        </w:rPr>
      </w:pPr>
      <w:r>
        <w:rPr>
          <w:rFonts w:hint="eastAsia" w:ascii="Arial" w:hAnsi="Arial" w:eastAsia="宋体" w:cs="Arial"/>
          <w:snapToGrid w:val="0"/>
          <w:lang w:eastAsia="zh-CN"/>
        </w:rPr>
        <w:t>使用说明应含关于尿液引流袋准备以供使用、尿液引流袋操作的全面指南，并指出一次性使用／可任意处理或可重复使用的部件。如果可重复使用，则需提供尿液引流袋清洁、杀菌和／或灭菌的指南。如果器械无排尿管，则使用说明中应提供最短更换时间间隔（例如至少每隔24小时或当袋子充满尿液时）。使用说明应描述尿液引流袋的定位以防止尿液回流（即保持袋子低于患者膀胱的水平高度）。</w:t>
      </w:r>
    </w:p>
    <w:p w14:paraId="219625E5">
      <w:pPr>
        <w:rPr>
          <w:rFonts w:ascii="Arial" w:hAnsi="Arial" w:eastAsia="宋体" w:cs="Arial"/>
          <w:snapToGrid w:val="0"/>
          <w:lang w:eastAsia="zh-CN"/>
        </w:rPr>
      </w:pPr>
      <w:r>
        <w:rPr>
          <w:rFonts w:ascii="Arial" w:hAnsi="Arial" w:eastAsia="宋体" w:cs="Arial"/>
          <w:snapToGrid w:val="0"/>
          <w:lang w:eastAsia="zh-CN"/>
        </w:rPr>
        <w:br w:type="page"/>
      </w:r>
    </w:p>
    <w:p w14:paraId="32B30D3E">
      <w:pPr>
        <w:pStyle w:val="12"/>
        <w:numPr>
          <w:ilvl w:val="0"/>
          <w:numId w:val="3"/>
        </w:numPr>
        <w:shd w:val="clear" w:color="auto" w:fill="auto"/>
        <w:topLinePunct/>
        <w:adjustRightInd w:val="0"/>
        <w:snapToGrid w:val="0"/>
        <w:spacing w:after="270" w:afterLines="75" w:line="360" w:lineRule="auto"/>
        <w:ind w:left="1680" w:leftChars="700"/>
        <w:jc w:val="both"/>
        <w:rPr>
          <w:rFonts w:ascii="Arial" w:hAnsi="Arial" w:eastAsia="宋体" w:cs="Arial"/>
          <w:snapToGrid w:val="0"/>
          <w:lang w:eastAsia="zh-CN"/>
        </w:rPr>
      </w:pPr>
      <w:r>
        <w:rPr>
          <w:rFonts w:hint="eastAsia" w:ascii="Arial" w:hAnsi="Arial" w:eastAsia="宋体" w:cs="Arial"/>
          <w:snapToGrid w:val="0"/>
          <w:lang w:eastAsia="zh-CN"/>
        </w:rPr>
        <w:t>器械标签应包含适用的禁忌症、警告和注意事项。</w:t>
      </w:r>
    </w:p>
    <w:p w14:paraId="471E6718">
      <w:pPr>
        <w:pStyle w:val="12"/>
        <w:numPr>
          <w:ilvl w:val="0"/>
          <w:numId w:val="3"/>
        </w:numPr>
        <w:shd w:val="clear" w:color="auto" w:fill="auto"/>
        <w:topLinePunct/>
        <w:adjustRightInd w:val="0"/>
        <w:snapToGrid w:val="0"/>
        <w:spacing w:after="270" w:afterLines="75" w:line="360" w:lineRule="auto"/>
        <w:ind w:left="1680" w:leftChars="700"/>
        <w:jc w:val="both"/>
        <w:rPr>
          <w:rFonts w:ascii="Arial" w:hAnsi="Arial" w:eastAsia="宋体" w:cs="Arial"/>
          <w:snapToGrid w:val="0"/>
          <w:lang w:eastAsia="zh-CN"/>
        </w:rPr>
      </w:pPr>
      <w:r>
        <w:rPr>
          <w:rFonts w:hint="eastAsia" w:ascii="Arial" w:hAnsi="Arial" w:eastAsia="宋体" w:cs="Arial"/>
          <w:snapToGrid w:val="0"/>
          <w:lang w:eastAsia="zh-CN"/>
        </w:rPr>
        <w:t>所有声称应得到支持，且涉及感染或污染可能性降低的声称可能需要得到临床数据支持。</w:t>
      </w:r>
    </w:p>
    <w:p w14:paraId="3DE2E138">
      <w:pPr>
        <w:pStyle w:val="12"/>
        <w:numPr>
          <w:ilvl w:val="0"/>
          <w:numId w:val="2"/>
        </w:numPr>
        <w:shd w:val="clear" w:color="auto" w:fill="auto"/>
        <w:topLinePunct/>
        <w:adjustRightInd w:val="0"/>
        <w:snapToGrid w:val="0"/>
        <w:spacing w:after="270" w:afterLines="75" w:line="360" w:lineRule="auto"/>
        <w:ind w:left="840" w:leftChars="350"/>
        <w:jc w:val="both"/>
        <w:rPr>
          <w:rFonts w:ascii="Arial" w:hAnsi="Arial" w:eastAsia="宋体" w:cs="Arial"/>
          <w:snapToGrid w:val="0"/>
          <w:lang w:eastAsia="zh-CN"/>
        </w:rPr>
      </w:pPr>
      <w:r>
        <w:rPr>
          <w:rFonts w:hint="eastAsia" w:ascii="Arial" w:hAnsi="Arial" w:eastAsia="宋体" w:cs="Arial"/>
          <w:snapToGrid w:val="0"/>
          <w:lang w:eastAsia="zh-CN"/>
        </w:rPr>
        <w:t>应提供尿液引流袋的广告或宣传资料。资料或标签可能不会以任何方式暗示FDA的批准。蓝皮书备忘录</w:t>
      </w:r>
      <w:r>
        <w:rPr>
          <w:rFonts w:ascii="Arial" w:hAnsi="Arial" w:eastAsia="宋体" w:cs="Arial"/>
          <w:snapToGrid w:val="0"/>
          <w:lang w:eastAsia="zh-CN"/>
        </w:rPr>
        <w:t>G91-1</w:t>
      </w:r>
      <w:r>
        <w:rPr>
          <w:rFonts w:hint="eastAsia" w:ascii="宋体" w:hAnsi="宋体" w:eastAsia="宋体" w:cs="Arial"/>
          <w:snapToGrid w:val="0"/>
          <w:lang w:eastAsia="zh-CN"/>
        </w:rPr>
        <w:t>“</w:t>
      </w:r>
      <w:r>
        <w:rPr>
          <w:rFonts w:hint="eastAsia" w:ascii="Arial" w:hAnsi="Arial" w:eastAsia="宋体" w:cs="Arial"/>
          <w:snapToGrid w:val="0"/>
          <w:lang w:eastAsia="zh-CN"/>
        </w:rPr>
        <w:t>器械标签指南</w:t>
      </w:r>
      <w:r>
        <w:rPr>
          <w:rFonts w:ascii="Arial" w:hAnsi="Arial" w:eastAsia="宋体" w:cs="Arial"/>
          <w:snapToGrid w:val="0"/>
          <w:lang w:eastAsia="zh-CN"/>
        </w:rPr>
        <w:t>（</w:t>
      </w:r>
      <w:r>
        <w:rPr>
          <w:rFonts w:hint="eastAsia" w:ascii="Arial" w:hAnsi="Arial" w:eastAsia="宋体" w:cs="Arial"/>
          <w:snapToGrid w:val="0"/>
          <w:lang w:eastAsia="zh-CN"/>
        </w:rPr>
        <w:t>19</w:t>
      </w:r>
      <w:r>
        <w:rPr>
          <w:rFonts w:ascii="Arial" w:hAnsi="Arial" w:eastAsia="宋体" w:cs="Arial"/>
          <w:snapToGrid w:val="0"/>
          <w:lang w:eastAsia="zh-CN"/>
        </w:rPr>
        <w:t>91</w:t>
      </w:r>
      <w:r>
        <w:rPr>
          <w:rFonts w:hint="eastAsia" w:ascii="Arial" w:hAnsi="Arial" w:eastAsia="宋体" w:cs="Arial"/>
          <w:snapToGrid w:val="0"/>
          <w:lang w:eastAsia="zh-CN"/>
        </w:rPr>
        <w:t>年3月18日</w:t>
      </w:r>
      <w:r>
        <w:rPr>
          <w:rFonts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描述了对标签问题的指南，可拨打上述提到的</w:t>
      </w:r>
      <w:r>
        <w:rPr>
          <w:rFonts w:ascii="Arial" w:hAnsi="Arial" w:eastAsia="宋体" w:cs="Arial"/>
          <w:snapToGrid w:val="0"/>
          <w:lang w:eastAsia="zh-CN"/>
        </w:rPr>
        <w:t>DSMA</w:t>
      </w:r>
      <w:r>
        <w:rPr>
          <w:rFonts w:hint="eastAsia" w:ascii="Arial" w:hAnsi="Arial" w:eastAsia="宋体" w:cs="Arial"/>
          <w:snapToGrid w:val="0"/>
          <w:lang w:eastAsia="zh-CN"/>
        </w:rPr>
        <w:t>电话号码获得该指南。</w:t>
      </w:r>
    </w:p>
    <w:p w14:paraId="2BCD7CF9">
      <w:pPr>
        <w:pStyle w:val="12"/>
        <w:numPr>
          <w:ilvl w:val="0"/>
          <w:numId w:val="1"/>
        </w:numPr>
        <w:shd w:val="clear" w:color="auto" w:fill="auto"/>
        <w:tabs>
          <w:tab w:val="left" w:pos="730"/>
        </w:tabs>
        <w:topLinePunct/>
        <w:adjustRightInd w:val="0"/>
        <w:snapToGrid w:val="0"/>
        <w:spacing w:after="270" w:afterLines="75" w:line="360" w:lineRule="auto"/>
        <w:jc w:val="both"/>
        <w:rPr>
          <w:rFonts w:ascii="Arial" w:hAnsi="Arial" w:eastAsia="宋体" w:cs="Arial"/>
          <w:b/>
          <w:snapToGrid w:val="0"/>
        </w:rPr>
      </w:pPr>
      <w:r>
        <w:rPr>
          <w:rStyle w:val="22"/>
          <w:rFonts w:hint="eastAsia" w:ascii="Arial" w:hAnsi="Arial" w:eastAsia="宋体" w:cs="Arial"/>
          <w:b/>
          <w:snapToGrid w:val="0"/>
          <w:lang w:eastAsia="zh-CN"/>
        </w:rPr>
        <w:t>台架试验</w:t>
      </w:r>
    </w:p>
    <w:p w14:paraId="7971F287">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应提供以下研究和结果以证明尿液引流袋在功能性能方面的实质等同性。</w:t>
      </w:r>
    </w:p>
    <w:p w14:paraId="4B3F07CE">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典型试验包括：</w:t>
      </w:r>
    </w:p>
    <w:p w14:paraId="7CE5A5F7">
      <w:pPr>
        <w:pStyle w:val="12"/>
        <w:shd w:val="clear" w:color="auto" w:fill="auto"/>
        <w:topLinePunct/>
        <w:adjustRightInd w:val="0"/>
        <w:snapToGrid w:val="0"/>
        <w:spacing w:after="270" w:afterLines="75" w:line="360" w:lineRule="auto"/>
        <w:ind w:left="840" w:leftChars="350"/>
        <w:jc w:val="both"/>
        <w:rPr>
          <w:rFonts w:ascii="Arial" w:hAnsi="Arial" w:eastAsia="宋体" w:cs="Arial"/>
          <w:snapToGrid w:val="0"/>
          <w:lang w:eastAsia="zh-CN"/>
        </w:rPr>
      </w:pPr>
      <w:bookmarkStart w:id="5" w:name="OLE_LINK30"/>
      <w:bookmarkStart w:id="6" w:name="OLE_LINK29"/>
      <w:r>
        <w:rPr>
          <w:rFonts w:hint="eastAsia" w:ascii="Arial" w:hAnsi="Arial" w:eastAsia="宋体" w:cs="Arial"/>
          <w:snapToGrid w:val="0"/>
          <w:lang w:eastAsia="zh-CN"/>
        </w:rPr>
        <w:t>经过止回阀的水回流压</w:t>
      </w:r>
      <w:bookmarkEnd w:id="5"/>
      <w:bookmarkEnd w:id="6"/>
      <w:r>
        <w:rPr>
          <w:rFonts w:hint="eastAsia" w:ascii="Arial" w:hAnsi="Arial" w:eastAsia="宋体" w:cs="Arial"/>
          <w:snapToGrid w:val="0"/>
          <w:lang w:eastAsia="zh-CN"/>
        </w:rPr>
        <w:t>；</w:t>
      </w:r>
    </w:p>
    <w:p w14:paraId="184B5906">
      <w:pPr>
        <w:pStyle w:val="12"/>
        <w:shd w:val="clear" w:color="auto" w:fill="auto"/>
        <w:topLinePunct/>
        <w:adjustRightInd w:val="0"/>
        <w:snapToGrid w:val="0"/>
        <w:spacing w:after="270" w:afterLines="75" w:line="360" w:lineRule="auto"/>
        <w:ind w:left="840" w:leftChars="350"/>
        <w:jc w:val="both"/>
        <w:rPr>
          <w:rFonts w:ascii="Arial" w:hAnsi="Arial" w:eastAsia="宋体" w:cs="Arial"/>
          <w:snapToGrid w:val="0"/>
          <w:lang w:eastAsia="zh-CN"/>
        </w:rPr>
      </w:pPr>
      <w:bookmarkStart w:id="7" w:name="OLE_LINK31"/>
      <w:bookmarkStart w:id="8" w:name="OLE_LINK32"/>
      <w:r>
        <w:rPr>
          <w:rFonts w:hint="eastAsia" w:ascii="Arial" w:hAnsi="Arial" w:eastAsia="宋体" w:cs="Arial"/>
          <w:snapToGrid w:val="0"/>
          <w:lang w:eastAsia="zh-CN"/>
        </w:rPr>
        <w:t>24小时倒置泄漏试验结果</w:t>
      </w:r>
      <w:bookmarkEnd w:id="7"/>
      <w:bookmarkEnd w:id="8"/>
      <w:r>
        <w:rPr>
          <w:rFonts w:hint="eastAsia" w:ascii="Arial" w:hAnsi="Arial" w:eastAsia="宋体" w:cs="Arial"/>
          <w:snapToGrid w:val="0"/>
          <w:lang w:eastAsia="zh-CN"/>
        </w:rPr>
        <w:t>；</w:t>
      </w:r>
    </w:p>
    <w:p w14:paraId="21246514">
      <w:pPr>
        <w:pStyle w:val="12"/>
        <w:shd w:val="clear" w:color="auto" w:fill="auto"/>
        <w:topLinePunct/>
        <w:adjustRightInd w:val="0"/>
        <w:snapToGrid w:val="0"/>
        <w:spacing w:after="270" w:afterLines="75" w:line="360" w:lineRule="auto"/>
        <w:ind w:left="840" w:leftChars="350"/>
        <w:jc w:val="both"/>
        <w:rPr>
          <w:rFonts w:ascii="Arial" w:hAnsi="Arial" w:eastAsia="宋体" w:cs="Arial"/>
          <w:snapToGrid w:val="0"/>
          <w:lang w:eastAsia="zh-CN"/>
        </w:rPr>
      </w:pPr>
      <w:r>
        <w:rPr>
          <w:rFonts w:hint="eastAsia" w:ascii="Arial" w:hAnsi="Arial" w:eastAsia="宋体" w:cs="Arial"/>
          <w:snapToGrid w:val="0"/>
          <w:lang w:eastAsia="zh-CN"/>
        </w:rPr>
        <w:t>检查尿袋排空效率的立柱试验；和确保在合理时限内排空尿袋的排空时间试验。</w:t>
      </w:r>
    </w:p>
    <w:p w14:paraId="35630B1D">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如果尿液引流袋含液体吸收性材料，应进行以下试验：</w:t>
      </w:r>
    </w:p>
    <w:p w14:paraId="5C70802F">
      <w:pPr>
        <w:pStyle w:val="12"/>
        <w:shd w:val="clear" w:color="auto" w:fill="auto"/>
        <w:topLinePunct/>
        <w:adjustRightInd w:val="0"/>
        <w:snapToGrid w:val="0"/>
        <w:spacing w:after="270" w:afterLines="75" w:line="360" w:lineRule="auto"/>
        <w:ind w:left="840" w:leftChars="350"/>
        <w:jc w:val="both"/>
        <w:rPr>
          <w:rFonts w:ascii="Arial" w:hAnsi="Arial" w:eastAsia="宋体" w:cs="Arial"/>
          <w:snapToGrid w:val="0"/>
          <w:lang w:eastAsia="zh-CN"/>
        </w:rPr>
      </w:pPr>
      <w:r>
        <w:rPr>
          <w:rFonts w:hint="eastAsia" w:ascii="Arial" w:hAnsi="Arial" w:eastAsia="宋体" w:cs="Arial"/>
          <w:snapToGrid w:val="0"/>
          <w:lang w:eastAsia="zh-CN"/>
        </w:rPr>
        <w:t>确认尿袋内材料的量；和材料将吸收的最大液体量。</w:t>
      </w:r>
    </w:p>
    <w:p w14:paraId="5CA86802">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如果尿液引流袋含胶黏剂，应证明胶黏剂足以将器械粘贴在患者身上，但仍能</w:t>
      </w:r>
      <w:bookmarkStart w:id="9" w:name="OLE_LINK66"/>
      <w:bookmarkStart w:id="10" w:name="OLE_LINK65"/>
      <w:r>
        <w:rPr>
          <w:rFonts w:hint="eastAsia" w:ascii="Arial" w:hAnsi="Arial" w:eastAsia="宋体" w:cs="Arial"/>
          <w:snapToGrid w:val="0"/>
          <w:lang w:eastAsia="zh-CN"/>
        </w:rPr>
        <w:t>容易并安全地</w:t>
      </w:r>
      <w:bookmarkEnd w:id="9"/>
      <w:bookmarkEnd w:id="10"/>
      <w:r>
        <w:rPr>
          <w:rFonts w:hint="eastAsia" w:ascii="Arial" w:hAnsi="Arial" w:eastAsia="宋体" w:cs="Arial"/>
          <w:snapToGrid w:val="0"/>
          <w:lang w:eastAsia="zh-CN"/>
        </w:rPr>
        <w:t>移除。</w:t>
      </w:r>
    </w:p>
    <w:p w14:paraId="10557A99">
      <w:pPr>
        <w:pStyle w:val="12"/>
        <w:numPr>
          <w:ilvl w:val="0"/>
          <w:numId w:val="1"/>
        </w:numPr>
        <w:shd w:val="clear" w:color="auto" w:fill="auto"/>
        <w:tabs>
          <w:tab w:val="left" w:pos="730"/>
        </w:tabs>
        <w:topLinePunct/>
        <w:adjustRightInd w:val="0"/>
        <w:snapToGrid w:val="0"/>
        <w:spacing w:after="270" w:afterLines="75" w:line="360" w:lineRule="auto"/>
        <w:jc w:val="both"/>
        <w:rPr>
          <w:rFonts w:ascii="Arial" w:hAnsi="Arial" w:eastAsia="宋体" w:cs="Arial"/>
          <w:b/>
          <w:snapToGrid w:val="0"/>
        </w:rPr>
      </w:pPr>
      <w:r>
        <w:rPr>
          <w:rStyle w:val="22"/>
          <w:rFonts w:hint="eastAsia" w:ascii="Arial" w:hAnsi="Arial" w:eastAsia="宋体" w:cs="Arial"/>
          <w:b/>
          <w:snapToGrid w:val="0"/>
          <w:lang w:eastAsia="zh-CN"/>
        </w:rPr>
        <w:t>生物相容性</w:t>
      </w:r>
    </w:p>
    <w:p w14:paraId="431177F3">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必须解决关于特定尿液引流袋所用材料的生物相容性信息。如果使用胶黏剂等材料，应进行以下试验：鉴定胶黏剂的化学成分；和生物相容性三方指南中指出的针对以下两类器械的所有适当试验：</w:t>
      </w:r>
    </w:p>
    <w:p w14:paraId="24BC2E7F">
      <w:pPr>
        <w:rPr>
          <w:rFonts w:ascii="Arial" w:hAnsi="Arial" w:eastAsia="宋体" w:cs="Arial"/>
          <w:snapToGrid w:val="0"/>
          <w:lang w:eastAsia="zh-CN"/>
        </w:rPr>
      </w:pPr>
      <w:r>
        <w:rPr>
          <w:rFonts w:ascii="Arial" w:hAnsi="Arial" w:eastAsia="宋体" w:cs="Arial"/>
          <w:snapToGrid w:val="0"/>
          <w:lang w:eastAsia="zh-CN"/>
        </w:rPr>
        <w:br w:type="page"/>
      </w:r>
    </w:p>
    <w:p w14:paraId="2676A968">
      <w:pPr>
        <w:pStyle w:val="12"/>
        <w:numPr>
          <w:ilvl w:val="0"/>
          <w:numId w:val="4"/>
        </w:numPr>
        <w:shd w:val="clear" w:color="auto" w:fill="auto"/>
        <w:topLinePunct/>
        <w:adjustRightInd w:val="0"/>
        <w:snapToGrid w:val="0"/>
        <w:spacing w:after="270" w:afterLines="75" w:line="360" w:lineRule="auto"/>
        <w:ind w:left="991" w:leftChars="413"/>
        <w:jc w:val="both"/>
        <w:rPr>
          <w:rFonts w:ascii="Arial" w:hAnsi="Arial" w:eastAsia="宋体" w:cs="Arial"/>
          <w:snapToGrid w:val="0"/>
          <w:lang w:eastAsia="zh-CN"/>
        </w:rPr>
      </w:pPr>
      <w:r>
        <w:rPr>
          <w:rFonts w:hint="eastAsia" w:ascii="Arial" w:hAnsi="Arial" w:eastAsia="宋体" w:cs="Arial"/>
          <w:snapToGrid w:val="0"/>
          <w:lang w:eastAsia="zh-CN"/>
        </w:rPr>
        <w:t>接触创伤表面或损伤表面的外部器械；或</w:t>
      </w:r>
    </w:p>
    <w:p w14:paraId="217609BA">
      <w:pPr>
        <w:pStyle w:val="12"/>
        <w:numPr>
          <w:ilvl w:val="0"/>
          <w:numId w:val="4"/>
        </w:numPr>
        <w:shd w:val="clear" w:color="auto" w:fill="auto"/>
        <w:tabs>
          <w:tab w:val="left" w:pos="1320"/>
        </w:tabs>
        <w:topLinePunct/>
        <w:adjustRightInd w:val="0"/>
        <w:snapToGrid w:val="0"/>
        <w:spacing w:after="270" w:afterLines="75" w:line="360" w:lineRule="auto"/>
        <w:ind w:left="991" w:leftChars="413"/>
        <w:jc w:val="both"/>
        <w:rPr>
          <w:rFonts w:ascii="Arial" w:hAnsi="Arial" w:eastAsia="宋体" w:cs="Arial"/>
          <w:snapToGrid w:val="0"/>
          <w:lang w:eastAsia="zh-CN"/>
        </w:rPr>
      </w:pPr>
      <w:r>
        <w:rPr>
          <w:rFonts w:hint="eastAsia" w:ascii="Arial" w:hAnsi="Arial" w:eastAsia="宋体" w:cs="Arial"/>
          <w:snapToGrid w:val="0"/>
          <w:lang w:eastAsia="zh-CN"/>
        </w:rPr>
        <w:t>根据尿液引流袋设计和预期用途，接触完整天然通道的外部接触器械。</w:t>
      </w:r>
    </w:p>
    <w:p w14:paraId="79677238">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如果尿液引流袋使用吸收性材料，也必须解决吸收性材料的生物相容性。应鉴定吸收性材料的</w:t>
      </w:r>
      <w:bookmarkStart w:id="11" w:name="OLE_LINK39"/>
      <w:bookmarkStart w:id="12" w:name="OLE_LINK40"/>
      <w:r>
        <w:rPr>
          <w:rFonts w:hint="eastAsia" w:ascii="Arial" w:hAnsi="Arial" w:eastAsia="宋体" w:cs="Arial"/>
          <w:snapToGrid w:val="0"/>
          <w:lang w:eastAsia="zh-CN"/>
        </w:rPr>
        <w:t>全部化学</w:t>
      </w:r>
      <w:bookmarkEnd w:id="11"/>
      <w:bookmarkEnd w:id="12"/>
      <w:r>
        <w:rPr>
          <w:rFonts w:hint="eastAsia" w:ascii="Arial" w:hAnsi="Arial" w:eastAsia="宋体" w:cs="Arial"/>
          <w:snapToGrid w:val="0"/>
          <w:lang w:eastAsia="zh-CN"/>
        </w:rPr>
        <w:t>成分，且应提供</w:t>
      </w:r>
      <w:bookmarkStart w:id="13" w:name="OLE_LINK41"/>
      <w:bookmarkStart w:id="14" w:name="OLE_LINK42"/>
      <w:r>
        <w:rPr>
          <w:rFonts w:hint="eastAsia" w:ascii="Arial" w:hAnsi="Arial" w:eastAsia="宋体" w:cs="Arial"/>
          <w:snapToGrid w:val="0"/>
          <w:lang w:eastAsia="zh-CN"/>
        </w:rPr>
        <w:t>生物相容性三方指南</w:t>
      </w:r>
      <w:bookmarkEnd w:id="13"/>
      <w:bookmarkEnd w:id="14"/>
      <w:r>
        <w:rPr>
          <w:rFonts w:hint="eastAsia" w:ascii="Arial" w:hAnsi="Arial" w:eastAsia="宋体" w:cs="Arial"/>
          <w:snapToGrid w:val="0"/>
          <w:lang w:eastAsia="zh-CN"/>
        </w:rPr>
        <w:t>中指定的针对接触完整天然通道外部接触器械的生物相容性试验。</w:t>
      </w:r>
    </w:p>
    <w:p w14:paraId="3664A7EF">
      <w:pPr>
        <w:pStyle w:val="12"/>
        <w:numPr>
          <w:ilvl w:val="0"/>
          <w:numId w:val="1"/>
        </w:numPr>
        <w:shd w:val="clear" w:color="auto" w:fill="auto"/>
        <w:topLinePunct/>
        <w:adjustRightInd w:val="0"/>
        <w:snapToGrid w:val="0"/>
        <w:spacing w:after="270" w:afterLines="75" w:line="360" w:lineRule="auto"/>
        <w:jc w:val="both"/>
        <w:rPr>
          <w:rFonts w:ascii="Arial" w:hAnsi="Arial" w:eastAsia="宋体" w:cs="Arial"/>
          <w:b/>
          <w:snapToGrid w:val="0"/>
          <w:u w:val="single"/>
          <w:lang w:eastAsia="zh-CN"/>
        </w:rPr>
      </w:pPr>
      <w:r>
        <w:rPr>
          <w:rFonts w:hint="eastAsia" w:ascii="Arial" w:hAnsi="Arial" w:eastAsia="宋体" w:cs="Arial"/>
          <w:b/>
          <w:snapToGrid w:val="0"/>
          <w:u w:val="single"/>
          <w:lang w:eastAsia="zh-CN"/>
        </w:rPr>
        <w:t>灭菌</w:t>
      </w:r>
    </w:p>
    <w:p w14:paraId="4EB9A07E">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应提供以无菌形式销售尿液引流袋及附件的完整信息。细节参见</w:t>
      </w:r>
      <w:r>
        <w:rPr>
          <w:rFonts w:ascii="Arial" w:hAnsi="Arial" w:eastAsia="宋体" w:cs="Arial"/>
          <w:snapToGrid w:val="0"/>
          <w:lang w:eastAsia="zh-CN"/>
        </w:rPr>
        <w:t>DRAERD</w:t>
      </w:r>
      <w:bookmarkStart w:id="15" w:name="OLE_LINK43"/>
      <w:bookmarkStart w:id="16" w:name="OLE_LINK44"/>
      <w:r>
        <w:rPr>
          <w:rFonts w:hint="eastAsia" w:ascii="Arial" w:hAnsi="Arial" w:eastAsia="宋体" w:cs="Arial"/>
          <w:snapToGrid w:val="0"/>
          <w:lang w:eastAsia="zh-CN"/>
        </w:rPr>
        <w:t>上市前通知</w:t>
      </w:r>
      <w:r>
        <w:rPr>
          <w:rFonts w:ascii="Arial" w:hAnsi="Arial" w:eastAsia="宋体" w:cs="Arial"/>
          <w:snapToGrid w:val="0"/>
          <w:lang w:eastAsia="zh-CN"/>
        </w:rPr>
        <w:t>510（k）</w:t>
      </w:r>
      <w:r>
        <w:rPr>
          <w:rFonts w:hint="eastAsia" w:ascii="Arial" w:hAnsi="Arial" w:eastAsia="宋体" w:cs="Arial"/>
          <w:snapToGrid w:val="0"/>
          <w:lang w:eastAsia="zh-CN"/>
        </w:rPr>
        <w:t>筛查清单及附属解释文件</w:t>
      </w:r>
      <w:bookmarkEnd w:id="15"/>
      <w:bookmarkEnd w:id="16"/>
      <w:r>
        <w:rPr>
          <w:rFonts w:hint="eastAsia" w:ascii="Arial" w:hAnsi="Arial" w:eastAsia="宋体" w:cs="Arial"/>
          <w:snapToGrid w:val="0"/>
          <w:lang w:eastAsia="zh-CN"/>
        </w:rPr>
        <w:t>。</w:t>
      </w:r>
    </w:p>
    <w:p w14:paraId="654C463E">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此外，</w:t>
      </w:r>
      <w:r>
        <w:rPr>
          <w:rFonts w:ascii="Arial" w:hAnsi="Arial" w:eastAsia="宋体" w:cs="Arial"/>
          <w:snapToGrid w:val="0"/>
          <w:lang w:eastAsia="zh-CN"/>
        </w:rPr>
        <w:t>ODE</w:t>
      </w:r>
      <w:bookmarkStart w:id="17" w:name="OLE_LINK51"/>
      <w:bookmarkStart w:id="18" w:name="OLE_LINK52"/>
      <w:r>
        <w:rPr>
          <w:rFonts w:hint="eastAsia" w:ascii="Arial" w:hAnsi="Arial" w:eastAsia="宋体" w:cs="Arial"/>
          <w:snapToGrid w:val="0"/>
          <w:lang w:eastAsia="zh-CN"/>
        </w:rPr>
        <w:t>蓝皮书备忘录</w:t>
      </w:r>
      <w:r>
        <w:rPr>
          <w:rFonts w:ascii="Arial" w:hAnsi="Arial" w:eastAsia="宋体" w:cs="Arial"/>
          <w:snapToGrid w:val="0"/>
          <w:lang w:eastAsia="zh-CN"/>
        </w:rPr>
        <w:t>K90-1</w:t>
      </w:r>
      <w:bookmarkEnd w:id="17"/>
      <w:bookmarkEnd w:id="18"/>
      <w:r>
        <w:rPr>
          <w:rFonts w:hint="eastAsia" w:ascii="宋体" w:hAnsi="宋体" w:eastAsia="宋体" w:cs="Arial"/>
          <w:snapToGrid w:val="0"/>
          <w:lang w:eastAsia="zh-CN"/>
        </w:rPr>
        <w:t>“</w:t>
      </w:r>
      <w:r>
        <w:rPr>
          <w:rFonts w:ascii="Arial" w:hAnsi="Arial" w:eastAsia="宋体" w:cs="Arial"/>
          <w:snapToGrid w:val="0"/>
          <w:lang w:eastAsia="zh-CN"/>
        </w:rPr>
        <w:t>510（k）</w:t>
      </w:r>
      <w:r>
        <w:rPr>
          <w:rFonts w:hint="eastAsia" w:ascii="Arial" w:hAnsi="Arial" w:eastAsia="宋体" w:cs="Arial"/>
          <w:snapToGrid w:val="0"/>
          <w:lang w:eastAsia="zh-CN"/>
        </w:rPr>
        <w:t>无菌审查指南</w:t>
      </w:r>
      <w:r>
        <w:rPr>
          <w:rFonts w:ascii="Arial" w:hAnsi="Arial" w:eastAsia="宋体" w:cs="Arial"/>
          <w:snapToGrid w:val="0"/>
          <w:lang w:eastAsia="zh-CN"/>
        </w:rPr>
        <w:t>（</w:t>
      </w:r>
      <w:r>
        <w:rPr>
          <w:rFonts w:hint="eastAsia" w:ascii="Arial" w:hAnsi="Arial" w:eastAsia="宋体" w:cs="Arial"/>
          <w:snapToGrid w:val="0"/>
          <w:lang w:eastAsia="zh-CN"/>
        </w:rPr>
        <w:t>19</w:t>
      </w:r>
      <w:r>
        <w:rPr>
          <w:rFonts w:ascii="Arial" w:hAnsi="Arial" w:eastAsia="宋体" w:cs="Arial"/>
          <w:snapToGrid w:val="0"/>
          <w:lang w:eastAsia="zh-CN"/>
        </w:rPr>
        <w:t>90</w:t>
      </w:r>
      <w:r>
        <w:rPr>
          <w:rFonts w:hint="eastAsia" w:ascii="Arial" w:hAnsi="Arial" w:eastAsia="宋体" w:cs="Arial"/>
          <w:snapToGrid w:val="0"/>
          <w:lang w:eastAsia="zh-CN"/>
        </w:rPr>
        <w:t>年2月12日</w:t>
      </w:r>
      <w:r>
        <w:rPr>
          <w:rFonts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提供了关于无菌问题的指南，可拨打上述提到的</w:t>
      </w:r>
      <w:r>
        <w:rPr>
          <w:rFonts w:ascii="Arial" w:hAnsi="Arial" w:eastAsia="宋体" w:cs="Arial"/>
          <w:snapToGrid w:val="0"/>
          <w:lang w:eastAsia="zh-CN"/>
        </w:rPr>
        <w:t>DSMA</w:t>
      </w:r>
      <w:r>
        <w:rPr>
          <w:rFonts w:hint="eastAsia" w:ascii="Arial" w:hAnsi="Arial" w:eastAsia="宋体" w:cs="Arial"/>
          <w:snapToGrid w:val="0"/>
          <w:lang w:eastAsia="zh-CN"/>
        </w:rPr>
        <w:t>电话号码获得该指南。</w:t>
      </w:r>
    </w:p>
    <w:p w14:paraId="5879474F">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如果尿液引流袋含液体吸收性材料且预期与留置导管一同使用，</w:t>
      </w:r>
      <w:r>
        <w:rPr>
          <w:rFonts w:ascii="Arial" w:hAnsi="Arial" w:eastAsia="宋体" w:cs="Arial"/>
          <w:snapToGrid w:val="0"/>
          <w:lang w:eastAsia="zh-CN"/>
        </w:rPr>
        <w:t>510（k）</w:t>
      </w:r>
      <w:r>
        <w:rPr>
          <w:rFonts w:hint="eastAsia" w:ascii="Arial" w:hAnsi="Arial" w:eastAsia="宋体" w:cs="Arial"/>
          <w:snapToGrid w:val="0"/>
          <w:lang w:eastAsia="zh-CN"/>
        </w:rPr>
        <w:t>应说明材料是否在袋内进行灭菌以及灭菌过程是否引起任何可能影响器械安全的化学成分和材料吸收性能的变化。</w:t>
      </w:r>
    </w:p>
    <w:p w14:paraId="0D2C4058">
      <w:pPr>
        <w:pStyle w:val="12"/>
        <w:shd w:val="clear" w:color="auto" w:fill="auto"/>
        <w:topLinePunct/>
        <w:adjustRightInd w:val="0"/>
        <w:snapToGrid w:val="0"/>
        <w:spacing w:after="270" w:afterLines="75" w:line="360" w:lineRule="auto"/>
        <w:jc w:val="both"/>
        <w:rPr>
          <w:rFonts w:ascii="Arial" w:hAnsi="Arial" w:eastAsia="宋体" w:cs="Arial"/>
          <w:b/>
          <w:snapToGrid w:val="0"/>
          <w:lang w:eastAsia="zh-CN"/>
        </w:rPr>
      </w:pPr>
      <w:r>
        <w:rPr>
          <w:rFonts w:ascii="Arial" w:hAnsi="Arial" w:eastAsia="宋体" w:cs="Arial"/>
          <w:b/>
          <w:snapToGrid w:val="0"/>
          <w:lang w:eastAsia="zh-CN"/>
        </w:rPr>
        <w:t>V</w:t>
      </w:r>
      <w:r>
        <w:rPr>
          <w:rFonts w:hint="eastAsia" w:ascii="Arial" w:hAnsi="Arial" w:eastAsia="宋体" w:cs="Arial"/>
          <w:b/>
          <w:snapToGrid w:val="0"/>
          <w:lang w:eastAsia="zh-CN"/>
        </w:rPr>
        <w:t>I．</w:t>
      </w:r>
      <w:r>
        <w:rPr>
          <w:rStyle w:val="22"/>
          <w:rFonts w:hint="eastAsia" w:ascii="Arial" w:hAnsi="Arial" w:eastAsia="宋体" w:cs="Arial"/>
          <w:b/>
          <w:snapToGrid w:val="0"/>
          <w:lang w:eastAsia="zh-CN"/>
        </w:rPr>
        <w:t>修改</w:t>
      </w:r>
    </w:p>
    <w:p w14:paraId="40F8EC97">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如</w:t>
      </w:r>
      <w:r>
        <w:rPr>
          <w:rFonts w:ascii="Arial" w:hAnsi="Arial" w:eastAsia="宋体" w:cs="Arial"/>
          <w:snapToGrid w:val="0"/>
          <w:lang w:eastAsia="zh-CN"/>
        </w:rPr>
        <w:t>21 CFR 807.87（g）</w:t>
      </w:r>
      <w:r>
        <w:rPr>
          <w:rFonts w:hint="eastAsia" w:ascii="Arial" w:hAnsi="Arial" w:eastAsia="宋体" w:cs="Arial"/>
          <w:snapToGrid w:val="0"/>
          <w:lang w:eastAsia="zh-CN"/>
        </w:rPr>
        <w:t>所述，对于经历可能显著影响器械安全性或有效性变更或修改的器械，或以新的或不同的适应症销售的器械，</w:t>
      </w:r>
      <w:r>
        <w:rPr>
          <w:rFonts w:ascii="Arial" w:hAnsi="Arial" w:eastAsia="宋体" w:cs="Arial"/>
          <w:snapToGrid w:val="0"/>
          <w:lang w:eastAsia="zh-CN"/>
        </w:rPr>
        <w:t>510（k）</w:t>
      </w:r>
      <w:r>
        <w:rPr>
          <w:rFonts w:hint="eastAsia" w:ascii="Arial" w:hAnsi="Arial" w:eastAsia="宋体" w:cs="Arial"/>
          <w:snapToGrid w:val="0"/>
          <w:lang w:eastAsia="zh-CN"/>
        </w:rPr>
        <w:t>应包含适当支持数据以显示制造商已经考虑到变更或修改或新用途对器械安全性和有效性可能产生的后果和影响。</w:t>
      </w:r>
    </w:p>
    <w:p w14:paraId="7530809C">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如</w:t>
      </w:r>
      <w:r>
        <w:rPr>
          <w:rFonts w:ascii="Arial" w:hAnsi="Arial" w:eastAsia="宋体" w:cs="Arial"/>
          <w:snapToGrid w:val="0"/>
          <w:lang w:eastAsia="zh-CN"/>
        </w:rPr>
        <w:t>21 CFR 807.87（f）</w:t>
      </w:r>
      <w:r>
        <w:rPr>
          <w:rFonts w:hint="eastAsia" w:ascii="Arial" w:hAnsi="Arial" w:eastAsia="宋体" w:cs="Arial"/>
          <w:snapToGrid w:val="0"/>
          <w:lang w:eastAsia="zh-CN"/>
        </w:rPr>
        <w:t>所述，重大修改应得到修改原理及支持性文件（可能包括证明这些差异不影响安全性和有效性的临床或其他有效科学研究）的支持。</w:t>
      </w:r>
    </w:p>
    <w:p w14:paraId="53AA5977">
      <w:pPr>
        <w:rPr>
          <w:rFonts w:ascii="Arial" w:hAnsi="Arial" w:eastAsia="宋体" w:cs="Arial"/>
          <w:snapToGrid w:val="0"/>
          <w:lang w:eastAsia="zh-CN"/>
        </w:rPr>
      </w:pPr>
      <w:r>
        <w:rPr>
          <w:rFonts w:ascii="Arial" w:hAnsi="Arial" w:eastAsia="宋体" w:cs="Arial"/>
          <w:snapToGrid w:val="0"/>
          <w:lang w:eastAsia="zh-CN"/>
        </w:rPr>
        <w:br w:type="page"/>
      </w:r>
    </w:p>
    <w:p w14:paraId="05CD5621">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所有尿液引流袋及附件的说明均应包含任何可能影响安全性、有效性或预期用途与比较器械不同的重大变更或修改。提供任何台架、动物、临床、功能性、</w:t>
      </w:r>
      <w:r>
        <w:rPr>
          <w:rFonts w:hint="eastAsia" w:ascii="Arial" w:hAnsi="Arial" w:eastAsia="宋体" w:cs="Arial"/>
          <w:snapToGrid w:val="0"/>
          <w:u w:val="single"/>
          <w:lang w:eastAsia="zh-CN"/>
        </w:rPr>
        <w:t>体外</w:t>
      </w:r>
      <w:r>
        <w:rPr>
          <w:rFonts w:hint="eastAsia" w:ascii="Arial" w:hAnsi="Arial" w:eastAsia="宋体" w:cs="Arial"/>
          <w:snapToGrid w:val="0"/>
          <w:lang w:eastAsia="zh-CN"/>
        </w:rPr>
        <w:t>和／或任何其他测试数据以支持贵公司的声称。提供关于符合自愿性标准的证明（如果适用）。</w:t>
      </w:r>
    </w:p>
    <w:p w14:paraId="55426850">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也可从标题为</w:t>
      </w:r>
      <w:r>
        <w:rPr>
          <w:rFonts w:hint="eastAsia" w:ascii="宋体" w:hAnsi="宋体" w:eastAsia="宋体" w:cs="Arial"/>
          <w:snapToGrid w:val="0"/>
          <w:lang w:eastAsia="zh-CN"/>
        </w:rPr>
        <w:t>“</w:t>
      </w:r>
      <w:r>
        <w:rPr>
          <w:rFonts w:hint="eastAsia" w:ascii="Arial" w:hAnsi="Arial" w:eastAsia="宋体" w:cs="Arial"/>
          <w:snapToGrid w:val="0"/>
          <w:lang w:eastAsia="zh-CN"/>
        </w:rPr>
        <w:t>决定何时为现有器械变更提交</w:t>
      </w:r>
      <w:r>
        <w:rPr>
          <w:rFonts w:ascii="Arial" w:hAnsi="Arial" w:eastAsia="宋体" w:cs="Arial"/>
          <w:snapToGrid w:val="0"/>
          <w:lang w:eastAsia="zh-CN"/>
        </w:rPr>
        <w:t>510（k）（</w:t>
      </w:r>
      <w:r>
        <w:rPr>
          <w:rFonts w:hint="eastAsia" w:ascii="Arial" w:hAnsi="Arial" w:eastAsia="宋体" w:cs="Arial"/>
          <w:snapToGrid w:val="0"/>
          <w:lang w:eastAsia="zh-CN"/>
        </w:rPr>
        <w:t>19</w:t>
      </w:r>
      <w:r>
        <w:rPr>
          <w:rFonts w:ascii="Arial" w:hAnsi="Arial" w:eastAsia="宋体" w:cs="Arial"/>
          <w:snapToGrid w:val="0"/>
          <w:lang w:eastAsia="zh-CN"/>
        </w:rPr>
        <w:t>94</w:t>
      </w:r>
      <w:r>
        <w:rPr>
          <w:rFonts w:hint="eastAsia" w:ascii="Arial" w:hAnsi="Arial" w:eastAsia="宋体" w:cs="Arial"/>
          <w:snapToGrid w:val="0"/>
          <w:lang w:eastAsia="zh-CN"/>
        </w:rPr>
        <w:t>年4月8日</w:t>
      </w:r>
      <w:r>
        <w:rPr>
          <w:rFonts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的指南草案获得关于器械修改的其他指南，可拨打上述提到的</w:t>
      </w:r>
      <w:r>
        <w:rPr>
          <w:rFonts w:ascii="Arial" w:hAnsi="Arial" w:eastAsia="宋体" w:cs="Arial"/>
          <w:snapToGrid w:val="0"/>
          <w:lang w:eastAsia="zh-CN"/>
        </w:rPr>
        <w:t>DSMA</w:t>
      </w:r>
      <w:r>
        <w:rPr>
          <w:rFonts w:hint="eastAsia" w:ascii="Arial" w:hAnsi="Arial" w:eastAsia="宋体" w:cs="Arial"/>
          <w:snapToGrid w:val="0"/>
          <w:lang w:eastAsia="zh-CN"/>
        </w:rPr>
        <w:t>电话号码获得该文件。</w:t>
      </w:r>
    </w:p>
    <w:p w14:paraId="6162C21B">
      <w:pPr>
        <w:pStyle w:val="12"/>
        <w:shd w:val="clear" w:color="auto" w:fill="auto"/>
        <w:topLinePunct/>
        <w:adjustRightInd w:val="0"/>
        <w:snapToGrid w:val="0"/>
        <w:spacing w:after="270" w:afterLines="75" w:line="360" w:lineRule="auto"/>
        <w:jc w:val="both"/>
        <w:rPr>
          <w:rFonts w:ascii="Arial" w:hAnsi="Arial" w:eastAsia="宋体" w:cs="Arial"/>
          <w:snapToGrid w:val="0"/>
          <w:lang w:eastAsia="zh-CN"/>
        </w:rPr>
      </w:pPr>
      <w:r>
        <w:rPr>
          <w:rFonts w:hint="eastAsia" w:ascii="Arial" w:hAnsi="Arial" w:eastAsia="宋体" w:cs="Arial"/>
          <w:snapToGrid w:val="0"/>
          <w:lang w:eastAsia="zh-CN"/>
        </w:rPr>
        <w:t>更多信息联系：</w:t>
      </w:r>
    </w:p>
    <w:p w14:paraId="0D11897F">
      <w:pPr>
        <w:pStyle w:val="12"/>
        <w:shd w:val="clear" w:color="auto" w:fill="auto"/>
        <w:topLinePunct/>
        <w:adjustRightInd w:val="0"/>
        <w:snapToGrid w:val="0"/>
        <w:spacing w:line="360" w:lineRule="auto"/>
        <w:ind w:left="840" w:leftChars="350"/>
        <w:jc w:val="both"/>
        <w:rPr>
          <w:rFonts w:ascii="Arial" w:hAnsi="Arial" w:eastAsia="宋体" w:cs="Arial"/>
          <w:snapToGrid w:val="0"/>
          <w:lang w:eastAsia="zh-CN"/>
        </w:rPr>
      </w:pPr>
      <w:r>
        <w:rPr>
          <w:rFonts w:hint="eastAsia" w:ascii="Arial" w:hAnsi="Arial" w:eastAsia="宋体" w:cs="Arial"/>
          <w:snapToGrid w:val="0"/>
          <w:lang w:eastAsia="zh-CN"/>
        </w:rPr>
        <w:t>泌尿学和</w:t>
      </w:r>
      <w:bookmarkStart w:id="19" w:name="OLE_LINK5"/>
      <w:bookmarkStart w:id="20" w:name="OLE_LINK6"/>
      <w:r>
        <w:rPr>
          <w:rFonts w:hint="eastAsia" w:ascii="Arial" w:hAnsi="Arial" w:eastAsia="宋体" w:cs="Arial"/>
          <w:snapToGrid w:val="0"/>
          <w:lang w:eastAsia="zh-CN"/>
        </w:rPr>
        <w:t>碎石器械分部</w:t>
      </w:r>
      <w:bookmarkEnd w:id="19"/>
      <w:bookmarkEnd w:id="20"/>
    </w:p>
    <w:p w14:paraId="6282D451">
      <w:pPr>
        <w:pStyle w:val="12"/>
        <w:shd w:val="clear" w:color="auto" w:fill="auto"/>
        <w:topLinePunct/>
        <w:adjustRightInd w:val="0"/>
        <w:snapToGrid w:val="0"/>
        <w:spacing w:line="360" w:lineRule="auto"/>
        <w:ind w:left="840" w:leftChars="350"/>
        <w:jc w:val="both"/>
        <w:rPr>
          <w:rFonts w:ascii="Arial" w:hAnsi="Arial" w:eastAsia="宋体" w:cs="Arial"/>
          <w:snapToGrid w:val="0"/>
          <w:lang w:eastAsia="zh-CN"/>
        </w:rPr>
      </w:pPr>
      <w:bookmarkStart w:id="21" w:name="OLE_LINK63"/>
      <w:bookmarkStart w:id="22" w:name="OLE_LINK64"/>
      <w:r>
        <w:rPr>
          <w:rFonts w:hint="eastAsia" w:ascii="Arial" w:hAnsi="Arial" w:eastAsia="宋体" w:cs="Arial"/>
          <w:snapToGrid w:val="0"/>
          <w:lang w:eastAsia="zh-CN"/>
        </w:rPr>
        <w:t>生殖、腹部、耳鼻喉和放射器械科</w:t>
      </w:r>
    </w:p>
    <w:bookmarkEnd w:id="21"/>
    <w:bookmarkEnd w:id="22"/>
    <w:p w14:paraId="40A9DCDD">
      <w:pPr>
        <w:pStyle w:val="12"/>
        <w:shd w:val="clear" w:color="auto" w:fill="auto"/>
        <w:topLinePunct/>
        <w:adjustRightInd w:val="0"/>
        <w:snapToGrid w:val="0"/>
        <w:spacing w:line="360" w:lineRule="auto"/>
        <w:ind w:left="840" w:leftChars="350"/>
        <w:jc w:val="both"/>
        <w:rPr>
          <w:rFonts w:ascii="Arial" w:hAnsi="Arial" w:eastAsia="宋体" w:cs="Arial"/>
          <w:snapToGrid w:val="0"/>
          <w:lang w:eastAsia="zh-CN"/>
        </w:rPr>
      </w:pPr>
      <w:r>
        <w:rPr>
          <w:rFonts w:hint="eastAsia" w:ascii="Arial" w:hAnsi="Arial" w:eastAsia="宋体" w:cs="Arial"/>
          <w:snapToGrid w:val="0"/>
          <w:lang w:eastAsia="zh-CN"/>
        </w:rPr>
        <w:t>器械和放射卫生中心</w:t>
      </w:r>
    </w:p>
    <w:p w14:paraId="202707D9">
      <w:pPr>
        <w:pStyle w:val="12"/>
        <w:shd w:val="clear" w:color="auto" w:fill="auto"/>
        <w:topLinePunct/>
        <w:adjustRightInd w:val="0"/>
        <w:snapToGrid w:val="0"/>
        <w:spacing w:line="360" w:lineRule="auto"/>
        <w:ind w:left="840" w:leftChars="350"/>
        <w:jc w:val="both"/>
        <w:rPr>
          <w:rFonts w:ascii="Arial" w:hAnsi="Arial" w:eastAsia="宋体" w:cs="Arial"/>
          <w:snapToGrid w:val="0"/>
        </w:rPr>
      </w:pPr>
      <w:r>
        <w:rPr>
          <w:rFonts w:ascii="Arial" w:hAnsi="Arial" w:eastAsia="宋体" w:cs="Arial"/>
          <w:snapToGrid w:val="0"/>
        </w:rPr>
        <w:t xml:space="preserve">1390 Piccard Drive (HFZ-470) </w:t>
      </w:r>
    </w:p>
    <w:p w14:paraId="17022F5F">
      <w:pPr>
        <w:pStyle w:val="12"/>
        <w:shd w:val="clear" w:color="auto" w:fill="auto"/>
        <w:topLinePunct/>
        <w:adjustRightInd w:val="0"/>
        <w:snapToGrid w:val="0"/>
        <w:spacing w:line="360" w:lineRule="auto"/>
        <w:ind w:left="840" w:leftChars="350"/>
        <w:jc w:val="both"/>
        <w:rPr>
          <w:rFonts w:ascii="Arial" w:hAnsi="Arial" w:eastAsia="宋体" w:cs="Arial"/>
          <w:snapToGrid w:val="0"/>
        </w:rPr>
      </w:pPr>
      <w:r>
        <w:rPr>
          <w:rFonts w:ascii="Arial" w:hAnsi="Arial" w:eastAsia="宋体" w:cs="Arial"/>
          <w:snapToGrid w:val="0"/>
        </w:rPr>
        <w:t xml:space="preserve">Rockville, MD 20850 </w:t>
      </w:r>
      <w:r>
        <w:rPr>
          <w:rFonts w:hint="eastAsia" w:ascii="Arial" w:hAnsi="Arial" w:eastAsia="宋体" w:cs="Arial"/>
          <w:snapToGrid w:val="0"/>
          <w:lang w:eastAsia="zh-CN"/>
        </w:rPr>
        <w:br w:type="textWrapping"/>
      </w:r>
      <w:r>
        <w:rPr>
          <w:rFonts w:ascii="Arial" w:hAnsi="Arial" w:eastAsia="宋体" w:cs="Arial"/>
          <w:snapToGrid w:val="0"/>
        </w:rPr>
        <w:t>(301) 594-2194</w:t>
      </w:r>
    </w:p>
    <w:p w14:paraId="501BA2A8">
      <w:pPr>
        <w:topLinePunct/>
        <w:adjustRightInd w:val="0"/>
        <w:snapToGrid w:val="0"/>
        <w:spacing w:after="270" w:afterLines="75" w:line="288" w:lineRule="auto"/>
        <w:jc w:val="both"/>
        <w:rPr>
          <w:rFonts w:hint="eastAsia" w:eastAsia="宋体"/>
          <w:lang w:eastAsia="zh-CN"/>
        </w:rPr>
      </w:pPr>
    </w:p>
    <w:p w14:paraId="6B1EBAFF">
      <w:pPr>
        <w:topLinePunct/>
        <w:adjustRightInd w:val="0"/>
        <w:snapToGrid w:val="0"/>
        <w:spacing w:after="270" w:afterLines="75" w:line="288" w:lineRule="auto"/>
        <w:jc w:val="center"/>
        <w:rPr>
          <w:rFonts w:hint="eastAsia" w:eastAsia="宋体"/>
          <w:lang w:eastAsia="zh-CN"/>
        </w:rPr>
      </w:pPr>
    </w:p>
    <w:p w14:paraId="125F74EF">
      <w:pPr>
        <w:topLinePunct/>
        <w:adjustRightInd w:val="0"/>
        <w:snapToGrid w:val="0"/>
        <w:spacing w:after="270"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8" w:type="default"/>
      <w:footerReference r:id="rId9" w:type="default"/>
      <w:pgSz w:w="11906" w:h="16838"/>
      <w:pgMar w:top="1134" w:right="1440" w:bottom="1134" w:left="1440" w:header="720" w:footer="720" w:gutter="0"/>
      <w:pgNumType w:start="1"/>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C2BA">
    <w:pPr>
      <w:rPr>
        <w:sz w:val="2"/>
        <w:szCs w:val="2"/>
      </w:rPr>
    </w:pPr>
    <w:r>
      <w:rPr>
        <w:lang w:eastAsia="zh-CN" w:bidi="ar-SA"/>
      </w:rPr>
      <mc:AlternateContent>
        <mc:Choice Requires="wps">
          <w:drawing>
            <wp:anchor distT="0" distB="0" distL="63500" distR="63500" simplePos="0" relativeHeight="251660288" behindDoc="1" locked="0" layoutInCell="1" allowOverlap="1">
              <wp:simplePos x="0" y="0"/>
              <wp:positionH relativeFrom="page">
                <wp:posOffset>2000250</wp:posOffset>
              </wp:positionH>
              <wp:positionV relativeFrom="page">
                <wp:posOffset>8769985</wp:posOffset>
              </wp:positionV>
              <wp:extent cx="3736975" cy="137160"/>
              <wp:effectExtent l="0" t="0" r="0" b="0"/>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3736975" cy="137160"/>
                      </a:xfrm>
                      <a:prstGeom prst="rect">
                        <a:avLst/>
                      </a:prstGeom>
                      <a:noFill/>
                      <a:ln>
                        <a:noFill/>
                      </a:ln>
                    </wps:spPr>
                    <wps:txbx>
                      <w:txbxContent>
                        <w:p w14:paraId="723FC5BF">
                          <w:pPr>
                            <w:pStyle w:val="14"/>
                            <w:shd w:val="clear" w:color="auto" w:fill="auto"/>
                            <w:spacing w:line="240" w:lineRule="auto"/>
                            <w:rPr>
                              <w:rFonts w:eastAsiaTheme="minorEastAsia"/>
                              <w:lang w:eastAsia="zh-CN"/>
                            </w:rPr>
                          </w:pPr>
                          <w:r>
                            <w:rPr>
                              <w:rStyle w:val="17"/>
                              <w:rFonts w:hint="eastAsia" w:eastAsiaTheme="minorEastAsia"/>
                              <w:b/>
                              <w:bCs/>
                              <w:lang w:eastAsia="zh-CN"/>
                            </w:rPr>
                            <w:t>集尿袋指南第</w:t>
                          </w:r>
                          <w:r>
                            <w:rPr>
                              <w:rStyle w:val="17"/>
                              <w:b/>
                              <w:bCs/>
                            </w:rPr>
                            <w:t xml:space="preserve"> </w:t>
                          </w:r>
                          <w:r>
                            <w:fldChar w:fldCharType="begin"/>
                          </w:r>
                          <w:r>
                            <w:instrText xml:space="preserve"> PAGE \* MERGEFORMAT </w:instrText>
                          </w:r>
                          <w:r>
                            <w:fldChar w:fldCharType="separate"/>
                          </w:r>
                          <w:r>
                            <w:rPr>
                              <w:rStyle w:val="17"/>
                              <w:b/>
                              <w:bCs/>
                            </w:rPr>
                            <w:t>1</w:t>
                          </w:r>
                          <w:r>
                            <w:rPr>
                              <w:rStyle w:val="17"/>
                              <w:b/>
                              <w:bCs/>
                            </w:rPr>
                            <w:fldChar w:fldCharType="end"/>
                          </w:r>
                          <w:r>
                            <w:rPr>
                              <w:rStyle w:val="17"/>
                              <w:rFonts w:hint="eastAsia" w:eastAsiaTheme="minorEastAsia"/>
                              <w:b/>
                              <w:bCs/>
                              <w:lang w:eastAsia="zh-CN"/>
                            </w:rPr>
                            <w:t>/</w:t>
                          </w:r>
                          <w:r>
                            <w:rPr>
                              <w:rStyle w:val="17"/>
                              <w:b/>
                              <w:bCs/>
                            </w:rPr>
                            <w:t>5</w:t>
                          </w:r>
                          <w:r>
                            <w:rPr>
                              <w:rStyle w:val="17"/>
                              <w:rFonts w:hint="eastAsia" w:eastAsiaTheme="minorEastAsia"/>
                              <w:b/>
                              <w:bCs/>
                              <w:lang w:eastAsia="zh-CN"/>
                            </w:rPr>
                            <w:t>页</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left:157.5pt;margin-top:690.55pt;height:10.8pt;width:294.25pt;mso-position-horizontal-relative:page;mso-position-vertical-relative:page;mso-wrap-style:none;z-index:-251656192;mso-width-relative:page;mso-height-relative:page;" filled="f" stroked="f" coordsize="21600,21600" o:gfxdata="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JmHL2QAAAA0BAAAPAAAAAAAAAAEAIAAAACIAAABkcnMvZG93bnJl&#10;di54bWxQSwECFAAUAAAACACHTuJAkCFrpvwBAAACBAAADgAAAAAAAAABACAAAAAoAQAAZHJzL2Uy&#10;b0RvYy54bWxQSwUGAAAAAAYABgBZAQAAlgUAAAAA&#10;">
              <v:fill on="f" focussize="0,0"/>
              <v:stroke on="f"/>
              <v:imagedata o:title=""/>
              <o:lock v:ext="edit" aspectratio="f"/>
              <v:textbox inset="0mm,0mm,0mm,0mm" style="mso-fit-shape-to-text:t;">
                <w:txbxContent>
                  <w:p w14:paraId="723FC5BF">
                    <w:pPr>
                      <w:pStyle w:val="14"/>
                      <w:shd w:val="clear" w:color="auto" w:fill="auto"/>
                      <w:spacing w:line="240" w:lineRule="auto"/>
                      <w:rPr>
                        <w:rFonts w:eastAsiaTheme="minorEastAsia"/>
                        <w:lang w:eastAsia="zh-CN"/>
                      </w:rPr>
                    </w:pPr>
                    <w:r>
                      <w:rPr>
                        <w:rStyle w:val="17"/>
                        <w:rFonts w:hint="eastAsia" w:eastAsiaTheme="minorEastAsia"/>
                        <w:b/>
                        <w:bCs/>
                        <w:lang w:eastAsia="zh-CN"/>
                      </w:rPr>
                      <w:t>集尿袋指南第</w:t>
                    </w:r>
                    <w:r>
                      <w:rPr>
                        <w:rStyle w:val="17"/>
                        <w:b/>
                        <w:bCs/>
                      </w:rPr>
                      <w:t xml:space="preserve"> </w:t>
                    </w:r>
                    <w:r>
                      <w:fldChar w:fldCharType="begin"/>
                    </w:r>
                    <w:r>
                      <w:instrText xml:space="preserve"> PAGE \* MERGEFORMAT </w:instrText>
                    </w:r>
                    <w:r>
                      <w:fldChar w:fldCharType="separate"/>
                    </w:r>
                    <w:r>
                      <w:rPr>
                        <w:rStyle w:val="17"/>
                        <w:b/>
                        <w:bCs/>
                      </w:rPr>
                      <w:t>1</w:t>
                    </w:r>
                    <w:r>
                      <w:rPr>
                        <w:rStyle w:val="17"/>
                        <w:b/>
                        <w:bCs/>
                      </w:rPr>
                      <w:fldChar w:fldCharType="end"/>
                    </w:r>
                    <w:r>
                      <w:rPr>
                        <w:rStyle w:val="17"/>
                        <w:rFonts w:hint="eastAsia" w:eastAsiaTheme="minorEastAsia"/>
                        <w:b/>
                        <w:bCs/>
                        <w:lang w:eastAsia="zh-CN"/>
                      </w:rPr>
                      <w:t>/</w:t>
                    </w:r>
                    <w:r>
                      <w:rPr>
                        <w:rStyle w:val="17"/>
                        <w:b/>
                        <w:bCs/>
                      </w:rPr>
                      <w:t>5</w:t>
                    </w:r>
                    <w:r>
                      <w:rPr>
                        <w:rStyle w:val="17"/>
                        <w:rFonts w:hint="eastAsia" w:eastAsiaTheme="minorEastAsia"/>
                        <w:b/>
                        <w:bCs/>
                        <w:lang w:eastAsia="zh-CN"/>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1BCDD">
    <w:pPr>
      <w:pStyle w:val="3"/>
      <w:rPr>
        <w:rFonts w:eastAsiaTheme="minorEastAsia"/>
        <w:lang w:eastAsia="zh-CN"/>
      </w:rPr>
    </w:pPr>
  </w:p>
  <w:p w14:paraId="6B897211">
    <w:pPr>
      <w:tabs>
        <w:tab w:val="right" w:pos="9026"/>
      </w:tabs>
      <w:topLinePunct/>
      <w:adjustRightInd w:val="0"/>
      <w:snapToGrid w:val="0"/>
      <w:spacing w:after="180" w:afterLines="75" w:line="288" w:lineRule="auto"/>
      <w:jc w:val="center"/>
      <w:rPr>
        <w:rFonts w:ascii="Arial" w:hAnsi="Arial" w:eastAsia="宋体" w:cs="Arial"/>
        <w:snapToGrid w:val="0"/>
        <w:sz w:val="21"/>
        <w:lang w:eastAsia="zh-CN"/>
      </w:rPr>
    </w:pPr>
    <w:r>
      <w:rPr>
        <w:rFonts w:hint="eastAsia" w:ascii="Arial" w:hAnsi="Arial" w:eastAsia="宋体" w:cs="Arial"/>
        <w:snapToGrid w:val="0"/>
        <w:sz w:val="21"/>
        <w:lang w:eastAsia="zh-CN"/>
      </w:rPr>
      <w:t>尿液引流袋指南</w:t>
    </w:r>
    <w:r>
      <w:rPr>
        <w:rFonts w:ascii="Arial" w:hAnsi="Arial" w:eastAsia="宋体" w:cs="Arial"/>
        <w:snapToGrid w:val="0"/>
        <w:sz w:val="21"/>
        <w:lang w:eastAsia="zh-CN"/>
      </w:rPr>
      <w:t xml:space="preserve"> </w:t>
    </w:r>
    <w:r>
      <w:rPr>
        <w:rFonts w:hint="eastAsia" w:ascii="Arial" w:hAnsi="Arial" w:eastAsia="宋体" w:cs="Arial"/>
        <w:snapToGrid w:val="0"/>
        <w:sz w:val="21"/>
        <w:lang w:eastAsia="zh-CN"/>
      </w:rPr>
      <w:t xml:space="preserve"> </w:t>
    </w:r>
    <w:r>
      <w:rPr>
        <w:rFonts w:ascii="Arial" w:hAnsi="Arial" w:eastAsia="宋体" w:cs="Arial"/>
        <w:snapToGrid w:val="0"/>
        <w:sz w:val="21"/>
        <w:lang w:eastAsia="zh-CN"/>
      </w:rPr>
      <w:t>第</w:t>
    </w:r>
    <w:r>
      <w:rPr>
        <w:rFonts w:ascii="Arial" w:hAnsi="Arial" w:eastAsia="宋体" w:cs="Arial"/>
        <w:snapToGrid w:val="0"/>
        <w:sz w:val="21"/>
        <w:lang w:eastAsia="zh-CN"/>
      </w:rPr>
      <w:fldChar w:fldCharType="begin"/>
    </w:r>
    <w:r>
      <w:rPr>
        <w:rFonts w:ascii="Arial" w:hAnsi="Arial" w:eastAsia="宋体" w:cs="Arial"/>
        <w:snapToGrid w:val="0"/>
        <w:sz w:val="21"/>
        <w:lang w:eastAsia="zh-CN"/>
      </w:rPr>
      <w:instrText xml:space="preserve">PAGE   \* MERGEFORMAT</w:instrText>
    </w:r>
    <w:r>
      <w:rPr>
        <w:rFonts w:ascii="Arial" w:hAnsi="Arial" w:eastAsia="宋体" w:cs="Arial"/>
        <w:snapToGrid w:val="0"/>
        <w:sz w:val="21"/>
        <w:lang w:eastAsia="zh-CN"/>
      </w:rPr>
      <w:fldChar w:fldCharType="separate"/>
    </w:r>
    <w:r>
      <w:rPr>
        <w:rFonts w:ascii="Arial" w:hAnsi="Arial" w:eastAsia="宋体" w:cs="Arial"/>
        <w:snapToGrid w:val="0"/>
        <w:sz w:val="21"/>
        <w:lang w:val="zh-CN" w:eastAsia="zh-CN"/>
      </w:rPr>
      <w:t>5</w:t>
    </w:r>
    <w:r>
      <w:rPr>
        <w:rFonts w:ascii="Arial" w:hAnsi="Arial" w:eastAsia="宋体" w:cs="Arial"/>
        <w:snapToGrid w:val="0"/>
        <w:sz w:val="21"/>
        <w:lang w:eastAsia="zh-CN"/>
      </w:rPr>
      <w:fldChar w:fldCharType="end"/>
    </w:r>
    <w:r>
      <w:rPr>
        <w:rFonts w:ascii="Arial" w:hAnsi="Arial" w:eastAsia="宋体" w:cs="Arial"/>
        <w:snapToGrid w:val="0"/>
        <w:sz w:val="21"/>
        <w:lang w:eastAsia="zh-CN"/>
      </w:rPr>
      <w:t>/5</w:t>
    </w:r>
    <w:r>
      <w:rPr>
        <w:rFonts w:hint="eastAsia" w:ascii="Arial" w:hAnsi="Arial" w:eastAsia="宋体" w:cs="Arial"/>
        <w:snapToGrid w:val="0"/>
        <w:sz w:val="21"/>
        <w:lang w:eastAsia="zh-CN"/>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549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3A1A">
    <w:pPr>
      <w:rPr>
        <w:sz w:val="2"/>
        <w:szCs w:val="2"/>
      </w:rPr>
    </w:pPr>
    <w:r>
      <w:rPr>
        <w:lang w:eastAsia="zh-CN" w:bidi="ar-SA"/>
      </w:rPr>
      <mc:AlternateContent>
        <mc:Choice Requires="wps">
          <w:drawing>
            <wp:anchor distT="0" distB="0" distL="63500" distR="63500" simplePos="0" relativeHeight="251660288" behindDoc="1" locked="0" layoutInCell="1" allowOverlap="1">
              <wp:simplePos x="0" y="0"/>
              <wp:positionH relativeFrom="page">
                <wp:posOffset>1600835</wp:posOffset>
              </wp:positionH>
              <wp:positionV relativeFrom="page">
                <wp:posOffset>409575</wp:posOffset>
              </wp:positionV>
              <wp:extent cx="3227705" cy="316865"/>
              <wp:effectExtent l="635" t="0" r="635"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3227705" cy="316865"/>
                      </a:xfrm>
                      <a:prstGeom prst="rect">
                        <a:avLst/>
                      </a:prstGeom>
                      <a:noFill/>
                      <a:ln>
                        <a:noFill/>
                      </a:ln>
                    </wps:spPr>
                    <wps:txbx>
                      <w:txbxContent>
                        <w:p w14:paraId="12BFFB19">
                          <w:pPr>
                            <w:pStyle w:val="14"/>
                            <w:shd w:val="clear" w:color="auto" w:fill="auto"/>
                            <w:tabs>
                              <w:tab w:val="right" w:pos="5083"/>
                            </w:tabs>
                            <w:spacing w:line="240" w:lineRule="auto"/>
                            <w:rPr>
                              <w:rFonts w:eastAsiaTheme="minorEastAsia"/>
                              <w:lang w:eastAsia="zh-CN"/>
                            </w:rPr>
                          </w:pPr>
                          <w:r>
                            <w:rPr>
                              <w:rStyle w:val="15"/>
                              <w:b w:val="0"/>
                              <w:bCs w:val="0"/>
                            </w:rPr>
                            <w:t>1994</w:t>
                          </w:r>
                          <w:r>
                            <w:rPr>
                              <w:rStyle w:val="15"/>
                              <w:rFonts w:hint="eastAsia" w:eastAsiaTheme="minorEastAsia"/>
                              <w:b w:val="0"/>
                              <w:bCs w:val="0"/>
                              <w:lang w:eastAsia="zh-CN"/>
                            </w:rPr>
                            <w:t>年6月7日</w:t>
                          </w:r>
                          <w:r>
                            <w:rPr>
                              <w:rStyle w:val="15"/>
                              <w:b w:val="0"/>
                              <w:bCs w:val="0"/>
                            </w:rPr>
                            <w:tab/>
                          </w:r>
                          <w:r>
                            <w:rPr>
                              <w:rStyle w:val="16"/>
                              <w:rFonts w:hint="eastAsia" w:eastAsiaTheme="minorEastAsia"/>
                              <w:b/>
                              <w:bCs/>
                              <w:lang w:eastAsia="zh-CN"/>
                            </w:rPr>
                            <w:t>草案</w:t>
                          </w:r>
                        </w:p>
                      </w:txbxContent>
                    </wps:txbx>
                    <wps:bodyPr rot="0" vert="horz" wrap="square" lIns="0" tIns="0" rIns="0" bIns="0" anchor="t" anchorCtr="0" upright="1">
                      <a:spAutoFit/>
                    </wps:bodyPr>
                  </wps:wsp>
                </a:graphicData>
              </a:graphic>
            </wp:anchor>
          </w:drawing>
        </mc:Choice>
        <mc:Fallback>
          <w:pict>
            <v:shape id="Text Box 4" o:spid="_x0000_s1026" o:spt="202" type="#_x0000_t202" style="position:absolute;left:0pt;margin-left:126.05pt;margin-top:32.25pt;height:24.95pt;width:254.15pt;mso-position-horizontal-relative:page;mso-position-vertical-relative:page;z-index:-251656192;mso-width-relative:page;mso-height-relative:page;" filled="f" stroked="f" coordsize="21600,21600" o:gfxdata="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b0Z9NUAAAAKAQAADwAAAAAAAAABACAAAAAiAAAAZHJzL2Rvd25yZXYu&#10;eG1sUEsBAhQAFAAAAAgAh07iQAx4ok/+AQAABAQAAA4AAAAAAAAAAQAgAAAAJAEAAGRycy9lMm9E&#10;b2MueG1sUEsFBgAAAAAGAAYAWQEAAJQFAAAAAA==&#10;">
              <v:fill on="f" focussize="0,0"/>
              <v:stroke on="f"/>
              <v:imagedata o:title=""/>
              <o:lock v:ext="edit" aspectratio="f"/>
              <v:textbox inset="0mm,0mm,0mm,0mm" style="mso-fit-shape-to-text:t;">
                <w:txbxContent>
                  <w:p w14:paraId="12BFFB19">
                    <w:pPr>
                      <w:pStyle w:val="14"/>
                      <w:shd w:val="clear" w:color="auto" w:fill="auto"/>
                      <w:tabs>
                        <w:tab w:val="right" w:pos="5083"/>
                      </w:tabs>
                      <w:spacing w:line="240" w:lineRule="auto"/>
                      <w:rPr>
                        <w:rFonts w:eastAsiaTheme="minorEastAsia"/>
                        <w:lang w:eastAsia="zh-CN"/>
                      </w:rPr>
                    </w:pPr>
                    <w:r>
                      <w:rPr>
                        <w:rStyle w:val="15"/>
                        <w:b w:val="0"/>
                        <w:bCs w:val="0"/>
                      </w:rPr>
                      <w:t>1994</w:t>
                    </w:r>
                    <w:r>
                      <w:rPr>
                        <w:rStyle w:val="15"/>
                        <w:rFonts w:hint="eastAsia" w:eastAsiaTheme="minorEastAsia"/>
                        <w:b w:val="0"/>
                        <w:bCs w:val="0"/>
                        <w:lang w:eastAsia="zh-CN"/>
                      </w:rPr>
                      <w:t>年6月7日</w:t>
                    </w:r>
                    <w:r>
                      <w:rPr>
                        <w:rStyle w:val="15"/>
                        <w:b w:val="0"/>
                        <w:bCs w:val="0"/>
                      </w:rPr>
                      <w:tab/>
                    </w:r>
                    <w:r>
                      <w:rPr>
                        <w:rStyle w:val="16"/>
                        <w:rFonts w:hint="eastAsia" w:eastAsiaTheme="minorEastAsia"/>
                        <w:b/>
                        <w:bCs/>
                        <w:lang w:eastAsia="zh-CN"/>
                      </w:rPr>
                      <w:t>草案</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0EF81">
    <w:pPr>
      <w:pStyle w:val="4"/>
      <w:pBdr>
        <w:bottom w:val="none" w:color="auto" w:sz="0" w:space="0"/>
      </w:pBdr>
      <w:ind w:left="420" w:leftChars="175"/>
      <w:jc w:val="both"/>
      <w:rPr>
        <w:rFonts w:ascii="Arial" w:hAnsi="Arial" w:eastAsia="宋体" w:cs="Arial"/>
        <w:snapToGrid w:val="0"/>
        <w:sz w:val="21"/>
        <w:lang w:eastAsia="zh-CN"/>
      </w:rPr>
    </w:pPr>
    <w:r>
      <w:rPr>
        <w:rFonts w:ascii="Arial" w:hAnsi="Arial" w:eastAsia="宋体" w:cs="Arial"/>
        <w:snapToGrid w:val="0"/>
        <w:sz w:val="21"/>
        <w:lang w:eastAsia="zh-CN"/>
      </w:rPr>
      <w:t>1994年6月7日</w:t>
    </w:r>
    <w:r>
      <w:rPr>
        <w:rFonts w:hint="eastAsia" w:ascii="Arial" w:hAnsi="Arial" w:eastAsia="宋体" w:cs="Arial"/>
        <w:snapToGrid w:val="0"/>
        <w:sz w:val="21"/>
        <w:lang w:eastAsia="zh-CN"/>
      </w:rPr>
      <w:tab/>
    </w:r>
    <w:r>
      <w:rPr>
        <w:rFonts w:hint="eastAsia" w:ascii="Arial" w:hAnsi="Arial" w:eastAsia="宋体" w:cs="Arial"/>
        <w:b/>
        <w:snapToGrid w:val="0"/>
        <w:sz w:val="28"/>
        <w:szCs w:val="28"/>
        <w:lang w:eastAsia="zh-CN"/>
      </w:rPr>
      <w:t>草案</w:t>
    </w:r>
  </w:p>
  <w:p w14:paraId="47A90BEA">
    <w:pPr>
      <w:pStyle w:val="4"/>
      <w:pBdr>
        <w:bottom w:val="none" w:color="auto" w:sz="0" w:space="0"/>
      </w:pBdr>
      <w:jc w:val="both"/>
      <w:rPr>
        <w:rFonts w:ascii="Arial" w:hAnsi="Arial" w:eastAsia="宋体" w:cs="Arial"/>
        <w:snapToGrid w:val="0"/>
        <w:lang w:eastAsia="zh-CN"/>
      </w:rPr>
    </w:pPr>
  </w:p>
  <w:p w14:paraId="10FAAD47">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26DC8"/>
    <w:multiLevelType w:val="multilevel"/>
    <w:tmpl w:val="11726DC8"/>
    <w:lvl w:ilvl="0" w:tentative="0">
      <w:start w:val="1"/>
      <w:numFmt w:val="decimal"/>
      <w:lvlText w:val="%1)"/>
      <w:lvlJc w:val="left"/>
      <w:rPr>
        <w:rFonts w:hint="default" w:ascii="Arial" w:hAnsi="Arial" w:eastAsia="Times New Roman"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3C34439"/>
    <w:multiLevelType w:val="multilevel"/>
    <w:tmpl w:val="13C34439"/>
    <w:lvl w:ilvl="0" w:tentative="0">
      <w:start w:val="1"/>
      <w:numFmt w:val="upperRoman"/>
      <w:lvlText w:val="%1."/>
      <w:lvlJc w:val="left"/>
      <w:rPr>
        <w:rFonts w:hint="default" w:ascii="Arial" w:hAnsi="Arial" w:eastAsia="Times New Roman" w:cs="Arial"/>
        <w:b/>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0C3160B"/>
    <w:multiLevelType w:val="multilevel"/>
    <w:tmpl w:val="20C3160B"/>
    <w:lvl w:ilvl="0" w:tentative="0">
      <w:start w:val="1"/>
      <w:numFmt w:val="decimal"/>
      <w:lvlText w:val="%1."/>
      <w:lvlJc w:val="left"/>
      <w:rPr>
        <w:rFonts w:hint="default" w:ascii="Arial" w:hAnsi="Arial" w:eastAsia="Times New Roman"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D5C591E"/>
    <w:multiLevelType w:val="multilevel"/>
    <w:tmpl w:val="2D5C591E"/>
    <w:lvl w:ilvl="0" w:tentative="0">
      <w:start w:val="1"/>
      <w:numFmt w:val="upperLetter"/>
      <w:lvlText w:val="%1."/>
      <w:lvlJc w:val="left"/>
      <w:rPr>
        <w:rFonts w:hint="default" w:ascii="Arial" w:hAnsi="Arial" w:eastAsia="Times New Roman"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isplayHorizontalDrawingGridEvery w:val="2"/>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BA"/>
    <w:rsid w:val="00006B46"/>
    <w:rsid w:val="000112A2"/>
    <w:rsid w:val="000179B8"/>
    <w:rsid w:val="00024A36"/>
    <w:rsid w:val="00036189"/>
    <w:rsid w:val="00043239"/>
    <w:rsid w:val="000448F5"/>
    <w:rsid w:val="00047B02"/>
    <w:rsid w:val="00050174"/>
    <w:rsid w:val="00053AA6"/>
    <w:rsid w:val="0009322B"/>
    <w:rsid w:val="000A06F7"/>
    <w:rsid w:val="000A2246"/>
    <w:rsid w:val="000A3234"/>
    <w:rsid w:val="000B2125"/>
    <w:rsid w:val="000C56A9"/>
    <w:rsid w:val="000D4BC0"/>
    <w:rsid w:val="000E5FC9"/>
    <w:rsid w:val="000F29E6"/>
    <w:rsid w:val="000F3F03"/>
    <w:rsid w:val="00102B70"/>
    <w:rsid w:val="00117835"/>
    <w:rsid w:val="00122BBA"/>
    <w:rsid w:val="0013256A"/>
    <w:rsid w:val="00136940"/>
    <w:rsid w:val="001420DB"/>
    <w:rsid w:val="00146386"/>
    <w:rsid w:val="0016373D"/>
    <w:rsid w:val="00172E48"/>
    <w:rsid w:val="0017745A"/>
    <w:rsid w:val="00196BF6"/>
    <w:rsid w:val="001A012B"/>
    <w:rsid w:val="001A0B4E"/>
    <w:rsid w:val="001B0031"/>
    <w:rsid w:val="001B6EF3"/>
    <w:rsid w:val="001C0390"/>
    <w:rsid w:val="001C1B39"/>
    <w:rsid w:val="001F1484"/>
    <w:rsid w:val="00201E2C"/>
    <w:rsid w:val="00207E5C"/>
    <w:rsid w:val="00210F7C"/>
    <w:rsid w:val="002235E2"/>
    <w:rsid w:val="002257FC"/>
    <w:rsid w:val="0023109C"/>
    <w:rsid w:val="00231F3B"/>
    <w:rsid w:val="0025522A"/>
    <w:rsid w:val="0026239F"/>
    <w:rsid w:val="00263E53"/>
    <w:rsid w:val="002708E6"/>
    <w:rsid w:val="002762E3"/>
    <w:rsid w:val="00276F86"/>
    <w:rsid w:val="00287747"/>
    <w:rsid w:val="00293FFA"/>
    <w:rsid w:val="00294B4F"/>
    <w:rsid w:val="00297316"/>
    <w:rsid w:val="002A196D"/>
    <w:rsid w:val="002B6905"/>
    <w:rsid w:val="002B6D00"/>
    <w:rsid w:val="002C1EEC"/>
    <w:rsid w:val="002D02EA"/>
    <w:rsid w:val="002D1922"/>
    <w:rsid w:val="002E58D5"/>
    <w:rsid w:val="002F144E"/>
    <w:rsid w:val="002F7DA7"/>
    <w:rsid w:val="00312F61"/>
    <w:rsid w:val="0033170E"/>
    <w:rsid w:val="003409DF"/>
    <w:rsid w:val="00364101"/>
    <w:rsid w:val="00385733"/>
    <w:rsid w:val="00392FA6"/>
    <w:rsid w:val="003967B8"/>
    <w:rsid w:val="003A2577"/>
    <w:rsid w:val="003B5F37"/>
    <w:rsid w:val="003F3230"/>
    <w:rsid w:val="004029EC"/>
    <w:rsid w:val="00404941"/>
    <w:rsid w:val="004174EB"/>
    <w:rsid w:val="0042095B"/>
    <w:rsid w:val="00445809"/>
    <w:rsid w:val="00451970"/>
    <w:rsid w:val="004536B9"/>
    <w:rsid w:val="00457822"/>
    <w:rsid w:val="004626CD"/>
    <w:rsid w:val="004641D4"/>
    <w:rsid w:val="00480469"/>
    <w:rsid w:val="0048674F"/>
    <w:rsid w:val="00492CA2"/>
    <w:rsid w:val="004C2DCE"/>
    <w:rsid w:val="004C3570"/>
    <w:rsid w:val="004C688D"/>
    <w:rsid w:val="004D1CB5"/>
    <w:rsid w:val="004D3114"/>
    <w:rsid w:val="004D3E39"/>
    <w:rsid w:val="004E3C1F"/>
    <w:rsid w:val="004E5137"/>
    <w:rsid w:val="004F6E0F"/>
    <w:rsid w:val="00503DF8"/>
    <w:rsid w:val="00507AE1"/>
    <w:rsid w:val="0052273C"/>
    <w:rsid w:val="00527538"/>
    <w:rsid w:val="00547C1B"/>
    <w:rsid w:val="0056027A"/>
    <w:rsid w:val="005637B2"/>
    <w:rsid w:val="00570D36"/>
    <w:rsid w:val="00573767"/>
    <w:rsid w:val="005A36D9"/>
    <w:rsid w:val="005A4605"/>
    <w:rsid w:val="005C3961"/>
    <w:rsid w:val="005C5E65"/>
    <w:rsid w:val="005E220F"/>
    <w:rsid w:val="00616D60"/>
    <w:rsid w:val="00625408"/>
    <w:rsid w:val="00641342"/>
    <w:rsid w:val="006426DD"/>
    <w:rsid w:val="006616AB"/>
    <w:rsid w:val="006629A5"/>
    <w:rsid w:val="00686F59"/>
    <w:rsid w:val="006875EA"/>
    <w:rsid w:val="006947B2"/>
    <w:rsid w:val="006A76B9"/>
    <w:rsid w:val="006B13DA"/>
    <w:rsid w:val="006C6DD8"/>
    <w:rsid w:val="006F06DE"/>
    <w:rsid w:val="00735E01"/>
    <w:rsid w:val="0074734D"/>
    <w:rsid w:val="00747A91"/>
    <w:rsid w:val="0076191D"/>
    <w:rsid w:val="00775FC6"/>
    <w:rsid w:val="00780C0F"/>
    <w:rsid w:val="00781F77"/>
    <w:rsid w:val="00797F96"/>
    <w:rsid w:val="007A6464"/>
    <w:rsid w:val="007B1B4C"/>
    <w:rsid w:val="007B2C3A"/>
    <w:rsid w:val="007C2ED3"/>
    <w:rsid w:val="007C5400"/>
    <w:rsid w:val="007C67F3"/>
    <w:rsid w:val="007D1EC1"/>
    <w:rsid w:val="007D3552"/>
    <w:rsid w:val="007D5727"/>
    <w:rsid w:val="007F61F2"/>
    <w:rsid w:val="007F7B96"/>
    <w:rsid w:val="007F7F4D"/>
    <w:rsid w:val="00801A01"/>
    <w:rsid w:val="008152D2"/>
    <w:rsid w:val="00815479"/>
    <w:rsid w:val="008259E0"/>
    <w:rsid w:val="0082662D"/>
    <w:rsid w:val="00846E46"/>
    <w:rsid w:val="0086389A"/>
    <w:rsid w:val="008A3476"/>
    <w:rsid w:val="008A4818"/>
    <w:rsid w:val="008B73A6"/>
    <w:rsid w:val="008B7B4B"/>
    <w:rsid w:val="008D7C41"/>
    <w:rsid w:val="008E3DA7"/>
    <w:rsid w:val="008E3FFE"/>
    <w:rsid w:val="00910199"/>
    <w:rsid w:val="009171EB"/>
    <w:rsid w:val="0093474F"/>
    <w:rsid w:val="00941648"/>
    <w:rsid w:val="00957159"/>
    <w:rsid w:val="0096158C"/>
    <w:rsid w:val="00967800"/>
    <w:rsid w:val="009724EC"/>
    <w:rsid w:val="0098392D"/>
    <w:rsid w:val="0098659E"/>
    <w:rsid w:val="00986F78"/>
    <w:rsid w:val="009A6A08"/>
    <w:rsid w:val="009B1AED"/>
    <w:rsid w:val="009B777D"/>
    <w:rsid w:val="009D094D"/>
    <w:rsid w:val="009D297A"/>
    <w:rsid w:val="009E0D2E"/>
    <w:rsid w:val="009E4C65"/>
    <w:rsid w:val="009E778B"/>
    <w:rsid w:val="009F349D"/>
    <w:rsid w:val="00A0081C"/>
    <w:rsid w:val="00A00E87"/>
    <w:rsid w:val="00A118E6"/>
    <w:rsid w:val="00A11E41"/>
    <w:rsid w:val="00A144B5"/>
    <w:rsid w:val="00A1654C"/>
    <w:rsid w:val="00A22D59"/>
    <w:rsid w:val="00A27CAF"/>
    <w:rsid w:val="00A34938"/>
    <w:rsid w:val="00A42C4C"/>
    <w:rsid w:val="00A559B9"/>
    <w:rsid w:val="00A55E99"/>
    <w:rsid w:val="00A716B0"/>
    <w:rsid w:val="00A82AB1"/>
    <w:rsid w:val="00A941E6"/>
    <w:rsid w:val="00AA04D7"/>
    <w:rsid w:val="00AC1ADB"/>
    <w:rsid w:val="00AE0065"/>
    <w:rsid w:val="00AE10D7"/>
    <w:rsid w:val="00B00078"/>
    <w:rsid w:val="00B03B95"/>
    <w:rsid w:val="00B128E0"/>
    <w:rsid w:val="00B20984"/>
    <w:rsid w:val="00B333A4"/>
    <w:rsid w:val="00B45538"/>
    <w:rsid w:val="00B46F8A"/>
    <w:rsid w:val="00B70988"/>
    <w:rsid w:val="00B71F2C"/>
    <w:rsid w:val="00B85CD9"/>
    <w:rsid w:val="00B91248"/>
    <w:rsid w:val="00BA09E9"/>
    <w:rsid w:val="00BA3E90"/>
    <w:rsid w:val="00BB19E9"/>
    <w:rsid w:val="00BC76F2"/>
    <w:rsid w:val="00BD06B7"/>
    <w:rsid w:val="00BD3723"/>
    <w:rsid w:val="00BD6D27"/>
    <w:rsid w:val="00BD72DB"/>
    <w:rsid w:val="00BE0D05"/>
    <w:rsid w:val="00BE327A"/>
    <w:rsid w:val="00BE772F"/>
    <w:rsid w:val="00BF4884"/>
    <w:rsid w:val="00BF6291"/>
    <w:rsid w:val="00BF7093"/>
    <w:rsid w:val="00C136E4"/>
    <w:rsid w:val="00C1604D"/>
    <w:rsid w:val="00C3207F"/>
    <w:rsid w:val="00C41F4F"/>
    <w:rsid w:val="00C43877"/>
    <w:rsid w:val="00C4454A"/>
    <w:rsid w:val="00C535A7"/>
    <w:rsid w:val="00C86E47"/>
    <w:rsid w:val="00CC2359"/>
    <w:rsid w:val="00CC3FD8"/>
    <w:rsid w:val="00CE1BE7"/>
    <w:rsid w:val="00CF0382"/>
    <w:rsid w:val="00CF7874"/>
    <w:rsid w:val="00D114F7"/>
    <w:rsid w:val="00D11ECC"/>
    <w:rsid w:val="00D1436F"/>
    <w:rsid w:val="00D23920"/>
    <w:rsid w:val="00D368D1"/>
    <w:rsid w:val="00D3777B"/>
    <w:rsid w:val="00D462C9"/>
    <w:rsid w:val="00D46375"/>
    <w:rsid w:val="00D70BA1"/>
    <w:rsid w:val="00D825D0"/>
    <w:rsid w:val="00D919B2"/>
    <w:rsid w:val="00D91F69"/>
    <w:rsid w:val="00D936BB"/>
    <w:rsid w:val="00D96C13"/>
    <w:rsid w:val="00DA1AE8"/>
    <w:rsid w:val="00DA414E"/>
    <w:rsid w:val="00DB31E1"/>
    <w:rsid w:val="00DB7723"/>
    <w:rsid w:val="00DC15F6"/>
    <w:rsid w:val="00DE1ADF"/>
    <w:rsid w:val="00DF5AAE"/>
    <w:rsid w:val="00E263C3"/>
    <w:rsid w:val="00E26F6E"/>
    <w:rsid w:val="00E41AB6"/>
    <w:rsid w:val="00E44518"/>
    <w:rsid w:val="00E45CCE"/>
    <w:rsid w:val="00E55321"/>
    <w:rsid w:val="00E73C80"/>
    <w:rsid w:val="00E94439"/>
    <w:rsid w:val="00E95922"/>
    <w:rsid w:val="00E95BB6"/>
    <w:rsid w:val="00EA1FEC"/>
    <w:rsid w:val="00EB49F4"/>
    <w:rsid w:val="00EB4A7A"/>
    <w:rsid w:val="00EB581C"/>
    <w:rsid w:val="00EB5ED6"/>
    <w:rsid w:val="00EB72F0"/>
    <w:rsid w:val="00EF30F5"/>
    <w:rsid w:val="00EF3FFE"/>
    <w:rsid w:val="00EF4E4E"/>
    <w:rsid w:val="00EF609A"/>
    <w:rsid w:val="00F15DF3"/>
    <w:rsid w:val="00F32978"/>
    <w:rsid w:val="00F43EE4"/>
    <w:rsid w:val="00F6521D"/>
    <w:rsid w:val="00F6733C"/>
    <w:rsid w:val="00F72D23"/>
    <w:rsid w:val="00F7676B"/>
    <w:rsid w:val="00F85CC3"/>
    <w:rsid w:val="00F902C3"/>
    <w:rsid w:val="00FA75BC"/>
    <w:rsid w:val="00FB44F2"/>
    <w:rsid w:val="00FB5315"/>
    <w:rsid w:val="00FC4AD4"/>
    <w:rsid w:val="00FE0079"/>
    <w:rsid w:val="00FF3000"/>
    <w:rsid w:val="00FF4D74"/>
    <w:rsid w:val="4FF3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5"/>
    <w:semiHidden/>
    <w:unhideWhenUsed/>
    <w:qFormat/>
    <w:uiPriority w:val="99"/>
    <w:rPr>
      <w:sz w:val="18"/>
      <w:szCs w:val="18"/>
    </w:rPr>
  </w:style>
  <w:style w:type="paragraph" w:styleId="3">
    <w:name w:val="footer"/>
    <w:basedOn w:val="1"/>
    <w:link w:val="24"/>
    <w:unhideWhenUsed/>
    <w:qFormat/>
    <w:uiPriority w:val="99"/>
    <w:pPr>
      <w:tabs>
        <w:tab w:val="center" w:pos="4153"/>
        <w:tab w:val="right" w:pos="8306"/>
      </w:tabs>
      <w:snapToGrid w:val="0"/>
    </w:pPr>
    <w:rPr>
      <w:sz w:val="18"/>
      <w:szCs w:val="18"/>
    </w:rPr>
  </w:style>
  <w:style w:type="paragraph" w:styleId="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66CC"/>
      <w:u w:val="single"/>
    </w:rPr>
  </w:style>
  <w:style w:type="character" w:customStyle="1" w:styleId="9">
    <w:name w:val="正文文本 (3)_"/>
    <w:basedOn w:val="7"/>
    <w:link w:val="10"/>
    <w:uiPriority w:val="0"/>
    <w:rPr>
      <w:rFonts w:ascii="Times New Roman" w:hAnsi="Times New Roman" w:eastAsia="Times New Roman" w:cs="Times New Roman"/>
      <w:sz w:val="21"/>
      <w:szCs w:val="21"/>
      <w:u w:val="none"/>
    </w:rPr>
  </w:style>
  <w:style w:type="paragraph" w:customStyle="1" w:styleId="10">
    <w:name w:val="正文文本 (3)"/>
    <w:basedOn w:val="1"/>
    <w:link w:val="9"/>
    <w:qFormat/>
    <w:uiPriority w:val="0"/>
    <w:pPr>
      <w:shd w:val="clear" w:color="auto" w:fill="FFFFFF"/>
      <w:spacing w:line="283" w:lineRule="exact"/>
      <w:jc w:val="center"/>
    </w:pPr>
    <w:rPr>
      <w:rFonts w:ascii="Times New Roman" w:hAnsi="Times New Roman" w:eastAsia="Times New Roman" w:cs="Times New Roman"/>
      <w:sz w:val="21"/>
      <w:szCs w:val="21"/>
    </w:rPr>
  </w:style>
  <w:style w:type="character" w:customStyle="1" w:styleId="11">
    <w:name w:val="正文文本 (2)_"/>
    <w:basedOn w:val="7"/>
    <w:link w:val="12"/>
    <w:uiPriority w:val="0"/>
    <w:rPr>
      <w:rFonts w:ascii="Times New Roman" w:hAnsi="Times New Roman" w:eastAsia="Times New Roman" w:cs="Times New Roman"/>
      <w:u w:val="none"/>
    </w:rPr>
  </w:style>
  <w:style w:type="paragraph" w:customStyle="1" w:styleId="12">
    <w:name w:val="正文文本 (2)2"/>
    <w:basedOn w:val="1"/>
    <w:link w:val="11"/>
    <w:qFormat/>
    <w:uiPriority w:val="0"/>
    <w:pPr>
      <w:shd w:val="clear" w:color="auto" w:fill="FFFFFF"/>
      <w:spacing w:line="274" w:lineRule="exact"/>
      <w:jc w:val="center"/>
    </w:pPr>
    <w:rPr>
      <w:rFonts w:ascii="Times New Roman" w:hAnsi="Times New Roman" w:eastAsia="Times New Roman" w:cs="Times New Roman"/>
    </w:rPr>
  </w:style>
  <w:style w:type="character" w:customStyle="1" w:styleId="13">
    <w:name w:val="页眉或页脚_"/>
    <w:basedOn w:val="7"/>
    <w:link w:val="14"/>
    <w:uiPriority w:val="0"/>
    <w:rPr>
      <w:rFonts w:ascii="Courier New" w:hAnsi="Courier New" w:eastAsia="Courier New" w:cs="Courier New"/>
      <w:b/>
      <w:bCs/>
      <w:u w:val="none"/>
    </w:rPr>
  </w:style>
  <w:style w:type="paragraph" w:customStyle="1" w:styleId="14">
    <w:name w:val="页眉或页脚1"/>
    <w:basedOn w:val="1"/>
    <w:link w:val="13"/>
    <w:qFormat/>
    <w:uiPriority w:val="0"/>
    <w:pPr>
      <w:shd w:val="clear" w:color="auto" w:fill="FFFFFF"/>
      <w:spacing w:line="0" w:lineRule="atLeast"/>
    </w:pPr>
    <w:rPr>
      <w:rFonts w:ascii="Courier New" w:hAnsi="Courier New" w:eastAsia="Courier New" w:cs="Courier New"/>
      <w:b/>
      <w:bCs/>
    </w:rPr>
  </w:style>
  <w:style w:type="character" w:customStyle="1" w:styleId="15">
    <w:name w:val="页眉或页脚 + Trebuchet MS"/>
    <w:basedOn w:val="13"/>
    <w:uiPriority w:val="0"/>
    <w:rPr>
      <w:rFonts w:ascii="Trebuchet MS" w:hAnsi="Trebuchet MS" w:eastAsia="Trebuchet MS" w:cs="Trebuchet MS"/>
      <w:color w:val="000000"/>
      <w:spacing w:val="-30"/>
      <w:w w:val="100"/>
      <w:position w:val="0"/>
      <w:sz w:val="26"/>
      <w:szCs w:val="26"/>
      <w:u w:val="none"/>
      <w:lang w:val="en-US" w:eastAsia="en-US" w:bidi="en-US"/>
    </w:rPr>
  </w:style>
  <w:style w:type="character" w:customStyle="1" w:styleId="16">
    <w:name w:val="页眉或页脚 + Trebuchet MS1"/>
    <w:basedOn w:val="13"/>
    <w:qFormat/>
    <w:uiPriority w:val="0"/>
    <w:rPr>
      <w:rFonts w:ascii="Trebuchet MS" w:hAnsi="Trebuchet MS" w:eastAsia="Trebuchet MS" w:cs="Trebuchet MS"/>
      <w:color w:val="000000"/>
      <w:spacing w:val="0"/>
      <w:w w:val="100"/>
      <w:position w:val="0"/>
      <w:sz w:val="62"/>
      <w:szCs w:val="62"/>
      <w:u w:val="none"/>
      <w:lang w:val="en-US" w:eastAsia="en-US" w:bidi="en-US"/>
    </w:rPr>
  </w:style>
  <w:style w:type="character" w:customStyle="1" w:styleId="17">
    <w:name w:val="页眉或页脚"/>
    <w:basedOn w:val="13"/>
    <w:qFormat/>
    <w:uiPriority w:val="0"/>
    <w:rPr>
      <w:rFonts w:ascii="Courier New" w:hAnsi="Courier New" w:eastAsia="Courier New" w:cs="Courier New"/>
      <w:color w:val="000000"/>
      <w:spacing w:val="0"/>
      <w:w w:val="100"/>
      <w:position w:val="0"/>
      <w:sz w:val="24"/>
      <w:szCs w:val="24"/>
      <w:u w:val="none"/>
      <w:lang w:val="en-US" w:eastAsia="en-US" w:bidi="en-US"/>
    </w:rPr>
  </w:style>
  <w:style w:type="character" w:customStyle="1" w:styleId="18">
    <w:name w:val="正文文本 (2)"/>
    <w:basedOn w:val="11"/>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19">
    <w:name w:val="标题 #1_"/>
    <w:basedOn w:val="7"/>
    <w:link w:val="20"/>
    <w:qFormat/>
    <w:uiPriority w:val="0"/>
    <w:rPr>
      <w:rFonts w:ascii="Times New Roman" w:hAnsi="Times New Roman" w:eastAsia="Times New Roman" w:cs="Times New Roman"/>
      <w:b/>
      <w:bCs/>
      <w:spacing w:val="-10"/>
      <w:w w:val="100"/>
      <w:sz w:val="30"/>
      <w:szCs w:val="30"/>
      <w:u w:val="none"/>
    </w:rPr>
  </w:style>
  <w:style w:type="paragraph" w:customStyle="1" w:styleId="20">
    <w:name w:val="标题 #11"/>
    <w:basedOn w:val="1"/>
    <w:link w:val="19"/>
    <w:qFormat/>
    <w:uiPriority w:val="0"/>
    <w:pPr>
      <w:shd w:val="clear" w:color="auto" w:fill="FFFFFF"/>
      <w:spacing w:after="240" w:line="0" w:lineRule="atLeast"/>
      <w:jc w:val="both"/>
      <w:outlineLvl w:val="0"/>
    </w:pPr>
    <w:rPr>
      <w:rFonts w:ascii="Times New Roman" w:hAnsi="Times New Roman" w:eastAsia="Times New Roman" w:cs="Times New Roman"/>
      <w:b/>
      <w:bCs/>
      <w:spacing w:val="-10"/>
      <w:sz w:val="30"/>
      <w:szCs w:val="30"/>
    </w:rPr>
  </w:style>
  <w:style w:type="character" w:customStyle="1" w:styleId="21">
    <w:name w:val="标题 #1"/>
    <w:basedOn w:val="19"/>
    <w:uiPriority w:val="0"/>
    <w:rPr>
      <w:rFonts w:ascii="Times New Roman" w:hAnsi="Times New Roman" w:eastAsia="Times New Roman" w:cs="Times New Roman"/>
      <w:color w:val="000000"/>
      <w:spacing w:val="-10"/>
      <w:w w:val="100"/>
      <w:position w:val="0"/>
      <w:sz w:val="30"/>
      <w:szCs w:val="30"/>
      <w:u w:val="single"/>
      <w:lang w:val="en-US" w:eastAsia="en-US" w:bidi="en-US"/>
    </w:rPr>
  </w:style>
  <w:style w:type="character" w:customStyle="1" w:styleId="22">
    <w:name w:val="正文文本 (2)1"/>
    <w:basedOn w:val="11"/>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23">
    <w:name w:val="页眉 Char"/>
    <w:basedOn w:val="7"/>
    <w:link w:val="4"/>
    <w:qFormat/>
    <w:uiPriority w:val="99"/>
    <w:rPr>
      <w:rFonts w:eastAsia="Microsoft JhengHei Light"/>
      <w:color w:val="000000"/>
      <w:sz w:val="18"/>
      <w:szCs w:val="18"/>
    </w:rPr>
  </w:style>
  <w:style w:type="character" w:customStyle="1" w:styleId="24">
    <w:name w:val="页脚 Char"/>
    <w:basedOn w:val="7"/>
    <w:link w:val="3"/>
    <w:qFormat/>
    <w:uiPriority w:val="99"/>
    <w:rPr>
      <w:rFonts w:eastAsia="Microsoft JhengHei Light"/>
      <w:color w:val="000000"/>
      <w:sz w:val="18"/>
      <w:szCs w:val="18"/>
    </w:rPr>
  </w:style>
  <w:style w:type="character" w:customStyle="1" w:styleId="25">
    <w:name w:val="批注框文本 Char"/>
    <w:basedOn w:val="7"/>
    <w:link w:val="2"/>
    <w:semiHidden/>
    <w:qFormat/>
    <w:uiPriority w:val="99"/>
    <w:rPr>
      <w:rFonts w:eastAsia="Microsoft JhengHei Light"/>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66B95-0257-487B-AA1D-F052BF0337B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2551</Words>
  <Characters>2801</Characters>
  <Lines>20</Lines>
  <Paragraphs>5</Paragraphs>
  <TotalTime>0</TotalTime>
  <ScaleCrop>false</ScaleCrop>
  <LinksUpToDate>false</LinksUpToDate>
  <CharactersWithSpaces>2821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2017-12-15T09:46:00Z</dcterms:created>
  <dc:creator>MJ</dc:creator>
  <cp:lastModifiedBy>太极箫客</cp:lastModifiedBy>
  <dcterms:modified xsi:type="dcterms:W3CDTF">2025-08-14T06:51:03Z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B85E5132EA144AAEB31A6BCE7EA33E35_12</vt:lpwstr>
  </property>
</Properties>
</file>