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E0811">
      <w:pPr>
        <w:topLinePunct/>
        <w:adjustRightInd w:val="0"/>
        <w:snapToGrid w:val="0"/>
        <w:spacing w:after="224" w:afterLines="75" w:line="360" w:lineRule="auto"/>
        <w:jc w:val="both"/>
        <w:rPr>
          <w:rFonts w:ascii="Arial" w:hAnsi="Arial" w:eastAsia="宋体" w:cs="Arial"/>
          <w:b/>
          <w:snapToGrid w:val="0"/>
          <w:sz w:val="24"/>
          <w:lang w:eastAsia="zh-CN"/>
        </w:rPr>
      </w:pPr>
      <w:bookmarkStart w:id="32" w:name="_GoBack"/>
      <w:bookmarkEnd w:id="32"/>
    </w:p>
    <w:p w14:paraId="75410EF0">
      <w:pPr>
        <w:topLinePunct/>
        <w:adjustRightInd w:val="0"/>
        <w:snapToGrid w:val="0"/>
        <w:spacing w:after="224" w:afterLines="75" w:line="360" w:lineRule="auto"/>
        <w:jc w:val="both"/>
        <w:rPr>
          <w:rFonts w:ascii="Arial" w:hAnsi="Arial" w:eastAsia="宋体" w:cs="Arial"/>
          <w:b/>
          <w:snapToGrid w:val="0"/>
          <w:sz w:val="24"/>
          <w:lang w:eastAsia="zh-CN"/>
        </w:rPr>
      </w:pPr>
    </w:p>
    <w:p w14:paraId="08F3C242">
      <w:pPr>
        <w:topLinePunct/>
        <w:adjustRightInd w:val="0"/>
        <w:snapToGrid w:val="0"/>
        <w:spacing w:after="224" w:afterLines="75" w:line="360" w:lineRule="auto"/>
        <w:jc w:val="both"/>
        <w:rPr>
          <w:rFonts w:ascii="Arial" w:hAnsi="Arial" w:eastAsia="宋体" w:cs="Arial"/>
          <w:b/>
          <w:snapToGrid w:val="0"/>
          <w:sz w:val="24"/>
          <w:lang w:eastAsia="zh-CN"/>
        </w:rPr>
      </w:pPr>
    </w:p>
    <w:p w14:paraId="555E2251">
      <w:pPr>
        <w:topLinePunct/>
        <w:adjustRightInd w:val="0"/>
        <w:snapToGrid w:val="0"/>
        <w:spacing w:after="224" w:afterLines="75" w:line="360" w:lineRule="auto"/>
        <w:jc w:val="both"/>
        <w:rPr>
          <w:rFonts w:ascii="Arial" w:hAnsi="Arial" w:eastAsia="宋体" w:cs="Arial"/>
          <w:snapToGrid w:val="0"/>
          <w:sz w:val="48"/>
          <w:szCs w:val="64"/>
          <w:lang w:eastAsia="zh-CN"/>
        </w:rPr>
      </w:pPr>
      <w:r>
        <w:rPr>
          <w:rFonts w:hint="eastAsia" w:ascii="Arial" w:hAnsi="Arial" w:eastAsia="宋体" w:cs="Arial"/>
          <w:b/>
          <w:snapToGrid w:val="0"/>
          <w:sz w:val="48"/>
          <w:lang w:eastAsia="zh-CN"/>
        </w:rPr>
        <w:t>尿动力学／尿流率测定系统上市前通知内容指南（仅文本）</w:t>
      </w:r>
    </w:p>
    <w:p w14:paraId="23B61693">
      <w:pPr>
        <w:pStyle w:val="2"/>
        <w:topLinePunct/>
        <w:adjustRightInd w:val="0"/>
        <w:snapToGrid w:val="0"/>
        <w:spacing w:after="224" w:afterLines="75" w:line="360" w:lineRule="auto"/>
        <w:ind w:left="0"/>
        <w:jc w:val="both"/>
        <w:rPr>
          <w:rFonts w:ascii="Arial" w:hAnsi="Arial" w:cs="Arial"/>
          <w:snapToGrid w:val="0"/>
          <w:sz w:val="24"/>
          <w:lang w:eastAsia="zh-CN" w:bidi="en-US"/>
        </w:rPr>
      </w:pPr>
      <w:r>
        <w:rPr>
          <w:rFonts w:hint="eastAsia" w:ascii="Arial" w:hAnsi="Arial" w:cs="Arial"/>
          <w:snapToGrid w:val="0"/>
          <w:sz w:val="24"/>
          <w:lang w:eastAsia="zh-CN" w:bidi="en-US"/>
        </w:rPr>
        <w:t>本指南于1997年2月27日实施FDA良好指导规范（</w:t>
      </w:r>
      <w:r>
        <w:rPr>
          <w:rFonts w:ascii="Arial" w:hAnsi="Arial" w:cs="Arial"/>
          <w:snapToGrid w:val="0"/>
          <w:sz w:val="24"/>
          <w:lang w:eastAsia="zh-CN" w:bidi="en-US"/>
        </w:rPr>
        <w:t>GGP</w:t>
      </w:r>
      <w:r>
        <w:rPr>
          <w:rFonts w:hint="eastAsia" w:ascii="Arial" w:hAnsi="Arial" w:cs="Arial"/>
          <w:snapToGrid w:val="0"/>
          <w:sz w:val="24"/>
          <w:lang w:eastAsia="zh-CN" w:bidi="en-US"/>
        </w:rPr>
        <w:t>）之前编写。</w:t>
      </w:r>
      <w:r>
        <w:rPr>
          <w:rFonts w:ascii="Arial" w:hAnsi="Arial" w:cs="Arial"/>
          <w:snapToGrid w:val="0"/>
          <w:sz w:val="24"/>
          <w:lang w:eastAsia="zh-CN" w:bidi="en-US"/>
        </w:rPr>
        <w:t>其不会为任何人创造或赋予权利，也不会对FDA或公众产生约束。如果替代方法满足适用的法律</w:t>
      </w:r>
      <w:r>
        <w:rPr>
          <w:rFonts w:hint="eastAsia" w:ascii="Arial" w:hAnsi="Arial" w:cs="Arial"/>
          <w:snapToGrid w:val="0"/>
          <w:sz w:val="24"/>
          <w:lang w:eastAsia="zh-CN" w:bidi="en-US"/>
        </w:rPr>
        <w:t>、</w:t>
      </w:r>
      <w:r>
        <w:rPr>
          <w:rFonts w:ascii="Arial" w:hAnsi="Arial" w:cs="Arial"/>
          <w:snapToGrid w:val="0"/>
          <w:sz w:val="24"/>
          <w:lang w:eastAsia="zh-CN" w:bidi="en-US"/>
        </w:rPr>
        <w:t>法规</w:t>
      </w:r>
      <w:r>
        <w:rPr>
          <w:rFonts w:hint="eastAsia" w:ascii="Arial" w:hAnsi="Arial" w:cs="Arial"/>
          <w:snapToGrid w:val="0"/>
          <w:sz w:val="24"/>
          <w:lang w:eastAsia="zh-CN" w:bidi="en-US"/>
        </w:rPr>
        <w:t>或两者</w:t>
      </w:r>
      <w:r>
        <w:rPr>
          <w:rFonts w:ascii="Arial" w:hAnsi="Arial" w:cs="Arial"/>
          <w:snapToGrid w:val="0"/>
          <w:sz w:val="24"/>
          <w:lang w:eastAsia="zh-CN" w:bidi="en-US"/>
        </w:rPr>
        <w:t>的要求，则可以使用该方法。</w:t>
      </w:r>
      <w:r>
        <w:rPr>
          <w:rFonts w:hint="eastAsia" w:ascii="Arial" w:hAnsi="Arial" w:cs="Arial"/>
          <w:snapToGrid w:val="0"/>
          <w:sz w:val="24"/>
          <w:lang w:eastAsia="zh-CN" w:bidi="en-US"/>
        </w:rPr>
        <w:t>下一次修订本指南时将包含</w:t>
      </w:r>
      <w:r>
        <w:rPr>
          <w:rFonts w:ascii="Arial" w:hAnsi="Arial" w:cs="Arial"/>
          <w:snapToGrid w:val="0"/>
          <w:sz w:val="24"/>
          <w:lang w:eastAsia="zh-CN" w:bidi="en-US"/>
        </w:rPr>
        <w:t>GGP</w:t>
      </w:r>
      <w:r>
        <w:rPr>
          <w:rFonts w:hint="eastAsia" w:ascii="Arial" w:hAnsi="Arial" w:cs="Arial"/>
          <w:snapToGrid w:val="0"/>
          <w:sz w:val="24"/>
          <w:lang w:eastAsia="zh-CN" w:bidi="en-US"/>
        </w:rPr>
        <w:t>的标准元素。</w:t>
      </w:r>
    </w:p>
    <w:p w14:paraId="20C5E6D7">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4ED21E6E">
      <w:pPr>
        <w:pStyle w:val="2"/>
        <w:tabs>
          <w:tab w:val="left" w:pos="2036"/>
          <w:tab w:val="left" w:pos="7414"/>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FDA法规</w:t>
      </w:r>
      <w:r>
        <w:rPr>
          <w:rFonts w:ascii="Arial" w:hAnsi="Arial" w:cs="Arial"/>
          <w:snapToGrid w:val="0"/>
          <w:sz w:val="24"/>
          <w:lang w:eastAsia="zh-CN"/>
        </w:rPr>
        <w:t>21CFR 876.1620（a）</w:t>
      </w:r>
      <w:r>
        <w:rPr>
          <w:rFonts w:hint="eastAsia" w:ascii="Arial" w:hAnsi="Arial" w:cs="Arial"/>
          <w:snapToGrid w:val="0"/>
          <w:sz w:val="24"/>
          <w:lang w:eastAsia="zh-CN"/>
        </w:rPr>
        <w:t>描述</w:t>
      </w:r>
      <w:bookmarkStart w:id="0" w:name="OLE_LINK74"/>
      <w:bookmarkStart w:id="1" w:name="OLE_LINK75"/>
      <w:r>
        <w:rPr>
          <w:rFonts w:hint="eastAsia" w:ascii="Arial" w:hAnsi="Arial" w:cs="Arial"/>
          <w:snapToGrid w:val="0"/>
          <w:sz w:val="24"/>
          <w:lang w:eastAsia="zh-CN"/>
        </w:rPr>
        <w:t>尿动力学系统</w:t>
      </w:r>
      <w:bookmarkEnd w:id="0"/>
      <w:bookmarkEnd w:id="1"/>
      <w:r>
        <w:rPr>
          <w:rFonts w:hint="eastAsia" w:ascii="Arial" w:hAnsi="Arial" w:cs="Arial"/>
          <w:snapToGrid w:val="0"/>
          <w:sz w:val="24"/>
          <w:lang w:eastAsia="zh-CN"/>
        </w:rPr>
        <w:t>是</w:t>
      </w:r>
      <w:r>
        <w:rPr>
          <w:rFonts w:hint="eastAsia" w:cs="Arial"/>
          <w:snapToGrid w:val="0"/>
          <w:sz w:val="24"/>
          <w:lang w:eastAsia="zh-CN"/>
        </w:rPr>
        <w:t>“</w:t>
      </w:r>
      <w:bookmarkStart w:id="2" w:name="OLE_LINK76"/>
      <w:bookmarkStart w:id="3" w:name="OLE_LINK77"/>
      <w:r>
        <w:rPr>
          <w:rFonts w:hint="eastAsia" w:ascii="Arial" w:hAnsi="Arial" w:cs="Arial"/>
          <w:snapToGrid w:val="0"/>
          <w:sz w:val="24"/>
          <w:lang w:eastAsia="zh-CN"/>
        </w:rPr>
        <w:t>经导管用二氧化碳或水充满膀胱并测量膀胱内容量和压力的器械</w:t>
      </w:r>
      <w:bookmarkEnd w:id="2"/>
      <w:bookmarkEnd w:id="3"/>
      <w:r>
        <w:rPr>
          <w:rFonts w:hint="eastAsia" w:ascii="Arial" w:hAnsi="Arial" w:cs="Arial"/>
          <w:snapToGrid w:val="0"/>
          <w:sz w:val="24"/>
          <w:lang w:eastAsia="zh-CN"/>
        </w:rPr>
        <w:t>。器械控制二氧化碳或水的供应，也可能记录排尿相关肌肉的电活动。器械系统可能包含传感器、电子信号调节和显示设备，能够获得尿道压力图的导管收回器械以及尿道轮廓测定专用导管和</w:t>
      </w:r>
      <w:bookmarkStart w:id="4" w:name="OLE_LINK81"/>
      <w:bookmarkStart w:id="5" w:name="OLE_LINK80"/>
      <w:r>
        <w:rPr>
          <w:rFonts w:hint="eastAsia" w:ascii="Arial" w:hAnsi="Arial" w:cs="Arial"/>
          <w:snapToGrid w:val="0"/>
          <w:sz w:val="24"/>
          <w:lang w:eastAsia="zh-CN"/>
        </w:rPr>
        <w:t>肌电图电极</w:t>
      </w:r>
      <w:bookmarkEnd w:id="4"/>
      <w:bookmarkEnd w:id="5"/>
      <w:r>
        <w:rPr>
          <w:rFonts w:hint="eastAsia" w:ascii="Arial" w:hAnsi="Arial" w:cs="Arial"/>
          <w:snapToGrid w:val="0"/>
          <w:sz w:val="24"/>
          <w:lang w:eastAsia="zh-CN"/>
        </w:rPr>
        <w:t>。这类器械包含膀胱内压测量气体（二氧化碳）器械，膀胱内压测量液压器械和</w:t>
      </w:r>
      <w:bookmarkStart w:id="6" w:name="OLE_LINK83"/>
      <w:bookmarkStart w:id="7" w:name="OLE_LINK84"/>
      <w:r>
        <w:rPr>
          <w:rFonts w:hint="eastAsia" w:ascii="Arial" w:hAnsi="Arial" w:cs="Arial"/>
          <w:snapToGrid w:val="0"/>
          <w:sz w:val="24"/>
          <w:lang w:eastAsia="zh-CN"/>
        </w:rPr>
        <w:t>电记录</w:t>
      </w:r>
      <w:bookmarkStart w:id="8" w:name="OLE_LINK72"/>
      <w:bookmarkStart w:id="9" w:name="OLE_LINK73"/>
      <w:r>
        <w:rPr>
          <w:rFonts w:hint="eastAsia" w:ascii="Arial" w:hAnsi="Arial" w:cs="Arial"/>
          <w:snapToGrid w:val="0"/>
          <w:sz w:val="24"/>
          <w:lang w:eastAsia="zh-CN"/>
        </w:rPr>
        <w:t>膀胱内压测量器</w:t>
      </w:r>
      <w:bookmarkEnd w:id="6"/>
      <w:bookmarkEnd w:id="7"/>
      <w:bookmarkEnd w:id="8"/>
      <w:bookmarkEnd w:id="9"/>
      <w:r>
        <w:rPr>
          <w:rFonts w:hint="eastAsia" w:ascii="Arial" w:hAnsi="Arial" w:cs="Arial"/>
          <w:snapToGrid w:val="0"/>
          <w:sz w:val="24"/>
          <w:lang w:eastAsia="zh-CN"/>
        </w:rPr>
        <w:t>，但排除任何使用空气充满膀胱的器械。</w:t>
      </w:r>
      <w:r>
        <w:rPr>
          <w:rFonts w:hint="eastAsia" w:cs="Arial"/>
          <w:snapToGrid w:val="0"/>
          <w:sz w:val="24"/>
          <w:lang w:eastAsia="zh-CN"/>
        </w:rPr>
        <w:t>”</w:t>
      </w:r>
      <w:r>
        <w:rPr>
          <w:rFonts w:hint="eastAsia" w:ascii="Arial" w:hAnsi="Arial" w:cs="Arial"/>
          <w:snapToGrid w:val="0"/>
          <w:sz w:val="24"/>
          <w:lang w:eastAsia="zh-CN"/>
        </w:rPr>
        <w:t>该器械为</w:t>
      </w:r>
      <w:r>
        <w:rPr>
          <w:rFonts w:ascii="Arial" w:hAnsi="Arial" w:cs="Arial"/>
          <w:snapToGrid w:val="0"/>
          <w:sz w:val="24"/>
          <w:lang w:eastAsia="zh-CN"/>
        </w:rPr>
        <w:t>21CFR 876.1620（b）</w:t>
      </w:r>
      <w:r>
        <w:rPr>
          <w:rFonts w:hint="eastAsia" w:ascii="Arial" w:hAnsi="Arial" w:cs="Arial"/>
          <w:snapToGrid w:val="0"/>
          <w:sz w:val="24"/>
          <w:lang w:eastAsia="zh-CN"/>
        </w:rPr>
        <w:t>中规定的II类器械，其产品代码是：</w:t>
      </w:r>
      <w:r>
        <w:rPr>
          <w:rFonts w:ascii="Arial" w:hAnsi="Arial" w:cs="Arial"/>
          <w:snapToGrid w:val="0"/>
          <w:sz w:val="24"/>
          <w:lang w:eastAsia="zh-CN"/>
        </w:rPr>
        <w:t>78 EXQ -</w:t>
      </w:r>
      <w:r>
        <w:rPr>
          <w:rFonts w:hint="eastAsia" w:ascii="Arial" w:hAnsi="Arial" w:cs="Arial"/>
          <w:snapToGrid w:val="0"/>
          <w:sz w:val="24"/>
          <w:lang w:eastAsia="zh-CN"/>
        </w:rPr>
        <w:t>膀胱内压测量器，电记录；</w:t>
      </w:r>
      <w:r>
        <w:rPr>
          <w:rFonts w:ascii="Arial" w:hAnsi="Arial" w:cs="Arial"/>
          <w:snapToGrid w:val="0"/>
          <w:sz w:val="24"/>
          <w:lang w:eastAsia="zh-CN"/>
        </w:rPr>
        <w:t>78 FAP–</w:t>
      </w:r>
      <w:r>
        <w:rPr>
          <w:rFonts w:hint="eastAsia" w:ascii="Arial" w:hAnsi="Arial" w:cs="Arial"/>
          <w:snapToGrid w:val="0"/>
          <w:sz w:val="24"/>
          <w:lang w:eastAsia="zh-CN"/>
        </w:rPr>
        <w:t>膀胱内压测量气体</w:t>
      </w:r>
      <w:r>
        <w:rPr>
          <w:rFonts w:ascii="Arial" w:hAnsi="Arial" w:cs="Arial"/>
          <w:snapToGrid w:val="0"/>
          <w:sz w:val="24"/>
          <w:lang w:eastAsia="zh-CN"/>
        </w:rPr>
        <w:t>（</w:t>
      </w:r>
      <w:r>
        <w:rPr>
          <w:rFonts w:hint="eastAsia" w:ascii="Arial" w:hAnsi="Arial" w:cs="Arial"/>
          <w:snapToGrid w:val="0"/>
          <w:sz w:val="24"/>
          <w:lang w:eastAsia="zh-CN"/>
        </w:rPr>
        <w:t>二氧化碳</w:t>
      </w:r>
      <w:r>
        <w:rPr>
          <w:rFonts w:ascii="Arial" w:hAnsi="Arial" w:cs="Arial"/>
          <w:snapToGrid w:val="0"/>
          <w:sz w:val="24"/>
          <w:lang w:eastAsia="zh-CN"/>
        </w:rPr>
        <w:t>）</w:t>
      </w:r>
      <w:r>
        <w:rPr>
          <w:rFonts w:hint="eastAsia" w:ascii="Arial" w:hAnsi="Arial" w:cs="Arial"/>
          <w:snapToGrid w:val="0"/>
          <w:sz w:val="24"/>
          <w:lang w:eastAsia="zh-CN"/>
        </w:rPr>
        <w:t>或液压器械；以及</w:t>
      </w:r>
      <w:r>
        <w:rPr>
          <w:rFonts w:ascii="Arial" w:hAnsi="Arial" w:cs="Arial"/>
          <w:snapToGrid w:val="0"/>
          <w:sz w:val="24"/>
          <w:lang w:eastAsia="zh-CN"/>
        </w:rPr>
        <w:t>78 FEN–</w:t>
      </w:r>
      <w:r>
        <w:rPr>
          <w:rFonts w:hint="eastAsia" w:ascii="Arial" w:hAnsi="Arial" w:cs="Arial"/>
          <w:snapToGrid w:val="0"/>
          <w:sz w:val="24"/>
          <w:lang w:eastAsia="zh-CN"/>
        </w:rPr>
        <w:t>器械，膀胱内压测量，液压。</w:t>
      </w:r>
    </w:p>
    <w:p w14:paraId="2621C697">
      <w:pPr>
        <w:pStyle w:val="2"/>
        <w:tabs>
          <w:tab w:val="left" w:pos="5622"/>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FDA法规</w:t>
      </w:r>
      <w:r>
        <w:rPr>
          <w:rFonts w:ascii="Arial" w:hAnsi="Arial" w:cs="Arial"/>
          <w:snapToGrid w:val="0"/>
          <w:sz w:val="24"/>
          <w:lang w:eastAsia="zh-CN"/>
        </w:rPr>
        <w:t>21CFR</w:t>
      </w:r>
      <w:r>
        <w:rPr>
          <w:rFonts w:hint="eastAsia" w:ascii="Arial" w:hAnsi="Arial" w:cs="Arial"/>
          <w:snapToGrid w:val="0"/>
          <w:sz w:val="24"/>
          <w:lang w:eastAsia="zh-CN"/>
        </w:rPr>
        <w:t xml:space="preserve"> </w:t>
      </w:r>
      <w:r>
        <w:rPr>
          <w:rFonts w:ascii="Arial" w:hAnsi="Arial" w:cs="Arial"/>
          <w:snapToGrid w:val="0"/>
          <w:sz w:val="24"/>
          <w:lang w:eastAsia="zh-CN"/>
        </w:rPr>
        <w:t>876.1800（a）</w:t>
      </w:r>
      <w:r>
        <w:rPr>
          <w:rFonts w:hint="eastAsia" w:ascii="Arial" w:hAnsi="Arial" w:cs="Arial"/>
          <w:snapToGrid w:val="0"/>
          <w:sz w:val="24"/>
          <w:lang w:eastAsia="zh-CN"/>
        </w:rPr>
        <w:t>描述尿流率测定系统是一种尿流或尿量测量系统，</w:t>
      </w:r>
      <w:r>
        <w:rPr>
          <w:rFonts w:hint="eastAsia" w:cs="Arial"/>
          <w:snapToGrid w:val="0"/>
          <w:sz w:val="24"/>
          <w:lang w:eastAsia="zh-CN"/>
        </w:rPr>
        <w:t>“</w:t>
      </w:r>
      <w:r>
        <w:rPr>
          <w:rFonts w:hint="eastAsia" w:ascii="Arial" w:hAnsi="Arial" w:cs="Arial"/>
          <w:snapToGrid w:val="0"/>
          <w:sz w:val="24"/>
          <w:lang w:eastAsia="zh-CN"/>
        </w:rPr>
        <w:t>其在患者正常排尿期间或患者体内插入导管时直接或间接测量患者的尿量或尿流。器械可能包含降低膀胱逆行性细菌污染风险的滴注器、传感器和电子信号调节和显示设备。这种类型器械包含</w:t>
      </w:r>
      <w:bookmarkStart w:id="10" w:name="OLE_LINK88"/>
      <w:bookmarkStart w:id="11" w:name="OLE_LINK87"/>
      <w:r>
        <w:rPr>
          <w:rFonts w:hint="eastAsia" w:ascii="Arial" w:hAnsi="Arial" w:cs="Arial"/>
          <w:snapToGrid w:val="0"/>
          <w:sz w:val="24"/>
          <w:lang w:eastAsia="zh-CN"/>
        </w:rPr>
        <w:t>电式尿比重计</w:t>
      </w:r>
      <w:bookmarkEnd w:id="10"/>
      <w:bookmarkEnd w:id="11"/>
      <w:r>
        <w:rPr>
          <w:rFonts w:hint="eastAsia" w:ascii="Arial" w:hAnsi="Arial" w:cs="Arial"/>
          <w:snapToGrid w:val="0"/>
          <w:sz w:val="24"/>
          <w:lang w:eastAsia="zh-CN"/>
        </w:rPr>
        <w:t>、</w:t>
      </w:r>
      <w:bookmarkStart w:id="12" w:name="OLE_LINK89"/>
      <w:bookmarkStart w:id="13" w:name="OLE_LINK90"/>
      <w:r>
        <w:rPr>
          <w:rFonts w:hint="eastAsia" w:ascii="Arial" w:hAnsi="Arial" w:cs="Arial"/>
          <w:snapToGrid w:val="0"/>
          <w:sz w:val="24"/>
          <w:lang w:eastAsia="zh-CN"/>
        </w:rPr>
        <w:t>机械尿比重计</w:t>
      </w:r>
      <w:bookmarkEnd w:id="12"/>
      <w:bookmarkEnd w:id="13"/>
      <w:r>
        <w:rPr>
          <w:rFonts w:hint="eastAsia" w:ascii="Arial" w:hAnsi="Arial" w:cs="Arial"/>
          <w:snapToGrid w:val="0"/>
          <w:sz w:val="24"/>
          <w:lang w:eastAsia="zh-CN"/>
        </w:rPr>
        <w:t>、非电式尿比重计、一次性非电式尿流速测量器械和尿流量计。该器械为</w:t>
      </w:r>
      <w:r>
        <w:rPr>
          <w:rFonts w:ascii="Arial" w:hAnsi="Arial" w:cs="Arial"/>
          <w:snapToGrid w:val="0"/>
          <w:sz w:val="24"/>
          <w:lang w:eastAsia="zh-CN"/>
        </w:rPr>
        <w:t>21 CFR 876.1800（b）</w:t>
      </w:r>
      <w:r>
        <w:rPr>
          <w:rFonts w:hint="eastAsia" w:ascii="Arial" w:hAnsi="Arial" w:cs="Arial"/>
          <w:snapToGrid w:val="0"/>
          <w:sz w:val="24"/>
          <w:lang w:eastAsia="zh-CN"/>
        </w:rPr>
        <w:t>中规定的II类器械，其产品代码为：</w:t>
      </w:r>
      <w:r>
        <w:rPr>
          <w:rFonts w:ascii="Arial" w:hAnsi="Arial" w:cs="Arial"/>
          <w:snapToGrid w:val="0"/>
          <w:sz w:val="24"/>
          <w:lang w:eastAsia="zh-CN"/>
        </w:rPr>
        <w:t>78 FFG –</w:t>
      </w:r>
      <w:r>
        <w:rPr>
          <w:rFonts w:hint="eastAsia" w:ascii="Arial" w:hAnsi="Arial" w:cs="Arial"/>
          <w:snapToGrid w:val="0"/>
          <w:sz w:val="24"/>
          <w:lang w:eastAsia="zh-CN"/>
        </w:rPr>
        <w:t>器械，尿流速测量，非电气，一次性；</w:t>
      </w:r>
      <w:r>
        <w:rPr>
          <w:rFonts w:ascii="Arial" w:hAnsi="Arial" w:cs="Arial"/>
          <w:snapToGrid w:val="0"/>
          <w:sz w:val="24"/>
          <w:lang w:eastAsia="zh-CN"/>
        </w:rPr>
        <w:t>78 EXS –</w:t>
      </w:r>
      <w:r>
        <w:rPr>
          <w:rFonts w:hint="eastAsia" w:ascii="Arial" w:hAnsi="Arial" w:cs="Arial"/>
          <w:snapToGrid w:val="0"/>
          <w:sz w:val="24"/>
          <w:lang w:eastAsia="zh-CN"/>
        </w:rPr>
        <w:t>尿比重计，电气；</w:t>
      </w:r>
      <w:r>
        <w:rPr>
          <w:rFonts w:ascii="Arial" w:hAnsi="Arial" w:cs="Arial"/>
          <w:snapToGrid w:val="0"/>
          <w:sz w:val="24"/>
          <w:lang w:eastAsia="zh-CN"/>
        </w:rPr>
        <w:t>78 EXR -</w:t>
      </w:r>
      <w:r>
        <w:rPr>
          <w:rFonts w:hint="eastAsia" w:ascii="Arial" w:hAnsi="Arial" w:cs="Arial"/>
          <w:snapToGrid w:val="0"/>
          <w:sz w:val="24"/>
          <w:lang w:eastAsia="zh-CN"/>
        </w:rPr>
        <w:t>尿比重计，机械；</w:t>
      </w:r>
      <w:r>
        <w:rPr>
          <w:rFonts w:ascii="Arial" w:hAnsi="Arial" w:cs="Arial"/>
          <w:snapToGrid w:val="0"/>
          <w:sz w:val="24"/>
          <w:lang w:eastAsia="zh-CN"/>
        </w:rPr>
        <w:t>78 EXT -</w:t>
      </w:r>
      <w:r>
        <w:rPr>
          <w:rFonts w:hint="eastAsia" w:ascii="Arial" w:hAnsi="Arial" w:cs="Arial"/>
          <w:snapToGrid w:val="0"/>
          <w:sz w:val="24"/>
          <w:lang w:eastAsia="zh-CN"/>
        </w:rPr>
        <w:t>尿比重计，非电气；以及</w:t>
      </w:r>
      <w:r>
        <w:rPr>
          <w:rFonts w:ascii="Arial" w:hAnsi="Arial" w:cs="Arial"/>
          <w:snapToGrid w:val="0"/>
          <w:sz w:val="24"/>
          <w:lang w:eastAsia="zh-CN"/>
        </w:rPr>
        <w:t>78 EXY -</w:t>
      </w:r>
      <w:r>
        <w:rPr>
          <w:rFonts w:hint="eastAsia" w:ascii="Arial" w:hAnsi="Arial" w:cs="Arial"/>
          <w:snapToGrid w:val="0"/>
          <w:sz w:val="24"/>
          <w:lang w:eastAsia="zh-CN"/>
        </w:rPr>
        <w:t>尿流量计</w:t>
      </w:r>
      <w:r>
        <w:rPr>
          <w:rFonts w:hint="eastAsia" w:cs="Arial"/>
          <w:snapToGrid w:val="0"/>
          <w:sz w:val="24"/>
          <w:lang w:eastAsia="zh-CN"/>
        </w:rPr>
        <w:t>”</w:t>
      </w:r>
      <w:r>
        <w:rPr>
          <w:rFonts w:hint="eastAsia" w:ascii="Arial" w:hAnsi="Arial" w:cs="Arial"/>
          <w:snapToGrid w:val="0"/>
          <w:sz w:val="24"/>
          <w:lang w:eastAsia="zh-CN"/>
        </w:rPr>
        <w:t>。</w:t>
      </w:r>
    </w:p>
    <w:p w14:paraId="4BA29FE0">
      <w:pPr>
        <w:pStyle w:val="2"/>
        <w:tabs>
          <w:tab w:val="left" w:pos="2036"/>
        </w:tabs>
        <w:topLinePunct/>
        <w:adjustRightInd w:val="0"/>
        <w:snapToGrid w:val="0"/>
        <w:spacing w:after="224" w:afterLines="75" w:line="360" w:lineRule="auto"/>
        <w:ind w:left="0"/>
        <w:jc w:val="both"/>
        <w:rPr>
          <w:rFonts w:ascii="Arial" w:hAnsi="Arial" w:cs="Arial"/>
          <w:snapToGrid w:val="0"/>
          <w:sz w:val="24"/>
          <w:lang w:eastAsia="zh-CN"/>
        </w:rPr>
      </w:pPr>
      <w:r>
        <w:rPr>
          <w:rFonts w:ascii="Arial" w:hAnsi="Arial" w:cs="Arial"/>
          <w:snapToGrid w:val="0"/>
          <w:sz w:val="24"/>
          <w:lang w:eastAsia="zh-CN"/>
        </w:rPr>
        <w:t>21 CFR 807.87</w:t>
      </w:r>
      <w:r>
        <w:rPr>
          <w:rFonts w:hint="eastAsia" w:ascii="Arial" w:hAnsi="Arial" w:cs="Arial"/>
          <w:snapToGrid w:val="0"/>
          <w:sz w:val="24"/>
          <w:lang w:eastAsia="zh-CN"/>
        </w:rPr>
        <w:t>为医疗器械上市前通知</w:t>
      </w:r>
      <w:r>
        <w:rPr>
          <w:rFonts w:ascii="Arial" w:hAnsi="Arial" w:cs="Arial"/>
          <w:snapToGrid w:val="0"/>
          <w:sz w:val="24"/>
          <w:lang w:eastAsia="zh-CN"/>
        </w:rPr>
        <w:t>（510（k））</w:t>
      </w:r>
      <w:r>
        <w:rPr>
          <w:rFonts w:hint="eastAsia" w:ascii="Arial" w:hAnsi="Arial" w:cs="Arial"/>
          <w:snapToGrid w:val="0"/>
          <w:sz w:val="24"/>
          <w:lang w:eastAsia="zh-CN"/>
        </w:rPr>
        <w:t>需包含的信息提出主要参考。该法规要求提供充分的有文件证明的信息以确定与上市销售器械的实质等同性。可证明实质等同性的方面包括但不限于预期用途、设计、所使用／输送的能源、材料、性能、安全性、有效性、标签和其他适用特征。</w:t>
      </w:r>
    </w:p>
    <w:p w14:paraId="4B970900">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749C014C">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FDA建议每个尿动力学／尿流率测定系统的上市前通知包含以下信息以确保提交完整且允许确定实质等同性：</w:t>
      </w:r>
    </w:p>
    <w:p w14:paraId="48074737">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ascii="Arial" w:hAnsi="Arial" w:cs="Arial"/>
          <w:snapToGrid w:val="0"/>
          <w:sz w:val="24"/>
          <w:lang w:eastAsia="zh-CN"/>
        </w:rPr>
        <w:t>21 CFR 807.87（a）</w:t>
      </w:r>
      <w:r>
        <w:rPr>
          <w:rFonts w:hint="eastAsia" w:ascii="Arial" w:hAnsi="Arial" w:cs="Arial"/>
          <w:snapToGrid w:val="0"/>
          <w:sz w:val="24"/>
          <w:lang w:eastAsia="zh-CN"/>
        </w:rPr>
        <w:t>中描述的器械名称，包括其商标名或专利名称和分类名称</w:t>
      </w:r>
      <w:r>
        <w:rPr>
          <w:rFonts w:ascii="Arial" w:hAnsi="Arial" w:cs="Arial"/>
          <w:snapToGrid w:val="0"/>
          <w:sz w:val="24"/>
          <w:lang w:eastAsia="zh-CN"/>
        </w:rPr>
        <w:t>（</w:t>
      </w:r>
      <w:r>
        <w:rPr>
          <w:rFonts w:hint="eastAsia" w:ascii="Arial" w:hAnsi="Arial" w:cs="Arial"/>
          <w:snapToGrid w:val="0"/>
          <w:sz w:val="24"/>
          <w:lang w:eastAsia="zh-CN"/>
        </w:rPr>
        <w:t>尿动力学测量系统或尿流或尿量测量系统</w:t>
      </w:r>
      <w:r>
        <w:rPr>
          <w:rFonts w:ascii="Arial" w:hAnsi="Arial" w:cs="Arial"/>
          <w:snapToGrid w:val="0"/>
          <w:sz w:val="24"/>
          <w:lang w:eastAsia="zh-CN"/>
        </w:rPr>
        <w:t>）</w:t>
      </w:r>
      <w:r>
        <w:rPr>
          <w:rFonts w:hint="eastAsia" w:ascii="Arial" w:hAnsi="Arial" w:cs="Arial"/>
          <w:snapToGrid w:val="0"/>
          <w:sz w:val="24"/>
          <w:lang w:eastAsia="zh-CN"/>
        </w:rPr>
        <w:t>。</w:t>
      </w:r>
    </w:p>
    <w:p w14:paraId="7889AFB0">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ascii="Arial" w:hAnsi="Arial" w:cs="Arial"/>
          <w:snapToGrid w:val="0"/>
          <w:sz w:val="24"/>
          <w:lang w:eastAsia="zh-CN"/>
        </w:rPr>
        <w:t>21 CFR</w:t>
      </w:r>
      <w:r>
        <w:rPr>
          <w:rFonts w:hint="eastAsia" w:ascii="Arial" w:hAnsi="Arial" w:cs="Arial"/>
          <w:snapToGrid w:val="0"/>
          <w:sz w:val="24"/>
          <w:lang w:eastAsia="zh-CN"/>
        </w:rPr>
        <w:t xml:space="preserve"> </w:t>
      </w:r>
      <w:r>
        <w:rPr>
          <w:rFonts w:ascii="Arial" w:hAnsi="Arial" w:cs="Arial"/>
          <w:snapToGrid w:val="0"/>
          <w:sz w:val="24"/>
          <w:lang w:eastAsia="zh-CN"/>
        </w:rPr>
        <w:t>807.87（b）</w:t>
      </w:r>
      <w:r>
        <w:rPr>
          <w:rFonts w:hint="eastAsia" w:ascii="Arial" w:hAnsi="Arial" w:cs="Arial"/>
          <w:snapToGrid w:val="0"/>
          <w:sz w:val="24"/>
          <w:lang w:eastAsia="zh-CN"/>
        </w:rPr>
        <w:t>中描述的提交上市前通知的所有人或经营者的企业注册号（如果适用）。</w:t>
      </w:r>
    </w:p>
    <w:p w14:paraId="0AFAC7CE">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ascii="Arial" w:hAnsi="Arial" w:cs="Arial"/>
          <w:snapToGrid w:val="0"/>
          <w:sz w:val="24"/>
          <w:lang w:eastAsia="zh-CN"/>
        </w:rPr>
        <w:t>21 CFR 807.87（c）</w:t>
      </w:r>
      <w:r>
        <w:rPr>
          <w:rFonts w:hint="eastAsia" w:ascii="Arial" w:hAnsi="Arial" w:cs="Arial"/>
          <w:snapToGrid w:val="0"/>
          <w:sz w:val="24"/>
          <w:lang w:eastAsia="zh-CN"/>
        </w:rPr>
        <w:t>中描述的根据法案第</w:t>
      </w:r>
      <w:r>
        <w:rPr>
          <w:rFonts w:ascii="Arial" w:hAnsi="Arial" w:cs="Arial"/>
          <w:snapToGrid w:val="0"/>
          <w:sz w:val="24"/>
          <w:lang w:eastAsia="zh-CN"/>
        </w:rPr>
        <w:t>513</w:t>
      </w:r>
      <w:r>
        <w:rPr>
          <w:rFonts w:hint="eastAsia" w:ascii="Arial" w:hAnsi="Arial" w:cs="Arial"/>
          <w:snapToGrid w:val="0"/>
          <w:sz w:val="24"/>
          <w:lang w:eastAsia="zh-CN"/>
        </w:rPr>
        <w:t>节器械所属分类（II类）和适当的专家小组</w:t>
      </w:r>
      <w:r>
        <w:rPr>
          <w:rFonts w:ascii="Arial" w:hAnsi="Arial" w:cs="Arial"/>
          <w:snapToGrid w:val="0"/>
          <w:sz w:val="24"/>
          <w:lang w:eastAsia="zh-CN"/>
        </w:rPr>
        <w:t>（78</w:t>
      </w:r>
      <w:r>
        <w:rPr>
          <w:rFonts w:hint="eastAsia" w:ascii="Arial" w:hAnsi="Arial" w:cs="Arial"/>
          <w:snapToGrid w:val="0"/>
          <w:sz w:val="24"/>
          <w:lang w:eastAsia="zh-CN"/>
        </w:rPr>
        <w:t>肠胃病学</w:t>
      </w:r>
      <w:r>
        <w:rPr>
          <w:rFonts w:ascii="Arial" w:hAnsi="Arial" w:cs="Arial"/>
          <w:snapToGrid w:val="0"/>
          <w:sz w:val="24"/>
          <w:lang w:eastAsia="zh-CN"/>
        </w:rPr>
        <w:t>／</w:t>
      </w:r>
      <w:r>
        <w:rPr>
          <w:rFonts w:hint="eastAsia" w:ascii="Arial" w:hAnsi="Arial" w:cs="Arial"/>
          <w:snapToGrid w:val="0"/>
          <w:sz w:val="24"/>
          <w:lang w:eastAsia="zh-CN"/>
        </w:rPr>
        <w:t>泌尿学</w:t>
      </w:r>
      <w:r>
        <w:rPr>
          <w:rFonts w:ascii="Arial" w:hAnsi="Arial" w:cs="Arial"/>
          <w:snapToGrid w:val="0"/>
          <w:sz w:val="24"/>
          <w:lang w:eastAsia="zh-CN"/>
        </w:rPr>
        <w:t>）</w:t>
      </w:r>
      <w:r>
        <w:rPr>
          <w:rFonts w:hint="eastAsia" w:ascii="Arial" w:hAnsi="Arial" w:cs="Arial"/>
          <w:snapToGrid w:val="0"/>
          <w:sz w:val="24"/>
          <w:lang w:eastAsia="zh-CN"/>
        </w:rPr>
        <w:t>。</w:t>
      </w:r>
    </w:p>
    <w:p w14:paraId="74DB0B2A">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需注册人员为符合本法案第513节的特殊控制要求所采取的措施。注意本法案第513节目前不要求对尿动力学／尿流率测定系统进行特殊控制。</w:t>
      </w:r>
    </w:p>
    <w:p w14:paraId="69790330">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美国</w:t>
      </w:r>
      <w:r>
        <w:rPr>
          <w:rFonts w:ascii="Arial" w:hAnsi="Arial" w:cs="Arial"/>
          <w:snapToGrid w:val="0"/>
          <w:sz w:val="24"/>
          <w:lang w:eastAsia="zh-CN"/>
        </w:rPr>
        <w:t>1990</w:t>
      </w:r>
      <w:r>
        <w:rPr>
          <w:rFonts w:hint="eastAsia" w:ascii="Arial" w:hAnsi="Arial" w:cs="Arial"/>
          <w:snapToGrid w:val="0"/>
          <w:sz w:val="24"/>
          <w:lang w:eastAsia="zh-CN"/>
        </w:rPr>
        <w:t>年安全医疗器械法案（</w:t>
      </w:r>
      <w:r>
        <w:rPr>
          <w:rFonts w:ascii="Arial" w:hAnsi="Arial" w:cs="Arial"/>
          <w:snapToGrid w:val="0"/>
          <w:sz w:val="24"/>
          <w:lang w:eastAsia="zh-CN"/>
        </w:rPr>
        <w:t>SMDA）</w:t>
      </w:r>
      <w:r>
        <w:rPr>
          <w:rFonts w:hint="eastAsia" w:ascii="Arial" w:hAnsi="Arial" w:cs="Arial"/>
          <w:snapToGrid w:val="0"/>
          <w:sz w:val="24"/>
          <w:lang w:eastAsia="zh-CN"/>
        </w:rPr>
        <w:t>要求所有提交上市前通知提交的人员（</w:t>
      </w:r>
      <w:r>
        <w:rPr>
          <w:rFonts w:ascii="Arial" w:hAnsi="Arial" w:cs="Arial"/>
          <w:snapToGrid w:val="0"/>
          <w:sz w:val="24"/>
          <w:lang w:eastAsia="zh-CN"/>
        </w:rPr>
        <w:t>1）</w:t>
      </w:r>
      <w:r>
        <w:rPr>
          <w:rFonts w:hint="eastAsia" w:ascii="Arial" w:hAnsi="Arial" w:cs="Arial"/>
          <w:snapToGrid w:val="0"/>
          <w:sz w:val="24"/>
          <w:lang w:eastAsia="zh-CN"/>
        </w:rPr>
        <w:t>在上市前通知提交内包含可作为等同性测定基础的安全性和有效性信息总结</w:t>
      </w:r>
      <w:r>
        <w:rPr>
          <w:rFonts w:ascii="Arial" w:hAnsi="Arial" w:cs="Arial"/>
          <w:snapToGrid w:val="0"/>
          <w:sz w:val="24"/>
          <w:lang w:eastAsia="zh-CN"/>
        </w:rPr>
        <w:t>（510（k）</w:t>
      </w:r>
      <w:r>
        <w:rPr>
          <w:rFonts w:hint="eastAsia" w:ascii="Arial" w:hAnsi="Arial" w:cs="Arial"/>
          <w:snapToGrid w:val="0"/>
          <w:sz w:val="24"/>
          <w:lang w:eastAsia="zh-CN"/>
        </w:rPr>
        <w:t>总结</w:t>
      </w:r>
      <w:r>
        <w:rPr>
          <w:rFonts w:ascii="Arial" w:hAnsi="Arial" w:cs="Arial"/>
          <w:snapToGrid w:val="0"/>
          <w:sz w:val="24"/>
          <w:lang w:eastAsia="zh-CN"/>
        </w:rPr>
        <w:t>）</w:t>
      </w:r>
      <w:r>
        <w:rPr>
          <w:rFonts w:hint="eastAsia" w:ascii="Arial" w:hAnsi="Arial" w:cs="Arial"/>
          <w:snapToGrid w:val="0"/>
          <w:sz w:val="24"/>
          <w:lang w:eastAsia="zh-CN"/>
        </w:rPr>
        <w:t>，或（</w:t>
      </w:r>
      <w:r>
        <w:rPr>
          <w:rFonts w:ascii="Arial" w:hAnsi="Arial" w:cs="Arial"/>
          <w:snapToGrid w:val="0"/>
          <w:sz w:val="24"/>
          <w:lang w:eastAsia="zh-CN"/>
        </w:rPr>
        <w:t>2）</w:t>
      </w:r>
      <w:r>
        <w:rPr>
          <w:rFonts w:hint="eastAsia" w:ascii="Arial" w:hAnsi="Arial" w:cs="Arial"/>
          <w:snapToGrid w:val="0"/>
          <w:sz w:val="24"/>
          <w:lang w:eastAsia="zh-CN"/>
        </w:rPr>
        <w:t>包含利害关系人通过请求可获得安全性和有效性信息的声明</w:t>
      </w:r>
      <w:r>
        <w:rPr>
          <w:rFonts w:ascii="Arial" w:hAnsi="Arial" w:cs="Arial"/>
          <w:snapToGrid w:val="0"/>
          <w:sz w:val="24"/>
          <w:lang w:eastAsia="zh-CN"/>
        </w:rPr>
        <w:t>（510（k）</w:t>
      </w:r>
      <w:r>
        <w:rPr>
          <w:rFonts w:hint="eastAsia" w:ascii="Arial" w:hAnsi="Arial" w:cs="Arial"/>
          <w:snapToGrid w:val="0"/>
          <w:sz w:val="24"/>
          <w:lang w:eastAsia="zh-CN"/>
        </w:rPr>
        <w:t>声明</w:t>
      </w:r>
      <w:r>
        <w:rPr>
          <w:rFonts w:ascii="Arial" w:hAnsi="Arial" w:cs="Arial"/>
          <w:snapToGrid w:val="0"/>
          <w:sz w:val="24"/>
          <w:lang w:eastAsia="zh-CN"/>
        </w:rPr>
        <w:t>）</w:t>
      </w:r>
      <w:r>
        <w:rPr>
          <w:rFonts w:hint="eastAsia" w:ascii="Arial" w:hAnsi="Arial" w:cs="Arial"/>
          <w:snapToGrid w:val="0"/>
          <w:sz w:val="24"/>
          <w:lang w:eastAsia="zh-CN"/>
        </w:rPr>
        <w:t>。安全性和有效性信息指上市前通知提交与实质等同性评估相关的信息，包括不良安全性和有效性信息。该信息可以是关于新器械和比较器械的描述性信息或性能或临床试验信息。</w:t>
      </w:r>
    </w:p>
    <w:p w14:paraId="38D8CEB9">
      <w:pPr>
        <w:pStyle w:val="2"/>
        <w:numPr>
          <w:ilvl w:val="0"/>
          <w:numId w:val="1"/>
        </w:numPr>
        <w:topLinePunct/>
        <w:adjustRightInd w:val="0"/>
        <w:snapToGrid w:val="0"/>
        <w:spacing w:after="224" w:afterLines="75" w:line="360" w:lineRule="auto"/>
        <w:ind w:left="0" w:firstLine="0"/>
        <w:jc w:val="both"/>
        <w:rPr>
          <w:rFonts w:ascii="Arial" w:hAnsi="Arial" w:cs="Arial"/>
          <w:snapToGrid w:val="0"/>
          <w:sz w:val="24"/>
        </w:rPr>
      </w:pPr>
      <w:r>
        <w:rPr>
          <w:rFonts w:hint="eastAsia" w:ascii="Arial" w:hAnsi="Arial" w:cs="Arial"/>
          <w:snapToGrid w:val="0"/>
          <w:sz w:val="24"/>
          <w:lang w:eastAsia="zh-CN"/>
        </w:rPr>
        <w:t>应提供提议标签，标签和足以描述尿动力学／尿流率测定系统的广告、其预期用途和使用说明，同时根据</w:t>
      </w:r>
      <w:r>
        <w:rPr>
          <w:rFonts w:ascii="Arial" w:hAnsi="Arial" w:cs="Arial"/>
          <w:snapToGrid w:val="0"/>
          <w:sz w:val="24"/>
          <w:lang w:eastAsia="zh-CN"/>
        </w:rPr>
        <w:t>21 CFR 807.87（e）</w:t>
      </w:r>
      <w:r>
        <w:rPr>
          <w:rFonts w:hint="eastAsia" w:ascii="Arial" w:hAnsi="Arial" w:cs="Arial"/>
          <w:snapToGrid w:val="0"/>
          <w:sz w:val="24"/>
          <w:lang w:eastAsia="zh-CN"/>
        </w:rPr>
        <w:t>的描述清晰展示具体的预期用途声明和任何警告、禁忌症或限制。器械标签必须带有</w:t>
      </w:r>
      <w:r>
        <w:rPr>
          <w:rFonts w:ascii="Arial" w:hAnsi="Arial" w:cs="Arial"/>
          <w:snapToGrid w:val="0"/>
          <w:sz w:val="24"/>
          <w:lang w:eastAsia="zh-CN"/>
        </w:rPr>
        <w:t>21 CFR 801.109 (b)（1）</w:t>
      </w:r>
      <w:r>
        <w:rPr>
          <w:rFonts w:hint="eastAsia" w:ascii="Arial" w:hAnsi="Arial" w:cs="Arial"/>
          <w:snapToGrid w:val="0"/>
          <w:sz w:val="24"/>
          <w:lang w:eastAsia="zh-CN"/>
        </w:rPr>
        <w:t>规定的警告声明：</w:t>
      </w:r>
      <w:r>
        <w:rPr>
          <w:rFonts w:hint="eastAsia" w:cs="Arial"/>
          <w:snapToGrid w:val="0"/>
          <w:sz w:val="24"/>
          <w:lang w:eastAsia="zh-CN"/>
        </w:rPr>
        <w:t>“</w:t>
      </w:r>
      <w:r>
        <w:rPr>
          <w:rFonts w:hint="eastAsia" w:ascii="Arial" w:hAnsi="Arial" w:cs="Arial"/>
          <w:snapToGrid w:val="0"/>
          <w:sz w:val="24"/>
          <w:lang w:eastAsia="zh-CN"/>
        </w:rPr>
        <w:t>警告：联邦法律限制本器械只能由医师出售或在医师指令下出售。</w:t>
      </w:r>
      <w:r>
        <w:rPr>
          <w:rFonts w:hint="eastAsia" w:cs="Arial"/>
          <w:snapToGrid w:val="0"/>
          <w:sz w:val="24"/>
          <w:lang w:eastAsia="zh-CN"/>
        </w:rPr>
        <w:t>”</w:t>
      </w:r>
    </w:p>
    <w:p w14:paraId="7C6524C3">
      <w:pPr>
        <w:topLinePunct/>
        <w:adjustRightInd w:val="0"/>
        <w:snapToGrid w:val="0"/>
        <w:spacing w:after="224" w:afterLines="75" w:line="360" w:lineRule="auto"/>
        <w:jc w:val="both"/>
        <w:rPr>
          <w:rFonts w:ascii="Arial" w:hAnsi="Arial" w:eastAsia="宋体" w:cs="Arial"/>
          <w:snapToGrid w:val="0"/>
          <w:sz w:val="24"/>
          <w:szCs w:val="20"/>
        </w:rPr>
      </w:pPr>
      <w:r>
        <w:rPr>
          <w:rFonts w:ascii="Arial" w:hAnsi="Arial" w:eastAsia="宋体" w:cs="Arial"/>
          <w:snapToGrid w:val="0"/>
          <w:sz w:val="24"/>
          <w:lang w:eastAsia="zh-CN"/>
        </w:rPr>
        <w:br w:type="page"/>
      </w:r>
    </w:p>
    <w:p w14:paraId="28D33E5F">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bidi="en-US"/>
        </w:rPr>
        <w:t>标签包含</w:t>
      </w:r>
      <w:r>
        <w:rPr>
          <w:rFonts w:hint="eastAsia" w:ascii="Arial" w:hAnsi="Arial" w:cs="Arial"/>
          <w:snapToGrid w:val="0"/>
          <w:sz w:val="24"/>
          <w:lang w:eastAsia="zh-CN"/>
        </w:rPr>
        <w:t>尿动力学／尿流率测定系统</w:t>
      </w:r>
      <w:r>
        <w:rPr>
          <w:rFonts w:hint="eastAsia" w:ascii="Arial" w:hAnsi="Arial" w:cs="Arial"/>
          <w:snapToGrid w:val="0"/>
          <w:sz w:val="24"/>
          <w:lang w:eastAsia="zh-CN" w:bidi="en-US"/>
        </w:rPr>
        <w:t>及其储存运输包装上面的任何标识。器械包装标签应包含器械名称、美国联络点、公司名称、地址和电话。包装标签应包含以上所有内容及无菌状态、到期日、可任意处理／一次性使用物品、所附数量、尺寸、所用能源等。</w:t>
      </w:r>
    </w:p>
    <w:p w14:paraId="631D63E1">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尿动力学／尿流率测定系统的器械标签包含预期用途、器械说明和使用说明。</w:t>
      </w:r>
    </w:p>
    <w:p w14:paraId="33B2AB70">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预期用途声明应包含具体适应症并规定目标人群。</w:t>
      </w:r>
    </w:p>
    <w:p w14:paraId="229C7E6F">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使用说明应包含对以下方面的全面指导，包括但不限于：尿动力学／尿流率测定系统以供使用的设置和准备，尿动力学／尿流率测定系统的操作，操作停止，一次性使用／可任意处理或可重复使用的部件，使用尿动力学／尿流率测定系统前的功能测试程序。应概述维护和排除故障程序并说明如何执行维护、维护频率和排除故障程序不能用时应联系的企业</w:t>
      </w:r>
      <w:r>
        <w:rPr>
          <w:rFonts w:hint="eastAsia" w:ascii="Arial" w:hAnsi="Arial" w:cs="Arial"/>
          <w:snapToGrid w:val="0"/>
          <w:sz w:val="24"/>
          <w:lang w:eastAsia="zh-CN" w:bidi="en-US"/>
        </w:rPr>
        <w:t>联络点</w:t>
      </w:r>
      <w:r>
        <w:rPr>
          <w:rFonts w:hint="eastAsia" w:ascii="Arial" w:hAnsi="Arial" w:cs="Arial"/>
          <w:snapToGrid w:val="0"/>
          <w:sz w:val="24"/>
          <w:lang w:eastAsia="zh-CN"/>
        </w:rPr>
        <w:t>。</w:t>
      </w:r>
    </w:p>
    <w:p w14:paraId="77BEDD7A">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器械标签应包含禁忌症、注意事项和警告。</w:t>
      </w:r>
    </w:p>
    <w:p w14:paraId="35C6651F">
      <w:pPr>
        <w:pStyle w:val="2"/>
        <w:numPr>
          <w:ilvl w:val="2"/>
          <w:numId w:val="1"/>
        </w:numPr>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也必须为预期由卫生保健背景之外的患者使用的器械（例如可移动尿动力学监视器）提供患者标签。该标签应为患者提供实际的器械性能预期和可能的并发症，并包含带有适当警告和注意事项信息的使用说明书。</w:t>
      </w:r>
    </w:p>
    <w:p w14:paraId="465C5BCC">
      <w:pPr>
        <w:pStyle w:val="2"/>
        <w:numPr>
          <w:ilvl w:val="1"/>
          <w:numId w:val="1"/>
        </w:numPr>
        <w:topLinePunct/>
        <w:adjustRightInd w:val="0"/>
        <w:snapToGrid w:val="0"/>
        <w:spacing w:after="224" w:afterLines="75" w:line="360" w:lineRule="auto"/>
        <w:ind w:left="0" w:firstLine="0"/>
        <w:jc w:val="both"/>
        <w:rPr>
          <w:rFonts w:ascii="Arial" w:hAnsi="Arial" w:cs="Arial"/>
          <w:snapToGrid w:val="0"/>
          <w:sz w:val="24"/>
          <w:lang w:eastAsia="zh-CN"/>
        </w:rPr>
      </w:pPr>
      <w:bookmarkStart w:id="14" w:name="OLE_LINK25"/>
      <w:bookmarkStart w:id="15" w:name="OLE_LINK26"/>
      <w:r>
        <w:rPr>
          <w:rFonts w:hint="eastAsia" w:ascii="Arial" w:hAnsi="Arial" w:cs="Arial"/>
          <w:snapToGrid w:val="0"/>
          <w:sz w:val="24"/>
          <w:lang w:eastAsia="zh-CN"/>
        </w:rPr>
        <w:t>应提供尿动力学／尿流率测定系统附带的广告或宣传资料。资料或标签可能不会以任何方式暗示FDA的批准。蓝皮书备忘录</w:t>
      </w:r>
      <w:r>
        <w:rPr>
          <w:rFonts w:ascii="Arial" w:hAnsi="Arial" w:cs="Arial"/>
          <w:snapToGrid w:val="0"/>
          <w:sz w:val="24"/>
          <w:lang w:eastAsia="zh-CN"/>
        </w:rPr>
        <w:t>G91-1</w:t>
      </w:r>
      <w:r>
        <w:rPr>
          <w:rFonts w:hint="eastAsia" w:cs="Arial"/>
          <w:snapToGrid w:val="0"/>
          <w:sz w:val="24"/>
          <w:lang w:eastAsia="zh-CN"/>
        </w:rPr>
        <w:t>“</w:t>
      </w:r>
      <w:r>
        <w:rPr>
          <w:rFonts w:hint="eastAsia" w:ascii="Arial" w:hAnsi="Arial" w:cs="Arial"/>
          <w:snapToGrid w:val="0"/>
          <w:sz w:val="24"/>
          <w:lang w:eastAsia="zh-CN"/>
        </w:rPr>
        <w:t>器械标签指南</w:t>
      </w:r>
      <w:r>
        <w:rPr>
          <w:rFonts w:ascii="Arial" w:hAnsi="Arial" w:cs="Arial"/>
          <w:snapToGrid w:val="0"/>
          <w:sz w:val="24"/>
          <w:lang w:eastAsia="zh-CN"/>
        </w:rPr>
        <w:t>（</w:t>
      </w:r>
      <w:r>
        <w:rPr>
          <w:rFonts w:hint="eastAsia" w:ascii="Arial" w:hAnsi="Arial" w:cs="Arial"/>
          <w:snapToGrid w:val="0"/>
          <w:sz w:val="24"/>
          <w:lang w:eastAsia="zh-CN"/>
        </w:rPr>
        <w:t>19</w:t>
      </w:r>
      <w:r>
        <w:rPr>
          <w:rFonts w:ascii="Arial" w:hAnsi="Arial" w:cs="Arial"/>
          <w:snapToGrid w:val="0"/>
          <w:sz w:val="24"/>
          <w:lang w:eastAsia="zh-CN"/>
        </w:rPr>
        <w:t>91</w:t>
      </w:r>
      <w:r>
        <w:rPr>
          <w:rFonts w:hint="eastAsia" w:ascii="Arial" w:hAnsi="Arial" w:cs="Arial"/>
          <w:snapToGrid w:val="0"/>
          <w:sz w:val="24"/>
          <w:lang w:eastAsia="zh-CN"/>
        </w:rPr>
        <w:t>年3月8日</w:t>
      </w:r>
      <w:r>
        <w:rPr>
          <w:rFonts w:ascii="Arial" w:hAnsi="Arial" w:cs="Arial"/>
          <w:snapToGrid w:val="0"/>
          <w:sz w:val="24"/>
          <w:lang w:eastAsia="zh-CN"/>
        </w:rPr>
        <w:t>）</w:t>
      </w:r>
      <w:r>
        <w:rPr>
          <w:rFonts w:hint="eastAsia" w:cs="Arial"/>
          <w:snapToGrid w:val="0"/>
          <w:sz w:val="24"/>
          <w:lang w:eastAsia="zh-CN"/>
        </w:rPr>
        <w:t>”</w:t>
      </w:r>
      <w:r>
        <w:rPr>
          <w:rFonts w:hint="eastAsia" w:ascii="Arial" w:hAnsi="Arial" w:cs="Arial"/>
          <w:snapToGrid w:val="0"/>
          <w:sz w:val="24"/>
          <w:lang w:eastAsia="zh-CN"/>
        </w:rPr>
        <w:t>描述了对标签问题的指导，可从器械和放射卫生中心</w:t>
      </w:r>
      <w:r>
        <w:rPr>
          <w:rFonts w:ascii="Arial" w:hAnsi="Arial" w:cs="Arial"/>
          <w:snapToGrid w:val="0"/>
          <w:sz w:val="24"/>
          <w:lang w:eastAsia="zh-CN"/>
        </w:rPr>
        <w:t>小型制造商服务组</w:t>
      </w:r>
      <w:r>
        <w:rPr>
          <w:rFonts w:hint="eastAsia" w:ascii="Arial" w:hAnsi="Arial" w:cs="Arial"/>
          <w:snapToGrid w:val="0"/>
          <w:sz w:val="24"/>
          <w:lang w:eastAsia="zh-CN"/>
        </w:rPr>
        <w:t>（电话（</w:t>
      </w:r>
      <w:r>
        <w:rPr>
          <w:rFonts w:ascii="Arial" w:hAnsi="Arial" w:cs="Arial"/>
          <w:snapToGrid w:val="0"/>
          <w:sz w:val="24"/>
          <w:lang w:eastAsia="zh-CN"/>
        </w:rPr>
        <w:t>800</w:t>
      </w:r>
      <w:r>
        <w:rPr>
          <w:rFonts w:hint="eastAsia" w:ascii="Arial" w:hAnsi="Arial" w:cs="Arial"/>
          <w:snapToGrid w:val="0"/>
          <w:sz w:val="24"/>
          <w:lang w:eastAsia="zh-CN"/>
        </w:rPr>
        <w:t>）</w:t>
      </w:r>
      <w:r>
        <w:rPr>
          <w:rFonts w:ascii="Arial" w:hAnsi="Arial" w:cs="Arial"/>
          <w:snapToGrid w:val="0"/>
          <w:sz w:val="24"/>
          <w:lang w:eastAsia="zh-CN"/>
        </w:rPr>
        <w:t>638-2041</w:t>
      </w:r>
      <w:r>
        <w:rPr>
          <w:rFonts w:hint="eastAsia" w:ascii="Arial" w:hAnsi="Arial" w:cs="Arial"/>
          <w:snapToGrid w:val="0"/>
          <w:sz w:val="24"/>
          <w:lang w:eastAsia="zh-CN"/>
        </w:rPr>
        <w:t>或（</w:t>
      </w:r>
      <w:r>
        <w:rPr>
          <w:rFonts w:ascii="Arial" w:hAnsi="Arial" w:cs="Arial"/>
          <w:snapToGrid w:val="0"/>
          <w:sz w:val="24"/>
          <w:lang w:eastAsia="zh-CN"/>
        </w:rPr>
        <w:t>301</w:t>
      </w:r>
      <w:r>
        <w:rPr>
          <w:rFonts w:hint="eastAsia" w:ascii="Arial" w:hAnsi="Arial" w:cs="Arial"/>
          <w:snapToGrid w:val="0"/>
          <w:sz w:val="24"/>
          <w:lang w:eastAsia="zh-CN"/>
        </w:rPr>
        <w:t>）</w:t>
      </w:r>
      <w:r>
        <w:rPr>
          <w:rFonts w:ascii="Arial" w:hAnsi="Arial" w:cs="Arial"/>
          <w:snapToGrid w:val="0"/>
          <w:sz w:val="24"/>
          <w:lang w:eastAsia="zh-CN"/>
        </w:rPr>
        <w:t>443-6597</w:t>
      </w:r>
      <w:r>
        <w:rPr>
          <w:rFonts w:hint="eastAsia" w:ascii="Arial" w:hAnsi="Arial" w:cs="Arial"/>
          <w:snapToGrid w:val="0"/>
          <w:sz w:val="24"/>
          <w:lang w:eastAsia="zh-CN"/>
        </w:rPr>
        <w:t>）获得该文件的副本。</w:t>
      </w:r>
    </w:p>
    <w:bookmarkEnd w:id="14"/>
    <w:bookmarkEnd w:id="15"/>
    <w:p w14:paraId="7DD7FEA3">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3E70DE28">
      <w:pPr>
        <w:pStyle w:val="2"/>
        <w:numPr>
          <w:ilvl w:val="0"/>
          <w:numId w:val="1"/>
        </w:numPr>
        <w:tabs>
          <w:tab w:val="left" w:pos="757"/>
          <w:tab w:val="left" w:pos="3445"/>
          <w:tab w:val="left" w:pos="8311"/>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必须提供与美国境内合法上市销售类似器械的等同性总结。这包括在</w:t>
      </w:r>
      <w:r>
        <w:rPr>
          <w:rFonts w:ascii="Arial" w:hAnsi="Arial" w:cs="Arial"/>
          <w:snapToGrid w:val="0"/>
          <w:sz w:val="24"/>
          <w:lang w:eastAsia="zh-CN"/>
        </w:rPr>
        <w:t>1976</w:t>
      </w:r>
      <w:r>
        <w:rPr>
          <w:rFonts w:hint="eastAsia" w:ascii="Arial" w:hAnsi="Arial" w:cs="Arial"/>
          <w:snapToGrid w:val="0"/>
          <w:sz w:val="24"/>
          <w:lang w:eastAsia="zh-CN"/>
        </w:rPr>
        <w:t>年5月</w:t>
      </w:r>
      <w:r>
        <w:rPr>
          <w:rFonts w:ascii="Arial" w:hAnsi="Arial" w:cs="Arial"/>
          <w:snapToGrid w:val="0"/>
          <w:sz w:val="24"/>
          <w:lang w:eastAsia="zh-CN"/>
        </w:rPr>
        <w:t>28</w:t>
      </w:r>
      <w:r>
        <w:rPr>
          <w:rFonts w:hint="eastAsia" w:ascii="Arial" w:hAnsi="Arial" w:cs="Arial"/>
          <w:snapToGrid w:val="0"/>
          <w:sz w:val="24"/>
          <w:lang w:eastAsia="zh-CN"/>
        </w:rPr>
        <w:t>日即医疗器械修正案颁布日期之前流通的器械，以及任何后来进入市场的新器械。等同性总结包括器械与比较器械的异同。应将尿动力学／尿流率测定系统与一种合法销售的尿动力学／尿流率测定系统进行以下方面比较，包括但不限于：预期用途、设计（硬件、软件、检测参数和精确度、安全特性和其他适用特征）、使用／输送的能源、所有部件的材料（指出与患者接触材料）、性能、目标人群（如引用任何新人群，说明理由）和任何其他相关信息。</w:t>
      </w:r>
    </w:p>
    <w:p w14:paraId="6DF44E18">
      <w:pPr>
        <w:pStyle w:val="2"/>
        <w:tabs>
          <w:tab w:val="left" w:pos="4597"/>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陈述实质等同器械是颁发修正案前的器械还是经历</w:t>
      </w:r>
      <w:r>
        <w:rPr>
          <w:rFonts w:ascii="Arial" w:hAnsi="Arial" w:cs="Arial"/>
          <w:snapToGrid w:val="0"/>
          <w:sz w:val="24"/>
          <w:lang w:eastAsia="zh-CN"/>
        </w:rPr>
        <w:t>510（k）</w:t>
      </w:r>
      <w:r>
        <w:rPr>
          <w:rFonts w:hint="eastAsia" w:ascii="Arial" w:hAnsi="Arial" w:cs="Arial"/>
          <w:snapToGrid w:val="0"/>
          <w:sz w:val="24"/>
          <w:lang w:eastAsia="zh-CN"/>
        </w:rPr>
        <w:t>过程的器械，提供</w:t>
      </w:r>
      <w:r>
        <w:rPr>
          <w:rFonts w:ascii="Arial" w:hAnsi="Arial" w:cs="Arial"/>
          <w:snapToGrid w:val="0"/>
          <w:sz w:val="24"/>
          <w:lang w:eastAsia="zh-CN"/>
        </w:rPr>
        <w:t>510（k）</w:t>
      </w:r>
      <w:r>
        <w:rPr>
          <w:rFonts w:hint="eastAsia" w:ascii="Arial" w:hAnsi="Arial" w:cs="Arial"/>
          <w:snapToGrid w:val="0"/>
          <w:sz w:val="24"/>
          <w:lang w:eastAsia="zh-CN"/>
        </w:rPr>
        <w:t>文件控制编号（如果已知）。应以清晰易懂地方式提供等同性信息总结，例如表格形式。</w:t>
      </w:r>
    </w:p>
    <w:p w14:paraId="5CBB962D">
      <w:pPr>
        <w:pStyle w:val="2"/>
        <w:numPr>
          <w:ilvl w:val="0"/>
          <w:numId w:val="1"/>
        </w:numPr>
        <w:tabs>
          <w:tab w:val="left" w:pos="885"/>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如</w:t>
      </w:r>
      <w:r>
        <w:rPr>
          <w:rFonts w:ascii="Arial" w:hAnsi="Arial" w:cs="Arial"/>
          <w:snapToGrid w:val="0"/>
          <w:sz w:val="24"/>
          <w:lang w:eastAsia="zh-CN"/>
        </w:rPr>
        <w:t>21 CFR 807.87（g）</w:t>
      </w:r>
      <w:r>
        <w:rPr>
          <w:rFonts w:hint="eastAsia" w:ascii="Arial" w:hAnsi="Arial" w:cs="Arial"/>
          <w:snapToGrid w:val="0"/>
          <w:sz w:val="24"/>
          <w:lang w:eastAsia="zh-CN"/>
        </w:rPr>
        <w:t>所述，对于经历可能显著影响器械安全性或有效性变更或修改的器械，或以新的或不同的适应症销售的器械，其</w:t>
      </w:r>
      <w:r>
        <w:rPr>
          <w:rFonts w:ascii="Arial" w:hAnsi="Arial" w:cs="Arial"/>
          <w:snapToGrid w:val="0"/>
          <w:sz w:val="24"/>
          <w:lang w:eastAsia="zh-CN"/>
        </w:rPr>
        <w:t>510（k）</w:t>
      </w:r>
      <w:r>
        <w:rPr>
          <w:rFonts w:hint="eastAsia" w:ascii="Arial" w:hAnsi="Arial" w:cs="Arial"/>
          <w:snapToGrid w:val="0"/>
          <w:sz w:val="24"/>
          <w:lang w:eastAsia="zh-CN"/>
        </w:rPr>
        <w:t>必须包含适当支持数据以显示制造商已经考虑到变更或修改或新用途对器械安全性和有效性可能产生的后果和影响。</w:t>
      </w:r>
    </w:p>
    <w:p w14:paraId="0C65C4B2">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w:t>
      </w:r>
      <w:r>
        <w:rPr>
          <w:rFonts w:ascii="Arial" w:hAnsi="Arial" w:cs="Arial"/>
          <w:snapToGrid w:val="0"/>
          <w:sz w:val="24"/>
          <w:lang w:eastAsia="zh-CN"/>
        </w:rPr>
        <w:t>21 CFR 807.87（f）</w:t>
      </w:r>
      <w:r>
        <w:rPr>
          <w:rFonts w:hint="eastAsia" w:ascii="Arial" w:hAnsi="Arial" w:cs="Arial"/>
          <w:snapToGrid w:val="0"/>
          <w:sz w:val="24"/>
          <w:lang w:eastAsia="zh-CN"/>
        </w:rPr>
        <w:t>所述，重大修改应得到修改原理及支持性文件（包括证明这些差异不影响安全性和有效性的临床或其他有效科学研究）的支持。</w:t>
      </w:r>
    </w:p>
    <w:p w14:paraId="341ACFF1">
      <w:pPr>
        <w:pStyle w:val="2"/>
        <w:tabs>
          <w:tab w:val="left" w:pos="3317"/>
          <w:tab w:val="left" w:pos="6262"/>
        </w:tabs>
        <w:topLinePunct/>
        <w:adjustRightInd w:val="0"/>
        <w:snapToGrid w:val="0"/>
        <w:spacing w:after="224" w:afterLines="75" w:line="360" w:lineRule="auto"/>
        <w:ind w:left="0"/>
        <w:jc w:val="both"/>
        <w:rPr>
          <w:rFonts w:ascii="Arial" w:hAnsi="Arial" w:cs="Arial"/>
          <w:snapToGrid w:val="0"/>
          <w:sz w:val="24"/>
          <w:lang w:eastAsia="zh-CN" w:bidi="en-US"/>
        </w:rPr>
      </w:pPr>
      <w:r>
        <w:rPr>
          <w:rFonts w:hint="eastAsia" w:ascii="Arial" w:hAnsi="Arial" w:cs="Arial"/>
          <w:snapToGrid w:val="0"/>
          <w:sz w:val="24"/>
          <w:lang w:eastAsia="zh-CN"/>
        </w:rPr>
        <w:t>尿动力学／尿流率测定系统</w:t>
      </w:r>
      <w:r>
        <w:rPr>
          <w:rFonts w:hint="eastAsia" w:ascii="Arial" w:hAnsi="Arial" w:cs="Arial"/>
          <w:snapToGrid w:val="0"/>
          <w:sz w:val="24"/>
          <w:lang w:eastAsia="zh-CN" w:bidi="en-US"/>
        </w:rPr>
        <w:t>的说明应包含任何可能影响安全性、有效性或预期用途的与比较器械不同的重大变更或修改。提供任何试验台、动物、临床、功能性、体外和／或任何其他适当测试数据以支持贵公司的声称。提供符合自愿性标准的证明（如果适用）。</w:t>
      </w:r>
    </w:p>
    <w:p w14:paraId="0BE09A4C">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1D112388">
      <w:pPr>
        <w:pStyle w:val="2"/>
        <w:numPr>
          <w:ilvl w:val="0"/>
          <w:numId w:val="1"/>
        </w:numPr>
        <w:tabs>
          <w:tab w:val="left" w:pos="757"/>
          <w:tab w:val="left" w:pos="4469"/>
          <w:tab w:val="left" w:pos="6134"/>
          <w:tab w:val="left" w:pos="6902"/>
          <w:tab w:val="left" w:pos="7670"/>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应提供每个即将上市尿动力学／尿流率测定系统的物理描述，以标记图、照片／图片、原理图等形式，并包含尿动力学／尿流率测定系统所有内部／外部，装配的／未装配的部件等。物理描述应包含尿动力学／尿流率测定系统的质量标准（长度、宽度、高度、直径、重量、电源要求和其他适用信息）。物理描述也应指出任何可任意处理部件（即导管、采集杯和传感器）。标记图、照片／图片、原理图等应说明尿动力学／尿流率测定系统所有部件的名称和功能。这些部件包括排尿座／架、称重／测力传感器、漏斗、采集杯、</w:t>
      </w:r>
      <w:r>
        <w:rPr>
          <w:rFonts w:ascii="Arial" w:hAnsi="Arial" w:cs="Arial"/>
          <w:snapToGrid w:val="0"/>
          <w:sz w:val="24"/>
          <w:lang w:eastAsia="zh-CN"/>
        </w:rPr>
        <w:t>EMG</w:t>
      </w:r>
      <w:r>
        <w:rPr>
          <w:rFonts w:hint="eastAsia" w:ascii="Arial" w:hAnsi="Arial" w:cs="Arial"/>
          <w:snapToGrid w:val="0"/>
          <w:sz w:val="24"/>
          <w:lang w:eastAsia="zh-CN"/>
        </w:rPr>
        <w:t>传感器、数据收集装置、电源、（例如连接传感器的）电源适配器／插座等。</w:t>
      </w:r>
    </w:p>
    <w:p w14:paraId="3458E45F">
      <w:pPr>
        <w:pStyle w:val="2"/>
        <w:tabs>
          <w:tab w:val="left" w:pos="3317"/>
          <w:tab w:val="left" w:pos="8695"/>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如果尿动力学／尿流率测定系统与附件一起以套装形式销售，这些附件应与尿动力学／尿流率测定系统一同获得鉴定和审核并要求为其提供上述相同类型信息。这些附件可能包括导管、</w:t>
      </w:r>
      <w:r>
        <w:rPr>
          <w:rFonts w:ascii="Arial" w:hAnsi="Arial" w:cs="Arial"/>
          <w:snapToGrid w:val="0"/>
          <w:sz w:val="24"/>
          <w:lang w:eastAsia="zh-CN"/>
        </w:rPr>
        <w:t>EMG</w:t>
      </w:r>
      <w:r>
        <w:rPr>
          <w:rFonts w:hint="eastAsia" w:ascii="Arial" w:hAnsi="Arial" w:cs="Arial"/>
          <w:snapToGrid w:val="0"/>
          <w:sz w:val="24"/>
          <w:lang w:eastAsia="zh-CN"/>
        </w:rPr>
        <w:t>传感器和阴茎海绵体测压泵及附件。（注意：目前还没有分类法规涵盖阴茎海绵体测压器械，但其产品代码是</w:t>
      </w:r>
      <w:r>
        <w:rPr>
          <w:rFonts w:ascii="Arial" w:hAnsi="Arial" w:cs="Arial"/>
          <w:snapToGrid w:val="0"/>
          <w:sz w:val="24"/>
          <w:lang w:eastAsia="zh-CN"/>
        </w:rPr>
        <w:t>78 LST –</w:t>
      </w:r>
      <w:r>
        <w:rPr>
          <w:rFonts w:hint="eastAsia" w:ascii="Arial" w:hAnsi="Arial" w:cs="Arial"/>
          <w:snapToGrid w:val="0"/>
          <w:sz w:val="24"/>
          <w:lang w:eastAsia="zh-CN"/>
        </w:rPr>
        <w:t>勃起功能障碍器械）。标签必须陈述附件是否为一次性使用或可重复使用或可任意处理。如果任何附件之前</w:t>
      </w:r>
      <w:bookmarkStart w:id="16" w:name="OLE_LINK1"/>
      <w:bookmarkStart w:id="17" w:name="OLE_LINK2"/>
      <w:r>
        <w:rPr>
          <w:rFonts w:hint="eastAsia" w:ascii="Arial" w:hAnsi="Arial" w:cs="Arial"/>
          <w:snapToGrid w:val="0"/>
          <w:sz w:val="24"/>
          <w:lang w:eastAsia="zh-CN"/>
        </w:rPr>
        <w:t>以相同预期用途上市过</w:t>
      </w:r>
      <w:bookmarkEnd w:id="16"/>
      <w:bookmarkEnd w:id="17"/>
      <w:r>
        <w:rPr>
          <w:rFonts w:hint="eastAsia" w:ascii="Arial" w:hAnsi="Arial" w:cs="Arial"/>
          <w:snapToGrid w:val="0"/>
          <w:sz w:val="24"/>
          <w:lang w:eastAsia="zh-CN"/>
        </w:rPr>
        <w:t>，提供其修正案前状态证明或</w:t>
      </w:r>
      <w:r>
        <w:rPr>
          <w:rFonts w:ascii="Arial" w:hAnsi="Arial" w:cs="Arial"/>
          <w:snapToGrid w:val="0"/>
          <w:sz w:val="24"/>
          <w:lang w:eastAsia="zh-CN"/>
        </w:rPr>
        <w:t>510（k）</w:t>
      </w:r>
      <w:r>
        <w:rPr>
          <w:rFonts w:hint="eastAsia" w:ascii="Arial" w:hAnsi="Arial" w:cs="Arial"/>
          <w:snapToGrid w:val="0"/>
          <w:sz w:val="24"/>
          <w:lang w:eastAsia="zh-CN"/>
        </w:rPr>
        <w:t xml:space="preserve">编号（如果已知）。 </w:t>
      </w:r>
    </w:p>
    <w:p w14:paraId="49AB84C8">
      <w:pPr>
        <w:pStyle w:val="2"/>
        <w:numPr>
          <w:ilvl w:val="0"/>
          <w:numId w:val="1"/>
        </w:numPr>
        <w:tabs>
          <w:tab w:val="left" w:pos="757"/>
          <w:tab w:val="left" w:pos="1268"/>
          <w:tab w:val="left" w:pos="7926"/>
          <w:tab w:val="left" w:pos="8695"/>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应提供用于制造尿动力学／尿流率测定系统所有材料的准确识别，并明确声明与</w:t>
      </w:r>
      <w:bookmarkStart w:id="18" w:name="OLE_LINK3"/>
      <w:bookmarkStart w:id="19" w:name="OLE_LINK4"/>
      <w:r>
        <w:rPr>
          <w:rFonts w:hint="eastAsia" w:ascii="Arial" w:hAnsi="Arial" w:cs="Arial"/>
          <w:snapToGrid w:val="0"/>
          <w:sz w:val="24"/>
          <w:lang w:eastAsia="zh-CN"/>
        </w:rPr>
        <w:t>修正案前</w:t>
      </w:r>
      <w:bookmarkEnd w:id="18"/>
      <w:bookmarkEnd w:id="19"/>
      <w:r>
        <w:rPr>
          <w:rFonts w:hint="eastAsia" w:ascii="Arial" w:hAnsi="Arial" w:cs="Arial"/>
          <w:snapToGrid w:val="0"/>
          <w:sz w:val="24"/>
          <w:lang w:eastAsia="zh-CN"/>
        </w:rPr>
        <w:t>或实质等同尿动力学／尿流率测定系统的所有材料差异。如果材料与修正案前或实质等同器械完全相同且经过加工和灭菌，则应明确声明这一点。申办方将需要提供关于已执行的任何材料变更的生物相容性测试数据或说明为何不需要该数据，即材料不与患者接触。标题为</w:t>
      </w:r>
      <w:r>
        <w:rPr>
          <w:rFonts w:hint="eastAsia" w:cs="Arial"/>
          <w:snapToGrid w:val="0"/>
          <w:sz w:val="24"/>
          <w:lang w:eastAsia="zh-CN"/>
        </w:rPr>
        <w:t>“</w:t>
      </w:r>
      <w:r>
        <w:rPr>
          <w:rFonts w:hint="eastAsia" w:ascii="Arial" w:hAnsi="Arial" w:cs="Arial"/>
          <w:snapToGrid w:val="0"/>
          <w:sz w:val="24"/>
          <w:lang w:eastAsia="zh-CN"/>
        </w:rPr>
        <w:t>医疗器械生物相容性三方指南</w:t>
      </w:r>
      <w:r>
        <w:rPr>
          <w:rFonts w:hint="eastAsia" w:cs="Arial"/>
          <w:snapToGrid w:val="0"/>
          <w:sz w:val="24"/>
          <w:lang w:eastAsia="zh-CN"/>
        </w:rPr>
        <w:t>”</w:t>
      </w:r>
      <w:r>
        <w:rPr>
          <w:rFonts w:hint="eastAsia" w:ascii="Arial" w:hAnsi="Arial" w:cs="Arial"/>
          <w:snapToGrid w:val="0"/>
          <w:sz w:val="24"/>
          <w:lang w:eastAsia="zh-CN"/>
        </w:rPr>
        <w:t>的文件提供测试指南，可从器械和放射卫生中心</w:t>
      </w:r>
      <w:r>
        <w:rPr>
          <w:rFonts w:ascii="Arial" w:hAnsi="Arial" w:cs="Arial"/>
          <w:snapToGrid w:val="0"/>
          <w:sz w:val="24"/>
          <w:lang w:eastAsia="zh-CN"/>
        </w:rPr>
        <w:t>小型制造商服务组</w:t>
      </w:r>
      <w:r>
        <w:rPr>
          <w:rFonts w:hint="eastAsia" w:ascii="Arial" w:hAnsi="Arial" w:cs="Arial"/>
          <w:snapToGrid w:val="0"/>
          <w:sz w:val="24"/>
          <w:lang w:eastAsia="zh-CN"/>
        </w:rPr>
        <w:t>（电话（</w:t>
      </w:r>
      <w:r>
        <w:rPr>
          <w:rFonts w:ascii="Arial" w:hAnsi="Arial" w:cs="Arial"/>
          <w:snapToGrid w:val="0"/>
          <w:sz w:val="24"/>
          <w:lang w:eastAsia="zh-CN"/>
        </w:rPr>
        <w:t>800</w:t>
      </w:r>
      <w:r>
        <w:rPr>
          <w:rFonts w:hint="eastAsia" w:ascii="Arial" w:hAnsi="Arial" w:cs="Arial"/>
          <w:snapToGrid w:val="0"/>
          <w:sz w:val="24"/>
          <w:lang w:eastAsia="zh-CN"/>
        </w:rPr>
        <w:t>）</w:t>
      </w:r>
      <w:r>
        <w:rPr>
          <w:rFonts w:ascii="Arial" w:hAnsi="Arial" w:cs="Arial"/>
          <w:snapToGrid w:val="0"/>
          <w:sz w:val="24"/>
          <w:lang w:eastAsia="zh-CN"/>
        </w:rPr>
        <w:t>638-2041</w:t>
      </w:r>
      <w:r>
        <w:rPr>
          <w:rFonts w:hint="eastAsia" w:ascii="Arial" w:hAnsi="Arial" w:cs="Arial"/>
          <w:snapToGrid w:val="0"/>
          <w:sz w:val="24"/>
          <w:lang w:eastAsia="zh-CN"/>
        </w:rPr>
        <w:t>或（</w:t>
      </w:r>
      <w:r>
        <w:rPr>
          <w:rFonts w:ascii="Arial" w:hAnsi="Arial" w:cs="Arial"/>
          <w:snapToGrid w:val="0"/>
          <w:sz w:val="24"/>
          <w:lang w:eastAsia="zh-CN"/>
        </w:rPr>
        <w:t>301</w:t>
      </w:r>
      <w:r>
        <w:rPr>
          <w:rFonts w:hint="eastAsia" w:ascii="Arial" w:hAnsi="Arial" w:cs="Arial"/>
          <w:snapToGrid w:val="0"/>
          <w:sz w:val="24"/>
          <w:lang w:eastAsia="zh-CN"/>
        </w:rPr>
        <w:t>）</w:t>
      </w:r>
      <w:r>
        <w:rPr>
          <w:rFonts w:ascii="Arial" w:hAnsi="Arial" w:cs="Arial"/>
          <w:snapToGrid w:val="0"/>
          <w:sz w:val="24"/>
          <w:lang w:eastAsia="zh-CN"/>
        </w:rPr>
        <w:t>443-6597</w:t>
      </w:r>
      <w:r>
        <w:rPr>
          <w:rFonts w:hint="eastAsia" w:ascii="Arial" w:hAnsi="Arial" w:cs="Arial"/>
          <w:snapToGrid w:val="0"/>
          <w:sz w:val="24"/>
          <w:lang w:eastAsia="zh-CN"/>
        </w:rPr>
        <w:t>）获得该文件的副本。</w:t>
      </w:r>
    </w:p>
    <w:p w14:paraId="7D3DF07F">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2056D116">
      <w:pPr>
        <w:pStyle w:val="2"/>
        <w:tabs>
          <w:tab w:val="left" w:pos="2805"/>
          <w:tab w:val="left" w:pos="9335"/>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 xml:space="preserve">应提供用于制造尿动力学／尿流率测定系统的所有颜色的准确识别（墨水、染料、标记、不透射线材料等）并应包含与修正案前或实质等同尿动力学／尿流率测定系统不同的任何着色剂变更声明。如果着色剂与修正案前或实质等同器械完全相同，则应明确声明这一点。申办方将需要提供关于已执行的任何着色剂变更的生物相容性测试数据；说明标记是如何加工（材料蚀刻、标记带等）以及颜色是否接触皮肤、粘膜等。 </w:t>
      </w:r>
    </w:p>
    <w:p w14:paraId="58E2FCAE">
      <w:pPr>
        <w:pStyle w:val="2"/>
        <w:numPr>
          <w:ilvl w:val="0"/>
          <w:numId w:val="1"/>
        </w:numPr>
        <w:tabs>
          <w:tab w:val="left" w:pos="757"/>
          <w:tab w:val="left" w:pos="4981"/>
          <w:tab w:val="left" w:pos="8951"/>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应提供数据证明贵公司尿动力学／尿流率测定系统功能性能的实质等同性。实施测试的方式应尽可能类似于医疗程序中尿动力学／尿流率测定系统的使用方式。应测试统计学上有效数量的尿动力学／尿流率测定系统以证实性能。应根据可接受行业标准实施测试并明确声明这一点，或提供所用试验程序的描述和分析，证明它们的有效性。</w:t>
      </w:r>
    </w:p>
    <w:p w14:paraId="7B5A8C3C">
      <w:pPr>
        <w:pStyle w:val="2"/>
        <w:tabs>
          <w:tab w:val="left" w:pos="6006"/>
          <w:tab w:val="left" w:pos="6774"/>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必须提供已声明精确度的确认测试数据和验证所有特征按规范运行的功能测试。应明确解决系统校准。应解决电磁相容性，包括电压尖峰或功率波动对系统性能的影响。对于可移动系统，也必须提供证明在患者的各种活动中精确度和性能符合规范的临床或模拟使用性能数据。</w:t>
      </w:r>
    </w:p>
    <w:p w14:paraId="5737CAAC">
      <w:pPr>
        <w:pStyle w:val="2"/>
        <w:numPr>
          <w:ilvl w:val="0"/>
          <w:numId w:val="1"/>
        </w:numPr>
        <w:tabs>
          <w:tab w:val="left" w:pos="757"/>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标题为</w:t>
      </w:r>
      <w:r>
        <w:rPr>
          <w:rFonts w:hint="eastAsia" w:cs="Arial"/>
          <w:snapToGrid w:val="0"/>
          <w:sz w:val="24"/>
          <w:lang w:eastAsia="zh-CN"/>
        </w:rPr>
        <w:t>“</w:t>
      </w:r>
      <w:bookmarkStart w:id="20" w:name="OLE_LINK9"/>
      <w:bookmarkStart w:id="21" w:name="OLE_LINK10"/>
      <w:bookmarkStart w:id="22" w:name="OLE_LINK5"/>
      <w:bookmarkStart w:id="23" w:name="OLE_LINK6"/>
      <w:r>
        <w:rPr>
          <w:rFonts w:hint="eastAsia" w:ascii="Arial" w:hAnsi="Arial" w:cs="Arial"/>
          <w:snapToGrid w:val="0"/>
          <w:sz w:val="24"/>
          <w:lang w:eastAsia="zh-CN"/>
        </w:rPr>
        <w:t>经</w:t>
      </w:r>
      <w:bookmarkStart w:id="24" w:name="OLE_LINK13"/>
      <w:bookmarkStart w:id="25" w:name="OLE_LINK14"/>
      <w:r>
        <w:rPr>
          <w:rFonts w:ascii="Arial" w:hAnsi="Arial" w:cs="Arial"/>
          <w:snapToGrid w:val="0"/>
          <w:sz w:val="24"/>
          <w:lang w:eastAsia="zh-CN"/>
        </w:rPr>
        <w:t>510（k）</w:t>
      </w:r>
      <w:r>
        <w:rPr>
          <w:rFonts w:hint="eastAsia" w:ascii="Arial" w:hAnsi="Arial" w:cs="Arial"/>
          <w:snapToGrid w:val="0"/>
          <w:sz w:val="24"/>
          <w:lang w:eastAsia="zh-CN"/>
        </w:rPr>
        <w:t>评审计算机控制医疗器械</w:t>
      </w:r>
      <w:bookmarkEnd w:id="20"/>
      <w:bookmarkEnd w:id="21"/>
      <w:r>
        <w:rPr>
          <w:rFonts w:hint="eastAsia" w:ascii="Arial" w:hAnsi="Arial" w:cs="Arial"/>
          <w:snapToGrid w:val="0"/>
          <w:sz w:val="24"/>
          <w:lang w:eastAsia="zh-CN"/>
        </w:rPr>
        <w:t>的评审员指南</w:t>
      </w:r>
      <w:bookmarkEnd w:id="22"/>
      <w:bookmarkEnd w:id="23"/>
      <w:bookmarkEnd w:id="24"/>
      <w:bookmarkEnd w:id="25"/>
      <w:r>
        <w:rPr>
          <w:rFonts w:ascii="Arial" w:hAnsi="Arial" w:cs="Arial"/>
          <w:snapToGrid w:val="0"/>
          <w:sz w:val="24"/>
          <w:lang w:eastAsia="zh-CN"/>
        </w:rPr>
        <w:t>（</w:t>
      </w:r>
      <w:r>
        <w:rPr>
          <w:rFonts w:hint="eastAsia" w:ascii="Arial" w:hAnsi="Arial" w:cs="Arial"/>
          <w:snapToGrid w:val="0"/>
          <w:sz w:val="24"/>
          <w:lang w:eastAsia="zh-CN"/>
        </w:rPr>
        <w:t>草案19</w:t>
      </w:r>
      <w:r>
        <w:rPr>
          <w:rFonts w:ascii="Arial" w:hAnsi="Arial" w:cs="Arial"/>
          <w:snapToGrid w:val="0"/>
          <w:sz w:val="24"/>
          <w:lang w:eastAsia="zh-CN"/>
        </w:rPr>
        <w:t>91</w:t>
      </w:r>
      <w:r>
        <w:rPr>
          <w:rFonts w:hint="eastAsia" w:ascii="Arial" w:hAnsi="Arial" w:cs="Arial"/>
          <w:snapToGrid w:val="0"/>
          <w:sz w:val="24"/>
          <w:lang w:eastAsia="zh-CN"/>
        </w:rPr>
        <w:t>年2月1日</w:t>
      </w:r>
      <w:r>
        <w:rPr>
          <w:rFonts w:ascii="Arial" w:hAnsi="Arial" w:cs="Arial"/>
          <w:snapToGrid w:val="0"/>
          <w:sz w:val="24"/>
          <w:lang w:eastAsia="zh-CN"/>
        </w:rPr>
        <w:t>）</w:t>
      </w:r>
      <w:r>
        <w:rPr>
          <w:rFonts w:hint="eastAsia" w:cs="Arial"/>
          <w:snapToGrid w:val="0"/>
          <w:sz w:val="24"/>
          <w:lang w:eastAsia="zh-CN"/>
        </w:rPr>
        <w:t>”</w:t>
      </w:r>
      <w:r>
        <w:rPr>
          <w:rFonts w:hint="eastAsia" w:ascii="Arial" w:hAnsi="Arial" w:cs="Arial"/>
          <w:snapToGrid w:val="0"/>
          <w:sz w:val="24"/>
          <w:lang w:eastAsia="zh-CN"/>
        </w:rPr>
        <w:t>的文件提供对软件控制器械上市前通知需包含信息的指导，可从器械和放射卫生中心</w:t>
      </w:r>
      <w:r>
        <w:rPr>
          <w:rFonts w:ascii="Arial" w:hAnsi="Arial" w:cs="Arial"/>
          <w:snapToGrid w:val="0"/>
          <w:sz w:val="24"/>
          <w:lang w:eastAsia="zh-CN"/>
        </w:rPr>
        <w:t>小型制造商服务组</w:t>
      </w:r>
      <w:r>
        <w:rPr>
          <w:rFonts w:hint="eastAsia" w:ascii="Arial" w:hAnsi="Arial" w:cs="Arial"/>
          <w:snapToGrid w:val="0"/>
          <w:sz w:val="24"/>
          <w:lang w:eastAsia="zh-CN"/>
        </w:rPr>
        <w:t>（电话（</w:t>
      </w:r>
      <w:r>
        <w:rPr>
          <w:rFonts w:ascii="Arial" w:hAnsi="Arial" w:cs="Arial"/>
          <w:snapToGrid w:val="0"/>
          <w:sz w:val="24"/>
          <w:lang w:eastAsia="zh-CN"/>
        </w:rPr>
        <w:t>800</w:t>
      </w:r>
      <w:r>
        <w:rPr>
          <w:rFonts w:hint="eastAsia" w:ascii="Arial" w:hAnsi="Arial" w:cs="Arial"/>
          <w:snapToGrid w:val="0"/>
          <w:sz w:val="24"/>
          <w:lang w:eastAsia="zh-CN"/>
        </w:rPr>
        <w:t>）</w:t>
      </w:r>
      <w:r>
        <w:rPr>
          <w:rFonts w:ascii="Arial" w:hAnsi="Arial" w:cs="Arial"/>
          <w:snapToGrid w:val="0"/>
          <w:sz w:val="24"/>
          <w:lang w:eastAsia="zh-CN"/>
        </w:rPr>
        <w:t>638-2041</w:t>
      </w:r>
      <w:r>
        <w:rPr>
          <w:rFonts w:hint="eastAsia" w:ascii="Arial" w:hAnsi="Arial" w:cs="Arial"/>
          <w:snapToGrid w:val="0"/>
          <w:sz w:val="24"/>
          <w:lang w:eastAsia="zh-CN"/>
        </w:rPr>
        <w:t>或（</w:t>
      </w:r>
      <w:r>
        <w:rPr>
          <w:rFonts w:ascii="Arial" w:hAnsi="Arial" w:cs="Arial"/>
          <w:snapToGrid w:val="0"/>
          <w:sz w:val="24"/>
          <w:lang w:eastAsia="zh-CN"/>
        </w:rPr>
        <w:t>301</w:t>
      </w:r>
      <w:r>
        <w:rPr>
          <w:rFonts w:hint="eastAsia" w:ascii="Arial" w:hAnsi="Arial" w:cs="Arial"/>
          <w:snapToGrid w:val="0"/>
          <w:sz w:val="24"/>
          <w:lang w:eastAsia="zh-CN"/>
        </w:rPr>
        <w:t>）</w:t>
      </w:r>
      <w:r>
        <w:rPr>
          <w:rFonts w:ascii="Arial" w:hAnsi="Arial" w:cs="Arial"/>
          <w:snapToGrid w:val="0"/>
          <w:sz w:val="24"/>
          <w:lang w:eastAsia="zh-CN"/>
        </w:rPr>
        <w:t>443-6597</w:t>
      </w:r>
      <w:r>
        <w:rPr>
          <w:rFonts w:hint="eastAsia" w:ascii="Arial" w:hAnsi="Arial" w:cs="Arial"/>
          <w:snapToGrid w:val="0"/>
          <w:sz w:val="24"/>
          <w:lang w:eastAsia="zh-CN"/>
        </w:rPr>
        <w:t>）获得该文件的副本。</w:t>
      </w:r>
    </w:p>
    <w:p w14:paraId="2C8906FF">
      <w:pPr>
        <w:topLinePunct/>
        <w:adjustRightInd w:val="0"/>
        <w:snapToGrid w:val="0"/>
        <w:spacing w:after="224" w:afterLines="75" w:line="360" w:lineRule="auto"/>
        <w:jc w:val="both"/>
        <w:rPr>
          <w:rFonts w:ascii="Arial" w:hAnsi="Arial" w:eastAsia="宋体" w:cs="Arial"/>
          <w:snapToGrid w:val="0"/>
          <w:sz w:val="24"/>
          <w:szCs w:val="20"/>
          <w:lang w:eastAsia="zh-CN"/>
        </w:rPr>
      </w:pPr>
      <w:r>
        <w:rPr>
          <w:rFonts w:ascii="Arial" w:hAnsi="Arial" w:eastAsia="宋体" w:cs="Arial"/>
          <w:snapToGrid w:val="0"/>
          <w:sz w:val="24"/>
          <w:lang w:eastAsia="zh-CN"/>
        </w:rPr>
        <w:br w:type="page"/>
      </w:r>
    </w:p>
    <w:p w14:paraId="6217559B">
      <w:pPr>
        <w:pStyle w:val="2"/>
        <w:numPr>
          <w:ilvl w:val="0"/>
          <w:numId w:val="1"/>
        </w:numPr>
        <w:tabs>
          <w:tab w:val="left" w:pos="757"/>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必须提供以无菌形式销售的尿动力学／尿流率测定系统及附件的完整信息且必须包含灭菌方法、确认方法、包装材料和确保保持无菌性的包装说明、无菌保证水平（</w:t>
      </w:r>
      <w:r>
        <w:rPr>
          <w:rFonts w:ascii="Arial" w:hAnsi="Arial" w:cs="Arial"/>
          <w:snapToGrid w:val="0"/>
          <w:sz w:val="24"/>
          <w:lang w:eastAsia="zh-CN"/>
        </w:rPr>
        <w:t>SAL）</w:t>
      </w:r>
      <w:r>
        <w:rPr>
          <w:rFonts w:hint="eastAsia" w:ascii="Arial" w:hAnsi="Arial" w:cs="Arial"/>
          <w:snapToGrid w:val="0"/>
          <w:sz w:val="24"/>
          <w:lang w:eastAsia="zh-CN"/>
        </w:rPr>
        <w:t>和器械上残留环氧乙烷、乙撑氯醇和乙二醇（适用者为准）的辐射剂量或最高残留量水平。如果将器械标注为无热原或非热原，则应提供用于做出该确定的方法</w:t>
      </w:r>
      <w:r>
        <w:rPr>
          <w:rFonts w:ascii="Arial" w:hAnsi="Arial" w:cs="Arial"/>
          <w:snapToGrid w:val="0"/>
          <w:sz w:val="24"/>
          <w:lang w:eastAsia="zh-CN"/>
        </w:rPr>
        <w:t>（LAL</w:t>
      </w:r>
      <w:r>
        <w:rPr>
          <w:rFonts w:hint="eastAsia" w:ascii="Arial" w:hAnsi="Arial" w:cs="Arial"/>
          <w:snapToGrid w:val="0"/>
          <w:sz w:val="24"/>
          <w:lang w:eastAsia="zh-CN"/>
        </w:rPr>
        <w:t>或家兔试验</w:t>
      </w:r>
      <w:r>
        <w:rPr>
          <w:rFonts w:ascii="Arial" w:hAnsi="Arial" w:cs="Arial"/>
          <w:snapToGrid w:val="0"/>
          <w:sz w:val="24"/>
          <w:lang w:eastAsia="zh-CN"/>
        </w:rPr>
        <w:t>）</w:t>
      </w:r>
      <w:r>
        <w:rPr>
          <w:rFonts w:hint="eastAsia" w:ascii="Arial" w:hAnsi="Arial" w:cs="Arial"/>
          <w:snapToGrid w:val="0"/>
          <w:sz w:val="24"/>
          <w:lang w:eastAsia="zh-CN"/>
        </w:rPr>
        <w:t>描述。注意进入血流（例如阴茎海绵体测压）的器械或导管必须以无热原形式提供。如果整个</w:t>
      </w:r>
      <w:bookmarkStart w:id="26" w:name="OLE_LINK12"/>
      <w:bookmarkStart w:id="27" w:name="OLE_LINK11"/>
      <w:r>
        <w:rPr>
          <w:rFonts w:hint="eastAsia" w:ascii="Arial" w:hAnsi="Arial" w:cs="Arial"/>
          <w:snapToGrid w:val="0"/>
          <w:sz w:val="24"/>
          <w:lang w:eastAsia="zh-CN"/>
        </w:rPr>
        <w:t>尿动力学／尿流率测定系统</w:t>
      </w:r>
      <w:bookmarkEnd w:id="26"/>
      <w:bookmarkEnd w:id="27"/>
      <w:r>
        <w:rPr>
          <w:rFonts w:hint="eastAsia" w:ascii="Arial" w:hAnsi="Arial" w:cs="Arial"/>
          <w:snapToGrid w:val="0"/>
          <w:sz w:val="24"/>
          <w:lang w:eastAsia="zh-CN"/>
        </w:rPr>
        <w:t>不以无菌和无热原形式销售，则标签中必须清晰指出无菌和／或无热原的部件。</w:t>
      </w:r>
      <w:r>
        <w:rPr>
          <w:rFonts w:ascii="Arial" w:hAnsi="Arial" w:cs="Arial"/>
          <w:snapToGrid w:val="0"/>
          <w:sz w:val="24"/>
          <w:lang w:eastAsia="zh-CN"/>
        </w:rPr>
        <w:t>ODE</w:t>
      </w:r>
      <w:bookmarkStart w:id="28" w:name="OLE_LINK52"/>
      <w:bookmarkStart w:id="29" w:name="OLE_LINK51"/>
      <w:r>
        <w:rPr>
          <w:rFonts w:hint="eastAsia" w:ascii="Arial" w:hAnsi="Arial" w:cs="Arial"/>
          <w:snapToGrid w:val="0"/>
          <w:sz w:val="24"/>
          <w:lang w:eastAsia="zh-CN"/>
        </w:rPr>
        <w:t>蓝皮书备忘录</w:t>
      </w:r>
      <w:r>
        <w:rPr>
          <w:rFonts w:ascii="Arial" w:hAnsi="Arial" w:cs="Arial"/>
          <w:snapToGrid w:val="0"/>
          <w:sz w:val="24"/>
          <w:lang w:eastAsia="zh-CN"/>
        </w:rPr>
        <w:t>K90-1</w:t>
      </w:r>
      <w:bookmarkEnd w:id="28"/>
      <w:bookmarkEnd w:id="29"/>
      <w:r>
        <w:rPr>
          <w:rFonts w:hint="eastAsia" w:ascii="Arial" w:hAnsi="Arial" w:cs="Arial"/>
          <w:snapToGrid w:val="0"/>
          <w:sz w:val="24"/>
          <w:lang w:eastAsia="zh-CN"/>
        </w:rPr>
        <w:t xml:space="preserve"> </w:t>
      </w:r>
      <w:r>
        <w:rPr>
          <w:rFonts w:ascii="Arial" w:hAnsi="Arial" w:cs="Arial"/>
          <w:snapToGrid w:val="0"/>
          <w:sz w:val="24"/>
          <w:lang w:eastAsia="zh-CN"/>
        </w:rPr>
        <w:t>510（k）</w:t>
      </w:r>
      <w:r>
        <w:rPr>
          <w:rFonts w:hint="eastAsia" w:cs="Arial"/>
          <w:snapToGrid w:val="0"/>
          <w:sz w:val="24"/>
          <w:lang w:eastAsia="zh-CN"/>
        </w:rPr>
        <w:t>“</w:t>
      </w:r>
      <w:r>
        <w:rPr>
          <w:rFonts w:hint="eastAsia" w:ascii="Arial" w:hAnsi="Arial" w:cs="Arial"/>
          <w:snapToGrid w:val="0"/>
          <w:sz w:val="24"/>
          <w:lang w:eastAsia="zh-CN"/>
        </w:rPr>
        <w:t>无菌评审指南（</w:t>
      </w:r>
      <w:r>
        <w:rPr>
          <w:rFonts w:ascii="Arial" w:hAnsi="Arial" w:cs="Arial"/>
          <w:snapToGrid w:val="0"/>
          <w:sz w:val="24"/>
          <w:lang w:eastAsia="zh-CN"/>
        </w:rPr>
        <w:t>1990</w:t>
      </w:r>
      <w:r>
        <w:rPr>
          <w:rFonts w:hint="eastAsia" w:ascii="Arial" w:hAnsi="Arial" w:cs="Arial"/>
          <w:snapToGrid w:val="0"/>
          <w:sz w:val="24"/>
          <w:lang w:eastAsia="zh-CN"/>
        </w:rPr>
        <w:t>年</w:t>
      </w:r>
      <w:r>
        <w:rPr>
          <w:rFonts w:ascii="Arial" w:hAnsi="Arial" w:cs="Arial"/>
          <w:snapToGrid w:val="0"/>
          <w:sz w:val="24"/>
          <w:lang w:eastAsia="zh-CN"/>
        </w:rPr>
        <w:t>2</w:t>
      </w:r>
      <w:r>
        <w:rPr>
          <w:rFonts w:hint="eastAsia" w:ascii="Arial" w:hAnsi="Arial" w:cs="Arial"/>
          <w:snapToGrid w:val="0"/>
          <w:sz w:val="24"/>
          <w:lang w:eastAsia="zh-CN"/>
        </w:rPr>
        <w:t>月</w:t>
      </w:r>
      <w:r>
        <w:rPr>
          <w:rFonts w:ascii="Arial" w:hAnsi="Arial" w:cs="Arial"/>
          <w:snapToGrid w:val="0"/>
          <w:sz w:val="24"/>
          <w:lang w:eastAsia="zh-CN"/>
        </w:rPr>
        <w:t>12</w:t>
      </w:r>
      <w:r>
        <w:rPr>
          <w:rFonts w:hint="eastAsia" w:ascii="Arial" w:hAnsi="Arial" w:cs="Arial"/>
          <w:snapToGrid w:val="0"/>
          <w:sz w:val="24"/>
          <w:lang w:eastAsia="zh-CN"/>
        </w:rPr>
        <w:t>日）</w:t>
      </w:r>
      <w:r>
        <w:rPr>
          <w:rFonts w:hint="eastAsia" w:cs="Arial"/>
          <w:snapToGrid w:val="0"/>
          <w:sz w:val="24"/>
          <w:lang w:eastAsia="zh-CN"/>
        </w:rPr>
        <w:t>”</w:t>
      </w:r>
      <w:r>
        <w:rPr>
          <w:rFonts w:hint="eastAsia" w:ascii="Arial" w:hAnsi="Arial" w:cs="Arial"/>
          <w:snapToGrid w:val="0"/>
          <w:sz w:val="24"/>
          <w:lang w:eastAsia="zh-CN"/>
        </w:rPr>
        <w:t>描述了对无菌问题的指导，可从器械和放射卫生中心小型制造商服务组电话（</w:t>
      </w:r>
      <w:r>
        <w:rPr>
          <w:rFonts w:ascii="Arial" w:hAnsi="Arial" w:cs="Arial"/>
          <w:snapToGrid w:val="0"/>
          <w:sz w:val="24"/>
          <w:lang w:eastAsia="zh-CN"/>
        </w:rPr>
        <w:t>800</w:t>
      </w:r>
      <w:r>
        <w:rPr>
          <w:rFonts w:hint="eastAsia" w:ascii="Arial" w:hAnsi="Arial" w:cs="Arial"/>
          <w:snapToGrid w:val="0"/>
          <w:sz w:val="24"/>
          <w:lang w:eastAsia="zh-CN"/>
        </w:rPr>
        <w:t>）</w:t>
      </w:r>
      <w:r>
        <w:rPr>
          <w:rFonts w:ascii="Arial" w:hAnsi="Arial" w:cs="Arial"/>
          <w:snapToGrid w:val="0"/>
          <w:sz w:val="24"/>
          <w:lang w:eastAsia="zh-CN"/>
        </w:rPr>
        <w:t>638-2041</w:t>
      </w:r>
      <w:r>
        <w:rPr>
          <w:rFonts w:hint="eastAsia" w:ascii="Arial" w:hAnsi="Arial" w:cs="Arial"/>
          <w:snapToGrid w:val="0"/>
          <w:sz w:val="24"/>
          <w:lang w:eastAsia="zh-CN"/>
        </w:rPr>
        <w:t>或（</w:t>
      </w:r>
      <w:r>
        <w:rPr>
          <w:rFonts w:ascii="Arial" w:hAnsi="Arial" w:cs="Arial"/>
          <w:snapToGrid w:val="0"/>
          <w:sz w:val="24"/>
          <w:lang w:eastAsia="zh-CN"/>
        </w:rPr>
        <w:t>301</w:t>
      </w:r>
      <w:r>
        <w:rPr>
          <w:rFonts w:hint="eastAsia" w:ascii="Arial" w:hAnsi="Arial" w:cs="Arial"/>
          <w:snapToGrid w:val="0"/>
          <w:sz w:val="24"/>
          <w:lang w:eastAsia="zh-CN"/>
        </w:rPr>
        <w:t>）</w:t>
      </w:r>
      <w:r>
        <w:rPr>
          <w:rFonts w:ascii="Arial" w:hAnsi="Arial" w:cs="Arial"/>
          <w:snapToGrid w:val="0"/>
          <w:sz w:val="24"/>
          <w:lang w:eastAsia="zh-CN"/>
        </w:rPr>
        <w:t>443-6597</w:t>
      </w:r>
      <w:r>
        <w:rPr>
          <w:rFonts w:hint="eastAsia" w:ascii="Arial" w:hAnsi="Arial" w:cs="Arial"/>
          <w:snapToGrid w:val="0"/>
          <w:sz w:val="24"/>
          <w:lang w:eastAsia="zh-CN"/>
        </w:rPr>
        <w:t>获得该文件的副本。</w:t>
      </w:r>
    </w:p>
    <w:p w14:paraId="67E6577B">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尿动力学／尿流率测定系统以非无菌形式销售且标记为非无菌或可再处理，则应提供拆卸、清洁、杀菌和／或灭菌指导。如果适当，应提供尿动力学／尿流率测定系统要求高水平杀菌的声明，并需指出与高水平消毒和／或灭菌兼容的解决方案和／或程序。可任意处理附件应标记为一次性使用。</w:t>
      </w:r>
    </w:p>
    <w:p w14:paraId="0ED22E33">
      <w:pPr>
        <w:pStyle w:val="2"/>
        <w:numPr>
          <w:ilvl w:val="0"/>
          <w:numId w:val="1"/>
        </w:numPr>
        <w:tabs>
          <w:tab w:val="left" w:pos="885"/>
        </w:tabs>
        <w:topLinePunct/>
        <w:adjustRightInd w:val="0"/>
        <w:snapToGrid w:val="0"/>
        <w:spacing w:after="224" w:afterLines="75" w:line="360" w:lineRule="auto"/>
        <w:ind w:left="0" w:firstLine="0"/>
        <w:jc w:val="both"/>
        <w:rPr>
          <w:rFonts w:ascii="Arial" w:hAnsi="Arial" w:cs="Arial"/>
          <w:snapToGrid w:val="0"/>
          <w:sz w:val="24"/>
          <w:lang w:eastAsia="zh-CN"/>
        </w:rPr>
      </w:pPr>
      <w:r>
        <w:rPr>
          <w:rFonts w:hint="eastAsia" w:ascii="Arial" w:hAnsi="Arial" w:cs="Arial"/>
          <w:snapToGrid w:val="0"/>
          <w:sz w:val="24"/>
          <w:lang w:eastAsia="zh-CN"/>
        </w:rPr>
        <w:t>如果器械将作为套件销售，指出所有部件并提供以下陈述的证明：</w:t>
      </w:r>
    </w:p>
    <w:p w14:paraId="31011D80">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我证明以下套件内部件（1）是合法销售的修正案前器械，或（2）免于遵守上市前通知（与分类法规中描述的豁免标准和法案510（k）节的豁免限制（例如862.9）一致），或（3）已通过上市前通知流程证明其用于套件的预期用途时为实质等同器械（即我并未声称部件用于新用途或给部件增加新用途）。</w:t>
      </w:r>
    </w:p>
    <w:p w14:paraId="7171F3C2">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我进一步证明这些部件不是以</w:t>
      </w:r>
      <w:r>
        <w:rPr>
          <w:rFonts w:hint="eastAsia" w:cs="Arial"/>
          <w:snapToGrid w:val="0"/>
          <w:sz w:val="24"/>
          <w:lang w:eastAsia="zh-CN"/>
        </w:rPr>
        <w:t>“</w:t>
      </w:r>
      <w:r>
        <w:rPr>
          <w:rFonts w:hint="eastAsia" w:ascii="Arial" w:hAnsi="Arial" w:cs="Arial"/>
          <w:snapToGrid w:val="0"/>
          <w:sz w:val="24"/>
          <w:lang w:eastAsia="zh-CN"/>
        </w:rPr>
        <w:t>散装</w:t>
      </w:r>
      <w:r>
        <w:rPr>
          <w:rFonts w:hint="eastAsia" w:cs="Arial"/>
          <w:snapToGrid w:val="0"/>
          <w:sz w:val="24"/>
          <w:lang w:eastAsia="zh-CN"/>
        </w:rPr>
        <w:t>”</w:t>
      </w:r>
      <w:r>
        <w:rPr>
          <w:rFonts w:hint="eastAsia" w:ascii="Arial" w:hAnsi="Arial" w:cs="Arial"/>
          <w:snapToGrid w:val="0"/>
          <w:sz w:val="24"/>
          <w:lang w:eastAsia="zh-CN"/>
        </w:rPr>
        <w:t>形式购买，而是以成品形式购买，即其包装、标签等符合其修正案前、豁免或上市前通知标准和状态。</w:t>
      </w:r>
    </w:p>
    <w:p w14:paraId="5AF39E75">
      <w:pPr>
        <w:rPr>
          <w:rFonts w:ascii="Arial" w:hAnsi="Arial" w:eastAsia="宋体" w:cs="Arial"/>
          <w:snapToGrid w:val="0"/>
          <w:sz w:val="24"/>
          <w:szCs w:val="25"/>
          <w:lang w:eastAsia="zh-CN"/>
        </w:rPr>
      </w:pPr>
      <w:r>
        <w:rPr>
          <w:rFonts w:ascii="Arial" w:hAnsi="Arial" w:cs="Arial"/>
          <w:snapToGrid w:val="0"/>
          <w:sz w:val="24"/>
          <w:lang w:eastAsia="zh-CN"/>
        </w:rPr>
        <w:br w:type="page"/>
      </w:r>
    </w:p>
    <w:p w14:paraId="2B1FAEED">
      <w:pPr>
        <w:pStyle w:val="2"/>
        <w:tabs>
          <w:tab w:val="left" w:pos="9335"/>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如果不能为套件内的每个部件提供以上提到的证明声明（第一段），则</w:t>
      </w:r>
      <w:bookmarkStart w:id="30" w:name="OLE_LINK15"/>
      <w:bookmarkStart w:id="31" w:name="OLE_LINK16"/>
      <w:r>
        <w:rPr>
          <w:rFonts w:hint="eastAsia" w:ascii="Arial" w:hAnsi="Arial" w:cs="Arial"/>
          <w:snapToGrid w:val="0"/>
          <w:sz w:val="24"/>
          <w:lang w:eastAsia="zh-CN"/>
        </w:rPr>
        <w:t>必须分条列举没有修正案前、豁免或上市前通知状态的部件</w:t>
      </w:r>
      <w:bookmarkEnd w:id="30"/>
      <w:bookmarkEnd w:id="31"/>
      <w:r>
        <w:rPr>
          <w:rFonts w:hint="eastAsia" w:ascii="Arial" w:hAnsi="Arial" w:cs="Arial"/>
          <w:snapToGrid w:val="0"/>
          <w:sz w:val="24"/>
          <w:lang w:eastAsia="zh-CN"/>
        </w:rPr>
        <w:t>。在这种情况下，我们将继续对套件内的这些部件进行上市前通知审核。</w:t>
      </w:r>
    </w:p>
    <w:p w14:paraId="4C1EB4D9">
      <w:pPr>
        <w:pStyle w:val="2"/>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lang w:eastAsia="zh-CN"/>
        </w:rPr>
        <w:t>如果不能为套件内的每个部件提供以上提到的证明声明（第二段），则必须分条列举这些部件，说明其是修正案前器械、豁免器械还是已通过上市前通知流程证明为实质等同器械，并描述对其的进一步加工（例如无菌、包装／重新包装、贴标签／重贴标签等）。</w:t>
      </w:r>
    </w:p>
    <w:p w14:paraId="6E873904">
      <w:pPr>
        <w:pStyle w:val="2"/>
        <w:tabs>
          <w:tab w:val="left" w:pos="3829"/>
        </w:tabs>
        <w:topLinePunct/>
        <w:adjustRightInd w:val="0"/>
        <w:snapToGrid w:val="0"/>
        <w:spacing w:after="224" w:afterLines="75" w:line="360" w:lineRule="auto"/>
        <w:ind w:left="0"/>
        <w:jc w:val="both"/>
        <w:rPr>
          <w:rFonts w:ascii="Arial" w:hAnsi="Arial" w:cs="Arial"/>
          <w:snapToGrid w:val="0"/>
          <w:sz w:val="24"/>
          <w:lang w:eastAsia="zh-CN"/>
        </w:rPr>
      </w:pPr>
      <w:r>
        <w:rPr>
          <w:rFonts w:hint="eastAsia" w:ascii="Arial" w:hAnsi="Arial" w:cs="Arial"/>
          <w:snapToGrid w:val="0"/>
          <w:sz w:val="24"/>
          <w:szCs w:val="24"/>
          <w:lang w:eastAsia="zh-CN"/>
        </w:rPr>
        <w:t>如果器械套件中含作为药品受法规约束的部件，则实质等同性测定不适用于器械的药品组成部分。想得到适用于销售套件内药品组成部分的机构要求信息，建议联系药品评价和研究中心的新药信息科，电话（301）295-8063。</w:t>
      </w:r>
    </w:p>
    <w:p w14:paraId="31D3F027">
      <w:pPr>
        <w:topLinePunct/>
        <w:adjustRightInd w:val="0"/>
        <w:snapToGrid w:val="0"/>
        <w:spacing w:after="224" w:afterLines="75" w:line="360" w:lineRule="auto"/>
        <w:jc w:val="both"/>
        <w:rPr>
          <w:rFonts w:ascii="Arial" w:hAnsi="Arial" w:eastAsia="宋体" w:cs="Arial"/>
          <w:snapToGrid w:val="0"/>
          <w:sz w:val="24"/>
          <w:szCs w:val="14"/>
          <w:lang w:eastAsia="zh-CN"/>
        </w:rPr>
      </w:pPr>
    </w:p>
    <w:tbl>
      <w:tblPr>
        <w:tblStyle w:val="7"/>
        <w:tblW w:w="5000" w:type="pct"/>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9236"/>
      </w:tblGrid>
      <w:tr w14:paraId="4D8B4C2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Borders>
              <w:top w:val="single" w:color="0070C0" w:sz="4" w:space="0"/>
              <w:left w:val="single" w:color="0070C0" w:sz="4" w:space="0"/>
              <w:bottom w:val="single" w:color="0070C0" w:sz="4" w:space="0"/>
              <w:right w:val="single" w:color="0070C0" w:sz="4" w:space="0"/>
            </w:tcBorders>
          </w:tcPr>
          <w:p w14:paraId="576D15A0">
            <w:pPr>
              <w:topLinePunct/>
              <w:adjustRightInd w:val="0"/>
              <w:snapToGrid w:val="0"/>
              <w:spacing w:before="224" w:beforeLines="75" w:line="360" w:lineRule="auto"/>
              <w:rPr>
                <w:rFonts w:ascii="Arial" w:hAnsi="Arial" w:eastAsia="宋体" w:cs="Arial"/>
                <w:b/>
                <w:snapToGrid w:val="0"/>
                <w:sz w:val="24"/>
                <w:szCs w:val="24"/>
              </w:rPr>
            </w:pPr>
            <w:r>
              <w:rPr>
                <w:rFonts w:hint="eastAsia" w:ascii="Arial" w:hAnsi="Arial" w:eastAsia="宋体" w:cs="Arial"/>
                <w:b/>
                <w:snapToGrid w:val="0"/>
                <w:sz w:val="24"/>
                <w:szCs w:val="24"/>
                <w:u w:val="single"/>
              </w:rPr>
              <w:t>指导性文件</w:t>
            </w:r>
            <w:r>
              <w:rPr>
                <w:rFonts w:hint="eastAsia" w:ascii="Arial" w:hAnsi="Arial" w:eastAsia="宋体" w:cs="Arial"/>
                <w:b/>
                <w:snapToGrid w:val="0"/>
                <w:sz w:val="24"/>
                <w:szCs w:val="24"/>
                <w:u w:val="single"/>
                <w:lang w:eastAsia="zh-CN"/>
              </w:rPr>
              <w:t>的</w:t>
            </w:r>
            <w:r>
              <w:rPr>
                <w:rFonts w:hint="eastAsia" w:ascii="Arial" w:hAnsi="Arial" w:eastAsia="宋体" w:cs="Arial"/>
                <w:b/>
                <w:snapToGrid w:val="0"/>
                <w:sz w:val="24"/>
                <w:szCs w:val="24"/>
              </w:rPr>
              <w:t>更多信息</w:t>
            </w:r>
            <w:r>
              <w:rPr>
                <w:rFonts w:hint="eastAsia" w:ascii="Arial" w:hAnsi="Arial" w:eastAsia="宋体" w:cs="Arial"/>
                <w:b/>
                <w:snapToGrid w:val="0"/>
                <w:sz w:val="24"/>
                <w:szCs w:val="24"/>
                <w:u w:val="single"/>
                <w:lang w:eastAsia="zh-CN"/>
              </w:rPr>
              <w:t>（</w:t>
            </w:r>
            <w:r>
              <w:rPr>
                <w:rFonts w:hint="eastAsia" w:ascii="Arial" w:hAnsi="Arial" w:eastAsia="宋体" w:cs="Arial"/>
                <w:b/>
                <w:snapToGrid w:val="0"/>
                <w:sz w:val="24"/>
                <w:szCs w:val="24"/>
                <w:u w:val="single"/>
              </w:rPr>
              <w:t>医疗器械和辐射产品</w:t>
            </w:r>
            <w:r>
              <w:rPr>
                <w:rFonts w:hint="eastAsia" w:ascii="Arial" w:hAnsi="Arial" w:eastAsia="宋体" w:cs="Arial"/>
                <w:b/>
                <w:snapToGrid w:val="0"/>
                <w:sz w:val="24"/>
                <w:szCs w:val="24"/>
                <w:u w:val="single"/>
                <w:lang w:eastAsia="zh-CN"/>
              </w:rPr>
              <w:t>）</w:t>
            </w:r>
            <w:r>
              <w:rPr>
                <w:rFonts w:hint="eastAsia" w:ascii="Arial" w:hAnsi="Arial" w:eastAsia="宋体" w:cs="Arial"/>
                <w:b/>
                <w:snapToGrid w:val="0"/>
                <w:sz w:val="24"/>
                <w:szCs w:val="24"/>
                <w:u w:val="single"/>
              </w:rPr>
              <w:t>(/MedicalDevices/Device RegulationandGuidance/Guidance Documents/default.htm)</w:t>
            </w:r>
          </w:p>
        </w:tc>
      </w:tr>
      <w:tr w14:paraId="4544795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Borders>
              <w:top w:val="single" w:color="0070C0" w:sz="4" w:space="0"/>
            </w:tcBorders>
          </w:tcPr>
          <w:p w14:paraId="6F994A29">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"https://www.fda.gov/MedicalDevices/DeviceRegulationandGuidance/GuidanceDocuments/ucm081752.htm" </w:instrText>
            </w:r>
            <w:r>
              <w:fldChar w:fldCharType="separate"/>
            </w:r>
            <w:r>
              <w:rPr>
                <w:rFonts w:hint="eastAsia" w:ascii="Arial" w:hAnsi="Arial" w:eastAsia="宋体" w:cs="Arial"/>
                <w:b/>
                <w:snapToGrid w:val="0"/>
                <w:sz w:val="24"/>
                <w:szCs w:val="24"/>
                <w:u w:val="single"/>
                <w:lang w:eastAsia="zh-CN"/>
              </w:rPr>
              <w:t>跨中心最终指南</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Documents/ucm081752.htm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0196E81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536CA2FB">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"https://www.fda.gov/MedicalDevices/DeviceRegulationandGuidance/GuidanceDocuments/ucm070269.htm" </w:instrText>
            </w:r>
            <w:r>
              <w:fldChar w:fldCharType="separate"/>
            </w:r>
            <w:r>
              <w:rPr>
                <w:rFonts w:hint="eastAsia" w:ascii="Arial" w:hAnsi="Arial" w:eastAsia="宋体" w:cs="Arial"/>
                <w:b/>
                <w:snapToGrid w:val="0"/>
                <w:sz w:val="24"/>
                <w:szCs w:val="24"/>
                <w:u w:val="single"/>
                <w:lang w:eastAsia="zh-CN"/>
              </w:rPr>
              <w:t>合规办公室最终指南</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Documents/ucm070269.htm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6A1BB07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73D8C40B">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"https://www.fda.gov/MedicalDevices/DeviceRegulationandGuidance/GuidanceDocuments/ucm110228.htm" </w:instrText>
            </w:r>
            <w:r>
              <w:fldChar w:fldCharType="separate"/>
            </w:r>
            <w:r>
              <w:rPr>
                <w:rFonts w:hint="eastAsia" w:ascii="Arial" w:hAnsi="Arial" w:eastAsia="宋体" w:cs="Arial"/>
                <w:b/>
                <w:snapToGrid w:val="0"/>
                <w:sz w:val="24"/>
                <w:szCs w:val="24"/>
                <w:u w:val="single"/>
                <w:lang w:eastAsia="zh-CN"/>
              </w:rPr>
              <w:t>中心主任办公室最终指南</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Documents/ucm110228.htm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53934D4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633BBF0F">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"https://www.fda.gov/MedicalDevices/DeviceRegulationandGuidance/GuidanceDocuments/ucm070271.htm" </w:instrText>
            </w:r>
            <w:r>
              <w:fldChar w:fldCharType="separate"/>
            </w:r>
            <w:r>
              <w:rPr>
                <w:rFonts w:hint="eastAsia" w:ascii="Arial" w:hAnsi="Arial" w:eastAsia="宋体" w:cs="Arial"/>
                <w:b/>
                <w:snapToGrid w:val="0"/>
                <w:sz w:val="24"/>
                <w:szCs w:val="24"/>
                <w:u w:val="single"/>
                <w:lang w:eastAsia="zh-CN"/>
              </w:rPr>
              <w:t>交流和教育办公室最终指南</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Documents/ucm070271.htm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438BD46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6F6BB5A3">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"https://www.fda.gov/MedicalDevices/DeviceRegulationandGuidance/GuidanceDocuments/ucm198577.htm" </w:instrText>
            </w:r>
            <w:r>
              <w:fldChar w:fldCharType="separate"/>
            </w:r>
            <w:r>
              <w:rPr>
                <w:rFonts w:hint="eastAsia" w:ascii="Arial" w:hAnsi="Arial" w:eastAsia="宋体" w:cs="Arial"/>
                <w:b/>
                <w:snapToGrid w:val="0"/>
                <w:sz w:val="24"/>
                <w:szCs w:val="24"/>
                <w:u w:val="single"/>
                <w:lang w:eastAsia="zh-CN"/>
              </w:rPr>
              <w:t>器械评价办公室最终指南</w:t>
            </w:r>
            <w:r>
              <w:rPr>
                <w:rFonts w:ascii="Arial" w:hAnsi="Arial" w:eastAsia="宋体" w:cs="Arial"/>
                <w:b/>
                <w:snapToGrid w:val="0"/>
                <w:sz w:val="24"/>
                <w:szCs w:val="24"/>
                <w:u w:val="single"/>
              </w:rPr>
              <w:t>2010 - 2016</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Documents/ucm198577.htm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24921F3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0A2B6CA5">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"https://www.fda.gov/MedicalDevices/DeviceRegulationandGuidance/GuidanceDocuments/ucm070272.htm" </w:instrText>
            </w:r>
            <w:r>
              <w:fldChar w:fldCharType="separate"/>
            </w:r>
            <w:r>
              <w:rPr>
                <w:rFonts w:hint="eastAsia" w:ascii="Arial" w:hAnsi="Arial" w:eastAsia="宋体" w:cs="Arial"/>
                <w:b/>
                <w:snapToGrid w:val="0"/>
                <w:sz w:val="24"/>
                <w:szCs w:val="24"/>
                <w:u w:val="single"/>
              </w:rPr>
              <w:t>器械评价办公室最终指南</w:t>
            </w:r>
            <w:r>
              <w:rPr>
                <w:rFonts w:ascii="Arial" w:hAnsi="Arial" w:eastAsia="宋体" w:cs="Arial"/>
                <w:b/>
                <w:snapToGrid w:val="0"/>
                <w:sz w:val="24"/>
                <w:szCs w:val="24"/>
                <w:u w:val="single"/>
              </w:rPr>
              <w:t>1998 - 2009</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Documents/ucm070272.htm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45D6A47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579DDCB5">
            <w:pPr>
              <w:keepNext/>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"https://www.fda.gov/MedicalDevices/DeviceRegulationandGuidance/GuidanceDocuments/ucm080283.htm" </w:instrText>
            </w:r>
            <w:r>
              <w:fldChar w:fldCharType="separate"/>
            </w:r>
            <w:r>
              <w:rPr>
                <w:rFonts w:hint="eastAsia" w:ascii="Arial" w:hAnsi="Arial" w:eastAsia="宋体" w:cs="Arial"/>
                <w:b/>
                <w:snapToGrid w:val="0"/>
                <w:sz w:val="24"/>
                <w:szCs w:val="24"/>
                <w:u w:val="single"/>
              </w:rPr>
              <w:t>器械评价办公室最终指南</w:t>
            </w:r>
            <w:r>
              <w:rPr>
                <w:rFonts w:ascii="Arial" w:hAnsi="Arial" w:eastAsia="宋体" w:cs="Arial"/>
                <w:b/>
                <w:snapToGrid w:val="0"/>
                <w:sz w:val="24"/>
                <w:szCs w:val="24"/>
                <w:u w:val="single"/>
              </w:rPr>
              <w:t>1976 - 1997</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Documents/ucm080283.htm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267965E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77101192">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"https://www.fda.gov/MedicalDevices/DeviceRegulationandGuidance/GuidanceDocuments/ucm070274.htm" </w:instrText>
            </w:r>
            <w:r>
              <w:fldChar w:fldCharType="separate"/>
            </w:r>
            <w:r>
              <w:rPr>
                <w:rFonts w:hint="eastAsia" w:ascii="Arial" w:hAnsi="Arial" w:eastAsia="宋体" w:cs="Arial"/>
                <w:b/>
                <w:snapToGrid w:val="0"/>
                <w:sz w:val="24"/>
                <w:szCs w:val="24"/>
                <w:u w:val="single"/>
                <w:lang w:eastAsia="zh-CN"/>
              </w:rPr>
              <w:t>体外诊断学和放射卫生办公室最终指南</w:t>
            </w:r>
            <w:r>
              <w:rPr>
                <w:rFonts w:ascii="Arial" w:hAnsi="Arial" w:eastAsia="宋体" w:cs="Arial"/>
                <w:b/>
                <w:snapToGrid w:val="0"/>
                <w:sz w:val="24"/>
                <w:szCs w:val="24"/>
                <w:lang w:eastAsia="zh-CN"/>
              </w:rPr>
              <w:t xml:space="preserve"> (</w:t>
            </w:r>
            <w:r>
              <w:rPr>
                <w:rFonts w:ascii="Arial" w:hAnsi="Arial" w:eastAsia="宋体" w:cs="Arial"/>
                <w:b/>
                <w:snapToGrid w:val="0"/>
                <w:sz w:val="24"/>
                <w:szCs w:val="24"/>
                <w:u w:val="single"/>
              </w:rPr>
              <w:t>/MedicalDevices/Device RegulationandGuidance/Guidance Documents/ucm070274.htm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7E31F13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4C796230">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"https://www.fda.gov/MedicalDevices/DeviceRegulationandGuidance/GuidanceDocuments/ucm070275.htm" </w:instrText>
            </w:r>
            <w:r>
              <w:fldChar w:fldCharType="separate"/>
            </w:r>
            <w:r>
              <w:rPr>
                <w:rFonts w:hint="eastAsia" w:ascii="Arial" w:hAnsi="Arial" w:eastAsia="宋体" w:cs="Arial"/>
                <w:b/>
                <w:snapToGrid w:val="0"/>
                <w:sz w:val="24"/>
                <w:szCs w:val="24"/>
                <w:u w:val="single"/>
                <w:lang w:eastAsia="zh-CN"/>
              </w:rPr>
              <w:t>监督和生物测定办公室最终指南</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Documents/ucm070275.htm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5B024E7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73A88EF3">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"https://www.fda.gov/MedicalDevices/DeviceRegulationandGuidance/GuidanceDocuments/ucm070277.htm" </w:instrText>
            </w:r>
            <w:r>
              <w:fldChar w:fldCharType="separate"/>
            </w:r>
            <w:r>
              <w:rPr>
                <w:rFonts w:hint="eastAsia" w:ascii="Arial" w:hAnsi="Arial" w:eastAsia="宋体" w:cs="Arial"/>
                <w:b/>
                <w:snapToGrid w:val="0"/>
                <w:sz w:val="24"/>
                <w:szCs w:val="24"/>
                <w:u w:val="single"/>
                <w:lang w:eastAsia="zh-CN"/>
              </w:rPr>
              <w:t>科学和工程实验室办公室最终指南</w:t>
            </w:r>
            <w:r>
              <w:rPr>
                <w:rFonts w:ascii="Arial" w:hAnsi="Arial" w:eastAsia="宋体" w:cs="Arial"/>
                <w:b/>
                <w:snapToGrid w:val="0"/>
                <w:sz w:val="24"/>
                <w:szCs w:val="24"/>
                <w:lang w:eastAsia="zh-CN"/>
              </w:rPr>
              <w:t xml:space="preserve"> (</w:t>
            </w:r>
            <w:r>
              <w:rPr>
                <w:rFonts w:ascii="Arial" w:hAnsi="Arial" w:eastAsia="宋体" w:cs="Arial"/>
                <w:b/>
                <w:snapToGrid w:val="0"/>
                <w:sz w:val="24"/>
                <w:szCs w:val="24"/>
                <w:u w:val="single"/>
              </w:rPr>
              <w:t>/MedicalDevices/Device RegulationandGuidance/Guidance Documents/ucm070277.htm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4450211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0AC855BF">
            <w:pPr>
              <w:topLinePunct/>
              <w:adjustRightInd w:val="0"/>
              <w:snapToGrid w:val="0"/>
              <w:spacing w:before="224" w:beforeLines="75" w:line="360" w:lineRule="auto"/>
              <w:rPr>
                <w:rFonts w:ascii="Arial" w:hAnsi="Arial" w:eastAsia="宋体" w:cs="Arial"/>
                <w:snapToGrid w:val="0"/>
                <w:sz w:val="24"/>
                <w:szCs w:val="24"/>
              </w:rPr>
            </w:pPr>
            <w:r>
              <w:fldChar w:fldCharType="begin"/>
            </w:r>
            <w:r>
              <w:instrText xml:space="preserve"> HYPERLINK "https://www.fda.gov/MedicalDevices/DeviceRegulationandGuidance/GuidanceDocuments/ucm407274.htm" </w:instrText>
            </w:r>
            <w:r>
              <w:fldChar w:fldCharType="separate"/>
            </w:r>
            <w:r>
              <w:rPr>
                <w:rFonts w:hint="eastAsia" w:ascii="Arial" w:hAnsi="Arial" w:eastAsia="宋体" w:cs="Arial"/>
                <w:b/>
                <w:snapToGrid w:val="0"/>
                <w:sz w:val="24"/>
                <w:szCs w:val="24"/>
                <w:u w:val="single"/>
                <w:lang w:eastAsia="zh-CN"/>
              </w:rPr>
              <w:t>指南草案</w:t>
            </w:r>
            <w:r>
              <w:rPr>
                <w:rFonts w:ascii="Arial" w:hAnsi="Arial" w:eastAsia="宋体" w:cs="Arial"/>
                <w:b/>
                <w:snapToGrid w:val="0"/>
                <w:sz w:val="24"/>
                <w:szCs w:val="24"/>
              </w:rPr>
              <w:t xml:space="preserve"> </w:t>
            </w:r>
            <w:r>
              <w:rPr>
                <w:rFonts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Documents/ucm407274.htm</w:t>
            </w:r>
            <w:r>
              <w:rPr>
                <w:rFonts w:ascii="Arial" w:hAnsi="Arial" w:eastAsia="宋体" w:cs="Arial"/>
                <w:b/>
                <w:snapToGrid w:val="0"/>
                <w:sz w:val="24"/>
                <w:szCs w:val="24"/>
                <w:lang w:eastAsia="zh-CN"/>
              </w:rPr>
              <w:t>)</w:t>
            </w:r>
            <w:r>
              <w:rPr>
                <w:rFonts w:ascii="Arial" w:hAnsi="Arial" w:eastAsia="宋体" w:cs="Arial"/>
                <w:b/>
                <w:snapToGrid w:val="0"/>
                <w:sz w:val="24"/>
                <w:szCs w:val="24"/>
                <w:lang w:eastAsia="zh-CN"/>
              </w:rPr>
              <w:fldChar w:fldCharType="end"/>
            </w:r>
          </w:p>
        </w:tc>
      </w:tr>
      <w:tr w14:paraId="2217F50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524D948A">
            <w:pPr>
              <w:topLinePunct/>
              <w:adjustRightInd w:val="0"/>
              <w:snapToGrid w:val="0"/>
              <w:spacing w:before="224" w:beforeLines="75" w:line="360" w:lineRule="auto"/>
              <w:rPr>
                <w:rFonts w:ascii="Arial" w:hAnsi="Arial" w:eastAsia="宋体" w:cs="Arial"/>
                <w:snapToGrid w:val="0"/>
                <w:sz w:val="24"/>
                <w:szCs w:val="24"/>
                <w:lang w:eastAsia="zh-CN"/>
              </w:rPr>
            </w:pPr>
            <w:r>
              <w:fldChar w:fldCharType="begin"/>
            </w:r>
            <w:r>
              <w:instrText xml:space="preserve"> HYPERLINK "https://www.fda.gov/MedicalDevices/DeviceRegulationandGuidance/GuidanceDocuments/ucm283507.htm" </w:instrText>
            </w:r>
            <w:r>
              <w:fldChar w:fldCharType="separate"/>
            </w:r>
            <w:r>
              <w:rPr>
                <w:rFonts w:hint="eastAsia" w:ascii="Arial" w:hAnsi="Arial" w:eastAsia="宋体" w:cs="Arial"/>
                <w:b/>
                <w:snapToGrid w:val="0"/>
                <w:sz w:val="24"/>
                <w:szCs w:val="24"/>
                <w:u w:val="single"/>
                <w:lang w:eastAsia="zh-CN"/>
              </w:rPr>
              <w:t>辐射散发产品指南</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Documents/ucm283507.htm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r w14:paraId="0A023C4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5000" w:type="pct"/>
          </w:tcPr>
          <w:p w14:paraId="4A3B3657">
            <w:pPr>
              <w:topLinePunct/>
              <w:adjustRightInd w:val="0"/>
              <w:snapToGrid w:val="0"/>
              <w:spacing w:before="224" w:beforeLines="75" w:line="360" w:lineRule="auto"/>
              <w:rPr>
                <w:rFonts w:ascii="Arial" w:hAnsi="Arial" w:eastAsia="宋体" w:cs="Arial"/>
                <w:snapToGrid w:val="0"/>
                <w:sz w:val="24"/>
                <w:szCs w:val="24"/>
                <w:lang w:eastAsia="zh-CN"/>
              </w:rPr>
            </w:pPr>
            <w:r>
              <w:fldChar w:fldCharType="begin"/>
            </w:r>
            <w:r>
              <w:instrText xml:space="preserve"> HYPERLINK "https://www.fda.gov/MedicalDevices/DeviceRegulationandGuidance/GuidanceDocuments/ucm425025.htm" </w:instrText>
            </w:r>
            <w:r>
              <w:fldChar w:fldCharType="separate"/>
            </w:r>
            <w:r>
              <w:rPr>
                <w:rFonts w:hint="eastAsia" w:ascii="Arial" w:hAnsi="Arial" w:eastAsia="宋体" w:cs="Arial"/>
                <w:b/>
                <w:snapToGrid w:val="0"/>
                <w:sz w:val="24"/>
                <w:szCs w:val="24"/>
                <w:u w:val="single"/>
                <w:lang w:eastAsia="zh-CN"/>
              </w:rPr>
              <w:t>撤回指南</w:t>
            </w:r>
            <w:r>
              <w:rPr>
                <w:rFonts w:ascii="Arial" w:hAnsi="Arial" w:eastAsia="宋体" w:cs="Arial"/>
                <w:b/>
                <w:snapToGrid w:val="0"/>
                <w:sz w:val="24"/>
                <w:szCs w:val="24"/>
              </w:rPr>
              <w:t xml:space="preserve"> </w:t>
            </w:r>
            <w:r>
              <w:rPr>
                <w:rFonts w:hint="eastAsia" w:ascii="Arial" w:hAnsi="Arial" w:eastAsia="宋体" w:cs="Arial"/>
                <w:b/>
                <w:snapToGrid w:val="0"/>
                <w:sz w:val="24"/>
                <w:szCs w:val="24"/>
                <w:lang w:eastAsia="zh-CN"/>
              </w:rPr>
              <w:t>(</w:t>
            </w:r>
            <w:r>
              <w:rPr>
                <w:rFonts w:ascii="Arial" w:hAnsi="Arial" w:eastAsia="宋体" w:cs="Arial"/>
                <w:b/>
                <w:snapToGrid w:val="0"/>
                <w:sz w:val="24"/>
                <w:szCs w:val="24"/>
                <w:u w:val="single"/>
              </w:rPr>
              <w:t>/MedicalDevices/Device RegulationandGuidance/Guidance Documents/ucm425025.htm</w:t>
            </w:r>
            <w:r>
              <w:rPr>
                <w:rFonts w:hint="eastAsia" w:ascii="Arial" w:hAnsi="Arial" w:eastAsia="宋体" w:cs="Arial"/>
                <w:b/>
                <w:snapToGrid w:val="0"/>
                <w:sz w:val="24"/>
                <w:szCs w:val="24"/>
                <w:lang w:eastAsia="zh-CN"/>
              </w:rPr>
              <w:t>)</w:t>
            </w:r>
            <w:r>
              <w:rPr>
                <w:rFonts w:hint="eastAsia" w:ascii="Arial" w:hAnsi="Arial" w:eastAsia="宋体" w:cs="Arial"/>
                <w:b/>
                <w:snapToGrid w:val="0"/>
                <w:sz w:val="24"/>
                <w:szCs w:val="24"/>
                <w:lang w:eastAsia="zh-CN"/>
              </w:rPr>
              <w:fldChar w:fldCharType="end"/>
            </w:r>
          </w:p>
        </w:tc>
      </w:tr>
    </w:tbl>
    <w:p w14:paraId="4E37C7CD">
      <w:pPr>
        <w:topLinePunct/>
        <w:adjustRightInd w:val="0"/>
        <w:snapToGrid w:val="0"/>
        <w:spacing w:after="224" w:afterLines="75" w:line="360" w:lineRule="auto"/>
        <w:jc w:val="both"/>
        <w:rPr>
          <w:rFonts w:ascii="Arial" w:hAnsi="Arial" w:eastAsia="宋体" w:cs="Arial"/>
          <w:snapToGrid w:val="0"/>
          <w:sz w:val="24"/>
          <w:szCs w:val="20"/>
          <w:lang w:eastAsia="zh-CN"/>
        </w:rPr>
      </w:pPr>
    </w:p>
    <w:p w14:paraId="71090A9C">
      <w:pPr>
        <w:topLinePunct/>
        <w:adjustRightInd w:val="0"/>
        <w:snapToGrid w:val="0"/>
        <w:spacing w:after="224" w:afterLines="75" w:line="360" w:lineRule="auto"/>
        <w:jc w:val="both"/>
        <w:rPr>
          <w:rFonts w:hint="eastAsia" w:eastAsia="宋体"/>
          <w:lang w:eastAsia="zh-CN"/>
        </w:rPr>
      </w:pPr>
    </w:p>
    <w:p w14:paraId="3B7F7C56">
      <w:pPr>
        <w:topLinePunct/>
        <w:adjustRightInd w:val="0"/>
        <w:snapToGrid w:val="0"/>
        <w:spacing w:after="224" w:afterLines="75" w:line="360" w:lineRule="auto"/>
        <w:jc w:val="center"/>
        <w:rPr>
          <w:rFonts w:hint="eastAsia" w:eastAsia="宋体"/>
          <w:lang w:eastAsia="zh-CN"/>
        </w:rPr>
      </w:pPr>
    </w:p>
    <w:p w14:paraId="10E6EDA7">
      <w:pPr>
        <w:topLinePunct/>
        <w:adjustRightInd w:val="0"/>
        <w:snapToGrid w:val="0"/>
        <w:spacing w:after="224" w:afterLines="75"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38"/>
      <w:pgMar w:top="1134" w:right="1440" w:bottom="1134" w:left="1440" w:header="283" w:footer="283"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6104">
    <w:pPr>
      <w:rPr>
        <w:rFonts w:ascii="Arial" w:hAnsi="Arial" w:eastAsia="宋体" w:cs="Arial"/>
        <w:sz w:val="16"/>
        <w:szCs w:val="18"/>
        <w:lang w:eastAsia="zh-CN"/>
      </w:rPr>
    </w:pPr>
  </w:p>
  <w:p w14:paraId="7CB500CF">
    <w:pPr>
      <w:tabs>
        <w:tab w:val="right" w:pos="9015"/>
      </w:tabs>
      <w:spacing w:line="184" w:lineRule="exact"/>
      <w:ind w:left="20"/>
      <w:rPr>
        <w:rFonts w:ascii="Arial" w:hAnsi="Arial" w:cs="Arial"/>
        <w:sz w:val="16"/>
        <w:szCs w:val="18"/>
        <w:lang w:eastAsia="zh-CN"/>
      </w:rPr>
    </w:pPr>
    <w:r>
      <w:rPr>
        <w:rFonts w:ascii="Arial" w:hAnsi="Arial" w:cs="Arial"/>
        <w:sz w:val="16"/>
        <w:szCs w:val="18"/>
      </w:rPr>
      <w:t>https://</w:t>
    </w:r>
    <w:r>
      <w:fldChar w:fldCharType="begin"/>
    </w:r>
    <w:r>
      <w:instrText xml:space="preserve"> HYPERLINK "http://www.fda.gov/MedicalDevices/DeviceRegulationandGuidance/GuidanceDocuments/ucm080868.htm" \h </w:instrText>
    </w:r>
    <w:r>
      <w:fldChar w:fldCharType="separate"/>
    </w:r>
    <w:r>
      <w:rPr>
        <w:rFonts w:ascii="Arial" w:hAnsi="Arial" w:cs="Arial"/>
        <w:sz w:val="16"/>
        <w:szCs w:val="18"/>
      </w:rPr>
      <w:t>www.fda.gov/MedicalDevices/DeviceRegulationandGuidance/GuidanceDocuments/ucm080868.htm</w:t>
    </w:r>
    <w:r>
      <w:rPr>
        <w:rFonts w:ascii="Arial" w:hAnsi="Arial" w:cs="Arial"/>
        <w:sz w:val="16"/>
        <w:szCs w:val="18"/>
      </w:rPr>
      <w:fldChar w:fldCharType="end"/>
    </w:r>
    <w:r>
      <w:rPr>
        <w:rFonts w:hint="eastAsia" w:ascii="Arial" w:hAnsi="Arial" w:cs="Arial"/>
        <w:sz w:val="16"/>
        <w:szCs w:val="18"/>
        <w:lang w:eastAsia="zh-CN"/>
      </w:rPr>
      <w:tab/>
    </w:r>
    <w:r>
      <w:rPr>
        <w:rFonts w:ascii="Arial" w:hAnsi="Arial" w:cs="Arial"/>
        <w:sz w:val="16"/>
        <w:szCs w:val="18"/>
        <w:lang w:eastAsia="zh-CN"/>
      </w:rPr>
      <w:fldChar w:fldCharType="begin"/>
    </w:r>
    <w:r>
      <w:rPr>
        <w:rFonts w:ascii="Arial" w:hAnsi="Arial" w:cs="Arial"/>
        <w:sz w:val="16"/>
        <w:szCs w:val="18"/>
        <w:lang w:eastAsia="zh-CN"/>
      </w:rPr>
      <w:instrText xml:space="preserve">PAGE  \* Arabic  \* MERGEFORMAT</w:instrText>
    </w:r>
    <w:r>
      <w:rPr>
        <w:rFonts w:ascii="Arial" w:hAnsi="Arial" w:cs="Arial"/>
        <w:sz w:val="16"/>
        <w:szCs w:val="18"/>
        <w:lang w:eastAsia="zh-CN"/>
      </w:rPr>
      <w:fldChar w:fldCharType="separate"/>
    </w:r>
    <w:r>
      <w:rPr>
        <w:rFonts w:ascii="Arial" w:hAnsi="Arial" w:cs="Arial"/>
        <w:sz w:val="16"/>
        <w:szCs w:val="18"/>
        <w:lang w:eastAsia="zh-CN"/>
      </w:rPr>
      <w:t>10</w:t>
    </w:r>
    <w:r>
      <w:rPr>
        <w:rFonts w:ascii="Arial" w:hAnsi="Arial" w:cs="Arial"/>
        <w:sz w:val="16"/>
        <w:szCs w:val="18"/>
        <w:lang w:eastAsia="zh-CN"/>
      </w:rPr>
      <w:fldChar w:fldCharType="end"/>
    </w:r>
    <w:r>
      <w:rPr>
        <w:rFonts w:ascii="Arial" w:hAnsi="Arial" w:cs="Arial"/>
        <w:sz w:val="16"/>
        <w:szCs w:val="18"/>
        <w:lang w:eastAsia="zh-CN"/>
      </w:rPr>
      <w:t>/</w:t>
    </w:r>
    <w:r>
      <w:rPr>
        <w:rFonts w:ascii="Arial" w:hAnsi="Arial" w:cs="Arial"/>
        <w:sz w:val="16"/>
        <w:szCs w:val="18"/>
        <w:lang w:eastAsia="zh-CN"/>
      </w:rPr>
      <w:fldChar w:fldCharType="begin"/>
    </w:r>
    <w:r>
      <w:rPr>
        <w:rFonts w:ascii="Arial" w:hAnsi="Arial" w:cs="Arial"/>
        <w:sz w:val="16"/>
        <w:szCs w:val="18"/>
        <w:lang w:eastAsia="zh-CN"/>
      </w:rPr>
      <w:instrText xml:space="preserve">NUMPAGES  \* Arabic  \* MERGEFORMAT</w:instrText>
    </w:r>
    <w:r>
      <w:rPr>
        <w:rFonts w:ascii="Arial" w:hAnsi="Arial" w:cs="Arial"/>
        <w:sz w:val="16"/>
        <w:szCs w:val="18"/>
        <w:lang w:eastAsia="zh-CN"/>
      </w:rPr>
      <w:fldChar w:fldCharType="separate"/>
    </w:r>
    <w:r>
      <w:rPr>
        <w:rFonts w:ascii="Arial" w:hAnsi="Arial" w:cs="Arial"/>
        <w:sz w:val="16"/>
        <w:szCs w:val="18"/>
        <w:lang w:eastAsia="zh-CN"/>
      </w:rPr>
      <w:t>10</w:t>
    </w:r>
    <w:r>
      <w:rPr>
        <w:rFonts w:ascii="Arial" w:hAnsi="Arial" w:cs="Arial"/>
        <w:sz w:val="16"/>
        <w:szCs w:val="18"/>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E930">
    <w:pPr>
      <w:topLinePunct/>
      <w:adjustRightInd w:val="0"/>
      <w:snapToGrid w:val="0"/>
      <w:spacing w:after="180" w:afterLines="75" w:line="288" w:lineRule="auto"/>
      <w:jc w:val="both"/>
      <w:rPr>
        <w:rFonts w:ascii="Arial" w:hAnsi="Arial" w:eastAsia="宋体" w:cs="Arial"/>
        <w:snapToGrid w:val="0"/>
        <w:sz w:val="16"/>
        <w:szCs w:val="20"/>
        <w:lang w:eastAsia="zh-CN"/>
      </w:rPr>
    </w:pPr>
    <w:r>
      <w:rPr>
        <w:rFonts w:ascii="Arial" w:hAnsi="Arial" w:eastAsia="宋体" w:cs="Arial"/>
        <w:snapToGrid w:val="0"/>
        <w:sz w:val="16"/>
        <w:szCs w:val="20"/>
        <w:lang w:eastAsia="zh-CN"/>
      </w:rPr>
      <w:t>2017/8/10   指导性文件 (医疗器械和辐射产品) &gt; 尿动力学／尿流率测定系统上市前通知内容指南</w:t>
    </w:r>
    <w:r>
      <w:rPr>
        <w:rFonts w:hint="eastAsia" w:ascii="Arial" w:hAnsi="Arial" w:eastAsia="宋体" w:cs="Arial"/>
        <w:snapToGrid w:val="0"/>
        <w:sz w:val="16"/>
        <w:szCs w:val="20"/>
        <w:lang w:eastAsia="zh-CN"/>
      </w:rPr>
      <w:t>（仅文本）</w:t>
    </w:r>
  </w:p>
  <w:p w14:paraId="755700EF">
    <w:pPr>
      <w:pStyle w:val="5"/>
      <w:pBdr>
        <w:bottom w:val="none" w:color="auto" w:sz="0" w:space="0"/>
      </w:pBdr>
      <w:rPr>
        <w:rFonts w:ascii="Arial" w:hAnsi="Arial" w:cs="Arial"/>
        <w:sz w:val="10"/>
        <w:lang w:eastAsia="zh-CN"/>
      </w:rPr>
    </w:pPr>
  </w:p>
  <w:p w14:paraId="7C22F0CB">
    <w:pPr>
      <w:pStyle w:val="5"/>
      <w:pBdr>
        <w:bottom w:val="none" w:color="auto" w:sz="0" w:space="0"/>
      </w:pBdr>
      <w:rPr>
        <w:rFonts w:ascii="Arial" w:hAnsi="Arial" w:cs="Arial"/>
        <w:sz w:val="1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60345"/>
    <w:multiLevelType w:val="multilevel"/>
    <w:tmpl w:val="58160345"/>
    <w:lvl w:ilvl="0" w:tentative="0">
      <w:start w:val="1"/>
      <w:numFmt w:val="upperRoman"/>
      <w:lvlText w:val="%1."/>
      <w:lvlJc w:val="left"/>
      <w:pPr>
        <w:ind w:left="116" w:hanging="641"/>
      </w:pPr>
      <w:rPr>
        <w:rFonts w:hint="default" w:ascii="Arial" w:hAnsi="Arial" w:eastAsia="宋体" w:cs="Arial"/>
        <w:w w:val="102"/>
        <w:sz w:val="24"/>
        <w:szCs w:val="25"/>
      </w:rPr>
    </w:lvl>
    <w:lvl w:ilvl="1" w:tentative="0">
      <w:start w:val="1"/>
      <w:numFmt w:val="upperLetter"/>
      <w:lvlText w:val="%2."/>
      <w:lvlJc w:val="left"/>
      <w:pPr>
        <w:ind w:left="116" w:hanging="513"/>
      </w:pPr>
      <w:rPr>
        <w:rFonts w:hint="default" w:ascii="Arial" w:hAnsi="Arial" w:eastAsia="宋体" w:cs="Arial"/>
        <w:w w:val="102"/>
        <w:sz w:val="25"/>
        <w:szCs w:val="25"/>
      </w:rPr>
    </w:lvl>
    <w:lvl w:ilvl="2" w:tentative="0">
      <w:start w:val="1"/>
      <w:numFmt w:val="decimal"/>
      <w:lvlText w:val="%3."/>
      <w:lvlJc w:val="left"/>
      <w:pPr>
        <w:ind w:left="116" w:hanging="513"/>
      </w:pPr>
      <w:rPr>
        <w:rFonts w:hint="default" w:ascii="Arial" w:hAnsi="Arial" w:eastAsia="宋体" w:cs="Arial"/>
        <w:w w:val="102"/>
        <w:sz w:val="24"/>
        <w:szCs w:val="25"/>
      </w:rPr>
    </w:lvl>
    <w:lvl w:ilvl="3" w:tentative="0">
      <w:start w:val="1"/>
      <w:numFmt w:val="bullet"/>
      <w:lvlText w:val="•"/>
      <w:lvlJc w:val="left"/>
      <w:pPr>
        <w:ind w:left="3417" w:hanging="513"/>
      </w:pPr>
      <w:rPr>
        <w:rFonts w:hint="default"/>
      </w:rPr>
    </w:lvl>
    <w:lvl w:ilvl="4" w:tentative="0">
      <w:start w:val="1"/>
      <w:numFmt w:val="bullet"/>
      <w:lvlText w:val="•"/>
      <w:lvlJc w:val="left"/>
      <w:pPr>
        <w:ind w:left="4517" w:hanging="513"/>
      </w:pPr>
      <w:rPr>
        <w:rFonts w:hint="default"/>
      </w:rPr>
    </w:lvl>
    <w:lvl w:ilvl="5" w:tentative="0">
      <w:start w:val="1"/>
      <w:numFmt w:val="bullet"/>
      <w:lvlText w:val="•"/>
      <w:lvlJc w:val="left"/>
      <w:pPr>
        <w:ind w:left="5618" w:hanging="513"/>
      </w:pPr>
      <w:rPr>
        <w:rFonts w:hint="default"/>
      </w:rPr>
    </w:lvl>
    <w:lvl w:ilvl="6" w:tentative="0">
      <w:start w:val="1"/>
      <w:numFmt w:val="bullet"/>
      <w:lvlText w:val="•"/>
      <w:lvlJc w:val="left"/>
      <w:pPr>
        <w:ind w:left="6718" w:hanging="513"/>
      </w:pPr>
      <w:rPr>
        <w:rFonts w:hint="default"/>
      </w:rPr>
    </w:lvl>
    <w:lvl w:ilvl="7" w:tentative="0">
      <w:start w:val="1"/>
      <w:numFmt w:val="bullet"/>
      <w:lvlText w:val="•"/>
      <w:lvlJc w:val="left"/>
      <w:pPr>
        <w:ind w:left="7818" w:hanging="513"/>
      </w:pPr>
      <w:rPr>
        <w:rFonts w:hint="default"/>
      </w:rPr>
    </w:lvl>
    <w:lvl w:ilvl="8" w:tentative="0">
      <w:start w:val="1"/>
      <w:numFmt w:val="bullet"/>
      <w:lvlText w:val="•"/>
      <w:lvlJc w:val="left"/>
      <w:pPr>
        <w:ind w:left="8919" w:hanging="5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720"/>
  <w:drawingGridHorizontalSpacing w:val="110"/>
  <w:drawingGridVerticalSpacing w:val="299"/>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2F"/>
    <w:rsid w:val="000043E1"/>
    <w:rsid w:val="00015207"/>
    <w:rsid w:val="00017459"/>
    <w:rsid w:val="00024FE4"/>
    <w:rsid w:val="000300DB"/>
    <w:rsid w:val="00046B64"/>
    <w:rsid w:val="00051BDF"/>
    <w:rsid w:val="000610FF"/>
    <w:rsid w:val="00065D72"/>
    <w:rsid w:val="00066E69"/>
    <w:rsid w:val="00070DFE"/>
    <w:rsid w:val="00075337"/>
    <w:rsid w:val="000755D7"/>
    <w:rsid w:val="00080947"/>
    <w:rsid w:val="00085252"/>
    <w:rsid w:val="000A7BF2"/>
    <w:rsid w:val="000B1363"/>
    <w:rsid w:val="000B270B"/>
    <w:rsid w:val="000B49F6"/>
    <w:rsid w:val="000B7216"/>
    <w:rsid w:val="000C152B"/>
    <w:rsid w:val="000C1FCB"/>
    <w:rsid w:val="000D1916"/>
    <w:rsid w:val="000D2D67"/>
    <w:rsid w:val="000E2EE4"/>
    <w:rsid w:val="000F1B4D"/>
    <w:rsid w:val="000F27BC"/>
    <w:rsid w:val="000F360C"/>
    <w:rsid w:val="00100231"/>
    <w:rsid w:val="001030A6"/>
    <w:rsid w:val="001043F1"/>
    <w:rsid w:val="0010525A"/>
    <w:rsid w:val="00105B59"/>
    <w:rsid w:val="00112E7D"/>
    <w:rsid w:val="00117CD2"/>
    <w:rsid w:val="00126496"/>
    <w:rsid w:val="00126577"/>
    <w:rsid w:val="00142712"/>
    <w:rsid w:val="00144B63"/>
    <w:rsid w:val="00153923"/>
    <w:rsid w:val="001620E1"/>
    <w:rsid w:val="001662FE"/>
    <w:rsid w:val="00172552"/>
    <w:rsid w:val="00175027"/>
    <w:rsid w:val="0019209C"/>
    <w:rsid w:val="00193ECC"/>
    <w:rsid w:val="001963EC"/>
    <w:rsid w:val="001A360C"/>
    <w:rsid w:val="001A6640"/>
    <w:rsid w:val="001B1157"/>
    <w:rsid w:val="001B6E64"/>
    <w:rsid w:val="001C69A1"/>
    <w:rsid w:val="001D272B"/>
    <w:rsid w:val="001D3D23"/>
    <w:rsid w:val="001D5D6C"/>
    <w:rsid w:val="001E179B"/>
    <w:rsid w:val="001E2EAD"/>
    <w:rsid w:val="001E417E"/>
    <w:rsid w:val="001F153C"/>
    <w:rsid w:val="001F3BBC"/>
    <w:rsid w:val="001F7A4D"/>
    <w:rsid w:val="0020028B"/>
    <w:rsid w:val="00202988"/>
    <w:rsid w:val="002040CC"/>
    <w:rsid w:val="002065ED"/>
    <w:rsid w:val="0021054A"/>
    <w:rsid w:val="002108BA"/>
    <w:rsid w:val="00214A27"/>
    <w:rsid w:val="00215BEC"/>
    <w:rsid w:val="00215E1C"/>
    <w:rsid w:val="002178BA"/>
    <w:rsid w:val="00230198"/>
    <w:rsid w:val="0024234F"/>
    <w:rsid w:val="00242F81"/>
    <w:rsid w:val="00244199"/>
    <w:rsid w:val="0024462F"/>
    <w:rsid w:val="00246B43"/>
    <w:rsid w:val="0025392F"/>
    <w:rsid w:val="00254DC0"/>
    <w:rsid w:val="002648D5"/>
    <w:rsid w:val="00293DCC"/>
    <w:rsid w:val="00295477"/>
    <w:rsid w:val="00295F48"/>
    <w:rsid w:val="0029663F"/>
    <w:rsid w:val="002A59FB"/>
    <w:rsid w:val="002A5E37"/>
    <w:rsid w:val="002A6BDE"/>
    <w:rsid w:val="002B493B"/>
    <w:rsid w:val="002B5BF6"/>
    <w:rsid w:val="002C53DA"/>
    <w:rsid w:val="002C6D6F"/>
    <w:rsid w:val="002D155E"/>
    <w:rsid w:val="002D42E8"/>
    <w:rsid w:val="002E3947"/>
    <w:rsid w:val="002E3DE8"/>
    <w:rsid w:val="002E658E"/>
    <w:rsid w:val="002F216A"/>
    <w:rsid w:val="002F3B97"/>
    <w:rsid w:val="002F6AE0"/>
    <w:rsid w:val="00305DDC"/>
    <w:rsid w:val="00312D55"/>
    <w:rsid w:val="0031314D"/>
    <w:rsid w:val="00316972"/>
    <w:rsid w:val="0032213A"/>
    <w:rsid w:val="003246A6"/>
    <w:rsid w:val="00325970"/>
    <w:rsid w:val="00330D40"/>
    <w:rsid w:val="00332575"/>
    <w:rsid w:val="00334103"/>
    <w:rsid w:val="00337AF7"/>
    <w:rsid w:val="003529F3"/>
    <w:rsid w:val="00364A64"/>
    <w:rsid w:val="003674EF"/>
    <w:rsid w:val="00371D1E"/>
    <w:rsid w:val="003831BF"/>
    <w:rsid w:val="00393835"/>
    <w:rsid w:val="003A2AD6"/>
    <w:rsid w:val="003B435B"/>
    <w:rsid w:val="003B5653"/>
    <w:rsid w:val="003B6CEC"/>
    <w:rsid w:val="003B700E"/>
    <w:rsid w:val="003C1F83"/>
    <w:rsid w:val="003C6D17"/>
    <w:rsid w:val="003D6A6D"/>
    <w:rsid w:val="003E4611"/>
    <w:rsid w:val="003F204C"/>
    <w:rsid w:val="00403584"/>
    <w:rsid w:val="00404C1C"/>
    <w:rsid w:val="0040600B"/>
    <w:rsid w:val="00410B93"/>
    <w:rsid w:val="00424F1E"/>
    <w:rsid w:val="00424F78"/>
    <w:rsid w:val="004343B3"/>
    <w:rsid w:val="00443CCA"/>
    <w:rsid w:val="0044400D"/>
    <w:rsid w:val="00444999"/>
    <w:rsid w:val="00453075"/>
    <w:rsid w:val="00472199"/>
    <w:rsid w:val="00476175"/>
    <w:rsid w:val="00476C8E"/>
    <w:rsid w:val="00477344"/>
    <w:rsid w:val="00484922"/>
    <w:rsid w:val="00485480"/>
    <w:rsid w:val="00485E92"/>
    <w:rsid w:val="004862E2"/>
    <w:rsid w:val="004871CE"/>
    <w:rsid w:val="00497DCE"/>
    <w:rsid w:val="004A5D66"/>
    <w:rsid w:val="004A642C"/>
    <w:rsid w:val="004B5BFD"/>
    <w:rsid w:val="004B7B1E"/>
    <w:rsid w:val="004C6D43"/>
    <w:rsid w:val="004D2BF4"/>
    <w:rsid w:val="004D68FA"/>
    <w:rsid w:val="004E0544"/>
    <w:rsid w:val="004E2F08"/>
    <w:rsid w:val="004E3C12"/>
    <w:rsid w:val="004E6B31"/>
    <w:rsid w:val="004F2A87"/>
    <w:rsid w:val="004F3739"/>
    <w:rsid w:val="004F5977"/>
    <w:rsid w:val="004F66A4"/>
    <w:rsid w:val="004F67D2"/>
    <w:rsid w:val="004F72E2"/>
    <w:rsid w:val="00501187"/>
    <w:rsid w:val="005015CD"/>
    <w:rsid w:val="00504575"/>
    <w:rsid w:val="005046A9"/>
    <w:rsid w:val="00506641"/>
    <w:rsid w:val="0051064B"/>
    <w:rsid w:val="00513E81"/>
    <w:rsid w:val="00525E77"/>
    <w:rsid w:val="00530EB0"/>
    <w:rsid w:val="00532482"/>
    <w:rsid w:val="00534A32"/>
    <w:rsid w:val="00545E59"/>
    <w:rsid w:val="00547A91"/>
    <w:rsid w:val="00552848"/>
    <w:rsid w:val="00554F52"/>
    <w:rsid w:val="0055785F"/>
    <w:rsid w:val="00562D7B"/>
    <w:rsid w:val="00563470"/>
    <w:rsid w:val="00567B62"/>
    <w:rsid w:val="00570847"/>
    <w:rsid w:val="005733DA"/>
    <w:rsid w:val="00581E39"/>
    <w:rsid w:val="005829B2"/>
    <w:rsid w:val="00584FBC"/>
    <w:rsid w:val="005903B6"/>
    <w:rsid w:val="00593A2C"/>
    <w:rsid w:val="0059450F"/>
    <w:rsid w:val="005B388A"/>
    <w:rsid w:val="005B5E04"/>
    <w:rsid w:val="005C107C"/>
    <w:rsid w:val="005C769B"/>
    <w:rsid w:val="005D0161"/>
    <w:rsid w:val="005D7DDC"/>
    <w:rsid w:val="005E252D"/>
    <w:rsid w:val="005E3A8E"/>
    <w:rsid w:val="005E4281"/>
    <w:rsid w:val="00603D61"/>
    <w:rsid w:val="00611BE0"/>
    <w:rsid w:val="00616617"/>
    <w:rsid w:val="006176E3"/>
    <w:rsid w:val="00617CFF"/>
    <w:rsid w:val="006330D1"/>
    <w:rsid w:val="006435D8"/>
    <w:rsid w:val="00644700"/>
    <w:rsid w:val="006469E5"/>
    <w:rsid w:val="00654B93"/>
    <w:rsid w:val="00657BE3"/>
    <w:rsid w:val="00661D15"/>
    <w:rsid w:val="00671B51"/>
    <w:rsid w:val="00677B25"/>
    <w:rsid w:val="00681591"/>
    <w:rsid w:val="00684AB8"/>
    <w:rsid w:val="00685595"/>
    <w:rsid w:val="00686021"/>
    <w:rsid w:val="00693658"/>
    <w:rsid w:val="00694E02"/>
    <w:rsid w:val="006A1EDB"/>
    <w:rsid w:val="006A290D"/>
    <w:rsid w:val="006A36FC"/>
    <w:rsid w:val="006B08F8"/>
    <w:rsid w:val="006B4C79"/>
    <w:rsid w:val="006D1B61"/>
    <w:rsid w:val="006D44A3"/>
    <w:rsid w:val="006D5E95"/>
    <w:rsid w:val="006E1F7D"/>
    <w:rsid w:val="006E4599"/>
    <w:rsid w:val="006E5153"/>
    <w:rsid w:val="006E7AFE"/>
    <w:rsid w:val="006F4E7A"/>
    <w:rsid w:val="00717E69"/>
    <w:rsid w:val="00735A51"/>
    <w:rsid w:val="007416F4"/>
    <w:rsid w:val="007433FC"/>
    <w:rsid w:val="00750D7E"/>
    <w:rsid w:val="00773A88"/>
    <w:rsid w:val="007759C9"/>
    <w:rsid w:val="00775A08"/>
    <w:rsid w:val="007814EA"/>
    <w:rsid w:val="00786F94"/>
    <w:rsid w:val="007A05EE"/>
    <w:rsid w:val="007B0A54"/>
    <w:rsid w:val="007B193F"/>
    <w:rsid w:val="007B2542"/>
    <w:rsid w:val="007B5EA9"/>
    <w:rsid w:val="007B722E"/>
    <w:rsid w:val="007C34D6"/>
    <w:rsid w:val="007D3447"/>
    <w:rsid w:val="007D7BD5"/>
    <w:rsid w:val="007E1E2F"/>
    <w:rsid w:val="007E229F"/>
    <w:rsid w:val="007F20C8"/>
    <w:rsid w:val="00800785"/>
    <w:rsid w:val="00802C5A"/>
    <w:rsid w:val="0081497F"/>
    <w:rsid w:val="008163C7"/>
    <w:rsid w:val="0081752F"/>
    <w:rsid w:val="008202D5"/>
    <w:rsid w:val="008229EA"/>
    <w:rsid w:val="008322A2"/>
    <w:rsid w:val="0083364C"/>
    <w:rsid w:val="00834891"/>
    <w:rsid w:val="00836373"/>
    <w:rsid w:val="00860D22"/>
    <w:rsid w:val="00872F3A"/>
    <w:rsid w:val="008779F2"/>
    <w:rsid w:val="0088174F"/>
    <w:rsid w:val="0089133D"/>
    <w:rsid w:val="00892E18"/>
    <w:rsid w:val="0089337F"/>
    <w:rsid w:val="00896DF1"/>
    <w:rsid w:val="008B1751"/>
    <w:rsid w:val="008B3137"/>
    <w:rsid w:val="008B4739"/>
    <w:rsid w:val="008B7018"/>
    <w:rsid w:val="008D4F33"/>
    <w:rsid w:val="008D61E8"/>
    <w:rsid w:val="009049C0"/>
    <w:rsid w:val="00905CB9"/>
    <w:rsid w:val="00906B28"/>
    <w:rsid w:val="0091054F"/>
    <w:rsid w:val="00913F2D"/>
    <w:rsid w:val="00920F83"/>
    <w:rsid w:val="00926967"/>
    <w:rsid w:val="009340B0"/>
    <w:rsid w:val="00937975"/>
    <w:rsid w:val="009423CF"/>
    <w:rsid w:val="00951734"/>
    <w:rsid w:val="00954849"/>
    <w:rsid w:val="00955BC4"/>
    <w:rsid w:val="00960D53"/>
    <w:rsid w:val="00961968"/>
    <w:rsid w:val="00965749"/>
    <w:rsid w:val="00973F8F"/>
    <w:rsid w:val="00975BA7"/>
    <w:rsid w:val="00986BE1"/>
    <w:rsid w:val="00987BFC"/>
    <w:rsid w:val="00990DAF"/>
    <w:rsid w:val="0099360A"/>
    <w:rsid w:val="009A1049"/>
    <w:rsid w:val="009B1282"/>
    <w:rsid w:val="009B2A61"/>
    <w:rsid w:val="009B2CBA"/>
    <w:rsid w:val="009B3C61"/>
    <w:rsid w:val="009C1294"/>
    <w:rsid w:val="009C33CB"/>
    <w:rsid w:val="009D0F95"/>
    <w:rsid w:val="009D3880"/>
    <w:rsid w:val="009D5E56"/>
    <w:rsid w:val="009E141F"/>
    <w:rsid w:val="009E4181"/>
    <w:rsid w:val="00A11F32"/>
    <w:rsid w:val="00A15DBA"/>
    <w:rsid w:val="00A1774B"/>
    <w:rsid w:val="00A177FB"/>
    <w:rsid w:val="00A32DA0"/>
    <w:rsid w:val="00A42774"/>
    <w:rsid w:val="00A55249"/>
    <w:rsid w:val="00A607A3"/>
    <w:rsid w:val="00A62246"/>
    <w:rsid w:val="00A65C7F"/>
    <w:rsid w:val="00A80F8E"/>
    <w:rsid w:val="00A81A2B"/>
    <w:rsid w:val="00A85F44"/>
    <w:rsid w:val="00AA355A"/>
    <w:rsid w:val="00AA4678"/>
    <w:rsid w:val="00AA5863"/>
    <w:rsid w:val="00AA618B"/>
    <w:rsid w:val="00AA657B"/>
    <w:rsid w:val="00AB0703"/>
    <w:rsid w:val="00AC2E0A"/>
    <w:rsid w:val="00AD16FB"/>
    <w:rsid w:val="00AD1C86"/>
    <w:rsid w:val="00AD2291"/>
    <w:rsid w:val="00AD4604"/>
    <w:rsid w:val="00AE4590"/>
    <w:rsid w:val="00AE491B"/>
    <w:rsid w:val="00AF6EB1"/>
    <w:rsid w:val="00B01780"/>
    <w:rsid w:val="00B1167B"/>
    <w:rsid w:val="00B1282E"/>
    <w:rsid w:val="00B149FB"/>
    <w:rsid w:val="00B31EF5"/>
    <w:rsid w:val="00B36CCA"/>
    <w:rsid w:val="00B516E5"/>
    <w:rsid w:val="00B52E2F"/>
    <w:rsid w:val="00B540B5"/>
    <w:rsid w:val="00B5489B"/>
    <w:rsid w:val="00B6042D"/>
    <w:rsid w:val="00B60D9E"/>
    <w:rsid w:val="00B72510"/>
    <w:rsid w:val="00B8506C"/>
    <w:rsid w:val="00B913D3"/>
    <w:rsid w:val="00B91728"/>
    <w:rsid w:val="00B94AE7"/>
    <w:rsid w:val="00BA1C7E"/>
    <w:rsid w:val="00BA6687"/>
    <w:rsid w:val="00BB0B3D"/>
    <w:rsid w:val="00BB51E0"/>
    <w:rsid w:val="00BC4128"/>
    <w:rsid w:val="00BC4256"/>
    <w:rsid w:val="00BC615F"/>
    <w:rsid w:val="00BC6CA2"/>
    <w:rsid w:val="00BD4B9A"/>
    <w:rsid w:val="00BD6590"/>
    <w:rsid w:val="00BE1DBC"/>
    <w:rsid w:val="00BE20B2"/>
    <w:rsid w:val="00BE3279"/>
    <w:rsid w:val="00BF0931"/>
    <w:rsid w:val="00BF1674"/>
    <w:rsid w:val="00BF3FD8"/>
    <w:rsid w:val="00BF45C6"/>
    <w:rsid w:val="00C028AF"/>
    <w:rsid w:val="00C0366D"/>
    <w:rsid w:val="00C04C5F"/>
    <w:rsid w:val="00C07127"/>
    <w:rsid w:val="00C1257D"/>
    <w:rsid w:val="00C25DB0"/>
    <w:rsid w:val="00C31F09"/>
    <w:rsid w:val="00C45BCC"/>
    <w:rsid w:val="00C72A9F"/>
    <w:rsid w:val="00C76226"/>
    <w:rsid w:val="00C76EED"/>
    <w:rsid w:val="00C80564"/>
    <w:rsid w:val="00C860D3"/>
    <w:rsid w:val="00C861B5"/>
    <w:rsid w:val="00C91329"/>
    <w:rsid w:val="00C94A88"/>
    <w:rsid w:val="00C964F5"/>
    <w:rsid w:val="00CA20B3"/>
    <w:rsid w:val="00CA7C66"/>
    <w:rsid w:val="00CC7E60"/>
    <w:rsid w:val="00CD5274"/>
    <w:rsid w:val="00CE01FE"/>
    <w:rsid w:val="00CE46F1"/>
    <w:rsid w:val="00CE76C7"/>
    <w:rsid w:val="00CF3CBD"/>
    <w:rsid w:val="00D05E64"/>
    <w:rsid w:val="00D165B5"/>
    <w:rsid w:val="00D21955"/>
    <w:rsid w:val="00D23B89"/>
    <w:rsid w:val="00D250FC"/>
    <w:rsid w:val="00D25472"/>
    <w:rsid w:val="00D26083"/>
    <w:rsid w:val="00D31CEC"/>
    <w:rsid w:val="00D32211"/>
    <w:rsid w:val="00D4124B"/>
    <w:rsid w:val="00D430AC"/>
    <w:rsid w:val="00D620B9"/>
    <w:rsid w:val="00D621DD"/>
    <w:rsid w:val="00D70194"/>
    <w:rsid w:val="00D75785"/>
    <w:rsid w:val="00D81741"/>
    <w:rsid w:val="00D851C7"/>
    <w:rsid w:val="00D85BDA"/>
    <w:rsid w:val="00D92D27"/>
    <w:rsid w:val="00DA03AB"/>
    <w:rsid w:val="00DA1752"/>
    <w:rsid w:val="00DA3BAC"/>
    <w:rsid w:val="00DD1734"/>
    <w:rsid w:val="00DE3457"/>
    <w:rsid w:val="00DE78E4"/>
    <w:rsid w:val="00DF1B56"/>
    <w:rsid w:val="00DF1FBD"/>
    <w:rsid w:val="00DF319D"/>
    <w:rsid w:val="00E14342"/>
    <w:rsid w:val="00E14ABD"/>
    <w:rsid w:val="00E17E67"/>
    <w:rsid w:val="00E20856"/>
    <w:rsid w:val="00E33126"/>
    <w:rsid w:val="00E342BA"/>
    <w:rsid w:val="00E35D79"/>
    <w:rsid w:val="00E4557E"/>
    <w:rsid w:val="00E5591E"/>
    <w:rsid w:val="00E564AD"/>
    <w:rsid w:val="00E6153B"/>
    <w:rsid w:val="00E83288"/>
    <w:rsid w:val="00E91DB1"/>
    <w:rsid w:val="00E9247E"/>
    <w:rsid w:val="00EA0D7E"/>
    <w:rsid w:val="00EA795C"/>
    <w:rsid w:val="00EC18CE"/>
    <w:rsid w:val="00EC5BC5"/>
    <w:rsid w:val="00EC7EF0"/>
    <w:rsid w:val="00ED5785"/>
    <w:rsid w:val="00ED7AE6"/>
    <w:rsid w:val="00EE3122"/>
    <w:rsid w:val="00EF3563"/>
    <w:rsid w:val="00EF4C90"/>
    <w:rsid w:val="00EF5245"/>
    <w:rsid w:val="00EF7FE8"/>
    <w:rsid w:val="00F051C5"/>
    <w:rsid w:val="00F21593"/>
    <w:rsid w:val="00F24D4F"/>
    <w:rsid w:val="00F3170D"/>
    <w:rsid w:val="00F4581F"/>
    <w:rsid w:val="00F46CE1"/>
    <w:rsid w:val="00F51E92"/>
    <w:rsid w:val="00F634FE"/>
    <w:rsid w:val="00F6456A"/>
    <w:rsid w:val="00F65BE4"/>
    <w:rsid w:val="00F771BA"/>
    <w:rsid w:val="00F8223F"/>
    <w:rsid w:val="00F82828"/>
    <w:rsid w:val="00F85381"/>
    <w:rsid w:val="00F9141C"/>
    <w:rsid w:val="00F91FDE"/>
    <w:rsid w:val="00F93E7A"/>
    <w:rsid w:val="00F96D66"/>
    <w:rsid w:val="00FA2622"/>
    <w:rsid w:val="00FA7F36"/>
    <w:rsid w:val="00FB4062"/>
    <w:rsid w:val="00FB6693"/>
    <w:rsid w:val="00FC0FE6"/>
    <w:rsid w:val="00FC4704"/>
    <w:rsid w:val="00FC6E6D"/>
    <w:rsid w:val="00FC6E7B"/>
    <w:rsid w:val="00FD10A6"/>
    <w:rsid w:val="00FD7EC9"/>
    <w:rsid w:val="00FE0F5A"/>
    <w:rsid w:val="00FE16A5"/>
    <w:rsid w:val="00FE6BFC"/>
    <w:rsid w:val="00FF0554"/>
    <w:rsid w:val="00FF4687"/>
    <w:rsid w:val="136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1"/>
    <w:pPr>
      <w:ind w:left="116"/>
    </w:pPr>
    <w:rPr>
      <w:rFonts w:ascii="宋体" w:hAnsi="宋体" w:eastAsia="宋体"/>
      <w:sz w:val="25"/>
      <w:szCs w:val="25"/>
    </w:rPr>
  </w:style>
  <w:style w:type="paragraph" w:styleId="3">
    <w:name w:val="Balloon Text"/>
    <w:basedOn w:val="1"/>
    <w:link w:val="17"/>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5"/>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正文文本 Char"/>
    <w:basedOn w:val="8"/>
    <w:link w:val="2"/>
    <w:uiPriority w:val="1"/>
    <w:rPr>
      <w:rFonts w:ascii="宋体" w:hAnsi="宋体" w:eastAsia="宋体"/>
      <w:sz w:val="25"/>
      <w:szCs w:val="25"/>
    </w:rPr>
  </w:style>
  <w:style w:type="table" w:customStyle="1" w:styleId="16">
    <w:name w:val="Table Normal1"/>
    <w:semiHidden/>
    <w:qFormat/>
    <w:uiPriority w:val="2"/>
    <w:rPr>
      <w:rFonts w:eastAsia="Times New Roman"/>
    </w:rPr>
    <w:tblPr>
      <w:tblCellMar>
        <w:top w:w="0" w:type="dxa"/>
        <w:left w:w="0" w:type="dxa"/>
        <w:bottom w:w="0" w:type="dxa"/>
        <w:right w:w="0" w:type="dxa"/>
      </w:tblCellMar>
    </w:tblPr>
  </w:style>
  <w:style w:type="character" w:customStyle="1" w:styleId="17">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4967</Words>
  <Characters>6392</Characters>
  <Lines>56</Lines>
  <Paragraphs>15</Paragraphs>
  <TotalTime>0</TotalTime>
  <ScaleCrop>false</ScaleCrop>
  <LinksUpToDate>false</LinksUpToDate>
  <CharactersWithSpaces>6480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2017-12-15T09:47:00Z</dcterms:created>
  <dc:creator>MJ</dc:creator>
  <cp:lastModifiedBy>太极箫客</cp:lastModifiedBy>
  <dcterms:modified xsi:type="dcterms:W3CDTF">2025-08-14T06:50:57Z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2B915105AE89443A96CE98B5C22085F7_12</vt:lpwstr>
  </property>
</Properties>
</file>